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0.xml" ContentType="application/vnd.openxmlformats-officedocument.wordprocessingml.header+xml"/>
  <Override PartName="/word/header2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1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17.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18.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21.xml" ContentType="application/vnd.openxmlformats-officedocument.wordprocessingml.footer+xml"/>
  <Override PartName="/word/header40.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41.xml" ContentType="application/vnd.openxmlformats-officedocument.wordprocessingml.header+xml"/>
  <Override PartName="/word/header42.xml" ContentType="application/vnd.openxmlformats-officedocument.wordprocessingml.header+xml"/>
  <Override PartName="/word/footer2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23.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oter26.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27.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58.xml" ContentType="application/vnd.openxmlformats-officedocument.wordprocessingml.header+xml"/>
  <Override PartName="/word/footer30.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61.xml" ContentType="application/vnd.openxmlformats-officedocument.wordprocessingml.header+xml"/>
  <Override PartName="/word/footer33.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footer40.xml" ContentType="application/vnd.openxmlformats-officedocument.wordprocessingml.footer+xml"/>
  <Override PartName="/word/header73.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header74.xml" ContentType="application/vnd.openxmlformats-officedocument.wordprocessingml.header+xml"/>
  <Override PartName="/word/header75.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7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30333DF" w14:textId="491D9963" w:rsidR="0080531E" w:rsidRPr="006B77BB" w:rsidRDefault="009F3EA3" w:rsidP="0003640E">
      <w:pPr>
        <w:pStyle w:val="BodyText"/>
      </w:pPr>
      <w:r>
        <w:rPr>
          <w:noProof/>
        </w:rPr>
        <w:drawing>
          <wp:anchor distT="0" distB="0" distL="114300" distR="114300" simplePos="0" relativeHeight="251658242" behindDoc="0" locked="0" layoutInCell="1" allowOverlap="1" wp14:anchorId="25A042C1" wp14:editId="3988FE97">
            <wp:simplePos x="0" y="0"/>
            <wp:positionH relativeFrom="page">
              <wp:align>right</wp:align>
            </wp:positionH>
            <wp:positionV relativeFrom="page">
              <wp:posOffset>-1270</wp:posOffset>
            </wp:positionV>
            <wp:extent cx="7583805" cy="10727690"/>
            <wp:effectExtent l="0" t="0" r="0" b="0"/>
            <wp:wrapNone/>
            <wp:docPr id="3983326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32640" name="Picture 398332640"/>
                    <pic:cNvPicPr/>
                  </pic:nvPicPr>
                  <pic:blipFill>
                    <a:blip r:embed="rId11"/>
                    <a:stretch>
                      <a:fillRect/>
                    </a:stretch>
                  </pic:blipFill>
                  <pic:spPr>
                    <a:xfrm>
                      <a:off x="0" y="0"/>
                      <a:ext cx="7583805" cy="10727690"/>
                    </a:xfrm>
                    <a:prstGeom prst="rect">
                      <a:avLst/>
                    </a:prstGeom>
                  </pic:spPr>
                </pic:pic>
              </a:graphicData>
            </a:graphic>
            <wp14:sizeRelH relativeFrom="page">
              <wp14:pctWidth>0</wp14:pctWidth>
            </wp14:sizeRelH>
            <wp14:sizeRelV relativeFrom="page">
              <wp14:pctHeight>0</wp14:pctHeight>
            </wp14:sizeRelV>
          </wp:anchor>
        </w:drawing>
      </w:r>
    </w:p>
    <w:p w14:paraId="0CE9F00B" w14:textId="77777777" w:rsidR="0003640E" w:rsidRPr="006B77BB" w:rsidRDefault="0003640E" w:rsidP="0003640E">
      <w:pPr>
        <w:pStyle w:val="BodyText"/>
      </w:pPr>
    </w:p>
    <w:p w14:paraId="05AA9D68" w14:textId="77777777" w:rsidR="0003640E" w:rsidRPr="006B77BB" w:rsidRDefault="0003640E" w:rsidP="0080531E">
      <w:pPr>
        <w:jc w:val="left"/>
        <w:rPr>
          <w:color w:val="FF0000"/>
        </w:rPr>
        <w:sectPr w:rsidR="0003640E" w:rsidRPr="006B77BB" w:rsidSect="00B86F2A">
          <w:headerReference w:type="default" r:id="rId12"/>
          <w:footerReference w:type="default" r:id="rId13"/>
          <w:pgSz w:w="11907" w:h="16840" w:code="9"/>
          <w:pgMar w:top="5670" w:right="1701" w:bottom="1701" w:left="1701" w:header="567" w:footer="1134" w:gutter="0"/>
          <w:cols w:space="720"/>
        </w:sectPr>
      </w:pPr>
    </w:p>
    <w:p w14:paraId="7D65563A" w14:textId="77777777" w:rsidR="00452EC4" w:rsidRPr="006B77BB" w:rsidRDefault="00452EC4" w:rsidP="00775F57">
      <w:pPr>
        <w:pStyle w:val="Imprint"/>
        <w:spacing w:before="0" w:after="0"/>
        <w:rPr>
          <w:b/>
        </w:rPr>
      </w:pPr>
      <w:r w:rsidRPr="006B77BB">
        <w:rPr>
          <w:b/>
        </w:rPr>
        <w:t>Disclaimer</w:t>
      </w:r>
    </w:p>
    <w:p w14:paraId="15EEC8FA" w14:textId="157DC12F" w:rsidR="000C3768" w:rsidRDefault="000C3768" w:rsidP="000C3768">
      <w:pPr>
        <w:pStyle w:val="BodyText"/>
      </w:pPr>
      <w:r>
        <w:t>The information in this publication is, according to the Ministry for the Environment’s best efforts, accurate at the time of publication. The Ministry will make every reasonable effort to</w:t>
      </w:r>
      <w:r w:rsidR="00DC45D4">
        <w:t> </w:t>
      </w:r>
      <w:r>
        <w:t xml:space="preserve">keep it current and accurate. However, users of this publication are advised that: </w:t>
      </w:r>
    </w:p>
    <w:p w14:paraId="04A0E183" w14:textId="77777777" w:rsidR="000C3768" w:rsidRDefault="000C3768" w:rsidP="000C3768">
      <w:pPr>
        <w:pStyle w:val="Bullet"/>
      </w:pPr>
      <w:r>
        <w:t xml:space="preserve">the information does not alter the laws of New Zealand, other official guidelines, or requirements </w:t>
      </w:r>
    </w:p>
    <w:p w14:paraId="2AF80508" w14:textId="77777777" w:rsidR="000C3768" w:rsidRDefault="000C3768" w:rsidP="000C3768">
      <w:pPr>
        <w:pStyle w:val="Bullet"/>
      </w:pPr>
      <w:r>
        <w:t xml:space="preserve">it does not constitute legal advice, and users should take specific advice from qualified professionals before taking any action based on information in this publication </w:t>
      </w:r>
    </w:p>
    <w:p w14:paraId="07E5BE5B" w14:textId="77777777" w:rsidR="000C3768" w:rsidRDefault="000C3768" w:rsidP="000C3768">
      <w:pPr>
        <w:pStyle w:val="Bullet"/>
      </w:pPr>
      <w:r>
        <w:t xml:space="preserve">the Ministry does not accept any responsibility or liability whatsoever whether in contract, tort, equity, or otherwise for any action taken as a result of reading, or reliance placed on this publication because of having read any part, or all, of the information in this publication or for any error, or inadequacy, deficiency, flaw in, or omission from the information in this publication </w:t>
      </w:r>
    </w:p>
    <w:p w14:paraId="13C45040" w14:textId="77777777" w:rsidR="00452EC4" w:rsidRPr="006B77BB" w:rsidRDefault="000C3768" w:rsidP="000C3768">
      <w:pPr>
        <w:pStyle w:val="Bullet"/>
      </w:pPr>
      <w:r>
        <w:t>all references to websites, organisations or people not within the Ministry are for convenience only and should not be taken as endorsement of those websites or information contained in those websites nor of organisations or people referred to.</w:t>
      </w:r>
    </w:p>
    <w:p w14:paraId="2CD6F4C6" w14:textId="77777777" w:rsidR="008B5C0B" w:rsidRDefault="008B5C0B" w:rsidP="00452EC4">
      <w:pPr>
        <w:pStyle w:val="Imprint"/>
      </w:pPr>
    </w:p>
    <w:p w14:paraId="4BCB03B7" w14:textId="77777777" w:rsidR="008B5C0B" w:rsidRDefault="008B5C0B" w:rsidP="00452EC4">
      <w:pPr>
        <w:pStyle w:val="Imprint"/>
      </w:pPr>
    </w:p>
    <w:p w14:paraId="114DF2AD" w14:textId="77777777" w:rsidR="008B5C0B" w:rsidRDefault="008B5C0B" w:rsidP="00452EC4">
      <w:pPr>
        <w:pStyle w:val="Imprint"/>
      </w:pPr>
    </w:p>
    <w:p w14:paraId="30F25370" w14:textId="77777777" w:rsidR="000721BE" w:rsidRDefault="000721BE" w:rsidP="00452EC4">
      <w:pPr>
        <w:pStyle w:val="Imprint"/>
      </w:pPr>
    </w:p>
    <w:p w14:paraId="193F4047" w14:textId="77777777" w:rsidR="000721BE" w:rsidRDefault="000721BE" w:rsidP="00452EC4">
      <w:pPr>
        <w:pStyle w:val="Imprint"/>
      </w:pPr>
    </w:p>
    <w:p w14:paraId="11E868B8" w14:textId="77777777" w:rsidR="004C0F6F" w:rsidRDefault="004C0F6F" w:rsidP="00452EC4">
      <w:pPr>
        <w:pStyle w:val="Imprint"/>
      </w:pPr>
    </w:p>
    <w:p w14:paraId="4E13A464" w14:textId="77777777" w:rsidR="004C0F6F" w:rsidRDefault="004C0F6F" w:rsidP="00452EC4">
      <w:pPr>
        <w:pStyle w:val="Imprint"/>
      </w:pPr>
    </w:p>
    <w:p w14:paraId="64F43BE0" w14:textId="77777777" w:rsidR="000721BE" w:rsidRDefault="000721BE" w:rsidP="00452EC4">
      <w:pPr>
        <w:pStyle w:val="Imprint"/>
      </w:pPr>
    </w:p>
    <w:p w14:paraId="7F23ABE8" w14:textId="77777777" w:rsidR="000721BE" w:rsidRDefault="000721BE" w:rsidP="00452EC4">
      <w:pPr>
        <w:pStyle w:val="Imprint"/>
      </w:pPr>
    </w:p>
    <w:p w14:paraId="3377E0E7" w14:textId="55D24812" w:rsidR="00452EC4" w:rsidRPr="006B77BB" w:rsidRDefault="00452EC4" w:rsidP="00452EC4">
      <w:pPr>
        <w:pStyle w:val="Imprint"/>
      </w:pPr>
      <w:r w:rsidRPr="006B77BB">
        <w:t xml:space="preserve">This </w:t>
      </w:r>
      <w:r w:rsidR="00775F57" w:rsidRPr="006B77BB">
        <w:t>document</w:t>
      </w:r>
      <w:r w:rsidRPr="006B77BB">
        <w:t xml:space="preserve"> may be cited as:</w:t>
      </w:r>
      <w:r w:rsidR="00775F57" w:rsidRPr="006B77BB">
        <w:t xml:space="preserve"> Ministry for the Environment. </w:t>
      </w:r>
      <w:r w:rsidR="00726D79">
        <w:t>2024</w:t>
      </w:r>
      <w:r w:rsidR="00775F57" w:rsidRPr="006B77BB">
        <w:t xml:space="preserve">. </w:t>
      </w:r>
      <w:r w:rsidR="00726D79" w:rsidRPr="00726D79">
        <w:rPr>
          <w:i/>
        </w:rPr>
        <w:t>New Zealand’s first</w:t>
      </w:r>
      <w:r w:rsidR="00927160">
        <w:rPr>
          <w:i/>
        </w:rPr>
        <w:t> </w:t>
      </w:r>
      <w:r w:rsidR="00726D79" w:rsidRPr="00726D79">
        <w:rPr>
          <w:i/>
        </w:rPr>
        <w:t>Biennial Transparency Report under the Paris Agreement</w:t>
      </w:r>
      <w:r w:rsidR="00775F57" w:rsidRPr="006B77BB">
        <w:t>. Wellington: Ministry for the</w:t>
      </w:r>
      <w:r w:rsidR="00927160">
        <w:t> </w:t>
      </w:r>
      <w:r w:rsidR="00775F57" w:rsidRPr="006B77BB">
        <w:t>Environment.</w:t>
      </w:r>
    </w:p>
    <w:p w14:paraId="4FD99DC2" w14:textId="77777777" w:rsidR="0080531E" w:rsidRDefault="0080531E" w:rsidP="0080531E">
      <w:pPr>
        <w:pStyle w:val="Imprint"/>
      </w:pPr>
    </w:p>
    <w:p w14:paraId="2FA27BCA" w14:textId="31AE0AEE" w:rsidR="0080531E" w:rsidRPr="006B77BB" w:rsidRDefault="0080531E" w:rsidP="0080531E">
      <w:pPr>
        <w:pStyle w:val="Imprint"/>
      </w:pPr>
      <w:r w:rsidRPr="006B77BB">
        <w:t>Published i</w:t>
      </w:r>
      <w:r w:rsidRPr="00036001">
        <w:t xml:space="preserve">n </w:t>
      </w:r>
      <w:r w:rsidR="00777A45" w:rsidRPr="002568F5">
        <w:t>December</w:t>
      </w:r>
      <w:r w:rsidR="00775F57" w:rsidRPr="00036001">
        <w:t xml:space="preserve"> </w:t>
      </w:r>
      <w:r w:rsidR="00726D79" w:rsidRPr="00036001">
        <w:t>2024</w:t>
      </w:r>
      <w:r w:rsidRPr="006B77BB">
        <w:t xml:space="preserve"> by the</w:t>
      </w:r>
      <w:r w:rsidRPr="006B77BB">
        <w:br/>
        <w:t xml:space="preserve">Ministry for the Environment </w:t>
      </w:r>
      <w:r w:rsidRPr="006B77BB">
        <w:br/>
        <w:t xml:space="preserve">Manatū </w:t>
      </w:r>
      <w:r w:rsidR="000C3768">
        <w:t>m</w:t>
      </w:r>
      <w:r w:rsidRPr="006B77BB">
        <w:t xml:space="preserve">ō </w:t>
      </w:r>
      <w:r w:rsidR="000C3768">
        <w:t>t</w:t>
      </w:r>
      <w:r w:rsidRPr="006B77BB">
        <w:t>e Taiao</w:t>
      </w:r>
      <w:r w:rsidRPr="006B77BB">
        <w:br/>
        <w:t>PO Box 10362, Wellington 6143, New Zealand</w:t>
      </w:r>
      <w:r w:rsidR="000C3768">
        <w:br/>
      </w:r>
      <w:hyperlink r:id="rId14" w:history="1">
        <w:r w:rsidR="000C3768" w:rsidRPr="00194D17">
          <w:rPr>
            <w:rStyle w:val="Hyperlink"/>
          </w:rPr>
          <w:t>environment.govt.nz</w:t>
        </w:r>
      </w:hyperlink>
    </w:p>
    <w:p w14:paraId="0773C349" w14:textId="6AC4B9F6" w:rsidR="0080531E" w:rsidRPr="006B77BB" w:rsidRDefault="0080531E" w:rsidP="0080531E">
      <w:pPr>
        <w:pStyle w:val="Imprint"/>
        <w:tabs>
          <w:tab w:val="left" w:pos="720"/>
        </w:tabs>
        <w:ind w:left="720" w:hanging="720"/>
      </w:pPr>
      <w:r w:rsidRPr="006B77BB">
        <w:t xml:space="preserve">ISBN: </w:t>
      </w:r>
      <w:r w:rsidRPr="006B77BB">
        <w:tab/>
      </w:r>
      <w:r w:rsidR="00777A45" w:rsidRPr="00777A45">
        <w:t>978-1-991140-54-8 </w:t>
      </w:r>
      <w:r w:rsidRPr="006B77BB">
        <w:t>(</w:t>
      </w:r>
      <w:r w:rsidR="00775F57" w:rsidRPr="006B77BB">
        <w:t>online</w:t>
      </w:r>
      <w:r w:rsidRPr="006B77BB">
        <w:t>)</w:t>
      </w:r>
    </w:p>
    <w:p w14:paraId="7F178542" w14:textId="1F4792EC" w:rsidR="0080531E" w:rsidRPr="006B77BB" w:rsidRDefault="0080531E" w:rsidP="0080531E">
      <w:pPr>
        <w:pStyle w:val="Imprint"/>
        <w:ind w:left="720" w:hanging="720"/>
      </w:pPr>
      <w:r w:rsidRPr="006B77BB">
        <w:t xml:space="preserve">Publication number: </w:t>
      </w:r>
      <w:r w:rsidRPr="000D6F46">
        <w:t xml:space="preserve">ME </w:t>
      </w:r>
      <w:r w:rsidR="000D6F46" w:rsidRPr="000D6F46">
        <w:t>1864</w:t>
      </w:r>
    </w:p>
    <w:p w14:paraId="44602897" w14:textId="519EE3A3" w:rsidR="00A84FE1" w:rsidRDefault="0080531E" w:rsidP="000C3768">
      <w:pPr>
        <w:pStyle w:val="Imprint"/>
        <w:spacing w:after="80"/>
      </w:pPr>
      <w:r w:rsidRPr="006B77BB">
        <w:t xml:space="preserve">© Crown copyright New Zealand </w:t>
      </w:r>
      <w:r w:rsidR="00726D79">
        <w:t>2024</w:t>
      </w:r>
    </w:p>
    <w:p w14:paraId="38020D2F" w14:textId="77777777" w:rsidR="0080531E" w:rsidRPr="00A84FE1" w:rsidRDefault="0080531E" w:rsidP="00A84FE1">
      <w:pPr>
        <w:sectPr w:rsidR="0080531E" w:rsidRPr="00A84FE1" w:rsidSect="008A7498">
          <w:headerReference w:type="even" r:id="rId15"/>
          <w:headerReference w:type="default" r:id="rId16"/>
          <w:footerReference w:type="even" r:id="rId17"/>
          <w:footerReference w:type="default" r:id="rId18"/>
          <w:headerReference w:type="first" r:id="rId19"/>
          <w:pgSz w:w="11907" w:h="16840" w:code="9"/>
          <w:pgMar w:top="1134" w:right="1701" w:bottom="1134" w:left="1701" w:header="567" w:footer="567" w:gutter="0"/>
          <w:pgNumType w:fmt="lowerRoman"/>
          <w:cols w:space="720"/>
        </w:sectPr>
      </w:pPr>
    </w:p>
    <w:p w14:paraId="375A15DC" w14:textId="77777777" w:rsidR="00256105" w:rsidRPr="006B77BB" w:rsidRDefault="00256105" w:rsidP="003E7F6C">
      <w:pPr>
        <w:pStyle w:val="Heading2notforTOC"/>
        <w:spacing w:after="120"/>
      </w:pPr>
      <w:bookmarkStart w:id="0" w:name="_Toc184825468"/>
      <w:r w:rsidRPr="006B77BB">
        <w:t>Acknowledgements</w:t>
      </w:r>
      <w:bookmarkEnd w:id="0"/>
    </w:p>
    <w:p w14:paraId="0E989FB6" w14:textId="77777777" w:rsidR="00F559DA" w:rsidRDefault="00F559DA" w:rsidP="003E58AC">
      <w:pPr>
        <w:pStyle w:val="Heading"/>
        <w:sectPr w:rsidR="00F559DA" w:rsidSect="008A7498">
          <w:headerReference w:type="even" r:id="rId20"/>
          <w:headerReference w:type="default" r:id="rId21"/>
          <w:footerReference w:type="even" r:id="rId22"/>
          <w:footerReference w:type="default" r:id="rId23"/>
          <w:headerReference w:type="first" r:id="rId24"/>
          <w:pgSz w:w="11907" w:h="16840" w:code="9"/>
          <w:pgMar w:top="1134" w:right="1701" w:bottom="1134" w:left="1701" w:header="567" w:footer="567" w:gutter="0"/>
          <w:cols w:space="720"/>
          <w:docGrid w:linePitch="299"/>
        </w:sectPr>
      </w:pPr>
    </w:p>
    <w:p w14:paraId="69E39953" w14:textId="77777777" w:rsidR="00294EA5" w:rsidRPr="00DD0AFD" w:rsidRDefault="00294EA5" w:rsidP="00294EA5">
      <w:pPr>
        <w:pStyle w:val="BodyText"/>
        <w:spacing w:line="240" w:lineRule="auto"/>
        <w:rPr>
          <w:sz w:val="20"/>
          <w:szCs w:val="20"/>
        </w:rPr>
      </w:pPr>
      <w:r w:rsidRPr="00753DB9">
        <w:rPr>
          <w:sz w:val="20"/>
          <w:szCs w:val="20"/>
          <w:lang w:val="en-US"/>
        </w:rPr>
        <w:t>The Ministry for the Environment thanks the following organisations for their contribution to the production of this document: Department of the Prime Minister and Cabinet, Energy Efficiency and Conservation Authority, Ministry of Business, Innovation and Employment, Ministry of Foreign Affairs and Trade, Ministry for Primary Industries, Ministry of Transport</w:t>
      </w:r>
      <w:r w:rsidRPr="00DD0AFD">
        <w:rPr>
          <w:sz w:val="20"/>
          <w:szCs w:val="20"/>
          <w:lang w:val="en-US"/>
        </w:rPr>
        <w:t>, The New Zealand Treasury</w:t>
      </w:r>
      <w:r>
        <w:rPr>
          <w:sz w:val="20"/>
          <w:szCs w:val="20"/>
          <w:lang w:val="en-US"/>
        </w:rPr>
        <w:t>, and the Government of Tokelau</w:t>
      </w:r>
      <w:r w:rsidRPr="00DD0AFD">
        <w:rPr>
          <w:sz w:val="20"/>
          <w:szCs w:val="20"/>
          <w:lang w:val="en-US"/>
        </w:rPr>
        <w:t>.</w:t>
      </w:r>
      <w:r w:rsidRPr="00DD0AFD">
        <w:rPr>
          <w:sz w:val="20"/>
          <w:szCs w:val="20"/>
        </w:rPr>
        <w:t> </w:t>
      </w:r>
    </w:p>
    <w:p w14:paraId="5B7DFC10" w14:textId="77777777" w:rsidR="00294EA5" w:rsidRPr="006C3C76" w:rsidRDefault="00294EA5" w:rsidP="00294EA5">
      <w:pPr>
        <w:spacing w:before="240" w:after="0" w:line="240" w:lineRule="auto"/>
        <w:jc w:val="left"/>
        <w:rPr>
          <w:b/>
          <w:iCs/>
          <w:sz w:val="21"/>
          <w:szCs w:val="21"/>
        </w:rPr>
      </w:pPr>
      <w:r w:rsidRPr="006C3C76">
        <w:rPr>
          <w:b/>
          <w:iCs/>
          <w:sz w:val="21"/>
          <w:szCs w:val="21"/>
          <w:lang w:val="en-US"/>
        </w:rPr>
        <w:t>Ministry for the Environment project team</w:t>
      </w:r>
    </w:p>
    <w:p w14:paraId="0B3BD5C5" w14:textId="77777777" w:rsidR="00294EA5" w:rsidRPr="004A2FEF" w:rsidRDefault="00294EA5" w:rsidP="00294EA5">
      <w:pPr>
        <w:pStyle w:val="Bullet"/>
        <w:numPr>
          <w:ilvl w:val="0"/>
          <w:numId w:val="0"/>
        </w:numPr>
        <w:spacing w:before="60" w:after="0" w:line="240" w:lineRule="auto"/>
        <w:rPr>
          <w:rFonts w:eastAsiaTheme="majorEastAsia"/>
          <w:sz w:val="20"/>
        </w:rPr>
      </w:pPr>
      <w:r w:rsidRPr="004A2FEF">
        <w:rPr>
          <w:rFonts w:eastAsiaTheme="majorEastAsia"/>
          <w:sz w:val="20"/>
        </w:rPr>
        <w:t>Alice Ryan, Frances Barnett (Lead compilers) </w:t>
      </w:r>
    </w:p>
    <w:p w14:paraId="1184A5E2" w14:textId="77777777" w:rsidR="00294EA5" w:rsidRPr="004A2FEF" w:rsidRDefault="00294EA5" w:rsidP="00294EA5">
      <w:pPr>
        <w:pStyle w:val="Bullet"/>
        <w:numPr>
          <w:ilvl w:val="0"/>
          <w:numId w:val="0"/>
        </w:numPr>
        <w:spacing w:before="60" w:after="0" w:line="240" w:lineRule="auto"/>
        <w:rPr>
          <w:rFonts w:eastAsiaTheme="majorEastAsia"/>
          <w:sz w:val="20"/>
        </w:rPr>
      </w:pPr>
      <w:r w:rsidRPr="004A2FEF">
        <w:rPr>
          <w:rFonts w:eastAsiaTheme="majorEastAsia"/>
          <w:sz w:val="20"/>
        </w:rPr>
        <w:t>Charissa Billings (Common reporting tables lead, compilation)  </w:t>
      </w:r>
    </w:p>
    <w:p w14:paraId="28DC953C" w14:textId="77777777" w:rsidR="00294EA5" w:rsidRPr="004A2FEF" w:rsidRDefault="00294EA5" w:rsidP="00294EA5">
      <w:pPr>
        <w:pStyle w:val="Bullet"/>
        <w:numPr>
          <w:ilvl w:val="0"/>
          <w:numId w:val="0"/>
        </w:numPr>
        <w:spacing w:before="60" w:after="0" w:line="240" w:lineRule="auto"/>
        <w:rPr>
          <w:rFonts w:eastAsiaTheme="majorEastAsia"/>
          <w:sz w:val="20"/>
        </w:rPr>
      </w:pPr>
      <w:r w:rsidRPr="004A2FEF">
        <w:rPr>
          <w:rFonts w:eastAsiaTheme="majorEastAsia"/>
          <w:sz w:val="20"/>
        </w:rPr>
        <w:t>Dr Daniel Boczniewicz (Quality control lead) </w:t>
      </w:r>
    </w:p>
    <w:p w14:paraId="3155F93D" w14:textId="77777777" w:rsidR="00294EA5" w:rsidRPr="004A2FEF" w:rsidRDefault="00294EA5" w:rsidP="00294EA5">
      <w:pPr>
        <w:pStyle w:val="Bullet"/>
        <w:numPr>
          <w:ilvl w:val="0"/>
          <w:numId w:val="0"/>
        </w:numPr>
        <w:spacing w:before="60" w:after="0" w:line="240" w:lineRule="auto"/>
        <w:rPr>
          <w:rFonts w:eastAsiaTheme="majorEastAsia"/>
          <w:sz w:val="20"/>
        </w:rPr>
      </w:pPr>
      <w:r w:rsidRPr="004A2FEF">
        <w:rPr>
          <w:rFonts w:eastAsiaTheme="majorEastAsia"/>
          <w:sz w:val="20"/>
        </w:rPr>
        <w:t>Adrianne Hermans, Peter Baillie (Project management)</w:t>
      </w:r>
    </w:p>
    <w:p w14:paraId="4A4755DA" w14:textId="77777777" w:rsidR="00294EA5" w:rsidRPr="004A2FEF" w:rsidRDefault="00294EA5" w:rsidP="00294EA5">
      <w:pPr>
        <w:pStyle w:val="Bullet"/>
        <w:numPr>
          <w:ilvl w:val="0"/>
          <w:numId w:val="0"/>
        </w:numPr>
        <w:spacing w:before="60" w:after="0" w:line="240" w:lineRule="auto"/>
        <w:rPr>
          <w:rFonts w:eastAsiaTheme="majorEastAsia"/>
          <w:sz w:val="20"/>
        </w:rPr>
      </w:pPr>
      <w:r w:rsidRPr="004A2FEF">
        <w:rPr>
          <w:rFonts w:eastAsiaTheme="majorEastAsia"/>
          <w:sz w:val="20"/>
        </w:rPr>
        <w:t>Joanne Butcher (Communications)</w:t>
      </w:r>
    </w:p>
    <w:p w14:paraId="2DB56AFB" w14:textId="77777777" w:rsidR="00294EA5" w:rsidRPr="004A2FEF" w:rsidRDefault="00294EA5" w:rsidP="00294EA5">
      <w:pPr>
        <w:pStyle w:val="Bullet"/>
        <w:numPr>
          <w:ilvl w:val="0"/>
          <w:numId w:val="0"/>
        </w:numPr>
        <w:spacing w:before="60" w:after="0" w:line="240" w:lineRule="auto"/>
        <w:rPr>
          <w:rFonts w:eastAsiaTheme="majorEastAsia"/>
          <w:sz w:val="20"/>
        </w:rPr>
      </w:pPr>
      <w:r w:rsidRPr="004A2FEF">
        <w:rPr>
          <w:rFonts w:eastAsiaTheme="majorEastAsia"/>
          <w:sz w:val="20"/>
        </w:rPr>
        <w:t>Lisette du Plessis (Publishing) </w:t>
      </w:r>
    </w:p>
    <w:p w14:paraId="23D5F068" w14:textId="77777777" w:rsidR="00294EA5" w:rsidRPr="004A2FEF" w:rsidRDefault="00294EA5" w:rsidP="00294EA5">
      <w:pPr>
        <w:pStyle w:val="Bullet"/>
        <w:numPr>
          <w:ilvl w:val="0"/>
          <w:numId w:val="0"/>
        </w:numPr>
        <w:spacing w:before="60" w:after="0" w:line="240" w:lineRule="auto"/>
        <w:rPr>
          <w:rFonts w:eastAsiaTheme="majorEastAsia"/>
          <w:sz w:val="20"/>
        </w:rPr>
      </w:pPr>
      <w:r w:rsidRPr="004A2FEF">
        <w:rPr>
          <w:rFonts w:eastAsiaTheme="majorEastAsia"/>
          <w:sz w:val="20"/>
        </w:rPr>
        <w:t>Dr Alice Cleland, Jon Ryan (Overall oversight)</w:t>
      </w:r>
    </w:p>
    <w:p w14:paraId="61749BB9" w14:textId="77777777" w:rsidR="00294EA5" w:rsidRPr="006C3C76" w:rsidRDefault="00294EA5" w:rsidP="00294EA5">
      <w:pPr>
        <w:spacing w:before="240" w:after="0" w:line="240" w:lineRule="auto"/>
        <w:jc w:val="left"/>
        <w:rPr>
          <w:b/>
          <w:iCs/>
          <w:sz w:val="21"/>
          <w:szCs w:val="21"/>
          <w:lang w:val="en-US"/>
        </w:rPr>
      </w:pPr>
      <w:r w:rsidRPr="006C3C76">
        <w:rPr>
          <w:b/>
          <w:iCs/>
          <w:sz w:val="21"/>
          <w:szCs w:val="21"/>
          <w:lang w:val="en-US"/>
        </w:rPr>
        <w:t>Chapter leads  </w:t>
      </w:r>
    </w:p>
    <w:p w14:paraId="5186EF28" w14:textId="77777777" w:rsidR="00294EA5" w:rsidRPr="009C513A" w:rsidRDefault="00294EA5" w:rsidP="00294EA5">
      <w:pPr>
        <w:pStyle w:val="Bullet"/>
        <w:numPr>
          <w:ilvl w:val="0"/>
          <w:numId w:val="0"/>
        </w:numPr>
        <w:spacing w:before="60" w:after="0" w:line="240" w:lineRule="auto"/>
        <w:rPr>
          <w:rFonts w:eastAsiaTheme="majorEastAsia"/>
          <w:sz w:val="19"/>
          <w:szCs w:val="19"/>
          <w:lang w:val="en-US"/>
        </w:rPr>
      </w:pPr>
      <w:r w:rsidRPr="009C513A">
        <w:rPr>
          <w:rFonts w:eastAsiaTheme="majorEastAsia"/>
          <w:sz w:val="19"/>
          <w:szCs w:val="19"/>
          <w:lang w:val="en-US"/>
        </w:rPr>
        <w:t xml:space="preserve">Executive summary – Joanne Butcher </w:t>
      </w:r>
    </w:p>
    <w:p w14:paraId="4091C166" w14:textId="77777777" w:rsidR="00294EA5" w:rsidRPr="009C513A" w:rsidRDefault="00294EA5" w:rsidP="00294EA5">
      <w:pPr>
        <w:pStyle w:val="Bullet"/>
        <w:numPr>
          <w:ilvl w:val="0"/>
          <w:numId w:val="0"/>
        </w:numPr>
        <w:tabs>
          <w:tab w:val="left" w:pos="1106"/>
        </w:tabs>
        <w:spacing w:before="60" w:after="0" w:line="240" w:lineRule="auto"/>
        <w:rPr>
          <w:rFonts w:eastAsiaTheme="majorEastAsia"/>
          <w:sz w:val="19"/>
          <w:szCs w:val="19"/>
          <w:lang w:val="en-US"/>
        </w:rPr>
      </w:pPr>
      <w:r w:rsidRPr="009C513A">
        <w:rPr>
          <w:rFonts w:eastAsiaTheme="majorEastAsia"/>
          <w:sz w:val="19"/>
          <w:szCs w:val="19"/>
          <w:lang w:val="en-US"/>
        </w:rPr>
        <w:t>Chapter 1</w:t>
      </w:r>
      <w:r>
        <w:rPr>
          <w:rFonts w:eastAsiaTheme="majorEastAsia"/>
          <w:sz w:val="19"/>
          <w:szCs w:val="19"/>
          <w:lang w:val="en-US"/>
        </w:rPr>
        <w:t xml:space="preserve"> </w:t>
      </w:r>
      <w:r w:rsidRPr="009C513A">
        <w:rPr>
          <w:rFonts w:eastAsiaTheme="majorEastAsia"/>
          <w:sz w:val="19"/>
          <w:szCs w:val="19"/>
          <w:lang w:val="en-US"/>
        </w:rPr>
        <w:t>–</w:t>
      </w:r>
      <w:r>
        <w:rPr>
          <w:rFonts w:eastAsiaTheme="majorEastAsia"/>
          <w:sz w:val="19"/>
          <w:szCs w:val="19"/>
          <w:lang w:val="en-US"/>
        </w:rPr>
        <w:t xml:space="preserve"> </w:t>
      </w:r>
      <w:r w:rsidRPr="009C513A">
        <w:rPr>
          <w:rFonts w:eastAsiaTheme="majorEastAsia"/>
          <w:sz w:val="19"/>
          <w:szCs w:val="19"/>
          <w:lang w:val="en-US"/>
        </w:rPr>
        <w:t xml:space="preserve">Frances Barnett </w:t>
      </w:r>
    </w:p>
    <w:p w14:paraId="32B5472A" w14:textId="77777777" w:rsidR="00294EA5" w:rsidRPr="009C513A" w:rsidRDefault="00294EA5" w:rsidP="00294EA5">
      <w:pPr>
        <w:pStyle w:val="Bullet"/>
        <w:numPr>
          <w:ilvl w:val="0"/>
          <w:numId w:val="0"/>
        </w:numPr>
        <w:tabs>
          <w:tab w:val="left" w:pos="1021"/>
          <w:tab w:val="left" w:pos="1106"/>
        </w:tabs>
        <w:spacing w:before="60" w:after="0" w:line="240" w:lineRule="auto"/>
        <w:rPr>
          <w:rFonts w:eastAsiaTheme="majorEastAsia"/>
          <w:sz w:val="19"/>
          <w:szCs w:val="19"/>
          <w:lang w:val="en-US"/>
        </w:rPr>
      </w:pPr>
      <w:r w:rsidRPr="009C513A">
        <w:rPr>
          <w:rFonts w:eastAsiaTheme="majorEastAsia"/>
          <w:sz w:val="19"/>
          <w:szCs w:val="19"/>
          <w:lang w:val="en-US"/>
        </w:rPr>
        <w:t>Chapter 2.1–</w:t>
      </w:r>
      <w:r>
        <w:rPr>
          <w:rFonts w:eastAsiaTheme="majorEastAsia"/>
          <w:sz w:val="19"/>
          <w:szCs w:val="19"/>
          <w:lang w:val="en-US"/>
        </w:rPr>
        <w:t xml:space="preserve"> </w:t>
      </w:r>
      <w:r w:rsidRPr="009C513A">
        <w:rPr>
          <w:rFonts w:eastAsiaTheme="majorEastAsia"/>
          <w:sz w:val="19"/>
          <w:szCs w:val="19"/>
          <w:lang w:val="en-US"/>
        </w:rPr>
        <w:t>Josh Jamieson  </w:t>
      </w:r>
    </w:p>
    <w:p w14:paraId="6F77D951" w14:textId="77777777" w:rsidR="00294EA5" w:rsidRPr="009C513A" w:rsidRDefault="00294EA5" w:rsidP="00294EA5">
      <w:pPr>
        <w:pStyle w:val="Bullet"/>
        <w:numPr>
          <w:ilvl w:val="0"/>
          <w:numId w:val="0"/>
        </w:numPr>
        <w:tabs>
          <w:tab w:val="left" w:pos="1021"/>
          <w:tab w:val="left" w:pos="1106"/>
        </w:tabs>
        <w:spacing w:before="60" w:after="0" w:line="240" w:lineRule="auto"/>
        <w:rPr>
          <w:rFonts w:eastAsiaTheme="majorEastAsia"/>
          <w:sz w:val="19"/>
          <w:szCs w:val="19"/>
          <w:lang w:val="en-US"/>
        </w:rPr>
      </w:pPr>
      <w:r w:rsidRPr="009C513A">
        <w:rPr>
          <w:rFonts w:eastAsiaTheme="majorEastAsia"/>
          <w:sz w:val="19"/>
          <w:szCs w:val="19"/>
          <w:lang w:val="en-US"/>
        </w:rPr>
        <w:t>Chapter 2.2</w:t>
      </w:r>
      <w:r>
        <w:rPr>
          <w:rFonts w:eastAsiaTheme="majorEastAsia"/>
          <w:sz w:val="19"/>
          <w:szCs w:val="19"/>
          <w:lang w:val="en-US"/>
        </w:rPr>
        <w:t xml:space="preserve"> </w:t>
      </w:r>
      <w:r w:rsidRPr="009C513A">
        <w:rPr>
          <w:rFonts w:eastAsiaTheme="majorEastAsia"/>
          <w:sz w:val="19"/>
          <w:szCs w:val="19"/>
          <w:lang w:val="en-US"/>
        </w:rPr>
        <w:t>–</w:t>
      </w:r>
      <w:r>
        <w:rPr>
          <w:rFonts w:eastAsiaTheme="majorEastAsia"/>
          <w:sz w:val="19"/>
          <w:szCs w:val="19"/>
          <w:lang w:val="en-US"/>
        </w:rPr>
        <w:t xml:space="preserve"> </w:t>
      </w:r>
      <w:r w:rsidRPr="009C513A">
        <w:rPr>
          <w:rFonts w:eastAsiaTheme="majorEastAsia"/>
          <w:sz w:val="19"/>
          <w:szCs w:val="19"/>
          <w:lang w:val="en-US"/>
        </w:rPr>
        <w:t xml:space="preserve">Katie Lund </w:t>
      </w:r>
    </w:p>
    <w:p w14:paraId="63D8E811" w14:textId="77777777" w:rsidR="00294EA5" w:rsidRPr="009C513A" w:rsidRDefault="00294EA5" w:rsidP="00294EA5">
      <w:pPr>
        <w:pStyle w:val="Bullet"/>
        <w:numPr>
          <w:ilvl w:val="0"/>
          <w:numId w:val="0"/>
        </w:numPr>
        <w:tabs>
          <w:tab w:val="left" w:pos="1021"/>
          <w:tab w:val="left" w:pos="1106"/>
        </w:tabs>
        <w:spacing w:before="60" w:after="0" w:line="240" w:lineRule="auto"/>
        <w:rPr>
          <w:rFonts w:eastAsiaTheme="majorEastAsia"/>
          <w:sz w:val="19"/>
          <w:szCs w:val="19"/>
          <w:lang w:val="en-US"/>
        </w:rPr>
      </w:pPr>
      <w:r w:rsidRPr="009C513A">
        <w:rPr>
          <w:rFonts w:eastAsiaTheme="majorEastAsia"/>
          <w:sz w:val="19"/>
          <w:szCs w:val="19"/>
          <w:lang w:val="en-US"/>
        </w:rPr>
        <w:t>Chapter 2.3 –</w:t>
      </w:r>
      <w:r>
        <w:rPr>
          <w:rFonts w:eastAsiaTheme="majorEastAsia"/>
          <w:sz w:val="19"/>
          <w:szCs w:val="19"/>
          <w:lang w:val="en-US"/>
        </w:rPr>
        <w:t xml:space="preserve"> </w:t>
      </w:r>
      <w:r>
        <w:rPr>
          <w:rFonts w:eastAsiaTheme="majorEastAsia"/>
          <w:sz w:val="19"/>
          <w:szCs w:val="19"/>
          <w:lang w:val="en-US"/>
        </w:rPr>
        <w:tab/>
      </w:r>
      <w:r w:rsidRPr="009C513A">
        <w:rPr>
          <w:rFonts w:eastAsiaTheme="majorEastAsia"/>
          <w:sz w:val="19"/>
          <w:szCs w:val="19"/>
          <w:lang w:val="en-US"/>
        </w:rPr>
        <w:t xml:space="preserve">Katie Lund, Dr Andrea Brandon </w:t>
      </w:r>
    </w:p>
    <w:p w14:paraId="134BC6E5" w14:textId="77777777" w:rsidR="00294EA5" w:rsidRPr="009C513A" w:rsidRDefault="00294EA5" w:rsidP="00294EA5">
      <w:pPr>
        <w:pStyle w:val="Bullet"/>
        <w:numPr>
          <w:ilvl w:val="0"/>
          <w:numId w:val="0"/>
        </w:numPr>
        <w:tabs>
          <w:tab w:val="left" w:pos="993"/>
          <w:tab w:val="left" w:pos="1021"/>
          <w:tab w:val="left" w:pos="1106"/>
        </w:tabs>
        <w:spacing w:before="60" w:after="0" w:line="240" w:lineRule="auto"/>
        <w:rPr>
          <w:rFonts w:eastAsiaTheme="majorEastAsia"/>
          <w:sz w:val="19"/>
          <w:szCs w:val="19"/>
          <w:lang w:val="en-US"/>
        </w:rPr>
      </w:pPr>
      <w:r w:rsidRPr="009C513A">
        <w:rPr>
          <w:rFonts w:eastAsiaTheme="majorEastAsia"/>
          <w:sz w:val="19"/>
          <w:szCs w:val="19"/>
          <w:lang w:val="en-US"/>
        </w:rPr>
        <w:t>Chapter 2.4 –</w:t>
      </w:r>
      <w:r>
        <w:rPr>
          <w:rFonts w:eastAsiaTheme="majorEastAsia"/>
          <w:sz w:val="19"/>
          <w:szCs w:val="19"/>
          <w:lang w:val="en-US"/>
        </w:rPr>
        <w:tab/>
      </w:r>
      <w:r w:rsidRPr="009C513A">
        <w:rPr>
          <w:rFonts w:eastAsiaTheme="majorEastAsia"/>
          <w:sz w:val="19"/>
          <w:szCs w:val="19"/>
          <w:lang w:val="en-US"/>
        </w:rPr>
        <w:t>Charlotte Pihigia, Lauren Smith, Alice Ryan, Frances Barnett  </w:t>
      </w:r>
    </w:p>
    <w:p w14:paraId="5D19F630" w14:textId="58777D1A" w:rsidR="00294EA5" w:rsidRPr="009C513A" w:rsidRDefault="00294EA5" w:rsidP="00294EA5">
      <w:pPr>
        <w:pStyle w:val="Bullet"/>
        <w:numPr>
          <w:ilvl w:val="0"/>
          <w:numId w:val="0"/>
        </w:numPr>
        <w:tabs>
          <w:tab w:val="left" w:pos="1106"/>
        </w:tabs>
        <w:spacing w:before="60" w:after="0" w:line="240" w:lineRule="auto"/>
        <w:ind w:left="1106" w:right="-188" w:hanging="1106"/>
        <w:rPr>
          <w:rFonts w:eastAsiaTheme="majorEastAsia"/>
          <w:sz w:val="19"/>
          <w:szCs w:val="19"/>
          <w:lang w:val="en-US"/>
        </w:rPr>
      </w:pPr>
      <w:r w:rsidRPr="009C513A">
        <w:rPr>
          <w:rFonts w:eastAsiaTheme="majorEastAsia"/>
          <w:sz w:val="19"/>
          <w:szCs w:val="19"/>
          <w:lang w:val="en-US"/>
        </w:rPr>
        <w:t xml:space="preserve">Chapter 2.5 – Joe Val Alipin, Prof Heather McLeod, Dr Nick Hitt </w:t>
      </w:r>
    </w:p>
    <w:p w14:paraId="480675B7" w14:textId="77777777" w:rsidR="00294EA5" w:rsidRPr="004A2FEF" w:rsidRDefault="00294EA5" w:rsidP="00294EA5">
      <w:pPr>
        <w:pStyle w:val="Bullet"/>
        <w:numPr>
          <w:ilvl w:val="0"/>
          <w:numId w:val="0"/>
        </w:numPr>
        <w:tabs>
          <w:tab w:val="left" w:pos="1021"/>
          <w:tab w:val="left" w:pos="1106"/>
        </w:tabs>
        <w:spacing w:before="60" w:after="0" w:line="240" w:lineRule="auto"/>
        <w:rPr>
          <w:rFonts w:eastAsiaTheme="majorEastAsia"/>
          <w:sz w:val="20"/>
          <w:lang w:val="en-US"/>
        </w:rPr>
      </w:pPr>
      <w:r w:rsidRPr="004A2FEF">
        <w:rPr>
          <w:rFonts w:eastAsiaTheme="majorEastAsia"/>
          <w:sz w:val="20"/>
          <w:lang w:val="en-US"/>
        </w:rPr>
        <w:t>Chapter 2.6 – Dr Andrea Brandon, Prof Heather McLeod, Joe Val Alipin  </w:t>
      </w:r>
    </w:p>
    <w:p w14:paraId="3ADEC4FF" w14:textId="77777777" w:rsidR="00294EA5" w:rsidRDefault="00294EA5" w:rsidP="00294EA5">
      <w:pPr>
        <w:pStyle w:val="Bullet"/>
        <w:numPr>
          <w:ilvl w:val="0"/>
          <w:numId w:val="0"/>
        </w:numPr>
        <w:tabs>
          <w:tab w:val="left" w:pos="1021"/>
          <w:tab w:val="left" w:pos="1106"/>
        </w:tabs>
        <w:spacing w:before="60" w:after="0" w:line="240" w:lineRule="auto"/>
        <w:rPr>
          <w:rFonts w:eastAsiaTheme="majorEastAsia"/>
          <w:sz w:val="20"/>
          <w:lang w:val="en-US"/>
        </w:rPr>
      </w:pPr>
      <w:r w:rsidRPr="004A2FEF">
        <w:rPr>
          <w:rFonts w:eastAsiaTheme="majorEastAsia"/>
          <w:sz w:val="20"/>
          <w:lang w:val="en-US"/>
        </w:rPr>
        <w:t>Chapter 3 –</w:t>
      </w:r>
      <w:r>
        <w:rPr>
          <w:rFonts w:eastAsiaTheme="majorEastAsia"/>
          <w:sz w:val="20"/>
          <w:lang w:val="en-US"/>
        </w:rPr>
        <w:t xml:space="preserve"> </w:t>
      </w:r>
      <w:r>
        <w:rPr>
          <w:rFonts w:eastAsiaTheme="majorEastAsia"/>
          <w:sz w:val="20"/>
          <w:lang w:val="en-US"/>
        </w:rPr>
        <w:tab/>
      </w:r>
      <w:r w:rsidRPr="004A2FEF">
        <w:rPr>
          <w:rFonts w:eastAsiaTheme="majorEastAsia"/>
          <w:sz w:val="20"/>
          <w:lang w:val="en-US"/>
        </w:rPr>
        <w:t xml:space="preserve">Dr Tidavadee Tongdethsri, Dr Hannah Chorley, Charissa Billings  </w:t>
      </w:r>
      <w:r w:rsidRPr="004A2FEF">
        <w:rPr>
          <w:rFonts w:eastAsiaTheme="majorEastAsia"/>
          <w:sz w:val="20"/>
          <w:lang w:val="en-US"/>
        </w:rPr>
        <w:tab/>
      </w:r>
      <w:r w:rsidRPr="004A2FEF">
        <w:rPr>
          <w:rFonts w:eastAsiaTheme="majorEastAsia"/>
          <w:sz w:val="20"/>
          <w:lang w:val="en-US"/>
        </w:rPr>
        <w:tab/>
      </w:r>
    </w:p>
    <w:p w14:paraId="0F384A79" w14:textId="77777777" w:rsidR="00294EA5" w:rsidRPr="004A2FEF" w:rsidRDefault="00294EA5" w:rsidP="00294EA5">
      <w:pPr>
        <w:pStyle w:val="Bullet"/>
        <w:numPr>
          <w:ilvl w:val="0"/>
          <w:numId w:val="0"/>
        </w:numPr>
        <w:tabs>
          <w:tab w:val="left" w:pos="1021"/>
          <w:tab w:val="left" w:pos="1106"/>
        </w:tabs>
        <w:spacing w:before="60" w:after="0" w:line="240" w:lineRule="auto"/>
        <w:rPr>
          <w:rFonts w:eastAsiaTheme="majorEastAsia"/>
          <w:sz w:val="20"/>
          <w:lang w:val="en-US"/>
        </w:rPr>
      </w:pPr>
      <w:r w:rsidRPr="004A2FEF">
        <w:rPr>
          <w:rFonts w:eastAsiaTheme="majorEastAsia"/>
          <w:sz w:val="20"/>
          <w:lang w:val="en-US"/>
        </w:rPr>
        <w:t>Chapter 4 –</w:t>
      </w:r>
      <w:r>
        <w:rPr>
          <w:rFonts w:eastAsiaTheme="majorEastAsia"/>
          <w:sz w:val="20"/>
          <w:lang w:val="en-US"/>
        </w:rPr>
        <w:t xml:space="preserve"> </w:t>
      </w:r>
      <w:r>
        <w:rPr>
          <w:rFonts w:eastAsiaTheme="majorEastAsia"/>
          <w:sz w:val="20"/>
          <w:lang w:val="en-US"/>
        </w:rPr>
        <w:tab/>
      </w:r>
      <w:r w:rsidRPr="004A2FEF">
        <w:rPr>
          <w:rFonts w:eastAsiaTheme="majorEastAsia"/>
          <w:sz w:val="20"/>
          <w:lang w:val="en-US"/>
        </w:rPr>
        <w:t>Alex Lamb (Ministry of Foreign Affairs and Trade)  </w:t>
      </w:r>
    </w:p>
    <w:p w14:paraId="7D8DC3A5" w14:textId="77777777" w:rsidR="00294EA5" w:rsidRPr="004A2FEF" w:rsidRDefault="00294EA5" w:rsidP="00294EA5">
      <w:pPr>
        <w:pStyle w:val="Bullet"/>
        <w:numPr>
          <w:ilvl w:val="0"/>
          <w:numId w:val="0"/>
        </w:numPr>
        <w:tabs>
          <w:tab w:val="left" w:pos="1021"/>
          <w:tab w:val="left" w:pos="1106"/>
        </w:tabs>
        <w:spacing w:before="60" w:after="0" w:line="240" w:lineRule="auto"/>
        <w:rPr>
          <w:rFonts w:eastAsiaTheme="majorEastAsia"/>
          <w:sz w:val="20"/>
          <w:lang w:val="en-US"/>
        </w:rPr>
      </w:pPr>
      <w:r w:rsidRPr="004A2FEF">
        <w:rPr>
          <w:rFonts w:eastAsiaTheme="majorEastAsia"/>
          <w:sz w:val="20"/>
          <w:lang w:val="en-US"/>
        </w:rPr>
        <w:t>Annex 1 –</w:t>
      </w:r>
      <w:r>
        <w:rPr>
          <w:rFonts w:eastAsiaTheme="majorEastAsia"/>
          <w:sz w:val="20"/>
          <w:lang w:val="en-US"/>
        </w:rPr>
        <w:t xml:space="preserve"> </w:t>
      </w:r>
      <w:r w:rsidRPr="004A2FEF">
        <w:rPr>
          <w:rFonts w:eastAsiaTheme="majorEastAsia"/>
          <w:sz w:val="20"/>
          <w:lang w:val="en-US"/>
        </w:rPr>
        <w:t xml:space="preserve">Charissa Billings </w:t>
      </w:r>
    </w:p>
    <w:p w14:paraId="429779EB" w14:textId="77777777" w:rsidR="00294EA5" w:rsidRPr="004A2FEF" w:rsidRDefault="00294EA5" w:rsidP="00294EA5">
      <w:pPr>
        <w:pStyle w:val="Bullet"/>
        <w:numPr>
          <w:ilvl w:val="0"/>
          <w:numId w:val="0"/>
        </w:numPr>
        <w:tabs>
          <w:tab w:val="left" w:pos="1021"/>
          <w:tab w:val="left" w:pos="1106"/>
        </w:tabs>
        <w:spacing w:before="60" w:after="0" w:line="240" w:lineRule="auto"/>
        <w:rPr>
          <w:rFonts w:eastAsiaTheme="majorEastAsia"/>
          <w:sz w:val="20"/>
          <w:lang w:val="en-US"/>
        </w:rPr>
      </w:pPr>
      <w:r w:rsidRPr="004A2FEF">
        <w:rPr>
          <w:rFonts w:eastAsiaTheme="majorEastAsia"/>
          <w:sz w:val="20"/>
          <w:lang w:val="en-US"/>
        </w:rPr>
        <w:t>Annex 2 –</w:t>
      </w:r>
      <w:r>
        <w:rPr>
          <w:rFonts w:eastAsiaTheme="majorEastAsia"/>
          <w:sz w:val="20"/>
          <w:lang w:val="en-US"/>
        </w:rPr>
        <w:t xml:space="preserve"> </w:t>
      </w:r>
      <w:r w:rsidRPr="004A2FEF">
        <w:rPr>
          <w:rFonts w:eastAsiaTheme="majorEastAsia"/>
          <w:sz w:val="20"/>
          <w:lang w:val="en-US"/>
        </w:rPr>
        <w:t>Dr Carla Gomez, Deborah Burgess</w:t>
      </w:r>
    </w:p>
    <w:p w14:paraId="482CF247" w14:textId="77777777" w:rsidR="00294EA5" w:rsidRPr="006C3C76" w:rsidRDefault="00294EA5" w:rsidP="00294EA5">
      <w:pPr>
        <w:spacing w:before="240" w:after="0" w:line="240" w:lineRule="auto"/>
        <w:jc w:val="left"/>
        <w:rPr>
          <w:b/>
          <w:iCs/>
          <w:sz w:val="21"/>
          <w:szCs w:val="21"/>
          <w:lang w:val="en-US"/>
        </w:rPr>
      </w:pPr>
      <w:r w:rsidRPr="006C3C76">
        <w:rPr>
          <w:b/>
          <w:iCs/>
          <w:sz w:val="21"/>
          <w:szCs w:val="21"/>
          <w:lang w:val="en-US"/>
        </w:rPr>
        <w:t>Other contributors  </w:t>
      </w:r>
    </w:p>
    <w:p w14:paraId="7F5779B0" w14:textId="5F110E20" w:rsidR="00294EA5" w:rsidRPr="004A2FEF" w:rsidRDefault="00294EA5" w:rsidP="00294EA5">
      <w:pPr>
        <w:spacing w:after="0" w:line="240" w:lineRule="auto"/>
        <w:jc w:val="left"/>
        <w:rPr>
          <w:rFonts w:eastAsiaTheme="majorEastAsia"/>
          <w:sz w:val="20"/>
          <w:szCs w:val="20"/>
          <w:lang w:val="en-US"/>
        </w:rPr>
      </w:pPr>
      <w:r w:rsidRPr="009C513A">
        <w:rPr>
          <w:b/>
          <w:sz w:val="19"/>
          <w:szCs w:val="19"/>
          <w:lang w:val="en-US"/>
        </w:rPr>
        <w:t>Ministry for the Environment</w:t>
      </w:r>
      <w:r>
        <w:rPr>
          <w:b/>
          <w:sz w:val="19"/>
          <w:szCs w:val="19"/>
          <w:lang w:val="en-US"/>
        </w:rPr>
        <w:t xml:space="preserve"> </w:t>
      </w:r>
      <w:r w:rsidRPr="004A2FEF">
        <w:rPr>
          <w:rFonts w:eastAsiaTheme="majorEastAsia"/>
          <w:sz w:val="20"/>
          <w:szCs w:val="20"/>
          <w:lang w:val="en-US"/>
        </w:rPr>
        <w:t>–</w:t>
      </w:r>
      <w:r>
        <w:rPr>
          <w:rFonts w:eastAsiaTheme="majorEastAsia"/>
          <w:sz w:val="20"/>
          <w:szCs w:val="20"/>
          <w:lang w:val="en-US"/>
        </w:rPr>
        <w:t xml:space="preserve"> </w:t>
      </w:r>
      <w:r w:rsidRPr="004A2FEF">
        <w:rPr>
          <w:rFonts w:eastAsiaTheme="majorEastAsia"/>
          <w:sz w:val="20"/>
          <w:szCs w:val="20"/>
          <w:lang w:val="en-US"/>
        </w:rPr>
        <w:t>Dr Ivan Chirino-Valle, Roderick Boys, Miranda Cross, Cassandra Moll, Tyler Northern, Brett Longley, Tom Womack, Mark Vink, Melissa Berry, Emma Corbett, Meredith Davis, Stephen Goodman, Robyn Crisford, Hemi Smiler, Katherine Wilson, Manon Julien, Juliet Nelson, Audrey Lustig, Diana De Alwis, Eric Goodwin, Izzy Hart, Joyce Ormond, Samuel Roper </w:t>
      </w:r>
    </w:p>
    <w:p w14:paraId="59E4445B" w14:textId="77777777" w:rsidR="00294EA5" w:rsidRPr="004A2FEF" w:rsidRDefault="00294EA5" w:rsidP="00294EA5">
      <w:pPr>
        <w:spacing w:after="0" w:line="240" w:lineRule="auto"/>
        <w:jc w:val="left"/>
        <w:rPr>
          <w:rFonts w:eastAsiaTheme="majorEastAsia"/>
          <w:sz w:val="20"/>
          <w:szCs w:val="20"/>
          <w:lang w:val="en-US"/>
        </w:rPr>
      </w:pPr>
      <w:r w:rsidRPr="009C513A">
        <w:rPr>
          <w:b/>
          <w:sz w:val="19"/>
          <w:szCs w:val="19"/>
          <w:lang w:val="en-US"/>
        </w:rPr>
        <w:t>Ministry for Primary Industries</w:t>
      </w:r>
      <w:r>
        <w:rPr>
          <w:b/>
          <w:sz w:val="19"/>
          <w:szCs w:val="19"/>
          <w:lang w:val="en-US"/>
        </w:rPr>
        <w:t xml:space="preserve"> </w:t>
      </w:r>
      <w:r w:rsidRPr="004A2FEF">
        <w:rPr>
          <w:rFonts w:eastAsiaTheme="majorEastAsia"/>
          <w:sz w:val="20"/>
          <w:szCs w:val="20"/>
          <w:lang w:val="en-US"/>
        </w:rPr>
        <w:t>–</w:t>
      </w:r>
      <w:r>
        <w:rPr>
          <w:b/>
          <w:sz w:val="19"/>
          <w:szCs w:val="19"/>
          <w:lang w:val="en-US"/>
        </w:rPr>
        <w:t xml:space="preserve"> </w:t>
      </w:r>
      <w:r w:rsidRPr="004A2FEF">
        <w:rPr>
          <w:rFonts w:eastAsiaTheme="majorEastAsia"/>
          <w:sz w:val="20"/>
          <w:szCs w:val="20"/>
          <w:lang w:val="en-US"/>
        </w:rPr>
        <w:t>Joel Gibbs, Catherine Sangster, Josephine Dawson, Craig Elvidge, Robbie McCrae, Jamie Higgison </w:t>
      </w:r>
    </w:p>
    <w:p w14:paraId="251F34CC" w14:textId="77777777" w:rsidR="00294EA5" w:rsidRPr="004A2FEF" w:rsidRDefault="00294EA5" w:rsidP="00294EA5">
      <w:pPr>
        <w:spacing w:after="0" w:line="240" w:lineRule="auto"/>
        <w:jc w:val="left"/>
        <w:rPr>
          <w:rFonts w:eastAsiaTheme="majorEastAsia"/>
          <w:sz w:val="20"/>
          <w:szCs w:val="20"/>
          <w:lang w:val="en-US"/>
        </w:rPr>
      </w:pPr>
      <w:r w:rsidRPr="009C513A">
        <w:rPr>
          <w:b/>
          <w:sz w:val="19"/>
          <w:szCs w:val="19"/>
          <w:lang w:val="en-US"/>
        </w:rPr>
        <w:t>Ministry of Transport</w:t>
      </w:r>
      <w:r>
        <w:rPr>
          <w:b/>
          <w:sz w:val="19"/>
          <w:szCs w:val="19"/>
          <w:lang w:val="en-US"/>
        </w:rPr>
        <w:t xml:space="preserve"> </w:t>
      </w:r>
      <w:r w:rsidRPr="004A2FEF">
        <w:rPr>
          <w:rFonts w:eastAsiaTheme="majorEastAsia"/>
          <w:sz w:val="20"/>
          <w:szCs w:val="20"/>
          <w:lang w:val="en-US"/>
        </w:rPr>
        <w:t>–</w:t>
      </w:r>
      <w:r>
        <w:rPr>
          <w:b/>
          <w:sz w:val="19"/>
          <w:szCs w:val="19"/>
          <w:lang w:val="en-US"/>
        </w:rPr>
        <w:t xml:space="preserve"> </w:t>
      </w:r>
      <w:r w:rsidRPr="004A2FEF">
        <w:rPr>
          <w:rFonts w:eastAsiaTheme="majorEastAsia"/>
          <w:sz w:val="20"/>
          <w:szCs w:val="20"/>
          <w:lang w:val="en-US"/>
        </w:rPr>
        <w:t>Jackie Sowry, Haobo Wang </w:t>
      </w:r>
    </w:p>
    <w:p w14:paraId="39393281" w14:textId="77777777" w:rsidR="00294EA5" w:rsidRPr="009C513A" w:rsidRDefault="00294EA5" w:rsidP="00294EA5">
      <w:pPr>
        <w:spacing w:after="0" w:line="240" w:lineRule="auto"/>
        <w:jc w:val="left"/>
        <w:rPr>
          <w:rFonts w:eastAsiaTheme="majorEastAsia"/>
          <w:sz w:val="19"/>
          <w:szCs w:val="19"/>
          <w:lang w:val="en-US"/>
        </w:rPr>
      </w:pPr>
      <w:r w:rsidRPr="009C513A">
        <w:rPr>
          <w:b/>
          <w:sz w:val="19"/>
          <w:szCs w:val="19"/>
          <w:lang w:val="en-US"/>
        </w:rPr>
        <w:t>Energy Efficiency and Conservation Authority</w:t>
      </w:r>
      <w:r>
        <w:rPr>
          <w:b/>
          <w:sz w:val="19"/>
          <w:szCs w:val="19"/>
          <w:lang w:val="en-US"/>
        </w:rPr>
        <w:t xml:space="preserve"> </w:t>
      </w:r>
      <w:r w:rsidRPr="004A2FEF">
        <w:rPr>
          <w:rFonts w:eastAsiaTheme="majorEastAsia"/>
          <w:sz w:val="20"/>
          <w:szCs w:val="20"/>
          <w:lang w:val="en-US"/>
        </w:rPr>
        <w:t>–</w:t>
      </w:r>
      <w:r>
        <w:rPr>
          <w:rFonts w:eastAsiaTheme="majorEastAsia"/>
          <w:sz w:val="20"/>
          <w:szCs w:val="20"/>
          <w:lang w:val="en-US"/>
        </w:rPr>
        <w:t xml:space="preserve"> </w:t>
      </w:r>
      <w:r w:rsidRPr="009C513A">
        <w:rPr>
          <w:rFonts w:eastAsiaTheme="majorEastAsia"/>
          <w:sz w:val="19"/>
          <w:szCs w:val="19"/>
          <w:lang w:val="en-US"/>
        </w:rPr>
        <w:t>Melanie Joan Lloyd, Anand Krishnan </w:t>
      </w:r>
    </w:p>
    <w:p w14:paraId="625341C6" w14:textId="77777777" w:rsidR="00294EA5" w:rsidRPr="009C513A" w:rsidRDefault="00294EA5" w:rsidP="00294EA5">
      <w:pPr>
        <w:spacing w:after="0" w:line="240" w:lineRule="auto"/>
        <w:jc w:val="left"/>
        <w:rPr>
          <w:rFonts w:eastAsiaTheme="majorEastAsia"/>
          <w:sz w:val="19"/>
          <w:szCs w:val="19"/>
          <w:lang w:val="en-US"/>
        </w:rPr>
      </w:pPr>
      <w:r w:rsidRPr="009C513A">
        <w:rPr>
          <w:b/>
          <w:sz w:val="19"/>
          <w:szCs w:val="19"/>
          <w:lang w:val="en-US"/>
        </w:rPr>
        <w:t>Ministry of Business, Innovation and Employment</w:t>
      </w:r>
      <w:r>
        <w:rPr>
          <w:b/>
          <w:sz w:val="19"/>
          <w:szCs w:val="19"/>
          <w:lang w:val="en-US"/>
        </w:rPr>
        <w:t xml:space="preserve"> </w:t>
      </w:r>
      <w:r w:rsidRPr="004A2FEF">
        <w:rPr>
          <w:rFonts w:eastAsiaTheme="majorEastAsia"/>
          <w:sz w:val="20"/>
          <w:szCs w:val="20"/>
          <w:lang w:val="en-US"/>
        </w:rPr>
        <w:t>–</w:t>
      </w:r>
      <w:r>
        <w:rPr>
          <w:rFonts w:eastAsiaTheme="majorEastAsia"/>
          <w:sz w:val="20"/>
          <w:szCs w:val="20"/>
          <w:lang w:val="en-US"/>
        </w:rPr>
        <w:t xml:space="preserve"> </w:t>
      </w:r>
      <w:r w:rsidRPr="009C513A">
        <w:rPr>
          <w:rFonts w:eastAsiaTheme="majorEastAsia"/>
          <w:sz w:val="19"/>
          <w:szCs w:val="19"/>
          <w:lang w:val="en-US"/>
        </w:rPr>
        <w:t>Lorenz Magaard-Romano, Hannah Overton-Holmes, Luke Searle, Maria Botes, Amelie Goldberg, Michael Smith </w:t>
      </w:r>
    </w:p>
    <w:p w14:paraId="2F0F2AA3" w14:textId="77777777" w:rsidR="00294EA5" w:rsidRPr="009C513A" w:rsidRDefault="00294EA5" w:rsidP="00294EA5">
      <w:pPr>
        <w:spacing w:after="0" w:line="240" w:lineRule="auto"/>
        <w:jc w:val="left"/>
        <w:rPr>
          <w:b/>
          <w:sz w:val="19"/>
          <w:szCs w:val="19"/>
          <w:lang w:val="en-US"/>
        </w:rPr>
      </w:pPr>
      <w:r w:rsidRPr="009C513A">
        <w:rPr>
          <w:b/>
          <w:sz w:val="19"/>
          <w:szCs w:val="19"/>
          <w:lang w:val="en-US"/>
        </w:rPr>
        <w:t>Ministry of Foreign Affairs and Trade</w:t>
      </w:r>
      <w:r>
        <w:rPr>
          <w:b/>
          <w:sz w:val="19"/>
          <w:szCs w:val="19"/>
          <w:lang w:val="en-US"/>
        </w:rPr>
        <w:t xml:space="preserve"> </w:t>
      </w:r>
      <w:r w:rsidRPr="004A2FEF">
        <w:rPr>
          <w:rFonts w:eastAsiaTheme="majorEastAsia"/>
          <w:sz w:val="20"/>
          <w:szCs w:val="20"/>
          <w:lang w:val="en-US"/>
        </w:rPr>
        <w:t>–</w:t>
      </w:r>
      <w:r>
        <w:rPr>
          <w:rFonts w:eastAsiaTheme="majorEastAsia"/>
          <w:sz w:val="20"/>
          <w:szCs w:val="20"/>
          <w:lang w:val="en-US"/>
        </w:rPr>
        <w:t xml:space="preserve"> </w:t>
      </w:r>
      <w:r w:rsidRPr="009C513A">
        <w:rPr>
          <w:rFonts w:eastAsiaTheme="majorEastAsia"/>
          <w:sz w:val="19"/>
          <w:szCs w:val="19"/>
          <w:lang w:val="en-US"/>
        </w:rPr>
        <w:t>Anna Broadhurst, Todd Croad</w:t>
      </w:r>
    </w:p>
    <w:p w14:paraId="73E383A8" w14:textId="77777777" w:rsidR="00294EA5" w:rsidRPr="009C513A" w:rsidRDefault="00294EA5" w:rsidP="00294EA5">
      <w:pPr>
        <w:spacing w:after="0" w:line="240" w:lineRule="auto"/>
        <w:jc w:val="left"/>
        <w:rPr>
          <w:rFonts w:eastAsiaTheme="majorEastAsia"/>
          <w:sz w:val="19"/>
          <w:szCs w:val="19"/>
          <w:lang w:val="en-US"/>
        </w:rPr>
      </w:pPr>
      <w:r w:rsidRPr="009C513A">
        <w:rPr>
          <w:b/>
          <w:sz w:val="19"/>
          <w:szCs w:val="19"/>
          <w:lang w:val="en-US"/>
        </w:rPr>
        <w:t>The New Zealand Treasury</w:t>
      </w:r>
      <w:r>
        <w:rPr>
          <w:b/>
          <w:sz w:val="19"/>
          <w:szCs w:val="19"/>
          <w:lang w:val="en-US"/>
        </w:rPr>
        <w:t xml:space="preserve"> </w:t>
      </w:r>
      <w:r w:rsidRPr="004A2FEF">
        <w:rPr>
          <w:rFonts w:eastAsiaTheme="majorEastAsia"/>
          <w:sz w:val="20"/>
          <w:szCs w:val="20"/>
          <w:lang w:val="en-US"/>
        </w:rPr>
        <w:t>–</w:t>
      </w:r>
      <w:r>
        <w:rPr>
          <w:rFonts w:eastAsiaTheme="majorEastAsia"/>
          <w:sz w:val="20"/>
          <w:szCs w:val="20"/>
          <w:lang w:val="en-US"/>
        </w:rPr>
        <w:t xml:space="preserve"> </w:t>
      </w:r>
      <w:r w:rsidRPr="009C513A">
        <w:rPr>
          <w:rFonts w:eastAsiaTheme="majorEastAsia"/>
          <w:sz w:val="19"/>
          <w:szCs w:val="19"/>
          <w:lang w:val="en-US"/>
        </w:rPr>
        <w:t>Carly Soo </w:t>
      </w:r>
    </w:p>
    <w:p w14:paraId="7A3EB911" w14:textId="3CAC0FB3" w:rsidR="00294EA5" w:rsidRPr="009C513A" w:rsidRDefault="00294EA5" w:rsidP="00294EA5">
      <w:pPr>
        <w:spacing w:before="240" w:after="0" w:line="240" w:lineRule="auto"/>
        <w:jc w:val="left"/>
        <w:rPr>
          <w:rFonts w:eastAsiaTheme="majorEastAsia"/>
          <w:sz w:val="19"/>
          <w:szCs w:val="19"/>
          <w:lang w:val="en-US"/>
        </w:rPr>
      </w:pPr>
      <w:r w:rsidRPr="001B77F3">
        <w:rPr>
          <w:b/>
          <w:iCs/>
          <w:sz w:val="21"/>
          <w:szCs w:val="21"/>
          <w:lang w:val="en-US"/>
        </w:rPr>
        <w:t>Editors</w:t>
      </w:r>
      <w:r>
        <w:rPr>
          <w:b/>
          <w:iCs/>
          <w:sz w:val="21"/>
          <w:szCs w:val="21"/>
          <w:lang w:val="en-US"/>
        </w:rPr>
        <w:br/>
      </w:r>
      <w:r w:rsidRPr="009C513A">
        <w:rPr>
          <w:rFonts w:eastAsiaTheme="majorEastAsia"/>
          <w:sz w:val="19"/>
          <w:szCs w:val="19"/>
          <w:lang w:val="en-US"/>
        </w:rPr>
        <w:t>Jenny Heine, Tanya Tremewan</w:t>
      </w:r>
    </w:p>
    <w:p w14:paraId="352CC5D6" w14:textId="28DE3EFE" w:rsidR="00545F97" w:rsidRPr="00F06E0B" w:rsidRDefault="000536A8" w:rsidP="003E58AC">
      <w:pPr>
        <w:pStyle w:val="Heading"/>
      </w:pPr>
      <w:r>
        <w:t>C</w:t>
      </w:r>
      <w:r w:rsidR="00545F97">
        <w:t>ontents</w:t>
      </w:r>
    </w:p>
    <w:p w14:paraId="3EC068F1" w14:textId="285638F5" w:rsidR="001E4BEB" w:rsidRDefault="00775F57" w:rsidP="73FC66DE">
      <w:pPr>
        <w:pStyle w:val="TOC1"/>
        <w:rPr>
          <w:rFonts w:asciiTheme="minorHAnsi" w:hAnsiTheme="minorHAnsi"/>
          <w:noProof/>
          <w:sz w:val="24"/>
        </w:rPr>
      </w:pPr>
      <w:r w:rsidRPr="006B77BB">
        <w:rPr>
          <w:rFonts w:asciiTheme="minorHAnsi" w:hAnsiTheme="minorHAnsi"/>
          <w:noProof/>
          <w:color w:val="0092CF"/>
          <w:sz w:val="24"/>
        </w:rPr>
        <w:fldChar w:fldCharType="begin"/>
      </w:r>
      <w:r w:rsidRPr="73FC66DE">
        <w:rPr>
          <w:color w:val="0092CF"/>
        </w:rPr>
        <w:instrText xml:space="preserve"> TOC \h \z \t "Heading 1,1,Heading 2,2" </w:instrText>
      </w:r>
      <w:r w:rsidRPr="006B77BB">
        <w:rPr>
          <w:rFonts w:asciiTheme="minorHAnsi" w:hAnsiTheme="minorHAnsi"/>
          <w:noProof/>
          <w:color w:val="0092CF"/>
          <w:sz w:val="24"/>
        </w:rPr>
        <w:fldChar w:fldCharType="separate"/>
      </w:r>
      <w:hyperlink w:anchor="_Toc184825469">
        <w:r w:rsidR="001E4BEB" w:rsidRPr="73FC66DE">
          <w:rPr>
            <w:rStyle w:val="Hyperlink"/>
            <w:noProof/>
          </w:rPr>
          <w:t>Foreword from the Minister of Climate Change</w:t>
        </w:r>
        <w:r w:rsidR="001E4BEB">
          <w:rPr>
            <w:noProof/>
          </w:rPr>
          <w:tab/>
        </w:r>
        <w:r w:rsidR="001E4BEB" w:rsidRPr="73FC66DE">
          <w:rPr>
            <w:noProof/>
          </w:rPr>
          <w:fldChar w:fldCharType="begin"/>
        </w:r>
        <w:r w:rsidR="001E4BEB" w:rsidRPr="73FC66DE">
          <w:rPr>
            <w:noProof/>
          </w:rPr>
          <w:instrText xml:space="preserve"> PAGEREF _Toc184825469 \h </w:instrText>
        </w:r>
        <w:r w:rsidR="001E4BEB" w:rsidRPr="73FC66DE">
          <w:rPr>
            <w:noProof/>
          </w:rPr>
        </w:r>
        <w:r w:rsidR="001E4BEB" w:rsidRPr="73FC66DE">
          <w:rPr>
            <w:noProof/>
          </w:rPr>
          <w:fldChar w:fldCharType="separate"/>
        </w:r>
        <w:r w:rsidR="005843E4">
          <w:rPr>
            <w:noProof/>
          </w:rPr>
          <w:t>17</w:t>
        </w:r>
        <w:r w:rsidR="001E4BEB" w:rsidRPr="73FC66DE">
          <w:rPr>
            <w:noProof/>
          </w:rPr>
          <w:fldChar w:fldCharType="end"/>
        </w:r>
      </w:hyperlink>
    </w:p>
    <w:p w14:paraId="7282B3C3" w14:textId="61E766C2" w:rsidR="001E4BEB" w:rsidRDefault="001E4BEB" w:rsidP="73FC66DE">
      <w:pPr>
        <w:pStyle w:val="TOC1"/>
        <w:rPr>
          <w:rFonts w:asciiTheme="minorHAnsi" w:hAnsiTheme="minorHAnsi"/>
          <w:noProof/>
          <w:sz w:val="24"/>
        </w:rPr>
      </w:pPr>
      <w:hyperlink w:anchor="_Toc184825470">
        <w:r w:rsidRPr="73FC66DE">
          <w:rPr>
            <w:rStyle w:val="Hyperlink"/>
            <w:noProof/>
          </w:rPr>
          <w:t>Executive summary</w:t>
        </w:r>
        <w:r>
          <w:rPr>
            <w:noProof/>
          </w:rPr>
          <w:tab/>
        </w:r>
        <w:r w:rsidRPr="73FC66DE">
          <w:rPr>
            <w:noProof/>
          </w:rPr>
          <w:fldChar w:fldCharType="begin"/>
        </w:r>
        <w:r w:rsidRPr="73FC66DE">
          <w:rPr>
            <w:noProof/>
          </w:rPr>
          <w:instrText xml:space="preserve"> PAGEREF _Toc184825470 \h </w:instrText>
        </w:r>
        <w:r w:rsidRPr="73FC66DE">
          <w:rPr>
            <w:noProof/>
          </w:rPr>
        </w:r>
        <w:r w:rsidRPr="73FC66DE">
          <w:rPr>
            <w:noProof/>
          </w:rPr>
          <w:fldChar w:fldCharType="separate"/>
        </w:r>
        <w:r w:rsidR="005843E4">
          <w:rPr>
            <w:noProof/>
          </w:rPr>
          <w:t>19</w:t>
        </w:r>
        <w:r w:rsidRPr="73FC66DE">
          <w:rPr>
            <w:noProof/>
          </w:rPr>
          <w:fldChar w:fldCharType="end"/>
        </w:r>
      </w:hyperlink>
    </w:p>
    <w:p w14:paraId="4026EC80" w14:textId="03A8EC76" w:rsidR="001E4BEB" w:rsidRDefault="001E4BEB" w:rsidP="73FC66DE">
      <w:pPr>
        <w:pStyle w:val="TOC2"/>
        <w:rPr>
          <w:rFonts w:asciiTheme="minorHAnsi" w:hAnsiTheme="minorHAnsi"/>
          <w:sz w:val="24"/>
          <w:szCs w:val="24"/>
        </w:rPr>
      </w:pPr>
      <w:hyperlink w:anchor="_Toc184825471">
        <w:r w:rsidRPr="73FC66DE">
          <w:rPr>
            <w:rStyle w:val="Hyperlink"/>
          </w:rPr>
          <w:t>New Zealand’s climate approach</w:t>
        </w:r>
        <w:r>
          <w:tab/>
        </w:r>
        <w:r>
          <w:fldChar w:fldCharType="begin"/>
        </w:r>
        <w:r>
          <w:instrText xml:space="preserve"> PAGEREF _Toc184825471 \h </w:instrText>
        </w:r>
        <w:r>
          <w:fldChar w:fldCharType="separate"/>
        </w:r>
        <w:r w:rsidR="005843E4">
          <w:t>19</w:t>
        </w:r>
        <w:r>
          <w:fldChar w:fldCharType="end"/>
        </w:r>
      </w:hyperlink>
    </w:p>
    <w:p w14:paraId="1C8EEE3B" w14:textId="20BDF0F4" w:rsidR="001E4BEB" w:rsidRDefault="001E4BEB" w:rsidP="73FC66DE">
      <w:pPr>
        <w:pStyle w:val="TOC2"/>
        <w:rPr>
          <w:rFonts w:asciiTheme="minorHAnsi" w:hAnsiTheme="minorHAnsi"/>
          <w:sz w:val="24"/>
          <w:szCs w:val="24"/>
        </w:rPr>
      </w:pPr>
      <w:hyperlink w:anchor="_Toc184825472">
        <w:r w:rsidRPr="73FC66DE">
          <w:rPr>
            <w:rStyle w:val="Hyperlink"/>
          </w:rPr>
          <w:t>Domestic emissions reductions</w:t>
        </w:r>
        <w:r>
          <w:tab/>
        </w:r>
        <w:r>
          <w:fldChar w:fldCharType="begin"/>
        </w:r>
        <w:r>
          <w:instrText xml:space="preserve"> PAGEREF _Toc184825472 \h </w:instrText>
        </w:r>
        <w:r>
          <w:fldChar w:fldCharType="separate"/>
        </w:r>
        <w:r w:rsidR="005843E4">
          <w:t>20</w:t>
        </w:r>
        <w:r>
          <w:fldChar w:fldCharType="end"/>
        </w:r>
      </w:hyperlink>
    </w:p>
    <w:p w14:paraId="5BFCEB39" w14:textId="4F881BB9" w:rsidR="001E4BEB" w:rsidRDefault="001E4BEB" w:rsidP="73FC66DE">
      <w:pPr>
        <w:pStyle w:val="TOC2"/>
        <w:rPr>
          <w:rFonts w:asciiTheme="minorHAnsi" w:hAnsiTheme="minorHAnsi"/>
          <w:sz w:val="24"/>
          <w:szCs w:val="24"/>
        </w:rPr>
      </w:pPr>
      <w:hyperlink w:anchor="_Toc184825473">
        <w:r w:rsidRPr="73FC66DE">
          <w:rPr>
            <w:rStyle w:val="Hyperlink"/>
          </w:rPr>
          <w:t>Impacts and adaptation</w:t>
        </w:r>
        <w:r>
          <w:tab/>
        </w:r>
        <w:r>
          <w:fldChar w:fldCharType="begin"/>
        </w:r>
        <w:r>
          <w:instrText xml:space="preserve"> PAGEREF _Toc184825473 \h </w:instrText>
        </w:r>
        <w:r>
          <w:fldChar w:fldCharType="separate"/>
        </w:r>
        <w:r w:rsidR="005843E4">
          <w:t>20</w:t>
        </w:r>
        <w:r>
          <w:fldChar w:fldCharType="end"/>
        </w:r>
      </w:hyperlink>
    </w:p>
    <w:p w14:paraId="5E3EF474" w14:textId="1172D7A5" w:rsidR="001E4BEB" w:rsidRDefault="001E4BEB" w:rsidP="73FC66DE">
      <w:pPr>
        <w:pStyle w:val="TOC2"/>
        <w:rPr>
          <w:rFonts w:asciiTheme="minorHAnsi" w:hAnsiTheme="minorHAnsi"/>
          <w:sz w:val="24"/>
          <w:szCs w:val="24"/>
        </w:rPr>
      </w:pPr>
      <w:hyperlink w:anchor="_Toc184825474">
        <w:r w:rsidRPr="73FC66DE">
          <w:rPr>
            <w:rStyle w:val="Hyperlink"/>
          </w:rPr>
          <w:t>Progress towards New Zealand’s first Nationally Determined Contribution</w:t>
        </w:r>
        <w:r>
          <w:tab/>
        </w:r>
        <w:r>
          <w:fldChar w:fldCharType="begin"/>
        </w:r>
        <w:r>
          <w:instrText xml:space="preserve"> PAGEREF _Toc184825474 \h </w:instrText>
        </w:r>
        <w:r>
          <w:fldChar w:fldCharType="separate"/>
        </w:r>
        <w:r w:rsidR="005843E4">
          <w:t>20</w:t>
        </w:r>
        <w:r>
          <w:fldChar w:fldCharType="end"/>
        </w:r>
      </w:hyperlink>
    </w:p>
    <w:p w14:paraId="182AC411" w14:textId="6E9D7671" w:rsidR="001E4BEB" w:rsidRDefault="001E4BEB" w:rsidP="73FC66DE">
      <w:pPr>
        <w:pStyle w:val="TOC2"/>
        <w:rPr>
          <w:rFonts w:asciiTheme="minorHAnsi" w:hAnsiTheme="minorHAnsi"/>
          <w:sz w:val="24"/>
          <w:szCs w:val="24"/>
        </w:rPr>
      </w:pPr>
      <w:hyperlink w:anchor="_Toc184825475">
        <w:r w:rsidRPr="73FC66DE">
          <w:rPr>
            <w:rStyle w:val="Hyperlink"/>
          </w:rPr>
          <w:t>Support for developing countries</w:t>
        </w:r>
        <w:r>
          <w:tab/>
        </w:r>
        <w:r>
          <w:fldChar w:fldCharType="begin"/>
        </w:r>
        <w:r>
          <w:instrText xml:space="preserve"> PAGEREF _Toc184825475 \h </w:instrText>
        </w:r>
        <w:r>
          <w:fldChar w:fldCharType="separate"/>
        </w:r>
        <w:r w:rsidR="005843E4">
          <w:t>21</w:t>
        </w:r>
        <w:r>
          <w:fldChar w:fldCharType="end"/>
        </w:r>
      </w:hyperlink>
    </w:p>
    <w:p w14:paraId="1D58FFFC" w14:textId="068132C8" w:rsidR="001E4BEB" w:rsidRDefault="001E4BEB" w:rsidP="00B01984">
      <w:pPr>
        <w:pStyle w:val="TOC1"/>
        <w:ind w:left="993" w:hanging="993"/>
        <w:rPr>
          <w:rFonts w:asciiTheme="minorHAnsi" w:hAnsiTheme="minorHAnsi"/>
          <w:noProof/>
          <w:sz w:val="24"/>
        </w:rPr>
      </w:pPr>
      <w:hyperlink w:anchor="_Toc184825476">
        <w:r w:rsidRPr="73FC66DE">
          <w:rPr>
            <w:rStyle w:val="Hyperlink"/>
            <w:noProof/>
          </w:rPr>
          <w:t>Chapter 1  National inventory report of anthropogenic emissions by sources and removals by sinks of greenhouse gases</w:t>
        </w:r>
        <w:r>
          <w:rPr>
            <w:noProof/>
          </w:rPr>
          <w:tab/>
        </w:r>
        <w:r w:rsidRPr="73FC66DE">
          <w:rPr>
            <w:noProof/>
          </w:rPr>
          <w:fldChar w:fldCharType="begin"/>
        </w:r>
        <w:r w:rsidRPr="73FC66DE">
          <w:rPr>
            <w:noProof/>
          </w:rPr>
          <w:instrText xml:space="preserve"> PAGEREF _Toc184825476 \h </w:instrText>
        </w:r>
        <w:r w:rsidRPr="73FC66DE">
          <w:rPr>
            <w:noProof/>
          </w:rPr>
        </w:r>
        <w:r w:rsidRPr="73FC66DE">
          <w:rPr>
            <w:noProof/>
          </w:rPr>
          <w:fldChar w:fldCharType="separate"/>
        </w:r>
        <w:r w:rsidR="005843E4">
          <w:rPr>
            <w:noProof/>
          </w:rPr>
          <w:t>22</w:t>
        </w:r>
        <w:r w:rsidRPr="73FC66DE">
          <w:rPr>
            <w:noProof/>
          </w:rPr>
          <w:fldChar w:fldCharType="end"/>
        </w:r>
      </w:hyperlink>
    </w:p>
    <w:p w14:paraId="04AB0D6E" w14:textId="1CC7AD41" w:rsidR="001E4BEB" w:rsidRDefault="001E4BEB" w:rsidP="73FC66DE">
      <w:pPr>
        <w:pStyle w:val="TOC2"/>
        <w:rPr>
          <w:rFonts w:asciiTheme="minorHAnsi" w:hAnsiTheme="minorHAnsi"/>
          <w:sz w:val="24"/>
          <w:szCs w:val="24"/>
        </w:rPr>
      </w:pPr>
      <w:hyperlink w:anchor="_Toc184825477">
        <w:r w:rsidRPr="73FC66DE">
          <w:rPr>
            <w:rStyle w:val="Hyperlink"/>
          </w:rPr>
          <w:t>Key messages</w:t>
        </w:r>
        <w:r>
          <w:tab/>
        </w:r>
        <w:r>
          <w:fldChar w:fldCharType="begin"/>
        </w:r>
        <w:r>
          <w:instrText xml:space="preserve"> PAGEREF _Toc184825477 \h </w:instrText>
        </w:r>
        <w:r>
          <w:fldChar w:fldCharType="separate"/>
        </w:r>
        <w:r w:rsidR="005843E4">
          <w:t>23</w:t>
        </w:r>
        <w:r>
          <w:fldChar w:fldCharType="end"/>
        </w:r>
      </w:hyperlink>
    </w:p>
    <w:p w14:paraId="60637EC1" w14:textId="61CFD43C" w:rsidR="001E4BEB" w:rsidRDefault="001E4BEB" w:rsidP="73FC66DE">
      <w:pPr>
        <w:pStyle w:val="TOC2"/>
        <w:tabs>
          <w:tab w:val="left" w:pos="1247"/>
        </w:tabs>
        <w:rPr>
          <w:rFonts w:asciiTheme="minorHAnsi" w:hAnsiTheme="minorHAnsi"/>
          <w:sz w:val="24"/>
          <w:szCs w:val="24"/>
        </w:rPr>
      </w:pPr>
      <w:hyperlink w:anchor="_Toc184825478">
        <w:r w:rsidRPr="73FC66DE">
          <w:rPr>
            <w:rStyle w:val="Hyperlink"/>
          </w:rPr>
          <w:t>1.1</w:t>
        </w:r>
        <w:r>
          <w:tab/>
        </w:r>
        <w:r w:rsidRPr="73FC66DE">
          <w:rPr>
            <w:rStyle w:val="Hyperlink"/>
          </w:rPr>
          <w:t>Introduction</w:t>
        </w:r>
        <w:r>
          <w:tab/>
        </w:r>
        <w:r>
          <w:fldChar w:fldCharType="begin"/>
        </w:r>
        <w:r>
          <w:instrText xml:space="preserve"> PAGEREF _Toc184825478 \h </w:instrText>
        </w:r>
        <w:r>
          <w:fldChar w:fldCharType="separate"/>
        </w:r>
        <w:r w:rsidR="005843E4">
          <w:t>23</w:t>
        </w:r>
        <w:r>
          <w:fldChar w:fldCharType="end"/>
        </w:r>
      </w:hyperlink>
    </w:p>
    <w:p w14:paraId="2C65B3D8" w14:textId="1B50441E" w:rsidR="001E4BEB" w:rsidRDefault="001E4BEB" w:rsidP="73FC66DE">
      <w:pPr>
        <w:pStyle w:val="TOC2"/>
        <w:tabs>
          <w:tab w:val="left" w:pos="1247"/>
        </w:tabs>
        <w:rPr>
          <w:rFonts w:asciiTheme="minorHAnsi" w:hAnsiTheme="minorHAnsi"/>
          <w:sz w:val="24"/>
          <w:szCs w:val="24"/>
        </w:rPr>
      </w:pPr>
      <w:hyperlink w:anchor="_Toc184825479">
        <w:r w:rsidRPr="73FC66DE">
          <w:rPr>
            <w:rStyle w:val="Hyperlink"/>
          </w:rPr>
          <w:t>1.2</w:t>
        </w:r>
        <w:r>
          <w:tab/>
        </w:r>
        <w:r w:rsidRPr="73FC66DE">
          <w:rPr>
            <w:rStyle w:val="Hyperlink"/>
          </w:rPr>
          <w:t>National greenhouse gas emissions and removals</w:t>
        </w:r>
        <w:r>
          <w:tab/>
        </w:r>
        <w:r>
          <w:fldChar w:fldCharType="begin"/>
        </w:r>
        <w:r>
          <w:instrText xml:space="preserve"> PAGEREF _Toc184825479 \h </w:instrText>
        </w:r>
        <w:r>
          <w:fldChar w:fldCharType="separate"/>
        </w:r>
        <w:r w:rsidR="005843E4">
          <w:t>24</w:t>
        </w:r>
        <w:r>
          <w:fldChar w:fldCharType="end"/>
        </w:r>
      </w:hyperlink>
    </w:p>
    <w:p w14:paraId="508109ED" w14:textId="6FAEEF25" w:rsidR="001E4BEB" w:rsidRDefault="001E4BEB" w:rsidP="00B01984">
      <w:pPr>
        <w:pStyle w:val="TOC1"/>
        <w:tabs>
          <w:tab w:val="clear" w:pos="567"/>
        </w:tabs>
        <w:ind w:left="993" w:hanging="993"/>
        <w:rPr>
          <w:rFonts w:asciiTheme="minorHAnsi" w:hAnsiTheme="minorHAnsi"/>
          <w:noProof/>
          <w:sz w:val="24"/>
        </w:rPr>
      </w:pPr>
      <w:hyperlink w:anchor="_Toc184825480">
        <w:r w:rsidRPr="73FC66DE">
          <w:rPr>
            <w:rStyle w:val="Hyperlink"/>
            <w:noProof/>
          </w:rPr>
          <w:t>Chapter 2  Information necessary to track progress made in implementing and achieving nationally determined contributions under Article 4 of Paris Agreement</w:t>
        </w:r>
        <w:r>
          <w:rPr>
            <w:noProof/>
          </w:rPr>
          <w:tab/>
        </w:r>
        <w:r w:rsidRPr="73FC66DE">
          <w:rPr>
            <w:noProof/>
          </w:rPr>
          <w:fldChar w:fldCharType="begin"/>
        </w:r>
        <w:r w:rsidRPr="73FC66DE">
          <w:rPr>
            <w:noProof/>
          </w:rPr>
          <w:instrText xml:space="preserve"> PAGEREF _Toc184825480 \h </w:instrText>
        </w:r>
        <w:r w:rsidRPr="73FC66DE">
          <w:rPr>
            <w:noProof/>
          </w:rPr>
        </w:r>
        <w:r w:rsidRPr="73FC66DE">
          <w:rPr>
            <w:noProof/>
          </w:rPr>
          <w:fldChar w:fldCharType="separate"/>
        </w:r>
        <w:r w:rsidR="005843E4">
          <w:rPr>
            <w:noProof/>
          </w:rPr>
          <w:t>29</w:t>
        </w:r>
        <w:r w:rsidRPr="73FC66DE">
          <w:rPr>
            <w:noProof/>
          </w:rPr>
          <w:fldChar w:fldCharType="end"/>
        </w:r>
      </w:hyperlink>
    </w:p>
    <w:p w14:paraId="1229477B" w14:textId="5898B9F7" w:rsidR="001E4BEB" w:rsidRDefault="001E4BEB" w:rsidP="73FC66DE">
      <w:pPr>
        <w:pStyle w:val="TOC1"/>
        <w:rPr>
          <w:rFonts w:asciiTheme="minorHAnsi" w:hAnsiTheme="minorHAnsi"/>
          <w:noProof/>
          <w:sz w:val="24"/>
        </w:rPr>
      </w:pPr>
      <w:hyperlink w:anchor="_Toc184825481">
        <w:r w:rsidRPr="73FC66DE">
          <w:rPr>
            <w:rStyle w:val="Hyperlink"/>
            <w:noProof/>
          </w:rPr>
          <w:t>2.1</w:t>
        </w:r>
        <w:r>
          <w:rPr>
            <w:noProof/>
          </w:rPr>
          <w:tab/>
        </w:r>
        <w:r w:rsidRPr="73FC66DE">
          <w:rPr>
            <w:rStyle w:val="Hyperlink"/>
            <w:noProof/>
          </w:rPr>
          <w:t>National circumstances and institutional arrangements</w:t>
        </w:r>
        <w:r>
          <w:rPr>
            <w:noProof/>
          </w:rPr>
          <w:tab/>
        </w:r>
        <w:r w:rsidRPr="73FC66DE">
          <w:rPr>
            <w:noProof/>
          </w:rPr>
          <w:fldChar w:fldCharType="begin"/>
        </w:r>
        <w:r w:rsidRPr="73FC66DE">
          <w:rPr>
            <w:noProof/>
          </w:rPr>
          <w:instrText xml:space="preserve"> PAGEREF _Toc184825481 \h </w:instrText>
        </w:r>
        <w:r w:rsidRPr="73FC66DE">
          <w:rPr>
            <w:noProof/>
          </w:rPr>
        </w:r>
        <w:r w:rsidRPr="73FC66DE">
          <w:rPr>
            <w:noProof/>
          </w:rPr>
          <w:fldChar w:fldCharType="separate"/>
        </w:r>
        <w:r w:rsidR="005843E4">
          <w:rPr>
            <w:noProof/>
          </w:rPr>
          <w:t>30</w:t>
        </w:r>
        <w:r w:rsidRPr="73FC66DE">
          <w:rPr>
            <w:noProof/>
          </w:rPr>
          <w:fldChar w:fldCharType="end"/>
        </w:r>
      </w:hyperlink>
    </w:p>
    <w:p w14:paraId="43AE5687" w14:textId="3ACE59BD" w:rsidR="001E4BEB" w:rsidRDefault="001E4BEB" w:rsidP="73FC66DE">
      <w:pPr>
        <w:pStyle w:val="TOC2"/>
        <w:rPr>
          <w:rFonts w:asciiTheme="minorHAnsi" w:hAnsiTheme="minorHAnsi"/>
          <w:sz w:val="24"/>
          <w:szCs w:val="24"/>
        </w:rPr>
      </w:pPr>
      <w:hyperlink w:anchor="_Toc184825482">
        <w:r w:rsidRPr="73FC66DE">
          <w:rPr>
            <w:rStyle w:val="Hyperlink"/>
          </w:rPr>
          <w:t>Key messages</w:t>
        </w:r>
        <w:r>
          <w:tab/>
        </w:r>
        <w:r>
          <w:fldChar w:fldCharType="begin"/>
        </w:r>
        <w:r>
          <w:instrText xml:space="preserve"> PAGEREF _Toc184825482 \h </w:instrText>
        </w:r>
        <w:r>
          <w:fldChar w:fldCharType="separate"/>
        </w:r>
        <w:r w:rsidR="005843E4">
          <w:t>30</w:t>
        </w:r>
        <w:r>
          <w:fldChar w:fldCharType="end"/>
        </w:r>
      </w:hyperlink>
    </w:p>
    <w:p w14:paraId="2351AFD3" w14:textId="7D92BCFC" w:rsidR="001E4BEB" w:rsidRDefault="001E4BEB" w:rsidP="73FC66DE">
      <w:pPr>
        <w:pStyle w:val="TOC2"/>
        <w:tabs>
          <w:tab w:val="left" w:pos="1985"/>
        </w:tabs>
        <w:rPr>
          <w:rFonts w:asciiTheme="minorHAnsi" w:hAnsiTheme="minorHAnsi"/>
          <w:sz w:val="24"/>
          <w:szCs w:val="24"/>
        </w:rPr>
      </w:pPr>
      <w:hyperlink w:anchor="_Toc184825483">
        <w:r w:rsidRPr="73FC66DE">
          <w:rPr>
            <w:rStyle w:val="Hyperlink"/>
          </w:rPr>
          <w:t>2.1.1</w:t>
        </w:r>
        <w:r>
          <w:tab/>
        </w:r>
        <w:r w:rsidRPr="73FC66DE">
          <w:rPr>
            <w:rStyle w:val="Hyperlink"/>
          </w:rPr>
          <w:t>Government structure</w:t>
        </w:r>
        <w:r>
          <w:tab/>
        </w:r>
        <w:r>
          <w:fldChar w:fldCharType="begin"/>
        </w:r>
        <w:r>
          <w:instrText xml:space="preserve"> PAGEREF _Toc184825483 \h </w:instrText>
        </w:r>
        <w:r>
          <w:fldChar w:fldCharType="separate"/>
        </w:r>
        <w:r w:rsidR="005843E4">
          <w:t>30</w:t>
        </w:r>
        <w:r>
          <w:fldChar w:fldCharType="end"/>
        </w:r>
      </w:hyperlink>
    </w:p>
    <w:p w14:paraId="360E8213" w14:textId="332FB14C" w:rsidR="001E4BEB" w:rsidRDefault="001E4BEB" w:rsidP="73FC66DE">
      <w:pPr>
        <w:pStyle w:val="TOC2"/>
        <w:tabs>
          <w:tab w:val="left" w:pos="1985"/>
        </w:tabs>
        <w:rPr>
          <w:rFonts w:asciiTheme="minorHAnsi" w:hAnsiTheme="minorHAnsi"/>
          <w:sz w:val="24"/>
          <w:szCs w:val="24"/>
        </w:rPr>
      </w:pPr>
      <w:hyperlink w:anchor="_Toc184825484">
        <w:r w:rsidRPr="73FC66DE">
          <w:rPr>
            <w:rStyle w:val="Hyperlink"/>
          </w:rPr>
          <w:t>2.1.2</w:t>
        </w:r>
        <w:r>
          <w:tab/>
        </w:r>
        <w:r w:rsidRPr="73FC66DE">
          <w:rPr>
            <w:rStyle w:val="Hyperlink"/>
          </w:rPr>
          <w:t>Population profile</w:t>
        </w:r>
        <w:r>
          <w:tab/>
        </w:r>
        <w:r>
          <w:fldChar w:fldCharType="begin"/>
        </w:r>
        <w:r>
          <w:instrText xml:space="preserve"> PAGEREF _Toc184825484 \h </w:instrText>
        </w:r>
        <w:r>
          <w:fldChar w:fldCharType="separate"/>
        </w:r>
        <w:r w:rsidR="005843E4">
          <w:t>33</w:t>
        </w:r>
        <w:r>
          <w:fldChar w:fldCharType="end"/>
        </w:r>
      </w:hyperlink>
    </w:p>
    <w:p w14:paraId="44D22936" w14:textId="7DA102E9" w:rsidR="001E4BEB" w:rsidRDefault="001E4BEB" w:rsidP="73FC66DE">
      <w:pPr>
        <w:pStyle w:val="TOC2"/>
        <w:tabs>
          <w:tab w:val="left" w:pos="1985"/>
        </w:tabs>
        <w:rPr>
          <w:rFonts w:asciiTheme="minorHAnsi" w:hAnsiTheme="minorHAnsi"/>
          <w:sz w:val="24"/>
          <w:szCs w:val="24"/>
        </w:rPr>
      </w:pPr>
      <w:hyperlink w:anchor="_Toc184825485">
        <w:r w:rsidRPr="73FC66DE">
          <w:rPr>
            <w:rStyle w:val="Hyperlink"/>
          </w:rPr>
          <w:t>2.1.3</w:t>
        </w:r>
        <w:r>
          <w:tab/>
        </w:r>
        <w:r w:rsidRPr="73FC66DE">
          <w:rPr>
            <w:rStyle w:val="Hyperlink"/>
          </w:rPr>
          <w:t>Geographical profile</w:t>
        </w:r>
        <w:r>
          <w:tab/>
        </w:r>
        <w:r>
          <w:fldChar w:fldCharType="begin"/>
        </w:r>
        <w:r>
          <w:instrText xml:space="preserve"> PAGEREF _Toc184825485 \h </w:instrText>
        </w:r>
        <w:r>
          <w:fldChar w:fldCharType="separate"/>
        </w:r>
        <w:r w:rsidR="005843E4">
          <w:t>33</w:t>
        </w:r>
        <w:r>
          <w:fldChar w:fldCharType="end"/>
        </w:r>
      </w:hyperlink>
    </w:p>
    <w:p w14:paraId="0147C88D" w14:textId="15B4E759" w:rsidR="001E4BEB" w:rsidRDefault="001E4BEB" w:rsidP="73FC66DE">
      <w:pPr>
        <w:pStyle w:val="TOC2"/>
        <w:tabs>
          <w:tab w:val="left" w:pos="1985"/>
        </w:tabs>
        <w:rPr>
          <w:rFonts w:asciiTheme="minorHAnsi" w:hAnsiTheme="minorHAnsi"/>
          <w:sz w:val="24"/>
          <w:szCs w:val="24"/>
        </w:rPr>
      </w:pPr>
      <w:hyperlink w:anchor="_Toc184825486">
        <w:r w:rsidRPr="73FC66DE">
          <w:rPr>
            <w:rStyle w:val="Hyperlink"/>
          </w:rPr>
          <w:t>2.1.4</w:t>
        </w:r>
        <w:r>
          <w:tab/>
        </w:r>
        <w:r w:rsidRPr="73FC66DE">
          <w:rPr>
            <w:rStyle w:val="Hyperlink"/>
          </w:rPr>
          <w:t>Economic profile</w:t>
        </w:r>
        <w:r>
          <w:tab/>
        </w:r>
        <w:r>
          <w:fldChar w:fldCharType="begin"/>
        </w:r>
        <w:r>
          <w:instrText xml:space="preserve"> PAGEREF _Toc184825486 \h </w:instrText>
        </w:r>
        <w:r>
          <w:fldChar w:fldCharType="separate"/>
        </w:r>
        <w:r w:rsidR="005843E4">
          <w:t>34</w:t>
        </w:r>
        <w:r>
          <w:fldChar w:fldCharType="end"/>
        </w:r>
      </w:hyperlink>
    </w:p>
    <w:p w14:paraId="7AB4C3D5" w14:textId="43381E9F" w:rsidR="001E4BEB" w:rsidRDefault="001E4BEB" w:rsidP="73FC66DE">
      <w:pPr>
        <w:pStyle w:val="TOC2"/>
        <w:tabs>
          <w:tab w:val="left" w:pos="1985"/>
        </w:tabs>
        <w:rPr>
          <w:rFonts w:asciiTheme="minorHAnsi" w:hAnsiTheme="minorHAnsi"/>
          <w:sz w:val="24"/>
          <w:szCs w:val="24"/>
        </w:rPr>
      </w:pPr>
      <w:hyperlink w:anchor="_Toc184825487">
        <w:r w:rsidRPr="73FC66DE">
          <w:rPr>
            <w:rStyle w:val="Hyperlink"/>
          </w:rPr>
          <w:t>2.1.5</w:t>
        </w:r>
        <w:r>
          <w:tab/>
        </w:r>
        <w:r w:rsidRPr="73FC66DE">
          <w:rPr>
            <w:rStyle w:val="Hyperlink"/>
          </w:rPr>
          <w:t>Climate profile</w:t>
        </w:r>
        <w:r>
          <w:tab/>
        </w:r>
        <w:r>
          <w:fldChar w:fldCharType="begin"/>
        </w:r>
        <w:r>
          <w:instrText xml:space="preserve"> PAGEREF _Toc184825487 \h </w:instrText>
        </w:r>
        <w:r>
          <w:fldChar w:fldCharType="separate"/>
        </w:r>
        <w:r w:rsidR="005843E4">
          <w:t>36</w:t>
        </w:r>
        <w:r>
          <w:fldChar w:fldCharType="end"/>
        </w:r>
      </w:hyperlink>
    </w:p>
    <w:p w14:paraId="53094319" w14:textId="00F2A5C4" w:rsidR="001E4BEB" w:rsidRDefault="001E4BEB" w:rsidP="73FC66DE">
      <w:pPr>
        <w:pStyle w:val="TOC2"/>
        <w:tabs>
          <w:tab w:val="left" w:pos="1985"/>
        </w:tabs>
        <w:rPr>
          <w:rFonts w:asciiTheme="minorHAnsi" w:hAnsiTheme="minorHAnsi"/>
          <w:sz w:val="24"/>
          <w:szCs w:val="24"/>
        </w:rPr>
      </w:pPr>
      <w:hyperlink w:anchor="_Toc184825488">
        <w:r w:rsidRPr="73FC66DE">
          <w:rPr>
            <w:rStyle w:val="Hyperlink"/>
          </w:rPr>
          <w:t>2.1.6</w:t>
        </w:r>
        <w:r>
          <w:tab/>
        </w:r>
        <w:r w:rsidRPr="73FC66DE">
          <w:rPr>
            <w:rStyle w:val="Hyperlink"/>
          </w:rPr>
          <w:t>Sector details</w:t>
        </w:r>
        <w:r>
          <w:tab/>
        </w:r>
        <w:r>
          <w:fldChar w:fldCharType="begin"/>
        </w:r>
        <w:r>
          <w:instrText xml:space="preserve"> PAGEREF _Toc184825488 \h </w:instrText>
        </w:r>
        <w:r>
          <w:fldChar w:fldCharType="separate"/>
        </w:r>
        <w:r w:rsidR="005843E4">
          <w:t>38</w:t>
        </w:r>
        <w:r>
          <w:fldChar w:fldCharType="end"/>
        </w:r>
      </w:hyperlink>
    </w:p>
    <w:p w14:paraId="422242E0" w14:textId="3722085B" w:rsidR="001E4BEB" w:rsidRDefault="001E4BEB" w:rsidP="73FC66DE">
      <w:pPr>
        <w:pStyle w:val="TOC2"/>
        <w:tabs>
          <w:tab w:val="left" w:pos="1985"/>
        </w:tabs>
        <w:rPr>
          <w:rFonts w:asciiTheme="minorHAnsi" w:hAnsiTheme="minorHAnsi"/>
          <w:sz w:val="24"/>
          <w:szCs w:val="24"/>
        </w:rPr>
      </w:pPr>
      <w:hyperlink w:anchor="_Toc184825489">
        <w:r w:rsidRPr="73FC66DE">
          <w:rPr>
            <w:rStyle w:val="Hyperlink"/>
          </w:rPr>
          <w:t>2.1.7</w:t>
        </w:r>
        <w:r>
          <w:tab/>
        </w:r>
        <w:r w:rsidRPr="73FC66DE">
          <w:rPr>
            <w:rStyle w:val="Hyperlink"/>
          </w:rPr>
          <w:t>Tokelau</w:t>
        </w:r>
        <w:r>
          <w:tab/>
        </w:r>
        <w:r w:rsidR="0002278E">
          <w:tab/>
        </w:r>
        <w:r>
          <w:fldChar w:fldCharType="begin"/>
        </w:r>
        <w:r>
          <w:instrText xml:space="preserve"> PAGEREF _Toc184825489 \h </w:instrText>
        </w:r>
        <w:r>
          <w:fldChar w:fldCharType="separate"/>
        </w:r>
        <w:r w:rsidR="005843E4">
          <w:t>53</w:t>
        </w:r>
        <w:r>
          <w:fldChar w:fldCharType="end"/>
        </w:r>
      </w:hyperlink>
    </w:p>
    <w:p w14:paraId="24ACF7CB" w14:textId="443E1892" w:rsidR="001E4BEB" w:rsidRDefault="001E4BEB" w:rsidP="73FC66DE">
      <w:pPr>
        <w:pStyle w:val="TOC2"/>
        <w:tabs>
          <w:tab w:val="left" w:pos="1985"/>
        </w:tabs>
        <w:rPr>
          <w:rFonts w:asciiTheme="minorHAnsi" w:hAnsiTheme="minorHAnsi"/>
          <w:sz w:val="24"/>
          <w:szCs w:val="24"/>
        </w:rPr>
      </w:pPr>
      <w:hyperlink w:anchor="_Toc184825490">
        <w:r w:rsidRPr="73FC66DE">
          <w:rPr>
            <w:rStyle w:val="Hyperlink"/>
          </w:rPr>
          <w:t>2.1.8</w:t>
        </w:r>
        <w:r>
          <w:tab/>
        </w:r>
        <w:r w:rsidRPr="73FC66DE">
          <w:rPr>
            <w:rStyle w:val="Hyperlink"/>
          </w:rPr>
          <w:t>Institutional arrangements</w:t>
        </w:r>
        <w:r>
          <w:tab/>
        </w:r>
        <w:r>
          <w:fldChar w:fldCharType="begin"/>
        </w:r>
        <w:r>
          <w:instrText xml:space="preserve"> PAGEREF _Toc184825490 \h </w:instrText>
        </w:r>
        <w:r>
          <w:fldChar w:fldCharType="separate"/>
        </w:r>
        <w:r w:rsidR="005843E4">
          <w:t>57</w:t>
        </w:r>
        <w:r>
          <w:fldChar w:fldCharType="end"/>
        </w:r>
      </w:hyperlink>
    </w:p>
    <w:p w14:paraId="6B817CAB" w14:textId="73932B64" w:rsidR="001E4BEB" w:rsidRDefault="001E4BEB" w:rsidP="73FC66DE">
      <w:pPr>
        <w:pStyle w:val="TOC2"/>
        <w:tabs>
          <w:tab w:val="left" w:pos="1985"/>
        </w:tabs>
        <w:rPr>
          <w:rFonts w:asciiTheme="minorHAnsi" w:hAnsiTheme="minorHAnsi"/>
          <w:sz w:val="24"/>
          <w:szCs w:val="24"/>
        </w:rPr>
      </w:pPr>
      <w:hyperlink w:anchor="_Toc184825491">
        <w:r w:rsidRPr="73FC66DE">
          <w:rPr>
            <w:rStyle w:val="Hyperlink"/>
          </w:rPr>
          <w:t>2.1.9</w:t>
        </w:r>
        <w:r>
          <w:tab/>
        </w:r>
        <w:r w:rsidRPr="73FC66DE">
          <w:rPr>
            <w:rStyle w:val="Hyperlink"/>
          </w:rPr>
          <w:t>Legal, institutional, administrative and procedural arrangements for domestic implementation, monitoring, reporting, archiving of information and stakeholder engagement related to the implementation and achievement of its nationally determined contribution</w:t>
        </w:r>
        <w:r>
          <w:tab/>
        </w:r>
        <w:r>
          <w:fldChar w:fldCharType="begin"/>
        </w:r>
        <w:r>
          <w:instrText xml:space="preserve"> PAGEREF _Toc184825491 \h </w:instrText>
        </w:r>
        <w:r>
          <w:fldChar w:fldCharType="separate"/>
        </w:r>
        <w:r w:rsidR="005843E4">
          <w:t>62</w:t>
        </w:r>
        <w:r>
          <w:fldChar w:fldCharType="end"/>
        </w:r>
      </w:hyperlink>
    </w:p>
    <w:p w14:paraId="66086330" w14:textId="1222AEA5" w:rsidR="001E4BEB" w:rsidRDefault="001E4BEB" w:rsidP="73FC66DE">
      <w:pPr>
        <w:pStyle w:val="TOC1"/>
        <w:rPr>
          <w:rFonts w:asciiTheme="minorHAnsi" w:hAnsiTheme="minorHAnsi"/>
          <w:noProof/>
          <w:sz w:val="24"/>
        </w:rPr>
      </w:pPr>
      <w:hyperlink w:anchor="_Toc184825492">
        <w:r w:rsidRPr="73FC66DE">
          <w:rPr>
            <w:rStyle w:val="Hyperlink"/>
            <w:noProof/>
          </w:rPr>
          <w:t>2.2</w:t>
        </w:r>
        <w:r>
          <w:rPr>
            <w:noProof/>
          </w:rPr>
          <w:tab/>
        </w:r>
        <w:r w:rsidRPr="73FC66DE">
          <w:rPr>
            <w:rStyle w:val="Hyperlink"/>
            <w:noProof/>
          </w:rPr>
          <w:t>Description of a Party’s nationally determined contribution</w:t>
        </w:r>
        <w:r>
          <w:rPr>
            <w:noProof/>
          </w:rPr>
          <w:tab/>
        </w:r>
        <w:r w:rsidRPr="73FC66DE">
          <w:rPr>
            <w:noProof/>
          </w:rPr>
          <w:fldChar w:fldCharType="begin"/>
        </w:r>
        <w:r w:rsidRPr="73FC66DE">
          <w:rPr>
            <w:noProof/>
          </w:rPr>
          <w:instrText xml:space="preserve"> PAGEREF _Toc184825492 \h </w:instrText>
        </w:r>
        <w:r w:rsidRPr="73FC66DE">
          <w:rPr>
            <w:noProof/>
          </w:rPr>
        </w:r>
        <w:r w:rsidRPr="73FC66DE">
          <w:rPr>
            <w:noProof/>
          </w:rPr>
          <w:fldChar w:fldCharType="separate"/>
        </w:r>
        <w:r w:rsidR="005843E4">
          <w:rPr>
            <w:noProof/>
          </w:rPr>
          <w:t>64</w:t>
        </w:r>
        <w:r w:rsidRPr="73FC66DE">
          <w:rPr>
            <w:noProof/>
          </w:rPr>
          <w:fldChar w:fldCharType="end"/>
        </w:r>
      </w:hyperlink>
    </w:p>
    <w:p w14:paraId="190C2527" w14:textId="304C0944" w:rsidR="001E4BEB" w:rsidRDefault="001E4BEB" w:rsidP="73FC66DE">
      <w:pPr>
        <w:pStyle w:val="TOC2"/>
        <w:rPr>
          <w:rFonts w:asciiTheme="minorHAnsi" w:hAnsiTheme="minorHAnsi"/>
          <w:sz w:val="24"/>
          <w:szCs w:val="24"/>
        </w:rPr>
      </w:pPr>
      <w:hyperlink w:anchor="_Toc184825493">
        <w:r w:rsidRPr="73FC66DE">
          <w:rPr>
            <w:rStyle w:val="Hyperlink"/>
          </w:rPr>
          <w:t>Key messages</w:t>
        </w:r>
        <w:r>
          <w:tab/>
        </w:r>
        <w:r>
          <w:fldChar w:fldCharType="begin"/>
        </w:r>
        <w:r>
          <w:instrText xml:space="preserve"> PAGEREF _Toc184825493 \h </w:instrText>
        </w:r>
        <w:r>
          <w:fldChar w:fldCharType="separate"/>
        </w:r>
        <w:r w:rsidR="005843E4">
          <w:t>64</w:t>
        </w:r>
        <w:r>
          <w:fldChar w:fldCharType="end"/>
        </w:r>
      </w:hyperlink>
    </w:p>
    <w:p w14:paraId="7AEE4953" w14:textId="23FB11AB" w:rsidR="0052638F" w:rsidRDefault="001E4BEB" w:rsidP="73FC66DE">
      <w:pPr>
        <w:pStyle w:val="TOC2"/>
        <w:tabs>
          <w:tab w:val="left" w:pos="1985"/>
        </w:tabs>
      </w:pPr>
      <w:hyperlink w:anchor="_Toc184825494">
        <w:r w:rsidRPr="73FC66DE">
          <w:rPr>
            <w:rStyle w:val="Hyperlink"/>
          </w:rPr>
          <w:t>2.2.1</w:t>
        </w:r>
        <w:r>
          <w:tab/>
        </w:r>
        <w:r w:rsidRPr="73FC66DE">
          <w:rPr>
            <w:rStyle w:val="Hyperlink"/>
          </w:rPr>
          <w:t>Introduction</w:t>
        </w:r>
        <w:r>
          <w:tab/>
        </w:r>
        <w:r>
          <w:fldChar w:fldCharType="begin"/>
        </w:r>
        <w:r>
          <w:instrText xml:space="preserve"> PAGEREF _Toc184825494 \h </w:instrText>
        </w:r>
        <w:r>
          <w:fldChar w:fldCharType="separate"/>
        </w:r>
        <w:r w:rsidR="005843E4">
          <w:t>64</w:t>
        </w:r>
        <w:r>
          <w:fldChar w:fldCharType="end"/>
        </w:r>
      </w:hyperlink>
    </w:p>
    <w:p w14:paraId="78FAC327" w14:textId="77777777" w:rsidR="0052638F" w:rsidRDefault="0052638F">
      <w:pPr>
        <w:spacing w:before="0" w:after="200" w:line="276" w:lineRule="auto"/>
        <w:jc w:val="left"/>
        <w:rPr>
          <w:noProof/>
        </w:rPr>
      </w:pPr>
      <w:r>
        <w:rPr>
          <w:noProof/>
        </w:rPr>
        <w:br w:type="page"/>
      </w:r>
    </w:p>
    <w:p w14:paraId="1C455103" w14:textId="776A8D13" w:rsidR="001E4BEB" w:rsidRDefault="001E4BEB" w:rsidP="008340CA">
      <w:pPr>
        <w:pStyle w:val="TOC1"/>
        <w:ind w:left="567" w:hanging="567"/>
        <w:rPr>
          <w:rFonts w:asciiTheme="minorHAnsi" w:hAnsiTheme="minorHAnsi"/>
          <w:noProof/>
          <w:sz w:val="24"/>
        </w:rPr>
      </w:pPr>
      <w:hyperlink w:anchor="_Toc184825495">
        <w:r w:rsidRPr="73FC66DE">
          <w:rPr>
            <w:rStyle w:val="Hyperlink"/>
            <w:noProof/>
          </w:rPr>
          <w:t>2.3</w:t>
        </w:r>
        <w:r>
          <w:rPr>
            <w:noProof/>
          </w:rPr>
          <w:tab/>
        </w:r>
        <w:r w:rsidRPr="73FC66DE">
          <w:rPr>
            <w:rStyle w:val="Hyperlink"/>
            <w:noProof/>
          </w:rPr>
          <w:t>Information necessary to track progress made in implementing and achieving nationally determined contributions</w:t>
        </w:r>
        <w:r>
          <w:rPr>
            <w:noProof/>
          </w:rPr>
          <w:tab/>
        </w:r>
        <w:r w:rsidRPr="73FC66DE">
          <w:rPr>
            <w:noProof/>
          </w:rPr>
          <w:fldChar w:fldCharType="begin"/>
        </w:r>
        <w:r w:rsidRPr="73FC66DE">
          <w:rPr>
            <w:noProof/>
          </w:rPr>
          <w:instrText xml:space="preserve"> PAGEREF _Toc184825495 \h </w:instrText>
        </w:r>
        <w:r w:rsidRPr="73FC66DE">
          <w:rPr>
            <w:noProof/>
          </w:rPr>
        </w:r>
        <w:r w:rsidRPr="73FC66DE">
          <w:rPr>
            <w:noProof/>
          </w:rPr>
          <w:fldChar w:fldCharType="separate"/>
        </w:r>
        <w:r w:rsidR="005843E4">
          <w:rPr>
            <w:noProof/>
          </w:rPr>
          <w:t>68</w:t>
        </w:r>
        <w:r w:rsidRPr="73FC66DE">
          <w:rPr>
            <w:noProof/>
          </w:rPr>
          <w:fldChar w:fldCharType="end"/>
        </w:r>
      </w:hyperlink>
    </w:p>
    <w:p w14:paraId="4C46637C" w14:textId="65D69513" w:rsidR="001E4BEB" w:rsidRDefault="001E4BEB" w:rsidP="73FC66DE">
      <w:pPr>
        <w:pStyle w:val="TOC2"/>
        <w:rPr>
          <w:rFonts w:asciiTheme="minorHAnsi" w:hAnsiTheme="minorHAnsi"/>
          <w:sz w:val="24"/>
          <w:szCs w:val="24"/>
        </w:rPr>
      </w:pPr>
      <w:hyperlink w:anchor="_Toc184825496">
        <w:r w:rsidRPr="73FC66DE">
          <w:rPr>
            <w:rStyle w:val="Hyperlink"/>
          </w:rPr>
          <w:t>Key messages</w:t>
        </w:r>
        <w:r>
          <w:tab/>
        </w:r>
        <w:r>
          <w:fldChar w:fldCharType="begin"/>
        </w:r>
        <w:r>
          <w:instrText xml:space="preserve"> PAGEREF _Toc184825496 \h </w:instrText>
        </w:r>
        <w:r>
          <w:fldChar w:fldCharType="separate"/>
        </w:r>
        <w:r w:rsidR="005843E4">
          <w:t>68</w:t>
        </w:r>
        <w:r>
          <w:fldChar w:fldCharType="end"/>
        </w:r>
      </w:hyperlink>
    </w:p>
    <w:p w14:paraId="4E77C989" w14:textId="566AD0A5" w:rsidR="001E4BEB" w:rsidRDefault="001E4BEB" w:rsidP="73FC66DE">
      <w:pPr>
        <w:pStyle w:val="TOC2"/>
        <w:tabs>
          <w:tab w:val="left" w:pos="1985"/>
        </w:tabs>
        <w:rPr>
          <w:rFonts w:asciiTheme="minorHAnsi" w:hAnsiTheme="minorHAnsi"/>
          <w:sz w:val="24"/>
          <w:szCs w:val="24"/>
        </w:rPr>
      </w:pPr>
      <w:hyperlink w:anchor="_Toc184825497">
        <w:r w:rsidRPr="73FC66DE">
          <w:rPr>
            <w:rStyle w:val="Hyperlink"/>
          </w:rPr>
          <w:t>2.3.1</w:t>
        </w:r>
        <w:r>
          <w:tab/>
        </w:r>
        <w:r w:rsidRPr="73FC66DE">
          <w:rPr>
            <w:rStyle w:val="Hyperlink"/>
          </w:rPr>
          <w:t>Introduction</w:t>
        </w:r>
        <w:r>
          <w:tab/>
        </w:r>
        <w:r>
          <w:fldChar w:fldCharType="begin"/>
        </w:r>
        <w:r>
          <w:instrText xml:space="preserve"> PAGEREF _Toc184825497 \h </w:instrText>
        </w:r>
        <w:r>
          <w:fldChar w:fldCharType="separate"/>
        </w:r>
        <w:r w:rsidR="005843E4">
          <w:t>69</w:t>
        </w:r>
        <w:r>
          <w:fldChar w:fldCharType="end"/>
        </w:r>
      </w:hyperlink>
    </w:p>
    <w:p w14:paraId="526B4255" w14:textId="70D1442C" w:rsidR="001E4BEB" w:rsidRDefault="001E4BEB" w:rsidP="73FC66DE">
      <w:pPr>
        <w:pStyle w:val="TOC2"/>
        <w:tabs>
          <w:tab w:val="left" w:pos="1985"/>
        </w:tabs>
        <w:rPr>
          <w:rFonts w:asciiTheme="minorHAnsi" w:hAnsiTheme="minorHAnsi"/>
          <w:sz w:val="24"/>
          <w:szCs w:val="24"/>
        </w:rPr>
      </w:pPr>
      <w:hyperlink w:anchor="_Toc184825498">
        <w:r w:rsidRPr="73FC66DE">
          <w:rPr>
            <w:rStyle w:val="Hyperlink"/>
          </w:rPr>
          <w:t>2.3.2</w:t>
        </w:r>
        <w:r>
          <w:tab/>
        </w:r>
        <w:r w:rsidRPr="73FC66DE">
          <w:rPr>
            <w:rStyle w:val="Hyperlink"/>
          </w:rPr>
          <w:t>Progress towards NDC1</w:t>
        </w:r>
        <w:r>
          <w:tab/>
        </w:r>
        <w:r>
          <w:fldChar w:fldCharType="begin"/>
        </w:r>
        <w:r>
          <w:instrText xml:space="preserve"> PAGEREF _Toc184825498 \h </w:instrText>
        </w:r>
        <w:r>
          <w:fldChar w:fldCharType="separate"/>
        </w:r>
        <w:r w:rsidR="005843E4">
          <w:t>69</w:t>
        </w:r>
        <w:r>
          <w:fldChar w:fldCharType="end"/>
        </w:r>
      </w:hyperlink>
    </w:p>
    <w:p w14:paraId="6CF88442" w14:textId="258A4A1F" w:rsidR="001E4BEB" w:rsidRDefault="001E4BEB" w:rsidP="73FC66DE">
      <w:pPr>
        <w:pStyle w:val="TOC2"/>
        <w:tabs>
          <w:tab w:val="left" w:pos="1985"/>
        </w:tabs>
        <w:rPr>
          <w:rFonts w:asciiTheme="minorHAnsi" w:hAnsiTheme="minorHAnsi"/>
          <w:sz w:val="24"/>
          <w:szCs w:val="24"/>
        </w:rPr>
      </w:pPr>
      <w:hyperlink w:anchor="_Toc184825499">
        <w:r w:rsidRPr="73FC66DE">
          <w:rPr>
            <w:rStyle w:val="Hyperlink"/>
          </w:rPr>
          <w:t>2.3.3</w:t>
        </w:r>
        <w:r>
          <w:tab/>
        </w:r>
        <w:r w:rsidRPr="73FC66DE">
          <w:rPr>
            <w:rStyle w:val="Hyperlink"/>
          </w:rPr>
          <w:t>Indicators</w:t>
        </w:r>
        <w:r>
          <w:tab/>
        </w:r>
        <w:r>
          <w:fldChar w:fldCharType="begin"/>
        </w:r>
        <w:r>
          <w:instrText xml:space="preserve"> PAGEREF _Toc184825499 \h </w:instrText>
        </w:r>
        <w:r>
          <w:fldChar w:fldCharType="separate"/>
        </w:r>
        <w:r w:rsidR="005843E4">
          <w:t>77</w:t>
        </w:r>
        <w:r>
          <w:fldChar w:fldCharType="end"/>
        </w:r>
      </w:hyperlink>
    </w:p>
    <w:p w14:paraId="172FCA39" w14:textId="50879F1C" w:rsidR="001E4BEB" w:rsidRDefault="001E4BEB" w:rsidP="73FC66DE">
      <w:pPr>
        <w:pStyle w:val="TOC2"/>
        <w:tabs>
          <w:tab w:val="left" w:pos="1985"/>
        </w:tabs>
        <w:rPr>
          <w:rFonts w:asciiTheme="minorHAnsi" w:hAnsiTheme="minorHAnsi"/>
          <w:sz w:val="24"/>
          <w:szCs w:val="24"/>
        </w:rPr>
      </w:pPr>
      <w:hyperlink w:anchor="_Toc184825500">
        <w:r w:rsidRPr="73FC66DE">
          <w:rPr>
            <w:rStyle w:val="Hyperlink"/>
          </w:rPr>
          <w:t>2.3.4</w:t>
        </w:r>
        <w:r>
          <w:tab/>
        </w:r>
        <w:r w:rsidRPr="73FC66DE">
          <w:rPr>
            <w:rStyle w:val="Hyperlink"/>
          </w:rPr>
          <w:t>Methodologies and accounting approaches</w:t>
        </w:r>
        <w:r>
          <w:tab/>
        </w:r>
        <w:r>
          <w:fldChar w:fldCharType="begin"/>
        </w:r>
        <w:r>
          <w:instrText xml:space="preserve"> PAGEREF _Toc184825500 \h </w:instrText>
        </w:r>
        <w:r>
          <w:fldChar w:fldCharType="separate"/>
        </w:r>
        <w:r w:rsidR="005843E4">
          <w:t>78</w:t>
        </w:r>
        <w:r>
          <w:fldChar w:fldCharType="end"/>
        </w:r>
      </w:hyperlink>
    </w:p>
    <w:p w14:paraId="3A5B9DA9" w14:textId="7494CFDF" w:rsidR="001E4BEB" w:rsidRDefault="001E4BEB" w:rsidP="73FC66DE">
      <w:pPr>
        <w:pStyle w:val="TOC1"/>
        <w:rPr>
          <w:rFonts w:asciiTheme="minorHAnsi" w:hAnsiTheme="minorHAnsi"/>
          <w:noProof/>
          <w:sz w:val="24"/>
        </w:rPr>
      </w:pPr>
      <w:hyperlink w:anchor="_Toc184825501">
        <w:r w:rsidRPr="73FC66DE">
          <w:rPr>
            <w:rStyle w:val="Hyperlink"/>
            <w:rFonts w:cs="Arial"/>
            <w:noProof/>
          </w:rPr>
          <w:t>2.4</w:t>
        </w:r>
        <w:r>
          <w:rPr>
            <w:noProof/>
          </w:rPr>
          <w:tab/>
        </w:r>
        <w:r w:rsidRPr="73FC66DE">
          <w:rPr>
            <w:rStyle w:val="Hyperlink"/>
            <w:noProof/>
          </w:rPr>
          <w:t>Mitigation policies and measures, actions and plans</w:t>
        </w:r>
        <w:r>
          <w:rPr>
            <w:noProof/>
          </w:rPr>
          <w:tab/>
        </w:r>
        <w:r w:rsidRPr="73FC66DE">
          <w:rPr>
            <w:noProof/>
          </w:rPr>
          <w:fldChar w:fldCharType="begin"/>
        </w:r>
        <w:r w:rsidRPr="73FC66DE">
          <w:rPr>
            <w:noProof/>
          </w:rPr>
          <w:instrText xml:space="preserve"> PAGEREF _Toc184825501 \h </w:instrText>
        </w:r>
        <w:r w:rsidRPr="73FC66DE">
          <w:rPr>
            <w:noProof/>
          </w:rPr>
        </w:r>
        <w:r w:rsidRPr="73FC66DE">
          <w:rPr>
            <w:noProof/>
          </w:rPr>
          <w:fldChar w:fldCharType="separate"/>
        </w:r>
        <w:r w:rsidR="005843E4">
          <w:rPr>
            <w:noProof/>
          </w:rPr>
          <w:t>87</w:t>
        </w:r>
        <w:r w:rsidRPr="73FC66DE">
          <w:rPr>
            <w:noProof/>
          </w:rPr>
          <w:fldChar w:fldCharType="end"/>
        </w:r>
      </w:hyperlink>
    </w:p>
    <w:p w14:paraId="273EB90E" w14:textId="32419AF9" w:rsidR="001E4BEB" w:rsidRDefault="001E4BEB" w:rsidP="73FC66DE">
      <w:pPr>
        <w:pStyle w:val="TOC2"/>
        <w:rPr>
          <w:rFonts w:asciiTheme="minorHAnsi" w:hAnsiTheme="minorHAnsi"/>
          <w:sz w:val="24"/>
          <w:szCs w:val="24"/>
        </w:rPr>
      </w:pPr>
      <w:hyperlink w:anchor="_Toc184825502">
        <w:r w:rsidRPr="73FC66DE">
          <w:rPr>
            <w:rStyle w:val="Hyperlink"/>
          </w:rPr>
          <w:t>Key messages</w:t>
        </w:r>
        <w:r>
          <w:tab/>
        </w:r>
        <w:r>
          <w:fldChar w:fldCharType="begin"/>
        </w:r>
        <w:r>
          <w:instrText xml:space="preserve"> PAGEREF _Toc184825502 \h </w:instrText>
        </w:r>
        <w:r>
          <w:fldChar w:fldCharType="separate"/>
        </w:r>
        <w:r w:rsidR="005843E4">
          <w:t>87</w:t>
        </w:r>
        <w:r>
          <w:fldChar w:fldCharType="end"/>
        </w:r>
      </w:hyperlink>
    </w:p>
    <w:p w14:paraId="7A35BCE9" w14:textId="395F7A2B" w:rsidR="001E4BEB" w:rsidRDefault="001E4BEB" w:rsidP="73FC66DE">
      <w:pPr>
        <w:pStyle w:val="TOC2"/>
        <w:tabs>
          <w:tab w:val="left" w:pos="1985"/>
        </w:tabs>
        <w:rPr>
          <w:rFonts w:asciiTheme="minorHAnsi" w:hAnsiTheme="minorHAnsi"/>
          <w:sz w:val="24"/>
          <w:szCs w:val="24"/>
        </w:rPr>
      </w:pPr>
      <w:hyperlink w:anchor="_Toc184825503">
        <w:r w:rsidRPr="73FC66DE">
          <w:rPr>
            <w:rStyle w:val="Hyperlink"/>
          </w:rPr>
          <w:t>2.4.1</w:t>
        </w:r>
        <w:r>
          <w:tab/>
        </w:r>
        <w:r w:rsidRPr="73FC66DE">
          <w:rPr>
            <w:rStyle w:val="Hyperlink"/>
          </w:rPr>
          <w:t>Introduction</w:t>
        </w:r>
        <w:r>
          <w:tab/>
        </w:r>
        <w:r>
          <w:fldChar w:fldCharType="begin"/>
        </w:r>
        <w:r>
          <w:instrText xml:space="preserve"> PAGEREF _Toc184825503 \h </w:instrText>
        </w:r>
        <w:r>
          <w:fldChar w:fldCharType="separate"/>
        </w:r>
        <w:r w:rsidR="005843E4">
          <w:t>88</w:t>
        </w:r>
        <w:r>
          <w:fldChar w:fldCharType="end"/>
        </w:r>
      </w:hyperlink>
    </w:p>
    <w:p w14:paraId="1B3494F0" w14:textId="5DC1643C" w:rsidR="001E4BEB" w:rsidRDefault="001E4BEB" w:rsidP="73FC66DE">
      <w:pPr>
        <w:pStyle w:val="TOC2"/>
        <w:tabs>
          <w:tab w:val="left" w:pos="1985"/>
        </w:tabs>
        <w:rPr>
          <w:rFonts w:asciiTheme="minorHAnsi" w:hAnsiTheme="minorHAnsi"/>
          <w:sz w:val="24"/>
          <w:szCs w:val="24"/>
        </w:rPr>
      </w:pPr>
      <w:hyperlink w:anchor="_Toc184825504">
        <w:r w:rsidRPr="73FC66DE">
          <w:rPr>
            <w:rStyle w:val="Hyperlink"/>
          </w:rPr>
          <w:t>2.4.2</w:t>
        </w:r>
        <w:r>
          <w:tab/>
        </w:r>
        <w:r w:rsidRPr="73FC66DE">
          <w:rPr>
            <w:rStyle w:val="Hyperlink"/>
          </w:rPr>
          <w:t>Overarching mitigation policies and plans</w:t>
        </w:r>
        <w:r>
          <w:tab/>
        </w:r>
        <w:r>
          <w:fldChar w:fldCharType="begin"/>
        </w:r>
        <w:r>
          <w:instrText xml:space="preserve"> PAGEREF _Toc184825504 \h </w:instrText>
        </w:r>
        <w:r>
          <w:fldChar w:fldCharType="separate"/>
        </w:r>
        <w:r w:rsidR="005843E4">
          <w:t>88</w:t>
        </w:r>
        <w:r>
          <w:fldChar w:fldCharType="end"/>
        </w:r>
      </w:hyperlink>
    </w:p>
    <w:p w14:paraId="040D52DD" w14:textId="33055738" w:rsidR="001E4BEB" w:rsidRDefault="001E4BEB" w:rsidP="73FC66DE">
      <w:pPr>
        <w:pStyle w:val="TOC2"/>
        <w:tabs>
          <w:tab w:val="left" w:pos="1985"/>
        </w:tabs>
        <w:rPr>
          <w:rFonts w:asciiTheme="minorHAnsi" w:hAnsiTheme="minorHAnsi"/>
          <w:sz w:val="24"/>
          <w:szCs w:val="24"/>
        </w:rPr>
      </w:pPr>
      <w:hyperlink w:anchor="_Toc184825505">
        <w:r w:rsidRPr="73FC66DE">
          <w:rPr>
            <w:rStyle w:val="Hyperlink"/>
          </w:rPr>
          <w:t>2.4.3</w:t>
        </w:r>
        <w:r>
          <w:tab/>
        </w:r>
        <w:r w:rsidRPr="73FC66DE">
          <w:rPr>
            <w:rStyle w:val="Hyperlink"/>
          </w:rPr>
          <w:t>Funding and finance initiatives</w:t>
        </w:r>
        <w:r>
          <w:tab/>
        </w:r>
        <w:r>
          <w:fldChar w:fldCharType="begin"/>
        </w:r>
        <w:r>
          <w:instrText xml:space="preserve"> PAGEREF _Toc184825505 \h </w:instrText>
        </w:r>
        <w:r>
          <w:fldChar w:fldCharType="separate"/>
        </w:r>
        <w:r w:rsidR="005843E4">
          <w:t>91</w:t>
        </w:r>
        <w:r>
          <w:fldChar w:fldCharType="end"/>
        </w:r>
      </w:hyperlink>
    </w:p>
    <w:p w14:paraId="6E31FA53" w14:textId="01AB1A6A" w:rsidR="001E4BEB" w:rsidRDefault="001E4BEB" w:rsidP="73FC66DE">
      <w:pPr>
        <w:pStyle w:val="TOC2"/>
        <w:tabs>
          <w:tab w:val="left" w:pos="1985"/>
        </w:tabs>
        <w:rPr>
          <w:rFonts w:asciiTheme="minorHAnsi" w:hAnsiTheme="minorHAnsi"/>
          <w:sz w:val="24"/>
          <w:szCs w:val="24"/>
        </w:rPr>
      </w:pPr>
      <w:hyperlink w:anchor="_Toc184825506">
        <w:r w:rsidRPr="73FC66DE">
          <w:rPr>
            <w:rStyle w:val="Hyperlink"/>
          </w:rPr>
          <w:t>2.4.4</w:t>
        </w:r>
        <w:r>
          <w:tab/>
        </w:r>
        <w:r w:rsidRPr="73FC66DE">
          <w:rPr>
            <w:rStyle w:val="Hyperlink"/>
          </w:rPr>
          <w:t>Energy</w:t>
        </w:r>
        <w:r>
          <w:tab/>
        </w:r>
        <w:r w:rsidR="002D18C2">
          <w:tab/>
        </w:r>
        <w:r>
          <w:fldChar w:fldCharType="begin"/>
        </w:r>
        <w:r>
          <w:instrText xml:space="preserve"> PAGEREF _Toc184825506 \h </w:instrText>
        </w:r>
        <w:r>
          <w:fldChar w:fldCharType="separate"/>
        </w:r>
        <w:r w:rsidR="005843E4">
          <w:t>92</w:t>
        </w:r>
        <w:r>
          <w:fldChar w:fldCharType="end"/>
        </w:r>
      </w:hyperlink>
    </w:p>
    <w:p w14:paraId="09D50739" w14:textId="3B5013CE" w:rsidR="001E4BEB" w:rsidRDefault="001E4BEB" w:rsidP="73FC66DE">
      <w:pPr>
        <w:pStyle w:val="TOC2"/>
        <w:tabs>
          <w:tab w:val="left" w:pos="1985"/>
        </w:tabs>
        <w:rPr>
          <w:rFonts w:asciiTheme="minorHAnsi" w:hAnsiTheme="minorHAnsi"/>
          <w:sz w:val="24"/>
          <w:szCs w:val="24"/>
        </w:rPr>
      </w:pPr>
      <w:hyperlink w:anchor="_Toc184825507">
        <w:r w:rsidRPr="73FC66DE">
          <w:rPr>
            <w:rStyle w:val="Hyperlink"/>
          </w:rPr>
          <w:t>2.4.5</w:t>
        </w:r>
        <w:r>
          <w:tab/>
        </w:r>
        <w:r w:rsidRPr="73FC66DE">
          <w:rPr>
            <w:rStyle w:val="Hyperlink"/>
          </w:rPr>
          <w:t>Transport</w:t>
        </w:r>
        <w:r>
          <w:tab/>
        </w:r>
        <w:r>
          <w:fldChar w:fldCharType="begin"/>
        </w:r>
        <w:r>
          <w:instrText xml:space="preserve"> PAGEREF _Toc184825507 \h </w:instrText>
        </w:r>
        <w:r>
          <w:fldChar w:fldCharType="separate"/>
        </w:r>
        <w:r w:rsidR="005843E4">
          <w:t>97</w:t>
        </w:r>
        <w:r>
          <w:fldChar w:fldCharType="end"/>
        </w:r>
      </w:hyperlink>
    </w:p>
    <w:p w14:paraId="39B42D82" w14:textId="55D3CF49" w:rsidR="001E4BEB" w:rsidRDefault="001E4BEB" w:rsidP="73FC66DE">
      <w:pPr>
        <w:pStyle w:val="TOC2"/>
        <w:tabs>
          <w:tab w:val="left" w:pos="1985"/>
        </w:tabs>
        <w:rPr>
          <w:rFonts w:asciiTheme="minorHAnsi" w:hAnsiTheme="minorHAnsi"/>
          <w:sz w:val="24"/>
          <w:szCs w:val="24"/>
        </w:rPr>
      </w:pPr>
      <w:hyperlink w:anchor="_Toc184825508">
        <w:r w:rsidRPr="73FC66DE">
          <w:rPr>
            <w:rStyle w:val="Hyperlink"/>
          </w:rPr>
          <w:t>2.4.6</w:t>
        </w:r>
        <w:r>
          <w:tab/>
        </w:r>
        <w:r w:rsidRPr="73FC66DE">
          <w:rPr>
            <w:rStyle w:val="Hyperlink"/>
          </w:rPr>
          <w:t>Industrial processes and product use</w:t>
        </w:r>
        <w:r>
          <w:tab/>
        </w:r>
        <w:r>
          <w:fldChar w:fldCharType="begin"/>
        </w:r>
        <w:r>
          <w:instrText xml:space="preserve"> PAGEREF _Toc184825508 \h </w:instrText>
        </w:r>
        <w:r>
          <w:fldChar w:fldCharType="separate"/>
        </w:r>
        <w:r w:rsidR="005843E4">
          <w:t>100</w:t>
        </w:r>
        <w:r>
          <w:fldChar w:fldCharType="end"/>
        </w:r>
      </w:hyperlink>
    </w:p>
    <w:p w14:paraId="1372C245" w14:textId="2DF2AE92" w:rsidR="001E4BEB" w:rsidRDefault="001E4BEB" w:rsidP="73FC66DE">
      <w:pPr>
        <w:pStyle w:val="TOC2"/>
        <w:tabs>
          <w:tab w:val="left" w:pos="1985"/>
        </w:tabs>
        <w:rPr>
          <w:rFonts w:asciiTheme="minorHAnsi" w:hAnsiTheme="minorHAnsi"/>
          <w:sz w:val="24"/>
          <w:szCs w:val="24"/>
        </w:rPr>
      </w:pPr>
      <w:hyperlink w:anchor="_Toc184825509">
        <w:r w:rsidRPr="73FC66DE">
          <w:rPr>
            <w:rStyle w:val="Hyperlink"/>
          </w:rPr>
          <w:t>2.4.7</w:t>
        </w:r>
        <w:r>
          <w:tab/>
        </w:r>
        <w:r w:rsidRPr="73FC66DE">
          <w:rPr>
            <w:rStyle w:val="Hyperlink"/>
          </w:rPr>
          <w:t>Agriculture</w:t>
        </w:r>
        <w:r>
          <w:tab/>
        </w:r>
        <w:r>
          <w:fldChar w:fldCharType="begin"/>
        </w:r>
        <w:r>
          <w:instrText xml:space="preserve"> PAGEREF _Toc184825509 \h </w:instrText>
        </w:r>
        <w:r>
          <w:fldChar w:fldCharType="separate"/>
        </w:r>
        <w:r w:rsidR="005843E4">
          <w:t>101</w:t>
        </w:r>
        <w:r>
          <w:fldChar w:fldCharType="end"/>
        </w:r>
      </w:hyperlink>
    </w:p>
    <w:p w14:paraId="38388CA4" w14:textId="2C9FADF9" w:rsidR="001E4BEB" w:rsidRDefault="001E4BEB" w:rsidP="73FC66DE">
      <w:pPr>
        <w:pStyle w:val="TOC2"/>
        <w:tabs>
          <w:tab w:val="left" w:pos="1985"/>
        </w:tabs>
        <w:rPr>
          <w:rFonts w:asciiTheme="minorHAnsi" w:hAnsiTheme="minorHAnsi"/>
          <w:sz w:val="24"/>
          <w:szCs w:val="24"/>
        </w:rPr>
      </w:pPr>
      <w:hyperlink w:anchor="_Toc184825510">
        <w:r w:rsidRPr="73FC66DE">
          <w:rPr>
            <w:rStyle w:val="Hyperlink"/>
          </w:rPr>
          <w:t>2.4.8</w:t>
        </w:r>
        <w:r>
          <w:tab/>
        </w:r>
        <w:r w:rsidRPr="73FC66DE">
          <w:rPr>
            <w:rStyle w:val="Hyperlink"/>
          </w:rPr>
          <w:t>Land use, Land-</w:t>
        </w:r>
        <w:r w:rsidR="001206E5">
          <w:rPr>
            <w:rStyle w:val="Hyperlink"/>
          </w:rPr>
          <w:t>U</w:t>
        </w:r>
        <w:r w:rsidRPr="73FC66DE">
          <w:rPr>
            <w:rStyle w:val="Hyperlink"/>
          </w:rPr>
          <w:t>se Change and Forestry</w:t>
        </w:r>
        <w:r>
          <w:tab/>
        </w:r>
        <w:r>
          <w:fldChar w:fldCharType="begin"/>
        </w:r>
        <w:r>
          <w:instrText xml:space="preserve"> PAGEREF _Toc184825510 \h </w:instrText>
        </w:r>
        <w:r>
          <w:fldChar w:fldCharType="separate"/>
        </w:r>
        <w:r w:rsidR="005843E4">
          <w:t>104</w:t>
        </w:r>
        <w:r>
          <w:fldChar w:fldCharType="end"/>
        </w:r>
      </w:hyperlink>
    </w:p>
    <w:p w14:paraId="18DF5047" w14:textId="6E09E7C1" w:rsidR="001E4BEB" w:rsidRDefault="001E4BEB" w:rsidP="73FC66DE">
      <w:pPr>
        <w:pStyle w:val="TOC2"/>
        <w:tabs>
          <w:tab w:val="left" w:pos="1985"/>
        </w:tabs>
        <w:rPr>
          <w:rFonts w:asciiTheme="minorHAnsi" w:hAnsiTheme="minorHAnsi"/>
          <w:sz w:val="24"/>
          <w:szCs w:val="24"/>
        </w:rPr>
      </w:pPr>
      <w:hyperlink w:anchor="_Toc184825511">
        <w:r w:rsidRPr="73FC66DE">
          <w:rPr>
            <w:rStyle w:val="Hyperlink"/>
          </w:rPr>
          <w:t>2.4.9</w:t>
        </w:r>
        <w:r>
          <w:tab/>
        </w:r>
        <w:r w:rsidRPr="73FC66DE">
          <w:rPr>
            <w:rStyle w:val="Hyperlink"/>
          </w:rPr>
          <w:t>Waste</w:t>
        </w:r>
        <w:r>
          <w:tab/>
        </w:r>
        <w:r w:rsidR="002D18C2">
          <w:tab/>
        </w:r>
        <w:r>
          <w:fldChar w:fldCharType="begin"/>
        </w:r>
        <w:r>
          <w:instrText xml:space="preserve"> PAGEREF _Toc184825511 \h </w:instrText>
        </w:r>
        <w:r>
          <w:fldChar w:fldCharType="separate"/>
        </w:r>
        <w:r w:rsidR="005843E4">
          <w:t>108</w:t>
        </w:r>
        <w:r>
          <w:fldChar w:fldCharType="end"/>
        </w:r>
      </w:hyperlink>
    </w:p>
    <w:p w14:paraId="384C1866" w14:textId="3C3DA32F" w:rsidR="001E4BEB" w:rsidRDefault="001E4BEB" w:rsidP="73FC66DE">
      <w:pPr>
        <w:pStyle w:val="TOC2"/>
        <w:tabs>
          <w:tab w:val="left" w:pos="1985"/>
        </w:tabs>
        <w:rPr>
          <w:rFonts w:asciiTheme="minorHAnsi" w:hAnsiTheme="minorHAnsi"/>
          <w:sz w:val="24"/>
          <w:szCs w:val="24"/>
        </w:rPr>
      </w:pPr>
      <w:hyperlink w:anchor="_Toc184825512">
        <w:r w:rsidRPr="73FC66DE">
          <w:rPr>
            <w:rStyle w:val="Hyperlink"/>
          </w:rPr>
          <w:t>2.4.10</w:t>
        </w:r>
        <w:r>
          <w:tab/>
        </w:r>
        <w:r w:rsidRPr="73FC66DE">
          <w:rPr>
            <w:rStyle w:val="Hyperlink"/>
          </w:rPr>
          <w:t>Public sector policies</w:t>
        </w:r>
        <w:r>
          <w:tab/>
        </w:r>
        <w:r>
          <w:fldChar w:fldCharType="begin"/>
        </w:r>
        <w:r>
          <w:instrText xml:space="preserve"> PAGEREF _Toc184825512 \h </w:instrText>
        </w:r>
        <w:r>
          <w:fldChar w:fldCharType="separate"/>
        </w:r>
        <w:r w:rsidR="005843E4">
          <w:t>110</w:t>
        </w:r>
        <w:r>
          <w:fldChar w:fldCharType="end"/>
        </w:r>
      </w:hyperlink>
    </w:p>
    <w:p w14:paraId="67E39AA0" w14:textId="4CA7F817" w:rsidR="001E4BEB" w:rsidRDefault="001E4BEB" w:rsidP="73FC66DE">
      <w:pPr>
        <w:pStyle w:val="TOC2"/>
        <w:tabs>
          <w:tab w:val="left" w:pos="1985"/>
        </w:tabs>
        <w:rPr>
          <w:rFonts w:asciiTheme="minorHAnsi" w:hAnsiTheme="minorHAnsi"/>
          <w:sz w:val="24"/>
          <w:szCs w:val="24"/>
        </w:rPr>
      </w:pPr>
      <w:hyperlink w:anchor="_Toc184825513">
        <w:r w:rsidRPr="73FC66DE">
          <w:rPr>
            <w:rStyle w:val="Hyperlink"/>
          </w:rPr>
          <w:t>2.4.11</w:t>
        </w:r>
        <w:r>
          <w:tab/>
        </w:r>
        <w:r w:rsidRPr="73FC66DE">
          <w:rPr>
            <w:rStyle w:val="Hyperlink"/>
          </w:rPr>
          <w:t>International aviation and shipping</w:t>
        </w:r>
        <w:r>
          <w:tab/>
        </w:r>
        <w:r>
          <w:fldChar w:fldCharType="begin"/>
        </w:r>
        <w:r>
          <w:instrText xml:space="preserve"> PAGEREF _Toc184825513 \h </w:instrText>
        </w:r>
        <w:r>
          <w:fldChar w:fldCharType="separate"/>
        </w:r>
        <w:r w:rsidR="005843E4">
          <w:t>112</w:t>
        </w:r>
        <w:r>
          <w:fldChar w:fldCharType="end"/>
        </w:r>
      </w:hyperlink>
    </w:p>
    <w:p w14:paraId="68CE1C49" w14:textId="14A38AF4" w:rsidR="001E4BEB" w:rsidRDefault="001E4BEB" w:rsidP="73FC66DE">
      <w:pPr>
        <w:pStyle w:val="TOC2"/>
        <w:tabs>
          <w:tab w:val="left" w:pos="1985"/>
        </w:tabs>
        <w:rPr>
          <w:rFonts w:asciiTheme="minorHAnsi" w:hAnsiTheme="minorHAnsi"/>
          <w:sz w:val="24"/>
          <w:szCs w:val="24"/>
        </w:rPr>
      </w:pPr>
      <w:hyperlink w:anchor="_Toc184825514">
        <w:r w:rsidRPr="73FC66DE">
          <w:rPr>
            <w:rStyle w:val="Hyperlink"/>
          </w:rPr>
          <w:t>2.4.12</w:t>
        </w:r>
        <w:r>
          <w:tab/>
        </w:r>
        <w:r w:rsidRPr="73FC66DE">
          <w:rPr>
            <w:rStyle w:val="Hyperlink"/>
          </w:rPr>
          <w:t>Policies no longer in place</w:t>
        </w:r>
        <w:r>
          <w:tab/>
        </w:r>
        <w:r>
          <w:fldChar w:fldCharType="begin"/>
        </w:r>
        <w:r>
          <w:instrText xml:space="preserve"> PAGEREF _Toc184825514 \h </w:instrText>
        </w:r>
        <w:r>
          <w:fldChar w:fldCharType="separate"/>
        </w:r>
        <w:r w:rsidR="005843E4">
          <w:t>112</w:t>
        </w:r>
        <w:r>
          <w:fldChar w:fldCharType="end"/>
        </w:r>
      </w:hyperlink>
    </w:p>
    <w:p w14:paraId="74E281C0" w14:textId="32C0056D" w:rsidR="001E4BEB" w:rsidRDefault="001E4BEB" w:rsidP="73FC66DE">
      <w:pPr>
        <w:pStyle w:val="TOC2"/>
        <w:tabs>
          <w:tab w:val="left" w:pos="1985"/>
        </w:tabs>
        <w:rPr>
          <w:rFonts w:asciiTheme="minorHAnsi" w:hAnsiTheme="minorHAnsi"/>
          <w:sz w:val="24"/>
          <w:szCs w:val="24"/>
        </w:rPr>
      </w:pPr>
      <w:hyperlink w:anchor="_Toc184825515">
        <w:r w:rsidRPr="73FC66DE">
          <w:rPr>
            <w:rStyle w:val="Hyperlink"/>
          </w:rPr>
          <w:t>2.4.13</w:t>
        </w:r>
        <w:r>
          <w:tab/>
        </w:r>
        <w:r w:rsidRPr="73FC66DE">
          <w:rPr>
            <w:rStyle w:val="Hyperlink"/>
          </w:rPr>
          <w:t>Assessment of economic and social impacts of response measures</w:t>
        </w:r>
        <w:r>
          <w:tab/>
        </w:r>
        <w:r>
          <w:fldChar w:fldCharType="begin"/>
        </w:r>
        <w:r>
          <w:instrText xml:space="preserve"> PAGEREF _Toc184825515 \h </w:instrText>
        </w:r>
        <w:r>
          <w:fldChar w:fldCharType="separate"/>
        </w:r>
        <w:r w:rsidR="005843E4">
          <w:t>114</w:t>
        </w:r>
        <w:r>
          <w:fldChar w:fldCharType="end"/>
        </w:r>
      </w:hyperlink>
    </w:p>
    <w:p w14:paraId="798B8F9B" w14:textId="1F520F71" w:rsidR="001E4BEB" w:rsidRDefault="001E4BEB" w:rsidP="73FC66DE">
      <w:pPr>
        <w:pStyle w:val="TOC2"/>
        <w:tabs>
          <w:tab w:val="left" w:pos="1985"/>
        </w:tabs>
        <w:rPr>
          <w:rFonts w:asciiTheme="minorHAnsi" w:hAnsiTheme="minorHAnsi"/>
          <w:sz w:val="24"/>
          <w:szCs w:val="24"/>
        </w:rPr>
      </w:pPr>
      <w:hyperlink w:anchor="_Toc184825517">
        <w:r w:rsidRPr="73FC66DE">
          <w:rPr>
            <w:rStyle w:val="Hyperlink"/>
          </w:rPr>
          <w:t>2.4.14</w:t>
        </w:r>
        <w:r>
          <w:tab/>
        </w:r>
        <w:r w:rsidRPr="73FC66DE">
          <w:rPr>
            <w:rStyle w:val="Hyperlink"/>
          </w:rPr>
          <w:t>Information about how actions, policies and measures are modifying longer-term trends in GHG emissions and removals</w:t>
        </w:r>
        <w:r>
          <w:tab/>
        </w:r>
        <w:r>
          <w:fldChar w:fldCharType="begin"/>
        </w:r>
        <w:r>
          <w:instrText xml:space="preserve"> PAGEREF _Toc184825517 \h </w:instrText>
        </w:r>
        <w:r>
          <w:fldChar w:fldCharType="separate"/>
        </w:r>
        <w:r w:rsidR="005843E4">
          <w:t>116</w:t>
        </w:r>
        <w:r>
          <w:fldChar w:fldCharType="end"/>
        </w:r>
      </w:hyperlink>
    </w:p>
    <w:p w14:paraId="5691B3B5" w14:textId="3B4EACBD" w:rsidR="001E4BEB" w:rsidRDefault="001E4BEB" w:rsidP="73FC66DE">
      <w:pPr>
        <w:pStyle w:val="TOC2"/>
        <w:tabs>
          <w:tab w:val="left" w:pos="1985"/>
        </w:tabs>
        <w:rPr>
          <w:rFonts w:asciiTheme="minorHAnsi" w:hAnsiTheme="minorHAnsi"/>
          <w:sz w:val="24"/>
          <w:szCs w:val="24"/>
        </w:rPr>
      </w:pPr>
      <w:hyperlink w:anchor="_Toc184825518">
        <w:r w:rsidRPr="73FC66DE">
          <w:rPr>
            <w:rStyle w:val="Hyperlink"/>
          </w:rPr>
          <w:t>2.4.15</w:t>
        </w:r>
        <w:r>
          <w:tab/>
        </w:r>
        <w:r w:rsidRPr="73FC66DE">
          <w:rPr>
            <w:rStyle w:val="Hyperlink"/>
          </w:rPr>
          <w:t>CTF table 5. Policy status and impacts</w:t>
        </w:r>
        <w:r>
          <w:tab/>
        </w:r>
        <w:r>
          <w:fldChar w:fldCharType="begin"/>
        </w:r>
        <w:r>
          <w:instrText xml:space="preserve"> PAGEREF _Toc184825518 \h </w:instrText>
        </w:r>
        <w:r>
          <w:fldChar w:fldCharType="separate"/>
        </w:r>
        <w:r w:rsidR="005843E4">
          <w:t>117</w:t>
        </w:r>
        <w:r>
          <w:fldChar w:fldCharType="end"/>
        </w:r>
      </w:hyperlink>
    </w:p>
    <w:p w14:paraId="11EDFF9D" w14:textId="0D0B02F2" w:rsidR="001E4BEB" w:rsidRDefault="001E4BEB" w:rsidP="73FC66DE">
      <w:pPr>
        <w:pStyle w:val="TOC1"/>
        <w:rPr>
          <w:rFonts w:asciiTheme="minorHAnsi" w:hAnsiTheme="minorHAnsi"/>
          <w:noProof/>
          <w:sz w:val="24"/>
        </w:rPr>
      </w:pPr>
      <w:hyperlink w:anchor="_Toc184825519">
        <w:r w:rsidRPr="73FC66DE">
          <w:rPr>
            <w:rStyle w:val="Hyperlink"/>
            <w:noProof/>
          </w:rPr>
          <w:t>2.5</w:t>
        </w:r>
        <w:r>
          <w:rPr>
            <w:noProof/>
          </w:rPr>
          <w:tab/>
        </w:r>
        <w:r w:rsidRPr="73FC66DE">
          <w:rPr>
            <w:rStyle w:val="Hyperlink"/>
            <w:noProof/>
          </w:rPr>
          <w:t>Projections of greenhouse gas emissions and removals</w:t>
        </w:r>
        <w:r>
          <w:rPr>
            <w:noProof/>
          </w:rPr>
          <w:tab/>
        </w:r>
        <w:r w:rsidRPr="73FC66DE">
          <w:rPr>
            <w:noProof/>
          </w:rPr>
          <w:fldChar w:fldCharType="begin"/>
        </w:r>
        <w:r w:rsidRPr="73FC66DE">
          <w:rPr>
            <w:noProof/>
          </w:rPr>
          <w:instrText xml:space="preserve"> PAGEREF _Toc184825519 \h </w:instrText>
        </w:r>
        <w:r w:rsidRPr="73FC66DE">
          <w:rPr>
            <w:noProof/>
          </w:rPr>
        </w:r>
        <w:r w:rsidRPr="73FC66DE">
          <w:rPr>
            <w:noProof/>
          </w:rPr>
          <w:fldChar w:fldCharType="separate"/>
        </w:r>
        <w:r w:rsidR="005843E4">
          <w:rPr>
            <w:noProof/>
          </w:rPr>
          <w:t>143</w:t>
        </w:r>
        <w:r w:rsidRPr="73FC66DE">
          <w:rPr>
            <w:noProof/>
          </w:rPr>
          <w:fldChar w:fldCharType="end"/>
        </w:r>
      </w:hyperlink>
    </w:p>
    <w:p w14:paraId="3D912AD7" w14:textId="1DF8AC21" w:rsidR="001E4BEB" w:rsidRDefault="001E4BEB" w:rsidP="73FC66DE">
      <w:pPr>
        <w:pStyle w:val="TOC2"/>
        <w:rPr>
          <w:rFonts w:asciiTheme="minorHAnsi" w:hAnsiTheme="minorHAnsi"/>
          <w:sz w:val="24"/>
          <w:szCs w:val="24"/>
        </w:rPr>
      </w:pPr>
      <w:hyperlink w:anchor="_Toc184825520">
        <w:r w:rsidRPr="73FC66DE">
          <w:rPr>
            <w:rStyle w:val="Hyperlink"/>
          </w:rPr>
          <w:t>Key messages</w:t>
        </w:r>
        <w:r>
          <w:tab/>
        </w:r>
        <w:r>
          <w:fldChar w:fldCharType="begin"/>
        </w:r>
        <w:r>
          <w:instrText xml:space="preserve"> PAGEREF _Toc184825520 \h </w:instrText>
        </w:r>
        <w:r>
          <w:fldChar w:fldCharType="separate"/>
        </w:r>
        <w:r w:rsidR="005843E4">
          <w:t>143</w:t>
        </w:r>
        <w:r>
          <w:fldChar w:fldCharType="end"/>
        </w:r>
      </w:hyperlink>
    </w:p>
    <w:p w14:paraId="0640CFDA" w14:textId="05E9B9BF" w:rsidR="001E4BEB" w:rsidRDefault="001E4BEB" w:rsidP="73FC66DE">
      <w:pPr>
        <w:pStyle w:val="TOC2"/>
        <w:tabs>
          <w:tab w:val="left" w:pos="1985"/>
        </w:tabs>
        <w:rPr>
          <w:rFonts w:asciiTheme="minorHAnsi" w:hAnsiTheme="minorHAnsi"/>
          <w:sz w:val="24"/>
          <w:szCs w:val="24"/>
        </w:rPr>
      </w:pPr>
      <w:hyperlink w:anchor="_Toc184825523">
        <w:r w:rsidRPr="73FC66DE">
          <w:rPr>
            <w:rStyle w:val="Hyperlink"/>
          </w:rPr>
          <w:t>2.5.1</w:t>
        </w:r>
        <w:r>
          <w:tab/>
        </w:r>
        <w:r w:rsidRPr="73FC66DE">
          <w:rPr>
            <w:rStyle w:val="Hyperlink"/>
          </w:rPr>
          <w:t>Introduction</w:t>
        </w:r>
        <w:r>
          <w:tab/>
        </w:r>
        <w:r>
          <w:fldChar w:fldCharType="begin"/>
        </w:r>
        <w:r>
          <w:instrText xml:space="preserve"> PAGEREF _Toc184825523 \h </w:instrText>
        </w:r>
        <w:r>
          <w:fldChar w:fldCharType="separate"/>
        </w:r>
        <w:r w:rsidR="005843E4">
          <w:t>143</w:t>
        </w:r>
        <w:r>
          <w:fldChar w:fldCharType="end"/>
        </w:r>
      </w:hyperlink>
    </w:p>
    <w:p w14:paraId="29A19AA7" w14:textId="5445FD06" w:rsidR="001E4BEB" w:rsidRDefault="001E4BEB" w:rsidP="73FC66DE">
      <w:pPr>
        <w:pStyle w:val="TOC2"/>
        <w:tabs>
          <w:tab w:val="left" w:pos="1985"/>
        </w:tabs>
        <w:rPr>
          <w:rFonts w:asciiTheme="minorHAnsi" w:hAnsiTheme="minorHAnsi"/>
          <w:sz w:val="24"/>
          <w:szCs w:val="24"/>
        </w:rPr>
      </w:pPr>
      <w:hyperlink w:anchor="_Toc184825524">
        <w:r w:rsidRPr="73FC66DE">
          <w:rPr>
            <w:rStyle w:val="Hyperlink"/>
          </w:rPr>
          <w:t>2.5.2</w:t>
        </w:r>
        <w:r>
          <w:tab/>
        </w:r>
        <w:r w:rsidRPr="73FC66DE">
          <w:rPr>
            <w:rStyle w:val="Hyperlink"/>
          </w:rPr>
          <w:t>Summary of projections</w:t>
        </w:r>
        <w:r>
          <w:tab/>
        </w:r>
        <w:r>
          <w:fldChar w:fldCharType="begin"/>
        </w:r>
        <w:r>
          <w:instrText xml:space="preserve"> PAGEREF _Toc184825524 \h </w:instrText>
        </w:r>
        <w:r>
          <w:fldChar w:fldCharType="separate"/>
        </w:r>
        <w:r w:rsidR="005843E4">
          <w:t>144</w:t>
        </w:r>
        <w:r>
          <w:fldChar w:fldCharType="end"/>
        </w:r>
      </w:hyperlink>
    </w:p>
    <w:p w14:paraId="44CB1C68" w14:textId="175F476B" w:rsidR="001E4BEB" w:rsidRDefault="001E4BEB" w:rsidP="73FC66DE">
      <w:pPr>
        <w:pStyle w:val="TOC2"/>
        <w:tabs>
          <w:tab w:val="left" w:pos="1985"/>
        </w:tabs>
        <w:rPr>
          <w:rFonts w:asciiTheme="minorHAnsi" w:hAnsiTheme="minorHAnsi"/>
          <w:sz w:val="24"/>
          <w:szCs w:val="24"/>
        </w:rPr>
      </w:pPr>
      <w:hyperlink w:anchor="_Toc184825525">
        <w:r w:rsidRPr="73FC66DE">
          <w:rPr>
            <w:rStyle w:val="Hyperlink"/>
          </w:rPr>
          <w:t>2.5.3</w:t>
        </w:r>
        <w:r>
          <w:tab/>
        </w:r>
        <w:r w:rsidRPr="73FC66DE">
          <w:rPr>
            <w:rStyle w:val="Hyperlink"/>
          </w:rPr>
          <w:t>Key assumptions and variables</w:t>
        </w:r>
        <w:r>
          <w:tab/>
        </w:r>
        <w:r>
          <w:fldChar w:fldCharType="begin"/>
        </w:r>
        <w:r>
          <w:instrText xml:space="preserve"> PAGEREF _Toc184825525 \h </w:instrText>
        </w:r>
        <w:r>
          <w:fldChar w:fldCharType="separate"/>
        </w:r>
        <w:r w:rsidR="005843E4">
          <w:t>149</w:t>
        </w:r>
        <w:r>
          <w:fldChar w:fldCharType="end"/>
        </w:r>
      </w:hyperlink>
    </w:p>
    <w:p w14:paraId="16E8003F" w14:textId="62057A81" w:rsidR="001E4BEB" w:rsidRDefault="001E4BEB" w:rsidP="73FC66DE">
      <w:pPr>
        <w:pStyle w:val="TOC2"/>
        <w:tabs>
          <w:tab w:val="left" w:pos="1985"/>
        </w:tabs>
        <w:rPr>
          <w:rFonts w:asciiTheme="minorHAnsi" w:hAnsiTheme="minorHAnsi"/>
          <w:sz w:val="24"/>
          <w:szCs w:val="24"/>
        </w:rPr>
      </w:pPr>
      <w:hyperlink w:anchor="_Toc184825526">
        <w:r w:rsidRPr="73FC66DE">
          <w:rPr>
            <w:rStyle w:val="Hyperlink"/>
          </w:rPr>
          <w:t>2.5.4</w:t>
        </w:r>
        <w:r>
          <w:tab/>
        </w:r>
        <w:r w:rsidRPr="73FC66DE">
          <w:rPr>
            <w:rStyle w:val="Hyperlink"/>
          </w:rPr>
          <w:t>Emissions projections by sector, under the ‘with existing measures’ scenario</w:t>
        </w:r>
        <w:r>
          <w:tab/>
        </w:r>
        <w:r>
          <w:fldChar w:fldCharType="begin"/>
        </w:r>
        <w:r>
          <w:instrText xml:space="preserve"> PAGEREF _Toc184825526 \h </w:instrText>
        </w:r>
        <w:r>
          <w:fldChar w:fldCharType="separate"/>
        </w:r>
        <w:r w:rsidR="005843E4">
          <w:t>152</w:t>
        </w:r>
        <w:r>
          <w:fldChar w:fldCharType="end"/>
        </w:r>
      </w:hyperlink>
    </w:p>
    <w:p w14:paraId="68B4CD3C" w14:textId="454D3C94" w:rsidR="001E4BEB" w:rsidRDefault="001E4BEB" w:rsidP="73FC66DE">
      <w:pPr>
        <w:pStyle w:val="TOC2"/>
        <w:tabs>
          <w:tab w:val="left" w:pos="1985"/>
        </w:tabs>
        <w:rPr>
          <w:rFonts w:asciiTheme="minorHAnsi" w:hAnsiTheme="minorHAnsi"/>
          <w:sz w:val="24"/>
          <w:szCs w:val="24"/>
        </w:rPr>
      </w:pPr>
      <w:hyperlink w:anchor="_Toc184825527">
        <w:r w:rsidRPr="73FC66DE">
          <w:rPr>
            <w:rStyle w:val="Hyperlink"/>
          </w:rPr>
          <w:t>2.5.5</w:t>
        </w:r>
        <w:r>
          <w:tab/>
        </w:r>
        <w:r w:rsidRPr="73FC66DE">
          <w:rPr>
            <w:rStyle w:val="Hyperlink"/>
          </w:rPr>
          <w:t>Methodologies for the ‘with existing measures’ scenario</w:t>
        </w:r>
        <w:r>
          <w:tab/>
        </w:r>
        <w:r>
          <w:fldChar w:fldCharType="begin"/>
        </w:r>
        <w:r>
          <w:instrText xml:space="preserve"> PAGEREF _Toc184825527 \h </w:instrText>
        </w:r>
        <w:r>
          <w:fldChar w:fldCharType="separate"/>
        </w:r>
        <w:r w:rsidR="005843E4">
          <w:t>161</w:t>
        </w:r>
        <w:r>
          <w:fldChar w:fldCharType="end"/>
        </w:r>
      </w:hyperlink>
    </w:p>
    <w:p w14:paraId="2CBADE14" w14:textId="5C9875D3" w:rsidR="001E4BEB" w:rsidRDefault="001E4BEB" w:rsidP="73FC66DE">
      <w:pPr>
        <w:pStyle w:val="TOC2"/>
        <w:tabs>
          <w:tab w:val="left" w:pos="1985"/>
        </w:tabs>
        <w:rPr>
          <w:rFonts w:asciiTheme="minorHAnsi" w:hAnsiTheme="minorHAnsi"/>
          <w:sz w:val="24"/>
          <w:szCs w:val="24"/>
        </w:rPr>
      </w:pPr>
      <w:hyperlink w:anchor="_Toc184825528">
        <w:r w:rsidRPr="73FC66DE">
          <w:rPr>
            <w:rStyle w:val="Hyperlink"/>
          </w:rPr>
          <w:t>2.5.6</w:t>
        </w:r>
        <w:r>
          <w:tab/>
        </w:r>
        <w:r w:rsidRPr="73FC66DE">
          <w:rPr>
            <w:rStyle w:val="Hyperlink"/>
          </w:rPr>
          <w:t>Sensitivity analysis for the ‘with existing measures’ scenario</w:t>
        </w:r>
        <w:r>
          <w:tab/>
        </w:r>
        <w:r>
          <w:fldChar w:fldCharType="begin"/>
        </w:r>
        <w:r>
          <w:instrText xml:space="preserve"> PAGEREF _Toc184825528 \h </w:instrText>
        </w:r>
        <w:r>
          <w:fldChar w:fldCharType="separate"/>
        </w:r>
        <w:r w:rsidR="005843E4">
          <w:t>178</w:t>
        </w:r>
        <w:r>
          <w:fldChar w:fldCharType="end"/>
        </w:r>
      </w:hyperlink>
    </w:p>
    <w:p w14:paraId="4C3DF0E9" w14:textId="2331912B" w:rsidR="0052638F" w:rsidRDefault="001E4BEB" w:rsidP="73FC66DE">
      <w:pPr>
        <w:pStyle w:val="TOC2"/>
        <w:tabs>
          <w:tab w:val="left" w:pos="1985"/>
        </w:tabs>
      </w:pPr>
      <w:hyperlink w:anchor="_Toc184825529">
        <w:r w:rsidRPr="73FC66DE">
          <w:rPr>
            <w:rStyle w:val="Hyperlink"/>
          </w:rPr>
          <w:t>2.5.7</w:t>
        </w:r>
        <w:r>
          <w:tab/>
        </w:r>
        <w:r w:rsidRPr="73FC66DE">
          <w:rPr>
            <w:rStyle w:val="Hyperlink"/>
          </w:rPr>
          <w:t>‘Without measures’ scenario</w:t>
        </w:r>
        <w:r>
          <w:tab/>
        </w:r>
        <w:r>
          <w:fldChar w:fldCharType="begin"/>
        </w:r>
        <w:r>
          <w:instrText xml:space="preserve"> PAGEREF _Toc184825529 \h </w:instrText>
        </w:r>
        <w:r>
          <w:fldChar w:fldCharType="separate"/>
        </w:r>
        <w:r w:rsidR="005843E4">
          <w:t>184</w:t>
        </w:r>
        <w:r>
          <w:fldChar w:fldCharType="end"/>
        </w:r>
      </w:hyperlink>
    </w:p>
    <w:p w14:paraId="7C2B9B8E" w14:textId="77777777" w:rsidR="0052638F" w:rsidRDefault="0052638F">
      <w:pPr>
        <w:spacing w:before="0" w:after="200" w:line="276" w:lineRule="auto"/>
        <w:jc w:val="left"/>
        <w:rPr>
          <w:noProof/>
        </w:rPr>
      </w:pPr>
      <w:r>
        <w:rPr>
          <w:noProof/>
        </w:rPr>
        <w:br w:type="page"/>
      </w:r>
    </w:p>
    <w:p w14:paraId="7F29639F" w14:textId="353AEF8F" w:rsidR="001E4BEB" w:rsidRDefault="001E4BEB" w:rsidP="0044676F">
      <w:pPr>
        <w:pStyle w:val="TOC1"/>
        <w:ind w:left="567" w:hanging="567"/>
        <w:rPr>
          <w:rFonts w:asciiTheme="minorHAnsi" w:hAnsiTheme="minorHAnsi"/>
          <w:noProof/>
          <w:sz w:val="24"/>
        </w:rPr>
      </w:pPr>
      <w:hyperlink w:anchor="_Toc184825530">
        <w:r w:rsidRPr="73FC66DE">
          <w:rPr>
            <w:rStyle w:val="Hyperlink"/>
            <w:rFonts w:cs="Arial"/>
            <w:noProof/>
          </w:rPr>
          <w:t>2.6</w:t>
        </w:r>
        <w:r>
          <w:rPr>
            <w:noProof/>
          </w:rPr>
          <w:tab/>
        </w:r>
        <w:r w:rsidRPr="73FC66DE">
          <w:rPr>
            <w:rStyle w:val="Hyperlink"/>
            <w:noProof/>
          </w:rPr>
          <w:t>Projections of indicators necessary to track progress made in implementing and achieving Nationally Determined Contributions</w:t>
        </w:r>
        <w:r>
          <w:rPr>
            <w:noProof/>
          </w:rPr>
          <w:tab/>
        </w:r>
        <w:r w:rsidRPr="73FC66DE">
          <w:rPr>
            <w:noProof/>
          </w:rPr>
          <w:fldChar w:fldCharType="begin"/>
        </w:r>
        <w:r w:rsidRPr="73FC66DE">
          <w:rPr>
            <w:noProof/>
          </w:rPr>
          <w:instrText xml:space="preserve"> PAGEREF _Toc184825530 \h </w:instrText>
        </w:r>
        <w:r w:rsidRPr="73FC66DE">
          <w:rPr>
            <w:noProof/>
          </w:rPr>
        </w:r>
        <w:r w:rsidRPr="73FC66DE">
          <w:rPr>
            <w:noProof/>
          </w:rPr>
          <w:fldChar w:fldCharType="separate"/>
        </w:r>
        <w:r w:rsidR="005843E4">
          <w:rPr>
            <w:noProof/>
          </w:rPr>
          <w:t>195</w:t>
        </w:r>
        <w:r w:rsidRPr="73FC66DE">
          <w:rPr>
            <w:noProof/>
          </w:rPr>
          <w:fldChar w:fldCharType="end"/>
        </w:r>
      </w:hyperlink>
    </w:p>
    <w:p w14:paraId="047407AD" w14:textId="2C8281D0" w:rsidR="001E4BEB" w:rsidRDefault="001E4BEB" w:rsidP="73FC66DE">
      <w:pPr>
        <w:pStyle w:val="TOC2"/>
        <w:rPr>
          <w:rFonts w:asciiTheme="minorHAnsi" w:hAnsiTheme="minorHAnsi"/>
          <w:sz w:val="24"/>
          <w:szCs w:val="24"/>
        </w:rPr>
      </w:pPr>
      <w:hyperlink w:anchor="_Toc184825531">
        <w:r w:rsidRPr="73FC66DE">
          <w:rPr>
            <w:rStyle w:val="Hyperlink"/>
          </w:rPr>
          <w:t>Key messages</w:t>
        </w:r>
        <w:r>
          <w:tab/>
        </w:r>
        <w:r>
          <w:fldChar w:fldCharType="begin"/>
        </w:r>
        <w:r>
          <w:instrText xml:space="preserve"> PAGEREF _Toc184825531 \h </w:instrText>
        </w:r>
        <w:r>
          <w:fldChar w:fldCharType="separate"/>
        </w:r>
        <w:r w:rsidR="005843E4">
          <w:t>195</w:t>
        </w:r>
        <w:r>
          <w:fldChar w:fldCharType="end"/>
        </w:r>
      </w:hyperlink>
    </w:p>
    <w:p w14:paraId="7E61367B" w14:textId="0D641CE7" w:rsidR="001E4BEB" w:rsidRDefault="001E4BEB" w:rsidP="73FC66DE">
      <w:pPr>
        <w:pStyle w:val="TOC2"/>
        <w:tabs>
          <w:tab w:val="left" w:pos="1985"/>
        </w:tabs>
        <w:rPr>
          <w:rFonts w:asciiTheme="minorHAnsi" w:hAnsiTheme="minorHAnsi"/>
          <w:sz w:val="24"/>
          <w:szCs w:val="24"/>
        </w:rPr>
      </w:pPr>
      <w:hyperlink w:anchor="_Toc184825532">
        <w:r w:rsidRPr="73FC66DE">
          <w:rPr>
            <w:rStyle w:val="Hyperlink"/>
          </w:rPr>
          <w:t>2.6.1</w:t>
        </w:r>
        <w:r>
          <w:tab/>
        </w:r>
        <w:r w:rsidRPr="73FC66DE">
          <w:rPr>
            <w:rStyle w:val="Hyperlink"/>
          </w:rPr>
          <w:t>Introduction</w:t>
        </w:r>
        <w:r>
          <w:tab/>
        </w:r>
        <w:r>
          <w:fldChar w:fldCharType="begin"/>
        </w:r>
        <w:r>
          <w:instrText xml:space="preserve"> PAGEREF _Toc184825532 \h </w:instrText>
        </w:r>
        <w:r>
          <w:fldChar w:fldCharType="separate"/>
        </w:r>
        <w:r w:rsidR="005843E4">
          <w:t>195</w:t>
        </w:r>
        <w:r>
          <w:fldChar w:fldCharType="end"/>
        </w:r>
      </w:hyperlink>
    </w:p>
    <w:p w14:paraId="01BBB6B8" w14:textId="546CBCC6" w:rsidR="001E4BEB" w:rsidRDefault="001E4BEB" w:rsidP="73FC66DE">
      <w:pPr>
        <w:pStyle w:val="TOC2"/>
        <w:tabs>
          <w:tab w:val="left" w:pos="1985"/>
        </w:tabs>
        <w:rPr>
          <w:rFonts w:asciiTheme="minorHAnsi" w:hAnsiTheme="minorHAnsi"/>
          <w:sz w:val="24"/>
          <w:szCs w:val="24"/>
        </w:rPr>
      </w:pPr>
      <w:hyperlink w:anchor="_Toc184825533">
        <w:r w:rsidRPr="73FC66DE">
          <w:rPr>
            <w:rStyle w:val="Hyperlink"/>
          </w:rPr>
          <w:t>2.6.2</w:t>
        </w:r>
        <w:r>
          <w:tab/>
        </w:r>
        <w:r w:rsidRPr="73FC66DE">
          <w:rPr>
            <w:rStyle w:val="Hyperlink"/>
          </w:rPr>
          <w:t>Summary of projections and indicator</w:t>
        </w:r>
        <w:r>
          <w:tab/>
        </w:r>
        <w:r>
          <w:fldChar w:fldCharType="begin"/>
        </w:r>
        <w:r>
          <w:instrText xml:space="preserve"> PAGEREF _Toc184825533 \h </w:instrText>
        </w:r>
        <w:r>
          <w:fldChar w:fldCharType="separate"/>
        </w:r>
        <w:r w:rsidR="005843E4">
          <w:t>196</w:t>
        </w:r>
        <w:r>
          <w:fldChar w:fldCharType="end"/>
        </w:r>
      </w:hyperlink>
    </w:p>
    <w:p w14:paraId="0E4B4498" w14:textId="1D0D89AC" w:rsidR="001E4BEB" w:rsidRDefault="001E4BEB" w:rsidP="73FC66DE">
      <w:pPr>
        <w:pStyle w:val="TOC2"/>
        <w:tabs>
          <w:tab w:val="left" w:pos="1985"/>
        </w:tabs>
        <w:rPr>
          <w:rFonts w:asciiTheme="minorHAnsi" w:hAnsiTheme="minorHAnsi"/>
          <w:sz w:val="24"/>
          <w:szCs w:val="24"/>
        </w:rPr>
      </w:pPr>
      <w:hyperlink w:anchor="_Toc184825534">
        <w:r w:rsidRPr="73FC66DE">
          <w:rPr>
            <w:rStyle w:val="Hyperlink"/>
          </w:rPr>
          <w:t>2.6.3</w:t>
        </w:r>
        <w:r>
          <w:tab/>
        </w:r>
        <w:r w:rsidRPr="73FC66DE">
          <w:rPr>
            <w:rStyle w:val="Hyperlink"/>
          </w:rPr>
          <w:t>Projections of components of the indicator</w:t>
        </w:r>
        <w:r>
          <w:tab/>
        </w:r>
        <w:r>
          <w:fldChar w:fldCharType="begin"/>
        </w:r>
        <w:r>
          <w:instrText xml:space="preserve"> PAGEREF _Toc184825534 \h </w:instrText>
        </w:r>
        <w:r>
          <w:fldChar w:fldCharType="separate"/>
        </w:r>
        <w:r w:rsidR="005843E4">
          <w:t>198</w:t>
        </w:r>
        <w:r>
          <w:fldChar w:fldCharType="end"/>
        </w:r>
      </w:hyperlink>
    </w:p>
    <w:p w14:paraId="579ED9D0" w14:textId="35C713EF" w:rsidR="001E4BEB" w:rsidRDefault="001E4BEB" w:rsidP="00B01984">
      <w:pPr>
        <w:pStyle w:val="TOC1"/>
        <w:ind w:left="993" w:hanging="993"/>
        <w:rPr>
          <w:rFonts w:asciiTheme="minorHAnsi" w:hAnsiTheme="minorHAnsi"/>
          <w:noProof/>
          <w:sz w:val="24"/>
        </w:rPr>
      </w:pPr>
      <w:hyperlink w:anchor="_Toc184825535">
        <w:r w:rsidRPr="73FC66DE">
          <w:rPr>
            <w:rStyle w:val="Hyperlink"/>
            <w:noProof/>
          </w:rPr>
          <w:t>Chapter 3  Information related to climate change impacts and adaptation under Article 7 of the Paris Agreement</w:t>
        </w:r>
        <w:r>
          <w:rPr>
            <w:noProof/>
          </w:rPr>
          <w:tab/>
        </w:r>
        <w:r w:rsidRPr="73FC66DE">
          <w:rPr>
            <w:noProof/>
          </w:rPr>
          <w:fldChar w:fldCharType="begin"/>
        </w:r>
        <w:r w:rsidRPr="73FC66DE">
          <w:rPr>
            <w:noProof/>
          </w:rPr>
          <w:instrText xml:space="preserve"> PAGEREF _Toc184825535 \h </w:instrText>
        </w:r>
        <w:r w:rsidRPr="73FC66DE">
          <w:rPr>
            <w:noProof/>
          </w:rPr>
        </w:r>
        <w:r w:rsidRPr="73FC66DE">
          <w:rPr>
            <w:noProof/>
          </w:rPr>
          <w:fldChar w:fldCharType="separate"/>
        </w:r>
        <w:r w:rsidR="005843E4">
          <w:rPr>
            <w:noProof/>
          </w:rPr>
          <w:t>205</w:t>
        </w:r>
        <w:r w:rsidRPr="73FC66DE">
          <w:rPr>
            <w:noProof/>
          </w:rPr>
          <w:fldChar w:fldCharType="end"/>
        </w:r>
      </w:hyperlink>
    </w:p>
    <w:p w14:paraId="73DCAFA4" w14:textId="1173DA51" w:rsidR="001E4BEB" w:rsidRDefault="001E4BEB" w:rsidP="73FC66DE">
      <w:pPr>
        <w:pStyle w:val="TOC2"/>
        <w:rPr>
          <w:rFonts w:asciiTheme="minorHAnsi" w:hAnsiTheme="minorHAnsi"/>
          <w:sz w:val="24"/>
          <w:szCs w:val="24"/>
        </w:rPr>
      </w:pPr>
      <w:hyperlink w:anchor="_Toc184825536">
        <w:r w:rsidRPr="73FC66DE">
          <w:rPr>
            <w:rStyle w:val="Hyperlink"/>
          </w:rPr>
          <w:t>Key messages</w:t>
        </w:r>
        <w:r>
          <w:tab/>
        </w:r>
        <w:r>
          <w:fldChar w:fldCharType="begin"/>
        </w:r>
        <w:r>
          <w:instrText xml:space="preserve"> PAGEREF _Toc184825536 \h </w:instrText>
        </w:r>
        <w:r>
          <w:fldChar w:fldCharType="separate"/>
        </w:r>
        <w:r w:rsidR="005843E4">
          <w:t>206</w:t>
        </w:r>
        <w:r>
          <w:fldChar w:fldCharType="end"/>
        </w:r>
      </w:hyperlink>
    </w:p>
    <w:p w14:paraId="3336AF0F" w14:textId="05A4CECD" w:rsidR="001E4BEB" w:rsidRDefault="001E4BEB" w:rsidP="73FC66DE">
      <w:pPr>
        <w:pStyle w:val="TOC2"/>
        <w:tabs>
          <w:tab w:val="left" w:pos="1247"/>
        </w:tabs>
        <w:rPr>
          <w:rFonts w:asciiTheme="minorHAnsi" w:hAnsiTheme="minorHAnsi"/>
          <w:sz w:val="24"/>
          <w:szCs w:val="24"/>
        </w:rPr>
      </w:pPr>
      <w:hyperlink w:anchor="_Toc184825537">
        <w:r w:rsidRPr="73FC66DE">
          <w:rPr>
            <w:rStyle w:val="Hyperlink"/>
            <w:rFonts w:cs="Arial"/>
          </w:rPr>
          <w:t>3.1</w:t>
        </w:r>
        <w:r>
          <w:tab/>
        </w:r>
        <w:r w:rsidRPr="73FC66DE">
          <w:rPr>
            <w:rStyle w:val="Hyperlink"/>
          </w:rPr>
          <w:t>Introduction</w:t>
        </w:r>
        <w:r>
          <w:tab/>
        </w:r>
        <w:r>
          <w:fldChar w:fldCharType="begin"/>
        </w:r>
        <w:r>
          <w:instrText xml:space="preserve"> PAGEREF _Toc184825537 \h </w:instrText>
        </w:r>
        <w:r>
          <w:fldChar w:fldCharType="separate"/>
        </w:r>
        <w:r w:rsidR="005843E4">
          <w:t>206</w:t>
        </w:r>
        <w:r>
          <w:fldChar w:fldCharType="end"/>
        </w:r>
      </w:hyperlink>
    </w:p>
    <w:p w14:paraId="7EF7FC2E" w14:textId="36832DE7" w:rsidR="001E4BEB" w:rsidRDefault="001E4BEB" w:rsidP="73FC66DE">
      <w:pPr>
        <w:pStyle w:val="TOC2"/>
        <w:tabs>
          <w:tab w:val="left" w:pos="1247"/>
        </w:tabs>
        <w:rPr>
          <w:rFonts w:asciiTheme="minorHAnsi" w:hAnsiTheme="minorHAnsi"/>
          <w:sz w:val="24"/>
          <w:szCs w:val="24"/>
        </w:rPr>
      </w:pPr>
      <w:hyperlink w:anchor="_Toc184825538">
        <w:r w:rsidRPr="73FC66DE">
          <w:rPr>
            <w:rStyle w:val="Hyperlink"/>
            <w:rFonts w:cs="Arial"/>
          </w:rPr>
          <w:t>3.2</w:t>
        </w:r>
        <w:r>
          <w:tab/>
        </w:r>
        <w:r w:rsidRPr="73FC66DE">
          <w:rPr>
            <w:rStyle w:val="Hyperlink"/>
          </w:rPr>
          <w:t>National circumstances, institutional arrangements and legal frameworks</w:t>
        </w:r>
        <w:r>
          <w:tab/>
        </w:r>
        <w:r>
          <w:fldChar w:fldCharType="begin"/>
        </w:r>
        <w:r>
          <w:instrText xml:space="preserve"> PAGEREF _Toc184825538 \h </w:instrText>
        </w:r>
        <w:r>
          <w:fldChar w:fldCharType="separate"/>
        </w:r>
        <w:r w:rsidR="005843E4">
          <w:t>206</w:t>
        </w:r>
        <w:r>
          <w:fldChar w:fldCharType="end"/>
        </w:r>
      </w:hyperlink>
    </w:p>
    <w:p w14:paraId="6B729CD3" w14:textId="3BC89C80" w:rsidR="001E4BEB" w:rsidRDefault="001E4BEB" w:rsidP="73FC66DE">
      <w:pPr>
        <w:pStyle w:val="TOC2"/>
        <w:tabs>
          <w:tab w:val="left" w:pos="1247"/>
        </w:tabs>
        <w:rPr>
          <w:rFonts w:asciiTheme="minorHAnsi" w:hAnsiTheme="minorHAnsi"/>
          <w:sz w:val="24"/>
          <w:szCs w:val="24"/>
        </w:rPr>
      </w:pPr>
      <w:hyperlink w:anchor="_Toc184825539">
        <w:r w:rsidRPr="73FC66DE">
          <w:rPr>
            <w:rStyle w:val="Hyperlink"/>
            <w:rFonts w:cs="Arial"/>
          </w:rPr>
          <w:t>3.3</w:t>
        </w:r>
        <w:r>
          <w:tab/>
        </w:r>
        <w:r w:rsidRPr="73FC66DE">
          <w:rPr>
            <w:rStyle w:val="Hyperlink"/>
          </w:rPr>
          <w:t>Impacts, risks and vulnerabilities</w:t>
        </w:r>
        <w:r>
          <w:tab/>
        </w:r>
        <w:r>
          <w:fldChar w:fldCharType="begin"/>
        </w:r>
        <w:r>
          <w:instrText xml:space="preserve"> PAGEREF _Toc184825539 \h </w:instrText>
        </w:r>
        <w:r>
          <w:fldChar w:fldCharType="separate"/>
        </w:r>
        <w:r w:rsidR="005843E4">
          <w:t>210</w:t>
        </w:r>
        <w:r>
          <w:fldChar w:fldCharType="end"/>
        </w:r>
      </w:hyperlink>
    </w:p>
    <w:p w14:paraId="3986B3D1" w14:textId="23C12021" w:rsidR="001E4BEB" w:rsidRDefault="001E4BEB" w:rsidP="73FC66DE">
      <w:pPr>
        <w:pStyle w:val="TOC2"/>
        <w:tabs>
          <w:tab w:val="left" w:pos="1247"/>
        </w:tabs>
        <w:rPr>
          <w:rFonts w:asciiTheme="minorHAnsi" w:hAnsiTheme="minorHAnsi"/>
          <w:sz w:val="24"/>
          <w:szCs w:val="24"/>
        </w:rPr>
      </w:pPr>
      <w:hyperlink w:anchor="_Toc184825540">
        <w:r w:rsidRPr="73FC66DE">
          <w:rPr>
            <w:rStyle w:val="Hyperlink"/>
            <w:rFonts w:cs="Arial"/>
          </w:rPr>
          <w:t>3.4</w:t>
        </w:r>
        <w:r>
          <w:tab/>
        </w:r>
        <w:r w:rsidRPr="73FC66DE">
          <w:rPr>
            <w:rStyle w:val="Hyperlink"/>
          </w:rPr>
          <w:t>Adaptation priorities and barriers</w:t>
        </w:r>
        <w:r>
          <w:tab/>
        </w:r>
        <w:r>
          <w:fldChar w:fldCharType="begin"/>
        </w:r>
        <w:r>
          <w:instrText xml:space="preserve"> PAGEREF _Toc184825540 \h </w:instrText>
        </w:r>
        <w:r>
          <w:fldChar w:fldCharType="separate"/>
        </w:r>
        <w:r w:rsidR="005843E4">
          <w:t>222</w:t>
        </w:r>
        <w:r>
          <w:fldChar w:fldCharType="end"/>
        </w:r>
      </w:hyperlink>
    </w:p>
    <w:p w14:paraId="7EA69081" w14:textId="17DA25CD" w:rsidR="001E4BEB" w:rsidRDefault="001E4BEB" w:rsidP="73FC66DE">
      <w:pPr>
        <w:pStyle w:val="TOC2"/>
        <w:tabs>
          <w:tab w:val="left" w:pos="1247"/>
        </w:tabs>
        <w:rPr>
          <w:rFonts w:asciiTheme="minorHAnsi" w:hAnsiTheme="minorHAnsi"/>
          <w:sz w:val="24"/>
          <w:szCs w:val="24"/>
        </w:rPr>
      </w:pPr>
      <w:hyperlink w:anchor="_Toc184825541">
        <w:r w:rsidRPr="73FC66DE">
          <w:rPr>
            <w:rStyle w:val="Hyperlink"/>
            <w:rFonts w:cs="Arial"/>
          </w:rPr>
          <w:t>3.5</w:t>
        </w:r>
        <w:r>
          <w:tab/>
        </w:r>
        <w:r w:rsidRPr="73FC66DE">
          <w:rPr>
            <w:rStyle w:val="Hyperlink"/>
          </w:rPr>
          <w:t>Adaptation strategies, policies, plans, goals and actions to integrate adaptation into national policies and strategies</w:t>
        </w:r>
        <w:r>
          <w:tab/>
        </w:r>
        <w:r>
          <w:fldChar w:fldCharType="begin"/>
        </w:r>
        <w:r>
          <w:instrText xml:space="preserve"> PAGEREF _Toc184825541 \h </w:instrText>
        </w:r>
        <w:r>
          <w:fldChar w:fldCharType="separate"/>
        </w:r>
        <w:r w:rsidR="005843E4">
          <w:t>227</w:t>
        </w:r>
        <w:r>
          <w:fldChar w:fldCharType="end"/>
        </w:r>
      </w:hyperlink>
    </w:p>
    <w:p w14:paraId="557D5ED7" w14:textId="4E266B50" w:rsidR="001E4BEB" w:rsidRDefault="001E4BEB" w:rsidP="73FC66DE">
      <w:pPr>
        <w:pStyle w:val="TOC2"/>
        <w:tabs>
          <w:tab w:val="left" w:pos="1247"/>
        </w:tabs>
        <w:rPr>
          <w:rFonts w:asciiTheme="minorHAnsi" w:hAnsiTheme="minorHAnsi"/>
          <w:sz w:val="24"/>
          <w:szCs w:val="24"/>
        </w:rPr>
      </w:pPr>
      <w:hyperlink w:anchor="_Toc184825542">
        <w:r w:rsidRPr="73FC66DE">
          <w:rPr>
            <w:rStyle w:val="Hyperlink"/>
            <w:rFonts w:cs="Arial"/>
          </w:rPr>
          <w:t>3.6</w:t>
        </w:r>
        <w:r>
          <w:tab/>
        </w:r>
        <w:r w:rsidRPr="73FC66DE">
          <w:rPr>
            <w:rStyle w:val="Hyperlink"/>
          </w:rPr>
          <w:t>Progress on implementation of adaptation</w:t>
        </w:r>
        <w:r>
          <w:tab/>
        </w:r>
        <w:r>
          <w:fldChar w:fldCharType="begin"/>
        </w:r>
        <w:r>
          <w:instrText xml:space="preserve"> PAGEREF _Toc184825542 \h </w:instrText>
        </w:r>
        <w:r>
          <w:fldChar w:fldCharType="separate"/>
        </w:r>
        <w:r w:rsidR="005843E4">
          <w:t>231</w:t>
        </w:r>
        <w:r>
          <w:fldChar w:fldCharType="end"/>
        </w:r>
      </w:hyperlink>
    </w:p>
    <w:p w14:paraId="4716E182" w14:textId="2FE03F13" w:rsidR="001E4BEB" w:rsidRDefault="001E4BEB" w:rsidP="73FC66DE">
      <w:pPr>
        <w:pStyle w:val="TOC2"/>
        <w:tabs>
          <w:tab w:val="left" w:pos="1247"/>
        </w:tabs>
        <w:rPr>
          <w:rFonts w:asciiTheme="minorHAnsi" w:hAnsiTheme="minorHAnsi"/>
          <w:sz w:val="24"/>
          <w:szCs w:val="24"/>
        </w:rPr>
      </w:pPr>
      <w:hyperlink w:anchor="_Toc184825543">
        <w:r w:rsidRPr="73FC66DE">
          <w:rPr>
            <w:rStyle w:val="Hyperlink"/>
            <w:rFonts w:cs="Arial"/>
          </w:rPr>
          <w:t>3.7</w:t>
        </w:r>
        <w:r>
          <w:tab/>
        </w:r>
        <w:r w:rsidRPr="73FC66DE">
          <w:rPr>
            <w:rStyle w:val="Hyperlink"/>
          </w:rPr>
          <w:t>Monitoring and evaluation of adaptation actions and processes</w:t>
        </w:r>
        <w:r>
          <w:tab/>
        </w:r>
        <w:r>
          <w:fldChar w:fldCharType="begin"/>
        </w:r>
        <w:r>
          <w:instrText xml:space="preserve"> PAGEREF _Toc184825543 \h </w:instrText>
        </w:r>
        <w:r>
          <w:fldChar w:fldCharType="separate"/>
        </w:r>
        <w:r w:rsidR="005843E4">
          <w:t>232</w:t>
        </w:r>
        <w:r>
          <w:fldChar w:fldCharType="end"/>
        </w:r>
      </w:hyperlink>
    </w:p>
    <w:p w14:paraId="5C97A765" w14:textId="6AFA2A66" w:rsidR="001E4BEB" w:rsidRDefault="001E4BEB" w:rsidP="73FC66DE">
      <w:pPr>
        <w:pStyle w:val="TOC2"/>
        <w:tabs>
          <w:tab w:val="left" w:pos="1247"/>
        </w:tabs>
        <w:rPr>
          <w:rFonts w:asciiTheme="minorHAnsi" w:hAnsiTheme="minorHAnsi"/>
          <w:sz w:val="24"/>
          <w:szCs w:val="24"/>
        </w:rPr>
      </w:pPr>
      <w:hyperlink w:anchor="_Toc184825544">
        <w:r w:rsidRPr="73FC66DE">
          <w:rPr>
            <w:rStyle w:val="Hyperlink"/>
            <w:rFonts w:cs="Arial"/>
          </w:rPr>
          <w:t>3.8</w:t>
        </w:r>
        <w:r>
          <w:tab/>
        </w:r>
        <w:r w:rsidRPr="73FC66DE">
          <w:rPr>
            <w:rStyle w:val="Hyperlink"/>
          </w:rPr>
          <w:t>Cooperation, good practices, experience and lessons learned</w:t>
        </w:r>
        <w:r>
          <w:tab/>
        </w:r>
        <w:r>
          <w:fldChar w:fldCharType="begin"/>
        </w:r>
        <w:r>
          <w:instrText xml:space="preserve"> PAGEREF _Toc184825544 \h </w:instrText>
        </w:r>
        <w:r>
          <w:fldChar w:fldCharType="separate"/>
        </w:r>
        <w:r w:rsidR="005843E4">
          <w:t>233</w:t>
        </w:r>
        <w:r>
          <w:fldChar w:fldCharType="end"/>
        </w:r>
      </w:hyperlink>
    </w:p>
    <w:p w14:paraId="50CB5738" w14:textId="2C21BA6A" w:rsidR="001E4BEB" w:rsidRDefault="001E4BEB" w:rsidP="73FC66DE">
      <w:pPr>
        <w:pStyle w:val="TOC1"/>
        <w:rPr>
          <w:rFonts w:asciiTheme="minorHAnsi" w:hAnsiTheme="minorHAnsi"/>
          <w:noProof/>
          <w:sz w:val="24"/>
        </w:rPr>
      </w:pPr>
      <w:hyperlink w:anchor="_Toc184825545">
        <w:r w:rsidRPr="73FC66DE">
          <w:rPr>
            <w:rStyle w:val="Hyperlink"/>
            <w:noProof/>
          </w:rPr>
          <w:t>Chapter 4  Financial, technological and capacity-building support</w:t>
        </w:r>
        <w:r>
          <w:rPr>
            <w:noProof/>
          </w:rPr>
          <w:tab/>
        </w:r>
        <w:r w:rsidRPr="73FC66DE">
          <w:rPr>
            <w:noProof/>
          </w:rPr>
          <w:fldChar w:fldCharType="begin"/>
        </w:r>
        <w:r w:rsidRPr="73FC66DE">
          <w:rPr>
            <w:noProof/>
          </w:rPr>
          <w:instrText xml:space="preserve"> PAGEREF _Toc184825545 \h </w:instrText>
        </w:r>
        <w:r w:rsidRPr="73FC66DE">
          <w:rPr>
            <w:noProof/>
          </w:rPr>
        </w:r>
        <w:r w:rsidRPr="73FC66DE">
          <w:rPr>
            <w:noProof/>
          </w:rPr>
          <w:fldChar w:fldCharType="separate"/>
        </w:r>
        <w:r w:rsidR="005843E4">
          <w:rPr>
            <w:noProof/>
          </w:rPr>
          <w:t>239</w:t>
        </w:r>
        <w:r w:rsidRPr="73FC66DE">
          <w:rPr>
            <w:noProof/>
          </w:rPr>
          <w:fldChar w:fldCharType="end"/>
        </w:r>
      </w:hyperlink>
    </w:p>
    <w:p w14:paraId="6B2DE291" w14:textId="0AA724DD" w:rsidR="001E4BEB" w:rsidRDefault="001E4BEB" w:rsidP="73FC66DE">
      <w:pPr>
        <w:pStyle w:val="TOC2"/>
        <w:rPr>
          <w:rFonts w:asciiTheme="minorHAnsi" w:hAnsiTheme="minorHAnsi"/>
          <w:sz w:val="24"/>
          <w:szCs w:val="24"/>
        </w:rPr>
      </w:pPr>
      <w:hyperlink w:anchor="_Toc184825546">
        <w:r w:rsidRPr="73FC66DE">
          <w:rPr>
            <w:rStyle w:val="Hyperlink"/>
          </w:rPr>
          <w:t>Key messages</w:t>
        </w:r>
        <w:r>
          <w:tab/>
        </w:r>
        <w:r>
          <w:fldChar w:fldCharType="begin"/>
        </w:r>
        <w:r>
          <w:instrText xml:space="preserve"> PAGEREF _Toc184825546 \h </w:instrText>
        </w:r>
        <w:r>
          <w:fldChar w:fldCharType="separate"/>
        </w:r>
        <w:r w:rsidR="005843E4">
          <w:t>240</w:t>
        </w:r>
        <w:r>
          <w:fldChar w:fldCharType="end"/>
        </w:r>
      </w:hyperlink>
    </w:p>
    <w:p w14:paraId="3AB77227" w14:textId="64CFB097" w:rsidR="001E4BEB" w:rsidRDefault="001E4BEB" w:rsidP="73FC66DE">
      <w:pPr>
        <w:pStyle w:val="TOC2"/>
        <w:tabs>
          <w:tab w:val="left" w:pos="1247"/>
        </w:tabs>
        <w:rPr>
          <w:rFonts w:asciiTheme="minorHAnsi" w:hAnsiTheme="minorHAnsi"/>
          <w:sz w:val="24"/>
          <w:szCs w:val="24"/>
        </w:rPr>
      </w:pPr>
      <w:hyperlink w:anchor="_Toc184825547">
        <w:r w:rsidRPr="73FC66DE">
          <w:rPr>
            <w:rStyle w:val="Hyperlink"/>
            <w:rFonts w:cs="Arial"/>
          </w:rPr>
          <w:t>4.1</w:t>
        </w:r>
        <w:r>
          <w:tab/>
        </w:r>
        <w:r w:rsidRPr="73FC66DE">
          <w:rPr>
            <w:rStyle w:val="Hyperlink"/>
          </w:rPr>
          <w:t>Introduction</w:t>
        </w:r>
        <w:r>
          <w:tab/>
        </w:r>
        <w:r>
          <w:fldChar w:fldCharType="begin"/>
        </w:r>
        <w:r>
          <w:instrText xml:space="preserve"> PAGEREF _Toc184825547 \h </w:instrText>
        </w:r>
        <w:r>
          <w:fldChar w:fldCharType="separate"/>
        </w:r>
        <w:r w:rsidR="005843E4">
          <w:t>240</w:t>
        </w:r>
        <w:r>
          <w:fldChar w:fldCharType="end"/>
        </w:r>
      </w:hyperlink>
    </w:p>
    <w:p w14:paraId="287D4DB1" w14:textId="0A04FF5D" w:rsidR="001E4BEB" w:rsidRDefault="001E4BEB" w:rsidP="73FC66DE">
      <w:pPr>
        <w:pStyle w:val="TOC2"/>
        <w:tabs>
          <w:tab w:val="left" w:pos="1247"/>
        </w:tabs>
        <w:rPr>
          <w:rFonts w:asciiTheme="minorHAnsi" w:hAnsiTheme="minorHAnsi"/>
          <w:sz w:val="24"/>
          <w:szCs w:val="24"/>
        </w:rPr>
      </w:pPr>
      <w:hyperlink w:anchor="_Toc184825548">
        <w:r w:rsidRPr="73FC66DE">
          <w:rPr>
            <w:rStyle w:val="Hyperlink"/>
            <w:rFonts w:cs="Arial"/>
          </w:rPr>
          <w:t>4.2</w:t>
        </w:r>
        <w:r>
          <w:tab/>
        </w:r>
        <w:r w:rsidRPr="73FC66DE">
          <w:rPr>
            <w:rStyle w:val="Hyperlink"/>
          </w:rPr>
          <w:t>National circumstances and institutional arrangements</w:t>
        </w:r>
        <w:r>
          <w:tab/>
        </w:r>
        <w:r>
          <w:fldChar w:fldCharType="begin"/>
        </w:r>
        <w:r>
          <w:instrText xml:space="preserve"> PAGEREF _Toc184825548 \h </w:instrText>
        </w:r>
        <w:r>
          <w:fldChar w:fldCharType="separate"/>
        </w:r>
        <w:r w:rsidR="005843E4">
          <w:t>242</w:t>
        </w:r>
        <w:r>
          <w:fldChar w:fldCharType="end"/>
        </w:r>
      </w:hyperlink>
    </w:p>
    <w:p w14:paraId="387DE255" w14:textId="34D244C8" w:rsidR="001E4BEB" w:rsidRDefault="001E4BEB" w:rsidP="73FC66DE">
      <w:pPr>
        <w:pStyle w:val="TOC2"/>
        <w:tabs>
          <w:tab w:val="left" w:pos="1247"/>
        </w:tabs>
        <w:rPr>
          <w:rFonts w:asciiTheme="minorHAnsi" w:hAnsiTheme="minorHAnsi"/>
          <w:sz w:val="24"/>
          <w:szCs w:val="24"/>
        </w:rPr>
      </w:pPr>
      <w:hyperlink w:anchor="_Toc184825549">
        <w:r w:rsidRPr="73FC66DE">
          <w:rPr>
            <w:rStyle w:val="Hyperlink"/>
            <w:rFonts w:cs="Arial"/>
          </w:rPr>
          <w:t>4.3</w:t>
        </w:r>
        <w:r>
          <w:tab/>
        </w:r>
        <w:r w:rsidRPr="73FC66DE">
          <w:rPr>
            <w:rStyle w:val="Hyperlink"/>
          </w:rPr>
          <w:t>Underlying assumptions, definitions and methodologies</w:t>
        </w:r>
        <w:r>
          <w:tab/>
        </w:r>
        <w:r>
          <w:fldChar w:fldCharType="begin"/>
        </w:r>
        <w:r>
          <w:instrText xml:space="preserve"> PAGEREF _Toc184825549 \h </w:instrText>
        </w:r>
        <w:r>
          <w:fldChar w:fldCharType="separate"/>
        </w:r>
        <w:r w:rsidR="005843E4">
          <w:t>244</w:t>
        </w:r>
        <w:r>
          <w:fldChar w:fldCharType="end"/>
        </w:r>
      </w:hyperlink>
    </w:p>
    <w:p w14:paraId="170DB268" w14:textId="4772F8CE" w:rsidR="001E4BEB" w:rsidRDefault="001E4BEB" w:rsidP="73FC66DE">
      <w:pPr>
        <w:pStyle w:val="TOC2"/>
        <w:tabs>
          <w:tab w:val="left" w:pos="1247"/>
        </w:tabs>
        <w:rPr>
          <w:rFonts w:asciiTheme="minorHAnsi" w:hAnsiTheme="minorHAnsi"/>
          <w:sz w:val="24"/>
          <w:szCs w:val="24"/>
        </w:rPr>
      </w:pPr>
      <w:hyperlink w:anchor="_Toc184825550">
        <w:r w:rsidRPr="73FC66DE">
          <w:rPr>
            <w:rStyle w:val="Hyperlink"/>
            <w:rFonts w:cs="Arial"/>
          </w:rPr>
          <w:t>4.4</w:t>
        </w:r>
        <w:r>
          <w:tab/>
        </w:r>
        <w:r w:rsidRPr="73FC66DE">
          <w:rPr>
            <w:rStyle w:val="Hyperlink"/>
          </w:rPr>
          <w:t>Information on financial support provided and mobilised under Article 9 of the Paris Agreement</w:t>
        </w:r>
        <w:r>
          <w:tab/>
        </w:r>
        <w:r>
          <w:fldChar w:fldCharType="begin"/>
        </w:r>
        <w:r>
          <w:instrText xml:space="preserve"> PAGEREF _Toc184825550 \h </w:instrText>
        </w:r>
        <w:r>
          <w:fldChar w:fldCharType="separate"/>
        </w:r>
        <w:r w:rsidR="005843E4">
          <w:t>255</w:t>
        </w:r>
        <w:r>
          <w:fldChar w:fldCharType="end"/>
        </w:r>
      </w:hyperlink>
    </w:p>
    <w:p w14:paraId="4E6A6AF1" w14:textId="7CBD7710" w:rsidR="001E4BEB" w:rsidRDefault="001E4BEB" w:rsidP="73FC66DE">
      <w:pPr>
        <w:pStyle w:val="TOC2"/>
        <w:tabs>
          <w:tab w:val="left" w:pos="1247"/>
        </w:tabs>
        <w:rPr>
          <w:rFonts w:asciiTheme="minorHAnsi" w:hAnsiTheme="minorHAnsi"/>
          <w:sz w:val="24"/>
          <w:szCs w:val="24"/>
        </w:rPr>
      </w:pPr>
      <w:hyperlink w:anchor="_Toc184825551">
        <w:r w:rsidRPr="73FC66DE">
          <w:rPr>
            <w:rStyle w:val="Hyperlink"/>
            <w:rFonts w:cs="Arial"/>
          </w:rPr>
          <w:t>4.5</w:t>
        </w:r>
        <w:r>
          <w:tab/>
        </w:r>
        <w:r w:rsidRPr="73FC66DE">
          <w:rPr>
            <w:rStyle w:val="Hyperlink"/>
          </w:rPr>
          <w:t>Information on support for technology development and transfer provided under Article 10 of the Paris Agreement</w:t>
        </w:r>
        <w:r>
          <w:tab/>
        </w:r>
        <w:r>
          <w:fldChar w:fldCharType="begin"/>
        </w:r>
        <w:r>
          <w:instrText xml:space="preserve"> PAGEREF _Toc184825551 \h </w:instrText>
        </w:r>
        <w:r>
          <w:fldChar w:fldCharType="separate"/>
        </w:r>
        <w:r w:rsidR="005843E4">
          <w:t>255</w:t>
        </w:r>
        <w:r>
          <w:fldChar w:fldCharType="end"/>
        </w:r>
      </w:hyperlink>
    </w:p>
    <w:p w14:paraId="6E894121" w14:textId="521C56FF" w:rsidR="001E4BEB" w:rsidRDefault="001E4BEB" w:rsidP="73FC66DE">
      <w:pPr>
        <w:pStyle w:val="TOC2"/>
        <w:tabs>
          <w:tab w:val="left" w:pos="1247"/>
        </w:tabs>
        <w:rPr>
          <w:rFonts w:asciiTheme="minorHAnsi" w:hAnsiTheme="minorHAnsi"/>
          <w:sz w:val="24"/>
          <w:szCs w:val="24"/>
        </w:rPr>
      </w:pPr>
      <w:hyperlink w:anchor="_Toc184825552">
        <w:r w:rsidRPr="73FC66DE">
          <w:rPr>
            <w:rStyle w:val="Hyperlink"/>
            <w:rFonts w:cs="Arial"/>
          </w:rPr>
          <w:t>4.6</w:t>
        </w:r>
        <w:r>
          <w:tab/>
        </w:r>
        <w:r w:rsidRPr="73FC66DE">
          <w:rPr>
            <w:rStyle w:val="Hyperlink"/>
          </w:rPr>
          <w:t>Information on capacity-building support provided under Article 11 of the Paris Agreement</w:t>
        </w:r>
        <w:r>
          <w:tab/>
        </w:r>
        <w:r>
          <w:fldChar w:fldCharType="begin"/>
        </w:r>
        <w:r>
          <w:instrText xml:space="preserve"> PAGEREF _Toc184825552 \h </w:instrText>
        </w:r>
        <w:r>
          <w:fldChar w:fldCharType="separate"/>
        </w:r>
        <w:r w:rsidR="005843E4">
          <w:t>256</w:t>
        </w:r>
        <w:r>
          <w:fldChar w:fldCharType="end"/>
        </w:r>
      </w:hyperlink>
    </w:p>
    <w:p w14:paraId="6B744856" w14:textId="20C0795D" w:rsidR="001E4BEB" w:rsidRDefault="001E4BEB" w:rsidP="73FC66DE">
      <w:pPr>
        <w:pStyle w:val="TOC1"/>
        <w:rPr>
          <w:rFonts w:asciiTheme="minorHAnsi" w:hAnsiTheme="minorHAnsi"/>
          <w:noProof/>
          <w:sz w:val="24"/>
        </w:rPr>
      </w:pPr>
      <w:hyperlink w:anchor="_Toc184825553">
        <w:r w:rsidRPr="73FC66DE">
          <w:rPr>
            <w:rStyle w:val="Hyperlink"/>
            <w:noProof/>
          </w:rPr>
          <w:t>Annex I: Common tabular formats for electronic reporting</w:t>
        </w:r>
        <w:r>
          <w:rPr>
            <w:noProof/>
          </w:rPr>
          <w:tab/>
        </w:r>
        <w:r w:rsidRPr="73FC66DE">
          <w:rPr>
            <w:noProof/>
          </w:rPr>
          <w:fldChar w:fldCharType="begin"/>
        </w:r>
        <w:r w:rsidRPr="73FC66DE">
          <w:rPr>
            <w:noProof/>
          </w:rPr>
          <w:instrText xml:space="preserve"> PAGEREF _Toc184825553 \h </w:instrText>
        </w:r>
        <w:r w:rsidRPr="73FC66DE">
          <w:rPr>
            <w:noProof/>
          </w:rPr>
        </w:r>
        <w:r w:rsidRPr="73FC66DE">
          <w:rPr>
            <w:noProof/>
          </w:rPr>
          <w:fldChar w:fldCharType="separate"/>
        </w:r>
        <w:r w:rsidR="005843E4">
          <w:rPr>
            <w:noProof/>
          </w:rPr>
          <w:t>258</w:t>
        </w:r>
        <w:r w:rsidRPr="73FC66DE">
          <w:rPr>
            <w:noProof/>
          </w:rPr>
          <w:fldChar w:fldCharType="end"/>
        </w:r>
      </w:hyperlink>
    </w:p>
    <w:p w14:paraId="66BBD2E9" w14:textId="0080E779" w:rsidR="001E4BEB" w:rsidRDefault="001E4BEB" w:rsidP="73FC66DE">
      <w:pPr>
        <w:pStyle w:val="TOC1"/>
        <w:rPr>
          <w:rFonts w:asciiTheme="minorHAnsi" w:hAnsiTheme="minorHAnsi"/>
          <w:noProof/>
          <w:sz w:val="24"/>
        </w:rPr>
      </w:pPr>
      <w:hyperlink w:anchor="_Toc184825554">
        <w:r w:rsidRPr="73FC66DE">
          <w:rPr>
            <w:rStyle w:val="Hyperlink"/>
            <w:noProof/>
          </w:rPr>
          <w:t>Annex 2: Land Use, Land-Use Change and Forestry (LULUCF) accounting methodology</w:t>
        </w:r>
        <w:r>
          <w:rPr>
            <w:noProof/>
          </w:rPr>
          <w:tab/>
        </w:r>
        <w:r w:rsidRPr="73FC66DE">
          <w:rPr>
            <w:noProof/>
          </w:rPr>
          <w:fldChar w:fldCharType="begin"/>
        </w:r>
        <w:r w:rsidRPr="73FC66DE">
          <w:rPr>
            <w:noProof/>
          </w:rPr>
          <w:instrText xml:space="preserve"> PAGEREF _Toc184825554 \h </w:instrText>
        </w:r>
        <w:r w:rsidRPr="73FC66DE">
          <w:rPr>
            <w:noProof/>
          </w:rPr>
        </w:r>
        <w:r w:rsidRPr="73FC66DE">
          <w:rPr>
            <w:noProof/>
          </w:rPr>
          <w:fldChar w:fldCharType="separate"/>
        </w:r>
        <w:r w:rsidR="005843E4">
          <w:rPr>
            <w:noProof/>
          </w:rPr>
          <w:t>356</w:t>
        </w:r>
        <w:r w:rsidRPr="73FC66DE">
          <w:rPr>
            <w:noProof/>
          </w:rPr>
          <w:fldChar w:fldCharType="end"/>
        </w:r>
      </w:hyperlink>
    </w:p>
    <w:p w14:paraId="6D186662" w14:textId="6F33F093" w:rsidR="001E4BEB" w:rsidRDefault="001E4BEB" w:rsidP="00B01984">
      <w:pPr>
        <w:pStyle w:val="TOC1"/>
        <w:ind w:left="851" w:hanging="851"/>
        <w:rPr>
          <w:rFonts w:asciiTheme="minorHAnsi" w:hAnsiTheme="minorHAnsi"/>
          <w:noProof/>
          <w:sz w:val="24"/>
        </w:rPr>
      </w:pPr>
      <w:hyperlink w:anchor="_Toc184825555">
        <w:r w:rsidRPr="73FC66DE">
          <w:rPr>
            <w:rStyle w:val="Hyperlink"/>
            <w:noProof/>
          </w:rPr>
          <w:t>Annex 3: Methodologies used to estimate greenhouse gas emission reductions or removals from policies and measures</w:t>
        </w:r>
        <w:r>
          <w:rPr>
            <w:noProof/>
          </w:rPr>
          <w:tab/>
        </w:r>
        <w:r w:rsidRPr="73FC66DE">
          <w:rPr>
            <w:noProof/>
          </w:rPr>
          <w:fldChar w:fldCharType="begin"/>
        </w:r>
        <w:r w:rsidRPr="73FC66DE">
          <w:rPr>
            <w:noProof/>
          </w:rPr>
          <w:instrText xml:space="preserve"> PAGEREF _Toc184825555 \h </w:instrText>
        </w:r>
        <w:r w:rsidRPr="73FC66DE">
          <w:rPr>
            <w:noProof/>
          </w:rPr>
        </w:r>
        <w:r w:rsidRPr="73FC66DE">
          <w:rPr>
            <w:noProof/>
          </w:rPr>
          <w:fldChar w:fldCharType="separate"/>
        </w:r>
        <w:r w:rsidR="005843E4">
          <w:rPr>
            <w:noProof/>
          </w:rPr>
          <w:t>391</w:t>
        </w:r>
        <w:r w:rsidRPr="73FC66DE">
          <w:rPr>
            <w:noProof/>
          </w:rPr>
          <w:fldChar w:fldCharType="end"/>
        </w:r>
      </w:hyperlink>
    </w:p>
    <w:p w14:paraId="41C0A63B" w14:textId="0606C2AE" w:rsidR="0080531E" w:rsidRPr="00F06E0B" w:rsidRDefault="0080531E" w:rsidP="00F16E04">
      <w:pPr>
        <w:pStyle w:val="BodyText"/>
        <w:rPr>
          <w:noProof/>
        </w:rPr>
      </w:pPr>
    </w:p>
    <w:p w14:paraId="54090140" w14:textId="6091E743" w:rsidR="0080531E" w:rsidRPr="006B77BB" w:rsidRDefault="00775F57" w:rsidP="002B4778">
      <w:pPr>
        <w:pStyle w:val="Glossary"/>
      </w:pPr>
      <w:r w:rsidRPr="006B77BB">
        <w:rPr>
          <w:color w:val="0092CF"/>
        </w:rPr>
        <w:fldChar w:fldCharType="end"/>
      </w:r>
    </w:p>
    <w:p w14:paraId="01B9FE0E" w14:textId="77777777" w:rsidR="00A01861" w:rsidRDefault="00A01861" w:rsidP="00554B30">
      <w:pPr>
        <w:sectPr w:rsidR="00A01861" w:rsidSect="00F559DA">
          <w:footerReference w:type="default" r:id="rId25"/>
          <w:type w:val="continuous"/>
          <w:pgSz w:w="11907" w:h="16840" w:code="9"/>
          <w:pgMar w:top="1134" w:right="1701" w:bottom="1134" w:left="1701" w:header="567" w:footer="567" w:gutter="0"/>
          <w:cols w:space="720"/>
          <w:docGrid w:linePitch="299"/>
        </w:sectPr>
      </w:pPr>
    </w:p>
    <w:p w14:paraId="2A445211" w14:textId="77777777" w:rsidR="00532334" w:rsidRPr="006B77BB" w:rsidRDefault="00532334" w:rsidP="00585FD0">
      <w:pPr>
        <w:pStyle w:val="Heading"/>
      </w:pPr>
      <w:r w:rsidRPr="006B77BB">
        <w:t>Tables</w:t>
      </w:r>
    </w:p>
    <w:p w14:paraId="6C6FAF45" w14:textId="61E2210B" w:rsidR="00386615" w:rsidRDefault="004943C2">
      <w:pPr>
        <w:pStyle w:val="TableofFigures"/>
        <w:tabs>
          <w:tab w:val="right" w:pos="8495"/>
        </w:tabs>
        <w:rPr>
          <w:rFonts w:asciiTheme="minorHAnsi" w:hAnsiTheme="minorHAnsi"/>
          <w:noProof/>
          <w:kern w:val="2"/>
          <w:sz w:val="24"/>
          <w:szCs w:val="24"/>
          <w14:ligatures w14:val="standardContextual"/>
        </w:rPr>
      </w:pPr>
      <w:r w:rsidRPr="00F17830">
        <w:rPr>
          <w:rFonts w:cs="Calibri"/>
        </w:rPr>
        <w:fldChar w:fldCharType="begin"/>
      </w:r>
      <w:r w:rsidRPr="00F17830">
        <w:rPr>
          <w:rFonts w:cs="Calibri"/>
        </w:rPr>
        <w:instrText xml:space="preserve"> TOC \h \z \t "Table heading" \c </w:instrText>
      </w:r>
      <w:r w:rsidRPr="00F17830">
        <w:rPr>
          <w:rFonts w:cs="Calibri"/>
        </w:rPr>
        <w:fldChar w:fldCharType="separate"/>
      </w:r>
      <w:hyperlink w:anchor="_Toc185427719" w:history="1">
        <w:r w:rsidR="00386615" w:rsidRPr="00592639">
          <w:rPr>
            <w:rStyle w:val="Hyperlink"/>
            <w:noProof/>
          </w:rPr>
          <w:t xml:space="preserve">Table 1.1: </w:t>
        </w:r>
        <w:r w:rsidR="00386615">
          <w:rPr>
            <w:rFonts w:asciiTheme="minorHAnsi" w:hAnsiTheme="minorHAnsi"/>
            <w:noProof/>
            <w:kern w:val="2"/>
            <w:sz w:val="24"/>
            <w:szCs w:val="24"/>
            <w14:ligatures w14:val="standardContextual"/>
          </w:rPr>
          <w:tab/>
        </w:r>
        <w:r w:rsidR="00386615" w:rsidRPr="00592639">
          <w:rPr>
            <w:rStyle w:val="Hyperlink"/>
            <w:noProof/>
          </w:rPr>
          <w:t>New Zealand’s emissions by sector, 1990 and 2022</w:t>
        </w:r>
        <w:r w:rsidR="00386615">
          <w:rPr>
            <w:noProof/>
            <w:webHidden/>
          </w:rPr>
          <w:tab/>
        </w:r>
        <w:r w:rsidR="00386615">
          <w:rPr>
            <w:noProof/>
            <w:webHidden/>
          </w:rPr>
          <w:fldChar w:fldCharType="begin"/>
        </w:r>
        <w:r w:rsidR="00386615">
          <w:rPr>
            <w:noProof/>
            <w:webHidden/>
          </w:rPr>
          <w:instrText xml:space="preserve"> PAGEREF _Toc185427719 \h </w:instrText>
        </w:r>
        <w:r w:rsidR="00386615">
          <w:rPr>
            <w:noProof/>
            <w:webHidden/>
          </w:rPr>
        </w:r>
        <w:r w:rsidR="00386615">
          <w:rPr>
            <w:noProof/>
            <w:webHidden/>
          </w:rPr>
          <w:fldChar w:fldCharType="separate"/>
        </w:r>
        <w:r w:rsidR="005843E4">
          <w:rPr>
            <w:noProof/>
            <w:webHidden/>
          </w:rPr>
          <w:t>26</w:t>
        </w:r>
        <w:r w:rsidR="00386615">
          <w:rPr>
            <w:noProof/>
            <w:webHidden/>
          </w:rPr>
          <w:fldChar w:fldCharType="end"/>
        </w:r>
      </w:hyperlink>
    </w:p>
    <w:p w14:paraId="13A3CCE6" w14:textId="04DD30C5"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20" w:history="1">
        <w:r w:rsidRPr="00592639">
          <w:rPr>
            <w:rStyle w:val="Hyperlink"/>
            <w:bCs/>
            <w:noProof/>
          </w:rPr>
          <w:t>Table 1.2</w:t>
        </w:r>
        <w:r w:rsidRPr="00592639">
          <w:rPr>
            <w:rStyle w:val="Hyperlink"/>
            <w:noProof/>
          </w:rPr>
          <w:t>:</w:t>
        </w:r>
        <w:r>
          <w:rPr>
            <w:rFonts w:asciiTheme="minorHAnsi" w:hAnsiTheme="minorHAnsi"/>
            <w:noProof/>
            <w:kern w:val="2"/>
            <w:sz w:val="24"/>
            <w:szCs w:val="24"/>
            <w14:ligatures w14:val="standardContextual"/>
          </w:rPr>
          <w:tab/>
        </w:r>
        <w:r w:rsidRPr="00592639">
          <w:rPr>
            <w:rStyle w:val="Hyperlink"/>
            <w:noProof/>
          </w:rPr>
          <w:t xml:space="preserve">New Zealand’s gross emissions by gas, </w:t>
        </w:r>
        <w:r w:rsidRPr="00592639">
          <w:rPr>
            <w:rStyle w:val="Hyperlink"/>
            <w:bCs/>
            <w:noProof/>
          </w:rPr>
          <w:t>1990</w:t>
        </w:r>
        <w:r w:rsidRPr="00592639">
          <w:rPr>
            <w:rStyle w:val="Hyperlink"/>
            <w:noProof/>
          </w:rPr>
          <w:t xml:space="preserve"> and </w:t>
        </w:r>
        <w:r w:rsidRPr="00592639">
          <w:rPr>
            <w:rStyle w:val="Hyperlink"/>
            <w:bCs/>
            <w:noProof/>
          </w:rPr>
          <w:t>2022</w:t>
        </w:r>
        <w:r>
          <w:rPr>
            <w:noProof/>
            <w:webHidden/>
          </w:rPr>
          <w:tab/>
        </w:r>
        <w:r>
          <w:rPr>
            <w:noProof/>
            <w:webHidden/>
          </w:rPr>
          <w:fldChar w:fldCharType="begin"/>
        </w:r>
        <w:r>
          <w:rPr>
            <w:noProof/>
            <w:webHidden/>
          </w:rPr>
          <w:instrText xml:space="preserve"> PAGEREF _Toc185427720 \h </w:instrText>
        </w:r>
        <w:r>
          <w:rPr>
            <w:noProof/>
            <w:webHidden/>
          </w:rPr>
        </w:r>
        <w:r>
          <w:rPr>
            <w:noProof/>
            <w:webHidden/>
          </w:rPr>
          <w:fldChar w:fldCharType="separate"/>
        </w:r>
        <w:r w:rsidR="005843E4">
          <w:rPr>
            <w:noProof/>
            <w:webHidden/>
          </w:rPr>
          <w:t>26</w:t>
        </w:r>
        <w:r>
          <w:rPr>
            <w:noProof/>
            <w:webHidden/>
          </w:rPr>
          <w:fldChar w:fldCharType="end"/>
        </w:r>
      </w:hyperlink>
    </w:p>
    <w:p w14:paraId="0DF85D83" w14:textId="29411BD6"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21" w:history="1">
        <w:r w:rsidRPr="00592639">
          <w:rPr>
            <w:rStyle w:val="Hyperlink"/>
            <w:noProof/>
          </w:rPr>
          <w:t xml:space="preserve">Table 2.1.1: </w:t>
        </w:r>
        <w:r>
          <w:rPr>
            <w:rFonts w:asciiTheme="minorHAnsi" w:hAnsiTheme="minorHAnsi"/>
            <w:noProof/>
            <w:kern w:val="2"/>
            <w:sz w:val="24"/>
            <w:szCs w:val="24"/>
            <w14:ligatures w14:val="standardContextual"/>
          </w:rPr>
          <w:tab/>
        </w:r>
        <w:r w:rsidRPr="00592639">
          <w:rPr>
            <w:rStyle w:val="Hyperlink"/>
            <w:noProof/>
          </w:rPr>
          <w:t>Climate change and related hazards projects</w:t>
        </w:r>
        <w:r>
          <w:rPr>
            <w:noProof/>
            <w:webHidden/>
          </w:rPr>
          <w:tab/>
        </w:r>
        <w:r>
          <w:rPr>
            <w:noProof/>
            <w:webHidden/>
          </w:rPr>
          <w:fldChar w:fldCharType="begin"/>
        </w:r>
        <w:r>
          <w:rPr>
            <w:noProof/>
            <w:webHidden/>
          </w:rPr>
          <w:instrText xml:space="preserve"> PAGEREF _Toc185427721 \h </w:instrText>
        </w:r>
        <w:r>
          <w:rPr>
            <w:noProof/>
            <w:webHidden/>
          </w:rPr>
        </w:r>
        <w:r>
          <w:rPr>
            <w:noProof/>
            <w:webHidden/>
          </w:rPr>
          <w:fldChar w:fldCharType="separate"/>
        </w:r>
        <w:r w:rsidR="005843E4">
          <w:rPr>
            <w:noProof/>
            <w:webHidden/>
          </w:rPr>
          <w:t>56</w:t>
        </w:r>
        <w:r>
          <w:rPr>
            <w:noProof/>
            <w:webHidden/>
          </w:rPr>
          <w:fldChar w:fldCharType="end"/>
        </w:r>
      </w:hyperlink>
    </w:p>
    <w:p w14:paraId="0C2828C9" w14:textId="3EAE9FF3"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22" w:history="1">
        <w:r w:rsidRPr="00592639">
          <w:rPr>
            <w:rStyle w:val="Hyperlink"/>
            <w:noProof/>
          </w:rPr>
          <w:t>Table 2.1.2:</w:t>
        </w:r>
        <w:r>
          <w:rPr>
            <w:rFonts w:asciiTheme="minorHAnsi" w:hAnsiTheme="minorHAnsi"/>
            <w:noProof/>
            <w:kern w:val="2"/>
            <w:sz w:val="24"/>
            <w:szCs w:val="24"/>
            <w14:ligatures w14:val="standardContextual"/>
          </w:rPr>
          <w:tab/>
        </w:r>
        <w:r w:rsidRPr="00592639">
          <w:rPr>
            <w:rStyle w:val="Hyperlink"/>
            <w:noProof/>
          </w:rPr>
          <w:t>New Zealand’s first three emissions budgets, 2022–35</w:t>
        </w:r>
        <w:r>
          <w:rPr>
            <w:noProof/>
            <w:webHidden/>
          </w:rPr>
          <w:tab/>
        </w:r>
        <w:r>
          <w:rPr>
            <w:noProof/>
            <w:webHidden/>
          </w:rPr>
          <w:fldChar w:fldCharType="begin"/>
        </w:r>
        <w:r>
          <w:rPr>
            <w:noProof/>
            <w:webHidden/>
          </w:rPr>
          <w:instrText xml:space="preserve"> PAGEREF _Toc185427722 \h </w:instrText>
        </w:r>
        <w:r>
          <w:rPr>
            <w:noProof/>
            <w:webHidden/>
          </w:rPr>
        </w:r>
        <w:r>
          <w:rPr>
            <w:noProof/>
            <w:webHidden/>
          </w:rPr>
          <w:fldChar w:fldCharType="separate"/>
        </w:r>
        <w:r w:rsidR="005843E4">
          <w:rPr>
            <w:noProof/>
            <w:webHidden/>
          </w:rPr>
          <w:t>59</w:t>
        </w:r>
        <w:r>
          <w:rPr>
            <w:noProof/>
            <w:webHidden/>
          </w:rPr>
          <w:fldChar w:fldCharType="end"/>
        </w:r>
      </w:hyperlink>
    </w:p>
    <w:p w14:paraId="7BB1515A" w14:textId="0E258BBD"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23" w:history="1">
        <w:r w:rsidRPr="00592639">
          <w:rPr>
            <w:rStyle w:val="Hyperlink"/>
            <w:noProof/>
          </w:rPr>
          <w:t>CTF table 4:</w:t>
        </w:r>
        <w:r>
          <w:rPr>
            <w:rFonts w:asciiTheme="minorHAnsi" w:hAnsiTheme="minorHAnsi"/>
            <w:noProof/>
            <w:kern w:val="2"/>
            <w:sz w:val="24"/>
            <w:szCs w:val="24"/>
            <w14:ligatures w14:val="standardContextual"/>
          </w:rPr>
          <w:tab/>
        </w:r>
        <w:r w:rsidRPr="00592639">
          <w:rPr>
            <w:rStyle w:val="Hyperlink"/>
            <w:noProof/>
          </w:rPr>
          <w:t>Structured summary: Tracking progress made in implementing and achieving the NDC under Article 4 of the Paris Agreement</w:t>
        </w:r>
        <w:r>
          <w:rPr>
            <w:noProof/>
            <w:webHidden/>
          </w:rPr>
          <w:tab/>
        </w:r>
        <w:r>
          <w:rPr>
            <w:noProof/>
            <w:webHidden/>
          </w:rPr>
          <w:fldChar w:fldCharType="begin"/>
        </w:r>
        <w:r>
          <w:rPr>
            <w:noProof/>
            <w:webHidden/>
          </w:rPr>
          <w:instrText xml:space="preserve"> PAGEREF _Toc185427723 \h </w:instrText>
        </w:r>
        <w:r>
          <w:rPr>
            <w:noProof/>
            <w:webHidden/>
          </w:rPr>
        </w:r>
        <w:r>
          <w:rPr>
            <w:noProof/>
            <w:webHidden/>
          </w:rPr>
          <w:fldChar w:fldCharType="separate"/>
        </w:r>
        <w:r w:rsidR="005843E4">
          <w:rPr>
            <w:noProof/>
            <w:webHidden/>
          </w:rPr>
          <w:t>75</w:t>
        </w:r>
        <w:r>
          <w:rPr>
            <w:noProof/>
            <w:webHidden/>
          </w:rPr>
          <w:fldChar w:fldCharType="end"/>
        </w:r>
      </w:hyperlink>
    </w:p>
    <w:p w14:paraId="5C8ADB96" w14:textId="1A5AA5D8"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24" w:history="1">
        <w:r w:rsidRPr="00592639">
          <w:rPr>
            <w:rStyle w:val="Hyperlink"/>
            <w:noProof/>
          </w:rPr>
          <w:t>CTF table 1:</w:t>
        </w:r>
        <w:r>
          <w:rPr>
            <w:rFonts w:asciiTheme="minorHAnsi" w:hAnsiTheme="minorHAnsi"/>
            <w:noProof/>
            <w:kern w:val="2"/>
            <w:sz w:val="24"/>
            <w:szCs w:val="24"/>
            <w14:ligatures w14:val="standardContextual"/>
          </w:rPr>
          <w:tab/>
        </w:r>
        <w:r w:rsidRPr="00592639">
          <w:rPr>
            <w:rStyle w:val="Hyperlink"/>
            <w:noProof/>
          </w:rPr>
          <w:t>Structured summary: Description of selected indicators</w:t>
        </w:r>
        <w:r>
          <w:rPr>
            <w:noProof/>
            <w:webHidden/>
          </w:rPr>
          <w:tab/>
        </w:r>
        <w:r>
          <w:rPr>
            <w:noProof/>
            <w:webHidden/>
          </w:rPr>
          <w:fldChar w:fldCharType="begin"/>
        </w:r>
        <w:r>
          <w:rPr>
            <w:noProof/>
            <w:webHidden/>
          </w:rPr>
          <w:instrText xml:space="preserve"> PAGEREF _Toc185427724 \h </w:instrText>
        </w:r>
        <w:r>
          <w:rPr>
            <w:noProof/>
            <w:webHidden/>
          </w:rPr>
        </w:r>
        <w:r>
          <w:rPr>
            <w:noProof/>
            <w:webHidden/>
          </w:rPr>
          <w:fldChar w:fldCharType="separate"/>
        </w:r>
        <w:r w:rsidR="005843E4">
          <w:rPr>
            <w:noProof/>
            <w:webHidden/>
          </w:rPr>
          <w:t>77</w:t>
        </w:r>
        <w:r>
          <w:rPr>
            <w:noProof/>
            <w:webHidden/>
          </w:rPr>
          <w:fldChar w:fldCharType="end"/>
        </w:r>
      </w:hyperlink>
    </w:p>
    <w:p w14:paraId="5616E6ED" w14:textId="63B0E879"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25" w:history="1">
        <w:r w:rsidRPr="00592639">
          <w:rPr>
            <w:rStyle w:val="Hyperlink"/>
            <w:noProof/>
          </w:rPr>
          <w:t xml:space="preserve">CTF table 2: </w:t>
        </w:r>
        <w:r>
          <w:rPr>
            <w:rFonts w:asciiTheme="minorHAnsi" w:hAnsiTheme="minorHAnsi"/>
            <w:noProof/>
            <w:kern w:val="2"/>
            <w:sz w:val="24"/>
            <w:szCs w:val="24"/>
            <w14:ligatures w14:val="standardContextual"/>
          </w:rPr>
          <w:tab/>
        </w:r>
        <w:r w:rsidRPr="00592639">
          <w:rPr>
            <w:rStyle w:val="Hyperlink"/>
            <w:noProof/>
          </w:rPr>
          <w:t>Structured summary: Definitions needed to understand the Nationally Determined Contribution</w:t>
        </w:r>
        <w:r>
          <w:rPr>
            <w:noProof/>
            <w:webHidden/>
          </w:rPr>
          <w:tab/>
        </w:r>
        <w:r>
          <w:rPr>
            <w:noProof/>
            <w:webHidden/>
          </w:rPr>
          <w:fldChar w:fldCharType="begin"/>
        </w:r>
        <w:r>
          <w:rPr>
            <w:noProof/>
            <w:webHidden/>
          </w:rPr>
          <w:instrText xml:space="preserve"> PAGEREF _Toc185427725 \h </w:instrText>
        </w:r>
        <w:r>
          <w:rPr>
            <w:noProof/>
            <w:webHidden/>
          </w:rPr>
        </w:r>
        <w:r>
          <w:rPr>
            <w:noProof/>
            <w:webHidden/>
          </w:rPr>
          <w:fldChar w:fldCharType="separate"/>
        </w:r>
        <w:r w:rsidR="005843E4">
          <w:rPr>
            <w:noProof/>
            <w:webHidden/>
          </w:rPr>
          <w:t>77</w:t>
        </w:r>
        <w:r>
          <w:rPr>
            <w:noProof/>
            <w:webHidden/>
          </w:rPr>
          <w:fldChar w:fldCharType="end"/>
        </w:r>
      </w:hyperlink>
    </w:p>
    <w:p w14:paraId="47A5FF58" w14:textId="0852957C"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26" w:history="1">
        <w:r w:rsidRPr="00592639">
          <w:rPr>
            <w:rStyle w:val="Hyperlink"/>
            <w:noProof/>
          </w:rPr>
          <w:t xml:space="preserve">CTF table 3: </w:t>
        </w:r>
        <w:r>
          <w:rPr>
            <w:rFonts w:asciiTheme="minorHAnsi" w:hAnsiTheme="minorHAnsi"/>
            <w:noProof/>
            <w:kern w:val="2"/>
            <w:sz w:val="24"/>
            <w:szCs w:val="24"/>
            <w14:ligatures w14:val="standardContextual"/>
          </w:rPr>
          <w:tab/>
        </w:r>
        <w:r w:rsidRPr="00592639">
          <w:rPr>
            <w:rStyle w:val="Hyperlink"/>
            <w:noProof/>
          </w:rPr>
          <w:t>Structured summary: Methodologies and accounting approaches – consistency with Article 4, paragraphs 13 and 14, of the Paris Agreement and with decision 4/CMA.1</w:t>
        </w:r>
        <w:r>
          <w:rPr>
            <w:noProof/>
            <w:webHidden/>
          </w:rPr>
          <w:tab/>
        </w:r>
        <w:r>
          <w:rPr>
            <w:noProof/>
            <w:webHidden/>
          </w:rPr>
          <w:fldChar w:fldCharType="begin"/>
        </w:r>
        <w:r>
          <w:rPr>
            <w:noProof/>
            <w:webHidden/>
          </w:rPr>
          <w:instrText xml:space="preserve"> PAGEREF _Toc185427726 \h </w:instrText>
        </w:r>
        <w:r>
          <w:rPr>
            <w:noProof/>
            <w:webHidden/>
          </w:rPr>
        </w:r>
        <w:r>
          <w:rPr>
            <w:noProof/>
            <w:webHidden/>
          </w:rPr>
          <w:fldChar w:fldCharType="separate"/>
        </w:r>
        <w:r w:rsidR="005843E4">
          <w:rPr>
            <w:noProof/>
            <w:webHidden/>
          </w:rPr>
          <w:t>82</w:t>
        </w:r>
        <w:r>
          <w:rPr>
            <w:noProof/>
            <w:webHidden/>
          </w:rPr>
          <w:fldChar w:fldCharType="end"/>
        </w:r>
      </w:hyperlink>
    </w:p>
    <w:p w14:paraId="4641A65D" w14:textId="43A1C6E6"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27" w:history="1">
        <w:r w:rsidRPr="00592639">
          <w:rPr>
            <w:rStyle w:val="Hyperlink"/>
            <w:noProof/>
          </w:rPr>
          <w:t xml:space="preserve">Table 2.4.1: </w:t>
        </w:r>
        <w:r>
          <w:rPr>
            <w:rFonts w:asciiTheme="minorHAnsi" w:hAnsiTheme="minorHAnsi"/>
            <w:noProof/>
            <w:kern w:val="2"/>
            <w:sz w:val="24"/>
            <w:szCs w:val="24"/>
            <w14:ligatures w14:val="standardContextual"/>
          </w:rPr>
          <w:tab/>
        </w:r>
        <w:r w:rsidRPr="00592639">
          <w:rPr>
            <w:rStyle w:val="Hyperlink"/>
            <w:noProof/>
          </w:rPr>
          <w:t>Summary of impacts from analysis of expected distributional impacts of second emissions reduction plan policies</w:t>
        </w:r>
        <w:r>
          <w:rPr>
            <w:noProof/>
            <w:webHidden/>
          </w:rPr>
          <w:tab/>
        </w:r>
        <w:r>
          <w:rPr>
            <w:noProof/>
            <w:webHidden/>
          </w:rPr>
          <w:fldChar w:fldCharType="begin"/>
        </w:r>
        <w:r>
          <w:rPr>
            <w:noProof/>
            <w:webHidden/>
          </w:rPr>
          <w:instrText xml:space="preserve"> PAGEREF _Toc185427727 \h </w:instrText>
        </w:r>
        <w:r>
          <w:rPr>
            <w:noProof/>
            <w:webHidden/>
          </w:rPr>
        </w:r>
        <w:r>
          <w:rPr>
            <w:noProof/>
            <w:webHidden/>
          </w:rPr>
          <w:fldChar w:fldCharType="separate"/>
        </w:r>
        <w:r w:rsidR="005843E4">
          <w:rPr>
            <w:noProof/>
            <w:webHidden/>
          </w:rPr>
          <w:t>114</w:t>
        </w:r>
        <w:r>
          <w:rPr>
            <w:noProof/>
            <w:webHidden/>
          </w:rPr>
          <w:fldChar w:fldCharType="end"/>
        </w:r>
      </w:hyperlink>
    </w:p>
    <w:p w14:paraId="5F981DFE" w14:textId="43C44007"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28" w:history="1">
        <w:r w:rsidRPr="00592639">
          <w:rPr>
            <w:rStyle w:val="Hyperlink"/>
            <w:noProof/>
          </w:rPr>
          <w:t xml:space="preserve">CTF table 5: </w:t>
        </w:r>
        <w:r>
          <w:rPr>
            <w:rFonts w:asciiTheme="minorHAnsi" w:hAnsiTheme="minorHAnsi"/>
            <w:noProof/>
            <w:kern w:val="2"/>
            <w:sz w:val="24"/>
            <w:szCs w:val="24"/>
            <w14:ligatures w14:val="standardContextual"/>
          </w:rPr>
          <w:tab/>
        </w:r>
        <w:r w:rsidRPr="00592639">
          <w:rPr>
            <w:rStyle w:val="Hyperlink"/>
            <w:noProof/>
          </w:rPr>
          <w:t>Mitigation policies and measures, actions and plans, including those with mitigation co-benefits resulting from adaptation actions and economic diversification plans, related to implementing and achieving a nationally determined contribution under Article 4 of the Paris Agreement</w:t>
        </w:r>
        <w:r>
          <w:rPr>
            <w:noProof/>
            <w:webHidden/>
          </w:rPr>
          <w:tab/>
        </w:r>
        <w:r>
          <w:rPr>
            <w:noProof/>
            <w:webHidden/>
          </w:rPr>
          <w:fldChar w:fldCharType="begin"/>
        </w:r>
        <w:r>
          <w:rPr>
            <w:noProof/>
            <w:webHidden/>
          </w:rPr>
          <w:instrText xml:space="preserve"> PAGEREF _Toc185427728 \h </w:instrText>
        </w:r>
        <w:r>
          <w:rPr>
            <w:noProof/>
            <w:webHidden/>
          </w:rPr>
        </w:r>
        <w:r>
          <w:rPr>
            <w:noProof/>
            <w:webHidden/>
          </w:rPr>
          <w:fldChar w:fldCharType="separate"/>
        </w:r>
        <w:r w:rsidR="005843E4">
          <w:rPr>
            <w:noProof/>
            <w:webHidden/>
          </w:rPr>
          <w:t>117</w:t>
        </w:r>
        <w:r>
          <w:rPr>
            <w:noProof/>
            <w:webHidden/>
          </w:rPr>
          <w:fldChar w:fldCharType="end"/>
        </w:r>
      </w:hyperlink>
    </w:p>
    <w:p w14:paraId="69C37BCD" w14:textId="58B362FC"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29" w:history="1">
        <w:r w:rsidRPr="00592639">
          <w:rPr>
            <w:rStyle w:val="Hyperlink"/>
            <w:noProof/>
          </w:rPr>
          <w:t xml:space="preserve">Table 2.5.1: </w:t>
        </w:r>
        <w:r>
          <w:rPr>
            <w:rFonts w:asciiTheme="minorHAnsi" w:hAnsiTheme="minorHAnsi"/>
            <w:noProof/>
            <w:kern w:val="2"/>
            <w:sz w:val="24"/>
            <w:szCs w:val="24"/>
            <w14:ligatures w14:val="standardContextual"/>
          </w:rPr>
          <w:tab/>
        </w:r>
        <w:r w:rsidRPr="00592639">
          <w:rPr>
            <w:rStyle w:val="Hyperlink"/>
            <w:noProof/>
          </w:rPr>
          <w:t>New Zealand greenhouse gas emissions and removals under the ‘with existing measures’ scenario, 1990–2050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_Toc185427729 \h </w:instrText>
        </w:r>
        <w:r>
          <w:rPr>
            <w:noProof/>
            <w:webHidden/>
          </w:rPr>
        </w:r>
        <w:r>
          <w:rPr>
            <w:noProof/>
            <w:webHidden/>
          </w:rPr>
          <w:fldChar w:fldCharType="separate"/>
        </w:r>
        <w:r w:rsidR="005843E4">
          <w:rPr>
            <w:noProof/>
            <w:webHidden/>
          </w:rPr>
          <w:t>146</w:t>
        </w:r>
        <w:r>
          <w:rPr>
            <w:noProof/>
            <w:webHidden/>
          </w:rPr>
          <w:fldChar w:fldCharType="end"/>
        </w:r>
      </w:hyperlink>
    </w:p>
    <w:p w14:paraId="0B716235" w14:textId="367F4EC7"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30" w:history="1">
        <w:r w:rsidRPr="00592639">
          <w:rPr>
            <w:rStyle w:val="Hyperlink"/>
            <w:noProof/>
          </w:rPr>
          <w:t xml:space="preserve">Table 2.5.2: </w:t>
        </w:r>
        <w:r>
          <w:rPr>
            <w:rFonts w:asciiTheme="minorHAnsi" w:hAnsiTheme="minorHAnsi"/>
            <w:noProof/>
            <w:kern w:val="2"/>
            <w:sz w:val="24"/>
            <w:szCs w:val="24"/>
            <w14:ligatures w14:val="standardContextual"/>
          </w:rPr>
          <w:tab/>
        </w:r>
        <w:r w:rsidRPr="00592639">
          <w:rPr>
            <w:rStyle w:val="Hyperlink"/>
            <w:noProof/>
          </w:rPr>
          <w:t>Policies and measures included in the ‘with existing measures’ scenario</w:t>
        </w:r>
        <w:r>
          <w:rPr>
            <w:noProof/>
            <w:webHidden/>
          </w:rPr>
          <w:tab/>
        </w:r>
        <w:r>
          <w:rPr>
            <w:noProof/>
            <w:webHidden/>
          </w:rPr>
          <w:fldChar w:fldCharType="begin"/>
        </w:r>
        <w:r>
          <w:rPr>
            <w:noProof/>
            <w:webHidden/>
          </w:rPr>
          <w:instrText xml:space="preserve"> PAGEREF _Toc185427730 \h </w:instrText>
        </w:r>
        <w:r>
          <w:rPr>
            <w:noProof/>
            <w:webHidden/>
          </w:rPr>
        </w:r>
        <w:r>
          <w:rPr>
            <w:noProof/>
            <w:webHidden/>
          </w:rPr>
          <w:fldChar w:fldCharType="separate"/>
        </w:r>
        <w:r w:rsidR="005843E4">
          <w:rPr>
            <w:noProof/>
            <w:webHidden/>
          </w:rPr>
          <w:t>149</w:t>
        </w:r>
        <w:r>
          <w:rPr>
            <w:noProof/>
            <w:webHidden/>
          </w:rPr>
          <w:fldChar w:fldCharType="end"/>
        </w:r>
      </w:hyperlink>
    </w:p>
    <w:p w14:paraId="17D152F7" w14:textId="472629B7"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31" w:history="1">
        <w:r w:rsidRPr="00592639">
          <w:rPr>
            <w:rStyle w:val="Hyperlink"/>
            <w:noProof/>
          </w:rPr>
          <w:t>Table 2.5.3:</w:t>
        </w:r>
        <w:r>
          <w:rPr>
            <w:rFonts w:asciiTheme="minorHAnsi" w:hAnsiTheme="minorHAnsi"/>
            <w:noProof/>
            <w:kern w:val="2"/>
            <w:sz w:val="24"/>
            <w:szCs w:val="24"/>
            <w14:ligatures w14:val="standardContextual"/>
          </w:rPr>
          <w:tab/>
        </w:r>
        <w:r w:rsidRPr="00592639">
          <w:rPr>
            <w:rStyle w:val="Hyperlink"/>
            <w:noProof/>
          </w:rPr>
          <w:t>Summary of key cross-sector assumptions for modelling New Zealand’s greenhouse gas emissions projections, 1990–2050</w:t>
        </w:r>
        <w:r>
          <w:rPr>
            <w:noProof/>
            <w:webHidden/>
          </w:rPr>
          <w:tab/>
        </w:r>
        <w:r>
          <w:rPr>
            <w:noProof/>
            <w:webHidden/>
          </w:rPr>
          <w:fldChar w:fldCharType="begin"/>
        </w:r>
        <w:r>
          <w:rPr>
            <w:noProof/>
            <w:webHidden/>
          </w:rPr>
          <w:instrText xml:space="preserve"> PAGEREF _Toc185427731 \h </w:instrText>
        </w:r>
        <w:r>
          <w:rPr>
            <w:noProof/>
            <w:webHidden/>
          </w:rPr>
        </w:r>
        <w:r>
          <w:rPr>
            <w:noProof/>
            <w:webHidden/>
          </w:rPr>
          <w:fldChar w:fldCharType="separate"/>
        </w:r>
        <w:r w:rsidR="005843E4">
          <w:rPr>
            <w:noProof/>
            <w:webHidden/>
          </w:rPr>
          <w:t>151</w:t>
        </w:r>
        <w:r>
          <w:rPr>
            <w:noProof/>
            <w:webHidden/>
          </w:rPr>
          <w:fldChar w:fldCharType="end"/>
        </w:r>
      </w:hyperlink>
    </w:p>
    <w:p w14:paraId="54687AB0" w14:textId="11B60D58"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32" w:history="1">
        <w:r w:rsidRPr="00592639">
          <w:rPr>
            <w:rStyle w:val="Hyperlink"/>
            <w:noProof/>
          </w:rPr>
          <w:t xml:space="preserve">Table 2.5.4: </w:t>
        </w:r>
        <w:r>
          <w:rPr>
            <w:rFonts w:asciiTheme="minorHAnsi" w:hAnsiTheme="minorHAnsi"/>
            <w:noProof/>
            <w:kern w:val="2"/>
            <w:sz w:val="24"/>
            <w:szCs w:val="24"/>
            <w14:ligatures w14:val="standardContextual"/>
          </w:rPr>
          <w:tab/>
        </w:r>
        <w:r w:rsidRPr="00592639">
          <w:rPr>
            <w:rStyle w:val="Hyperlink"/>
            <w:noProof/>
          </w:rPr>
          <w:t>Historical and projected non-transport Energy sector emissions by gas under the ‘with existing measures’ scenario, 1990–2050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_Toc185427732 \h </w:instrText>
        </w:r>
        <w:r>
          <w:rPr>
            <w:noProof/>
            <w:webHidden/>
          </w:rPr>
        </w:r>
        <w:r>
          <w:rPr>
            <w:noProof/>
            <w:webHidden/>
          </w:rPr>
          <w:fldChar w:fldCharType="separate"/>
        </w:r>
        <w:r w:rsidR="005843E4">
          <w:rPr>
            <w:noProof/>
            <w:webHidden/>
          </w:rPr>
          <w:t>153</w:t>
        </w:r>
        <w:r>
          <w:rPr>
            <w:noProof/>
            <w:webHidden/>
          </w:rPr>
          <w:fldChar w:fldCharType="end"/>
        </w:r>
      </w:hyperlink>
    </w:p>
    <w:p w14:paraId="47378B2D" w14:textId="519D6699"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33" w:history="1">
        <w:r w:rsidRPr="00592639">
          <w:rPr>
            <w:rStyle w:val="Hyperlink"/>
            <w:noProof/>
          </w:rPr>
          <w:t xml:space="preserve">Table 2.5.5: </w:t>
        </w:r>
        <w:r>
          <w:rPr>
            <w:rFonts w:asciiTheme="minorHAnsi" w:hAnsiTheme="minorHAnsi"/>
            <w:noProof/>
            <w:kern w:val="2"/>
            <w:sz w:val="24"/>
            <w:szCs w:val="24"/>
            <w14:ligatures w14:val="standardContextual"/>
          </w:rPr>
          <w:tab/>
        </w:r>
        <w:r w:rsidRPr="00592639">
          <w:rPr>
            <w:rStyle w:val="Hyperlink"/>
            <w:noProof/>
          </w:rPr>
          <w:t>Historical and projected Transport sector emissions by gas under the ‘with existing measures’ scenario, 1990–2050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_Toc185427733 \h </w:instrText>
        </w:r>
        <w:r>
          <w:rPr>
            <w:noProof/>
            <w:webHidden/>
          </w:rPr>
        </w:r>
        <w:r>
          <w:rPr>
            <w:noProof/>
            <w:webHidden/>
          </w:rPr>
          <w:fldChar w:fldCharType="separate"/>
        </w:r>
        <w:r w:rsidR="005843E4">
          <w:rPr>
            <w:noProof/>
            <w:webHidden/>
          </w:rPr>
          <w:t>154</w:t>
        </w:r>
        <w:r>
          <w:rPr>
            <w:noProof/>
            <w:webHidden/>
          </w:rPr>
          <w:fldChar w:fldCharType="end"/>
        </w:r>
      </w:hyperlink>
    </w:p>
    <w:p w14:paraId="38E32400" w14:textId="29BD1F94"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34" w:history="1">
        <w:r w:rsidRPr="00592639">
          <w:rPr>
            <w:rStyle w:val="Hyperlink"/>
            <w:noProof/>
          </w:rPr>
          <w:t xml:space="preserve">Table 2.5.6: </w:t>
        </w:r>
        <w:r>
          <w:rPr>
            <w:rFonts w:asciiTheme="minorHAnsi" w:hAnsiTheme="minorHAnsi"/>
            <w:noProof/>
            <w:kern w:val="2"/>
            <w:sz w:val="24"/>
            <w:szCs w:val="24"/>
            <w14:ligatures w14:val="standardContextual"/>
          </w:rPr>
          <w:tab/>
        </w:r>
        <w:r w:rsidRPr="00592639">
          <w:rPr>
            <w:rStyle w:val="Hyperlink"/>
            <w:noProof/>
          </w:rPr>
          <w:t>Historical and projected IPPU emissions by gas under the ‘with existing measures’ scenario, 1990–2050 (kt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_Toc185427734 \h </w:instrText>
        </w:r>
        <w:r>
          <w:rPr>
            <w:noProof/>
            <w:webHidden/>
          </w:rPr>
        </w:r>
        <w:r>
          <w:rPr>
            <w:noProof/>
            <w:webHidden/>
          </w:rPr>
          <w:fldChar w:fldCharType="separate"/>
        </w:r>
        <w:r w:rsidR="005843E4">
          <w:rPr>
            <w:noProof/>
            <w:webHidden/>
          </w:rPr>
          <w:t>155</w:t>
        </w:r>
        <w:r>
          <w:rPr>
            <w:noProof/>
            <w:webHidden/>
          </w:rPr>
          <w:fldChar w:fldCharType="end"/>
        </w:r>
      </w:hyperlink>
    </w:p>
    <w:p w14:paraId="7CE8E7FE" w14:textId="30986A5C"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35" w:history="1">
        <w:r w:rsidRPr="00592639">
          <w:rPr>
            <w:rStyle w:val="Hyperlink"/>
            <w:noProof/>
          </w:rPr>
          <w:t xml:space="preserve">Table 2.5.7: </w:t>
        </w:r>
        <w:r>
          <w:rPr>
            <w:rFonts w:asciiTheme="minorHAnsi" w:hAnsiTheme="minorHAnsi"/>
            <w:noProof/>
            <w:kern w:val="2"/>
            <w:sz w:val="24"/>
            <w:szCs w:val="24"/>
            <w14:ligatures w14:val="standardContextual"/>
          </w:rPr>
          <w:tab/>
        </w:r>
        <w:r w:rsidRPr="00592639">
          <w:rPr>
            <w:rStyle w:val="Hyperlink"/>
            <w:noProof/>
          </w:rPr>
          <w:t>Historical and projected Agriculture sector emissions by gas under the ‘with existing measures’ scenario, 1990–2050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_Toc185427735 \h </w:instrText>
        </w:r>
        <w:r>
          <w:rPr>
            <w:noProof/>
            <w:webHidden/>
          </w:rPr>
        </w:r>
        <w:r>
          <w:rPr>
            <w:noProof/>
            <w:webHidden/>
          </w:rPr>
          <w:fldChar w:fldCharType="separate"/>
        </w:r>
        <w:r w:rsidR="005843E4">
          <w:rPr>
            <w:noProof/>
            <w:webHidden/>
          </w:rPr>
          <w:t>157</w:t>
        </w:r>
        <w:r>
          <w:rPr>
            <w:noProof/>
            <w:webHidden/>
          </w:rPr>
          <w:fldChar w:fldCharType="end"/>
        </w:r>
      </w:hyperlink>
    </w:p>
    <w:p w14:paraId="0E18ECDE" w14:textId="2BC68E4E"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36" w:history="1">
        <w:r w:rsidRPr="00592639">
          <w:rPr>
            <w:rStyle w:val="Hyperlink"/>
            <w:noProof/>
          </w:rPr>
          <w:t xml:space="preserve">Table 2.5.8: </w:t>
        </w:r>
        <w:r>
          <w:rPr>
            <w:rFonts w:asciiTheme="minorHAnsi" w:hAnsiTheme="minorHAnsi"/>
            <w:noProof/>
            <w:kern w:val="2"/>
            <w:sz w:val="24"/>
            <w:szCs w:val="24"/>
            <w14:ligatures w14:val="standardContextual"/>
          </w:rPr>
          <w:tab/>
        </w:r>
        <w:r w:rsidRPr="00592639">
          <w:rPr>
            <w:rStyle w:val="Hyperlink"/>
            <w:noProof/>
          </w:rPr>
          <w:t>Historical and projected emissions from waste by gas, under a ‘with existing measures’ scenario, 1990–2050 (kt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_Toc185427736 \h </w:instrText>
        </w:r>
        <w:r>
          <w:rPr>
            <w:noProof/>
            <w:webHidden/>
          </w:rPr>
        </w:r>
        <w:r>
          <w:rPr>
            <w:noProof/>
            <w:webHidden/>
          </w:rPr>
          <w:fldChar w:fldCharType="separate"/>
        </w:r>
        <w:r w:rsidR="005843E4">
          <w:rPr>
            <w:noProof/>
            <w:webHidden/>
          </w:rPr>
          <w:t>158</w:t>
        </w:r>
        <w:r>
          <w:rPr>
            <w:noProof/>
            <w:webHidden/>
          </w:rPr>
          <w:fldChar w:fldCharType="end"/>
        </w:r>
      </w:hyperlink>
    </w:p>
    <w:p w14:paraId="6D43C235" w14:textId="7F912BE1"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37" w:history="1">
        <w:r w:rsidRPr="00592639">
          <w:rPr>
            <w:rStyle w:val="Hyperlink"/>
            <w:noProof/>
          </w:rPr>
          <w:t xml:space="preserve">Table 2.5.9: </w:t>
        </w:r>
        <w:r>
          <w:rPr>
            <w:rFonts w:asciiTheme="minorHAnsi" w:hAnsiTheme="minorHAnsi"/>
            <w:noProof/>
            <w:kern w:val="2"/>
            <w:sz w:val="24"/>
            <w:szCs w:val="24"/>
            <w14:ligatures w14:val="standardContextual"/>
          </w:rPr>
          <w:tab/>
        </w:r>
        <w:r w:rsidRPr="00592639">
          <w:rPr>
            <w:rStyle w:val="Hyperlink"/>
            <w:noProof/>
          </w:rPr>
          <w:t>Tokelau’s gross greenhouse gas emissions by gas, 1990–2050 (kt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_Toc185427737 \h </w:instrText>
        </w:r>
        <w:r>
          <w:rPr>
            <w:noProof/>
            <w:webHidden/>
          </w:rPr>
        </w:r>
        <w:r>
          <w:rPr>
            <w:noProof/>
            <w:webHidden/>
          </w:rPr>
          <w:fldChar w:fldCharType="separate"/>
        </w:r>
        <w:r w:rsidR="005843E4">
          <w:rPr>
            <w:noProof/>
            <w:webHidden/>
          </w:rPr>
          <w:t>159</w:t>
        </w:r>
        <w:r>
          <w:rPr>
            <w:noProof/>
            <w:webHidden/>
          </w:rPr>
          <w:fldChar w:fldCharType="end"/>
        </w:r>
      </w:hyperlink>
    </w:p>
    <w:p w14:paraId="5B7E68FB" w14:textId="527DCAC8"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38" w:history="1">
        <w:r w:rsidRPr="00592639">
          <w:rPr>
            <w:rStyle w:val="Hyperlink"/>
            <w:noProof/>
          </w:rPr>
          <w:t xml:space="preserve">Table 2.5.10: </w:t>
        </w:r>
        <w:r>
          <w:rPr>
            <w:rFonts w:asciiTheme="minorHAnsi" w:hAnsiTheme="minorHAnsi"/>
            <w:noProof/>
            <w:kern w:val="2"/>
            <w:sz w:val="24"/>
            <w:szCs w:val="24"/>
            <w14:ligatures w14:val="standardContextual"/>
          </w:rPr>
          <w:tab/>
        </w:r>
        <w:r w:rsidRPr="00592639">
          <w:rPr>
            <w:rStyle w:val="Hyperlink"/>
            <w:noProof/>
          </w:rPr>
          <w:t>Historical and projected LULUCF sector emissions and removals by gas under the ‘with existing measures’ scenario, 1990–2050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_Toc185427738 \h </w:instrText>
        </w:r>
        <w:r>
          <w:rPr>
            <w:noProof/>
            <w:webHidden/>
          </w:rPr>
        </w:r>
        <w:r>
          <w:rPr>
            <w:noProof/>
            <w:webHidden/>
          </w:rPr>
          <w:fldChar w:fldCharType="separate"/>
        </w:r>
        <w:r w:rsidR="005843E4">
          <w:rPr>
            <w:noProof/>
            <w:webHidden/>
          </w:rPr>
          <w:t>161</w:t>
        </w:r>
        <w:r>
          <w:rPr>
            <w:noProof/>
            <w:webHidden/>
          </w:rPr>
          <w:fldChar w:fldCharType="end"/>
        </w:r>
      </w:hyperlink>
    </w:p>
    <w:p w14:paraId="1B8E5D99" w14:textId="319111D7"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39" w:history="1">
        <w:r w:rsidRPr="00592639">
          <w:rPr>
            <w:rStyle w:val="Hyperlink"/>
            <w:noProof/>
          </w:rPr>
          <w:t xml:space="preserve">Table 2.5.11: </w:t>
        </w:r>
        <w:r>
          <w:rPr>
            <w:rFonts w:asciiTheme="minorHAnsi" w:hAnsiTheme="minorHAnsi"/>
            <w:noProof/>
            <w:kern w:val="2"/>
            <w:sz w:val="24"/>
            <w:szCs w:val="24"/>
            <w14:ligatures w14:val="standardContextual"/>
          </w:rPr>
          <w:tab/>
        </w:r>
        <w:r w:rsidRPr="00592639">
          <w:rPr>
            <w:rStyle w:val="Hyperlink"/>
            <w:noProof/>
          </w:rPr>
          <w:t>Overview of sector-based models and approaches used to project New Zealand’s greenhouse gas emissions</w:t>
        </w:r>
        <w:r>
          <w:rPr>
            <w:noProof/>
            <w:webHidden/>
          </w:rPr>
          <w:tab/>
        </w:r>
        <w:r>
          <w:rPr>
            <w:noProof/>
            <w:webHidden/>
          </w:rPr>
          <w:fldChar w:fldCharType="begin"/>
        </w:r>
        <w:r>
          <w:rPr>
            <w:noProof/>
            <w:webHidden/>
          </w:rPr>
          <w:instrText xml:space="preserve"> PAGEREF _Toc185427739 \h </w:instrText>
        </w:r>
        <w:r>
          <w:rPr>
            <w:noProof/>
            <w:webHidden/>
          </w:rPr>
        </w:r>
        <w:r>
          <w:rPr>
            <w:noProof/>
            <w:webHidden/>
          </w:rPr>
          <w:fldChar w:fldCharType="separate"/>
        </w:r>
        <w:r w:rsidR="005843E4">
          <w:rPr>
            <w:noProof/>
            <w:webHidden/>
          </w:rPr>
          <w:t>162</w:t>
        </w:r>
        <w:r>
          <w:rPr>
            <w:noProof/>
            <w:webHidden/>
          </w:rPr>
          <w:fldChar w:fldCharType="end"/>
        </w:r>
      </w:hyperlink>
    </w:p>
    <w:p w14:paraId="3FA96616" w14:textId="5B75FF05"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40" w:history="1">
        <w:r w:rsidRPr="00592639">
          <w:rPr>
            <w:rStyle w:val="Hyperlink"/>
            <w:noProof/>
          </w:rPr>
          <w:t xml:space="preserve">Table 2.5.12: </w:t>
        </w:r>
        <w:r>
          <w:rPr>
            <w:rFonts w:asciiTheme="minorHAnsi" w:hAnsiTheme="minorHAnsi"/>
            <w:noProof/>
            <w:kern w:val="2"/>
            <w:sz w:val="24"/>
            <w:szCs w:val="24"/>
            <w14:ligatures w14:val="standardContextual"/>
          </w:rPr>
          <w:tab/>
        </w:r>
        <w:r w:rsidRPr="00592639">
          <w:rPr>
            <w:rStyle w:val="Hyperlink"/>
            <w:noProof/>
          </w:rPr>
          <w:t>Projected change in emissions, production and animal numbers between 2022 and 2035 under a ‘with existing measures’ scenario for dairy, sheep and beef cattle</w:t>
        </w:r>
        <w:r>
          <w:rPr>
            <w:noProof/>
            <w:webHidden/>
          </w:rPr>
          <w:tab/>
        </w:r>
        <w:r>
          <w:rPr>
            <w:noProof/>
            <w:webHidden/>
          </w:rPr>
          <w:fldChar w:fldCharType="begin"/>
        </w:r>
        <w:r>
          <w:rPr>
            <w:noProof/>
            <w:webHidden/>
          </w:rPr>
          <w:instrText xml:space="preserve"> PAGEREF _Toc185427740 \h </w:instrText>
        </w:r>
        <w:r>
          <w:rPr>
            <w:noProof/>
            <w:webHidden/>
          </w:rPr>
        </w:r>
        <w:r>
          <w:rPr>
            <w:noProof/>
            <w:webHidden/>
          </w:rPr>
          <w:fldChar w:fldCharType="separate"/>
        </w:r>
        <w:r w:rsidR="005843E4">
          <w:rPr>
            <w:noProof/>
            <w:webHidden/>
          </w:rPr>
          <w:t>168</w:t>
        </w:r>
        <w:r>
          <w:rPr>
            <w:noProof/>
            <w:webHidden/>
          </w:rPr>
          <w:fldChar w:fldCharType="end"/>
        </w:r>
      </w:hyperlink>
    </w:p>
    <w:p w14:paraId="60BE39F9" w14:textId="2421AEC5"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41" w:history="1">
        <w:r w:rsidRPr="00592639">
          <w:rPr>
            <w:rStyle w:val="Hyperlink"/>
            <w:noProof/>
          </w:rPr>
          <w:t xml:space="preserve">Table 2.5.13: </w:t>
        </w:r>
        <w:r>
          <w:rPr>
            <w:rFonts w:asciiTheme="minorHAnsi" w:hAnsiTheme="minorHAnsi"/>
            <w:noProof/>
            <w:kern w:val="2"/>
            <w:sz w:val="24"/>
            <w:szCs w:val="24"/>
            <w14:ligatures w14:val="standardContextual"/>
          </w:rPr>
          <w:tab/>
        </w:r>
        <w:r w:rsidRPr="00592639">
          <w:rPr>
            <w:rStyle w:val="Hyperlink"/>
            <w:noProof/>
          </w:rPr>
          <w:t>Models used for Agriculture sector projections, with strengths and weaknesses</w:t>
        </w:r>
        <w:r>
          <w:rPr>
            <w:noProof/>
            <w:webHidden/>
          </w:rPr>
          <w:tab/>
        </w:r>
        <w:r>
          <w:rPr>
            <w:noProof/>
            <w:webHidden/>
          </w:rPr>
          <w:fldChar w:fldCharType="begin"/>
        </w:r>
        <w:r>
          <w:rPr>
            <w:noProof/>
            <w:webHidden/>
          </w:rPr>
          <w:instrText xml:space="preserve"> PAGEREF _Toc185427741 \h </w:instrText>
        </w:r>
        <w:r>
          <w:rPr>
            <w:noProof/>
            <w:webHidden/>
          </w:rPr>
        </w:r>
        <w:r>
          <w:rPr>
            <w:noProof/>
            <w:webHidden/>
          </w:rPr>
          <w:fldChar w:fldCharType="separate"/>
        </w:r>
        <w:r w:rsidR="005843E4">
          <w:rPr>
            <w:noProof/>
            <w:webHidden/>
          </w:rPr>
          <w:t>169</w:t>
        </w:r>
        <w:r>
          <w:rPr>
            <w:noProof/>
            <w:webHidden/>
          </w:rPr>
          <w:fldChar w:fldCharType="end"/>
        </w:r>
      </w:hyperlink>
    </w:p>
    <w:p w14:paraId="7CC2F971" w14:textId="504656AE"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42" w:history="1">
        <w:r w:rsidRPr="00592639">
          <w:rPr>
            <w:rStyle w:val="Hyperlink"/>
            <w:noProof/>
          </w:rPr>
          <w:t xml:space="preserve">Table 2.5.14: </w:t>
        </w:r>
        <w:r>
          <w:rPr>
            <w:rFonts w:asciiTheme="minorHAnsi" w:hAnsiTheme="minorHAnsi"/>
            <w:noProof/>
            <w:kern w:val="2"/>
            <w:sz w:val="24"/>
            <w:szCs w:val="24"/>
            <w14:ligatures w14:val="standardContextual"/>
          </w:rPr>
          <w:tab/>
        </w:r>
        <w:r w:rsidRPr="00592639">
          <w:rPr>
            <w:rStyle w:val="Hyperlink"/>
            <w:noProof/>
          </w:rPr>
          <w:t>Methods for projecting activity data and/or emissions in the Waste sector, 2023–50</w:t>
        </w:r>
        <w:r>
          <w:rPr>
            <w:noProof/>
            <w:webHidden/>
          </w:rPr>
          <w:tab/>
        </w:r>
        <w:r>
          <w:rPr>
            <w:noProof/>
            <w:webHidden/>
          </w:rPr>
          <w:fldChar w:fldCharType="begin"/>
        </w:r>
        <w:r>
          <w:rPr>
            <w:noProof/>
            <w:webHidden/>
          </w:rPr>
          <w:instrText xml:space="preserve"> PAGEREF _Toc185427742 \h </w:instrText>
        </w:r>
        <w:r>
          <w:rPr>
            <w:noProof/>
            <w:webHidden/>
          </w:rPr>
        </w:r>
        <w:r>
          <w:rPr>
            <w:noProof/>
            <w:webHidden/>
          </w:rPr>
          <w:fldChar w:fldCharType="separate"/>
        </w:r>
        <w:r w:rsidR="005843E4">
          <w:rPr>
            <w:noProof/>
            <w:webHidden/>
          </w:rPr>
          <w:t>170</w:t>
        </w:r>
        <w:r>
          <w:rPr>
            <w:noProof/>
            <w:webHidden/>
          </w:rPr>
          <w:fldChar w:fldCharType="end"/>
        </w:r>
      </w:hyperlink>
    </w:p>
    <w:p w14:paraId="5EE86B25" w14:textId="5CF8F053"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43" w:history="1">
        <w:r w:rsidRPr="00592639">
          <w:rPr>
            <w:rStyle w:val="Hyperlink"/>
            <w:noProof/>
          </w:rPr>
          <w:t xml:space="preserve">Table 2.5.15: </w:t>
        </w:r>
        <w:r>
          <w:rPr>
            <w:rFonts w:asciiTheme="minorHAnsi" w:hAnsiTheme="minorHAnsi"/>
            <w:noProof/>
            <w:kern w:val="2"/>
            <w:sz w:val="24"/>
            <w:szCs w:val="24"/>
            <w14:ligatures w14:val="standardContextual"/>
          </w:rPr>
          <w:tab/>
        </w:r>
        <w:r w:rsidRPr="00592639">
          <w:rPr>
            <w:rStyle w:val="Hyperlink"/>
            <w:noProof/>
          </w:rPr>
          <w:t>Sensitivity analysis assumptions from the Emissions in New Zealand model</w:t>
        </w:r>
        <w:r>
          <w:rPr>
            <w:noProof/>
            <w:webHidden/>
          </w:rPr>
          <w:tab/>
        </w:r>
        <w:r>
          <w:rPr>
            <w:noProof/>
            <w:webHidden/>
          </w:rPr>
          <w:fldChar w:fldCharType="begin"/>
        </w:r>
        <w:r>
          <w:rPr>
            <w:noProof/>
            <w:webHidden/>
          </w:rPr>
          <w:instrText xml:space="preserve"> PAGEREF _Toc185427743 \h </w:instrText>
        </w:r>
        <w:r>
          <w:rPr>
            <w:noProof/>
            <w:webHidden/>
          </w:rPr>
        </w:r>
        <w:r>
          <w:rPr>
            <w:noProof/>
            <w:webHidden/>
          </w:rPr>
          <w:fldChar w:fldCharType="separate"/>
        </w:r>
        <w:r w:rsidR="005843E4">
          <w:rPr>
            <w:noProof/>
            <w:webHidden/>
          </w:rPr>
          <w:t>178</w:t>
        </w:r>
        <w:r>
          <w:rPr>
            <w:noProof/>
            <w:webHidden/>
          </w:rPr>
          <w:fldChar w:fldCharType="end"/>
        </w:r>
      </w:hyperlink>
    </w:p>
    <w:p w14:paraId="15635777" w14:textId="110FE695"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44" w:history="1">
        <w:r w:rsidRPr="00592639">
          <w:rPr>
            <w:rStyle w:val="Hyperlink"/>
            <w:noProof/>
          </w:rPr>
          <w:t xml:space="preserve">Table 2.5.16: </w:t>
        </w:r>
        <w:r>
          <w:rPr>
            <w:rFonts w:asciiTheme="minorHAnsi" w:hAnsiTheme="minorHAnsi"/>
            <w:noProof/>
            <w:kern w:val="2"/>
            <w:sz w:val="24"/>
            <w:szCs w:val="24"/>
            <w14:ligatures w14:val="standardContextual"/>
          </w:rPr>
          <w:tab/>
        </w:r>
        <w:r w:rsidRPr="00592639">
          <w:rPr>
            <w:rStyle w:val="Hyperlink"/>
            <w:noProof/>
          </w:rPr>
          <w:t>Projected gross emissions under ‘with existing measures’, high- and low-emissions scenarios, 1990–2050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_Toc185427744 \h </w:instrText>
        </w:r>
        <w:r>
          <w:rPr>
            <w:noProof/>
            <w:webHidden/>
          </w:rPr>
        </w:r>
        <w:r>
          <w:rPr>
            <w:noProof/>
            <w:webHidden/>
          </w:rPr>
          <w:fldChar w:fldCharType="separate"/>
        </w:r>
        <w:r w:rsidR="005843E4">
          <w:rPr>
            <w:noProof/>
            <w:webHidden/>
          </w:rPr>
          <w:t>179</w:t>
        </w:r>
        <w:r>
          <w:rPr>
            <w:noProof/>
            <w:webHidden/>
          </w:rPr>
          <w:fldChar w:fldCharType="end"/>
        </w:r>
      </w:hyperlink>
    </w:p>
    <w:p w14:paraId="1F1F2EB9" w14:textId="651D3965"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45" w:history="1">
        <w:r w:rsidRPr="00592639">
          <w:rPr>
            <w:rStyle w:val="Hyperlink"/>
            <w:noProof/>
          </w:rPr>
          <w:t xml:space="preserve">Table 2.5.17: </w:t>
        </w:r>
        <w:r>
          <w:rPr>
            <w:rFonts w:asciiTheme="minorHAnsi" w:hAnsiTheme="minorHAnsi"/>
            <w:noProof/>
            <w:kern w:val="2"/>
            <w:sz w:val="24"/>
            <w:szCs w:val="24"/>
            <w14:ligatures w14:val="standardContextual"/>
          </w:rPr>
          <w:tab/>
        </w:r>
        <w:r w:rsidRPr="00592639">
          <w:rPr>
            <w:rStyle w:val="Hyperlink"/>
            <w:noProof/>
          </w:rPr>
          <w:t>Projected Energy sector emissions under ‘with existing measures’, high- and low-emissions scenarios, 1990–2050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_Toc185427745 \h </w:instrText>
        </w:r>
        <w:r>
          <w:rPr>
            <w:noProof/>
            <w:webHidden/>
          </w:rPr>
        </w:r>
        <w:r>
          <w:rPr>
            <w:noProof/>
            <w:webHidden/>
          </w:rPr>
          <w:fldChar w:fldCharType="separate"/>
        </w:r>
        <w:r w:rsidR="005843E4">
          <w:rPr>
            <w:noProof/>
            <w:webHidden/>
          </w:rPr>
          <w:t>179</w:t>
        </w:r>
        <w:r>
          <w:rPr>
            <w:noProof/>
            <w:webHidden/>
          </w:rPr>
          <w:fldChar w:fldCharType="end"/>
        </w:r>
      </w:hyperlink>
    </w:p>
    <w:p w14:paraId="0A50356B" w14:textId="1B752C2A"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46" w:history="1">
        <w:r w:rsidRPr="00592639">
          <w:rPr>
            <w:rStyle w:val="Hyperlink"/>
            <w:noProof/>
          </w:rPr>
          <w:t xml:space="preserve">Table 2.5.18: </w:t>
        </w:r>
        <w:r>
          <w:rPr>
            <w:rFonts w:asciiTheme="minorHAnsi" w:hAnsiTheme="minorHAnsi"/>
            <w:noProof/>
            <w:kern w:val="2"/>
            <w:sz w:val="24"/>
            <w:szCs w:val="24"/>
            <w14:ligatures w14:val="standardContextual"/>
          </w:rPr>
          <w:tab/>
        </w:r>
        <w:r w:rsidRPr="00592639">
          <w:rPr>
            <w:rStyle w:val="Hyperlink"/>
            <w:noProof/>
          </w:rPr>
          <w:t>Projected Transport sector emissions under ‘with existing measures’, high- and low-emissions scenarios, 1990–2050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_Toc185427746 \h </w:instrText>
        </w:r>
        <w:r>
          <w:rPr>
            <w:noProof/>
            <w:webHidden/>
          </w:rPr>
        </w:r>
        <w:r>
          <w:rPr>
            <w:noProof/>
            <w:webHidden/>
          </w:rPr>
          <w:fldChar w:fldCharType="separate"/>
        </w:r>
        <w:r w:rsidR="005843E4">
          <w:rPr>
            <w:noProof/>
            <w:webHidden/>
          </w:rPr>
          <w:t>180</w:t>
        </w:r>
        <w:r>
          <w:rPr>
            <w:noProof/>
            <w:webHidden/>
          </w:rPr>
          <w:fldChar w:fldCharType="end"/>
        </w:r>
      </w:hyperlink>
    </w:p>
    <w:p w14:paraId="421E04EA" w14:textId="29CE327C"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47" w:history="1">
        <w:r w:rsidRPr="00592639">
          <w:rPr>
            <w:rStyle w:val="Hyperlink"/>
            <w:noProof/>
          </w:rPr>
          <w:t xml:space="preserve">Table 2.5.19: </w:t>
        </w:r>
        <w:r>
          <w:rPr>
            <w:rFonts w:asciiTheme="minorHAnsi" w:hAnsiTheme="minorHAnsi"/>
            <w:noProof/>
            <w:kern w:val="2"/>
            <w:sz w:val="24"/>
            <w:szCs w:val="24"/>
            <w14:ligatures w14:val="standardContextual"/>
          </w:rPr>
          <w:tab/>
        </w:r>
        <w:r w:rsidRPr="00592639">
          <w:rPr>
            <w:rStyle w:val="Hyperlink"/>
            <w:noProof/>
          </w:rPr>
          <w:t>Projected IPPU sector emissions under ‘with existing measures’, high- and low-emissions scenarios, 1990–2050 (kt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_Toc185427747 \h </w:instrText>
        </w:r>
        <w:r>
          <w:rPr>
            <w:noProof/>
            <w:webHidden/>
          </w:rPr>
        </w:r>
        <w:r>
          <w:rPr>
            <w:noProof/>
            <w:webHidden/>
          </w:rPr>
          <w:fldChar w:fldCharType="separate"/>
        </w:r>
        <w:r w:rsidR="005843E4">
          <w:rPr>
            <w:noProof/>
            <w:webHidden/>
          </w:rPr>
          <w:t>181</w:t>
        </w:r>
        <w:r>
          <w:rPr>
            <w:noProof/>
            <w:webHidden/>
          </w:rPr>
          <w:fldChar w:fldCharType="end"/>
        </w:r>
      </w:hyperlink>
    </w:p>
    <w:p w14:paraId="14AF63F2" w14:textId="78DD2F3E"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48" w:history="1">
        <w:r w:rsidRPr="00592639">
          <w:rPr>
            <w:rStyle w:val="Hyperlink"/>
            <w:noProof/>
          </w:rPr>
          <w:t xml:space="preserve">Table 2.5.20: </w:t>
        </w:r>
        <w:r>
          <w:rPr>
            <w:rFonts w:asciiTheme="minorHAnsi" w:hAnsiTheme="minorHAnsi"/>
            <w:noProof/>
            <w:kern w:val="2"/>
            <w:sz w:val="24"/>
            <w:szCs w:val="24"/>
            <w14:ligatures w14:val="standardContextual"/>
          </w:rPr>
          <w:tab/>
        </w:r>
        <w:r w:rsidRPr="00592639">
          <w:rPr>
            <w:rStyle w:val="Hyperlink"/>
            <w:noProof/>
          </w:rPr>
          <w:t>Projected emissions from the Agriculture sector, under ‘with existing measures’, high</w:t>
        </w:r>
        <w:r w:rsidRPr="00592639">
          <w:rPr>
            <w:rStyle w:val="Hyperlink"/>
            <w:noProof/>
          </w:rPr>
          <w:noBreakHyphen/>
          <w:t xml:space="preserve"> and low</w:t>
        </w:r>
        <w:r w:rsidRPr="00592639">
          <w:rPr>
            <w:rStyle w:val="Hyperlink"/>
            <w:noProof/>
          </w:rPr>
          <w:noBreakHyphen/>
          <w:t>emissions scenarios, 1990–2035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_Toc185427748 \h </w:instrText>
        </w:r>
        <w:r>
          <w:rPr>
            <w:noProof/>
            <w:webHidden/>
          </w:rPr>
        </w:r>
        <w:r>
          <w:rPr>
            <w:noProof/>
            <w:webHidden/>
          </w:rPr>
          <w:fldChar w:fldCharType="separate"/>
        </w:r>
        <w:r w:rsidR="005843E4">
          <w:rPr>
            <w:noProof/>
            <w:webHidden/>
          </w:rPr>
          <w:t>181</w:t>
        </w:r>
        <w:r>
          <w:rPr>
            <w:noProof/>
            <w:webHidden/>
          </w:rPr>
          <w:fldChar w:fldCharType="end"/>
        </w:r>
      </w:hyperlink>
    </w:p>
    <w:p w14:paraId="2799F3B6" w14:textId="00A95C34"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49" w:history="1">
        <w:r w:rsidRPr="00592639">
          <w:rPr>
            <w:rStyle w:val="Hyperlink"/>
            <w:noProof/>
          </w:rPr>
          <w:t xml:space="preserve">Table 2.5.21: </w:t>
        </w:r>
        <w:r>
          <w:rPr>
            <w:rFonts w:asciiTheme="minorHAnsi" w:hAnsiTheme="minorHAnsi"/>
            <w:noProof/>
            <w:kern w:val="2"/>
            <w:sz w:val="24"/>
            <w:szCs w:val="24"/>
            <w14:ligatures w14:val="standardContextual"/>
          </w:rPr>
          <w:tab/>
        </w:r>
        <w:r w:rsidRPr="00592639">
          <w:rPr>
            <w:rStyle w:val="Hyperlink"/>
            <w:noProof/>
          </w:rPr>
          <w:t>Projected Waste sector emissions under ‘with existing measures’, high- and low-emissions scenarios, 1990–2050 (kt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_Toc185427749 \h </w:instrText>
        </w:r>
        <w:r>
          <w:rPr>
            <w:noProof/>
            <w:webHidden/>
          </w:rPr>
        </w:r>
        <w:r>
          <w:rPr>
            <w:noProof/>
            <w:webHidden/>
          </w:rPr>
          <w:fldChar w:fldCharType="separate"/>
        </w:r>
        <w:r w:rsidR="005843E4">
          <w:rPr>
            <w:noProof/>
            <w:webHidden/>
          </w:rPr>
          <w:t>182</w:t>
        </w:r>
        <w:r>
          <w:rPr>
            <w:noProof/>
            <w:webHidden/>
          </w:rPr>
          <w:fldChar w:fldCharType="end"/>
        </w:r>
      </w:hyperlink>
    </w:p>
    <w:p w14:paraId="58275AD1" w14:textId="2FF4B500"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50" w:history="1">
        <w:r w:rsidRPr="00592639">
          <w:rPr>
            <w:rStyle w:val="Hyperlink"/>
            <w:noProof/>
          </w:rPr>
          <w:t>Table 2.5.22</w:t>
        </w:r>
        <w:r w:rsidRPr="00592639">
          <w:rPr>
            <w:rStyle w:val="Hyperlink"/>
            <w:bCs/>
            <w:noProof/>
          </w:rPr>
          <w:t xml:space="preserve">: </w:t>
        </w:r>
        <w:r>
          <w:rPr>
            <w:rFonts w:asciiTheme="minorHAnsi" w:hAnsiTheme="minorHAnsi"/>
            <w:noProof/>
            <w:kern w:val="2"/>
            <w:sz w:val="24"/>
            <w:szCs w:val="24"/>
            <w14:ligatures w14:val="standardContextual"/>
          </w:rPr>
          <w:tab/>
        </w:r>
        <w:r w:rsidRPr="00592639">
          <w:rPr>
            <w:rStyle w:val="Hyperlink"/>
            <w:noProof/>
          </w:rPr>
          <w:t>Projected net LULUCF removals under ‘with existing measures’, lower removals and upper removals scenarios, 1990–2050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_Toc185427750 \h </w:instrText>
        </w:r>
        <w:r>
          <w:rPr>
            <w:noProof/>
            <w:webHidden/>
          </w:rPr>
        </w:r>
        <w:r>
          <w:rPr>
            <w:noProof/>
            <w:webHidden/>
          </w:rPr>
          <w:fldChar w:fldCharType="separate"/>
        </w:r>
        <w:r w:rsidR="005843E4">
          <w:rPr>
            <w:noProof/>
            <w:webHidden/>
          </w:rPr>
          <w:t>184</w:t>
        </w:r>
        <w:r>
          <w:rPr>
            <w:noProof/>
            <w:webHidden/>
          </w:rPr>
          <w:fldChar w:fldCharType="end"/>
        </w:r>
      </w:hyperlink>
    </w:p>
    <w:p w14:paraId="78D3EBA0" w14:textId="32CB3C09"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51" w:history="1">
        <w:r w:rsidRPr="00592639">
          <w:rPr>
            <w:rStyle w:val="Hyperlink"/>
            <w:noProof/>
          </w:rPr>
          <w:t>Table 2.5.23:</w:t>
        </w:r>
        <w:r>
          <w:rPr>
            <w:rFonts w:asciiTheme="minorHAnsi" w:hAnsiTheme="minorHAnsi"/>
            <w:noProof/>
            <w:kern w:val="2"/>
            <w:sz w:val="24"/>
            <w:szCs w:val="24"/>
            <w14:ligatures w14:val="standardContextual"/>
          </w:rPr>
          <w:tab/>
        </w:r>
        <w:r w:rsidRPr="00592639">
          <w:rPr>
            <w:rStyle w:val="Hyperlink"/>
            <w:noProof/>
          </w:rPr>
          <w:t>Description of ‘without measures’ scenario</w:t>
        </w:r>
        <w:r>
          <w:rPr>
            <w:noProof/>
            <w:webHidden/>
          </w:rPr>
          <w:tab/>
        </w:r>
        <w:r>
          <w:rPr>
            <w:noProof/>
            <w:webHidden/>
          </w:rPr>
          <w:fldChar w:fldCharType="begin"/>
        </w:r>
        <w:r>
          <w:rPr>
            <w:noProof/>
            <w:webHidden/>
          </w:rPr>
          <w:instrText xml:space="preserve"> PAGEREF _Toc185427751 \h </w:instrText>
        </w:r>
        <w:r>
          <w:rPr>
            <w:noProof/>
            <w:webHidden/>
          </w:rPr>
        </w:r>
        <w:r>
          <w:rPr>
            <w:noProof/>
            <w:webHidden/>
          </w:rPr>
          <w:fldChar w:fldCharType="separate"/>
        </w:r>
        <w:r w:rsidR="005843E4">
          <w:rPr>
            <w:noProof/>
            <w:webHidden/>
          </w:rPr>
          <w:t>185</w:t>
        </w:r>
        <w:r>
          <w:rPr>
            <w:noProof/>
            <w:webHidden/>
          </w:rPr>
          <w:fldChar w:fldCharType="end"/>
        </w:r>
      </w:hyperlink>
    </w:p>
    <w:p w14:paraId="750341F2" w14:textId="3CD49965"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52" w:history="1">
        <w:r w:rsidRPr="00592639">
          <w:rPr>
            <w:rStyle w:val="Hyperlink"/>
            <w:noProof/>
          </w:rPr>
          <w:t xml:space="preserve">Table 2.5.24: </w:t>
        </w:r>
        <w:r>
          <w:rPr>
            <w:rFonts w:asciiTheme="minorHAnsi" w:hAnsiTheme="minorHAnsi"/>
            <w:noProof/>
            <w:kern w:val="2"/>
            <w:sz w:val="24"/>
            <w:szCs w:val="24"/>
            <w14:ligatures w14:val="standardContextual"/>
          </w:rPr>
          <w:tab/>
        </w:r>
        <w:r w:rsidRPr="00592639">
          <w:rPr>
            <w:rStyle w:val="Hyperlink"/>
            <w:noProof/>
          </w:rPr>
          <w:t>New Zealand greenhouse gas emissions and removals under ‘without measures’ scenario, 1990–2050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_Toc185427752 \h </w:instrText>
        </w:r>
        <w:r>
          <w:rPr>
            <w:noProof/>
            <w:webHidden/>
          </w:rPr>
        </w:r>
        <w:r>
          <w:rPr>
            <w:noProof/>
            <w:webHidden/>
          </w:rPr>
          <w:fldChar w:fldCharType="separate"/>
        </w:r>
        <w:r w:rsidR="005843E4">
          <w:rPr>
            <w:noProof/>
            <w:webHidden/>
          </w:rPr>
          <w:t>186</w:t>
        </w:r>
        <w:r>
          <w:rPr>
            <w:noProof/>
            <w:webHidden/>
          </w:rPr>
          <w:fldChar w:fldCharType="end"/>
        </w:r>
      </w:hyperlink>
    </w:p>
    <w:p w14:paraId="1905E59D" w14:textId="7986AC3B"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53" w:history="1">
        <w:r w:rsidRPr="00592639">
          <w:rPr>
            <w:rStyle w:val="Hyperlink"/>
            <w:noProof/>
          </w:rPr>
          <w:t xml:space="preserve">Table 2.5.25: </w:t>
        </w:r>
        <w:r>
          <w:rPr>
            <w:rFonts w:asciiTheme="minorHAnsi" w:hAnsiTheme="minorHAnsi"/>
            <w:noProof/>
            <w:kern w:val="2"/>
            <w:sz w:val="24"/>
            <w:szCs w:val="24"/>
            <w14:ligatures w14:val="standardContextual"/>
          </w:rPr>
          <w:tab/>
        </w:r>
        <w:r w:rsidRPr="00592639">
          <w:rPr>
            <w:rStyle w:val="Hyperlink"/>
            <w:noProof/>
          </w:rPr>
          <w:t>Historical and projected Energy sector emissions by gas under the ‘without measures’ scenario, 1990–2050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_Toc185427753 \h </w:instrText>
        </w:r>
        <w:r>
          <w:rPr>
            <w:noProof/>
            <w:webHidden/>
          </w:rPr>
        </w:r>
        <w:r>
          <w:rPr>
            <w:noProof/>
            <w:webHidden/>
          </w:rPr>
          <w:fldChar w:fldCharType="separate"/>
        </w:r>
        <w:r w:rsidR="005843E4">
          <w:rPr>
            <w:noProof/>
            <w:webHidden/>
          </w:rPr>
          <w:t>188</w:t>
        </w:r>
        <w:r>
          <w:rPr>
            <w:noProof/>
            <w:webHidden/>
          </w:rPr>
          <w:fldChar w:fldCharType="end"/>
        </w:r>
      </w:hyperlink>
    </w:p>
    <w:p w14:paraId="124685E4" w14:textId="5C35E045"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54" w:history="1">
        <w:r w:rsidRPr="00592639">
          <w:rPr>
            <w:rStyle w:val="Hyperlink"/>
            <w:noProof/>
          </w:rPr>
          <w:t xml:space="preserve">Table 2.5.26: </w:t>
        </w:r>
        <w:r>
          <w:rPr>
            <w:rFonts w:asciiTheme="minorHAnsi" w:hAnsiTheme="minorHAnsi"/>
            <w:noProof/>
            <w:kern w:val="2"/>
            <w:sz w:val="24"/>
            <w:szCs w:val="24"/>
            <w14:ligatures w14:val="standardContextual"/>
          </w:rPr>
          <w:tab/>
        </w:r>
        <w:r w:rsidRPr="00592639">
          <w:rPr>
            <w:rStyle w:val="Hyperlink"/>
            <w:noProof/>
          </w:rPr>
          <w:t>Historical and projected Transport sector emissions by gas under the ‘without measures’ scenario, 1990–2050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_Toc185427754 \h </w:instrText>
        </w:r>
        <w:r>
          <w:rPr>
            <w:noProof/>
            <w:webHidden/>
          </w:rPr>
        </w:r>
        <w:r>
          <w:rPr>
            <w:noProof/>
            <w:webHidden/>
          </w:rPr>
          <w:fldChar w:fldCharType="separate"/>
        </w:r>
        <w:r w:rsidR="005843E4">
          <w:rPr>
            <w:noProof/>
            <w:webHidden/>
          </w:rPr>
          <w:t>188</w:t>
        </w:r>
        <w:r>
          <w:rPr>
            <w:noProof/>
            <w:webHidden/>
          </w:rPr>
          <w:fldChar w:fldCharType="end"/>
        </w:r>
      </w:hyperlink>
    </w:p>
    <w:p w14:paraId="368B24BD" w14:textId="32F56899"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55" w:history="1">
        <w:r w:rsidRPr="00592639">
          <w:rPr>
            <w:rStyle w:val="Hyperlink"/>
            <w:noProof/>
          </w:rPr>
          <w:t xml:space="preserve">Table 2.5.27: </w:t>
        </w:r>
        <w:r>
          <w:rPr>
            <w:rFonts w:asciiTheme="minorHAnsi" w:hAnsiTheme="minorHAnsi"/>
            <w:noProof/>
            <w:kern w:val="2"/>
            <w:sz w:val="24"/>
            <w:szCs w:val="24"/>
            <w14:ligatures w14:val="standardContextual"/>
          </w:rPr>
          <w:tab/>
        </w:r>
        <w:r w:rsidRPr="00592639">
          <w:rPr>
            <w:rStyle w:val="Hyperlink"/>
            <w:noProof/>
          </w:rPr>
          <w:t>Historical and projected IPPU sector emissions by gas under the ‘without measures’ scenario, 1990–2050 (kt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_Toc185427755 \h </w:instrText>
        </w:r>
        <w:r>
          <w:rPr>
            <w:noProof/>
            <w:webHidden/>
          </w:rPr>
        </w:r>
        <w:r>
          <w:rPr>
            <w:noProof/>
            <w:webHidden/>
          </w:rPr>
          <w:fldChar w:fldCharType="separate"/>
        </w:r>
        <w:r w:rsidR="005843E4">
          <w:rPr>
            <w:noProof/>
            <w:webHidden/>
          </w:rPr>
          <w:t>189</w:t>
        </w:r>
        <w:r>
          <w:rPr>
            <w:noProof/>
            <w:webHidden/>
          </w:rPr>
          <w:fldChar w:fldCharType="end"/>
        </w:r>
      </w:hyperlink>
    </w:p>
    <w:p w14:paraId="130D473F" w14:textId="0CD56E2A"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56" w:history="1">
        <w:r w:rsidRPr="00592639">
          <w:rPr>
            <w:rStyle w:val="Hyperlink"/>
            <w:noProof/>
          </w:rPr>
          <w:t xml:space="preserve">Table 2.5.28: </w:t>
        </w:r>
        <w:r>
          <w:rPr>
            <w:rFonts w:asciiTheme="minorHAnsi" w:hAnsiTheme="minorHAnsi"/>
            <w:noProof/>
            <w:kern w:val="2"/>
            <w:sz w:val="24"/>
            <w:szCs w:val="24"/>
            <w14:ligatures w14:val="standardContextual"/>
          </w:rPr>
          <w:tab/>
        </w:r>
        <w:r w:rsidRPr="00592639">
          <w:rPr>
            <w:rStyle w:val="Hyperlink"/>
            <w:noProof/>
          </w:rPr>
          <w:t>Historical and projected Agriculture sector emissions by gas under the ‘without measures’ scenario, 1990–2050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_Toc185427756 \h </w:instrText>
        </w:r>
        <w:r>
          <w:rPr>
            <w:noProof/>
            <w:webHidden/>
          </w:rPr>
        </w:r>
        <w:r>
          <w:rPr>
            <w:noProof/>
            <w:webHidden/>
          </w:rPr>
          <w:fldChar w:fldCharType="separate"/>
        </w:r>
        <w:r w:rsidR="005843E4">
          <w:rPr>
            <w:noProof/>
            <w:webHidden/>
          </w:rPr>
          <w:t>190</w:t>
        </w:r>
        <w:r>
          <w:rPr>
            <w:noProof/>
            <w:webHidden/>
          </w:rPr>
          <w:fldChar w:fldCharType="end"/>
        </w:r>
      </w:hyperlink>
    </w:p>
    <w:p w14:paraId="7F72F487" w14:textId="795ECF8B"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57" w:history="1">
        <w:r w:rsidRPr="00592639">
          <w:rPr>
            <w:rStyle w:val="Hyperlink"/>
            <w:noProof/>
          </w:rPr>
          <w:t xml:space="preserve">Table 2.5.29: </w:t>
        </w:r>
        <w:r>
          <w:rPr>
            <w:rFonts w:asciiTheme="minorHAnsi" w:hAnsiTheme="minorHAnsi"/>
            <w:noProof/>
            <w:kern w:val="2"/>
            <w:sz w:val="24"/>
            <w:szCs w:val="24"/>
            <w14:ligatures w14:val="standardContextual"/>
          </w:rPr>
          <w:tab/>
        </w:r>
        <w:r w:rsidRPr="00592639">
          <w:rPr>
            <w:rStyle w:val="Hyperlink"/>
            <w:noProof/>
          </w:rPr>
          <w:t>Historical and projected Waste sector emissions by gas under the ‘without measures’ scenario, 1990–2050 (kt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_Toc185427757 \h </w:instrText>
        </w:r>
        <w:r>
          <w:rPr>
            <w:noProof/>
            <w:webHidden/>
          </w:rPr>
        </w:r>
        <w:r>
          <w:rPr>
            <w:noProof/>
            <w:webHidden/>
          </w:rPr>
          <w:fldChar w:fldCharType="separate"/>
        </w:r>
        <w:r w:rsidR="005843E4">
          <w:rPr>
            <w:noProof/>
            <w:webHidden/>
          </w:rPr>
          <w:t>191</w:t>
        </w:r>
        <w:r>
          <w:rPr>
            <w:noProof/>
            <w:webHidden/>
          </w:rPr>
          <w:fldChar w:fldCharType="end"/>
        </w:r>
      </w:hyperlink>
    </w:p>
    <w:p w14:paraId="781BEB88" w14:textId="38B9DDEE"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58" w:history="1">
        <w:r w:rsidRPr="00592639">
          <w:rPr>
            <w:rStyle w:val="Hyperlink"/>
            <w:noProof/>
          </w:rPr>
          <w:t xml:space="preserve">Table 2.5.30: </w:t>
        </w:r>
        <w:r>
          <w:rPr>
            <w:rFonts w:asciiTheme="minorHAnsi" w:hAnsiTheme="minorHAnsi"/>
            <w:noProof/>
            <w:kern w:val="2"/>
            <w:sz w:val="24"/>
            <w:szCs w:val="24"/>
            <w14:ligatures w14:val="standardContextual"/>
          </w:rPr>
          <w:tab/>
        </w:r>
        <w:r w:rsidRPr="00592639">
          <w:rPr>
            <w:rStyle w:val="Hyperlink"/>
            <w:noProof/>
          </w:rPr>
          <w:t>Tokelau’s historical and projected emissions by gas under the ‘without measures’ scenario, 1990–2050 (kt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_Toc185427758 \h </w:instrText>
        </w:r>
        <w:r>
          <w:rPr>
            <w:noProof/>
            <w:webHidden/>
          </w:rPr>
        </w:r>
        <w:r>
          <w:rPr>
            <w:noProof/>
            <w:webHidden/>
          </w:rPr>
          <w:fldChar w:fldCharType="separate"/>
        </w:r>
        <w:r w:rsidR="005843E4">
          <w:rPr>
            <w:noProof/>
            <w:webHidden/>
          </w:rPr>
          <w:t>192</w:t>
        </w:r>
        <w:r>
          <w:rPr>
            <w:noProof/>
            <w:webHidden/>
          </w:rPr>
          <w:fldChar w:fldCharType="end"/>
        </w:r>
      </w:hyperlink>
    </w:p>
    <w:p w14:paraId="6227B06C" w14:textId="50A4DFF8"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59" w:history="1">
        <w:r w:rsidRPr="00592639">
          <w:rPr>
            <w:rStyle w:val="Hyperlink"/>
            <w:noProof/>
          </w:rPr>
          <w:t xml:space="preserve">Table 2.5.31: </w:t>
        </w:r>
        <w:r>
          <w:rPr>
            <w:rFonts w:asciiTheme="minorHAnsi" w:hAnsiTheme="minorHAnsi"/>
            <w:noProof/>
            <w:kern w:val="2"/>
            <w:sz w:val="24"/>
            <w:szCs w:val="24"/>
            <w14:ligatures w14:val="standardContextual"/>
          </w:rPr>
          <w:tab/>
        </w:r>
        <w:r w:rsidRPr="00592639">
          <w:rPr>
            <w:rStyle w:val="Hyperlink"/>
            <w:noProof/>
          </w:rPr>
          <w:t>Historical and projected LULUCF sector emissions and removals by gas under the ‘without measures’ scenario, 1990–2050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_Toc185427759 \h </w:instrText>
        </w:r>
        <w:r>
          <w:rPr>
            <w:noProof/>
            <w:webHidden/>
          </w:rPr>
        </w:r>
        <w:r>
          <w:rPr>
            <w:noProof/>
            <w:webHidden/>
          </w:rPr>
          <w:fldChar w:fldCharType="separate"/>
        </w:r>
        <w:r w:rsidR="005843E4">
          <w:rPr>
            <w:noProof/>
            <w:webHidden/>
          </w:rPr>
          <w:t>193</w:t>
        </w:r>
        <w:r>
          <w:rPr>
            <w:noProof/>
            <w:webHidden/>
          </w:rPr>
          <w:fldChar w:fldCharType="end"/>
        </w:r>
      </w:hyperlink>
    </w:p>
    <w:p w14:paraId="27A80E5B" w14:textId="53BE722D"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60" w:history="1">
        <w:r w:rsidRPr="00592639">
          <w:rPr>
            <w:rStyle w:val="Hyperlink"/>
            <w:noProof/>
          </w:rPr>
          <w:t xml:space="preserve">Table 2.6.1: </w:t>
        </w:r>
        <w:r>
          <w:rPr>
            <w:rFonts w:asciiTheme="minorHAnsi" w:hAnsiTheme="minorHAnsi"/>
            <w:noProof/>
            <w:kern w:val="2"/>
            <w:sz w:val="24"/>
            <w:szCs w:val="24"/>
            <w14:ligatures w14:val="standardContextual"/>
          </w:rPr>
          <w:tab/>
        </w:r>
        <w:r w:rsidRPr="00592639">
          <w:rPr>
            <w:rStyle w:val="Hyperlink"/>
            <w:noProof/>
          </w:rPr>
          <w:t>New Zealand net target accounting emissions, ‘with existing measures’ scenario, 2020–2050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_Toc185427760 \h </w:instrText>
        </w:r>
        <w:r>
          <w:rPr>
            <w:noProof/>
            <w:webHidden/>
          </w:rPr>
        </w:r>
        <w:r>
          <w:rPr>
            <w:noProof/>
            <w:webHidden/>
          </w:rPr>
          <w:fldChar w:fldCharType="separate"/>
        </w:r>
        <w:r w:rsidR="005843E4">
          <w:rPr>
            <w:noProof/>
            <w:webHidden/>
          </w:rPr>
          <w:t>197</w:t>
        </w:r>
        <w:r>
          <w:rPr>
            <w:noProof/>
            <w:webHidden/>
          </w:rPr>
          <w:fldChar w:fldCharType="end"/>
        </w:r>
      </w:hyperlink>
    </w:p>
    <w:p w14:paraId="753B7AD8" w14:textId="44AA03A2"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61" w:history="1">
        <w:r w:rsidRPr="00592639">
          <w:rPr>
            <w:rStyle w:val="Hyperlink"/>
            <w:noProof/>
          </w:rPr>
          <w:t xml:space="preserve">Table 2.6.2: </w:t>
        </w:r>
        <w:r>
          <w:rPr>
            <w:rFonts w:asciiTheme="minorHAnsi" w:hAnsiTheme="minorHAnsi"/>
            <w:noProof/>
            <w:kern w:val="2"/>
            <w:sz w:val="24"/>
            <w:szCs w:val="24"/>
            <w14:ligatures w14:val="standardContextual"/>
          </w:rPr>
          <w:tab/>
        </w:r>
        <w:r w:rsidRPr="00592639">
          <w:rPr>
            <w:rStyle w:val="Hyperlink"/>
            <w:noProof/>
          </w:rPr>
          <w:t>New Zealand’s net target accounting emissions by sector under the ‘with existing measures’ scenario 2005–2050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_Toc185427761 \h </w:instrText>
        </w:r>
        <w:r>
          <w:rPr>
            <w:noProof/>
            <w:webHidden/>
          </w:rPr>
        </w:r>
        <w:r>
          <w:rPr>
            <w:noProof/>
            <w:webHidden/>
          </w:rPr>
          <w:fldChar w:fldCharType="separate"/>
        </w:r>
        <w:r w:rsidR="005843E4">
          <w:rPr>
            <w:noProof/>
            <w:webHidden/>
          </w:rPr>
          <w:t>197</w:t>
        </w:r>
        <w:r>
          <w:rPr>
            <w:noProof/>
            <w:webHidden/>
          </w:rPr>
          <w:fldChar w:fldCharType="end"/>
        </w:r>
      </w:hyperlink>
    </w:p>
    <w:p w14:paraId="05E49CBE" w14:textId="24177E7C"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62" w:history="1">
        <w:r w:rsidRPr="00592639">
          <w:rPr>
            <w:rStyle w:val="Hyperlink"/>
            <w:noProof/>
          </w:rPr>
          <w:t xml:space="preserve">Table 2.6.3: </w:t>
        </w:r>
        <w:r>
          <w:rPr>
            <w:rFonts w:asciiTheme="minorHAnsi" w:hAnsiTheme="minorHAnsi"/>
            <w:noProof/>
            <w:kern w:val="2"/>
            <w:sz w:val="24"/>
            <w:szCs w:val="24"/>
            <w14:ligatures w14:val="standardContextual"/>
          </w:rPr>
          <w:tab/>
        </w:r>
        <w:r w:rsidRPr="00592639">
          <w:rPr>
            <w:rStyle w:val="Hyperlink"/>
            <w:noProof/>
          </w:rPr>
          <w:t>Historical and projected LULUCF target accounting quantities by gas under the ‘with existing measures’ scenario, 2020–2050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_Toc185427762 \h </w:instrText>
        </w:r>
        <w:r>
          <w:rPr>
            <w:noProof/>
            <w:webHidden/>
          </w:rPr>
        </w:r>
        <w:r>
          <w:rPr>
            <w:noProof/>
            <w:webHidden/>
          </w:rPr>
          <w:fldChar w:fldCharType="separate"/>
        </w:r>
        <w:r w:rsidR="005843E4">
          <w:rPr>
            <w:noProof/>
            <w:webHidden/>
          </w:rPr>
          <w:t>200</w:t>
        </w:r>
        <w:r>
          <w:rPr>
            <w:noProof/>
            <w:webHidden/>
          </w:rPr>
          <w:fldChar w:fldCharType="end"/>
        </w:r>
      </w:hyperlink>
    </w:p>
    <w:p w14:paraId="2E5DEAA2" w14:textId="4DCDB803"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63" w:history="1">
        <w:r w:rsidRPr="00592639">
          <w:rPr>
            <w:rStyle w:val="Hyperlink"/>
            <w:noProof/>
          </w:rPr>
          <w:t xml:space="preserve">Table 2.6.4: </w:t>
        </w:r>
        <w:r>
          <w:rPr>
            <w:rFonts w:asciiTheme="minorHAnsi" w:hAnsiTheme="minorHAnsi"/>
            <w:noProof/>
            <w:kern w:val="2"/>
            <w:sz w:val="24"/>
            <w:szCs w:val="24"/>
            <w14:ligatures w14:val="standardContextual"/>
          </w:rPr>
          <w:tab/>
        </w:r>
        <w:r w:rsidRPr="00592639">
          <w:rPr>
            <w:rStyle w:val="Hyperlink"/>
            <w:noProof/>
          </w:rPr>
          <w:t>Projected deforestation scenarios from 2023 onwards (hectares per year)</w:t>
        </w:r>
        <w:r>
          <w:rPr>
            <w:noProof/>
            <w:webHidden/>
          </w:rPr>
          <w:tab/>
        </w:r>
        <w:r>
          <w:rPr>
            <w:noProof/>
            <w:webHidden/>
          </w:rPr>
          <w:fldChar w:fldCharType="begin"/>
        </w:r>
        <w:r>
          <w:rPr>
            <w:noProof/>
            <w:webHidden/>
          </w:rPr>
          <w:instrText xml:space="preserve"> PAGEREF _Toc185427763 \h </w:instrText>
        </w:r>
        <w:r>
          <w:rPr>
            <w:noProof/>
            <w:webHidden/>
          </w:rPr>
        </w:r>
        <w:r>
          <w:rPr>
            <w:noProof/>
            <w:webHidden/>
          </w:rPr>
          <w:fldChar w:fldCharType="separate"/>
        </w:r>
        <w:r w:rsidR="005843E4">
          <w:rPr>
            <w:noProof/>
            <w:webHidden/>
          </w:rPr>
          <w:t>202</w:t>
        </w:r>
        <w:r>
          <w:rPr>
            <w:noProof/>
            <w:webHidden/>
          </w:rPr>
          <w:fldChar w:fldCharType="end"/>
        </w:r>
      </w:hyperlink>
    </w:p>
    <w:p w14:paraId="63FF18E0" w14:textId="26883D32"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64" w:history="1">
        <w:r w:rsidRPr="00592639">
          <w:rPr>
            <w:rStyle w:val="Hyperlink"/>
            <w:noProof/>
          </w:rPr>
          <w:t xml:space="preserve">Table 2.6.5: </w:t>
        </w:r>
        <w:r>
          <w:rPr>
            <w:rFonts w:asciiTheme="minorHAnsi" w:hAnsiTheme="minorHAnsi"/>
            <w:noProof/>
            <w:kern w:val="2"/>
            <w:sz w:val="24"/>
            <w:szCs w:val="24"/>
            <w14:ligatures w14:val="standardContextual"/>
          </w:rPr>
          <w:tab/>
        </w:r>
        <w:r w:rsidRPr="00592639">
          <w:rPr>
            <w:rStyle w:val="Hyperlink"/>
            <w:noProof/>
          </w:rPr>
          <w:t>Historical and projected LULUCF target accounting quantities under ‘with existing measures’, lower and upper removals scenarios, 2020–2030 (Mt CO</w:t>
        </w:r>
        <w:r w:rsidRPr="00592639">
          <w:rPr>
            <w:rStyle w:val="Hyperlink"/>
            <w:noProof/>
            <w:vertAlign w:val="subscript"/>
          </w:rPr>
          <w:t>2</w:t>
        </w:r>
        <w:r w:rsidRPr="00592639">
          <w:rPr>
            <w:rStyle w:val="Hyperlink"/>
            <w:noProof/>
          </w:rPr>
          <w:t>e)</w:t>
        </w:r>
        <w:r>
          <w:rPr>
            <w:noProof/>
            <w:webHidden/>
          </w:rPr>
          <w:tab/>
        </w:r>
        <w:r>
          <w:rPr>
            <w:noProof/>
            <w:webHidden/>
          </w:rPr>
          <w:fldChar w:fldCharType="begin"/>
        </w:r>
        <w:r>
          <w:rPr>
            <w:noProof/>
            <w:webHidden/>
          </w:rPr>
          <w:instrText xml:space="preserve"> PAGEREF _Toc185427764 \h </w:instrText>
        </w:r>
        <w:r>
          <w:rPr>
            <w:noProof/>
            <w:webHidden/>
          </w:rPr>
        </w:r>
        <w:r>
          <w:rPr>
            <w:noProof/>
            <w:webHidden/>
          </w:rPr>
          <w:fldChar w:fldCharType="separate"/>
        </w:r>
        <w:r w:rsidR="005843E4">
          <w:rPr>
            <w:noProof/>
            <w:webHidden/>
          </w:rPr>
          <w:t>204</w:t>
        </w:r>
        <w:r>
          <w:rPr>
            <w:noProof/>
            <w:webHidden/>
          </w:rPr>
          <w:fldChar w:fldCharType="end"/>
        </w:r>
      </w:hyperlink>
    </w:p>
    <w:p w14:paraId="4C6A22EA" w14:textId="4E933FC5"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65" w:history="1">
        <w:r w:rsidRPr="00592639">
          <w:rPr>
            <w:rStyle w:val="Hyperlink"/>
            <w:noProof/>
          </w:rPr>
          <w:t>Table 3.1:</w:t>
        </w:r>
        <w:r>
          <w:rPr>
            <w:rFonts w:asciiTheme="minorHAnsi" w:hAnsiTheme="minorHAnsi"/>
            <w:noProof/>
            <w:kern w:val="2"/>
            <w:sz w:val="24"/>
            <w:szCs w:val="24"/>
            <w14:ligatures w14:val="standardContextual"/>
          </w:rPr>
          <w:tab/>
        </w:r>
        <w:r w:rsidRPr="00592639">
          <w:rPr>
            <w:rStyle w:val="Hyperlink"/>
            <w:noProof/>
          </w:rPr>
          <w:t>Key institutional arrangements for adaptation in New Zealand</w:t>
        </w:r>
        <w:r>
          <w:rPr>
            <w:noProof/>
            <w:webHidden/>
          </w:rPr>
          <w:tab/>
        </w:r>
        <w:r>
          <w:rPr>
            <w:noProof/>
            <w:webHidden/>
          </w:rPr>
          <w:fldChar w:fldCharType="begin"/>
        </w:r>
        <w:r>
          <w:rPr>
            <w:noProof/>
            <w:webHidden/>
          </w:rPr>
          <w:instrText xml:space="preserve"> PAGEREF _Toc185427765 \h </w:instrText>
        </w:r>
        <w:r>
          <w:rPr>
            <w:noProof/>
            <w:webHidden/>
          </w:rPr>
        </w:r>
        <w:r>
          <w:rPr>
            <w:noProof/>
            <w:webHidden/>
          </w:rPr>
          <w:fldChar w:fldCharType="separate"/>
        </w:r>
        <w:r w:rsidR="005843E4">
          <w:rPr>
            <w:noProof/>
            <w:webHidden/>
          </w:rPr>
          <w:t>207</w:t>
        </w:r>
        <w:r>
          <w:rPr>
            <w:noProof/>
            <w:webHidden/>
          </w:rPr>
          <w:fldChar w:fldCharType="end"/>
        </w:r>
      </w:hyperlink>
    </w:p>
    <w:p w14:paraId="1ECA472C" w14:textId="2B2D87CB"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66" w:history="1">
        <w:r w:rsidRPr="00592639">
          <w:rPr>
            <w:rStyle w:val="Hyperlink"/>
            <w:noProof/>
          </w:rPr>
          <w:t>Table 3.2:</w:t>
        </w:r>
        <w:r>
          <w:rPr>
            <w:rFonts w:asciiTheme="minorHAnsi" w:hAnsiTheme="minorHAnsi"/>
            <w:noProof/>
            <w:kern w:val="2"/>
            <w:sz w:val="24"/>
            <w:szCs w:val="24"/>
            <w14:ligatures w14:val="standardContextual"/>
          </w:rPr>
          <w:tab/>
        </w:r>
        <w:r w:rsidRPr="00592639">
          <w:rPr>
            <w:rStyle w:val="Hyperlink"/>
            <w:noProof/>
          </w:rPr>
          <w:t>The observed and projected climate change impacts on domains in New Zealand</w:t>
        </w:r>
        <w:r>
          <w:rPr>
            <w:noProof/>
            <w:webHidden/>
          </w:rPr>
          <w:tab/>
        </w:r>
        <w:r>
          <w:rPr>
            <w:noProof/>
            <w:webHidden/>
          </w:rPr>
          <w:fldChar w:fldCharType="begin"/>
        </w:r>
        <w:r>
          <w:rPr>
            <w:noProof/>
            <w:webHidden/>
          </w:rPr>
          <w:instrText xml:space="preserve"> PAGEREF _Toc185427766 \h </w:instrText>
        </w:r>
        <w:r>
          <w:rPr>
            <w:noProof/>
            <w:webHidden/>
          </w:rPr>
        </w:r>
        <w:r>
          <w:rPr>
            <w:noProof/>
            <w:webHidden/>
          </w:rPr>
          <w:fldChar w:fldCharType="separate"/>
        </w:r>
        <w:r w:rsidR="005843E4">
          <w:rPr>
            <w:noProof/>
            <w:webHidden/>
          </w:rPr>
          <w:t>216</w:t>
        </w:r>
        <w:r>
          <w:rPr>
            <w:noProof/>
            <w:webHidden/>
          </w:rPr>
          <w:fldChar w:fldCharType="end"/>
        </w:r>
      </w:hyperlink>
    </w:p>
    <w:p w14:paraId="5119267E" w14:textId="1E3684B4"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67" w:history="1">
        <w:r w:rsidRPr="00592639">
          <w:rPr>
            <w:rStyle w:val="Hyperlink"/>
            <w:noProof/>
          </w:rPr>
          <w:t>Table 3.3:</w:t>
        </w:r>
        <w:r>
          <w:rPr>
            <w:rFonts w:asciiTheme="minorHAnsi" w:hAnsiTheme="minorHAnsi"/>
            <w:noProof/>
            <w:kern w:val="2"/>
            <w:sz w:val="24"/>
            <w:szCs w:val="24"/>
            <w14:ligatures w14:val="standardContextual"/>
          </w:rPr>
          <w:tab/>
        </w:r>
        <w:r w:rsidRPr="00592639">
          <w:rPr>
            <w:rStyle w:val="Hyperlink"/>
            <w:noProof/>
          </w:rPr>
          <w:t>Three stages of the first National Climate Change Risk Assessment, 2020</w:t>
        </w:r>
        <w:r>
          <w:rPr>
            <w:noProof/>
            <w:webHidden/>
          </w:rPr>
          <w:tab/>
        </w:r>
        <w:r>
          <w:rPr>
            <w:noProof/>
            <w:webHidden/>
          </w:rPr>
          <w:fldChar w:fldCharType="begin"/>
        </w:r>
        <w:r>
          <w:rPr>
            <w:noProof/>
            <w:webHidden/>
          </w:rPr>
          <w:instrText xml:space="preserve"> PAGEREF _Toc185427767 \h </w:instrText>
        </w:r>
        <w:r>
          <w:rPr>
            <w:noProof/>
            <w:webHidden/>
          </w:rPr>
        </w:r>
        <w:r>
          <w:rPr>
            <w:noProof/>
            <w:webHidden/>
          </w:rPr>
          <w:fldChar w:fldCharType="separate"/>
        </w:r>
        <w:r w:rsidR="005843E4">
          <w:rPr>
            <w:noProof/>
            <w:webHidden/>
          </w:rPr>
          <w:t>219</w:t>
        </w:r>
        <w:r>
          <w:rPr>
            <w:noProof/>
            <w:webHidden/>
          </w:rPr>
          <w:fldChar w:fldCharType="end"/>
        </w:r>
      </w:hyperlink>
    </w:p>
    <w:p w14:paraId="4CE6A2DD" w14:textId="4FC5FD4E"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68" w:history="1">
        <w:r w:rsidRPr="00592639">
          <w:rPr>
            <w:rStyle w:val="Hyperlink"/>
            <w:noProof/>
          </w:rPr>
          <w:t>Table 3.4:</w:t>
        </w:r>
        <w:r>
          <w:rPr>
            <w:rFonts w:asciiTheme="minorHAnsi" w:hAnsiTheme="minorHAnsi"/>
            <w:noProof/>
            <w:kern w:val="2"/>
            <w:sz w:val="24"/>
            <w:szCs w:val="24"/>
            <w14:ligatures w14:val="standardContextual"/>
          </w:rPr>
          <w:tab/>
        </w:r>
        <w:r w:rsidRPr="00592639">
          <w:rPr>
            <w:rStyle w:val="Hyperlink"/>
            <w:noProof/>
          </w:rPr>
          <w:t>Gaps in adaptation and actions to address them</w:t>
        </w:r>
        <w:r>
          <w:rPr>
            <w:noProof/>
            <w:webHidden/>
          </w:rPr>
          <w:tab/>
        </w:r>
        <w:r>
          <w:rPr>
            <w:noProof/>
            <w:webHidden/>
          </w:rPr>
          <w:fldChar w:fldCharType="begin"/>
        </w:r>
        <w:r>
          <w:rPr>
            <w:noProof/>
            <w:webHidden/>
          </w:rPr>
          <w:instrText xml:space="preserve"> PAGEREF _Toc185427768 \h </w:instrText>
        </w:r>
        <w:r>
          <w:rPr>
            <w:noProof/>
            <w:webHidden/>
          </w:rPr>
        </w:r>
        <w:r>
          <w:rPr>
            <w:noProof/>
            <w:webHidden/>
          </w:rPr>
          <w:fldChar w:fldCharType="separate"/>
        </w:r>
        <w:r w:rsidR="005843E4">
          <w:rPr>
            <w:noProof/>
            <w:webHidden/>
          </w:rPr>
          <w:t>224</w:t>
        </w:r>
        <w:r>
          <w:rPr>
            <w:noProof/>
            <w:webHidden/>
          </w:rPr>
          <w:fldChar w:fldCharType="end"/>
        </w:r>
      </w:hyperlink>
    </w:p>
    <w:p w14:paraId="4702D220" w14:textId="277FE4FD"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69" w:history="1">
        <w:r w:rsidRPr="00592639">
          <w:rPr>
            <w:rStyle w:val="Hyperlink"/>
            <w:noProof/>
          </w:rPr>
          <w:t>Table 3.5:</w:t>
        </w:r>
        <w:r>
          <w:rPr>
            <w:rFonts w:asciiTheme="minorHAnsi" w:hAnsiTheme="minorHAnsi"/>
            <w:noProof/>
            <w:kern w:val="2"/>
            <w:sz w:val="24"/>
            <w:szCs w:val="24"/>
            <w14:ligatures w14:val="standardContextual"/>
          </w:rPr>
          <w:tab/>
        </w:r>
        <w:r w:rsidRPr="00592639">
          <w:rPr>
            <w:rStyle w:val="Hyperlink"/>
            <w:noProof/>
          </w:rPr>
          <w:t>Barriers to adaptation</w:t>
        </w:r>
        <w:r>
          <w:rPr>
            <w:noProof/>
            <w:webHidden/>
          </w:rPr>
          <w:tab/>
        </w:r>
        <w:r>
          <w:rPr>
            <w:noProof/>
            <w:webHidden/>
          </w:rPr>
          <w:fldChar w:fldCharType="begin"/>
        </w:r>
        <w:r>
          <w:rPr>
            <w:noProof/>
            <w:webHidden/>
          </w:rPr>
          <w:instrText xml:space="preserve"> PAGEREF _Toc185427769 \h </w:instrText>
        </w:r>
        <w:r>
          <w:rPr>
            <w:noProof/>
            <w:webHidden/>
          </w:rPr>
        </w:r>
        <w:r>
          <w:rPr>
            <w:noProof/>
            <w:webHidden/>
          </w:rPr>
          <w:fldChar w:fldCharType="separate"/>
        </w:r>
        <w:r w:rsidR="005843E4">
          <w:rPr>
            <w:noProof/>
            <w:webHidden/>
          </w:rPr>
          <w:t>225</w:t>
        </w:r>
        <w:r>
          <w:rPr>
            <w:noProof/>
            <w:webHidden/>
          </w:rPr>
          <w:fldChar w:fldCharType="end"/>
        </w:r>
      </w:hyperlink>
    </w:p>
    <w:p w14:paraId="5243E74C" w14:textId="0DF48D53"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70" w:history="1">
        <w:r w:rsidRPr="00592639">
          <w:rPr>
            <w:rStyle w:val="Hyperlink"/>
            <w:noProof/>
          </w:rPr>
          <w:t>Table 3.6:</w:t>
        </w:r>
        <w:r>
          <w:rPr>
            <w:rFonts w:asciiTheme="minorHAnsi" w:hAnsiTheme="minorHAnsi"/>
            <w:noProof/>
            <w:kern w:val="2"/>
            <w:sz w:val="24"/>
            <w:szCs w:val="24"/>
            <w14:ligatures w14:val="standardContextual"/>
          </w:rPr>
          <w:tab/>
        </w:r>
        <w:r w:rsidRPr="00592639">
          <w:rPr>
            <w:rStyle w:val="Hyperlink"/>
            <w:noProof/>
          </w:rPr>
          <w:t>National adaptation strategies and policies</w:t>
        </w:r>
        <w:r>
          <w:rPr>
            <w:noProof/>
            <w:webHidden/>
          </w:rPr>
          <w:tab/>
        </w:r>
        <w:r>
          <w:rPr>
            <w:noProof/>
            <w:webHidden/>
          </w:rPr>
          <w:fldChar w:fldCharType="begin"/>
        </w:r>
        <w:r>
          <w:rPr>
            <w:noProof/>
            <w:webHidden/>
          </w:rPr>
          <w:instrText xml:space="preserve"> PAGEREF _Toc185427770 \h </w:instrText>
        </w:r>
        <w:r>
          <w:rPr>
            <w:noProof/>
            <w:webHidden/>
          </w:rPr>
        </w:r>
        <w:r>
          <w:rPr>
            <w:noProof/>
            <w:webHidden/>
          </w:rPr>
          <w:fldChar w:fldCharType="separate"/>
        </w:r>
        <w:r w:rsidR="005843E4">
          <w:rPr>
            <w:noProof/>
            <w:webHidden/>
          </w:rPr>
          <w:t>227</w:t>
        </w:r>
        <w:r>
          <w:rPr>
            <w:noProof/>
            <w:webHidden/>
          </w:rPr>
          <w:fldChar w:fldCharType="end"/>
        </w:r>
      </w:hyperlink>
    </w:p>
    <w:p w14:paraId="120D2801" w14:textId="6482C7EA"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71" w:history="1">
        <w:r w:rsidRPr="00592639">
          <w:rPr>
            <w:rStyle w:val="Hyperlink"/>
            <w:noProof/>
          </w:rPr>
          <w:t>Table 3.7:</w:t>
        </w:r>
        <w:r>
          <w:rPr>
            <w:rFonts w:asciiTheme="minorHAnsi" w:hAnsiTheme="minorHAnsi"/>
            <w:noProof/>
            <w:kern w:val="2"/>
            <w:sz w:val="24"/>
            <w:szCs w:val="24"/>
            <w14:ligatures w14:val="standardContextual"/>
          </w:rPr>
          <w:tab/>
        </w:r>
        <w:r w:rsidRPr="00592639">
          <w:rPr>
            <w:rStyle w:val="Hyperlink"/>
            <w:noProof/>
          </w:rPr>
          <w:t>Strategies, policies or programmes within local government</w:t>
        </w:r>
        <w:r>
          <w:rPr>
            <w:noProof/>
            <w:webHidden/>
          </w:rPr>
          <w:tab/>
        </w:r>
        <w:r>
          <w:rPr>
            <w:noProof/>
            <w:webHidden/>
          </w:rPr>
          <w:fldChar w:fldCharType="begin"/>
        </w:r>
        <w:r>
          <w:rPr>
            <w:noProof/>
            <w:webHidden/>
          </w:rPr>
          <w:instrText xml:space="preserve"> PAGEREF _Toc185427771 \h </w:instrText>
        </w:r>
        <w:r>
          <w:rPr>
            <w:noProof/>
            <w:webHidden/>
          </w:rPr>
        </w:r>
        <w:r>
          <w:rPr>
            <w:noProof/>
            <w:webHidden/>
          </w:rPr>
          <w:fldChar w:fldCharType="separate"/>
        </w:r>
        <w:r w:rsidR="005843E4">
          <w:rPr>
            <w:noProof/>
            <w:webHidden/>
          </w:rPr>
          <w:t>233</w:t>
        </w:r>
        <w:r>
          <w:rPr>
            <w:noProof/>
            <w:webHidden/>
          </w:rPr>
          <w:fldChar w:fldCharType="end"/>
        </w:r>
      </w:hyperlink>
    </w:p>
    <w:p w14:paraId="1DC4563A" w14:textId="0BE1755E"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72" w:history="1">
        <w:r w:rsidRPr="00592639">
          <w:rPr>
            <w:rStyle w:val="Hyperlink"/>
            <w:noProof/>
          </w:rPr>
          <w:t>Table 3.8:</w:t>
        </w:r>
        <w:r>
          <w:rPr>
            <w:rFonts w:asciiTheme="minorHAnsi" w:hAnsiTheme="minorHAnsi"/>
            <w:noProof/>
            <w:kern w:val="2"/>
            <w:sz w:val="24"/>
            <w:szCs w:val="24"/>
            <w14:ligatures w14:val="standardContextual"/>
          </w:rPr>
          <w:tab/>
        </w:r>
        <w:r w:rsidRPr="00592639">
          <w:rPr>
            <w:rStyle w:val="Hyperlink"/>
            <w:noProof/>
          </w:rPr>
          <w:t>Strategies, policies and programmes from iwi and hap</w:t>
        </w:r>
        <w:r w:rsidRPr="00592639">
          <w:rPr>
            <w:rStyle w:val="Hyperlink"/>
            <w:rFonts w:cs="Calibri"/>
            <w:noProof/>
          </w:rPr>
          <w:t>ū</w:t>
        </w:r>
        <w:r>
          <w:rPr>
            <w:noProof/>
            <w:webHidden/>
          </w:rPr>
          <w:tab/>
        </w:r>
        <w:r>
          <w:rPr>
            <w:noProof/>
            <w:webHidden/>
          </w:rPr>
          <w:fldChar w:fldCharType="begin"/>
        </w:r>
        <w:r>
          <w:rPr>
            <w:noProof/>
            <w:webHidden/>
          </w:rPr>
          <w:instrText xml:space="preserve"> PAGEREF _Toc185427772 \h </w:instrText>
        </w:r>
        <w:r>
          <w:rPr>
            <w:noProof/>
            <w:webHidden/>
          </w:rPr>
        </w:r>
        <w:r>
          <w:rPr>
            <w:noProof/>
            <w:webHidden/>
          </w:rPr>
          <w:fldChar w:fldCharType="separate"/>
        </w:r>
        <w:r w:rsidR="005843E4">
          <w:rPr>
            <w:noProof/>
            <w:webHidden/>
          </w:rPr>
          <w:t>235</w:t>
        </w:r>
        <w:r>
          <w:rPr>
            <w:noProof/>
            <w:webHidden/>
          </w:rPr>
          <w:fldChar w:fldCharType="end"/>
        </w:r>
      </w:hyperlink>
    </w:p>
    <w:p w14:paraId="102CBAD3" w14:textId="7DF9865E"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73" w:history="1">
        <w:r w:rsidRPr="00592639">
          <w:rPr>
            <w:rStyle w:val="Hyperlink"/>
            <w:noProof/>
          </w:rPr>
          <w:t>Table 3.9:</w:t>
        </w:r>
        <w:r>
          <w:rPr>
            <w:rFonts w:asciiTheme="minorHAnsi" w:hAnsiTheme="minorHAnsi"/>
            <w:noProof/>
            <w:kern w:val="2"/>
            <w:sz w:val="24"/>
            <w:szCs w:val="24"/>
            <w14:ligatures w14:val="standardContextual"/>
          </w:rPr>
          <w:tab/>
        </w:r>
        <w:r w:rsidRPr="00592639">
          <w:rPr>
            <w:rStyle w:val="Hyperlink"/>
            <w:noProof/>
          </w:rPr>
          <w:t>Strategies, policies or programmes within private sectors</w:t>
        </w:r>
        <w:r>
          <w:rPr>
            <w:noProof/>
            <w:webHidden/>
          </w:rPr>
          <w:tab/>
        </w:r>
        <w:r>
          <w:rPr>
            <w:noProof/>
            <w:webHidden/>
          </w:rPr>
          <w:fldChar w:fldCharType="begin"/>
        </w:r>
        <w:r>
          <w:rPr>
            <w:noProof/>
            <w:webHidden/>
          </w:rPr>
          <w:instrText xml:space="preserve"> PAGEREF _Toc185427773 \h </w:instrText>
        </w:r>
        <w:r>
          <w:rPr>
            <w:noProof/>
            <w:webHidden/>
          </w:rPr>
        </w:r>
        <w:r>
          <w:rPr>
            <w:noProof/>
            <w:webHidden/>
          </w:rPr>
          <w:fldChar w:fldCharType="separate"/>
        </w:r>
        <w:r w:rsidR="005843E4">
          <w:rPr>
            <w:noProof/>
            <w:webHidden/>
          </w:rPr>
          <w:t>236</w:t>
        </w:r>
        <w:r>
          <w:rPr>
            <w:noProof/>
            <w:webHidden/>
          </w:rPr>
          <w:fldChar w:fldCharType="end"/>
        </w:r>
      </w:hyperlink>
    </w:p>
    <w:p w14:paraId="1F07FCA2" w14:textId="10982A47"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74" w:history="1">
        <w:r w:rsidRPr="00592639">
          <w:rPr>
            <w:rStyle w:val="Hyperlink"/>
            <w:noProof/>
          </w:rPr>
          <w:t>Table 4.1:</w:t>
        </w:r>
        <w:r>
          <w:rPr>
            <w:rFonts w:asciiTheme="minorHAnsi" w:hAnsiTheme="minorHAnsi"/>
            <w:noProof/>
            <w:kern w:val="2"/>
            <w:sz w:val="24"/>
            <w:szCs w:val="24"/>
            <w14:ligatures w14:val="standardContextual"/>
          </w:rPr>
          <w:tab/>
        </w:r>
        <w:r w:rsidRPr="00592639">
          <w:rPr>
            <w:rStyle w:val="Hyperlink"/>
            <w:noProof/>
          </w:rPr>
          <w:t>Classifications and coefficients for quantifying and recording climate</w:t>
        </w:r>
        <w:r w:rsidRPr="00592639">
          <w:rPr>
            <w:rStyle w:val="Hyperlink"/>
            <w:noProof/>
          </w:rPr>
          <w:noBreakHyphen/>
          <w:t>related expenditure</w:t>
        </w:r>
        <w:r>
          <w:rPr>
            <w:noProof/>
            <w:webHidden/>
          </w:rPr>
          <w:tab/>
        </w:r>
        <w:r>
          <w:rPr>
            <w:noProof/>
            <w:webHidden/>
          </w:rPr>
          <w:fldChar w:fldCharType="begin"/>
        </w:r>
        <w:r>
          <w:rPr>
            <w:noProof/>
            <w:webHidden/>
          </w:rPr>
          <w:instrText xml:space="preserve"> PAGEREF _Toc185427774 \h </w:instrText>
        </w:r>
        <w:r>
          <w:rPr>
            <w:noProof/>
            <w:webHidden/>
          </w:rPr>
        </w:r>
        <w:r>
          <w:rPr>
            <w:noProof/>
            <w:webHidden/>
          </w:rPr>
          <w:fldChar w:fldCharType="separate"/>
        </w:r>
        <w:r w:rsidR="005843E4">
          <w:rPr>
            <w:noProof/>
            <w:webHidden/>
          </w:rPr>
          <w:t>247</w:t>
        </w:r>
        <w:r>
          <w:rPr>
            <w:noProof/>
            <w:webHidden/>
          </w:rPr>
          <w:fldChar w:fldCharType="end"/>
        </w:r>
      </w:hyperlink>
    </w:p>
    <w:p w14:paraId="10738D60" w14:textId="1F6F4CCD"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75" w:history="1">
        <w:r w:rsidRPr="00592639">
          <w:rPr>
            <w:rStyle w:val="Hyperlink"/>
            <w:noProof/>
          </w:rPr>
          <w:t xml:space="preserve">Table 4.2: </w:t>
        </w:r>
        <w:r>
          <w:rPr>
            <w:rFonts w:asciiTheme="minorHAnsi" w:hAnsiTheme="minorHAnsi"/>
            <w:noProof/>
            <w:kern w:val="2"/>
            <w:sz w:val="24"/>
            <w:szCs w:val="24"/>
            <w14:ligatures w14:val="standardContextual"/>
          </w:rPr>
          <w:tab/>
        </w:r>
        <w:r w:rsidRPr="00592639">
          <w:rPr>
            <w:rStyle w:val="Hyperlink"/>
            <w:noProof/>
          </w:rPr>
          <w:t>Technology transfer and capacity-building support delivered through the Global Research Alliance on Agricultural Greenhouse Gases</w:t>
        </w:r>
        <w:r>
          <w:rPr>
            <w:noProof/>
            <w:webHidden/>
          </w:rPr>
          <w:tab/>
        </w:r>
        <w:r>
          <w:rPr>
            <w:noProof/>
            <w:webHidden/>
          </w:rPr>
          <w:fldChar w:fldCharType="begin"/>
        </w:r>
        <w:r>
          <w:rPr>
            <w:noProof/>
            <w:webHidden/>
          </w:rPr>
          <w:instrText xml:space="preserve"> PAGEREF _Toc185427775 \h </w:instrText>
        </w:r>
        <w:r>
          <w:rPr>
            <w:noProof/>
            <w:webHidden/>
          </w:rPr>
        </w:r>
        <w:r>
          <w:rPr>
            <w:noProof/>
            <w:webHidden/>
          </w:rPr>
          <w:fldChar w:fldCharType="separate"/>
        </w:r>
        <w:r w:rsidR="005843E4">
          <w:rPr>
            <w:noProof/>
            <w:webHidden/>
          </w:rPr>
          <w:t>254</w:t>
        </w:r>
        <w:r>
          <w:rPr>
            <w:noProof/>
            <w:webHidden/>
          </w:rPr>
          <w:fldChar w:fldCharType="end"/>
        </w:r>
      </w:hyperlink>
    </w:p>
    <w:p w14:paraId="3C034A08" w14:textId="78DC2C82"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76" w:history="1">
        <w:r w:rsidRPr="00592639">
          <w:rPr>
            <w:rStyle w:val="Hyperlink"/>
            <w:noProof/>
          </w:rPr>
          <w:t xml:space="preserve">CTF table 1: </w:t>
        </w:r>
        <w:r>
          <w:rPr>
            <w:rFonts w:asciiTheme="minorHAnsi" w:hAnsiTheme="minorHAnsi"/>
            <w:noProof/>
            <w:kern w:val="2"/>
            <w:sz w:val="24"/>
            <w:szCs w:val="24"/>
            <w14:ligatures w14:val="standardContextual"/>
          </w:rPr>
          <w:tab/>
        </w:r>
        <w:r w:rsidRPr="00592639">
          <w:rPr>
            <w:rStyle w:val="Hyperlink"/>
            <w:noProof/>
          </w:rPr>
          <w:t>Structured summary: Description of selected indicators</w:t>
        </w:r>
        <w:r>
          <w:rPr>
            <w:noProof/>
            <w:webHidden/>
          </w:rPr>
          <w:tab/>
        </w:r>
        <w:r>
          <w:rPr>
            <w:noProof/>
            <w:webHidden/>
          </w:rPr>
          <w:fldChar w:fldCharType="begin"/>
        </w:r>
        <w:r>
          <w:rPr>
            <w:noProof/>
            <w:webHidden/>
          </w:rPr>
          <w:instrText xml:space="preserve"> PAGEREF _Toc185427776 \h </w:instrText>
        </w:r>
        <w:r>
          <w:rPr>
            <w:noProof/>
            <w:webHidden/>
          </w:rPr>
        </w:r>
        <w:r>
          <w:rPr>
            <w:noProof/>
            <w:webHidden/>
          </w:rPr>
          <w:fldChar w:fldCharType="separate"/>
        </w:r>
        <w:r w:rsidR="005843E4">
          <w:rPr>
            <w:noProof/>
            <w:webHidden/>
          </w:rPr>
          <w:t>258</w:t>
        </w:r>
        <w:r>
          <w:rPr>
            <w:noProof/>
            <w:webHidden/>
          </w:rPr>
          <w:fldChar w:fldCharType="end"/>
        </w:r>
      </w:hyperlink>
    </w:p>
    <w:p w14:paraId="653BEA8C" w14:textId="0B44C2C8"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77" w:history="1">
        <w:r w:rsidRPr="00592639">
          <w:rPr>
            <w:rStyle w:val="Hyperlink"/>
            <w:noProof/>
          </w:rPr>
          <w:t xml:space="preserve">CTF table 2: </w:t>
        </w:r>
        <w:r>
          <w:rPr>
            <w:rFonts w:asciiTheme="minorHAnsi" w:hAnsiTheme="minorHAnsi"/>
            <w:noProof/>
            <w:kern w:val="2"/>
            <w:sz w:val="24"/>
            <w:szCs w:val="24"/>
            <w14:ligatures w14:val="standardContextual"/>
          </w:rPr>
          <w:tab/>
        </w:r>
        <w:r w:rsidRPr="00592639">
          <w:rPr>
            <w:rStyle w:val="Hyperlink"/>
            <w:noProof/>
          </w:rPr>
          <w:t>Structured summary: Definitions needed to understand the Nationally Determined Contribution</w:t>
        </w:r>
        <w:r>
          <w:rPr>
            <w:noProof/>
            <w:webHidden/>
          </w:rPr>
          <w:tab/>
        </w:r>
        <w:r>
          <w:rPr>
            <w:noProof/>
            <w:webHidden/>
          </w:rPr>
          <w:fldChar w:fldCharType="begin"/>
        </w:r>
        <w:r>
          <w:rPr>
            <w:noProof/>
            <w:webHidden/>
          </w:rPr>
          <w:instrText xml:space="preserve"> PAGEREF _Toc185427777 \h </w:instrText>
        </w:r>
        <w:r>
          <w:rPr>
            <w:noProof/>
            <w:webHidden/>
          </w:rPr>
        </w:r>
        <w:r>
          <w:rPr>
            <w:noProof/>
            <w:webHidden/>
          </w:rPr>
          <w:fldChar w:fldCharType="separate"/>
        </w:r>
        <w:r w:rsidR="005843E4">
          <w:rPr>
            <w:noProof/>
            <w:webHidden/>
          </w:rPr>
          <w:t>259</w:t>
        </w:r>
        <w:r>
          <w:rPr>
            <w:noProof/>
            <w:webHidden/>
          </w:rPr>
          <w:fldChar w:fldCharType="end"/>
        </w:r>
      </w:hyperlink>
    </w:p>
    <w:p w14:paraId="46A1EE4D" w14:textId="28FD5BC7"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78" w:history="1">
        <w:r w:rsidRPr="00592639">
          <w:rPr>
            <w:rStyle w:val="Hyperlink"/>
            <w:noProof/>
          </w:rPr>
          <w:t xml:space="preserve">CTF table 3: </w:t>
        </w:r>
        <w:r>
          <w:rPr>
            <w:rFonts w:asciiTheme="minorHAnsi" w:hAnsiTheme="minorHAnsi"/>
            <w:noProof/>
            <w:kern w:val="2"/>
            <w:sz w:val="24"/>
            <w:szCs w:val="24"/>
            <w14:ligatures w14:val="standardContextual"/>
          </w:rPr>
          <w:tab/>
        </w:r>
        <w:r w:rsidRPr="00592639">
          <w:rPr>
            <w:rStyle w:val="Hyperlink"/>
            <w:noProof/>
          </w:rPr>
          <w:t>Structured summary: Methodologies and accounting approaches – consistency with Article 4, paragraphs 13 and 14, of the Paris Agreement and with decision 4/CMA.1</w:t>
        </w:r>
        <w:r>
          <w:rPr>
            <w:noProof/>
            <w:webHidden/>
          </w:rPr>
          <w:tab/>
        </w:r>
        <w:r>
          <w:rPr>
            <w:noProof/>
            <w:webHidden/>
          </w:rPr>
          <w:fldChar w:fldCharType="begin"/>
        </w:r>
        <w:r>
          <w:rPr>
            <w:noProof/>
            <w:webHidden/>
          </w:rPr>
          <w:instrText xml:space="preserve"> PAGEREF _Toc185427778 \h </w:instrText>
        </w:r>
        <w:r>
          <w:rPr>
            <w:noProof/>
            <w:webHidden/>
          </w:rPr>
        </w:r>
        <w:r>
          <w:rPr>
            <w:noProof/>
            <w:webHidden/>
          </w:rPr>
          <w:fldChar w:fldCharType="separate"/>
        </w:r>
        <w:r w:rsidR="005843E4">
          <w:rPr>
            <w:noProof/>
            <w:webHidden/>
          </w:rPr>
          <w:t>260</w:t>
        </w:r>
        <w:r>
          <w:rPr>
            <w:noProof/>
            <w:webHidden/>
          </w:rPr>
          <w:fldChar w:fldCharType="end"/>
        </w:r>
      </w:hyperlink>
    </w:p>
    <w:p w14:paraId="4D3FD9F6" w14:textId="6A0E7462"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79" w:history="1">
        <w:r w:rsidRPr="00592639">
          <w:rPr>
            <w:rStyle w:val="Hyperlink"/>
            <w:noProof/>
          </w:rPr>
          <w:t>CTF table 4:</w:t>
        </w:r>
        <w:r>
          <w:rPr>
            <w:rFonts w:asciiTheme="minorHAnsi" w:hAnsiTheme="minorHAnsi"/>
            <w:noProof/>
            <w:kern w:val="2"/>
            <w:sz w:val="24"/>
            <w:szCs w:val="24"/>
            <w14:ligatures w14:val="standardContextual"/>
          </w:rPr>
          <w:tab/>
        </w:r>
        <w:r w:rsidRPr="00592639">
          <w:rPr>
            <w:rStyle w:val="Hyperlink"/>
            <w:noProof/>
          </w:rPr>
          <w:t xml:space="preserve">Structured summary: Tracking progress made in implementing and achieving the NDC under Article 4 of the Paris Agreement </w:t>
        </w:r>
        <w:r w:rsidRPr="00592639">
          <w:rPr>
            <w:rStyle w:val="Hyperlink"/>
            <w:noProof/>
            <w:vertAlign w:val="superscript"/>
          </w:rPr>
          <w:t>a</w:t>
        </w:r>
        <w:r>
          <w:rPr>
            <w:noProof/>
            <w:webHidden/>
          </w:rPr>
          <w:tab/>
        </w:r>
        <w:r>
          <w:rPr>
            <w:noProof/>
            <w:webHidden/>
          </w:rPr>
          <w:fldChar w:fldCharType="begin"/>
        </w:r>
        <w:r>
          <w:rPr>
            <w:noProof/>
            <w:webHidden/>
          </w:rPr>
          <w:instrText xml:space="preserve"> PAGEREF _Toc185427779 \h </w:instrText>
        </w:r>
        <w:r>
          <w:rPr>
            <w:noProof/>
            <w:webHidden/>
          </w:rPr>
        </w:r>
        <w:r>
          <w:rPr>
            <w:noProof/>
            <w:webHidden/>
          </w:rPr>
          <w:fldChar w:fldCharType="separate"/>
        </w:r>
        <w:r w:rsidR="005843E4">
          <w:rPr>
            <w:noProof/>
            <w:webHidden/>
          </w:rPr>
          <w:t>265</w:t>
        </w:r>
        <w:r>
          <w:rPr>
            <w:noProof/>
            <w:webHidden/>
          </w:rPr>
          <w:fldChar w:fldCharType="end"/>
        </w:r>
      </w:hyperlink>
    </w:p>
    <w:p w14:paraId="259991FA" w14:textId="0923A633"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80" w:history="1">
        <w:r w:rsidRPr="00592639">
          <w:rPr>
            <w:rStyle w:val="Hyperlink"/>
            <w:noProof/>
          </w:rPr>
          <w:t xml:space="preserve">CTF table 5: </w:t>
        </w:r>
        <w:r>
          <w:rPr>
            <w:rFonts w:asciiTheme="minorHAnsi" w:hAnsiTheme="minorHAnsi"/>
            <w:noProof/>
            <w:kern w:val="2"/>
            <w:sz w:val="24"/>
            <w:szCs w:val="24"/>
            <w14:ligatures w14:val="standardContextual"/>
          </w:rPr>
          <w:tab/>
        </w:r>
        <w:r w:rsidRPr="00592639">
          <w:rPr>
            <w:rStyle w:val="Hyperlink"/>
            <w:noProof/>
          </w:rPr>
          <w:t xml:space="preserve">Mitigation policies and measures, actions and plans, including those with mitigation co-benefits resulting from adaptation actions and economic diversification plans, related to implementing and achieving a nationally determined contribution under Article 4 of the Paris Agreement </w:t>
        </w:r>
        <w:r w:rsidRPr="00592639">
          <w:rPr>
            <w:rStyle w:val="Hyperlink"/>
            <w:noProof/>
            <w:vertAlign w:val="superscript"/>
          </w:rPr>
          <w:t>a, b</w:t>
        </w:r>
        <w:r>
          <w:rPr>
            <w:noProof/>
            <w:webHidden/>
          </w:rPr>
          <w:tab/>
        </w:r>
        <w:r>
          <w:rPr>
            <w:noProof/>
            <w:webHidden/>
          </w:rPr>
          <w:fldChar w:fldCharType="begin"/>
        </w:r>
        <w:r>
          <w:rPr>
            <w:noProof/>
            <w:webHidden/>
          </w:rPr>
          <w:instrText xml:space="preserve"> PAGEREF _Toc185427780 \h </w:instrText>
        </w:r>
        <w:r>
          <w:rPr>
            <w:noProof/>
            <w:webHidden/>
          </w:rPr>
        </w:r>
        <w:r>
          <w:rPr>
            <w:noProof/>
            <w:webHidden/>
          </w:rPr>
          <w:fldChar w:fldCharType="separate"/>
        </w:r>
        <w:r w:rsidR="005843E4">
          <w:rPr>
            <w:noProof/>
            <w:webHidden/>
          </w:rPr>
          <w:t>267</w:t>
        </w:r>
        <w:r>
          <w:rPr>
            <w:noProof/>
            <w:webHidden/>
          </w:rPr>
          <w:fldChar w:fldCharType="end"/>
        </w:r>
      </w:hyperlink>
    </w:p>
    <w:p w14:paraId="0F81F4F9" w14:textId="4DB6356D"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81" w:history="1">
        <w:r w:rsidRPr="00592639">
          <w:rPr>
            <w:rStyle w:val="Hyperlink"/>
            <w:noProof/>
          </w:rPr>
          <w:t xml:space="preserve">CTF table 6: </w:t>
        </w:r>
        <w:r>
          <w:rPr>
            <w:rFonts w:asciiTheme="minorHAnsi" w:hAnsiTheme="minorHAnsi"/>
            <w:noProof/>
            <w:kern w:val="2"/>
            <w:sz w:val="24"/>
            <w:szCs w:val="24"/>
            <w14:ligatures w14:val="standardContextual"/>
          </w:rPr>
          <w:tab/>
        </w:r>
        <w:r w:rsidRPr="00592639">
          <w:rPr>
            <w:rStyle w:val="Hyperlink"/>
            <w:noProof/>
          </w:rPr>
          <w:t>Summary of greenhouse gas emissions and removals in accordance with the common reporting table 10 emission trends – summary</w:t>
        </w:r>
        <w:r>
          <w:rPr>
            <w:noProof/>
            <w:webHidden/>
          </w:rPr>
          <w:tab/>
        </w:r>
        <w:r>
          <w:rPr>
            <w:noProof/>
            <w:webHidden/>
          </w:rPr>
          <w:fldChar w:fldCharType="begin"/>
        </w:r>
        <w:r>
          <w:rPr>
            <w:noProof/>
            <w:webHidden/>
          </w:rPr>
          <w:instrText xml:space="preserve"> PAGEREF _Toc185427781 \h </w:instrText>
        </w:r>
        <w:r>
          <w:rPr>
            <w:noProof/>
            <w:webHidden/>
          </w:rPr>
        </w:r>
        <w:r>
          <w:rPr>
            <w:noProof/>
            <w:webHidden/>
          </w:rPr>
          <w:fldChar w:fldCharType="separate"/>
        </w:r>
        <w:r w:rsidR="005843E4">
          <w:rPr>
            <w:noProof/>
            <w:webHidden/>
          </w:rPr>
          <w:t>309</w:t>
        </w:r>
        <w:r>
          <w:rPr>
            <w:noProof/>
            <w:webHidden/>
          </w:rPr>
          <w:fldChar w:fldCharType="end"/>
        </w:r>
      </w:hyperlink>
    </w:p>
    <w:p w14:paraId="079F9D12" w14:textId="5C91F97D"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82" w:history="1">
        <w:r w:rsidRPr="00592639">
          <w:rPr>
            <w:rStyle w:val="Hyperlink"/>
            <w:noProof/>
          </w:rPr>
          <w:t>CFT table 7:</w:t>
        </w:r>
        <w:r>
          <w:rPr>
            <w:rFonts w:asciiTheme="minorHAnsi" w:hAnsiTheme="minorHAnsi"/>
            <w:noProof/>
            <w:kern w:val="2"/>
            <w:sz w:val="24"/>
            <w:szCs w:val="24"/>
            <w14:ligatures w14:val="standardContextual"/>
          </w:rPr>
          <w:tab/>
        </w:r>
        <w:r w:rsidRPr="00592639">
          <w:rPr>
            <w:rStyle w:val="Hyperlink"/>
            <w:noProof/>
          </w:rPr>
          <w:t xml:space="preserve">Information on projections of greenhouse gas emissions and removals under a ‘with measures’ scenario </w:t>
        </w:r>
        <w:r w:rsidRPr="00592639">
          <w:rPr>
            <w:rStyle w:val="Hyperlink"/>
            <w:noProof/>
            <w:vertAlign w:val="superscript"/>
          </w:rPr>
          <w:t>a, b</w:t>
        </w:r>
        <w:r>
          <w:rPr>
            <w:noProof/>
            <w:webHidden/>
          </w:rPr>
          <w:tab/>
        </w:r>
        <w:r>
          <w:rPr>
            <w:noProof/>
            <w:webHidden/>
          </w:rPr>
          <w:fldChar w:fldCharType="begin"/>
        </w:r>
        <w:r>
          <w:rPr>
            <w:noProof/>
            <w:webHidden/>
          </w:rPr>
          <w:instrText xml:space="preserve"> PAGEREF _Toc185427782 \h </w:instrText>
        </w:r>
        <w:r>
          <w:rPr>
            <w:noProof/>
            <w:webHidden/>
          </w:rPr>
        </w:r>
        <w:r>
          <w:rPr>
            <w:noProof/>
            <w:webHidden/>
          </w:rPr>
          <w:fldChar w:fldCharType="separate"/>
        </w:r>
        <w:r w:rsidR="005843E4">
          <w:rPr>
            <w:noProof/>
            <w:webHidden/>
          </w:rPr>
          <w:t>314</w:t>
        </w:r>
        <w:r>
          <w:rPr>
            <w:noProof/>
            <w:webHidden/>
          </w:rPr>
          <w:fldChar w:fldCharType="end"/>
        </w:r>
      </w:hyperlink>
    </w:p>
    <w:p w14:paraId="11598040" w14:textId="63524610"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83" w:history="1">
        <w:r w:rsidRPr="00592639">
          <w:rPr>
            <w:rStyle w:val="Hyperlink"/>
            <w:noProof/>
          </w:rPr>
          <w:t>CTF table 9:</w:t>
        </w:r>
        <w:r>
          <w:rPr>
            <w:rFonts w:asciiTheme="minorHAnsi" w:hAnsiTheme="minorHAnsi"/>
            <w:noProof/>
            <w:kern w:val="2"/>
            <w:sz w:val="24"/>
            <w:szCs w:val="24"/>
            <w14:ligatures w14:val="standardContextual"/>
          </w:rPr>
          <w:tab/>
        </w:r>
        <w:r w:rsidRPr="00592639">
          <w:rPr>
            <w:rStyle w:val="Hyperlink"/>
            <w:noProof/>
          </w:rPr>
          <w:t xml:space="preserve">Information on projections of greenhouse gas emissions and removals under a ‘without measures’ scenario </w:t>
        </w:r>
        <w:r w:rsidRPr="00592639">
          <w:rPr>
            <w:rStyle w:val="Hyperlink"/>
            <w:noProof/>
            <w:vertAlign w:val="superscript"/>
          </w:rPr>
          <w:t>a, b</w:t>
        </w:r>
        <w:r>
          <w:rPr>
            <w:noProof/>
            <w:webHidden/>
          </w:rPr>
          <w:tab/>
        </w:r>
        <w:r>
          <w:rPr>
            <w:noProof/>
            <w:webHidden/>
          </w:rPr>
          <w:fldChar w:fldCharType="begin"/>
        </w:r>
        <w:r>
          <w:rPr>
            <w:noProof/>
            <w:webHidden/>
          </w:rPr>
          <w:instrText xml:space="preserve"> PAGEREF _Toc185427783 \h </w:instrText>
        </w:r>
        <w:r>
          <w:rPr>
            <w:noProof/>
            <w:webHidden/>
          </w:rPr>
        </w:r>
        <w:r>
          <w:rPr>
            <w:noProof/>
            <w:webHidden/>
          </w:rPr>
          <w:fldChar w:fldCharType="separate"/>
        </w:r>
        <w:r w:rsidR="005843E4">
          <w:rPr>
            <w:noProof/>
            <w:webHidden/>
          </w:rPr>
          <w:t>316</w:t>
        </w:r>
        <w:r>
          <w:rPr>
            <w:noProof/>
            <w:webHidden/>
          </w:rPr>
          <w:fldChar w:fldCharType="end"/>
        </w:r>
      </w:hyperlink>
    </w:p>
    <w:p w14:paraId="3199E062" w14:textId="2875B8A4"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84" w:history="1">
        <w:r w:rsidRPr="00592639">
          <w:rPr>
            <w:rStyle w:val="Hyperlink"/>
            <w:noProof/>
          </w:rPr>
          <w:t>CTF table 10:</w:t>
        </w:r>
        <w:r>
          <w:rPr>
            <w:rFonts w:asciiTheme="minorHAnsi" w:hAnsiTheme="minorHAnsi"/>
            <w:noProof/>
            <w:kern w:val="2"/>
            <w:sz w:val="24"/>
            <w:szCs w:val="24"/>
            <w14:ligatures w14:val="standardContextual"/>
          </w:rPr>
          <w:tab/>
        </w:r>
        <w:r w:rsidRPr="00592639">
          <w:rPr>
            <w:rStyle w:val="Hyperlink"/>
            <w:noProof/>
          </w:rPr>
          <w:t xml:space="preserve">Projections of key indicators </w:t>
        </w:r>
        <w:r w:rsidRPr="00592639">
          <w:rPr>
            <w:rStyle w:val="Hyperlink"/>
            <w:noProof/>
            <w:vertAlign w:val="superscript"/>
          </w:rPr>
          <w:t>a, b</w:t>
        </w:r>
        <w:r>
          <w:rPr>
            <w:noProof/>
            <w:webHidden/>
          </w:rPr>
          <w:tab/>
        </w:r>
        <w:r>
          <w:rPr>
            <w:noProof/>
            <w:webHidden/>
          </w:rPr>
          <w:fldChar w:fldCharType="begin"/>
        </w:r>
        <w:r>
          <w:rPr>
            <w:noProof/>
            <w:webHidden/>
          </w:rPr>
          <w:instrText xml:space="preserve"> PAGEREF _Toc185427784 \h </w:instrText>
        </w:r>
        <w:r>
          <w:rPr>
            <w:noProof/>
            <w:webHidden/>
          </w:rPr>
        </w:r>
        <w:r>
          <w:rPr>
            <w:noProof/>
            <w:webHidden/>
          </w:rPr>
          <w:fldChar w:fldCharType="separate"/>
        </w:r>
        <w:r w:rsidR="005843E4">
          <w:rPr>
            <w:noProof/>
            <w:webHidden/>
          </w:rPr>
          <w:t>318</w:t>
        </w:r>
        <w:r>
          <w:rPr>
            <w:noProof/>
            <w:webHidden/>
          </w:rPr>
          <w:fldChar w:fldCharType="end"/>
        </w:r>
      </w:hyperlink>
    </w:p>
    <w:p w14:paraId="7741CDDD" w14:textId="781DEE96"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85" w:history="1">
        <w:r w:rsidRPr="00592639">
          <w:rPr>
            <w:rStyle w:val="Hyperlink"/>
            <w:noProof/>
          </w:rPr>
          <w:t>CTF table 11:</w:t>
        </w:r>
        <w:r>
          <w:rPr>
            <w:rFonts w:asciiTheme="minorHAnsi" w:hAnsiTheme="minorHAnsi"/>
            <w:noProof/>
            <w:kern w:val="2"/>
            <w:sz w:val="24"/>
            <w:szCs w:val="24"/>
            <w14:ligatures w14:val="standardContextual"/>
          </w:rPr>
          <w:tab/>
        </w:r>
        <w:r w:rsidRPr="00592639">
          <w:rPr>
            <w:rStyle w:val="Hyperlink"/>
            <w:noProof/>
          </w:rPr>
          <w:t xml:space="preserve"> Key underlying assumptions and parameters used for projections </w:t>
        </w:r>
        <w:r w:rsidRPr="00592639">
          <w:rPr>
            <w:rStyle w:val="Hyperlink"/>
            <w:noProof/>
            <w:vertAlign w:val="superscript"/>
          </w:rPr>
          <w:t>a, b</w:t>
        </w:r>
        <w:r>
          <w:rPr>
            <w:noProof/>
            <w:webHidden/>
          </w:rPr>
          <w:tab/>
        </w:r>
        <w:r>
          <w:rPr>
            <w:noProof/>
            <w:webHidden/>
          </w:rPr>
          <w:fldChar w:fldCharType="begin"/>
        </w:r>
        <w:r>
          <w:rPr>
            <w:noProof/>
            <w:webHidden/>
          </w:rPr>
          <w:instrText xml:space="preserve"> PAGEREF _Toc185427785 \h </w:instrText>
        </w:r>
        <w:r>
          <w:rPr>
            <w:noProof/>
            <w:webHidden/>
          </w:rPr>
        </w:r>
        <w:r>
          <w:rPr>
            <w:noProof/>
            <w:webHidden/>
          </w:rPr>
          <w:fldChar w:fldCharType="separate"/>
        </w:r>
        <w:r w:rsidR="005843E4">
          <w:rPr>
            <w:noProof/>
            <w:webHidden/>
          </w:rPr>
          <w:t>319</w:t>
        </w:r>
        <w:r>
          <w:rPr>
            <w:noProof/>
            <w:webHidden/>
          </w:rPr>
          <w:fldChar w:fldCharType="end"/>
        </w:r>
      </w:hyperlink>
    </w:p>
    <w:p w14:paraId="32839551" w14:textId="35EF47E4" w:rsidR="00386615" w:rsidRDefault="00386615">
      <w:pPr>
        <w:pStyle w:val="TableofFigures"/>
        <w:tabs>
          <w:tab w:val="left" w:pos="2141"/>
          <w:tab w:val="right" w:pos="8495"/>
        </w:tabs>
        <w:rPr>
          <w:rFonts w:asciiTheme="minorHAnsi" w:hAnsiTheme="minorHAnsi"/>
          <w:noProof/>
          <w:kern w:val="2"/>
          <w:sz w:val="24"/>
          <w:szCs w:val="24"/>
          <w14:ligatures w14:val="standardContextual"/>
        </w:rPr>
      </w:pPr>
      <w:hyperlink w:anchor="_Toc185427786" w:history="1">
        <w:r w:rsidRPr="00592639">
          <w:rPr>
            <w:rStyle w:val="Hyperlink"/>
            <w:noProof/>
          </w:rPr>
          <w:t>CTF table III.1 (2021):</w:t>
        </w:r>
        <w:r>
          <w:rPr>
            <w:rFonts w:asciiTheme="minorHAnsi" w:hAnsiTheme="minorHAnsi"/>
            <w:noProof/>
            <w:kern w:val="2"/>
            <w:sz w:val="24"/>
            <w:szCs w:val="24"/>
            <w14:ligatures w14:val="standardContextual"/>
          </w:rPr>
          <w:tab/>
        </w:r>
        <w:r w:rsidRPr="00592639">
          <w:rPr>
            <w:rStyle w:val="Hyperlink"/>
            <w:noProof/>
          </w:rPr>
          <w:t>Information on financial support provided under Article 9 of the Paris Agreement in year 2021: bilateral, regional and other channels</w:t>
        </w:r>
        <w:r>
          <w:rPr>
            <w:noProof/>
            <w:webHidden/>
          </w:rPr>
          <w:tab/>
        </w:r>
        <w:r>
          <w:rPr>
            <w:noProof/>
            <w:webHidden/>
          </w:rPr>
          <w:fldChar w:fldCharType="begin"/>
        </w:r>
        <w:r>
          <w:rPr>
            <w:noProof/>
            <w:webHidden/>
          </w:rPr>
          <w:instrText xml:space="preserve"> PAGEREF _Toc185427786 \h </w:instrText>
        </w:r>
        <w:r>
          <w:rPr>
            <w:noProof/>
            <w:webHidden/>
          </w:rPr>
        </w:r>
        <w:r>
          <w:rPr>
            <w:noProof/>
            <w:webHidden/>
          </w:rPr>
          <w:fldChar w:fldCharType="separate"/>
        </w:r>
        <w:r w:rsidR="005843E4">
          <w:rPr>
            <w:noProof/>
            <w:webHidden/>
          </w:rPr>
          <w:t>321</w:t>
        </w:r>
        <w:r>
          <w:rPr>
            <w:noProof/>
            <w:webHidden/>
          </w:rPr>
          <w:fldChar w:fldCharType="end"/>
        </w:r>
      </w:hyperlink>
    </w:p>
    <w:p w14:paraId="7D040BFB" w14:textId="6E61CD32" w:rsidR="00386615" w:rsidRDefault="00386615">
      <w:pPr>
        <w:pStyle w:val="TableofFigures"/>
        <w:tabs>
          <w:tab w:val="left" w:pos="2141"/>
          <w:tab w:val="right" w:pos="8495"/>
        </w:tabs>
        <w:rPr>
          <w:rFonts w:asciiTheme="minorHAnsi" w:hAnsiTheme="minorHAnsi"/>
          <w:noProof/>
          <w:kern w:val="2"/>
          <w:sz w:val="24"/>
          <w:szCs w:val="24"/>
          <w14:ligatures w14:val="standardContextual"/>
        </w:rPr>
      </w:pPr>
      <w:hyperlink w:anchor="_Toc185427787" w:history="1">
        <w:r w:rsidRPr="00592639">
          <w:rPr>
            <w:rStyle w:val="Hyperlink"/>
            <w:noProof/>
          </w:rPr>
          <w:t>CTF table III.1 (2022):</w:t>
        </w:r>
        <w:r>
          <w:rPr>
            <w:rFonts w:asciiTheme="minorHAnsi" w:hAnsiTheme="minorHAnsi"/>
            <w:noProof/>
            <w:kern w:val="2"/>
            <w:sz w:val="24"/>
            <w:szCs w:val="24"/>
            <w14:ligatures w14:val="standardContextual"/>
          </w:rPr>
          <w:tab/>
        </w:r>
        <w:r w:rsidRPr="00592639">
          <w:rPr>
            <w:rStyle w:val="Hyperlink"/>
            <w:noProof/>
          </w:rPr>
          <w:t>Information on financial support provided under Article 9 of the Paris Agreement in year 2022: bilateral, regional and other channels</w:t>
        </w:r>
        <w:r>
          <w:rPr>
            <w:noProof/>
            <w:webHidden/>
          </w:rPr>
          <w:tab/>
        </w:r>
        <w:r>
          <w:rPr>
            <w:noProof/>
            <w:webHidden/>
          </w:rPr>
          <w:fldChar w:fldCharType="begin"/>
        </w:r>
        <w:r>
          <w:rPr>
            <w:noProof/>
            <w:webHidden/>
          </w:rPr>
          <w:instrText xml:space="preserve"> PAGEREF _Toc185427787 \h </w:instrText>
        </w:r>
        <w:r>
          <w:rPr>
            <w:noProof/>
            <w:webHidden/>
          </w:rPr>
        </w:r>
        <w:r>
          <w:rPr>
            <w:noProof/>
            <w:webHidden/>
          </w:rPr>
          <w:fldChar w:fldCharType="separate"/>
        </w:r>
        <w:r w:rsidR="005843E4">
          <w:rPr>
            <w:noProof/>
            <w:webHidden/>
          </w:rPr>
          <w:t>332</w:t>
        </w:r>
        <w:r>
          <w:rPr>
            <w:noProof/>
            <w:webHidden/>
          </w:rPr>
          <w:fldChar w:fldCharType="end"/>
        </w:r>
      </w:hyperlink>
    </w:p>
    <w:p w14:paraId="1F4C87EF" w14:textId="4E3884C2" w:rsidR="00386615" w:rsidRDefault="00386615">
      <w:pPr>
        <w:pStyle w:val="TableofFigures"/>
        <w:tabs>
          <w:tab w:val="left" w:pos="2141"/>
          <w:tab w:val="right" w:pos="8495"/>
        </w:tabs>
        <w:rPr>
          <w:rFonts w:asciiTheme="minorHAnsi" w:hAnsiTheme="minorHAnsi"/>
          <w:noProof/>
          <w:kern w:val="2"/>
          <w:sz w:val="24"/>
          <w:szCs w:val="24"/>
          <w14:ligatures w14:val="standardContextual"/>
        </w:rPr>
      </w:pPr>
      <w:hyperlink w:anchor="_Toc185427788" w:history="1">
        <w:r w:rsidRPr="00592639">
          <w:rPr>
            <w:rStyle w:val="Hyperlink"/>
            <w:noProof/>
          </w:rPr>
          <w:t>CTF table III.2 (2021):</w:t>
        </w:r>
        <w:r>
          <w:rPr>
            <w:rFonts w:asciiTheme="minorHAnsi" w:hAnsiTheme="minorHAnsi"/>
            <w:noProof/>
            <w:kern w:val="2"/>
            <w:sz w:val="24"/>
            <w:szCs w:val="24"/>
            <w14:ligatures w14:val="standardContextual"/>
          </w:rPr>
          <w:tab/>
        </w:r>
        <w:r w:rsidRPr="00592639">
          <w:rPr>
            <w:rStyle w:val="Hyperlink"/>
            <w:noProof/>
          </w:rPr>
          <w:t>Information on financial support provided under Article 9 of the Paris Agreement in year 2021: multilateral channels</w:t>
        </w:r>
        <w:r>
          <w:rPr>
            <w:noProof/>
            <w:webHidden/>
          </w:rPr>
          <w:tab/>
        </w:r>
        <w:r>
          <w:rPr>
            <w:noProof/>
            <w:webHidden/>
          </w:rPr>
          <w:fldChar w:fldCharType="begin"/>
        </w:r>
        <w:r>
          <w:rPr>
            <w:noProof/>
            <w:webHidden/>
          </w:rPr>
          <w:instrText xml:space="preserve"> PAGEREF _Toc185427788 \h </w:instrText>
        </w:r>
        <w:r>
          <w:rPr>
            <w:noProof/>
            <w:webHidden/>
          </w:rPr>
        </w:r>
        <w:r>
          <w:rPr>
            <w:noProof/>
            <w:webHidden/>
          </w:rPr>
          <w:fldChar w:fldCharType="separate"/>
        </w:r>
        <w:r w:rsidR="005843E4">
          <w:rPr>
            <w:noProof/>
            <w:webHidden/>
          </w:rPr>
          <w:t>341</w:t>
        </w:r>
        <w:r>
          <w:rPr>
            <w:noProof/>
            <w:webHidden/>
          </w:rPr>
          <w:fldChar w:fldCharType="end"/>
        </w:r>
      </w:hyperlink>
    </w:p>
    <w:p w14:paraId="56079717" w14:textId="55A1CD65" w:rsidR="00386615" w:rsidRDefault="00386615">
      <w:pPr>
        <w:pStyle w:val="TableofFigures"/>
        <w:tabs>
          <w:tab w:val="left" w:pos="2141"/>
          <w:tab w:val="right" w:pos="8495"/>
        </w:tabs>
        <w:rPr>
          <w:rFonts w:asciiTheme="minorHAnsi" w:hAnsiTheme="minorHAnsi"/>
          <w:noProof/>
          <w:kern w:val="2"/>
          <w:sz w:val="24"/>
          <w:szCs w:val="24"/>
          <w14:ligatures w14:val="standardContextual"/>
        </w:rPr>
      </w:pPr>
      <w:hyperlink w:anchor="_Toc185427789" w:history="1">
        <w:r w:rsidRPr="00592639">
          <w:rPr>
            <w:rStyle w:val="Hyperlink"/>
            <w:noProof/>
          </w:rPr>
          <w:t>CTF table III.2 (2022):</w:t>
        </w:r>
        <w:r>
          <w:rPr>
            <w:rFonts w:asciiTheme="minorHAnsi" w:hAnsiTheme="minorHAnsi"/>
            <w:noProof/>
            <w:kern w:val="2"/>
            <w:sz w:val="24"/>
            <w:szCs w:val="24"/>
            <w14:ligatures w14:val="standardContextual"/>
          </w:rPr>
          <w:tab/>
        </w:r>
        <w:r w:rsidRPr="00592639">
          <w:rPr>
            <w:rStyle w:val="Hyperlink"/>
            <w:noProof/>
          </w:rPr>
          <w:t>Information on financial support provided under Article 9 of the Paris Agreement in year 2022: multilateral channels</w:t>
        </w:r>
        <w:r>
          <w:rPr>
            <w:noProof/>
            <w:webHidden/>
          </w:rPr>
          <w:tab/>
        </w:r>
        <w:r>
          <w:rPr>
            <w:noProof/>
            <w:webHidden/>
          </w:rPr>
          <w:fldChar w:fldCharType="begin"/>
        </w:r>
        <w:r>
          <w:rPr>
            <w:noProof/>
            <w:webHidden/>
          </w:rPr>
          <w:instrText xml:space="preserve"> PAGEREF _Toc185427789 \h </w:instrText>
        </w:r>
        <w:r>
          <w:rPr>
            <w:noProof/>
            <w:webHidden/>
          </w:rPr>
        </w:r>
        <w:r>
          <w:rPr>
            <w:noProof/>
            <w:webHidden/>
          </w:rPr>
          <w:fldChar w:fldCharType="separate"/>
        </w:r>
        <w:r w:rsidR="005843E4">
          <w:rPr>
            <w:noProof/>
            <w:webHidden/>
          </w:rPr>
          <w:t>343</w:t>
        </w:r>
        <w:r>
          <w:rPr>
            <w:noProof/>
            <w:webHidden/>
          </w:rPr>
          <w:fldChar w:fldCharType="end"/>
        </w:r>
      </w:hyperlink>
    </w:p>
    <w:p w14:paraId="7C3C4131" w14:textId="3F25136F"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90" w:history="1">
        <w:r w:rsidRPr="00592639">
          <w:rPr>
            <w:rStyle w:val="Hyperlink"/>
            <w:noProof/>
          </w:rPr>
          <w:t>CTF table III.4:</w:t>
        </w:r>
        <w:r>
          <w:rPr>
            <w:rFonts w:asciiTheme="minorHAnsi" w:hAnsiTheme="minorHAnsi"/>
            <w:noProof/>
            <w:kern w:val="2"/>
            <w:sz w:val="24"/>
            <w:szCs w:val="24"/>
            <w14:ligatures w14:val="standardContextual"/>
          </w:rPr>
          <w:tab/>
        </w:r>
        <w:r w:rsidRPr="00592639">
          <w:rPr>
            <w:rStyle w:val="Hyperlink"/>
            <w:noProof/>
          </w:rPr>
          <w:t xml:space="preserve"> Information on support for technology development and transfer provided under Article 10 of the Paris Agreement</w:t>
        </w:r>
        <w:r>
          <w:rPr>
            <w:noProof/>
            <w:webHidden/>
          </w:rPr>
          <w:tab/>
        </w:r>
        <w:r>
          <w:rPr>
            <w:noProof/>
            <w:webHidden/>
          </w:rPr>
          <w:fldChar w:fldCharType="begin"/>
        </w:r>
        <w:r>
          <w:rPr>
            <w:noProof/>
            <w:webHidden/>
          </w:rPr>
          <w:instrText xml:space="preserve"> PAGEREF _Toc185427790 \h </w:instrText>
        </w:r>
        <w:r>
          <w:rPr>
            <w:noProof/>
            <w:webHidden/>
          </w:rPr>
        </w:r>
        <w:r>
          <w:rPr>
            <w:noProof/>
            <w:webHidden/>
          </w:rPr>
          <w:fldChar w:fldCharType="separate"/>
        </w:r>
        <w:r w:rsidR="005843E4">
          <w:rPr>
            <w:noProof/>
            <w:webHidden/>
          </w:rPr>
          <w:t>345</w:t>
        </w:r>
        <w:r>
          <w:rPr>
            <w:noProof/>
            <w:webHidden/>
          </w:rPr>
          <w:fldChar w:fldCharType="end"/>
        </w:r>
      </w:hyperlink>
    </w:p>
    <w:p w14:paraId="2E9DEDF6" w14:textId="722C5844"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91" w:history="1">
        <w:r w:rsidRPr="00592639">
          <w:rPr>
            <w:rStyle w:val="Hyperlink"/>
            <w:noProof/>
          </w:rPr>
          <w:t>Table A2.1:</w:t>
        </w:r>
        <w:r>
          <w:rPr>
            <w:rFonts w:asciiTheme="minorHAnsi" w:hAnsiTheme="minorHAnsi"/>
            <w:noProof/>
            <w:kern w:val="2"/>
            <w:sz w:val="24"/>
            <w:szCs w:val="24"/>
            <w14:ligatures w14:val="standardContextual"/>
          </w:rPr>
          <w:tab/>
        </w:r>
        <w:r w:rsidRPr="00592639">
          <w:rPr>
            <w:rStyle w:val="Hyperlink"/>
            <w:noProof/>
          </w:rPr>
          <w:t>Net emissions and area by activity</w:t>
        </w:r>
        <w:r>
          <w:rPr>
            <w:noProof/>
            <w:webHidden/>
          </w:rPr>
          <w:tab/>
        </w:r>
        <w:r>
          <w:rPr>
            <w:noProof/>
            <w:webHidden/>
          </w:rPr>
          <w:fldChar w:fldCharType="begin"/>
        </w:r>
        <w:r>
          <w:rPr>
            <w:noProof/>
            <w:webHidden/>
          </w:rPr>
          <w:instrText xml:space="preserve"> PAGEREF _Toc185427791 \h </w:instrText>
        </w:r>
        <w:r>
          <w:rPr>
            <w:noProof/>
            <w:webHidden/>
          </w:rPr>
        </w:r>
        <w:r>
          <w:rPr>
            <w:noProof/>
            <w:webHidden/>
          </w:rPr>
          <w:fldChar w:fldCharType="separate"/>
        </w:r>
        <w:r w:rsidR="005843E4">
          <w:rPr>
            <w:noProof/>
            <w:webHidden/>
          </w:rPr>
          <w:t>357</w:t>
        </w:r>
        <w:r>
          <w:rPr>
            <w:noProof/>
            <w:webHidden/>
          </w:rPr>
          <w:fldChar w:fldCharType="end"/>
        </w:r>
      </w:hyperlink>
    </w:p>
    <w:p w14:paraId="7BBEC543" w14:textId="6E84F271"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92" w:history="1">
        <w:r w:rsidRPr="00592639">
          <w:rPr>
            <w:rStyle w:val="Hyperlink"/>
            <w:noProof/>
          </w:rPr>
          <w:t>Table A2.2:</w:t>
        </w:r>
        <w:r>
          <w:rPr>
            <w:rFonts w:asciiTheme="minorHAnsi" w:hAnsiTheme="minorHAnsi"/>
            <w:noProof/>
            <w:kern w:val="2"/>
            <w:sz w:val="24"/>
            <w:szCs w:val="24"/>
            <w14:ligatures w14:val="standardContextual"/>
          </w:rPr>
          <w:tab/>
        </w:r>
        <w:r w:rsidRPr="00592639">
          <w:rPr>
            <w:rStyle w:val="Hyperlink"/>
            <w:noProof/>
          </w:rPr>
          <w:t>Net emissions (kilotonnes (kt)) for each activity by greenhouse gas, and their carbon dioxide equivalent (CO</w:t>
        </w:r>
        <w:r w:rsidRPr="00592639">
          <w:rPr>
            <w:rStyle w:val="Hyperlink"/>
            <w:noProof/>
            <w:vertAlign w:val="subscript"/>
          </w:rPr>
          <w:t>2</w:t>
        </w:r>
        <w:r w:rsidRPr="00592639">
          <w:rPr>
            <w:rStyle w:val="Hyperlink"/>
            <w:noProof/>
          </w:rPr>
          <w:t>e) for the 1 January 2021 to 31 December 2022 period</w:t>
        </w:r>
        <w:r>
          <w:rPr>
            <w:noProof/>
            <w:webHidden/>
          </w:rPr>
          <w:tab/>
        </w:r>
        <w:r>
          <w:rPr>
            <w:noProof/>
            <w:webHidden/>
          </w:rPr>
          <w:fldChar w:fldCharType="begin"/>
        </w:r>
        <w:r>
          <w:rPr>
            <w:noProof/>
            <w:webHidden/>
          </w:rPr>
          <w:instrText xml:space="preserve"> PAGEREF _Toc185427792 \h </w:instrText>
        </w:r>
        <w:r>
          <w:rPr>
            <w:noProof/>
            <w:webHidden/>
          </w:rPr>
        </w:r>
        <w:r>
          <w:rPr>
            <w:noProof/>
            <w:webHidden/>
          </w:rPr>
          <w:fldChar w:fldCharType="separate"/>
        </w:r>
        <w:r w:rsidR="005843E4">
          <w:rPr>
            <w:noProof/>
            <w:webHidden/>
          </w:rPr>
          <w:t>359</w:t>
        </w:r>
        <w:r>
          <w:rPr>
            <w:noProof/>
            <w:webHidden/>
          </w:rPr>
          <w:fldChar w:fldCharType="end"/>
        </w:r>
      </w:hyperlink>
    </w:p>
    <w:p w14:paraId="60A2A5CE" w14:textId="5E322A53"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93" w:history="1">
        <w:r w:rsidRPr="00592639">
          <w:rPr>
            <w:rStyle w:val="Hyperlink"/>
            <w:noProof/>
          </w:rPr>
          <w:t xml:space="preserve">Table </w:t>
        </w:r>
        <w:r w:rsidRPr="00592639">
          <w:rPr>
            <w:rStyle w:val="Hyperlink"/>
            <w:bCs/>
            <w:noProof/>
          </w:rPr>
          <w:t>A2</w:t>
        </w:r>
        <w:r w:rsidRPr="00592639">
          <w:rPr>
            <w:rStyle w:val="Hyperlink"/>
            <w:noProof/>
          </w:rPr>
          <w:t>.3:</w:t>
        </w:r>
        <w:r>
          <w:rPr>
            <w:rFonts w:asciiTheme="minorHAnsi" w:hAnsiTheme="minorHAnsi"/>
            <w:noProof/>
            <w:kern w:val="2"/>
            <w:sz w:val="24"/>
            <w:szCs w:val="24"/>
            <w14:ligatures w14:val="standardContextual"/>
          </w:rPr>
          <w:tab/>
        </w:r>
        <w:r w:rsidRPr="00592639">
          <w:rPr>
            <w:rStyle w:val="Hyperlink"/>
            <w:noProof/>
          </w:rPr>
          <w:t>New Zealand’s provisional accounting quantities for 2021 and 2022</w:t>
        </w:r>
        <w:r>
          <w:rPr>
            <w:noProof/>
            <w:webHidden/>
          </w:rPr>
          <w:tab/>
        </w:r>
        <w:r>
          <w:rPr>
            <w:noProof/>
            <w:webHidden/>
          </w:rPr>
          <w:fldChar w:fldCharType="begin"/>
        </w:r>
        <w:r>
          <w:rPr>
            <w:noProof/>
            <w:webHidden/>
          </w:rPr>
          <w:instrText xml:space="preserve"> PAGEREF _Toc185427793 \h </w:instrText>
        </w:r>
        <w:r>
          <w:rPr>
            <w:noProof/>
            <w:webHidden/>
          </w:rPr>
        </w:r>
        <w:r>
          <w:rPr>
            <w:noProof/>
            <w:webHidden/>
          </w:rPr>
          <w:fldChar w:fldCharType="separate"/>
        </w:r>
        <w:r w:rsidR="005843E4">
          <w:rPr>
            <w:noProof/>
            <w:webHidden/>
          </w:rPr>
          <w:t>359</w:t>
        </w:r>
        <w:r>
          <w:rPr>
            <w:noProof/>
            <w:webHidden/>
          </w:rPr>
          <w:fldChar w:fldCharType="end"/>
        </w:r>
      </w:hyperlink>
    </w:p>
    <w:p w14:paraId="5ABFC373" w14:textId="0D602A1D"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94" w:history="1">
        <w:r w:rsidRPr="00592639">
          <w:rPr>
            <w:rStyle w:val="Hyperlink"/>
            <w:noProof/>
          </w:rPr>
          <w:t>Table A2.4:</w:t>
        </w:r>
        <w:r>
          <w:rPr>
            <w:rFonts w:asciiTheme="minorHAnsi" w:hAnsiTheme="minorHAnsi"/>
            <w:noProof/>
            <w:kern w:val="2"/>
            <w:sz w:val="24"/>
            <w:szCs w:val="24"/>
            <w14:ligatures w14:val="standardContextual"/>
          </w:rPr>
          <w:tab/>
        </w:r>
        <w:r w:rsidRPr="00592639">
          <w:rPr>
            <w:rStyle w:val="Hyperlink"/>
            <w:noProof/>
          </w:rPr>
          <w:t xml:space="preserve">Parameters defining </w:t>
        </w:r>
        <w:r w:rsidRPr="00592639">
          <w:rPr>
            <w:rStyle w:val="Hyperlink"/>
            <w:i/>
            <w:iCs/>
            <w:noProof/>
          </w:rPr>
          <w:t>Forest land</w:t>
        </w:r>
        <w:r w:rsidRPr="00592639">
          <w:rPr>
            <w:rStyle w:val="Hyperlink"/>
            <w:noProof/>
          </w:rPr>
          <w:t xml:space="preserve"> in New Zealand</w:t>
        </w:r>
        <w:r>
          <w:rPr>
            <w:noProof/>
            <w:webHidden/>
          </w:rPr>
          <w:tab/>
        </w:r>
        <w:r>
          <w:rPr>
            <w:noProof/>
            <w:webHidden/>
          </w:rPr>
          <w:fldChar w:fldCharType="begin"/>
        </w:r>
        <w:r>
          <w:rPr>
            <w:noProof/>
            <w:webHidden/>
          </w:rPr>
          <w:instrText xml:space="preserve"> PAGEREF _Toc185427794 \h </w:instrText>
        </w:r>
        <w:r>
          <w:rPr>
            <w:noProof/>
            <w:webHidden/>
          </w:rPr>
        </w:r>
        <w:r>
          <w:rPr>
            <w:noProof/>
            <w:webHidden/>
          </w:rPr>
          <w:fldChar w:fldCharType="separate"/>
        </w:r>
        <w:r w:rsidR="005843E4">
          <w:rPr>
            <w:noProof/>
            <w:webHidden/>
          </w:rPr>
          <w:t>360</w:t>
        </w:r>
        <w:r>
          <w:rPr>
            <w:noProof/>
            <w:webHidden/>
          </w:rPr>
          <w:fldChar w:fldCharType="end"/>
        </w:r>
      </w:hyperlink>
    </w:p>
    <w:p w14:paraId="09B9F709" w14:textId="50133D89"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95" w:history="1">
        <w:r w:rsidRPr="00592639">
          <w:rPr>
            <w:rStyle w:val="Hyperlink"/>
            <w:noProof/>
          </w:rPr>
          <w:t>Table A2.5:</w:t>
        </w:r>
        <w:r>
          <w:rPr>
            <w:rFonts w:asciiTheme="minorHAnsi" w:hAnsiTheme="minorHAnsi"/>
            <w:noProof/>
            <w:kern w:val="2"/>
            <w:sz w:val="24"/>
            <w:szCs w:val="24"/>
            <w14:ligatures w14:val="standardContextual"/>
          </w:rPr>
          <w:tab/>
        </w:r>
        <w:r w:rsidRPr="00592639">
          <w:rPr>
            <w:rStyle w:val="Hyperlink"/>
            <w:noProof/>
          </w:rPr>
          <w:t>Area changes between activity categories between 1 January 2021 and 31 December 2022 (kilohectares (kha))</w:t>
        </w:r>
        <w:r>
          <w:rPr>
            <w:noProof/>
            <w:webHidden/>
          </w:rPr>
          <w:tab/>
        </w:r>
        <w:r>
          <w:rPr>
            <w:noProof/>
            <w:webHidden/>
          </w:rPr>
          <w:fldChar w:fldCharType="begin"/>
        </w:r>
        <w:r>
          <w:rPr>
            <w:noProof/>
            <w:webHidden/>
          </w:rPr>
          <w:instrText xml:space="preserve"> PAGEREF _Toc185427795 \h </w:instrText>
        </w:r>
        <w:r>
          <w:rPr>
            <w:noProof/>
            <w:webHidden/>
          </w:rPr>
        </w:r>
        <w:r>
          <w:rPr>
            <w:noProof/>
            <w:webHidden/>
          </w:rPr>
          <w:fldChar w:fldCharType="separate"/>
        </w:r>
        <w:r w:rsidR="005843E4">
          <w:rPr>
            <w:noProof/>
            <w:webHidden/>
          </w:rPr>
          <w:t>362</w:t>
        </w:r>
        <w:r>
          <w:rPr>
            <w:noProof/>
            <w:webHidden/>
          </w:rPr>
          <w:fldChar w:fldCharType="end"/>
        </w:r>
      </w:hyperlink>
    </w:p>
    <w:p w14:paraId="3E46C918" w14:textId="7F24E77B"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96" w:history="1">
        <w:r w:rsidRPr="00592639">
          <w:rPr>
            <w:rStyle w:val="Hyperlink"/>
            <w:noProof/>
          </w:rPr>
          <w:t>Table A2.6:</w:t>
        </w:r>
        <w:r>
          <w:rPr>
            <w:rFonts w:asciiTheme="minorHAnsi" w:hAnsiTheme="minorHAnsi"/>
            <w:noProof/>
            <w:kern w:val="2"/>
            <w:sz w:val="24"/>
            <w:szCs w:val="24"/>
            <w14:ligatures w14:val="standardContextual"/>
          </w:rPr>
          <w:tab/>
        </w:r>
        <w:r w:rsidRPr="00592639">
          <w:rPr>
            <w:rStyle w:val="Hyperlink"/>
            <w:noProof/>
          </w:rPr>
          <w:t>Relationship between mapped land-use changes and LULUCF activities accounted for towards NDC1</w:t>
        </w:r>
        <w:r>
          <w:rPr>
            <w:noProof/>
            <w:webHidden/>
          </w:rPr>
          <w:tab/>
        </w:r>
        <w:r>
          <w:rPr>
            <w:noProof/>
            <w:webHidden/>
          </w:rPr>
          <w:fldChar w:fldCharType="begin"/>
        </w:r>
        <w:r>
          <w:rPr>
            <w:noProof/>
            <w:webHidden/>
          </w:rPr>
          <w:instrText xml:space="preserve"> PAGEREF _Toc185427796 \h </w:instrText>
        </w:r>
        <w:r>
          <w:rPr>
            <w:noProof/>
            <w:webHidden/>
          </w:rPr>
        </w:r>
        <w:r>
          <w:rPr>
            <w:noProof/>
            <w:webHidden/>
          </w:rPr>
          <w:fldChar w:fldCharType="separate"/>
        </w:r>
        <w:r w:rsidR="005843E4">
          <w:rPr>
            <w:noProof/>
            <w:webHidden/>
          </w:rPr>
          <w:t>363</w:t>
        </w:r>
        <w:r>
          <w:rPr>
            <w:noProof/>
            <w:webHidden/>
          </w:rPr>
          <w:fldChar w:fldCharType="end"/>
        </w:r>
      </w:hyperlink>
    </w:p>
    <w:p w14:paraId="3C9D79BB" w14:textId="0ACB72B7"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97" w:history="1">
        <w:r w:rsidRPr="00592639">
          <w:rPr>
            <w:rStyle w:val="Hyperlink"/>
            <w:noProof/>
          </w:rPr>
          <w:t>Table A2.7:</w:t>
        </w:r>
        <w:r>
          <w:rPr>
            <w:rFonts w:asciiTheme="minorHAnsi" w:hAnsiTheme="minorHAnsi"/>
            <w:noProof/>
            <w:kern w:val="2"/>
            <w:sz w:val="24"/>
            <w:szCs w:val="24"/>
            <w14:ligatures w14:val="standardContextual"/>
          </w:rPr>
          <w:tab/>
        </w:r>
        <w:r w:rsidRPr="00592639">
          <w:rPr>
            <w:rStyle w:val="Hyperlink"/>
            <w:noProof/>
          </w:rPr>
          <w:t>New Zealand’s estimated annual area (hectares)</w:t>
        </w:r>
        <w:r w:rsidRPr="00592639">
          <w:rPr>
            <w:rStyle w:val="Hyperlink"/>
            <w:noProof/>
            <w:vertAlign w:val="superscript"/>
          </w:rPr>
          <w:t xml:space="preserve">+ </w:t>
        </w:r>
        <w:r w:rsidRPr="00592639">
          <w:rPr>
            <w:rStyle w:val="Hyperlink"/>
            <w:noProof/>
          </w:rPr>
          <w:t xml:space="preserve">under </w:t>
        </w:r>
        <w:r w:rsidRPr="00592639">
          <w:rPr>
            <w:rStyle w:val="Hyperlink"/>
            <w:i/>
            <w:iCs/>
            <w:noProof/>
          </w:rPr>
          <w:t>Afforestation and reforestation</w:t>
        </w:r>
        <w:r w:rsidRPr="00592639">
          <w:rPr>
            <w:rStyle w:val="Hyperlink"/>
            <w:noProof/>
            <w:vertAlign w:val="subscript"/>
          </w:rPr>
          <w:t xml:space="preserve"> </w:t>
        </w:r>
        <w:r w:rsidRPr="00592639">
          <w:rPr>
            <w:rStyle w:val="Hyperlink"/>
            <w:noProof/>
          </w:rPr>
          <w:t>from 1990 to 2022</w:t>
        </w:r>
        <w:r>
          <w:rPr>
            <w:noProof/>
            <w:webHidden/>
          </w:rPr>
          <w:tab/>
        </w:r>
        <w:r>
          <w:rPr>
            <w:noProof/>
            <w:webHidden/>
          </w:rPr>
          <w:fldChar w:fldCharType="begin"/>
        </w:r>
        <w:r>
          <w:rPr>
            <w:noProof/>
            <w:webHidden/>
          </w:rPr>
          <w:instrText xml:space="preserve"> PAGEREF _Toc185427797 \h </w:instrText>
        </w:r>
        <w:r>
          <w:rPr>
            <w:noProof/>
            <w:webHidden/>
          </w:rPr>
        </w:r>
        <w:r>
          <w:rPr>
            <w:noProof/>
            <w:webHidden/>
          </w:rPr>
          <w:fldChar w:fldCharType="separate"/>
        </w:r>
        <w:r w:rsidR="005843E4">
          <w:rPr>
            <w:noProof/>
            <w:webHidden/>
          </w:rPr>
          <w:t>365</w:t>
        </w:r>
        <w:r>
          <w:rPr>
            <w:noProof/>
            <w:webHidden/>
          </w:rPr>
          <w:fldChar w:fldCharType="end"/>
        </w:r>
      </w:hyperlink>
    </w:p>
    <w:p w14:paraId="0053D6E0" w14:textId="2A92932A"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98" w:history="1">
        <w:r w:rsidRPr="00592639">
          <w:rPr>
            <w:rStyle w:val="Hyperlink"/>
            <w:noProof/>
          </w:rPr>
          <w:t>Table A2.8:</w:t>
        </w:r>
        <w:r>
          <w:rPr>
            <w:rFonts w:asciiTheme="minorHAnsi" w:hAnsiTheme="minorHAnsi"/>
            <w:noProof/>
            <w:kern w:val="2"/>
            <w:sz w:val="24"/>
            <w:szCs w:val="24"/>
            <w14:ligatures w14:val="standardContextual"/>
          </w:rPr>
          <w:tab/>
        </w:r>
        <w:r w:rsidRPr="00592639">
          <w:rPr>
            <w:rStyle w:val="Hyperlink"/>
            <w:noProof/>
          </w:rPr>
          <w:t>Estimated average harvest age and proportion of forest species included in the rotational plantation forest long-term average</w:t>
        </w:r>
        <w:r>
          <w:rPr>
            <w:noProof/>
            <w:webHidden/>
          </w:rPr>
          <w:tab/>
        </w:r>
        <w:r>
          <w:rPr>
            <w:noProof/>
            <w:webHidden/>
          </w:rPr>
          <w:fldChar w:fldCharType="begin"/>
        </w:r>
        <w:r>
          <w:rPr>
            <w:noProof/>
            <w:webHidden/>
          </w:rPr>
          <w:instrText xml:space="preserve"> PAGEREF _Toc185427798 \h </w:instrText>
        </w:r>
        <w:r>
          <w:rPr>
            <w:noProof/>
            <w:webHidden/>
          </w:rPr>
        </w:r>
        <w:r>
          <w:rPr>
            <w:noProof/>
            <w:webHidden/>
          </w:rPr>
          <w:fldChar w:fldCharType="separate"/>
        </w:r>
        <w:r w:rsidR="005843E4">
          <w:rPr>
            <w:noProof/>
            <w:webHidden/>
          </w:rPr>
          <w:t>367</w:t>
        </w:r>
        <w:r>
          <w:rPr>
            <w:noProof/>
            <w:webHidden/>
          </w:rPr>
          <w:fldChar w:fldCharType="end"/>
        </w:r>
      </w:hyperlink>
    </w:p>
    <w:p w14:paraId="2B66FDFB" w14:textId="18EE8EF5"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799" w:history="1">
        <w:r w:rsidRPr="00592639">
          <w:rPr>
            <w:rStyle w:val="Hyperlink"/>
            <w:noProof/>
          </w:rPr>
          <w:t>Table A2.9:</w:t>
        </w:r>
        <w:r>
          <w:rPr>
            <w:rFonts w:asciiTheme="minorHAnsi" w:hAnsiTheme="minorHAnsi"/>
            <w:noProof/>
            <w:kern w:val="2"/>
            <w:sz w:val="24"/>
            <w:szCs w:val="24"/>
            <w14:ligatures w14:val="standardContextual"/>
          </w:rPr>
          <w:tab/>
        </w:r>
        <w:r w:rsidRPr="00592639">
          <w:rPr>
            <w:rStyle w:val="Hyperlink"/>
            <w:noProof/>
          </w:rPr>
          <w:t>Area (hectares) of permanent and production planted forests established after 1989 by long</w:t>
        </w:r>
        <w:r w:rsidRPr="00592639">
          <w:rPr>
            <w:rStyle w:val="Hyperlink"/>
            <w:noProof/>
          </w:rPr>
          <w:noBreakHyphen/>
          <w:t>term average (LTA) subcategory on 31 December 2022</w:t>
        </w:r>
        <w:r>
          <w:rPr>
            <w:noProof/>
            <w:webHidden/>
          </w:rPr>
          <w:tab/>
        </w:r>
        <w:r>
          <w:rPr>
            <w:noProof/>
            <w:webHidden/>
          </w:rPr>
          <w:fldChar w:fldCharType="begin"/>
        </w:r>
        <w:r>
          <w:rPr>
            <w:noProof/>
            <w:webHidden/>
          </w:rPr>
          <w:instrText xml:space="preserve"> PAGEREF _Toc185427799 \h </w:instrText>
        </w:r>
        <w:r>
          <w:rPr>
            <w:noProof/>
            <w:webHidden/>
          </w:rPr>
        </w:r>
        <w:r>
          <w:rPr>
            <w:noProof/>
            <w:webHidden/>
          </w:rPr>
          <w:fldChar w:fldCharType="separate"/>
        </w:r>
        <w:r w:rsidR="005843E4">
          <w:rPr>
            <w:noProof/>
            <w:webHidden/>
          </w:rPr>
          <w:t>367</w:t>
        </w:r>
        <w:r>
          <w:rPr>
            <w:noProof/>
            <w:webHidden/>
          </w:rPr>
          <w:fldChar w:fldCharType="end"/>
        </w:r>
      </w:hyperlink>
    </w:p>
    <w:p w14:paraId="292A5F47" w14:textId="74E12CA3"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800" w:history="1">
        <w:r w:rsidRPr="00592639">
          <w:rPr>
            <w:rStyle w:val="Hyperlink"/>
            <w:noProof/>
          </w:rPr>
          <w:t>Table A2.10:</w:t>
        </w:r>
        <w:r>
          <w:rPr>
            <w:rFonts w:asciiTheme="minorHAnsi" w:hAnsiTheme="minorHAnsi"/>
            <w:noProof/>
            <w:kern w:val="2"/>
            <w:sz w:val="24"/>
            <w:szCs w:val="24"/>
            <w14:ligatures w14:val="standardContextual"/>
          </w:rPr>
          <w:tab/>
        </w:r>
        <w:r w:rsidRPr="00592639">
          <w:rPr>
            <w:rStyle w:val="Hyperlink"/>
            <w:noProof/>
          </w:rPr>
          <w:t>Area (hectares) of New Zealand subject to deforestation</w:t>
        </w:r>
        <w:r>
          <w:rPr>
            <w:noProof/>
            <w:webHidden/>
          </w:rPr>
          <w:tab/>
        </w:r>
        <w:r>
          <w:rPr>
            <w:noProof/>
            <w:webHidden/>
          </w:rPr>
          <w:fldChar w:fldCharType="begin"/>
        </w:r>
        <w:r>
          <w:rPr>
            <w:noProof/>
            <w:webHidden/>
          </w:rPr>
          <w:instrText xml:space="preserve"> PAGEREF _Toc185427800 \h </w:instrText>
        </w:r>
        <w:r>
          <w:rPr>
            <w:noProof/>
            <w:webHidden/>
          </w:rPr>
        </w:r>
        <w:r>
          <w:rPr>
            <w:noProof/>
            <w:webHidden/>
          </w:rPr>
          <w:fldChar w:fldCharType="separate"/>
        </w:r>
        <w:r w:rsidR="005843E4">
          <w:rPr>
            <w:noProof/>
            <w:webHidden/>
          </w:rPr>
          <w:t>369</w:t>
        </w:r>
        <w:r>
          <w:rPr>
            <w:noProof/>
            <w:webHidden/>
          </w:rPr>
          <w:fldChar w:fldCharType="end"/>
        </w:r>
      </w:hyperlink>
    </w:p>
    <w:p w14:paraId="5995E788" w14:textId="5D4792E3"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801" w:history="1">
        <w:r w:rsidRPr="00592639">
          <w:rPr>
            <w:rStyle w:val="Hyperlink"/>
            <w:noProof/>
          </w:rPr>
          <w:t>Table A2.11:</w:t>
        </w:r>
        <w:r>
          <w:rPr>
            <w:rFonts w:asciiTheme="minorHAnsi" w:hAnsiTheme="minorHAnsi"/>
            <w:noProof/>
            <w:kern w:val="2"/>
            <w:sz w:val="24"/>
            <w:szCs w:val="24"/>
            <w14:ligatures w14:val="standardContextual"/>
          </w:rPr>
          <w:tab/>
        </w:r>
        <w:r w:rsidRPr="00592639">
          <w:rPr>
            <w:rStyle w:val="Hyperlink"/>
            <w:noProof/>
          </w:rPr>
          <w:t>Carbon equivalent forests from 2021 to 2022</w:t>
        </w:r>
        <w:r>
          <w:rPr>
            <w:noProof/>
            <w:webHidden/>
          </w:rPr>
          <w:tab/>
        </w:r>
        <w:r>
          <w:rPr>
            <w:noProof/>
            <w:webHidden/>
          </w:rPr>
          <w:fldChar w:fldCharType="begin"/>
        </w:r>
        <w:r>
          <w:rPr>
            <w:noProof/>
            <w:webHidden/>
          </w:rPr>
          <w:instrText xml:space="preserve"> PAGEREF _Toc185427801 \h </w:instrText>
        </w:r>
        <w:r>
          <w:rPr>
            <w:noProof/>
            <w:webHidden/>
          </w:rPr>
        </w:r>
        <w:r>
          <w:rPr>
            <w:noProof/>
            <w:webHidden/>
          </w:rPr>
          <w:fldChar w:fldCharType="separate"/>
        </w:r>
        <w:r w:rsidR="005843E4">
          <w:rPr>
            <w:noProof/>
            <w:webHidden/>
          </w:rPr>
          <w:t>372</w:t>
        </w:r>
        <w:r>
          <w:rPr>
            <w:noProof/>
            <w:webHidden/>
          </w:rPr>
          <w:fldChar w:fldCharType="end"/>
        </w:r>
      </w:hyperlink>
    </w:p>
    <w:p w14:paraId="66E023D8" w14:textId="76309A6A"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802" w:history="1">
        <w:r w:rsidRPr="00592639">
          <w:rPr>
            <w:rStyle w:val="Hyperlink"/>
            <w:noProof/>
          </w:rPr>
          <w:t>Table A2.12:</w:t>
        </w:r>
        <w:r>
          <w:rPr>
            <w:rFonts w:asciiTheme="minorHAnsi" w:hAnsiTheme="minorHAnsi"/>
            <w:noProof/>
            <w:kern w:val="2"/>
            <w:sz w:val="24"/>
            <w:szCs w:val="24"/>
            <w14:ligatures w14:val="standardContextual"/>
          </w:rPr>
          <w:tab/>
        </w:r>
        <w:r w:rsidRPr="00592639">
          <w:rPr>
            <w:rStyle w:val="Hyperlink"/>
            <w:noProof/>
          </w:rPr>
          <w:t>Breakdown of carbon equivalent forests (CEFs) by domestic scheme application from 2021 to 2022</w:t>
        </w:r>
        <w:r>
          <w:rPr>
            <w:noProof/>
            <w:webHidden/>
          </w:rPr>
          <w:tab/>
        </w:r>
        <w:r>
          <w:rPr>
            <w:noProof/>
            <w:webHidden/>
          </w:rPr>
          <w:fldChar w:fldCharType="begin"/>
        </w:r>
        <w:r>
          <w:rPr>
            <w:noProof/>
            <w:webHidden/>
          </w:rPr>
          <w:instrText xml:space="preserve"> PAGEREF _Toc185427802 \h </w:instrText>
        </w:r>
        <w:r>
          <w:rPr>
            <w:noProof/>
            <w:webHidden/>
          </w:rPr>
        </w:r>
        <w:r>
          <w:rPr>
            <w:noProof/>
            <w:webHidden/>
          </w:rPr>
          <w:fldChar w:fldCharType="separate"/>
        </w:r>
        <w:r w:rsidR="005843E4">
          <w:rPr>
            <w:noProof/>
            <w:webHidden/>
          </w:rPr>
          <w:t>372</w:t>
        </w:r>
        <w:r>
          <w:rPr>
            <w:noProof/>
            <w:webHidden/>
          </w:rPr>
          <w:fldChar w:fldCharType="end"/>
        </w:r>
      </w:hyperlink>
    </w:p>
    <w:p w14:paraId="3FCC14B3" w14:textId="4EEDFFD1"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803" w:history="1">
        <w:r w:rsidRPr="00592639">
          <w:rPr>
            <w:rStyle w:val="Hyperlink"/>
            <w:noProof/>
          </w:rPr>
          <w:t>Table A2.13:</w:t>
        </w:r>
        <w:r>
          <w:rPr>
            <w:rFonts w:asciiTheme="minorHAnsi" w:hAnsiTheme="minorHAnsi"/>
            <w:noProof/>
            <w:kern w:val="2"/>
            <w:sz w:val="24"/>
            <w:szCs w:val="24"/>
            <w14:ligatures w14:val="standardContextual"/>
          </w:rPr>
          <w:tab/>
        </w:r>
        <w:r w:rsidRPr="00592639">
          <w:rPr>
            <w:rStyle w:val="Hyperlink"/>
            <w:noProof/>
          </w:rPr>
          <w:t>Comparison of forest areas reported under each LULUCF Inventory category and LULUCF activities 2022 (kha)</w:t>
        </w:r>
        <w:r>
          <w:rPr>
            <w:noProof/>
            <w:webHidden/>
          </w:rPr>
          <w:tab/>
        </w:r>
        <w:r>
          <w:rPr>
            <w:noProof/>
            <w:webHidden/>
          </w:rPr>
          <w:fldChar w:fldCharType="begin"/>
        </w:r>
        <w:r>
          <w:rPr>
            <w:noProof/>
            <w:webHidden/>
          </w:rPr>
          <w:instrText xml:space="preserve"> PAGEREF _Toc185427803 \h </w:instrText>
        </w:r>
        <w:r>
          <w:rPr>
            <w:noProof/>
            <w:webHidden/>
          </w:rPr>
        </w:r>
        <w:r>
          <w:rPr>
            <w:noProof/>
            <w:webHidden/>
          </w:rPr>
          <w:fldChar w:fldCharType="separate"/>
        </w:r>
        <w:r w:rsidR="005843E4">
          <w:rPr>
            <w:noProof/>
            <w:webHidden/>
          </w:rPr>
          <w:t>374</w:t>
        </w:r>
        <w:r>
          <w:rPr>
            <w:noProof/>
            <w:webHidden/>
          </w:rPr>
          <w:fldChar w:fldCharType="end"/>
        </w:r>
      </w:hyperlink>
    </w:p>
    <w:p w14:paraId="1342DAD7" w14:textId="77E8E4AC"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804" w:history="1">
        <w:r w:rsidRPr="00592639">
          <w:rPr>
            <w:rStyle w:val="Hyperlink"/>
            <w:noProof/>
          </w:rPr>
          <w:t>Table A2.14:</w:t>
        </w:r>
        <w:r>
          <w:rPr>
            <w:rFonts w:asciiTheme="minorHAnsi" w:hAnsiTheme="minorHAnsi"/>
            <w:noProof/>
            <w:kern w:val="2"/>
            <w:sz w:val="24"/>
            <w:szCs w:val="24"/>
            <w14:ligatures w14:val="standardContextual"/>
          </w:rPr>
          <w:tab/>
        </w:r>
        <w:r w:rsidRPr="00592639">
          <w:rPr>
            <w:rStyle w:val="Hyperlink"/>
            <w:noProof/>
          </w:rPr>
          <w:t>Nitrous oxide emissions from the drainage of organic soils in 2021 and 2022 by activity</w:t>
        </w:r>
        <w:r>
          <w:rPr>
            <w:noProof/>
            <w:webHidden/>
          </w:rPr>
          <w:tab/>
        </w:r>
        <w:r>
          <w:rPr>
            <w:noProof/>
            <w:webHidden/>
          </w:rPr>
          <w:fldChar w:fldCharType="begin"/>
        </w:r>
        <w:r>
          <w:rPr>
            <w:noProof/>
            <w:webHidden/>
          </w:rPr>
          <w:instrText xml:space="preserve"> PAGEREF _Toc185427804 \h </w:instrText>
        </w:r>
        <w:r>
          <w:rPr>
            <w:noProof/>
            <w:webHidden/>
          </w:rPr>
        </w:r>
        <w:r>
          <w:rPr>
            <w:noProof/>
            <w:webHidden/>
          </w:rPr>
          <w:fldChar w:fldCharType="separate"/>
        </w:r>
        <w:r w:rsidR="005843E4">
          <w:rPr>
            <w:noProof/>
            <w:webHidden/>
          </w:rPr>
          <w:t>376</w:t>
        </w:r>
        <w:r>
          <w:rPr>
            <w:noProof/>
            <w:webHidden/>
          </w:rPr>
          <w:fldChar w:fldCharType="end"/>
        </w:r>
      </w:hyperlink>
    </w:p>
    <w:p w14:paraId="06D22C59" w14:textId="6CBEB906"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805" w:history="1">
        <w:r w:rsidRPr="00592639">
          <w:rPr>
            <w:rStyle w:val="Hyperlink"/>
            <w:noProof/>
          </w:rPr>
          <w:t>Table A2.15:</w:t>
        </w:r>
        <w:r>
          <w:rPr>
            <w:rFonts w:asciiTheme="minorHAnsi" w:hAnsiTheme="minorHAnsi"/>
            <w:noProof/>
            <w:kern w:val="2"/>
            <w:sz w:val="24"/>
            <w:szCs w:val="24"/>
            <w14:ligatures w14:val="standardContextual"/>
          </w:rPr>
          <w:tab/>
        </w:r>
        <w:r w:rsidRPr="00592639">
          <w:rPr>
            <w:rStyle w:val="Hyperlink"/>
            <w:noProof/>
          </w:rPr>
          <w:t>Nitrous oxide emissions from nitrogen mineralisation and immobilisation in soils in 2021 and 2022 by activity</w:t>
        </w:r>
        <w:r>
          <w:rPr>
            <w:noProof/>
            <w:webHidden/>
          </w:rPr>
          <w:tab/>
        </w:r>
        <w:r>
          <w:rPr>
            <w:noProof/>
            <w:webHidden/>
          </w:rPr>
          <w:fldChar w:fldCharType="begin"/>
        </w:r>
        <w:r>
          <w:rPr>
            <w:noProof/>
            <w:webHidden/>
          </w:rPr>
          <w:instrText xml:space="preserve"> PAGEREF _Toc185427805 \h </w:instrText>
        </w:r>
        <w:r>
          <w:rPr>
            <w:noProof/>
            <w:webHidden/>
          </w:rPr>
        </w:r>
        <w:r>
          <w:rPr>
            <w:noProof/>
            <w:webHidden/>
          </w:rPr>
          <w:fldChar w:fldCharType="separate"/>
        </w:r>
        <w:r w:rsidR="005843E4">
          <w:rPr>
            <w:noProof/>
            <w:webHidden/>
          </w:rPr>
          <w:t>377</w:t>
        </w:r>
        <w:r>
          <w:rPr>
            <w:noProof/>
            <w:webHidden/>
          </w:rPr>
          <w:fldChar w:fldCharType="end"/>
        </w:r>
      </w:hyperlink>
    </w:p>
    <w:p w14:paraId="47FBF553" w14:textId="336195CD"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806" w:history="1">
        <w:r w:rsidRPr="00592639">
          <w:rPr>
            <w:rStyle w:val="Hyperlink"/>
            <w:noProof/>
          </w:rPr>
          <w:t>Table A2.16:</w:t>
        </w:r>
        <w:r>
          <w:rPr>
            <w:rFonts w:asciiTheme="minorHAnsi" w:hAnsiTheme="minorHAnsi"/>
            <w:noProof/>
            <w:kern w:val="2"/>
            <w:sz w:val="24"/>
            <w:szCs w:val="24"/>
            <w14:ligatures w14:val="standardContextual"/>
          </w:rPr>
          <w:tab/>
        </w:r>
        <w:r w:rsidRPr="00592639">
          <w:rPr>
            <w:rStyle w:val="Hyperlink"/>
            <w:noProof/>
          </w:rPr>
          <w:t>Non-carbon dioxide emissions from biomass burning in 2021 and 2022</w:t>
        </w:r>
        <w:r>
          <w:rPr>
            <w:noProof/>
            <w:webHidden/>
          </w:rPr>
          <w:tab/>
        </w:r>
        <w:r>
          <w:rPr>
            <w:noProof/>
            <w:webHidden/>
          </w:rPr>
          <w:fldChar w:fldCharType="begin"/>
        </w:r>
        <w:r>
          <w:rPr>
            <w:noProof/>
            <w:webHidden/>
          </w:rPr>
          <w:instrText xml:space="preserve"> PAGEREF _Toc185427806 \h </w:instrText>
        </w:r>
        <w:r>
          <w:rPr>
            <w:noProof/>
            <w:webHidden/>
          </w:rPr>
        </w:r>
        <w:r>
          <w:rPr>
            <w:noProof/>
            <w:webHidden/>
          </w:rPr>
          <w:fldChar w:fldCharType="separate"/>
        </w:r>
        <w:r w:rsidR="005843E4">
          <w:rPr>
            <w:noProof/>
            <w:webHidden/>
          </w:rPr>
          <w:t>377</w:t>
        </w:r>
        <w:r>
          <w:rPr>
            <w:noProof/>
            <w:webHidden/>
          </w:rPr>
          <w:fldChar w:fldCharType="end"/>
        </w:r>
      </w:hyperlink>
    </w:p>
    <w:p w14:paraId="27FF4453" w14:textId="7BC27D90"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807" w:history="1">
        <w:r w:rsidRPr="00592639">
          <w:rPr>
            <w:rStyle w:val="Hyperlink"/>
            <w:noProof/>
          </w:rPr>
          <w:t xml:space="preserve">Table A2.17: </w:t>
        </w:r>
        <w:r>
          <w:rPr>
            <w:rFonts w:asciiTheme="minorHAnsi" w:hAnsiTheme="minorHAnsi"/>
            <w:noProof/>
            <w:kern w:val="2"/>
            <w:sz w:val="24"/>
            <w:szCs w:val="24"/>
            <w14:ligatures w14:val="standardContextual"/>
          </w:rPr>
          <w:tab/>
        </w:r>
        <w:r w:rsidRPr="00592639">
          <w:rPr>
            <w:rStyle w:val="Hyperlink"/>
            <w:noProof/>
          </w:rPr>
          <w:t xml:space="preserve">Uncertainty in New Zealand’s estimates for </w:t>
        </w:r>
        <w:r w:rsidRPr="00592639">
          <w:rPr>
            <w:rStyle w:val="Hyperlink"/>
            <w:i/>
            <w:iCs/>
            <w:noProof/>
          </w:rPr>
          <w:t>Afforestation and reforestation</w:t>
        </w:r>
        <w:r w:rsidRPr="00592639">
          <w:rPr>
            <w:rStyle w:val="Hyperlink"/>
            <w:noProof/>
          </w:rPr>
          <w:t xml:space="preserve">, </w:t>
        </w:r>
        <w:r w:rsidRPr="00592639">
          <w:rPr>
            <w:rStyle w:val="Hyperlink"/>
            <w:i/>
            <w:iCs/>
            <w:noProof/>
          </w:rPr>
          <w:t>Deforestation</w:t>
        </w:r>
        <w:r w:rsidRPr="00592639">
          <w:rPr>
            <w:rStyle w:val="Hyperlink"/>
            <w:noProof/>
          </w:rPr>
          <w:t xml:space="preserve"> and </w:t>
        </w:r>
        <w:r w:rsidRPr="00592639">
          <w:rPr>
            <w:rStyle w:val="Hyperlink"/>
            <w:i/>
            <w:iCs/>
            <w:noProof/>
          </w:rPr>
          <w:t>Forest management</w:t>
        </w:r>
        <w:r w:rsidRPr="00592639">
          <w:rPr>
            <w:rStyle w:val="Hyperlink"/>
            <w:noProof/>
          </w:rPr>
          <w:t xml:space="preserve"> activities in 2021 and 2022</w:t>
        </w:r>
        <w:r>
          <w:rPr>
            <w:noProof/>
            <w:webHidden/>
          </w:rPr>
          <w:tab/>
        </w:r>
        <w:r>
          <w:rPr>
            <w:noProof/>
            <w:webHidden/>
          </w:rPr>
          <w:fldChar w:fldCharType="begin"/>
        </w:r>
        <w:r>
          <w:rPr>
            <w:noProof/>
            <w:webHidden/>
          </w:rPr>
          <w:instrText xml:space="preserve"> PAGEREF _Toc185427807 \h </w:instrText>
        </w:r>
        <w:r>
          <w:rPr>
            <w:noProof/>
            <w:webHidden/>
          </w:rPr>
        </w:r>
        <w:r>
          <w:rPr>
            <w:noProof/>
            <w:webHidden/>
          </w:rPr>
          <w:fldChar w:fldCharType="separate"/>
        </w:r>
        <w:r w:rsidR="005843E4">
          <w:rPr>
            <w:noProof/>
            <w:webHidden/>
          </w:rPr>
          <w:t>384</w:t>
        </w:r>
        <w:r>
          <w:rPr>
            <w:noProof/>
            <w:webHidden/>
          </w:rPr>
          <w:fldChar w:fldCharType="end"/>
        </w:r>
      </w:hyperlink>
    </w:p>
    <w:p w14:paraId="06ECEF76" w14:textId="1E12BDCA"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808" w:history="1">
        <w:r w:rsidRPr="00592639">
          <w:rPr>
            <w:rStyle w:val="Hyperlink"/>
            <w:noProof/>
          </w:rPr>
          <w:t xml:space="preserve">Table A2.18: </w:t>
        </w:r>
        <w:r>
          <w:rPr>
            <w:rFonts w:asciiTheme="minorHAnsi" w:hAnsiTheme="minorHAnsi"/>
            <w:noProof/>
            <w:kern w:val="2"/>
            <w:sz w:val="24"/>
            <w:szCs w:val="24"/>
            <w14:ligatures w14:val="standardContextual"/>
          </w:rPr>
          <w:tab/>
        </w:r>
        <w:r w:rsidRPr="00592639">
          <w:rPr>
            <w:rStyle w:val="Hyperlink"/>
            <w:noProof/>
          </w:rPr>
          <w:t xml:space="preserve">Total uncertainty in New Zealand’s estimates for </w:t>
        </w:r>
        <w:r w:rsidRPr="00592639">
          <w:rPr>
            <w:rStyle w:val="Hyperlink"/>
            <w:i/>
            <w:iCs/>
            <w:noProof/>
          </w:rPr>
          <w:t>Afforestation and reforestation</w:t>
        </w:r>
        <w:r w:rsidRPr="00592639">
          <w:rPr>
            <w:rStyle w:val="Hyperlink"/>
            <w:noProof/>
          </w:rPr>
          <w:t xml:space="preserve">, </w:t>
        </w:r>
        <w:r w:rsidRPr="00592639">
          <w:rPr>
            <w:rStyle w:val="Hyperlink"/>
            <w:i/>
            <w:iCs/>
            <w:noProof/>
          </w:rPr>
          <w:t>Deforestation</w:t>
        </w:r>
        <w:r w:rsidRPr="00592639">
          <w:rPr>
            <w:rStyle w:val="Hyperlink"/>
            <w:noProof/>
          </w:rPr>
          <w:t xml:space="preserve"> and </w:t>
        </w:r>
        <w:r w:rsidRPr="00592639">
          <w:rPr>
            <w:rStyle w:val="Hyperlink"/>
            <w:i/>
            <w:iCs/>
            <w:noProof/>
          </w:rPr>
          <w:t>Forest management</w:t>
        </w:r>
        <w:r w:rsidRPr="00592639">
          <w:rPr>
            <w:rStyle w:val="Hyperlink"/>
            <w:noProof/>
          </w:rPr>
          <w:t xml:space="preserve"> in 2021 and 2022</w:t>
        </w:r>
        <w:r>
          <w:rPr>
            <w:noProof/>
            <w:webHidden/>
          </w:rPr>
          <w:tab/>
        </w:r>
        <w:r>
          <w:rPr>
            <w:noProof/>
            <w:webHidden/>
          </w:rPr>
          <w:fldChar w:fldCharType="begin"/>
        </w:r>
        <w:r>
          <w:rPr>
            <w:noProof/>
            <w:webHidden/>
          </w:rPr>
          <w:instrText xml:space="preserve"> PAGEREF _Toc185427808 \h </w:instrText>
        </w:r>
        <w:r>
          <w:rPr>
            <w:noProof/>
            <w:webHidden/>
          </w:rPr>
        </w:r>
        <w:r>
          <w:rPr>
            <w:noProof/>
            <w:webHidden/>
          </w:rPr>
          <w:fldChar w:fldCharType="separate"/>
        </w:r>
        <w:r w:rsidR="005843E4">
          <w:rPr>
            <w:noProof/>
            <w:webHidden/>
          </w:rPr>
          <w:t>384</w:t>
        </w:r>
        <w:r>
          <w:rPr>
            <w:noProof/>
            <w:webHidden/>
          </w:rPr>
          <w:fldChar w:fldCharType="end"/>
        </w:r>
      </w:hyperlink>
    </w:p>
    <w:p w14:paraId="4AAB2409" w14:textId="505D80A5" w:rsidR="00386615" w:rsidRDefault="00386615">
      <w:pPr>
        <w:pStyle w:val="TableofFigures"/>
        <w:tabs>
          <w:tab w:val="right" w:pos="8495"/>
        </w:tabs>
        <w:rPr>
          <w:rFonts w:asciiTheme="minorHAnsi" w:hAnsiTheme="minorHAnsi"/>
          <w:noProof/>
          <w:kern w:val="2"/>
          <w:sz w:val="24"/>
          <w:szCs w:val="24"/>
          <w14:ligatures w14:val="standardContextual"/>
        </w:rPr>
      </w:pPr>
      <w:hyperlink w:anchor="_Toc185427809" w:history="1">
        <w:r w:rsidRPr="00592639">
          <w:rPr>
            <w:rStyle w:val="Hyperlink"/>
            <w:noProof/>
          </w:rPr>
          <w:t>Table A3.1:</w:t>
        </w:r>
        <w:r>
          <w:rPr>
            <w:rFonts w:asciiTheme="minorHAnsi" w:hAnsiTheme="minorHAnsi"/>
            <w:noProof/>
            <w:kern w:val="2"/>
            <w:sz w:val="24"/>
            <w:szCs w:val="24"/>
            <w14:ligatures w14:val="standardContextual"/>
          </w:rPr>
          <w:tab/>
        </w:r>
        <w:r w:rsidRPr="00592639">
          <w:rPr>
            <w:rStyle w:val="Hyperlink"/>
            <w:noProof/>
          </w:rPr>
          <w:t>Methodologies used to estimate greenhouse gas emission reductions or removals from policies and measures</w:t>
        </w:r>
        <w:r>
          <w:rPr>
            <w:noProof/>
            <w:webHidden/>
          </w:rPr>
          <w:tab/>
        </w:r>
        <w:r>
          <w:rPr>
            <w:noProof/>
            <w:webHidden/>
          </w:rPr>
          <w:fldChar w:fldCharType="begin"/>
        </w:r>
        <w:r>
          <w:rPr>
            <w:noProof/>
            <w:webHidden/>
          </w:rPr>
          <w:instrText xml:space="preserve"> PAGEREF _Toc185427809 \h </w:instrText>
        </w:r>
        <w:r>
          <w:rPr>
            <w:noProof/>
            <w:webHidden/>
          </w:rPr>
        </w:r>
        <w:r>
          <w:rPr>
            <w:noProof/>
            <w:webHidden/>
          </w:rPr>
          <w:fldChar w:fldCharType="separate"/>
        </w:r>
        <w:r w:rsidR="005843E4">
          <w:rPr>
            <w:noProof/>
            <w:webHidden/>
          </w:rPr>
          <w:t>391</w:t>
        </w:r>
        <w:r>
          <w:rPr>
            <w:noProof/>
            <w:webHidden/>
          </w:rPr>
          <w:fldChar w:fldCharType="end"/>
        </w:r>
      </w:hyperlink>
    </w:p>
    <w:p w14:paraId="21032F63" w14:textId="22924084" w:rsidR="00532334" w:rsidRPr="006B77BB" w:rsidRDefault="004943C2" w:rsidP="00DF71E7">
      <w:pPr>
        <w:pStyle w:val="BodyText"/>
      </w:pPr>
      <w:r w:rsidRPr="00F17830">
        <w:rPr>
          <w:rFonts w:cs="Calibri"/>
        </w:rPr>
        <w:fldChar w:fldCharType="end"/>
      </w:r>
    </w:p>
    <w:p w14:paraId="123DB698" w14:textId="77777777" w:rsidR="00532334" w:rsidRPr="006B77BB" w:rsidRDefault="00B51610" w:rsidP="00585FD0">
      <w:pPr>
        <w:pStyle w:val="Heading"/>
      </w:pPr>
      <w:r w:rsidRPr="006B77BB">
        <w:t>Figure</w:t>
      </w:r>
      <w:r w:rsidR="00532334" w:rsidRPr="006B77BB">
        <w:t>s</w:t>
      </w:r>
    </w:p>
    <w:p w14:paraId="7B16FE1F" w14:textId="2CD1AE3A" w:rsidR="007D0C11" w:rsidRDefault="004943C2">
      <w:pPr>
        <w:pStyle w:val="TableofFigures"/>
        <w:tabs>
          <w:tab w:val="right" w:pos="8495"/>
        </w:tabs>
        <w:rPr>
          <w:rFonts w:asciiTheme="minorHAnsi" w:hAnsiTheme="minorHAnsi"/>
          <w:noProof/>
          <w:kern w:val="2"/>
          <w:sz w:val="24"/>
          <w:szCs w:val="24"/>
          <w14:ligatures w14:val="standardContextual"/>
        </w:rPr>
      </w:pPr>
      <w:r w:rsidRPr="006B77BB">
        <w:fldChar w:fldCharType="begin"/>
      </w:r>
      <w:r w:rsidRPr="006B77BB">
        <w:instrText xml:space="preserve"> TOC \h \z \t "Figure heading" \c </w:instrText>
      </w:r>
      <w:r w:rsidRPr="006B77BB">
        <w:fldChar w:fldCharType="separate"/>
      </w:r>
      <w:hyperlink w:anchor="_Toc185347231" w:history="1">
        <w:r w:rsidR="007D0C11" w:rsidRPr="00051B55">
          <w:rPr>
            <w:rStyle w:val="Hyperlink"/>
            <w:noProof/>
          </w:rPr>
          <w:t>Figure 1.1:</w:t>
        </w:r>
        <w:r w:rsidR="007D0C11">
          <w:rPr>
            <w:rFonts w:asciiTheme="minorHAnsi" w:hAnsiTheme="minorHAnsi"/>
            <w:noProof/>
            <w:kern w:val="2"/>
            <w:sz w:val="24"/>
            <w:szCs w:val="24"/>
            <w14:ligatures w14:val="standardContextual"/>
          </w:rPr>
          <w:tab/>
        </w:r>
        <w:r w:rsidR="007D0C11" w:rsidRPr="00051B55">
          <w:rPr>
            <w:rStyle w:val="Hyperlink"/>
            <w:noProof/>
          </w:rPr>
          <w:t xml:space="preserve">New Zealand’s greenhouse gas emissions by sector, </w:t>
        </w:r>
        <w:r w:rsidR="007D0C11" w:rsidRPr="00051B55">
          <w:rPr>
            <w:rStyle w:val="Hyperlink"/>
            <w:bCs/>
            <w:noProof/>
          </w:rPr>
          <w:t>2022</w:t>
        </w:r>
        <w:r w:rsidR="007D0C11">
          <w:rPr>
            <w:noProof/>
            <w:webHidden/>
          </w:rPr>
          <w:tab/>
        </w:r>
        <w:r w:rsidR="007D0C11">
          <w:rPr>
            <w:noProof/>
            <w:webHidden/>
          </w:rPr>
          <w:fldChar w:fldCharType="begin"/>
        </w:r>
        <w:r w:rsidR="007D0C11">
          <w:rPr>
            <w:noProof/>
            <w:webHidden/>
          </w:rPr>
          <w:instrText xml:space="preserve"> PAGEREF _Toc185347231 \h </w:instrText>
        </w:r>
        <w:r w:rsidR="007D0C11">
          <w:rPr>
            <w:noProof/>
            <w:webHidden/>
          </w:rPr>
        </w:r>
        <w:r w:rsidR="007D0C11">
          <w:rPr>
            <w:noProof/>
            <w:webHidden/>
          </w:rPr>
          <w:fldChar w:fldCharType="separate"/>
        </w:r>
        <w:r w:rsidR="005843E4">
          <w:rPr>
            <w:noProof/>
            <w:webHidden/>
          </w:rPr>
          <w:t>24</w:t>
        </w:r>
        <w:r w:rsidR="007D0C11">
          <w:rPr>
            <w:noProof/>
            <w:webHidden/>
          </w:rPr>
          <w:fldChar w:fldCharType="end"/>
        </w:r>
      </w:hyperlink>
    </w:p>
    <w:p w14:paraId="3C1FDD74" w14:textId="7132635F"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32" w:history="1">
        <w:r w:rsidRPr="00051B55">
          <w:rPr>
            <w:rStyle w:val="Hyperlink"/>
            <w:noProof/>
          </w:rPr>
          <w:t>Figure 1.2:</w:t>
        </w:r>
        <w:r>
          <w:rPr>
            <w:rFonts w:asciiTheme="minorHAnsi" w:hAnsiTheme="minorHAnsi"/>
            <w:noProof/>
            <w:kern w:val="2"/>
            <w:sz w:val="24"/>
            <w:szCs w:val="24"/>
            <w14:ligatures w14:val="standardContextual"/>
          </w:rPr>
          <w:tab/>
        </w:r>
        <w:r w:rsidRPr="00051B55">
          <w:rPr>
            <w:rStyle w:val="Hyperlink"/>
            <w:noProof/>
          </w:rPr>
          <w:t>Percentage of New Zealand’s gross greenhouse gas emissions by sector, category and gas type, 2022</w:t>
        </w:r>
        <w:r>
          <w:rPr>
            <w:noProof/>
            <w:webHidden/>
          </w:rPr>
          <w:tab/>
        </w:r>
        <w:r>
          <w:rPr>
            <w:noProof/>
            <w:webHidden/>
          </w:rPr>
          <w:fldChar w:fldCharType="begin"/>
        </w:r>
        <w:r>
          <w:rPr>
            <w:noProof/>
            <w:webHidden/>
          </w:rPr>
          <w:instrText xml:space="preserve"> PAGEREF _Toc185347232 \h </w:instrText>
        </w:r>
        <w:r>
          <w:rPr>
            <w:noProof/>
            <w:webHidden/>
          </w:rPr>
        </w:r>
        <w:r>
          <w:rPr>
            <w:noProof/>
            <w:webHidden/>
          </w:rPr>
          <w:fldChar w:fldCharType="separate"/>
        </w:r>
        <w:r w:rsidR="005843E4">
          <w:rPr>
            <w:noProof/>
            <w:webHidden/>
          </w:rPr>
          <w:t>25</w:t>
        </w:r>
        <w:r>
          <w:rPr>
            <w:noProof/>
            <w:webHidden/>
          </w:rPr>
          <w:fldChar w:fldCharType="end"/>
        </w:r>
      </w:hyperlink>
    </w:p>
    <w:p w14:paraId="2D7F7E16" w14:textId="6C5481EB"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33" w:history="1">
        <w:r w:rsidRPr="00051B55">
          <w:rPr>
            <w:rStyle w:val="Hyperlink"/>
            <w:noProof/>
          </w:rPr>
          <w:t>Figure 1.3:</w:t>
        </w:r>
        <w:r>
          <w:rPr>
            <w:rFonts w:asciiTheme="minorHAnsi" w:hAnsiTheme="minorHAnsi"/>
            <w:noProof/>
            <w:kern w:val="2"/>
            <w:sz w:val="24"/>
            <w:szCs w:val="24"/>
            <w14:ligatures w14:val="standardContextual"/>
          </w:rPr>
          <w:tab/>
        </w:r>
        <w:r w:rsidRPr="00051B55">
          <w:rPr>
            <w:rStyle w:val="Hyperlink"/>
            <w:noProof/>
          </w:rPr>
          <w:t>New Zealand’s gross and net emissions, 1990–2022</w:t>
        </w:r>
        <w:r>
          <w:rPr>
            <w:noProof/>
            <w:webHidden/>
          </w:rPr>
          <w:tab/>
        </w:r>
        <w:r>
          <w:rPr>
            <w:noProof/>
            <w:webHidden/>
          </w:rPr>
          <w:fldChar w:fldCharType="begin"/>
        </w:r>
        <w:r>
          <w:rPr>
            <w:noProof/>
            <w:webHidden/>
          </w:rPr>
          <w:instrText xml:space="preserve"> PAGEREF _Toc185347233 \h </w:instrText>
        </w:r>
        <w:r>
          <w:rPr>
            <w:noProof/>
            <w:webHidden/>
          </w:rPr>
        </w:r>
        <w:r>
          <w:rPr>
            <w:noProof/>
            <w:webHidden/>
          </w:rPr>
          <w:fldChar w:fldCharType="separate"/>
        </w:r>
        <w:r w:rsidR="005843E4">
          <w:rPr>
            <w:noProof/>
            <w:webHidden/>
          </w:rPr>
          <w:t>27</w:t>
        </w:r>
        <w:r>
          <w:rPr>
            <w:noProof/>
            <w:webHidden/>
          </w:rPr>
          <w:fldChar w:fldCharType="end"/>
        </w:r>
      </w:hyperlink>
    </w:p>
    <w:p w14:paraId="0F14EEC2" w14:textId="4F56B766"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34" w:history="1">
        <w:r w:rsidRPr="00051B55">
          <w:rPr>
            <w:rStyle w:val="Hyperlink"/>
            <w:bCs/>
            <w:noProof/>
          </w:rPr>
          <w:t>Figure 1.4:</w:t>
        </w:r>
        <w:r>
          <w:rPr>
            <w:rFonts w:asciiTheme="minorHAnsi" w:hAnsiTheme="minorHAnsi"/>
            <w:noProof/>
            <w:kern w:val="2"/>
            <w:sz w:val="24"/>
            <w:szCs w:val="24"/>
            <w14:ligatures w14:val="standardContextual"/>
          </w:rPr>
          <w:tab/>
        </w:r>
        <w:r w:rsidRPr="00051B55">
          <w:rPr>
            <w:rStyle w:val="Hyperlink"/>
            <w:noProof/>
          </w:rPr>
          <w:t xml:space="preserve">Trends in New Zealand’s greenhouse gas emissions by sector, </w:t>
        </w:r>
        <w:r w:rsidRPr="00051B55">
          <w:rPr>
            <w:rStyle w:val="Hyperlink"/>
            <w:bCs/>
            <w:noProof/>
          </w:rPr>
          <w:t>1990</w:t>
        </w:r>
        <w:r w:rsidRPr="00051B55">
          <w:rPr>
            <w:rStyle w:val="Hyperlink"/>
            <w:noProof/>
          </w:rPr>
          <w:t>–</w:t>
        </w:r>
        <w:r w:rsidRPr="00051B55">
          <w:rPr>
            <w:rStyle w:val="Hyperlink"/>
            <w:bCs/>
            <w:noProof/>
          </w:rPr>
          <w:t>2022</w:t>
        </w:r>
        <w:r>
          <w:rPr>
            <w:noProof/>
            <w:webHidden/>
          </w:rPr>
          <w:tab/>
        </w:r>
        <w:r>
          <w:rPr>
            <w:noProof/>
            <w:webHidden/>
          </w:rPr>
          <w:fldChar w:fldCharType="begin"/>
        </w:r>
        <w:r>
          <w:rPr>
            <w:noProof/>
            <w:webHidden/>
          </w:rPr>
          <w:instrText xml:space="preserve"> PAGEREF _Toc185347234 \h </w:instrText>
        </w:r>
        <w:r>
          <w:rPr>
            <w:noProof/>
            <w:webHidden/>
          </w:rPr>
        </w:r>
        <w:r>
          <w:rPr>
            <w:noProof/>
            <w:webHidden/>
          </w:rPr>
          <w:fldChar w:fldCharType="separate"/>
        </w:r>
        <w:r w:rsidR="005843E4">
          <w:rPr>
            <w:noProof/>
            <w:webHidden/>
          </w:rPr>
          <w:t>28</w:t>
        </w:r>
        <w:r>
          <w:rPr>
            <w:noProof/>
            <w:webHidden/>
          </w:rPr>
          <w:fldChar w:fldCharType="end"/>
        </w:r>
      </w:hyperlink>
    </w:p>
    <w:p w14:paraId="31183702" w14:textId="7D253A7C"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35" w:history="1">
        <w:r w:rsidRPr="00051B55">
          <w:rPr>
            <w:rStyle w:val="Hyperlink"/>
            <w:noProof/>
          </w:rPr>
          <w:t>Figure 2.1.1:</w:t>
        </w:r>
        <w:r>
          <w:rPr>
            <w:rFonts w:asciiTheme="minorHAnsi" w:hAnsiTheme="minorHAnsi"/>
            <w:noProof/>
            <w:kern w:val="2"/>
            <w:sz w:val="24"/>
            <w:szCs w:val="24"/>
            <w14:ligatures w14:val="standardContextual"/>
          </w:rPr>
          <w:tab/>
        </w:r>
        <w:r w:rsidRPr="00051B55">
          <w:rPr>
            <w:rStyle w:val="Hyperlink"/>
            <w:noProof/>
          </w:rPr>
          <w:t>International tourism expenditure compared with value of selected primary exports (NZ$ million), year ended March 2019–2023</w:t>
        </w:r>
        <w:r>
          <w:rPr>
            <w:noProof/>
            <w:webHidden/>
          </w:rPr>
          <w:tab/>
        </w:r>
        <w:r>
          <w:rPr>
            <w:noProof/>
            <w:webHidden/>
          </w:rPr>
          <w:fldChar w:fldCharType="begin"/>
        </w:r>
        <w:r>
          <w:rPr>
            <w:noProof/>
            <w:webHidden/>
          </w:rPr>
          <w:instrText xml:space="preserve"> PAGEREF _Toc185347235 \h </w:instrText>
        </w:r>
        <w:r>
          <w:rPr>
            <w:noProof/>
            <w:webHidden/>
          </w:rPr>
        </w:r>
        <w:r>
          <w:rPr>
            <w:noProof/>
            <w:webHidden/>
          </w:rPr>
          <w:fldChar w:fldCharType="separate"/>
        </w:r>
        <w:r w:rsidR="005843E4">
          <w:rPr>
            <w:noProof/>
            <w:webHidden/>
          </w:rPr>
          <w:t>36</w:t>
        </w:r>
        <w:r>
          <w:rPr>
            <w:noProof/>
            <w:webHidden/>
          </w:rPr>
          <w:fldChar w:fldCharType="end"/>
        </w:r>
      </w:hyperlink>
    </w:p>
    <w:p w14:paraId="090319DA" w14:textId="28B75FA3"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36" w:history="1">
        <w:r w:rsidRPr="00051B55">
          <w:rPr>
            <w:rStyle w:val="Hyperlink"/>
            <w:noProof/>
          </w:rPr>
          <w:t>Figure 2.1.2:</w:t>
        </w:r>
        <w:r>
          <w:rPr>
            <w:rFonts w:asciiTheme="minorHAnsi" w:hAnsiTheme="minorHAnsi"/>
            <w:noProof/>
            <w:kern w:val="2"/>
            <w:sz w:val="24"/>
            <w:szCs w:val="24"/>
            <w14:ligatures w14:val="standardContextual"/>
          </w:rPr>
          <w:tab/>
        </w:r>
        <w:r w:rsidRPr="00051B55">
          <w:rPr>
            <w:rStyle w:val="Hyperlink"/>
            <w:noProof/>
          </w:rPr>
          <w:t>New Zealand’s electricity generation by main source (gigawatt hours), 1990–2023</w:t>
        </w:r>
        <w:r>
          <w:rPr>
            <w:noProof/>
            <w:webHidden/>
          </w:rPr>
          <w:tab/>
        </w:r>
        <w:r>
          <w:rPr>
            <w:noProof/>
            <w:webHidden/>
          </w:rPr>
          <w:fldChar w:fldCharType="begin"/>
        </w:r>
        <w:r>
          <w:rPr>
            <w:noProof/>
            <w:webHidden/>
          </w:rPr>
          <w:instrText xml:space="preserve"> PAGEREF _Toc185347236 \h </w:instrText>
        </w:r>
        <w:r>
          <w:rPr>
            <w:noProof/>
            <w:webHidden/>
          </w:rPr>
        </w:r>
        <w:r>
          <w:rPr>
            <w:noProof/>
            <w:webHidden/>
          </w:rPr>
          <w:fldChar w:fldCharType="separate"/>
        </w:r>
        <w:r w:rsidR="005843E4">
          <w:rPr>
            <w:noProof/>
            <w:webHidden/>
          </w:rPr>
          <w:t>39</w:t>
        </w:r>
        <w:r>
          <w:rPr>
            <w:noProof/>
            <w:webHidden/>
          </w:rPr>
          <w:fldChar w:fldCharType="end"/>
        </w:r>
      </w:hyperlink>
    </w:p>
    <w:p w14:paraId="570376AB" w14:textId="3951B77E"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37" w:history="1">
        <w:r w:rsidRPr="00051B55">
          <w:rPr>
            <w:rStyle w:val="Hyperlink"/>
            <w:noProof/>
          </w:rPr>
          <w:t>Figure 2.1.3:</w:t>
        </w:r>
        <w:r>
          <w:rPr>
            <w:rFonts w:asciiTheme="minorHAnsi" w:hAnsiTheme="minorHAnsi"/>
            <w:noProof/>
            <w:kern w:val="2"/>
            <w:sz w:val="24"/>
            <w:szCs w:val="24"/>
            <w14:ligatures w14:val="standardContextual"/>
          </w:rPr>
          <w:tab/>
        </w:r>
        <w:r w:rsidRPr="00051B55">
          <w:rPr>
            <w:rStyle w:val="Hyperlink"/>
            <w:noProof/>
          </w:rPr>
          <w:t>Domestic transport emissions by mode (kt CO</w:t>
        </w:r>
        <w:r w:rsidRPr="00051B55">
          <w:rPr>
            <w:rStyle w:val="Hyperlink"/>
            <w:noProof/>
            <w:vertAlign w:val="subscript"/>
          </w:rPr>
          <w:t>2</w:t>
        </w:r>
        <w:r w:rsidRPr="00051B55">
          <w:rPr>
            <w:rStyle w:val="Hyperlink"/>
            <w:noProof/>
          </w:rPr>
          <w:t>e), 1990–2022</w:t>
        </w:r>
        <w:r>
          <w:rPr>
            <w:noProof/>
            <w:webHidden/>
          </w:rPr>
          <w:tab/>
        </w:r>
        <w:r>
          <w:rPr>
            <w:noProof/>
            <w:webHidden/>
          </w:rPr>
          <w:fldChar w:fldCharType="begin"/>
        </w:r>
        <w:r>
          <w:rPr>
            <w:noProof/>
            <w:webHidden/>
          </w:rPr>
          <w:instrText xml:space="preserve"> PAGEREF _Toc185347237 \h </w:instrText>
        </w:r>
        <w:r>
          <w:rPr>
            <w:noProof/>
            <w:webHidden/>
          </w:rPr>
        </w:r>
        <w:r>
          <w:rPr>
            <w:noProof/>
            <w:webHidden/>
          </w:rPr>
          <w:fldChar w:fldCharType="separate"/>
        </w:r>
        <w:r w:rsidR="005843E4">
          <w:rPr>
            <w:noProof/>
            <w:webHidden/>
          </w:rPr>
          <w:t>42</w:t>
        </w:r>
        <w:r>
          <w:rPr>
            <w:noProof/>
            <w:webHidden/>
          </w:rPr>
          <w:fldChar w:fldCharType="end"/>
        </w:r>
      </w:hyperlink>
    </w:p>
    <w:p w14:paraId="3AEC59FC" w14:textId="09241D0C"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38" w:history="1">
        <w:r w:rsidRPr="00051B55">
          <w:rPr>
            <w:rStyle w:val="Hyperlink"/>
            <w:noProof/>
          </w:rPr>
          <w:t>Figure 2.1.4:</w:t>
        </w:r>
        <w:r>
          <w:rPr>
            <w:rFonts w:asciiTheme="minorHAnsi" w:hAnsiTheme="minorHAnsi"/>
            <w:noProof/>
            <w:kern w:val="2"/>
            <w:sz w:val="24"/>
            <w:szCs w:val="24"/>
            <w14:ligatures w14:val="standardContextual"/>
          </w:rPr>
          <w:tab/>
        </w:r>
        <w:r w:rsidRPr="00051B55">
          <w:rPr>
            <w:rStyle w:val="Hyperlink"/>
            <w:noProof/>
          </w:rPr>
          <w:t>Changes in New Zealand’s sheep population (million head), year ended 30 June 1990–2022</w:t>
        </w:r>
        <w:r>
          <w:rPr>
            <w:noProof/>
            <w:webHidden/>
          </w:rPr>
          <w:tab/>
        </w:r>
        <w:r>
          <w:rPr>
            <w:noProof/>
            <w:webHidden/>
          </w:rPr>
          <w:fldChar w:fldCharType="begin"/>
        </w:r>
        <w:r>
          <w:rPr>
            <w:noProof/>
            <w:webHidden/>
          </w:rPr>
          <w:instrText xml:space="preserve"> PAGEREF _Toc185347238 \h </w:instrText>
        </w:r>
        <w:r>
          <w:rPr>
            <w:noProof/>
            <w:webHidden/>
          </w:rPr>
        </w:r>
        <w:r>
          <w:rPr>
            <w:noProof/>
            <w:webHidden/>
          </w:rPr>
          <w:fldChar w:fldCharType="separate"/>
        </w:r>
        <w:r w:rsidR="005843E4">
          <w:rPr>
            <w:noProof/>
            <w:webHidden/>
          </w:rPr>
          <w:t>46</w:t>
        </w:r>
        <w:r>
          <w:rPr>
            <w:noProof/>
            <w:webHidden/>
          </w:rPr>
          <w:fldChar w:fldCharType="end"/>
        </w:r>
      </w:hyperlink>
    </w:p>
    <w:p w14:paraId="1844E68D" w14:textId="11819ABC"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39" w:history="1">
        <w:r w:rsidRPr="00051B55">
          <w:rPr>
            <w:rStyle w:val="Hyperlink"/>
            <w:noProof/>
          </w:rPr>
          <w:t xml:space="preserve">Figure 2.1.5: </w:t>
        </w:r>
        <w:r>
          <w:rPr>
            <w:rFonts w:asciiTheme="minorHAnsi" w:hAnsiTheme="minorHAnsi"/>
            <w:noProof/>
            <w:kern w:val="2"/>
            <w:sz w:val="24"/>
            <w:szCs w:val="24"/>
            <w14:ligatures w14:val="standardContextual"/>
          </w:rPr>
          <w:tab/>
        </w:r>
        <w:r w:rsidRPr="00051B55">
          <w:rPr>
            <w:rStyle w:val="Hyperlink"/>
            <w:noProof/>
          </w:rPr>
          <w:t>Changes in New Zealand’s dairy, beef and deer population (million head), year ended 30 June 1990–2022</w:t>
        </w:r>
        <w:r>
          <w:rPr>
            <w:noProof/>
            <w:webHidden/>
          </w:rPr>
          <w:tab/>
        </w:r>
        <w:r>
          <w:rPr>
            <w:noProof/>
            <w:webHidden/>
          </w:rPr>
          <w:fldChar w:fldCharType="begin"/>
        </w:r>
        <w:r>
          <w:rPr>
            <w:noProof/>
            <w:webHidden/>
          </w:rPr>
          <w:instrText xml:space="preserve"> PAGEREF _Toc185347239 \h </w:instrText>
        </w:r>
        <w:r>
          <w:rPr>
            <w:noProof/>
            <w:webHidden/>
          </w:rPr>
        </w:r>
        <w:r>
          <w:rPr>
            <w:noProof/>
            <w:webHidden/>
          </w:rPr>
          <w:fldChar w:fldCharType="separate"/>
        </w:r>
        <w:r w:rsidR="005843E4">
          <w:rPr>
            <w:noProof/>
            <w:webHidden/>
          </w:rPr>
          <w:t>47</w:t>
        </w:r>
        <w:r>
          <w:rPr>
            <w:noProof/>
            <w:webHidden/>
          </w:rPr>
          <w:fldChar w:fldCharType="end"/>
        </w:r>
      </w:hyperlink>
    </w:p>
    <w:p w14:paraId="264D6612" w14:textId="5E5201EF"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40" w:history="1">
        <w:r w:rsidRPr="00051B55">
          <w:rPr>
            <w:rStyle w:val="Hyperlink"/>
            <w:noProof/>
          </w:rPr>
          <w:t>Figure 2.1.6:</w:t>
        </w:r>
        <w:r>
          <w:rPr>
            <w:rFonts w:asciiTheme="minorHAnsi" w:hAnsiTheme="minorHAnsi"/>
            <w:noProof/>
            <w:kern w:val="2"/>
            <w:sz w:val="24"/>
            <w:szCs w:val="24"/>
            <w14:ligatures w14:val="standardContextual"/>
          </w:rPr>
          <w:tab/>
        </w:r>
        <w:r w:rsidRPr="00051B55">
          <w:rPr>
            <w:rStyle w:val="Hyperlink"/>
            <w:noProof/>
          </w:rPr>
          <w:t>New Zealand’s historical new production forest planting (thousand hectares),  1920–2022</w:t>
        </w:r>
        <w:r>
          <w:rPr>
            <w:noProof/>
            <w:webHidden/>
          </w:rPr>
          <w:tab/>
        </w:r>
        <w:r>
          <w:rPr>
            <w:noProof/>
            <w:webHidden/>
          </w:rPr>
          <w:fldChar w:fldCharType="begin"/>
        </w:r>
        <w:r>
          <w:rPr>
            <w:noProof/>
            <w:webHidden/>
          </w:rPr>
          <w:instrText xml:space="preserve"> PAGEREF _Toc185347240 \h </w:instrText>
        </w:r>
        <w:r>
          <w:rPr>
            <w:noProof/>
            <w:webHidden/>
          </w:rPr>
        </w:r>
        <w:r>
          <w:rPr>
            <w:noProof/>
            <w:webHidden/>
          </w:rPr>
          <w:fldChar w:fldCharType="separate"/>
        </w:r>
        <w:r w:rsidR="005843E4">
          <w:rPr>
            <w:noProof/>
            <w:webHidden/>
          </w:rPr>
          <w:t>50</w:t>
        </w:r>
        <w:r>
          <w:rPr>
            <w:noProof/>
            <w:webHidden/>
          </w:rPr>
          <w:fldChar w:fldCharType="end"/>
        </w:r>
      </w:hyperlink>
    </w:p>
    <w:p w14:paraId="025198E2" w14:textId="11BC020E"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41" w:history="1">
        <w:r w:rsidRPr="00051B55">
          <w:rPr>
            <w:rStyle w:val="Hyperlink"/>
            <w:noProof/>
          </w:rPr>
          <w:t>Figure 2.1.7:</w:t>
        </w:r>
        <w:r>
          <w:rPr>
            <w:rFonts w:asciiTheme="minorHAnsi" w:hAnsiTheme="minorHAnsi"/>
            <w:noProof/>
            <w:kern w:val="2"/>
            <w:sz w:val="24"/>
            <w:szCs w:val="24"/>
            <w14:ligatures w14:val="standardContextual"/>
          </w:rPr>
          <w:tab/>
        </w:r>
        <w:r w:rsidRPr="00051B55">
          <w:rPr>
            <w:rStyle w:val="Hyperlink"/>
            <w:noProof/>
          </w:rPr>
          <w:t>Total tonnage of waste to Class 1 landfills, 2010–2023</w:t>
        </w:r>
        <w:r>
          <w:rPr>
            <w:noProof/>
            <w:webHidden/>
          </w:rPr>
          <w:tab/>
        </w:r>
        <w:r>
          <w:rPr>
            <w:noProof/>
            <w:webHidden/>
          </w:rPr>
          <w:fldChar w:fldCharType="begin"/>
        </w:r>
        <w:r>
          <w:rPr>
            <w:noProof/>
            <w:webHidden/>
          </w:rPr>
          <w:instrText xml:space="preserve"> PAGEREF _Toc185347241 \h </w:instrText>
        </w:r>
        <w:r>
          <w:rPr>
            <w:noProof/>
            <w:webHidden/>
          </w:rPr>
        </w:r>
        <w:r>
          <w:rPr>
            <w:noProof/>
            <w:webHidden/>
          </w:rPr>
          <w:fldChar w:fldCharType="separate"/>
        </w:r>
        <w:r w:rsidR="005843E4">
          <w:rPr>
            <w:noProof/>
            <w:webHidden/>
          </w:rPr>
          <w:t>51</w:t>
        </w:r>
        <w:r>
          <w:rPr>
            <w:noProof/>
            <w:webHidden/>
          </w:rPr>
          <w:fldChar w:fldCharType="end"/>
        </w:r>
      </w:hyperlink>
    </w:p>
    <w:p w14:paraId="0F62CF80" w14:textId="5CA8140A"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42" w:history="1">
        <w:r w:rsidRPr="00051B55">
          <w:rPr>
            <w:rStyle w:val="Hyperlink"/>
            <w:noProof/>
          </w:rPr>
          <w:t>Figure 2.1.8:</w:t>
        </w:r>
        <w:r>
          <w:rPr>
            <w:rFonts w:asciiTheme="minorHAnsi" w:hAnsiTheme="minorHAnsi"/>
            <w:noProof/>
            <w:kern w:val="2"/>
            <w:sz w:val="24"/>
            <w:szCs w:val="24"/>
            <w14:ligatures w14:val="standardContextual"/>
          </w:rPr>
          <w:tab/>
        </w:r>
        <w:r w:rsidRPr="00051B55">
          <w:rPr>
            <w:rStyle w:val="Hyperlink"/>
            <w:noProof/>
          </w:rPr>
          <w:t>Estimated composition of New Zealand’s municipal waste, 2018–2022</w:t>
        </w:r>
        <w:r>
          <w:rPr>
            <w:noProof/>
            <w:webHidden/>
          </w:rPr>
          <w:tab/>
        </w:r>
        <w:r>
          <w:rPr>
            <w:noProof/>
            <w:webHidden/>
          </w:rPr>
          <w:fldChar w:fldCharType="begin"/>
        </w:r>
        <w:r>
          <w:rPr>
            <w:noProof/>
            <w:webHidden/>
          </w:rPr>
          <w:instrText xml:space="preserve"> PAGEREF _Toc185347242 \h </w:instrText>
        </w:r>
        <w:r>
          <w:rPr>
            <w:noProof/>
            <w:webHidden/>
          </w:rPr>
        </w:r>
        <w:r>
          <w:rPr>
            <w:noProof/>
            <w:webHidden/>
          </w:rPr>
          <w:fldChar w:fldCharType="separate"/>
        </w:r>
        <w:r w:rsidR="005843E4">
          <w:rPr>
            <w:noProof/>
            <w:webHidden/>
          </w:rPr>
          <w:t>52</w:t>
        </w:r>
        <w:r>
          <w:rPr>
            <w:noProof/>
            <w:webHidden/>
          </w:rPr>
          <w:fldChar w:fldCharType="end"/>
        </w:r>
      </w:hyperlink>
    </w:p>
    <w:p w14:paraId="5CBF1A39" w14:textId="55E79E5E"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43" w:history="1">
        <w:r w:rsidRPr="00051B55">
          <w:rPr>
            <w:rStyle w:val="Hyperlink"/>
            <w:noProof/>
          </w:rPr>
          <w:t xml:space="preserve">Figure 2.1.9: </w:t>
        </w:r>
        <w:r>
          <w:rPr>
            <w:rFonts w:asciiTheme="minorHAnsi" w:hAnsiTheme="minorHAnsi"/>
            <w:noProof/>
            <w:kern w:val="2"/>
            <w:sz w:val="24"/>
            <w:szCs w:val="24"/>
            <w14:ligatures w14:val="standardContextual"/>
          </w:rPr>
          <w:tab/>
        </w:r>
        <w:r w:rsidRPr="00051B55">
          <w:rPr>
            <w:rStyle w:val="Hyperlink"/>
            <w:noProof/>
          </w:rPr>
          <w:t>New Zealand’s Zero Carbon Framework</w:t>
        </w:r>
        <w:r>
          <w:rPr>
            <w:noProof/>
            <w:webHidden/>
          </w:rPr>
          <w:tab/>
        </w:r>
        <w:r>
          <w:rPr>
            <w:noProof/>
            <w:webHidden/>
          </w:rPr>
          <w:fldChar w:fldCharType="begin"/>
        </w:r>
        <w:r>
          <w:rPr>
            <w:noProof/>
            <w:webHidden/>
          </w:rPr>
          <w:instrText xml:space="preserve"> PAGEREF _Toc185347243 \h </w:instrText>
        </w:r>
        <w:r>
          <w:rPr>
            <w:noProof/>
            <w:webHidden/>
          </w:rPr>
        </w:r>
        <w:r>
          <w:rPr>
            <w:noProof/>
            <w:webHidden/>
          </w:rPr>
          <w:fldChar w:fldCharType="separate"/>
        </w:r>
        <w:r w:rsidR="005843E4">
          <w:rPr>
            <w:noProof/>
            <w:webHidden/>
          </w:rPr>
          <w:t>58</w:t>
        </w:r>
        <w:r>
          <w:rPr>
            <w:noProof/>
            <w:webHidden/>
          </w:rPr>
          <w:fldChar w:fldCharType="end"/>
        </w:r>
      </w:hyperlink>
    </w:p>
    <w:p w14:paraId="2A5DDA72" w14:textId="471C2669"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44" w:history="1">
        <w:r w:rsidRPr="00051B55">
          <w:rPr>
            <w:rStyle w:val="Hyperlink"/>
            <w:noProof/>
          </w:rPr>
          <w:t xml:space="preserve">Figure 2.4.1: </w:t>
        </w:r>
        <w:r>
          <w:rPr>
            <w:rFonts w:asciiTheme="minorHAnsi" w:hAnsiTheme="minorHAnsi"/>
            <w:noProof/>
            <w:kern w:val="2"/>
            <w:sz w:val="24"/>
            <w:szCs w:val="24"/>
            <w14:ligatures w14:val="standardContextual"/>
          </w:rPr>
          <w:tab/>
        </w:r>
        <w:r w:rsidRPr="00051B55">
          <w:rPr>
            <w:rStyle w:val="Hyperlink"/>
            <w:noProof/>
          </w:rPr>
          <w:t>Five pillars of the Government’s climate change strategy</w:t>
        </w:r>
        <w:r>
          <w:rPr>
            <w:noProof/>
            <w:webHidden/>
          </w:rPr>
          <w:tab/>
        </w:r>
        <w:r>
          <w:rPr>
            <w:noProof/>
            <w:webHidden/>
          </w:rPr>
          <w:fldChar w:fldCharType="begin"/>
        </w:r>
        <w:r>
          <w:rPr>
            <w:noProof/>
            <w:webHidden/>
          </w:rPr>
          <w:instrText xml:space="preserve"> PAGEREF _Toc185347244 \h </w:instrText>
        </w:r>
        <w:r>
          <w:rPr>
            <w:noProof/>
            <w:webHidden/>
          </w:rPr>
        </w:r>
        <w:r>
          <w:rPr>
            <w:noProof/>
            <w:webHidden/>
          </w:rPr>
          <w:fldChar w:fldCharType="separate"/>
        </w:r>
        <w:r w:rsidR="005843E4">
          <w:rPr>
            <w:noProof/>
            <w:webHidden/>
          </w:rPr>
          <w:t>88</w:t>
        </w:r>
        <w:r>
          <w:rPr>
            <w:noProof/>
            <w:webHidden/>
          </w:rPr>
          <w:fldChar w:fldCharType="end"/>
        </w:r>
      </w:hyperlink>
    </w:p>
    <w:p w14:paraId="6D9203CE" w14:textId="2ABAC222"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45" w:history="1">
        <w:r w:rsidRPr="00051B55">
          <w:rPr>
            <w:rStyle w:val="Hyperlink"/>
            <w:noProof/>
          </w:rPr>
          <w:t xml:space="preserve">Figure 2.5.1: </w:t>
        </w:r>
        <w:r>
          <w:rPr>
            <w:rFonts w:asciiTheme="minorHAnsi" w:hAnsiTheme="minorHAnsi"/>
            <w:noProof/>
            <w:kern w:val="2"/>
            <w:sz w:val="24"/>
            <w:szCs w:val="24"/>
            <w14:ligatures w14:val="standardContextual"/>
          </w:rPr>
          <w:tab/>
        </w:r>
        <w:r w:rsidRPr="00051B55">
          <w:rPr>
            <w:rStyle w:val="Hyperlink"/>
            <w:noProof/>
          </w:rPr>
          <w:t>New Zealand greenhouse gas emissions and removals under the ‘with existing measures’ scenario, 1990–2050</w:t>
        </w:r>
        <w:r>
          <w:rPr>
            <w:noProof/>
            <w:webHidden/>
          </w:rPr>
          <w:tab/>
        </w:r>
        <w:r>
          <w:rPr>
            <w:noProof/>
            <w:webHidden/>
          </w:rPr>
          <w:fldChar w:fldCharType="begin"/>
        </w:r>
        <w:r>
          <w:rPr>
            <w:noProof/>
            <w:webHidden/>
          </w:rPr>
          <w:instrText xml:space="preserve"> PAGEREF _Toc185347245 \h </w:instrText>
        </w:r>
        <w:r>
          <w:rPr>
            <w:noProof/>
            <w:webHidden/>
          </w:rPr>
        </w:r>
        <w:r>
          <w:rPr>
            <w:noProof/>
            <w:webHidden/>
          </w:rPr>
          <w:fldChar w:fldCharType="separate"/>
        </w:r>
        <w:r w:rsidR="005843E4">
          <w:rPr>
            <w:noProof/>
            <w:webHidden/>
          </w:rPr>
          <w:t>145</w:t>
        </w:r>
        <w:r>
          <w:rPr>
            <w:noProof/>
            <w:webHidden/>
          </w:rPr>
          <w:fldChar w:fldCharType="end"/>
        </w:r>
      </w:hyperlink>
    </w:p>
    <w:p w14:paraId="15A8DF1D" w14:textId="44227F56"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46" w:history="1">
        <w:r w:rsidRPr="00051B55">
          <w:rPr>
            <w:rStyle w:val="Hyperlink"/>
            <w:noProof/>
          </w:rPr>
          <w:t xml:space="preserve">Figure 2.5.2: </w:t>
        </w:r>
        <w:r>
          <w:rPr>
            <w:rFonts w:asciiTheme="minorHAnsi" w:hAnsiTheme="minorHAnsi"/>
            <w:noProof/>
            <w:kern w:val="2"/>
            <w:sz w:val="24"/>
            <w:szCs w:val="24"/>
            <w14:ligatures w14:val="standardContextual"/>
          </w:rPr>
          <w:tab/>
        </w:r>
        <w:r w:rsidRPr="00051B55">
          <w:rPr>
            <w:rStyle w:val="Hyperlink"/>
            <w:noProof/>
          </w:rPr>
          <w:t>Greenhouse gas emissions by sector under the ‘with existing measures’ scenario for gross emissions (total without LULUCF), 1990–2050</w:t>
        </w:r>
        <w:r>
          <w:rPr>
            <w:noProof/>
            <w:webHidden/>
          </w:rPr>
          <w:tab/>
        </w:r>
        <w:r>
          <w:rPr>
            <w:noProof/>
            <w:webHidden/>
          </w:rPr>
          <w:fldChar w:fldCharType="begin"/>
        </w:r>
        <w:r>
          <w:rPr>
            <w:noProof/>
            <w:webHidden/>
          </w:rPr>
          <w:instrText xml:space="preserve"> PAGEREF _Toc185347246 \h </w:instrText>
        </w:r>
        <w:r>
          <w:rPr>
            <w:noProof/>
            <w:webHidden/>
          </w:rPr>
        </w:r>
        <w:r>
          <w:rPr>
            <w:noProof/>
            <w:webHidden/>
          </w:rPr>
          <w:fldChar w:fldCharType="separate"/>
        </w:r>
        <w:r w:rsidR="005843E4">
          <w:rPr>
            <w:noProof/>
            <w:webHidden/>
          </w:rPr>
          <w:t>147</w:t>
        </w:r>
        <w:r>
          <w:rPr>
            <w:noProof/>
            <w:webHidden/>
          </w:rPr>
          <w:fldChar w:fldCharType="end"/>
        </w:r>
      </w:hyperlink>
    </w:p>
    <w:p w14:paraId="0A8416F5" w14:textId="0007F802"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47" w:history="1">
        <w:r w:rsidRPr="00051B55">
          <w:rPr>
            <w:rStyle w:val="Hyperlink"/>
            <w:noProof/>
          </w:rPr>
          <w:t>Figure 2.5.3:</w:t>
        </w:r>
        <w:r>
          <w:rPr>
            <w:rFonts w:asciiTheme="minorHAnsi" w:hAnsiTheme="minorHAnsi"/>
            <w:noProof/>
            <w:kern w:val="2"/>
            <w:sz w:val="24"/>
            <w:szCs w:val="24"/>
            <w14:ligatures w14:val="standardContextual"/>
          </w:rPr>
          <w:tab/>
        </w:r>
        <w:r w:rsidRPr="00051B55">
          <w:rPr>
            <w:rStyle w:val="Hyperlink"/>
            <w:noProof/>
          </w:rPr>
          <w:t>Proportion of greenhouse gas emissions by sector under the ‘with existing measures’ scenario for gross emissions (total without LULUCF), 1990–2050</w:t>
        </w:r>
        <w:r>
          <w:rPr>
            <w:noProof/>
            <w:webHidden/>
          </w:rPr>
          <w:tab/>
        </w:r>
        <w:r>
          <w:rPr>
            <w:noProof/>
            <w:webHidden/>
          </w:rPr>
          <w:fldChar w:fldCharType="begin"/>
        </w:r>
        <w:r>
          <w:rPr>
            <w:noProof/>
            <w:webHidden/>
          </w:rPr>
          <w:instrText xml:space="preserve"> PAGEREF _Toc185347247 \h </w:instrText>
        </w:r>
        <w:r>
          <w:rPr>
            <w:noProof/>
            <w:webHidden/>
          </w:rPr>
        </w:r>
        <w:r>
          <w:rPr>
            <w:noProof/>
            <w:webHidden/>
          </w:rPr>
          <w:fldChar w:fldCharType="separate"/>
        </w:r>
        <w:r w:rsidR="005843E4">
          <w:rPr>
            <w:noProof/>
            <w:webHidden/>
          </w:rPr>
          <w:t>147</w:t>
        </w:r>
        <w:r>
          <w:rPr>
            <w:noProof/>
            <w:webHidden/>
          </w:rPr>
          <w:fldChar w:fldCharType="end"/>
        </w:r>
      </w:hyperlink>
    </w:p>
    <w:p w14:paraId="08716A0F" w14:textId="4D1BD515"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48" w:history="1">
        <w:r w:rsidRPr="00051B55">
          <w:rPr>
            <w:rStyle w:val="Hyperlink"/>
            <w:noProof/>
          </w:rPr>
          <w:t xml:space="preserve">Figure 2.5.4: </w:t>
        </w:r>
        <w:r>
          <w:rPr>
            <w:rFonts w:asciiTheme="minorHAnsi" w:hAnsiTheme="minorHAnsi"/>
            <w:noProof/>
            <w:kern w:val="2"/>
            <w:sz w:val="24"/>
            <w:szCs w:val="24"/>
            <w14:ligatures w14:val="standardContextual"/>
          </w:rPr>
          <w:tab/>
        </w:r>
        <w:r w:rsidRPr="00051B55">
          <w:rPr>
            <w:rStyle w:val="Hyperlink"/>
            <w:noProof/>
          </w:rPr>
          <w:t>Greenhouse gas emissions by gas under the ‘with existing measures’ scenario for gross emissions (total without LULUCF), 1990–2050</w:t>
        </w:r>
        <w:r>
          <w:rPr>
            <w:noProof/>
            <w:webHidden/>
          </w:rPr>
          <w:tab/>
        </w:r>
        <w:r>
          <w:rPr>
            <w:noProof/>
            <w:webHidden/>
          </w:rPr>
          <w:fldChar w:fldCharType="begin"/>
        </w:r>
        <w:r>
          <w:rPr>
            <w:noProof/>
            <w:webHidden/>
          </w:rPr>
          <w:instrText xml:space="preserve"> PAGEREF _Toc185347248 \h </w:instrText>
        </w:r>
        <w:r>
          <w:rPr>
            <w:noProof/>
            <w:webHidden/>
          </w:rPr>
        </w:r>
        <w:r>
          <w:rPr>
            <w:noProof/>
            <w:webHidden/>
          </w:rPr>
          <w:fldChar w:fldCharType="separate"/>
        </w:r>
        <w:r w:rsidR="005843E4">
          <w:rPr>
            <w:noProof/>
            <w:webHidden/>
          </w:rPr>
          <w:t>148</w:t>
        </w:r>
        <w:r>
          <w:rPr>
            <w:noProof/>
            <w:webHidden/>
          </w:rPr>
          <w:fldChar w:fldCharType="end"/>
        </w:r>
      </w:hyperlink>
    </w:p>
    <w:p w14:paraId="01FE65A5" w14:textId="50963C44"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49" w:history="1">
        <w:r w:rsidRPr="00051B55">
          <w:rPr>
            <w:rStyle w:val="Hyperlink"/>
            <w:noProof/>
          </w:rPr>
          <w:t xml:space="preserve">Figure 2.5.5: </w:t>
        </w:r>
        <w:r>
          <w:rPr>
            <w:rFonts w:asciiTheme="minorHAnsi" w:hAnsiTheme="minorHAnsi"/>
            <w:noProof/>
            <w:kern w:val="2"/>
            <w:sz w:val="24"/>
            <w:szCs w:val="24"/>
            <w14:ligatures w14:val="standardContextual"/>
          </w:rPr>
          <w:tab/>
        </w:r>
        <w:r w:rsidRPr="00051B55">
          <w:rPr>
            <w:rStyle w:val="Hyperlink"/>
            <w:noProof/>
          </w:rPr>
          <w:t>Proportion of greenhouse gas emissions by gas under the ‘with existing measures’ scenario for gross emissions (total without LULUCF), 1990–2050</w:t>
        </w:r>
        <w:r>
          <w:rPr>
            <w:noProof/>
            <w:webHidden/>
          </w:rPr>
          <w:tab/>
        </w:r>
        <w:r>
          <w:rPr>
            <w:noProof/>
            <w:webHidden/>
          </w:rPr>
          <w:fldChar w:fldCharType="begin"/>
        </w:r>
        <w:r>
          <w:rPr>
            <w:noProof/>
            <w:webHidden/>
          </w:rPr>
          <w:instrText xml:space="preserve"> PAGEREF _Toc185347249 \h </w:instrText>
        </w:r>
        <w:r>
          <w:rPr>
            <w:noProof/>
            <w:webHidden/>
          </w:rPr>
        </w:r>
        <w:r>
          <w:rPr>
            <w:noProof/>
            <w:webHidden/>
          </w:rPr>
          <w:fldChar w:fldCharType="separate"/>
        </w:r>
        <w:r w:rsidR="005843E4">
          <w:rPr>
            <w:noProof/>
            <w:webHidden/>
          </w:rPr>
          <w:t>148</w:t>
        </w:r>
        <w:r>
          <w:rPr>
            <w:noProof/>
            <w:webHidden/>
          </w:rPr>
          <w:fldChar w:fldCharType="end"/>
        </w:r>
      </w:hyperlink>
    </w:p>
    <w:p w14:paraId="178E1428" w14:textId="54D2866C"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50" w:history="1">
        <w:r w:rsidRPr="00051B55">
          <w:rPr>
            <w:rStyle w:val="Hyperlink"/>
            <w:noProof/>
          </w:rPr>
          <w:t xml:space="preserve">Figure 2.5.6: </w:t>
        </w:r>
        <w:r>
          <w:rPr>
            <w:rFonts w:asciiTheme="minorHAnsi" w:hAnsiTheme="minorHAnsi"/>
            <w:noProof/>
            <w:kern w:val="2"/>
            <w:sz w:val="24"/>
            <w:szCs w:val="24"/>
            <w14:ligatures w14:val="standardContextual"/>
          </w:rPr>
          <w:tab/>
        </w:r>
        <w:r w:rsidRPr="00051B55">
          <w:rPr>
            <w:rStyle w:val="Hyperlink"/>
            <w:noProof/>
          </w:rPr>
          <w:t>Greenhouse gas emissions under the ‘with existing measures’ scenario in the Energy (excluding Transport) sector, 1990–2050</w:t>
        </w:r>
        <w:r>
          <w:rPr>
            <w:noProof/>
            <w:webHidden/>
          </w:rPr>
          <w:tab/>
        </w:r>
        <w:r>
          <w:rPr>
            <w:noProof/>
            <w:webHidden/>
          </w:rPr>
          <w:fldChar w:fldCharType="begin"/>
        </w:r>
        <w:r>
          <w:rPr>
            <w:noProof/>
            <w:webHidden/>
          </w:rPr>
          <w:instrText xml:space="preserve"> PAGEREF _Toc185347250 \h </w:instrText>
        </w:r>
        <w:r>
          <w:rPr>
            <w:noProof/>
            <w:webHidden/>
          </w:rPr>
        </w:r>
        <w:r>
          <w:rPr>
            <w:noProof/>
            <w:webHidden/>
          </w:rPr>
          <w:fldChar w:fldCharType="separate"/>
        </w:r>
        <w:r w:rsidR="005843E4">
          <w:rPr>
            <w:noProof/>
            <w:webHidden/>
          </w:rPr>
          <w:t>152</w:t>
        </w:r>
        <w:r>
          <w:rPr>
            <w:noProof/>
            <w:webHidden/>
          </w:rPr>
          <w:fldChar w:fldCharType="end"/>
        </w:r>
      </w:hyperlink>
    </w:p>
    <w:p w14:paraId="40A7F243" w14:textId="45C912F4"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51" w:history="1">
        <w:r w:rsidRPr="00051B55">
          <w:rPr>
            <w:rStyle w:val="Hyperlink"/>
            <w:noProof/>
          </w:rPr>
          <w:t xml:space="preserve">Figure 2.5.7: </w:t>
        </w:r>
        <w:r>
          <w:rPr>
            <w:rFonts w:asciiTheme="minorHAnsi" w:hAnsiTheme="minorHAnsi"/>
            <w:noProof/>
            <w:kern w:val="2"/>
            <w:sz w:val="24"/>
            <w:szCs w:val="24"/>
            <w14:ligatures w14:val="standardContextual"/>
          </w:rPr>
          <w:tab/>
        </w:r>
        <w:r w:rsidRPr="00051B55">
          <w:rPr>
            <w:rStyle w:val="Hyperlink"/>
            <w:noProof/>
          </w:rPr>
          <w:t>Greenhouse gas emissions under the ‘with existing measures’ scenario in the Transport sector, 1990–2050</w:t>
        </w:r>
        <w:r>
          <w:rPr>
            <w:noProof/>
            <w:webHidden/>
          </w:rPr>
          <w:tab/>
        </w:r>
        <w:r>
          <w:rPr>
            <w:noProof/>
            <w:webHidden/>
          </w:rPr>
          <w:fldChar w:fldCharType="begin"/>
        </w:r>
        <w:r>
          <w:rPr>
            <w:noProof/>
            <w:webHidden/>
          </w:rPr>
          <w:instrText xml:space="preserve"> PAGEREF _Toc185347251 \h </w:instrText>
        </w:r>
        <w:r>
          <w:rPr>
            <w:noProof/>
            <w:webHidden/>
          </w:rPr>
        </w:r>
        <w:r>
          <w:rPr>
            <w:noProof/>
            <w:webHidden/>
          </w:rPr>
          <w:fldChar w:fldCharType="separate"/>
        </w:r>
        <w:r w:rsidR="005843E4">
          <w:rPr>
            <w:noProof/>
            <w:webHidden/>
          </w:rPr>
          <w:t>153</w:t>
        </w:r>
        <w:r>
          <w:rPr>
            <w:noProof/>
            <w:webHidden/>
          </w:rPr>
          <w:fldChar w:fldCharType="end"/>
        </w:r>
      </w:hyperlink>
    </w:p>
    <w:p w14:paraId="0605D9DF" w14:textId="7A34C42B"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52" w:history="1">
        <w:r w:rsidRPr="00051B55">
          <w:rPr>
            <w:rStyle w:val="Hyperlink"/>
            <w:noProof/>
          </w:rPr>
          <w:t xml:space="preserve">Figure 2.5.8: </w:t>
        </w:r>
        <w:r>
          <w:rPr>
            <w:rFonts w:asciiTheme="minorHAnsi" w:hAnsiTheme="minorHAnsi"/>
            <w:noProof/>
            <w:kern w:val="2"/>
            <w:sz w:val="24"/>
            <w:szCs w:val="24"/>
            <w14:ligatures w14:val="standardContextual"/>
          </w:rPr>
          <w:tab/>
        </w:r>
        <w:r w:rsidRPr="00051B55">
          <w:rPr>
            <w:rStyle w:val="Hyperlink"/>
            <w:noProof/>
          </w:rPr>
          <w:t>Greenhouse gas emissions under the ‘with existing measures’ scenario in the IPPU sector, 1990–2050</w:t>
        </w:r>
        <w:r>
          <w:rPr>
            <w:noProof/>
            <w:webHidden/>
          </w:rPr>
          <w:tab/>
        </w:r>
        <w:r>
          <w:rPr>
            <w:noProof/>
            <w:webHidden/>
          </w:rPr>
          <w:fldChar w:fldCharType="begin"/>
        </w:r>
        <w:r>
          <w:rPr>
            <w:noProof/>
            <w:webHidden/>
          </w:rPr>
          <w:instrText xml:space="preserve"> PAGEREF _Toc185347252 \h </w:instrText>
        </w:r>
        <w:r>
          <w:rPr>
            <w:noProof/>
            <w:webHidden/>
          </w:rPr>
        </w:r>
        <w:r>
          <w:rPr>
            <w:noProof/>
            <w:webHidden/>
          </w:rPr>
          <w:fldChar w:fldCharType="separate"/>
        </w:r>
        <w:r w:rsidR="005843E4">
          <w:rPr>
            <w:noProof/>
            <w:webHidden/>
          </w:rPr>
          <w:t>155</w:t>
        </w:r>
        <w:r>
          <w:rPr>
            <w:noProof/>
            <w:webHidden/>
          </w:rPr>
          <w:fldChar w:fldCharType="end"/>
        </w:r>
      </w:hyperlink>
    </w:p>
    <w:p w14:paraId="2983F836" w14:textId="74C60832"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53" w:history="1">
        <w:r w:rsidRPr="00051B55">
          <w:rPr>
            <w:rStyle w:val="Hyperlink"/>
            <w:noProof/>
          </w:rPr>
          <w:t xml:space="preserve">Figure 2.5.9: </w:t>
        </w:r>
        <w:r>
          <w:rPr>
            <w:rFonts w:asciiTheme="minorHAnsi" w:hAnsiTheme="minorHAnsi"/>
            <w:noProof/>
            <w:kern w:val="2"/>
            <w:sz w:val="24"/>
            <w:szCs w:val="24"/>
            <w14:ligatures w14:val="standardContextual"/>
          </w:rPr>
          <w:tab/>
        </w:r>
        <w:r w:rsidRPr="00051B55">
          <w:rPr>
            <w:rStyle w:val="Hyperlink"/>
            <w:noProof/>
          </w:rPr>
          <w:t>Greenhouse gas emissions under the ‘</w:t>
        </w:r>
        <w:r w:rsidRPr="00051B55">
          <w:rPr>
            <w:rStyle w:val="Hyperlink"/>
            <w:rFonts w:eastAsia="Times New Roman"/>
            <w:noProof/>
          </w:rPr>
          <w:t>with existing measures’</w:t>
        </w:r>
        <w:r w:rsidRPr="00051B55">
          <w:rPr>
            <w:rStyle w:val="Hyperlink"/>
            <w:noProof/>
          </w:rPr>
          <w:t xml:space="preserve"> scenario in the Agriculture sector, 1990–2050</w:t>
        </w:r>
        <w:r>
          <w:rPr>
            <w:noProof/>
            <w:webHidden/>
          </w:rPr>
          <w:tab/>
        </w:r>
        <w:r>
          <w:rPr>
            <w:noProof/>
            <w:webHidden/>
          </w:rPr>
          <w:fldChar w:fldCharType="begin"/>
        </w:r>
        <w:r>
          <w:rPr>
            <w:noProof/>
            <w:webHidden/>
          </w:rPr>
          <w:instrText xml:space="preserve"> PAGEREF _Toc185347253 \h </w:instrText>
        </w:r>
        <w:r>
          <w:rPr>
            <w:noProof/>
            <w:webHidden/>
          </w:rPr>
        </w:r>
        <w:r>
          <w:rPr>
            <w:noProof/>
            <w:webHidden/>
          </w:rPr>
          <w:fldChar w:fldCharType="separate"/>
        </w:r>
        <w:r w:rsidR="005843E4">
          <w:rPr>
            <w:noProof/>
            <w:webHidden/>
          </w:rPr>
          <w:t>156</w:t>
        </w:r>
        <w:r>
          <w:rPr>
            <w:noProof/>
            <w:webHidden/>
          </w:rPr>
          <w:fldChar w:fldCharType="end"/>
        </w:r>
      </w:hyperlink>
    </w:p>
    <w:p w14:paraId="46D5EBEF" w14:textId="542CBDEE"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54" w:history="1">
        <w:r w:rsidRPr="00051B55">
          <w:rPr>
            <w:rStyle w:val="Hyperlink"/>
            <w:noProof/>
          </w:rPr>
          <w:t xml:space="preserve">Figure 2.5.10: </w:t>
        </w:r>
        <w:r>
          <w:rPr>
            <w:rFonts w:asciiTheme="minorHAnsi" w:hAnsiTheme="minorHAnsi"/>
            <w:noProof/>
            <w:kern w:val="2"/>
            <w:sz w:val="24"/>
            <w:szCs w:val="24"/>
            <w14:ligatures w14:val="standardContextual"/>
          </w:rPr>
          <w:tab/>
        </w:r>
        <w:r w:rsidRPr="00051B55">
          <w:rPr>
            <w:rStyle w:val="Hyperlink"/>
            <w:noProof/>
          </w:rPr>
          <w:t>Greenhouse gas emissions under the ‘with existing measures’ scenario in the Waste sector, 1990–2050</w:t>
        </w:r>
        <w:r>
          <w:rPr>
            <w:noProof/>
            <w:webHidden/>
          </w:rPr>
          <w:tab/>
        </w:r>
        <w:r>
          <w:rPr>
            <w:noProof/>
            <w:webHidden/>
          </w:rPr>
          <w:fldChar w:fldCharType="begin"/>
        </w:r>
        <w:r>
          <w:rPr>
            <w:noProof/>
            <w:webHidden/>
          </w:rPr>
          <w:instrText xml:space="preserve"> PAGEREF _Toc185347254 \h </w:instrText>
        </w:r>
        <w:r>
          <w:rPr>
            <w:noProof/>
            <w:webHidden/>
          </w:rPr>
        </w:r>
        <w:r>
          <w:rPr>
            <w:noProof/>
            <w:webHidden/>
          </w:rPr>
          <w:fldChar w:fldCharType="separate"/>
        </w:r>
        <w:r w:rsidR="005843E4">
          <w:rPr>
            <w:noProof/>
            <w:webHidden/>
          </w:rPr>
          <w:t>158</w:t>
        </w:r>
        <w:r>
          <w:rPr>
            <w:noProof/>
            <w:webHidden/>
          </w:rPr>
          <w:fldChar w:fldCharType="end"/>
        </w:r>
      </w:hyperlink>
    </w:p>
    <w:p w14:paraId="17C91222" w14:textId="541E906F"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55" w:history="1">
        <w:r w:rsidRPr="00051B55">
          <w:rPr>
            <w:rStyle w:val="Hyperlink"/>
            <w:noProof/>
          </w:rPr>
          <w:t xml:space="preserve">Figure 2.5.11: </w:t>
        </w:r>
        <w:r>
          <w:rPr>
            <w:rFonts w:asciiTheme="minorHAnsi" w:hAnsiTheme="minorHAnsi"/>
            <w:noProof/>
            <w:kern w:val="2"/>
            <w:sz w:val="24"/>
            <w:szCs w:val="24"/>
            <w14:ligatures w14:val="standardContextual"/>
          </w:rPr>
          <w:tab/>
        </w:r>
        <w:r w:rsidRPr="00051B55">
          <w:rPr>
            <w:rStyle w:val="Hyperlink"/>
            <w:noProof/>
          </w:rPr>
          <w:t>Greenhouse gas emissions under the ‘</w:t>
        </w:r>
        <w:r w:rsidRPr="00051B55">
          <w:rPr>
            <w:rStyle w:val="Hyperlink"/>
            <w:rFonts w:eastAsia="Calibri"/>
            <w:noProof/>
          </w:rPr>
          <w:t>with existing measures’</w:t>
        </w:r>
        <w:r w:rsidRPr="00051B55">
          <w:rPr>
            <w:rStyle w:val="Hyperlink"/>
            <w:noProof/>
          </w:rPr>
          <w:t xml:space="preserve"> scenario in Tokelau, 1990–2050</w:t>
        </w:r>
        <w:r>
          <w:rPr>
            <w:noProof/>
            <w:webHidden/>
          </w:rPr>
          <w:tab/>
        </w:r>
        <w:r>
          <w:rPr>
            <w:noProof/>
            <w:webHidden/>
          </w:rPr>
          <w:fldChar w:fldCharType="begin"/>
        </w:r>
        <w:r>
          <w:rPr>
            <w:noProof/>
            <w:webHidden/>
          </w:rPr>
          <w:instrText xml:space="preserve"> PAGEREF _Toc185347255 \h </w:instrText>
        </w:r>
        <w:r>
          <w:rPr>
            <w:noProof/>
            <w:webHidden/>
          </w:rPr>
        </w:r>
        <w:r>
          <w:rPr>
            <w:noProof/>
            <w:webHidden/>
          </w:rPr>
          <w:fldChar w:fldCharType="separate"/>
        </w:r>
        <w:r w:rsidR="005843E4">
          <w:rPr>
            <w:noProof/>
            <w:webHidden/>
          </w:rPr>
          <w:t>159</w:t>
        </w:r>
        <w:r>
          <w:rPr>
            <w:noProof/>
            <w:webHidden/>
          </w:rPr>
          <w:fldChar w:fldCharType="end"/>
        </w:r>
      </w:hyperlink>
    </w:p>
    <w:p w14:paraId="17C961D2" w14:textId="60FBFEE1"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56" w:history="1">
        <w:r w:rsidRPr="00051B55">
          <w:rPr>
            <w:rStyle w:val="Hyperlink"/>
            <w:noProof/>
          </w:rPr>
          <w:t>Figure 2.5.12:</w:t>
        </w:r>
        <w:r>
          <w:rPr>
            <w:rFonts w:asciiTheme="minorHAnsi" w:hAnsiTheme="minorHAnsi"/>
            <w:noProof/>
            <w:kern w:val="2"/>
            <w:sz w:val="24"/>
            <w:szCs w:val="24"/>
            <w14:ligatures w14:val="standardContextual"/>
          </w:rPr>
          <w:tab/>
        </w:r>
        <w:r w:rsidRPr="00051B55">
          <w:rPr>
            <w:rStyle w:val="Hyperlink"/>
            <w:noProof/>
          </w:rPr>
          <w:t>Greenhouse gas emissions under the ‘with existing measures’ scenario in the LULUCF sector, 1990–2050</w:t>
        </w:r>
        <w:r>
          <w:rPr>
            <w:noProof/>
            <w:webHidden/>
          </w:rPr>
          <w:tab/>
        </w:r>
        <w:r>
          <w:rPr>
            <w:noProof/>
            <w:webHidden/>
          </w:rPr>
          <w:fldChar w:fldCharType="begin"/>
        </w:r>
        <w:r>
          <w:rPr>
            <w:noProof/>
            <w:webHidden/>
          </w:rPr>
          <w:instrText xml:space="preserve"> PAGEREF _Toc185347256 \h </w:instrText>
        </w:r>
        <w:r>
          <w:rPr>
            <w:noProof/>
            <w:webHidden/>
          </w:rPr>
        </w:r>
        <w:r>
          <w:rPr>
            <w:noProof/>
            <w:webHidden/>
          </w:rPr>
          <w:fldChar w:fldCharType="separate"/>
        </w:r>
        <w:r w:rsidR="005843E4">
          <w:rPr>
            <w:noProof/>
            <w:webHidden/>
          </w:rPr>
          <w:t>160</w:t>
        </w:r>
        <w:r>
          <w:rPr>
            <w:noProof/>
            <w:webHidden/>
          </w:rPr>
          <w:fldChar w:fldCharType="end"/>
        </w:r>
      </w:hyperlink>
    </w:p>
    <w:p w14:paraId="23BA62FF" w14:textId="168C9F19"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57" w:history="1">
        <w:r w:rsidRPr="00051B55">
          <w:rPr>
            <w:rStyle w:val="Hyperlink"/>
            <w:noProof/>
          </w:rPr>
          <w:t xml:space="preserve">Figure 2.5.13: </w:t>
        </w:r>
        <w:r>
          <w:rPr>
            <w:rFonts w:asciiTheme="minorHAnsi" w:hAnsiTheme="minorHAnsi"/>
            <w:noProof/>
            <w:kern w:val="2"/>
            <w:sz w:val="24"/>
            <w:szCs w:val="24"/>
            <w14:ligatures w14:val="standardContextual"/>
          </w:rPr>
          <w:tab/>
        </w:r>
        <w:r w:rsidRPr="00051B55">
          <w:rPr>
            <w:rStyle w:val="Hyperlink"/>
            <w:noProof/>
          </w:rPr>
          <w:t>Overview of ‘with existing measures’ modelling approach</w:t>
        </w:r>
        <w:r>
          <w:rPr>
            <w:noProof/>
            <w:webHidden/>
          </w:rPr>
          <w:tab/>
        </w:r>
        <w:r>
          <w:rPr>
            <w:noProof/>
            <w:webHidden/>
          </w:rPr>
          <w:fldChar w:fldCharType="begin"/>
        </w:r>
        <w:r>
          <w:rPr>
            <w:noProof/>
            <w:webHidden/>
          </w:rPr>
          <w:instrText xml:space="preserve"> PAGEREF _Toc185347257 \h </w:instrText>
        </w:r>
        <w:r>
          <w:rPr>
            <w:noProof/>
            <w:webHidden/>
          </w:rPr>
        </w:r>
        <w:r>
          <w:rPr>
            <w:noProof/>
            <w:webHidden/>
          </w:rPr>
          <w:fldChar w:fldCharType="separate"/>
        </w:r>
        <w:r w:rsidR="005843E4">
          <w:rPr>
            <w:noProof/>
            <w:webHidden/>
          </w:rPr>
          <w:t>162</w:t>
        </w:r>
        <w:r>
          <w:rPr>
            <w:noProof/>
            <w:webHidden/>
          </w:rPr>
          <w:fldChar w:fldCharType="end"/>
        </w:r>
      </w:hyperlink>
    </w:p>
    <w:p w14:paraId="4074A2D5" w14:textId="06FECA32"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58" w:history="1">
        <w:r w:rsidRPr="00051B55">
          <w:rPr>
            <w:rStyle w:val="Hyperlink"/>
            <w:noProof/>
          </w:rPr>
          <w:t xml:space="preserve">Figure 2.5.14: </w:t>
        </w:r>
        <w:r>
          <w:rPr>
            <w:rFonts w:asciiTheme="minorHAnsi" w:hAnsiTheme="minorHAnsi"/>
            <w:noProof/>
            <w:kern w:val="2"/>
            <w:sz w:val="24"/>
            <w:szCs w:val="24"/>
            <w14:ligatures w14:val="standardContextual"/>
          </w:rPr>
          <w:tab/>
        </w:r>
        <w:r w:rsidRPr="00051B55">
          <w:rPr>
            <w:rStyle w:val="Hyperlink"/>
            <w:noProof/>
          </w:rPr>
          <w:t>Gross greenhouse gas emissions under the ‘with existing measures’, high</w:t>
        </w:r>
        <w:r w:rsidRPr="00051B55">
          <w:rPr>
            <w:rStyle w:val="Hyperlink"/>
            <w:noProof/>
          </w:rPr>
          <w:noBreakHyphen/>
          <w:t xml:space="preserve"> and low-emissions scenarios, 1990–2050</w:t>
        </w:r>
        <w:r>
          <w:rPr>
            <w:noProof/>
            <w:webHidden/>
          </w:rPr>
          <w:tab/>
        </w:r>
        <w:r>
          <w:rPr>
            <w:noProof/>
            <w:webHidden/>
          </w:rPr>
          <w:fldChar w:fldCharType="begin"/>
        </w:r>
        <w:r>
          <w:rPr>
            <w:noProof/>
            <w:webHidden/>
          </w:rPr>
          <w:instrText xml:space="preserve"> PAGEREF _Toc185347258 \h </w:instrText>
        </w:r>
        <w:r>
          <w:rPr>
            <w:noProof/>
            <w:webHidden/>
          </w:rPr>
        </w:r>
        <w:r>
          <w:rPr>
            <w:noProof/>
            <w:webHidden/>
          </w:rPr>
          <w:fldChar w:fldCharType="separate"/>
        </w:r>
        <w:r w:rsidR="005843E4">
          <w:rPr>
            <w:noProof/>
            <w:webHidden/>
          </w:rPr>
          <w:t>179</w:t>
        </w:r>
        <w:r>
          <w:rPr>
            <w:noProof/>
            <w:webHidden/>
          </w:rPr>
          <w:fldChar w:fldCharType="end"/>
        </w:r>
      </w:hyperlink>
    </w:p>
    <w:p w14:paraId="5597A92F" w14:textId="3F93D064"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59" w:history="1">
        <w:r w:rsidRPr="00051B55">
          <w:rPr>
            <w:rStyle w:val="Hyperlink"/>
            <w:noProof/>
          </w:rPr>
          <w:t>Figure 2.5.15:</w:t>
        </w:r>
        <w:r>
          <w:rPr>
            <w:rFonts w:asciiTheme="minorHAnsi" w:hAnsiTheme="minorHAnsi"/>
            <w:noProof/>
            <w:kern w:val="2"/>
            <w:sz w:val="24"/>
            <w:szCs w:val="24"/>
            <w14:ligatures w14:val="standardContextual"/>
          </w:rPr>
          <w:tab/>
        </w:r>
        <w:r w:rsidRPr="00051B55">
          <w:rPr>
            <w:rStyle w:val="Hyperlink"/>
            <w:noProof/>
          </w:rPr>
          <w:t>Greenhouse gas emissions under the ‘with existing measures’, high- and low-emissions scenarios in the Energy sector, 1990–2050</w:t>
        </w:r>
        <w:r>
          <w:rPr>
            <w:noProof/>
            <w:webHidden/>
          </w:rPr>
          <w:tab/>
        </w:r>
        <w:r>
          <w:rPr>
            <w:noProof/>
            <w:webHidden/>
          </w:rPr>
          <w:fldChar w:fldCharType="begin"/>
        </w:r>
        <w:r>
          <w:rPr>
            <w:noProof/>
            <w:webHidden/>
          </w:rPr>
          <w:instrText xml:space="preserve"> PAGEREF _Toc185347259 \h </w:instrText>
        </w:r>
        <w:r>
          <w:rPr>
            <w:noProof/>
            <w:webHidden/>
          </w:rPr>
        </w:r>
        <w:r>
          <w:rPr>
            <w:noProof/>
            <w:webHidden/>
          </w:rPr>
          <w:fldChar w:fldCharType="separate"/>
        </w:r>
        <w:r w:rsidR="005843E4">
          <w:rPr>
            <w:noProof/>
            <w:webHidden/>
          </w:rPr>
          <w:t>180</w:t>
        </w:r>
        <w:r>
          <w:rPr>
            <w:noProof/>
            <w:webHidden/>
          </w:rPr>
          <w:fldChar w:fldCharType="end"/>
        </w:r>
      </w:hyperlink>
    </w:p>
    <w:p w14:paraId="364247D1" w14:textId="4E4AF70E"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60" w:history="1">
        <w:r w:rsidRPr="00051B55">
          <w:rPr>
            <w:rStyle w:val="Hyperlink"/>
            <w:noProof/>
          </w:rPr>
          <w:t xml:space="preserve">Figure 2.5.16: </w:t>
        </w:r>
        <w:r>
          <w:rPr>
            <w:rFonts w:asciiTheme="minorHAnsi" w:hAnsiTheme="minorHAnsi"/>
            <w:noProof/>
            <w:kern w:val="2"/>
            <w:sz w:val="24"/>
            <w:szCs w:val="24"/>
            <w14:ligatures w14:val="standardContextual"/>
          </w:rPr>
          <w:tab/>
        </w:r>
        <w:r w:rsidRPr="00051B55">
          <w:rPr>
            <w:rStyle w:val="Hyperlink"/>
            <w:noProof/>
          </w:rPr>
          <w:t>Greenhouse gas emissions under the ‘with existing measures’, high- and low-emissions scenarios in the Transport sector, 1990–2050</w:t>
        </w:r>
        <w:r>
          <w:rPr>
            <w:noProof/>
            <w:webHidden/>
          </w:rPr>
          <w:tab/>
        </w:r>
        <w:r>
          <w:rPr>
            <w:noProof/>
            <w:webHidden/>
          </w:rPr>
          <w:fldChar w:fldCharType="begin"/>
        </w:r>
        <w:r>
          <w:rPr>
            <w:noProof/>
            <w:webHidden/>
          </w:rPr>
          <w:instrText xml:space="preserve"> PAGEREF _Toc185347260 \h </w:instrText>
        </w:r>
        <w:r>
          <w:rPr>
            <w:noProof/>
            <w:webHidden/>
          </w:rPr>
        </w:r>
        <w:r>
          <w:rPr>
            <w:noProof/>
            <w:webHidden/>
          </w:rPr>
          <w:fldChar w:fldCharType="separate"/>
        </w:r>
        <w:r w:rsidR="005843E4">
          <w:rPr>
            <w:noProof/>
            <w:webHidden/>
          </w:rPr>
          <w:t>180</w:t>
        </w:r>
        <w:r>
          <w:rPr>
            <w:noProof/>
            <w:webHidden/>
          </w:rPr>
          <w:fldChar w:fldCharType="end"/>
        </w:r>
      </w:hyperlink>
    </w:p>
    <w:p w14:paraId="27C9EB4D" w14:textId="43CC573B"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61" w:history="1">
        <w:r w:rsidRPr="00051B55">
          <w:rPr>
            <w:rStyle w:val="Hyperlink"/>
            <w:noProof/>
          </w:rPr>
          <w:t xml:space="preserve">Figure 2.5.17: </w:t>
        </w:r>
        <w:r>
          <w:rPr>
            <w:rFonts w:asciiTheme="minorHAnsi" w:hAnsiTheme="minorHAnsi"/>
            <w:noProof/>
            <w:kern w:val="2"/>
            <w:sz w:val="24"/>
            <w:szCs w:val="24"/>
            <w14:ligatures w14:val="standardContextual"/>
          </w:rPr>
          <w:tab/>
        </w:r>
        <w:r w:rsidRPr="00051B55">
          <w:rPr>
            <w:rStyle w:val="Hyperlink"/>
            <w:noProof/>
          </w:rPr>
          <w:t>Greenhouse gas emissions under the ‘with existing measures’, high- and low-emissions scenarios in the IPPU sector, 1990–2050</w:t>
        </w:r>
        <w:r>
          <w:rPr>
            <w:noProof/>
            <w:webHidden/>
          </w:rPr>
          <w:tab/>
        </w:r>
        <w:r>
          <w:rPr>
            <w:noProof/>
            <w:webHidden/>
          </w:rPr>
          <w:fldChar w:fldCharType="begin"/>
        </w:r>
        <w:r>
          <w:rPr>
            <w:noProof/>
            <w:webHidden/>
          </w:rPr>
          <w:instrText xml:space="preserve"> PAGEREF _Toc185347261 \h </w:instrText>
        </w:r>
        <w:r>
          <w:rPr>
            <w:noProof/>
            <w:webHidden/>
          </w:rPr>
        </w:r>
        <w:r>
          <w:rPr>
            <w:noProof/>
            <w:webHidden/>
          </w:rPr>
          <w:fldChar w:fldCharType="separate"/>
        </w:r>
        <w:r w:rsidR="005843E4">
          <w:rPr>
            <w:noProof/>
            <w:webHidden/>
          </w:rPr>
          <w:t>181</w:t>
        </w:r>
        <w:r>
          <w:rPr>
            <w:noProof/>
            <w:webHidden/>
          </w:rPr>
          <w:fldChar w:fldCharType="end"/>
        </w:r>
      </w:hyperlink>
    </w:p>
    <w:p w14:paraId="0854C2AA" w14:textId="2D6DCE22"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62" w:history="1">
        <w:r w:rsidRPr="00051B55">
          <w:rPr>
            <w:rStyle w:val="Hyperlink"/>
            <w:noProof/>
          </w:rPr>
          <w:t xml:space="preserve">Figure 2.5.18: </w:t>
        </w:r>
        <w:r>
          <w:rPr>
            <w:rFonts w:asciiTheme="minorHAnsi" w:hAnsiTheme="minorHAnsi"/>
            <w:noProof/>
            <w:kern w:val="2"/>
            <w:sz w:val="24"/>
            <w:szCs w:val="24"/>
            <w14:ligatures w14:val="standardContextual"/>
          </w:rPr>
          <w:tab/>
        </w:r>
        <w:r w:rsidRPr="00051B55">
          <w:rPr>
            <w:rStyle w:val="Hyperlink"/>
            <w:noProof/>
          </w:rPr>
          <w:t>Greenhouse gas emissions under the ‘with existing measures’, high- and low-emissions scenarios in the Agriculture sector, 1990–2050</w:t>
        </w:r>
        <w:r>
          <w:rPr>
            <w:noProof/>
            <w:webHidden/>
          </w:rPr>
          <w:tab/>
        </w:r>
        <w:r>
          <w:rPr>
            <w:noProof/>
            <w:webHidden/>
          </w:rPr>
          <w:fldChar w:fldCharType="begin"/>
        </w:r>
        <w:r>
          <w:rPr>
            <w:noProof/>
            <w:webHidden/>
          </w:rPr>
          <w:instrText xml:space="preserve"> PAGEREF _Toc185347262 \h </w:instrText>
        </w:r>
        <w:r>
          <w:rPr>
            <w:noProof/>
            <w:webHidden/>
          </w:rPr>
        </w:r>
        <w:r>
          <w:rPr>
            <w:noProof/>
            <w:webHidden/>
          </w:rPr>
          <w:fldChar w:fldCharType="separate"/>
        </w:r>
        <w:r w:rsidR="005843E4">
          <w:rPr>
            <w:noProof/>
            <w:webHidden/>
          </w:rPr>
          <w:t>182</w:t>
        </w:r>
        <w:r>
          <w:rPr>
            <w:noProof/>
            <w:webHidden/>
          </w:rPr>
          <w:fldChar w:fldCharType="end"/>
        </w:r>
      </w:hyperlink>
    </w:p>
    <w:p w14:paraId="36BCB77E" w14:textId="08649664"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63" w:history="1">
        <w:r w:rsidRPr="00051B55">
          <w:rPr>
            <w:rStyle w:val="Hyperlink"/>
            <w:noProof/>
          </w:rPr>
          <w:t xml:space="preserve">Figure 2.5.19: </w:t>
        </w:r>
        <w:r>
          <w:rPr>
            <w:rFonts w:asciiTheme="minorHAnsi" w:hAnsiTheme="minorHAnsi"/>
            <w:noProof/>
            <w:kern w:val="2"/>
            <w:sz w:val="24"/>
            <w:szCs w:val="24"/>
            <w14:ligatures w14:val="standardContextual"/>
          </w:rPr>
          <w:tab/>
        </w:r>
        <w:r w:rsidRPr="00051B55">
          <w:rPr>
            <w:rStyle w:val="Hyperlink"/>
            <w:noProof/>
          </w:rPr>
          <w:t>Greenhouse gas emissions under the ‘with existing measures’, high- and low-emissions scenarios in the Waste sector, 1990–2050</w:t>
        </w:r>
        <w:r>
          <w:rPr>
            <w:noProof/>
            <w:webHidden/>
          </w:rPr>
          <w:tab/>
        </w:r>
        <w:r>
          <w:rPr>
            <w:noProof/>
            <w:webHidden/>
          </w:rPr>
          <w:fldChar w:fldCharType="begin"/>
        </w:r>
        <w:r>
          <w:rPr>
            <w:noProof/>
            <w:webHidden/>
          </w:rPr>
          <w:instrText xml:space="preserve"> PAGEREF _Toc185347263 \h </w:instrText>
        </w:r>
        <w:r>
          <w:rPr>
            <w:noProof/>
            <w:webHidden/>
          </w:rPr>
        </w:r>
        <w:r>
          <w:rPr>
            <w:noProof/>
            <w:webHidden/>
          </w:rPr>
          <w:fldChar w:fldCharType="separate"/>
        </w:r>
        <w:r w:rsidR="005843E4">
          <w:rPr>
            <w:noProof/>
            <w:webHidden/>
          </w:rPr>
          <w:t>182</w:t>
        </w:r>
        <w:r>
          <w:rPr>
            <w:noProof/>
            <w:webHidden/>
          </w:rPr>
          <w:fldChar w:fldCharType="end"/>
        </w:r>
      </w:hyperlink>
    </w:p>
    <w:p w14:paraId="00D83E69" w14:textId="545384DA"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64" w:history="1">
        <w:r w:rsidRPr="00051B55">
          <w:rPr>
            <w:rStyle w:val="Hyperlink"/>
            <w:noProof/>
          </w:rPr>
          <w:t xml:space="preserve">Figure 2.5.20: </w:t>
        </w:r>
        <w:r>
          <w:rPr>
            <w:rFonts w:asciiTheme="minorHAnsi" w:hAnsiTheme="minorHAnsi"/>
            <w:noProof/>
            <w:kern w:val="2"/>
            <w:sz w:val="24"/>
            <w:szCs w:val="24"/>
            <w14:ligatures w14:val="standardContextual"/>
          </w:rPr>
          <w:tab/>
        </w:r>
        <w:r w:rsidRPr="00051B55">
          <w:rPr>
            <w:rStyle w:val="Hyperlink"/>
            <w:noProof/>
          </w:rPr>
          <w:t>Projected net LULUCF removals under ‘with existing measures’, lower removals and upper removals scenarios, 1990–2050</w:t>
        </w:r>
        <w:r>
          <w:rPr>
            <w:noProof/>
            <w:webHidden/>
          </w:rPr>
          <w:tab/>
        </w:r>
        <w:r>
          <w:rPr>
            <w:noProof/>
            <w:webHidden/>
          </w:rPr>
          <w:fldChar w:fldCharType="begin"/>
        </w:r>
        <w:r>
          <w:rPr>
            <w:noProof/>
            <w:webHidden/>
          </w:rPr>
          <w:instrText xml:space="preserve"> PAGEREF _Toc185347264 \h </w:instrText>
        </w:r>
        <w:r>
          <w:rPr>
            <w:noProof/>
            <w:webHidden/>
          </w:rPr>
        </w:r>
        <w:r>
          <w:rPr>
            <w:noProof/>
            <w:webHidden/>
          </w:rPr>
          <w:fldChar w:fldCharType="separate"/>
        </w:r>
        <w:r w:rsidR="005843E4">
          <w:rPr>
            <w:noProof/>
            <w:webHidden/>
          </w:rPr>
          <w:t>184</w:t>
        </w:r>
        <w:r>
          <w:rPr>
            <w:noProof/>
            <w:webHidden/>
          </w:rPr>
          <w:fldChar w:fldCharType="end"/>
        </w:r>
      </w:hyperlink>
    </w:p>
    <w:p w14:paraId="02DEE943" w14:textId="170E57ED"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65" w:history="1">
        <w:r w:rsidRPr="00051B55">
          <w:rPr>
            <w:rStyle w:val="Hyperlink"/>
            <w:noProof/>
          </w:rPr>
          <w:t xml:space="preserve">Figure 2.5.21: </w:t>
        </w:r>
        <w:r>
          <w:rPr>
            <w:rFonts w:asciiTheme="minorHAnsi" w:hAnsiTheme="minorHAnsi"/>
            <w:noProof/>
            <w:kern w:val="2"/>
            <w:sz w:val="24"/>
            <w:szCs w:val="24"/>
            <w14:ligatures w14:val="standardContextual"/>
          </w:rPr>
          <w:tab/>
        </w:r>
        <w:r w:rsidRPr="00051B55">
          <w:rPr>
            <w:rStyle w:val="Hyperlink"/>
            <w:noProof/>
          </w:rPr>
          <w:t>Greenhouse gas emissions for the ‘without measures’ scenario for gross emissions (total without LULUCF), 1990–2050</w:t>
        </w:r>
        <w:r>
          <w:rPr>
            <w:noProof/>
            <w:webHidden/>
          </w:rPr>
          <w:tab/>
        </w:r>
        <w:r>
          <w:rPr>
            <w:noProof/>
            <w:webHidden/>
          </w:rPr>
          <w:fldChar w:fldCharType="begin"/>
        </w:r>
        <w:r>
          <w:rPr>
            <w:noProof/>
            <w:webHidden/>
          </w:rPr>
          <w:instrText xml:space="preserve"> PAGEREF _Toc185347265 \h </w:instrText>
        </w:r>
        <w:r>
          <w:rPr>
            <w:noProof/>
            <w:webHidden/>
          </w:rPr>
        </w:r>
        <w:r>
          <w:rPr>
            <w:noProof/>
            <w:webHidden/>
          </w:rPr>
          <w:fldChar w:fldCharType="separate"/>
        </w:r>
        <w:r w:rsidR="005843E4">
          <w:rPr>
            <w:noProof/>
            <w:webHidden/>
          </w:rPr>
          <w:t>185</w:t>
        </w:r>
        <w:r>
          <w:rPr>
            <w:noProof/>
            <w:webHidden/>
          </w:rPr>
          <w:fldChar w:fldCharType="end"/>
        </w:r>
      </w:hyperlink>
    </w:p>
    <w:p w14:paraId="3CA75BC6" w14:textId="3F310D59"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66" w:history="1">
        <w:r w:rsidRPr="00051B55">
          <w:rPr>
            <w:rStyle w:val="Hyperlink"/>
            <w:noProof/>
          </w:rPr>
          <w:t xml:space="preserve">Figure 2.5.22: </w:t>
        </w:r>
        <w:r>
          <w:rPr>
            <w:rFonts w:asciiTheme="minorHAnsi" w:hAnsiTheme="minorHAnsi"/>
            <w:noProof/>
            <w:kern w:val="2"/>
            <w:sz w:val="24"/>
            <w:szCs w:val="24"/>
            <w14:ligatures w14:val="standardContextual"/>
          </w:rPr>
          <w:tab/>
        </w:r>
        <w:r w:rsidRPr="00051B55">
          <w:rPr>
            <w:rStyle w:val="Hyperlink"/>
            <w:noProof/>
          </w:rPr>
          <w:t>Greenhouse gas emissions for the ‘without measures’ scenario for net emissions (total with LULUCF), 1990–2050</w:t>
        </w:r>
        <w:r>
          <w:rPr>
            <w:noProof/>
            <w:webHidden/>
          </w:rPr>
          <w:tab/>
        </w:r>
        <w:r>
          <w:rPr>
            <w:noProof/>
            <w:webHidden/>
          </w:rPr>
          <w:fldChar w:fldCharType="begin"/>
        </w:r>
        <w:r>
          <w:rPr>
            <w:noProof/>
            <w:webHidden/>
          </w:rPr>
          <w:instrText xml:space="preserve"> PAGEREF _Toc185347266 \h </w:instrText>
        </w:r>
        <w:r>
          <w:rPr>
            <w:noProof/>
            <w:webHidden/>
          </w:rPr>
        </w:r>
        <w:r>
          <w:rPr>
            <w:noProof/>
            <w:webHidden/>
          </w:rPr>
          <w:fldChar w:fldCharType="separate"/>
        </w:r>
        <w:r w:rsidR="005843E4">
          <w:rPr>
            <w:noProof/>
            <w:webHidden/>
          </w:rPr>
          <w:t>186</w:t>
        </w:r>
        <w:r>
          <w:rPr>
            <w:noProof/>
            <w:webHidden/>
          </w:rPr>
          <w:fldChar w:fldCharType="end"/>
        </w:r>
      </w:hyperlink>
    </w:p>
    <w:p w14:paraId="7B789540" w14:textId="5D7CD289"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67" w:history="1">
        <w:r w:rsidRPr="00051B55">
          <w:rPr>
            <w:rStyle w:val="Hyperlink"/>
            <w:noProof/>
          </w:rPr>
          <w:t>Figure 2.5.23:</w:t>
        </w:r>
        <w:r>
          <w:rPr>
            <w:rFonts w:asciiTheme="minorHAnsi" w:hAnsiTheme="minorHAnsi"/>
            <w:noProof/>
            <w:kern w:val="2"/>
            <w:sz w:val="24"/>
            <w:szCs w:val="24"/>
            <w14:ligatures w14:val="standardContextual"/>
          </w:rPr>
          <w:tab/>
        </w:r>
        <w:r w:rsidRPr="00051B55">
          <w:rPr>
            <w:rStyle w:val="Hyperlink"/>
            <w:noProof/>
          </w:rPr>
          <w:t>Greenhouse gas emissions for the ‘without measures’ scenario in the Energy sector, 1990–2050</w:t>
        </w:r>
        <w:r>
          <w:rPr>
            <w:noProof/>
            <w:webHidden/>
          </w:rPr>
          <w:tab/>
        </w:r>
        <w:r>
          <w:rPr>
            <w:noProof/>
            <w:webHidden/>
          </w:rPr>
          <w:fldChar w:fldCharType="begin"/>
        </w:r>
        <w:r>
          <w:rPr>
            <w:noProof/>
            <w:webHidden/>
          </w:rPr>
          <w:instrText xml:space="preserve"> PAGEREF _Toc185347267 \h </w:instrText>
        </w:r>
        <w:r>
          <w:rPr>
            <w:noProof/>
            <w:webHidden/>
          </w:rPr>
        </w:r>
        <w:r>
          <w:rPr>
            <w:noProof/>
            <w:webHidden/>
          </w:rPr>
          <w:fldChar w:fldCharType="separate"/>
        </w:r>
        <w:r w:rsidR="005843E4">
          <w:rPr>
            <w:noProof/>
            <w:webHidden/>
          </w:rPr>
          <w:t>187</w:t>
        </w:r>
        <w:r>
          <w:rPr>
            <w:noProof/>
            <w:webHidden/>
          </w:rPr>
          <w:fldChar w:fldCharType="end"/>
        </w:r>
      </w:hyperlink>
    </w:p>
    <w:p w14:paraId="5C02B36E" w14:textId="27EBC361"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68" w:history="1">
        <w:r w:rsidRPr="00051B55">
          <w:rPr>
            <w:rStyle w:val="Hyperlink"/>
            <w:noProof/>
          </w:rPr>
          <w:t xml:space="preserve">Figure 2.5.24: </w:t>
        </w:r>
        <w:r>
          <w:rPr>
            <w:rFonts w:asciiTheme="minorHAnsi" w:hAnsiTheme="minorHAnsi"/>
            <w:noProof/>
            <w:kern w:val="2"/>
            <w:sz w:val="24"/>
            <w:szCs w:val="24"/>
            <w14:ligatures w14:val="standardContextual"/>
          </w:rPr>
          <w:tab/>
        </w:r>
        <w:r w:rsidRPr="00051B55">
          <w:rPr>
            <w:rStyle w:val="Hyperlink"/>
            <w:noProof/>
          </w:rPr>
          <w:t>Greenhouse gas emissions for the ‘without measures’ scenario in the Transport sector, 1990–2050</w:t>
        </w:r>
        <w:r>
          <w:rPr>
            <w:noProof/>
            <w:webHidden/>
          </w:rPr>
          <w:tab/>
        </w:r>
        <w:r>
          <w:rPr>
            <w:noProof/>
            <w:webHidden/>
          </w:rPr>
          <w:fldChar w:fldCharType="begin"/>
        </w:r>
        <w:r>
          <w:rPr>
            <w:noProof/>
            <w:webHidden/>
          </w:rPr>
          <w:instrText xml:space="preserve"> PAGEREF _Toc185347268 \h </w:instrText>
        </w:r>
        <w:r>
          <w:rPr>
            <w:noProof/>
            <w:webHidden/>
          </w:rPr>
        </w:r>
        <w:r>
          <w:rPr>
            <w:noProof/>
            <w:webHidden/>
          </w:rPr>
          <w:fldChar w:fldCharType="separate"/>
        </w:r>
        <w:r w:rsidR="005843E4">
          <w:rPr>
            <w:noProof/>
            <w:webHidden/>
          </w:rPr>
          <w:t>188</w:t>
        </w:r>
        <w:r>
          <w:rPr>
            <w:noProof/>
            <w:webHidden/>
          </w:rPr>
          <w:fldChar w:fldCharType="end"/>
        </w:r>
      </w:hyperlink>
    </w:p>
    <w:p w14:paraId="6EAA747A" w14:textId="65414B8B"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69" w:history="1">
        <w:r w:rsidRPr="00051B55">
          <w:rPr>
            <w:rStyle w:val="Hyperlink"/>
            <w:noProof/>
          </w:rPr>
          <w:t xml:space="preserve">Figure 2.5.25: </w:t>
        </w:r>
        <w:r>
          <w:rPr>
            <w:rFonts w:asciiTheme="minorHAnsi" w:hAnsiTheme="minorHAnsi"/>
            <w:noProof/>
            <w:kern w:val="2"/>
            <w:sz w:val="24"/>
            <w:szCs w:val="24"/>
            <w14:ligatures w14:val="standardContextual"/>
          </w:rPr>
          <w:tab/>
        </w:r>
        <w:r w:rsidRPr="00051B55">
          <w:rPr>
            <w:rStyle w:val="Hyperlink"/>
            <w:noProof/>
          </w:rPr>
          <w:t>Greenhouse gas emissions for the ‘without measures’ scenario in the IPPU sector, 1990–2050</w:t>
        </w:r>
        <w:r>
          <w:rPr>
            <w:noProof/>
            <w:webHidden/>
          </w:rPr>
          <w:tab/>
        </w:r>
        <w:r>
          <w:rPr>
            <w:noProof/>
            <w:webHidden/>
          </w:rPr>
          <w:fldChar w:fldCharType="begin"/>
        </w:r>
        <w:r>
          <w:rPr>
            <w:noProof/>
            <w:webHidden/>
          </w:rPr>
          <w:instrText xml:space="preserve"> PAGEREF _Toc185347269 \h </w:instrText>
        </w:r>
        <w:r>
          <w:rPr>
            <w:noProof/>
            <w:webHidden/>
          </w:rPr>
        </w:r>
        <w:r>
          <w:rPr>
            <w:noProof/>
            <w:webHidden/>
          </w:rPr>
          <w:fldChar w:fldCharType="separate"/>
        </w:r>
        <w:r w:rsidR="005843E4">
          <w:rPr>
            <w:noProof/>
            <w:webHidden/>
          </w:rPr>
          <w:t>189</w:t>
        </w:r>
        <w:r>
          <w:rPr>
            <w:noProof/>
            <w:webHidden/>
          </w:rPr>
          <w:fldChar w:fldCharType="end"/>
        </w:r>
      </w:hyperlink>
    </w:p>
    <w:p w14:paraId="1C434D48" w14:textId="23EE9E53"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70" w:history="1">
        <w:r w:rsidRPr="00051B55">
          <w:rPr>
            <w:rStyle w:val="Hyperlink"/>
            <w:noProof/>
          </w:rPr>
          <w:t xml:space="preserve">Figure 2.5.26: </w:t>
        </w:r>
        <w:r>
          <w:rPr>
            <w:rFonts w:asciiTheme="minorHAnsi" w:hAnsiTheme="minorHAnsi"/>
            <w:noProof/>
            <w:kern w:val="2"/>
            <w:sz w:val="24"/>
            <w:szCs w:val="24"/>
            <w14:ligatures w14:val="standardContextual"/>
          </w:rPr>
          <w:tab/>
        </w:r>
        <w:r w:rsidRPr="00051B55">
          <w:rPr>
            <w:rStyle w:val="Hyperlink"/>
            <w:noProof/>
          </w:rPr>
          <w:t>Greenhouse gas emissions for the ‘without measures’ scenario in the Agriculture sector, 1990–2050</w:t>
        </w:r>
        <w:r>
          <w:rPr>
            <w:noProof/>
            <w:webHidden/>
          </w:rPr>
          <w:tab/>
        </w:r>
        <w:r>
          <w:rPr>
            <w:noProof/>
            <w:webHidden/>
          </w:rPr>
          <w:fldChar w:fldCharType="begin"/>
        </w:r>
        <w:r>
          <w:rPr>
            <w:noProof/>
            <w:webHidden/>
          </w:rPr>
          <w:instrText xml:space="preserve"> PAGEREF _Toc185347270 \h </w:instrText>
        </w:r>
        <w:r>
          <w:rPr>
            <w:noProof/>
            <w:webHidden/>
          </w:rPr>
        </w:r>
        <w:r>
          <w:rPr>
            <w:noProof/>
            <w:webHidden/>
          </w:rPr>
          <w:fldChar w:fldCharType="separate"/>
        </w:r>
        <w:r w:rsidR="005843E4">
          <w:rPr>
            <w:noProof/>
            <w:webHidden/>
          </w:rPr>
          <w:t>190</w:t>
        </w:r>
        <w:r>
          <w:rPr>
            <w:noProof/>
            <w:webHidden/>
          </w:rPr>
          <w:fldChar w:fldCharType="end"/>
        </w:r>
      </w:hyperlink>
    </w:p>
    <w:p w14:paraId="5CF8786E" w14:textId="741958E5"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71" w:history="1">
        <w:r w:rsidRPr="00051B55">
          <w:rPr>
            <w:rStyle w:val="Hyperlink"/>
            <w:noProof/>
          </w:rPr>
          <w:t xml:space="preserve">Figure 2.5.27: </w:t>
        </w:r>
        <w:r>
          <w:rPr>
            <w:rFonts w:asciiTheme="minorHAnsi" w:hAnsiTheme="minorHAnsi"/>
            <w:noProof/>
            <w:kern w:val="2"/>
            <w:sz w:val="24"/>
            <w:szCs w:val="24"/>
            <w14:ligatures w14:val="standardContextual"/>
          </w:rPr>
          <w:tab/>
        </w:r>
        <w:r w:rsidRPr="00051B55">
          <w:rPr>
            <w:rStyle w:val="Hyperlink"/>
            <w:noProof/>
          </w:rPr>
          <w:t>Greenhouse gas emissions for the ‘without measures’ scenario in the Waste sector, 1990–2050</w:t>
        </w:r>
        <w:r>
          <w:rPr>
            <w:noProof/>
            <w:webHidden/>
          </w:rPr>
          <w:tab/>
        </w:r>
        <w:r>
          <w:rPr>
            <w:noProof/>
            <w:webHidden/>
          </w:rPr>
          <w:fldChar w:fldCharType="begin"/>
        </w:r>
        <w:r>
          <w:rPr>
            <w:noProof/>
            <w:webHidden/>
          </w:rPr>
          <w:instrText xml:space="preserve"> PAGEREF _Toc185347271 \h </w:instrText>
        </w:r>
        <w:r>
          <w:rPr>
            <w:noProof/>
            <w:webHidden/>
          </w:rPr>
        </w:r>
        <w:r>
          <w:rPr>
            <w:noProof/>
            <w:webHidden/>
          </w:rPr>
          <w:fldChar w:fldCharType="separate"/>
        </w:r>
        <w:r w:rsidR="005843E4">
          <w:rPr>
            <w:noProof/>
            <w:webHidden/>
          </w:rPr>
          <w:t>191</w:t>
        </w:r>
        <w:r>
          <w:rPr>
            <w:noProof/>
            <w:webHidden/>
          </w:rPr>
          <w:fldChar w:fldCharType="end"/>
        </w:r>
      </w:hyperlink>
    </w:p>
    <w:p w14:paraId="4330F36B" w14:textId="06560345"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72" w:history="1">
        <w:r w:rsidRPr="00051B55">
          <w:rPr>
            <w:rStyle w:val="Hyperlink"/>
            <w:noProof/>
          </w:rPr>
          <w:t xml:space="preserve">Figure 2.5.28: </w:t>
        </w:r>
        <w:r>
          <w:rPr>
            <w:rFonts w:asciiTheme="minorHAnsi" w:hAnsiTheme="minorHAnsi"/>
            <w:noProof/>
            <w:kern w:val="2"/>
            <w:sz w:val="24"/>
            <w:szCs w:val="24"/>
            <w14:ligatures w14:val="standardContextual"/>
          </w:rPr>
          <w:tab/>
        </w:r>
        <w:r w:rsidRPr="00051B55">
          <w:rPr>
            <w:rStyle w:val="Hyperlink"/>
            <w:noProof/>
          </w:rPr>
          <w:t>Tokelau’s greenhouse gas emissions for the ‘without measures’ scenario, 1990–2050</w:t>
        </w:r>
        <w:r>
          <w:rPr>
            <w:noProof/>
            <w:webHidden/>
          </w:rPr>
          <w:tab/>
        </w:r>
        <w:r>
          <w:rPr>
            <w:noProof/>
            <w:webHidden/>
          </w:rPr>
          <w:fldChar w:fldCharType="begin"/>
        </w:r>
        <w:r>
          <w:rPr>
            <w:noProof/>
            <w:webHidden/>
          </w:rPr>
          <w:instrText xml:space="preserve"> PAGEREF _Toc185347272 \h </w:instrText>
        </w:r>
        <w:r>
          <w:rPr>
            <w:noProof/>
            <w:webHidden/>
          </w:rPr>
        </w:r>
        <w:r>
          <w:rPr>
            <w:noProof/>
            <w:webHidden/>
          </w:rPr>
          <w:fldChar w:fldCharType="separate"/>
        </w:r>
        <w:r w:rsidR="005843E4">
          <w:rPr>
            <w:noProof/>
            <w:webHidden/>
          </w:rPr>
          <w:t>192</w:t>
        </w:r>
        <w:r>
          <w:rPr>
            <w:noProof/>
            <w:webHidden/>
          </w:rPr>
          <w:fldChar w:fldCharType="end"/>
        </w:r>
      </w:hyperlink>
    </w:p>
    <w:p w14:paraId="47F73972" w14:textId="16A72D0E"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73" w:history="1">
        <w:r w:rsidRPr="00051B55">
          <w:rPr>
            <w:rStyle w:val="Hyperlink"/>
            <w:noProof/>
          </w:rPr>
          <w:t xml:space="preserve">Figure 2.5.29: </w:t>
        </w:r>
        <w:r>
          <w:rPr>
            <w:rFonts w:asciiTheme="minorHAnsi" w:hAnsiTheme="minorHAnsi"/>
            <w:noProof/>
            <w:kern w:val="2"/>
            <w:sz w:val="24"/>
            <w:szCs w:val="24"/>
            <w14:ligatures w14:val="standardContextual"/>
          </w:rPr>
          <w:tab/>
        </w:r>
        <w:r w:rsidRPr="00051B55">
          <w:rPr>
            <w:rStyle w:val="Hyperlink"/>
            <w:noProof/>
          </w:rPr>
          <w:t>Greenhouse gas emissions for the ‘without measures’ scenario in the LULUCF sector, 1990–2050</w:t>
        </w:r>
        <w:r>
          <w:rPr>
            <w:noProof/>
            <w:webHidden/>
          </w:rPr>
          <w:tab/>
        </w:r>
        <w:r>
          <w:rPr>
            <w:noProof/>
            <w:webHidden/>
          </w:rPr>
          <w:fldChar w:fldCharType="begin"/>
        </w:r>
        <w:r>
          <w:rPr>
            <w:noProof/>
            <w:webHidden/>
          </w:rPr>
          <w:instrText xml:space="preserve"> PAGEREF _Toc185347273 \h </w:instrText>
        </w:r>
        <w:r>
          <w:rPr>
            <w:noProof/>
            <w:webHidden/>
          </w:rPr>
        </w:r>
        <w:r>
          <w:rPr>
            <w:noProof/>
            <w:webHidden/>
          </w:rPr>
          <w:fldChar w:fldCharType="separate"/>
        </w:r>
        <w:r w:rsidR="005843E4">
          <w:rPr>
            <w:noProof/>
            <w:webHidden/>
          </w:rPr>
          <w:t>193</w:t>
        </w:r>
        <w:r>
          <w:rPr>
            <w:noProof/>
            <w:webHidden/>
          </w:rPr>
          <w:fldChar w:fldCharType="end"/>
        </w:r>
      </w:hyperlink>
    </w:p>
    <w:p w14:paraId="7263A1A1" w14:textId="6DD50DFC"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74" w:history="1">
        <w:r w:rsidRPr="00051B55">
          <w:rPr>
            <w:rStyle w:val="Hyperlink"/>
            <w:noProof/>
          </w:rPr>
          <w:t xml:space="preserve">Figure 2.6.1: </w:t>
        </w:r>
        <w:r>
          <w:rPr>
            <w:rFonts w:asciiTheme="minorHAnsi" w:hAnsiTheme="minorHAnsi"/>
            <w:noProof/>
            <w:kern w:val="2"/>
            <w:sz w:val="24"/>
            <w:szCs w:val="24"/>
            <w14:ligatures w14:val="standardContextual"/>
          </w:rPr>
          <w:tab/>
        </w:r>
        <w:r w:rsidRPr="00051B55">
          <w:rPr>
            <w:rStyle w:val="Hyperlink"/>
            <w:noProof/>
          </w:rPr>
          <w:t>Annual net target accounting emissions and components, ‘with existing measures’ scenario, 1990–2050</w:t>
        </w:r>
        <w:r>
          <w:rPr>
            <w:noProof/>
            <w:webHidden/>
          </w:rPr>
          <w:tab/>
        </w:r>
        <w:r>
          <w:rPr>
            <w:noProof/>
            <w:webHidden/>
          </w:rPr>
          <w:fldChar w:fldCharType="begin"/>
        </w:r>
        <w:r>
          <w:rPr>
            <w:noProof/>
            <w:webHidden/>
          </w:rPr>
          <w:instrText xml:space="preserve"> PAGEREF _Toc185347274 \h </w:instrText>
        </w:r>
        <w:r>
          <w:rPr>
            <w:noProof/>
            <w:webHidden/>
          </w:rPr>
        </w:r>
        <w:r>
          <w:rPr>
            <w:noProof/>
            <w:webHidden/>
          </w:rPr>
          <w:fldChar w:fldCharType="separate"/>
        </w:r>
        <w:r w:rsidR="005843E4">
          <w:rPr>
            <w:noProof/>
            <w:webHidden/>
          </w:rPr>
          <w:t>196</w:t>
        </w:r>
        <w:r>
          <w:rPr>
            <w:noProof/>
            <w:webHidden/>
          </w:rPr>
          <w:fldChar w:fldCharType="end"/>
        </w:r>
      </w:hyperlink>
    </w:p>
    <w:p w14:paraId="733C87CF" w14:textId="3F0DC7D7"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75" w:history="1">
        <w:r w:rsidRPr="00051B55">
          <w:rPr>
            <w:rStyle w:val="Hyperlink"/>
            <w:noProof/>
          </w:rPr>
          <w:t xml:space="preserve">Figure 2.6.2: </w:t>
        </w:r>
        <w:r>
          <w:rPr>
            <w:rFonts w:asciiTheme="minorHAnsi" w:hAnsiTheme="minorHAnsi"/>
            <w:noProof/>
            <w:kern w:val="2"/>
            <w:sz w:val="24"/>
            <w:szCs w:val="24"/>
            <w14:ligatures w14:val="standardContextual"/>
          </w:rPr>
          <w:tab/>
        </w:r>
        <w:r w:rsidRPr="00051B55">
          <w:rPr>
            <w:rStyle w:val="Hyperlink"/>
            <w:noProof/>
          </w:rPr>
          <w:t>Historical and projected net LULUCF target accounting quantities (‘with existing measures’ scenario), 2020–2050</w:t>
        </w:r>
        <w:r>
          <w:rPr>
            <w:noProof/>
            <w:webHidden/>
          </w:rPr>
          <w:tab/>
        </w:r>
        <w:r>
          <w:rPr>
            <w:noProof/>
            <w:webHidden/>
          </w:rPr>
          <w:fldChar w:fldCharType="begin"/>
        </w:r>
        <w:r>
          <w:rPr>
            <w:noProof/>
            <w:webHidden/>
          </w:rPr>
          <w:instrText xml:space="preserve"> PAGEREF _Toc185347275 \h </w:instrText>
        </w:r>
        <w:r>
          <w:rPr>
            <w:noProof/>
            <w:webHidden/>
          </w:rPr>
        </w:r>
        <w:r>
          <w:rPr>
            <w:noProof/>
            <w:webHidden/>
          </w:rPr>
          <w:fldChar w:fldCharType="separate"/>
        </w:r>
        <w:r w:rsidR="005843E4">
          <w:rPr>
            <w:noProof/>
            <w:webHidden/>
          </w:rPr>
          <w:t>199</w:t>
        </w:r>
        <w:r>
          <w:rPr>
            <w:noProof/>
            <w:webHidden/>
          </w:rPr>
          <w:fldChar w:fldCharType="end"/>
        </w:r>
      </w:hyperlink>
    </w:p>
    <w:p w14:paraId="743306CF" w14:textId="513A2870"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76" w:history="1">
        <w:r w:rsidRPr="00051B55">
          <w:rPr>
            <w:rStyle w:val="Hyperlink"/>
            <w:noProof/>
          </w:rPr>
          <w:t xml:space="preserve">Figure 2.6.3: </w:t>
        </w:r>
        <w:r>
          <w:rPr>
            <w:rFonts w:asciiTheme="minorHAnsi" w:hAnsiTheme="minorHAnsi"/>
            <w:noProof/>
            <w:kern w:val="2"/>
            <w:sz w:val="24"/>
            <w:szCs w:val="24"/>
            <w14:ligatures w14:val="standardContextual"/>
          </w:rPr>
          <w:tab/>
        </w:r>
        <w:r w:rsidRPr="00051B55">
          <w:rPr>
            <w:rStyle w:val="Hyperlink"/>
            <w:noProof/>
          </w:rPr>
          <w:t>Historical and projected LULUCF target accounting quantities under ‘with existing measures’, lower and upper removals scenarios, 2020–2050</w:t>
        </w:r>
        <w:r>
          <w:rPr>
            <w:noProof/>
            <w:webHidden/>
          </w:rPr>
          <w:tab/>
        </w:r>
        <w:r>
          <w:rPr>
            <w:noProof/>
            <w:webHidden/>
          </w:rPr>
          <w:fldChar w:fldCharType="begin"/>
        </w:r>
        <w:r>
          <w:rPr>
            <w:noProof/>
            <w:webHidden/>
          </w:rPr>
          <w:instrText xml:space="preserve"> PAGEREF _Toc185347276 \h </w:instrText>
        </w:r>
        <w:r>
          <w:rPr>
            <w:noProof/>
            <w:webHidden/>
          </w:rPr>
        </w:r>
        <w:r>
          <w:rPr>
            <w:noProof/>
            <w:webHidden/>
          </w:rPr>
          <w:fldChar w:fldCharType="separate"/>
        </w:r>
        <w:r w:rsidR="005843E4">
          <w:rPr>
            <w:noProof/>
            <w:webHidden/>
          </w:rPr>
          <w:t>204</w:t>
        </w:r>
        <w:r>
          <w:rPr>
            <w:noProof/>
            <w:webHidden/>
          </w:rPr>
          <w:fldChar w:fldCharType="end"/>
        </w:r>
      </w:hyperlink>
    </w:p>
    <w:p w14:paraId="649921B7" w14:textId="6D0D8194"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77" w:history="1">
        <w:r w:rsidRPr="00051B55">
          <w:rPr>
            <w:rStyle w:val="Hyperlink"/>
            <w:noProof/>
          </w:rPr>
          <w:t>Figure 3.1:</w:t>
        </w:r>
        <w:r>
          <w:rPr>
            <w:rFonts w:asciiTheme="minorHAnsi" w:hAnsiTheme="minorHAnsi"/>
            <w:noProof/>
            <w:kern w:val="2"/>
            <w:sz w:val="24"/>
            <w:szCs w:val="24"/>
            <w14:ligatures w14:val="standardContextual"/>
          </w:rPr>
          <w:tab/>
        </w:r>
        <w:r w:rsidRPr="00051B55">
          <w:rPr>
            <w:rStyle w:val="Hyperlink"/>
            <w:noProof/>
          </w:rPr>
          <w:t>New Zealand’s adaptation process</w:t>
        </w:r>
        <w:r>
          <w:rPr>
            <w:noProof/>
            <w:webHidden/>
          </w:rPr>
          <w:tab/>
        </w:r>
        <w:r>
          <w:rPr>
            <w:noProof/>
            <w:webHidden/>
          </w:rPr>
          <w:fldChar w:fldCharType="begin"/>
        </w:r>
        <w:r>
          <w:rPr>
            <w:noProof/>
            <w:webHidden/>
          </w:rPr>
          <w:instrText xml:space="preserve"> PAGEREF _Toc185347277 \h </w:instrText>
        </w:r>
        <w:r>
          <w:rPr>
            <w:noProof/>
            <w:webHidden/>
          </w:rPr>
        </w:r>
        <w:r>
          <w:rPr>
            <w:noProof/>
            <w:webHidden/>
          </w:rPr>
          <w:fldChar w:fldCharType="separate"/>
        </w:r>
        <w:r w:rsidR="005843E4">
          <w:rPr>
            <w:noProof/>
            <w:webHidden/>
          </w:rPr>
          <w:t>209</w:t>
        </w:r>
        <w:r>
          <w:rPr>
            <w:noProof/>
            <w:webHidden/>
          </w:rPr>
          <w:fldChar w:fldCharType="end"/>
        </w:r>
      </w:hyperlink>
    </w:p>
    <w:p w14:paraId="61AF66AF" w14:textId="039BDF28"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78" w:history="1">
        <w:r w:rsidRPr="00051B55">
          <w:rPr>
            <w:rStyle w:val="Hyperlink"/>
            <w:noProof/>
          </w:rPr>
          <w:t>Figure 3.2:</w:t>
        </w:r>
        <w:r>
          <w:rPr>
            <w:rFonts w:asciiTheme="minorHAnsi" w:hAnsiTheme="minorHAnsi"/>
            <w:noProof/>
            <w:kern w:val="2"/>
            <w:sz w:val="24"/>
            <w:szCs w:val="24"/>
            <w14:ligatures w14:val="standardContextual"/>
          </w:rPr>
          <w:tab/>
        </w:r>
        <w:r w:rsidRPr="00051B55">
          <w:rPr>
            <w:rStyle w:val="Hyperlink"/>
            <w:noProof/>
          </w:rPr>
          <w:t>Summary of projected impacts of climate change on New Zealand</w:t>
        </w:r>
        <w:r>
          <w:rPr>
            <w:noProof/>
            <w:webHidden/>
          </w:rPr>
          <w:tab/>
        </w:r>
        <w:r>
          <w:rPr>
            <w:noProof/>
            <w:webHidden/>
          </w:rPr>
          <w:fldChar w:fldCharType="begin"/>
        </w:r>
        <w:r>
          <w:rPr>
            <w:noProof/>
            <w:webHidden/>
          </w:rPr>
          <w:instrText xml:space="preserve"> PAGEREF _Toc185347278 \h </w:instrText>
        </w:r>
        <w:r>
          <w:rPr>
            <w:noProof/>
            <w:webHidden/>
          </w:rPr>
        </w:r>
        <w:r>
          <w:rPr>
            <w:noProof/>
            <w:webHidden/>
          </w:rPr>
          <w:fldChar w:fldCharType="separate"/>
        </w:r>
        <w:r w:rsidR="005843E4">
          <w:rPr>
            <w:noProof/>
            <w:webHidden/>
          </w:rPr>
          <w:t>213</w:t>
        </w:r>
        <w:r>
          <w:rPr>
            <w:noProof/>
            <w:webHidden/>
          </w:rPr>
          <w:fldChar w:fldCharType="end"/>
        </w:r>
      </w:hyperlink>
    </w:p>
    <w:p w14:paraId="2103356C" w14:textId="010C821E"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79" w:history="1">
        <w:r w:rsidRPr="00051B55">
          <w:rPr>
            <w:rStyle w:val="Hyperlink"/>
            <w:noProof/>
          </w:rPr>
          <w:t>Figure 3.3:</w:t>
        </w:r>
        <w:r>
          <w:rPr>
            <w:rFonts w:asciiTheme="minorHAnsi" w:hAnsiTheme="minorHAnsi"/>
            <w:noProof/>
            <w:kern w:val="2"/>
            <w:sz w:val="24"/>
            <w:szCs w:val="24"/>
            <w14:ligatures w14:val="standardContextual"/>
          </w:rPr>
          <w:tab/>
        </w:r>
        <w:r w:rsidRPr="00051B55">
          <w:rPr>
            <w:rStyle w:val="Hyperlink"/>
            <w:noProof/>
          </w:rPr>
          <w:t>Timeline of some of the extreme weather events New Zealand has experienced since 2018</w:t>
        </w:r>
        <w:r>
          <w:rPr>
            <w:noProof/>
            <w:webHidden/>
          </w:rPr>
          <w:tab/>
        </w:r>
        <w:r>
          <w:rPr>
            <w:noProof/>
            <w:webHidden/>
          </w:rPr>
          <w:fldChar w:fldCharType="begin"/>
        </w:r>
        <w:r>
          <w:rPr>
            <w:noProof/>
            <w:webHidden/>
          </w:rPr>
          <w:instrText xml:space="preserve"> PAGEREF _Toc185347279 \h </w:instrText>
        </w:r>
        <w:r>
          <w:rPr>
            <w:noProof/>
            <w:webHidden/>
          </w:rPr>
        </w:r>
        <w:r>
          <w:rPr>
            <w:noProof/>
            <w:webHidden/>
          </w:rPr>
          <w:fldChar w:fldCharType="separate"/>
        </w:r>
        <w:r w:rsidR="005843E4">
          <w:rPr>
            <w:noProof/>
            <w:webHidden/>
          </w:rPr>
          <w:t>215</w:t>
        </w:r>
        <w:r>
          <w:rPr>
            <w:noProof/>
            <w:webHidden/>
          </w:rPr>
          <w:fldChar w:fldCharType="end"/>
        </w:r>
      </w:hyperlink>
    </w:p>
    <w:p w14:paraId="13252EA7" w14:textId="0BF9C063"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80" w:history="1">
        <w:r w:rsidRPr="00051B55">
          <w:rPr>
            <w:rStyle w:val="Hyperlink"/>
            <w:noProof/>
          </w:rPr>
          <w:t>Figure 3.4:</w:t>
        </w:r>
        <w:r>
          <w:rPr>
            <w:rFonts w:asciiTheme="minorHAnsi" w:hAnsiTheme="minorHAnsi"/>
            <w:noProof/>
            <w:kern w:val="2"/>
            <w:sz w:val="24"/>
            <w:szCs w:val="24"/>
            <w14:ligatures w14:val="standardContextual"/>
          </w:rPr>
          <w:tab/>
        </w:r>
        <w:r w:rsidRPr="00051B55">
          <w:rPr>
            <w:rStyle w:val="Hyperlink"/>
            <w:noProof/>
          </w:rPr>
          <w:t>The 10 most significant risks New Zealand will face from climate change, 2020–26</w:t>
        </w:r>
        <w:r>
          <w:rPr>
            <w:noProof/>
            <w:webHidden/>
          </w:rPr>
          <w:tab/>
        </w:r>
        <w:r>
          <w:rPr>
            <w:noProof/>
            <w:webHidden/>
          </w:rPr>
          <w:fldChar w:fldCharType="begin"/>
        </w:r>
        <w:r>
          <w:rPr>
            <w:noProof/>
            <w:webHidden/>
          </w:rPr>
          <w:instrText xml:space="preserve"> PAGEREF _Toc185347280 \h </w:instrText>
        </w:r>
        <w:r>
          <w:rPr>
            <w:noProof/>
            <w:webHidden/>
          </w:rPr>
        </w:r>
        <w:r>
          <w:rPr>
            <w:noProof/>
            <w:webHidden/>
          </w:rPr>
          <w:fldChar w:fldCharType="separate"/>
        </w:r>
        <w:r w:rsidR="005843E4">
          <w:rPr>
            <w:noProof/>
            <w:webHidden/>
          </w:rPr>
          <w:t>221</w:t>
        </w:r>
        <w:r>
          <w:rPr>
            <w:noProof/>
            <w:webHidden/>
          </w:rPr>
          <w:fldChar w:fldCharType="end"/>
        </w:r>
      </w:hyperlink>
    </w:p>
    <w:p w14:paraId="147B7BE9" w14:textId="137D4F0A"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81" w:history="1">
        <w:r w:rsidRPr="00051B55">
          <w:rPr>
            <w:rStyle w:val="Hyperlink"/>
            <w:noProof/>
          </w:rPr>
          <w:t>Figure A2.1:</w:t>
        </w:r>
        <w:r>
          <w:rPr>
            <w:rFonts w:asciiTheme="minorHAnsi" w:hAnsiTheme="minorHAnsi"/>
            <w:noProof/>
            <w:kern w:val="2"/>
            <w:sz w:val="24"/>
            <w:szCs w:val="24"/>
            <w14:ligatures w14:val="standardContextual"/>
          </w:rPr>
          <w:tab/>
        </w:r>
        <w:r w:rsidRPr="00051B55">
          <w:rPr>
            <w:rStyle w:val="Hyperlink"/>
            <w:noProof/>
          </w:rPr>
          <w:t>New Zealand’s annual areas of deforestation from 1990 to 2022</w:t>
        </w:r>
        <w:r>
          <w:rPr>
            <w:noProof/>
            <w:webHidden/>
          </w:rPr>
          <w:tab/>
        </w:r>
        <w:r>
          <w:rPr>
            <w:noProof/>
            <w:webHidden/>
          </w:rPr>
          <w:fldChar w:fldCharType="begin"/>
        </w:r>
        <w:r>
          <w:rPr>
            <w:noProof/>
            <w:webHidden/>
          </w:rPr>
          <w:instrText xml:space="preserve"> PAGEREF _Toc185347281 \h </w:instrText>
        </w:r>
        <w:r>
          <w:rPr>
            <w:noProof/>
            <w:webHidden/>
          </w:rPr>
        </w:r>
        <w:r>
          <w:rPr>
            <w:noProof/>
            <w:webHidden/>
          </w:rPr>
          <w:fldChar w:fldCharType="separate"/>
        </w:r>
        <w:r w:rsidR="005843E4">
          <w:rPr>
            <w:noProof/>
            <w:webHidden/>
          </w:rPr>
          <w:t>370</w:t>
        </w:r>
        <w:r>
          <w:rPr>
            <w:noProof/>
            <w:webHidden/>
          </w:rPr>
          <w:fldChar w:fldCharType="end"/>
        </w:r>
      </w:hyperlink>
    </w:p>
    <w:p w14:paraId="604D58CF" w14:textId="4AE96435"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82" w:history="1">
        <w:r w:rsidRPr="00051B55">
          <w:rPr>
            <w:rStyle w:val="Hyperlink"/>
            <w:noProof/>
          </w:rPr>
          <w:t>Figure A2.</w:t>
        </w:r>
        <w:r w:rsidRPr="00051B55">
          <w:rPr>
            <w:rStyle w:val="Hyperlink"/>
            <w:bCs/>
            <w:noProof/>
          </w:rPr>
          <w:t>2:</w:t>
        </w:r>
        <w:r>
          <w:rPr>
            <w:rFonts w:asciiTheme="minorHAnsi" w:hAnsiTheme="minorHAnsi"/>
            <w:noProof/>
            <w:kern w:val="2"/>
            <w:sz w:val="24"/>
            <w:szCs w:val="24"/>
            <w14:ligatures w14:val="standardContextual"/>
          </w:rPr>
          <w:tab/>
        </w:r>
        <w:r w:rsidRPr="00051B55">
          <w:rPr>
            <w:rStyle w:val="Hyperlink"/>
            <w:noProof/>
          </w:rPr>
          <w:t>Pre-1990 Forest Reference Level for 2021</w:t>
        </w:r>
        <w:r w:rsidRPr="00051B55">
          <w:rPr>
            <w:rStyle w:val="Hyperlink"/>
            <w:bCs/>
            <w:noProof/>
          </w:rPr>
          <w:t>–</w:t>
        </w:r>
        <w:r w:rsidRPr="00051B55">
          <w:rPr>
            <w:rStyle w:val="Hyperlink"/>
            <w:noProof/>
          </w:rPr>
          <w:t xml:space="preserve">30 (kilotonnes carbon dioxide </w:t>
        </w:r>
        <w:r w:rsidRPr="00051B55">
          <w:rPr>
            <w:rStyle w:val="Hyperlink"/>
            <w:bCs/>
            <w:noProof/>
          </w:rPr>
          <w:t>(</w:t>
        </w:r>
        <w:r w:rsidRPr="00051B55">
          <w:rPr>
            <w:rStyle w:val="Hyperlink"/>
            <w:noProof/>
          </w:rPr>
          <w:t>kt CO</w:t>
        </w:r>
        <w:r w:rsidRPr="00051B55">
          <w:rPr>
            <w:rStyle w:val="Hyperlink"/>
            <w:noProof/>
            <w:vertAlign w:val="subscript"/>
          </w:rPr>
          <w:t>2</w:t>
        </w:r>
        <w:r w:rsidRPr="00051B55">
          <w:rPr>
            <w:rStyle w:val="Hyperlink"/>
            <w:bCs/>
            <w:noProof/>
          </w:rPr>
          <w:t>)</w:t>
        </w:r>
        <w:r w:rsidRPr="00051B55">
          <w:rPr>
            <w:rStyle w:val="Hyperlink"/>
            <w:noProof/>
          </w:rPr>
          <w:t>)</w:t>
        </w:r>
        <w:r>
          <w:rPr>
            <w:noProof/>
            <w:webHidden/>
          </w:rPr>
          <w:tab/>
        </w:r>
        <w:r>
          <w:rPr>
            <w:noProof/>
            <w:webHidden/>
          </w:rPr>
          <w:fldChar w:fldCharType="begin"/>
        </w:r>
        <w:r>
          <w:rPr>
            <w:noProof/>
            <w:webHidden/>
          </w:rPr>
          <w:instrText xml:space="preserve"> PAGEREF _Toc185347282 \h </w:instrText>
        </w:r>
        <w:r>
          <w:rPr>
            <w:noProof/>
            <w:webHidden/>
          </w:rPr>
        </w:r>
        <w:r>
          <w:rPr>
            <w:noProof/>
            <w:webHidden/>
          </w:rPr>
          <w:fldChar w:fldCharType="separate"/>
        </w:r>
        <w:r w:rsidR="005843E4">
          <w:rPr>
            <w:noProof/>
            <w:webHidden/>
          </w:rPr>
          <w:t>381</w:t>
        </w:r>
        <w:r>
          <w:rPr>
            <w:noProof/>
            <w:webHidden/>
          </w:rPr>
          <w:fldChar w:fldCharType="end"/>
        </w:r>
      </w:hyperlink>
    </w:p>
    <w:p w14:paraId="1254DBC3" w14:textId="45381D5B" w:rsidR="007D0C11" w:rsidRDefault="007D0C11">
      <w:pPr>
        <w:pStyle w:val="TableofFigures"/>
        <w:tabs>
          <w:tab w:val="right" w:pos="8495"/>
        </w:tabs>
        <w:rPr>
          <w:rFonts w:asciiTheme="minorHAnsi" w:hAnsiTheme="minorHAnsi"/>
          <w:noProof/>
          <w:kern w:val="2"/>
          <w:sz w:val="24"/>
          <w:szCs w:val="24"/>
          <w14:ligatures w14:val="standardContextual"/>
        </w:rPr>
      </w:pPr>
      <w:hyperlink w:anchor="_Toc185347283" w:history="1">
        <w:r w:rsidRPr="00051B55">
          <w:rPr>
            <w:rStyle w:val="Hyperlink"/>
            <w:noProof/>
          </w:rPr>
          <w:t>Figure A2.3:</w:t>
        </w:r>
        <w:r>
          <w:rPr>
            <w:rFonts w:asciiTheme="minorHAnsi" w:hAnsiTheme="minorHAnsi"/>
            <w:noProof/>
            <w:kern w:val="2"/>
            <w:sz w:val="24"/>
            <w:szCs w:val="24"/>
            <w14:ligatures w14:val="standardContextual"/>
          </w:rPr>
          <w:tab/>
        </w:r>
        <w:r w:rsidRPr="00051B55">
          <w:rPr>
            <w:rStyle w:val="Hyperlink"/>
            <w:noProof/>
          </w:rPr>
          <w:t>Verification of deforestation in New Zealand</w:t>
        </w:r>
        <w:r>
          <w:rPr>
            <w:noProof/>
            <w:webHidden/>
          </w:rPr>
          <w:tab/>
        </w:r>
        <w:r>
          <w:rPr>
            <w:noProof/>
            <w:webHidden/>
          </w:rPr>
          <w:fldChar w:fldCharType="begin"/>
        </w:r>
        <w:r>
          <w:rPr>
            <w:noProof/>
            <w:webHidden/>
          </w:rPr>
          <w:instrText xml:space="preserve"> PAGEREF _Toc185347283 \h </w:instrText>
        </w:r>
        <w:r>
          <w:rPr>
            <w:noProof/>
            <w:webHidden/>
          </w:rPr>
        </w:r>
        <w:r>
          <w:rPr>
            <w:noProof/>
            <w:webHidden/>
          </w:rPr>
          <w:fldChar w:fldCharType="separate"/>
        </w:r>
        <w:r w:rsidR="005843E4">
          <w:rPr>
            <w:noProof/>
            <w:webHidden/>
          </w:rPr>
          <w:t>387</w:t>
        </w:r>
        <w:r>
          <w:rPr>
            <w:noProof/>
            <w:webHidden/>
          </w:rPr>
          <w:fldChar w:fldCharType="end"/>
        </w:r>
      </w:hyperlink>
    </w:p>
    <w:p w14:paraId="68012A70" w14:textId="517A5EAB" w:rsidR="008A2FF1" w:rsidRDefault="004943C2" w:rsidP="00D51469">
      <w:pPr>
        <w:pStyle w:val="BodyText"/>
      </w:pPr>
      <w:r w:rsidRPr="006B77BB">
        <w:fldChar w:fldCharType="end"/>
      </w:r>
    </w:p>
    <w:p w14:paraId="3ABA7311" w14:textId="77777777" w:rsidR="003751B2" w:rsidRDefault="003751B2">
      <w:pPr>
        <w:spacing w:before="0" w:after="200" w:line="276" w:lineRule="auto"/>
        <w:jc w:val="left"/>
        <w:rPr>
          <w:rFonts w:ascii="Georgia" w:hAnsi="Georgia"/>
          <w:b/>
          <w:bCs/>
          <w:sz w:val="48"/>
          <w:szCs w:val="48"/>
        </w:rPr>
      </w:pPr>
      <w:r>
        <w:rPr>
          <w:rFonts w:ascii="Georgia" w:hAnsi="Georgia"/>
          <w:b/>
          <w:bCs/>
          <w:sz w:val="48"/>
          <w:szCs w:val="48"/>
        </w:rPr>
        <w:br w:type="page"/>
      </w:r>
    </w:p>
    <w:p w14:paraId="640152D5" w14:textId="77777777" w:rsidR="00A0569F" w:rsidRDefault="00A0569F" w:rsidP="0044676F">
      <w:pPr>
        <w:spacing w:before="240" w:after="0"/>
        <w:rPr>
          <w:rFonts w:ascii="Georgia" w:hAnsi="Georgia"/>
          <w:b/>
          <w:bCs/>
          <w:color w:val="1C556C" w:themeColor="accent1"/>
          <w:sz w:val="48"/>
          <w:szCs w:val="48"/>
        </w:rPr>
        <w:sectPr w:rsidR="00A0569F" w:rsidSect="008A7498">
          <w:headerReference w:type="even" r:id="rId26"/>
          <w:headerReference w:type="default" r:id="rId27"/>
          <w:footerReference w:type="default" r:id="rId28"/>
          <w:headerReference w:type="first" r:id="rId29"/>
          <w:pgSz w:w="11907" w:h="16840" w:code="9"/>
          <w:pgMar w:top="1134" w:right="1701" w:bottom="1134" w:left="1701" w:header="567" w:footer="567" w:gutter="0"/>
          <w:cols w:space="720"/>
          <w:docGrid w:linePitch="299"/>
        </w:sectPr>
      </w:pPr>
    </w:p>
    <w:p w14:paraId="37C037EE" w14:textId="34F51F31" w:rsidR="003751B2" w:rsidRDefault="003751B2" w:rsidP="0044676F">
      <w:pPr>
        <w:spacing w:before="240" w:after="0"/>
        <w:rPr>
          <w:rFonts w:ascii="Georgia" w:hAnsi="Georgia"/>
          <w:b/>
          <w:bCs/>
          <w:color w:val="1C556C" w:themeColor="accent1"/>
          <w:sz w:val="48"/>
          <w:szCs w:val="48"/>
        </w:rPr>
      </w:pPr>
      <w:r w:rsidRPr="003751B2">
        <w:rPr>
          <w:rFonts w:ascii="Georgia" w:hAnsi="Georgia"/>
          <w:b/>
          <w:bCs/>
          <w:color w:val="1C556C" w:themeColor="accent1"/>
          <w:sz w:val="48"/>
          <w:szCs w:val="48"/>
        </w:rPr>
        <w:t>Abbreviations</w:t>
      </w:r>
    </w:p>
    <w:p w14:paraId="07BD28BC" w14:textId="77777777" w:rsidR="00D67BEA" w:rsidRPr="003751B2" w:rsidRDefault="00D67BEA" w:rsidP="0044676F">
      <w:pPr>
        <w:spacing w:before="240"/>
        <w:rPr>
          <w:rFonts w:ascii="Georgia" w:hAnsi="Georgia"/>
          <w:b/>
          <w:bCs/>
          <w:color w:val="1C556C" w:themeColor="accent1"/>
          <w:sz w:val="48"/>
          <w:szCs w:val="48"/>
        </w:rPr>
      </w:pPr>
    </w:p>
    <w:tbl>
      <w:tblPr>
        <w:tblW w:w="85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01"/>
        <w:gridCol w:w="6804"/>
      </w:tblGrid>
      <w:tr w:rsidR="007B3C75" w:rsidRPr="007B3C75" w14:paraId="35DF4733" w14:textId="77777777" w:rsidTr="0044676F">
        <w:trPr>
          <w:trHeight w:val="300"/>
        </w:trPr>
        <w:tc>
          <w:tcPr>
            <w:tcW w:w="1701" w:type="dxa"/>
            <w:tcBorders>
              <w:top w:val="nil"/>
              <w:left w:val="nil"/>
              <w:bottom w:val="nil"/>
              <w:right w:val="nil"/>
            </w:tcBorders>
            <w:shd w:val="clear" w:color="auto" w:fill="auto"/>
            <w:hideMark/>
          </w:tcPr>
          <w:p w14:paraId="5F99A191" w14:textId="77777777" w:rsidR="007B3C75" w:rsidRPr="007B3C75" w:rsidRDefault="007B3C75" w:rsidP="001261F5">
            <w:pPr>
              <w:pStyle w:val="BodyText"/>
              <w:spacing w:before="60" w:after="60" w:line="240" w:lineRule="auto"/>
            </w:pPr>
            <w:bookmarkStart w:id="1" w:name="_Toc215561202"/>
            <w:r w:rsidRPr="007B3C75">
              <w:rPr>
                <w:b/>
                <w:bCs/>
              </w:rPr>
              <w:t>ADOPT</w:t>
            </w:r>
            <w:r w:rsidRPr="007B3C75">
              <w:t> </w:t>
            </w:r>
          </w:p>
        </w:tc>
        <w:tc>
          <w:tcPr>
            <w:tcW w:w="6804" w:type="dxa"/>
            <w:tcBorders>
              <w:top w:val="nil"/>
              <w:left w:val="nil"/>
              <w:bottom w:val="nil"/>
              <w:right w:val="nil"/>
            </w:tcBorders>
            <w:shd w:val="clear" w:color="auto" w:fill="auto"/>
            <w:hideMark/>
          </w:tcPr>
          <w:p w14:paraId="23D823B9" w14:textId="77777777" w:rsidR="007B3C75" w:rsidRPr="007B3C75" w:rsidRDefault="007B3C75" w:rsidP="001261F5">
            <w:pPr>
              <w:pStyle w:val="BodyText"/>
              <w:spacing w:before="60" w:after="60" w:line="240" w:lineRule="auto"/>
            </w:pPr>
            <w:r w:rsidRPr="007B3C75">
              <w:t>Adoption and Diffusion Outcome Prediction Tool </w:t>
            </w:r>
          </w:p>
        </w:tc>
      </w:tr>
      <w:tr w:rsidR="007B3C75" w:rsidRPr="007B3C75" w14:paraId="6FF32620" w14:textId="77777777" w:rsidTr="0044676F">
        <w:trPr>
          <w:trHeight w:val="300"/>
        </w:trPr>
        <w:tc>
          <w:tcPr>
            <w:tcW w:w="1701" w:type="dxa"/>
            <w:tcBorders>
              <w:top w:val="nil"/>
              <w:left w:val="nil"/>
              <w:bottom w:val="nil"/>
              <w:right w:val="nil"/>
            </w:tcBorders>
            <w:shd w:val="clear" w:color="auto" w:fill="auto"/>
            <w:hideMark/>
          </w:tcPr>
          <w:p w14:paraId="51BB44F2" w14:textId="77777777" w:rsidR="007B3C75" w:rsidRPr="007B3C75" w:rsidRDefault="007B3C75" w:rsidP="001261F5">
            <w:pPr>
              <w:pStyle w:val="BodyText"/>
              <w:spacing w:before="60" w:after="60" w:line="240" w:lineRule="auto"/>
            </w:pPr>
            <w:r w:rsidRPr="007B3C75">
              <w:rPr>
                <w:b/>
                <w:bCs/>
              </w:rPr>
              <w:t>ASEAN</w:t>
            </w:r>
            <w:r w:rsidRPr="007B3C75">
              <w:t> </w:t>
            </w:r>
          </w:p>
        </w:tc>
        <w:tc>
          <w:tcPr>
            <w:tcW w:w="6804" w:type="dxa"/>
            <w:tcBorders>
              <w:top w:val="nil"/>
              <w:left w:val="nil"/>
              <w:bottom w:val="nil"/>
              <w:right w:val="nil"/>
            </w:tcBorders>
            <w:shd w:val="clear" w:color="auto" w:fill="auto"/>
            <w:hideMark/>
          </w:tcPr>
          <w:p w14:paraId="1850D474" w14:textId="77777777" w:rsidR="007B3C75" w:rsidRPr="007B3C75" w:rsidRDefault="007B3C75" w:rsidP="001261F5">
            <w:pPr>
              <w:pStyle w:val="BodyText"/>
              <w:spacing w:before="60" w:after="60" w:line="240" w:lineRule="auto"/>
            </w:pPr>
            <w:r w:rsidRPr="007B3C75">
              <w:t>Association of Southeast Asian Nations </w:t>
            </w:r>
          </w:p>
        </w:tc>
      </w:tr>
      <w:tr w:rsidR="007B3C75" w:rsidRPr="007B3C75" w14:paraId="1DF55D6C" w14:textId="77777777" w:rsidTr="0044676F">
        <w:trPr>
          <w:trHeight w:val="300"/>
        </w:trPr>
        <w:tc>
          <w:tcPr>
            <w:tcW w:w="1701" w:type="dxa"/>
            <w:tcBorders>
              <w:top w:val="nil"/>
              <w:left w:val="nil"/>
              <w:bottom w:val="nil"/>
              <w:right w:val="nil"/>
            </w:tcBorders>
            <w:shd w:val="clear" w:color="auto" w:fill="auto"/>
            <w:hideMark/>
          </w:tcPr>
          <w:p w14:paraId="5E0A9E79" w14:textId="77777777" w:rsidR="007B3C75" w:rsidRPr="007B3C75" w:rsidRDefault="007B3C75" w:rsidP="001261F5">
            <w:pPr>
              <w:pStyle w:val="BodyText"/>
              <w:spacing w:before="60" w:after="60" w:line="240" w:lineRule="auto"/>
            </w:pPr>
            <w:r w:rsidRPr="007B3C75">
              <w:rPr>
                <w:b/>
                <w:bCs/>
              </w:rPr>
              <w:t>BTR</w:t>
            </w:r>
            <w:r w:rsidRPr="007B3C75">
              <w:t> </w:t>
            </w:r>
          </w:p>
        </w:tc>
        <w:tc>
          <w:tcPr>
            <w:tcW w:w="6804" w:type="dxa"/>
            <w:tcBorders>
              <w:top w:val="nil"/>
              <w:left w:val="nil"/>
              <w:bottom w:val="nil"/>
              <w:right w:val="nil"/>
            </w:tcBorders>
            <w:shd w:val="clear" w:color="auto" w:fill="auto"/>
            <w:hideMark/>
          </w:tcPr>
          <w:p w14:paraId="586E63BE" w14:textId="549C8F9B" w:rsidR="007B3C75" w:rsidRPr="007B3C75" w:rsidRDefault="00626029" w:rsidP="001261F5">
            <w:pPr>
              <w:pStyle w:val="BodyText"/>
              <w:spacing w:before="60" w:after="60" w:line="240" w:lineRule="auto"/>
            </w:pPr>
            <w:r>
              <w:t>B</w:t>
            </w:r>
            <w:r w:rsidR="007B3C75" w:rsidRPr="007B3C75">
              <w:t xml:space="preserve">iennial </w:t>
            </w:r>
            <w:r>
              <w:t>T</w:t>
            </w:r>
            <w:r w:rsidR="007B3C75" w:rsidRPr="007B3C75">
              <w:t xml:space="preserve">ransparency </w:t>
            </w:r>
            <w:r>
              <w:t>R</w:t>
            </w:r>
            <w:r w:rsidR="007B3C75" w:rsidRPr="007B3C75">
              <w:t>eport </w:t>
            </w:r>
          </w:p>
        </w:tc>
      </w:tr>
      <w:tr w:rsidR="007B3C75" w:rsidRPr="007B3C75" w14:paraId="27A119D7" w14:textId="77777777" w:rsidTr="0044676F">
        <w:trPr>
          <w:trHeight w:val="300"/>
        </w:trPr>
        <w:tc>
          <w:tcPr>
            <w:tcW w:w="1701" w:type="dxa"/>
            <w:tcBorders>
              <w:top w:val="nil"/>
              <w:left w:val="nil"/>
              <w:bottom w:val="nil"/>
              <w:right w:val="nil"/>
            </w:tcBorders>
            <w:shd w:val="clear" w:color="auto" w:fill="auto"/>
            <w:hideMark/>
          </w:tcPr>
          <w:p w14:paraId="690DB333" w14:textId="77777777" w:rsidR="007B3C75" w:rsidRPr="007B3C75" w:rsidRDefault="007B3C75" w:rsidP="001261F5">
            <w:pPr>
              <w:pStyle w:val="BodyText"/>
              <w:spacing w:before="60" w:after="60" w:line="240" w:lineRule="auto"/>
            </w:pPr>
            <w:r w:rsidRPr="007B3C75">
              <w:rPr>
                <w:b/>
                <w:bCs/>
              </w:rPr>
              <w:t>CCRA</w:t>
            </w:r>
            <w:r w:rsidRPr="007B3C75">
              <w:t> </w:t>
            </w:r>
          </w:p>
        </w:tc>
        <w:tc>
          <w:tcPr>
            <w:tcW w:w="6804" w:type="dxa"/>
            <w:tcBorders>
              <w:top w:val="nil"/>
              <w:left w:val="nil"/>
              <w:bottom w:val="nil"/>
              <w:right w:val="nil"/>
            </w:tcBorders>
            <w:shd w:val="clear" w:color="auto" w:fill="auto"/>
            <w:hideMark/>
          </w:tcPr>
          <w:p w14:paraId="4DA0A9DB" w14:textId="77777777" w:rsidR="007B3C75" w:rsidRPr="007B3C75" w:rsidRDefault="007B3C75" w:rsidP="001261F5">
            <w:pPr>
              <w:pStyle w:val="BodyText"/>
              <w:spacing w:before="60" w:after="60" w:line="240" w:lineRule="auto"/>
            </w:pPr>
            <w:r w:rsidRPr="007B3C75">
              <w:t>Climate Change Response Act 2002 </w:t>
            </w:r>
          </w:p>
        </w:tc>
      </w:tr>
      <w:tr w:rsidR="007B3C75" w:rsidRPr="007B3C75" w14:paraId="5CC3B724" w14:textId="77777777" w:rsidTr="0044676F">
        <w:trPr>
          <w:trHeight w:val="300"/>
        </w:trPr>
        <w:tc>
          <w:tcPr>
            <w:tcW w:w="1701" w:type="dxa"/>
            <w:tcBorders>
              <w:top w:val="nil"/>
              <w:left w:val="nil"/>
              <w:bottom w:val="nil"/>
              <w:right w:val="nil"/>
            </w:tcBorders>
            <w:shd w:val="clear" w:color="auto" w:fill="auto"/>
            <w:hideMark/>
          </w:tcPr>
          <w:p w14:paraId="6A691A6E" w14:textId="77777777" w:rsidR="007B3C75" w:rsidRPr="007B3C75" w:rsidRDefault="007B3C75" w:rsidP="001261F5">
            <w:pPr>
              <w:pStyle w:val="BodyText"/>
              <w:spacing w:before="60" w:after="60" w:line="240" w:lineRule="auto"/>
            </w:pPr>
            <w:r w:rsidRPr="007B3C75">
              <w:rPr>
                <w:b/>
                <w:bCs/>
              </w:rPr>
              <w:t>CCUS</w:t>
            </w:r>
            <w:r w:rsidRPr="007B3C75">
              <w:t> </w:t>
            </w:r>
          </w:p>
        </w:tc>
        <w:tc>
          <w:tcPr>
            <w:tcW w:w="6804" w:type="dxa"/>
            <w:tcBorders>
              <w:top w:val="nil"/>
              <w:left w:val="nil"/>
              <w:bottom w:val="nil"/>
              <w:right w:val="nil"/>
            </w:tcBorders>
            <w:shd w:val="clear" w:color="auto" w:fill="auto"/>
            <w:hideMark/>
          </w:tcPr>
          <w:p w14:paraId="5D27D92F" w14:textId="77777777" w:rsidR="007B3C75" w:rsidRPr="007B3C75" w:rsidRDefault="007B3C75" w:rsidP="001261F5">
            <w:pPr>
              <w:pStyle w:val="BodyText"/>
              <w:spacing w:before="60" w:after="60" w:line="240" w:lineRule="auto"/>
            </w:pPr>
            <w:r w:rsidRPr="007B3C75">
              <w:t>carbon capture, utilisation and storage </w:t>
            </w:r>
          </w:p>
        </w:tc>
      </w:tr>
      <w:tr w:rsidR="007B3C75" w:rsidRPr="007B3C75" w14:paraId="491515AB" w14:textId="77777777" w:rsidTr="0044676F">
        <w:trPr>
          <w:trHeight w:val="300"/>
        </w:trPr>
        <w:tc>
          <w:tcPr>
            <w:tcW w:w="1701" w:type="dxa"/>
            <w:tcBorders>
              <w:top w:val="nil"/>
              <w:left w:val="nil"/>
              <w:bottom w:val="nil"/>
              <w:right w:val="nil"/>
            </w:tcBorders>
            <w:shd w:val="clear" w:color="auto" w:fill="auto"/>
            <w:hideMark/>
          </w:tcPr>
          <w:p w14:paraId="5B55BC77" w14:textId="77777777" w:rsidR="007B3C75" w:rsidRPr="007B3C75" w:rsidRDefault="007B3C75" w:rsidP="001261F5">
            <w:pPr>
              <w:pStyle w:val="BodyText"/>
              <w:spacing w:before="60" w:after="60" w:line="240" w:lineRule="auto"/>
            </w:pPr>
            <w:r w:rsidRPr="007B3C75">
              <w:rPr>
                <w:b/>
                <w:bCs/>
              </w:rPr>
              <w:t>CEF</w:t>
            </w:r>
            <w:r w:rsidRPr="007B3C75">
              <w:t> </w:t>
            </w:r>
          </w:p>
        </w:tc>
        <w:tc>
          <w:tcPr>
            <w:tcW w:w="6804" w:type="dxa"/>
            <w:tcBorders>
              <w:top w:val="nil"/>
              <w:left w:val="nil"/>
              <w:bottom w:val="nil"/>
              <w:right w:val="nil"/>
            </w:tcBorders>
            <w:shd w:val="clear" w:color="auto" w:fill="auto"/>
            <w:hideMark/>
          </w:tcPr>
          <w:p w14:paraId="032BF9A6" w14:textId="77777777" w:rsidR="007B3C75" w:rsidRPr="007B3C75" w:rsidRDefault="007B3C75" w:rsidP="001261F5">
            <w:pPr>
              <w:pStyle w:val="BodyText"/>
              <w:spacing w:before="60" w:after="60" w:line="240" w:lineRule="auto"/>
            </w:pPr>
            <w:r w:rsidRPr="007B3C75">
              <w:t>carbon equivalent forest </w:t>
            </w:r>
          </w:p>
        </w:tc>
      </w:tr>
      <w:tr w:rsidR="007B3C75" w:rsidRPr="007B3C75" w14:paraId="0A0302AF" w14:textId="77777777" w:rsidTr="0044676F">
        <w:trPr>
          <w:trHeight w:val="300"/>
        </w:trPr>
        <w:tc>
          <w:tcPr>
            <w:tcW w:w="1701" w:type="dxa"/>
            <w:tcBorders>
              <w:top w:val="nil"/>
              <w:left w:val="nil"/>
              <w:bottom w:val="nil"/>
              <w:right w:val="nil"/>
            </w:tcBorders>
            <w:shd w:val="clear" w:color="auto" w:fill="auto"/>
            <w:hideMark/>
          </w:tcPr>
          <w:p w14:paraId="48ED1C16" w14:textId="77777777" w:rsidR="007B3C75" w:rsidRPr="007B3C75" w:rsidRDefault="007B3C75" w:rsidP="001261F5">
            <w:pPr>
              <w:pStyle w:val="BodyText"/>
              <w:spacing w:before="60" w:after="60" w:line="240" w:lineRule="auto"/>
            </w:pPr>
            <w:r w:rsidRPr="007B3C75">
              <w:rPr>
                <w:b/>
                <w:bCs/>
              </w:rPr>
              <w:t>CH</w:t>
            </w:r>
            <w:r w:rsidRPr="007B3C75">
              <w:rPr>
                <w:b/>
                <w:bCs/>
                <w:vertAlign w:val="subscript"/>
              </w:rPr>
              <w:t>4</w:t>
            </w:r>
            <w:r w:rsidRPr="007B3C75">
              <w:t> </w:t>
            </w:r>
          </w:p>
        </w:tc>
        <w:tc>
          <w:tcPr>
            <w:tcW w:w="6804" w:type="dxa"/>
            <w:tcBorders>
              <w:top w:val="nil"/>
              <w:left w:val="nil"/>
              <w:bottom w:val="nil"/>
              <w:right w:val="nil"/>
            </w:tcBorders>
            <w:shd w:val="clear" w:color="auto" w:fill="auto"/>
            <w:hideMark/>
          </w:tcPr>
          <w:p w14:paraId="4B5B561A" w14:textId="77777777" w:rsidR="007B3C75" w:rsidRPr="007B3C75" w:rsidRDefault="007B3C75" w:rsidP="001261F5">
            <w:pPr>
              <w:pStyle w:val="BodyText"/>
              <w:spacing w:before="60" w:after="60" w:line="240" w:lineRule="auto"/>
            </w:pPr>
            <w:r w:rsidRPr="007B3C75">
              <w:t>methane </w:t>
            </w:r>
          </w:p>
        </w:tc>
      </w:tr>
      <w:tr w:rsidR="007B3C75" w:rsidRPr="007B3C75" w14:paraId="7ABEC49F" w14:textId="77777777" w:rsidTr="0044676F">
        <w:trPr>
          <w:trHeight w:val="300"/>
        </w:trPr>
        <w:tc>
          <w:tcPr>
            <w:tcW w:w="1701" w:type="dxa"/>
            <w:tcBorders>
              <w:top w:val="nil"/>
              <w:left w:val="nil"/>
              <w:bottom w:val="nil"/>
              <w:right w:val="nil"/>
            </w:tcBorders>
            <w:shd w:val="clear" w:color="auto" w:fill="auto"/>
            <w:hideMark/>
          </w:tcPr>
          <w:p w14:paraId="308AA1E2" w14:textId="77777777" w:rsidR="007B3C75" w:rsidRPr="007B3C75" w:rsidRDefault="007B3C75" w:rsidP="001261F5">
            <w:pPr>
              <w:pStyle w:val="BodyText"/>
              <w:spacing w:before="60" w:after="60" w:line="240" w:lineRule="auto"/>
            </w:pPr>
            <w:r w:rsidRPr="007B3C75">
              <w:rPr>
                <w:b/>
                <w:bCs/>
              </w:rPr>
              <w:t>CMA</w:t>
            </w:r>
            <w:r w:rsidRPr="007B3C75">
              <w:t> </w:t>
            </w:r>
          </w:p>
        </w:tc>
        <w:tc>
          <w:tcPr>
            <w:tcW w:w="6804" w:type="dxa"/>
            <w:tcBorders>
              <w:top w:val="nil"/>
              <w:left w:val="nil"/>
              <w:bottom w:val="nil"/>
              <w:right w:val="nil"/>
            </w:tcBorders>
            <w:shd w:val="clear" w:color="auto" w:fill="auto"/>
            <w:hideMark/>
          </w:tcPr>
          <w:p w14:paraId="51711851" w14:textId="77777777" w:rsidR="007B3C75" w:rsidRPr="007B3C75" w:rsidRDefault="007B3C75" w:rsidP="001261F5">
            <w:pPr>
              <w:pStyle w:val="BodyText"/>
              <w:spacing w:before="60" w:after="60" w:line="240" w:lineRule="auto"/>
            </w:pPr>
            <w:r w:rsidRPr="007B3C75">
              <w:t>Conference of the Parties serving as the meeting of the Parties to the Paris Agreement </w:t>
            </w:r>
          </w:p>
        </w:tc>
      </w:tr>
      <w:tr w:rsidR="007B3C75" w:rsidRPr="007B3C75" w14:paraId="74AEFF5D" w14:textId="77777777" w:rsidTr="0044676F">
        <w:trPr>
          <w:trHeight w:val="300"/>
        </w:trPr>
        <w:tc>
          <w:tcPr>
            <w:tcW w:w="1701" w:type="dxa"/>
            <w:tcBorders>
              <w:top w:val="nil"/>
              <w:left w:val="nil"/>
              <w:bottom w:val="nil"/>
              <w:right w:val="nil"/>
            </w:tcBorders>
            <w:shd w:val="clear" w:color="auto" w:fill="auto"/>
            <w:hideMark/>
          </w:tcPr>
          <w:p w14:paraId="038A08DE" w14:textId="77777777" w:rsidR="007B3C75" w:rsidRPr="007B3C75" w:rsidRDefault="007B3C75" w:rsidP="001261F5">
            <w:pPr>
              <w:pStyle w:val="BodyText"/>
              <w:spacing w:before="60" w:after="60" w:line="240" w:lineRule="auto"/>
            </w:pPr>
            <w:r w:rsidRPr="007B3C75">
              <w:rPr>
                <w:b/>
                <w:bCs/>
              </w:rPr>
              <w:t>CNGP</w:t>
            </w:r>
            <w:r w:rsidRPr="007B3C75">
              <w:t> </w:t>
            </w:r>
          </w:p>
        </w:tc>
        <w:tc>
          <w:tcPr>
            <w:tcW w:w="6804" w:type="dxa"/>
            <w:tcBorders>
              <w:top w:val="nil"/>
              <w:left w:val="nil"/>
              <w:bottom w:val="nil"/>
              <w:right w:val="nil"/>
            </w:tcBorders>
            <w:shd w:val="clear" w:color="auto" w:fill="auto"/>
            <w:hideMark/>
          </w:tcPr>
          <w:p w14:paraId="6182DEEC" w14:textId="77777777" w:rsidR="007B3C75" w:rsidRPr="007B3C75" w:rsidRDefault="007B3C75" w:rsidP="001261F5">
            <w:pPr>
              <w:pStyle w:val="BodyText"/>
              <w:spacing w:before="60" w:after="60" w:line="240" w:lineRule="auto"/>
            </w:pPr>
            <w:r w:rsidRPr="007B3C75">
              <w:t>Carbon Neutral Government Programme </w:t>
            </w:r>
          </w:p>
        </w:tc>
      </w:tr>
      <w:tr w:rsidR="007B3C75" w:rsidRPr="007B3C75" w14:paraId="0E4F92DE" w14:textId="77777777" w:rsidTr="0044676F">
        <w:trPr>
          <w:trHeight w:val="300"/>
        </w:trPr>
        <w:tc>
          <w:tcPr>
            <w:tcW w:w="1701" w:type="dxa"/>
            <w:tcBorders>
              <w:top w:val="nil"/>
              <w:left w:val="nil"/>
              <w:bottom w:val="nil"/>
              <w:right w:val="nil"/>
            </w:tcBorders>
            <w:shd w:val="clear" w:color="auto" w:fill="auto"/>
            <w:hideMark/>
          </w:tcPr>
          <w:p w14:paraId="788787BF" w14:textId="77777777" w:rsidR="007B3C75" w:rsidRPr="007B3C75" w:rsidRDefault="007B3C75" w:rsidP="001261F5">
            <w:pPr>
              <w:pStyle w:val="BodyText"/>
              <w:spacing w:before="60" w:after="60" w:line="240" w:lineRule="auto"/>
            </w:pPr>
            <w:r w:rsidRPr="007B3C75">
              <w:rPr>
                <w:b/>
                <w:bCs/>
              </w:rPr>
              <w:t>CO</w:t>
            </w:r>
            <w:r w:rsidRPr="007B3C75">
              <w:rPr>
                <w:b/>
                <w:bCs/>
                <w:vertAlign w:val="subscript"/>
              </w:rPr>
              <w:t>2</w:t>
            </w:r>
            <w:r w:rsidRPr="007B3C75">
              <w:rPr>
                <w:b/>
                <w:bCs/>
              </w:rPr>
              <w:t> </w:t>
            </w:r>
            <w:r w:rsidRPr="007B3C75">
              <w:t> </w:t>
            </w:r>
          </w:p>
        </w:tc>
        <w:tc>
          <w:tcPr>
            <w:tcW w:w="6804" w:type="dxa"/>
            <w:tcBorders>
              <w:top w:val="nil"/>
              <w:left w:val="nil"/>
              <w:bottom w:val="nil"/>
              <w:right w:val="nil"/>
            </w:tcBorders>
            <w:shd w:val="clear" w:color="auto" w:fill="auto"/>
            <w:hideMark/>
          </w:tcPr>
          <w:p w14:paraId="026F990F" w14:textId="77777777" w:rsidR="007B3C75" w:rsidRPr="007B3C75" w:rsidRDefault="007B3C75" w:rsidP="001261F5">
            <w:pPr>
              <w:pStyle w:val="BodyText"/>
              <w:spacing w:before="60" w:after="60" w:line="240" w:lineRule="auto"/>
            </w:pPr>
            <w:r w:rsidRPr="007B3C75">
              <w:t>carbon dioxide </w:t>
            </w:r>
          </w:p>
        </w:tc>
      </w:tr>
      <w:tr w:rsidR="007B3C75" w:rsidRPr="007B3C75" w14:paraId="493B4121" w14:textId="77777777" w:rsidTr="0044676F">
        <w:trPr>
          <w:trHeight w:val="300"/>
        </w:trPr>
        <w:tc>
          <w:tcPr>
            <w:tcW w:w="1701" w:type="dxa"/>
            <w:tcBorders>
              <w:top w:val="nil"/>
              <w:left w:val="nil"/>
              <w:bottom w:val="nil"/>
              <w:right w:val="nil"/>
            </w:tcBorders>
            <w:shd w:val="clear" w:color="auto" w:fill="auto"/>
            <w:hideMark/>
          </w:tcPr>
          <w:p w14:paraId="1DC20DE5" w14:textId="77777777" w:rsidR="007B3C75" w:rsidRPr="007B3C75" w:rsidRDefault="007B3C75" w:rsidP="001261F5">
            <w:pPr>
              <w:pStyle w:val="BodyText"/>
              <w:spacing w:before="60" w:after="60" w:line="240" w:lineRule="auto"/>
            </w:pPr>
            <w:r w:rsidRPr="007B3C75">
              <w:rPr>
                <w:b/>
                <w:bCs/>
              </w:rPr>
              <w:t>CO</w:t>
            </w:r>
            <w:r w:rsidRPr="007B3C75">
              <w:rPr>
                <w:b/>
                <w:bCs/>
                <w:vertAlign w:val="subscript"/>
              </w:rPr>
              <w:t>2</w:t>
            </w:r>
            <w:r w:rsidRPr="007B3C75">
              <w:rPr>
                <w:b/>
                <w:bCs/>
              </w:rPr>
              <w:t>e</w:t>
            </w:r>
            <w:r w:rsidRPr="007B3C75">
              <w:t> </w:t>
            </w:r>
          </w:p>
        </w:tc>
        <w:tc>
          <w:tcPr>
            <w:tcW w:w="6804" w:type="dxa"/>
            <w:tcBorders>
              <w:top w:val="nil"/>
              <w:left w:val="nil"/>
              <w:bottom w:val="nil"/>
              <w:right w:val="nil"/>
            </w:tcBorders>
            <w:shd w:val="clear" w:color="auto" w:fill="auto"/>
            <w:hideMark/>
          </w:tcPr>
          <w:p w14:paraId="389BB9FF" w14:textId="77777777" w:rsidR="007B3C75" w:rsidRPr="007B3C75" w:rsidRDefault="007B3C75" w:rsidP="001261F5">
            <w:pPr>
              <w:pStyle w:val="BodyText"/>
              <w:spacing w:before="60" w:after="60" w:line="240" w:lineRule="auto"/>
            </w:pPr>
            <w:r w:rsidRPr="007B3C75">
              <w:t>carbon dioxide equivalent </w:t>
            </w:r>
          </w:p>
        </w:tc>
      </w:tr>
      <w:tr w:rsidR="007B3C75" w:rsidRPr="007B3C75" w14:paraId="4EE0BB39" w14:textId="77777777" w:rsidTr="0044676F">
        <w:trPr>
          <w:trHeight w:val="300"/>
        </w:trPr>
        <w:tc>
          <w:tcPr>
            <w:tcW w:w="1701" w:type="dxa"/>
            <w:tcBorders>
              <w:top w:val="nil"/>
              <w:left w:val="nil"/>
              <w:bottom w:val="nil"/>
              <w:right w:val="nil"/>
            </w:tcBorders>
            <w:shd w:val="clear" w:color="auto" w:fill="auto"/>
            <w:hideMark/>
          </w:tcPr>
          <w:p w14:paraId="013E727F" w14:textId="77777777" w:rsidR="007B3C75" w:rsidRPr="007B3C75" w:rsidRDefault="007B3C75" w:rsidP="001261F5">
            <w:pPr>
              <w:pStyle w:val="BodyText"/>
              <w:spacing w:before="60" w:after="60" w:line="240" w:lineRule="auto"/>
            </w:pPr>
            <w:r w:rsidRPr="007B3C75">
              <w:rPr>
                <w:b/>
                <w:bCs/>
              </w:rPr>
              <w:t>COP</w:t>
            </w:r>
            <w:r w:rsidRPr="007B3C75">
              <w:t> </w:t>
            </w:r>
          </w:p>
        </w:tc>
        <w:tc>
          <w:tcPr>
            <w:tcW w:w="6804" w:type="dxa"/>
            <w:tcBorders>
              <w:top w:val="nil"/>
              <w:left w:val="nil"/>
              <w:bottom w:val="nil"/>
              <w:right w:val="nil"/>
            </w:tcBorders>
            <w:shd w:val="clear" w:color="auto" w:fill="auto"/>
            <w:hideMark/>
          </w:tcPr>
          <w:p w14:paraId="53BB2E01" w14:textId="77777777" w:rsidR="007B3C75" w:rsidRPr="007B3C75" w:rsidRDefault="007B3C75" w:rsidP="001261F5">
            <w:pPr>
              <w:pStyle w:val="BodyText"/>
              <w:spacing w:before="60" w:after="60" w:line="240" w:lineRule="auto"/>
            </w:pPr>
            <w:r w:rsidRPr="007B3C75">
              <w:t>Conference of the Parties </w:t>
            </w:r>
          </w:p>
        </w:tc>
      </w:tr>
      <w:tr w:rsidR="007B3C75" w:rsidRPr="007B3C75" w14:paraId="50D3B179" w14:textId="77777777" w:rsidTr="0044676F">
        <w:trPr>
          <w:trHeight w:val="300"/>
        </w:trPr>
        <w:tc>
          <w:tcPr>
            <w:tcW w:w="1701" w:type="dxa"/>
            <w:tcBorders>
              <w:top w:val="nil"/>
              <w:left w:val="nil"/>
              <w:bottom w:val="nil"/>
              <w:right w:val="nil"/>
            </w:tcBorders>
            <w:shd w:val="clear" w:color="auto" w:fill="auto"/>
            <w:hideMark/>
          </w:tcPr>
          <w:p w14:paraId="1E7B5D5D" w14:textId="77777777" w:rsidR="007B3C75" w:rsidRPr="007B3C75" w:rsidRDefault="007B3C75" w:rsidP="001261F5">
            <w:pPr>
              <w:pStyle w:val="BodyText"/>
              <w:spacing w:before="60" w:after="60" w:line="240" w:lineRule="auto"/>
            </w:pPr>
            <w:r w:rsidRPr="007B3C75">
              <w:rPr>
                <w:b/>
                <w:bCs/>
              </w:rPr>
              <w:t>CRA</w:t>
            </w:r>
            <w:r w:rsidRPr="007B3C75">
              <w:t> </w:t>
            </w:r>
          </w:p>
        </w:tc>
        <w:tc>
          <w:tcPr>
            <w:tcW w:w="6804" w:type="dxa"/>
            <w:tcBorders>
              <w:top w:val="nil"/>
              <w:left w:val="nil"/>
              <w:bottom w:val="nil"/>
              <w:right w:val="nil"/>
            </w:tcBorders>
            <w:shd w:val="clear" w:color="auto" w:fill="auto"/>
            <w:hideMark/>
          </w:tcPr>
          <w:p w14:paraId="7DB98296" w14:textId="77777777" w:rsidR="007B3C75" w:rsidRPr="007B3C75" w:rsidRDefault="007B3C75" w:rsidP="001261F5">
            <w:pPr>
              <w:pStyle w:val="BodyText"/>
              <w:spacing w:before="60" w:after="60" w:line="240" w:lineRule="auto"/>
            </w:pPr>
            <w:r w:rsidRPr="007B3C75">
              <w:t>Calculation and Reporting Application </w:t>
            </w:r>
          </w:p>
        </w:tc>
      </w:tr>
      <w:tr w:rsidR="007B3C75" w:rsidRPr="007B3C75" w14:paraId="085F5A5D" w14:textId="77777777" w:rsidTr="0044676F">
        <w:trPr>
          <w:trHeight w:val="300"/>
        </w:trPr>
        <w:tc>
          <w:tcPr>
            <w:tcW w:w="1701" w:type="dxa"/>
            <w:tcBorders>
              <w:top w:val="nil"/>
              <w:left w:val="nil"/>
              <w:bottom w:val="nil"/>
              <w:right w:val="nil"/>
            </w:tcBorders>
            <w:shd w:val="clear" w:color="auto" w:fill="auto"/>
            <w:hideMark/>
          </w:tcPr>
          <w:p w14:paraId="644C47E5" w14:textId="77777777" w:rsidR="007B3C75" w:rsidRPr="007B3C75" w:rsidRDefault="007B3C75" w:rsidP="001261F5">
            <w:pPr>
              <w:pStyle w:val="BodyText"/>
              <w:spacing w:before="60" w:after="60" w:line="240" w:lineRule="auto"/>
            </w:pPr>
            <w:r w:rsidRPr="007B3C75">
              <w:rPr>
                <w:b/>
                <w:bCs/>
              </w:rPr>
              <w:t>CRT</w:t>
            </w:r>
            <w:r w:rsidRPr="007B3C75">
              <w:t> </w:t>
            </w:r>
          </w:p>
        </w:tc>
        <w:tc>
          <w:tcPr>
            <w:tcW w:w="6804" w:type="dxa"/>
            <w:tcBorders>
              <w:top w:val="nil"/>
              <w:left w:val="nil"/>
              <w:bottom w:val="nil"/>
              <w:right w:val="nil"/>
            </w:tcBorders>
            <w:shd w:val="clear" w:color="auto" w:fill="auto"/>
            <w:hideMark/>
          </w:tcPr>
          <w:p w14:paraId="5D6F0D55" w14:textId="77777777" w:rsidR="007B3C75" w:rsidRPr="007B3C75" w:rsidRDefault="007B3C75" w:rsidP="001261F5">
            <w:pPr>
              <w:pStyle w:val="BodyText"/>
              <w:spacing w:before="60" w:after="60" w:line="240" w:lineRule="auto"/>
            </w:pPr>
            <w:r w:rsidRPr="007B3C75">
              <w:t>common reporting table </w:t>
            </w:r>
          </w:p>
        </w:tc>
      </w:tr>
      <w:tr w:rsidR="007B3C75" w:rsidRPr="007B3C75" w14:paraId="1F4E06FD" w14:textId="77777777" w:rsidTr="0044676F">
        <w:trPr>
          <w:trHeight w:val="300"/>
        </w:trPr>
        <w:tc>
          <w:tcPr>
            <w:tcW w:w="1701" w:type="dxa"/>
            <w:tcBorders>
              <w:top w:val="nil"/>
              <w:left w:val="nil"/>
              <w:bottom w:val="nil"/>
              <w:right w:val="nil"/>
            </w:tcBorders>
            <w:shd w:val="clear" w:color="auto" w:fill="auto"/>
            <w:hideMark/>
          </w:tcPr>
          <w:p w14:paraId="4D1A4527" w14:textId="77777777" w:rsidR="007B3C75" w:rsidRPr="007B3C75" w:rsidRDefault="007B3C75" w:rsidP="001261F5">
            <w:pPr>
              <w:pStyle w:val="BodyText"/>
              <w:spacing w:before="60" w:after="60" w:line="240" w:lineRule="auto"/>
            </w:pPr>
            <w:r w:rsidRPr="007B3C75">
              <w:rPr>
                <w:b/>
                <w:bCs/>
              </w:rPr>
              <w:t>CTF</w:t>
            </w:r>
            <w:r w:rsidRPr="007B3C75">
              <w:t> </w:t>
            </w:r>
          </w:p>
        </w:tc>
        <w:tc>
          <w:tcPr>
            <w:tcW w:w="6804" w:type="dxa"/>
            <w:tcBorders>
              <w:top w:val="nil"/>
              <w:left w:val="nil"/>
              <w:bottom w:val="nil"/>
              <w:right w:val="nil"/>
            </w:tcBorders>
            <w:shd w:val="clear" w:color="auto" w:fill="auto"/>
            <w:hideMark/>
          </w:tcPr>
          <w:p w14:paraId="03DBB8D2" w14:textId="77777777" w:rsidR="007B3C75" w:rsidRPr="007B3C75" w:rsidRDefault="007B3C75" w:rsidP="001261F5">
            <w:pPr>
              <w:pStyle w:val="BodyText"/>
              <w:spacing w:before="60" w:after="60" w:line="240" w:lineRule="auto"/>
            </w:pPr>
            <w:r w:rsidRPr="007B3C75">
              <w:t>common tabular format </w:t>
            </w:r>
          </w:p>
        </w:tc>
      </w:tr>
      <w:tr w:rsidR="007B3C75" w:rsidRPr="007B3C75" w14:paraId="3E01E726" w14:textId="77777777" w:rsidTr="0044676F">
        <w:trPr>
          <w:trHeight w:val="300"/>
        </w:trPr>
        <w:tc>
          <w:tcPr>
            <w:tcW w:w="1701" w:type="dxa"/>
            <w:tcBorders>
              <w:top w:val="nil"/>
              <w:left w:val="nil"/>
              <w:bottom w:val="nil"/>
              <w:right w:val="nil"/>
            </w:tcBorders>
            <w:shd w:val="clear" w:color="auto" w:fill="auto"/>
            <w:hideMark/>
          </w:tcPr>
          <w:p w14:paraId="0F6EE251" w14:textId="77777777" w:rsidR="007B3C75" w:rsidRPr="007B3C75" w:rsidRDefault="007B3C75" w:rsidP="001261F5">
            <w:pPr>
              <w:pStyle w:val="BodyText"/>
              <w:spacing w:before="60" w:after="60" w:line="240" w:lineRule="auto"/>
            </w:pPr>
            <w:r w:rsidRPr="007B3C75">
              <w:rPr>
                <w:b/>
                <w:bCs/>
              </w:rPr>
              <w:t>DAC</w:t>
            </w:r>
            <w:r w:rsidRPr="007B3C75">
              <w:t> </w:t>
            </w:r>
          </w:p>
        </w:tc>
        <w:tc>
          <w:tcPr>
            <w:tcW w:w="6804" w:type="dxa"/>
            <w:tcBorders>
              <w:top w:val="nil"/>
              <w:left w:val="nil"/>
              <w:bottom w:val="nil"/>
              <w:right w:val="nil"/>
            </w:tcBorders>
            <w:shd w:val="clear" w:color="auto" w:fill="auto"/>
            <w:hideMark/>
          </w:tcPr>
          <w:p w14:paraId="2BECFF11" w14:textId="77777777" w:rsidR="007B3C75" w:rsidRPr="007B3C75" w:rsidRDefault="007B3C75" w:rsidP="001261F5">
            <w:pPr>
              <w:pStyle w:val="BodyText"/>
              <w:spacing w:before="60" w:after="60" w:line="240" w:lineRule="auto"/>
            </w:pPr>
            <w:r w:rsidRPr="007B3C75">
              <w:t>Development Assistance Committee </w:t>
            </w:r>
          </w:p>
        </w:tc>
      </w:tr>
      <w:tr w:rsidR="007B3C75" w:rsidRPr="007B3C75" w14:paraId="6ED0ED06" w14:textId="77777777" w:rsidTr="0044676F">
        <w:trPr>
          <w:trHeight w:val="300"/>
        </w:trPr>
        <w:tc>
          <w:tcPr>
            <w:tcW w:w="1701" w:type="dxa"/>
            <w:tcBorders>
              <w:top w:val="nil"/>
              <w:left w:val="nil"/>
              <w:bottom w:val="nil"/>
              <w:right w:val="nil"/>
            </w:tcBorders>
            <w:shd w:val="clear" w:color="auto" w:fill="auto"/>
            <w:hideMark/>
          </w:tcPr>
          <w:p w14:paraId="6A0D6A94" w14:textId="77777777" w:rsidR="007B3C75" w:rsidRPr="007B3C75" w:rsidRDefault="007B3C75" w:rsidP="001261F5">
            <w:pPr>
              <w:pStyle w:val="BodyText"/>
              <w:spacing w:before="60" w:after="60" w:line="240" w:lineRule="auto"/>
            </w:pPr>
            <w:r w:rsidRPr="007B3C75">
              <w:rPr>
                <w:b/>
                <w:bCs/>
              </w:rPr>
              <w:t>EECA</w:t>
            </w:r>
            <w:r w:rsidRPr="007B3C75">
              <w:t> </w:t>
            </w:r>
          </w:p>
        </w:tc>
        <w:tc>
          <w:tcPr>
            <w:tcW w:w="6804" w:type="dxa"/>
            <w:tcBorders>
              <w:top w:val="nil"/>
              <w:left w:val="nil"/>
              <w:bottom w:val="nil"/>
              <w:right w:val="nil"/>
            </w:tcBorders>
            <w:shd w:val="clear" w:color="auto" w:fill="auto"/>
            <w:hideMark/>
          </w:tcPr>
          <w:p w14:paraId="1FBE9E70" w14:textId="77777777" w:rsidR="007B3C75" w:rsidRPr="007B3C75" w:rsidRDefault="007B3C75" w:rsidP="001261F5">
            <w:pPr>
              <w:pStyle w:val="BodyText"/>
              <w:spacing w:before="60" w:after="60" w:line="240" w:lineRule="auto"/>
            </w:pPr>
            <w:r w:rsidRPr="007B3C75">
              <w:t>Energy Efficiency and Conservation Authority </w:t>
            </w:r>
          </w:p>
        </w:tc>
      </w:tr>
      <w:tr w:rsidR="007B3C75" w:rsidRPr="007B3C75" w14:paraId="6FCCC3B1" w14:textId="77777777" w:rsidTr="0044676F">
        <w:trPr>
          <w:trHeight w:val="300"/>
        </w:trPr>
        <w:tc>
          <w:tcPr>
            <w:tcW w:w="1701" w:type="dxa"/>
            <w:tcBorders>
              <w:top w:val="nil"/>
              <w:left w:val="nil"/>
              <w:bottom w:val="nil"/>
              <w:right w:val="nil"/>
            </w:tcBorders>
            <w:shd w:val="clear" w:color="auto" w:fill="auto"/>
            <w:hideMark/>
          </w:tcPr>
          <w:p w14:paraId="6022042D" w14:textId="77777777" w:rsidR="007B3C75" w:rsidRPr="007B3C75" w:rsidRDefault="007B3C75" w:rsidP="001261F5">
            <w:pPr>
              <w:pStyle w:val="BodyText"/>
              <w:spacing w:before="60" w:after="60" w:line="240" w:lineRule="auto"/>
            </w:pPr>
            <w:r w:rsidRPr="007B3C75">
              <w:rPr>
                <w:b/>
                <w:bCs/>
              </w:rPr>
              <w:t>ENZ</w:t>
            </w:r>
            <w:r w:rsidRPr="007B3C75">
              <w:t> </w:t>
            </w:r>
          </w:p>
        </w:tc>
        <w:tc>
          <w:tcPr>
            <w:tcW w:w="6804" w:type="dxa"/>
            <w:tcBorders>
              <w:top w:val="nil"/>
              <w:left w:val="nil"/>
              <w:bottom w:val="nil"/>
              <w:right w:val="nil"/>
            </w:tcBorders>
            <w:shd w:val="clear" w:color="auto" w:fill="auto"/>
            <w:hideMark/>
          </w:tcPr>
          <w:p w14:paraId="14071C13" w14:textId="77777777" w:rsidR="007B3C75" w:rsidRPr="007B3C75" w:rsidRDefault="007B3C75" w:rsidP="001261F5">
            <w:pPr>
              <w:pStyle w:val="BodyText"/>
              <w:spacing w:before="60" w:after="60" w:line="240" w:lineRule="auto"/>
            </w:pPr>
            <w:r w:rsidRPr="007B3C75">
              <w:t>Emissions in New Zealand </w:t>
            </w:r>
          </w:p>
        </w:tc>
      </w:tr>
      <w:tr w:rsidR="007B3C75" w:rsidRPr="007B3C75" w14:paraId="6B31CBFB" w14:textId="77777777" w:rsidTr="0044676F">
        <w:trPr>
          <w:trHeight w:val="300"/>
        </w:trPr>
        <w:tc>
          <w:tcPr>
            <w:tcW w:w="1701" w:type="dxa"/>
            <w:tcBorders>
              <w:top w:val="nil"/>
              <w:left w:val="nil"/>
              <w:bottom w:val="nil"/>
              <w:right w:val="nil"/>
            </w:tcBorders>
            <w:shd w:val="clear" w:color="auto" w:fill="auto"/>
            <w:hideMark/>
          </w:tcPr>
          <w:p w14:paraId="1D7C3F62" w14:textId="77777777" w:rsidR="007B3C75" w:rsidRPr="007B3C75" w:rsidRDefault="007B3C75" w:rsidP="001261F5">
            <w:pPr>
              <w:pStyle w:val="BodyText"/>
              <w:spacing w:before="60" w:after="60" w:line="240" w:lineRule="auto"/>
            </w:pPr>
            <w:r w:rsidRPr="007B3C75">
              <w:rPr>
                <w:b/>
                <w:bCs/>
              </w:rPr>
              <w:t>ERP1</w:t>
            </w:r>
            <w:r w:rsidRPr="007B3C75">
              <w:t> </w:t>
            </w:r>
          </w:p>
        </w:tc>
        <w:tc>
          <w:tcPr>
            <w:tcW w:w="6804" w:type="dxa"/>
            <w:tcBorders>
              <w:top w:val="nil"/>
              <w:left w:val="nil"/>
              <w:bottom w:val="nil"/>
              <w:right w:val="nil"/>
            </w:tcBorders>
            <w:shd w:val="clear" w:color="auto" w:fill="auto"/>
            <w:hideMark/>
          </w:tcPr>
          <w:p w14:paraId="42986399" w14:textId="1DDE0FBA" w:rsidR="007B3C75" w:rsidRPr="007B3C75" w:rsidRDefault="007B3C75" w:rsidP="001261F5">
            <w:pPr>
              <w:pStyle w:val="BodyText"/>
              <w:spacing w:before="60" w:after="60" w:line="240" w:lineRule="auto"/>
            </w:pPr>
            <w:r w:rsidRPr="007B3C75">
              <w:t xml:space="preserve">first </w:t>
            </w:r>
            <w:r w:rsidR="005B2CDB">
              <w:t>e</w:t>
            </w:r>
            <w:r w:rsidRPr="007B3C75">
              <w:t xml:space="preserve">missions </w:t>
            </w:r>
            <w:r w:rsidR="005B2CDB">
              <w:t>r</w:t>
            </w:r>
            <w:r w:rsidRPr="007B3C75">
              <w:t xml:space="preserve">eduction </w:t>
            </w:r>
            <w:r w:rsidR="005B2CDB">
              <w:t>p</w:t>
            </w:r>
            <w:r w:rsidRPr="007B3C75">
              <w:t>lan </w:t>
            </w:r>
          </w:p>
        </w:tc>
      </w:tr>
      <w:tr w:rsidR="007B3C75" w:rsidRPr="007B3C75" w14:paraId="22E5E85C" w14:textId="77777777" w:rsidTr="0044676F">
        <w:trPr>
          <w:trHeight w:val="300"/>
        </w:trPr>
        <w:tc>
          <w:tcPr>
            <w:tcW w:w="1701" w:type="dxa"/>
            <w:tcBorders>
              <w:top w:val="nil"/>
              <w:left w:val="nil"/>
              <w:bottom w:val="nil"/>
              <w:right w:val="nil"/>
            </w:tcBorders>
            <w:shd w:val="clear" w:color="auto" w:fill="auto"/>
            <w:hideMark/>
          </w:tcPr>
          <w:p w14:paraId="706B4F7F" w14:textId="77777777" w:rsidR="007B3C75" w:rsidRPr="007B3C75" w:rsidRDefault="007B3C75" w:rsidP="001261F5">
            <w:pPr>
              <w:pStyle w:val="BodyText"/>
              <w:spacing w:before="60" w:after="60" w:line="240" w:lineRule="auto"/>
            </w:pPr>
            <w:r w:rsidRPr="007B3C75">
              <w:rPr>
                <w:b/>
                <w:bCs/>
              </w:rPr>
              <w:t>ERP2</w:t>
            </w:r>
            <w:r w:rsidRPr="007B3C75">
              <w:t> </w:t>
            </w:r>
          </w:p>
        </w:tc>
        <w:tc>
          <w:tcPr>
            <w:tcW w:w="6804" w:type="dxa"/>
            <w:tcBorders>
              <w:top w:val="nil"/>
              <w:left w:val="nil"/>
              <w:bottom w:val="nil"/>
              <w:right w:val="nil"/>
            </w:tcBorders>
            <w:shd w:val="clear" w:color="auto" w:fill="auto"/>
            <w:hideMark/>
          </w:tcPr>
          <w:p w14:paraId="5FD5A9F4" w14:textId="7A48A4D6" w:rsidR="007B3C75" w:rsidRPr="007B3C75" w:rsidRDefault="007B3C75" w:rsidP="001261F5">
            <w:pPr>
              <w:pStyle w:val="BodyText"/>
              <w:spacing w:before="60" w:after="60" w:line="240" w:lineRule="auto"/>
            </w:pPr>
            <w:r w:rsidRPr="007B3C75">
              <w:t xml:space="preserve">second </w:t>
            </w:r>
            <w:r w:rsidR="005B2CDB">
              <w:t>e</w:t>
            </w:r>
            <w:r w:rsidRPr="007B3C75">
              <w:t xml:space="preserve">missions </w:t>
            </w:r>
            <w:r w:rsidR="005B2CDB">
              <w:t>r</w:t>
            </w:r>
            <w:r w:rsidRPr="007B3C75">
              <w:t xml:space="preserve">eduction </w:t>
            </w:r>
            <w:r w:rsidR="005B2CDB">
              <w:t>p</w:t>
            </w:r>
            <w:r w:rsidRPr="007B3C75">
              <w:t>lan </w:t>
            </w:r>
          </w:p>
        </w:tc>
      </w:tr>
      <w:tr w:rsidR="007B3C75" w:rsidRPr="007B3C75" w14:paraId="1C1B6453" w14:textId="77777777" w:rsidTr="0044676F">
        <w:trPr>
          <w:trHeight w:val="300"/>
        </w:trPr>
        <w:tc>
          <w:tcPr>
            <w:tcW w:w="1701" w:type="dxa"/>
            <w:tcBorders>
              <w:top w:val="nil"/>
              <w:left w:val="nil"/>
              <w:bottom w:val="nil"/>
              <w:right w:val="nil"/>
            </w:tcBorders>
            <w:shd w:val="clear" w:color="auto" w:fill="auto"/>
            <w:hideMark/>
          </w:tcPr>
          <w:p w14:paraId="690FC86B" w14:textId="77777777" w:rsidR="007B3C75" w:rsidRPr="007B3C75" w:rsidRDefault="007B3C75" w:rsidP="001261F5">
            <w:pPr>
              <w:pStyle w:val="BodyText"/>
              <w:spacing w:before="60" w:after="60" w:line="240" w:lineRule="auto"/>
            </w:pPr>
            <w:r w:rsidRPr="007B3C75">
              <w:rPr>
                <w:b/>
                <w:bCs/>
              </w:rPr>
              <w:t>ERPs</w:t>
            </w:r>
            <w:r w:rsidRPr="007B3C75">
              <w:t> </w:t>
            </w:r>
          </w:p>
        </w:tc>
        <w:tc>
          <w:tcPr>
            <w:tcW w:w="6804" w:type="dxa"/>
            <w:tcBorders>
              <w:top w:val="nil"/>
              <w:left w:val="nil"/>
              <w:bottom w:val="nil"/>
              <w:right w:val="nil"/>
            </w:tcBorders>
            <w:shd w:val="clear" w:color="auto" w:fill="auto"/>
            <w:hideMark/>
          </w:tcPr>
          <w:p w14:paraId="1D889727" w14:textId="77777777" w:rsidR="007B3C75" w:rsidRPr="007B3C75" w:rsidRDefault="007B3C75" w:rsidP="001261F5">
            <w:pPr>
              <w:pStyle w:val="BodyText"/>
              <w:spacing w:before="60" w:after="60" w:line="240" w:lineRule="auto"/>
            </w:pPr>
            <w:r w:rsidRPr="007B3C75">
              <w:t>emissions reduction plans </w:t>
            </w:r>
          </w:p>
        </w:tc>
      </w:tr>
      <w:tr w:rsidR="007B3C75" w:rsidRPr="007B3C75" w14:paraId="3AA86E8A" w14:textId="77777777" w:rsidTr="0044676F">
        <w:trPr>
          <w:trHeight w:val="300"/>
        </w:trPr>
        <w:tc>
          <w:tcPr>
            <w:tcW w:w="1701" w:type="dxa"/>
            <w:tcBorders>
              <w:top w:val="nil"/>
              <w:left w:val="nil"/>
              <w:bottom w:val="nil"/>
              <w:right w:val="nil"/>
            </w:tcBorders>
            <w:shd w:val="clear" w:color="auto" w:fill="auto"/>
            <w:hideMark/>
          </w:tcPr>
          <w:p w14:paraId="61E47D9F" w14:textId="77777777" w:rsidR="007B3C75" w:rsidRPr="007B3C75" w:rsidRDefault="007B3C75" w:rsidP="001261F5">
            <w:pPr>
              <w:pStyle w:val="BodyText"/>
              <w:spacing w:before="60" w:after="60" w:line="240" w:lineRule="auto"/>
            </w:pPr>
            <w:r w:rsidRPr="007B3C75">
              <w:rPr>
                <w:b/>
                <w:bCs/>
              </w:rPr>
              <w:t>EV</w:t>
            </w:r>
            <w:r w:rsidRPr="007B3C75">
              <w:t> </w:t>
            </w:r>
          </w:p>
        </w:tc>
        <w:tc>
          <w:tcPr>
            <w:tcW w:w="6804" w:type="dxa"/>
            <w:tcBorders>
              <w:top w:val="nil"/>
              <w:left w:val="nil"/>
              <w:bottom w:val="nil"/>
              <w:right w:val="nil"/>
            </w:tcBorders>
            <w:shd w:val="clear" w:color="auto" w:fill="auto"/>
            <w:hideMark/>
          </w:tcPr>
          <w:p w14:paraId="15B422D1" w14:textId="77777777" w:rsidR="007B3C75" w:rsidRPr="007B3C75" w:rsidRDefault="007B3C75" w:rsidP="001261F5">
            <w:pPr>
              <w:pStyle w:val="BodyText"/>
              <w:spacing w:before="60" w:after="60" w:line="240" w:lineRule="auto"/>
            </w:pPr>
            <w:r w:rsidRPr="007B3C75">
              <w:t>electric vehicle </w:t>
            </w:r>
          </w:p>
        </w:tc>
      </w:tr>
      <w:tr w:rsidR="007B3C75" w:rsidRPr="007B3C75" w14:paraId="161BD993" w14:textId="77777777" w:rsidTr="0044676F">
        <w:trPr>
          <w:trHeight w:val="300"/>
        </w:trPr>
        <w:tc>
          <w:tcPr>
            <w:tcW w:w="1701" w:type="dxa"/>
            <w:tcBorders>
              <w:top w:val="nil"/>
              <w:left w:val="nil"/>
              <w:bottom w:val="nil"/>
              <w:right w:val="nil"/>
            </w:tcBorders>
            <w:shd w:val="clear" w:color="auto" w:fill="auto"/>
            <w:hideMark/>
          </w:tcPr>
          <w:p w14:paraId="6AA569F7" w14:textId="77777777" w:rsidR="007B3C75" w:rsidRPr="007B3C75" w:rsidRDefault="007B3C75" w:rsidP="001261F5">
            <w:pPr>
              <w:pStyle w:val="BodyText"/>
              <w:spacing w:before="60" w:after="60" w:line="240" w:lineRule="auto"/>
            </w:pPr>
            <w:r w:rsidRPr="007B3C75">
              <w:rPr>
                <w:b/>
                <w:bCs/>
              </w:rPr>
              <w:t>F-gases</w:t>
            </w:r>
            <w:r w:rsidRPr="007B3C75">
              <w:t> </w:t>
            </w:r>
          </w:p>
        </w:tc>
        <w:tc>
          <w:tcPr>
            <w:tcW w:w="6804" w:type="dxa"/>
            <w:tcBorders>
              <w:top w:val="nil"/>
              <w:left w:val="nil"/>
              <w:bottom w:val="nil"/>
              <w:right w:val="nil"/>
            </w:tcBorders>
            <w:shd w:val="clear" w:color="auto" w:fill="auto"/>
            <w:hideMark/>
          </w:tcPr>
          <w:p w14:paraId="66DF0DA8" w14:textId="77777777" w:rsidR="007B3C75" w:rsidRPr="007B3C75" w:rsidRDefault="007B3C75" w:rsidP="001261F5">
            <w:pPr>
              <w:pStyle w:val="BodyText"/>
              <w:spacing w:before="60" w:after="60" w:line="240" w:lineRule="auto"/>
            </w:pPr>
            <w:r w:rsidRPr="007B3C75">
              <w:t>fluorinated gases </w:t>
            </w:r>
          </w:p>
        </w:tc>
      </w:tr>
      <w:tr w:rsidR="007B3C75" w:rsidRPr="007B3C75" w14:paraId="76AAA880" w14:textId="77777777" w:rsidTr="0044676F">
        <w:trPr>
          <w:trHeight w:val="300"/>
        </w:trPr>
        <w:tc>
          <w:tcPr>
            <w:tcW w:w="1701" w:type="dxa"/>
            <w:tcBorders>
              <w:top w:val="nil"/>
              <w:left w:val="nil"/>
              <w:bottom w:val="nil"/>
              <w:right w:val="nil"/>
            </w:tcBorders>
            <w:shd w:val="clear" w:color="auto" w:fill="auto"/>
            <w:hideMark/>
          </w:tcPr>
          <w:p w14:paraId="45769353" w14:textId="77777777" w:rsidR="007B3C75" w:rsidRPr="007B3C75" w:rsidRDefault="007B3C75" w:rsidP="001261F5">
            <w:pPr>
              <w:pStyle w:val="BodyText"/>
              <w:spacing w:before="60" w:after="60" w:line="240" w:lineRule="auto"/>
            </w:pPr>
            <w:r w:rsidRPr="007B3C75">
              <w:rPr>
                <w:b/>
                <w:bCs/>
              </w:rPr>
              <w:t>FRL</w:t>
            </w:r>
            <w:r w:rsidRPr="007B3C75">
              <w:t> </w:t>
            </w:r>
          </w:p>
        </w:tc>
        <w:tc>
          <w:tcPr>
            <w:tcW w:w="6804" w:type="dxa"/>
            <w:tcBorders>
              <w:top w:val="nil"/>
              <w:left w:val="nil"/>
              <w:bottom w:val="nil"/>
              <w:right w:val="nil"/>
            </w:tcBorders>
            <w:shd w:val="clear" w:color="auto" w:fill="auto"/>
            <w:hideMark/>
          </w:tcPr>
          <w:p w14:paraId="70FEB675" w14:textId="77777777" w:rsidR="007B3C75" w:rsidRPr="007B3C75" w:rsidRDefault="007B3C75" w:rsidP="001261F5">
            <w:pPr>
              <w:pStyle w:val="BodyText"/>
              <w:spacing w:before="60" w:after="60" w:line="240" w:lineRule="auto"/>
            </w:pPr>
            <w:r w:rsidRPr="007B3C75">
              <w:t>forest reference level </w:t>
            </w:r>
          </w:p>
        </w:tc>
      </w:tr>
      <w:tr w:rsidR="007B3C75" w:rsidRPr="007B3C75" w14:paraId="1A5FB3C4" w14:textId="77777777" w:rsidTr="0044676F">
        <w:trPr>
          <w:trHeight w:val="300"/>
        </w:trPr>
        <w:tc>
          <w:tcPr>
            <w:tcW w:w="1701" w:type="dxa"/>
            <w:tcBorders>
              <w:top w:val="nil"/>
              <w:left w:val="nil"/>
              <w:bottom w:val="nil"/>
              <w:right w:val="nil"/>
            </w:tcBorders>
            <w:shd w:val="clear" w:color="auto" w:fill="auto"/>
            <w:hideMark/>
          </w:tcPr>
          <w:p w14:paraId="0C0F3C66" w14:textId="77777777" w:rsidR="007B3C75" w:rsidRPr="007B3C75" w:rsidRDefault="007B3C75" w:rsidP="001261F5">
            <w:pPr>
              <w:pStyle w:val="BodyText"/>
              <w:spacing w:before="60" w:after="60" w:line="240" w:lineRule="auto"/>
            </w:pPr>
            <w:r w:rsidRPr="007B3C75">
              <w:rPr>
                <w:b/>
                <w:bCs/>
              </w:rPr>
              <w:t>GDP</w:t>
            </w:r>
            <w:r w:rsidRPr="007B3C75">
              <w:t> </w:t>
            </w:r>
          </w:p>
        </w:tc>
        <w:tc>
          <w:tcPr>
            <w:tcW w:w="6804" w:type="dxa"/>
            <w:tcBorders>
              <w:top w:val="nil"/>
              <w:left w:val="nil"/>
              <w:bottom w:val="nil"/>
              <w:right w:val="nil"/>
            </w:tcBorders>
            <w:shd w:val="clear" w:color="auto" w:fill="auto"/>
            <w:hideMark/>
          </w:tcPr>
          <w:p w14:paraId="3F8CDF4F" w14:textId="77777777" w:rsidR="007B3C75" w:rsidRPr="007B3C75" w:rsidRDefault="007B3C75" w:rsidP="001261F5">
            <w:pPr>
              <w:pStyle w:val="BodyText"/>
              <w:spacing w:before="60" w:after="60" w:line="240" w:lineRule="auto"/>
            </w:pPr>
            <w:r w:rsidRPr="007B3C75">
              <w:t>gross domestic product </w:t>
            </w:r>
          </w:p>
        </w:tc>
      </w:tr>
      <w:tr w:rsidR="007B3C75" w:rsidRPr="007B3C75" w14:paraId="1AF27DE8" w14:textId="77777777" w:rsidTr="0044676F">
        <w:trPr>
          <w:trHeight w:val="300"/>
        </w:trPr>
        <w:tc>
          <w:tcPr>
            <w:tcW w:w="1701" w:type="dxa"/>
            <w:tcBorders>
              <w:top w:val="nil"/>
              <w:left w:val="nil"/>
              <w:bottom w:val="nil"/>
              <w:right w:val="nil"/>
            </w:tcBorders>
            <w:shd w:val="clear" w:color="auto" w:fill="auto"/>
            <w:hideMark/>
          </w:tcPr>
          <w:p w14:paraId="6480266A" w14:textId="77777777" w:rsidR="007B3C75" w:rsidRPr="007B3C75" w:rsidRDefault="007B3C75" w:rsidP="001261F5">
            <w:pPr>
              <w:pStyle w:val="BodyText"/>
              <w:spacing w:before="60" w:after="60" w:line="240" w:lineRule="auto"/>
            </w:pPr>
            <w:r w:rsidRPr="007B3C75">
              <w:rPr>
                <w:b/>
                <w:bCs/>
              </w:rPr>
              <w:t>GEM</w:t>
            </w:r>
            <w:r w:rsidRPr="007B3C75">
              <w:t> </w:t>
            </w:r>
          </w:p>
        </w:tc>
        <w:tc>
          <w:tcPr>
            <w:tcW w:w="6804" w:type="dxa"/>
            <w:tcBorders>
              <w:top w:val="nil"/>
              <w:left w:val="nil"/>
              <w:bottom w:val="nil"/>
              <w:right w:val="nil"/>
            </w:tcBorders>
            <w:shd w:val="clear" w:color="auto" w:fill="auto"/>
            <w:hideMark/>
          </w:tcPr>
          <w:p w14:paraId="234EA3E6" w14:textId="77777777" w:rsidR="007B3C75" w:rsidRPr="007B3C75" w:rsidRDefault="007B3C75" w:rsidP="001261F5">
            <w:pPr>
              <w:pStyle w:val="BodyText"/>
              <w:spacing w:before="60" w:after="60" w:line="240" w:lineRule="auto"/>
            </w:pPr>
            <w:r w:rsidRPr="007B3C75">
              <w:t>Generation Expansion Model </w:t>
            </w:r>
          </w:p>
        </w:tc>
      </w:tr>
      <w:tr w:rsidR="007B3C75" w:rsidRPr="007B3C75" w14:paraId="30FBF130" w14:textId="77777777" w:rsidTr="0044676F">
        <w:trPr>
          <w:trHeight w:val="300"/>
        </w:trPr>
        <w:tc>
          <w:tcPr>
            <w:tcW w:w="1701" w:type="dxa"/>
            <w:tcBorders>
              <w:top w:val="nil"/>
              <w:left w:val="nil"/>
              <w:bottom w:val="nil"/>
              <w:right w:val="nil"/>
            </w:tcBorders>
            <w:shd w:val="clear" w:color="auto" w:fill="auto"/>
            <w:hideMark/>
          </w:tcPr>
          <w:p w14:paraId="63D4EE78" w14:textId="77777777" w:rsidR="007B3C75" w:rsidRPr="007B3C75" w:rsidRDefault="007B3C75" w:rsidP="001261F5">
            <w:pPr>
              <w:pStyle w:val="BodyText"/>
              <w:spacing w:before="60" w:after="60" w:line="240" w:lineRule="auto"/>
            </w:pPr>
            <w:r w:rsidRPr="007B3C75">
              <w:rPr>
                <w:b/>
                <w:bCs/>
              </w:rPr>
              <w:t>GHG</w:t>
            </w:r>
            <w:r w:rsidRPr="007B3C75">
              <w:t> </w:t>
            </w:r>
          </w:p>
        </w:tc>
        <w:tc>
          <w:tcPr>
            <w:tcW w:w="6804" w:type="dxa"/>
            <w:tcBorders>
              <w:top w:val="nil"/>
              <w:left w:val="nil"/>
              <w:bottom w:val="nil"/>
              <w:right w:val="nil"/>
            </w:tcBorders>
            <w:shd w:val="clear" w:color="auto" w:fill="auto"/>
            <w:hideMark/>
          </w:tcPr>
          <w:p w14:paraId="7ACD4C7A" w14:textId="77777777" w:rsidR="007B3C75" w:rsidRPr="007B3C75" w:rsidRDefault="007B3C75" w:rsidP="001261F5">
            <w:pPr>
              <w:pStyle w:val="BodyText"/>
              <w:spacing w:before="60" w:after="60" w:line="240" w:lineRule="auto"/>
            </w:pPr>
            <w:r w:rsidRPr="007B3C75">
              <w:t>greenhouse gas </w:t>
            </w:r>
          </w:p>
        </w:tc>
      </w:tr>
      <w:tr w:rsidR="007B3C75" w:rsidRPr="007B3C75" w14:paraId="6574547C" w14:textId="77777777" w:rsidTr="0044676F">
        <w:trPr>
          <w:trHeight w:val="300"/>
        </w:trPr>
        <w:tc>
          <w:tcPr>
            <w:tcW w:w="1701" w:type="dxa"/>
            <w:tcBorders>
              <w:top w:val="nil"/>
              <w:left w:val="nil"/>
              <w:bottom w:val="nil"/>
              <w:right w:val="nil"/>
            </w:tcBorders>
            <w:shd w:val="clear" w:color="auto" w:fill="auto"/>
            <w:hideMark/>
          </w:tcPr>
          <w:p w14:paraId="4C60847F" w14:textId="77777777" w:rsidR="007B3C75" w:rsidRPr="007B3C75" w:rsidRDefault="007B3C75" w:rsidP="001261F5">
            <w:pPr>
              <w:pStyle w:val="BodyText"/>
              <w:spacing w:before="60" w:after="60" w:line="240" w:lineRule="auto"/>
            </w:pPr>
            <w:r w:rsidRPr="007B3C75">
              <w:rPr>
                <w:b/>
                <w:bCs/>
              </w:rPr>
              <w:t>GIDI</w:t>
            </w:r>
            <w:r w:rsidRPr="007B3C75">
              <w:t> </w:t>
            </w:r>
          </w:p>
        </w:tc>
        <w:tc>
          <w:tcPr>
            <w:tcW w:w="6804" w:type="dxa"/>
            <w:tcBorders>
              <w:top w:val="nil"/>
              <w:left w:val="nil"/>
              <w:bottom w:val="nil"/>
              <w:right w:val="nil"/>
            </w:tcBorders>
            <w:shd w:val="clear" w:color="auto" w:fill="auto"/>
            <w:hideMark/>
          </w:tcPr>
          <w:p w14:paraId="2DC7CF9C" w14:textId="77777777" w:rsidR="007B3C75" w:rsidRPr="007B3C75" w:rsidRDefault="007B3C75" w:rsidP="001261F5">
            <w:pPr>
              <w:pStyle w:val="BodyText"/>
              <w:spacing w:before="60" w:after="60" w:line="240" w:lineRule="auto"/>
            </w:pPr>
            <w:r w:rsidRPr="007B3C75">
              <w:t>Government Investment in Decarbonising Industry </w:t>
            </w:r>
          </w:p>
        </w:tc>
      </w:tr>
      <w:tr w:rsidR="007B3C75" w:rsidRPr="007B3C75" w14:paraId="606A136F" w14:textId="77777777" w:rsidTr="0044676F">
        <w:trPr>
          <w:trHeight w:val="300"/>
        </w:trPr>
        <w:tc>
          <w:tcPr>
            <w:tcW w:w="1701" w:type="dxa"/>
            <w:tcBorders>
              <w:top w:val="nil"/>
              <w:left w:val="nil"/>
              <w:bottom w:val="nil"/>
              <w:right w:val="nil"/>
            </w:tcBorders>
            <w:shd w:val="clear" w:color="auto" w:fill="auto"/>
            <w:hideMark/>
          </w:tcPr>
          <w:p w14:paraId="3AD9F775" w14:textId="77777777" w:rsidR="007B3C75" w:rsidRPr="007B3C75" w:rsidRDefault="007B3C75" w:rsidP="001261F5">
            <w:pPr>
              <w:pStyle w:val="BodyText"/>
              <w:spacing w:before="60" w:after="60" w:line="240" w:lineRule="auto"/>
            </w:pPr>
            <w:r w:rsidRPr="007B3C75">
              <w:rPr>
                <w:b/>
                <w:bCs/>
              </w:rPr>
              <w:t>GRA</w:t>
            </w:r>
            <w:r w:rsidRPr="007B3C75">
              <w:t> </w:t>
            </w:r>
          </w:p>
        </w:tc>
        <w:tc>
          <w:tcPr>
            <w:tcW w:w="6804" w:type="dxa"/>
            <w:tcBorders>
              <w:top w:val="nil"/>
              <w:left w:val="nil"/>
              <w:bottom w:val="nil"/>
              <w:right w:val="nil"/>
            </w:tcBorders>
            <w:shd w:val="clear" w:color="auto" w:fill="auto"/>
            <w:hideMark/>
          </w:tcPr>
          <w:p w14:paraId="56F7183F" w14:textId="77777777" w:rsidR="007B3C75" w:rsidRPr="007B3C75" w:rsidRDefault="007B3C75" w:rsidP="001261F5">
            <w:pPr>
              <w:pStyle w:val="BodyText"/>
              <w:spacing w:before="60" w:after="60" w:line="240" w:lineRule="auto"/>
            </w:pPr>
            <w:r w:rsidRPr="007B3C75">
              <w:t>Global Research Alliance on Agricultural Greenhouse Gases </w:t>
            </w:r>
          </w:p>
        </w:tc>
      </w:tr>
      <w:tr w:rsidR="007B3C75" w:rsidRPr="007B3C75" w14:paraId="61287673" w14:textId="77777777" w:rsidTr="0044676F">
        <w:trPr>
          <w:trHeight w:val="300"/>
        </w:trPr>
        <w:tc>
          <w:tcPr>
            <w:tcW w:w="1701" w:type="dxa"/>
            <w:tcBorders>
              <w:top w:val="nil"/>
              <w:left w:val="nil"/>
              <w:bottom w:val="nil"/>
              <w:right w:val="nil"/>
            </w:tcBorders>
            <w:shd w:val="clear" w:color="auto" w:fill="auto"/>
            <w:hideMark/>
          </w:tcPr>
          <w:p w14:paraId="60786E67" w14:textId="77777777" w:rsidR="007B3C75" w:rsidRPr="007B3C75" w:rsidRDefault="007B3C75" w:rsidP="001261F5">
            <w:pPr>
              <w:pStyle w:val="BodyText"/>
              <w:spacing w:before="60" w:after="60" w:line="240" w:lineRule="auto"/>
            </w:pPr>
            <w:r w:rsidRPr="007B3C75">
              <w:rPr>
                <w:b/>
                <w:bCs/>
              </w:rPr>
              <w:t>ha</w:t>
            </w:r>
            <w:r w:rsidRPr="007B3C75">
              <w:t> </w:t>
            </w:r>
          </w:p>
        </w:tc>
        <w:tc>
          <w:tcPr>
            <w:tcW w:w="6804" w:type="dxa"/>
            <w:tcBorders>
              <w:top w:val="nil"/>
              <w:left w:val="nil"/>
              <w:bottom w:val="nil"/>
              <w:right w:val="nil"/>
            </w:tcBorders>
            <w:shd w:val="clear" w:color="auto" w:fill="auto"/>
            <w:hideMark/>
          </w:tcPr>
          <w:p w14:paraId="07304089" w14:textId="77777777" w:rsidR="007B3C75" w:rsidRPr="007B3C75" w:rsidRDefault="007B3C75" w:rsidP="001261F5">
            <w:pPr>
              <w:pStyle w:val="BodyText"/>
              <w:spacing w:before="60" w:after="60" w:line="240" w:lineRule="auto"/>
            </w:pPr>
            <w:r w:rsidRPr="007B3C75">
              <w:t>hectare(s) </w:t>
            </w:r>
          </w:p>
        </w:tc>
      </w:tr>
      <w:tr w:rsidR="007B3C75" w:rsidRPr="007B3C75" w14:paraId="1219CEDB" w14:textId="77777777" w:rsidTr="0044676F">
        <w:trPr>
          <w:trHeight w:val="300"/>
        </w:trPr>
        <w:tc>
          <w:tcPr>
            <w:tcW w:w="1701" w:type="dxa"/>
            <w:tcBorders>
              <w:top w:val="nil"/>
              <w:left w:val="nil"/>
              <w:bottom w:val="nil"/>
              <w:right w:val="nil"/>
            </w:tcBorders>
            <w:shd w:val="clear" w:color="auto" w:fill="auto"/>
            <w:hideMark/>
          </w:tcPr>
          <w:p w14:paraId="6854F9D5" w14:textId="77777777" w:rsidR="007B3C75" w:rsidRPr="007B3C75" w:rsidRDefault="007B3C75" w:rsidP="001261F5">
            <w:pPr>
              <w:pStyle w:val="BodyText"/>
              <w:spacing w:before="60" w:after="60" w:line="240" w:lineRule="auto"/>
            </w:pPr>
            <w:r w:rsidRPr="007B3C75">
              <w:rPr>
                <w:b/>
                <w:bCs/>
              </w:rPr>
              <w:t>HFCs</w:t>
            </w:r>
            <w:r w:rsidRPr="007B3C75">
              <w:t> </w:t>
            </w:r>
          </w:p>
        </w:tc>
        <w:tc>
          <w:tcPr>
            <w:tcW w:w="6804" w:type="dxa"/>
            <w:tcBorders>
              <w:top w:val="nil"/>
              <w:left w:val="nil"/>
              <w:bottom w:val="nil"/>
              <w:right w:val="nil"/>
            </w:tcBorders>
            <w:shd w:val="clear" w:color="auto" w:fill="auto"/>
            <w:hideMark/>
          </w:tcPr>
          <w:p w14:paraId="1F015B57" w14:textId="77777777" w:rsidR="007B3C75" w:rsidRPr="007B3C75" w:rsidRDefault="007B3C75" w:rsidP="001261F5">
            <w:pPr>
              <w:pStyle w:val="BodyText"/>
              <w:spacing w:before="60" w:after="60" w:line="240" w:lineRule="auto"/>
            </w:pPr>
            <w:r w:rsidRPr="007B3C75">
              <w:t>hydrofluorocarbons </w:t>
            </w:r>
          </w:p>
        </w:tc>
      </w:tr>
      <w:tr w:rsidR="007B3C75" w:rsidRPr="007B3C75" w14:paraId="03753785" w14:textId="77777777" w:rsidTr="0044676F">
        <w:trPr>
          <w:trHeight w:val="300"/>
        </w:trPr>
        <w:tc>
          <w:tcPr>
            <w:tcW w:w="1701" w:type="dxa"/>
            <w:tcBorders>
              <w:top w:val="nil"/>
              <w:left w:val="nil"/>
              <w:bottom w:val="nil"/>
              <w:right w:val="nil"/>
            </w:tcBorders>
            <w:shd w:val="clear" w:color="auto" w:fill="auto"/>
            <w:hideMark/>
          </w:tcPr>
          <w:p w14:paraId="03216E85" w14:textId="77777777" w:rsidR="007B3C75" w:rsidRPr="007B3C75" w:rsidRDefault="007B3C75" w:rsidP="001261F5">
            <w:pPr>
              <w:pStyle w:val="BodyText"/>
              <w:spacing w:before="60" w:after="60" w:line="240" w:lineRule="auto"/>
            </w:pPr>
            <w:r w:rsidRPr="007B3C75">
              <w:rPr>
                <w:b/>
                <w:bCs/>
              </w:rPr>
              <w:t>HIP</w:t>
            </w:r>
            <w:r w:rsidRPr="007B3C75">
              <w:t> </w:t>
            </w:r>
          </w:p>
        </w:tc>
        <w:tc>
          <w:tcPr>
            <w:tcW w:w="6804" w:type="dxa"/>
            <w:tcBorders>
              <w:top w:val="nil"/>
              <w:left w:val="nil"/>
              <w:bottom w:val="nil"/>
              <w:right w:val="nil"/>
            </w:tcBorders>
            <w:shd w:val="clear" w:color="auto" w:fill="auto"/>
            <w:hideMark/>
          </w:tcPr>
          <w:p w14:paraId="34999851" w14:textId="77777777" w:rsidR="007B3C75" w:rsidRPr="007B3C75" w:rsidRDefault="007B3C75" w:rsidP="001261F5">
            <w:pPr>
              <w:pStyle w:val="BodyText"/>
              <w:spacing w:before="60" w:after="60" w:line="240" w:lineRule="auto"/>
            </w:pPr>
            <w:r w:rsidRPr="007B3C75">
              <w:t>Heat, Industry and Power module </w:t>
            </w:r>
          </w:p>
        </w:tc>
      </w:tr>
      <w:tr w:rsidR="007B3C75" w:rsidRPr="007B3C75" w14:paraId="3182C872" w14:textId="77777777" w:rsidTr="0044676F">
        <w:trPr>
          <w:trHeight w:val="300"/>
        </w:trPr>
        <w:tc>
          <w:tcPr>
            <w:tcW w:w="1701" w:type="dxa"/>
            <w:tcBorders>
              <w:top w:val="nil"/>
              <w:left w:val="nil"/>
              <w:bottom w:val="nil"/>
              <w:right w:val="nil"/>
            </w:tcBorders>
            <w:shd w:val="clear" w:color="auto" w:fill="auto"/>
            <w:hideMark/>
          </w:tcPr>
          <w:p w14:paraId="42DF9680" w14:textId="77777777" w:rsidR="007B3C75" w:rsidRPr="007B3C75" w:rsidRDefault="007B3C75" w:rsidP="001261F5">
            <w:pPr>
              <w:pStyle w:val="BodyText"/>
              <w:spacing w:before="60" w:after="60" w:line="240" w:lineRule="auto"/>
            </w:pPr>
            <w:r w:rsidRPr="007B3C75">
              <w:rPr>
                <w:b/>
                <w:bCs/>
              </w:rPr>
              <w:t>HWP</w:t>
            </w:r>
            <w:r w:rsidRPr="007B3C75">
              <w:t> </w:t>
            </w:r>
          </w:p>
        </w:tc>
        <w:tc>
          <w:tcPr>
            <w:tcW w:w="6804" w:type="dxa"/>
            <w:tcBorders>
              <w:top w:val="nil"/>
              <w:left w:val="nil"/>
              <w:bottom w:val="nil"/>
              <w:right w:val="nil"/>
            </w:tcBorders>
            <w:shd w:val="clear" w:color="auto" w:fill="auto"/>
            <w:hideMark/>
          </w:tcPr>
          <w:p w14:paraId="169D7449" w14:textId="77777777" w:rsidR="007B3C75" w:rsidRPr="007B3C75" w:rsidRDefault="007B3C75" w:rsidP="001261F5">
            <w:pPr>
              <w:pStyle w:val="BodyText"/>
              <w:spacing w:before="60" w:after="60" w:line="240" w:lineRule="auto"/>
            </w:pPr>
            <w:r w:rsidRPr="007B3C75">
              <w:t>harvested wood products </w:t>
            </w:r>
          </w:p>
        </w:tc>
      </w:tr>
      <w:tr w:rsidR="007B3C75" w:rsidRPr="007B3C75" w14:paraId="58F13CCC" w14:textId="77777777" w:rsidTr="0044676F">
        <w:trPr>
          <w:trHeight w:val="300"/>
        </w:trPr>
        <w:tc>
          <w:tcPr>
            <w:tcW w:w="1701" w:type="dxa"/>
            <w:tcBorders>
              <w:top w:val="nil"/>
              <w:left w:val="nil"/>
              <w:bottom w:val="nil"/>
              <w:right w:val="nil"/>
            </w:tcBorders>
            <w:shd w:val="clear" w:color="auto" w:fill="auto"/>
            <w:hideMark/>
          </w:tcPr>
          <w:p w14:paraId="01509289" w14:textId="77777777" w:rsidR="007B3C75" w:rsidRPr="007B3C75" w:rsidRDefault="007B3C75" w:rsidP="001261F5">
            <w:pPr>
              <w:pStyle w:val="BodyText"/>
              <w:spacing w:before="60" w:after="60" w:line="240" w:lineRule="auto"/>
            </w:pPr>
            <w:r w:rsidRPr="007B3C75">
              <w:rPr>
                <w:b/>
                <w:bCs/>
              </w:rPr>
              <w:t>ICAO</w:t>
            </w:r>
            <w:r w:rsidRPr="007B3C75">
              <w:t> </w:t>
            </w:r>
          </w:p>
        </w:tc>
        <w:tc>
          <w:tcPr>
            <w:tcW w:w="6804" w:type="dxa"/>
            <w:tcBorders>
              <w:top w:val="nil"/>
              <w:left w:val="nil"/>
              <w:bottom w:val="nil"/>
              <w:right w:val="nil"/>
            </w:tcBorders>
            <w:shd w:val="clear" w:color="auto" w:fill="auto"/>
            <w:hideMark/>
          </w:tcPr>
          <w:p w14:paraId="0B125270" w14:textId="77777777" w:rsidR="007B3C75" w:rsidRPr="007B3C75" w:rsidRDefault="007B3C75" w:rsidP="001261F5">
            <w:pPr>
              <w:pStyle w:val="BodyText"/>
              <w:spacing w:before="60" w:after="60" w:line="240" w:lineRule="auto"/>
            </w:pPr>
            <w:r w:rsidRPr="007B3C75">
              <w:t>International Civil Aviation Organization </w:t>
            </w:r>
          </w:p>
        </w:tc>
      </w:tr>
      <w:tr w:rsidR="007B3C75" w:rsidRPr="007B3C75" w14:paraId="61492F3A" w14:textId="77777777" w:rsidTr="0044676F">
        <w:trPr>
          <w:trHeight w:val="300"/>
        </w:trPr>
        <w:tc>
          <w:tcPr>
            <w:tcW w:w="1701" w:type="dxa"/>
            <w:tcBorders>
              <w:top w:val="nil"/>
              <w:left w:val="nil"/>
              <w:bottom w:val="nil"/>
              <w:right w:val="nil"/>
            </w:tcBorders>
            <w:shd w:val="clear" w:color="auto" w:fill="auto"/>
            <w:hideMark/>
          </w:tcPr>
          <w:p w14:paraId="39B64699" w14:textId="77777777" w:rsidR="007B3C75" w:rsidRPr="007B3C75" w:rsidRDefault="007B3C75" w:rsidP="001261F5">
            <w:pPr>
              <w:pStyle w:val="BodyText"/>
              <w:spacing w:before="60" w:after="60" w:line="240" w:lineRule="auto"/>
            </w:pPr>
            <w:r w:rsidRPr="007B3C75">
              <w:rPr>
                <w:b/>
                <w:bCs/>
              </w:rPr>
              <w:t>ICE</w:t>
            </w:r>
            <w:r w:rsidRPr="007B3C75">
              <w:t> </w:t>
            </w:r>
          </w:p>
        </w:tc>
        <w:tc>
          <w:tcPr>
            <w:tcW w:w="6804" w:type="dxa"/>
            <w:tcBorders>
              <w:top w:val="nil"/>
              <w:left w:val="nil"/>
              <w:bottom w:val="nil"/>
              <w:right w:val="nil"/>
            </w:tcBorders>
            <w:shd w:val="clear" w:color="auto" w:fill="auto"/>
            <w:hideMark/>
          </w:tcPr>
          <w:p w14:paraId="20BF2DB5" w14:textId="77777777" w:rsidR="007B3C75" w:rsidRPr="007B3C75" w:rsidRDefault="007B3C75" w:rsidP="001261F5">
            <w:pPr>
              <w:pStyle w:val="BodyText"/>
              <w:spacing w:before="60" w:after="60" w:line="240" w:lineRule="auto"/>
            </w:pPr>
            <w:r w:rsidRPr="007B3C75">
              <w:t>internal combustion engine </w:t>
            </w:r>
          </w:p>
        </w:tc>
      </w:tr>
      <w:tr w:rsidR="007B3C75" w:rsidRPr="007B3C75" w14:paraId="23B6B8DD" w14:textId="77777777" w:rsidTr="0044676F">
        <w:trPr>
          <w:trHeight w:val="300"/>
        </w:trPr>
        <w:tc>
          <w:tcPr>
            <w:tcW w:w="1701" w:type="dxa"/>
            <w:tcBorders>
              <w:top w:val="nil"/>
              <w:left w:val="nil"/>
              <w:bottom w:val="nil"/>
              <w:right w:val="nil"/>
            </w:tcBorders>
            <w:shd w:val="clear" w:color="auto" w:fill="auto"/>
            <w:hideMark/>
          </w:tcPr>
          <w:p w14:paraId="4FA59FEF" w14:textId="77777777" w:rsidR="007B3C75" w:rsidRPr="007B3C75" w:rsidRDefault="007B3C75" w:rsidP="001261F5">
            <w:pPr>
              <w:pStyle w:val="BodyText"/>
              <w:spacing w:before="60" w:after="60" w:line="240" w:lineRule="auto"/>
            </w:pPr>
            <w:r w:rsidRPr="007B3C75">
              <w:rPr>
                <w:b/>
                <w:bCs/>
              </w:rPr>
              <w:t>IDC</w:t>
            </w:r>
            <w:r w:rsidRPr="007B3C75">
              <w:t> </w:t>
            </w:r>
          </w:p>
        </w:tc>
        <w:tc>
          <w:tcPr>
            <w:tcW w:w="6804" w:type="dxa"/>
            <w:tcBorders>
              <w:top w:val="nil"/>
              <w:left w:val="nil"/>
              <w:bottom w:val="nil"/>
              <w:right w:val="nil"/>
            </w:tcBorders>
            <w:shd w:val="clear" w:color="auto" w:fill="auto"/>
            <w:hideMark/>
          </w:tcPr>
          <w:p w14:paraId="1FF561D4" w14:textId="77777777" w:rsidR="007B3C75" w:rsidRPr="007B3C75" w:rsidRDefault="007B3C75" w:rsidP="001261F5">
            <w:pPr>
              <w:pStyle w:val="BodyText"/>
              <w:spacing w:before="60" w:after="60" w:line="240" w:lineRule="auto"/>
            </w:pPr>
            <w:r w:rsidRPr="007B3C75">
              <w:t>International Development Cooperation </w:t>
            </w:r>
          </w:p>
        </w:tc>
      </w:tr>
      <w:tr w:rsidR="007B3C75" w:rsidRPr="007B3C75" w14:paraId="59CD502F" w14:textId="77777777" w:rsidTr="0044676F">
        <w:trPr>
          <w:trHeight w:val="300"/>
        </w:trPr>
        <w:tc>
          <w:tcPr>
            <w:tcW w:w="1701" w:type="dxa"/>
            <w:tcBorders>
              <w:top w:val="nil"/>
              <w:left w:val="nil"/>
              <w:bottom w:val="nil"/>
              <w:right w:val="nil"/>
            </w:tcBorders>
            <w:shd w:val="clear" w:color="auto" w:fill="auto"/>
            <w:hideMark/>
          </w:tcPr>
          <w:p w14:paraId="33DECEA0" w14:textId="77777777" w:rsidR="007B3C75" w:rsidRPr="007B3C75" w:rsidRDefault="007B3C75" w:rsidP="001261F5">
            <w:pPr>
              <w:pStyle w:val="BodyText"/>
              <w:spacing w:before="60" w:after="60" w:line="240" w:lineRule="auto"/>
            </w:pPr>
            <w:r w:rsidRPr="007B3C75">
              <w:rPr>
                <w:b/>
                <w:bCs/>
              </w:rPr>
              <w:t>IE</w:t>
            </w:r>
            <w:r w:rsidRPr="007B3C75">
              <w:t> </w:t>
            </w:r>
          </w:p>
        </w:tc>
        <w:tc>
          <w:tcPr>
            <w:tcW w:w="6804" w:type="dxa"/>
            <w:tcBorders>
              <w:top w:val="nil"/>
              <w:left w:val="nil"/>
              <w:bottom w:val="nil"/>
              <w:right w:val="nil"/>
            </w:tcBorders>
            <w:shd w:val="clear" w:color="auto" w:fill="auto"/>
            <w:hideMark/>
          </w:tcPr>
          <w:p w14:paraId="05A9AFE3" w14:textId="77777777" w:rsidR="007B3C75" w:rsidRPr="007B3C75" w:rsidRDefault="007B3C75" w:rsidP="001261F5">
            <w:pPr>
              <w:pStyle w:val="BodyText"/>
              <w:spacing w:before="60" w:after="60" w:line="240" w:lineRule="auto"/>
            </w:pPr>
            <w:r w:rsidRPr="007B3C75">
              <w:t>included elsewhere </w:t>
            </w:r>
          </w:p>
        </w:tc>
      </w:tr>
      <w:tr w:rsidR="007B3C75" w:rsidRPr="007B3C75" w14:paraId="713CE880" w14:textId="77777777" w:rsidTr="0044676F">
        <w:trPr>
          <w:trHeight w:val="300"/>
        </w:trPr>
        <w:tc>
          <w:tcPr>
            <w:tcW w:w="1701" w:type="dxa"/>
            <w:tcBorders>
              <w:top w:val="nil"/>
              <w:left w:val="nil"/>
              <w:bottom w:val="nil"/>
              <w:right w:val="nil"/>
            </w:tcBorders>
            <w:shd w:val="clear" w:color="auto" w:fill="auto"/>
            <w:hideMark/>
          </w:tcPr>
          <w:p w14:paraId="348A082C" w14:textId="77777777" w:rsidR="007B3C75" w:rsidRPr="007B3C75" w:rsidRDefault="007B3C75" w:rsidP="001261F5">
            <w:pPr>
              <w:pStyle w:val="BodyText"/>
              <w:spacing w:before="60" w:after="60" w:line="240" w:lineRule="auto"/>
            </w:pPr>
            <w:r w:rsidRPr="007B3C75">
              <w:rPr>
                <w:b/>
                <w:bCs/>
              </w:rPr>
              <w:t>IMO</w:t>
            </w:r>
            <w:r w:rsidRPr="007B3C75">
              <w:t> </w:t>
            </w:r>
          </w:p>
        </w:tc>
        <w:tc>
          <w:tcPr>
            <w:tcW w:w="6804" w:type="dxa"/>
            <w:tcBorders>
              <w:top w:val="nil"/>
              <w:left w:val="nil"/>
              <w:bottom w:val="nil"/>
              <w:right w:val="nil"/>
            </w:tcBorders>
            <w:shd w:val="clear" w:color="auto" w:fill="auto"/>
            <w:hideMark/>
          </w:tcPr>
          <w:p w14:paraId="2E684572" w14:textId="77777777" w:rsidR="007B3C75" w:rsidRPr="007B3C75" w:rsidRDefault="007B3C75" w:rsidP="001261F5">
            <w:pPr>
              <w:pStyle w:val="BodyText"/>
              <w:spacing w:before="60" w:after="60" w:line="240" w:lineRule="auto"/>
            </w:pPr>
            <w:r w:rsidRPr="007B3C75">
              <w:t>International Maritime Organization </w:t>
            </w:r>
          </w:p>
        </w:tc>
      </w:tr>
      <w:tr w:rsidR="007B3C75" w:rsidRPr="007B3C75" w14:paraId="60A79476" w14:textId="77777777" w:rsidTr="0044676F">
        <w:trPr>
          <w:trHeight w:val="300"/>
        </w:trPr>
        <w:tc>
          <w:tcPr>
            <w:tcW w:w="1701" w:type="dxa"/>
            <w:tcBorders>
              <w:top w:val="nil"/>
              <w:left w:val="nil"/>
              <w:bottom w:val="nil"/>
              <w:right w:val="nil"/>
            </w:tcBorders>
            <w:shd w:val="clear" w:color="auto" w:fill="auto"/>
            <w:hideMark/>
          </w:tcPr>
          <w:p w14:paraId="48B05848" w14:textId="77777777" w:rsidR="007B3C75" w:rsidRPr="007B3C75" w:rsidRDefault="007B3C75" w:rsidP="001261F5">
            <w:pPr>
              <w:pStyle w:val="BodyText"/>
              <w:spacing w:before="60" w:after="60" w:line="240" w:lineRule="auto"/>
            </w:pPr>
            <w:r w:rsidRPr="007B3C75">
              <w:rPr>
                <w:b/>
                <w:bCs/>
              </w:rPr>
              <w:t>INDC</w:t>
            </w:r>
            <w:r w:rsidRPr="007B3C75">
              <w:t> </w:t>
            </w:r>
          </w:p>
        </w:tc>
        <w:tc>
          <w:tcPr>
            <w:tcW w:w="6804" w:type="dxa"/>
            <w:tcBorders>
              <w:top w:val="nil"/>
              <w:left w:val="nil"/>
              <w:bottom w:val="nil"/>
              <w:right w:val="nil"/>
            </w:tcBorders>
            <w:shd w:val="clear" w:color="auto" w:fill="auto"/>
            <w:hideMark/>
          </w:tcPr>
          <w:p w14:paraId="30379DA5" w14:textId="77777777" w:rsidR="007B3C75" w:rsidRPr="007B3C75" w:rsidRDefault="007B3C75" w:rsidP="001261F5">
            <w:pPr>
              <w:pStyle w:val="BodyText"/>
              <w:spacing w:before="60" w:after="60" w:line="240" w:lineRule="auto"/>
            </w:pPr>
            <w:r w:rsidRPr="007B3C75">
              <w:t>intended NDC </w:t>
            </w:r>
          </w:p>
        </w:tc>
      </w:tr>
      <w:tr w:rsidR="007B3C75" w:rsidRPr="007B3C75" w14:paraId="56B0C500" w14:textId="77777777" w:rsidTr="0044676F">
        <w:trPr>
          <w:trHeight w:val="300"/>
        </w:trPr>
        <w:tc>
          <w:tcPr>
            <w:tcW w:w="1701" w:type="dxa"/>
            <w:tcBorders>
              <w:top w:val="nil"/>
              <w:left w:val="nil"/>
              <w:bottom w:val="nil"/>
              <w:right w:val="nil"/>
            </w:tcBorders>
            <w:shd w:val="clear" w:color="auto" w:fill="auto"/>
            <w:hideMark/>
          </w:tcPr>
          <w:p w14:paraId="17F764B0" w14:textId="77777777" w:rsidR="007B3C75" w:rsidRPr="007B3C75" w:rsidRDefault="007B3C75" w:rsidP="001261F5">
            <w:pPr>
              <w:pStyle w:val="BodyText"/>
              <w:spacing w:before="60" w:after="60" w:line="240" w:lineRule="auto"/>
            </w:pPr>
            <w:r w:rsidRPr="007B3C75">
              <w:rPr>
                <w:b/>
                <w:bCs/>
              </w:rPr>
              <w:t>Inventory</w:t>
            </w:r>
            <w:r w:rsidRPr="007B3C75">
              <w:t> </w:t>
            </w:r>
          </w:p>
        </w:tc>
        <w:tc>
          <w:tcPr>
            <w:tcW w:w="6804" w:type="dxa"/>
            <w:tcBorders>
              <w:top w:val="nil"/>
              <w:left w:val="nil"/>
              <w:bottom w:val="nil"/>
              <w:right w:val="nil"/>
            </w:tcBorders>
            <w:shd w:val="clear" w:color="auto" w:fill="auto"/>
            <w:hideMark/>
          </w:tcPr>
          <w:p w14:paraId="08DE640C" w14:textId="77777777" w:rsidR="007B3C75" w:rsidRPr="007B3C75" w:rsidRDefault="007B3C75" w:rsidP="001261F5">
            <w:pPr>
              <w:pStyle w:val="BodyText"/>
              <w:spacing w:before="60" w:after="60" w:line="240" w:lineRule="auto"/>
            </w:pPr>
            <w:r w:rsidRPr="007B3C75">
              <w:t>New Zealand Greenhouse Gas Inventory </w:t>
            </w:r>
          </w:p>
        </w:tc>
      </w:tr>
      <w:tr w:rsidR="007B3C75" w:rsidRPr="007B3C75" w14:paraId="417C86A2" w14:textId="77777777" w:rsidTr="0044676F">
        <w:trPr>
          <w:trHeight w:val="300"/>
        </w:trPr>
        <w:tc>
          <w:tcPr>
            <w:tcW w:w="1701" w:type="dxa"/>
            <w:tcBorders>
              <w:top w:val="nil"/>
              <w:left w:val="nil"/>
              <w:bottom w:val="nil"/>
              <w:right w:val="nil"/>
            </w:tcBorders>
            <w:shd w:val="clear" w:color="auto" w:fill="auto"/>
            <w:hideMark/>
          </w:tcPr>
          <w:p w14:paraId="56826405" w14:textId="77777777" w:rsidR="007B3C75" w:rsidRPr="007B3C75" w:rsidRDefault="007B3C75" w:rsidP="001261F5">
            <w:pPr>
              <w:pStyle w:val="BodyText"/>
              <w:spacing w:before="60" w:after="60" w:line="240" w:lineRule="auto"/>
            </w:pPr>
            <w:r w:rsidRPr="007B3C75">
              <w:rPr>
                <w:b/>
                <w:bCs/>
              </w:rPr>
              <w:t>Inventory 2024</w:t>
            </w:r>
            <w:r w:rsidRPr="007B3C75">
              <w:t> </w:t>
            </w:r>
          </w:p>
        </w:tc>
        <w:tc>
          <w:tcPr>
            <w:tcW w:w="6804" w:type="dxa"/>
            <w:tcBorders>
              <w:top w:val="nil"/>
              <w:left w:val="nil"/>
              <w:bottom w:val="nil"/>
              <w:right w:val="nil"/>
            </w:tcBorders>
            <w:shd w:val="clear" w:color="auto" w:fill="auto"/>
            <w:hideMark/>
          </w:tcPr>
          <w:p w14:paraId="6343F78B" w14:textId="77777777" w:rsidR="007B3C75" w:rsidRPr="007B3C75" w:rsidRDefault="007B3C75" w:rsidP="001261F5">
            <w:pPr>
              <w:pStyle w:val="BodyText"/>
              <w:spacing w:before="60" w:after="60" w:line="240" w:lineRule="auto"/>
            </w:pPr>
            <w:r w:rsidRPr="007B3C75">
              <w:rPr>
                <w:i/>
                <w:iCs/>
              </w:rPr>
              <w:t>New Zealand Greenhouse Gas Inventory 1990–2022</w:t>
            </w:r>
            <w:r w:rsidRPr="007B3C75">
              <w:t> </w:t>
            </w:r>
          </w:p>
        </w:tc>
      </w:tr>
      <w:tr w:rsidR="007B3C75" w:rsidRPr="007B3C75" w14:paraId="3356F990" w14:textId="77777777" w:rsidTr="0044676F">
        <w:trPr>
          <w:trHeight w:val="300"/>
        </w:trPr>
        <w:tc>
          <w:tcPr>
            <w:tcW w:w="1701" w:type="dxa"/>
            <w:tcBorders>
              <w:top w:val="nil"/>
              <w:left w:val="nil"/>
              <w:bottom w:val="nil"/>
              <w:right w:val="nil"/>
            </w:tcBorders>
            <w:shd w:val="clear" w:color="auto" w:fill="auto"/>
            <w:hideMark/>
          </w:tcPr>
          <w:p w14:paraId="6145C759" w14:textId="77777777" w:rsidR="007B3C75" w:rsidRPr="007B3C75" w:rsidRDefault="007B3C75" w:rsidP="001261F5">
            <w:pPr>
              <w:pStyle w:val="BodyText"/>
              <w:spacing w:before="60" w:after="60" w:line="240" w:lineRule="auto"/>
            </w:pPr>
            <w:r w:rsidRPr="007B3C75">
              <w:rPr>
                <w:b/>
                <w:bCs/>
              </w:rPr>
              <w:t>IPCC </w:t>
            </w:r>
            <w:r w:rsidRPr="007B3C75">
              <w:t> </w:t>
            </w:r>
          </w:p>
        </w:tc>
        <w:tc>
          <w:tcPr>
            <w:tcW w:w="6804" w:type="dxa"/>
            <w:tcBorders>
              <w:top w:val="nil"/>
              <w:left w:val="nil"/>
              <w:bottom w:val="nil"/>
              <w:right w:val="nil"/>
            </w:tcBorders>
            <w:shd w:val="clear" w:color="auto" w:fill="auto"/>
            <w:hideMark/>
          </w:tcPr>
          <w:p w14:paraId="4CFD7AA5" w14:textId="77777777" w:rsidR="007B3C75" w:rsidRPr="007B3C75" w:rsidRDefault="007B3C75" w:rsidP="001261F5">
            <w:pPr>
              <w:pStyle w:val="BodyText"/>
              <w:spacing w:before="60" w:after="60" w:line="240" w:lineRule="auto"/>
            </w:pPr>
            <w:r w:rsidRPr="007B3C75">
              <w:t>Intergovernmental Panel on Climate Change </w:t>
            </w:r>
          </w:p>
        </w:tc>
      </w:tr>
      <w:tr w:rsidR="007B3C75" w:rsidRPr="007B3C75" w14:paraId="64EEAE09" w14:textId="77777777" w:rsidTr="0044676F">
        <w:trPr>
          <w:trHeight w:val="300"/>
        </w:trPr>
        <w:tc>
          <w:tcPr>
            <w:tcW w:w="1701" w:type="dxa"/>
            <w:tcBorders>
              <w:top w:val="nil"/>
              <w:left w:val="nil"/>
              <w:bottom w:val="nil"/>
              <w:right w:val="nil"/>
            </w:tcBorders>
            <w:shd w:val="clear" w:color="auto" w:fill="auto"/>
            <w:hideMark/>
          </w:tcPr>
          <w:p w14:paraId="2AB0D930" w14:textId="77777777" w:rsidR="007B3C75" w:rsidRPr="007B3C75" w:rsidRDefault="007B3C75" w:rsidP="001261F5">
            <w:pPr>
              <w:pStyle w:val="BodyText"/>
              <w:spacing w:before="60" w:after="60" w:line="240" w:lineRule="auto"/>
            </w:pPr>
            <w:r w:rsidRPr="007B3C75">
              <w:rPr>
                <w:b/>
                <w:bCs/>
              </w:rPr>
              <w:t>IPPU </w:t>
            </w:r>
            <w:r w:rsidRPr="007B3C75">
              <w:t> </w:t>
            </w:r>
          </w:p>
        </w:tc>
        <w:tc>
          <w:tcPr>
            <w:tcW w:w="6804" w:type="dxa"/>
            <w:tcBorders>
              <w:top w:val="nil"/>
              <w:left w:val="nil"/>
              <w:bottom w:val="nil"/>
              <w:right w:val="nil"/>
            </w:tcBorders>
            <w:shd w:val="clear" w:color="auto" w:fill="auto"/>
            <w:hideMark/>
          </w:tcPr>
          <w:p w14:paraId="5D88D20A" w14:textId="77777777" w:rsidR="007B3C75" w:rsidRPr="007B3C75" w:rsidRDefault="007B3C75" w:rsidP="001261F5">
            <w:pPr>
              <w:pStyle w:val="BodyText"/>
              <w:spacing w:before="60" w:after="60" w:line="240" w:lineRule="auto"/>
            </w:pPr>
            <w:r w:rsidRPr="007B3C75">
              <w:t>Industrial Processes and Product Use </w:t>
            </w:r>
          </w:p>
        </w:tc>
      </w:tr>
      <w:tr w:rsidR="007B3C75" w:rsidRPr="007B3C75" w14:paraId="7850218D" w14:textId="77777777" w:rsidTr="0044676F">
        <w:trPr>
          <w:trHeight w:val="300"/>
        </w:trPr>
        <w:tc>
          <w:tcPr>
            <w:tcW w:w="1701" w:type="dxa"/>
            <w:tcBorders>
              <w:top w:val="nil"/>
              <w:left w:val="nil"/>
              <w:bottom w:val="nil"/>
              <w:right w:val="nil"/>
            </w:tcBorders>
            <w:shd w:val="clear" w:color="auto" w:fill="auto"/>
            <w:hideMark/>
          </w:tcPr>
          <w:p w14:paraId="33977865" w14:textId="77777777" w:rsidR="007B3C75" w:rsidRPr="007B3C75" w:rsidRDefault="007B3C75" w:rsidP="001261F5">
            <w:pPr>
              <w:pStyle w:val="BodyText"/>
              <w:spacing w:before="60" w:after="60" w:line="240" w:lineRule="auto"/>
            </w:pPr>
            <w:r w:rsidRPr="007B3C75">
              <w:rPr>
                <w:b/>
                <w:bCs/>
              </w:rPr>
              <w:t>kg</w:t>
            </w:r>
            <w:r w:rsidRPr="007B3C75">
              <w:t> </w:t>
            </w:r>
          </w:p>
        </w:tc>
        <w:tc>
          <w:tcPr>
            <w:tcW w:w="6804" w:type="dxa"/>
            <w:tcBorders>
              <w:top w:val="nil"/>
              <w:left w:val="nil"/>
              <w:bottom w:val="nil"/>
              <w:right w:val="nil"/>
            </w:tcBorders>
            <w:shd w:val="clear" w:color="auto" w:fill="auto"/>
            <w:hideMark/>
          </w:tcPr>
          <w:p w14:paraId="54F28E76" w14:textId="77777777" w:rsidR="007B3C75" w:rsidRPr="007B3C75" w:rsidRDefault="007B3C75" w:rsidP="001261F5">
            <w:pPr>
              <w:pStyle w:val="BodyText"/>
              <w:spacing w:before="60" w:after="60" w:line="240" w:lineRule="auto"/>
            </w:pPr>
            <w:r w:rsidRPr="007B3C75">
              <w:t>kilogram(s) </w:t>
            </w:r>
          </w:p>
        </w:tc>
      </w:tr>
      <w:tr w:rsidR="007B3C75" w:rsidRPr="007B3C75" w14:paraId="103E24D8" w14:textId="77777777" w:rsidTr="0044676F">
        <w:trPr>
          <w:trHeight w:val="300"/>
        </w:trPr>
        <w:tc>
          <w:tcPr>
            <w:tcW w:w="1701" w:type="dxa"/>
            <w:tcBorders>
              <w:top w:val="nil"/>
              <w:left w:val="nil"/>
              <w:bottom w:val="nil"/>
              <w:right w:val="nil"/>
            </w:tcBorders>
            <w:shd w:val="clear" w:color="auto" w:fill="auto"/>
            <w:hideMark/>
          </w:tcPr>
          <w:p w14:paraId="35241283" w14:textId="77777777" w:rsidR="007B3C75" w:rsidRPr="007B3C75" w:rsidRDefault="007B3C75" w:rsidP="001261F5">
            <w:pPr>
              <w:pStyle w:val="BodyText"/>
              <w:spacing w:before="60" w:after="60" w:line="240" w:lineRule="auto"/>
            </w:pPr>
            <w:r w:rsidRPr="007B3C75">
              <w:rPr>
                <w:b/>
                <w:bCs/>
              </w:rPr>
              <w:t>Kha</w:t>
            </w:r>
            <w:r w:rsidRPr="007B3C75">
              <w:t> </w:t>
            </w:r>
          </w:p>
        </w:tc>
        <w:tc>
          <w:tcPr>
            <w:tcW w:w="6804" w:type="dxa"/>
            <w:tcBorders>
              <w:top w:val="nil"/>
              <w:left w:val="nil"/>
              <w:bottom w:val="nil"/>
              <w:right w:val="nil"/>
            </w:tcBorders>
            <w:shd w:val="clear" w:color="auto" w:fill="auto"/>
            <w:hideMark/>
          </w:tcPr>
          <w:p w14:paraId="43E701D5" w14:textId="77777777" w:rsidR="007B3C75" w:rsidRPr="007B3C75" w:rsidRDefault="007B3C75" w:rsidP="001261F5">
            <w:pPr>
              <w:pStyle w:val="BodyText"/>
              <w:spacing w:before="60" w:after="60" w:line="240" w:lineRule="auto"/>
            </w:pPr>
            <w:r w:rsidRPr="007B3C75">
              <w:t>kilohectare(s) </w:t>
            </w:r>
          </w:p>
        </w:tc>
      </w:tr>
      <w:tr w:rsidR="007B3C75" w:rsidRPr="007B3C75" w14:paraId="79B69DCA" w14:textId="77777777" w:rsidTr="0044676F">
        <w:trPr>
          <w:trHeight w:val="300"/>
        </w:trPr>
        <w:tc>
          <w:tcPr>
            <w:tcW w:w="1701" w:type="dxa"/>
            <w:tcBorders>
              <w:top w:val="nil"/>
              <w:left w:val="nil"/>
              <w:bottom w:val="nil"/>
              <w:right w:val="nil"/>
            </w:tcBorders>
            <w:shd w:val="clear" w:color="auto" w:fill="auto"/>
            <w:hideMark/>
          </w:tcPr>
          <w:p w14:paraId="3B182B7D" w14:textId="77777777" w:rsidR="007B3C75" w:rsidRPr="007B3C75" w:rsidRDefault="007B3C75" w:rsidP="001261F5">
            <w:pPr>
              <w:pStyle w:val="BodyText"/>
              <w:spacing w:before="60" w:after="60" w:line="240" w:lineRule="auto"/>
            </w:pPr>
            <w:r w:rsidRPr="007B3C75">
              <w:rPr>
                <w:b/>
                <w:bCs/>
              </w:rPr>
              <w:t>KP</w:t>
            </w:r>
            <w:r w:rsidRPr="007B3C75">
              <w:t> </w:t>
            </w:r>
          </w:p>
        </w:tc>
        <w:tc>
          <w:tcPr>
            <w:tcW w:w="6804" w:type="dxa"/>
            <w:tcBorders>
              <w:top w:val="nil"/>
              <w:left w:val="nil"/>
              <w:bottom w:val="nil"/>
              <w:right w:val="nil"/>
            </w:tcBorders>
            <w:shd w:val="clear" w:color="auto" w:fill="auto"/>
            <w:hideMark/>
          </w:tcPr>
          <w:p w14:paraId="29493D04" w14:textId="77777777" w:rsidR="007B3C75" w:rsidRPr="007B3C75" w:rsidRDefault="007B3C75" w:rsidP="001261F5">
            <w:pPr>
              <w:pStyle w:val="BodyText"/>
              <w:spacing w:before="60" w:after="60" w:line="240" w:lineRule="auto"/>
            </w:pPr>
            <w:r w:rsidRPr="007B3C75">
              <w:t>Kyoto Protocol </w:t>
            </w:r>
          </w:p>
        </w:tc>
      </w:tr>
      <w:tr w:rsidR="007B3C75" w:rsidRPr="007B3C75" w14:paraId="78A5E4EF" w14:textId="77777777" w:rsidTr="0044676F">
        <w:trPr>
          <w:trHeight w:val="300"/>
        </w:trPr>
        <w:tc>
          <w:tcPr>
            <w:tcW w:w="1701" w:type="dxa"/>
            <w:tcBorders>
              <w:top w:val="nil"/>
              <w:left w:val="nil"/>
              <w:bottom w:val="nil"/>
              <w:right w:val="nil"/>
            </w:tcBorders>
            <w:shd w:val="clear" w:color="auto" w:fill="auto"/>
            <w:hideMark/>
          </w:tcPr>
          <w:p w14:paraId="6DD03854" w14:textId="77777777" w:rsidR="007B3C75" w:rsidRPr="007B3C75" w:rsidRDefault="007B3C75" w:rsidP="001261F5">
            <w:pPr>
              <w:pStyle w:val="BodyText"/>
              <w:spacing w:before="60" w:after="60" w:line="240" w:lineRule="auto"/>
            </w:pPr>
            <w:r w:rsidRPr="007B3C75">
              <w:rPr>
                <w:b/>
                <w:bCs/>
              </w:rPr>
              <w:t>kt</w:t>
            </w:r>
            <w:r w:rsidRPr="007B3C75">
              <w:t> </w:t>
            </w:r>
          </w:p>
        </w:tc>
        <w:tc>
          <w:tcPr>
            <w:tcW w:w="6804" w:type="dxa"/>
            <w:tcBorders>
              <w:top w:val="nil"/>
              <w:left w:val="nil"/>
              <w:bottom w:val="nil"/>
              <w:right w:val="nil"/>
            </w:tcBorders>
            <w:shd w:val="clear" w:color="auto" w:fill="auto"/>
            <w:hideMark/>
          </w:tcPr>
          <w:p w14:paraId="680DE8B9" w14:textId="77777777" w:rsidR="007B3C75" w:rsidRPr="007B3C75" w:rsidRDefault="007B3C75" w:rsidP="001261F5">
            <w:pPr>
              <w:pStyle w:val="BodyText"/>
              <w:spacing w:before="60" w:after="60" w:line="240" w:lineRule="auto"/>
            </w:pPr>
            <w:r w:rsidRPr="007B3C75">
              <w:t>kilotonne(s) </w:t>
            </w:r>
          </w:p>
        </w:tc>
      </w:tr>
      <w:tr w:rsidR="007B3C75" w:rsidRPr="007B3C75" w14:paraId="12CEFD58" w14:textId="77777777" w:rsidTr="0044676F">
        <w:trPr>
          <w:trHeight w:val="300"/>
        </w:trPr>
        <w:tc>
          <w:tcPr>
            <w:tcW w:w="1701" w:type="dxa"/>
            <w:tcBorders>
              <w:top w:val="nil"/>
              <w:left w:val="nil"/>
              <w:bottom w:val="nil"/>
              <w:right w:val="nil"/>
            </w:tcBorders>
            <w:shd w:val="clear" w:color="auto" w:fill="auto"/>
            <w:hideMark/>
          </w:tcPr>
          <w:p w14:paraId="0F4C9BF7" w14:textId="77777777" w:rsidR="007B3C75" w:rsidRPr="007B3C75" w:rsidRDefault="007B3C75" w:rsidP="001261F5">
            <w:pPr>
              <w:pStyle w:val="BodyText"/>
              <w:spacing w:before="60" w:after="60" w:line="240" w:lineRule="auto"/>
            </w:pPr>
            <w:r w:rsidRPr="007B3C75">
              <w:rPr>
                <w:b/>
                <w:bCs/>
              </w:rPr>
              <w:t>kt CO</w:t>
            </w:r>
            <w:r w:rsidRPr="007B3C75">
              <w:rPr>
                <w:b/>
                <w:bCs/>
                <w:vertAlign w:val="subscript"/>
              </w:rPr>
              <w:t>2</w:t>
            </w:r>
            <w:r w:rsidRPr="007B3C75">
              <w:rPr>
                <w:b/>
                <w:bCs/>
              </w:rPr>
              <w:t>e</w:t>
            </w:r>
            <w:r w:rsidRPr="007B3C75">
              <w:t> </w:t>
            </w:r>
          </w:p>
        </w:tc>
        <w:tc>
          <w:tcPr>
            <w:tcW w:w="6804" w:type="dxa"/>
            <w:tcBorders>
              <w:top w:val="nil"/>
              <w:left w:val="nil"/>
              <w:bottom w:val="nil"/>
              <w:right w:val="nil"/>
            </w:tcBorders>
            <w:shd w:val="clear" w:color="auto" w:fill="auto"/>
            <w:hideMark/>
          </w:tcPr>
          <w:p w14:paraId="0907FF04" w14:textId="77777777" w:rsidR="007B3C75" w:rsidRPr="007B3C75" w:rsidRDefault="007B3C75" w:rsidP="001261F5">
            <w:pPr>
              <w:pStyle w:val="BodyText"/>
              <w:spacing w:before="60" w:after="60" w:line="240" w:lineRule="auto"/>
            </w:pPr>
            <w:r w:rsidRPr="007B3C75">
              <w:t>kilotonnes of carbon dioxide equivalent </w:t>
            </w:r>
          </w:p>
        </w:tc>
      </w:tr>
      <w:tr w:rsidR="007B3C75" w:rsidRPr="007B3C75" w14:paraId="172FEF8C" w14:textId="77777777" w:rsidTr="0044676F">
        <w:trPr>
          <w:trHeight w:val="300"/>
        </w:trPr>
        <w:tc>
          <w:tcPr>
            <w:tcW w:w="1701" w:type="dxa"/>
            <w:tcBorders>
              <w:top w:val="nil"/>
              <w:left w:val="nil"/>
              <w:bottom w:val="nil"/>
              <w:right w:val="nil"/>
            </w:tcBorders>
            <w:shd w:val="clear" w:color="auto" w:fill="auto"/>
            <w:hideMark/>
          </w:tcPr>
          <w:p w14:paraId="29D9D7FC" w14:textId="77777777" w:rsidR="007B3C75" w:rsidRPr="007B3C75" w:rsidRDefault="007B3C75" w:rsidP="001261F5">
            <w:pPr>
              <w:pStyle w:val="BodyText"/>
              <w:spacing w:before="60" w:after="60" w:line="240" w:lineRule="auto"/>
            </w:pPr>
            <w:r w:rsidRPr="007B3C75">
              <w:rPr>
                <w:b/>
                <w:bCs/>
              </w:rPr>
              <w:t>LETF</w:t>
            </w:r>
            <w:r w:rsidRPr="007B3C75">
              <w:t> </w:t>
            </w:r>
          </w:p>
        </w:tc>
        <w:tc>
          <w:tcPr>
            <w:tcW w:w="6804" w:type="dxa"/>
            <w:tcBorders>
              <w:top w:val="nil"/>
              <w:left w:val="nil"/>
              <w:bottom w:val="nil"/>
              <w:right w:val="nil"/>
            </w:tcBorders>
            <w:shd w:val="clear" w:color="auto" w:fill="auto"/>
            <w:hideMark/>
          </w:tcPr>
          <w:p w14:paraId="253FAF2C" w14:textId="77777777" w:rsidR="007B3C75" w:rsidRPr="007B3C75" w:rsidRDefault="007B3C75" w:rsidP="001261F5">
            <w:pPr>
              <w:pStyle w:val="BodyText"/>
              <w:spacing w:before="60" w:after="60" w:line="240" w:lineRule="auto"/>
            </w:pPr>
            <w:r w:rsidRPr="007B3C75">
              <w:t>Low Emissions Transport Fund </w:t>
            </w:r>
          </w:p>
        </w:tc>
      </w:tr>
      <w:tr w:rsidR="007B3C75" w:rsidRPr="007B3C75" w14:paraId="03223224" w14:textId="77777777" w:rsidTr="0044676F">
        <w:trPr>
          <w:trHeight w:val="300"/>
        </w:trPr>
        <w:tc>
          <w:tcPr>
            <w:tcW w:w="1701" w:type="dxa"/>
            <w:tcBorders>
              <w:top w:val="nil"/>
              <w:left w:val="nil"/>
              <w:bottom w:val="nil"/>
              <w:right w:val="nil"/>
            </w:tcBorders>
            <w:shd w:val="clear" w:color="auto" w:fill="auto"/>
            <w:hideMark/>
          </w:tcPr>
          <w:p w14:paraId="2505890E" w14:textId="77777777" w:rsidR="007B3C75" w:rsidRPr="007B3C75" w:rsidRDefault="007B3C75" w:rsidP="001261F5">
            <w:pPr>
              <w:pStyle w:val="BodyText"/>
              <w:spacing w:before="60" w:after="60" w:line="240" w:lineRule="auto"/>
            </w:pPr>
            <w:r w:rsidRPr="007B3C75">
              <w:rPr>
                <w:b/>
                <w:bCs/>
              </w:rPr>
              <w:t>LFG</w:t>
            </w:r>
            <w:r w:rsidRPr="007B3C75">
              <w:t> </w:t>
            </w:r>
          </w:p>
        </w:tc>
        <w:tc>
          <w:tcPr>
            <w:tcW w:w="6804" w:type="dxa"/>
            <w:tcBorders>
              <w:top w:val="nil"/>
              <w:left w:val="nil"/>
              <w:bottom w:val="nil"/>
              <w:right w:val="nil"/>
            </w:tcBorders>
            <w:shd w:val="clear" w:color="auto" w:fill="auto"/>
            <w:hideMark/>
          </w:tcPr>
          <w:p w14:paraId="6067A498" w14:textId="77777777" w:rsidR="007B3C75" w:rsidRPr="007B3C75" w:rsidRDefault="007B3C75" w:rsidP="001261F5">
            <w:pPr>
              <w:pStyle w:val="BodyText"/>
              <w:spacing w:before="60" w:after="60" w:line="240" w:lineRule="auto"/>
            </w:pPr>
            <w:r w:rsidRPr="007B3C75">
              <w:t>landfill gas capture </w:t>
            </w:r>
          </w:p>
        </w:tc>
      </w:tr>
      <w:tr w:rsidR="007B3C75" w:rsidRPr="007B3C75" w14:paraId="0E08DBFE" w14:textId="77777777" w:rsidTr="0044676F">
        <w:trPr>
          <w:trHeight w:val="300"/>
        </w:trPr>
        <w:tc>
          <w:tcPr>
            <w:tcW w:w="1701" w:type="dxa"/>
            <w:tcBorders>
              <w:top w:val="nil"/>
              <w:left w:val="nil"/>
              <w:bottom w:val="nil"/>
              <w:right w:val="nil"/>
            </w:tcBorders>
            <w:shd w:val="clear" w:color="auto" w:fill="auto"/>
            <w:hideMark/>
          </w:tcPr>
          <w:p w14:paraId="51EA372A" w14:textId="77777777" w:rsidR="007B3C75" w:rsidRPr="007B3C75" w:rsidRDefault="007B3C75" w:rsidP="001261F5">
            <w:pPr>
              <w:pStyle w:val="BodyText"/>
              <w:spacing w:before="60" w:after="60" w:line="240" w:lineRule="auto"/>
            </w:pPr>
            <w:r w:rsidRPr="007B3C75">
              <w:rPr>
                <w:b/>
                <w:bCs/>
              </w:rPr>
              <w:t>LiDAR</w:t>
            </w:r>
            <w:r w:rsidRPr="007B3C75">
              <w:t> </w:t>
            </w:r>
          </w:p>
        </w:tc>
        <w:tc>
          <w:tcPr>
            <w:tcW w:w="6804" w:type="dxa"/>
            <w:tcBorders>
              <w:top w:val="nil"/>
              <w:left w:val="nil"/>
              <w:bottom w:val="nil"/>
              <w:right w:val="nil"/>
            </w:tcBorders>
            <w:shd w:val="clear" w:color="auto" w:fill="auto"/>
            <w:hideMark/>
          </w:tcPr>
          <w:p w14:paraId="215326EB" w14:textId="77777777" w:rsidR="007B3C75" w:rsidRPr="007B3C75" w:rsidRDefault="007B3C75" w:rsidP="001261F5">
            <w:pPr>
              <w:pStyle w:val="BodyText"/>
              <w:spacing w:before="60" w:after="60" w:line="240" w:lineRule="auto"/>
            </w:pPr>
            <w:r w:rsidRPr="007B3C75">
              <w:t>light detection and ranging </w:t>
            </w:r>
          </w:p>
        </w:tc>
      </w:tr>
      <w:tr w:rsidR="007B3C75" w:rsidRPr="007B3C75" w14:paraId="7E6C4EEF" w14:textId="77777777" w:rsidTr="0044676F">
        <w:trPr>
          <w:trHeight w:val="300"/>
        </w:trPr>
        <w:tc>
          <w:tcPr>
            <w:tcW w:w="1701" w:type="dxa"/>
            <w:tcBorders>
              <w:top w:val="nil"/>
              <w:left w:val="nil"/>
              <w:bottom w:val="nil"/>
              <w:right w:val="nil"/>
            </w:tcBorders>
            <w:shd w:val="clear" w:color="auto" w:fill="auto"/>
            <w:hideMark/>
          </w:tcPr>
          <w:p w14:paraId="04EC51DB" w14:textId="77777777" w:rsidR="007B3C75" w:rsidRPr="007B3C75" w:rsidRDefault="007B3C75" w:rsidP="001261F5">
            <w:pPr>
              <w:pStyle w:val="BodyText"/>
              <w:spacing w:before="60" w:after="60" w:line="240" w:lineRule="auto"/>
            </w:pPr>
            <w:r w:rsidRPr="007B3C75">
              <w:rPr>
                <w:b/>
                <w:bCs/>
              </w:rPr>
              <w:t>LnW</w:t>
            </w:r>
            <w:r w:rsidRPr="007B3C75">
              <w:t> </w:t>
            </w:r>
          </w:p>
        </w:tc>
        <w:tc>
          <w:tcPr>
            <w:tcW w:w="6804" w:type="dxa"/>
            <w:tcBorders>
              <w:top w:val="nil"/>
              <w:left w:val="nil"/>
              <w:bottom w:val="nil"/>
              <w:right w:val="nil"/>
            </w:tcBorders>
            <w:shd w:val="clear" w:color="auto" w:fill="auto"/>
            <w:hideMark/>
          </w:tcPr>
          <w:p w14:paraId="790CE2F8" w14:textId="77777777" w:rsidR="007B3C75" w:rsidRPr="007B3C75" w:rsidRDefault="007B3C75" w:rsidP="001261F5">
            <w:pPr>
              <w:pStyle w:val="BodyText"/>
              <w:spacing w:before="60" w:after="60" w:line="240" w:lineRule="auto"/>
            </w:pPr>
            <w:r w:rsidRPr="007B3C75">
              <w:t>Land and Waste module </w:t>
            </w:r>
          </w:p>
        </w:tc>
      </w:tr>
      <w:tr w:rsidR="007B3C75" w:rsidRPr="007B3C75" w14:paraId="00E7B7A5" w14:textId="77777777" w:rsidTr="0044676F">
        <w:trPr>
          <w:trHeight w:val="300"/>
        </w:trPr>
        <w:tc>
          <w:tcPr>
            <w:tcW w:w="1701" w:type="dxa"/>
            <w:tcBorders>
              <w:top w:val="nil"/>
              <w:left w:val="nil"/>
              <w:bottom w:val="nil"/>
              <w:right w:val="nil"/>
            </w:tcBorders>
            <w:shd w:val="clear" w:color="auto" w:fill="auto"/>
            <w:hideMark/>
          </w:tcPr>
          <w:p w14:paraId="1C1D16FF" w14:textId="77777777" w:rsidR="007B3C75" w:rsidRPr="007B3C75" w:rsidRDefault="007B3C75" w:rsidP="001261F5">
            <w:pPr>
              <w:pStyle w:val="BodyText"/>
              <w:spacing w:before="60" w:after="60" w:line="240" w:lineRule="auto"/>
            </w:pPr>
            <w:r w:rsidRPr="007B3C75">
              <w:rPr>
                <w:b/>
                <w:bCs/>
              </w:rPr>
              <w:t>LTA</w:t>
            </w:r>
            <w:r w:rsidRPr="007B3C75">
              <w:t> </w:t>
            </w:r>
          </w:p>
        </w:tc>
        <w:tc>
          <w:tcPr>
            <w:tcW w:w="6804" w:type="dxa"/>
            <w:tcBorders>
              <w:top w:val="nil"/>
              <w:left w:val="nil"/>
              <w:bottom w:val="nil"/>
              <w:right w:val="nil"/>
            </w:tcBorders>
            <w:shd w:val="clear" w:color="auto" w:fill="auto"/>
            <w:hideMark/>
          </w:tcPr>
          <w:p w14:paraId="2307E4F8" w14:textId="77777777" w:rsidR="007B3C75" w:rsidRPr="007B3C75" w:rsidRDefault="007B3C75" w:rsidP="001261F5">
            <w:pPr>
              <w:pStyle w:val="BodyText"/>
              <w:spacing w:before="60" w:after="60" w:line="240" w:lineRule="auto"/>
            </w:pPr>
            <w:r w:rsidRPr="007B3C75">
              <w:t>long-term average </w:t>
            </w:r>
          </w:p>
        </w:tc>
      </w:tr>
      <w:tr w:rsidR="007B3C75" w:rsidRPr="007B3C75" w14:paraId="1BE92F58" w14:textId="77777777" w:rsidTr="0044676F">
        <w:trPr>
          <w:trHeight w:val="300"/>
        </w:trPr>
        <w:tc>
          <w:tcPr>
            <w:tcW w:w="1701" w:type="dxa"/>
            <w:tcBorders>
              <w:top w:val="nil"/>
              <w:left w:val="nil"/>
              <w:bottom w:val="nil"/>
              <w:right w:val="nil"/>
            </w:tcBorders>
            <w:shd w:val="clear" w:color="auto" w:fill="auto"/>
            <w:hideMark/>
          </w:tcPr>
          <w:p w14:paraId="547CD53C" w14:textId="77777777" w:rsidR="007B3C75" w:rsidRPr="007B3C75" w:rsidRDefault="007B3C75" w:rsidP="001261F5">
            <w:pPr>
              <w:pStyle w:val="BodyText"/>
              <w:spacing w:before="60" w:after="60" w:line="240" w:lineRule="auto"/>
            </w:pPr>
            <w:r w:rsidRPr="007B3C75">
              <w:rPr>
                <w:b/>
                <w:bCs/>
              </w:rPr>
              <w:t>LUCAS</w:t>
            </w:r>
            <w:r w:rsidRPr="007B3C75">
              <w:t> </w:t>
            </w:r>
          </w:p>
        </w:tc>
        <w:tc>
          <w:tcPr>
            <w:tcW w:w="6804" w:type="dxa"/>
            <w:tcBorders>
              <w:top w:val="nil"/>
              <w:left w:val="nil"/>
              <w:bottom w:val="nil"/>
              <w:right w:val="nil"/>
            </w:tcBorders>
            <w:shd w:val="clear" w:color="auto" w:fill="auto"/>
            <w:hideMark/>
          </w:tcPr>
          <w:p w14:paraId="540D43A7" w14:textId="77777777" w:rsidR="007B3C75" w:rsidRPr="007B3C75" w:rsidRDefault="007B3C75" w:rsidP="001261F5">
            <w:pPr>
              <w:pStyle w:val="BodyText"/>
              <w:spacing w:before="60" w:after="60" w:line="240" w:lineRule="auto"/>
            </w:pPr>
            <w:r w:rsidRPr="007B3C75">
              <w:t>Land Use and Carbon Analysis System </w:t>
            </w:r>
          </w:p>
        </w:tc>
      </w:tr>
      <w:tr w:rsidR="007B3C75" w:rsidRPr="007B3C75" w14:paraId="05C0BB0B" w14:textId="77777777" w:rsidTr="0044676F">
        <w:trPr>
          <w:trHeight w:val="300"/>
        </w:trPr>
        <w:tc>
          <w:tcPr>
            <w:tcW w:w="1701" w:type="dxa"/>
            <w:tcBorders>
              <w:top w:val="nil"/>
              <w:left w:val="nil"/>
              <w:bottom w:val="nil"/>
              <w:right w:val="nil"/>
            </w:tcBorders>
            <w:shd w:val="clear" w:color="auto" w:fill="auto"/>
            <w:hideMark/>
          </w:tcPr>
          <w:p w14:paraId="5BC9F5FE" w14:textId="77777777" w:rsidR="007B3C75" w:rsidRPr="007B3C75" w:rsidRDefault="007B3C75" w:rsidP="001261F5">
            <w:pPr>
              <w:pStyle w:val="BodyText"/>
              <w:spacing w:before="60" w:after="60" w:line="240" w:lineRule="auto"/>
            </w:pPr>
            <w:r w:rsidRPr="007B3C75">
              <w:rPr>
                <w:b/>
                <w:bCs/>
              </w:rPr>
              <w:t>LULUCF</w:t>
            </w:r>
            <w:r w:rsidRPr="007B3C75">
              <w:t> </w:t>
            </w:r>
          </w:p>
        </w:tc>
        <w:tc>
          <w:tcPr>
            <w:tcW w:w="6804" w:type="dxa"/>
            <w:tcBorders>
              <w:top w:val="nil"/>
              <w:left w:val="nil"/>
              <w:bottom w:val="nil"/>
              <w:right w:val="nil"/>
            </w:tcBorders>
            <w:shd w:val="clear" w:color="auto" w:fill="auto"/>
            <w:hideMark/>
          </w:tcPr>
          <w:p w14:paraId="6DEF05DC" w14:textId="77777777" w:rsidR="007B3C75" w:rsidRPr="007B3C75" w:rsidRDefault="007B3C75" w:rsidP="001261F5">
            <w:pPr>
              <w:pStyle w:val="BodyText"/>
              <w:spacing w:before="60" w:after="60" w:line="240" w:lineRule="auto"/>
            </w:pPr>
            <w:r w:rsidRPr="007B3C75">
              <w:t>Land Use, Land-Use Change and Forestry </w:t>
            </w:r>
          </w:p>
        </w:tc>
      </w:tr>
      <w:tr w:rsidR="007B3C75" w:rsidRPr="007B3C75" w14:paraId="57ADACFF" w14:textId="77777777" w:rsidTr="0044676F">
        <w:trPr>
          <w:trHeight w:val="300"/>
        </w:trPr>
        <w:tc>
          <w:tcPr>
            <w:tcW w:w="1701" w:type="dxa"/>
            <w:tcBorders>
              <w:top w:val="nil"/>
              <w:left w:val="nil"/>
              <w:bottom w:val="nil"/>
              <w:right w:val="nil"/>
            </w:tcBorders>
            <w:shd w:val="clear" w:color="auto" w:fill="auto"/>
            <w:hideMark/>
          </w:tcPr>
          <w:p w14:paraId="4DD43AAF" w14:textId="77777777" w:rsidR="007B3C75" w:rsidRPr="007B3C75" w:rsidRDefault="007B3C75" w:rsidP="001261F5">
            <w:pPr>
              <w:pStyle w:val="BodyText"/>
              <w:spacing w:before="60" w:after="60" w:line="240" w:lineRule="auto"/>
            </w:pPr>
            <w:r w:rsidRPr="007B3C75">
              <w:rPr>
                <w:b/>
                <w:bCs/>
              </w:rPr>
              <w:t>MBIE </w:t>
            </w:r>
            <w:r w:rsidRPr="007B3C75">
              <w:t> </w:t>
            </w:r>
          </w:p>
        </w:tc>
        <w:tc>
          <w:tcPr>
            <w:tcW w:w="6804" w:type="dxa"/>
            <w:tcBorders>
              <w:top w:val="nil"/>
              <w:left w:val="nil"/>
              <w:bottom w:val="nil"/>
              <w:right w:val="nil"/>
            </w:tcBorders>
            <w:shd w:val="clear" w:color="auto" w:fill="auto"/>
            <w:hideMark/>
          </w:tcPr>
          <w:p w14:paraId="61DC336C" w14:textId="77777777" w:rsidR="007B3C75" w:rsidRPr="007B3C75" w:rsidRDefault="007B3C75" w:rsidP="001261F5">
            <w:pPr>
              <w:pStyle w:val="BodyText"/>
              <w:spacing w:before="60" w:after="60" w:line="240" w:lineRule="auto"/>
            </w:pPr>
            <w:r w:rsidRPr="007B3C75">
              <w:t>Ministry of Business, Innovation and Employment </w:t>
            </w:r>
          </w:p>
        </w:tc>
      </w:tr>
      <w:tr w:rsidR="007B3C75" w:rsidRPr="007B3C75" w14:paraId="41D9D23D" w14:textId="77777777" w:rsidTr="0044676F">
        <w:trPr>
          <w:trHeight w:val="300"/>
        </w:trPr>
        <w:tc>
          <w:tcPr>
            <w:tcW w:w="1701" w:type="dxa"/>
            <w:tcBorders>
              <w:top w:val="nil"/>
              <w:left w:val="nil"/>
              <w:bottom w:val="nil"/>
              <w:right w:val="nil"/>
            </w:tcBorders>
            <w:shd w:val="clear" w:color="auto" w:fill="auto"/>
            <w:hideMark/>
          </w:tcPr>
          <w:p w14:paraId="3CD288A8" w14:textId="77777777" w:rsidR="007B3C75" w:rsidRPr="007B3C75" w:rsidRDefault="007B3C75" w:rsidP="001261F5">
            <w:pPr>
              <w:pStyle w:val="BodyText"/>
              <w:spacing w:before="60" w:after="60" w:line="240" w:lineRule="auto"/>
            </w:pPr>
            <w:r w:rsidRPr="007B3C75">
              <w:rPr>
                <w:b/>
                <w:bCs/>
              </w:rPr>
              <w:t>MFAT</w:t>
            </w:r>
            <w:r w:rsidRPr="007B3C75">
              <w:t> </w:t>
            </w:r>
          </w:p>
        </w:tc>
        <w:tc>
          <w:tcPr>
            <w:tcW w:w="6804" w:type="dxa"/>
            <w:tcBorders>
              <w:top w:val="nil"/>
              <w:left w:val="nil"/>
              <w:bottom w:val="nil"/>
              <w:right w:val="nil"/>
            </w:tcBorders>
            <w:shd w:val="clear" w:color="auto" w:fill="auto"/>
            <w:hideMark/>
          </w:tcPr>
          <w:p w14:paraId="73D15C96" w14:textId="77777777" w:rsidR="007B3C75" w:rsidRPr="007B3C75" w:rsidRDefault="007B3C75" w:rsidP="001261F5">
            <w:pPr>
              <w:pStyle w:val="BodyText"/>
              <w:spacing w:before="60" w:after="60" w:line="240" w:lineRule="auto"/>
            </w:pPr>
            <w:r w:rsidRPr="007B3C75">
              <w:t>Ministry of Foreign Affairs and Trade </w:t>
            </w:r>
          </w:p>
        </w:tc>
      </w:tr>
      <w:tr w:rsidR="007B3C75" w:rsidRPr="007B3C75" w14:paraId="308B1981" w14:textId="77777777" w:rsidTr="0044676F">
        <w:trPr>
          <w:trHeight w:val="300"/>
        </w:trPr>
        <w:tc>
          <w:tcPr>
            <w:tcW w:w="1701" w:type="dxa"/>
            <w:tcBorders>
              <w:top w:val="nil"/>
              <w:left w:val="nil"/>
              <w:bottom w:val="nil"/>
              <w:right w:val="nil"/>
            </w:tcBorders>
            <w:shd w:val="clear" w:color="auto" w:fill="auto"/>
            <w:hideMark/>
          </w:tcPr>
          <w:p w14:paraId="5C634FCA" w14:textId="77777777" w:rsidR="007B3C75" w:rsidRPr="007B3C75" w:rsidRDefault="007B3C75" w:rsidP="001261F5">
            <w:pPr>
              <w:pStyle w:val="BodyText"/>
              <w:spacing w:before="60" w:after="60" w:line="240" w:lineRule="auto"/>
            </w:pPr>
            <w:r w:rsidRPr="007B3C75">
              <w:rPr>
                <w:b/>
                <w:bCs/>
              </w:rPr>
              <w:t>MfE</w:t>
            </w:r>
            <w:r w:rsidRPr="007B3C75">
              <w:t> </w:t>
            </w:r>
          </w:p>
        </w:tc>
        <w:tc>
          <w:tcPr>
            <w:tcW w:w="6804" w:type="dxa"/>
            <w:tcBorders>
              <w:top w:val="nil"/>
              <w:left w:val="nil"/>
              <w:bottom w:val="nil"/>
              <w:right w:val="nil"/>
            </w:tcBorders>
            <w:shd w:val="clear" w:color="auto" w:fill="auto"/>
            <w:hideMark/>
          </w:tcPr>
          <w:p w14:paraId="68F8EC38" w14:textId="77777777" w:rsidR="007B3C75" w:rsidRPr="007B3C75" w:rsidRDefault="007B3C75" w:rsidP="001261F5">
            <w:pPr>
              <w:pStyle w:val="BodyText"/>
              <w:spacing w:before="60" w:after="60" w:line="240" w:lineRule="auto"/>
            </w:pPr>
            <w:r w:rsidRPr="007B3C75">
              <w:t>Ministry for the Environment </w:t>
            </w:r>
          </w:p>
        </w:tc>
      </w:tr>
      <w:tr w:rsidR="007B3C75" w:rsidRPr="007B3C75" w14:paraId="27B0CB47" w14:textId="77777777" w:rsidTr="0044676F">
        <w:trPr>
          <w:trHeight w:val="300"/>
        </w:trPr>
        <w:tc>
          <w:tcPr>
            <w:tcW w:w="1701" w:type="dxa"/>
            <w:tcBorders>
              <w:top w:val="nil"/>
              <w:left w:val="nil"/>
              <w:bottom w:val="nil"/>
              <w:right w:val="nil"/>
            </w:tcBorders>
            <w:shd w:val="clear" w:color="auto" w:fill="auto"/>
            <w:hideMark/>
          </w:tcPr>
          <w:p w14:paraId="635E38B0" w14:textId="77777777" w:rsidR="007B3C75" w:rsidRPr="007B3C75" w:rsidRDefault="007B3C75" w:rsidP="001261F5">
            <w:pPr>
              <w:pStyle w:val="BodyText"/>
              <w:spacing w:before="60" w:after="60" w:line="240" w:lineRule="auto"/>
            </w:pPr>
            <w:r w:rsidRPr="007B3C75">
              <w:rPr>
                <w:b/>
                <w:bCs/>
              </w:rPr>
              <w:t>MPGs</w:t>
            </w:r>
            <w:r w:rsidRPr="007B3C75">
              <w:t> </w:t>
            </w:r>
          </w:p>
        </w:tc>
        <w:tc>
          <w:tcPr>
            <w:tcW w:w="6804" w:type="dxa"/>
            <w:tcBorders>
              <w:top w:val="nil"/>
              <w:left w:val="nil"/>
              <w:bottom w:val="nil"/>
              <w:right w:val="nil"/>
            </w:tcBorders>
            <w:shd w:val="clear" w:color="auto" w:fill="auto"/>
            <w:hideMark/>
          </w:tcPr>
          <w:p w14:paraId="30B19513" w14:textId="77777777" w:rsidR="007B3C75" w:rsidRPr="007B3C75" w:rsidRDefault="007B3C75" w:rsidP="001261F5">
            <w:pPr>
              <w:pStyle w:val="BodyText"/>
              <w:spacing w:before="60" w:after="60" w:line="240" w:lineRule="auto"/>
            </w:pPr>
            <w:r w:rsidRPr="007B3C75">
              <w:t>modalities, procedures and guidelines </w:t>
            </w:r>
          </w:p>
        </w:tc>
      </w:tr>
      <w:tr w:rsidR="007B3C75" w:rsidRPr="007B3C75" w14:paraId="3AF86766" w14:textId="77777777" w:rsidTr="0044676F">
        <w:trPr>
          <w:trHeight w:val="300"/>
        </w:trPr>
        <w:tc>
          <w:tcPr>
            <w:tcW w:w="1701" w:type="dxa"/>
            <w:tcBorders>
              <w:top w:val="nil"/>
              <w:left w:val="nil"/>
              <w:bottom w:val="nil"/>
              <w:right w:val="nil"/>
            </w:tcBorders>
            <w:shd w:val="clear" w:color="auto" w:fill="auto"/>
            <w:hideMark/>
          </w:tcPr>
          <w:p w14:paraId="4473204F" w14:textId="77777777" w:rsidR="007B3C75" w:rsidRPr="007B3C75" w:rsidRDefault="007B3C75" w:rsidP="001261F5">
            <w:pPr>
              <w:pStyle w:val="BodyText"/>
              <w:spacing w:before="60" w:after="60" w:line="240" w:lineRule="auto"/>
            </w:pPr>
            <w:r w:rsidRPr="007B3C75">
              <w:rPr>
                <w:b/>
                <w:bCs/>
              </w:rPr>
              <w:t>Mt</w:t>
            </w:r>
            <w:r w:rsidRPr="007B3C75">
              <w:t> </w:t>
            </w:r>
          </w:p>
        </w:tc>
        <w:tc>
          <w:tcPr>
            <w:tcW w:w="6804" w:type="dxa"/>
            <w:tcBorders>
              <w:top w:val="nil"/>
              <w:left w:val="nil"/>
              <w:bottom w:val="nil"/>
              <w:right w:val="nil"/>
            </w:tcBorders>
            <w:shd w:val="clear" w:color="auto" w:fill="auto"/>
            <w:hideMark/>
          </w:tcPr>
          <w:p w14:paraId="0FAB5569" w14:textId="77777777" w:rsidR="007B3C75" w:rsidRPr="007B3C75" w:rsidRDefault="007B3C75" w:rsidP="001261F5">
            <w:pPr>
              <w:pStyle w:val="BodyText"/>
              <w:spacing w:before="60" w:after="60" w:line="240" w:lineRule="auto"/>
            </w:pPr>
            <w:r w:rsidRPr="007B3C75">
              <w:t>million tonne(s) </w:t>
            </w:r>
          </w:p>
        </w:tc>
      </w:tr>
      <w:tr w:rsidR="007B3C75" w:rsidRPr="007B3C75" w14:paraId="4DAF4459" w14:textId="77777777" w:rsidTr="0044676F">
        <w:trPr>
          <w:trHeight w:val="300"/>
        </w:trPr>
        <w:tc>
          <w:tcPr>
            <w:tcW w:w="1701" w:type="dxa"/>
            <w:tcBorders>
              <w:top w:val="nil"/>
              <w:left w:val="nil"/>
              <w:bottom w:val="nil"/>
              <w:right w:val="nil"/>
            </w:tcBorders>
            <w:shd w:val="clear" w:color="auto" w:fill="auto"/>
            <w:hideMark/>
          </w:tcPr>
          <w:p w14:paraId="66A38E1E" w14:textId="77777777" w:rsidR="007B3C75" w:rsidRPr="007B3C75" w:rsidRDefault="007B3C75" w:rsidP="001261F5">
            <w:pPr>
              <w:pStyle w:val="BodyText"/>
              <w:spacing w:before="60" w:after="60" w:line="240" w:lineRule="auto"/>
            </w:pPr>
            <w:r w:rsidRPr="007B3C75">
              <w:rPr>
                <w:b/>
                <w:bCs/>
              </w:rPr>
              <w:t>Mt CO</w:t>
            </w:r>
            <w:r w:rsidRPr="007B3C75">
              <w:rPr>
                <w:b/>
                <w:bCs/>
                <w:vertAlign w:val="subscript"/>
              </w:rPr>
              <w:t>2</w:t>
            </w:r>
            <w:r w:rsidRPr="007B3C75">
              <w:rPr>
                <w:b/>
                <w:bCs/>
              </w:rPr>
              <w:t>e</w:t>
            </w:r>
            <w:r w:rsidRPr="007B3C75">
              <w:t> </w:t>
            </w:r>
          </w:p>
        </w:tc>
        <w:tc>
          <w:tcPr>
            <w:tcW w:w="6804" w:type="dxa"/>
            <w:tcBorders>
              <w:top w:val="nil"/>
              <w:left w:val="nil"/>
              <w:bottom w:val="nil"/>
              <w:right w:val="nil"/>
            </w:tcBorders>
            <w:shd w:val="clear" w:color="auto" w:fill="auto"/>
            <w:hideMark/>
          </w:tcPr>
          <w:p w14:paraId="2B8FFB7A" w14:textId="77777777" w:rsidR="007B3C75" w:rsidRPr="007B3C75" w:rsidRDefault="007B3C75" w:rsidP="001261F5">
            <w:pPr>
              <w:pStyle w:val="BodyText"/>
              <w:spacing w:before="60" w:after="60" w:line="240" w:lineRule="auto"/>
            </w:pPr>
            <w:r w:rsidRPr="007B3C75">
              <w:t>million tonnes of carbon dioxide equivalent </w:t>
            </w:r>
          </w:p>
        </w:tc>
      </w:tr>
      <w:tr w:rsidR="007B3C75" w:rsidRPr="007B3C75" w14:paraId="6ED346BA" w14:textId="77777777" w:rsidTr="0044676F">
        <w:trPr>
          <w:trHeight w:val="300"/>
        </w:trPr>
        <w:tc>
          <w:tcPr>
            <w:tcW w:w="1701" w:type="dxa"/>
            <w:tcBorders>
              <w:top w:val="nil"/>
              <w:left w:val="nil"/>
              <w:bottom w:val="nil"/>
              <w:right w:val="nil"/>
            </w:tcBorders>
            <w:shd w:val="clear" w:color="auto" w:fill="auto"/>
            <w:hideMark/>
          </w:tcPr>
          <w:p w14:paraId="57DDD9AE" w14:textId="77777777" w:rsidR="007B3C75" w:rsidRPr="007B3C75" w:rsidRDefault="007B3C75" w:rsidP="001261F5">
            <w:pPr>
              <w:pStyle w:val="BodyText"/>
              <w:spacing w:before="60" w:after="60" w:line="240" w:lineRule="auto"/>
            </w:pPr>
            <w:r w:rsidRPr="007B3C75">
              <w:rPr>
                <w:b/>
                <w:bCs/>
              </w:rPr>
              <w:t>N</w:t>
            </w:r>
            <w:r w:rsidRPr="007B3C75">
              <w:rPr>
                <w:b/>
                <w:bCs/>
                <w:vertAlign w:val="subscript"/>
              </w:rPr>
              <w:t>2</w:t>
            </w:r>
            <w:r w:rsidRPr="007B3C75">
              <w:rPr>
                <w:b/>
                <w:bCs/>
              </w:rPr>
              <w:t>O </w:t>
            </w:r>
            <w:r w:rsidRPr="007B3C75">
              <w:t> </w:t>
            </w:r>
          </w:p>
        </w:tc>
        <w:tc>
          <w:tcPr>
            <w:tcW w:w="6804" w:type="dxa"/>
            <w:tcBorders>
              <w:top w:val="nil"/>
              <w:left w:val="nil"/>
              <w:bottom w:val="nil"/>
              <w:right w:val="nil"/>
            </w:tcBorders>
            <w:shd w:val="clear" w:color="auto" w:fill="auto"/>
            <w:hideMark/>
          </w:tcPr>
          <w:p w14:paraId="74F4CFC2" w14:textId="77777777" w:rsidR="007B3C75" w:rsidRPr="007B3C75" w:rsidRDefault="007B3C75" w:rsidP="001261F5">
            <w:pPr>
              <w:pStyle w:val="BodyText"/>
              <w:spacing w:before="60" w:after="60" w:line="240" w:lineRule="auto"/>
            </w:pPr>
            <w:r w:rsidRPr="007B3C75">
              <w:t>nitrous oxide </w:t>
            </w:r>
          </w:p>
        </w:tc>
      </w:tr>
      <w:tr w:rsidR="007B3C75" w:rsidRPr="007B3C75" w14:paraId="419D3499" w14:textId="77777777" w:rsidTr="0044676F">
        <w:trPr>
          <w:trHeight w:val="300"/>
        </w:trPr>
        <w:tc>
          <w:tcPr>
            <w:tcW w:w="1701" w:type="dxa"/>
            <w:tcBorders>
              <w:top w:val="nil"/>
              <w:left w:val="nil"/>
              <w:bottom w:val="nil"/>
              <w:right w:val="nil"/>
            </w:tcBorders>
            <w:shd w:val="clear" w:color="auto" w:fill="auto"/>
            <w:hideMark/>
          </w:tcPr>
          <w:p w14:paraId="3A4D3426" w14:textId="77777777" w:rsidR="007B3C75" w:rsidRPr="007B3C75" w:rsidRDefault="007B3C75" w:rsidP="001261F5">
            <w:pPr>
              <w:pStyle w:val="BodyText"/>
              <w:spacing w:before="60" w:after="60" w:line="240" w:lineRule="auto"/>
            </w:pPr>
            <w:r w:rsidRPr="007B3C75">
              <w:rPr>
                <w:b/>
                <w:bCs/>
              </w:rPr>
              <w:t>NA </w:t>
            </w:r>
            <w:r w:rsidRPr="007B3C75">
              <w:t> </w:t>
            </w:r>
          </w:p>
        </w:tc>
        <w:tc>
          <w:tcPr>
            <w:tcW w:w="6804" w:type="dxa"/>
            <w:tcBorders>
              <w:top w:val="nil"/>
              <w:left w:val="nil"/>
              <w:bottom w:val="nil"/>
              <w:right w:val="nil"/>
            </w:tcBorders>
            <w:shd w:val="clear" w:color="auto" w:fill="auto"/>
            <w:hideMark/>
          </w:tcPr>
          <w:p w14:paraId="3ED662E8" w14:textId="77777777" w:rsidR="007B3C75" w:rsidRPr="007B3C75" w:rsidRDefault="007B3C75" w:rsidP="001261F5">
            <w:pPr>
              <w:pStyle w:val="BodyText"/>
              <w:spacing w:before="60" w:after="60" w:line="240" w:lineRule="auto"/>
            </w:pPr>
            <w:r w:rsidRPr="007B3C75">
              <w:t>not available </w:t>
            </w:r>
          </w:p>
        </w:tc>
      </w:tr>
      <w:tr w:rsidR="007B3C75" w:rsidRPr="007B3C75" w14:paraId="0CA1D2AE" w14:textId="77777777" w:rsidTr="0044676F">
        <w:trPr>
          <w:trHeight w:val="300"/>
        </w:trPr>
        <w:tc>
          <w:tcPr>
            <w:tcW w:w="1701" w:type="dxa"/>
            <w:tcBorders>
              <w:top w:val="nil"/>
              <w:left w:val="nil"/>
              <w:bottom w:val="nil"/>
              <w:right w:val="nil"/>
            </w:tcBorders>
            <w:shd w:val="clear" w:color="auto" w:fill="auto"/>
            <w:hideMark/>
          </w:tcPr>
          <w:p w14:paraId="46F7B503" w14:textId="77777777" w:rsidR="007B3C75" w:rsidRPr="007B3C75" w:rsidRDefault="007B3C75" w:rsidP="001261F5">
            <w:pPr>
              <w:pStyle w:val="BodyText"/>
              <w:spacing w:before="60" w:after="60" w:line="240" w:lineRule="auto"/>
            </w:pPr>
            <w:r w:rsidRPr="007B3C75">
              <w:rPr>
                <w:b/>
                <w:bCs/>
              </w:rPr>
              <w:t>NABERSNZ</w:t>
            </w:r>
            <w:r w:rsidRPr="007B3C75">
              <w:rPr>
                <w:b/>
                <w:bCs/>
                <w:vertAlign w:val="superscript"/>
              </w:rPr>
              <w:t>TM</w:t>
            </w:r>
            <w:r w:rsidRPr="007B3C75">
              <w:t> </w:t>
            </w:r>
          </w:p>
        </w:tc>
        <w:tc>
          <w:tcPr>
            <w:tcW w:w="6804" w:type="dxa"/>
            <w:tcBorders>
              <w:top w:val="nil"/>
              <w:left w:val="nil"/>
              <w:bottom w:val="nil"/>
              <w:right w:val="nil"/>
            </w:tcBorders>
            <w:shd w:val="clear" w:color="auto" w:fill="auto"/>
            <w:hideMark/>
          </w:tcPr>
          <w:p w14:paraId="27E80F5B" w14:textId="77777777" w:rsidR="007B3C75" w:rsidRPr="007B3C75" w:rsidRDefault="007B3C75" w:rsidP="001261F5">
            <w:pPr>
              <w:pStyle w:val="BodyText"/>
              <w:spacing w:before="60" w:after="60" w:line="240" w:lineRule="auto"/>
            </w:pPr>
            <w:r w:rsidRPr="007B3C75">
              <w:t>National Australian Built Environment Rating System – New Zealand </w:t>
            </w:r>
          </w:p>
        </w:tc>
      </w:tr>
      <w:tr w:rsidR="007B3C75" w:rsidRPr="007B3C75" w14:paraId="15126C04" w14:textId="77777777" w:rsidTr="0044676F">
        <w:trPr>
          <w:trHeight w:val="300"/>
        </w:trPr>
        <w:tc>
          <w:tcPr>
            <w:tcW w:w="1701" w:type="dxa"/>
            <w:tcBorders>
              <w:top w:val="nil"/>
              <w:left w:val="nil"/>
              <w:bottom w:val="nil"/>
              <w:right w:val="nil"/>
            </w:tcBorders>
            <w:shd w:val="clear" w:color="auto" w:fill="auto"/>
            <w:hideMark/>
          </w:tcPr>
          <w:p w14:paraId="371C0EAA" w14:textId="77777777" w:rsidR="007B3C75" w:rsidRPr="007B3C75" w:rsidRDefault="007B3C75" w:rsidP="001261F5">
            <w:pPr>
              <w:pStyle w:val="BodyText"/>
              <w:spacing w:before="60" w:after="60" w:line="240" w:lineRule="auto"/>
            </w:pPr>
            <w:r w:rsidRPr="007B3C75">
              <w:rPr>
                <w:b/>
                <w:bCs/>
              </w:rPr>
              <w:t>NAP1</w:t>
            </w:r>
            <w:r w:rsidRPr="007B3C75">
              <w:t> </w:t>
            </w:r>
          </w:p>
        </w:tc>
        <w:tc>
          <w:tcPr>
            <w:tcW w:w="6804" w:type="dxa"/>
            <w:tcBorders>
              <w:top w:val="nil"/>
              <w:left w:val="nil"/>
              <w:bottom w:val="nil"/>
              <w:right w:val="nil"/>
            </w:tcBorders>
            <w:shd w:val="clear" w:color="auto" w:fill="auto"/>
            <w:hideMark/>
          </w:tcPr>
          <w:p w14:paraId="4A6B651A" w14:textId="77777777" w:rsidR="007B3C75" w:rsidRPr="007B3C75" w:rsidRDefault="007B3C75" w:rsidP="001261F5">
            <w:pPr>
              <w:pStyle w:val="BodyText"/>
              <w:spacing w:before="60" w:after="60" w:line="240" w:lineRule="auto"/>
            </w:pPr>
            <w:r w:rsidRPr="007B3C75">
              <w:t>First national adaptation plan </w:t>
            </w:r>
          </w:p>
        </w:tc>
      </w:tr>
      <w:tr w:rsidR="007B3C75" w:rsidRPr="007B3C75" w14:paraId="636F9977" w14:textId="77777777" w:rsidTr="0044676F">
        <w:trPr>
          <w:trHeight w:val="300"/>
        </w:trPr>
        <w:tc>
          <w:tcPr>
            <w:tcW w:w="1701" w:type="dxa"/>
            <w:tcBorders>
              <w:top w:val="nil"/>
              <w:left w:val="nil"/>
              <w:bottom w:val="nil"/>
              <w:right w:val="nil"/>
            </w:tcBorders>
            <w:shd w:val="clear" w:color="auto" w:fill="auto"/>
            <w:hideMark/>
          </w:tcPr>
          <w:p w14:paraId="7EC6998F" w14:textId="77777777" w:rsidR="007B3C75" w:rsidRPr="007B3C75" w:rsidRDefault="007B3C75" w:rsidP="001261F5">
            <w:pPr>
              <w:pStyle w:val="BodyText"/>
              <w:spacing w:before="60" w:after="60" w:line="240" w:lineRule="auto"/>
            </w:pPr>
            <w:r w:rsidRPr="007B3C75">
              <w:rPr>
                <w:b/>
                <w:bCs/>
              </w:rPr>
              <w:t>N-cap</w:t>
            </w:r>
            <w:r w:rsidRPr="007B3C75">
              <w:t> </w:t>
            </w:r>
          </w:p>
        </w:tc>
        <w:tc>
          <w:tcPr>
            <w:tcW w:w="6804" w:type="dxa"/>
            <w:tcBorders>
              <w:top w:val="nil"/>
              <w:left w:val="nil"/>
              <w:bottom w:val="nil"/>
              <w:right w:val="nil"/>
            </w:tcBorders>
            <w:shd w:val="clear" w:color="auto" w:fill="auto"/>
            <w:hideMark/>
          </w:tcPr>
          <w:p w14:paraId="23FE076D" w14:textId="77777777" w:rsidR="007B3C75" w:rsidRPr="007B3C75" w:rsidRDefault="007B3C75" w:rsidP="001261F5">
            <w:pPr>
              <w:pStyle w:val="BodyText"/>
              <w:spacing w:before="60" w:after="60" w:line="240" w:lineRule="auto"/>
            </w:pPr>
            <w:r w:rsidRPr="007B3C75">
              <w:t>nitrogen fertiliser cap </w:t>
            </w:r>
          </w:p>
        </w:tc>
      </w:tr>
      <w:tr w:rsidR="007B3C75" w:rsidRPr="007B3C75" w14:paraId="50298692" w14:textId="77777777" w:rsidTr="0044676F">
        <w:trPr>
          <w:trHeight w:val="300"/>
        </w:trPr>
        <w:tc>
          <w:tcPr>
            <w:tcW w:w="1701" w:type="dxa"/>
            <w:tcBorders>
              <w:top w:val="nil"/>
              <w:left w:val="nil"/>
              <w:bottom w:val="nil"/>
              <w:right w:val="nil"/>
            </w:tcBorders>
            <w:shd w:val="clear" w:color="auto" w:fill="auto"/>
            <w:hideMark/>
          </w:tcPr>
          <w:p w14:paraId="4B5F6543" w14:textId="77777777" w:rsidR="007B3C75" w:rsidRPr="007B3C75" w:rsidRDefault="007B3C75" w:rsidP="001261F5">
            <w:pPr>
              <w:pStyle w:val="BodyText"/>
              <w:spacing w:before="60" w:after="60" w:line="240" w:lineRule="auto"/>
            </w:pPr>
            <w:r w:rsidRPr="007B3C75">
              <w:rPr>
                <w:b/>
                <w:bCs/>
              </w:rPr>
              <w:t>NCCRA</w:t>
            </w:r>
            <w:r w:rsidRPr="007B3C75">
              <w:t> </w:t>
            </w:r>
          </w:p>
        </w:tc>
        <w:tc>
          <w:tcPr>
            <w:tcW w:w="6804" w:type="dxa"/>
            <w:tcBorders>
              <w:top w:val="nil"/>
              <w:left w:val="nil"/>
              <w:bottom w:val="nil"/>
              <w:right w:val="nil"/>
            </w:tcBorders>
            <w:shd w:val="clear" w:color="auto" w:fill="auto"/>
            <w:hideMark/>
          </w:tcPr>
          <w:p w14:paraId="25BC9EEC" w14:textId="77777777" w:rsidR="007B3C75" w:rsidRPr="007B3C75" w:rsidRDefault="007B3C75" w:rsidP="001261F5">
            <w:pPr>
              <w:pStyle w:val="BodyText"/>
              <w:spacing w:before="60" w:after="60" w:line="240" w:lineRule="auto"/>
            </w:pPr>
            <w:r w:rsidRPr="007B3C75">
              <w:t>National Climate Change Risk Assessment </w:t>
            </w:r>
          </w:p>
        </w:tc>
      </w:tr>
      <w:tr w:rsidR="007B3C75" w:rsidRPr="007B3C75" w14:paraId="39BCF939" w14:textId="77777777" w:rsidTr="0044676F">
        <w:trPr>
          <w:trHeight w:val="300"/>
        </w:trPr>
        <w:tc>
          <w:tcPr>
            <w:tcW w:w="1701" w:type="dxa"/>
            <w:tcBorders>
              <w:top w:val="nil"/>
              <w:left w:val="nil"/>
              <w:bottom w:val="nil"/>
              <w:right w:val="nil"/>
            </w:tcBorders>
            <w:shd w:val="clear" w:color="auto" w:fill="auto"/>
            <w:hideMark/>
          </w:tcPr>
          <w:p w14:paraId="641C69C6" w14:textId="77777777" w:rsidR="007B3C75" w:rsidRPr="007B3C75" w:rsidRDefault="007B3C75" w:rsidP="001261F5">
            <w:pPr>
              <w:pStyle w:val="BodyText"/>
              <w:spacing w:before="60" w:after="60" w:line="240" w:lineRule="auto"/>
            </w:pPr>
            <w:r w:rsidRPr="007B3C75">
              <w:rPr>
                <w:b/>
                <w:bCs/>
              </w:rPr>
              <w:t>NCCRA1</w:t>
            </w:r>
            <w:r w:rsidRPr="007B3C75">
              <w:t> </w:t>
            </w:r>
          </w:p>
        </w:tc>
        <w:tc>
          <w:tcPr>
            <w:tcW w:w="6804" w:type="dxa"/>
            <w:tcBorders>
              <w:top w:val="nil"/>
              <w:left w:val="nil"/>
              <w:bottom w:val="nil"/>
              <w:right w:val="nil"/>
            </w:tcBorders>
            <w:shd w:val="clear" w:color="auto" w:fill="auto"/>
            <w:hideMark/>
          </w:tcPr>
          <w:p w14:paraId="3112CFDC" w14:textId="77777777" w:rsidR="007B3C75" w:rsidRPr="007B3C75" w:rsidRDefault="007B3C75" w:rsidP="001261F5">
            <w:pPr>
              <w:pStyle w:val="BodyText"/>
              <w:spacing w:before="60" w:after="60" w:line="240" w:lineRule="auto"/>
            </w:pPr>
            <w:r w:rsidRPr="007B3C75">
              <w:t>National Climate Change Risk Assessment </w:t>
            </w:r>
          </w:p>
        </w:tc>
      </w:tr>
      <w:tr w:rsidR="007B3C75" w:rsidRPr="007B3C75" w14:paraId="37676C2F" w14:textId="77777777" w:rsidTr="0044676F">
        <w:trPr>
          <w:trHeight w:val="300"/>
        </w:trPr>
        <w:tc>
          <w:tcPr>
            <w:tcW w:w="1701" w:type="dxa"/>
            <w:tcBorders>
              <w:top w:val="nil"/>
              <w:left w:val="nil"/>
              <w:bottom w:val="nil"/>
              <w:right w:val="nil"/>
            </w:tcBorders>
            <w:shd w:val="clear" w:color="auto" w:fill="auto"/>
            <w:hideMark/>
          </w:tcPr>
          <w:p w14:paraId="21B1D26E" w14:textId="77777777" w:rsidR="007B3C75" w:rsidRPr="007B3C75" w:rsidRDefault="007B3C75" w:rsidP="001261F5">
            <w:pPr>
              <w:pStyle w:val="BodyText"/>
              <w:spacing w:before="60" w:after="60" w:line="240" w:lineRule="auto"/>
            </w:pPr>
            <w:r w:rsidRPr="007B3C75">
              <w:rPr>
                <w:b/>
                <w:bCs/>
              </w:rPr>
              <w:t>NDC</w:t>
            </w:r>
            <w:r w:rsidRPr="007B3C75">
              <w:t> </w:t>
            </w:r>
          </w:p>
        </w:tc>
        <w:tc>
          <w:tcPr>
            <w:tcW w:w="6804" w:type="dxa"/>
            <w:tcBorders>
              <w:top w:val="nil"/>
              <w:left w:val="nil"/>
              <w:bottom w:val="nil"/>
              <w:right w:val="nil"/>
            </w:tcBorders>
            <w:shd w:val="clear" w:color="auto" w:fill="auto"/>
            <w:hideMark/>
          </w:tcPr>
          <w:p w14:paraId="3DE28DD1" w14:textId="77777777" w:rsidR="007B3C75" w:rsidRPr="007B3C75" w:rsidRDefault="007B3C75" w:rsidP="001261F5">
            <w:pPr>
              <w:pStyle w:val="BodyText"/>
              <w:spacing w:before="60" w:after="60" w:line="240" w:lineRule="auto"/>
            </w:pPr>
            <w:r w:rsidRPr="007B3C75">
              <w:t>Nationally Determined Contribution </w:t>
            </w:r>
          </w:p>
        </w:tc>
      </w:tr>
      <w:tr w:rsidR="007B3C75" w:rsidRPr="007B3C75" w14:paraId="35FA5781" w14:textId="77777777" w:rsidTr="0044676F">
        <w:trPr>
          <w:trHeight w:val="300"/>
        </w:trPr>
        <w:tc>
          <w:tcPr>
            <w:tcW w:w="1701" w:type="dxa"/>
            <w:tcBorders>
              <w:top w:val="nil"/>
              <w:left w:val="nil"/>
              <w:bottom w:val="nil"/>
              <w:right w:val="nil"/>
            </w:tcBorders>
            <w:shd w:val="clear" w:color="auto" w:fill="auto"/>
            <w:hideMark/>
          </w:tcPr>
          <w:p w14:paraId="15AE1813" w14:textId="77777777" w:rsidR="007B3C75" w:rsidRPr="007B3C75" w:rsidRDefault="007B3C75" w:rsidP="001261F5">
            <w:pPr>
              <w:pStyle w:val="BodyText"/>
              <w:spacing w:before="60" w:after="60" w:line="240" w:lineRule="auto"/>
            </w:pPr>
            <w:r w:rsidRPr="007B3C75">
              <w:rPr>
                <w:b/>
                <w:bCs/>
              </w:rPr>
              <w:t>NDC1</w:t>
            </w:r>
            <w:r w:rsidRPr="007B3C75">
              <w:t> </w:t>
            </w:r>
          </w:p>
        </w:tc>
        <w:tc>
          <w:tcPr>
            <w:tcW w:w="6804" w:type="dxa"/>
            <w:tcBorders>
              <w:top w:val="nil"/>
              <w:left w:val="nil"/>
              <w:bottom w:val="nil"/>
              <w:right w:val="nil"/>
            </w:tcBorders>
            <w:shd w:val="clear" w:color="auto" w:fill="auto"/>
            <w:hideMark/>
          </w:tcPr>
          <w:p w14:paraId="52DE51F0" w14:textId="19AAF46E" w:rsidR="007B3C75" w:rsidRPr="007B3C75" w:rsidRDefault="007B3C75" w:rsidP="001261F5">
            <w:pPr>
              <w:pStyle w:val="BodyText"/>
              <w:spacing w:before="60" w:after="60" w:line="240" w:lineRule="auto"/>
            </w:pPr>
            <w:r w:rsidRPr="007B3C75">
              <w:t xml:space="preserve">first </w:t>
            </w:r>
            <w:r w:rsidR="00573942">
              <w:t>N</w:t>
            </w:r>
            <w:r w:rsidRPr="007B3C75">
              <w:t xml:space="preserve">ationally </w:t>
            </w:r>
            <w:r w:rsidR="00573942">
              <w:t>D</w:t>
            </w:r>
            <w:r w:rsidRPr="007B3C75">
              <w:t xml:space="preserve">etermined </w:t>
            </w:r>
            <w:r w:rsidR="00573942">
              <w:t>C</w:t>
            </w:r>
            <w:r w:rsidRPr="007B3C75">
              <w:t>ontribution </w:t>
            </w:r>
          </w:p>
        </w:tc>
      </w:tr>
      <w:tr w:rsidR="007B3C75" w:rsidRPr="007B3C75" w14:paraId="39A56EAE" w14:textId="77777777" w:rsidTr="0044676F">
        <w:trPr>
          <w:trHeight w:val="300"/>
        </w:trPr>
        <w:tc>
          <w:tcPr>
            <w:tcW w:w="1701" w:type="dxa"/>
            <w:tcBorders>
              <w:top w:val="nil"/>
              <w:left w:val="nil"/>
              <w:bottom w:val="nil"/>
              <w:right w:val="nil"/>
            </w:tcBorders>
            <w:shd w:val="clear" w:color="auto" w:fill="auto"/>
            <w:hideMark/>
          </w:tcPr>
          <w:p w14:paraId="5FFBB83E" w14:textId="77777777" w:rsidR="007B3C75" w:rsidRPr="007B3C75" w:rsidRDefault="007B3C75" w:rsidP="001261F5">
            <w:pPr>
              <w:pStyle w:val="BodyText"/>
              <w:spacing w:before="60" w:after="60" w:line="240" w:lineRule="auto"/>
            </w:pPr>
            <w:r w:rsidRPr="007B3C75">
              <w:rPr>
                <w:b/>
                <w:bCs/>
              </w:rPr>
              <w:t>NE</w:t>
            </w:r>
            <w:r w:rsidRPr="007B3C75">
              <w:t> </w:t>
            </w:r>
          </w:p>
        </w:tc>
        <w:tc>
          <w:tcPr>
            <w:tcW w:w="6804" w:type="dxa"/>
            <w:tcBorders>
              <w:top w:val="nil"/>
              <w:left w:val="nil"/>
              <w:bottom w:val="nil"/>
              <w:right w:val="nil"/>
            </w:tcBorders>
            <w:shd w:val="clear" w:color="auto" w:fill="auto"/>
            <w:hideMark/>
          </w:tcPr>
          <w:p w14:paraId="56D80E32" w14:textId="77777777" w:rsidR="007B3C75" w:rsidRPr="007B3C75" w:rsidRDefault="007B3C75" w:rsidP="001261F5">
            <w:pPr>
              <w:pStyle w:val="BodyText"/>
              <w:spacing w:before="60" w:after="60" w:line="240" w:lineRule="auto"/>
            </w:pPr>
            <w:r w:rsidRPr="007B3C75">
              <w:t>not estimated </w:t>
            </w:r>
          </w:p>
        </w:tc>
      </w:tr>
      <w:tr w:rsidR="007B3C75" w:rsidRPr="007B3C75" w14:paraId="08DAFB73" w14:textId="77777777" w:rsidTr="0044676F">
        <w:trPr>
          <w:trHeight w:val="300"/>
        </w:trPr>
        <w:tc>
          <w:tcPr>
            <w:tcW w:w="1701" w:type="dxa"/>
            <w:tcBorders>
              <w:top w:val="nil"/>
              <w:left w:val="nil"/>
              <w:bottom w:val="nil"/>
              <w:right w:val="nil"/>
            </w:tcBorders>
            <w:shd w:val="clear" w:color="auto" w:fill="auto"/>
            <w:hideMark/>
          </w:tcPr>
          <w:p w14:paraId="1A93CCE0" w14:textId="77777777" w:rsidR="007B3C75" w:rsidRPr="007B3C75" w:rsidRDefault="007B3C75" w:rsidP="001261F5">
            <w:pPr>
              <w:pStyle w:val="BodyText"/>
              <w:spacing w:before="60" w:after="60" w:line="240" w:lineRule="auto"/>
            </w:pPr>
            <w:r w:rsidRPr="007B3C75">
              <w:rPr>
                <w:b/>
                <w:bCs/>
              </w:rPr>
              <w:t>NEFD </w:t>
            </w:r>
            <w:r w:rsidRPr="007B3C75">
              <w:t> </w:t>
            </w:r>
          </w:p>
        </w:tc>
        <w:tc>
          <w:tcPr>
            <w:tcW w:w="6804" w:type="dxa"/>
            <w:tcBorders>
              <w:top w:val="nil"/>
              <w:left w:val="nil"/>
              <w:bottom w:val="nil"/>
              <w:right w:val="nil"/>
            </w:tcBorders>
            <w:shd w:val="clear" w:color="auto" w:fill="auto"/>
            <w:hideMark/>
          </w:tcPr>
          <w:p w14:paraId="332761AD" w14:textId="77777777" w:rsidR="007B3C75" w:rsidRPr="007B3C75" w:rsidRDefault="007B3C75" w:rsidP="001261F5">
            <w:pPr>
              <w:pStyle w:val="BodyText"/>
              <w:spacing w:before="60" w:after="60" w:line="240" w:lineRule="auto"/>
            </w:pPr>
            <w:r w:rsidRPr="007B3C75">
              <w:t>National Exotic Forest Description </w:t>
            </w:r>
          </w:p>
        </w:tc>
      </w:tr>
      <w:tr w:rsidR="007B3C75" w:rsidRPr="007B3C75" w14:paraId="7C9B57BB" w14:textId="77777777" w:rsidTr="0044676F">
        <w:trPr>
          <w:trHeight w:val="300"/>
        </w:trPr>
        <w:tc>
          <w:tcPr>
            <w:tcW w:w="1701" w:type="dxa"/>
            <w:tcBorders>
              <w:top w:val="nil"/>
              <w:left w:val="nil"/>
              <w:bottom w:val="nil"/>
              <w:right w:val="nil"/>
            </w:tcBorders>
            <w:shd w:val="clear" w:color="auto" w:fill="auto"/>
            <w:hideMark/>
          </w:tcPr>
          <w:p w14:paraId="53ED16D6" w14:textId="77777777" w:rsidR="007B3C75" w:rsidRPr="007B3C75" w:rsidRDefault="007B3C75" w:rsidP="001261F5">
            <w:pPr>
              <w:pStyle w:val="BodyText"/>
              <w:spacing w:before="60" w:after="60" w:line="240" w:lineRule="auto"/>
            </w:pPr>
            <w:r w:rsidRPr="007B3C75">
              <w:rPr>
                <w:b/>
                <w:bCs/>
              </w:rPr>
              <w:t>NF</w:t>
            </w:r>
            <w:r w:rsidRPr="007B3C75">
              <w:rPr>
                <w:b/>
                <w:bCs/>
                <w:vertAlign w:val="subscript"/>
              </w:rPr>
              <w:t>3</w:t>
            </w:r>
            <w:r w:rsidRPr="007B3C75">
              <w:t> </w:t>
            </w:r>
          </w:p>
        </w:tc>
        <w:tc>
          <w:tcPr>
            <w:tcW w:w="6804" w:type="dxa"/>
            <w:tcBorders>
              <w:top w:val="nil"/>
              <w:left w:val="nil"/>
              <w:bottom w:val="nil"/>
              <w:right w:val="nil"/>
            </w:tcBorders>
            <w:shd w:val="clear" w:color="auto" w:fill="auto"/>
            <w:hideMark/>
          </w:tcPr>
          <w:p w14:paraId="4991E217" w14:textId="77777777" w:rsidR="007B3C75" w:rsidRPr="007B3C75" w:rsidRDefault="007B3C75" w:rsidP="001261F5">
            <w:pPr>
              <w:pStyle w:val="BodyText"/>
              <w:spacing w:before="60" w:after="60" w:line="240" w:lineRule="auto"/>
            </w:pPr>
            <w:r w:rsidRPr="007B3C75">
              <w:t>nitrogen trifluoride </w:t>
            </w:r>
          </w:p>
        </w:tc>
      </w:tr>
      <w:tr w:rsidR="007B3C75" w:rsidRPr="007B3C75" w14:paraId="43BDB363" w14:textId="77777777" w:rsidTr="0044676F">
        <w:trPr>
          <w:trHeight w:val="300"/>
        </w:trPr>
        <w:tc>
          <w:tcPr>
            <w:tcW w:w="1701" w:type="dxa"/>
            <w:tcBorders>
              <w:top w:val="nil"/>
              <w:left w:val="nil"/>
              <w:bottom w:val="nil"/>
              <w:right w:val="nil"/>
            </w:tcBorders>
            <w:shd w:val="clear" w:color="auto" w:fill="auto"/>
            <w:hideMark/>
          </w:tcPr>
          <w:p w14:paraId="6E8196CB" w14:textId="77777777" w:rsidR="007B3C75" w:rsidRPr="007B3C75" w:rsidRDefault="007B3C75" w:rsidP="001261F5">
            <w:pPr>
              <w:pStyle w:val="BodyText"/>
              <w:spacing w:before="60" w:after="60" w:line="240" w:lineRule="auto"/>
            </w:pPr>
            <w:r w:rsidRPr="007B3C75">
              <w:rPr>
                <w:b/>
                <w:bCs/>
              </w:rPr>
              <w:t>NIWA</w:t>
            </w:r>
            <w:r w:rsidRPr="007B3C75">
              <w:t> </w:t>
            </w:r>
          </w:p>
        </w:tc>
        <w:tc>
          <w:tcPr>
            <w:tcW w:w="6804" w:type="dxa"/>
            <w:tcBorders>
              <w:top w:val="nil"/>
              <w:left w:val="nil"/>
              <w:bottom w:val="nil"/>
              <w:right w:val="nil"/>
            </w:tcBorders>
            <w:shd w:val="clear" w:color="auto" w:fill="auto"/>
            <w:hideMark/>
          </w:tcPr>
          <w:p w14:paraId="7C82DF4E" w14:textId="77777777" w:rsidR="007B3C75" w:rsidRPr="007B3C75" w:rsidRDefault="007B3C75" w:rsidP="001261F5">
            <w:pPr>
              <w:pStyle w:val="BodyText"/>
              <w:spacing w:before="60" w:after="60" w:line="240" w:lineRule="auto"/>
            </w:pPr>
            <w:r w:rsidRPr="007B3C75">
              <w:t>National Institute of Water and Atmospheric Research </w:t>
            </w:r>
          </w:p>
        </w:tc>
      </w:tr>
      <w:tr w:rsidR="007B3C75" w:rsidRPr="007B3C75" w14:paraId="379156C8" w14:textId="77777777" w:rsidTr="0044676F">
        <w:trPr>
          <w:trHeight w:val="300"/>
        </w:trPr>
        <w:tc>
          <w:tcPr>
            <w:tcW w:w="1701" w:type="dxa"/>
            <w:tcBorders>
              <w:top w:val="nil"/>
              <w:left w:val="nil"/>
              <w:bottom w:val="nil"/>
              <w:right w:val="nil"/>
            </w:tcBorders>
            <w:shd w:val="clear" w:color="auto" w:fill="auto"/>
            <w:hideMark/>
          </w:tcPr>
          <w:p w14:paraId="5F97C723" w14:textId="77777777" w:rsidR="007B3C75" w:rsidRPr="007B3C75" w:rsidRDefault="007B3C75" w:rsidP="001261F5">
            <w:pPr>
              <w:pStyle w:val="BodyText"/>
              <w:spacing w:before="60" w:after="60" w:line="240" w:lineRule="auto"/>
            </w:pPr>
            <w:r w:rsidRPr="007B3C75">
              <w:rPr>
                <w:b/>
                <w:bCs/>
              </w:rPr>
              <w:t>NZAGRC</w:t>
            </w:r>
            <w:r w:rsidRPr="007B3C75">
              <w:t> </w:t>
            </w:r>
          </w:p>
        </w:tc>
        <w:tc>
          <w:tcPr>
            <w:tcW w:w="6804" w:type="dxa"/>
            <w:tcBorders>
              <w:top w:val="nil"/>
              <w:left w:val="nil"/>
              <w:bottom w:val="nil"/>
              <w:right w:val="nil"/>
            </w:tcBorders>
            <w:shd w:val="clear" w:color="auto" w:fill="auto"/>
            <w:hideMark/>
          </w:tcPr>
          <w:p w14:paraId="5CBF7250" w14:textId="77777777" w:rsidR="007B3C75" w:rsidRPr="007B3C75" w:rsidRDefault="007B3C75" w:rsidP="001261F5">
            <w:pPr>
              <w:pStyle w:val="BodyText"/>
              <w:spacing w:before="60" w:after="60" w:line="240" w:lineRule="auto"/>
            </w:pPr>
            <w:r w:rsidRPr="007B3C75">
              <w:t>New Zealand Agricultural Greenhouse Gas Research Centre </w:t>
            </w:r>
          </w:p>
        </w:tc>
      </w:tr>
      <w:tr w:rsidR="007B3C75" w:rsidRPr="007B3C75" w14:paraId="7C287351" w14:textId="77777777" w:rsidTr="0044676F">
        <w:trPr>
          <w:trHeight w:val="300"/>
        </w:trPr>
        <w:tc>
          <w:tcPr>
            <w:tcW w:w="1701" w:type="dxa"/>
            <w:tcBorders>
              <w:top w:val="nil"/>
              <w:left w:val="nil"/>
              <w:bottom w:val="nil"/>
              <w:right w:val="nil"/>
            </w:tcBorders>
            <w:shd w:val="clear" w:color="auto" w:fill="auto"/>
            <w:hideMark/>
          </w:tcPr>
          <w:p w14:paraId="5DBB09D3" w14:textId="77777777" w:rsidR="007B3C75" w:rsidRPr="007B3C75" w:rsidRDefault="007B3C75" w:rsidP="001261F5">
            <w:pPr>
              <w:pStyle w:val="BodyText"/>
              <w:spacing w:before="60" w:after="60" w:line="240" w:lineRule="auto"/>
            </w:pPr>
            <w:r w:rsidRPr="007B3C75">
              <w:rPr>
                <w:b/>
                <w:bCs/>
              </w:rPr>
              <w:t>NZ ETS </w:t>
            </w:r>
            <w:r w:rsidRPr="007B3C75">
              <w:t> </w:t>
            </w:r>
          </w:p>
        </w:tc>
        <w:tc>
          <w:tcPr>
            <w:tcW w:w="6804" w:type="dxa"/>
            <w:tcBorders>
              <w:top w:val="nil"/>
              <w:left w:val="nil"/>
              <w:bottom w:val="nil"/>
              <w:right w:val="nil"/>
            </w:tcBorders>
            <w:shd w:val="clear" w:color="auto" w:fill="auto"/>
            <w:hideMark/>
          </w:tcPr>
          <w:p w14:paraId="6B74D551" w14:textId="77777777" w:rsidR="007B3C75" w:rsidRPr="007B3C75" w:rsidRDefault="007B3C75" w:rsidP="001261F5">
            <w:pPr>
              <w:pStyle w:val="BodyText"/>
              <w:spacing w:before="60" w:after="60" w:line="240" w:lineRule="auto"/>
            </w:pPr>
            <w:r w:rsidRPr="007B3C75">
              <w:t>New Zealand Emissions Trading Scheme </w:t>
            </w:r>
          </w:p>
        </w:tc>
      </w:tr>
      <w:tr w:rsidR="007B3C75" w:rsidRPr="007B3C75" w14:paraId="4D6F1BC7" w14:textId="77777777" w:rsidTr="0044676F">
        <w:trPr>
          <w:trHeight w:val="300"/>
        </w:trPr>
        <w:tc>
          <w:tcPr>
            <w:tcW w:w="1701" w:type="dxa"/>
            <w:tcBorders>
              <w:top w:val="nil"/>
              <w:left w:val="nil"/>
              <w:bottom w:val="nil"/>
              <w:right w:val="nil"/>
            </w:tcBorders>
            <w:shd w:val="clear" w:color="auto" w:fill="auto"/>
            <w:hideMark/>
          </w:tcPr>
          <w:p w14:paraId="36DCE409" w14:textId="77777777" w:rsidR="007B3C75" w:rsidRPr="007B3C75" w:rsidRDefault="007B3C75" w:rsidP="001261F5">
            <w:pPr>
              <w:pStyle w:val="BodyText"/>
              <w:spacing w:before="60" w:after="60" w:line="240" w:lineRule="auto"/>
            </w:pPr>
            <w:r w:rsidRPr="007B3C75">
              <w:rPr>
                <w:b/>
                <w:bCs/>
              </w:rPr>
              <w:t>NZGIF</w:t>
            </w:r>
            <w:r w:rsidRPr="007B3C75">
              <w:t> </w:t>
            </w:r>
          </w:p>
        </w:tc>
        <w:tc>
          <w:tcPr>
            <w:tcW w:w="6804" w:type="dxa"/>
            <w:tcBorders>
              <w:top w:val="nil"/>
              <w:left w:val="nil"/>
              <w:bottom w:val="nil"/>
              <w:right w:val="nil"/>
            </w:tcBorders>
            <w:shd w:val="clear" w:color="auto" w:fill="auto"/>
            <w:hideMark/>
          </w:tcPr>
          <w:p w14:paraId="5324FF9D" w14:textId="77777777" w:rsidR="007B3C75" w:rsidRPr="007B3C75" w:rsidRDefault="007B3C75" w:rsidP="001261F5">
            <w:pPr>
              <w:pStyle w:val="BodyText"/>
              <w:spacing w:before="60" w:after="60" w:line="240" w:lineRule="auto"/>
            </w:pPr>
            <w:r w:rsidRPr="007B3C75">
              <w:t>New Zealand Green Investment Finance Limited </w:t>
            </w:r>
          </w:p>
        </w:tc>
      </w:tr>
      <w:tr w:rsidR="007B3C75" w:rsidRPr="007B3C75" w14:paraId="62173FA8" w14:textId="77777777" w:rsidTr="0044676F">
        <w:trPr>
          <w:trHeight w:val="300"/>
        </w:trPr>
        <w:tc>
          <w:tcPr>
            <w:tcW w:w="1701" w:type="dxa"/>
            <w:tcBorders>
              <w:top w:val="nil"/>
              <w:left w:val="nil"/>
              <w:bottom w:val="nil"/>
              <w:right w:val="nil"/>
            </w:tcBorders>
            <w:shd w:val="clear" w:color="auto" w:fill="auto"/>
            <w:hideMark/>
          </w:tcPr>
          <w:p w14:paraId="3A8970CB" w14:textId="77777777" w:rsidR="007B3C75" w:rsidRPr="007B3C75" w:rsidRDefault="007B3C75" w:rsidP="001261F5">
            <w:pPr>
              <w:pStyle w:val="BodyText"/>
              <w:spacing w:before="60" w:after="60" w:line="240" w:lineRule="auto"/>
            </w:pPr>
            <w:r w:rsidRPr="007B3C75">
              <w:rPr>
                <w:b/>
                <w:bCs/>
              </w:rPr>
              <w:t>NZU</w:t>
            </w:r>
            <w:r w:rsidRPr="007B3C75">
              <w:t> </w:t>
            </w:r>
          </w:p>
        </w:tc>
        <w:tc>
          <w:tcPr>
            <w:tcW w:w="6804" w:type="dxa"/>
            <w:tcBorders>
              <w:top w:val="nil"/>
              <w:left w:val="nil"/>
              <w:bottom w:val="nil"/>
              <w:right w:val="nil"/>
            </w:tcBorders>
            <w:shd w:val="clear" w:color="auto" w:fill="auto"/>
            <w:hideMark/>
          </w:tcPr>
          <w:p w14:paraId="45B8EADF" w14:textId="77777777" w:rsidR="007B3C75" w:rsidRPr="007B3C75" w:rsidRDefault="007B3C75" w:rsidP="001261F5">
            <w:pPr>
              <w:pStyle w:val="BodyText"/>
              <w:spacing w:before="60" w:after="60" w:line="240" w:lineRule="auto"/>
            </w:pPr>
            <w:r w:rsidRPr="007B3C75">
              <w:t>New Zealand emissions unit </w:t>
            </w:r>
          </w:p>
        </w:tc>
      </w:tr>
      <w:tr w:rsidR="007B3C75" w:rsidRPr="007B3C75" w14:paraId="510BDA64" w14:textId="77777777" w:rsidTr="0044676F">
        <w:trPr>
          <w:trHeight w:val="300"/>
        </w:trPr>
        <w:tc>
          <w:tcPr>
            <w:tcW w:w="1701" w:type="dxa"/>
            <w:tcBorders>
              <w:top w:val="nil"/>
              <w:left w:val="nil"/>
              <w:bottom w:val="nil"/>
              <w:right w:val="nil"/>
            </w:tcBorders>
            <w:shd w:val="clear" w:color="auto" w:fill="auto"/>
            <w:hideMark/>
          </w:tcPr>
          <w:p w14:paraId="30F1F749" w14:textId="77777777" w:rsidR="007B3C75" w:rsidRPr="007B3C75" w:rsidRDefault="007B3C75" w:rsidP="001261F5">
            <w:pPr>
              <w:pStyle w:val="BodyText"/>
              <w:spacing w:before="60" w:after="60" w:line="240" w:lineRule="auto"/>
            </w:pPr>
            <w:r w:rsidRPr="007B3C75">
              <w:rPr>
                <w:b/>
                <w:bCs/>
              </w:rPr>
              <w:t>ODA</w:t>
            </w:r>
            <w:r w:rsidRPr="007B3C75">
              <w:t> </w:t>
            </w:r>
          </w:p>
        </w:tc>
        <w:tc>
          <w:tcPr>
            <w:tcW w:w="6804" w:type="dxa"/>
            <w:tcBorders>
              <w:top w:val="nil"/>
              <w:left w:val="nil"/>
              <w:bottom w:val="nil"/>
              <w:right w:val="nil"/>
            </w:tcBorders>
            <w:shd w:val="clear" w:color="auto" w:fill="auto"/>
            <w:hideMark/>
          </w:tcPr>
          <w:p w14:paraId="4DA86A89" w14:textId="77777777" w:rsidR="007B3C75" w:rsidRPr="007B3C75" w:rsidRDefault="007B3C75" w:rsidP="001261F5">
            <w:pPr>
              <w:pStyle w:val="BodyText"/>
              <w:spacing w:before="60" w:after="60" w:line="240" w:lineRule="auto"/>
            </w:pPr>
            <w:r w:rsidRPr="007B3C75">
              <w:t>official development assistance </w:t>
            </w:r>
          </w:p>
        </w:tc>
      </w:tr>
      <w:tr w:rsidR="007B3C75" w:rsidRPr="007B3C75" w14:paraId="092404B6" w14:textId="77777777" w:rsidTr="0044676F">
        <w:trPr>
          <w:trHeight w:val="300"/>
        </w:trPr>
        <w:tc>
          <w:tcPr>
            <w:tcW w:w="1701" w:type="dxa"/>
            <w:tcBorders>
              <w:top w:val="nil"/>
              <w:left w:val="nil"/>
              <w:bottom w:val="nil"/>
              <w:right w:val="nil"/>
            </w:tcBorders>
            <w:shd w:val="clear" w:color="auto" w:fill="auto"/>
            <w:hideMark/>
          </w:tcPr>
          <w:p w14:paraId="4EC61940" w14:textId="77777777" w:rsidR="007B3C75" w:rsidRPr="007B3C75" w:rsidRDefault="007B3C75" w:rsidP="001261F5">
            <w:pPr>
              <w:pStyle w:val="BodyText"/>
              <w:spacing w:before="60" w:after="60" w:line="240" w:lineRule="auto"/>
            </w:pPr>
            <w:r w:rsidRPr="007B3C75">
              <w:rPr>
                <w:b/>
                <w:bCs/>
              </w:rPr>
              <w:t>OECD</w:t>
            </w:r>
            <w:r w:rsidRPr="007B3C75">
              <w:t> </w:t>
            </w:r>
          </w:p>
        </w:tc>
        <w:tc>
          <w:tcPr>
            <w:tcW w:w="6804" w:type="dxa"/>
            <w:tcBorders>
              <w:top w:val="nil"/>
              <w:left w:val="nil"/>
              <w:bottom w:val="nil"/>
              <w:right w:val="nil"/>
            </w:tcBorders>
            <w:shd w:val="clear" w:color="auto" w:fill="auto"/>
            <w:hideMark/>
          </w:tcPr>
          <w:p w14:paraId="20C38DCF" w14:textId="77777777" w:rsidR="007B3C75" w:rsidRPr="007B3C75" w:rsidRDefault="007B3C75" w:rsidP="001261F5">
            <w:pPr>
              <w:pStyle w:val="BodyText"/>
              <w:spacing w:before="60" w:after="60" w:line="240" w:lineRule="auto"/>
            </w:pPr>
            <w:r w:rsidRPr="007B3C75">
              <w:t>Organisation for Economic Co-operation and Development  </w:t>
            </w:r>
          </w:p>
        </w:tc>
      </w:tr>
      <w:tr w:rsidR="007B3C75" w:rsidRPr="007B3C75" w14:paraId="2BFEAF7C" w14:textId="77777777" w:rsidTr="0044676F">
        <w:trPr>
          <w:trHeight w:val="300"/>
        </w:trPr>
        <w:tc>
          <w:tcPr>
            <w:tcW w:w="1701" w:type="dxa"/>
            <w:tcBorders>
              <w:top w:val="nil"/>
              <w:left w:val="nil"/>
              <w:bottom w:val="nil"/>
              <w:right w:val="nil"/>
            </w:tcBorders>
            <w:shd w:val="clear" w:color="auto" w:fill="auto"/>
            <w:hideMark/>
          </w:tcPr>
          <w:p w14:paraId="45D56AAC" w14:textId="77777777" w:rsidR="007B3C75" w:rsidRPr="007B3C75" w:rsidRDefault="007B3C75" w:rsidP="001261F5">
            <w:pPr>
              <w:pStyle w:val="BodyText"/>
              <w:spacing w:before="60" w:after="60" w:line="240" w:lineRule="auto"/>
            </w:pPr>
            <w:r w:rsidRPr="007B3C75">
              <w:rPr>
                <w:b/>
                <w:bCs/>
              </w:rPr>
              <w:t>PFCs</w:t>
            </w:r>
            <w:r w:rsidRPr="007B3C75">
              <w:t> </w:t>
            </w:r>
          </w:p>
        </w:tc>
        <w:tc>
          <w:tcPr>
            <w:tcW w:w="6804" w:type="dxa"/>
            <w:tcBorders>
              <w:top w:val="nil"/>
              <w:left w:val="nil"/>
              <w:bottom w:val="nil"/>
              <w:right w:val="nil"/>
            </w:tcBorders>
            <w:shd w:val="clear" w:color="auto" w:fill="auto"/>
            <w:hideMark/>
          </w:tcPr>
          <w:p w14:paraId="276A16F0" w14:textId="77777777" w:rsidR="007B3C75" w:rsidRPr="007B3C75" w:rsidRDefault="007B3C75" w:rsidP="001261F5">
            <w:pPr>
              <w:pStyle w:val="BodyText"/>
              <w:spacing w:before="60" w:after="60" w:line="240" w:lineRule="auto"/>
            </w:pPr>
            <w:r w:rsidRPr="007B3C75">
              <w:t>perfluorocarbons </w:t>
            </w:r>
          </w:p>
        </w:tc>
      </w:tr>
      <w:tr w:rsidR="007B3C75" w:rsidRPr="007B3C75" w14:paraId="4E29D95F" w14:textId="77777777" w:rsidTr="0044676F">
        <w:trPr>
          <w:trHeight w:val="300"/>
        </w:trPr>
        <w:tc>
          <w:tcPr>
            <w:tcW w:w="1701" w:type="dxa"/>
            <w:tcBorders>
              <w:top w:val="nil"/>
              <w:left w:val="nil"/>
              <w:bottom w:val="nil"/>
              <w:right w:val="nil"/>
            </w:tcBorders>
            <w:shd w:val="clear" w:color="auto" w:fill="auto"/>
            <w:hideMark/>
          </w:tcPr>
          <w:p w14:paraId="649EE7A9" w14:textId="77777777" w:rsidR="007B3C75" w:rsidRPr="007B3C75" w:rsidRDefault="007B3C75" w:rsidP="001261F5">
            <w:pPr>
              <w:pStyle w:val="BodyText"/>
              <w:spacing w:before="60" w:after="60" w:line="240" w:lineRule="auto"/>
            </w:pPr>
            <w:r w:rsidRPr="007B3C75">
              <w:rPr>
                <w:b/>
                <w:bCs/>
              </w:rPr>
              <w:t>PFSI</w:t>
            </w:r>
            <w:r w:rsidRPr="007B3C75">
              <w:t> </w:t>
            </w:r>
          </w:p>
        </w:tc>
        <w:tc>
          <w:tcPr>
            <w:tcW w:w="6804" w:type="dxa"/>
            <w:tcBorders>
              <w:top w:val="nil"/>
              <w:left w:val="nil"/>
              <w:bottom w:val="nil"/>
              <w:right w:val="nil"/>
            </w:tcBorders>
            <w:shd w:val="clear" w:color="auto" w:fill="auto"/>
            <w:hideMark/>
          </w:tcPr>
          <w:p w14:paraId="3F2A2067" w14:textId="77777777" w:rsidR="007B3C75" w:rsidRPr="007B3C75" w:rsidRDefault="007B3C75" w:rsidP="001261F5">
            <w:pPr>
              <w:pStyle w:val="BodyText"/>
              <w:spacing w:before="60" w:after="60" w:line="240" w:lineRule="auto"/>
            </w:pPr>
            <w:r w:rsidRPr="007B3C75">
              <w:t>Permanent Forest Sink Initiative </w:t>
            </w:r>
          </w:p>
        </w:tc>
      </w:tr>
      <w:tr w:rsidR="007B3C75" w:rsidRPr="007B3C75" w14:paraId="396DEEE7" w14:textId="77777777" w:rsidTr="0044676F">
        <w:trPr>
          <w:trHeight w:val="300"/>
        </w:trPr>
        <w:tc>
          <w:tcPr>
            <w:tcW w:w="1701" w:type="dxa"/>
            <w:tcBorders>
              <w:top w:val="nil"/>
              <w:left w:val="nil"/>
              <w:bottom w:val="nil"/>
              <w:right w:val="nil"/>
            </w:tcBorders>
            <w:shd w:val="clear" w:color="auto" w:fill="auto"/>
            <w:hideMark/>
          </w:tcPr>
          <w:p w14:paraId="3684F611" w14:textId="77777777" w:rsidR="007B3C75" w:rsidRPr="007B3C75" w:rsidRDefault="007B3C75" w:rsidP="001261F5">
            <w:pPr>
              <w:pStyle w:val="BodyText"/>
              <w:spacing w:before="60" w:after="60" w:line="240" w:lineRule="auto"/>
            </w:pPr>
            <w:r w:rsidRPr="007B3C75">
              <w:rPr>
                <w:b/>
                <w:bCs/>
              </w:rPr>
              <w:t>PJ</w:t>
            </w:r>
            <w:r w:rsidRPr="007B3C75">
              <w:t> </w:t>
            </w:r>
          </w:p>
        </w:tc>
        <w:tc>
          <w:tcPr>
            <w:tcW w:w="6804" w:type="dxa"/>
            <w:tcBorders>
              <w:top w:val="nil"/>
              <w:left w:val="nil"/>
              <w:bottom w:val="nil"/>
              <w:right w:val="nil"/>
            </w:tcBorders>
            <w:shd w:val="clear" w:color="auto" w:fill="auto"/>
            <w:hideMark/>
          </w:tcPr>
          <w:p w14:paraId="25E0BAE0" w14:textId="77777777" w:rsidR="007B3C75" w:rsidRPr="007B3C75" w:rsidRDefault="007B3C75" w:rsidP="001261F5">
            <w:pPr>
              <w:pStyle w:val="BodyText"/>
              <w:spacing w:before="60" w:after="60" w:line="240" w:lineRule="auto"/>
            </w:pPr>
            <w:r w:rsidRPr="007B3C75">
              <w:t>petajoule </w:t>
            </w:r>
          </w:p>
        </w:tc>
      </w:tr>
      <w:tr w:rsidR="007B3C75" w:rsidRPr="007B3C75" w14:paraId="358B4EF2" w14:textId="77777777" w:rsidTr="0044676F">
        <w:trPr>
          <w:trHeight w:val="300"/>
        </w:trPr>
        <w:tc>
          <w:tcPr>
            <w:tcW w:w="1701" w:type="dxa"/>
            <w:tcBorders>
              <w:top w:val="nil"/>
              <w:left w:val="nil"/>
              <w:bottom w:val="nil"/>
              <w:right w:val="nil"/>
            </w:tcBorders>
            <w:shd w:val="clear" w:color="auto" w:fill="auto"/>
            <w:hideMark/>
          </w:tcPr>
          <w:p w14:paraId="4972F15A" w14:textId="77777777" w:rsidR="007B3C75" w:rsidRPr="007B3C75" w:rsidRDefault="007B3C75" w:rsidP="001261F5">
            <w:pPr>
              <w:pStyle w:val="BodyText"/>
              <w:spacing w:before="60" w:after="60" w:line="240" w:lineRule="auto"/>
            </w:pPr>
            <w:r w:rsidRPr="007B3C75">
              <w:rPr>
                <w:b/>
                <w:bCs/>
              </w:rPr>
              <w:t>PSRM</w:t>
            </w:r>
            <w:r w:rsidRPr="007B3C75">
              <w:t> </w:t>
            </w:r>
          </w:p>
        </w:tc>
        <w:tc>
          <w:tcPr>
            <w:tcW w:w="6804" w:type="dxa"/>
            <w:tcBorders>
              <w:top w:val="nil"/>
              <w:left w:val="nil"/>
              <w:bottom w:val="nil"/>
              <w:right w:val="nil"/>
            </w:tcBorders>
            <w:shd w:val="clear" w:color="auto" w:fill="auto"/>
            <w:hideMark/>
          </w:tcPr>
          <w:p w14:paraId="59A1F6F1" w14:textId="77777777" w:rsidR="007B3C75" w:rsidRPr="007B3C75" w:rsidRDefault="007B3C75" w:rsidP="001261F5">
            <w:pPr>
              <w:pStyle w:val="BodyText"/>
              <w:spacing w:before="60" w:after="60" w:line="240" w:lineRule="auto"/>
            </w:pPr>
            <w:r w:rsidRPr="007B3C75">
              <w:t>Pastoral Supply Response Model </w:t>
            </w:r>
          </w:p>
        </w:tc>
      </w:tr>
      <w:tr w:rsidR="007B3C75" w:rsidRPr="007B3C75" w14:paraId="3265151E" w14:textId="77777777" w:rsidTr="0044676F">
        <w:trPr>
          <w:trHeight w:val="300"/>
        </w:trPr>
        <w:tc>
          <w:tcPr>
            <w:tcW w:w="1701" w:type="dxa"/>
            <w:tcBorders>
              <w:top w:val="nil"/>
              <w:left w:val="nil"/>
              <w:bottom w:val="nil"/>
              <w:right w:val="nil"/>
            </w:tcBorders>
            <w:shd w:val="clear" w:color="auto" w:fill="auto"/>
            <w:hideMark/>
          </w:tcPr>
          <w:p w14:paraId="3C607A1F" w14:textId="77777777" w:rsidR="007B3C75" w:rsidRPr="007B3C75" w:rsidRDefault="007B3C75" w:rsidP="001261F5">
            <w:pPr>
              <w:pStyle w:val="BodyText"/>
              <w:spacing w:before="60" w:after="60" w:line="240" w:lineRule="auto"/>
            </w:pPr>
            <w:r w:rsidRPr="007B3C75">
              <w:rPr>
                <w:b/>
                <w:bCs/>
              </w:rPr>
              <w:t>RMA</w:t>
            </w:r>
            <w:r w:rsidRPr="007B3C75">
              <w:t> </w:t>
            </w:r>
          </w:p>
        </w:tc>
        <w:tc>
          <w:tcPr>
            <w:tcW w:w="6804" w:type="dxa"/>
            <w:tcBorders>
              <w:top w:val="nil"/>
              <w:left w:val="nil"/>
              <w:bottom w:val="nil"/>
              <w:right w:val="nil"/>
            </w:tcBorders>
            <w:shd w:val="clear" w:color="auto" w:fill="auto"/>
            <w:hideMark/>
          </w:tcPr>
          <w:p w14:paraId="5C39D9CB" w14:textId="77777777" w:rsidR="007B3C75" w:rsidRPr="007B3C75" w:rsidRDefault="007B3C75" w:rsidP="001261F5">
            <w:pPr>
              <w:pStyle w:val="BodyText"/>
              <w:spacing w:before="60" w:after="60" w:line="240" w:lineRule="auto"/>
            </w:pPr>
            <w:r w:rsidRPr="007B3C75">
              <w:t>Resource Management Act 1991 </w:t>
            </w:r>
          </w:p>
        </w:tc>
      </w:tr>
      <w:tr w:rsidR="007B3C75" w:rsidRPr="007B3C75" w14:paraId="4FCB11BA" w14:textId="77777777" w:rsidTr="0044676F">
        <w:trPr>
          <w:trHeight w:val="300"/>
        </w:trPr>
        <w:tc>
          <w:tcPr>
            <w:tcW w:w="1701" w:type="dxa"/>
            <w:tcBorders>
              <w:top w:val="nil"/>
              <w:left w:val="nil"/>
              <w:bottom w:val="nil"/>
              <w:right w:val="nil"/>
            </w:tcBorders>
            <w:shd w:val="clear" w:color="auto" w:fill="auto"/>
            <w:hideMark/>
          </w:tcPr>
          <w:p w14:paraId="6AE7E79A" w14:textId="77777777" w:rsidR="007B3C75" w:rsidRPr="007B3C75" w:rsidRDefault="007B3C75" w:rsidP="001261F5">
            <w:pPr>
              <w:pStyle w:val="BodyText"/>
              <w:spacing w:before="60" w:after="60" w:line="240" w:lineRule="auto"/>
            </w:pPr>
            <w:r w:rsidRPr="007B3C75">
              <w:rPr>
                <w:b/>
                <w:bCs/>
              </w:rPr>
              <w:t>SADEM</w:t>
            </w:r>
            <w:r w:rsidRPr="007B3C75">
              <w:t> </w:t>
            </w:r>
          </w:p>
        </w:tc>
        <w:tc>
          <w:tcPr>
            <w:tcW w:w="6804" w:type="dxa"/>
            <w:tcBorders>
              <w:top w:val="nil"/>
              <w:left w:val="nil"/>
              <w:bottom w:val="nil"/>
              <w:right w:val="nil"/>
            </w:tcBorders>
            <w:shd w:val="clear" w:color="auto" w:fill="auto"/>
            <w:hideMark/>
          </w:tcPr>
          <w:p w14:paraId="5DACF8A1" w14:textId="77777777" w:rsidR="007B3C75" w:rsidRPr="007B3C75" w:rsidRDefault="007B3C75" w:rsidP="001261F5">
            <w:pPr>
              <w:pStyle w:val="BodyText"/>
              <w:spacing w:before="60" w:after="60" w:line="240" w:lineRule="auto"/>
            </w:pPr>
            <w:r w:rsidRPr="007B3C75">
              <w:t>Supply and Demand Energy Model </w:t>
            </w:r>
          </w:p>
        </w:tc>
      </w:tr>
      <w:tr w:rsidR="007B3C75" w:rsidRPr="007B3C75" w14:paraId="7C4FB59E" w14:textId="77777777" w:rsidTr="0044676F">
        <w:trPr>
          <w:trHeight w:val="300"/>
        </w:trPr>
        <w:tc>
          <w:tcPr>
            <w:tcW w:w="1701" w:type="dxa"/>
            <w:tcBorders>
              <w:top w:val="nil"/>
              <w:left w:val="nil"/>
              <w:bottom w:val="nil"/>
              <w:right w:val="nil"/>
            </w:tcBorders>
            <w:shd w:val="clear" w:color="auto" w:fill="auto"/>
            <w:hideMark/>
          </w:tcPr>
          <w:p w14:paraId="3C73F339" w14:textId="77777777" w:rsidR="007B3C75" w:rsidRPr="007B3C75" w:rsidRDefault="007B3C75" w:rsidP="001261F5">
            <w:pPr>
              <w:pStyle w:val="BodyText"/>
              <w:spacing w:before="60" w:after="60" w:line="240" w:lineRule="auto"/>
            </w:pPr>
            <w:r w:rsidRPr="007B3C75">
              <w:rPr>
                <w:b/>
                <w:bCs/>
              </w:rPr>
              <w:t>SF</w:t>
            </w:r>
            <w:r w:rsidRPr="007B3C75">
              <w:rPr>
                <w:b/>
                <w:bCs/>
                <w:vertAlign w:val="subscript"/>
              </w:rPr>
              <w:t>6</w:t>
            </w:r>
            <w:r w:rsidRPr="007B3C75">
              <w:t> </w:t>
            </w:r>
          </w:p>
        </w:tc>
        <w:tc>
          <w:tcPr>
            <w:tcW w:w="6804" w:type="dxa"/>
            <w:tcBorders>
              <w:top w:val="nil"/>
              <w:left w:val="nil"/>
              <w:bottom w:val="nil"/>
              <w:right w:val="nil"/>
            </w:tcBorders>
            <w:shd w:val="clear" w:color="auto" w:fill="auto"/>
            <w:hideMark/>
          </w:tcPr>
          <w:p w14:paraId="4746A5B4" w14:textId="77777777" w:rsidR="007B3C75" w:rsidRPr="007B3C75" w:rsidRDefault="007B3C75" w:rsidP="001261F5">
            <w:pPr>
              <w:pStyle w:val="BodyText"/>
              <w:spacing w:before="60" w:after="60" w:line="240" w:lineRule="auto"/>
            </w:pPr>
            <w:r w:rsidRPr="007B3C75">
              <w:t>sulphur hexafluoride </w:t>
            </w:r>
          </w:p>
        </w:tc>
      </w:tr>
      <w:tr w:rsidR="007B3C75" w:rsidRPr="007B3C75" w14:paraId="128CF116" w14:textId="77777777" w:rsidTr="0044676F">
        <w:trPr>
          <w:trHeight w:val="300"/>
        </w:trPr>
        <w:tc>
          <w:tcPr>
            <w:tcW w:w="1701" w:type="dxa"/>
            <w:tcBorders>
              <w:top w:val="nil"/>
              <w:left w:val="nil"/>
              <w:bottom w:val="nil"/>
              <w:right w:val="nil"/>
            </w:tcBorders>
            <w:shd w:val="clear" w:color="auto" w:fill="auto"/>
            <w:hideMark/>
          </w:tcPr>
          <w:p w14:paraId="18F75654" w14:textId="77777777" w:rsidR="007B3C75" w:rsidRPr="007B3C75" w:rsidRDefault="007B3C75" w:rsidP="001261F5">
            <w:pPr>
              <w:pStyle w:val="BodyText"/>
              <w:spacing w:before="60" w:after="60" w:line="240" w:lineRule="auto"/>
            </w:pPr>
            <w:r w:rsidRPr="007B3C75">
              <w:rPr>
                <w:b/>
                <w:bCs/>
              </w:rPr>
              <w:t>SFF</w:t>
            </w:r>
            <w:r w:rsidRPr="007B3C75">
              <w:t> </w:t>
            </w:r>
          </w:p>
        </w:tc>
        <w:tc>
          <w:tcPr>
            <w:tcW w:w="6804" w:type="dxa"/>
            <w:tcBorders>
              <w:top w:val="nil"/>
              <w:left w:val="nil"/>
              <w:bottom w:val="nil"/>
              <w:right w:val="nil"/>
            </w:tcBorders>
            <w:shd w:val="clear" w:color="auto" w:fill="auto"/>
            <w:hideMark/>
          </w:tcPr>
          <w:p w14:paraId="63B78598" w14:textId="77777777" w:rsidR="007B3C75" w:rsidRPr="007B3C75" w:rsidRDefault="007B3C75" w:rsidP="001261F5">
            <w:pPr>
              <w:pStyle w:val="BodyText"/>
              <w:spacing w:before="60" w:after="60" w:line="240" w:lineRule="auto"/>
            </w:pPr>
            <w:r w:rsidRPr="007B3C75">
              <w:t>Sustainable Food and Fibre Futures </w:t>
            </w:r>
          </w:p>
        </w:tc>
      </w:tr>
      <w:tr w:rsidR="007B3C75" w:rsidRPr="007B3C75" w14:paraId="5B869B41" w14:textId="77777777" w:rsidTr="0044676F">
        <w:trPr>
          <w:trHeight w:val="300"/>
        </w:trPr>
        <w:tc>
          <w:tcPr>
            <w:tcW w:w="1701" w:type="dxa"/>
            <w:tcBorders>
              <w:top w:val="nil"/>
              <w:left w:val="nil"/>
              <w:bottom w:val="nil"/>
              <w:right w:val="nil"/>
            </w:tcBorders>
            <w:shd w:val="clear" w:color="auto" w:fill="auto"/>
            <w:hideMark/>
          </w:tcPr>
          <w:p w14:paraId="44099CCD" w14:textId="77777777" w:rsidR="007B3C75" w:rsidRPr="007B3C75" w:rsidRDefault="007B3C75" w:rsidP="001261F5">
            <w:pPr>
              <w:pStyle w:val="BodyText"/>
              <w:spacing w:before="60" w:after="60" w:line="240" w:lineRule="auto"/>
            </w:pPr>
            <w:r w:rsidRPr="007B3C75">
              <w:rPr>
                <w:b/>
                <w:bCs/>
              </w:rPr>
              <w:t>SSDF</w:t>
            </w:r>
            <w:r w:rsidRPr="007B3C75">
              <w:t> </w:t>
            </w:r>
          </w:p>
        </w:tc>
        <w:tc>
          <w:tcPr>
            <w:tcW w:w="6804" w:type="dxa"/>
            <w:tcBorders>
              <w:top w:val="nil"/>
              <w:left w:val="nil"/>
              <w:bottom w:val="nil"/>
              <w:right w:val="nil"/>
            </w:tcBorders>
            <w:shd w:val="clear" w:color="auto" w:fill="auto"/>
            <w:hideMark/>
          </w:tcPr>
          <w:p w14:paraId="3FD14D13" w14:textId="77777777" w:rsidR="007B3C75" w:rsidRPr="007B3C75" w:rsidRDefault="007B3C75" w:rsidP="001261F5">
            <w:pPr>
              <w:pStyle w:val="BodyText"/>
              <w:spacing w:before="60" w:after="60" w:line="240" w:lineRule="auto"/>
            </w:pPr>
            <w:r w:rsidRPr="007B3C75">
              <w:t>State Sector Decarbonisation Fund </w:t>
            </w:r>
          </w:p>
        </w:tc>
      </w:tr>
      <w:tr w:rsidR="007B3C75" w:rsidRPr="007B3C75" w14:paraId="760019B3" w14:textId="77777777" w:rsidTr="0044676F">
        <w:trPr>
          <w:trHeight w:val="300"/>
        </w:trPr>
        <w:tc>
          <w:tcPr>
            <w:tcW w:w="1701" w:type="dxa"/>
            <w:tcBorders>
              <w:top w:val="nil"/>
              <w:left w:val="nil"/>
              <w:bottom w:val="nil"/>
              <w:right w:val="nil"/>
            </w:tcBorders>
            <w:shd w:val="clear" w:color="auto" w:fill="auto"/>
            <w:hideMark/>
          </w:tcPr>
          <w:p w14:paraId="55FF0625" w14:textId="77777777" w:rsidR="007B3C75" w:rsidRPr="007B3C75" w:rsidRDefault="007B3C75" w:rsidP="001261F5">
            <w:pPr>
              <w:pStyle w:val="BodyText"/>
              <w:spacing w:before="60" w:after="60" w:line="240" w:lineRule="auto"/>
            </w:pPr>
            <w:r w:rsidRPr="007B3C75">
              <w:rPr>
                <w:b/>
                <w:bCs/>
              </w:rPr>
              <w:t>TPES</w:t>
            </w:r>
            <w:r w:rsidRPr="007B3C75">
              <w:t> </w:t>
            </w:r>
          </w:p>
        </w:tc>
        <w:tc>
          <w:tcPr>
            <w:tcW w:w="6804" w:type="dxa"/>
            <w:tcBorders>
              <w:top w:val="nil"/>
              <w:left w:val="nil"/>
              <w:bottom w:val="nil"/>
              <w:right w:val="nil"/>
            </w:tcBorders>
            <w:shd w:val="clear" w:color="auto" w:fill="auto"/>
            <w:hideMark/>
          </w:tcPr>
          <w:p w14:paraId="339BAB1C" w14:textId="77777777" w:rsidR="007B3C75" w:rsidRPr="007B3C75" w:rsidRDefault="007B3C75" w:rsidP="001261F5">
            <w:pPr>
              <w:pStyle w:val="BodyText"/>
              <w:spacing w:before="60" w:after="60" w:line="240" w:lineRule="auto"/>
            </w:pPr>
            <w:r w:rsidRPr="007B3C75">
              <w:t>total primary energy supply </w:t>
            </w:r>
          </w:p>
        </w:tc>
      </w:tr>
      <w:tr w:rsidR="007B3C75" w:rsidRPr="007B3C75" w14:paraId="6367EBC3" w14:textId="77777777" w:rsidTr="0044676F">
        <w:trPr>
          <w:trHeight w:val="300"/>
        </w:trPr>
        <w:tc>
          <w:tcPr>
            <w:tcW w:w="1701" w:type="dxa"/>
            <w:tcBorders>
              <w:top w:val="nil"/>
              <w:left w:val="nil"/>
              <w:bottom w:val="nil"/>
              <w:right w:val="nil"/>
            </w:tcBorders>
            <w:shd w:val="clear" w:color="auto" w:fill="auto"/>
            <w:hideMark/>
          </w:tcPr>
          <w:p w14:paraId="7CE6E1A2" w14:textId="77777777" w:rsidR="007B3C75" w:rsidRPr="007B3C75" w:rsidRDefault="007B3C75" w:rsidP="001261F5">
            <w:pPr>
              <w:pStyle w:val="BodyText"/>
              <w:spacing w:before="60" w:after="60" w:line="240" w:lineRule="auto"/>
            </w:pPr>
            <w:r w:rsidRPr="007B3C75">
              <w:rPr>
                <w:b/>
                <w:bCs/>
              </w:rPr>
              <w:t>UNFCCC </w:t>
            </w:r>
            <w:r w:rsidRPr="007B3C75">
              <w:t> </w:t>
            </w:r>
          </w:p>
        </w:tc>
        <w:tc>
          <w:tcPr>
            <w:tcW w:w="6804" w:type="dxa"/>
            <w:tcBorders>
              <w:top w:val="nil"/>
              <w:left w:val="nil"/>
              <w:bottom w:val="nil"/>
              <w:right w:val="nil"/>
            </w:tcBorders>
            <w:shd w:val="clear" w:color="auto" w:fill="auto"/>
            <w:hideMark/>
          </w:tcPr>
          <w:p w14:paraId="406AFC90" w14:textId="77777777" w:rsidR="007B3C75" w:rsidRPr="007B3C75" w:rsidRDefault="007B3C75" w:rsidP="001261F5">
            <w:pPr>
              <w:pStyle w:val="BodyText"/>
              <w:spacing w:before="60" w:after="60" w:line="240" w:lineRule="auto"/>
            </w:pPr>
            <w:r w:rsidRPr="007B3C75">
              <w:t>United Nations Framework Convention on Climate Change  </w:t>
            </w:r>
          </w:p>
        </w:tc>
      </w:tr>
      <w:tr w:rsidR="007B3C75" w:rsidRPr="007B3C75" w14:paraId="0B8C6F6F" w14:textId="77777777" w:rsidTr="0044676F">
        <w:trPr>
          <w:trHeight w:val="300"/>
        </w:trPr>
        <w:tc>
          <w:tcPr>
            <w:tcW w:w="1701" w:type="dxa"/>
            <w:tcBorders>
              <w:top w:val="nil"/>
              <w:left w:val="nil"/>
              <w:bottom w:val="nil"/>
              <w:right w:val="nil"/>
            </w:tcBorders>
            <w:shd w:val="clear" w:color="auto" w:fill="auto"/>
            <w:hideMark/>
          </w:tcPr>
          <w:p w14:paraId="24CC94AC" w14:textId="77777777" w:rsidR="007B3C75" w:rsidRPr="007B3C75" w:rsidRDefault="007B3C75" w:rsidP="001261F5">
            <w:pPr>
              <w:pStyle w:val="BodyText"/>
              <w:spacing w:before="60" w:after="60" w:line="240" w:lineRule="auto"/>
            </w:pPr>
            <w:r w:rsidRPr="007B3C75">
              <w:rPr>
                <w:b/>
                <w:bCs/>
              </w:rPr>
              <w:t>VFM</w:t>
            </w:r>
            <w:r w:rsidRPr="007B3C75">
              <w:t> </w:t>
            </w:r>
          </w:p>
        </w:tc>
        <w:tc>
          <w:tcPr>
            <w:tcW w:w="6804" w:type="dxa"/>
            <w:tcBorders>
              <w:top w:val="nil"/>
              <w:left w:val="nil"/>
              <w:bottom w:val="nil"/>
              <w:right w:val="nil"/>
            </w:tcBorders>
            <w:shd w:val="clear" w:color="auto" w:fill="auto"/>
            <w:hideMark/>
          </w:tcPr>
          <w:p w14:paraId="5770557D" w14:textId="77777777" w:rsidR="007B3C75" w:rsidRPr="007B3C75" w:rsidRDefault="007B3C75" w:rsidP="001261F5">
            <w:pPr>
              <w:pStyle w:val="BodyText"/>
              <w:spacing w:before="60" w:after="60" w:line="240" w:lineRule="auto"/>
            </w:pPr>
            <w:r w:rsidRPr="007B3C75">
              <w:t>Vehicle Fleet Model </w:t>
            </w:r>
          </w:p>
        </w:tc>
      </w:tr>
      <w:tr w:rsidR="007B3C75" w:rsidRPr="007B3C75" w14:paraId="16ED0867" w14:textId="77777777" w:rsidTr="0044676F">
        <w:trPr>
          <w:trHeight w:val="300"/>
        </w:trPr>
        <w:tc>
          <w:tcPr>
            <w:tcW w:w="1701" w:type="dxa"/>
            <w:tcBorders>
              <w:top w:val="nil"/>
              <w:left w:val="nil"/>
              <w:bottom w:val="nil"/>
              <w:right w:val="nil"/>
            </w:tcBorders>
            <w:shd w:val="clear" w:color="auto" w:fill="auto"/>
            <w:hideMark/>
          </w:tcPr>
          <w:p w14:paraId="259BB2B1" w14:textId="77777777" w:rsidR="007B3C75" w:rsidRPr="007B3C75" w:rsidRDefault="007B3C75" w:rsidP="001261F5">
            <w:pPr>
              <w:pStyle w:val="BodyText"/>
              <w:spacing w:before="60" w:after="60" w:line="240" w:lineRule="auto"/>
            </w:pPr>
            <w:r w:rsidRPr="007B3C75">
              <w:rPr>
                <w:b/>
                <w:bCs/>
              </w:rPr>
              <w:t>WEM</w:t>
            </w:r>
            <w:r w:rsidRPr="007B3C75">
              <w:t> </w:t>
            </w:r>
          </w:p>
        </w:tc>
        <w:tc>
          <w:tcPr>
            <w:tcW w:w="6804" w:type="dxa"/>
            <w:tcBorders>
              <w:top w:val="nil"/>
              <w:left w:val="nil"/>
              <w:bottom w:val="nil"/>
              <w:right w:val="nil"/>
            </w:tcBorders>
            <w:shd w:val="clear" w:color="auto" w:fill="auto"/>
            <w:hideMark/>
          </w:tcPr>
          <w:p w14:paraId="61230112" w14:textId="77777777" w:rsidR="007B3C75" w:rsidRPr="007B3C75" w:rsidRDefault="007B3C75" w:rsidP="001261F5">
            <w:pPr>
              <w:pStyle w:val="BodyText"/>
              <w:spacing w:before="60" w:after="60" w:line="240" w:lineRule="auto"/>
            </w:pPr>
            <w:r w:rsidRPr="007B3C75">
              <w:t>with existing measures </w:t>
            </w:r>
          </w:p>
        </w:tc>
      </w:tr>
      <w:tr w:rsidR="007B3C75" w:rsidRPr="007B3C75" w14:paraId="1B7E4671" w14:textId="77777777" w:rsidTr="0044676F">
        <w:trPr>
          <w:trHeight w:val="300"/>
        </w:trPr>
        <w:tc>
          <w:tcPr>
            <w:tcW w:w="1701" w:type="dxa"/>
            <w:tcBorders>
              <w:top w:val="nil"/>
              <w:left w:val="nil"/>
              <w:bottom w:val="nil"/>
              <w:right w:val="nil"/>
            </w:tcBorders>
            <w:shd w:val="clear" w:color="auto" w:fill="auto"/>
            <w:hideMark/>
          </w:tcPr>
          <w:p w14:paraId="1E680A5F" w14:textId="77777777" w:rsidR="007B3C75" w:rsidRPr="007B3C75" w:rsidRDefault="007B3C75" w:rsidP="001261F5">
            <w:pPr>
              <w:pStyle w:val="BodyText"/>
              <w:spacing w:before="60" w:after="60" w:line="240" w:lineRule="auto"/>
            </w:pPr>
            <w:r w:rsidRPr="007B3C75">
              <w:rPr>
                <w:b/>
                <w:bCs/>
              </w:rPr>
              <w:t>WOM</w:t>
            </w:r>
            <w:r w:rsidRPr="007B3C75">
              <w:t> </w:t>
            </w:r>
          </w:p>
        </w:tc>
        <w:tc>
          <w:tcPr>
            <w:tcW w:w="6804" w:type="dxa"/>
            <w:tcBorders>
              <w:top w:val="nil"/>
              <w:left w:val="nil"/>
              <w:bottom w:val="nil"/>
              <w:right w:val="nil"/>
            </w:tcBorders>
            <w:shd w:val="clear" w:color="auto" w:fill="auto"/>
            <w:hideMark/>
          </w:tcPr>
          <w:p w14:paraId="1862A5C5" w14:textId="77777777" w:rsidR="007B3C75" w:rsidRPr="007B3C75" w:rsidRDefault="007B3C75" w:rsidP="001261F5">
            <w:pPr>
              <w:pStyle w:val="BodyText"/>
              <w:spacing w:before="60" w:after="60" w:line="240" w:lineRule="auto"/>
            </w:pPr>
            <w:r w:rsidRPr="007B3C75">
              <w:t>without measures </w:t>
            </w:r>
          </w:p>
        </w:tc>
      </w:tr>
    </w:tbl>
    <w:p w14:paraId="68B2526D" w14:textId="52E7C0BA" w:rsidR="00FD315F" w:rsidRDefault="007B3C75" w:rsidP="001261F5">
      <w:pPr>
        <w:pStyle w:val="BodyText"/>
        <w:spacing w:before="60" w:after="60" w:line="240" w:lineRule="auto"/>
        <w:sectPr w:rsidR="00FD315F" w:rsidSect="00A0569F">
          <w:footerReference w:type="default" r:id="rId30"/>
          <w:type w:val="continuous"/>
          <w:pgSz w:w="11907" w:h="16840" w:code="9"/>
          <w:pgMar w:top="1134" w:right="1701" w:bottom="1134" w:left="1701" w:header="567" w:footer="567" w:gutter="0"/>
          <w:cols w:space="720"/>
          <w:docGrid w:linePitch="299"/>
        </w:sectPr>
      </w:pPr>
      <w:r w:rsidRPr="007B3C75">
        <w:t> </w:t>
      </w:r>
    </w:p>
    <w:p w14:paraId="4C354F3D" w14:textId="616AA4CC" w:rsidR="00B2536A" w:rsidRPr="00760175" w:rsidRDefault="00B2536A" w:rsidP="00B2536A">
      <w:pPr>
        <w:pStyle w:val="Heading1"/>
      </w:pPr>
      <w:bookmarkStart w:id="2" w:name="_Toc184044769"/>
      <w:bookmarkStart w:id="3" w:name="_Toc184825469"/>
      <w:bookmarkStart w:id="4" w:name="_Toc181791302"/>
      <w:bookmarkStart w:id="5" w:name="_Toc131577155"/>
      <w:r>
        <w:t>Foreword</w:t>
      </w:r>
      <w:r w:rsidRPr="00760175">
        <w:t xml:space="preserve"> from the</w:t>
      </w:r>
      <w:r w:rsidR="00EA593A">
        <w:br/>
      </w:r>
      <w:r w:rsidRPr="00760175">
        <w:t>Minister of Climate Change</w:t>
      </w:r>
      <w:bookmarkEnd w:id="2"/>
      <w:bookmarkEnd w:id="3"/>
    </w:p>
    <w:bookmarkEnd w:id="4"/>
    <w:bookmarkEnd w:id="5"/>
    <w:p w14:paraId="07560ECA" w14:textId="7CF826AE" w:rsidR="00B4577E" w:rsidRPr="00B4577E" w:rsidRDefault="00B4577E" w:rsidP="00B4577E">
      <w:pPr>
        <w:pStyle w:val="BodyText"/>
      </w:pPr>
      <w:r w:rsidRPr="00760175">
        <w:rPr>
          <w:noProof/>
        </w:rPr>
        <w:drawing>
          <wp:inline distT="0" distB="0" distL="0" distR="0" wp14:anchorId="56F0E4B6" wp14:editId="7282EB90">
            <wp:extent cx="1661823" cy="1581385"/>
            <wp:effectExtent l="0" t="0" r="0" b="0"/>
            <wp:docPr id="1495052456" name="Picture 1" descr="Hon Simon Watts, Minister of Climate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52456" name="Picture 1" descr="Hon Simon Watts, Minister of Climate Change"/>
                    <pic:cNvPicPr/>
                  </pic:nvPicPr>
                  <pic:blipFill rotWithShape="1">
                    <a:blip r:embed="rId31"/>
                    <a:srcRect l="23676" r="21329"/>
                    <a:stretch/>
                  </pic:blipFill>
                  <pic:spPr bwMode="auto">
                    <a:xfrm>
                      <a:off x="0" y="0"/>
                      <a:ext cx="1669243" cy="1588446"/>
                    </a:xfrm>
                    <a:prstGeom prst="rect">
                      <a:avLst/>
                    </a:prstGeom>
                    <a:ln>
                      <a:noFill/>
                    </a:ln>
                    <a:extLst>
                      <a:ext uri="{53640926-AAD7-44D8-BBD7-CCE9431645EC}">
                        <a14:shadowObscured xmlns:a14="http://schemas.microsoft.com/office/drawing/2010/main"/>
                      </a:ext>
                    </a:extLst>
                  </pic:spPr>
                </pic:pic>
              </a:graphicData>
            </a:graphic>
          </wp:inline>
        </w:drawing>
      </w:r>
    </w:p>
    <w:p w14:paraId="24055A83" w14:textId="77777777" w:rsidR="00885335" w:rsidRPr="00784A04" w:rsidRDefault="00885335" w:rsidP="00642E0B">
      <w:pPr>
        <w:jc w:val="left"/>
        <w:rPr>
          <w:rFonts w:eastAsia="Calibri" w:cs="Calibri"/>
        </w:rPr>
      </w:pPr>
      <w:r>
        <w:rPr>
          <w:rFonts w:eastAsia="Calibri" w:cs="Calibri"/>
        </w:rPr>
        <w:t xml:space="preserve">This inaugural </w:t>
      </w:r>
      <w:r w:rsidRPr="00BB264F">
        <w:rPr>
          <w:rFonts w:eastAsia="Calibri" w:cs="Calibri"/>
          <w:i/>
          <w:iCs/>
        </w:rPr>
        <w:t>Biennial Transparency Report</w:t>
      </w:r>
      <w:r>
        <w:rPr>
          <w:rFonts w:eastAsia="Calibri" w:cs="Calibri"/>
        </w:rPr>
        <w:t xml:space="preserve"> presents New Zealand’s progress in fulfilling our obligations under the Paris Agreement, including implementing and achieving our first Nationally Determined Contribution. It is an opportunity to demonstrate our commitment and showcase the progress we’ve made in addressing climate change.</w:t>
      </w:r>
    </w:p>
    <w:p w14:paraId="7C6E12E7" w14:textId="77777777" w:rsidR="00885335" w:rsidRDefault="00885335" w:rsidP="00642E0B">
      <w:pPr>
        <w:jc w:val="left"/>
        <w:rPr>
          <w:rFonts w:eastAsia="Calibri" w:cs="Calibri"/>
        </w:rPr>
      </w:pPr>
      <w:r w:rsidRPr="000E3F0E">
        <w:rPr>
          <w:rFonts w:eastAsia="Calibri" w:cs="Calibri"/>
          <w:color w:val="000000" w:themeColor="text1"/>
        </w:rPr>
        <w:t xml:space="preserve">We </w:t>
      </w:r>
      <w:r>
        <w:rPr>
          <w:rFonts w:eastAsia="Calibri" w:cs="Calibri"/>
          <w:color w:val="000000" w:themeColor="text1"/>
        </w:rPr>
        <w:t xml:space="preserve">know more work is required, and </w:t>
      </w:r>
      <w:r w:rsidRPr="000E3F0E">
        <w:rPr>
          <w:rFonts w:eastAsia="Calibri" w:cs="Calibri"/>
          <w:color w:val="000000" w:themeColor="text1"/>
        </w:rPr>
        <w:t>recogni</w:t>
      </w:r>
      <w:r>
        <w:rPr>
          <w:rFonts w:eastAsia="Calibri" w:cs="Calibri"/>
          <w:color w:val="000000" w:themeColor="text1"/>
        </w:rPr>
        <w:t>s</w:t>
      </w:r>
      <w:r w:rsidRPr="000E3F0E">
        <w:rPr>
          <w:rFonts w:eastAsia="Calibri" w:cs="Calibri"/>
          <w:color w:val="000000" w:themeColor="text1"/>
        </w:rPr>
        <w:t xml:space="preserve">e all countries need to take effective action to keep global temperatures in check. </w:t>
      </w:r>
      <w:r>
        <w:rPr>
          <w:rFonts w:eastAsia="Calibri" w:cs="Calibri"/>
        </w:rPr>
        <w:t xml:space="preserve">New Zealand is committed to playing our part in the full and effective implementation of the Paris Agreement. </w:t>
      </w:r>
    </w:p>
    <w:p w14:paraId="25D8146B" w14:textId="27DBE536" w:rsidR="00885335" w:rsidRDefault="00885335" w:rsidP="00642E0B">
      <w:pPr>
        <w:jc w:val="left"/>
        <w:rPr>
          <w:rFonts w:eastAsia="Calibri" w:cs="Calibri"/>
        </w:rPr>
      </w:pPr>
      <w:r>
        <w:rPr>
          <w:rFonts w:eastAsia="Calibri" w:cs="Calibri"/>
        </w:rPr>
        <w:t>Domestically, New Zealand has published a climate strategy aimed at ensuring we reach our economic, social and environmental potential. We continue to implement New Zealand’s first emissions reduction plan for 2022 to 2025 and have just released our second emissions reduction plan for 2026 to 2030.</w:t>
      </w:r>
    </w:p>
    <w:p w14:paraId="6D9400F2" w14:textId="39F5236E" w:rsidR="00885335" w:rsidRDefault="00885335" w:rsidP="00642E0B">
      <w:pPr>
        <w:jc w:val="left"/>
        <w:rPr>
          <w:rFonts w:eastAsia="Calibri" w:cs="Calibri"/>
        </w:rPr>
      </w:pPr>
      <w:r>
        <w:rPr>
          <w:rFonts w:eastAsia="Calibri" w:cs="Calibri"/>
        </w:rPr>
        <w:t>Our plan sets New Zealand up to achieve our emissions targets and puts us on a sustainable path to net zero long-lived greenhouse gas emissions by 2050, focusing on our largest drivers of emissions and reductions, including in energy, transport, agriculture, forestry and waste.</w:t>
      </w:r>
    </w:p>
    <w:p w14:paraId="61F526F8" w14:textId="4BCC8BC0" w:rsidR="00885335" w:rsidRPr="00BB264F" w:rsidRDefault="00885335" w:rsidP="00642E0B">
      <w:pPr>
        <w:jc w:val="left"/>
        <w:rPr>
          <w:rFonts w:eastAsia="Calibri" w:cs="Calibri"/>
          <w:color w:val="000000" w:themeColor="text1"/>
        </w:rPr>
      </w:pPr>
      <w:r>
        <w:rPr>
          <w:rFonts w:eastAsia="Calibri" w:cs="Calibri"/>
          <w:color w:val="000000" w:themeColor="text1"/>
        </w:rPr>
        <w:t>Emissions projec</w:t>
      </w:r>
      <w:r w:rsidR="008E5CAE">
        <w:rPr>
          <w:rFonts w:eastAsia="Calibri" w:cs="Calibri"/>
          <w:color w:val="000000" w:themeColor="text1"/>
        </w:rPr>
        <w:t>tions</w:t>
      </w:r>
      <w:r>
        <w:rPr>
          <w:rFonts w:eastAsia="Calibri" w:cs="Calibri"/>
          <w:color w:val="000000" w:themeColor="text1"/>
        </w:rPr>
        <w:t xml:space="preserve"> updated in October were released alongside the plan, showing the additional reductions expected through our new policies, and other updates. </w:t>
      </w:r>
      <w:r w:rsidRPr="0E555922">
        <w:rPr>
          <w:rFonts w:eastAsia="Calibri" w:cs="Calibri"/>
          <w:color w:val="000000" w:themeColor="text1"/>
        </w:rPr>
        <w:t>These updates were not able to be included in this report due to a cut</w:t>
      </w:r>
      <w:r w:rsidR="003B0C63">
        <w:rPr>
          <w:rFonts w:eastAsia="Calibri" w:cs="Calibri"/>
          <w:color w:val="000000" w:themeColor="text1"/>
        </w:rPr>
        <w:t>-</w:t>
      </w:r>
      <w:r w:rsidRPr="0E555922">
        <w:rPr>
          <w:rFonts w:eastAsia="Calibri" w:cs="Calibri"/>
          <w:color w:val="000000" w:themeColor="text1"/>
        </w:rPr>
        <w:t>off date in September needed to finalise this report. The next Biennial Transparency Report will include the impacts of this plan.</w:t>
      </w:r>
    </w:p>
    <w:p w14:paraId="14E4D708" w14:textId="47192545" w:rsidR="00885335" w:rsidRDefault="00885335" w:rsidP="00642E0B">
      <w:pPr>
        <w:jc w:val="left"/>
        <w:rPr>
          <w:rFonts w:eastAsia="Calibri" w:cs="Calibri"/>
          <w:color w:val="000000" w:themeColor="text1"/>
        </w:rPr>
      </w:pPr>
      <w:r w:rsidRPr="000E3F0E">
        <w:rPr>
          <w:rFonts w:eastAsia="Calibri" w:cs="Calibri"/>
          <w:color w:val="000000" w:themeColor="text1"/>
        </w:rPr>
        <w:t xml:space="preserve">Our Emissions Trading Scheme continues to be our key tool to drive emissions reductions, </w:t>
      </w:r>
      <w:r w:rsidR="0020270D">
        <w:rPr>
          <w:rFonts w:eastAsia="Calibri" w:cs="Calibri"/>
          <w:color w:val="000000" w:themeColor="text1"/>
        </w:rPr>
        <w:br/>
      </w:r>
      <w:r>
        <w:rPr>
          <w:rFonts w:eastAsia="Calibri" w:cs="Calibri"/>
          <w:color w:val="000000" w:themeColor="text1"/>
        </w:rPr>
        <w:t xml:space="preserve">with recent adjustments to ensure its effectiveness. Our transition will be cost effective, and </w:t>
      </w:r>
      <w:r w:rsidR="0020270D">
        <w:rPr>
          <w:rFonts w:eastAsia="Calibri" w:cs="Calibri"/>
          <w:color w:val="000000" w:themeColor="text1"/>
        </w:rPr>
        <w:br/>
      </w:r>
      <w:r>
        <w:rPr>
          <w:rFonts w:eastAsia="Calibri" w:cs="Calibri"/>
          <w:color w:val="000000" w:themeColor="text1"/>
        </w:rPr>
        <w:t xml:space="preserve">market led. </w:t>
      </w:r>
    </w:p>
    <w:p w14:paraId="2A1A06B4" w14:textId="77777777" w:rsidR="00885335" w:rsidRDefault="00885335" w:rsidP="00642E0B">
      <w:pPr>
        <w:jc w:val="left"/>
        <w:rPr>
          <w:rFonts w:eastAsia="Calibri" w:cs="Calibri"/>
          <w:color w:val="000000" w:themeColor="text1"/>
        </w:rPr>
      </w:pPr>
      <w:r>
        <w:rPr>
          <w:rFonts w:eastAsia="Calibri" w:cs="Calibri"/>
          <w:color w:val="000000" w:themeColor="text1"/>
        </w:rPr>
        <w:t xml:space="preserve">As a proud farming nation, we are investing over $400 million in agricultural emissions research through the Centre for Climate Action on Agricultural Emissions over the next four years. By 2030, we aim to implement a fair and sustainable pricing system to reduce agricultural emissions without sending production overseas. </w:t>
      </w:r>
    </w:p>
    <w:p w14:paraId="437FF517" w14:textId="4C0AD975" w:rsidR="00885335" w:rsidRDefault="00885335" w:rsidP="00642E0B">
      <w:pPr>
        <w:jc w:val="left"/>
        <w:rPr>
          <w:rFonts w:eastAsia="Calibri" w:cs="Calibri"/>
          <w:color w:val="000000" w:themeColor="text1"/>
        </w:rPr>
      </w:pPr>
      <w:r>
        <w:rPr>
          <w:rFonts w:eastAsia="Calibri" w:cs="Calibri"/>
          <w:color w:val="000000" w:themeColor="text1"/>
        </w:rPr>
        <w:t>We are working to remove regulatory barriers to reduce emissions in our energy and industry sectors and enable the delivery of a network of 10,000 public EV charging points by 2030.</w:t>
      </w:r>
    </w:p>
    <w:p w14:paraId="1EEA5B0F" w14:textId="77777777" w:rsidR="00885335" w:rsidRDefault="00885335" w:rsidP="00642E0B">
      <w:pPr>
        <w:jc w:val="left"/>
        <w:rPr>
          <w:rFonts w:eastAsia="Calibri" w:cs="Calibri"/>
          <w:sz w:val="20"/>
          <w:szCs w:val="20"/>
        </w:rPr>
      </w:pPr>
      <w:r w:rsidRPr="000E3F0E">
        <w:rPr>
          <w:rFonts w:eastAsia="Calibri" w:cs="Calibri"/>
          <w:color w:val="000000" w:themeColor="text1"/>
        </w:rPr>
        <w:t>Regionally, our focus is on building Pacific resilience through our climate finance programme. We also champion the interests of the Pacific region and amplify Pacific countries’ voices in global efforts to address the challenges of climate change.</w:t>
      </w:r>
    </w:p>
    <w:p w14:paraId="1FB410EA" w14:textId="77777777" w:rsidR="00885335" w:rsidRPr="000E3F0E" w:rsidRDefault="00885335" w:rsidP="00642E0B">
      <w:pPr>
        <w:jc w:val="left"/>
        <w:rPr>
          <w:rFonts w:eastAsia="Calibri" w:cs="Calibri"/>
        </w:rPr>
      </w:pPr>
      <w:r w:rsidRPr="1899DA0C">
        <w:rPr>
          <w:rFonts w:eastAsia="Calibri" w:cs="Calibri"/>
        </w:rPr>
        <w:t xml:space="preserve">At the global level, </w:t>
      </w:r>
      <w:r w:rsidRPr="000E3F0E">
        <w:rPr>
          <w:rFonts w:eastAsia="Calibri" w:cs="Calibri"/>
          <w:color w:val="000000" w:themeColor="text1"/>
        </w:rPr>
        <w:t xml:space="preserve">New Zealand is committed to sharing knowledge and promoting solutions. We encourage ambitious global climate action and are committed to meeting our international obligations. </w:t>
      </w:r>
      <w:r w:rsidRPr="1899DA0C">
        <w:rPr>
          <w:rFonts w:eastAsia="Calibri" w:cs="Calibri"/>
        </w:rPr>
        <w:t>We are identifying new opportunities to step up our cooperation with international partners to help us all achieve our climate objectives.</w:t>
      </w:r>
    </w:p>
    <w:p w14:paraId="2F11CB3F" w14:textId="0BC0E3AB" w:rsidR="00D84012" w:rsidRDefault="00885335" w:rsidP="00642E0B">
      <w:pPr>
        <w:jc w:val="left"/>
      </w:pPr>
      <w:r w:rsidRPr="5B5CBBEE">
        <w:rPr>
          <w:rFonts w:eastAsia="Calibri" w:cs="Calibri"/>
        </w:rPr>
        <w:t>New Zealand is making progress. Climate change will continue to bring us both challenges and opportunities, and we remain committed in our response.</w:t>
      </w:r>
      <w:r w:rsidR="00D84012">
        <w:t xml:space="preserve"> </w:t>
      </w:r>
    </w:p>
    <w:p w14:paraId="53446D55" w14:textId="03232ED3" w:rsidR="006604AB" w:rsidRDefault="006604AB" w:rsidP="00642E0B">
      <w:pPr>
        <w:jc w:val="left"/>
      </w:pPr>
      <w:r>
        <w:rPr>
          <w:noProof/>
        </w:rPr>
        <w:drawing>
          <wp:inline distT="0" distB="0" distL="0" distR="0" wp14:anchorId="77C7F910" wp14:editId="4DAAE5A8">
            <wp:extent cx="1616075" cy="703244"/>
            <wp:effectExtent l="0" t="0" r="3175" b="1905"/>
            <wp:docPr id="1332046091" name="Picture 15" descr="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46091" name="Picture 15" descr="Signature"/>
                    <pic:cNvPicPr/>
                  </pic:nvPicPr>
                  <pic:blipFill>
                    <a:blip r:embed="rId32"/>
                    <a:stretch>
                      <a:fillRect/>
                    </a:stretch>
                  </pic:blipFill>
                  <pic:spPr>
                    <a:xfrm>
                      <a:off x="0" y="0"/>
                      <a:ext cx="1633173" cy="710684"/>
                    </a:xfrm>
                    <a:prstGeom prst="rect">
                      <a:avLst/>
                    </a:prstGeom>
                  </pic:spPr>
                </pic:pic>
              </a:graphicData>
            </a:graphic>
          </wp:inline>
        </w:drawing>
      </w:r>
    </w:p>
    <w:p w14:paraId="2B6E10BB" w14:textId="5A18A33D" w:rsidR="00C240AE" w:rsidRPr="001261F5" w:rsidRDefault="00C240AE" w:rsidP="00C240AE">
      <w:pPr>
        <w:pStyle w:val="BodyText"/>
        <w:rPr>
          <w:rFonts w:eastAsia="Calibri" w:cs="Calibri"/>
        </w:rPr>
      </w:pPr>
      <w:r w:rsidRPr="00760175">
        <w:t>Hon Simon Watts</w:t>
      </w:r>
      <w:r w:rsidRPr="00760175">
        <w:br/>
        <w:t>Minister of Climate Change</w:t>
      </w:r>
    </w:p>
    <w:p w14:paraId="6C091B79" w14:textId="2CA26D3A" w:rsidR="00FD315F" w:rsidRPr="00FD315F" w:rsidRDefault="00774123" w:rsidP="00FD315F">
      <w:pPr>
        <w:pStyle w:val="BodyText"/>
      </w:pPr>
      <w:r>
        <w:t xml:space="preserve"> </w:t>
      </w:r>
    </w:p>
    <w:p w14:paraId="7CBD8B88" w14:textId="77777777" w:rsidR="00FD315F" w:rsidRDefault="00FD315F">
      <w:pPr>
        <w:spacing w:before="0" w:after="200" w:line="276" w:lineRule="auto"/>
        <w:jc w:val="left"/>
      </w:pPr>
      <w:bookmarkStart w:id="6" w:name="_Toc181791303"/>
    </w:p>
    <w:p w14:paraId="563FCD34" w14:textId="77777777" w:rsidR="0051480D" w:rsidRDefault="0051480D">
      <w:pPr>
        <w:spacing w:before="0" w:after="200" w:line="276" w:lineRule="auto"/>
        <w:jc w:val="left"/>
      </w:pPr>
    </w:p>
    <w:p w14:paraId="41CC0E60" w14:textId="77777777" w:rsidR="0051480D" w:rsidRDefault="0051480D">
      <w:pPr>
        <w:spacing w:before="0" w:after="200" w:line="276" w:lineRule="auto"/>
        <w:jc w:val="left"/>
        <w:sectPr w:rsidR="0051480D" w:rsidSect="008A7498">
          <w:headerReference w:type="even" r:id="rId33"/>
          <w:headerReference w:type="default" r:id="rId34"/>
          <w:footerReference w:type="default" r:id="rId35"/>
          <w:headerReference w:type="first" r:id="rId36"/>
          <w:pgSz w:w="11907" w:h="16840" w:code="9"/>
          <w:pgMar w:top="1134" w:right="1701" w:bottom="1134" w:left="1701" w:header="567" w:footer="567" w:gutter="0"/>
          <w:cols w:space="720"/>
          <w:docGrid w:linePitch="299"/>
        </w:sectPr>
      </w:pPr>
    </w:p>
    <w:p w14:paraId="6F73AC33" w14:textId="3C272CF7" w:rsidR="00FC3C2A" w:rsidRDefault="00D84012" w:rsidP="00D84012">
      <w:pPr>
        <w:pStyle w:val="Heading1"/>
      </w:pPr>
      <w:bookmarkStart w:id="7" w:name="_Toc184825470"/>
      <w:r>
        <w:t>Executive summary</w:t>
      </w:r>
      <w:bookmarkEnd w:id="6"/>
      <w:bookmarkEnd w:id="7"/>
    </w:p>
    <w:p w14:paraId="5D9E6DC4" w14:textId="77777777" w:rsidR="00EE479C" w:rsidRPr="00EE479C" w:rsidRDefault="00EE479C" w:rsidP="00EE479C">
      <w:pPr>
        <w:pStyle w:val="BodyText"/>
      </w:pPr>
      <w:r>
        <w:t xml:space="preserve">New Zealand is committed to playing its part to respond to climate change challenges. It is taking action and </w:t>
      </w:r>
      <w:r w:rsidRPr="00EE479C">
        <w:t>making progress to meet its climate change targets and goals, including the collective goals under the Paris Agreement.</w:t>
      </w:r>
    </w:p>
    <w:p w14:paraId="21E5CD53" w14:textId="3607E243" w:rsidR="00EE479C" w:rsidRPr="00EE479C" w:rsidRDefault="00EE479C" w:rsidP="00EE479C">
      <w:pPr>
        <w:pStyle w:val="BodyText"/>
      </w:pPr>
      <w:r w:rsidRPr="00EE479C">
        <w:t>New Zealand’s first Biennial Transparency Report details New Zealand’s progress towards its Paris Agreement commitments. It also outlines New Zealand’s policies and measures, current and projected emissions, adaptation action, and support provided to developing countries over 2021</w:t>
      </w:r>
      <w:r w:rsidR="00D2797F">
        <w:t>–</w:t>
      </w:r>
      <w:r w:rsidRPr="00EE479C">
        <w:t xml:space="preserve">22. </w:t>
      </w:r>
    </w:p>
    <w:p w14:paraId="0802A9D2" w14:textId="071AE1B8" w:rsidR="00EE479C" w:rsidRPr="00EE479C" w:rsidRDefault="00EE479C" w:rsidP="00EE479C">
      <w:pPr>
        <w:pStyle w:val="BodyText"/>
      </w:pPr>
      <w:r w:rsidRPr="00EE479C">
        <w:t xml:space="preserve">The report outlines progress towards New Zealand’s first Nationally Determined Contribution (NDC1). The country is committed to its ambitious NDC1 target and is making progress by implementing measures in its first emissions reduction plan and </w:t>
      </w:r>
      <w:r w:rsidR="00CD1DF1">
        <w:t>is proposing</w:t>
      </w:r>
      <w:r w:rsidR="00CD1DF1" w:rsidRPr="00EE479C">
        <w:t xml:space="preserve"> </w:t>
      </w:r>
      <w:r w:rsidRPr="00EE479C">
        <w:t>further actions under the second plan.</w:t>
      </w:r>
    </w:p>
    <w:p w14:paraId="69398766" w14:textId="7D16FD89" w:rsidR="00EE479C" w:rsidRPr="00EE479C" w:rsidRDefault="00EE479C" w:rsidP="00EE479C">
      <w:pPr>
        <w:pStyle w:val="BodyText"/>
      </w:pPr>
      <w:r w:rsidRPr="00EE479C">
        <w:t>As a Party to</w:t>
      </w:r>
      <w:r w:rsidR="00235E46">
        <w:t xml:space="preserve"> the</w:t>
      </w:r>
      <w:r w:rsidRPr="00EE479C">
        <w:t xml:space="preserve"> Paris Agreement, New Zealand is required to submit its first Biennial Transparency Report by 31 December 2024, under Article 13 of the Paris Agreement and according to the modalities, procedures, and guidelines agreed by Parties. </w:t>
      </w:r>
      <w:r w:rsidR="00000A21">
        <w:t>The report</w:t>
      </w:r>
      <w:r w:rsidRPr="00EE479C">
        <w:t xml:space="preserve"> also helps keep New Zealanders informed about action on climate change, and how the country will meet its emissions reduction and climate finance targets. </w:t>
      </w:r>
    </w:p>
    <w:p w14:paraId="5F0C310A" w14:textId="77777777" w:rsidR="00EE479C" w:rsidRDefault="00EE479C" w:rsidP="00EE479C">
      <w:pPr>
        <w:pStyle w:val="Heading2"/>
      </w:pPr>
      <w:bookmarkStart w:id="8" w:name="_Toc184825471"/>
      <w:r>
        <w:t>New Zealand’s climate approach</w:t>
      </w:r>
      <w:bookmarkEnd w:id="8"/>
    </w:p>
    <w:p w14:paraId="71C2366E" w14:textId="77777777" w:rsidR="00EE479C" w:rsidRDefault="00EE479C" w:rsidP="00EE479C">
      <w:pPr>
        <w:pStyle w:val="BodyText"/>
      </w:pPr>
      <w:r>
        <w:t xml:space="preserve">New Zealand has a climate change strategy focused on five pillars aimed at ensuring it reaches its economic, social and environmental potential. </w:t>
      </w:r>
    </w:p>
    <w:p w14:paraId="4F8931AA" w14:textId="20154F86" w:rsidR="00EE479C" w:rsidRDefault="005C72F9" w:rsidP="00EE479C">
      <w:pPr>
        <w:pStyle w:val="BodyText"/>
      </w:pPr>
      <w:r w:rsidRPr="003C7063">
        <w:rPr>
          <w:noProof/>
        </w:rPr>
        <w:drawing>
          <wp:inline distT="0" distB="0" distL="0" distR="0" wp14:anchorId="6C9893F4" wp14:editId="460A1C70">
            <wp:extent cx="5400675" cy="2465294"/>
            <wp:effectExtent l="0" t="0" r="0" b="0"/>
            <wp:docPr id="2024636231" name="Picture 4" descr="An infographic showing the five pillars of the Government’s climate change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636231" name="Picture 4" descr="An infographic showing the five pillars of the Government’s climate change strategy."/>
                    <pic:cNvPicPr>
                      <a:picLocks noChangeAspect="1" noChangeArrowheads="1"/>
                    </pic:cNvPicPr>
                  </pic:nvPicPr>
                  <pic:blipFill rotWithShape="1">
                    <a:blip r:embed="rId37">
                      <a:extLst>
                        <a:ext uri="{28A0092B-C50C-407E-A947-70E740481C1C}">
                          <a14:useLocalDpi xmlns:a14="http://schemas.microsoft.com/office/drawing/2010/main" val="0"/>
                        </a:ext>
                      </a:extLst>
                    </a:blip>
                    <a:srcRect t="1" b="-14019"/>
                    <a:stretch/>
                  </pic:blipFill>
                  <pic:spPr bwMode="auto">
                    <a:xfrm>
                      <a:off x="0" y="0"/>
                      <a:ext cx="5400675" cy="2465294"/>
                    </a:xfrm>
                    <a:prstGeom prst="rect">
                      <a:avLst/>
                    </a:prstGeom>
                    <a:noFill/>
                    <a:ln>
                      <a:noFill/>
                    </a:ln>
                    <a:extLst>
                      <a:ext uri="{53640926-AAD7-44D8-BBD7-CCE9431645EC}">
                        <a14:shadowObscured xmlns:a14="http://schemas.microsoft.com/office/drawing/2010/main"/>
                      </a:ext>
                    </a:extLst>
                  </pic:spPr>
                </pic:pic>
              </a:graphicData>
            </a:graphic>
          </wp:inline>
        </w:drawing>
      </w:r>
      <w:r w:rsidR="00EE479C">
        <w:t xml:space="preserve">New Zealand has a strong legislative framework to support its climate goals. The Climate Change Response Act 2002 sets the legal framework and processes, under the Zero Carbon Framework, for New Zealand to develop and implement clear and stable climate change policies and meet its mitigation and adaptation commitments under the Paris Agreement. </w:t>
      </w:r>
    </w:p>
    <w:p w14:paraId="5D431F06" w14:textId="3D137F44" w:rsidR="00EE479C" w:rsidRDefault="00EE479C" w:rsidP="00EE479C">
      <w:pPr>
        <w:pStyle w:val="BodyText"/>
      </w:pPr>
      <w:r>
        <w:t xml:space="preserve">New Zealand is founded on a partnership between the Crown and indigenous New Zealanders, Māori, through Te Tiriti o Waitangi (the Treaty of Waitangi). The </w:t>
      </w:r>
      <w:r w:rsidR="0064446F">
        <w:t>Climate Change Response</w:t>
      </w:r>
      <w:r>
        <w:t xml:space="preserve"> Act requires the Crown to give effect to the principles of Te Tiriti, including specific expectations to adequately consult and take into account the effects of climate change on iwi and Māori.</w:t>
      </w:r>
    </w:p>
    <w:p w14:paraId="730A01F8" w14:textId="77777777" w:rsidR="00EE479C" w:rsidRDefault="00EE479C" w:rsidP="004902D2">
      <w:pPr>
        <w:pStyle w:val="Heading2"/>
      </w:pPr>
      <w:bookmarkStart w:id="9" w:name="_Toc184825472"/>
      <w:r>
        <w:t>Domestic emissions reductions</w:t>
      </w:r>
      <w:bookmarkEnd w:id="9"/>
    </w:p>
    <w:p w14:paraId="61FA6A4C" w14:textId="3B8B642E" w:rsidR="00EE479C" w:rsidRDefault="00EE479C" w:rsidP="00EE479C">
      <w:pPr>
        <w:pStyle w:val="BodyText"/>
      </w:pPr>
      <w:r>
        <w:t xml:space="preserve">The Climate Change Response Act established </w:t>
      </w:r>
      <w:r w:rsidR="00E65032">
        <w:t>targets for</w:t>
      </w:r>
      <w:r>
        <w:t xml:space="preserve"> </w:t>
      </w:r>
      <w:r w:rsidR="00E65032">
        <w:t xml:space="preserve">reducing </w:t>
      </w:r>
      <w:r>
        <w:t>domestic emissions for New Zealand including net zero emissions (except biogenic methane) by 2050, and a 24 to 47 per cent reduction of biogenic methane by 2050.</w:t>
      </w:r>
    </w:p>
    <w:p w14:paraId="5ECCD254" w14:textId="60D6571E" w:rsidR="00EE479C" w:rsidRDefault="00EE479C" w:rsidP="00EE479C">
      <w:pPr>
        <w:pStyle w:val="BodyText"/>
      </w:pPr>
      <w:r>
        <w:t xml:space="preserve">These split gas targets recognise New Zealand’s national circumstances and unusual emissions profile. The </w:t>
      </w:r>
      <w:r w:rsidR="009571FF">
        <w:t>Agriculture sector</w:t>
      </w:r>
      <w:r>
        <w:t xml:space="preserve"> plays a fundamental role in the country’s economy and was New Zealand’s biggest contributing sector to greenhouse gas emissions in 2022 (53 per cent, followed by energy at 37 per cent). New Zealand continues to promote agricultural research to create economically viable and effective technologies to reduce emissions from this sector. </w:t>
      </w:r>
    </w:p>
    <w:p w14:paraId="72ADCFDB" w14:textId="2B3A89CB" w:rsidR="00EE479C" w:rsidRDefault="00EE479C" w:rsidP="00EE479C">
      <w:pPr>
        <w:pStyle w:val="BodyText"/>
      </w:pPr>
      <w:r>
        <w:t xml:space="preserve">New Zealand has a system of domestic emission budgets to step towards its 2050 targets. The country’s first emissions reduction plan was released in May 2022. This plan sets out the policies and strategies to meet </w:t>
      </w:r>
      <w:r w:rsidR="00C40FCB">
        <w:t xml:space="preserve">the first </w:t>
      </w:r>
      <w:r>
        <w:t>emissions budget from 2022</w:t>
      </w:r>
      <w:r w:rsidR="00D2797F">
        <w:t>–</w:t>
      </w:r>
      <w:r>
        <w:t>25. </w:t>
      </w:r>
    </w:p>
    <w:p w14:paraId="110C019E" w14:textId="2438F0FC" w:rsidR="00EE479C" w:rsidRDefault="00EE479C" w:rsidP="00EE479C">
      <w:pPr>
        <w:pStyle w:val="BodyText"/>
      </w:pPr>
      <w:r>
        <w:t>New Zealand’s second emissions reduction plan was published at the end of 2024. It sets out actions and strategies to reduce emissions between 2026</w:t>
      </w:r>
      <w:r w:rsidR="00413BB5">
        <w:t xml:space="preserve"> and </w:t>
      </w:r>
      <w:r>
        <w:t xml:space="preserve">2030 and sets New Zealand up for longer-term climate progress. </w:t>
      </w:r>
    </w:p>
    <w:p w14:paraId="14A6C405" w14:textId="2B277A11" w:rsidR="00EE479C" w:rsidRDefault="00EE479C" w:rsidP="00EE479C">
      <w:pPr>
        <w:pStyle w:val="BodyText"/>
      </w:pPr>
      <w:r>
        <w:t>The New Zealand Emissions Trading Scheme is New Zealand’s key policy tool underpinning domestic emissions reduction action. It is a cap-and-trade system that requires emitters to report on their emissions and surrender units that correspond to their obligations</w:t>
      </w:r>
      <w:r w:rsidR="00894021">
        <w:t>. It</w:t>
      </w:r>
      <w:r>
        <w:t xml:space="preserve"> helps to encourage afforestation and reduce deforestation. In 2022, 25 per cent of New Zealand’s gross emissions were offset by the </w:t>
      </w:r>
      <w:r w:rsidR="001206E5">
        <w:t>L</w:t>
      </w:r>
      <w:r>
        <w:t xml:space="preserve">and </w:t>
      </w:r>
      <w:r w:rsidR="001206E5">
        <w:t>U</w:t>
      </w:r>
      <w:r>
        <w:t xml:space="preserve">se, </w:t>
      </w:r>
      <w:r w:rsidR="001206E5">
        <w:t>L</w:t>
      </w:r>
      <w:r>
        <w:t>and</w:t>
      </w:r>
      <w:r w:rsidR="0059031B">
        <w:t>-</w:t>
      </w:r>
      <w:r w:rsidR="001206E5">
        <w:t>U</w:t>
      </w:r>
      <w:r>
        <w:t xml:space="preserve">se </w:t>
      </w:r>
      <w:r w:rsidR="001206E5">
        <w:t>C</w:t>
      </w:r>
      <w:r>
        <w:t xml:space="preserve">hange and </w:t>
      </w:r>
      <w:r w:rsidR="001206E5">
        <w:t>F</w:t>
      </w:r>
      <w:r>
        <w:t xml:space="preserve">orestry sector. </w:t>
      </w:r>
    </w:p>
    <w:p w14:paraId="5CBAC171" w14:textId="77777777" w:rsidR="00EE479C" w:rsidRDefault="00EE479C" w:rsidP="004902D2">
      <w:pPr>
        <w:pStyle w:val="Heading2"/>
      </w:pPr>
      <w:bookmarkStart w:id="10" w:name="_Toc184825473"/>
      <w:r>
        <w:t>Impacts and adaptation</w:t>
      </w:r>
      <w:bookmarkEnd w:id="10"/>
      <w:r>
        <w:t xml:space="preserve"> </w:t>
      </w:r>
    </w:p>
    <w:p w14:paraId="039BECCA" w14:textId="77777777" w:rsidR="00EE479C" w:rsidRDefault="00EE479C" w:rsidP="00EE479C">
      <w:pPr>
        <w:pStyle w:val="BodyText"/>
      </w:pPr>
      <w:r>
        <w:t>Climate change is already having observable impacts in New Zealand and is expected to cause new and compounding risks in the future. The country’s average temperature is projected to increase in coming decades, and changes are projected to sea-level rise, ocean warming and rainfall patterns.</w:t>
      </w:r>
    </w:p>
    <w:p w14:paraId="0FD7A19B" w14:textId="77777777" w:rsidR="00EE479C" w:rsidRDefault="00EE479C" w:rsidP="00EE479C">
      <w:pPr>
        <w:pStyle w:val="BodyText"/>
      </w:pPr>
      <w:r>
        <w:t xml:space="preserve">The Government is working to strengthen New Zealand against further impacts of climate change. This involves providing better risk information and clarifying roles and responsibilities for adaptation action, including how costs are shared. </w:t>
      </w:r>
    </w:p>
    <w:p w14:paraId="5E5F6ED4" w14:textId="77777777" w:rsidR="00EE479C" w:rsidRDefault="00EE479C" w:rsidP="00EE479C">
      <w:pPr>
        <w:pStyle w:val="BodyText"/>
      </w:pPr>
      <w:r>
        <w:t>New Zealand’s first national adaptation plan was released in August 2022 and outlines the country’s approach to addressing climate risks, to help New Zealanders reduce the potential harm of climate change and seize the opportunities that arise. </w:t>
      </w:r>
    </w:p>
    <w:p w14:paraId="0E2BABB6" w14:textId="756971FD" w:rsidR="00EE479C" w:rsidRDefault="00EE479C" w:rsidP="00872C4B">
      <w:pPr>
        <w:pStyle w:val="Heading2"/>
      </w:pPr>
      <w:bookmarkStart w:id="11" w:name="_Toc184825474"/>
      <w:r>
        <w:t xml:space="preserve">Progress towards </w:t>
      </w:r>
      <w:r w:rsidR="00BB58C0">
        <w:t xml:space="preserve">New Zealand’s </w:t>
      </w:r>
      <w:r>
        <w:t>first Nationally Determined Contribution</w:t>
      </w:r>
      <w:bookmarkEnd w:id="11"/>
      <w:r>
        <w:t xml:space="preserve"> </w:t>
      </w:r>
    </w:p>
    <w:p w14:paraId="3C671FC9" w14:textId="64D19EBF" w:rsidR="00EE479C" w:rsidRDefault="00EE479C" w:rsidP="00EE479C">
      <w:pPr>
        <w:pStyle w:val="BodyText"/>
      </w:pPr>
      <w:r>
        <w:t>New Zealand’s NDC1 sets a headline target of a 50 per cent reduction of net emissions below gross 2005 level</w:t>
      </w:r>
      <w:r w:rsidR="00645460">
        <w:t>s</w:t>
      </w:r>
      <w:r>
        <w:t xml:space="preserve"> by 2030. </w:t>
      </w:r>
    </w:p>
    <w:p w14:paraId="5B3B4479" w14:textId="32422E55" w:rsidR="00EE479C" w:rsidRDefault="00EE479C" w:rsidP="00EE479C">
      <w:pPr>
        <w:pStyle w:val="BodyText"/>
      </w:pPr>
      <w:r>
        <w:t xml:space="preserve">This is managed as a multi-year emissions budget. The budget is the total net emissions </w:t>
      </w:r>
      <w:r w:rsidR="00645460">
        <w:br/>
      </w:r>
      <w:r>
        <w:t>New Zealand will be responsible for between 2021 and 2030, with a provisional budget of 579 Mt CO</w:t>
      </w:r>
      <w:r w:rsidRPr="001261F5">
        <w:rPr>
          <w:vertAlign w:val="subscript"/>
        </w:rPr>
        <w:t>2</w:t>
      </w:r>
      <w:r>
        <w:t>e.</w:t>
      </w:r>
    </w:p>
    <w:p w14:paraId="0BBEC9BA" w14:textId="040FC31D" w:rsidR="00EE479C" w:rsidRDefault="00EE479C" w:rsidP="00EE479C">
      <w:pPr>
        <w:pStyle w:val="BodyText"/>
      </w:pPr>
      <w:r>
        <w:t xml:space="preserve">Since the intended NDC was set in 2015, modelling indicates the abatement gap </w:t>
      </w:r>
      <w:r w:rsidR="009E3EC5">
        <w:t>—</w:t>
      </w:r>
      <w:r>
        <w:t xml:space="preserve"> the gap between the NDC1 provisional budget and projected domestic emissions for </w:t>
      </w:r>
      <w:r w:rsidR="009E3EC5">
        <w:t xml:space="preserve">the </w:t>
      </w:r>
      <w:r>
        <w:t xml:space="preserve">period </w:t>
      </w:r>
      <w:r w:rsidR="009E3EC5">
        <w:t>—</w:t>
      </w:r>
      <w:r>
        <w:t xml:space="preserve"> has narrowed. This is despite New Zealand strengthening the NDC1 target to reflect higher ambition. </w:t>
      </w:r>
      <w:r w:rsidR="002255D5">
        <w:t>The modelling updates include</w:t>
      </w:r>
      <w:r w:rsidR="005756A1">
        <w:t xml:space="preserve"> </w:t>
      </w:r>
      <w:r w:rsidR="002255D5">
        <w:t xml:space="preserve">improvements to methodologies and additional government actions. </w:t>
      </w:r>
    </w:p>
    <w:p w14:paraId="314D8A09" w14:textId="2E35295D" w:rsidR="00EE479C" w:rsidRDefault="00EE479C" w:rsidP="00EE479C">
      <w:pPr>
        <w:pStyle w:val="BodyText"/>
      </w:pPr>
      <w:r>
        <w:t>New Zealand’s net target accounting emissions are projected to be 668.2 Mt CO</w:t>
      </w:r>
      <w:r w:rsidRPr="001261F5">
        <w:rPr>
          <w:vertAlign w:val="subscript"/>
        </w:rPr>
        <w:t>2</w:t>
      </w:r>
      <w:r>
        <w:t>e across 2021–</w:t>
      </w:r>
      <w:r w:rsidDel="001A31A5">
        <w:t>20</w:t>
      </w:r>
      <w:r>
        <w:t>30, 89.2 Mt CO</w:t>
      </w:r>
      <w:r w:rsidRPr="00A355A1">
        <w:rPr>
          <w:vertAlign w:val="subscript"/>
        </w:rPr>
        <w:t>2</w:t>
      </w:r>
      <w:r>
        <w:t>e higher than the NDC1 provisional budget. This does not include the impact of second emissions reduction plan policies and updated data, which are projected to reduce this gap further to 84.0 Mt CO</w:t>
      </w:r>
      <w:r w:rsidRPr="00A355A1">
        <w:rPr>
          <w:vertAlign w:val="subscript"/>
        </w:rPr>
        <w:t>2</w:t>
      </w:r>
      <w:r>
        <w:t xml:space="preserve">e. </w:t>
      </w:r>
      <w:r w:rsidR="00B979CE" w:rsidRPr="00BF2F63">
        <w:t xml:space="preserve">These updates were unable to be included as the Biennial Transparency Report applied an earlier </w:t>
      </w:r>
      <w:r w:rsidR="00D0465C" w:rsidRPr="003C61FF">
        <w:t>cut-off</w:t>
      </w:r>
      <w:r w:rsidR="00B979CE" w:rsidRPr="00BF2F63">
        <w:t xml:space="preserve"> date for modelling assumptions compared </w:t>
      </w:r>
      <w:r w:rsidR="00B979CE">
        <w:t>with</w:t>
      </w:r>
      <w:r w:rsidR="00B979CE" w:rsidRPr="00BF2F63">
        <w:t xml:space="preserve"> the second emissions reduction plan. </w:t>
      </w:r>
      <w:r w:rsidR="00020408" w:rsidRPr="004C77BD">
        <w:rPr>
          <w:lang w:val="en-US"/>
        </w:rPr>
        <w:t xml:space="preserve">The </w:t>
      </w:r>
      <w:r w:rsidR="00020408">
        <w:rPr>
          <w:lang w:val="en-US"/>
        </w:rPr>
        <w:t>second</w:t>
      </w:r>
      <w:r w:rsidR="00020408" w:rsidRPr="004C77BD">
        <w:rPr>
          <w:lang w:val="en-US"/>
        </w:rPr>
        <w:t xml:space="preserve"> Biennial Transparency Report will include the impacts of th</w:t>
      </w:r>
      <w:r w:rsidR="00020408">
        <w:rPr>
          <w:lang w:val="en-US"/>
        </w:rPr>
        <w:t xml:space="preserve">e second emissions reduction </w:t>
      </w:r>
      <w:r w:rsidR="00020408" w:rsidRPr="004C77BD">
        <w:rPr>
          <w:lang w:val="en-US"/>
        </w:rPr>
        <w:t>plan.</w:t>
      </w:r>
    </w:p>
    <w:p w14:paraId="06B54E38" w14:textId="5FDEA255" w:rsidR="00EE479C" w:rsidRDefault="00EE479C" w:rsidP="00EE479C">
      <w:pPr>
        <w:pStyle w:val="BodyText"/>
      </w:pPr>
      <w:r>
        <w:t>In addition to domestic actions, New Zealand is exploring options for international cooperation under Article 6 of the Paris Agreement. Efforts to date include exploring opportunities with partner governments, market intermediaries and entities that could enable New Zealand to undertake cooperative mitigation action in future.</w:t>
      </w:r>
    </w:p>
    <w:p w14:paraId="748670BD" w14:textId="29BC4C96" w:rsidR="00EE479C" w:rsidRDefault="00EE479C" w:rsidP="00EE479C">
      <w:pPr>
        <w:pStyle w:val="BodyText"/>
      </w:pPr>
      <w:r>
        <w:t xml:space="preserve">New Zealand is developing arrangements that establish frameworks for collaboration. For example, New Zealand has joined the Asian Development Bank Climate Action Catalyst Fund as an observer to gain insight into Article 6 operations and transactions, and to support </w:t>
      </w:r>
      <w:r w:rsidR="008842F8">
        <w:t xml:space="preserve">the </w:t>
      </w:r>
      <w:r>
        <w:t>Asian Development Bank</w:t>
      </w:r>
      <w:r w:rsidR="008842F8">
        <w:t>’s</w:t>
      </w:r>
      <w:r>
        <w:t xml:space="preserve"> efforts to build </w:t>
      </w:r>
      <w:r w:rsidR="00A322DB">
        <w:t xml:space="preserve">Article 6 readiness in </w:t>
      </w:r>
      <w:r>
        <w:t>developing member countries.</w:t>
      </w:r>
    </w:p>
    <w:p w14:paraId="649FFDEA" w14:textId="2CCEBD18" w:rsidR="00EE479C" w:rsidRDefault="00EE479C" w:rsidP="00872C4B">
      <w:pPr>
        <w:pStyle w:val="Heading2"/>
      </w:pPr>
      <w:bookmarkStart w:id="12" w:name="_Toc184825475"/>
      <w:r>
        <w:t>Support for developing countries</w:t>
      </w:r>
      <w:bookmarkEnd w:id="12"/>
      <w:r>
        <w:t xml:space="preserve"> </w:t>
      </w:r>
    </w:p>
    <w:p w14:paraId="68DCF291" w14:textId="77777777" w:rsidR="00EE479C" w:rsidRDefault="00EE479C" w:rsidP="00EE479C">
      <w:pPr>
        <w:pStyle w:val="BodyText"/>
      </w:pPr>
      <w:r>
        <w:t xml:space="preserve">New Zealand contributes to the global goal of enabling developing countries to take meaningful action to address climate change. </w:t>
      </w:r>
    </w:p>
    <w:p w14:paraId="7F52887A" w14:textId="73E73410" w:rsidR="00EE479C" w:rsidRDefault="00EE479C" w:rsidP="00EE479C">
      <w:pPr>
        <w:pStyle w:val="BodyText"/>
      </w:pPr>
      <w:r>
        <w:t>In 2021, New Zealand made a NZ$1.3 billion climate finance commitment for 2022–25 and during 2021</w:t>
      </w:r>
      <w:r w:rsidR="00A322DB">
        <w:t>–</w:t>
      </w:r>
      <w:r>
        <w:t>22 contributed nearly NZ$</w:t>
      </w:r>
      <w:r w:rsidR="00CA6FE3">
        <w:t>235.69</w:t>
      </w:r>
      <w:r>
        <w:t xml:space="preserve"> million in climate-specific support to developing countries through the International Development Cooperation programme. This included support on agriculture, food security, disaster preparedness, ecosystem strengthening, renewable energy, infrastructure and water security. </w:t>
      </w:r>
    </w:p>
    <w:p w14:paraId="1C4AAE6D" w14:textId="77777777" w:rsidR="00EE479C" w:rsidRDefault="00EE479C" w:rsidP="00EE479C">
      <w:pPr>
        <w:pStyle w:val="BodyText"/>
      </w:pPr>
      <w:r>
        <w:t xml:space="preserve">New Zealand continues to support various multilateral financial institutions, including regional development banks, contributing NZ$11.77 million in 2021–22.  </w:t>
      </w:r>
    </w:p>
    <w:p w14:paraId="78125A0B" w14:textId="4CE465DA" w:rsidR="00EE479C" w:rsidRDefault="00EE479C" w:rsidP="00EE479C">
      <w:pPr>
        <w:pStyle w:val="BodyText"/>
      </w:pPr>
      <w:r>
        <w:t>New Zealand is committed to strengthening the capability and capacity of development partners to respond to climate change and supports renewable energy projects, education in smart horticulture practices, and provides governance advice for climate change policy development and implementation.</w:t>
      </w:r>
    </w:p>
    <w:p w14:paraId="323992C2" w14:textId="779F36F9" w:rsidR="00D84012" w:rsidRDefault="00D84012" w:rsidP="00D84012">
      <w:pPr>
        <w:pStyle w:val="BodyText"/>
      </w:pPr>
    </w:p>
    <w:p w14:paraId="019C7AB0" w14:textId="77777777" w:rsidR="009A7700" w:rsidRDefault="009A7700">
      <w:pPr>
        <w:spacing w:before="0" w:after="200" w:line="276" w:lineRule="auto"/>
        <w:jc w:val="left"/>
        <w:sectPr w:rsidR="009A7700" w:rsidSect="008A7498">
          <w:headerReference w:type="even" r:id="rId38"/>
          <w:headerReference w:type="default" r:id="rId39"/>
          <w:footerReference w:type="default" r:id="rId40"/>
          <w:headerReference w:type="first" r:id="rId41"/>
          <w:pgSz w:w="11907" w:h="16840" w:code="9"/>
          <w:pgMar w:top="1134" w:right="1701" w:bottom="1134" w:left="1701" w:header="567" w:footer="567" w:gutter="0"/>
          <w:cols w:space="720"/>
          <w:docGrid w:linePitch="299"/>
        </w:sectPr>
      </w:pPr>
    </w:p>
    <w:p w14:paraId="5C3C72F9" w14:textId="4154A448" w:rsidR="00B71F88" w:rsidRDefault="00B71F88">
      <w:pPr>
        <w:spacing w:before="0" w:after="200" w:line="276" w:lineRule="auto"/>
        <w:jc w:val="left"/>
      </w:pPr>
    </w:p>
    <w:p w14:paraId="72B83BF7" w14:textId="4B4DF932" w:rsidR="008A0706" w:rsidRDefault="008A0706" w:rsidP="008A0706">
      <w:pPr>
        <w:pStyle w:val="BodyText"/>
      </w:pPr>
      <w:r>
        <w:rPr>
          <w:noProof/>
        </w:rPr>
        <w:drawing>
          <wp:anchor distT="0" distB="0" distL="114300" distR="114300" simplePos="0" relativeHeight="251658240" behindDoc="1" locked="0" layoutInCell="1" allowOverlap="1" wp14:anchorId="142C4B67" wp14:editId="2BB6A233">
            <wp:simplePos x="0" y="0"/>
            <wp:positionH relativeFrom="page">
              <wp:posOffset>-293370</wp:posOffset>
            </wp:positionH>
            <wp:positionV relativeFrom="paragraph">
              <wp:posOffset>-1103884</wp:posOffset>
            </wp:positionV>
            <wp:extent cx="7854696" cy="11110171"/>
            <wp:effectExtent l="0" t="0" r="0" b="0"/>
            <wp:wrapNone/>
            <wp:docPr id="1178206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06228" name="Picture 1178206228"/>
                    <pic:cNvPicPr/>
                  </pic:nvPicPr>
                  <pic:blipFill>
                    <a:blip r:embed="rId42"/>
                    <a:stretch>
                      <a:fillRect/>
                    </a:stretch>
                  </pic:blipFill>
                  <pic:spPr>
                    <a:xfrm>
                      <a:off x="0" y="0"/>
                      <a:ext cx="7854696" cy="11110171"/>
                    </a:xfrm>
                    <a:prstGeom prst="rect">
                      <a:avLst/>
                    </a:prstGeom>
                  </pic:spPr>
                </pic:pic>
              </a:graphicData>
            </a:graphic>
            <wp14:sizeRelH relativeFrom="page">
              <wp14:pctWidth>0</wp14:pctWidth>
            </wp14:sizeRelH>
            <wp14:sizeRelV relativeFrom="page">
              <wp14:pctHeight>0</wp14:pctHeight>
            </wp14:sizeRelV>
          </wp:anchor>
        </w:drawing>
      </w:r>
    </w:p>
    <w:p w14:paraId="00A4B35F" w14:textId="77777777" w:rsidR="008A0706" w:rsidRDefault="008A0706" w:rsidP="008A0706">
      <w:pPr>
        <w:pStyle w:val="BodyText"/>
      </w:pPr>
    </w:p>
    <w:p w14:paraId="1C349F55" w14:textId="39E618B0" w:rsidR="008A0706" w:rsidRDefault="008A0706" w:rsidP="008A0706">
      <w:pPr>
        <w:pStyle w:val="BodyText"/>
      </w:pPr>
    </w:p>
    <w:p w14:paraId="7F2C4341" w14:textId="77777777" w:rsidR="002C407B" w:rsidRDefault="002C407B" w:rsidP="008A0706">
      <w:pPr>
        <w:pStyle w:val="BodyText"/>
      </w:pPr>
    </w:p>
    <w:p w14:paraId="62FD69E5" w14:textId="0AF1B3A9" w:rsidR="008A0706" w:rsidRPr="002C407B" w:rsidRDefault="008A0706" w:rsidP="008A0706">
      <w:pPr>
        <w:pStyle w:val="Heading1"/>
        <w:rPr>
          <w:color w:val="FFFFFF" w:themeColor="background1"/>
        </w:rPr>
      </w:pPr>
      <w:bookmarkStart w:id="13" w:name="_Toc184825476"/>
      <w:r w:rsidRPr="002C407B">
        <w:rPr>
          <w:color w:val="FFFFFF" w:themeColor="background1"/>
        </w:rPr>
        <w:t>Chapter 1</w:t>
      </w:r>
      <w:r w:rsidRPr="002C407B">
        <w:rPr>
          <w:color w:val="FFFFFF" w:themeColor="background1"/>
        </w:rPr>
        <w:br/>
      </w:r>
      <w:r w:rsidR="00C806AB">
        <w:rPr>
          <w:color w:val="FFFFFF" w:themeColor="background1"/>
        </w:rPr>
        <w:br/>
      </w:r>
      <w:r w:rsidRPr="00DD51BA">
        <w:rPr>
          <w:color w:val="FFFFFF" w:themeColor="background1"/>
        </w:rPr>
        <w:t>National inventory report of anthropogenic</w:t>
      </w:r>
      <w:r w:rsidRPr="002C407B">
        <w:rPr>
          <w:color w:val="FFFFFF" w:themeColor="background1"/>
        </w:rPr>
        <w:t xml:space="preserve"> emissions by sources and removals by sinks of greenhouse gases</w:t>
      </w:r>
      <w:bookmarkEnd w:id="13"/>
    </w:p>
    <w:p w14:paraId="3556BFE7" w14:textId="042AF151" w:rsidR="002C407B" w:rsidRDefault="002C407B">
      <w:pPr>
        <w:spacing w:before="0" w:after="200" w:line="276" w:lineRule="auto"/>
        <w:jc w:val="left"/>
      </w:pPr>
      <w:r>
        <w:br w:type="page"/>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ayout w:type="fixed"/>
        <w:tblCellMar>
          <w:right w:w="0" w:type="dxa"/>
        </w:tblCellMar>
        <w:tblLook w:val="04A0" w:firstRow="1" w:lastRow="0" w:firstColumn="1" w:lastColumn="0" w:noHBand="0" w:noVBand="1"/>
      </w:tblPr>
      <w:tblGrid>
        <w:gridCol w:w="8505"/>
      </w:tblGrid>
      <w:tr w:rsidR="00B55611" w:rsidRPr="002159BD" w14:paraId="5FE1F7D2" w14:textId="77777777" w:rsidTr="00F733A2">
        <w:tc>
          <w:tcPr>
            <w:tcW w:w="8505" w:type="dxa"/>
            <w:tcBorders>
              <w:bottom w:val="single" w:sz="4" w:space="0" w:color="2C9986" w:themeColor="accent4"/>
            </w:tcBorders>
            <w:shd w:val="clear" w:color="auto" w:fill="2C9986" w:themeFill="accent4"/>
          </w:tcPr>
          <w:p w14:paraId="26427DD4" w14:textId="77777777" w:rsidR="00B55611" w:rsidRPr="002159BD" w:rsidRDefault="00B55611">
            <w:pPr>
              <w:pStyle w:val="Heading2"/>
              <w:spacing w:before="120" w:after="120"/>
              <w:rPr>
                <w:color w:val="FFFFFF" w:themeColor="background1"/>
              </w:rPr>
            </w:pPr>
            <w:bookmarkStart w:id="14" w:name="_Toc184825477"/>
            <w:r w:rsidRPr="002159BD">
              <w:rPr>
                <w:color w:val="FFFFFF" w:themeColor="background1"/>
              </w:rPr>
              <w:t>Key messages</w:t>
            </w:r>
            <w:bookmarkEnd w:id="14"/>
          </w:p>
        </w:tc>
      </w:tr>
      <w:tr w:rsidR="00B55611" w:rsidRPr="00722EC0" w14:paraId="72A1E238" w14:textId="77777777" w:rsidTr="00F733A2">
        <w:tc>
          <w:tcPr>
            <w:tcW w:w="8505" w:type="dxa"/>
            <w:tcBorders>
              <w:top w:val="single" w:sz="4" w:space="0" w:color="2C9986" w:themeColor="accent4"/>
              <w:bottom w:val="single" w:sz="4" w:space="0" w:color="2C9986" w:themeColor="accent4"/>
            </w:tcBorders>
            <w:shd w:val="clear" w:color="auto" w:fill="FFFFFF" w:themeFill="background1"/>
          </w:tcPr>
          <w:p w14:paraId="7AED09E7" w14:textId="30218ADE" w:rsidR="00B55611" w:rsidRPr="00905B85" w:rsidRDefault="00B55611" w:rsidP="00F733A2">
            <w:pPr>
              <w:pStyle w:val="BodyText"/>
              <w:spacing w:before="110" w:after="110" w:line="260" w:lineRule="atLeast"/>
              <w:rPr>
                <w:spacing w:val="-2"/>
              </w:rPr>
            </w:pPr>
            <w:r w:rsidRPr="00905B85">
              <w:rPr>
                <w:spacing w:val="-2"/>
              </w:rPr>
              <w:t>In 2022, New Zealand’s gross emissions were 78.4 million tonnes of carbon dioxide equivalent (Mt CO</w:t>
            </w:r>
            <w:r w:rsidRPr="00905B85">
              <w:rPr>
                <w:spacing w:val="-2"/>
                <w:vertAlign w:val="subscript"/>
              </w:rPr>
              <w:t>2</w:t>
            </w:r>
            <w:r w:rsidRPr="00905B85">
              <w:rPr>
                <w:spacing w:val="-2"/>
              </w:rPr>
              <w:t>e).</w:t>
            </w:r>
          </w:p>
        </w:tc>
      </w:tr>
      <w:tr w:rsidR="00B55611" w:rsidRPr="00722EC0" w14:paraId="3F74AC79" w14:textId="77777777" w:rsidTr="00F733A2">
        <w:tc>
          <w:tcPr>
            <w:tcW w:w="8505" w:type="dxa"/>
            <w:tcBorders>
              <w:top w:val="single" w:sz="4" w:space="0" w:color="2C9986" w:themeColor="accent4"/>
              <w:bottom w:val="single" w:sz="4" w:space="0" w:color="2C9986" w:themeColor="accent4"/>
            </w:tcBorders>
            <w:shd w:val="clear" w:color="auto" w:fill="FFFFFF" w:themeFill="background1"/>
          </w:tcPr>
          <w:p w14:paraId="47706F8F" w14:textId="77777777" w:rsidR="00B55611" w:rsidRPr="005C5906" w:rsidRDefault="00B55611" w:rsidP="00F733A2">
            <w:pPr>
              <w:pStyle w:val="BodyText"/>
              <w:spacing w:before="110" w:after="110" w:line="260" w:lineRule="atLeast"/>
            </w:pPr>
            <w:r w:rsidRPr="005C5906">
              <w:t>The two biggest contributing sectors in 2022 were Agriculture (53 per cent) and Energy (37 per cent).</w:t>
            </w:r>
          </w:p>
        </w:tc>
      </w:tr>
      <w:tr w:rsidR="00B55611" w:rsidRPr="00722EC0" w14:paraId="5648D5AC" w14:textId="77777777" w:rsidTr="00F733A2">
        <w:tc>
          <w:tcPr>
            <w:tcW w:w="8505" w:type="dxa"/>
            <w:tcBorders>
              <w:top w:val="single" w:sz="4" w:space="0" w:color="2C9986" w:themeColor="accent4"/>
              <w:bottom w:val="single" w:sz="4" w:space="0" w:color="2C9986" w:themeColor="accent4"/>
            </w:tcBorders>
            <w:shd w:val="clear" w:color="auto" w:fill="FFFFFF" w:themeFill="background1"/>
          </w:tcPr>
          <w:p w14:paraId="7A096A88" w14:textId="0D18A5C6" w:rsidR="00B55611" w:rsidRPr="005C5906" w:rsidRDefault="00B55611" w:rsidP="00F733A2">
            <w:pPr>
              <w:pStyle w:val="BodyText"/>
              <w:spacing w:before="110" w:after="110" w:line="260" w:lineRule="atLeast"/>
            </w:pPr>
            <w:r w:rsidRPr="005C5906">
              <w:t>Together, methane and nitrous oxide, largely from agricultural sources, made up over half of New</w:t>
            </w:r>
            <w:r>
              <w:t> </w:t>
            </w:r>
            <w:r w:rsidRPr="005C5906">
              <w:t>Zealand’s gross emissions (49 and 9 per cent, respectively) in 2022. The remaining emissions consisted mostly of carbon dioxide (40 per cent), largely from the Energy and Industrial Processes and</w:t>
            </w:r>
            <w:r>
              <w:t> </w:t>
            </w:r>
            <w:r w:rsidRPr="005C5906">
              <w:t>Product Use sectors.</w:t>
            </w:r>
          </w:p>
        </w:tc>
      </w:tr>
      <w:tr w:rsidR="00B55611" w:rsidRPr="00722EC0" w14:paraId="23575E91" w14:textId="77777777" w:rsidTr="00F733A2">
        <w:tc>
          <w:tcPr>
            <w:tcW w:w="8505" w:type="dxa"/>
            <w:tcBorders>
              <w:top w:val="single" w:sz="4" w:space="0" w:color="2C9986" w:themeColor="accent4"/>
              <w:bottom w:val="single" w:sz="4" w:space="0" w:color="2C9986" w:themeColor="accent4"/>
            </w:tcBorders>
            <w:shd w:val="clear" w:color="auto" w:fill="FFFFFF" w:themeFill="background1"/>
          </w:tcPr>
          <w:p w14:paraId="433A0179" w14:textId="77777777" w:rsidR="00B55611" w:rsidRPr="005C5906" w:rsidRDefault="00B55611" w:rsidP="00F733A2">
            <w:pPr>
              <w:pStyle w:val="BodyText"/>
              <w:spacing w:before="110" w:after="110" w:line="260" w:lineRule="atLeast"/>
            </w:pPr>
            <w:r w:rsidRPr="005C5906">
              <w:t xml:space="preserve">Gross emissions increased by 14 per cent since 1990 (the base year for United Nations Framework Convention on Climate Change reporting). </w:t>
            </w:r>
          </w:p>
        </w:tc>
      </w:tr>
      <w:tr w:rsidR="00B55611" w:rsidRPr="00722EC0" w14:paraId="7959BAA0" w14:textId="77777777" w:rsidTr="00F733A2">
        <w:tc>
          <w:tcPr>
            <w:tcW w:w="8505" w:type="dxa"/>
            <w:tcBorders>
              <w:top w:val="single" w:sz="4" w:space="0" w:color="2C9986" w:themeColor="accent4"/>
              <w:bottom w:val="single" w:sz="4" w:space="0" w:color="2C9986" w:themeColor="accent4"/>
            </w:tcBorders>
            <w:shd w:val="clear" w:color="auto" w:fill="FFFFFF" w:themeFill="background1"/>
          </w:tcPr>
          <w:p w14:paraId="69D3B1D2" w14:textId="77777777" w:rsidR="00B55611" w:rsidRPr="005C5906" w:rsidRDefault="00B55611" w:rsidP="00F733A2">
            <w:pPr>
              <w:pStyle w:val="BodyText"/>
              <w:spacing w:before="110" w:after="110" w:line="260" w:lineRule="atLeast"/>
            </w:pPr>
            <w:r w:rsidRPr="005C5906">
              <w:t>New Zealand’s gross emissions peaked in 2006, then steadied, and have been declining since 2019. Between 2006 and 2022, emissions have decreased by 8.4 per cent.</w:t>
            </w:r>
          </w:p>
        </w:tc>
      </w:tr>
      <w:tr w:rsidR="00B55611" w:rsidRPr="00722EC0" w14:paraId="3D3EA8BC" w14:textId="77777777" w:rsidTr="00F733A2">
        <w:tc>
          <w:tcPr>
            <w:tcW w:w="8505" w:type="dxa"/>
            <w:tcBorders>
              <w:top w:val="single" w:sz="4" w:space="0" w:color="2C9986" w:themeColor="accent4"/>
              <w:bottom w:val="single" w:sz="4" w:space="0" w:color="2C9986" w:themeColor="accent4"/>
            </w:tcBorders>
            <w:shd w:val="clear" w:color="auto" w:fill="FFFFFF" w:themeFill="background1"/>
          </w:tcPr>
          <w:p w14:paraId="02597734" w14:textId="6528655C" w:rsidR="00B55611" w:rsidRPr="005C5906" w:rsidRDefault="00B55611" w:rsidP="00F733A2">
            <w:pPr>
              <w:pStyle w:val="BodyText"/>
              <w:spacing w:before="110" w:after="110" w:line="260" w:lineRule="atLeast"/>
            </w:pPr>
            <w:r w:rsidRPr="005C5906">
              <w:t>In 2022, New Zealand’s net emissions were 59.2 Mt CO</w:t>
            </w:r>
            <w:r w:rsidRPr="005C5906">
              <w:rPr>
                <w:vertAlign w:val="subscript"/>
              </w:rPr>
              <w:t>2</w:t>
            </w:r>
            <w:r w:rsidRPr="005C5906">
              <w:t xml:space="preserve">e. Net removals from the Land Use, Land-Use Change and Forestry </w:t>
            </w:r>
            <w:r w:rsidR="006F67D3">
              <w:t xml:space="preserve">(LULUCF) </w:t>
            </w:r>
            <w:r w:rsidRPr="005C5906">
              <w:t>sector offset 25 per cent of gross emissions.</w:t>
            </w:r>
          </w:p>
        </w:tc>
      </w:tr>
      <w:tr w:rsidR="00B55611" w:rsidRPr="00722EC0" w14:paraId="3D00C0F4" w14:textId="77777777" w:rsidTr="00F733A2">
        <w:tc>
          <w:tcPr>
            <w:tcW w:w="8505" w:type="dxa"/>
            <w:tcBorders>
              <w:top w:val="single" w:sz="4" w:space="0" w:color="2C9986" w:themeColor="accent4"/>
              <w:bottom w:val="single" w:sz="4" w:space="0" w:color="2C9986" w:themeColor="accent4"/>
            </w:tcBorders>
            <w:shd w:val="clear" w:color="auto" w:fill="FFFFFF" w:themeFill="background1"/>
          </w:tcPr>
          <w:p w14:paraId="27DBF989" w14:textId="77777777" w:rsidR="00B55611" w:rsidRPr="005C5906" w:rsidRDefault="00B55611" w:rsidP="00F733A2">
            <w:pPr>
              <w:pStyle w:val="BodyText"/>
              <w:spacing w:before="110" w:after="110" w:line="260" w:lineRule="atLeast"/>
            </w:pPr>
            <w:r w:rsidRPr="005C5906">
              <w:t>Net emission trends are influenced by forest planting cycles. However, since 1990, the LULUCF sector has remained a net carbon sink.</w:t>
            </w:r>
          </w:p>
        </w:tc>
      </w:tr>
    </w:tbl>
    <w:p w14:paraId="60F735B8" w14:textId="77777777" w:rsidR="00B55611" w:rsidRPr="002200DE" w:rsidRDefault="00B55611" w:rsidP="00DA6359">
      <w:pPr>
        <w:pStyle w:val="Heading2"/>
        <w:numPr>
          <w:ilvl w:val="1"/>
          <w:numId w:val="16"/>
        </w:numPr>
        <w:spacing w:before="400"/>
        <w:ind w:left="0" w:firstLine="0"/>
      </w:pPr>
      <w:bookmarkStart w:id="15" w:name="_Toc172794085"/>
      <w:bookmarkStart w:id="16" w:name="_Toc172794080"/>
      <w:bookmarkStart w:id="17" w:name="_Toc173323732"/>
      <w:bookmarkStart w:id="18" w:name="_Toc184825478"/>
      <w:bookmarkEnd w:id="15"/>
      <w:r w:rsidRPr="002200DE">
        <w:t>Introduction</w:t>
      </w:r>
      <w:bookmarkEnd w:id="16"/>
      <w:bookmarkEnd w:id="17"/>
      <w:bookmarkEnd w:id="18"/>
    </w:p>
    <w:p w14:paraId="06D4AEF6" w14:textId="77777777" w:rsidR="00B55611" w:rsidRPr="00F733A2" w:rsidRDefault="00B55611" w:rsidP="00F733A2">
      <w:pPr>
        <w:pStyle w:val="BodyText"/>
        <w:spacing w:before="100" w:after="100"/>
      </w:pPr>
      <w:r w:rsidRPr="005C5906">
        <w:t xml:space="preserve">This section summarises New Zealand’s emissions profile and trends since 1990, based on </w:t>
      </w:r>
      <w:r w:rsidRPr="005C5906">
        <w:rPr>
          <w:i/>
          <w:iCs/>
        </w:rPr>
        <w:t>New </w:t>
      </w:r>
      <w:r w:rsidRPr="00F733A2">
        <w:rPr>
          <w:i/>
          <w:iCs/>
        </w:rPr>
        <w:t>Zealand’s Greenhouse Gas Inventory</w:t>
      </w:r>
      <w:r w:rsidRPr="00F733A2">
        <w:t xml:space="preserve"> (the Inventory).</w:t>
      </w:r>
    </w:p>
    <w:p w14:paraId="2848C20D" w14:textId="77777777" w:rsidR="00B55611" w:rsidRPr="00F733A2" w:rsidRDefault="00B55611" w:rsidP="00F733A2">
      <w:pPr>
        <w:pStyle w:val="BodyText"/>
        <w:spacing w:before="100" w:after="100"/>
      </w:pPr>
      <w:r w:rsidRPr="00F733A2">
        <w:t>The Inventory is the official annual estimate of all anthropogenic (human-induced) emissions and removals of</w:t>
      </w:r>
      <w:bookmarkStart w:id="19" w:name="_Hlk179100306"/>
      <w:r w:rsidRPr="00F733A2">
        <w:t xml:space="preserve"> greenhouse gases</w:t>
      </w:r>
      <w:bookmarkEnd w:id="19"/>
      <w:r w:rsidRPr="00F733A2">
        <w:t xml:space="preserve"> (GHGs) in New Zealand. It provides the official basis for </w:t>
      </w:r>
      <w:r w:rsidRPr="00F733A2">
        <w:rPr>
          <w:spacing w:val="-2"/>
        </w:rPr>
        <w:t>measuring New Zealand’s progress under the United Nations Framework Convention on Climate</w:t>
      </w:r>
      <w:r w:rsidRPr="00F733A2">
        <w:t xml:space="preserve"> Change and the Paris Agreement, and for tracking towards its emissions reduction targets. </w:t>
      </w:r>
    </w:p>
    <w:p w14:paraId="0A49266C" w14:textId="77777777" w:rsidR="00B55611" w:rsidRPr="00F733A2" w:rsidRDefault="00B55611" w:rsidP="00F733A2">
      <w:pPr>
        <w:pStyle w:val="BodyText"/>
        <w:spacing w:before="100" w:after="100"/>
      </w:pPr>
      <w:r w:rsidRPr="00F733A2">
        <w:t>New Zealand’s GHGs are reported under five sectors: Energy; Industrial Processes and Product Use (IPPU); Agriculture; Land Use, Land-Use Change and Forestry (LULUCF); and Waste. Tokelau’s emissions are reported separately in the ‘Other’ sector.</w:t>
      </w:r>
      <w:r w:rsidRPr="00F733A2">
        <w:rPr>
          <w:rStyle w:val="FootnoteReference"/>
        </w:rPr>
        <w:footnoteReference w:id="2"/>
      </w:r>
    </w:p>
    <w:p w14:paraId="3353AB77" w14:textId="77777777" w:rsidR="00B55611" w:rsidRPr="005C5906" w:rsidRDefault="00B55611" w:rsidP="00F733A2">
      <w:pPr>
        <w:pStyle w:val="BodyText"/>
        <w:spacing w:before="100" w:after="100"/>
      </w:pPr>
      <w:r w:rsidRPr="00F733A2">
        <w:t>Inventory reporting</w:t>
      </w:r>
      <w:r w:rsidRPr="005C5906">
        <w:t xml:space="preserve"> covers seven direct GHGs: carbon dioxide (CO</w:t>
      </w:r>
      <w:r w:rsidRPr="005C5906">
        <w:rPr>
          <w:vertAlign w:val="subscript"/>
        </w:rPr>
        <w:t>2</w:t>
      </w:r>
      <w:r w:rsidRPr="005C5906">
        <w:t>), methane (CH</w:t>
      </w:r>
      <w:r w:rsidRPr="005C5906">
        <w:rPr>
          <w:vertAlign w:val="subscript"/>
        </w:rPr>
        <w:t>4</w:t>
      </w:r>
      <w:r w:rsidRPr="005C5906">
        <w:t>), nitrous oxide (N</w:t>
      </w:r>
      <w:r w:rsidRPr="005C5906">
        <w:rPr>
          <w:vertAlign w:val="subscript"/>
        </w:rPr>
        <w:t>2</w:t>
      </w:r>
      <w:r w:rsidRPr="005C5906">
        <w:t>O), hydrofluorocarbons (HFCs), perfluorocarbons (PFCs), sulphur hexafluoride (SF</w:t>
      </w:r>
      <w:r w:rsidRPr="005C5906">
        <w:rPr>
          <w:vertAlign w:val="subscript"/>
        </w:rPr>
        <w:t>6</w:t>
      </w:r>
      <w:r w:rsidRPr="005C5906">
        <w:t>) and nitrogen trifluoride (NF</w:t>
      </w:r>
      <w:r w:rsidRPr="005C5906">
        <w:rPr>
          <w:vertAlign w:val="subscript"/>
        </w:rPr>
        <w:t>3</w:t>
      </w:r>
      <w:r w:rsidRPr="005C5906">
        <w:rPr>
          <w:rStyle w:val="FootnoteReference"/>
        </w:rPr>
        <w:footnoteReference w:id="3"/>
      </w:r>
      <w:r w:rsidRPr="005C5906">
        <w:t>). These are the most important GHGs that human activity directly emits. New Zealand also includes estimates of indirect GHGs in the Inventory; however, estimates of total national emissions include only emissions and removals of the seven direct GHGs listed above.</w:t>
      </w:r>
    </w:p>
    <w:p w14:paraId="2BE5D0D8" w14:textId="77777777" w:rsidR="00B55611" w:rsidRPr="005C5906" w:rsidRDefault="00B55611" w:rsidP="00B55611">
      <w:pPr>
        <w:pStyle w:val="BodyText"/>
      </w:pPr>
      <w:r w:rsidRPr="005C5906">
        <w:t xml:space="preserve">For more information, see </w:t>
      </w:r>
      <w:r w:rsidRPr="005C5906">
        <w:rPr>
          <w:i/>
          <w:iCs/>
        </w:rPr>
        <w:t>New Zealand’s Greenhouse Gas Inventory 1990–2022</w:t>
      </w:r>
      <w:r w:rsidRPr="005C5906">
        <w:t>.</w:t>
      </w:r>
      <w:r w:rsidRPr="005C5906">
        <w:rPr>
          <w:rStyle w:val="FootnoteReference"/>
        </w:rPr>
        <w:footnoteReference w:id="4"/>
      </w:r>
      <w:r w:rsidRPr="005C5906">
        <w:t xml:space="preserve"> </w:t>
      </w:r>
    </w:p>
    <w:p w14:paraId="2A89B56D" w14:textId="77777777" w:rsidR="00B55611" w:rsidRPr="005C5906" w:rsidRDefault="00B55611" w:rsidP="0044676F">
      <w:pPr>
        <w:pStyle w:val="Heading2"/>
        <w:ind w:left="1134" w:hanging="1134"/>
      </w:pPr>
      <w:bookmarkStart w:id="20" w:name="_Toc172794081"/>
      <w:bookmarkStart w:id="21" w:name="_Toc173323733"/>
      <w:bookmarkStart w:id="22" w:name="_Toc184825479"/>
      <w:r w:rsidRPr="005C5906">
        <w:t>1.2</w:t>
      </w:r>
      <w:r w:rsidRPr="005C5906">
        <w:tab/>
        <w:t>National greenhouse gas emissions and removals</w:t>
      </w:r>
      <w:bookmarkEnd w:id="20"/>
      <w:bookmarkEnd w:id="21"/>
      <w:bookmarkEnd w:id="22"/>
      <w:r w:rsidRPr="005C5906">
        <w:t xml:space="preserve"> </w:t>
      </w:r>
    </w:p>
    <w:p w14:paraId="0001F0F7" w14:textId="77777777" w:rsidR="00B55611" w:rsidRPr="005C5906" w:rsidRDefault="00B55611" w:rsidP="00DA6359">
      <w:pPr>
        <w:pStyle w:val="Heading3"/>
        <w:numPr>
          <w:ilvl w:val="0"/>
          <w:numId w:val="17"/>
        </w:numPr>
        <w:ind w:left="0" w:firstLine="0"/>
      </w:pPr>
      <w:bookmarkStart w:id="23" w:name="_Toc172794082"/>
      <w:r w:rsidRPr="005C5906">
        <w:t>Emissions in 2022</w:t>
      </w:r>
      <w:bookmarkEnd w:id="23"/>
    </w:p>
    <w:p w14:paraId="6585E974" w14:textId="77777777" w:rsidR="00B55611" w:rsidRPr="005C5906" w:rsidRDefault="00B55611" w:rsidP="00B55611">
      <w:pPr>
        <w:pStyle w:val="BodyText"/>
      </w:pPr>
      <w:r w:rsidRPr="005C5906">
        <w:t xml:space="preserve">In 2022, New Zealand’s gross emissions were </w:t>
      </w:r>
      <w:r w:rsidRPr="005C5906">
        <w:rPr>
          <w:rFonts w:eastAsia="Calibri"/>
        </w:rPr>
        <w:t xml:space="preserve">78,395.4 </w:t>
      </w:r>
      <w:r w:rsidRPr="005C5906">
        <w:t>kilotonnes of carbon dioxide equivalent (</w:t>
      </w:r>
      <w:r w:rsidRPr="005C5906">
        <w:rPr>
          <w:spacing w:val="-2"/>
        </w:rPr>
        <w:t>kt CO</w:t>
      </w:r>
      <w:r w:rsidRPr="005C5906">
        <w:rPr>
          <w:spacing w:val="-2"/>
          <w:vertAlign w:val="subscript"/>
        </w:rPr>
        <w:t>2</w:t>
      </w:r>
      <w:r w:rsidRPr="005C5906">
        <w:rPr>
          <w:spacing w:val="-2"/>
        </w:rPr>
        <w:t xml:space="preserve">e). </w:t>
      </w:r>
      <w:r w:rsidRPr="005C5906">
        <w:rPr>
          <w:rFonts w:eastAsia="Calibri"/>
        </w:rPr>
        <w:t xml:space="preserve">Gross emissions are total emissions from the Agriculture, Energy, IPPU and Waste sectors, as well as emissions from Tokelau. </w:t>
      </w:r>
    </w:p>
    <w:p w14:paraId="5D59EA0C" w14:textId="63F0C45B" w:rsidR="00B55611" w:rsidRPr="005C5906" w:rsidRDefault="00B55611" w:rsidP="00B55611">
      <w:pPr>
        <w:pStyle w:val="BodyText"/>
      </w:pPr>
      <w:r w:rsidRPr="005C5906">
        <w:t xml:space="preserve">New Zealand’s gross emissions by sector reflect the relative contribution of each sector to the national economy. The </w:t>
      </w:r>
      <w:r w:rsidR="009571FF">
        <w:t>Agriculture sector</w:t>
      </w:r>
      <w:r w:rsidRPr="005C5906">
        <w:t xml:space="preserve"> contributed 53.2 per cent of New Zealand’s gross emissions in 2022. The Energy sector contributed 36.6 per cent of the national gross emissions, while the IPPU sector contributed 5.7 per cent and the Waste sector 4.5 per cent (</w:t>
      </w:r>
      <w:r w:rsidR="00913C41">
        <w:t>figure 1.1</w:t>
      </w:r>
      <w:r w:rsidRPr="005C5906">
        <w:t>). Emissions from Tokelau contributed 0.006 per cent of the national gross emissions.</w:t>
      </w:r>
    </w:p>
    <w:p w14:paraId="5D74AD11" w14:textId="77777777" w:rsidR="00B55611" w:rsidRPr="005C5906" w:rsidRDefault="00B55611" w:rsidP="00B55611">
      <w:pPr>
        <w:pStyle w:val="BodyText"/>
      </w:pPr>
      <w:r w:rsidRPr="005C5906">
        <w:rPr>
          <w:spacing w:val="-2"/>
        </w:rPr>
        <w:t>The LULUCF sector currently represents a sink, with a net emissions value of –19,238.8 kt CO</w:t>
      </w:r>
      <w:r w:rsidRPr="005C5906">
        <w:rPr>
          <w:spacing w:val="-2"/>
          <w:vertAlign w:val="subscript"/>
        </w:rPr>
        <w:t>2</w:t>
      </w:r>
      <w:r w:rsidRPr="005C5906">
        <w:rPr>
          <w:spacing w:val="-2"/>
        </w:rPr>
        <w:t>e in 2022</w:t>
      </w:r>
      <w:r w:rsidRPr="005C5906">
        <w:t>. This net value offset 24.5 per cent of New Zealand’s gross emissions in 2022, bringing net emissions down to 59,156.6 kt CO</w:t>
      </w:r>
      <w:r w:rsidRPr="005C5906">
        <w:rPr>
          <w:vertAlign w:val="subscript"/>
        </w:rPr>
        <w:t>2</w:t>
      </w:r>
      <w:r w:rsidRPr="005C5906">
        <w:t xml:space="preserve">e. </w:t>
      </w:r>
    </w:p>
    <w:p w14:paraId="602055CB" w14:textId="553D6707" w:rsidR="00B55611" w:rsidRPr="005C5906" w:rsidRDefault="00B55611" w:rsidP="00201256">
      <w:pPr>
        <w:pStyle w:val="Figureheading"/>
        <w:rPr>
          <w:bCs/>
        </w:rPr>
      </w:pPr>
      <w:bookmarkStart w:id="24" w:name="_Ref179869904"/>
      <w:bookmarkStart w:id="25" w:name="_Toc185347231"/>
      <w:r w:rsidRPr="005C5906">
        <w:t>Figure 1.</w:t>
      </w:r>
      <w:r w:rsidR="00403B80">
        <w:fldChar w:fldCharType="begin"/>
      </w:r>
      <w:r w:rsidR="00403B80">
        <w:instrText xml:space="preserve"> SEQ Figure \* ARABIC </w:instrText>
      </w:r>
      <w:r w:rsidR="00403B80">
        <w:fldChar w:fldCharType="separate"/>
      </w:r>
      <w:r w:rsidR="005843E4">
        <w:rPr>
          <w:noProof/>
        </w:rPr>
        <w:t>1</w:t>
      </w:r>
      <w:r w:rsidR="00403B80">
        <w:rPr>
          <w:noProof/>
        </w:rPr>
        <w:fldChar w:fldCharType="end"/>
      </w:r>
      <w:bookmarkEnd w:id="24"/>
      <w:r w:rsidRPr="005C5906">
        <w:t>:</w:t>
      </w:r>
      <w:r w:rsidRPr="005C5906">
        <w:tab/>
        <w:t xml:space="preserve">New Zealand’s greenhouse gas emissions by sector, </w:t>
      </w:r>
      <w:r w:rsidRPr="005C5906">
        <w:rPr>
          <w:bCs/>
        </w:rPr>
        <w:t>2022</w:t>
      </w:r>
      <w:bookmarkEnd w:id="25"/>
    </w:p>
    <w:p w14:paraId="538826CF" w14:textId="77777777" w:rsidR="00B55611" w:rsidRPr="005C5906" w:rsidRDefault="00B55611" w:rsidP="00B55611">
      <w:pPr>
        <w:pStyle w:val="BodyText"/>
        <w:spacing w:before="80"/>
        <w:jc w:val="center"/>
      </w:pPr>
      <w:r w:rsidRPr="005C5906">
        <w:rPr>
          <w:noProof/>
        </w:rPr>
        <w:drawing>
          <wp:inline distT="0" distB="0" distL="0" distR="0" wp14:anchorId="6EC83EDB" wp14:editId="24236F6E">
            <wp:extent cx="5361978" cy="3742266"/>
            <wp:effectExtent l="0" t="0" r="0" b="0"/>
            <wp:docPr id="547789260" name="Picture 547789260" descr="An area graph showing New Zealand’s greenhouse gas emissions in kilotonnes of CO2 for 2022 by sectors: Land Use, Land-Use Change and Forestry; Agriculture; Energy; Industry Processes and Product Use; Waste and Tokel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789260" name="Picture 547789260" descr="An area graph showing New Zealand’s greenhouse gas emissions in kilotonnes of CO2 for 2022 by sectors: Land Use, Land-Use Change and Forestry; Agriculture; Energy; Industry Processes and Product Use; Waste and Tokelau."/>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2315"/>
                    <a:stretch/>
                  </pic:blipFill>
                  <pic:spPr bwMode="auto">
                    <a:xfrm>
                      <a:off x="0" y="0"/>
                      <a:ext cx="5376946" cy="3752713"/>
                    </a:xfrm>
                    <a:prstGeom prst="rect">
                      <a:avLst/>
                    </a:prstGeom>
                    <a:noFill/>
                    <a:ln>
                      <a:noFill/>
                    </a:ln>
                    <a:extLst>
                      <a:ext uri="{53640926-AAD7-44D8-BBD7-CCE9431645EC}">
                        <a14:shadowObscured xmlns:a14="http://schemas.microsoft.com/office/drawing/2010/main"/>
                      </a:ext>
                    </a:extLst>
                  </pic:spPr>
                </pic:pic>
              </a:graphicData>
            </a:graphic>
          </wp:inline>
        </w:drawing>
      </w:r>
    </w:p>
    <w:p w14:paraId="2945B9C7" w14:textId="7EF06137" w:rsidR="00B55611" w:rsidRPr="005C5906" w:rsidRDefault="00B55611" w:rsidP="00B55611">
      <w:pPr>
        <w:pStyle w:val="Noteundertable"/>
      </w:pPr>
      <w:r w:rsidRPr="005C5906">
        <w:rPr>
          <w:b/>
          <w:bCs/>
        </w:rPr>
        <w:t>Note:</w:t>
      </w:r>
      <w:r w:rsidRPr="005C5906">
        <w:t xml:space="preserve"> </w:t>
      </w:r>
      <w:r w:rsidRPr="005C5906">
        <w:tab/>
        <w:t>IPPU = Industrial Processes and Product Use; kt CO</w:t>
      </w:r>
      <w:r w:rsidRPr="005C5906">
        <w:rPr>
          <w:vertAlign w:val="subscript"/>
        </w:rPr>
        <w:t>2</w:t>
      </w:r>
      <w:r w:rsidRPr="005C5906">
        <w:t>equivalent = kilotonnes of carbon dioxide equivalent; LULUCF = Land Use, Land-Use Change and Forestry. The percentages may not add up to 100 per cent due to</w:t>
      </w:r>
      <w:r w:rsidR="00DE0738">
        <w:t> </w:t>
      </w:r>
      <w:r w:rsidRPr="005C5906">
        <w:t>rounding. The LULUCF sector, which is not a part of gross emissions, is included here as a negative value.</w:t>
      </w:r>
      <w:r w:rsidR="00DE0738">
        <w:t> </w:t>
      </w:r>
      <w:r w:rsidRPr="005C5906">
        <w:t>The Tokelau sector is not visible due to its small contribution (4.7 kt CO</w:t>
      </w:r>
      <w:r w:rsidRPr="005C5906">
        <w:rPr>
          <w:vertAlign w:val="subscript"/>
        </w:rPr>
        <w:t>2</w:t>
      </w:r>
      <w:r w:rsidRPr="005C5906">
        <w:t>e or 0.006 per cent of New</w:t>
      </w:r>
      <w:r w:rsidR="00DE0738">
        <w:t> </w:t>
      </w:r>
      <w:r w:rsidRPr="005C5906">
        <w:t>Zealand’s gross GHG emissions).</w:t>
      </w:r>
    </w:p>
    <w:p w14:paraId="72F4D451" w14:textId="77777777" w:rsidR="00B55611" w:rsidRPr="005C5906" w:rsidRDefault="00B55611" w:rsidP="00B55611">
      <w:pPr>
        <w:pStyle w:val="Source"/>
      </w:pPr>
      <w:r w:rsidRPr="00E845A7">
        <w:rPr>
          <w:bCs/>
        </w:rPr>
        <w:t>Source:</w:t>
      </w:r>
      <w:r w:rsidRPr="005C5906">
        <w:rPr>
          <w:b/>
        </w:rPr>
        <w:t xml:space="preserve"> </w:t>
      </w:r>
      <w:r w:rsidRPr="005C5906">
        <w:t xml:space="preserve">Ministry for the Environment. 2024. </w:t>
      </w:r>
      <w:r w:rsidRPr="005C5906">
        <w:rPr>
          <w:i/>
        </w:rPr>
        <w:t xml:space="preserve">New Zealand’s Greenhouse Gas Inventory 1990–2022. </w:t>
      </w:r>
      <w:r w:rsidRPr="005C5906">
        <w:t>Wellington: Ministry for the Environment.</w:t>
      </w:r>
    </w:p>
    <w:p w14:paraId="35821D24" w14:textId="06050D6F" w:rsidR="00B55611" w:rsidRPr="005C5906" w:rsidRDefault="00B55611" w:rsidP="00B55611">
      <w:pPr>
        <w:pStyle w:val="BodyText"/>
      </w:pPr>
      <w:r w:rsidRPr="005C5906">
        <w:t>Among the GHGs contributing to gross emissions in 2022, CH</w:t>
      </w:r>
      <w:r w:rsidRPr="005C5906">
        <w:rPr>
          <w:vertAlign w:val="subscript"/>
        </w:rPr>
        <w:t>4</w:t>
      </w:r>
      <w:r w:rsidRPr="005C5906">
        <w:t xml:space="preserve"> (48.9 per cent) and N</w:t>
      </w:r>
      <w:r w:rsidRPr="005C5906">
        <w:rPr>
          <w:vertAlign w:val="subscript"/>
        </w:rPr>
        <w:t>2</w:t>
      </w:r>
      <w:r w:rsidRPr="005C5906">
        <w:t>O (8.8 per cent) together made up over half of gross emissions, largely coming from agricultural sources (</w:t>
      </w:r>
      <w:r w:rsidR="00913C41">
        <w:t xml:space="preserve">figure </w:t>
      </w:r>
      <w:r w:rsidR="00532116">
        <w:t>1.2</w:t>
      </w:r>
      <w:r w:rsidRPr="005C5906">
        <w:t>). Most of the remaining emissions consisted of CO</w:t>
      </w:r>
      <w:r w:rsidRPr="005C5906">
        <w:rPr>
          <w:vertAlign w:val="subscript"/>
        </w:rPr>
        <w:t>2</w:t>
      </w:r>
      <w:r w:rsidRPr="005C5906">
        <w:t xml:space="preserve"> (40.3 per cent), largely coming from the Energy and IPPU sectors. Combined fluorinated gases, largely from the IPPU sector, made up 2.0 per cent of emissions. </w:t>
      </w:r>
    </w:p>
    <w:p w14:paraId="5BA4AF57" w14:textId="3C202831" w:rsidR="00B55611" w:rsidRPr="005C5906" w:rsidRDefault="00B55611" w:rsidP="00201256">
      <w:pPr>
        <w:pStyle w:val="Figureheading"/>
      </w:pPr>
      <w:bookmarkStart w:id="26" w:name="_Ref179869949"/>
      <w:bookmarkStart w:id="27" w:name="_Toc185347232"/>
      <w:r w:rsidRPr="005C5906">
        <w:t>Figure 1.</w:t>
      </w:r>
      <w:r w:rsidR="00403B80">
        <w:fldChar w:fldCharType="begin"/>
      </w:r>
      <w:r w:rsidR="00403B80">
        <w:instrText xml:space="preserve"> SEQ Figure \* ARABIC </w:instrText>
      </w:r>
      <w:r w:rsidR="00403B80">
        <w:fldChar w:fldCharType="separate"/>
      </w:r>
      <w:r w:rsidR="005843E4">
        <w:rPr>
          <w:noProof/>
        </w:rPr>
        <w:t>2</w:t>
      </w:r>
      <w:r w:rsidR="00403B80">
        <w:rPr>
          <w:noProof/>
        </w:rPr>
        <w:fldChar w:fldCharType="end"/>
      </w:r>
      <w:bookmarkEnd w:id="26"/>
      <w:r w:rsidRPr="005C5906">
        <w:t>:</w:t>
      </w:r>
      <w:r w:rsidRPr="005C5906">
        <w:tab/>
        <w:t>Percentage of New Zealand’s gross greenhouse gas emissions by sector, category and gas type, 2022</w:t>
      </w:r>
      <w:bookmarkEnd w:id="27"/>
    </w:p>
    <w:p w14:paraId="57E77E76" w14:textId="79CF566D" w:rsidR="00B55611" w:rsidRPr="005C5906" w:rsidRDefault="00B55611" w:rsidP="00B55611">
      <w:pPr>
        <w:pStyle w:val="BodyText"/>
        <w:spacing w:after="60"/>
        <w:rPr>
          <w:rFonts w:ascii="Times New Roman" w:hAnsi="Times New Roman" w:cs="Times New Roman"/>
        </w:rPr>
      </w:pPr>
      <w:r w:rsidRPr="005C5906">
        <w:rPr>
          <w:noProof/>
        </w:rPr>
        <w:drawing>
          <wp:inline distT="0" distB="0" distL="0" distR="0" wp14:anchorId="5ADF2511" wp14:editId="4F474AED">
            <wp:extent cx="5400438" cy="4325620"/>
            <wp:effectExtent l="0" t="0" r="0" b="0"/>
            <wp:docPr id="638151602" name="Picture 638151602" descr="A pie graph showing the percentage of New Zealand’s gross greenhouse gas emissions for 2022 by sector, category and gas types which are nitrous oxide, methane, carbon dioxide, fluorinated gases,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151602" name="Picture 638151602" descr="A pie graph showing the percentage of New Zealand’s gross greenhouse gas emissions for 2022 by sector, category and gas types which are nitrous oxide, methane, carbon dioxide, fluorinated gases, and other."/>
                    <pic:cNvPicPr>
                      <a:picLocks noChangeAspect="1" noChangeArrowheads="1"/>
                    </pic:cNvPicPr>
                  </pic:nvPicPr>
                  <pic:blipFill rotWithShape="1">
                    <a:blip r:embed="rId44">
                      <a:extLst>
                        <a:ext uri="{28A0092B-C50C-407E-A947-70E740481C1C}">
                          <a14:useLocalDpi xmlns:a14="http://schemas.microsoft.com/office/drawing/2010/main" val="0"/>
                        </a:ext>
                      </a:extLst>
                    </a:blip>
                    <a:srcRect t="2485" b="3475"/>
                    <a:stretch/>
                  </pic:blipFill>
                  <pic:spPr bwMode="auto">
                    <a:xfrm>
                      <a:off x="0" y="0"/>
                      <a:ext cx="5400675" cy="4325810"/>
                    </a:xfrm>
                    <a:prstGeom prst="rect">
                      <a:avLst/>
                    </a:prstGeom>
                    <a:noFill/>
                    <a:ln>
                      <a:noFill/>
                    </a:ln>
                    <a:extLst>
                      <a:ext uri="{53640926-AAD7-44D8-BBD7-CCE9431645EC}">
                        <a14:shadowObscured xmlns:a14="http://schemas.microsoft.com/office/drawing/2010/main"/>
                      </a:ext>
                    </a:extLst>
                  </pic:spPr>
                </pic:pic>
              </a:graphicData>
            </a:graphic>
          </wp:inline>
        </w:drawing>
      </w:r>
    </w:p>
    <w:p w14:paraId="66EB573F" w14:textId="77777777" w:rsidR="00B55611" w:rsidRPr="005C5906" w:rsidRDefault="00B55611" w:rsidP="00B55611">
      <w:pPr>
        <w:pStyle w:val="Source"/>
      </w:pPr>
      <w:r w:rsidRPr="00E845A7">
        <w:rPr>
          <w:bCs/>
        </w:rPr>
        <w:t>Source:</w:t>
      </w:r>
      <w:r w:rsidRPr="005C5906">
        <w:rPr>
          <w:b/>
        </w:rPr>
        <w:t xml:space="preserve"> </w:t>
      </w:r>
      <w:r w:rsidRPr="005C5906">
        <w:t xml:space="preserve">Ministry for the Environment. 2024. </w:t>
      </w:r>
      <w:r w:rsidRPr="005C5906">
        <w:rPr>
          <w:i/>
        </w:rPr>
        <w:t xml:space="preserve">New Zealand’s Greenhouse Gas Inventory 1990–2022: Snapshot. </w:t>
      </w:r>
      <w:r w:rsidRPr="005C5906">
        <w:t>Wellington: Ministry for the Environment.</w:t>
      </w:r>
    </w:p>
    <w:p w14:paraId="6D7EF8AE" w14:textId="77777777" w:rsidR="00B55611" w:rsidRPr="005C5906" w:rsidRDefault="00B55611" w:rsidP="0044676F">
      <w:pPr>
        <w:pStyle w:val="Heading3"/>
        <w:numPr>
          <w:ilvl w:val="0"/>
          <w:numId w:val="17"/>
        </w:numPr>
        <w:ind w:left="1134" w:hanging="1134"/>
      </w:pPr>
      <w:bookmarkStart w:id="28" w:name="_Toc172794083"/>
      <w:r w:rsidRPr="005C5906">
        <w:t>Trends in gross and net emissions between 1990 and 2022</w:t>
      </w:r>
      <w:bookmarkEnd w:id="28"/>
    </w:p>
    <w:p w14:paraId="3B172186" w14:textId="77777777" w:rsidR="00B55611" w:rsidRPr="005C5906" w:rsidRDefault="00B55611" w:rsidP="00784F5F">
      <w:pPr>
        <w:pStyle w:val="Heading4"/>
        <w:numPr>
          <w:ilvl w:val="0"/>
          <w:numId w:val="106"/>
        </w:numPr>
      </w:pPr>
      <w:bookmarkStart w:id="29" w:name="_Toc172794084"/>
      <w:r w:rsidRPr="005C5906">
        <w:t>Gross emissions</w:t>
      </w:r>
      <w:bookmarkEnd w:id="29"/>
    </w:p>
    <w:p w14:paraId="016DE454" w14:textId="4A8995E7" w:rsidR="00B55611" w:rsidRPr="005C5906" w:rsidRDefault="00B55611" w:rsidP="00B55611">
      <w:pPr>
        <w:pStyle w:val="BodyText"/>
      </w:pPr>
      <w:r w:rsidRPr="005C5906">
        <w:t>In 1990, New Zealand’s gross GHG emissions were 68,958.2 kt CO</w:t>
      </w:r>
      <w:r w:rsidRPr="005C5906">
        <w:rPr>
          <w:vertAlign w:val="subscript"/>
        </w:rPr>
        <w:t>2</w:t>
      </w:r>
      <w:r w:rsidRPr="005C5906">
        <w:t xml:space="preserve">e. Between 1990 and 2022, New Zealand’s gross greenhouse gas emissions increased by 13.7 per cent. The average annual growth in emissions was 0.6 per cent. </w:t>
      </w:r>
      <w:r w:rsidR="00B3325F" w:rsidRPr="005C5906">
        <w:t>Table 1.</w:t>
      </w:r>
      <w:r w:rsidR="00B3325F">
        <w:rPr>
          <w:noProof/>
        </w:rPr>
        <w:t>1</w:t>
      </w:r>
      <w:r w:rsidRPr="005C5906">
        <w:t xml:space="preserve"> shows the emissions by sector across the time series 1990–2022.</w:t>
      </w:r>
    </w:p>
    <w:p w14:paraId="6FDD2B67" w14:textId="77777777" w:rsidR="00B55611" w:rsidRPr="005C5906" w:rsidRDefault="00B55611" w:rsidP="00B55611">
      <w:pPr>
        <w:pStyle w:val="BodyText"/>
      </w:pPr>
      <w:r w:rsidRPr="005C5906">
        <w:t>The five emission sources that contributed most to the increase since 1990 were:</w:t>
      </w:r>
    </w:p>
    <w:p w14:paraId="12D6F3CD" w14:textId="77777777" w:rsidR="00B55611" w:rsidRPr="005C5906" w:rsidRDefault="00B55611" w:rsidP="00B55611">
      <w:pPr>
        <w:pStyle w:val="Bullet"/>
      </w:pPr>
      <w:r w:rsidRPr="005C5906">
        <w:t>enteric fermentation from dairy cattle, largely due to an increase in the dairy cattle population (CH</w:t>
      </w:r>
      <w:r w:rsidRPr="005C5906">
        <w:rPr>
          <w:vertAlign w:val="subscript"/>
        </w:rPr>
        <w:t>4</w:t>
      </w:r>
      <w:r w:rsidRPr="005C5906">
        <w:t>) (an increase of 9,018.2 kt CO</w:t>
      </w:r>
      <w:r w:rsidRPr="005C5906">
        <w:rPr>
          <w:vertAlign w:val="subscript"/>
        </w:rPr>
        <w:t>2</w:t>
      </w:r>
      <w:r w:rsidRPr="005C5906">
        <w:t>e)</w:t>
      </w:r>
    </w:p>
    <w:p w14:paraId="5B53B558" w14:textId="77777777" w:rsidR="00B55611" w:rsidRPr="005C5906" w:rsidRDefault="00B55611" w:rsidP="00B55611">
      <w:pPr>
        <w:pStyle w:val="Bullet"/>
      </w:pPr>
      <w:r w:rsidRPr="005C5906">
        <w:t>road transportation, due to traffic growth (CO</w:t>
      </w:r>
      <w:r w:rsidRPr="005C5906">
        <w:rPr>
          <w:vertAlign w:val="subscript"/>
        </w:rPr>
        <w:t>2</w:t>
      </w:r>
      <w:r w:rsidRPr="005C5906">
        <w:t>) (an increase of 5,694.1 kt CO</w:t>
      </w:r>
      <w:r w:rsidRPr="005C5906">
        <w:rPr>
          <w:vertAlign w:val="subscript"/>
        </w:rPr>
        <w:t>2</w:t>
      </w:r>
      <w:r w:rsidRPr="005C5906">
        <w:t>e)</w:t>
      </w:r>
    </w:p>
    <w:p w14:paraId="3560E1D0" w14:textId="77777777" w:rsidR="00B55611" w:rsidRPr="005C5906" w:rsidRDefault="00B55611" w:rsidP="00B55611">
      <w:pPr>
        <w:pStyle w:val="Bullet"/>
      </w:pPr>
      <w:r w:rsidRPr="005C5906">
        <w:t>agricultural soils, due to increased fertiliser use (N</w:t>
      </w:r>
      <w:r w:rsidRPr="005C5906">
        <w:rPr>
          <w:vertAlign w:val="subscript"/>
        </w:rPr>
        <w:t>2</w:t>
      </w:r>
      <w:r w:rsidRPr="005C5906">
        <w:t>O) (an increase of 1,653.5 kt CO</w:t>
      </w:r>
      <w:r w:rsidRPr="005C5906">
        <w:rPr>
          <w:vertAlign w:val="subscript"/>
        </w:rPr>
        <w:t>2</w:t>
      </w:r>
      <w:r w:rsidRPr="005C5906">
        <w:t>e)</w:t>
      </w:r>
    </w:p>
    <w:p w14:paraId="60C3B12B" w14:textId="4D710321" w:rsidR="00B55611" w:rsidRPr="005C5906" w:rsidRDefault="00B55611" w:rsidP="00B55611">
      <w:pPr>
        <w:pStyle w:val="Bullet"/>
      </w:pPr>
      <w:r w:rsidRPr="005C5906">
        <w:t>increasing use of fluorinated alternatives mainly in refrigeration and air-conditioning systems that replaced ozone</w:t>
      </w:r>
      <w:r w:rsidR="00B818E1">
        <w:t>-</w:t>
      </w:r>
      <w:r w:rsidRPr="005C5906">
        <w:t>depleting substances (HFCs) (an increase of 1,498.3 kt CO</w:t>
      </w:r>
      <w:r w:rsidRPr="005C5906">
        <w:rPr>
          <w:vertAlign w:val="subscript"/>
        </w:rPr>
        <w:t>2</w:t>
      </w:r>
      <w:r w:rsidRPr="005C5906">
        <w:t xml:space="preserve">e) </w:t>
      </w:r>
    </w:p>
    <w:p w14:paraId="4E7098D6" w14:textId="77777777" w:rsidR="00B55611" w:rsidRPr="005C5906" w:rsidRDefault="00B55611" w:rsidP="00B55611">
      <w:pPr>
        <w:pStyle w:val="Bullet"/>
      </w:pPr>
      <w:r w:rsidRPr="005C5906">
        <w:t>fuel use in manufacturing and construction, because greater economic activity led to increased production (CO</w:t>
      </w:r>
      <w:r w:rsidRPr="005C5906">
        <w:rPr>
          <w:vertAlign w:val="subscript"/>
        </w:rPr>
        <w:t>2</w:t>
      </w:r>
      <w:r w:rsidRPr="005C5906">
        <w:t>) (an increase of 1,342.4 kt CO</w:t>
      </w:r>
      <w:r w:rsidRPr="005C5906">
        <w:rPr>
          <w:vertAlign w:val="subscript"/>
        </w:rPr>
        <w:t>2</w:t>
      </w:r>
      <w:r w:rsidRPr="005C5906">
        <w:t>e).</w:t>
      </w:r>
      <w:bookmarkStart w:id="30" w:name="_Toc164153983"/>
    </w:p>
    <w:p w14:paraId="50A417E4" w14:textId="7164F5BA" w:rsidR="00B55611" w:rsidRPr="005C5906" w:rsidRDefault="00B55611" w:rsidP="00B55611">
      <w:pPr>
        <w:pStyle w:val="BodyText"/>
      </w:pPr>
      <w:r w:rsidRPr="005C5906">
        <w:t>Between 1990 and 2022, emissions from all GHGs have increased: CO</w:t>
      </w:r>
      <w:r w:rsidRPr="005C5906">
        <w:rPr>
          <w:vertAlign w:val="subscript"/>
        </w:rPr>
        <w:t>2</w:t>
      </w:r>
      <w:r w:rsidRPr="005C5906">
        <w:t xml:space="preserve"> (24.0 per cent), CH</w:t>
      </w:r>
      <w:r w:rsidRPr="005C5906">
        <w:rPr>
          <w:vertAlign w:val="subscript"/>
        </w:rPr>
        <w:t>4</w:t>
      </w:r>
      <w:r w:rsidRPr="005C5906">
        <w:t xml:space="preserve"> (2.2 per cent), N</w:t>
      </w:r>
      <w:r w:rsidRPr="005C5906">
        <w:rPr>
          <w:vertAlign w:val="subscript"/>
        </w:rPr>
        <w:t>2</w:t>
      </w:r>
      <w:r w:rsidRPr="005C5906">
        <w:t>O (34.8 per cent) and combined fluorinated gases (87.1 per cent) (</w:t>
      </w:r>
      <w:hyperlink w:anchor="table12" w:history="1">
        <w:r w:rsidRPr="00B818E1">
          <w:rPr>
            <w:rStyle w:val="Hyperlink"/>
          </w:rPr>
          <w:t>t</w:t>
        </w:r>
        <w:r w:rsidR="00A3425E" w:rsidRPr="00B818E1">
          <w:rPr>
            <w:rStyle w:val="Hyperlink"/>
          </w:rPr>
          <w:t>able 1.2</w:t>
        </w:r>
      </w:hyperlink>
      <w:r w:rsidRPr="005C5906">
        <w:t>). For CO</w:t>
      </w:r>
      <w:r w:rsidRPr="005C5906">
        <w:rPr>
          <w:vertAlign w:val="subscript"/>
        </w:rPr>
        <w:t>2</w:t>
      </w:r>
      <w:r w:rsidRPr="005C5906">
        <w:t>, the greatest increase occurred between 1990 and 2008; the following period was relatively stable and since then, from 2019, emissions of CO</w:t>
      </w:r>
      <w:r w:rsidRPr="005C5906">
        <w:rPr>
          <w:vertAlign w:val="subscript"/>
        </w:rPr>
        <w:t>2</w:t>
      </w:r>
      <w:r w:rsidRPr="005C5906">
        <w:t xml:space="preserve"> have been largely tracking downwards. For CH</w:t>
      </w:r>
      <w:r w:rsidRPr="005C5906">
        <w:rPr>
          <w:vertAlign w:val="subscript"/>
        </w:rPr>
        <w:t>4</w:t>
      </w:r>
      <w:r w:rsidRPr="005C5906">
        <w:t>, emissions increased between 1990 and 2006, and since then have been declining slightly.</w:t>
      </w:r>
    </w:p>
    <w:p w14:paraId="423570FA" w14:textId="48DF35EB" w:rsidR="00B55611" w:rsidRPr="005C5906" w:rsidRDefault="00B55611" w:rsidP="00B55611">
      <w:pPr>
        <w:pStyle w:val="BodyText"/>
      </w:pPr>
      <w:r w:rsidRPr="005C5906">
        <w:t>New Zealand’s gross emissions peaked in 2006 and were relatively stable through to 2019 (</w:t>
      </w:r>
      <w:hyperlink w:anchor="figure13" w:history="1">
        <w:r w:rsidRPr="005C5906">
          <w:rPr>
            <w:rStyle w:val="Hyperlink"/>
          </w:rPr>
          <w:t>fig</w:t>
        </w:r>
        <w:bookmarkStart w:id="31" w:name="_Hlt184382959"/>
        <w:r w:rsidRPr="005C5906">
          <w:rPr>
            <w:rStyle w:val="Hyperlink"/>
          </w:rPr>
          <w:t>u</w:t>
        </w:r>
        <w:bookmarkEnd w:id="31"/>
        <w:r w:rsidRPr="005C5906">
          <w:rPr>
            <w:rStyle w:val="Hyperlink"/>
          </w:rPr>
          <w:t>re 1.3</w:t>
        </w:r>
      </w:hyperlink>
      <w:r w:rsidRPr="005C5906">
        <w:t xml:space="preserve">). However, since 2019, emissions have successively declined year on year. </w:t>
      </w:r>
      <w:r w:rsidR="00DD50E0" w:rsidRPr="005C5906">
        <w:t>Between 2006 and 2022, emissions have decreased by 8.4 per cent.</w:t>
      </w:r>
    </w:p>
    <w:p w14:paraId="173BF6EC" w14:textId="2E69024B" w:rsidR="00B55611" w:rsidRPr="005C5906" w:rsidRDefault="00B55611" w:rsidP="00B55611">
      <w:pPr>
        <w:pStyle w:val="Tableheading"/>
      </w:pPr>
      <w:bookmarkStart w:id="32" w:name="_Ref179870842"/>
      <w:bookmarkStart w:id="33" w:name="_Toc185407456"/>
      <w:bookmarkStart w:id="34" w:name="_Toc185427719"/>
      <w:r w:rsidRPr="005C5906">
        <w:t>Table 1.</w:t>
      </w:r>
      <w:r w:rsidR="00403B80">
        <w:fldChar w:fldCharType="begin"/>
      </w:r>
      <w:r w:rsidR="00403B80">
        <w:instrText xml:space="preserve"> SEQ Table \* ARABIC </w:instrText>
      </w:r>
      <w:r w:rsidR="00403B80">
        <w:fldChar w:fldCharType="separate"/>
      </w:r>
      <w:r w:rsidR="005843E4">
        <w:rPr>
          <w:noProof/>
        </w:rPr>
        <w:t>1</w:t>
      </w:r>
      <w:r w:rsidR="00403B80">
        <w:rPr>
          <w:noProof/>
        </w:rPr>
        <w:fldChar w:fldCharType="end"/>
      </w:r>
      <w:bookmarkEnd w:id="32"/>
      <w:r w:rsidRPr="005C5906">
        <w:t xml:space="preserve">: </w:t>
      </w:r>
      <w:r w:rsidRPr="005C5906">
        <w:tab/>
        <w:t>New Zealand’s emissions by sector, 1990 and 2022</w:t>
      </w:r>
      <w:bookmarkEnd w:id="33"/>
      <w:bookmarkEnd w:id="34"/>
    </w:p>
    <w:tbl>
      <w:tblPr>
        <w:tblW w:w="8505"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1222"/>
        <w:gridCol w:w="1116"/>
        <w:gridCol w:w="1116"/>
        <w:gridCol w:w="2791"/>
        <w:gridCol w:w="2260"/>
      </w:tblGrid>
      <w:tr w:rsidR="00B55611" w:rsidRPr="005C5906" w14:paraId="37CDE49D" w14:textId="77777777">
        <w:trPr>
          <w:tblHeader/>
        </w:trPr>
        <w:tc>
          <w:tcPr>
            <w:tcW w:w="0" w:type="auto"/>
            <w:shd w:val="clear" w:color="auto" w:fill="1B556B"/>
            <w:tcMar>
              <w:top w:w="0" w:type="dxa"/>
              <w:left w:w="85" w:type="dxa"/>
              <w:bottom w:w="0" w:type="dxa"/>
              <w:right w:w="85" w:type="dxa"/>
            </w:tcMar>
          </w:tcPr>
          <w:p w14:paraId="727C75E0" w14:textId="77777777" w:rsidR="00B55611" w:rsidRPr="005C5906" w:rsidRDefault="00B55611" w:rsidP="004248D4">
            <w:pPr>
              <w:pStyle w:val="TableTextBold0"/>
              <w:spacing w:before="50" w:after="50"/>
              <w:rPr>
                <w:color w:val="FFFFFF" w:themeColor="background1"/>
                <w:szCs w:val="16"/>
              </w:rPr>
            </w:pPr>
            <w:r w:rsidRPr="005C5906">
              <w:rPr>
                <w:rFonts w:eastAsia="Calibri"/>
                <w:color w:val="FFFFFF" w:themeColor="background1"/>
                <w:szCs w:val="16"/>
              </w:rPr>
              <w:t>Sector</w:t>
            </w:r>
          </w:p>
        </w:tc>
        <w:tc>
          <w:tcPr>
            <w:tcW w:w="0" w:type="auto"/>
            <w:shd w:val="clear" w:color="auto" w:fill="1B556B"/>
            <w:tcMar>
              <w:top w:w="0" w:type="dxa"/>
              <w:left w:w="85" w:type="dxa"/>
              <w:bottom w:w="0" w:type="dxa"/>
              <w:right w:w="85" w:type="dxa"/>
            </w:tcMar>
          </w:tcPr>
          <w:p w14:paraId="2BC310C8" w14:textId="77777777" w:rsidR="00B55611" w:rsidRPr="005C5906" w:rsidRDefault="00B55611" w:rsidP="004248D4">
            <w:pPr>
              <w:pStyle w:val="TableTextBold0"/>
              <w:spacing w:before="50" w:after="50"/>
              <w:jc w:val="right"/>
              <w:rPr>
                <w:color w:val="FFFFFF" w:themeColor="background1"/>
                <w:szCs w:val="16"/>
              </w:rPr>
            </w:pPr>
            <w:r w:rsidRPr="005C5906">
              <w:rPr>
                <w:rFonts w:eastAsia="Calibri"/>
                <w:color w:val="FFFFFF" w:themeColor="background1"/>
                <w:szCs w:val="16"/>
              </w:rPr>
              <w:t>1990</w:t>
            </w:r>
          </w:p>
        </w:tc>
        <w:tc>
          <w:tcPr>
            <w:tcW w:w="0" w:type="auto"/>
            <w:shd w:val="clear" w:color="auto" w:fill="1B556B"/>
            <w:tcMar>
              <w:top w:w="0" w:type="dxa"/>
              <w:left w:w="85" w:type="dxa"/>
              <w:bottom w:w="0" w:type="dxa"/>
              <w:right w:w="85" w:type="dxa"/>
            </w:tcMar>
          </w:tcPr>
          <w:p w14:paraId="75678C9D" w14:textId="77777777" w:rsidR="00B55611" w:rsidRPr="005C5906" w:rsidRDefault="00B55611" w:rsidP="004248D4">
            <w:pPr>
              <w:pStyle w:val="TableTextBold0"/>
              <w:spacing w:before="50" w:after="50"/>
              <w:jc w:val="right"/>
              <w:rPr>
                <w:color w:val="FFFFFF" w:themeColor="background1"/>
                <w:szCs w:val="16"/>
              </w:rPr>
            </w:pPr>
            <w:r w:rsidRPr="005C5906">
              <w:rPr>
                <w:rFonts w:eastAsia="Calibri"/>
                <w:color w:val="FFFFFF" w:themeColor="background1"/>
                <w:szCs w:val="16"/>
              </w:rPr>
              <w:t>2022</w:t>
            </w:r>
          </w:p>
        </w:tc>
        <w:tc>
          <w:tcPr>
            <w:tcW w:w="0" w:type="auto"/>
            <w:shd w:val="clear" w:color="auto" w:fill="1B556B"/>
            <w:tcMar>
              <w:top w:w="0" w:type="dxa"/>
              <w:left w:w="85" w:type="dxa"/>
              <w:bottom w:w="0" w:type="dxa"/>
              <w:right w:w="85" w:type="dxa"/>
            </w:tcMar>
          </w:tcPr>
          <w:p w14:paraId="208A5993" w14:textId="77777777" w:rsidR="00B55611" w:rsidRPr="005C5906" w:rsidRDefault="00B55611" w:rsidP="004248D4">
            <w:pPr>
              <w:pStyle w:val="TableTextBold0"/>
              <w:spacing w:before="50" w:after="50"/>
              <w:jc w:val="right"/>
              <w:rPr>
                <w:color w:val="FFFFFF" w:themeColor="background1"/>
                <w:szCs w:val="16"/>
              </w:rPr>
            </w:pPr>
            <w:r w:rsidRPr="005C5906">
              <w:rPr>
                <w:rFonts w:eastAsia="Calibri"/>
                <w:color w:val="FFFFFF" w:themeColor="background1"/>
                <w:szCs w:val="16"/>
              </w:rPr>
              <w:t>Change from 1990 (kt CO</w:t>
            </w:r>
            <w:r w:rsidRPr="005C5906">
              <w:rPr>
                <w:rFonts w:eastAsia="Calibri"/>
                <w:color w:val="FFFFFF" w:themeColor="background1"/>
                <w:szCs w:val="16"/>
                <w:vertAlign w:val="subscript"/>
              </w:rPr>
              <w:t>2</w:t>
            </w:r>
            <w:r w:rsidRPr="005C5906">
              <w:rPr>
                <w:rFonts w:eastAsia="Calibri"/>
                <w:color w:val="FFFFFF" w:themeColor="background1"/>
                <w:szCs w:val="16"/>
              </w:rPr>
              <w:t>e)</w:t>
            </w:r>
          </w:p>
        </w:tc>
        <w:tc>
          <w:tcPr>
            <w:tcW w:w="0" w:type="auto"/>
            <w:shd w:val="clear" w:color="auto" w:fill="1B556B"/>
            <w:tcMar>
              <w:top w:w="0" w:type="dxa"/>
              <w:left w:w="85" w:type="dxa"/>
              <w:bottom w:w="0" w:type="dxa"/>
              <w:right w:w="85" w:type="dxa"/>
            </w:tcMar>
          </w:tcPr>
          <w:p w14:paraId="769B1DA9" w14:textId="77777777" w:rsidR="00B55611" w:rsidRPr="005C5906" w:rsidRDefault="00B55611" w:rsidP="004248D4">
            <w:pPr>
              <w:pStyle w:val="TableTextBold0"/>
              <w:spacing w:before="50" w:after="50"/>
              <w:jc w:val="right"/>
              <w:rPr>
                <w:color w:val="FFFFFF" w:themeColor="background1"/>
                <w:szCs w:val="16"/>
              </w:rPr>
            </w:pPr>
            <w:r w:rsidRPr="005C5906">
              <w:rPr>
                <w:rFonts w:eastAsia="Calibri"/>
                <w:color w:val="FFFFFF" w:themeColor="background1"/>
                <w:szCs w:val="16"/>
              </w:rPr>
              <w:t>Change from 1990 (%)</w:t>
            </w:r>
          </w:p>
        </w:tc>
      </w:tr>
      <w:tr w:rsidR="00B55611" w:rsidRPr="005C5906" w14:paraId="72BE19AC" w14:textId="77777777">
        <w:tc>
          <w:tcPr>
            <w:tcW w:w="0" w:type="auto"/>
            <w:shd w:val="clear" w:color="auto" w:fill="FFFFFF"/>
            <w:tcMar>
              <w:top w:w="0" w:type="dxa"/>
              <w:left w:w="85" w:type="dxa"/>
              <w:bottom w:w="0" w:type="dxa"/>
              <w:right w:w="85" w:type="dxa"/>
            </w:tcMar>
          </w:tcPr>
          <w:p w14:paraId="70C83D90" w14:textId="77777777" w:rsidR="00B55611" w:rsidRPr="005C5906" w:rsidRDefault="00B55611" w:rsidP="004248D4">
            <w:pPr>
              <w:pStyle w:val="TableText"/>
              <w:spacing w:before="50" w:after="50"/>
              <w:rPr>
                <w:rFonts w:cs="Calibri"/>
                <w:szCs w:val="16"/>
              </w:rPr>
            </w:pPr>
            <w:r w:rsidRPr="005C5906">
              <w:rPr>
                <w:rFonts w:eastAsia="Calibri" w:cs="Calibri"/>
                <w:szCs w:val="16"/>
              </w:rPr>
              <w:t>Energy</w:t>
            </w:r>
          </w:p>
        </w:tc>
        <w:tc>
          <w:tcPr>
            <w:tcW w:w="0" w:type="auto"/>
            <w:shd w:val="clear" w:color="auto" w:fill="FFFFFF"/>
            <w:tcMar>
              <w:top w:w="0" w:type="dxa"/>
              <w:left w:w="85" w:type="dxa"/>
              <w:bottom w:w="0" w:type="dxa"/>
              <w:right w:w="85" w:type="dxa"/>
            </w:tcMar>
          </w:tcPr>
          <w:p w14:paraId="4CEEB80B"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23,998.3</w:t>
            </w:r>
          </w:p>
        </w:tc>
        <w:tc>
          <w:tcPr>
            <w:tcW w:w="0" w:type="auto"/>
            <w:shd w:val="clear" w:color="auto" w:fill="FFFFFF"/>
            <w:tcMar>
              <w:top w:w="0" w:type="dxa"/>
              <w:left w:w="85" w:type="dxa"/>
              <w:bottom w:w="0" w:type="dxa"/>
              <w:right w:w="85" w:type="dxa"/>
            </w:tcMar>
          </w:tcPr>
          <w:p w14:paraId="7D176C36"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28,716.1</w:t>
            </w:r>
          </w:p>
        </w:tc>
        <w:tc>
          <w:tcPr>
            <w:tcW w:w="0" w:type="auto"/>
            <w:shd w:val="clear" w:color="auto" w:fill="FFFFFF"/>
            <w:tcMar>
              <w:top w:w="0" w:type="dxa"/>
              <w:left w:w="85" w:type="dxa"/>
              <w:bottom w:w="0" w:type="dxa"/>
              <w:right w:w="85" w:type="dxa"/>
            </w:tcMar>
          </w:tcPr>
          <w:p w14:paraId="069F5B3E"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4,717.8</w:t>
            </w:r>
          </w:p>
        </w:tc>
        <w:tc>
          <w:tcPr>
            <w:tcW w:w="0" w:type="auto"/>
            <w:shd w:val="clear" w:color="auto" w:fill="FFFFFF"/>
            <w:tcMar>
              <w:top w:w="0" w:type="dxa"/>
              <w:left w:w="85" w:type="dxa"/>
              <w:bottom w:w="0" w:type="dxa"/>
              <w:right w:w="85" w:type="dxa"/>
            </w:tcMar>
          </w:tcPr>
          <w:p w14:paraId="2A7C044F"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19.7</w:t>
            </w:r>
          </w:p>
        </w:tc>
      </w:tr>
      <w:tr w:rsidR="00B55611" w:rsidRPr="005C5906" w14:paraId="6017B720" w14:textId="77777777">
        <w:tc>
          <w:tcPr>
            <w:tcW w:w="0" w:type="auto"/>
            <w:shd w:val="clear" w:color="auto" w:fill="FFFFFF"/>
            <w:tcMar>
              <w:top w:w="0" w:type="dxa"/>
              <w:left w:w="85" w:type="dxa"/>
              <w:bottom w:w="0" w:type="dxa"/>
              <w:right w:w="85" w:type="dxa"/>
            </w:tcMar>
          </w:tcPr>
          <w:p w14:paraId="01EBC690" w14:textId="77777777" w:rsidR="00B55611" w:rsidRPr="005C5906" w:rsidRDefault="00B55611" w:rsidP="004248D4">
            <w:pPr>
              <w:pStyle w:val="TableText"/>
              <w:spacing w:before="50" w:after="50"/>
              <w:rPr>
                <w:rFonts w:cs="Calibri"/>
                <w:szCs w:val="16"/>
              </w:rPr>
            </w:pPr>
            <w:r w:rsidRPr="005C5906">
              <w:rPr>
                <w:rFonts w:eastAsia="Calibri" w:cs="Calibri"/>
                <w:szCs w:val="16"/>
              </w:rPr>
              <w:t>IPPU</w:t>
            </w:r>
          </w:p>
        </w:tc>
        <w:tc>
          <w:tcPr>
            <w:tcW w:w="0" w:type="auto"/>
            <w:shd w:val="clear" w:color="auto" w:fill="FFFFFF"/>
            <w:tcMar>
              <w:top w:w="0" w:type="dxa"/>
              <w:left w:w="85" w:type="dxa"/>
              <w:bottom w:w="0" w:type="dxa"/>
              <w:right w:w="85" w:type="dxa"/>
            </w:tcMar>
          </w:tcPr>
          <w:p w14:paraId="4D2D2527"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3,478.2</w:t>
            </w:r>
          </w:p>
        </w:tc>
        <w:tc>
          <w:tcPr>
            <w:tcW w:w="0" w:type="auto"/>
            <w:shd w:val="clear" w:color="auto" w:fill="FFFFFF"/>
            <w:tcMar>
              <w:top w:w="0" w:type="dxa"/>
              <w:left w:w="85" w:type="dxa"/>
              <w:bottom w:w="0" w:type="dxa"/>
              <w:right w:w="85" w:type="dxa"/>
            </w:tcMar>
          </w:tcPr>
          <w:p w14:paraId="57F734C4"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4,469.2</w:t>
            </w:r>
          </w:p>
        </w:tc>
        <w:tc>
          <w:tcPr>
            <w:tcW w:w="0" w:type="auto"/>
            <w:shd w:val="clear" w:color="auto" w:fill="FFFFFF"/>
            <w:tcMar>
              <w:top w:w="0" w:type="dxa"/>
              <w:left w:w="85" w:type="dxa"/>
              <w:bottom w:w="0" w:type="dxa"/>
              <w:right w:w="85" w:type="dxa"/>
            </w:tcMar>
          </w:tcPr>
          <w:p w14:paraId="41B02DC0"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990.9</w:t>
            </w:r>
          </w:p>
        </w:tc>
        <w:tc>
          <w:tcPr>
            <w:tcW w:w="0" w:type="auto"/>
            <w:shd w:val="clear" w:color="auto" w:fill="FFFFFF"/>
            <w:tcMar>
              <w:top w:w="0" w:type="dxa"/>
              <w:left w:w="85" w:type="dxa"/>
              <w:bottom w:w="0" w:type="dxa"/>
              <w:right w:w="85" w:type="dxa"/>
            </w:tcMar>
          </w:tcPr>
          <w:p w14:paraId="1ED803D5"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28.5</w:t>
            </w:r>
          </w:p>
        </w:tc>
      </w:tr>
      <w:tr w:rsidR="00B55611" w:rsidRPr="005C5906" w14:paraId="7D0D7D41" w14:textId="77777777">
        <w:tc>
          <w:tcPr>
            <w:tcW w:w="0" w:type="auto"/>
            <w:shd w:val="clear" w:color="auto" w:fill="FFFFFF"/>
            <w:tcMar>
              <w:top w:w="0" w:type="dxa"/>
              <w:left w:w="85" w:type="dxa"/>
              <w:bottom w:w="0" w:type="dxa"/>
              <w:right w:w="85" w:type="dxa"/>
            </w:tcMar>
          </w:tcPr>
          <w:p w14:paraId="08D94209" w14:textId="77777777" w:rsidR="00B55611" w:rsidRPr="005C5906" w:rsidRDefault="00B55611" w:rsidP="004248D4">
            <w:pPr>
              <w:pStyle w:val="TableText"/>
              <w:spacing w:before="50" w:after="50"/>
              <w:rPr>
                <w:rFonts w:cs="Calibri"/>
                <w:szCs w:val="16"/>
              </w:rPr>
            </w:pPr>
            <w:r w:rsidRPr="005C5906">
              <w:rPr>
                <w:rFonts w:eastAsia="Calibri" w:cs="Calibri"/>
                <w:szCs w:val="16"/>
              </w:rPr>
              <w:t>Agriculture</w:t>
            </w:r>
          </w:p>
        </w:tc>
        <w:tc>
          <w:tcPr>
            <w:tcW w:w="0" w:type="auto"/>
            <w:shd w:val="clear" w:color="auto" w:fill="FFFFFF"/>
            <w:tcMar>
              <w:top w:w="0" w:type="dxa"/>
              <w:left w:w="85" w:type="dxa"/>
              <w:bottom w:w="0" w:type="dxa"/>
              <w:right w:w="85" w:type="dxa"/>
            </w:tcMar>
          </w:tcPr>
          <w:p w14:paraId="11C70CF8"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37,121.5</w:t>
            </w:r>
          </w:p>
        </w:tc>
        <w:tc>
          <w:tcPr>
            <w:tcW w:w="0" w:type="auto"/>
            <w:shd w:val="clear" w:color="auto" w:fill="FFFFFF"/>
            <w:tcMar>
              <w:top w:w="0" w:type="dxa"/>
              <w:left w:w="85" w:type="dxa"/>
              <w:bottom w:w="0" w:type="dxa"/>
              <w:right w:w="85" w:type="dxa"/>
            </w:tcMar>
          </w:tcPr>
          <w:p w14:paraId="1C493454"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41,712.7</w:t>
            </w:r>
          </w:p>
        </w:tc>
        <w:tc>
          <w:tcPr>
            <w:tcW w:w="0" w:type="auto"/>
            <w:shd w:val="clear" w:color="auto" w:fill="FFFFFF"/>
            <w:tcMar>
              <w:top w:w="0" w:type="dxa"/>
              <w:left w:w="85" w:type="dxa"/>
              <w:bottom w:w="0" w:type="dxa"/>
              <w:right w:w="85" w:type="dxa"/>
            </w:tcMar>
          </w:tcPr>
          <w:p w14:paraId="3F6930C4"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4,591.2</w:t>
            </w:r>
          </w:p>
        </w:tc>
        <w:tc>
          <w:tcPr>
            <w:tcW w:w="0" w:type="auto"/>
            <w:shd w:val="clear" w:color="auto" w:fill="FFFFFF"/>
            <w:tcMar>
              <w:top w:w="0" w:type="dxa"/>
              <w:left w:w="85" w:type="dxa"/>
              <w:bottom w:w="0" w:type="dxa"/>
              <w:right w:w="85" w:type="dxa"/>
            </w:tcMar>
          </w:tcPr>
          <w:p w14:paraId="41809629"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12.4</w:t>
            </w:r>
          </w:p>
        </w:tc>
      </w:tr>
      <w:tr w:rsidR="00B55611" w:rsidRPr="005C5906" w14:paraId="595B0F0E" w14:textId="77777777">
        <w:tc>
          <w:tcPr>
            <w:tcW w:w="0" w:type="auto"/>
            <w:shd w:val="clear" w:color="auto" w:fill="FFFFFF"/>
            <w:tcMar>
              <w:top w:w="0" w:type="dxa"/>
              <w:left w:w="85" w:type="dxa"/>
              <w:bottom w:w="0" w:type="dxa"/>
              <w:right w:w="85" w:type="dxa"/>
            </w:tcMar>
          </w:tcPr>
          <w:p w14:paraId="098B2911" w14:textId="77777777" w:rsidR="00B55611" w:rsidRPr="005C5906" w:rsidRDefault="00B55611" w:rsidP="004248D4">
            <w:pPr>
              <w:pStyle w:val="TableText"/>
              <w:spacing w:before="50" w:after="50"/>
              <w:rPr>
                <w:rFonts w:cs="Calibri"/>
                <w:szCs w:val="16"/>
              </w:rPr>
            </w:pPr>
            <w:r w:rsidRPr="005C5906">
              <w:rPr>
                <w:rFonts w:eastAsia="Calibri" w:cs="Calibri"/>
                <w:szCs w:val="16"/>
              </w:rPr>
              <w:t>Waste</w:t>
            </w:r>
          </w:p>
        </w:tc>
        <w:tc>
          <w:tcPr>
            <w:tcW w:w="0" w:type="auto"/>
            <w:shd w:val="clear" w:color="auto" w:fill="FFFFFF"/>
            <w:tcMar>
              <w:top w:w="0" w:type="dxa"/>
              <w:left w:w="85" w:type="dxa"/>
              <w:bottom w:w="0" w:type="dxa"/>
              <w:right w:w="85" w:type="dxa"/>
            </w:tcMar>
          </w:tcPr>
          <w:p w14:paraId="3AB32DCB"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4,356.7</w:t>
            </w:r>
          </w:p>
        </w:tc>
        <w:tc>
          <w:tcPr>
            <w:tcW w:w="0" w:type="auto"/>
            <w:shd w:val="clear" w:color="auto" w:fill="FFFFFF"/>
            <w:tcMar>
              <w:top w:w="0" w:type="dxa"/>
              <w:left w:w="85" w:type="dxa"/>
              <w:bottom w:w="0" w:type="dxa"/>
              <w:right w:w="85" w:type="dxa"/>
            </w:tcMar>
          </w:tcPr>
          <w:p w14:paraId="06F09C91"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3,492.7</w:t>
            </w:r>
          </w:p>
        </w:tc>
        <w:tc>
          <w:tcPr>
            <w:tcW w:w="0" w:type="auto"/>
            <w:shd w:val="clear" w:color="auto" w:fill="FFFFFF"/>
            <w:tcMar>
              <w:top w:w="0" w:type="dxa"/>
              <w:left w:w="85" w:type="dxa"/>
              <w:bottom w:w="0" w:type="dxa"/>
              <w:right w:w="85" w:type="dxa"/>
            </w:tcMar>
          </w:tcPr>
          <w:p w14:paraId="57B315A8"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–864.0</w:t>
            </w:r>
          </w:p>
        </w:tc>
        <w:tc>
          <w:tcPr>
            <w:tcW w:w="0" w:type="auto"/>
            <w:shd w:val="clear" w:color="auto" w:fill="FFFFFF"/>
            <w:tcMar>
              <w:top w:w="0" w:type="dxa"/>
              <w:left w:w="85" w:type="dxa"/>
              <w:bottom w:w="0" w:type="dxa"/>
              <w:right w:w="85" w:type="dxa"/>
            </w:tcMar>
          </w:tcPr>
          <w:p w14:paraId="0C52A39A"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–19.8</w:t>
            </w:r>
          </w:p>
        </w:tc>
      </w:tr>
      <w:tr w:rsidR="00B55611" w:rsidRPr="005C5906" w14:paraId="4E884315" w14:textId="77777777">
        <w:tc>
          <w:tcPr>
            <w:tcW w:w="0" w:type="auto"/>
            <w:shd w:val="clear" w:color="auto" w:fill="FFFFFF"/>
            <w:tcMar>
              <w:top w:w="0" w:type="dxa"/>
              <w:left w:w="85" w:type="dxa"/>
              <w:bottom w:w="0" w:type="dxa"/>
              <w:right w:w="85" w:type="dxa"/>
            </w:tcMar>
          </w:tcPr>
          <w:p w14:paraId="155D6A33" w14:textId="77777777" w:rsidR="00B55611" w:rsidRPr="005C5906" w:rsidRDefault="00B55611" w:rsidP="004248D4">
            <w:pPr>
              <w:pStyle w:val="TableText"/>
              <w:spacing w:before="50" w:after="50"/>
              <w:rPr>
                <w:rFonts w:cs="Calibri"/>
                <w:szCs w:val="16"/>
              </w:rPr>
            </w:pPr>
            <w:r w:rsidRPr="005C5906">
              <w:rPr>
                <w:rFonts w:eastAsia="Calibri" w:cs="Calibri"/>
                <w:szCs w:val="16"/>
              </w:rPr>
              <w:t>Tokelau</w:t>
            </w:r>
          </w:p>
        </w:tc>
        <w:tc>
          <w:tcPr>
            <w:tcW w:w="0" w:type="auto"/>
            <w:shd w:val="clear" w:color="auto" w:fill="FFFFFF"/>
            <w:tcMar>
              <w:top w:w="0" w:type="dxa"/>
              <w:left w:w="85" w:type="dxa"/>
              <w:bottom w:w="0" w:type="dxa"/>
              <w:right w:w="85" w:type="dxa"/>
            </w:tcMar>
          </w:tcPr>
          <w:p w14:paraId="3BBFDF66"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3.4</w:t>
            </w:r>
          </w:p>
        </w:tc>
        <w:tc>
          <w:tcPr>
            <w:tcW w:w="0" w:type="auto"/>
            <w:shd w:val="clear" w:color="auto" w:fill="FFFFFF"/>
            <w:tcMar>
              <w:top w:w="0" w:type="dxa"/>
              <w:left w:w="85" w:type="dxa"/>
              <w:bottom w:w="0" w:type="dxa"/>
              <w:right w:w="85" w:type="dxa"/>
            </w:tcMar>
          </w:tcPr>
          <w:p w14:paraId="4AEA20B9"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4.7</w:t>
            </w:r>
          </w:p>
        </w:tc>
        <w:tc>
          <w:tcPr>
            <w:tcW w:w="0" w:type="auto"/>
            <w:shd w:val="clear" w:color="auto" w:fill="FFFFFF"/>
            <w:tcMar>
              <w:top w:w="0" w:type="dxa"/>
              <w:left w:w="85" w:type="dxa"/>
              <w:bottom w:w="0" w:type="dxa"/>
              <w:right w:w="85" w:type="dxa"/>
            </w:tcMar>
          </w:tcPr>
          <w:p w14:paraId="12F63CCA"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1.3</w:t>
            </w:r>
          </w:p>
        </w:tc>
        <w:tc>
          <w:tcPr>
            <w:tcW w:w="0" w:type="auto"/>
            <w:shd w:val="clear" w:color="auto" w:fill="FFFFFF"/>
            <w:tcMar>
              <w:top w:w="0" w:type="dxa"/>
              <w:left w:w="85" w:type="dxa"/>
              <w:bottom w:w="0" w:type="dxa"/>
              <w:right w:w="85" w:type="dxa"/>
            </w:tcMar>
          </w:tcPr>
          <w:p w14:paraId="0B86D439"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38.9</w:t>
            </w:r>
          </w:p>
        </w:tc>
      </w:tr>
      <w:tr w:rsidR="00B55611" w:rsidRPr="005C5906" w14:paraId="284BB0B1" w14:textId="77777777">
        <w:tc>
          <w:tcPr>
            <w:tcW w:w="0" w:type="auto"/>
            <w:shd w:val="clear" w:color="auto" w:fill="FFFFFF"/>
            <w:tcMar>
              <w:top w:w="0" w:type="dxa"/>
              <w:left w:w="85" w:type="dxa"/>
              <w:bottom w:w="0" w:type="dxa"/>
              <w:right w:w="85" w:type="dxa"/>
            </w:tcMar>
          </w:tcPr>
          <w:p w14:paraId="5C825531" w14:textId="77777777" w:rsidR="00B55611" w:rsidRPr="005C5906" w:rsidRDefault="00B55611" w:rsidP="00D41906">
            <w:pPr>
              <w:pStyle w:val="Tableboldblue"/>
            </w:pPr>
            <w:r w:rsidRPr="005C5906">
              <w:t>Gross</w:t>
            </w:r>
          </w:p>
        </w:tc>
        <w:tc>
          <w:tcPr>
            <w:tcW w:w="0" w:type="auto"/>
            <w:shd w:val="clear" w:color="auto" w:fill="FFFFFF"/>
            <w:tcMar>
              <w:top w:w="0" w:type="dxa"/>
              <w:left w:w="85" w:type="dxa"/>
              <w:bottom w:w="0" w:type="dxa"/>
              <w:right w:w="85" w:type="dxa"/>
            </w:tcMar>
          </w:tcPr>
          <w:p w14:paraId="0F0B2D78" w14:textId="77777777" w:rsidR="00B55611" w:rsidRPr="005C5906" w:rsidRDefault="00B55611" w:rsidP="00C478EF">
            <w:pPr>
              <w:pStyle w:val="Tableboldblue"/>
              <w:jc w:val="right"/>
            </w:pPr>
            <w:r w:rsidRPr="005C5906">
              <w:t>68,958.2</w:t>
            </w:r>
          </w:p>
        </w:tc>
        <w:tc>
          <w:tcPr>
            <w:tcW w:w="0" w:type="auto"/>
            <w:shd w:val="clear" w:color="auto" w:fill="FFFFFF"/>
            <w:tcMar>
              <w:top w:w="0" w:type="dxa"/>
              <w:left w:w="85" w:type="dxa"/>
              <w:bottom w:w="0" w:type="dxa"/>
              <w:right w:w="85" w:type="dxa"/>
            </w:tcMar>
          </w:tcPr>
          <w:p w14:paraId="3ADC00F4" w14:textId="77777777" w:rsidR="00B55611" w:rsidRPr="005C5906" w:rsidRDefault="00B55611" w:rsidP="00C478EF">
            <w:pPr>
              <w:pStyle w:val="Tableboldblue"/>
              <w:jc w:val="right"/>
            </w:pPr>
            <w:r w:rsidRPr="005C5906">
              <w:t>78,395.4</w:t>
            </w:r>
          </w:p>
        </w:tc>
        <w:tc>
          <w:tcPr>
            <w:tcW w:w="0" w:type="auto"/>
            <w:shd w:val="clear" w:color="auto" w:fill="FFFFFF"/>
            <w:tcMar>
              <w:top w:w="0" w:type="dxa"/>
              <w:left w:w="85" w:type="dxa"/>
              <w:bottom w:w="0" w:type="dxa"/>
              <w:right w:w="85" w:type="dxa"/>
            </w:tcMar>
          </w:tcPr>
          <w:p w14:paraId="251D5880" w14:textId="77777777" w:rsidR="00B55611" w:rsidRPr="005C5906" w:rsidRDefault="00B55611" w:rsidP="00C478EF">
            <w:pPr>
              <w:pStyle w:val="Tableboldblue"/>
              <w:jc w:val="right"/>
            </w:pPr>
            <w:r w:rsidRPr="005C5906">
              <w:t>9,437.2</w:t>
            </w:r>
          </w:p>
        </w:tc>
        <w:tc>
          <w:tcPr>
            <w:tcW w:w="0" w:type="auto"/>
            <w:shd w:val="clear" w:color="auto" w:fill="FFFFFF"/>
            <w:tcMar>
              <w:top w:w="0" w:type="dxa"/>
              <w:left w:w="85" w:type="dxa"/>
              <w:bottom w:w="0" w:type="dxa"/>
              <w:right w:w="85" w:type="dxa"/>
            </w:tcMar>
          </w:tcPr>
          <w:p w14:paraId="71D8E164" w14:textId="77777777" w:rsidR="00B55611" w:rsidRPr="005C5906" w:rsidRDefault="00B55611" w:rsidP="00C478EF">
            <w:pPr>
              <w:pStyle w:val="Tableboldblue"/>
              <w:jc w:val="right"/>
            </w:pPr>
            <w:r w:rsidRPr="005C5906">
              <w:t>13.7</w:t>
            </w:r>
          </w:p>
        </w:tc>
      </w:tr>
      <w:tr w:rsidR="00B55611" w:rsidRPr="005C5906" w14:paraId="727A16F2" w14:textId="77777777">
        <w:tc>
          <w:tcPr>
            <w:tcW w:w="0" w:type="auto"/>
            <w:shd w:val="clear" w:color="auto" w:fill="FFFFFF"/>
            <w:tcMar>
              <w:top w:w="0" w:type="dxa"/>
              <w:left w:w="85" w:type="dxa"/>
              <w:bottom w:w="0" w:type="dxa"/>
              <w:right w:w="85" w:type="dxa"/>
            </w:tcMar>
          </w:tcPr>
          <w:p w14:paraId="7AC63769" w14:textId="77777777" w:rsidR="00B55611" w:rsidRPr="005C5906" w:rsidRDefault="00B55611" w:rsidP="004248D4">
            <w:pPr>
              <w:pStyle w:val="TableText"/>
              <w:spacing w:before="50" w:after="50"/>
              <w:rPr>
                <w:rFonts w:cs="Calibri"/>
                <w:szCs w:val="16"/>
              </w:rPr>
            </w:pPr>
            <w:r w:rsidRPr="005C5906">
              <w:rPr>
                <w:rFonts w:eastAsia="Calibri" w:cs="Calibri"/>
                <w:szCs w:val="16"/>
              </w:rPr>
              <w:t>LULUCF</w:t>
            </w:r>
          </w:p>
        </w:tc>
        <w:tc>
          <w:tcPr>
            <w:tcW w:w="0" w:type="auto"/>
            <w:shd w:val="clear" w:color="auto" w:fill="FFFFFF"/>
            <w:tcMar>
              <w:top w:w="0" w:type="dxa"/>
              <w:left w:w="85" w:type="dxa"/>
              <w:bottom w:w="0" w:type="dxa"/>
              <w:right w:w="85" w:type="dxa"/>
            </w:tcMar>
          </w:tcPr>
          <w:p w14:paraId="2148B16E"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–24,324.6</w:t>
            </w:r>
          </w:p>
        </w:tc>
        <w:tc>
          <w:tcPr>
            <w:tcW w:w="0" w:type="auto"/>
            <w:shd w:val="clear" w:color="auto" w:fill="FFFFFF"/>
            <w:tcMar>
              <w:top w:w="0" w:type="dxa"/>
              <w:left w:w="85" w:type="dxa"/>
              <w:bottom w:w="0" w:type="dxa"/>
              <w:right w:w="85" w:type="dxa"/>
            </w:tcMar>
          </w:tcPr>
          <w:p w14:paraId="7CCB8D38"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–19,238.8</w:t>
            </w:r>
          </w:p>
        </w:tc>
        <w:tc>
          <w:tcPr>
            <w:tcW w:w="0" w:type="auto"/>
            <w:shd w:val="clear" w:color="auto" w:fill="FFFFFF"/>
            <w:tcMar>
              <w:top w:w="0" w:type="dxa"/>
              <w:left w:w="85" w:type="dxa"/>
              <w:bottom w:w="0" w:type="dxa"/>
              <w:right w:w="85" w:type="dxa"/>
            </w:tcMar>
          </w:tcPr>
          <w:p w14:paraId="27F58964"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5,085.8</w:t>
            </w:r>
          </w:p>
        </w:tc>
        <w:tc>
          <w:tcPr>
            <w:tcW w:w="0" w:type="auto"/>
            <w:shd w:val="clear" w:color="auto" w:fill="FFFFFF"/>
            <w:tcMar>
              <w:top w:w="0" w:type="dxa"/>
              <w:left w:w="85" w:type="dxa"/>
              <w:bottom w:w="0" w:type="dxa"/>
              <w:right w:w="85" w:type="dxa"/>
            </w:tcMar>
          </w:tcPr>
          <w:p w14:paraId="11A49879" w14:textId="77777777" w:rsidR="00B55611" w:rsidRPr="005C5906" w:rsidRDefault="00B55611" w:rsidP="004248D4">
            <w:pPr>
              <w:pStyle w:val="TableText"/>
              <w:spacing w:before="50" w:after="50"/>
              <w:jc w:val="right"/>
              <w:rPr>
                <w:rFonts w:cs="Calibri"/>
                <w:szCs w:val="16"/>
              </w:rPr>
            </w:pPr>
            <w:r w:rsidRPr="005C5906">
              <w:rPr>
                <w:rFonts w:eastAsia="Calibri" w:cs="Calibri"/>
                <w:szCs w:val="16"/>
              </w:rPr>
              <w:t>20.9</w:t>
            </w:r>
          </w:p>
        </w:tc>
      </w:tr>
      <w:tr w:rsidR="00B55611" w:rsidRPr="005C5906" w14:paraId="093FB313" w14:textId="77777777">
        <w:tc>
          <w:tcPr>
            <w:tcW w:w="0" w:type="auto"/>
            <w:shd w:val="clear" w:color="auto" w:fill="FFFFFF"/>
            <w:tcMar>
              <w:top w:w="0" w:type="dxa"/>
              <w:left w:w="85" w:type="dxa"/>
              <w:bottom w:w="0" w:type="dxa"/>
              <w:right w:w="85" w:type="dxa"/>
            </w:tcMar>
          </w:tcPr>
          <w:p w14:paraId="50CF3C92" w14:textId="77777777" w:rsidR="00B55611" w:rsidRPr="005C5906" w:rsidRDefault="00B55611" w:rsidP="00D41906">
            <w:pPr>
              <w:pStyle w:val="Tableboldblue"/>
            </w:pPr>
            <w:r w:rsidRPr="005C5906">
              <w:t>Net</w:t>
            </w:r>
          </w:p>
        </w:tc>
        <w:tc>
          <w:tcPr>
            <w:tcW w:w="0" w:type="auto"/>
            <w:shd w:val="clear" w:color="auto" w:fill="FFFFFF"/>
            <w:tcMar>
              <w:top w:w="0" w:type="dxa"/>
              <w:left w:w="85" w:type="dxa"/>
              <w:bottom w:w="0" w:type="dxa"/>
              <w:right w:w="85" w:type="dxa"/>
            </w:tcMar>
          </w:tcPr>
          <w:p w14:paraId="39539437" w14:textId="77777777" w:rsidR="00B55611" w:rsidRPr="005C5906" w:rsidRDefault="00B55611" w:rsidP="00C478EF">
            <w:pPr>
              <w:pStyle w:val="Tableboldblue"/>
              <w:jc w:val="right"/>
            </w:pPr>
            <w:r w:rsidRPr="005C5906">
              <w:t>44,633.6</w:t>
            </w:r>
          </w:p>
        </w:tc>
        <w:tc>
          <w:tcPr>
            <w:tcW w:w="0" w:type="auto"/>
            <w:shd w:val="clear" w:color="auto" w:fill="FFFFFF"/>
            <w:tcMar>
              <w:top w:w="0" w:type="dxa"/>
              <w:left w:w="85" w:type="dxa"/>
              <w:bottom w:w="0" w:type="dxa"/>
              <w:right w:w="85" w:type="dxa"/>
            </w:tcMar>
          </w:tcPr>
          <w:p w14:paraId="5669E064" w14:textId="77777777" w:rsidR="00B55611" w:rsidRPr="005C5906" w:rsidRDefault="00B55611" w:rsidP="00C478EF">
            <w:pPr>
              <w:pStyle w:val="Tableboldblue"/>
              <w:jc w:val="right"/>
            </w:pPr>
            <w:r w:rsidRPr="005C5906">
              <w:t>59,156.6</w:t>
            </w:r>
          </w:p>
        </w:tc>
        <w:tc>
          <w:tcPr>
            <w:tcW w:w="0" w:type="auto"/>
            <w:shd w:val="clear" w:color="auto" w:fill="FFFFFF"/>
            <w:tcMar>
              <w:top w:w="0" w:type="dxa"/>
              <w:left w:w="85" w:type="dxa"/>
              <w:bottom w:w="0" w:type="dxa"/>
              <w:right w:w="85" w:type="dxa"/>
            </w:tcMar>
          </w:tcPr>
          <w:p w14:paraId="36D23113" w14:textId="77777777" w:rsidR="00B55611" w:rsidRPr="005C5906" w:rsidRDefault="00B55611" w:rsidP="00C478EF">
            <w:pPr>
              <w:pStyle w:val="Tableboldblue"/>
              <w:jc w:val="right"/>
            </w:pPr>
            <w:r w:rsidRPr="005C5906">
              <w:t>14,523.0</w:t>
            </w:r>
          </w:p>
        </w:tc>
        <w:tc>
          <w:tcPr>
            <w:tcW w:w="0" w:type="auto"/>
            <w:shd w:val="clear" w:color="auto" w:fill="FFFFFF"/>
            <w:tcMar>
              <w:top w:w="0" w:type="dxa"/>
              <w:left w:w="85" w:type="dxa"/>
              <w:bottom w:w="0" w:type="dxa"/>
              <w:right w:w="85" w:type="dxa"/>
            </w:tcMar>
          </w:tcPr>
          <w:p w14:paraId="38B16A16" w14:textId="77777777" w:rsidR="00B55611" w:rsidRPr="005C5906" w:rsidRDefault="00B55611" w:rsidP="00C478EF">
            <w:pPr>
              <w:pStyle w:val="Tableboldblue"/>
              <w:jc w:val="right"/>
            </w:pPr>
            <w:r w:rsidRPr="005C5906">
              <w:t>32.5</w:t>
            </w:r>
          </w:p>
        </w:tc>
      </w:tr>
    </w:tbl>
    <w:p w14:paraId="6BC594A6" w14:textId="77777777" w:rsidR="00B55611" w:rsidRPr="005C5906" w:rsidRDefault="00B55611" w:rsidP="00B55611">
      <w:pPr>
        <w:pStyle w:val="Noteundertable"/>
      </w:pPr>
      <w:r w:rsidRPr="005C5906">
        <w:rPr>
          <w:b/>
          <w:bCs/>
        </w:rPr>
        <w:t>Note:</w:t>
      </w:r>
      <w:r w:rsidRPr="005C5906">
        <w:t xml:space="preserve"> </w:t>
      </w:r>
      <w:r w:rsidRPr="005C5906">
        <w:tab/>
      </w:r>
      <w:r w:rsidRPr="005C5906">
        <w:rPr>
          <w:spacing w:val="-2"/>
        </w:rPr>
        <w:t>IPPU = Industrial Processes and Product Use; kt CO</w:t>
      </w:r>
      <w:r w:rsidRPr="005C5906">
        <w:rPr>
          <w:spacing w:val="-2"/>
          <w:vertAlign w:val="subscript"/>
        </w:rPr>
        <w:t>2</w:t>
      </w:r>
      <w:r w:rsidRPr="005C5906">
        <w:rPr>
          <w:spacing w:val="-2"/>
        </w:rPr>
        <w:t>e = kilotonnes of carbon dioxide equivalent; LULUCF = Land</w:t>
      </w:r>
      <w:r w:rsidRPr="005C5906">
        <w:t xml:space="preserve"> Use, Land-Use Change and Forestry. Net emissions from the LULUCF sector are reported as a negative number because the sector removes more CO</w:t>
      </w:r>
      <w:r w:rsidRPr="005C5906">
        <w:rPr>
          <w:vertAlign w:val="subscript"/>
        </w:rPr>
        <w:t>2</w:t>
      </w:r>
      <w:r w:rsidRPr="005C5906">
        <w:t xml:space="preserve"> from the atmosphere than it emits. Columns may not total due to rounding. Percentages presented are calculated from unrounded values.</w:t>
      </w:r>
    </w:p>
    <w:p w14:paraId="15E49FB7" w14:textId="1FD8A17A" w:rsidR="00B55611" w:rsidRPr="005C5906" w:rsidRDefault="00B55611" w:rsidP="00B55611">
      <w:pPr>
        <w:pStyle w:val="Tableheading"/>
      </w:pPr>
      <w:bookmarkStart w:id="35" w:name="_Ref179870861"/>
      <w:bookmarkStart w:id="36" w:name="table12"/>
      <w:bookmarkStart w:id="37" w:name="_Toc185407457"/>
      <w:bookmarkStart w:id="38" w:name="_Toc185427720"/>
      <w:r w:rsidRPr="005C5906">
        <w:rPr>
          <w:bCs/>
        </w:rPr>
        <w:t>Table 1.</w:t>
      </w:r>
      <w:r w:rsidRPr="005C5906">
        <w:rPr>
          <w:bCs/>
        </w:rPr>
        <w:fldChar w:fldCharType="begin"/>
      </w:r>
      <w:r w:rsidRPr="005C5906">
        <w:rPr>
          <w:bCs/>
        </w:rPr>
        <w:instrText xml:space="preserve"> SEQ Table \* ARABIC </w:instrText>
      </w:r>
      <w:r w:rsidRPr="005C5906">
        <w:rPr>
          <w:bCs/>
        </w:rPr>
        <w:fldChar w:fldCharType="separate"/>
      </w:r>
      <w:r w:rsidR="005843E4">
        <w:rPr>
          <w:bCs/>
          <w:noProof/>
        </w:rPr>
        <w:t>2</w:t>
      </w:r>
      <w:r w:rsidRPr="005C5906">
        <w:rPr>
          <w:bCs/>
        </w:rPr>
        <w:fldChar w:fldCharType="end"/>
      </w:r>
      <w:bookmarkEnd w:id="35"/>
      <w:bookmarkEnd w:id="36"/>
      <w:r w:rsidRPr="005C5906">
        <w:t>:</w:t>
      </w:r>
      <w:r w:rsidRPr="005C5906">
        <w:tab/>
        <w:t xml:space="preserve">New Zealand’s gross emissions by gas, </w:t>
      </w:r>
      <w:r w:rsidRPr="005C5906">
        <w:rPr>
          <w:bCs/>
        </w:rPr>
        <w:t>1990</w:t>
      </w:r>
      <w:r w:rsidRPr="005C5906">
        <w:t xml:space="preserve"> and </w:t>
      </w:r>
      <w:r w:rsidRPr="005C5906">
        <w:rPr>
          <w:bCs/>
        </w:rPr>
        <w:t>2022</w:t>
      </w:r>
      <w:bookmarkEnd w:id="37"/>
      <w:bookmarkEnd w:id="38"/>
    </w:p>
    <w:tbl>
      <w:tblPr>
        <w:tblW w:w="5000" w:type="pct"/>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333"/>
        <w:gridCol w:w="1353"/>
        <w:gridCol w:w="1135"/>
        <w:gridCol w:w="1986"/>
        <w:gridCol w:w="1698"/>
      </w:tblGrid>
      <w:tr w:rsidR="00B55611" w:rsidRPr="005C5906" w14:paraId="2E29925E" w14:textId="77777777">
        <w:trPr>
          <w:tblHeader/>
        </w:trPr>
        <w:tc>
          <w:tcPr>
            <w:tcW w:w="2330" w:type="dxa"/>
            <w:shd w:val="clear" w:color="auto" w:fill="1B556B"/>
            <w:tcMar>
              <w:top w:w="0" w:type="dxa"/>
              <w:left w:w="85" w:type="dxa"/>
              <w:bottom w:w="0" w:type="dxa"/>
              <w:right w:w="85" w:type="dxa"/>
            </w:tcMar>
            <w:vAlign w:val="bottom"/>
          </w:tcPr>
          <w:p w14:paraId="7ECFE93F" w14:textId="77777777" w:rsidR="00B55611" w:rsidRPr="005C5906" w:rsidRDefault="00B55611" w:rsidP="004248D4">
            <w:pPr>
              <w:pStyle w:val="TableTextBold0"/>
              <w:spacing w:before="50" w:after="50"/>
              <w:rPr>
                <w:color w:val="FFFFFF" w:themeColor="background1"/>
              </w:rPr>
            </w:pPr>
            <w:r w:rsidRPr="005C5906">
              <w:rPr>
                <w:rFonts w:eastAsia="Calibri"/>
                <w:color w:val="FFFFFF" w:themeColor="background1"/>
              </w:rPr>
              <w:t>Direct greenhouse gas emissions</w:t>
            </w:r>
          </w:p>
        </w:tc>
        <w:tc>
          <w:tcPr>
            <w:tcW w:w="1351" w:type="dxa"/>
            <w:shd w:val="clear" w:color="auto" w:fill="1B556B"/>
            <w:tcMar>
              <w:top w:w="0" w:type="dxa"/>
              <w:left w:w="85" w:type="dxa"/>
              <w:bottom w:w="0" w:type="dxa"/>
              <w:right w:w="85" w:type="dxa"/>
            </w:tcMar>
            <w:vAlign w:val="bottom"/>
          </w:tcPr>
          <w:p w14:paraId="093417D1" w14:textId="77777777" w:rsidR="00B55611" w:rsidRPr="005C5906" w:rsidRDefault="00B55611" w:rsidP="004248D4">
            <w:pPr>
              <w:pStyle w:val="TableTextBold0"/>
              <w:spacing w:before="50" w:after="50"/>
              <w:jc w:val="right"/>
              <w:rPr>
                <w:color w:val="FFFFFF" w:themeColor="background1"/>
              </w:rPr>
            </w:pPr>
            <w:r w:rsidRPr="005C5906">
              <w:rPr>
                <w:rFonts w:eastAsia="Calibri"/>
                <w:color w:val="FFFFFF" w:themeColor="background1"/>
              </w:rPr>
              <w:t>1990</w:t>
            </w:r>
          </w:p>
        </w:tc>
        <w:tc>
          <w:tcPr>
            <w:tcW w:w="1134" w:type="dxa"/>
            <w:shd w:val="clear" w:color="auto" w:fill="1B556B"/>
            <w:tcMar>
              <w:top w:w="0" w:type="dxa"/>
              <w:left w:w="85" w:type="dxa"/>
              <w:bottom w:w="0" w:type="dxa"/>
              <w:right w:w="85" w:type="dxa"/>
            </w:tcMar>
            <w:vAlign w:val="bottom"/>
          </w:tcPr>
          <w:p w14:paraId="2E825F34" w14:textId="77777777" w:rsidR="00B55611" w:rsidRPr="005C5906" w:rsidRDefault="00B55611" w:rsidP="004248D4">
            <w:pPr>
              <w:pStyle w:val="TableTextBold0"/>
              <w:spacing w:before="50" w:after="50"/>
              <w:jc w:val="right"/>
              <w:rPr>
                <w:color w:val="FFFFFF" w:themeColor="background1"/>
              </w:rPr>
            </w:pPr>
            <w:r w:rsidRPr="005C5906">
              <w:rPr>
                <w:rFonts w:eastAsia="Calibri"/>
                <w:color w:val="FFFFFF" w:themeColor="background1"/>
              </w:rPr>
              <w:t>2022</w:t>
            </w:r>
          </w:p>
        </w:tc>
        <w:tc>
          <w:tcPr>
            <w:tcW w:w="1984" w:type="dxa"/>
            <w:shd w:val="clear" w:color="auto" w:fill="1B556B"/>
            <w:tcMar>
              <w:top w:w="0" w:type="dxa"/>
              <w:left w:w="85" w:type="dxa"/>
              <w:bottom w:w="0" w:type="dxa"/>
              <w:right w:w="85" w:type="dxa"/>
            </w:tcMar>
            <w:vAlign w:val="bottom"/>
          </w:tcPr>
          <w:p w14:paraId="5A8B2328" w14:textId="77777777" w:rsidR="00B55611" w:rsidRPr="005C5906" w:rsidRDefault="00B55611" w:rsidP="004248D4">
            <w:pPr>
              <w:pStyle w:val="TableTextBold0"/>
              <w:spacing w:before="50" w:after="50"/>
              <w:jc w:val="right"/>
              <w:rPr>
                <w:color w:val="FFFFFF" w:themeColor="background1"/>
              </w:rPr>
            </w:pPr>
            <w:r w:rsidRPr="005C5906">
              <w:rPr>
                <w:rFonts w:eastAsia="Calibri"/>
                <w:color w:val="FFFFFF" w:themeColor="background1"/>
              </w:rPr>
              <w:t xml:space="preserve">Change from 1990 </w:t>
            </w:r>
            <w:r w:rsidRPr="005C5906">
              <w:rPr>
                <w:rFonts w:eastAsia="Calibri"/>
                <w:color w:val="FFFFFF" w:themeColor="background1"/>
              </w:rPr>
              <w:br/>
              <w:t>(kt CO</w:t>
            </w:r>
            <w:r w:rsidRPr="005C5906">
              <w:rPr>
                <w:rFonts w:eastAsia="Calibri"/>
                <w:color w:val="FFFFFF" w:themeColor="background1"/>
                <w:vertAlign w:val="subscript"/>
              </w:rPr>
              <w:t>2</w:t>
            </w:r>
            <w:r w:rsidRPr="005C5906">
              <w:rPr>
                <w:rFonts w:eastAsia="Calibri"/>
                <w:color w:val="FFFFFF" w:themeColor="background1"/>
              </w:rPr>
              <w:t>e)</w:t>
            </w:r>
          </w:p>
        </w:tc>
        <w:tc>
          <w:tcPr>
            <w:tcW w:w="1696" w:type="dxa"/>
            <w:shd w:val="clear" w:color="auto" w:fill="1B556B"/>
            <w:tcMar>
              <w:top w:w="0" w:type="dxa"/>
              <w:left w:w="85" w:type="dxa"/>
              <w:bottom w:w="0" w:type="dxa"/>
              <w:right w:w="85" w:type="dxa"/>
            </w:tcMar>
            <w:vAlign w:val="bottom"/>
          </w:tcPr>
          <w:p w14:paraId="26D0AA7F" w14:textId="77777777" w:rsidR="00B55611" w:rsidRPr="005C5906" w:rsidRDefault="00B55611" w:rsidP="004248D4">
            <w:pPr>
              <w:pStyle w:val="TableTextBold0"/>
              <w:spacing w:before="50" w:after="50"/>
              <w:jc w:val="right"/>
              <w:rPr>
                <w:color w:val="FFFFFF" w:themeColor="background1"/>
              </w:rPr>
            </w:pPr>
            <w:r w:rsidRPr="005C5906">
              <w:rPr>
                <w:rFonts w:eastAsia="Calibri"/>
                <w:color w:val="FFFFFF" w:themeColor="background1"/>
              </w:rPr>
              <w:t>Change from 1990 (%)</w:t>
            </w:r>
          </w:p>
        </w:tc>
      </w:tr>
      <w:tr w:rsidR="00B55611" w:rsidRPr="005C5906" w14:paraId="6FF4C75C" w14:textId="77777777">
        <w:tc>
          <w:tcPr>
            <w:tcW w:w="2330" w:type="dxa"/>
            <w:shd w:val="clear" w:color="auto" w:fill="FFFFFF"/>
            <w:tcMar>
              <w:top w:w="0" w:type="dxa"/>
              <w:left w:w="85" w:type="dxa"/>
              <w:bottom w:w="0" w:type="dxa"/>
              <w:right w:w="85" w:type="dxa"/>
            </w:tcMar>
          </w:tcPr>
          <w:p w14:paraId="0BE0FDE3" w14:textId="77777777" w:rsidR="00B55611" w:rsidRPr="005C5906" w:rsidRDefault="00B55611" w:rsidP="004248D4">
            <w:pPr>
              <w:pStyle w:val="TableText"/>
              <w:spacing w:before="50" w:after="50"/>
            </w:pPr>
            <w:r w:rsidRPr="005C5906">
              <w:rPr>
                <w:rFonts w:eastAsia="Calibri"/>
                <w:color w:val="000000"/>
              </w:rPr>
              <w:t>CO</w:t>
            </w:r>
            <w:r w:rsidRPr="005C5906">
              <w:rPr>
                <w:rFonts w:eastAsia="Calibri"/>
                <w:color w:val="000000"/>
                <w:vertAlign w:val="subscript"/>
              </w:rPr>
              <w:t>2</w:t>
            </w:r>
          </w:p>
        </w:tc>
        <w:tc>
          <w:tcPr>
            <w:tcW w:w="1351" w:type="dxa"/>
            <w:shd w:val="clear" w:color="auto" w:fill="FFFFFF"/>
            <w:tcMar>
              <w:top w:w="0" w:type="dxa"/>
              <w:left w:w="85" w:type="dxa"/>
              <w:bottom w:w="0" w:type="dxa"/>
              <w:right w:w="85" w:type="dxa"/>
            </w:tcMar>
          </w:tcPr>
          <w:p w14:paraId="5178A9DB" w14:textId="77777777" w:rsidR="00B55611" w:rsidRPr="005C5906" w:rsidRDefault="00B55611" w:rsidP="004248D4">
            <w:pPr>
              <w:pStyle w:val="TableText"/>
              <w:spacing w:before="50" w:after="50"/>
              <w:jc w:val="right"/>
            </w:pPr>
            <w:r w:rsidRPr="005C5906">
              <w:rPr>
                <w:rFonts w:eastAsia="Calibri"/>
                <w:color w:val="000000"/>
              </w:rPr>
              <w:t>25,497.2</w:t>
            </w:r>
          </w:p>
        </w:tc>
        <w:tc>
          <w:tcPr>
            <w:tcW w:w="1134" w:type="dxa"/>
            <w:shd w:val="clear" w:color="auto" w:fill="FFFFFF"/>
            <w:tcMar>
              <w:top w:w="0" w:type="dxa"/>
              <w:left w:w="85" w:type="dxa"/>
              <w:bottom w:w="0" w:type="dxa"/>
              <w:right w:w="85" w:type="dxa"/>
            </w:tcMar>
          </w:tcPr>
          <w:p w14:paraId="1D191FD6" w14:textId="77777777" w:rsidR="00B55611" w:rsidRPr="005C5906" w:rsidRDefault="00B55611" w:rsidP="004248D4">
            <w:pPr>
              <w:pStyle w:val="TableText"/>
              <w:spacing w:before="50" w:after="50"/>
              <w:jc w:val="right"/>
            </w:pPr>
            <w:r w:rsidRPr="005C5906">
              <w:rPr>
                <w:rFonts w:eastAsia="Calibri"/>
                <w:color w:val="000000"/>
              </w:rPr>
              <w:t>31,610.1</w:t>
            </w:r>
          </w:p>
        </w:tc>
        <w:tc>
          <w:tcPr>
            <w:tcW w:w="1984" w:type="dxa"/>
            <w:shd w:val="clear" w:color="auto" w:fill="FFFFFF"/>
            <w:tcMar>
              <w:top w:w="0" w:type="dxa"/>
              <w:left w:w="85" w:type="dxa"/>
              <w:bottom w:w="0" w:type="dxa"/>
              <w:right w:w="85" w:type="dxa"/>
            </w:tcMar>
          </w:tcPr>
          <w:p w14:paraId="67E71015" w14:textId="77777777" w:rsidR="00B55611" w:rsidRPr="005C5906" w:rsidRDefault="00B55611" w:rsidP="004248D4">
            <w:pPr>
              <w:pStyle w:val="TableText"/>
              <w:spacing w:before="50" w:after="50"/>
              <w:jc w:val="right"/>
            </w:pPr>
            <w:r w:rsidRPr="005C5906">
              <w:rPr>
                <w:rFonts w:eastAsia="Calibri"/>
                <w:color w:val="000000"/>
              </w:rPr>
              <w:t>6,112.9</w:t>
            </w:r>
          </w:p>
        </w:tc>
        <w:tc>
          <w:tcPr>
            <w:tcW w:w="1696" w:type="dxa"/>
            <w:shd w:val="clear" w:color="auto" w:fill="FFFFFF"/>
            <w:tcMar>
              <w:top w:w="0" w:type="dxa"/>
              <w:left w:w="85" w:type="dxa"/>
              <w:bottom w:w="0" w:type="dxa"/>
              <w:right w:w="85" w:type="dxa"/>
            </w:tcMar>
          </w:tcPr>
          <w:p w14:paraId="2660F070" w14:textId="77777777" w:rsidR="00B55611" w:rsidRPr="005C5906" w:rsidRDefault="00B55611" w:rsidP="004248D4">
            <w:pPr>
              <w:pStyle w:val="TableText"/>
              <w:spacing w:before="50" w:after="50"/>
              <w:jc w:val="right"/>
            </w:pPr>
            <w:r w:rsidRPr="005C5906">
              <w:rPr>
                <w:rFonts w:eastAsia="Calibri"/>
                <w:color w:val="000000"/>
              </w:rPr>
              <w:t>24.0</w:t>
            </w:r>
          </w:p>
        </w:tc>
      </w:tr>
      <w:tr w:rsidR="00B55611" w:rsidRPr="005C5906" w14:paraId="60EBC014" w14:textId="77777777">
        <w:tc>
          <w:tcPr>
            <w:tcW w:w="2330" w:type="dxa"/>
            <w:shd w:val="clear" w:color="auto" w:fill="FFFFFF"/>
            <w:tcMar>
              <w:top w:w="0" w:type="dxa"/>
              <w:left w:w="85" w:type="dxa"/>
              <w:bottom w:w="0" w:type="dxa"/>
              <w:right w:w="85" w:type="dxa"/>
            </w:tcMar>
          </w:tcPr>
          <w:p w14:paraId="1C9109FD" w14:textId="77777777" w:rsidR="00B55611" w:rsidRPr="005C5906" w:rsidRDefault="00B55611" w:rsidP="004248D4">
            <w:pPr>
              <w:pStyle w:val="TableText"/>
              <w:spacing w:before="50" w:after="50"/>
            </w:pPr>
            <w:r w:rsidRPr="005C5906">
              <w:rPr>
                <w:rFonts w:eastAsia="Calibri"/>
                <w:color w:val="000000"/>
              </w:rPr>
              <w:t>CH</w:t>
            </w:r>
            <w:r w:rsidRPr="005C5906">
              <w:rPr>
                <w:rFonts w:eastAsia="Calibri"/>
                <w:color w:val="000000"/>
                <w:vertAlign w:val="subscript"/>
              </w:rPr>
              <w:t>4</w:t>
            </w:r>
          </w:p>
        </w:tc>
        <w:tc>
          <w:tcPr>
            <w:tcW w:w="1351" w:type="dxa"/>
            <w:shd w:val="clear" w:color="auto" w:fill="FFFFFF"/>
            <w:tcMar>
              <w:top w:w="0" w:type="dxa"/>
              <w:left w:w="85" w:type="dxa"/>
              <w:bottom w:w="0" w:type="dxa"/>
              <w:right w:w="85" w:type="dxa"/>
            </w:tcMar>
          </w:tcPr>
          <w:p w14:paraId="0338E23D" w14:textId="77777777" w:rsidR="00B55611" w:rsidRPr="005C5906" w:rsidRDefault="00B55611" w:rsidP="004248D4">
            <w:pPr>
              <w:pStyle w:val="TableText"/>
              <w:spacing w:before="50" w:after="50"/>
              <w:jc w:val="right"/>
            </w:pPr>
            <w:r w:rsidRPr="005C5906">
              <w:rPr>
                <w:rFonts w:eastAsia="Calibri"/>
                <w:color w:val="000000"/>
              </w:rPr>
              <w:t>37,519.7</w:t>
            </w:r>
          </w:p>
        </w:tc>
        <w:tc>
          <w:tcPr>
            <w:tcW w:w="1134" w:type="dxa"/>
            <w:shd w:val="clear" w:color="auto" w:fill="FFFFFF"/>
            <w:tcMar>
              <w:top w:w="0" w:type="dxa"/>
              <w:left w:w="85" w:type="dxa"/>
              <w:bottom w:w="0" w:type="dxa"/>
              <w:right w:w="85" w:type="dxa"/>
            </w:tcMar>
          </w:tcPr>
          <w:p w14:paraId="384C01E5" w14:textId="77777777" w:rsidR="00B55611" w:rsidRPr="005C5906" w:rsidRDefault="00B55611" w:rsidP="004248D4">
            <w:pPr>
              <w:pStyle w:val="TableText"/>
              <w:spacing w:before="50" w:after="50"/>
              <w:jc w:val="right"/>
            </w:pPr>
            <w:r w:rsidRPr="005C5906">
              <w:rPr>
                <w:rFonts w:eastAsia="Calibri"/>
                <w:color w:val="000000"/>
              </w:rPr>
              <w:t>38,339.3</w:t>
            </w:r>
          </w:p>
        </w:tc>
        <w:tc>
          <w:tcPr>
            <w:tcW w:w="1984" w:type="dxa"/>
            <w:shd w:val="clear" w:color="auto" w:fill="FFFFFF"/>
            <w:tcMar>
              <w:top w:w="0" w:type="dxa"/>
              <w:left w:w="85" w:type="dxa"/>
              <w:bottom w:w="0" w:type="dxa"/>
              <w:right w:w="85" w:type="dxa"/>
            </w:tcMar>
          </w:tcPr>
          <w:p w14:paraId="56F18FD3" w14:textId="77777777" w:rsidR="00B55611" w:rsidRPr="005C5906" w:rsidRDefault="00B55611" w:rsidP="004248D4">
            <w:pPr>
              <w:pStyle w:val="TableText"/>
              <w:spacing w:before="50" w:after="50"/>
              <w:jc w:val="right"/>
            </w:pPr>
            <w:r w:rsidRPr="005C5906">
              <w:rPr>
                <w:rFonts w:eastAsia="Calibri"/>
                <w:color w:val="000000"/>
              </w:rPr>
              <w:t>819.6</w:t>
            </w:r>
          </w:p>
        </w:tc>
        <w:tc>
          <w:tcPr>
            <w:tcW w:w="1696" w:type="dxa"/>
            <w:shd w:val="clear" w:color="auto" w:fill="FFFFFF"/>
            <w:tcMar>
              <w:top w:w="0" w:type="dxa"/>
              <w:left w:w="85" w:type="dxa"/>
              <w:bottom w:w="0" w:type="dxa"/>
              <w:right w:w="85" w:type="dxa"/>
            </w:tcMar>
          </w:tcPr>
          <w:p w14:paraId="0C277622" w14:textId="77777777" w:rsidR="00B55611" w:rsidRPr="005C5906" w:rsidRDefault="00B55611" w:rsidP="004248D4">
            <w:pPr>
              <w:pStyle w:val="TableText"/>
              <w:spacing w:before="50" w:after="50"/>
              <w:jc w:val="right"/>
            </w:pPr>
            <w:r w:rsidRPr="005C5906">
              <w:rPr>
                <w:rFonts w:eastAsia="Calibri"/>
                <w:color w:val="000000"/>
              </w:rPr>
              <w:t>2.2</w:t>
            </w:r>
          </w:p>
        </w:tc>
      </w:tr>
      <w:tr w:rsidR="00B55611" w:rsidRPr="005C5906" w14:paraId="1309CBD3" w14:textId="77777777">
        <w:tc>
          <w:tcPr>
            <w:tcW w:w="2330" w:type="dxa"/>
            <w:shd w:val="clear" w:color="auto" w:fill="FFFFFF"/>
            <w:tcMar>
              <w:top w:w="0" w:type="dxa"/>
              <w:left w:w="85" w:type="dxa"/>
              <w:bottom w:w="0" w:type="dxa"/>
              <w:right w:w="85" w:type="dxa"/>
            </w:tcMar>
          </w:tcPr>
          <w:p w14:paraId="4F34B547" w14:textId="77777777" w:rsidR="00B55611" w:rsidRPr="005C5906" w:rsidRDefault="00B55611" w:rsidP="004248D4">
            <w:pPr>
              <w:pStyle w:val="TableText"/>
              <w:spacing w:before="50" w:after="50"/>
            </w:pPr>
            <w:r w:rsidRPr="005C5906">
              <w:rPr>
                <w:rFonts w:eastAsia="Calibri"/>
                <w:color w:val="000000"/>
              </w:rPr>
              <w:t>N</w:t>
            </w:r>
            <w:r w:rsidRPr="005C5906">
              <w:rPr>
                <w:rFonts w:eastAsia="Calibri"/>
                <w:color w:val="000000"/>
                <w:vertAlign w:val="subscript"/>
              </w:rPr>
              <w:t>2</w:t>
            </w:r>
            <w:r w:rsidRPr="005C5906">
              <w:rPr>
                <w:rFonts w:eastAsia="Calibri"/>
                <w:color w:val="000000"/>
              </w:rPr>
              <w:t>O</w:t>
            </w:r>
          </w:p>
        </w:tc>
        <w:tc>
          <w:tcPr>
            <w:tcW w:w="1351" w:type="dxa"/>
            <w:shd w:val="clear" w:color="auto" w:fill="FFFFFF"/>
            <w:tcMar>
              <w:top w:w="0" w:type="dxa"/>
              <w:left w:w="85" w:type="dxa"/>
              <w:bottom w:w="0" w:type="dxa"/>
              <w:right w:w="85" w:type="dxa"/>
            </w:tcMar>
          </w:tcPr>
          <w:p w14:paraId="341B41DB" w14:textId="77777777" w:rsidR="00B55611" w:rsidRPr="005C5906" w:rsidRDefault="00B55611" w:rsidP="004248D4">
            <w:pPr>
              <w:pStyle w:val="TableText"/>
              <w:spacing w:before="50" w:after="50"/>
              <w:jc w:val="right"/>
            </w:pPr>
            <w:r w:rsidRPr="005C5906">
              <w:rPr>
                <w:rFonts w:eastAsia="Calibri"/>
                <w:color w:val="000000"/>
              </w:rPr>
              <w:t>5,102.7</w:t>
            </w:r>
          </w:p>
        </w:tc>
        <w:tc>
          <w:tcPr>
            <w:tcW w:w="1134" w:type="dxa"/>
            <w:shd w:val="clear" w:color="auto" w:fill="FFFFFF"/>
            <w:tcMar>
              <w:top w:w="0" w:type="dxa"/>
              <w:left w:w="85" w:type="dxa"/>
              <w:bottom w:w="0" w:type="dxa"/>
              <w:right w:w="85" w:type="dxa"/>
            </w:tcMar>
          </w:tcPr>
          <w:p w14:paraId="14BA38F7" w14:textId="77777777" w:rsidR="00B55611" w:rsidRPr="005C5906" w:rsidRDefault="00B55611" w:rsidP="004248D4">
            <w:pPr>
              <w:pStyle w:val="TableText"/>
              <w:spacing w:before="50" w:after="50"/>
              <w:jc w:val="right"/>
            </w:pPr>
            <w:r w:rsidRPr="005C5906">
              <w:rPr>
                <w:rFonts w:eastAsia="Calibri"/>
                <w:color w:val="000000"/>
              </w:rPr>
              <w:t>6,877.1</w:t>
            </w:r>
          </w:p>
        </w:tc>
        <w:tc>
          <w:tcPr>
            <w:tcW w:w="1984" w:type="dxa"/>
            <w:shd w:val="clear" w:color="auto" w:fill="FFFFFF"/>
            <w:tcMar>
              <w:top w:w="0" w:type="dxa"/>
              <w:left w:w="85" w:type="dxa"/>
              <w:bottom w:w="0" w:type="dxa"/>
              <w:right w:w="85" w:type="dxa"/>
            </w:tcMar>
          </w:tcPr>
          <w:p w14:paraId="47281D5E" w14:textId="77777777" w:rsidR="00B55611" w:rsidRPr="005C5906" w:rsidRDefault="00B55611" w:rsidP="004248D4">
            <w:pPr>
              <w:pStyle w:val="TableText"/>
              <w:spacing w:before="50" w:after="50"/>
              <w:jc w:val="right"/>
            </w:pPr>
            <w:r w:rsidRPr="005C5906">
              <w:rPr>
                <w:rFonts w:eastAsia="Calibri"/>
                <w:color w:val="000000"/>
              </w:rPr>
              <w:t>1,774.4</w:t>
            </w:r>
          </w:p>
        </w:tc>
        <w:tc>
          <w:tcPr>
            <w:tcW w:w="1696" w:type="dxa"/>
            <w:shd w:val="clear" w:color="auto" w:fill="FFFFFF"/>
            <w:tcMar>
              <w:top w:w="0" w:type="dxa"/>
              <w:left w:w="85" w:type="dxa"/>
              <w:bottom w:w="0" w:type="dxa"/>
              <w:right w:w="85" w:type="dxa"/>
            </w:tcMar>
          </w:tcPr>
          <w:p w14:paraId="68FB7D7B" w14:textId="77777777" w:rsidR="00B55611" w:rsidRPr="005C5906" w:rsidRDefault="00B55611" w:rsidP="004248D4">
            <w:pPr>
              <w:pStyle w:val="TableText"/>
              <w:spacing w:before="50" w:after="50"/>
              <w:jc w:val="right"/>
            </w:pPr>
            <w:r w:rsidRPr="005C5906">
              <w:rPr>
                <w:rFonts w:eastAsia="Calibri"/>
                <w:color w:val="000000"/>
              </w:rPr>
              <w:t>34.8</w:t>
            </w:r>
          </w:p>
        </w:tc>
      </w:tr>
      <w:tr w:rsidR="00B55611" w:rsidRPr="005C5906" w14:paraId="2C13B48C" w14:textId="77777777">
        <w:tc>
          <w:tcPr>
            <w:tcW w:w="2330" w:type="dxa"/>
            <w:shd w:val="clear" w:color="auto" w:fill="FFFFFF"/>
            <w:tcMar>
              <w:top w:w="0" w:type="dxa"/>
              <w:left w:w="85" w:type="dxa"/>
              <w:bottom w:w="0" w:type="dxa"/>
              <w:right w:w="85" w:type="dxa"/>
            </w:tcMar>
          </w:tcPr>
          <w:p w14:paraId="79DD25F4" w14:textId="77777777" w:rsidR="00B55611" w:rsidRPr="005C5906" w:rsidRDefault="00B55611" w:rsidP="004248D4">
            <w:pPr>
              <w:pStyle w:val="TableText"/>
              <w:spacing w:before="50" w:after="50"/>
            </w:pPr>
            <w:r w:rsidRPr="005C5906">
              <w:rPr>
                <w:rFonts w:eastAsia="Calibri"/>
                <w:color w:val="000000"/>
              </w:rPr>
              <w:t>HFCs</w:t>
            </w:r>
          </w:p>
        </w:tc>
        <w:tc>
          <w:tcPr>
            <w:tcW w:w="1351" w:type="dxa"/>
            <w:shd w:val="clear" w:color="auto" w:fill="FFFFFF"/>
            <w:tcMar>
              <w:top w:w="0" w:type="dxa"/>
              <w:left w:w="85" w:type="dxa"/>
              <w:bottom w:w="0" w:type="dxa"/>
              <w:right w:w="85" w:type="dxa"/>
            </w:tcMar>
          </w:tcPr>
          <w:p w14:paraId="34060CB5" w14:textId="77777777" w:rsidR="00B55611" w:rsidRPr="005C5906" w:rsidRDefault="00B55611" w:rsidP="004248D4">
            <w:pPr>
              <w:pStyle w:val="TableText"/>
              <w:spacing w:before="50" w:after="50"/>
              <w:jc w:val="right"/>
            </w:pPr>
            <w:r w:rsidRPr="005C5906">
              <w:rPr>
                <w:rFonts w:eastAsia="Calibri"/>
                <w:color w:val="000000"/>
              </w:rPr>
              <w:t>Not occurring</w:t>
            </w:r>
          </w:p>
        </w:tc>
        <w:tc>
          <w:tcPr>
            <w:tcW w:w="1134" w:type="dxa"/>
            <w:shd w:val="clear" w:color="auto" w:fill="FFFFFF"/>
            <w:tcMar>
              <w:top w:w="0" w:type="dxa"/>
              <w:left w:w="85" w:type="dxa"/>
              <w:bottom w:w="0" w:type="dxa"/>
              <w:right w:w="85" w:type="dxa"/>
            </w:tcMar>
          </w:tcPr>
          <w:p w14:paraId="67225A63" w14:textId="77777777" w:rsidR="00B55611" w:rsidRPr="005C5906" w:rsidRDefault="00B55611" w:rsidP="004248D4">
            <w:pPr>
              <w:pStyle w:val="TableText"/>
              <w:spacing w:before="50" w:after="50"/>
              <w:jc w:val="right"/>
            </w:pPr>
            <w:r w:rsidRPr="005C5906">
              <w:rPr>
                <w:rFonts w:eastAsia="Calibri"/>
                <w:color w:val="000000"/>
              </w:rPr>
              <w:t>1,498.5</w:t>
            </w:r>
          </w:p>
        </w:tc>
        <w:tc>
          <w:tcPr>
            <w:tcW w:w="1984" w:type="dxa"/>
            <w:shd w:val="clear" w:color="auto" w:fill="FFFFFF"/>
            <w:tcMar>
              <w:top w:w="0" w:type="dxa"/>
              <w:left w:w="85" w:type="dxa"/>
              <w:bottom w:w="0" w:type="dxa"/>
              <w:right w:w="85" w:type="dxa"/>
            </w:tcMar>
          </w:tcPr>
          <w:p w14:paraId="2BF2719E" w14:textId="77777777" w:rsidR="00B55611" w:rsidRPr="005C5906" w:rsidRDefault="00B55611" w:rsidP="004248D4">
            <w:pPr>
              <w:pStyle w:val="TableText"/>
              <w:spacing w:before="50" w:after="50"/>
              <w:jc w:val="right"/>
            </w:pPr>
            <w:r w:rsidRPr="005C5906">
              <w:rPr>
                <w:rFonts w:eastAsia="Calibri"/>
                <w:color w:val="000000"/>
              </w:rPr>
              <w:t>1,498.5</w:t>
            </w:r>
          </w:p>
        </w:tc>
        <w:tc>
          <w:tcPr>
            <w:tcW w:w="1696" w:type="dxa"/>
            <w:shd w:val="clear" w:color="auto" w:fill="FFFFFF"/>
            <w:tcMar>
              <w:top w:w="0" w:type="dxa"/>
              <w:left w:w="85" w:type="dxa"/>
              <w:bottom w:w="0" w:type="dxa"/>
              <w:right w:w="85" w:type="dxa"/>
            </w:tcMar>
          </w:tcPr>
          <w:p w14:paraId="0EFD7239" w14:textId="77777777" w:rsidR="00B55611" w:rsidRPr="005C5906" w:rsidRDefault="00B55611" w:rsidP="004248D4">
            <w:pPr>
              <w:pStyle w:val="TableText"/>
              <w:spacing w:before="50" w:after="50"/>
              <w:jc w:val="right"/>
            </w:pPr>
            <w:r w:rsidRPr="005C5906">
              <w:rPr>
                <w:rFonts w:eastAsia="Calibri"/>
                <w:color w:val="000000"/>
              </w:rPr>
              <w:t>NA</w:t>
            </w:r>
          </w:p>
        </w:tc>
      </w:tr>
      <w:tr w:rsidR="00B55611" w:rsidRPr="005C5906" w14:paraId="0975F3AE" w14:textId="77777777">
        <w:tc>
          <w:tcPr>
            <w:tcW w:w="2330" w:type="dxa"/>
            <w:shd w:val="clear" w:color="auto" w:fill="FFFFFF"/>
            <w:tcMar>
              <w:top w:w="0" w:type="dxa"/>
              <w:left w:w="85" w:type="dxa"/>
              <w:bottom w:w="0" w:type="dxa"/>
              <w:right w:w="85" w:type="dxa"/>
            </w:tcMar>
          </w:tcPr>
          <w:p w14:paraId="0B022F69" w14:textId="77777777" w:rsidR="00B55611" w:rsidRPr="005C5906" w:rsidRDefault="00B55611" w:rsidP="004248D4">
            <w:pPr>
              <w:pStyle w:val="TableText"/>
              <w:spacing w:before="50" w:after="50"/>
            </w:pPr>
            <w:r w:rsidRPr="005C5906">
              <w:rPr>
                <w:rFonts w:eastAsia="Calibri"/>
                <w:color w:val="000000"/>
              </w:rPr>
              <w:t>PFCs</w:t>
            </w:r>
          </w:p>
        </w:tc>
        <w:tc>
          <w:tcPr>
            <w:tcW w:w="1351" w:type="dxa"/>
            <w:shd w:val="clear" w:color="auto" w:fill="FFFFFF"/>
            <w:tcMar>
              <w:top w:w="0" w:type="dxa"/>
              <w:left w:w="85" w:type="dxa"/>
              <w:bottom w:w="0" w:type="dxa"/>
              <w:right w:w="85" w:type="dxa"/>
            </w:tcMar>
          </w:tcPr>
          <w:p w14:paraId="6DE18CBC" w14:textId="77777777" w:rsidR="00B55611" w:rsidRPr="005C5906" w:rsidRDefault="00B55611" w:rsidP="004248D4">
            <w:pPr>
              <w:pStyle w:val="TableText"/>
              <w:spacing w:before="50" w:after="50"/>
              <w:jc w:val="right"/>
            </w:pPr>
            <w:r w:rsidRPr="005C5906">
              <w:rPr>
                <w:rFonts w:eastAsia="Calibri"/>
                <w:color w:val="000000"/>
              </w:rPr>
              <w:t>818.0</w:t>
            </w:r>
          </w:p>
        </w:tc>
        <w:tc>
          <w:tcPr>
            <w:tcW w:w="1134" w:type="dxa"/>
            <w:shd w:val="clear" w:color="auto" w:fill="FFFFFF"/>
            <w:tcMar>
              <w:top w:w="0" w:type="dxa"/>
              <w:left w:w="85" w:type="dxa"/>
              <w:bottom w:w="0" w:type="dxa"/>
              <w:right w:w="85" w:type="dxa"/>
            </w:tcMar>
          </w:tcPr>
          <w:p w14:paraId="00E0EDFB" w14:textId="77777777" w:rsidR="00B55611" w:rsidRPr="005C5906" w:rsidRDefault="00B55611" w:rsidP="004248D4">
            <w:pPr>
              <w:pStyle w:val="TableText"/>
              <w:spacing w:before="50" w:after="50"/>
              <w:jc w:val="right"/>
            </w:pPr>
            <w:r w:rsidRPr="005C5906">
              <w:rPr>
                <w:rFonts w:eastAsia="Calibri"/>
                <w:color w:val="000000"/>
              </w:rPr>
              <w:t>50.9</w:t>
            </w:r>
          </w:p>
        </w:tc>
        <w:tc>
          <w:tcPr>
            <w:tcW w:w="1984" w:type="dxa"/>
            <w:shd w:val="clear" w:color="auto" w:fill="FFFFFF"/>
            <w:tcMar>
              <w:top w:w="0" w:type="dxa"/>
              <w:left w:w="85" w:type="dxa"/>
              <w:bottom w:w="0" w:type="dxa"/>
              <w:right w:w="85" w:type="dxa"/>
            </w:tcMar>
          </w:tcPr>
          <w:p w14:paraId="50165607" w14:textId="77777777" w:rsidR="00B55611" w:rsidRPr="005C5906" w:rsidRDefault="00B55611" w:rsidP="004248D4">
            <w:pPr>
              <w:pStyle w:val="TableText"/>
              <w:spacing w:before="50" w:after="50"/>
              <w:jc w:val="right"/>
            </w:pPr>
            <w:r w:rsidRPr="005C5906">
              <w:rPr>
                <w:rFonts w:eastAsia="Calibri"/>
                <w:color w:val="000000"/>
              </w:rPr>
              <w:t>–767.1</w:t>
            </w:r>
          </w:p>
        </w:tc>
        <w:tc>
          <w:tcPr>
            <w:tcW w:w="1696" w:type="dxa"/>
            <w:shd w:val="clear" w:color="auto" w:fill="FFFFFF"/>
            <w:tcMar>
              <w:top w:w="0" w:type="dxa"/>
              <w:left w:w="85" w:type="dxa"/>
              <w:bottom w:w="0" w:type="dxa"/>
              <w:right w:w="85" w:type="dxa"/>
            </w:tcMar>
          </w:tcPr>
          <w:p w14:paraId="03EF2BF4" w14:textId="77777777" w:rsidR="00B55611" w:rsidRPr="005C5906" w:rsidRDefault="00B55611" w:rsidP="004248D4">
            <w:pPr>
              <w:pStyle w:val="TableText"/>
              <w:spacing w:before="50" w:after="50"/>
              <w:jc w:val="right"/>
            </w:pPr>
            <w:r w:rsidRPr="005C5906">
              <w:rPr>
                <w:rFonts w:eastAsia="Calibri"/>
                <w:color w:val="000000"/>
              </w:rPr>
              <w:t>–93.8</w:t>
            </w:r>
          </w:p>
        </w:tc>
      </w:tr>
      <w:tr w:rsidR="00B55611" w:rsidRPr="005C5906" w14:paraId="085E7850" w14:textId="77777777">
        <w:tc>
          <w:tcPr>
            <w:tcW w:w="2330" w:type="dxa"/>
            <w:shd w:val="clear" w:color="auto" w:fill="FFFFFF"/>
            <w:tcMar>
              <w:top w:w="0" w:type="dxa"/>
              <w:left w:w="85" w:type="dxa"/>
              <w:bottom w:w="0" w:type="dxa"/>
              <w:right w:w="85" w:type="dxa"/>
            </w:tcMar>
          </w:tcPr>
          <w:p w14:paraId="0D120AFE" w14:textId="77777777" w:rsidR="00B55611" w:rsidRPr="005C5906" w:rsidRDefault="00B55611" w:rsidP="004248D4">
            <w:pPr>
              <w:pStyle w:val="TableText"/>
              <w:spacing w:before="50" w:after="50"/>
            </w:pPr>
            <w:r w:rsidRPr="005C5906">
              <w:rPr>
                <w:rFonts w:eastAsia="Calibri"/>
                <w:color w:val="000000"/>
              </w:rPr>
              <w:t>SF</w:t>
            </w:r>
            <w:r w:rsidRPr="005C5906">
              <w:rPr>
                <w:rFonts w:eastAsia="Calibri"/>
                <w:color w:val="000000"/>
                <w:vertAlign w:val="subscript"/>
              </w:rPr>
              <w:t>6</w:t>
            </w:r>
          </w:p>
        </w:tc>
        <w:tc>
          <w:tcPr>
            <w:tcW w:w="1351" w:type="dxa"/>
            <w:shd w:val="clear" w:color="auto" w:fill="FFFFFF"/>
            <w:tcMar>
              <w:top w:w="0" w:type="dxa"/>
              <w:left w:w="85" w:type="dxa"/>
              <w:bottom w:w="0" w:type="dxa"/>
              <w:right w:w="85" w:type="dxa"/>
            </w:tcMar>
          </w:tcPr>
          <w:p w14:paraId="083C6F45" w14:textId="77777777" w:rsidR="00B55611" w:rsidRPr="005C5906" w:rsidRDefault="00B55611" w:rsidP="004248D4">
            <w:pPr>
              <w:pStyle w:val="TableText"/>
              <w:spacing w:before="50" w:after="50"/>
              <w:jc w:val="right"/>
            </w:pPr>
            <w:r w:rsidRPr="005C5906">
              <w:rPr>
                <w:rFonts w:eastAsia="Calibri"/>
                <w:color w:val="000000"/>
              </w:rPr>
              <w:t>20.6</w:t>
            </w:r>
          </w:p>
        </w:tc>
        <w:tc>
          <w:tcPr>
            <w:tcW w:w="1134" w:type="dxa"/>
            <w:shd w:val="clear" w:color="auto" w:fill="FFFFFF"/>
            <w:tcMar>
              <w:top w:w="0" w:type="dxa"/>
              <w:left w:w="85" w:type="dxa"/>
              <w:bottom w:w="0" w:type="dxa"/>
              <w:right w:w="85" w:type="dxa"/>
            </w:tcMar>
          </w:tcPr>
          <w:p w14:paraId="11855800" w14:textId="77777777" w:rsidR="00B55611" w:rsidRPr="005C5906" w:rsidRDefault="00B55611" w:rsidP="004248D4">
            <w:pPr>
              <w:pStyle w:val="TableText"/>
              <w:spacing w:before="50" w:after="50"/>
              <w:jc w:val="right"/>
            </w:pPr>
            <w:r w:rsidRPr="005C5906">
              <w:rPr>
                <w:rFonts w:eastAsia="Calibri"/>
                <w:color w:val="000000"/>
              </w:rPr>
              <w:t>19.4</w:t>
            </w:r>
          </w:p>
        </w:tc>
        <w:tc>
          <w:tcPr>
            <w:tcW w:w="1984" w:type="dxa"/>
            <w:shd w:val="clear" w:color="auto" w:fill="FFFFFF"/>
            <w:tcMar>
              <w:top w:w="0" w:type="dxa"/>
              <w:left w:w="85" w:type="dxa"/>
              <w:bottom w:w="0" w:type="dxa"/>
              <w:right w:w="85" w:type="dxa"/>
            </w:tcMar>
          </w:tcPr>
          <w:p w14:paraId="438DB8BD" w14:textId="77777777" w:rsidR="00B55611" w:rsidRPr="005C5906" w:rsidRDefault="00B55611" w:rsidP="004248D4">
            <w:pPr>
              <w:pStyle w:val="TableText"/>
              <w:spacing w:before="50" w:after="50"/>
              <w:jc w:val="right"/>
            </w:pPr>
            <w:r w:rsidRPr="005C5906">
              <w:rPr>
                <w:rFonts w:eastAsia="Calibri"/>
                <w:color w:val="000000"/>
              </w:rPr>
              <w:t>–1.2</w:t>
            </w:r>
          </w:p>
        </w:tc>
        <w:tc>
          <w:tcPr>
            <w:tcW w:w="1696" w:type="dxa"/>
            <w:shd w:val="clear" w:color="auto" w:fill="FFFFFF"/>
            <w:tcMar>
              <w:top w:w="0" w:type="dxa"/>
              <w:left w:w="85" w:type="dxa"/>
              <w:bottom w:w="0" w:type="dxa"/>
              <w:right w:w="85" w:type="dxa"/>
            </w:tcMar>
          </w:tcPr>
          <w:p w14:paraId="2EF5021A" w14:textId="77777777" w:rsidR="00B55611" w:rsidRPr="005C5906" w:rsidRDefault="00B55611" w:rsidP="004248D4">
            <w:pPr>
              <w:pStyle w:val="TableText"/>
              <w:spacing w:before="50" w:after="50"/>
              <w:jc w:val="right"/>
            </w:pPr>
            <w:r w:rsidRPr="005C5906">
              <w:rPr>
                <w:rFonts w:eastAsia="Calibri"/>
                <w:color w:val="000000"/>
              </w:rPr>
              <w:t>–5.7</w:t>
            </w:r>
          </w:p>
        </w:tc>
      </w:tr>
      <w:tr w:rsidR="00B55611" w:rsidRPr="005C5906" w14:paraId="1CBDD842" w14:textId="77777777">
        <w:tc>
          <w:tcPr>
            <w:tcW w:w="2330" w:type="dxa"/>
            <w:shd w:val="clear" w:color="auto" w:fill="FFFFFF"/>
            <w:tcMar>
              <w:top w:w="0" w:type="dxa"/>
              <w:left w:w="85" w:type="dxa"/>
              <w:bottom w:w="0" w:type="dxa"/>
              <w:right w:w="85" w:type="dxa"/>
            </w:tcMar>
          </w:tcPr>
          <w:p w14:paraId="2B3A58E0" w14:textId="77777777" w:rsidR="00B55611" w:rsidRPr="005C5906" w:rsidRDefault="00B55611" w:rsidP="00D41906">
            <w:pPr>
              <w:pStyle w:val="Tableboldblue"/>
            </w:pPr>
            <w:r w:rsidRPr="005C5906">
              <w:t>Gross, all gases</w:t>
            </w:r>
          </w:p>
        </w:tc>
        <w:tc>
          <w:tcPr>
            <w:tcW w:w="1351" w:type="dxa"/>
            <w:shd w:val="clear" w:color="auto" w:fill="FFFFFF"/>
            <w:tcMar>
              <w:top w:w="0" w:type="dxa"/>
              <w:left w:w="85" w:type="dxa"/>
              <w:bottom w:w="0" w:type="dxa"/>
              <w:right w:w="85" w:type="dxa"/>
            </w:tcMar>
          </w:tcPr>
          <w:p w14:paraId="78704B9C" w14:textId="77777777" w:rsidR="00B55611" w:rsidRPr="005C5906" w:rsidRDefault="00B55611" w:rsidP="00C478EF">
            <w:pPr>
              <w:pStyle w:val="Tableboldblue"/>
              <w:jc w:val="right"/>
            </w:pPr>
            <w:r w:rsidRPr="005C5906">
              <w:t>68,958.2</w:t>
            </w:r>
          </w:p>
        </w:tc>
        <w:tc>
          <w:tcPr>
            <w:tcW w:w="1134" w:type="dxa"/>
            <w:shd w:val="clear" w:color="auto" w:fill="FFFFFF"/>
            <w:tcMar>
              <w:top w:w="0" w:type="dxa"/>
              <w:left w:w="85" w:type="dxa"/>
              <w:bottom w:w="0" w:type="dxa"/>
              <w:right w:w="85" w:type="dxa"/>
            </w:tcMar>
          </w:tcPr>
          <w:p w14:paraId="07118F65" w14:textId="77777777" w:rsidR="00B55611" w:rsidRPr="005C5906" w:rsidRDefault="00B55611" w:rsidP="00C478EF">
            <w:pPr>
              <w:pStyle w:val="Tableboldblue"/>
              <w:jc w:val="right"/>
            </w:pPr>
            <w:r w:rsidRPr="005C5906">
              <w:t>78,395.4</w:t>
            </w:r>
          </w:p>
        </w:tc>
        <w:tc>
          <w:tcPr>
            <w:tcW w:w="1984" w:type="dxa"/>
            <w:shd w:val="clear" w:color="auto" w:fill="FFFFFF"/>
            <w:tcMar>
              <w:top w:w="0" w:type="dxa"/>
              <w:left w:w="85" w:type="dxa"/>
              <w:bottom w:w="0" w:type="dxa"/>
              <w:right w:w="85" w:type="dxa"/>
            </w:tcMar>
          </w:tcPr>
          <w:p w14:paraId="47B6C293" w14:textId="77777777" w:rsidR="00B55611" w:rsidRPr="005C5906" w:rsidRDefault="00B55611" w:rsidP="00C478EF">
            <w:pPr>
              <w:pStyle w:val="Tableboldblue"/>
              <w:jc w:val="right"/>
            </w:pPr>
            <w:r w:rsidRPr="005C5906">
              <w:t>9,437.2</w:t>
            </w:r>
          </w:p>
        </w:tc>
        <w:tc>
          <w:tcPr>
            <w:tcW w:w="1696" w:type="dxa"/>
            <w:shd w:val="clear" w:color="auto" w:fill="FFFFFF"/>
            <w:tcMar>
              <w:top w:w="0" w:type="dxa"/>
              <w:left w:w="85" w:type="dxa"/>
              <w:bottom w:w="0" w:type="dxa"/>
              <w:right w:w="85" w:type="dxa"/>
            </w:tcMar>
          </w:tcPr>
          <w:p w14:paraId="495353AC" w14:textId="77777777" w:rsidR="00B55611" w:rsidRPr="005C5906" w:rsidRDefault="00B55611" w:rsidP="00C478EF">
            <w:pPr>
              <w:pStyle w:val="Tableboldblue"/>
              <w:jc w:val="right"/>
            </w:pPr>
            <w:r w:rsidRPr="005C5906">
              <w:t>13.7</w:t>
            </w:r>
          </w:p>
        </w:tc>
      </w:tr>
    </w:tbl>
    <w:p w14:paraId="3A1E2F99" w14:textId="77777777" w:rsidR="00B55611" w:rsidRPr="005C5906" w:rsidRDefault="00B55611" w:rsidP="00B55611">
      <w:pPr>
        <w:pStyle w:val="Noteundertable"/>
      </w:pPr>
      <w:r w:rsidRPr="005C5906">
        <w:rPr>
          <w:b/>
          <w:bCs/>
        </w:rPr>
        <w:t>Note:</w:t>
      </w:r>
      <w:r w:rsidRPr="005C5906">
        <w:t xml:space="preserve"> </w:t>
      </w:r>
      <w:r w:rsidRPr="005C5906">
        <w:tab/>
        <w:t>CH</w:t>
      </w:r>
      <w:r w:rsidRPr="005C5906">
        <w:rPr>
          <w:vertAlign w:val="subscript"/>
        </w:rPr>
        <w:t>4</w:t>
      </w:r>
      <w:r w:rsidRPr="005C5906">
        <w:t xml:space="preserve"> = methane; CO</w:t>
      </w:r>
      <w:r w:rsidRPr="005C5906">
        <w:rPr>
          <w:vertAlign w:val="subscript"/>
        </w:rPr>
        <w:t>2</w:t>
      </w:r>
      <w:r w:rsidRPr="005C5906">
        <w:t xml:space="preserve"> = carbon dioxide; HFCs = hydrofluorocarbons; kt CO</w:t>
      </w:r>
      <w:r w:rsidRPr="005C5906">
        <w:rPr>
          <w:vertAlign w:val="subscript"/>
        </w:rPr>
        <w:t>2</w:t>
      </w:r>
      <w:r w:rsidRPr="005C5906">
        <w:t>e = kilotonnes of carbon dioxide equivalent; N</w:t>
      </w:r>
      <w:r w:rsidRPr="005C5906">
        <w:rPr>
          <w:vertAlign w:val="subscript"/>
        </w:rPr>
        <w:t>2</w:t>
      </w:r>
      <w:r w:rsidRPr="005C5906">
        <w:t>O = nitrous oxide; PFCs = perfluorocarbons; SF</w:t>
      </w:r>
      <w:r w:rsidRPr="005C5906">
        <w:rPr>
          <w:vertAlign w:val="subscript"/>
        </w:rPr>
        <w:t>6</w:t>
      </w:r>
      <w:r w:rsidRPr="005C5906">
        <w:t xml:space="preserve"> = sulphur hexafluoride. Gross emissions exclude net emissions from the LULUCF sector. The percentage change for HFCs is not applicable (NA) because no emissions of HFCs occurred in 1990. Columns may not total due to rounding. Percentages presented are calculated from unrounded values.</w:t>
      </w:r>
    </w:p>
    <w:p w14:paraId="3314CF55" w14:textId="5B23E5C7" w:rsidR="00B55611" w:rsidRPr="005C5906" w:rsidRDefault="00B55611" w:rsidP="00201256">
      <w:pPr>
        <w:pStyle w:val="Figureheading"/>
      </w:pPr>
      <w:bookmarkStart w:id="39" w:name="figure13"/>
      <w:bookmarkStart w:id="40" w:name="_Toc185347233"/>
      <w:r w:rsidRPr="005C5906">
        <w:t>Figure 1.</w:t>
      </w:r>
      <w:r w:rsidR="00403B80">
        <w:fldChar w:fldCharType="begin"/>
      </w:r>
      <w:r w:rsidR="00403B80">
        <w:instrText xml:space="preserve"> SEQ Figure \* ARABIC </w:instrText>
      </w:r>
      <w:r w:rsidR="00403B80">
        <w:fldChar w:fldCharType="separate"/>
      </w:r>
      <w:r w:rsidR="005843E4">
        <w:rPr>
          <w:noProof/>
        </w:rPr>
        <w:t>3</w:t>
      </w:r>
      <w:r w:rsidR="00403B80">
        <w:rPr>
          <w:noProof/>
        </w:rPr>
        <w:fldChar w:fldCharType="end"/>
      </w:r>
      <w:bookmarkEnd w:id="39"/>
      <w:r w:rsidRPr="005C5906">
        <w:t>:</w:t>
      </w:r>
      <w:r w:rsidRPr="005C5906">
        <w:tab/>
        <w:t>New Zealand’s gross and net emissions, 1990–2022</w:t>
      </w:r>
      <w:bookmarkEnd w:id="40"/>
    </w:p>
    <w:p w14:paraId="4062C60C" w14:textId="77777777" w:rsidR="00B55611" w:rsidRPr="005C5906" w:rsidRDefault="00B55611" w:rsidP="00B55611">
      <w:pPr>
        <w:pStyle w:val="BodyText"/>
        <w:spacing w:after="60"/>
      </w:pPr>
      <w:r w:rsidRPr="005C5906">
        <w:rPr>
          <w:noProof/>
        </w:rPr>
        <w:drawing>
          <wp:inline distT="0" distB="0" distL="0" distR="0" wp14:anchorId="6F8FF51C" wp14:editId="1B1E76A2">
            <wp:extent cx="5397252" cy="3514725"/>
            <wp:effectExtent l="0" t="0" r="0" b="0"/>
            <wp:docPr id="24" name="Picture 24" descr="A line graph showing New Zealand’s gross emissions (excluding LULUCF) and net emissions (including LULUCF) in kilotonnes carbon dioxide for 1990 to 2022."/>
            <wp:cNvGraphicFramePr/>
            <a:graphic xmlns:a="http://schemas.openxmlformats.org/drawingml/2006/main">
              <a:graphicData uri="http://schemas.openxmlformats.org/drawingml/2006/picture">
                <pic:pic xmlns:pic="http://schemas.openxmlformats.org/drawingml/2006/picture">
                  <pic:nvPicPr>
                    <pic:cNvPr id="24" name="Picture 24" descr="A line graph showing New Zealand’s gross emissions (excluding LULUCF) and net emissions (including LULUCF) in kilotonnes carbon dioxide for 1990 to 2022."/>
                    <pic:cNvPicPr>
                      <a:picLocks noChangeAspect="1" noChangeArrowheads="1"/>
                    </pic:cNvPicPr>
                  </pic:nvPicPr>
                  <pic:blipFill rotWithShape="1">
                    <a:blip r:embed="rId45"/>
                    <a:srcRect b="2332"/>
                    <a:stretch/>
                  </pic:blipFill>
                  <pic:spPr bwMode="auto">
                    <a:xfrm>
                      <a:off x="0" y="0"/>
                      <a:ext cx="5399822" cy="3516399"/>
                    </a:xfrm>
                    <a:prstGeom prst="rect">
                      <a:avLst/>
                    </a:prstGeom>
                    <a:noFill/>
                    <a:ln>
                      <a:noFill/>
                    </a:ln>
                    <a:extLst>
                      <a:ext uri="{53640926-AAD7-44D8-BBD7-CCE9431645EC}">
                        <a14:shadowObscured xmlns:a14="http://schemas.microsoft.com/office/drawing/2010/main"/>
                      </a:ext>
                    </a:extLst>
                  </pic:spPr>
                </pic:pic>
              </a:graphicData>
            </a:graphic>
          </wp:inline>
        </w:drawing>
      </w:r>
    </w:p>
    <w:p w14:paraId="28548FDB" w14:textId="2C36FD0A" w:rsidR="00B55611" w:rsidRPr="005C5906" w:rsidRDefault="00B55611" w:rsidP="00B55611">
      <w:pPr>
        <w:pStyle w:val="Noteundertable"/>
      </w:pPr>
      <w:r w:rsidRPr="005C5906">
        <w:rPr>
          <w:b/>
          <w:bCs/>
        </w:rPr>
        <w:t>Note:</w:t>
      </w:r>
      <w:r w:rsidRPr="005C5906">
        <w:t xml:space="preserve"> </w:t>
      </w:r>
      <w:r w:rsidRPr="005C5906">
        <w:tab/>
        <w:t>kt CO</w:t>
      </w:r>
      <w:r w:rsidRPr="005C5906">
        <w:rPr>
          <w:vertAlign w:val="subscript"/>
        </w:rPr>
        <w:t>2</w:t>
      </w:r>
      <w:r w:rsidR="000D6242">
        <w:t xml:space="preserve"> </w:t>
      </w:r>
      <w:r w:rsidRPr="005C5906">
        <w:t>equivalent = kilotonnes of carbon dioxide equivalent; LULUCF = Land Use, Land-Use Change and Forestry.</w:t>
      </w:r>
    </w:p>
    <w:p w14:paraId="4F1F81B3" w14:textId="77777777" w:rsidR="00B55611" w:rsidRPr="005C5906" w:rsidRDefault="00B55611" w:rsidP="00B55611">
      <w:pPr>
        <w:pStyle w:val="Source"/>
        <w:spacing w:before="0"/>
      </w:pPr>
      <w:r w:rsidRPr="00E845A7">
        <w:rPr>
          <w:bCs/>
        </w:rPr>
        <w:t>Source:</w:t>
      </w:r>
      <w:r w:rsidRPr="005C5906">
        <w:rPr>
          <w:b/>
        </w:rPr>
        <w:t xml:space="preserve"> </w:t>
      </w:r>
      <w:r w:rsidRPr="005C5906">
        <w:t xml:space="preserve">Ministry for the Environment. 2024. </w:t>
      </w:r>
      <w:r w:rsidRPr="005C5906">
        <w:rPr>
          <w:i/>
        </w:rPr>
        <w:t xml:space="preserve">New Zealand’s Greenhouse Gas Inventory 1990–2022. </w:t>
      </w:r>
      <w:r w:rsidRPr="005C5906">
        <w:t>Wellington: Ministry for the Environment.</w:t>
      </w:r>
    </w:p>
    <w:p w14:paraId="06BF9243" w14:textId="77777777" w:rsidR="00B55611" w:rsidRPr="005C5906" w:rsidRDefault="00B55611" w:rsidP="00784F5F">
      <w:pPr>
        <w:pStyle w:val="Heading4"/>
        <w:numPr>
          <w:ilvl w:val="0"/>
          <w:numId w:val="106"/>
        </w:numPr>
      </w:pPr>
      <w:r w:rsidRPr="005C5906">
        <w:t>Net emissions</w:t>
      </w:r>
    </w:p>
    <w:p w14:paraId="7E5ACCD5" w14:textId="77777777" w:rsidR="00B55611" w:rsidRPr="005C5906" w:rsidRDefault="00B55611" w:rsidP="00B55611">
      <w:pPr>
        <w:pStyle w:val="BodyText"/>
      </w:pPr>
      <w:r w:rsidRPr="005C5906">
        <w:t>In 1990, New Zealand’s net emissions were 44,633.6 kt CO</w:t>
      </w:r>
      <w:r w:rsidRPr="005C5906">
        <w:rPr>
          <w:vertAlign w:val="subscript"/>
        </w:rPr>
        <w:t>2</w:t>
      </w:r>
      <w:r w:rsidRPr="005C5906">
        <w:t>e. Between 1990 and 2022, net GHG emissions increased by 32.5 per cent (14,523.0 kt CO</w:t>
      </w:r>
      <w:r w:rsidRPr="005C5906">
        <w:rPr>
          <w:vertAlign w:val="subscript"/>
        </w:rPr>
        <w:t>2</w:t>
      </w:r>
      <w:r w:rsidRPr="005C5906">
        <w:t>e) to 59,156.6 kt CO</w:t>
      </w:r>
      <w:r w:rsidRPr="005C5906">
        <w:rPr>
          <w:vertAlign w:val="subscript"/>
        </w:rPr>
        <w:t>2</w:t>
      </w:r>
      <w:r w:rsidRPr="005C5906">
        <w:t xml:space="preserve">e. </w:t>
      </w:r>
    </w:p>
    <w:p w14:paraId="7C7105EE" w14:textId="77777777" w:rsidR="00B55611" w:rsidRPr="005C5906" w:rsidRDefault="00B55611" w:rsidP="00B55611">
      <w:pPr>
        <w:pStyle w:val="BodyText"/>
      </w:pPr>
      <w:r w:rsidRPr="005C5906">
        <w:t xml:space="preserve">The main reasons for the increase in net emissions were the underlying increase in gross emissions, and the impact of harvesting cycles on emissions from the LULUCF sector. </w:t>
      </w:r>
    </w:p>
    <w:p w14:paraId="16FD73B9" w14:textId="77777777" w:rsidR="00B55611" w:rsidRPr="005C5906" w:rsidRDefault="00B55611" w:rsidP="00B55611">
      <w:pPr>
        <w:pStyle w:val="BodyText"/>
      </w:pPr>
      <w:r w:rsidRPr="005C5906">
        <w:t>New Zealand’s net emissions trends are heavily influenced by forest planting and harvest cycles that affect the LULUCF sector. N</w:t>
      </w:r>
      <w:r w:rsidRPr="005C5906">
        <w:rPr>
          <w:rFonts w:eastAsiaTheme="majorEastAsia"/>
        </w:rPr>
        <w:t xml:space="preserve">et emissions in the LULUCF sector have been generally increasing over the past decade. Current harvest rates are close to historically high levels due to the </w:t>
      </w:r>
      <w:r w:rsidRPr="005C5906">
        <w:t>establishment</w:t>
      </w:r>
      <w:r w:rsidRPr="005C5906">
        <w:rPr>
          <w:rFonts w:eastAsiaTheme="majorEastAsia"/>
        </w:rPr>
        <w:t xml:space="preserve"> of significant </w:t>
      </w:r>
      <w:r w:rsidRPr="005C5906">
        <w:t>plantation forests</w:t>
      </w:r>
      <w:r w:rsidRPr="005C5906">
        <w:rPr>
          <w:rFonts w:eastAsiaTheme="majorEastAsia"/>
        </w:rPr>
        <w:t xml:space="preserve"> from the 1980s and into the early 1990s. The forests that were established during this period have progressively been reaching maturity, and </w:t>
      </w:r>
      <w:r w:rsidRPr="005C5906">
        <w:t xml:space="preserve">will continue to do so throughout the </w:t>
      </w:r>
      <w:r w:rsidRPr="005C5906">
        <w:rPr>
          <w:rFonts w:eastAsiaTheme="majorEastAsia"/>
        </w:rPr>
        <w:t>2020s. While harvesting rates remain high</w:t>
      </w:r>
      <w:r w:rsidRPr="005C5906">
        <w:t xml:space="preserve"> and harvested forests are replanted, </w:t>
      </w:r>
      <w:r w:rsidRPr="005C5906">
        <w:rPr>
          <w:rFonts w:eastAsiaTheme="majorEastAsia"/>
        </w:rPr>
        <w:t xml:space="preserve">the average age of the planted forest estate is reduced each year. Young stands have low growth rates compared with older, faster-growing stands. </w:t>
      </w:r>
      <w:r w:rsidRPr="005C5906">
        <w:t>In the future, as the harvest rate declines and growth rates of replanted forest stands increase, net removals are likely to increase.</w:t>
      </w:r>
    </w:p>
    <w:bookmarkEnd w:id="30"/>
    <w:p w14:paraId="144D4837" w14:textId="07C534F7" w:rsidR="00B55611" w:rsidRPr="005C5906" w:rsidRDefault="008A5C45" w:rsidP="00B55611">
      <w:pPr>
        <w:pStyle w:val="BodyText"/>
      </w:pPr>
      <w:r>
        <w:fldChar w:fldCharType="begin"/>
      </w:r>
      <w:r>
        <w:instrText>HYPERLINK  \l "figure14"</w:instrText>
      </w:r>
      <w:r>
        <w:fldChar w:fldCharType="separate"/>
      </w:r>
      <w:r w:rsidRPr="008A5C45">
        <w:rPr>
          <w:rStyle w:val="Hyperlink"/>
        </w:rPr>
        <w:t>Figure 1.4</w:t>
      </w:r>
      <w:r>
        <w:fldChar w:fldCharType="end"/>
      </w:r>
      <w:r>
        <w:t xml:space="preserve"> </w:t>
      </w:r>
      <w:r w:rsidR="00B55611" w:rsidRPr="005C5906">
        <w:t xml:space="preserve">shows the contribution to net emissions that each </w:t>
      </w:r>
      <w:r w:rsidR="00D95B6C">
        <w:t>I</w:t>
      </w:r>
      <w:r w:rsidR="00B55611" w:rsidRPr="005C5906">
        <w:t>nventory sector has made since 1990. The Agriculture and Energy sectors dominated New Zealand’s gross emissions. Together, these sectors produced 89.5 per cent of New Zealand’s annual gross GHG emissions from 1990 to 2022. The IPPU and Waste sectors produced relatively small amounts of GHGs, contributing between 4 per cent and 7 per cent of the annual gross emissions for the entire time series. Conversely, the LULUCF sector was a net sink of GHG emissions between 1990 and 2022.</w:t>
      </w:r>
    </w:p>
    <w:p w14:paraId="73D82ECF" w14:textId="038D52C3" w:rsidR="00B55611" w:rsidRPr="005C5906" w:rsidRDefault="00B55611" w:rsidP="00201256">
      <w:pPr>
        <w:pStyle w:val="Figureheading"/>
      </w:pPr>
      <w:bookmarkStart w:id="41" w:name="_Ref179871239"/>
      <w:bookmarkStart w:id="42" w:name="figure14"/>
      <w:bookmarkStart w:id="43" w:name="_Toc164153985"/>
      <w:bookmarkStart w:id="44" w:name="_Toc185347234"/>
      <w:r w:rsidRPr="005C5906">
        <w:rPr>
          <w:bCs/>
        </w:rPr>
        <w:t>Figure 1.</w:t>
      </w:r>
      <w:r w:rsidRPr="005C5906">
        <w:rPr>
          <w:bCs/>
        </w:rPr>
        <w:fldChar w:fldCharType="begin"/>
      </w:r>
      <w:r w:rsidRPr="005C5906">
        <w:rPr>
          <w:bCs/>
        </w:rPr>
        <w:instrText xml:space="preserve"> SEQ Figure \* ARABIC </w:instrText>
      </w:r>
      <w:r w:rsidRPr="005C5906">
        <w:rPr>
          <w:bCs/>
        </w:rPr>
        <w:fldChar w:fldCharType="separate"/>
      </w:r>
      <w:r w:rsidR="005843E4">
        <w:rPr>
          <w:bCs/>
          <w:noProof/>
        </w:rPr>
        <w:t>4</w:t>
      </w:r>
      <w:r w:rsidRPr="005C5906">
        <w:rPr>
          <w:bCs/>
        </w:rPr>
        <w:fldChar w:fldCharType="end"/>
      </w:r>
      <w:bookmarkEnd w:id="41"/>
      <w:bookmarkEnd w:id="42"/>
      <w:r w:rsidRPr="005C5906">
        <w:rPr>
          <w:bCs/>
        </w:rPr>
        <w:t>:</w:t>
      </w:r>
      <w:r w:rsidRPr="005C5906">
        <w:rPr>
          <w:bCs/>
        </w:rPr>
        <w:tab/>
      </w:r>
      <w:r w:rsidRPr="005C5906">
        <w:t xml:space="preserve">Trends in New Zealand’s greenhouse gas emissions by sector, </w:t>
      </w:r>
      <w:r w:rsidRPr="005C5906">
        <w:rPr>
          <w:bCs/>
        </w:rPr>
        <w:t>1990</w:t>
      </w:r>
      <w:r w:rsidRPr="005C5906">
        <w:t>–</w:t>
      </w:r>
      <w:r w:rsidRPr="005C5906">
        <w:rPr>
          <w:bCs/>
        </w:rPr>
        <w:t>2022</w:t>
      </w:r>
      <w:bookmarkEnd w:id="43"/>
      <w:bookmarkEnd w:id="44"/>
    </w:p>
    <w:p w14:paraId="4788AA51" w14:textId="77777777" w:rsidR="00B55611" w:rsidRPr="00DB7DF8" w:rsidRDefault="00B55611" w:rsidP="00DB7DF8">
      <w:pPr>
        <w:pStyle w:val="BodyText"/>
      </w:pPr>
      <w:r w:rsidRPr="005C5906">
        <w:rPr>
          <w:noProof/>
        </w:rPr>
        <w:drawing>
          <wp:inline distT="0" distB="0" distL="0" distR="0" wp14:anchorId="24844B87" wp14:editId="4CB6B54E">
            <wp:extent cx="4997302" cy="3558363"/>
            <wp:effectExtent l="0" t="0" r="0" b="4445"/>
            <wp:docPr id="40" name="Picture 40" descr="A line graph showing trends in New Zealand’s greenhouse gas emissions in kilotonnes carbon dioxide equivalent by sector for 1990 to 2022."/>
            <wp:cNvGraphicFramePr/>
            <a:graphic xmlns:a="http://schemas.openxmlformats.org/drawingml/2006/main">
              <a:graphicData uri="http://schemas.openxmlformats.org/drawingml/2006/picture">
                <pic:pic xmlns:pic="http://schemas.openxmlformats.org/drawingml/2006/picture">
                  <pic:nvPicPr>
                    <pic:cNvPr id="40" name="Picture 40" descr="A line graph showing trends in New Zealand’s greenhouse gas emissions in kilotonnes carbon dioxide equivalent by sector for 1990 to 2022."/>
                    <pic:cNvPicPr>
                      <a:picLocks noChangeAspect="1" noChangeArrowheads="1"/>
                    </pic:cNvPicPr>
                  </pic:nvPicPr>
                  <pic:blipFill rotWithShape="1">
                    <a:blip r:embed="rId46"/>
                    <a:srcRect b="2293"/>
                    <a:stretch/>
                  </pic:blipFill>
                  <pic:spPr bwMode="auto">
                    <a:xfrm>
                      <a:off x="0" y="0"/>
                      <a:ext cx="5027155" cy="3579620"/>
                    </a:xfrm>
                    <a:prstGeom prst="rect">
                      <a:avLst/>
                    </a:prstGeom>
                    <a:noFill/>
                    <a:ln>
                      <a:noFill/>
                    </a:ln>
                    <a:extLst>
                      <a:ext uri="{53640926-AAD7-44D8-BBD7-CCE9431645EC}">
                        <a14:shadowObscured xmlns:a14="http://schemas.microsoft.com/office/drawing/2010/main"/>
                      </a:ext>
                    </a:extLst>
                  </pic:spPr>
                </pic:pic>
              </a:graphicData>
            </a:graphic>
          </wp:inline>
        </w:drawing>
      </w:r>
    </w:p>
    <w:p w14:paraId="60FACDA6" w14:textId="10FAF09B" w:rsidR="00B55611" w:rsidRPr="005C5906" w:rsidRDefault="00B55611" w:rsidP="00B55611">
      <w:pPr>
        <w:pStyle w:val="Noteundertable"/>
        <w:spacing w:after="0"/>
      </w:pPr>
      <w:r w:rsidRPr="005C5906">
        <w:rPr>
          <w:b/>
          <w:bCs/>
        </w:rPr>
        <w:t>Note:</w:t>
      </w:r>
      <w:r w:rsidRPr="005C5906">
        <w:t xml:space="preserve"> </w:t>
      </w:r>
      <w:r w:rsidRPr="005C5906">
        <w:tab/>
        <w:t>IPPU = Industrial Processes and Product Use; kt CO</w:t>
      </w:r>
      <w:r w:rsidRPr="005C5906">
        <w:rPr>
          <w:vertAlign w:val="subscript"/>
        </w:rPr>
        <w:t>2</w:t>
      </w:r>
      <w:r w:rsidR="000D6242">
        <w:t xml:space="preserve"> </w:t>
      </w:r>
      <w:r w:rsidRPr="005C5906">
        <w:t xml:space="preserve">equivalent = kilotonnes of carbon dioxide equivalent; LULUCF = Land Use, Land-Use Change and Forestry. </w:t>
      </w:r>
    </w:p>
    <w:p w14:paraId="56755845" w14:textId="5FBD9144" w:rsidR="00B55611" w:rsidRDefault="00B55611" w:rsidP="00B55611">
      <w:pPr>
        <w:pStyle w:val="Source"/>
      </w:pPr>
      <w:r w:rsidRPr="00E845A7">
        <w:rPr>
          <w:bCs/>
        </w:rPr>
        <w:t>Source:</w:t>
      </w:r>
      <w:r w:rsidRPr="005C5906">
        <w:rPr>
          <w:b/>
        </w:rPr>
        <w:t xml:space="preserve"> </w:t>
      </w:r>
      <w:r w:rsidRPr="005C5906">
        <w:t xml:space="preserve">Ministry for the Environment. 2024. </w:t>
      </w:r>
      <w:r w:rsidRPr="005C5906">
        <w:rPr>
          <w:i/>
        </w:rPr>
        <w:t xml:space="preserve">New Zealand’s Greenhouse Gas Inventory 1990–2022. </w:t>
      </w:r>
      <w:r w:rsidRPr="005C5906">
        <w:t>Wellington: Ministry for the Environment.</w:t>
      </w:r>
    </w:p>
    <w:p w14:paraId="2A848C24" w14:textId="77777777" w:rsidR="00B13F05" w:rsidRDefault="00B13F05" w:rsidP="00D84012">
      <w:pPr>
        <w:pStyle w:val="BodyText"/>
      </w:pPr>
    </w:p>
    <w:p w14:paraId="6640AAEB" w14:textId="77777777" w:rsidR="00C806AB" w:rsidRDefault="00C806AB" w:rsidP="00D84012">
      <w:pPr>
        <w:pStyle w:val="BodyText"/>
      </w:pPr>
    </w:p>
    <w:p w14:paraId="6EF69BAF" w14:textId="77777777" w:rsidR="00C806AB" w:rsidRDefault="00C806AB" w:rsidP="00D84012">
      <w:pPr>
        <w:pStyle w:val="BodyText"/>
        <w:sectPr w:rsidR="00C806AB" w:rsidSect="008A7498">
          <w:headerReference w:type="even" r:id="rId47"/>
          <w:headerReference w:type="default" r:id="rId48"/>
          <w:footerReference w:type="default" r:id="rId49"/>
          <w:headerReference w:type="first" r:id="rId50"/>
          <w:pgSz w:w="11907" w:h="16840" w:code="9"/>
          <w:pgMar w:top="1134" w:right="1701" w:bottom="1134" w:left="1701" w:header="567" w:footer="567" w:gutter="0"/>
          <w:cols w:space="720"/>
          <w:docGrid w:linePitch="299"/>
        </w:sectPr>
      </w:pPr>
    </w:p>
    <w:p w14:paraId="1C1DB803" w14:textId="427A0DFD" w:rsidR="00C806AB" w:rsidRDefault="00A07541" w:rsidP="00D84012">
      <w:pPr>
        <w:pStyle w:val="BodyText"/>
      </w:pPr>
      <w:r>
        <w:rPr>
          <w:noProof/>
        </w:rPr>
        <w:drawing>
          <wp:anchor distT="0" distB="0" distL="114300" distR="114300" simplePos="0" relativeHeight="251658241" behindDoc="1" locked="0" layoutInCell="1" allowOverlap="1" wp14:anchorId="622E251A" wp14:editId="60F53C9E">
            <wp:simplePos x="0" y="0"/>
            <wp:positionH relativeFrom="page">
              <wp:align>left</wp:align>
            </wp:positionH>
            <wp:positionV relativeFrom="paragraph">
              <wp:posOffset>-720091</wp:posOffset>
            </wp:positionV>
            <wp:extent cx="7709692" cy="10905067"/>
            <wp:effectExtent l="0" t="0" r="5715" b="0"/>
            <wp:wrapNone/>
            <wp:docPr id="13927200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720018" name="Picture 1392720018"/>
                    <pic:cNvPicPr/>
                  </pic:nvPicPr>
                  <pic:blipFill>
                    <a:blip r:embed="rId51"/>
                    <a:stretch>
                      <a:fillRect/>
                    </a:stretch>
                  </pic:blipFill>
                  <pic:spPr>
                    <a:xfrm>
                      <a:off x="0" y="0"/>
                      <a:ext cx="7709692" cy="10905067"/>
                    </a:xfrm>
                    <a:prstGeom prst="rect">
                      <a:avLst/>
                    </a:prstGeom>
                  </pic:spPr>
                </pic:pic>
              </a:graphicData>
            </a:graphic>
            <wp14:sizeRelH relativeFrom="page">
              <wp14:pctWidth>0</wp14:pctWidth>
            </wp14:sizeRelH>
            <wp14:sizeRelV relativeFrom="page">
              <wp14:pctHeight>0</wp14:pctHeight>
            </wp14:sizeRelV>
          </wp:anchor>
        </w:drawing>
      </w:r>
      <w:r w:rsidR="00C806AB">
        <w:t xml:space="preserve"> </w:t>
      </w:r>
    </w:p>
    <w:p w14:paraId="32B74470" w14:textId="411423E9" w:rsidR="00C806AB" w:rsidRDefault="00C806AB" w:rsidP="00D84012">
      <w:pPr>
        <w:pStyle w:val="BodyText"/>
      </w:pPr>
    </w:p>
    <w:p w14:paraId="3531B46A" w14:textId="7E802142" w:rsidR="00C806AB" w:rsidRDefault="00C806AB" w:rsidP="00D84012">
      <w:pPr>
        <w:pStyle w:val="BodyText"/>
      </w:pPr>
    </w:p>
    <w:p w14:paraId="48104666" w14:textId="7BB35643" w:rsidR="00C806AB" w:rsidRDefault="00C806AB" w:rsidP="00D84012">
      <w:pPr>
        <w:pStyle w:val="BodyText"/>
      </w:pPr>
    </w:p>
    <w:p w14:paraId="7E78585C" w14:textId="04B36C35" w:rsidR="00B71F88" w:rsidRDefault="00C806AB" w:rsidP="00A07541">
      <w:pPr>
        <w:pStyle w:val="Heading1"/>
        <w:rPr>
          <w:color w:val="FFFFFF" w:themeColor="background1"/>
        </w:rPr>
      </w:pPr>
      <w:bookmarkStart w:id="45" w:name="_Toc184825480"/>
      <w:r w:rsidRPr="00A07541">
        <w:rPr>
          <w:color w:val="FFFFFF" w:themeColor="background1"/>
        </w:rPr>
        <w:t>Chapter 2</w:t>
      </w:r>
      <w:r w:rsidR="00A07541" w:rsidRPr="00A07541">
        <w:rPr>
          <w:color w:val="FFFFFF" w:themeColor="background1"/>
        </w:rPr>
        <w:br/>
      </w:r>
      <w:r w:rsidR="00A07541" w:rsidRPr="00A07541">
        <w:rPr>
          <w:color w:val="FFFFFF" w:themeColor="background1"/>
        </w:rPr>
        <w:br/>
      </w:r>
      <w:r w:rsidRPr="00A07541">
        <w:rPr>
          <w:color w:val="FFFFFF" w:themeColor="background1"/>
        </w:rPr>
        <w:t>Information necessary to track progress made in implementing and achieving nationally determined contributions under Article 4 of Paris Agreement</w:t>
      </w:r>
      <w:bookmarkEnd w:id="45"/>
    </w:p>
    <w:bookmarkEnd w:id="1"/>
    <w:p w14:paraId="741B3CBC" w14:textId="78BC5472" w:rsidR="00B73EEC" w:rsidRDefault="00B73EEC">
      <w:pPr>
        <w:spacing w:before="0" w:after="200" w:line="276" w:lineRule="auto"/>
        <w:jc w:val="left"/>
      </w:pPr>
      <w:r>
        <w:br w:type="page"/>
      </w:r>
    </w:p>
    <w:p w14:paraId="4647AD17" w14:textId="77777777" w:rsidR="00D61191" w:rsidRPr="004C2091" w:rsidRDefault="00D61191" w:rsidP="0044676F">
      <w:pPr>
        <w:pStyle w:val="Heading1"/>
        <w:numPr>
          <w:ilvl w:val="0"/>
          <w:numId w:val="45"/>
        </w:numPr>
        <w:tabs>
          <w:tab w:val="clear" w:pos="851"/>
          <w:tab w:val="left" w:pos="1134"/>
        </w:tabs>
        <w:ind w:left="1134" w:hanging="1134"/>
      </w:pPr>
      <w:bookmarkStart w:id="46" w:name="_National_circumstances_and"/>
      <w:bookmarkStart w:id="47" w:name="_Toc169616324"/>
      <w:bookmarkStart w:id="48" w:name="_Toc169616505"/>
      <w:bookmarkStart w:id="49" w:name="_Toc169620017"/>
      <w:bookmarkStart w:id="50" w:name="_Toc172793929"/>
      <w:bookmarkStart w:id="51" w:name="_Toc173232777"/>
      <w:bookmarkStart w:id="52" w:name="_Toc184825481"/>
      <w:bookmarkEnd w:id="46"/>
      <w:r w:rsidRPr="004C2091">
        <w:t>National circumstances and institutional arrangements</w:t>
      </w:r>
      <w:bookmarkEnd w:id="47"/>
      <w:bookmarkEnd w:id="48"/>
      <w:bookmarkEnd w:id="49"/>
      <w:bookmarkEnd w:id="50"/>
      <w:bookmarkEnd w:id="51"/>
      <w:bookmarkEnd w:id="52"/>
      <w:r w:rsidRPr="004C2091">
        <w:t xml:space="preserve"> </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8505"/>
      </w:tblGrid>
      <w:tr w:rsidR="00D61191" w:rsidRPr="004C2091" w14:paraId="09A6458D" w14:textId="77777777" w:rsidTr="00E955EA">
        <w:tc>
          <w:tcPr>
            <w:tcW w:w="9286" w:type="dxa"/>
            <w:tcBorders>
              <w:bottom w:val="single" w:sz="4" w:space="0" w:color="32809C" w:themeColor="accent2"/>
            </w:tcBorders>
            <w:shd w:val="clear" w:color="auto" w:fill="32809C" w:themeFill="accent2"/>
          </w:tcPr>
          <w:p w14:paraId="46C83501" w14:textId="77777777" w:rsidR="00D61191" w:rsidRPr="004C2091" w:rsidRDefault="00D61191">
            <w:pPr>
              <w:pStyle w:val="Heading2"/>
              <w:spacing w:before="120" w:after="120"/>
              <w:rPr>
                <w:color w:val="FFFFFF" w:themeColor="background1"/>
              </w:rPr>
            </w:pPr>
            <w:bookmarkStart w:id="53" w:name="_Toc184825482"/>
            <w:r w:rsidRPr="004C2091">
              <w:rPr>
                <w:color w:val="FFFFFF" w:themeColor="background1"/>
              </w:rPr>
              <w:t>Key messages</w:t>
            </w:r>
            <w:bookmarkEnd w:id="53"/>
          </w:p>
        </w:tc>
      </w:tr>
      <w:tr w:rsidR="00D61191" w:rsidRPr="004C2091" w14:paraId="4D41205C" w14:textId="77777777" w:rsidTr="00E955EA">
        <w:tc>
          <w:tcPr>
            <w:tcW w:w="9286" w:type="dxa"/>
            <w:tcBorders>
              <w:top w:val="single" w:sz="4" w:space="0" w:color="32809C" w:themeColor="accent2"/>
              <w:bottom w:val="single" w:sz="4" w:space="0" w:color="32809C" w:themeColor="accent2"/>
            </w:tcBorders>
            <w:shd w:val="clear" w:color="auto" w:fill="FFFFFF" w:themeFill="background1"/>
          </w:tcPr>
          <w:p w14:paraId="4AC6F210" w14:textId="77777777" w:rsidR="00D61191" w:rsidRPr="004C2091" w:rsidRDefault="00D61191" w:rsidP="00D3652E">
            <w:pPr>
              <w:pStyle w:val="BodyText"/>
              <w:spacing w:line="260" w:lineRule="atLeast"/>
            </w:pPr>
            <w:r w:rsidRPr="004C2091">
              <w:t xml:space="preserve">New Zealand is a long, mountainous country in the southwest Pacific Ocean with a temperate, oceanic climate. </w:t>
            </w:r>
          </w:p>
        </w:tc>
      </w:tr>
      <w:tr w:rsidR="00D61191" w:rsidRPr="004C2091" w14:paraId="063C418E" w14:textId="77777777" w:rsidTr="00E955EA">
        <w:tc>
          <w:tcPr>
            <w:tcW w:w="9286" w:type="dxa"/>
            <w:tcBorders>
              <w:top w:val="single" w:sz="4" w:space="0" w:color="32809C" w:themeColor="accent2"/>
              <w:bottom w:val="single" w:sz="4" w:space="0" w:color="32809C" w:themeColor="accent2"/>
            </w:tcBorders>
            <w:shd w:val="clear" w:color="auto" w:fill="FFFFFF" w:themeFill="background1"/>
          </w:tcPr>
          <w:p w14:paraId="56834D60" w14:textId="77777777" w:rsidR="00D61191" w:rsidRPr="004C2091" w:rsidRDefault="00D61191" w:rsidP="00D3652E">
            <w:pPr>
              <w:pStyle w:val="BodyText"/>
              <w:spacing w:line="260" w:lineRule="atLeast"/>
            </w:pPr>
            <w:r w:rsidRPr="004C2091">
              <w:t>Due to New Zealand’s widely distributed population of 5.3 million people, road transport is the main form of transport.</w:t>
            </w:r>
          </w:p>
        </w:tc>
      </w:tr>
      <w:tr w:rsidR="00D61191" w:rsidRPr="004C2091" w14:paraId="64C12F48" w14:textId="77777777" w:rsidTr="00E955EA">
        <w:tc>
          <w:tcPr>
            <w:tcW w:w="9286" w:type="dxa"/>
            <w:tcBorders>
              <w:top w:val="single" w:sz="4" w:space="0" w:color="32809C" w:themeColor="accent2"/>
              <w:bottom w:val="single" w:sz="4" w:space="0" w:color="32809C" w:themeColor="accent2"/>
            </w:tcBorders>
            <w:shd w:val="clear" w:color="auto" w:fill="FFFFFF" w:themeFill="background1"/>
          </w:tcPr>
          <w:p w14:paraId="50ABAAB8" w14:textId="77777777" w:rsidR="00D61191" w:rsidRPr="004C2091" w:rsidRDefault="00D61191" w:rsidP="00D3652E">
            <w:pPr>
              <w:pStyle w:val="BodyText"/>
              <w:spacing w:line="260" w:lineRule="atLeast"/>
            </w:pPr>
            <w:r w:rsidRPr="004C2091">
              <w:t>Since 1990, New Zealand has experienced high population growth. New Zealand’s economy has been growing faster than its emissions, showing some signs that economic growth is decoupling from emissions. Gross emissions peaked in 2006 and have consistently declined since 2019, while emissions intensity has been improving from 2010.</w:t>
            </w:r>
          </w:p>
        </w:tc>
      </w:tr>
      <w:tr w:rsidR="00D61191" w:rsidRPr="004C2091" w14:paraId="42BDB667" w14:textId="77777777" w:rsidTr="00E955EA">
        <w:tc>
          <w:tcPr>
            <w:tcW w:w="9286" w:type="dxa"/>
            <w:tcBorders>
              <w:top w:val="single" w:sz="4" w:space="0" w:color="32809C" w:themeColor="accent2"/>
              <w:bottom w:val="single" w:sz="4" w:space="0" w:color="32809C" w:themeColor="accent2"/>
            </w:tcBorders>
            <w:shd w:val="clear" w:color="auto" w:fill="FFFFFF" w:themeFill="background1"/>
          </w:tcPr>
          <w:p w14:paraId="623FC036" w14:textId="4FEF5388" w:rsidR="00D61191" w:rsidRPr="004C2091" w:rsidRDefault="00D61191" w:rsidP="00D3652E">
            <w:pPr>
              <w:pStyle w:val="BodyText"/>
              <w:spacing w:line="260" w:lineRule="atLeast"/>
            </w:pPr>
            <w:r w:rsidRPr="004C2091">
              <w:rPr>
                <w:spacing w:val="-4"/>
              </w:rPr>
              <w:t xml:space="preserve">In 2023, 88 per cent of electricity generation came from renewable sources – primarily hydro, geothermal and wind – contributing to relatively low emissions from the energy sector. </w:t>
            </w:r>
          </w:p>
        </w:tc>
      </w:tr>
      <w:tr w:rsidR="00D61191" w:rsidRPr="004C2091" w14:paraId="663A8F85" w14:textId="77777777" w:rsidTr="00E955EA">
        <w:tc>
          <w:tcPr>
            <w:tcW w:w="9286" w:type="dxa"/>
            <w:tcBorders>
              <w:top w:val="single" w:sz="4" w:space="0" w:color="32809C" w:themeColor="accent2"/>
              <w:bottom w:val="single" w:sz="4" w:space="0" w:color="32809C" w:themeColor="accent2"/>
            </w:tcBorders>
            <w:shd w:val="clear" w:color="auto" w:fill="FFFFFF" w:themeFill="background1"/>
          </w:tcPr>
          <w:p w14:paraId="030B5EA5" w14:textId="6D1E5A1B" w:rsidR="00D61191" w:rsidRPr="004C2091" w:rsidRDefault="00D61191" w:rsidP="00D3652E">
            <w:pPr>
              <w:pStyle w:val="BodyText"/>
              <w:spacing w:line="260" w:lineRule="atLeast"/>
              <w:rPr>
                <w:spacing w:val="-4"/>
              </w:rPr>
            </w:pPr>
            <w:r w:rsidRPr="004C2091">
              <w:t>New Zealand’s agricultural sector is largely pastoral. It is fundamental to the economy, with products exported to countries all over the world. This means New Zealand has an unusual emissions profile, with over 50 per cent of gross emissions from agriculture, and nearly 50 per cent from methane.</w:t>
            </w:r>
          </w:p>
        </w:tc>
      </w:tr>
      <w:tr w:rsidR="00D61191" w:rsidRPr="004C2091" w14:paraId="062FDF94" w14:textId="77777777" w:rsidTr="00E955EA">
        <w:tc>
          <w:tcPr>
            <w:tcW w:w="9286" w:type="dxa"/>
            <w:tcBorders>
              <w:top w:val="single" w:sz="4" w:space="0" w:color="32809C" w:themeColor="accent2"/>
              <w:bottom w:val="single" w:sz="4" w:space="0" w:color="32809C" w:themeColor="accent2"/>
            </w:tcBorders>
            <w:shd w:val="clear" w:color="auto" w:fill="FFFFFF" w:themeFill="background1"/>
          </w:tcPr>
          <w:p w14:paraId="6FA0C845" w14:textId="77777777" w:rsidR="00D61191" w:rsidRPr="004C2091" w:rsidRDefault="00D61191" w:rsidP="00D3652E">
            <w:pPr>
              <w:pStyle w:val="BodyText"/>
              <w:spacing w:line="260" w:lineRule="atLeast"/>
            </w:pPr>
            <w:r w:rsidRPr="004C2091">
              <w:t>Greenhouse gas emissions are susceptible to year-to-year variation due to localised events, such as droughts and earthquakes.</w:t>
            </w:r>
          </w:p>
        </w:tc>
      </w:tr>
      <w:tr w:rsidR="00D61191" w:rsidRPr="004C2091" w14:paraId="381BF34D" w14:textId="77777777" w:rsidTr="00E955EA">
        <w:tc>
          <w:tcPr>
            <w:tcW w:w="9286" w:type="dxa"/>
            <w:tcBorders>
              <w:top w:val="single" w:sz="4" w:space="0" w:color="32809C" w:themeColor="accent2"/>
              <w:bottom w:val="single" w:sz="4" w:space="0" w:color="32809C" w:themeColor="accent2"/>
            </w:tcBorders>
            <w:shd w:val="clear" w:color="auto" w:fill="FFFFFF" w:themeFill="background1"/>
          </w:tcPr>
          <w:p w14:paraId="75A0E271" w14:textId="77777777" w:rsidR="00D61191" w:rsidRPr="004C2091" w:rsidRDefault="00D61191" w:rsidP="00D3652E">
            <w:pPr>
              <w:pStyle w:val="BodyText"/>
              <w:spacing w:line="260" w:lineRule="atLeast"/>
            </w:pPr>
            <w:r w:rsidRPr="004C2091">
              <w:t>The Climate Change Response Act 2002 is New Zealand’s primary climate change legislation. It sets the legal framework, the Zero Carbon Framework, for New Zealand to meet its obligations under the United Nations Framework Convention on Climate Change</w:t>
            </w:r>
            <w:r w:rsidRPr="004C2091" w:rsidDel="00B93297">
              <w:t xml:space="preserve"> </w:t>
            </w:r>
            <w:r w:rsidRPr="004C2091">
              <w:t>and the Paris Agreement.</w:t>
            </w:r>
          </w:p>
        </w:tc>
      </w:tr>
      <w:tr w:rsidR="00D61191" w:rsidRPr="004C2091" w14:paraId="0813250F" w14:textId="77777777" w:rsidTr="00E955EA">
        <w:tc>
          <w:tcPr>
            <w:tcW w:w="9286" w:type="dxa"/>
            <w:tcBorders>
              <w:top w:val="single" w:sz="4" w:space="0" w:color="32809C" w:themeColor="accent2"/>
              <w:bottom w:val="single" w:sz="4" w:space="0" w:color="32809C" w:themeColor="accent2"/>
            </w:tcBorders>
            <w:shd w:val="clear" w:color="auto" w:fill="FFFFFF" w:themeFill="background1"/>
          </w:tcPr>
          <w:p w14:paraId="23519A54" w14:textId="77777777" w:rsidR="00D61191" w:rsidRPr="004C2091" w:rsidRDefault="00D61191" w:rsidP="00D3652E">
            <w:pPr>
              <w:pStyle w:val="BodyText"/>
              <w:spacing w:after="80" w:line="260" w:lineRule="atLeast"/>
            </w:pPr>
            <w:r w:rsidRPr="004C2091">
              <w:t>The Zero Carbon Framework sets out the main framework by which New Zealand can develop and implement clear and stable climate change policies that:</w:t>
            </w:r>
          </w:p>
          <w:p w14:paraId="0C9A5BB1" w14:textId="77777777" w:rsidR="00D61191" w:rsidRPr="004C2091" w:rsidRDefault="00D61191" w:rsidP="00D3652E">
            <w:pPr>
              <w:pStyle w:val="Bullet"/>
              <w:numPr>
                <w:ilvl w:val="0"/>
                <w:numId w:val="30"/>
              </w:numPr>
              <w:spacing w:after="80" w:line="260" w:lineRule="atLeast"/>
            </w:pPr>
            <w:r w:rsidRPr="004C2091">
              <w:t xml:space="preserve">contribute to the global effort under the Paris Agreement </w:t>
            </w:r>
          </w:p>
          <w:p w14:paraId="18BC3A3E" w14:textId="77777777" w:rsidR="00D61191" w:rsidRPr="004C2091" w:rsidRDefault="00D61191" w:rsidP="00D3652E">
            <w:pPr>
              <w:pStyle w:val="Bullet"/>
              <w:numPr>
                <w:ilvl w:val="0"/>
                <w:numId w:val="30"/>
              </w:numPr>
              <w:spacing w:line="260" w:lineRule="atLeast"/>
            </w:pPr>
            <w:r w:rsidRPr="004C2091">
              <w:t>allow New Zealand to set and meet domestic emissions reduction targets, and to prepare for, and adapt to, the effects of climate change.</w:t>
            </w:r>
          </w:p>
        </w:tc>
      </w:tr>
    </w:tbl>
    <w:p w14:paraId="61815D54" w14:textId="77777777" w:rsidR="00D61191" w:rsidRPr="004C2091" w:rsidRDefault="00D61191" w:rsidP="001C01A0">
      <w:pPr>
        <w:pStyle w:val="Heading2"/>
        <w:numPr>
          <w:ilvl w:val="0"/>
          <w:numId w:val="36"/>
        </w:numPr>
        <w:spacing w:before="440"/>
      </w:pPr>
      <w:bookmarkStart w:id="54" w:name="_Government_structure"/>
      <w:bookmarkStart w:id="55" w:name="_Toc169616325"/>
      <w:bookmarkStart w:id="56" w:name="_Toc169620018"/>
      <w:bookmarkStart w:id="57" w:name="_Toc172793930"/>
      <w:bookmarkStart w:id="58" w:name="_Toc184825483"/>
      <w:bookmarkEnd w:id="54"/>
      <w:r w:rsidRPr="004C2091">
        <w:t>Government structure</w:t>
      </w:r>
      <w:bookmarkEnd w:id="55"/>
      <w:bookmarkEnd w:id="56"/>
      <w:bookmarkEnd w:id="57"/>
      <w:bookmarkEnd w:id="58"/>
    </w:p>
    <w:p w14:paraId="3AE65827" w14:textId="77777777" w:rsidR="00D61191" w:rsidRPr="004C2091" w:rsidRDefault="00D61191" w:rsidP="00EA02DE">
      <w:pPr>
        <w:pStyle w:val="Heading3"/>
        <w:numPr>
          <w:ilvl w:val="0"/>
          <w:numId w:val="46"/>
        </w:numPr>
      </w:pPr>
      <w:bookmarkStart w:id="59" w:name="_Toc169616326"/>
      <w:bookmarkStart w:id="60" w:name="_Toc169620019"/>
      <w:bookmarkStart w:id="61" w:name="_Toc172793931"/>
      <w:r w:rsidRPr="004C2091">
        <w:t>Central government</w:t>
      </w:r>
      <w:bookmarkEnd w:id="59"/>
      <w:bookmarkEnd w:id="60"/>
      <w:bookmarkEnd w:id="61"/>
    </w:p>
    <w:p w14:paraId="31D09494" w14:textId="77777777" w:rsidR="00D61191" w:rsidRPr="004C2091" w:rsidRDefault="00D61191" w:rsidP="00D61191">
      <w:pPr>
        <w:pStyle w:val="BodyText"/>
        <w:spacing w:before="100"/>
      </w:pPr>
      <w:r w:rsidRPr="004C2091">
        <w:t>New Zealand’s central government is formed from a democratically elected House of Representatives. The Government advises New Zealand’s head of state, King Charles III (the Sovereign). The Sovereign is the source of all executive legal authority in New Zealand but acts on the advice of the Government in all but the most exceptional circumstances. This system is known as a constitutional monarchy. The Sovereign is represented in New Zealand by a Governor-General, currently Her Excellency The Right Honourable Dame Cindy Kiro. The Governor-General carries out the King’s constitutional and ceremonial duties.</w:t>
      </w:r>
    </w:p>
    <w:p w14:paraId="29E0C563" w14:textId="77777777" w:rsidR="00D61191" w:rsidRPr="004C2091" w:rsidRDefault="00D61191" w:rsidP="00D61191">
      <w:pPr>
        <w:pStyle w:val="BodyText"/>
        <w:spacing w:after="100"/>
        <w:rPr>
          <w:rFonts w:cs="Calibri"/>
        </w:rPr>
      </w:pPr>
      <w:r w:rsidRPr="004C2091">
        <w:rPr>
          <w:rFonts w:cs="Calibri"/>
        </w:rPr>
        <w:t>Parliament consists of the House of Representatives and the Sovereign. The principal functions of Parliament are to enact laws and to hold the Government to account over its policies, actions and spending. Since 1996, members of Parliament have been elected using a mixed member proportional representation system. There are six parliamentary parties in the current 54th Parliament.</w:t>
      </w:r>
    </w:p>
    <w:p w14:paraId="2F0135B7" w14:textId="77777777" w:rsidR="00D61191" w:rsidRPr="004C2091" w:rsidRDefault="00D61191" w:rsidP="0044676F">
      <w:pPr>
        <w:pStyle w:val="Heading3"/>
        <w:numPr>
          <w:ilvl w:val="0"/>
          <w:numId w:val="46"/>
        </w:numPr>
        <w:ind w:left="1134" w:hanging="1134"/>
      </w:pPr>
      <w:bookmarkStart w:id="62" w:name="section2112"/>
      <w:bookmarkStart w:id="63" w:name="_Toc169616327"/>
      <w:bookmarkStart w:id="64" w:name="_Toc169620020"/>
      <w:bookmarkStart w:id="65" w:name="_Toc172793932"/>
      <w:bookmarkEnd w:id="62"/>
      <w:r w:rsidRPr="004C2091">
        <w:t>Te Tiriti o Waitangi – New Zealand’s founding document</w:t>
      </w:r>
      <w:bookmarkEnd w:id="63"/>
      <w:bookmarkEnd w:id="64"/>
      <w:bookmarkEnd w:id="65"/>
    </w:p>
    <w:p w14:paraId="5C7683A6" w14:textId="77777777" w:rsidR="00D61191" w:rsidRPr="004C2091" w:rsidRDefault="00D61191" w:rsidP="00D61191">
      <w:pPr>
        <w:pStyle w:val="BodyText"/>
        <w:spacing w:before="100" w:after="100"/>
      </w:pPr>
      <w:r w:rsidRPr="004C2091">
        <w:t xml:space="preserve">New Zealand is founded on a partnership between the Crown and indigenous New Zealanders, Māori, through te Tiriti o Waitangi (the Treaty of Waitangi) signed in 1840. The relationship between the Crown and Māori is governed by te Tiriti o Waitangi. The Waitangi Tribunal and the courts have derived guiding principles from te Tiriti, including the key principles of partnership, participation and protection. </w:t>
      </w:r>
    </w:p>
    <w:p w14:paraId="49A54CCC" w14:textId="77777777" w:rsidR="00D61191" w:rsidRPr="004C2091" w:rsidRDefault="00D61191" w:rsidP="00D61191">
      <w:pPr>
        <w:pStyle w:val="BodyText"/>
        <w:spacing w:before="100" w:after="100"/>
      </w:pPr>
      <w:r w:rsidRPr="004C2091">
        <w:t xml:space="preserve">The Climate Change Response Act 2002 is New Zealand’s primary climate change legislation, administered by the Ministry for the Environment </w:t>
      </w:r>
      <w:r w:rsidRPr="004C2091">
        <w:rPr>
          <w:rFonts w:asciiTheme="minorHAnsi" w:eastAsiaTheme="majorEastAsia" w:hAnsiTheme="minorHAnsi"/>
        </w:rPr>
        <w:t>| </w:t>
      </w:r>
      <w:r w:rsidRPr="004C2091">
        <w:t>Manatū Mō Te Taiao (MfE). It contains clauses requiring the Crown to take into account the principles of te Tiriti. Te Tiriti o Waitangi has significant implications for climate change policy because the Crown has a duty to actively protect Māori lands, estates, forests, fisheries and other taonga (treasures), and must enable Māori to protect these taonga.</w:t>
      </w:r>
      <w:r w:rsidRPr="004C2091">
        <w:rPr>
          <w:rStyle w:val="FootnoteReference"/>
        </w:rPr>
        <w:footnoteReference w:id="5"/>
      </w:r>
      <w:r w:rsidRPr="004C2091">
        <w:t xml:space="preserve"> </w:t>
      </w:r>
    </w:p>
    <w:p w14:paraId="6580119D" w14:textId="15108B85" w:rsidR="00D61191" w:rsidRPr="004C2091" w:rsidRDefault="00D61191" w:rsidP="1CB79C22">
      <w:pPr>
        <w:pStyle w:val="BodyText"/>
        <w:spacing w:before="100" w:after="100"/>
        <w:rPr>
          <w:rFonts w:cs="Calibri"/>
        </w:rPr>
      </w:pPr>
      <w:r w:rsidRPr="52F4F204">
        <w:rPr>
          <w:rFonts w:cs="Calibri"/>
        </w:rPr>
        <w:t xml:space="preserve">In 1989, the Crown established the Office of Treaty Settlements </w:t>
      </w:r>
      <w:r w:rsidR="22533EB3" w:rsidRPr="52F4F204">
        <w:rPr>
          <w:rFonts w:cs="Calibri"/>
        </w:rPr>
        <w:t>(</w:t>
      </w:r>
      <w:r w:rsidRPr="52F4F204">
        <w:rPr>
          <w:rFonts w:cs="Calibri"/>
        </w:rPr>
        <w:t>now</w:t>
      </w:r>
      <w:r w:rsidR="22533EB3" w:rsidRPr="00595EFD">
        <w:rPr>
          <w:rFonts w:cs="Calibri"/>
        </w:rPr>
        <w:t xml:space="preserve"> </w:t>
      </w:r>
      <w:r w:rsidRPr="52F4F204">
        <w:rPr>
          <w:rFonts w:cs="Calibri"/>
        </w:rPr>
        <w:t>Te</w:t>
      </w:r>
      <w:r w:rsidR="22533EB3" w:rsidRPr="00595EFD">
        <w:rPr>
          <w:rFonts w:cs="Calibri"/>
        </w:rPr>
        <w:t xml:space="preserve"> </w:t>
      </w:r>
      <w:r w:rsidRPr="52F4F204">
        <w:rPr>
          <w:rFonts w:cs="Calibri"/>
        </w:rPr>
        <w:t>Kāhui</w:t>
      </w:r>
      <w:r w:rsidR="22533EB3" w:rsidRPr="00595EFD">
        <w:rPr>
          <w:rFonts w:cs="Calibri"/>
        </w:rPr>
        <w:t xml:space="preserve"> </w:t>
      </w:r>
      <w:r w:rsidRPr="52F4F204">
        <w:rPr>
          <w:rFonts w:cs="Calibri"/>
        </w:rPr>
        <w:t>Whakatau</w:t>
      </w:r>
      <w:r w:rsidR="22533EB3" w:rsidRPr="00595EFD">
        <w:rPr>
          <w:rFonts w:cs="Calibri"/>
        </w:rPr>
        <w:t xml:space="preserve"> </w:t>
      </w:r>
      <w:r w:rsidRPr="52F4F204">
        <w:rPr>
          <w:rFonts w:cs="Calibri"/>
        </w:rPr>
        <w:t>within the Office for Māori Crown Relations | Te Arawhiti). Treaty settlements are intended to address the historical grievances of iwi (tribe) and hapū (subtribe) groups that resulted from the Crown’s breaches of te Tiriti.</w:t>
      </w:r>
      <w:r w:rsidRPr="00732C9E">
        <w:rPr>
          <w:rFonts w:cs="Calibri"/>
          <w:vertAlign w:val="superscript"/>
        </w:rPr>
        <w:footnoteReference w:id="6"/>
      </w:r>
    </w:p>
    <w:p w14:paraId="7D309643" w14:textId="77777777" w:rsidR="00D61191" w:rsidRPr="004C2091" w:rsidRDefault="00D61191" w:rsidP="00D61191">
      <w:pPr>
        <w:pStyle w:val="BodyText"/>
        <w:spacing w:before="100" w:after="100"/>
        <w:rPr>
          <w:rFonts w:cs="Calibri"/>
          <w:shd w:val="clear" w:color="auto" w:fill="FFFFFF"/>
        </w:rPr>
      </w:pPr>
      <w:r w:rsidRPr="004C2091">
        <w:rPr>
          <w:rFonts w:cs="Calibri"/>
          <w:shd w:val="clear" w:color="auto" w:fill="FFFFFF"/>
        </w:rPr>
        <w:t xml:space="preserve">Enacted settlements establish legal rights and obligations that the Crown must be aware of when developing new policy to ensure it does not inadvertently breach these rights. Policies that do not consider Treaty settlements have the potential to undermine the relationship between settled groups and the Crown. </w:t>
      </w:r>
    </w:p>
    <w:p w14:paraId="4C018D90" w14:textId="77777777" w:rsidR="00D61191" w:rsidRPr="004C2091" w:rsidRDefault="00D61191" w:rsidP="00D61191">
      <w:pPr>
        <w:pStyle w:val="BodyText"/>
        <w:spacing w:before="100" w:after="100"/>
      </w:pPr>
      <w:r w:rsidRPr="004C2091">
        <w:t>Climate change will affect Māori as tangata whenua (people of the land) and kaitiaki (guardians) of their ancestral and cultural landscape. Certain whānau (families), hapū and iwi will be disproportionately affected, as will Māori interests, values, practices and wellbeing.</w:t>
      </w:r>
      <w:r w:rsidRPr="004C2091">
        <w:rPr>
          <w:rStyle w:val="FootnoteReference"/>
        </w:rPr>
        <w:footnoteReference w:id="7"/>
      </w:r>
      <w:r w:rsidRPr="004C2091">
        <w:t xml:space="preserve"> </w:t>
      </w:r>
      <w:r w:rsidRPr="004C2091">
        <w:rPr>
          <w:spacing w:val="-2"/>
        </w:rPr>
        <w:t>Many Māori communities are located in rural and remote areas, and are particularly vulnerable</w:t>
      </w:r>
      <w:r w:rsidRPr="004C2091">
        <w:t xml:space="preserve"> to the effects of climate change on their homes, infrastructure and sites of cultural significance to Māori – including marae (courtyard), urupā (burial grounds), wāhi tapu (sacred sites) and mahinga kai (food-gathering places). In accordance with the principles of te Tiriti, the Government and Māori will together need to make climate change decisions in a way that balances kāwanatanga (the Government’s right to govern) with rangatiratanga (the Māori right</w:t>
      </w:r>
      <w:r>
        <w:t> </w:t>
      </w:r>
      <w:r w:rsidRPr="004C2091">
        <w:t>to make decisions for Māori).</w:t>
      </w:r>
      <w:r w:rsidRPr="004C2091">
        <w:rPr>
          <w:rStyle w:val="FootnoteReference"/>
        </w:rPr>
        <w:footnoteReference w:id="8"/>
      </w:r>
      <w:r w:rsidRPr="004C2091">
        <w:t xml:space="preserve"> </w:t>
      </w:r>
    </w:p>
    <w:p w14:paraId="72A0A5A6" w14:textId="77777777" w:rsidR="00D61191" w:rsidRPr="004C2091" w:rsidRDefault="00D61191" w:rsidP="0044676F">
      <w:pPr>
        <w:pStyle w:val="Heading3"/>
        <w:numPr>
          <w:ilvl w:val="0"/>
          <w:numId w:val="46"/>
        </w:numPr>
        <w:ind w:left="1134" w:hanging="1134"/>
      </w:pPr>
      <w:bookmarkStart w:id="66" w:name="_Toc169616328"/>
      <w:bookmarkStart w:id="67" w:name="_Toc169620021"/>
      <w:bookmarkStart w:id="68" w:name="_Toc172793933"/>
      <w:r w:rsidRPr="004C2091">
        <w:t>Central government roles and responsibilities in relation to climate change</w:t>
      </w:r>
      <w:bookmarkEnd w:id="66"/>
      <w:bookmarkEnd w:id="67"/>
      <w:bookmarkEnd w:id="68"/>
    </w:p>
    <w:p w14:paraId="17FFD76E" w14:textId="1D8E4DD1" w:rsidR="00D61191" w:rsidRPr="004C2091" w:rsidRDefault="00D61191" w:rsidP="000E5C80">
      <w:pPr>
        <w:pStyle w:val="BodyText"/>
        <w:rPr>
          <w:rFonts w:eastAsiaTheme="majorEastAsia"/>
        </w:rPr>
      </w:pPr>
      <w:r w:rsidRPr="004C2091">
        <w:rPr>
          <w:rFonts w:eastAsiaTheme="majorEastAsia"/>
        </w:rPr>
        <w:t xml:space="preserve">New Zealand’s </w:t>
      </w:r>
      <w:r w:rsidRPr="000E5C80">
        <w:t>response</w:t>
      </w:r>
      <w:r w:rsidRPr="004C2091">
        <w:rPr>
          <w:rFonts w:eastAsiaTheme="majorEastAsia"/>
        </w:rPr>
        <w:t xml:space="preserve"> to climate change is led by the Government, with portfolio responsibilities at the ministerial level resting with the Minister for Climate Change. However, the breadth of climate-related activities and policy means that many other </w:t>
      </w:r>
      <w:r w:rsidR="00183050">
        <w:rPr>
          <w:rFonts w:eastAsiaTheme="majorEastAsia"/>
        </w:rPr>
        <w:t>m</w:t>
      </w:r>
      <w:r w:rsidRPr="004C2091">
        <w:rPr>
          <w:rFonts w:eastAsiaTheme="majorEastAsia"/>
        </w:rPr>
        <w:t xml:space="preserve">inisters play a significant role – notably the Ministers for Agriculture, Energy, Transport and the Environment. </w:t>
      </w:r>
    </w:p>
    <w:p w14:paraId="4CF84FD5" w14:textId="5A8BB0D6" w:rsidR="00D61191" w:rsidRPr="000E5C80" w:rsidRDefault="00D61191" w:rsidP="000E5C80">
      <w:pPr>
        <w:pStyle w:val="BodyText"/>
      </w:pPr>
      <w:r w:rsidRPr="004C2091">
        <w:rPr>
          <w:rFonts w:asciiTheme="minorHAnsi" w:eastAsiaTheme="majorEastAsia" w:hAnsiTheme="minorHAnsi"/>
        </w:rPr>
        <w:t xml:space="preserve">The Ministry for the Environment </w:t>
      </w:r>
      <w:r w:rsidR="190854FC" w:rsidRPr="79D250F2">
        <w:rPr>
          <w:rFonts w:asciiTheme="minorHAnsi" w:eastAsiaTheme="majorEastAsia" w:hAnsiTheme="minorHAnsi"/>
        </w:rPr>
        <w:t>(</w:t>
      </w:r>
      <w:r w:rsidR="190854FC" w:rsidRPr="3C04B035">
        <w:rPr>
          <w:rFonts w:asciiTheme="minorHAnsi" w:eastAsiaTheme="majorEastAsia" w:hAnsiTheme="minorHAnsi"/>
        </w:rPr>
        <w:t xml:space="preserve">MfE) </w:t>
      </w:r>
      <w:r w:rsidRPr="004C2091">
        <w:rPr>
          <w:rFonts w:asciiTheme="minorHAnsi" w:eastAsiaTheme="majorEastAsia" w:hAnsiTheme="minorHAnsi"/>
        </w:rPr>
        <w:t xml:space="preserve">is the primary agency providing advice to the Minister for Climate Change on </w:t>
      </w:r>
      <w:r w:rsidRPr="000E5C80">
        <w:t xml:space="preserve">climate issues and policy. MfE is also responsible for reporting on climate change. However, various other agencies are also significantly involved in providing advice and reporting related to climate change. </w:t>
      </w:r>
    </w:p>
    <w:p w14:paraId="6D1B730C" w14:textId="4E75157F" w:rsidR="00D61191" w:rsidRPr="004C2091" w:rsidRDefault="00D61191" w:rsidP="000E5C80">
      <w:pPr>
        <w:pStyle w:val="BodyText"/>
        <w:rPr>
          <w:sz w:val="18"/>
          <w:szCs w:val="18"/>
        </w:rPr>
      </w:pPr>
      <w:r w:rsidRPr="000E5C80">
        <w:t>Managing New Zealand’s response</w:t>
      </w:r>
      <w:r w:rsidRPr="004C2091">
        <w:rPr>
          <w:rFonts w:asciiTheme="minorHAnsi" w:eastAsiaTheme="majorEastAsia" w:hAnsiTheme="minorHAnsi"/>
        </w:rPr>
        <w:t xml:space="preserve"> to climate change is a cross-government effort with other agencies having major roles alongside MfE.</w:t>
      </w:r>
      <w:r w:rsidRPr="004C2091">
        <w:rPr>
          <w:rStyle w:val="FootnoteReference"/>
          <w:rFonts w:eastAsiaTheme="majorEastAsia"/>
        </w:rPr>
        <w:footnoteReference w:id="9"/>
      </w:r>
      <w:r w:rsidRPr="004C2091">
        <w:rPr>
          <w:rFonts w:asciiTheme="minorHAnsi" w:hAnsiTheme="minorHAnsi"/>
        </w:rPr>
        <w:t> </w:t>
      </w:r>
      <w:r w:rsidRPr="004C2091">
        <w:rPr>
          <w:rFonts w:cs="Calibri"/>
        </w:rPr>
        <w:t xml:space="preserve">The Climate Change Chief Executives Board was established in 2022 to provide a coordinated approach to achieving New Zealand’s climate goals and targets (see </w:t>
      </w:r>
      <w:hyperlink w:anchor="_Climate_Change_Chief" w:history="1">
        <w:r w:rsidR="00042428">
          <w:rPr>
            <w:rStyle w:val="Hyperlink"/>
            <w:rFonts w:cs="Calibri"/>
          </w:rPr>
          <w:t>section 2.</w:t>
        </w:r>
        <w:r w:rsidR="00042428">
          <w:rPr>
            <w:rStyle w:val="Hyperlink"/>
            <w:rFonts w:cs="Calibri"/>
          </w:rPr>
          <w:t>1</w:t>
        </w:r>
        <w:r w:rsidR="00042428">
          <w:rPr>
            <w:rStyle w:val="Hyperlink"/>
            <w:rFonts w:cs="Calibri"/>
          </w:rPr>
          <w:t>.8.3</w:t>
        </w:r>
      </w:hyperlink>
      <w:r w:rsidRPr="004C2091">
        <w:rPr>
          <w:rFonts w:cs="Calibri"/>
        </w:rPr>
        <w:t xml:space="preserve"> for further details). </w:t>
      </w:r>
    </w:p>
    <w:p w14:paraId="511976F0" w14:textId="77777777" w:rsidR="00D61191" w:rsidRPr="004C2091" w:rsidRDefault="00D61191" w:rsidP="00EA02DE">
      <w:pPr>
        <w:pStyle w:val="Heading3"/>
        <w:numPr>
          <w:ilvl w:val="0"/>
          <w:numId w:val="46"/>
        </w:numPr>
      </w:pPr>
      <w:bookmarkStart w:id="69" w:name="_Toc169616329"/>
      <w:bookmarkStart w:id="70" w:name="_Toc169620022"/>
      <w:bookmarkStart w:id="71" w:name="_Toc172793934"/>
      <w:r w:rsidRPr="004C2091">
        <w:t>Local government</w:t>
      </w:r>
      <w:bookmarkEnd w:id="69"/>
      <w:bookmarkEnd w:id="70"/>
      <w:bookmarkEnd w:id="71"/>
    </w:p>
    <w:p w14:paraId="58F4BE76" w14:textId="77777777" w:rsidR="00D61191" w:rsidRPr="004C2091" w:rsidRDefault="00D61191" w:rsidP="00D61191">
      <w:pPr>
        <w:pStyle w:val="BodyText"/>
      </w:pPr>
      <w:r w:rsidRPr="004C2091">
        <w:t xml:space="preserve">New Zealand has 78 local authorities, comprising 11 regional councils, 61 territorial authorities and 6 unitary councils (which are territorial authorities with regional council responsibilities). Due to devolved decision-making, local authorities are largely independent of the central executive government. They have their own sources of income independent of central government, including from council-owned enterprises and taxes on land and property. </w:t>
      </w:r>
    </w:p>
    <w:p w14:paraId="403B9693" w14:textId="08DBF481" w:rsidR="00D61191" w:rsidRPr="004C2091" w:rsidRDefault="00D61191" w:rsidP="00D61191">
      <w:pPr>
        <w:pStyle w:val="BodyText"/>
      </w:pPr>
      <w:r w:rsidRPr="004C2091">
        <w:t>Local government has functions and responsibilities relating to managing natural hazard and climate change effects under the Local Government Act 2022, the Resource Management Act</w:t>
      </w:r>
      <w:r w:rsidR="000E5C80">
        <w:t> </w:t>
      </w:r>
      <w:r w:rsidRPr="004C2091">
        <w:t>1991 and other legislation. These include a requirement to plan for the future in terms of</w:t>
      </w:r>
      <w:r w:rsidR="000E5C80">
        <w:t> </w:t>
      </w:r>
      <w:r w:rsidRPr="004C2091">
        <w:t>managing the effects of land use, avoiding and mitigating natural hazards, and having particular regard to the effects of climate change. In particular, regional councils have responsibility for: managing water, air and land resources where there are regionally significant management issues; biosecurity; natural hazards; emergencies; and regional land transport. For city and district councils, responsibilities include: land-use planning; building control; emergency management; waste management and minimisation; and the provision of</w:t>
      </w:r>
      <w:r w:rsidR="000E5C80">
        <w:t> </w:t>
      </w:r>
      <w:r w:rsidRPr="004C2091">
        <w:t xml:space="preserve">local infrastructure and community services. </w:t>
      </w:r>
    </w:p>
    <w:p w14:paraId="490C59D9" w14:textId="77777777" w:rsidR="00D61191" w:rsidRPr="004C2091" w:rsidRDefault="00D61191" w:rsidP="002B0CE9">
      <w:pPr>
        <w:pStyle w:val="Heading2"/>
        <w:numPr>
          <w:ilvl w:val="0"/>
          <w:numId w:val="36"/>
        </w:numPr>
        <w:tabs>
          <w:tab w:val="num" w:pos="397"/>
          <w:tab w:val="left" w:pos="1077"/>
        </w:tabs>
        <w:ind w:left="397" w:hanging="397"/>
      </w:pPr>
      <w:bookmarkStart w:id="72" w:name="_Toc184825484"/>
      <w:bookmarkStart w:id="73" w:name="_Toc169616330"/>
      <w:bookmarkStart w:id="74" w:name="_Toc169620023"/>
      <w:bookmarkStart w:id="75" w:name="_Toc172793935"/>
      <w:r w:rsidRPr="004C2091">
        <w:t>Population profile</w:t>
      </w:r>
      <w:bookmarkEnd w:id="72"/>
      <w:r w:rsidRPr="004C2091">
        <w:t xml:space="preserve"> </w:t>
      </w:r>
      <w:bookmarkEnd w:id="73"/>
      <w:bookmarkEnd w:id="74"/>
    </w:p>
    <w:bookmarkEnd w:id="75"/>
    <w:p w14:paraId="79DFA881" w14:textId="77777777" w:rsidR="00D61191" w:rsidRPr="004C2091" w:rsidRDefault="00D61191" w:rsidP="00C75AD2">
      <w:pPr>
        <w:pStyle w:val="BodyText"/>
        <w:keepLines/>
      </w:pPr>
      <w:r w:rsidRPr="004C2091">
        <w:t>New Zealand’s resident population – the population living in New Zealand – was just over 5.3 million at March 2024.</w:t>
      </w:r>
      <w:r w:rsidRPr="004C2091">
        <w:rPr>
          <w:rStyle w:val="FootnoteReference"/>
        </w:rPr>
        <w:footnoteReference w:id="10"/>
      </w:r>
      <w:r w:rsidRPr="004C2091">
        <w:t xml:space="preserve"> The majority of the population is urbanised and around 76 per cent live in the North Island;</w:t>
      </w:r>
      <w:r w:rsidRPr="004C2091">
        <w:rPr>
          <w:rStyle w:val="FootnoteReference"/>
        </w:rPr>
        <w:footnoteReference w:id="11"/>
      </w:r>
      <w:r w:rsidRPr="004C2091">
        <w:t xml:space="preserve"> the largest city is Auckland and 33.3 per cent of the total population live within the greater Auckland area (as of June 2023).</w:t>
      </w:r>
      <w:r w:rsidRPr="004C2091">
        <w:rPr>
          <w:rStyle w:val="FootnoteReference"/>
        </w:rPr>
        <w:footnoteReference w:id="12"/>
      </w:r>
      <w:r w:rsidRPr="004C2091">
        <w:t xml:space="preserve"> Population density is relatively low, with an average of just under 20 people per square kilometre (km</w:t>
      </w:r>
      <w:r w:rsidRPr="004C2091">
        <w:rPr>
          <w:vertAlign w:val="superscript"/>
        </w:rPr>
        <w:t>2</w:t>
      </w:r>
      <w:r w:rsidRPr="004C2091">
        <w:t>).</w:t>
      </w:r>
      <w:r w:rsidRPr="004C2091">
        <w:rPr>
          <w:rStyle w:val="FootnoteReference"/>
        </w:rPr>
        <w:footnoteReference w:id="13"/>
      </w:r>
      <w:r w:rsidRPr="004C2091">
        <w:t xml:space="preserve"> </w:t>
      </w:r>
    </w:p>
    <w:p w14:paraId="1450526E" w14:textId="77777777" w:rsidR="00D61191" w:rsidRPr="004C2091" w:rsidRDefault="00D61191" w:rsidP="00D61191">
      <w:pPr>
        <w:pStyle w:val="BodyText"/>
      </w:pPr>
      <w:r w:rsidRPr="004C2091">
        <w:t>New Zealand’s population is growing. It has increased by an average of 1.3 per cent per year between 1990 and 2023.</w:t>
      </w:r>
      <w:r w:rsidRPr="004C2091">
        <w:rPr>
          <w:rStyle w:val="FootnoteReference"/>
        </w:rPr>
        <w:footnoteReference w:id="14"/>
      </w:r>
      <w:r w:rsidRPr="004C2091">
        <w:t xml:space="preserve"> New Zealand’s population growth rate peaked at 2.2 per cent as of July 2015 but reduced significantly to 0.7 per cent in 2020 and 0.5 per cent in 2021. More recently the annual growth rate has increased to 0.8 per cent as of July 2023. </w:t>
      </w:r>
    </w:p>
    <w:p w14:paraId="6876F949" w14:textId="77777777" w:rsidR="00D61191" w:rsidRPr="004C2091" w:rsidRDefault="00D61191" w:rsidP="00D61191">
      <w:pPr>
        <w:pStyle w:val="BodyText"/>
      </w:pPr>
      <w:r w:rsidRPr="004C2091">
        <w:t>COVID-19 had a significant impact on international travel and migration from 2020, which accounts for some of the decrease in population growth rate. The population growth rate is projected to increase in the 2020s, before slowing in the long term out to 2073. The long-term trend is driven by the narrowing gap between births and deaths (natural increase).</w:t>
      </w:r>
      <w:r w:rsidRPr="004C2091">
        <w:rPr>
          <w:rStyle w:val="FootnoteReference"/>
        </w:rPr>
        <w:footnoteReference w:id="15"/>
      </w:r>
      <w:r w:rsidRPr="004C2091">
        <w:t xml:space="preserve"> </w:t>
      </w:r>
    </w:p>
    <w:p w14:paraId="37464F9E" w14:textId="22C0F256" w:rsidR="00D61191" w:rsidRPr="004C2091" w:rsidRDefault="00D61191" w:rsidP="00D61191">
      <w:pPr>
        <w:pStyle w:val="BodyText"/>
      </w:pPr>
      <w:r w:rsidRPr="004C2091">
        <w:t>Net migration (migrants entering New Zealand minus those leaving) has varied greatly over the years as a result of economic factors, labour market conditions and immigration policy in New Zealand and other countries. As noted, the COVID-19 pandemic also had a significant impact. Between 2020 and 2022, border restrictions as a result of the pandemic caused New Zealand to experience net migration losses for the years 2020–22 inclusive. Since border restrictions ended, New Zealand has experienced a significant net migration loss of over 50,000 New Zealand citizens in the year ended March 2024.</w:t>
      </w:r>
      <w:r w:rsidRPr="004C2091">
        <w:rPr>
          <w:rStyle w:val="FootnoteReference"/>
        </w:rPr>
        <w:footnoteReference w:id="16"/>
      </w:r>
      <w:r w:rsidRPr="004C2091">
        <w:t xml:space="preserve"> Despite this, a strong increase in migration of people who are not New Zealand citizens into New Zealand has resulted in an overall increase in net migration.</w:t>
      </w:r>
      <w:r w:rsidRPr="004C2091">
        <w:rPr>
          <w:rStyle w:val="FootnoteReference"/>
        </w:rPr>
        <w:footnoteReference w:id="17"/>
      </w:r>
    </w:p>
    <w:p w14:paraId="1F694208" w14:textId="77777777" w:rsidR="00D61191" w:rsidRPr="004C2091" w:rsidRDefault="00D61191" w:rsidP="000678FC">
      <w:pPr>
        <w:pStyle w:val="Heading2"/>
        <w:numPr>
          <w:ilvl w:val="0"/>
          <w:numId w:val="36"/>
        </w:numPr>
      </w:pPr>
      <w:bookmarkStart w:id="76" w:name="_Toc169616331"/>
      <w:bookmarkStart w:id="77" w:name="_Toc169620024"/>
      <w:bookmarkStart w:id="78" w:name="_Toc172793936"/>
      <w:bookmarkStart w:id="79" w:name="_Toc184825485"/>
      <w:r w:rsidRPr="004C2091">
        <w:t>Geographical profile</w:t>
      </w:r>
      <w:bookmarkEnd w:id="76"/>
      <w:bookmarkEnd w:id="77"/>
      <w:bookmarkEnd w:id="78"/>
      <w:bookmarkEnd w:id="79"/>
    </w:p>
    <w:p w14:paraId="2416FA62" w14:textId="77777777" w:rsidR="00D61191" w:rsidRPr="004C2091" w:rsidRDefault="00D61191" w:rsidP="00D61191">
      <w:pPr>
        <w:pStyle w:val="BodyText"/>
      </w:pPr>
      <w:r w:rsidRPr="004C2091">
        <w:t xml:space="preserve">New Zealand is a long, narrow and mountainous country. It consists of two large islands, the North Island and the South Island, and a number of smaller islands. The two main islands are located in the southwest Pacific Ocean between 33 and 47 degrees latitude south. The nearest large land mass, Australia, is more than 2,000 km away. </w:t>
      </w:r>
    </w:p>
    <w:p w14:paraId="20905466" w14:textId="77777777" w:rsidR="00D61191" w:rsidRPr="004C2091" w:rsidRDefault="00D61191" w:rsidP="00C72126">
      <w:pPr>
        <w:pStyle w:val="BodyText"/>
        <w:keepLines/>
      </w:pPr>
      <w:r w:rsidRPr="004C2091">
        <w:t>New Zealand has a combined land area of around 27 million hectares (ha) and is similar in size to Japan or the United Kingdom. It has approximately 15,000 km of coastline and its Exclusive Economic Zone (EEZ) is the fourth largest in the world.</w:t>
      </w:r>
      <w:r w:rsidRPr="004C2091">
        <w:rPr>
          <w:rStyle w:val="FootnoteReference"/>
        </w:rPr>
        <w:footnoteReference w:id="18"/>
      </w:r>
      <w:r w:rsidRPr="004C2091">
        <w:t xml:space="preserve"> Combined, New Zealand’s EEZ and territorial sea cover 4.4 million km</w:t>
      </w:r>
      <w:r w:rsidRPr="004C2091">
        <w:rPr>
          <w:vertAlign w:val="superscript"/>
        </w:rPr>
        <w:t>2</w:t>
      </w:r>
      <w:r w:rsidRPr="004C2091">
        <w:t xml:space="preserve">. </w:t>
      </w:r>
    </w:p>
    <w:p w14:paraId="5C029BE1" w14:textId="0DA4AA44" w:rsidR="00D61191" w:rsidRPr="004C2091" w:rsidRDefault="00D61191" w:rsidP="00D61191">
      <w:pPr>
        <w:pStyle w:val="BodyText"/>
      </w:pPr>
      <w:r w:rsidRPr="004C2091">
        <w:t>New Zealand straddles the boundary of the Pacific and Australian tectonic plates. The resulting earth movements have produced hilly and mountainous terrain over two-thirds of the land. Earthquakes occur frequently in most parts of the country. There is also a zone of volcanic and geothermal activity in the central North Island. The diverse topography and climate have created a wide variety of ecosystems ranging from high alpine to warm temperate forests, including 72 types of naturally uncommon ecosystems.</w:t>
      </w:r>
      <w:r w:rsidRPr="004C2091">
        <w:rPr>
          <w:rStyle w:val="FootnoteReference"/>
        </w:rPr>
        <w:footnoteReference w:id="19"/>
      </w:r>
      <w:r w:rsidRPr="004C2091">
        <w:t xml:space="preserve"> </w:t>
      </w:r>
    </w:p>
    <w:p w14:paraId="6B22E3DF" w14:textId="77777777" w:rsidR="00D61191" w:rsidRPr="004C2091" w:rsidRDefault="00D61191" w:rsidP="00D61191">
      <w:pPr>
        <w:pStyle w:val="BodyText"/>
      </w:pPr>
      <w:r w:rsidRPr="004C2091">
        <w:t>After New Zealand’s land mass broke away from the Gondwana supercontinent around 80 million years ago, plants and animals evolved in isolation for millions of years almost entirely without the presence of terrestrial mammals. As a result, many of the country’s estimated 80,000 species of native animals, plants and fungi are found nowhere else in the world.</w:t>
      </w:r>
      <w:r w:rsidRPr="004C2091">
        <w:rPr>
          <w:rStyle w:val="FootnoteReference"/>
        </w:rPr>
        <w:footnoteReference w:id="20"/>
      </w:r>
      <w:r w:rsidRPr="004C2091" w:rsidDel="00707745">
        <w:t xml:space="preserve"> </w:t>
      </w:r>
    </w:p>
    <w:p w14:paraId="348CD9C0" w14:textId="77B52EE5" w:rsidR="00D61191" w:rsidRPr="004C2091" w:rsidRDefault="00D61191" w:rsidP="00D61191">
      <w:pPr>
        <w:pStyle w:val="BodyText"/>
      </w:pPr>
      <w:r w:rsidRPr="004C2091">
        <w:t>Today, grassland for agriculture, natural forest and planted forestry form New Zealand’s main</w:t>
      </w:r>
      <w:r w:rsidR="00D54552">
        <w:t> </w:t>
      </w:r>
      <w:r w:rsidRPr="004C2091">
        <w:t xml:space="preserve">land covers. Around one-third of the land area is protected for conservation purposes. </w:t>
      </w:r>
    </w:p>
    <w:p w14:paraId="1A8A586B" w14:textId="77777777" w:rsidR="00D61191" w:rsidRPr="004C2091" w:rsidRDefault="00D61191" w:rsidP="000678FC">
      <w:pPr>
        <w:pStyle w:val="Heading2"/>
        <w:numPr>
          <w:ilvl w:val="0"/>
          <w:numId w:val="36"/>
        </w:numPr>
      </w:pPr>
      <w:bookmarkStart w:id="80" w:name="_Toc169616332"/>
      <w:bookmarkStart w:id="81" w:name="_Toc169620025"/>
      <w:bookmarkStart w:id="82" w:name="_Toc184825486"/>
      <w:bookmarkStart w:id="83" w:name="_Toc172793937"/>
      <w:r w:rsidRPr="004C2091">
        <w:t>Economic profile</w:t>
      </w:r>
      <w:bookmarkEnd w:id="80"/>
      <w:bookmarkEnd w:id="81"/>
      <w:bookmarkEnd w:id="82"/>
    </w:p>
    <w:bookmarkEnd w:id="83"/>
    <w:p w14:paraId="486EC727" w14:textId="0050C53A" w:rsidR="00D61191" w:rsidRPr="004C2091" w:rsidRDefault="00D61191" w:rsidP="00D61191">
      <w:pPr>
        <w:pStyle w:val="BodyText"/>
        <w:rPr>
          <w:rFonts w:cs="Calibri"/>
          <w:shd w:val="clear" w:color="auto" w:fill="FFFFFF"/>
        </w:rPr>
      </w:pPr>
      <w:r w:rsidRPr="004C2091">
        <w:rPr>
          <w:rFonts w:cs="Calibri"/>
          <w:shd w:val="clear" w:color="auto" w:fill="FFFFFF"/>
        </w:rPr>
        <w:t>New Zealand has an export-dependent economy that operates on free market principles. In</w:t>
      </w:r>
      <w:r w:rsidR="00D54552">
        <w:rPr>
          <w:rFonts w:cs="Calibri"/>
          <w:shd w:val="clear" w:color="auto" w:fill="FFFFFF"/>
        </w:rPr>
        <w:t> </w:t>
      </w:r>
      <w:r w:rsidRPr="004C2091">
        <w:rPr>
          <w:rFonts w:cs="Calibri"/>
          <w:shd w:val="clear" w:color="auto" w:fill="FFFFFF"/>
        </w:rPr>
        <w:t>the year ended March 2024, nominal gross domestic product (GDP) was NZ$410.0 billion.</w:t>
      </w:r>
      <w:r w:rsidRPr="004C2091">
        <w:rPr>
          <w:rStyle w:val="FootnoteReference"/>
          <w:rFonts w:cs="Calibri"/>
          <w:shd w:val="clear" w:color="auto" w:fill="FFFFFF"/>
        </w:rPr>
        <w:footnoteReference w:id="21"/>
      </w:r>
      <w:r w:rsidRPr="004C2091">
        <w:rPr>
          <w:rFonts w:cs="Calibri"/>
          <w:shd w:val="clear" w:color="auto" w:fill="FFFFFF"/>
        </w:rPr>
        <w:t xml:space="preserve"> Between 1990 and 2024, the economy has grown at an average annual rate of 2.6 per cent.</w:t>
      </w:r>
      <w:r w:rsidRPr="004C2091">
        <w:rPr>
          <w:rStyle w:val="FootnoteReference"/>
          <w:rFonts w:cs="Calibri"/>
          <w:shd w:val="clear" w:color="auto" w:fill="FFFFFF"/>
        </w:rPr>
        <w:footnoteReference w:id="22"/>
      </w:r>
    </w:p>
    <w:p w14:paraId="5CDB0B8B" w14:textId="77777777" w:rsidR="00D61191" w:rsidRPr="004C2091" w:rsidRDefault="00D61191" w:rsidP="00D61191">
      <w:pPr>
        <w:pStyle w:val="BodyText"/>
        <w:rPr>
          <w:rFonts w:cs="Calibri"/>
          <w:color w:val="000000"/>
          <w:bdr w:val="none" w:sz="0" w:space="0" w:color="auto" w:frame="1"/>
        </w:rPr>
      </w:pPr>
      <w:r w:rsidRPr="004C2091">
        <w:rPr>
          <w:rFonts w:cs="Calibri"/>
          <w:color w:val="000000"/>
          <w:bdr w:val="none" w:sz="0" w:space="0" w:color="auto" w:frame="1"/>
        </w:rPr>
        <w:t>The COVID-19 pandemic and associated responses generated unprecedented changes in the measured GDP. New Zealand’s economic activity was significantly impacted by nationwide lockdowns in 2020 and 2021. As restrictions eased, New Zealand experienced large increases in economic activity as indicated by record increases in GDP in the September 2020 quarter and December 2021 quarter following respective lockdown periods in 2020 and 2021.</w:t>
      </w:r>
      <w:r w:rsidRPr="004C2091">
        <w:rPr>
          <w:rStyle w:val="FootnoteReference"/>
          <w:rFonts w:cs="Calibri"/>
          <w:bdr w:val="none" w:sz="0" w:space="0" w:color="auto" w:frame="1"/>
        </w:rPr>
        <w:footnoteReference w:id="23"/>
      </w:r>
      <w:r w:rsidRPr="004C2091">
        <w:rPr>
          <w:rFonts w:cs="Calibri"/>
          <w:color w:val="000000"/>
          <w:bdr w:val="none" w:sz="0" w:space="0" w:color="auto" w:frame="1"/>
        </w:rPr>
        <w:t xml:space="preserve"> </w:t>
      </w:r>
    </w:p>
    <w:p w14:paraId="5A56AE4F" w14:textId="30A4C37F" w:rsidR="00D61191" w:rsidRPr="004C2091" w:rsidRDefault="00D61191" w:rsidP="00D61191">
      <w:pPr>
        <w:pStyle w:val="BodyText"/>
        <w:rPr>
          <w:rFonts w:cs="Calibri"/>
          <w:color w:val="000000"/>
          <w:bdr w:val="none" w:sz="0" w:space="0" w:color="auto" w:frame="1"/>
        </w:rPr>
      </w:pPr>
      <w:r w:rsidRPr="004C2091">
        <w:rPr>
          <w:rFonts w:cs="Calibri"/>
          <w:color w:val="000000"/>
          <w:bdr w:val="none" w:sz="0" w:space="0" w:color="auto" w:frame="1"/>
        </w:rPr>
        <w:t>Since December 2021, GDP growth has fluctuated between growth and decrease over different quarterly periods. Most recently, New Zealand’s GDP rose 0.2 per cent in the March 2024 quarter following 2023 decreases of 0.1 per cent in the December quarter and</w:t>
      </w:r>
      <w:r w:rsidR="00D54552">
        <w:rPr>
          <w:rFonts w:cs="Calibri"/>
          <w:color w:val="000000"/>
          <w:bdr w:val="none" w:sz="0" w:space="0" w:color="auto" w:frame="1"/>
        </w:rPr>
        <w:t> </w:t>
      </w:r>
      <w:r w:rsidRPr="004C2091">
        <w:rPr>
          <w:rFonts w:cs="Calibri"/>
          <w:color w:val="000000"/>
          <w:bdr w:val="none" w:sz="0" w:space="0" w:color="auto" w:frame="1"/>
        </w:rPr>
        <w:t>0.3 per cent in the September quarter.</w:t>
      </w:r>
      <w:r w:rsidRPr="004C2091">
        <w:rPr>
          <w:rStyle w:val="FootnoteReference"/>
          <w:rFonts w:cs="Calibri"/>
          <w:bdr w:val="none" w:sz="0" w:space="0" w:color="auto" w:frame="1"/>
        </w:rPr>
        <w:footnoteReference w:id="24"/>
      </w:r>
      <w:r w:rsidRPr="004C2091">
        <w:rPr>
          <w:rFonts w:cs="Calibri"/>
          <w:color w:val="000000"/>
          <w:bdr w:val="none" w:sz="0" w:space="0" w:color="auto" w:frame="1"/>
        </w:rPr>
        <w:t xml:space="preserve"> </w:t>
      </w:r>
    </w:p>
    <w:p w14:paraId="4A69EC3C" w14:textId="59F1C9B9" w:rsidR="00D61191" w:rsidRPr="004C2091" w:rsidRDefault="00D61191" w:rsidP="002E1B6E">
      <w:pPr>
        <w:pStyle w:val="BodyText"/>
        <w:keepLines/>
        <w:spacing w:before="100" w:after="100"/>
        <w:rPr>
          <w:rFonts w:cs="Calibri"/>
          <w:color w:val="000000"/>
          <w:bdr w:val="none" w:sz="0" w:space="0" w:color="auto" w:frame="1"/>
        </w:rPr>
      </w:pPr>
      <w:r w:rsidRPr="004C2091">
        <w:rPr>
          <w:rFonts w:cs="Calibri"/>
          <w:color w:val="000000"/>
          <w:bdr w:val="none" w:sz="0" w:space="0" w:color="auto" w:frame="1"/>
        </w:rPr>
        <w:t>The economy is based on the provision of services, which make up roughly two-thirds of the</w:t>
      </w:r>
      <w:r w:rsidR="00C72126">
        <w:rPr>
          <w:rFonts w:cs="Calibri"/>
          <w:color w:val="000000"/>
          <w:bdr w:val="none" w:sz="0" w:space="0" w:color="auto" w:frame="1"/>
        </w:rPr>
        <w:t> </w:t>
      </w:r>
      <w:r w:rsidRPr="004C2091">
        <w:rPr>
          <w:rFonts w:cs="Calibri"/>
          <w:color w:val="000000"/>
          <w:bdr w:val="none" w:sz="0" w:space="0" w:color="auto" w:frame="1"/>
        </w:rPr>
        <w:t xml:space="preserve">total GDP, and the manufacturing and </w:t>
      </w:r>
      <w:r w:rsidRPr="004C2091">
        <w:t>primary</w:t>
      </w:r>
      <w:r w:rsidRPr="004C2091">
        <w:rPr>
          <w:rFonts w:cs="Calibri"/>
          <w:color w:val="000000"/>
          <w:bdr w:val="none" w:sz="0" w:space="0" w:color="auto" w:frame="1"/>
        </w:rPr>
        <w:t xml:space="preserve"> sectors. The primary sector (agricultural, horticultural, forestry, mining and fishing industries) plays a fundamental role in the export sector and in employment. The primary sector directly accounts for around 7.8 per cent of GDP</w:t>
      </w:r>
      <w:r w:rsidRPr="004C2091">
        <w:rPr>
          <w:rStyle w:val="FootnoteReference"/>
          <w:rFonts w:cs="Calibri"/>
          <w:bdr w:val="none" w:sz="0" w:space="0" w:color="auto" w:frame="1"/>
        </w:rPr>
        <w:footnoteReference w:id="25"/>
      </w:r>
      <w:r w:rsidRPr="004C2091">
        <w:rPr>
          <w:rFonts w:cs="Calibri"/>
          <w:color w:val="000000"/>
          <w:bdr w:val="none" w:sz="0" w:space="0" w:color="auto" w:frame="1"/>
        </w:rPr>
        <w:t xml:space="preserve"> and contributed over half of New Zealand’s total export earnings in the year ended March 2024.</w:t>
      </w:r>
      <w:r w:rsidRPr="004C2091">
        <w:rPr>
          <w:rStyle w:val="FootnoteReference"/>
          <w:rFonts w:cs="Calibri"/>
          <w:bdr w:val="none" w:sz="0" w:space="0" w:color="auto" w:frame="1"/>
        </w:rPr>
        <w:footnoteReference w:id="26"/>
      </w:r>
      <w:r w:rsidRPr="004C2091">
        <w:rPr>
          <w:rFonts w:cs="Calibri"/>
          <w:color w:val="000000"/>
          <w:bdr w:val="none" w:sz="0" w:space="0" w:color="auto" w:frame="1"/>
        </w:rPr>
        <w:t xml:space="preserve"> In 2023</w:t>
      </w:r>
      <w:r w:rsidR="00496895">
        <w:rPr>
          <w:rFonts w:cs="Calibri"/>
          <w:color w:val="000000"/>
          <w:bdr w:val="none" w:sz="0" w:space="0" w:color="auto" w:frame="1"/>
        </w:rPr>
        <w:t>,</w:t>
      </w:r>
      <w:r w:rsidRPr="004C2091">
        <w:rPr>
          <w:rFonts w:cs="Calibri"/>
          <w:color w:val="000000"/>
          <w:bdr w:val="none" w:sz="0" w:space="0" w:color="auto" w:frame="1"/>
        </w:rPr>
        <w:t xml:space="preserve"> the primary sector employed 164,700 people, accounting for 5.7 per cent of all employed people.</w:t>
      </w:r>
      <w:r w:rsidRPr="004C2091">
        <w:rPr>
          <w:rStyle w:val="FootnoteReference"/>
          <w:rFonts w:cs="Calibri"/>
          <w:bdr w:val="none" w:sz="0" w:space="0" w:color="auto" w:frame="1"/>
        </w:rPr>
        <w:footnoteReference w:id="27"/>
      </w:r>
    </w:p>
    <w:p w14:paraId="5C9883F9" w14:textId="32B680CB" w:rsidR="00D61191" w:rsidRPr="004C2091" w:rsidDel="0031710C" w:rsidRDefault="00D61191" w:rsidP="002E1B6E">
      <w:pPr>
        <w:pStyle w:val="BodyText"/>
        <w:spacing w:before="100" w:after="100"/>
        <w:rPr>
          <w:rFonts w:cs="Calibri"/>
          <w:color w:val="000000"/>
          <w:bdr w:val="none" w:sz="0" w:space="0" w:color="auto" w:frame="1"/>
        </w:rPr>
      </w:pPr>
      <w:r w:rsidRPr="004C2091">
        <w:rPr>
          <w:rFonts w:cs="Calibri"/>
          <w:color w:val="000000"/>
          <w:bdr w:val="none" w:sz="0" w:space="0" w:color="auto" w:frame="1"/>
        </w:rPr>
        <w:t>The relationship between emissions and GDP over time depends on several factors, including the composition of the economy and the emissions intensities of industries.</w:t>
      </w:r>
      <w:r w:rsidRPr="004C2091">
        <w:rPr>
          <w:rStyle w:val="FootnoteReference"/>
          <w:rFonts w:cs="Calibri"/>
          <w:bdr w:val="none" w:sz="0" w:space="0" w:color="auto" w:frame="1"/>
        </w:rPr>
        <w:footnoteReference w:id="28"/>
      </w:r>
      <w:r w:rsidRPr="004C2091">
        <w:rPr>
          <w:rFonts w:cs="Calibri"/>
          <w:color w:val="000000"/>
          <w:bdr w:val="none" w:sz="0" w:space="0" w:color="auto" w:frame="1"/>
        </w:rPr>
        <w:t xml:space="preserve"> </w:t>
      </w:r>
      <w:r w:rsidR="00402560" w:rsidRPr="004C2091">
        <w:t xml:space="preserve">Gross emissions peaked in 2006 and have consistently declined since </w:t>
      </w:r>
      <w:r w:rsidR="00291F8D" w:rsidRPr="004C2091">
        <w:t>2019</w:t>
      </w:r>
      <w:r w:rsidR="00291F8D">
        <w:t>;</w:t>
      </w:r>
      <w:r w:rsidR="00C01976">
        <w:t xml:space="preserve"> </w:t>
      </w:r>
      <w:r w:rsidR="00C33B42">
        <w:t>however,</w:t>
      </w:r>
      <w:r w:rsidR="00C01976">
        <w:t xml:space="preserve"> </w:t>
      </w:r>
      <w:r w:rsidR="00942A1F">
        <w:t xml:space="preserve">emissions intensity has been </w:t>
      </w:r>
      <w:r w:rsidR="00D3357B">
        <w:t>improving since at least 2010</w:t>
      </w:r>
      <w:r w:rsidR="0091766D">
        <w:t>.</w:t>
      </w:r>
      <w:r w:rsidR="00402560" w:rsidRPr="004C2091">
        <w:t xml:space="preserve"> </w:t>
      </w:r>
      <w:r w:rsidRPr="004C2091">
        <w:rPr>
          <w:rFonts w:cs="Calibri"/>
          <w:color w:val="000000"/>
          <w:bdr w:val="none" w:sz="0" w:space="0" w:color="auto" w:frame="1"/>
        </w:rPr>
        <w:t>The overall emissions intensity of the New Zealand economy (ie, industry emissions/GDP) is 35.0 per cent lower in the March 2024 quarter compared with the March 2010 quarter.</w:t>
      </w:r>
      <w:r w:rsidRPr="004C2091">
        <w:rPr>
          <w:rStyle w:val="FootnoteReference"/>
          <w:rFonts w:cs="Calibri"/>
          <w:bdr w:val="none" w:sz="0" w:space="0" w:color="auto" w:frame="1"/>
        </w:rPr>
        <w:footnoteReference w:id="29"/>
      </w:r>
    </w:p>
    <w:p w14:paraId="620BE0EA" w14:textId="77777777" w:rsidR="00D61191" w:rsidRPr="004C2091" w:rsidRDefault="00D61191" w:rsidP="002B0CE9">
      <w:pPr>
        <w:pStyle w:val="Heading3"/>
        <w:numPr>
          <w:ilvl w:val="0"/>
          <w:numId w:val="37"/>
        </w:numPr>
      </w:pPr>
      <w:bookmarkStart w:id="84" w:name="_Toc169616333"/>
      <w:bookmarkStart w:id="85" w:name="_Toc169620026"/>
      <w:bookmarkStart w:id="86" w:name="_Toc172793938"/>
      <w:r w:rsidRPr="004C2091">
        <w:t>Exports</w:t>
      </w:r>
      <w:bookmarkEnd w:id="84"/>
      <w:bookmarkEnd w:id="85"/>
      <w:bookmarkEnd w:id="86"/>
    </w:p>
    <w:p w14:paraId="7CC05BB4" w14:textId="77777777" w:rsidR="00D61191" w:rsidRPr="004C2091" w:rsidRDefault="00D61191" w:rsidP="002E1B6E">
      <w:pPr>
        <w:pStyle w:val="BodyText"/>
        <w:spacing w:before="100" w:after="100"/>
      </w:pPr>
      <w:r w:rsidRPr="004C2091">
        <w:t>New Zealand’s total exports of goods and services were valued at NZ$96.1 billion for the year ended March 2024. China was its main export market, accounting for 21.8 per cent of total exports (NZ$20.9 billion), followed by the United States (15.2 per cent, NZ$14.6 billion), Australia (15.2 per cent, NZ$14.6 billion) and Japan (4.4 per cent, NZ$4.2 billion).</w:t>
      </w:r>
      <w:r w:rsidRPr="004C2091">
        <w:rPr>
          <w:rStyle w:val="FootnoteReference"/>
          <w:rFonts w:eastAsiaTheme="majorEastAsia" w:cs="Calibri"/>
        </w:rPr>
        <w:footnoteReference w:id="30"/>
      </w:r>
    </w:p>
    <w:p w14:paraId="7A8AFB67" w14:textId="77777777" w:rsidR="00D61191" w:rsidRPr="004C2091" w:rsidRDefault="00D61191" w:rsidP="002E1B6E">
      <w:pPr>
        <w:pStyle w:val="BodyText"/>
        <w:spacing w:before="100" w:after="100"/>
      </w:pPr>
      <w:r w:rsidRPr="004C2091">
        <w:t>New Zealand is the world’s 15th-largest agricultural exporter by value in 2022 according to the World Trade Organisation, and the largest single country exporter of dairy products. For New Zealand’s major primary sectors – meat, dairy, fisheries, wine, forestry and some horticulture products – between 70 per cent and 95 per cent of the output they produce is exported.</w:t>
      </w:r>
      <w:r w:rsidRPr="004C2091">
        <w:rPr>
          <w:rStyle w:val="FootnoteReference"/>
          <w:rFonts w:eastAsiaTheme="majorEastAsia" w:cs="Calibri"/>
        </w:rPr>
        <w:footnoteReference w:id="31"/>
      </w:r>
    </w:p>
    <w:p w14:paraId="40DB97BA" w14:textId="77777777" w:rsidR="00D61191" w:rsidRPr="004C2091" w:rsidRDefault="00D61191" w:rsidP="002E1B6E">
      <w:pPr>
        <w:pStyle w:val="BodyText"/>
        <w:spacing w:before="100" w:after="100"/>
        <w:rPr>
          <w:rFonts w:eastAsiaTheme="majorEastAsia" w:cs="Calibri"/>
        </w:rPr>
      </w:pPr>
      <w:r w:rsidRPr="004C2091">
        <w:rPr>
          <w:rFonts w:eastAsiaTheme="majorEastAsia" w:cs="Calibri"/>
        </w:rPr>
        <w:t>Dairy products were New Zealand’s largest export earner in the year ending March 2024, accounting for 20.8 per cent of exports at NZ$20 billion.</w:t>
      </w:r>
      <w:r w:rsidRPr="004C2091">
        <w:rPr>
          <w:rStyle w:val="FootnoteReference"/>
          <w:rFonts w:eastAsiaTheme="majorEastAsia" w:cs="Calibri"/>
        </w:rPr>
        <w:footnoteReference w:id="32"/>
      </w:r>
      <w:r w:rsidRPr="004C2091">
        <w:rPr>
          <w:rFonts w:eastAsiaTheme="majorEastAsia" w:cs="Calibri"/>
        </w:rPr>
        <w:t xml:space="preserve"> In the same year, the next largest groups of export goods were meat products at 9 per cent of total exports, and wood products at 5 per cent. The largest service export was the travel service, which contributed NZ$13.5 billion (14.1 per cent) of total export goods and services.</w:t>
      </w:r>
    </w:p>
    <w:p w14:paraId="43589768" w14:textId="6E8B0F44" w:rsidR="00D61191" w:rsidRPr="004C2091" w:rsidRDefault="00D61191" w:rsidP="002E1B6E">
      <w:pPr>
        <w:pStyle w:val="BodyText"/>
        <w:spacing w:before="100" w:after="100"/>
        <w:rPr>
          <w:rFonts w:asciiTheme="minorHAnsi" w:eastAsiaTheme="majorEastAsia" w:hAnsiTheme="minorHAnsi"/>
        </w:rPr>
      </w:pPr>
      <w:r w:rsidRPr="004C2091">
        <w:t>Before 2021, international tourism was a significant export earner for New Zealand, compared with traditional export products in the primary sector. Following border closures due to the COVID-19 pandemic, international tourism expenditure fell substantially from $17.7 billion in the year ended March 2020 to $1.5 billion in the year ended March 2021. However, since border restrictions ended, international tourism has increased. In the year ended March 2023, international tourism expenditure was estimated to be NZ$10.8 billion, an</w:t>
      </w:r>
      <w:r w:rsidR="002F4EAB">
        <w:t> </w:t>
      </w:r>
      <w:r w:rsidRPr="004C2091">
        <w:t>increase of 456.9 per cent from the previous year but still $6.9 billion below pre-pandemic levels (figure 2.1.1)</w:t>
      </w:r>
      <w:r w:rsidRPr="004C2091">
        <w:rPr>
          <w:rFonts w:asciiTheme="minorHAnsi" w:eastAsiaTheme="majorEastAsia" w:hAnsiTheme="minorHAnsi"/>
        </w:rPr>
        <w:t>.</w:t>
      </w:r>
      <w:r w:rsidRPr="004C2091">
        <w:rPr>
          <w:rStyle w:val="FootnoteReference"/>
          <w:rFonts w:eastAsiaTheme="majorEastAsia"/>
        </w:rPr>
        <w:footnoteReference w:id="33"/>
      </w:r>
    </w:p>
    <w:p w14:paraId="38B54CA5" w14:textId="7A1F7850" w:rsidR="00D61191" w:rsidRPr="004C2091" w:rsidRDefault="00D61191" w:rsidP="00201256">
      <w:pPr>
        <w:pStyle w:val="Figureheading"/>
      </w:pPr>
      <w:bookmarkStart w:id="87" w:name="_Toc185347235"/>
      <w:r w:rsidRPr="004C2091">
        <w:t>Figure 2.1.</w:t>
      </w:r>
      <w:r w:rsidR="005C6DE6">
        <w:t>1</w:t>
      </w:r>
      <w:r w:rsidRPr="004C2091">
        <w:t>:</w:t>
      </w:r>
      <w:r w:rsidRPr="004C2091">
        <w:tab/>
        <w:t>International tourism expenditure compared with value of selected primary exports (NZ$ million), year ended March 2019–</w:t>
      </w:r>
      <w:r w:rsidRPr="004C2091" w:rsidDel="001D1C58">
        <w:t>20</w:t>
      </w:r>
      <w:r w:rsidRPr="004C2091">
        <w:t>23</w:t>
      </w:r>
      <w:bookmarkEnd w:id="87"/>
    </w:p>
    <w:p w14:paraId="1E4A23F2" w14:textId="77777777" w:rsidR="00D61191" w:rsidRPr="004C2091" w:rsidRDefault="00D61191" w:rsidP="00D61191">
      <w:pPr>
        <w:pStyle w:val="BodyText"/>
        <w:spacing w:after="80"/>
      </w:pPr>
      <w:r w:rsidRPr="004C2091">
        <w:rPr>
          <w:noProof/>
        </w:rPr>
        <w:drawing>
          <wp:inline distT="0" distB="0" distL="0" distR="0" wp14:anchorId="60E9E50E" wp14:editId="78F29F30">
            <wp:extent cx="5212702" cy="2092303"/>
            <wp:effectExtent l="0" t="0" r="7620" b="3810"/>
            <wp:docPr id="913875782" name="Picture 1" descr="A bar graph comparing international tourism expenditure with the value in NZ million dollars of selected primary exports (that is dairy products, meat products, wood products, fruit and seafood) annually for 2019 to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875782" name="Picture 1" descr="A bar graph comparing international tourism expenditure with the value in NZ million dollars of selected primary exports (that is dairy products, meat products, wood products, fruit and seafood) annually for 2019 to 2023."/>
                    <pic:cNvPicPr>
                      <a:picLocks noChangeAspect="1" noChangeArrowheads="1"/>
                    </pic:cNvPicPr>
                  </pic:nvPicPr>
                  <pic:blipFill rotWithShape="1">
                    <a:blip r:embed="rId52">
                      <a:extLst>
                        <a:ext uri="{28A0092B-C50C-407E-A947-70E740481C1C}">
                          <a14:useLocalDpi xmlns:a14="http://schemas.microsoft.com/office/drawing/2010/main" val="0"/>
                        </a:ext>
                      </a:extLst>
                    </a:blip>
                    <a:srcRect t="7736" b="3528"/>
                    <a:stretch/>
                  </pic:blipFill>
                  <pic:spPr bwMode="auto">
                    <a:xfrm>
                      <a:off x="0" y="0"/>
                      <a:ext cx="5226341" cy="2097778"/>
                    </a:xfrm>
                    <a:prstGeom prst="rect">
                      <a:avLst/>
                    </a:prstGeom>
                    <a:noFill/>
                    <a:ln>
                      <a:noFill/>
                    </a:ln>
                    <a:extLst>
                      <a:ext uri="{53640926-AAD7-44D8-BBD7-CCE9431645EC}">
                        <a14:shadowObscured xmlns:a14="http://schemas.microsoft.com/office/drawing/2010/main"/>
                      </a:ext>
                    </a:extLst>
                  </pic:spPr>
                </pic:pic>
              </a:graphicData>
            </a:graphic>
          </wp:inline>
        </w:drawing>
      </w:r>
    </w:p>
    <w:p w14:paraId="1D51B1C4" w14:textId="77777777" w:rsidR="00D61191" w:rsidRPr="004C2091" w:rsidRDefault="00D61191" w:rsidP="00D61191">
      <w:pPr>
        <w:pStyle w:val="Source"/>
        <w:spacing w:before="0"/>
      </w:pPr>
      <w:r w:rsidRPr="004C2091">
        <w:t xml:space="preserve">Source: Stats NZ. 2024. </w:t>
      </w:r>
      <w:hyperlink r:id="rId53" w:history="1">
        <w:r w:rsidRPr="004C2091">
          <w:rPr>
            <w:rStyle w:val="Hyperlink"/>
            <w:i/>
            <w:iCs/>
          </w:rPr>
          <w:t>Tourism satellite account: Year ended March 2023</w:t>
        </w:r>
      </w:hyperlink>
      <w:r w:rsidRPr="004C2091">
        <w:t xml:space="preserve">. </w:t>
      </w:r>
    </w:p>
    <w:p w14:paraId="621D5E2E" w14:textId="77777777" w:rsidR="00D61191" w:rsidRPr="004C2091" w:rsidRDefault="00D61191" w:rsidP="002B0CE9">
      <w:pPr>
        <w:pStyle w:val="Heading3"/>
        <w:numPr>
          <w:ilvl w:val="0"/>
          <w:numId w:val="37"/>
        </w:numPr>
      </w:pPr>
      <w:bookmarkStart w:id="88" w:name="_Toc169616334"/>
      <w:bookmarkStart w:id="89" w:name="_Toc169620027"/>
      <w:bookmarkStart w:id="90" w:name="_Toc172793939"/>
      <w:r w:rsidRPr="004C2091">
        <w:t>Imports</w:t>
      </w:r>
      <w:bookmarkEnd w:id="88"/>
      <w:bookmarkEnd w:id="89"/>
      <w:bookmarkEnd w:id="90"/>
    </w:p>
    <w:p w14:paraId="1BB2EA79" w14:textId="77777777" w:rsidR="00D61191" w:rsidRPr="004C2091" w:rsidRDefault="00D61191" w:rsidP="00D61191">
      <w:pPr>
        <w:pStyle w:val="BodyText"/>
        <w:rPr>
          <w:rFonts w:cs="Calibri"/>
          <w:shd w:val="clear" w:color="auto" w:fill="FFFFFF"/>
        </w:rPr>
      </w:pPr>
      <w:r w:rsidRPr="004C2091">
        <w:rPr>
          <w:rFonts w:cs="Calibri"/>
          <w:shd w:val="clear" w:color="auto" w:fill="FFFFFF"/>
        </w:rPr>
        <w:t>New Zealand’s goods and services imports were valued at NZ$105.3 billion in the year ending March 2024.</w:t>
      </w:r>
      <w:r w:rsidRPr="004C2091">
        <w:rPr>
          <w:rStyle w:val="FootnoteReference"/>
          <w:rFonts w:cs="Calibri"/>
          <w:shd w:val="clear" w:color="auto" w:fill="FFFFFF"/>
        </w:rPr>
        <w:footnoteReference w:id="34"/>
      </w:r>
      <w:r w:rsidRPr="004C2091">
        <w:rPr>
          <w:rFonts w:cs="Calibri"/>
          <w:shd w:val="clear" w:color="auto" w:fill="FFFFFF"/>
        </w:rPr>
        <w:t xml:space="preserve"> China was the source of the country’s highest proportion of imports, accounting for 16.2 per cent ($17.1 billion) of the total, followed by Australia (15.7 per cent, $16.49 billion) and the United States (10.6 per cent, $11.14 billion). </w:t>
      </w:r>
    </w:p>
    <w:p w14:paraId="39D9DCAE" w14:textId="77777777" w:rsidR="00D61191" w:rsidRPr="004C2091" w:rsidRDefault="00D61191" w:rsidP="00D61191">
      <w:pPr>
        <w:pStyle w:val="BodyText"/>
      </w:pPr>
      <w:r w:rsidRPr="004C2091">
        <w:rPr>
          <w:rFonts w:cs="Calibri"/>
          <w:shd w:val="clear" w:color="auto" w:fill="FFFFFF"/>
        </w:rPr>
        <w:t xml:space="preserve">In the same year, the mechanical machinery category contributed the most to New Zealand’s total imports at 9.9 per cent ($10.45 billion), closely followed by the vehicles category at 9.7 per cent ($10.21 billion). The mineral fuels and oils category was the next largest import at 9.6 per cent ($10.14 billion) of total imports. </w:t>
      </w:r>
    </w:p>
    <w:p w14:paraId="75F3C5F1" w14:textId="77777777" w:rsidR="00D61191" w:rsidRPr="004C2091" w:rsidRDefault="00D61191" w:rsidP="002B0CE9">
      <w:pPr>
        <w:pStyle w:val="Heading2"/>
        <w:numPr>
          <w:ilvl w:val="0"/>
          <w:numId w:val="36"/>
        </w:numPr>
        <w:tabs>
          <w:tab w:val="num" w:pos="397"/>
          <w:tab w:val="left" w:pos="1077"/>
        </w:tabs>
        <w:ind w:left="397" w:hanging="397"/>
      </w:pPr>
      <w:bookmarkStart w:id="91" w:name="_Toc184825487"/>
      <w:bookmarkStart w:id="92" w:name="_Toc169616335"/>
      <w:bookmarkStart w:id="93" w:name="_Toc169620028"/>
      <w:bookmarkStart w:id="94" w:name="_Toc172793940"/>
      <w:r w:rsidRPr="004C2091">
        <w:t>Climate profile</w:t>
      </w:r>
      <w:bookmarkEnd w:id="91"/>
      <w:r w:rsidRPr="004C2091">
        <w:t xml:space="preserve"> </w:t>
      </w:r>
      <w:bookmarkEnd w:id="92"/>
      <w:bookmarkEnd w:id="93"/>
      <w:bookmarkEnd w:id="94"/>
    </w:p>
    <w:p w14:paraId="23FD9A60" w14:textId="77777777" w:rsidR="00D61191" w:rsidRPr="004C2091" w:rsidRDefault="00D61191" w:rsidP="002B0CE9">
      <w:pPr>
        <w:pStyle w:val="Heading3"/>
        <w:numPr>
          <w:ilvl w:val="0"/>
          <w:numId w:val="38"/>
        </w:numPr>
      </w:pPr>
      <w:bookmarkStart w:id="95" w:name="_Toc169616336"/>
      <w:bookmarkStart w:id="96" w:name="_Toc169620029"/>
      <w:bookmarkStart w:id="97" w:name="_Toc172793941"/>
      <w:r w:rsidRPr="004C2091">
        <w:t>Current climate</w:t>
      </w:r>
      <w:bookmarkEnd w:id="95"/>
      <w:bookmarkEnd w:id="96"/>
      <w:bookmarkEnd w:id="97"/>
    </w:p>
    <w:p w14:paraId="53181709" w14:textId="7FF02D53" w:rsidR="00D61191" w:rsidRPr="004C2091" w:rsidRDefault="00D61191" w:rsidP="00D61191">
      <w:pPr>
        <w:pStyle w:val="BodyText"/>
      </w:pPr>
      <w:r w:rsidRPr="004C2091">
        <w:t>New Zealand has climate zones ranging from subtropical to subantarctic. The climate is heavily influenced by the country’s location in a latitudinal zone with prevailing westerly winds</w:t>
      </w:r>
      <w:r w:rsidR="006866EE">
        <w:t>,</w:t>
      </w:r>
      <w:r w:rsidRPr="004C2091">
        <w:t xml:space="preserve"> and by the surrounding ocean. It is also influenced by mountain chains that modify the weather systems as they sweep eastward. This leads to more rainfall in the west and drier conditions in the east. The average rainfall in most areas is between 600 and 1,600 millimetres (mm) a year. In the mountain ranges, annual rainfall often exceeds 5,000 mm, and in the Southern Alps it can be more than 10,000 mm. However, areas to the east of the main ranges have an average rainfall of less than 600 mm a year.</w:t>
      </w:r>
      <w:r w:rsidRPr="004C2091">
        <w:rPr>
          <w:rStyle w:val="FootnoteReference"/>
        </w:rPr>
        <w:footnoteReference w:id="35"/>
      </w:r>
      <w:r w:rsidRPr="004C2091">
        <w:rPr>
          <w:vertAlign w:val="superscript"/>
        </w:rPr>
        <w:t>,</w:t>
      </w:r>
      <w:r w:rsidRPr="004C2091">
        <w:t xml:space="preserve"> </w:t>
      </w:r>
      <w:r w:rsidRPr="004C2091">
        <w:rPr>
          <w:rStyle w:val="FootnoteReference"/>
        </w:rPr>
        <w:footnoteReference w:id="36"/>
      </w:r>
      <w:r w:rsidRPr="004C2091">
        <w:t xml:space="preserve"> </w:t>
      </w:r>
    </w:p>
    <w:p w14:paraId="5E389D05" w14:textId="5BB15D2B" w:rsidR="00D61191" w:rsidRPr="004C2091" w:rsidRDefault="00D61191" w:rsidP="00D61191">
      <w:pPr>
        <w:pStyle w:val="BodyText"/>
      </w:pPr>
      <w:r w:rsidRPr="004C2091">
        <w:t>Average annual temperatures range from 10 degrees Celsius in the southern part of New Zealand to 16 degrees Celsius in the north.</w:t>
      </w:r>
      <w:r w:rsidRPr="004C2091">
        <w:rPr>
          <w:rStyle w:val="FootnoteReference"/>
        </w:rPr>
        <w:footnoteReference w:id="37"/>
      </w:r>
      <w:r w:rsidRPr="004C2091">
        <w:t xml:space="preserve"> In areas inland and to the east of the main</w:t>
      </w:r>
      <w:r w:rsidR="00DE4EBD">
        <w:t> </w:t>
      </w:r>
      <w:r w:rsidRPr="004C2091">
        <w:t>ranges, temperatures fluctuate by up to 14 degrees Celsius between seasons, but generally the changes between summer and winter temperatures are small. On average, most</w:t>
      </w:r>
      <w:r w:rsidR="00DE4EBD">
        <w:t> </w:t>
      </w:r>
      <w:r w:rsidRPr="004C2091">
        <w:t>of the country receives between 1,700 and 2,100 sunshine hours annually.</w:t>
      </w:r>
      <w:r w:rsidRPr="004C2091">
        <w:rPr>
          <w:rStyle w:val="FootnoteReference"/>
        </w:rPr>
        <w:footnoteReference w:id="38"/>
      </w:r>
      <w:r w:rsidRPr="004C2091">
        <w:t xml:space="preserve"> </w:t>
      </w:r>
    </w:p>
    <w:p w14:paraId="3CECA01C" w14:textId="77777777" w:rsidR="00D61191" w:rsidRPr="004C2091" w:rsidRDefault="00D61191" w:rsidP="00D61191">
      <w:pPr>
        <w:pStyle w:val="BodyText"/>
        <w:rPr>
          <w:rFonts w:cs="Calibri"/>
          <w:color w:val="000000"/>
          <w:bdr w:val="none" w:sz="0" w:space="0" w:color="auto" w:frame="1"/>
        </w:rPr>
      </w:pPr>
      <w:r w:rsidRPr="004C2091">
        <w:t>New Zealand is already experiencing changes in climate due to climate change, with an increase in average annual temperature of 1.1 degrees Celsius over the past 100 years.</w:t>
      </w:r>
      <w:r w:rsidRPr="004C2091">
        <w:rPr>
          <w:rStyle w:val="FootnoteReference"/>
        </w:rPr>
        <w:footnoteReference w:id="39"/>
      </w:r>
      <w:r w:rsidRPr="004C2091">
        <w:rPr>
          <w:rStyle w:val="Heading1Char"/>
          <w:rFonts w:ascii="Calibri" w:hAnsi="Calibri" w:cs="Calibri"/>
          <w:color w:val="000000"/>
          <w:sz w:val="22"/>
          <w:szCs w:val="22"/>
          <w:bdr w:val="none" w:sz="0" w:space="0" w:color="auto" w:frame="1"/>
        </w:rPr>
        <w:t xml:space="preserve"> </w:t>
      </w:r>
      <w:r w:rsidRPr="004C2091">
        <w:rPr>
          <w:rFonts w:cs="Calibri"/>
          <w:color w:val="000000"/>
          <w:bdr w:val="none" w:sz="0" w:space="0" w:color="auto" w:frame="1"/>
        </w:rPr>
        <w:t>2022 was the warmest year on record, surpassing previous records set in 2021 and 2016, while 2023 was the second-warmest year on record.</w:t>
      </w:r>
      <w:r w:rsidRPr="004C2091">
        <w:rPr>
          <w:rStyle w:val="FootnoteReference"/>
          <w:rFonts w:cs="Calibri"/>
          <w:bdr w:val="none" w:sz="0" w:space="0" w:color="auto" w:frame="1"/>
        </w:rPr>
        <w:footnoteReference w:id="40"/>
      </w:r>
      <w:r w:rsidRPr="004C2091">
        <w:rPr>
          <w:rFonts w:cs="Calibri"/>
          <w:color w:val="000000"/>
          <w:bdr w:val="none" w:sz="0" w:space="0" w:color="auto" w:frame="1"/>
        </w:rPr>
        <w:t xml:space="preserve"> </w:t>
      </w:r>
    </w:p>
    <w:p w14:paraId="5CC71D19" w14:textId="77777777" w:rsidR="00D61191" w:rsidRPr="004C2091" w:rsidRDefault="00D61191" w:rsidP="00D61191">
      <w:pPr>
        <w:pStyle w:val="BodyText"/>
      </w:pPr>
      <w:r w:rsidRPr="004C2091">
        <w:rPr>
          <w:rFonts w:cs="Calibri"/>
          <w:color w:val="000000"/>
          <w:bdr w:val="none" w:sz="0" w:space="0" w:color="auto" w:frame="1"/>
        </w:rPr>
        <w:t>Sea-level rise is accelerating globally, rising by an average rate of 3.7 mm per year between 2006 and 2018.</w:t>
      </w:r>
      <w:r w:rsidRPr="004C2091">
        <w:rPr>
          <w:rStyle w:val="FootnoteReference"/>
          <w:rFonts w:cs="Calibri"/>
          <w:bdr w:val="none" w:sz="0" w:space="0" w:color="auto" w:frame="1"/>
        </w:rPr>
        <w:footnoteReference w:id="41"/>
      </w:r>
      <w:r w:rsidRPr="004C2091">
        <w:rPr>
          <w:rFonts w:cs="Calibri"/>
          <w:color w:val="000000"/>
          <w:bdr w:val="none" w:sz="0" w:space="0" w:color="auto" w:frame="1"/>
        </w:rPr>
        <w:t xml:space="preserve"> New Zealand’s long-term records show rising sea levels (relative to land) of 1.88 mm per year, or 0.21 metres on average around New Zealand, from the start of its records in 1901 to 2020.</w:t>
      </w:r>
      <w:r w:rsidRPr="004C2091">
        <w:rPr>
          <w:rStyle w:val="FootnoteReference"/>
        </w:rPr>
        <w:footnoteReference w:id="42"/>
      </w:r>
      <w:r w:rsidRPr="004C2091">
        <w:t xml:space="preserve"> </w:t>
      </w:r>
      <w:r w:rsidRPr="004C2091">
        <w:rPr>
          <w:rFonts w:cs="Calibri"/>
          <w:color w:val="000000"/>
          <w:bdr w:val="none" w:sz="0" w:space="0" w:color="auto" w:frame="1"/>
        </w:rPr>
        <w:t>The rate of sea-level rise has also increased. Between 1961 and 2020, the mean rate of sea-level rise was 2.20 mm per year. This rate is almost double the mean rate in the 60 years before this time period, which was 1.27 mm per year between the start of New Zealand’s records and 1960.</w:t>
      </w:r>
      <w:r w:rsidRPr="004C2091">
        <w:rPr>
          <w:rStyle w:val="FootnoteReference"/>
          <w:rFonts w:cs="Calibri"/>
          <w:bdr w:val="none" w:sz="0" w:space="0" w:color="auto" w:frame="1"/>
        </w:rPr>
        <w:footnoteReference w:id="43"/>
      </w:r>
    </w:p>
    <w:p w14:paraId="5DB43A7F" w14:textId="77777777" w:rsidR="00D61191" w:rsidRPr="004C2091" w:rsidRDefault="00D61191" w:rsidP="002B0CE9">
      <w:pPr>
        <w:pStyle w:val="Heading3"/>
        <w:numPr>
          <w:ilvl w:val="0"/>
          <w:numId w:val="38"/>
        </w:numPr>
      </w:pPr>
      <w:bookmarkStart w:id="98" w:name="_Toc169616337"/>
      <w:bookmarkStart w:id="99" w:name="_Toc169620030"/>
      <w:bookmarkStart w:id="100" w:name="_Toc172793942"/>
      <w:r w:rsidRPr="004C2091">
        <w:t>Projected changes in climate</w:t>
      </w:r>
      <w:bookmarkEnd w:id="98"/>
      <w:bookmarkEnd w:id="99"/>
      <w:bookmarkEnd w:id="100"/>
    </w:p>
    <w:p w14:paraId="663501FC" w14:textId="19A97B72" w:rsidR="00D61191" w:rsidRPr="004C2091" w:rsidRDefault="00D61191" w:rsidP="00D61191">
      <w:pPr>
        <w:pStyle w:val="BodyText"/>
      </w:pPr>
      <w:r w:rsidRPr="004C2091">
        <w:t>Climate change projections for New Zealand show further warming by 2090, with more hot days and fewer cold days across the country over the next decades.</w:t>
      </w:r>
      <w:r w:rsidRPr="004C2091" w:rsidDel="003A5C03">
        <w:t xml:space="preserve"> </w:t>
      </w:r>
      <w:r w:rsidRPr="004C2091">
        <w:t>Because of the different possible scenarios for the concentrations of greenhouse gases in the atmosphere, as well as the differences in climate response to those pathways, possible projections for future warming span a wide range: 0.3–1.2 degrees Celsius by 2030, 0.6–2.2 degrees Celsius by 2050 and 0.7–4.7 degrees Celsius by 2090.</w:t>
      </w:r>
      <w:r w:rsidRPr="004C2091">
        <w:rPr>
          <w:rStyle w:val="FootnoteReference"/>
        </w:rPr>
        <w:footnoteReference w:id="44"/>
      </w:r>
      <w:r w:rsidRPr="004C2091">
        <w:t xml:space="preserve"> Further detail on projected climate in New Zealand can be found in </w:t>
      </w:r>
      <w:hyperlink w:anchor="_Impacts,_risks_and" w:history="1">
        <w:r w:rsidRPr="00903FF5">
          <w:rPr>
            <w:rStyle w:val="Hyperlink"/>
          </w:rPr>
          <w:t xml:space="preserve">section </w:t>
        </w:r>
        <w:bookmarkStart w:id="101" w:name="_Hlt184384548"/>
        <w:r w:rsidRPr="00903FF5">
          <w:rPr>
            <w:rStyle w:val="Hyperlink"/>
          </w:rPr>
          <w:t>3</w:t>
        </w:r>
        <w:bookmarkEnd w:id="101"/>
        <w:r w:rsidRPr="00903FF5">
          <w:rPr>
            <w:rStyle w:val="Hyperlink"/>
          </w:rPr>
          <w:t>.3</w:t>
        </w:r>
      </w:hyperlink>
      <w:r w:rsidRPr="004C2091">
        <w:t>, chapter 3</w:t>
      </w:r>
      <w:r w:rsidRPr="004C2091">
        <w:rPr>
          <w:i/>
          <w:iCs/>
        </w:rPr>
        <w:t>.</w:t>
      </w:r>
      <w:r w:rsidRPr="004C2091">
        <w:t xml:space="preserve"> </w:t>
      </w:r>
    </w:p>
    <w:p w14:paraId="1A9A1750" w14:textId="1BFB9818" w:rsidR="00D61191" w:rsidRPr="004C2091" w:rsidRDefault="00D61191" w:rsidP="00D61191">
      <w:pPr>
        <w:pStyle w:val="BodyText"/>
      </w:pPr>
      <w:r w:rsidRPr="004C2091">
        <w:t xml:space="preserve">Projected changes in rainfall show a marked seasonality and variability across regions. It is </w:t>
      </w:r>
      <w:r w:rsidRPr="004C2091" w:rsidDel="00D00888">
        <w:t>very</w:t>
      </w:r>
      <w:r w:rsidR="00D00888" w:rsidRPr="004C2091">
        <w:t xml:space="preserve"> likely</w:t>
      </w:r>
      <w:r w:rsidRPr="004C2091">
        <w:t xml:space="preserve"> that in winter and spring, rainfall will increase in the west of both the North and South Islands, while the east and north will have drier conditions, caused by a projected increase in the westerly winds over New Zealand during these seasons. For summer, conditions are likely to be wetter in the east of both islands and drier in the west and central North Island. Extreme weather events, such as storms, heatwaves and heavy rainfall, are likely to be more frequent and intense. Tropical cyclones are likely to increase wind intensity and rain rates, and to be stronger and cause more damage. Drought severity is projected to increase in most areas of the country, except for Taranaki–Manawat</w:t>
      </w:r>
      <w:r w:rsidRPr="004C2091">
        <w:rPr>
          <w:rFonts w:cs="Calibri"/>
        </w:rPr>
        <w:t>ū</w:t>
      </w:r>
      <w:r w:rsidRPr="004C2091">
        <w:t>, West Coast and Southland.</w:t>
      </w:r>
      <w:r w:rsidRPr="004C2091">
        <w:rPr>
          <w:rStyle w:val="FootnoteReference"/>
        </w:rPr>
        <w:footnoteReference w:id="45"/>
      </w:r>
    </w:p>
    <w:p w14:paraId="247D07B8" w14:textId="77777777" w:rsidR="00D61191" w:rsidRPr="004C2091" w:rsidRDefault="00D61191" w:rsidP="002B0CE9">
      <w:pPr>
        <w:pStyle w:val="Heading2"/>
        <w:numPr>
          <w:ilvl w:val="0"/>
          <w:numId w:val="36"/>
        </w:numPr>
        <w:tabs>
          <w:tab w:val="num" w:pos="397"/>
          <w:tab w:val="left" w:pos="1077"/>
        </w:tabs>
        <w:ind w:left="397" w:hanging="397"/>
      </w:pPr>
      <w:bookmarkStart w:id="102" w:name="_Toc172793943"/>
      <w:bookmarkStart w:id="103" w:name="_Toc169616338"/>
      <w:bookmarkStart w:id="104" w:name="_Toc169620031"/>
      <w:bookmarkStart w:id="105" w:name="_Toc184825488"/>
      <w:r w:rsidRPr="004C2091">
        <w:t>Sector details</w:t>
      </w:r>
      <w:bookmarkEnd w:id="102"/>
      <w:bookmarkEnd w:id="103"/>
      <w:bookmarkEnd w:id="104"/>
      <w:bookmarkEnd w:id="105"/>
    </w:p>
    <w:p w14:paraId="6B9DE566" w14:textId="77777777" w:rsidR="00D61191" w:rsidRPr="004C2091" w:rsidRDefault="00D61191" w:rsidP="00875453">
      <w:pPr>
        <w:pStyle w:val="Heading3"/>
        <w:numPr>
          <w:ilvl w:val="0"/>
          <w:numId w:val="49"/>
        </w:numPr>
      </w:pPr>
      <w:bookmarkStart w:id="106" w:name="_Toc169616339"/>
      <w:bookmarkStart w:id="107" w:name="_Toc169620032"/>
      <w:bookmarkStart w:id="108" w:name="_Toc172793944"/>
      <w:r w:rsidRPr="004C2091">
        <w:t>Energy</w:t>
      </w:r>
      <w:bookmarkEnd w:id="106"/>
      <w:bookmarkEnd w:id="107"/>
      <w:bookmarkEnd w:id="108"/>
    </w:p>
    <w:p w14:paraId="237665CE" w14:textId="068B835A" w:rsidR="00D61191" w:rsidRPr="004C2091" w:rsidRDefault="00D61191" w:rsidP="00CB6B7C">
      <w:pPr>
        <w:pStyle w:val="BodyText"/>
        <w:spacing w:before="100" w:after="100"/>
      </w:pPr>
      <w:bookmarkStart w:id="109" w:name="_Toc169620033"/>
      <w:bookmarkStart w:id="110" w:name="_Toc172793945"/>
      <w:r w:rsidRPr="004C2091">
        <w:t xml:space="preserve">The </w:t>
      </w:r>
      <w:r w:rsidRPr="004C2091" w:rsidDel="00832DE8">
        <w:t>e</w:t>
      </w:r>
      <w:r w:rsidRPr="004C2091">
        <w:t>nergy sector (including transport) is the second-largest contributor to New Zealand's gross greenhouse gas emissions at 36.6 per cent in 2022.</w:t>
      </w:r>
      <w:r w:rsidRPr="004C2091">
        <w:rPr>
          <w:rStyle w:val="FootnoteReference"/>
          <w:rFonts w:eastAsia="Times New Roman" w:cs="Calibri"/>
        </w:rPr>
        <w:footnoteReference w:id="46"/>
      </w:r>
      <w:r w:rsidRPr="004C2091">
        <w:t xml:space="preserve"> Since 1990, energy intensity has fallen as economic activity shifts to less energy-intensive sectors (such as the commercial sector), which need less energy to produce each dollar of GDP. As a result, the overall energy intensity of the economy has improved by 1.7 per cent on average between the years 1990 and 2023.</w:t>
      </w:r>
      <w:r w:rsidRPr="004C2091">
        <w:rPr>
          <w:rStyle w:val="FootnoteReference"/>
        </w:rPr>
        <w:footnoteReference w:id="47"/>
      </w:r>
      <w:r w:rsidRPr="004C2091">
        <w:t xml:space="preserve"> In 2023, energy intensity decreased by 0.6 per cent compared with 2022.</w:t>
      </w:r>
    </w:p>
    <w:p w14:paraId="102C4B1C" w14:textId="624BE79B" w:rsidR="00D61191" w:rsidRPr="004C2091" w:rsidRDefault="00D61191" w:rsidP="00CB6B7C">
      <w:pPr>
        <w:pStyle w:val="BodyText"/>
        <w:spacing w:before="100" w:after="100"/>
      </w:pPr>
      <w:r w:rsidRPr="004C2091">
        <w:t>New Zealand’s total primary energy supply (TPES) was 851 petajoules (PJ) in 2023.</w:t>
      </w:r>
      <w:r w:rsidRPr="004C2091">
        <w:rPr>
          <w:rStyle w:val="FootnoteReference"/>
          <w:rFonts w:eastAsia="Times New Roman" w:cs="Calibri"/>
        </w:rPr>
        <w:footnoteReference w:id="48"/>
      </w:r>
      <w:r w:rsidRPr="004C2091">
        <w:t xml:space="preserve"> TPES is a</w:t>
      </w:r>
      <w:r w:rsidR="00DE4EBD">
        <w:t> </w:t>
      </w:r>
      <w:r w:rsidRPr="004C2091">
        <w:t>measure of the amount of energy available for use in New Zealand.</w:t>
      </w:r>
      <w:r w:rsidRPr="004C2091">
        <w:rPr>
          <w:rStyle w:val="FootnoteReference"/>
        </w:rPr>
        <w:footnoteReference w:id="49"/>
      </w:r>
      <w:r w:rsidRPr="004C2091" w:rsidDel="00C05D32">
        <w:t xml:space="preserve"> </w:t>
      </w:r>
      <w:r w:rsidRPr="004C2091">
        <w:t xml:space="preserve">Renewable energy contributed </w:t>
      </w:r>
      <w:r w:rsidRPr="004C2091" w:rsidDel="005534FC">
        <w:t>4</w:t>
      </w:r>
      <w:r w:rsidRPr="004C2091">
        <w:t>3 per cent to the 2023 </w:t>
      </w:r>
      <w:r w:rsidRPr="004C2091">
        <w:rPr>
          <w:rFonts w:eastAsia="Times New Roman" w:cs="Calibri"/>
        </w:rPr>
        <w:t>TPES. The majority of the remainder of the TPES was oil (35 per cent) and natural gas (18 per cent).</w:t>
      </w:r>
      <w:r w:rsidRPr="004C2091">
        <w:t xml:space="preserve"> Primary energy supply increased from 1990 to 2014, driven by geothermal energy and fossil oil; however, it has been declining since 2017. </w:t>
      </w:r>
    </w:p>
    <w:p w14:paraId="0E4A184A" w14:textId="77777777" w:rsidR="00D61191" w:rsidRPr="004C2091" w:rsidRDefault="00D61191" w:rsidP="00CB6B7C">
      <w:pPr>
        <w:pStyle w:val="BodyText"/>
        <w:spacing w:before="100" w:after="100"/>
      </w:pPr>
      <w:r w:rsidRPr="004C2091">
        <w:t>New Zealand’s energy self-sufficiency, a measure of how well the country can meet its own energy needs with domestic production, was 73 per cent in 2023.</w:t>
      </w:r>
      <w:r w:rsidRPr="004C2091">
        <w:rPr>
          <w:rStyle w:val="FootnoteReference"/>
          <w:rFonts w:eastAsia="Times New Roman" w:cs="Calibri"/>
        </w:rPr>
        <w:footnoteReference w:id="50"/>
      </w:r>
      <w:r w:rsidRPr="004C2091">
        <w:t xml:space="preserve"> Energy self-sufficiency peaked in 2010 at 92.5 per cent due to historically high oil, natural gas and coal production. Some coal and oil products are currently imported, while New Zealand currently meets all its natural gas needs through indigenous production. However, domestic gas production capacity is projected to fall below demand from 2024, and so future demand may fall unless alternative supply sources are found. Additional sources may include expanded domestic gas production, imports of liquefied natural gas, or renewable gas production.</w:t>
      </w:r>
    </w:p>
    <w:p w14:paraId="4B927B51" w14:textId="77777777" w:rsidR="00D61191" w:rsidRPr="004C2091" w:rsidRDefault="00D61191" w:rsidP="00EA02DE">
      <w:pPr>
        <w:pStyle w:val="Heading4"/>
        <w:numPr>
          <w:ilvl w:val="0"/>
          <w:numId w:val="47"/>
        </w:numPr>
      </w:pPr>
      <w:r w:rsidRPr="004C2091">
        <w:t>Electricity</w:t>
      </w:r>
      <w:bookmarkEnd w:id="109"/>
      <w:bookmarkEnd w:id="110"/>
    </w:p>
    <w:p w14:paraId="4D91A140" w14:textId="77777777" w:rsidR="00D61191" w:rsidRPr="004C2091" w:rsidRDefault="00D61191" w:rsidP="00CB6B7C">
      <w:pPr>
        <w:pStyle w:val="BodyText"/>
        <w:spacing w:before="100" w:after="100"/>
      </w:pPr>
      <w:bookmarkStart w:id="111" w:name="_Toc169620034"/>
      <w:bookmarkStart w:id="112" w:name="_Toc172793946"/>
      <w:r w:rsidRPr="004C2091">
        <w:t>New Zealand has abundant renewable energy resources and a long history of renewable energy development. As a result, the majority of New Zealand’s electricity generation comes from renewable sources (88.1 per cent in 2023). For the 2023 calendar year, hydro generation provided 60.5 per cent of New Zealand’s electricity. A further 17.8 per cent came from geothermal, 7.4 per cent from wind, 0.9 per cent from wood, 0.6 per cent from biogas and 0.8 per cent from solar. The remaining 11.</w:t>
      </w:r>
      <w:r w:rsidRPr="004C2091" w:rsidDel="0085639F">
        <w:t>9</w:t>
      </w:r>
      <w:r w:rsidRPr="004C2091">
        <w:t xml:space="preserve"> per cent came from non-renewable sources – namely natural gas, coal, oil and waste heat.</w:t>
      </w:r>
      <w:r w:rsidRPr="004C2091">
        <w:rPr>
          <w:rStyle w:val="FootnoteReference"/>
        </w:rPr>
        <w:footnoteReference w:id="51"/>
      </w:r>
    </w:p>
    <w:p w14:paraId="66E3F162" w14:textId="77777777" w:rsidR="00D61191" w:rsidRPr="004C2091" w:rsidRDefault="00D61191" w:rsidP="00CB6B7C">
      <w:pPr>
        <w:pStyle w:val="BodyText"/>
        <w:spacing w:before="100" w:after="100"/>
      </w:pPr>
      <w:r w:rsidRPr="004C2091">
        <w:t>Electricity consumption decreased by 0.2 per cent between 2022 and 2023. The industrial, commercial</w:t>
      </w:r>
      <w:r w:rsidRPr="004C2091" w:rsidDel="00816ADD">
        <w:t xml:space="preserve"> and </w:t>
      </w:r>
      <w:r w:rsidRPr="004C2091">
        <w:t>residential sectors are the main contributors towards national consumption. In 2022, the public electricity and heat production category contributed 3.5 per cent of New Zealand’s gross greenhouse gas emissions, an increase of 22.5 per cent since 1990.</w:t>
      </w:r>
      <w:r w:rsidRPr="004C2091">
        <w:rPr>
          <w:rStyle w:val="FootnoteReference"/>
          <w:rFonts w:eastAsia="Times New Roman" w:cs="Calibri"/>
        </w:rPr>
        <w:footnoteReference w:id="52"/>
      </w:r>
      <w:r w:rsidRPr="004C2091">
        <w:t xml:space="preserve"> However, New Zealand’s electricity generation emissions per capita are low compared with many other countries because of the high share of renewable energy.</w:t>
      </w:r>
      <w:r w:rsidRPr="004C2091">
        <w:rPr>
          <w:rStyle w:val="FootnoteReference"/>
        </w:rPr>
        <w:footnoteReference w:id="53"/>
      </w:r>
      <w:r w:rsidRPr="004C2091">
        <w:t xml:space="preserve"> This was especially the case in 2022 when New Zealand was having one of its warmest and wettest years on record, allowing greater hydro-electricity generation.</w:t>
      </w:r>
    </w:p>
    <w:p w14:paraId="51B03456" w14:textId="34207DB1" w:rsidR="00D61191" w:rsidRPr="004C2091" w:rsidRDefault="00D61191" w:rsidP="00D61191">
      <w:pPr>
        <w:pStyle w:val="BodyText"/>
        <w:rPr>
          <w:rFonts w:ascii="Segoe UI" w:hAnsi="Segoe UI" w:cs="Segoe UI"/>
          <w:sz w:val="18"/>
          <w:szCs w:val="18"/>
        </w:rPr>
      </w:pPr>
      <w:r w:rsidRPr="004C2091">
        <w:t>The proportion of electricity that is generated by hydro power each year changes depending on rainfall. In a dry year, low rainfall can affect hydro inflows, leading to less electricity generation from hydro power. During these years, the shortfall in supply tends to be</w:t>
      </w:r>
      <w:r w:rsidRPr="004C2091" w:rsidDel="00FC4455">
        <w:t xml:space="preserve"> </w:t>
      </w:r>
      <w:r w:rsidRPr="004C2091">
        <w:t>made up</w:t>
      </w:r>
      <w:r w:rsidR="00D926E9">
        <w:t xml:space="preserve"> </w:t>
      </w:r>
      <w:r w:rsidRPr="004C2091">
        <w:t xml:space="preserve">by electricity generation from non-renewable sources, such as coal and natural gas. Figure 2.1.2 shows the close inverse relationship between non-renewable (coal and natural gas) and hydro generation. This relationship has historically influenced the yearly fluctuations seen in the country’s total energy generation and gross greenhouse gas emissions. </w:t>
      </w:r>
    </w:p>
    <w:p w14:paraId="6FD4AB1E" w14:textId="77777777" w:rsidR="00D61191" w:rsidRPr="004C2091" w:rsidRDefault="00D61191" w:rsidP="00D61191">
      <w:pPr>
        <w:pStyle w:val="BodyText"/>
      </w:pPr>
      <w:r w:rsidRPr="004C2091">
        <w:t xml:space="preserve">Figure 2.1.2 also shows that the amount of electricity generated by renewable sources other than hydro has more than tripled since 1990. </w:t>
      </w:r>
    </w:p>
    <w:p w14:paraId="4CB5A2F8" w14:textId="520BB3AD" w:rsidR="00D61191" w:rsidRPr="004C2091" w:rsidRDefault="00D61191" w:rsidP="00201256">
      <w:pPr>
        <w:pStyle w:val="Figureheading"/>
      </w:pPr>
      <w:bookmarkStart w:id="113" w:name="_Toc185347236"/>
      <w:r w:rsidRPr="004C2091">
        <w:t>Figure 2.1.</w:t>
      </w:r>
      <w:r w:rsidR="00684BC4">
        <w:t>2</w:t>
      </w:r>
      <w:r w:rsidRPr="004C2091">
        <w:t>:</w:t>
      </w:r>
      <w:r w:rsidRPr="004C2091">
        <w:tab/>
        <w:t>New Zealand’s electricity generation by main source (gigawatt hours), 1990–2023</w:t>
      </w:r>
      <w:bookmarkEnd w:id="113"/>
    </w:p>
    <w:p w14:paraId="6F39F4B5" w14:textId="77777777" w:rsidR="00D61191" w:rsidRPr="004C2091" w:rsidRDefault="00D61191" w:rsidP="00D61191">
      <w:pPr>
        <w:pStyle w:val="BodyText"/>
        <w:spacing w:after="0"/>
      </w:pPr>
      <w:r w:rsidRPr="004C2091">
        <w:rPr>
          <w:noProof/>
        </w:rPr>
        <w:drawing>
          <wp:inline distT="0" distB="0" distL="0" distR="0" wp14:anchorId="4C731C67" wp14:editId="11822D56">
            <wp:extent cx="5400000" cy="3619500"/>
            <wp:effectExtent l="0" t="0" r="0" b="0"/>
            <wp:docPr id="2095021866" name="Chart 1" descr="A line graph showing New Zealand’s electricity generation by main sources – that is hydro, geothermal, wind, coal, and gas – in gigawatt hours for the period 1990 to 2023.">
              <a:extLst xmlns:a="http://schemas.openxmlformats.org/drawingml/2006/main">
                <a:ext uri="{FF2B5EF4-FFF2-40B4-BE49-F238E27FC236}">
                  <a16:creationId xmlns:a16="http://schemas.microsoft.com/office/drawing/2014/main" id="{E153A8B3-0199-B56F-186D-237EA440E5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D6DC42F" w14:textId="77777777" w:rsidR="00D61191" w:rsidRPr="004C2091" w:rsidRDefault="00D61191" w:rsidP="00D61191">
      <w:pPr>
        <w:pStyle w:val="Source"/>
        <w:spacing w:before="0"/>
      </w:pPr>
      <w:r w:rsidRPr="004C2091">
        <w:t xml:space="preserve">Source: Ministry of Business, Innovation and Employment. 2024. </w:t>
      </w:r>
      <w:hyperlink r:id="rId55" w:history="1">
        <w:r w:rsidRPr="004C2091">
          <w:rPr>
            <w:rStyle w:val="Hyperlink"/>
            <w:i/>
            <w:iCs/>
          </w:rPr>
          <w:t>Electricity Statistics</w:t>
        </w:r>
      </w:hyperlink>
      <w:r w:rsidRPr="004C2091">
        <w:rPr>
          <w:i/>
          <w:iCs/>
        </w:rPr>
        <w:t>.</w:t>
      </w:r>
      <w:r w:rsidRPr="004C2091">
        <w:t xml:space="preserve"> </w:t>
      </w:r>
    </w:p>
    <w:p w14:paraId="170BFF71" w14:textId="77777777" w:rsidR="00D61191" w:rsidRPr="004C2091" w:rsidRDefault="00D61191" w:rsidP="00D61191">
      <w:pPr>
        <w:pStyle w:val="BodyText"/>
      </w:pPr>
      <w:r w:rsidRPr="004C2091">
        <w:t>The electricity industry has gone through a long process of reform. Competition in the generation sector was introduced in 1996 with the establishment of a wholesale electricity market. Wholesale electricity is sold by generators and bought by retailers and large industrial users under rules that the Electricity Authority, an independent Crown entity, administers.</w:t>
      </w:r>
      <w:r w:rsidRPr="004C2091">
        <w:rPr>
          <w:rStyle w:val="FootnoteReference"/>
          <w:rFonts w:eastAsia="Times New Roman" w:cs="Calibri"/>
        </w:rPr>
        <w:footnoteReference w:id="54"/>
      </w:r>
      <w:r w:rsidRPr="004C2091">
        <w:t xml:space="preserve"> </w:t>
      </w:r>
    </w:p>
    <w:p w14:paraId="425346A7" w14:textId="77777777" w:rsidR="00D61191" w:rsidRPr="004C2091" w:rsidRDefault="00D61191" w:rsidP="009736B7">
      <w:pPr>
        <w:pStyle w:val="BodyText"/>
        <w:keepLines/>
        <w:spacing w:before="100" w:after="100"/>
      </w:pPr>
      <w:r w:rsidRPr="004C2091">
        <w:t>The state-owned enterprise Transpower operates the national transmission grid, which conveys electricity from most of the major power stations around the country to local distribution lines. It also conveys electricity directly to major users, such as the New Zealand Aluminium Smelter. There are 27 local distribution network companies in New Zealand, which have a variety of ownership models. Electricity consumers can choose between competing retailers of electricity. There are currently four major generation companies.</w:t>
      </w:r>
    </w:p>
    <w:p w14:paraId="0FCA3BC7" w14:textId="77777777" w:rsidR="00D61191" w:rsidRPr="004C2091" w:rsidRDefault="00D61191" w:rsidP="00EA02DE">
      <w:pPr>
        <w:pStyle w:val="Heading4"/>
        <w:numPr>
          <w:ilvl w:val="0"/>
          <w:numId w:val="47"/>
        </w:numPr>
        <w:spacing w:before="200"/>
      </w:pPr>
      <w:r w:rsidRPr="004C2091">
        <w:t>Natural gas</w:t>
      </w:r>
      <w:bookmarkEnd w:id="111"/>
      <w:bookmarkEnd w:id="112"/>
    </w:p>
    <w:p w14:paraId="5C64033A" w14:textId="3A8E7E2C" w:rsidR="00D61191" w:rsidRPr="004C2091" w:rsidRDefault="00D61191" w:rsidP="00D61191">
      <w:pPr>
        <w:pStyle w:val="BodyText"/>
        <w:spacing w:before="100" w:after="100"/>
        <w:rPr>
          <w:rFonts w:cs="Calibri"/>
          <w:shd w:val="clear" w:color="auto" w:fill="FFFFFF"/>
        </w:rPr>
      </w:pPr>
      <w:bookmarkStart w:id="114" w:name="_Toc169616340"/>
      <w:bookmarkStart w:id="115" w:name="_Toc169620037"/>
      <w:bookmarkStart w:id="116" w:name="_Toc172793949"/>
      <w:r w:rsidRPr="004C2091">
        <w:rPr>
          <w:rFonts w:cs="Calibri"/>
          <w:shd w:val="clear" w:color="auto" w:fill="FFFFFF"/>
        </w:rPr>
        <w:t>Natural gas is produced in the Taranaki region and is transmitted by pipelines across the North Island to various distribution networks. In 2023, New Zealand produced 148.1 PJ of gas. The majority of this (99.5 per cent) was from 10 gas fields. Further, of the country’s total energy consumption (68.7 PJ), 76.7 per cent was used by the industrial sector. The remainder was consumed by the commercial and residential sectors, and the agriculture, forestry and fishing industries. Combustion of natural gas contributed approximately 10 per cent of New Zealand’s gross greenhouse gas emissions.</w:t>
      </w:r>
      <w:r w:rsidRPr="004C2091">
        <w:rPr>
          <w:rFonts w:cs="Calibri"/>
          <w:shd w:val="clear" w:color="auto" w:fill="FFFFFF"/>
          <w:vertAlign w:val="superscript"/>
        </w:rPr>
        <w:footnoteReference w:id="55"/>
      </w:r>
    </w:p>
    <w:p w14:paraId="03DCC248" w14:textId="77777777" w:rsidR="00D61191" w:rsidRPr="004C2091" w:rsidRDefault="00D61191" w:rsidP="00EA02DE">
      <w:pPr>
        <w:pStyle w:val="Heading4"/>
        <w:numPr>
          <w:ilvl w:val="0"/>
          <w:numId w:val="47"/>
        </w:numPr>
        <w:spacing w:before="200"/>
      </w:pPr>
      <w:bookmarkStart w:id="117" w:name="_Toc169620035"/>
      <w:bookmarkStart w:id="118" w:name="_Toc172793947"/>
      <w:r w:rsidRPr="004C2091">
        <w:t>Oil</w:t>
      </w:r>
      <w:bookmarkEnd w:id="117"/>
      <w:bookmarkEnd w:id="118"/>
    </w:p>
    <w:p w14:paraId="47160173" w14:textId="77777777" w:rsidR="00D61191" w:rsidRPr="004C2091" w:rsidRDefault="00D61191" w:rsidP="00D61191">
      <w:pPr>
        <w:pStyle w:val="BodyText"/>
        <w:spacing w:before="100" w:after="100"/>
      </w:pPr>
      <w:r w:rsidRPr="004C2091">
        <w:t>All crude oil extraction (crude, condensate, naphtha and natural gas liquids) occurs in the Taranaki region, with the Maari and</w:t>
      </w:r>
      <w:r w:rsidRPr="004C2091">
        <w:rPr>
          <w:rFonts w:asciiTheme="minorHAnsi" w:hAnsiTheme="minorHAnsi"/>
        </w:rPr>
        <w:t> Pohokura</w:t>
      </w:r>
      <w:r w:rsidRPr="004C2091">
        <w:t> oil fields making up over half of domestic production. In 2023, New Zealand produced 37.7 PJ of crude oil. Oil production peaked in 2008, with an annual production of 128.2 PJ.</w:t>
      </w:r>
      <w:r w:rsidRPr="004C2091">
        <w:rPr>
          <w:rStyle w:val="FootnoteReference"/>
          <w:rFonts w:eastAsiaTheme="majorEastAsia" w:cs="Calibri"/>
        </w:rPr>
        <w:footnoteReference w:id="56"/>
      </w:r>
      <w:r w:rsidRPr="004C2091">
        <w:t xml:space="preserve"> However, historically almost all of the crude oil produced in New Zealand has been exported, while imports have served domestic petroleum needs.</w:t>
      </w:r>
      <w:r w:rsidRPr="004C2091">
        <w:rPr>
          <w:rStyle w:val="FootnoteReference"/>
          <w:rFonts w:eastAsiaTheme="majorEastAsia" w:cs="Calibri"/>
        </w:rPr>
        <w:footnoteReference w:id="57"/>
      </w:r>
      <w:r w:rsidRPr="004C2091">
        <w:t xml:space="preserve"> The country’s energy emissions are dominated by liquid fuels that are used for transport. Emissions from liquid fuels account for over half of all energy sector emissions in 2022 and have been steadily increasing since 1990.</w:t>
      </w:r>
    </w:p>
    <w:p w14:paraId="32426295" w14:textId="77777777" w:rsidR="00D61191" w:rsidRPr="004C2091" w:rsidRDefault="00D61191" w:rsidP="00D61191">
      <w:pPr>
        <w:pStyle w:val="BodyText"/>
        <w:spacing w:before="100" w:after="100"/>
        <w:rPr>
          <w:rFonts w:eastAsiaTheme="majorEastAsia" w:cs="Calibri"/>
        </w:rPr>
      </w:pPr>
      <w:r w:rsidRPr="004C2091">
        <w:rPr>
          <w:rFonts w:eastAsiaTheme="majorEastAsia" w:cs="Calibri"/>
        </w:rPr>
        <w:t>In 2020, the COVID-19 pandemic reduced transport demand and caused changes in the mix of transport activity (most significantly lowering aviation use). This reduced the need for New Zealand to refine crude oil into oil products, leading to a 15 per cent fall in the import of crude oil and oil products. The month of July 2020 saw no crude oil imports for the first time in 34 years.</w:t>
      </w:r>
      <w:r w:rsidRPr="004C2091">
        <w:rPr>
          <w:rStyle w:val="FootnoteReference"/>
          <w:rFonts w:eastAsiaTheme="majorEastAsia" w:cs="Calibri"/>
        </w:rPr>
        <w:footnoteReference w:id="58"/>
      </w:r>
      <w:r w:rsidRPr="004C2091">
        <w:rPr>
          <w:rFonts w:eastAsiaTheme="majorEastAsia" w:cs="Calibri"/>
        </w:rPr>
        <w:t xml:space="preserve"> In 2021, Refining NZ decided to cease oil-refining activities at Marsden Point (New Zealand’s only oil refinery) in response to declining margins resulting from international competition. In April 2022, the refinery operations stopped and the site was switched to an import-only terminal, with Refining NZ renaming itself Channel Infrastructure as it pivoted to focus on terminal operations</w:t>
      </w:r>
      <w:r w:rsidRPr="004C2091" w:rsidDel="002C276F">
        <w:rPr>
          <w:rFonts w:eastAsiaTheme="majorEastAsia" w:cs="Calibri"/>
        </w:rPr>
        <w:t>.</w:t>
      </w:r>
      <w:r w:rsidRPr="004C2091">
        <w:rPr>
          <w:rFonts w:eastAsiaTheme="majorEastAsia" w:cs="Calibri"/>
        </w:rPr>
        <w:t xml:space="preserve"> In 2023, increased transport demand, particularly in aviation, has led to an increase in oil consumption. </w:t>
      </w:r>
    </w:p>
    <w:p w14:paraId="37CCC4BF" w14:textId="77777777" w:rsidR="00D61191" w:rsidRPr="004C2091" w:rsidRDefault="00D61191" w:rsidP="00EA02DE">
      <w:pPr>
        <w:pStyle w:val="Heading4"/>
        <w:numPr>
          <w:ilvl w:val="0"/>
          <w:numId w:val="47"/>
        </w:numPr>
        <w:spacing w:before="200"/>
      </w:pPr>
      <w:bookmarkStart w:id="119" w:name="_Toc169620036"/>
      <w:bookmarkStart w:id="120" w:name="_Toc172793948"/>
      <w:r w:rsidRPr="004C2091">
        <w:t>Coal</w:t>
      </w:r>
      <w:bookmarkEnd w:id="119"/>
      <w:bookmarkEnd w:id="120"/>
    </w:p>
    <w:p w14:paraId="45A4AC54" w14:textId="2087CD44" w:rsidR="00D61191" w:rsidRPr="004C2091" w:rsidRDefault="00D61191" w:rsidP="00D61191">
      <w:pPr>
        <w:pStyle w:val="BodyText"/>
        <w:spacing w:before="100" w:after="100"/>
        <w:rPr>
          <w:rFonts w:asciiTheme="minorHAnsi" w:eastAsiaTheme="majorEastAsia" w:hAnsiTheme="minorHAnsi" w:cstheme="minorHAnsi"/>
        </w:rPr>
      </w:pPr>
      <w:r w:rsidRPr="004C2091">
        <w:rPr>
          <w:rFonts w:asciiTheme="minorHAnsi" w:eastAsiaTheme="majorEastAsia" w:hAnsiTheme="minorHAnsi" w:cstheme="minorHAnsi"/>
        </w:rPr>
        <w:t xml:space="preserve">New Zealand’s coal resources are distributed widely on both main islands: in the Waikato and Taranaki regions </w:t>
      </w:r>
      <w:r w:rsidRPr="004C2091">
        <w:t>of</w:t>
      </w:r>
      <w:r w:rsidRPr="004C2091">
        <w:rPr>
          <w:rFonts w:asciiTheme="minorHAnsi" w:eastAsiaTheme="majorEastAsia" w:hAnsiTheme="minorHAnsi" w:cstheme="minorHAnsi"/>
        </w:rPr>
        <w:t xml:space="preserve"> the North Island; and in the West Coast, Otago and Southland regions of the South Island. As at the end of 2023, there were 13 operating coal mines. The estimated in</w:t>
      </w:r>
      <w:r w:rsidR="003B7769">
        <w:rPr>
          <w:rFonts w:asciiTheme="minorHAnsi" w:eastAsiaTheme="majorEastAsia" w:hAnsiTheme="minorHAnsi" w:cstheme="minorHAnsi"/>
        </w:rPr>
        <w:noBreakHyphen/>
      </w:r>
      <w:r w:rsidRPr="004C2091">
        <w:rPr>
          <w:rFonts w:asciiTheme="minorHAnsi" w:eastAsiaTheme="majorEastAsia" w:hAnsiTheme="minorHAnsi" w:cstheme="minorHAnsi"/>
        </w:rPr>
        <w:t>ground resources for all coal types are over 15 billion tonnes. Approximately 80 per cent of this is lignite (low grade) and is used domestically for industrial heat applications</w:t>
      </w:r>
      <w:r w:rsidRPr="004C2091" w:rsidDel="00322D0A">
        <w:rPr>
          <w:rFonts w:asciiTheme="minorHAnsi" w:eastAsiaTheme="majorEastAsia" w:hAnsiTheme="minorHAnsi" w:cstheme="minorHAnsi"/>
        </w:rPr>
        <w:t>.</w:t>
      </w:r>
      <w:r w:rsidRPr="004C2091">
        <w:rPr>
          <w:rFonts w:asciiTheme="minorHAnsi" w:eastAsiaTheme="majorEastAsia" w:hAnsiTheme="minorHAnsi" w:cstheme="minorHAnsi"/>
        </w:rPr>
        <w:t xml:space="preserve"> </w:t>
      </w:r>
    </w:p>
    <w:p w14:paraId="5973DD4B" w14:textId="77777777" w:rsidR="00D61191" w:rsidRPr="004C2091" w:rsidRDefault="00D61191" w:rsidP="00D61191">
      <w:pPr>
        <w:pStyle w:val="BodyText"/>
      </w:pPr>
      <w:r w:rsidRPr="004C2091">
        <w:t>The volume of bituminous and sub-bituminous in-ground resources is around 4 billion tonnes. Most of the country’s bituminous coal production is exported, primarily for metallurgical purposes, accounting for 98.1 per cent of total coal exports in 2023. In total in that year, New Zealand exported 1.2 million tonnes (36.7 PJ) of coal. In</w:t>
      </w:r>
      <w:r w:rsidRPr="004C2091" w:rsidDel="00964B37">
        <w:t xml:space="preserve"> </w:t>
      </w:r>
      <w:r w:rsidRPr="004C2091">
        <w:t>2023, it produced 2.6 million tonnes of coal, a decrease of 1.4 per cent on the previous year. Sub-bituminous coal is used for several purposes in New Zealand, including for electricity generation at the Genesis-owned Huntly power plant. Coal use for electricity is higher in years of low rainfall, as it makes up for shortfalls in electricity production at hydro-electric plants, and high coal use for electricity production can often drive an increase in coal imports.</w:t>
      </w:r>
    </w:p>
    <w:p w14:paraId="4CFD6AB9" w14:textId="77777777" w:rsidR="00D61191" w:rsidRPr="004C2091" w:rsidRDefault="00D61191" w:rsidP="00D61191">
      <w:pPr>
        <w:pStyle w:val="BodyText"/>
      </w:pPr>
      <w:r w:rsidRPr="004C2091">
        <w:rPr>
          <w:rFonts w:asciiTheme="minorHAnsi" w:eastAsiaTheme="majorEastAsia" w:hAnsiTheme="minorHAnsi" w:cstheme="minorHAnsi"/>
        </w:rPr>
        <w:t>In</w:t>
      </w:r>
      <w:r w:rsidRPr="004C2091" w:rsidDel="00964B37">
        <w:rPr>
          <w:rFonts w:asciiTheme="minorHAnsi" w:eastAsiaTheme="majorEastAsia" w:hAnsiTheme="minorHAnsi" w:cstheme="minorHAnsi"/>
        </w:rPr>
        <w:t xml:space="preserve"> </w:t>
      </w:r>
      <w:r w:rsidRPr="004C2091">
        <w:rPr>
          <w:rFonts w:asciiTheme="minorHAnsi" w:eastAsiaTheme="majorEastAsia" w:hAnsiTheme="minorHAnsi" w:cstheme="minorHAnsi"/>
        </w:rPr>
        <w:t>2023, New Zealand consumed 0.9 million tonnes of coal, a decrease of 10.1 per cent from the previous year. Favourable hydrological conditions caused a decrease in coal use for electricity generation</w:t>
      </w:r>
      <w:r w:rsidRPr="004C2091">
        <w:rPr>
          <w:rFonts w:eastAsiaTheme="majorEastAsia" w:cs="Calibri"/>
        </w:rPr>
        <w:t xml:space="preserve"> in the same year, when electricity generated from coal made up 2.4 per cent of all electricity used. </w:t>
      </w:r>
    </w:p>
    <w:p w14:paraId="30F42B4D" w14:textId="77777777" w:rsidR="00D61191" w:rsidRPr="004C2091" w:rsidRDefault="00D61191" w:rsidP="00EA02DE">
      <w:pPr>
        <w:pStyle w:val="Heading3"/>
        <w:numPr>
          <w:ilvl w:val="0"/>
          <w:numId w:val="49"/>
        </w:numPr>
      </w:pPr>
      <w:r w:rsidRPr="004C2091">
        <w:t>Transport</w:t>
      </w:r>
      <w:bookmarkEnd w:id="114"/>
      <w:bookmarkEnd w:id="115"/>
      <w:bookmarkEnd w:id="116"/>
    </w:p>
    <w:p w14:paraId="222DF8A0" w14:textId="77777777" w:rsidR="00D61191" w:rsidRPr="004C2091" w:rsidRDefault="00D61191" w:rsidP="00D61191">
      <w:pPr>
        <w:pStyle w:val="BodyText"/>
      </w:pPr>
      <w:r w:rsidRPr="004C2091">
        <w:t xml:space="preserve">International aviation and shipping are critical to New Zealand due to its isolated location in the Pacific Ocean and the importance of primary industries exports and tourism to the economy. Domestically, road transport is the central element of the country’s transport system, reflecting the small but widely distributed population and long, narrow geography. </w:t>
      </w:r>
    </w:p>
    <w:p w14:paraId="58A7C8D2" w14:textId="53D42662" w:rsidR="00D61191" w:rsidRPr="004C2091" w:rsidRDefault="00D61191" w:rsidP="00D61191">
      <w:pPr>
        <w:pStyle w:val="BodyText"/>
        <w:rPr>
          <w:rFonts w:ascii="Segoe UI" w:hAnsi="Segoe UI" w:cs="Segoe UI"/>
          <w:sz w:val="18"/>
          <w:szCs w:val="18"/>
        </w:rPr>
      </w:pPr>
      <w:r w:rsidRPr="004C2091">
        <w:t>Because of New Zealand’s sparse population and rural-based economy, its domestic transportation emissions per capita are high compared with many other developed countries. New Zealand has one of the highest rates of car ownership globally, with 8</w:t>
      </w:r>
      <w:r w:rsidR="00555F5F">
        <w:t>22</w:t>
      </w:r>
      <w:r w:rsidRPr="004C2091">
        <w:t xml:space="preserve"> light vehicles per 1,000 people in 2022.</w:t>
      </w:r>
      <w:r w:rsidRPr="004C2091">
        <w:rPr>
          <w:rStyle w:val="FootnoteReference"/>
          <w:rFonts w:eastAsia="Times New Roman" w:cs="Calibri"/>
        </w:rPr>
        <w:footnoteReference w:id="59"/>
      </w:r>
      <w:r w:rsidRPr="004C2091">
        <w:t xml:space="preserve"> As a result, transport is energy intensive and relies on fossil fuels. In 2022, transport contributed 17.5 per cent of gross domestic greenhouse gas emissions, an increase of 68.5 per cent from 1990.</w:t>
      </w:r>
      <w:r w:rsidRPr="004C2091">
        <w:rPr>
          <w:rStyle w:val="FootnoteReference"/>
          <w:rFonts w:eastAsia="Times New Roman" w:cs="Calibri"/>
        </w:rPr>
        <w:footnoteReference w:id="60"/>
      </w:r>
      <w:r w:rsidRPr="004C2091">
        <w:t xml:space="preserve"> The great majority (90.9 per cent) of these emissions are from road transport (figure 2.1.3).</w:t>
      </w:r>
    </w:p>
    <w:p w14:paraId="37D0110F" w14:textId="57AC6B71" w:rsidR="00D61191" w:rsidRPr="004C2091" w:rsidRDefault="00D61191" w:rsidP="00201256">
      <w:pPr>
        <w:pStyle w:val="Figureheading"/>
      </w:pPr>
      <w:bookmarkStart w:id="121" w:name="_Toc185347237"/>
      <w:r w:rsidRPr="004C2091">
        <w:t>Figure 2.1.</w:t>
      </w:r>
      <w:r w:rsidR="00684BC4">
        <w:t>3</w:t>
      </w:r>
      <w:r w:rsidRPr="004C2091">
        <w:t>:</w:t>
      </w:r>
      <w:r w:rsidRPr="004C2091">
        <w:tab/>
        <w:t>Domestic transport emissions by mode (kt CO</w:t>
      </w:r>
      <w:r w:rsidRPr="004C2091">
        <w:rPr>
          <w:vertAlign w:val="subscript"/>
        </w:rPr>
        <w:t>2</w:t>
      </w:r>
      <w:r w:rsidRPr="004C2091">
        <w:t>e), 1990–2022</w:t>
      </w:r>
      <w:bookmarkEnd w:id="121"/>
    </w:p>
    <w:p w14:paraId="442B2E16" w14:textId="2357C2A8" w:rsidR="00D61191" w:rsidRPr="004C2091" w:rsidRDefault="00341980" w:rsidP="00D61191">
      <w:pPr>
        <w:pStyle w:val="BodyText"/>
        <w:spacing w:after="80"/>
      </w:pPr>
      <w:r w:rsidRPr="00341980">
        <w:rPr>
          <w:noProof/>
        </w:rPr>
        <w:drawing>
          <wp:inline distT="0" distB="0" distL="0" distR="0" wp14:anchorId="34C281F6" wp14:editId="63B5C7C9">
            <wp:extent cx="5122800" cy="3397732"/>
            <wp:effectExtent l="0" t="0" r="1905" b="0"/>
            <wp:docPr id="886542619" name="Picture 1" descr="An area graph comparing domestic transport emissions by mode – road, rail, aviation and marine – in kilotonnes carbon dioxide equivalent for the period 1990 t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542619" name="Picture 1" descr="An area graph comparing domestic transport emissions by mode – road, rail, aviation and marine – in kilotonnes carbon dioxide equivalent for the period 1990 to 2022."/>
                    <pic:cNvPicPr/>
                  </pic:nvPicPr>
                  <pic:blipFill>
                    <a:blip r:embed="rId56"/>
                    <a:stretch>
                      <a:fillRect/>
                    </a:stretch>
                  </pic:blipFill>
                  <pic:spPr>
                    <a:xfrm>
                      <a:off x="0" y="0"/>
                      <a:ext cx="5122800" cy="3397732"/>
                    </a:xfrm>
                    <a:prstGeom prst="rect">
                      <a:avLst/>
                    </a:prstGeom>
                  </pic:spPr>
                </pic:pic>
              </a:graphicData>
            </a:graphic>
          </wp:inline>
        </w:drawing>
      </w:r>
    </w:p>
    <w:p w14:paraId="4793E054" w14:textId="77777777" w:rsidR="00D61191" w:rsidRPr="004C2091" w:rsidRDefault="00D61191" w:rsidP="00D61191">
      <w:pPr>
        <w:pStyle w:val="Source"/>
        <w:spacing w:before="0"/>
      </w:pPr>
      <w:r w:rsidRPr="00725EDE">
        <w:t>Source:</w:t>
      </w:r>
      <w:r w:rsidRPr="004C2091">
        <w:t xml:space="preserve"> Ministry of Business, Innovation and Employment. </w:t>
      </w:r>
      <w:hyperlink r:id="rId57" w:history="1">
        <w:r w:rsidRPr="004C2091">
          <w:rPr>
            <w:rStyle w:val="Hyperlink"/>
            <w:i/>
            <w:iCs/>
          </w:rPr>
          <w:t>New Zealand Energy Sector Greenhouse Gas Emissions</w:t>
        </w:r>
      </w:hyperlink>
      <w:r w:rsidRPr="004C2091">
        <w:t xml:space="preserve">. </w:t>
      </w:r>
    </w:p>
    <w:p w14:paraId="0F11C44B" w14:textId="266ADF07" w:rsidR="00D61191" w:rsidRPr="004C2091" w:rsidRDefault="00D61191" w:rsidP="00EA02DE">
      <w:pPr>
        <w:pStyle w:val="Heading4"/>
        <w:numPr>
          <w:ilvl w:val="0"/>
          <w:numId w:val="39"/>
        </w:numPr>
      </w:pPr>
      <w:bookmarkStart w:id="122" w:name="_Toc169620038"/>
      <w:bookmarkStart w:id="123" w:name="_Toc172793950"/>
      <w:r w:rsidRPr="004C2091">
        <w:t>Road transport</w:t>
      </w:r>
      <w:bookmarkEnd w:id="122"/>
      <w:bookmarkEnd w:id="123"/>
    </w:p>
    <w:p w14:paraId="37A4398D" w14:textId="0E48CFBC" w:rsidR="00D61191" w:rsidRPr="004C2091" w:rsidRDefault="00D61191" w:rsidP="00D61191">
      <w:pPr>
        <w:pStyle w:val="BodyText"/>
        <w:spacing w:before="100" w:after="100"/>
      </w:pPr>
      <w:r w:rsidRPr="004C2091">
        <w:t>Road transportation is a significant contributor to New Zealand’s gross emissions. In 2022, road transportation contributed 90.9 per cent of New Zealand’s total transport emissions, and</w:t>
      </w:r>
      <w:r w:rsidR="003B7769">
        <w:t> </w:t>
      </w:r>
      <w:r w:rsidRPr="004C2091">
        <w:t xml:space="preserve">15.9 per cent of its gross emissions. </w:t>
      </w:r>
    </w:p>
    <w:p w14:paraId="3240BAED" w14:textId="77777777" w:rsidR="00D61191" w:rsidRPr="004C2091" w:rsidRDefault="00D61191" w:rsidP="00D61191">
      <w:pPr>
        <w:pStyle w:val="BodyText"/>
        <w:spacing w:before="100" w:after="100"/>
      </w:pPr>
      <w:r w:rsidRPr="004C2091">
        <w:t>New Zealand has 94,000 km of roads and over 4,200 bridges on the state highway network. The majority of its vehicles (90.9 per cent in 2022) are light vehicles (those that have a gross vehicle mass of less than 3.5 tonnes). In 2022, 78 per cent</w:t>
      </w:r>
      <w:r w:rsidRPr="004C2091" w:rsidDel="0001168F">
        <w:t xml:space="preserve"> </w:t>
      </w:r>
      <w:r w:rsidRPr="004C2091">
        <w:t xml:space="preserve">were petrol based (including petrol, petrol hybrid, petrol electric hybrid and plug-in petrol hybrid), while 1.1 per cent were fully electric vehicles. Heavy vehicles represent only 4 per cent of New Zealand’s vehicle fleet but deliver around </w:t>
      </w:r>
      <w:r w:rsidRPr="004C2091" w:rsidDel="0011121B">
        <w:t>9</w:t>
      </w:r>
      <w:r w:rsidRPr="004C2091" w:rsidDel="00D474AE">
        <w:t>3</w:t>
      </w:r>
      <w:r w:rsidRPr="004C2091">
        <w:t xml:space="preserve"> per cent of freight volume and contribute around 30 per cent of total transport emissions. </w:t>
      </w:r>
    </w:p>
    <w:p w14:paraId="784FF4BB" w14:textId="10B814AD" w:rsidR="00D61191" w:rsidRPr="004C2091" w:rsidRDefault="00D61191" w:rsidP="00D61191">
      <w:pPr>
        <w:pStyle w:val="BodyText"/>
        <w:spacing w:before="100" w:after="100"/>
      </w:pPr>
      <w:r w:rsidRPr="004C2091">
        <w:t>The country has a relatively old vehicle fleet. In 2022, the average age of the light vehicles fleet</w:t>
      </w:r>
      <w:r w:rsidR="003B7769">
        <w:t> </w:t>
      </w:r>
      <w:r w:rsidRPr="004C2091">
        <w:t>was 14.</w:t>
      </w:r>
      <w:r w:rsidR="00555F5F">
        <w:t>4</w:t>
      </w:r>
      <w:r w:rsidRPr="004C2091">
        <w:t xml:space="preserve"> years and the average age of the truck fleet was 17.</w:t>
      </w:r>
      <w:r w:rsidR="00555F5F">
        <w:t>8</w:t>
      </w:r>
      <w:r w:rsidRPr="004C2091">
        <w:t xml:space="preserve"> years. New Zealand’s light</w:t>
      </w:r>
      <w:r w:rsidR="003B7769">
        <w:t> </w:t>
      </w:r>
      <w:r w:rsidRPr="004C2091">
        <w:t>vehicle fleet is older than the fleets in other Organisation of Economic Co-operation and</w:t>
      </w:r>
      <w:r w:rsidR="003B7769">
        <w:t> </w:t>
      </w:r>
      <w:r w:rsidRPr="004C2091">
        <w:t xml:space="preserve">Development (OECD) countries that have similarly high levels of motorisation and similar patterns of development, including the United States (11.8 years for light vehicles in 2019), Australia (10.4 years for all vehicles in 2019) and Canada (9.7 years for light vehicles in 2017). </w:t>
      </w:r>
    </w:p>
    <w:p w14:paraId="2E6C9395" w14:textId="3B4B4ED7" w:rsidR="00D61191" w:rsidRPr="004C2091" w:rsidRDefault="00D61191" w:rsidP="00D61191">
      <w:pPr>
        <w:pStyle w:val="BodyText"/>
      </w:pPr>
      <w:r w:rsidRPr="004C2091">
        <w:t>In 2022, there were a little over 4.0 million light vehicles in New Zealand, which is the equivalent of 8</w:t>
      </w:r>
      <w:r w:rsidR="00555F5F">
        <w:t>22</w:t>
      </w:r>
      <w:r w:rsidRPr="004C2091">
        <w:t xml:space="preserve"> light vehicles for every 1,000 people. This number increased between the years 2000 and 2007 due to the entry of a large number of used vehicles from Japan. The number of light vehicles per person decreased after the 2007 peak until 2011 due to the global financial crisis, but the number has been increasing significantly since 2011. Although 2020 saw a slight decrease in ownership, likely caused by the COVID-19 pandemic, since then ownership has continued to trend upwards.</w:t>
      </w:r>
      <w:r w:rsidRPr="004C2091">
        <w:rPr>
          <w:rStyle w:val="FootnoteReference"/>
          <w:rFonts w:eastAsiaTheme="majorEastAsia" w:cs="Calibri"/>
        </w:rPr>
        <w:footnoteReference w:id="61"/>
      </w:r>
      <w:r w:rsidRPr="004C2091">
        <w:t xml:space="preserve"> </w:t>
      </w:r>
    </w:p>
    <w:p w14:paraId="16669977" w14:textId="77777777" w:rsidR="00D61191" w:rsidRPr="004C2091" w:rsidRDefault="00D61191" w:rsidP="00EA02DE">
      <w:pPr>
        <w:pStyle w:val="Heading4"/>
        <w:numPr>
          <w:ilvl w:val="0"/>
          <w:numId w:val="39"/>
        </w:numPr>
      </w:pPr>
      <w:bookmarkStart w:id="124" w:name="_Toc169620039"/>
      <w:bookmarkStart w:id="125" w:name="_Toc172793951"/>
      <w:r w:rsidRPr="004C2091">
        <w:t>Aviation</w:t>
      </w:r>
      <w:bookmarkEnd w:id="124"/>
      <w:bookmarkEnd w:id="125"/>
    </w:p>
    <w:p w14:paraId="791A3801" w14:textId="77777777" w:rsidR="00D61191" w:rsidRPr="004C2091" w:rsidRDefault="00D61191" w:rsidP="003B7769">
      <w:pPr>
        <w:pStyle w:val="BodyText"/>
        <w:spacing w:before="100" w:after="100"/>
      </w:pPr>
      <w:r w:rsidRPr="004C2091">
        <w:t>Domestic and international aviation has been increasing, in part due to a reduction in the real cost of airfares. Before the COVID-19 pandemic and associated border restrictions, international flights had been increasing at a rate of 5 per cent per year since 1990. At the same time, the fuel efficiency of air travel increased due to higher load factors, advances in aircraft design and improvement in air traffic management for aircraft approaches to airports.</w:t>
      </w:r>
    </w:p>
    <w:p w14:paraId="7DE36D07" w14:textId="77777777" w:rsidR="00D61191" w:rsidRPr="004C2091" w:rsidRDefault="00D61191" w:rsidP="003B7769">
      <w:pPr>
        <w:pStyle w:val="BodyText"/>
        <w:spacing w:before="100" w:after="100"/>
      </w:pPr>
      <w:r w:rsidRPr="004C2091">
        <w:t>Almost all passenger travel to and from New Zealand is by air. There were 6,198,269 air passenger arrivals into the country in the year ended March 2024, representing an increase of 21.4 per cent in 10 years (since the year ended March 2014). International traveller numbers decreased significantly in 2021 and 2022 due to border restrictions from COVID-19. Since the restrictions ended, arrival numbers have increased to reach similar levels seen before the pandemic.</w:t>
      </w:r>
      <w:r w:rsidRPr="004C2091">
        <w:rPr>
          <w:rStyle w:val="FootnoteReference"/>
          <w:rFonts w:eastAsiaTheme="majorEastAsia" w:cs="Calibri"/>
        </w:rPr>
        <w:footnoteReference w:id="62"/>
      </w:r>
    </w:p>
    <w:p w14:paraId="18DAB0B0" w14:textId="77777777" w:rsidR="00D61191" w:rsidRPr="004C2091" w:rsidRDefault="00D61191" w:rsidP="003B7769">
      <w:pPr>
        <w:pStyle w:val="BodyText"/>
        <w:spacing w:before="100" w:after="100"/>
      </w:pPr>
      <w:r w:rsidRPr="004C2091">
        <w:t>Aviation is also important for exporting and importing time-sensitive goods and high-value goods. Freight exports by air made up 15.1 per cent of exports by value in the year ending June 2023; however, they contributed only 0.2 per cent by tonne.</w:t>
      </w:r>
      <w:r w:rsidRPr="004C2091">
        <w:rPr>
          <w:rStyle w:val="FootnoteReference"/>
          <w:rFonts w:eastAsiaTheme="majorEastAsia" w:cs="Calibri"/>
        </w:rPr>
        <w:footnoteReference w:id="63"/>
      </w:r>
      <w:r w:rsidRPr="004C2091">
        <w:t xml:space="preserve"> Freight imports by air made up 22.2 per cent of imports by value and 0.4 per cent by tonne.</w:t>
      </w:r>
      <w:r w:rsidRPr="004C2091">
        <w:rPr>
          <w:rStyle w:val="FootnoteReference"/>
          <w:rFonts w:eastAsiaTheme="majorEastAsia" w:cs="Calibri"/>
        </w:rPr>
        <w:footnoteReference w:id="64"/>
      </w:r>
      <w:r w:rsidRPr="004C2091">
        <w:t> In 2022, domestic aviation contributed 7.5 per cent of New Zealand’s total transport emissions.</w:t>
      </w:r>
      <w:r w:rsidRPr="004C2091">
        <w:rPr>
          <w:rStyle w:val="FootnoteReference"/>
          <w:rFonts w:eastAsiaTheme="majorEastAsia" w:cs="Calibri"/>
        </w:rPr>
        <w:footnoteReference w:id="65"/>
      </w:r>
      <w:r w:rsidRPr="004C2091">
        <w:t> </w:t>
      </w:r>
    </w:p>
    <w:p w14:paraId="18B90F41" w14:textId="77777777" w:rsidR="00D61191" w:rsidRPr="004C2091" w:rsidRDefault="00D61191" w:rsidP="00EA02DE">
      <w:pPr>
        <w:pStyle w:val="Heading4"/>
        <w:numPr>
          <w:ilvl w:val="0"/>
          <w:numId w:val="39"/>
        </w:numPr>
      </w:pPr>
      <w:bookmarkStart w:id="126" w:name="_Toc169620040"/>
      <w:bookmarkStart w:id="127" w:name="_Toc172793952"/>
      <w:r w:rsidRPr="004C2091">
        <w:t>Maritime</w:t>
      </w:r>
      <w:bookmarkEnd w:id="126"/>
      <w:bookmarkEnd w:id="127"/>
    </w:p>
    <w:p w14:paraId="0E8AF6C0" w14:textId="77777777" w:rsidR="00D61191" w:rsidRPr="004C2091" w:rsidRDefault="00D61191" w:rsidP="003B7769">
      <w:pPr>
        <w:pStyle w:val="BodyText"/>
        <w:spacing w:before="100" w:after="100"/>
      </w:pPr>
      <w:r w:rsidRPr="004C2091">
        <w:t>New Zealand relies on domestic shipping for transporting a small percentage of freight within the country, including across the Cook Strait between the North and South Islands. Coastal shipping transports 1.6 per cent of domestic freight volumes. The domestic coastal shipping fleet consists of about 13 vessels, of which only one is a container ship. Cargo moved by coastal shipping includes bulk commodities like cement, grain, fertiliser and aggregate. Containerised cargo includes domestic goods, and export and import transshipments, as well as empty containers. Two competing companies operate daily ferry services across the Cook Strait. These ferries transport passengers and freight. A small number of passenger ferries operate in coastal cities (mainly Auckland and Wellington), which provide commuter and recreational services.</w:t>
      </w:r>
    </w:p>
    <w:p w14:paraId="0428D7D4" w14:textId="77777777" w:rsidR="00D61191" w:rsidRPr="004C2091" w:rsidRDefault="00D61191" w:rsidP="003B7769">
      <w:pPr>
        <w:pStyle w:val="BodyText"/>
        <w:spacing w:before="100" w:after="100"/>
      </w:pPr>
      <w:r w:rsidRPr="004C2091">
        <w:t xml:space="preserve">International shipping is crucial to New Zealand’s trading. Sea freight carries 99.7 per cent of </w:t>
      </w:r>
      <w:r w:rsidRPr="004C2091">
        <w:rPr>
          <w:spacing w:val="-2"/>
        </w:rPr>
        <w:t>the country’s trade by volume and 81 per cent by value. New Zealand is serviced by international</w:t>
      </w:r>
      <w:r w:rsidRPr="004C2091">
        <w:t xml:space="preserve"> container shipping lines and other bulk ships. In the year to June 2023, it exported 39.4 million tonnes (with a real value of NZ$65.7 billion) by sea.</w:t>
      </w:r>
      <w:r w:rsidRPr="004C2091">
        <w:rPr>
          <w:rStyle w:val="FootnoteReference"/>
          <w:rFonts w:eastAsiaTheme="majorEastAsia" w:cs="Calibri"/>
        </w:rPr>
        <w:footnoteReference w:id="66"/>
      </w:r>
      <w:r w:rsidRPr="004C2091">
        <w:t xml:space="preserve"> In the same year, imports by sea totalled 22.7 million tonnes, worth NZ$70.7 billion.</w:t>
      </w:r>
      <w:r w:rsidRPr="004C2091">
        <w:rPr>
          <w:rStyle w:val="FootnoteReference"/>
          <w:rFonts w:eastAsiaTheme="majorEastAsia" w:cs="Calibri"/>
        </w:rPr>
        <w:footnoteReference w:id="67"/>
      </w:r>
      <w:r w:rsidRPr="004C2091">
        <w:t xml:space="preserve"> International shipping is responsible for about 3 per cent of the world’s carbon emissions and this proportion is expected to grow.</w:t>
      </w:r>
      <w:r w:rsidRPr="004C2091">
        <w:rPr>
          <w:rStyle w:val="FootnoteReference"/>
          <w:rFonts w:eastAsiaTheme="majorEastAsia" w:cs="Calibri"/>
        </w:rPr>
        <w:footnoteReference w:id="68"/>
      </w:r>
      <w:r w:rsidRPr="004C2091">
        <w:rPr>
          <w:vertAlign w:val="superscript"/>
        </w:rPr>
        <w:t>,</w:t>
      </w:r>
      <w:r w:rsidRPr="004C2091">
        <w:t xml:space="preserve"> </w:t>
      </w:r>
      <w:r w:rsidRPr="004C2091">
        <w:rPr>
          <w:rStyle w:val="FootnoteReference"/>
          <w:rFonts w:eastAsiaTheme="majorEastAsia" w:cs="Calibri"/>
        </w:rPr>
        <w:footnoteReference w:id="69"/>
      </w:r>
    </w:p>
    <w:p w14:paraId="2DEC9CB5" w14:textId="77777777" w:rsidR="00D61191" w:rsidRPr="004C2091" w:rsidRDefault="00D61191" w:rsidP="00E17FF2">
      <w:pPr>
        <w:pStyle w:val="BodyText"/>
        <w:spacing w:before="100" w:after="100"/>
        <w:rPr>
          <w:rFonts w:eastAsiaTheme="majorEastAsia" w:cs="Calibri"/>
        </w:rPr>
      </w:pPr>
      <w:r w:rsidRPr="004C2091">
        <w:rPr>
          <w:rFonts w:eastAsiaTheme="majorEastAsia" w:cs="Calibri"/>
        </w:rPr>
        <w:t>New Zealand has 15 ports, varying in their size and stage of development, through which most of its imports and exports flow. Nine of them are international container ports. The majority of imports arrive through the ports of Auckland and Tauranga, and are bound for main </w:t>
      </w:r>
      <w:r w:rsidRPr="004C2091">
        <w:rPr>
          <w:rFonts w:cs="Calibri"/>
        </w:rPr>
        <w:t xml:space="preserve">centres </w:t>
      </w:r>
      <w:r w:rsidRPr="004C2091">
        <w:rPr>
          <w:rFonts w:eastAsiaTheme="majorEastAsia" w:cs="Calibri"/>
        </w:rPr>
        <w:t>in the upper North Island. Exports are more evenly spread across the North and South Islands, although the port of Tauranga is the largest export port. The biggest container ports are Tauranga (39 per cent of container volumes), Auckland (22 per cent) and </w:t>
      </w:r>
      <w:r w:rsidRPr="004C2091">
        <w:rPr>
          <w:rFonts w:cs="Calibri"/>
        </w:rPr>
        <w:t xml:space="preserve">Lyttelton </w:t>
      </w:r>
      <w:r w:rsidRPr="004C2091">
        <w:rPr>
          <w:rFonts w:eastAsiaTheme="majorEastAsia" w:cs="Calibri"/>
        </w:rPr>
        <w:t>(14 per cent). In 2020, </w:t>
      </w:r>
      <w:r w:rsidRPr="004C2091">
        <w:rPr>
          <w:rFonts w:cs="Calibri"/>
        </w:rPr>
        <w:t>containerised</w:t>
      </w:r>
      <w:r w:rsidRPr="004C2091">
        <w:rPr>
          <w:rFonts w:eastAsiaTheme="majorEastAsia" w:cs="Calibri"/>
        </w:rPr>
        <w:t> exports made up 29 per cent of New Zealand’s sea export tonnage but 83 per cent of the value.</w:t>
      </w:r>
      <w:r w:rsidRPr="004C2091">
        <w:rPr>
          <w:rStyle w:val="FootnoteReference"/>
          <w:rFonts w:eastAsiaTheme="majorEastAsia" w:cs="Calibri"/>
        </w:rPr>
        <w:footnoteReference w:id="70"/>
      </w:r>
      <w:r w:rsidRPr="004C2091">
        <w:rPr>
          <w:rFonts w:eastAsiaTheme="majorEastAsia" w:cs="Calibri"/>
        </w:rPr>
        <w:t xml:space="preserve"> In 2022, coastal shipping contributed 0.4 per cent of New Zealand’s total transport emissions.</w:t>
      </w:r>
      <w:r w:rsidRPr="004C2091">
        <w:rPr>
          <w:rStyle w:val="FootnoteReference"/>
          <w:rFonts w:eastAsiaTheme="majorEastAsia" w:cs="Calibri"/>
        </w:rPr>
        <w:footnoteReference w:id="71"/>
      </w:r>
    </w:p>
    <w:p w14:paraId="6944AA89" w14:textId="77777777" w:rsidR="00D61191" w:rsidRPr="004C2091" w:rsidRDefault="00D61191" w:rsidP="00EA02DE">
      <w:pPr>
        <w:pStyle w:val="Heading4"/>
        <w:numPr>
          <w:ilvl w:val="0"/>
          <w:numId w:val="39"/>
        </w:numPr>
      </w:pPr>
      <w:bookmarkStart w:id="128" w:name="_Toc169620041"/>
      <w:bookmarkStart w:id="129" w:name="_Toc172793953"/>
      <w:r w:rsidRPr="004C2091">
        <w:t>Rail</w:t>
      </w:r>
      <w:bookmarkEnd w:id="128"/>
      <w:bookmarkEnd w:id="129"/>
    </w:p>
    <w:p w14:paraId="3AA582D7" w14:textId="742AD720" w:rsidR="003570AD" w:rsidRDefault="00D61191" w:rsidP="003A0C20">
      <w:pPr>
        <w:pStyle w:val="BodyText"/>
        <w:spacing w:before="100" w:after="100"/>
      </w:pPr>
      <w:r w:rsidRPr="004C2091">
        <w:rPr>
          <w:rFonts w:eastAsiaTheme="majorEastAsia" w:cs="Calibri"/>
        </w:rPr>
        <w:t>The total length of the national rail network is approximately 3,700 </w:t>
      </w:r>
      <w:r w:rsidRPr="004C2091">
        <w:rPr>
          <w:rFonts w:cs="Calibri"/>
        </w:rPr>
        <w:t>km</w:t>
      </w:r>
      <w:r w:rsidRPr="004C2091">
        <w:rPr>
          <w:rFonts w:eastAsiaTheme="majorEastAsia" w:cs="Calibri"/>
        </w:rPr>
        <w:t>, which includes more than 1,300 bridges and almost 100 tunnels.</w:t>
      </w:r>
      <w:r w:rsidRPr="004C2091">
        <w:rPr>
          <w:rStyle w:val="FootnoteReference"/>
          <w:rFonts w:eastAsiaTheme="majorEastAsia" w:cs="Calibri"/>
        </w:rPr>
        <w:footnoteReference w:id="72"/>
      </w:r>
      <w:r w:rsidRPr="004C2091">
        <w:rPr>
          <w:rFonts w:eastAsiaTheme="majorEastAsia" w:cs="Calibri"/>
        </w:rPr>
        <w:t xml:space="preserve"> The Government, through the state-owned enterprise KiwiRail, owns and controls the rail infrastructure and the majority of the rolling stock. There are urban rail networks in both Wellington and Auckland, which together provide approximately 35.7 million passenger trips annually: approximately 14.3 million trips in Wellington and 21.4 million trips in Auckland. Within the country, 5.6 per cent of freight volumes are transported by rail. Rail carried 16.9 million </w:t>
      </w:r>
      <w:r w:rsidRPr="004C2091">
        <w:rPr>
          <w:rFonts w:cs="Calibri"/>
        </w:rPr>
        <w:t>tonnes</w:t>
      </w:r>
      <w:r w:rsidRPr="004C2091">
        <w:rPr>
          <w:rFonts w:eastAsiaTheme="majorEastAsia" w:cs="Calibri"/>
        </w:rPr>
        <w:t> of domestic freight in 2023.</w:t>
      </w:r>
      <w:r w:rsidRPr="004C2091">
        <w:rPr>
          <w:rStyle w:val="FootnoteReference"/>
          <w:rFonts w:eastAsiaTheme="majorEastAsia" w:cs="Calibri"/>
        </w:rPr>
        <w:footnoteReference w:id="73"/>
      </w:r>
      <w:r w:rsidRPr="004C2091">
        <w:rPr>
          <w:rFonts w:eastAsiaTheme="majorEastAsia" w:cs="Calibri"/>
        </w:rPr>
        <w:t xml:space="preserve"> In 2022, rail contributed 0.9 per cent of New Zealand’s total transport emissions. </w:t>
      </w:r>
      <w:bookmarkStart w:id="130" w:name="_Industrial_processes_and"/>
      <w:bookmarkStart w:id="131" w:name="_Toc169616341"/>
      <w:bookmarkStart w:id="132" w:name="_Toc169620042"/>
      <w:bookmarkStart w:id="133" w:name="_Toc172793954"/>
      <w:bookmarkEnd w:id="130"/>
    </w:p>
    <w:p w14:paraId="1D8B1601" w14:textId="09371671" w:rsidR="00D61191" w:rsidRPr="004C2091" w:rsidRDefault="00D61191" w:rsidP="00EA02DE">
      <w:pPr>
        <w:pStyle w:val="Heading3"/>
        <w:numPr>
          <w:ilvl w:val="0"/>
          <w:numId w:val="49"/>
        </w:numPr>
      </w:pPr>
      <w:r w:rsidRPr="004C2091">
        <w:t xml:space="preserve">Industrial </w:t>
      </w:r>
      <w:r w:rsidR="001508FA">
        <w:t>P</w:t>
      </w:r>
      <w:r w:rsidRPr="004C2091">
        <w:t xml:space="preserve">rocesses and </w:t>
      </w:r>
      <w:r w:rsidR="001508FA">
        <w:t>P</w:t>
      </w:r>
      <w:r w:rsidRPr="004C2091">
        <w:t xml:space="preserve">roduct </w:t>
      </w:r>
      <w:r w:rsidR="001508FA">
        <w:t>U</w:t>
      </w:r>
      <w:r w:rsidRPr="004C2091">
        <w:t xml:space="preserve">se </w:t>
      </w:r>
      <w:bookmarkEnd w:id="131"/>
      <w:bookmarkEnd w:id="132"/>
      <w:bookmarkEnd w:id="133"/>
    </w:p>
    <w:p w14:paraId="7BD7E4F3" w14:textId="4CE9F94F" w:rsidR="00D61191" w:rsidRPr="004C2091" w:rsidRDefault="00D61191" w:rsidP="00E17FF2">
      <w:pPr>
        <w:pStyle w:val="BodyText"/>
        <w:spacing w:after="100"/>
        <w:rPr>
          <w:rFonts w:asciiTheme="minorHAnsi" w:eastAsiaTheme="majorEastAsia" w:hAnsiTheme="minorHAnsi"/>
        </w:rPr>
      </w:pPr>
      <w:r w:rsidRPr="004C2091">
        <w:rPr>
          <w:rFonts w:cs="Calibri"/>
          <w:color w:val="000000"/>
        </w:rPr>
        <w:t xml:space="preserve">New Zealand’s </w:t>
      </w:r>
      <w:r w:rsidR="001508FA" w:rsidRPr="004C2091">
        <w:rPr>
          <w:rFonts w:cs="Calibri"/>
          <w:color w:val="000000"/>
        </w:rPr>
        <w:t xml:space="preserve">Industrial Processes </w:t>
      </w:r>
      <w:r w:rsidR="003A1F25">
        <w:rPr>
          <w:rFonts w:cs="Calibri"/>
          <w:color w:val="000000"/>
        </w:rPr>
        <w:t>a</w:t>
      </w:r>
      <w:r w:rsidR="001508FA" w:rsidRPr="004C2091">
        <w:rPr>
          <w:rFonts w:cs="Calibri"/>
          <w:color w:val="000000"/>
        </w:rPr>
        <w:t xml:space="preserve">nd Product Use </w:t>
      </w:r>
      <w:r w:rsidRPr="004C2091">
        <w:rPr>
          <w:rFonts w:cs="Calibri"/>
          <w:color w:val="000000"/>
        </w:rPr>
        <w:t>(IPPU) sector is relatively small, contributing 5.7 per cent of New Zealand’s gross emissions in 2022. This sector covers emissions as by-products of chemical, metal and mineral productions, and emissions from synthetic greenhouse gases used in products such as refrigerators, air conditioners and aerosols</w:t>
      </w:r>
      <w:r w:rsidRPr="004C2091">
        <w:rPr>
          <w:rFonts w:asciiTheme="minorHAnsi" w:eastAsiaTheme="majorEastAsia" w:hAnsiTheme="minorHAnsi"/>
        </w:rPr>
        <w:t>.</w:t>
      </w:r>
      <w:r w:rsidRPr="004C2091">
        <w:rPr>
          <w:rStyle w:val="FootnoteReference"/>
          <w:rFonts w:asciiTheme="minorHAnsi" w:eastAsiaTheme="majorEastAsia" w:hAnsiTheme="minorHAnsi"/>
        </w:rPr>
        <w:footnoteReference w:id="74"/>
      </w:r>
      <w:r w:rsidRPr="004C2091">
        <w:rPr>
          <w:rFonts w:asciiTheme="minorHAnsi" w:eastAsiaTheme="majorEastAsia" w:hAnsiTheme="minorHAnsi"/>
        </w:rPr>
        <w:t xml:space="preserve"> New Zealand has a relatively small number of processing plants emitting greenhouse gases not related to energy. </w:t>
      </w:r>
    </w:p>
    <w:p w14:paraId="24772E26" w14:textId="77777777" w:rsidR="00D61191" w:rsidRPr="004C2091" w:rsidRDefault="00D61191" w:rsidP="00E17FF2">
      <w:pPr>
        <w:pStyle w:val="BodyText"/>
        <w:spacing w:after="100"/>
      </w:pPr>
      <w:r w:rsidRPr="004C2091">
        <w:t>Emissions from eight distinct industrial processes in New Zealand are reported under the IPPU sector. These are: </w:t>
      </w:r>
    </w:p>
    <w:p w14:paraId="0B3222A0" w14:textId="77777777" w:rsidR="00D61191" w:rsidRPr="004C2091" w:rsidRDefault="00D61191" w:rsidP="00E17FF2">
      <w:pPr>
        <w:pStyle w:val="Bullet"/>
        <w:spacing w:after="100"/>
        <w:rPr>
          <w:rFonts w:asciiTheme="minorHAnsi" w:hAnsiTheme="minorHAnsi" w:cstheme="minorHAnsi"/>
          <w:szCs w:val="22"/>
        </w:rPr>
      </w:pPr>
      <w:r w:rsidRPr="004C2091">
        <w:rPr>
          <w:rFonts w:asciiTheme="minorHAnsi" w:eastAsiaTheme="majorEastAsia" w:hAnsiTheme="minorHAnsi" w:cstheme="minorHAnsi"/>
          <w:szCs w:val="22"/>
        </w:rPr>
        <w:t>calcination of limestone in cement production </w:t>
      </w:r>
    </w:p>
    <w:p w14:paraId="1D671E28" w14:textId="77777777" w:rsidR="00D61191" w:rsidRPr="004C2091" w:rsidRDefault="00D61191" w:rsidP="00E17FF2">
      <w:pPr>
        <w:pStyle w:val="Bullet"/>
        <w:spacing w:after="100"/>
        <w:rPr>
          <w:rFonts w:asciiTheme="minorHAnsi" w:hAnsiTheme="minorHAnsi" w:cstheme="minorHAnsi"/>
          <w:szCs w:val="22"/>
        </w:rPr>
      </w:pPr>
      <w:r w:rsidRPr="004C2091">
        <w:rPr>
          <w:rFonts w:asciiTheme="minorHAnsi" w:eastAsiaTheme="majorEastAsia" w:hAnsiTheme="minorHAnsi" w:cstheme="minorHAnsi"/>
          <w:szCs w:val="22"/>
        </w:rPr>
        <w:t>calcination of limestone in burnt and slaked lime production </w:t>
      </w:r>
    </w:p>
    <w:p w14:paraId="17FCA9B1" w14:textId="77777777" w:rsidR="00D61191" w:rsidRPr="004C2091" w:rsidRDefault="00D61191" w:rsidP="00E17FF2">
      <w:pPr>
        <w:pStyle w:val="Bullet"/>
        <w:spacing w:after="100"/>
        <w:rPr>
          <w:rFonts w:asciiTheme="minorHAnsi" w:hAnsiTheme="minorHAnsi" w:cstheme="minorHAnsi"/>
          <w:szCs w:val="22"/>
        </w:rPr>
      </w:pPr>
      <w:r w:rsidRPr="004C2091">
        <w:rPr>
          <w:rFonts w:asciiTheme="minorHAnsi" w:eastAsiaTheme="majorEastAsia" w:hAnsiTheme="minorHAnsi" w:cstheme="minorHAnsi"/>
          <w:szCs w:val="22"/>
        </w:rPr>
        <w:t>production of ammonia, which is further processed into urea</w:t>
      </w:r>
    </w:p>
    <w:p w14:paraId="5306B7E0" w14:textId="77777777" w:rsidR="00D61191" w:rsidRPr="004C2091" w:rsidRDefault="00D61191" w:rsidP="00E17FF2">
      <w:pPr>
        <w:pStyle w:val="Bullet"/>
        <w:spacing w:after="100"/>
        <w:rPr>
          <w:rFonts w:asciiTheme="minorHAnsi" w:hAnsiTheme="minorHAnsi" w:cstheme="minorHAnsi"/>
          <w:szCs w:val="22"/>
        </w:rPr>
      </w:pPr>
      <w:r w:rsidRPr="004C2091">
        <w:rPr>
          <w:rFonts w:asciiTheme="minorHAnsi" w:eastAsiaTheme="majorEastAsia" w:hAnsiTheme="minorHAnsi" w:cstheme="minorHAnsi"/>
          <w:szCs w:val="22"/>
        </w:rPr>
        <w:t>production of methanol</w:t>
      </w:r>
    </w:p>
    <w:p w14:paraId="43C8FEA4" w14:textId="77777777" w:rsidR="00D61191" w:rsidRPr="004C2091" w:rsidRDefault="00D61191" w:rsidP="00E17FF2">
      <w:pPr>
        <w:pStyle w:val="Bullet"/>
        <w:spacing w:after="100"/>
        <w:rPr>
          <w:rFonts w:asciiTheme="minorHAnsi" w:hAnsiTheme="minorHAnsi" w:cstheme="minorHAnsi"/>
          <w:szCs w:val="22"/>
        </w:rPr>
      </w:pPr>
      <w:r w:rsidRPr="004C2091">
        <w:rPr>
          <w:rFonts w:asciiTheme="minorHAnsi" w:eastAsiaTheme="majorEastAsia" w:hAnsiTheme="minorHAnsi" w:cstheme="minorHAnsi"/>
          <w:szCs w:val="22"/>
        </w:rPr>
        <w:t>production of hydrogen in oil refining and for making hydrogen peroxide</w:t>
      </w:r>
    </w:p>
    <w:p w14:paraId="10DDB37F" w14:textId="77777777" w:rsidR="00D61191" w:rsidRPr="004C2091" w:rsidRDefault="00D61191" w:rsidP="00E17FF2">
      <w:pPr>
        <w:pStyle w:val="Bullet"/>
        <w:spacing w:after="100"/>
        <w:rPr>
          <w:rFonts w:asciiTheme="minorHAnsi" w:hAnsiTheme="minorHAnsi" w:cstheme="minorHAnsi"/>
          <w:szCs w:val="22"/>
        </w:rPr>
      </w:pPr>
      <w:r w:rsidRPr="004C2091">
        <w:rPr>
          <w:rFonts w:asciiTheme="minorHAnsi" w:eastAsiaTheme="majorEastAsia" w:hAnsiTheme="minorHAnsi" w:cstheme="minorHAnsi"/>
          <w:szCs w:val="22"/>
        </w:rPr>
        <w:t>production of steel, from iron sand and scrap steel</w:t>
      </w:r>
    </w:p>
    <w:p w14:paraId="243BC16A" w14:textId="77777777" w:rsidR="00D61191" w:rsidRPr="004C2091" w:rsidRDefault="00D61191" w:rsidP="00E17FF2">
      <w:pPr>
        <w:pStyle w:val="Bullet"/>
        <w:spacing w:after="100"/>
        <w:rPr>
          <w:rFonts w:asciiTheme="minorHAnsi" w:hAnsiTheme="minorHAnsi" w:cstheme="minorHAnsi"/>
          <w:szCs w:val="22"/>
        </w:rPr>
      </w:pPr>
      <w:r w:rsidRPr="004C2091">
        <w:rPr>
          <w:rFonts w:asciiTheme="minorHAnsi" w:eastAsiaTheme="majorEastAsia" w:hAnsiTheme="minorHAnsi" w:cstheme="minorHAnsi"/>
          <w:szCs w:val="22"/>
        </w:rPr>
        <w:t>oxidation of anodes in </w:t>
      </w:r>
      <w:r w:rsidRPr="004C2091">
        <w:rPr>
          <w:rFonts w:asciiTheme="minorHAnsi" w:eastAsiaTheme="minorEastAsia" w:hAnsiTheme="minorHAnsi" w:cstheme="minorHAnsi"/>
          <w:szCs w:val="22"/>
        </w:rPr>
        <w:t>aluminium</w:t>
      </w:r>
      <w:r w:rsidRPr="004C2091">
        <w:rPr>
          <w:rFonts w:asciiTheme="minorHAnsi" w:eastAsiaTheme="majorEastAsia" w:hAnsiTheme="minorHAnsi" w:cstheme="minorHAnsi"/>
          <w:szCs w:val="22"/>
        </w:rPr>
        <w:t> smelting</w:t>
      </w:r>
    </w:p>
    <w:p w14:paraId="2377D4C7" w14:textId="77777777" w:rsidR="00D61191" w:rsidRPr="004C2091" w:rsidRDefault="00D61191" w:rsidP="00D61191">
      <w:pPr>
        <w:pStyle w:val="Bullet"/>
        <w:rPr>
          <w:rFonts w:asciiTheme="minorHAnsi" w:hAnsiTheme="minorHAnsi" w:cstheme="minorHAnsi"/>
          <w:szCs w:val="22"/>
        </w:rPr>
      </w:pPr>
      <w:r w:rsidRPr="004C2091">
        <w:rPr>
          <w:rFonts w:asciiTheme="minorHAnsi" w:eastAsiaTheme="majorEastAsia" w:hAnsiTheme="minorHAnsi" w:cstheme="minorHAnsi"/>
          <w:szCs w:val="22"/>
        </w:rPr>
        <w:t>use of soda ash in glass making.</w:t>
      </w:r>
    </w:p>
    <w:p w14:paraId="472AA4E5" w14:textId="77777777" w:rsidR="00D61191" w:rsidRPr="004C2091" w:rsidRDefault="00D61191" w:rsidP="00D61191">
      <w:pPr>
        <w:pStyle w:val="BodyText"/>
      </w:pPr>
      <w:r w:rsidRPr="004C2091">
        <w:t>Hydrofluorocarbons and perfluorocarbons are used in many products, including refrigeration and air-conditioning equipment. Sulphur hexafluoride is used in the electricity distribution sector and for small-scale medical and scientific applications. No fluorinated chemicals are produced in New Zealand; they are all imported.</w:t>
      </w:r>
    </w:p>
    <w:p w14:paraId="4A04AD6C" w14:textId="77777777" w:rsidR="00D61191" w:rsidRPr="004C2091" w:rsidRDefault="00D61191" w:rsidP="00D61191">
      <w:pPr>
        <w:pStyle w:val="BodyText"/>
      </w:pPr>
      <w:r w:rsidRPr="004C2091">
        <w:t>In 2022, emissions from the IPPU sector largely consisted of carbon dioxide (3.5 per cent) and fluorinated gases (2.0 per cent). Emissions in this sector decreased by 5 per cent from 2021, mainly due to decreased steel production and decreased emissions from refrigeration and air conditioning, and the end to hydrocarbon production from the Marsden Point Oil Refinery, which was shut in March 2022.</w:t>
      </w:r>
    </w:p>
    <w:p w14:paraId="307DE5F9" w14:textId="77777777" w:rsidR="00D61191" w:rsidRPr="004C2091" w:rsidRDefault="00D61191" w:rsidP="00D61191">
      <w:pPr>
        <w:pStyle w:val="BodyText"/>
      </w:pPr>
      <w:r w:rsidRPr="004C2091">
        <w:t>Emissions from the IPPU sector increased by 28 per cent between 1990 and 2022. The increase was driven by phasing out ozone-depleting substances under the Montreal Protocol and replacing them with fluorinated gases in refrigeration and air conditioning. The increased use o</w:t>
      </w:r>
      <w:r w:rsidRPr="004C2091">
        <w:rPr>
          <w:spacing w:val="-2"/>
        </w:rPr>
        <w:t>f household and commercial air conditioning in New Zealand also contributed to this increase.</w:t>
      </w:r>
    </w:p>
    <w:p w14:paraId="68EC3DD9" w14:textId="77777777" w:rsidR="00D61191" w:rsidRPr="004C2091" w:rsidRDefault="00D61191" w:rsidP="00EA02DE">
      <w:pPr>
        <w:pStyle w:val="Heading3"/>
        <w:numPr>
          <w:ilvl w:val="0"/>
          <w:numId w:val="49"/>
        </w:numPr>
      </w:pPr>
      <w:bookmarkStart w:id="134" w:name="_Toc169616342"/>
      <w:bookmarkStart w:id="135" w:name="_Toc169620043"/>
      <w:bookmarkStart w:id="136" w:name="_Toc172793955"/>
      <w:r w:rsidRPr="004C2091">
        <w:t>Agriculture</w:t>
      </w:r>
      <w:bookmarkEnd w:id="134"/>
      <w:bookmarkEnd w:id="135"/>
      <w:bookmarkEnd w:id="136"/>
    </w:p>
    <w:p w14:paraId="4A0D971B" w14:textId="554D81FA" w:rsidR="00D61191" w:rsidRPr="004C2091" w:rsidRDefault="00D61191" w:rsidP="00D61191">
      <w:pPr>
        <w:pStyle w:val="BodyText"/>
      </w:pPr>
      <w:r w:rsidRPr="004C2091">
        <w:t>New Zealand’s</w:t>
      </w:r>
      <w:r w:rsidR="00DF3B9C">
        <w:t xml:space="preserve"> </w:t>
      </w:r>
      <w:r w:rsidRPr="004C2091" w:rsidDel="001B34F3">
        <w:t>a</w:t>
      </w:r>
      <w:r w:rsidRPr="004C2091">
        <w:t>griculture sector is one of the largest sources of emissions in the country, covering 53.2 per cent of New Zealand’s gross emissions in 2022.</w:t>
      </w:r>
      <w:r w:rsidRPr="004C2091">
        <w:rPr>
          <w:rFonts w:eastAsiaTheme="majorEastAsia"/>
        </w:rPr>
        <w:t xml:space="preserve"> Agriculture in New Zealand is</w:t>
      </w:r>
      <w:r w:rsidR="00725EDE">
        <w:rPr>
          <w:rFonts w:eastAsiaTheme="majorEastAsia"/>
        </w:rPr>
        <w:t> </w:t>
      </w:r>
      <w:r w:rsidRPr="004C2091">
        <w:rPr>
          <w:rFonts w:eastAsiaTheme="majorEastAsia"/>
        </w:rPr>
        <w:t>dominated by pastoral farming of dairy cattle, beef cattle, sheep and deer. As at June 2022, the country had 6.1 million dairy cattle, 3.9 million beef cattle, 25.3 million sheep and 0.8 million deer. The country also produces a number of different horticultural products, including kiwifruit, pip fruit, wine, and fresh and processed vegetables.</w:t>
      </w:r>
    </w:p>
    <w:p w14:paraId="066AC885" w14:textId="77777777" w:rsidR="00D61191" w:rsidRPr="004C2091" w:rsidRDefault="00D61191" w:rsidP="00D61191">
      <w:pPr>
        <w:pStyle w:val="BodyText"/>
      </w:pPr>
      <w:r w:rsidRPr="004C2091">
        <w:t>Because of the temperate climate, the majority of animals are fed on grass outside all year round and are rarely housed inside. Pastures have four primary sources of nitrogen: nitrogen fixed by legumes, nitrogen fertiliser, nitrogen from external supplementary feeds and nitrogen from atmospheric sources. The use of synthetic nitrogen-containing fertiliser on agricultural soils increased by 465 per cent between 1990 and 2022.</w:t>
      </w:r>
    </w:p>
    <w:p w14:paraId="499B4466" w14:textId="57C68B12" w:rsidR="00D61191" w:rsidRPr="004C2091" w:rsidRDefault="00D61191" w:rsidP="00D61191">
      <w:pPr>
        <w:pStyle w:val="BodyText"/>
      </w:pPr>
      <w:r w:rsidRPr="004C2091">
        <w:t xml:space="preserve">The impacts of climate change are already being felt across New Zealand’s </w:t>
      </w:r>
      <w:r w:rsidRPr="004C2091" w:rsidDel="001B34F3">
        <w:t>a</w:t>
      </w:r>
      <w:r w:rsidRPr="004C2091">
        <w:t>griculture sector. Across all regions, the incidence and severity of drought (including in regions that have not previously experienced drought) and flooding and extreme weather events have increased. Increased rainfall events are projected to increase in almost all regions. Droughts can result in reduced pasture production, lower livestock performance and the need to reduce livestock numbers, which in turn leads to lower greenhouse gas emissions.</w:t>
      </w:r>
    </w:p>
    <w:p w14:paraId="649BCBBA" w14:textId="77777777" w:rsidR="00D61191" w:rsidRPr="004C2091" w:rsidRDefault="00D61191" w:rsidP="00EA02DE">
      <w:pPr>
        <w:pStyle w:val="Heading4"/>
        <w:numPr>
          <w:ilvl w:val="0"/>
          <w:numId w:val="40"/>
        </w:numPr>
      </w:pPr>
      <w:bookmarkStart w:id="137" w:name="_Toc169620044"/>
      <w:bookmarkStart w:id="138" w:name="_Toc172793956"/>
      <w:r w:rsidRPr="004C2091">
        <w:t>Agricultural exports</w:t>
      </w:r>
      <w:bookmarkEnd w:id="137"/>
      <w:bookmarkEnd w:id="138"/>
    </w:p>
    <w:p w14:paraId="47E39422" w14:textId="493FEAC9" w:rsidR="00D61191" w:rsidRPr="004C2091" w:rsidRDefault="00D61191" w:rsidP="00D61191">
      <w:pPr>
        <w:pStyle w:val="BodyText"/>
        <w:rPr>
          <w:rFonts w:eastAsiaTheme="majorEastAsia" w:cs="Calibri"/>
        </w:rPr>
      </w:pPr>
      <w:r w:rsidRPr="004C2091">
        <w:rPr>
          <w:rFonts w:eastAsiaTheme="majorEastAsia" w:cs="Calibri"/>
        </w:rPr>
        <w:t>The agricultur</w:t>
      </w:r>
      <w:r w:rsidR="001B34F3">
        <w:rPr>
          <w:rFonts w:eastAsiaTheme="majorEastAsia" w:cs="Calibri"/>
        </w:rPr>
        <w:t>e</w:t>
      </w:r>
      <w:r w:rsidRPr="004C2091">
        <w:rPr>
          <w:rFonts w:eastAsiaTheme="majorEastAsia" w:cs="Calibri"/>
        </w:rPr>
        <w:t xml:space="preserve"> sector (including dairy, meat, wool, horticulture and arable, but excluding forestry, seafood and processed foods) contributed 64 per cent of New Zealand’s merchandise exports in the year ended March 2024. The highest-earning export sectors were dairy (NZ$23.7 billion), meat and wool (NZ$11.4 billion) and horticulture (NZ$6.7 billion). The top five export destinations for the year to 30 March 2024, by value for dairy products, were China, the United States, Australia, Algeria and Indonesia.</w:t>
      </w:r>
    </w:p>
    <w:p w14:paraId="00B6B5F8" w14:textId="77777777" w:rsidR="00D61191" w:rsidRPr="004C2091" w:rsidRDefault="00D61191" w:rsidP="00D61191">
      <w:pPr>
        <w:pStyle w:val="BodyText"/>
      </w:pPr>
      <w:r w:rsidRPr="004C2091">
        <w:t>Global dairy prices were lower and more volatile over the 2023/24 financial year. Lower consumption growth and increased Chinese milk supply resulted in downward pressure on global dairy prices. New Zealand’s dairy export revenue is expected to decrease 7 per cent to $24.2 billion in the year to 30 June 2024, despite an expected 6 per cent increase in export volumes. The drop in export revenue is mainly because global demand has weakened, resulting in lower global dairy prices.</w:t>
      </w:r>
      <w:r w:rsidRPr="004C2091">
        <w:rPr>
          <w:rStyle w:val="FootnoteReference"/>
        </w:rPr>
        <w:footnoteReference w:id="75"/>
      </w:r>
    </w:p>
    <w:p w14:paraId="7C6FA7DB" w14:textId="77777777" w:rsidR="00D61191" w:rsidRPr="004C2091" w:rsidRDefault="00D61191" w:rsidP="00EA02DE">
      <w:pPr>
        <w:pStyle w:val="Heading4"/>
        <w:numPr>
          <w:ilvl w:val="0"/>
          <w:numId w:val="40"/>
        </w:numPr>
      </w:pPr>
      <w:bookmarkStart w:id="139" w:name="_Toc169620045"/>
      <w:bookmarkStart w:id="140" w:name="_Toc172793957"/>
      <w:r w:rsidRPr="004C2091">
        <w:t>Changes in the agricultural industry</w:t>
      </w:r>
      <w:bookmarkEnd w:id="139"/>
      <w:bookmarkEnd w:id="140"/>
    </w:p>
    <w:p w14:paraId="628788AD" w14:textId="059DA981" w:rsidR="00D61191" w:rsidRPr="004C2091" w:rsidRDefault="00D61191" w:rsidP="00D61191">
      <w:pPr>
        <w:pStyle w:val="BodyText"/>
      </w:pPr>
      <w:r w:rsidRPr="004C2091">
        <w:t>Triggered by the removal of agricultural subsidies in 1984, New Zealand’s agricultur</w:t>
      </w:r>
      <w:r w:rsidR="001B34F3">
        <w:t>e</w:t>
      </w:r>
      <w:r w:rsidRPr="004C2091">
        <w:t xml:space="preserve"> sector transformed to become highly competitive and efficient. It is now the least subsidised </w:t>
      </w:r>
      <w:r w:rsidRPr="004C2091" w:rsidDel="009571FF">
        <w:t>a</w:t>
      </w:r>
      <w:r w:rsidRPr="004C2091">
        <w:t>griculture sector in the OECD. Agricultural productivity has increased due to advances in technology, farm management and animal breeding; the expansion of the average size of farms; and improved animal health, animal fertility and plant nutrition.</w:t>
      </w:r>
    </w:p>
    <w:p w14:paraId="04932D7E" w14:textId="48723FB8" w:rsidR="00D61191" w:rsidRPr="004C2091" w:rsidRDefault="00D61191" w:rsidP="00D61191">
      <w:pPr>
        <w:pStyle w:val="BodyText"/>
      </w:pPr>
      <w:r w:rsidRPr="004C2091">
        <w:t>The proportions of the main livestock species farmed in New Zealand have also changed. From the early 1990s to the present, sheep numbers have declined steadily (</w:t>
      </w:r>
      <w:hyperlink w:anchor="figure214" w:history="1">
        <w:r w:rsidRPr="00DF3B9C">
          <w:rPr>
            <w:rStyle w:val="Hyperlink"/>
          </w:rPr>
          <w:t>figure 2.1.4</w:t>
        </w:r>
      </w:hyperlink>
      <w:r w:rsidRPr="004C2091">
        <w:t>) due to low sheep meat and wool prices, while sheep farms have converted to dairying, viticulture, cropping and forestry. The dairy cattle herd grew significantly between 1990 and 2016. The growth was due to the increasing profitability of dairy products compared with sheep and beef products over that period. However, there has been a slight but steady decline in dairy cow numbers over the last six years due to varying product prices (</w:t>
      </w:r>
      <w:hyperlink w:anchor="figure215" w:history="1">
        <w:r w:rsidRPr="00DF3B9C">
          <w:rPr>
            <w:rStyle w:val="Hyperlink"/>
          </w:rPr>
          <w:t>figure 2.1.5</w:t>
        </w:r>
      </w:hyperlink>
      <w:r w:rsidRPr="004C2091">
        <w:t>).</w:t>
      </w:r>
    </w:p>
    <w:p w14:paraId="1D44E9AE" w14:textId="1AB676B5" w:rsidR="00D61191" w:rsidRPr="004C2091" w:rsidRDefault="00D61191" w:rsidP="00201256">
      <w:pPr>
        <w:pStyle w:val="Figureheading"/>
      </w:pPr>
      <w:bookmarkStart w:id="141" w:name="figure214"/>
      <w:bookmarkStart w:id="142" w:name="_Toc185347238"/>
      <w:r w:rsidRPr="004C2091">
        <w:t>Figure 2.1.</w:t>
      </w:r>
      <w:r w:rsidR="002326F8">
        <w:t>4</w:t>
      </w:r>
      <w:bookmarkEnd w:id="141"/>
      <w:r w:rsidRPr="004C2091">
        <w:t>:</w:t>
      </w:r>
      <w:r w:rsidRPr="004C2091">
        <w:tab/>
        <w:t>Changes in New Zealand’s sheep population (million head), year ended 30</w:t>
      </w:r>
      <w:r w:rsidR="001B0A3C">
        <w:t> </w:t>
      </w:r>
      <w:r w:rsidRPr="004C2091">
        <w:t>June</w:t>
      </w:r>
      <w:r w:rsidRPr="004C2091">
        <w:br/>
        <w:t>1990–2022</w:t>
      </w:r>
      <w:bookmarkEnd w:id="142"/>
    </w:p>
    <w:p w14:paraId="77C586CF" w14:textId="77777777" w:rsidR="00D61191" w:rsidRPr="004C2091" w:rsidRDefault="00D61191" w:rsidP="00D61191">
      <w:pPr>
        <w:pStyle w:val="BodyText"/>
      </w:pPr>
      <w:r w:rsidRPr="004C2091">
        <w:rPr>
          <w:noProof/>
        </w:rPr>
        <w:drawing>
          <wp:inline distT="0" distB="0" distL="0" distR="0" wp14:anchorId="6E01C22A" wp14:editId="3F3F67D4">
            <wp:extent cx="5267325" cy="2995961"/>
            <wp:effectExtent l="0" t="0" r="0" b="0"/>
            <wp:docPr id="2022306741" name="Picture 1" descr="A line graph showing changes in New Zealand’s sheep population in million head, for the year ended 30 June for the period 1990 t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306741" name="Picture 1" descr="A line graph showing changes in New Zealand’s sheep population in million head, for the year ended 30 June for the period 1990 to 2022."/>
                    <pic:cNvPicPr/>
                  </pic:nvPicPr>
                  <pic:blipFill rotWithShape="1">
                    <a:blip r:embed="rId58"/>
                    <a:srcRect t="1645" b="3614"/>
                    <a:stretch/>
                  </pic:blipFill>
                  <pic:spPr bwMode="auto">
                    <a:xfrm>
                      <a:off x="0" y="0"/>
                      <a:ext cx="5268060" cy="2996379"/>
                    </a:xfrm>
                    <a:prstGeom prst="rect">
                      <a:avLst/>
                    </a:prstGeom>
                    <a:ln>
                      <a:noFill/>
                    </a:ln>
                    <a:extLst>
                      <a:ext uri="{53640926-AAD7-44D8-BBD7-CCE9431645EC}">
                        <a14:shadowObscured xmlns:a14="http://schemas.microsoft.com/office/drawing/2010/main"/>
                      </a:ext>
                    </a:extLst>
                  </pic:spPr>
                </pic:pic>
              </a:graphicData>
            </a:graphic>
          </wp:inline>
        </w:drawing>
      </w:r>
    </w:p>
    <w:p w14:paraId="6FD1A1CA" w14:textId="77777777" w:rsidR="00D61191" w:rsidRPr="004C2091" w:rsidRDefault="00D61191" w:rsidP="00D61191">
      <w:pPr>
        <w:pStyle w:val="Source"/>
        <w:spacing w:before="80"/>
        <w:rPr>
          <w:rFonts w:eastAsia="Times New Roman" w:cs="Calibri"/>
          <w:szCs w:val="18"/>
        </w:rPr>
      </w:pPr>
      <w:r w:rsidRPr="004C2091">
        <w:t xml:space="preserve">Source: Ministry for the Environment. 2024. </w:t>
      </w:r>
      <w:r w:rsidRPr="004C2091">
        <w:rPr>
          <w:i/>
          <w:iCs/>
        </w:rPr>
        <w:t xml:space="preserve">New Zealand’s Greenhouse Gas Inventory 1990–2022. </w:t>
      </w:r>
      <w:r w:rsidRPr="004C2091">
        <w:t xml:space="preserve">Wellington: Ministry for the Environment. </w:t>
      </w:r>
    </w:p>
    <w:p w14:paraId="5838C67B" w14:textId="1B178C69" w:rsidR="00D61191" w:rsidRPr="004C2091" w:rsidRDefault="00D61191" w:rsidP="00201256">
      <w:pPr>
        <w:pStyle w:val="Figureheading"/>
      </w:pPr>
      <w:bookmarkStart w:id="143" w:name="figure215"/>
      <w:bookmarkStart w:id="144" w:name="_Toc185347239"/>
      <w:r w:rsidRPr="004C2091">
        <w:t>Figure 2.1.</w:t>
      </w:r>
      <w:bookmarkEnd w:id="143"/>
      <w:r w:rsidR="002326F8">
        <w:t>5</w:t>
      </w:r>
      <w:r w:rsidRPr="004C2091">
        <w:t xml:space="preserve">: </w:t>
      </w:r>
      <w:r w:rsidRPr="004C2091">
        <w:tab/>
        <w:t>Changes in New Zealand’s dairy, beef and deer population (million head),</w:t>
      </w:r>
      <w:r w:rsidR="00725EDE">
        <w:br/>
      </w:r>
      <w:r w:rsidRPr="004C2091">
        <w:t>year ended 30 June 1990–2022</w:t>
      </w:r>
      <w:bookmarkEnd w:id="144"/>
    </w:p>
    <w:p w14:paraId="15233F84" w14:textId="77777777" w:rsidR="00D61191" w:rsidRPr="004C2091" w:rsidRDefault="00D61191" w:rsidP="00D61191">
      <w:pPr>
        <w:pStyle w:val="BodyText"/>
      </w:pPr>
      <w:r w:rsidRPr="004C2091">
        <w:rPr>
          <w:noProof/>
        </w:rPr>
        <w:drawing>
          <wp:inline distT="0" distB="0" distL="0" distR="0" wp14:anchorId="33718492" wp14:editId="263B4279">
            <wp:extent cx="5180575" cy="2913597"/>
            <wp:effectExtent l="0" t="0" r="1270" b="1270"/>
            <wp:docPr id="1389477735" name="Picture 1" descr="A line graph showing changes in New Zealand’s dairy, beef and deep population by million head for the year ended 30 June for the period 1990 t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77735" name="Picture 1" descr="A line graph showing changes in New Zealand’s dairy, beef and deep population by million head for the year ended 30 June for the period 1990 to 2022."/>
                    <pic:cNvPicPr/>
                  </pic:nvPicPr>
                  <pic:blipFill rotWithShape="1">
                    <a:blip r:embed="rId59"/>
                    <a:srcRect t="1941" b="3045"/>
                    <a:stretch/>
                  </pic:blipFill>
                  <pic:spPr bwMode="auto">
                    <a:xfrm>
                      <a:off x="0" y="0"/>
                      <a:ext cx="5182323" cy="2914580"/>
                    </a:xfrm>
                    <a:prstGeom prst="rect">
                      <a:avLst/>
                    </a:prstGeom>
                    <a:ln>
                      <a:noFill/>
                    </a:ln>
                    <a:extLst>
                      <a:ext uri="{53640926-AAD7-44D8-BBD7-CCE9431645EC}">
                        <a14:shadowObscured xmlns:a14="http://schemas.microsoft.com/office/drawing/2010/main"/>
                      </a:ext>
                    </a:extLst>
                  </pic:spPr>
                </pic:pic>
              </a:graphicData>
            </a:graphic>
          </wp:inline>
        </w:drawing>
      </w:r>
    </w:p>
    <w:p w14:paraId="044874D6" w14:textId="77777777" w:rsidR="00D61191" w:rsidRPr="004C2091" w:rsidRDefault="00D61191" w:rsidP="00D61191">
      <w:pPr>
        <w:pStyle w:val="Source"/>
        <w:spacing w:before="80"/>
        <w:rPr>
          <w:rFonts w:eastAsiaTheme="majorEastAsia" w:cs="Calibri"/>
        </w:rPr>
      </w:pPr>
      <w:r w:rsidRPr="00725EDE">
        <w:t>Source:</w:t>
      </w:r>
      <w:r w:rsidRPr="004C2091">
        <w:t xml:space="preserve"> Ministry for the Environment. 2024. </w:t>
      </w:r>
      <w:r w:rsidRPr="004C2091">
        <w:rPr>
          <w:i/>
          <w:iCs/>
        </w:rPr>
        <w:t xml:space="preserve">New Zealand’s Greenhouse Gas Inventory 1990–2022. </w:t>
      </w:r>
      <w:r w:rsidRPr="004C2091">
        <w:t xml:space="preserve">Wellington: Ministry for the Environment. </w:t>
      </w:r>
    </w:p>
    <w:p w14:paraId="6AB6ECF6" w14:textId="77777777" w:rsidR="00D61191" w:rsidRPr="004C2091" w:rsidRDefault="00D61191" w:rsidP="00EA02DE">
      <w:pPr>
        <w:pStyle w:val="Heading4"/>
        <w:numPr>
          <w:ilvl w:val="0"/>
          <w:numId w:val="40"/>
        </w:numPr>
      </w:pPr>
      <w:bookmarkStart w:id="145" w:name="_Toc169620046"/>
      <w:bookmarkStart w:id="146" w:name="_Toc172793958"/>
      <w:r w:rsidRPr="004C2091">
        <w:t>Emissions</w:t>
      </w:r>
      <w:bookmarkEnd w:id="145"/>
      <w:bookmarkEnd w:id="146"/>
    </w:p>
    <w:p w14:paraId="06AD948E" w14:textId="0C3B80E0" w:rsidR="00D61191" w:rsidRPr="004C2091" w:rsidRDefault="00D61191" w:rsidP="00D61191">
      <w:pPr>
        <w:pStyle w:val="BodyText"/>
      </w:pPr>
      <w:r w:rsidRPr="004C2091">
        <w:t>High levels of agricultural activity mean over half of New Zealand’s gross greenhouse gas emissions come from agriculture, compared with an average of 13 per cent in other developed countries.</w:t>
      </w:r>
      <w:r w:rsidRPr="004C2091">
        <w:rPr>
          <w:rStyle w:val="FootnoteReference"/>
          <w:rFonts w:eastAsiaTheme="majorEastAsia" w:cs="Calibri"/>
        </w:rPr>
        <w:footnoteReference w:id="76"/>
      </w:r>
      <w:r w:rsidRPr="004C2091">
        <w:t xml:space="preserve"> Most of those emissions (78.2 per cent of agricultur</w:t>
      </w:r>
      <w:r w:rsidR="00515FEB">
        <w:t>al</w:t>
      </w:r>
      <w:r w:rsidRPr="004C2091">
        <w:t xml:space="preserve"> emissions in 2022) come from methane (CH</w:t>
      </w:r>
      <w:r w:rsidRPr="004C2091">
        <w:rPr>
          <w:vertAlign w:val="subscript"/>
        </w:rPr>
        <w:t>4</w:t>
      </w:r>
      <w:r w:rsidRPr="004C2091">
        <w:t>) from enteric fermentation.</w:t>
      </w:r>
    </w:p>
    <w:p w14:paraId="4C28B060" w14:textId="4B11BC20" w:rsidR="00D61191" w:rsidRPr="004C2091" w:rsidRDefault="00D61191" w:rsidP="00D61191">
      <w:pPr>
        <w:pStyle w:val="BodyText"/>
      </w:pPr>
      <w:r w:rsidRPr="004C2091">
        <w:t xml:space="preserve">Livestock numbers are a significant determinant of New Zealand’s gross primary sector emissions. Greenhouse gas emissions from the </w:t>
      </w:r>
      <w:r w:rsidRPr="004C2091" w:rsidDel="00DF3B9C">
        <w:t>a</w:t>
      </w:r>
      <w:r w:rsidRPr="004C2091">
        <w:t>griculture sector increased by 15.6 per cent between 1990 and 2006. The increase was mainly due to an 80 per cent increase in the national dairy herd population within that period and a 423 per cent increase in the application of synthetic nitrogen fertiliser. These increases in emissions have been partially offset by decreases in the populations of sheep (by 55 per cent), beef cattle (by 15 per cent) and deer (</w:t>
      </w:r>
      <w:r w:rsidR="00DF3B9C">
        <w:t xml:space="preserve">by </w:t>
      </w:r>
      <w:r w:rsidRPr="004C2091">
        <w:t>15 per cent) since 1990. Since 2006, emissions from the primary sector have been relatively stable, with some variations from year to year based on product prices and seasonal climate events, for example drought.</w:t>
      </w:r>
    </w:p>
    <w:p w14:paraId="500333D5" w14:textId="05050E33" w:rsidR="00D61191" w:rsidRPr="004C2091" w:rsidRDefault="00D61191" w:rsidP="00D61191">
      <w:pPr>
        <w:pStyle w:val="BodyText"/>
      </w:pPr>
      <w:r w:rsidRPr="004C2091">
        <w:t xml:space="preserve">In 2022, emissions from the </w:t>
      </w:r>
      <w:r w:rsidRPr="004C2091" w:rsidDel="00DF3B9C">
        <w:t>a</w:t>
      </w:r>
      <w:r w:rsidRPr="004C2091">
        <w:t xml:space="preserve">griculture sector decreased by 1.4 per cent from 2021 because of a decline in production. This decrease was mainly due to long-term reductions in sheep and beef cattle populations, as well as decreases in the use of synthetic nitrogen fertiliser application. Emissions from other sources rose, such as from </w:t>
      </w:r>
      <w:r w:rsidR="00791DA2">
        <w:t xml:space="preserve">the </w:t>
      </w:r>
      <w:r w:rsidRPr="004C2091">
        <w:t xml:space="preserve">application of lime and dolomite and </w:t>
      </w:r>
      <w:r w:rsidR="003875BB">
        <w:t xml:space="preserve">from </w:t>
      </w:r>
      <w:r w:rsidRPr="004C2091">
        <w:t>dairy cattle, but these increases were not enough to offset the overall decrease in agricultural emissions between 2021 and 2022.</w:t>
      </w:r>
      <w:r w:rsidRPr="004C2091">
        <w:rPr>
          <w:rStyle w:val="FootnoteReference"/>
          <w:rFonts w:eastAsiaTheme="majorEastAsia"/>
        </w:rPr>
        <w:footnoteReference w:id="77"/>
      </w:r>
    </w:p>
    <w:p w14:paraId="25E84DDE" w14:textId="77777777" w:rsidR="00D61191" w:rsidRPr="004C2091" w:rsidRDefault="00D61191" w:rsidP="00EA02DE">
      <w:pPr>
        <w:pStyle w:val="Heading3"/>
        <w:numPr>
          <w:ilvl w:val="0"/>
          <w:numId w:val="49"/>
        </w:numPr>
      </w:pPr>
      <w:bookmarkStart w:id="147" w:name="_Toc169616343"/>
      <w:bookmarkStart w:id="148" w:name="_Toc169620047"/>
      <w:bookmarkStart w:id="149" w:name="_Toc172793959"/>
      <w:r w:rsidRPr="004C2091">
        <w:t>Fisheries</w:t>
      </w:r>
      <w:bookmarkEnd w:id="147"/>
      <w:bookmarkEnd w:id="148"/>
      <w:bookmarkEnd w:id="149"/>
    </w:p>
    <w:p w14:paraId="5C000F2B" w14:textId="77777777" w:rsidR="00D61191" w:rsidRPr="004C2091" w:rsidRDefault="00D61191" w:rsidP="00D61191">
      <w:pPr>
        <w:pStyle w:val="BodyText"/>
      </w:pPr>
      <w:r w:rsidRPr="004C2091">
        <w:t>New Zealand uses a range of tools and management procedures supported by fisheries legislation to enable the effective management of fisheries. Commercially harvested fish stocks are regulated through a quota management system that controls harvest levels for each fish species by fisher and area. Each year, the Ministry for Primary Industries reviews the total allowable catch for fish stocks and sets limits for the next year to ensure fisheries are sustainable.</w:t>
      </w:r>
    </w:p>
    <w:p w14:paraId="0952D671" w14:textId="77777777" w:rsidR="00D61191" w:rsidRPr="004C2091" w:rsidRDefault="00D61191" w:rsidP="00D61191">
      <w:pPr>
        <w:pStyle w:val="BodyText"/>
        <w:rPr>
          <w:rFonts w:cstheme="minorHAnsi"/>
        </w:rPr>
      </w:pPr>
      <w:r w:rsidRPr="004C2091">
        <w:t>Approximately 396,000 tonnes</w:t>
      </w:r>
      <w:r w:rsidRPr="004C2091">
        <w:rPr>
          <w:rStyle w:val="FootnoteReference"/>
          <w:rFonts w:asciiTheme="minorHAnsi" w:eastAsiaTheme="majorEastAsia" w:hAnsiTheme="minorHAnsi"/>
          <w:spacing w:val="-2"/>
        </w:rPr>
        <w:footnoteReference w:id="78"/>
      </w:r>
      <w:r w:rsidRPr="004C2091">
        <w:t xml:space="preserve"> of seafood (excluding aquaculture) is harvested from New Zealand waters each year. The seafood industry employs over 16,000 people.</w:t>
      </w:r>
      <w:r w:rsidRPr="004C2091">
        <w:rPr>
          <w:rStyle w:val="FootnoteReference"/>
          <w:rFonts w:asciiTheme="minorHAnsi" w:eastAsiaTheme="majorEastAsia" w:hAnsiTheme="minorHAnsi" w:cs="Calibri"/>
          <w:spacing w:val="-2"/>
          <w:lang w:eastAsia="en-US"/>
          <w14:ligatures w14:val="standardContextual"/>
        </w:rPr>
        <w:footnoteReference w:id="79"/>
      </w:r>
      <w:r w:rsidRPr="004C2091">
        <w:t xml:space="preserve"> Seafood exports (excluding freshwater products) earned NZ$1.84 billion in the year ending 30 March 2024.</w:t>
      </w:r>
      <w:r w:rsidRPr="004C2091">
        <w:rPr>
          <w:rStyle w:val="FootnoteReference"/>
          <w:rFonts w:eastAsiaTheme="majorEastAsia" w:cs="Calibri"/>
          <w:kern w:val="2"/>
          <w:lang w:eastAsia="en-US"/>
          <w14:ligatures w14:val="standardContextual"/>
        </w:rPr>
        <w:footnoteReference w:id="80"/>
      </w:r>
    </w:p>
    <w:p w14:paraId="49F95D28" w14:textId="7EF7B2EC" w:rsidR="00D61191" w:rsidRPr="004C2091" w:rsidRDefault="00D61191" w:rsidP="00D61191">
      <w:pPr>
        <w:pStyle w:val="BodyText"/>
      </w:pPr>
      <w:r w:rsidRPr="004C2091">
        <w:t>Like the rest of the world, New Zealand is experiencing the impact of climate change. This is making the management of fisheries</w:t>
      </w:r>
      <w:r w:rsidRPr="004C2091">
        <w:rPr>
          <w:rFonts w:cs="Times New Roman"/>
        </w:rPr>
        <w:t xml:space="preserve"> and development of sustainable aquaculture more complex,</w:t>
      </w:r>
      <w:r w:rsidRPr="004C2091">
        <w:t xml:space="preserve"> creat</w:t>
      </w:r>
      <w:r w:rsidR="002B6498">
        <w:t>ing</w:t>
      </w:r>
      <w:r w:rsidRPr="004C2091">
        <w:t xml:space="preserve"> further uncertainty in the fisheries system and affect</w:t>
      </w:r>
      <w:r w:rsidR="002B6498">
        <w:t>ing</w:t>
      </w:r>
      <w:r w:rsidRPr="004C2091">
        <w:t xml:space="preserve"> New Zealand’s ability to respond. The following drivers and trends are of note.</w:t>
      </w:r>
    </w:p>
    <w:p w14:paraId="7E779288" w14:textId="77777777" w:rsidR="00D61191" w:rsidRPr="004C2091" w:rsidRDefault="00D61191" w:rsidP="00D61191">
      <w:pPr>
        <w:pStyle w:val="Bullet"/>
        <w:rPr>
          <w:rFonts w:eastAsiaTheme="majorEastAsia"/>
          <w:szCs w:val="22"/>
        </w:rPr>
      </w:pPr>
      <w:r w:rsidRPr="004C2091">
        <w:rPr>
          <w:rFonts w:eastAsiaTheme="majorEastAsia"/>
          <w:szCs w:val="22"/>
        </w:rPr>
        <w:t>Climate and oceanographic conditions play an important role in driving the productivity of the oceans and the abundance and distribution of New Zealand’s fish stocks and fisheries.</w:t>
      </w:r>
    </w:p>
    <w:p w14:paraId="4C3D64CA" w14:textId="77777777" w:rsidR="00D61191" w:rsidRPr="004C2091" w:rsidRDefault="00D61191" w:rsidP="00D61191">
      <w:pPr>
        <w:pStyle w:val="Bullet"/>
        <w:rPr>
          <w:rFonts w:eastAsiaTheme="majorEastAsia"/>
          <w:szCs w:val="22"/>
        </w:rPr>
      </w:pPr>
      <w:r w:rsidRPr="004C2091">
        <w:rPr>
          <w:rFonts w:eastAsiaTheme="majorEastAsia"/>
          <w:szCs w:val="22"/>
        </w:rPr>
        <w:t>The ocean surrounding New Zealand plays a major role in moderating the climate on land. Evidence indicates that the chemistry of seawater is changing (eg, through ocean acidification) in line with other parts of the globe.</w:t>
      </w:r>
    </w:p>
    <w:p w14:paraId="6A507D1C" w14:textId="77777777" w:rsidR="00D61191" w:rsidRPr="004C2091" w:rsidRDefault="00D61191" w:rsidP="00D61191">
      <w:pPr>
        <w:pStyle w:val="Bullet"/>
        <w:rPr>
          <w:rFonts w:eastAsiaTheme="majorEastAsia"/>
          <w:szCs w:val="22"/>
        </w:rPr>
      </w:pPr>
      <w:r w:rsidRPr="004C2091">
        <w:rPr>
          <w:szCs w:val="22"/>
        </w:rPr>
        <w:t>New Zealand trends of increasing air and sea temperatures, as well as ocean acidification, are consistent with observed global trends.</w:t>
      </w:r>
      <w:r w:rsidRPr="004C2091">
        <w:rPr>
          <w:rStyle w:val="FootnoteReference"/>
          <w:szCs w:val="22"/>
        </w:rPr>
        <w:footnoteReference w:id="81"/>
      </w:r>
      <w:r w:rsidRPr="004C2091">
        <w:rPr>
          <w:szCs w:val="22"/>
        </w:rPr>
        <w:t xml:space="preserve"> </w:t>
      </w:r>
      <w:r w:rsidRPr="004C2091">
        <w:rPr>
          <w:rFonts w:eastAsiaTheme="majorEastAsia"/>
          <w:szCs w:val="22"/>
        </w:rPr>
        <w:t>Long-term measurements off the Otago coast show an increase of 8.6 per cent in ocean acidity between January 1998 and December 2020.</w:t>
      </w:r>
    </w:p>
    <w:p w14:paraId="2CDC924F" w14:textId="77777777" w:rsidR="00D61191" w:rsidRPr="004C2091" w:rsidRDefault="00D61191" w:rsidP="00D61191">
      <w:pPr>
        <w:pStyle w:val="Bullet"/>
        <w:rPr>
          <w:rFonts w:eastAsiaTheme="majorEastAsia"/>
        </w:rPr>
      </w:pPr>
      <w:r w:rsidRPr="004C2091">
        <w:rPr>
          <w:rFonts w:eastAsiaTheme="majorEastAsia"/>
          <w:szCs w:val="22"/>
        </w:rPr>
        <w:t>Marine heatwaves</w:t>
      </w:r>
      <w:r w:rsidRPr="004C2091">
        <w:rPr>
          <w:rFonts w:eastAsiaTheme="majorEastAsia"/>
        </w:rPr>
        <w:t xml:space="preserve"> are becoming more persistent, which is having major impacts on fisheries and associated habitats.</w:t>
      </w:r>
    </w:p>
    <w:p w14:paraId="24E5B332" w14:textId="77777777" w:rsidR="00D61191" w:rsidRPr="004C2091" w:rsidRDefault="00D61191" w:rsidP="00D61191">
      <w:pPr>
        <w:pStyle w:val="BodyText"/>
      </w:pPr>
      <w:r w:rsidRPr="004C2091">
        <w:t>Climate change and more extreme weather events can affect the abundance and distribution of marine life, impacting how and what New Zealand grows and harvests from the sea. As a result, the Ministry for Primary Industries is building its knowledge base to understand the challenges fisheries and aquaculture face from climate change now and in the future and how the sectors might need to change to ensure they are resilient.</w:t>
      </w:r>
    </w:p>
    <w:p w14:paraId="1B185E7B" w14:textId="77777777" w:rsidR="00D61191" w:rsidRPr="004C2091" w:rsidRDefault="00D61191" w:rsidP="00EA02DE">
      <w:pPr>
        <w:pStyle w:val="Heading3"/>
        <w:numPr>
          <w:ilvl w:val="0"/>
          <w:numId w:val="49"/>
        </w:numPr>
      </w:pPr>
      <w:bookmarkStart w:id="150" w:name="_Toc169616344"/>
      <w:bookmarkStart w:id="151" w:name="_Toc169620048"/>
      <w:bookmarkStart w:id="152" w:name="_Toc172793960"/>
      <w:r w:rsidRPr="004C2091">
        <w:t>Forestry</w:t>
      </w:r>
      <w:bookmarkEnd w:id="150"/>
      <w:bookmarkEnd w:id="151"/>
      <w:bookmarkEnd w:id="152"/>
    </w:p>
    <w:p w14:paraId="10ED5BF2" w14:textId="77777777" w:rsidR="00D61191" w:rsidRPr="004C2091" w:rsidRDefault="00D61191" w:rsidP="00D61191">
      <w:pPr>
        <w:pStyle w:val="BodyText"/>
      </w:pPr>
      <w:r w:rsidRPr="004C2091">
        <w:t>New Zealand has one of the highest rates of exotic forest growth among developed countries, due to its favourable climate and fertile soils combined with intensive forest management. Forestry is economically important to the country as it is the fourth-biggest export earner at 5.2 per cent of total exports.</w:t>
      </w:r>
      <w:r w:rsidRPr="004C2091">
        <w:rPr>
          <w:rStyle w:val="FootnoteReference"/>
          <w:rFonts w:eastAsiaTheme="majorEastAsia" w:cs="Calibri"/>
        </w:rPr>
        <w:footnoteReference w:id="82"/>
      </w:r>
      <w:r w:rsidRPr="004C2091">
        <w:t xml:space="preserve"> An estimated 37,800 people work in the forestry and wood processing sector.</w:t>
      </w:r>
      <w:r w:rsidRPr="004C2091">
        <w:rPr>
          <w:rStyle w:val="FootnoteReference"/>
          <w:rFonts w:eastAsiaTheme="majorEastAsia" w:cs="Calibri"/>
        </w:rPr>
        <w:footnoteReference w:id="83"/>
      </w:r>
    </w:p>
    <w:p w14:paraId="7CECFC6C" w14:textId="77777777" w:rsidR="00D61191" w:rsidRPr="004C2091" w:rsidRDefault="00D61191" w:rsidP="00D61191">
      <w:pPr>
        <w:pStyle w:val="BodyText"/>
      </w:pPr>
      <w:r w:rsidRPr="004C2091">
        <w:t>New Zealand has 10.0 million ha of forest, covering approximately 37 per cent of land.</w:t>
      </w:r>
      <w:r w:rsidRPr="004C2091">
        <w:rPr>
          <w:rStyle w:val="FootnoteReference"/>
          <w:rFonts w:eastAsiaTheme="majorEastAsia" w:cs="Calibri"/>
        </w:rPr>
        <w:footnoteReference w:id="84"/>
      </w:r>
      <w:r w:rsidRPr="004C2091">
        <w:t xml:space="preserve"> Of this, 7.8 million ha are natural (indigenous) forest. Two-thirds of this natural forest is protected within public conservation land. The two main types of natural forest are beech and podocarp/broadleaf forest. In addition, shrublands (mainly kānuka and mānuka) and retired grasslands are classified as forests when they meet New Zealand’s forest definition.</w:t>
      </w:r>
      <w:r w:rsidRPr="004C2091">
        <w:rPr>
          <w:rStyle w:val="FootnoteReference"/>
          <w:rFonts w:eastAsiaTheme="majorEastAsia" w:cs="Calibri"/>
        </w:rPr>
        <w:footnoteReference w:id="85"/>
      </w:r>
    </w:p>
    <w:p w14:paraId="2A9CAD34" w14:textId="77777777" w:rsidR="00D61191" w:rsidRPr="004C2091" w:rsidRDefault="00D61191" w:rsidP="00D61191">
      <w:pPr>
        <w:pStyle w:val="BodyText"/>
      </w:pPr>
      <w:r w:rsidRPr="004C2091">
        <w:t>Planted production forests account for 1.79 million ha of land in New Zealand as of 1 April 2023.</w:t>
      </w:r>
      <w:r w:rsidRPr="004C2091">
        <w:rPr>
          <w:rStyle w:val="FootnoteReference"/>
          <w:rFonts w:eastAsiaTheme="majorEastAsia" w:cs="Calibri"/>
        </w:rPr>
        <w:footnoteReference w:id="86"/>
      </w:r>
      <w:r w:rsidRPr="004C2091">
        <w:t xml:space="preserve"> New Zealand’s forestry industry is largely based around plantation forests. Approximately 90 per cent of plantation forests is radiata pine (</w:t>
      </w:r>
      <w:r w:rsidRPr="004C2091">
        <w:rPr>
          <w:i/>
          <w:iCs/>
        </w:rPr>
        <w:t>Pinus radiata</w:t>
      </w:r>
      <w:r w:rsidRPr="004C2091">
        <w:t>), followed by Douglas fir (</w:t>
      </w:r>
      <w:r w:rsidRPr="004C2091">
        <w:rPr>
          <w:i/>
          <w:iCs/>
        </w:rPr>
        <w:t>Pseudotsuga menziesii</w:t>
      </w:r>
      <w:r w:rsidRPr="004C2091">
        <w:t>) at 6 per cent. There are smaller proportions of eucalyptus, and other softwood and hardwood species.</w:t>
      </w:r>
      <w:r w:rsidRPr="004C2091">
        <w:rPr>
          <w:rStyle w:val="FootnoteReference"/>
          <w:rFonts w:eastAsiaTheme="majorEastAsia" w:cs="Calibri"/>
        </w:rPr>
        <w:footnoteReference w:id="87"/>
      </w:r>
    </w:p>
    <w:p w14:paraId="57AD6201" w14:textId="2BAB6A94" w:rsidR="00D61191" w:rsidRPr="004C2091" w:rsidRDefault="00D61191" w:rsidP="00D61191">
      <w:pPr>
        <w:pStyle w:val="BodyText"/>
      </w:pPr>
      <w:r w:rsidRPr="004C2091">
        <w:t xml:space="preserve">New Zealand’s forests are currently a net carbon sink. In 2022, the </w:t>
      </w:r>
      <w:r w:rsidR="002255BE">
        <w:t>Land Use, Land-</w:t>
      </w:r>
      <w:r w:rsidR="00D564B7">
        <w:t>U</w:t>
      </w:r>
      <w:r w:rsidR="002255BE">
        <w:t>se Change and Forestry</w:t>
      </w:r>
      <w:r w:rsidRPr="004C2091">
        <w:t xml:space="preserve"> sector contributed removals equivalent to 25 per cent of New Zealand’s gross emissions, as reported in </w:t>
      </w:r>
      <w:r w:rsidRPr="004C2091">
        <w:rPr>
          <w:i/>
          <w:iCs/>
        </w:rPr>
        <w:t>New Zealand’s Greenhouse Gas Inventory</w:t>
      </w:r>
      <w:r w:rsidRPr="004C2091">
        <w:t>.</w:t>
      </w:r>
      <w:r w:rsidRPr="004C2091">
        <w:rPr>
          <w:rStyle w:val="FootnoteReference"/>
          <w:rFonts w:eastAsiaTheme="majorEastAsia" w:cs="Calibri"/>
        </w:rPr>
        <w:footnoteReference w:id="88"/>
      </w:r>
      <w:r w:rsidRPr="004C2091">
        <w:t xml:space="preserve"> In 2022, over 86,000 ha of new forest were planted and approximately 4,200 ha were deforested.</w:t>
      </w:r>
      <w:r w:rsidRPr="004C2091">
        <w:rPr>
          <w:rStyle w:val="FootnoteReference"/>
          <w:rFonts w:eastAsiaTheme="majorEastAsia" w:cs="Calibri"/>
        </w:rPr>
        <w:footnoteReference w:id="89"/>
      </w:r>
    </w:p>
    <w:p w14:paraId="3195B075" w14:textId="6A246FC1" w:rsidR="00D61191" w:rsidRPr="004C2091" w:rsidRDefault="00D61191" w:rsidP="00D61191">
      <w:pPr>
        <w:pStyle w:val="BodyText"/>
      </w:pPr>
      <w:r w:rsidRPr="004C2091">
        <w:t xml:space="preserve">Net emissions from the </w:t>
      </w:r>
      <w:r w:rsidR="002255BE">
        <w:t>Land Use, Land-</w:t>
      </w:r>
      <w:r w:rsidR="00D564B7">
        <w:t>U</w:t>
      </w:r>
      <w:r w:rsidR="002255BE">
        <w:t>se Change and Forestry</w:t>
      </w:r>
      <w:r w:rsidRPr="004C2091">
        <w:t xml:space="preserve"> sector have increased by 21 per cent since 1990. This increase has occurred because current forest-harvest rates in New Zealand’s planted forests are comparatively high.</w:t>
      </w:r>
      <w:r w:rsidRPr="004C2091">
        <w:rPr>
          <w:rStyle w:val="FootnoteReference"/>
          <w:rFonts w:eastAsiaTheme="majorEastAsia" w:cs="Calibri"/>
        </w:rPr>
        <w:footnoteReference w:id="90"/>
      </w:r>
      <w:r w:rsidRPr="004C2091">
        <w:t xml:space="preserve"> Yearly fluctuations in emissions and removals from forestry are mainly driven by variations in rates of harvesting and deforestation in production forests, due to historically variable rates of new forest plantings. Historical planting peaks and the resulting harvest and replanting cycles will affect New Zealand’s plantation forestry emissions and removals profile far into the future.</w:t>
      </w:r>
    </w:p>
    <w:p w14:paraId="569F4827" w14:textId="2BD49D05" w:rsidR="00D61191" w:rsidRPr="004C2091" w:rsidRDefault="00D61191" w:rsidP="00D61191">
      <w:pPr>
        <w:pStyle w:val="BodyText"/>
      </w:pPr>
      <w:r w:rsidRPr="004C2091">
        <w:rPr>
          <w:rFonts w:cs="Calibri"/>
        </w:rPr>
        <w:t>Forest planting rates were particularly high in the 1980s and 1990s (</w:t>
      </w:r>
      <w:hyperlink w:anchor="figure216" w:history="1">
        <w:r w:rsidRPr="009953E6">
          <w:rPr>
            <w:rStyle w:val="Hyperlink"/>
            <w:rFonts w:cs="Calibri"/>
          </w:rPr>
          <w:t>figure 2.1.6</w:t>
        </w:r>
      </w:hyperlink>
      <w:r w:rsidRPr="004C2091">
        <w:rPr>
          <w:rFonts w:cs="Calibri"/>
        </w:rPr>
        <w:t xml:space="preserve">). This followed </w:t>
      </w:r>
      <w:r w:rsidRPr="004C2091">
        <w:t>on from a change in the taxation regime; an unprecedented price spike for forest products and subsequent favourable publicity; a Government focus on forestry as an instrument for regional development; and the conclusion of the state forest assets sale. The removal of agricultural subsidies and generally poor performance of the New Zealand and international share markets also encouraged investors to seek alternative sectors for investment.</w:t>
      </w:r>
      <w:r w:rsidRPr="004C2091">
        <w:rPr>
          <w:rStyle w:val="FootnoteReference"/>
          <w:rFonts w:eastAsiaTheme="majorEastAsia"/>
        </w:rPr>
        <w:footnoteReference w:id="91"/>
      </w:r>
      <w:r w:rsidRPr="004C2091">
        <w:t xml:space="preserve"> After the late 1990s, the rate of planting declined. The increase in planting between 2008 and 2012 is largely due to the first Afforestation Grant Scheme and market-based measures for forest carbon (the New Zealand Emissions Trading Scheme (NZ ETS) and the Permanent Forest Sink Initiative), which were introduced by the New Zealand Government to encourage the planting of new forests and the regeneration of natural</w:t>
      </w:r>
      <w:r w:rsidRPr="004C2091">
        <w:rPr>
          <w:rFonts w:cs="Calibri"/>
        </w:rPr>
        <w:t xml:space="preserve"> forests.</w:t>
      </w:r>
    </w:p>
    <w:p w14:paraId="379FDD3B" w14:textId="486748F6" w:rsidR="00D61191" w:rsidRPr="004C2091" w:rsidRDefault="00D61191" w:rsidP="00201256">
      <w:pPr>
        <w:pStyle w:val="Figureheading"/>
      </w:pPr>
      <w:bookmarkStart w:id="153" w:name="figure216"/>
      <w:bookmarkStart w:id="154" w:name="_Toc185347240"/>
      <w:r w:rsidRPr="004C2091">
        <w:t>Figure 2.1.</w:t>
      </w:r>
      <w:r w:rsidR="002326F8">
        <w:t>6</w:t>
      </w:r>
      <w:bookmarkEnd w:id="153"/>
      <w:r w:rsidRPr="004C2091">
        <w:t>:</w:t>
      </w:r>
      <w:r w:rsidRPr="004C2091">
        <w:tab/>
        <w:t xml:space="preserve">New Zealand’s historical new production forest planting (thousand hectares), </w:t>
      </w:r>
      <w:r w:rsidRPr="004C2091">
        <w:br/>
        <w:t>1920–2022</w:t>
      </w:r>
      <w:bookmarkEnd w:id="154"/>
      <w:r w:rsidRPr="004C2091">
        <w:t xml:space="preserve"> </w:t>
      </w:r>
    </w:p>
    <w:p w14:paraId="0AF6EAD7" w14:textId="5324ACA3" w:rsidR="00D61191" w:rsidRPr="004C2091" w:rsidRDefault="00D61191" w:rsidP="00D61191">
      <w:pPr>
        <w:pStyle w:val="BodyText"/>
      </w:pPr>
      <w:r w:rsidRPr="004C2091">
        <w:rPr>
          <w:noProof/>
        </w:rPr>
        <w:drawing>
          <wp:inline distT="0" distB="0" distL="0" distR="0" wp14:anchorId="4A1440E8" wp14:editId="6FF7839A">
            <wp:extent cx="5352586" cy="2601086"/>
            <wp:effectExtent l="0" t="0" r="635" b="8890"/>
            <wp:docPr id="1558098749" name="Picture 1558098749" descr="A line graph showing New Zealand’s historical new production forest planting in thousand hectares for the period 1920 t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8749" name="Picture 1558098749" descr="A line graph showing New Zealand’s historical new production forest planting in thousand hectares for the period 1920 to 2022."/>
                    <pic:cNvPicPr/>
                  </pic:nvPicPr>
                  <pic:blipFill>
                    <a:blip r:embed="rId60"/>
                    <a:stretch>
                      <a:fillRect/>
                    </a:stretch>
                  </pic:blipFill>
                  <pic:spPr>
                    <a:xfrm>
                      <a:off x="0" y="0"/>
                      <a:ext cx="5354263" cy="2601901"/>
                    </a:xfrm>
                    <a:prstGeom prst="rect">
                      <a:avLst/>
                    </a:prstGeom>
                  </pic:spPr>
                </pic:pic>
              </a:graphicData>
            </a:graphic>
          </wp:inline>
        </w:drawing>
      </w:r>
    </w:p>
    <w:p w14:paraId="3D9BFBBE" w14:textId="77777777" w:rsidR="00D61191" w:rsidRPr="004C2091" w:rsidRDefault="00D61191" w:rsidP="00D61191">
      <w:pPr>
        <w:pStyle w:val="Note"/>
        <w:spacing w:before="0"/>
      </w:pPr>
      <w:r w:rsidRPr="004C2091">
        <w:rPr>
          <w:b/>
          <w:bCs/>
        </w:rPr>
        <w:t>Note:</w:t>
      </w:r>
      <w:r w:rsidRPr="004C2091">
        <w:t xml:space="preserve"> ha = hectares, P = provisional </w:t>
      </w:r>
    </w:p>
    <w:p w14:paraId="2415865C" w14:textId="77777777" w:rsidR="00D61191" w:rsidRPr="004C2091" w:rsidRDefault="00D61191" w:rsidP="00D61191">
      <w:pPr>
        <w:pStyle w:val="Source"/>
        <w:spacing w:before="0"/>
      </w:pPr>
      <w:r w:rsidRPr="004C2091">
        <w:t xml:space="preserve">Source: Ministry for Primary Industries. </w:t>
      </w:r>
      <w:r w:rsidRPr="004C2091">
        <w:rPr>
          <w:i/>
          <w:iCs/>
        </w:rPr>
        <w:t xml:space="preserve">National Exotic Forest Description as at 1 April 2023. </w:t>
      </w:r>
      <w:r w:rsidRPr="004C2091">
        <w:t>Wellington: Ministry for Primary Industries. p 15.</w:t>
      </w:r>
    </w:p>
    <w:p w14:paraId="68D04532" w14:textId="77777777" w:rsidR="00D61191" w:rsidRPr="004C2091" w:rsidRDefault="00D61191" w:rsidP="00D61191">
      <w:pPr>
        <w:pStyle w:val="BodyText"/>
        <w:rPr>
          <w:rFonts w:cs="Calibri"/>
        </w:rPr>
      </w:pPr>
      <w:r w:rsidRPr="004C2091">
        <w:rPr>
          <w:rFonts w:cs="Calibri"/>
        </w:rPr>
        <w:t>Between 2013 and 2018, new forest planting rates dropped back to pre-2008 levels.</w:t>
      </w:r>
      <w:r w:rsidRPr="004C2091">
        <w:rPr>
          <w:rStyle w:val="FootnoteReference"/>
          <w:rFonts w:cs="Calibri"/>
        </w:rPr>
        <w:footnoteReference w:id="92"/>
      </w:r>
      <w:r w:rsidRPr="004C2091">
        <w:rPr>
          <w:rFonts w:cs="Calibri"/>
        </w:rPr>
        <w:t xml:space="preserve"> This is likely due in part to a significant drop in the price of carbon in the NZ ETS and the increase in profitability of other non-forest land uses. In 2019 and 2020, afforestation and reforestation activities significantly increased again, with 27,070 ha of new planting occurring in 2019 and 40,887 ha in 2020. The probable reasons for this increase are the planting of seedlings funded by the One Billion Trees Fund and the higher carbon prices in the NZ ETS that resulted from the announcements leading up to the Climate Change Response (Emissions Trading Reform) Amendment Bill and its passing in June 2020. </w:t>
      </w:r>
      <w:r w:rsidRPr="004C2091">
        <w:t xml:space="preserve">Since these amendments were enacted, </w:t>
      </w:r>
      <w:r w:rsidRPr="004C2091">
        <w:rPr>
          <w:spacing w:val="-2"/>
        </w:rPr>
        <w:t xml:space="preserve">rapidly rising carbon prices have increased the financial incentive to plant </w:t>
      </w:r>
      <w:r w:rsidRPr="004C2091">
        <w:t xml:space="preserve">exotic forests. High rates of </w:t>
      </w:r>
      <w:r w:rsidRPr="004C2091">
        <w:rPr>
          <w:rFonts w:cs="Calibri"/>
        </w:rPr>
        <w:t>afforestation and reforestation activities have continued into the early 2020s</w:t>
      </w:r>
      <w:r w:rsidRPr="004C2091">
        <w:t>.</w:t>
      </w:r>
    </w:p>
    <w:p w14:paraId="18FB7DD6" w14:textId="77777777" w:rsidR="00D61191" w:rsidRPr="004C2091" w:rsidRDefault="00D61191" w:rsidP="00EA02DE">
      <w:pPr>
        <w:pStyle w:val="Heading3"/>
        <w:numPr>
          <w:ilvl w:val="0"/>
          <w:numId w:val="49"/>
        </w:numPr>
      </w:pPr>
      <w:bookmarkStart w:id="155" w:name="_Toc169616345"/>
      <w:bookmarkStart w:id="156" w:name="_Toc169620049"/>
      <w:bookmarkStart w:id="157" w:name="_Toc172793961"/>
      <w:r w:rsidRPr="004C2091">
        <w:t>Waste</w:t>
      </w:r>
      <w:bookmarkEnd w:id="155"/>
      <w:bookmarkEnd w:id="156"/>
      <w:bookmarkEnd w:id="157"/>
    </w:p>
    <w:p w14:paraId="03173916" w14:textId="3060417F" w:rsidR="00D61191" w:rsidRPr="004C2091" w:rsidRDefault="00D61191" w:rsidP="00D61191">
      <w:pPr>
        <w:pStyle w:val="BodyText"/>
      </w:pPr>
      <w:r w:rsidRPr="004C2091">
        <w:rPr>
          <w:color w:val="000000" w:themeColor="text1"/>
        </w:rPr>
        <w:t xml:space="preserve">New Zealand’s </w:t>
      </w:r>
      <w:r w:rsidR="00744C59">
        <w:rPr>
          <w:color w:val="000000" w:themeColor="text1"/>
        </w:rPr>
        <w:t>W</w:t>
      </w:r>
      <w:r w:rsidRPr="004C2091">
        <w:rPr>
          <w:color w:val="000000" w:themeColor="text1"/>
        </w:rPr>
        <w:t xml:space="preserve">aste sector is relatively small, contributing 4.5 per cent of the country’s gross emissions in 2022. </w:t>
      </w:r>
      <w:r w:rsidRPr="004C2091">
        <w:t>New Zealand generates an estimated 17.5 million tonnes of waste per year, of which an estimated 12.6 million tonnes are sent to landfill.</w:t>
      </w:r>
      <w:r w:rsidRPr="004C2091">
        <w:rPr>
          <w:rStyle w:val="FootnoteReference"/>
        </w:rPr>
        <w:footnoteReference w:id="93"/>
      </w:r>
      <w:r w:rsidRPr="004C2091">
        <w:t xml:space="preserve"> </w:t>
      </w:r>
    </w:p>
    <w:p w14:paraId="2CF5B944" w14:textId="7E99D277" w:rsidR="00D61191" w:rsidRPr="004C2091" w:rsidRDefault="00D61191" w:rsidP="00D61191">
      <w:pPr>
        <w:pStyle w:val="BodyText"/>
        <w:rPr>
          <w:rFonts w:eastAsia="Times New Roman" w:cs="Calibri"/>
        </w:rPr>
      </w:pPr>
      <w:r w:rsidRPr="004C2091">
        <w:rPr>
          <w:rFonts w:eastAsia="Times New Roman" w:cs="Calibri"/>
        </w:rPr>
        <w:t>Waste sent to Class 1 landfills (landfills that accept household waste) increased by 39 per cent from 2.5 million tonnes in 2010 to 3.5 million tonnes in 2023.</w:t>
      </w:r>
      <w:r w:rsidRPr="004C2091">
        <w:rPr>
          <w:rStyle w:val="FootnoteReference"/>
          <w:rFonts w:eastAsia="Times New Roman" w:cs="Calibri"/>
        </w:rPr>
        <w:footnoteReference w:id="94"/>
      </w:r>
      <w:r w:rsidRPr="004C2091">
        <w:rPr>
          <w:rFonts w:eastAsia="Times New Roman" w:cs="Calibri"/>
        </w:rPr>
        <w:t xml:space="preserve"> There was a decrease in waste sent to Class 1 landfills in 2019 and 2020, likely influenced in part by the COVID-19 pandemic and the associated economic recession, as waste volumes often correlate with GDP trends. Since then, in 2021 and 2022, waste sent to landfill increased to 3.6 million tonnes, before decreasing slightly again to 3.5 million tonnes in 2023 (</w:t>
      </w:r>
      <w:hyperlink w:anchor="figure217" w:history="1">
        <w:r w:rsidRPr="00744C59">
          <w:rPr>
            <w:rStyle w:val="Hyperlink"/>
            <w:rFonts w:eastAsia="Times New Roman" w:cs="Calibri"/>
          </w:rPr>
          <w:t>figure 2.1.7</w:t>
        </w:r>
      </w:hyperlink>
      <w:r w:rsidRPr="004C2091">
        <w:rPr>
          <w:rFonts w:eastAsia="Times New Roman" w:cs="Calibri"/>
        </w:rPr>
        <w:t>). The per capita generation of municipal waste sent to Class 1 landfills follows the trend observed in total waste disposal. It</w:t>
      </w:r>
      <w:r w:rsidR="008408D3">
        <w:rPr>
          <w:rFonts w:eastAsia="Times New Roman" w:cs="Calibri"/>
        </w:rPr>
        <w:t> </w:t>
      </w:r>
      <w:r w:rsidRPr="004C2091">
        <w:rPr>
          <w:rFonts w:eastAsia="Times New Roman" w:cs="Calibri"/>
        </w:rPr>
        <w:t>peaked at 755 kilograms (kg) per capita in 2018, decreased to 665 kg per capita in 2020, and rose slightly to 668 kg per capita in 2023.</w:t>
      </w:r>
      <w:r w:rsidRPr="004C2091">
        <w:rPr>
          <w:rStyle w:val="FootnoteReference"/>
          <w:rFonts w:eastAsia="Times New Roman" w:cs="Calibri"/>
        </w:rPr>
        <w:footnoteReference w:id="95"/>
      </w:r>
    </w:p>
    <w:p w14:paraId="69D128FD" w14:textId="2D1DD67B" w:rsidR="00D61191" w:rsidRPr="004C2091" w:rsidRDefault="00D61191" w:rsidP="00201256">
      <w:pPr>
        <w:pStyle w:val="Figureheading"/>
        <w:rPr>
          <w:rFonts w:ascii="Segoe UI" w:hAnsi="Segoe UI" w:cs="Segoe UI"/>
        </w:rPr>
      </w:pPr>
      <w:bookmarkStart w:id="158" w:name="figure217"/>
      <w:bookmarkStart w:id="159" w:name="_Toc185347241"/>
      <w:r w:rsidRPr="004C2091">
        <w:t>Figure 2.1.</w:t>
      </w:r>
      <w:r w:rsidR="002326F8">
        <w:t>7</w:t>
      </w:r>
      <w:bookmarkEnd w:id="158"/>
      <w:r w:rsidRPr="004C2091">
        <w:t>:</w:t>
      </w:r>
      <w:r w:rsidRPr="004C2091">
        <w:tab/>
        <w:t>Total tonnage of waste to Class 1 landfills, 2010–</w:t>
      </w:r>
      <w:r w:rsidRPr="004C2091" w:rsidDel="00713732">
        <w:t>20</w:t>
      </w:r>
      <w:r w:rsidRPr="004C2091">
        <w:t>23</w:t>
      </w:r>
      <w:bookmarkEnd w:id="159"/>
      <w:r w:rsidRPr="004C2091">
        <w:t xml:space="preserve"> </w:t>
      </w:r>
    </w:p>
    <w:p w14:paraId="181E671A" w14:textId="77777777" w:rsidR="00D61191" w:rsidRPr="004C2091" w:rsidRDefault="00D61191" w:rsidP="00D61191">
      <w:pPr>
        <w:pStyle w:val="BodyText"/>
      </w:pPr>
      <w:r w:rsidRPr="004C2091">
        <w:rPr>
          <w:noProof/>
        </w:rPr>
        <w:drawing>
          <wp:inline distT="0" distB="0" distL="0" distR="0" wp14:anchorId="68E1497A" wp14:editId="61057DFA">
            <wp:extent cx="5400000" cy="2383687"/>
            <wp:effectExtent l="0" t="0" r="0" b="0"/>
            <wp:docPr id="1824551806" name="Picture 3" descr="A bar graph showing the total tonnage of waste sent to Class 1 landfills (landfills that accept household waste) between 2010 and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551806" name="Picture 3" descr="A bar graph showing the total tonnage of waste sent to Class 1 landfills (landfills that accept household waste) between 2010 and 2023."/>
                    <pic:cNvPicPr>
                      <a:picLocks noChangeAspect="1" noChangeArrowheads="1"/>
                    </pic:cNvPicPr>
                  </pic:nvPicPr>
                  <pic:blipFill rotWithShape="1">
                    <a:blip r:embed="rId61">
                      <a:extLst>
                        <a:ext uri="{28A0092B-C50C-407E-A947-70E740481C1C}">
                          <a14:useLocalDpi xmlns:a14="http://schemas.microsoft.com/office/drawing/2010/main" val="0"/>
                        </a:ext>
                      </a:extLst>
                    </a:blip>
                    <a:srcRect b="5453"/>
                    <a:stretch/>
                  </pic:blipFill>
                  <pic:spPr bwMode="auto">
                    <a:xfrm>
                      <a:off x="0" y="0"/>
                      <a:ext cx="5400000" cy="2383687"/>
                    </a:xfrm>
                    <a:prstGeom prst="rect">
                      <a:avLst/>
                    </a:prstGeom>
                    <a:noFill/>
                    <a:ln>
                      <a:noFill/>
                    </a:ln>
                    <a:extLst>
                      <a:ext uri="{53640926-AAD7-44D8-BBD7-CCE9431645EC}">
                        <a14:shadowObscured xmlns:a14="http://schemas.microsoft.com/office/drawing/2010/main"/>
                      </a:ext>
                    </a:extLst>
                  </pic:spPr>
                </pic:pic>
              </a:graphicData>
            </a:graphic>
          </wp:inline>
        </w:drawing>
      </w:r>
    </w:p>
    <w:p w14:paraId="61660737" w14:textId="77777777" w:rsidR="00D61191" w:rsidRPr="004C2091" w:rsidRDefault="00D61191" w:rsidP="00D61191">
      <w:pPr>
        <w:pStyle w:val="Source"/>
        <w:spacing w:before="80"/>
      </w:pPr>
      <w:r w:rsidRPr="004C2091">
        <w:t xml:space="preserve">Source: Ministry for the Environment. 2024. </w:t>
      </w:r>
      <w:hyperlink r:id="rId62" w:history="1">
        <w:r w:rsidRPr="004C2091">
          <w:rPr>
            <w:rStyle w:val="Hyperlink"/>
            <w:i/>
            <w:iCs/>
          </w:rPr>
          <w:t>Download Waste Data</w:t>
        </w:r>
      </w:hyperlink>
      <w:r w:rsidRPr="004C2091">
        <w:t>.</w:t>
      </w:r>
    </w:p>
    <w:p w14:paraId="222FC0B8" w14:textId="6EAFE2CC" w:rsidR="00D61191" w:rsidRPr="004C2091" w:rsidRDefault="00D61191" w:rsidP="00D61191">
      <w:pPr>
        <w:pStyle w:val="BodyText"/>
        <w:rPr>
          <w:rFonts w:eastAsia="Times New Roman" w:cs="Calibri"/>
        </w:rPr>
      </w:pPr>
      <w:r w:rsidRPr="00727635">
        <w:rPr>
          <w:rFonts w:eastAsia="Times New Roman" w:cs="Calibri"/>
        </w:rPr>
        <w:t>Solid waste management</w:t>
      </w:r>
      <w:r w:rsidRPr="004C2091">
        <w:rPr>
          <w:rFonts w:eastAsia="Times New Roman" w:cs="Calibri"/>
        </w:rPr>
        <w:t xml:space="preserve"> in New Zealand can follow different pathways, including disposal to landfills, diversion to compost and anaerobic digestion facilities, and recycling. No incineration of municipal waste occurs at landfill facilities, and incineration is only used on a very small scale for hazardous and clinical waste. The majority of the solid waste disposed of at municipal landfill consists of inert waste (57 per cent) and wood waste (13 per cent) (</w:t>
      </w:r>
      <w:hyperlink w:anchor="figure218" w:history="1">
        <w:r w:rsidRPr="00B9480F">
          <w:rPr>
            <w:rStyle w:val="Hyperlink"/>
            <w:rFonts w:eastAsia="Times New Roman" w:cs="Calibri"/>
          </w:rPr>
          <w:t>figure 2.1.8</w:t>
        </w:r>
      </w:hyperlink>
      <w:r w:rsidRPr="004C2091">
        <w:rPr>
          <w:rFonts w:eastAsia="Times New Roman" w:cs="Calibri"/>
        </w:rPr>
        <w:t>).</w:t>
      </w:r>
    </w:p>
    <w:p w14:paraId="1D01105D" w14:textId="77777777" w:rsidR="00D61191" w:rsidRPr="004C2091" w:rsidRDefault="00D61191" w:rsidP="00D61191">
      <w:pPr>
        <w:pStyle w:val="BodyText"/>
      </w:pPr>
      <w:r w:rsidRPr="004C2091">
        <w:t>The Waste Minimisation Act 2008 introduced a levy on all waste disposed of in municipal landfills. Changes made in 2021 have progressively applied the levy to a wider range of landfill types. The funding from this levy helps local government, communities and businesses to reduce waste. The Waste Minimisation Act 2008 also contains requirements for reporting of waste tonnage and accreditation for product stewardship schemes, as well as clarifying the roles and responsibilities of territorial authorities.</w:t>
      </w:r>
    </w:p>
    <w:p w14:paraId="4CDD7821" w14:textId="77777777" w:rsidR="00D61191" w:rsidRPr="004C2091" w:rsidRDefault="00D61191" w:rsidP="00D61191">
      <w:pPr>
        <w:pStyle w:val="BodyText"/>
      </w:pPr>
      <w:r w:rsidRPr="004C2091">
        <w:t>Wastewater from almost every town in New Zealand with a population over 1,000 is collected and treated in community wastewater treatment plants. The country has approximately 317 wastewater treatment plants.</w:t>
      </w:r>
      <w:r w:rsidRPr="004C2091">
        <w:rPr>
          <w:rStyle w:val="FootnoteReference"/>
          <w:rFonts w:eastAsiaTheme="majorEastAsia" w:cs="Calibri"/>
        </w:rPr>
        <w:footnoteReference w:id="96"/>
      </w:r>
      <w:r w:rsidRPr="004C2091">
        <w:t xml:space="preserve"> Most of the treatment processes are aerobic, but a significant number of plants use partially anaerobic processes such as oxidation ponds or septic tanks. Small communities and rural dwellings are generally served by simple septic tanks followed by ground soakage trenches.</w:t>
      </w:r>
      <w:r w:rsidRPr="004C2091">
        <w:rPr>
          <w:rStyle w:val="FootnoteReference"/>
          <w:rFonts w:eastAsiaTheme="majorEastAsia" w:cs="Calibri"/>
        </w:rPr>
        <w:footnoteReference w:id="97"/>
      </w:r>
    </w:p>
    <w:p w14:paraId="67567A9A" w14:textId="6D79614E" w:rsidR="00D61191" w:rsidRPr="004C2091" w:rsidRDefault="00D61191" w:rsidP="00D61191">
      <w:pPr>
        <w:pStyle w:val="BodyText"/>
      </w:pPr>
      <w:r w:rsidRPr="004C2091">
        <w:t xml:space="preserve">Between 1990 and 2022, emissions from the </w:t>
      </w:r>
      <w:r w:rsidR="0085672A">
        <w:t>W</w:t>
      </w:r>
      <w:r w:rsidRPr="004C2091">
        <w:t>aste sector declined by 19.8 per cent overall. This was the only gross emissions sector to have a decrease in emissions between 1990 and 2022. The reduction in emissions is primarily the result of increased CH</w:t>
      </w:r>
      <w:r w:rsidRPr="004C2091">
        <w:rPr>
          <w:vertAlign w:val="subscript"/>
        </w:rPr>
        <w:t>4</w:t>
      </w:r>
      <w:r w:rsidRPr="004C2091">
        <w:t xml:space="preserve"> emission recovery through the installation of landfill gas capture infrastructure at large municipal landfills</w:t>
      </w:r>
      <w:r w:rsidR="00B8755C">
        <w:t>. This was</w:t>
      </w:r>
      <w:r w:rsidRPr="004C2091">
        <w:t xml:space="preserve"> driven by the National Environmental Standards for Air Quality in 2004, and by the NZ ETS since 2013.</w:t>
      </w:r>
    </w:p>
    <w:p w14:paraId="7BAA665E" w14:textId="09ADED59" w:rsidR="00D61191" w:rsidRPr="004C2091" w:rsidRDefault="00D61191" w:rsidP="00D61191">
      <w:pPr>
        <w:pStyle w:val="BodyText"/>
        <w:rPr>
          <w:rFonts w:cs="Calibri"/>
        </w:rPr>
      </w:pPr>
      <w:r w:rsidRPr="004C2091">
        <w:rPr>
          <w:rFonts w:eastAsiaTheme="majorEastAsia" w:cs="Calibri"/>
        </w:rPr>
        <w:t xml:space="preserve">During the period 1990–2022, despite an overall decline, there was a peak in annual emissions </w:t>
      </w:r>
      <w:r w:rsidR="00E35460">
        <w:rPr>
          <w:rFonts w:eastAsiaTheme="majorEastAsia" w:cs="Calibri"/>
        </w:rPr>
        <w:t xml:space="preserve">from the Waste sector </w:t>
      </w:r>
      <w:r w:rsidRPr="004C2091">
        <w:rPr>
          <w:rFonts w:eastAsiaTheme="majorEastAsia" w:cs="Calibri"/>
        </w:rPr>
        <w:t>because of the ongoing growth in population and economic activity. Since 2005, annual emissions have steadily declined. This is mainly due to ongoing improvements in managing solid waste disposal at municipal landfills, particularly in landfill gas recovery.</w:t>
      </w:r>
      <w:r w:rsidRPr="004C2091">
        <w:rPr>
          <w:rStyle w:val="FootnoteReference"/>
          <w:rFonts w:eastAsiaTheme="majorEastAsia" w:cs="Calibri"/>
        </w:rPr>
        <w:footnoteReference w:id="98"/>
      </w:r>
      <w:r w:rsidRPr="004C2091">
        <w:rPr>
          <w:rFonts w:eastAsiaTheme="majorEastAsia" w:cs="Calibri"/>
        </w:rPr>
        <w:t xml:space="preserve"> This decline in emissions has occurred despite ongoing population growth and the resulting increases in the amount of municipal waste generated. Emissions in the </w:t>
      </w:r>
      <w:r w:rsidR="00E35460">
        <w:rPr>
          <w:rFonts w:eastAsiaTheme="majorEastAsia" w:cs="Calibri"/>
        </w:rPr>
        <w:t>W</w:t>
      </w:r>
      <w:r w:rsidRPr="004C2091">
        <w:rPr>
          <w:rFonts w:eastAsiaTheme="majorEastAsia" w:cs="Calibri"/>
        </w:rPr>
        <w:t>aste sector were from solid waste disposal (81.3 per cent), wastewater (11.3 per cent), incineration (5.2 per cent) and composting (2.2 per cent).</w:t>
      </w:r>
      <w:r w:rsidRPr="004C2091">
        <w:rPr>
          <w:rStyle w:val="FootnoteReference"/>
          <w:rFonts w:eastAsiaTheme="majorEastAsia" w:cs="Calibri"/>
        </w:rPr>
        <w:footnoteReference w:id="99"/>
      </w:r>
    </w:p>
    <w:p w14:paraId="2846F440" w14:textId="77777777" w:rsidR="00191CE8" w:rsidRDefault="00D61191" w:rsidP="00201256">
      <w:pPr>
        <w:pStyle w:val="Figureheading"/>
      </w:pPr>
      <w:bookmarkStart w:id="160" w:name="figure218"/>
      <w:bookmarkStart w:id="161" w:name="_Toc185347242"/>
      <w:r w:rsidRPr="004C2091">
        <w:t>Figure 2.1.</w:t>
      </w:r>
      <w:r w:rsidR="002326F8">
        <w:t>8</w:t>
      </w:r>
      <w:bookmarkEnd w:id="160"/>
      <w:r w:rsidRPr="004C2091">
        <w:t>:</w:t>
      </w:r>
      <w:r w:rsidRPr="004C2091">
        <w:tab/>
        <w:t>Estimate</w:t>
      </w:r>
      <w:r w:rsidR="00710363">
        <w:t xml:space="preserve">d composition of New Zealand’s municipal waste, </w:t>
      </w:r>
      <w:r w:rsidRPr="004C2091">
        <w:t>2018–</w:t>
      </w:r>
      <w:r w:rsidRPr="004C2091" w:rsidDel="009549BE">
        <w:t>20</w:t>
      </w:r>
      <w:r w:rsidRPr="004C2091">
        <w:t>22</w:t>
      </w:r>
      <w:bookmarkEnd w:id="161"/>
    </w:p>
    <w:p w14:paraId="53263116" w14:textId="2F2B396E" w:rsidR="00D61191" w:rsidRPr="004C2091" w:rsidRDefault="00191CE8" w:rsidP="00642E32">
      <w:pPr>
        <w:pStyle w:val="BodyText"/>
        <w:jc w:val="center"/>
      </w:pPr>
      <w:r w:rsidRPr="00191CE8">
        <w:drawing>
          <wp:inline distT="0" distB="0" distL="0" distR="0" wp14:anchorId="29008F8A" wp14:editId="4E6C08B7">
            <wp:extent cx="3994912" cy="2590800"/>
            <wp:effectExtent l="0" t="0" r="5715" b="0"/>
            <wp:docPr id="1414119760" name="Picture 1" descr="A bar graph showing the estimated composition of New Zealand’s municipal waste from 2018 to 2022. The categories of waste are nappies, sludge, textile, paper, garden, food, wood and inert. Inert waste is waste that neither produces greenhouse gases nor decom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19760" name="Picture 1" descr="A bar graph showing the estimated composition of New Zealand’s municipal waste from 2018 to 2022. The categories of waste are nappies, sludge, textile, paper, garden, food, wood and inert. Inert waste is waste that neither produces greenhouse gases nor decomposes."/>
                    <pic:cNvPicPr/>
                  </pic:nvPicPr>
                  <pic:blipFill rotWithShape="1">
                    <a:blip r:embed="rId63"/>
                    <a:srcRect t="851"/>
                    <a:stretch/>
                  </pic:blipFill>
                  <pic:spPr bwMode="auto">
                    <a:xfrm>
                      <a:off x="0" y="0"/>
                      <a:ext cx="4002253" cy="2595561"/>
                    </a:xfrm>
                    <a:prstGeom prst="rect">
                      <a:avLst/>
                    </a:prstGeom>
                    <a:noFill/>
                    <a:ln>
                      <a:noFill/>
                    </a:ln>
                    <a:extLst>
                      <a:ext uri="{53640926-AAD7-44D8-BBD7-CCE9431645EC}">
                        <a14:shadowObscured xmlns:a14="http://schemas.microsoft.com/office/drawing/2010/main"/>
                      </a:ext>
                    </a:extLst>
                  </pic:spPr>
                </pic:pic>
              </a:graphicData>
            </a:graphic>
          </wp:inline>
        </w:drawing>
      </w:r>
    </w:p>
    <w:p w14:paraId="6388BAD2" w14:textId="437B61E9" w:rsidR="00D61191" w:rsidRPr="004C2091" w:rsidRDefault="00D61191" w:rsidP="00191CE8">
      <w:pPr>
        <w:pStyle w:val="Noteundertable"/>
      </w:pPr>
      <w:r w:rsidRPr="004C2091">
        <w:rPr>
          <w:b/>
        </w:rPr>
        <w:t>Note:</w:t>
      </w:r>
      <w:r w:rsidRPr="004C2091">
        <w:t xml:space="preserve"> *Waste that neither produces greenhouse gases nor decomposes.</w:t>
      </w:r>
    </w:p>
    <w:p w14:paraId="0F73EDB9" w14:textId="77777777" w:rsidR="00D61191" w:rsidRPr="004C2091" w:rsidRDefault="00D61191" w:rsidP="00D61191">
      <w:pPr>
        <w:pStyle w:val="Source"/>
        <w:spacing w:before="0"/>
        <w:rPr>
          <w:szCs w:val="18"/>
        </w:rPr>
      </w:pPr>
      <w:r w:rsidRPr="004C2091">
        <w:t xml:space="preserve">Source: Ministry for the Environment. 2024. </w:t>
      </w:r>
      <w:r w:rsidRPr="004C2091">
        <w:rPr>
          <w:i/>
          <w:iCs/>
        </w:rPr>
        <w:t xml:space="preserve">New Zealand’s Greenhouse Gas Inventory 1990–2022. </w:t>
      </w:r>
      <w:r w:rsidRPr="004C2091">
        <w:t xml:space="preserve">Wellington: Ministry for the Environment. Estimates based on surveys conducted in 2012. </w:t>
      </w:r>
    </w:p>
    <w:p w14:paraId="6D73871B" w14:textId="77777777" w:rsidR="00D61191" w:rsidRPr="004C2091" w:rsidRDefault="00D61191" w:rsidP="00EA02DE">
      <w:pPr>
        <w:pStyle w:val="Heading3"/>
        <w:numPr>
          <w:ilvl w:val="0"/>
          <w:numId w:val="49"/>
        </w:numPr>
      </w:pPr>
      <w:bookmarkStart w:id="162" w:name="_Toc169616346"/>
      <w:bookmarkStart w:id="163" w:name="_Toc169620050"/>
      <w:bookmarkStart w:id="164" w:name="_Toc172793962"/>
      <w:r w:rsidRPr="004C2091">
        <w:t>Buildings and urban structure</w:t>
      </w:r>
      <w:bookmarkEnd w:id="162"/>
      <w:bookmarkEnd w:id="163"/>
      <w:bookmarkEnd w:id="164"/>
    </w:p>
    <w:p w14:paraId="0412F9CB" w14:textId="77777777" w:rsidR="00D61191" w:rsidRPr="004C2091" w:rsidRDefault="00D61191" w:rsidP="00D61191">
      <w:pPr>
        <w:pStyle w:val="BodyText"/>
        <w:rPr>
          <w:rFonts w:eastAsiaTheme="majorEastAsia" w:cs="Calibri"/>
        </w:rPr>
      </w:pPr>
      <w:r w:rsidRPr="004C2091">
        <w:rPr>
          <w:rFonts w:eastAsiaTheme="majorEastAsia" w:cs="Calibri"/>
        </w:rPr>
        <w:t>The 2018</w:t>
      </w:r>
      <w:r w:rsidRPr="004C2091">
        <w:rPr>
          <w:rStyle w:val="FootnoteReference"/>
          <w:rFonts w:eastAsiaTheme="majorEastAsia" w:cs="Calibri"/>
        </w:rPr>
        <w:footnoteReference w:id="100"/>
      </w:r>
      <w:r w:rsidRPr="004C2091">
        <w:rPr>
          <w:rFonts w:eastAsiaTheme="majorEastAsia" w:cs="Calibri"/>
        </w:rPr>
        <w:t xml:space="preserve"> New Zealand Census of Population and Dwellings (census) recorded New Zealand has almost 1.</w:t>
      </w:r>
      <w:r w:rsidRPr="004C2091" w:rsidDel="00F02720">
        <w:rPr>
          <w:rFonts w:eastAsiaTheme="majorEastAsia" w:cs="Calibri"/>
        </w:rPr>
        <w:t>7</w:t>
      </w:r>
      <w:r w:rsidRPr="004C2091">
        <w:rPr>
          <w:rFonts w:eastAsiaTheme="majorEastAsia" w:cs="Calibri"/>
        </w:rPr>
        <w:t> million occupied dwellings (of which about 9,600 were non-private dwellings) and approximately 191,600 unoccupied private dwellings.</w:t>
      </w:r>
      <w:r w:rsidRPr="004C2091">
        <w:rPr>
          <w:rStyle w:val="FootnoteReference"/>
          <w:rFonts w:eastAsiaTheme="majorEastAsia" w:cs="Calibri"/>
        </w:rPr>
        <w:footnoteReference w:id="101"/>
      </w:r>
      <w:r w:rsidRPr="004C2091">
        <w:rPr>
          <w:rFonts w:eastAsiaTheme="majorEastAsia" w:cs="Calibri"/>
          <w:vertAlign w:val="superscript"/>
        </w:rPr>
        <w:t>,</w:t>
      </w:r>
      <w:r w:rsidRPr="004C2091">
        <w:rPr>
          <w:rFonts w:eastAsiaTheme="majorEastAsia" w:cs="Calibri"/>
        </w:rPr>
        <w:t xml:space="preserve"> </w:t>
      </w:r>
      <w:r w:rsidRPr="004C2091">
        <w:rPr>
          <w:rStyle w:val="FootnoteReference"/>
          <w:rFonts w:eastAsiaTheme="majorEastAsia" w:cs="Calibri"/>
        </w:rPr>
        <w:footnoteReference w:id="102"/>
      </w:r>
      <w:r w:rsidRPr="004C2091">
        <w:rPr>
          <w:rFonts w:eastAsiaTheme="majorEastAsia" w:cs="Calibri"/>
        </w:rPr>
        <w:t xml:space="preserve"> The majority (83.6 per cent) of occupied private and non-private dwellings were separate houses, 15.1 per cent were two or more flats or apartments joined together, and the remaining 1.2 per cent were a mixture of other types of dwellings, including holiday homes, mobile homes, improvised dwellings and non-private occupied dwellings.</w:t>
      </w:r>
      <w:r w:rsidRPr="004C2091">
        <w:rPr>
          <w:rStyle w:val="FootnoteReference"/>
          <w:rFonts w:eastAsiaTheme="majorEastAsia" w:cs="Calibri"/>
        </w:rPr>
        <w:footnoteReference w:id="103"/>
      </w:r>
      <w:r w:rsidRPr="004C2091">
        <w:rPr>
          <w:rFonts w:eastAsiaTheme="majorEastAsia" w:cs="Calibri"/>
        </w:rPr>
        <w:t xml:space="preserve"> The number of private dwellings was estimated to be over 2 million at 30 June 2023.</w:t>
      </w:r>
      <w:r w:rsidRPr="004C2091">
        <w:rPr>
          <w:rStyle w:val="FootnoteReference"/>
          <w:rFonts w:eastAsiaTheme="majorEastAsia" w:cs="Calibri"/>
        </w:rPr>
        <w:footnoteReference w:id="104"/>
      </w:r>
    </w:p>
    <w:p w14:paraId="67059246" w14:textId="77777777" w:rsidR="00D61191" w:rsidRPr="004C2091" w:rsidRDefault="00D61191" w:rsidP="00D61191">
      <w:pPr>
        <w:pStyle w:val="BodyText"/>
      </w:pPr>
      <w:r w:rsidRPr="004C2091">
        <w:t>At the time of the 2018 census, New Zealand’s homeownership rates were at their lowest since the 1950s.</w:t>
      </w:r>
      <w:r w:rsidRPr="004C2091">
        <w:rPr>
          <w:rStyle w:val="FootnoteReference"/>
          <w:rFonts w:eastAsiaTheme="majorEastAsia" w:cs="Calibri"/>
        </w:rPr>
        <w:footnoteReference w:id="105"/>
      </w:r>
      <w:r w:rsidRPr="004C2091">
        <w:t xml:space="preserve"> Homeownership peaked in the 1990s, at 73.8 per cent of households, but by 2018 it had decreased to 64.5 per cent of households. The proportion of households who rent their dwelling increased from 22.9 per cent in 1991 to 31.9 per cent in 2018. The 2018 census showed a 16.5 per cent increase in the number of households renting since 2013 (from 453,135 in 2013 to 527,853 in 2018). This apparent increase, however, may partly reflect improved data quality due to the use of administrative data.</w:t>
      </w:r>
      <w:r w:rsidRPr="004C2091">
        <w:rPr>
          <w:rStyle w:val="FootnoteReference"/>
          <w:rFonts w:eastAsiaTheme="majorEastAsia" w:cs="Calibri"/>
        </w:rPr>
        <w:footnoteReference w:id="106"/>
      </w:r>
    </w:p>
    <w:p w14:paraId="5BC963BD" w14:textId="77777777" w:rsidR="00D61191" w:rsidRPr="004C2091" w:rsidRDefault="00D61191" w:rsidP="002B0CE9">
      <w:pPr>
        <w:pStyle w:val="Heading2"/>
        <w:numPr>
          <w:ilvl w:val="0"/>
          <w:numId w:val="36"/>
        </w:numPr>
        <w:tabs>
          <w:tab w:val="num" w:pos="397"/>
          <w:tab w:val="left" w:pos="1077"/>
        </w:tabs>
        <w:ind w:left="397" w:hanging="397"/>
      </w:pPr>
      <w:bookmarkStart w:id="165" w:name="_Toc184825489"/>
      <w:r w:rsidRPr="004C2091">
        <w:t>Tokelau</w:t>
      </w:r>
      <w:bookmarkEnd w:id="165"/>
    </w:p>
    <w:p w14:paraId="58044178" w14:textId="77777777" w:rsidR="00D61191" w:rsidRPr="004C2091" w:rsidRDefault="00D61191" w:rsidP="00D61191">
      <w:pPr>
        <w:pStyle w:val="BodyText"/>
      </w:pPr>
      <w:r w:rsidRPr="004C2091">
        <w:t xml:space="preserve">Tokelau has been a dependent territory of New Zealand since 1926 and is considered ‘part of New Zealand’ for certain purposes under the Tokelau Act 1948 (NZ). The extension of New Zealand’s ratification of the United Nations Framework Convention on Climate Change (UNFCCC) and the Paris Agreement to Tokelau was announced on 13 November 2017. The Government will continue to work with Tokelau to meet reporting obligations under the UNFCCC and the Paris Agreement. </w:t>
      </w:r>
    </w:p>
    <w:p w14:paraId="36508371" w14:textId="77777777" w:rsidR="00D61191" w:rsidRPr="004C2091" w:rsidRDefault="00D61191" w:rsidP="00EA02DE">
      <w:pPr>
        <w:pStyle w:val="Heading3"/>
        <w:numPr>
          <w:ilvl w:val="0"/>
          <w:numId w:val="41"/>
        </w:numPr>
      </w:pPr>
      <w:r w:rsidRPr="004C2091">
        <w:t xml:space="preserve">National circumstances </w:t>
      </w:r>
    </w:p>
    <w:p w14:paraId="49CF60A4" w14:textId="77777777" w:rsidR="00D61191" w:rsidRPr="004C2091" w:rsidRDefault="00D61191" w:rsidP="00D61191">
      <w:pPr>
        <w:pStyle w:val="BodyText"/>
      </w:pPr>
      <w:r w:rsidRPr="004C2091">
        <w:t>In formal terms, Tokelau is administered by New Zealand, but in practice it is substantially self</w:t>
      </w:r>
      <w:r w:rsidRPr="004C2091">
        <w:noBreakHyphen/>
        <w:t xml:space="preserve">governing, with strong links to New Zealand. Tokelau’s national legislative and executive body, the General Fono, governs Tokelau’s national matters. An Administrator, appointed by the New Zealand Government, is charged with the administration of the executive government of Tokelau and Tokelau’s EEZ. The New Zealand Government is responsible for Tokelau’s international relations. Nevertheless, Tokelau engages autonomously on climate change and Pacific fisheries matters where possible. New Zealand statute law does not apply to Tokelau unless it is expressly extended to Tokelau and agreed to by Tokelau. </w:t>
      </w:r>
    </w:p>
    <w:p w14:paraId="33BB3E35" w14:textId="43B0F695" w:rsidR="00D61191" w:rsidRPr="004C2091" w:rsidRDefault="00D61191" w:rsidP="00D61191">
      <w:pPr>
        <w:pStyle w:val="BodyText"/>
      </w:pPr>
      <w:r w:rsidRPr="004C2091">
        <w:t xml:space="preserve">Tokelau’s population is spread over three small coral atolls (Atafu, Fakaofo and Nukunonu), which lie some 500 km to the north of Samoa. The total population of Tokelau is 1,485 (2022): Atafu 499, Nukunonu 447 and Fakaofo 539. Tokelau has a common language, and the three atolls share similar social structures, but each atoll has unique historical influences. Tokelauans are New Zealand citizens. In addition to the citizens living in Tokelau, approximately 8,600 Tokelauans live in New Zealand. </w:t>
      </w:r>
    </w:p>
    <w:p w14:paraId="314E4DCC" w14:textId="77777777" w:rsidR="00D61191" w:rsidRPr="004C2091" w:rsidRDefault="00D61191" w:rsidP="00D61191">
      <w:pPr>
        <w:pStyle w:val="BodyText"/>
      </w:pPr>
      <w:r w:rsidRPr="004C2091">
        <w:t xml:space="preserve">Tokelau’s two principal sources of revenue are economic assistance from New Zealand and fisheries revenue (the latter amounting to NZ$50.8 million from 2021 to 2023). New Zealand provides general budget support ($15 million per year) to assist the delivery of essential services, consistent with its constitutional and United Nations Charter obligations. </w:t>
      </w:r>
    </w:p>
    <w:p w14:paraId="240B5D15" w14:textId="77777777" w:rsidR="00D61191" w:rsidRPr="004C2091" w:rsidRDefault="00D61191" w:rsidP="00D61191">
      <w:pPr>
        <w:pStyle w:val="BodyText"/>
        <w:rPr>
          <w:rFonts w:ascii="Aptos" w:eastAsiaTheme="minorHAnsi" w:hAnsi="Aptos" w:cs="Calibri"/>
        </w:rPr>
      </w:pPr>
      <w:r w:rsidRPr="004C2091">
        <w:t>General budget support is complemented by support for wellbeing and human development outcomes including through investments in health and education, and through major investments in information and communications technology connectivity, and renewable energy. Planning is underway for new projects to enhance Tokelau’s climate change resilience. New Zealand’s total development assistance to Tokelau for the period 2021/22–2023/24 was NZ$60.6 million.</w:t>
      </w:r>
    </w:p>
    <w:p w14:paraId="62FEBD87" w14:textId="77777777" w:rsidR="00D61191" w:rsidRPr="004C2091" w:rsidRDefault="00D61191" w:rsidP="00D61191">
      <w:pPr>
        <w:pStyle w:val="BodyText"/>
      </w:pPr>
      <w:r w:rsidRPr="004C2091">
        <w:t xml:space="preserve">Tokelau’s low-lying atolls are extremely vulnerable to the impacts of climate change and related hazards. The principal hazard induced by climate change that Tokelau faces is inundation of coastal waters during severe weather events. Climate change scenarios for Tokelau modelled out to the year 2100 suggest that while the frequency of cyclones is likely to remain largely unchanged, their intensity will increase. Combined with scenarios of rising sea levels, the consequences of such events intensify as larger areas of the atolls experience inundation by coastal waters during severe weather events. </w:t>
      </w:r>
    </w:p>
    <w:p w14:paraId="61B9C825" w14:textId="77777777" w:rsidR="00D61191" w:rsidRPr="004C2091" w:rsidRDefault="00D61191" w:rsidP="00D61191">
      <w:pPr>
        <w:pStyle w:val="BodyText"/>
      </w:pPr>
      <w:r w:rsidRPr="004C2091">
        <w:t>New Zealand supports a range of climate-related projects in Tokelau. During the report period, this support related to climate change has included funding for the following projects.</w:t>
      </w:r>
    </w:p>
    <w:p w14:paraId="2F40270F" w14:textId="77777777" w:rsidR="00D61191" w:rsidRPr="004C2091" w:rsidRDefault="00D61191" w:rsidP="00D61191">
      <w:pPr>
        <w:pStyle w:val="Bullet"/>
        <w:rPr>
          <w:rFonts w:eastAsia="Calibri"/>
        </w:rPr>
      </w:pPr>
      <w:r w:rsidRPr="004C2091">
        <w:rPr>
          <w:rFonts w:eastAsia="Calibri"/>
        </w:rPr>
        <w:t>Develop an initial concept for a Coastal Protection Activity to build Tokelau’s resilience to the impacts of climate change.</w:t>
      </w:r>
      <w:r w:rsidRPr="004C2091">
        <w:t xml:space="preserve"> </w:t>
      </w:r>
      <w:r w:rsidRPr="004C2091">
        <w:rPr>
          <w:rFonts w:eastAsia="Calibri"/>
        </w:rPr>
        <w:t xml:space="preserve">This project would protect land on each atoll from coastal erosion and rising sea levels, and promote natural accretion. The exact modality and extent of the coastal protections are still to be determined. </w:t>
      </w:r>
    </w:p>
    <w:p w14:paraId="4B272857" w14:textId="77777777" w:rsidR="00D61191" w:rsidRPr="004C2091" w:rsidRDefault="00D61191" w:rsidP="00D61191">
      <w:pPr>
        <w:pStyle w:val="Bullet"/>
        <w:rPr>
          <w:rFonts w:eastAsia="Calibri"/>
        </w:rPr>
      </w:pPr>
      <w:r w:rsidRPr="004C2091">
        <w:rPr>
          <w:rFonts w:eastAsia="Calibri"/>
        </w:rPr>
        <w:t>Undertake design work to upgrade the main bridge in Nukunonu.</w:t>
      </w:r>
      <w:r w:rsidRPr="004C2091">
        <w:t xml:space="preserve"> </w:t>
      </w:r>
      <w:r w:rsidRPr="004C2091">
        <w:rPr>
          <w:rFonts w:eastAsia="Calibri"/>
        </w:rPr>
        <w:t xml:space="preserve">The current bridge is </w:t>
      </w:r>
      <w:r w:rsidRPr="004C2091">
        <w:rPr>
          <w:rFonts w:eastAsia="Calibri"/>
          <w:spacing w:val="-2"/>
        </w:rPr>
        <w:t>past its design life and engineers have concluded it is at risk of failure during a storm event</w:t>
      </w:r>
      <w:r w:rsidRPr="004C2091">
        <w:rPr>
          <w:rFonts w:eastAsia="Calibri"/>
        </w:rPr>
        <w:t xml:space="preserve">. </w:t>
      </w:r>
    </w:p>
    <w:p w14:paraId="38436CCB" w14:textId="77777777" w:rsidR="00D61191" w:rsidRPr="004C2091" w:rsidRDefault="00D61191" w:rsidP="00D61191">
      <w:pPr>
        <w:pStyle w:val="Bullet"/>
        <w:rPr>
          <w:rFonts w:eastAsia="Calibri"/>
        </w:rPr>
      </w:pPr>
      <w:r w:rsidRPr="004C2091">
        <w:rPr>
          <w:rFonts w:eastAsia="Calibri"/>
        </w:rPr>
        <w:t>Undertake design work for emergency shelters. This project would create sufficient and robust emergency structures to provide safe refuge for Tokelau’s population during extreme weather events.</w:t>
      </w:r>
    </w:p>
    <w:p w14:paraId="0DB183C3" w14:textId="77777777" w:rsidR="00D61191" w:rsidRPr="004C2091" w:rsidRDefault="00D61191" w:rsidP="00D61191">
      <w:pPr>
        <w:pStyle w:val="Bullet"/>
        <w:rPr>
          <w:rFonts w:eastAsia="Calibri"/>
        </w:rPr>
      </w:pPr>
      <w:r w:rsidRPr="004C2091">
        <w:rPr>
          <w:rFonts w:eastAsia="Calibri"/>
        </w:rPr>
        <w:t>Increase access to reliable clean energy for the people of Tokelau by expanding each village’s solar photovoltaic (PV) capacity and improving renewable energy asset management processes.</w:t>
      </w:r>
    </w:p>
    <w:p w14:paraId="6E188569" w14:textId="77777777" w:rsidR="00D61191" w:rsidRPr="004C2091" w:rsidRDefault="00D61191" w:rsidP="00D61191">
      <w:pPr>
        <w:pStyle w:val="Bullet"/>
        <w:rPr>
          <w:rFonts w:eastAsia="Calibri"/>
        </w:rPr>
      </w:pPr>
      <w:r w:rsidRPr="004C2091">
        <w:rPr>
          <w:rFonts w:eastAsia="Calibri"/>
        </w:rPr>
        <w:t>Increase understanding of climate mobility issues facing Pacific Island countries. This activity supports Pacific Island countries to address the complex challenge of climate mobility (for situations where climate change and environmental factors motivate people to move, and for situations where people decide to stay in place). Field research was undertaken in Tokelau and a country summary has been developed.</w:t>
      </w:r>
    </w:p>
    <w:p w14:paraId="3DC3087A" w14:textId="77777777" w:rsidR="00D61191" w:rsidRPr="004C2091" w:rsidRDefault="00D61191" w:rsidP="00D61191">
      <w:pPr>
        <w:pStyle w:val="Bullet"/>
        <w:rPr>
          <w:rFonts w:eastAsia="Calibri"/>
        </w:rPr>
      </w:pPr>
      <w:r w:rsidRPr="004C2091">
        <w:rPr>
          <w:rFonts w:eastAsia="Calibri"/>
        </w:rPr>
        <w:t>Support Tokelau to scale up the delivery of its climate change priorities through increasing its access to personnel and other support that can assist it to plan for, access, deliver and report on climate finance. The programme operates in 15 Pacific countries and territories and is responsive to the unique needs and priorities of these countries.</w:t>
      </w:r>
    </w:p>
    <w:p w14:paraId="7E29098E" w14:textId="1C48FDAB" w:rsidR="00D61191" w:rsidRPr="004C2091" w:rsidRDefault="00D61191" w:rsidP="00D61191">
      <w:pPr>
        <w:pStyle w:val="Bullet"/>
        <w:rPr>
          <w:rFonts w:eastAsia="Calibri"/>
        </w:rPr>
      </w:pPr>
      <w:r w:rsidRPr="004C2091">
        <w:rPr>
          <w:rFonts w:eastAsia="Calibri"/>
        </w:rPr>
        <w:t>Support Tokelau (through the Climate and Oceans Support Program in the Pacific) to make better use of climate and meteorological data in decision-making and</w:t>
      </w:r>
      <w:r w:rsidR="001679E3">
        <w:rPr>
          <w:rFonts w:eastAsia="Calibri"/>
        </w:rPr>
        <w:t>,</w:t>
      </w:r>
      <w:r w:rsidRPr="004C2091">
        <w:rPr>
          <w:rFonts w:eastAsia="Calibri"/>
        </w:rPr>
        <w:t xml:space="preserve"> in that way</w:t>
      </w:r>
      <w:r w:rsidR="001679E3">
        <w:rPr>
          <w:rFonts w:eastAsia="Calibri"/>
        </w:rPr>
        <w:t>,</w:t>
      </w:r>
      <w:r w:rsidRPr="004C2091">
        <w:rPr>
          <w:rFonts w:eastAsia="Calibri"/>
        </w:rPr>
        <w:t xml:space="preserve"> to increase its resilience. </w:t>
      </w:r>
    </w:p>
    <w:p w14:paraId="0760999B" w14:textId="77777777" w:rsidR="00D61191" w:rsidRPr="004C2091" w:rsidRDefault="00D61191" w:rsidP="00D61191">
      <w:pPr>
        <w:pStyle w:val="Bullet"/>
        <w:rPr>
          <w:rFonts w:eastAsia="Calibri"/>
          <w:spacing w:val="-2"/>
        </w:rPr>
      </w:pPr>
      <w:r w:rsidRPr="004C2091">
        <w:rPr>
          <w:rFonts w:eastAsia="Calibri"/>
        </w:rPr>
        <w:t xml:space="preserve">Support drinking water scarcity initiatives in Tokelau. This activity has developed water scarcity investment plans; installed, rehabilitated and repaired essential water capture and storage infrastructure; developed and implemented water monitoring, assessment </w:t>
      </w:r>
      <w:r w:rsidRPr="004C2091">
        <w:rPr>
          <w:rFonts w:eastAsia="Calibri"/>
          <w:spacing w:val="-2"/>
        </w:rPr>
        <w:t>and management systems; delivered training on sustainable management of water infrastructure and resources; and procured and delivered 48 rainwater tanks and associated rainwater harvesting and storage infrastructure, such as pipes, gutters and supplies.</w:t>
      </w:r>
    </w:p>
    <w:p w14:paraId="1FF17D18" w14:textId="77777777" w:rsidR="00D61191" w:rsidRPr="004C2091" w:rsidRDefault="00D61191" w:rsidP="00D61191">
      <w:pPr>
        <w:pStyle w:val="Bullet"/>
        <w:rPr>
          <w:rFonts w:eastAsia="Calibri"/>
        </w:rPr>
      </w:pPr>
      <w:r w:rsidRPr="004C2091">
        <w:rPr>
          <w:rFonts w:eastAsia="Calibri"/>
        </w:rPr>
        <w:t xml:space="preserve">Enhance Pacific resilience by reducing the impact of invasive species on natural and agricultural ecosystems. The focus of this activity in Tokelau was to develop a feasibility study to eradicate rats and feral pigs, and deliver on this programme on several islets. </w:t>
      </w:r>
    </w:p>
    <w:p w14:paraId="0E58B486" w14:textId="77777777" w:rsidR="00D61191" w:rsidRPr="004C2091" w:rsidRDefault="00D61191" w:rsidP="00EA02DE">
      <w:pPr>
        <w:pStyle w:val="Heading3"/>
        <w:numPr>
          <w:ilvl w:val="0"/>
          <w:numId w:val="41"/>
        </w:numPr>
      </w:pPr>
      <w:r w:rsidRPr="004C2091">
        <w:t>Tokelau’s climate change strategy</w:t>
      </w:r>
    </w:p>
    <w:p w14:paraId="7C1231FF" w14:textId="5E25542D" w:rsidR="00D61191" w:rsidRPr="004C2091" w:rsidRDefault="00D61191" w:rsidP="00D61191">
      <w:pPr>
        <w:pStyle w:val="BodyText"/>
      </w:pPr>
      <w:r w:rsidRPr="004C2091">
        <w:t xml:space="preserve">Strengthening Tokelau’s climate change resilience is a national priority under Tokelau’s National Strategic Plan 2021–26. </w:t>
      </w:r>
      <w:r w:rsidRPr="004C2091">
        <w:rPr>
          <w:i/>
          <w:iCs/>
        </w:rPr>
        <w:t>Living with Change: An Integrated National Strategy for Enhancing the Resilience of Tokelau to Climate Change and Related Hazards, 2017–30</w:t>
      </w:r>
      <w:r w:rsidRPr="004C2091">
        <w:t xml:space="preserve"> (LivC)</w:t>
      </w:r>
      <w:r w:rsidRPr="004C2091">
        <w:rPr>
          <w:rStyle w:val="FootnoteReference"/>
          <w:rFonts w:eastAsia="Calibri" w:cs="Calibri"/>
        </w:rPr>
        <w:footnoteReference w:id="107"/>
      </w:r>
      <w:r w:rsidRPr="004C2091">
        <w:t xml:space="preserve"> and its companion the </w:t>
      </w:r>
      <w:r w:rsidRPr="004C2091">
        <w:rPr>
          <w:i/>
          <w:iCs/>
        </w:rPr>
        <w:t>LivC Implementation Plan, 2017–2022</w:t>
      </w:r>
      <w:r w:rsidRPr="004C2091">
        <w:rPr>
          <w:rStyle w:val="FootnoteReference"/>
          <w:rFonts w:eastAsia="Calibri" w:cs="Calibri"/>
        </w:rPr>
        <w:footnoteReference w:id="108"/>
      </w:r>
      <w:r w:rsidRPr="004C2091">
        <w:t xml:space="preserve"> </w:t>
      </w:r>
      <w:r w:rsidR="00A625EE">
        <w:t xml:space="preserve">which </w:t>
      </w:r>
      <w:r w:rsidRPr="004C2091">
        <w:t>are Tokelau’s response to the</w:t>
      </w:r>
      <w:r w:rsidR="008408D3">
        <w:t> </w:t>
      </w:r>
      <w:r w:rsidRPr="004C2091">
        <w:t xml:space="preserve">challenges posed by climate change and related hazards, officially launched in April 2017. These documents convey Tokelau’s vision of the future, the issues that must be addressed, the specific outcomes Tokelau aims to achieve, and the actions that must be taken to manage the impacts of climate change. </w:t>
      </w:r>
    </w:p>
    <w:p w14:paraId="6115021D" w14:textId="77777777" w:rsidR="00D61191" w:rsidRPr="004C2091" w:rsidRDefault="00D61191" w:rsidP="00D61191">
      <w:pPr>
        <w:pStyle w:val="BodyText"/>
      </w:pPr>
      <w:r w:rsidRPr="004C2091">
        <w:t xml:space="preserve">As the administering power for Tokelau, New Zealand is responsible for assisting the Tokelau Government to meet the needs of the people of Tokelau. The New Zealand Government is working closely with Tokelau to help it achieve its LivC vision where possible. The </w:t>
      </w:r>
      <w:r w:rsidRPr="004C2091">
        <w:rPr>
          <w:i/>
          <w:iCs/>
        </w:rPr>
        <w:t>LivC Implementation Plan, 2017–2022</w:t>
      </w:r>
      <w:r w:rsidRPr="004C2091">
        <w:t xml:space="preserve"> remains current as many of its concept projects are ongoing or yet to be implemented. </w:t>
      </w:r>
    </w:p>
    <w:p w14:paraId="7DFF03C0" w14:textId="6EAABF94" w:rsidR="00D61191" w:rsidRPr="004C2091" w:rsidRDefault="00D61191" w:rsidP="00D61191">
      <w:pPr>
        <w:pStyle w:val="BodyText"/>
      </w:pPr>
      <w:r w:rsidRPr="004C2091">
        <w:t>The strategy identifies three inter-related climate-resilient pathways:</w:t>
      </w:r>
    </w:p>
    <w:p w14:paraId="3B3FC833" w14:textId="77777777" w:rsidR="00D61191" w:rsidRPr="004C2091" w:rsidRDefault="00D61191" w:rsidP="00D61191">
      <w:pPr>
        <w:pStyle w:val="Bullet"/>
        <w:rPr>
          <w:rFonts w:eastAsia="Calibri"/>
        </w:rPr>
      </w:pPr>
      <w:r w:rsidRPr="004C2091">
        <w:rPr>
          <w:rFonts w:eastAsia="Calibri"/>
        </w:rPr>
        <w:t>mitigation – decarbonisation development</w:t>
      </w:r>
    </w:p>
    <w:p w14:paraId="18F0124A" w14:textId="77777777" w:rsidR="00D61191" w:rsidRPr="004C2091" w:rsidRDefault="00D61191" w:rsidP="00D61191">
      <w:pPr>
        <w:pStyle w:val="Bullet"/>
        <w:rPr>
          <w:rFonts w:eastAsia="Calibri"/>
        </w:rPr>
      </w:pPr>
      <w:r w:rsidRPr="004C2091">
        <w:rPr>
          <w:rFonts w:eastAsia="Calibri"/>
        </w:rPr>
        <w:t>adaptation – strengthened risk reduction and adaptation to enhance resilience in the face of climate change and disaster resilience</w:t>
      </w:r>
    </w:p>
    <w:p w14:paraId="4CFA587B" w14:textId="77777777" w:rsidR="00D61191" w:rsidRPr="004C2091" w:rsidRDefault="00D61191" w:rsidP="00D61191">
      <w:pPr>
        <w:pStyle w:val="Bullet"/>
        <w:rPr>
          <w:rFonts w:eastAsia="Calibri"/>
        </w:rPr>
      </w:pPr>
      <w:r w:rsidRPr="004C2091">
        <w:rPr>
          <w:rFonts w:eastAsia="Calibri"/>
        </w:rPr>
        <w:t xml:space="preserve">human development – capacity building, education, training, public awareness and outreach. </w:t>
      </w:r>
    </w:p>
    <w:p w14:paraId="3B2137FB" w14:textId="77777777" w:rsidR="00D61191" w:rsidRPr="004C2091" w:rsidRDefault="00D61191" w:rsidP="00D61191">
      <w:pPr>
        <w:pStyle w:val="BodyText"/>
      </w:pPr>
      <w:r w:rsidRPr="004C2091">
        <w:t xml:space="preserve">A number of the project concepts in the </w:t>
      </w:r>
      <w:r w:rsidRPr="004C2091">
        <w:rPr>
          <w:i/>
          <w:iCs/>
        </w:rPr>
        <w:t>LivC Implementation Plan</w:t>
      </w:r>
      <w:r w:rsidRPr="004C2091">
        <w:t xml:space="preserve"> have been progressed, and several are ongoing. Table 2.1.1 summarises these concepts. </w:t>
      </w:r>
    </w:p>
    <w:p w14:paraId="046D7519" w14:textId="09FF58A5" w:rsidR="00D61191" w:rsidRPr="004C2091" w:rsidRDefault="00D61191" w:rsidP="00D61191">
      <w:pPr>
        <w:pStyle w:val="Tableheading"/>
      </w:pPr>
      <w:bookmarkStart w:id="166" w:name="_Toc185407458"/>
      <w:bookmarkStart w:id="167" w:name="_Toc185427721"/>
      <w:r w:rsidRPr="004C2091">
        <w:t>Table 2.1.</w:t>
      </w:r>
      <w:r w:rsidR="00CF6708">
        <w:t>1</w:t>
      </w:r>
      <w:r w:rsidRPr="004C2091">
        <w:t xml:space="preserve">: </w:t>
      </w:r>
      <w:r w:rsidRPr="004C2091">
        <w:tab/>
        <w:t>Climate change and related hazards projects</w:t>
      </w:r>
      <w:bookmarkEnd w:id="166"/>
      <w:bookmarkEnd w:id="167"/>
      <w:r w:rsidRPr="004C2091">
        <w:t xml:space="preserve"> </w:t>
      </w:r>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ayout w:type="fixed"/>
        <w:tblCellMar>
          <w:left w:w="85" w:type="dxa"/>
          <w:right w:w="57" w:type="dxa"/>
        </w:tblCellMar>
        <w:tblLook w:val="04A0" w:firstRow="1" w:lastRow="0" w:firstColumn="1" w:lastColumn="0" w:noHBand="0" w:noVBand="1"/>
      </w:tblPr>
      <w:tblGrid>
        <w:gridCol w:w="2127"/>
        <w:gridCol w:w="3118"/>
        <w:gridCol w:w="3260"/>
      </w:tblGrid>
      <w:tr w:rsidR="00D61191" w:rsidRPr="004C2091" w14:paraId="2A170D8B" w14:textId="77777777" w:rsidTr="00385C04">
        <w:trPr>
          <w:tblHeader/>
        </w:trPr>
        <w:tc>
          <w:tcPr>
            <w:tcW w:w="2127" w:type="dxa"/>
            <w:tcBorders>
              <w:right w:val="nil"/>
            </w:tcBorders>
            <w:shd w:val="clear" w:color="auto" w:fill="1B556B" w:themeFill="text2"/>
            <w:tcMar>
              <w:left w:w="85" w:type="dxa"/>
              <w:right w:w="85" w:type="dxa"/>
            </w:tcMar>
            <w:vAlign w:val="bottom"/>
          </w:tcPr>
          <w:p w14:paraId="7631FC8C" w14:textId="77777777" w:rsidR="00D61191" w:rsidRPr="004C2091" w:rsidRDefault="00D61191">
            <w:pPr>
              <w:pStyle w:val="TableTextbold"/>
              <w:rPr>
                <w:color w:val="FFFFFF" w:themeColor="background1"/>
              </w:rPr>
            </w:pPr>
            <w:r w:rsidRPr="004C2091">
              <w:rPr>
                <w:color w:val="FFFFFF" w:themeColor="background1"/>
              </w:rPr>
              <w:t>Climate Resilience Investment Pathway (CRIP) #</w:t>
            </w:r>
          </w:p>
        </w:tc>
        <w:tc>
          <w:tcPr>
            <w:tcW w:w="3118" w:type="dxa"/>
            <w:tcBorders>
              <w:left w:val="nil"/>
              <w:right w:val="nil"/>
            </w:tcBorders>
            <w:shd w:val="clear" w:color="auto" w:fill="1B556B" w:themeFill="text2"/>
            <w:tcMar>
              <w:left w:w="85" w:type="dxa"/>
              <w:right w:w="85" w:type="dxa"/>
            </w:tcMar>
            <w:vAlign w:val="bottom"/>
          </w:tcPr>
          <w:p w14:paraId="76B27719" w14:textId="77777777" w:rsidR="00D61191" w:rsidRPr="004C2091" w:rsidRDefault="00D61191">
            <w:pPr>
              <w:pStyle w:val="TableTextbold"/>
              <w:rPr>
                <w:color w:val="FFFFFF" w:themeColor="background1"/>
              </w:rPr>
            </w:pPr>
            <w:r w:rsidRPr="004C2091">
              <w:rPr>
                <w:color w:val="FFFFFF" w:themeColor="background1"/>
              </w:rPr>
              <w:t>Outputs</w:t>
            </w:r>
          </w:p>
        </w:tc>
        <w:tc>
          <w:tcPr>
            <w:tcW w:w="3260" w:type="dxa"/>
            <w:tcBorders>
              <w:left w:val="nil"/>
            </w:tcBorders>
            <w:shd w:val="clear" w:color="auto" w:fill="1B556B" w:themeFill="text2"/>
            <w:tcMar>
              <w:left w:w="85" w:type="dxa"/>
              <w:right w:w="85" w:type="dxa"/>
            </w:tcMar>
            <w:vAlign w:val="bottom"/>
          </w:tcPr>
          <w:p w14:paraId="378FFE2E" w14:textId="77777777" w:rsidR="00D61191" w:rsidRPr="004C2091" w:rsidRDefault="00D61191">
            <w:pPr>
              <w:pStyle w:val="TableTextbold"/>
              <w:rPr>
                <w:color w:val="FFFFFF" w:themeColor="background1"/>
              </w:rPr>
            </w:pPr>
            <w:r w:rsidRPr="004C2091">
              <w:rPr>
                <w:color w:val="FFFFFF" w:themeColor="background1"/>
              </w:rPr>
              <w:t xml:space="preserve">Outcomes </w:t>
            </w:r>
          </w:p>
        </w:tc>
      </w:tr>
      <w:tr w:rsidR="00D61191" w:rsidRPr="004C2091" w14:paraId="66C01CB3" w14:textId="77777777" w:rsidTr="00ED0A67">
        <w:trPr>
          <w:trHeight w:val="300"/>
        </w:trPr>
        <w:tc>
          <w:tcPr>
            <w:tcW w:w="2127" w:type="dxa"/>
            <w:shd w:val="clear" w:color="auto" w:fill="auto"/>
            <w:tcMar>
              <w:left w:w="85" w:type="dxa"/>
              <w:right w:w="85" w:type="dxa"/>
            </w:tcMar>
          </w:tcPr>
          <w:p w14:paraId="516F5760" w14:textId="77777777" w:rsidR="00D61191" w:rsidRPr="004C2091" w:rsidRDefault="00D61191">
            <w:pPr>
              <w:pStyle w:val="TableText"/>
            </w:pPr>
            <w:r w:rsidRPr="004C2091">
              <w:t>CRIP 1-2: The Tokelau Renewable Energy Programme</w:t>
            </w:r>
          </w:p>
        </w:tc>
        <w:tc>
          <w:tcPr>
            <w:tcW w:w="3118" w:type="dxa"/>
            <w:shd w:val="clear" w:color="auto" w:fill="auto"/>
            <w:tcMar>
              <w:left w:w="85" w:type="dxa"/>
              <w:right w:w="85" w:type="dxa"/>
            </w:tcMar>
            <w:vAlign w:val="bottom"/>
          </w:tcPr>
          <w:p w14:paraId="3777DB76" w14:textId="77777777" w:rsidR="00D61191" w:rsidRPr="004C2091" w:rsidRDefault="00D61191">
            <w:pPr>
              <w:pStyle w:val="TableBullet"/>
            </w:pPr>
            <w:r w:rsidRPr="004C2091">
              <w:t>Solar photovoltaic (PV) generation systems on each village installed (completed)</w:t>
            </w:r>
          </w:p>
          <w:p w14:paraId="0C2B12B1" w14:textId="77777777" w:rsidR="00D61191" w:rsidRPr="004C2091" w:rsidRDefault="00D61191">
            <w:pPr>
              <w:pStyle w:val="TableBullet"/>
            </w:pPr>
            <w:r w:rsidRPr="004C2091">
              <w:t>Solar PV generation systems on each village upgraded (ongoing)</w:t>
            </w:r>
          </w:p>
        </w:tc>
        <w:tc>
          <w:tcPr>
            <w:tcW w:w="3260" w:type="dxa"/>
            <w:shd w:val="clear" w:color="auto" w:fill="auto"/>
            <w:tcMar>
              <w:left w:w="85" w:type="dxa"/>
              <w:right w:w="85" w:type="dxa"/>
            </w:tcMar>
          </w:tcPr>
          <w:p w14:paraId="6B78B517" w14:textId="77777777" w:rsidR="00D61191" w:rsidRPr="004C2091" w:rsidRDefault="00D61191">
            <w:pPr>
              <w:pStyle w:val="TableBullet"/>
            </w:pPr>
            <w:r w:rsidRPr="004C2091">
              <w:t>Reduction in greenhouse gas emissions</w:t>
            </w:r>
          </w:p>
          <w:p w14:paraId="10C81451" w14:textId="77777777" w:rsidR="00D61191" w:rsidRPr="004C2091" w:rsidRDefault="00D61191">
            <w:pPr>
              <w:pStyle w:val="TableBullet"/>
            </w:pPr>
            <w:r w:rsidRPr="004C2091">
              <w:t>Reduced reliance on costly imported diesel</w:t>
            </w:r>
          </w:p>
        </w:tc>
      </w:tr>
      <w:tr w:rsidR="00D61191" w:rsidRPr="004C2091" w14:paraId="05C18B09" w14:textId="77777777" w:rsidTr="00ED0A67">
        <w:trPr>
          <w:trHeight w:val="300"/>
        </w:trPr>
        <w:tc>
          <w:tcPr>
            <w:tcW w:w="2127" w:type="dxa"/>
            <w:tcMar>
              <w:left w:w="85" w:type="dxa"/>
              <w:right w:w="85" w:type="dxa"/>
            </w:tcMar>
          </w:tcPr>
          <w:p w14:paraId="7319DE7C" w14:textId="77777777" w:rsidR="00D61191" w:rsidRPr="004C2091" w:rsidRDefault="00D61191">
            <w:pPr>
              <w:pStyle w:val="TableText"/>
            </w:pPr>
            <w:r w:rsidRPr="004C2091">
              <w:t>CRIP 2-1: Reducing the risks of inundation in Tokelau</w:t>
            </w:r>
          </w:p>
        </w:tc>
        <w:tc>
          <w:tcPr>
            <w:tcW w:w="3118" w:type="dxa"/>
            <w:tcMar>
              <w:left w:w="85" w:type="dxa"/>
              <w:right w:w="85" w:type="dxa"/>
            </w:tcMar>
          </w:tcPr>
          <w:p w14:paraId="4279249F" w14:textId="77777777" w:rsidR="00D61191" w:rsidRPr="004C2091" w:rsidRDefault="00D61191">
            <w:pPr>
              <w:pStyle w:val="TableBullet"/>
            </w:pPr>
            <w:r w:rsidRPr="004C2091">
              <w:t>Coastal hazard risk reduction plans for each village</w:t>
            </w:r>
          </w:p>
          <w:p w14:paraId="3C7EBF0E" w14:textId="77777777" w:rsidR="00D61191" w:rsidRPr="004C2091" w:rsidRDefault="00D61191">
            <w:pPr>
              <w:pStyle w:val="TableBullet"/>
            </w:pPr>
            <w:r w:rsidRPr="004C2091">
              <w:t>Preliminary and detailed designs for coastal infrastructure and measures</w:t>
            </w:r>
          </w:p>
          <w:p w14:paraId="65744703" w14:textId="7D5F6C3D" w:rsidR="00D61191" w:rsidRPr="004C2091" w:rsidRDefault="00D61191">
            <w:pPr>
              <w:pStyle w:val="TableBullet"/>
            </w:pPr>
            <w:r w:rsidRPr="004C2091">
              <w:t xml:space="preserve">Construction and quality assurance services </w:t>
            </w:r>
            <w:r w:rsidR="00CB740B" w:rsidRPr="004C2091">
              <w:t>outsourced</w:t>
            </w:r>
            <w:r w:rsidRPr="004C2091">
              <w:t xml:space="preserve"> where necessary to implement the plan</w:t>
            </w:r>
          </w:p>
          <w:p w14:paraId="38D53082" w14:textId="77777777" w:rsidR="00D61191" w:rsidRPr="004C2091" w:rsidRDefault="00D61191">
            <w:pPr>
              <w:pStyle w:val="TableBullet"/>
            </w:pPr>
            <w:r w:rsidRPr="004C2091">
              <w:t>Coastal Resilience Programme approved</w:t>
            </w:r>
          </w:p>
        </w:tc>
        <w:tc>
          <w:tcPr>
            <w:tcW w:w="3260" w:type="dxa"/>
            <w:tcMar>
              <w:left w:w="85" w:type="dxa"/>
              <w:right w:w="85" w:type="dxa"/>
            </w:tcMar>
          </w:tcPr>
          <w:p w14:paraId="65B2ACB6" w14:textId="77777777" w:rsidR="00D61191" w:rsidRPr="004C2091" w:rsidRDefault="00D61191">
            <w:pPr>
              <w:pStyle w:val="TableBullet"/>
            </w:pPr>
            <w:r w:rsidRPr="004C2091">
              <w:t>Effective coastal protection for public safety and community infrastructure</w:t>
            </w:r>
          </w:p>
          <w:p w14:paraId="1298B8E2" w14:textId="77777777" w:rsidR="00D61191" w:rsidRPr="004C2091" w:rsidRDefault="00D61191">
            <w:pPr>
              <w:pStyle w:val="TableBullet"/>
            </w:pPr>
            <w:r w:rsidRPr="004C2091">
              <w:t>Strengthening integration of climate change and disaster risk into capital development planning and decision-making</w:t>
            </w:r>
          </w:p>
          <w:p w14:paraId="07F965C2" w14:textId="77777777" w:rsidR="00D61191" w:rsidRPr="004C2091" w:rsidRDefault="00D61191">
            <w:pPr>
              <w:pStyle w:val="TableBullet"/>
            </w:pPr>
            <w:r w:rsidRPr="004C2091">
              <w:t>Increased awareness and knowledge of coastal management and risk reduction</w:t>
            </w:r>
          </w:p>
        </w:tc>
      </w:tr>
      <w:tr w:rsidR="00D61191" w:rsidRPr="004C2091" w14:paraId="2F8E1A2F" w14:textId="77777777" w:rsidTr="00ED0A67">
        <w:trPr>
          <w:trHeight w:val="300"/>
        </w:trPr>
        <w:tc>
          <w:tcPr>
            <w:tcW w:w="2127" w:type="dxa"/>
            <w:tcMar>
              <w:left w:w="85" w:type="dxa"/>
              <w:right w:w="85" w:type="dxa"/>
            </w:tcMar>
          </w:tcPr>
          <w:p w14:paraId="6CFF9DA7" w14:textId="77777777" w:rsidR="00D61191" w:rsidRPr="004C2091" w:rsidRDefault="00D61191" w:rsidP="00714725">
            <w:pPr>
              <w:pStyle w:val="TableText"/>
              <w:keepNext/>
            </w:pPr>
            <w:r w:rsidRPr="004C2091">
              <w:t>CRIP 2-2: Tokelau restoration of climate, weather, water and ocean services</w:t>
            </w:r>
          </w:p>
        </w:tc>
        <w:tc>
          <w:tcPr>
            <w:tcW w:w="3118" w:type="dxa"/>
            <w:tcMar>
              <w:left w:w="85" w:type="dxa"/>
              <w:right w:w="85" w:type="dxa"/>
            </w:tcMar>
          </w:tcPr>
          <w:p w14:paraId="254FF127" w14:textId="77777777" w:rsidR="00D61191" w:rsidRPr="004C2091" w:rsidRDefault="00D61191">
            <w:pPr>
              <w:pStyle w:val="TableBullet"/>
            </w:pPr>
            <w:r w:rsidRPr="004C2091">
              <w:t>Technical assistance with weather monitoring equipment (partnership with National Emergency Management Agency and MetService, New Zealand)</w:t>
            </w:r>
          </w:p>
          <w:p w14:paraId="06E324C9" w14:textId="77777777" w:rsidR="00D61191" w:rsidRPr="004C2091" w:rsidRDefault="00D61191">
            <w:pPr>
              <w:pStyle w:val="TableBullet"/>
            </w:pPr>
            <w:r w:rsidRPr="004C2091">
              <w:t>Weather, climate, water, ocean and related environmental conditions monitoring and infrastructure plans for each village and a national plan identifying human resources and contracted services needed to support villages and implement their plans</w:t>
            </w:r>
          </w:p>
        </w:tc>
        <w:tc>
          <w:tcPr>
            <w:tcW w:w="3260" w:type="dxa"/>
            <w:tcMar>
              <w:left w:w="85" w:type="dxa"/>
              <w:right w:w="85" w:type="dxa"/>
            </w:tcMar>
          </w:tcPr>
          <w:p w14:paraId="5306EEA9" w14:textId="77777777" w:rsidR="00D61191" w:rsidRPr="004C2091" w:rsidRDefault="00D61191">
            <w:pPr>
              <w:pStyle w:val="TableBullet"/>
            </w:pPr>
            <w:r w:rsidRPr="004C2091">
              <w:t>Effective climate, weather, water and related environmental conditions monitoring programme for public safety and community infrastructure</w:t>
            </w:r>
          </w:p>
          <w:p w14:paraId="4BFEB9B6" w14:textId="77777777" w:rsidR="00D61191" w:rsidRPr="004C2091" w:rsidRDefault="00D61191">
            <w:pPr>
              <w:pStyle w:val="TableBullet"/>
            </w:pPr>
            <w:r w:rsidRPr="004C2091">
              <w:t>Strengthening integration of weather, climate change and disaster risk into capital development plans to protect lives and property</w:t>
            </w:r>
          </w:p>
          <w:p w14:paraId="06275FAD" w14:textId="77777777" w:rsidR="00D61191" w:rsidRPr="004C2091" w:rsidRDefault="00D61191">
            <w:pPr>
              <w:pStyle w:val="TableBullet"/>
            </w:pPr>
            <w:r w:rsidRPr="004C2091">
              <w:t>Increased awareness and knowledge of weather, climate, water, ocean and related environmental hazards</w:t>
            </w:r>
          </w:p>
        </w:tc>
      </w:tr>
      <w:tr w:rsidR="00D61191" w:rsidRPr="004C2091" w14:paraId="01EB8C71" w14:textId="77777777" w:rsidTr="00ED0A67">
        <w:trPr>
          <w:trHeight w:val="300"/>
        </w:trPr>
        <w:tc>
          <w:tcPr>
            <w:tcW w:w="2127" w:type="dxa"/>
            <w:tcMar>
              <w:left w:w="85" w:type="dxa"/>
              <w:right w:w="85" w:type="dxa"/>
            </w:tcMar>
          </w:tcPr>
          <w:p w14:paraId="798F4899" w14:textId="77777777" w:rsidR="00D61191" w:rsidRPr="004C2091" w:rsidRDefault="00D61191">
            <w:pPr>
              <w:pStyle w:val="TableText"/>
            </w:pPr>
            <w:r w:rsidRPr="004C2091">
              <w:t>CRIP 3-1: Tokelau Climate Change, Resilience, Readiness and Emergency Services Office</w:t>
            </w:r>
          </w:p>
        </w:tc>
        <w:tc>
          <w:tcPr>
            <w:tcW w:w="3118" w:type="dxa"/>
            <w:tcMar>
              <w:left w:w="85" w:type="dxa"/>
              <w:right w:w="85" w:type="dxa"/>
            </w:tcMar>
          </w:tcPr>
          <w:p w14:paraId="08E11962" w14:textId="77777777" w:rsidR="00D61191" w:rsidRPr="004C2091" w:rsidRDefault="00D61191">
            <w:pPr>
              <w:pStyle w:val="TableBullet"/>
            </w:pPr>
            <w:r w:rsidRPr="004C2091">
              <w:t>Expert assistance</w:t>
            </w:r>
          </w:p>
          <w:p w14:paraId="3E978B8F" w14:textId="77777777" w:rsidR="00D61191" w:rsidRPr="004C2091" w:rsidRDefault="00D61191">
            <w:pPr>
              <w:pStyle w:val="TableBullet"/>
            </w:pPr>
            <w:r w:rsidRPr="004C2091">
              <w:t xml:space="preserve">Report outlining options for a new Tokelau Climate Change, Resilience, Readiness and Emergency Services Office (TCR2O) and/or similar arrangement. </w:t>
            </w:r>
          </w:p>
          <w:p w14:paraId="56D1C750" w14:textId="77777777" w:rsidR="00D61191" w:rsidRPr="004C2091" w:rsidRDefault="00D61191">
            <w:pPr>
              <w:pStyle w:val="TableBullet"/>
            </w:pPr>
            <w:r w:rsidRPr="004C2091">
              <w:t>Identification of human and financial resources and contracted services needed to establish Tokelau’s new TCR2O and/or similar institution</w:t>
            </w:r>
          </w:p>
          <w:p w14:paraId="48D82426" w14:textId="77777777" w:rsidR="00D61191" w:rsidRPr="004C2091" w:rsidRDefault="00D61191">
            <w:pPr>
              <w:pStyle w:val="TableBullet"/>
            </w:pPr>
            <w:r w:rsidRPr="004C2091">
              <w:t>Village emergency response trainings conducted</w:t>
            </w:r>
          </w:p>
          <w:p w14:paraId="26EFA8B6" w14:textId="77777777" w:rsidR="00D61191" w:rsidRPr="004C2091" w:rsidRDefault="00D61191">
            <w:pPr>
              <w:pStyle w:val="TableBullet"/>
            </w:pPr>
            <w:r w:rsidRPr="004C2091">
              <w:t>Tokelau disaster management rules currently in consultation alongside the review of disaster management plan</w:t>
            </w:r>
          </w:p>
        </w:tc>
        <w:tc>
          <w:tcPr>
            <w:tcW w:w="3260" w:type="dxa"/>
            <w:tcMar>
              <w:left w:w="85" w:type="dxa"/>
              <w:right w:w="85" w:type="dxa"/>
            </w:tcMar>
          </w:tcPr>
          <w:p w14:paraId="53281EF7" w14:textId="77777777" w:rsidR="00D61191" w:rsidRPr="004C2091" w:rsidRDefault="00D61191">
            <w:pPr>
              <w:pStyle w:val="TableBullet"/>
            </w:pPr>
            <w:r w:rsidRPr="004C2091">
              <w:t>A fully functional national institution (office/department) tasked with managing Tokelau’s climate change and related hazards programmes</w:t>
            </w:r>
          </w:p>
          <w:p w14:paraId="4538C332" w14:textId="77777777" w:rsidR="00D61191" w:rsidRPr="000232D4" w:rsidRDefault="00D61191">
            <w:pPr>
              <w:pStyle w:val="TableBullet"/>
              <w:rPr>
                <w:szCs w:val="18"/>
              </w:rPr>
            </w:pPr>
            <w:r w:rsidRPr="000232D4">
              <w:rPr>
                <w:szCs w:val="18"/>
              </w:rPr>
              <w:t>The Ministry of Climate, Oceans and Resilience (MiCORE) is now fully operational, housing the Climate Change Programme, Ocean Programme, and Disaster Management (Resilience) Programme</w:t>
            </w:r>
          </w:p>
          <w:p w14:paraId="2DA52A5C" w14:textId="77777777" w:rsidR="00D61191" w:rsidRPr="004C2091" w:rsidRDefault="00D61191">
            <w:pPr>
              <w:pStyle w:val="TableBullet"/>
            </w:pPr>
            <w:r w:rsidRPr="004C2091">
              <w:t>Strengthening integration of climate change and disaster risk into the Government’s and villages’ development planning, decision-making and human resource development plans to reduce the accumulation of existing risks and prevent creation of additional risks</w:t>
            </w:r>
          </w:p>
          <w:p w14:paraId="3456D30E" w14:textId="77777777" w:rsidR="00D61191" w:rsidRPr="004C2091" w:rsidRDefault="00D61191">
            <w:pPr>
              <w:pStyle w:val="TableBullet"/>
            </w:pPr>
            <w:r w:rsidRPr="004C2091">
              <w:t>Increased capacity among groups in the villages to respond to disaster, considering the remoteness of Tokelau</w:t>
            </w:r>
          </w:p>
        </w:tc>
      </w:tr>
      <w:tr w:rsidR="00D61191" w:rsidRPr="004C2091" w14:paraId="11B40068" w14:textId="77777777" w:rsidTr="00ED0A67">
        <w:trPr>
          <w:trHeight w:val="300"/>
        </w:trPr>
        <w:tc>
          <w:tcPr>
            <w:tcW w:w="2127" w:type="dxa"/>
            <w:tcMar>
              <w:left w:w="85" w:type="dxa"/>
              <w:right w:w="85" w:type="dxa"/>
            </w:tcMar>
          </w:tcPr>
          <w:p w14:paraId="4477820C" w14:textId="77777777" w:rsidR="00D61191" w:rsidRPr="004C2091" w:rsidRDefault="00D61191">
            <w:pPr>
              <w:pStyle w:val="TableText"/>
            </w:pPr>
            <w:r w:rsidRPr="004C2091">
              <w:t>CRIP 3-2: Increase resilience to climate change and ocean acidification</w:t>
            </w:r>
          </w:p>
        </w:tc>
        <w:tc>
          <w:tcPr>
            <w:tcW w:w="3118" w:type="dxa"/>
            <w:tcMar>
              <w:left w:w="85" w:type="dxa"/>
              <w:right w:w="85" w:type="dxa"/>
            </w:tcMar>
          </w:tcPr>
          <w:p w14:paraId="37C4ECA4" w14:textId="77777777" w:rsidR="00D61191" w:rsidRPr="004C2091" w:rsidRDefault="00D61191">
            <w:pPr>
              <w:pStyle w:val="TableBullet"/>
            </w:pPr>
            <w:r w:rsidRPr="004C2091">
              <w:t>Identification and implementation of practical adaptation actions</w:t>
            </w:r>
          </w:p>
          <w:p w14:paraId="18B717BD" w14:textId="77777777" w:rsidR="00D61191" w:rsidRPr="004C2091" w:rsidRDefault="00D61191">
            <w:pPr>
              <w:pStyle w:val="TableBullet"/>
            </w:pPr>
            <w:r w:rsidRPr="004C2091">
              <w:t>Ecosystem and social resilience assessment and mapping (ESRAM) study completed</w:t>
            </w:r>
          </w:p>
          <w:p w14:paraId="43165E10" w14:textId="77777777" w:rsidR="00D61191" w:rsidRPr="004C2091" w:rsidRDefault="00D61191">
            <w:pPr>
              <w:pStyle w:val="TableBullet"/>
            </w:pPr>
            <w:r w:rsidRPr="004C2091">
              <w:t>Research and monitoring programmes established</w:t>
            </w:r>
          </w:p>
          <w:p w14:paraId="4C2372B0" w14:textId="77777777" w:rsidR="00D61191" w:rsidRPr="004C2091" w:rsidRDefault="00D61191">
            <w:pPr>
              <w:pStyle w:val="TableBullet"/>
            </w:pPr>
            <w:r w:rsidRPr="004C2091">
              <w:t>Capacity building and awareness raising at the village level completed</w:t>
            </w:r>
          </w:p>
          <w:p w14:paraId="06F3B2D7" w14:textId="77777777" w:rsidR="00D61191" w:rsidRPr="004C2091" w:rsidRDefault="00D61191">
            <w:pPr>
              <w:pStyle w:val="TableBullet"/>
            </w:pPr>
            <w:r w:rsidRPr="004C2091">
              <w:t>Table coral nurseries established on two of the atolls</w:t>
            </w:r>
          </w:p>
          <w:p w14:paraId="4E20A0F8" w14:textId="44D47DE9" w:rsidR="00D61191" w:rsidRPr="004C2091" w:rsidRDefault="00D61191">
            <w:pPr>
              <w:pStyle w:val="TableBullet"/>
            </w:pPr>
            <w:r w:rsidRPr="004C2091">
              <w:t>Capacity building through education systems utilising awareness programmes and competitions</w:t>
            </w:r>
          </w:p>
          <w:p w14:paraId="54CC3324" w14:textId="77777777" w:rsidR="00D61191" w:rsidRPr="004C2091" w:rsidRDefault="00D61191">
            <w:pPr>
              <w:pStyle w:val="TableBullet"/>
            </w:pPr>
            <w:r w:rsidRPr="004C2091">
              <w:t>Coral Point Count with Excel extensions (CPCe) training conducted</w:t>
            </w:r>
          </w:p>
        </w:tc>
        <w:tc>
          <w:tcPr>
            <w:tcW w:w="3260" w:type="dxa"/>
            <w:tcMar>
              <w:left w:w="85" w:type="dxa"/>
              <w:right w:w="85" w:type="dxa"/>
            </w:tcMar>
          </w:tcPr>
          <w:p w14:paraId="38D2DF3E" w14:textId="77777777" w:rsidR="00D61191" w:rsidRPr="004C2091" w:rsidRDefault="00D61191">
            <w:pPr>
              <w:pStyle w:val="TableBullet"/>
            </w:pPr>
            <w:r w:rsidRPr="004C2091">
              <w:t>Increased awareness and knowledge of local communities from each of the three villages about climate change and ocean acidification</w:t>
            </w:r>
          </w:p>
          <w:p w14:paraId="0CCB2E56" w14:textId="77777777" w:rsidR="00D61191" w:rsidRPr="004C2091" w:rsidRDefault="00D61191">
            <w:pPr>
              <w:pStyle w:val="TableBullet"/>
            </w:pPr>
            <w:r w:rsidRPr="004C2091">
              <w:t>Improved understanding of resilience and capacity that can be integrated into climate change strategies</w:t>
            </w:r>
          </w:p>
          <w:p w14:paraId="69BD406D" w14:textId="77777777" w:rsidR="00D61191" w:rsidRPr="004C2091" w:rsidRDefault="00D61191">
            <w:pPr>
              <w:pStyle w:val="TableBullet"/>
            </w:pPr>
            <w:r w:rsidRPr="004C2091">
              <w:t>Improved ability to reduce risks and to plan with knowledge of more effective methods for resource allocation</w:t>
            </w:r>
          </w:p>
          <w:p w14:paraId="1C5D95BA" w14:textId="77777777" w:rsidR="00D61191" w:rsidRPr="004C2091" w:rsidRDefault="00D61191">
            <w:pPr>
              <w:pStyle w:val="TableBullet"/>
            </w:pPr>
            <w:r w:rsidRPr="004C2091">
              <w:t>Increased number of coral colonies in the area</w:t>
            </w:r>
          </w:p>
          <w:p w14:paraId="4D45CB46" w14:textId="77777777" w:rsidR="00D61191" w:rsidRPr="004C2091" w:rsidRDefault="00D61191">
            <w:pPr>
              <w:pStyle w:val="TableBullet"/>
            </w:pPr>
            <w:r w:rsidRPr="004C2091">
              <w:t>Improved capacity amongst the people, especially youth</w:t>
            </w:r>
          </w:p>
          <w:p w14:paraId="099419F2" w14:textId="77777777" w:rsidR="00D61191" w:rsidRPr="004C2091" w:rsidRDefault="00D61191">
            <w:pPr>
              <w:pStyle w:val="TableBullet"/>
            </w:pPr>
            <w:r w:rsidRPr="004C2091">
              <w:t>Increased capacity to identify coral and their state of health amongst staff and stakeholders</w:t>
            </w:r>
          </w:p>
        </w:tc>
      </w:tr>
    </w:tbl>
    <w:p w14:paraId="41803EB1" w14:textId="77777777" w:rsidR="00D61191" w:rsidRPr="004C2091" w:rsidRDefault="00D61191" w:rsidP="00D61191">
      <w:pPr>
        <w:pStyle w:val="BodyText"/>
        <w:spacing w:before="240"/>
        <w:rPr>
          <w:rFonts w:ascii="Segoe UI" w:hAnsi="Segoe UI" w:cs="Segoe UI"/>
          <w:sz w:val="18"/>
          <w:szCs w:val="18"/>
        </w:rPr>
      </w:pPr>
      <w:r w:rsidRPr="004C2091">
        <w:t xml:space="preserve">LivC was formulated with the understanding that Tokelau and development partners would support its financing and implementation. New Zealand is the primary partner supporting Tokelau’s climate change and related programmes. </w:t>
      </w:r>
    </w:p>
    <w:p w14:paraId="6FF1ECE1" w14:textId="77777777" w:rsidR="00D61191" w:rsidRPr="004C2091" w:rsidRDefault="00D61191" w:rsidP="002B0CE9">
      <w:pPr>
        <w:pStyle w:val="Heading2"/>
        <w:numPr>
          <w:ilvl w:val="0"/>
          <w:numId w:val="36"/>
        </w:numPr>
      </w:pPr>
      <w:bookmarkStart w:id="168" w:name="_Institutional_arrangements_1"/>
      <w:bookmarkStart w:id="169" w:name="section218"/>
      <w:bookmarkStart w:id="170" w:name="_Toc169616348"/>
      <w:bookmarkStart w:id="171" w:name="_Toc169620053"/>
      <w:bookmarkStart w:id="172" w:name="_Toc172793965"/>
      <w:bookmarkStart w:id="173" w:name="_Toc184825490"/>
      <w:bookmarkEnd w:id="168"/>
      <w:bookmarkEnd w:id="169"/>
      <w:r w:rsidRPr="004C2091">
        <w:t>Institutional arrangements</w:t>
      </w:r>
      <w:bookmarkEnd w:id="170"/>
      <w:bookmarkEnd w:id="171"/>
      <w:bookmarkEnd w:id="172"/>
      <w:bookmarkEnd w:id="173"/>
    </w:p>
    <w:p w14:paraId="2F19791D" w14:textId="77777777" w:rsidR="00D61191" w:rsidRPr="004C2091" w:rsidRDefault="00D61191" w:rsidP="00EA02DE">
      <w:pPr>
        <w:pStyle w:val="Heading3"/>
        <w:numPr>
          <w:ilvl w:val="0"/>
          <w:numId w:val="48"/>
        </w:numPr>
      </w:pPr>
      <w:bookmarkStart w:id="174" w:name="_Toc169616349"/>
      <w:bookmarkStart w:id="175" w:name="_Toc169620054"/>
      <w:bookmarkStart w:id="176" w:name="_Toc172793966"/>
      <w:r w:rsidRPr="0099470D">
        <w:t>New</w:t>
      </w:r>
      <w:r w:rsidRPr="004C2091">
        <w:t xml:space="preserve"> Zealand climate legislation</w:t>
      </w:r>
    </w:p>
    <w:p w14:paraId="7F480D4C" w14:textId="2C9AAC4A" w:rsidR="00D61191" w:rsidRPr="004C2091" w:rsidRDefault="00D61191" w:rsidP="00D61191">
      <w:pPr>
        <w:pStyle w:val="BodyText"/>
      </w:pPr>
      <w:r w:rsidRPr="004C2091">
        <w:t xml:space="preserve">The Climate Change Response Act 2002 (CCRA) is New Zealand’s primary climate change legislation. The CCRA provides the legal framework to enable New Zealand to meet its </w:t>
      </w:r>
      <w:r w:rsidR="005E6B03" w:rsidRPr="005E6B03">
        <w:t>domestic and international obligations</w:t>
      </w:r>
      <w:r w:rsidR="007F5855">
        <w:t>,</w:t>
      </w:r>
      <w:r w:rsidR="005E6B03" w:rsidRPr="005E6B03">
        <w:t xml:space="preserve"> including those</w:t>
      </w:r>
      <w:r w:rsidR="007F5855">
        <w:t xml:space="preserve"> </w:t>
      </w:r>
      <w:r w:rsidRPr="004C2091">
        <w:t>under the UNFCCC</w:t>
      </w:r>
      <w:r w:rsidR="00954215">
        <w:t xml:space="preserve"> </w:t>
      </w:r>
      <w:r w:rsidRPr="004C2091">
        <w:t>and the Paris Agreement. It also includes the framework for the NZ ETS.</w:t>
      </w:r>
    </w:p>
    <w:p w14:paraId="0A330C8E" w14:textId="68DB5C89" w:rsidR="00D61191" w:rsidRPr="004C2091" w:rsidRDefault="00D61191" w:rsidP="00D61191">
      <w:pPr>
        <w:pStyle w:val="BodyText"/>
      </w:pPr>
      <w:r w:rsidRPr="004C2091">
        <w:t>In 2019, the CCRA was amended to introduce the Zero Carbon Framework (</w:t>
      </w:r>
      <w:hyperlink w:anchor="figure219" w:history="1">
        <w:r w:rsidRPr="004B437F">
          <w:rPr>
            <w:rStyle w:val="Hyperlink"/>
          </w:rPr>
          <w:t>figure 2.1.9</w:t>
        </w:r>
      </w:hyperlink>
      <w:r w:rsidRPr="004C2091">
        <w:t>). This framework was developed to enable New Zealand to develop and implement climate change policies that:</w:t>
      </w:r>
    </w:p>
    <w:p w14:paraId="63756572" w14:textId="77777777" w:rsidR="00D61191" w:rsidRPr="004C2091" w:rsidRDefault="00D61191" w:rsidP="00D61191">
      <w:pPr>
        <w:pStyle w:val="Bullet"/>
      </w:pPr>
      <w:r w:rsidRPr="004C2091">
        <w:t>contribute to global efforts under the Paris Agreement to limit the global average temperature increase to 1.5</w:t>
      </w:r>
      <w:r w:rsidRPr="004C2091">
        <w:rPr>
          <w:rFonts w:cs="Calibri"/>
        </w:rPr>
        <w:t xml:space="preserve"> degrees Celsius</w:t>
      </w:r>
      <w:r w:rsidRPr="004C2091">
        <w:t xml:space="preserve"> above pre-industrial levels</w:t>
      </w:r>
    </w:p>
    <w:p w14:paraId="29C1B9A8" w14:textId="77777777" w:rsidR="00D61191" w:rsidRPr="004C2091" w:rsidRDefault="00D61191" w:rsidP="00D61191">
      <w:pPr>
        <w:pStyle w:val="Bullet"/>
      </w:pPr>
      <w:r w:rsidRPr="004C2091">
        <w:t>allow New Zealand to prepare for, and adapt to, the impacts of climate change.</w:t>
      </w:r>
    </w:p>
    <w:p w14:paraId="07FC2373" w14:textId="77777777" w:rsidR="00D61191" w:rsidRPr="004C2091" w:rsidRDefault="00D61191" w:rsidP="00D61191">
      <w:pPr>
        <w:pStyle w:val="BodyText"/>
      </w:pPr>
      <w:r w:rsidRPr="004C2091">
        <w:t>The 2019 amendments specifically:</w:t>
      </w:r>
    </w:p>
    <w:p w14:paraId="6EE895D7" w14:textId="77777777" w:rsidR="00D61191" w:rsidRPr="004C2091" w:rsidRDefault="00D61191" w:rsidP="00D61191">
      <w:pPr>
        <w:pStyle w:val="Bullet"/>
      </w:pPr>
      <w:r w:rsidRPr="004C2091">
        <w:t>established the Climate Change Commission | He Pou a Rangi (the Commission)</w:t>
      </w:r>
    </w:p>
    <w:p w14:paraId="6BC9599B" w14:textId="77777777" w:rsidR="00D61191" w:rsidRPr="004C2091" w:rsidRDefault="00D61191" w:rsidP="00D61191">
      <w:pPr>
        <w:pStyle w:val="Bullet"/>
      </w:pPr>
      <w:r w:rsidRPr="004C2091">
        <w:t>set new domestic emissions reduction targets for 2050</w:t>
      </w:r>
    </w:p>
    <w:p w14:paraId="267F7CEE" w14:textId="77777777" w:rsidR="00D61191" w:rsidRPr="004C2091" w:rsidRDefault="00D61191" w:rsidP="00D61191">
      <w:pPr>
        <w:pStyle w:val="Bullet"/>
      </w:pPr>
      <w:r w:rsidRPr="004C2091">
        <w:t>established a system of emissions budgets to step New Zealand towards these 2050 targets</w:t>
      </w:r>
    </w:p>
    <w:p w14:paraId="03E8866A" w14:textId="77777777" w:rsidR="00D61191" w:rsidRPr="004C2091" w:rsidRDefault="00D61191" w:rsidP="00D61191">
      <w:pPr>
        <w:pStyle w:val="Bullet"/>
      </w:pPr>
      <w:r w:rsidRPr="004C2091">
        <w:t>required the development of an emissions reduction plan for each budget period, which is to set out the policies and strategies for achieving the emissions budget</w:t>
      </w:r>
    </w:p>
    <w:p w14:paraId="0A793CB8" w14:textId="77777777" w:rsidR="00D61191" w:rsidRPr="004C2091" w:rsidRDefault="00D61191" w:rsidP="00D61191">
      <w:pPr>
        <w:pStyle w:val="Bullet"/>
      </w:pPr>
      <w:r w:rsidRPr="004C2091">
        <w:t>required the Commission to prepare a national climate change risk assessment every six years</w:t>
      </w:r>
    </w:p>
    <w:p w14:paraId="681B18C3" w14:textId="77777777" w:rsidR="00D61191" w:rsidRPr="004C2091" w:rsidRDefault="00D61191" w:rsidP="00D61191">
      <w:pPr>
        <w:pStyle w:val="Bullet"/>
      </w:pPr>
      <w:r w:rsidRPr="004C2091">
        <w:t>required the Government to develop a national adaptation plan that responds to the Commission’s risk assessment.</w:t>
      </w:r>
    </w:p>
    <w:p w14:paraId="7291DA56" w14:textId="3968110C" w:rsidR="00D61191" w:rsidRPr="004C2091" w:rsidRDefault="00D61191" w:rsidP="00201256">
      <w:pPr>
        <w:pStyle w:val="Figureheading"/>
      </w:pPr>
      <w:bookmarkStart w:id="177" w:name="figure219"/>
      <w:bookmarkStart w:id="178" w:name="_Toc185347243"/>
      <w:r w:rsidRPr="004C2091">
        <w:t>Figure 2.1.</w:t>
      </w:r>
      <w:r w:rsidR="002326F8">
        <w:t>9</w:t>
      </w:r>
      <w:bookmarkEnd w:id="177"/>
      <w:r w:rsidRPr="004C2091">
        <w:t xml:space="preserve">: </w:t>
      </w:r>
      <w:r w:rsidRPr="004C2091">
        <w:tab/>
        <w:t>New Zealand’s Zero Carbon Framework</w:t>
      </w:r>
      <w:bookmarkEnd w:id="178"/>
    </w:p>
    <w:p w14:paraId="60720BDA" w14:textId="77777777" w:rsidR="00D61191" w:rsidRPr="004C2091" w:rsidRDefault="00D61191" w:rsidP="00477451">
      <w:pPr>
        <w:pStyle w:val="BodyText"/>
        <w:jc w:val="center"/>
      </w:pPr>
      <w:r w:rsidRPr="004C2091">
        <w:rPr>
          <w:noProof/>
        </w:rPr>
        <w:drawing>
          <wp:inline distT="0" distB="0" distL="0" distR="0" wp14:anchorId="59DD01C7" wp14:editId="3E37BF32">
            <wp:extent cx="4611936" cy="6876082"/>
            <wp:effectExtent l="0" t="0" r="0" b="1270"/>
            <wp:docPr id="1179982585" name="Picture 1" descr="An infographic showing the components of New Zealand’s Zero Carbon Framework for reducing the country’s emissions and responding to climate change. The infographic shows the framework’s purpose, domestic targets, emissions budgets, emissions reduction plans, the National climate change risk assessment and National adaptation plan and the role of the Climate Change Commission underpinning th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982585" name="Picture 1" descr="An infographic showing the components of New Zealand’s Zero Carbon Framework for reducing the country’s emissions and responding to climate change. The infographic shows the framework’s purpose, domestic targets, emissions budgets, emissions reduction plans, the National climate change risk assessment and National adaptation plan and the role of the Climate Change Commission underpinning these."/>
                    <pic:cNvPicPr/>
                  </pic:nvPicPr>
                  <pic:blipFill rotWithShape="1">
                    <a:blip r:embed="rId64"/>
                    <a:srcRect l="-1" t="215" r="-7228" b="961"/>
                    <a:stretch/>
                  </pic:blipFill>
                  <pic:spPr bwMode="auto">
                    <a:xfrm>
                      <a:off x="0" y="0"/>
                      <a:ext cx="4611936" cy="6876082"/>
                    </a:xfrm>
                    <a:prstGeom prst="rect">
                      <a:avLst/>
                    </a:prstGeom>
                    <a:ln>
                      <a:noFill/>
                    </a:ln>
                    <a:extLst>
                      <a:ext uri="{53640926-AAD7-44D8-BBD7-CCE9431645EC}">
                        <a14:shadowObscured xmlns:a14="http://schemas.microsoft.com/office/drawing/2010/main"/>
                      </a:ext>
                    </a:extLst>
                  </pic:spPr>
                </pic:pic>
              </a:graphicData>
            </a:graphic>
          </wp:inline>
        </w:drawing>
      </w:r>
    </w:p>
    <w:p w14:paraId="123D98B8" w14:textId="77777777" w:rsidR="00D61191" w:rsidRPr="004C2091" w:rsidRDefault="00D61191" w:rsidP="00F901E0">
      <w:pPr>
        <w:pStyle w:val="Noteundertable"/>
        <w:spacing w:after="0"/>
      </w:pPr>
      <w:r w:rsidRPr="004C2091">
        <w:rPr>
          <w:b/>
          <w:bCs/>
        </w:rPr>
        <w:t>Note:</w:t>
      </w:r>
      <w:r w:rsidRPr="004C2091">
        <w:t xml:space="preserve"> EB = emissions budget; ERP = emissions reduction plan.</w:t>
      </w:r>
    </w:p>
    <w:p w14:paraId="60187B3F" w14:textId="77777777" w:rsidR="00D61191" w:rsidRPr="004C2091" w:rsidRDefault="00D61191" w:rsidP="00EA02DE">
      <w:pPr>
        <w:pStyle w:val="Heading3"/>
        <w:numPr>
          <w:ilvl w:val="0"/>
          <w:numId w:val="48"/>
        </w:numPr>
      </w:pPr>
      <w:bookmarkStart w:id="179" w:name="_Toc169620076"/>
      <w:bookmarkStart w:id="180" w:name="_Toc172793989"/>
      <w:bookmarkEnd w:id="174"/>
      <w:bookmarkEnd w:id="175"/>
      <w:bookmarkEnd w:id="176"/>
      <w:r w:rsidRPr="004C2091">
        <w:t>Key targets</w:t>
      </w:r>
      <w:bookmarkEnd w:id="179"/>
      <w:bookmarkEnd w:id="180"/>
    </w:p>
    <w:p w14:paraId="263D06C4" w14:textId="77777777" w:rsidR="00D61191" w:rsidRPr="004C2091" w:rsidRDefault="00D61191" w:rsidP="00EA02DE">
      <w:pPr>
        <w:pStyle w:val="Heading4"/>
        <w:numPr>
          <w:ilvl w:val="0"/>
          <w:numId w:val="44"/>
        </w:numPr>
        <w:spacing w:before="200"/>
      </w:pPr>
      <w:r w:rsidRPr="004C2091">
        <w:t>Domestic target</w:t>
      </w:r>
    </w:p>
    <w:p w14:paraId="0E394FBE" w14:textId="77777777" w:rsidR="00D61191" w:rsidRPr="004C2091" w:rsidRDefault="00D61191" w:rsidP="00D61191">
      <w:pPr>
        <w:pStyle w:val="BodyText"/>
        <w:rPr>
          <w:rFonts w:eastAsia="Times New Roman" w:cstheme="minorHAnsi"/>
        </w:rPr>
      </w:pPr>
      <w:r w:rsidRPr="004C2091">
        <w:rPr>
          <w:rFonts w:eastAsia="Times New Roman" w:cstheme="minorHAnsi"/>
        </w:rPr>
        <w:t>In 2019, the CCRA was amended to include the 2050 domestic emissions reduction targets. These legislated targets include:</w:t>
      </w:r>
    </w:p>
    <w:p w14:paraId="47B4EAE3" w14:textId="0B1C4BE2" w:rsidR="00D61191" w:rsidRPr="004C2091" w:rsidRDefault="00D61191" w:rsidP="00D61191">
      <w:pPr>
        <w:pStyle w:val="Bullet"/>
      </w:pPr>
      <w:r w:rsidRPr="004C2091">
        <w:t xml:space="preserve">the 2050 target as a split-gases target, where all greenhouse gas emissions, other than biogenic </w:t>
      </w:r>
      <w:r w:rsidR="00E43CB3">
        <w:rPr>
          <w:rFonts w:eastAsiaTheme="majorEastAsia" w:cs="Calibri"/>
        </w:rPr>
        <w:t>methane</w:t>
      </w:r>
      <w:r w:rsidRPr="004C2091">
        <w:t>, reach net zero by 2050</w:t>
      </w:r>
    </w:p>
    <w:p w14:paraId="02A3EF85" w14:textId="5936797D" w:rsidR="00D61191" w:rsidRPr="004C2091" w:rsidRDefault="00D61191" w:rsidP="00D61191">
      <w:pPr>
        <w:pStyle w:val="Bullet"/>
      </w:pPr>
      <w:r w:rsidRPr="004C2091">
        <w:t xml:space="preserve">for biogenic </w:t>
      </w:r>
      <w:r w:rsidR="00E43CB3">
        <w:rPr>
          <w:rFonts w:eastAsiaTheme="majorEastAsia" w:cs="Calibri"/>
        </w:rPr>
        <w:t>methane</w:t>
      </w:r>
      <w:r w:rsidRPr="004C2091">
        <w:t>, a 24 to 47 per cent reduction by 2050, compared with 2017 levels, including a 10 per cent reduction below 2017 levels by 2030.</w:t>
      </w:r>
    </w:p>
    <w:p w14:paraId="662867C1" w14:textId="77777777" w:rsidR="00D61191" w:rsidRPr="004C2091" w:rsidRDefault="00D61191" w:rsidP="00EA02DE">
      <w:pPr>
        <w:pStyle w:val="Heading4"/>
        <w:numPr>
          <w:ilvl w:val="0"/>
          <w:numId w:val="44"/>
        </w:numPr>
      </w:pPr>
      <w:r w:rsidRPr="004C2091">
        <w:t>International targets</w:t>
      </w:r>
    </w:p>
    <w:p w14:paraId="372137ED" w14:textId="77777777" w:rsidR="00D61191" w:rsidRPr="004C2091" w:rsidRDefault="00D61191" w:rsidP="00D61191">
      <w:pPr>
        <w:pStyle w:val="BodyText"/>
      </w:pPr>
      <w:r w:rsidRPr="004C2091">
        <w:rPr>
          <w:spacing w:val="-2"/>
        </w:rPr>
        <w:t xml:space="preserve">The </w:t>
      </w:r>
      <w:r w:rsidRPr="00A94985">
        <w:rPr>
          <w:spacing w:val="-2"/>
        </w:rPr>
        <w:t>Nationally Determined Contribution</w:t>
      </w:r>
      <w:r w:rsidRPr="004C2091">
        <w:rPr>
          <w:rFonts w:cs="Calibri"/>
          <w:color w:val="000000"/>
          <w:spacing w:val="-2"/>
          <w:shd w:val="clear" w:color="auto" w:fill="FFFFFF"/>
        </w:rPr>
        <w:t xml:space="preserve"> for the period 1 January 2021 through to 31 December</w:t>
      </w:r>
      <w:r w:rsidRPr="004C2091">
        <w:rPr>
          <w:rFonts w:cs="Calibri"/>
          <w:color w:val="000000"/>
          <w:shd w:val="clear" w:color="auto" w:fill="FFFFFF"/>
        </w:rPr>
        <w:t xml:space="preserve"> </w:t>
      </w:r>
      <w:r w:rsidRPr="004C2091">
        <w:rPr>
          <w:rFonts w:cs="Calibri"/>
          <w:color w:val="000000"/>
          <w:spacing w:val="-2"/>
          <w:shd w:val="clear" w:color="auto" w:fill="FFFFFF"/>
        </w:rPr>
        <w:t>2030 is to reduce net greenhouse gas emissions to 50 per cent below gross 2005 levels by 2030</w:t>
      </w:r>
      <w:r w:rsidRPr="004C2091">
        <w:rPr>
          <w:rFonts w:cs="Calibri"/>
          <w:color w:val="000000"/>
          <w:shd w:val="clear" w:color="auto" w:fill="FFFFFF"/>
        </w:rPr>
        <w:t>.</w:t>
      </w:r>
    </w:p>
    <w:p w14:paraId="106B3D4B" w14:textId="10D3C660" w:rsidR="00D61191" w:rsidRPr="004C2091" w:rsidRDefault="00D61191" w:rsidP="00D61191">
      <w:pPr>
        <w:pStyle w:val="BodyText"/>
        <w:rPr>
          <w:rFonts w:cs="Calibri"/>
          <w:color w:val="000000"/>
          <w:shd w:val="clear" w:color="auto" w:fill="FFFFFF"/>
        </w:rPr>
      </w:pPr>
      <w:r w:rsidRPr="004C2091">
        <w:rPr>
          <w:rFonts w:asciiTheme="minorHAnsi" w:hAnsiTheme="minorHAnsi"/>
          <w:color w:val="000000" w:themeColor="text1"/>
        </w:rPr>
        <w:t>New Zealand met the 2020 target by applying the Kyoto Protocol accounting framework</w:t>
      </w:r>
      <w:r w:rsidR="00E653AB">
        <w:rPr>
          <w:rFonts w:asciiTheme="minorHAnsi" w:hAnsiTheme="minorHAnsi"/>
          <w:color w:val="000000" w:themeColor="text1"/>
        </w:rPr>
        <w:t>.</w:t>
      </w:r>
      <w:r w:rsidR="00A04EB7">
        <w:rPr>
          <w:rFonts w:asciiTheme="minorHAnsi" w:hAnsiTheme="minorHAnsi"/>
          <w:color w:val="000000" w:themeColor="text1"/>
        </w:rPr>
        <w:t xml:space="preserve"> </w:t>
      </w:r>
      <w:r w:rsidRPr="004C2091">
        <w:t>The</w:t>
      </w:r>
      <w:r w:rsidRPr="004C2091">
        <w:rPr>
          <w:rFonts w:cs="Calibri"/>
          <w:i/>
          <w:iCs/>
          <w:color w:val="000000"/>
          <w:shd w:val="clear" w:color="auto" w:fill="FFFFFF"/>
        </w:rPr>
        <w:t xml:space="preserve"> </w:t>
      </w:r>
      <w:r w:rsidRPr="00A94985">
        <w:t xml:space="preserve">2020 </w:t>
      </w:r>
      <w:r w:rsidR="0098734A" w:rsidRPr="00A94985">
        <w:t>t</w:t>
      </w:r>
      <w:r w:rsidRPr="00A94985">
        <w:t>arget</w:t>
      </w:r>
      <w:r w:rsidRPr="004C2091">
        <w:rPr>
          <w:rFonts w:cs="Calibri"/>
          <w:color w:val="000000"/>
          <w:shd w:val="clear" w:color="auto" w:fill="FFFFFF"/>
        </w:rPr>
        <w:t xml:space="preserve"> for the period 1 January 2013 through to 31 December 2020 </w:t>
      </w:r>
      <w:r w:rsidR="00A04EB7">
        <w:rPr>
          <w:rFonts w:cs="Calibri"/>
          <w:color w:val="000000"/>
          <w:shd w:val="clear" w:color="auto" w:fill="FFFFFF"/>
        </w:rPr>
        <w:t>was</w:t>
      </w:r>
      <w:r w:rsidR="00A04EB7" w:rsidRPr="004C2091">
        <w:rPr>
          <w:rFonts w:cs="Calibri"/>
          <w:color w:val="000000"/>
          <w:shd w:val="clear" w:color="auto" w:fill="FFFFFF"/>
        </w:rPr>
        <w:t xml:space="preserve"> </w:t>
      </w:r>
      <w:r w:rsidRPr="004C2091">
        <w:rPr>
          <w:rFonts w:cs="Calibri"/>
          <w:color w:val="000000"/>
          <w:shd w:val="clear" w:color="auto" w:fill="FFFFFF"/>
        </w:rPr>
        <w:t>to reduce gross greenhouse gas emissions to 5 per cent below 1990 levels.</w:t>
      </w:r>
      <w:r w:rsidRPr="004C2091" w:rsidDel="00A04EB7">
        <w:rPr>
          <w:rFonts w:asciiTheme="minorHAnsi" w:hAnsiTheme="minorHAnsi"/>
          <w:color w:val="000000" w:themeColor="text1"/>
        </w:rPr>
        <w:t xml:space="preserve"> </w:t>
      </w:r>
    </w:p>
    <w:p w14:paraId="7D1B1094" w14:textId="77777777" w:rsidR="00D61191" w:rsidRPr="004C2091" w:rsidRDefault="00D61191" w:rsidP="006A6AEB">
      <w:pPr>
        <w:pStyle w:val="Heading4"/>
        <w:numPr>
          <w:ilvl w:val="0"/>
          <w:numId w:val="44"/>
        </w:numPr>
      </w:pPr>
      <w:r w:rsidRPr="004C2091">
        <w:t>Emissions budgets</w:t>
      </w:r>
    </w:p>
    <w:p w14:paraId="1257EFA9" w14:textId="77777777" w:rsidR="00D61191" w:rsidRPr="004C2091" w:rsidRDefault="00D61191" w:rsidP="00D61191">
      <w:pPr>
        <w:pStyle w:val="BodyText"/>
        <w:rPr>
          <w:rFonts w:eastAsia="Times New Roman"/>
        </w:rPr>
      </w:pPr>
      <w:r w:rsidRPr="004C2091">
        <w:rPr>
          <w:rFonts w:eastAsia="Times New Roman"/>
        </w:rPr>
        <w:t xml:space="preserve">In 2022, the Minister of Climate Change set New Zealand’s first three emissions budgets covering the period from 2022 through to 2035 (table 2.1.2). These emissions budgets were established with a view to helping to meet the 2050 target under the CCRA and contributing to the global effort under the Paris Agreement to limit the global average temperature increase to 1.5 degrees Celsius. </w:t>
      </w:r>
    </w:p>
    <w:p w14:paraId="5291DD77" w14:textId="3EFC84EF" w:rsidR="00D61191" w:rsidRPr="004C2091" w:rsidRDefault="00D61191" w:rsidP="00D61191">
      <w:pPr>
        <w:pStyle w:val="Tableheading"/>
      </w:pPr>
      <w:bookmarkStart w:id="181" w:name="_Toc185407459"/>
      <w:bookmarkStart w:id="182" w:name="_Toc185427722"/>
      <w:r w:rsidRPr="004C2091">
        <w:t>Table 2.1.</w:t>
      </w:r>
      <w:r w:rsidR="007A1154">
        <w:t>2</w:t>
      </w:r>
      <w:r w:rsidRPr="004C2091">
        <w:t>:</w:t>
      </w:r>
      <w:r w:rsidRPr="004C2091">
        <w:tab/>
        <w:t>New Zealand’s first three emissions budgets, 2022–35</w:t>
      </w:r>
      <w:bookmarkEnd w:id="181"/>
      <w:bookmarkEnd w:id="182"/>
    </w:p>
    <w:tbl>
      <w:tblPr>
        <w:tblStyle w:val="LightList-Accent11"/>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124"/>
        <w:gridCol w:w="2127"/>
        <w:gridCol w:w="2127"/>
        <w:gridCol w:w="2127"/>
      </w:tblGrid>
      <w:tr w:rsidR="00D61191" w:rsidRPr="004C2091" w14:paraId="3220F7F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shd w:val="clear" w:color="auto" w:fill="1B556B" w:themeFill="text2"/>
          </w:tcPr>
          <w:p w14:paraId="40EA0B7A" w14:textId="77777777" w:rsidR="00D61191" w:rsidRPr="004C2091" w:rsidRDefault="00D61191">
            <w:pPr>
              <w:pStyle w:val="TableText"/>
            </w:pPr>
            <w:r w:rsidRPr="004C2091">
              <w:t>Budget period</w:t>
            </w:r>
          </w:p>
        </w:tc>
        <w:tc>
          <w:tcPr>
            <w:tcW w:w="2124" w:type="dxa"/>
            <w:shd w:val="clear" w:color="auto" w:fill="1B556B" w:themeFill="text2"/>
          </w:tcPr>
          <w:p w14:paraId="6DC71AB7" w14:textId="77777777" w:rsidR="00D61191" w:rsidRPr="004C2091" w:rsidRDefault="00D61191">
            <w:pPr>
              <w:pStyle w:val="TableText"/>
              <w:cnfStyle w:val="100000000000" w:firstRow="1" w:lastRow="0" w:firstColumn="0" w:lastColumn="0" w:oddVBand="0" w:evenVBand="0" w:oddHBand="0" w:evenHBand="0" w:firstRowFirstColumn="0" w:firstRowLastColumn="0" w:lastRowFirstColumn="0" w:lastRowLastColumn="0"/>
            </w:pPr>
            <w:r w:rsidRPr="004C2091">
              <w:t>2022–25</w:t>
            </w:r>
          </w:p>
        </w:tc>
        <w:tc>
          <w:tcPr>
            <w:tcW w:w="2124" w:type="dxa"/>
            <w:shd w:val="clear" w:color="auto" w:fill="1B556B" w:themeFill="text2"/>
          </w:tcPr>
          <w:p w14:paraId="0A58BEB1" w14:textId="77777777" w:rsidR="00D61191" w:rsidRPr="004C2091" w:rsidRDefault="00D61191">
            <w:pPr>
              <w:pStyle w:val="TableText"/>
              <w:cnfStyle w:val="100000000000" w:firstRow="1" w:lastRow="0" w:firstColumn="0" w:lastColumn="0" w:oddVBand="0" w:evenVBand="0" w:oddHBand="0" w:evenHBand="0" w:firstRowFirstColumn="0" w:firstRowLastColumn="0" w:lastRowFirstColumn="0" w:lastRowLastColumn="0"/>
            </w:pPr>
            <w:r w:rsidRPr="004C2091">
              <w:t>2026–30</w:t>
            </w:r>
          </w:p>
        </w:tc>
        <w:tc>
          <w:tcPr>
            <w:tcW w:w="2124" w:type="dxa"/>
            <w:shd w:val="clear" w:color="auto" w:fill="1B556B" w:themeFill="text2"/>
          </w:tcPr>
          <w:p w14:paraId="09984879" w14:textId="77777777" w:rsidR="00D61191" w:rsidRPr="004C2091" w:rsidRDefault="00D61191">
            <w:pPr>
              <w:pStyle w:val="TableText"/>
              <w:cnfStyle w:val="100000000000" w:firstRow="1" w:lastRow="0" w:firstColumn="0" w:lastColumn="0" w:oddVBand="0" w:evenVBand="0" w:oddHBand="0" w:evenHBand="0" w:firstRowFirstColumn="0" w:firstRowLastColumn="0" w:lastRowFirstColumn="0" w:lastRowLastColumn="0"/>
            </w:pPr>
            <w:r w:rsidRPr="004C2091">
              <w:t>2031–35</w:t>
            </w:r>
          </w:p>
        </w:tc>
      </w:tr>
      <w:tr w:rsidR="00D61191" w:rsidRPr="004C2091" w14:paraId="4B4D049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Borders>
              <w:top w:val="none" w:sz="0" w:space="0" w:color="auto"/>
              <w:left w:val="none" w:sz="0" w:space="0" w:color="auto"/>
              <w:bottom w:val="none" w:sz="0" w:space="0" w:color="auto"/>
            </w:tcBorders>
          </w:tcPr>
          <w:p w14:paraId="35D58670" w14:textId="77777777" w:rsidR="00D61191" w:rsidRPr="004C2091" w:rsidRDefault="00D61191">
            <w:pPr>
              <w:pStyle w:val="TableTextBold0"/>
            </w:pPr>
            <w:r w:rsidRPr="004C2091">
              <w:t>All gases, net (AR5)</w:t>
            </w:r>
          </w:p>
        </w:tc>
        <w:tc>
          <w:tcPr>
            <w:tcW w:w="2124" w:type="dxa"/>
            <w:tcBorders>
              <w:top w:val="none" w:sz="0" w:space="0" w:color="auto"/>
              <w:bottom w:val="none" w:sz="0" w:space="0" w:color="auto"/>
            </w:tcBorders>
          </w:tcPr>
          <w:p w14:paraId="5B934A02" w14:textId="77777777" w:rsidR="00D61191" w:rsidRPr="004C2091" w:rsidRDefault="00D61191">
            <w:pPr>
              <w:pStyle w:val="TableText"/>
              <w:cnfStyle w:val="000000100000" w:firstRow="0" w:lastRow="0" w:firstColumn="0" w:lastColumn="0" w:oddVBand="0" w:evenVBand="0" w:oddHBand="1" w:evenHBand="0" w:firstRowFirstColumn="0" w:firstRowLastColumn="0" w:lastRowFirstColumn="0" w:lastRowLastColumn="0"/>
            </w:pPr>
            <w:r w:rsidRPr="004C2091">
              <w:t>290 Mt CO</w:t>
            </w:r>
            <w:r w:rsidRPr="004C2091">
              <w:rPr>
                <w:rFonts w:cs="Calibri"/>
              </w:rPr>
              <w:t>₂</w:t>
            </w:r>
            <w:r w:rsidRPr="004C2091">
              <w:t>e</w:t>
            </w:r>
          </w:p>
        </w:tc>
        <w:tc>
          <w:tcPr>
            <w:tcW w:w="2124" w:type="dxa"/>
            <w:tcBorders>
              <w:top w:val="none" w:sz="0" w:space="0" w:color="auto"/>
              <w:bottom w:val="none" w:sz="0" w:space="0" w:color="auto"/>
            </w:tcBorders>
          </w:tcPr>
          <w:p w14:paraId="3C8B07F7" w14:textId="77777777" w:rsidR="00D61191" w:rsidRPr="004C2091" w:rsidRDefault="00D61191">
            <w:pPr>
              <w:pStyle w:val="TableText"/>
              <w:cnfStyle w:val="000000100000" w:firstRow="0" w:lastRow="0" w:firstColumn="0" w:lastColumn="0" w:oddVBand="0" w:evenVBand="0" w:oddHBand="1" w:evenHBand="0" w:firstRowFirstColumn="0" w:firstRowLastColumn="0" w:lastRowFirstColumn="0" w:lastRowLastColumn="0"/>
            </w:pPr>
            <w:r w:rsidRPr="004C2091">
              <w:t>305 Mt CO</w:t>
            </w:r>
            <w:r w:rsidRPr="004C2091">
              <w:rPr>
                <w:rFonts w:cs="Calibri"/>
              </w:rPr>
              <w:t>₂</w:t>
            </w:r>
            <w:r w:rsidRPr="004C2091">
              <w:t>e</w:t>
            </w:r>
          </w:p>
        </w:tc>
        <w:tc>
          <w:tcPr>
            <w:tcW w:w="2124" w:type="dxa"/>
            <w:tcBorders>
              <w:top w:val="none" w:sz="0" w:space="0" w:color="auto"/>
              <w:bottom w:val="none" w:sz="0" w:space="0" w:color="auto"/>
              <w:right w:val="none" w:sz="0" w:space="0" w:color="auto"/>
            </w:tcBorders>
          </w:tcPr>
          <w:p w14:paraId="3CBD7562" w14:textId="77777777" w:rsidR="00D61191" w:rsidRPr="004C2091" w:rsidRDefault="00D61191">
            <w:pPr>
              <w:pStyle w:val="TableText"/>
              <w:cnfStyle w:val="000000100000" w:firstRow="0" w:lastRow="0" w:firstColumn="0" w:lastColumn="0" w:oddVBand="0" w:evenVBand="0" w:oddHBand="1" w:evenHBand="0" w:firstRowFirstColumn="0" w:firstRowLastColumn="0" w:lastRowFirstColumn="0" w:lastRowLastColumn="0"/>
            </w:pPr>
            <w:r w:rsidRPr="004C2091">
              <w:t>240 Mt CO</w:t>
            </w:r>
            <w:r w:rsidRPr="004C2091">
              <w:rPr>
                <w:rFonts w:cs="Calibri"/>
              </w:rPr>
              <w:t>₂</w:t>
            </w:r>
            <w:r w:rsidRPr="004C2091">
              <w:t>e</w:t>
            </w:r>
          </w:p>
        </w:tc>
      </w:tr>
      <w:tr w:rsidR="00D61191" w:rsidRPr="004C2091" w14:paraId="61FF38EA" w14:textId="77777777">
        <w:tc>
          <w:tcPr>
            <w:cnfStyle w:val="001000000000" w:firstRow="0" w:lastRow="0" w:firstColumn="1" w:lastColumn="0" w:oddVBand="0" w:evenVBand="0" w:oddHBand="0" w:evenHBand="0" w:firstRowFirstColumn="0" w:firstRowLastColumn="0" w:lastRowFirstColumn="0" w:lastRowLastColumn="0"/>
            <w:tcW w:w="2123" w:type="dxa"/>
          </w:tcPr>
          <w:p w14:paraId="64B62CCF" w14:textId="77777777" w:rsidR="00D61191" w:rsidRPr="004C2091" w:rsidRDefault="00D61191">
            <w:pPr>
              <w:pStyle w:val="TableTextBold0"/>
            </w:pPr>
            <w:r w:rsidRPr="004C2091">
              <w:t>Annual average</w:t>
            </w:r>
          </w:p>
        </w:tc>
        <w:tc>
          <w:tcPr>
            <w:tcW w:w="2124" w:type="dxa"/>
          </w:tcPr>
          <w:p w14:paraId="3BE1E920" w14:textId="77777777" w:rsidR="00D61191" w:rsidRPr="004C2091" w:rsidRDefault="00D61191">
            <w:pPr>
              <w:pStyle w:val="TableText"/>
              <w:cnfStyle w:val="000000000000" w:firstRow="0" w:lastRow="0" w:firstColumn="0" w:lastColumn="0" w:oddVBand="0" w:evenVBand="0" w:oddHBand="0" w:evenHBand="0" w:firstRowFirstColumn="0" w:firstRowLastColumn="0" w:lastRowFirstColumn="0" w:lastRowLastColumn="0"/>
            </w:pPr>
            <w:r w:rsidRPr="004C2091">
              <w:t>72.5 Mt CO</w:t>
            </w:r>
            <w:r w:rsidRPr="004C2091">
              <w:rPr>
                <w:rFonts w:cs="Calibri"/>
              </w:rPr>
              <w:t>₂</w:t>
            </w:r>
            <w:r w:rsidRPr="004C2091">
              <w:t>e</w:t>
            </w:r>
          </w:p>
        </w:tc>
        <w:tc>
          <w:tcPr>
            <w:tcW w:w="2124" w:type="dxa"/>
          </w:tcPr>
          <w:p w14:paraId="64B947FD" w14:textId="77777777" w:rsidR="00D61191" w:rsidRPr="004C2091" w:rsidRDefault="00D61191">
            <w:pPr>
              <w:pStyle w:val="TableText"/>
              <w:cnfStyle w:val="000000000000" w:firstRow="0" w:lastRow="0" w:firstColumn="0" w:lastColumn="0" w:oddVBand="0" w:evenVBand="0" w:oddHBand="0" w:evenHBand="0" w:firstRowFirstColumn="0" w:firstRowLastColumn="0" w:lastRowFirstColumn="0" w:lastRowLastColumn="0"/>
            </w:pPr>
            <w:r w:rsidRPr="004C2091">
              <w:t>61 Mt CO</w:t>
            </w:r>
            <w:r w:rsidRPr="004C2091">
              <w:rPr>
                <w:rFonts w:cs="Calibri"/>
              </w:rPr>
              <w:t>₂</w:t>
            </w:r>
            <w:r w:rsidRPr="004C2091">
              <w:t>e</w:t>
            </w:r>
          </w:p>
        </w:tc>
        <w:tc>
          <w:tcPr>
            <w:tcW w:w="2124" w:type="dxa"/>
          </w:tcPr>
          <w:p w14:paraId="330BAD2C" w14:textId="77777777" w:rsidR="00D61191" w:rsidRPr="004C2091" w:rsidRDefault="00D61191">
            <w:pPr>
              <w:pStyle w:val="TableText"/>
              <w:cnfStyle w:val="000000000000" w:firstRow="0" w:lastRow="0" w:firstColumn="0" w:lastColumn="0" w:oddVBand="0" w:evenVBand="0" w:oddHBand="0" w:evenHBand="0" w:firstRowFirstColumn="0" w:firstRowLastColumn="0" w:lastRowFirstColumn="0" w:lastRowLastColumn="0"/>
            </w:pPr>
            <w:r w:rsidRPr="004C2091">
              <w:t>48 Mt CO</w:t>
            </w:r>
            <w:r w:rsidRPr="004C2091">
              <w:rPr>
                <w:rFonts w:cs="Calibri"/>
              </w:rPr>
              <w:t>₂</w:t>
            </w:r>
            <w:r w:rsidRPr="004C2091">
              <w:t>e</w:t>
            </w:r>
          </w:p>
        </w:tc>
      </w:tr>
    </w:tbl>
    <w:p w14:paraId="1737513C" w14:textId="77777777" w:rsidR="00D61191" w:rsidRPr="004C2091" w:rsidRDefault="00D61191" w:rsidP="00D61191">
      <w:pPr>
        <w:pStyle w:val="Note"/>
      </w:pPr>
      <w:r w:rsidRPr="004C2091">
        <w:rPr>
          <w:b/>
          <w:bCs/>
        </w:rPr>
        <w:t>Note:</w:t>
      </w:r>
      <w:r w:rsidRPr="004C2091">
        <w:t xml:space="preserve"> AR5 = Intergovernmental Panel on Climate Change Fifth Assessment Report; Mt CO</w:t>
      </w:r>
      <w:r w:rsidRPr="004C2091">
        <w:rPr>
          <w:rFonts w:cs="Calibri"/>
        </w:rPr>
        <w:t>₂</w:t>
      </w:r>
      <w:r w:rsidRPr="004C2091">
        <w:t>e = million tonnes of carbon dioxide equivalent.</w:t>
      </w:r>
    </w:p>
    <w:p w14:paraId="403437AC" w14:textId="77777777" w:rsidR="00D61191" w:rsidRPr="004C2091" w:rsidRDefault="00D61191" w:rsidP="00D61191">
      <w:pPr>
        <w:pStyle w:val="BodyText"/>
        <w:rPr>
          <w:rFonts w:eastAsia="Times New Roman"/>
        </w:rPr>
      </w:pPr>
      <w:r w:rsidRPr="004C2091">
        <w:rPr>
          <w:rFonts w:eastAsia="Times New Roman"/>
        </w:rPr>
        <w:t>Emissions budgets specify the amount of greenhouse gas emissions that is permitted during an emissions budget period. The purpose of this approach is to enable New Zealand to step progressively towards the 2050 target. Emissions budgets essentially act as stepping stones that will get progressively smaller over time. By achieving emissions budgets set from 2022 until 2050, New Zealand can reach and sustain net zero emissions by 2050.</w:t>
      </w:r>
    </w:p>
    <w:p w14:paraId="2E48A943" w14:textId="77777777" w:rsidR="00D61191" w:rsidRPr="004C2091" w:rsidRDefault="00D61191" w:rsidP="00D61191">
      <w:pPr>
        <w:pStyle w:val="BodyText"/>
        <w:rPr>
          <w:rFonts w:eastAsia="Times New Roman" w:cstheme="minorHAnsi"/>
        </w:rPr>
      </w:pPr>
      <w:r w:rsidRPr="004C2091">
        <w:rPr>
          <w:rFonts w:eastAsia="Times New Roman" w:cstheme="minorHAnsi"/>
        </w:rPr>
        <w:t>Each emissions budget covers a period of five years, except for the first emissions budget, which covers a four-year period.</w:t>
      </w:r>
    </w:p>
    <w:p w14:paraId="349238C5" w14:textId="77777777" w:rsidR="00D61191" w:rsidRPr="004C2091" w:rsidRDefault="00D61191" w:rsidP="006A6AEB">
      <w:pPr>
        <w:pStyle w:val="Heading4"/>
        <w:numPr>
          <w:ilvl w:val="0"/>
          <w:numId w:val="44"/>
        </w:numPr>
      </w:pPr>
      <w:r w:rsidRPr="004C2091">
        <w:t>Government Target 9</w:t>
      </w:r>
    </w:p>
    <w:p w14:paraId="6898B7B4" w14:textId="77777777" w:rsidR="00D61191" w:rsidRPr="004C2091" w:rsidRDefault="00D61191" w:rsidP="000232D4">
      <w:pPr>
        <w:jc w:val="left"/>
      </w:pPr>
      <w:r w:rsidRPr="004C2091">
        <w:t xml:space="preserve">In April 2024, the Government announced a suite of nine targets to achieve better results in areas that matter to New Zealanders. </w:t>
      </w:r>
      <w:r w:rsidRPr="004C2091">
        <w:rPr>
          <w:rFonts w:eastAsia="Times New Roman"/>
        </w:rPr>
        <w:t xml:space="preserve">Target 9 of this suite aims to put New Zealand on track to meet its 2050 net zero climate change targets with total net emissions of no more than 290 million tonnes (Mt) from 2022 to 2025 and 305 Mt from 2026 to 2030. This aligns with the first and second emissions budgets and the 2050 net zero target as set out in the CCRA. </w:t>
      </w:r>
    </w:p>
    <w:p w14:paraId="45CC61F0" w14:textId="77777777" w:rsidR="00D61191" w:rsidRPr="004C2091" w:rsidRDefault="00D61191" w:rsidP="00EA02DE">
      <w:pPr>
        <w:pStyle w:val="Heading3"/>
        <w:numPr>
          <w:ilvl w:val="0"/>
          <w:numId w:val="48"/>
        </w:numPr>
      </w:pPr>
      <w:bookmarkStart w:id="183" w:name="_Climate_Change_Chief"/>
      <w:bookmarkStart w:id="184" w:name="_Toc169616350"/>
      <w:bookmarkStart w:id="185" w:name="_Toc169620055"/>
      <w:bookmarkStart w:id="186" w:name="_Toc172793967"/>
      <w:bookmarkEnd w:id="183"/>
      <w:r w:rsidRPr="004C2091">
        <w:t>Climate Change Chief Executives B</w:t>
      </w:r>
      <w:bookmarkEnd w:id="184"/>
      <w:bookmarkEnd w:id="185"/>
      <w:r w:rsidRPr="004C2091">
        <w:t>oard</w:t>
      </w:r>
      <w:bookmarkEnd w:id="186"/>
    </w:p>
    <w:p w14:paraId="4CD5FD18" w14:textId="77777777" w:rsidR="00D61191" w:rsidRPr="004C2091" w:rsidRDefault="00D61191" w:rsidP="00D61191">
      <w:pPr>
        <w:pStyle w:val="BodyText"/>
      </w:pPr>
      <w:r w:rsidRPr="004C2091">
        <w:t>The Climate Change Chief Executives Board (the Board) was established in 2022 to oversee the Government’s climate change response and provide a coordinated approach to achieving New Zealand’s climate goals. The Board is responsible to the Minister of Climate Change and advises the Climate Priorities Ministerial Group. It is made up of the chief executives of New Zealand government agencies that have key roles in mitigating and/or adapting to climate change. The Board is supported by an independent Secretariat Unit and an Executive Director, hosted by the Ministry for the Environment.</w:t>
      </w:r>
    </w:p>
    <w:p w14:paraId="485B5171" w14:textId="76F0781C" w:rsidR="00D61191" w:rsidRPr="004C2091" w:rsidRDefault="00D61191" w:rsidP="00D61191">
      <w:pPr>
        <w:pStyle w:val="BodyText"/>
      </w:pPr>
      <w:r w:rsidRPr="004C2091">
        <w:t xml:space="preserve">The Board monitors across </w:t>
      </w:r>
      <w:r w:rsidR="0098734A">
        <w:t>more than</w:t>
      </w:r>
      <w:r w:rsidR="0098734A" w:rsidRPr="004C2091">
        <w:t xml:space="preserve"> </w:t>
      </w:r>
      <w:r w:rsidRPr="004C2091">
        <w:t xml:space="preserve">25 agencies on the overall implementation of the emissions </w:t>
      </w:r>
      <w:r w:rsidRPr="004C2091">
        <w:rPr>
          <w:spacing w:val="-2"/>
        </w:rPr>
        <w:t>reduction plan and national adaptation plan, and the delivery of Government climate priorities</w:t>
      </w:r>
      <w:r w:rsidRPr="004C2091">
        <w:t>. In this way, it provides visibility across the climate system, and accountability for the implementation of policies that each agency is responsible for.</w:t>
      </w:r>
    </w:p>
    <w:p w14:paraId="72504014" w14:textId="77777777" w:rsidR="00D61191" w:rsidRPr="004C2091" w:rsidRDefault="00D61191" w:rsidP="00D61191">
      <w:pPr>
        <w:pStyle w:val="BodyText"/>
      </w:pPr>
      <w:r w:rsidRPr="004C2091">
        <w:t>The Board provides quarterly progress reports to the Climate Priorities Ministerial Group on delivery progress, and on progress against climate change goals and targets. These reports are intended to inform ministerial decisions on any responses required to ensure New Zealand remains on track to meet its climate change goals and targets.</w:t>
      </w:r>
    </w:p>
    <w:p w14:paraId="0BB72BEA" w14:textId="77777777" w:rsidR="00D61191" w:rsidRPr="004C2091" w:rsidRDefault="00D61191" w:rsidP="00EA02DE">
      <w:pPr>
        <w:pStyle w:val="Heading3"/>
        <w:numPr>
          <w:ilvl w:val="0"/>
          <w:numId w:val="48"/>
        </w:numPr>
      </w:pPr>
      <w:r w:rsidRPr="004C2091">
        <w:t>Climate Priorities Ministerial Group</w:t>
      </w:r>
    </w:p>
    <w:p w14:paraId="0D1C722C" w14:textId="77777777" w:rsidR="00D61191" w:rsidRPr="004C2091" w:rsidRDefault="00D61191" w:rsidP="00D61191">
      <w:pPr>
        <w:pStyle w:val="BodyText"/>
      </w:pPr>
      <w:bookmarkStart w:id="187" w:name="_Toc169616351"/>
      <w:bookmarkStart w:id="188" w:name="_Toc169620056"/>
      <w:r w:rsidRPr="004C2091">
        <w:t>The Climate Priorities Ministerial Group (formerly the Climate Response Ministerial Group) is chaired by the Minister of Climate Change. This group meets quarterly to drive delivery across the Government’s climate change work programme and ensure New Zealand achieves its international and domestic mitigation commitments and adaptation goals.</w:t>
      </w:r>
    </w:p>
    <w:p w14:paraId="1754C460" w14:textId="63709882" w:rsidR="00D61191" w:rsidRPr="004C2091" w:rsidRDefault="00D61191" w:rsidP="00D61191">
      <w:pPr>
        <w:pStyle w:val="BodyText"/>
      </w:pPr>
      <w:r w:rsidRPr="004C2091">
        <w:t xml:space="preserve">While the Minister of Climate Change has the statutory responsibility to meet climate change goals, this responsibility is held on behalf of the Executive (ie, Cabinet and </w:t>
      </w:r>
      <w:r w:rsidR="00183050">
        <w:t>m</w:t>
      </w:r>
      <w:r w:rsidRPr="004C2091">
        <w:t xml:space="preserve">inisters) and many actions that impact this responsibility sit within other portfolios. A cross-ministerial governance approach is therefore vital to the overall success of meeting New Zealand’s climate change goals and targets. </w:t>
      </w:r>
    </w:p>
    <w:p w14:paraId="29FE47CE" w14:textId="77777777" w:rsidR="00D61191" w:rsidRPr="004C2091" w:rsidRDefault="00D61191" w:rsidP="00975A69">
      <w:pPr>
        <w:pStyle w:val="Heading3"/>
        <w:numPr>
          <w:ilvl w:val="0"/>
          <w:numId w:val="48"/>
        </w:numPr>
        <w:ind w:left="1134" w:hanging="1134"/>
      </w:pPr>
      <w:bookmarkStart w:id="189" w:name="_Role_of_Climate"/>
      <w:bookmarkStart w:id="190" w:name="s2185"/>
      <w:bookmarkStart w:id="191" w:name="_Toc172793968"/>
      <w:bookmarkEnd w:id="189"/>
      <w:bookmarkEnd w:id="190"/>
      <w:r w:rsidRPr="004C2091">
        <w:t>Role of Climate Change Commission</w:t>
      </w:r>
      <w:bookmarkEnd w:id="187"/>
      <w:bookmarkEnd w:id="188"/>
      <w:bookmarkEnd w:id="191"/>
      <w:r w:rsidRPr="004C2091">
        <w:t xml:space="preserve"> | He Pou a Rangi</w:t>
      </w:r>
    </w:p>
    <w:p w14:paraId="1B1574C4" w14:textId="77777777" w:rsidR="00D61191" w:rsidRPr="004C2091" w:rsidRDefault="00D61191" w:rsidP="00D61191">
      <w:pPr>
        <w:pStyle w:val="BodyText"/>
      </w:pPr>
      <w:r w:rsidRPr="004C2091">
        <w:t>The Climate Change Commission (the Commission) is an independent Crown entity that delivers</w:t>
      </w:r>
      <w:r w:rsidRPr="004C2091">
        <w:rPr>
          <w:iCs/>
        </w:rPr>
        <w:t xml:space="preserve"> evidence-based advice to the Government to guide the climate change action for New Zealand. The Commission was established in 2019 under the Zero Carbon Framework for the following purposes.</w:t>
      </w:r>
    </w:p>
    <w:p w14:paraId="212D4F42" w14:textId="77777777" w:rsidR="00D61191" w:rsidRPr="004C2091" w:rsidRDefault="00D61191" w:rsidP="00D61191">
      <w:pPr>
        <w:pStyle w:val="Bullet"/>
      </w:pPr>
      <w:r w:rsidRPr="004C2091">
        <w:t>Provide independent advice to the Government on climate change mitigation and adaptation.</w:t>
      </w:r>
    </w:p>
    <w:p w14:paraId="62465876" w14:textId="77777777" w:rsidR="00D61191" w:rsidRPr="004C2091" w:rsidRDefault="00D61191" w:rsidP="00D61191">
      <w:pPr>
        <w:pStyle w:val="Sub-list"/>
      </w:pPr>
      <w:r w:rsidRPr="004C2091">
        <w:t>For mitigation, the Commission provides advice to the Minister of Climate Change on the policy direction of emissions reduction plans and advice to enable the preparation of emissions budgets. It also recommends any necessary amendments to emissions budgets.</w:t>
      </w:r>
    </w:p>
    <w:p w14:paraId="3FBC9DA1" w14:textId="77777777" w:rsidR="00D61191" w:rsidRPr="004C2091" w:rsidRDefault="00D61191" w:rsidP="00D61191">
      <w:pPr>
        <w:pStyle w:val="Sub-list"/>
      </w:pPr>
      <w:r w:rsidRPr="004C2091">
        <w:t>For adaptation, the Commission is responsible for preparing national climate change risk assessments on a six-yearly cycle.</w:t>
      </w:r>
    </w:p>
    <w:p w14:paraId="41F7FF82" w14:textId="77777777" w:rsidR="00D61191" w:rsidRPr="004C2091" w:rsidRDefault="00D61191" w:rsidP="00D61191">
      <w:pPr>
        <w:pStyle w:val="Bullet"/>
      </w:pPr>
      <w:r w:rsidRPr="004C2091">
        <w:t>Monitor and review the Government’s progress towards meeting the emissions budgets and 2050 target.</w:t>
      </w:r>
    </w:p>
    <w:p w14:paraId="6211E5C8" w14:textId="77777777" w:rsidR="00D61191" w:rsidRPr="004C2091" w:rsidRDefault="00D61191" w:rsidP="00D61191">
      <w:pPr>
        <w:pStyle w:val="Bullet"/>
      </w:pPr>
      <w:r w:rsidRPr="004C2091">
        <w:t>Report on the implementation of emissions reduction plans and national adaptation plans.</w:t>
      </w:r>
    </w:p>
    <w:p w14:paraId="63A91567" w14:textId="5DBE5008" w:rsidR="00D61191" w:rsidRPr="004C2091" w:rsidRDefault="00D46511" w:rsidP="00D61191">
      <w:pPr>
        <w:pStyle w:val="BodyText"/>
        <w:rPr>
          <w:rFonts w:asciiTheme="minorHAnsi" w:hAnsiTheme="minorHAnsi"/>
        </w:rPr>
      </w:pPr>
      <w:r>
        <w:t>In November 2024, the Commission released the first review of New Zealand's 2050 emissions reduction target, and provided advice on the fourth emissions budget (for the period 2036–40), and on the inclusion of emissions from international shipping and aviation within New Zealand's emissions budgets</w:t>
      </w:r>
      <w:r w:rsidR="00D61191" w:rsidRPr="004C2091">
        <w:t>.</w:t>
      </w:r>
      <w:r w:rsidR="0039749C">
        <w:rPr>
          <w:rStyle w:val="FootnoteReference"/>
        </w:rPr>
        <w:footnoteReference w:id="109"/>
      </w:r>
      <w:r>
        <w:t xml:space="preserve"> </w:t>
      </w:r>
      <w:r w:rsidRPr="00D46511">
        <w:t>In October 2024 the Commission also provided a report on the potential domestic contribution to New Zealand’s second nationally determined contribution.</w:t>
      </w:r>
      <w:r w:rsidR="00DE5696">
        <w:rPr>
          <w:rStyle w:val="FootnoteReference"/>
        </w:rPr>
        <w:footnoteReference w:id="110"/>
      </w:r>
    </w:p>
    <w:p w14:paraId="68A6F1E6" w14:textId="77777777" w:rsidR="00D61191" w:rsidRPr="004C2091" w:rsidRDefault="00D61191" w:rsidP="00EA02DE">
      <w:pPr>
        <w:pStyle w:val="Heading3"/>
        <w:numPr>
          <w:ilvl w:val="0"/>
          <w:numId w:val="48"/>
        </w:numPr>
      </w:pPr>
      <w:r w:rsidRPr="004C2091">
        <w:t>Other relevant legislation</w:t>
      </w:r>
    </w:p>
    <w:p w14:paraId="679AEA74" w14:textId="6D9CD3F8" w:rsidR="00D61191" w:rsidRPr="004C2091" w:rsidRDefault="00D61191" w:rsidP="00D61191">
      <w:pPr>
        <w:pStyle w:val="BodyText"/>
      </w:pPr>
      <w:r w:rsidRPr="004C2091">
        <w:t>In addition to the CCRA as the primary climate legislation, the Resource Management Act 1991</w:t>
      </w:r>
      <w:r w:rsidR="007526DA">
        <w:t> </w:t>
      </w:r>
      <w:r w:rsidRPr="004C2091">
        <w:t xml:space="preserve">(RMA) is the primary legislation governing the use of New Zealand’s land, water and air resources. It is also administered by the Ministry for the Environment. </w:t>
      </w:r>
    </w:p>
    <w:p w14:paraId="3D21658B" w14:textId="77777777" w:rsidR="00D61191" w:rsidRPr="004C2091" w:rsidRDefault="00D61191" w:rsidP="00D61191">
      <w:pPr>
        <w:pStyle w:val="BodyText"/>
      </w:pPr>
      <w:r w:rsidRPr="004C2091">
        <w:t>The RMA currently requires anyone exercising functions and</w:t>
      </w:r>
      <w:r w:rsidRPr="004C2091" w:rsidDel="00725F46">
        <w:t xml:space="preserve"> </w:t>
      </w:r>
      <w:r w:rsidRPr="004C2091">
        <w:t xml:space="preserve">powers under it to have particular regard to the effects of climate change, the efficiency and end use of energy, and the benefits to be derived from the use and development of renewable energy. </w:t>
      </w:r>
    </w:p>
    <w:p w14:paraId="45415392" w14:textId="77777777" w:rsidR="00D61191" w:rsidRPr="004C2091" w:rsidRDefault="00D61191" w:rsidP="00D61191">
      <w:pPr>
        <w:pStyle w:val="BodyText"/>
      </w:pPr>
      <w:r w:rsidRPr="004C2091">
        <w:t>Other RMA provisions that are relevant to climate change include that:</w:t>
      </w:r>
    </w:p>
    <w:p w14:paraId="762FEC37" w14:textId="71F8B841" w:rsidR="00D61191" w:rsidRPr="004C2091" w:rsidRDefault="00D61191" w:rsidP="00D61191">
      <w:pPr>
        <w:pStyle w:val="Bullet"/>
      </w:pPr>
      <w:r w:rsidRPr="004C2091">
        <w:t xml:space="preserve">when local authorities are making resource use decisions, </w:t>
      </w:r>
      <w:r w:rsidR="00BA24AF">
        <w:t xml:space="preserve">they </w:t>
      </w:r>
      <w:r w:rsidRPr="004C2091">
        <w:t>are enabled to consider the climate change effects of greenhouse gas emissions from discharges to air</w:t>
      </w:r>
    </w:p>
    <w:p w14:paraId="2785F491" w14:textId="77777777" w:rsidR="00D61191" w:rsidRPr="004C2091" w:rsidRDefault="00D61191" w:rsidP="00D61191">
      <w:pPr>
        <w:pStyle w:val="Bullet"/>
      </w:pPr>
      <w:r w:rsidRPr="004C2091">
        <w:t>when making or changing planning documents, local authorities are required to have regard to the national adaptation plan and emissions reduction plan. This provides an explicit statutory link between those climate-related plans and the resource management planning system, to help achieve New Zealand’s long-term climate strategies and goals.</w:t>
      </w:r>
    </w:p>
    <w:p w14:paraId="59041872" w14:textId="07912834" w:rsidR="00D61191" w:rsidRPr="004C2091" w:rsidRDefault="00D61191" w:rsidP="00D61191">
      <w:pPr>
        <w:pStyle w:val="BodyText"/>
      </w:pPr>
      <w:r w:rsidRPr="004C2091">
        <w:t xml:space="preserve">The Government has announced a phased approach to reforming the resource management </w:t>
      </w:r>
      <w:r w:rsidRPr="004C2091">
        <w:rPr>
          <w:spacing w:val="-2"/>
        </w:rPr>
        <w:t>system. Targeted amendments to the RMA are to be made, along with changes to environmental</w:t>
      </w:r>
      <w:r w:rsidRPr="004C2091">
        <w:t xml:space="preserve"> policies and standards (through national direction). A further phase beginning in 2025 will involve development of new legislation to replace the RMA. </w:t>
      </w:r>
    </w:p>
    <w:p w14:paraId="66C01640" w14:textId="77777777" w:rsidR="003F6115" w:rsidRDefault="003F6115">
      <w:pPr>
        <w:spacing w:before="0" w:after="200" w:line="276" w:lineRule="auto"/>
        <w:jc w:val="left"/>
      </w:pPr>
      <w:r>
        <w:br w:type="page"/>
      </w:r>
    </w:p>
    <w:p w14:paraId="0D2AA8FB" w14:textId="18EDBD7E" w:rsidR="00D61191" w:rsidRPr="004C2091" w:rsidRDefault="00D61191" w:rsidP="006E5907">
      <w:pPr>
        <w:pStyle w:val="Heading2"/>
        <w:numPr>
          <w:ilvl w:val="0"/>
          <w:numId w:val="36"/>
        </w:numPr>
        <w:ind w:left="1134" w:hanging="1134"/>
      </w:pPr>
      <w:bookmarkStart w:id="192" w:name="section219"/>
      <w:bookmarkStart w:id="193" w:name="_Toc169616352"/>
      <w:bookmarkStart w:id="194" w:name="_Toc169620057"/>
      <w:bookmarkStart w:id="195" w:name="_Toc172793970"/>
      <w:bookmarkStart w:id="196" w:name="_Toc184825491"/>
      <w:bookmarkEnd w:id="192"/>
      <w:r w:rsidRPr="004C2091">
        <w:t>Legal, institutional, administrative and</w:t>
      </w:r>
      <w:r w:rsidR="00A13F7B">
        <w:t> </w:t>
      </w:r>
      <w:r w:rsidRPr="004C2091">
        <w:t xml:space="preserve">procedural arrangements for domestic implementation, monitoring, reporting, archiving of information and stakeholder engagement related to the implementation and achievement of its </w:t>
      </w:r>
      <w:bookmarkEnd w:id="193"/>
      <w:bookmarkEnd w:id="194"/>
      <w:bookmarkEnd w:id="195"/>
      <w:r w:rsidRPr="004C2091">
        <w:t>nationally determined contribution</w:t>
      </w:r>
      <w:bookmarkEnd w:id="196"/>
    </w:p>
    <w:p w14:paraId="38A15750" w14:textId="77777777" w:rsidR="00D61191" w:rsidRPr="004C2091" w:rsidRDefault="00D61191" w:rsidP="006E5907">
      <w:pPr>
        <w:pStyle w:val="Heading3"/>
        <w:numPr>
          <w:ilvl w:val="0"/>
          <w:numId w:val="42"/>
        </w:numPr>
        <w:ind w:left="1134" w:hanging="1134"/>
      </w:pPr>
      <w:bookmarkStart w:id="197" w:name="_Toc169616353"/>
      <w:bookmarkStart w:id="198" w:name="_Toc169620058"/>
      <w:bookmarkStart w:id="199" w:name="_Toc172793971"/>
      <w:r w:rsidRPr="004C2091">
        <w:t>Monitoring, reporting and archiving of information</w:t>
      </w:r>
      <w:bookmarkEnd w:id="197"/>
      <w:bookmarkEnd w:id="198"/>
      <w:bookmarkEnd w:id="199"/>
    </w:p>
    <w:p w14:paraId="209F5F65" w14:textId="08A5A2BE" w:rsidR="00D61191" w:rsidRPr="004C2091" w:rsidRDefault="00D61191" w:rsidP="00D61191">
      <w:pPr>
        <w:pStyle w:val="BodyText"/>
      </w:pPr>
      <w:r w:rsidRPr="004C2091">
        <w:t xml:space="preserve">As noted in sections </w:t>
      </w:r>
      <w:hyperlink w:anchor="_Climate_Change_Chief" w:history="1">
        <w:r w:rsidR="008B452F">
          <w:rPr>
            <w:rStyle w:val="Hyperlink"/>
          </w:rPr>
          <w:t>2.1.8.3</w:t>
        </w:r>
      </w:hyperlink>
      <w:r w:rsidRPr="004C2091">
        <w:t xml:space="preserve"> and </w:t>
      </w:r>
      <w:hyperlink w:anchor="_Role_of_Climate" w:history="1">
        <w:r w:rsidR="008B452F">
          <w:rPr>
            <w:rStyle w:val="Hyperlink"/>
          </w:rPr>
          <w:t>2.1.8.5</w:t>
        </w:r>
      </w:hyperlink>
      <w:r w:rsidRPr="004C2091">
        <w:t>, the Climate Change Chief Executives Board and the Climate Change Commission play an important role in regularly monitoring and reporting on the implementation of New Zealand’s emissions reduction plans and progress towards meeting domestic emissions budgets. Domestic emissions reductions and removals make a significant contribution towards our Nationally Determined Contribution (NDC).</w:t>
      </w:r>
    </w:p>
    <w:p w14:paraId="1D1B7C89" w14:textId="4B59CE00" w:rsidR="00D61191" w:rsidRPr="004C2091" w:rsidRDefault="00D61191" w:rsidP="00D61191">
      <w:pPr>
        <w:pStyle w:val="BodyText"/>
      </w:pPr>
      <w:r w:rsidRPr="004C2091">
        <w:t xml:space="preserve">As part of its monitoring and reporting role, the </w:t>
      </w:r>
      <w:r w:rsidR="009D40EB">
        <w:t xml:space="preserve">Climate Change Chief Executives </w:t>
      </w:r>
      <w:r w:rsidRPr="004C2091">
        <w:t xml:space="preserve">Board periodically reports progress towards New Zealand’s first </w:t>
      </w:r>
      <w:r w:rsidR="00573942">
        <w:t>Nationally Determined Contribution</w:t>
      </w:r>
      <w:r w:rsidRPr="004C2091">
        <w:t xml:space="preserve"> (NDC1). </w:t>
      </w:r>
    </w:p>
    <w:p w14:paraId="42855B40" w14:textId="77777777" w:rsidR="00D61191" w:rsidRPr="004C2091" w:rsidRDefault="00D61191" w:rsidP="00EA02DE">
      <w:pPr>
        <w:pStyle w:val="Heading3"/>
        <w:numPr>
          <w:ilvl w:val="0"/>
          <w:numId w:val="42"/>
        </w:numPr>
      </w:pPr>
      <w:bookmarkStart w:id="200" w:name="_Toc169616354"/>
      <w:bookmarkStart w:id="201" w:name="_Toc169620059"/>
      <w:bookmarkStart w:id="202" w:name="_Toc172793972"/>
      <w:r w:rsidRPr="004C2091">
        <w:t>Stakeholder engagement</w:t>
      </w:r>
      <w:bookmarkEnd w:id="200"/>
      <w:bookmarkEnd w:id="201"/>
      <w:bookmarkEnd w:id="202"/>
    </w:p>
    <w:p w14:paraId="110A8B08" w14:textId="77777777" w:rsidR="00D61191" w:rsidRPr="004C2091" w:rsidRDefault="00D61191" w:rsidP="00C72B53">
      <w:pPr>
        <w:pStyle w:val="Heading4"/>
        <w:numPr>
          <w:ilvl w:val="0"/>
          <w:numId w:val="43"/>
        </w:numPr>
        <w:spacing w:line="320" w:lineRule="atLeast"/>
        <w:ind w:left="1134" w:hanging="1134"/>
      </w:pPr>
      <w:r w:rsidRPr="004C2091">
        <w:t>Engagement on New Zealand’s NDC and international negotiations</w:t>
      </w:r>
    </w:p>
    <w:p w14:paraId="5C847125" w14:textId="50A20EE7" w:rsidR="00D61191" w:rsidRPr="004C2091" w:rsidRDefault="00D61191" w:rsidP="00D61191">
      <w:pPr>
        <w:pStyle w:val="BodyText"/>
      </w:pPr>
      <w:r w:rsidRPr="004C2091">
        <w:rPr>
          <w:b/>
          <w:bCs/>
        </w:rPr>
        <w:t xml:space="preserve">2015 </w:t>
      </w:r>
      <w:r w:rsidRPr="003F55CD">
        <w:rPr>
          <w:b/>
          <w:bCs/>
        </w:rPr>
        <w:t>New Zealand’s Climate Change Target</w:t>
      </w:r>
      <w:r w:rsidR="003F55CD" w:rsidRPr="007E4F82">
        <w:rPr>
          <w:b/>
        </w:rPr>
        <w:t xml:space="preserve"> </w:t>
      </w:r>
      <w:r w:rsidR="009D40EB" w:rsidRPr="004C2091">
        <w:rPr>
          <w:b/>
          <w:bCs/>
        </w:rPr>
        <w:t>–</w:t>
      </w:r>
      <w:r w:rsidR="009D40EB">
        <w:rPr>
          <w:b/>
        </w:rPr>
        <w:t xml:space="preserve"> </w:t>
      </w:r>
      <w:r w:rsidRPr="007E4F82">
        <w:rPr>
          <w:b/>
        </w:rPr>
        <w:t>Our contribution to the new international agreement.</w:t>
      </w:r>
      <w:r w:rsidRPr="004C2091">
        <w:t xml:space="preserve"> In 2015, ahead of the 21st Conference of Parties (COP21) in Paris, the Government consulted on what</w:t>
      </w:r>
      <w:r w:rsidRPr="004C2091">
        <w:rPr>
          <w:b/>
          <w:bCs/>
        </w:rPr>
        <w:t xml:space="preserve"> </w:t>
      </w:r>
      <w:r w:rsidRPr="007E4F82">
        <w:t>international target</w:t>
      </w:r>
      <w:r w:rsidRPr="004C2091">
        <w:rPr>
          <w:i/>
          <w:iCs/>
        </w:rPr>
        <w:t xml:space="preserve"> </w:t>
      </w:r>
      <w:r w:rsidRPr="004C2091">
        <w:t>New Zealand would contribute to the new international climate change agreement as part of its “intended nationally determined contribution”.</w:t>
      </w:r>
      <w:r w:rsidRPr="004C2091">
        <w:rPr>
          <w:rStyle w:val="FootnoteReference"/>
        </w:rPr>
        <w:footnoteReference w:id="111"/>
      </w:r>
      <w:r w:rsidRPr="004C2091">
        <w:t xml:space="preserve"> The Government wanted to understand what was most important to the public </w:t>
      </w:r>
      <w:r w:rsidR="00571580">
        <w:t xml:space="preserve">when </w:t>
      </w:r>
      <w:r w:rsidRPr="004C2091">
        <w:t xml:space="preserve">it made decisions on our contribution. </w:t>
      </w:r>
    </w:p>
    <w:p w14:paraId="5FF57DF8" w14:textId="498CFEC7" w:rsidR="00D61191" w:rsidRPr="004C2091" w:rsidRDefault="00D61191" w:rsidP="00D61191">
      <w:pPr>
        <w:pStyle w:val="BodyText"/>
        <w:rPr>
          <w:iCs/>
        </w:rPr>
      </w:pPr>
      <w:r w:rsidRPr="004C2091">
        <w:rPr>
          <w:b/>
          <w:bCs/>
        </w:rPr>
        <w:t>2021</w:t>
      </w:r>
      <w:r w:rsidRPr="004C2091">
        <w:t xml:space="preserve"> </w:t>
      </w:r>
      <w:r w:rsidRPr="004C2091">
        <w:rPr>
          <w:b/>
          <w:bCs/>
        </w:rPr>
        <w:t>Climate Change Commission – Ināia tonu nei: A low emissions future for Aotearoa.</w:t>
      </w:r>
      <w:r w:rsidRPr="004C2091">
        <w:t xml:space="preserve"> In</w:t>
      </w:r>
      <w:r w:rsidR="00227E09">
        <w:t> </w:t>
      </w:r>
      <w:r w:rsidRPr="004C2091">
        <w:t>2021, the Commission</w:t>
      </w:r>
      <w:r w:rsidRPr="004C2091">
        <w:rPr>
          <w:iCs/>
        </w:rPr>
        <w:t xml:space="preserve"> </w:t>
      </w:r>
      <w:r w:rsidRPr="004C2091">
        <w:t>consulted on the first three emissions budgets, direction and policies for the first emissions reduction plan, and the NDC1</w:t>
      </w:r>
      <w:r w:rsidRPr="004C2091">
        <w:rPr>
          <w:iCs/>
        </w:rPr>
        <w:t>.</w:t>
      </w:r>
      <w:r w:rsidRPr="004C2091">
        <w:rPr>
          <w:rStyle w:val="FootnoteReference"/>
        </w:rPr>
        <w:footnoteReference w:id="112"/>
      </w:r>
      <w:r w:rsidRPr="004C2091">
        <w:t xml:space="preserve"> The consultation discussed how New Zealand could meet the NDC, the contribution to wider climate efforts, the need for</w:t>
      </w:r>
      <w:r w:rsidRPr="004C2091">
        <w:rPr>
          <w:iCs/>
        </w:rPr>
        <w:t xml:space="preserve"> </w:t>
      </w:r>
      <w:r w:rsidRPr="004C2091">
        <w:t xml:space="preserve">a plan to meet the NDC, the scale and cost of offshore mitigation, and key principles and approaches to inform decisions around a fair contribution. For more information on the Commission, see </w:t>
      </w:r>
      <w:hyperlink w:anchor="s2185" w:history="1">
        <w:r w:rsidR="00DE0C8E" w:rsidRPr="00DE0C8E">
          <w:rPr>
            <w:rStyle w:val="Hyperlink"/>
          </w:rPr>
          <w:t>section 2.1.</w:t>
        </w:r>
        <w:r w:rsidR="00DE0C8E" w:rsidRPr="00DE0C8E">
          <w:rPr>
            <w:rStyle w:val="Hyperlink"/>
          </w:rPr>
          <w:t>8</w:t>
        </w:r>
        <w:r w:rsidR="00DE0C8E" w:rsidRPr="00DE0C8E">
          <w:rPr>
            <w:rStyle w:val="Hyperlink"/>
          </w:rPr>
          <w:t>.5</w:t>
        </w:r>
      </w:hyperlink>
      <w:r w:rsidRPr="004C2091">
        <w:rPr>
          <w:iCs/>
        </w:rPr>
        <w:t xml:space="preserve">. </w:t>
      </w:r>
    </w:p>
    <w:p w14:paraId="67EE71A7" w14:textId="77777777" w:rsidR="00D61191" w:rsidRPr="004C2091" w:rsidRDefault="00D61191" w:rsidP="00D61191">
      <w:pPr>
        <w:pStyle w:val="BodyText"/>
      </w:pPr>
      <w:r w:rsidRPr="004C2091">
        <w:rPr>
          <w:b/>
          <w:bCs/>
        </w:rPr>
        <w:t>2023 Updating Aotearoa New Zealand’s Approach to International Climate Change Negotiations.</w:t>
      </w:r>
      <w:r w:rsidRPr="004C2091">
        <w:t xml:space="preserve"> In 2023, the Government consulted on New Zealand’s approach to international climate change negotiations, including questions on the NDC.</w:t>
      </w:r>
      <w:r w:rsidRPr="004C2091">
        <w:rPr>
          <w:rStyle w:val="FootnoteReference"/>
        </w:rPr>
        <w:footnoteReference w:id="113"/>
      </w:r>
      <w:r w:rsidRPr="004C2091">
        <w:t xml:space="preserve"> The feedback informed and updated the negotiating mandate that guided New Zealand’s participation in United Nations climate negotiations and related international fora. The views helped set our priorities, the principles that guided our approach, and our positions on negotiating issues.</w:t>
      </w:r>
    </w:p>
    <w:p w14:paraId="418AF659" w14:textId="77777777" w:rsidR="00D61191" w:rsidRPr="004C2091" w:rsidRDefault="00D61191" w:rsidP="00EA02DE">
      <w:pPr>
        <w:pStyle w:val="Heading4"/>
        <w:numPr>
          <w:ilvl w:val="0"/>
          <w:numId w:val="43"/>
        </w:numPr>
      </w:pPr>
      <w:r w:rsidRPr="004C2091">
        <w:t>New Zealand’s second emissions reduction plan 2024</w:t>
      </w:r>
    </w:p>
    <w:p w14:paraId="0B1996A4" w14:textId="3456FD7C" w:rsidR="00D61191" w:rsidRPr="004C2091" w:rsidRDefault="00D61191" w:rsidP="00D61191">
      <w:pPr>
        <w:pStyle w:val="BodyText"/>
      </w:pPr>
      <w:r w:rsidRPr="004C2091">
        <w:t xml:space="preserve">New Zealand produces </w:t>
      </w:r>
      <w:r w:rsidRPr="007E4F82">
        <w:t>a</w:t>
      </w:r>
      <w:r w:rsidR="00963180" w:rsidRPr="007E4F82">
        <w:t>n</w:t>
      </w:r>
      <w:r w:rsidRPr="007E4F82">
        <w:t xml:space="preserve"> emissions</w:t>
      </w:r>
      <w:r w:rsidRPr="004C2091">
        <w:t xml:space="preserve"> reduction plan every five years. </w:t>
      </w:r>
      <w:r w:rsidR="00265ADB">
        <w:t>The</w:t>
      </w:r>
      <w:r w:rsidR="00265ADB" w:rsidRPr="00CC5867">
        <w:t xml:space="preserve"> second emissions reduction plan (ERP2), covering the emissions budget for 2026–30</w:t>
      </w:r>
      <w:r w:rsidR="00265ADB">
        <w:t>, was developed during 2024.</w:t>
      </w:r>
      <w:r w:rsidR="00265ADB" w:rsidRPr="00CC5867">
        <w:t xml:space="preserve"> </w:t>
      </w:r>
      <w:r w:rsidR="00265ADB">
        <w:t>C</w:t>
      </w:r>
      <w:r w:rsidR="00265ADB" w:rsidRPr="00CC5867">
        <w:t>onsultation concluded in August 2024</w:t>
      </w:r>
      <w:r w:rsidR="0085327D" w:rsidRPr="004C2091">
        <w:rPr>
          <w:rStyle w:val="FootnoteReference"/>
          <w:spacing w:val="-2"/>
        </w:rPr>
        <w:footnoteReference w:id="114"/>
      </w:r>
      <w:r w:rsidR="00265ADB" w:rsidRPr="00CC5867">
        <w:t xml:space="preserve"> and the plan </w:t>
      </w:r>
      <w:r w:rsidR="00265ADB">
        <w:t>was published in December 2024.</w:t>
      </w:r>
      <w:r w:rsidRPr="75ADBAC8">
        <w:rPr>
          <w:rStyle w:val="FootnoteReference"/>
        </w:rPr>
        <w:footnoteReference w:id="115"/>
      </w:r>
      <w:r w:rsidR="00265ADB" w:rsidRPr="00CC5867">
        <w:t xml:space="preserve"> </w:t>
      </w:r>
    </w:p>
    <w:p w14:paraId="6FB4D10A" w14:textId="6BC7F218" w:rsidR="00D61191" w:rsidRPr="004C2091" w:rsidRDefault="00D61191" w:rsidP="00D61191">
      <w:pPr>
        <w:pStyle w:val="BodyText"/>
      </w:pPr>
      <w:r w:rsidRPr="004C2091">
        <w:t>ERP2</w:t>
      </w:r>
      <w:r w:rsidRPr="004C2091" w:rsidDel="002B77BA">
        <w:t xml:space="preserve"> </w:t>
      </w:r>
      <w:r w:rsidRPr="004C2091">
        <w:t>outline</w:t>
      </w:r>
      <w:r w:rsidR="002B77BA">
        <w:t>s</w:t>
      </w:r>
      <w:r w:rsidRPr="004C2091">
        <w:t xml:space="preserve"> the strategy and actions New Zealand will take across all sectors of the economy to meet emissions budgets. The plan will also set out the Government’s current plans for the domestic contribution to NDC1.</w:t>
      </w:r>
    </w:p>
    <w:p w14:paraId="06C46712" w14:textId="77777777" w:rsidR="00D61191" w:rsidRPr="004C2091" w:rsidRDefault="00D61191" w:rsidP="00C72B53">
      <w:pPr>
        <w:pStyle w:val="Heading4"/>
        <w:numPr>
          <w:ilvl w:val="0"/>
          <w:numId w:val="43"/>
        </w:numPr>
        <w:spacing w:line="320" w:lineRule="atLeast"/>
        <w:ind w:left="1134" w:hanging="1134"/>
      </w:pPr>
      <w:r w:rsidRPr="004C2091">
        <w:t>Annual updates to the New Zealand Emissions Trading Scheme unit limits and price control settings</w:t>
      </w:r>
    </w:p>
    <w:p w14:paraId="37B2C986" w14:textId="11F6C92C" w:rsidR="00D61191" w:rsidRDefault="00D61191" w:rsidP="00D61191">
      <w:pPr>
        <w:pStyle w:val="BodyText"/>
      </w:pPr>
      <w:r w:rsidRPr="004C2091">
        <w:t xml:space="preserve">Since 2021, the NZ ETS unit limits and price control settings have been updated annually as mandated by the CCRA. NZ ETS settings are reviewed to establish that they continue to align with the NDC, emissions budgets and the 2050 target (see </w:t>
      </w:r>
      <w:hyperlink w:anchor="_New_Zealand_Emissions" w:history="1">
        <w:r w:rsidRPr="00096D12">
          <w:rPr>
            <w:rStyle w:val="Hyperlink"/>
          </w:rPr>
          <w:t>sectio</w:t>
        </w:r>
        <w:bookmarkStart w:id="203" w:name="_Hlt184385181"/>
        <w:r w:rsidRPr="00096D12">
          <w:rPr>
            <w:rStyle w:val="Hyperlink"/>
          </w:rPr>
          <w:t>n</w:t>
        </w:r>
        <w:bookmarkEnd w:id="203"/>
        <w:r w:rsidRPr="00096D12">
          <w:rPr>
            <w:rStyle w:val="Hyperlink"/>
          </w:rPr>
          <w:t xml:space="preserve"> 2.</w:t>
        </w:r>
        <w:bookmarkStart w:id="204" w:name="_Hlt184384963"/>
        <w:r w:rsidRPr="00096D12">
          <w:rPr>
            <w:rStyle w:val="Hyperlink"/>
          </w:rPr>
          <w:t>4</w:t>
        </w:r>
        <w:bookmarkEnd w:id="204"/>
        <w:r w:rsidRPr="00096D12">
          <w:rPr>
            <w:rStyle w:val="Hyperlink"/>
          </w:rPr>
          <w:t>.2.2</w:t>
        </w:r>
      </w:hyperlink>
      <w:r w:rsidRPr="00096D12">
        <w:t xml:space="preserve"> f</w:t>
      </w:r>
      <w:r w:rsidRPr="004C2091">
        <w:t>or more information on the NZ ETS). The latest consultation concluded in June 2024. It resulted in support to tighten unit limits and maintain price control settings that are in general accordance with New Zealand climate targets.</w:t>
      </w:r>
      <w:r w:rsidRPr="004C2091">
        <w:rPr>
          <w:rStyle w:val="FootnoteReference"/>
          <w:rFonts w:eastAsia="MS Mincho" w:cs="Arial"/>
        </w:rPr>
        <w:footnoteReference w:id="116"/>
      </w:r>
      <w:r w:rsidR="00176DD5">
        <w:t xml:space="preserve"> </w:t>
      </w:r>
    </w:p>
    <w:p w14:paraId="6922E3CB" w14:textId="77777777" w:rsidR="00176DD5" w:rsidRDefault="00176DD5" w:rsidP="00D61191">
      <w:pPr>
        <w:pStyle w:val="BodyText"/>
        <w:sectPr w:rsidR="00176DD5" w:rsidSect="00EF3A77">
          <w:headerReference w:type="even" r:id="rId65"/>
          <w:headerReference w:type="default" r:id="rId66"/>
          <w:footerReference w:type="even" r:id="rId67"/>
          <w:footerReference w:type="default" r:id="rId68"/>
          <w:headerReference w:type="first" r:id="rId69"/>
          <w:pgSz w:w="11907" w:h="16840" w:code="9"/>
          <w:pgMar w:top="1134" w:right="1701" w:bottom="1134" w:left="1701" w:header="567" w:footer="567" w:gutter="0"/>
          <w:cols w:space="720"/>
          <w:docGrid w:linePitch="299"/>
        </w:sectPr>
      </w:pPr>
    </w:p>
    <w:p w14:paraId="622BB447" w14:textId="77777777" w:rsidR="00A8128F" w:rsidRPr="008B50D0" w:rsidRDefault="00A8128F" w:rsidP="00765582">
      <w:pPr>
        <w:pStyle w:val="Heading1"/>
        <w:numPr>
          <w:ilvl w:val="0"/>
          <w:numId w:val="80"/>
        </w:numPr>
        <w:tabs>
          <w:tab w:val="clear" w:pos="851"/>
        </w:tabs>
        <w:spacing w:line="560" w:lineRule="atLeast"/>
        <w:ind w:left="1134" w:hanging="1134"/>
      </w:pPr>
      <w:bookmarkStart w:id="205" w:name="_Toc169616355"/>
      <w:bookmarkStart w:id="206" w:name="_Toc169616506"/>
      <w:bookmarkStart w:id="207" w:name="_Toc169620060"/>
      <w:bookmarkStart w:id="208" w:name="_Toc172793973"/>
      <w:bookmarkStart w:id="209" w:name="_Toc173233918"/>
      <w:bookmarkStart w:id="210" w:name="_Toc184825492"/>
      <w:bookmarkStart w:id="211" w:name="_Hlk182493062"/>
      <w:r w:rsidRPr="008B50D0">
        <w:t>Description of a Party’s nationally determined contribution</w:t>
      </w:r>
      <w:bookmarkEnd w:id="205"/>
      <w:bookmarkEnd w:id="206"/>
      <w:bookmarkEnd w:id="207"/>
      <w:bookmarkEnd w:id="208"/>
      <w:bookmarkEnd w:id="209"/>
      <w:bookmarkEnd w:id="210"/>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8505"/>
      </w:tblGrid>
      <w:tr w:rsidR="00A8128F" w:rsidRPr="004C2091" w14:paraId="1580BDBB" w14:textId="77777777" w:rsidTr="008905FC">
        <w:tc>
          <w:tcPr>
            <w:tcW w:w="8505" w:type="dxa"/>
            <w:tcBorders>
              <w:top w:val="single" w:sz="4" w:space="0" w:color="2C9986" w:themeColor="accent4"/>
              <w:bottom w:val="single" w:sz="4" w:space="0" w:color="2C9986" w:themeColor="accent4"/>
            </w:tcBorders>
            <w:shd w:val="clear" w:color="auto" w:fill="2C9986" w:themeFill="accent4"/>
          </w:tcPr>
          <w:p w14:paraId="41AFEF6B" w14:textId="77777777" w:rsidR="00A8128F" w:rsidRPr="004C2091" w:rsidRDefault="00A8128F">
            <w:pPr>
              <w:pStyle w:val="Heading2"/>
              <w:spacing w:before="120" w:after="120"/>
              <w:rPr>
                <w:color w:val="FFFFFF" w:themeColor="background1"/>
              </w:rPr>
            </w:pPr>
            <w:bookmarkStart w:id="212" w:name="_Toc184825493"/>
            <w:bookmarkStart w:id="213" w:name="_Toc169616356"/>
            <w:bookmarkStart w:id="214" w:name="_Toc169620061"/>
            <w:bookmarkStart w:id="215" w:name="_Toc172793974"/>
            <w:r w:rsidRPr="004C2091">
              <w:rPr>
                <w:color w:val="FFFFFF" w:themeColor="background1"/>
              </w:rPr>
              <w:t>Key messages</w:t>
            </w:r>
            <w:bookmarkEnd w:id="212"/>
          </w:p>
        </w:tc>
      </w:tr>
      <w:tr w:rsidR="00A8128F" w:rsidRPr="004C2091" w14:paraId="7642D912" w14:textId="77777777">
        <w:tc>
          <w:tcPr>
            <w:tcW w:w="8505" w:type="dxa"/>
            <w:tcBorders>
              <w:top w:val="single" w:sz="4" w:space="0" w:color="2C9986" w:themeColor="accent4"/>
              <w:bottom w:val="single" w:sz="4" w:space="0" w:color="2C9986" w:themeColor="accent4"/>
            </w:tcBorders>
            <w:shd w:val="clear" w:color="auto" w:fill="FFFFFF" w:themeFill="background1"/>
          </w:tcPr>
          <w:p w14:paraId="06FB6AF4" w14:textId="6C7C72F5" w:rsidR="00A8128F" w:rsidRPr="004C2091" w:rsidRDefault="00A8128F">
            <w:pPr>
              <w:pStyle w:val="BodyText"/>
              <w:spacing w:line="260" w:lineRule="atLeast"/>
            </w:pPr>
            <w:r w:rsidRPr="002328F8">
              <w:t>New Zealand is committed to</w:t>
            </w:r>
            <w:r w:rsidR="00777C61">
              <w:t xml:space="preserve"> its obligations under the Paris Agreement</w:t>
            </w:r>
            <w:r w:rsidR="00F5323D">
              <w:t>, including preparing, communicating and maintaining successive Nationally Determined Contributions (NDCs)</w:t>
            </w:r>
            <w:r w:rsidR="00474605">
              <w:t>.</w:t>
            </w:r>
          </w:p>
        </w:tc>
      </w:tr>
      <w:tr w:rsidR="00A8128F" w:rsidRPr="004C2091" w14:paraId="5E7EE6D7" w14:textId="77777777">
        <w:tc>
          <w:tcPr>
            <w:tcW w:w="8505" w:type="dxa"/>
            <w:tcBorders>
              <w:top w:val="single" w:sz="4" w:space="0" w:color="2C9986" w:themeColor="accent4"/>
              <w:bottom w:val="single" w:sz="4" w:space="0" w:color="2C9986" w:themeColor="accent4"/>
            </w:tcBorders>
            <w:shd w:val="clear" w:color="auto" w:fill="FFFFFF" w:themeFill="background1"/>
          </w:tcPr>
          <w:p w14:paraId="7D8E7DD9" w14:textId="77777777" w:rsidR="00A8128F" w:rsidRPr="002328F8" w:rsidRDefault="00A8128F">
            <w:pPr>
              <w:pStyle w:val="BodyText"/>
              <w:spacing w:line="260" w:lineRule="atLeast"/>
            </w:pPr>
            <w:r w:rsidRPr="002328F8">
              <w:t>NDC1 sets a headline target of a 50 per cent reduction of net emissions below gross 2005 level</w:t>
            </w:r>
            <w:r>
              <w:t>s</w:t>
            </w:r>
            <w:r w:rsidRPr="002328F8">
              <w:t xml:space="preserve"> by</w:t>
            </w:r>
            <w:r>
              <w:t> </w:t>
            </w:r>
            <w:r w:rsidRPr="002328F8">
              <w:t>2030.</w:t>
            </w:r>
          </w:p>
        </w:tc>
      </w:tr>
      <w:tr w:rsidR="00A8128F" w:rsidRPr="004C2091" w14:paraId="288C414F" w14:textId="77777777">
        <w:tc>
          <w:tcPr>
            <w:tcW w:w="8505" w:type="dxa"/>
            <w:tcBorders>
              <w:top w:val="single" w:sz="4" w:space="0" w:color="2C9986" w:themeColor="accent4"/>
              <w:bottom w:val="single" w:sz="4" w:space="0" w:color="2C9986" w:themeColor="accent4"/>
            </w:tcBorders>
            <w:shd w:val="clear" w:color="auto" w:fill="FFFFFF" w:themeFill="background1"/>
          </w:tcPr>
          <w:p w14:paraId="456AAD6E" w14:textId="74FE3174" w:rsidR="00A8128F" w:rsidRPr="002328F8" w:rsidRDefault="00A8128F">
            <w:pPr>
              <w:pStyle w:val="BodyText"/>
              <w:spacing w:line="260" w:lineRule="atLeast"/>
            </w:pPr>
            <w:r w:rsidRPr="002328F8">
              <w:t xml:space="preserve">New Zealand’s NDC1 is managed as a multi-year emissions budget. This </w:t>
            </w:r>
            <w:r w:rsidR="00D21994">
              <w:t>Biennial Transparency Report</w:t>
            </w:r>
            <w:r w:rsidRPr="002328F8">
              <w:t xml:space="preserve"> provides updated information on the provisional budget, which equates to 579 m</w:t>
            </w:r>
            <w:r w:rsidR="00CE0283">
              <w:t xml:space="preserve">illion </w:t>
            </w:r>
            <w:r w:rsidRPr="002328F8">
              <w:t>tonnes carbon dioxide equivalent over 2021 to 2030.</w:t>
            </w:r>
          </w:p>
        </w:tc>
      </w:tr>
    </w:tbl>
    <w:p w14:paraId="27B24034" w14:textId="77777777" w:rsidR="00A8128F" w:rsidRPr="008B50D0" w:rsidRDefault="00A8128F" w:rsidP="00A8128F">
      <w:pPr>
        <w:pStyle w:val="Heading2"/>
        <w:numPr>
          <w:ilvl w:val="0"/>
          <w:numId w:val="74"/>
        </w:numPr>
        <w:spacing w:before="440" w:line="400" w:lineRule="atLeast"/>
        <w:ind w:left="0" w:firstLine="0"/>
      </w:pPr>
      <w:bookmarkStart w:id="216" w:name="_Toc184825494"/>
      <w:r w:rsidRPr="008B50D0">
        <w:t>Introduction</w:t>
      </w:r>
      <w:bookmarkEnd w:id="213"/>
      <w:bookmarkEnd w:id="214"/>
      <w:bookmarkEnd w:id="215"/>
      <w:bookmarkEnd w:id="216"/>
    </w:p>
    <w:p w14:paraId="7C55CFD2" w14:textId="77777777" w:rsidR="00A8128F" w:rsidRPr="008B50D0" w:rsidRDefault="00A8128F" w:rsidP="00762DFF">
      <w:pPr>
        <w:pStyle w:val="Heading3"/>
        <w:numPr>
          <w:ilvl w:val="0"/>
          <w:numId w:val="75"/>
        </w:numPr>
        <w:spacing w:line="340" w:lineRule="exact"/>
      </w:pPr>
      <w:r w:rsidRPr="008B50D0">
        <w:t xml:space="preserve">New Zealand’s Nationally Determined Contribution </w:t>
      </w:r>
    </w:p>
    <w:p w14:paraId="0312AFB1" w14:textId="1D7215B7" w:rsidR="00A8128F" w:rsidRPr="008B50D0" w:rsidRDefault="00A8128F" w:rsidP="00A8128F">
      <w:pPr>
        <w:pStyle w:val="BodyText"/>
        <w:spacing w:after="100"/>
      </w:pPr>
      <w:r>
        <w:t xml:space="preserve">New Zealand is committed to </w:t>
      </w:r>
      <w:r w:rsidR="00F5323D">
        <w:t xml:space="preserve">its obligations under the Paris Agreement, including preparing, </w:t>
      </w:r>
      <w:r w:rsidR="00807056">
        <w:t>communicating and maintaining successive Nationally Determined Contributions (NDCs)</w:t>
      </w:r>
      <w:r>
        <w:t xml:space="preserve">, including a contribution toward: </w:t>
      </w:r>
    </w:p>
    <w:p w14:paraId="7EEACB46" w14:textId="77777777" w:rsidR="00A8128F" w:rsidRPr="008B50D0" w:rsidRDefault="00A8128F" w:rsidP="00A8128F">
      <w:pPr>
        <w:pStyle w:val="Bullet"/>
        <w:numPr>
          <w:ilvl w:val="0"/>
          <w:numId w:val="30"/>
        </w:numPr>
        <w:tabs>
          <w:tab w:val="left" w:pos="397"/>
        </w:tabs>
        <w:spacing w:after="100"/>
      </w:pPr>
      <w:r w:rsidRPr="008B50D0">
        <w:t xml:space="preserve">keeping the global average temperature well below 2 degrees Celsius above pre-industrial levels, while pursuing efforts to limit the temperature increase to 1.5 degrees Celsius </w:t>
      </w:r>
    </w:p>
    <w:p w14:paraId="1085428F" w14:textId="77777777" w:rsidR="00A8128F" w:rsidRPr="008B50D0" w:rsidRDefault="00A8128F" w:rsidP="00A8128F">
      <w:pPr>
        <w:pStyle w:val="Bullet"/>
        <w:numPr>
          <w:ilvl w:val="0"/>
          <w:numId w:val="30"/>
        </w:numPr>
        <w:tabs>
          <w:tab w:val="left" w:pos="397"/>
        </w:tabs>
        <w:spacing w:after="100"/>
      </w:pPr>
      <w:r>
        <w:t>strengthening the ability of countries to respond to the impacts of climate change</w:t>
      </w:r>
    </w:p>
    <w:p w14:paraId="63571162" w14:textId="77777777" w:rsidR="00A8128F" w:rsidRPr="008B50D0" w:rsidRDefault="00A8128F" w:rsidP="00A8128F">
      <w:pPr>
        <w:pStyle w:val="Bullet"/>
        <w:numPr>
          <w:ilvl w:val="0"/>
          <w:numId w:val="30"/>
        </w:numPr>
        <w:tabs>
          <w:tab w:val="left" w:pos="397"/>
        </w:tabs>
        <w:spacing w:after="100"/>
      </w:pPr>
      <w:r w:rsidRPr="008B50D0">
        <w:t>ensuring that financial flows support the development of low-carbon and climate-resilient economies.</w:t>
      </w:r>
    </w:p>
    <w:p w14:paraId="1E42C79A" w14:textId="77777777" w:rsidR="00A8128F" w:rsidRPr="008B50D0" w:rsidRDefault="00A8128F" w:rsidP="00A8128F">
      <w:pPr>
        <w:pStyle w:val="BodyText"/>
        <w:spacing w:after="100"/>
      </w:pPr>
      <w:r w:rsidRPr="008B50D0">
        <w:t>New Zealand’s intended NDC (INDC) was first tabled in 2015 setting out a commitment to reduce net emissions by 30 per cent below gross 2005 levels by 2030. New Zealand’s INDC was</w:t>
      </w:r>
      <w:r>
        <w:t> </w:t>
      </w:r>
      <w:r w:rsidRPr="008B50D0">
        <w:t>provisional, pending confirmation of the approaches to be taken in accounting for the land</w:t>
      </w:r>
      <w:r>
        <w:t> </w:t>
      </w:r>
      <w:r w:rsidRPr="008B50D0">
        <w:t>sector and confirmation of access to international carbon markets.</w:t>
      </w:r>
    </w:p>
    <w:p w14:paraId="02F0211C" w14:textId="77777777" w:rsidR="00A8128F" w:rsidRPr="008B50D0" w:rsidRDefault="00A8128F" w:rsidP="00A8128F">
      <w:pPr>
        <w:pStyle w:val="BodyText"/>
        <w:spacing w:after="100"/>
      </w:pPr>
      <w:r w:rsidRPr="008B50D0">
        <w:t>In 2016, the Paris Agreement was ratified and the INDC was converted into New Zealand’s first</w:t>
      </w:r>
      <w:r>
        <w:t> </w:t>
      </w:r>
      <w:r w:rsidRPr="008B50D0">
        <w:t>NDC. As part of the ratification process, the Government established work on domestic mitigation, including launching an inquiry by the New Zealand Productivity Commission.</w:t>
      </w:r>
      <w:r w:rsidRPr="0021192E">
        <w:rPr>
          <w:vertAlign w:val="superscript"/>
        </w:rPr>
        <w:footnoteReference w:id="117"/>
      </w:r>
      <w:r w:rsidRPr="008B50D0">
        <w:t xml:space="preserve"> The</w:t>
      </w:r>
      <w:r>
        <w:t> </w:t>
      </w:r>
      <w:r w:rsidRPr="008B50D0">
        <w:t>Government also began, and funded, work to build and develop links with international carbon</w:t>
      </w:r>
      <w:r>
        <w:t> </w:t>
      </w:r>
      <w:r w:rsidRPr="008B50D0">
        <w:t xml:space="preserve">markets. </w:t>
      </w:r>
    </w:p>
    <w:p w14:paraId="5132F18F" w14:textId="77777777" w:rsidR="00A8128F" w:rsidRPr="008B50D0" w:rsidRDefault="00A8128F" w:rsidP="00A8128F">
      <w:pPr>
        <w:pStyle w:val="BodyText"/>
        <w:keepLines/>
      </w:pPr>
      <w:r w:rsidRPr="008B50D0">
        <w:t>NDC1 was updated in 2021 to better align with the 1.5 degrees Celsius temperature goal. This followed the Intergovernmental Panel on Climate Change (IPCC) landmark 2018 Special Report on Global Warming of 1.5°C</w:t>
      </w:r>
      <w:r>
        <w:t>,</w:t>
      </w:r>
      <w:r w:rsidRPr="0021192E">
        <w:rPr>
          <w:vertAlign w:val="superscript"/>
        </w:rPr>
        <w:footnoteReference w:id="118"/>
      </w:r>
      <w:r w:rsidRPr="008B50D0">
        <w:t xml:space="preserve"> and advice from the Climate Change Commission | He Pou a Rangi</w:t>
      </w:r>
      <w:r w:rsidRPr="0021192E">
        <w:rPr>
          <w:vertAlign w:val="superscript"/>
        </w:rPr>
        <w:footnoteReference w:id="119"/>
      </w:r>
      <w:r w:rsidRPr="008B50D0">
        <w:t xml:space="preserve"> that greater ambition was needed to limit harmful warming.</w:t>
      </w:r>
    </w:p>
    <w:p w14:paraId="2A69D23F" w14:textId="77777777" w:rsidR="00A8128F" w:rsidRPr="008B50D0" w:rsidRDefault="00A8128F" w:rsidP="00762DFF">
      <w:pPr>
        <w:pStyle w:val="Heading3"/>
        <w:numPr>
          <w:ilvl w:val="0"/>
          <w:numId w:val="75"/>
        </w:numPr>
      </w:pPr>
      <w:bookmarkStart w:id="217" w:name="_Toc169616357"/>
      <w:bookmarkStart w:id="218" w:name="_Toc169620062"/>
      <w:bookmarkStart w:id="219" w:name="_Toc172793975"/>
      <w:r w:rsidRPr="008B50D0">
        <w:t>Description of New Zealand’s NDC</w:t>
      </w:r>
      <w:bookmarkEnd w:id="217"/>
      <w:bookmarkEnd w:id="218"/>
      <w:bookmarkEnd w:id="219"/>
      <w:r w:rsidRPr="008B50D0">
        <w:t xml:space="preserve">1 as submitted </w:t>
      </w:r>
      <w:r>
        <w:t>under the Paris Agreement</w:t>
      </w:r>
    </w:p>
    <w:p w14:paraId="38B37675" w14:textId="77777777" w:rsidR="00A8128F" w:rsidRPr="008B50D0" w:rsidRDefault="00A8128F" w:rsidP="00A8128F">
      <w:pPr>
        <w:pStyle w:val="BodyText"/>
      </w:pPr>
      <w:r w:rsidRPr="008B50D0">
        <w:t>New Zealand’s first NDC under the Paris Agreement, dated 4 November 2021, is described in the box below.</w:t>
      </w:r>
      <w:r w:rsidRPr="0021192E">
        <w:rPr>
          <w:vertAlign w:val="superscript"/>
        </w:rPr>
        <w:footnoteReference w:id="120"/>
      </w:r>
      <w:r w:rsidRPr="008B50D0">
        <w:t xml:space="preserve"> </w:t>
      </w:r>
    </w:p>
    <w:p w14:paraId="57D4297D" w14:textId="20487882" w:rsidR="00A8128F" w:rsidRPr="008B50D0" w:rsidRDefault="00A8128F" w:rsidP="00A8128F">
      <w:pPr>
        <w:pStyle w:val="BodyText"/>
      </w:pPr>
      <w:r>
        <w:t xml:space="preserve">In its updated NDC1 submission under the Paris Agreement in 2021, New Zealand communicated that it would provide further information on how ongoing technical improvements to New Zealand’s Greenhouse Gas Inventory would be treated in the first </w:t>
      </w:r>
      <w:r w:rsidR="00D21994">
        <w:t>Biennial Transparency Report</w:t>
      </w:r>
      <w:r>
        <w:t xml:space="preserve">. Under the Paris Agreement, each Party should, as applicable, update its NDC description to include any updates and clarifications of previously reported information, including recalculation of previously reported </w:t>
      </w:r>
      <w:r w:rsidDel="00A540BE">
        <w:t>i</w:t>
      </w:r>
      <w:r>
        <w:t xml:space="preserve">nventory data. </w:t>
      </w:r>
    </w:p>
    <w:p w14:paraId="01488917" w14:textId="2ADA471D" w:rsidR="00A8128F" w:rsidRPr="008B50D0" w:rsidRDefault="00A8128F" w:rsidP="00A8128F">
      <w:pPr>
        <w:pStyle w:val="BodyText"/>
      </w:pPr>
      <w:r>
        <w:t xml:space="preserve">This </w:t>
      </w:r>
      <w:r w:rsidR="00D21994">
        <w:t>Biennial Transparency Report</w:t>
      </w:r>
      <w:r>
        <w:t xml:space="preserve"> provides updated information on the NDC1 provisional budget, reflecting updates to New Zealand’s Greenhouse Gas Inventory and Land Use, Land-</w:t>
      </w:r>
      <w:r w:rsidR="00653E38">
        <w:t>U</w:t>
      </w:r>
      <w:r>
        <w:t>se Change and Forestry (LULUCF) target accounting quantities. The updated provisional budget equates to 579 Mt CO</w:t>
      </w:r>
      <w:r w:rsidRPr="5FFF5976">
        <w:rPr>
          <w:vertAlign w:val="subscript"/>
        </w:rPr>
        <w:t>2</w:t>
      </w:r>
      <w:r>
        <w:t>e over 2021 to 2030, starting with New Zealand’s net target accounting emissions in 2020 and ending at the 50 per cent point year target. The updated NDC1 provisional budget corresponds to a reduction of 40.4 per cent when managed using a multi-year emissions budget starting from New Zealand’s 2020 emissions target.</w:t>
      </w:r>
    </w:p>
    <w:p w14:paraId="56BFE150" w14:textId="0BBAD22F" w:rsidR="00A8128F" w:rsidRPr="008B50D0" w:rsidRDefault="00A8128F" w:rsidP="00A8128F">
      <w:pPr>
        <w:pStyle w:val="BodyText"/>
        <w:spacing w:after="240"/>
        <w:rPr>
          <w:highlight w:val="yellow"/>
        </w:rPr>
      </w:pPr>
      <w:r w:rsidRPr="008B50D0">
        <w:t xml:space="preserve">Updated information on New Zealand’s approach to accounting for the LULUCF sector is provided in </w:t>
      </w:r>
      <w:hyperlink w:anchor="section23" w:history="1">
        <w:r w:rsidRPr="000531F5">
          <w:rPr>
            <w:rStyle w:val="Hyperlink"/>
          </w:rPr>
          <w:t>section 2.3</w:t>
        </w:r>
      </w:hyperlink>
      <w:r w:rsidRPr="008B50D0">
        <w:t xml:space="preserve"> and </w:t>
      </w:r>
      <w:hyperlink w:anchor="annex2" w:history="1">
        <w:r w:rsidRPr="000531F5">
          <w:rPr>
            <w:rStyle w:val="Hyperlink"/>
          </w:rPr>
          <w:t>annex 2</w:t>
        </w:r>
      </w:hyperlink>
      <w:r w:rsidRPr="008B50D0">
        <w:t>.</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ook w:val="04A0" w:firstRow="1" w:lastRow="0" w:firstColumn="1" w:lastColumn="0" w:noHBand="0" w:noVBand="1"/>
      </w:tblPr>
      <w:tblGrid>
        <w:gridCol w:w="8505"/>
      </w:tblGrid>
      <w:tr w:rsidR="00A8128F" w:rsidRPr="008B50D0" w14:paraId="2F535BF8" w14:textId="77777777">
        <w:tc>
          <w:tcPr>
            <w:tcW w:w="0" w:type="auto"/>
            <w:tcBorders>
              <w:bottom w:val="single" w:sz="4" w:space="0" w:color="D2DDE1" w:themeColor="background2"/>
            </w:tcBorders>
            <w:shd w:val="clear" w:color="auto" w:fill="D2DDE1" w:themeFill="background2"/>
          </w:tcPr>
          <w:p w14:paraId="1A33AF7B" w14:textId="2DF99DCB" w:rsidR="00A8128F" w:rsidRPr="008B50D0" w:rsidRDefault="00A8128F">
            <w:pPr>
              <w:pStyle w:val="Boxheading"/>
              <w:rPr>
                <w:b w:val="0"/>
                <w:bCs/>
                <w:i/>
                <w:iCs/>
              </w:rPr>
            </w:pPr>
            <w:r w:rsidRPr="008B50D0">
              <w:rPr>
                <w:b w:val="0"/>
                <w:bCs/>
                <w:i/>
                <w:iCs/>
              </w:rPr>
              <w:t xml:space="preserve">As submitted verbatim </w:t>
            </w:r>
            <w:r>
              <w:rPr>
                <w:b w:val="0"/>
                <w:bCs/>
                <w:i/>
                <w:iCs/>
              </w:rPr>
              <w:t>under the Paris Agreement</w:t>
            </w:r>
            <w:r w:rsidRPr="008B50D0">
              <w:rPr>
                <w:b w:val="0"/>
                <w:bCs/>
                <w:i/>
                <w:iCs/>
              </w:rPr>
              <w:t xml:space="preserve">, </w:t>
            </w:r>
            <w:r w:rsidR="00F76DA8">
              <w:rPr>
                <w:b w:val="0"/>
                <w:bCs/>
                <w:i/>
                <w:iCs/>
              </w:rPr>
              <w:t>4</w:t>
            </w:r>
            <w:r w:rsidRPr="008B50D0">
              <w:rPr>
                <w:b w:val="0"/>
                <w:bCs/>
                <w:i/>
                <w:iCs/>
              </w:rPr>
              <w:t xml:space="preserve"> November 2021</w:t>
            </w:r>
          </w:p>
          <w:p w14:paraId="4BDFB276" w14:textId="77777777" w:rsidR="00A8128F" w:rsidRPr="008B50D0" w:rsidRDefault="00A8128F">
            <w:pPr>
              <w:pStyle w:val="Boxheading"/>
              <w:keepNext w:val="0"/>
            </w:pPr>
            <w:r w:rsidRPr="008B50D0" w:rsidDel="00D2407E">
              <w:t>T</w:t>
            </w:r>
            <w:r w:rsidRPr="008B50D0">
              <w:t xml:space="preserve">he Nationally Determined Contribution of New Zealand is: </w:t>
            </w:r>
          </w:p>
          <w:p w14:paraId="5FCE3C38" w14:textId="77777777" w:rsidR="00A8128F" w:rsidRPr="008B50D0" w:rsidRDefault="00A8128F">
            <w:pPr>
              <w:pStyle w:val="Boxtext"/>
              <w:spacing w:after="0"/>
            </w:pPr>
            <w:r w:rsidRPr="008B50D0">
              <w:t xml:space="preserve">To reduce net greenhouse gas emissions to 50 per cent below gross 2005 levels by 2030. </w:t>
            </w:r>
          </w:p>
          <w:p w14:paraId="05E92B01" w14:textId="77777777" w:rsidR="00A8128F" w:rsidRPr="008B50D0" w:rsidRDefault="00A8128F">
            <w:pPr>
              <w:pStyle w:val="Boxtext"/>
              <w:spacing w:after="0"/>
            </w:pPr>
            <w:r w:rsidRPr="008B50D0">
              <w:t xml:space="preserve">This corresponds to 41 per cent when managed using a multi-year emissions budget starting from New Zealand’s 2020 emissions target. </w:t>
            </w:r>
          </w:p>
          <w:p w14:paraId="5D23861A" w14:textId="77777777" w:rsidR="00A8128F" w:rsidRPr="008B50D0" w:rsidRDefault="00A8128F">
            <w:pPr>
              <w:pStyle w:val="Boxtext"/>
              <w:spacing w:after="0"/>
            </w:pPr>
            <w:r w:rsidRPr="008B50D0">
              <w:t>Based on New Zealand’s most recent greenhouse gas inventory, this budget provisionally equates to 571 Mt CO</w:t>
            </w:r>
            <w:r w:rsidRPr="008B50D0">
              <w:rPr>
                <w:vertAlign w:val="subscript"/>
              </w:rPr>
              <w:t>2</w:t>
            </w:r>
            <w:r w:rsidRPr="008B50D0">
              <w:t>e over 2021–</w:t>
            </w:r>
            <w:r w:rsidRPr="008B50D0" w:rsidDel="00CA0AC3">
              <w:t>20</w:t>
            </w:r>
            <w:r w:rsidRPr="008B50D0">
              <w:t>30. This constitutes a significant progression in ambition from New Zealand’s initial first NDC, which implied a provisional emissions budget over 2021–</w:t>
            </w:r>
            <w:r w:rsidRPr="008B50D0" w:rsidDel="00CA0AC3">
              <w:t>20</w:t>
            </w:r>
            <w:r w:rsidRPr="008B50D0">
              <w:t>30 of 623 Mt CO</w:t>
            </w:r>
            <w:r w:rsidRPr="008B50D0">
              <w:rPr>
                <w:vertAlign w:val="subscript"/>
              </w:rPr>
              <w:t>2</w:t>
            </w:r>
            <w:r w:rsidRPr="008B50D0">
              <w:t xml:space="preserve">e. </w:t>
            </w:r>
          </w:p>
          <w:p w14:paraId="36DC6AE3" w14:textId="77777777" w:rsidR="00A8128F" w:rsidRPr="008B50D0" w:rsidRDefault="00A8128F">
            <w:pPr>
              <w:pStyle w:val="Boxtext"/>
              <w:spacing w:after="0"/>
            </w:pPr>
            <w:r>
              <w:t xml:space="preserve">As communicated in the submission New Zealand made on 20 April 2020, this update is informed by the advice on the NDC from New Zealand’s Climate Change Commission. </w:t>
            </w:r>
          </w:p>
          <w:p w14:paraId="40FD5F54" w14:textId="77777777" w:rsidR="00A8128F" w:rsidRPr="008B50D0" w:rsidRDefault="00A8128F">
            <w:pPr>
              <w:pStyle w:val="Boxtext"/>
              <w:spacing w:after="0"/>
            </w:pPr>
            <w:r w:rsidRPr="008B50D0">
              <w:t xml:space="preserve">The NDC is contextualised by New Zealand’s aims under the Paris Agreement to hold the increase in the global average temperature to well below 2°C and pursue efforts to limit the temperature increase to 1.5°C above pre-industrial levels. </w:t>
            </w:r>
          </w:p>
          <w:p w14:paraId="533F03B0" w14:textId="77777777" w:rsidR="00A8128F" w:rsidRPr="008B50D0" w:rsidRDefault="00A8128F">
            <w:pPr>
              <w:pStyle w:val="Boxtext"/>
              <w:spacing w:after="240"/>
            </w:pPr>
            <w:r w:rsidRPr="008B50D0">
              <w:t xml:space="preserve">New Zealand intends to separately communicate its action on climate finance in its biennial reports; and its adaptation efforts in its 8th national communication and then in successive biennial transparency reports under the Paris Agreement. </w:t>
            </w:r>
          </w:p>
          <w:tbl>
            <w:tblPr>
              <w:tblStyle w:val="TableGrid"/>
              <w:tblW w:w="7655" w:type="dxa"/>
              <w:tblInd w:w="284" w:type="dxa"/>
              <w:tblBorders>
                <w:top w:val="single" w:sz="4" w:space="0" w:color="B8C9D0" w:themeColor="background2" w:themeShade="E6"/>
                <w:left w:val="single" w:sz="4" w:space="0" w:color="B8C9D0" w:themeColor="background2" w:themeShade="E6"/>
                <w:bottom w:val="single" w:sz="4" w:space="0" w:color="B8C9D0" w:themeColor="background2" w:themeShade="E6"/>
                <w:right w:val="single" w:sz="4" w:space="0" w:color="B8C9D0" w:themeColor="background2" w:themeShade="E6"/>
                <w:insideH w:val="single" w:sz="4" w:space="0" w:color="B8C9D0" w:themeColor="background2" w:themeShade="E6"/>
                <w:insideV w:val="single" w:sz="4" w:space="0" w:color="B8C9D0" w:themeColor="background2" w:themeShade="E6"/>
              </w:tblBorders>
              <w:tblLook w:val="04A0" w:firstRow="1" w:lastRow="0" w:firstColumn="1" w:lastColumn="0" w:noHBand="0" w:noVBand="1"/>
            </w:tblPr>
            <w:tblGrid>
              <w:gridCol w:w="2577"/>
              <w:gridCol w:w="5078"/>
            </w:tblGrid>
            <w:tr w:rsidR="00A8128F" w:rsidRPr="008B50D0" w14:paraId="4B846095" w14:textId="77777777">
              <w:tc>
                <w:tcPr>
                  <w:tcW w:w="2577" w:type="dxa"/>
                  <w:shd w:val="clear" w:color="auto" w:fill="EFF3F5"/>
                </w:tcPr>
                <w:p w14:paraId="337D5F8A" w14:textId="77777777" w:rsidR="00A8128F" w:rsidRPr="008B50D0" w:rsidRDefault="00A8128F">
                  <w:pPr>
                    <w:pStyle w:val="TableText"/>
                    <w:spacing w:after="0" w:line="240" w:lineRule="auto"/>
                    <w:rPr>
                      <w:b/>
                      <w:color w:val="1B556B"/>
                      <w:szCs w:val="18"/>
                    </w:rPr>
                  </w:pPr>
                  <w:r w:rsidRPr="008B50D0">
                    <w:rPr>
                      <w:b/>
                      <w:color w:val="1B556B"/>
                      <w:szCs w:val="18"/>
                    </w:rPr>
                    <w:t xml:space="preserve">Time </w:t>
                  </w:r>
                  <w:r w:rsidRPr="00E13B6A">
                    <w:rPr>
                      <w:b/>
                      <w:color w:val="1B556B" w:themeColor="text2"/>
                      <w:szCs w:val="18"/>
                    </w:rPr>
                    <w:t>period</w:t>
                  </w:r>
                </w:p>
              </w:tc>
              <w:tc>
                <w:tcPr>
                  <w:tcW w:w="5078" w:type="dxa"/>
                  <w:shd w:val="clear" w:color="auto" w:fill="EFF3F5"/>
                </w:tcPr>
                <w:p w14:paraId="6BC6FA7C" w14:textId="77777777" w:rsidR="00A8128F" w:rsidRPr="00E13B6A" w:rsidRDefault="00A8128F">
                  <w:pPr>
                    <w:pStyle w:val="TableText"/>
                    <w:spacing w:after="0" w:line="240" w:lineRule="auto"/>
                    <w:rPr>
                      <w:color w:val="1B556B" w:themeColor="text2"/>
                    </w:rPr>
                  </w:pPr>
                  <w:r w:rsidRPr="00E13B6A">
                    <w:rPr>
                      <w:color w:val="1B556B" w:themeColor="text2"/>
                    </w:rPr>
                    <w:t>2021 to 2030</w:t>
                  </w:r>
                </w:p>
              </w:tc>
            </w:tr>
            <w:tr w:rsidR="00A8128F" w:rsidRPr="008B50D0" w14:paraId="11323197" w14:textId="77777777">
              <w:tc>
                <w:tcPr>
                  <w:tcW w:w="2577" w:type="dxa"/>
                  <w:shd w:val="clear" w:color="auto" w:fill="EFF3F5"/>
                </w:tcPr>
                <w:p w14:paraId="3079FF95" w14:textId="77777777" w:rsidR="00A8128F" w:rsidRPr="008B50D0" w:rsidRDefault="00A8128F">
                  <w:pPr>
                    <w:pStyle w:val="TableText"/>
                    <w:spacing w:after="0" w:line="240" w:lineRule="auto"/>
                    <w:rPr>
                      <w:b/>
                      <w:color w:val="1B556B"/>
                      <w:szCs w:val="18"/>
                    </w:rPr>
                  </w:pPr>
                  <w:r w:rsidRPr="008B50D0">
                    <w:rPr>
                      <w:b/>
                      <w:color w:val="1B556B"/>
                      <w:szCs w:val="18"/>
                    </w:rPr>
                    <w:t>Type of commitment</w:t>
                  </w:r>
                </w:p>
              </w:tc>
              <w:tc>
                <w:tcPr>
                  <w:tcW w:w="5078" w:type="dxa"/>
                  <w:shd w:val="clear" w:color="auto" w:fill="EFF3F5"/>
                </w:tcPr>
                <w:p w14:paraId="534ECD98" w14:textId="77777777" w:rsidR="00A8128F" w:rsidRPr="00E13B6A" w:rsidRDefault="00A8128F">
                  <w:pPr>
                    <w:pStyle w:val="TableText"/>
                    <w:spacing w:line="240" w:lineRule="auto"/>
                    <w:rPr>
                      <w:color w:val="1B556B" w:themeColor="text2"/>
                    </w:rPr>
                  </w:pPr>
                  <w:r w:rsidRPr="00E13B6A">
                    <w:rPr>
                      <w:color w:val="1B556B" w:themeColor="text2"/>
                    </w:rPr>
                    <w:t>A point year target managed using a carbon budget across the NDC period.</w:t>
                  </w:r>
                </w:p>
              </w:tc>
            </w:tr>
            <w:tr w:rsidR="00A8128F" w:rsidRPr="008B50D0" w14:paraId="0A7AD591" w14:textId="77777777">
              <w:tc>
                <w:tcPr>
                  <w:tcW w:w="2577" w:type="dxa"/>
                  <w:shd w:val="clear" w:color="auto" w:fill="EFF3F5"/>
                </w:tcPr>
                <w:p w14:paraId="4DA51A83" w14:textId="77777777" w:rsidR="00A8128F" w:rsidRPr="008B50D0" w:rsidRDefault="00A8128F">
                  <w:pPr>
                    <w:pStyle w:val="TableText"/>
                    <w:spacing w:after="0" w:line="240" w:lineRule="auto"/>
                    <w:rPr>
                      <w:b/>
                      <w:color w:val="1B556B"/>
                      <w:szCs w:val="18"/>
                    </w:rPr>
                  </w:pPr>
                  <w:r w:rsidRPr="008B50D0">
                    <w:rPr>
                      <w:b/>
                      <w:color w:val="1B556B"/>
                      <w:szCs w:val="18"/>
                    </w:rPr>
                    <w:t>Target reference year</w:t>
                  </w:r>
                </w:p>
              </w:tc>
              <w:tc>
                <w:tcPr>
                  <w:tcW w:w="5078" w:type="dxa"/>
                  <w:shd w:val="clear" w:color="auto" w:fill="EFF3F5"/>
                </w:tcPr>
                <w:p w14:paraId="51F6F752" w14:textId="77777777" w:rsidR="00A8128F" w:rsidRPr="00E13B6A" w:rsidRDefault="00A8128F">
                  <w:pPr>
                    <w:pStyle w:val="TableText"/>
                    <w:spacing w:line="240" w:lineRule="auto"/>
                    <w:rPr>
                      <w:color w:val="1B556B" w:themeColor="text2"/>
                    </w:rPr>
                  </w:pPr>
                  <w:r w:rsidRPr="00E13B6A">
                    <w:rPr>
                      <w:color w:val="1B556B" w:themeColor="text2"/>
                    </w:rPr>
                    <w:t>2005</w:t>
                  </w:r>
                </w:p>
              </w:tc>
            </w:tr>
            <w:tr w:rsidR="00A8128F" w:rsidRPr="008B50D0" w14:paraId="04227437" w14:textId="77777777">
              <w:tc>
                <w:tcPr>
                  <w:tcW w:w="2577" w:type="dxa"/>
                  <w:shd w:val="clear" w:color="auto" w:fill="EFF3F5"/>
                </w:tcPr>
                <w:p w14:paraId="255FC7CF" w14:textId="77777777" w:rsidR="00A8128F" w:rsidRPr="008B50D0" w:rsidRDefault="00A8128F">
                  <w:pPr>
                    <w:pStyle w:val="TableText"/>
                    <w:spacing w:after="0" w:line="240" w:lineRule="auto"/>
                    <w:rPr>
                      <w:b/>
                      <w:color w:val="1B556B"/>
                      <w:szCs w:val="18"/>
                    </w:rPr>
                  </w:pPr>
                  <w:r w:rsidRPr="008B50D0">
                    <w:rPr>
                      <w:b/>
                      <w:color w:val="1B556B"/>
                      <w:szCs w:val="18"/>
                    </w:rPr>
                    <w:t>Reduction level</w:t>
                  </w:r>
                </w:p>
              </w:tc>
              <w:tc>
                <w:tcPr>
                  <w:tcW w:w="5078" w:type="dxa"/>
                  <w:shd w:val="clear" w:color="auto" w:fill="EFF3F5"/>
                </w:tcPr>
                <w:p w14:paraId="66812983" w14:textId="77777777" w:rsidR="00A8128F" w:rsidRPr="00E13B6A" w:rsidRDefault="00A8128F">
                  <w:pPr>
                    <w:pStyle w:val="TableText"/>
                    <w:spacing w:line="240" w:lineRule="auto"/>
                    <w:rPr>
                      <w:color w:val="1B556B" w:themeColor="text2"/>
                    </w:rPr>
                  </w:pPr>
                  <w:r w:rsidRPr="00E13B6A">
                    <w:rPr>
                      <w:color w:val="1B556B" w:themeColor="text2"/>
                    </w:rPr>
                    <w:t>Emissions will be reduced by 50 per cent below gross 2005 levels by 2030, which corresponds to a 41 per cent reduction when managed using a multi-year emissions budget.</w:t>
                  </w:r>
                </w:p>
              </w:tc>
            </w:tr>
            <w:tr w:rsidR="00A8128F" w:rsidRPr="008B50D0" w14:paraId="74EA0936" w14:textId="77777777">
              <w:tc>
                <w:tcPr>
                  <w:tcW w:w="2577" w:type="dxa"/>
                  <w:shd w:val="clear" w:color="auto" w:fill="EFF3F5"/>
                </w:tcPr>
                <w:p w14:paraId="38D10B7E" w14:textId="77777777" w:rsidR="00A8128F" w:rsidRPr="008B50D0" w:rsidRDefault="00A8128F">
                  <w:pPr>
                    <w:pStyle w:val="TableText"/>
                    <w:spacing w:after="0" w:line="240" w:lineRule="auto"/>
                    <w:rPr>
                      <w:b/>
                      <w:color w:val="1B556B"/>
                      <w:szCs w:val="18"/>
                    </w:rPr>
                  </w:pPr>
                  <w:r w:rsidRPr="008B50D0">
                    <w:rPr>
                      <w:b/>
                      <w:color w:val="1B556B"/>
                      <w:szCs w:val="18"/>
                    </w:rPr>
                    <w:t>Scope and coverage</w:t>
                  </w:r>
                </w:p>
              </w:tc>
              <w:tc>
                <w:tcPr>
                  <w:tcW w:w="5078" w:type="dxa"/>
                  <w:shd w:val="clear" w:color="auto" w:fill="EFF3F5"/>
                </w:tcPr>
                <w:p w14:paraId="46B2AC60" w14:textId="77777777" w:rsidR="00A8128F" w:rsidRPr="008B50D0" w:rsidRDefault="00A8128F">
                  <w:pPr>
                    <w:spacing w:before="60" w:after="0" w:line="240" w:lineRule="auto"/>
                    <w:ind w:left="34" w:hanging="34"/>
                    <w:jc w:val="left"/>
                    <w:rPr>
                      <w:color w:val="1B556B"/>
                      <w:sz w:val="18"/>
                      <w:szCs w:val="18"/>
                    </w:rPr>
                  </w:pPr>
                  <w:r w:rsidRPr="008B50D0">
                    <w:rPr>
                      <w:color w:val="1B556B"/>
                      <w:sz w:val="18"/>
                      <w:szCs w:val="18"/>
                    </w:rPr>
                    <w:t xml:space="preserve">This responsibility target is economy-wide covering all sectors: </w:t>
                  </w:r>
                </w:p>
                <w:p w14:paraId="4F8BC347" w14:textId="77777777" w:rsidR="00A8128F" w:rsidRPr="00DA4B73" w:rsidRDefault="00A8128F">
                  <w:pPr>
                    <w:pStyle w:val="TableText"/>
                    <w:spacing w:before="0" w:line="240" w:lineRule="auto"/>
                    <w:rPr>
                      <w:color w:val="1B556B" w:themeColor="text2"/>
                    </w:rPr>
                  </w:pPr>
                  <w:r w:rsidRPr="00DA4B73">
                    <w:rPr>
                      <w:color w:val="1B556B" w:themeColor="text2"/>
                    </w:rPr>
                    <w:t xml:space="preserve">• Energy </w:t>
                  </w:r>
                </w:p>
                <w:p w14:paraId="3FCF63EB" w14:textId="797F2F98" w:rsidR="00A8128F" w:rsidRPr="00DA4B73" w:rsidRDefault="00A8128F">
                  <w:pPr>
                    <w:pStyle w:val="TableText"/>
                    <w:spacing w:before="0" w:line="240" w:lineRule="auto"/>
                    <w:rPr>
                      <w:color w:val="1B556B" w:themeColor="text2"/>
                    </w:rPr>
                  </w:pPr>
                  <w:r w:rsidRPr="00DA4B73">
                    <w:rPr>
                      <w:color w:val="1B556B" w:themeColor="text2"/>
                    </w:rPr>
                    <w:t xml:space="preserve">• Industrial </w:t>
                  </w:r>
                  <w:r w:rsidRPr="00DA4B73" w:rsidDel="00180F23">
                    <w:rPr>
                      <w:color w:val="1B556B" w:themeColor="text2"/>
                    </w:rPr>
                    <w:t>p</w:t>
                  </w:r>
                  <w:r w:rsidRPr="00DA4B73">
                    <w:rPr>
                      <w:color w:val="1B556B" w:themeColor="text2"/>
                    </w:rPr>
                    <w:t xml:space="preserve">rocesses and product </w:t>
                  </w:r>
                  <w:r w:rsidRPr="00DA4B73" w:rsidDel="00180F23">
                    <w:rPr>
                      <w:color w:val="1B556B" w:themeColor="text2"/>
                    </w:rPr>
                    <w:t>u</w:t>
                  </w:r>
                  <w:r w:rsidRPr="00DA4B73">
                    <w:rPr>
                      <w:color w:val="1B556B" w:themeColor="text2"/>
                    </w:rPr>
                    <w:t xml:space="preserve">se </w:t>
                  </w:r>
                </w:p>
                <w:p w14:paraId="12390225" w14:textId="77777777" w:rsidR="00A8128F" w:rsidRPr="00DA4B73" w:rsidRDefault="00A8128F">
                  <w:pPr>
                    <w:pStyle w:val="TableText"/>
                    <w:spacing w:before="0" w:line="240" w:lineRule="auto"/>
                    <w:rPr>
                      <w:color w:val="1B556B" w:themeColor="text2"/>
                    </w:rPr>
                  </w:pPr>
                  <w:r w:rsidRPr="00DA4B73">
                    <w:rPr>
                      <w:color w:val="1B556B" w:themeColor="text2"/>
                    </w:rPr>
                    <w:t xml:space="preserve">• Agriculture </w:t>
                  </w:r>
                </w:p>
                <w:p w14:paraId="3013FBC4" w14:textId="77777777" w:rsidR="00A8128F" w:rsidRPr="00DA4B73" w:rsidRDefault="00A8128F">
                  <w:pPr>
                    <w:pStyle w:val="TableText"/>
                    <w:spacing w:before="0" w:line="240" w:lineRule="auto"/>
                    <w:rPr>
                      <w:color w:val="1B556B" w:themeColor="text2"/>
                    </w:rPr>
                  </w:pPr>
                  <w:r w:rsidRPr="00DA4B73">
                    <w:rPr>
                      <w:color w:val="1B556B" w:themeColor="text2"/>
                    </w:rPr>
                    <w:t xml:space="preserve">• Forestry and other land use </w:t>
                  </w:r>
                </w:p>
                <w:p w14:paraId="09AE5C22" w14:textId="77777777" w:rsidR="00A8128F" w:rsidRPr="00DA4B73" w:rsidRDefault="00A8128F">
                  <w:pPr>
                    <w:pStyle w:val="TableText"/>
                    <w:spacing w:before="0" w:line="240" w:lineRule="auto"/>
                    <w:rPr>
                      <w:color w:val="1B556B" w:themeColor="text2"/>
                    </w:rPr>
                  </w:pPr>
                  <w:r w:rsidRPr="00DA4B73">
                    <w:rPr>
                      <w:color w:val="1B556B" w:themeColor="text2"/>
                    </w:rPr>
                    <w:t xml:space="preserve">• Waste </w:t>
                  </w:r>
                </w:p>
                <w:p w14:paraId="0111343C" w14:textId="77777777" w:rsidR="00A8128F" w:rsidRPr="008B50D0" w:rsidRDefault="00A8128F">
                  <w:pPr>
                    <w:spacing w:before="60" w:after="0" w:line="240" w:lineRule="auto"/>
                    <w:ind w:left="34" w:hanging="34"/>
                    <w:jc w:val="left"/>
                    <w:rPr>
                      <w:color w:val="1B556B"/>
                      <w:sz w:val="18"/>
                      <w:szCs w:val="18"/>
                    </w:rPr>
                  </w:pPr>
                  <w:r w:rsidRPr="008B50D0">
                    <w:rPr>
                      <w:color w:val="1B556B"/>
                      <w:sz w:val="18"/>
                      <w:szCs w:val="18"/>
                    </w:rPr>
                    <w:t xml:space="preserve">and all greenhouse gases: </w:t>
                  </w:r>
                </w:p>
                <w:p w14:paraId="0C0D97E6" w14:textId="77777777" w:rsidR="00A8128F" w:rsidRPr="008B50D0" w:rsidRDefault="00A8128F">
                  <w:pPr>
                    <w:tabs>
                      <w:tab w:val="left" w:pos="940"/>
                      <w:tab w:val="left" w:pos="1859"/>
                    </w:tabs>
                    <w:spacing w:before="60" w:after="0" w:line="240" w:lineRule="auto"/>
                    <w:ind w:left="34" w:hanging="34"/>
                    <w:jc w:val="left"/>
                    <w:rPr>
                      <w:color w:val="1B556B"/>
                      <w:sz w:val="18"/>
                      <w:szCs w:val="18"/>
                    </w:rPr>
                  </w:pPr>
                  <w:r w:rsidRPr="008B50D0">
                    <w:rPr>
                      <w:color w:val="1B556B"/>
                      <w:sz w:val="18"/>
                      <w:szCs w:val="18"/>
                    </w:rPr>
                    <w:t>• CO</w:t>
                  </w:r>
                  <w:r w:rsidRPr="008B50D0">
                    <w:rPr>
                      <w:color w:val="1B556B"/>
                      <w:sz w:val="18"/>
                      <w:szCs w:val="18"/>
                      <w:vertAlign w:val="subscript"/>
                    </w:rPr>
                    <w:t>2</w:t>
                  </w:r>
                  <w:r w:rsidRPr="008B50D0">
                    <w:rPr>
                      <w:color w:val="1B556B"/>
                      <w:sz w:val="18"/>
                      <w:szCs w:val="18"/>
                    </w:rPr>
                    <w:t xml:space="preserve"> </w:t>
                  </w:r>
                  <w:r>
                    <w:rPr>
                      <w:color w:val="1B556B"/>
                      <w:sz w:val="18"/>
                      <w:szCs w:val="18"/>
                    </w:rPr>
                    <w:tab/>
                  </w:r>
                  <w:r w:rsidRPr="008B50D0">
                    <w:rPr>
                      <w:color w:val="1B556B"/>
                      <w:sz w:val="18"/>
                      <w:szCs w:val="18"/>
                    </w:rPr>
                    <w:t xml:space="preserve">• HFCs </w:t>
                  </w:r>
                  <w:r>
                    <w:rPr>
                      <w:color w:val="1B556B"/>
                      <w:sz w:val="18"/>
                      <w:szCs w:val="18"/>
                    </w:rPr>
                    <w:tab/>
                  </w:r>
                  <w:r w:rsidRPr="008B50D0">
                    <w:rPr>
                      <w:color w:val="1B556B"/>
                      <w:sz w:val="18"/>
                      <w:szCs w:val="18"/>
                    </w:rPr>
                    <w:t>• N</w:t>
                  </w:r>
                  <w:r w:rsidRPr="008B50D0">
                    <w:rPr>
                      <w:color w:val="1B556B"/>
                      <w:sz w:val="18"/>
                      <w:szCs w:val="18"/>
                      <w:vertAlign w:val="subscript"/>
                    </w:rPr>
                    <w:t>2</w:t>
                  </w:r>
                  <w:r w:rsidRPr="008B50D0">
                    <w:rPr>
                      <w:color w:val="1B556B"/>
                      <w:sz w:val="18"/>
                      <w:szCs w:val="18"/>
                    </w:rPr>
                    <w:t xml:space="preserve">O </w:t>
                  </w:r>
                </w:p>
                <w:p w14:paraId="00890B95" w14:textId="77777777" w:rsidR="00A8128F" w:rsidRPr="008B50D0" w:rsidRDefault="00A8128F">
                  <w:pPr>
                    <w:tabs>
                      <w:tab w:val="left" w:pos="940"/>
                      <w:tab w:val="left" w:pos="1859"/>
                    </w:tabs>
                    <w:spacing w:before="0" w:after="0" w:line="240" w:lineRule="auto"/>
                    <w:ind w:left="34" w:hanging="34"/>
                    <w:jc w:val="left"/>
                    <w:rPr>
                      <w:color w:val="1B556B"/>
                      <w:sz w:val="18"/>
                      <w:szCs w:val="18"/>
                    </w:rPr>
                  </w:pPr>
                  <w:r w:rsidRPr="008B50D0">
                    <w:rPr>
                      <w:color w:val="1B556B"/>
                      <w:sz w:val="18"/>
                      <w:szCs w:val="18"/>
                    </w:rPr>
                    <w:t>• CH</w:t>
                  </w:r>
                  <w:r w:rsidRPr="008B50D0">
                    <w:rPr>
                      <w:color w:val="1B556B"/>
                      <w:sz w:val="18"/>
                      <w:szCs w:val="18"/>
                      <w:vertAlign w:val="subscript"/>
                    </w:rPr>
                    <w:t>4</w:t>
                  </w:r>
                  <w:r w:rsidRPr="008B50D0">
                    <w:rPr>
                      <w:color w:val="1B556B"/>
                      <w:sz w:val="18"/>
                      <w:szCs w:val="18"/>
                    </w:rPr>
                    <w:t xml:space="preserve"> </w:t>
                  </w:r>
                  <w:r>
                    <w:rPr>
                      <w:color w:val="1B556B"/>
                      <w:sz w:val="18"/>
                      <w:szCs w:val="18"/>
                    </w:rPr>
                    <w:tab/>
                  </w:r>
                  <w:r w:rsidRPr="008B50D0">
                    <w:rPr>
                      <w:color w:val="1B556B"/>
                      <w:sz w:val="18"/>
                      <w:szCs w:val="18"/>
                    </w:rPr>
                    <w:t xml:space="preserve">• PFCs </w:t>
                  </w:r>
                  <w:r>
                    <w:rPr>
                      <w:color w:val="1B556B"/>
                      <w:sz w:val="18"/>
                      <w:szCs w:val="18"/>
                    </w:rPr>
                    <w:tab/>
                  </w:r>
                  <w:r w:rsidRPr="008B50D0">
                    <w:rPr>
                      <w:color w:val="1B556B"/>
                      <w:sz w:val="18"/>
                      <w:szCs w:val="18"/>
                    </w:rPr>
                    <w:t>• NF</w:t>
                  </w:r>
                  <w:r w:rsidRPr="008B50D0">
                    <w:rPr>
                      <w:color w:val="1B556B"/>
                      <w:sz w:val="18"/>
                      <w:szCs w:val="18"/>
                      <w:vertAlign w:val="subscript"/>
                    </w:rPr>
                    <w:t>3</w:t>
                  </w:r>
                  <w:r w:rsidRPr="008B50D0">
                    <w:rPr>
                      <w:color w:val="1B556B"/>
                      <w:sz w:val="18"/>
                      <w:szCs w:val="18"/>
                    </w:rPr>
                    <w:t xml:space="preserve"> </w:t>
                  </w:r>
                </w:p>
                <w:p w14:paraId="248DF483" w14:textId="77777777" w:rsidR="00A8128F" w:rsidRPr="008B50D0" w:rsidRDefault="00A8128F">
                  <w:pPr>
                    <w:tabs>
                      <w:tab w:val="left" w:pos="940"/>
                      <w:tab w:val="left" w:pos="1859"/>
                    </w:tabs>
                    <w:spacing w:before="0" w:after="60" w:line="240" w:lineRule="auto"/>
                    <w:ind w:left="34" w:hanging="34"/>
                    <w:jc w:val="left"/>
                    <w:rPr>
                      <w:color w:val="1B556B"/>
                      <w:sz w:val="18"/>
                      <w:szCs w:val="18"/>
                    </w:rPr>
                  </w:pPr>
                  <w:r w:rsidRPr="008B50D0">
                    <w:rPr>
                      <w:color w:val="1B556B"/>
                      <w:sz w:val="18"/>
                      <w:szCs w:val="18"/>
                    </w:rPr>
                    <w:t>• SF</w:t>
                  </w:r>
                  <w:r w:rsidRPr="008B50D0">
                    <w:rPr>
                      <w:color w:val="1B556B"/>
                      <w:sz w:val="18"/>
                      <w:szCs w:val="18"/>
                      <w:vertAlign w:val="subscript"/>
                    </w:rPr>
                    <w:t>6</w:t>
                  </w:r>
                </w:p>
              </w:tc>
            </w:tr>
            <w:tr w:rsidR="00A8128F" w:rsidRPr="008B50D0" w14:paraId="245042B8" w14:textId="77777777">
              <w:tc>
                <w:tcPr>
                  <w:tcW w:w="2577" w:type="dxa"/>
                  <w:shd w:val="clear" w:color="auto" w:fill="EFF3F5"/>
                </w:tcPr>
                <w:p w14:paraId="5170527B" w14:textId="77777777" w:rsidR="00A8128F" w:rsidRPr="008B50D0" w:rsidRDefault="00A8128F">
                  <w:pPr>
                    <w:pStyle w:val="TableText"/>
                    <w:spacing w:after="0" w:line="240" w:lineRule="auto"/>
                    <w:rPr>
                      <w:rFonts w:cstheme="minorBidi"/>
                      <w:b/>
                      <w:color w:val="1B556B"/>
                      <w:szCs w:val="18"/>
                    </w:rPr>
                  </w:pPr>
                  <w:r w:rsidRPr="008B50D0">
                    <w:rPr>
                      <w:b/>
                      <w:color w:val="1B556B"/>
                      <w:szCs w:val="18"/>
                    </w:rPr>
                    <w:t>Methodological approaches for estimating anthropogenic greenhouse gas emissions and removals</w:t>
                  </w:r>
                </w:p>
              </w:tc>
              <w:tc>
                <w:tcPr>
                  <w:tcW w:w="5078" w:type="dxa"/>
                  <w:shd w:val="clear" w:color="auto" w:fill="EFF3F5"/>
                </w:tcPr>
                <w:p w14:paraId="5D1907E2" w14:textId="35333B84" w:rsidR="00A8128F" w:rsidRPr="008B50D0" w:rsidRDefault="00A8128F">
                  <w:pPr>
                    <w:pStyle w:val="TableText"/>
                    <w:spacing w:line="240" w:lineRule="auto"/>
                  </w:pPr>
                  <w:r w:rsidRPr="00DA4B73">
                    <w:rPr>
                      <w:color w:val="1B556B" w:themeColor="text2"/>
                    </w:rPr>
                    <w:t>This NDC applies 100</w:t>
                  </w:r>
                  <w:r w:rsidRPr="00DA4B73" w:rsidDel="00180F23">
                    <w:rPr>
                      <w:color w:val="1B556B" w:themeColor="text2"/>
                    </w:rPr>
                    <w:t xml:space="preserve"> </w:t>
                  </w:r>
                  <w:r w:rsidRPr="00DA4B73">
                    <w:rPr>
                      <w:color w:val="1B556B" w:themeColor="text2"/>
                    </w:rPr>
                    <w:t>year Global Warming Potentials (GWPs) from the IPCC 5th assessment report, and methodologies from the IPCC 2006 greenhouse gas inventory guidelines and the 2013 IPCC KP Supplement.</w:t>
                  </w:r>
                </w:p>
              </w:tc>
            </w:tr>
            <w:tr w:rsidR="00A8128F" w:rsidRPr="008B50D0" w14:paraId="3E4A8B35" w14:textId="77777777">
              <w:tc>
                <w:tcPr>
                  <w:tcW w:w="7655" w:type="dxa"/>
                  <w:gridSpan w:val="2"/>
                  <w:shd w:val="clear" w:color="auto" w:fill="EFF3F5"/>
                </w:tcPr>
                <w:p w14:paraId="361C499D" w14:textId="77777777" w:rsidR="00A8128F" w:rsidRPr="008B50D0" w:rsidRDefault="00A8128F">
                  <w:pPr>
                    <w:pStyle w:val="TableText"/>
                    <w:spacing w:after="0" w:line="240" w:lineRule="auto"/>
                    <w:rPr>
                      <w:b/>
                      <w:color w:val="1B556B"/>
                      <w:szCs w:val="18"/>
                    </w:rPr>
                  </w:pPr>
                  <w:r w:rsidRPr="008B50D0">
                    <w:rPr>
                      <w:b/>
                      <w:color w:val="1B556B"/>
                      <w:szCs w:val="18"/>
                    </w:rPr>
                    <w:t>Use of market mechanisms and cooperative approaches</w:t>
                  </w:r>
                </w:p>
                <w:p w14:paraId="7640CB6C" w14:textId="77777777" w:rsidR="00A8128F" w:rsidRPr="00DA4B73" w:rsidRDefault="00A8128F">
                  <w:pPr>
                    <w:pStyle w:val="TableText"/>
                    <w:spacing w:before="0" w:line="240" w:lineRule="auto"/>
                    <w:rPr>
                      <w:color w:val="1B556B" w:themeColor="text2"/>
                    </w:rPr>
                  </w:pPr>
                  <w:r w:rsidRPr="00DA4B73">
                    <w:rPr>
                      <w:color w:val="1B556B" w:themeColor="text2"/>
                    </w:rPr>
                    <w:t xml:space="preserve">In meeting its target New Zealand intends to use international market mechanisms, cooperative approaches and carbon markets that enable trading and use of a wide variety of units/emission reductions/mitigation outcomes that meet reasonable standards and guidelines to: </w:t>
                  </w:r>
                </w:p>
                <w:p w14:paraId="2EC8E1B3" w14:textId="77777777" w:rsidR="00A8128F" w:rsidRPr="00DA4B73" w:rsidRDefault="00A8128F">
                  <w:pPr>
                    <w:pStyle w:val="TableText"/>
                    <w:spacing w:before="0" w:line="240" w:lineRule="auto"/>
                    <w:rPr>
                      <w:color w:val="1B556B" w:themeColor="text2"/>
                    </w:rPr>
                  </w:pPr>
                  <w:r w:rsidRPr="00DA4B73">
                    <w:rPr>
                      <w:color w:val="1B556B" w:themeColor="text2"/>
                    </w:rPr>
                    <w:t xml:space="preserve">• ensure the environmental integrity of emissions reductions generated or purchased </w:t>
                  </w:r>
                </w:p>
                <w:p w14:paraId="6B87666B" w14:textId="77777777" w:rsidR="00A8128F" w:rsidRPr="00DA4B73" w:rsidRDefault="00A8128F">
                  <w:pPr>
                    <w:pStyle w:val="TableText"/>
                    <w:spacing w:before="0" w:line="240" w:lineRule="auto"/>
                    <w:rPr>
                      <w:color w:val="1B556B" w:themeColor="text2"/>
                    </w:rPr>
                  </w:pPr>
                  <w:r w:rsidRPr="00DA4B73">
                    <w:rPr>
                      <w:color w:val="1B556B" w:themeColor="text2"/>
                    </w:rPr>
                    <w:t xml:space="preserve">• guard against double-claiming/double-counting, and </w:t>
                  </w:r>
                </w:p>
                <w:p w14:paraId="44710145" w14:textId="77777777" w:rsidR="00A8128F" w:rsidRPr="00BB5243" w:rsidRDefault="00A8128F">
                  <w:pPr>
                    <w:pStyle w:val="TableText"/>
                    <w:spacing w:before="0" w:line="240" w:lineRule="auto"/>
                    <w:rPr>
                      <w:color w:val="1B556B" w:themeColor="text2"/>
                    </w:rPr>
                  </w:pPr>
                  <w:r w:rsidRPr="00DA4B73">
                    <w:rPr>
                      <w:color w:val="1B556B" w:themeColor="text2"/>
                    </w:rPr>
                    <w:t>• ensure transparency in accounting and governance.</w:t>
                  </w:r>
                </w:p>
              </w:tc>
            </w:tr>
          </w:tbl>
          <w:p w14:paraId="4CCB539C" w14:textId="77777777" w:rsidR="00A8128F" w:rsidRPr="008B50D0" w:rsidRDefault="00A8128F">
            <w:pPr>
              <w:pStyle w:val="Note"/>
              <w:spacing w:before="0" w:after="0"/>
              <w:ind w:left="456" w:right="284" w:hanging="172"/>
            </w:pPr>
          </w:p>
        </w:tc>
      </w:tr>
      <w:tr w:rsidR="00A8128F" w:rsidRPr="008B50D0" w14:paraId="7CAC37D1" w14:textId="77777777">
        <w:tc>
          <w:tcPr>
            <w:tcW w:w="0" w:type="auto"/>
            <w:tcBorders>
              <w:bottom w:val="single" w:sz="4" w:space="0" w:color="D2DDE1" w:themeColor="background2"/>
            </w:tcBorders>
            <w:shd w:val="clear" w:color="auto" w:fill="D2DDE1" w:themeFill="background2"/>
          </w:tcPr>
          <w:p w14:paraId="2BFBF9D5" w14:textId="77777777" w:rsidR="00A8128F" w:rsidRPr="008B50D0" w:rsidRDefault="00A8128F">
            <w:pPr>
              <w:pStyle w:val="TableText"/>
              <w:spacing w:before="0" w:after="0"/>
            </w:pPr>
          </w:p>
        </w:tc>
      </w:tr>
    </w:tbl>
    <w:p w14:paraId="75E64C27" w14:textId="77777777" w:rsidR="00A8128F" w:rsidRDefault="00A8128F" w:rsidP="00A8128F">
      <w:pPr>
        <w:spacing w:before="0" w:after="0"/>
      </w:pP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ook w:val="04A0" w:firstRow="1" w:lastRow="0" w:firstColumn="1" w:lastColumn="0" w:noHBand="0" w:noVBand="1"/>
      </w:tblPr>
      <w:tblGrid>
        <w:gridCol w:w="8505"/>
      </w:tblGrid>
      <w:tr w:rsidR="00A8128F" w:rsidRPr="008B50D0" w14:paraId="05A9D807" w14:textId="77777777">
        <w:tc>
          <w:tcPr>
            <w:tcW w:w="0" w:type="auto"/>
            <w:tcBorders>
              <w:bottom w:val="single" w:sz="4" w:space="0" w:color="D2DDE1" w:themeColor="background2"/>
            </w:tcBorders>
            <w:shd w:val="clear" w:color="auto" w:fill="D2DDE1" w:themeFill="background2"/>
          </w:tcPr>
          <w:p w14:paraId="1F045E7E" w14:textId="77777777" w:rsidR="00A8128F" w:rsidRPr="008B50D0" w:rsidRDefault="00A8128F">
            <w:pPr>
              <w:pStyle w:val="TableText"/>
              <w:keepNext/>
              <w:spacing w:before="0" w:after="0"/>
            </w:pPr>
          </w:p>
        </w:tc>
      </w:tr>
      <w:tr w:rsidR="00A8128F" w:rsidRPr="008B50D0" w14:paraId="3FD60D7C" w14:textId="77777777">
        <w:trPr>
          <w:trHeight w:val="487"/>
        </w:trPr>
        <w:tc>
          <w:tcPr>
            <w:tcW w:w="0" w:type="auto"/>
            <w:tcBorders>
              <w:top w:val="single" w:sz="4" w:space="0" w:color="D2DDE1" w:themeColor="background2"/>
            </w:tcBorders>
            <w:shd w:val="clear" w:color="auto" w:fill="D2DDE1" w:themeFill="background2"/>
          </w:tcPr>
          <w:tbl>
            <w:tblPr>
              <w:tblStyle w:val="TableGrid"/>
              <w:tblW w:w="7655" w:type="dxa"/>
              <w:tblInd w:w="284" w:type="dxa"/>
              <w:tblBorders>
                <w:top w:val="single" w:sz="4" w:space="0" w:color="B8C9D0" w:themeColor="background2" w:themeShade="E6"/>
                <w:left w:val="single" w:sz="4" w:space="0" w:color="B8C9D0" w:themeColor="background2" w:themeShade="E6"/>
                <w:bottom w:val="single" w:sz="4" w:space="0" w:color="B8C9D0" w:themeColor="background2" w:themeShade="E6"/>
                <w:right w:val="single" w:sz="4" w:space="0" w:color="B8C9D0" w:themeColor="background2" w:themeShade="E6"/>
                <w:insideH w:val="single" w:sz="4" w:space="0" w:color="B8C9D0" w:themeColor="background2" w:themeShade="E6"/>
                <w:insideV w:val="single" w:sz="4" w:space="0" w:color="B8C9D0" w:themeColor="background2" w:themeShade="E6"/>
              </w:tblBorders>
              <w:tblLook w:val="04A0" w:firstRow="1" w:lastRow="0" w:firstColumn="1" w:lastColumn="0" w:noHBand="0" w:noVBand="1"/>
            </w:tblPr>
            <w:tblGrid>
              <w:gridCol w:w="2577"/>
              <w:gridCol w:w="5078"/>
            </w:tblGrid>
            <w:tr w:rsidR="00A8128F" w:rsidRPr="008B50D0" w14:paraId="550031B6" w14:textId="77777777">
              <w:tc>
                <w:tcPr>
                  <w:tcW w:w="7655" w:type="dxa"/>
                  <w:gridSpan w:val="2"/>
                  <w:shd w:val="clear" w:color="auto" w:fill="EFF3F5"/>
                </w:tcPr>
                <w:p w14:paraId="5FD12642" w14:textId="77777777" w:rsidR="00A8128F" w:rsidRPr="008B50D0" w:rsidRDefault="00A8128F">
                  <w:pPr>
                    <w:keepNext/>
                    <w:spacing w:before="60" w:after="0" w:line="240" w:lineRule="auto"/>
                    <w:ind w:left="34" w:hanging="34"/>
                    <w:jc w:val="left"/>
                    <w:rPr>
                      <w:b/>
                      <w:color w:val="1B556B"/>
                      <w:sz w:val="18"/>
                      <w:szCs w:val="18"/>
                    </w:rPr>
                  </w:pPr>
                  <w:r w:rsidRPr="008B50D0">
                    <w:rPr>
                      <w:b/>
                      <w:color w:val="1B556B"/>
                      <w:sz w:val="18"/>
                      <w:szCs w:val="18"/>
                    </w:rPr>
                    <w:t>Approach to accounting for forestry and other land use</w:t>
                  </w:r>
                </w:p>
                <w:p w14:paraId="75B5A823" w14:textId="77777777" w:rsidR="00A8128F" w:rsidRPr="008B50D0" w:rsidRDefault="00A8128F">
                  <w:pPr>
                    <w:pStyle w:val="TableText"/>
                    <w:spacing w:line="240" w:lineRule="auto"/>
                  </w:pPr>
                  <w:r w:rsidRPr="000A5B2D">
                    <w:rPr>
                      <w:color w:val="1B556B" w:themeColor="text2"/>
                    </w:rPr>
                    <w:t>New Zealand’s preferred approach for accounting for forestry and other land use sector is described below (as per its INDC). This approach sets out core assumptions. We reserve the right to adjust our selection of methodologies, without reducing ambition. New Zealand’s approach to forestry and other land use accounting will be fully described in its first communication under the Paris Agreement.</w:t>
                  </w:r>
                  <w:r w:rsidRPr="000A5B2D">
                    <w:rPr>
                      <w:color w:val="1B556B" w:themeColor="text2"/>
                      <w:vertAlign w:val="superscript"/>
                    </w:rPr>
                    <w:t>1</w:t>
                  </w:r>
                </w:p>
              </w:tc>
            </w:tr>
            <w:tr w:rsidR="00A8128F" w:rsidRPr="008B50D0" w14:paraId="4D0E9D6E" w14:textId="77777777">
              <w:tc>
                <w:tcPr>
                  <w:tcW w:w="2577" w:type="dxa"/>
                  <w:shd w:val="clear" w:color="auto" w:fill="EFF3F5"/>
                </w:tcPr>
                <w:p w14:paraId="037FFBA5" w14:textId="77777777" w:rsidR="00A8128F" w:rsidRPr="008B50D0" w:rsidRDefault="00A8128F">
                  <w:pPr>
                    <w:pStyle w:val="TableText"/>
                    <w:spacing w:after="0" w:line="240" w:lineRule="auto"/>
                    <w:rPr>
                      <w:b/>
                      <w:color w:val="1B556B"/>
                      <w:szCs w:val="18"/>
                    </w:rPr>
                  </w:pPr>
                  <w:r w:rsidRPr="008B50D0">
                    <w:rPr>
                      <w:b/>
                      <w:color w:val="1B556B"/>
                      <w:szCs w:val="18"/>
                    </w:rPr>
                    <w:t>Methodologies</w:t>
                  </w:r>
                </w:p>
              </w:tc>
              <w:tc>
                <w:tcPr>
                  <w:tcW w:w="5078" w:type="dxa"/>
                  <w:shd w:val="clear" w:color="auto" w:fill="EFF3F5"/>
                </w:tcPr>
                <w:p w14:paraId="5FE5AB54" w14:textId="77777777" w:rsidR="00A8128F" w:rsidRPr="008B50D0" w:rsidRDefault="00A8128F">
                  <w:pPr>
                    <w:spacing w:before="60" w:after="0" w:line="240" w:lineRule="auto"/>
                    <w:jc w:val="left"/>
                    <w:rPr>
                      <w:color w:val="1B556B"/>
                      <w:sz w:val="18"/>
                      <w:szCs w:val="18"/>
                    </w:rPr>
                  </w:pPr>
                  <w:r w:rsidRPr="008B50D0">
                    <w:rPr>
                      <w:color w:val="1B556B"/>
                      <w:sz w:val="18"/>
                      <w:szCs w:val="18"/>
                    </w:rPr>
                    <w:t>New Zealand’s assumed accounting for the forestry and other land use sector will be based on a combination of the 2006 IPCC Guidance and the 2013 IPCC Kyoto Protocol Supplement, providing for Kyoto Protocol accounting approaches to be applied to the greenhouse gas inventory land-based categories. New Zealand looks forward to considering methodologies introduced by the 2013 IPCC Wetlands Supplement and the 2019 Refinement to the 2006 IPCC Guidelines in the future. New Zealand’s existing activity start year of 1990 will continue to apply, ensuring continuity of action with previous commitments.</w:t>
                  </w:r>
                </w:p>
                <w:p w14:paraId="08EA8CD0" w14:textId="77777777" w:rsidR="00A8128F" w:rsidRPr="008B50D0" w:rsidRDefault="00A8128F">
                  <w:pPr>
                    <w:spacing w:before="60" w:after="0" w:line="240" w:lineRule="auto"/>
                    <w:jc w:val="left"/>
                    <w:rPr>
                      <w:color w:val="1B556B"/>
                      <w:sz w:val="18"/>
                      <w:szCs w:val="18"/>
                    </w:rPr>
                  </w:pPr>
                  <w:r w:rsidRPr="008B50D0">
                    <w:rPr>
                      <w:color w:val="1B556B"/>
                      <w:sz w:val="18"/>
                      <w:szCs w:val="18"/>
                    </w:rPr>
                    <w:t xml:space="preserve">New Zealand’s forestry and other land use approach assumes accounting will be either land or activity based, and will apply existing IPCC methodologies to distinguish areas subject to direct human-induced change from those under pre-existing management, as follows: </w:t>
                  </w:r>
                </w:p>
                <w:p w14:paraId="2928AC21" w14:textId="77777777" w:rsidR="00A8128F" w:rsidRPr="008B50D0" w:rsidRDefault="00A8128F">
                  <w:pPr>
                    <w:spacing w:before="60" w:after="0" w:line="240" w:lineRule="auto"/>
                    <w:ind w:left="284" w:hanging="284"/>
                    <w:jc w:val="left"/>
                    <w:rPr>
                      <w:color w:val="1B556B"/>
                      <w:sz w:val="18"/>
                      <w:szCs w:val="18"/>
                    </w:rPr>
                  </w:pPr>
                  <w:r w:rsidRPr="008B50D0">
                    <w:rPr>
                      <w:color w:val="1B556B"/>
                      <w:sz w:val="18"/>
                      <w:szCs w:val="18"/>
                    </w:rPr>
                    <w:t xml:space="preserve">a. </w:t>
                  </w:r>
                  <w:r w:rsidRPr="008B50D0">
                    <w:rPr>
                      <w:color w:val="1B556B"/>
                      <w:sz w:val="18"/>
                      <w:szCs w:val="18"/>
                    </w:rPr>
                    <w:tab/>
                    <w:t xml:space="preserve">Forests established from the activity start year will continue to be accounted for as they would under the Kyoto Protocol, but once they attain their long-term average carbon stock, taking into account all carbon pools and activities, the forest will transfer to the Forest management/Forest remaining forest category, where it will be accounted for under a business-as-usual reference level. New Zealand will continue to account for all deforestation emissions. </w:t>
                  </w:r>
                </w:p>
                <w:p w14:paraId="18603A0B" w14:textId="77777777" w:rsidR="00A8128F" w:rsidRPr="008B50D0" w:rsidRDefault="00A8128F">
                  <w:pPr>
                    <w:spacing w:before="60" w:after="0" w:line="240" w:lineRule="auto"/>
                    <w:ind w:left="284" w:hanging="284"/>
                    <w:jc w:val="left"/>
                    <w:rPr>
                      <w:color w:val="1B556B"/>
                      <w:sz w:val="18"/>
                      <w:szCs w:val="18"/>
                    </w:rPr>
                  </w:pPr>
                  <w:r w:rsidRPr="008B50D0">
                    <w:rPr>
                      <w:color w:val="1B556B"/>
                      <w:sz w:val="18"/>
                      <w:szCs w:val="18"/>
                    </w:rPr>
                    <w:t xml:space="preserve">b. </w:t>
                  </w:r>
                  <w:r w:rsidRPr="008B50D0">
                    <w:rPr>
                      <w:color w:val="1B556B"/>
                      <w:sz w:val="18"/>
                      <w:szCs w:val="18"/>
                    </w:rPr>
                    <w:tab/>
                    <w:t xml:space="preserve">Forests established before the activity start year will continue to be accounted for under a business-as-usual reference level, as per the Kyoto Protocol, to address the dynamic effects of age structure resulting from activities and practices before the reference year, and the ongoing cycles of forest harvest and regrowth that occur as part of normal, sustainable forest management in production forests. </w:t>
                  </w:r>
                </w:p>
                <w:p w14:paraId="3E9F797C" w14:textId="77777777" w:rsidR="00A8128F" w:rsidRPr="008B50D0" w:rsidRDefault="00A8128F">
                  <w:pPr>
                    <w:spacing w:before="60" w:after="0" w:line="240" w:lineRule="auto"/>
                    <w:ind w:left="284" w:hanging="284"/>
                    <w:jc w:val="left"/>
                    <w:rPr>
                      <w:color w:val="1B556B"/>
                      <w:sz w:val="18"/>
                      <w:szCs w:val="18"/>
                    </w:rPr>
                  </w:pPr>
                  <w:r w:rsidRPr="008B50D0">
                    <w:rPr>
                      <w:color w:val="1B556B"/>
                      <w:sz w:val="18"/>
                      <w:szCs w:val="18"/>
                    </w:rPr>
                    <w:t xml:space="preserve">c. </w:t>
                  </w:r>
                  <w:r w:rsidRPr="008B50D0">
                    <w:rPr>
                      <w:color w:val="1B556B"/>
                      <w:sz w:val="18"/>
                      <w:szCs w:val="18"/>
                    </w:rPr>
                    <w:tab/>
                    <w:t xml:space="preserve">Accounting provisions to address natural disturbances on managed lands, non-anthropogenic effects and additionality since the activity start year will also continue to apply, building on existing guidance. Accounting for harvested wood products will be based on the production approach. </w:t>
                  </w:r>
                </w:p>
                <w:p w14:paraId="07045A73" w14:textId="77777777" w:rsidR="00A8128F" w:rsidRPr="008B50D0" w:rsidRDefault="00A8128F">
                  <w:pPr>
                    <w:spacing w:before="60" w:after="60" w:line="240" w:lineRule="auto"/>
                    <w:jc w:val="left"/>
                    <w:rPr>
                      <w:color w:val="1B556B"/>
                      <w:sz w:val="18"/>
                      <w:szCs w:val="18"/>
                    </w:rPr>
                  </w:pPr>
                  <w:r w:rsidRPr="008B50D0">
                    <w:rPr>
                      <w:color w:val="1B556B"/>
                      <w:sz w:val="18"/>
                      <w:szCs w:val="18"/>
                    </w:rPr>
                    <w:t>New Zealand’s forestry and other land use approach builds on experience with accounting under the Kyoto Protocol to recognise and focus on additional action, and will create incentives for the establishment of new forests, recognise permanent, long-term enhancements of carbon sinks resulting from management, and take responsibility for deforestation, while accommodating the long-term cycles in net emissions and removals that arise from sustainable forest management of production forests.</w:t>
                  </w:r>
                </w:p>
              </w:tc>
            </w:tr>
          </w:tbl>
          <w:p w14:paraId="44BA72E1" w14:textId="2836E178" w:rsidR="00A8128F" w:rsidRPr="008B50D0" w:rsidRDefault="00A8128F">
            <w:pPr>
              <w:pStyle w:val="Note"/>
              <w:spacing w:after="240"/>
              <w:ind w:left="456" w:right="284" w:hanging="172"/>
              <w:rPr>
                <w:b/>
                <w:bCs/>
                <w:i/>
                <w:iCs/>
              </w:rPr>
            </w:pPr>
            <w:r w:rsidRPr="00165DF4">
              <w:rPr>
                <w:color w:val="1B556B" w:themeColor="text2"/>
                <w:vertAlign w:val="superscript"/>
              </w:rPr>
              <w:t>1</w:t>
            </w:r>
            <w:r w:rsidRPr="00165DF4">
              <w:rPr>
                <w:color w:val="1B556B" w:themeColor="text2"/>
              </w:rPr>
              <w:t xml:space="preserve"> </w:t>
            </w:r>
            <w:r w:rsidRPr="00165DF4">
              <w:rPr>
                <w:color w:val="1B556B" w:themeColor="text2"/>
              </w:rPr>
              <w:tab/>
              <w:t xml:space="preserve">The first communication being the submission of the first </w:t>
            </w:r>
            <w:r w:rsidR="00D21994">
              <w:rPr>
                <w:color w:val="1B556B" w:themeColor="text2"/>
              </w:rPr>
              <w:t>Biennial Transparency Report</w:t>
            </w:r>
            <w:r w:rsidRPr="00165DF4">
              <w:rPr>
                <w:color w:val="1B556B" w:themeColor="text2"/>
              </w:rPr>
              <w:t xml:space="preserve"> (BTR1) and national inventory report, as required under the Paris Agreement, at latest by 31 December 2024. </w:t>
            </w:r>
          </w:p>
        </w:tc>
      </w:tr>
    </w:tbl>
    <w:p w14:paraId="11D02F88" w14:textId="77777777" w:rsidR="00A8128F" w:rsidRPr="008B50D0" w:rsidRDefault="00A8128F" w:rsidP="00A8128F">
      <w:pPr>
        <w:pStyle w:val="BodyText"/>
        <w:spacing w:before="0" w:after="0"/>
      </w:pPr>
    </w:p>
    <w:p w14:paraId="7ABC33F1" w14:textId="77777777" w:rsidR="00A8128F" w:rsidRDefault="00A8128F" w:rsidP="00A8128F">
      <w:pPr>
        <w:pStyle w:val="BodyText"/>
        <w:rPr>
          <w:rFonts w:ascii="Georgia" w:eastAsiaTheme="majorEastAsia" w:hAnsi="Georgia" w:cstheme="majorBidi"/>
          <w:sz w:val="28"/>
        </w:rPr>
        <w:sectPr w:rsidR="00A8128F" w:rsidSect="00A8128F">
          <w:headerReference w:type="even" r:id="rId70"/>
          <w:headerReference w:type="default" r:id="rId71"/>
          <w:footerReference w:type="even" r:id="rId72"/>
          <w:footerReference w:type="default" r:id="rId73"/>
          <w:headerReference w:type="first" r:id="rId74"/>
          <w:pgSz w:w="11907" w:h="16840" w:code="9"/>
          <w:pgMar w:top="1134" w:right="1701" w:bottom="1134" w:left="1701" w:header="567" w:footer="567" w:gutter="0"/>
          <w:cols w:space="720"/>
          <w:docGrid w:linePitch="299"/>
        </w:sectPr>
      </w:pPr>
    </w:p>
    <w:p w14:paraId="2121A5F4" w14:textId="77777777" w:rsidR="00A8128F" w:rsidRPr="008B50D0" w:rsidRDefault="00A8128F" w:rsidP="00762DFF">
      <w:pPr>
        <w:pStyle w:val="Heading1"/>
        <w:numPr>
          <w:ilvl w:val="0"/>
          <w:numId w:val="76"/>
        </w:numPr>
        <w:tabs>
          <w:tab w:val="clear" w:pos="851"/>
          <w:tab w:val="left" w:pos="1134"/>
        </w:tabs>
        <w:spacing w:after="480"/>
      </w:pPr>
      <w:bookmarkStart w:id="220" w:name="section23"/>
      <w:bookmarkStart w:id="221" w:name="_Toc169616358"/>
      <w:bookmarkStart w:id="222" w:name="_Toc169616507"/>
      <w:bookmarkStart w:id="223" w:name="_Toc169620063"/>
      <w:bookmarkStart w:id="224" w:name="_Toc172793976"/>
      <w:bookmarkStart w:id="225" w:name="_Toc173233919"/>
      <w:bookmarkStart w:id="226" w:name="_Toc184825495"/>
      <w:bookmarkEnd w:id="220"/>
      <w:r w:rsidRPr="005A145F">
        <w:t>Information necessary</w:t>
      </w:r>
      <w:r w:rsidRPr="008B50D0">
        <w:t xml:space="preserve"> to</w:t>
      </w:r>
      <w:r>
        <w:t> </w:t>
      </w:r>
      <w:r w:rsidRPr="008B50D0">
        <w:t>track progress made in implementing and achieving nationally determined contributions</w:t>
      </w:r>
      <w:bookmarkEnd w:id="221"/>
      <w:bookmarkEnd w:id="222"/>
      <w:bookmarkEnd w:id="223"/>
      <w:bookmarkEnd w:id="224"/>
      <w:bookmarkEnd w:id="225"/>
      <w:bookmarkEnd w:id="226"/>
      <w:r w:rsidRPr="008B50D0">
        <w:t xml:space="preserve"> </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8505"/>
      </w:tblGrid>
      <w:tr w:rsidR="00A8128F" w:rsidRPr="004C2091" w14:paraId="4549E388" w14:textId="77777777" w:rsidTr="000000DB">
        <w:tc>
          <w:tcPr>
            <w:tcW w:w="8505" w:type="dxa"/>
            <w:tcBorders>
              <w:top w:val="single" w:sz="4" w:space="0" w:color="2C9986" w:themeColor="accent4"/>
              <w:bottom w:val="single" w:sz="4" w:space="0" w:color="2C9986" w:themeColor="accent4"/>
            </w:tcBorders>
            <w:shd w:val="clear" w:color="auto" w:fill="2C9986" w:themeFill="accent4"/>
          </w:tcPr>
          <w:p w14:paraId="22E84FCB" w14:textId="77777777" w:rsidR="00A8128F" w:rsidRPr="004C2091" w:rsidRDefault="00A8128F">
            <w:pPr>
              <w:pStyle w:val="Heading2"/>
              <w:spacing w:before="120" w:after="120"/>
              <w:rPr>
                <w:color w:val="FFFFFF" w:themeColor="background1"/>
              </w:rPr>
            </w:pPr>
            <w:bookmarkStart w:id="227" w:name="_Toc183087430"/>
            <w:bookmarkStart w:id="228" w:name="_Toc184825496"/>
            <w:bookmarkStart w:id="229" w:name="_Toc169616359"/>
            <w:bookmarkStart w:id="230" w:name="_Toc169620064"/>
            <w:bookmarkStart w:id="231" w:name="_Toc172793977"/>
            <w:r w:rsidRPr="004C2091">
              <w:rPr>
                <w:color w:val="FFFFFF" w:themeColor="background1"/>
              </w:rPr>
              <w:t>Key messages</w:t>
            </w:r>
            <w:bookmarkEnd w:id="227"/>
            <w:bookmarkEnd w:id="228"/>
          </w:p>
        </w:tc>
      </w:tr>
      <w:tr w:rsidR="00A8128F" w:rsidRPr="004C2091" w14:paraId="340F3D5F" w14:textId="77777777">
        <w:tc>
          <w:tcPr>
            <w:tcW w:w="8505" w:type="dxa"/>
            <w:tcBorders>
              <w:top w:val="single" w:sz="4" w:space="0" w:color="2C9986" w:themeColor="accent4"/>
              <w:bottom w:val="single" w:sz="4" w:space="0" w:color="2C9986" w:themeColor="accent4"/>
            </w:tcBorders>
            <w:shd w:val="clear" w:color="auto" w:fill="FFFFFF" w:themeFill="background1"/>
          </w:tcPr>
          <w:p w14:paraId="3EAAA881" w14:textId="77777777" w:rsidR="00A8128F" w:rsidRPr="004C2091" w:rsidRDefault="00A8128F">
            <w:pPr>
              <w:pStyle w:val="BodyText"/>
              <w:spacing w:line="260" w:lineRule="atLeast"/>
            </w:pPr>
            <w:r w:rsidRPr="008B50D0">
              <w:t xml:space="preserve">New Zealand’s domestic legislation and policy frameworks enable the development of clear and stable climate change policies that contribute toward achieving the country’s domestic targets and </w:t>
            </w:r>
            <w:r w:rsidRPr="008B50D0">
              <w:rPr>
                <w:rFonts w:eastAsia="Calibri" w:cs="Calibri"/>
              </w:rPr>
              <w:t>first Nationally Determined Contribution</w:t>
            </w:r>
            <w:r w:rsidRPr="008B50D0">
              <w:t xml:space="preserve"> (NDC1). </w:t>
            </w:r>
          </w:p>
        </w:tc>
      </w:tr>
      <w:tr w:rsidR="00A8128F" w:rsidRPr="004C2091" w14:paraId="1BF03479" w14:textId="77777777">
        <w:tc>
          <w:tcPr>
            <w:tcW w:w="8505" w:type="dxa"/>
            <w:tcBorders>
              <w:top w:val="single" w:sz="4" w:space="0" w:color="2C9986" w:themeColor="accent4"/>
              <w:bottom w:val="single" w:sz="4" w:space="0" w:color="2C9986" w:themeColor="accent4"/>
            </w:tcBorders>
            <w:shd w:val="clear" w:color="auto" w:fill="FFFFFF" w:themeFill="background1"/>
          </w:tcPr>
          <w:p w14:paraId="47B23D8D" w14:textId="77777777" w:rsidR="00A8128F" w:rsidRPr="008B50D0" w:rsidRDefault="00A8128F">
            <w:pPr>
              <w:pStyle w:val="BodyText"/>
              <w:spacing w:line="260" w:lineRule="atLeast"/>
            </w:pPr>
            <w:r>
              <w:t>New Zealand is making progress toward its ambitious NDC1 target by ensuring domestic legislation is fit for purpose, implementing measures in the first e</w:t>
            </w:r>
            <w:r w:rsidRPr="00FD1B6D">
              <w:t xml:space="preserve">missions </w:t>
            </w:r>
            <w:r>
              <w:t>r</w:t>
            </w:r>
            <w:r w:rsidRPr="00FD1B6D">
              <w:t xml:space="preserve">eduction </w:t>
            </w:r>
            <w:r>
              <w:t>plan, outlining further actions in the second e</w:t>
            </w:r>
            <w:r w:rsidRPr="00FD1B6D">
              <w:t xml:space="preserve">missions </w:t>
            </w:r>
            <w:r>
              <w:t>r</w:t>
            </w:r>
            <w:r w:rsidRPr="00FD1B6D">
              <w:t xml:space="preserve">eduction </w:t>
            </w:r>
            <w:r>
              <w:t xml:space="preserve">plan, and substantially investing in sustainable agriculture. </w:t>
            </w:r>
          </w:p>
        </w:tc>
      </w:tr>
      <w:tr w:rsidR="00A8128F" w:rsidRPr="004C2091" w14:paraId="1E2D437E" w14:textId="77777777">
        <w:tc>
          <w:tcPr>
            <w:tcW w:w="8505" w:type="dxa"/>
            <w:tcBorders>
              <w:top w:val="single" w:sz="4" w:space="0" w:color="2C9986" w:themeColor="accent4"/>
              <w:bottom w:val="single" w:sz="4" w:space="0" w:color="2C9986" w:themeColor="accent4"/>
            </w:tcBorders>
            <w:shd w:val="clear" w:color="auto" w:fill="FFFFFF" w:themeFill="background1"/>
          </w:tcPr>
          <w:p w14:paraId="6919CF29" w14:textId="2648098A" w:rsidR="00A8128F" w:rsidRDefault="00A8128F">
            <w:pPr>
              <w:pStyle w:val="BodyText"/>
              <w:spacing w:line="260" w:lineRule="atLeast"/>
            </w:pPr>
            <w:r w:rsidRPr="00FD1B6D">
              <w:t xml:space="preserve">Since </w:t>
            </w:r>
            <w:r>
              <w:t>New Zealand’s</w:t>
            </w:r>
            <w:r w:rsidRPr="0080187E">
              <w:t xml:space="preserve"> </w:t>
            </w:r>
            <w:r>
              <w:t xml:space="preserve">intended </w:t>
            </w:r>
            <w:r w:rsidR="00573942">
              <w:t>Nationally Determined Contribution</w:t>
            </w:r>
            <w:r>
              <w:t xml:space="preserve"> (</w:t>
            </w:r>
            <w:r w:rsidRPr="0080187E">
              <w:t>INDC</w:t>
            </w:r>
            <w:r>
              <w:t>)</w:t>
            </w:r>
            <w:r w:rsidRPr="0080187E">
              <w:t xml:space="preserve"> was set in 2015, modelling</w:t>
            </w:r>
            <w:r>
              <w:t xml:space="preserve"> updates, which include improvements to methodologies and additional government actions,</w:t>
            </w:r>
            <w:r w:rsidRPr="0080187E">
              <w:t xml:space="preserve"> indicate that the abatement gap to achieving NDC1 has narrowed despite strengthening the NDC1 target to reflect higher ambition. The projections show that the gap is now 89</w:t>
            </w:r>
            <w:r w:rsidR="00E21E24">
              <w:t>.2</w:t>
            </w:r>
            <w:r w:rsidRPr="0080187E">
              <w:t xml:space="preserve"> million tonnes of carbon dioxide equivalent (Mt </w:t>
            </w:r>
            <w:r w:rsidR="001261F5">
              <w:t>CO</w:t>
            </w:r>
            <w:r w:rsidR="001261F5" w:rsidRPr="001261F5">
              <w:rPr>
                <w:vertAlign w:val="subscript"/>
              </w:rPr>
              <w:t>2</w:t>
            </w:r>
            <w:r w:rsidR="001261F5">
              <w:t>e</w:t>
            </w:r>
            <w:r w:rsidRPr="00FD1B6D">
              <w:t>)</w:t>
            </w:r>
            <w:r>
              <w:t>,</w:t>
            </w:r>
            <w:r w:rsidRPr="0080187E">
              <w:t xml:space="preserve"> in comparison to 149 Mt CO</w:t>
            </w:r>
            <w:r w:rsidRPr="00A36568">
              <w:rPr>
                <w:vertAlign w:val="subscript"/>
              </w:rPr>
              <w:t>2</w:t>
            </w:r>
            <w:r w:rsidRPr="0080187E">
              <w:t>e when the NDC was enhanced in 2021</w:t>
            </w:r>
            <w:r>
              <w:t>.</w:t>
            </w:r>
            <w:r w:rsidR="00616C98">
              <w:t xml:space="preserve"> This does not include the impact of second emissions reduction plan policies and updated data, which are projected to reduce this gap further to 84.0 Mt CO</w:t>
            </w:r>
            <w:r w:rsidR="00616C98" w:rsidRPr="009C3805">
              <w:rPr>
                <w:vertAlign w:val="subscript"/>
              </w:rPr>
              <w:t>2</w:t>
            </w:r>
            <w:r w:rsidR="00616C98">
              <w:t xml:space="preserve">e. </w:t>
            </w:r>
            <w:r w:rsidR="00616C98" w:rsidRPr="00973504">
              <w:t xml:space="preserve">These </w:t>
            </w:r>
            <w:r w:rsidR="00E4113C" w:rsidRPr="00973504">
              <w:t xml:space="preserve">updates were </w:t>
            </w:r>
            <w:r w:rsidR="00140CE4" w:rsidRPr="00973504">
              <w:t>un</w:t>
            </w:r>
            <w:r w:rsidR="00616C98" w:rsidRPr="00973504">
              <w:t xml:space="preserve">able to be included as the </w:t>
            </w:r>
            <w:r w:rsidR="00D21994">
              <w:t>Biennial Transparency Report</w:t>
            </w:r>
            <w:r w:rsidR="00616C98" w:rsidRPr="00973504">
              <w:t xml:space="preserve"> applied an earlier </w:t>
            </w:r>
            <w:r w:rsidR="00D0465C" w:rsidRPr="000A2FA4">
              <w:t>cut-off</w:t>
            </w:r>
            <w:r w:rsidR="00616C98" w:rsidRPr="000A2FA4">
              <w:t xml:space="preserve"> date for modelling assumptions </w:t>
            </w:r>
            <w:r w:rsidR="003376EF" w:rsidRPr="000A2FA4">
              <w:t xml:space="preserve">compared </w:t>
            </w:r>
            <w:r w:rsidR="008B1278">
              <w:t>with</w:t>
            </w:r>
            <w:r w:rsidR="00616C98" w:rsidRPr="003A0C20">
              <w:t xml:space="preserve"> the second emissions reduction plan. </w:t>
            </w:r>
          </w:p>
        </w:tc>
      </w:tr>
      <w:tr w:rsidR="00A8128F" w:rsidRPr="004C2091" w14:paraId="437C6D92" w14:textId="77777777">
        <w:tc>
          <w:tcPr>
            <w:tcW w:w="8505" w:type="dxa"/>
            <w:tcBorders>
              <w:top w:val="single" w:sz="4" w:space="0" w:color="2C9986" w:themeColor="accent4"/>
              <w:bottom w:val="single" w:sz="4" w:space="0" w:color="2C9986" w:themeColor="accent4"/>
            </w:tcBorders>
            <w:shd w:val="clear" w:color="auto" w:fill="FFFFFF" w:themeFill="background1"/>
          </w:tcPr>
          <w:p w14:paraId="49830C51" w14:textId="0A8F90BD" w:rsidR="00A8128F" w:rsidRPr="008B50D0" w:rsidRDefault="00A8128F">
            <w:pPr>
              <w:pStyle w:val="BodyText"/>
              <w:spacing w:line="260" w:lineRule="atLeast"/>
            </w:pPr>
            <w:r w:rsidRPr="008B50D0">
              <w:t>New Zealand’s net target accounting emissions in 2021 and 2022 were 75.7 Mt CO</w:t>
            </w:r>
            <w:r w:rsidRPr="008B50D0">
              <w:rPr>
                <w:vertAlign w:val="subscript"/>
              </w:rPr>
              <w:t>2</w:t>
            </w:r>
            <w:r w:rsidRPr="008B50D0">
              <w:t>e and 73.1 Mt CO</w:t>
            </w:r>
            <w:r w:rsidRPr="008B50D0">
              <w:rPr>
                <w:vertAlign w:val="subscript"/>
              </w:rPr>
              <w:t>2</w:t>
            </w:r>
            <w:r w:rsidRPr="008B50D0">
              <w:t>e. This leaves an emissions budget of 430.1 Mt CO</w:t>
            </w:r>
            <w:r w:rsidRPr="008B50D0">
              <w:rPr>
                <w:vertAlign w:val="subscript"/>
              </w:rPr>
              <w:t>2</w:t>
            </w:r>
            <w:r w:rsidRPr="008B50D0">
              <w:t>e for</w:t>
            </w:r>
            <w:r>
              <w:t> </w:t>
            </w:r>
            <w:r w:rsidRPr="008B50D0">
              <w:t>the remaining budget period until 2030.</w:t>
            </w:r>
          </w:p>
        </w:tc>
      </w:tr>
      <w:tr w:rsidR="00A8128F" w:rsidRPr="004C2091" w14:paraId="4AA3EFA2" w14:textId="77777777">
        <w:tc>
          <w:tcPr>
            <w:tcW w:w="8505" w:type="dxa"/>
            <w:tcBorders>
              <w:top w:val="single" w:sz="4" w:space="0" w:color="2C9986" w:themeColor="accent4"/>
              <w:bottom w:val="single" w:sz="4" w:space="0" w:color="2C9986" w:themeColor="accent4"/>
            </w:tcBorders>
            <w:shd w:val="clear" w:color="auto" w:fill="FFFFFF" w:themeFill="background1"/>
          </w:tcPr>
          <w:p w14:paraId="17845455" w14:textId="77777777" w:rsidR="00A8128F" w:rsidRPr="008B50D0" w:rsidRDefault="00A8128F">
            <w:pPr>
              <w:pStyle w:val="BodyText"/>
              <w:spacing w:line="260" w:lineRule="atLeast"/>
            </w:pPr>
            <w:r w:rsidRPr="008B50D0">
              <w:t xml:space="preserve">New Zealand will continue to prioritise domestic action to achieve NDC1 but is also exploring cooperation opportunities under Article 6 of the Paris Agreement with partner governments, market intermediaries and other entities </w:t>
            </w:r>
            <w:r w:rsidRPr="00FD1B6D">
              <w:t>that could enable New Zealand to undertake cooperative mitigation action in future.</w:t>
            </w:r>
          </w:p>
        </w:tc>
      </w:tr>
      <w:tr w:rsidR="00A8128F" w:rsidRPr="004C2091" w14:paraId="6F878835" w14:textId="77777777">
        <w:tc>
          <w:tcPr>
            <w:tcW w:w="8505" w:type="dxa"/>
            <w:tcBorders>
              <w:top w:val="single" w:sz="4" w:space="0" w:color="2C9986" w:themeColor="accent4"/>
              <w:bottom w:val="single" w:sz="4" w:space="0" w:color="2C9986" w:themeColor="accent4"/>
            </w:tcBorders>
            <w:shd w:val="clear" w:color="auto" w:fill="FFFFFF" w:themeFill="background1"/>
          </w:tcPr>
          <w:p w14:paraId="0E2D00E2" w14:textId="77777777" w:rsidR="00A8128F" w:rsidRPr="008B50D0" w:rsidRDefault="00A8128F">
            <w:pPr>
              <w:pStyle w:val="BodyText"/>
              <w:spacing w:line="260" w:lineRule="atLeast"/>
            </w:pPr>
            <w:r w:rsidRPr="008B50D0">
              <w:t>New Zealand participates in several initiatives to support engagement in Article 6 cooperation by developing partnerships, building partner countries’ capacity, and working toward the development of standards and methodologies resulting in high integrity markets.</w:t>
            </w:r>
          </w:p>
        </w:tc>
      </w:tr>
      <w:tr w:rsidR="00A8128F" w:rsidRPr="00FD1B6D" w14:paraId="26CA69D2" w14:textId="77777777">
        <w:tc>
          <w:tcPr>
            <w:tcW w:w="8505" w:type="dxa"/>
            <w:tcBorders>
              <w:top w:val="single" w:sz="4" w:space="0" w:color="2C9986" w:themeColor="accent4"/>
              <w:bottom w:val="single" w:sz="4" w:space="0" w:color="2C9986" w:themeColor="accent4"/>
            </w:tcBorders>
            <w:shd w:val="clear" w:color="auto" w:fill="FFFFFF" w:themeFill="background1"/>
          </w:tcPr>
          <w:p w14:paraId="3D815C9B" w14:textId="14844988" w:rsidR="00A8128F" w:rsidRPr="00FD1B6D" w:rsidRDefault="00A8128F">
            <w:pPr>
              <w:spacing w:line="260" w:lineRule="atLeast"/>
            </w:pPr>
            <w:r w:rsidRPr="00FD1B6D">
              <w:t>New Zealand is developing arrangements that establish frameworks for collaboration. For example, New Zealand has joined the Asian Development Bank Climate Action Catalyst Fund as an observer to gain insight into Article 6 operations and transactions, and to support Asian Development Bank efforts to build</w:t>
            </w:r>
            <w:r w:rsidR="00C6541F">
              <w:t xml:space="preserve"> Article 6 readiness in</w:t>
            </w:r>
            <w:r w:rsidRPr="00FD1B6D">
              <w:t xml:space="preserve"> developing member countries.</w:t>
            </w:r>
          </w:p>
        </w:tc>
      </w:tr>
    </w:tbl>
    <w:p w14:paraId="3E4A6A04" w14:textId="77777777" w:rsidR="00A8128F" w:rsidRPr="008B50D0" w:rsidRDefault="00A8128F" w:rsidP="00A8128F">
      <w:pPr>
        <w:pStyle w:val="Heading2"/>
        <w:numPr>
          <w:ilvl w:val="0"/>
          <w:numId w:val="77"/>
        </w:numPr>
        <w:tabs>
          <w:tab w:val="num" w:pos="1134"/>
        </w:tabs>
        <w:spacing w:before="440"/>
      </w:pPr>
      <w:bookmarkStart w:id="232" w:name="_Toc184825497"/>
      <w:r w:rsidRPr="008B50D0">
        <w:t>Introduction</w:t>
      </w:r>
      <w:bookmarkEnd w:id="229"/>
      <w:bookmarkEnd w:id="230"/>
      <w:bookmarkEnd w:id="231"/>
      <w:bookmarkEnd w:id="232"/>
    </w:p>
    <w:p w14:paraId="47D1F54B" w14:textId="77777777" w:rsidR="00A8128F" w:rsidRPr="008B50D0" w:rsidRDefault="00A8128F" w:rsidP="00A8128F">
      <w:pPr>
        <w:pStyle w:val="BodyText"/>
      </w:pPr>
      <w:r w:rsidRPr="008B50D0">
        <w:t>This section outlines New Zealand’s progress towards its first Nationally Determined Contribution (NDC1) under the Paris Agreement. It details actions taken towards achieving NDC1 and how New Zealand is tracking against its target. It also covers New Zealand’s selected NDC1 indicator</w:t>
      </w:r>
      <w:r>
        <w:t>,</w:t>
      </w:r>
      <w:r w:rsidRPr="008B50D0">
        <w:t xml:space="preserve"> methodologies and accounting approaches. </w:t>
      </w:r>
    </w:p>
    <w:p w14:paraId="5CBC0FEB" w14:textId="77777777" w:rsidR="00A8128F" w:rsidRPr="008B50D0" w:rsidRDefault="00A8128F" w:rsidP="00A8128F">
      <w:pPr>
        <w:pStyle w:val="Heading2"/>
        <w:numPr>
          <w:ilvl w:val="0"/>
          <w:numId w:val="77"/>
        </w:numPr>
      </w:pPr>
      <w:bookmarkStart w:id="233" w:name="section232"/>
      <w:bookmarkStart w:id="234" w:name="_Toc184825498"/>
      <w:bookmarkEnd w:id="233"/>
      <w:r w:rsidRPr="008B50D0">
        <w:t>Progress towards NDC1</w:t>
      </w:r>
      <w:bookmarkEnd w:id="234"/>
    </w:p>
    <w:p w14:paraId="35BB83C3" w14:textId="77777777" w:rsidR="00A8128F" w:rsidRDefault="00A8128F" w:rsidP="00762DFF">
      <w:pPr>
        <w:pStyle w:val="Heading3"/>
        <w:numPr>
          <w:ilvl w:val="0"/>
          <w:numId w:val="78"/>
        </w:numPr>
        <w:ind w:left="1134" w:hanging="1134"/>
      </w:pPr>
      <w:r w:rsidRPr="00266216">
        <w:t>New Zealand’s domestic legislation and policy frameworks support ambition to achieve NDC1</w:t>
      </w:r>
    </w:p>
    <w:p w14:paraId="75BA9E10" w14:textId="77777777" w:rsidR="00A8128F" w:rsidRPr="008B50D0" w:rsidRDefault="00A8128F" w:rsidP="00A8128F">
      <w:pPr>
        <w:pStyle w:val="BodyText"/>
      </w:pPr>
      <w:r>
        <w:t xml:space="preserve">The Climate Change Response Act 2002 provides the legal framework to enable New Zealand to meet its domestic and international obligations including those under the United Nations Framework Convention on Climate Change and the Paris Agreement. </w:t>
      </w:r>
    </w:p>
    <w:p w14:paraId="134EBDEE" w14:textId="7054367E" w:rsidR="00A8128F" w:rsidRPr="00FD1B6D" w:rsidRDefault="00A8128F" w:rsidP="00A8128F">
      <w:pPr>
        <w:pStyle w:val="BodyText"/>
      </w:pPr>
      <w:r w:rsidRPr="00FD1B6D">
        <w:t xml:space="preserve">In 2019, amendments to the Climate Change Response Act 2002 introduced the Zero Carbon Framework, enabling New Zealand to develop and implement clear and stable climate change policies that contribute to the global effort to limit average temperature increase to 1.5 degrees Celsius above pre-industrial levels (see </w:t>
      </w:r>
      <w:hyperlink w:anchor="section218" w:history="1">
        <w:r w:rsidRPr="002078FB">
          <w:rPr>
            <w:rStyle w:val="Hyperlink"/>
          </w:rPr>
          <w:t>section 2.1.8</w:t>
        </w:r>
      </w:hyperlink>
      <w:r w:rsidRPr="00FD1B6D">
        <w:t>).</w:t>
      </w:r>
    </w:p>
    <w:p w14:paraId="4ED91F83" w14:textId="77777777" w:rsidR="00A8128F" w:rsidRPr="00FD1B6D" w:rsidRDefault="00A8128F" w:rsidP="00A8128F">
      <w:pPr>
        <w:pStyle w:val="BodyText"/>
      </w:pPr>
      <w:r w:rsidRPr="00FD1B6D">
        <w:t>The 2019 amendments to the Climate Change Response Act 2002 established:</w:t>
      </w:r>
    </w:p>
    <w:p w14:paraId="7A9ACC70" w14:textId="77777777" w:rsidR="00A8128F" w:rsidRPr="00FD1B6D" w:rsidRDefault="00A8128F" w:rsidP="00A8128F">
      <w:pPr>
        <w:pStyle w:val="Bullet"/>
        <w:numPr>
          <w:ilvl w:val="0"/>
          <w:numId w:val="30"/>
        </w:numPr>
        <w:tabs>
          <w:tab w:val="left" w:pos="397"/>
        </w:tabs>
      </w:pPr>
      <w:r w:rsidRPr="00FD1B6D">
        <w:t>the Climate Change Commission</w:t>
      </w:r>
    </w:p>
    <w:p w14:paraId="1FA1DB73" w14:textId="77777777" w:rsidR="00A8128F" w:rsidRPr="00FD1B6D" w:rsidRDefault="00A8128F" w:rsidP="00A8128F">
      <w:pPr>
        <w:pStyle w:val="Bullet"/>
        <w:numPr>
          <w:ilvl w:val="0"/>
          <w:numId w:val="30"/>
        </w:numPr>
        <w:tabs>
          <w:tab w:val="left" w:pos="397"/>
        </w:tabs>
      </w:pPr>
      <w:r w:rsidRPr="00FD1B6D">
        <w:t xml:space="preserve">2050 targets </w:t>
      </w:r>
    </w:p>
    <w:p w14:paraId="1F6CA0DF" w14:textId="77777777" w:rsidR="00A8128F" w:rsidRPr="00FD1B6D" w:rsidRDefault="00A8128F" w:rsidP="00A8128F">
      <w:pPr>
        <w:pStyle w:val="Bullet"/>
        <w:numPr>
          <w:ilvl w:val="0"/>
          <w:numId w:val="30"/>
        </w:numPr>
        <w:tabs>
          <w:tab w:val="left" w:pos="397"/>
        </w:tabs>
      </w:pPr>
      <w:r w:rsidRPr="00FD1B6D">
        <w:t>a system of emissions budgets that step progressively towards the 2050 target by capping emissions in the relevant budget period</w:t>
      </w:r>
    </w:p>
    <w:p w14:paraId="2564598A" w14:textId="613AF7D7" w:rsidR="00A8128F" w:rsidRPr="00FD1B6D" w:rsidRDefault="00A8128F" w:rsidP="00A8128F">
      <w:pPr>
        <w:pStyle w:val="Bullet"/>
        <w:numPr>
          <w:ilvl w:val="0"/>
          <w:numId w:val="30"/>
        </w:numPr>
        <w:tabs>
          <w:tab w:val="left" w:pos="397"/>
        </w:tabs>
      </w:pPr>
      <w:r w:rsidRPr="00FD1B6D">
        <w:t xml:space="preserve">the requirement to develop </w:t>
      </w:r>
      <w:r w:rsidR="00913C06">
        <w:t>emission</w:t>
      </w:r>
      <w:r w:rsidR="00625862">
        <w:t>s</w:t>
      </w:r>
      <w:r w:rsidR="00913C06">
        <w:t xml:space="preserve"> reduction plan</w:t>
      </w:r>
      <w:r w:rsidR="00913C06" w:rsidRPr="00FD1B6D">
        <w:t xml:space="preserve">s </w:t>
      </w:r>
      <w:r w:rsidRPr="00FD1B6D">
        <w:t xml:space="preserve">for each emissions budget that set out the policies and strategies for achieving the emissions budgets. </w:t>
      </w:r>
    </w:p>
    <w:p w14:paraId="15CBC466" w14:textId="0A2C870D" w:rsidR="00A8128F" w:rsidRPr="008B50D0" w:rsidRDefault="00A8128F" w:rsidP="00A8128F">
      <w:pPr>
        <w:pStyle w:val="BodyText"/>
      </w:pPr>
      <w:r w:rsidRPr="00B10757">
        <w:rPr>
          <w:spacing w:val="-4"/>
        </w:rPr>
        <w:t>The Government published the first three emissions budgets (2022–</w:t>
      </w:r>
      <w:r w:rsidRPr="00B10757" w:rsidDel="009F4073">
        <w:rPr>
          <w:spacing w:val="-4"/>
        </w:rPr>
        <w:t>20</w:t>
      </w:r>
      <w:r w:rsidRPr="00B10757">
        <w:rPr>
          <w:spacing w:val="-4"/>
        </w:rPr>
        <w:t>25, 2026–</w:t>
      </w:r>
      <w:r w:rsidRPr="00B10757" w:rsidDel="009F4073">
        <w:rPr>
          <w:spacing w:val="-4"/>
        </w:rPr>
        <w:t>20</w:t>
      </w:r>
      <w:r w:rsidRPr="00B10757">
        <w:rPr>
          <w:spacing w:val="-4"/>
        </w:rPr>
        <w:t>30, 2031–</w:t>
      </w:r>
      <w:r w:rsidRPr="00B10757" w:rsidDel="009F4073">
        <w:rPr>
          <w:spacing w:val="-4"/>
        </w:rPr>
        <w:t>20</w:t>
      </w:r>
      <w:r w:rsidRPr="00B10757">
        <w:rPr>
          <w:spacing w:val="-4"/>
        </w:rPr>
        <w:t>35)</w:t>
      </w:r>
      <w:r>
        <w:t xml:space="preserve"> in May 2022. The emissions reduction plans (ERPs) set out policies and strategies for meeting successive emissions budgets. </w:t>
      </w:r>
      <w:r w:rsidR="00C10D16" w:rsidRPr="00C10D16">
        <w:t>The first emissions reduction plan (ERP1) was released in 2022, covering the period 2022–2025</w:t>
      </w:r>
      <w:r>
        <w:t>. The second emissions reduction plan (ERP2) was released in December 2024, covering the period 2026–</w:t>
      </w:r>
      <w:r w:rsidDel="00661D2B">
        <w:t>20</w:t>
      </w:r>
      <w:r>
        <w:t xml:space="preserve">30. </w:t>
      </w:r>
    </w:p>
    <w:p w14:paraId="453A388C" w14:textId="4E165C7B" w:rsidR="00A8128F" w:rsidRPr="008B50D0" w:rsidRDefault="00A8128F" w:rsidP="00A8128F">
      <w:pPr>
        <w:pStyle w:val="BodyText"/>
      </w:pPr>
      <w:r w:rsidRPr="008B50D0">
        <w:t xml:space="preserve">The approach in ERP2 </w:t>
      </w:r>
      <w:r>
        <w:t>is</w:t>
      </w:r>
      <w:r w:rsidRPr="008B50D0">
        <w:t xml:space="preserve"> guided by the Government</w:t>
      </w:r>
      <w:r>
        <w:t>’s</w:t>
      </w:r>
      <w:r w:rsidRPr="008B50D0">
        <w:t xml:space="preserve"> recently published 2024 Climate Strategy,</w:t>
      </w:r>
      <w:r w:rsidRPr="00C64CEB">
        <w:rPr>
          <w:vertAlign w:val="superscript"/>
        </w:rPr>
        <w:footnoteReference w:id="121"/>
      </w:r>
      <w:r w:rsidRPr="008B50D0">
        <w:t xml:space="preserve"> and focuses on:</w:t>
      </w:r>
    </w:p>
    <w:p w14:paraId="6598353D" w14:textId="77777777" w:rsidR="00A8128F" w:rsidRPr="008B50D0" w:rsidRDefault="00A8128F" w:rsidP="00A8128F">
      <w:pPr>
        <w:pStyle w:val="Bullet"/>
        <w:numPr>
          <w:ilvl w:val="0"/>
          <w:numId w:val="30"/>
        </w:numPr>
        <w:tabs>
          <w:tab w:val="left" w:pos="397"/>
        </w:tabs>
      </w:pPr>
      <w:r w:rsidRPr="008B50D0">
        <w:t>a cost-effective approach through leveraging the New Zealand Emissions Trading Scheme to support innovation, emerging technologies that reduce emissions and investment across sectors to reduce emissions effectively </w:t>
      </w:r>
    </w:p>
    <w:p w14:paraId="1B3F51F5" w14:textId="77777777" w:rsidR="00A8128F" w:rsidRDefault="00A8128F" w:rsidP="00A8128F">
      <w:pPr>
        <w:pStyle w:val="Bullet"/>
        <w:numPr>
          <w:ilvl w:val="0"/>
          <w:numId w:val="30"/>
        </w:numPr>
        <w:tabs>
          <w:tab w:val="left" w:pos="397"/>
        </w:tabs>
      </w:pPr>
      <w:r w:rsidRPr="008B50D0">
        <w:t>reducing emissions and increasing carbon removals.</w:t>
      </w:r>
    </w:p>
    <w:p w14:paraId="6737F3F3" w14:textId="691A23B2" w:rsidR="00A8128F" w:rsidRPr="00C64CEB" w:rsidRDefault="00A8128F" w:rsidP="00A8128F">
      <w:pPr>
        <w:pStyle w:val="BodyText"/>
      </w:pPr>
      <w:r w:rsidRPr="008B50D0">
        <w:t xml:space="preserve">The Climate </w:t>
      </w:r>
      <w:r w:rsidRPr="008B50D0" w:rsidDel="008B0B21">
        <w:t>S</w:t>
      </w:r>
      <w:r w:rsidRPr="008B50D0">
        <w:t>trategy sets out the high-level approach for delivering on New Zealand’s climate goals. ERP2</w:t>
      </w:r>
      <w:r w:rsidRPr="008B50D0" w:rsidDel="0093658D">
        <w:t xml:space="preserve"> </w:t>
      </w:r>
      <w:r w:rsidRPr="008B50D0">
        <w:t>implement</w:t>
      </w:r>
      <w:r w:rsidR="0093658D">
        <w:t>s</w:t>
      </w:r>
      <w:r w:rsidRPr="008B50D0">
        <w:t xml:space="preserve"> the mitigation part of this strategy</w:t>
      </w:r>
      <w:r w:rsidR="0093658D">
        <w:t xml:space="preserve">, </w:t>
      </w:r>
      <w:r w:rsidRPr="008B50D0">
        <w:t>lay</w:t>
      </w:r>
      <w:r w:rsidR="0093658D">
        <w:t>ing</w:t>
      </w:r>
      <w:r w:rsidRPr="008B50D0">
        <w:t xml:space="preserve"> out the actions to reduce net greenhouse </w:t>
      </w:r>
      <w:r w:rsidRPr="00C64CEB">
        <w:t xml:space="preserve">gas emissions throughout the budget period. </w:t>
      </w:r>
    </w:p>
    <w:p w14:paraId="6896AA36" w14:textId="77777777" w:rsidR="00A8128F" w:rsidRPr="008B50D0" w:rsidRDefault="00A8128F" w:rsidP="00A8128F">
      <w:pPr>
        <w:pStyle w:val="BodyText"/>
      </w:pPr>
      <w:r w:rsidRPr="00C64CEB">
        <w:t>The strategy focuse</w:t>
      </w:r>
      <w:r w:rsidRPr="008B50D0">
        <w:t>s on five pillars to help the Government meet its targets to reduce the impact of climate change and prepare for its future effects. The pillars are:</w:t>
      </w:r>
    </w:p>
    <w:p w14:paraId="770CB9E6" w14:textId="77777777" w:rsidR="00A8128F" w:rsidRPr="008B50D0" w:rsidRDefault="00A8128F" w:rsidP="000000DB">
      <w:pPr>
        <w:pStyle w:val="Numberedparagraph"/>
      </w:pPr>
      <w:r w:rsidRPr="008B50D0">
        <w:t>infrastructure is resilient and communities are well prepared</w:t>
      </w:r>
    </w:p>
    <w:p w14:paraId="3E44960E" w14:textId="77777777" w:rsidR="00A8128F" w:rsidRPr="008B50D0" w:rsidRDefault="00A8128F" w:rsidP="000000DB">
      <w:pPr>
        <w:pStyle w:val="Numberedparagraph"/>
        <w:ind w:left="426"/>
      </w:pPr>
      <w:r w:rsidRPr="008B50D0">
        <w:t>credible markets support the climate transition</w:t>
      </w:r>
    </w:p>
    <w:p w14:paraId="683D6755" w14:textId="77777777" w:rsidR="00A8128F" w:rsidRPr="008B50D0" w:rsidRDefault="00A8128F" w:rsidP="000000DB">
      <w:pPr>
        <w:pStyle w:val="Numberedparagraph"/>
      </w:pPr>
      <w:r w:rsidRPr="008B50D0">
        <w:t>clean energy is abundant and affordable</w:t>
      </w:r>
    </w:p>
    <w:p w14:paraId="16B21653" w14:textId="77777777" w:rsidR="00A8128F" w:rsidRPr="008B50D0" w:rsidRDefault="00A8128F" w:rsidP="000000DB">
      <w:pPr>
        <w:pStyle w:val="Numberedparagraph"/>
      </w:pPr>
      <w:r w:rsidRPr="008B50D0">
        <w:t>world-leading climate innovation boosts the economy</w:t>
      </w:r>
    </w:p>
    <w:p w14:paraId="490F3DF3" w14:textId="77777777" w:rsidR="00A8128F" w:rsidRPr="008B50D0" w:rsidRDefault="00A8128F" w:rsidP="000000DB">
      <w:pPr>
        <w:pStyle w:val="Numberedparagraph"/>
      </w:pPr>
      <w:r w:rsidRPr="008B50D0">
        <w:t>nature-based solutions address climate change.</w:t>
      </w:r>
    </w:p>
    <w:p w14:paraId="68C87E46" w14:textId="75683FEC" w:rsidR="00A8128F" w:rsidRPr="00C64CEB" w:rsidRDefault="00A8128F" w:rsidP="00A8128F">
      <w:pPr>
        <w:pStyle w:val="BodyText"/>
      </w:pPr>
      <w:r w:rsidRPr="008B50D0">
        <w:t xml:space="preserve">The </w:t>
      </w:r>
      <w:r w:rsidRPr="00C64CEB">
        <w:t xml:space="preserve">Climate </w:t>
      </w:r>
      <w:r w:rsidRPr="00C64CEB" w:rsidDel="008B0B21">
        <w:t>S</w:t>
      </w:r>
      <w:r w:rsidRPr="00C64CEB">
        <w:t xml:space="preserve">trategy, emissions budgets and their respective emissions reduction plans drive domestic progress toward achieving NDC1 and provide the pathway to net zero long-lived greenhouse gas emissions by 2050. </w:t>
      </w:r>
    </w:p>
    <w:p w14:paraId="6EA12BF4" w14:textId="77777777" w:rsidR="00A8128F" w:rsidRPr="008B50D0" w:rsidRDefault="00A8128F" w:rsidP="00762DFF">
      <w:pPr>
        <w:pStyle w:val="Heading3"/>
        <w:numPr>
          <w:ilvl w:val="0"/>
          <w:numId w:val="78"/>
        </w:numPr>
        <w:ind w:left="1134" w:hanging="1134"/>
      </w:pPr>
      <w:r w:rsidRPr="008B50D0">
        <w:t xml:space="preserve">New Zealand </w:t>
      </w:r>
      <w:r>
        <w:t xml:space="preserve">has made </w:t>
      </w:r>
      <w:r w:rsidRPr="008B50D0">
        <w:t>progress</w:t>
      </w:r>
      <w:r>
        <w:t>, but continues to face</w:t>
      </w:r>
      <w:r w:rsidRPr="008B50D0">
        <w:t xml:space="preserve"> challenges </w:t>
      </w:r>
    </w:p>
    <w:p w14:paraId="38201864" w14:textId="4ED5D727" w:rsidR="00A8128F" w:rsidRPr="008B50D0" w:rsidRDefault="00A8128F" w:rsidP="00A8128F">
      <w:pPr>
        <w:pStyle w:val="BodyText"/>
      </w:pPr>
      <w:r>
        <w:t xml:space="preserve">New Zealand has an ambitious NDC1 target, which was updated in 2021 to better align with the latest science to limit harmful warming. Meaningful progress has been made toward NDC1 through domestic policies and measures that have been implemented or are underway as detailed in </w:t>
      </w:r>
      <w:hyperlink w:anchor="section24" w:history="1">
        <w:r w:rsidRPr="000B5FDA">
          <w:rPr>
            <w:rStyle w:val="Hyperlink"/>
          </w:rPr>
          <w:t>section 2.4</w:t>
        </w:r>
      </w:hyperlink>
      <w:r>
        <w:t xml:space="preserve">. </w:t>
      </w:r>
    </w:p>
    <w:p w14:paraId="42548BC5" w14:textId="77777777" w:rsidR="00A8128F" w:rsidRDefault="00A8128F" w:rsidP="00A8128F">
      <w:pPr>
        <w:pStyle w:val="BodyText"/>
      </w:pPr>
      <w:r w:rsidRPr="00FD1B6D">
        <w:t xml:space="preserve">Since the INDC was set in 2015, modelling updates, which include improvements to methodologies and additional government actions, indicate that the abatement gap to achieving NDC1 has narrowed despite strengthening the NDC1 target to reflect higher ambition. </w:t>
      </w:r>
    </w:p>
    <w:p w14:paraId="0627B1D3" w14:textId="27A11FB1" w:rsidR="00885E98" w:rsidRDefault="00A8128F" w:rsidP="00A8128F">
      <w:pPr>
        <w:pStyle w:val="BodyText"/>
      </w:pPr>
      <w:r w:rsidRPr="0080187E">
        <w:t>The projections show that the gap is now 89</w:t>
      </w:r>
      <w:r w:rsidR="00E21E24">
        <w:t>.2</w:t>
      </w:r>
      <w:r w:rsidRPr="0080187E">
        <w:t xml:space="preserve"> million tonnes of carbon dioxide equivalent (Mt</w:t>
      </w:r>
      <w:r>
        <w:t> </w:t>
      </w:r>
      <w:r w:rsidRPr="0080187E">
        <w:t>CO</w:t>
      </w:r>
      <w:r w:rsidRPr="00C55DEA">
        <w:rPr>
          <w:vertAlign w:val="subscript"/>
        </w:rPr>
        <w:t>2</w:t>
      </w:r>
      <w:r w:rsidRPr="0080187E">
        <w:t>e)</w:t>
      </w:r>
      <w:r w:rsidRPr="005D3034">
        <w:rPr>
          <w:rStyle w:val="FootnoteReference"/>
        </w:rPr>
        <w:t xml:space="preserve"> </w:t>
      </w:r>
      <w:r w:rsidR="004709B5">
        <w:t>compared with</w:t>
      </w:r>
      <w:r w:rsidRPr="0080187E">
        <w:t xml:space="preserve"> 149 Mt CO</w:t>
      </w:r>
      <w:r w:rsidRPr="00C55DEA">
        <w:rPr>
          <w:vertAlign w:val="subscript"/>
        </w:rPr>
        <w:t>2</w:t>
      </w:r>
      <w:r w:rsidRPr="0080187E">
        <w:t>e when the NDC was enhanced in 2021</w:t>
      </w:r>
      <w:r w:rsidRPr="008B50D0">
        <w:t>.</w:t>
      </w:r>
      <w:r>
        <w:rPr>
          <w:rStyle w:val="FootnoteReference"/>
        </w:rPr>
        <w:footnoteReference w:id="122"/>
      </w:r>
      <w:r w:rsidRPr="008B50D0">
        <w:t xml:space="preserve"> </w:t>
      </w:r>
      <w:r w:rsidR="00A35C5B">
        <w:t>This does not include the impact of second emissions reduction plan policies and updated data, which are projected to reduce this gap further to 84.0 Mt CO</w:t>
      </w:r>
      <w:r w:rsidR="00A35C5B" w:rsidRPr="009C3805">
        <w:rPr>
          <w:vertAlign w:val="subscript"/>
        </w:rPr>
        <w:t>2</w:t>
      </w:r>
      <w:r w:rsidR="00A35C5B">
        <w:t xml:space="preserve">e. </w:t>
      </w:r>
      <w:r w:rsidR="00A35C5B" w:rsidRPr="00BF2F63">
        <w:t xml:space="preserve">These updates were unable to be included as the </w:t>
      </w:r>
      <w:r w:rsidR="00D21994">
        <w:t>Biennial Transparency Report</w:t>
      </w:r>
      <w:r w:rsidR="00A35C5B" w:rsidRPr="00BF2F63">
        <w:t xml:space="preserve"> applied an earlier </w:t>
      </w:r>
      <w:r w:rsidR="00D0465C" w:rsidRPr="000A2FA4">
        <w:t>cut-off</w:t>
      </w:r>
      <w:r w:rsidR="00A35C5B" w:rsidRPr="00BF2F63">
        <w:t xml:space="preserve"> date for modelling assumptions compared </w:t>
      </w:r>
      <w:r w:rsidR="00A35C5B">
        <w:t>with</w:t>
      </w:r>
      <w:r w:rsidR="00A35C5B" w:rsidRPr="00BF2F63">
        <w:t xml:space="preserve"> the second emissions reduction plan. </w:t>
      </w:r>
      <w:r w:rsidR="00201378">
        <w:t xml:space="preserve">The second </w:t>
      </w:r>
      <w:r w:rsidR="00D21994">
        <w:t>Biennial Transparency Report</w:t>
      </w:r>
      <w:r w:rsidR="00201378">
        <w:t xml:space="preserve"> will include the impacts of the second emissions reduction plan. </w:t>
      </w:r>
    </w:p>
    <w:p w14:paraId="4082DD6F" w14:textId="46048D2E" w:rsidR="00A8128F" w:rsidRDefault="00A8128F" w:rsidP="00A8128F">
      <w:pPr>
        <w:pStyle w:val="BodyText"/>
      </w:pPr>
      <w:r w:rsidRPr="008B50D0">
        <w:t>The</w:t>
      </w:r>
      <w:r>
        <w:t> </w:t>
      </w:r>
      <w:r w:rsidRPr="008B50D0">
        <w:t xml:space="preserve">NDC1 abatement gap is the gap between the provisional NDC1 emissions budget </w:t>
      </w:r>
      <w:r>
        <w:t xml:space="preserve">of 579 </w:t>
      </w:r>
      <w:r w:rsidRPr="00FD1B6D">
        <w:t>Mt CO</w:t>
      </w:r>
      <w:r w:rsidRPr="00FD1B6D">
        <w:rPr>
          <w:vertAlign w:val="subscript"/>
        </w:rPr>
        <w:t>2</w:t>
      </w:r>
      <w:r w:rsidRPr="00FD1B6D">
        <w:t xml:space="preserve">e </w:t>
      </w:r>
      <w:r w:rsidRPr="008B50D0">
        <w:t>and</w:t>
      </w:r>
      <w:r>
        <w:t> </w:t>
      </w:r>
      <w:r w:rsidRPr="008B50D0">
        <w:t xml:space="preserve">projected </w:t>
      </w:r>
      <w:r>
        <w:t>net target</w:t>
      </w:r>
      <w:r w:rsidRPr="00FD1B6D">
        <w:t xml:space="preserve"> </w:t>
      </w:r>
      <w:r>
        <w:t>accounting emissions</w:t>
      </w:r>
      <w:r w:rsidRPr="00FD1B6D">
        <w:t xml:space="preserve"> </w:t>
      </w:r>
      <w:r>
        <w:t xml:space="preserve">for </w:t>
      </w:r>
      <w:r w:rsidRPr="008B50D0">
        <w:t>the NDC1 budget period (2021 to 2030</w:t>
      </w:r>
      <w:r w:rsidRPr="00FD1B6D">
        <w:t>)</w:t>
      </w:r>
      <w:r>
        <w:t xml:space="preserve"> of 66</w:t>
      </w:r>
      <w:r w:rsidR="006F26B9">
        <w:t>8</w:t>
      </w:r>
      <w:r>
        <w:t>.2 </w:t>
      </w:r>
      <w:r w:rsidRPr="00FD1B6D">
        <w:t>Mt CO</w:t>
      </w:r>
      <w:r w:rsidRPr="00FD1B6D">
        <w:rPr>
          <w:vertAlign w:val="subscript"/>
        </w:rPr>
        <w:t>2</w:t>
      </w:r>
      <w:r w:rsidRPr="00FD1B6D">
        <w:t>e.</w:t>
      </w:r>
      <w:r w:rsidRPr="008B50D0">
        <w:t xml:space="preserve"> </w:t>
      </w:r>
    </w:p>
    <w:p w14:paraId="7775AF22" w14:textId="77777777" w:rsidR="00A8128F" w:rsidRDefault="00A8128F" w:rsidP="00A8128F">
      <w:pPr>
        <w:pStyle w:val="BodyText"/>
      </w:pPr>
      <w:r>
        <w:t xml:space="preserve">Closing the gap still presents a significant challenge for New Zealand given our national circumstances, however there are also opportunities. </w:t>
      </w:r>
    </w:p>
    <w:p w14:paraId="78CC93F3" w14:textId="77777777" w:rsidR="00A8128F" w:rsidRPr="008B50D0" w:rsidRDefault="00A8128F" w:rsidP="00A8128F">
      <w:pPr>
        <w:pStyle w:val="BodyText"/>
      </w:pPr>
      <w:r w:rsidRPr="00E2182C">
        <w:rPr>
          <w:spacing w:val="-2"/>
        </w:rPr>
        <w:t>Over 80 per cent of New Zealand’s stationary energy needs are met by renewables. New Zealand</w:t>
      </w:r>
      <w:r w:rsidRPr="008B50D0">
        <w:t xml:space="preserve"> </w:t>
      </w:r>
      <w:r w:rsidRPr="00E2182C">
        <w:rPr>
          <w:spacing w:val="-2"/>
        </w:rPr>
        <w:t>generates the second-highest percentage of renewable energy in the Organisation for Economic Co-operation and Development.</w:t>
      </w:r>
      <w:r w:rsidRPr="00E2182C">
        <w:rPr>
          <w:rStyle w:val="FootnoteReference"/>
          <w:spacing w:val="-2"/>
        </w:rPr>
        <w:footnoteReference w:id="123"/>
      </w:r>
      <w:r w:rsidRPr="00E2182C">
        <w:rPr>
          <w:spacing w:val="-2"/>
        </w:rPr>
        <w:t xml:space="preserve"> While the challenges are greatest in decarbonising</w:t>
      </w:r>
      <w:r w:rsidRPr="008B50D0">
        <w:t xml:space="preserve"> the transport sector, opportunities exist to expand renewable electricity sources that can support further substitution away from fossil fuels elsewhere in the</w:t>
      </w:r>
      <w:r>
        <w:t> </w:t>
      </w:r>
      <w:r w:rsidRPr="008B50D0">
        <w:t>economy.</w:t>
      </w:r>
    </w:p>
    <w:p w14:paraId="5B54C0FE" w14:textId="77777777" w:rsidR="00A8128F" w:rsidRDefault="00A8128F" w:rsidP="00A8128F">
      <w:pPr>
        <w:pStyle w:val="BodyText"/>
      </w:pPr>
      <w:r w:rsidRPr="008B50D0">
        <w:t xml:space="preserve">New Zealand’s emissions profile is such that over half of total emissions are from pastoral livestock and limited mitigation solutions are currently available that suit pasture-based farming systems. </w:t>
      </w:r>
    </w:p>
    <w:p w14:paraId="5D7CC9E1" w14:textId="7FF7D98B" w:rsidR="00A8128F" w:rsidRPr="008B50D0" w:rsidRDefault="00A8128F" w:rsidP="00A8128F">
      <w:pPr>
        <w:pStyle w:val="BodyText"/>
      </w:pPr>
      <w:r w:rsidRPr="00FD1B6D">
        <w:t xml:space="preserve">New Zealand is </w:t>
      </w:r>
      <w:r w:rsidRPr="00FD1B6D" w:rsidDel="00D42E44">
        <w:t xml:space="preserve">committed to </w:t>
      </w:r>
      <w:r w:rsidRPr="00FD1B6D">
        <w:rPr>
          <w:rFonts w:eastAsia="Times New Roman" w:cs="Times New Roman"/>
        </w:rPr>
        <w:t>supporting its</w:t>
      </w:r>
      <w:r w:rsidRPr="00FD1B6D" w:rsidDel="0095783B">
        <w:rPr>
          <w:rFonts w:eastAsia="Times New Roman" w:cs="Times New Roman"/>
        </w:rPr>
        <w:t xml:space="preserve"> </w:t>
      </w:r>
      <w:r w:rsidRPr="00FD1B6D" w:rsidDel="00C2117E">
        <w:rPr>
          <w:rFonts w:eastAsia="Times New Roman" w:cs="Times New Roman"/>
        </w:rPr>
        <w:t>a</w:t>
      </w:r>
      <w:r w:rsidRPr="00FD1B6D">
        <w:rPr>
          <w:rFonts w:eastAsia="Times New Roman" w:cs="Times New Roman"/>
        </w:rPr>
        <w:t>griculture sector to remain a world leader in</w:t>
      </w:r>
      <w:r w:rsidR="00E2182C">
        <w:rPr>
          <w:rFonts w:eastAsia="Times New Roman" w:cs="Times New Roman"/>
        </w:rPr>
        <w:t> </w:t>
      </w:r>
      <w:r w:rsidRPr="00FD1B6D">
        <w:rPr>
          <w:rFonts w:eastAsia="Times New Roman" w:cs="Times New Roman"/>
        </w:rPr>
        <w:t xml:space="preserve">sustainable agriculture. </w:t>
      </w:r>
      <w:r>
        <w:rPr>
          <w:rFonts w:eastAsia="Times New Roman" w:cs="Times New Roman"/>
        </w:rPr>
        <w:t>New Zealand is</w:t>
      </w:r>
      <w:r w:rsidRPr="00FD1B6D">
        <w:rPr>
          <w:rFonts w:eastAsia="Times New Roman" w:cs="Times New Roman"/>
        </w:rPr>
        <w:t xml:space="preserve"> taking a technology-led approach to managing agricultural emissions</w:t>
      </w:r>
      <w:r>
        <w:rPr>
          <w:rFonts w:eastAsia="Times New Roman" w:cs="Times New Roman"/>
        </w:rPr>
        <w:t xml:space="preserve"> and is</w:t>
      </w:r>
      <w:r w:rsidRPr="00FD1B6D" w:rsidDel="00F421E0">
        <w:rPr>
          <w:rFonts w:eastAsia="Times New Roman" w:cs="Times New Roman"/>
        </w:rPr>
        <w:t xml:space="preserve"> committed to </w:t>
      </w:r>
      <w:r w:rsidRPr="00FD1B6D">
        <w:rPr>
          <w:rFonts w:eastAsia="Times New Roman" w:cs="Times New Roman"/>
        </w:rPr>
        <w:t>ensuring</w:t>
      </w:r>
      <w:r w:rsidRPr="00FD1B6D">
        <w:t xml:space="preserve"> producers have the tools and technologies to reduce emissions while maintaining productivity and profitability. </w:t>
      </w:r>
      <w:r w:rsidRPr="008B50D0">
        <w:t>The Government is making substantial investments in research and development in agricultur</w:t>
      </w:r>
      <w:r w:rsidR="00515FEB">
        <w:t>al</w:t>
      </w:r>
      <w:r w:rsidRPr="008B50D0">
        <w:t xml:space="preserve"> emissions reduction technologies and practices (see </w:t>
      </w:r>
      <w:hyperlink w:anchor="section247" w:history="1">
        <w:r w:rsidRPr="005F0E87">
          <w:rPr>
            <w:rStyle w:val="Hyperlink"/>
          </w:rPr>
          <w:t>section 2.4.7</w:t>
        </w:r>
      </w:hyperlink>
      <w:r w:rsidRPr="008B50D0">
        <w:t>).</w:t>
      </w:r>
    </w:p>
    <w:p w14:paraId="1759B560" w14:textId="77777777" w:rsidR="00A8128F" w:rsidRPr="00FD1B6D" w:rsidRDefault="00A8128F" w:rsidP="00A8128F">
      <w:pPr>
        <w:pStyle w:val="BodyText"/>
      </w:pPr>
      <w:r w:rsidRPr="00FD1B6D">
        <w:t xml:space="preserve">The Government has an important role in getting the policy and regulatory settings right to reach net zero and maximise the opportunities that come from the transition to a net zero economy. </w:t>
      </w:r>
      <w:r>
        <w:t>However, t</w:t>
      </w:r>
      <w:r w:rsidRPr="00FD1B6D">
        <w:t xml:space="preserve">ransitioning to net zero by 2050 is a significant challenge that requires </w:t>
      </w:r>
      <w:r>
        <w:t xml:space="preserve">broad </w:t>
      </w:r>
      <w:r w:rsidRPr="00FD1B6D">
        <w:t>collective action from households, businesses, iwi and hapū, communities, non-governmental organisations, local government and other organisations.</w:t>
      </w:r>
    </w:p>
    <w:p w14:paraId="678FE848" w14:textId="77777777" w:rsidR="00A8128F" w:rsidRPr="008B50D0" w:rsidRDefault="00A8128F" w:rsidP="00A8128F">
      <w:pPr>
        <w:pStyle w:val="Heading3"/>
        <w:numPr>
          <w:ilvl w:val="0"/>
          <w:numId w:val="78"/>
        </w:numPr>
        <w:tabs>
          <w:tab w:val="num" w:pos="1134"/>
        </w:tabs>
      </w:pPr>
      <w:r>
        <w:t xml:space="preserve">Domestic action is driving </w:t>
      </w:r>
      <w:r w:rsidRPr="008B50D0">
        <w:t xml:space="preserve">progress </w:t>
      </w:r>
    </w:p>
    <w:p w14:paraId="16CF0C24" w14:textId="77777777" w:rsidR="00A8128F" w:rsidRPr="008B50D0" w:rsidRDefault="00A8128F" w:rsidP="00A8128F">
      <w:pPr>
        <w:pStyle w:val="BodyText"/>
        <w:rPr>
          <w:rFonts w:asciiTheme="minorHAnsi" w:hAnsiTheme="minorHAnsi"/>
        </w:rPr>
      </w:pPr>
      <w:r w:rsidRPr="00C64CEB">
        <w:rPr>
          <w:spacing w:val="-2"/>
        </w:rPr>
        <w:t>Significant progress has been made toward achieving NDC1 through domestic action. Since 2019</w:t>
      </w:r>
      <w:r w:rsidRPr="5FFF5976">
        <w:rPr>
          <w:rFonts w:asciiTheme="minorHAnsi" w:hAnsiTheme="minorHAnsi"/>
        </w:rPr>
        <w:t xml:space="preserve">, New Zealand’s gross emissions have consistently </w:t>
      </w:r>
      <w:r>
        <w:rPr>
          <w:rFonts w:asciiTheme="minorHAnsi" w:hAnsiTheme="minorHAnsi"/>
        </w:rPr>
        <w:t>decreased</w:t>
      </w:r>
      <w:r w:rsidRPr="5FFF5976">
        <w:rPr>
          <w:rFonts w:asciiTheme="minorHAnsi" w:hAnsiTheme="minorHAnsi"/>
        </w:rPr>
        <w:t>, while emissions intensity has been improving since at least 2010</w:t>
      </w:r>
      <w:r w:rsidRPr="00FD1B6D">
        <w:rPr>
          <w:rFonts w:asciiTheme="minorHAnsi" w:hAnsiTheme="minorHAnsi"/>
        </w:rPr>
        <w:t>.</w:t>
      </w:r>
      <w:r>
        <w:rPr>
          <w:rStyle w:val="FootnoteReference"/>
          <w:rFonts w:asciiTheme="minorHAnsi" w:hAnsiTheme="minorHAnsi"/>
        </w:rPr>
        <w:footnoteReference w:id="124"/>
      </w:r>
      <w:r w:rsidRPr="5FFF5976">
        <w:rPr>
          <w:rFonts w:asciiTheme="minorHAnsi" w:hAnsiTheme="minorHAnsi"/>
        </w:rPr>
        <w:t xml:space="preserve"> At the same time,</w:t>
      </w:r>
      <w:r>
        <w:rPr>
          <w:rFonts w:asciiTheme="minorHAnsi" w:hAnsiTheme="minorHAnsi"/>
        </w:rPr>
        <w:t xml:space="preserve"> New Zealand is</w:t>
      </w:r>
      <w:r w:rsidRPr="5FFF5976">
        <w:rPr>
          <w:rFonts w:asciiTheme="minorHAnsi" w:hAnsiTheme="minorHAnsi"/>
        </w:rPr>
        <w:t xml:space="preserve"> continuing to see economic growth.</w:t>
      </w:r>
    </w:p>
    <w:p w14:paraId="20118FD4" w14:textId="2681216A" w:rsidR="00A8128F" w:rsidRPr="008B50D0" w:rsidRDefault="00A8128F" w:rsidP="00A8128F">
      <w:pPr>
        <w:pStyle w:val="BodyText"/>
        <w:rPr>
          <w:rFonts w:asciiTheme="minorHAnsi" w:eastAsia="Times New Roman" w:hAnsiTheme="minorHAnsi"/>
        </w:rPr>
      </w:pPr>
      <w:r w:rsidRPr="008B50D0">
        <w:rPr>
          <w:rFonts w:eastAsia="Times New Roman"/>
        </w:rPr>
        <w:t xml:space="preserve">New Zealand’s </w:t>
      </w:r>
      <w:r>
        <w:rPr>
          <w:rFonts w:eastAsia="Times New Roman"/>
        </w:rPr>
        <w:t>ERP1 is</w:t>
      </w:r>
      <w:r w:rsidRPr="008B50D0">
        <w:rPr>
          <w:rFonts w:eastAsia="Times New Roman"/>
        </w:rPr>
        <w:t xml:space="preserve"> currently being implemented and contains strategies, policies and actions for achieving </w:t>
      </w:r>
      <w:r w:rsidRPr="008B50D0">
        <w:t>emissions budget one</w:t>
      </w:r>
      <w:r w:rsidRPr="008B50D0">
        <w:rPr>
          <w:rFonts w:eastAsia="Times New Roman"/>
        </w:rPr>
        <w:t xml:space="preserve">. The plan builds on the steps </w:t>
      </w:r>
      <w:r>
        <w:rPr>
          <w:rFonts w:eastAsia="Times New Roman"/>
        </w:rPr>
        <w:t>New Zealand has</w:t>
      </w:r>
      <w:r w:rsidRPr="008B50D0">
        <w:rPr>
          <w:rFonts w:eastAsia="Times New Roman"/>
        </w:rPr>
        <w:t xml:space="preserve"> already taken to address climate change</w:t>
      </w:r>
      <w:r w:rsidR="008307DF">
        <w:rPr>
          <w:rFonts w:eastAsia="Times New Roman"/>
        </w:rPr>
        <w:t>,</w:t>
      </w:r>
      <w:r>
        <w:rPr>
          <w:rFonts w:eastAsia="Times New Roman"/>
        </w:rPr>
        <w:t xml:space="preserve"> and covers policies and measures for all sectors of the New Zealand economy.</w:t>
      </w:r>
    </w:p>
    <w:p w14:paraId="175453F6" w14:textId="6945AB0D" w:rsidR="00CC2EE4" w:rsidRPr="002E6043" w:rsidRDefault="00A8128F" w:rsidP="002A149F">
      <w:pPr>
        <w:spacing w:before="0" w:after="160" w:line="279" w:lineRule="auto"/>
        <w:jc w:val="left"/>
      </w:pPr>
      <w:r w:rsidRPr="00FD1B6D">
        <w:t>In December 2024, the Government published the second emissions reduction plan (ERP2) to reduce emissions throughout emissions budget two</w:t>
      </w:r>
      <w:r>
        <w:t xml:space="preserve">, </w:t>
      </w:r>
      <w:r w:rsidRPr="00FD1B6D">
        <w:t>covering the period 2026</w:t>
      </w:r>
      <w:r w:rsidR="0014308E">
        <w:rPr>
          <w:rFonts w:cs="Calibri"/>
        </w:rPr>
        <w:t>–</w:t>
      </w:r>
      <w:r w:rsidRPr="00FD1B6D">
        <w:t xml:space="preserve">2030. </w:t>
      </w:r>
      <w:r w:rsidR="00CC2EE4">
        <w:t>The ERP2 details</w:t>
      </w:r>
      <w:r w:rsidR="00CC2EE4" w:rsidRPr="002E6043">
        <w:t xml:space="preserve"> eight key policies that will have the greatest potential emissions savings over the next five years</w:t>
      </w:r>
      <w:r w:rsidR="006D5B86">
        <w:t>.</w:t>
      </w:r>
      <w:r w:rsidR="00D926E9">
        <w:t xml:space="preserve"> </w:t>
      </w:r>
    </w:p>
    <w:p w14:paraId="3B633DB2" w14:textId="6E279FAA" w:rsidR="006C22CB" w:rsidRPr="00466246" w:rsidRDefault="006C22CB" w:rsidP="00466246">
      <w:pPr>
        <w:pStyle w:val="Bullet"/>
        <w:numPr>
          <w:ilvl w:val="0"/>
          <w:numId w:val="30"/>
        </w:numPr>
        <w:tabs>
          <w:tab w:val="left" w:pos="397"/>
        </w:tabs>
      </w:pPr>
      <w:r w:rsidRPr="00466246">
        <w:t>Enabling more renewable energy projects through Electrify NZ</w:t>
      </w:r>
      <w:r w:rsidR="005F6F35">
        <w:t>.</w:t>
      </w:r>
      <w:r w:rsidRPr="00466246">
        <w:t xml:space="preserve"> </w:t>
      </w:r>
    </w:p>
    <w:p w14:paraId="69429CD8" w14:textId="078ADCAD" w:rsidR="006C22CB" w:rsidRPr="00466246" w:rsidRDefault="006C22CB" w:rsidP="00466246">
      <w:pPr>
        <w:pStyle w:val="Bullet"/>
        <w:numPr>
          <w:ilvl w:val="0"/>
          <w:numId w:val="30"/>
        </w:numPr>
        <w:tabs>
          <w:tab w:val="left" w:pos="397"/>
        </w:tabs>
      </w:pPr>
      <w:r w:rsidRPr="00466246">
        <w:t>Recognising carbon capture, utilisation and storage in the NZ ETS</w:t>
      </w:r>
      <w:r w:rsidR="005F6F35">
        <w:t>.</w:t>
      </w:r>
    </w:p>
    <w:p w14:paraId="3B87F9BD" w14:textId="77777777" w:rsidR="006C22CB" w:rsidRPr="00466246" w:rsidRDefault="006C22CB" w:rsidP="00466246">
      <w:pPr>
        <w:pStyle w:val="Bullet"/>
        <w:numPr>
          <w:ilvl w:val="0"/>
          <w:numId w:val="30"/>
        </w:numPr>
        <w:tabs>
          <w:tab w:val="left" w:pos="397"/>
        </w:tabs>
      </w:pPr>
      <w:r w:rsidRPr="00466246">
        <w:t xml:space="preserve">Targeting a network of 10,000 EV charging points by 2030. </w:t>
      </w:r>
    </w:p>
    <w:p w14:paraId="6A849762" w14:textId="2DFE8E12" w:rsidR="006C22CB" w:rsidRPr="00466246" w:rsidRDefault="006C22CB" w:rsidP="00466246">
      <w:pPr>
        <w:pStyle w:val="Bullet"/>
        <w:numPr>
          <w:ilvl w:val="0"/>
          <w:numId w:val="30"/>
        </w:numPr>
        <w:tabs>
          <w:tab w:val="left" w:pos="397"/>
        </w:tabs>
      </w:pPr>
      <w:r w:rsidRPr="00466246">
        <w:t>Introducing agricultural emissions pricing by 2030 and incentivising the uptake of new technologies</w:t>
      </w:r>
      <w:r w:rsidR="005F6F35">
        <w:t>.</w:t>
      </w:r>
    </w:p>
    <w:p w14:paraId="7BB06EA1" w14:textId="4783D97E" w:rsidR="006C22CB" w:rsidRPr="00466246" w:rsidRDefault="006C22CB" w:rsidP="00466246">
      <w:pPr>
        <w:pStyle w:val="Bullet"/>
        <w:numPr>
          <w:ilvl w:val="0"/>
          <w:numId w:val="30"/>
        </w:numPr>
        <w:tabs>
          <w:tab w:val="left" w:pos="397"/>
        </w:tabs>
      </w:pPr>
      <w:r w:rsidRPr="00466246">
        <w:t>Exploring private-sector partnerships to plant trees on Crown-owned land which has low conservation value and low farming value</w:t>
      </w:r>
      <w:r w:rsidR="005F6F35">
        <w:t>.</w:t>
      </w:r>
    </w:p>
    <w:p w14:paraId="3A910323" w14:textId="3DF1CCBE" w:rsidR="006C22CB" w:rsidRPr="00466246" w:rsidRDefault="006C22CB" w:rsidP="00466246">
      <w:pPr>
        <w:pStyle w:val="Bullet"/>
        <w:numPr>
          <w:ilvl w:val="0"/>
          <w:numId w:val="30"/>
        </w:numPr>
        <w:tabs>
          <w:tab w:val="left" w:pos="397"/>
        </w:tabs>
      </w:pPr>
      <w:r w:rsidRPr="00466246">
        <w:t>Introducing a regulated product stewardship scheme for refrigerants from 2025</w:t>
      </w:r>
      <w:r w:rsidR="005F6F35">
        <w:t>.</w:t>
      </w:r>
    </w:p>
    <w:p w14:paraId="683217E0" w14:textId="35538ADC" w:rsidR="006C22CB" w:rsidRPr="00466246" w:rsidRDefault="006C22CB" w:rsidP="00466246">
      <w:pPr>
        <w:pStyle w:val="Bullet"/>
        <w:numPr>
          <w:ilvl w:val="0"/>
          <w:numId w:val="30"/>
        </w:numPr>
        <w:tabs>
          <w:tab w:val="left" w:pos="397"/>
        </w:tabs>
      </w:pPr>
      <w:r w:rsidRPr="00466246">
        <w:t>Leveraging the Waste Minimisation Fund to enable resource recovery systems and infrastructure to process organic waste</w:t>
      </w:r>
      <w:r w:rsidR="005F6F35">
        <w:t>.</w:t>
      </w:r>
    </w:p>
    <w:p w14:paraId="64CAD51F" w14:textId="42524681" w:rsidR="006C22CB" w:rsidRPr="00466246" w:rsidRDefault="006C22CB" w:rsidP="00466246">
      <w:pPr>
        <w:pStyle w:val="Bullet"/>
        <w:numPr>
          <w:ilvl w:val="0"/>
          <w:numId w:val="30"/>
        </w:numPr>
        <w:tabs>
          <w:tab w:val="left" w:pos="397"/>
        </w:tabs>
      </w:pPr>
      <w:r w:rsidRPr="00466246">
        <w:t>Improving organic waste management and landfill gas capture to increase landfill gas recovery rates</w:t>
      </w:r>
      <w:r>
        <w:t>.</w:t>
      </w:r>
    </w:p>
    <w:p w14:paraId="7BA3B7AB" w14:textId="77777777" w:rsidR="00A8128F" w:rsidRPr="008B50D0" w:rsidRDefault="00A8128F" w:rsidP="00CC2EE4">
      <w:pPr>
        <w:pStyle w:val="BodyText"/>
      </w:pPr>
      <w:r w:rsidRPr="008B50D0">
        <w:t xml:space="preserve">Projections indicate that New Zealand will reduce net emissions over the next five years to 2030. </w:t>
      </w:r>
      <w:r w:rsidRPr="00FD1B6D">
        <w:t>Modelling developed for ERP2 shows that New Zealand is on track to meet emissions budget one</w:t>
      </w:r>
      <w:r>
        <w:t xml:space="preserve"> and emissions budget two</w:t>
      </w:r>
      <w:r w:rsidRPr="008B50D0">
        <w:t>.</w:t>
      </w:r>
      <w:r w:rsidRPr="008B50D0">
        <w:rPr>
          <w:vertAlign w:val="superscript"/>
        </w:rPr>
        <w:footnoteReference w:id="125"/>
      </w:r>
      <w:r w:rsidRPr="008B50D0">
        <w:t xml:space="preserve"> </w:t>
      </w:r>
    </w:p>
    <w:p w14:paraId="52CA1182" w14:textId="17811915" w:rsidR="00A8128F" w:rsidRPr="00F2418C" w:rsidRDefault="00A8128F" w:rsidP="00A8128F">
      <w:pPr>
        <w:pStyle w:val="BodyText"/>
        <w:rPr>
          <w:spacing w:val="-2"/>
        </w:rPr>
      </w:pPr>
      <w:hyperlink w:anchor="section24" w:history="1">
        <w:r w:rsidRPr="00CD5EF9">
          <w:rPr>
            <w:rStyle w:val="Hyperlink"/>
            <w:spacing w:val="-2"/>
          </w:rPr>
          <w:t>Section 2.4</w:t>
        </w:r>
      </w:hyperlink>
      <w:r w:rsidRPr="00F2418C">
        <w:rPr>
          <w:spacing w:val="-2"/>
        </w:rPr>
        <w:t xml:space="preserve"> provides further details of New Zealand’s domestic mitigation policies and measures.</w:t>
      </w:r>
      <w:r w:rsidRPr="00F2418C" w:rsidDel="00887227">
        <w:rPr>
          <w:rStyle w:val="CommentReference"/>
          <w:spacing w:val="-2"/>
        </w:rPr>
        <w:t xml:space="preserve"> </w:t>
      </w:r>
    </w:p>
    <w:p w14:paraId="2D0E81C4" w14:textId="77777777" w:rsidR="00A8128F" w:rsidRPr="008B50D0" w:rsidRDefault="00A8128F" w:rsidP="00A8128F">
      <w:pPr>
        <w:pStyle w:val="BodyText"/>
      </w:pPr>
      <w:r w:rsidRPr="008B50D0" w:rsidDel="007C38FF">
        <w:t xml:space="preserve">New Zealand will continue to prioritise domestic action </w:t>
      </w:r>
      <w:r w:rsidRPr="008B50D0">
        <w:t>to achieve</w:t>
      </w:r>
      <w:r w:rsidRPr="008B50D0" w:rsidDel="007C38FF">
        <w:t xml:space="preserve"> NDC1. However, the scale of emission reductions required to meet </w:t>
      </w:r>
      <w:r w:rsidRPr="008B50D0">
        <w:t>the target</w:t>
      </w:r>
      <w:r w:rsidRPr="008B50D0" w:rsidDel="007C38FF">
        <w:t xml:space="preserve"> is greater than </w:t>
      </w:r>
      <w:r w:rsidRPr="008B50D0">
        <w:t xml:space="preserve">what can be achieved in an economically </w:t>
      </w:r>
      <w:r w:rsidRPr="008B50D0" w:rsidDel="007C38FF">
        <w:t xml:space="preserve">feasible </w:t>
      </w:r>
      <w:r w:rsidRPr="008B50D0">
        <w:t xml:space="preserve">way </w:t>
      </w:r>
      <w:r w:rsidRPr="008B50D0" w:rsidDel="007C38FF">
        <w:t>through domestic action alone.</w:t>
      </w:r>
      <w:r w:rsidRPr="00C55DEA">
        <w:rPr>
          <w:vertAlign w:val="superscript"/>
        </w:rPr>
        <w:footnoteReference w:id="126"/>
      </w:r>
    </w:p>
    <w:p w14:paraId="2095185E" w14:textId="77777777" w:rsidR="00A8128F" w:rsidRPr="008B50D0" w:rsidRDefault="00A8128F" w:rsidP="00762DFF">
      <w:pPr>
        <w:pStyle w:val="Heading3"/>
        <w:numPr>
          <w:ilvl w:val="0"/>
          <w:numId w:val="78"/>
        </w:numPr>
        <w:tabs>
          <w:tab w:val="num" w:pos="1134"/>
        </w:tabs>
        <w:ind w:left="1134" w:hanging="1134"/>
      </w:pPr>
      <w:r w:rsidRPr="008B50D0">
        <w:t>Progress toward international cooperation to</w:t>
      </w:r>
      <w:r>
        <w:t> </w:t>
      </w:r>
      <w:r w:rsidRPr="008B50D0">
        <w:t>support achieving NDC1</w:t>
      </w:r>
    </w:p>
    <w:p w14:paraId="12D491A9" w14:textId="77777777" w:rsidR="00A8128F" w:rsidRPr="008B50D0" w:rsidRDefault="00A8128F" w:rsidP="004D0575">
      <w:pPr>
        <w:pStyle w:val="BodyText"/>
      </w:pPr>
      <w:r w:rsidRPr="008B50D0">
        <w:t xml:space="preserve">New Zealand is progressing actions to achieve </w:t>
      </w:r>
      <w:r w:rsidRPr="00FD1B6D">
        <w:t xml:space="preserve">its </w:t>
      </w:r>
      <w:r w:rsidRPr="008B50D0">
        <w:t>NDC1 target by exploring options for international cooperation under Article 6 of the Paris Agreement.</w:t>
      </w:r>
      <w:r w:rsidRPr="00C55DEA">
        <w:rPr>
          <w:vertAlign w:val="superscript"/>
        </w:rPr>
        <w:footnoteReference w:id="127"/>
      </w:r>
      <w:r w:rsidRPr="008B50D0">
        <w:t xml:space="preserve"> This includes exploring cooperation opportunities with partner </w:t>
      </w:r>
      <w:r w:rsidRPr="00FD1B6D">
        <w:t>governments</w:t>
      </w:r>
      <w:r w:rsidRPr="008B50D0">
        <w:t>, market intermediaries and entities that</w:t>
      </w:r>
      <w:r>
        <w:t> </w:t>
      </w:r>
      <w:r w:rsidRPr="008B50D0">
        <w:t xml:space="preserve">could enable New Zealand to </w:t>
      </w:r>
      <w:r w:rsidRPr="00FD1B6D">
        <w:t xml:space="preserve">undertake cooperative </w:t>
      </w:r>
      <w:r w:rsidRPr="008B50D0">
        <w:t>mitigation action</w:t>
      </w:r>
      <w:r w:rsidRPr="00FD1B6D">
        <w:t xml:space="preserve"> in the future.</w:t>
      </w:r>
    </w:p>
    <w:p w14:paraId="7FE4CD1E" w14:textId="77777777" w:rsidR="00A8128F" w:rsidRPr="008B50D0" w:rsidRDefault="00A8128F" w:rsidP="004D0575">
      <w:pPr>
        <w:pStyle w:val="BodyText"/>
      </w:pPr>
      <w:r>
        <w:t xml:space="preserve">An example of such cooperation is New Zealand joining the Global Green Growth Institute’s Carbon Transaction Facility by contributing climate finance to the Article 6 Readiness Facility. </w:t>
      </w:r>
      <w:r w:rsidRPr="00A02BA3">
        <w:rPr>
          <w:spacing w:val="-2"/>
        </w:rPr>
        <w:t>The Readiness Facility is a pillar of the Carbon Transaction Facility and aims to increase technical capacity and strengthen the institutions of developing member countries to participate in Article</w:t>
      </w:r>
      <w:r>
        <w:rPr>
          <w:spacing w:val="-2"/>
        </w:rPr>
        <w:t> </w:t>
      </w:r>
      <w:r w:rsidRPr="00A02BA3">
        <w:rPr>
          <w:spacing w:val="-2"/>
        </w:rPr>
        <w:t>6. A contribution is a prerequisite for participation in the Carbon Transaction Facility that</w:t>
      </w:r>
      <w:r>
        <w:rPr>
          <w:spacing w:val="-2"/>
        </w:rPr>
        <w:t> </w:t>
      </w:r>
      <w:r w:rsidRPr="00A02BA3">
        <w:rPr>
          <w:spacing w:val="-2"/>
        </w:rPr>
        <w:t>operates a Carbon Trust Fund to facilitate the purchase of emissions reductions</w:t>
      </w:r>
      <w:r>
        <w:t>.</w:t>
      </w:r>
    </w:p>
    <w:p w14:paraId="079DF81B" w14:textId="77777777" w:rsidR="00A8128F" w:rsidRPr="008B50D0" w:rsidRDefault="00A8128F" w:rsidP="004D0575">
      <w:pPr>
        <w:pStyle w:val="BodyText"/>
      </w:pPr>
      <w:r w:rsidRPr="00FD1B6D">
        <w:t>New Zealand’s i</w:t>
      </w:r>
      <w:r w:rsidRPr="008B50D0">
        <w:t xml:space="preserve">nternational engagement </w:t>
      </w:r>
      <w:r w:rsidRPr="00FD1B6D">
        <w:t>serves</w:t>
      </w:r>
      <w:r w:rsidRPr="008B50D0">
        <w:t xml:space="preserve"> to: </w:t>
      </w:r>
    </w:p>
    <w:p w14:paraId="5243CF31" w14:textId="77777777" w:rsidR="00A8128F" w:rsidRPr="008B50D0" w:rsidRDefault="00A8128F" w:rsidP="00A8128F">
      <w:pPr>
        <w:pStyle w:val="Bullet"/>
        <w:numPr>
          <w:ilvl w:val="0"/>
          <w:numId w:val="30"/>
        </w:numPr>
        <w:tabs>
          <w:tab w:val="left" w:pos="397"/>
        </w:tabs>
        <w:spacing w:after="100"/>
      </w:pPr>
      <w:r w:rsidRPr="008B50D0">
        <w:t>discover and deepen understanding of international cooperation options</w:t>
      </w:r>
    </w:p>
    <w:p w14:paraId="0E706B29" w14:textId="77777777" w:rsidR="00A8128F" w:rsidRPr="008B50D0" w:rsidRDefault="00A8128F" w:rsidP="00A8128F">
      <w:pPr>
        <w:pStyle w:val="Bullet"/>
        <w:numPr>
          <w:ilvl w:val="0"/>
          <w:numId w:val="30"/>
        </w:numPr>
        <w:tabs>
          <w:tab w:val="left" w:pos="397"/>
        </w:tabs>
        <w:spacing w:after="100"/>
      </w:pPr>
      <w:r w:rsidRPr="008B50D0">
        <w:t>establish relationships with potential cooperation partners</w:t>
      </w:r>
    </w:p>
    <w:p w14:paraId="09CBCE01" w14:textId="77777777" w:rsidR="00A8128F" w:rsidRPr="008B50D0" w:rsidRDefault="00A8128F" w:rsidP="00A8128F">
      <w:pPr>
        <w:pStyle w:val="Bullet"/>
        <w:numPr>
          <w:ilvl w:val="0"/>
          <w:numId w:val="30"/>
        </w:numPr>
        <w:tabs>
          <w:tab w:val="left" w:pos="397"/>
        </w:tabs>
        <w:spacing w:after="100"/>
      </w:pPr>
      <w:r w:rsidRPr="008B50D0">
        <w:t>support development of partner countries’ capability and capacity to participate in carbon markets</w:t>
      </w:r>
    </w:p>
    <w:p w14:paraId="6AAAA220" w14:textId="77777777" w:rsidR="00A8128F" w:rsidRPr="008B50D0" w:rsidRDefault="00A8128F" w:rsidP="00A8128F">
      <w:pPr>
        <w:pStyle w:val="Bullet"/>
        <w:numPr>
          <w:ilvl w:val="0"/>
          <w:numId w:val="30"/>
        </w:numPr>
        <w:tabs>
          <w:tab w:val="left" w:pos="397"/>
        </w:tabs>
        <w:spacing w:after="100"/>
        <w:rPr>
          <w:b/>
        </w:rPr>
      </w:pPr>
      <w:r w:rsidRPr="008B50D0">
        <w:t>influence practices and methodologies to satisfy the need for robust standards underpinning any use of international cooperation to help achieve NDC1.</w:t>
      </w:r>
    </w:p>
    <w:p w14:paraId="2F1A9472" w14:textId="77777777" w:rsidR="00A8128F" w:rsidRPr="008B50D0" w:rsidRDefault="00A8128F" w:rsidP="0087221C">
      <w:pPr>
        <w:pStyle w:val="BodyText"/>
        <w:keepLines/>
      </w:pPr>
      <w:r w:rsidRPr="008B50D0">
        <w:t xml:space="preserve">Together with its partners, New Zealand is developing </w:t>
      </w:r>
      <w:r w:rsidRPr="00FD1B6D">
        <w:t xml:space="preserve">arrangements that </w:t>
      </w:r>
      <w:r w:rsidRPr="008B50D0">
        <w:t xml:space="preserve">establish frameworks for collaboration. </w:t>
      </w:r>
      <w:r w:rsidRPr="00FD1B6D">
        <w:t>Amongst other things, these seek to</w:t>
      </w:r>
      <w:r w:rsidRPr="008B50D0">
        <w:t xml:space="preserve"> enable implementation of carbon market cooperation </w:t>
      </w:r>
      <w:r w:rsidRPr="00FD1B6D">
        <w:t>to</w:t>
      </w:r>
      <w:r w:rsidRPr="008B50D0">
        <w:t xml:space="preserve"> contribute </w:t>
      </w:r>
      <w:r w:rsidRPr="00FD1B6D">
        <w:t>toward</w:t>
      </w:r>
      <w:r w:rsidRPr="008B50D0">
        <w:t xml:space="preserve"> NDCs, promote economic and social benefits, and advance broader sustainable development goals. Examples include</w:t>
      </w:r>
      <w:r w:rsidRPr="00FD1B6D">
        <w:t>:</w:t>
      </w:r>
    </w:p>
    <w:p w14:paraId="29BDA5B1" w14:textId="404CF33F" w:rsidR="00A8128F" w:rsidRPr="00437E5C" w:rsidRDefault="00A8128F" w:rsidP="75ADBAC8">
      <w:pPr>
        <w:pStyle w:val="Bullet"/>
        <w:tabs>
          <w:tab w:val="left" w:pos="397"/>
        </w:tabs>
      </w:pPr>
      <w:r w:rsidRPr="00FD1B6D">
        <w:t xml:space="preserve">Enhancement of the </w:t>
      </w:r>
      <w:r w:rsidRPr="00437E5C">
        <w:t xml:space="preserve">Singapore–New Zealand </w:t>
      </w:r>
      <w:r w:rsidRPr="00FD1B6D">
        <w:t xml:space="preserve">Elevated Partnership </w:t>
      </w:r>
      <w:r w:rsidRPr="00437E5C">
        <w:t xml:space="preserve">under the Climate Change and Green Economy pillar. </w:t>
      </w:r>
      <w:r w:rsidRPr="00FD1B6D">
        <w:t xml:space="preserve">In April 2024, a Prime Ministerial </w:t>
      </w:r>
      <w:r w:rsidR="004928E7">
        <w:t>J</w:t>
      </w:r>
      <w:r w:rsidRPr="00437E5C">
        <w:t xml:space="preserve">oint </w:t>
      </w:r>
      <w:r w:rsidR="004928E7">
        <w:t>S</w:t>
      </w:r>
      <w:r w:rsidRPr="00437E5C">
        <w:t>tatement agree</w:t>
      </w:r>
      <w:r w:rsidRPr="00FD1B6D">
        <w:t>d</w:t>
      </w:r>
      <w:r w:rsidRPr="00437E5C">
        <w:t xml:space="preserve"> to explore how New Zealand and Singapore will cooperate to promote commercial partnerships in achievement of their respective climate change and economic transition goals.</w:t>
      </w:r>
      <w:r w:rsidRPr="00437E5C">
        <w:rPr>
          <w:vertAlign w:val="superscript"/>
        </w:rPr>
        <w:footnoteReference w:id="128"/>
      </w:r>
    </w:p>
    <w:p w14:paraId="6B8A4DB1" w14:textId="77777777" w:rsidR="00A8128F" w:rsidRPr="00F62423" w:rsidRDefault="00A8128F" w:rsidP="75ADBAC8">
      <w:pPr>
        <w:pStyle w:val="Bullet"/>
        <w:tabs>
          <w:tab w:val="left" w:pos="397"/>
        </w:tabs>
      </w:pPr>
      <w:r w:rsidRPr="00FD1B6D">
        <w:t xml:space="preserve">Announcing an intention to work bilaterally with </w:t>
      </w:r>
      <w:r w:rsidRPr="00F62423">
        <w:t>Thailand</w:t>
      </w:r>
      <w:r w:rsidRPr="00FD1B6D">
        <w:t xml:space="preserve"> on</w:t>
      </w:r>
      <w:r w:rsidRPr="00F62423">
        <w:t xml:space="preserve"> combatting climate change and building a more sustainable future for all, in line with the goals of the Paris Agreement</w:t>
      </w:r>
      <w:r w:rsidRPr="00FD1B6D">
        <w:t>, as set out in a Joint Statement in early 2024</w:t>
      </w:r>
      <w:r w:rsidRPr="00F62423">
        <w:t>.</w:t>
      </w:r>
      <w:r w:rsidRPr="00F62423">
        <w:rPr>
          <w:vertAlign w:val="superscript"/>
        </w:rPr>
        <w:footnoteReference w:id="129"/>
      </w:r>
    </w:p>
    <w:p w14:paraId="33D369B3" w14:textId="4FA5AADA" w:rsidR="00A8128F" w:rsidRPr="00FD1B6D" w:rsidRDefault="00A8128F" w:rsidP="75ADBAC8">
      <w:pPr>
        <w:pStyle w:val="Bullet"/>
      </w:pPr>
      <w:r w:rsidRPr="00FD1B6D">
        <w:t xml:space="preserve">A </w:t>
      </w:r>
      <w:r w:rsidR="00372344">
        <w:t>COP29 (</w:t>
      </w:r>
      <w:r w:rsidR="000068DE">
        <w:t>29</w:t>
      </w:r>
      <w:r w:rsidR="000068DE" w:rsidRPr="00372344">
        <w:t>th</w:t>
      </w:r>
      <w:r w:rsidR="000068DE">
        <w:t xml:space="preserve"> </w:t>
      </w:r>
      <w:r w:rsidR="00372344">
        <w:t>Conference</w:t>
      </w:r>
      <w:r w:rsidR="000068DE">
        <w:t xml:space="preserve"> of the </w:t>
      </w:r>
      <w:r w:rsidR="00372344">
        <w:t xml:space="preserve">Parties) </w:t>
      </w:r>
      <w:r w:rsidRPr="00FD1B6D">
        <w:t>Joint Declaration signed with the Philippines agreeing to establish a framework to enhance partnership on climate change cooperation and sustainable development.</w:t>
      </w:r>
      <w:r w:rsidRPr="00FD1B6D">
        <w:rPr>
          <w:rStyle w:val="FootnoteReference"/>
        </w:rPr>
        <w:footnoteReference w:id="130"/>
      </w:r>
    </w:p>
    <w:p w14:paraId="508ACF2B" w14:textId="77777777" w:rsidR="00A8128F" w:rsidRPr="00FD1B6D" w:rsidRDefault="00A8128F" w:rsidP="0087221C">
      <w:pPr>
        <w:pStyle w:val="Bullet"/>
        <w:numPr>
          <w:ilvl w:val="0"/>
          <w:numId w:val="30"/>
        </w:numPr>
      </w:pPr>
      <w:r w:rsidRPr="00FD1B6D">
        <w:t xml:space="preserve">Agreement with Viet Nam to develop a climate change cooperation arrangement, to deepen engagement on this aspect of our growing relationship. </w:t>
      </w:r>
    </w:p>
    <w:p w14:paraId="783A87F9" w14:textId="77777777" w:rsidR="00A8128F" w:rsidRPr="00FD1B6D" w:rsidRDefault="00A8128F" w:rsidP="0087221C">
      <w:pPr>
        <w:pStyle w:val="BodyText"/>
      </w:pPr>
      <w:r w:rsidRPr="00FD1B6D">
        <w:t>New Zealand also collaborates in plurilateral initiatives that offer opportunities to develop future carbon market cooperation. These include:</w:t>
      </w:r>
    </w:p>
    <w:p w14:paraId="787F561D" w14:textId="77777777" w:rsidR="00A8128F" w:rsidRPr="008B50D0" w:rsidRDefault="00A8128F" w:rsidP="75ADBAC8">
      <w:pPr>
        <w:pStyle w:val="Bullet"/>
        <w:tabs>
          <w:tab w:val="left" w:pos="397"/>
        </w:tabs>
      </w:pPr>
      <w:r w:rsidRPr="00FD1B6D">
        <w:t xml:space="preserve">The </w:t>
      </w:r>
      <w:r w:rsidRPr="008B50D0">
        <w:t>Indo-Pacific Economic Framework for Prosperity,</w:t>
      </w:r>
      <w:r w:rsidRPr="00C55DEA">
        <w:rPr>
          <w:vertAlign w:val="superscript"/>
        </w:rPr>
        <w:footnoteReference w:id="131"/>
      </w:r>
      <w:r w:rsidRPr="008B50D0">
        <w:t xml:space="preserve"> which is a cooperation framework among 14 Asia–Pacific countries that comprises four cooperation agreements, one of which is the Clean Economy Agreement. This is focused largely on clean economy technologies and includes a cooperative work programme specifically on carbon markets. </w:t>
      </w:r>
    </w:p>
    <w:p w14:paraId="48177DB6" w14:textId="6B9DCE36" w:rsidR="00A8128F" w:rsidRPr="008B50D0" w:rsidRDefault="00A8128F" w:rsidP="75ADBAC8">
      <w:pPr>
        <w:pStyle w:val="Bullet"/>
        <w:tabs>
          <w:tab w:val="left" w:pos="397"/>
        </w:tabs>
      </w:pPr>
      <w:r w:rsidRPr="008B50D0">
        <w:t xml:space="preserve">New Zealand’s investment through the </w:t>
      </w:r>
      <w:r w:rsidRPr="008B50D0">
        <w:rPr>
          <w:rFonts w:cs="Calibri"/>
        </w:rPr>
        <w:t xml:space="preserve">Global Research Alliance on Agricultural Greenhouse Gases </w:t>
      </w:r>
      <w:r w:rsidRPr="008B50D0">
        <w:t xml:space="preserve">supports global research capability and capacity programmes. This includes </w:t>
      </w:r>
      <w:r>
        <w:t>New Zealand’s</w:t>
      </w:r>
      <w:r w:rsidRPr="008B50D0">
        <w:t xml:space="preserve"> Climate Smart Agriculture Initiative </w:t>
      </w:r>
      <w:r>
        <w:t>which supports countries</w:t>
      </w:r>
      <w:r w:rsidRPr="00FD1B6D">
        <w:t xml:space="preserve"> </w:t>
      </w:r>
      <w:r w:rsidRPr="008B50D0">
        <w:t>throughout the Pacific, the</w:t>
      </w:r>
      <w:r>
        <w:t> </w:t>
      </w:r>
      <w:r w:rsidRPr="008B50D0">
        <w:t>Association of Southeast Asian Nations (ASEAN),</w:t>
      </w:r>
      <w:r w:rsidRPr="006C6177">
        <w:rPr>
          <w:vertAlign w:val="superscript"/>
        </w:rPr>
        <w:footnoteReference w:id="132"/>
      </w:r>
      <w:r w:rsidRPr="008B50D0">
        <w:t xml:space="preserve"> Africa, and Latin America and the Caribbean regions </w:t>
      </w:r>
      <w:r w:rsidRPr="008B50D0">
        <w:rPr>
          <w:rFonts w:cs="Calibri"/>
        </w:rPr>
        <w:t xml:space="preserve">(see </w:t>
      </w:r>
      <w:hyperlink w:anchor="section2473" w:history="1">
        <w:r w:rsidRPr="001B3038">
          <w:rPr>
            <w:rStyle w:val="Hyperlink"/>
            <w:rFonts w:cs="Calibri"/>
          </w:rPr>
          <w:t>section 2.4.7.3</w:t>
        </w:r>
      </w:hyperlink>
      <w:r w:rsidRPr="00FD1B6D">
        <w:rPr>
          <w:rFonts w:cs="Calibri"/>
        </w:rPr>
        <w:t>)</w:t>
      </w:r>
      <w:r>
        <w:rPr>
          <w:rFonts w:cs="Calibri"/>
        </w:rPr>
        <w:t xml:space="preserve"> </w:t>
      </w:r>
      <w:r w:rsidRPr="00524E00">
        <w:rPr>
          <w:rFonts w:cs="Calibri"/>
        </w:rPr>
        <w:t>to improve their greenhouse gas inventories for agriculture, helping provide a foundation for carbon markets</w:t>
      </w:r>
      <w:r w:rsidRPr="00FD1B6D">
        <w:rPr>
          <w:rFonts w:cs="Calibri"/>
        </w:rPr>
        <w:t>.</w:t>
      </w:r>
    </w:p>
    <w:p w14:paraId="483E8D9A" w14:textId="77777777" w:rsidR="00A8128F" w:rsidRPr="00FD1B6D" w:rsidRDefault="00A8128F" w:rsidP="0087221C">
      <w:pPr>
        <w:pStyle w:val="Bullet"/>
        <w:numPr>
          <w:ilvl w:val="0"/>
          <w:numId w:val="30"/>
        </w:numPr>
        <w:tabs>
          <w:tab w:val="left" w:pos="397"/>
        </w:tabs>
      </w:pPr>
      <w:r w:rsidRPr="00FD1B6D">
        <w:t>New Zealand has joined the Asian Development Bank Climate Action Catalyst Fund as an observer to gain insights into the operational and transactional aspects of Article 6.</w:t>
      </w:r>
      <w:r>
        <w:t xml:space="preserve"> </w:t>
      </w:r>
      <w:r w:rsidRPr="00FD1B6D">
        <w:t>In parallel, New Zealand is finalising a contribution to the A</w:t>
      </w:r>
      <w:r>
        <w:t xml:space="preserve">sian </w:t>
      </w:r>
      <w:r w:rsidRPr="00FD1B6D">
        <w:t>D</w:t>
      </w:r>
      <w:r>
        <w:t xml:space="preserve">evelopment </w:t>
      </w:r>
      <w:r w:rsidRPr="00FD1B6D">
        <w:t>B</w:t>
      </w:r>
      <w:r>
        <w:t>ank</w:t>
      </w:r>
      <w:r w:rsidRPr="00FD1B6D">
        <w:t>’s Article 6 Support Facility, to assist developing member countries to engage with international carbon markets through Article 6 readiness.</w:t>
      </w:r>
    </w:p>
    <w:p w14:paraId="391C83A0" w14:textId="77777777" w:rsidR="00A8128F" w:rsidRPr="008B50D0" w:rsidRDefault="00A8128F" w:rsidP="0087221C">
      <w:pPr>
        <w:pStyle w:val="BodyText"/>
        <w:keepLines/>
      </w:pPr>
      <w:r w:rsidRPr="008B50D0">
        <w:t xml:space="preserve">Furthermore, New Zealand is working closely with other countries that </w:t>
      </w:r>
      <w:r w:rsidRPr="00FD1B6D">
        <w:t xml:space="preserve">are actively engaging </w:t>
      </w:r>
      <w:r w:rsidRPr="008B50D0">
        <w:t>Article 6 as buyers, sharing experiences and monitoring developments in international carbon markets. Discussions are</w:t>
      </w:r>
      <w:r w:rsidRPr="00FD1B6D">
        <w:t xml:space="preserve"> also</w:t>
      </w:r>
      <w:r w:rsidRPr="008B50D0">
        <w:t xml:space="preserve"> ongoing with leading international carbon market intermediaries and project developers to determine how their services align with New Zealand’s preferences and goals.</w:t>
      </w:r>
    </w:p>
    <w:p w14:paraId="66E39B75" w14:textId="20ED305C" w:rsidR="00A8128F" w:rsidRPr="008B50D0" w:rsidRDefault="00A8128F" w:rsidP="00A8128F">
      <w:pPr>
        <w:pStyle w:val="BodyText"/>
      </w:pPr>
      <w:r>
        <w:t xml:space="preserve">New Zealand’s participation in carbon market forums, such as the Carbon Markets Assembly and New Zealand-led Asia Pacific Carbon Market Roundtable, further supports engagement in Article 6 activities. These forums provide valuable platforms for knowledge exchange, helping New Zealand stay informed, learn best practices and share policy developments in global carbon markets. By engaging with a variety of stakeholders, New Zealand can explore new opportunities for cooperation, enhance technical capabilities and ensure its approach aligns with international standards. </w:t>
      </w:r>
    </w:p>
    <w:p w14:paraId="44CFBCF5" w14:textId="77777777" w:rsidR="00A8128F" w:rsidRPr="00A43294" w:rsidRDefault="00A8128F" w:rsidP="00A8128F">
      <w:pPr>
        <w:pStyle w:val="Heading3"/>
        <w:numPr>
          <w:ilvl w:val="0"/>
          <w:numId w:val="78"/>
        </w:numPr>
        <w:tabs>
          <w:tab w:val="num" w:pos="1134"/>
        </w:tabs>
      </w:pPr>
      <w:r w:rsidRPr="008B50D0">
        <w:t xml:space="preserve">Emissions data for NDC1 </w:t>
      </w:r>
    </w:p>
    <w:p w14:paraId="7090DA98" w14:textId="77777777" w:rsidR="00A8128F" w:rsidRPr="008B50D0" w:rsidRDefault="00A8128F" w:rsidP="00A8128F">
      <w:pPr>
        <w:pStyle w:val="BodyText"/>
      </w:pPr>
      <w:r w:rsidRPr="008B50D0">
        <w:t>New Zealand’s gross emissions in 2005, the base year for NDC1, were 86.6 Mt CO</w:t>
      </w:r>
      <w:r w:rsidRPr="008B50D0">
        <w:rPr>
          <w:vertAlign w:val="subscript"/>
        </w:rPr>
        <w:t>2</w:t>
      </w:r>
      <w:r w:rsidRPr="008B50D0">
        <w:t xml:space="preserve">e. </w:t>
      </w:r>
    </w:p>
    <w:p w14:paraId="001EE006" w14:textId="04E08215" w:rsidR="00A8128F" w:rsidRDefault="00A8128F" w:rsidP="00A8128F">
      <w:pPr>
        <w:pStyle w:val="BodyText"/>
      </w:pPr>
      <w:r>
        <w:t>In 2022, net target accounting emissions were 15.6 per cent below 2005 levels. New Zealand’s net target accounting emissions in 2021 and 2022 were 75.7 Mt CO</w:t>
      </w:r>
      <w:r w:rsidRPr="5FFF5976">
        <w:rPr>
          <w:vertAlign w:val="subscript"/>
        </w:rPr>
        <w:t>2</w:t>
      </w:r>
      <w:r>
        <w:t>e and 73.1 Mt CO</w:t>
      </w:r>
      <w:r w:rsidRPr="5FFF5976">
        <w:rPr>
          <w:vertAlign w:val="subscript"/>
        </w:rPr>
        <w:t>2</w:t>
      </w:r>
      <w:r>
        <w:t>e respectively. When managed as a budget, this leaves an emissions budget of 430.1 Mt CO</w:t>
      </w:r>
      <w:r w:rsidRPr="5FFF5976">
        <w:rPr>
          <w:vertAlign w:val="subscript"/>
        </w:rPr>
        <w:t>2</w:t>
      </w:r>
      <w:r>
        <w:t xml:space="preserve">e for the remaining budget period until 2030 (see </w:t>
      </w:r>
      <w:r w:rsidRPr="5FFF5976">
        <w:rPr>
          <w:rFonts w:eastAsia="Calibri" w:cs="Calibri"/>
        </w:rPr>
        <w:t>common tabular format</w:t>
      </w:r>
      <w:r w:rsidRPr="5FFF5976">
        <w:rPr>
          <w:sz w:val="24"/>
          <w:szCs w:val="24"/>
        </w:rPr>
        <w:t xml:space="preserve"> </w:t>
      </w:r>
      <w:hyperlink w:anchor="ctftable4" w:history="1">
        <w:r w:rsidRPr="00121A3E">
          <w:rPr>
            <w:rStyle w:val="Hyperlink"/>
          </w:rPr>
          <w:t>(CTF) table 4</w:t>
        </w:r>
      </w:hyperlink>
      <w:r>
        <w:t>).</w:t>
      </w:r>
    </w:p>
    <w:p w14:paraId="3B8501C0" w14:textId="77777777" w:rsidR="00A8128F" w:rsidRPr="008B50D0" w:rsidRDefault="00A8128F" w:rsidP="00A8128F">
      <w:pPr>
        <w:pStyle w:val="BodyText"/>
        <w:sectPr w:rsidR="00A8128F" w:rsidRPr="008B50D0" w:rsidSect="00A8128F">
          <w:headerReference w:type="even" r:id="rId75"/>
          <w:headerReference w:type="default" r:id="rId76"/>
          <w:footerReference w:type="default" r:id="rId77"/>
          <w:headerReference w:type="first" r:id="rId78"/>
          <w:pgSz w:w="11907" w:h="16840" w:code="9"/>
          <w:pgMar w:top="1134" w:right="1701" w:bottom="1134" w:left="1701" w:header="567" w:footer="567" w:gutter="0"/>
          <w:cols w:space="720"/>
          <w:docGrid w:linePitch="299"/>
        </w:sectPr>
      </w:pPr>
    </w:p>
    <w:p w14:paraId="78A0E5BC" w14:textId="6031F88E" w:rsidR="00A8128F" w:rsidRPr="008B50D0" w:rsidRDefault="00A8128F" w:rsidP="00A8128F">
      <w:pPr>
        <w:pStyle w:val="Tableheading"/>
        <w:spacing w:before="0"/>
      </w:pPr>
      <w:bookmarkStart w:id="235" w:name="ctftable4"/>
      <w:bookmarkStart w:id="236" w:name="_Toc185407460"/>
      <w:bookmarkStart w:id="237" w:name="_Toc185427723"/>
      <w:r>
        <w:t>CTF table 4</w:t>
      </w:r>
      <w:bookmarkEnd w:id="235"/>
      <w:r w:rsidR="00172E4F">
        <w:t>:</w:t>
      </w:r>
      <w:r w:rsidR="00CD2081">
        <w:tab/>
      </w:r>
      <w:r>
        <w:t>Structured summary: Tracking progress made in implementing and achieving the NDC under Article 4 of the Paris Agreement</w:t>
      </w:r>
      <w:bookmarkEnd w:id="236"/>
      <w:bookmarkEnd w:id="237"/>
    </w:p>
    <w:tbl>
      <w:tblPr>
        <w:tblStyle w:val="LightList-Accent11"/>
        <w:tblW w:w="14515" w:type="dxa"/>
        <w:tblInd w:w="-10"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CellMar>
          <w:left w:w="85" w:type="dxa"/>
          <w:right w:w="85" w:type="dxa"/>
        </w:tblCellMar>
        <w:tblLook w:val="04A0" w:firstRow="1" w:lastRow="0" w:firstColumn="1" w:lastColumn="0" w:noHBand="0" w:noVBand="1"/>
      </w:tblPr>
      <w:tblGrid>
        <w:gridCol w:w="3124"/>
        <w:gridCol w:w="1417"/>
        <w:gridCol w:w="1499"/>
        <w:gridCol w:w="1293"/>
        <w:gridCol w:w="1149"/>
        <w:gridCol w:w="1149"/>
        <w:gridCol w:w="1005"/>
        <w:gridCol w:w="3879"/>
      </w:tblGrid>
      <w:tr w:rsidR="00443839" w:rsidRPr="008B50D0" w14:paraId="3881ACF3" w14:textId="77777777" w:rsidTr="000A2FA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tcBorders>
              <w:bottom w:val="single" w:sz="8" w:space="0" w:color="1C556C" w:themeColor="accent1"/>
            </w:tcBorders>
            <w:noWrap/>
            <w:vAlign w:val="bottom"/>
            <w:hideMark/>
          </w:tcPr>
          <w:p w14:paraId="4F9A545B" w14:textId="77777777" w:rsidR="00A8128F" w:rsidRPr="008B50D0" w:rsidRDefault="00A8128F">
            <w:pPr>
              <w:keepNext/>
              <w:spacing w:before="0" w:after="0" w:line="240" w:lineRule="auto"/>
              <w:jc w:val="left"/>
              <w:rPr>
                <w:rFonts w:asciiTheme="minorHAnsi" w:eastAsia="Times New Roman" w:hAnsiTheme="minorHAnsi" w:cstheme="minorHAnsi"/>
                <w:color w:val="FFFFFF"/>
                <w:sz w:val="16"/>
                <w:szCs w:val="16"/>
              </w:rPr>
            </w:pPr>
          </w:p>
        </w:tc>
        <w:tc>
          <w:tcPr>
            <w:tcW w:w="0" w:type="dxa"/>
            <w:vMerge w:val="restart"/>
            <w:tcBorders>
              <w:bottom w:val="single" w:sz="8" w:space="0" w:color="1C556C" w:themeColor="accent1"/>
            </w:tcBorders>
            <w:vAlign w:val="bottom"/>
            <w:hideMark/>
          </w:tcPr>
          <w:p w14:paraId="6EA31906" w14:textId="77777777" w:rsidR="00A8128F" w:rsidRPr="008B50D0" w:rsidRDefault="00A8128F">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FFFFFF"/>
                <w:sz w:val="16"/>
                <w:szCs w:val="16"/>
              </w:rPr>
            </w:pPr>
            <w:r w:rsidRPr="008B50D0">
              <w:rPr>
                <w:rFonts w:asciiTheme="minorHAnsi" w:eastAsia="Times New Roman" w:hAnsiTheme="minorHAnsi"/>
                <w:sz w:val="16"/>
                <w:szCs w:val="16"/>
              </w:rPr>
              <w:t>Unit, as applicable</w:t>
            </w:r>
          </w:p>
        </w:tc>
        <w:tc>
          <w:tcPr>
            <w:tcW w:w="0" w:type="dxa"/>
            <w:tcBorders>
              <w:bottom w:val="single" w:sz="8" w:space="0" w:color="1C556C" w:themeColor="accent1"/>
            </w:tcBorders>
            <w:noWrap/>
            <w:vAlign w:val="bottom"/>
            <w:hideMark/>
          </w:tcPr>
          <w:p w14:paraId="0203DF96" w14:textId="77777777" w:rsidR="00A8128F" w:rsidRPr="008B50D0" w:rsidRDefault="00A8128F" w:rsidP="00566016">
            <w:pPr>
              <w:keepNext/>
              <w:spacing w:before="0" w:after="40" w:line="240" w:lineRule="auto"/>
              <w:ind w:left="57"/>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6"/>
                <w:szCs w:val="16"/>
              </w:rPr>
            </w:pPr>
            <w:r w:rsidRPr="5FFF5976">
              <w:rPr>
                <w:rFonts w:asciiTheme="minorHAnsi" w:eastAsia="Times New Roman" w:hAnsiTheme="minorHAnsi"/>
                <w:sz w:val="16"/>
                <w:szCs w:val="16"/>
              </w:rPr>
              <w:t>Reference point(s), level(s), baseline(s), base year(s) or starting point(s), as appropriate (paras 67 and 77(a)(i) of the MPGs)</w:t>
            </w:r>
          </w:p>
        </w:tc>
        <w:tc>
          <w:tcPr>
            <w:tcW w:w="0" w:type="dxa"/>
            <w:gridSpan w:val="2"/>
            <w:tcBorders>
              <w:bottom w:val="single" w:sz="8" w:space="0" w:color="1C556C" w:themeColor="accent1"/>
            </w:tcBorders>
            <w:vAlign w:val="bottom"/>
          </w:tcPr>
          <w:p w14:paraId="69A54040" w14:textId="77777777" w:rsidR="00A8128F" w:rsidRPr="008B50D0" w:rsidRDefault="00A8128F" w:rsidP="00566016">
            <w:pPr>
              <w:keepNext/>
              <w:spacing w:before="0" w:after="40" w:line="240" w:lineRule="auto"/>
              <w:ind w:left="170"/>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FFFFFF"/>
                <w:sz w:val="16"/>
                <w:szCs w:val="16"/>
              </w:rPr>
            </w:pPr>
            <w:r w:rsidRPr="008B50D0">
              <w:rPr>
                <w:rFonts w:asciiTheme="minorHAnsi" w:eastAsia="Times New Roman" w:hAnsiTheme="minorHAnsi" w:cstheme="minorHAnsi"/>
                <w:color w:val="FFFFFF"/>
                <w:sz w:val="16"/>
                <w:szCs w:val="16"/>
              </w:rPr>
              <w:t>Implementation period of the NDC covering information for previous reporting years, as applicable, and the most recent year, including the end year or end of period (paras 68 and 77(a)(ii–iii) of the MPGs)</w:t>
            </w:r>
          </w:p>
        </w:tc>
        <w:tc>
          <w:tcPr>
            <w:tcW w:w="0" w:type="dxa"/>
            <w:vMerge w:val="restart"/>
            <w:tcBorders>
              <w:bottom w:val="single" w:sz="8" w:space="0" w:color="1C556C" w:themeColor="accent1"/>
            </w:tcBorders>
            <w:vAlign w:val="bottom"/>
          </w:tcPr>
          <w:p w14:paraId="039ED164" w14:textId="77777777" w:rsidR="00A8128F" w:rsidRPr="008B50D0" w:rsidRDefault="00A8128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 w:val="16"/>
                <w:szCs w:val="16"/>
              </w:rPr>
            </w:pPr>
            <w:r w:rsidRPr="008B50D0">
              <w:rPr>
                <w:rFonts w:asciiTheme="minorHAnsi" w:eastAsia="Times New Roman" w:hAnsiTheme="minorHAnsi" w:cstheme="minorHAnsi"/>
                <w:sz w:val="16"/>
                <w:szCs w:val="16"/>
              </w:rPr>
              <w:t>Target level</w:t>
            </w:r>
          </w:p>
        </w:tc>
        <w:tc>
          <w:tcPr>
            <w:tcW w:w="0" w:type="dxa"/>
            <w:vMerge w:val="restart"/>
            <w:tcBorders>
              <w:bottom w:val="single" w:sz="8" w:space="0" w:color="1C556C" w:themeColor="accent1"/>
            </w:tcBorders>
            <w:vAlign w:val="bottom"/>
          </w:tcPr>
          <w:p w14:paraId="7ED3904A" w14:textId="77777777" w:rsidR="00A8128F" w:rsidRPr="008B50D0" w:rsidRDefault="00A8128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FFFFFF"/>
                <w:sz w:val="16"/>
                <w:szCs w:val="16"/>
              </w:rPr>
            </w:pPr>
            <w:r w:rsidRPr="5FFF5976">
              <w:rPr>
                <w:rFonts w:asciiTheme="minorHAnsi" w:eastAsia="Times New Roman" w:hAnsiTheme="minorHAnsi"/>
                <w:sz w:val="16"/>
                <w:szCs w:val="16"/>
              </w:rPr>
              <w:t>Target year or period</w:t>
            </w:r>
          </w:p>
        </w:tc>
        <w:tc>
          <w:tcPr>
            <w:tcW w:w="0" w:type="dxa"/>
            <w:vMerge w:val="restart"/>
            <w:tcBorders>
              <w:bottom w:val="single" w:sz="8" w:space="0" w:color="1C556C" w:themeColor="accent1"/>
            </w:tcBorders>
            <w:vAlign w:val="bottom"/>
          </w:tcPr>
          <w:p w14:paraId="1553521C" w14:textId="77777777" w:rsidR="00A8128F" w:rsidRPr="008B50D0" w:rsidRDefault="00A8128F">
            <w:pPr>
              <w:keepNext/>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 w:val="16"/>
                <w:szCs w:val="16"/>
              </w:rPr>
            </w:pPr>
            <w:r w:rsidRPr="008B50D0">
              <w:rPr>
                <w:rFonts w:asciiTheme="minorHAnsi" w:eastAsia="Times New Roman" w:hAnsiTheme="minorHAnsi" w:cstheme="minorHAnsi"/>
                <w:color w:val="FFFFFF"/>
                <w:sz w:val="16"/>
                <w:szCs w:val="16"/>
              </w:rPr>
              <w:t>Progress made towards the NDC, as determined by comparing the most recent information for each selected indicator, including for the end year or end of period, with the reference point(s), level(s), baseline(s), base year(s) or starting point(s)</w:t>
            </w:r>
            <w:r w:rsidRPr="008B50D0">
              <w:rPr>
                <w:rFonts w:asciiTheme="minorHAnsi" w:eastAsia="Times New Roman" w:hAnsiTheme="minorHAnsi" w:cstheme="minorHAnsi"/>
                <w:color w:val="FFFFFF"/>
                <w:sz w:val="16"/>
                <w:szCs w:val="16"/>
              </w:rPr>
              <w:cr/>
              <w:t xml:space="preserve"> </w:t>
            </w:r>
            <w:r w:rsidRPr="008B50D0">
              <w:rPr>
                <w:sz w:val="16"/>
                <w:szCs w:val="16"/>
              </w:rPr>
              <w:t>(paras 69–70 of the MPGs)</w:t>
            </w:r>
          </w:p>
        </w:tc>
      </w:tr>
      <w:tr w:rsidR="00194E96" w:rsidRPr="008B50D0" w14:paraId="7974E79D" w14:textId="77777777" w:rsidTr="000A2FA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0" w:type="dxa"/>
            <w:tcBorders>
              <w:left w:val="nil"/>
            </w:tcBorders>
            <w:shd w:val="clear" w:color="auto" w:fill="1B556B" w:themeFill="text2"/>
            <w:noWrap/>
            <w:hideMark/>
          </w:tcPr>
          <w:p w14:paraId="61D4C9A1" w14:textId="77777777" w:rsidR="00A8128F" w:rsidRPr="008B50D0" w:rsidRDefault="00A8128F">
            <w:pPr>
              <w:spacing w:before="0" w:after="0" w:line="240" w:lineRule="auto"/>
              <w:jc w:val="left"/>
              <w:rPr>
                <w:rFonts w:asciiTheme="minorHAnsi" w:eastAsia="Times New Roman" w:hAnsiTheme="minorHAnsi" w:cstheme="minorHAnsi"/>
                <w:color w:val="FFFFFF" w:themeColor="background1"/>
                <w:sz w:val="16"/>
                <w:szCs w:val="16"/>
              </w:rPr>
            </w:pPr>
          </w:p>
        </w:tc>
        <w:tc>
          <w:tcPr>
            <w:tcW w:w="0" w:type="dxa"/>
            <w:vMerge/>
            <w:hideMark/>
          </w:tcPr>
          <w:p w14:paraId="3B482026" w14:textId="77777777" w:rsidR="00A8128F" w:rsidRPr="008B50D0" w:rsidRDefault="00A8128F">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 w:val="16"/>
                <w:szCs w:val="16"/>
              </w:rPr>
            </w:pPr>
          </w:p>
        </w:tc>
        <w:tc>
          <w:tcPr>
            <w:tcW w:w="0" w:type="dxa"/>
            <w:shd w:val="clear" w:color="auto" w:fill="1B556B" w:themeFill="text2"/>
            <w:hideMark/>
          </w:tcPr>
          <w:p w14:paraId="5906128B" w14:textId="77777777" w:rsidR="00A8128F" w:rsidRPr="008B50D0" w:rsidRDefault="00A8128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FFFFFF" w:themeColor="background1"/>
                <w:sz w:val="16"/>
                <w:szCs w:val="16"/>
              </w:rPr>
            </w:pPr>
            <w:r w:rsidRPr="5FFF5976">
              <w:rPr>
                <w:rFonts w:asciiTheme="minorHAnsi" w:eastAsia="Times New Roman" w:hAnsiTheme="minorHAnsi"/>
                <w:b/>
                <w:bCs/>
                <w:color w:val="FFFFFF" w:themeColor="background1"/>
                <w:sz w:val="16"/>
                <w:szCs w:val="16"/>
              </w:rPr>
              <w:t>2005</w:t>
            </w:r>
          </w:p>
        </w:tc>
        <w:tc>
          <w:tcPr>
            <w:tcW w:w="0" w:type="dxa"/>
            <w:shd w:val="clear" w:color="auto" w:fill="1B556B" w:themeFill="text2"/>
            <w:hideMark/>
          </w:tcPr>
          <w:p w14:paraId="590235F0" w14:textId="77777777" w:rsidR="00A8128F" w:rsidRPr="008B50D0" w:rsidRDefault="00A8128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 w:val="16"/>
                <w:szCs w:val="16"/>
              </w:rPr>
            </w:pPr>
            <w:r w:rsidRPr="008B50D0">
              <w:rPr>
                <w:rFonts w:asciiTheme="minorHAnsi" w:eastAsia="Times New Roman" w:hAnsiTheme="minorHAnsi" w:cstheme="minorHAnsi"/>
                <w:b/>
                <w:color w:val="FFFFFF" w:themeColor="background1"/>
                <w:sz w:val="16"/>
                <w:szCs w:val="16"/>
              </w:rPr>
              <w:t>2021</w:t>
            </w:r>
          </w:p>
        </w:tc>
        <w:tc>
          <w:tcPr>
            <w:tcW w:w="0" w:type="dxa"/>
            <w:shd w:val="clear" w:color="auto" w:fill="1B556B" w:themeFill="text2"/>
          </w:tcPr>
          <w:p w14:paraId="44DC110D" w14:textId="77777777" w:rsidR="00A8128F" w:rsidRPr="008B50D0" w:rsidRDefault="00A8128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 w:val="16"/>
                <w:szCs w:val="16"/>
              </w:rPr>
            </w:pPr>
            <w:r w:rsidRPr="008B50D0">
              <w:rPr>
                <w:rFonts w:asciiTheme="minorHAnsi" w:eastAsia="Times New Roman" w:hAnsiTheme="minorHAnsi" w:cstheme="minorHAnsi"/>
                <w:b/>
                <w:color w:val="FFFFFF" w:themeColor="background1"/>
                <w:sz w:val="16"/>
                <w:szCs w:val="16"/>
              </w:rPr>
              <w:t>2022</w:t>
            </w:r>
          </w:p>
        </w:tc>
        <w:tc>
          <w:tcPr>
            <w:tcW w:w="0" w:type="dxa"/>
            <w:vMerge/>
            <w:shd w:val="clear" w:color="auto" w:fill="1B556B" w:themeFill="text2"/>
            <w:hideMark/>
          </w:tcPr>
          <w:p w14:paraId="498709E5" w14:textId="77777777" w:rsidR="00A8128F" w:rsidRPr="008B50D0" w:rsidRDefault="00A8128F">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 w:val="16"/>
                <w:szCs w:val="16"/>
              </w:rPr>
            </w:pPr>
          </w:p>
        </w:tc>
        <w:tc>
          <w:tcPr>
            <w:tcW w:w="0" w:type="dxa"/>
            <w:vMerge/>
            <w:shd w:val="clear" w:color="auto" w:fill="1B556B" w:themeFill="text2"/>
            <w:hideMark/>
          </w:tcPr>
          <w:p w14:paraId="5C937ECA" w14:textId="77777777" w:rsidR="00A8128F" w:rsidRPr="008B50D0" w:rsidRDefault="00A8128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 w:val="16"/>
                <w:szCs w:val="16"/>
              </w:rPr>
            </w:pPr>
          </w:p>
        </w:tc>
        <w:tc>
          <w:tcPr>
            <w:tcW w:w="0" w:type="dxa"/>
            <w:vMerge/>
            <w:tcBorders>
              <w:right w:val="nil"/>
            </w:tcBorders>
            <w:shd w:val="clear" w:color="auto" w:fill="1B556B" w:themeFill="text2"/>
          </w:tcPr>
          <w:p w14:paraId="2173FB1A" w14:textId="77777777" w:rsidR="00A8128F" w:rsidRPr="008B50D0" w:rsidRDefault="00A8128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 w:val="16"/>
                <w:szCs w:val="16"/>
              </w:rPr>
            </w:pPr>
          </w:p>
        </w:tc>
      </w:tr>
      <w:tr w:rsidR="005935A6" w:rsidRPr="008B50D0" w14:paraId="723A9D01" w14:textId="77777777" w:rsidTr="000A2FA4">
        <w:trPr>
          <w:trHeight w:val="300"/>
        </w:trPr>
        <w:tc>
          <w:tcPr>
            <w:cnfStyle w:val="001000000000" w:firstRow="0" w:lastRow="0" w:firstColumn="1" w:lastColumn="0" w:oddVBand="0" w:evenVBand="0" w:oddHBand="0" w:evenHBand="0" w:firstRowFirstColumn="0" w:firstRowLastColumn="0" w:lastRowFirstColumn="0" w:lastRowLastColumn="0"/>
            <w:tcW w:w="0" w:type="dxa"/>
            <w:tcBorders>
              <w:bottom w:val="single" w:sz="8" w:space="0" w:color="1C556C" w:themeColor="accent1"/>
            </w:tcBorders>
            <w:shd w:val="clear" w:color="auto" w:fill="D2DDE1" w:themeFill="background2"/>
            <w:noWrap/>
          </w:tcPr>
          <w:p w14:paraId="14E663B4" w14:textId="77777777" w:rsidR="00A8128F" w:rsidRPr="008B50D0" w:rsidRDefault="00A8128F">
            <w:pPr>
              <w:pStyle w:val="TableText"/>
              <w:rPr>
                <w:rFonts w:cstheme="minorHAnsi"/>
                <w:color w:val="FFFFFF"/>
              </w:rPr>
            </w:pPr>
            <w:r w:rsidRPr="008B50D0">
              <w:t xml:space="preserve">Indicator(s) selected to track progress of the NDC or portion of NDC under Article 4 of the Paris Agreement (paras 65 and 77(a) </w:t>
            </w:r>
            <w:r w:rsidRPr="008B50D0">
              <w:rPr>
                <w:rFonts w:cstheme="minorHAnsi"/>
              </w:rPr>
              <w:t>of the MPGs):</w:t>
            </w:r>
          </w:p>
        </w:tc>
        <w:tc>
          <w:tcPr>
            <w:tcW w:w="0" w:type="dxa"/>
            <w:tcBorders>
              <w:bottom w:val="single" w:sz="8" w:space="0" w:color="1C556C" w:themeColor="accent1"/>
            </w:tcBorders>
            <w:shd w:val="clear" w:color="auto" w:fill="D2DDE1" w:themeFill="background2"/>
          </w:tcPr>
          <w:p w14:paraId="658BB8FF" w14:textId="77777777" w:rsidR="00A8128F" w:rsidRPr="008B50D0" w:rsidRDefault="00A8128F">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rPr>
            </w:pPr>
          </w:p>
        </w:tc>
        <w:tc>
          <w:tcPr>
            <w:tcW w:w="0" w:type="dxa"/>
            <w:tcBorders>
              <w:bottom w:val="single" w:sz="8" w:space="0" w:color="1C556C" w:themeColor="accent1"/>
            </w:tcBorders>
            <w:shd w:val="clear" w:color="auto" w:fill="D2DDE1" w:themeFill="background2"/>
          </w:tcPr>
          <w:p w14:paraId="3C44E8DA" w14:textId="77777777" w:rsidR="00A8128F" w:rsidRPr="008B50D0" w:rsidRDefault="00A8128F">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rPr>
            </w:pPr>
          </w:p>
        </w:tc>
        <w:tc>
          <w:tcPr>
            <w:tcW w:w="0" w:type="dxa"/>
            <w:tcBorders>
              <w:bottom w:val="single" w:sz="8" w:space="0" w:color="1C556C" w:themeColor="accent1"/>
            </w:tcBorders>
            <w:shd w:val="clear" w:color="auto" w:fill="D2DDE1" w:themeFill="background2"/>
          </w:tcPr>
          <w:p w14:paraId="3AA5C159" w14:textId="77777777" w:rsidR="00A8128F" w:rsidRPr="008B50D0" w:rsidRDefault="00A8128F">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rPr>
            </w:pPr>
          </w:p>
        </w:tc>
        <w:tc>
          <w:tcPr>
            <w:tcW w:w="0" w:type="dxa"/>
            <w:tcBorders>
              <w:bottom w:val="single" w:sz="8" w:space="0" w:color="1C556C" w:themeColor="accent1"/>
            </w:tcBorders>
            <w:shd w:val="clear" w:color="auto" w:fill="D2DDE1" w:themeFill="background2"/>
          </w:tcPr>
          <w:p w14:paraId="03F7381F" w14:textId="77777777" w:rsidR="00A8128F" w:rsidRPr="008B50D0" w:rsidRDefault="00A8128F">
            <w:pPr>
              <w:pStyle w:val="TableText"/>
              <w:cnfStyle w:val="000000000000" w:firstRow="0" w:lastRow="0" w:firstColumn="0" w:lastColumn="0" w:oddVBand="0" w:evenVBand="0" w:oddHBand="0" w:evenHBand="0" w:firstRowFirstColumn="0" w:firstRowLastColumn="0" w:lastRowFirstColumn="0" w:lastRowLastColumn="0"/>
              <w:rPr>
                <w:rFonts w:cstheme="minorHAnsi"/>
                <w:color w:val="222222"/>
              </w:rPr>
            </w:pPr>
          </w:p>
        </w:tc>
        <w:tc>
          <w:tcPr>
            <w:tcW w:w="0" w:type="dxa"/>
            <w:tcBorders>
              <w:bottom w:val="single" w:sz="8" w:space="0" w:color="1C556C" w:themeColor="accent1"/>
            </w:tcBorders>
            <w:shd w:val="clear" w:color="auto" w:fill="D2DDE1" w:themeFill="background2"/>
          </w:tcPr>
          <w:p w14:paraId="3E30A6FF" w14:textId="77777777" w:rsidR="00A8128F" w:rsidRPr="008B50D0" w:rsidRDefault="00A8128F">
            <w:pPr>
              <w:pStyle w:val="TableText"/>
              <w:cnfStyle w:val="000000000000" w:firstRow="0" w:lastRow="0" w:firstColumn="0" w:lastColumn="0" w:oddVBand="0" w:evenVBand="0" w:oddHBand="0" w:evenHBand="0" w:firstRowFirstColumn="0" w:firstRowLastColumn="0" w:lastRowFirstColumn="0" w:lastRowLastColumn="0"/>
              <w:rPr>
                <w:rFonts w:cstheme="minorHAnsi"/>
                <w:color w:val="222222"/>
              </w:rPr>
            </w:pPr>
          </w:p>
        </w:tc>
        <w:tc>
          <w:tcPr>
            <w:tcW w:w="0" w:type="dxa"/>
            <w:tcBorders>
              <w:bottom w:val="single" w:sz="8" w:space="0" w:color="1C556C" w:themeColor="accent1"/>
            </w:tcBorders>
            <w:shd w:val="clear" w:color="auto" w:fill="D2DDE1" w:themeFill="background2"/>
          </w:tcPr>
          <w:p w14:paraId="6B836524" w14:textId="77777777" w:rsidR="00A8128F" w:rsidRPr="008B50D0" w:rsidRDefault="00A8128F">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rPr>
            </w:pPr>
          </w:p>
        </w:tc>
        <w:tc>
          <w:tcPr>
            <w:tcW w:w="0" w:type="dxa"/>
            <w:tcBorders>
              <w:bottom w:val="single" w:sz="8" w:space="0" w:color="1C556C" w:themeColor="accent1"/>
            </w:tcBorders>
            <w:shd w:val="clear" w:color="auto" w:fill="D2DDE1" w:themeFill="background2"/>
          </w:tcPr>
          <w:p w14:paraId="2ACC147C" w14:textId="77777777" w:rsidR="00A8128F" w:rsidRPr="008B50D0" w:rsidRDefault="00A8128F">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rPr>
            </w:pPr>
          </w:p>
        </w:tc>
      </w:tr>
      <w:tr w:rsidR="00443839" w:rsidRPr="008B50D0" w14:paraId="5A9DE90D" w14:textId="77777777" w:rsidTr="000A2FA4">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0" w:type="dxa"/>
            <w:tcBorders>
              <w:left w:val="nil"/>
            </w:tcBorders>
            <w:hideMark/>
          </w:tcPr>
          <w:p w14:paraId="4DA625E6" w14:textId="77777777" w:rsidR="00A8128F" w:rsidRPr="00762DFF" w:rsidRDefault="00A8128F">
            <w:pPr>
              <w:pStyle w:val="TableText"/>
              <w:rPr>
                <w:color w:val="000000"/>
              </w:rPr>
            </w:pPr>
            <w:r w:rsidRPr="00762DFF">
              <w:t xml:space="preserve">Annual net target accounting emissions </w:t>
            </w:r>
          </w:p>
        </w:tc>
        <w:tc>
          <w:tcPr>
            <w:tcW w:w="0" w:type="dxa"/>
            <w:hideMark/>
          </w:tcPr>
          <w:p w14:paraId="7A08D02D" w14:textId="77777777" w:rsidR="00A8128F" w:rsidRPr="008B50D0" w:rsidRDefault="00A8128F" w:rsidP="00DA1CD0">
            <w:pPr>
              <w:pStyle w:val="TableText"/>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5FFF5976">
              <w:rPr>
                <w:color w:val="000000" w:themeColor="text1"/>
              </w:rPr>
              <w:t>kt CO</w:t>
            </w:r>
            <w:r w:rsidRPr="5FFF5976">
              <w:rPr>
                <w:color w:val="000000" w:themeColor="text1"/>
                <w:vertAlign w:val="subscript"/>
              </w:rPr>
              <w:t>2</w:t>
            </w:r>
            <w:r>
              <w:rPr>
                <w:color w:val="000000" w:themeColor="text1"/>
                <w:vertAlign w:val="subscript"/>
              </w:rPr>
              <w:t xml:space="preserve"> </w:t>
            </w:r>
            <w:r w:rsidRPr="5FFF5976">
              <w:rPr>
                <w:color w:val="000000" w:themeColor="text1"/>
              </w:rPr>
              <w:t xml:space="preserve">equivalent </w:t>
            </w:r>
          </w:p>
        </w:tc>
        <w:tc>
          <w:tcPr>
            <w:tcW w:w="0" w:type="dxa"/>
            <w:hideMark/>
          </w:tcPr>
          <w:p w14:paraId="3F275691" w14:textId="77777777" w:rsidR="00A8128F" w:rsidRPr="008B4C29" w:rsidRDefault="00A8128F" w:rsidP="00DA1CD0">
            <w:pPr>
              <w:pStyle w:val="TableText"/>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5FFF5976">
              <w:t>86,615.38</w:t>
            </w:r>
          </w:p>
        </w:tc>
        <w:tc>
          <w:tcPr>
            <w:tcW w:w="0" w:type="dxa"/>
            <w:hideMark/>
          </w:tcPr>
          <w:p w14:paraId="6330DB34" w14:textId="77777777" w:rsidR="00A8128F" w:rsidRPr="008B4C29" w:rsidRDefault="00A8128F" w:rsidP="00DA1CD0">
            <w:pPr>
              <w:pStyle w:val="TableText"/>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5FFF5976">
              <w:rPr>
                <w:rFonts w:cs="Calibri"/>
                <w:color w:val="000000" w:themeColor="text1"/>
              </w:rPr>
              <w:t>75,741.67</w:t>
            </w:r>
          </w:p>
        </w:tc>
        <w:tc>
          <w:tcPr>
            <w:tcW w:w="0" w:type="dxa"/>
            <w:shd w:val="clear" w:color="auto" w:fill="FFFFFF" w:themeFill="background1"/>
          </w:tcPr>
          <w:p w14:paraId="6456549F" w14:textId="77777777" w:rsidR="00A8128F" w:rsidRPr="008B4C29" w:rsidRDefault="00A8128F" w:rsidP="00DA1CD0">
            <w:pPr>
              <w:pStyle w:val="TableText"/>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5FFF5976">
              <w:rPr>
                <w:rFonts w:cs="Calibri"/>
                <w:color w:val="000000" w:themeColor="text1"/>
              </w:rPr>
              <w:t>73,115.79</w:t>
            </w:r>
          </w:p>
        </w:tc>
        <w:tc>
          <w:tcPr>
            <w:tcW w:w="0" w:type="dxa"/>
            <w:shd w:val="clear" w:color="auto" w:fill="FFFFFF" w:themeFill="background1"/>
            <w:hideMark/>
          </w:tcPr>
          <w:p w14:paraId="5EF945D4" w14:textId="77777777" w:rsidR="00A8128F" w:rsidRPr="008B4C29" w:rsidRDefault="00A8128F" w:rsidP="00DA1CD0">
            <w:pPr>
              <w:pStyle w:val="TableText"/>
              <w:jc w:val="right"/>
              <w:cnfStyle w:val="000000100000" w:firstRow="0" w:lastRow="0" w:firstColumn="0" w:lastColumn="0" w:oddVBand="0" w:evenVBand="0" w:oddHBand="1" w:evenHBand="0" w:firstRowFirstColumn="0" w:firstRowLastColumn="0" w:lastRowFirstColumn="0" w:lastRowLastColumn="0"/>
            </w:pPr>
            <w:r w:rsidRPr="5FFF5976">
              <w:t>43307.69</w:t>
            </w:r>
          </w:p>
        </w:tc>
        <w:tc>
          <w:tcPr>
            <w:tcW w:w="0" w:type="dxa"/>
            <w:shd w:val="clear" w:color="auto" w:fill="FFFFFF" w:themeFill="background1"/>
            <w:hideMark/>
          </w:tcPr>
          <w:p w14:paraId="1BF8CFB4" w14:textId="77777777" w:rsidR="00A8128F" w:rsidRPr="008B50D0" w:rsidRDefault="00A8128F" w:rsidP="00DA1CD0">
            <w:pPr>
              <w:pStyle w:val="TableText"/>
              <w:jc w:val="right"/>
              <w:cnfStyle w:val="000000100000" w:firstRow="0" w:lastRow="0" w:firstColumn="0" w:lastColumn="0" w:oddVBand="0" w:evenVBand="0" w:oddHBand="1" w:evenHBand="0" w:firstRowFirstColumn="0" w:firstRowLastColumn="0" w:lastRowFirstColumn="0" w:lastRowLastColumn="0"/>
              <w:rPr>
                <w:rFonts w:cstheme="minorHAnsi"/>
              </w:rPr>
            </w:pPr>
            <w:r w:rsidRPr="008B50D0">
              <w:rPr>
                <w:rFonts w:cstheme="minorHAnsi"/>
              </w:rPr>
              <w:t>2030</w:t>
            </w:r>
          </w:p>
        </w:tc>
        <w:tc>
          <w:tcPr>
            <w:tcW w:w="0" w:type="dxa"/>
            <w:tcBorders>
              <w:right w:val="nil"/>
            </w:tcBorders>
            <w:shd w:val="clear" w:color="auto" w:fill="FFFFFF" w:themeFill="background1"/>
          </w:tcPr>
          <w:p w14:paraId="3344DF45" w14:textId="77777777" w:rsidR="00A8128F" w:rsidRPr="008B50D0" w:rsidRDefault="00A8128F">
            <w:pPr>
              <w:pStyle w:val="TableText"/>
              <w:cnfStyle w:val="000000100000" w:firstRow="0" w:lastRow="0" w:firstColumn="0" w:lastColumn="0" w:oddVBand="0" w:evenVBand="0" w:oddHBand="1" w:evenHBand="0" w:firstRowFirstColumn="0" w:firstRowLastColumn="0" w:lastRowFirstColumn="0" w:lastRowLastColumn="0"/>
              <w:rPr>
                <w:rFonts w:cs="Calibri"/>
                <w:color w:val="000000"/>
              </w:rPr>
            </w:pPr>
            <w:r w:rsidRPr="008B50D0">
              <w:rPr>
                <w:rFonts w:cs="Calibri"/>
                <w:color w:val="000000"/>
              </w:rPr>
              <w:t xml:space="preserve">In 2022, net target accounting emissions were 15.6 per cent below total gross emissions in the base year (2005). </w:t>
            </w:r>
          </w:p>
          <w:p w14:paraId="74361A5A" w14:textId="77777777" w:rsidR="00A8128F" w:rsidRPr="008B50D0" w:rsidRDefault="00A8128F">
            <w:pPr>
              <w:pStyle w:val="TableText"/>
              <w:spacing w:before="0"/>
              <w:cnfStyle w:val="000000100000" w:firstRow="0" w:lastRow="0" w:firstColumn="0" w:lastColumn="0" w:oddVBand="0" w:evenVBand="0" w:oddHBand="1" w:evenHBand="0" w:firstRowFirstColumn="0" w:firstRowLastColumn="0" w:lastRowFirstColumn="0" w:lastRowLastColumn="0"/>
              <w:rPr>
                <w:rFonts w:cs="Calibri"/>
                <w:color w:val="000000"/>
              </w:rPr>
            </w:pPr>
            <w:r w:rsidRPr="008B50D0">
              <w:rPr>
                <w:rFonts w:cs="Calibri"/>
                <w:color w:val="000000" w:themeColor="text1"/>
              </w:rPr>
              <w:t>New Zealand’s net target accounting emissions in 2021 and 2022 were 75,742 kt CO</w:t>
            </w:r>
            <w:r w:rsidRPr="008B50D0">
              <w:rPr>
                <w:rFonts w:cs="Calibri"/>
                <w:color w:val="000000" w:themeColor="text1"/>
                <w:vertAlign w:val="subscript"/>
              </w:rPr>
              <w:t>2</w:t>
            </w:r>
            <w:r w:rsidRPr="008B50D0">
              <w:rPr>
                <w:rFonts w:cs="Calibri"/>
                <w:color w:val="000000" w:themeColor="text1"/>
              </w:rPr>
              <w:t>e and 73,116</w:t>
            </w:r>
            <w:r>
              <w:rPr>
                <w:rFonts w:cs="Calibri"/>
                <w:color w:val="000000" w:themeColor="text1"/>
              </w:rPr>
              <w:t> </w:t>
            </w:r>
            <w:r w:rsidRPr="008B50D0">
              <w:rPr>
                <w:rFonts w:cs="Calibri"/>
                <w:color w:val="000000" w:themeColor="text1"/>
              </w:rPr>
              <w:t>kt CO</w:t>
            </w:r>
            <w:r w:rsidRPr="008B50D0">
              <w:rPr>
                <w:rFonts w:cs="Calibri"/>
                <w:color w:val="000000" w:themeColor="text1"/>
                <w:vertAlign w:val="subscript"/>
              </w:rPr>
              <w:t>2</w:t>
            </w:r>
            <w:r w:rsidRPr="008B50D0">
              <w:rPr>
                <w:rFonts w:cs="Calibri"/>
                <w:color w:val="000000" w:themeColor="text1"/>
              </w:rPr>
              <w:t>e. This leaves an emissions budget of 430,143</w:t>
            </w:r>
            <w:r>
              <w:rPr>
                <w:rFonts w:cs="Calibri"/>
                <w:color w:val="000000" w:themeColor="text1"/>
              </w:rPr>
              <w:t> </w:t>
            </w:r>
            <w:r w:rsidRPr="008B50D0">
              <w:rPr>
                <w:rFonts w:cs="Calibri"/>
                <w:color w:val="000000" w:themeColor="text1"/>
              </w:rPr>
              <w:t>kt CO</w:t>
            </w:r>
            <w:r w:rsidRPr="008B50D0">
              <w:rPr>
                <w:rFonts w:cs="Calibri"/>
                <w:color w:val="000000" w:themeColor="text1"/>
                <w:vertAlign w:val="subscript"/>
              </w:rPr>
              <w:t>2</w:t>
            </w:r>
            <w:r w:rsidRPr="008B50D0">
              <w:rPr>
                <w:rFonts w:cs="Calibri"/>
                <w:color w:val="000000" w:themeColor="text1"/>
              </w:rPr>
              <w:t xml:space="preserve">e for the remaining budget period until 2030. </w:t>
            </w:r>
          </w:p>
        </w:tc>
      </w:tr>
      <w:tr w:rsidR="00443839" w:rsidRPr="008B50D0" w14:paraId="04DB23DA" w14:textId="77777777" w:rsidTr="000A2FA4">
        <w:trPr>
          <w:trHeight w:val="300"/>
        </w:trPr>
        <w:tc>
          <w:tcPr>
            <w:cnfStyle w:val="001000000000" w:firstRow="0" w:lastRow="0" w:firstColumn="1" w:lastColumn="0" w:oddVBand="0" w:evenVBand="0" w:oddHBand="0" w:evenHBand="0" w:firstRowFirstColumn="0" w:firstRowLastColumn="0" w:lastRowFirstColumn="0" w:lastRowLastColumn="0"/>
            <w:tcW w:w="0" w:type="dxa"/>
            <w:tcBorders>
              <w:bottom w:val="single" w:sz="8" w:space="0" w:color="1C556C" w:themeColor="accent1"/>
            </w:tcBorders>
            <w:hideMark/>
          </w:tcPr>
          <w:p w14:paraId="77028963" w14:textId="77777777" w:rsidR="00A8128F" w:rsidRPr="008B50D0" w:rsidRDefault="00A8128F">
            <w:pPr>
              <w:pStyle w:val="TableText"/>
              <w:rPr>
                <w:color w:val="000000"/>
              </w:rPr>
            </w:pPr>
            <w:r w:rsidRPr="5FFF5976">
              <w:t>Where applicable, total GHG emissions and removals consistent with the coverage of the NDC (para 77(b) of the MPGs)</w:t>
            </w:r>
          </w:p>
        </w:tc>
        <w:tc>
          <w:tcPr>
            <w:tcW w:w="0" w:type="dxa"/>
            <w:tcBorders>
              <w:bottom w:val="single" w:sz="8" w:space="0" w:color="1C556C" w:themeColor="accent1"/>
            </w:tcBorders>
            <w:noWrap/>
            <w:hideMark/>
          </w:tcPr>
          <w:p w14:paraId="375D89DC" w14:textId="77777777" w:rsidR="00A8128F" w:rsidRPr="008B50D0" w:rsidRDefault="00A8128F" w:rsidP="00DA1CD0">
            <w:pPr>
              <w:pStyle w:val="TableText"/>
              <w:jc w:val="right"/>
              <w:cnfStyle w:val="000000000000" w:firstRow="0" w:lastRow="0" w:firstColumn="0" w:lastColumn="0" w:oddVBand="0" w:evenVBand="0" w:oddHBand="0" w:evenHBand="0" w:firstRowFirstColumn="0" w:firstRowLastColumn="0" w:lastRowFirstColumn="0" w:lastRowLastColumn="0"/>
            </w:pPr>
            <w:r w:rsidRPr="5FFF5976">
              <w:t>kt CO</w:t>
            </w:r>
            <w:r w:rsidRPr="5FFF5976">
              <w:rPr>
                <w:vertAlign w:val="subscript"/>
              </w:rPr>
              <w:t>2</w:t>
            </w:r>
            <w:r>
              <w:rPr>
                <w:vertAlign w:val="subscript"/>
              </w:rPr>
              <w:t xml:space="preserve"> </w:t>
            </w:r>
            <w:r w:rsidRPr="5FFF5976">
              <w:t xml:space="preserve">equivalent </w:t>
            </w:r>
          </w:p>
        </w:tc>
        <w:tc>
          <w:tcPr>
            <w:tcW w:w="0" w:type="dxa"/>
            <w:tcBorders>
              <w:bottom w:val="single" w:sz="8" w:space="0" w:color="1C556C" w:themeColor="accent1"/>
            </w:tcBorders>
            <w:shd w:val="clear" w:color="auto" w:fill="D2DDE1" w:themeFill="background2"/>
            <w:noWrap/>
            <w:hideMark/>
          </w:tcPr>
          <w:p w14:paraId="1A7E902B" w14:textId="77777777" w:rsidR="00A8128F" w:rsidRPr="008B4C29" w:rsidRDefault="00A8128F" w:rsidP="00DA1CD0">
            <w:pPr>
              <w:pStyle w:val="TableText"/>
              <w:jc w:val="right"/>
              <w:cnfStyle w:val="000000000000" w:firstRow="0" w:lastRow="0" w:firstColumn="0" w:lastColumn="0" w:oddVBand="0" w:evenVBand="0" w:oddHBand="0" w:evenHBand="0" w:firstRowFirstColumn="0" w:firstRowLastColumn="0" w:lastRowFirstColumn="0" w:lastRowLastColumn="0"/>
            </w:pPr>
          </w:p>
        </w:tc>
        <w:tc>
          <w:tcPr>
            <w:tcW w:w="0" w:type="dxa"/>
            <w:tcBorders>
              <w:bottom w:val="single" w:sz="8" w:space="0" w:color="1C556C" w:themeColor="accent1"/>
            </w:tcBorders>
            <w:noWrap/>
            <w:hideMark/>
          </w:tcPr>
          <w:p w14:paraId="046D93E5" w14:textId="77777777" w:rsidR="00A8128F" w:rsidRPr="008B4C29" w:rsidRDefault="00A8128F" w:rsidP="00DA1CD0">
            <w:pPr>
              <w:pStyle w:val="TableText"/>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5FFF5976">
              <w:t>81,808.92</w:t>
            </w:r>
          </w:p>
        </w:tc>
        <w:tc>
          <w:tcPr>
            <w:tcW w:w="0" w:type="dxa"/>
            <w:tcBorders>
              <w:bottom w:val="single" w:sz="8" w:space="0" w:color="1C556C" w:themeColor="accent1"/>
            </w:tcBorders>
          </w:tcPr>
          <w:p w14:paraId="7ACF7C99" w14:textId="77777777" w:rsidR="00A8128F" w:rsidRPr="008B4C29" w:rsidRDefault="00A8128F" w:rsidP="00DA1CD0">
            <w:pPr>
              <w:pStyle w:val="TableText"/>
              <w:jc w:val="right"/>
              <w:cnfStyle w:val="000000000000" w:firstRow="0" w:lastRow="0" w:firstColumn="0" w:lastColumn="0" w:oddVBand="0" w:evenVBand="0" w:oddHBand="0" w:evenHBand="0" w:firstRowFirstColumn="0" w:firstRowLastColumn="0" w:lastRowFirstColumn="0" w:lastRowLastColumn="0"/>
            </w:pPr>
            <w:r w:rsidRPr="5FFF5976">
              <w:t>78,395.36</w:t>
            </w:r>
          </w:p>
        </w:tc>
        <w:tc>
          <w:tcPr>
            <w:tcW w:w="0" w:type="dxa"/>
            <w:tcBorders>
              <w:bottom w:val="single" w:sz="8" w:space="0" w:color="1C556C" w:themeColor="accent1"/>
            </w:tcBorders>
            <w:shd w:val="clear" w:color="auto" w:fill="D2DDE1" w:themeFill="background2"/>
            <w:noWrap/>
            <w:hideMark/>
          </w:tcPr>
          <w:p w14:paraId="04EBF392" w14:textId="77777777" w:rsidR="00A8128F" w:rsidRPr="008B4C29" w:rsidRDefault="00A8128F">
            <w:pPr>
              <w:pStyle w:val="TableText"/>
              <w:cnfStyle w:val="000000000000" w:firstRow="0" w:lastRow="0" w:firstColumn="0" w:lastColumn="0" w:oddVBand="0" w:evenVBand="0" w:oddHBand="0" w:evenHBand="0" w:firstRowFirstColumn="0" w:firstRowLastColumn="0" w:lastRowFirstColumn="0" w:lastRowLastColumn="0"/>
            </w:pPr>
          </w:p>
        </w:tc>
        <w:tc>
          <w:tcPr>
            <w:tcW w:w="0" w:type="dxa"/>
            <w:tcBorders>
              <w:bottom w:val="single" w:sz="8" w:space="0" w:color="1C556C" w:themeColor="accent1"/>
            </w:tcBorders>
            <w:shd w:val="clear" w:color="auto" w:fill="D2DDE1" w:themeFill="background2"/>
            <w:noWrap/>
          </w:tcPr>
          <w:p w14:paraId="6AEBD06C" w14:textId="77777777" w:rsidR="00A8128F" w:rsidRPr="008B4C29" w:rsidRDefault="00A8128F">
            <w:pPr>
              <w:pStyle w:val="TableText"/>
              <w:cnfStyle w:val="000000000000" w:firstRow="0" w:lastRow="0" w:firstColumn="0" w:lastColumn="0" w:oddVBand="0" w:evenVBand="0" w:oddHBand="0" w:evenHBand="0" w:firstRowFirstColumn="0" w:firstRowLastColumn="0" w:lastRowFirstColumn="0" w:lastRowLastColumn="0"/>
            </w:pPr>
          </w:p>
        </w:tc>
        <w:tc>
          <w:tcPr>
            <w:tcW w:w="0" w:type="dxa"/>
            <w:tcBorders>
              <w:bottom w:val="single" w:sz="8" w:space="0" w:color="1C556C" w:themeColor="accent1"/>
            </w:tcBorders>
            <w:shd w:val="clear" w:color="auto" w:fill="D2DDE1" w:themeFill="background2"/>
          </w:tcPr>
          <w:p w14:paraId="73A7BBC3" w14:textId="77777777" w:rsidR="00A8128F" w:rsidRPr="008B4C29" w:rsidRDefault="00A8128F">
            <w:pPr>
              <w:pStyle w:val="TableText"/>
              <w:cnfStyle w:val="000000000000" w:firstRow="0" w:lastRow="0" w:firstColumn="0" w:lastColumn="0" w:oddVBand="0" w:evenVBand="0" w:oddHBand="0" w:evenHBand="0" w:firstRowFirstColumn="0" w:firstRowLastColumn="0" w:lastRowFirstColumn="0" w:lastRowLastColumn="0"/>
            </w:pPr>
          </w:p>
        </w:tc>
      </w:tr>
      <w:tr w:rsidR="00443839" w:rsidRPr="008B50D0" w14:paraId="23107C65" w14:textId="77777777" w:rsidTr="000A2F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tcBorders>
              <w:left w:val="nil"/>
            </w:tcBorders>
            <w:hideMark/>
          </w:tcPr>
          <w:p w14:paraId="65FB06FC" w14:textId="77777777" w:rsidR="00A8128F" w:rsidRPr="008B50D0" w:rsidRDefault="00A8128F">
            <w:pPr>
              <w:pStyle w:val="TableText"/>
              <w:rPr>
                <w:color w:val="000000"/>
              </w:rPr>
            </w:pPr>
            <w:r w:rsidRPr="5FFF5976">
              <w:t>Contribution from the LULUCF sector for each year of the target period or target year, if not included in the inventory time series of total net GHG emissions and removals, as applicable (para 77(c) of the MPGs)</w:t>
            </w:r>
          </w:p>
        </w:tc>
        <w:tc>
          <w:tcPr>
            <w:tcW w:w="0" w:type="dxa"/>
            <w:noWrap/>
            <w:hideMark/>
          </w:tcPr>
          <w:p w14:paraId="6A47D280" w14:textId="77777777" w:rsidR="00A8128F" w:rsidRPr="008B50D0" w:rsidRDefault="00A8128F" w:rsidP="00DA1CD0">
            <w:pPr>
              <w:pStyle w:val="TableText"/>
              <w:jc w:val="right"/>
              <w:cnfStyle w:val="000000100000" w:firstRow="0" w:lastRow="0" w:firstColumn="0" w:lastColumn="0" w:oddVBand="0" w:evenVBand="0" w:oddHBand="1" w:evenHBand="0" w:firstRowFirstColumn="0" w:firstRowLastColumn="0" w:lastRowFirstColumn="0" w:lastRowLastColumn="0"/>
              <w:rPr>
                <w:b/>
                <w:bCs/>
              </w:rPr>
            </w:pPr>
            <w:r w:rsidRPr="5FFF5976">
              <w:t>kt CO</w:t>
            </w:r>
            <w:r w:rsidRPr="5FFF5976">
              <w:rPr>
                <w:vertAlign w:val="subscript"/>
              </w:rPr>
              <w:t>2</w:t>
            </w:r>
            <w:r>
              <w:rPr>
                <w:vertAlign w:val="subscript"/>
              </w:rPr>
              <w:t xml:space="preserve"> </w:t>
            </w:r>
            <w:r w:rsidRPr="5FFF5976">
              <w:t xml:space="preserve">equivalent </w:t>
            </w:r>
          </w:p>
        </w:tc>
        <w:tc>
          <w:tcPr>
            <w:tcW w:w="0" w:type="dxa"/>
            <w:shd w:val="clear" w:color="auto" w:fill="D2DDE1" w:themeFill="background2"/>
            <w:noWrap/>
          </w:tcPr>
          <w:p w14:paraId="60637A59" w14:textId="77777777" w:rsidR="00A8128F" w:rsidRPr="008B4C29" w:rsidRDefault="00A8128F" w:rsidP="00DA1CD0">
            <w:pPr>
              <w:pStyle w:val="TableText"/>
              <w:jc w:val="right"/>
              <w:cnfStyle w:val="000000100000" w:firstRow="0" w:lastRow="0" w:firstColumn="0" w:lastColumn="0" w:oddVBand="0" w:evenVBand="0" w:oddHBand="1" w:evenHBand="0" w:firstRowFirstColumn="0" w:firstRowLastColumn="0" w:lastRowFirstColumn="0" w:lastRowLastColumn="0"/>
            </w:pPr>
          </w:p>
        </w:tc>
        <w:tc>
          <w:tcPr>
            <w:tcW w:w="0" w:type="dxa"/>
            <w:noWrap/>
          </w:tcPr>
          <w:p w14:paraId="6359A037" w14:textId="0F5DE307" w:rsidR="00A8128F" w:rsidRPr="008B4C29" w:rsidRDefault="00CB793C" w:rsidP="00DA1CD0">
            <w:pPr>
              <w:pStyle w:val="TableText"/>
              <w:jc w:val="right"/>
              <w:cnfStyle w:val="000000100000" w:firstRow="0" w:lastRow="0" w:firstColumn="0" w:lastColumn="0" w:oddVBand="0" w:evenVBand="0" w:oddHBand="1" w:evenHBand="0" w:firstRowFirstColumn="0" w:firstRowLastColumn="0" w:lastRowFirstColumn="0" w:lastRowLastColumn="0"/>
              <w:rPr>
                <w:color w:val="000000"/>
              </w:rPr>
            </w:pPr>
            <w:r>
              <w:t>–</w:t>
            </w:r>
            <w:r w:rsidR="00A8128F" w:rsidRPr="5FFF5976">
              <w:t>6,067.25</w:t>
            </w:r>
          </w:p>
        </w:tc>
        <w:tc>
          <w:tcPr>
            <w:tcW w:w="0" w:type="dxa"/>
          </w:tcPr>
          <w:p w14:paraId="00644FCD" w14:textId="36311FA1" w:rsidR="00A8128F" w:rsidRPr="008B50D0" w:rsidRDefault="00CB793C" w:rsidP="00DA1CD0">
            <w:pPr>
              <w:pStyle w:val="TableText"/>
              <w:jc w:val="right"/>
              <w:cnfStyle w:val="000000100000" w:firstRow="0" w:lastRow="0" w:firstColumn="0" w:lastColumn="0" w:oddVBand="0" w:evenVBand="0" w:oddHBand="1" w:evenHBand="0" w:firstRowFirstColumn="0" w:firstRowLastColumn="0" w:lastRowFirstColumn="0" w:lastRowLastColumn="0"/>
              <w:rPr>
                <w:rFonts w:cs="Calibri"/>
                <w:color w:val="000000"/>
              </w:rPr>
            </w:pPr>
            <w:r>
              <w:rPr>
                <w:rFonts w:cs="Calibri"/>
              </w:rPr>
              <w:t>–</w:t>
            </w:r>
            <w:r w:rsidR="00A8128F" w:rsidRPr="5FFF5976">
              <w:rPr>
                <w:rFonts w:cs="Calibri"/>
              </w:rPr>
              <w:t>5,279.57</w:t>
            </w:r>
          </w:p>
        </w:tc>
        <w:tc>
          <w:tcPr>
            <w:tcW w:w="0" w:type="dxa"/>
            <w:shd w:val="clear" w:color="auto" w:fill="D2DDE1" w:themeFill="background2"/>
            <w:noWrap/>
          </w:tcPr>
          <w:p w14:paraId="23561B94" w14:textId="77777777" w:rsidR="00A8128F" w:rsidRPr="008B4C29" w:rsidRDefault="00A8128F">
            <w:pPr>
              <w:pStyle w:val="TableText"/>
              <w:cnfStyle w:val="000000100000" w:firstRow="0" w:lastRow="0" w:firstColumn="0" w:lastColumn="0" w:oddVBand="0" w:evenVBand="0" w:oddHBand="1" w:evenHBand="0" w:firstRowFirstColumn="0" w:firstRowLastColumn="0" w:lastRowFirstColumn="0" w:lastRowLastColumn="0"/>
            </w:pPr>
          </w:p>
        </w:tc>
        <w:tc>
          <w:tcPr>
            <w:tcW w:w="0" w:type="dxa"/>
            <w:shd w:val="clear" w:color="auto" w:fill="D2DDE1" w:themeFill="background2"/>
            <w:noWrap/>
          </w:tcPr>
          <w:p w14:paraId="396CC7C5" w14:textId="77777777" w:rsidR="00A8128F" w:rsidRPr="008B4C29" w:rsidRDefault="00A8128F">
            <w:pPr>
              <w:pStyle w:val="TableText"/>
              <w:cnfStyle w:val="000000100000" w:firstRow="0" w:lastRow="0" w:firstColumn="0" w:lastColumn="0" w:oddVBand="0" w:evenVBand="0" w:oddHBand="1" w:evenHBand="0" w:firstRowFirstColumn="0" w:firstRowLastColumn="0" w:lastRowFirstColumn="0" w:lastRowLastColumn="0"/>
            </w:pPr>
          </w:p>
        </w:tc>
        <w:tc>
          <w:tcPr>
            <w:tcW w:w="0" w:type="dxa"/>
            <w:tcBorders>
              <w:right w:val="nil"/>
            </w:tcBorders>
            <w:shd w:val="clear" w:color="auto" w:fill="D2DDE1" w:themeFill="background2"/>
          </w:tcPr>
          <w:p w14:paraId="1D38B1FA" w14:textId="77777777" w:rsidR="00A8128F" w:rsidRPr="008B4C29" w:rsidRDefault="00A8128F">
            <w:pPr>
              <w:pStyle w:val="TableText"/>
              <w:cnfStyle w:val="000000100000" w:firstRow="0" w:lastRow="0" w:firstColumn="0" w:lastColumn="0" w:oddVBand="0" w:evenVBand="0" w:oddHBand="1" w:evenHBand="0" w:firstRowFirstColumn="0" w:firstRowLastColumn="0" w:lastRowFirstColumn="0" w:lastRowLastColumn="0"/>
            </w:pPr>
          </w:p>
        </w:tc>
      </w:tr>
      <w:tr w:rsidR="00194E96" w14:paraId="1FA4051E" w14:textId="77777777" w:rsidTr="0087221C">
        <w:trPr>
          <w:trHeight w:val="300"/>
        </w:trPr>
        <w:tc>
          <w:tcPr>
            <w:cnfStyle w:val="001000000000" w:firstRow="0" w:lastRow="0" w:firstColumn="1" w:lastColumn="0" w:oddVBand="0" w:evenVBand="0" w:oddHBand="0" w:evenHBand="0" w:firstRowFirstColumn="0" w:firstRowLastColumn="0" w:lastRowFirstColumn="0" w:lastRowLastColumn="0"/>
            <w:tcW w:w="3124" w:type="dxa"/>
            <w:shd w:val="clear" w:color="auto" w:fill="D2DDE1" w:themeFill="background2"/>
            <w:hideMark/>
          </w:tcPr>
          <w:p w14:paraId="4A80E77D" w14:textId="77777777" w:rsidR="00A8128F" w:rsidRDefault="00A8128F">
            <w:pPr>
              <w:pStyle w:val="TableText"/>
            </w:pPr>
            <w:r w:rsidRPr="5FFF5976">
              <w:t>Each Party that participates in cooperative approaches that involve the use of ITMOs towards an NDC under Article 4 of the Paris Agreement, or authorizes the use of mitigation outcomes for international mitigation purposes other than achievement of the NDC, shall provide (para. 77(d) of the MPGs):</w:t>
            </w:r>
          </w:p>
        </w:tc>
        <w:tc>
          <w:tcPr>
            <w:tcW w:w="1417" w:type="dxa"/>
            <w:shd w:val="clear" w:color="auto" w:fill="D2DDE1" w:themeFill="background2"/>
            <w:noWrap/>
            <w:hideMark/>
          </w:tcPr>
          <w:p w14:paraId="4E3D741C" w14:textId="77777777" w:rsidR="00A8128F" w:rsidRPr="008B4C29" w:rsidRDefault="00A8128F">
            <w:pPr>
              <w:pStyle w:val="TableText"/>
              <w:cnfStyle w:val="000000000000" w:firstRow="0" w:lastRow="0" w:firstColumn="0" w:lastColumn="0" w:oddVBand="0" w:evenVBand="0" w:oddHBand="0" w:evenHBand="0" w:firstRowFirstColumn="0" w:firstRowLastColumn="0" w:lastRowFirstColumn="0" w:lastRowLastColumn="0"/>
            </w:pPr>
          </w:p>
        </w:tc>
        <w:tc>
          <w:tcPr>
            <w:tcW w:w="1499" w:type="dxa"/>
            <w:shd w:val="clear" w:color="auto" w:fill="D2DDE1" w:themeFill="background2"/>
            <w:noWrap/>
          </w:tcPr>
          <w:p w14:paraId="269C3DE0" w14:textId="77777777" w:rsidR="00A8128F" w:rsidRPr="008B4C29" w:rsidRDefault="00A8128F">
            <w:pPr>
              <w:pStyle w:val="TableText"/>
              <w:cnfStyle w:val="000000000000" w:firstRow="0" w:lastRow="0" w:firstColumn="0" w:lastColumn="0" w:oddVBand="0" w:evenVBand="0" w:oddHBand="0" w:evenHBand="0" w:firstRowFirstColumn="0" w:firstRowLastColumn="0" w:lastRowFirstColumn="0" w:lastRowLastColumn="0"/>
            </w:pPr>
          </w:p>
        </w:tc>
        <w:tc>
          <w:tcPr>
            <w:tcW w:w="1293" w:type="dxa"/>
            <w:shd w:val="clear" w:color="auto" w:fill="D2DDE1" w:themeFill="background2"/>
            <w:noWrap/>
          </w:tcPr>
          <w:p w14:paraId="52FE7CD6" w14:textId="77777777" w:rsidR="00A8128F" w:rsidRPr="008B4C29" w:rsidRDefault="00A8128F">
            <w:pPr>
              <w:pStyle w:val="TableText"/>
              <w:cnfStyle w:val="000000000000" w:firstRow="0" w:lastRow="0" w:firstColumn="0" w:lastColumn="0" w:oddVBand="0" w:evenVBand="0" w:oddHBand="0" w:evenHBand="0" w:firstRowFirstColumn="0" w:firstRowLastColumn="0" w:lastRowFirstColumn="0" w:lastRowLastColumn="0"/>
            </w:pPr>
            <w:r w:rsidRPr="008B4C29">
              <w:t>N</w:t>
            </w:r>
            <w:r>
              <w:t>ot applicable</w:t>
            </w:r>
          </w:p>
        </w:tc>
        <w:tc>
          <w:tcPr>
            <w:tcW w:w="1149" w:type="dxa"/>
            <w:shd w:val="clear" w:color="auto" w:fill="D2DDE1" w:themeFill="background2"/>
          </w:tcPr>
          <w:p w14:paraId="0807FC01" w14:textId="77777777" w:rsidR="00A8128F" w:rsidRPr="008B4C29" w:rsidRDefault="00A8128F">
            <w:pPr>
              <w:pStyle w:val="TableText"/>
              <w:cnfStyle w:val="000000000000" w:firstRow="0" w:lastRow="0" w:firstColumn="0" w:lastColumn="0" w:oddVBand="0" w:evenVBand="0" w:oddHBand="0" w:evenHBand="0" w:firstRowFirstColumn="0" w:firstRowLastColumn="0" w:lastRowFirstColumn="0" w:lastRowLastColumn="0"/>
            </w:pPr>
            <w:r w:rsidRPr="008B4C29">
              <w:t>N</w:t>
            </w:r>
            <w:r>
              <w:t>ot applicable</w:t>
            </w:r>
          </w:p>
        </w:tc>
        <w:tc>
          <w:tcPr>
            <w:tcW w:w="1149" w:type="dxa"/>
            <w:shd w:val="clear" w:color="auto" w:fill="D2DDE1" w:themeFill="background2"/>
            <w:noWrap/>
          </w:tcPr>
          <w:p w14:paraId="355B792C" w14:textId="77777777" w:rsidR="00A8128F" w:rsidRPr="008B4C29" w:rsidRDefault="00A8128F">
            <w:pPr>
              <w:pStyle w:val="TableText"/>
              <w:cnfStyle w:val="000000000000" w:firstRow="0" w:lastRow="0" w:firstColumn="0" w:lastColumn="0" w:oddVBand="0" w:evenVBand="0" w:oddHBand="0" w:evenHBand="0" w:firstRowFirstColumn="0" w:firstRowLastColumn="0" w:lastRowFirstColumn="0" w:lastRowLastColumn="0"/>
            </w:pPr>
          </w:p>
        </w:tc>
        <w:tc>
          <w:tcPr>
            <w:tcW w:w="1005" w:type="dxa"/>
            <w:shd w:val="clear" w:color="auto" w:fill="D2DDE1" w:themeFill="background2"/>
            <w:noWrap/>
          </w:tcPr>
          <w:p w14:paraId="1144596A" w14:textId="77777777" w:rsidR="00A8128F" w:rsidRPr="008B4C29" w:rsidRDefault="00A8128F">
            <w:pPr>
              <w:pStyle w:val="TableText"/>
              <w:cnfStyle w:val="000000000000" w:firstRow="0" w:lastRow="0" w:firstColumn="0" w:lastColumn="0" w:oddVBand="0" w:evenVBand="0" w:oddHBand="0" w:evenHBand="0" w:firstRowFirstColumn="0" w:firstRowLastColumn="0" w:lastRowFirstColumn="0" w:lastRowLastColumn="0"/>
            </w:pPr>
          </w:p>
        </w:tc>
        <w:tc>
          <w:tcPr>
            <w:tcW w:w="3879" w:type="dxa"/>
            <w:shd w:val="clear" w:color="auto" w:fill="D2DDE1" w:themeFill="background2"/>
          </w:tcPr>
          <w:p w14:paraId="0626F57A" w14:textId="77777777" w:rsidR="00A8128F" w:rsidRPr="008B4C29" w:rsidRDefault="00A8128F">
            <w:pPr>
              <w:pStyle w:val="TableText"/>
              <w:cnfStyle w:val="000000000000" w:firstRow="0" w:lastRow="0" w:firstColumn="0" w:lastColumn="0" w:oddVBand="0" w:evenVBand="0" w:oddHBand="0" w:evenHBand="0" w:firstRowFirstColumn="0" w:firstRowLastColumn="0" w:lastRowFirstColumn="0" w:lastRowLastColumn="0"/>
            </w:pPr>
          </w:p>
        </w:tc>
      </w:tr>
    </w:tbl>
    <w:p w14:paraId="7265016C" w14:textId="33AA9259" w:rsidR="00A8128F" w:rsidRPr="008B50D0" w:rsidRDefault="00A8128F" w:rsidP="00A8128F">
      <w:pPr>
        <w:pStyle w:val="Note"/>
      </w:pPr>
      <w:r w:rsidRPr="008B50D0">
        <w:rPr>
          <w:b/>
          <w:bCs/>
        </w:rPr>
        <w:t>Note</w:t>
      </w:r>
      <w:r w:rsidRPr="008B50D0">
        <w:t>:</w:t>
      </w:r>
      <w:r>
        <w:t xml:space="preserve"> </w:t>
      </w:r>
      <w:r w:rsidRPr="008B50D0">
        <w:t xml:space="preserve">GHG = greenhouse gas; LULUCF = </w:t>
      </w:r>
      <w:r w:rsidRPr="10C1B6AA">
        <w:rPr>
          <w:rFonts w:cs="Calibri"/>
        </w:rPr>
        <w:t>Land Use, Land-Use Change and Forestry;</w:t>
      </w:r>
      <w:r w:rsidRPr="008B50D0">
        <w:t xml:space="preserve"> MPGs = modalities, procedures and guidelines</w:t>
      </w:r>
      <w:r>
        <w:t>; NDC = Nationally Determined Contribution.</w:t>
      </w:r>
    </w:p>
    <w:p w14:paraId="27F48EE9" w14:textId="77777777" w:rsidR="00A8128F" w:rsidRPr="008B50D0" w:rsidRDefault="00A8128F" w:rsidP="00A8128F">
      <w:pPr>
        <w:pStyle w:val="BodyText"/>
        <w:spacing w:before="0" w:after="0"/>
      </w:pPr>
    </w:p>
    <w:p w14:paraId="6C1B5217" w14:textId="77777777" w:rsidR="00A8128F" w:rsidRPr="008B50D0" w:rsidRDefault="00A8128F" w:rsidP="00A8128F">
      <w:pPr>
        <w:pStyle w:val="BodyText"/>
        <w:spacing w:before="0" w:after="0"/>
        <w:sectPr w:rsidR="00A8128F" w:rsidRPr="008B50D0" w:rsidSect="00A8128F">
          <w:headerReference w:type="even" r:id="rId79"/>
          <w:headerReference w:type="default" r:id="rId80"/>
          <w:footerReference w:type="default" r:id="rId81"/>
          <w:headerReference w:type="first" r:id="rId82"/>
          <w:pgSz w:w="16840" w:h="11907" w:orient="landscape" w:code="9"/>
          <w:pgMar w:top="1701" w:right="1134" w:bottom="1701" w:left="1134" w:header="567" w:footer="567" w:gutter="0"/>
          <w:cols w:space="720"/>
          <w:docGrid w:linePitch="299"/>
        </w:sectPr>
      </w:pPr>
    </w:p>
    <w:p w14:paraId="6F292733" w14:textId="77777777" w:rsidR="00A8128F" w:rsidRPr="008B50D0" w:rsidRDefault="00A8128F" w:rsidP="00A8128F">
      <w:pPr>
        <w:pStyle w:val="Heading2"/>
        <w:numPr>
          <w:ilvl w:val="0"/>
          <w:numId w:val="77"/>
        </w:numPr>
        <w:tabs>
          <w:tab w:val="num" w:pos="1134"/>
        </w:tabs>
        <w:spacing w:before="120"/>
      </w:pPr>
      <w:bookmarkStart w:id="238" w:name="_Toc184825499"/>
      <w:bookmarkStart w:id="239" w:name="_Toc169616360"/>
      <w:bookmarkStart w:id="240" w:name="_Toc169620065"/>
      <w:bookmarkStart w:id="241" w:name="_Toc172793978"/>
      <w:r w:rsidRPr="008B50D0">
        <w:t>Indicators</w:t>
      </w:r>
      <w:bookmarkEnd w:id="238"/>
      <w:r w:rsidRPr="008B50D0">
        <w:t xml:space="preserve"> </w:t>
      </w:r>
      <w:bookmarkEnd w:id="239"/>
      <w:bookmarkEnd w:id="240"/>
      <w:bookmarkEnd w:id="241"/>
    </w:p>
    <w:p w14:paraId="18D1D0A2" w14:textId="77777777" w:rsidR="00A8128F" w:rsidRPr="008B50D0" w:rsidRDefault="00A8128F" w:rsidP="00A8128F">
      <w:pPr>
        <w:pStyle w:val="BodyText"/>
      </w:pPr>
      <w:r w:rsidRPr="008B50D0">
        <w:t>New Zealand has an indicator of annual net target accounting emissions to monitor NDC1 progress. CTF table 1 provides further details on this indicator.</w:t>
      </w:r>
    </w:p>
    <w:p w14:paraId="443D8921" w14:textId="6AF20552" w:rsidR="00A8128F" w:rsidRPr="008B50D0" w:rsidRDefault="00A8128F" w:rsidP="00A8128F">
      <w:pPr>
        <w:pStyle w:val="Tableheading"/>
      </w:pPr>
      <w:bookmarkStart w:id="242" w:name="_Toc185407461"/>
      <w:bookmarkStart w:id="243" w:name="_Toc185427724"/>
      <w:r w:rsidRPr="008B50D0">
        <w:t>CTF table 1</w:t>
      </w:r>
      <w:r w:rsidR="00CD2081">
        <w:t>:</w:t>
      </w:r>
      <w:r w:rsidR="00CD2081">
        <w:tab/>
      </w:r>
      <w:r w:rsidRPr="008B50D0">
        <w:t>Structured summary: Description of selected indicators</w:t>
      </w:r>
      <w:bookmarkEnd w:id="242"/>
      <w:bookmarkEnd w:id="243"/>
    </w:p>
    <w:tbl>
      <w:tblPr>
        <w:tblStyle w:val="LightList-Accent11"/>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588"/>
        <w:gridCol w:w="5917"/>
      </w:tblGrid>
      <w:tr w:rsidR="00A8128F" w:rsidRPr="00CE2711" w14:paraId="7DE98BFE" w14:textId="77777777" w:rsidTr="008A6722">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542" w:type="dxa"/>
            <w:tcBorders>
              <w:bottom w:val="single" w:sz="8" w:space="0" w:color="1C556C" w:themeColor="accent1"/>
            </w:tcBorders>
            <w:shd w:val="clear" w:color="auto" w:fill="1B556B" w:themeFill="text2"/>
            <w:vAlign w:val="bottom"/>
            <w:hideMark/>
          </w:tcPr>
          <w:p w14:paraId="07C28C43" w14:textId="77777777" w:rsidR="00A8128F" w:rsidRPr="00CE2711" w:rsidRDefault="00A8128F">
            <w:pPr>
              <w:pStyle w:val="TableTextbold"/>
              <w:rPr>
                <w:b/>
                <w:bCs w:val="0"/>
              </w:rPr>
            </w:pPr>
            <w:r w:rsidRPr="00CE2711">
              <w:rPr>
                <w:b/>
                <w:bCs w:val="0"/>
              </w:rPr>
              <w:t xml:space="preserve">Indicator(s) selected to track progress </w:t>
            </w:r>
          </w:p>
        </w:tc>
        <w:tc>
          <w:tcPr>
            <w:tcW w:w="5812" w:type="dxa"/>
            <w:tcBorders>
              <w:bottom w:val="single" w:sz="8" w:space="0" w:color="1C556C" w:themeColor="accent1"/>
            </w:tcBorders>
            <w:shd w:val="clear" w:color="auto" w:fill="1B556B" w:themeFill="text2"/>
            <w:vAlign w:val="bottom"/>
            <w:hideMark/>
          </w:tcPr>
          <w:p w14:paraId="4D8B8E93" w14:textId="77777777" w:rsidR="00A8128F" w:rsidRPr="00CE2711" w:rsidRDefault="00A8128F">
            <w:pPr>
              <w:pStyle w:val="TableTextbold"/>
              <w:cnfStyle w:val="100000000000" w:firstRow="1" w:lastRow="0" w:firstColumn="0" w:lastColumn="0" w:oddVBand="0" w:evenVBand="0" w:oddHBand="0" w:evenHBand="0" w:firstRowFirstColumn="0" w:firstRowLastColumn="0" w:lastRowFirstColumn="0" w:lastRowLastColumn="0"/>
              <w:rPr>
                <w:b/>
                <w:bCs w:val="0"/>
              </w:rPr>
            </w:pPr>
            <w:r w:rsidRPr="00CE2711">
              <w:rPr>
                <w:b/>
                <w:bCs w:val="0"/>
              </w:rPr>
              <w:t>Description</w:t>
            </w:r>
          </w:p>
        </w:tc>
      </w:tr>
      <w:tr w:rsidR="00A8128F" w:rsidRPr="008B50D0" w14:paraId="7294A7D8" w14:textId="77777777" w:rsidTr="008A672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542" w:type="dxa"/>
            <w:tcBorders>
              <w:left w:val="nil"/>
            </w:tcBorders>
            <w:hideMark/>
          </w:tcPr>
          <w:p w14:paraId="03AC9360" w14:textId="77777777" w:rsidR="00A8128F" w:rsidRPr="00CE2711" w:rsidRDefault="00A8128F">
            <w:pPr>
              <w:pStyle w:val="TableTextbold"/>
              <w:rPr>
                <w:b/>
                <w:bCs w:val="0"/>
                <w:color w:val="000000"/>
              </w:rPr>
            </w:pPr>
            <w:r w:rsidRPr="00CE2711">
              <w:rPr>
                <w:b/>
                <w:bCs w:val="0"/>
              </w:rPr>
              <w:t>Annual net target accounting emissions</w:t>
            </w:r>
          </w:p>
        </w:tc>
        <w:tc>
          <w:tcPr>
            <w:tcW w:w="5812" w:type="dxa"/>
            <w:tcBorders>
              <w:right w:val="nil"/>
            </w:tcBorders>
            <w:hideMark/>
          </w:tcPr>
          <w:p w14:paraId="0E9E8658" w14:textId="442AD5AC" w:rsidR="00A8128F" w:rsidRPr="008B50D0" w:rsidRDefault="00A8128F">
            <w:pPr>
              <w:pStyle w:val="TableText"/>
              <w:cnfStyle w:val="000000100000" w:firstRow="0" w:lastRow="0" w:firstColumn="0" w:lastColumn="0" w:oddVBand="0" w:evenVBand="0" w:oddHBand="1" w:evenHBand="0" w:firstRowFirstColumn="0" w:firstRowLastColumn="0" w:lastRowFirstColumn="0" w:lastRowLastColumn="0"/>
              <w:rPr>
                <w:i/>
                <w:iCs/>
                <w:color w:val="000000"/>
              </w:rPr>
            </w:pPr>
            <w:r w:rsidRPr="0BEDA4EA">
              <w:t>Annual net target accounting emissions between 2021 and 2030 in kt CO</w:t>
            </w:r>
            <w:r w:rsidRPr="0BEDA4EA">
              <w:rPr>
                <w:vertAlign w:val="subscript"/>
              </w:rPr>
              <w:t>2</w:t>
            </w:r>
            <w:r w:rsidRPr="0BEDA4EA">
              <w:t>e</w:t>
            </w:r>
          </w:p>
        </w:tc>
      </w:tr>
      <w:tr w:rsidR="00A8128F" w:rsidRPr="008B50D0" w14:paraId="07B784C0" w14:textId="77777777" w:rsidTr="008A6722">
        <w:trPr>
          <w:trHeight w:val="870"/>
        </w:trPr>
        <w:tc>
          <w:tcPr>
            <w:cnfStyle w:val="001000000000" w:firstRow="0" w:lastRow="0" w:firstColumn="1" w:lastColumn="0" w:oddVBand="0" w:evenVBand="0" w:oddHBand="0" w:evenHBand="0" w:firstRowFirstColumn="0" w:firstRowLastColumn="0" w:lastRowFirstColumn="0" w:lastRowLastColumn="0"/>
            <w:tcW w:w="2542" w:type="dxa"/>
            <w:tcBorders>
              <w:bottom w:val="single" w:sz="8" w:space="0" w:color="1C556C" w:themeColor="accent1"/>
            </w:tcBorders>
            <w:hideMark/>
          </w:tcPr>
          <w:p w14:paraId="4BF80D6B" w14:textId="77777777" w:rsidR="00A8128F" w:rsidRPr="00CE2711" w:rsidRDefault="00A8128F">
            <w:pPr>
              <w:pStyle w:val="TableTextbold"/>
              <w:rPr>
                <w:b/>
                <w:bCs w:val="0"/>
                <w:color w:val="000000"/>
              </w:rPr>
            </w:pPr>
            <w:r w:rsidRPr="00CE2711">
              <w:rPr>
                <w:b/>
                <w:bCs w:val="0"/>
                <w:color w:val="000000"/>
              </w:rPr>
              <w:t>Information for the reference point(s), level(s), baseline(s), base year(s) or starting point(s), as appropriate</w:t>
            </w:r>
          </w:p>
        </w:tc>
        <w:tc>
          <w:tcPr>
            <w:tcW w:w="5812" w:type="dxa"/>
            <w:tcBorders>
              <w:bottom w:val="single" w:sz="8" w:space="0" w:color="1C556C" w:themeColor="accent1"/>
            </w:tcBorders>
            <w:noWrap/>
            <w:hideMark/>
          </w:tcPr>
          <w:p w14:paraId="062796C5" w14:textId="77777777" w:rsidR="00A8128F" w:rsidRPr="008B50D0" w:rsidRDefault="00A8128F">
            <w:pPr>
              <w:pStyle w:val="TableText"/>
              <w:spacing w:after="0"/>
              <w:cnfStyle w:val="000000000000" w:firstRow="0" w:lastRow="0" w:firstColumn="0" w:lastColumn="0" w:oddVBand="0" w:evenVBand="0" w:oddHBand="0" w:evenHBand="0" w:firstRowFirstColumn="0" w:firstRowLastColumn="0" w:lastRowFirstColumn="0" w:lastRowLastColumn="0"/>
            </w:pPr>
            <w:r w:rsidRPr="008B50D0">
              <w:t>Target reference year: 2005</w:t>
            </w:r>
          </w:p>
          <w:p w14:paraId="37CFAF53" w14:textId="77777777" w:rsidR="00A8128F" w:rsidRPr="008B50D0" w:rsidRDefault="00A8128F">
            <w:pPr>
              <w:pStyle w:val="TableText"/>
              <w:spacing w:after="0"/>
              <w:cnfStyle w:val="000000000000" w:firstRow="0" w:lastRow="0" w:firstColumn="0" w:lastColumn="0" w:oddVBand="0" w:evenVBand="0" w:oddHBand="0" w:evenHBand="0" w:firstRowFirstColumn="0" w:firstRowLastColumn="0" w:lastRowFirstColumn="0" w:lastRowLastColumn="0"/>
            </w:pPr>
            <w:r w:rsidRPr="008B50D0">
              <w:t>LULUCF activity start year: 1990</w:t>
            </w:r>
          </w:p>
          <w:p w14:paraId="3585DFFD" w14:textId="77777777" w:rsidR="00A8128F" w:rsidRPr="008B50D0" w:rsidRDefault="00A8128F">
            <w:pPr>
              <w:pStyle w:val="TableText"/>
              <w:spacing w:after="0"/>
              <w:cnfStyle w:val="000000000000" w:firstRow="0" w:lastRow="0" w:firstColumn="0" w:lastColumn="0" w:oddVBand="0" w:evenVBand="0" w:oddHBand="0" w:evenHBand="0" w:firstRowFirstColumn="0" w:firstRowLastColumn="0" w:lastRowFirstColumn="0" w:lastRowLastColumn="0"/>
            </w:pPr>
            <w:r w:rsidRPr="008B50D0">
              <w:t>Total emissions in base year (2005): provisional estimate 86.6 (Mt CO</w:t>
            </w:r>
            <w:r w:rsidRPr="008B50D0">
              <w:rPr>
                <w:vertAlign w:val="subscript"/>
              </w:rPr>
              <w:t>2</w:t>
            </w:r>
            <w:r w:rsidRPr="008B50D0">
              <w:t>e)</w:t>
            </w:r>
          </w:p>
          <w:p w14:paraId="6BEEC8C5" w14:textId="77777777" w:rsidR="00A8128F" w:rsidRPr="008B50D0" w:rsidRDefault="00A8128F">
            <w:pPr>
              <w:pStyle w:val="TableText"/>
              <w:spacing w:after="0"/>
              <w:cnfStyle w:val="000000000000" w:firstRow="0" w:lastRow="0" w:firstColumn="0" w:lastColumn="0" w:oddVBand="0" w:evenVBand="0" w:oddHBand="0" w:evenHBand="0" w:firstRowFirstColumn="0" w:firstRowLastColumn="0" w:lastRowFirstColumn="0" w:lastRowLastColumn="0"/>
            </w:pPr>
            <w:r w:rsidRPr="008B50D0">
              <w:t>Base year emissions are as reported in the most recently published national greenhouse gas inventory report.</w:t>
            </w:r>
          </w:p>
          <w:p w14:paraId="429921EE" w14:textId="77777777" w:rsidR="00A8128F" w:rsidRPr="008B50D0" w:rsidRDefault="00A8128F">
            <w:pPr>
              <w:pStyle w:val="TableText"/>
              <w:cnfStyle w:val="000000000000" w:firstRow="0" w:lastRow="0" w:firstColumn="0" w:lastColumn="0" w:oddVBand="0" w:evenVBand="0" w:oddHBand="0" w:evenHBand="0" w:firstRowFirstColumn="0" w:firstRowLastColumn="0" w:lastRowFirstColumn="0" w:lastRowLastColumn="0"/>
            </w:pPr>
            <w:r w:rsidRPr="008B50D0">
              <w:t>Common metric: AR5 GWP100</w:t>
            </w:r>
          </w:p>
        </w:tc>
      </w:tr>
      <w:tr w:rsidR="00A8128F" w:rsidRPr="008B50D0" w14:paraId="1FF4536F" w14:textId="77777777" w:rsidTr="008A6722">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542" w:type="dxa"/>
            <w:tcBorders>
              <w:left w:val="nil"/>
            </w:tcBorders>
            <w:hideMark/>
          </w:tcPr>
          <w:p w14:paraId="266C72B3" w14:textId="77777777" w:rsidR="00A8128F" w:rsidRPr="00CE2711" w:rsidRDefault="00A8128F">
            <w:pPr>
              <w:pStyle w:val="TableTextbold"/>
              <w:rPr>
                <w:b/>
                <w:bCs w:val="0"/>
                <w:color w:val="000000"/>
              </w:rPr>
            </w:pPr>
            <w:r w:rsidRPr="00CE2711">
              <w:rPr>
                <w:b/>
                <w:bCs w:val="0"/>
              </w:rPr>
              <w:t>Updates in accordance with any recalculation of the GHG inventory, as appropriate</w:t>
            </w:r>
          </w:p>
        </w:tc>
        <w:tc>
          <w:tcPr>
            <w:tcW w:w="5812" w:type="dxa"/>
            <w:tcBorders>
              <w:right w:val="nil"/>
            </w:tcBorders>
            <w:hideMark/>
          </w:tcPr>
          <w:p w14:paraId="2978F24E" w14:textId="77777777" w:rsidR="00A8128F" w:rsidRPr="008B50D0" w:rsidRDefault="00A8128F">
            <w:pPr>
              <w:pStyle w:val="TableText"/>
              <w:cnfStyle w:val="000000100000" w:firstRow="0" w:lastRow="0" w:firstColumn="0" w:lastColumn="0" w:oddVBand="0" w:evenVBand="0" w:oddHBand="1" w:evenHBand="0" w:firstRowFirstColumn="0" w:firstRowLastColumn="0" w:lastRowFirstColumn="0" w:lastRowLastColumn="0"/>
              <w:rPr>
                <w:color w:val="000000"/>
              </w:rPr>
            </w:pPr>
            <w:r w:rsidRPr="008B50D0">
              <w:t>Base year and indicator values are consistent with the most recently published national greenhouse gas inventory report and therefore include category-specific GHG inventory recalculations for all sectors.</w:t>
            </w:r>
          </w:p>
        </w:tc>
      </w:tr>
      <w:tr w:rsidR="00A8128F" w:rsidRPr="008B50D0" w14:paraId="2C88BFDF" w14:textId="77777777">
        <w:trPr>
          <w:trHeight w:val="580"/>
        </w:trPr>
        <w:tc>
          <w:tcPr>
            <w:cnfStyle w:val="001000000000" w:firstRow="0" w:lastRow="0" w:firstColumn="1" w:lastColumn="0" w:oddVBand="0" w:evenVBand="0" w:oddHBand="0" w:evenHBand="0" w:firstRowFirstColumn="0" w:firstRowLastColumn="0" w:lastRowFirstColumn="0" w:lastRowLastColumn="0"/>
            <w:tcW w:w="2542" w:type="dxa"/>
            <w:hideMark/>
          </w:tcPr>
          <w:p w14:paraId="7B318C88" w14:textId="77777777" w:rsidR="00A8128F" w:rsidRPr="00CE2711" w:rsidRDefault="00A8128F">
            <w:pPr>
              <w:pStyle w:val="TableTextbold"/>
              <w:rPr>
                <w:b/>
                <w:bCs w:val="0"/>
                <w:color w:val="000000"/>
              </w:rPr>
            </w:pPr>
            <w:r w:rsidRPr="00CE2711">
              <w:rPr>
                <w:b/>
                <w:bCs w:val="0"/>
                <w:color w:val="000000"/>
              </w:rPr>
              <w:t>Relation to NDC</w:t>
            </w:r>
          </w:p>
        </w:tc>
        <w:tc>
          <w:tcPr>
            <w:tcW w:w="5812" w:type="dxa"/>
            <w:hideMark/>
          </w:tcPr>
          <w:p w14:paraId="36E93AFD" w14:textId="77777777" w:rsidR="00A8128F" w:rsidRPr="008B50D0" w:rsidRDefault="00A8128F">
            <w:pPr>
              <w:pStyle w:val="TableText"/>
              <w:cnfStyle w:val="000000000000" w:firstRow="0" w:lastRow="0" w:firstColumn="0" w:lastColumn="0" w:oddVBand="0" w:evenVBand="0" w:oddHBand="0" w:evenHBand="0" w:firstRowFirstColumn="0" w:firstRowLastColumn="0" w:lastRowFirstColumn="0" w:lastRowLastColumn="0"/>
              <w:rPr>
                <w:color w:val="000000"/>
              </w:rPr>
            </w:pPr>
            <w:r w:rsidRPr="008B50D0">
              <w:t>This indicator allows us to quantitatively assess how New Zealand is tracking towards reducing net greenhouse gas emissions to 50 per cent below gross 2005 levels by 2030.</w:t>
            </w:r>
          </w:p>
        </w:tc>
      </w:tr>
    </w:tbl>
    <w:p w14:paraId="15359E30" w14:textId="77777777" w:rsidR="00A8128F" w:rsidRPr="008B50D0" w:rsidRDefault="00A8128F" w:rsidP="00A8128F">
      <w:pPr>
        <w:pStyle w:val="Note"/>
      </w:pPr>
      <w:r w:rsidRPr="008B50D0">
        <w:rPr>
          <w:b/>
          <w:bCs/>
        </w:rPr>
        <w:t>Note</w:t>
      </w:r>
      <w:r w:rsidRPr="008B50D0">
        <w:t xml:space="preserve">: AR5 GWP100 = </w:t>
      </w:r>
      <w:r>
        <w:t xml:space="preserve">the </w:t>
      </w:r>
      <w:r w:rsidRPr="00093830">
        <w:t>100-year time horizon global warming potential values from the IPCC Fifth Assessment Report</w:t>
      </w:r>
      <w:r>
        <w:t xml:space="preserve"> (IPCC, 2013</w:t>
      </w:r>
      <w:r w:rsidRPr="00CE2711">
        <w:rPr>
          <w:vertAlign w:val="superscript"/>
        </w:rPr>
        <w:footnoteReference w:id="133"/>
      </w:r>
      <w:r>
        <w:t>);</w:t>
      </w:r>
      <w:r w:rsidRPr="008B50D0">
        <w:t xml:space="preserve"> GHG = greenhouse gas; LULUCF = </w:t>
      </w:r>
      <w:r w:rsidRPr="00061682">
        <w:t>Land Use, Land-Use Change and Forestry;</w:t>
      </w:r>
      <w:r w:rsidRPr="008B50D0">
        <w:t xml:space="preserve"> NDC = Nationally Determined Contribution.</w:t>
      </w:r>
    </w:p>
    <w:p w14:paraId="4502588D" w14:textId="40438941" w:rsidR="00A8128F" w:rsidRPr="008B50D0" w:rsidRDefault="00A8128F" w:rsidP="00A8128F">
      <w:pPr>
        <w:pStyle w:val="Tableheading"/>
      </w:pPr>
      <w:bookmarkStart w:id="244" w:name="_Toc185407462"/>
      <w:bookmarkStart w:id="245" w:name="_Toc185427725"/>
      <w:r w:rsidRPr="008B50D0">
        <w:t>CTF table 2</w:t>
      </w:r>
      <w:r w:rsidR="00CD2081">
        <w:t>:</w:t>
      </w:r>
      <w:r w:rsidRPr="008B50D0">
        <w:t xml:space="preserve"> </w:t>
      </w:r>
      <w:r>
        <w:tab/>
      </w:r>
      <w:r w:rsidRPr="008B50D0">
        <w:t>Structured summary: Definitions needed to understand the Nationally Determined</w:t>
      </w:r>
      <w:r>
        <w:t> </w:t>
      </w:r>
      <w:r w:rsidRPr="008B50D0">
        <w:t>Contribution</w:t>
      </w:r>
      <w:bookmarkEnd w:id="244"/>
      <w:bookmarkEnd w:id="245"/>
    </w:p>
    <w:tbl>
      <w:tblPr>
        <w:tblStyle w:val="LightList-Accent11"/>
        <w:tblW w:w="8505" w:type="dxa"/>
        <w:tblBorders>
          <w:top w:val="single" w:sz="4" w:space="0" w:color="1C556C" w:themeColor="accent1"/>
          <w:left w:val="none" w:sz="0" w:space="0" w:color="auto"/>
          <w:bottom w:val="single" w:sz="4" w:space="0" w:color="1C556C" w:themeColor="accent1"/>
          <w:right w:val="none" w:sz="0" w:space="0" w:color="auto"/>
          <w:insideH w:val="single" w:sz="4" w:space="0" w:color="1C556C" w:themeColor="accent1"/>
        </w:tblBorders>
        <w:tblLook w:val="04A0" w:firstRow="1" w:lastRow="0" w:firstColumn="1" w:lastColumn="0" w:noHBand="0" w:noVBand="1"/>
      </w:tblPr>
      <w:tblGrid>
        <w:gridCol w:w="2876"/>
        <w:gridCol w:w="5629"/>
      </w:tblGrid>
      <w:tr w:rsidR="00A8128F" w:rsidRPr="00CE2711" w14:paraId="08DE8714" w14:textId="77777777" w:rsidTr="008A672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6" w:type="dxa"/>
            <w:tcBorders>
              <w:bottom w:val="single" w:sz="8" w:space="0" w:color="1C556C" w:themeColor="accent1"/>
            </w:tcBorders>
            <w:hideMark/>
          </w:tcPr>
          <w:p w14:paraId="060BED25" w14:textId="77777777" w:rsidR="00A8128F" w:rsidRPr="00CE2711" w:rsidRDefault="00A8128F">
            <w:pPr>
              <w:pStyle w:val="TableTextbold"/>
              <w:jc w:val="both"/>
              <w:rPr>
                <w:b/>
                <w:bCs w:val="0"/>
              </w:rPr>
            </w:pPr>
          </w:p>
        </w:tc>
        <w:tc>
          <w:tcPr>
            <w:tcW w:w="5629" w:type="dxa"/>
            <w:tcBorders>
              <w:bottom w:val="single" w:sz="8" w:space="0" w:color="1C556C" w:themeColor="accent1"/>
            </w:tcBorders>
            <w:hideMark/>
          </w:tcPr>
          <w:p w14:paraId="129568B4" w14:textId="77777777" w:rsidR="00A8128F" w:rsidRPr="00CE2711" w:rsidRDefault="00A8128F">
            <w:pPr>
              <w:pStyle w:val="TableTextbold"/>
              <w:cnfStyle w:val="100000000000" w:firstRow="1" w:lastRow="0" w:firstColumn="0" w:lastColumn="0" w:oddVBand="0" w:evenVBand="0" w:oddHBand="0" w:evenHBand="0" w:firstRowFirstColumn="0" w:firstRowLastColumn="0" w:lastRowFirstColumn="0" w:lastRowLastColumn="0"/>
              <w:rPr>
                <w:b/>
                <w:bCs w:val="0"/>
              </w:rPr>
            </w:pPr>
            <w:r w:rsidRPr="00CE2711">
              <w:rPr>
                <w:b/>
                <w:bCs w:val="0"/>
              </w:rPr>
              <w:t>Definitions</w:t>
            </w:r>
          </w:p>
        </w:tc>
      </w:tr>
      <w:tr w:rsidR="00A8128F" w:rsidRPr="00CE2711" w14:paraId="2A3D1536" w14:textId="77777777" w:rsidTr="002037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6" w:type="dxa"/>
            <w:tcBorders>
              <w:left w:val="nil"/>
              <w:right w:val="single" w:sz="8" w:space="0" w:color="1C556C" w:themeColor="accent1"/>
            </w:tcBorders>
            <w:shd w:val="clear" w:color="auto" w:fill="D2DDE1" w:themeFill="background2"/>
            <w:hideMark/>
          </w:tcPr>
          <w:p w14:paraId="5BF0BAE5" w14:textId="77777777" w:rsidR="00A8128F" w:rsidRPr="00CE2711" w:rsidRDefault="00A8128F">
            <w:pPr>
              <w:pStyle w:val="TableTextbold"/>
              <w:rPr>
                <w:rFonts w:eastAsia="Times New Roman" w:cs="Calibri"/>
                <w:b/>
                <w:bCs w:val="0"/>
                <w:color w:val="000000"/>
              </w:rPr>
            </w:pPr>
            <w:r w:rsidRPr="00CE2711">
              <w:rPr>
                <w:b/>
                <w:bCs w:val="0"/>
              </w:rPr>
              <w:t xml:space="preserve">Definition needed to understand each indicator: </w:t>
            </w:r>
          </w:p>
        </w:tc>
        <w:tc>
          <w:tcPr>
            <w:tcW w:w="5629" w:type="dxa"/>
            <w:tcBorders>
              <w:left w:val="single" w:sz="8" w:space="0" w:color="1C556C" w:themeColor="accent1"/>
              <w:right w:val="nil"/>
            </w:tcBorders>
            <w:shd w:val="clear" w:color="auto" w:fill="D2DDE1" w:themeFill="background2"/>
          </w:tcPr>
          <w:p w14:paraId="3D3EB89C" w14:textId="77777777" w:rsidR="00A8128F" w:rsidRPr="00CE2711" w:rsidRDefault="00A8128F">
            <w:pPr>
              <w:pStyle w:val="TableText"/>
              <w:cnfStyle w:val="000000100000" w:firstRow="0" w:lastRow="0" w:firstColumn="0" w:lastColumn="0" w:oddVBand="0" w:evenVBand="0" w:oddHBand="1" w:evenHBand="0" w:firstRowFirstColumn="0" w:firstRowLastColumn="0" w:lastRowFirstColumn="0" w:lastRowLastColumn="0"/>
            </w:pPr>
          </w:p>
        </w:tc>
      </w:tr>
      <w:tr w:rsidR="00A8128F" w:rsidRPr="008B50D0" w14:paraId="57E9B4EA" w14:textId="77777777" w:rsidTr="006F4A1F">
        <w:tc>
          <w:tcPr>
            <w:cnfStyle w:val="001000000000" w:firstRow="0" w:lastRow="0" w:firstColumn="1" w:lastColumn="0" w:oddVBand="0" w:evenVBand="0" w:oddHBand="0" w:evenHBand="0" w:firstRowFirstColumn="0" w:firstRowLastColumn="0" w:lastRowFirstColumn="0" w:lastRowLastColumn="0"/>
            <w:tcW w:w="2876" w:type="dxa"/>
            <w:tcBorders>
              <w:top w:val="single" w:sz="8" w:space="0" w:color="1C556C" w:themeColor="accent1"/>
              <w:bottom w:val="single" w:sz="8" w:space="0" w:color="1C556C" w:themeColor="accent1"/>
              <w:right w:val="single" w:sz="8" w:space="0" w:color="1C556C" w:themeColor="accent1"/>
            </w:tcBorders>
            <w:hideMark/>
          </w:tcPr>
          <w:p w14:paraId="0463789C" w14:textId="77777777" w:rsidR="00A8128F" w:rsidRPr="008B50D0" w:rsidRDefault="00A8128F">
            <w:pPr>
              <w:pStyle w:val="TableTextbold"/>
              <w:rPr>
                <w:rFonts w:eastAsia="Times New Roman" w:cs="Calibri"/>
                <w:color w:val="000000"/>
                <w:szCs w:val="18"/>
              </w:rPr>
            </w:pPr>
            <w:r w:rsidRPr="00CE2711">
              <w:rPr>
                <w:b/>
                <w:bCs w:val="0"/>
                <w:i/>
                <w:iCs/>
              </w:rPr>
              <w:t>Annual net target accounting emissions in kt CO</w:t>
            </w:r>
            <w:r w:rsidRPr="00CE2711">
              <w:rPr>
                <w:b/>
                <w:bCs w:val="0"/>
                <w:i/>
                <w:iCs/>
                <w:vertAlign w:val="subscript"/>
              </w:rPr>
              <w:t>2</w:t>
            </w:r>
            <w:r w:rsidRPr="00CE2711">
              <w:rPr>
                <w:b/>
                <w:bCs w:val="0"/>
                <w:i/>
                <w:iCs/>
              </w:rPr>
              <w:t>e</w:t>
            </w:r>
          </w:p>
        </w:tc>
        <w:tc>
          <w:tcPr>
            <w:tcW w:w="5629" w:type="dxa"/>
            <w:tcBorders>
              <w:top w:val="single" w:sz="8" w:space="0" w:color="1C556C" w:themeColor="accent1"/>
              <w:left w:val="single" w:sz="8" w:space="0" w:color="1C556C" w:themeColor="accent1"/>
              <w:bottom w:val="single" w:sz="8" w:space="0" w:color="1C556C" w:themeColor="accent1"/>
            </w:tcBorders>
            <w:noWrap/>
          </w:tcPr>
          <w:p w14:paraId="7716B0CA" w14:textId="77777777" w:rsidR="00A8128F" w:rsidRPr="008B50D0" w:rsidRDefault="00A8128F">
            <w:pPr>
              <w:pStyle w:val="TableText"/>
              <w:cnfStyle w:val="000000000000" w:firstRow="0" w:lastRow="0" w:firstColumn="0" w:lastColumn="0" w:oddVBand="0" w:evenVBand="0" w:oddHBand="0" w:evenHBand="0" w:firstRowFirstColumn="0" w:firstRowLastColumn="0" w:lastRowFirstColumn="0" w:lastRowLastColumn="0"/>
            </w:pPr>
            <w:r w:rsidRPr="008B50D0">
              <w:t>Annual net target accounting quantities comprise</w:t>
            </w:r>
            <w:r>
              <w:t>:</w:t>
            </w:r>
            <w:r w:rsidRPr="008B50D0">
              <w:t xml:space="preserve"> </w:t>
            </w:r>
          </w:p>
          <w:p w14:paraId="3C893775" w14:textId="77777777" w:rsidR="00A8128F" w:rsidRPr="008B50D0" w:rsidRDefault="00A8128F" w:rsidP="00A8128F">
            <w:pPr>
              <w:pStyle w:val="TableBullet"/>
              <w:tabs>
                <w:tab w:val="num" w:pos="360"/>
              </w:tabs>
              <w:cnfStyle w:val="000000000000" w:firstRow="0" w:lastRow="0" w:firstColumn="0" w:lastColumn="0" w:oddVBand="0" w:evenVBand="0" w:oddHBand="0" w:evenHBand="0" w:firstRowFirstColumn="0" w:firstRowLastColumn="0" w:lastRowFirstColumn="0" w:lastRowLastColumn="0"/>
            </w:pPr>
            <w:r w:rsidRPr="008B50D0">
              <w:t xml:space="preserve">all gross emissions </w:t>
            </w:r>
          </w:p>
          <w:p w14:paraId="772169EE" w14:textId="70E6BCF4" w:rsidR="00A8128F" w:rsidRPr="008B50D0" w:rsidRDefault="00A8128F" w:rsidP="00A8128F">
            <w:pPr>
              <w:pStyle w:val="TableBullet"/>
              <w:tabs>
                <w:tab w:val="num" w:pos="360"/>
              </w:tabs>
              <w:cnfStyle w:val="000000000000" w:firstRow="0" w:lastRow="0" w:firstColumn="0" w:lastColumn="0" w:oddVBand="0" w:evenVBand="0" w:oddHBand="0" w:evenHBand="0" w:firstRowFirstColumn="0" w:firstRowLastColumn="0" w:lastRowFirstColumn="0" w:lastRowLastColumn="0"/>
            </w:pPr>
            <w:r w:rsidRPr="008B50D0">
              <w:t xml:space="preserve">emissions from the following LULUCF activities: </w:t>
            </w:r>
            <w:r w:rsidRPr="008B50D0">
              <w:rPr>
                <w:i/>
              </w:rPr>
              <w:t>Afforestation and reforestation</w:t>
            </w:r>
            <w:r w:rsidRPr="008B50D0">
              <w:t xml:space="preserve">, </w:t>
            </w:r>
            <w:r w:rsidRPr="008B50D0">
              <w:rPr>
                <w:i/>
              </w:rPr>
              <w:t xml:space="preserve">Forest </w:t>
            </w:r>
            <w:r>
              <w:rPr>
                <w:i/>
              </w:rPr>
              <w:t>m</w:t>
            </w:r>
            <w:r w:rsidRPr="008B50D0">
              <w:rPr>
                <w:i/>
              </w:rPr>
              <w:t>anagement</w:t>
            </w:r>
            <w:r w:rsidRPr="008B50D0">
              <w:t xml:space="preserve"> and </w:t>
            </w:r>
            <w:r w:rsidRPr="008B50D0" w:rsidDel="00554ED0">
              <w:rPr>
                <w:i/>
              </w:rPr>
              <w:t>D</w:t>
            </w:r>
            <w:r w:rsidRPr="008B50D0">
              <w:rPr>
                <w:i/>
              </w:rPr>
              <w:t>eforestation</w:t>
            </w:r>
            <w:r w:rsidRPr="008B50D0">
              <w:t xml:space="preserve">. A country-specific approach to account for emissions from </w:t>
            </w:r>
            <w:r w:rsidRPr="008B50D0">
              <w:rPr>
                <w:i/>
              </w:rPr>
              <w:t>Afforestation and reforestation</w:t>
            </w:r>
            <w:r w:rsidRPr="008B50D0">
              <w:t xml:space="preserve"> is applied.</w:t>
            </w:r>
          </w:p>
        </w:tc>
      </w:tr>
      <w:tr w:rsidR="00A8128F" w:rsidRPr="008B50D0" w14:paraId="1C3A1551" w14:textId="77777777" w:rsidTr="002037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6" w:type="dxa"/>
            <w:tcBorders>
              <w:left w:val="nil"/>
              <w:right w:val="single" w:sz="8" w:space="0" w:color="1C556C" w:themeColor="accent1"/>
            </w:tcBorders>
            <w:shd w:val="clear" w:color="auto" w:fill="D2DDE1" w:themeFill="background2"/>
            <w:hideMark/>
          </w:tcPr>
          <w:p w14:paraId="3BCE4CC0" w14:textId="77777777" w:rsidR="00A8128F" w:rsidRPr="00CE2711" w:rsidRDefault="00A8128F">
            <w:pPr>
              <w:pStyle w:val="TableTextbold"/>
              <w:rPr>
                <w:rFonts w:eastAsia="Times New Roman" w:cs="Calibri"/>
                <w:b/>
                <w:bCs w:val="0"/>
                <w:color w:val="000000"/>
              </w:rPr>
            </w:pPr>
            <w:r w:rsidRPr="00CE2711">
              <w:rPr>
                <w:b/>
                <w:bCs w:val="0"/>
              </w:rPr>
              <w:t xml:space="preserve">Any sector or category defined differently than in the national inventory report: </w:t>
            </w:r>
          </w:p>
        </w:tc>
        <w:tc>
          <w:tcPr>
            <w:tcW w:w="5629" w:type="dxa"/>
            <w:tcBorders>
              <w:left w:val="single" w:sz="8" w:space="0" w:color="1C556C" w:themeColor="accent1"/>
              <w:right w:val="nil"/>
            </w:tcBorders>
            <w:shd w:val="clear" w:color="auto" w:fill="D2DDE1" w:themeFill="background2"/>
          </w:tcPr>
          <w:p w14:paraId="7463301F" w14:textId="77777777" w:rsidR="00A8128F" w:rsidRPr="008B50D0" w:rsidRDefault="00A8128F">
            <w:pPr>
              <w:pStyle w:val="TableText"/>
              <w:cnfStyle w:val="000000100000" w:firstRow="0" w:lastRow="0" w:firstColumn="0" w:lastColumn="0" w:oddVBand="0" w:evenVBand="0" w:oddHBand="1" w:evenHBand="0" w:firstRowFirstColumn="0" w:firstRowLastColumn="0" w:lastRowFirstColumn="0" w:lastRowLastColumn="0"/>
            </w:pPr>
          </w:p>
        </w:tc>
      </w:tr>
      <w:tr w:rsidR="00A8128F" w:rsidRPr="008B50D0" w14:paraId="30FC2E13" w14:textId="77777777" w:rsidTr="002037C6">
        <w:tc>
          <w:tcPr>
            <w:cnfStyle w:val="001000000000" w:firstRow="0" w:lastRow="0" w:firstColumn="1" w:lastColumn="0" w:oddVBand="0" w:evenVBand="0" w:oddHBand="0" w:evenHBand="0" w:firstRowFirstColumn="0" w:firstRowLastColumn="0" w:lastRowFirstColumn="0" w:lastRowLastColumn="0"/>
            <w:tcW w:w="2876" w:type="dxa"/>
            <w:tcBorders>
              <w:top w:val="single" w:sz="8" w:space="0" w:color="1C556C" w:themeColor="accent1"/>
              <w:bottom w:val="single" w:sz="8" w:space="0" w:color="1C556C" w:themeColor="accent1"/>
              <w:right w:val="single" w:sz="8" w:space="0" w:color="1C556C" w:themeColor="accent1"/>
            </w:tcBorders>
          </w:tcPr>
          <w:p w14:paraId="7B50883C" w14:textId="5BC27318" w:rsidR="00A8128F" w:rsidRPr="00CE2711" w:rsidRDefault="00A8128F">
            <w:pPr>
              <w:pStyle w:val="TableTextbold"/>
              <w:rPr>
                <w:b/>
                <w:bCs w:val="0"/>
                <w:i/>
                <w:iCs/>
              </w:rPr>
            </w:pPr>
            <w:r w:rsidRPr="00CE2711">
              <w:rPr>
                <w:b/>
                <w:bCs w:val="0"/>
                <w:i/>
                <w:iCs/>
              </w:rPr>
              <w:t xml:space="preserve">Land </w:t>
            </w:r>
            <w:r w:rsidR="00CD044A">
              <w:rPr>
                <w:b/>
                <w:bCs w:val="0"/>
                <w:i/>
                <w:iCs/>
              </w:rPr>
              <w:t>U</w:t>
            </w:r>
            <w:r w:rsidRPr="00CE2711">
              <w:rPr>
                <w:b/>
                <w:bCs w:val="0"/>
                <w:i/>
                <w:iCs/>
              </w:rPr>
              <w:t xml:space="preserve">se, </w:t>
            </w:r>
            <w:r w:rsidR="00CD044A">
              <w:rPr>
                <w:b/>
                <w:bCs w:val="0"/>
                <w:i/>
                <w:iCs/>
              </w:rPr>
              <w:t>L</w:t>
            </w:r>
            <w:r w:rsidRPr="00CE2711">
              <w:rPr>
                <w:b/>
                <w:bCs w:val="0"/>
                <w:i/>
                <w:iCs/>
              </w:rPr>
              <w:t>and-</w:t>
            </w:r>
            <w:r w:rsidR="00CD044A">
              <w:rPr>
                <w:b/>
                <w:bCs w:val="0"/>
                <w:i/>
                <w:iCs/>
              </w:rPr>
              <w:t>U</w:t>
            </w:r>
            <w:r w:rsidRPr="00CE2711">
              <w:rPr>
                <w:b/>
                <w:bCs w:val="0"/>
                <w:i/>
                <w:iCs/>
              </w:rPr>
              <w:t xml:space="preserve">se </w:t>
            </w:r>
            <w:r w:rsidR="00CD044A">
              <w:rPr>
                <w:b/>
                <w:bCs w:val="0"/>
                <w:i/>
                <w:iCs/>
              </w:rPr>
              <w:t>C</w:t>
            </w:r>
            <w:r w:rsidRPr="00CE2711">
              <w:rPr>
                <w:b/>
                <w:bCs w:val="0"/>
                <w:i/>
                <w:iCs/>
              </w:rPr>
              <w:t xml:space="preserve">hange and </w:t>
            </w:r>
            <w:r w:rsidR="00CD044A">
              <w:rPr>
                <w:b/>
                <w:bCs w:val="0"/>
                <w:i/>
                <w:iCs/>
              </w:rPr>
              <w:t>F</w:t>
            </w:r>
            <w:r w:rsidRPr="00CE2711">
              <w:rPr>
                <w:b/>
                <w:bCs w:val="0"/>
                <w:i/>
                <w:iCs/>
              </w:rPr>
              <w:t>orestry</w:t>
            </w:r>
          </w:p>
        </w:tc>
        <w:tc>
          <w:tcPr>
            <w:tcW w:w="5629" w:type="dxa"/>
            <w:tcBorders>
              <w:top w:val="single" w:sz="8" w:space="0" w:color="1C556C" w:themeColor="accent1"/>
              <w:left w:val="single" w:sz="8" w:space="0" w:color="1C556C" w:themeColor="accent1"/>
              <w:bottom w:val="single" w:sz="8" w:space="0" w:color="1C556C" w:themeColor="accent1"/>
            </w:tcBorders>
          </w:tcPr>
          <w:p w14:paraId="5B874E65" w14:textId="77777777" w:rsidR="00A8128F" w:rsidRPr="008B50D0" w:rsidRDefault="00A8128F">
            <w:pPr>
              <w:pStyle w:val="TableText"/>
              <w:cnfStyle w:val="000000000000" w:firstRow="0" w:lastRow="0" w:firstColumn="0" w:lastColumn="0" w:oddVBand="0" w:evenVBand="0" w:oddHBand="0" w:evenHBand="0" w:firstRowFirstColumn="0" w:firstRowLastColumn="0" w:lastRowFirstColumn="0" w:lastRowLastColumn="0"/>
            </w:pPr>
            <w:r w:rsidRPr="008B50D0">
              <w:t>New Zealand’s accounting approach to the LULUCF sector is activity based and applies existing IPCC methodologies to distinguish areas subject to direct human-induced change that has occurred since 1990 from those under pre-existing management as at 1990, as follows</w:t>
            </w:r>
            <w:r>
              <w:t>.</w:t>
            </w:r>
            <w:r w:rsidRPr="008B50D0">
              <w:t xml:space="preserve"> </w:t>
            </w:r>
          </w:p>
          <w:p w14:paraId="70D76868" w14:textId="77777777" w:rsidR="00A8128F" w:rsidRPr="008B50D0" w:rsidRDefault="00A8128F" w:rsidP="00A8128F">
            <w:pPr>
              <w:pStyle w:val="TableBullet"/>
              <w:tabs>
                <w:tab w:val="num" w:pos="360"/>
              </w:tabs>
              <w:cnfStyle w:val="000000000000" w:firstRow="0" w:lastRow="0" w:firstColumn="0" w:lastColumn="0" w:oddVBand="0" w:evenVBand="0" w:oddHBand="0" w:evenHBand="0" w:firstRowFirstColumn="0" w:firstRowLastColumn="0" w:lastRowFirstColumn="0" w:lastRowLastColumn="0"/>
            </w:pPr>
            <w:r w:rsidRPr="008B50D0">
              <w:t xml:space="preserve">Emissions and removals from </w:t>
            </w:r>
            <w:r w:rsidRPr="008B50D0">
              <w:rPr>
                <w:i/>
                <w:iCs/>
              </w:rPr>
              <w:t>Afforestation and reforestation</w:t>
            </w:r>
            <w:r w:rsidRPr="008B50D0">
              <w:t xml:space="preserve"> activities are accounted for until the forests attain their long-term average carbon stock, taking into account all carbon pools. Thereafter</w:t>
            </w:r>
            <w:r>
              <w:t>,</w:t>
            </w:r>
            <w:r w:rsidRPr="008B50D0">
              <w:t xml:space="preserve"> emissions and removals from these activities are tracked to ensure they are consistent with attaining the long-term average carbon stock over the long</w:t>
            </w:r>
            <w:r>
              <w:t xml:space="preserve"> </w:t>
            </w:r>
            <w:r w:rsidRPr="008B50D0">
              <w:t xml:space="preserve">term under business-as-usual management. </w:t>
            </w:r>
          </w:p>
          <w:p w14:paraId="12CD5751" w14:textId="77777777" w:rsidR="00A8128F" w:rsidRPr="008B50D0" w:rsidRDefault="00A8128F" w:rsidP="00A8128F">
            <w:pPr>
              <w:pStyle w:val="TableBullet"/>
              <w:tabs>
                <w:tab w:val="num" w:pos="360"/>
              </w:tabs>
              <w:cnfStyle w:val="000000000000" w:firstRow="0" w:lastRow="0" w:firstColumn="0" w:lastColumn="0" w:oddVBand="0" w:evenVBand="0" w:oddHBand="0" w:evenHBand="0" w:firstRowFirstColumn="0" w:firstRowLastColumn="0" w:lastRowFirstColumn="0" w:lastRowLastColumn="0"/>
            </w:pPr>
            <w:r w:rsidRPr="008B50D0">
              <w:t xml:space="preserve">Emissions and removals from </w:t>
            </w:r>
            <w:r w:rsidRPr="008B50D0">
              <w:rPr>
                <w:i/>
                <w:iCs/>
              </w:rPr>
              <w:t>Deforestation</w:t>
            </w:r>
            <w:r w:rsidRPr="008B50D0">
              <w:t xml:space="preserve"> activities are fully accounted for.</w:t>
            </w:r>
          </w:p>
          <w:p w14:paraId="6A9B89E0" w14:textId="77777777" w:rsidR="00A8128F" w:rsidRPr="008B50D0" w:rsidRDefault="00A8128F" w:rsidP="00A8128F">
            <w:pPr>
              <w:pStyle w:val="TableBullet"/>
              <w:tabs>
                <w:tab w:val="num" w:pos="360"/>
              </w:tabs>
              <w:cnfStyle w:val="000000000000" w:firstRow="0" w:lastRow="0" w:firstColumn="0" w:lastColumn="0" w:oddVBand="0" w:evenVBand="0" w:oddHBand="0" w:evenHBand="0" w:firstRowFirstColumn="0" w:firstRowLastColumn="0" w:lastRowFirstColumn="0" w:lastRowLastColumn="0"/>
            </w:pPr>
            <w:r w:rsidRPr="008B50D0">
              <w:t xml:space="preserve">Emissions and removals from </w:t>
            </w:r>
            <w:r w:rsidRPr="008B50D0">
              <w:rPr>
                <w:i/>
                <w:iCs/>
              </w:rPr>
              <w:t>Forest management</w:t>
            </w:r>
            <w:r w:rsidRPr="008B50D0">
              <w:t xml:space="preserve"> activities are accounted for under a business-as-usual reference level, to address the dynamic effects of age structure resulting from activities and practices occurring before the start year, and the ongoing cycles of forest harvest and regrowth that occur as part of normal, sustainable forest management in production forests. </w:t>
            </w:r>
          </w:p>
          <w:p w14:paraId="6C055334" w14:textId="77777777" w:rsidR="00A8128F" w:rsidRPr="008B50D0" w:rsidRDefault="00A8128F" w:rsidP="00A8128F">
            <w:pPr>
              <w:pStyle w:val="TableBullet"/>
              <w:tabs>
                <w:tab w:val="num" w:pos="360"/>
              </w:tabs>
              <w:cnfStyle w:val="000000000000" w:firstRow="0" w:lastRow="0" w:firstColumn="0" w:lastColumn="0" w:oddVBand="0" w:evenVBand="0" w:oddHBand="0" w:evenHBand="0" w:firstRowFirstColumn="0" w:firstRowLastColumn="0" w:lastRowFirstColumn="0" w:lastRowLastColumn="0"/>
              <w:rPr>
                <w:rFonts w:cs="Times New Roman"/>
              </w:rPr>
            </w:pPr>
            <w:r w:rsidRPr="008B50D0">
              <w:t xml:space="preserve">Accounting provisions to address natural disturbances on managed lands, non-anthropogenic effects and additionality since the activity start year also apply, building on existing guidance. </w:t>
            </w:r>
          </w:p>
          <w:p w14:paraId="2355E342" w14:textId="77777777" w:rsidR="00A8128F" w:rsidRPr="008B50D0" w:rsidRDefault="00A8128F" w:rsidP="00A8128F">
            <w:pPr>
              <w:pStyle w:val="TableBullet"/>
              <w:tabs>
                <w:tab w:val="num" w:pos="360"/>
              </w:tabs>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rPr>
            </w:pPr>
            <w:r w:rsidRPr="008B50D0">
              <w:t>Accounting for harvested wood products is based on the production approach.</w:t>
            </w:r>
          </w:p>
        </w:tc>
      </w:tr>
      <w:tr w:rsidR="00A8128F" w14:paraId="7FCC596E" w14:textId="77777777" w:rsidTr="002037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6" w:type="dxa"/>
            <w:tcBorders>
              <w:left w:val="nil"/>
              <w:right w:val="single" w:sz="8" w:space="0" w:color="1C556C" w:themeColor="accent1"/>
            </w:tcBorders>
            <w:shd w:val="clear" w:color="auto" w:fill="D2DDE1" w:themeFill="background2"/>
          </w:tcPr>
          <w:p w14:paraId="5580533C" w14:textId="3381E938" w:rsidR="00A8128F" w:rsidRDefault="00A8128F">
            <w:pPr>
              <w:pStyle w:val="TableText"/>
            </w:pPr>
            <w:r w:rsidRPr="00580C20">
              <w:t xml:space="preserve">Definition needed </w:t>
            </w:r>
            <w:r w:rsidR="00580C20" w:rsidRPr="00580C20">
              <w:t xml:space="preserve">to </w:t>
            </w:r>
            <w:r w:rsidRPr="00580C20">
              <w:t>understand mitigation co-benefits of adaptation actions and/or economic diversification plans</w:t>
            </w:r>
            <w:r w:rsidRPr="00B82136">
              <w:rPr>
                <w:b w:val="0"/>
                <w:bCs w:val="0"/>
              </w:rPr>
              <w:t>:</w:t>
            </w:r>
          </w:p>
        </w:tc>
        <w:tc>
          <w:tcPr>
            <w:tcW w:w="5629" w:type="dxa"/>
            <w:tcBorders>
              <w:left w:val="single" w:sz="8" w:space="0" w:color="1C556C" w:themeColor="accent1"/>
              <w:right w:val="nil"/>
            </w:tcBorders>
            <w:shd w:val="clear" w:color="auto" w:fill="D2DDE1" w:themeFill="background2"/>
          </w:tcPr>
          <w:p w14:paraId="370617D0" w14:textId="77777777" w:rsidR="00A8128F" w:rsidRDefault="00A8128F">
            <w:pPr>
              <w:pStyle w:val="TableText"/>
              <w:cnfStyle w:val="000000100000" w:firstRow="0" w:lastRow="0" w:firstColumn="0" w:lastColumn="0" w:oddVBand="0" w:evenVBand="0" w:oddHBand="1" w:evenHBand="0" w:firstRowFirstColumn="0" w:firstRowLastColumn="0" w:lastRowFirstColumn="0" w:lastRowLastColumn="0"/>
            </w:pPr>
          </w:p>
        </w:tc>
      </w:tr>
      <w:tr w:rsidR="00A8128F" w14:paraId="16AA52A1" w14:textId="77777777" w:rsidTr="002037C6">
        <w:tc>
          <w:tcPr>
            <w:cnfStyle w:val="001000000000" w:firstRow="0" w:lastRow="0" w:firstColumn="1" w:lastColumn="0" w:oddVBand="0" w:evenVBand="0" w:oddHBand="0" w:evenHBand="0" w:firstRowFirstColumn="0" w:firstRowLastColumn="0" w:lastRowFirstColumn="0" w:lastRowLastColumn="0"/>
            <w:tcW w:w="2876" w:type="dxa"/>
            <w:tcBorders>
              <w:top w:val="single" w:sz="8" w:space="0" w:color="1C556C" w:themeColor="accent1"/>
              <w:bottom w:val="single" w:sz="8" w:space="0" w:color="1C556C" w:themeColor="accent1"/>
              <w:right w:val="single" w:sz="8" w:space="0" w:color="1C556C" w:themeColor="accent1"/>
            </w:tcBorders>
          </w:tcPr>
          <w:p w14:paraId="5D8FCD1E" w14:textId="77777777" w:rsidR="00A8128F" w:rsidRPr="00B82136" w:rsidRDefault="00A8128F">
            <w:pPr>
              <w:pStyle w:val="TableText"/>
            </w:pPr>
            <w:r w:rsidRPr="00B82136">
              <w:rPr>
                <w:i/>
                <w:iCs/>
              </w:rPr>
              <w:t>Adaptation actions</w:t>
            </w:r>
          </w:p>
        </w:tc>
        <w:tc>
          <w:tcPr>
            <w:tcW w:w="5629" w:type="dxa"/>
            <w:tcBorders>
              <w:top w:val="single" w:sz="8" w:space="0" w:color="1C556C" w:themeColor="accent1"/>
              <w:left w:val="single" w:sz="8" w:space="0" w:color="1C556C" w:themeColor="accent1"/>
              <w:bottom w:val="single" w:sz="8" w:space="0" w:color="1C556C" w:themeColor="accent1"/>
            </w:tcBorders>
          </w:tcPr>
          <w:p w14:paraId="70BCD0FC" w14:textId="77777777" w:rsidR="00A8128F" w:rsidRDefault="00A8128F">
            <w:pPr>
              <w:pStyle w:val="TableText"/>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rPr>
            </w:pPr>
            <w:r w:rsidRPr="49090CE0">
              <w:rPr>
                <w:rFonts w:eastAsia="Times New Roman" w:cs="Calibri"/>
                <w:color w:val="000000" w:themeColor="text1"/>
              </w:rPr>
              <w:t>Not applicable.</w:t>
            </w:r>
          </w:p>
        </w:tc>
      </w:tr>
      <w:tr w:rsidR="00A8128F" w14:paraId="2EB62B4F" w14:textId="77777777" w:rsidTr="002037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6" w:type="dxa"/>
            <w:tcBorders>
              <w:left w:val="nil"/>
              <w:right w:val="single" w:sz="8" w:space="0" w:color="1C556C" w:themeColor="accent1"/>
            </w:tcBorders>
          </w:tcPr>
          <w:p w14:paraId="1F30A05D" w14:textId="77777777" w:rsidR="00A8128F" w:rsidRPr="00B82136" w:rsidRDefault="00A8128F">
            <w:pPr>
              <w:pStyle w:val="TableText"/>
            </w:pPr>
            <w:r w:rsidRPr="00B82136">
              <w:rPr>
                <w:i/>
                <w:iCs/>
              </w:rPr>
              <w:t>Economic diversification plans</w:t>
            </w:r>
          </w:p>
        </w:tc>
        <w:tc>
          <w:tcPr>
            <w:tcW w:w="5629" w:type="dxa"/>
            <w:tcBorders>
              <w:left w:val="single" w:sz="8" w:space="0" w:color="1C556C" w:themeColor="accent1"/>
              <w:right w:val="nil"/>
            </w:tcBorders>
          </w:tcPr>
          <w:p w14:paraId="2784DA44" w14:textId="77777777" w:rsidR="00A8128F" w:rsidRDefault="00A8128F">
            <w:pPr>
              <w:pStyle w:val="TableText"/>
              <w:cnfStyle w:val="000000100000" w:firstRow="0" w:lastRow="0" w:firstColumn="0" w:lastColumn="0" w:oddVBand="0" w:evenVBand="0" w:oddHBand="1" w:evenHBand="0" w:firstRowFirstColumn="0" w:firstRowLastColumn="0" w:lastRowFirstColumn="0" w:lastRowLastColumn="0"/>
              <w:rPr>
                <w:rFonts w:eastAsia="Times New Roman" w:cs="Calibri"/>
                <w:color w:val="000000" w:themeColor="text1"/>
              </w:rPr>
            </w:pPr>
            <w:r w:rsidRPr="49090CE0">
              <w:rPr>
                <w:rFonts w:eastAsia="Times New Roman" w:cs="Calibri"/>
                <w:color w:val="000000" w:themeColor="text1"/>
              </w:rPr>
              <w:t>Not applicable.</w:t>
            </w:r>
          </w:p>
        </w:tc>
      </w:tr>
      <w:tr w:rsidR="00A8128F" w14:paraId="1309F3AF" w14:textId="77777777" w:rsidTr="002037C6">
        <w:tc>
          <w:tcPr>
            <w:cnfStyle w:val="001000000000" w:firstRow="0" w:lastRow="0" w:firstColumn="1" w:lastColumn="0" w:oddVBand="0" w:evenVBand="0" w:oddHBand="0" w:evenHBand="0" w:firstRowFirstColumn="0" w:firstRowLastColumn="0" w:lastRowFirstColumn="0" w:lastRowLastColumn="0"/>
            <w:tcW w:w="2876" w:type="dxa"/>
            <w:tcBorders>
              <w:top w:val="single" w:sz="8" w:space="0" w:color="1C556C" w:themeColor="accent1"/>
              <w:right w:val="single" w:sz="8" w:space="0" w:color="1C556C" w:themeColor="accent1"/>
            </w:tcBorders>
            <w:shd w:val="clear" w:color="auto" w:fill="D2DDE1" w:themeFill="background2"/>
          </w:tcPr>
          <w:p w14:paraId="1DA84FEA" w14:textId="77777777" w:rsidR="00A8128F" w:rsidRPr="00B82136" w:rsidRDefault="00A8128F">
            <w:pPr>
              <w:pStyle w:val="TableText"/>
            </w:pPr>
            <w:r w:rsidRPr="00B82136">
              <w:t>Any other relevant definitions</w:t>
            </w:r>
          </w:p>
        </w:tc>
        <w:tc>
          <w:tcPr>
            <w:tcW w:w="5629" w:type="dxa"/>
            <w:tcBorders>
              <w:top w:val="single" w:sz="8" w:space="0" w:color="1C556C" w:themeColor="accent1"/>
              <w:left w:val="single" w:sz="8" w:space="0" w:color="1C556C" w:themeColor="accent1"/>
            </w:tcBorders>
            <w:shd w:val="clear" w:color="auto" w:fill="D2DDE1" w:themeFill="background2"/>
          </w:tcPr>
          <w:p w14:paraId="5D0E9228" w14:textId="77777777" w:rsidR="00A8128F" w:rsidRDefault="00A8128F">
            <w:pPr>
              <w:pStyle w:val="TableText"/>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rPr>
            </w:pPr>
          </w:p>
        </w:tc>
      </w:tr>
    </w:tbl>
    <w:p w14:paraId="7FD62A4E" w14:textId="77777777" w:rsidR="00A8128F" w:rsidRPr="008B50D0" w:rsidRDefault="00A8128F" w:rsidP="00A8128F">
      <w:pPr>
        <w:pStyle w:val="Note"/>
      </w:pPr>
      <w:r w:rsidRPr="008B50D0">
        <w:rPr>
          <w:b/>
          <w:bCs/>
        </w:rPr>
        <w:t>Note</w:t>
      </w:r>
      <w:r w:rsidRPr="008B50D0">
        <w:t xml:space="preserve">: IPCC = Intergovernmental Panel on Climate Change; LULUCF = </w:t>
      </w:r>
      <w:r w:rsidRPr="008B50D0">
        <w:rPr>
          <w:rFonts w:cs="Calibri"/>
        </w:rPr>
        <w:t>Land Use, Land-Use Change and Forestry</w:t>
      </w:r>
      <w:r w:rsidRPr="008B50D0">
        <w:t>.</w:t>
      </w:r>
    </w:p>
    <w:p w14:paraId="5621F935" w14:textId="77777777" w:rsidR="00A8128F" w:rsidRPr="008B50D0" w:rsidRDefault="00A8128F" w:rsidP="002037C6">
      <w:pPr>
        <w:pStyle w:val="Heading2"/>
        <w:numPr>
          <w:ilvl w:val="0"/>
          <w:numId w:val="77"/>
        </w:numPr>
        <w:tabs>
          <w:tab w:val="num" w:pos="1134"/>
        </w:tabs>
        <w:ind w:left="1134" w:hanging="1134"/>
      </w:pPr>
      <w:bookmarkStart w:id="246" w:name="section234"/>
      <w:bookmarkStart w:id="247" w:name="_Toc169616361"/>
      <w:bookmarkStart w:id="248" w:name="_Toc169620066"/>
      <w:bookmarkStart w:id="249" w:name="_Toc172793979"/>
      <w:bookmarkStart w:id="250" w:name="_Toc184825500"/>
      <w:bookmarkEnd w:id="246"/>
      <w:r w:rsidRPr="008B50D0">
        <w:t>Methodologies and accounting approaches</w:t>
      </w:r>
      <w:bookmarkEnd w:id="247"/>
      <w:bookmarkEnd w:id="248"/>
      <w:bookmarkEnd w:id="249"/>
      <w:bookmarkEnd w:id="250"/>
    </w:p>
    <w:p w14:paraId="70623E4B" w14:textId="77777777" w:rsidR="00A8128F" w:rsidRPr="008B50D0" w:rsidRDefault="00A8128F" w:rsidP="00A8128F">
      <w:pPr>
        <w:pStyle w:val="Heading3"/>
        <w:numPr>
          <w:ilvl w:val="0"/>
          <w:numId w:val="79"/>
        </w:numPr>
        <w:ind w:left="0" w:firstLine="0"/>
      </w:pPr>
      <w:bookmarkStart w:id="251" w:name="_Toc169616362"/>
      <w:bookmarkStart w:id="252" w:name="_Toc169620067"/>
      <w:bookmarkStart w:id="253" w:name="_Toc172793980"/>
      <w:r w:rsidRPr="008B50D0">
        <w:t>Methodology for target and baselines</w:t>
      </w:r>
      <w:bookmarkEnd w:id="251"/>
      <w:bookmarkEnd w:id="252"/>
      <w:bookmarkEnd w:id="253"/>
    </w:p>
    <w:p w14:paraId="03FCAD80" w14:textId="77777777" w:rsidR="00A8128F" w:rsidRPr="008B50D0" w:rsidRDefault="00A8128F" w:rsidP="00A8128F">
      <w:pPr>
        <w:pStyle w:val="BodyText"/>
      </w:pPr>
      <w:r w:rsidRPr="008B50D0">
        <w:t>The NDC1 emissions budget sets the total amount of emissions able to be emitted over the period covered by NDC1. To calculate this budget, a trajectory is drawn between a start point and an end point. The starting point used is New Zealand’s net target accounting emissions in 2020. The end point is the point year target of NDC1, which is for net emissions to be reduced to 50 per cent below 2005 gross emissions levels by 2030. The NDC1 emissions budget is equal to the amount of emissions occurring under the trajectory over the period of NDC1. The actual emissions pathway does not have to follow this exact trajectory, as long as New Zealand’s total emissions over the period are less than the allowed level, that is, the NDC1 emissions budget.</w:t>
      </w:r>
    </w:p>
    <w:p w14:paraId="0F98AA7F" w14:textId="77777777" w:rsidR="00A8128F" w:rsidRPr="008B50D0" w:rsidRDefault="00A8128F" w:rsidP="00A8128F">
      <w:pPr>
        <w:pStyle w:val="Heading3"/>
        <w:numPr>
          <w:ilvl w:val="0"/>
          <w:numId w:val="79"/>
        </w:numPr>
        <w:ind w:left="0" w:firstLine="0"/>
      </w:pPr>
      <w:bookmarkStart w:id="254" w:name="_Toc169616363"/>
      <w:bookmarkStart w:id="255" w:name="_Toc169620068"/>
      <w:bookmarkStart w:id="256" w:name="_Toc172793981"/>
      <w:r w:rsidRPr="008B50D0">
        <w:t>Methodology for accounting approach</w:t>
      </w:r>
      <w:bookmarkEnd w:id="254"/>
      <w:bookmarkEnd w:id="255"/>
      <w:bookmarkEnd w:id="256"/>
      <w:r w:rsidRPr="008B50D0">
        <w:t xml:space="preserve"> </w:t>
      </w:r>
    </w:p>
    <w:p w14:paraId="6ED176F1" w14:textId="77777777" w:rsidR="00A8128F" w:rsidRPr="008B50D0" w:rsidRDefault="00A8128F" w:rsidP="00A8128F">
      <w:pPr>
        <w:pStyle w:val="BodyText"/>
        <w:rPr>
          <w:rFonts w:cs="Calibri"/>
        </w:rPr>
      </w:pPr>
      <w:r w:rsidRPr="5FFF5976">
        <w:rPr>
          <w:rFonts w:cs="Calibri"/>
        </w:rPr>
        <w:t>New Zealand uses a target accounting approach for NDC1. New Zealand accounts for all gross emissions as reported annually in New Zealand’s Greenhouse Gas Inventory (the Inventory), but only a subset of emissions and removals from the LULUCF sector.</w:t>
      </w:r>
    </w:p>
    <w:p w14:paraId="74CCED37" w14:textId="77777777" w:rsidR="00A8128F" w:rsidRPr="00EA7A58" w:rsidRDefault="00A8128F" w:rsidP="00A8128F">
      <w:pPr>
        <w:pStyle w:val="BodyText"/>
      </w:pPr>
      <w:r w:rsidRPr="008B50D0">
        <w:t>New Zealand’s accounting approach for the LULUCF sector is based on the net emissions reported in the Inventory and applies elements of the 2013 Kyoto Protocol supplement,</w:t>
      </w:r>
      <w:r w:rsidRPr="00B82136">
        <w:rPr>
          <w:vertAlign w:val="superscript"/>
        </w:rPr>
        <w:footnoteReference w:id="134"/>
      </w:r>
      <w:r w:rsidRPr="008B50D0">
        <w:t xml:space="preserve"> and</w:t>
      </w:r>
      <w:r>
        <w:t> </w:t>
      </w:r>
      <w:r w:rsidRPr="008B50D0">
        <w:t xml:space="preserve">a country-specific approach to account for emissions from </w:t>
      </w:r>
      <w:r w:rsidRPr="5FFF5976">
        <w:rPr>
          <w:i/>
          <w:iCs/>
        </w:rPr>
        <w:t xml:space="preserve">Afforestation and reforestation </w:t>
      </w:r>
      <w:r w:rsidRPr="008B50D0">
        <w:t xml:space="preserve">activities. New Zealand has elected to account for emissions from the following LULUCF activities: </w:t>
      </w:r>
      <w:r w:rsidRPr="5FFF5976">
        <w:rPr>
          <w:i/>
          <w:iCs/>
        </w:rPr>
        <w:t>Afforestation and reforestation</w:t>
      </w:r>
      <w:r w:rsidRPr="008B50D0">
        <w:t xml:space="preserve">, </w:t>
      </w:r>
      <w:r w:rsidRPr="5FFF5976">
        <w:rPr>
          <w:i/>
          <w:iCs/>
        </w:rPr>
        <w:t>Forest management</w:t>
      </w:r>
      <w:r w:rsidRPr="008B50D0">
        <w:t xml:space="preserve"> and </w:t>
      </w:r>
      <w:r w:rsidRPr="5FFF5976">
        <w:rPr>
          <w:i/>
          <w:iCs/>
        </w:rPr>
        <w:t>Deforestation</w:t>
      </w:r>
      <w:r w:rsidRPr="008B50D0">
        <w:t xml:space="preserve">. </w:t>
      </w:r>
    </w:p>
    <w:p w14:paraId="74B545F2" w14:textId="77777777" w:rsidR="00A8128F" w:rsidRPr="008B50D0" w:rsidRDefault="00A8128F" w:rsidP="00A8128F">
      <w:pPr>
        <w:pStyle w:val="BodyText"/>
        <w:rPr>
          <w:rFonts w:cs="Calibri"/>
        </w:rPr>
      </w:pPr>
      <w:r w:rsidRPr="008B50D0">
        <w:t>Forests established from</w:t>
      </w:r>
      <w:r w:rsidRPr="008B50D0" w:rsidDel="00E92CC8">
        <w:t xml:space="preserve"> </w:t>
      </w:r>
      <w:r w:rsidRPr="008B50D0">
        <w:t>the activity start year (1990) are accounted for up until they attain their long-term average (LTA) carbon stock. This is to address the effects of age-class structure and to account only for the long-term additional carbon sequestered in these forests. Once these forests reach their LTA carbon stock, taking into account all carbon pools and activities, no further carbon gains or losses are accounted for. The net emissions from these forests above the LTA carbon stock are instead tracked separately to quantify deviations from an emissions pathway consistent with attaining the LTA carbon stock.</w:t>
      </w:r>
      <w:r w:rsidRPr="008B50D0">
        <w:rPr>
          <w:rFonts w:cs="Calibri"/>
        </w:rPr>
        <w:t xml:space="preserve"> </w:t>
      </w:r>
    </w:p>
    <w:p w14:paraId="69495590" w14:textId="02D2EEE8" w:rsidR="00A8128F" w:rsidRPr="002D136C" w:rsidRDefault="00A8128F" w:rsidP="00A8128F">
      <w:pPr>
        <w:pStyle w:val="BodyText"/>
        <w:rPr>
          <w:rFonts w:ascii="Segoe UI" w:hAnsi="Segoe UI" w:cs="Segoe UI"/>
        </w:rPr>
      </w:pPr>
      <w:r w:rsidRPr="008B50D0">
        <w:rPr>
          <w:rFonts w:cs="Calibri"/>
        </w:rPr>
        <w:t xml:space="preserve">Forests established </w:t>
      </w:r>
      <w:r w:rsidRPr="002D136C">
        <w:rPr>
          <w:rFonts w:cs="Calibri"/>
        </w:rPr>
        <w:t>before the activity start (1990) year continue to be accounted for under a</w:t>
      </w:r>
      <w:r>
        <w:rPr>
          <w:rFonts w:cs="Calibri"/>
        </w:rPr>
        <w:t> </w:t>
      </w:r>
      <w:r w:rsidRPr="002D136C">
        <w:rPr>
          <w:rFonts w:cs="Calibri"/>
        </w:rPr>
        <w:t>business-as-usual reference level, as they were under the Kyoto Protocol</w:t>
      </w:r>
      <w:r w:rsidR="00FC01D3">
        <w:rPr>
          <w:rFonts w:cs="Calibri"/>
        </w:rPr>
        <w:t>. This is to</w:t>
      </w:r>
      <w:r w:rsidRPr="002D136C">
        <w:rPr>
          <w:rFonts w:cs="Calibri"/>
        </w:rPr>
        <w:t xml:space="preserve"> address the dynamic effects of age structure resulting from activities and practices before the reference year, and the ongoing cycles of forest harvest and regrowth that occur as part of normal, sustainable forest management in production forests. </w:t>
      </w:r>
    </w:p>
    <w:p w14:paraId="3D6470DF" w14:textId="77777777" w:rsidR="00A8128F" w:rsidRPr="002D136C" w:rsidRDefault="00A8128F" w:rsidP="00A8128F">
      <w:pPr>
        <w:rPr>
          <w:rFonts w:cs="Calibri"/>
        </w:rPr>
      </w:pPr>
      <w:r w:rsidRPr="002D136C">
        <w:rPr>
          <w:rFonts w:cs="Calibri"/>
        </w:rPr>
        <w:t>New Zealand will continue to fully account for all deforestation emissions.</w:t>
      </w:r>
    </w:p>
    <w:p w14:paraId="514AE2A4" w14:textId="77777777" w:rsidR="00A8128F" w:rsidRPr="002D136C" w:rsidRDefault="00A8128F" w:rsidP="00A8128F">
      <w:pPr>
        <w:pStyle w:val="BodyText"/>
        <w:rPr>
          <w:rFonts w:cs="Calibri"/>
        </w:rPr>
      </w:pPr>
      <w:r w:rsidRPr="002D136C">
        <w:rPr>
          <w:rFonts w:cs="Calibri"/>
        </w:rPr>
        <w:t>Accounting provisions to address natural disturbances on managed lands, non-anthropogenic effects and additionality since the activity start year will also continue to apply, building on existing guidance.</w:t>
      </w:r>
    </w:p>
    <w:p w14:paraId="40E5A04B" w14:textId="77777777" w:rsidR="00A8128F" w:rsidRPr="002D136C" w:rsidRDefault="00A8128F" w:rsidP="00A8128F">
      <w:pPr>
        <w:pStyle w:val="BodyText"/>
        <w:rPr>
          <w:rFonts w:cs="Calibri"/>
        </w:rPr>
      </w:pPr>
      <w:r w:rsidRPr="002D136C">
        <w:rPr>
          <w:rFonts w:cs="Calibri"/>
        </w:rPr>
        <w:t xml:space="preserve">In the event of a significant non-anthropogenic event or circumstance, where the emissions from such an event exceed a predetermined threshold (ie, the background level), New Zealand retains the option to invoke the natural disturbance accounting provision. The following types of natural disturbances are captured by this provision: </w:t>
      </w:r>
    </w:p>
    <w:p w14:paraId="44433A9B" w14:textId="77777777" w:rsidR="00A8128F" w:rsidRPr="002D136C" w:rsidRDefault="00A8128F" w:rsidP="00A8128F">
      <w:pPr>
        <w:pStyle w:val="Bullet"/>
        <w:numPr>
          <w:ilvl w:val="0"/>
          <w:numId w:val="30"/>
        </w:numPr>
        <w:tabs>
          <w:tab w:val="left" w:pos="397"/>
        </w:tabs>
        <w:rPr>
          <w:szCs w:val="22"/>
        </w:rPr>
      </w:pPr>
      <w:r w:rsidRPr="002D136C">
        <w:rPr>
          <w:szCs w:val="22"/>
        </w:rPr>
        <w:t>wildfires</w:t>
      </w:r>
    </w:p>
    <w:p w14:paraId="622C3295" w14:textId="77777777" w:rsidR="00A8128F" w:rsidRPr="002D136C" w:rsidRDefault="00A8128F" w:rsidP="00A8128F">
      <w:pPr>
        <w:pStyle w:val="Bullet"/>
        <w:numPr>
          <w:ilvl w:val="0"/>
          <w:numId w:val="30"/>
        </w:numPr>
        <w:tabs>
          <w:tab w:val="left" w:pos="397"/>
        </w:tabs>
        <w:rPr>
          <w:szCs w:val="22"/>
        </w:rPr>
      </w:pPr>
      <w:r w:rsidRPr="002D136C">
        <w:rPr>
          <w:szCs w:val="22"/>
        </w:rPr>
        <w:t>invertebrate and vertebrate pests and diseases</w:t>
      </w:r>
    </w:p>
    <w:p w14:paraId="549D7C02" w14:textId="77777777" w:rsidR="00A8128F" w:rsidRPr="002D136C" w:rsidRDefault="00A8128F" w:rsidP="00A8128F">
      <w:pPr>
        <w:pStyle w:val="Bullet"/>
        <w:numPr>
          <w:ilvl w:val="0"/>
          <w:numId w:val="30"/>
        </w:numPr>
        <w:tabs>
          <w:tab w:val="left" w:pos="397"/>
        </w:tabs>
        <w:rPr>
          <w:szCs w:val="22"/>
        </w:rPr>
      </w:pPr>
      <w:r w:rsidRPr="002D136C">
        <w:rPr>
          <w:szCs w:val="22"/>
        </w:rPr>
        <w:t>extreme weather events</w:t>
      </w:r>
    </w:p>
    <w:p w14:paraId="38AB3890" w14:textId="77777777" w:rsidR="00A8128F" w:rsidRPr="002D136C" w:rsidRDefault="00A8128F" w:rsidP="00A8128F">
      <w:pPr>
        <w:pStyle w:val="Bullet"/>
        <w:numPr>
          <w:ilvl w:val="0"/>
          <w:numId w:val="30"/>
        </w:numPr>
        <w:tabs>
          <w:tab w:val="left" w:pos="397"/>
        </w:tabs>
        <w:rPr>
          <w:szCs w:val="22"/>
        </w:rPr>
      </w:pPr>
      <w:r w:rsidRPr="002D136C">
        <w:rPr>
          <w:szCs w:val="22"/>
        </w:rPr>
        <w:t>geological disturbances.</w:t>
      </w:r>
    </w:p>
    <w:p w14:paraId="1BA5AC01" w14:textId="5D016641" w:rsidR="00A8128F" w:rsidRPr="002D136C" w:rsidRDefault="00A8128F" w:rsidP="00A8128F">
      <w:pPr>
        <w:pStyle w:val="BodyText"/>
        <w:rPr>
          <w:rFonts w:cs="Calibri"/>
        </w:rPr>
      </w:pPr>
      <w:r w:rsidRPr="002D136C">
        <w:t xml:space="preserve">Further detail on how the background level of these disturbances has been defined is provided in </w:t>
      </w:r>
      <w:hyperlink w:anchor="ctftable3" w:history="1">
        <w:r w:rsidRPr="00892DB3">
          <w:rPr>
            <w:rStyle w:val="Hyperlink"/>
          </w:rPr>
          <w:t>CTF table 3</w:t>
        </w:r>
      </w:hyperlink>
      <w:r w:rsidRPr="002D136C">
        <w:t xml:space="preserve"> and </w:t>
      </w:r>
      <w:hyperlink w:anchor="_Annex_2:_Land" w:history="1">
        <w:r w:rsidRPr="004F7F70">
          <w:rPr>
            <w:rStyle w:val="Hyperlink"/>
          </w:rPr>
          <w:t>anne</w:t>
        </w:r>
        <w:r w:rsidRPr="004F7F70">
          <w:rPr>
            <w:rStyle w:val="Hyperlink"/>
          </w:rPr>
          <w:t>x</w:t>
        </w:r>
        <w:r w:rsidRPr="004F7F70">
          <w:rPr>
            <w:rStyle w:val="Hyperlink"/>
          </w:rPr>
          <w:t xml:space="preserve"> 2</w:t>
        </w:r>
      </w:hyperlink>
      <w:r w:rsidRPr="002D136C">
        <w:t xml:space="preserve">, </w:t>
      </w:r>
      <w:hyperlink w:anchor="sectionA237" w:history="1">
        <w:r w:rsidRPr="00455B6F">
          <w:rPr>
            <w:rStyle w:val="Hyperlink"/>
          </w:rPr>
          <w:t>s</w:t>
        </w:r>
        <w:r w:rsidRPr="00455B6F">
          <w:rPr>
            <w:rStyle w:val="Hyperlink"/>
            <w:rFonts w:cs="Calibri"/>
          </w:rPr>
          <w:t>ection A2.3.7</w:t>
        </w:r>
      </w:hyperlink>
      <w:r w:rsidRPr="002D136C">
        <w:rPr>
          <w:rFonts w:cs="Calibri"/>
        </w:rPr>
        <w:t xml:space="preserve">. </w:t>
      </w:r>
    </w:p>
    <w:p w14:paraId="3DC464FA" w14:textId="7ABA8DFB" w:rsidR="00A8128F" w:rsidRPr="002D136C" w:rsidRDefault="00A8128F" w:rsidP="00A8128F">
      <w:pPr>
        <w:pStyle w:val="BodyText"/>
      </w:pPr>
      <w:r w:rsidRPr="002D136C">
        <w:t xml:space="preserve">New Zealand accounts for the changes in the harvested wood products pool using the production approach. For </w:t>
      </w:r>
      <w:r w:rsidRPr="5FFF5976">
        <w:rPr>
          <w:i/>
          <w:iCs/>
        </w:rPr>
        <w:t>Afforestation and reforestation</w:t>
      </w:r>
      <w:r w:rsidRPr="002D136C">
        <w:t xml:space="preserve"> and </w:t>
      </w:r>
      <w:r w:rsidRPr="5FFF5976">
        <w:rPr>
          <w:i/>
          <w:iCs/>
        </w:rPr>
        <w:t xml:space="preserve">Forest management </w:t>
      </w:r>
      <w:r w:rsidRPr="5FFF5976">
        <w:t>activities</w:t>
      </w:r>
      <w:r w:rsidRPr="002D136C">
        <w:t xml:space="preserve">, estimates are derived from a modified Intergovernmental Panel on Climate Change (IPCC) reporting model. The emissions from </w:t>
      </w:r>
      <w:r w:rsidRPr="5FFF5976">
        <w:t>harvested wood products</w:t>
      </w:r>
      <w:r w:rsidRPr="002D136C">
        <w:t xml:space="preserve"> originating from </w:t>
      </w:r>
      <w:r w:rsidRPr="5FFF5976">
        <w:rPr>
          <w:i/>
          <w:iCs/>
        </w:rPr>
        <w:t>Deforestation</w:t>
      </w:r>
      <w:r w:rsidRPr="002D136C">
        <w:t xml:space="preserve"> activities are instantly oxidised, in line with the 2013 Kyoto Protocol supplement.</w:t>
      </w:r>
      <w:r w:rsidRPr="00B82136">
        <w:rPr>
          <w:vertAlign w:val="superscript"/>
        </w:rPr>
        <w:footnoteReference w:id="135"/>
      </w:r>
      <w:r w:rsidRPr="002D136C">
        <w:t xml:space="preserve"> Annex 2, </w:t>
      </w:r>
      <w:hyperlink w:anchor="sectionA235" w:history="1">
        <w:r w:rsidRPr="00E820F1">
          <w:rPr>
            <w:rStyle w:val="Hyperlink"/>
          </w:rPr>
          <w:t>section A2.3.5</w:t>
        </w:r>
      </w:hyperlink>
      <w:r w:rsidRPr="002D136C">
        <w:t xml:space="preserve"> further describes the methods used for accounting for emissions and removals from harvested wood products. </w:t>
      </w:r>
    </w:p>
    <w:p w14:paraId="326290A8" w14:textId="74229E3D" w:rsidR="00A8128F" w:rsidRPr="00B82136" w:rsidRDefault="00A8128F" w:rsidP="00A8128F">
      <w:pPr>
        <w:pStyle w:val="BodyText"/>
      </w:pPr>
      <w:r w:rsidRPr="002D136C">
        <w:t>New Zealand’s approach builds on experience with accounting under the Kyoto Protocol to recognise and focus on additional action that will create incentives for the establishment of new forests, recognise permanent long-term enhancements of carbon sinks resulting from management</w:t>
      </w:r>
      <w:r w:rsidR="00E820F1">
        <w:t>,</w:t>
      </w:r>
      <w:r w:rsidRPr="002D136C">
        <w:t xml:space="preserve"> and take responsibility for deforestation, while accommodating the long-term cycles in net emissions and removals that arise from sustainable forest management of production forests. </w:t>
      </w:r>
    </w:p>
    <w:p w14:paraId="0A543B9A" w14:textId="77777777" w:rsidR="00A8128F" w:rsidRPr="008B50D0" w:rsidRDefault="00A8128F" w:rsidP="00A8128F">
      <w:pPr>
        <w:pStyle w:val="Heading3"/>
        <w:numPr>
          <w:ilvl w:val="0"/>
          <w:numId w:val="79"/>
        </w:numPr>
        <w:ind w:left="0" w:firstLine="0"/>
      </w:pPr>
      <w:bookmarkStart w:id="257" w:name="_Toc169616364"/>
      <w:bookmarkStart w:id="258" w:name="_Toc169620069"/>
      <w:bookmarkStart w:id="259" w:name="_Toc172793982"/>
      <w:r w:rsidRPr="008B50D0">
        <w:t>Afforestation and reforestation</w:t>
      </w:r>
      <w:bookmarkEnd w:id="257"/>
      <w:bookmarkEnd w:id="258"/>
      <w:bookmarkEnd w:id="259"/>
    </w:p>
    <w:p w14:paraId="5C7F29C2" w14:textId="77777777" w:rsidR="00A8128F" w:rsidRPr="008B50D0" w:rsidRDefault="00A8128F" w:rsidP="00A8128F">
      <w:pPr>
        <w:pStyle w:val="BodyText"/>
      </w:pPr>
      <w:r w:rsidRPr="008B50D0">
        <w:t xml:space="preserve">Forests established from the activity start year (1990) are accounted for as </w:t>
      </w:r>
      <w:r w:rsidRPr="008B50D0">
        <w:rPr>
          <w:i/>
        </w:rPr>
        <w:t xml:space="preserve">Afforestation and reforestation </w:t>
      </w:r>
      <w:r w:rsidRPr="008B50D0">
        <w:rPr>
          <w:iCs/>
        </w:rPr>
        <w:t>activities</w:t>
      </w:r>
      <w:r w:rsidRPr="008B50D0">
        <w:rPr>
          <w:i/>
        </w:rPr>
        <w:t xml:space="preserve"> </w:t>
      </w:r>
      <w:r w:rsidRPr="008B50D0">
        <w:t>(as they would be under the Kyoto Protocol), but only up until they attain their LTA carbon stock. Once they reach their LTA carbon stock, taking into account all</w:t>
      </w:r>
      <w:r>
        <w:t> </w:t>
      </w:r>
      <w:r w:rsidRPr="008B50D0">
        <w:t xml:space="preserve">carbon pools and activities, no further carbon gains or losses are accounted for. At this point, these forests transfer from the </w:t>
      </w:r>
      <w:r w:rsidRPr="008B50D0">
        <w:rPr>
          <w:i/>
          <w:iCs/>
        </w:rPr>
        <w:t xml:space="preserve">Below LTA </w:t>
      </w:r>
      <w:r w:rsidRPr="008B50D0">
        <w:t>to the</w:t>
      </w:r>
      <w:r w:rsidRPr="008B50D0">
        <w:rPr>
          <w:i/>
          <w:iCs/>
        </w:rPr>
        <w:t xml:space="preserve"> Above LTA</w:t>
      </w:r>
      <w:r w:rsidRPr="008B50D0">
        <w:t xml:space="preserve"> subcategory, where their corresponding emissions and removals are tracked to ensure they balance out over the long term under business-as-usual management.</w:t>
      </w:r>
    </w:p>
    <w:p w14:paraId="1571D4C4" w14:textId="77777777" w:rsidR="00A8128F" w:rsidRPr="008B50D0" w:rsidRDefault="00A8128F" w:rsidP="00A8128F">
      <w:pPr>
        <w:pStyle w:val="BodyText"/>
      </w:pPr>
      <w:r w:rsidRPr="008B50D0">
        <w:t>The LTA carbon stock is defined as the long-term average carbon stock per hectare that would be maintained (on average) across all biomass carbon pools under current management conditions. The ‘LTA age’ is the age at which this long-term average carbon stock is achieved, which is assumed to be an equilibrium point about which future losses and gains balance out to zero over subsequent harvest and replanting cycles, as long as current management continues to apply.</w:t>
      </w:r>
    </w:p>
    <w:p w14:paraId="4AFC1C26" w14:textId="77777777" w:rsidR="00A8128F" w:rsidRPr="008B50D0" w:rsidRDefault="00A8128F" w:rsidP="00A8128F">
      <w:pPr>
        <w:pStyle w:val="BodyText"/>
      </w:pPr>
      <w:r w:rsidRPr="008B50D0">
        <w:rPr>
          <w:i/>
          <w:iCs/>
        </w:rPr>
        <w:t xml:space="preserve">Afforestation and reforestation </w:t>
      </w:r>
      <w:r w:rsidRPr="008B50D0">
        <w:t xml:space="preserve">activities include emissions and removals from carbon losses and gains for all post-1989 forests including: post-1989 rotational planted forests, post-1989 permanent planted forests and post-1989 natural forests. </w:t>
      </w:r>
    </w:p>
    <w:p w14:paraId="44D0B971" w14:textId="77777777" w:rsidR="00A8128F" w:rsidRPr="008B50D0" w:rsidRDefault="00A8128F" w:rsidP="00A8128F">
      <w:pPr>
        <w:pStyle w:val="BodyText"/>
      </w:pPr>
      <w:r w:rsidRPr="008B50D0">
        <w:t>For planted forests that are managed under a clearfell rotation regime (post-1989 rotational planted forests), the LTA carbon stock refers to the carbon stocks of all carbon pools when averaged out over multiple rotations under current management. For these forests, the underlying principle of the long-term average is that, although the carbon stock of the forest and its associated products may fluctuate over time with harvesting and replanting, an LTA carbon stock can be calculated that represents a net change in stock compared with the pre</w:t>
      </w:r>
      <w:r>
        <w:noBreakHyphen/>
      </w:r>
      <w:r w:rsidRPr="008B50D0">
        <w:t>existing carbon levels before afforestation.</w:t>
      </w:r>
      <w:r w:rsidRPr="00B82136">
        <w:rPr>
          <w:vertAlign w:val="superscript"/>
        </w:rPr>
        <w:footnoteReference w:id="136"/>
      </w:r>
    </w:p>
    <w:p w14:paraId="16670383" w14:textId="77777777" w:rsidR="00A8128F" w:rsidRPr="008B50D0" w:rsidRDefault="00A8128F" w:rsidP="00A8128F">
      <w:pPr>
        <w:pStyle w:val="BodyText"/>
      </w:pPr>
      <w:r w:rsidRPr="008B50D0">
        <w:t>For forests that do not undergo harvesting, such as post-1989 permanent planted forests and post-1989 natural forests, the LTA age is assumed to be over 40 years, therefore they will remain below the LTA carbon stock throughout NDC1.</w:t>
      </w:r>
      <w:r w:rsidRPr="00B82136">
        <w:rPr>
          <w:vertAlign w:val="superscript"/>
        </w:rPr>
        <w:footnoteReference w:id="137"/>
      </w:r>
      <w:r w:rsidRPr="008B50D0">
        <w:t xml:space="preserve"> By contrast, post-1989 rotational planted forests have a combined LTA age of 23 years and transition from the </w:t>
      </w:r>
      <w:r w:rsidRPr="5FFF5976">
        <w:rPr>
          <w:i/>
          <w:iCs/>
        </w:rPr>
        <w:t>Below LTA</w:t>
      </w:r>
      <w:r w:rsidRPr="008B50D0">
        <w:t xml:space="preserve"> subcategory to the </w:t>
      </w:r>
      <w:r w:rsidRPr="5FFF5976">
        <w:rPr>
          <w:i/>
          <w:iCs/>
        </w:rPr>
        <w:t>Above LTA</w:t>
      </w:r>
      <w:r w:rsidRPr="008B50D0">
        <w:t xml:space="preserve"> subcategory at the end of their 23rd year.</w:t>
      </w:r>
    </w:p>
    <w:p w14:paraId="664A7BCB" w14:textId="77777777" w:rsidR="007A7DC6" w:rsidRDefault="00A8128F" w:rsidP="00A8128F">
      <w:pPr>
        <w:pStyle w:val="BodyText"/>
      </w:pPr>
      <w:r w:rsidRPr="008B50D0">
        <w:t xml:space="preserve">The main drivers for the LTA carbon stock and corresponding age are: </w:t>
      </w:r>
    </w:p>
    <w:p w14:paraId="2B9C7AE4" w14:textId="1F651774" w:rsidR="007A7DC6" w:rsidRDefault="00A8128F" w:rsidP="00F32DA1">
      <w:pPr>
        <w:pStyle w:val="Bullet"/>
      </w:pPr>
      <w:r w:rsidRPr="008B50D0">
        <w:t>forest management and growth rates (represented by yield tables derived from the Land Use and Carbon Analysis System plot network)</w:t>
      </w:r>
    </w:p>
    <w:p w14:paraId="0F7F411A" w14:textId="5F4B18C5" w:rsidR="007A7DC6" w:rsidRDefault="00A8128F" w:rsidP="00F32DA1">
      <w:pPr>
        <w:pStyle w:val="Bullet"/>
      </w:pPr>
      <w:r w:rsidRPr="008B50D0">
        <w:t>rotation age</w:t>
      </w:r>
    </w:p>
    <w:p w14:paraId="1D660FD5" w14:textId="5F02379F" w:rsidR="007A7DC6" w:rsidRDefault="00A8128F" w:rsidP="00F32DA1">
      <w:pPr>
        <w:pStyle w:val="Bullet"/>
      </w:pPr>
      <w:r w:rsidRPr="008B50D0">
        <w:t xml:space="preserve">proportions of species contributing to the forest estate </w:t>
      </w:r>
    </w:p>
    <w:p w14:paraId="0FB5C00E" w14:textId="77777777" w:rsidR="007A7DC6" w:rsidRDefault="00A8128F" w:rsidP="00F32DA1">
      <w:pPr>
        <w:pStyle w:val="Bullet"/>
      </w:pPr>
      <w:r w:rsidRPr="008B50D0">
        <w:t xml:space="preserve">and lifespan of wood products. </w:t>
      </w:r>
    </w:p>
    <w:p w14:paraId="08FE7BCE" w14:textId="47CE4362" w:rsidR="00A8128F" w:rsidRPr="008B50D0" w:rsidRDefault="00A8128F" w:rsidP="00A8128F">
      <w:pPr>
        <w:pStyle w:val="BodyText"/>
      </w:pPr>
      <w:r w:rsidRPr="008B50D0">
        <w:t xml:space="preserve">More detail on the calculation of the LTA carbon stock and New Zealand’s averaging approach to accounting for emissions from forests established from the activity start year (1990) can be found in annex 2, </w:t>
      </w:r>
      <w:hyperlink w:anchor="sectionA232" w:history="1">
        <w:r w:rsidRPr="002A53CF">
          <w:rPr>
            <w:rStyle w:val="Hyperlink"/>
          </w:rPr>
          <w:t>section A2.3.2</w:t>
        </w:r>
      </w:hyperlink>
      <w:r w:rsidRPr="008B50D0">
        <w:t xml:space="preserve">. Annex 2, </w:t>
      </w:r>
      <w:hyperlink w:anchor="sectionA235" w:history="1">
        <w:r w:rsidRPr="002A53CF">
          <w:rPr>
            <w:rStyle w:val="Hyperlink"/>
          </w:rPr>
          <w:t>section A2.3.5</w:t>
        </w:r>
      </w:hyperlink>
      <w:r w:rsidRPr="008B50D0">
        <w:t xml:space="preserve"> further describes the methods used for accounting for emissions and removals from harvested wood products. </w:t>
      </w:r>
    </w:p>
    <w:p w14:paraId="25E03EB1" w14:textId="77777777" w:rsidR="00A8128F" w:rsidRPr="000E2BE5" w:rsidRDefault="00A8128F" w:rsidP="00A8128F">
      <w:pPr>
        <w:pStyle w:val="Heading3"/>
        <w:numPr>
          <w:ilvl w:val="0"/>
          <w:numId w:val="79"/>
        </w:numPr>
        <w:ind w:left="0" w:firstLine="0"/>
      </w:pPr>
      <w:bookmarkStart w:id="260" w:name="_Toc169616365"/>
      <w:bookmarkStart w:id="261" w:name="_Toc169620070"/>
      <w:bookmarkStart w:id="262" w:name="_Toc172793983"/>
      <w:r w:rsidRPr="008B50D0">
        <w:t>Deforestation</w:t>
      </w:r>
      <w:bookmarkEnd w:id="260"/>
      <w:bookmarkEnd w:id="261"/>
      <w:bookmarkEnd w:id="262"/>
    </w:p>
    <w:p w14:paraId="26D1D043" w14:textId="77777777" w:rsidR="00A8128F" w:rsidRPr="008B50D0" w:rsidRDefault="00A8128F" w:rsidP="00A8128F">
      <w:pPr>
        <w:pStyle w:val="BodyText"/>
      </w:pPr>
      <w:r>
        <w:t>New Zealand accounts for all emissions from deforestation activities. These</w:t>
      </w:r>
      <w:r w:rsidRPr="5FFF5976">
        <w:rPr>
          <w:i/>
          <w:iCs/>
        </w:rPr>
        <w:t xml:space="preserve"> </w:t>
      </w:r>
      <w:r>
        <w:t>emissions result from:</w:t>
      </w:r>
    </w:p>
    <w:p w14:paraId="5A2F6A83" w14:textId="77777777" w:rsidR="00A8128F" w:rsidRPr="008B50D0" w:rsidRDefault="00A8128F" w:rsidP="00A8128F">
      <w:pPr>
        <w:pStyle w:val="Bullet"/>
        <w:numPr>
          <w:ilvl w:val="0"/>
          <w:numId w:val="30"/>
        </w:numPr>
        <w:tabs>
          <w:tab w:val="left" w:pos="397"/>
        </w:tabs>
      </w:pPr>
      <w:r w:rsidRPr="008B50D0">
        <w:t xml:space="preserve">the loss of carbon, which was stored in the biomass before deforestation, occurring in the year that deforestation occurs </w:t>
      </w:r>
    </w:p>
    <w:p w14:paraId="68160B10" w14:textId="77777777" w:rsidR="00A8128F" w:rsidRPr="008B50D0" w:rsidRDefault="00A8128F" w:rsidP="00A8128F">
      <w:pPr>
        <w:pStyle w:val="Bullet"/>
        <w:numPr>
          <w:ilvl w:val="0"/>
          <w:numId w:val="30"/>
        </w:numPr>
        <w:tabs>
          <w:tab w:val="left" w:pos="397"/>
        </w:tabs>
      </w:pPr>
      <w:r w:rsidRPr="008B50D0">
        <w:t xml:space="preserve">soil carbon stock changes including lagged emissions from previous deforestation events </w:t>
      </w:r>
    </w:p>
    <w:p w14:paraId="30B35F19" w14:textId="77777777" w:rsidR="00A8128F" w:rsidRPr="008B50D0" w:rsidRDefault="00A8128F" w:rsidP="00A8128F">
      <w:pPr>
        <w:pStyle w:val="Bullet"/>
        <w:numPr>
          <w:ilvl w:val="0"/>
          <w:numId w:val="30"/>
        </w:numPr>
        <w:tabs>
          <w:tab w:val="left" w:pos="397"/>
        </w:tabs>
      </w:pPr>
      <w:r w:rsidRPr="008B50D0">
        <w:t xml:space="preserve">mineralisation of soil nitrogen associated with the land-use change </w:t>
      </w:r>
    </w:p>
    <w:p w14:paraId="6C540657" w14:textId="77777777" w:rsidR="00A8128F" w:rsidRPr="008B50D0" w:rsidRDefault="00A8128F" w:rsidP="00A8128F">
      <w:pPr>
        <w:pStyle w:val="Bullet"/>
        <w:numPr>
          <w:ilvl w:val="0"/>
          <w:numId w:val="30"/>
        </w:numPr>
        <w:tabs>
          <w:tab w:val="left" w:pos="397"/>
        </w:tabs>
      </w:pPr>
      <w:r w:rsidRPr="008B50D0">
        <w:t>emissions from burning biomass on deforested land</w:t>
      </w:r>
    </w:p>
    <w:p w14:paraId="6E8423A6" w14:textId="6F1D80B2" w:rsidR="00A8128F" w:rsidRPr="008B50D0" w:rsidRDefault="00A8128F" w:rsidP="00A8128F">
      <w:pPr>
        <w:pStyle w:val="Bullet"/>
        <w:numPr>
          <w:ilvl w:val="0"/>
          <w:numId w:val="30"/>
        </w:numPr>
        <w:tabs>
          <w:tab w:val="left" w:pos="397"/>
        </w:tabs>
      </w:pPr>
      <w:r>
        <w:t>removals from biomass growth in the new land use, which accumulates at the rates given in chapter 6 of the 2024 Inventory, under each land</w:t>
      </w:r>
      <w:r w:rsidR="002A53CF">
        <w:t>-</w:t>
      </w:r>
      <w:r>
        <w:t xml:space="preserve">use category. </w:t>
      </w:r>
    </w:p>
    <w:p w14:paraId="5E5894CF" w14:textId="77777777" w:rsidR="00A8128F" w:rsidRPr="000E2BE5" w:rsidRDefault="00A8128F" w:rsidP="00A8128F">
      <w:pPr>
        <w:pStyle w:val="Heading3"/>
        <w:numPr>
          <w:ilvl w:val="0"/>
          <w:numId w:val="79"/>
        </w:numPr>
        <w:ind w:left="0" w:firstLine="0"/>
      </w:pPr>
      <w:bookmarkStart w:id="263" w:name="_Toc169616366"/>
      <w:bookmarkStart w:id="264" w:name="_Toc169620071"/>
      <w:bookmarkStart w:id="265" w:name="_Toc172793984"/>
      <w:r w:rsidRPr="008B50D0">
        <w:t>Forest management</w:t>
      </w:r>
      <w:bookmarkEnd w:id="263"/>
      <w:bookmarkEnd w:id="264"/>
      <w:bookmarkEnd w:id="265"/>
    </w:p>
    <w:p w14:paraId="0751ACA2" w14:textId="77777777" w:rsidR="00A8128F" w:rsidRPr="008B50D0" w:rsidRDefault="00A8128F" w:rsidP="00A8128F">
      <w:pPr>
        <w:pStyle w:val="BodyText"/>
      </w:pPr>
      <w:r w:rsidRPr="008B50D0">
        <w:t xml:space="preserve">New Zealand reports emissions and removals from </w:t>
      </w:r>
      <w:r w:rsidRPr="008B50D0">
        <w:rPr>
          <w:i/>
        </w:rPr>
        <w:t>Forest management</w:t>
      </w:r>
      <w:r w:rsidRPr="008B50D0">
        <w:t xml:space="preserve"> from 2021 onwards. New Zealand has applied the broad approach to interpreting the definition of forest management so that it includes the whole area classified as pre-1990 natural forest and pre</w:t>
      </w:r>
      <w:r w:rsidRPr="008B50D0">
        <w:noBreakHyphen/>
        <w:t xml:space="preserve">1990 planted forest. The area in this category excludes any area deforested since 1990, because this is reported under </w:t>
      </w:r>
      <w:r w:rsidRPr="008B50D0">
        <w:rPr>
          <w:i/>
        </w:rPr>
        <w:t>Deforestation</w:t>
      </w:r>
      <w:r w:rsidRPr="008B50D0">
        <w:t xml:space="preserve">, and includes areas to which the carbon equivalent forest provision is applied. </w:t>
      </w:r>
    </w:p>
    <w:p w14:paraId="635877C0" w14:textId="77777777" w:rsidR="00A8128F" w:rsidRPr="008B50D0" w:rsidRDefault="00A8128F" w:rsidP="00A8128F">
      <w:pPr>
        <w:pStyle w:val="BodyText"/>
        <w:rPr>
          <w:rFonts w:ascii="Segoe UI" w:hAnsi="Segoe UI" w:cs="Segoe UI"/>
          <w:b/>
          <w:sz w:val="18"/>
          <w:szCs w:val="18"/>
        </w:rPr>
      </w:pPr>
      <w:r w:rsidRPr="008B50D0">
        <w:rPr>
          <w:rFonts w:cs="Calibri"/>
        </w:rPr>
        <w:t xml:space="preserve">Emissions from </w:t>
      </w:r>
      <w:r w:rsidRPr="008B50D0">
        <w:rPr>
          <w:rFonts w:eastAsia="Times New Roman" w:cs="Calibri"/>
          <w:i/>
        </w:rPr>
        <w:t>Forest management</w:t>
      </w:r>
      <w:r w:rsidRPr="008B50D0">
        <w:rPr>
          <w:rFonts w:cs="Calibri"/>
        </w:rPr>
        <w:t xml:space="preserve"> are accounted for under a business-as-usual reference level, as per the Kyoto Protocol, to address the dynamic effects of age structure resulting from activities and practices before the reference year, and the ongoing cycles of forest harvest and regrowth that occur as part of normal, sustainable forest management in production forests.</w:t>
      </w:r>
      <w:r>
        <w:rPr>
          <w:rFonts w:cs="Calibri"/>
        </w:rPr>
        <w:t xml:space="preserve"> </w:t>
      </w:r>
    </w:p>
    <w:p w14:paraId="53F6E3BB" w14:textId="59DF144A" w:rsidR="00A8128F" w:rsidRPr="008B50D0" w:rsidRDefault="00A8128F" w:rsidP="00A8128F">
      <w:pPr>
        <w:pStyle w:val="BodyText"/>
      </w:pPr>
      <w:r w:rsidRPr="008B50D0">
        <w:t xml:space="preserve">The source of the activity data and emission factors applied to </w:t>
      </w:r>
      <w:r w:rsidRPr="5FFF5976">
        <w:rPr>
          <w:i/>
          <w:iCs/>
        </w:rPr>
        <w:t>Forest management</w:t>
      </w:r>
      <w:r w:rsidRPr="008B50D0">
        <w:t xml:space="preserve"> activities is</w:t>
      </w:r>
      <w:r>
        <w:t> </w:t>
      </w:r>
      <w:r w:rsidRPr="008B50D0">
        <w:t>described in more detail in the 2024 submission of the Inventory.</w:t>
      </w:r>
      <w:r w:rsidRPr="00B82136">
        <w:rPr>
          <w:vertAlign w:val="superscript"/>
        </w:rPr>
        <w:footnoteReference w:id="138"/>
      </w:r>
      <w:r w:rsidRPr="008B50D0">
        <w:t xml:space="preserve"> This is because New</w:t>
      </w:r>
      <w:r>
        <w:t> </w:t>
      </w:r>
      <w:r w:rsidRPr="008B50D0">
        <w:t xml:space="preserve">Zealand applies the same methods to estimating emissions from </w:t>
      </w:r>
      <w:r w:rsidRPr="5FFF5976">
        <w:rPr>
          <w:i/>
          <w:iCs/>
        </w:rPr>
        <w:t>Forest management</w:t>
      </w:r>
      <w:r w:rsidRPr="008B50D0">
        <w:t xml:space="preserve"> activities as those applied to the equivalent land</w:t>
      </w:r>
      <w:r w:rsidR="000C384C">
        <w:t>-</w:t>
      </w:r>
      <w:r w:rsidRPr="008B50D0">
        <w:t xml:space="preserve">use category, </w:t>
      </w:r>
      <w:r w:rsidRPr="5FFF5976">
        <w:rPr>
          <w:i/>
          <w:iCs/>
        </w:rPr>
        <w:t>Forest land remaining forest land</w:t>
      </w:r>
      <w:r w:rsidRPr="008B50D0">
        <w:t xml:space="preserve">, of the Inventory. </w:t>
      </w:r>
    </w:p>
    <w:p w14:paraId="418B54C0" w14:textId="3152985C" w:rsidR="00A8128F" w:rsidRPr="008B50D0" w:rsidRDefault="00A8128F" w:rsidP="00A8128F">
      <w:pPr>
        <w:pStyle w:val="BodyText"/>
      </w:pPr>
      <w:r w:rsidRPr="008B50D0">
        <w:t xml:space="preserve">Further detail on New Zealand’s accounting approach for LULUCF is provided in </w:t>
      </w:r>
      <w:hyperlink w:anchor="annex2" w:history="1">
        <w:r w:rsidRPr="004D6AE3">
          <w:rPr>
            <w:rStyle w:val="Hyperlink"/>
          </w:rPr>
          <w:t>annex 2</w:t>
        </w:r>
      </w:hyperlink>
      <w:r w:rsidRPr="008B50D0">
        <w:t xml:space="preserve">. </w:t>
      </w:r>
    </w:p>
    <w:p w14:paraId="193F1F19" w14:textId="77777777" w:rsidR="00A8128F" w:rsidRPr="000E2BE5" w:rsidRDefault="00A8128F" w:rsidP="00785F82">
      <w:pPr>
        <w:pStyle w:val="Heading3"/>
        <w:numPr>
          <w:ilvl w:val="0"/>
          <w:numId w:val="79"/>
        </w:numPr>
      </w:pPr>
      <w:bookmarkStart w:id="266" w:name="_Toc169616368"/>
      <w:bookmarkStart w:id="267" w:name="_Toc169620073"/>
      <w:bookmarkStart w:id="268" w:name="_Toc172793986"/>
      <w:r w:rsidRPr="008B50D0">
        <w:t>Methodologies associated with any cooperative</w:t>
      </w:r>
      <w:r>
        <w:t> </w:t>
      </w:r>
      <w:r w:rsidRPr="008B50D0">
        <w:t>approaches</w:t>
      </w:r>
      <w:bookmarkEnd w:id="266"/>
      <w:bookmarkEnd w:id="267"/>
      <w:bookmarkEnd w:id="268"/>
    </w:p>
    <w:p w14:paraId="2598B14A" w14:textId="77777777" w:rsidR="00A8128F" w:rsidRPr="008B50D0" w:rsidRDefault="00A8128F" w:rsidP="00A8128F">
      <w:pPr>
        <w:pStyle w:val="BodyText"/>
      </w:pPr>
      <w:r>
        <w:t xml:space="preserve">New Zealand does not currently have any cooperative approaches in place to use internationally transferred mitigation outcomes towards its NDC1. </w:t>
      </w:r>
    </w:p>
    <w:p w14:paraId="6DD627FD" w14:textId="77777777" w:rsidR="00A8128F" w:rsidRPr="008B50D0" w:rsidRDefault="00A8128F" w:rsidP="00785F82">
      <w:pPr>
        <w:pStyle w:val="Heading3"/>
        <w:numPr>
          <w:ilvl w:val="0"/>
          <w:numId w:val="79"/>
        </w:numPr>
      </w:pPr>
      <w:r w:rsidRPr="008B50D0">
        <w:t>Summary of methodologies and accounting approaches</w:t>
      </w:r>
    </w:p>
    <w:p w14:paraId="4BC91962" w14:textId="77777777" w:rsidR="00A8128F" w:rsidRPr="008B50D0" w:rsidRDefault="00A8128F" w:rsidP="00A8128F">
      <w:pPr>
        <w:pStyle w:val="BodyText"/>
      </w:pPr>
      <w:r>
        <w:t xml:space="preserve">CTF table 3 provides a summary of the methodologies and accounting approaches used for NDC1. </w:t>
      </w:r>
    </w:p>
    <w:p w14:paraId="7CDFA3D5" w14:textId="52A3F9EF" w:rsidR="00A8128F" w:rsidRPr="008B50D0" w:rsidRDefault="00A8128F" w:rsidP="00A8128F">
      <w:pPr>
        <w:pStyle w:val="Tableheading"/>
      </w:pPr>
      <w:bookmarkStart w:id="269" w:name="ctftable3"/>
      <w:bookmarkStart w:id="270" w:name="_Toc185407463"/>
      <w:bookmarkStart w:id="271" w:name="_Toc185427726"/>
      <w:r w:rsidRPr="008B50D0">
        <w:t>CTF table 3</w:t>
      </w:r>
      <w:bookmarkEnd w:id="269"/>
      <w:r w:rsidR="00CD2081">
        <w:t>:</w:t>
      </w:r>
      <w:r w:rsidRPr="008B50D0">
        <w:t xml:space="preserve"> </w:t>
      </w:r>
      <w:r>
        <w:tab/>
      </w:r>
      <w:r w:rsidRPr="008B50D0">
        <w:t>Structured summary: Methodologies and accounting approaches – consistency with Article 4, paragraphs 13 and 14, of the Paris Agreement and with decision 4/CMA.1</w:t>
      </w:r>
      <w:bookmarkEnd w:id="270"/>
      <w:bookmarkEnd w:id="271"/>
    </w:p>
    <w:tbl>
      <w:tblPr>
        <w:tblStyle w:val="LightList-Accent11"/>
        <w:tblW w:w="8505" w:type="dxa"/>
        <w:tblBorders>
          <w:top w:val="single" w:sz="4" w:space="0" w:color="1C556C" w:themeColor="accent1"/>
          <w:left w:val="none" w:sz="0" w:space="0" w:color="auto"/>
          <w:bottom w:val="single" w:sz="4" w:space="0" w:color="1C556C" w:themeColor="accent1"/>
          <w:right w:val="none" w:sz="0" w:space="0" w:color="auto"/>
          <w:insideH w:val="single" w:sz="4" w:space="0" w:color="1C556C" w:themeColor="accent1"/>
          <w:insideV w:val="single" w:sz="4" w:space="0" w:color="1C556C" w:themeColor="accent1"/>
        </w:tblBorders>
        <w:tblLook w:val="04A0" w:firstRow="1" w:lastRow="0" w:firstColumn="1" w:lastColumn="0" w:noHBand="0" w:noVBand="1"/>
      </w:tblPr>
      <w:tblGrid>
        <w:gridCol w:w="3686"/>
        <w:gridCol w:w="4819"/>
      </w:tblGrid>
      <w:tr w:rsidR="00A8128F" w:rsidRPr="00DA0F8E" w14:paraId="4AF2EA26" w14:textId="77777777" w:rsidTr="00C82BB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86" w:type="dxa"/>
            <w:shd w:val="clear" w:color="auto" w:fill="1B556B" w:themeFill="text2"/>
            <w:hideMark/>
          </w:tcPr>
          <w:p w14:paraId="2A9D1D6A" w14:textId="77777777" w:rsidR="00A8128F" w:rsidRPr="00DA0F8E" w:rsidRDefault="00A8128F">
            <w:pPr>
              <w:pStyle w:val="TableTextbold"/>
              <w:spacing w:line="240" w:lineRule="auto"/>
              <w:rPr>
                <w:b/>
                <w:bCs w:val="0"/>
              </w:rPr>
            </w:pPr>
            <w:r w:rsidRPr="00DA0F8E">
              <w:rPr>
                <w:b/>
                <w:bCs w:val="0"/>
              </w:rPr>
              <w:t>Reporting requirement</w:t>
            </w:r>
          </w:p>
        </w:tc>
        <w:tc>
          <w:tcPr>
            <w:tcW w:w="4819" w:type="dxa"/>
            <w:shd w:val="clear" w:color="auto" w:fill="1B556B" w:themeFill="text2"/>
            <w:hideMark/>
          </w:tcPr>
          <w:p w14:paraId="687E28DF" w14:textId="77777777" w:rsidR="00A8128F" w:rsidRPr="00DA0F8E" w:rsidRDefault="00A8128F">
            <w:pPr>
              <w:pStyle w:val="TableTextbold"/>
              <w:spacing w:line="240" w:lineRule="auto"/>
              <w:cnfStyle w:val="100000000000" w:firstRow="1" w:lastRow="0" w:firstColumn="0" w:lastColumn="0" w:oddVBand="0" w:evenVBand="0" w:oddHBand="0" w:evenHBand="0" w:firstRowFirstColumn="0" w:firstRowLastColumn="0" w:lastRowFirstColumn="0" w:lastRowLastColumn="0"/>
              <w:rPr>
                <w:b/>
                <w:bCs w:val="0"/>
              </w:rPr>
            </w:pPr>
            <w:r w:rsidRPr="00DA0F8E">
              <w:rPr>
                <w:b/>
                <w:bCs w:val="0"/>
              </w:rPr>
              <w:t>Description or reference to the relevant section of the BTR</w:t>
            </w:r>
          </w:p>
        </w:tc>
      </w:tr>
      <w:tr w:rsidR="00A8128F" w:rsidRPr="008B50D0" w14:paraId="75E61149" w14:textId="77777777" w:rsidTr="00C82B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5" w:type="dxa"/>
            <w:gridSpan w:val="2"/>
            <w:tcBorders>
              <w:top w:val="none" w:sz="0" w:space="0" w:color="auto"/>
              <w:left w:val="none" w:sz="0" w:space="0" w:color="auto"/>
              <w:bottom w:val="none" w:sz="0" w:space="0" w:color="auto"/>
              <w:right w:val="none" w:sz="0" w:space="0" w:color="auto"/>
            </w:tcBorders>
            <w:shd w:val="clear" w:color="auto" w:fill="D2DDE1" w:themeFill="background2"/>
            <w:hideMark/>
          </w:tcPr>
          <w:p w14:paraId="640D864D" w14:textId="77777777" w:rsidR="00A8128F" w:rsidRPr="008B50D0" w:rsidRDefault="00A8128F">
            <w:pPr>
              <w:pStyle w:val="TableText"/>
              <w:spacing w:line="240" w:lineRule="auto"/>
              <w:rPr>
                <w:b w:val="0"/>
              </w:rPr>
            </w:pPr>
            <w:r w:rsidRPr="008B50D0">
              <w:t>For the first NDC under Article 4:</w:t>
            </w:r>
          </w:p>
        </w:tc>
      </w:tr>
      <w:tr w:rsidR="00A8128F" w:rsidRPr="008B50D0" w14:paraId="38F2C31D"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3686" w:type="dxa"/>
            <w:hideMark/>
          </w:tcPr>
          <w:p w14:paraId="16320B24" w14:textId="77777777" w:rsidR="00A8128F" w:rsidRPr="008B50D0" w:rsidRDefault="00A8128F">
            <w:pPr>
              <w:pStyle w:val="TableText"/>
              <w:spacing w:line="240" w:lineRule="auto"/>
              <w:rPr>
                <w:color w:val="000000"/>
              </w:rPr>
            </w:pPr>
            <w:r w:rsidRPr="5FFF5976">
              <w:t>Accounting approach, including how it is consistent with Article 4, paras 13–14, of the Paris Agreement (para 71 of the MPGs)</w:t>
            </w:r>
          </w:p>
        </w:tc>
        <w:tc>
          <w:tcPr>
            <w:tcW w:w="4819" w:type="dxa"/>
            <w:hideMark/>
          </w:tcPr>
          <w:p w14:paraId="18E23408" w14:textId="01904AB5" w:rsidR="00A8128F" w:rsidRPr="00D26D4E"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008B50D0">
              <w:rPr>
                <w:rFonts w:cs="Calibri"/>
              </w:rPr>
              <w:t>N</w:t>
            </w:r>
            <w:r w:rsidRPr="008B50D0">
              <w:t>ew Zealand’s accounting approach is described in section 2.3.</w:t>
            </w:r>
            <w:r w:rsidR="00EC7FEC">
              <w:t>4</w:t>
            </w:r>
            <w:r w:rsidRPr="008B50D0">
              <w:t>. New Zealand’s accounting approach is a gross:net point</w:t>
            </w:r>
            <w:r>
              <w:t>-</w:t>
            </w:r>
            <w:r w:rsidRPr="008B50D0">
              <w:t>year target for 2030, managed as an emissions budget across the period from 2021</w:t>
            </w:r>
            <w:r>
              <w:t xml:space="preserve"> to </w:t>
            </w:r>
            <w:r w:rsidRPr="008B50D0">
              <w:t xml:space="preserve">2030; economy-wide, all sectors, all gases; modified Kyoto Protocol accounting rules are applied to the LULUCF sector. </w:t>
            </w:r>
            <w:r>
              <w:t>Because</w:t>
            </w:r>
            <w:r w:rsidRPr="008B50D0">
              <w:t xml:space="preserve"> the accounting approach is an absolute reduction in greenhouse gas emissions as reported annually in New Zealand’s Greenhouse Gas Inventory, it is consistent with Article 4, paragraphs 13</w:t>
            </w:r>
            <w:r>
              <w:t>–</w:t>
            </w:r>
            <w:r w:rsidRPr="008B50D0">
              <w:t>14 of the Paris Agreement and paragraph 71 of the MPGs.</w:t>
            </w:r>
            <w:r>
              <w:t xml:space="preserve"> </w:t>
            </w:r>
          </w:p>
        </w:tc>
      </w:tr>
      <w:tr w:rsidR="00A8128F" w:rsidRPr="008B50D0" w14:paraId="6C4FAE6C"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8505" w:type="dxa"/>
            <w:gridSpan w:val="2"/>
            <w:tcBorders>
              <w:top w:val="none" w:sz="0" w:space="0" w:color="auto"/>
              <w:left w:val="none" w:sz="0" w:space="0" w:color="auto"/>
              <w:bottom w:val="none" w:sz="0" w:space="0" w:color="auto"/>
              <w:right w:val="none" w:sz="0" w:space="0" w:color="auto"/>
            </w:tcBorders>
            <w:shd w:val="clear" w:color="auto" w:fill="D2DDE1" w:themeFill="background2"/>
          </w:tcPr>
          <w:p w14:paraId="54340FD1" w14:textId="77777777" w:rsidR="00A8128F" w:rsidRPr="008B50D0" w:rsidRDefault="00A8128F">
            <w:pPr>
              <w:pStyle w:val="TableText"/>
              <w:spacing w:line="240" w:lineRule="auto"/>
              <w:rPr>
                <w:color w:val="000000"/>
              </w:rPr>
            </w:pPr>
            <w:r w:rsidRPr="5FFF5976">
              <w:t>For the second and subsequent NDC under Article 4, and optionally for the first NDC under Article 4:</w:t>
            </w:r>
          </w:p>
        </w:tc>
      </w:tr>
      <w:tr w:rsidR="00A8128F" w:rsidRPr="008B50D0" w14:paraId="64A0CFAD"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tcPr>
          <w:p w14:paraId="47E35BD9" w14:textId="77777777" w:rsidR="00A8128F" w:rsidRPr="49090CE0" w:rsidRDefault="00A8128F">
            <w:pPr>
              <w:pStyle w:val="TableText"/>
              <w:spacing w:line="240" w:lineRule="auto"/>
            </w:pPr>
            <w:r w:rsidRPr="5FFF5976">
              <w:t>Information on how the accounting approach used is consistent with paragraphs 13–17 and annex II of decision 4/CMA.1 (para. 72 of the MPGs)</w:t>
            </w:r>
          </w:p>
        </w:tc>
        <w:tc>
          <w:tcPr>
            <w:tcW w:w="0" w:type="dxa"/>
          </w:tcPr>
          <w:p w14:paraId="78475BFC" w14:textId="77777777" w:rsidR="00A8128F" w:rsidRPr="008B50D0"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rPr>
                <w:color w:val="000000"/>
              </w:rPr>
            </w:pPr>
            <w:r w:rsidRPr="5FFF5976">
              <w:t>Not applicable.</w:t>
            </w:r>
          </w:p>
        </w:tc>
      </w:tr>
      <w:tr w:rsidR="00A8128F" w:rsidRPr="008B50D0" w14:paraId="7B8B54D1"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tcPr>
          <w:p w14:paraId="084C06E1" w14:textId="77777777" w:rsidR="00A8128F" w:rsidRPr="49090CE0" w:rsidRDefault="00A8128F">
            <w:pPr>
              <w:pStyle w:val="TableText"/>
              <w:spacing w:line="240" w:lineRule="auto"/>
            </w:pPr>
            <w:r w:rsidRPr="5FFF5976">
              <w:t>Explain how the accounting for anthropogenic emissions and removals is in accordance with methodologies and common metrics assessed by the IPCC and in accordance with decision 18/CMA.1 (para. 1(a) of annex II to decision 4/CMA.1)</w:t>
            </w:r>
          </w:p>
        </w:tc>
        <w:tc>
          <w:tcPr>
            <w:tcW w:w="0" w:type="dxa"/>
            <w:tcBorders>
              <w:top w:val="none" w:sz="0" w:space="0" w:color="auto"/>
              <w:bottom w:val="none" w:sz="0" w:space="0" w:color="auto"/>
              <w:right w:val="none" w:sz="0" w:space="0" w:color="auto"/>
            </w:tcBorders>
          </w:tcPr>
          <w:p w14:paraId="67B08FD9" w14:textId="77777777" w:rsidR="00A8128F" w:rsidRPr="008B50D0" w:rsidRDefault="00A8128F">
            <w:pPr>
              <w:pStyle w:val="TableText"/>
              <w:spacing w:line="240" w:lineRule="auto"/>
              <w:cnfStyle w:val="000000100000" w:firstRow="0" w:lastRow="0" w:firstColumn="0" w:lastColumn="0" w:oddVBand="0" w:evenVBand="0" w:oddHBand="1" w:evenHBand="0" w:firstRowFirstColumn="0" w:firstRowLastColumn="0" w:lastRowFirstColumn="0" w:lastRowLastColumn="0"/>
              <w:rPr>
                <w:color w:val="000000"/>
              </w:rPr>
            </w:pPr>
            <w:r w:rsidRPr="5FFF5976">
              <w:t>Not applicable.</w:t>
            </w:r>
          </w:p>
        </w:tc>
      </w:tr>
      <w:tr w:rsidR="00A8128F" w:rsidRPr="008B50D0" w14:paraId="02FD5C7B"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tcPr>
          <w:p w14:paraId="2B41BFBA" w14:textId="77777777" w:rsidR="00A8128F" w:rsidRPr="49090CE0" w:rsidRDefault="00A8128F">
            <w:pPr>
              <w:pStyle w:val="TableText"/>
              <w:spacing w:line="240" w:lineRule="auto"/>
            </w:pPr>
            <w:r w:rsidRPr="5FFF5976">
              <w:t>Explain how consistency has been maintained between any GHG data and estimation methodologies used for accounting and the Party’s GHG inventory, pursuant to Article 13, paragraph 7(a), of the Paris Agreement, if applicable (para. 2(b) of annex II to decision 4/CMA.1)</w:t>
            </w:r>
          </w:p>
        </w:tc>
        <w:tc>
          <w:tcPr>
            <w:tcW w:w="0" w:type="dxa"/>
          </w:tcPr>
          <w:p w14:paraId="14650855" w14:textId="77777777" w:rsidR="00A8128F" w:rsidRPr="008B50D0"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rPr>
                <w:color w:val="000000"/>
              </w:rPr>
            </w:pPr>
            <w:r w:rsidRPr="5FFF5976">
              <w:t>Not applicable.</w:t>
            </w:r>
          </w:p>
        </w:tc>
      </w:tr>
      <w:tr w:rsidR="00A8128F" w:rsidRPr="008B50D0" w14:paraId="1E8D5F89"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tcPr>
          <w:p w14:paraId="4CD1859E" w14:textId="77777777" w:rsidR="00A8128F" w:rsidRPr="49090CE0" w:rsidRDefault="00A8128F">
            <w:pPr>
              <w:pStyle w:val="TableText"/>
              <w:spacing w:line="240" w:lineRule="auto"/>
            </w:pPr>
            <w:r w:rsidRPr="5FFF5976">
              <w:t>Explain how overestimation or underestimation has been avoided for any projected emissions and removals used for accounting (para. 2(c) of annex II to decision 4/CMA.1)</w:t>
            </w:r>
          </w:p>
        </w:tc>
        <w:tc>
          <w:tcPr>
            <w:tcW w:w="0" w:type="dxa"/>
            <w:tcBorders>
              <w:top w:val="none" w:sz="0" w:space="0" w:color="auto"/>
              <w:bottom w:val="none" w:sz="0" w:space="0" w:color="auto"/>
              <w:right w:val="none" w:sz="0" w:space="0" w:color="auto"/>
            </w:tcBorders>
          </w:tcPr>
          <w:p w14:paraId="1CFFDB50" w14:textId="77777777" w:rsidR="00A8128F" w:rsidRPr="008B50D0" w:rsidRDefault="00A8128F">
            <w:pPr>
              <w:pStyle w:val="TableText"/>
              <w:spacing w:line="240" w:lineRule="auto"/>
              <w:cnfStyle w:val="000000100000" w:firstRow="0" w:lastRow="0" w:firstColumn="0" w:lastColumn="0" w:oddVBand="0" w:evenVBand="0" w:oddHBand="1" w:evenHBand="0" w:firstRowFirstColumn="0" w:firstRowLastColumn="0" w:lastRowFirstColumn="0" w:lastRowLastColumn="0"/>
              <w:rPr>
                <w:color w:val="000000"/>
              </w:rPr>
            </w:pPr>
            <w:r w:rsidRPr="5FFF5976">
              <w:t>Not applicable.</w:t>
            </w:r>
          </w:p>
        </w:tc>
      </w:tr>
      <w:tr w:rsidR="00A8128F" w:rsidRPr="008B50D0" w14:paraId="240CF18A"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gridSpan w:val="2"/>
            <w:shd w:val="clear" w:color="auto" w:fill="D2DDE1" w:themeFill="background2"/>
            <w:hideMark/>
          </w:tcPr>
          <w:p w14:paraId="3096CB95" w14:textId="77777777" w:rsidR="00A8128F" w:rsidRPr="008B50D0" w:rsidRDefault="00A8128F">
            <w:pPr>
              <w:pStyle w:val="TableText"/>
              <w:keepNext/>
              <w:spacing w:line="240" w:lineRule="auto"/>
            </w:pPr>
            <w:r w:rsidRPr="008B50D0">
              <w:t>For each NDC under Article 4:</w:t>
            </w:r>
          </w:p>
        </w:tc>
      </w:tr>
      <w:tr w:rsidR="00A8128F" w:rsidRPr="008B50D0" w14:paraId="1ABCEEED"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gridSpan w:val="2"/>
            <w:tcBorders>
              <w:top w:val="none" w:sz="0" w:space="0" w:color="auto"/>
              <w:left w:val="none" w:sz="0" w:space="0" w:color="auto"/>
              <w:bottom w:val="none" w:sz="0" w:space="0" w:color="auto"/>
              <w:right w:val="none" w:sz="0" w:space="0" w:color="auto"/>
            </w:tcBorders>
            <w:shd w:val="clear" w:color="auto" w:fill="D2DDE1" w:themeFill="background2"/>
            <w:hideMark/>
          </w:tcPr>
          <w:p w14:paraId="1F9B0FE1" w14:textId="77777777" w:rsidR="00A8128F" w:rsidRPr="00D26D4E" w:rsidRDefault="00A8128F">
            <w:pPr>
              <w:pStyle w:val="TableText"/>
              <w:spacing w:line="240" w:lineRule="auto"/>
            </w:pPr>
            <w:r w:rsidRPr="5FFF5976">
              <w:rPr>
                <w:color w:val="000000" w:themeColor="text1"/>
              </w:rPr>
              <w:t>Accounting for anthropogenic emissions and removals in accordance with methodologies and common metrics assessed by the IPCC and adopted by the Conference of the Parties serving as the meeting of the Parties to the Paris Agreement (para. 12(a) of decision 4/CMA.1 and para 1 of its annex II):</w:t>
            </w:r>
          </w:p>
        </w:tc>
      </w:tr>
      <w:tr w:rsidR="00A8128F" w:rsidRPr="008B50D0" w14:paraId="044767E5"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hideMark/>
          </w:tcPr>
          <w:p w14:paraId="5D26B8D0" w14:textId="77777777" w:rsidR="00A8128F" w:rsidRPr="008B50D0" w:rsidRDefault="00A8128F">
            <w:pPr>
              <w:pStyle w:val="TableText"/>
              <w:spacing w:line="240" w:lineRule="auto"/>
            </w:pPr>
            <w:r w:rsidRPr="008B50D0">
              <w:t>Each methodology and/or accounting approach used to assess the implementation and achievement of the target(s) as applicable (para 74(a) of the MPGs)</w:t>
            </w:r>
          </w:p>
        </w:tc>
        <w:tc>
          <w:tcPr>
            <w:tcW w:w="0" w:type="dxa"/>
            <w:hideMark/>
          </w:tcPr>
          <w:p w14:paraId="318CDEAD" w14:textId="2DD93F3A" w:rsidR="00A8128F" w:rsidRPr="00EA7B26"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00EA7B26">
              <w:t xml:space="preserve">Net target accounting quantities are used to assess the implementation, progress and achievement of the target for NDC1. See </w:t>
            </w:r>
            <w:hyperlink w:anchor="section234" w:history="1">
              <w:r w:rsidRPr="006712C6">
                <w:rPr>
                  <w:rStyle w:val="Hyperlink"/>
                </w:rPr>
                <w:t>section 2.3.4</w:t>
              </w:r>
            </w:hyperlink>
            <w:r w:rsidR="00C73202">
              <w:t xml:space="preserve"> </w:t>
            </w:r>
            <w:r w:rsidRPr="00EA7B26">
              <w:t>for details.</w:t>
            </w:r>
            <w:r w:rsidR="00DC20A5">
              <w:t xml:space="preserve"> </w:t>
            </w:r>
          </w:p>
        </w:tc>
      </w:tr>
      <w:tr w:rsidR="00A8128F" w:rsidRPr="008B50D0" w14:paraId="212902C6"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426975E3" w14:textId="77777777" w:rsidR="00A8128F" w:rsidRPr="008B50D0" w:rsidRDefault="00A8128F">
            <w:pPr>
              <w:pStyle w:val="TableText"/>
              <w:spacing w:line="240" w:lineRule="auto"/>
            </w:pPr>
            <w:r w:rsidRPr="008B50D0">
              <w:t>Methodology and/or accounting approach used for the construction of any baseline to the extent possible (para 74(b) of the MPGs)</w:t>
            </w:r>
          </w:p>
        </w:tc>
        <w:tc>
          <w:tcPr>
            <w:tcW w:w="0" w:type="dxa"/>
            <w:tcBorders>
              <w:top w:val="none" w:sz="0" w:space="0" w:color="auto"/>
              <w:bottom w:val="none" w:sz="0" w:space="0" w:color="auto"/>
              <w:right w:val="none" w:sz="0" w:space="0" w:color="auto"/>
            </w:tcBorders>
            <w:hideMark/>
          </w:tcPr>
          <w:p w14:paraId="62DC5A0F" w14:textId="77777777" w:rsidR="00A8128F" w:rsidRPr="00EA7B26" w:rsidRDefault="00A8128F">
            <w:pPr>
              <w:pStyle w:val="TableText"/>
              <w:spacing w:after="0" w:line="240" w:lineRule="auto"/>
              <w:cnfStyle w:val="000000100000" w:firstRow="0" w:lastRow="0" w:firstColumn="0" w:lastColumn="0" w:oddVBand="0" w:evenVBand="0" w:oddHBand="1" w:evenHBand="0" w:firstRowFirstColumn="0" w:firstRowLastColumn="0" w:lastRowFirstColumn="0" w:lastRowLastColumn="0"/>
            </w:pPr>
            <w:r w:rsidRPr="00EA7B26">
              <w:t xml:space="preserve">Base year emissions are 2005 total (gross) emissions as reported in New Zealand’s Greenhouse Gas Inventory. </w:t>
            </w:r>
          </w:p>
          <w:p w14:paraId="3A77CE10" w14:textId="61B3885D" w:rsidR="00A8128F" w:rsidRPr="00EA7B26" w:rsidRDefault="00A8128F">
            <w:pPr>
              <w:pStyle w:val="TableText"/>
              <w:spacing w:line="240" w:lineRule="auto"/>
              <w:cnfStyle w:val="000000100000" w:firstRow="0" w:lastRow="0" w:firstColumn="0" w:lastColumn="0" w:oddVBand="0" w:evenVBand="0" w:oddHBand="1" w:evenHBand="0" w:firstRowFirstColumn="0" w:firstRowLastColumn="0" w:lastRowFirstColumn="0" w:lastRowLastColumn="0"/>
            </w:pPr>
            <w:r w:rsidRPr="00EA7B26">
              <w:t xml:space="preserve">A forest reference level is used to account for Forest management activities. See annex 2, including </w:t>
            </w:r>
            <w:hyperlink w:anchor="sectionA241" w:history="1">
              <w:r w:rsidRPr="008E1181">
                <w:rPr>
                  <w:rStyle w:val="Hyperlink"/>
                </w:rPr>
                <w:t>section A.2.4.1</w:t>
              </w:r>
            </w:hyperlink>
            <w:r w:rsidRPr="00EA7B26">
              <w:t xml:space="preserve"> for details. </w:t>
            </w:r>
          </w:p>
        </w:tc>
      </w:tr>
      <w:tr w:rsidR="00A8128F" w:rsidRPr="008B50D0" w14:paraId="026B2CC5"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hideMark/>
          </w:tcPr>
          <w:p w14:paraId="3D5C19EE" w14:textId="77777777" w:rsidR="00A8128F" w:rsidRPr="008B50D0" w:rsidRDefault="00A8128F">
            <w:pPr>
              <w:pStyle w:val="TableText"/>
              <w:spacing w:line="240" w:lineRule="auto"/>
            </w:pPr>
            <w:r w:rsidRPr="008B50D0">
              <w:t xml:space="preserve">If the methodology or accounting approach used for the indicator(s) in table 1 differ from those used to assess the implementation and achievement of the target, describe each methodology or accounting approach used to generate the information generated for each indicator in table 4 </w:t>
            </w:r>
          </w:p>
        </w:tc>
        <w:tc>
          <w:tcPr>
            <w:tcW w:w="0" w:type="dxa"/>
            <w:hideMark/>
          </w:tcPr>
          <w:p w14:paraId="115B9B8D" w14:textId="77777777" w:rsidR="00A8128F" w:rsidRPr="00EA7B26"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00EA7B26">
              <w:t>Not applicable.</w:t>
            </w:r>
          </w:p>
        </w:tc>
      </w:tr>
      <w:tr w:rsidR="00A8128F" w:rsidRPr="008B50D0" w14:paraId="75C3C5A2"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64A12C0D" w14:textId="77777777" w:rsidR="00A8128F" w:rsidRPr="008B50D0" w:rsidRDefault="00A8128F">
            <w:pPr>
              <w:pStyle w:val="TableText"/>
              <w:spacing w:line="240" w:lineRule="auto"/>
            </w:pPr>
            <w:r w:rsidRPr="008B50D0">
              <w:t>Assumptions relevant to the achievement of the NDC under Article 4, as applicable and available (para 75(i) of the MPGs)</w:t>
            </w:r>
            <w:r>
              <w:t xml:space="preserve"> </w:t>
            </w:r>
            <w:r w:rsidRPr="008B50D0">
              <w:t>(para 74(c) of the MPGs)</w:t>
            </w:r>
          </w:p>
        </w:tc>
        <w:tc>
          <w:tcPr>
            <w:tcW w:w="0" w:type="dxa"/>
            <w:tcBorders>
              <w:top w:val="none" w:sz="0" w:space="0" w:color="auto"/>
              <w:bottom w:val="none" w:sz="0" w:space="0" w:color="auto"/>
              <w:right w:val="none" w:sz="0" w:space="0" w:color="auto"/>
            </w:tcBorders>
            <w:noWrap/>
            <w:hideMark/>
          </w:tcPr>
          <w:p w14:paraId="1623C831" w14:textId="77777777" w:rsidR="00A8128F" w:rsidRPr="00EA7B26" w:rsidRDefault="00A8128F">
            <w:pPr>
              <w:pStyle w:val="TableText"/>
              <w:spacing w:line="240" w:lineRule="auto"/>
              <w:cnfStyle w:val="000000100000" w:firstRow="0" w:lastRow="0" w:firstColumn="0" w:lastColumn="0" w:oddVBand="0" w:evenVBand="0" w:oddHBand="1" w:evenHBand="0" w:firstRowFirstColumn="0" w:firstRowLastColumn="0" w:lastRowFirstColumn="0" w:lastRowLastColumn="0"/>
            </w:pPr>
            <w:r w:rsidRPr="00EA7B26">
              <w:t>Not applicable.</w:t>
            </w:r>
          </w:p>
        </w:tc>
      </w:tr>
      <w:tr w:rsidR="00A8128F" w:rsidRPr="008B50D0" w14:paraId="469FD59C"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hideMark/>
          </w:tcPr>
          <w:p w14:paraId="7281BCC7" w14:textId="77777777" w:rsidR="00A8128F" w:rsidRPr="008B50D0" w:rsidRDefault="00A8128F">
            <w:pPr>
              <w:pStyle w:val="TableText"/>
              <w:spacing w:line="240" w:lineRule="auto"/>
            </w:pPr>
            <w:r w:rsidRPr="5FFF5976">
              <w:rPr>
                <w:color w:val="000000" w:themeColor="text1"/>
              </w:rPr>
              <w:t>Key parameters, assumptions, definitions, data sources and models used, as applicable and available (para 75(a) of the MPGs)</w:t>
            </w:r>
          </w:p>
        </w:tc>
        <w:tc>
          <w:tcPr>
            <w:tcW w:w="0" w:type="dxa"/>
            <w:noWrap/>
            <w:hideMark/>
          </w:tcPr>
          <w:p w14:paraId="763411E8" w14:textId="083560E8" w:rsidR="00A8128F" w:rsidRPr="00EA7B26"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00EA7B26">
              <w:t xml:space="preserve">Information on parameters, assumptions, data sources and models used to calculate New Zealand’s target, forest reference level and indicator is provided in sections 2.3, 2.5, 2.6 and </w:t>
            </w:r>
            <w:hyperlink w:anchor="annex2" w:history="1">
              <w:r w:rsidRPr="003D6AED">
                <w:rPr>
                  <w:rStyle w:val="Hyperlink"/>
                </w:rPr>
                <w:t>annex 2</w:t>
              </w:r>
            </w:hyperlink>
            <w:r w:rsidRPr="00EA7B26">
              <w:t xml:space="preserve"> of New Zealand’s first </w:t>
            </w:r>
            <w:r w:rsidR="00D21994">
              <w:t>Biennial Transparency Report</w:t>
            </w:r>
            <w:r w:rsidRPr="00EA7B26">
              <w:t>.</w:t>
            </w:r>
          </w:p>
        </w:tc>
      </w:tr>
      <w:tr w:rsidR="00A8128F" w:rsidRPr="008B50D0" w14:paraId="122A739D"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7CD2A3E6" w14:textId="77777777" w:rsidR="00A8128F" w:rsidRPr="008B50D0" w:rsidRDefault="00A8128F">
            <w:pPr>
              <w:pStyle w:val="TableText"/>
              <w:spacing w:line="240" w:lineRule="auto"/>
            </w:pPr>
            <w:r w:rsidRPr="008B50D0">
              <w:t>IPCC Guidelines used, as applicable and available (para 75(b) of the MPGs)</w:t>
            </w:r>
          </w:p>
        </w:tc>
        <w:tc>
          <w:tcPr>
            <w:tcW w:w="0" w:type="dxa"/>
            <w:tcBorders>
              <w:top w:val="none" w:sz="0" w:space="0" w:color="auto"/>
              <w:bottom w:val="none" w:sz="0" w:space="0" w:color="auto"/>
              <w:right w:val="none" w:sz="0" w:space="0" w:color="auto"/>
            </w:tcBorders>
            <w:hideMark/>
          </w:tcPr>
          <w:p w14:paraId="37E6B3C7" w14:textId="77777777" w:rsidR="00A8128F" w:rsidRPr="00EA7B26" w:rsidRDefault="00A8128F">
            <w:pPr>
              <w:pStyle w:val="TableText"/>
              <w:spacing w:after="0" w:line="240" w:lineRule="auto"/>
              <w:cnfStyle w:val="000000100000" w:firstRow="0" w:lastRow="0" w:firstColumn="0" w:lastColumn="0" w:oddVBand="0" w:evenVBand="0" w:oddHBand="1" w:evenHBand="0" w:firstRowFirstColumn="0" w:firstRowLastColumn="0" w:lastRowFirstColumn="0" w:lastRowLastColumn="0"/>
            </w:pPr>
            <w:r w:rsidRPr="00EA7B26">
              <w:t>2006 IPCC Guidelines for National Greenhouse Gas Inventories (2006 IPCC Guidelines)</w:t>
            </w:r>
            <w:r>
              <w:t>.</w:t>
            </w:r>
            <w:r w:rsidRPr="00CD031A">
              <w:rPr>
                <w:vertAlign w:val="superscript"/>
              </w:rPr>
              <w:footnoteReference w:id="139"/>
            </w:r>
          </w:p>
          <w:p w14:paraId="288BB1A3" w14:textId="77777777" w:rsidR="00A8128F" w:rsidRPr="00EA7B26" w:rsidRDefault="00A8128F">
            <w:pPr>
              <w:pStyle w:val="TableText"/>
              <w:spacing w:line="240" w:lineRule="auto"/>
              <w:cnfStyle w:val="000000100000" w:firstRow="0" w:lastRow="0" w:firstColumn="0" w:lastColumn="0" w:oddVBand="0" w:evenVBand="0" w:oddHBand="1" w:evenHBand="0" w:firstRowFirstColumn="0" w:firstRowLastColumn="0" w:lastRowFirstColumn="0" w:lastRowLastColumn="0"/>
            </w:pPr>
            <w:r w:rsidRPr="00EA7B26">
              <w:t>2013 Revised Supplementary Methods and Good Practice Guidance Arising from the Kyoto Protocol (2013 KP Supplement).</w:t>
            </w:r>
            <w:r w:rsidRPr="00CD031A">
              <w:rPr>
                <w:vertAlign w:val="superscript"/>
              </w:rPr>
              <w:footnoteReference w:id="140"/>
            </w:r>
          </w:p>
        </w:tc>
      </w:tr>
      <w:tr w:rsidR="00A8128F" w:rsidRPr="008B50D0" w14:paraId="10236815"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hideMark/>
          </w:tcPr>
          <w:p w14:paraId="01A206C3" w14:textId="77777777" w:rsidR="00A8128F" w:rsidRPr="008B50D0" w:rsidRDefault="00A8128F">
            <w:pPr>
              <w:pStyle w:val="TableText"/>
              <w:spacing w:line="240" w:lineRule="auto"/>
            </w:pPr>
            <w:r w:rsidRPr="008B50D0">
              <w:t>Report the metrics used, as applicable and available (para 75(c) of the MPGs)</w:t>
            </w:r>
          </w:p>
        </w:tc>
        <w:tc>
          <w:tcPr>
            <w:tcW w:w="0" w:type="dxa"/>
            <w:noWrap/>
            <w:hideMark/>
          </w:tcPr>
          <w:p w14:paraId="3FEA0736" w14:textId="77777777" w:rsidR="00A8128F" w:rsidRPr="00EA7B26"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00EA7B26">
              <w:t>100-year time horizon global warming potential values used are those listed in table 8.A.1 of the Fifth Assessment Report of the Intergovernmental Panel on Climate Change</w:t>
            </w:r>
            <w:r>
              <w:t>,</w:t>
            </w:r>
            <w:r w:rsidRPr="00CD031A">
              <w:rPr>
                <w:vertAlign w:val="superscript"/>
              </w:rPr>
              <w:footnoteReference w:id="141"/>
            </w:r>
            <w:r w:rsidRPr="00EA7B26">
              <w:t xml:space="preserve"> excluding the value for fossil methane (AR5 GWP100).</w:t>
            </w:r>
          </w:p>
        </w:tc>
      </w:tr>
      <w:tr w:rsidR="00A8128F" w:rsidRPr="008B50D0" w14:paraId="57892401"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395C94D1" w14:textId="77777777" w:rsidR="00A8128F" w:rsidRPr="008B50D0" w:rsidRDefault="00A8128F">
            <w:pPr>
              <w:pStyle w:val="TableText"/>
              <w:spacing w:line="240" w:lineRule="auto"/>
            </w:pPr>
            <w:r w:rsidRPr="008B50D0">
              <w:t>For Parties whose NDC cannot be accounted for using methodologies covered by IPCC guidelines, provide information on their own methodology used, including for NDCs, pursuant to Article 4, paragraph 6, of the Paris Agreement, if applicable (para 1(b) of annex II to decision 4/CMA.1)</w:t>
            </w:r>
          </w:p>
        </w:tc>
        <w:tc>
          <w:tcPr>
            <w:tcW w:w="0" w:type="dxa"/>
            <w:tcBorders>
              <w:top w:val="none" w:sz="0" w:space="0" w:color="auto"/>
              <w:bottom w:val="none" w:sz="0" w:space="0" w:color="auto"/>
              <w:right w:val="none" w:sz="0" w:space="0" w:color="auto"/>
            </w:tcBorders>
            <w:noWrap/>
            <w:hideMark/>
          </w:tcPr>
          <w:p w14:paraId="2FC5EFB1" w14:textId="79AE8006" w:rsidR="00A8128F" w:rsidRPr="00EA7B26" w:rsidRDefault="00A8128F">
            <w:pPr>
              <w:pStyle w:val="TableText"/>
              <w:spacing w:line="240" w:lineRule="auto"/>
              <w:cnfStyle w:val="000000100000" w:firstRow="0" w:lastRow="0" w:firstColumn="0" w:lastColumn="0" w:oddVBand="0" w:evenVBand="0" w:oddHBand="1" w:evenHBand="0" w:firstRowFirstColumn="0" w:firstRowLastColumn="0" w:lastRowFirstColumn="0" w:lastRowLastColumn="0"/>
            </w:pPr>
            <w:r w:rsidRPr="00EA7B26">
              <w:t xml:space="preserve">New Zealand is applying an activity-based accounting approach to the net emissions it accounts for from the LULUCF sector. The methods applied to estimate accounting quantities adhere to the 2006 IPCC Guidelines and the 2013 KP Supplement while taking a country-specific approach to account for emissions from Afforestation and reforestation activities. See annex 2, </w:t>
            </w:r>
            <w:hyperlink w:anchor="sectionA232" w:history="1">
              <w:r w:rsidRPr="006712C6">
                <w:rPr>
                  <w:rStyle w:val="Hyperlink"/>
                </w:rPr>
                <w:t>section A2.3.2</w:t>
              </w:r>
            </w:hyperlink>
            <w:r w:rsidRPr="00EA7B26">
              <w:t xml:space="preserve"> for a full description of the country-specific approach New Zealand applies to Afforestation and reforestation activities.</w:t>
            </w:r>
          </w:p>
        </w:tc>
      </w:tr>
      <w:tr w:rsidR="00A8128F" w:rsidRPr="008B50D0" w14:paraId="78441257"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hideMark/>
          </w:tcPr>
          <w:p w14:paraId="433717E0" w14:textId="77777777" w:rsidR="00A8128F" w:rsidRPr="008B50D0" w:rsidRDefault="00A8128F">
            <w:pPr>
              <w:pStyle w:val="TableText"/>
              <w:keepNext/>
              <w:spacing w:line="240" w:lineRule="auto"/>
            </w:pPr>
            <w:r w:rsidRPr="008B50D0">
              <w:t>Provide information on methodologies used to track progress arising from the implementation of policies and measures, as appropriate (para 1(d) of annex II to decision 4/CMA.1)</w:t>
            </w:r>
          </w:p>
        </w:tc>
        <w:tc>
          <w:tcPr>
            <w:tcW w:w="0" w:type="dxa"/>
            <w:noWrap/>
            <w:hideMark/>
          </w:tcPr>
          <w:p w14:paraId="339BBA3A" w14:textId="77777777" w:rsidR="00A8128F" w:rsidRPr="008B50D0"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5FFF5976">
              <w:t>Not applicable.</w:t>
            </w:r>
          </w:p>
        </w:tc>
      </w:tr>
      <w:tr w:rsidR="00A8128F" w:rsidRPr="008B50D0" w14:paraId="6EB5F24E"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gridSpan w:val="2"/>
            <w:tcBorders>
              <w:top w:val="none" w:sz="0" w:space="0" w:color="auto"/>
              <w:left w:val="none" w:sz="0" w:space="0" w:color="auto"/>
              <w:bottom w:val="none" w:sz="0" w:space="0" w:color="auto"/>
              <w:right w:val="none" w:sz="0" w:space="0" w:color="auto"/>
            </w:tcBorders>
            <w:shd w:val="clear" w:color="auto" w:fill="D2DDE1" w:themeFill="background2"/>
            <w:hideMark/>
          </w:tcPr>
          <w:p w14:paraId="66809A8D" w14:textId="77777777" w:rsidR="00A8128F" w:rsidRPr="00DB4E53" w:rsidRDefault="00A8128F">
            <w:pPr>
              <w:pStyle w:val="TableText"/>
              <w:spacing w:line="240" w:lineRule="auto"/>
              <w:rPr>
                <w:color w:val="000000"/>
              </w:rPr>
            </w:pPr>
            <w:r w:rsidRPr="5FFF5976">
              <w:t>Where applicable to its NDC, any sector-, category- or activity-specific assumptions, methodologies and approaches consistent with IPCC guidance, taking into account any relevant decision under the Convention, as applicable (para 75(d) of the MPGs):</w:t>
            </w:r>
          </w:p>
        </w:tc>
      </w:tr>
      <w:tr w:rsidR="00A8128F" w:rsidRPr="008B50D0" w14:paraId="09C4E8A9"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hideMark/>
          </w:tcPr>
          <w:p w14:paraId="551D876E" w14:textId="77777777" w:rsidR="00A8128F" w:rsidRPr="008B50D0" w:rsidRDefault="00A8128F">
            <w:pPr>
              <w:pStyle w:val="TableText"/>
              <w:spacing w:line="240" w:lineRule="auto"/>
            </w:pPr>
            <w:r w:rsidRPr="008B50D0">
              <w:t>For Parties that address emissions and subsequent removals from natural disturbances on managed lands, provide detailed information on the approach used and how it is consistent with relevant IPCC guidance, as appropriate, or indicate the relevant section of the national GHG inventory report containing that information (para 1(e) of annex II to decision 4/CMA.1, para 75(d)(i) of the MPGs)</w:t>
            </w:r>
          </w:p>
        </w:tc>
        <w:tc>
          <w:tcPr>
            <w:tcW w:w="0" w:type="dxa"/>
            <w:hideMark/>
          </w:tcPr>
          <w:p w14:paraId="5D30B99E" w14:textId="253647AD" w:rsidR="00A8128F" w:rsidRPr="008B50D0" w:rsidRDefault="00A8128F" w:rsidP="006A7E46">
            <w:pPr>
              <w:pStyle w:val="TableText"/>
              <w:cnfStyle w:val="000000000000" w:firstRow="0" w:lastRow="0" w:firstColumn="0" w:lastColumn="0" w:oddVBand="0" w:evenVBand="0" w:oddHBand="0" w:evenHBand="0" w:firstRowFirstColumn="0" w:firstRowLastColumn="0" w:lastRowFirstColumn="0" w:lastRowLastColumn="0"/>
            </w:pPr>
            <w:r w:rsidRPr="008B50D0">
              <w:t>In the event of a significant non-anthropogenic event or circumstance, New Zealand retains the option to invoke the natural disturbance accounting provision. The following types of natural disturbances are captured: wildfires</w:t>
            </w:r>
            <w:r w:rsidR="001635BC">
              <w:t xml:space="preserve">; </w:t>
            </w:r>
            <w:r w:rsidRPr="008B50D0">
              <w:t>invertebrate and vertebrate pests and diseases</w:t>
            </w:r>
            <w:r w:rsidR="001635BC">
              <w:t xml:space="preserve">; </w:t>
            </w:r>
            <w:r w:rsidRPr="008B50D0">
              <w:t>extreme weather events</w:t>
            </w:r>
            <w:r w:rsidR="001635BC">
              <w:t xml:space="preserve">; </w:t>
            </w:r>
            <w:r w:rsidRPr="008B50D0">
              <w:t>geological disturbances.</w:t>
            </w:r>
          </w:p>
          <w:p w14:paraId="314DD869" w14:textId="77777777" w:rsidR="00A8128F" w:rsidRPr="008B50D0"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008B50D0">
              <w:rPr>
                <w:iCs/>
              </w:rPr>
              <w:t>For planted forests</w:t>
            </w:r>
            <w:r>
              <w:rPr>
                <w:iCs/>
              </w:rPr>
              <w:t>,</w:t>
            </w:r>
            <w:r w:rsidRPr="008B50D0">
              <w:rPr>
                <w:iCs/>
              </w:rPr>
              <w:t xml:space="preserve"> salvage logging is considered to take place in </w:t>
            </w:r>
            <w:r w:rsidRPr="008B50D0">
              <w:t xml:space="preserve">all </w:t>
            </w:r>
            <w:r w:rsidRPr="008B50D0">
              <w:rPr>
                <w:iCs/>
              </w:rPr>
              <w:t xml:space="preserve">disturbed forests. </w:t>
            </w:r>
            <w:r w:rsidRPr="008B50D0">
              <w:t xml:space="preserve">In the case of pre-1990 natural forests, the ground plot measurement programme captures emissions from natural disturbances implicitly, and the emissions from natural disturbance events, apart from wildfires, cannot be separated from other disturbance events. </w:t>
            </w:r>
          </w:p>
          <w:p w14:paraId="12741135" w14:textId="7EE3A279" w:rsidR="00A8128F" w:rsidRPr="008B50D0"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rPr>
                <w:i/>
                <w:iCs/>
              </w:rPr>
            </w:pPr>
            <w:r w:rsidRPr="5FFF5976">
              <w:t xml:space="preserve">New Zealand assumes a zero baseline for all types of natural disturbance except wildfires. The background level has been defined for wildfire emissions using the default methodology described in section 2.3.9.6 of the 2013 KP Supplement. This is described in annex 2, </w:t>
            </w:r>
            <w:hyperlink w:anchor="sectionA237" w:history="1">
              <w:r w:rsidRPr="006C4E9A">
                <w:rPr>
                  <w:rStyle w:val="Hyperlink"/>
                </w:rPr>
                <w:t>section A2.3.7</w:t>
              </w:r>
            </w:hyperlink>
            <w:r w:rsidRPr="5FFF5976">
              <w:t>.</w:t>
            </w:r>
          </w:p>
        </w:tc>
      </w:tr>
      <w:tr w:rsidR="00A8128F" w:rsidRPr="008B50D0" w14:paraId="5D384A4C"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621E5D08" w14:textId="77777777" w:rsidR="00A8128F" w:rsidRPr="008B50D0" w:rsidRDefault="00A8128F">
            <w:pPr>
              <w:pStyle w:val="TableText"/>
              <w:spacing w:line="240" w:lineRule="auto"/>
            </w:pPr>
            <w:r w:rsidRPr="008B50D0">
              <w:t>For Parties that account for emissions and removals from harvested wood products, provide detailed information on which IPCC approach has been used to estimate emissions and removals (para 1(f) of annex II to decision 4/CMA.1, para 75(d)(ii) of the MPGs)</w:t>
            </w:r>
          </w:p>
        </w:tc>
        <w:tc>
          <w:tcPr>
            <w:tcW w:w="0" w:type="dxa"/>
            <w:tcBorders>
              <w:top w:val="none" w:sz="0" w:space="0" w:color="auto"/>
              <w:bottom w:val="none" w:sz="0" w:space="0" w:color="auto"/>
              <w:right w:val="none" w:sz="0" w:space="0" w:color="auto"/>
            </w:tcBorders>
          </w:tcPr>
          <w:p w14:paraId="41E3DA3E" w14:textId="122AC9AA" w:rsidR="00A8128F" w:rsidRPr="008B50D0" w:rsidRDefault="00A8128F">
            <w:pPr>
              <w:pStyle w:val="TableText"/>
              <w:spacing w:line="240" w:lineRule="auto"/>
              <w:cnfStyle w:val="000000100000" w:firstRow="0" w:lastRow="0" w:firstColumn="0" w:lastColumn="0" w:oddVBand="0" w:evenVBand="0" w:oddHBand="1" w:evenHBand="0" w:firstRowFirstColumn="0" w:firstRowLastColumn="0" w:lastRowFirstColumn="0" w:lastRowLastColumn="0"/>
            </w:pPr>
            <w:r w:rsidRPr="008B50D0">
              <w:t xml:space="preserve">New Zealand accounts for the changes in the harvested wood products pool </w:t>
            </w:r>
            <w:r>
              <w:t xml:space="preserve">by </w:t>
            </w:r>
            <w:r w:rsidRPr="008B50D0">
              <w:t xml:space="preserve">using the production approach. </w:t>
            </w:r>
            <w:r>
              <w:t xml:space="preserve">Annex 2, </w:t>
            </w:r>
            <w:hyperlink w:anchor="sectionA235" w:history="1">
              <w:r w:rsidRPr="00E43038">
                <w:rPr>
                  <w:rStyle w:val="Hyperlink"/>
                </w:rPr>
                <w:t>section A2.3.5</w:t>
              </w:r>
            </w:hyperlink>
            <w:r w:rsidRPr="008B50D0">
              <w:t xml:space="preserve"> further describes the methods used for accounting for emissions and removals from harvested wood products.</w:t>
            </w:r>
          </w:p>
        </w:tc>
      </w:tr>
      <w:tr w:rsidR="00A8128F" w:rsidRPr="008B50D0" w14:paraId="6D0AC936"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hideMark/>
          </w:tcPr>
          <w:p w14:paraId="53873447" w14:textId="77777777" w:rsidR="00A8128F" w:rsidRPr="008B50D0" w:rsidRDefault="00A8128F">
            <w:pPr>
              <w:pStyle w:val="TableText"/>
              <w:spacing w:line="240" w:lineRule="auto"/>
            </w:pPr>
            <w:r w:rsidRPr="008B50D0">
              <w:t>For Parties that address the effects of age-class structure in forests, provide detailed information on the approach used and how this is consistent with relevant IPCC guidance, as appropriate (para 1(g) of annex II to decision 4/CMA.1, para 75(d)(iii) of the MPGs)</w:t>
            </w:r>
          </w:p>
        </w:tc>
        <w:tc>
          <w:tcPr>
            <w:tcW w:w="0" w:type="dxa"/>
          </w:tcPr>
          <w:p w14:paraId="04ED6C80" w14:textId="2390BC06" w:rsidR="00A8128F" w:rsidRPr="008B50D0"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008B50D0">
              <w:t xml:space="preserve">Forests established before the activity start year (1990) are accounted for under a business-as-usual reference level. For planted forests, the reference level addresses the dynamic effects of age-class structure resulting from activities and practices before the reference year, and the ongoing cycles of forest harvest and regrowth that occur as part of normal forest management in production forests. See </w:t>
            </w:r>
            <w:r>
              <w:t xml:space="preserve">annex 2, </w:t>
            </w:r>
            <w:r w:rsidRPr="008B50D0">
              <w:t xml:space="preserve">sections </w:t>
            </w:r>
            <w:hyperlink w:anchor="sectionA211" w:history="1">
              <w:r w:rsidRPr="00FB36CE">
                <w:rPr>
                  <w:rStyle w:val="Hyperlink"/>
                </w:rPr>
                <w:t>A2.1.1</w:t>
              </w:r>
            </w:hyperlink>
            <w:r w:rsidRPr="008B50D0">
              <w:t xml:space="preserve"> and </w:t>
            </w:r>
            <w:hyperlink w:anchor="sectionA234" w:history="1">
              <w:r w:rsidRPr="00FB36CE">
                <w:rPr>
                  <w:rStyle w:val="Hyperlink"/>
                </w:rPr>
                <w:t>A2.3.4</w:t>
              </w:r>
            </w:hyperlink>
            <w:r w:rsidRPr="008B50D0">
              <w:t xml:space="preserve">. </w:t>
            </w:r>
          </w:p>
          <w:p w14:paraId="236822C6" w14:textId="29859BDF" w:rsidR="00A8128F" w:rsidRPr="008B50D0"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008B50D0">
              <w:t xml:space="preserve">Forests established after the activity start year (1990) are accounted for up until they attain their long-term average (LTA) carbon stock. Once they reach their LTA carbon stock, taking into account all carbon pools and activities, no further carbon gains or losses are accounted for. This is done to address the effects of age-class structure, and to only account for the long-term additional carbon sequestered in forests. This is further described in </w:t>
            </w:r>
            <w:r>
              <w:t xml:space="preserve">annex 2, </w:t>
            </w:r>
            <w:r w:rsidRPr="008B50D0">
              <w:t xml:space="preserve">sections </w:t>
            </w:r>
            <w:hyperlink w:anchor="sectionA211" w:history="1">
              <w:r w:rsidRPr="00FB36CE">
                <w:rPr>
                  <w:rStyle w:val="Hyperlink"/>
                </w:rPr>
                <w:t>A2.1.1</w:t>
              </w:r>
            </w:hyperlink>
            <w:r w:rsidRPr="008B50D0">
              <w:t xml:space="preserve"> and </w:t>
            </w:r>
            <w:hyperlink w:anchor="sectionA232" w:history="1">
              <w:r w:rsidRPr="00FB36CE">
                <w:rPr>
                  <w:rStyle w:val="Hyperlink"/>
                </w:rPr>
                <w:t>A2.3.2</w:t>
              </w:r>
            </w:hyperlink>
            <w:r w:rsidRPr="008B50D0">
              <w:t>.</w:t>
            </w:r>
          </w:p>
        </w:tc>
      </w:tr>
      <w:tr w:rsidR="00A8128F" w:rsidRPr="008B50D0" w14:paraId="40DD1549"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51D6212A" w14:textId="77777777" w:rsidR="00A8128F" w:rsidRPr="008B50D0" w:rsidRDefault="00A8128F">
            <w:pPr>
              <w:pStyle w:val="TableText"/>
              <w:spacing w:line="240" w:lineRule="auto"/>
            </w:pPr>
            <w:r w:rsidRPr="008B50D0">
              <w:t>How the Party has drawn on existing methods and guidance established under the Convention and its related legal instruments, as appropriate, if applicable (para 1(c) of annex II to decision 4/CMA.1)</w:t>
            </w:r>
          </w:p>
        </w:tc>
        <w:tc>
          <w:tcPr>
            <w:tcW w:w="0" w:type="dxa"/>
            <w:tcBorders>
              <w:top w:val="none" w:sz="0" w:space="0" w:color="auto"/>
              <w:bottom w:val="none" w:sz="0" w:space="0" w:color="auto"/>
              <w:right w:val="none" w:sz="0" w:space="0" w:color="auto"/>
            </w:tcBorders>
            <w:hideMark/>
          </w:tcPr>
          <w:p w14:paraId="1EC32E8A" w14:textId="77777777" w:rsidR="00A8128F" w:rsidRPr="008B50D0" w:rsidRDefault="00A8128F">
            <w:pPr>
              <w:pStyle w:val="TableText"/>
              <w:spacing w:line="240" w:lineRule="auto"/>
              <w:cnfStyle w:val="000000100000" w:firstRow="0" w:lastRow="0" w:firstColumn="0" w:lastColumn="0" w:oddVBand="0" w:evenVBand="0" w:oddHBand="1" w:evenHBand="0" w:firstRowFirstColumn="0" w:firstRowLastColumn="0" w:lastRowFirstColumn="0" w:lastRowLastColumn="0"/>
            </w:pPr>
            <w:r w:rsidRPr="008B50D0">
              <w:t>New Zealand is applying an activity-based accounting approach to the net emissions it accounts for from the LULUCF sector. The methods applied to estimate accounting quantities adhere to the 2006 IPCC Guidelines</w:t>
            </w:r>
            <w:r w:rsidRPr="00EA7A58">
              <w:rPr>
                <w:vertAlign w:val="superscript"/>
              </w:rPr>
              <w:footnoteReference w:id="142"/>
            </w:r>
            <w:r w:rsidRPr="008B50D0">
              <w:t xml:space="preserve"> and the 2013 KP Supplement</w:t>
            </w:r>
            <w:r w:rsidRPr="00EA7A58">
              <w:rPr>
                <w:vertAlign w:val="superscript"/>
              </w:rPr>
              <w:footnoteReference w:id="143"/>
            </w:r>
            <w:r w:rsidRPr="008B50D0">
              <w:t xml:space="preserve"> while taking a country-specific approach to account for emissions from </w:t>
            </w:r>
            <w:r w:rsidRPr="5FFF5976">
              <w:rPr>
                <w:i/>
                <w:iCs/>
              </w:rPr>
              <w:t>Afforestation and reforestation</w:t>
            </w:r>
            <w:r w:rsidRPr="008B50D0">
              <w:t xml:space="preserve"> activities.</w:t>
            </w:r>
          </w:p>
        </w:tc>
      </w:tr>
      <w:tr w:rsidR="00A8128F" w:rsidRPr="008B50D0" w14:paraId="3446DB83"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hideMark/>
          </w:tcPr>
          <w:p w14:paraId="7C867159" w14:textId="77777777" w:rsidR="00A8128F" w:rsidRPr="008B50D0" w:rsidRDefault="00A8128F">
            <w:pPr>
              <w:pStyle w:val="TableText"/>
              <w:spacing w:line="240" w:lineRule="auto"/>
            </w:pPr>
            <w:r w:rsidRPr="008B50D0">
              <w:t>Any methodologies used to account for mitigation benefits of adaptation actions and/or economic diversification plans (para 75(e) of the MPGs)</w:t>
            </w:r>
          </w:p>
        </w:tc>
        <w:tc>
          <w:tcPr>
            <w:tcW w:w="0" w:type="dxa"/>
            <w:hideMark/>
          </w:tcPr>
          <w:p w14:paraId="4CB76FBF" w14:textId="77777777" w:rsidR="00A8128F" w:rsidRPr="008B50D0"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5FFF5976">
              <w:t>Not applicable.</w:t>
            </w:r>
          </w:p>
        </w:tc>
      </w:tr>
      <w:tr w:rsidR="00A8128F" w:rsidRPr="008B50D0" w14:paraId="57BA7219"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1D60045D" w14:textId="77777777" w:rsidR="00A8128F" w:rsidRPr="008B50D0" w:rsidRDefault="00A8128F">
            <w:pPr>
              <w:pStyle w:val="TableText"/>
              <w:spacing w:line="240" w:lineRule="auto"/>
            </w:pPr>
            <w:r w:rsidRPr="008B50D0">
              <w:t>Describe how double counting of net GHG emission reductions has been avoided, including in accordance with guidance developed related to Article 6 if relevant (para 76(d) of the MPGs)</w:t>
            </w:r>
          </w:p>
        </w:tc>
        <w:tc>
          <w:tcPr>
            <w:tcW w:w="0" w:type="dxa"/>
            <w:tcBorders>
              <w:top w:val="none" w:sz="0" w:space="0" w:color="auto"/>
              <w:bottom w:val="none" w:sz="0" w:space="0" w:color="auto"/>
              <w:right w:val="none" w:sz="0" w:space="0" w:color="auto"/>
            </w:tcBorders>
            <w:hideMark/>
          </w:tcPr>
          <w:p w14:paraId="07941A1D" w14:textId="106AAB50" w:rsidR="00A8128F" w:rsidRPr="008B50D0" w:rsidRDefault="00A8128F">
            <w:pPr>
              <w:pStyle w:val="TableText"/>
              <w:spacing w:line="240" w:lineRule="auto"/>
              <w:cnfStyle w:val="000000100000" w:firstRow="0" w:lastRow="0" w:firstColumn="0" w:lastColumn="0" w:oddVBand="0" w:evenVBand="0" w:oddHBand="1" w:evenHBand="0" w:firstRowFirstColumn="0" w:firstRowLastColumn="0" w:lastRowFirstColumn="0" w:lastRowLastColumn="0"/>
            </w:pPr>
            <w:r w:rsidRPr="5FFF5976">
              <w:t>New Zealand uses wall-to-wall land</w:t>
            </w:r>
            <w:r w:rsidR="00F8559A">
              <w:t>-</w:t>
            </w:r>
            <w:r w:rsidRPr="5FFF5976">
              <w:t>use mapping, completed every five years; deforestation mapping completed every two years; and national statistics to estimate change areas in intervening years, to estimate afforested, reforested and deforested land areas. This spatially explicit approach ensures that no double counting of activity areas occurs.</w:t>
            </w:r>
          </w:p>
        </w:tc>
      </w:tr>
      <w:tr w:rsidR="00A8128F" w:rsidRPr="008B50D0" w14:paraId="3357396C"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hideMark/>
          </w:tcPr>
          <w:p w14:paraId="26B7FF54" w14:textId="77777777" w:rsidR="00A8128F" w:rsidRPr="008B50D0" w:rsidRDefault="00A8128F">
            <w:pPr>
              <w:pStyle w:val="TableText"/>
              <w:spacing w:line="240" w:lineRule="auto"/>
            </w:pPr>
            <w:r w:rsidRPr="008B50D0">
              <w:t>Any other methodologies related to the NDC under Article 4 (para 75(h) of the MPGs)</w:t>
            </w:r>
          </w:p>
        </w:tc>
        <w:tc>
          <w:tcPr>
            <w:tcW w:w="0" w:type="dxa"/>
            <w:hideMark/>
          </w:tcPr>
          <w:p w14:paraId="7BCAEF9C" w14:textId="77777777" w:rsidR="00A8128F" w:rsidRPr="008B50D0"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5FFF5976">
              <w:t>Not applicable.</w:t>
            </w:r>
          </w:p>
        </w:tc>
      </w:tr>
      <w:tr w:rsidR="00A8128F" w:rsidRPr="008B50D0" w14:paraId="7B162386"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gridSpan w:val="2"/>
            <w:tcBorders>
              <w:top w:val="none" w:sz="0" w:space="0" w:color="auto"/>
              <w:left w:val="none" w:sz="0" w:space="0" w:color="auto"/>
              <w:bottom w:val="none" w:sz="0" w:space="0" w:color="auto"/>
              <w:right w:val="none" w:sz="0" w:space="0" w:color="auto"/>
            </w:tcBorders>
            <w:shd w:val="clear" w:color="auto" w:fill="D2DDE1" w:themeFill="background2"/>
            <w:hideMark/>
          </w:tcPr>
          <w:p w14:paraId="3442A08D" w14:textId="77777777" w:rsidR="00A8128F" w:rsidRPr="00DB4E53" w:rsidRDefault="00A8128F">
            <w:pPr>
              <w:pStyle w:val="TableText"/>
              <w:spacing w:line="240" w:lineRule="auto"/>
              <w:rPr>
                <w:color w:val="000000"/>
              </w:rPr>
            </w:pPr>
            <w:r w:rsidRPr="5FFF5976">
              <w:t>Ensuring methodological consistency, including on baselines, between the communication and implementation of NDCs (para 12(b) of the decision 4/CMA.1 and para 1 of its annex II)):</w:t>
            </w:r>
          </w:p>
        </w:tc>
      </w:tr>
      <w:tr w:rsidR="00A8128F" w:rsidRPr="008B50D0" w14:paraId="05A289B3"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hideMark/>
          </w:tcPr>
          <w:p w14:paraId="1B5DD7E0" w14:textId="77777777" w:rsidR="00A8128F" w:rsidRPr="008B50D0" w:rsidRDefault="00A8128F">
            <w:pPr>
              <w:pStyle w:val="TableText"/>
              <w:spacing w:line="240" w:lineRule="auto"/>
            </w:pPr>
            <w:r w:rsidRPr="008B50D0">
              <w:t>Explain how consistency has been maintained in scope and coverage, definitions, data sources, metrics, assumptions and methodological approaches including on baselines, between the communication and implementation of NDCs (para 2(a) of annex II to decision 4/CMA.1)</w:t>
            </w:r>
          </w:p>
        </w:tc>
        <w:tc>
          <w:tcPr>
            <w:tcW w:w="0" w:type="dxa"/>
            <w:hideMark/>
          </w:tcPr>
          <w:p w14:paraId="7A2F5A27" w14:textId="77777777" w:rsidR="00A8128F" w:rsidRPr="00CD031A"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00CD031A">
              <w:t>New Zealand has implemented its NDC consistent with its NDC communication.</w:t>
            </w:r>
          </w:p>
        </w:tc>
      </w:tr>
      <w:tr w:rsidR="00A8128F" w:rsidRPr="008B50D0" w14:paraId="2D9F296A"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4789517F" w14:textId="77777777" w:rsidR="00A8128F" w:rsidRPr="008B50D0" w:rsidRDefault="00A8128F">
            <w:pPr>
              <w:pStyle w:val="TableText"/>
              <w:spacing w:line="240" w:lineRule="auto"/>
            </w:pPr>
            <w:r w:rsidRPr="008B50D0">
              <w:t>Explain how consistency has been maintained between any GHG data and estimation methodologies used for accounting and the Party’s GHG inventory, pursuant to Article 13, paragraph 7(a), of the Paris Agreement, if applicable (para 2(b) of annex II to decision 4/CMA.1) and explain methodological inconsistencies with the Party’s most recent national inventory report, if applicable (para 76(c) of the MPGs)</w:t>
            </w:r>
          </w:p>
        </w:tc>
        <w:tc>
          <w:tcPr>
            <w:tcW w:w="0" w:type="dxa"/>
            <w:tcBorders>
              <w:top w:val="none" w:sz="0" w:space="0" w:color="auto"/>
              <w:bottom w:val="none" w:sz="0" w:space="0" w:color="auto"/>
              <w:right w:val="none" w:sz="0" w:space="0" w:color="auto"/>
            </w:tcBorders>
            <w:hideMark/>
          </w:tcPr>
          <w:p w14:paraId="7A085B30" w14:textId="77777777" w:rsidR="00A8128F" w:rsidRPr="00CD031A" w:rsidRDefault="00A8128F">
            <w:pPr>
              <w:pStyle w:val="TableText"/>
              <w:spacing w:line="240" w:lineRule="auto"/>
              <w:cnfStyle w:val="000000100000" w:firstRow="0" w:lastRow="0" w:firstColumn="0" w:lastColumn="0" w:oddVBand="0" w:evenVBand="0" w:oddHBand="1" w:evenHBand="0" w:firstRowFirstColumn="0" w:firstRowLastColumn="0" w:lastRowFirstColumn="0" w:lastRowLastColumn="0"/>
            </w:pPr>
            <w:r w:rsidRPr="00CD031A">
              <w:t>New Zealand has maintained consistency between its accounting quantities and the GHG data reported in its national GHG inventory by accounting for all gross emissions as reported in New Zealand’s Greenhouse Gas Inventory 1990–2022 and, for LULUCF target accounting estimates, deriving the accounting quantities from the estimates reported in the latest GHG Inventory</w:t>
            </w:r>
            <w:r>
              <w:t>.</w:t>
            </w:r>
            <w:r w:rsidRPr="00DF27A0">
              <w:rPr>
                <w:vertAlign w:val="superscript"/>
              </w:rPr>
              <w:footnoteReference w:id="144"/>
            </w:r>
            <w:r w:rsidRPr="00CD031A">
              <w:t xml:space="preserve"> </w:t>
            </w:r>
          </w:p>
        </w:tc>
      </w:tr>
      <w:tr w:rsidR="00A8128F" w:rsidRPr="008B50D0" w14:paraId="1FB20768"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gridSpan w:val="2"/>
            <w:shd w:val="clear" w:color="auto" w:fill="D2DDE1" w:themeFill="background2"/>
            <w:hideMark/>
          </w:tcPr>
          <w:p w14:paraId="4E048D6A" w14:textId="77777777" w:rsidR="00A8128F" w:rsidRPr="008B50D0" w:rsidRDefault="00A8128F">
            <w:pPr>
              <w:pStyle w:val="TableText"/>
              <w:spacing w:line="240" w:lineRule="auto"/>
              <w:rPr>
                <w:i/>
                <w:iCs/>
              </w:rPr>
            </w:pPr>
            <w:r w:rsidRPr="008B50D0">
              <w:t>For Parties that apply technical changes to update reference points, reference levels or projections, the changes should reflect either of the following (para 2(d) of annex II to decision 4/CMA.1):</w:t>
            </w:r>
            <w:r w:rsidRPr="008B50D0">
              <w:rPr>
                <w:i/>
                <w:iCs/>
              </w:rPr>
              <w:t> </w:t>
            </w:r>
          </w:p>
        </w:tc>
      </w:tr>
      <w:tr w:rsidR="00A8128F" w:rsidRPr="008B50D0" w14:paraId="7B870F34"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0BD2E9D7" w14:textId="77777777" w:rsidR="00A8128F" w:rsidRPr="008B50D0" w:rsidRDefault="00A8128F">
            <w:pPr>
              <w:pStyle w:val="TableText"/>
              <w:spacing w:line="240" w:lineRule="auto"/>
            </w:pPr>
            <w:r w:rsidRPr="008B50D0">
              <w:t>Technical changes related to improvements in accuracy that maintain methodological consistency (para 2(d)(ii) of annex II to decision 4/CMA.1)</w:t>
            </w:r>
          </w:p>
        </w:tc>
        <w:tc>
          <w:tcPr>
            <w:tcW w:w="0" w:type="dxa"/>
            <w:tcBorders>
              <w:top w:val="none" w:sz="0" w:space="0" w:color="auto"/>
              <w:bottom w:val="none" w:sz="0" w:space="0" w:color="auto"/>
              <w:right w:val="none" w:sz="0" w:space="0" w:color="auto"/>
            </w:tcBorders>
            <w:hideMark/>
          </w:tcPr>
          <w:p w14:paraId="35619467" w14:textId="77777777" w:rsidR="00A8128F" w:rsidRPr="008B50D0" w:rsidRDefault="00A8128F">
            <w:pPr>
              <w:pStyle w:val="TableText"/>
              <w:spacing w:line="240" w:lineRule="auto"/>
              <w:cnfStyle w:val="000000100000" w:firstRow="0" w:lastRow="0" w:firstColumn="0" w:lastColumn="0" w:oddVBand="0" w:evenVBand="0" w:oddHBand="1" w:evenHBand="0" w:firstRowFirstColumn="0" w:firstRowLastColumn="0" w:lastRowFirstColumn="0" w:lastRowLastColumn="0"/>
              <w:rPr>
                <w:color w:val="000000"/>
              </w:rPr>
            </w:pPr>
            <w:r w:rsidRPr="5FFF5976">
              <w:t>Not applicable because this is New Zealand’s first BTR.</w:t>
            </w:r>
          </w:p>
        </w:tc>
      </w:tr>
      <w:tr w:rsidR="00A8128F" w:rsidRPr="008B50D0" w14:paraId="1D52332A"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hideMark/>
          </w:tcPr>
          <w:p w14:paraId="075F2B4A" w14:textId="77777777" w:rsidR="00A8128F" w:rsidRPr="008B50D0" w:rsidRDefault="00A8128F">
            <w:pPr>
              <w:pStyle w:val="TableText"/>
              <w:spacing w:line="240" w:lineRule="auto"/>
            </w:pPr>
            <w:r w:rsidRPr="008B50D0">
              <w:t>Explain how any methodological changes and technical updates made during the implementation of their NDC were transparently reported (para 2(e) of annex II to decision 4/CMA.1)</w:t>
            </w:r>
          </w:p>
        </w:tc>
        <w:tc>
          <w:tcPr>
            <w:tcW w:w="0" w:type="dxa"/>
            <w:hideMark/>
          </w:tcPr>
          <w:p w14:paraId="690C70D9" w14:textId="77777777" w:rsidR="00A8128F" w:rsidRPr="008B50D0"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rPr>
                <w:color w:val="000000"/>
              </w:rPr>
            </w:pPr>
            <w:r w:rsidRPr="5FFF5976">
              <w:t>Not applicable because this is New Zealand’s first BTR.</w:t>
            </w:r>
          </w:p>
        </w:tc>
      </w:tr>
      <w:tr w:rsidR="00A8128F" w:rsidRPr="008B50D0" w14:paraId="065E7EAD"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gridSpan w:val="2"/>
            <w:tcBorders>
              <w:top w:val="none" w:sz="0" w:space="0" w:color="auto"/>
              <w:left w:val="none" w:sz="0" w:space="0" w:color="auto"/>
              <w:bottom w:val="none" w:sz="0" w:space="0" w:color="auto"/>
              <w:right w:val="none" w:sz="0" w:space="0" w:color="auto"/>
            </w:tcBorders>
            <w:shd w:val="clear" w:color="auto" w:fill="D2DDE1" w:themeFill="background2"/>
            <w:hideMark/>
          </w:tcPr>
          <w:p w14:paraId="75818F2C" w14:textId="77777777" w:rsidR="00A8128F" w:rsidRPr="008B50D0" w:rsidRDefault="00A8128F">
            <w:pPr>
              <w:pStyle w:val="TableText"/>
              <w:spacing w:line="240" w:lineRule="auto"/>
            </w:pPr>
            <w:r w:rsidRPr="5FFF5976">
              <w:t>Striving to include all categories of anthropogenic emissions or removals in the NDC and, once a source, sink or activity is included, continuing to include it (para 12 (c) of decision 4/CMA.1 and para 3 of annex II to decision 4/CMA.1):</w:t>
            </w:r>
          </w:p>
        </w:tc>
      </w:tr>
      <w:tr w:rsidR="00A8128F" w:rsidRPr="008B50D0" w14:paraId="248B21D4"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hideMark/>
          </w:tcPr>
          <w:p w14:paraId="722E77B4" w14:textId="77777777" w:rsidR="00A8128F" w:rsidRPr="008B50D0" w:rsidRDefault="00A8128F">
            <w:pPr>
              <w:pStyle w:val="TableText"/>
              <w:spacing w:line="240" w:lineRule="auto"/>
            </w:pPr>
            <w:r w:rsidRPr="008B50D0">
              <w:t>Explain how all categories of anthropogenic emissions and removals corresponding to their NDC were accounted for (para 3(a) of annex II to decision 4/CMA.1)</w:t>
            </w:r>
          </w:p>
        </w:tc>
        <w:tc>
          <w:tcPr>
            <w:tcW w:w="0" w:type="dxa"/>
            <w:hideMark/>
          </w:tcPr>
          <w:p w14:paraId="7BB331D1" w14:textId="77777777" w:rsidR="00A8128F" w:rsidRPr="008B50D0"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rPr>
                <w:color w:val="000000"/>
              </w:rPr>
            </w:pPr>
            <w:r w:rsidRPr="5FFF5976">
              <w:t xml:space="preserve">All categories of anthropogenic emissions and removals as communicated in New Zealand’s NDC have been included in the accounting quantities reported for the 2021 and 2022 years. </w:t>
            </w:r>
          </w:p>
        </w:tc>
      </w:tr>
      <w:tr w:rsidR="00A8128F" w:rsidRPr="008B50D0" w14:paraId="566B506F"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089D8215" w14:textId="77777777" w:rsidR="00A8128F" w:rsidRPr="008B50D0" w:rsidRDefault="00A8128F">
            <w:pPr>
              <w:pStyle w:val="TableText"/>
              <w:spacing w:line="240" w:lineRule="auto"/>
            </w:pPr>
            <w:r w:rsidRPr="008B50D0">
              <w:t>Explain how Party is striving to include all categories of anthropogenic emissions and removals in its NDC, and, once a source, sink or activity is included, continue to include it (para 3(b) of annex II to decision 4/CMA.1)</w:t>
            </w:r>
          </w:p>
        </w:tc>
        <w:tc>
          <w:tcPr>
            <w:tcW w:w="0" w:type="dxa"/>
            <w:tcBorders>
              <w:top w:val="none" w:sz="0" w:space="0" w:color="auto"/>
              <w:bottom w:val="none" w:sz="0" w:space="0" w:color="auto"/>
              <w:right w:val="none" w:sz="0" w:space="0" w:color="auto"/>
            </w:tcBorders>
            <w:hideMark/>
          </w:tcPr>
          <w:p w14:paraId="1D941EB9" w14:textId="77777777" w:rsidR="00A8128F" w:rsidRPr="008B50D0" w:rsidRDefault="00A8128F">
            <w:pPr>
              <w:pStyle w:val="TableText"/>
              <w:spacing w:line="240" w:lineRule="auto"/>
              <w:cnfStyle w:val="000000100000" w:firstRow="0" w:lastRow="0" w:firstColumn="0" w:lastColumn="0" w:oddVBand="0" w:evenVBand="0" w:oddHBand="1" w:evenHBand="0" w:firstRowFirstColumn="0" w:firstRowLastColumn="0" w:lastRowFirstColumn="0" w:lastRowLastColumn="0"/>
              <w:rPr>
                <w:color w:val="000000"/>
              </w:rPr>
            </w:pPr>
            <w:r w:rsidRPr="008B50D0">
              <w:rPr>
                <w:color w:val="000000"/>
              </w:rPr>
              <w:t>New Zealand is not yet able to include sufficiently robust emission and removals estimates from non-forest activities when accounting for its NDC. Improvements are being undertaken to develop a better understanding of the carbon fluxes occurring from non-forest activities.</w:t>
            </w:r>
            <w:r>
              <w:rPr>
                <w:color w:val="000000"/>
              </w:rPr>
              <w:t xml:space="preserve"> </w:t>
            </w:r>
          </w:p>
        </w:tc>
      </w:tr>
      <w:tr w:rsidR="00A8128F" w:rsidRPr="008B50D0" w14:paraId="562A2B02"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hideMark/>
          </w:tcPr>
          <w:p w14:paraId="6DF99920" w14:textId="77777777" w:rsidR="00A8128F" w:rsidRPr="008B50D0" w:rsidRDefault="00A8128F">
            <w:pPr>
              <w:pStyle w:val="TableText"/>
              <w:spacing w:line="240" w:lineRule="auto"/>
            </w:pPr>
            <w:r w:rsidRPr="008B50D0">
              <w:t>Provide an explanation of why any categories of anthropogenic emissions or removals are excluded (para 12 (c) of decision 4/CMA.1 and para 4 of annex II to decision 4/CMA.1)</w:t>
            </w:r>
          </w:p>
        </w:tc>
        <w:tc>
          <w:tcPr>
            <w:tcW w:w="0" w:type="dxa"/>
            <w:hideMark/>
          </w:tcPr>
          <w:p w14:paraId="1B74428F" w14:textId="77777777" w:rsidR="00A8128F" w:rsidRPr="008B50D0"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008B50D0">
              <w:t xml:space="preserve">New Zealand has focused resources on improving its understanding of forest carbon fluxes </w:t>
            </w:r>
            <w:r>
              <w:t>because</w:t>
            </w:r>
            <w:r w:rsidRPr="008B50D0">
              <w:t xml:space="preserve"> these provide a larger contribution to the LULUCF sector.</w:t>
            </w:r>
            <w:r>
              <w:t xml:space="preserve"> </w:t>
            </w:r>
          </w:p>
        </w:tc>
      </w:tr>
      <w:tr w:rsidR="00A8128F" w14:paraId="43AC97B7"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gridSpan w:val="2"/>
            <w:tcBorders>
              <w:top w:val="none" w:sz="0" w:space="0" w:color="auto"/>
              <w:left w:val="none" w:sz="0" w:space="0" w:color="auto"/>
              <w:bottom w:val="none" w:sz="0" w:space="0" w:color="auto"/>
              <w:right w:val="none" w:sz="0" w:space="0" w:color="auto"/>
            </w:tcBorders>
            <w:shd w:val="clear" w:color="auto" w:fill="D2DDE1" w:themeFill="background2"/>
            <w:hideMark/>
          </w:tcPr>
          <w:p w14:paraId="2AC0DB5F" w14:textId="77777777" w:rsidR="00A8128F" w:rsidRDefault="00A8128F">
            <w:pPr>
              <w:pStyle w:val="TableText"/>
              <w:spacing w:line="240" w:lineRule="auto"/>
            </w:pPr>
            <w:r w:rsidRPr="5FFF5976">
              <w:t>Each Party that participates in cooperative approaches that involve the use of ITMOs towards an NDC under Article 4, or authorizes the use of mitigation outcomes for international mitigation purposes other than achievement of its NDC</w:t>
            </w:r>
          </w:p>
        </w:tc>
      </w:tr>
      <w:tr w:rsidR="00A8128F" w14:paraId="32A7C175"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hideMark/>
          </w:tcPr>
          <w:p w14:paraId="4F4516E7" w14:textId="77777777" w:rsidR="00A8128F" w:rsidRDefault="00A8128F">
            <w:pPr>
              <w:pStyle w:val="TableText"/>
              <w:spacing w:line="240" w:lineRule="auto"/>
            </w:pPr>
            <w:r w:rsidRPr="5FFF5976">
              <w:t>Provide information on any methodologies associated with any cooperative approaches that involve the use of ITMOs towards an NDC under Article 4 (para. 75(f) of the MPGs)</w:t>
            </w:r>
          </w:p>
        </w:tc>
        <w:tc>
          <w:tcPr>
            <w:tcW w:w="0" w:type="dxa"/>
          </w:tcPr>
          <w:p w14:paraId="288C8A70" w14:textId="77777777" w:rsidR="00A8128F"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5FFF5976">
              <w:t>Not applicable.</w:t>
            </w:r>
          </w:p>
        </w:tc>
      </w:tr>
      <w:tr w:rsidR="00A8128F" w14:paraId="2D09B1ED"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68B56604" w14:textId="77777777" w:rsidR="00A8128F" w:rsidRDefault="00A8128F">
            <w:pPr>
              <w:pStyle w:val="TableText"/>
              <w:spacing w:line="240" w:lineRule="auto"/>
            </w:pPr>
            <w:r w:rsidRPr="5FFF5976">
              <w:t>Provide information on how each cooperative approach promotes sustainable development, consistent with decisions adopted by the CMA on Article 6 (para. 77(d)(iv) of the MPGs)</w:t>
            </w:r>
          </w:p>
        </w:tc>
        <w:tc>
          <w:tcPr>
            <w:tcW w:w="0" w:type="dxa"/>
            <w:tcBorders>
              <w:top w:val="none" w:sz="0" w:space="0" w:color="auto"/>
              <w:bottom w:val="none" w:sz="0" w:space="0" w:color="auto"/>
              <w:right w:val="none" w:sz="0" w:space="0" w:color="auto"/>
            </w:tcBorders>
          </w:tcPr>
          <w:p w14:paraId="1217905B" w14:textId="77777777" w:rsidR="00A8128F" w:rsidRDefault="00A8128F">
            <w:pPr>
              <w:pStyle w:val="TableText"/>
              <w:spacing w:line="240" w:lineRule="auto"/>
              <w:cnfStyle w:val="000000100000" w:firstRow="0" w:lastRow="0" w:firstColumn="0" w:lastColumn="0" w:oddVBand="0" w:evenVBand="0" w:oddHBand="1" w:evenHBand="0" w:firstRowFirstColumn="0" w:firstRowLastColumn="0" w:lastRowFirstColumn="0" w:lastRowLastColumn="0"/>
            </w:pPr>
            <w:r w:rsidRPr="5FFF5976">
              <w:t>Not applicable.</w:t>
            </w:r>
          </w:p>
        </w:tc>
      </w:tr>
      <w:tr w:rsidR="00A8128F" w14:paraId="65B32318"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hideMark/>
          </w:tcPr>
          <w:p w14:paraId="67FB93C8" w14:textId="77777777" w:rsidR="00A8128F" w:rsidRDefault="00A8128F">
            <w:pPr>
              <w:pStyle w:val="TableText"/>
              <w:spacing w:line="240" w:lineRule="auto"/>
            </w:pPr>
            <w:r w:rsidRPr="5FFF5976">
              <w:t>Provide information on how each cooperative approach ensures environmental integrity consistent with decisions adopted by the CMA on Article 6 (para. 77(d)(iv) of the MPGs)</w:t>
            </w:r>
          </w:p>
        </w:tc>
        <w:tc>
          <w:tcPr>
            <w:tcW w:w="0" w:type="dxa"/>
          </w:tcPr>
          <w:p w14:paraId="396152D2" w14:textId="77777777" w:rsidR="00A8128F"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5FFF5976">
              <w:t>Not applicable.</w:t>
            </w:r>
          </w:p>
        </w:tc>
      </w:tr>
      <w:tr w:rsidR="00A8128F" w14:paraId="2E92B31A" w14:textId="77777777" w:rsidTr="00C82B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245643A3" w14:textId="77777777" w:rsidR="00A8128F" w:rsidRDefault="00A8128F">
            <w:pPr>
              <w:pStyle w:val="TableText"/>
              <w:spacing w:line="240" w:lineRule="auto"/>
            </w:pPr>
            <w:r w:rsidRPr="5FFF5976">
              <w:t>Provide information on how each cooperative approach ensures transparency, including in governance, consistent with decisions adopted by the CMA on Article 6 (para. 77(d)(iv) of the MPGs)</w:t>
            </w:r>
          </w:p>
        </w:tc>
        <w:tc>
          <w:tcPr>
            <w:tcW w:w="0" w:type="dxa"/>
            <w:tcBorders>
              <w:top w:val="none" w:sz="0" w:space="0" w:color="auto"/>
              <w:bottom w:val="none" w:sz="0" w:space="0" w:color="auto"/>
              <w:right w:val="none" w:sz="0" w:space="0" w:color="auto"/>
            </w:tcBorders>
          </w:tcPr>
          <w:p w14:paraId="1C6D779E" w14:textId="77777777" w:rsidR="00A8128F" w:rsidRDefault="00A8128F">
            <w:pPr>
              <w:pStyle w:val="TableText"/>
              <w:spacing w:line="240" w:lineRule="auto"/>
              <w:cnfStyle w:val="000000100000" w:firstRow="0" w:lastRow="0" w:firstColumn="0" w:lastColumn="0" w:oddVBand="0" w:evenVBand="0" w:oddHBand="1" w:evenHBand="0" w:firstRowFirstColumn="0" w:firstRowLastColumn="0" w:lastRowFirstColumn="0" w:lastRowLastColumn="0"/>
            </w:pPr>
            <w:r w:rsidRPr="5FFF5976">
              <w:t>Not applicable.</w:t>
            </w:r>
          </w:p>
        </w:tc>
      </w:tr>
      <w:tr w:rsidR="00A8128F" w14:paraId="5D4AF100" w14:textId="77777777" w:rsidTr="00C82BB2">
        <w:trPr>
          <w:cantSplit/>
        </w:trPr>
        <w:tc>
          <w:tcPr>
            <w:cnfStyle w:val="001000000000" w:firstRow="0" w:lastRow="0" w:firstColumn="1" w:lastColumn="0" w:oddVBand="0" w:evenVBand="0" w:oddHBand="0" w:evenHBand="0" w:firstRowFirstColumn="0" w:firstRowLastColumn="0" w:lastRowFirstColumn="0" w:lastRowLastColumn="0"/>
            <w:tcW w:w="0" w:type="dxa"/>
            <w:hideMark/>
          </w:tcPr>
          <w:p w14:paraId="15817CF7" w14:textId="77777777" w:rsidR="00A8128F" w:rsidRDefault="00A8128F">
            <w:pPr>
              <w:pStyle w:val="TableText"/>
              <w:spacing w:line="240" w:lineRule="auto"/>
            </w:pPr>
            <w:r w:rsidRPr="5FFF5976">
              <w:t>Any other information consistent with decisions adopted by the CMA on reporting under Article 6 (para. 77(d)(iii) of the MPGs)</w:t>
            </w:r>
          </w:p>
        </w:tc>
        <w:tc>
          <w:tcPr>
            <w:tcW w:w="0" w:type="dxa"/>
          </w:tcPr>
          <w:p w14:paraId="23A3C861" w14:textId="77777777" w:rsidR="00A8128F" w:rsidRDefault="00A8128F">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5FFF5976">
              <w:t>Not applicable.</w:t>
            </w:r>
          </w:p>
        </w:tc>
      </w:tr>
    </w:tbl>
    <w:p w14:paraId="1F0C7CF2" w14:textId="3EED14BA" w:rsidR="00A8128F" w:rsidRPr="008B50D0" w:rsidRDefault="00A8128F" w:rsidP="00A8128F">
      <w:pPr>
        <w:pStyle w:val="Note"/>
      </w:pPr>
      <w:r w:rsidRPr="5FFF5976">
        <w:rPr>
          <w:b/>
          <w:bCs/>
        </w:rPr>
        <w:t>Note</w:t>
      </w:r>
      <w:r>
        <w:t xml:space="preserve">: BTR = </w:t>
      </w:r>
      <w:r w:rsidR="00D21994">
        <w:t>Biennial Transparency Report</w:t>
      </w:r>
      <w:r>
        <w:t xml:space="preserve">; GHG = greenhouse gas; IPCC = Intergovernmental Panel on Climate Change; KP = Kyoto Protocol; LULUCF = Land Use, Land-Use Change and Forestry; MPGs = modalities, procedures and guidelines; NDC = Nationally Determined Contribution; NDC1 = first Nationally Determined Contribution. </w:t>
      </w:r>
    </w:p>
    <w:bookmarkEnd w:id="211"/>
    <w:p w14:paraId="56BEBF18" w14:textId="77777777" w:rsidR="00A3749F" w:rsidRDefault="00A3749F" w:rsidP="00D61191">
      <w:pPr>
        <w:pStyle w:val="BodyText"/>
      </w:pPr>
    </w:p>
    <w:p w14:paraId="5653018D" w14:textId="77777777" w:rsidR="00822C2B" w:rsidRDefault="00822C2B" w:rsidP="00D61191">
      <w:pPr>
        <w:pStyle w:val="BodyText"/>
        <w:sectPr w:rsidR="00822C2B" w:rsidSect="008A7498">
          <w:headerReference w:type="even" r:id="rId83"/>
          <w:headerReference w:type="default" r:id="rId84"/>
          <w:footerReference w:type="default" r:id="rId85"/>
          <w:headerReference w:type="first" r:id="rId86"/>
          <w:pgSz w:w="11907" w:h="16840" w:code="9"/>
          <w:pgMar w:top="1134" w:right="1701" w:bottom="1134" w:left="1701" w:header="567" w:footer="567" w:gutter="0"/>
          <w:cols w:space="720"/>
          <w:docGrid w:linePitch="299"/>
        </w:sectPr>
      </w:pPr>
    </w:p>
    <w:p w14:paraId="2D0AB35B" w14:textId="3E01D83A" w:rsidR="00652773" w:rsidRPr="00657D21" w:rsidRDefault="00652773" w:rsidP="001F5C09">
      <w:pPr>
        <w:pStyle w:val="Heading1"/>
        <w:numPr>
          <w:ilvl w:val="0"/>
          <w:numId w:val="124"/>
        </w:numPr>
        <w:tabs>
          <w:tab w:val="clear" w:pos="851"/>
          <w:tab w:val="left" w:pos="1134"/>
        </w:tabs>
        <w:ind w:left="1134" w:hanging="1134"/>
      </w:pPr>
      <w:bookmarkStart w:id="272" w:name="_Toc173334898"/>
      <w:bookmarkStart w:id="273" w:name="_Toc173334858"/>
      <w:bookmarkStart w:id="274" w:name="_Toc173335043"/>
      <w:bookmarkStart w:id="275" w:name="_Toc173335115"/>
      <w:bookmarkStart w:id="276" w:name="_Toc173335158"/>
      <w:bookmarkStart w:id="277" w:name="_Toc173755476"/>
      <w:bookmarkStart w:id="278" w:name="_Toc173935402"/>
      <w:bookmarkStart w:id="279" w:name="_Toc173334899"/>
      <w:bookmarkStart w:id="280" w:name="_Toc173334859"/>
      <w:bookmarkStart w:id="281" w:name="_Toc173335044"/>
      <w:bookmarkStart w:id="282" w:name="_Toc173335116"/>
      <w:bookmarkStart w:id="283" w:name="_Toc173335159"/>
      <w:bookmarkStart w:id="284" w:name="_Toc173755477"/>
      <w:bookmarkStart w:id="285" w:name="_Toc173935403"/>
      <w:bookmarkStart w:id="286" w:name="_Toc173334900"/>
      <w:bookmarkStart w:id="287" w:name="_Toc173334860"/>
      <w:bookmarkStart w:id="288" w:name="_Toc173335045"/>
      <w:bookmarkStart w:id="289" w:name="_Toc173335117"/>
      <w:bookmarkStart w:id="290" w:name="_Toc173335160"/>
      <w:bookmarkStart w:id="291" w:name="_Toc173755478"/>
      <w:bookmarkStart w:id="292" w:name="_Toc173935404"/>
      <w:bookmarkStart w:id="293" w:name="_Mitigation_policies_and"/>
      <w:bookmarkStart w:id="294" w:name="section24"/>
      <w:bookmarkStart w:id="295" w:name="_Toc169616369"/>
      <w:bookmarkStart w:id="296" w:name="_Toc169616508"/>
      <w:bookmarkStart w:id="297" w:name="_Toc169620074"/>
      <w:bookmarkStart w:id="298" w:name="_Toc172793987"/>
      <w:bookmarkStart w:id="299" w:name="_Toc173334901"/>
      <w:bookmarkStart w:id="300" w:name="_Toc18482550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r w:rsidRPr="00657D21">
        <w:t>Mitigation policies and measures, actions and plans</w:t>
      </w:r>
      <w:bookmarkEnd w:id="295"/>
      <w:bookmarkEnd w:id="296"/>
      <w:bookmarkEnd w:id="297"/>
      <w:bookmarkEnd w:id="298"/>
      <w:bookmarkEnd w:id="299"/>
      <w:bookmarkEnd w:id="300"/>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8505"/>
      </w:tblGrid>
      <w:tr w:rsidR="00652773" w:rsidRPr="00657D21" w14:paraId="30039FEA" w14:textId="77777777">
        <w:tc>
          <w:tcPr>
            <w:tcW w:w="8505" w:type="dxa"/>
            <w:tcBorders>
              <w:bottom w:val="single" w:sz="4" w:space="0" w:color="2C9986" w:themeColor="accent4"/>
            </w:tcBorders>
            <w:shd w:val="clear" w:color="auto" w:fill="2C9986" w:themeFill="accent4"/>
          </w:tcPr>
          <w:p w14:paraId="0E8F718B" w14:textId="77777777" w:rsidR="00652773" w:rsidRPr="00657D21" w:rsidRDefault="00652773">
            <w:pPr>
              <w:pStyle w:val="Heading2"/>
              <w:spacing w:before="120" w:after="120"/>
              <w:rPr>
                <w:color w:val="FFFFFF" w:themeColor="background1"/>
              </w:rPr>
            </w:pPr>
            <w:bookmarkStart w:id="301" w:name="_Toc184825502"/>
            <w:r w:rsidRPr="00657D21">
              <w:rPr>
                <w:color w:val="FFFFFF" w:themeColor="background1"/>
              </w:rPr>
              <w:t>Key messages</w:t>
            </w:r>
            <w:bookmarkEnd w:id="301"/>
          </w:p>
        </w:tc>
      </w:tr>
      <w:tr w:rsidR="00652773" w:rsidRPr="00657D21" w14:paraId="69626A11" w14:textId="77777777">
        <w:tc>
          <w:tcPr>
            <w:tcW w:w="8505" w:type="dxa"/>
            <w:tcBorders>
              <w:top w:val="single" w:sz="4" w:space="0" w:color="2C9986" w:themeColor="accent4"/>
              <w:bottom w:val="single" w:sz="4" w:space="0" w:color="2C9986" w:themeColor="accent4"/>
            </w:tcBorders>
            <w:shd w:val="clear" w:color="auto" w:fill="FFFFFF" w:themeFill="background1"/>
          </w:tcPr>
          <w:p w14:paraId="161A9340" w14:textId="77777777" w:rsidR="00652773" w:rsidRPr="00657D21" w:rsidRDefault="00652773">
            <w:pPr>
              <w:pStyle w:val="BodyText"/>
              <w:spacing w:before="100" w:after="100" w:line="260" w:lineRule="atLeast"/>
            </w:pPr>
            <w:r w:rsidRPr="00657D21">
              <w:t>New Zealand has a climate change strategy focused on five pillars aimed at ensuring New Zealand reaches its economic, social and environmental potential.</w:t>
            </w:r>
          </w:p>
          <w:p w14:paraId="148FBD6B" w14:textId="77777777" w:rsidR="00652773" w:rsidRPr="00657D21" w:rsidRDefault="00652773" w:rsidP="001F5C09">
            <w:pPr>
              <w:pStyle w:val="BodyText"/>
              <w:spacing w:line="260" w:lineRule="atLeast"/>
              <w:jc w:val="center"/>
            </w:pPr>
            <w:r w:rsidRPr="00657D21">
              <w:rPr>
                <w:noProof/>
              </w:rPr>
              <w:drawing>
                <wp:inline distT="0" distB="0" distL="0" distR="0" wp14:anchorId="1C050405" wp14:editId="73156FB5">
                  <wp:extent cx="4795025" cy="1915844"/>
                  <wp:effectExtent l="0" t="0" r="5715" b="8255"/>
                  <wp:docPr id="2026467037" name="Picture 1" descr="An infographic showing the five pillars of the Government’s climate change strate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467037" name="Picture 1" descr="An infographic showing the five pillars of the Government’s climate change strategy. "/>
                          <pic:cNvPicPr/>
                        </pic:nvPicPr>
                        <pic:blipFill>
                          <a:blip r:embed="rId87">
                            <a:extLst>
                              <a:ext uri="{28A0092B-C50C-407E-A947-70E740481C1C}">
                                <a14:useLocalDpi xmlns:a14="http://schemas.microsoft.com/office/drawing/2010/main" val="0"/>
                              </a:ext>
                            </a:extLst>
                          </a:blip>
                          <a:stretch>
                            <a:fillRect/>
                          </a:stretch>
                        </pic:blipFill>
                        <pic:spPr>
                          <a:xfrm>
                            <a:off x="0" y="0"/>
                            <a:ext cx="4819634" cy="1925676"/>
                          </a:xfrm>
                          <a:prstGeom prst="rect">
                            <a:avLst/>
                          </a:prstGeom>
                        </pic:spPr>
                      </pic:pic>
                    </a:graphicData>
                  </a:graphic>
                </wp:inline>
              </w:drawing>
            </w:r>
          </w:p>
        </w:tc>
      </w:tr>
      <w:tr w:rsidR="00652773" w:rsidRPr="00657D21" w14:paraId="36A3E3DE" w14:textId="77777777">
        <w:tc>
          <w:tcPr>
            <w:tcW w:w="8505" w:type="dxa"/>
            <w:tcBorders>
              <w:top w:val="single" w:sz="4" w:space="0" w:color="2C9986" w:themeColor="accent4"/>
              <w:bottom w:val="single" w:sz="4" w:space="0" w:color="2C9986" w:themeColor="accent4"/>
            </w:tcBorders>
            <w:shd w:val="clear" w:color="auto" w:fill="FFFFFF" w:themeFill="background1"/>
          </w:tcPr>
          <w:p w14:paraId="7F8BF0DA" w14:textId="102F6740" w:rsidR="00652773" w:rsidRPr="00657D21" w:rsidRDefault="00652773">
            <w:pPr>
              <w:pStyle w:val="BodyText"/>
              <w:spacing w:before="100" w:after="100" w:line="260" w:lineRule="atLeast"/>
            </w:pPr>
            <w:r w:rsidRPr="00657D21">
              <w:t xml:space="preserve">New Zealand’s second emissions reduction plan was published at the end of 2024 and covers the years 2026 to 2030. It sets out actions and strategies to meet </w:t>
            </w:r>
            <w:r w:rsidR="007F59D5">
              <w:t xml:space="preserve">the second </w:t>
            </w:r>
            <w:r w:rsidRPr="00657D21">
              <w:t>emissions budget</w:t>
            </w:r>
            <w:r>
              <w:t>. It also</w:t>
            </w:r>
            <w:r w:rsidRPr="00657D21">
              <w:t xml:space="preserve"> sets New Zealand up for longer-term climate action that will help achieve future emissions</w:t>
            </w:r>
            <w:r>
              <w:t xml:space="preserve"> </w:t>
            </w:r>
            <w:r w:rsidRPr="0063774C">
              <w:t>budgets and puts New Zealand on a sustainable path to net zero long-lived emissions by 2050</w:t>
            </w:r>
            <w:r w:rsidRPr="00657D21">
              <w:t>.</w:t>
            </w:r>
            <w:r>
              <w:t xml:space="preserve"> </w:t>
            </w:r>
            <w:r w:rsidRPr="00F86229">
              <w:t>New Zealand is on track to meet the first two emissions budgets</w:t>
            </w:r>
            <w:r w:rsidR="002D18C2">
              <w:t>.</w:t>
            </w:r>
          </w:p>
        </w:tc>
      </w:tr>
      <w:tr w:rsidR="00652773" w:rsidRPr="00657D21" w14:paraId="4B546371" w14:textId="77777777">
        <w:tc>
          <w:tcPr>
            <w:tcW w:w="8505" w:type="dxa"/>
            <w:tcBorders>
              <w:top w:val="single" w:sz="4" w:space="0" w:color="2C9986" w:themeColor="accent4"/>
              <w:bottom w:val="single" w:sz="4" w:space="0" w:color="2C9986" w:themeColor="accent4"/>
            </w:tcBorders>
            <w:shd w:val="clear" w:color="auto" w:fill="FFFFFF" w:themeFill="background1"/>
          </w:tcPr>
          <w:p w14:paraId="304D6C40" w14:textId="108986B5" w:rsidR="00D46D70" w:rsidRPr="002E6043" w:rsidRDefault="00D46D70" w:rsidP="00E81F20">
            <w:pPr>
              <w:pStyle w:val="BodyText"/>
              <w:spacing w:after="60"/>
            </w:pPr>
            <w:r>
              <w:t>The second emissions reduction plan details</w:t>
            </w:r>
            <w:r w:rsidRPr="002E6043">
              <w:t xml:space="preserve"> eight key policies that will have the greatest potential emissions savings over the next five years</w:t>
            </w:r>
            <w:r>
              <w:t xml:space="preserve">. </w:t>
            </w:r>
          </w:p>
          <w:p w14:paraId="2D1EE967" w14:textId="77777777" w:rsidR="005F6F35" w:rsidRPr="0019753C" w:rsidRDefault="005F6F35" w:rsidP="005F6F35">
            <w:pPr>
              <w:pStyle w:val="Bullet"/>
            </w:pPr>
            <w:r w:rsidRPr="0019753C">
              <w:t>Enabling more renewable energy projects through Electrify NZ</w:t>
            </w:r>
            <w:r>
              <w:t>.</w:t>
            </w:r>
            <w:r w:rsidRPr="0019753C">
              <w:t xml:space="preserve"> </w:t>
            </w:r>
          </w:p>
          <w:p w14:paraId="15ECE0C6" w14:textId="77777777" w:rsidR="005F6F35" w:rsidRPr="0019753C" w:rsidRDefault="005F6F35" w:rsidP="005F6F35">
            <w:pPr>
              <w:pStyle w:val="Bullet"/>
            </w:pPr>
            <w:r w:rsidRPr="0019753C">
              <w:t>Recognising carbon capture, utilisation and storage in the NZ ETS</w:t>
            </w:r>
            <w:r>
              <w:t>.</w:t>
            </w:r>
          </w:p>
          <w:p w14:paraId="3B77C2ED" w14:textId="77777777" w:rsidR="005F6F35" w:rsidRPr="0019753C" w:rsidRDefault="005F6F35" w:rsidP="005F6F35">
            <w:pPr>
              <w:pStyle w:val="Bullet"/>
            </w:pPr>
            <w:r w:rsidRPr="0019753C">
              <w:t xml:space="preserve">Targeting a network of 10,000 EV charging points by 2030. </w:t>
            </w:r>
          </w:p>
          <w:p w14:paraId="7C7DE45F" w14:textId="77777777" w:rsidR="005F6F35" w:rsidRPr="0019753C" w:rsidRDefault="005F6F35" w:rsidP="005F6F35">
            <w:pPr>
              <w:pStyle w:val="Bullet"/>
            </w:pPr>
            <w:r w:rsidRPr="0019753C">
              <w:t>Introducing agricultural emissions pricing by 2030 and incentivising the uptake of new technologies</w:t>
            </w:r>
            <w:r>
              <w:t>.</w:t>
            </w:r>
          </w:p>
          <w:p w14:paraId="04AF0E65" w14:textId="77777777" w:rsidR="005F6F35" w:rsidRPr="0019753C" w:rsidRDefault="005F6F35" w:rsidP="005F6F35">
            <w:pPr>
              <w:pStyle w:val="Bullet"/>
            </w:pPr>
            <w:r w:rsidRPr="0019753C">
              <w:t>Exploring private-sector partnerships to plant trees on Crown-owned land which has low conservation value and low farming value</w:t>
            </w:r>
            <w:r>
              <w:t>.</w:t>
            </w:r>
          </w:p>
          <w:p w14:paraId="4AC7F229" w14:textId="77777777" w:rsidR="005F6F35" w:rsidRPr="0019753C" w:rsidRDefault="005F6F35" w:rsidP="005F6F35">
            <w:pPr>
              <w:pStyle w:val="Bullet"/>
            </w:pPr>
            <w:r w:rsidRPr="0019753C">
              <w:t>Introducing a regulated product stewardship scheme for refrigerants from 2025</w:t>
            </w:r>
            <w:r>
              <w:t>.</w:t>
            </w:r>
          </w:p>
          <w:p w14:paraId="61BF146D" w14:textId="77777777" w:rsidR="0033289C" w:rsidRDefault="00D46D70" w:rsidP="003A0C20">
            <w:pPr>
              <w:pStyle w:val="Bullet"/>
            </w:pPr>
            <w:r>
              <w:t>L</w:t>
            </w:r>
            <w:r w:rsidRPr="002E6043">
              <w:t xml:space="preserve">everaging the Waste Minimisation Fund to enable resource recovery systems and infrastructure to process organic </w:t>
            </w:r>
            <w:r w:rsidR="005F6F35" w:rsidRPr="0019753C">
              <w:t>waste</w:t>
            </w:r>
            <w:r w:rsidR="005F6F35">
              <w:t>.</w:t>
            </w:r>
            <w:r w:rsidR="005F58F6" w:rsidRPr="005F58F6">
              <w:t xml:space="preserve"> </w:t>
            </w:r>
          </w:p>
          <w:p w14:paraId="2A4C4734" w14:textId="383B9B3C" w:rsidR="00652773" w:rsidRPr="00D46D70" w:rsidRDefault="00D46D70" w:rsidP="003A0C20">
            <w:pPr>
              <w:pStyle w:val="Bullet"/>
            </w:pPr>
            <w:r>
              <w:t>I</w:t>
            </w:r>
            <w:r w:rsidRPr="002E6043">
              <w:t xml:space="preserve">mproving organic waste </w:t>
            </w:r>
            <w:r w:rsidRPr="00A5110D">
              <w:t>management</w:t>
            </w:r>
            <w:r w:rsidRPr="002E6043">
              <w:t xml:space="preserve"> and landfill gas capture to increase landfill gas recovery rates</w:t>
            </w:r>
            <w:r w:rsidR="00652773" w:rsidRPr="00D46D70" w:rsidDel="00D46D70">
              <w:t>.</w:t>
            </w:r>
          </w:p>
        </w:tc>
      </w:tr>
      <w:tr w:rsidR="00652773" w:rsidRPr="00657D21" w14:paraId="30067FA1" w14:textId="77777777">
        <w:tc>
          <w:tcPr>
            <w:tcW w:w="8505" w:type="dxa"/>
            <w:tcBorders>
              <w:top w:val="single" w:sz="4" w:space="0" w:color="2C9986" w:themeColor="accent4"/>
              <w:bottom w:val="single" w:sz="4" w:space="0" w:color="2C9986" w:themeColor="accent4"/>
            </w:tcBorders>
            <w:shd w:val="clear" w:color="auto" w:fill="FFFFFF" w:themeFill="background1"/>
          </w:tcPr>
          <w:p w14:paraId="7F77BFD0" w14:textId="77777777" w:rsidR="00652773" w:rsidRPr="00657D21" w:rsidRDefault="00652773">
            <w:pPr>
              <w:pStyle w:val="BodyText"/>
              <w:spacing w:before="100" w:after="100" w:line="260" w:lineRule="atLeast"/>
            </w:pPr>
            <w:r w:rsidRPr="00657D21">
              <w:t>The New Zealand Emissions Trading Scheme (NZ ETS) has been, and continues to be, New Zealand’s key emissions pricing tool since its inception in 2008. Its legislated purposes include assisting New Zealand to meet the 2050 target, its international obligations, and domestic emissions budgets.</w:t>
            </w:r>
          </w:p>
        </w:tc>
      </w:tr>
    </w:tbl>
    <w:p w14:paraId="045B2114" w14:textId="77777777" w:rsidR="00652773" w:rsidRPr="00657D21" w:rsidRDefault="00652773" w:rsidP="00652773">
      <w:pPr>
        <w:pStyle w:val="Heading2"/>
        <w:numPr>
          <w:ilvl w:val="0"/>
          <w:numId w:val="81"/>
        </w:numPr>
        <w:tabs>
          <w:tab w:val="num" w:pos="1134"/>
        </w:tabs>
        <w:spacing w:before="480"/>
      </w:pPr>
      <w:bookmarkStart w:id="302" w:name="_Toc184825503"/>
      <w:bookmarkStart w:id="303" w:name="_Toc169616370"/>
      <w:bookmarkStart w:id="304" w:name="_Toc169620075"/>
      <w:bookmarkStart w:id="305" w:name="_Toc172793988"/>
      <w:r w:rsidRPr="00657D21">
        <w:t>Introduction</w:t>
      </w:r>
      <w:bookmarkEnd w:id="302"/>
    </w:p>
    <w:bookmarkEnd w:id="303"/>
    <w:bookmarkEnd w:id="304"/>
    <w:bookmarkEnd w:id="305"/>
    <w:p w14:paraId="3710AAB9" w14:textId="2BB7EA25" w:rsidR="00652773" w:rsidRPr="00657D21" w:rsidRDefault="00652773" w:rsidP="00652773">
      <w:pPr>
        <w:pStyle w:val="BodyText"/>
        <w:spacing w:before="100"/>
        <w:rPr>
          <w:rFonts w:eastAsia="Calibri"/>
        </w:rPr>
      </w:pPr>
      <w:r w:rsidRPr="00657D21">
        <w:rPr>
          <w:rFonts w:eastAsia="Calibri"/>
        </w:rPr>
        <w:t xml:space="preserve">This section outlines New Zealand’s main policies and measures to reduce emissions and increase removals. It begins by setting out New Zealand’s overarching approach through its climate change strategy (the Climate </w:t>
      </w:r>
      <w:r w:rsidRPr="00657D21" w:rsidDel="0029233C">
        <w:rPr>
          <w:rFonts w:eastAsia="Calibri"/>
        </w:rPr>
        <w:t>S</w:t>
      </w:r>
      <w:r w:rsidRPr="00657D21">
        <w:rPr>
          <w:rFonts w:eastAsia="Calibri"/>
        </w:rPr>
        <w:t xml:space="preserve">trategy) and main policy tool, the New Zealand Emissions Trading Scheme (NZ ETS). It then covers New Zealand’s policies and measures that are sector specific. </w:t>
      </w:r>
    </w:p>
    <w:p w14:paraId="1572465D" w14:textId="77777777" w:rsidR="00652773" w:rsidRPr="00657D21" w:rsidRDefault="00652773" w:rsidP="00357135">
      <w:pPr>
        <w:pStyle w:val="Heading2"/>
        <w:numPr>
          <w:ilvl w:val="0"/>
          <w:numId w:val="81"/>
        </w:numPr>
        <w:tabs>
          <w:tab w:val="num" w:pos="1134"/>
        </w:tabs>
        <w:spacing w:before="320"/>
        <w:ind w:left="1134" w:hanging="1134"/>
      </w:pPr>
      <w:bookmarkStart w:id="306" w:name="section242"/>
      <w:bookmarkStart w:id="307" w:name="_Toc184825504"/>
      <w:bookmarkEnd w:id="306"/>
      <w:r w:rsidRPr="00657D21">
        <w:t>Overarching mitigation policies and plans</w:t>
      </w:r>
      <w:bookmarkEnd w:id="307"/>
    </w:p>
    <w:p w14:paraId="5C021861" w14:textId="64A3118F" w:rsidR="00652773" w:rsidRPr="00657D21" w:rsidRDefault="00652773" w:rsidP="00784F5F">
      <w:pPr>
        <w:pStyle w:val="Heading3"/>
        <w:numPr>
          <w:ilvl w:val="0"/>
          <w:numId w:val="82"/>
        </w:numPr>
        <w:tabs>
          <w:tab w:val="num" w:pos="1134"/>
        </w:tabs>
        <w:spacing w:before="200"/>
        <w:ind w:left="0" w:firstLine="0"/>
      </w:pPr>
      <w:r w:rsidRPr="00657D21">
        <w:t xml:space="preserve">Climate Change </w:t>
      </w:r>
      <w:r w:rsidRPr="00657D21" w:rsidDel="0029233C">
        <w:t>S</w:t>
      </w:r>
      <w:r w:rsidRPr="00657D21">
        <w:t>trategy</w:t>
      </w:r>
    </w:p>
    <w:p w14:paraId="576E1CBA" w14:textId="77777777" w:rsidR="00652773" w:rsidRPr="00657D21" w:rsidRDefault="00652773" w:rsidP="00652773">
      <w:pPr>
        <w:pStyle w:val="BodyText"/>
        <w:spacing w:after="100"/>
      </w:pPr>
      <w:r w:rsidRPr="00657D21">
        <w:t>As part of its response to climate change, in July 2024, the Government developed and published its climate change strategy, which sets out its approach to how it will deliver on New Zealand’s climate goals.</w:t>
      </w:r>
      <w:r w:rsidRPr="00657D21">
        <w:rPr>
          <w:rStyle w:val="FootnoteReference"/>
          <w:rFonts w:eastAsia="Calibri"/>
        </w:rPr>
        <w:footnoteReference w:id="145"/>
      </w:r>
    </w:p>
    <w:p w14:paraId="3650DD18" w14:textId="23C9BA8A" w:rsidR="00652773" w:rsidRPr="00657D21" w:rsidRDefault="00A51DBD" w:rsidP="00652773">
      <w:pPr>
        <w:pStyle w:val="BodyText"/>
        <w:spacing w:after="100"/>
      </w:pPr>
      <w:r w:rsidRPr="00A51DBD">
        <w:t xml:space="preserve">The Climate </w:t>
      </w:r>
      <w:r w:rsidRPr="00A51DBD" w:rsidDel="0029233C">
        <w:t>S</w:t>
      </w:r>
      <w:r w:rsidRPr="00A51DBD">
        <w:t xml:space="preserve">trategy focuses on five pillars to help the Government meet its targets to reduce emissions and manage the impacts of climate </w:t>
      </w:r>
      <w:r w:rsidR="00652773" w:rsidRPr="00657D21">
        <w:t xml:space="preserve">change: </w:t>
      </w:r>
    </w:p>
    <w:p w14:paraId="573EAD2C" w14:textId="77777777" w:rsidR="00652773" w:rsidRPr="00657D21" w:rsidRDefault="00652773" w:rsidP="00784F5F">
      <w:pPr>
        <w:pStyle w:val="Numberedparagraph"/>
        <w:numPr>
          <w:ilvl w:val="0"/>
          <w:numId w:val="123"/>
        </w:numPr>
        <w:tabs>
          <w:tab w:val="num" w:pos="360"/>
        </w:tabs>
        <w:spacing w:after="100"/>
      </w:pPr>
      <w:r w:rsidRPr="00657D21">
        <w:t>infrastructure is resilient and communities are well prepared</w:t>
      </w:r>
    </w:p>
    <w:p w14:paraId="1A864774" w14:textId="77777777" w:rsidR="00652773" w:rsidRPr="00657D21" w:rsidRDefault="00652773" w:rsidP="00652773">
      <w:pPr>
        <w:pStyle w:val="Numberedparagraph"/>
        <w:tabs>
          <w:tab w:val="num" w:pos="360"/>
        </w:tabs>
        <w:spacing w:after="100"/>
        <w:ind w:left="1080" w:hanging="1080"/>
      </w:pPr>
      <w:r w:rsidRPr="00657D21">
        <w:t>credible markets support the climate transition</w:t>
      </w:r>
    </w:p>
    <w:p w14:paraId="2C6FF825" w14:textId="77777777" w:rsidR="00652773" w:rsidRPr="00657D21" w:rsidRDefault="00652773" w:rsidP="00652773">
      <w:pPr>
        <w:pStyle w:val="Numberedparagraph"/>
        <w:tabs>
          <w:tab w:val="num" w:pos="360"/>
        </w:tabs>
        <w:spacing w:after="100"/>
        <w:ind w:left="1080" w:hanging="1080"/>
      </w:pPr>
      <w:r w:rsidRPr="00657D21">
        <w:t>clean energy is abundant and affordable</w:t>
      </w:r>
    </w:p>
    <w:p w14:paraId="5E8F7676" w14:textId="77777777" w:rsidR="00652773" w:rsidRPr="00657D21" w:rsidRDefault="00652773" w:rsidP="00652773">
      <w:pPr>
        <w:pStyle w:val="Numberedparagraph"/>
        <w:tabs>
          <w:tab w:val="num" w:pos="360"/>
        </w:tabs>
        <w:ind w:left="1080" w:hanging="1080"/>
      </w:pPr>
      <w:r w:rsidRPr="00657D21">
        <w:t>world-leading climate innovation boosts the economy</w:t>
      </w:r>
    </w:p>
    <w:p w14:paraId="40C07099" w14:textId="77777777" w:rsidR="00652773" w:rsidRPr="00657D21" w:rsidRDefault="00652773" w:rsidP="00652773">
      <w:pPr>
        <w:pStyle w:val="Numberedparagraph"/>
        <w:tabs>
          <w:tab w:val="num" w:pos="360"/>
        </w:tabs>
        <w:ind w:left="1080" w:hanging="1080"/>
      </w:pPr>
      <w:r w:rsidRPr="00657D21">
        <w:t>nature-based solutions address climate change.</w:t>
      </w:r>
    </w:p>
    <w:p w14:paraId="31AC6E5B" w14:textId="2C857A2E" w:rsidR="00652773" w:rsidRPr="00657D21" w:rsidRDefault="00652773" w:rsidP="00652773">
      <w:pPr>
        <w:pStyle w:val="Figureheading"/>
      </w:pPr>
      <w:bookmarkStart w:id="308" w:name="_Toc185347244"/>
      <w:r w:rsidRPr="00657D21">
        <w:t xml:space="preserve">Figure </w:t>
      </w:r>
      <w:r>
        <w:t>2.4.1</w:t>
      </w:r>
      <w:r w:rsidRPr="00657D21">
        <w:t xml:space="preserve">: </w:t>
      </w:r>
      <w:r w:rsidRPr="00657D21">
        <w:tab/>
        <w:t>Five pillars of the Government’s climate change strategy</w:t>
      </w:r>
      <w:bookmarkEnd w:id="308"/>
    </w:p>
    <w:p w14:paraId="40B4FFE7" w14:textId="43753F3F" w:rsidR="00652773" w:rsidRPr="00657D21" w:rsidRDefault="76AA25F6" w:rsidP="74F3A436">
      <w:pPr>
        <w:pStyle w:val="BodyText"/>
        <w:spacing w:before="240" w:after="0"/>
      </w:pPr>
      <w:r>
        <w:rPr>
          <w:noProof/>
        </w:rPr>
        <w:drawing>
          <wp:inline distT="0" distB="0" distL="0" distR="0" wp14:anchorId="1ACEB77F" wp14:editId="69AEAA22">
            <wp:extent cx="5400675" cy="2465294"/>
            <wp:effectExtent l="0" t="0" r="0" b="0"/>
            <wp:docPr id="151798447" name="Picture 4" descr="An infographic showing the five pillars of the Government’s climate change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98447" name="Picture 4" descr="An infographic showing the five pillars of the Government’s climate change strategy."/>
                    <pic:cNvPicPr/>
                  </pic:nvPicPr>
                  <pic:blipFill>
                    <a:blip r:embed="rId37">
                      <a:extLst>
                        <a:ext uri="{28A0092B-C50C-407E-A947-70E740481C1C}">
                          <a14:useLocalDpi xmlns:a14="http://schemas.microsoft.com/office/drawing/2010/main" val="0"/>
                        </a:ext>
                      </a:extLst>
                    </a:blip>
                    <a:srcRect t="1" b="-14019"/>
                    <a:stretch>
                      <a:fillRect/>
                    </a:stretch>
                  </pic:blipFill>
                  <pic:spPr bwMode="auto">
                    <a:xfrm>
                      <a:off x="0" y="0"/>
                      <a:ext cx="5400675" cy="2465294"/>
                    </a:xfrm>
                    <a:prstGeom prst="rect">
                      <a:avLst/>
                    </a:prstGeom>
                    <a:noFill/>
                    <a:ln>
                      <a:noFill/>
                    </a:ln>
                    <a:extLst>
                      <a:ext uri="{53640926-AAD7-44D8-BBD7-CCE9431645EC}">
                        <a14:shadowObscured xmlns:a14="http://schemas.microsoft.com/office/drawing/2010/main"/>
                      </a:ext>
                    </a:extLst>
                  </pic:spPr>
                </pic:pic>
              </a:graphicData>
            </a:graphic>
          </wp:inline>
        </w:drawing>
      </w:r>
      <w:r w:rsidR="00652773" w:rsidRPr="00657D21">
        <w:t>Examples of the Government’s plans under each pillar include:</w:t>
      </w:r>
    </w:p>
    <w:p w14:paraId="7ACA082C" w14:textId="77777777" w:rsidR="00652773" w:rsidRPr="00657D21" w:rsidRDefault="00652773" w:rsidP="00652773">
      <w:pPr>
        <w:pStyle w:val="Bullet"/>
        <w:numPr>
          <w:ilvl w:val="0"/>
          <w:numId w:val="30"/>
        </w:numPr>
        <w:rPr>
          <w:rFonts w:asciiTheme="minorHAnsi" w:hAnsiTheme="minorHAnsi" w:cstheme="minorHAnsi"/>
        </w:rPr>
      </w:pPr>
      <w:r w:rsidRPr="00657D21">
        <w:rPr>
          <w:rFonts w:asciiTheme="minorHAnsi" w:hAnsiTheme="minorHAnsi" w:cstheme="minorHAnsi"/>
        </w:rPr>
        <w:t>Pillar 1: Delivering a fair and enduring adaptation system that helps New Zealand be ready for climate change and provides clarity on costs</w:t>
      </w:r>
    </w:p>
    <w:p w14:paraId="33A87639" w14:textId="77777777" w:rsidR="00652773" w:rsidRPr="00657D21" w:rsidRDefault="00652773" w:rsidP="00652773">
      <w:pPr>
        <w:pStyle w:val="Bullet"/>
        <w:numPr>
          <w:ilvl w:val="0"/>
          <w:numId w:val="30"/>
        </w:numPr>
        <w:rPr>
          <w:rFonts w:asciiTheme="minorHAnsi" w:hAnsiTheme="minorHAnsi" w:cstheme="minorHAnsi"/>
        </w:rPr>
      </w:pPr>
      <w:r w:rsidRPr="00657D21">
        <w:rPr>
          <w:rFonts w:asciiTheme="minorHAnsi" w:hAnsiTheme="minorHAnsi" w:cstheme="minorHAnsi"/>
        </w:rPr>
        <w:t>Pillar 2: Pricing emissions fairly and effectively to incentivise emissions reductions</w:t>
      </w:r>
    </w:p>
    <w:p w14:paraId="60CC3475" w14:textId="77777777" w:rsidR="00652773" w:rsidRPr="00657D21" w:rsidRDefault="00652773" w:rsidP="00652773">
      <w:pPr>
        <w:pStyle w:val="Bullet"/>
        <w:numPr>
          <w:ilvl w:val="0"/>
          <w:numId w:val="30"/>
        </w:numPr>
        <w:rPr>
          <w:rFonts w:asciiTheme="minorHAnsi" w:hAnsiTheme="minorHAnsi" w:cstheme="minorHAnsi"/>
        </w:rPr>
      </w:pPr>
      <w:r w:rsidRPr="00657D21">
        <w:rPr>
          <w:rFonts w:asciiTheme="minorHAnsi" w:hAnsiTheme="minorHAnsi" w:cstheme="minorHAnsi"/>
        </w:rPr>
        <w:t>Pillar 3: Doubling renewable energy by 2050 and installing 10,000 public charging points for electric vehicles</w:t>
      </w:r>
    </w:p>
    <w:p w14:paraId="15055ED9" w14:textId="77777777" w:rsidR="00652773" w:rsidRPr="00657D21" w:rsidRDefault="00652773" w:rsidP="00652773">
      <w:pPr>
        <w:pStyle w:val="Bullet"/>
        <w:numPr>
          <w:ilvl w:val="0"/>
          <w:numId w:val="30"/>
        </w:numPr>
        <w:rPr>
          <w:rFonts w:asciiTheme="minorHAnsi" w:hAnsiTheme="minorHAnsi" w:cstheme="minorHAnsi"/>
        </w:rPr>
      </w:pPr>
      <w:r w:rsidRPr="00657D21">
        <w:rPr>
          <w:rFonts w:asciiTheme="minorHAnsi" w:hAnsiTheme="minorHAnsi" w:cstheme="minorHAnsi"/>
        </w:rPr>
        <w:t>Pillar 4: Providing tools and removing barriers to help businesses to innovate and prepare for the future</w:t>
      </w:r>
    </w:p>
    <w:p w14:paraId="0A14655B" w14:textId="77777777" w:rsidR="00652773" w:rsidRPr="00657D21" w:rsidRDefault="00652773" w:rsidP="00652773">
      <w:pPr>
        <w:pStyle w:val="Bullet"/>
        <w:numPr>
          <w:ilvl w:val="0"/>
          <w:numId w:val="30"/>
        </w:numPr>
        <w:rPr>
          <w:rFonts w:asciiTheme="minorHAnsi" w:hAnsiTheme="minorHAnsi" w:cstheme="minorHAnsi"/>
        </w:rPr>
      </w:pPr>
      <w:r w:rsidRPr="00657D21">
        <w:rPr>
          <w:rFonts w:asciiTheme="minorHAnsi" w:hAnsiTheme="minorHAnsi" w:cstheme="minorHAnsi"/>
        </w:rPr>
        <w:t>Pillar 5: Restoring biodiversity, while investigating new ways of harnessing nature to remove emissions from the atmosphere.</w:t>
      </w:r>
    </w:p>
    <w:p w14:paraId="4B810237" w14:textId="4747026B" w:rsidR="00652773" w:rsidRPr="00657D21" w:rsidRDefault="00652773" w:rsidP="00652773">
      <w:pPr>
        <w:pStyle w:val="BodyText"/>
      </w:pPr>
      <w:r w:rsidRPr="00657D21">
        <w:t xml:space="preserve">The Climate </w:t>
      </w:r>
      <w:r w:rsidRPr="00657D21" w:rsidDel="003369B7">
        <w:t>S</w:t>
      </w:r>
      <w:r w:rsidRPr="00657D21">
        <w:t>trategy reflects New Zealand’s national context by using New Zealand’s competitive and natural advantages. It</w:t>
      </w:r>
      <w:r w:rsidRPr="00657D21" w:rsidDel="00227DD6">
        <w:t xml:space="preserve"> </w:t>
      </w:r>
      <w:r w:rsidRPr="00657D21">
        <w:t>ensures the right incentives are in place across the economy to reduce net emissions where it is most cost effective.</w:t>
      </w:r>
    </w:p>
    <w:p w14:paraId="2F3ECDA0" w14:textId="77777777" w:rsidR="00652773" w:rsidRPr="00657D21" w:rsidRDefault="00652773" w:rsidP="00784F5F">
      <w:pPr>
        <w:pStyle w:val="Heading3"/>
        <w:numPr>
          <w:ilvl w:val="0"/>
          <w:numId w:val="82"/>
        </w:numPr>
        <w:tabs>
          <w:tab w:val="num" w:pos="1134"/>
        </w:tabs>
        <w:ind w:left="0" w:firstLine="0"/>
      </w:pPr>
      <w:bookmarkStart w:id="309" w:name="_New_Zealand_Emissions"/>
      <w:bookmarkEnd w:id="309"/>
      <w:r w:rsidRPr="00657D21">
        <w:t>New Zealand Emissions Trading Scheme</w:t>
      </w:r>
    </w:p>
    <w:p w14:paraId="17633E35" w14:textId="1ADE4426" w:rsidR="00652773" w:rsidRPr="00657D21" w:rsidRDefault="00652773" w:rsidP="00652773">
      <w:pPr>
        <w:pStyle w:val="BodyText"/>
      </w:pPr>
      <w:r w:rsidRPr="00657D21">
        <w:t xml:space="preserve">The NZ ETS has been, and continues to be, New Zealand’s main emissions pricing tool since its inception in 2008. Its legislated purposes include helping New Zealand to meet the 2050 target, its international obligations and domestic emissions budgets. </w:t>
      </w:r>
    </w:p>
    <w:p w14:paraId="55562AE1" w14:textId="77777777" w:rsidR="00652773" w:rsidRPr="00657D21" w:rsidRDefault="00652773" w:rsidP="00652773">
      <w:pPr>
        <w:pStyle w:val="BodyText"/>
      </w:pPr>
      <w:r w:rsidRPr="00657D21">
        <w:t>The NZ ETS is a cap-and-trade system that is based on government-issued New Zealand units (NZUs). Emitters with obligations under the NZ ETS must obtain and surrender NZUs to the Government at a rate of one NZU per tonne of carbon dioxide (CO</w:t>
      </w:r>
      <w:r w:rsidRPr="00657D21">
        <w:rPr>
          <w:vertAlign w:val="subscript"/>
        </w:rPr>
        <w:t>2</w:t>
      </w:r>
      <w:r w:rsidRPr="00657D21">
        <w:t>) equivalent. There are penalties for non-compliance.</w:t>
      </w:r>
    </w:p>
    <w:p w14:paraId="65B7D958" w14:textId="77777777" w:rsidR="00652773" w:rsidRPr="00657D21" w:rsidRDefault="00652773" w:rsidP="00652773">
      <w:pPr>
        <w:pStyle w:val="BodyText"/>
      </w:pPr>
      <w:r w:rsidRPr="00657D21">
        <w:t xml:space="preserve">The NZ ETS creates a price signal by setting a ‘cap’, a limit on net emissions that NZ ETS covered sectors are allowed to produce. Over time, this cap will decrease in alignment with climate targets and emissions budgets. The reducing cap on net emissions and price signal </w:t>
      </w:r>
      <w:r w:rsidRPr="00657D21">
        <w:rPr>
          <w:rFonts w:eastAsia="MS Mincho" w:cs="Times New Roman"/>
        </w:rPr>
        <w:t xml:space="preserve">encourages producers, consumers and investors to change their behaviour and investments and reduce net emissions; for example, by </w:t>
      </w:r>
      <w:r w:rsidRPr="00657D21">
        <w:t>influencing technology choices towards low-emissions alternatives.</w:t>
      </w:r>
    </w:p>
    <w:p w14:paraId="5919FC7A" w14:textId="778F6A30" w:rsidR="00652773" w:rsidRPr="00657D21" w:rsidRDefault="00652773" w:rsidP="00652773">
      <w:pPr>
        <w:pStyle w:val="BodyText"/>
      </w:pPr>
      <w:r w:rsidRPr="00657D21">
        <w:t>Participants in the NZ ETS include upstream entities, such as fuel suppliers and process emitters (who are required to surrender NZUs), and entities that remove CO</w:t>
      </w:r>
      <w:r w:rsidRPr="00657D21">
        <w:rPr>
          <w:vertAlign w:val="subscript"/>
        </w:rPr>
        <w:t>2</w:t>
      </w:r>
      <w:r w:rsidRPr="00657D21">
        <w:t xml:space="preserve"> from the atmosphere by a recognised method (which for New Zealand is currently predominantly</w:t>
      </w:r>
      <w:r>
        <w:t> </w:t>
      </w:r>
      <w:r w:rsidRPr="00657D21">
        <w:t>through forestry).</w:t>
      </w:r>
    </w:p>
    <w:p w14:paraId="54F7C9A8" w14:textId="0F370473" w:rsidR="00652773" w:rsidRPr="00657D21" w:rsidRDefault="00652773" w:rsidP="00652773">
      <w:pPr>
        <w:pStyle w:val="BodyText"/>
      </w:pPr>
      <w:r w:rsidRPr="00657D21">
        <w:t>NZUs are provided to NZ ETS participants through three channels: government auctions, free allocation of NZUs to trade-exposed businesses (also known as industrial allocation), and</w:t>
      </w:r>
      <w:r>
        <w:t> </w:t>
      </w:r>
      <w:r w:rsidRPr="00657D21">
        <w:t>for recognised removals activities, such as forestry. Once NZUs have been allocated, they</w:t>
      </w:r>
      <w:r>
        <w:t> </w:t>
      </w:r>
      <w:r w:rsidRPr="00657D21">
        <w:t>can be traded on the secondary market with the price being set by supply and demand at</w:t>
      </w:r>
      <w:r>
        <w:t> </w:t>
      </w:r>
      <w:r w:rsidRPr="00657D21">
        <w:t>a point in time.</w:t>
      </w:r>
    </w:p>
    <w:p w14:paraId="41001D1B" w14:textId="31114562" w:rsidR="00652773" w:rsidRPr="00657D21" w:rsidRDefault="00652773" w:rsidP="00652773">
      <w:pPr>
        <w:pStyle w:val="BodyText"/>
      </w:pPr>
      <w:r w:rsidRPr="00657D21">
        <w:t>The NZ ETS covers the stationary energy, liquid fossil fuel, industrial process, synthetic GHG, waste and forestry sectors.</w:t>
      </w:r>
      <w:r w:rsidRPr="00657D21">
        <w:rPr>
          <w:rStyle w:val="FootnoteReference"/>
        </w:rPr>
        <w:footnoteReference w:id="146"/>
      </w:r>
      <w:r w:rsidRPr="00657D21">
        <w:t xml:space="preserve"> </w:t>
      </w:r>
      <w:r w:rsidRPr="00657D21">
        <w:rPr>
          <w:spacing w:val="-2"/>
        </w:rPr>
        <w:t xml:space="preserve">Emissions from the </w:t>
      </w:r>
      <w:r w:rsidR="00A13DF5">
        <w:rPr>
          <w:spacing w:val="-2"/>
        </w:rPr>
        <w:t>A</w:t>
      </w:r>
      <w:r w:rsidRPr="00657D21">
        <w:rPr>
          <w:spacing w:val="-2"/>
        </w:rPr>
        <w:t>griculture sector (around 50 per cent of New Zealand’s emissions)</w:t>
      </w:r>
      <w:r w:rsidRPr="00657D21">
        <w:rPr>
          <w:rStyle w:val="FootnoteReference"/>
        </w:rPr>
        <w:t xml:space="preserve"> </w:t>
      </w:r>
      <w:r w:rsidRPr="00657D21">
        <w:t>are outside of the NZ ETS. Additionally, two-thirds of waste,</w:t>
      </w:r>
      <w:r w:rsidRPr="00657D21">
        <w:rPr>
          <w:rStyle w:val="FootnoteReference"/>
        </w:rPr>
        <w:footnoteReference w:id="147"/>
      </w:r>
      <w:r w:rsidRPr="00657D21">
        <w:t xml:space="preserve"> one</w:t>
      </w:r>
      <w:r w:rsidRPr="00657D21">
        <w:noBreakHyphen/>
        <w:t>third of synthetic GHGs,</w:t>
      </w:r>
      <w:r w:rsidRPr="00657D21">
        <w:rPr>
          <w:rStyle w:val="FootnoteReference"/>
        </w:rPr>
        <w:footnoteReference w:id="148"/>
      </w:r>
      <w:r w:rsidRPr="00657D21">
        <w:t xml:space="preserve"> and other small sources of gross emissions are excluded from</w:t>
      </w:r>
      <w:r>
        <w:t> </w:t>
      </w:r>
      <w:r w:rsidRPr="00657D21">
        <w:t xml:space="preserve">the NZ ETS to reduce administrative costs or to address measurement uncertainties. </w:t>
      </w:r>
    </w:p>
    <w:p w14:paraId="3C695DF0" w14:textId="77777777" w:rsidR="00652773" w:rsidRPr="00657D21" w:rsidRDefault="00652773" w:rsidP="00652773">
      <w:pPr>
        <w:pStyle w:val="BodyText"/>
      </w:pPr>
      <w:r w:rsidRPr="00657D21">
        <w:t xml:space="preserve">NZ ETS settings for forestry have been designed to reflect how New Zealand accounts for forestry in the international target accounting rules. Emissions and removals depend on the forest type and if the forest existed before or after 1990. The NZ ETS includes two types of forest land. </w:t>
      </w:r>
    </w:p>
    <w:p w14:paraId="3145A4D1" w14:textId="77777777" w:rsidR="00652773" w:rsidRPr="00657D21" w:rsidRDefault="00652773" w:rsidP="75ADBAC8">
      <w:pPr>
        <w:pStyle w:val="Bullet"/>
      </w:pPr>
      <w:r w:rsidRPr="00657D21">
        <w:t>Land that was forest land on 31 December 1989 and predominantly exotic forest species on 31 December 2007</w:t>
      </w:r>
      <w:r w:rsidRPr="00657D21">
        <w:rPr>
          <w:vertAlign w:val="superscript"/>
        </w:rPr>
        <w:footnoteReference w:id="149"/>
      </w:r>
      <w:r w:rsidRPr="00657D21">
        <w:t xml:space="preserve"> cannot earn NZUs from forest growth and is not required to surrender NZUs if harvested. However, if pre-1990 forest land is deforested, participation is mandatory.</w:t>
      </w:r>
      <w:r w:rsidRPr="00657D21">
        <w:rPr>
          <w:rStyle w:val="FootnoteReference"/>
        </w:rPr>
        <w:footnoteReference w:id="150"/>
      </w:r>
      <w:r w:rsidRPr="00657D21">
        <w:t xml:space="preserve"> </w:t>
      </w:r>
    </w:p>
    <w:p w14:paraId="57D0BD97" w14:textId="07C9D1AC" w:rsidR="00652773" w:rsidRPr="00657D21" w:rsidRDefault="00652773" w:rsidP="00652773">
      <w:pPr>
        <w:pStyle w:val="Bullet"/>
        <w:numPr>
          <w:ilvl w:val="0"/>
          <w:numId w:val="30"/>
        </w:numPr>
      </w:pPr>
      <w:r w:rsidRPr="00657D21">
        <w:t>Forest land, exotic or indigenous, established from 1 January 1990 (also known as post</w:t>
      </w:r>
      <w:r w:rsidRPr="00657D21">
        <w:noBreakHyphen/>
        <w:t xml:space="preserve">1989 forest land) can be voluntarily entered into the NZ ETS. Once registered, the participant can earn NZUs for removals as the forest grows. NZUs are required to be surrendered if the land is deforested, and, depending on the accounting methodology used (see </w:t>
      </w:r>
      <w:hyperlink w:anchor="section23" w:history="1">
        <w:r w:rsidRPr="00C254CC">
          <w:rPr>
            <w:rStyle w:val="Hyperlink"/>
          </w:rPr>
          <w:t>section 2.3</w:t>
        </w:r>
      </w:hyperlink>
      <w:r w:rsidRPr="00657D21">
        <w:t>), emissions units may need to be surrendered if the forest is harvested. Around 60 per cent of the post-1989 forest estate is in the NZ ETS.</w:t>
      </w:r>
    </w:p>
    <w:p w14:paraId="7E06379F" w14:textId="77777777" w:rsidR="00652773" w:rsidRPr="00657D21" w:rsidRDefault="00652773" w:rsidP="00652773">
      <w:pPr>
        <w:pStyle w:val="BodyText"/>
      </w:pPr>
      <w:r w:rsidRPr="00657D21">
        <w:t xml:space="preserve">The effectiveness of the NZ ETS depends on the credibility of its market. The Government supports this by providing regulatory predictability, sending clear signals on climate and NZ ETS policies, strengthening market governance and through its commitment to the emissions budgets and targets. </w:t>
      </w:r>
    </w:p>
    <w:p w14:paraId="4F90D2EF" w14:textId="405D65AD" w:rsidR="00652773" w:rsidRPr="00657D21" w:rsidRDefault="00652773" w:rsidP="00652773">
      <w:pPr>
        <w:pStyle w:val="BodyText"/>
        <w:keepLines/>
      </w:pPr>
      <w:r w:rsidRPr="00657D21">
        <w:t>Annual decisions on the NZ ETS unit supply and price control settings are an important vehicle for the Government to manage potential risks and deliver emissions budgets and targets in a way that protects the credibility of the NZ ETS. New Zealand set the 2025 to 2029 limits and price control settings for unit volumes in August 2024. The unit limits reduced the number of</w:t>
      </w:r>
      <w:r>
        <w:t> </w:t>
      </w:r>
      <w:r w:rsidRPr="00657D21">
        <w:t xml:space="preserve">units available by auction from 45 million to 21 million, with the aim of reducing the oversupply of units held by participants in the </w:t>
      </w:r>
      <w:r w:rsidR="00CE7C43">
        <w:t xml:space="preserve">NZ </w:t>
      </w:r>
      <w:r w:rsidRPr="00657D21">
        <w:t xml:space="preserve">ETS market and increasing the certainty of achieving New Zealand’s </w:t>
      </w:r>
      <w:r>
        <w:t xml:space="preserve">2026 to </w:t>
      </w:r>
      <w:r w:rsidRPr="00657D21">
        <w:t>2030 domestic emissions budget.</w:t>
      </w:r>
    </w:p>
    <w:p w14:paraId="01F9048D" w14:textId="77777777" w:rsidR="00652773" w:rsidRPr="00657D21" w:rsidRDefault="00652773" w:rsidP="00784F5F">
      <w:pPr>
        <w:pStyle w:val="Heading3"/>
        <w:numPr>
          <w:ilvl w:val="0"/>
          <w:numId w:val="82"/>
        </w:numPr>
        <w:tabs>
          <w:tab w:val="num" w:pos="1134"/>
        </w:tabs>
        <w:ind w:left="0" w:firstLine="0"/>
      </w:pPr>
      <w:r w:rsidRPr="00657D21">
        <w:t>Emissions reduction plans</w:t>
      </w:r>
    </w:p>
    <w:p w14:paraId="49305403" w14:textId="77777777" w:rsidR="00652773" w:rsidRPr="00657D21" w:rsidRDefault="00652773" w:rsidP="00652773">
      <w:pPr>
        <w:pStyle w:val="BodyText"/>
      </w:pPr>
      <w:r w:rsidRPr="00657D21">
        <w:t>New Zealand released its first emissions reduction plan (ERP1) in May 2022. This plan sets out the policies and strategies to meet the first emissions budget period from 2022 to 2025.</w:t>
      </w:r>
    </w:p>
    <w:p w14:paraId="5E13D92C" w14:textId="7E9F7D4A" w:rsidR="00652773" w:rsidRPr="00657D21" w:rsidRDefault="00652773" w:rsidP="00652773">
      <w:pPr>
        <w:pStyle w:val="BodyText"/>
        <w:rPr>
          <w:rFonts w:asciiTheme="minorHAnsi" w:hAnsiTheme="minorHAnsi"/>
        </w:rPr>
      </w:pPr>
      <w:r w:rsidRPr="00657D21">
        <w:t xml:space="preserve">The Government actively manages delivery of this plan through regular progress reporting to </w:t>
      </w:r>
      <w:r w:rsidR="00A43AB2">
        <w:t>m</w:t>
      </w:r>
      <w:r w:rsidRPr="00657D21">
        <w:t xml:space="preserve">inisters and the public. </w:t>
      </w:r>
      <w:r w:rsidRPr="00657D21">
        <w:rPr>
          <w:rFonts w:eastAsia="Calibri"/>
        </w:rPr>
        <w:t xml:space="preserve">Of the 305 actions included in ERP1, more than half are either complete or actively being implemented, </w:t>
      </w:r>
      <w:r w:rsidR="00A43AB2">
        <w:rPr>
          <w:rFonts w:eastAsia="Calibri"/>
        </w:rPr>
        <w:t>al</w:t>
      </w:r>
      <w:r w:rsidRPr="00657D21">
        <w:rPr>
          <w:rFonts w:eastAsia="Calibri"/>
        </w:rPr>
        <w:t>though a small number of actions have not yet started to be implemented.</w:t>
      </w:r>
      <w:r w:rsidRPr="00657D21">
        <w:t xml:space="preserve"> The Government has made several changes to the actions in ERP1</w:t>
      </w:r>
      <w:r>
        <w:t> </w:t>
      </w:r>
      <w:r w:rsidRPr="00657D21">
        <w:t xml:space="preserve">since it was published in 2022, including stopping actions that are no longer a priority or do not align with the new Government’s Climate </w:t>
      </w:r>
      <w:r w:rsidRPr="00657D21" w:rsidDel="00A43AB2">
        <w:t>S</w:t>
      </w:r>
      <w:r w:rsidRPr="00657D21">
        <w:t xml:space="preserve">trategy. The central scenario modelling for the second emissions reduction plan (ERP2) shows that New Zealand is on track to achieve the first emissions budget. </w:t>
      </w:r>
    </w:p>
    <w:p w14:paraId="3A7F54E9" w14:textId="77777777" w:rsidR="00652773" w:rsidRPr="00657D21" w:rsidRDefault="00652773" w:rsidP="00652773">
      <w:pPr>
        <w:pStyle w:val="BodyText"/>
      </w:pPr>
      <w:r w:rsidRPr="00657D21">
        <w:t>New Zealand published ERP2 at the end of 2024. This plan sets out actions and strategies to meet the second emissions budget period, from 2026 to 2030. It also sets New Zealand up for longer-term action on climate that will help achieve future emissions budgets and puts New Zealand on a sustainable path to net zero long-lived emissions by 2050.</w:t>
      </w:r>
    </w:p>
    <w:p w14:paraId="41E94603" w14:textId="79C2ED14" w:rsidR="00652773" w:rsidRPr="00657D21" w:rsidRDefault="00652773" w:rsidP="00652773">
      <w:pPr>
        <w:pStyle w:val="BodyText"/>
      </w:pPr>
      <w:r w:rsidRPr="00657D21">
        <w:t>For ERP2, the Government is taking a net-based and cost-effective approach to reducing emissions and increasing carbon removal</w:t>
      </w:r>
      <w:r w:rsidR="00D306F7">
        <w:t>s</w:t>
      </w:r>
      <w:r w:rsidRPr="00657D21">
        <w:t xml:space="preserve">. The plan sets out policies across the five pillars of the Climate </w:t>
      </w:r>
      <w:r w:rsidRPr="00657D21" w:rsidDel="00D83655">
        <w:t>S</w:t>
      </w:r>
      <w:r w:rsidRPr="00657D21">
        <w:t>trategy and focuses on the largest drivers of emissions in New Zealand: energy, transport, agriculture, forestry and wood processing, building and construction, non-forestry removals and waste sectors.</w:t>
      </w:r>
    </w:p>
    <w:p w14:paraId="2D2FB2FD" w14:textId="77777777" w:rsidR="00652773" w:rsidRPr="00657D21" w:rsidRDefault="00652773" w:rsidP="00652773">
      <w:pPr>
        <w:pStyle w:val="Heading2"/>
        <w:numPr>
          <w:ilvl w:val="0"/>
          <w:numId w:val="81"/>
        </w:numPr>
        <w:tabs>
          <w:tab w:val="num" w:pos="1134"/>
        </w:tabs>
      </w:pPr>
      <w:bookmarkStart w:id="310" w:name="_Toc169616376"/>
      <w:bookmarkStart w:id="311" w:name="_Toc169620082"/>
      <w:bookmarkStart w:id="312" w:name="_Toc172793998"/>
      <w:bookmarkStart w:id="313" w:name="_Toc184825505"/>
      <w:r w:rsidRPr="00657D21">
        <w:t>Funding and finance initiatives</w:t>
      </w:r>
      <w:bookmarkEnd w:id="310"/>
      <w:bookmarkEnd w:id="311"/>
      <w:bookmarkEnd w:id="312"/>
      <w:bookmarkEnd w:id="313"/>
    </w:p>
    <w:p w14:paraId="19F25BD8" w14:textId="6DC8DDEC" w:rsidR="00652773" w:rsidRPr="00657D21" w:rsidRDefault="00652773" w:rsidP="00652773">
      <w:pPr>
        <w:pStyle w:val="BodyText"/>
        <w:rPr>
          <w:rFonts w:eastAsia="Calibri"/>
        </w:rPr>
      </w:pPr>
      <w:r w:rsidRPr="00657D21">
        <w:t xml:space="preserve">The Government has a role in addressing barriers to climate investment. The public and private sectors need to work together to enable the investment that will be necessary to reduce </w:t>
      </w:r>
      <w:r w:rsidR="00D83655">
        <w:br/>
      </w:r>
      <w:r w:rsidRPr="00657D21">
        <w:t>New Zealand’s emissions. This approach to funding and financing will complement other measures to drive emissions reductions, such as the NZ ETS and regulation.</w:t>
      </w:r>
    </w:p>
    <w:p w14:paraId="01BA2F56" w14:textId="77777777" w:rsidR="00652773" w:rsidRPr="00657D21" w:rsidRDefault="00652773" w:rsidP="00784F5F">
      <w:pPr>
        <w:pStyle w:val="Heading3"/>
        <w:numPr>
          <w:ilvl w:val="0"/>
          <w:numId w:val="83"/>
        </w:numPr>
        <w:tabs>
          <w:tab w:val="num" w:pos="1134"/>
        </w:tabs>
      </w:pPr>
      <w:bookmarkStart w:id="314" w:name="_Toc169616378"/>
      <w:bookmarkStart w:id="315" w:name="_Toc169620084"/>
      <w:bookmarkStart w:id="316" w:name="_Toc172793999"/>
      <w:r w:rsidRPr="00657D21">
        <w:t>New Zealand’s Sovereign Green Bond Programme</w:t>
      </w:r>
      <w:bookmarkEnd w:id="314"/>
      <w:bookmarkEnd w:id="315"/>
      <w:bookmarkEnd w:id="316"/>
    </w:p>
    <w:p w14:paraId="5EB69CC1" w14:textId="77777777" w:rsidR="00652773" w:rsidRPr="00657D21" w:rsidRDefault="00652773" w:rsidP="00652773">
      <w:pPr>
        <w:pStyle w:val="BodyText"/>
      </w:pPr>
      <w:r w:rsidRPr="00657D21">
        <w:t xml:space="preserve">New Zealand’s Sovereign Green Bond Programme was launched in 2022. As of 30 June 2024, NZ$6.55 billion green bonds had been issued. </w:t>
      </w:r>
    </w:p>
    <w:p w14:paraId="1EA87FE5" w14:textId="77777777" w:rsidR="00652773" w:rsidRPr="00657D21" w:rsidRDefault="00652773" w:rsidP="00652773">
      <w:pPr>
        <w:pStyle w:val="BodyText"/>
      </w:pPr>
      <w:r w:rsidRPr="00657D21">
        <w:t xml:space="preserve">Unlike standard bonds, green bond proceeds can only be used to finance projects that meet strict environmental criteria. The criteria for the programme were developed to meet international investor requirements for green bonds and are published under the New Zealand Sovereign Green Bond Framework. </w:t>
      </w:r>
    </w:p>
    <w:p w14:paraId="413F2E43" w14:textId="77777777" w:rsidR="00652773" w:rsidRPr="00657D21" w:rsidRDefault="00652773" w:rsidP="00652773">
      <w:pPr>
        <w:pStyle w:val="BodyText"/>
      </w:pPr>
      <w:r w:rsidRPr="00657D21">
        <w:t>Money raised from the bonds will be used to support government-funded projects, such as in clean transport, which help New Zealand deliver its commitment to reduce net emissions by 50</w:t>
      </w:r>
      <w:r>
        <w:t> </w:t>
      </w:r>
      <w:r w:rsidRPr="00657D21">
        <w:t>per cent below 2005 levels by 2030 and reach its net zero carbon target by 2050. Other projects support New Zealand’s adaptation to the impacts of climate change and protect New</w:t>
      </w:r>
      <w:r>
        <w:t> </w:t>
      </w:r>
      <w:r w:rsidRPr="00657D21">
        <w:t xml:space="preserve">Zealand’s biodiversity. </w:t>
      </w:r>
    </w:p>
    <w:p w14:paraId="2FDE916A" w14:textId="4A79D1E1" w:rsidR="00652773" w:rsidRPr="00657D21" w:rsidRDefault="00652773" w:rsidP="00652773">
      <w:pPr>
        <w:pStyle w:val="BodyText"/>
      </w:pPr>
      <w:r w:rsidRPr="00657D21">
        <w:t>The New Zealand Treasury works with the government agencies in the programme to help ensure they deliver reporting that is in line with international best practice and</w:t>
      </w:r>
      <w:r w:rsidR="006442E6">
        <w:t xml:space="preserve"> that </w:t>
      </w:r>
      <w:r w:rsidRPr="00657D21">
        <w:t>meets investor expectations. This increases agency capability in capturing and reporting performance metrics for ‘green’ spending.</w:t>
      </w:r>
    </w:p>
    <w:p w14:paraId="087D5785" w14:textId="77777777" w:rsidR="00652773" w:rsidRPr="00657D21" w:rsidRDefault="00652773" w:rsidP="00784F5F">
      <w:pPr>
        <w:pStyle w:val="Heading3"/>
        <w:numPr>
          <w:ilvl w:val="0"/>
          <w:numId w:val="83"/>
        </w:numPr>
        <w:tabs>
          <w:tab w:val="num" w:pos="1134"/>
        </w:tabs>
      </w:pPr>
      <w:bookmarkStart w:id="317" w:name="_Toc169616379"/>
      <w:bookmarkStart w:id="318" w:name="_Toc169620085"/>
      <w:bookmarkStart w:id="319" w:name="_Toc172794000"/>
      <w:r w:rsidRPr="00657D21">
        <w:t>New Zealand Green Investment Finance Ltd</w:t>
      </w:r>
      <w:bookmarkEnd w:id="317"/>
      <w:bookmarkEnd w:id="318"/>
      <w:bookmarkEnd w:id="319"/>
    </w:p>
    <w:p w14:paraId="4B932BC8" w14:textId="3C1EFA30" w:rsidR="00652773" w:rsidRPr="00657D21" w:rsidRDefault="00652773" w:rsidP="00652773">
      <w:pPr>
        <w:pStyle w:val="BodyText"/>
      </w:pPr>
      <w:bookmarkStart w:id="320" w:name="_Hlk118898113"/>
      <w:r w:rsidRPr="00657D21">
        <w:t xml:space="preserve">New Zealand Green Investment Finance Limited (NZGIF) is a Crown-owned investment vehicle established in April 2019 that has been operational from September of that year. It was established with an initial investment capital of NZ$100 million from the Government. It was recapitalised to NZ$400 million in Budget 2021 and NZ$700 million in Budget 2023. NZGIF has a mandate to invest in commercial opportunities that accelerate the reduction in domestic </w:t>
      </w:r>
      <w:r w:rsidRPr="00657D21">
        <w:rPr>
          <w:spacing w:val="-2"/>
        </w:rPr>
        <w:t>greenhouse gas emissions and provide a commercial return on the investment. It seeks to crowd in private finance, target market failure and undertake market leadership and demonstration</w:t>
      </w:r>
      <w:r w:rsidRPr="00657D21">
        <w:t xml:space="preserve">. </w:t>
      </w:r>
    </w:p>
    <w:p w14:paraId="1F9CFD2E" w14:textId="77777777" w:rsidR="00652773" w:rsidRPr="00657D21" w:rsidRDefault="00652773" w:rsidP="00784F5F">
      <w:pPr>
        <w:pStyle w:val="Heading3"/>
        <w:numPr>
          <w:ilvl w:val="0"/>
          <w:numId w:val="83"/>
        </w:numPr>
        <w:tabs>
          <w:tab w:val="num" w:pos="1134"/>
        </w:tabs>
      </w:pPr>
      <w:bookmarkStart w:id="321" w:name="_Toc169616380"/>
      <w:bookmarkStart w:id="322" w:name="_Toc169620086"/>
      <w:bookmarkStart w:id="323" w:name="_Toc172794001"/>
      <w:bookmarkEnd w:id="320"/>
      <w:r w:rsidRPr="00657D21">
        <w:t>Climate-related disclosures</w:t>
      </w:r>
      <w:bookmarkEnd w:id="321"/>
      <w:bookmarkEnd w:id="322"/>
      <w:bookmarkEnd w:id="323"/>
    </w:p>
    <w:p w14:paraId="64A98502" w14:textId="77777777" w:rsidR="00652773" w:rsidRPr="00657D21" w:rsidRDefault="00652773" w:rsidP="00652773">
      <w:pPr>
        <w:pStyle w:val="BodyText"/>
      </w:pPr>
      <w:r w:rsidRPr="00657D21">
        <w:t>New Zealand became the first country in the world to require annual public disclosure of climate-related risks and opportunities across the financial system when it passed the Financial Sector (Climate-related Disclosures and Other Matters) Amendment Act in 2021. This legislation, which applies to large publicly listed companies, insurers, banks, credit unions, building societies and investment scheme managers, ensures the effects of climate change are routinely considered in business, investment, lending and insurance decisions.</w:t>
      </w:r>
    </w:p>
    <w:p w14:paraId="56607983" w14:textId="77777777" w:rsidR="00652773" w:rsidRPr="00657D21" w:rsidRDefault="00652773" w:rsidP="00652773">
      <w:pPr>
        <w:pStyle w:val="BodyText"/>
      </w:pPr>
      <w:r w:rsidRPr="00657D21">
        <w:t xml:space="preserve">Climate reporting entities are required to publish climate statements in relation to financial years commencing on or after 1 January 2023, in accordance with climate standards published by the External Reporting Board. The first climate statements were published in early 2024. </w:t>
      </w:r>
    </w:p>
    <w:p w14:paraId="4E2283FC" w14:textId="77777777" w:rsidR="00652773" w:rsidRPr="00657D21" w:rsidRDefault="00652773" w:rsidP="00652773">
      <w:pPr>
        <w:pStyle w:val="BodyText"/>
      </w:pPr>
      <w:r w:rsidRPr="00657D21">
        <w:t>New Zealand will continue to monitor the regime, learn lessons from reporting entities, and make changes, if necessary, as the regime matures. From 27 October 2024, climate reporting entities</w:t>
      </w:r>
      <w:r w:rsidRPr="00657D21" w:rsidDel="00210579">
        <w:t xml:space="preserve"> </w:t>
      </w:r>
      <w:r w:rsidRPr="00657D21">
        <w:t>will also have to obtain independent assurance for sections of the disclosures that relate to the disclosure of GHG</w:t>
      </w:r>
      <w:r w:rsidRPr="00657D21" w:rsidDel="00D3292A">
        <w:t xml:space="preserve"> </w:t>
      </w:r>
      <w:r w:rsidRPr="00657D21">
        <w:t>emissions.</w:t>
      </w:r>
    </w:p>
    <w:p w14:paraId="1D2E3BE2" w14:textId="77777777" w:rsidR="00652773" w:rsidRPr="00657D21" w:rsidRDefault="00652773" w:rsidP="00652773">
      <w:pPr>
        <w:pStyle w:val="Heading2"/>
        <w:numPr>
          <w:ilvl w:val="0"/>
          <w:numId w:val="81"/>
        </w:numPr>
        <w:tabs>
          <w:tab w:val="clear" w:pos="1134"/>
          <w:tab w:val="num" w:pos="1276"/>
        </w:tabs>
      </w:pPr>
      <w:bookmarkStart w:id="324" w:name="_Toc169616387"/>
      <w:bookmarkStart w:id="325" w:name="_Toc169620093"/>
      <w:bookmarkStart w:id="326" w:name="_Toc172794009"/>
      <w:bookmarkStart w:id="327" w:name="_Toc184825506"/>
      <w:r w:rsidRPr="00657D21">
        <w:t>Energy</w:t>
      </w:r>
      <w:bookmarkEnd w:id="324"/>
      <w:bookmarkEnd w:id="325"/>
      <w:bookmarkEnd w:id="326"/>
      <w:bookmarkEnd w:id="327"/>
    </w:p>
    <w:p w14:paraId="11BBFEB5" w14:textId="77777777" w:rsidR="00652773" w:rsidRPr="00657D21" w:rsidRDefault="00652773" w:rsidP="00784F5F">
      <w:pPr>
        <w:pStyle w:val="Heading3"/>
        <w:numPr>
          <w:ilvl w:val="0"/>
          <w:numId w:val="84"/>
        </w:numPr>
        <w:tabs>
          <w:tab w:val="clear" w:pos="1134"/>
          <w:tab w:val="num" w:pos="1276"/>
        </w:tabs>
      </w:pPr>
      <w:bookmarkStart w:id="328" w:name="_Toc169616388"/>
      <w:bookmarkStart w:id="329" w:name="_Toc169620094"/>
      <w:bookmarkStart w:id="330" w:name="_Toc172794010"/>
      <w:r w:rsidRPr="00657D21">
        <w:t>Energy strate</w:t>
      </w:r>
      <w:bookmarkEnd w:id="328"/>
      <w:bookmarkEnd w:id="329"/>
      <w:bookmarkEnd w:id="330"/>
      <w:r w:rsidRPr="00657D21">
        <w:t>gies</w:t>
      </w:r>
    </w:p>
    <w:p w14:paraId="3F70A55C" w14:textId="4E6E6F6F" w:rsidR="00652773" w:rsidRPr="00657D21" w:rsidRDefault="00652773" w:rsidP="00284A56">
      <w:pPr>
        <w:pStyle w:val="Heading4"/>
        <w:numPr>
          <w:ilvl w:val="4"/>
          <w:numId w:val="171"/>
        </w:numPr>
        <w:tabs>
          <w:tab w:val="clear" w:pos="1134"/>
          <w:tab w:val="left" w:pos="1276"/>
        </w:tabs>
      </w:pPr>
      <w:bookmarkStart w:id="331" w:name="_Toc172794012"/>
      <w:bookmarkStart w:id="332" w:name="_Toc169616389"/>
      <w:bookmarkStart w:id="333" w:name="_Toc169620095"/>
      <w:r w:rsidRPr="00657D21">
        <w:t>Electrify NZ</w:t>
      </w:r>
      <w:bookmarkEnd w:id="331"/>
    </w:p>
    <w:p w14:paraId="5F8492D6" w14:textId="77777777" w:rsidR="00652773" w:rsidRPr="00657D21" w:rsidRDefault="00652773" w:rsidP="00652773">
      <w:pPr>
        <w:pStyle w:val="BodyText"/>
      </w:pPr>
      <w:r w:rsidRPr="00657D21">
        <w:t xml:space="preserve">The Government has committed to doubling renewable energy by 2050. Electrify NZ is the Government’s work programme to support private investment in electricity generation and networks that will enable New Zealand to achieve this goal. </w:t>
      </w:r>
    </w:p>
    <w:p w14:paraId="7C020277" w14:textId="77777777" w:rsidR="00652773" w:rsidRPr="00657D21" w:rsidRDefault="00652773" w:rsidP="00652773">
      <w:pPr>
        <w:pStyle w:val="Bullet"/>
        <w:numPr>
          <w:ilvl w:val="0"/>
          <w:numId w:val="0"/>
        </w:numPr>
        <w:ind w:left="397" w:hanging="397"/>
      </w:pPr>
      <w:r w:rsidRPr="00657D21">
        <w:t>Electrify NZ includes the following initiatives.</w:t>
      </w:r>
    </w:p>
    <w:p w14:paraId="7425908E" w14:textId="77777777" w:rsidR="00652773" w:rsidRPr="00657D21" w:rsidRDefault="00652773" w:rsidP="00652773">
      <w:pPr>
        <w:pStyle w:val="Bullet"/>
        <w:numPr>
          <w:ilvl w:val="0"/>
          <w:numId w:val="30"/>
        </w:numPr>
        <w:tabs>
          <w:tab w:val="clear" w:pos="397"/>
        </w:tabs>
      </w:pPr>
      <w:r w:rsidRPr="00657D21">
        <w:t>Progressing the Fast-track Approvals Bill: this will create the one-stop-shop regime to provide a pathway for major renewable energy and transmission projects to be consented sooner and more efficiently.</w:t>
      </w:r>
    </w:p>
    <w:p w14:paraId="60278534" w14:textId="77777777" w:rsidR="00652773" w:rsidRPr="00657D21" w:rsidRDefault="00652773" w:rsidP="75ADBAC8">
      <w:pPr>
        <w:pStyle w:val="Bullet"/>
        <w:tabs>
          <w:tab w:val="clear" w:pos="397"/>
        </w:tabs>
      </w:pPr>
      <w:r w:rsidRPr="00657D21">
        <w:t>Amending the Resource Management Act 1991: to reduce consent and re-consenting processing time for most renewable energy consents to be within 1 year, as well as extending the default lapse periods for renewable energy, transmission and local electricity lines consents from 5 years to 10 years.</w:t>
      </w:r>
      <w:r w:rsidRPr="00657D21">
        <w:rPr>
          <w:rStyle w:val="FootnoteReference"/>
        </w:rPr>
        <w:footnoteReference w:id="151"/>
      </w:r>
      <w:r w:rsidRPr="00657D21">
        <w:t xml:space="preserve"> The Government will also increase the default consent duration to 35 years for most renewable energy consents.</w:t>
      </w:r>
    </w:p>
    <w:p w14:paraId="672E1233" w14:textId="0D435BAA" w:rsidR="00652773" w:rsidRPr="00657D21" w:rsidRDefault="002E3CBE" w:rsidP="75ADBAC8">
      <w:pPr>
        <w:pStyle w:val="Bullet"/>
        <w:tabs>
          <w:tab w:val="clear" w:pos="397"/>
        </w:tabs>
      </w:pPr>
      <w:r>
        <w:rPr>
          <w:spacing w:val="-2"/>
        </w:rPr>
        <w:t>N</w:t>
      </w:r>
      <w:r w:rsidR="00652773" w:rsidRPr="00657D21">
        <w:rPr>
          <w:spacing w:val="-2"/>
        </w:rPr>
        <w:t>ational direction for renewable energy and transmission</w:t>
      </w:r>
      <w:r w:rsidR="00652773" w:rsidRPr="00657D21">
        <w:t>: the Government will advance amendments to the National Policy Statements for Renewable Electricity Generation and Electricity Transmission so they are far more directive and enabling.</w:t>
      </w:r>
      <w:r w:rsidR="00652773" w:rsidRPr="00657D21">
        <w:rPr>
          <w:rStyle w:val="FootnoteReference"/>
        </w:rPr>
        <w:footnoteReference w:id="152"/>
      </w:r>
      <w:r w:rsidR="00652773" w:rsidRPr="00657D21">
        <w:t xml:space="preserve"> </w:t>
      </w:r>
    </w:p>
    <w:p w14:paraId="6D7D2776" w14:textId="77777777" w:rsidR="00652773" w:rsidRPr="00657D21" w:rsidRDefault="00652773" w:rsidP="00652773">
      <w:pPr>
        <w:pStyle w:val="Bullet"/>
        <w:numPr>
          <w:ilvl w:val="0"/>
          <w:numId w:val="30"/>
        </w:numPr>
        <w:tabs>
          <w:tab w:val="clear" w:pos="397"/>
        </w:tabs>
      </w:pPr>
      <w:r w:rsidRPr="00657D21">
        <w:t xml:space="preserve">Offshore renewable energy: developing a regulatory regime for offshore renewable energy to be in place by mid-2025 to unleash investment in offshore renewable energy. </w:t>
      </w:r>
    </w:p>
    <w:p w14:paraId="755FBA26" w14:textId="77777777" w:rsidR="00652773" w:rsidRPr="00657D21" w:rsidRDefault="00652773" w:rsidP="00652773">
      <w:pPr>
        <w:pStyle w:val="Bullet"/>
        <w:numPr>
          <w:ilvl w:val="0"/>
          <w:numId w:val="30"/>
        </w:numPr>
      </w:pPr>
      <w:r w:rsidRPr="00657D21">
        <w:t xml:space="preserve">Further Resource Management Act 1991 national direction: to help enable a range of energy and infrastructure projects, including a new national policy statement for infrastructure and subsequent standards for different types of energy generation and infrastructure. A range of work is under way by the Commerce Commission and the Electricity Authority to update a variety of regulatory settings so New Zealand’s system can cope with the economy-wide shift to electrification, including supporting the Government’s goal to supercharge electric vehicle (EV) infrastructure. </w:t>
      </w:r>
    </w:p>
    <w:p w14:paraId="74752D60" w14:textId="16F20333" w:rsidR="00652773" w:rsidRPr="00657D21" w:rsidRDefault="00652773" w:rsidP="00BC2A24">
      <w:pPr>
        <w:pStyle w:val="Heading4"/>
        <w:numPr>
          <w:ilvl w:val="4"/>
          <w:numId w:val="171"/>
        </w:numPr>
        <w:tabs>
          <w:tab w:val="clear" w:pos="1134"/>
          <w:tab w:val="left" w:pos="1276"/>
        </w:tabs>
      </w:pPr>
      <w:bookmarkStart w:id="334" w:name="_Toc169616392"/>
      <w:bookmarkStart w:id="335" w:name="_Toc169620098"/>
      <w:bookmarkStart w:id="336" w:name="_Toc172794013"/>
      <w:bookmarkEnd w:id="332"/>
      <w:bookmarkEnd w:id="333"/>
      <w:r w:rsidRPr="00657D21">
        <w:t xml:space="preserve">Hydrogen </w:t>
      </w:r>
      <w:bookmarkEnd w:id="334"/>
      <w:bookmarkEnd w:id="335"/>
      <w:bookmarkEnd w:id="336"/>
      <w:r w:rsidR="00406992">
        <w:t>Action Plan</w:t>
      </w:r>
    </w:p>
    <w:p w14:paraId="6520321E" w14:textId="301EDD1B" w:rsidR="00406992" w:rsidRPr="0044676F" w:rsidRDefault="00406992" w:rsidP="00652773">
      <w:pPr>
        <w:pStyle w:val="BodyText"/>
      </w:pPr>
      <w:r w:rsidRPr="0044676F">
        <w:t xml:space="preserve">Hydrogen is being trialled and demonstrated as a low-emissions alternative in heavy industry, heavy and specialty transport, production of green fuels and power generation. </w:t>
      </w:r>
    </w:p>
    <w:p w14:paraId="03FBE123" w14:textId="0629CC7C" w:rsidR="00406992" w:rsidRDefault="00F8497E" w:rsidP="00652773">
      <w:pPr>
        <w:pStyle w:val="BodyText"/>
        <w:rPr>
          <w:rFonts w:eastAsia="Calibri"/>
        </w:rPr>
      </w:pPr>
      <w:r>
        <w:rPr>
          <w:rFonts w:eastAsia="Calibri"/>
        </w:rPr>
        <w:t>The Government</w:t>
      </w:r>
      <w:r w:rsidRPr="00F8497E">
        <w:rPr>
          <w:rFonts w:eastAsia="Calibri"/>
        </w:rPr>
        <w:t xml:space="preserve"> aim</w:t>
      </w:r>
      <w:r>
        <w:rPr>
          <w:rFonts w:eastAsia="Calibri"/>
        </w:rPr>
        <w:t>s</w:t>
      </w:r>
      <w:r w:rsidRPr="00F8497E">
        <w:rPr>
          <w:rFonts w:eastAsia="Calibri"/>
        </w:rPr>
        <w:t xml:space="preserve"> to support private investment in hydrogen.</w:t>
      </w:r>
      <w:r>
        <w:rPr>
          <w:rFonts w:eastAsia="Calibri"/>
        </w:rPr>
        <w:t xml:space="preserve"> </w:t>
      </w:r>
      <w:r w:rsidR="00406992" w:rsidRPr="00406992">
        <w:rPr>
          <w:rFonts w:eastAsia="Calibri"/>
        </w:rPr>
        <w:t xml:space="preserve">The Hydrogen Action Plan focuses on: </w:t>
      </w:r>
    </w:p>
    <w:p w14:paraId="31BEFFD1" w14:textId="6FA5F480" w:rsidR="00406992" w:rsidRDefault="00406992" w:rsidP="0044676F">
      <w:pPr>
        <w:pStyle w:val="Bullet"/>
        <w:numPr>
          <w:ilvl w:val="0"/>
          <w:numId w:val="30"/>
        </w:numPr>
        <w:rPr>
          <w:rFonts w:eastAsia="Calibri"/>
        </w:rPr>
      </w:pPr>
      <w:r w:rsidRPr="00406992">
        <w:rPr>
          <w:rFonts w:eastAsia="Calibri"/>
        </w:rPr>
        <w:t xml:space="preserve">creating an enabling regulatory environment </w:t>
      </w:r>
    </w:p>
    <w:p w14:paraId="676393C4" w14:textId="77777777" w:rsidR="00C01566" w:rsidRDefault="00406992" w:rsidP="00F67830">
      <w:pPr>
        <w:pStyle w:val="Bullet"/>
        <w:numPr>
          <w:ilvl w:val="0"/>
          <w:numId w:val="30"/>
        </w:numPr>
        <w:rPr>
          <w:rFonts w:eastAsia="Calibri"/>
        </w:rPr>
      </w:pPr>
      <w:r w:rsidRPr="00406992">
        <w:rPr>
          <w:rFonts w:eastAsia="Calibri"/>
        </w:rPr>
        <w:t>reducing consenting barriers for hydrogen projects</w:t>
      </w:r>
    </w:p>
    <w:p w14:paraId="35B8127F" w14:textId="16D7945E" w:rsidR="00406992" w:rsidRDefault="00406992" w:rsidP="0044676F">
      <w:pPr>
        <w:pStyle w:val="Bullet"/>
        <w:numPr>
          <w:ilvl w:val="0"/>
          <w:numId w:val="30"/>
        </w:numPr>
        <w:rPr>
          <w:rFonts w:eastAsia="Calibri"/>
        </w:rPr>
      </w:pPr>
      <w:r w:rsidRPr="00406992">
        <w:rPr>
          <w:rFonts w:eastAsia="Calibri"/>
        </w:rPr>
        <w:t xml:space="preserve">promoting a cost-effective and market-led transition to a low-emissions economy </w:t>
      </w:r>
    </w:p>
    <w:p w14:paraId="4E5AB987" w14:textId="63360FCF" w:rsidR="00652773" w:rsidRPr="00657D21" w:rsidRDefault="00406992" w:rsidP="0044676F">
      <w:pPr>
        <w:pStyle w:val="Bullet"/>
        <w:numPr>
          <w:ilvl w:val="0"/>
          <w:numId w:val="30"/>
        </w:numPr>
        <w:rPr>
          <w:rFonts w:eastAsia="Calibri"/>
        </w:rPr>
      </w:pPr>
      <w:r w:rsidRPr="00406992">
        <w:rPr>
          <w:rFonts w:eastAsia="Calibri"/>
        </w:rPr>
        <w:t>supporting access to international investment and markets</w:t>
      </w:r>
      <w:r w:rsidR="00C01566">
        <w:rPr>
          <w:rFonts w:eastAsia="Calibri"/>
        </w:rPr>
        <w:t>.</w:t>
      </w:r>
    </w:p>
    <w:p w14:paraId="6981CC2A" w14:textId="63D8C69D" w:rsidR="00652773" w:rsidRPr="00657D21" w:rsidRDefault="00652773" w:rsidP="00BC2A24">
      <w:pPr>
        <w:pStyle w:val="Heading4"/>
        <w:numPr>
          <w:ilvl w:val="4"/>
          <w:numId w:val="171"/>
        </w:numPr>
        <w:tabs>
          <w:tab w:val="clear" w:pos="1134"/>
          <w:tab w:val="left" w:pos="1276"/>
        </w:tabs>
      </w:pPr>
      <w:r>
        <w:t>C</w:t>
      </w:r>
      <w:r w:rsidRPr="00657D21">
        <w:t>arbon capture</w:t>
      </w:r>
      <w:r w:rsidR="00482F0A">
        <w:t>,</w:t>
      </w:r>
      <w:r w:rsidRPr="00657D21">
        <w:t xml:space="preserve"> utilisation and storage </w:t>
      </w:r>
    </w:p>
    <w:p w14:paraId="3C2F0DCA" w14:textId="6AF7014B" w:rsidR="00D65B53" w:rsidRDefault="00652773" w:rsidP="00652773">
      <w:pPr>
        <w:pStyle w:val="BodyText"/>
      </w:pPr>
      <w:r w:rsidRPr="00657D21">
        <w:t>The Government has agreed to create an enabling regime for carbon capture</w:t>
      </w:r>
      <w:r w:rsidR="00482F0A">
        <w:t>,</w:t>
      </w:r>
      <w:r w:rsidRPr="00657D21">
        <w:t xml:space="preserve"> utilisation and storage (CCUS). </w:t>
      </w:r>
      <w:r w:rsidR="00F438F9">
        <w:t>This</w:t>
      </w:r>
      <w:r w:rsidRPr="00657D21">
        <w:t xml:space="preserve"> will allow New Zealand’s industries to access CCUS technology on a level playing field with other emissions reduction and removal tools</w:t>
      </w:r>
      <w:r w:rsidR="00712A75">
        <w:t xml:space="preserve">. </w:t>
      </w:r>
    </w:p>
    <w:p w14:paraId="49AFFE73" w14:textId="6801402A" w:rsidR="00AD4FF9" w:rsidRDefault="00AD4FF9" w:rsidP="00652773">
      <w:pPr>
        <w:pStyle w:val="BodyText"/>
      </w:pPr>
      <w:r w:rsidRPr="00D65B53">
        <w:t>The regime will include a financial incentive for CCUS operators through the NZ ETS. It will draw on international examples, which typically include assessment and monitoring, and a clear liability framework. Through 2025, the Government will progress legislation to establish the CCUS regime.</w:t>
      </w:r>
    </w:p>
    <w:p w14:paraId="217914CD" w14:textId="77777777" w:rsidR="00652773" w:rsidRPr="00657D21" w:rsidRDefault="00652773" w:rsidP="00784F5F">
      <w:pPr>
        <w:pStyle w:val="Heading3"/>
        <w:numPr>
          <w:ilvl w:val="0"/>
          <w:numId w:val="84"/>
        </w:numPr>
        <w:tabs>
          <w:tab w:val="clear" w:pos="1134"/>
          <w:tab w:val="num" w:pos="1276"/>
        </w:tabs>
      </w:pPr>
      <w:bookmarkStart w:id="337" w:name="_Toc169616393"/>
      <w:bookmarkStart w:id="338" w:name="_Toc169620099"/>
      <w:bookmarkStart w:id="339" w:name="_Toc172794014"/>
      <w:r w:rsidRPr="00657D21">
        <w:t>Energy efficiency</w:t>
      </w:r>
      <w:bookmarkEnd w:id="337"/>
      <w:bookmarkEnd w:id="338"/>
      <w:bookmarkEnd w:id="339"/>
    </w:p>
    <w:p w14:paraId="3D1FC813" w14:textId="77777777" w:rsidR="00652773" w:rsidRPr="00657D21" w:rsidRDefault="00652773" w:rsidP="00784F5F">
      <w:pPr>
        <w:pStyle w:val="Heading4"/>
        <w:numPr>
          <w:ilvl w:val="0"/>
          <w:numId w:val="86"/>
        </w:numPr>
        <w:tabs>
          <w:tab w:val="clear" w:pos="1134"/>
          <w:tab w:val="num" w:pos="1276"/>
        </w:tabs>
      </w:pPr>
      <w:bookmarkStart w:id="340" w:name="_Toc169616394"/>
      <w:bookmarkStart w:id="341" w:name="_Toc169620100"/>
      <w:r w:rsidRPr="00657D21">
        <w:t>Equipment Energy Efficiency programme</w:t>
      </w:r>
      <w:bookmarkEnd w:id="340"/>
      <w:bookmarkEnd w:id="341"/>
    </w:p>
    <w:p w14:paraId="074B654F" w14:textId="77777777" w:rsidR="00652773" w:rsidRPr="00657D21" w:rsidRDefault="00652773" w:rsidP="00652773">
      <w:pPr>
        <w:pStyle w:val="BodyText"/>
      </w:pPr>
      <w:r w:rsidRPr="00657D21">
        <w:t>New Zealand and Australia’s trans-Tasman Equipment Energy Efficiency (E3) Programme develops standards and measures for energy efficiency in both countries. The E3 Programme aims to increase the energy efficiency of new appliances and equipment sold in Australia and New Zealand, thereby reducing energy consumption and associated greenhouse gas emissions.</w:t>
      </w:r>
    </w:p>
    <w:p w14:paraId="727A4A75" w14:textId="77777777" w:rsidR="00652773" w:rsidRPr="00657D21" w:rsidRDefault="00652773" w:rsidP="00652773">
      <w:pPr>
        <w:pStyle w:val="BodyText"/>
      </w:pPr>
      <w:r w:rsidRPr="00657D21">
        <w:t xml:space="preserve">Inefficient appliances are kept out of the country through administering and developing Minimum Energy Performance Standards and Mandatory Energy Performance Labelling requirements. Under the Minimum Energy Performance Standards regulations, new products entering the market must meet or exceed minimum energy performance criteria before they can be sold in New Zealand. Mandatory Energy Performance Labelling regulations require an energy rating label to be displayed to consumers at the point of sale in retail outlets and also allow consumers to make more informed purchasing decisions. </w:t>
      </w:r>
    </w:p>
    <w:p w14:paraId="588764A3" w14:textId="77777777" w:rsidR="00652773" w:rsidRPr="00657D21" w:rsidRDefault="00652773" w:rsidP="00784F5F">
      <w:pPr>
        <w:pStyle w:val="Heading4"/>
        <w:numPr>
          <w:ilvl w:val="0"/>
          <w:numId w:val="86"/>
        </w:numPr>
        <w:tabs>
          <w:tab w:val="clear" w:pos="1134"/>
          <w:tab w:val="left" w:pos="1276"/>
        </w:tabs>
      </w:pPr>
      <w:r w:rsidRPr="00657D21">
        <w:t xml:space="preserve">Publicly Available Specifications </w:t>
      </w:r>
    </w:p>
    <w:p w14:paraId="5D2C9E0D" w14:textId="77777777" w:rsidR="00652773" w:rsidRPr="00657D21" w:rsidRDefault="00652773" w:rsidP="00652773">
      <w:pPr>
        <w:pStyle w:val="BodyText"/>
        <w:rPr>
          <w:rFonts w:eastAsia="Times New Roman"/>
        </w:rPr>
      </w:pPr>
      <w:r w:rsidRPr="00657D21">
        <w:rPr>
          <w:rFonts w:asciiTheme="minorHAnsi" w:hAnsiTheme="minorHAnsi"/>
        </w:rPr>
        <w:t xml:space="preserve">The Energy Efficiency and Conservation Authority (EECA) has worked with Standards New Zealand since 2020 to develop five Publicly Available Specifications. </w:t>
      </w:r>
      <w:r w:rsidRPr="00657D21">
        <w:rPr>
          <w:rFonts w:eastAsia="Calibri" w:cs="Calibri"/>
        </w:rPr>
        <w:t xml:space="preserve">These are voluntary standards that provide best practice specifications on non-regulated products to support the shift towards low-carbon technologies. </w:t>
      </w:r>
      <w:r w:rsidRPr="00657D21">
        <w:rPr>
          <w:rFonts w:asciiTheme="minorHAnsi" w:hAnsiTheme="minorHAnsi"/>
        </w:rPr>
        <w:t>They cover residential and commercial EV chargers, high-temperature heat pumps, biomass boilers and fossil fuel boilers. Publicly Available Specifications for smart homes were published in September 2022, introducing the concept of residential demand response and demand flexibility systems to New Zealand households.</w:t>
      </w:r>
    </w:p>
    <w:p w14:paraId="13B83496" w14:textId="77777777" w:rsidR="00652773" w:rsidRPr="00657D21" w:rsidRDefault="00652773" w:rsidP="00784F5F">
      <w:pPr>
        <w:pStyle w:val="Heading4"/>
        <w:numPr>
          <w:ilvl w:val="0"/>
          <w:numId w:val="86"/>
        </w:numPr>
        <w:tabs>
          <w:tab w:val="clear" w:pos="1134"/>
          <w:tab w:val="left" w:pos="1276"/>
        </w:tabs>
      </w:pPr>
      <w:bookmarkStart w:id="342" w:name="_Toc169616405"/>
      <w:bookmarkStart w:id="343" w:name="_Toc169620111"/>
      <w:bookmarkStart w:id="344" w:name="_Toc172794022"/>
      <w:r w:rsidRPr="00657D21">
        <w:t>Gen Less</w:t>
      </w:r>
      <w:bookmarkEnd w:id="342"/>
      <w:bookmarkEnd w:id="343"/>
      <w:bookmarkEnd w:id="344"/>
    </w:p>
    <w:p w14:paraId="1CC62C7F" w14:textId="77777777" w:rsidR="00652773" w:rsidRPr="00657D21" w:rsidRDefault="00652773" w:rsidP="00652773">
      <w:pPr>
        <w:pStyle w:val="BodyText"/>
        <w:spacing w:before="100" w:after="100"/>
      </w:pPr>
      <w:r w:rsidRPr="00657D21">
        <w:t xml:space="preserve">The Gen Less platform was launched in October 2019 to help educate people and businesses about their energy choices and support the Government’s wider move towards a net zero carbon New Zealand by 2050. The Gen Less website, four social media channels and direct mailing lists provide information about how to reduce energy-related emissions at individual, household and business levels. </w:t>
      </w:r>
    </w:p>
    <w:p w14:paraId="79A5BAFB" w14:textId="77777777" w:rsidR="00652773" w:rsidRPr="00657D21" w:rsidRDefault="00652773" w:rsidP="00652773">
      <w:pPr>
        <w:pStyle w:val="BodyText"/>
        <w:spacing w:before="100" w:after="100"/>
        <w:rPr>
          <w:rFonts w:eastAsia="Calibri" w:cs="Calibri"/>
        </w:rPr>
      </w:pPr>
      <w:r w:rsidRPr="00657D21">
        <w:rPr>
          <w:rFonts w:eastAsia="Calibri" w:cs="Calibri"/>
        </w:rPr>
        <w:t xml:space="preserve">Activity is focused on encouraging New Zealanders to make conscious decisions about energy use, while guiding people to the website and other channels where they can get information relevant to their circumstances. </w:t>
      </w:r>
    </w:p>
    <w:p w14:paraId="66032DE3" w14:textId="77777777" w:rsidR="00652773" w:rsidRPr="00657D21" w:rsidRDefault="00652773" w:rsidP="00652773">
      <w:pPr>
        <w:pStyle w:val="BodyText"/>
        <w:spacing w:before="100" w:after="100"/>
        <w:rPr>
          <w:rFonts w:eastAsia="Calibri" w:cs="Calibri"/>
        </w:rPr>
      </w:pPr>
      <w:r w:rsidRPr="00657D21">
        <w:rPr>
          <w:rFonts w:eastAsia="Calibri" w:cs="Calibri"/>
        </w:rPr>
        <w:t>In the past five years, EECA has run campaigns under the Gen Less brand targeting emissions reduction in small- to medium-sized businesses, transport behaviours, increasing consideration of EVs and making energy-efficient household decisions.</w:t>
      </w:r>
    </w:p>
    <w:p w14:paraId="23043D4D" w14:textId="77777777" w:rsidR="00652773" w:rsidRPr="00652773" w:rsidRDefault="00652773" w:rsidP="00784F5F">
      <w:pPr>
        <w:pStyle w:val="Heading4"/>
        <w:numPr>
          <w:ilvl w:val="0"/>
          <w:numId w:val="86"/>
        </w:numPr>
        <w:tabs>
          <w:tab w:val="clear" w:pos="1134"/>
          <w:tab w:val="left" w:pos="1276"/>
        </w:tabs>
        <w:rPr>
          <w:spacing w:val="-2"/>
        </w:rPr>
      </w:pPr>
      <w:bookmarkStart w:id="345" w:name="_Toc169616406"/>
      <w:bookmarkStart w:id="346" w:name="_Toc169620112"/>
      <w:bookmarkStart w:id="347" w:name="_Toc172794023"/>
      <w:r w:rsidRPr="00652773">
        <w:rPr>
          <w:spacing w:val="-2"/>
        </w:rPr>
        <w:t>Support for Energy Education in Communities Programme</w:t>
      </w:r>
      <w:bookmarkEnd w:id="345"/>
      <w:bookmarkEnd w:id="346"/>
      <w:bookmarkEnd w:id="347"/>
    </w:p>
    <w:p w14:paraId="74B072A9" w14:textId="77777777" w:rsidR="00652773" w:rsidRPr="00657D21" w:rsidRDefault="00652773" w:rsidP="00652773">
      <w:pPr>
        <w:pStyle w:val="BodyText"/>
        <w:spacing w:before="100" w:after="100"/>
        <w:rPr>
          <w:rFonts w:eastAsia="Calibri"/>
        </w:rPr>
      </w:pPr>
      <w:r w:rsidRPr="00657D21">
        <w:rPr>
          <w:rFonts w:eastAsia="Calibri"/>
        </w:rPr>
        <w:t>The Support for Energy Education in Communities Programme</w:t>
      </w:r>
      <w:r w:rsidRPr="00657D21">
        <w:rPr>
          <w:rStyle w:val="FootnoteReference"/>
          <w:rFonts w:eastAsia="Calibri"/>
        </w:rPr>
        <w:footnoteReference w:id="153"/>
      </w:r>
      <w:r w:rsidRPr="00657D21">
        <w:rPr>
          <w:rFonts w:eastAsia="Calibri"/>
        </w:rPr>
        <w:t xml:space="preserve"> complements other initiatives across government, the community and private sector that focus on making homes warmer and more energy efficient. </w:t>
      </w:r>
    </w:p>
    <w:p w14:paraId="302BA65F" w14:textId="77777777" w:rsidR="00652773" w:rsidRPr="00657D21" w:rsidRDefault="00652773" w:rsidP="00652773">
      <w:pPr>
        <w:pStyle w:val="BodyText"/>
        <w:spacing w:before="100" w:after="100"/>
        <w:rPr>
          <w:rFonts w:eastAsia="Calibri"/>
        </w:rPr>
      </w:pPr>
      <w:r w:rsidRPr="00657D21">
        <w:t xml:space="preserve">The </w:t>
      </w:r>
      <w:r w:rsidRPr="00657D21">
        <w:rPr>
          <w:rFonts w:eastAsia="Calibri"/>
        </w:rPr>
        <w:t>Support for Energy Education in Communities</w:t>
      </w:r>
      <w:r w:rsidRPr="00657D21" w:rsidDel="00401B69">
        <w:t xml:space="preserve"> </w:t>
      </w:r>
      <w:r w:rsidRPr="00657D21">
        <w:t>Programme funds New Zealand organisations to deliver personalised, specialist advice and education to households in their communities. Organisations can also supply low-cost, energy-saving items, such as LED light bulbs, low-flow showerheads, heaters and devices to monitor temperature and humidity. Funding</w:t>
      </w:r>
      <w:r w:rsidRPr="00657D21">
        <w:rPr>
          <w:rFonts w:eastAsia="Calibri"/>
        </w:rPr>
        <w:t xml:space="preserve"> is available to eligible community-level groups, organisations or businesses, and is mainly allocated through a regular open process. The first funding round opened in December 2020. </w:t>
      </w:r>
    </w:p>
    <w:p w14:paraId="159A506C" w14:textId="77777777" w:rsidR="00652773" w:rsidRPr="00657D21" w:rsidRDefault="00652773" w:rsidP="00784F5F">
      <w:pPr>
        <w:pStyle w:val="Heading3"/>
        <w:numPr>
          <w:ilvl w:val="0"/>
          <w:numId w:val="84"/>
        </w:numPr>
        <w:tabs>
          <w:tab w:val="clear" w:pos="1134"/>
          <w:tab w:val="num" w:pos="1276"/>
        </w:tabs>
      </w:pPr>
      <w:r w:rsidRPr="00657D21">
        <w:t>Business decarbonisation programmes</w:t>
      </w:r>
    </w:p>
    <w:p w14:paraId="5C0C04C4" w14:textId="77777777" w:rsidR="00652773" w:rsidRPr="00657D21" w:rsidRDefault="00652773" w:rsidP="00652773">
      <w:pPr>
        <w:pStyle w:val="BodyText"/>
        <w:spacing w:before="100" w:after="100"/>
        <w:rPr>
          <w:rFonts w:asciiTheme="minorHAnsi" w:hAnsiTheme="minorHAnsi"/>
        </w:rPr>
      </w:pPr>
      <w:r w:rsidRPr="00657D21">
        <w:rPr>
          <w:rFonts w:asciiTheme="minorHAnsi" w:hAnsiTheme="minorHAnsi"/>
        </w:rPr>
        <w:t xml:space="preserve">The Government’s business decarbonisation programmes aim to help businesses meet emissions reduction targets, benefit from improved energy productivity and use low-emissions innovations and insights. Support is available for businesses to decarbonise process heat, including via energy audits and feasibility studies. </w:t>
      </w:r>
    </w:p>
    <w:p w14:paraId="541FC29F" w14:textId="77777777" w:rsidR="00652773" w:rsidRPr="00657D21" w:rsidRDefault="00652773" w:rsidP="00652773">
      <w:pPr>
        <w:pStyle w:val="BodyText"/>
        <w:spacing w:before="100" w:after="100"/>
      </w:pPr>
      <w:r w:rsidRPr="00657D21">
        <w:t>Energy audits find cost-effective opportunities for businesses to reduce energy costs and carbon emissions. Feasibility studies are co-funded up to 40 per cent to help build strong business cases for energy efficiency or renewable energy projects, giving confidence that the project will be a success.</w:t>
      </w:r>
    </w:p>
    <w:p w14:paraId="617A2B6C" w14:textId="77777777" w:rsidR="00652773" w:rsidRPr="00657D21" w:rsidRDefault="00652773" w:rsidP="00784F5F">
      <w:pPr>
        <w:pStyle w:val="Heading4"/>
        <w:numPr>
          <w:ilvl w:val="0"/>
          <w:numId w:val="87"/>
        </w:numPr>
        <w:tabs>
          <w:tab w:val="clear" w:pos="1134"/>
          <w:tab w:val="num" w:pos="1276"/>
        </w:tabs>
      </w:pPr>
      <w:bookmarkStart w:id="348" w:name="_Toc169616401"/>
      <w:bookmarkStart w:id="349" w:name="_Toc169620107"/>
      <w:bookmarkStart w:id="350" w:name="_Toc172794017"/>
      <w:r w:rsidRPr="00657D21">
        <w:t>Energy Transition Accelerator programme</w:t>
      </w:r>
      <w:bookmarkEnd w:id="348"/>
      <w:bookmarkEnd w:id="349"/>
      <w:bookmarkEnd w:id="350"/>
    </w:p>
    <w:p w14:paraId="26E0AA06" w14:textId="77777777" w:rsidR="00652773" w:rsidRPr="00657D21" w:rsidRDefault="00652773" w:rsidP="00652773">
      <w:pPr>
        <w:pStyle w:val="BodyText"/>
        <w:spacing w:before="100" w:after="100"/>
      </w:pPr>
      <w:bookmarkStart w:id="351" w:name="_Toc172794018"/>
      <w:r w:rsidRPr="00657D21">
        <w:t>The Energy Transition Accelerator programme offers up to 40 per cent co-funding</w:t>
      </w:r>
      <w:r w:rsidRPr="00657D21">
        <w:rPr>
          <w:i/>
        </w:rPr>
        <w:t>,</w:t>
      </w:r>
      <w:r w:rsidRPr="00657D21">
        <w:t xml:space="preserve"> up to $35,000, to help large energy users onto a low-emissions pathway. Under this programme, EECA works with large businesses and public sector organisations to help them develop a tailored and practical long-term decarbonisation roadmap for transitioning. This shows large energy users what the technically and economically feasible opportunities are, including innovative technologies, energy efficiency initiatives and fuel switching opportunities.</w:t>
      </w:r>
      <w:bookmarkEnd w:id="351"/>
    </w:p>
    <w:p w14:paraId="13E76F37" w14:textId="77777777" w:rsidR="00652773" w:rsidRPr="00657D21" w:rsidRDefault="00652773" w:rsidP="00784F5F">
      <w:pPr>
        <w:pStyle w:val="Heading4"/>
        <w:numPr>
          <w:ilvl w:val="0"/>
          <w:numId w:val="87"/>
        </w:numPr>
        <w:tabs>
          <w:tab w:val="clear" w:pos="1134"/>
          <w:tab w:val="num" w:pos="1276"/>
        </w:tabs>
      </w:pPr>
      <w:r w:rsidRPr="00657D21">
        <w:t xml:space="preserve">Regional Energy Transition Accelerator programme </w:t>
      </w:r>
    </w:p>
    <w:p w14:paraId="30A24BF3" w14:textId="77777777" w:rsidR="00652773" w:rsidRPr="00657D21" w:rsidRDefault="00652773" w:rsidP="00652773">
      <w:pPr>
        <w:pStyle w:val="BodyText"/>
        <w:rPr>
          <w:rFonts w:asciiTheme="minorHAnsi" w:hAnsiTheme="minorHAnsi"/>
        </w:rPr>
      </w:pPr>
      <w:r w:rsidRPr="00657D21">
        <w:rPr>
          <w:rFonts w:asciiTheme="minorHAnsi" w:hAnsiTheme="minorHAnsi"/>
        </w:rPr>
        <w:t>The Regional Energy Transition Accelerator programme aims to develop and share a well-informed and coordinated approach for regional decarbonisation.</w:t>
      </w:r>
    </w:p>
    <w:p w14:paraId="5D48813E" w14:textId="77777777" w:rsidR="00652773" w:rsidRPr="00657D21" w:rsidRDefault="00652773" w:rsidP="00652773">
      <w:pPr>
        <w:pStyle w:val="BodyText"/>
        <w:rPr>
          <w:rFonts w:asciiTheme="minorHAnsi" w:hAnsiTheme="minorHAnsi"/>
        </w:rPr>
      </w:pPr>
      <w:r w:rsidRPr="00657D21">
        <w:rPr>
          <w:rFonts w:asciiTheme="minorHAnsi" w:hAnsiTheme="minorHAnsi"/>
        </w:rPr>
        <w:t>The programme’s focus is on understanding localised opportunities and barriers faced by medium and large energy users when seeking to reduce emissions from process heat. This currently makes up over a quarter of New Zealand’s energy-related emissions.</w:t>
      </w:r>
    </w:p>
    <w:p w14:paraId="41930ACE" w14:textId="77777777" w:rsidR="00652773" w:rsidRPr="00657D21" w:rsidRDefault="00652773" w:rsidP="00784F5F">
      <w:pPr>
        <w:pStyle w:val="Heading4"/>
        <w:numPr>
          <w:ilvl w:val="0"/>
          <w:numId w:val="87"/>
        </w:numPr>
        <w:tabs>
          <w:tab w:val="clear" w:pos="1134"/>
          <w:tab w:val="num" w:pos="1276"/>
        </w:tabs>
      </w:pPr>
      <w:r w:rsidRPr="00657D21">
        <w:t>Technology Demonstration Fund</w:t>
      </w:r>
    </w:p>
    <w:p w14:paraId="41124E2A" w14:textId="77777777" w:rsidR="00652773" w:rsidRPr="00657D21" w:rsidRDefault="00652773" w:rsidP="00652773">
      <w:pPr>
        <w:pStyle w:val="BodyText"/>
      </w:pPr>
      <w:r w:rsidRPr="00657D21">
        <w:t>The Technology Demonstration Fund offers up to 50 per cent co-funding to support energy and carbon savings through the early adoption of proven technology or an innovative process-improvement opportunity. The fund aims to accelerate market uptake of energy-efficient, low</w:t>
      </w:r>
      <w:r>
        <w:noBreakHyphen/>
      </w:r>
      <w:r w:rsidRPr="00657D21">
        <w:t>carbon technologies. The project must improve energy efficiency and/or reduce carbon emissions. For example, high-temperature heat pump technologies supported by the fund were adopted to replace fossil fuels in the food processing sector and also as a heat source for large buildings. Recipients will share lessons learned with the business sector.</w:t>
      </w:r>
    </w:p>
    <w:p w14:paraId="764D661D" w14:textId="77777777" w:rsidR="00652773" w:rsidRPr="00657D21" w:rsidRDefault="00652773" w:rsidP="00784F5F">
      <w:pPr>
        <w:pStyle w:val="Heading4"/>
        <w:numPr>
          <w:ilvl w:val="0"/>
          <w:numId w:val="87"/>
        </w:numPr>
        <w:tabs>
          <w:tab w:val="clear" w:pos="1134"/>
          <w:tab w:val="num" w:pos="1276"/>
        </w:tabs>
      </w:pPr>
      <w:bookmarkStart w:id="352" w:name="_Toc169616403"/>
      <w:bookmarkStart w:id="353" w:name="_Toc169620109"/>
      <w:bookmarkStart w:id="354" w:name="_Toc172794020"/>
      <w:r w:rsidRPr="00657D21">
        <w:t>Sector Decarbonisation Programme</w:t>
      </w:r>
      <w:bookmarkEnd w:id="352"/>
      <w:bookmarkEnd w:id="353"/>
      <w:bookmarkEnd w:id="354"/>
    </w:p>
    <w:p w14:paraId="125363F8" w14:textId="77777777" w:rsidR="00652773" w:rsidRPr="00657D21" w:rsidRDefault="00652773" w:rsidP="00652773">
      <w:pPr>
        <w:pStyle w:val="BodyText"/>
      </w:pPr>
      <w:r w:rsidRPr="00657D21">
        <w:t xml:space="preserve">The Sector Decarbonisation Programme, administered by EECA, collaborates with sector associations and technical experts to connect New Zealand businesses with world-class innovation and best-practice guidance to decarbonise at a sector level. The programme also provides new businesses with best-practice knowledge when they enter the sector. Sector-wide decarbonisation pathways for businesses are provided for a range of sectors including commercial buildings, covered cropping, manufacturing, meat processing, on-farm dairy and plastics. </w:t>
      </w:r>
    </w:p>
    <w:p w14:paraId="242ED745" w14:textId="77777777" w:rsidR="00652773" w:rsidRPr="00657D21" w:rsidRDefault="00652773" w:rsidP="00784F5F">
      <w:pPr>
        <w:pStyle w:val="Heading3"/>
        <w:numPr>
          <w:ilvl w:val="0"/>
          <w:numId w:val="84"/>
        </w:numPr>
        <w:tabs>
          <w:tab w:val="clear" w:pos="1134"/>
          <w:tab w:val="num" w:pos="1276"/>
        </w:tabs>
      </w:pPr>
      <w:r w:rsidRPr="00657D21">
        <w:t>Other energy policies</w:t>
      </w:r>
    </w:p>
    <w:p w14:paraId="3405320E" w14:textId="77777777" w:rsidR="00652773" w:rsidRPr="00657D21" w:rsidRDefault="00652773" w:rsidP="00784F5F">
      <w:pPr>
        <w:pStyle w:val="Heading4"/>
        <w:numPr>
          <w:ilvl w:val="0"/>
          <w:numId w:val="88"/>
        </w:numPr>
        <w:tabs>
          <w:tab w:val="clear" w:pos="1134"/>
          <w:tab w:val="num" w:pos="1276"/>
        </w:tabs>
      </w:pPr>
      <w:bookmarkStart w:id="355" w:name="_Toc169616407"/>
      <w:bookmarkStart w:id="356" w:name="_Toc169620113"/>
      <w:bookmarkStart w:id="357" w:name="_Toc172794025"/>
      <w:r w:rsidRPr="00657D21">
        <w:t xml:space="preserve">Māori and Public Housing Renewable Energy Fund </w:t>
      </w:r>
    </w:p>
    <w:p w14:paraId="465E2192" w14:textId="77777777" w:rsidR="00652773" w:rsidRPr="00657D21" w:rsidRDefault="00652773" w:rsidP="00652773">
      <w:pPr>
        <w:pStyle w:val="BodyText"/>
        <w:spacing w:before="100"/>
        <w:rPr>
          <w:rFonts w:eastAsia="Calibri"/>
        </w:rPr>
      </w:pPr>
      <w:r w:rsidRPr="00657D21">
        <w:rPr>
          <w:rFonts w:eastAsia="Calibri"/>
        </w:rPr>
        <w:t xml:space="preserve">The Māori and Public Housing Renewable Energy Fund was established in 2020 to trial small-scale renewable energy technologies in Māori (indigenous) and public housing. Renewable </w:t>
      </w:r>
      <w:r w:rsidRPr="00657D21">
        <w:rPr>
          <w:rFonts w:eastAsia="Calibri"/>
          <w:spacing w:val="-2"/>
        </w:rPr>
        <w:t>energy solutions can lead to improved health outcomes for people in public and Māori housing</w:t>
      </w:r>
      <w:r w:rsidRPr="00657D21">
        <w:rPr>
          <w:rFonts w:eastAsia="Calibri"/>
        </w:rPr>
        <w:t xml:space="preserve">, lower their energy bills and encourage greater use of heating, leading to warmer and healthier homes. Additionally, the fund sought to trial new ways of generating energy and integrating it with existing electricity networks, while supporting New Zealand’s commitment to renewable energy generation and its climate change goals. </w:t>
      </w:r>
    </w:p>
    <w:p w14:paraId="243AB9C1" w14:textId="77777777" w:rsidR="00652773" w:rsidRPr="00657D21" w:rsidRDefault="00652773" w:rsidP="00784F5F">
      <w:pPr>
        <w:pStyle w:val="Heading4"/>
        <w:numPr>
          <w:ilvl w:val="0"/>
          <w:numId w:val="88"/>
        </w:numPr>
        <w:tabs>
          <w:tab w:val="clear" w:pos="1134"/>
          <w:tab w:val="left" w:pos="1276"/>
        </w:tabs>
      </w:pPr>
      <w:r w:rsidRPr="00657D21">
        <w:t>Community Renewable Energy Fund</w:t>
      </w:r>
    </w:p>
    <w:p w14:paraId="7BF4E12C" w14:textId="77777777" w:rsidR="00652773" w:rsidRPr="00657D21" w:rsidRDefault="00652773" w:rsidP="00652773">
      <w:pPr>
        <w:pStyle w:val="BodyText"/>
        <w:spacing w:before="100"/>
        <w:rPr>
          <w:rFonts w:eastAsia="Calibri"/>
        </w:rPr>
      </w:pPr>
      <w:r w:rsidRPr="00657D21">
        <w:rPr>
          <w:rFonts w:eastAsia="Calibri"/>
        </w:rPr>
        <w:t>The Community Renewable Energy Fund was established in 2022 to build energy resilience in communities and trial innovative ways to store and distribute locally generated electricity. The fund supports renewable energy projects that help communities access secure, renewable and more affordable energy.</w:t>
      </w:r>
    </w:p>
    <w:p w14:paraId="7C6F60CC" w14:textId="77777777" w:rsidR="00652773" w:rsidRPr="00657D21" w:rsidRDefault="00652773" w:rsidP="00652773">
      <w:pPr>
        <w:pStyle w:val="BodyText"/>
        <w:spacing w:before="100"/>
        <w:rPr>
          <w:rFonts w:eastAsia="Calibri"/>
        </w:rPr>
      </w:pPr>
      <w:r w:rsidRPr="00657D21">
        <w:rPr>
          <w:rFonts w:eastAsia="Calibri"/>
        </w:rPr>
        <w:t>Funded projects are providing valuable insights into the operational, economic, environmental and wellbeing impacts of introducing renewable energy systems. This information will help inform future projects on a larger scale, as well as the overall future of the New Zealand energy system.</w:t>
      </w:r>
    </w:p>
    <w:p w14:paraId="57E17036" w14:textId="77777777" w:rsidR="00652773" w:rsidRPr="00657D21" w:rsidRDefault="00652773" w:rsidP="00BC2A24">
      <w:pPr>
        <w:pStyle w:val="Heading4"/>
        <w:numPr>
          <w:ilvl w:val="0"/>
          <w:numId w:val="88"/>
        </w:numPr>
        <w:tabs>
          <w:tab w:val="clear" w:pos="1134"/>
          <w:tab w:val="left" w:pos="1276"/>
        </w:tabs>
        <w:ind w:left="1276" w:hanging="1276"/>
      </w:pPr>
      <w:r w:rsidRPr="00657D21">
        <w:t xml:space="preserve">National Direction for Greenhouse Gas Emissions from Industrial Process Heat </w:t>
      </w:r>
    </w:p>
    <w:p w14:paraId="7E9ABC6D" w14:textId="77777777" w:rsidR="00652773" w:rsidRPr="00657D21" w:rsidRDefault="00652773" w:rsidP="00652773">
      <w:pPr>
        <w:pStyle w:val="BodyText"/>
      </w:pPr>
      <w:r w:rsidRPr="00657D21">
        <w:t>The Resource Management (National Environmental Standards for Greenhouse Gas Emissions from Industrial Process Heat) Regulations 2023 and National Policy Statement for Greenhouse Gas Emissions from Industrial Process Heat 2023 both came into force in July 2023.</w:t>
      </w:r>
    </w:p>
    <w:p w14:paraId="113BA89F" w14:textId="77777777" w:rsidR="00652773" w:rsidRPr="00657D21" w:rsidRDefault="00652773" w:rsidP="00652773">
      <w:pPr>
        <w:pStyle w:val="BodyText"/>
      </w:pPr>
      <w:r w:rsidRPr="00657D21">
        <w:t>The National Environmental Standards and National Policy Statement support an amendment made to the Resource Management Act 1991 at the end of 2022 to require regional councils to consider the effects of greenhouse gas emissions when assessing resource consent applications for discharges to air. Industries using process heat must now also consider the greenhouse gas emissions from their operations when applying for a discharge to air consent.</w:t>
      </w:r>
    </w:p>
    <w:bookmarkEnd w:id="355"/>
    <w:bookmarkEnd w:id="356"/>
    <w:bookmarkEnd w:id="357"/>
    <w:p w14:paraId="38C09B87" w14:textId="77777777" w:rsidR="00652773" w:rsidRPr="00657D21" w:rsidRDefault="00652773" w:rsidP="00652773">
      <w:pPr>
        <w:pStyle w:val="BodyText"/>
      </w:pPr>
      <w:r w:rsidRPr="00657D21">
        <w:t>EECA has published guidance and information to help councils and industry with understanding the main requirements of the regulations, including how to prepare and assess emissions plans required as part of a discharge to air resource consent application.</w:t>
      </w:r>
    </w:p>
    <w:p w14:paraId="501B539F" w14:textId="77777777" w:rsidR="00652773" w:rsidRPr="00657D21" w:rsidRDefault="00652773" w:rsidP="00784F5F">
      <w:pPr>
        <w:pStyle w:val="Heading3"/>
        <w:numPr>
          <w:ilvl w:val="0"/>
          <w:numId w:val="84"/>
        </w:numPr>
        <w:tabs>
          <w:tab w:val="num" w:pos="1134"/>
        </w:tabs>
      </w:pPr>
      <w:bookmarkStart w:id="358" w:name="_Toc169616409"/>
      <w:bookmarkStart w:id="359" w:name="_Toc169620115"/>
      <w:bookmarkStart w:id="360" w:name="_Toc172794026"/>
      <w:r w:rsidRPr="00657D21">
        <w:t xml:space="preserve">Building and construction </w:t>
      </w:r>
      <w:bookmarkEnd w:id="358"/>
      <w:bookmarkEnd w:id="359"/>
      <w:bookmarkEnd w:id="360"/>
    </w:p>
    <w:p w14:paraId="4363E2D6" w14:textId="77777777" w:rsidR="00652773" w:rsidRPr="00657D21" w:rsidRDefault="00652773" w:rsidP="00784F5F">
      <w:pPr>
        <w:pStyle w:val="Heading4"/>
        <w:numPr>
          <w:ilvl w:val="0"/>
          <w:numId w:val="89"/>
        </w:numPr>
        <w:tabs>
          <w:tab w:val="num" w:pos="1134"/>
        </w:tabs>
      </w:pPr>
      <w:bookmarkStart w:id="361" w:name="_Toc169616410"/>
      <w:bookmarkStart w:id="362" w:name="_Toc169620116"/>
      <w:bookmarkStart w:id="363" w:name="_Toc172794027"/>
      <w:r w:rsidRPr="00657D21">
        <w:t>Improving energy efficiency and reducing embodied carbon</w:t>
      </w:r>
      <w:bookmarkEnd w:id="361"/>
      <w:bookmarkEnd w:id="362"/>
      <w:bookmarkEnd w:id="363"/>
    </w:p>
    <w:p w14:paraId="6A02110B" w14:textId="77777777" w:rsidR="00652773" w:rsidRPr="00657D21" w:rsidRDefault="00652773" w:rsidP="00652773">
      <w:pPr>
        <w:pStyle w:val="BodyText"/>
      </w:pPr>
      <w:r w:rsidRPr="00657D21">
        <w:t>New Zealand increased the minimum energy efficiency requirements for new buildings in 2023. The changes are expected to reduce the heating requirements in new homes by 40 per</w:t>
      </w:r>
      <w:r>
        <w:t> </w:t>
      </w:r>
      <w:r w:rsidRPr="00657D21">
        <w:t xml:space="preserve">cent and reduce the energy needed to heat and cool larger commercial buildings by 23 per cent, on average. </w:t>
      </w:r>
    </w:p>
    <w:p w14:paraId="6C54C303" w14:textId="747A5533" w:rsidR="00652773" w:rsidRPr="00657D21" w:rsidRDefault="00652773" w:rsidP="00652773">
      <w:pPr>
        <w:pStyle w:val="BodyText"/>
      </w:pPr>
      <w:r w:rsidRPr="00657D21">
        <w:t>The Ministry of Business, Innovation and Employment (MBIE) has supported the building and construction sector to reduce emissions from buildings by helping to improve data quality</w:t>
      </w:r>
      <w:r w:rsidR="00006940">
        <w:t>;</w:t>
      </w:r>
      <w:r w:rsidRPr="00657D21">
        <w:t xml:space="preserve"> providing tools, methods and guidance</w:t>
      </w:r>
      <w:r w:rsidR="00006940">
        <w:t>;</w:t>
      </w:r>
      <w:r w:rsidRPr="00657D21">
        <w:t xml:space="preserve"> and promoting low-emissions and climate resilient buildings. MBIE has developed two technical methodologies to enable the sector to measure embodied and operational carbon from new buildings in a consistent and credible way. MBIE</w:t>
      </w:r>
      <w:r>
        <w:t> </w:t>
      </w:r>
      <w:r w:rsidRPr="00657D21">
        <w:t xml:space="preserve">has also partnered with the building and construction sector to establish a national embodied carbon data repository. This will provide an authoritative source of data that makes it easier for building practitioners and the public to make choices to reduce </w:t>
      </w:r>
      <w:r w:rsidR="00CA7A7B">
        <w:t xml:space="preserve">the </w:t>
      </w:r>
      <w:r w:rsidRPr="00657D21">
        <w:t>embodied carbon of buildings.</w:t>
      </w:r>
    </w:p>
    <w:p w14:paraId="0ACA3923" w14:textId="77777777" w:rsidR="00652773" w:rsidRPr="00657D21" w:rsidRDefault="00652773" w:rsidP="00652773">
      <w:pPr>
        <w:pStyle w:val="BodyText"/>
      </w:pPr>
      <w:r w:rsidRPr="00657D21">
        <w:rPr>
          <w:spacing w:val="-2"/>
        </w:rPr>
        <w:t>MBIE is exploring further opportunities to support the sector to take voluntary action to reduce</w:t>
      </w:r>
      <w:r w:rsidRPr="00657D21">
        <w:t xml:space="preserve"> emissions. This includes opportunities to make it easier to retrofit buildings to improve their energy efficiency and provide information, data and tools to promote low-carbon buildings. </w:t>
      </w:r>
    </w:p>
    <w:p w14:paraId="0AFEAEB0" w14:textId="77777777" w:rsidR="00652773" w:rsidRPr="00657D21" w:rsidRDefault="00652773" w:rsidP="00784F5F">
      <w:pPr>
        <w:pStyle w:val="Heading4"/>
        <w:numPr>
          <w:ilvl w:val="0"/>
          <w:numId w:val="89"/>
        </w:numPr>
        <w:tabs>
          <w:tab w:val="clear" w:pos="1134"/>
          <w:tab w:val="num" w:pos="1276"/>
        </w:tabs>
      </w:pPr>
      <w:bookmarkStart w:id="364" w:name="_Toc169616411"/>
      <w:bookmarkStart w:id="365" w:name="_Toc169620117"/>
      <w:bookmarkStart w:id="366" w:name="_Toc172794028"/>
      <w:r w:rsidRPr="00657D21">
        <w:t>Energy performance ratings</w:t>
      </w:r>
      <w:bookmarkEnd w:id="364"/>
      <w:bookmarkEnd w:id="365"/>
      <w:bookmarkEnd w:id="366"/>
    </w:p>
    <w:p w14:paraId="6780478A" w14:textId="77777777" w:rsidR="00652773" w:rsidRPr="00657D21" w:rsidRDefault="00652773" w:rsidP="00652773">
      <w:pPr>
        <w:pStyle w:val="BodyText"/>
        <w:rPr>
          <w:rFonts w:eastAsia="Times New Roman"/>
        </w:rPr>
      </w:pPr>
      <w:bookmarkStart w:id="367" w:name="_Hlk174698137"/>
      <w:r w:rsidRPr="00657D21">
        <w:t>New Zealand has several voluntary green building certification programmes. These include Homestar,</w:t>
      </w:r>
      <w:r w:rsidRPr="00657D21">
        <w:rPr>
          <w:rStyle w:val="FootnoteReference"/>
        </w:rPr>
        <w:footnoteReference w:id="154"/>
      </w:r>
      <w:r w:rsidRPr="00657D21">
        <w:t xml:space="preserve"> Green Star,</w:t>
      </w:r>
      <w:r w:rsidRPr="00657D21">
        <w:rPr>
          <w:rStyle w:val="FootnoteReference"/>
        </w:rPr>
        <w:footnoteReference w:id="155"/>
      </w:r>
      <w:r w:rsidRPr="00657D21">
        <w:t xml:space="preserve"> the National Australian Built Environment Rating System – New Zealand (NABERSNZ)</w:t>
      </w:r>
      <w:r w:rsidRPr="00657D21">
        <w:rPr>
          <w:rStyle w:val="FootnoteReference"/>
        </w:rPr>
        <w:footnoteReference w:id="156"/>
      </w:r>
      <w:r w:rsidRPr="00657D21">
        <w:t xml:space="preserve"> and Passive House.</w:t>
      </w:r>
      <w:r w:rsidRPr="00657D21">
        <w:rPr>
          <w:rStyle w:val="FootnoteReference"/>
        </w:rPr>
        <w:footnoteReference w:id="157"/>
      </w:r>
      <w:r w:rsidRPr="00657D21">
        <w:t xml:space="preserve"> For example, </w:t>
      </w:r>
      <w:r w:rsidRPr="00657D21" w:rsidDel="00E121C8">
        <w:t>NABERSNZ</w:t>
      </w:r>
      <w:r w:rsidRPr="00657D21">
        <w:t xml:space="preserve"> is a voluntary building rating system for office buildings and public hospitals in New Zealand. It supports building owners to make informed decisions to improve the energy performance of their buildings and reduce emissions. These voluntary green building certification schemes have limited but increasing uptake across the sector. The Government is exploring opportunities to expand NABERSNZ to apply to more building typologies, such as shopping malls and hotels. </w:t>
      </w:r>
      <w:bookmarkEnd w:id="367"/>
    </w:p>
    <w:p w14:paraId="3F455C6A" w14:textId="77777777" w:rsidR="00652773" w:rsidRPr="00657D21" w:rsidRDefault="00652773" w:rsidP="00BC2A24">
      <w:pPr>
        <w:pStyle w:val="Heading4"/>
        <w:numPr>
          <w:ilvl w:val="0"/>
          <w:numId w:val="89"/>
        </w:numPr>
        <w:tabs>
          <w:tab w:val="clear" w:pos="1134"/>
          <w:tab w:val="num" w:pos="1276"/>
        </w:tabs>
        <w:ind w:left="1276" w:hanging="1276"/>
      </w:pPr>
      <w:bookmarkStart w:id="368" w:name="_Toc169616414"/>
      <w:bookmarkStart w:id="369" w:name="_Toc169620120"/>
      <w:bookmarkStart w:id="370" w:name="_Toc172794031"/>
      <w:r w:rsidRPr="00657D21">
        <w:t>Insulation and heating grants: Warmer Kiwi Homes programme</w:t>
      </w:r>
      <w:bookmarkEnd w:id="368"/>
      <w:bookmarkEnd w:id="369"/>
      <w:bookmarkEnd w:id="370"/>
    </w:p>
    <w:p w14:paraId="62F71BD5" w14:textId="75920DC3" w:rsidR="00652773" w:rsidRPr="00657D21" w:rsidRDefault="00652773" w:rsidP="00652773">
      <w:pPr>
        <w:pStyle w:val="BodyText"/>
      </w:pPr>
      <w:r w:rsidRPr="00657D21">
        <w:t>The Warmer Kiwi Homes programme, administered by EECA, provides between 80 per cent and 90 per cent grant funding for ceiling and underfloor insulation and heating retrofits for low-income</w:t>
      </w:r>
      <w:r w:rsidR="0028411B">
        <w:t>,</w:t>
      </w:r>
      <w:r w:rsidRPr="00657D21">
        <w:t xml:space="preserve"> homeowner-occupied households. The programme seeks to prevent unnecessary heat loss and increase the energy efficiency of homes while improving overall health and social outcomes for New Zealanders. </w:t>
      </w:r>
    </w:p>
    <w:p w14:paraId="3CF3A59A" w14:textId="77777777" w:rsidR="00652773" w:rsidRPr="00657D21" w:rsidRDefault="00652773" w:rsidP="00652773">
      <w:pPr>
        <w:pStyle w:val="BodyText"/>
      </w:pPr>
      <w:r w:rsidRPr="00657D21">
        <w:t xml:space="preserve">Since the programme began in 2018, over 150,000 insulation and heating retrofits have been completed. An independent evaluation of the programme showed it achieves a 16 per cent reduction in household electricity use over winter months and delivers a benefit cost ratio of 4:1. The programme is expected to deliver a further 26,000 insulation and heating retrofits a year over the next three years. </w:t>
      </w:r>
    </w:p>
    <w:p w14:paraId="6A24DC02" w14:textId="77777777" w:rsidR="00652773" w:rsidRPr="00657D21" w:rsidRDefault="00652773" w:rsidP="00652773">
      <w:pPr>
        <w:pStyle w:val="Heading2"/>
        <w:numPr>
          <w:ilvl w:val="0"/>
          <w:numId w:val="81"/>
        </w:numPr>
        <w:tabs>
          <w:tab w:val="num" w:pos="1134"/>
        </w:tabs>
      </w:pPr>
      <w:bookmarkStart w:id="371" w:name="_Toc169616415"/>
      <w:bookmarkStart w:id="372" w:name="_Toc169620121"/>
      <w:bookmarkStart w:id="373" w:name="_Toc172794032"/>
      <w:bookmarkStart w:id="374" w:name="_Toc184825507"/>
      <w:r w:rsidRPr="00657D21">
        <w:t>Transport</w:t>
      </w:r>
      <w:bookmarkEnd w:id="371"/>
      <w:bookmarkEnd w:id="372"/>
      <w:bookmarkEnd w:id="373"/>
      <w:bookmarkEnd w:id="374"/>
    </w:p>
    <w:p w14:paraId="23193B7B" w14:textId="77777777" w:rsidR="00652773" w:rsidRPr="00657D21" w:rsidRDefault="00652773" w:rsidP="00784F5F">
      <w:pPr>
        <w:pStyle w:val="Heading3"/>
        <w:numPr>
          <w:ilvl w:val="0"/>
          <w:numId w:val="90"/>
        </w:numPr>
      </w:pPr>
      <w:bookmarkStart w:id="375" w:name="_Toc172794033"/>
      <w:bookmarkStart w:id="376" w:name="_Toc169616416"/>
      <w:bookmarkStart w:id="377" w:name="_Toc169620122"/>
      <w:r w:rsidRPr="00657D21">
        <w:t>Electric vehicle charging infrastructure</w:t>
      </w:r>
      <w:bookmarkEnd w:id="375"/>
    </w:p>
    <w:p w14:paraId="1A0B8FBD" w14:textId="77777777" w:rsidR="00652773" w:rsidRPr="00657D21" w:rsidRDefault="00652773" w:rsidP="00652773">
      <w:pPr>
        <w:pStyle w:val="BodyText"/>
      </w:pPr>
      <w:r w:rsidRPr="00657D21">
        <w:t>The Government is taking steps to enable the delivery of a network of 10,000 public EV charging points by 2030. It will support the transition to and use of low-emissions transport by giving users the confidence that they can charge their vehicle on the public network when they need to. This includes funding to support the development of a network of EV charging outlets accessible by the public.</w:t>
      </w:r>
    </w:p>
    <w:p w14:paraId="48960606" w14:textId="77777777" w:rsidR="00652773" w:rsidRPr="00657D21" w:rsidRDefault="00652773" w:rsidP="00652773">
      <w:pPr>
        <w:pStyle w:val="BodyText"/>
        <w:keepNext/>
        <w:spacing w:before="100" w:after="100"/>
      </w:pPr>
      <w:r w:rsidRPr="00657D21">
        <w:t>Main actions being taken include:</w:t>
      </w:r>
    </w:p>
    <w:p w14:paraId="3E71EF25" w14:textId="77777777" w:rsidR="00652773" w:rsidRPr="00657D21" w:rsidRDefault="00652773" w:rsidP="00652773">
      <w:pPr>
        <w:pStyle w:val="Bullet"/>
        <w:numPr>
          <w:ilvl w:val="0"/>
          <w:numId w:val="30"/>
        </w:numPr>
      </w:pPr>
      <w:r w:rsidRPr="00657D21">
        <w:t>developing a new model for government co-investment in charging infrastructure, including a cost–benefit framework to ensure maximum benefit from government investment</w:t>
      </w:r>
    </w:p>
    <w:p w14:paraId="33F0258D" w14:textId="77777777" w:rsidR="00652773" w:rsidRPr="00657D21" w:rsidRDefault="00652773" w:rsidP="00652773">
      <w:pPr>
        <w:pStyle w:val="Bullet"/>
        <w:numPr>
          <w:ilvl w:val="0"/>
          <w:numId w:val="30"/>
        </w:numPr>
      </w:pPr>
      <w:r w:rsidRPr="00657D21">
        <w:t>reducing regulatory barriers, including making the installation of public EV chargers a permitted activity</w:t>
      </w:r>
    </w:p>
    <w:p w14:paraId="1EDD5429" w14:textId="77777777" w:rsidR="00652773" w:rsidRPr="00657D21" w:rsidRDefault="00652773" w:rsidP="00652773">
      <w:pPr>
        <w:pStyle w:val="Bullet"/>
        <w:numPr>
          <w:ilvl w:val="0"/>
          <w:numId w:val="30"/>
        </w:numPr>
      </w:pPr>
      <w:r w:rsidRPr="00657D21">
        <w:t>enabling standards to improve consumers’ capability to shift home EV charging demand away from network ‘peaks’</w:t>
      </w:r>
    </w:p>
    <w:p w14:paraId="2BF27CBE" w14:textId="77777777" w:rsidR="00652773" w:rsidRPr="00657D21" w:rsidRDefault="00652773" w:rsidP="00652773">
      <w:pPr>
        <w:pStyle w:val="Bullet"/>
        <w:numPr>
          <w:ilvl w:val="0"/>
          <w:numId w:val="30"/>
        </w:numPr>
        <w:rPr>
          <w:rFonts w:eastAsia="Calibri"/>
        </w:rPr>
      </w:pPr>
      <w:r w:rsidRPr="00657D21">
        <w:t>working with the Electricity Authority on addressing barriers, such as connection costs, through the Electrify NZ work programme, and ensuring consistent approaches to EV charging connections across all 29 electricity distributors in New Zealand</w:t>
      </w:r>
    </w:p>
    <w:p w14:paraId="10A84251" w14:textId="77777777" w:rsidR="00652773" w:rsidRPr="00657D21" w:rsidRDefault="00652773" w:rsidP="00652773">
      <w:pPr>
        <w:pStyle w:val="Bullet"/>
        <w:numPr>
          <w:ilvl w:val="0"/>
          <w:numId w:val="30"/>
        </w:numPr>
        <w:rPr>
          <w:rFonts w:eastAsia="Calibri"/>
        </w:rPr>
      </w:pPr>
      <w:r w:rsidRPr="00657D21">
        <w:t>providing standardised guidance for in-home and commercial/industrial EV charging installation, and guidance on how to charge an EV safely and cost effectively at home</w:t>
      </w:r>
    </w:p>
    <w:p w14:paraId="2204E73B" w14:textId="77777777" w:rsidR="00652773" w:rsidRPr="00657D21" w:rsidRDefault="00652773" w:rsidP="00652773">
      <w:pPr>
        <w:pStyle w:val="Bullet"/>
        <w:numPr>
          <w:ilvl w:val="0"/>
          <w:numId w:val="30"/>
        </w:numPr>
        <w:rPr>
          <w:rFonts w:eastAsia="Calibri"/>
        </w:rPr>
      </w:pPr>
      <w:r w:rsidRPr="00657D21">
        <w:t>developing an EV Smart Charger Approved List aimed at helping New Zealanders to identify, and purchase, smart and efficient EV chargers.</w:t>
      </w:r>
    </w:p>
    <w:p w14:paraId="3127990D" w14:textId="77777777" w:rsidR="00652773" w:rsidRPr="00657D21" w:rsidRDefault="00652773" w:rsidP="00784F5F">
      <w:pPr>
        <w:pStyle w:val="Heading3"/>
        <w:numPr>
          <w:ilvl w:val="0"/>
          <w:numId w:val="90"/>
        </w:numPr>
      </w:pPr>
      <w:bookmarkStart w:id="378" w:name="_Toc172794035"/>
      <w:bookmarkEnd w:id="376"/>
      <w:bookmarkEnd w:id="377"/>
      <w:r w:rsidRPr="00657D21">
        <w:t>Clean Vehicle Standard</w:t>
      </w:r>
      <w:bookmarkEnd w:id="378"/>
    </w:p>
    <w:p w14:paraId="1CB4248A" w14:textId="633EFFC6" w:rsidR="00652773" w:rsidRPr="00657D21" w:rsidRDefault="00652773" w:rsidP="00652773">
      <w:pPr>
        <w:pStyle w:val="BodyText"/>
        <w:rPr>
          <w:rFonts w:eastAsia="Times New Roman"/>
        </w:rPr>
      </w:pPr>
      <w:r w:rsidRPr="003A0C20">
        <w:rPr>
          <w:lang w:val="en-US"/>
        </w:rPr>
        <w:t xml:space="preserve">The Clean Vehicle Standard came into effect on 1 January 2023. </w:t>
      </w:r>
      <w:r w:rsidR="00B742F3" w:rsidRPr="003A0C20">
        <w:rPr>
          <w:lang w:val="en-US"/>
        </w:rPr>
        <w:t xml:space="preserve">The </w:t>
      </w:r>
      <w:r w:rsidR="00940AA8">
        <w:rPr>
          <w:lang w:val="en-US"/>
        </w:rPr>
        <w:t>s</w:t>
      </w:r>
      <w:r w:rsidR="00B742F3" w:rsidRPr="003A0C20">
        <w:rPr>
          <w:lang w:val="en-US"/>
        </w:rPr>
        <w:t>tandard reduces CO</w:t>
      </w:r>
      <w:r w:rsidR="00B742F3" w:rsidRPr="003A0C20">
        <w:rPr>
          <w:vertAlign w:val="subscript"/>
          <w:lang w:val="en-US"/>
        </w:rPr>
        <w:t>2</w:t>
      </w:r>
      <w:r w:rsidR="00B742F3" w:rsidRPr="003A0C20">
        <w:rPr>
          <w:lang w:val="en-US"/>
        </w:rPr>
        <w:t xml:space="preserve"> emissions through its annual CO</w:t>
      </w:r>
      <w:r w:rsidR="00B742F3" w:rsidRPr="003A0C20">
        <w:rPr>
          <w:vertAlign w:val="subscript"/>
          <w:lang w:val="en-US"/>
        </w:rPr>
        <w:t>2</w:t>
      </w:r>
      <w:r w:rsidR="00B742F3" w:rsidRPr="003A0C20">
        <w:rPr>
          <w:lang w:val="en-US"/>
        </w:rPr>
        <w:t xml:space="preserve"> targets that progressively lower. Vehicle importers are required to meet the targets each year, on average, across the vehicles they import. Importers face charges calculated per vehicle and per gram of CO</w:t>
      </w:r>
      <w:r w:rsidR="00B742F3" w:rsidRPr="003A0C20">
        <w:rPr>
          <w:vertAlign w:val="subscript"/>
          <w:lang w:val="en-US"/>
        </w:rPr>
        <w:t>2</w:t>
      </w:r>
      <w:r w:rsidR="00B742F3" w:rsidRPr="003A0C20">
        <w:rPr>
          <w:lang w:val="en-US"/>
        </w:rPr>
        <w:t xml:space="preserve"> where targets are not met. The CO</w:t>
      </w:r>
      <w:r w:rsidR="00B742F3" w:rsidRPr="003A0C20">
        <w:rPr>
          <w:vertAlign w:val="subscript"/>
          <w:lang w:val="en-US"/>
        </w:rPr>
        <w:t xml:space="preserve">2 </w:t>
      </w:r>
      <w:r w:rsidR="00B742F3" w:rsidRPr="003A0C20">
        <w:rPr>
          <w:lang w:val="en-US"/>
        </w:rPr>
        <w:t>targets for 2025 to 2027 were reviewed and reset, and new targets have been set for 2028 to 2029.</w:t>
      </w:r>
    </w:p>
    <w:p w14:paraId="45EA8040" w14:textId="77777777" w:rsidR="00652773" w:rsidRPr="00657D21" w:rsidRDefault="00652773" w:rsidP="00784F5F">
      <w:pPr>
        <w:pStyle w:val="Heading3"/>
        <w:numPr>
          <w:ilvl w:val="0"/>
          <w:numId w:val="90"/>
        </w:numPr>
      </w:pPr>
      <w:bookmarkStart w:id="379" w:name="_Toc172794036"/>
      <w:r w:rsidRPr="00657D21">
        <w:t>Road User Charges exemptions</w:t>
      </w:r>
      <w:bookmarkEnd w:id="379"/>
    </w:p>
    <w:p w14:paraId="402CE567" w14:textId="77777777" w:rsidR="004D5D36" w:rsidRPr="004D5D36" w:rsidRDefault="004D5D36" w:rsidP="00BF7B8E">
      <w:pPr>
        <w:pStyle w:val="BodyText"/>
        <w:rPr>
          <w:rFonts w:ascii="Aptos" w:eastAsiaTheme="minorHAnsi" w:hAnsi="Aptos"/>
          <w:lang w:val="en-US"/>
        </w:rPr>
      </w:pPr>
      <w:r w:rsidRPr="004D5D36">
        <w:rPr>
          <w:lang w:val="en-US"/>
        </w:rPr>
        <w:t xml:space="preserve">The removal of road user </w:t>
      </w:r>
      <w:r w:rsidRPr="00BF7B8E">
        <w:t>charges</w:t>
      </w:r>
      <w:r w:rsidRPr="004D5D36">
        <w:rPr>
          <w:lang w:val="en-US"/>
        </w:rPr>
        <w:t xml:space="preserve"> was introduced as an incentive to encourage electric vehicle uptake in both the light and heavy fleets.</w:t>
      </w:r>
    </w:p>
    <w:p w14:paraId="4A31CCD5" w14:textId="7907E554" w:rsidR="00652773" w:rsidRPr="00657D21" w:rsidRDefault="004D5D36" w:rsidP="00652773">
      <w:pPr>
        <w:pStyle w:val="BodyText"/>
      </w:pPr>
      <w:r>
        <w:rPr>
          <w:lang w:val="en-US"/>
        </w:rPr>
        <w:t xml:space="preserve">A </w:t>
      </w:r>
      <w:r w:rsidR="00D967F7">
        <w:rPr>
          <w:lang w:val="en-US"/>
        </w:rPr>
        <w:t>r</w:t>
      </w:r>
      <w:r>
        <w:rPr>
          <w:lang w:val="en-US"/>
        </w:rPr>
        <w:t xml:space="preserve">oad </w:t>
      </w:r>
      <w:r w:rsidR="00D967F7">
        <w:rPr>
          <w:lang w:val="en-US"/>
        </w:rPr>
        <w:t>u</w:t>
      </w:r>
      <w:r>
        <w:rPr>
          <w:lang w:val="en-US"/>
        </w:rPr>
        <w:t xml:space="preserve">ser </w:t>
      </w:r>
      <w:r w:rsidR="00D967F7">
        <w:rPr>
          <w:lang w:val="en-US"/>
        </w:rPr>
        <w:t>c</w:t>
      </w:r>
      <w:r>
        <w:rPr>
          <w:lang w:val="en-US"/>
        </w:rPr>
        <w:t xml:space="preserve">harges exemption on light electric vehicles </w:t>
      </w:r>
      <w:r w:rsidR="00D967F7">
        <w:rPr>
          <w:lang w:val="en-US"/>
        </w:rPr>
        <w:t xml:space="preserve">began </w:t>
      </w:r>
      <w:r>
        <w:rPr>
          <w:lang w:val="en-US"/>
        </w:rPr>
        <w:t xml:space="preserve">in 2009 and ran until 1 April 2024. A </w:t>
      </w:r>
      <w:r w:rsidR="00D967F7">
        <w:rPr>
          <w:lang w:val="en-US"/>
        </w:rPr>
        <w:t>r</w:t>
      </w:r>
      <w:r>
        <w:rPr>
          <w:lang w:val="en-US"/>
        </w:rPr>
        <w:t xml:space="preserve">oad </w:t>
      </w:r>
      <w:r w:rsidR="00D967F7">
        <w:rPr>
          <w:lang w:val="en-US"/>
        </w:rPr>
        <w:t>u</w:t>
      </w:r>
      <w:r>
        <w:rPr>
          <w:lang w:val="en-US"/>
        </w:rPr>
        <w:t xml:space="preserve">ser </w:t>
      </w:r>
      <w:r w:rsidR="00D967F7">
        <w:rPr>
          <w:lang w:val="en-US"/>
        </w:rPr>
        <w:t>c</w:t>
      </w:r>
      <w:r>
        <w:rPr>
          <w:lang w:val="en-US"/>
        </w:rPr>
        <w:t>harges exemption for heavy electric vehicles was introduced in 2017 and is legislated to expire on 1 January 2026.</w:t>
      </w:r>
      <w:r w:rsidR="00652773" w:rsidRPr="00657D21">
        <w:rPr>
          <w:vertAlign w:val="superscript"/>
        </w:rPr>
        <w:footnoteReference w:id="158"/>
      </w:r>
    </w:p>
    <w:p w14:paraId="738BE470" w14:textId="77777777" w:rsidR="00652773" w:rsidRPr="00657D21" w:rsidRDefault="00652773" w:rsidP="00784F5F">
      <w:pPr>
        <w:pStyle w:val="Heading3"/>
        <w:numPr>
          <w:ilvl w:val="0"/>
          <w:numId w:val="90"/>
        </w:numPr>
      </w:pPr>
      <w:bookmarkStart w:id="380" w:name="_Toc172794037"/>
      <w:r w:rsidRPr="00657D21">
        <w:t>Freight and Supply Chain Strategy</w:t>
      </w:r>
      <w:bookmarkEnd w:id="380"/>
    </w:p>
    <w:p w14:paraId="58C78D74" w14:textId="77777777" w:rsidR="00652773" w:rsidRPr="00657D21" w:rsidRDefault="00652773" w:rsidP="00652773">
      <w:pPr>
        <w:pStyle w:val="BodyText"/>
      </w:pPr>
      <w:r w:rsidRPr="00657D21">
        <w:rPr>
          <w:lang w:eastAsia="en-US"/>
        </w:rPr>
        <w:t xml:space="preserve">The Government </w:t>
      </w:r>
      <w:r w:rsidRPr="00657D21">
        <w:t xml:space="preserve">released the Freight and Supply Chain Strategy in August 2023, informed by extensive stakeholder engagement. </w:t>
      </w:r>
    </w:p>
    <w:p w14:paraId="7A8A8336" w14:textId="7831B7DB" w:rsidR="00652773" w:rsidRPr="00657D21" w:rsidRDefault="00652773" w:rsidP="00652773">
      <w:pPr>
        <w:pStyle w:val="BodyText"/>
      </w:pPr>
      <w:r w:rsidRPr="00657D21">
        <w:t xml:space="preserve">Actions included under the road freight decarbonisation focus area </w:t>
      </w:r>
      <w:r w:rsidR="00B40829">
        <w:t xml:space="preserve">of the strategy </w:t>
      </w:r>
      <w:r w:rsidRPr="00657D21">
        <w:t>that have been completed or are being progressed</w:t>
      </w:r>
      <w:r w:rsidR="008A6883">
        <w:t xml:space="preserve"> are</w:t>
      </w:r>
      <w:r w:rsidRPr="00657D21">
        <w:t xml:space="preserve">: </w:t>
      </w:r>
    </w:p>
    <w:p w14:paraId="2ED8BA49" w14:textId="58DE537E" w:rsidR="00652773" w:rsidRPr="00657D21" w:rsidRDefault="00652773" w:rsidP="00652773">
      <w:pPr>
        <w:pStyle w:val="Bullet"/>
        <w:numPr>
          <w:ilvl w:val="0"/>
          <w:numId w:val="30"/>
        </w:numPr>
      </w:pPr>
      <w:r w:rsidRPr="00657D21">
        <w:t>the Ministry of Transport partnered with the Sustainable Business Council on a feasibility study into a market-led</w:t>
      </w:r>
      <w:r w:rsidR="008A6883">
        <w:t>,</w:t>
      </w:r>
      <w:r w:rsidRPr="00657D21">
        <w:t xml:space="preserve"> low carbon freight mechanism, which was released in September 2023</w:t>
      </w:r>
    </w:p>
    <w:p w14:paraId="4B6F4C2C" w14:textId="04C0876D" w:rsidR="00652773" w:rsidRPr="00657D21" w:rsidRDefault="00652773" w:rsidP="00652773">
      <w:pPr>
        <w:pStyle w:val="Bullet"/>
        <w:numPr>
          <w:ilvl w:val="0"/>
          <w:numId w:val="30"/>
        </w:numPr>
      </w:pPr>
      <w:r w:rsidRPr="00657D21">
        <w:t>as part of Budget 2024 announcements, the Government confirmed a $30 million grant scheme for low-emissions</w:t>
      </w:r>
      <w:r w:rsidR="008A6883">
        <w:t>,</w:t>
      </w:r>
      <w:r w:rsidRPr="00657D21">
        <w:t xml:space="preserve"> heavy vehicles would proceed</w:t>
      </w:r>
    </w:p>
    <w:p w14:paraId="07CA2308" w14:textId="2CA98657" w:rsidR="00652773" w:rsidRPr="00657D21" w:rsidRDefault="00652773" w:rsidP="00652773">
      <w:pPr>
        <w:pStyle w:val="Bullet"/>
        <w:numPr>
          <w:ilvl w:val="0"/>
          <w:numId w:val="30"/>
        </w:numPr>
      </w:pPr>
      <w:r w:rsidRPr="00657D21">
        <w:rPr>
          <w:lang w:eastAsia="en-US"/>
        </w:rPr>
        <w:t xml:space="preserve">officials and industry stakeholders are exploring regulatory barriers to </w:t>
      </w:r>
      <w:r w:rsidR="008A6883">
        <w:rPr>
          <w:lang w:eastAsia="en-US"/>
        </w:rPr>
        <w:t xml:space="preserve">the </w:t>
      </w:r>
      <w:r w:rsidRPr="00657D21">
        <w:rPr>
          <w:lang w:eastAsia="en-US"/>
        </w:rPr>
        <w:t xml:space="preserve">uptake of zero-emission heavy vehicles and how </w:t>
      </w:r>
      <w:r w:rsidR="00B40829">
        <w:rPr>
          <w:lang w:eastAsia="en-US"/>
        </w:rPr>
        <w:t>these</w:t>
      </w:r>
      <w:r w:rsidR="00B40829" w:rsidRPr="00657D21">
        <w:rPr>
          <w:lang w:eastAsia="en-US"/>
        </w:rPr>
        <w:t xml:space="preserve"> </w:t>
      </w:r>
      <w:r w:rsidRPr="00657D21">
        <w:rPr>
          <w:lang w:eastAsia="en-US"/>
        </w:rPr>
        <w:t>could be addressed.</w:t>
      </w:r>
    </w:p>
    <w:p w14:paraId="70AEA4B9" w14:textId="77777777" w:rsidR="00652773" w:rsidRPr="00657D21" w:rsidRDefault="00652773" w:rsidP="00784F5F">
      <w:pPr>
        <w:pStyle w:val="Heading3"/>
        <w:numPr>
          <w:ilvl w:val="0"/>
          <w:numId w:val="90"/>
        </w:numPr>
      </w:pPr>
      <w:bookmarkStart w:id="381" w:name="_Toc172794039"/>
      <w:r w:rsidRPr="00657D21">
        <w:t>Public transport bus decarbonisation</w:t>
      </w:r>
      <w:bookmarkEnd w:id="381"/>
    </w:p>
    <w:p w14:paraId="34D6C4D1" w14:textId="77777777" w:rsidR="00287DD2" w:rsidRPr="00287DD2" w:rsidRDefault="00652773" w:rsidP="00287DD2">
      <w:pPr>
        <w:pStyle w:val="BodyText"/>
      </w:pPr>
      <w:r w:rsidRPr="00657D21">
        <w:t xml:space="preserve">In 2020, the Government agreed to accelerate the decarbonisation of public transport bus fleets and later included this commitment as an action in ERP1. </w:t>
      </w:r>
      <w:r w:rsidR="00287DD2" w:rsidRPr="00287DD2">
        <w:t xml:space="preserve">This commitment included: </w:t>
      </w:r>
    </w:p>
    <w:p w14:paraId="2E49482A" w14:textId="741D684A" w:rsidR="00287DD2" w:rsidRPr="00233A56" w:rsidRDefault="00287DD2" w:rsidP="00233A56">
      <w:pPr>
        <w:pStyle w:val="Bullet"/>
        <w:numPr>
          <w:ilvl w:val="0"/>
          <w:numId w:val="30"/>
        </w:numPr>
        <w:rPr>
          <w:rFonts w:eastAsia="Calibri"/>
        </w:rPr>
      </w:pPr>
      <w:r w:rsidRPr="00233A56">
        <w:rPr>
          <w:rFonts w:eastAsia="Calibri"/>
        </w:rPr>
        <w:t xml:space="preserve">requiring that only zero-emission public transport buses be purchased by 2025 (the 2025 mandate) </w:t>
      </w:r>
    </w:p>
    <w:p w14:paraId="4C623C9D" w14:textId="77777777" w:rsidR="00287DD2" w:rsidRPr="00233A56" w:rsidRDefault="00287DD2" w:rsidP="00233A56">
      <w:pPr>
        <w:pStyle w:val="Bullet"/>
        <w:numPr>
          <w:ilvl w:val="0"/>
          <w:numId w:val="30"/>
        </w:numPr>
        <w:rPr>
          <w:rFonts w:eastAsia="Calibri"/>
        </w:rPr>
      </w:pPr>
      <w:r w:rsidRPr="00233A56">
        <w:rPr>
          <w:rFonts w:eastAsia="Calibri"/>
        </w:rPr>
        <w:t xml:space="preserve">a target of decarbonising the public transport bus fleet by 2035 (the 2035 target) </w:t>
      </w:r>
    </w:p>
    <w:p w14:paraId="6FBC2634" w14:textId="77777777" w:rsidR="00287DD2" w:rsidRPr="00233A56" w:rsidRDefault="00287DD2" w:rsidP="00233A56">
      <w:pPr>
        <w:pStyle w:val="Bullet"/>
        <w:numPr>
          <w:ilvl w:val="0"/>
          <w:numId w:val="30"/>
        </w:numPr>
        <w:rPr>
          <w:rFonts w:eastAsia="Calibri"/>
        </w:rPr>
      </w:pPr>
      <w:r w:rsidRPr="00233A56">
        <w:rPr>
          <w:rFonts w:eastAsia="Calibri"/>
        </w:rPr>
        <w:t xml:space="preserve">supporting regional councils to achieve these outcomes through additional funding. </w:t>
      </w:r>
    </w:p>
    <w:p w14:paraId="025A588F" w14:textId="5025D14F" w:rsidR="00287DD2" w:rsidRPr="00287DD2" w:rsidRDefault="00287DD2" w:rsidP="00287DD2">
      <w:pPr>
        <w:pStyle w:val="BodyText"/>
      </w:pPr>
      <w:r w:rsidRPr="00287DD2">
        <w:t xml:space="preserve">In 2022, the New Zealand Transport Agency gave effect to the 2025 mandate by setting a condition in its Requirements for Urban Buses in New Zealand that Public Transport Authorities (PTAs) can only procure zero-emission public transport buses from 1 July 2025 onwards. </w:t>
      </w:r>
    </w:p>
    <w:p w14:paraId="3B5E9BA0" w14:textId="77777777" w:rsidR="00287DD2" w:rsidRPr="00287DD2" w:rsidRDefault="00287DD2" w:rsidP="00287DD2">
      <w:pPr>
        <w:pStyle w:val="BodyText"/>
      </w:pPr>
      <w:r w:rsidRPr="00287DD2">
        <w:t xml:space="preserve">To support PTAs to achieve the 2025 mandate, the Government provides PTAs with co-funding to help meet the cost of replacing diesel buses with zero-emissions buses through the National Land Transport Fund. PTAs also can apply for Crown grant funding to help cover the cost of e-chargers and other enabling infrastructure through the Public Transport Bus Decarbonisation Contestable Fund. </w:t>
      </w:r>
    </w:p>
    <w:p w14:paraId="5856F068" w14:textId="145DA07A" w:rsidR="00287DD2" w:rsidRDefault="00287DD2" w:rsidP="00287DD2">
      <w:pPr>
        <w:pStyle w:val="BodyText"/>
      </w:pPr>
      <w:r w:rsidRPr="00287DD2">
        <w:t>Market conditions and incentives to transition to more operationally efficient zero emissions alternatives will change over time. As this happens Government will ensure its response remains relevant and effective.</w:t>
      </w:r>
    </w:p>
    <w:p w14:paraId="3FF5140B" w14:textId="77777777" w:rsidR="00652773" w:rsidRPr="00657D21" w:rsidRDefault="00652773" w:rsidP="00784F5F">
      <w:pPr>
        <w:pStyle w:val="Heading3"/>
        <w:numPr>
          <w:ilvl w:val="0"/>
          <w:numId w:val="90"/>
        </w:numPr>
      </w:pPr>
      <w:bookmarkStart w:id="382" w:name="_Toc172794040"/>
      <w:r w:rsidRPr="00657D21">
        <w:t>Zero-emissions trucks and buses</w:t>
      </w:r>
      <w:bookmarkEnd w:id="382"/>
    </w:p>
    <w:p w14:paraId="380EB47A" w14:textId="77777777" w:rsidR="00652773" w:rsidRPr="00657D21" w:rsidRDefault="00652773" w:rsidP="00652773">
      <w:pPr>
        <w:pStyle w:val="BodyText"/>
        <w:rPr>
          <w:lang w:eastAsia="en-US"/>
        </w:rPr>
      </w:pPr>
      <w:r w:rsidRPr="00657D21">
        <w:t xml:space="preserve">Heavy vehicles (trucks and buses) contribute a quarter of New Zealand’s carbon emissions related to road use. </w:t>
      </w:r>
      <w:r w:rsidRPr="00657D21">
        <w:rPr>
          <w:lang w:eastAsia="en-US"/>
        </w:rPr>
        <w:t xml:space="preserve">As part of Budget 2024 announcements, the Government confirmed a $30 million grant scheme for low-emissions heavy vehicles would proceed. </w:t>
      </w:r>
    </w:p>
    <w:p w14:paraId="272E74ED" w14:textId="77777777" w:rsidR="00652773" w:rsidRPr="00657D21" w:rsidRDefault="00652773" w:rsidP="00784F5F">
      <w:pPr>
        <w:pStyle w:val="Heading3"/>
        <w:numPr>
          <w:ilvl w:val="0"/>
          <w:numId w:val="90"/>
        </w:numPr>
      </w:pPr>
      <w:bookmarkStart w:id="383" w:name="_Toc169616424"/>
      <w:bookmarkStart w:id="384" w:name="_Toc169620130"/>
      <w:bookmarkStart w:id="385" w:name="_Toc172794041"/>
      <w:r w:rsidRPr="00657D21">
        <w:t>Low Emission Transport Fund</w:t>
      </w:r>
      <w:bookmarkEnd w:id="383"/>
      <w:bookmarkEnd w:id="384"/>
      <w:bookmarkEnd w:id="385"/>
    </w:p>
    <w:p w14:paraId="3C488250" w14:textId="033DE21D" w:rsidR="00652773" w:rsidRPr="00657D21" w:rsidRDefault="00652773" w:rsidP="00652773">
      <w:pPr>
        <w:pStyle w:val="BodyText"/>
      </w:pPr>
      <w:r w:rsidRPr="00657D21">
        <w:t xml:space="preserve">The Low Emission Vehicle Contestable Fund was launched in 2016 to support the uptake of low-emission vehicles. Projects funded included </w:t>
      </w:r>
      <w:r w:rsidR="002B3D41">
        <w:t>installing</w:t>
      </w:r>
      <w:r w:rsidRPr="00657D21">
        <w:t xml:space="preserve"> 832 public charging stations, supporting new low-emission vehicles, funding a fleet optimisation pilot project to reduce fleet sizes and help prepare for EVs, supporting the delivery of New Zealand’s first hydrogen fuel cell bus, and </w:t>
      </w:r>
      <w:r w:rsidR="004E0D70">
        <w:t>supporting a</w:t>
      </w:r>
      <w:r w:rsidRPr="00657D21">
        <w:t xml:space="preserve"> 300-kilowatt hyper electric vehicle charger. </w:t>
      </w:r>
    </w:p>
    <w:p w14:paraId="44BC0536" w14:textId="77777777" w:rsidR="00652773" w:rsidRPr="00657D21" w:rsidRDefault="00652773" w:rsidP="00652773">
      <w:pPr>
        <w:pStyle w:val="BodyText"/>
      </w:pPr>
      <w:r w:rsidRPr="00657D21">
        <w:t xml:space="preserve">In 2021, the Low Emission Vehicle Contestable Fund was reconfigured into the Low Emission Transport Fund (LETF) to better reflect the expanded scope for projects. The LETF provides co-funding for the demonstration and adoption of low-emissions transport technology, innovation and infrastructure to accelerate the decarbonisation of New Zealand’s transport sector. To date, 307 projects have been co-funded since 2016. </w:t>
      </w:r>
    </w:p>
    <w:p w14:paraId="7C20D3C3" w14:textId="11694820" w:rsidR="00652773" w:rsidRPr="00657D21" w:rsidRDefault="00652773" w:rsidP="00652773">
      <w:pPr>
        <w:pStyle w:val="BodyText"/>
        <w:rPr>
          <w:rFonts w:eastAsia="Calibri" w:cs="Calibri"/>
        </w:rPr>
      </w:pPr>
      <w:r w:rsidRPr="00657D21">
        <w:t>Transport projects co-funded under the LETF to accelerate the adoption of low-emission transport include N</w:t>
      </w:r>
      <w:r w:rsidRPr="00657D21">
        <w:rPr>
          <w:rFonts w:asciiTheme="minorHAnsi" w:hAnsiTheme="minorHAnsi"/>
        </w:rPr>
        <w:t xml:space="preserve">ew Zealand’s first electric milk tanker, a wireless charging ground-pad solution for electric buses, a passenger bus with solar panels, and New Zealand’s first electric tractor. </w:t>
      </w:r>
    </w:p>
    <w:p w14:paraId="1268D64E" w14:textId="77777777" w:rsidR="00652773" w:rsidRPr="00657D21" w:rsidRDefault="00652773" w:rsidP="00784F5F">
      <w:pPr>
        <w:pStyle w:val="Heading3"/>
        <w:numPr>
          <w:ilvl w:val="0"/>
          <w:numId w:val="90"/>
        </w:numPr>
      </w:pPr>
      <w:bookmarkStart w:id="386" w:name="_Toc169616426"/>
      <w:bookmarkStart w:id="387" w:name="_Toc169620132"/>
      <w:bookmarkStart w:id="388" w:name="_Toc172794042"/>
      <w:r w:rsidRPr="00657D21">
        <w:t>Vehicle Fuel Economy Labelling programme</w:t>
      </w:r>
      <w:bookmarkEnd w:id="386"/>
      <w:bookmarkEnd w:id="387"/>
      <w:bookmarkEnd w:id="388"/>
    </w:p>
    <w:p w14:paraId="5AF2288E" w14:textId="77777777" w:rsidR="00652773" w:rsidRPr="00657D21" w:rsidRDefault="00652773" w:rsidP="00652773">
      <w:pPr>
        <w:pStyle w:val="BodyText"/>
      </w:pPr>
      <w:r w:rsidRPr="00657D21">
        <w:t>The Vehicle Fuel Economy Labelling programme, which began in 2008, makes it compulsory for</w:t>
      </w:r>
      <w:r>
        <w:t> </w:t>
      </w:r>
      <w:r w:rsidRPr="00657D21">
        <w:t>vehicle traders and online vendors to display information about the fuel economy of their vehicles. The programme aims to allow consumers to make a more informed choice when</w:t>
      </w:r>
      <w:r>
        <w:t xml:space="preserve"> </w:t>
      </w:r>
      <w:r w:rsidRPr="00657D21">
        <w:t xml:space="preserve">purchasing a vehicle and place an appropriate value on fuel economy. </w:t>
      </w:r>
    </w:p>
    <w:p w14:paraId="170AAE99" w14:textId="77777777" w:rsidR="00652773" w:rsidRPr="00657D21" w:rsidRDefault="00652773" w:rsidP="00652773">
      <w:pPr>
        <w:pStyle w:val="BodyText"/>
        <w:rPr>
          <w:rFonts w:asciiTheme="minorHAnsi" w:hAnsiTheme="minorHAnsi"/>
        </w:rPr>
      </w:pPr>
      <w:r w:rsidRPr="00657D21">
        <w:t>In 2022, the label was updated to clearly display the CO</w:t>
      </w:r>
      <w:r w:rsidRPr="00657D21">
        <w:rPr>
          <w:vertAlign w:val="subscript"/>
        </w:rPr>
        <w:t>2</w:t>
      </w:r>
      <w:r w:rsidRPr="00657D21">
        <w:t xml:space="preserve"> emissions of vehicles. Star ratings for carbon emissions were recalibrated</w:t>
      </w:r>
      <w:r w:rsidRPr="00657D21">
        <w:rPr>
          <w:rFonts w:asciiTheme="minorHAnsi" w:hAnsiTheme="minorHAnsi"/>
        </w:rPr>
        <w:t xml:space="preserve"> to be much stricter and vehicles must now produce much lower emissions to receive a high star rating.</w:t>
      </w:r>
    </w:p>
    <w:p w14:paraId="0FD8E359" w14:textId="77777777" w:rsidR="00652773" w:rsidRPr="00657D21" w:rsidRDefault="00652773" w:rsidP="00652773">
      <w:pPr>
        <w:pStyle w:val="Heading2"/>
        <w:numPr>
          <w:ilvl w:val="0"/>
          <w:numId w:val="81"/>
        </w:numPr>
        <w:tabs>
          <w:tab w:val="num" w:pos="1134"/>
        </w:tabs>
      </w:pPr>
      <w:bookmarkStart w:id="389" w:name="_Toc169616435"/>
      <w:bookmarkStart w:id="390" w:name="_Toc169620141"/>
      <w:bookmarkStart w:id="391" w:name="_Toc172794047"/>
      <w:bookmarkStart w:id="392" w:name="_Toc184825508"/>
      <w:r w:rsidRPr="00657D21">
        <w:t>Industrial processes and product use</w:t>
      </w:r>
      <w:bookmarkEnd w:id="389"/>
      <w:bookmarkEnd w:id="390"/>
      <w:bookmarkEnd w:id="391"/>
      <w:bookmarkEnd w:id="392"/>
    </w:p>
    <w:p w14:paraId="0E9696EA" w14:textId="77777777" w:rsidR="00652773" w:rsidRPr="00657D21" w:rsidRDefault="00652773" w:rsidP="00784F5F">
      <w:pPr>
        <w:pStyle w:val="Heading3"/>
        <w:numPr>
          <w:ilvl w:val="0"/>
          <w:numId w:val="91"/>
        </w:numPr>
      </w:pPr>
      <w:bookmarkStart w:id="393" w:name="_Toc169616436"/>
      <w:bookmarkStart w:id="394" w:name="_Toc169620142"/>
      <w:bookmarkStart w:id="395" w:name="_Toc172794048"/>
      <w:r w:rsidRPr="00657D21">
        <w:t>Emissions Trading Scheme</w:t>
      </w:r>
      <w:bookmarkEnd w:id="393"/>
      <w:bookmarkEnd w:id="394"/>
      <w:bookmarkEnd w:id="395"/>
    </w:p>
    <w:p w14:paraId="422850B8" w14:textId="77777777" w:rsidR="00652773" w:rsidRPr="00657D21" w:rsidRDefault="00652773" w:rsidP="00652773">
      <w:pPr>
        <w:pStyle w:val="BodyText"/>
        <w:rPr>
          <w:rFonts w:eastAsia="Calibri"/>
        </w:rPr>
      </w:pPr>
      <w:r w:rsidRPr="00657D21">
        <w:rPr>
          <w:rFonts w:eastAsia="Calibri"/>
        </w:rPr>
        <w:t>Emissions produced as a result of industrial processes and product use are captured by the NZ ETS. Activities include the production of iron and steel, aluminium,</w:t>
      </w:r>
      <w:r w:rsidRPr="00657D21">
        <w:rPr>
          <w:rStyle w:val="FootnoteReference"/>
          <w:rFonts w:eastAsia="Calibri"/>
        </w:rPr>
        <w:footnoteReference w:id="159"/>
      </w:r>
      <w:r w:rsidRPr="00657D21">
        <w:rPr>
          <w:rFonts w:eastAsia="Calibri"/>
        </w:rPr>
        <w:t xml:space="preserve"> clinker and burnt lime, and glass. </w:t>
      </w:r>
    </w:p>
    <w:p w14:paraId="1FAD8826" w14:textId="77777777" w:rsidR="00652773" w:rsidRPr="00657D21" w:rsidRDefault="00652773" w:rsidP="00652773">
      <w:pPr>
        <w:pStyle w:val="BodyText"/>
        <w:rPr>
          <w:rFonts w:eastAsia="Calibri"/>
        </w:rPr>
      </w:pPr>
      <w:r w:rsidRPr="00657D21">
        <w:rPr>
          <w:rFonts w:eastAsia="Calibri"/>
        </w:rPr>
        <w:t xml:space="preserve">Importers of bulk </w:t>
      </w:r>
      <w:bookmarkStart w:id="396" w:name="_Hlk495745617"/>
      <w:r w:rsidRPr="00657D21">
        <w:rPr>
          <w:rFonts w:eastAsia="Calibri"/>
        </w:rPr>
        <w:t>hydrofluorocarbons (HFCs) and perfluorocarbons (PFCs)</w:t>
      </w:r>
      <w:bookmarkEnd w:id="396"/>
      <w:r w:rsidRPr="00657D21">
        <w:rPr>
          <w:rFonts w:eastAsia="Calibri"/>
        </w:rPr>
        <w:t xml:space="preserve"> and users of sulphur hexafluoride above a threshold have obligations to surrender NZUs equivalent to the amount of HFCs and PFCs they import or the sulphur hexafluoride emitted through use.</w:t>
      </w:r>
      <w:r w:rsidRPr="00657D21">
        <w:t xml:space="preserve"> </w:t>
      </w:r>
      <w:r w:rsidRPr="00657D21">
        <w:rPr>
          <w:rFonts w:eastAsia="Calibri"/>
        </w:rPr>
        <w:t>While currently no manufacture is undertaken of HFCs and PFCs in New Zealand, should this occur in the future, manufacturers of these gases would also have obligations under the NZ ETS.</w:t>
      </w:r>
      <w:r w:rsidRPr="00657D21">
        <w:rPr>
          <w:rStyle w:val="FootnoteReference"/>
        </w:rPr>
        <w:footnoteReference w:id="160"/>
      </w:r>
      <w:r w:rsidRPr="00657D21">
        <w:rPr>
          <w:rFonts w:eastAsia="Calibri"/>
        </w:rPr>
        <w:t xml:space="preserve"> </w:t>
      </w:r>
    </w:p>
    <w:p w14:paraId="5F4CE375" w14:textId="77777777" w:rsidR="00652773" w:rsidRPr="00657D21" w:rsidRDefault="00652773" w:rsidP="00784F5F">
      <w:pPr>
        <w:pStyle w:val="Heading3"/>
        <w:numPr>
          <w:ilvl w:val="0"/>
          <w:numId w:val="91"/>
        </w:numPr>
      </w:pPr>
      <w:bookmarkStart w:id="397" w:name="_Toc169616437"/>
      <w:bookmarkStart w:id="398" w:name="_Toc169620143"/>
      <w:bookmarkStart w:id="399" w:name="_Toc172794049"/>
      <w:r w:rsidRPr="00657D21">
        <w:t>Synthetic greenhouse gas levy</w:t>
      </w:r>
      <w:bookmarkEnd w:id="397"/>
      <w:bookmarkEnd w:id="398"/>
      <w:bookmarkEnd w:id="399"/>
    </w:p>
    <w:p w14:paraId="23BEEE8D" w14:textId="77777777" w:rsidR="00652773" w:rsidRPr="00657D21" w:rsidRDefault="00652773" w:rsidP="00652773">
      <w:pPr>
        <w:pStyle w:val="BodyText"/>
      </w:pPr>
      <w:r w:rsidRPr="00657D21">
        <w:t xml:space="preserve">A levy is applied to imported goods and motor vehicles containing synthetic greenhouse gas (HFCs and PFCs). The levy applies to goods such as fridges, freezers, heat pumps, air conditioners, refrigerated trailers and air-conditioning units contained in motor vehicles. The levy is linked to the price of carbon in the NZ ETS and varies between items to reflect the amount of gas, the specified gas and its global warming potential. </w:t>
      </w:r>
    </w:p>
    <w:p w14:paraId="6ED2520A" w14:textId="77777777" w:rsidR="00652773" w:rsidRPr="00657D21" w:rsidRDefault="00652773" w:rsidP="00BC2A24">
      <w:pPr>
        <w:pStyle w:val="Heading3"/>
        <w:numPr>
          <w:ilvl w:val="0"/>
          <w:numId w:val="91"/>
        </w:numPr>
        <w:ind w:left="1134" w:hanging="1134"/>
      </w:pPr>
      <w:bookmarkStart w:id="400" w:name="_Toc169620144"/>
      <w:bookmarkStart w:id="401" w:name="_Toc172794050"/>
      <w:r w:rsidRPr="00657D21">
        <w:t>Permitting scheme for imports and exports of bulk HFCs</w:t>
      </w:r>
      <w:bookmarkEnd w:id="400"/>
      <w:bookmarkEnd w:id="401"/>
    </w:p>
    <w:p w14:paraId="15A23A07" w14:textId="77777777" w:rsidR="00652773" w:rsidRPr="00657D21" w:rsidRDefault="00652773" w:rsidP="00652773">
      <w:pPr>
        <w:pStyle w:val="BodyText"/>
        <w:rPr>
          <w:rFonts w:eastAsia="Calibri"/>
        </w:rPr>
      </w:pPr>
      <w:r w:rsidRPr="00657D21">
        <w:rPr>
          <w:rFonts w:eastAsia="Calibri"/>
        </w:rPr>
        <w:t>The Kigali Amendment to the Montreal Protocol is facilitating a worldwide phase-down of the use of HFCs by requiring parties to limit their consumption (defined as import and production minus export) of HFCs.</w:t>
      </w:r>
      <w:r w:rsidRPr="00657D21" w:rsidDel="00D11E09">
        <w:rPr>
          <w:rFonts w:eastAsia="Calibri"/>
        </w:rPr>
        <w:t xml:space="preserve"> </w:t>
      </w:r>
      <w:r w:rsidRPr="00657D21">
        <w:rPr>
          <w:rFonts w:eastAsia="Calibri"/>
        </w:rPr>
        <w:t xml:space="preserve">In line with its ratification of the Kigali Amendment, New Zealand has implemented a permitting scheme for imports and exports of bulk HFCs. This requires importers and exporters of bulk HFCs to obtain a permit for the HFCs they want to transport. Import permits are issued in decreasing amounts each calendar year. By 2035, this limit will be </w:t>
      </w:r>
      <w:r w:rsidRPr="006B36B3">
        <w:rPr>
          <w:rFonts w:eastAsia="Calibri"/>
        </w:rPr>
        <w:t xml:space="preserve">348,000 </w:t>
      </w:r>
      <w:r w:rsidRPr="00657D21">
        <w:rPr>
          <w:rFonts w:eastAsia="Calibri"/>
        </w:rPr>
        <w:t>CO</w:t>
      </w:r>
      <w:r w:rsidRPr="00657D21">
        <w:rPr>
          <w:rFonts w:eastAsia="Calibri"/>
          <w:vertAlign w:val="subscript"/>
        </w:rPr>
        <w:t xml:space="preserve">2 </w:t>
      </w:r>
      <w:r w:rsidRPr="00657D21">
        <w:rPr>
          <w:rFonts w:eastAsia="Calibri"/>
        </w:rPr>
        <w:t xml:space="preserve">equivalent tonnes, </w:t>
      </w:r>
      <w:r>
        <w:rPr>
          <w:rFonts w:eastAsia="Calibri"/>
        </w:rPr>
        <w:t>26</w:t>
      </w:r>
      <w:r w:rsidRPr="00657D21">
        <w:rPr>
          <w:rFonts w:eastAsia="Calibri"/>
        </w:rPr>
        <w:t> per cent of the allowable import quantity in 2020. The scheme has been active since 1 January 2020.</w:t>
      </w:r>
    </w:p>
    <w:p w14:paraId="0B98E3B5" w14:textId="77777777" w:rsidR="00652773" w:rsidRPr="00657D21" w:rsidRDefault="00652773" w:rsidP="00BC2A24">
      <w:pPr>
        <w:pStyle w:val="Heading3"/>
        <w:numPr>
          <w:ilvl w:val="0"/>
          <w:numId w:val="91"/>
        </w:numPr>
        <w:ind w:left="1134" w:hanging="1134"/>
      </w:pPr>
      <w:r w:rsidRPr="00657D21">
        <w:t xml:space="preserve">Voluntary product stewardship scheme for refrigerants </w:t>
      </w:r>
    </w:p>
    <w:p w14:paraId="03643CF9" w14:textId="18A259B9" w:rsidR="00652773" w:rsidRPr="00657D21" w:rsidRDefault="00652773" w:rsidP="00652773">
      <w:pPr>
        <w:pStyle w:val="BodyText"/>
        <w:rPr>
          <w:rFonts w:eastAsia="Calibri"/>
        </w:rPr>
      </w:pPr>
      <w:r w:rsidRPr="00657D21">
        <w:rPr>
          <w:rFonts w:eastAsia="Calibri"/>
        </w:rPr>
        <w:t>The Trust for the Destruction of Synthetic Refrigerants (operating as Cool-Safe) operates a voluntary product stewardship scheme that facilitates the collection and export for destruction of synthetic refrigerants. The scheme is funded by NZUs obtained by exporting applicable gases. The Trust has operated since 1996</w:t>
      </w:r>
      <w:r w:rsidR="00B51F2C">
        <w:rPr>
          <w:rFonts w:eastAsia="Calibri"/>
        </w:rPr>
        <w:t>,</w:t>
      </w:r>
      <w:r w:rsidRPr="00657D21">
        <w:rPr>
          <w:rFonts w:eastAsia="Calibri"/>
        </w:rPr>
        <w:t xml:space="preserve"> and the scheme has been accredited by the Government since 2010. </w:t>
      </w:r>
    </w:p>
    <w:p w14:paraId="3783C1FF" w14:textId="77777777" w:rsidR="00652773" w:rsidRPr="00657D21" w:rsidRDefault="00652773" w:rsidP="00652773">
      <w:pPr>
        <w:pStyle w:val="Heading2"/>
        <w:numPr>
          <w:ilvl w:val="0"/>
          <w:numId w:val="81"/>
        </w:numPr>
        <w:tabs>
          <w:tab w:val="num" w:pos="1134"/>
        </w:tabs>
      </w:pPr>
      <w:bookmarkStart w:id="402" w:name="section247"/>
      <w:bookmarkStart w:id="403" w:name="_Toc169616438"/>
      <w:bookmarkStart w:id="404" w:name="_Toc169620145"/>
      <w:bookmarkStart w:id="405" w:name="_Toc172794051"/>
      <w:bookmarkStart w:id="406" w:name="_Toc184825509"/>
      <w:bookmarkEnd w:id="402"/>
      <w:r w:rsidRPr="00657D21">
        <w:t>Agriculture</w:t>
      </w:r>
      <w:bookmarkEnd w:id="403"/>
      <w:bookmarkEnd w:id="404"/>
      <w:bookmarkEnd w:id="405"/>
      <w:bookmarkEnd w:id="406"/>
    </w:p>
    <w:p w14:paraId="54B62D8D" w14:textId="77777777" w:rsidR="00652773" w:rsidRPr="00657D21" w:rsidRDefault="00652773" w:rsidP="00BC2A24">
      <w:pPr>
        <w:pStyle w:val="Heading3"/>
        <w:numPr>
          <w:ilvl w:val="0"/>
          <w:numId w:val="92"/>
        </w:numPr>
        <w:ind w:left="1134" w:hanging="1134"/>
        <w:rPr>
          <w:iCs/>
        </w:rPr>
      </w:pPr>
      <w:bookmarkStart w:id="407" w:name="_Toc172794052"/>
      <w:r w:rsidRPr="00657D21">
        <w:t>Implementing a fair and sustainable pricing system for on-farm agricultural emissions by 2030</w:t>
      </w:r>
      <w:bookmarkEnd w:id="407"/>
    </w:p>
    <w:p w14:paraId="6BFE52DC" w14:textId="78182688" w:rsidR="00652773" w:rsidRPr="00657D21" w:rsidDel="00B34F49" w:rsidRDefault="00652773" w:rsidP="00652773">
      <w:pPr>
        <w:pStyle w:val="BodyText"/>
        <w:rPr>
          <w:rFonts w:eastAsia="Calibri"/>
        </w:rPr>
      </w:pPr>
      <w:r w:rsidRPr="00657D21">
        <w:rPr>
          <w:rFonts w:eastAsia="Calibri"/>
        </w:rPr>
        <w:t>The Government has committed to implementing a fair and sustainable pricing system for on</w:t>
      </w:r>
      <w:r w:rsidR="006C219A">
        <w:rPr>
          <w:rFonts w:eastAsia="Calibri"/>
        </w:rPr>
        <w:t>-</w:t>
      </w:r>
      <w:r w:rsidRPr="00657D21">
        <w:rPr>
          <w:rFonts w:eastAsia="Calibri"/>
        </w:rPr>
        <w:t>farm agricultural emissions by 2030 that reduces emissions without sending production overseas. This includes a commitment to support on-farm emissions measurement by 2025. As</w:t>
      </w:r>
      <w:r>
        <w:rPr>
          <w:rFonts w:eastAsia="Calibri"/>
        </w:rPr>
        <w:t> </w:t>
      </w:r>
      <w:r w:rsidRPr="00657D21">
        <w:rPr>
          <w:rFonts w:eastAsia="Calibri"/>
        </w:rPr>
        <w:t>a part of the commitment to a fit-for-sector system, the Government amend</w:t>
      </w:r>
      <w:r w:rsidR="00581802">
        <w:rPr>
          <w:rFonts w:eastAsia="Calibri"/>
        </w:rPr>
        <w:t>ed</w:t>
      </w:r>
      <w:r w:rsidRPr="00657D21">
        <w:rPr>
          <w:rFonts w:eastAsia="Calibri"/>
        </w:rPr>
        <w:t xml:space="preserve"> the Climate Change Response Act 2002 to keep agriculture outside of the NZ ETS. </w:t>
      </w:r>
    </w:p>
    <w:p w14:paraId="16BDBD8E" w14:textId="518B31DC" w:rsidR="00652773" w:rsidRPr="00657D21" w:rsidRDefault="006C219A" w:rsidP="00652773">
      <w:pPr>
        <w:pStyle w:val="BodyText"/>
        <w:rPr>
          <w:rFonts w:eastAsia="Calibri"/>
        </w:rPr>
      </w:pPr>
      <w:r>
        <w:rPr>
          <w:rFonts w:eastAsia="Calibri"/>
        </w:rPr>
        <w:t>The s</w:t>
      </w:r>
      <w:r w:rsidR="00652773" w:rsidRPr="00657D21">
        <w:rPr>
          <w:rFonts w:eastAsia="Calibri"/>
        </w:rPr>
        <w:t>cope and design of the pricing system are yet to be determined. Factors, such as the availability of mitigations and risks related to emissions leakage and other impacts, are expected to be important design and implementation considerations.</w:t>
      </w:r>
    </w:p>
    <w:p w14:paraId="081DBF57" w14:textId="77777777" w:rsidR="00652773" w:rsidRPr="00657D21" w:rsidRDefault="00652773" w:rsidP="00652773">
      <w:pPr>
        <w:pStyle w:val="BodyText"/>
        <w:rPr>
          <w:rFonts w:eastAsia="Calibri"/>
        </w:rPr>
      </w:pPr>
      <w:bookmarkStart w:id="408" w:name="_Hlk178914245"/>
      <w:r w:rsidRPr="00657D21">
        <w:rPr>
          <w:rFonts w:eastAsia="Calibri"/>
        </w:rPr>
        <w:t>An important part of a reporting and pricing system will be having a standardised methodology for estimating emissions reductions at the farm level. Work is well under way. The first version of the standardised methodology (and the associated code) is likely to be published in 2024, and structures are being established to keep the method transparent, up to date and scientifically robust. Both the standardised methodology and the work on supporting uptake of</w:t>
      </w:r>
      <w:r>
        <w:rPr>
          <w:rFonts w:eastAsia="Calibri"/>
        </w:rPr>
        <w:t> </w:t>
      </w:r>
      <w:r w:rsidRPr="00657D21">
        <w:rPr>
          <w:rFonts w:eastAsia="Calibri"/>
        </w:rPr>
        <w:t xml:space="preserve">the methodology into calculation tools are essential to supporting the Government’s commitment to measurement by 2025. </w:t>
      </w:r>
    </w:p>
    <w:bookmarkEnd w:id="408"/>
    <w:p w14:paraId="78421C68" w14:textId="77777777" w:rsidR="00652773" w:rsidRPr="00657D21" w:rsidRDefault="00652773" w:rsidP="00652773">
      <w:pPr>
        <w:pStyle w:val="BodyText"/>
        <w:rPr>
          <w:rFonts w:eastAsia="Calibri"/>
        </w:rPr>
      </w:pPr>
      <w:r w:rsidRPr="00657D21">
        <w:rPr>
          <w:rFonts w:eastAsia="Calibri"/>
        </w:rPr>
        <w:t xml:space="preserve">The Government is also establishing a pastoral sector group, consisting of key pastoral sector stakeholders, to constructively tackle biogenic methane. </w:t>
      </w:r>
    </w:p>
    <w:p w14:paraId="1B48BDA4" w14:textId="77777777" w:rsidR="00652773" w:rsidRPr="00657D21" w:rsidRDefault="00652773" w:rsidP="00BC2A24">
      <w:pPr>
        <w:pStyle w:val="Heading3"/>
        <w:numPr>
          <w:ilvl w:val="0"/>
          <w:numId w:val="92"/>
        </w:numPr>
        <w:ind w:left="1134" w:hanging="1134"/>
      </w:pPr>
      <w:bookmarkStart w:id="409" w:name="_Toc169616440"/>
      <w:bookmarkStart w:id="410" w:name="_Toc169620147"/>
      <w:bookmarkStart w:id="411" w:name="_Toc172794053"/>
      <w:r w:rsidRPr="00657D21">
        <w:t>Centre for Climate Action on Agricultural Emissions</w:t>
      </w:r>
      <w:bookmarkEnd w:id="409"/>
      <w:bookmarkEnd w:id="410"/>
      <w:bookmarkEnd w:id="411"/>
    </w:p>
    <w:p w14:paraId="509FF9CB" w14:textId="784E166C" w:rsidR="00652773" w:rsidRPr="00657D21" w:rsidRDefault="00652773" w:rsidP="00652773">
      <w:pPr>
        <w:pStyle w:val="BodyText"/>
        <w:rPr>
          <w:rFonts w:eastAsia="Calibri"/>
        </w:rPr>
      </w:pPr>
      <w:r w:rsidRPr="00657D21">
        <w:rPr>
          <w:rFonts w:eastAsia="Calibri"/>
        </w:rPr>
        <w:t xml:space="preserve">The Centre for Climate Action on Agricultural Emissions </w:t>
      </w:r>
      <w:r w:rsidR="00A85D77">
        <w:rPr>
          <w:rFonts w:eastAsia="Calibri"/>
        </w:rPr>
        <w:t xml:space="preserve">(the Centre) </w:t>
      </w:r>
      <w:r w:rsidRPr="00657D21">
        <w:rPr>
          <w:rFonts w:eastAsia="Calibri"/>
        </w:rPr>
        <w:t>is a significant increase in public and private investment to get emissions reduction solutions to farmers faster, to meet New Zealand’s agricultural greenhouse gas (GHG) targets and remain internationally competitive.</w:t>
      </w:r>
      <w:r w:rsidRPr="00657D21">
        <w:rPr>
          <w:rStyle w:val="FootnoteReference"/>
        </w:rPr>
        <w:footnoteReference w:id="161"/>
      </w:r>
      <w:r w:rsidRPr="00657D21">
        <w:rPr>
          <w:rFonts w:eastAsia="Calibri"/>
          <w:sz w:val="18"/>
          <w:szCs w:val="18"/>
        </w:rPr>
        <w:t xml:space="preserve"> </w:t>
      </w:r>
    </w:p>
    <w:p w14:paraId="243EC9F3" w14:textId="697B5D1F" w:rsidR="00652773" w:rsidRPr="00657D21" w:rsidRDefault="00652773" w:rsidP="00652773">
      <w:pPr>
        <w:pStyle w:val="BodyText"/>
      </w:pPr>
      <w:r w:rsidRPr="00657D21">
        <w:t xml:space="preserve">The Government has committed to investing over $419 million over the next four years and $105 million per year from 2027/28 to accelerate the development of adoptable GHG mitigations. This work includes the Centre to drive New Zealand’s efforts. </w:t>
      </w:r>
    </w:p>
    <w:p w14:paraId="17D623A8" w14:textId="77777777" w:rsidR="00652773" w:rsidRPr="00657D21" w:rsidRDefault="00652773" w:rsidP="00652773">
      <w:pPr>
        <w:pStyle w:val="BodyText"/>
      </w:pPr>
      <w:r w:rsidRPr="00657D21">
        <w:t>The Centre aligns two organisations: the New Zealand Agricultural Greenhouse Gas Research Centre (NZAGRC) and the Crown–Industry joint venture known as AgriZero</w:t>
      </w:r>
      <w:r w:rsidRPr="00657D21">
        <w:rPr>
          <w:vertAlign w:val="superscript"/>
        </w:rPr>
        <w:t>NZ</w:t>
      </w:r>
      <w:r w:rsidRPr="00657D21">
        <w:t xml:space="preserve">. </w:t>
      </w:r>
    </w:p>
    <w:p w14:paraId="0D22963D" w14:textId="7646DD97" w:rsidR="00652773" w:rsidRPr="00657D21" w:rsidRDefault="00652773" w:rsidP="00652773">
      <w:pPr>
        <w:pStyle w:val="Bullet"/>
        <w:numPr>
          <w:ilvl w:val="0"/>
          <w:numId w:val="30"/>
        </w:numPr>
        <w:rPr>
          <w:rFonts w:eastAsia="Calibri"/>
        </w:rPr>
      </w:pPr>
      <w:r w:rsidRPr="00657D21">
        <w:rPr>
          <w:rFonts w:eastAsia="Calibri"/>
        </w:rPr>
        <w:t xml:space="preserve">The NZAGRC focuses on fundamental early research and the farm systems aspect of the research investment portfolio, including Māori-led innovation. An additional $50.5 million has been invested in NZAGRC over the next five years. Work to be supported through this scaled-up funding includes accelerating progress on breeding low-emissions cattle; developing faster and cheaper ways of identifying low-emissions animals; </w:t>
      </w:r>
      <w:r w:rsidR="003114E4">
        <w:rPr>
          <w:rFonts w:eastAsia="Calibri"/>
        </w:rPr>
        <w:t xml:space="preserve">and </w:t>
      </w:r>
      <w:r w:rsidRPr="00657D21">
        <w:rPr>
          <w:rFonts w:eastAsia="Calibri"/>
        </w:rPr>
        <w:t>accelerating work on methane and nitrous oxide inhibitors with a view to transitioning to commercial partners in the next four years.</w:t>
      </w:r>
    </w:p>
    <w:p w14:paraId="02EA4A1A" w14:textId="1F59FB61" w:rsidR="00652773" w:rsidRPr="00657D21" w:rsidRDefault="00652773" w:rsidP="00652773">
      <w:pPr>
        <w:pStyle w:val="Bullet"/>
        <w:numPr>
          <w:ilvl w:val="0"/>
          <w:numId w:val="30"/>
        </w:numPr>
        <w:rPr>
          <w:rFonts w:eastAsia="Calibri"/>
        </w:rPr>
      </w:pPr>
      <w:r w:rsidRPr="00657D21">
        <w:rPr>
          <w:rFonts w:eastAsia="Calibri"/>
        </w:rPr>
        <w:t>AgriZero</w:t>
      </w:r>
      <w:r w:rsidRPr="00657D21">
        <w:rPr>
          <w:rFonts w:eastAsia="Calibri"/>
          <w:vertAlign w:val="superscript"/>
        </w:rPr>
        <w:t>NZ</w:t>
      </w:r>
      <w:r w:rsidRPr="00657D21">
        <w:rPr>
          <w:rFonts w:eastAsia="Calibri"/>
        </w:rPr>
        <w:t xml:space="preserve"> is a long-term partnership (at least 10 years) with industry funding matched 1:1 by the Government ($191 million was committed by the Crown and industry over the</w:t>
      </w:r>
      <w:r>
        <w:rPr>
          <w:rFonts w:eastAsia="Calibri"/>
        </w:rPr>
        <w:t> </w:t>
      </w:r>
      <w:r w:rsidRPr="00657D21">
        <w:rPr>
          <w:rFonts w:eastAsia="Calibri"/>
        </w:rPr>
        <w:t>first four years from 2022/23). AgriZero</w:t>
      </w:r>
      <w:r w:rsidRPr="00657D21">
        <w:rPr>
          <w:rFonts w:eastAsia="Calibri"/>
          <w:vertAlign w:val="superscript"/>
        </w:rPr>
        <w:t>NZ</w:t>
      </w:r>
      <w:r w:rsidRPr="00657D21">
        <w:rPr>
          <w:rFonts w:eastAsia="Calibri"/>
        </w:rPr>
        <w:t xml:space="preserve"> drives product development and commercialisation of emissions reduction solutions. Significant investments by AgriZero</w:t>
      </w:r>
      <w:r w:rsidRPr="00657D21">
        <w:rPr>
          <w:rFonts w:eastAsia="Calibri"/>
          <w:vertAlign w:val="superscript"/>
        </w:rPr>
        <w:t>NZ</w:t>
      </w:r>
      <w:r w:rsidRPr="00657D21">
        <w:rPr>
          <w:rFonts w:eastAsia="Calibri"/>
        </w:rPr>
        <w:t xml:space="preserve"> to date include in vaccine technology, low-emission</w:t>
      </w:r>
      <w:r w:rsidR="003114E4">
        <w:rPr>
          <w:rFonts w:eastAsia="Calibri"/>
        </w:rPr>
        <w:t>s</w:t>
      </w:r>
      <w:r w:rsidRPr="00657D21">
        <w:rPr>
          <w:rFonts w:eastAsia="Calibri"/>
        </w:rPr>
        <w:t xml:space="preserve"> ryegrass and a slow release methane</w:t>
      </w:r>
      <w:r w:rsidR="003114E4">
        <w:rPr>
          <w:rFonts w:eastAsia="Calibri"/>
        </w:rPr>
        <w:t>-</w:t>
      </w:r>
      <w:r w:rsidRPr="00657D21">
        <w:rPr>
          <w:rFonts w:eastAsia="Calibri"/>
        </w:rPr>
        <w:t>inhibiting bolus.</w:t>
      </w:r>
    </w:p>
    <w:p w14:paraId="712973CD" w14:textId="77777777" w:rsidR="00652773" w:rsidRPr="00657D21" w:rsidRDefault="00652773" w:rsidP="00652773">
      <w:pPr>
        <w:pStyle w:val="BodyText"/>
      </w:pPr>
      <w:r w:rsidRPr="00657D21">
        <w:t xml:space="preserve">The Centre is supported by the Ministry for Primary Industries, which oversees Crown investment in the Centre and leads a broader programme of work to ensure effective and efficient domestic and international policy and regulation. </w:t>
      </w:r>
    </w:p>
    <w:p w14:paraId="5E4C6DB1" w14:textId="77777777" w:rsidR="00652773" w:rsidRPr="00657D21" w:rsidRDefault="00652773" w:rsidP="00BC2A24">
      <w:pPr>
        <w:pStyle w:val="Heading3"/>
        <w:numPr>
          <w:ilvl w:val="0"/>
          <w:numId w:val="92"/>
        </w:numPr>
        <w:ind w:left="1134" w:hanging="1134"/>
      </w:pPr>
      <w:bookmarkStart w:id="412" w:name="section2473"/>
      <w:bookmarkStart w:id="413" w:name="_Toc169616441"/>
      <w:bookmarkStart w:id="414" w:name="_Toc169620148"/>
      <w:bookmarkStart w:id="415" w:name="_Toc172794054"/>
      <w:bookmarkEnd w:id="412"/>
      <w:r w:rsidRPr="00657D21">
        <w:t>Global Research Alliance on Agricultural Greenhouse Gases</w:t>
      </w:r>
      <w:bookmarkEnd w:id="413"/>
      <w:bookmarkEnd w:id="414"/>
      <w:bookmarkEnd w:id="415"/>
    </w:p>
    <w:p w14:paraId="35191790" w14:textId="77777777" w:rsidR="00652773" w:rsidRPr="00657D21" w:rsidRDefault="00652773" w:rsidP="00652773">
      <w:pPr>
        <w:pStyle w:val="BodyText"/>
        <w:rPr>
          <w:rFonts w:eastAsia="Calibri"/>
        </w:rPr>
      </w:pPr>
      <w:r w:rsidRPr="00657D21">
        <w:rPr>
          <w:rFonts w:eastAsia="Calibri"/>
        </w:rPr>
        <w:t>The Global Research Alliance on Agricultural Greenhouse Gases (GRA), initiated by New</w:t>
      </w:r>
      <w:r>
        <w:rPr>
          <w:rFonts w:eastAsia="Calibri"/>
        </w:rPr>
        <w:t> </w:t>
      </w:r>
      <w:r w:rsidRPr="00657D21">
        <w:rPr>
          <w:rFonts w:eastAsia="Calibri"/>
        </w:rPr>
        <w:t>Zealand in late 2009, seeks to increase cooperation and investment to reduce the emissions intensity of agricultural production systems globally.</w:t>
      </w:r>
      <w:r w:rsidRPr="00657D21">
        <w:rPr>
          <w:rStyle w:val="FootnoteReference"/>
          <w:rFonts w:eastAsia="Calibri"/>
        </w:rPr>
        <w:footnoteReference w:id="162"/>
      </w:r>
      <w:r w:rsidRPr="00657D21">
        <w:rPr>
          <w:rFonts w:eastAsia="Calibri"/>
        </w:rPr>
        <w:t xml:space="preserve"> </w:t>
      </w:r>
    </w:p>
    <w:p w14:paraId="1EA9B73F" w14:textId="5A0D6C2A" w:rsidR="00652773" w:rsidRPr="00657D21" w:rsidRDefault="00652773" w:rsidP="00652773">
      <w:pPr>
        <w:pStyle w:val="BodyText"/>
      </w:pPr>
      <w:r w:rsidRPr="00657D21">
        <w:t>New Zealand support of the GRA covers three categories</w:t>
      </w:r>
      <w:r w:rsidR="00107CAF">
        <w:t>:</w:t>
      </w:r>
    </w:p>
    <w:p w14:paraId="6FE7ADBF" w14:textId="77777777" w:rsidR="00652773" w:rsidRPr="00657D21" w:rsidRDefault="00652773" w:rsidP="008D24C7">
      <w:pPr>
        <w:pStyle w:val="Bullet"/>
        <w:numPr>
          <w:ilvl w:val="0"/>
          <w:numId w:val="188"/>
        </w:numPr>
        <w:rPr>
          <w:rFonts w:eastAsia="Calibri"/>
        </w:rPr>
      </w:pPr>
      <w:r w:rsidRPr="00657D21">
        <w:rPr>
          <w:rFonts w:eastAsia="Calibri"/>
        </w:rPr>
        <w:t>Capability building: building capability in developing countries to reduce agricultural emissions and establish reporting systems to enable them to access wider climate finance. Between 2020 and 2023, more than 400 individuals have benefited from the GRA capability-building activities.</w:t>
      </w:r>
    </w:p>
    <w:p w14:paraId="26016BA1" w14:textId="77777777" w:rsidR="00652773" w:rsidRPr="00657D21" w:rsidRDefault="00652773" w:rsidP="008D24C7">
      <w:pPr>
        <w:pStyle w:val="Bullet"/>
        <w:numPr>
          <w:ilvl w:val="0"/>
          <w:numId w:val="188"/>
        </w:numPr>
        <w:rPr>
          <w:rFonts w:eastAsia="Calibri"/>
        </w:rPr>
      </w:pPr>
      <w:r w:rsidRPr="00657D21">
        <w:rPr>
          <w:rFonts w:eastAsia="Calibri"/>
        </w:rPr>
        <w:t>Research: facilitating global research programmes to mitigate agricultural greenhouse gases, to accelerate the development of global solutions, and access large international funding mechanisms with their associated large data sets.</w:t>
      </w:r>
    </w:p>
    <w:p w14:paraId="1F8AC10E" w14:textId="77777777" w:rsidR="00652773" w:rsidRPr="00657D21" w:rsidRDefault="00652773" w:rsidP="008D24C7">
      <w:pPr>
        <w:pStyle w:val="Bullet"/>
        <w:numPr>
          <w:ilvl w:val="0"/>
          <w:numId w:val="188"/>
        </w:numPr>
      </w:pPr>
      <w:r w:rsidRPr="00657D21">
        <w:rPr>
          <w:rFonts w:eastAsia="Calibri"/>
        </w:rPr>
        <w:t xml:space="preserve">Leadership: New Zealand’s leadership in establishing and hosting the GRA Secretariat and New Zealand’s activities in support of the GRA aim to foster collaborative international research projects, global datasets, and standard measurement and mitigation techniques and protocols between countries. </w:t>
      </w:r>
    </w:p>
    <w:p w14:paraId="291CE717" w14:textId="1B9CCC23" w:rsidR="00652773" w:rsidRPr="00657D21" w:rsidRDefault="00652773" w:rsidP="00652773">
      <w:pPr>
        <w:pStyle w:val="BodyText"/>
      </w:pPr>
      <w:r w:rsidRPr="00657D21">
        <w:t>New Zealand’s activities have established global networks of scientists</w:t>
      </w:r>
      <w:r w:rsidRPr="00657D21" w:rsidDel="00020199">
        <w:t>, creating</w:t>
      </w:r>
      <w:r w:rsidR="00020199">
        <w:t xml:space="preserve"> </w:t>
      </w:r>
      <w:r w:rsidRPr="00657D21">
        <w:t xml:space="preserve">capability development and training opportunities (particularly for scientists from developing countries) and </w:t>
      </w:r>
      <w:r w:rsidRPr="00657D21" w:rsidDel="00020199">
        <w:t xml:space="preserve">identifying </w:t>
      </w:r>
      <w:r w:rsidRPr="00657D21">
        <w:t xml:space="preserve">good-practice mitigation options for different production systems and climates. </w:t>
      </w:r>
    </w:p>
    <w:p w14:paraId="54DA2F40" w14:textId="77777777" w:rsidR="00652773" w:rsidRPr="00657D21" w:rsidRDefault="00652773" w:rsidP="00652773">
      <w:pPr>
        <w:pStyle w:val="BodyText"/>
      </w:pPr>
      <w:r w:rsidRPr="00657D21">
        <w:t>Through the GRA, New Zealand and Samoa established the Indigenous Research Network. The</w:t>
      </w:r>
      <w:r>
        <w:t xml:space="preserve"> </w:t>
      </w:r>
      <w:r w:rsidRPr="00657D21">
        <w:t xml:space="preserve">network provides the opportunity for indigenous people in GRA member countries to be able </w:t>
      </w:r>
      <w:r w:rsidRPr="00883E51">
        <w:rPr>
          <w:spacing w:val="-2"/>
        </w:rPr>
        <w:t>to connect and share their traditional knowledge in both ‘adaptation and mitigation’ to address</w:t>
      </w:r>
      <w:r w:rsidRPr="00657D21">
        <w:t xml:space="preserve"> greenhouse gas emissions reductions. The Tāngata Whenua Alliance provides a New Zealand platform for iwi Māori to work with indigenous peoples in their GRA work programmes.</w:t>
      </w:r>
    </w:p>
    <w:p w14:paraId="5153988B" w14:textId="77777777" w:rsidR="00652773" w:rsidRPr="00657D21" w:rsidRDefault="00652773" w:rsidP="00652773">
      <w:pPr>
        <w:pStyle w:val="BodyText"/>
      </w:pPr>
      <w:r w:rsidRPr="00657D21">
        <w:t>To further its engagement in supporting global collaboration in reducing greenhouse gases from food systems, New Zealand is planning to invest NZ$103 million to support GRA’s activities until 2028.</w:t>
      </w:r>
    </w:p>
    <w:p w14:paraId="0F0FF4BA" w14:textId="77777777" w:rsidR="00652773" w:rsidRPr="00657D21" w:rsidRDefault="00652773" w:rsidP="00784F5F">
      <w:pPr>
        <w:pStyle w:val="Heading3"/>
        <w:numPr>
          <w:ilvl w:val="0"/>
          <w:numId w:val="92"/>
        </w:numPr>
      </w:pPr>
      <w:bookmarkStart w:id="416" w:name="_Toc169616442"/>
      <w:bookmarkStart w:id="417" w:name="_Toc169620149"/>
      <w:bookmarkStart w:id="418" w:name="_Toc172794055"/>
      <w:r w:rsidRPr="00657D21">
        <w:t>Sustainable Food and Fibre Futures</w:t>
      </w:r>
      <w:bookmarkEnd w:id="416"/>
      <w:bookmarkEnd w:id="417"/>
      <w:bookmarkEnd w:id="418"/>
    </w:p>
    <w:p w14:paraId="722C2A15" w14:textId="77777777" w:rsidR="00652773" w:rsidRPr="00657D21" w:rsidRDefault="00652773" w:rsidP="00652773">
      <w:pPr>
        <w:pStyle w:val="BodyText"/>
      </w:pPr>
      <w:r w:rsidRPr="00657D21">
        <w:t>The Government established the Sustainable Food and Fibre Futures (SFF Futures) fund in 2018.</w:t>
      </w:r>
      <w:r w:rsidRPr="00657D21">
        <w:rPr>
          <w:rStyle w:val="FootnoteReference"/>
          <w:rFonts w:eastAsia="Calibri" w:cs="Calibri"/>
        </w:rPr>
        <w:footnoteReference w:id="163"/>
      </w:r>
      <w:r w:rsidRPr="00657D21">
        <w:t xml:space="preserve"> SFF Futures supports problem-solving and innovation in New Zealand’s food and fibre sector by co-investing in initiatives that make a positive and lasting difference. </w:t>
      </w:r>
    </w:p>
    <w:p w14:paraId="23574F68" w14:textId="77777777" w:rsidR="00652773" w:rsidRPr="00657D21" w:rsidRDefault="00652773" w:rsidP="00652773">
      <w:pPr>
        <w:pStyle w:val="BodyText"/>
      </w:pPr>
      <w:r w:rsidRPr="00657D21">
        <w:t>About N</w:t>
      </w:r>
      <w:r w:rsidRPr="00657D21">
        <w:rPr>
          <w:color w:val="000000" w:themeColor="text1"/>
        </w:rPr>
        <w:t xml:space="preserve">Z$60 million </w:t>
      </w:r>
      <w:r w:rsidRPr="00657D21">
        <w:t>of funding is available each year through SFF Futures. Projects undertaken require joint investment between the Government and private partner(s). Many projects provide sustainability and climate change benefits (of either reducing absolute emissions from the primary sector or reducing emissions per unit of product).</w:t>
      </w:r>
    </w:p>
    <w:p w14:paraId="678E1249" w14:textId="77777777" w:rsidR="00652773" w:rsidRPr="00657D21" w:rsidRDefault="00652773" w:rsidP="00652773">
      <w:pPr>
        <w:pStyle w:val="BodyText"/>
      </w:pPr>
      <w:r w:rsidRPr="00657D21">
        <w:t>Example projects include: prototyping a spatial integrated farm plan for greenhouse gas reduction; the preliminary evaluation of potential feed-based commercial solutions to ruminant methane emissions; ‘N-Vision’, a programme to enable smarter nitrogen management; and ‘Future Ready Farms’, a project trialling and developing 12 farm nutrient technologies that will help reduce the food and fibre sector’s environmental footprint.</w:t>
      </w:r>
    </w:p>
    <w:p w14:paraId="50605BA0" w14:textId="77777777" w:rsidR="00652773" w:rsidRPr="00657D21" w:rsidRDefault="00652773" w:rsidP="00BC2A24">
      <w:pPr>
        <w:pStyle w:val="Heading3"/>
        <w:numPr>
          <w:ilvl w:val="0"/>
          <w:numId w:val="92"/>
        </w:numPr>
        <w:ind w:left="1134" w:hanging="1134"/>
      </w:pPr>
      <w:bookmarkStart w:id="419" w:name="_Toc169616443"/>
      <w:bookmarkStart w:id="420" w:name="_Toc169620150"/>
      <w:bookmarkStart w:id="421" w:name="_Toc172794056"/>
      <w:r w:rsidRPr="00657D21">
        <w:t>Sustainable Land Management and Climate Change Research Programme</w:t>
      </w:r>
      <w:bookmarkEnd w:id="419"/>
      <w:bookmarkEnd w:id="420"/>
      <w:bookmarkEnd w:id="421"/>
    </w:p>
    <w:p w14:paraId="1BA7F28D" w14:textId="37E541EC" w:rsidR="00652773" w:rsidRPr="00657D21" w:rsidRDefault="00652773" w:rsidP="00652773">
      <w:pPr>
        <w:pStyle w:val="BodyText"/>
      </w:pPr>
      <w:r w:rsidRPr="00657D21">
        <w:t xml:space="preserve">In 2007, the Government set up the Sustainable Land Management and Climate Change research programme as part of a wider plan of action to support the generation of new climate change knowledge across the agriculture and forestry sectors. </w:t>
      </w:r>
    </w:p>
    <w:p w14:paraId="1510D481" w14:textId="77777777" w:rsidR="00652773" w:rsidRPr="00657D21" w:rsidRDefault="00652773" w:rsidP="00652773">
      <w:pPr>
        <w:pStyle w:val="BodyText"/>
      </w:pPr>
      <w:r w:rsidRPr="00657D21">
        <w:t xml:space="preserve">The research programme has covered all aspects of climate change in the land-based sectors, including impacts and adaptation, reducing greenhouse gas and nutrient emissions, and increasing forest carbon sinks. Since 2007, 193 projects have been commissioned, creating high-quality research, engaging stakeholders and end users, and growing climate change science capability in New Zealand. </w:t>
      </w:r>
    </w:p>
    <w:p w14:paraId="41B52511" w14:textId="7913B5E6" w:rsidR="00652773" w:rsidRPr="00657D21" w:rsidRDefault="00652773" w:rsidP="00652773">
      <w:pPr>
        <w:pStyle w:val="BodyText"/>
      </w:pPr>
      <w:r w:rsidRPr="00657D21">
        <w:t>In 2020, the Sustainable Land Management and Climate Change</w:t>
      </w:r>
      <w:r w:rsidRPr="00657D21" w:rsidDel="000A6FBC">
        <w:t xml:space="preserve"> </w:t>
      </w:r>
      <w:r w:rsidRPr="00657D21">
        <w:t xml:space="preserve">research programme was changed to limit its focus to climate change adaptation (including in the forestry sector). The </w:t>
      </w:r>
      <w:r w:rsidR="00B61FAF">
        <w:t xml:space="preserve">programme </w:t>
      </w:r>
      <w:r w:rsidRPr="00657D21">
        <w:t xml:space="preserve">supports projects providing an evidence base for policy and on-farm decision-making and identifying the social impacts of climate change. Projects also focus on the development and uptake of available technology to improve and adapt farming practices in response to the changing climate. </w:t>
      </w:r>
    </w:p>
    <w:p w14:paraId="5D5BCC99" w14:textId="77777777" w:rsidR="00652773" w:rsidRPr="00657D21" w:rsidRDefault="00652773" w:rsidP="00BC2A24">
      <w:pPr>
        <w:pStyle w:val="Heading3"/>
        <w:numPr>
          <w:ilvl w:val="0"/>
          <w:numId w:val="92"/>
        </w:numPr>
        <w:ind w:left="1134" w:hanging="1134"/>
      </w:pPr>
      <w:bookmarkStart w:id="422" w:name="_Toc169620151"/>
      <w:bookmarkStart w:id="423" w:name="_Toc172794057"/>
      <w:r w:rsidRPr="00657D21">
        <w:t>Regulations to manage freshwater introduced under the Essential Freshwater package</w:t>
      </w:r>
      <w:bookmarkEnd w:id="422"/>
      <w:bookmarkEnd w:id="423"/>
    </w:p>
    <w:p w14:paraId="25C4F81A" w14:textId="77777777" w:rsidR="00652773" w:rsidRPr="00657D21" w:rsidRDefault="00652773" w:rsidP="00652773">
      <w:pPr>
        <w:pStyle w:val="BodyText"/>
        <w:rPr>
          <w:rFonts w:eastAsia="Calibri"/>
        </w:rPr>
      </w:pPr>
      <w:r w:rsidRPr="00657D21">
        <w:t>The National Policy Statement for Freshwater Management provides national policy direction to regional councils on freshwater management. These measures can affect emissions through their influence on land use and management practices.</w:t>
      </w:r>
    </w:p>
    <w:p w14:paraId="106ED437" w14:textId="77777777" w:rsidR="00652773" w:rsidRPr="00657D21" w:rsidRDefault="00652773" w:rsidP="00652773">
      <w:pPr>
        <w:pStyle w:val="BodyText"/>
        <w:rPr>
          <w:rFonts w:eastAsia="Calibri"/>
        </w:rPr>
      </w:pPr>
      <w:r w:rsidRPr="00657D21">
        <w:rPr>
          <w:rFonts w:eastAsia="Calibri"/>
        </w:rPr>
        <w:t>Freshwater management in New Zealand is largely devolved to local authorities under the Resource Management Act 1991. Regional councils are responsible for managing water bodies in their region, including the flows and levels in any water body; control of the taking, use or damming, and diversion of water; the allocation of water; and the control of discharges.</w:t>
      </w:r>
    </w:p>
    <w:p w14:paraId="06D0027F" w14:textId="04362F65" w:rsidR="00652773" w:rsidRPr="00657D21" w:rsidRDefault="00652773" w:rsidP="00652773">
      <w:pPr>
        <w:pStyle w:val="BodyText"/>
      </w:pPr>
      <w:r w:rsidRPr="00657D21">
        <w:t>New Zealand’s freshwater regulations are currently under review. In December 2023</w:t>
      </w:r>
      <w:r w:rsidR="005F7712">
        <w:t>,</w:t>
      </w:r>
      <w:r w:rsidRPr="00657D21">
        <w:t xml:space="preserve"> the Government announced work to review and replace the National Policy Statement for Freshwater Management and this work is underway. </w:t>
      </w:r>
    </w:p>
    <w:p w14:paraId="74FC84AC" w14:textId="7214D173" w:rsidR="00652773" w:rsidRPr="00657D21" w:rsidRDefault="00652773" w:rsidP="00BC2A24">
      <w:pPr>
        <w:pStyle w:val="Heading2"/>
        <w:numPr>
          <w:ilvl w:val="0"/>
          <w:numId w:val="81"/>
        </w:numPr>
        <w:tabs>
          <w:tab w:val="num" w:pos="1134"/>
        </w:tabs>
        <w:ind w:left="1134" w:hanging="1134"/>
      </w:pPr>
      <w:bookmarkStart w:id="424" w:name="_Toc169616444"/>
      <w:bookmarkStart w:id="425" w:name="_Toc169620152"/>
      <w:bookmarkStart w:id="426" w:name="_Toc172794058"/>
      <w:bookmarkStart w:id="427" w:name="_Toc184825510"/>
      <w:r w:rsidRPr="00657D21">
        <w:t xml:space="preserve">Land </w:t>
      </w:r>
      <w:r w:rsidR="00ED5254">
        <w:t>U</w:t>
      </w:r>
      <w:r w:rsidRPr="00657D21">
        <w:t>se, Land-</w:t>
      </w:r>
      <w:r w:rsidR="00ED5254">
        <w:t>U</w:t>
      </w:r>
      <w:r w:rsidRPr="00657D21">
        <w:t>se Change and Forestry</w:t>
      </w:r>
      <w:bookmarkEnd w:id="424"/>
      <w:bookmarkEnd w:id="425"/>
      <w:bookmarkEnd w:id="426"/>
      <w:bookmarkEnd w:id="427"/>
    </w:p>
    <w:p w14:paraId="167A9FB7" w14:textId="77777777" w:rsidR="00652773" w:rsidRPr="00657D21" w:rsidRDefault="00652773" w:rsidP="00784F5F">
      <w:pPr>
        <w:pStyle w:val="Heading3"/>
        <w:numPr>
          <w:ilvl w:val="0"/>
          <w:numId w:val="93"/>
        </w:numPr>
      </w:pPr>
      <w:bookmarkStart w:id="428" w:name="_Toc169616445"/>
      <w:bookmarkStart w:id="429" w:name="_Toc169620153"/>
      <w:bookmarkStart w:id="430" w:name="_Toc172794059"/>
      <w:r w:rsidRPr="00657D21">
        <w:t>Role of forests in emissions reduction</w:t>
      </w:r>
      <w:bookmarkEnd w:id="428"/>
      <w:bookmarkEnd w:id="429"/>
      <w:bookmarkEnd w:id="430"/>
    </w:p>
    <w:p w14:paraId="794DF23D" w14:textId="51E2CEA9" w:rsidR="00652773" w:rsidRPr="00657D21" w:rsidRDefault="00652773" w:rsidP="00652773">
      <w:pPr>
        <w:pStyle w:val="BodyText"/>
      </w:pPr>
      <w:r w:rsidRPr="00657D21">
        <w:rPr>
          <w:rFonts w:eastAsia="Calibri"/>
        </w:rPr>
        <w:t>Forests can act as significant carbon sinks, by absorbing CO</w:t>
      </w:r>
      <w:r w:rsidRPr="00657D21">
        <w:rPr>
          <w:rFonts w:eastAsia="Calibri"/>
          <w:vertAlign w:val="subscript"/>
        </w:rPr>
        <w:t>2</w:t>
      </w:r>
      <w:r w:rsidRPr="00657D21">
        <w:rPr>
          <w:rFonts w:eastAsia="Calibri"/>
        </w:rPr>
        <w:t>, as well as helping to achieve other positive environmental outcomes (such as reducing erosion). In 2022</w:t>
      </w:r>
      <w:r w:rsidR="00A62413">
        <w:rPr>
          <w:rFonts w:eastAsia="Calibri"/>
        </w:rPr>
        <w:t>,</w:t>
      </w:r>
      <w:r w:rsidRPr="00657D21">
        <w:rPr>
          <w:rFonts w:eastAsia="Calibri"/>
        </w:rPr>
        <w:t xml:space="preserve"> the L</w:t>
      </w:r>
      <w:r w:rsidRPr="00657D21">
        <w:t>and Use, Land-</w:t>
      </w:r>
      <w:r w:rsidR="00ED5254">
        <w:t>U</w:t>
      </w:r>
      <w:r w:rsidRPr="00657D21">
        <w:t>se Change and Forestry (</w:t>
      </w:r>
      <w:r w:rsidRPr="00657D21">
        <w:rPr>
          <w:rFonts w:eastAsia="Calibri"/>
        </w:rPr>
        <w:t xml:space="preserve">LULUCF) sector offset 25 per cent of New Zealand’s gross emissions. Both the </w:t>
      </w:r>
      <w:r w:rsidRPr="00657D21">
        <w:t>natural forests and the plantation estate of New Zealand are significant carbon stores. In 2022, New Zealand’s forests were estimated to hold about 2 billion tonnes of carbon in their biomass.</w:t>
      </w:r>
      <w:r w:rsidRPr="00657D21">
        <w:rPr>
          <w:rStyle w:val="FootnoteReference"/>
        </w:rPr>
        <w:footnoteReference w:id="164"/>
      </w:r>
    </w:p>
    <w:p w14:paraId="3E53084B" w14:textId="77777777" w:rsidR="00652773" w:rsidRPr="00657D21" w:rsidRDefault="00652773" w:rsidP="00784F5F">
      <w:pPr>
        <w:pStyle w:val="Heading3"/>
        <w:numPr>
          <w:ilvl w:val="0"/>
          <w:numId w:val="93"/>
        </w:numPr>
      </w:pPr>
      <w:bookmarkStart w:id="431" w:name="_Toc169616446"/>
      <w:bookmarkStart w:id="432" w:name="_Toc169620154"/>
      <w:bookmarkStart w:id="433" w:name="_Toc172794060"/>
      <w:r w:rsidRPr="00657D21">
        <w:t>Promoting afforestation and carbon sequestration</w:t>
      </w:r>
      <w:bookmarkEnd w:id="431"/>
      <w:bookmarkEnd w:id="432"/>
      <w:bookmarkEnd w:id="433"/>
    </w:p>
    <w:p w14:paraId="12720216" w14:textId="77777777" w:rsidR="00652773" w:rsidRPr="00657D21" w:rsidRDefault="00652773" w:rsidP="00652773">
      <w:pPr>
        <w:pStyle w:val="BodyText"/>
        <w:rPr>
          <w:rFonts w:eastAsia="Calibri"/>
        </w:rPr>
      </w:pPr>
      <w:r w:rsidRPr="00657D21">
        <w:rPr>
          <w:rFonts w:eastAsia="Calibri"/>
        </w:rPr>
        <w:t>Afforestation has been used as a tool to mitigate soil erosion and sedimentation for over 80 years in New Zealand. In the early 1990s, the Government introduced the East Coast Forestry Project (more recently renamed the Erosion Control Funding Programme) to support land owners to treat vulnerable land in the East Coast region of the North Island. Afforestation initiatives increased from the late 2000s, and their scope broadened to address wider environmental issues and promote carbon sequestration. Six principal measures to</w:t>
      </w:r>
      <w:r w:rsidRPr="00657D21" w:rsidDel="00A45B71">
        <w:rPr>
          <w:rFonts w:eastAsia="Calibri"/>
        </w:rPr>
        <w:t xml:space="preserve"> </w:t>
      </w:r>
      <w:r w:rsidRPr="00657D21">
        <w:rPr>
          <w:rFonts w:eastAsia="Calibri"/>
        </w:rPr>
        <w:t>promote afforestation have been in place for part, or all, of the past 15 years. These initiatives are listed below and described in more detail later in this section:</w:t>
      </w:r>
    </w:p>
    <w:p w14:paraId="3AC6BB7E" w14:textId="77777777" w:rsidR="00652773" w:rsidRPr="00657D21" w:rsidRDefault="00652773" w:rsidP="00652773">
      <w:pPr>
        <w:pStyle w:val="Bullet"/>
        <w:numPr>
          <w:ilvl w:val="0"/>
          <w:numId w:val="30"/>
        </w:numPr>
      </w:pPr>
      <w:r w:rsidRPr="00657D21">
        <w:t>NZ ETS</w:t>
      </w:r>
    </w:p>
    <w:p w14:paraId="75139EC5" w14:textId="77777777" w:rsidR="00652773" w:rsidRPr="00657D21" w:rsidRDefault="00652773" w:rsidP="75ADBAC8">
      <w:pPr>
        <w:pStyle w:val="Bullet"/>
        <w:spacing w:line="280" w:lineRule="exact"/>
      </w:pPr>
      <w:r w:rsidRPr="00657D21">
        <w:t>One Billion Trees Fund</w:t>
      </w:r>
      <w:r w:rsidRPr="00657D21">
        <w:rPr>
          <w:rStyle w:val="FootnoteReference"/>
          <w:rFonts w:eastAsiaTheme="minorEastAsia"/>
        </w:rPr>
        <w:footnoteReference w:id="165"/>
      </w:r>
      <w:r w:rsidRPr="00657D21">
        <w:t xml:space="preserve"> </w:t>
      </w:r>
    </w:p>
    <w:p w14:paraId="0CBEEF25" w14:textId="77777777" w:rsidR="00652773" w:rsidRPr="00657D21" w:rsidRDefault="00652773" w:rsidP="00652773">
      <w:pPr>
        <w:pStyle w:val="Bullet"/>
        <w:numPr>
          <w:ilvl w:val="0"/>
          <w:numId w:val="30"/>
        </w:numPr>
        <w:spacing w:after="100" w:line="280" w:lineRule="exact"/>
      </w:pPr>
      <w:r w:rsidRPr="00657D21">
        <w:t>Sustainable Land Management Hill Country Erosion Programme</w:t>
      </w:r>
    </w:p>
    <w:p w14:paraId="13E9106C" w14:textId="77777777" w:rsidR="00652773" w:rsidRPr="00657D21" w:rsidRDefault="00652773" w:rsidP="00652773">
      <w:pPr>
        <w:pStyle w:val="Bullet"/>
        <w:numPr>
          <w:ilvl w:val="0"/>
          <w:numId w:val="30"/>
        </w:numPr>
        <w:spacing w:after="100" w:line="280" w:lineRule="exact"/>
      </w:pPr>
      <w:r w:rsidRPr="00657D21">
        <w:t>Erosion Control Funding Programme (formerly the East Coast Forestry Project)</w:t>
      </w:r>
    </w:p>
    <w:p w14:paraId="6F27B8A0" w14:textId="77777777" w:rsidR="00652773" w:rsidRPr="00657D21" w:rsidRDefault="00652773" w:rsidP="75ADBAC8">
      <w:pPr>
        <w:pStyle w:val="Bullet"/>
        <w:spacing w:after="100" w:line="280" w:lineRule="exact"/>
      </w:pPr>
      <w:r w:rsidRPr="00657D21">
        <w:t>Permanent Forest Sink Initiative (PFSI)</w:t>
      </w:r>
      <w:r w:rsidRPr="00657D21">
        <w:rPr>
          <w:rStyle w:val="FootnoteReference"/>
          <w:rFonts w:eastAsiaTheme="minorEastAsia"/>
        </w:rPr>
        <w:footnoteReference w:id="166"/>
      </w:r>
    </w:p>
    <w:p w14:paraId="61E2D792" w14:textId="77777777" w:rsidR="00652773" w:rsidRPr="00657D21" w:rsidRDefault="00652773" w:rsidP="75ADBAC8">
      <w:pPr>
        <w:pStyle w:val="Bullet"/>
        <w:spacing w:after="100" w:line="280" w:lineRule="exact"/>
      </w:pPr>
      <w:r w:rsidRPr="00657D21">
        <w:t>Afforestation Grant Scheme.</w:t>
      </w:r>
      <w:r w:rsidRPr="00657D21">
        <w:rPr>
          <w:rStyle w:val="FootnoteReference"/>
          <w:rFonts w:eastAsiaTheme="minorEastAsia"/>
        </w:rPr>
        <w:footnoteReference w:id="167"/>
      </w:r>
    </w:p>
    <w:p w14:paraId="5E23890B" w14:textId="67C391D3" w:rsidR="00652773" w:rsidRPr="00657D21" w:rsidRDefault="00652773" w:rsidP="00652773">
      <w:pPr>
        <w:pStyle w:val="BodyText"/>
        <w:rPr>
          <w:rFonts w:eastAsia="Calibri"/>
        </w:rPr>
      </w:pPr>
      <w:r w:rsidRPr="00657D21">
        <w:rPr>
          <w:rFonts w:eastAsia="Calibri"/>
        </w:rPr>
        <w:t xml:space="preserve">Between 2008 </w:t>
      </w:r>
      <w:r w:rsidRPr="00657D21">
        <w:t>and 2022</w:t>
      </w:r>
      <w:r w:rsidR="00B13EF7">
        <w:t>,</w:t>
      </w:r>
      <w:r w:rsidRPr="00657D21">
        <w:t xml:space="preserve"> the majority of total afforestation in New Zealand can be attributed to the Government initiatives listed above.</w:t>
      </w:r>
      <w:r w:rsidR="00B13EF7">
        <w:t xml:space="preserve"> </w:t>
      </w:r>
      <w:r w:rsidRPr="00657D21">
        <w:t>This figure includes afforestation resulting from the initiatives listed above, as well as the estimated effect the NZ ETS has had on reducing pre-1990 planted forest deforestation since 2008.</w:t>
      </w:r>
    </w:p>
    <w:p w14:paraId="144D4F54" w14:textId="77777777" w:rsidR="00652773" w:rsidRPr="00657D21" w:rsidRDefault="00652773" w:rsidP="00784F5F">
      <w:pPr>
        <w:pStyle w:val="Heading3"/>
        <w:numPr>
          <w:ilvl w:val="0"/>
          <w:numId w:val="93"/>
        </w:numPr>
      </w:pPr>
      <w:bookmarkStart w:id="434" w:name="_Toc169616447"/>
      <w:bookmarkStart w:id="435" w:name="_Toc169620155"/>
      <w:bookmarkStart w:id="436" w:name="_Toc172794061"/>
      <w:r w:rsidRPr="00657D21">
        <w:t>Principal measures</w:t>
      </w:r>
      <w:bookmarkEnd w:id="434"/>
      <w:bookmarkEnd w:id="435"/>
      <w:bookmarkEnd w:id="436"/>
    </w:p>
    <w:p w14:paraId="74E9054E" w14:textId="77777777" w:rsidR="00652773" w:rsidRPr="00657D21" w:rsidRDefault="00652773" w:rsidP="00784F5F">
      <w:pPr>
        <w:pStyle w:val="Heading4"/>
        <w:numPr>
          <w:ilvl w:val="0"/>
          <w:numId w:val="94"/>
        </w:numPr>
      </w:pPr>
      <w:bookmarkStart w:id="437" w:name="_Toc169616448"/>
      <w:bookmarkStart w:id="438" w:name="_Toc169620156"/>
      <w:bookmarkStart w:id="439" w:name="_Toc172794062"/>
      <w:r w:rsidRPr="00657D21">
        <w:t>New Zealand Emissions Trading Scheme</w:t>
      </w:r>
      <w:bookmarkEnd w:id="437"/>
      <w:bookmarkEnd w:id="438"/>
      <w:bookmarkEnd w:id="439"/>
    </w:p>
    <w:p w14:paraId="2A7D7F97" w14:textId="77777777" w:rsidR="00652773" w:rsidRPr="00657D21" w:rsidRDefault="00652773" w:rsidP="00652773">
      <w:pPr>
        <w:pStyle w:val="BodyText"/>
        <w:rPr>
          <w:rFonts w:eastAsia="Calibri"/>
        </w:rPr>
      </w:pPr>
      <w:r w:rsidRPr="00657D21">
        <w:rPr>
          <w:rFonts w:eastAsia="Calibri"/>
        </w:rPr>
        <w:t>The NZ ETS is the main policy instrument to encourage afforestation and reduce deforestation for climate change purposes.</w:t>
      </w:r>
      <w:r w:rsidRPr="00657D21">
        <w:rPr>
          <w:rStyle w:val="FootnoteReference"/>
          <w:rFonts w:eastAsia="Calibri"/>
        </w:rPr>
        <w:footnoteReference w:id="168"/>
      </w:r>
      <w:r w:rsidRPr="00657D21">
        <w:rPr>
          <w:rFonts w:eastAsia="Calibri"/>
        </w:rPr>
        <w:t xml:space="preserve"> </w:t>
      </w:r>
    </w:p>
    <w:p w14:paraId="2B94A03E" w14:textId="69CBF2A3" w:rsidR="00652773" w:rsidRPr="00657D21" w:rsidRDefault="00652773" w:rsidP="00652773">
      <w:pPr>
        <w:pStyle w:val="BodyText"/>
        <w:rPr>
          <w:rFonts w:eastAsia="Calibri"/>
        </w:rPr>
      </w:pPr>
      <w:r w:rsidRPr="00657D21">
        <w:rPr>
          <w:rFonts w:eastAsia="Calibri"/>
        </w:rPr>
        <w:t xml:space="preserve">The </w:t>
      </w:r>
      <w:r w:rsidRPr="00657D21" w:rsidDel="00B13EF7">
        <w:rPr>
          <w:rFonts w:eastAsia="Calibri"/>
        </w:rPr>
        <w:t>f</w:t>
      </w:r>
      <w:r w:rsidRPr="00657D21">
        <w:rPr>
          <w:rFonts w:eastAsia="Calibri"/>
        </w:rPr>
        <w:t>orestry sector entered the NZ ETS in 2008, and, as at 31 December 2022, around 77 per cent of post-1989 forests had been voluntarily registered in the NZ ETS.</w:t>
      </w:r>
      <w:r w:rsidRPr="00657D21">
        <w:rPr>
          <w:rFonts w:eastAsia="Calibri"/>
          <w:vertAlign w:val="superscript"/>
        </w:rPr>
        <w:footnoteReference w:id="169"/>
      </w:r>
      <w:r w:rsidRPr="00657D21">
        <w:rPr>
          <w:rFonts w:eastAsia="Calibri"/>
        </w:rPr>
        <w:t xml:space="preserve"> </w:t>
      </w:r>
    </w:p>
    <w:p w14:paraId="7FD442EF" w14:textId="77777777" w:rsidR="00652773" w:rsidRPr="00657D21" w:rsidRDefault="00652773" w:rsidP="00652773">
      <w:pPr>
        <w:pStyle w:val="BodyText"/>
        <w:rPr>
          <w:rFonts w:eastAsia="Calibri"/>
        </w:rPr>
      </w:pPr>
      <w:r w:rsidRPr="00657D21">
        <w:rPr>
          <w:rFonts w:eastAsia="Calibri"/>
        </w:rPr>
        <w:t xml:space="preserve">Forests established since 1 January 1990 and entered into the NZ ETS are eligible to earn emissions units that represent the carbon sequestered by the forest </w:t>
      </w:r>
      <w:r w:rsidRPr="00657D21">
        <w:t>since the start of the mandatory emissions return period in which they were registered.</w:t>
      </w:r>
      <w:r w:rsidRPr="00657D21">
        <w:rPr>
          <w:rStyle w:val="FootnoteReference"/>
        </w:rPr>
        <w:footnoteReference w:id="170"/>
      </w:r>
      <w:r w:rsidRPr="00657D21">
        <w:rPr>
          <w:rFonts w:eastAsia="Calibri"/>
        </w:rPr>
        <w:t xml:space="preserve"> These forests can also be liable to surrender units if there is a reduction in carbon stock (depending on the accounting methodology used).</w:t>
      </w:r>
      <w:r w:rsidRPr="00657D21">
        <w:rPr>
          <w:rFonts w:eastAsia="Calibri"/>
          <w:vertAlign w:val="superscript"/>
        </w:rPr>
        <w:footnoteReference w:id="171"/>
      </w:r>
      <w:r w:rsidRPr="00657D21">
        <w:rPr>
          <w:rFonts w:eastAsia="Calibri"/>
        </w:rPr>
        <w:t xml:space="preserve"> Most land owners with exotic forests planted before 1990 face deforestation liabilities</w:t>
      </w:r>
      <w:r w:rsidRPr="00657D21">
        <w:rPr>
          <w:rStyle w:val="FootnoteReference"/>
          <w:rFonts w:eastAsia="Calibri"/>
        </w:rPr>
        <w:footnoteReference w:id="172"/>
      </w:r>
      <w:r w:rsidRPr="00657D21">
        <w:rPr>
          <w:rFonts w:eastAsia="Calibri"/>
        </w:rPr>
        <w:t xml:space="preserve"> under the NZ ETS, if they deforest.</w:t>
      </w:r>
    </w:p>
    <w:p w14:paraId="0D18D7EB" w14:textId="55DC9CE1" w:rsidR="00652773" w:rsidRPr="00657D21" w:rsidRDefault="00652773" w:rsidP="00652773">
      <w:pPr>
        <w:pStyle w:val="BodyText"/>
      </w:pPr>
      <w:r w:rsidRPr="00657D21">
        <w:rPr>
          <w:rFonts w:eastAsia="Calibri"/>
        </w:rPr>
        <w:t>Amendments to the NZ ETS were enacted in 2020, to improve its overall operation and effectiveness and ensure its settings are able to support New Zealand to meet its future emissions reduction targets.</w:t>
      </w:r>
      <w:r w:rsidRPr="00657D21">
        <w:t xml:space="preserve"> For forestry, these improvements include the following.</w:t>
      </w:r>
    </w:p>
    <w:p w14:paraId="0D20070D" w14:textId="77777777" w:rsidR="00652773" w:rsidRPr="00657D21" w:rsidRDefault="00652773" w:rsidP="75ADBAC8">
      <w:pPr>
        <w:pStyle w:val="Bullet"/>
      </w:pPr>
      <w:r w:rsidRPr="00657D21">
        <w:t>Introducing mandatory averaging accounting for ‘standard forestry’</w:t>
      </w:r>
      <w:r w:rsidRPr="00657D21">
        <w:rPr>
          <w:vertAlign w:val="superscript"/>
        </w:rPr>
        <w:footnoteReference w:id="173"/>
      </w:r>
      <w:r w:rsidRPr="00657D21">
        <w:t xml:space="preserve"> for those registered from 1 January 2023. Under averaging accounting, first-rotation forests earn units up to the long-term average carbon stock of the forest based on multiple rotations, without having to surrender units at harvest. By recognising the long-term average carbon stock, averaging accounting enables more NZUs to be sold at low risk, offering higher returns and incentivising afforestation. As with all post-1989 forests in the NZ ETS, if the land is deforested or deregistered, units need to be surrendered. </w:t>
      </w:r>
    </w:p>
    <w:p w14:paraId="20BB2570" w14:textId="77777777" w:rsidR="00652773" w:rsidRPr="00657D21" w:rsidRDefault="00652773" w:rsidP="00652773">
      <w:pPr>
        <w:pStyle w:val="Bullet"/>
        <w:numPr>
          <w:ilvl w:val="0"/>
          <w:numId w:val="30"/>
        </w:numPr>
      </w:pPr>
      <w:r w:rsidRPr="00657D21">
        <w:t>A new permanent post-1989 forest category was introduced from 1 January 2023. Forest land registered as permanent must remain in the NZ ETS for at least 50 years and cannot be clear-felled during that time. If the land is clear-felled, there are substantial penalties. Permanent forests will use the stock change accounting approach. Registered forest owners will earn NZUs as long as the forest carbon stock is increasing. The permanent post-1989 forest category replaced the PFSI, which closed on 31 December 2023.</w:t>
      </w:r>
    </w:p>
    <w:p w14:paraId="4697F781" w14:textId="77777777" w:rsidR="00652773" w:rsidRPr="00657D21" w:rsidRDefault="00652773" w:rsidP="00652773">
      <w:pPr>
        <w:pStyle w:val="Bullet"/>
        <w:numPr>
          <w:ilvl w:val="0"/>
          <w:numId w:val="30"/>
        </w:numPr>
      </w:pPr>
      <w:r w:rsidRPr="00657D21">
        <w:t xml:space="preserve">Several operational and process changes were made to improve the NZ ETS for forestry and make it easier and more flexible for participants. </w:t>
      </w:r>
    </w:p>
    <w:p w14:paraId="4EFEE415" w14:textId="77777777" w:rsidR="00652773" w:rsidRPr="00657D21" w:rsidRDefault="00652773" w:rsidP="00784F5F">
      <w:pPr>
        <w:pStyle w:val="Heading4"/>
        <w:numPr>
          <w:ilvl w:val="0"/>
          <w:numId w:val="94"/>
        </w:numPr>
        <w:tabs>
          <w:tab w:val="clear" w:pos="1134"/>
          <w:tab w:val="left" w:pos="1276"/>
        </w:tabs>
      </w:pPr>
      <w:bookmarkStart w:id="440" w:name="_Toc172794064"/>
      <w:r w:rsidRPr="00657D21">
        <w:t>One Billion Trees Fund</w:t>
      </w:r>
      <w:bookmarkEnd w:id="440"/>
    </w:p>
    <w:p w14:paraId="2380D9C4" w14:textId="77777777" w:rsidR="00652773" w:rsidRPr="00657D21" w:rsidRDefault="00652773" w:rsidP="00652773">
      <w:pPr>
        <w:pStyle w:val="BodyText"/>
        <w:rPr>
          <w:rFonts w:eastAsia="Calibri"/>
        </w:rPr>
      </w:pPr>
      <w:r w:rsidRPr="00657D21">
        <w:rPr>
          <w:rFonts w:eastAsia="Calibri"/>
        </w:rPr>
        <w:t>The One Billion Trees Fund was designed to increase tree planting across New Zealand and help reach the Government’s goal to plant one billion trees by 2028. The $176.8 million fund supports two types of projects: Direct Landowner Grants for planting projects and Partnership Grants for broader initiatives that enable planting to occur. In addition, the fund’s Matariki Tu Rākau programme supports commemorative community tree-planting projects.</w:t>
      </w:r>
    </w:p>
    <w:p w14:paraId="212EE968" w14:textId="77777777" w:rsidR="00652773" w:rsidRPr="00657D21" w:rsidRDefault="00652773" w:rsidP="00652773">
      <w:pPr>
        <w:pStyle w:val="BodyText"/>
        <w:rPr>
          <w:rFonts w:eastAsia="Calibri"/>
        </w:rPr>
      </w:pPr>
      <w:r w:rsidRPr="00657D21">
        <w:rPr>
          <w:rFonts w:eastAsia="Calibri"/>
        </w:rPr>
        <w:t xml:space="preserve">The fund was open for applications from August 2018 until 30 June 2021, however, planting </w:t>
      </w:r>
      <w:r w:rsidRPr="00657D21">
        <w:rPr>
          <w:rFonts w:eastAsia="Calibri"/>
          <w:spacing w:val="-2"/>
        </w:rPr>
        <w:t>projects are still being established and will continue to be monitored and paid for several years.</w:t>
      </w:r>
      <w:r w:rsidRPr="00657D21">
        <w:rPr>
          <w:rFonts w:eastAsia="Calibri"/>
        </w:rPr>
        <w:t xml:space="preserve"> </w:t>
      </w:r>
    </w:p>
    <w:p w14:paraId="1FBCECE9" w14:textId="77777777" w:rsidR="00652773" w:rsidRPr="00657D21" w:rsidRDefault="00652773" w:rsidP="00652773">
      <w:pPr>
        <w:pStyle w:val="BodyText"/>
      </w:pPr>
      <w:r w:rsidRPr="00657D21">
        <w:rPr>
          <w:rFonts w:eastAsia="Calibri"/>
        </w:rPr>
        <w:t>As at March 2024, the fund has supported the establishment of over 41 million trees. Projects range in size from small commemorative planting sites through to large areas of new afforestation. Trees planted include native and exotic species.</w:t>
      </w:r>
    </w:p>
    <w:p w14:paraId="2DD96DFA" w14:textId="77777777" w:rsidR="00652773" w:rsidRPr="00657D21" w:rsidRDefault="00652773" w:rsidP="00BC2A24">
      <w:pPr>
        <w:pStyle w:val="Heading4"/>
        <w:numPr>
          <w:ilvl w:val="0"/>
          <w:numId w:val="94"/>
        </w:numPr>
        <w:tabs>
          <w:tab w:val="clear" w:pos="1134"/>
          <w:tab w:val="left" w:pos="1276"/>
        </w:tabs>
        <w:ind w:left="1276" w:hanging="1276"/>
      </w:pPr>
      <w:bookmarkStart w:id="441" w:name="_Toc169616450"/>
      <w:bookmarkStart w:id="442" w:name="_Toc169620158"/>
      <w:bookmarkStart w:id="443" w:name="_Toc172794065"/>
      <w:r w:rsidRPr="00657D21">
        <w:t>Sustainable Land Management Hill Country Erosion Programme</w:t>
      </w:r>
    </w:p>
    <w:p w14:paraId="095CE6AA" w14:textId="77777777" w:rsidR="00652773" w:rsidRPr="00657D21" w:rsidRDefault="00652773" w:rsidP="00652773">
      <w:pPr>
        <w:pStyle w:val="BodyText"/>
        <w:rPr>
          <w:rFonts w:eastAsia="Calibri"/>
        </w:rPr>
      </w:pPr>
      <w:r w:rsidRPr="00657D21">
        <w:rPr>
          <w:rFonts w:eastAsia="Calibri"/>
        </w:rPr>
        <w:t>The Sustainable Land Management Hill Country Erosion Programme helps protect New Zealand’s estimated 1.4 million hectares of pastoral hill country that are classified as erosion prone. The programme was initiated in 2007 in response to significant storm events as a partnership between the Ministry for Primary Industries, land owners, and regional and unitary councils.</w:t>
      </w:r>
    </w:p>
    <w:p w14:paraId="4C09CF3D" w14:textId="77777777" w:rsidR="00652773" w:rsidRPr="00657D21" w:rsidRDefault="00652773" w:rsidP="00652773">
      <w:pPr>
        <w:pStyle w:val="BodyText"/>
      </w:pPr>
      <w:r w:rsidRPr="00657D21">
        <w:rPr>
          <w:rFonts w:eastAsia="Calibri"/>
        </w:rPr>
        <w:t>It currently provides up to NZ$6.3 million of targeted funding support annually, across four</w:t>
      </w:r>
      <w:r w:rsidRPr="00657D21">
        <w:rPr>
          <w:rFonts w:eastAsia="Calibri"/>
        </w:rPr>
        <w:noBreakHyphen/>
        <w:t xml:space="preserve">year programmes led by regional and unitary councils. Programmes deliver sustainable land management treatments </w:t>
      </w:r>
      <w:r w:rsidRPr="00657D21">
        <w:t xml:space="preserve">including wide-spaced poplar and willow planting, small-scale afforestation, reversion to indigenous forest and retirement of land. The fund also supports catchment facilitation work and capability-building initiatives. </w:t>
      </w:r>
    </w:p>
    <w:p w14:paraId="2F603BF1" w14:textId="77777777" w:rsidR="00652773" w:rsidRPr="00657D21" w:rsidRDefault="00652773" w:rsidP="00652773">
      <w:pPr>
        <w:pStyle w:val="BodyText"/>
      </w:pPr>
      <w:r w:rsidRPr="00657D21">
        <w:t>In 2023, over $25 million of funding was allocated to 14 regional and unitary councils to continue the momentum towards soil conservation and revegetation work under regional programmes. The current four-year projects target over 22,000 hectares of land management treatments. Funding support started in July 2023 and will end in June 2027.</w:t>
      </w:r>
    </w:p>
    <w:p w14:paraId="19E84BCB" w14:textId="77777777" w:rsidR="00652773" w:rsidRPr="00657D21" w:rsidRDefault="00652773" w:rsidP="00652773">
      <w:pPr>
        <w:pStyle w:val="BodyText"/>
        <w:rPr>
          <w:rFonts w:eastAsia="Calibri"/>
        </w:rPr>
      </w:pPr>
      <w:r w:rsidRPr="00657D21">
        <w:t>Although its main purpose is to reduce erosion, the programme</w:t>
      </w:r>
      <w:r w:rsidRPr="00657D21">
        <w:rPr>
          <w:rFonts w:eastAsia="Calibri"/>
        </w:rPr>
        <w:t xml:space="preserve"> also contributes to the sequestration of carbon in small-scale forests, reverting land to native vegetation and through planting of poplars and willows, often within grazed pastures. </w:t>
      </w:r>
    </w:p>
    <w:p w14:paraId="7FB069E8" w14:textId="77777777" w:rsidR="00652773" w:rsidRPr="00657D21" w:rsidRDefault="00652773" w:rsidP="00784F5F">
      <w:pPr>
        <w:pStyle w:val="Heading4"/>
        <w:numPr>
          <w:ilvl w:val="0"/>
          <w:numId w:val="94"/>
        </w:numPr>
        <w:tabs>
          <w:tab w:val="clear" w:pos="1134"/>
          <w:tab w:val="left" w:pos="1276"/>
        </w:tabs>
      </w:pPr>
      <w:r w:rsidRPr="00657D21">
        <w:t>Erosion Control Funding Programme</w:t>
      </w:r>
      <w:bookmarkEnd w:id="441"/>
      <w:bookmarkEnd w:id="442"/>
      <w:bookmarkEnd w:id="443"/>
    </w:p>
    <w:p w14:paraId="2DDBEE35" w14:textId="77777777" w:rsidR="00652773" w:rsidRPr="00657D21" w:rsidRDefault="00652773" w:rsidP="00652773">
      <w:pPr>
        <w:pStyle w:val="BodyText"/>
      </w:pPr>
      <w:r w:rsidRPr="00657D21">
        <w:rPr>
          <w:rFonts w:eastAsia="Calibri"/>
        </w:rPr>
        <w:t xml:space="preserve">The Erosion Control Funding Programme (formerly the East Coast Forestry Project) was implemented in 1992 to </w:t>
      </w:r>
      <w:r w:rsidRPr="00657D21">
        <w:t>address soil erosion in the Gisborne district. The programme aims to encourage tree planting on severely eroding or erodible land. Government grants help to fund the cost of establishing and managing treatments on this land, including indigenous or exotic afforestation, reversion to indigenous forest, and wide-spaced poplar and willow planting. Nearly 46,000 hectares have been treated through the programme to date.</w:t>
      </w:r>
    </w:p>
    <w:p w14:paraId="694E23B8" w14:textId="77777777" w:rsidR="00652773" w:rsidRPr="00883E51" w:rsidRDefault="00652773" w:rsidP="00652773">
      <w:pPr>
        <w:pStyle w:val="BodyText"/>
      </w:pPr>
      <w:r w:rsidRPr="00657D21">
        <w:t>Although its main purpose is to reduce erosion, the programme also contributes to the</w:t>
      </w:r>
      <w:r>
        <w:t xml:space="preserve"> </w:t>
      </w:r>
      <w:r w:rsidRPr="00657D21">
        <w:t>sequestration of carbon in forests as a co-</w:t>
      </w:r>
      <w:r w:rsidRPr="00883E51">
        <w:t xml:space="preserve">benefit of some treatments. </w:t>
      </w:r>
    </w:p>
    <w:p w14:paraId="75BD3A15" w14:textId="54BE2A70" w:rsidR="00652773" w:rsidRPr="00657D21" w:rsidRDefault="00652773" w:rsidP="00652773">
      <w:pPr>
        <w:pStyle w:val="BodyText"/>
        <w:rPr>
          <w:rFonts w:eastAsia="Calibri"/>
        </w:rPr>
      </w:pPr>
      <w:r w:rsidRPr="00883E51">
        <w:t>The final funding round for programme land</w:t>
      </w:r>
      <w:r w:rsidRPr="00657D21">
        <w:rPr>
          <w:rFonts w:eastAsia="Calibri"/>
        </w:rPr>
        <w:t xml:space="preserve"> treatments was held in 2018 but land treatment under those grants is still underway. </w:t>
      </w:r>
    </w:p>
    <w:p w14:paraId="776A3B93" w14:textId="77777777" w:rsidR="00652773" w:rsidRPr="00657D21" w:rsidRDefault="00652773" w:rsidP="00784F5F">
      <w:pPr>
        <w:pStyle w:val="Heading3"/>
        <w:numPr>
          <w:ilvl w:val="0"/>
          <w:numId w:val="93"/>
        </w:numPr>
        <w:tabs>
          <w:tab w:val="clear" w:pos="1134"/>
          <w:tab w:val="left" w:pos="1276"/>
        </w:tabs>
      </w:pPr>
      <w:bookmarkStart w:id="444" w:name="_Toc169616452"/>
      <w:bookmarkStart w:id="445" w:name="_Toc169620160"/>
      <w:bookmarkStart w:id="446" w:name="_Toc172794067"/>
      <w:r w:rsidRPr="00657D21">
        <w:t>Other measures</w:t>
      </w:r>
      <w:bookmarkEnd w:id="444"/>
      <w:bookmarkEnd w:id="445"/>
      <w:bookmarkEnd w:id="446"/>
    </w:p>
    <w:p w14:paraId="417C71A9" w14:textId="77777777" w:rsidR="00652773" w:rsidRPr="00657D21" w:rsidRDefault="00652773" w:rsidP="00784F5F">
      <w:pPr>
        <w:pStyle w:val="Heading4"/>
        <w:numPr>
          <w:ilvl w:val="0"/>
          <w:numId w:val="95"/>
        </w:numPr>
        <w:tabs>
          <w:tab w:val="clear" w:pos="1134"/>
          <w:tab w:val="left" w:pos="1276"/>
        </w:tabs>
      </w:pPr>
      <w:bookmarkStart w:id="447" w:name="_Toc169616453"/>
      <w:bookmarkStart w:id="448" w:name="_Toc169620161"/>
      <w:bookmarkStart w:id="449" w:name="_Toc172794068"/>
      <w:r w:rsidRPr="00657D21">
        <w:t>Afforestation on Crown</w:t>
      </w:r>
      <w:r>
        <w:t>-owned</w:t>
      </w:r>
      <w:r w:rsidRPr="00657D21">
        <w:t xml:space="preserve"> land</w:t>
      </w:r>
    </w:p>
    <w:p w14:paraId="5E213297" w14:textId="77777777" w:rsidR="00652773" w:rsidRPr="00883E51" w:rsidRDefault="00652773" w:rsidP="00652773">
      <w:pPr>
        <w:pStyle w:val="BodyText"/>
      </w:pPr>
      <w:r w:rsidRPr="5CD2D493">
        <w:t>The Government is exploring opportunities to partner with the private sector to plant trees on</w:t>
      </w:r>
      <w:r>
        <w:t> </w:t>
      </w:r>
      <w:r w:rsidRPr="5CD2D493">
        <w:t>Crown-owned land (excluding national parks) that is of low conservation value and low farming value.</w:t>
      </w:r>
    </w:p>
    <w:p w14:paraId="3A9EAEA9" w14:textId="76932B4F" w:rsidR="00652773" w:rsidRDefault="00652773" w:rsidP="00652773">
      <w:pPr>
        <w:pStyle w:val="BodyText"/>
      </w:pPr>
      <w:r w:rsidRPr="5CD2D493">
        <w:t>The Government will test domestic and international partner interest in forming public</w:t>
      </w:r>
      <w:r w:rsidRPr="5CD2D493" w:rsidDel="005550A2">
        <w:t>/</w:t>
      </w:r>
      <w:r w:rsidRPr="5CD2D493">
        <w:t>private partnerships to plant trees on Crown-owned land, and the conditions they might require to partner with the Crown.</w:t>
      </w:r>
    </w:p>
    <w:p w14:paraId="215E4A18" w14:textId="77777777" w:rsidR="00652773" w:rsidRPr="00657D21" w:rsidRDefault="00652773" w:rsidP="00784F5F">
      <w:pPr>
        <w:pStyle w:val="Heading4"/>
        <w:numPr>
          <w:ilvl w:val="0"/>
          <w:numId w:val="95"/>
        </w:numPr>
        <w:tabs>
          <w:tab w:val="clear" w:pos="1134"/>
          <w:tab w:val="left" w:pos="1276"/>
        </w:tabs>
      </w:pPr>
      <w:r w:rsidRPr="00657D21">
        <w:t>Woody biomass</w:t>
      </w:r>
      <w:bookmarkEnd w:id="447"/>
      <w:bookmarkEnd w:id="448"/>
      <w:bookmarkEnd w:id="449"/>
      <w:r>
        <w:t xml:space="preserve"> for bioenergy</w:t>
      </w:r>
    </w:p>
    <w:p w14:paraId="394D2E32" w14:textId="1E6EDBEA" w:rsidR="00652773" w:rsidRPr="00657D21" w:rsidRDefault="00652773" w:rsidP="00652773">
      <w:pPr>
        <w:pStyle w:val="BodyText"/>
        <w:rPr>
          <w:rFonts w:eastAsia="Calibri"/>
        </w:rPr>
      </w:pPr>
      <w:r w:rsidRPr="00657D21">
        <w:rPr>
          <w:rFonts w:eastAsia="Calibri"/>
        </w:rPr>
        <w:t xml:space="preserve">Woody biomass offers an alternative to coal and other carbon-intensive fuels and materials. New Zealand has a growing solid heat energy sector (based on renewable wood pellets, hog fuel and chips for boilers) and investigations and research have been done into the development of a liquid biofuels sector, which is building sector and investment interest. To offset and replace carbon emissions from fossil fuels, this initiative will: </w:t>
      </w:r>
    </w:p>
    <w:p w14:paraId="60F205D6" w14:textId="77777777" w:rsidR="00652773" w:rsidRPr="00657D21" w:rsidRDefault="00652773" w:rsidP="00652773">
      <w:pPr>
        <w:pStyle w:val="Bullet"/>
        <w:numPr>
          <w:ilvl w:val="0"/>
          <w:numId w:val="30"/>
        </w:numPr>
      </w:pPr>
      <w:r w:rsidRPr="00657D21">
        <w:t>enable Crown Forestry to invest in commercial planting to increase supply of biomass for energy and other products in targeted areas where increased supply is required</w:t>
      </w:r>
    </w:p>
    <w:p w14:paraId="3FD6BC22" w14:textId="77777777" w:rsidR="00652773" w:rsidRPr="00657D21" w:rsidRDefault="00652773" w:rsidP="00652773">
      <w:pPr>
        <w:pStyle w:val="Bullet"/>
        <w:numPr>
          <w:ilvl w:val="0"/>
          <w:numId w:val="30"/>
        </w:numPr>
      </w:pPr>
      <w:r w:rsidRPr="00657D21">
        <w:t>support research into the costs and benefits of alternative biomass crops and regimes</w:t>
      </w:r>
    </w:p>
    <w:p w14:paraId="2BFC3294" w14:textId="77777777" w:rsidR="00652773" w:rsidRPr="00657D21" w:rsidRDefault="00652773" w:rsidP="00652773">
      <w:pPr>
        <w:pStyle w:val="Bullet"/>
        <w:numPr>
          <w:ilvl w:val="0"/>
          <w:numId w:val="30"/>
        </w:numPr>
        <w:rPr>
          <w:rFonts w:cstheme="minorHAnsi"/>
        </w:rPr>
      </w:pPr>
      <w:r w:rsidRPr="00657D21">
        <w:t>commission research to examine ways to support effective slash (forest waste) recovery to use biomass left in forests after harvest.</w:t>
      </w:r>
    </w:p>
    <w:p w14:paraId="052D2386" w14:textId="77777777" w:rsidR="00652773" w:rsidRPr="00657D21" w:rsidRDefault="00652773" w:rsidP="00784F5F">
      <w:pPr>
        <w:pStyle w:val="Heading4"/>
        <w:numPr>
          <w:ilvl w:val="0"/>
          <w:numId w:val="95"/>
        </w:numPr>
        <w:tabs>
          <w:tab w:val="clear" w:pos="1134"/>
          <w:tab w:val="left" w:pos="1276"/>
        </w:tabs>
      </w:pPr>
      <w:bookmarkStart w:id="450" w:name="_Toc169616455"/>
      <w:bookmarkStart w:id="451" w:name="_Toc169620163"/>
      <w:bookmarkStart w:id="452" w:name="_Toc172794069"/>
      <w:r w:rsidRPr="00657D21">
        <w:t xml:space="preserve">Maximising Forest Carbon </w:t>
      </w:r>
      <w:bookmarkEnd w:id="450"/>
      <w:bookmarkEnd w:id="451"/>
      <w:bookmarkEnd w:id="452"/>
      <w:r w:rsidRPr="00657D21">
        <w:t>Programme</w:t>
      </w:r>
    </w:p>
    <w:p w14:paraId="2FB8714C" w14:textId="77777777" w:rsidR="00652773" w:rsidRPr="00657D21" w:rsidRDefault="00652773" w:rsidP="00652773">
      <w:pPr>
        <w:pStyle w:val="BodyText"/>
      </w:pPr>
      <w:r w:rsidRPr="00657D21">
        <w:t xml:space="preserve">The Maximising Forest Carbon Programme is a research and policy initiative aiming to improve </w:t>
      </w:r>
      <w:r w:rsidRPr="00657D21">
        <w:rPr>
          <w:spacing w:val="-2"/>
        </w:rPr>
        <w:t>how forest carbon is measured, recognised and rewarded. The programme aims to help reduce emissions by around 9.3 million tonnes over 2022 to 2035 through three main deliverables</w:t>
      </w:r>
      <w:r w:rsidRPr="00657D21">
        <w:t>:</w:t>
      </w:r>
    </w:p>
    <w:p w14:paraId="51DF2B21" w14:textId="77777777" w:rsidR="00652773" w:rsidRPr="00657D21" w:rsidRDefault="00652773" w:rsidP="00AA4AD6">
      <w:pPr>
        <w:pStyle w:val="Bullet"/>
        <w:numPr>
          <w:ilvl w:val="0"/>
          <w:numId w:val="189"/>
        </w:numPr>
      </w:pPr>
      <w:r w:rsidRPr="00657D21">
        <w:t xml:space="preserve">expanding the NZ ETS carbon look-up tables to more accurately reflect carbon stock changes </w:t>
      </w:r>
    </w:p>
    <w:p w14:paraId="79866581" w14:textId="77777777" w:rsidR="00652773" w:rsidRPr="00657D21" w:rsidRDefault="00652773" w:rsidP="00AA4AD6">
      <w:pPr>
        <w:pStyle w:val="Bullet"/>
        <w:numPr>
          <w:ilvl w:val="0"/>
          <w:numId w:val="189"/>
        </w:numPr>
      </w:pPr>
      <w:r w:rsidRPr="00657D21">
        <w:t xml:space="preserve">exploring the feasibility of moving to a more efficient carbon measurement method, for example by using remote-sensing tools such as light detection and ranging (LiDAR) </w:t>
      </w:r>
    </w:p>
    <w:p w14:paraId="33F101DF" w14:textId="77777777" w:rsidR="00652773" w:rsidRPr="00657D21" w:rsidRDefault="00652773" w:rsidP="00AA4AD6">
      <w:pPr>
        <w:pStyle w:val="Bullet"/>
        <w:numPr>
          <w:ilvl w:val="0"/>
          <w:numId w:val="189"/>
        </w:numPr>
      </w:pPr>
      <w:r w:rsidRPr="00657D21">
        <w:t>exploring whether a measurable link exists between forest management actions (eg, pest control) and increased carbon storage in pre-1990 forests.</w:t>
      </w:r>
    </w:p>
    <w:p w14:paraId="3FE1932A" w14:textId="77777777" w:rsidR="00652773" w:rsidRPr="00657D21" w:rsidRDefault="00652773" w:rsidP="007E1480">
      <w:pPr>
        <w:pStyle w:val="Heading4"/>
        <w:numPr>
          <w:ilvl w:val="0"/>
          <w:numId w:val="95"/>
        </w:numPr>
        <w:tabs>
          <w:tab w:val="clear" w:pos="1134"/>
          <w:tab w:val="left" w:pos="1276"/>
        </w:tabs>
        <w:ind w:left="1276" w:hanging="1276"/>
      </w:pPr>
      <w:bookmarkStart w:id="453" w:name="_Toc169616456"/>
      <w:bookmarkStart w:id="454" w:name="_Toc169620164"/>
      <w:bookmarkStart w:id="455" w:name="_Toc172794070"/>
      <w:r w:rsidRPr="00657D21">
        <w:t>National Environmental Standards</w:t>
      </w:r>
      <w:bookmarkEnd w:id="453"/>
      <w:bookmarkEnd w:id="454"/>
      <w:bookmarkEnd w:id="455"/>
      <w:r w:rsidRPr="00657D21">
        <w:t xml:space="preserve"> for Commercial Forestry</w:t>
      </w:r>
    </w:p>
    <w:p w14:paraId="4BD79337" w14:textId="18C8EE7E" w:rsidR="00652773" w:rsidRPr="00657D21" w:rsidRDefault="00652773" w:rsidP="00652773">
      <w:pPr>
        <w:pStyle w:val="BodyText"/>
      </w:pPr>
      <w:r w:rsidRPr="00657D21">
        <w:t>The National Environmental Standards for Commercial Forestry are regulations under the Resource Management Act 1991 and are the main forestry management rules for commercial forestry activities in New Zealand, including afforestation, harvesting and replanting. In 2023</w:t>
      </w:r>
      <w:r w:rsidR="005550A2">
        <w:t>,</w:t>
      </w:r>
      <w:r w:rsidRPr="00657D21">
        <w:t xml:space="preserve"> the Government made amendments to ensure non-indigenous forests planted for carbon sequestration could be managed in the same way as plantation forests.</w:t>
      </w:r>
    </w:p>
    <w:p w14:paraId="28378078" w14:textId="77777777" w:rsidR="00652773" w:rsidRPr="00657D21" w:rsidRDefault="00652773" w:rsidP="00652773">
      <w:pPr>
        <w:pStyle w:val="BodyText"/>
      </w:pPr>
      <w:r w:rsidRPr="00657D21">
        <w:t xml:space="preserve">The Government is reviewing the current regulatory settings to provide clearer forestry regulations that can support the forestry sector and ensure regulations strike the right balance between managing environmental impacts and restoring certainty and confidence in the forestry and wood processing sector. </w:t>
      </w:r>
    </w:p>
    <w:p w14:paraId="74484D1D" w14:textId="77777777" w:rsidR="00652773" w:rsidRPr="00657D21" w:rsidRDefault="00652773" w:rsidP="00652773">
      <w:pPr>
        <w:pStyle w:val="Heading2"/>
        <w:numPr>
          <w:ilvl w:val="0"/>
          <w:numId w:val="81"/>
        </w:numPr>
        <w:tabs>
          <w:tab w:val="num" w:pos="1134"/>
        </w:tabs>
      </w:pPr>
      <w:bookmarkStart w:id="456" w:name="_Toc169616458"/>
      <w:bookmarkStart w:id="457" w:name="_Toc169620165"/>
      <w:bookmarkStart w:id="458" w:name="_Toc172794071"/>
      <w:bookmarkStart w:id="459" w:name="_Toc184825511"/>
      <w:r w:rsidRPr="00657D21">
        <w:t>Waste</w:t>
      </w:r>
      <w:bookmarkEnd w:id="456"/>
      <w:bookmarkEnd w:id="457"/>
      <w:bookmarkEnd w:id="458"/>
      <w:bookmarkEnd w:id="459"/>
    </w:p>
    <w:p w14:paraId="14C3435B" w14:textId="77777777" w:rsidR="00652773" w:rsidRPr="00657D21" w:rsidRDefault="00652773" w:rsidP="00784F5F">
      <w:pPr>
        <w:pStyle w:val="Heading3"/>
        <w:numPr>
          <w:ilvl w:val="0"/>
          <w:numId w:val="96"/>
        </w:numPr>
        <w:rPr>
          <w:rFonts w:asciiTheme="minorHAnsi" w:hAnsiTheme="minorHAnsi" w:cstheme="minorHAnsi"/>
          <w:szCs w:val="24"/>
        </w:rPr>
      </w:pPr>
      <w:r w:rsidRPr="00657D21">
        <w:t xml:space="preserve">Reducing emissions from waste </w:t>
      </w:r>
    </w:p>
    <w:p w14:paraId="21FBAA3D" w14:textId="77777777" w:rsidR="00652773" w:rsidRPr="00657D21" w:rsidRDefault="00652773" w:rsidP="00652773">
      <w:pPr>
        <w:pStyle w:val="BodyText"/>
      </w:pPr>
      <w:r w:rsidRPr="00657D21">
        <w:t xml:space="preserve">The Government has a range of policies and strategies aimed at reducing greenhouse gases from waste generation, treatment and disposal. These include: </w:t>
      </w:r>
    </w:p>
    <w:p w14:paraId="4EBEB822" w14:textId="77777777" w:rsidR="00652773" w:rsidRPr="00657D21" w:rsidRDefault="00652773" w:rsidP="00652773">
      <w:pPr>
        <w:pStyle w:val="Bullet"/>
        <w:numPr>
          <w:ilvl w:val="0"/>
          <w:numId w:val="30"/>
        </w:numPr>
      </w:pPr>
      <w:r w:rsidRPr="00657D21">
        <w:t>measures to reduce emissions from landfills (eg, improved landfill gas capture systems)</w:t>
      </w:r>
    </w:p>
    <w:p w14:paraId="05AABF41" w14:textId="1DF74F97" w:rsidR="00652773" w:rsidRPr="00657D21" w:rsidRDefault="00652773" w:rsidP="00652773">
      <w:pPr>
        <w:pStyle w:val="Bullet"/>
        <w:numPr>
          <w:ilvl w:val="0"/>
          <w:numId w:val="30"/>
        </w:numPr>
      </w:pPr>
      <w:r w:rsidRPr="00657D21">
        <w:t>implementation of organic waste reduction behaviour</w:t>
      </w:r>
      <w:r w:rsidR="007A55AB">
        <w:t>-</w:t>
      </w:r>
      <w:r w:rsidRPr="00657D21">
        <w:t>change programmes</w:t>
      </w:r>
    </w:p>
    <w:p w14:paraId="0277DE5C" w14:textId="2E38C65F" w:rsidR="00652773" w:rsidRPr="00657D21" w:rsidRDefault="00652773" w:rsidP="00652773">
      <w:pPr>
        <w:pStyle w:val="Bullet"/>
        <w:numPr>
          <w:ilvl w:val="0"/>
          <w:numId w:val="30"/>
        </w:numPr>
      </w:pPr>
      <w:r w:rsidRPr="00657D21">
        <w:t>investing in organic waste processing and resource recovery infrastructure to support an increase in food, garden, paper, cardboard and wood waste diversion from landfill</w:t>
      </w:r>
      <w:r w:rsidR="007A55AB">
        <w:t>.</w:t>
      </w:r>
    </w:p>
    <w:p w14:paraId="4B9A164F" w14:textId="77777777" w:rsidR="00652773" w:rsidRPr="00657D21" w:rsidRDefault="00652773" w:rsidP="00652773">
      <w:pPr>
        <w:pStyle w:val="BodyText"/>
      </w:pPr>
      <w:r w:rsidRPr="00657D21">
        <w:t>These measures aim to reduce biogenic methane emissions, which constitute most waste sector emissions, primarily from the decomposition of organic waste in landfills.</w:t>
      </w:r>
    </w:p>
    <w:p w14:paraId="7156B8F4" w14:textId="5154513E" w:rsidR="00652773" w:rsidRPr="00657D21" w:rsidRDefault="00611D1F" w:rsidP="00784F5F">
      <w:pPr>
        <w:pStyle w:val="Heading3"/>
        <w:numPr>
          <w:ilvl w:val="0"/>
          <w:numId w:val="96"/>
        </w:numPr>
      </w:pPr>
      <w:r>
        <w:t>Waste disposal levy</w:t>
      </w:r>
    </w:p>
    <w:p w14:paraId="27025AD5" w14:textId="41E38661" w:rsidR="00652773" w:rsidRPr="00657D21" w:rsidRDefault="00652773" w:rsidP="00652773">
      <w:pPr>
        <w:pStyle w:val="BodyText"/>
      </w:pPr>
      <w:r w:rsidRPr="00657D21">
        <w:t xml:space="preserve">The </w:t>
      </w:r>
      <w:r w:rsidR="00611D1F">
        <w:t>w</w:t>
      </w:r>
      <w:r w:rsidRPr="00657D21">
        <w:t xml:space="preserve">aste </w:t>
      </w:r>
      <w:r w:rsidR="00611D1F">
        <w:t>d</w:t>
      </w:r>
      <w:r w:rsidRPr="00657D21">
        <w:t xml:space="preserve">isposal </w:t>
      </w:r>
      <w:r w:rsidR="00611D1F">
        <w:t>l</w:t>
      </w:r>
      <w:r w:rsidRPr="00657D21">
        <w:t>evy</w:t>
      </w:r>
      <w:r w:rsidR="3F562250" w:rsidRPr="00657D21">
        <w:t xml:space="preserve"> </w:t>
      </w:r>
      <w:r w:rsidRPr="00657D21">
        <w:fldChar w:fldCharType="begin"/>
      </w:r>
      <w:r w:rsidRPr="00657D21">
        <w:fldChar w:fldCharType="separate"/>
      </w:r>
      <w:r w:rsidRPr="00657D21">
        <w:t>waste disposal levy</w:t>
      </w:r>
      <w:r w:rsidRPr="00657D21">
        <w:fldChar w:fldCharType="end"/>
      </w:r>
      <w:r w:rsidRPr="00657D21">
        <w:rPr>
          <w:rStyle w:val="FootnoteReference"/>
        </w:rPr>
        <w:footnoteReference w:id="174"/>
      </w:r>
      <w:r w:rsidRPr="00657D21">
        <w:t xml:space="preserve"> was introduced under the Waste Minimisation Act 2008. The levy encourages organisations and individuals to take responsibility for their waste generation and to find more effective ways to reduce, reuse, recycle or reprocess waste. </w:t>
      </w:r>
    </w:p>
    <w:p w14:paraId="20637054" w14:textId="77777777" w:rsidR="00652773" w:rsidRPr="00657D21" w:rsidRDefault="00652773" w:rsidP="00652773">
      <w:pPr>
        <w:pStyle w:val="BodyText"/>
      </w:pPr>
      <w:r w:rsidRPr="00657D21">
        <w:t>From 1 July 2021, the Government has progressively increased and expanded the levy. This expansion involves:</w:t>
      </w:r>
    </w:p>
    <w:p w14:paraId="21D8FCEA" w14:textId="77777777" w:rsidR="00652773" w:rsidRPr="00657D21" w:rsidRDefault="00652773" w:rsidP="00652773">
      <w:pPr>
        <w:pStyle w:val="Bullet"/>
        <w:numPr>
          <w:ilvl w:val="0"/>
          <w:numId w:val="30"/>
        </w:numPr>
      </w:pPr>
      <w:r w:rsidRPr="00657D21">
        <w:t xml:space="preserve">progressively increasing the levy rate for landfills that take household waste between 2021 and 2024 </w:t>
      </w:r>
    </w:p>
    <w:p w14:paraId="1C6B71E7" w14:textId="77777777" w:rsidR="00652773" w:rsidRPr="00657D21" w:rsidRDefault="00652773" w:rsidP="00652773">
      <w:pPr>
        <w:pStyle w:val="Bullet"/>
        <w:numPr>
          <w:ilvl w:val="0"/>
          <w:numId w:val="30"/>
        </w:numPr>
      </w:pPr>
      <w:r w:rsidRPr="00657D21">
        <w:t>expanding the levy to cover additional landfill types, including construction and demolition fills. Previously, the levy only applied to municipal landfills that take household waste</w:t>
      </w:r>
    </w:p>
    <w:p w14:paraId="60FD7D0A" w14:textId="77777777" w:rsidR="00652773" w:rsidRPr="00657D21" w:rsidRDefault="00652773" w:rsidP="00652773">
      <w:pPr>
        <w:pStyle w:val="Bullet"/>
        <w:numPr>
          <w:ilvl w:val="0"/>
          <w:numId w:val="30"/>
        </w:numPr>
      </w:pPr>
      <w:r w:rsidRPr="00657D21">
        <w:t>collecting better data on waste generation, disposal and management</w:t>
      </w:r>
    </w:p>
    <w:p w14:paraId="77B2C577" w14:textId="77777777" w:rsidR="00652773" w:rsidRPr="00657D21" w:rsidRDefault="00652773" w:rsidP="00652773">
      <w:pPr>
        <w:pStyle w:val="Bullet"/>
        <w:numPr>
          <w:ilvl w:val="0"/>
          <w:numId w:val="30"/>
        </w:numPr>
      </w:pPr>
      <w:r w:rsidRPr="00657D21">
        <w:t>investing the additional waste revenue from the levy into initiatives that support waste reduction.</w:t>
      </w:r>
    </w:p>
    <w:p w14:paraId="204E6875" w14:textId="77777777" w:rsidR="00652773" w:rsidRPr="00657D21" w:rsidRDefault="00652773" w:rsidP="00652773">
      <w:pPr>
        <w:pStyle w:val="BodyText"/>
      </w:pPr>
      <w:r w:rsidRPr="00657D21">
        <w:t>Half of the levy money goes to city and district councils to spend on promoting or achieving the waste minimisation activities set out in their waste management and minimisation plans. The remaining levy money (minus administration costs) goes to central government for investment in waste minimisation activities via the Waste Minimisation Fund.</w:t>
      </w:r>
    </w:p>
    <w:p w14:paraId="7B0A1EA7" w14:textId="77777777" w:rsidR="00652773" w:rsidRPr="00657D21" w:rsidRDefault="00652773" w:rsidP="00652773">
      <w:pPr>
        <w:pStyle w:val="BodyText"/>
      </w:pPr>
      <w:r w:rsidRPr="00657D21">
        <w:rPr>
          <w:spacing w:val="-2"/>
        </w:rPr>
        <w:t>Changes made to the Waste Minimisation Act 2008 in July 2024 will increase levy rates between</w:t>
      </w:r>
      <w:r w:rsidRPr="00657D21">
        <w:t xml:space="preserve"> 2025 and 2027. These changes also broadened the range of environmental and waste priorities on which the central government portion of the levy can be spent. </w:t>
      </w:r>
    </w:p>
    <w:p w14:paraId="4E46D7D1" w14:textId="77777777" w:rsidR="00652773" w:rsidRPr="00657D21" w:rsidRDefault="00652773" w:rsidP="00784F5F">
      <w:pPr>
        <w:pStyle w:val="Heading3"/>
        <w:numPr>
          <w:ilvl w:val="0"/>
          <w:numId w:val="96"/>
        </w:numPr>
      </w:pPr>
      <w:bookmarkStart w:id="460" w:name="_Toc169616460"/>
      <w:bookmarkStart w:id="461" w:name="_Toc169620167"/>
      <w:bookmarkStart w:id="462" w:name="_Toc172794074"/>
      <w:r w:rsidRPr="00657D21">
        <w:t>Waste Minimisation Fund</w:t>
      </w:r>
      <w:bookmarkEnd w:id="460"/>
      <w:bookmarkEnd w:id="461"/>
      <w:bookmarkEnd w:id="462"/>
    </w:p>
    <w:p w14:paraId="0ED23D2D" w14:textId="77777777" w:rsidR="00652773" w:rsidRPr="00657D21" w:rsidRDefault="00652773" w:rsidP="00652773">
      <w:pPr>
        <w:pStyle w:val="BodyText"/>
        <w:spacing w:before="100" w:after="100"/>
      </w:pPr>
      <w:r w:rsidRPr="00657D21">
        <w:rPr>
          <w:spacing w:val="-2"/>
        </w:rPr>
        <w:t>The Waste Minimisation Fund was established under the Waste Minimisation Act 2008, to support projects that increase the reuse, recovery and recycling of materials. Through this fund</w:t>
      </w:r>
      <w:r w:rsidRPr="00657D21">
        <w:t xml:space="preserve">, a portion of the total levy on waste disposed to landfills is allocated towards investments in a range of project types from infrastructure investments to behaviour change and community-centred projects. These projects are targeting construction and demolition waste materials, organic waste, plastics and kerbside recyclables. Many of these projects and activities have co-benefits for emissions reductions. </w:t>
      </w:r>
    </w:p>
    <w:p w14:paraId="3281AF6E" w14:textId="4151FBA7" w:rsidR="00652773" w:rsidRPr="00657D21" w:rsidRDefault="00652773" w:rsidP="00652773">
      <w:pPr>
        <w:pStyle w:val="BodyText"/>
        <w:spacing w:before="100" w:after="100"/>
      </w:pPr>
      <w:r w:rsidRPr="00657D21">
        <w:t>Over the past few years, the size of the fund has increased from $10 million to $12 million annually in 2020 to $86 million in 2023/24. Since October 2022</w:t>
      </w:r>
      <w:r w:rsidR="007A55AB">
        <w:t>,</w:t>
      </w:r>
      <w:r w:rsidRPr="00657D21">
        <w:t xml:space="preserve"> the fund has supported 27 city and local council projects to evaluate and implement kerbside collections of residential organic waste thus diverting the waste from landfill. By partnering with private and public entities, the fund has also contributed to the establishment of additional organic waste processing capacity across the country. </w:t>
      </w:r>
    </w:p>
    <w:p w14:paraId="3433DEC3" w14:textId="77777777" w:rsidR="00652773" w:rsidRPr="00657D21" w:rsidRDefault="00652773" w:rsidP="00784F5F">
      <w:pPr>
        <w:pStyle w:val="Heading3"/>
        <w:numPr>
          <w:ilvl w:val="0"/>
          <w:numId w:val="96"/>
        </w:numPr>
      </w:pPr>
      <w:bookmarkStart w:id="463" w:name="_Toc169616461"/>
      <w:bookmarkStart w:id="464" w:name="_Toc169620168"/>
      <w:bookmarkStart w:id="465" w:name="_Toc172794075"/>
      <w:r w:rsidRPr="00657D21">
        <w:t>Product stewardship</w:t>
      </w:r>
      <w:bookmarkEnd w:id="463"/>
      <w:bookmarkEnd w:id="464"/>
      <w:bookmarkEnd w:id="465"/>
    </w:p>
    <w:p w14:paraId="1E8D417C" w14:textId="18EE727B" w:rsidR="00652773" w:rsidRPr="00657D21" w:rsidRDefault="00652773" w:rsidP="00652773">
      <w:pPr>
        <w:pStyle w:val="BodyText"/>
        <w:spacing w:after="100"/>
      </w:pPr>
      <w:r w:rsidRPr="00657D21">
        <w:t xml:space="preserve">In July 2020, the New Zealand Government announced six products to be declared ‘priority </w:t>
      </w:r>
      <w:r w:rsidRPr="00657D21">
        <w:rPr>
          <w:spacing w:val="-2"/>
        </w:rPr>
        <w:t>products’ for the establishment of</w:t>
      </w:r>
      <w:r w:rsidRPr="00657D21">
        <w:rPr>
          <w:bCs/>
          <w:spacing w:val="-2"/>
        </w:rPr>
        <w:t xml:space="preserve"> product stewardship</w:t>
      </w:r>
      <w:r w:rsidRPr="00657D21">
        <w:rPr>
          <w:spacing w:val="-2"/>
        </w:rPr>
        <w:t xml:space="preserve"> schemes under the Waste Minimisation</w:t>
      </w:r>
      <w:r w:rsidRPr="00657D21">
        <w:t xml:space="preserve"> Act 2008.</w:t>
      </w:r>
      <w:r w:rsidR="007A55AB">
        <w:t xml:space="preserve"> </w:t>
      </w:r>
      <w:r w:rsidRPr="00657D21">
        <w:t>The products are:</w:t>
      </w:r>
    </w:p>
    <w:p w14:paraId="2C15F46F" w14:textId="77777777" w:rsidR="00652773" w:rsidRPr="00657D21" w:rsidRDefault="00652773" w:rsidP="00652773">
      <w:pPr>
        <w:pStyle w:val="Bullet"/>
        <w:numPr>
          <w:ilvl w:val="0"/>
          <w:numId w:val="30"/>
        </w:numPr>
        <w:spacing w:after="100"/>
      </w:pPr>
      <w:r w:rsidRPr="00657D21">
        <w:t>plastic packaging</w:t>
      </w:r>
    </w:p>
    <w:p w14:paraId="614F1D9D" w14:textId="77777777" w:rsidR="00652773" w:rsidRPr="00657D21" w:rsidRDefault="00652773" w:rsidP="00652773">
      <w:pPr>
        <w:pStyle w:val="Bullet"/>
        <w:numPr>
          <w:ilvl w:val="0"/>
          <w:numId w:val="30"/>
        </w:numPr>
        <w:spacing w:after="100"/>
      </w:pPr>
      <w:r w:rsidRPr="00657D21">
        <w:t>tyres</w:t>
      </w:r>
    </w:p>
    <w:p w14:paraId="33300154" w14:textId="77777777" w:rsidR="00652773" w:rsidRPr="00657D21" w:rsidRDefault="00652773" w:rsidP="00652773">
      <w:pPr>
        <w:pStyle w:val="Bullet"/>
        <w:numPr>
          <w:ilvl w:val="0"/>
          <w:numId w:val="30"/>
        </w:numPr>
        <w:spacing w:after="100"/>
      </w:pPr>
      <w:r w:rsidRPr="00657D21">
        <w:t>electrical and electronic products (e-waste including large batteries)</w:t>
      </w:r>
    </w:p>
    <w:p w14:paraId="53AFBF91" w14:textId="77777777" w:rsidR="00652773" w:rsidRPr="00657D21" w:rsidRDefault="00652773" w:rsidP="00652773">
      <w:pPr>
        <w:pStyle w:val="Bullet"/>
        <w:numPr>
          <w:ilvl w:val="0"/>
          <w:numId w:val="30"/>
        </w:numPr>
        <w:spacing w:after="100"/>
      </w:pPr>
      <w:r w:rsidRPr="00657D21">
        <w:t>agrichemicals and their containers</w:t>
      </w:r>
    </w:p>
    <w:p w14:paraId="18550587" w14:textId="77777777" w:rsidR="00652773" w:rsidRPr="00657D21" w:rsidRDefault="00652773" w:rsidP="00652773">
      <w:pPr>
        <w:pStyle w:val="Bullet"/>
        <w:numPr>
          <w:ilvl w:val="0"/>
          <w:numId w:val="30"/>
        </w:numPr>
        <w:spacing w:after="100"/>
      </w:pPr>
      <w:r w:rsidRPr="00657D21">
        <w:t>refrigerants and other synthetic greenhouse gases</w:t>
      </w:r>
    </w:p>
    <w:p w14:paraId="10C1DC72" w14:textId="77777777" w:rsidR="00652773" w:rsidRPr="00657D21" w:rsidRDefault="00652773" w:rsidP="00652773">
      <w:pPr>
        <w:pStyle w:val="Bullet"/>
        <w:numPr>
          <w:ilvl w:val="0"/>
          <w:numId w:val="30"/>
        </w:numPr>
        <w:spacing w:after="100"/>
      </w:pPr>
      <w:r w:rsidRPr="00657D21">
        <w:t>farm plastics.</w:t>
      </w:r>
    </w:p>
    <w:p w14:paraId="7832B111" w14:textId="77777777" w:rsidR="00652773" w:rsidRPr="00657D21" w:rsidRDefault="00652773" w:rsidP="00652773">
      <w:pPr>
        <w:pStyle w:val="BodyText"/>
        <w:spacing w:after="100"/>
      </w:pPr>
      <w:r w:rsidRPr="00657D21">
        <w:t xml:space="preserve">Industry-led working groups have been designing product stewardship schemes for each </w:t>
      </w:r>
      <w:r w:rsidRPr="00657D21">
        <w:rPr>
          <w:spacing w:val="-2"/>
        </w:rPr>
        <w:t>priority product group. The first product stewardship regulatory framework to be implemented</w:t>
      </w:r>
      <w:r w:rsidRPr="00657D21">
        <w:t xml:space="preserve"> under the Waste Minimisation Act 2008 for the six priority products is for end-of-life tyres.</w:t>
      </w:r>
    </w:p>
    <w:p w14:paraId="4BBFC718" w14:textId="69EB056B" w:rsidR="00652773" w:rsidRPr="00657D21" w:rsidRDefault="00652773" w:rsidP="00652773">
      <w:pPr>
        <w:pStyle w:val="BodyText"/>
        <w:spacing w:after="100"/>
      </w:pPr>
      <w:bookmarkStart w:id="466" w:name="_Toc169616462"/>
      <w:bookmarkStart w:id="467" w:name="_Toc169620169"/>
      <w:r w:rsidRPr="00657D21">
        <w:t xml:space="preserve">The Waste Minimisation (Tyres) Regulations 2023 will support full implementation of the </w:t>
      </w:r>
      <w:r w:rsidR="007A55AB">
        <w:t>m</w:t>
      </w:r>
      <w:r w:rsidRPr="00657D21">
        <w:t>inister-accredited Tyrewise scheme from September 2024. The other priority product stewardship schemes and proposed regulations are in various stages of development. Of particular interest from an emissions perspective is product stewardship for refrigerants (found in heating and cooling devices).</w:t>
      </w:r>
      <w:r w:rsidRPr="00657D21">
        <w:rPr>
          <w:i/>
        </w:rPr>
        <w:t xml:space="preserve"> </w:t>
      </w:r>
      <w:r w:rsidRPr="00657D21">
        <w:t>Public consultation on proposed regulations has been completed and</w:t>
      </w:r>
      <w:r w:rsidRPr="00657D21">
        <w:rPr>
          <w:iCs/>
        </w:rPr>
        <w:t>,</w:t>
      </w:r>
      <w:r w:rsidRPr="00657D21">
        <w:t xml:space="preserve"> subject to Cabinet approval</w:t>
      </w:r>
      <w:r w:rsidRPr="00657D21">
        <w:rPr>
          <w:iCs/>
        </w:rPr>
        <w:t>,</w:t>
      </w:r>
      <w:r w:rsidRPr="00657D21">
        <w:t xml:space="preserve"> it is anticipated regulations </w:t>
      </w:r>
      <w:r w:rsidRPr="00657D21">
        <w:rPr>
          <w:iCs/>
        </w:rPr>
        <w:t>will</w:t>
      </w:r>
      <w:r w:rsidRPr="00657D21">
        <w:t xml:space="preserve"> be in place</w:t>
      </w:r>
      <w:r>
        <w:t> </w:t>
      </w:r>
      <w:r w:rsidRPr="00657D21">
        <w:t>in 2024/25.</w:t>
      </w:r>
    </w:p>
    <w:p w14:paraId="1745CF8B" w14:textId="77777777" w:rsidR="00652773" w:rsidRPr="00657D21" w:rsidRDefault="00652773" w:rsidP="00784F5F">
      <w:pPr>
        <w:pStyle w:val="Heading3"/>
        <w:numPr>
          <w:ilvl w:val="0"/>
          <w:numId w:val="96"/>
        </w:numPr>
      </w:pPr>
      <w:r w:rsidRPr="00657D21">
        <w:t xml:space="preserve"> </w:t>
      </w:r>
      <w:bookmarkStart w:id="468" w:name="_Toc172794076"/>
      <w:r w:rsidRPr="00657D21">
        <w:t>National Environmental Standard for Air Quality</w:t>
      </w:r>
      <w:bookmarkEnd w:id="466"/>
      <w:bookmarkEnd w:id="467"/>
      <w:bookmarkEnd w:id="468"/>
    </w:p>
    <w:p w14:paraId="6C37C995" w14:textId="0EAA9BBF" w:rsidR="00652773" w:rsidRPr="00657D21" w:rsidRDefault="00652773" w:rsidP="00652773">
      <w:pPr>
        <w:pStyle w:val="BodyText"/>
        <w:spacing w:before="100" w:after="100"/>
        <w:rPr>
          <w:rFonts w:eastAsia="Calibri"/>
        </w:rPr>
      </w:pPr>
      <w:r w:rsidRPr="00657D21">
        <w:rPr>
          <w:rFonts w:eastAsia="Calibri"/>
        </w:rPr>
        <w:t xml:space="preserve">The Ministry for the Environment administers a </w:t>
      </w:r>
      <w:r w:rsidRPr="00657D21">
        <w:rPr>
          <w:rFonts w:eastAsia="Calibri"/>
          <w:bCs/>
        </w:rPr>
        <w:t>National Environmental Standard for Air Quality</w:t>
      </w:r>
      <w:r w:rsidRPr="00657D21">
        <w:rPr>
          <w:rFonts w:eastAsia="Calibri"/>
          <w:b/>
        </w:rPr>
        <w:t xml:space="preserve"> </w:t>
      </w:r>
      <w:r w:rsidRPr="00657D21">
        <w:rPr>
          <w:rFonts w:eastAsia="Calibri"/>
        </w:rPr>
        <w:t xml:space="preserve">(including control of greenhouse gas emissions at landfills), which is implemented by local and regional councils. The </w:t>
      </w:r>
      <w:r w:rsidR="0048313B">
        <w:rPr>
          <w:rFonts w:eastAsia="Calibri"/>
        </w:rPr>
        <w:t>s</w:t>
      </w:r>
      <w:r w:rsidRPr="00657D21">
        <w:rPr>
          <w:rFonts w:eastAsia="Calibri"/>
        </w:rPr>
        <w:t>tandard includes specific regulations for the control of landfill methane, which requires landfill sites with a lifetime design capacity of greater than 1 million tonnes of refuse to collect and destroy methane emissions.</w:t>
      </w:r>
    </w:p>
    <w:p w14:paraId="333D3AE9" w14:textId="77777777" w:rsidR="00652773" w:rsidRPr="00657D21" w:rsidRDefault="00652773" w:rsidP="00784F5F">
      <w:pPr>
        <w:pStyle w:val="Heading3"/>
        <w:numPr>
          <w:ilvl w:val="0"/>
          <w:numId w:val="96"/>
        </w:numPr>
      </w:pPr>
      <w:r w:rsidRPr="00657D21">
        <w:t>New Zealand Emissions Trading Scheme</w:t>
      </w:r>
    </w:p>
    <w:p w14:paraId="4F09D822" w14:textId="77777777" w:rsidR="00652773" w:rsidRPr="00657D21" w:rsidRDefault="00652773" w:rsidP="00BA5A81">
      <w:pPr>
        <w:pStyle w:val="BodyText"/>
        <w:spacing w:after="100"/>
      </w:pPr>
      <w:r w:rsidRPr="00657D21">
        <w:t>Since 2012, landfill operators have had an obligation to report their emissions and surrender NZUs under the NZ ETS.</w:t>
      </w:r>
    </w:p>
    <w:p w14:paraId="47B561E0" w14:textId="77777777" w:rsidR="00652773" w:rsidRPr="00657D21" w:rsidRDefault="00652773" w:rsidP="00BA5A81">
      <w:pPr>
        <w:pStyle w:val="BodyText"/>
        <w:spacing w:after="100"/>
      </w:pPr>
      <w:r w:rsidRPr="00657D21">
        <w:t>For the purposes of the NZ ETS, a disposal facility is any facility including a landfill that operates (at least in part) as a business to dispose of waste, at which:</w:t>
      </w:r>
    </w:p>
    <w:p w14:paraId="147899D5" w14:textId="77777777" w:rsidR="00652773" w:rsidRPr="00657D21" w:rsidRDefault="00652773" w:rsidP="00BA5A81">
      <w:pPr>
        <w:pStyle w:val="Bullet"/>
        <w:numPr>
          <w:ilvl w:val="0"/>
          <w:numId w:val="30"/>
        </w:numPr>
        <w:spacing w:after="100"/>
        <w:rPr>
          <w:rFonts w:eastAsia="Calibri"/>
        </w:rPr>
      </w:pPr>
      <w:r w:rsidRPr="00657D21">
        <w:rPr>
          <w:rFonts w:eastAsia="Calibri"/>
        </w:rPr>
        <w:t>waste is disposed</w:t>
      </w:r>
    </w:p>
    <w:p w14:paraId="71B2307B" w14:textId="77777777" w:rsidR="00652773" w:rsidRPr="00657D21" w:rsidRDefault="00652773" w:rsidP="00BA5A81">
      <w:pPr>
        <w:pStyle w:val="Bullet"/>
        <w:numPr>
          <w:ilvl w:val="0"/>
          <w:numId w:val="30"/>
        </w:numPr>
        <w:spacing w:after="100"/>
        <w:rPr>
          <w:rFonts w:eastAsia="Calibri"/>
        </w:rPr>
      </w:pPr>
      <w:r w:rsidRPr="00657D21">
        <w:rPr>
          <w:rFonts w:eastAsia="Calibri"/>
        </w:rPr>
        <w:t>the waste disposed includes waste from a household that is not entirely from construction, renovation or demolition of a house.</w:t>
      </w:r>
    </w:p>
    <w:p w14:paraId="5BFAD00C" w14:textId="77777777" w:rsidR="00652773" w:rsidRPr="00657D21" w:rsidRDefault="00652773" w:rsidP="00BA5A81">
      <w:pPr>
        <w:pStyle w:val="BodyText"/>
        <w:spacing w:after="100"/>
      </w:pPr>
      <w:r w:rsidRPr="00657D21">
        <w:t>Operators of other types of waste-related facilities, such as clean fills or sewage treatment facilities, are not currently NZ ETS participants. A facility (or any part of a facility) at which waste is combusted to generate electricity or industrial heat is not considered a disposal facility.</w:t>
      </w:r>
    </w:p>
    <w:p w14:paraId="400C55D2" w14:textId="77777777" w:rsidR="00652773" w:rsidRPr="00657D21" w:rsidRDefault="00652773" w:rsidP="00BA5A81">
      <w:pPr>
        <w:pStyle w:val="BodyText"/>
        <w:spacing w:after="100"/>
      </w:pPr>
      <w:r w:rsidRPr="00657D21">
        <w:t>Disposal facility operators are responsible only for methane emitted through the biodegradation of organic waste in their facilities.</w:t>
      </w:r>
    </w:p>
    <w:p w14:paraId="34451DA0" w14:textId="77777777" w:rsidR="00652773" w:rsidRPr="00657D21" w:rsidRDefault="00652773" w:rsidP="008F573F">
      <w:pPr>
        <w:pStyle w:val="Heading3"/>
        <w:numPr>
          <w:ilvl w:val="0"/>
          <w:numId w:val="96"/>
        </w:numPr>
        <w:tabs>
          <w:tab w:val="clear" w:pos="1134"/>
          <w:tab w:val="left" w:pos="1276"/>
        </w:tabs>
        <w:ind w:left="1276" w:hanging="1276"/>
      </w:pPr>
      <w:bookmarkStart w:id="469" w:name="_Toc169616463"/>
      <w:bookmarkStart w:id="470" w:name="_Toc169620170"/>
      <w:bookmarkStart w:id="471" w:name="_Toc172794077"/>
      <w:r w:rsidRPr="00657D21">
        <w:t>Ongoing strategic changes to support emissions reductions from waste</w:t>
      </w:r>
      <w:bookmarkEnd w:id="469"/>
      <w:bookmarkEnd w:id="470"/>
      <w:bookmarkEnd w:id="471"/>
    </w:p>
    <w:p w14:paraId="5A8E4FC6" w14:textId="77777777" w:rsidR="00652773" w:rsidRPr="00657D21" w:rsidRDefault="00652773" w:rsidP="00BA5A81">
      <w:pPr>
        <w:pStyle w:val="BodyText"/>
        <w:spacing w:before="100" w:after="100"/>
        <w:rPr>
          <w:rFonts w:eastAsia="Calibri"/>
        </w:rPr>
      </w:pPr>
      <w:r w:rsidRPr="00657D21">
        <w:rPr>
          <w:rFonts w:eastAsia="Calibri"/>
        </w:rPr>
        <w:t xml:space="preserve">Work is under way to review the Waste Minimisation Act 2008 and Litter Act 1979 </w:t>
      </w:r>
      <w:r w:rsidRPr="00657D21">
        <w:t>to ensure a fit-for-purpose, modern waste regulatory system that provides more options and flexibility to reduce and manage waste effectively and efficiently</w:t>
      </w:r>
      <w:r w:rsidRPr="00657D21">
        <w:rPr>
          <w:rFonts w:eastAsia="Calibri"/>
        </w:rPr>
        <w:t xml:space="preserve">. </w:t>
      </w:r>
    </w:p>
    <w:p w14:paraId="2097582A" w14:textId="77777777" w:rsidR="00652773" w:rsidRPr="00657D21" w:rsidRDefault="00652773" w:rsidP="00652773">
      <w:pPr>
        <w:pStyle w:val="Heading2"/>
        <w:numPr>
          <w:ilvl w:val="0"/>
          <w:numId w:val="81"/>
        </w:numPr>
        <w:tabs>
          <w:tab w:val="clear" w:pos="1134"/>
          <w:tab w:val="left" w:pos="1276"/>
        </w:tabs>
      </w:pPr>
      <w:bookmarkStart w:id="472" w:name="_Toc169616382"/>
      <w:bookmarkStart w:id="473" w:name="_Toc169620088"/>
      <w:bookmarkStart w:id="474" w:name="_Toc172794003"/>
      <w:bookmarkStart w:id="475" w:name="_Toc184825512"/>
      <w:r w:rsidRPr="00657D21">
        <w:t xml:space="preserve">Public sector </w:t>
      </w:r>
      <w:bookmarkEnd w:id="472"/>
      <w:bookmarkEnd w:id="473"/>
      <w:bookmarkEnd w:id="474"/>
      <w:r w:rsidRPr="00657D21">
        <w:t>policies</w:t>
      </w:r>
      <w:bookmarkEnd w:id="475"/>
    </w:p>
    <w:p w14:paraId="691E190C" w14:textId="77777777" w:rsidR="00652773" w:rsidRPr="00657D21" w:rsidRDefault="00652773" w:rsidP="00784F5F">
      <w:pPr>
        <w:pStyle w:val="Heading3"/>
        <w:numPr>
          <w:ilvl w:val="0"/>
          <w:numId w:val="99"/>
        </w:numPr>
        <w:tabs>
          <w:tab w:val="clear" w:pos="1134"/>
          <w:tab w:val="left" w:pos="1276"/>
        </w:tabs>
      </w:pPr>
      <w:bookmarkStart w:id="476" w:name="_Toc169616383"/>
      <w:bookmarkStart w:id="477" w:name="_Toc169620089"/>
      <w:bookmarkStart w:id="478" w:name="_Toc172794004"/>
      <w:r w:rsidRPr="00657D21">
        <w:t>Carbon Neutral Government Programme</w:t>
      </w:r>
      <w:bookmarkEnd w:id="476"/>
      <w:bookmarkEnd w:id="477"/>
      <w:bookmarkEnd w:id="478"/>
    </w:p>
    <w:p w14:paraId="42B3E0BD" w14:textId="77777777" w:rsidR="00652773" w:rsidRPr="00657D21" w:rsidRDefault="00652773" w:rsidP="00BA5A81">
      <w:pPr>
        <w:pStyle w:val="BodyText"/>
        <w:spacing w:before="100" w:after="100"/>
      </w:pPr>
      <w:r w:rsidRPr="00657D21">
        <w:t xml:space="preserve">The Carbon Neutral Government Programme (CNGP) has been set up to understand and accelerate the reduction of emissions within the public sector. It was launched in December 2020 and is a cross-government programme led by the Ministry for the Environment in partnership with EECA and MBIE. </w:t>
      </w:r>
    </w:p>
    <w:p w14:paraId="09C18469" w14:textId="77777777" w:rsidR="00652773" w:rsidRPr="00883E51" w:rsidRDefault="00652773" w:rsidP="00BA5A81">
      <w:pPr>
        <w:pStyle w:val="BodyText"/>
        <w:spacing w:before="100" w:after="100"/>
      </w:pPr>
      <w:r w:rsidRPr="00657D21">
        <w:t xml:space="preserve">December 2023 was the first full year of reporting, with 84 CNGP participants reporting on their emissions, reduction targets, plans to achieve them and progress on these plans. </w:t>
      </w:r>
    </w:p>
    <w:p w14:paraId="60016A23" w14:textId="77777777" w:rsidR="00652773" w:rsidRPr="00657D21" w:rsidRDefault="00652773" w:rsidP="00BA5A81">
      <w:pPr>
        <w:pStyle w:val="BodyText"/>
        <w:spacing w:before="100" w:after="100"/>
      </w:pPr>
      <w:r w:rsidRPr="00657D21">
        <w:t>As of December 2023, an overall emissions reduction of 14 per cent (238,019 tonnes CO</w:t>
      </w:r>
      <w:r w:rsidRPr="00657D21">
        <w:rPr>
          <w:vertAlign w:val="subscript"/>
        </w:rPr>
        <w:t>2</w:t>
      </w:r>
      <w:r w:rsidRPr="00657D21">
        <w:t xml:space="preserve"> equivalent) compared with the base year has been achieved. Most participants are on track to achieve the programme reduction goal of 20 per cent by 2025. </w:t>
      </w:r>
    </w:p>
    <w:p w14:paraId="3151B12F" w14:textId="77777777" w:rsidR="00652773" w:rsidRPr="00657D21" w:rsidRDefault="00652773" w:rsidP="00BA5A81">
      <w:pPr>
        <w:pStyle w:val="BodyText"/>
        <w:spacing w:before="100" w:after="100"/>
      </w:pPr>
      <w:r w:rsidRPr="00657D21">
        <w:t xml:space="preserve">The CNGP emissions reduction targets will be reviewed in 2025, 2028 and 2030 to ensure they are ambitious and practicable. Guidance, tools, training and support are provided to CNGP organisations. </w:t>
      </w:r>
    </w:p>
    <w:p w14:paraId="26072434" w14:textId="77777777" w:rsidR="00652773" w:rsidRPr="00657D21" w:rsidRDefault="00652773" w:rsidP="00784F5F">
      <w:pPr>
        <w:pStyle w:val="Heading3"/>
        <w:numPr>
          <w:ilvl w:val="0"/>
          <w:numId w:val="99"/>
        </w:numPr>
        <w:tabs>
          <w:tab w:val="clear" w:pos="1134"/>
          <w:tab w:val="left" w:pos="1276"/>
        </w:tabs>
      </w:pPr>
      <w:bookmarkStart w:id="479" w:name="_Toc169616384"/>
      <w:bookmarkStart w:id="480" w:name="_Toc169620090"/>
      <w:bookmarkStart w:id="481" w:name="_Toc172794007"/>
      <w:r w:rsidRPr="00657D21">
        <w:t>Sustainable government procurement</w:t>
      </w:r>
      <w:bookmarkEnd w:id="479"/>
      <w:bookmarkEnd w:id="480"/>
      <w:bookmarkEnd w:id="481"/>
    </w:p>
    <w:p w14:paraId="7B04A758" w14:textId="2836ADAB" w:rsidR="00652773" w:rsidRPr="00657D21" w:rsidRDefault="00652773" w:rsidP="00BA5A81">
      <w:pPr>
        <w:pStyle w:val="BodyText"/>
        <w:spacing w:before="100" w:after="100"/>
      </w:pPr>
      <w:r w:rsidRPr="00883E51">
        <w:rPr>
          <w:spacing w:val="-2"/>
        </w:rPr>
        <w:t>The Procurement System Lead is responsible for leading and coordinating best-practice procurement across government. New Zealand Government Procurement, a branch within MBIE, supports the Procurement System Lead to undertake this role. Government spends around NZ$51.5 billion through procurement each year</w:t>
      </w:r>
      <w:r w:rsidR="00973620">
        <w:rPr>
          <w:spacing w:val="-2"/>
        </w:rPr>
        <w:t>,</w:t>
      </w:r>
      <w:r w:rsidRPr="00883E51">
        <w:rPr>
          <w:spacing w:val="-2"/>
        </w:rPr>
        <w:t xml:space="preserve"> providing an opportunity to achieve positive social, economic, cultural and environmental outcomes through its procurement activities</w:t>
      </w:r>
      <w:r w:rsidRPr="00657D21">
        <w:t xml:space="preserve">. </w:t>
      </w:r>
    </w:p>
    <w:p w14:paraId="7C94CD9B" w14:textId="77777777" w:rsidR="00652773" w:rsidRPr="00657D21" w:rsidRDefault="00652773" w:rsidP="00BA5A81">
      <w:pPr>
        <w:pStyle w:val="BodyText"/>
        <w:spacing w:after="100"/>
      </w:pPr>
      <w:r w:rsidRPr="00657D21">
        <w:t>The Government is committed to designing waste out of the system. Rule 20 of the Government Procurement Rules sets an expectation that agencies:</w:t>
      </w:r>
    </w:p>
    <w:p w14:paraId="73A0B036" w14:textId="77777777" w:rsidR="00652773" w:rsidRPr="00657D21" w:rsidRDefault="00652773" w:rsidP="00BA5A81">
      <w:pPr>
        <w:pStyle w:val="Bullet"/>
        <w:numPr>
          <w:ilvl w:val="0"/>
          <w:numId w:val="30"/>
        </w:numPr>
        <w:tabs>
          <w:tab w:val="left" w:pos="397"/>
        </w:tabs>
        <w:spacing w:after="100"/>
      </w:pPr>
      <w:r w:rsidRPr="00657D21">
        <w:t>procure low-emissions and low-waste goods, services and works</w:t>
      </w:r>
    </w:p>
    <w:p w14:paraId="76950006" w14:textId="4225B7AB" w:rsidR="00652773" w:rsidRPr="00657D21" w:rsidRDefault="00652773" w:rsidP="00BA5A81">
      <w:pPr>
        <w:pStyle w:val="Bullet"/>
        <w:numPr>
          <w:ilvl w:val="0"/>
          <w:numId w:val="30"/>
        </w:numPr>
        <w:tabs>
          <w:tab w:val="left" w:pos="397"/>
        </w:tabs>
        <w:spacing w:after="100"/>
      </w:pPr>
      <w:r w:rsidRPr="00657D21">
        <w:t>encourage innovation to significantly reduce emissions and waste impacts from goods and services.</w:t>
      </w:r>
    </w:p>
    <w:p w14:paraId="4D2EE27C" w14:textId="77777777" w:rsidR="00652773" w:rsidRPr="00657D21" w:rsidRDefault="00652773" w:rsidP="00BA5A81">
      <w:pPr>
        <w:pStyle w:val="BodyText"/>
        <w:spacing w:after="100"/>
      </w:pPr>
      <w:r w:rsidRPr="00657D21">
        <w:t>The Procurement System Lead has published a procurement guide to reducing carbon emissions in building and construction, which:</w:t>
      </w:r>
    </w:p>
    <w:p w14:paraId="1AB39613" w14:textId="77777777" w:rsidR="00652773" w:rsidRPr="00657D21" w:rsidRDefault="00652773" w:rsidP="00BA5A81">
      <w:pPr>
        <w:pStyle w:val="Bullet"/>
        <w:numPr>
          <w:ilvl w:val="0"/>
          <w:numId w:val="30"/>
        </w:numPr>
        <w:tabs>
          <w:tab w:val="left" w:pos="397"/>
        </w:tabs>
        <w:spacing w:after="100"/>
      </w:pPr>
      <w:r w:rsidRPr="00657D21">
        <w:t>provides practical guidance to support government agencies to lead the way in reducing carbon emissions generated by the construction of new government buildings</w:t>
      </w:r>
    </w:p>
    <w:p w14:paraId="7691275F" w14:textId="77777777" w:rsidR="00652773" w:rsidRPr="00657D21" w:rsidRDefault="00652773" w:rsidP="00BA5A81">
      <w:pPr>
        <w:pStyle w:val="Bullet"/>
        <w:numPr>
          <w:ilvl w:val="0"/>
          <w:numId w:val="30"/>
        </w:numPr>
        <w:tabs>
          <w:tab w:val="left" w:pos="397"/>
        </w:tabs>
        <w:spacing w:after="100"/>
      </w:pPr>
      <w:r w:rsidRPr="00657D21">
        <w:t>sets an expectation that agencies should choose the lowest carbon option that meets the project requirements.</w:t>
      </w:r>
    </w:p>
    <w:p w14:paraId="39A06ADD" w14:textId="77777777" w:rsidR="00652773" w:rsidRPr="00657D21" w:rsidRDefault="00652773" w:rsidP="00784F5F">
      <w:pPr>
        <w:pStyle w:val="Heading3"/>
        <w:numPr>
          <w:ilvl w:val="0"/>
          <w:numId w:val="99"/>
        </w:numPr>
        <w:tabs>
          <w:tab w:val="clear" w:pos="1134"/>
          <w:tab w:val="left" w:pos="1276"/>
        </w:tabs>
      </w:pPr>
      <w:bookmarkStart w:id="482" w:name="_Toc169616385"/>
      <w:bookmarkStart w:id="483" w:name="_Toc169620091"/>
      <w:bookmarkStart w:id="484" w:name="_Toc172794008"/>
      <w:r w:rsidRPr="00657D21">
        <w:t>Climate implications of policy assessment</w:t>
      </w:r>
      <w:bookmarkEnd w:id="482"/>
      <w:bookmarkEnd w:id="483"/>
      <w:bookmarkEnd w:id="484"/>
    </w:p>
    <w:p w14:paraId="5A3063CB" w14:textId="77777777" w:rsidR="00652773" w:rsidRPr="00657D21" w:rsidRDefault="00652773" w:rsidP="00BA5A81">
      <w:pPr>
        <w:pStyle w:val="BodyText"/>
        <w:spacing w:before="100" w:after="100"/>
      </w:pPr>
      <w:r w:rsidRPr="00657D21">
        <w:t>Central government agencies have been required since November 2019 to complete a GHG emissions analysis on eligible policy proposals that go to Cabinet via a Climate Implications of Policy Assessment. The requirement enables New Zealand to measure, monitor and report on Cabinet decisions that will affect New Zealand’s greenhouse gas emissions and meet the criteria.</w:t>
      </w:r>
    </w:p>
    <w:p w14:paraId="0D7155D7" w14:textId="77777777" w:rsidR="00652773" w:rsidRPr="00657D21" w:rsidRDefault="00652773" w:rsidP="00BA5A81">
      <w:pPr>
        <w:pStyle w:val="BodyText"/>
        <w:spacing w:before="100" w:after="100"/>
      </w:pPr>
      <w:r w:rsidRPr="00657D21">
        <w:t xml:space="preserve">A </w:t>
      </w:r>
      <w:r w:rsidRPr="00657D21">
        <w:rPr>
          <w:iCs/>
        </w:rPr>
        <w:t xml:space="preserve">Climate </w:t>
      </w:r>
      <w:r w:rsidRPr="00657D21">
        <w:t>Implications</w:t>
      </w:r>
      <w:r w:rsidRPr="00657D21">
        <w:rPr>
          <w:iCs/>
        </w:rPr>
        <w:t xml:space="preserve"> of Policy Assessment </w:t>
      </w:r>
      <w:r w:rsidRPr="00657D21">
        <w:t xml:space="preserve">requirement will apply if the policy </w:t>
      </w:r>
      <w:r w:rsidRPr="00657D21">
        <w:rPr>
          <w:iCs/>
        </w:rPr>
        <w:t>proposal’s</w:t>
      </w:r>
      <w:r w:rsidRPr="00657D21">
        <w:t xml:space="preserve"> objective is to reduce emissions or if </w:t>
      </w:r>
      <w:r w:rsidRPr="00657D21">
        <w:rPr>
          <w:iCs/>
        </w:rPr>
        <w:t>the direct impact on</w:t>
      </w:r>
      <w:r w:rsidRPr="00657D21">
        <w:t xml:space="preserve"> greenhouse gas emissions </w:t>
      </w:r>
      <w:r w:rsidRPr="00657D21">
        <w:rPr>
          <w:iCs/>
        </w:rPr>
        <w:t>is likely to be</w:t>
      </w:r>
      <w:r w:rsidRPr="00657D21">
        <w:t xml:space="preserve"> 0.5 Mt carbon dioxide equivalent (CO</w:t>
      </w:r>
      <w:r w:rsidRPr="00657D21">
        <w:rPr>
          <w:vertAlign w:val="subscript"/>
        </w:rPr>
        <w:t>2</w:t>
      </w:r>
      <w:r w:rsidRPr="00657D21">
        <w:t>e) or more in the first 10 years. For forestry-related proposals, it applie</w:t>
      </w:r>
      <w:r w:rsidRPr="00657D21">
        <w:rPr>
          <w:iCs/>
        </w:rPr>
        <w:t>s</w:t>
      </w:r>
      <w:r w:rsidRPr="00657D21">
        <w:t xml:space="preserve"> if </w:t>
      </w:r>
      <w:r w:rsidRPr="00657D21">
        <w:rPr>
          <w:iCs/>
        </w:rPr>
        <w:t xml:space="preserve">the impact on greenhouse gas </w:t>
      </w:r>
      <w:r w:rsidRPr="00657D21">
        <w:t>emissions</w:t>
      </w:r>
      <w:r w:rsidRPr="00657D21">
        <w:rPr>
          <w:iCs/>
        </w:rPr>
        <w:t xml:space="preserve"> is likely to be 3 Mt CO</w:t>
      </w:r>
      <w:r w:rsidRPr="00657D21">
        <w:rPr>
          <w:iCs/>
          <w:vertAlign w:val="subscript"/>
        </w:rPr>
        <w:t>2</w:t>
      </w:r>
      <w:r w:rsidRPr="00657D21">
        <w:rPr>
          <w:iCs/>
        </w:rPr>
        <w:t>e or above within the first 30 years.</w:t>
      </w:r>
    </w:p>
    <w:p w14:paraId="4FF6CC95" w14:textId="77777777" w:rsidR="00652773" w:rsidRPr="00657D21" w:rsidRDefault="00652773" w:rsidP="00BA5A81">
      <w:pPr>
        <w:pStyle w:val="BodyText"/>
        <w:spacing w:before="100" w:after="100"/>
        <w:rPr>
          <w:iCs/>
        </w:rPr>
      </w:pPr>
      <w:r w:rsidRPr="00657D21">
        <w:rPr>
          <w:iCs/>
        </w:rPr>
        <w:t>If an agency’s policy proposal meets the requirement threshold, they must provide the Ministry for the Environment with their emissions impact analysis, where feasible.</w:t>
      </w:r>
      <w:r w:rsidRPr="00657D21">
        <w:t xml:space="preserve"> </w:t>
      </w:r>
      <w:r w:rsidRPr="00657D21">
        <w:rPr>
          <w:iCs/>
        </w:rPr>
        <w:t>The Ministry will peer review and a summary of the impact of the proposal is included in the Cabinet paper, to be taken into consideration as part of the Government’s decision-making.</w:t>
      </w:r>
    </w:p>
    <w:p w14:paraId="4A1341CD" w14:textId="77777777" w:rsidR="00652773" w:rsidRPr="00657D21" w:rsidRDefault="00652773" w:rsidP="00652773">
      <w:pPr>
        <w:pStyle w:val="Heading2"/>
        <w:numPr>
          <w:ilvl w:val="0"/>
          <w:numId w:val="81"/>
        </w:numPr>
        <w:tabs>
          <w:tab w:val="clear" w:pos="1134"/>
          <w:tab w:val="num" w:pos="1276"/>
        </w:tabs>
      </w:pPr>
      <w:bookmarkStart w:id="485" w:name="_Toc184825513"/>
      <w:r w:rsidRPr="00657D21">
        <w:t>International aviation and shipping</w:t>
      </w:r>
      <w:bookmarkEnd w:id="485"/>
    </w:p>
    <w:p w14:paraId="5FD02EDC" w14:textId="77777777" w:rsidR="00652773" w:rsidRPr="00657D21" w:rsidRDefault="00652773" w:rsidP="00652773">
      <w:pPr>
        <w:pStyle w:val="BodyText"/>
      </w:pPr>
      <w:r w:rsidRPr="00657D21">
        <w:t xml:space="preserve">In 2016, New Zealand agreed to the International Civil Aviation Organization’s (ICAO’s) long-term aspirational goal of net zero aviation emissions by 2050 and, more recently, the ICAO Global Framework for Sustainable Aviation Fuels, Lower Carbon Aviation Fuels and other Aviation Cleaner Energies. </w:t>
      </w:r>
    </w:p>
    <w:p w14:paraId="50A2A282" w14:textId="77777777" w:rsidR="00652773" w:rsidRPr="00657D21" w:rsidRDefault="00652773" w:rsidP="00652773">
      <w:pPr>
        <w:pStyle w:val="BodyText"/>
      </w:pPr>
      <w:r w:rsidRPr="00657D21">
        <w:t xml:space="preserve">Since 2016, New Zealand has been voluntarily participating in the ICAO’s Carbon Offsetting and Reduction Scheme for International Aviation, through a Memorandum of Understanding between the Ministry of Transport and Air New Zealand. Participation in the Carbon Offsetting and Reduction Scheme will become mandatory starting from 2027 under international law and will become domestically regulated through the Civil Aviation Act 2023. </w:t>
      </w:r>
    </w:p>
    <w:p w14:paraId="0A414759" w14:textId="77777777" w:rsidR="00652773" w:rsidRPr="00657D21" w:rsidRDefault="00652773" w:rsidP="00652773">
      <w:pPr>
        <w:pStyle w:val="BodyText"/>
      </w:pPr>
      <w:r w:rsidRPr="00657D21">
        <w:t xml:space="preserve">Sustainable Aviation Aotearoa was established as a result of ERP1 in 2022. Sustainable Aviation Aotearoa is a collaboration between the Government and industry working to support the sector to accelerate the decarbonisation of aviation. </w:t>
      </w:r>
    </w:p>
    <w:p w14:paraId="055AC6F3" w14:textId="77777777" w:rsidR="00652773" w:rsidRPr="00657D21" w:rsidRDefault="00652773" w:rsidP="00652773">
      <w:pPr>
        <w:pStyle w:val="BodyText"/>
      </w:pPr>
      <w:r w:rsidRPr="00657D21">
        <w:t>New Zealand works with the International Maritime Organization (IMO) to reduce its emissions from international shipping and has agreed to meet the targets from the 2023 revised IMO GHG reduction strategy. New Zealand adopted the short-term measures in 2023 to give effect to these strategies and continues to participate in the negotiations at the IMO to develop measures that will further aid the sector in reducing its emissions to reach net zero maritime emissions by, or around, 2050.</w:t>
      </w:r>
    </w:p>
    <w:p w14:paraId="068F12CD" w14:textId="77777777" w:rsidR="00652773" w:rsidRPr="00657D21" w:rsidRDefault="00652773" w:rsidP="00652773">
      <w:pPr>
        <w:pStyle w:val="BodyText"/>
      </w:pPr>
      <w:r w:rsidRPr="00657D21">
        <w:t xml:space="preserve">At the 2021 United Nations Climate Change Conference, New Zealand agreed to support the Clydebank Declaration on Green Shipping Corridors. The Ministry of Transport is conducting research on regulatory barriers that could act as a brake on the operation of vessels running alternative fuels to New Zealand or other low carbon marine technologies. </w:t>
      </w:r>
    </w:p>
    <w:p w14:paraId="39D0F0A1" w14:textId="77777777" w:rsidR="00652773" w:rsidRPr="00657D21" w:rsidRDefault="00652773" w:rsidP="00652773">
      <w:pPr>
        <w:pStyle w:val="Heading2"/>
        <w:numPr>
          <w:ilvl w:val="0"/>
          <w:numId w:val="81"/>
        </w:numPr>
        <w:tabs>
          <w:tab w:val="clear" w:pos="1134"/>
          <w:tab w:val="left" w:pos="1276"/>
        </w:tabs>
      </w:pPr>
      <w:bookmarkStart w:id="486" w:name="_Toc184825514"/>
      <w:r w:rsidRPr="00657D21">
        <w:t>Policies no longer in place</w:t>
      </w:r>
      <w:bookmarkEnd w:id="486"/>
    </w:p>
    <w:p w14:paraId="1FAC2622" w14:textId="02E93D44" w:rsidR="00652773" w:rsidRPr="00657D21" w:rsidRDefault="00652773" w:rsidP="00652773">
      <w:pPr>
        <w:pStyle w:val="BodyText"/>
      </w:pPr>
      <w:r w:rsidRPr="00657D21">
        <w:t xml:space="preserve">This section details policies that are no longer in place but continue to have mitigation effects beyond the policy implementation period. The mitigation effects of these policies are included in the With Existing Measures projections scenario (see </w:t>
      </w:r>
      <w:hyperlink w:anchor="section25" w:history="1">
        <w:r w:rsidRPr="00DC3BC1">
          <w:rPr>
            <w:rStyle w:val="Hyperlink"/>
          </w:rPr>
          <w:t>section 2.5</w:t>
        </w:r>
      </w:hyperlink>
      <w:r w:rsidRPr="00657D21">
        <w:t xml:space="preserve">). </w:t>
      </w:r>
    </w:p>
    <w:p w14:paraId="2A3FB16E" w14:textId="77777777" w:rsidR="00652773" w:rsidRPr="00657D21" w:rsidRDefault="00652773" w:rsidP="00F564C5">
      <w:pPr>
        <w:pStyle w:val="Heading3"/>
        <w:numPr>
          <w:ilvl w:val="0"/>
          <w:numId w:val="97"/>
        </w:numPr>
        <w:tabs>
          <w:tab w:val="clear" w:pos="1134"/>
          <w:tab w:val="left" w:pos="1276"/>
        </w:tabs>
        <w:ind w:left="1276" w:hanging="1276"/>
      </w:pPr>
      <w:r w:rsidRPr="00657D21">
        <w:t>Government Investment in Decarbonising Industry Fund</w:t>
      </w:r>
    </w:p>
    <w:p w14:paraId="6886A2F3" w14:textId="77777777" w:rsidR="00652773" w:rsidRPr="00657D21" w:rsidRDefault="00652773" w:rsidP="00652773">
      <w:pPr>
        <w:pStyle w:val="BodyText"/>
      </w:pPr>
      <w:r w:rsidRPr="00657D21">
        <w:t xml:space="preserve">In 2020, the Government launched the Government Investment in Decarbonising Industry (GIDI) Fund, administered by EECA, to accelerate the decarbonisation of industrial process heat. The fund helped businesses with the upfront capital costs of energy efficiency initiatives as well as switching from fossil fuels to renewables to accelerate their decarbonisation goals. </w:t>
      </w:r>
    </w:p>
    <w:p w14:paraId="102623E4" w14:textId="5A399B90" w:rsidR="00652773" w:rsidRPr="00657D21" w:rsidRDefault="00652773" w:rsidP="00652773">
      <w:pPr>
        <w:pStyle w:val="BodyText"/>
      </w:pPr>
      <w:r w:rsidRPr="00657D21">
        <w:t>The first iteration of the GIDI Fund was an NZ$69 million fund, which supported 53 projects. In 2022</w:t>
      </w:r>
      <w:r w:rsidR="00C80155">
        <w:t>,</w:t>
      </w:r>
      <w:r w:rsidRPr="00657D21">
        <w:t xml:space="preserve"> the Government expanded the GIDI Fund to further support businesses with decarbonisation and invest in necessary renewable fuel supply infrastructure to enable decarbonisation projects. GIDI Fund applications closed at the end of 2023. </w:t>
      </w:r>
    </w:p>
    <w:p w14:paraId="223B8C9D" w14:textId="77777777" w:rsidR="00652773" w:rsidRPr="00657D21" w:rsidRDefault="00652773" w:rsidP="00652773">
      <w:pPr>
        <w:pStyle w:val="BodyText"/>
        <w:rPr>
          <w:rFonts w:eastAsia="Calibri" w:cs="Calibri"/>
        </w:rPr>
      </w:pPr>
      <w:r w:rsidRPr="00657D21">
        <w:rPr>
          <w:rFonts w:eastAsia="Calibri" w:cs="Calibri"/>
        </w:rPr>
        <w:t>Overall, co-funding was provided for 83 projects with $119.3 million in co-funding provided by the Government and $220.5 million in private funding. This is expected to provide an estimated annual CO</w:t>
      </w:r>
      <w:r w:rsidRPr="00657D21">
        <w:rPr>
          <w:rFonts w:eastAsia="Calibri" w:cs="Calibri"/>
          <w:vertAlign w:val="subscript"/>
        </w:rPr>
        <w:t>2</w:t>
      </w:r>
      <w:r w:rsidRPr="00657D21">
        <w:rPr>
          <w:rFonts w:eastAsia="Calibri" w:cs="Calibri"/>
        </w:rPr>
        <w:t xml:space="preserve"> abatement of 463,900 tonnes. </w:t>
      </w:r>
    </w:p>
    <w:p w14:paraId="618E3202" w14:textId="77777777" w:rsidR="00652773" w:rsidRPr="00657D21" w:rsidRDefault="00652773" w:rsidP="00652773">
      <w:pPr>
        <w:pStyle w:val="BodyText"/>
        <w:rPr>
          <w:rFonts w:eastAsia="Calibri" w:cs="Calibri"/>
        </w:rPr>
      </w:pPr>
      <w:r w:rsidRPr="00657D21">
        <w:rPr>
          <w:rFonts w:eastAsia="Calibri" w:cs="Calibri"/>
        </w:rPr>
        <w:t>Partnership projects we</w:t>
      </w:r>
      <w:r w:rsidRPr="00657D21">
        <w:t>re approved with two of New Zealand’s largest industrial emitters, taking a more bespoke approach to reducing their reliance on fossil fuels. These two partnerships were with New Zealand Steel (steel manufacturer) and Fonterra (dairy co</w:t>
      </w:r>
      <w:r w:rsidRPr="00657D21">
        <w:noBreakHyphen/>
        <w:t xml:space="preserve">operative). The Government committed $230 million in co-investment with private funding of $860 million across the two partnerships. This is expected to provide an estimated lifetime abatement of 9.3 Mt </w:t>
      </w:r>
      <w:r w:rsidRPr="00657D21">
        <w:rPr>
          <w:rFonts w:eastAsia="Calibri" w:cs="Calibri"/>
        </w:rPr>
        <w:t>CO</w:t>
      </w:r>
      <w:r w:rsidRPr="00657D21">
        <w:rPr>
          <w:rFonts w:eastAsia="Calibri" w:cs="Calibri"/>
          <w:vertAlign w:val="subscript"/>
        </w:rPr>
        <w:t>2</w:t>
      </w:r>
      <w:r w:rsidRPr="00657D21">
        <w:t xml:space="preserve">. The New Zealand Steel partnership is expected to provide an estimated annual </w:t>
      </w:r>
      <w:r w:rsidRPr="00657D21">
        <w:rPr>
          <w:rFonts w:eastAsia="Calibri" w:cs="Calibri"/>
        </w:rPr>
        <w:t>CO</w:t>
      </w:r>
      <w:r w:rsidRPr="00657D21">
        <w:rPr>
          <w:rFonts w:eastAsia="Calibri" w:cs="Calibri"/>
          <w:vertAlign w:val="subscript"/>
        </w:rPr>
        <w:t>2</w:t>
      </w:r>
      <w:r w:rsidRPr="00657D21">
        <w:t xml:space="preserve"> abatement of 800,000 tonnes per year. The Fonterra partnership is expected to bring about annual carbon abatement of up to 330,000 tonnes per year by 2030.</w:t>
      </w:r>
    </w:p>
    <w:p w14:paraId="272161CD" w14:textId="77777777" w:rsidR="00652773" w:rsidRPr="00657D21" w:rsidRDefault="00652773" w:rsidP="00784F5F">
      <w:pPr>
        <w:pStyle w:val="Heading3"/>
        <w:numPr>
          <w:ilvl w:val="0"/>
          <w:numId w:val="97"/>
        </w:numPr>
        <w:tabs>
          <w:tab w:val="clear" w:pos="1134"/>
          <w:tab w:val="left" w:pos="1276"/>
        </w:tabs>
      </w:pPr>
      <w:r w:rsidRPr="00657D21">
        <w:t>State Sector Decarbonisation Fund</w:t>
      </w:r>
    </w:p>
    <w:p w14:paraId="46B1BE9A" w14:textId="77777777" w:rsidR="00652773" w:rsidRPr="00657D21" w:rsidRDefault="00652773" w:rsidP="00652773">
      <w:pPr>
        <w:pStyle w:val="BodyText"/>
        <w:rPr>
          <w:rFonts w:eastAsia="Calibri" w:cs="Calibri"/>
        </w:rPr>
      </w:pPr>
      <w:r w:rsidRPr="00657D21">
        <w:t xml:space="preserve">In December 2019, the Government launched the State Sector Decarbonisation Fund (SSDF). The SSDF supports the CNGP and aims to help numerous organisations within the public sector to be carbon neutral from 2025. The NZ$219.5 million fund is administered by EECA. EECA works with the state sector to provide expert advice and technical support, and to facilitate low-emissions energy investments. </w:t>
      </w:r>
    </w:p>
    <w:p w14:paraId="2BE9FE93" w14:textId="77777777" w:rsidR="00652773" w:rsidRPr="00657D21" w:rsidRDefault="00652773" w:rsidP="00652773">
      <w:pPr>
        <w:pStyle w:val="BodyText"/>
      </w:pPr>
      <w:r w:rsidRPr="00657D21">
        <w:t>As of June 2023, all SSDF funds have been committed. The SSDF funds 126 individual projects, across 57 agencies. Collectively, these projects are estimated to represent tota</w:t>
      </w:r>
      <w:r w:rsidRPr="00657D21">
        <w:rPr>
          <w:rFonts w:eastAsia="Calibri" w:cs="Calibri"/>
        </w:rPr>
        <w:t>l abatement of 961,482 tonnes CO</w:t>
      </w:r>
      <w:r w:rsidRPr="00657D21">
        <w:rPr>
          <w:rFonts w:eastAsia="Calibri" w:cs="Calibri"/>
          <w:vertAlign w:val="subscript"/>
        </w:rPr>
        <w:t>2</w:t>
      </w:r>
      <w:r w:rsidRPr="00657D21">
        <w:rPr>
          <w:rFonts w:eastAsia="Calibri" w:cs="Calibri"/>
        </w:rPr>
        <w:t xml:space="preserve">e over 10 years. </w:t>
      </w:r>
    </w:p>
    <w:p w14:paraId="4AD82511" w14:textId="77777777" w:rsidR="00652773" w:rsidRPr="00657D21" w:rsidRDefault="00652773" w:rsidP="00784F5F">
      <w:pPr>
        <w:pStyle w:val="Heading3"/>
        <w:numPr>
          <w:ilvl w:val="0"/>
          <w:numId w:val="97"/>
        </w:numPr>
        <w:tabs>
          <w:tab w:val="clear" w:pos="1134"/>
          <w:tab w:val="left" w:pos="1276"/>
        </w:tabs>
      </w:pPr>
      <w:r w:rsidRPr="00657D21">
        <w:t>Clean Vehicle Discount Scheme</w:t>
      </w:r>
    </w:p>
    <w:p w14:paraId="6112EAF2" w14:textId="30A7F3D1" w:rsidR="00652773" w:rsidRPr="00657D21" w:rsidRDefault="00652773" w:rsidP="00652773">
      <w:pPr>
        <w:pStyle w:val="BodyText"/>
      </w:pPr>
      <w:r w:rsidRPr="00657D21">
        <w:t>The Clean Vehicle Discount encouraged buyer demand for low-emission vehicles by providing rebates for zero- and low-emission light vehicles, and requiring a fee be paid for high-emission vehicles, registered in New Zealand for the first time.</w:t>
      </w:r>
      <w:r w:rsidRPr="00657D21">
        <w:rPr>
          <w:rStyle w:val="FootnoteReference"/>
        </w:rPr>
        <w:footnoteReference w:id="175"/>
      </w:r>
    </w:p>
    <w:p w14:paraId="2DCC23BA" w14:textId="35754507" w:rsidR="00652773" w:rsidRPr="00657D21" w:rsidRDefault="00652773" w:rsidP="00652773">
      <w:pPr>
        <w:pStyle w:val="BodyText"/>
      </w:pPr>
      <w:r w:rsidRPr="00657D21">
        <w:t xml:space="preserve">The Clean Vehicle Discount was based on vehicle </w:t>
      </w:r>
      <w:r w:rsidRPr="00657D21">
        <w:rPr>
          <w:rFonts w:eastAsia="Calibri" w:cs="Calibri"/>
        </w:rPr>
        <w:t>CO</w:t>
      </w:r>
      <w:r w:rsidRPr="00657D21">
        <w:rPr>
          <w:rFonts w:eastAsia="Calibri" w:cs="Calibri"/>
          <w:vertAlign w:val="subscript"/>
        </w:rPr>
        <w:t>2</w:t>
      </w:r>
      <w:r w:rsidRPr="00657D21">
        <w:t xml:space="preserve"> emissions. The rebate part of this policy for those buying zero- and low-emission vehicles was introduced in July 2021. The second part, comprising fees for those purchasing higher-emitting vehicles, was introduced on 1 April 2022.</w:t>
      </w:r>
    </w:p>
    <w:p w14:paraId="0B8359EF" w14:textId="77777777" w:rsidR="00652773" w:rsidRPr="00657D21" w:rsidRDefault="00652773" w:rsidP="00652773">
      <w:pPr>
        <w:pStyle w:val="BodyText"/>
      </w:pPr>
      <w:r w:rsidRPr="00657D21">
        <w:t>The Clean Vehicle Discount Scheme ended on 31 December 2023.</w:t>
      </w:r>
    </w:p>
    <w:p w14:paraId="491DE49D" w14:textId="77777777" w:rsidR="00652773" w:rsidRPr="00657D21" w:rsidRDefault="00652773" w:rsidP="00784F5F">
      <w:pPr>
        <w:pStyle w:val="Heading3"/>
        <w:numPr>
          <w:ilvl w:val="0"/>
          <w:numId w:val="97"/>
        </w:numPr>
        <w:tabs>
          <w:tab w:val="clear" w:pos="1134"/>
          <w:tab w:val="left" w:pos="1276"/>
        </w:tabs>
      </w:pPr>
      <w:r w:rsidRPr="00657D21">
        <w:t>Permanent Forest Sink Initiative</w:t>
      </w:r>
    </w:p>
    <w:p w14:paraId="1AD83D1E" w14:textId="77777777" w:rsidR="00652773" w:rsidRPr="00657D21" w:rsidRDefault="00652773" w:rsidP="00652773">
      <w:pPr>
        <w:pStyle w:val="BodyText"/>
      </w:pPr>
      <w:r w:rsidRPr="00657D21">
        <w:rPr>
          <w:rFonts w:eastAsia="Calibri"/>
        </w:rPr>
        <w:t>The PFSI pre-dates the NZ ETS and promoted the establishment of permanent forests on land that was unforested before 1 January 1990. It offered land owners with land registered in the PFSI the opportunity to earn emissions units for the carbon sequestered by their</w:t>
      </w:r>
      <w:r w:rsidRPr="00657D21">
        <w:t xml:space="preserve"> forests.</w:t>
      </w:r>
    </w:p>
    <w:p w14:paraId="74AD78D1" w14:textId="77777777" w:rsidR="00652773" w:rsidRPr="00657D21" w:rsidRDefault="00652773" w:rsidP="00652773">
      <w:pPr>
        <w:pStyle w:val="BodyText"/>
      </w:pPr>
      <w:r w:rsidRPr="00657D21">
        <w:t>In return, participants had a legal covenant registered against their land title in perpetuity to ensure the carbon removals remain ‘permanent’. The covenant was in perpetuity, even if the land was sold, although there was an ability to terminate after 50 years. Land owners were responsible for establishing and maintaining the forest. Limited harvesting was allowed on a continuous forestry cover basis.</w:t>
      </w:r>
    </w:p>
    <w:p w14:paraId="3E00F0B9" w14:textId="3C03E753" w:rsidR="00652773" w:rsidRPr="00657D21" w:rsidRDefault="00652773" w:rsidP="00652773">
      <w:pPr>
        <w:pStyle w:val="BodyText"/>
      </w:pPr>
      <w:r w:rsidRPr="00657D21">
        <w:t>The PFSI was reviewed between 2015 and 2018</w:t>
      </w:r>
      <w:r w:rsidR="00F91454">
        <w:t>. T</w:t>
      </w:r>
      <w:r w:rsidRPr="00657D21">
        <w:t xml:space="preserve">hese reviews concluded that the PFSI was costly and complex to administer and had underperformed compared with the NZ ETS. Following these reviews, the Government announced it would discontinue the PFSI and introduce a new permanent forest category for post-1989 forest land into the NZ ETS to replace it (available from 1 January 2023). </w:t>
      </w:r>
      <w:bookmarkStart w:id="487" w:name="_Hlk174431558"/>
      <w:r w:rsidRPr="00657D21">
        <w:t xml:space="preserve">The PFSI closed on 1 January 2024, following the land subject to the covenants being moved into the NZ ETS, with most of the land moving into the permanent forestry category. </w:t>
      </w:r>
      <w:bookmarkEnd w:id="487"/>
    </w:p>
    <w:p w14:paraId="451FBA5B" w14:textId="77777777" w:rsidR="00652773" w:rsidRPr="00657D21" w:rsidRDefault="00652773" w:rsidP="00784F5F">
      <w:pPr>
        <w:pStyle w:val="Heading3"/>
        <w:numPr>
          <w:ilvl w:val="0"/>
          <w:numId w:val="97"/>
        </w:numPr>
        <w:tabs>
          <w:tab w:val="clear" w:pos="1134"/>
          <w:tab w:val="left" w:pos="1276"/>
        </w:tabs>
      </w:pPr>
      <w:r w:rsidRPr="00657D21">
        <w:t>Afforestation Grants Scheme</w:t>
      </w:r>
    </w:p>
    <w:p w14:paraId="6D3D0408" w14:textId="7CCE2A93" w:rsidR="00652773" w:rsidRPr="00657D21" w:rsidRDefault="00652773" w:rsidP="00652773">
      <w:pPr>
        <w:pStyle w:val="BodyText"/>
        <w:rPr>
          <w:rFonts w:eastAsia="Calibri"/>
        </w:rPr>
      </w:pPr>
      <w:r w:rsidRPr="00657D21">
        <w:rPr>
          <w:rFonts w:eastAsia="Calibri"/>
        </w:rPr>
        <w:t>The Afforestation Grant Scheme was a funding programme designed to help establish new small- to medium-sized forests (5 hectares to 300 hectares) across New Zealand. It aimed to sequester carbon, improve water quality, reduce soil erosion, improve land</w:t>
      </w:r>
      <w:r w:rsidR="00F91454">
        <w:rPr>
          <w:rFonts w:eastAsia="Calibri"/>
        </w:rPr>
        <w:t>-</w:t>
      </w:r>
      <w:r w:rsidRPr="00657D21">
        <w:rPr>
          <w:rFonts w:eastAsia="Calibri"/>
        </w:rPr>
        <w:t xml:space="preserve">use productivity and boost regional economic development. The Ministry for Primary Industries provided grants to land owners to plant native or exotic forests. The scheme ran in two parts, with the first establishing 12,000 hectares of forest between 2008 and 2013. The second initially aimed to establish 15,000 hectares between 2015 and 2020 and this was partially achieved before the One Billion Trees Fund was established. This saw some applicants transition to support under the One Billion Trees Fund or the NZ ETS. </w:t>
      </w:r>
    </w:p>
    <w:p w14:paraId="58D091FA" w14:textId="77777777" w:rsidR="00652773" w:rsidRPr="00657D21" w:rsidRDefault="00652773" w:rsidP="00F564C5">
      <w:pPr>
        <w:pStyle w:val="Heading2"/>
        <w:numPr>
          <w:ilvl w:val="0"/>
          <w:numId w:val="81"/>
        </w:numPr>
        <w:tabs>
          <w:tab w:val="clear" w:pos="1134"/>
          <w:tab w:val="left" w:pos="1276"/>
        </w:tabs>
        <w:ind w:left="1276" w:hanging="1276"/>
      </w:pPr>
      <w:bookmarkStart w:id="488" w:name="_Toc172793994"/>
      <w:bookmarkStart w:id="489" w:name="_Toc184825515"/>
      <w:r w:rsidRPr="00BB4668">
        <w:t>Assessment</w:t>
      </w:r>
      <w:r w:rsidRPr="00657D21">
        <w:t xml:space="preserve"> of economic and social impacts of response measures</w:t>
      </w:r>
      <w:bookmarkEnd w:id="488"/>
      <w:bookmarkEnd w:id="489"/>
    </w:p>
    <w:p w14:paraId="547D1363" w14:textId="77777777" w:rsidR="00652773" w:rsidRPr="00657D21" w:rsidRDefault="00652773" w:rsidP="00652773">
      <w:pPr>
        <w:pStyle w:val="BodyText"/>
      </w:pPr>
      <w:r w:rsidRPr="00657D21">
        <w:t>Meeting New Zealand’s emissions reduction targets will involve businesses, communities and households making different choices about how they trade, work and live. These choices bring benefits and opportunities for New Zealanders, including new, low-emissions jobs and business opportunities, but also challenges and disruption for some.</w:t>
      </w:r>
    </w:p>
    <w:p w14:paraId="5D5DA88F" w14:textId="77777777" w:rsidR="00652773" w:rsidRPr="00657D21" w:rsidRDefault="00652773" w:rsidP="00652773">
      <w:pPr>
        <w:pStyle w:val="BodyText"/>
      </w:pPr>
      <w:r w:rsidRPr="00657D21">
        <w:t>Analysis of the expected distributional impacts of ERP2 policies found that mitigation efforts will not add significant costs to households. We expect the effects to be similar to what is projected without ERP2 policies. The modelling suggests that, overall, the economy will grow between now and 2050.</w:t>
      </w:r>
      <w:r w:rsidRPr="00CE240E">
        <w:t xml:space="preserve"> Table </w:t>
      </w:r>
      <w:r w:rsidRPr="00657D21">
        <w:t>2.4.1 gives a high-level summary of the main impacts that emerged from the analysis.</w:t>
      </w:r>
    </w:p>
    <w:p w14:paraId="6D186FDB" w14:textId="77777777" w:rsidR="00652773" w:rsidRPr="00657D21" w:rsidRDefault="00652773" w:rsidP="00652773">
      <w:pPr>
        <w:pStyle w:val="Tableheading"/>
      </w:pPr>
      <w:bookmarkStart w:id="490" w:name="_Toc185407464"/>
      <w:bookmarkStart w:id="491" w:name="_Toc185427727"/>
      <w:r w:rsidRPr="00657D21">
        <w:t xml:space="preserve">Table 2.4.1: </w:t>
      </w:r>
      <w:r w:rsidRPr="00657D21">
        <w:tab/>
        <w:t>Summary of impacts from analysis of expected distributional impacts of second emissions reduction plan policies</w:t>
      </w:r>
      <w:bookmarkEnd w:id="490"/>
      <w:bookmarkEnd w:id="491"/>
    </w:p>
    <w:tbl>
      <w:tblPr>
        <w:tblStyle w:val="TableGrid"/>
        <w:tblW w:w="849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CellMar>
          <w:right w:w="85" w:type="dxa"/>
        </w:tblCellMar>
        <w:tblLook w:val="04A0" w:firstRow="1" w:lastRow="0" w:firstColumn="1" w:lastColumn="0" w:noHBand="0" w:noVBand="1"/>
      </w:tblPr>
      <w:tblGrid>
        <w:gridCol w:w="1665"/>
        <w:gridCol w:w="6830"/>
      </w:tblGrid>
      <w:tr w:rsidR="00652773" w:rsidRPr="00657D21" w14:paraId="35167112" w14:textId="77777777">
        <w:trPr>
          <w:tblHeader/>
        </w:trPr>
        <w:tc>
          <w:tcPr>
            <w:tcW w:w="1665" w:type="dxa"/>
            <w:shd w:val="clear" w:color="auto" w:fill="1B556B" w:themeFill="text2"/>
          </w:tcPr>
          <w:p w14:paraId="5D8812B4" w14:textId="77777777" w:rsidR="00652773" w:rsidRPr="00657D21" w:rsidRDefault="00652773">
            <w:pPr>
              <w:pStyle w:val="TableTextbold"/>
              <w:rPr>
                <w:color w:val="FFFFFF" w:themeColor="background1"/>
              </w:rPr>
            </w:pPr>
            <w:r w:rsidRPr="00657D21">
              <w:rPr>
                <w:color w:val="FFFFFF" w:themeColor="background1"/>
              </w:rPr>
              <w:t>Group affected</w:t>
            </w:r>
          </w:p>
        </w:tc>
        <w:tc>
          <w:tcPr>
            <w:tcW w:w="6830" w:type="dxa"/>
            <w:shd w:val="clear" w:color="auto" w:fill="1B556B" w:themeFill="text2"/>
          </w:tcPr>
          <w:p w14:paraId="48425DD4" w14:textId="77777777" w:rsidR="00652773" w:rsidRPr="00657D21" w:rsidRDefault="00652773">
            <w:pPr>
              <w:pStyle w:val="TableTextbold"/>
              <w:rPr>
                <w:color w:val="FFFFFF" w:themeColor="background1"/>
              </w:rPr>
            </w:pPr>
            <w:r w:rsidRPr="00657D21">
              <w:rPr>
                <w:color w:val="FFFFFF" w:themeColor="background1"/>
              </w:rPr>
              <w:t>Impact</w:t>
            </w:r>
          </w:p>
        </w:tc>
      </w:tr>
      <w:tr w:rsidR="00652773" w:rsidRPr="00657D21" w14:paraId="725B143D" w14:textId="77777777">
        <w:trPr>
          <w:trHeight w:val="300"/>
        </w:trPr>
        <w:tc>
          <w:tcPr>
            <w:tcW w:w="1665" w:type="dxa"/>
          </w:tcPr>
          <w:p w14:paraId="38FC9E53" w14:textId="77777777" w:rsidR="00652773" w:rsidRPr="00657D21" w:rsidRDefault="00652773">
            <w:pPr>
              <w:pStyle w:val="TableText"/>
            </w:pPr>
            <w:r w:rsidRPr="00657D21">
              <w:t>Households</w:t>
            </w:r>
          </w:p>
        </w:tc>
        <w:tc>
          <w:tcPr>
            <w:tcW w:w="6830" w:type="dxa"/>
          </w:tcPr>
          <w:p w14:paraId="4E52A760" w14:textId="77777777" w:rsidR="00652773" w:rsidRPr="00657D21" w:rsidRDefault="00652773" w:rsidP="00652773">
            <w:pPr>
              <w:pStyle w:val="TableBullet"/>
              <w:tabs>
                <w:tab w:val="num" w:pos="360"/>
              </w:tabs>
              <w:spacing w:before="60"/>
            </w:pPr>
            <w:r w:rsidRPr="00657D21">
              <w:t>New Zealand households are, on average, expected to have only marginally lower consumption in 2050 than they would have without efforts to reduce emissions.</w:t>
            </w:r>
          </w:p>
          <w:p w14:paraId="53EBE3D1" w14:textId="77777777" w:rsidR="00652773" w:rsidRPr="00657D21" w:rsidRDefault="00652773" w:rsidP="00652773">
            <w:pPr>
              <w:pStyle w:val="TableBullet"/>
              <w:tabs>
                <w:tab w:val="num" w:pos="360"/>
              </w:tabs>
            </w:pPr>
            <w:r w:rsidRPr="00657D21">
              <w:t xml:space="preserve">The second emissions reduction plan will have a limited effect on overall inflation or the cost of living for New Zealanders. The effects mainly come from emissions pricing, which in 2030 is estimated to cost the average household $705, or 0.7 per cent, of annual household income. </w:t>
            </w:r>
          </w:p>
          <w:p w14:paraId="1B8FAFE1" w14:textId="77777777" w:rsidR="00652773" w:rsidRPr="00657D21" w:rsidRDefault="00652773" w:rsidP="00652773">
            <w:pPr>
              <w:pStyle w:val="TableBullet"/>
              <w:tabs>
                <w:tab w:val="num" w:pos="360"/>
              </w:tabs>
            </w:pPr>
            <w:r w:rsidRPr="00657D21">
              <w:t>Lower income households are expected to be the most affected by higher household and transition costs. This includes a disproportionate number of disabled people and people from Māori and Pasifika communities.</w:t>
            </w:r>
          </w:p>
        </w:tc>
      </w:tr>
      <w:tr w:rsidR="00652773" w:rsidRPr="00657D21" w14:paraId="741C886A" w14:textId="77777777">
        <w:trPr>
          <w:trHeight w:val="300"/>
        </w:trPr>
        <w:tc>
          <w:tcPr>
            <w:tcW w:w="1665" w:type="dxa"/>
          </w:tcPr>
          <w:p w14:paraId="2B246FA2" w14:textId="77777777" w:rsidR="00652773" w:rsidRPr="00657D21" w:rsidRDefault="00652773">
            <w:pPr>
              <w:pStyle w:val="TableText"/>
            </w:pPr>
            <w:r w:rsidRPr="00657D21">
              <w:t>Industries and workers</w:t>
            </w:r>
          </w:p>
        </w:tc>
        <w:tc>
          <w:tcPr>
            <w:tcW w:w="6830" w:type="dxa"/>
          </w:tcPr>
          <w:p w14:paraId="2FDB5CEA" w14:textId="77777777" w:rsidR="00652773" w:rsidRPr="00657D21" w:rsidRDefault="00652773" w:rsidP="00652773">
            <w:pPr>
              <w:pStyle w:val="TableBullet"/>
              <w:tabs>
                <w:tab w:val="num" w:pos="360"/>
              </w:tabs>
              <w:spacing w:before="60"/>
            </w:pPr>
            <w:r w:rsidRPr="00657D21">
              <w:t>Agriculture is expected to be the most affected sector. Agricultural output (in gross domestic product terms) is expected to be higher in 2050 than today, but lower than it would have been without any mitigation actions, mainly because of land-use changes to forestry. Agricultural manufacturing is similarly affected.</w:t>
            </w:r>
          </w:p>
          <w:p w14:paraId="0D88464B" w14:textId="77777777" w:rsidR="00652773" w:rsidRPr="00657D21" w:rsidRDefault="00652773" w:rsidP="00652773">
            <w:pPr>
              <w:pStyle w:val="TableBullet"/>
              <w:tabs>
                <w:tab w:val="num" w:pos="360"/>
              </w:tabs>
            </w:pPr>
            <w:r w:rsidRPr="00657D21">
              <w:t>Farm owners may benefit from changes in land use to forestry. However, workers on farms and in agricultural manufacturing may face disruption, reduced opportunities, and the need to reskill and change careers.</w:t>
            </w:r>
          </w:p>
          <w:p w14:paraId="3FFD5116" w14:textId="77777777" w:rsidR="00652773" w:rsidRPr="00657D21" w:rsidRDefault="00652773" w:rsidP="00652773">
            <w:pPr>
              <w:pStyle w:val="TableBullet"/>
              <w:tabs>
                <w:tab w:val="num" w:pos="360"/>
              </w:tabs>
            </w:pPr>
            <w:r w:rsidRPr="00657D21">
              <w:t>Other sectors are less affected.</w:t>
            </w:r>
          </w:p>
        </w:tc>
      </w:tr>
      <w:tr w:rsidR="00652773" w:rsidRPr="00657D21" w14:paraId="7CCD5B57" w14:textId="77777777">
        <w:trPr>
          <w:trHeight w:val="300"/>
        </w:trPr>
        <w:tc>
          <w:tcPr>
            <w:tcW w:w="1665" w:type="dxa"/>
          </w:tcPr>
          <w:p w14:paraId="05AA3908" w14:textId="77777777" w:rsidR="00652773" w:rsidRPr="00657D21" w:rsidRDefault="00652773">
            <w:pPr>
              <w:spacing w:after="0" w:line="240" w:lineRule="auto"/>
              <w:jc w:val="left"/>
              <w:rPr>
                <w:rFonts w:eastAsia="Times New Roman"/>
              </w:rPr>
            </w:pPr>
            <w:r w:rsidRPr="00657D21">
              <w:rPr>
                <w:rFonts w:eastAsia="Times New Roman"/>
              </w:rPr>
              <w:t>Regions</w:t>
            </w:r>
          </w:p>
        </w:tc>
        <w:tc>
          <w:tcPr>
            <w:tcW w:w="6830" w:type="dxa"/>
          </w:tcPr>
          <w:p w14:paraId="6E5A9862" w14:textId="77777777" w:rsidR="00652773" w:rsidRPr="00657D21" w:rsidRDefault="00652773" w:rsidP="00652773">
            <w:pPr>
              <w:pStyle w:val="TableBullet"/>
              <w:tabs>
                <w:tab w:val="num" w:pos="360"/>
              </w:tabs>
              <w:spacing w:before="60"/>
            </w:pPr>
            <w:r w:rsidRPr="00657D21">
              <w:t>Regional impacts are mainly driven by the mix of industry in each region and how they are affected by the changes in land use. The impact on specific areas varies significantly, depending on forest and farm type, and regional circumstances.</w:t>
            </w:r>
          </w:p>
          <w:p w14:paraId="2494D573" w14:textId="77777777" w:rsidR="00652773" w:rsidRPr="00657D21" w:rsidRDefault="00652773" w:rsidP="00652773">
            <w:pPr>
              <w:pStyle w:val="TableBullet"/>
              <w:tabs>
                <w:tab w:val="num" w:pos="360"/>
              </w:tabs>
            </w:pPr>
            <w:r w:rsidRPr="00657D21">
              <w:t>More affected areas, such as Southland and the West Coast, have a risk of disruption through lower local employment, the need to retrain local workers, reduced population for small communities and greater exposure to climate risks.</w:t>
            </w:r>
          </w:p>
        </w:tc>
      </w:tr>
      <w:tr w:rsidR="00652773" w:rsidRPr="00657D21" w14:paraId="4699B2B2" w14:textId="77777777">
        <w:trPr>
          <w:trHeight w:val="300"/>
        </w:trPr>
        <w:tc>
          <w:tcPr>
            <w:tcW w:w="1665" w:type="dxa"/>
          </w:tcPr>
          <w:p w14:paraId="6D360C24" w14:textId="77777777" w:rsidR="00652773" w:rsidRPr="00657D21" w:rsidRDefault="00652773">
            <w:pPr>
              <w:spacing w:after="0" w:line="240" w:lineRule="auto"/>
              <w:jc w:val="left"/>
              <w:rPr>
                <w:rFonts w:eastAsia="Times New Roman"/>
              </w:rPr>
            </w:pPr>
            <w:r w:rsidRPr="00657D21">
              <w:rPr>
                <w:rFonts w:eastAsia="Times New Roman"/>
              </w:rPr>
              <w:t>Iwi and Māori</w:t>
            </w:r>
          </w:p>
        </w:tc>
        <w:tc>
          <w:tcPr>
            <w:tcW w:w="6830" w:type="dxa"/>
          </w:tcPr>
          <w:p w14:paraId="4D7CC4E0" w14:textId="77777777" w:rsidR="00652773" w:rsidRPr="00657D21" w:rsidRDefault="00652773" w:rsidP="00652773">
            <w:pPr>
              <w:pStyle w:val="TableBullet"/>
              <w:tabs>
                <w:tab w:val="num" w:pos="360"/>
              </w:tabs>
              <w:spacing w:before="60"/>
            </w:pPr>
            <w:r w:rsidRPr="00657D21">
              <w:t>Modelling found that Māori households are expected to be marginally more affected than non-Māori households. Māori are more likely to be affected by economic transitions, as they start from a position of greater socio-economic disadvantage. Māori are disproportionately affected by expected land-use changes from agriculture to forestry, because of high involvement in agriculture and forestry, and disproportionate ownership of lower quality land.</w:t>
            </w:r>
          </w:p>
        </w:tc>
      </w:tr>
      <w:tr w:rsidR="00652773" w:rsidRPr="00657D21" w14:paraId="78892789" w14:textId="77777777">
        <w:trPr>
          <w:trHeight w:val="300"/>
        </w:trPr>
        <w:tc>
          <w:tcPr>
            <w:tcW w:w="1665" w:type="dxa"/>
          </w:tcPr>
          <w:p w14:paraId="11693108" w14:textId="77777777" w:rsidR="00652773" w:rsidRPr="00657D21" w:rsidRDefault="00652773">
            <w:pPr>
              <w:spacing w:after="0" w:line="240" w:lineRule="auto"/>
              <w:jc w:val="left"/>
              <w:rPr>
                <w:rFonts w:eastAsia="Times New Roman"/>
              </w:rPr>
            </w:pPr>
            <w:r w:rsidRPr="00657D21">
              <w:rPr>
                <w:rFonts w:eastAsia="Times New Roman"/>
              </w:rPr>
              <w:t>Youth</w:t>
            </w:r>
          </w:p>
        </w:tc>
        <w:tc>
          <w:tcPr>
            <w:tcW w:w="6830" w:type="dxa"/>
          </w:tcPr>
          <w:p w14:paraId="0B8AB5A2" w14:textId="77777777" w:rsidR="00652773" w:rsidRPr="00657D21" w:rsidRDefault="00652773" w:rsidP="00652773">
            <w:pPr>
              <w:pStyle w:val="TableBullet"/>
              <w:tabs>
                <w:tab w:val="num" w:pos="360"/>
              </w:tabs>
              <w:spacing w:before="60"/>
            </w:pPr>
            <w:r w:rsidRPr="00657D21">
              <w:t>A strong focus on forestry to meet emissions budgets and targets leaves future generations with high levels of gross emissions that must be either reduced or offset through further removals. Both come with costs and economic trade-offs, but these may be reduced somewhat by future technological developments.</w:t>
            </w:r>
          </w:p>
          <w:p w14:paraId="6366C464" w14:textId="77777777" w:rsidR="00652773" w:rsidRPr="00657D21" w:rsidRDefault="00652773" w:rsidP="00652773">
            <w:pPr>
              <w:pStyle w:val="TableBullet"/>
              <w:tabs>
                <w:tab w:val="num" w:pos="360"/>
              </w:tabs>
            </w:pPr>
            <w:r w:rsidRPr="00657D21">
              <w:t>Large areas of forestry must be maintained to prevent the release of stored carbon. They also limit future flexibility of land use and increase adaptation risks.</w:t>
            </w:r>
          </w:p>
        </w:tc>
      </w:tr>
    </w:tbl>
    <w:p w14:paraId="40BEB299" w14:textId="77777777" w:rsidR="00652773" w:rsidRPr="00657D21" w:rsidRDefault="00652773" w:rsidP="00784F5F">
      <w:pPr>
        <w:pStyle w:val="Heading3"/>
        <w:numPr>
          <w:ilvl w:val="0"/>
          <w:numId w:val="98"/>
        </w:numPr>
        <w:tabs>
          <w:tab w:val="clear" w:pos="1134"/>
          <w:tab w:val="left" w:pos="1276"/>
        </w:tabs>
        <w:spacing w:before="440"/>
      </w:pPr>
      <w:r w:rsidRPr="00657D21">
        <w:t>Strategy to mitigate impacts</w:t>
      </w:r>
    </w:p>
    <w:p w14:paraId="6ED66CEC" w14:textId="77777777" w:rsidR="00652773" w:rsidRPr="00657D21" w:rsidRDefault="00652773" w:rsidP="00652773">
      <w:pPr>
        <w:pStyle w:val="BodyText"/>
      </w:pPr>
      <w:r w:rsidRPr="00657D21">
        <w:t xml:space="preserve">The Government is approaching climate change in a way that will meet New Zealand’s climate targets while minimising the costs to New Zealanders. It is also committed to strengthening the economy, to put New Zealanders in a much better position to adapt to a lower emissions way of life and to manage any costs and challenges this shift brings. </w:t>
      </w:r>
    </w:p>
    <w:p w14:paraId="331D95AB" w14:textId="7C629F56" w:rsidR="00652773" w:rsidRPr="00657D21" w:rsidRDefault="00652773" w:rsidP="00652773">
      <w:pPr>
        <w:pStyle w:val="BodyText"/>
      </w:pPr>
      <w:r w:rsidRPr="00657D21">
        <w:t xml:space="preserve">Some of the largest distributional effects stem from impacts on the </w:t>
      </w:r>
      <w:r w:rsidRPr="00657D21" w:rsidDel="00D6267D">
        <w:t>a</w:t>
      </w:r>
      <w:r w:rsidRPr="00657D21">
        <w:t xml:space="preserve">griculture sector and conversions from farmland to forestry. These will be most felt by regional communities, Māori and agricultural manufacturing. The Government’s plan helps reduce these impacts by: </w:t>
      </w:r>
    </w:p>
    <w:p w14:paraId="11038562" w14:textId="77777777" w:rsidR="00652773" w:rsidRPr="00657D21" w:rsidRDefault="00652773" w:rsidP="00652773">
      <w:pPr>
        <w:pStyle w:val="Bullet"/>
        <w:numPr>
          <w:ilvl w:val="0"/>
          <w:numId w:val="30"/>
        </w:numPr>
      </w:pPr>
      <w:r w:rsidRPr="00657D21">
        <w:t xml:space="preserve">committing to limit on-farm conversions registering in the NZ ETS to restrict shifts from agriculture to forestry </w:t>
      </w:r>
    </w:p>
    <w:p w14:paraId="4F20C649" w14:textId="77777777" w:rsidR="00652773" w:rsidRPr="00657D21" w:rsidRDefault="00652773" w:rsidP="00652773">
      <w:pPr>
        <w:pStyle w:val="Bullet"/>
        <w:numPr>
          <w:ilvl w:val="0"/>
          <w:numId w:val="30"/>
        </w:numPr>
      </w:pPr>
      <w:r w:rsidRPr="00657D21">
        <w:t xml:space="preserve">delaying the pricing of agricultural emissions </w:t>
      </w:r>
    </w:p>
    <w:p w14:paraId="3763B583" w14:textId="77777777" w:rsidR="00652773" w:rsidRPr="00657D21" w:rsidRDefault="00652773" w:rsidP="00652773">
      <w:pPr>
        <w:pStyle w:val="Bullet"/>
        <w:numPr>
          <w:ilvl w:val="0"/>
          <w:numId w:val="30"/>
        </w:numPr>
      </w:pPr>
      <w:r w:rsidRPr="00657D21">
        <w:t xml:space="preserve">providing substantial support for research and development of mitigation tools and technologies for agriculture, to offer alternatives to land-use change. </w:t>
      </w:r>
    </w:p>
    <w:p w14:paraId="07373803" w14:textId="77777777" w:rsidR="00652773" w:rsidRPr="00657D21" w:rsidRDefault="00652773" w:rsidP="00652773">
      <w:pPr>
        <w:pStyle w:val="BodyText"/>
      </w:pPr>
      <w:r w:rsidRPr="00657D21">
        <w:t>These impacts will be reduced further through the Government’s strategy to mitigate impacts on affected groups. Under the strategy, the Government has a range of supports available, as follows:</w:t>
      </w:r>
    </w:p>
    <w:p w14:paraId="6C6C8143" w14:textId="3A810D30" w:rsidR="00652773" w:rsidRPr="00657D21" w:rsidRDefault="00652773" w:rsidP="00652773">
      <w:pPr>
        <w:pStyle w:val="Bullet"/>
        <w:numPr>
          <w:ilvl w:val="0"/>
          <w:numId w:val="30"/>
        </w:numPr>
      </w:pPr>
      <w:r w:rsidRPr="00657D21">
        <w:t xml:space="preserve">financial support, including returning </w:t>
      </w:r>
      <w:r w:rsidR="002D17A3">
        <w:t xml:space="preserve">NZ </w:t>
      </w:r>
      <w:r w:rsidRPr="00657D21">
        <w:t>ETS revenue to New Zealanders through tax relief to help meet rising costs, including those related to climate change mitigation</w:t>
      </w:r>
    </w:p>
    <w:p w14:paraId="19A7CDB2" w14:textId="77777777" w:rsidR="00652773" w:rsidRPr="00657D21" w:rsidRDefault="00652773" w:rsidP="00652773">
      <w:pPr>
        <w:pStyle w:val="Bullet"/>
        <w:numPr>
          <w:ilvl w:val="0"/>
          <w:numId w:val="30"/>
        </w:numPr>
      </w:pPr>
      <w:r w:rsidRPr="00657D21">
        <w:t>retraining support</w:t>
      </w:r>
    </w:p>
    <w:p w14:paraId="558ADDEF" w14:textId="77777777" w:rsidR="00652773" w:rsidRPr="00657D21" w:rsidRDefault="00652773" w:rsidP="00652773">
      <w:pPr>
        <w:pStyle w:val="Bullet"/>
        <w:numPr>
          <w:ilvl w:val="0"/>
          <w:numId w:val="30"/>
        </w:numPr>
      </w:pPr>
      <w:r w:rsidRPr="00657D21">
        <w:t>information provision</w:t>
      </w:r>
    </w:p>
    <w:p w14:paraId="4B710379" w14:textId="6D62F594" w:rsidR="00652773" w:rsidRPr="00657D21" w:rsidRDefault="00652773" w:rsidP="00652773">
      <w:pPr>
        <w:pStyle w:val="Bullet"/>
        <w:numPr>
          <w:ilvl w:val="0"/>
          <w:numId w:val="30"/>
        </w:numPr>
      </w:pPr>
      <w:r w:rsidRPr="00657D21">
        <w:t>targeted support for Māori.</w:t>
      </w:r>
    </w:p>
    <w:p w14:paraId="08740F6D" w14:textId="77777777" w:rsidR="004B5BF8" w:rsidRDefault="004B5BF8">
      <w:pPr>
        <w:spacing w:before="0" w:after="200" w:line="276" w:lineRule="auto"/>
        <w:jc w:val="left"/>
        <w:rPr>
          <w:rFonts w:eastAsia="Times New Roman" w:cs="Times New Roman"/>
          <w:szCs w:val="20"/>
        </w:rPr>
      </w:pPr>
      <w:r>
        <w:br w:type="page"/>
      </w:r>
    </w:p>
    <w:p w14:paraId="499F1724" w14:textId="77777777" w:rsidR="00652773" w:rsidRPr="00657D21" w:rsidRDefault="00652773" w:rsidP="00696895">
      <w:pPr>
        <w:pStyle w:val="Heading2"/>
        <w:numPr>
          <w:ilvl w:val="0"/>
          <w:numId w:val="81"/>
        </w:numPr>
        <w:tabs>
          <w:tab w:val="clear" w:pos="1134"/>
          <w:tab w:val="num" w:pos="1276"/>
        </w:tabs>
        <w:ind w:left="1276" w:hanging="1276"/>
      </w:pPr>
      <w:bookmarkStart w:id="492" w:name="_Toc184825516"/>
      <w:bookmarkStart w:id="493" w:name="_Toc184825517"/>
      <w:bookmarkEnd w:id="492"/>
      <w:r w:rsidRPr="00657D21">
        <w:t>Information about how</w:t>
      </w:r>
      <w:r w:rsidRPr="00657D21" w:rsidDel="00D36C66">
        <w:t xml:space="preserve"> </w:t>
      </w:r>
      <w:r w:rsidRPr="00657D21">
        <w:t>actions, policies and measures are modifying longer-term trends in GHG emissions and removals</w:t>
      </w:r>
      <w:bookmarkEnd w:id="493"/>
    </w:p>
    <w:p w14:paraId="7747A647" w14:textId="77777777" w:rsidR="00652773" w:rsidRPr="00657D21" w:rsidRDefault="00652773" w:rsidP="00652773">
      <w:pPr>
        <w:pStyle w:val="BodyText"/>
      </w:pPr>
      <w:r w:rsidRPr="00657D21">
        <w:rPr>
          <w:rFonts w:cstheme="minorHAnsi"/>
        </w:rPr>
        <w:t xml:space="preserve">The Climate Change Response Act 2002 is New Zealand’s primary climate change legislation. The 2019 amendments to the Act set new domestic emissions reduction targets for 2050; established a system of emissions budgets to step New Zealand towards these targets; and </w:t>
      </w:r>
      <w:r w:rsidRPr="00657D21">
        <w:t xml:space="preserve">required the development of an emissions reduction plan for each budget period that sets out the policies and strategies for achieving the emissions budget. </w:t>
      </w:r>
    </w:p>
    <w:p w14:paraId="12C2E8B5" w14:textId="2A880840" w:rsidR="00652773" w:rsidRPr="00657D21" w:rsidRDefault="00652773" w:rsidP="00652773">
      <w:pPr>
        <w:pStyle w:val="BodyText"/>
      </w:pPr>
      <w:r w:rsidRPr="00657D21">
        <w:rPr>
          <w:rFonts w:eastAsia="Times New Roman" w:cstheme="minorHAnsi"/>
        </w:rPr>
        <w:t xml:space="preserve">This system of domestic targets, emissions budgets and emissions reduction plans is known as the </w:t>
      </w:r>
      <w:r w:rsidR="00641341">
        <w:rPr>
          <w:rFonts w:eastAsia="Times New Roman" w:cstheme="minorHAnsi"/>
        </w:rPr>
        <w:t>Z</w:t>
      </w:r>
      <w:r w:rsidRPr="00657D21">
        <w:rPr>
          <w:rFonts w:eastAsia="Times New Roman" w:cstheme="minorHAnsi"/>
        </w:rPr>
        <w:t xml:space="preserve">ero </w:t>
      </w:r>
      <w:r w:rsidR="00641341">
        <w:rPr>
          <w:rFonts w:eastAsia="Times New Roman" w:cstheme="minorHAnsi"/>
        </w:rPr>
        <w:t>C</w:t>
      </w:r>
      <w:r w:rsidRPr="00657D21">
        <w:rPr>
          <w:rFonts w:eastAsia="Times New Roman" w:cstheme="minorHAnsi"/>
        </w:rPr>
        <w:t xml:space="preserve">arbon </w:t>
      </w:r>
      <w:r w:rsidR="00641341">
        <w:rPr>
          <w:rFonts w:eastAsia="Times New Roman" w:cstheme="minorHAnsi"/>
        </w:rPr>
        <w:t>F</w:t>
      </w:r>
      <w:r w:rsidRPr="00657D21">
        <w:rPr>
          <w:rFonts w:eastAsia="Times New Roman" w:cstheme="minorHAnsi"/>
        </w:rPr>
        <w:t xml:space="preserve">ramework. The system steps New Zealand towards the goals of net zero of all GHG emissions, other than biogenic methane, by 2050, and a </w:t>
      </w:r>
      <w:r w:rsidRPr="00657D21">
        <w:t xml:space="preserve">24 per cent to 47 per cent reduction of biogenic methane by 2050, compared with 2017 levels. The framework shows how New Zealand is modifying longer-term trends in GHG emissions and removals through actions, policies and measures. </w:t>
      </w:r>
    </w:p>
    <w:p w14:paraId="5A66256B" w14:textId="663C3F38" w:rsidR="00652773" w:rsidRPr="00657D21" w:rsidRDefault="00652773" w:rsidP="00652773">
      <w:pPr>
        <w:pStyle w:val="BodyText"/>
      </w:pPr>
      <w:r w:rsidRPr="00657D21">
        <w:t xml:space="preserve">Further details can be found in </w:t>
      </w:r>
      <w:hyperlink w:anchor="section218" w:history="1">
        <w:r w:rsidRPr="00EF383D">
          <w:rPr>
            <w:rStyle w:val="Hyperlink"/>
          </w:rPr>
          <w:t xml:space="preserve">section </w:t>
        </w:r>
        <w:r w:rsidRPr="00EF383D">
          <w:rPr>
            <w:rStyle w:val="Hyperlink"/>
            <w:rFonts w:eastAsia="Times New Roman" w:cstheme="minorHAnsi"/>
          </w:rPr>
          <w:t>2.1.8</w:t>
        </w:r>
      </w:hyperlink>
      <w:r w:rsidRPr="00657D21">
        <w:rPr>
          <w:rFonts w:eastAsia="Times New Roman" w:cstheme="minorHAnsi"/>
          <w:i/>
          <w:iCs/>
        </w:rPr>
        <w:t xml:space="preserve"> </w:t>
      </w:r>
      <w:r w:rsidRPr="00657D21">
        <w:rPr>
          <w:rFonts w:eastAsia="Times New Roman" w:cstheme="minorHAnsi"/>
        </w:rPr>
        <w:t xml:space="preserve">and </w:t>
      </w:r>
      <w:hyperlink w:anchor="section242" w:history="1">
        <w:r w:rsidRPr="00474DCA">
          <w:rPr>
            <w:rStyle w:val="Hyperlink"/>
            <w:rFonts w:eastAsia="Times New Roman" w:cstheme="minorHAnsi"/>
          </w:rPr>
          <w:t>section 2.4.2</w:t>
        </w:r>
      </w:hyperlink>
      <w:r w:rsidRPr="00657D21">
        <w:rPr>
          <w:rFonts w:eastAsia="Times New Roman" w:cstheme="minorHAnsi"/>
        </w:rPr>
        <w:t>.</w:t>
      </w:r>
    </w:p>
    <w:p w14:paraId="1BB66685" w14:textId="77777777" w:rsidR="00652773" w:rsidRPr="00657D21" w:rsidRDefault="00652773" w:rsidP="00652773">
      <w:pPr>
        <w:pStyle w:val="BodyText"/>
      </w:pPr>
    </w:p>
    <w:p w14:paraId="3F87BE54" w14:textId="77777777" w:rsidR="00652773" w:rsidRPr="00657D21" w:rsidRDefault="00652773" w:rsidP="00652773">
      <w:pPr>
        <w:pStyle w:val="BodyText"/>
        <w:sectPr w:rsidR="00652773" w:rsidRPr="00657D21" w:rsidSect="00652773">
          <w:headerReference w:type="even" r:id="rId88"/>
          <w:headerReference w:type="default" r:id="rId89"/>
          <w:footerReference w:type="even" r:id="rId90"/>
          <w:footerReference w:type="default" r:id="rId91"/>
          <w:headerReference w:type="first" r:id="rId92"/>
          <w:pgSz w:w="11907" w:h="16840" w:code="9"/>
          <w:pgMar w:top="1134" w:right="1701" w:bottom="1134" w:left="1701" w:header="567" w:footer="567" w:gutter="0"/>
          <w:cols w:space="720"/>
          <w:docGrid w:linePitch="299"/>
        </w:sectPr>
      </w:pPr>
    </w:p>
    <w:p w14:paraId="559D7754" w14:textId="77777777" w:rsidR="00652773" w:rsidRPr="00657D21" w:rsidRDefault="00652773" w:rsidP="00BA5A81">
      <w:pPr>
        <w:pStyle w:val="Heading2"/>
        <w:numPr>
          <w:ilvl w:val="0"/>
          <w:numId w:val="81"/>
        </w:numPr>
        <w:tabs>
          <w:tab w:val="clear" w:pos="1134"/>
          <w:tab w:val="left" w:pos="1418"/>
        </w:tabs>
        <w:spacing w:before="0"/>
      </w:pPr>
      <w:bookmarkStart w:id="494" w:name="_Toc169616464"/>
      <w:bookmarkStart w:id="495" w:name="_Toc169620171"/>
      <w:bookmarkStart w:id="496" w:name="_Toc172794078"/>
      <w:bookmarkStart w:id="497" w:name="_Toc184825518"/>
      <w:r w:rsidRPr="00657D21">
        <w:t>CTF table 5. Policy status and impacts</w:t>
      </w:r>
      <w:bookmarkEnd w:id="494"/>
      <w:bookmarkEnd w:id="495"/>
      <w:bookmarkEnd w:id="496"/>
      <w:bookmarkEnd w:id="497"/>
    </w:p>
    <w:p w14:paraId="14F7B10D" w14:textId="2A793D5A" w:rsidR="00652773" w:rsidRPr="00657D21" w:rsidRDefault="00652773" w:rsidP="00652773">
      <w:pPr>
        <w:pStyle w:val="Tableheading"/>
      </w:pPr>
      <w:bookmarkStart w:id="498" w:name="_Toc185407465"/>
      <w:bookmarkStart w:id="499" w:name="_Toc185427728"/>
      <w:r w:rsidRPr="00657D21">
        <w:t>CTF table 5</w:t>
      </w:r>
      <w:r w:rsidR="00954215">
        <w:t>:</w:t>
      </w:r>
      <w:r w:rsidRPr="00657D21">
        <w:t xml:space="preserve"> </w:t>
      </w:r>
      <w:r>
        <w:tab/>
      </w:r>
      <w:r w:rsidRPr="00657D21">
        <w:t>Mitigation policies and measures, actions and plans, including those with mitigation co-benefits resulting from adaptation actions and economic diversification plans, related to implementing and achieving a nationally determined contribution under Article 4 of the Paris Agreement</w:t>
      </w:r>
      <w:bookmarkEnd w:id="498"/>
      <w:bookmarkEnd w:id="499"/>
    </w:p>
    <w:p w14:paraId="7D5009E6" w14:textId="6442F6A1" w:rsidR="00652773" w:rsidRPr="00657D21" w:rsidRDefault="00652773" w:rsidP="00652773">
      <w:pPr>
        <w:pStyle w:val="Note"/>
        <w:spacing w:before="60" w:after="60" w:line="260" w:lineRule="atLeast"/>
        <w:rPr>
          <w:rFonts w:eastAsia="Calibri"/>
        </w:rPr>
      </w:pPr>
      <w:r w:rsidRPr="00657D21">
        <w:rPr>
          <w:rFonts w:eastAsia="Calibri"/>
          <w:b/>
          <w:bCs/>
        </w:rPr>
        <w:t>Note:</w:t>
      </w:r>
      <w:r w:rsidRPr="00657D21">
        <w:rPr>
          <w:rFonts w:eastAsia="Calibri"/>
        </w:rPr>
        <w:t xml:space="preserve"> CCRA = Climate Change Response Act 2002; CH</w:t>
      </w:r>
      <w:r w:rsidRPr="00657D21">
        <w:rPr>
          <w:rFonts w:eastAsia="Calibri"/>
          <w:vertAlign w:val="subscript"/>
        </w:rPr>
        <w:t xml:space="preserve">4 </w:t>
      </w:r>
      <w:r w:rsidRPr="00657D21">
        <w:rPr>
          <w:rFonts w:eastAsia="Calibri"/>
        </w:rPr>
        <w:t>= methane; CO</w:t>
      </w:r>
      <w:r w:rsidRPr="00657D21">
        <w:rPr>
          <w:rFonts w:eastAsia="Calibri"/>
          <w:vertAlign w:val="subscript"/>
        </w:rPr>
        <w:t>2</w:t>
      </w:r>
      <w:r w:rsidRPr="00657D21">
        <w:rPr>
          <w:rFonts w:eastAsia="Calibri"/>
        </w:rPr>
        <w:t xml:space="preserve"> = carbon dioxide; </w:t>
      </w:r>
      <w:r w:rsidRPr="00657D21">
        <w:t>CO</w:t>
      </w:r>
      <w:r w:rsidRPr="00657D21">
        <w:rPr>
          <w:vertAlign w:val="subscript"/>
        </w:rPr>
        <w:t>2</w:t>
      </w:r>
      <w:r w:rsidRPr="00657D21">
        <w:t>e = carbon dioxide equivalent</w:t>
      </w:r>
      <w:r w:rsidR="009D4AB3">
        <w:t>;</w:t>
      </w:r>
      <w:r w:rsidR="009D4AB3" w:rsidRPr="00657D21">
        <w:rPr>
          <w:rFonts w:eastAsia="Calibri"/>
        </w:rPr>
        <w:t xml:space="preserve"> G</w:t>
      </w:r>
      <w:r w:rsidRPr="00657D21">
        <w:rPr>
          <w:rFonts w:eastAsia="Calibri"/>
        </w:rPr>
        <w:t>HGs = greenhouse gases;</w:t>
      </w:r>
      <w:r w:rsidRPr="00657D21">
        <w:t xml:space="preserve"> HFCs =</w:t>
      </w:r>
      <w:r w:rsidRPr="00657D21">
        <w:rPr>
          <w:rFonts w:eastAsia="Calibri"/>
        </w:rPr>
        <w:t xml:space="preserve"> hydrofluorocarbons; IPPU = Industrial Processes and Product Use; </w:t>
      </w:r>
      <w:r w:rsidRPr="00657D21">
        <w:t>kt = kilotonnes;</w:t>
      </w:r>
      <w:r w:rsidRPr="00657D21">
        <w:rPr>
          <w:rFonts w:eastAsia="Calibri"/>
        </w:rPr>
        <w:t xml:space="preserve"> LULUCF = Land Use, Land-</w:t>
      </w:r>
      <w:r w:rsidR="00ED5254">
        <w:rPr>
          <w:rFonts w:eastAsia="Calibri"/>
        </w:rPr>
        <w:t>U</w:t>
      </w:r>
      <w:r w:rsidRPr="00657D21">
        <w:rPr>
          <w:rFonts w:eastAsia="Calibri"/>
        </w:rPr>
        <w:t xml:space="preserve">se Change and Forestry; </w:t>
      </w:r>
      <w:r w:rsidRPr="00657D21">
        <w:t>N</w:t>
      </w:r>
      <w:r w:rsidRPr="00657D21">
        <w:rPr>
          <w:vertAlign w:val="subscript"/>
        </w:rPr>
        <w:t>2</w:t>
      </w:r>
      <w:r w:rsidRPr="00657D21">
        <w:t xml:space="preserve">O = nitrous oxide; NE = not estimated; </w:t>
      </w:r>
      <w:r w:rsidR="00CB45A2">
        <w:t xml:space="preserve">IE = included elsewhere; </w:t>
      </w:r>
      <w:r w:rsidRPr="00657D21">
        <w:t>NZU = New Zealand Unit; PFCs = perfluorocarbons; SF</w:t>
      </w:r>
      <w:r w:rsidRPr="00657D21">
        <w:rPr>
          <w:vertAlign w:val="subscript"/>
        </w:rPr>
        <w:t>6</w:t>
      </w:r>
      <w:r w:rsidRPr="00657D21">
        <w:t xml:space="preserve"> = sulphur hexafluoride</w:t>
      </w:r>
      <w:r w:rsidR="0000798F">
        <w:t>.</w:t>
      </w:r>
    </w:p>
    <w:p w14:paraId="0298B604" w14:textId="3F219A40" w:rsidR="00652773" w:rsidRPr="00657D21" w:rsidRDefault="00652773" w:rsidP="00652773">
      <w:pPr>
        <w:pStyle w:val="Note"/>
        <w:spacing w:after="240" w:line="260" w:lineRule="atLeast"/>
      </w:pPr>
      <w:r w:rsidRPr="00657D21">
        <w:t xml:space="preserve">Estimates are produced using sector-based emissions projections models. Methodologies used are described in Annex 3. A negative estimate of mitigation impact indicates additional GHG emissions resulting from this policy or measure for this particular year. Under LULUCF, only forests established as a direct result of the initiative are included. A negative value is reported in 2022. This is due to vegetation clearance and soil carbon emissions upon conversion to a forest exceeding removals in that year. The impact the NZ ETS has in reducing (avoided) deforestation is excluded from CTF table 5. LULUCF removal estimates are based on New Zealand’s first </w:t>
      </w:r>
      <w:r w:rsidR="00573942">
        <w:t>Nationally Determined Contribution</w:t>
      </w:r>
      <w:r w:rsidRPr="00657D21">
        <w:t xml:space="preserve"> accounting methodology, rather than the full LULUCF sector as reported in New Zealand’s Greenhouse Gas Inventory. </w:t>
      </w:r>
    </w:p>
    <w:tbl>
      <w:tblPr>
        <w:tblW w:w="14596"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57" w:type="dxa"/>
          <w:right w:w="57" w:type="dxa"/>
        </w:tblCellMar>
        <w:tblLook w:val="04A0" w:firstRow="1" w:lastRow="0" w:firstColumn="1" w:lastColumn="0" w:noHBand="0" w:noVBand="1"/>
      </w:tblPr>
      <w:tblGrid>
        <w:gridCol w:w="1134"/>
        <w:gridCol w:w="1985"/>
        <w:gridCol w:w="1701"/>
        <w:gridCol w:w="992"/>
        <w:gridCol w:w="1134"/>
        <w:gridCol w:w="1134"/>
        <w:gridCol w:w="1276"/>
        <w:gridCol w:w="850"/>
        <w:gridCol w:w="1418"/>
        <w:gridCol w:w="992"/>
        <w:gridCol w:w="992"/>
        <w:gridCol w:w="964"/>
        <w:gridCol w:w="24"/>
      </w:tblGrid>
      <w:tr w:rsidR="00A849C9" w:rsidRPr="00E711FA" w14:paraId="41EE8E0E" w14:textId="77777777" w:rsidTr="00B467F4">
        <w:trPr>
          <w:gridAfter w:val="1"/>
          <w:wAfter w:w="24" w:type="dxa"/>
          <w:cantSplit/>
          <w:trHeight w:val="1169"/>
          <w:tblHeader/>
        </w:trPr>
        <w:tc>
          <w:tcPr>
            <w:tcW w:w="1134" w:type="dxa"/>
            <w:vMerge w:val="restart"/>
            <w:tcBorders>
              <w:top w:val="single" w:sz="4" w:space="0" w:color="1B556B" w:themeColor="text2"/>
              <w:left w:val="nil"/>
              <w:bottom w:val="single" w:sz="4" w:space="0" w:color="1B556B" w:themeColor="text2"/>
              <w:right w:val="single" w:sz="4" w:space="0" w:color="1B556B" w:themeColor="text2"/>
            </w:tcBorders>
            <w:shd w:val="clear" w:color="auto" w:fill="1B556B" w:themeFill="text2"/>
            <w:noWrap/>
            <w:vAlign w:val="bottom"/>
            <w:hideMark/>
          </w:tcPr>
          <w:p w14:paraId="378B7BDD" w14:textId="77777777" w:rsidR="00652773" w:rsidRPr="00564AFD" w:rsidRDefault="00652773" w:rsidP="006E5BDE">
            <w:pPr>
              <w:pStyle w:val="TableText"/>
              <w:spacing w:before="0" w:after="40" w:line="240" w:lineRule="auto"/>
              <w:rPr>
                <w:rFonts w:eastAsia="Calibri" w:cs="Calibri"/>
                <w:b/>
                <w:color w:val="FFFFFF" w:themeColor="background1"/>
                <w:szCs w:val="18"/>
              </w:rPr>
            </w:pPr>
            <w:r w:rsidRPr="00564AFD">
              <w:rPr>
                <w:rFonts w:cs="Calibri"/>
                <w:b/>
                <w:color w:val="FFFFFF" w:themeColor="background1"/>
                <w:szCs w:val="18"/>
              </w:rPr>
              <w:t>Name</w:t>
            </w:r>
          </w:p>
        </w:tc>
        <w:tc>
          <w:tcPr>
            <w:tcW w:w="1985" w:type="dxa"/>
            <w:vMerge w:val="restart"/>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1B556B" w:themeFill="text2"/>
            <w:vAlign w:val="bottom"/>
          </w:tcPr>
          <w:p w14:paraId="7D1BA0E7" w14:textId="77777777" w:rsidR="00652773" w:rsidRPr="00564AFD" w:rsidRDefault="00652773" w:rsidP="006E5BDE">
            <w:pPr>
              <w:pStyle w:val="TableText"/>
              <w:spacing w:before="0" w:after="40" w:line="240" w:lineRule="auto"/>
              <w:rPr>
                <w:rFonts w:cs="Calibri"/>
                <w:b/>
                <w:color w:val="FFFFFF" w:themeColor="background1"/>
                <w:szCs w:val="18"/>
              </w:rPr>
            </w:pPr>
            <w:r w:rsidRPr="00564AFD">
              <w:rPr>
                <w:rFonts w:cs="Calibri"/>
                <w:b/>
                <w:color w:val="FFFFFF" w:themeColor="background1"/>
                <w:szCs w:val="18"/>
              </w:rPr>
              <w:t>Description</w:t>
            </w:r>
          </w:p>
        </w:tc>
        <w:tc>
          <w:tcPr>
            <w:tcW w:w="1701" w:type="dxa"/>
            <w:vMerge w:val="restart"/>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1B556B" w:themeFill="text2"/>
            <w:vAlign w:val="bottom"/>
          </w:tcPr>
          <w:p w14:paraId="27F8CA09" w14:textId="77777777" w:rsidR="00652773" w:rsidRPr="00564AFD" w:rsidRDefault="00652773" w:rsidP="006E5BDE">
            <w:pPr>
              <w:pStyle w:val="TableText"/>
              <w:spacing w:before="0" w:after="40" w:line="240" w:lineRule="auto"/>
              <w:rPr>
                <w:rFonts w:cs="Calibri"/>
                <w:b/>
                <w:color w:val="FFFFFF" w:themeColor="background1"/>
                <w:szCs w:val="18"/>
              </w:rPr>
            </w:pPr>
            <w:r w:rsidRPr="00564AFD">
              <w:rPr>
                <w:rFonts w:cs="Calibri"/>
                <w:b/>
                <w:color w:val="FFFFFF" w:themeColor="background1"/>
                <w:szCs w:val="18"/>
              </w:rPr>
              <w:t>Objectives</w:t>
            </w:r>
          </w:p>
        </w:tc>
        <w:tc>
          <w:tcPr>
            <w:tcW w:w="992" w:type="dxa"/>
            <w:vMerge w:val="restart"/>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1B556B" w:themeFill="text2"/>
            <w:vAlign w:val="bottom"/>
          </w:tcPr>
          <w:p w14:paraId="0E6B8886" w14:textId="77777777" w:rsidR="00652773" w:rsidRPr="00564AFD" w:rsidRDefault="00652773" w:rsidP="006E5BDE">
            <w:pPr>
              <w:pStyle w:val="TableText"/>
              <w:spacing w:before="0" w:after="40" w:line="240" w:lineRule="auto"/>
              <w:rPr>
                <w:rFonts w:cs="Calibri"/>
                <w:b/>
                <w:color w:val="FFFFFF" w:themeColor="background1"/>
                <w:szCs w:val="18"/>
              </w:rPr>
            </w:pPr>
            <w:r w:rsidRPr="00564AFD">
              <w:rPr>
                <w:rFonts w:cs="Calibri"/>
                <w:b/>
                <w:color w:val="FFFFFF" w:themeColor="background1"/>
                <w:szCs w:val="18"/>
              </w:rPr>
              <w:t>Type of instrument</w:t>
            </w:r>
          </w:p>
        </w:tc>
        <w:tc>
          <w:tcPr>
            <w:tcW w:w="1134" w:type="dxa"/>
            <w:vMerge w:val="restart"/>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1B556B" w:themeFill="text2"/>
            <w:vAlign w:val="bottom"/>
          </w:tcPr>
          <w:p w14:paraId="4E613A92" w14:textId="77777777" w:rsidR="00652773" w:rsidRPr="00564AFD" w:rsidRDefault="00652773" w:rsidP="006E5BDE">
            <w:pPr>
              <w:pStyle w:val="TableText"/>
              <w:spacing w:before="0" w:after="40" w:line="240" w:lineRule="auto"/>
              <w:rPr>
                <w:rFonts w:cs="Calibri"/>
                <w:b/>
                <w:color w:val="FFFFFF" w:themeColor="background1"/>
                <w:szCs w:val="18"/>
              </w:rPr>
            </w:pPr>
            <w:r w:rsidRPr="00564AFD">
              <w:rPr>
                <w:rFonts w:cs="Calibri"/>
                <w:b/>
                <w:color w:val="FFFFFF" w:themeColor="background1"/>
                <w:szCs w:val="18"/>
              </w:rPr>
              <w:t>Status</w:t>
            </w:r>
          </w:p>
        </w:tc>
        <w:tc>
          <w:tcPr>
            <w:tcW w:w="1134" w:type="dxa"/>
            <w:vMerge w:val="restart"/>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1B556B" w:themeFill="text2"/>
            <w:noWrap/>
            <w:vAlign w:val="bottom"/>
            <w:hideMark/>
          </w:tcPr>
          <w:p w14:paraId="0310CE3B" w14:textId="77777777" w:rsidR="00652773" w:rsidRPr="00564AFD" w:rsidRDefault="00652773" w:rsidP="006E5BDE">
            <w:pPr>
              <w:pStyle w:val="TableText"/>
              <w:spacing w:before="0" w:after="40" w:line="240" w:lineRule="auto"/>
              <w:rPr>
                <w:rFonts w:eastAsia="Calibri" w:cs="Calibri"/>
                <w:b/>
                <w:color w:val="FFFFFF" w:themeColor="background1"/>
                <w:szCs w:val="18"/>
              </w:rPr>
            </w:pPr>
            <w:r w:rsidRPr="00564AFD">
              <w:rPr>
                <w:rFonts w:cs="Calibri"/>
                <w:b/>
                <w:color w:val="FFFFFF" w:themeColor="background1"/>
                <w:szCs w:val="18"/>
              </w:rPr>
              <w:t>Sector(s) affected</w:t>
            </w:r>
          </w:p>
        </w:tc>
        <w:tc>
          <w:tcPr>
            <w:tcW w:w="1276" w:type="dxa"/>
            <w:vMerge w:val="restart"/>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1B556B" w:themeFill="text2"/>
            <w:noWrap/>
            <w:vAlign w:val="bottom"/>
            <w:hideMark/>
          </w:tcPr>
          <w:p w14:paraId="36C46315" w14:textId="77777777" w:rsidR="00652773" w:rsidRPr="00564AFD" w:rsidRDefault="00652773" w:rsidP="006E5BDE">
            <w:pPr>
              <w:pStyle w:val="TableText"/>
              <w:spacing w:before="0" w:after="40" w:line="240" w:lineRule="auto"/>
              <w:rPr>
                <w:rFonts w:eastAsia="Calibri" w:cs="Calibri"/>
                <w:b/>
                <w:color w:val="FFFFFF" w:themeColor="background1"/>
                <w:szCs w:val="18"/>
              </w:rPr>
            </w:pPr>
            <w:r w:rsidRPr="00564AFD">
              <w:rPr>
                <w:rFonts w:cs="Calibri"/>
                <w:b/>
                <w:color w:val="FFFFFF" w:themeColor="background1"/>
                <w:szCs w:val="18"/>
              </w:rPr>
              <w:t>Gases affected</w:t>
            </w:r>
          </w:p>
        </w:tc>
        <w:tc>
          <w:tcPr>
            <w:tcW w:w="850" w:type="dxa"/>
            <w:vMerge w:val="restart"/>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1B556B" w:themeFill="text2"/>
            <w:noWrap/>
            <w:textDirection w:val="btLr"/>
            <w:vAlign w:val="bottom"/>
            <w:hideMark/>
          </w:tcPr>
          <w:p w14:paraId="2719F892" w14:textId="77777777" w:rsidR="00652773" w:rsidRPr="00E711FA" w:rsidRDefault="00652773" w:rsidP="006E5BDE">
            <w:pPr>
              <w:pStyle w:val="TableText"/>
              <w:spacing w:before="0" w:after="40" w:line="240" w:lineRule="auto"/>
              <w:ind w:left="113" w:right="113"/>
              <w:rPr>
                <w:rFonts w:eastAsia="Calibri" w:cs="Calibri"/>
                <w:b/>
                <w:bCs/>
                <w:color w:val="FFFFFF" w:themeColor="background1"/>
                <w:sz w:val="14"/>
                <w:szCs w:val="14"/>
              </w:rPr>
            </w:pPr>
            <w:r w:rsidRPr="00C60674">
              <w:rPr>
                <w:rFonts w:cs="Calibri"/>
                <w:b/>
                <w:color w:val="FFFFFF" w:themeColor="background1"/>
                <w:sz w:val="16"/>
                <w:szCs w:val="16"/>
              </w:rPr>
              <w:t>Start year of implementation</w:t>
            </w:r>
          </w:p>
        </w:tc>
        <w:tc>
          <w:tcPr>
            <w:tcW w:w="1418" w:type="dxa"/>
            <w:vMerge w:val="restart"/>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1B556B" w:themeFill="text2"/>
            <w:noWrap/>
            <w:vAlign w:val="bottom"/>
            <w:hideMark/>
          </w:tcPr>
          <w:p w14:paraId="2A61BEA6" w14:textId="77777777" w:rsidR="00652773" w:rsidRPr="00564AFD" w:rsidRDefault="00652773" w:rsidP="006E5BDE">
            <w:pPr>
              <w:pStyle w:val="TableText"/>
              <w:spacing w:before="0" w:after="40" w:line="240" w:lineRule="auto"/>
              <w:rPr>
                <w:rFonts w:eastAsia="Calibri" w:cs="Calibri"/>
                <w:b/>
                <w:color w:val="FFFFFF" w:themeColor="background1"/>
                <w:szCs w:val="18"/>
              </w:rPr>
            </w:pPr>
            <w:r w:rsidRPr="00564AFD">
              <w:rPr>
                <w:rFonts w:cs="Calibri"/>
                <w:b/>
                <w:color w:val="FFFFFF" w:themeColor="background1"/>
                <w:szCs w:val="18"/>
              </w:rPr>
              <w:t>Implementing entity or entities</w:t>
            </w:r>
          </w:p>
        </w:tc>
        <w:tc>
          <w:tcPr>
            <w:tcW w:w="2948" w:type="dxa"/>
            <w:gridSpan w:val="3"/>
            <w:tcBorders>
              <w:top w:val="single" w:sz="4" w:space="0" w:color="1B556B" w:themeColor="text2"/>
              <w:left w:val="single" w:sz="4" w:space="0" w:color="1B556B" w:themeColor="text2"/>
              <w:bottom w:val="single" w:sz="4" w:space="0" w:color="1B556B" w:themeColor="text2"/>
              <w:right w:val="nil"/>
            </w:tcBorders>
            <w:shd w:val="clear" w:color="auto" w:fill="1B556B" w:themeFill="text2"/>
            <w:vAlign w:val="bottom"/>
          </w:tcPr>
          <w:p w14:paraId="02DBB655" w14:textId="6C0CB4D8" w:rsidR="00652773" w:rsidRPr="00564AFD" w:rsidRDefault="00652773" w:rsidP="006E5BDE">
            <w:pPr>
              <w:pStyle w:val="TableText"/>
              <w:spacing w:before="0" w:after="40" w:line="240" w:lineRule="auto"/>
              <w:jc w:val="center"/>
              <w:rPr>
                <w:rFonts w:cs="Calibri"/>
                <w:b/>
                <w:color w:val="FFFFFF" w:themeColor="background1"/>
                <w:szCs w:val="18"/>
              </w:rPr>
            </w:pPr>
            <w:r w:rsidRPr="00564AFD">
              <w:rPr>
                <w:rFonts w:cs="Calibri"/>
                <w:b/>
                <w:color w:val="FFFFFF" w:themeColor="background1"/>
                <w:szCs w:val="18"/>
              </w:rPr>
              <w:t xml:space="preserve">Estimate of GHG emissions </w:t>
            </w:r>
            <w:r w:rsidRPr="0081485C">
              <w:rPr>
                <w:rFonts w:cs="Calibri"/>
                <w:b/>
                <w:color w:val="FFFFFF" w:themeColor="background1"/>
                <w:szCs w:val="18"/>
              </w:rPr>
              <w:t>reductions (</w:t>
            </w:r>
            <w:r w:rsidRPr="00564AFD">
              <w:rPr>
                <w:rFonts w:cs="Calibri"/>
                <w:b/>
                <w:color w:val="FFFFFF" w:themeColor="background1"/>
                <w:szCs w:val="18"/>
              </w:rPr>
              <w:t>kt CO</w:t>
            </w:r>
            <w:r w:rsidRPr="00564AFD">
              <w:rPr>
                <w:rFonts w:cs="Calibri"/>
                <w:b/>
                <w:color w:val="FFFFFF" w:themeColor="background1"/>
                <w:szCs w:val="18"/>
                <w:vertAlign w:val="subscript"/>
              </w:rPr>
              <w:t>2</w:t>
            </w:r>
            <w:r w:rsidRPr="00564AFD">
              <w:rPr>
                <w:rFonts w:cs="Calibri"/>
                <w:b/>
                <w:color w:val="FFFFFF" w:themeColor="background1"/>
                <w:szCs w:val="18"/>
              </w:rPr>
              <w:t>e)</w:t>
            </w:r>
          </w:p>
        </w:tc>
      </w:tr>
      <w:tr w:rsidR="00003FCA" w:rsidRPr="00E711FA" w14:paraId="2E885FE0" w14:textId="77777777" w:rsidTr="00B467F4">
        <w:trPr>
          <w:gridAfter w:val="1"/>
          <w:wAfter w:w="24" w:type="dxa"/>
          <w:cantSplit/>
          <w:tblHeader/>
        </w:trPr>
        <w:tc>
          <w:tcPr>
            <w:tcW w:w="1134" w:type="dxa"/>
            <w:vMerge/>
            <w:noWrap/>
            <w:vAlign w:val="bottom"/>
          </w:tcPr>
          <w:p w14:paraId="77CC8B3F" w14:textId="77777777" w:rsidR="00652773" w:rsidRPr="00E711FA" w:rsidRDefault="00652773">
            <w:pPr>
              <w:pStyle w:val="TableText"/>
              <w:spacing w:before="40" w:after="40" w:line="240" w:lineRule="auto"/>
              <w:rPr>
                <w:rFonts w:cs="Calibri"/>
                <w:b/>
                <w:bCs/>
                <w:color w:val="FFFFFF" w:themeColor="background1"/>
                <w:sz w:val="14"/>
                <w:szCs w:val="14"/>
              </w:rPr>
            </w:pPr>
          </w:p>
        </w:tc>
        <w:tc>
          <w:tcPr>
            <w:tcW w:w="1985" w:type="dxa"/>
            <w:vMerge/>
            <w:vAlign w:val="bottom"/>
          </w:tcPr>
          <w:p w14:paraId="7D06F0C3" w14:textId="77777777" w:rsidR="00652773" w:rsidRPr="00E711FA" w:rsidRDefault="00652773">
            <w:pPr>
              <w:pStyle w:val="TableText"/>
              <w:spacing w:before="40" w:after="40" w:line="240" w:lineRule="auto"/>
              <w:rPr>
                <w:rFonts w:cs="Calibri"/>
                <w:b/>
                <w:bCs/>
                <w:color w:val="FFFFFF" w:themeColor="background1"/>
                <w:sz w:val="14"/>
                <w:szCs w:val="14"/>
              </w:rPr>
            </w:pPr>
          </w:p>
        </w:tc>
        <w:tc>
          <w:tcPr>
            <w:tcW w:w="1701" w:type="dxa"/>
            <w:vMerge/>
            <w:vAlign w:val="bottom"/>
          </w:tcPr>
          <w:p w14:paraId="0E4F52DE" w14:textId="77777777" w:rsidR="00652773" w:rsidRPr="00E711FA" w:rsidRDefault="00652773">
            <w:pPr>
              <w:pStyle w:val="TableText"/>
              <w:spacing w:before="40" w:after="40" w:line="240" w:lineRule="auto"/>
              <w:rPr>
                <w:rFonts w:cs="Calibri"/>
                <w:b/>
                <w:bCs/>
                <w:color w:val="FFFFFF" w:themeColor="background1"/>
                <w:sz w:val="14"/>
                <w:szCs w:val="14"/>
              </w:rPr>
            </w:pPr>
          </w:p>
        </w:tc>
        <w:tc>
          <w:tcPr>
            <w:tcW w:w="992" w:type="dxa"/>
            <w:vMerge/>
            <w:vAlign w:val="bottom"/>
          </w:tcPr>
          <w:p w14:paraId="142AC307" w14:textId="77777777" w:rsidR="00652773" w:rsidRPr="00E711FA" w:rsidRDefault="00652773">
            <w:pPr>
              <w:pStyle w:val="TableText"/>
              <w:spacing w:before="40" w:after="40" w:line="240" w:lineRule="auto"/>
              <w:rPr>
                <w:rFonts w:cs="Calibri"/>
                <w:b/>
                <w:bCs/>
                <w:color w:val="FFFFFF" w:themeColor="background1"/>
                <w:sz w:val="14"/>
                <w:szCs w:val="14"/>
              </w:rPr>
            </w:pPr>
          </w:p>
        </w:tc>
        <w:tc>
          <w:tcPr>
            <w:tcW w:w="1134" w:type="dxa"/>
            <w:vMerge/>
            <w:vAlign w:val="bottom"/>
          </w:tcPr>
          <w:p w14:paraId="478895BF" w14:textId="77777777" w:rsidR="00652773" w:rsidRPr="00E711FA" w:rsidRDefault="00652773">
            <w:pPr>
              <w:pStyle w:val="TableText"/>
              <w:spacing w:before="40" w:after="40" w:line="240" w:lineRule="auto"/>
              <w:rPr>
                <w:rFonts w:cs="Calibri"/>
                <w:b/>
                <w:bCs/>
                <w:color w:val="FFFFFF" w:themeColor="background1"/>
                <w:sz w:val="14"/>
                <w:szCs w:val="14"/>
              </w:rPr>
            </w:pPr>
          </w:p>
        </w:tc>
        <w:tc>
          <w:tcPr>
            <w:tcW w:w="1134" w:type="dxa"/>
            <w:vMerge/>
            <w:noWrap/>
            <w:vAlign w:val="bottom"/>
          </w:tcPr>
          <w:p w14:paraId="5DE58EAF" w14:textId="77777777" w:rsidR="00652773" w:rsidRPr="00E711FA" w:rsidRDefault="00652773">
            <w:pPr>
              <w:pStyle w:val="TableText"/>
              <w:spacing w:before="40" w:after="40" w:line="240" w:lineRule="auto"/>
              <w:rPr>
                <w:rFonts w:cs="Calibri"/>
                <w:b/>
                <w:bCs/>
                <w:color w:val="FFFFFF" w:themeColor="background1"/>
                <w:sz w:val="14"/>
                <w:szCs w:val="14"/>
              </w:rPr>
            </w:pPr>
          </w:p>
        </w:tc>
        <w:tc>
          <w:tcPr>
            <w:tcW w:w="1276" w:type="dxa"/>
            <w:vMerge/>
            <w:noWrap/>
            <w:vAlign w:val="bottom"/>
          </w:tcPr>
          <w:p w14:paraId="4A9FC8A8" w14:textId="77777777" w:rsidR="00652773" w:rsidRPr="00E711FA" w:rsidRDefault="00652773">
            <w:pPr>
              <w:pStyle w:val="TableText"/>
              <w:spacing w:before="40" w:after="40" w:line="240" w:lineRule="auto"/>
              <w:rPr>
                <w:rFonts w:cs="Calibri"/>
                <w:b/>
                <w:bCs/>
                <w:color w:val="FFFFFF" w:themeColor="background1"/>
                <w:sz w:val="14"/>
                <w:szCs w:val="14"/>
              </w:rPr>
            </w:pPr>
          </w:p>
        </w:tc>
        <w:tc>
          <w:tcPr>
            <w:tcW w:w="850" w:type="dxa"/>
            <w:vMerge/>
            <w:noWrap/>
            <w:textDirection w:val="btLr"/>
            <w:vAlign w:val="bottom"/>
          </w:tcPr>
          <w:p w14:paraId="6EE1C340" w14:textId="77777777" w:rsidR="00652773" w:rsidRPr="00E711FA" w:rsidRDefault="00652773">
            <w:pPr>
              <w:pStyle w:val="TableText"/>
              <w:spacing w:before="40" w:after="40" w:line="240" w:lineRule="auto"/>
              <w:ind w:left="113" w:right="113"/>
              <w:rPr>
                <w:rFonts w:cs="Calibri"/>
                <w:b/>
                <w:bCs/>
                <w:color w:val="FFFFFF" w:themeColor="background1"/>
                <w:sz w:val="14"/>
                <w:szCs w:val="14"/>
              </w:rPr>
            </w:pPr>
          </w:p>
        </w:tc>
        <w:tc>
          <w:tcPr>
            <w:tcW w:w="1418" w:type="dxa"/>
            <w:vMerge/>
            <w:noWrap/>
            <w:vAlign w:val="bottom"/>
          </w:tcPr>
          <w:p w14:paraId="660C4F81" w14:textId="77777777" w:rsidR="00652773" w:rsidRPr="00CC2601" w:rsidRDefault="00652773">
            <w:pPr>
              <w:pStyle w:val="TableText"/>
              <w:spacing w:before="40" w:after="40" w:line="240" w:lineRule="auto"/>
              <w:rPr>
                <w:rFonts w:cs="Calibri"/>
                <w:b/>
                <w:color w:val="FFFFFF" w:themeColor="background1"/>
                <w:szCs w:val="18"/>
              </w:rPr>
            </w:pPr>
          </w:p>
        </w:tc>
        <w:tc>
          <w:tcPr>
            <w:tcW w:w="992" w:type="dxa"/>
            <w:tcBorders>
              <w:top w:val="single" w:sz="4" w:space="0" w:color="1B556B" w:themeColor="text2"/>
              <w:left w:val="nil"/>
              <w:bottom w:val="single" w:sz="4" w:space="0" w:color="FFFFFF" w:themeColor="background1"/>
              <w:right w:val="nil"/>
            </w:tcBorders>
            <w:shd w:val="clear" w:color="auto" w:fill="1B556B" w:themeFill="text2"/>
            <w:vAlign w:val="bottom"/>
          </w:tcPr>
          <w:p w14:paraId="0152FF61" w14:textId="77777777" w:rsidR="00652773" w:rsidRPr="00CC2601" w:rsidRDefault="00652773">
            <w:pPr>
              <w:pStyle w:val="TableText"/>
              <w:spacing w:before="40" w:after="40" w:line="240" w:lineRule="auto"/>
              <w:rPr>
                <w:rFonts w:cs="Calibri"/>
                <w:b/>
                <w:color w:val="FFFFFF" w:themeColor="background1"/>
                <w:szCs w:val="18"/>
              </w:rPr>
            </w:pPr>
            <w:r w:rsidRPr="00CC2601">
              <w:rPr>
                <w:rFonts w:cs="Calibri"/>
                <w:b/>
                <w:color w:val="FFFFFF" w:themeColor="background1"/>
                <w:szCs w:val="18"/>
              </w:rPr>
              <w:t>2021 Achieved</w:t>
            </w:r>
          </w:p>
        </w:tc>
        <w:tc>
          <w:tcPr>
            <w:tcW w:w="992" w:type="dxa"/>
            <w:tcBorders>
              <w:top w:val="single" w:sz="4" w:space="0" w:color="1B556B" w:themeColor="text2"/>
              <w:left w:val="nil"/>
              <w:bottom w:val="single" w:sz="4" w:space="0" w:color="FFFFFF" w:themeColor="background1"/>
              <w:right w:val="nil"/>
            </w:tcBorders>
            <w:shd w:val="clear" w:color="auto" w:fill="1B556B" w:themeFill="text2"/>
            <w:vAlign w:val="bottom"/>
          </w:tcPr>
          <w:p w14:paraId="681BD4D9" w14:textId="77777777" w:rsidR="00652773" w:rsidRPr="00CC2601" w:rsidRDefault="00652773">
            <w:pPr>
              <w:pStyle w:val="TableText"/>
              <w:spacing w:before="40" w:after="40" w:line="240" w:lineRule="auto"/>
              <w:rPr>
                <w:rFonts w:cs="Calibri"/>
                <w:b/>
                <w:color w:val="FFFFFF" w:themeColor="background1"/>
                <w:szCs w:val="18"/>
              </w:rPr>
            </w:pPr>
            <w:r w:rsidRPr="00CC2601">
              <w:rPr>
                <w:rFonts w:cs="Calibri"/>
                <w:b/>
                <w:color w:val="FFFFFF" w:themeColor="background1"/>
                <w:szCs w:val="18"/>
              </w:rPr>
              <w:t>2022 Achieved</w:t>
            </w:r>
          </w:p>
        </w:tc>
        <w:tc>
          <w:tcPr>
            <w:tcW w:w="964" w:type="dxa"/>
            <w:tcBorders>
              <w:top w:val="single" w:sz="4" w:space="0" w:color="1B556B" w:themeColor="text2"/>
              <w:left w:val="nil"/>
              <w:bottom w:val="single" w:sz="4" w:space="0" w:color="FFFFFF" w:themeColor="background1"/>
              <w:right w:val="nil"/>
            </w:tcBorders>
            <w:shd w:val="clear" w:color="auto" w:fill="1B556B" w:themeFill="text2"/>
            <w:vAlign w:val="bottom"/>
          </w:tcPr>
          <w:p w14:paraId="0EC173E9" w14:textId="77777777" w:rsidR="00652773" w:rsidRPr="00CC2601" w:rsidRDefault="00652773">
            <w:pPr>
              <w:pStyle w:val="TableText"/>
              <w:spacing w:before="40" w:after="40" w:line="240" w:lineRule="auto"/>
              <w:rPr>
                <w:rFonts w:cs="Calibri"/>
                <w:b/>
                <w:color w:val="FFFFFF" w:themeColor="background1"/>
                <w:szCs w:val="18"/>
              </w:rPr>
            </w:pPr>
            <w:r w:rsidRPr="00CC2601">
              <w:rPr>
                <w:rFonts w:cs="Calibri"/>
                <w:b/>
                <w:color w:val="FFFFFF" w:themeColor="background1"/>
                <w:szCs w:val="18"/>
              </w:rPr>
              <w:t>2030 Expected</w:t>
            </w:r>
          </w:p>
        </w:tc>
      </w:tr>
      <w:tr w:rsidR="00C1645C" w:rsidRPr="00B11924" w14:paraId="09A39B48" w14:textId="77777777" w:rsidTr="00692400">
        <w:trPr>
          <w:gridAfter w:val="1"/>
          <w:wAfter w:w="24" w:type="dxa"/>
        </w:trPr>
        <w:tc>
          <w:tcPr>
            <w:tcW w:w="14572" w:type="dxa"/>
            <w:gridSpan w:val="12"/>
            <w:shd w:val="clear" w:color="auto" w:fill="D2DDE1" w:themeFill="background2"/>
          </w:tcPr>
          <w:p w14:paraId="5B5C93EC" w14:textId="35DDED43" w:rsidR="00C1645C" w:rsidRPr="00B11924" w:rsidRDefault="00227C50">
            <w:pPr>
              <w:pStyle w:val="TableText"/>
              <w:spacing w:before="40" w:after="40" w:line="240" w:lineRule="auto"/>
              <w:rPr>
                <w:rFonts w:cs="Calibri"/>
                <w:szCs w:val="18"/>
              </w:rPr>
            </w:pPr>
            <w:r w:rsidRPr="00DF1C95">
              <w:rPr>
                <w:rFonts w:cs="Calibri"/>
                <w:b/>
                <w:sz w:val="16"/>
                <w:szCs w:val="16"/>
              </w:rPr>
              <w:t>Overarching policies</w:t>
            </w:r>
          </w:p>
        </w:tc>
      </w:tr>
      <w:tr w:rsidR="00E872AA" w:rsidRPr="00E711FA" w14:paraId="363DB4B8" w14:textId="77777777" w:rsidTr="006E5BDE">
        <w:trPr>
          <w:gridAfter w:val="1"/>
          <w:wAfter w:w="24" w:type="dxa"/>
        </w:trPr>
        <w:tc>
          <w:tcPr>
            <w:tcW w:w="1134" w:type="dxa"/>
            <w:shd w:val="clear" w:color="auto" w:fill="auto"/>
          </w:tcPr>
          <w:p w14:paraId="33867F03" w14:textId="0E90A039" w:rsidR="00652773" w:rsidRPr="00B11924" w:rsidDel="00DC2F68" w:rsidRDefault="00652773">
            <w:pPr>
              <w:pStyle w:val="TableText"/>
              <w:spacing w:before="40" w:after="40" w:line="240" w:lineRule="auto"/>
              <w:rPr>
                <w:rFonts w:cs="Calibri"/>
                <w:color w:val="000000"/>
                <w:sz w:val="16"/>
                <w:szCs w:val="16"/>
              </w:rPr>
            </w:pPr>
            <w:r w:rsidRPr="00B11924" w:rsidDel="00D83655">
              <w:rPr>
                <w:rFonts w:cs="Calibri"/>
                <w:color w:val="000000"/>
                <w:sz w:val="16"/>
                <w:szCs w:val="16"/>
              </w:rPr>
              <w:t>Climate Strategy</w:t>
            </w:r>
          </w:p>
        </w:tc>
        <w:tc>
          <w:tcPr>
            <w:tcW w:w="1985" w:type="dxa"/>
          </w:tcPr>
          <w:p w14:paraId="49C37254" w14:textId="5D5F746F" w:rsidR="00652773" w:rsidRPr="00B11924" w:rsidDel="00DC2F68" w:rsidRDefault="00652773">
            <w:pPr>
              <w:pStyle w:val="TableText"/>
              <w:spacing w:before="40" w:after="40" w:line="240" w:lineRule="auto"/>
              <w:rPr>
                <w:rFonts w:cs="Calibri"/>
                <w:color w:val="000000"/>
                <w:sz w:val="16"/>
                <w:szCs w:val="16"/>
              </w:rPr>
            </w:pPr>
            <w:r w:rsidRPr="00B11924">
              <w:rPr>
                <w:rFonts w:cs="Calibri"/>
                <w:color w:val="000000"/>
                <w:sz w:val="16"/>
                <w:szCs w:val="16"/>
              </w:rPr>
              <w:t xml:space="preserve">The </w:t>
            </w:r>
            <w:r w:rsidRPr="00B11924" w:rsidDel="00D83655">
              <w:rPr>
                <w:rFonts w:cs="Calibri"/>
                <w:color w:val="000000"/>
                <w:sz w:val="16"/>
                <w:szCs w:val="16"/>
              </w:rPr>
              <w:t>Climate Strategy</w:t>
            </w:r>
            <w:r w:rsidRPr="00B11924">
              <w:rPr>
                <w:rFonts w:cs="Calibri"/>
                <w:color w:val="000000"/>
                <w:sz w:val="16"/>
                <w:szCs w:val="16"/>
              </w:rPr>
              <w:t xml:space="preserve"> sets out five pillars that guide New Zealand’s approach for reducing emissions and managing the impacts of climate change. </w:t>
            </w:r>
          </w:p>
        </w:tc>
        <w:tc>
          <w:tcPr>
            <w:tcW w:w="1701" w:type="dxa"/>
          </w:tcPr>
          <w:p w14:paraId="6A05CAFE" w14:textId="77777777" w:rsidR="00652773" w:rsidRPr="00B11924" w:rsidDel="00DC2F68" w:rsidRDefault="00652773">
            <w:pPr>
              <w:pStyle w:val="TableText"/>
              <w:spacing w:before="40" w:after="40" w:line="240" w:lineRule="auto"/>
              <w:rPr>
                <w:rFonts w:cs="Calibri"/>
                <w:color w:val="000000"/>
                <w:sz w:val="16"/>
                <w:szCs w:val="16"/>
              </w:rPr>
            </w:pPr>
            <w:r w:rsidRPr="00B11924">
              <w:rPr>
                <w:rFonts w:cs="Calibri"/>
                <w:color w:val="000000"/>
                <w:sz w:val="16"/>
                <w:szCs w:val="16"/>
              </w:rPr>
              <w:t>Sets out the approach to how the Government will deliver on New Zealand’s climate goals</w:t>
            </w:r>
          </w:p>
        </w:tc>
        <w:tc>
          <w:tcPr>
            <w:tcW w:w="992" w:type="dxa"/>
          </w:tcPr>
          <w:p w14:paraId="7B49613D" w14:textId="77777777" w:rsidR="00652773" w:rsidRPr="00B11924" w:rsidDel="00DC2F68" w:rsidRDefault="00652773">
            <w:pPr>
              <w:pStyle w:val="TableText"/>
              <w:spacing w:before="40" w:after="40" w:line="240" w:lineRule="auto"/>
              <w:rPr>
                <w:rFonts w:cs="Calibri"/>
                <w:color w:val="000000" w:themeColor="text1"/>
                <w:sz w:val="16"/>
                <w:szCs w:val="16"/>
              </w:rPr>
            </w:pPr>
            <w:r w:rsidRPr="00B11924">
              <w:rPr>
                <w:rFonts w:cs="Calibri"/>
                <w:color w:val="000000" w:themeColor="text1"/>
                <w:sz w:val="16"/>
                <w:szCs w:val="16"/>
              </w:rPr>
              <w:t>Other</w:t>
            </w:r>
          </w:p>
        </w:tc>
        <w:tc>
          <w:tcPr>
            <w:tcW w:w="1134" w:type="dxa"/>
          </w:tcPr>
          <w:p w14:paraId="492461BD" w14:textId="77777777" w:rsidR="00652773" w:rsidRPr="00B11924" w:rsidDel="00DC2F68" w:rsidRDefault="00652773">
            <w:pPr>
              <w:pStyle w:val="TableText"/>
              <w:spacing w:before="40" w:after="40" w:line="240" w:lineRule="auto"/>
              <w:rPr>
                <w:rFonts w:cs="Calibri"/>
                <w:color w:val="000000"/>
                <w:sz w:val="16"/>
                <w:szCs w:val="16"/>
              </w:rPr>
            </w:pPr>
            <w:r w:rsidRPr="00B11924">
              <w:rPr>
                <w:rFonts w:cs="Calibri"/>
                <w:color w:val="000000"/>
                <w:sz w:val="16"/>
                <w:szCs w:val="16"/>
              </w:rPr>
              <w:t>Implemented</w:t>
            </w:r>
          </w:p>
        </w:tc>
        <w:tc>
          <w:tcPr>
            <w:tcW w:w="1134" w:type="dxa"/>
            <w:shd w:val="clear" w:color="auto" w:fill="auto"/>
          </w:tcPr>
          <w:p w14:paraId="13C65DD0" w14:textId="77777777" w:rsidR="00652773" w:rsidRPr="00B11924" w:rsidDel="00DC2F68" w:rsidRDefault="00652773">
            <w:pPr>
              <w:pStyle w:val="TableText"/>
              <w:spacing w:before="40" w:after="40" w:line="240" w:lineRule="auto"/>
              <w:rPr>
                <w:rFonts w:cs="Calibri"/>
                <w:color w:val="000000"/>
                <w:sz w:val="16"/>
                <w:szCs w:val="16"/>
              </w:rPr>
            </w:pPr>
            <w:r w:rsidRPr="00B11924">
              <w:rPr>
                <w:rFonts w:cs="Calibri"/>
                <w:color w:val="000000" w:themeColor="text1"/>
                <w:sz w:val="16"/>
                <w:szCs w:val="16"/>
              </w:rPr>
              <w:t>Energy, Transport, IPPU, Agriculture, LULUCF, Waste management</w:t>
            </w:r>
          </w:p>
        </w:tc>
        <w:tc>
          <w:tcPr>
            <w:tcW w:w="1276" w:type="dxa"/>
            <w:shd w:val="clear" w:color="auto" w:fill="auto"/>
          </w:tcPr>
          <w:p w14:paraId="3C09B959" w14:textId="77777777" w:rsidR="00652773" w:rsidRPr="00B11924" w:rsidDel="00DC2F68" w:rsidRDefault="00652773">
            <w:pPr>
              <w:pStyle w:val="TableText"/>
              <w:spacing w:before="40" w:after="40" w:line="240" w:lineRule="auto"/>
              <w:rPr>
                <w:rFonts w:cs="Calibri"/>
                <w:color w:val="000000"/>
                <w:sz w:val="16"/>
                <w:szCs w:val="16"/>
              </w:rPr>
            </w:pPr>
            <w:r w:rsidRPr="00B11924">
              <w:rPr>
                <w:rFonts w:cs="Calibri"/>
                <w:color w:val="000000"/>
                <w:sz w:val="16"/>
                <w:szCs w:val="16"/>
              </w:rPr>
              <w:t>CO</w:t>
            </w:r>
            <w:r w:rsidRPr="00B11924">
              <w:rPr>
                <w:rFonts w:cs="Calibri"/>
                <w:color w:val="000000"/>
                <w:sz w:val="16"/>
                <w:szCs w:val="16"/>
                <w:vertAlign w:val="subscript"/>
              </w:rPr>
              <w:t>2</w:t>
            </w:r>
            <w:r w:rsidRPr="00B11924">
              <w:rPr>
                <w:rFonts w:cs="Calibri"/>
                <w:color w:val="000000"/>
                <w:sz w:val="16"/>
                <w:szCs w:val="16"/>
              </w:rPr>
              <w:t>, CH</w:t>
            </w:r>
            <w:r w:rsidRPr="00B11924">
              <w:rPr>
                <w:rFonts w:cs="Calibri"/>
                <w:color w:val="000000"/>
                <w:sz w:val="16"/>
                <w:szCs w:val="16"/>
                <w:vertAlign w:val="subscript"/>
              </w:rPr>
              <w:t>4</w:t>
            </w:r>
            <w:r w:rsidRPr="00B11924">
              <w:rPr>
                <w:rFonts w:cs="Calibri"/>
                <w:color w:val="000000"/>
                <w:sz w:val="16"/>
                <w:szCs w:val="16"/>
              </w:rPr>
              <w:t>, N</w:t>
            </w:r>
            <w:r w:rsidRPr="00B11924">
              <w:rPr>
                <w:rFonts w:cs="Calibri"/>
                <w:color w:val="000000"/>
                <w:sz w:val="16"/>
                <w:szCs w:val="16"/>
                <w:vertAlign w:val="subscript"/>
              </w:rPr>
              <w:t>2</w:t>
            </w:r>
            <w:r w:rsidRPr="00B11924">
              <w:rPr>
                <w:rFonts w:cs="Calibri"/>
                <w:color w:val="000000"/>
                <w:sz w:val="16"/>
                <w:szCs w:val="16"/>
              </w:rPr>
              <w:t>O, PFCs, HFCs, SF</w:t>
            </w:r>
            <w:r w:rsidRPr="00B11924">
              <w:rPr>
                <w:rFonts w:cs="Calibri"/>
                <w:color w:val="000000"/>
                <w:sz w:val="16"/>
                <w:szCs w:val="16"/>
                <w:vertAlign w:val="subscript"/>
              </w:rPr>
              <w:t>6</w:t>
            </w:r>
          </w:p>
        </w:tc>
        <w:tc>
          <w:tcPr>
            <w:tcW w:w="850" w:type="dxa"/>
            <w:shd w:val="clear" w:color="auto" w:fill="auto"/>
          </w:tcPr>
          <w:p w14:paraId="5C185B6E" w14:textId="77777777" w:rsidR="00652773" w:rsidRPr="00B11924" w:rsidDel="00DC2F68" w:rsidRDefault="00652773">
            <w:pPr>
              <w:pStyle w:val="TableText"/>
              <w:spacing w:before="40" w:after="40" w:line="240" w:lineRule="auto"/>
              <w:rPr>
                <w:rFonts w:cs="Calibri"/>
                <w:color w:val="000000"/>
                <w:sz w:val="16"/>
                <w:szCs w:val="16"/>
              </w:rPr>
            </w:pPr>
            <w:r w:rsidRPr="00B11924">
              <w:rPr>
                <w:rFonts w:cs="Calibri"/>
                <w:color w:val="000000"/>
                <w:sz w:val="16"/>
                <w:szCs w:val="16"/>
              </w:rPr>
              <w:t>2024</w:t>
            </w:r>
          </w:p>
        </w:tc>
        <w:tc>
          <w:tcPr>
            <w:tcW w:w="1418" w:type="dxa"/>
            <w:shd w:val="clear" w:color="auto" w:fill="auto"/>
          </w:tcPr>
          <w:p w14:paraId="2D786B78" w14:textId="77777777" w:rsidR="00652773" w:rsidRPr="00B11924" w:rsidDel="00DC2F68" w:rsidRDefault="00652773">
            <w:pPr>
              <w:pStyle w:val="TableText"/>
              <w:spacing w:before="40" w:after="40" w:line="240" w:lineRule="auto"/>
              <w:rPr>
                <w:rFonts w:cs="Calibri"/>
                <w:color w:val="000000"/>
                <w:sz w:val="16"/>
                <w:szCs w:val="16"/>
              </w:rPr>
            </w:pPr>
            <w:r w:rsidRPr="00B11924">
              <w:rPr>
                <w:rFonts w:cs="Calibri"/>
                <w:color w:val="000000"/>
                <w:sz w:val="16"/>
                <w:szCs w:val="16"/>
              </w:rPr>
              <w:t>Ministry for the Environment</w:t>
            </w:r>
          </w:p>
        </w:tc>
        <w:tc>
          <w:tcPr>
            <w:tcW w:w="992" w:type="dxa"/>
          </w:tcPr>
          <w:p w14:paraId="7FBFB2A2" w14:textId="77777777" w:rsidR="00652773" w:rsidRPr="00B11924" w:rsidDel="00DC2F68" w:rsidRDefault="00652773">
            <w:pPr>
              <w:pStyle w:val="TableText"/>
              <w:spacing w:before="40" w:after="40" w:line="240" w:lineRule="auto"/>
              <w:rPr>
                <w:rFonts w:cs="Calibri"/>
                <w:sz w:val="16"/>
                <w:szCs w:val="16"/>
              </w:rPr>
            </w:pPr>
            <w:r w:rsidRPr="00B11924">
              <w:rPr>
                <w:rFonts w:cs="Calibri"/>
                <w:sz w:val="16"/>
                <w:szCs w:val="16"/>
              </w:rPr>
              <w:t>NE</w:t>
            </w:r>
          </w:p>
        </w:tc>
        <w:tc>
          <w:tcPr>
            <w:tcW w:w="992" w:type="dxa"/>
          </w:tcPr>
          <w:p w14:paraId="7834DB19" w14:textId="77777777" w:rsidR="00652773" w:rsidRPr="00B11924" w:rsidDel="00DC2F68" w:rsidRDefault="00652773">
            <w:pPr>
              <w:pStyle w:val="TableText"/>
              <w:spacing w:before="40" w:after="40" w:line="240" w:lineRule="auto"/>
              <w:rPr>
                <w:rFonts w:cs="Calibri"/>
                <w:sz w:val="16"/>
                <w:szCs w:val="16"/>
              </w:rPr>
            </w:pPr>
            <w:r w:rsidRPr="00B11924">
              <w:rPr>
                <w:rFonts w:cs="Calibri"/>
                <w:sz w:val="16"/>
                <w:szCs w:val="16"/>
              </w:rPr>
              <w:t>NE</w:t>
            </w:r>
          </w:p>
        </w:tc>
        <w:tc>
          <w:tcPr>
            <w:tcW w:w="964" w:type="dxa"/>
          </w:tcPr>
          <w:p w14:paraId="1EC63DCD" w14:textId="77777777" w:rsidR="00652773" w:rsidRPr="00B11924" w:rsidDel="00DC2F68" w:rsidRDefault="00652773">
            <w:pPr>
              <w:pStyle w:val="TableText"/>
              <w:spacing w:before="40" w:after="40" w:line="240" w:lineRule="auto"/>
              <w:rPr>
                <w:rFonts w:cs="Calibri"/>
                <w:sz w:val="16"/>
                <w:szCs w:val="16"/>
              </w:rPr>
            </w:pPr>
            <w:r w:rsidRPr="00B11924">
              <w:rPr>
                <w:rFonts w:cs="Calibri"/>
                <w:sz w:val="16"/>
                <w:szCs w:val="16"/>
              </w:rPr>
              <w:t>NE</w:t>
            </w:r>
          </w:p>
        </w:tc>
      </w:tr>
      <w:tr w:rsidR="00E872AA" w:rsidRPr="00E711FA" w14:paraId="31019B2C" w14:textId="77777777" w:rsidTr="006E5BDE">
        <w:trPr>
          <w:gridAfter w:val="1"/>
          <w:wAfter w:w="24" w:type="dxa"/>
        </w:trPr>
        <w:tc>
          <w:tcPr>
            <w:tcW w:w="1134" w:type="dxa"/>
          </w:tcPr>
          <w:p w14:paraId="784AC91D" w14:textId="77777777" w:rsidR="00652773" w:rsidRPr="00B11924" w:rsidRDefault="00652773">
            <w:pPr>
              <w:pStyle w:val="TableText"/>
              <w:spacing w:before="40" w:after="40" w:line="240" w:lineRule="auto"/>
              <w:rPr>
                <w:rFonts w:cs="Calibri"/>
                <w:sz w:val="16"/>
                <w:szCs w:val="16"/>
                <w:lang w:eastAsia="en-US"/>
              </w:rPr>
            </w:pPr>
            <w:r w:rsidRPr="00B11924">
              <w:rPr>
                <w:rFonts w:cs="Calibri"/>
                <w:color w:val="000000"/>
                <w:sz w:val="16"/>
                <w:szCs w:val="16"/>
              </w:rPr>
              <w:t xml:space="preserve">New Zealand Emissions Trading Scheme (NZ ETS) </w:t>
            </w:r>
          </w:p>
        </w:tc>
        <w:tc>
          <w:tcPr>
            <w:tcW w:w="1985" w:type="dxa"/>
          </w:tcPr>
          <w:p w14:paraId="6812484E" w14:textId="13642C31" w:rsidR="00652773" w:rsidRPr="00B11924" w:rsidRDefault="00652773">
            <w:pPr>
              <w:pStyle w:val="TableText"/>
              <w:spacing w:before="40" w:after="40" w:line="240" w:lineRule="auto"/>
              <w:rPr>
                <w:rFonts w:cs="Calibri"/>
                <w:color w:val="000000"/>
                <w:sz w:val="16"/>
                <w:szCs w:val="16"/>
              </w:rPr>
            </w:pPr>
            <w:r w:rsidRPr="00B11924">
              <w:rPr>
                <w:rFonts w:cs="Calibri"/>
                <w:color w:val="000000" w:themeColor="text1"/>
                <w:sz w:val="16"/>
                <w:szCs w:val="16"/>
              </w:rPr>
              <w:t xml:space="preserve">The NZ ETS requires upstream entities, such as fuel suppliers and large emitters, to surrender emissions units (NZUs) to the Government for their activities that result in emissions. It also rewards entities that remove carbon dioxide from the atmosphere, which for New Zealand is predominantly through forestry sequestration. </w:t>
            </w:r>
          </w:p>
          <w:p w14:paraId="206CD265"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 xml:space="preserve">Estimate of GHG emissions reductions by sector are detailed in individual rows, below. </w:t>
            </w:r>
          </w:p>
        </w:tc>
        <w:tc>
          <w:tcPr>
            <w:tcW w:w="1701" w:type="dxa"/>
          </w:tcPr>
          <w:p w14:paraId="09D0426A"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Reduce emissions by creating a market through which emitters pay for emissions covered by the scheme.</w:t>
            </w:r>
          </w:p>
        </w:tc>
        <w:tc>
          <w:tcPr>
            <w:tcW w:w="992" w:type="dxa"/>
          </w:tcPr>
          <w:p w14:paraId="15908832"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Regulatory, economic instrument</w:t>
            </w:r>
          </w:p>
        </w:tc>
        <w:tc>
          <w:tcPr>
            <w:tcW w:w="1134" w:type="dxa"/>
          </w:tcPr>
          <w:p w14:paraId="64C595AB"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themeColor="text1"/>
                <w:sz w:val="16"/>
                <w:szCs w:val="16"/>
              </w:rPr>
              <w:t xml:space="preserve">Implemented </w:t>
            </w:r>
          </w:p>
        </w:tc>
        <w:tc>
          <w:tcPr>
            <w:tcW w:w="1134" w:type="dxa"/>
          </w:tcPr>
          <w:p w14:paraId="0B0BA11C" w14:textId="77777777" w:rsidR="00652773" w:rsidRPr="00B11924" w:rsidRDefault="00652773">
            <w:pPr>
              <w:pStyle w:val="TableText"/>
              <w:spacing w:before="40" w:after="40" w:line="240" w:lineRule="auto"/>
              <w:rPr>
                <w:rFonts w:cs="Calibri"/>
                <w:sz w:val="16"/>
                <w:szCs w:val="16"/>
                <w:lang w:eastAsia="en-US"/>
              </w:rPr>
            </w:pPr>
            <w:r w:rsidRPr="00B11924">
              <w:rPr>
                <w:rFonts w:cs="Calibri"/>
                <w:color w:val="000000" w:themeColor="text1"/>
                <w:sz w:val="16"/>
                <w:szCs w:val="16"/>
              </w:rPr>
              <w:t xml:space="preserve">Energy, Transport, IPPU, Agriculture, LULUCF, Waste management </w:t>
            </w:r>
          </w:p>
        </w:tc>
        <w:tc>
          <w:tcPr>
            <w:tcW w:w="1276" w:type="dxa"/>
          </w:tcPr>
          <w:p w14:paraId="5830566F" w14:textId="77777777" w:rsidR="00652773" w:rsidRPr="00B11924" w:rsidRDefault="00652773">
            <w:pPr>
              <w:pStyle w:val="TableText"/>
              <w:spacing w:before="40" w:after="40" w:line="240" w:lineRule="auto"/>
              <w:rPr>
                <w:rFonts w:cs="Calibri"/>
                <w:sz w:val="16"/>
                <w:szCs w:val="16"/>
                <w:lang w:eastAsia="en-US"/>
              </w:rPr>
            </w:pPr>
            <w:r w:rsidRPr="00B11924">
              <w:rPr>
                <w:rFonts w:cs="Calibri"/>
                <w:color w:val="000000"/>
                <w:sz w:val="16"/>
                <w:szCs w:val="16"/>
              </w:rPr>
              <w:t>CO</w:t>
            </w:r>
            <w:r w:rsidRPr="00B11924">
              <w:rPr>
                <w:rFonts w:cs="Calibri"/>
                <w:color w:val="000000"/>
                <w:sz w:val="16"/>
                <w:szCs w:val="16"/>
                <w:vertAlign w:val="subscript"/>
              </w:rPr>
              <w:t>2</w:t>
            </w:r>
            <w:r w:rsidRPr="00B11924">
              <w:rPr>
                <w:rFonts w:cs="Calibri"/>
                <w:color w:val="000000"/>
                <w:sz w:val="16"/>
                <w:szCs w:val="16"/>
              </w:rPr>
              <w:t>, CH</w:t>
            </w:r>
            <w:r w:rsidRPr="00B11924">
              <w:rPr>
                <w:rFonts w:cs="Calibri"/>
                <w:color w:val="000000"/>
                <w:sz w:val="16"/>
                <w:szCs w:val="16"/>
                <w:vertAlign w:val="subscript"/>
              </w:rPr>
              <w:t>4</w:t>
            </w:r>
            <w:r w:rsidRPr="00B11924">
              <w:rPr>
                <w:rFonts w:cs="Calibri"/>
                <w:color w:val="000000"/>
                <w:sz w:val="16"/>
                <w:szCs w:val="16"/>
              </w:rPr>
              <w:t>, N</w:t>
            </w:r>
            <w:r w:rsidRPr="00B11924">
              <w:rPr>
                <w:rFonts w:cs="Calibri"/>
                <w:color w:val="000000"/>
                <w:sz w:val="16"/>
                <w:szCs w:val="16"/>
                <w:vertAlign w:val="subscript"/>
              </w:rPr>
              <w:t>2</w:t>
            </w:r>
            <w:r w:rsidRPr="00B11924">
              <w:rPr>
                <w:rFonts w:cs="Calibri"/>
                <w:color w:val="000000"/>
                <w:sz w:val="16"/>
                <w:szCs w:val="16"/>
              </w:rPr>
              <w:t>O, PFCs, HFCs, SF</w:t>
            </w:r>
            <w:r w:rsidRPr="00B11924">
              <w:rPr>
                <w:rFonts w:cs="Calibri"/>
                <w:color w:val="000000"/>
                <w:sz w:val="16"/>
                <w:szCs w:val="16"/>
                <w:vertAlign w:val="subscript"/>
              </w:rPr>
              <w:t>6</w:t>
            </w:r>
          </w:p>
        </w:tc>
        <w:tc>
          <w:tcPr>
            <w:tcW w:w="850" w:type="dxa"/>
          </w:tcPr>
          <w:p w14:paraId="5170C10E" w14:textId="77777777" w:rsidR="00652773" w:rsidRPr="00B11924" w:rsidRDefault="00652773">
            <w:pPr>
              <w:pStyle w:val="TableText"/>
              <w:spacing w:before="40" w:after="40" w:line="240" w:lineRule="auto"/>
              <w:rPr>
                <w:rFonts w:cs="Calibri"/>
                <w:sz w:val="16"/>
                <w:szCs w:val="16"/>
                <w:lang w:eastAsia="en-US"/>
              </w:rPr>
            </w:pPr>
            <w:r w:rsidRPr="00B11924">
              <w:rPr>
                <w:rFonts w:cs="Calibri"/>
                <w:color w:val="000000"/>
                <w:sz w:val="16"/>
                <w:szCs w:val="16"/>
              </w:rPr>
              <w:t>2008</w:t>
            </w:r>
          </w:p>
        </w:tc>
        <w:tc>
          <w:tcPr>
            <w:tcW w:w="1418" w:type="dxa"/>
          </w:tcPr>
          <w:p w14:paraId="6DAB2307" w14:textId="77777777" w:rsidR="00652773" w:rsidRPr="00B11924" w:rsidRDefault="00652773">
            <w:pPr>
              <w:pStyle w:val="TableText"/>
              <w:spacing w:before="40" w:after="40" w:line="240" w:lineRule="auto"/>
              <w:rPr>
                <w:rFonts w:cs="Calibri"/>
                <w:sz w:val="16"/>
                <w:szCs w:val="16"/>
                <w:lang w:eastAsia="en-US"/>
              </w:rPr>
            </w:pPr>
            <w:r w:rsidRPr="00B11924">
              <w:rPr>
                <w:rFonts w:cs="Calibri"/>
                <w:color w:val="000000"/>
                <w:sz w:val="16"/>
                <w:szCs w:val="16"/>
              </w:rPr>
              <w:t>Environmental Protection Authority, Ministry for the Environment, Ministry for Primary Industries</w:t>
            </w:r>
          </w:p>
        </w:tc>
        <w:tc>
          <w:tcPr>
            <w:tcW w:w="992" w:type="dxa"/>
          </w:tcPr>
          <w:p w14:paraId="596BC7CA"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IE</w:t>
            </w:r>
          </w:p>
        </w:tc>
        <w:tc>
          <w:tcPr>
            <w:tcW w:w="992" w:type="dxa"/>
          </w:tcPr>
          <w:p w14:paraId="16DC8127"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IE</w:t>
            </w:r>
          </w:p>
        </w:tc>
        <w:tc>
          <w:tcPr>
            <w:tcW w:w="964" w:type="dxa"/>
          </w:tcPr>
          <w:p w14:paraId="245376CF"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IE</w:t>
            </w:r>
          </w:p>
        </w:tc>
      </w:tr>
      <w:tr w:rsidR="00E872AA" w:rsidRPr="00E711FA" w14:paraId="4AABDB8F" w14:textId="77777777" w:rsidTr="006E5BDE">
        <w:trPr>
          <w:gridAfter w:val="1"/>
          <w:wAfter w:w="24" w:type="dxa"/>
        </w:trPr>
        <w:tc>
          <w:tcPr>
            <w:tcW w:w="1134" w:type="dxa"/>
          </w:tcPr>
          <w:p w14:paraId="25AAB4C3" w14:textId="4EFD7A42"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 xml:space="preserve">New Zealand Emissions Trading Scheme (NZ ETS) – Impact on </w:t>
            </w:r>
            <w:r w:rsidR="00725FAC">
              <w:rPr>
                <w:rFonts w:cs="Calibri"/>
                <w:color w:val="000000"/>
                <w:sz w:val="16"/>
                <w:szCs w:val="16"/>
              </w:rPr>
              <w:t>E</w:t>
            </w:r>
            <w:r w:rsidRPr="00692400">
              <w:rPr>
                <w:rFonts w:cs="Calibri"/>
                <w:color w:val="000000"/>
                <w:sz w:val="16"/>
                <w:szCs w:val="16"/>
              </w:rPr>
              <w:t>nergy sector emissions</w:t>
            </w:r>
          </w:p>
        </w:tc>
        <w:tc>
          <w:tcPr>
            <w:tcW w:w="1985" w:type="dxa"/>
          </w:tcPr>
          <w:p w14:paraId="20E56526" w14:textId="77777777" w:rsidR="00652773" w:rsidRPr="00692400" w:rsidRDefault="00652773">
            <w:pPr>
              <w:pStyle w:val="TableText"/>
              <w:spacing w:before="40" w:after="40" w:line="240" w:lineRule="auto"/>
              <w:rPr>
                <w:rFonts w:cs="Calibri"/>
                <w:color w:val="000000" w:themeColor="text1"/>
                <w:sz w:val="16"/>
                <w:szCs w:val="16"/>
              </w:rPr>
            </w:pPr>
            <w:r w:rsidRPr="00692400">
              <w:rPr>
                <w:rFonts w:cs="Calibri"/>
                <w:color w:val="000000" w:themeColor="text1"/>
                <w:sz w:val="16"/>
                <w:szCs w:val="16"/>
              </w:rPr>
              <w:t xml:space="preserve">See row ‘New Zealand Emissions Trading Scheme (NZ ETS)’ for a description of this policy. </w:t>
            </w:r>
          </w:p>
        </w:tc>
        <w:tc>
          <w:tcPr>
            <w:tcW w:w="1701" w:type="dxa"/>
          </w:tcPr>
          <w:p w14:paraId="1B662126"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themeColor="text1"/>
                <w:sz w:val="16"/>
                <w:szCs w:val="16"/>
              </w:rPr>
              <w:t>See row ‘New Zealand Emissions Trading Scheme (NZ ETS)’ for the objectives of this policy.</w:t>
            </w:r>
          </w:p>
        </w:tc>
        <w:tc>
          <w:tcPr>
            <w:tcW w:w="992" w:type="dxa"/>
          </w:tcPr>
          <w:p w14:paraId="38126714"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Regulatory, economic instrument</w:t>
            </w:r>
          </w:p>
        </w:tc>
        <w:tc>
          <w:tcPr>
            <w:tcW w:w="1134" w:type="dxa"/>
          </w:tcPr>
          <w:p w14:paraId="35092D8D" w14:textId="77777777" w:rsidR="00652773" w:rsidRPr="00692400" w:rsidRDefault="00652773">
            <w:pPr>
              <w:pStyle w:val="TableText"/>
              <w:spacing w:before="40" w:after="40" w:line="240" w:lineRule="auto"/>
              <w:rPr>
                <w:rFonts w:cs="Calibri"/>
                <w:color w:val="000000" w:themeColor="text1"/>
                <w:sz w:val="16"/>
                <w:szCs w:val="16"/>
              </w:rPr>
            </w:pPr>
            <w:r w:rsidRPr="00692400">
              <w:rPr>
                <w:rFonts w:cs="Calibri"/>
                <w:color w:val="000000" w:themeColor="text1"/>
                <w:sz w:val="16"/>
                <w:szCs w:val="16"/>
              </w:rPr>
              <w:t xml:space="preserve">Implemented </w:t>
            </w:r>
          </w:p>
        </w:tc>
        <w:tc>
          <w:tcPr>
            <w:tcW w:w="1134" w:type="dxa"/>
          </w:tcPr>
          <w:p w14:paraId="3C255868" w14:textId="7E4B46A9" w:rsidR="00652773" w:rsidRPr="00692400" w:rsidRDefault="00652773">
            <w:pPr>
              <w:pStyle w:val="TableText"/>
              <w:spacing w:before="40" w:after="40" w:line="240" w:lineRule="auto"/>
              <w:rPr>
                <w:rFonts w:cs="Calibri"/>
                <w:color w:val="000000" w:themeColor="text1"/>
                <w:sz w:val="16"/>
                <w:szCs w:val="16"/>
              </w:rPr>
            </w:pPr>
            <w:r w:rsidRPr="00692400">
              <w:rPr>
                <w:rFonts w:cs="Calibri"/>
                <w:color w:val="000000" w:themeColor="text1"/>
                <w:sz w:val="16"/>
                <w:szCs w:val="16"/>
              </w:rPr>
              <w:t>Energy, Transport, Agriculture, IPPU, LULUCF, Waste management</w:t>
            </w:r>
          </w:p>
        </w:tc>
        <w:tc>
          <w:tcPr>
            <w:tcW w:w="1276" w:type="dxa"/>
          </w:tcPr>
          <w:p w14:paraId="7FBD73FB"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CO</w:t>
            </w:r>
            <w:r w:rsidRPr="00692400">
              <w:rPr>
                <w:rFonts w:cs="Calibri"/>
                <w:color w:val="000000"/>
                <w:sz w:val="16"/>
                <w:szCs w:val="16"/>
                <w:vertAlign w:val="subscript"/>
              </w:rPr>
              <w:t>2</w:t>
            </w:r>
            <w:r w:rsidRPr="00692400">
              <w:rPr>
                <w:rFonts w:cs="Calibri"/>
                <w:color w:val="000000"/>
                <w:sz w:val="16"/>
                <w:szCs w:val="16"/>
              </w:rPr>
              <w:t>, CH</w:t>
            </w:r>
            <w:r w:rsidRPr="00692400">
              <w:rPr>
                <w:rFonts w:cs="Calibri"/>
                <w:color w:val="000000"/>
                <w:sz w:val="16"/>
                <w:szCs w:val="16"/>
                <w:vertAlign w:val="subscript"/>
              </w:rPr>
              <w:t>4</w:t>
            </w:r>
            <w:r w:rsidRPr="00692400">
              <w:rPr>
                <w:rFonts w:cs="Calibri"/>
                <w:color w:val="000000"/>
                <w:sz w:val="16"/>
                <w:szCs w:val="16"/>
              </w:rPr>
              <w:t>, N</w:t>
            </w:r>
            <w:r w:rsidRPr="00692400">
              <w:rPr>
                <w:rFonts w:cs="Calibri"/>
                <w:color w:val="000000"/>
                <w:sz w:val="16"/>
                <w:szCs w:val="16"/>
                <w:vertAlign w:val="subscript"/>
              </w:rPr>
              <w:t>2</w:t>
            </w:r>
            <w:r w:rsidRPr="00692400">
              <w:rPr>
                <w:rFonts w:cs="Calibri"/>
                <w:color w:val="000000"/>
                <w:sz w:val="16"/>
                <w:szCs w:val="16"/>
              </w:rPr>
              <w:t>O, PFCs, HFCs, SF</w:t>
            </w:r>
            <w:r w:rsidRPr="00692400">
              <w:rPr>
                <w:rFonts w:cs="Calibri"/>
                <w:color w:val="000000"/>
                <w:sz w:val="16"/>
                <w:szCs w:val="16"/>
                <w:vertAlign w:val="subscript"/>
              </w:rPr>
              <w:t>6</w:t>
            </w:r>
          </w:p>
        </w:tc>
        <w:tc>
          <w:tcPr>
            <w:tcW w:w="850" w:type="dxa"/>
          </w:tcPr>
          <w:p w14:paraId="22175B19"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2008</w:t>
            </w:r>
          </w:p>
        </w:tc>
        <w:tc>
          <w:tcPr>
            <w:tcW w:w="1418" w:type="dxa"/>
          </w:tcPr>
          <w:p w14:paraId="750E8BBF"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Environmental Protection Authority, Ministry for the Environment, Ministry for Primary Industries</w:t>
            </w:r>
          </w:p>
        </w:tc>
        <w:tc>
          <w:tcPr>
            <w:tcW w:w="992" w:type="dxa"/>
          </w:tcPr>
          <w:p w14:paraId="4A140B08" w14:textId="77777777" w:rsidR="00652773" w:rsidRPr="00692400" w:rsidRDefault="00652773">
            <w:pPr>
              <w:pStyle w:val="TableText"/>
              <w:spacing w:before="40" w:after="40" w:line="240" w:lineRule="auto"/>
              <w:rPr>
                <w:rFonts w:cs="Calibri"/>
                <w:sz w:val="16"/>
                <w:szCs w:val="16"/>
              </w:rPr>
            </w:pPr>
            <w:r w:rsidRPr="00692400">
              <w:rPr>
                <w:rFonts w:cs="Calibri"/>
                <w:sz w:val="16"/>
                <w:szCs w:val="16"/>
              </w:rPr>
              <w:t>NE</w:t>
            </w:r>
          </w:p>
        </w:tc>
        <w:tc>
          <w:tcPr>
            <w:tcW w:w="992" w:type="dxa"/>
          </w:tcPr>
          <w:p w14:paraId="7DF81A6E" w14:textId="77777777" w:rsidR="00652773" w:rsidRPr="00692400" w:rsidRDefault="00652773">
            <w:pPr>
              <w:pStyle w:val="TableText"/>
              <w:spacing w:before="40" w:after="40" w:line="240" w:lineRule="auto"/>
              <w:rPr>
                <w:rFonts w:cs="Calibri"/>
                <w:sz w:val="16"/>
                <w:szCs w:val="16"/>
              </w:rPr>
            </w:pPr>
            <w:r w:rsidRPr="00692400">
              <w:rPr>
                <w:rFonts w:cs="Calibri"/>
                <w:sz w:val="16"/>
                <w:szCs w:val="16"/>
              </w:rPr>
              <w:t>NE</w:t>
            </w:r>
          </w:p>
        </w:tc>
        <w:tc>
          <w:tcPr>
            <w:tcW w:w="964" w:type="dxa"/>
          </w:tcPr>
          <w:p w14:paraId="321AD6B6" w14:textId="77777777" w:rsidR="00652773" w:rsidRPr="00692400" w:rsidRDefault="00652773">
            <w:pPr>
              <w:pStyle w:val="TableText"/>
              <w:spacing w:before="40" w:after="40" w:line="240" w:lineRule="auto"/>
              <w:rPr>
                <w:rFonts w:cs="Calibri"/>
                <w:sz w:val="16"/>
                <w:szCs w:val="16"/>
              </w:rPr>
            </w:pPr>
            <w:r w:rsidRPr="00692400">
              <w:rPr>
                <w:rFonts w:cs="Calibri"/>
                <w:sz w:val="16"/>
                <w:szCs w:val="16"/>
              </w:rPr>
              <w:t>519</w:t>
            </w:r>
          </w:p>
        </w:tc>
      </w:tr>
      <w:tr w:rsidR="00E872AA" w:rsidRPr="00E711FA" w14:paraId="6C4D9466" w14:textId="77777777" w:rsidTr="006E5BDE">
        <w:trPr>
          <w:gridAfter w:val="1"/>
          <w:wAfter w:w="24" w:type="dxa"/>
        </w:trPr>
        <w:tc>
          <w:tcPr>
            <w:tcW w:w="1134" w:type="dxa"/>
          </w:tcPr>
          <w:p w14:paraId="3E12D5D1" w14:textId="3CCE46D4"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 xml:space="preserve">New Zealand Emissions Trading Scheme (NZ ETS) – Impact on </w:t>
            </w:r>
            <w:r w:rsidR="000A4D01">
              <w:rPr>
                <w:rFonts w:cs="Calibri"/>
                <w:color w:val="000000"/>
                <w:sz w:val="16"/>
                <w:szCs w:val="16"/>
              </w:rPr>
              <w:t>T</w:t>
            </w:r>
            <w:r w:rsidRPr="00692400">
              <w:rPr>
                <w:rFonts w:cs="Calibri"/>
                <w:color w:val="000000"/>
                <w:sz w:val="16"/>
                <w:szCs w:val="16"/>
              </w:rPr>
              <w:t>ransport sector emissions</w:t>
            </w:r>
          </w:p>
        </w:tc>
        <w:tc>
          <w:tcPr>
            <w:tcW w:w="1985" w:type="dxa"/>
          </w:tcPr>
          <w:p w14:paraId="73A176BC" w14:textId="77777777" w:rsidR="00652773" w:rsidRPr="00692400" w:rsidRDefault="00652773">
            <w:pPr>
              <w:pStyle w:val="TableText"/>
              <w:spacing w:before="40" w:after="40" w:line="240" w:lineRule="auto"/>
              <w:rPr>
                <w:rFonts w:cs="Calibri"/>
                <w:color w:val="000000" w:themeColor="text1"/>
                <w:sz w:val="16"/>
                <w:szCs w:val="16"/>
              </w:rPr>
            </w:pPr>
            <w:r w:rsidRPr="00692400">
              <w:rPr>
                <w:rFonts w:cs="Calibri"/>
                <w:color w:val="000000" w:themeColor="text1"/>
                <w:sz w:val="16"/>
                <w:szCs w:val="16"/>
              </w:rPr>
              <w:t>See row ‘New Zealand Emissions Trading Scheme (NZ ETS)’ for a description of this policy.</w:t>
            </w:r>
          </w:p>
        </w:tc>
        <w:tc>
          <w:tcPr>
            <w:tcW w:w="1701" w:type="dxa"/>
          </w:tcPr>
          <w:p w14:paraId="1454F2E6"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themeColor="text1"/>
                <w:sz w:val="16"/>
                <w:szCs w:val="16"/>
              </w:rPr>
              <w:t>See row ‘New Zealand Emissions Trading Scheme (NZ ETS)’ for the objectives of this policy.</w:t>
            </w:r>
          </w:p>
        </w:tc>
        <w:tc>
          <w:tcPr>
            <w:tcW w:w="992" w:type="dxa"/>
          </w:tcPr>
          <w:p w14:paraId="19F72AEA"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Regulatory, economic instrument</w:t>
            </w:r>
          </w:p>
        </w:tc>
        <w:tc>
          <w:tcPr>
            <w:tcW w:w="1134" w:type="dxa"/>
          </w:tcPr>
          <w:p w14:paraId="3A35FFD1" w14:textId="77777777" w:rsidR="00652773" w:rsidRPr="00692400" w:rsidRDefault="00652773">
            <w:pPr>
              <w:pStyle w:val="TableText"/>
              <w:spacing w:before="40" w:after="40" w:line="240" w:lineRule="auto"/>
              <w:rPr>
                <w:rFonts w:cs="Calibri"/>
                <w:color w:val="000000" w:themeColor="text1"/>
                <w:sz w:val="16"/>
                <w:szCs w:val="16"/>
              </w:rPr>
            </w:pPr>
            <w:r w:rsidRPr="00692400">
              <w:rPr>
                <w:rFonts w:cs="Calibri"/>
                <w:color w:val="000000" w:themeColor="text1"/>
                <w:sz w:val="16"/>
                <w:szCs w:val="16"/>
              </w:rPr>
              <w:t xml:space="preserve">Implemented </w:t>
            </w:r>
          </w:p>
        </w:tc>
        <w:tc>
          <w:tcPr>
            <w:tcW w:w="1134" w:type="dxa"/>
          </w:tcPr>
          <w:p w14:paraId="44A3C03B" w14:textId="28E2AF2B" w:rsidR="00652773" w:rsidRPr="00692400" w:rsidRDefault="00652773">
            <w:pPr>
              <w:pStyle w:val="TableText"/>
              <w:spacing w:before="40" w:after="40" w:line="240" w:lineRule="auto"/>
              <w:rPr>
                <w:rFonts w:cs="Calibri"/>
                <w:color w:val="000000" w:themeColor="text1"/>
                <w:sz w:val="16"/>
                <w:szCs w:val="16"/>
              </w:rPr>
            </w:pPr>
            <w:r w:rsidRPr="00692400">
              <w:rPr>
                <w:rFonts w:cs="Calibri"/>
                <w:color w:val="000000" w:themeColor="text1"/>
                <w:sz w:val="16"/>
                <w:szCs w:val="16"/>
              </w:rPr>
              <w:t>Energy, Transport, Agriculture, IPPU, LULUCF, Waste management</w:t>
            </w:r>
          </w:p>
        </w:tc>
        <w:tc>
          <w:tcPr>
            <w:tcW w:w="1276" w:type="dxa"/>
          </w:tcPr>
          <w:p w14:paraId="59125FF7"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CO</w:t>
            </w:r>
            <w:r w:rsidRPr="00692400">
              <w:rPr>
                <w:rFonts w:cs="Calibri"/>
                <w:color w:val="000000"/>
                <w:sz w:val="16"/>
                <w:szCs w:val="16"/>
                <w:vertAlign w:val="subscript"/>
              </w:rPr>
              <w:t>2</w:t>
            </w:r>
            <w:r w:rsidRPr="00692400">
              <w:rPr>
                <w:rFonts w:cs="Calibri"/>
                <w:color w:val="000000"/>
                <w:sz w:val="16"/>
                <w:szCs w:val="16"/>
              </w:rPr>
              <w:t>, CH</w:t>
            </w:r>
            <w:r w:rsidRPr="00692400">
              <w:rPr>
                <w:rFonts w:cs="Calibri"/>
                <w:color w:val="000000"/>
                <w:sz w:val="16"/>
                <w:szCs w:val="16"/>
                <w:vertAlign w:val="subscript"/>
              </w:rPr>
              <w:t>4</w:t>
            </w:r>
            <w:r w:rsidRPr="00692400">
              <w:rPr>
                <w:rFonts w:cs="Calibri"/>
                <w:color w:val="000000"/>
                <w:sz w:val="16"/>
                <w:szCs w:val="16"/>
              </w:rPr>
              <w:t>, N</w:t>
            </w:r>
            <w:r w:rsidRPr="00692400">
              <w:rPr>
                <w:rFonts w:cs="Calibri"/>
                <w:color w:val="000000"/>
                <w:sz w:val="16"/>
                <w:szCs w:val="16"/>
                <w:vertAlign w:val="subscript"/>
              </w:rPr>
              <w:t>2</w:t>
            </w:r>
            <w:r w:rsidRPr="00692400">
              <w:rPr>
                <w:rFonts w:cs="Calibri"/>
                <w:color w:val="000000"/>
                <w:sz w:val="16"/>
                <w:szCs w:val="16"/>
              </w:rPr>
              <w:t>O, PFCs, HFCs, SF</w:t>
            </w:r>
            <w:r w:rsidRPr="00692400">
              <w:rPr>
                <w:rFonts w:cs="Calibri"/>
                <w:color w:val="000000"/>
                <w:sz w:val="16"/>
                <w:szCs w:val="16"/>
                <w:vertAlign w:val="subscript"/>
              </w:rPr>
              <w:t>6</w:t>
            </w:r>
          </w:p>
        </w:tc>
        <w:tc>
          <w:tcPr>
            <w:tcW w:w="850" w:type="dxa"/>
          </w:tcPr>
          <w:p w14:paraId="30F859FA"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2008</w:t>
            </w:r>
          </w:p>
        </w:tc>
        <w:tc>
          <w:tcPr>
            <w:tcW w:w="1418" w:type="dxa"/>
          </w:tcPr>
          <w:p w14:paraId="42A09E17"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Environmental Protection Authority, Ministry for the Environment, Ministry for Primary Industries</w:t>
            </w:r>
          </w:p>
        </w:tc>
        <w:tc>
          <w:tcPr>
            <w:tcW w:w="992" w:type="dxa"/>
          </w:tcPr>
          <w:p w14:paraId="26DDC321" w14:textId="77777777" w:rsidR="00652773" w:rsidRPr="00692400" w:rsidRDefault="00652773">
            <w:pPr>
              <w:pStyle w:val="TableText"/>
              <w:spacing w:before="40" w:after="40" w:line="240" w:lineRule="auto"/>
              <w:rPr>
                <w:rFonts w:cs="Calibri"/>
                <w:sz w:val="16"/>
                <w:szCs w:val="16"/>
              </w:rPr>
            </w:pPr>
            <w:r w:rsidRPr="00692400">
              <w:rPr>
                <w:rFonts w:cs="Calibri"/>
                <w:sz w:val="16"/>
                <w:szCs w:val="16"/>
              </w:rPr>
              <w:t>119</w:t>
            </w:r>
          </w:p>
        </w:tc>
        <w:tc>
          <w:tcPr>
            <w:tcW w:w="992" w:type="dxa"/>
          </w:tcPr>
          <w:p w14:paraId="24939C9C" w14:textId="77777777" w:rsidR="00652773" w:rsidRPr="00692400" w:rsidRDefault="00652773">
            <w:pPr>
              <w:pStyle w:val="TableText"/>
              <w:spacing w:before="40" w:after="40" w:line="240" w:lineRule="auto"/>
              <w:rPr>
                <w:rFonts w:cs="Calibri"/>
                <w:sz w:val="16"/>
                <w:szCs w:val="16"/>
              </w:rPr>
            </w:pPr>
            <w:r w:rsidRPr="00692400">
              <w:rPr>
                <w:rFonts w:cs="Calibri"/>
                <w:sz w:val="16"/>
                <w:szCs w:val="16"/>
              </w:rPr>
              <w:t>169</w:t>
            </w:r>
          </w:p>
        </w:tc>
        <w:tc>
          <w:tcPr>
            <w:tcW w:w="964" w:type="dxa"/>
          </w:tcPr>
          <w:p w14:paraId="4DEBDB6C" w14:textId="77777777" w:rsidR="00652773" w:rsidRPr="00692400" w:rsidRDefault="00652773">
            <w:pPr>
              <w:pStyle w:val="TableText"/>
              <w:spacing w:before="40" w:after="40" w:line="240" w:lineRule="auto"/>
              <w:rPr>
                <w:rFonts w:cs="Calibri"/>
                <w:sz w:val="16"/>
                <w:szCs w:val="16"/>
              </w:rPr>
            </w:pPr>
            <w:r w:rsidRPr="00692400">
              <w:rPr>
                <w:rFonts w:cs="Calibri"/>
                <w:sz w:val="16"/>
                <w:szCs w:val="16"/>
              </w:rPr>
              <w:t>194</w:t>
            </w:r>
          </w:p>
        </w:tc>
      </w:tr>
      <w:tr w:rsidR="00E872AA" w:rsidRPr="00E711FA" w14:paraId="3AAB9C6E" w14:textId="77777777" w:rsidTr="00642E32">
        <w:trPr>
          <w:gridAfter w:val="1"/>
          <w:wAfter w:w="24" w:type="dxa"/>
        </w:trPr>
        <w:tc>
          <w:tcPr>
            <w:tcW w:w="1134" w:type="dxa"/>
          </w:tcPr>
          <w:p w14:paraId="774308E8" w14:textId="7CC2A60B"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 xml:space="preserve">New Zealand Emissions Trading Scheme (NZ ETS) - Impact on </w:t>
            </w:r>
            <w:r w:rsidR="009571FF">
              <w:rPr>
                <w:rFonts w:cs="Calibri"/>
                <w:color w:val="000000"/>
                <w:sz w:val="16"/>
                <w:szCs w:val="16"/>
              </w:rPr>
              <w:t>A</w:t>
            </w:r>
            <w:r w:rsidRPr="00B11924">
              <w:rPr>
                <w:rFonts w:cs="Calibri"/>
                <w:color w:val="000000"/>
                <w:sz w:val="16"/>
                <w:szCs w:val="16"/>
              </w:rPr>
              <w:t>griculture sector emissions</w:t>
            </w:r>
          </w:p>
        </w:tc>
        <w:tc>
          <w:tcPr>
            <w:tcW w:w="1985" w:type="dxa"/>
          </w:tcPr>
          <w:p w14:paraId="61B9B639" w14:textId="77777777" w:rsidR="00652773" w:rsidRPr="00B11924" w:rsidRDefault="00652773">
            <w:pPr>
              <w:pStyle w:val="TableText"/>
              <w:spacing w:before="40" w:after="40" w:line="240" w:lineRule="auto"/>
              <w:rPr>
                <w:rFonts w:cs="Calibri"/>
                <w:color w:val="000000" w:themeColor="text1"/>
                <w:sz w:val="16"/>
                <w:szCs w:val="16"/>
              </w:rPr>
            </w:pPr>
            <w:r w:rsidRPr="00B11924">
              <w:rPr>
                <w:rFonts w:cs="Calibri"/>
                <w:color w:val="000000" w:themeColor="text1"/>
                <w:sz w:val="16"/>
                <w:szCs w:val="16"/>
              </w:rPr>
              <w:t>See row ‘New Zealand Emissions Trading Scheme (NZ ETS)’ for a description of this policy.</w:t>
            </w:r>
          </w:p>
        </w:tc>
        <w:tc>
          <w:tcPr>
            <w:tcW w:w="1701" w:type="dxa"/>
          </w:tcPr>
          <w:p w14:paraId="2C9091FC"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themeColor="text1"/>
                <w:sz w:val="16"/>
                <w:szCs w:val="16"/>
              </w:rPr>
              <w:t>See row ‘New Zealand Emissions Trading Scheme (NZ ETS)’ for the objectives of this policy.</w:t>
            </w:r>
          </w:p>
        </w:tc>
        <w:tc>
          <w:tcPr>
            <w:tcW w:w="992" w:type="dxa"/>
          </w:tcPr>
          <w:p w14:paraId="413D2BE4"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Regulatory, economic instrument</w:t>
            </w:r>
          </w:p>
        </w:tc>
        <w:tc>
          <w:tcPr>
            <w:tcW w:w="1134" w:type="dxa"/>
          </w:tcPr>
          <w:p w14:paraId="62C99E45" w14:textId="77777777" w:rsidR="00652773" w:rsidRPr="00B11924" w:rsidRDefault="00652773">
            <w:pPr>
              <w:pStyle w:val="TableText"/>
              <w:spacing w:before="40" w:after="40" w:line="240" w:lineRule="auto"/>
              <w:rPr>
                <w:rFonts w:cs="Calibri"/>
                <w:color w:val="000000" w:themeColor="text1"/>
                <w:sz w:val="16"/>
                <w:szCs w:val="16"/>
              </w:rPr>
            </w:pPr>
            <w:r w:rsidRPr="00B11924">
              <w:rPr>
                <w:rFonts w:cs="Calibri"/>
                <w:color w:val="000000" w:themeColor="text1"/>
                <w:sz w:val="16"/>
                <w:szCs w:val="16"/>
              </w:rPr>
              <w:t xml:space="preserve">Implemented </w:t>
            </w:r>
          </w:p>
        </w:tc>
        <w:tc>
          <w:tcPr>
            <w:tcW w:w="1134" w:type="dxa"/>
          </w:tcPr>
          <w:p w14:paraId="6BC9B21A" w14:textId="3B0E78AE" w:rsidR="00652773" w:rsidRPr="00B11924" w:rsidRDefault="00652773">
            <w:pPr>
              <w:pStyle w:val="TableText"/>
              <w:spacing w:before="40" w:after="40" w:line="240" w:lineRule="auto"/>
              <w:rPr>
                <w:rFonts w:cs="Calibri"/>
                <w:color w:val="000000" w:themeColor="text1"/>
                <w:sz w:val="16"/>
                <w:szCs w:val="16"/>
              </w:rPr>
            </w:pPr>
            <w:r w:rsidRPr="00B11924">
              <w:rPr>
                <w:rFonts w:cs="Calibri"/>
                <w:color w:val="000000" w:themeColor="text1"/>
                <w:sz w:val="16"/>
                <w:szCs w:val="16"/>
              </w:rPr>
              <w:t xml:space="preserve">Energy, Transport, Agriculture, </w:t>
            </w:r>
            <w:r w:rsidRPr="00692400">
              <w:rPr>
                <w:rFonts w:cs="Calibri"/>
                <w:color w:val="000000" w:themeColor="text1"/>
                <w:sz w:val="16"/>
                <w:szCs w:val="16"/>
              </w:rPr>
              <w:t xml:space="preserve">IPPU, LULUCF, </w:t>
            </w:r>
            <w:r w:rsidRPr="00B11924">
              <w:rPr>
                <w:rFonts w:cs="Calibri"/>
                <w:color w:val="000000" w:themeColor="text1"/>
                <w:sz w:val="16"/>
                <w:szCs w:val="16"/>
              </w:rPr>
              <w:t>Waste management</w:t>
            </w:r>
          </w:p>
        </w:tc>
        <w:tc>
          <w:tcPr>
            <w:tcW w:w="1276" w:type="dxa"/>
          </w:tcPr>
          <w:p w14:paraId="33C28502"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CO</w:t>
            </w:r>
            <w:r w:rsidRPr="00B11924">
              <w:rPr>
                <w:rFonts w:cs="Calibri"/>
                <w:color w:val="000000"/>
                <w:sz w:val="16"/>
                <w:szCs w:val="16"/>
                <w:vertAlign w:val="subscript"/>
              </w:rPr>
              <w:t>2</w:t>
            </w:r>
            <w:r w:rsidRPr="00B11924">
              <w:rPr>
                <w:rFonts w:cs="Calibri"/>
                <w:color w:val="000000"/>
                <w:sz w:val="16"/>
                <w:szCs w:val="16"/>
              </w:rPr>
              <w:t>, CH</w:t>
            </w:r>
            <w:r w:rsidRPr="00B11924">
              <w:rPr>
                <w:rFonts w:cs="Calibri"/>
                <w:color w:val="000000"/>
                <w:sz w:val="16"/>
                <w:szCs w:val="16"/>
                <w:vertAlign w:val="subscript"/>
              </w:rPr>
              <w:t>4</w:t>
            </w:r>
            <w:r w:rsidRPr="00B11924">
              <w:rPr>
                <w:rFonts w:cs="Calibri"/>
                <w:color w:val="000000"/>
                <w:sz w:val="16"/>
                <w:szCs w:val="16"/>
              </w:rPr>
              <w:t>, N</w:t>
            </w:r>
            <w:r w:rsidRPr="00B11924">
              <w:rPr>
                <w:rFonts w:cs="Calibri"/>
                <w:color w:val="000000"/>
                <w:sz w:val="16"/>
                <w:szCs w:val="16"/>
                <w:vertAlign w:val="subscript"/>
              </w:rPr>
              <w:t>2</w:t>
            </w:r>
            <w:r w:rsidRPr="00B11924">
              <w:rPr>
                <w:rFonts w:cs="Calibri"/>
                <w:color w:val="000000"/>
                <w:sz w:val="16"/>
                <w:szCs w:val="16"/>
              </w:rPr>
              <w:t>O, PFCs, HFCs, SF</w:t>
            </w:r>
            <w:r w:rsidRPr="00B11924">
              <w:rPr>
                <w:rFonts w:cs="Calibri"/>
                <w:color w:val="000000"/>
                <w:sz w:val="16"/>
                <w:szCs w:val="16"/>
                <w:vertAlign w:val="subscript"/>
              </w:rPr>
              <w:t>6</w:t>
            </w:r>
          </w:p>
        </w:tc>
        <w:tc>
          <w:tcPr>
            <w:tcW w:w="850" w:type="dxa"/>
          </w:tcPr>
          <w:p w14:paraId="4875776A"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2008</w:t>
            </w:r>
          </w:p>
        </w:tc>
        <w:tc>
          <w:tcPr>
            <w:tcW w:w="1418" w:type="dxa"/>
          </w:tcPr>
          <w:p w14:paraId="5D73079B"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Environmental Protection Authority, Ministry for the Environment, Ministry for Primary Industries</w:t>
            </w:r>
          </w:p>
        </w:tc>
        <w:tc>
          <w:tcPr>
            <w:tcW w:w="992" w:type="dxa"/>
          </w:tcPr>
          <w:p w14:paraId="20F7A6F1"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304</w:t>
            </w:r>
          </w:p>
        </w:tc>
        <w:tc>
          <w:tcPr>
            <w:tcW w:w="992" w:type="dxa"/>
          </w:tcPr>
          <w:p w14:paraId="57CC3907"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485</w:t>
            </w:r>
          </w:p>
        </w:tc>
        <w:tc>
          <w:tcPr>
            <w:tcW w:w="964" w:type="dxa"/>
          </w:tcPr>
          <w:p w14:paraId="50B49457"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1,125</w:t>
            </w:r>
          </w:p>
        </w:tc>
      </w:tr>
      <w:tr w:rsidR="00E872AA" w:rsidRPr="00E711FA" w14:paraId="50C69125" w14:textId="77777777" w:rsidTr="006E5BDE">
        <w:trPr>
          <w:gridAfter w:val="1"/>
          <w:wAfter w:w="24" w:type="dxa"/>
        </w:trPr>
        <w:tc>
          <w:tcPr>
            <w:tcW w:w="1134" w:type="dxa"/>
          </w:tcPr>
          <w:p w14:paraId="649D0518"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New Zealand Emissions Trading Scheme (NZ ETS) – Impact on IPPU sector emissions</w:t>
            </w:r>
          </w:p>
        </w:tc>
        <w:tc>
          <w:tcPr>
            <w:tcW w:w="1985" w:type="dxa"/>
          </w:tcPr>
          <w:p w14:paraId="76D96173" w14:textId="77777777" w:rsidR="00652773" w:rsidRPr="00692400" w:rsidRDefault="00652773">
            <w:pPr>
              <w:pStyle w:val="TableText"/>
              <w:spacing w:before="40" w:after="40" w:line="240" w:lineRule="auto"/>
              <w:rPr>
                <w:rFonts w:cs="Calibri"/>
                <w:color w:val="000000" w:themeColor="text1"/>
                <w:sz w:val="16"/>
                <w:szCs w:val="16"/>
              </w:rPr>
            </w:pPr>
            <w:r w:rsidRPr="00692400">
              <w:rPr>
                <w:rFonts w:cs="Calibri"/>
                <w:color w:val="000000" w:themeColor="text1"/>
                <w:sz w:val="16"/>
                <w:szCs w:val="16"/>
              </w:rPr>
              <w:t>See row ‘New Zealand Emissions Trading Scheme (NZ ETS)’ for a description of this policy.</w:t>
            </w:r>
          </w:p>
        </w:tc>
        <w:tc>
          <w:tcPr>
            <w:tcW w:w="1701" w:type="dxa"/>
          </w:tcPr>
          <w:p w14:paraId="0C7C8306"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themeColor="text1"/>
                <w:sz w:val="16"/>
                <w:szCs w:val="16"/>
              </w:rPr>
              <w:t>See row ‘New Zealand Emissions Trading Scheme (NZ ETS)’ for the objectives of this policy.</w:t>
            </w:r>
          </w:p>
        </w:tc>
        <w:tc>
          <w:tcPr>
            <w:tcW w:w="992" w:type="dxa"/>
          </w:tcPr>
          <w:p w14:paraId="1FBB359A"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Regulatory, economic instrument</w:t>
            </w:r>
          </w:p>
        </w:tc>
        <w:tc>
          <w:tcPr>
            <w:tcW w:w="1134" w:type="dxa"/>
          </w:tcPr>
          <w:p w14:paraId="6C04262A" w14:textId="77777777" w:rsidR="00652773" w:rsidRPr="00692400" w:rsidRDefault="00652773">
            <w:pPr>
              <w:pStyle w:val="TableText"/>
              <w:spacing w:before="40" w:after="40" w:line="240" w:lineRule="auto"/>
              <w:rPr>
                <w:rFonts w:cs="Calibri"/>
                <w:color w:val="000000" w:themeColor="text1"/>
                <w:sz w:val="16"/>
                <w:szCs w:val="16"/>
              </w:rPr>
            </w:pPr>
            <w:r w:rsidRPr="00692400">
              <w:rPr>
                <w:rFonts w:cs="Calibri"/>
                <w:color w:val="000000" w:themeColor="text1"/>
                <w:sz w:val="16"/>
                <w:szCs w:val="16"/>
              </w:rPr>
              <w:t xml:space="preserve">Implemented </w:t>
            </w:r>
          </w:p>
        </w:tc>
        <w:tc>
          <w:tcPr>
            <w:tcW w:w="1134" w:type="dxa"/>
          </w:tcPr>
          <w:p w14:paraId="76391590" w14:textId="21C45702" w:rsidR="00652773" w:rsidRPr="00692400" w:rsidRDefault="00652773">
            <w:pPr>
              <w:pStyle w:val="TableText"/>
              <w:spacing w:before="40" w:after="40" w:line="240" w:lineRule="auto"/>
              <w:rPr>
                <w:rFonts w:cs="Calibri"/>
                <w:color w:val="000000" w:themeColor="text1"/>
                <w:sz w:val="16"/>
                <w:szCs w:val="16"/>
              </w:rPr>
            </w:pPr>
            <w:r w:rsidRPr="00692400">
              <w:rPr>
                <w:rFonts w:cs="Calibri"/>
                <w:color w:val="000000" w:themeColor="text1"/>
                <w:sz w:val="16"/>
                <w:szCs w:val="16"/>
              </w:rPr>
              <w:t>Energy, Transport, Agriculture, IPPU, LULUCF, Waste management</w:t>
            </w:r>
          </w:p>
        </w:tc>
        <w:tc>
          <w:tcPr>
            <w:tcW w:w="1276" w:type="dxa"/>
          </w:tcPr>
          <w:p w14:paraId="06FD1C58"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CO</w:t>
            </w:r>
            <w:r w:rsidRPr="00692400">
              <w:rPr>
                <w:rFonts w:cs="Calibri"/>
                <w:color w:val="000000"/>
                <w:sz w:val="16"/>
                <w:szCs w:val="16"/>
                <w:vertAlign w:val="subscript"/>
              </w:rPr>
              <w:t>2</w:t>
            </w:r>
            <w:r w:rsidRPr="00692400">
              <w:rPr>
                <w:rFonts w:cs="Calibri"/>
                <w:color w:val="000000"/>
                <w:sz w:val="16"/>
                <w:szCs w:val="16"/>
              </w:rPr>
              <w:t>, CH</w:t>
            </w:r>
            <w:r w:rsidRPr="00692400">
              <w:rPr>
                <w:rFonts w:cs="Calibri"/>
                <w:color w:val="000000"/>
                <w:sz w:val="16"/>
                <w:szCs w:val="16"/>
                <w:vertAlign w:val="subscript"/>
              </w:rPr>
              <w:t>4</w:t>
            </w:r>
            <w:r w:rsidRPr="00692400">
              <w:rPr>
                <w:rFonts w:cs="Calibri"/>
                <w:color w:val="000000"/>
                <w:sz w:val="16"/>
                <w:szCs w:val="16"/>
              </w:rPr>
              <w:t>, N</w:t>
            </w:r>
            <w:r w:rsidRPr="00692400">
              <w:rPr>
                <w:rFonts w:cs="Calibri"/>
                <w:color w:val="000000"/>
                <w:sz w:val="16"/>
                <w:szCs w:val="16"/>
                <w:vertAlign w:val="subscript"/>
              </w:rPr>
              <w:t>2</w:t>
            </w:r>
            <w:r w:rsidRPr="00692400">
              <w:rPr>
                <w:rFonts w:cs="Calibri"/>
                <w:color w:val="000000"/>
                <w:sz w:val="16"/>
                <w:szCs w:val="16"/>
              </w:rPr>
              <w:t>O, PFCs, HFCs, SF</w:t>
            </w:r>
            <w:r w:rsidRPr="00692400">
              <w:rPr>
                <w:rFonts w:cs="Calibri"/>
                <w:color w:val="000000"/>
                <w:sz w:val="16"/>
                <w:szCs w:val="16"/>
                <w:vertAlign w:val="subscript"/>
              </w:rPr>
              <w:t>6</w:t>
            </w:r>
          </w:p>
        </w:tc>
        <w:tc>
          <w:tcPr>
            <w:tcW w:w="850" w:type="dxa"/>
          </w:tcPr>
          <w:p w14:paraId="37350627"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2008</w:t>
            </w:r>
          </w:p>
        </w:tc>
        <w:tc>
          <w:tcPr>
            <w:tcW w:w="1418" w:type="dxa"/>
          </w:tcPr>
          <w:p w14:paraId="0839EA20"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Environmental Protection Authority, Ministry for the Environment, Ministry for Primary Industries</w:t>
            </w:r>
          </w:p>
        </w:tc>
        <w:tc>
          <w:tcPr>
            <w:tcW w:w="992" w:type="dxa"/>
          </w:tcPr>
          <w:p w14:paraId="30D78CF1" w14:textId="77777777" w:rsidR="00652773" w:rsidRPr="00692400" w:rsidRDefault="00652773">
            <w:pPr>
              <w:pStyle w:val="TableText"/>
              <w:spacing w:before="40" w:after="40" w:line="240" w:lineRule="auto"/>
              <w:rPr>
                <w:rFonts w:cs="Calibri"/>
                <w:sz w:val="16"/>
                <w:szCs w:val="16"/>
              </w:rPr>
            </w:pPr>
            <w:r w:rsidRPr="00692400">
              <w:rPr>
                <w:rFonts w:cs="Calibri"/>
                <w:sz w:val="16"/>
                <w:szCs w:val="16"/>
              </w:rPr>
              <w:t>163</w:t>
            </w:r>
          </w:p>
        </w:tc>
        <w:tc>
          <w:tcPr>
            <w:tcW w:w="992" w:type="dxa"/>
          </w:tcPr>
          <w:p w14:paraId="5846BFAF" w14:textId="77777777" w:rsidR="00652773" w:rsidRPr="00692400" w:rsidRDefault="00652773">
            <w:pPr>
              <w:pStyle w:val="TableText"/>
              <w:spacing w:before="40" w:after="40" w:line="240" w:lineRule="auto"/>
              <w:rPr>
                <w:rFonts w:cs="Calibri"/>
                <w:sz w:val="16"/>
                <w:szCs w:val="16"/>
              </w:rPr>
            </w:pPr>
            <w:r w:rsidRPr="00692400">
              <w:rPr>
                <w:rFonts w:cs="Calibri"/>
                <w:sz w:val="16"/>
                <w:szCs w:val="16"/>
              </w:rPr>
              <w:t>215</w:t>
            </w:r>
          </w:p>
        </w:tc>
        <w:tc>
          <w:tcPr>
            <w:tcW w:w="964" w:type="dxa"/>
          </w:tcPr>
          <w:p w14:paraId="2D347704" w14:textId="77777777" w:rsidR="00652773" w:rsidRPr="00692400" w:rsidRDefault="00652773">
            <w:pPr>
              <w:pStyle w:val="TableText"/>
              <w:spacing w:before="40" w:after="40" w:line="240" w:lineRule="auto"/>
              <w:rPr>
                <w:rFonts w:cs="Calibri"/>
                <w:sz w:val="16"/>
                <w:szCs w:val="16"/>
              </w:rPr>
            </w:pPr>
            <w:r w:rsidRPr="00692400">
              <w:rPr>
                <w:rFonts w:cs="Calibri"/>
                <w:sz w:val="16"/>
                <w:szCs w:val="16"/>
              </w:rPr>
              <w:t>358</w:t>
            </w:r>
          </w:p>
        </w:tc>
      </w:tr>
      <w:tr w:rsidR="00E872AA" w:rsidRPr="00E711FA" w14:paraId="5347F9E9" w14:textId="77777777" w:rsidTr="006E5BDE">
        <w:trPr>
          <w:gridAfter w:val="1"/>
          <w:wAfter w:w="24" w:type="dxa"/>
        </w:trPr>
        <w:tc>
          <w:tcPr>
            <w:tcW w:w="1134" w:type="dxa"/>
          </w:tcPr>
          <w:p w14:paraId="6CBB1739" w14:textId="145F458F"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 xml:space="preserve">New Zealand Emissions Trading Scheme (NZ ETS) – Impact on </w:t>
            </w:r>
            <w:r w:rsidR="00433738">
              <w:rPr>
                <w:rFonts w:cs="Calibri"/>
                <w:color w:val="000000"/>
                <w:sz w:val="16"/>
                <w:szCs w:val="16"/>
              </w:rPr>
              <w:t>W</w:t>
            </w:r>
            <w:r w:rsidRPr="00692400">
              <w:rPr>
                <w:rFonts w:cs="Calibri"/>
                <w:color w:val="000000"/>
                <w:sz w:val="16"/>
                <w:szCs w:val="16"/>
              </w:rPr>
              <w:t>aste sector emissions</w:t>
            </w:r>
          </w:p>
        </w:tc>
        <w:tc>
          <w:tcPr>
            <w:tcW w:w="1985" w:type="dxa"/>
          </w:tcPr>
          <w:p w14:paraId="457B6E56" w14:textId="77777777" w:rsidR="00652773" w:rsidRDefault="00652773">
            <w:pPr>
              <w:pStyle w:val="TableText"/>
              <w:spacing w:before="40" w:after="40" w:line="240" w:lineRule="auto"/>
              <w:rPr>
                <w:rFonts w:cs="Calibri"/>
                <w:color w:val="000000" w:themeColor="text1"/>
                <w:sz w:val="16"/>
                <w:szCs w:val="16"/>
              </w:rPr>
            </w:pPr>
            <w:r w:rsidRPr="00692400">
              <w:rPr>
                <w:rFonts w:cs="Calibri"/>
                <w:color w:val="000000" w:themeColor="text1"/>
                <w:sz w:val="16"/>
                <w:szCs w:val="16"/>
              </w:rPr>
              <w:t>See row ‘New Zealand Emissions Trading Scheme (NZ ETS)’ for a description of this policy.</w:t>
            </w:r>
          </w:p>
          <w:p w14:paraId="6076DD4A" w14:textId="56622637" w:rsidR="00652773" w:rsidRPr="00692400" w:rsidRDefault="00FC1B43">
            <w:pPr>
              <w:pStyle w:val="TableText"/>
              <w:spacing w:before="40" w:after="40" w:line="240" w:lineRule="auto"/>
              <w:rPr>
                <w:rFonts w:cs="Calibri"/>
                <w:color w:val="000000" w:themeColor="text1"/>
                <w:sz w:val="16"/>
                <w:szCs w:val="16"/>
              </w:rPr>
            </w:pPr>
            <w:r w:rsidRPr="00FC1B43">
              <w:rPr>
                <w:rFonts w:cs="Calibri"/>
                <w:color w:val="000000" w:themeColor="text1"/>
                <w:sz w:val="16"/>
                <w:szCs w:val="16"/>
              </w:rPr>
              <w:t>The estimates of GHG emissions reductions for this policy also include those from the National Environmental Standard for Air Quality.</w:t>
            </w:r>
          </w:p>
        </w:tc>
        <w:tc>
          <w:tcPr>
            <w:tcW w:w="1701" w:type="dxa"/>
          </w:tcPr>
          <w:p w14:paraId="4B145C30"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themeColor="text1"/>
                <w:sz w:val="16"/>
                <w:szCs w:val="16"/>
              </w:rPr>
              <w:t>See row ‘New Zealand Emissions Trading Scheme (NZ ETS)’ for the objectives of this policy.</w:t>
            </w:r>
          </w:p>
        </w:tc>
        <w:tc>
          <w:tcPr>
            <w:tcW w:w="992" w:type="dxa"/>
          </w:tcPr>
          <w:p w14:paraId="67218463"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Regulatory, economic instrument</w:t>
            </w:r>
          </w:p>
        </w:tc>
        <w:tc>
          <w:tcPr>
            <w:tcW w:w="1134" w:type="dxa"/>
          </w:tcPr>
          <w:p w14:paraId="0BE0B9D6" w14:textId="77777777" w:rsidR="00652773" w:rsidRPr="00692400" w:rsidRDefault="00652773">
            <w:pPr>
              <w:pStyle w:val="TableText"/>
              <w:spacing w:before="40" w:after="40" w:line="240" w:lineRule="auto"/>
              <w:rPr>
                <w:rFonts w:cs="Calibri"/>
                <w:color w:val="000000" w:themeColor="text1"/>
                <w:sz w:val="16"/>
                <w:szCs w:val="16"/>
              </w:rPr>
            </w:pPr>
            <w:r w:rsidRPr="00692400">
              <w:rPr>
                <w:rFonts w:cs="Calibri"/>
                <w:color w:val="000000" w:themeColor="text1"/>
                <w:sz w:val="16"/>
                <w:szCs w:val="16"/>
              </w:rPr>
              <w:t xml:space="preserve">Implemented </w:t>
            </w:r>
          </w:p>
        </w:tc>
        <w:tc>
          <w:tcPr>
            <w:tcW w:w="1134" w:type="dxa"/>
          </w:tcPr>
          <w:p w14:paraId="4746017C" w14:textId="044ABC8D" w:rsidR="00652773" w:rsidRPr="00692400" w:rsidRDefault="00652773">
            <w:pPr>
              <w:pStyle w:val="TableText"/>
              <w:spacing w:before="40" w:after="40" w:line="240" w:lineRule="auto"/>
              <w:rPr>
                <w:rFonts w:cs="Calibri"/>
                <w:color w:val="000000" w:themeColor="text1"/>
                <w:sz w:val="16"/>
                <w:szCs w:val="16"/>
              </w:rPr>
            </w:pPr>
            <w:r w:rsidRPr="00692400">
              <w:rPr>
                <w:rFonts w:cs="Calibri"/>
                <w:color w:val="000000" w:themeColor="text1"/>
                <w:sz w:val="16"/>
                <w:szCs w:val="16"/>
              </w:rPr>
              <w:t>Energy, Transport, Agriculture, IPPU, LULUCF, Waste management</w:t>
            </w:r>
          </w:p>
        </w:tc>
        <w:tc>
          <w:tcPr>
            <w:tcW w:w="1276" w:type="dxa"/>
          </w:tcPr>
          <w:p w14:paraId="63B3DB78"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CO</w:t>
            </w:r>
            <w:r w:rsidRPr="00692400">
              <w:rPr>
                <w:rFonts w:cs="Calibri"/>
                <w:color w:val="000000"/>
                <w:sz w:val="16"/>
                <w:szCs w:val="16"/>
                <w:vertAlign w:val="subscript"/>
              </w:rPr>
              <w:t>2</w:t>
            </w:r>
            <w:r w:rsidRPr="00692400">
              <w:rPr>
                <w:rFonts w:cs="Calibri"/>
                <w:color w:val="000000"/>
                <w:sz w:val="16"/>
                <w:szCs w:val="16"/>
              </w:rPr>
              <w:t>, CH</w:t>
            </w:r>
            <w:r w:rsidRPr="00692400">
              <w:rPr>
                <w:rFonts w:cs="Calibri"/>
                <w:color w:val="000000"/>
                <w:sz w:val="16"/>
                <w:szCs w:val="16"/>
                <w:vertAlign w:val="subscript"/>
              </w:rPr>
              <w:t>4</w:t>
            </w:r>
            <w:r w:rsidRPr="00692400">
              <w:rPr>
                <w:rFonts w:cs="Calibri"/>
                <w:color w:val="000000"/>
                <w:sz w:val="16"/>
                <w:szCs w:val="16"/>
              </w:rPr>
              <w:t>, N</w:t>
            </w:r>
            <w:r w:rsidRPr="00692400">
              <w:rPr>
                <w:rFonts w:cs="Calibri"/>
                <w:color w:val="000000"/>
                <w:sz w:val="16"/>
                <w:szCs w:val="16"/>
                <w:vertAlign w:val="subscript"/>
              </w:rPr>
              <w:t>2</w:t>
            </w:r>
            <w:r w:rsidRPr="00692400">
              <w:rPr>
                <w:rFonts w:cs="Calibri"/>
                <w:color w:val="000000"/>
                <w:sz w:val="16"/>
                <w:szCs w:val="16"/>
              </w:rPr>
              <w:t>O, PFCs, HFCs, SF</w:t>
            </w:r>
            <w:r w:rsidRPr="00692400">
              <w:rPr>
                <w:rFonts w:cs="Calibri"/>
                <w:color w:val="000000"/>
                <w:sz w:val="16"/>
                <w:szCs w:val="16"/>
                <w:vertAlign w:val="subscript"/>
              </w:rPr>
              <w:t>6</w:t>
            </w:r>
          </w:p>
        </w:tc>
        <w:tc>
          <w:tcPr>
            <w:tcW w:w="850" w:type="dxa"/>
          </w:tcPr>
          <w:p w14:paraId="05F77A3E"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2008</w:t>
            </w:r>
          </w:p>
        </w:tc>
        <w:tc>
          <w:tcPr>
            <w:tcW w:w="1418" w:type="dxa"/>
          </w:tcPr>
          <w:p w14:paraId="0219425E" w14:textId="77777777" w:rsidR="00652773" w:rsidRPr="00692400" w:rsidRDefault="00652773">
            <w:pPr>
              <w:pStyle w:val="TableText"/>
              <w:spacing w:before="40" w:after="40" w:line="240" w:lineRule="auto"/>
              <w:rPr>
                <w:rFonts w:cs="Calibri"/>
                <w:color w:val="000000"/>
                <w:sz w:val="16"/>
                <w:szCs w:val="16"/>
              </w:rPr>
            </w:pPr>
            <w:r w:rsidRPr="00692400">
              <w:rPr>
                <w:rFonts w:cs="Calibri"/>
                <w:color w:val="000000"/>
                <w:sz w:val="16"/>
                <w:szCs w:val="16"/>
              </w:rPr>
              <w:t>Environmental Protection Authority, Ministry for the Environment, Ministry for Primary Industries</w:t>
            </w:r>
          </w:p>
        </w:tc>
        <w:tc>
          <w:tcPr>
            <w:tcW w:w="992" w:type="dxa"/>
          </w:tcPr>
          <w:p w14:paraId="1E13B936" w14:textId="77777777" w:rsidR="00652773" w:rsidRPr="00692400" w:rsidRDefault="00652773">
            <w:pPr>
              <w:pStyle w:val="TableText"/>
              <w:spacing w:before="40" w:after="40" w:line="240" w:lineRule="auto"/>
              <w:rPr>
                <w:rFonts w:cs="Calibri"/>
                <w:sz w:val="16"/>
                <w:szCs w:val="16"/>
              </w:rPr>
            </w:pPr>
            <w:r w:rsidRPr="00692400">
              <w:rPr>
                <w:rFonts w:cs="Calibri"/>
                <w:sz w:val="16"/>
                <w:szCs w:val="16"/>
              </w:rPr>
              <w:t>669</w:t>
            </w:r>
          </w:p>
        </w:tc>
        <w:tc>
          <w:tcPr>
            <w:tcW w:w="992" w:type="dxa"/>
          </w:tcPr>
          <w:p w14:paraId="75B514C6" w14:textId="77777777" w:rsidR="00652773" w:rsidRPr="00692400" w:rsidRDefault="00652773">
            <w:pPr>
              <w:pStyle w:val="TableText"/>
              <w:spacing w:before="40" w:after="40" w:line="240" w:lineRule="auto"/>
              <w:rPr>
                <w:rFonts w:cs="Calibri"/>
                <w:sz w:val="16"/>
                <w:szCs w:val="16"/>
              </w:rPr>
            </w:pPr>
            <w:r w:rsidRPr="00692400">
              <w:rPr>
                <w:rFonts w:cs="Calibri"/>
                <w:sz w:val="16"/>
                <w:szCs w:val="16"/>
              </w:rPr>
              <w:t>629</w:t>
            </w:r>
          </w:p>
        </w:tc>
        <w:tc>
          <w:tcPr>
            <w:tcW w:w="964" w:type="dxa"/>
          </w:tcPr>
          <w:p w14:paraId="3EEADDB3" w14:textId="77777777" w:rsidR="00652773" w:rsidRPr="00692400" w:rsidRDefault="00652773">
            <w:pPr>
              <w:pStyle w:val="TableText"/>
              <w:spacing w:before="40" w:after="40" w:line="240" w:lineRule="auto"/>
              <w:rPr>
                <w:rFonts w:cs="Calibri"/>
                <w:sz w:val="16"/>
                <w:szCs w:val="16"/>
              </w:rPr>
            </w:pPr>
            <w:r w:rsidRPr="00692400">
              <w:rPr>
                <w:rFonts w:cs="Calibri"/>
                <w:sz w:val="16"/>
                <w:szCs w:val="16"/>
              </w:rPr>
              <w:t>706</w:t>
            </w:r>
          </w:p>
        </w:tc>
      </w:tr>
      <w:tr w:rsidR="00E872AA" w:rsidRPr="00E711FA" w14:paraId="0FFE67F9" w14:textId="77777777" w:rsidTr="006E5BDE">
        <w:trPr>
          <w:gridAfter w:val="1"/>
          <w:wAfter w:w="24" w:type="dxa"/>
        </w:trPr>
        <w:tc>
          <w:tcPr>
            <w:tcW w:w="1134" w:type="dxa"/>
          </w:tcPr>
          <w:p w14:paraId="0B4B5057"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New Zealand Emissions Trading Scheme (NZ ETS) - LULUCF</w:t>
            </w:r>
          </w:p>
        </w:tc>
        <w:tc>
          <w:tcPr>
            <w:tcW w:w="1985" w:type="dxa"/>
          </w:tcPr>
          <w:p w14:paraId="6355D446" w14:textId="77777777" w:rsidR="00652773" w:rsidRPr="00B11924" w:rsidRDefault="00652773">
            <w:pPr>
              <w:pStyle w:val="TableText"/>
              <w:spacing w:before="40" w:after="40" w:line="240" w:lineRule="auto"/>
              <w:rPr>
                <w:rFonts w:cs="Calibri"/>
                <w:color w:val="000000" w:themeColor="text1"/>
                <w:sz w:val="16"/>
                <w:szCs w:val="16"/>
              </w:rPr>
            </w:pPr>
            <w:r w:rsidRPr="00B11924">
              <w:rPr>
                <w:rFonts w:cs="Calibri"/>
                <w:sz w:val="16"/>
                <w:szCs w:val="16"/>
              </w:rPr>
              <w:t>The NZ ETS is an important tool for meeting domestic and international climate change targets. Owners of post-1989 eligible forest can earn NZUs for carbon sequestered. There are also liabilities for forest carbon loss, via harvesting or deforestation.</w:t>
            </w:r>
          </w:p>
        </w:tc>
        <w:tc>
          <w:tcPr>
            <w:tcW w:w="1701" w:type="dxa"/>
          </w:tcPr>
          <w:p w14:paraId="6EBD63E2" w14:textId="77777777" w:rsidR="00652773" w:rsidRPr="00B11924" w:rsidRDefault="00652773">
            <w:pPr>
              <w:pStyle w:val="TableText"/>
              <w:spacing w:before="40" w:after="40" w:line="240" w:lineRule="auto"/>
              <w:rPr>
                <w:rFonts w:cs="Calibri"/>
                <w:color w:val="000000"/>
                <w:sz w:val="16"/>
                <w:szCs w:val="16"/>
              </w:rPr>
            </w:pPr>
            <w:r w:rsidRPr="00B11924">
              <w:rPr>
                <w:rFonts w:cs="Calibri"/>
                <w:sz w:val="16"/>
                <w:szCs w:val="16"/>
              </w:rPr>
              <w:t>Promote afforestation and disincentivise planted forest deforestation.</w:t>
            </w:r>
          </w:p>
        </w:tc>
        <w:tc>
          <w:tcPr>
            <w:tcW w:w="992" w:type="dxa"/>
          </w:tcPr>
          <w:p w14:paraId="72ADC8DD" w14:textId="77777777" w:rsidR="00652773" w:rsidRPr="00B11924" w:rsidRDefault="00652773">
            <w:pPr>
              <w:pStyle w:val="TableText"/>
              <w:spacing w:before="40" w:after="40" w:line="240" w:lineRule="auto"/>
              <w:rPr>
                <w:rFonts w:cs="Calibri"/>
                <w:color w:val="000000"/>
                <w:sz w:val="16"/>
                <w:szCs w:val="16"/>
              </w:rPr>
            </w:pPr>
            <w:r w:rsidRPr="00B11924">
              <w:rPr>
                <w:rFonts w:cs="Calibri"/>
                <w:sz w:val="16"/>
                <w:szCs w:val="16"/>
              </w:rPr>
              <w:t>Economic instrument</w:t>
            </w:r>
          </w:p>
        </w:tc>
        <w:tc>
          <w:tcPr>
            <w:tcW w:w="1134" w:type="dxa"/>
          </w:tcPr>
          <w:p w14:paraId="0FFFB88E" w14:textId="77777777" w:rsidR="00652773" w:rsidRPr="00B11924" w:rsidRDefault="00652773">
            <w:pPr>
              <w:pStyle w:val="TableText"/>
              <w:spacing w:before="40" w:after="40" w:line="240" w:lineRule="auto"/>
              <w:rPr>
                <w:rFonts w:cs="Calibri"/>
                <w:color w:val="000000" w:themeColor="text1"/>
                <w:sz w:val="16"/>
                <w:szCs w:val="16"/>
              </w:rPr>
            </w:pPr>
            <w:r w:rsidRPr="00B11924">
              <w:rPr>
                <w:rFonts w:cs="Calibri"/>
                <w:sz w:val="16"/>
                <w:szCs w:val="16"/>
              </w:rPr>
              <w:t xml:space="preserve">Implemented </w:t>
            </w:r>
          </w:p>
        </w:tc>
        <w:tc>
          <w:tcPr>
            <w:tcW w:w="1134" w:type="dxa"/>
          </w:tcPr>
          <w:p w14:paraId="6057D336" w14:textId="77777777" w:rsidR="00652773" w:rsidRPr="00B11924" w:rsidRDefault="00652773">
            <w:pPr>
              <w:pStyle w:val="TableText"/>
              <w:spacing w:before="40" w:after="40" w:line="240" w:lineRule="auto"/>
              <w:rPr>
                <w:rFonts w:cs="Calibri"/>
                <w:color w:val="000000" w:themeColor="text1"/>
                <w:sz w:val="16"/>
                <w:szCs w:val="16"/>
              </w:rPr>
            </w:pPr>
            <w:r w:rsidRPr="00B11924">
              <w:rPr>
                <w:rFonts w:cs="Calibri"/>
                <w:sz w:val="16"/>
                <w:szCs w:val="16"/>
              </w:rPr>
              <w:t>LULUCF</w:t>
            </w:r>
          </w:p>
        </w:tc>
        <w:tc>
          <w:tcPr>
            <w:tcW w:w="1276" w:type="dxa"/>
          </w:tcPr>
          <w:p w14:paraId="244E9E3A" w14:textId="77777777" w:rsidR="00652773" w:rsidRPr="00B11924" w:rsidRDefault="00652773">
            <w:pPr>
              <w:pStyle w:val="TableText"/>
              <w:spacing w:before="40" w:after="40" w:line="240" w:lineRule="auto"/>
              <w:rPr>
                <w:rFonts w:cs="Calibri"/>
                <w:color w:val="000000"/>
                <w:sz w:val="16"/>
                <w:szCs w:val="16"/>
              </w:rPr>
            </w:pPr>
            <w:r w:rsidRPr="00B11924">
              <w:rPr>
                <w:rFonts w:cs="Calibri"/>
                <w:sz w:val="16"/>
                <w:szCs w:val="16"/>
              </w:rPr>
              <w:t>CO</w:t>
            </w:r>
            <w:r w:rsidRPr="00B11924">
              <w:rPr>
                <w:rFonts w:cs="Calibri"/>
                <w:sz w:val="16"/>
                <w:szCs w:val="16"/>
                <w:vertAlign w:val="subscript"/>
              </w:rPr>
              <w:t>2</w:t>
            </w:r>
          </w:p>
        </w:tc>
        <w:tc>
          <w:tcPr>
            <w:tcW w:w="850" w:type="dxa"/>
          </w:tcPr>
          <w:p w14:paraId="7718E837" w14:textId="77777777" w:rsidR="00652773" w:rsidRPr="00B11924" w:rsidRDefault="00652773">
            <w:pPr>
              <w:pStyle w:val="TableText"/>
              <w:spacing w:before="40" w:after="40" w:line="240" w:lineRule="auto"/>
              <w:rPr>
                <w:rFonts w:cs="Calibri"/>
                <w:color w:val="000000"/>
                <w:sz w:val="16"/>
                <w:szCs w:val="16"/>
              </w:rPr>
            </w:pPr>
            <w:r w:rsidRPr="00B11924">
              <w:rPr>
                <w:rFonts w:cs="Calibri"/>
                <w:sz w:val="16"/>
                <w:szCs w:val="16"/>
              </w:rPr>
              <w:t>2008</w:t>
            </w:r>
          </w:p>
        </w:tc>
        <w:tc>
          <w:tcPr>
            <w:tcW w:w="1418" w:type="dxa"/>
          </w:tcPr>
          <w:p w14:paraId="11917B52" w14:textId="77777777" w:rsidR="00652773" w:rsidRPr="00B11924" w:rsidRDefault="00652773">
            <w:pPr>
              <w:pStyle w:val="TableText"/>
              <w:spacing w:before="40" w:after="40" w:line="240" w:lineRule="auto"/>
              <w:rPr>
                <w:rFonts w:cs="Calibri"/>
                <w:color w:val="000000"/>
                <w:sz w:val="16"/>
                <w:szCs w:val="16"/>
              </w:rPr>
            </w:pPr>
            <w:r w:rsidRPr="00B11924">
              <w:rPr>
                <w:rFonts w:cs="Calibri"/>
                <w:sz w:val="16"/>
                <w:szCs w:val="16"/>
              </w:rPr>
              <w:t>Ministry for Primary Industries</w:t>
            </w:r>
          </w:p>
        </w:tc>
        <w:tc>
          <w:tcPr>
            <w:tcW w:w="992" w:type="dxa"/>
          </w:tcPr>
          <w:p w14:paraId="1534BDA7"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299</w:t>
            </w:r>
          </w:p>
        </w:tc>
        <w:tc>
          <w:tcPr>
            <w:tcW w:w="992" w:type="dxa"/>
          </w:tcPr>
          <w:p w14:paraId="235C6060"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–104</w:t>
            </w:r>
          </w:p>
        </w:tc>
        <w:tc>
          <w:tcPr>
            <w:tcW w:w="964" w:type="dxa"/>
          </w:tcPr>
          <w:p w14:paraId="29E9F8E6"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10,440</w:t>
            </w:r>
          </w:p>
        </w:tc>
      </w:tr>
      <w:tr w:rsidR="00E872AA" w:rsidRPr="00E711FA" w14:paraId="1556B7D0" w14:textId="77777777" w:rsidTr="006E5BDE">
        <w:trPr>
          <w:gridAfter w:val="1"/>
          <w:wAfter w:w="24" w:type="dxa"/>
        </w:trPr>
        <w:tc>
          <w:tcPr>
            <w:tcW w:w="1134" w:type="dxa"/>
          </w:tcPr>
          <w:p w14:paraId="2DE77BD2"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First emissions reduction plan</w:t>
            </w:r>
          </w:p>
        </w:tc>
        <w:tc>
          <w:tcPr>
            <w:tcW w:w="1985" w:type="dxa"/>
          </w:tcPr>
          <w:p w14:paraId="24860241" w14:textId="0A6D6A7F" w:rsidR="00652773" w:rsidRPr="00B11924" w:rsidRDefault="00652773">
            <w:pPr>
              <w:pStyle w:val="TableText"/>
              <w:spacing w:before="40" w:after="40" w:line="240" w:lineRule="auto"/>
              <w:rPr>
                <w:rFonts w:cs="Calibri"/>
                <w:sz w:val="16"/>
                <w:szCs w:val="16"/>
              </w:rPr>
            </w:pPr>
            <w:r w:rsidRPr="00B11924">
              <w:rPr>
                <w:rFonts w:cs="Calibri"/>
                <w:color w:val="000000"/>
                <w:sz w:val="16"/>
                <w:szCs w:val="16"/>
              </w:rPr>
              <w:t xml:space="preserve">The policies and strategies in the </w:t>
            </w:r>
            <w:r w:rsidR="00991CE9">
              <w:rPr>
                <w:rFonts w:cs="Calibri"/>
                <w:color w:val="000000"/>
                <w:sz w:val="16"/>
                <w:szCs w:val="16"/>
              </w:rPr>
              <w:t xml:space="preserve">first </w:t>
            </w:r>
            <w:r w:rsidRPr="00B11924">
              <w:rPr>
                <w:rFonts w:cs="Calibri"/>
                <w:color w:val="000000"/>
                <w:sz w:val="16"/>
                <w:szCs w:val="16"/>
              </w:rPr>
              <w:t>emissions reduction plan form a package with an aim to reduce emissions in key sectors of the economy, including sector-specific policies.</w:t>
            </w:r>
          </w:p>
        </w:tc>
        <w:tc>
          <w:tcPr>
            <w:tcW w:w="1701" w:type="dxa"/>
          </w:tcPr>
          <w:p w14:paraId="44113EB8" w14:textId="77777777" w:rsidR="00652773" w:rsidRPr="00B11924" w:rsidRDefault="00652773">
            <w:pPr>
              <w:pStyle w:val="TableText"/>
              <w:spacing w:before="40" w:after="40" w:line="240" w:lineRule="auto"/>
              <w:rPr>
                <w:rFonts w:cs="Calibri"/>
                <w:sz w:val="16"/>
                <w:szCs w:val="16"/>
              </w:rPr>
            </w:pPr>
            <w:r w:rsidRPr="00B11924">
              <w:rPr>
                <w:rFonts w:cs="Calibri"/>
                <w:color w:val="000000"/>
                <w:sz w:val="16"/>
                <w:szCs w:val="16"/>
              </w:rPr>
              <w:t xml:space="preserve">Sets out over 300 actions, policies and strategies for meeting New Zealand’s first emissions budget. </w:t>
            </w:r>
          </w:p>
        </w:tc>
        <w:tc>
          <w:tcPr>
            <w:tcW w:w="992" w:type="dxa"/>
          </w:tcPr>
          <w:p w14:paraId="64A00124" w14:textId="77777777" w:rsidR="00652773" w:rsidRPr="00B11924" w:rsidRDefault="00652773">
            <w:pPr>
              <w:pStyle w:val="TableText"/>
              <w:spacing w:before="40" w:after="40" w:line="240" w:lineRule="auto"/>
              <w:rPr>
                <w:rFonts w:cs="Calibri"/>
                <w:sz w:val="16"/>
                <w:szCs w:val="16"/>
              </w:rPr>
            </w:pPr>
            <w:r w:rsidRPr="00B11924">
              <w:rPr>
                <w:rFonts w:cs="Calibri"/>
                <w:color w:val="000000" w:themeColor="text1"/>
                <w:sz w:val="16"/>
                <w:szCs w:val="16"/>
              </w:rPr>
              <w:t>Regulatory, economic instrument, other</w:t>
            </w:r>
          </w:p>
        </w:tc>
        <w:tc>
          <w:tcPr>
            <w:tcW w:w="1134" w:type="dxa"/>
          </w:tcPr>
          <w:p w14:paraId="6958BC49" w14:textId="77777777" w:rsidR="00652773" w:rsidRPr="00B11924" w:rsidRDefault="00652773">
            <w:pPr>
              <w:pStyle w:val="TableText"/>
              <w:spacing w:before="40" w:after="40" w:line="240" w:lineRule="auto"/>
              <w:rPr>
                <w:rFonts w:cs="Calibri"/>
                <w:sz w:val="16"/>
                <w:szCs w:val="16"/>
              </w:rPr>
            </w:pPr>
            <w:r w:rsidRPr="00B11924">
              <w:rPr>
                <w:rFonts w:cs="Calibri"/>
                <w:color w:val="000000"/>
                <w:sz w:val="16"/>
                <w:szCs w:val="16"/>
              </w:rPr>
              <w:t>Implemented</w:t>
            </w:r>
          </w:p>
        </w:tc>
        <w:tc>
          <w:tcPr>
            <w:tcW w:w="1134" w:type="dxa"/>
          </w:tcPr>
          <w:p w14:paraId="0C3C202D" w14:textId="68FE22BF" w:rsidR="00652773" w:rsidRPr="00B11924" w:rsidRDefault="00652773">
            <w:pPr>
              <w:pStyle w:val="TableText"/>
              <w:spacing w:before="40" w:after="40" w:line="240" w:lineRule="auto"/>
              <w:rPr>
                <w:rFonts w:cs="Calibri"/>
                <w:sz w:val="16"/>
                <w:szCs w:val="16"/>
              </w:rPr>
            </w:pPr>
            <w:r w:rsidRPr="00B11924">
              <w:rPr>
                <w:rFonts w:cs="Calibri"/>
                <w:color w:val="000000"/>
                <w:sz w:val="16"/>
                <w:szCs w:val="16"/>
              </w:rPr>
              <w:t>Energy, Transport, Agriculture, Waste</w:t>
            </w:r>
            <w:r w:rsidR="008E5DFB">
              <w:rPr>
                <w:rFonts w:cs="Calibri"/>
                <w:color w:val="000000"/>
                <w:sz w:val="16"/>
                <w:szCs w:val="16"/>
              </w:rPr>
              <w:t xml:space="preserve"> management</w:t>
            </w:r>
            <w:r w:rsidRPr="00B11924">
              <w:rPr>
                <w:rFonts w:cs="Calibri"/>
                <w:color w:val="000000"/>
                <w:sz w:val="16"/>
                <w:szCs w:val="16"/>
              </w:rPr>
              <w:t>, IPPU, LULUCF</w:t>
            </w:r>
          </w:p>
        </w:tc>
        <w:tc>
          <w:tcPr>
            <w:tcW w:w="1276" w:type="dxa"/>
          </w:tcPr>
          <w:p w14:paraId="79AB2826" w14:textId="77777777" w:rsidR="00652773" w:rsidRPr="00B11924" w:rsidRDefault="00652773">
            <w:pPr>
              <w:pStyle w:val="TableText"/>
              <w:spacing w:before="40" w:after="40" w:line="240" w:lineRule="auto"/>
              <w:rPr>
                <w:rFonts w:cs="Calibri"/>
                <w:sz w:val="16"/>
                <w:szCs w:val="16"/>
              </w:rPr>
            </w:pPr>
            <w:r w:rsidRPr="00B11924">
              <w:rPr>
                <w:rFonts w:cs="Calibri"/>
                <w:color w:val="000000"/>
                <w:sz w:val="16"/>
                <w:szCs w:val="16"/>
              </w:rPr>
              <w:t>CO</w:t>
            </w:r>
            <w:r w:rsidRPr="00B11924">
              <w:rPr>
                <w:rFonts w:cs="Calibri"/>
                <w:color w:val="000000"/>
                <w:sz w:val="16"/>
                <w:szCs w:val="16"/>
                <w:vertAlign w:val="subscript"/>
              </w:rPr>
              <w:t>2</w:t>
            </w:r>
            <w:r w:rsidRPr="00B11924">
              <w:rPr>
                <w:rFonts w:cs="Calibri"/>
                <w:color w:val="000000"/>
                <w:sz w:val="16"/>
                <w:szCs w:val="16"/>
              </w:rPr>
              <w:t>, CH</w:t>
            </w:r>
            <w:r w:rsidRPr="00B11924">
              <w:rPr>
                <w:rFonts w:cs="Calibri"/>
                <w:color w:val="000000"/>
                <w:sz w:val="16"/>
                <w:szCs w:val="16"/>
                <w:vertAlign w:val="subscript"/>
              </w:rPr>
              <w:t>4</w:t>
            </w:r>
            <w:r w:rsidRPr="00B11924">
              <w:rPr>
                <w:rFonts w:cs="Calibri"/>
                <w:color w:val="000000"/>
                <w:sz w:val="16"/>
                <w:szCs w:val="16"/>
              </w:rPr>
              <w:t>, N</w:t>
            </w:r>
            <w:r w:rsidRPr="00B11924">
              <w:rPr>
                <w:rFonts w:cs="Calibri"/>
                <w:color w:val="000000"/>
                <w:sz w:val="16"/>
                <w:szCs w:val="16"/>
                <w:vertAlign w:val="subscript"/>
              </w:rPr>
              <w:t>2</w:t>
            </w:r>
            <w:r w:rsidRPr="00B11924">
              <w:rPr>
                <w:rFonts w:cs="Calibri"/>
                <w:color w:val="000000"/>
                <w:sz w:val="16"/>
                <w:szCs w:val="16"/>
              </w:rPr>
              <w:t>O, PFCs, HFCs, SF</w:t>
            </w:r>
            <w:r w:rsidRPr="00B11924">
              <w:rPr>
                <w:rFonts w:cs="Calibri"/>
                <w:color w:val="000000"/>
                <w:sz w:val="16"/>
                <w:szCs w:val="16"/>
                <w:vertAlign w:val="subscript"/>
              </w:rPr>
              <w:t>6</w:t>
            </w:r>
          </w:p>
        </w:tc>
        <w:tc>
          <w:tcPr>
            <w:tcW w:w="850" w:type="dxa"/>
          </w:tcPr>
          <w:p w14:paraId="363036C9" w14:textId="77777777" w:rsidR="00652773" w:rsidRPr="00B11924" w:rsidRDefault="00652773">
            <w:pPr>
              <w:pStyle w:val="TableText"/>
              <w:spacing w:before="40" w:after="40" w:line="240" w:lineRule="auto"/>
              <w:rPr>
                <w:rFonts w:cs="Calibri"/>
                <w:sz w:val="16"/>
                <w:szCs w:val="16"/>
              </w:rPr>
            </w:pPr>
            <w:r w:rsidRPr="00B11924">
              <w:rPr>
                <w:rFonts w:cs="Calibri"/>
                <w:color w:val="000000"/>
                <w:sz w:val="16"/>
                <w:szCs w:val="16"/>
              </w:rPr>
              <w:t>2022</w:t>
            </w:r>
          </w:p>
        </w:tc>
        <w:tc>
          <w:tcPr>
            <w:tcW w:w="1418" w:type="dxa"/>
          </w:tcPr>
          <w:p w14:paraId="72B295F5" w14:textId="4A1AB3A2" w:rsidR="00B467F4" w:rsidRPr="00B11924" w:rsidRDefault="00652773">
            <w:pPr>
              <w:pStyle w:val="TableText"/>
              <w:spacing w:before="40" w:after="40" w:line="240" w:lineRule="auto"/>
              <w:rPr>
                <w:rFonts w:cs="Calibri"/>
                <w:sz w:val="16"/>
                <w:szCs w:val="16"/>
              </w:rPr>
            </w:pPr>
            <w:r w:rsidRPr="00B11924">
              <w:rPr>
                <w:rFonts w:cs="Calibri"/>
                <w:color w:val="000000"/>
                <w:sz w:val="16"/>
                <w:szCs w:val="16"/>
              </w:rPr>
              <w:t>Ministry for the Environment, Ministry for Primary Industries, Ministry of Transport, Ministry of Business, Innovation and Employment, The New Zealand Treasury, Ministry of Foreign Affairs and Trade, Ministry of Social Development, Ministry of Housing and Urban Development, Department of Conservation, Energy Efficiency and Conversation Authority, NZ Transport Agency, Kāinga Ora, Te Arawhiti, Te Puni Kōkiri, the New Zealand Infrastructure Commission, Department of Internal Affairs</w:t>
            </w:r>
          </w:p>
        </w:tc>
        <w:tc>
          <w:tcPr>
            <w:tcW w:w="992" w:type="dxa"/>
          </w:tcPr>
          <w:p w14:paraId="482FC925"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 xml:space="preserve"> NE</w:t>
            </w:r>
          </w:p>
        </w:tc>
        <w:tc>
          <w:tcPr>
            <w:tcW w:w="992" w:type="dxa"/>
          </w:tcPr>
          <w:p w14:paraId="6C447511"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c>
          <w:tcPr>
            <w:tcW w:w="964" w:type="dxa"/>
          </w:tcPr>
          <w:p w14:paraId="194C0B35"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r>
      <w:tr w:rsidR="000463C2" w:rsidRPr="00B11924" w14:paraId="1A7406D3" w14:textId="77777777" w:rsidTr="00692400">
        <w:tc>
          <w:tcPr>
            <w:tcW w:w="14596" w:type="dxa"/>
            <w:gridSpan w:val="13"/>
            <w:shd w:val="clear" w:color="auto" w:fill="D2DDE1" w:themeFill="background2"/>
          </w:tcPr>
          <w:p w14:paraId="3BB49990" w14:textId="0D775FAB" w:rsidR="000463C2" w:rsidRPr="00B11924" w:rsidRDefault="0024610E">
            <w:pPr>
              <w:pStyle w:val="TableText"/>
              <w:spacing w:before="40" w:after="40" w:line="240" w:lineRule="auto"/>
              <w:rPr>
                <w:rFonts w:cs="Calibri"/>
                <w:szCs w:val="18"/>
              </w:rPr>
            </w:pPr>
            <w:r w:rsidRPr="00B11924">
              <w:rPr>
                <w:rFonts w:cs="Calibri"/>
                <w:b/>
                <w:sz w:val="16"/>
                <w:szCs w:val="16"/>
              </w:rPr>
              <w:t>Funding and finance initiatives</w:t>
            </w:r>
          </w:p>
        </w:tc>
      </w:tr>
      <w:tr w:rsidR="00E872AA" w:rsidRPr="00E711FA" w14:paraId="60F718AB" w14:textId="77777777" w:rsidTr="006E5BDE">
        <w:trPr>
          <w:gridAfter w:val="1"/>
          <w:wAfter w:w="24" w:type="dxa"/>
        </w:trPr>
        <w:tc>
          <w:tcPr>
            <w:tcW w:w="1134" w:type="dxa"/>
          </w:tcPr>
          <w:p w14:paraId="1BCD7C99" w14:textId="77777777" w:rsidR="00652773" w:rsidRPr="00B11924" w:rsidRDefault="00652773">
            <w:pPr>
              <w:spacing w:before="40" w:after="40" w:line="240" w:lineRule="auto"/>
              <w:jc w:val="left"/>
              <w:rPr>
                <w:rFonts w:cs="Calibri"/>
                <w:color w:val="000000"/>
                <w:sz w:val="16"/>
                <w:szCs w:val="16"/>
              </w:rPr>
            </w:pPr>
            <w:r w:rsidRPr="00B11924">
              <w:rPr>
                <w:rFonts w:cs="Calibri"/>
                <w:color w:val="000000"/>
                <w:sz w:val="16"/>
                <w:szCs w:val="16"/>
              </w:rPr>
              <w:t>New Zealand’s Sovereign Green Bond Programme</w:t>
            </w:r>
          </w:p>
        </w:tc>
        <w:tc>
          <w:tcPr>
            <w:tcW w:w="1985" w:type="dxa"/>
          </w:tcPr>
          <w:p w14:paraId="3531AE42"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lang w:eastAsia="en-US"/>
              </w:rPr>
              <w:t>Green Bonds provide financing for government expenditure with positive climate and environmental outcomes. Design of the Green Bond Programme has been informed by international best practice and incorporates New Zealand-specific elements.</w:t>
            </w:r>
          </w:p>
        </w:tc>
        <w:tc>
          <w:tcPr>
            <w:tcW w:w="1701" w:type="dxa"/>
          </w:tcPr>
          <w:p w14:paraId="4DF6E80D"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lang w:eastAsia="en-US"/>
              </w:rPr>
              <w:t xml:space="preserve">Finance or refinance specific government projects with positive climate and environmental government impacts. </w:t>
            </w:r>
          </w:p>
        </w:tc>
        <w:tc>
          <w:tcPr>
            <w:tcW w:w="992" w:type="dxa"/>
          </w:tcPr>
          <w:p w14:paraId="14311EE8"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lang w:eastAsia="en-US"/>
              </w:rPr>
              <w:t>Economic instrument</w:t>
            </w:r>
          </w:p>
        </w:tc>
        <w:tc>
          <w:tcPr>
            <w:tcW w:w="1134" w:type="dxa"/>
          </w:tcPr>
          <w:p w14:paraId="3B7B5823"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lang w:eastAsia="en-US"/>
              </w:rPr>
              <w:t>Implemented</w:t>
            </w:r>
          </w:p>
        </w:tc>
        <w:tc>
          <w:tcPr>
            <w:tcW w:w="1134" w:type="dxa"/>
          </w:tcPr>
          <w:p w14:paraId="05F116DA"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lang w:eastAsia="en-US"/>
              </w:rPr>
              <w:t>Energy, Transport, Agriculture, LULUCF, Waste management</w:t>
            </w:r>
          </w:p>
        </w:tc>
        <w:tc>
          <w:tcPr>
            <w:tcW w:w="1276" w:type="dxa"/>
          </w:tcPr>
          <w:p w14:paraId="0D065E66" w14:textId="77777777" w:rsidR="00652773" w:rsidRPr="00B11924" w:rsidRDefault="00652773">
            <w:pPr>
              <w:pStyle w:val="TableText"/>
              <w:spacing w:before="40" w:after="40" w:line="240" w:lineRule="auto"/>
              <w:rPr>
                <w:rFonts w:cs="Calibri"/>
                <w:sz w:val="16"/>
                <w:szCs w:val="16"/>
                <w:lang w:eastAsia="en-US"/>
              </w:rPr>
            </w:pPr>
            <w:r w:rsidRPr="00B11924">
              <w:rPr>
                <w:rFonts w:cs="Calibri"/>
                <w:color w:val="000000"/>
                <w:sz w:val="16"/>
                <w:szCs w:val="16"/>
              </w:rPr>
              <w:t>CO</w:t>
            </w:r>
            <w:r w:rsidRPr="00B11924">
              <w:rPr>
                <w:rFonts w:cs="Calibri"/>
                <w:color w:val="000000"/>
                <w:sz w:val="16"/>
                <w:szCs w:val="16"/>
                <w:vertAlign w:val="subscript"/>
              </w:rPr>
              <w:t>2</w:t>
            </w:r>
            <w:r w:rsidRPr="00B11924">
              <w:rPr>
                <w:rFonts w:cs="Calibri"/>
                <w:color w:val="000000"/>
                <w:sz w:val="16"/>
                <w:szCs w:val="16"/>
              </w:rPr>
              <w:t>, CH</w:t>
            </w:r>
            <w:r w:rsidRPr="00B11924">
              <w:rPr>
                <w:rFonts w:cs="Calibri"/>
                <w:color w:val="000000"/>
                <w:sz w:val="16"/>
                <w:szCs w:val="16"/>
                <w:vertAlign w:val="subscript"/>
              </w:rPr>
              <w:t>4</w:t>
            </w:r>
            <w:r w:rsidRPr="00B11924">
              <w:rPr>
                <w:rFonts w:cs="Calibri"/>
                <w:color w:val="000000"/>
                <w:sz w:val="16"/>
                <w:szCs w:val="16"/>
              </w:rPr>
              <w:t>, N</w:t>
            </w:r>
            <w:r w:rsidRPr="00B11924">
              <w:rPr>
                <w:rFonts w:cs="Calibri"/>
                <w:color w:val="000000"/>
                <w:sz w:val="16"/>
                <w:szCs w:val="16"/>
                <w:vertAlign w:val="subscript"/>
              </w:rPr>
              <w:t>2</w:t>
            </w:r>
            <w:r w:rsidRPr="00B11924">
              <w:rPr>
                <w:rFonts w:cs="Calibri"/>
                <w:color w:val="000000"/>
                <w:sz w:val="16"/>
                <w:szCs w:val="16"/>
              </w:rPr>
              <w:t>O, PFCs, HFCs, SF</w:t>
            </w:r>
            <w:r w:rsidRPr="00B11924">
              <w:rPr>
                <w:rFonts w:cs="Calibri"/>
                <w:color w:val="000000"/>
                <w:sz w:val="16"/>
                <w:szCs w:val="16"/>
                <w:vertAlign w:val="subscript"/>
              </w:rPr>
              <w:t>6</w:t>
            </w:r>
          </w:p>
        </w:tc>
        <w:tc>
          <w:tcPr>
            <w:tcW w:w="850" w:type="dxa"/>
          </w:tcPr>
          <w:p w14:paraId="4860212E"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lang w:eastAsia="en-US"/>
              </w:rPr>
              <w:t>2022</w:t>
            </w:r>
          </w:p>
        </w:tc>
        <w:tc>
          <w:tcPr>
            <w:tcW w:w="1418" w:type="dxa"/>
          </w:tcPr>
          <w:p w14:paraId="2AE5CF68"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lang w:eastAsia="en-US"/>
              </w:rPr>
              <w:t>The New Zealand Treasury</w:t>
            </w:r>
          </w:p>
        </w:tc>
        <w:tc>
          <w:tcPr>
            <w:tcW w:w="992" w:type="dxa"/>
          </w:tcPr>
          <w:p w14:paraId="4D529F9F"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c>
          <w:tcPr>
            <w:tcW w:w="992" w:type="dxa"/>
          </w:tcPr>
          <w:p w14:paraId="75C2849B"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c>
          <w:tcPr>
            <w:tcW w:w="964" w:type="dxa"/>
          </w:tcPr>
          <w:p w14:paraId="42661316"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r>
      <w:tr w:rsidR="00E872AA" w:rsidRPr="00E711FA" w14:paraId="6599F8F3" w14:textId="77777777" w:rsidTr="006E5BDE">
        <w:trPr>
          <w:gridAfter w:val="1"/>
          <w:wAfter w:w="24" w:type="dxa"/>
        </w:trPr>
        <w:tc>
          <w:tcPr>
            <w:tcW w:w="1134" w:type="dxa"/>
          </w:tcPr>
          <w:p w14:paraId="027A449F" w14:textId="77777777" w:rsidR="00652773" w:rsidRPr="00B11924" w:rsidRDefault="00652773">
            <w:pPr>
              <w:spacing w:before="40" w:after="40" w:line="240" w:lineRule="auto"/>
              <w:jc w:val="left"/>
              <w:rPr>
                <w:rFonts w:cs="Calibri"/>
                <w:color w:val="000000"/>
                <w:sz w:val="16"/>
                <w:szCs w:val="16"/>
              </w:rPr>
            </w:pPr>
            <w:r w:rsidRPr="00B11924">
              <w:rPr>
                <w:rFonts w:cs="Calibri"/>
                <w:color w:val="000000"/>
                <w:sz w:val="16"/>
                <w:szCs w:val="16"/>
                <w:lang w:eastAsia="en-US"/>
              </w:rPr>
              <w:t xml:space="preserve">New Zealand Green Investment Finance Limited </w:t>
            </w:r>
          </w:p>
        </w:tc>
        <w:tc>
          <w:tcPr>
            <w:tcW w:w="1985" w:type="dxa"/>
          </w:tcPr>
          <w:p w14:paraId="27A73BD7"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 xml:space="preserve">This government-owned entity has the objective of accelerating emissions reduction in New Zealand by investing in climate-mitigating technologies. </w:t>
            </w:r>
          </w:p>
        </w:tc>
        <w:tc>
          <w:tcPr>
            <w:tcW w:w="1701" w:type="dxa"/>
          </w:tcPr>
          <w:p w14:paraId="55AF63CC"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lang w:eastAsia="en-US"/>
              </w:rPr>
              <w:t>Invest in climate-mitigating technologies.</w:t>
            </w:r>
          </w:p>
          <w:p w14:paraId="44947EE6" w14:textId="77777777" w:rsidR="00652773" w:rsidRPr="00B11924" w:rsidRDefault="00652773">
            <w:pPr>
              <w:pStyle w:val="TableText"/>
              <w:spacing w:before="40" w:after="40" w:line="240" w:lineRule="auto"/>
              <w:rPr>
                <w:rFonts w:cs="Calibri"/>
                <w:color w:val="000000"/>
                <w:sz w:val="16"/>
                <w:szCs w:val="16"/>
              </w:rPr>
            </w:pPr>
          </w:p>
        </w:tc>
        <w:tc>
          <w:tcPr>
            <w:tcW w:w="992" w:type="dxa"/>
          </w:tcPr>
          <w:p w14:paraId="0FD505B7" w14:textId="77777777" w:rsidR="00652773" w:rsidRPr="00B11924" w:rsidRDefault="00652773">
            <w:pPr>
              <w:pStyle w:val="TableText"/>
              <w:spacing w:before="40" w:after="40" w:line="240" w:lineRule="auto"/>
              <w:rPr>
                <w:rFonts w:cs="Calibri"/>
                <w:color w:val="000000"/>
                <w:sz w:val="16"/>
                <w:szCs w:val="16"/>
              </w:rPr>
            </w:pPr>
            <w:r w:rsidRPr="00B11924">
              <w:rPr>
                <w:rFonts w:cs="Calibri"/>
                <w:sz w:val="16"/>
                <w:szCs w:val="16"/>
                <w:lang w:eastAsia="en-US"/>
              </w:rPr>
              <w:t>Economic instrument</w:t>
            </w:r>
          </w:p>
        </w:tc>
        <w:tc>
          <w:tcPr>
            <w:tcW w:w="1134" w:type="dxa"/>
          </w:tcPr>
          <w:p w14:paraId="7A48EDE2" w14:textId="77777777" w:rsidR="00652773" w:rsidRPr="00B11924" w:rsidRDefault="00652773">
            <w:pPr>
              <w:pStyle w:val="TableText"/>
              <w:spacing w:before="40" w:after="40" w:line="240" w:lineRule="auto"/>
              <w:rPr>
                <w:rFonts w:cs="Calibri"/>
                <w:color w:val="000000"/>
                <w:sz w:val="16"/>
                <w:szCs w:val="16"/>
              </w:rPr>
            </w:pPr>
            <w:r w:rsidRPr="00B11924">
              <w:rPr>
                <w:rFonts w:cs="Calibri"/>
                <w:sz w:val="16"/>
                <w:szCs w:val="16"/>
                <w:lang w:eastAsia="en-US"/>
              </w:rPr>
              <w:t>Implemented</w:t>
            </w:r>
          </w:p>
        </w:tc>
        <w:tc>
          <w:tcPr>
            <w:tcW w:w="1134" w:type="dxa"/>
            <w:shd w:val="clear" w:color="auto" w:fill="auto"/>
          </w:tcPr>
          <w:p w14:paraId="5ADADDFA" w14:textId="77777777" w:rsidR="00652773" w:rsidRPr="00B11924" w:rsidRDefault="00652773">
            <w:pPr>
              <w:pStyle w:val="TableText"/>
              <w:spacing w:before="40" w:after="40" w:line="240" w:lineRule="auto"/>
              <w:rPr>
                <w:rFonts w:cs="Calibri"/>
                <w:sz w:val="16"/>
                <w:szCs w:val="16"/>
                <w:lang w:eastAsia="en-US"/>
              </w:rPr>
            </w:pPr>
            <w:r w:rsidRPr="00B11924">
              <w:rPr>
                <w:rFonts w:cs="Calibri"/>
                <w:color w:val="000000" w:themeColor="text1"/>
                <w:sz w:val="16"/>
                <w:szCs w:val="16"/>
              </w:rPr>
              <w:t>Energy, Transport, IPPU, Agriculture, Waste management</w:t>
            </w:r>
          </w:p>
        </w:tc>
        <w:tc>
          <w:tcPr>
            <w:tcW w:w="1276" w:type="dxa"/>
          </w:tcPr>
          <w:p w14:paraId="1982A8CC" w14:textId="77777777" w:rsidR="00652773" w:rsidRPr="00B11924" w:rsidRDefault="00652773">
            <w:pPr>
              <w:pStyle w:val="TableText"/>
              <w:spacing w:before="40" w:after="40" w:line="240" w:lineRule="auto"/>
              <w:rPr>
                <w:rFonts w:cs="Calibri"/>
                <w:sz w:val="16"/>
                <w:szCs w:val="16"/>
                <w:lang w:eastAsia="en-US"/>
              </w:rPr>
            </w:pPr>
            <w:r w:rsidRPr="00B11924">
              <w:rPr>
                <w:rFonts w:cs="Calibri"/>
                <w:color w:val="000000"/>
                <w:sz w:val="16"/>
                <w:szCs w:val="16"/>
              </w:rPr>
              <w:t>CO</w:t>
            </w:r>
            <w:r w:rsidRPr="00B11924">
              <w:rPr>
                <w:rFonts w:cs="Calibri"/>
                <w:color w:val="000000"/>
                <w:sz w:val="16"/>
                <w:szCs w:val="16"/>
                <w:vertAlign w:val="subscript"/>
              </w:rPr>
              <w:t>2</w:t>
            </w:r>
            <w:r w:rsidRPr="00B11924">
              <w:rPr>
                <w:rFonts w:cs="Calibri"/>
                <w:color w:val="000000"/>
                <w:sz w:val="16"/>
                <w:szCs w:val="16"/>
              </w:rPr>
              <w:t>, CH</w:t>
            </w:r>
            <w:r w:rsidRPr="00B11924">
              <w:rPr>
                <w:rFonts w:cs="Calibri"/>
                <w:color w:val="000000"/>
                <w:sz w:val="16"/>
                <w:szCs w:val="16"/>
                <w:vertAlign w:val="subscript"/>
              </w:rPr>
              <w:t>4</w:t>
            </w:r>
            <w:r w:rsidRPr="00B11924">
              <w:rPr>
                <w:rFonts w:cs="Calibri"/>
                <w:color w:val="000000"/>
                <w:sz w:val="16"/>
                <w:szCs w:val="16"/>
              </w:rPr>
              <w:t>, N</w:t>
            </w:r>
            <w:r w:rsidRPr="00B11924">
              <w:rPr>
                <w:rFonts w:cs="Calibri"/>
                <w:color w:val="000000"/>
                <w:sz w:val="16"/>
                <w:szCs w:val="16"/>
                <w:vertAlign w:val="subscript"/>
              </w:rPr>
              <w:t>2</w:t>
            </w:r>
            <w:r w:rsidRPr="00B11924">
              <w:rPr>
                <w:rFonts w:cs="Calibri"/>
                <w:color w:val="000000"/>
                <w:sz w:val="16"/>
                <w:szCs w:val="16"/>
              </w:rPr>
              <w:t>O, PFCs, HFCs, SF</w:t>
            </w:r>
            <w:r w:rsidRPr="00B11924">
              <w:rPr>
                <w:rFonts w:cs="Calibri"/>
                <w:color w:val="000000"/>
                <w:sz w:val="16"/>
                <w:szCs w:val="16"/>
                <w:vertAlign w:val="subscript"/>
              </w:rPr>
              <w:t>6</w:t>
            </w:r>
            <w:r w:rsidRPr="00B11924">
              <w:rPr>
                <w:rFonts w:cs="Calibri"/>
                <w:sz w:val="16"/>
                <w:szCs w:val="16"/>
                <w:lang w:eastAsia="en-US"/>
              </w:rPr>
              <w:t xml:space="preserve"> </w:t>
            </w:r>
          </w:p>
        </w:tc>
        <w:tc>
          <w:tcPr>
            <w:tcW w:w="850" w:type="dxa"/>
          </w:tcPr>
          <w:p w14:paraId="44925FF1"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lang w:eastAsia="en-US"/>
              </w:rPr>
              <w:t>2019</w:t>
            </w:r>
          </w:p>
        </w:tc>
        <w:tc>
          <w:tcPr>
            <w:tcW w:w="1418" w:type="dxa"/>
          </w:tcPr>
          <w:p w14:paraId="3E77857B" w14:textId="77777777" w:rsidR="00652773" w:rsidRPr="00B11924" w:rsidRDefault="00652773">
            <w:pPr>
              <w:pStyle w:val="TableText"/>
              <w:spacing w:before="40" w:line="240" w:lineRule="auto"/>
              <w:rPr>
                <w:rFonts w:cs="Calibri"/>
                <w:sz w:val="16"/>
                <w:szCs w:val="16"/>
              </w:rPr>
            </w:pPr>
            <w:r w:rsidRPr="00B11924">
              <w:rPr>
                <w:rFonts w:cs="Calibri"/>
                <w:sz w:val="16"/>
                <w:szCs w:val="16"/>
                <w:lang w:eastAsia="en-US"/>
              </w:rPr>
              <w:t>New Zealand Green Investment Finance Limited</w:t>
            </w:r>
          </w:p>
        </w:tc>
        <w:tc>
          <w:tcPr>
            <w:tcW w:w="992" w:type="dxa"/>
          </w:tcPr>
          <w:p w14:paraId="0A488CDD"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c>
          <w:tcPr>
            <w:tcW w:w="992" w:type="dxa"/>
          </w:tcPr>
          <w:p w14:paraId="1C50B136"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 xml:space="preserve">NE </w:t>
            </w:r>
          </w:p>
        </w:tc>
        <w:tc>
          <w:tcPr>
            <w:tcW w:w="964" w:type="dxa"/>
          </w:tcPr>
          <w:p w14:paraId="5EAB1D90"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r>
      <w:tr w:rsidR="00E872AA" w:rsidRPr="00E711FA" w14:paraId="0AE8753C" w14:textId="77777777" w:rsidTr="006E5BDE">
        <w:trPr>
          <w:gridAfter w:val="1"/>
          <w:wAfter w:w="24" w:type="dxa"/>
        </w:trPr>
        <w:tc>
          <w:tcPr>
            <w:tcW w:w="1134" w:type="dxa"/>
          </w:tcPr>
          <w:p w14:paraId="5EF061BC" w14:textId="77777777" w:rsidR="00652773" w:rsidRPr="00B11924" w:rsidRDefault="00652773">
            <w:pPr>
              <w:spacing w:before="40" w:after="40" w:line="240" w:lineRule="auto"/>
              <w:jc w:val="left"/>
              <w:rPr>
                <w:rFonts w:cs="Calibri"/>
                <w:color w:val="000000"/>
                <w:sz w:val="16"/>
                <w:szCs w:val="16"/>
                <w:highlight w:val="yellow"/>
                <w:lang w:eastAsia="en-US"/>
              </w:rPr>
            </w:pPr>
            <w:r w:rsidRPr="00B11924">
              <w:rPr>
                <w:rFonts w:cs="Calibri"/>
                <w:color w:val="000000"/>
                <w:sz w:val="16"/>
                <w:szCs w:val="16"/>
                <w:lang w:eastAsia="en-US"/>
              </w:rPr>
              <w:t>Climate-related disclosures</w:t>
            </w:r>
          </w:p>
        </w:tc>
        <w:tc>
          <w:tcPr>
            <w:tcW w:w="1985" w:type="dxa"/>
          </w:tcPr>
          <w:p w14:paraId="46E252DF" w14:textId="77777777" w:rsidR="00652773" w:rsidRPr="00B11924" w:rsidRDefault="00652773">
            <w:pPr>
              <w:pStyle w:val="TableText"/>
              <w:spacing w:before="40" w:after="40" w:line="240" w:lineRule="auto"/>
              <w:rPr>
                <w:rFonts w:cs="Calibri"/>
                <w:color w:val="000000"/>
                <w:sz w:val="16"/>
                <w:szCs w:val="16"/>
                <w:highlight w:val="yellow"/>
              </w:rPr>
            </w:pPr>
            <w:r w:rsidRPr="00B11924">
              <w:rPr>
                <w:rFonts w:cs="Calibri"/>
                <w:color w:val="000000"/>
                <w:sz w:val="16"/>
                <w:szCs w:val="16"/>
              </w:rPr>
              <w:t>Climate reporting entities are required to publish disclosures from financial years starting on or after 1 January 2023, in accordance with climate standards published by the External Reporting Board.</w:t>
            </w:r>
          </w:p>
        </w:tc>
        <w:tc>
          <w:tcPr>
            <w:tcW w:w="1701" w:type="dxa"/>
          </w:tcPr>
          <w:p w14:paraId="73920C3A" w14:textId="77777777" w:rsidR="00652773" w:rsidRPr="00B11924" w:rsidRDefault="00652773">
            <w:pPr>
              <w:pStyle w:val="TableText"/>
              <w:spacing w:before="40" w:after="40" w:line="240" w:lineRule="auto"/>
              <w:rPr>
                <w:rFonts w:cs="Calibri"/>
                <w:color w:val="000000"/>
                <w:sz w:val="16"/>
                <w:szCs w:val="16"/>
                <w:highlight w:val="yellow"/>
              </w:rPr>
            </w:pPr>
            <w:r w:rsidRPr="00B11924">
              <w:rPr>
                <w:rFonts w:cs="Calibri"/>
                <w:sz w:val="16"/>
                <w:szCs w:val="16"/>
                <w:lang w:eastAsia="en-US"/>
              </w:rPr>
              <w:t>Ensure that the effects of climate change are routinely considered in business, investment, lending and insurance decisions.</w:t>
            </w:r>
          </w:p>
        </w:tc>
        <w:tc>
          <w:tcPr>
            <w:tcW w:w="992" w:type="dxa"/>
          </w:tcPr>
          <w:p w14:paraId="44EBF765"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themeColor="text1"/>
                <w:sz w:val="16"/>
                <w:szCs w:val="16"/>
              </w:rPr>
              <w:t>Regulatory</w:t>
            </w:r>
          </w:p>
        </w:tc>
        <w:tc>
          <w:tcPr>
            <w:tcW w:w="1134" w:type="dxa"/>
          </w:tcPr>
          <w:p w14:paraId="2B7EADF1" w14:textId="77777777" w:rsidR="00652773" w:rsidRPr="00B11924" w:rsidRDefault="00652773">
            <w:pPr>
              <w:pStyle w:val="TableText"/>
              <w:spacing w:before="40" w:after="40" w:line="240" w:lineRule="auto"/>
              <w:rPr>
                <w:rFonts w:cs="Calibri"/>
                <w:color w:val="000000"/>
                <w:sz w:val="16"/>
                <w:szCs w:val="16"/>
              </w:rPr>
            </w:pPr>
            <w:r w:rsidRPr="00B11924">
              <w:rPr>
                <w:rFonts w:cs="Calibri"/>
                <w:sz w:val="16"/>
                <w:szCs w:val="16"/>
                <w:lang w:eastAsia="en-US"/>
              </w:rPr>
              <w:t>Implemented</w:t>
            </w:r>
          </w:p>
        </w:tc>
        <w:tc>
          <w:tcPr>
            <w:tcW w:w="1134" w:type="dxa"/>
            <w:shd w:val="clear" w:color="auto" w:fill="auto"/>
          </w:tcPr>
          <w:p w14:paraId="35E3BEA2" w14:textId="77777777" w:rsidR="00652773" w:rsidRPr="00B11924" w:rsidRDefault="00652773">
            <w:pPr>
              <w:pStyle w:val="TableText"/>
              <w:spacing w:before="40" w:after="40" w:line="240" w:lineRule="auto"/>
              <w:rPr>
                <w:rFonts w:cs="Calibri"/>
                <w:color w:val="000000"/>
                <w:sz w:val="16"/>
                <w:szCs w:val="16"/>
                <w:highlight w:val="yellow"/>
              </w:rPr>
            </w:pPr>
            <w:r w:rsidRPr="00B11924">
              <w:rPr>
                <w:rFonts w:cs="Calibri"/>
                <w:color w:val="000000" w:themeColor="text1"/>
                <w:sz w:val="16"/>
                <w:szCs w:val="16"/>
              </w:rPr>
              <w:t>Energy, Transport, IPPU, Agriculture, Waste management</w:t>
            </w:r>
          </w:p>
        </w:tc>
        <w:tc>
          <w:tcPr>
            <w:tcW w:w="1276" w:type="dxa"/>
          </w:tcPr>
          <w:p w14:paraId="7D151CA6" w14:textId="77777777" w:rsidR="00652773" w:rsidRPr="00B11924" w:rsidRDefault="00652773">
            <w:pPr>
              <w:pStyle w:val="TableText"/>
              <w:spacing w:before="40" w:after="40" w:line="240" w:lineRule="auto"/>
              <w:rPr>
                <w:rFonts w:cs="Calibri"/>
                <w:color w:val="000000"/>
                <w:sz w:val="16"/>
                <w:szCs w:val="16"/>
                <w:highlight w:val="yellow"/>
              </w:rPr>
            </w:pPr>
            <w:r w:rsidRPr="00B11924">
              <w:rPr>
                <w:rFonts w:cs="Calibri"/>
                <w:color w:val="000000"/>
                <w:sz w:val="16"/>
                <w:szCs w:val="16"/>
              </w:rPr>
              <w:t>CO</w:t>
            </w:r>
            <w:r w:rsidRPr="00B11924">
              <w:rPr>
                <w:rFonts w:cs="Calibri"/>
                <w:color w:val="000000"/>
                <w:sz w:val="16"/>
                <w:szCs w:val="16"/>
                <w:vertAlign w:val="subscript"/>
              </w:rPr>
              <w:t>2</w:t>
            </w:r>
            <w:r w:rsidRPr="00B11924">
              <w:rPr>
                <w:rFonts w:cs="Calibri"/>
                <w:color w:val="000000"/>
                <w:sz w:val="16"/>
                <w:szCs w:val="16"/>
              </w:rPr>
              <w:t>, CH</w:t>
            </w:r>
            <w:r w:rsidRPr="00B11924">
              <w:rPr>
                <w:rFonts w:cs="Calibri"/>
                <w:color w:val="000000"/>
                <w:sz w:val="16"/>
                <w:szCs w:val="16"/>
                <w:vertAlign w:val="subscript"/>
              </w:rPr>
              <w:t>4</w:t>
            </w:r>
            <w:r w:rsidRPr="00B11924">
              <w:rPr>
                <w:rFonts w:cs="Calibri"/>
                <w:color w:val="000000"/>
                <w:sz w:val="16"/>
                <w:szCs w:val="16"/>
              </w:rPr>
              <w:t>, N</w:t>
            </w:r>
            <w:r w:rsidRPr="00B11924">
              <w:rPr>
                <w:rFonts w:cs="Calibri"/>
                <w:color w:val="000000"/>
                <w:sz w:val="16"/>
                <w:szCs w:val="16"/>
                <w:vertAlign w:val="subscript"/>
              </w:rPr>
              <w:t>2</w:t>
            </w:r>
            <w:r w:rsidRPr="00B11924">
              <w:rPr>
                <w:rFonts w:cs="Calibri"/>
                <w:color w:val="000000"/>
                <w:sz w:val="16"/>
                <w:szCs w:val="16"/>
              </w:rPr>
              <w:t>O, PFCs, HFCs, SF</w:t>
            </w:r>
            <w:r w:rsidRPr="00B11924">
              <w:rPr>
                <w:rFonts w:cs="Calibri"/>
                <w:color w:val="000000"/>
                <w:sz w:val="16"/>
                <w:szCs w:val="16"/>
                <w:vertAlign w:val="subscript"/>
              </w:rPr>
              <w:t>6</w:t>
            </w:r>
            <w:r w:rsidRPr="00B11924">
              <w:rPr>
                <w:rFonts w:cs="Calibri"/>
                <w:sz w:val="16"/>
                <w:szCs w:val="16"/>
                <w:lang w:eastAsia="en-US"/>
              </w:rPr>
              <w:t xml:space="preserve"> </w:t>
            </w:r>
          </w:p>
        </w:tc>
        <w:tc>
          <w:tcPr>
            <w:tcW w:w="850" w:type="dxa"/>
          </w:tcPr>
          <w:p w14:paraId="2DF8F74E" w14:textId="77777777" w:rsidR="00652773" w:rsidRPr="00B11924" w:rsidRDefault="00652773">
            <w:pPr>
              <w:pStyle w:val="TableText"/>
              <w:spacing w:before="40" w:after="40" w:line="240" w:lineRule="auto"/>
              <w:rPr>
                <w:rFonts w:cs="Calibri"/>
                <w:color w:val="000000" w:themeColor="text1"/>
                <w:sz w:val="16"/>
                <w:szCs w:val="16"/>
              </w:rPr>
            </w:pPr>
            <w:r w:rsidRPr="00B11924">
              <w:rPr>
                <w:rFonts w:cs="Calibri"/>
                <w:color w:val="000000" w:themeColor="text1"/>
                <w:sz w:val="16"/>
                <w:szCs w:val="16"/>
              </w:rPr>
              <w:t>2023</w:t>
            </w:r>
          </w:p>
          <w:p w14:paraId="43342D7F" w14:textId="77777777" w:rsidR="00652773" w:rsidRPr="00B11924" w:rsidRDefault="00652773">
            <w:pPr>
              <w:pStyle w:val="TableText"/>
              <w:spacing w:before="40" w:after="40" w:line="240" w:lineRule="auto"/>
              <w:rPr>
                <w:rFonts w:cs="Calibri"/>
                <w:sz w:val="16"/>
                <w:szCs w:val="16"/>
                <w:highlight w:val="yellow"/>
                <w:lang w:eastAsia="en-US"/>
              </w:rPr>
            </w:pPr>
          </w:p>
        </w:tc>
        <w:tc>
          <w:tcPr>
            <w:tcW w:w="1418" w:type="dxa"/>
          </w:tcPr>
          <w:p w14:paraId="43C249E3" w14:textId="77777777" w:rsidR="00652773" w:rsidRPr="00B11924" w:rsidRDefault="00652773">
            <w:pPr>
              <w:pStyle w:val="TableText"/>
              <w:spacing w:before="40" w:line="240" w:lineRule="auto"/>
              <w:rPr>
                <w:rFonts w:cs="Calibri"/>
                <w:sz w:val="16"/>
                <w:szCs w:val="16"/>
                <w:lang w:eastAsia="en-US"/>
              </w:rPr>
            </w:pPr>
            <w:r w:rsidRPr="00B11924">
              <w:rPr>
                <w:rFonts w:cs="Calibri"/>
                <w:sz w:val="16"/>
                <w:szCs w:val="16"/>
                <w:lang w:eastAsia="en-US"/>
              </w:rPr>
              <w:t>Ministry for the Environment, Ministry of Business, Innovation and Employment</w:t>
            </w:r>
          </w:p>
        </w:tc>
        <w:tc>
          <w:tcPr>
            <w:tcW w:w="992" w:type="dxa"/>
          </w:tcPr>
          <w:p w14:paraId="0F9960C2"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c>
          <w:tcPr>
            <w:tcW w:w="992" w:type="dxa"/>
          </w:tcPr>
          <w:p w14:paraId="0A21BD69"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c>
          <w:tcPr>
            <w:tcW w:w="964" w:type="dxa"/>
          </w:tcPr>
          <w:p w14:paraId="4B6C0AD5"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r>
      <w:tr w:rsidR="00E872AA" w:rsidRPr="00E711FA" w14:paraId="34692990" w14:textId="77777777" w:rsidTr="006E5BDE">
        <w:trPr>
          <w:gridAfter w:val="1"/>
          <w:wAfter w:w="24" w:type="dxa"/>
        </w:trPr>
        <w:tc>
          <w:tcPr>
            <w:tcW w:w="1134" w:type="dxa"/>
            <w:shd w:val="clear" w:color="auto" w:fill="auto"/>
          </w:tcPr>
          <w:p w14:paraId="12E628D6" w14:textId="77777777" w:rsidR="00652773" w:rsidRPr="00B11924" w:rsidRDefault="00652773">
            <w:pPr>
              <w:pStyle w:val="TableText"/>
              <w:spacing w:before="20" w:after="20" w:line="240" w:lineRule="auto"/>
              <w:rPr>
                <w:rFonts w:cs="Calibri"/>
                <w:spacing w:val="-8"/>
                <w:sz w:val="16"/>
                <w:szCs w:val="16"/>
              </w:rPr>
            </w:pPr>
            <w:r w:rsidRPr="00B11924">
              <w:rPr>
                <w:rFonts w:cs="Calibri"/>
                <w:spacing w:val="-8"/>
                <w:sz w:val="16"/>
                <w:szCs w:val="16"/>
              </w:rPr>
              <w:t xml:space="preserve">State Sector Decarbonisation Fund </w:t>
            </w:r>
          </w:p>
        </w:tc>
        <w:tc>
          <w:tcPr>
            <w:tcW w:w="1985" w:type="dxa"/>
          </w:tcPr>
          <w:p w14:paraId="22B94966" w14:textId="77777777" w:rsidR="00652773" w:rsidRPr="00B11924" w:rsidRDefault="00652773">
            <w:pPr>
              <w:pStyle w:val="TableText"/>
              <w:spacing w:before="20" w:after="20" w:line="240" w:lineRule="auto"/>
              <w:rPr>
                <w:rFonts w:cs="Calibri"/>
                <w:sz w:val="16"/>
                <w:szCs w:val="16"/>
              </w:rPr>
            </w:pPr>
            <w:r w:rsidRPr="00B11924">
              <w:rPr>
                <w:rFonts w:cs="Calibri"/>
                <w:sz w:val="16"/>
                <w:szCs w:val="16"/>
              </w:rPr>
              <w:t>The NZ$219.437 million State Sector Decarbonisation Fund provides co-funding to state sector agencies to replace coal boilers with low-emissions alternatives and for other energy efficiency or renewable energy projects, including efficient lighting and electric vehicles. Three-quarters of the funding is targeted for hospitals, schools and universities, which are the biggest emitters.</w:t>
            </w:r>
          </w:p>
        </w:tc>
        <w:tc>
          <w:tcPr>
            <w:tcW w:w="1701" w:type="dxa"/>
          </w:tcPr>
          <w:p w14:paraId="3941959D" w14:textId="77777777" w:rsidR="00652773" w:rsidRPr="00B11924" w:rsidRDefault="00652773">
            <w:pPr>
              <w:pStyle w:val="TableText"/>
              <w:spacing w:before="20" w:after="20" w:line="240" w:lineRule="auto"/>
              <w:rPr>
                <w:rFonts w:cs="Calibri"/>
                <w:sz w:val="16"/>
                <w:szCs w:val="16"/>
              </w:rPr>
            </w:pPr>
            <w:r w:rsidRPr="00B11924">
              <w:rPr>
                <w:rFonts w:cs="Calibri"/>
                <w:sz w:val="16"/>
                <w:szCs w:val="16"/>
              </w:rPr>
              <w:t>Government agencies demonstrate the action required to decarbonise.</w:t>
            </w:r>
          </w:p>
        </w:tc>
        <w:tc>
          <w:tcPr>
            <w:tcW w:w="992" w:type="dxa"/>
          </w:tcPr>
          <w:p w14:paraId="24156D6C" w14:textId="77777777" w:rsidR="00652773" w:rsidRPr="00B11924" w:rsidRDefault="00652773">
            <w:pPr>
              <w:pStyle w:val="TableText"/>
              <w:spacing w:before="20" w:after="20" w:line="240" w:lineRule="auto"/>
              <w:rPr>
                <w:rFonts w:cs="Calibri"/>
                <w:sz w:val="16"/>
                <w:szCs w:val="16"/>
              </w:rPr>
            </w:pPr>
            <w:r w:rsidRPr="00B11924">
              <w:rPr>
                <w:rFonts w:cs="Calibri"/>
                <w:sz w:val="16"/>
                <w:szCs w:val="16"/>
              </w:rPr>
              <w:t>Economic instrument</w:t>
            </w:r>
          </w:p>
        </w:tc>
        <w:tc>
          <w:tcPr>
            <w:tcW w:w="1134" w:type="dxa"/>
          </w:tcPr>
          <w:p w14:paraId="6513835A" w14:textId="77777777" w:rsidR="00652773" w:rsidRPr="00B11924" w:rsidRDefault="00652773">
            <w:pPr>
              <w:pStyle w:val="TableText"/>
              <w:spacing w:before="20" w:after="20" w:line="240" w:lineRule="auto"/>
              <w:rPr>
                <w:rFonts w:cs="Calibri"/>
                <w:sz w:val="16"/>
                <w:szCs w:val="16"/>
              </w:rPr>
            </w:pPr>
            <w:r w:rsidRPr="00B11924">
              <w:rPr>
                <w:rFonts w:cs="Calibri"/>
                <w:sz w:val="16"/>
                <w:szCs w:val="16"/>
              </w:rPr>
              <w:t>Implemented</w:t>
            </w:r>
          </w:p>
        </w:tc>
        <w:tc>
          <w:tcPr>
            <w:tcW w:w="1134" w:type="dxa"/>
            <w:shd w:val="clear" w:color="auto" w:fill="auto"/>
          </w:tcPr>
          <w:p w14:paraId="38A2F999" w14:textId="77777777" w:rsidR="00652773" w:rsidRPr="00B11924" w:rsidRDefault="00652773">
            <w:pPr>
              <w:pStyle w:val="TableText"/>
              <w:spacing w:before="20" w:after="20" w:line="240" w:lineRule="auto"/>
              <w:rPr>
                <w:rFonts w:cs="Calibri"/>
                <w:sz w:val="16"/>
                <w:szCs w:val="16"/>
              </w:rPr>
            </w:pPr>
            <w:r w:rsidRPr="00B11924">
              <w:rPr>
                <w:rFonts w:cs="Calibri"/>
                <w:sz w:val="16"/>
                <w:szCs w:val="16"/>
              </w:rPr>
              <w:t>Energy, Transport</w:t>
            </w:r>
          </w:p>
        </w:tc>
        <w:tc>
          <w:tcPr>
            <w:tcW w:w="1276" w:type="dxa"/>
            <w:shd w:val="clear" w:color="auto" w:fill="auto"/>
          </w:tcPr>
          <w:p w14:paraId="5F4E3D9E" w14:textId="77777777" w:rsidR="00652773" w:rsidRPr="00B11924" w:rsidRDefault="00652773">
            <w:pPr>
              <w:pStyle w:val="TableText"/>
              <w:spacing w:before="20" w:after="20" w:line="240" w:lineRule="auto"/>
              <w:rPr>
                <w:rFonts w:cs="Calibri"/>
                <w:sz w:val="16"/>
                <w:szCs w:val="16"/>
              </w:rPr>
            </w:pPr>
            <w:r w:rsidRPr="00B11924">
              <w:rPr>
                <w:rFonts w:cs="Calibri"/>
                <w:sz w:val="16"/>
                <w:szCs w:val="16"/>
              </w:rPr>
              <w:t>CO</w:t>
            </w:r>
            <w:r w:rsidRPr="00B11924">
              <w:rPr>
                <w:rFonts w:cs="Calibri"/>
                <w:sz w:val="16"/>
                <w:szCs w:val="16"/>
                <w:vertAlign w:val="subscript"/>
              </w:rPr>
              <w:t>2</w:t>
            </w:r>
          </w:p>
        </w:tc>
        <w:tc>
          <w:tcPr>
            <w:tcW w:w="850" w:type="dxa"/>
            <w:shd w:val="clear" w:color="auto" w:fill="auto"/>
          </w:tcPr>
          <w:p w14:paraId="579ECAD6" w14:textId="77777777" w:rsidR="00652773" w:rsidRPr="00B11924" w:rsidRDefault="00652773">
            <w:pPr>
              <w:pStyle w:val="TableText"/>
              <w:spacing w:before="20" w:after="20" w:line="240" w:lineRule="auto"/>
              <w:rPr>
                <w:rFonts w:cs="Calibri"/>
                <w:sz w:val="16"/>
                <w:szCs w:val="16"/>
              </w:rPr>
            </w:pPr>
            <w:r w:rsidRPr="00B11924">
              <w:rPr>
                <w:rFonts w:cs="Calibri"/>
                <w:sz w:val="16"/>
                <w:szCs w:val="16"/>
              </w:rPr>
              <w:t>2020</w:t>
            </w:r>
          </w:p>
        </w:tc>
        <w:tc>
          <w:tcPr>
            <w:tcW w:w="1418" w:type="dxa"/>
            <w:shd w:val="clear" w:color="auto" w:fill="auto"/>
          </w:tcPr>
          <w:p w14:paraId="01D857ED" w14:textId="77777777" w:rsidR="00652773" w:rsidRPr="00B11924" w:rsidRDefault="00652773">
            <w:pPr>
              <w:pStyle w:val="TableText"/>
              <w:spacing w:before="20" w:after="20" w:line="240" w:lineRule="auto"/>
              <w:rPr>
                <w:rFonts w:cs="Calibri"/>
                <w:sz w:val="16"/>
                <w:szCs w:val="16"/>
              </w:rPr>
            </w:pPr>
            <w:r w:rsidRPr="00B11924">
              <w:rPr>
                <w:rFonts w:cs="Calibri"/>
                <w:sz w:val="16"/>
                <w:szCs w:val="16"/>
              </w:rPr>
              <w:t>Energy Efficiency and Conservation Authority, Ministry of Business, Innovation and Employment, The New Zealand Treasury</w:t>
            </w:r>
          </w:p>
        </w:tc>
        <w:tc>
          <w:tcPr>
            <w:tcW w:w="992" w:type="dxa"/>
          </w:tcPr>
          <w:p w14:paraId="63B1CCF4" w14:textId="77777777" w:rsidR="00652773" w:rsidRPr="00B11924" w:rsidRDefault="00652773">
            <w:pPr>
              <w:pStyle w:val="TableText"/>
              <w:spacing w:before="20" w:after="20" w:line="240" w:lineRule="auto"/>
              <w:rPr>
                <w:rFonts w:cs="Calibri"/>
                <w:sz w:val="16"/>
                <w:szCs w:val="16"/>
              </w:rPr>
            </w:pPr>
            <w:r w:rsidRPr="00B11924">
              <w:rPr>
                <w:rFonts w:cs="Calibri"/>
                <w:sz w:val="16"/>
                <w:szCs w:val="16"/>
              </w:rPr>
              <w:t>NE</w:t>
            </w:r>
          </w:p>
        </w:tc>
        <w:tc>
          <w:tcPr>
            <w:tcW w:w="992" w:type="dxa"/>
            <w:shd w:val="clear" w:color="auto" w:fill="auto"/>
          </w:tcPr>
          <w:p w14:paraId="37108CC7" w14:textId="77777777" w:rsidR="00652773" w:rsidRPr="00B11924" w:rsidRDefault="00652773">
            <w:pPr>
              <w:pStyle w:val="TableText"/>
              <w:spacing w:before="20" w:after="20" w:line="240" w:lineRule="auto"/>
              <w:rPr>
                <w:rFonts w:cs="Calibri"/>
                <w:sz w:val="16"/>
                <w:szCs w:val="16"/>
              </w:rPr>
            </w:pPr>
            <w:r w:rsidRPr="00B11924">
              <w:rPr>
                <w:rFonts w:cs="Calibri"/>
                <w:sz w:val="16"/>
                <w:szCs w:val="16"/>
              </w:rPr>
              <w:t>NE</w:t>
            </w:r>
          </w:p>
        </w:tc>
        <w:tc>
          <w:tcPr>
            <w:tcW w:w="964" w:type="dxa"/>
            <w:shd w:val="clear" w:color="auto" w:fill="auto"/>
          </w:tcPr>
          <w:p w14:paraId="10F57A80" w14:textId="77777777" w:rsidR="00652773" w:rsidRPr="00B11924" w:rsidRDefault="00652773">
            <w:pPr>
              <w:pStyle w:val="TableText"/>
              <w:spacing w:before="20" w:after="20" w:line="240" w:lineRule="auto"/>
              <w:rPr>
                <w:rFonts w:cs="Calibri"/>
                <w:sz w:val="16"/>
                <w:szCs w:val="16"/>
              </w:rPr>
            </w:pPr>
            <w:r w:rsidRPr="00B11924">
              <w:rPr>
                <w:rFonts w:cs="Calibri"/>
                <w:sz w:val="16"/>
                <w:szCs w:val="16"/>
              </w:rPr>
              <w:t>96</w:t>
            </w:r>
          </w:p>
        </w:tc>
      </w:tr>
      <w:tr w:rsidR="000463C2" w:rsidRPr="00B11924" w14:paraId="631BDF3D" w14:textId="77777777" w:rsidTr="00692400">
        <w:tc>
          <w:tcPr>
            <w:tcW w:w="14596" w:type="dxa"/>
            <w:gridSpan w:val="13"/>
            <w:shd w:val="clear" w:color="auto" w:fill="D2DDE1" w:themeFill="background2"/>
          </w:tcPr>
          <w:p w14:paraId="0A2907C6" w14:textId="22BF4C20" w:rsidR="000463C2" w:rsidRPr="00B11924" w:rsidRDefault="0024610E">
            <w:pPr>
              <w:pStyle w:val="TableText"/>
              <w:spacing w:before="40" w:after="40" w:line="240" w:lineRule="auto"/>
              <w:rPr>
                <w:rFonts w:cs="Calibri"/>
                <w:szCs w:val="18"/>
              </w:rPr>
            </w:pPr>
            <w:r w:rsidRPr="00B11924">
              <w:rPr>
                <w:rFonts w:cs="Calibri"/>
                <w:b/>
                <w:sz w:val="16"/>
                <w:szCs w:val="16"/>
              </w:rPr>
              <w:t>Energy: Strategies</w:t>
            </w:r>
          </w:p>
        </w:tc>
      </w:tr>
      <w:tr w:rsidR="00B467F4" w:rsidRPr="00E711FA" w14:paraId="60B5AC0A" w14:textId="77777777" w:rsidTr="00B467F4">
        <w:trPr>
          <w:gridAfter w:val="1"/>
          <w:wAfter w:w="24" w:type="dxa"/>
        </w:trPr>
        <w:tc>
          <w:tcPr>
            <w:tcW w:w="1134" w:type="dxa"/>
            <w:shd w:val="clear" w:color="auto" w:fill="auto"/>
          </w:tcPr>
          <w:p w14:paraId="4CFA390F" w14:textId="77777777" w:rsidR="00652773" w:rsidRPr="00B11924" w:rsidRDefault="00652773">
            <w:pPr>
              <w:pStyle w:val="TableText"/>
              <w:spacing w:before="40" w:after="40" w:line="240" w:lineRule="auto"/>
              <w:rPr>
                <w:rFonts w:cs="Calibri"/>
                <w:color w:val="000000"/>
                <w:sz w:val="16"/>
                <w:szCs w:val="16"/>
              </w:rPr>
            </w:pPr>
            <w:r w:rsidRPr="00B11924">
              <w:rPr>
                <w:rFonts w:cs="Calibri"/>
                <w:sz w:val="16"/>
                <w:szCs w:val="16"/>
              </w:rPr>
              <w:t>Electrify NZ</w:t>
            </w:r>
          </w:p>
        </w:tc>
        <w:tc>
          <w:tcPr>
            <w:tcW w:w="1985" w:type="dxa"/>
          </w:tcPr>
          <w:p w14:paraId="366BDCD3"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 xml:space="preserve">The Government is committed to doubling renewable energy by 2050. Electrify NZ includes a range of initiatives designed to support achievement of this goal. </w:t>
            </w:r>
          </w:p>
        </w:tc>
        <w:tc>
          <w:tcPr>
            <w:tcW w:w="1701" w:type="dxa"/>
            <w:shd w:val="clear" w:color="auto" w:fill="FFFFFF" w:themeFill="background1"/>
          </w:tcPr>
          <w:p w14:paraId="63036577"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Enable investment by removing barriers and resolving market failures that prevent or slow investment in infrastructure for electrification.</w:t>
            </w:r>
          </w:p>
        </w:tc>
        <w:tc>
          <w:tcPr>
            <w:tcW w:w="992" w:type="dxa"/>
            <w:shd w:val="clear" w:color="auto" w:fill="FFFFFF" w:themeFill="background1"/>
          </w:tcPr>
          <w:p w14:paraId="145865C4"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Regulatory</w:t>
            </w:r>
          </w:p>
        </w:tc>
        <w:tc>
          <w:tcPr>
            <w:tcW w:w="1134" w:type="dxa"/>
            <w:shd w:val="clear" w:color="auto" w:fill="FFFFFF" w:themeFill="background1"/>
          </w:tcPr>
          <w:p w14:paraId="1E44DA62" w14:textId="5F4487F5" w:rsidR="00652773" w:rsidRPr="00B11924" w:rsidRDefault="00DB005D">
            <w:pPr>
              <w:pStyle w:val="TableText"/>
              <w:spacing w:before="40" w:after="40" w:line="240" w:lineRule="auto"/>
              <w:rPr>
                <w:rFonts w:cs="Calibri"/>
                <w:sz w:val="16"/>
                <w:szCs w:val="16"/>
              </w:rPr>
            </w:pPr>
            <w:r>
              <w:rPr>
                <w:rFonts w:cs="Calibri"/>
                <w:sz w:val="16"/>
                <w:szCs w:val="16"/>
              </w:rPr>
              <w:t>Adopted</w:t>
            </w:r>
          </w:p>
        </w:tc>
        <w:tc>
          <w:tcPr>
            <w:tcW w:w="1134" w:type="dxa"/>
            <w:shd w:val="clear" w:color="auto" w:fill="FFFFFF" w:themeFill="background1"/>
          </w:tcPr>
          <w:p w14:paraId="527AB4B2" w14:textId="77777777" w:rsidR="00652773" w:rsidRPr="00B11924" w:rsidRDefault="00652773">
            <w:pPr>
              <w:pStyle w:val="TableText"/>
              <w:spacing w:before="40" w:after="40" w:line="240" w:lineRule="auto"/>
              <w:rPr>
                <w:rFonts w:cs="Calibri"/>
                <w:color w:val="000000"/>
                <w:sz w:val="16"/>
                <w:szCs w:val="16"/>
              </w:rPr>
            </w:pPr>
            <w:r w:rsidRPr="00B11924">
              <w:rPr>
                <w:rFonts w:cs="Calibri"/>
                <w:sz w:val="16"/>
                <w:szCs w:val="16"/>
              </w:rPr>
              <w:t>Energy</w:t>
            </w:r>
          </w:p>
        </w:tc>
        <w:tc>
          <w:tcPr>
            <w:tcW w:w="1276" w:type="dxa"/>
            <w:shd w:val="clear" w:color="auto" w:fill="FFFFFF" w:themeFill="background1"/>
          </w:tcPr>
          <w:p w14:paraId="4872FB5D" w14:textId="77777777" w:rsidR="00652773" w:rsidRPr="00B11924" w:rsidRDefault="00652773">
            <w:pPr>
              <w:pStyle w:val="TableText"/>
              <w:spacing w:before="40" w:after="40" w:line="240" w:lineRule="auto"/>
              <w:rPr>
                <w:rFonts w:cs="Calibri"/>
                <w:color w:val="000000"/>
                <w:sz w:val="16"/>
                <w:szCs w:val="16"/>
              </w:rPr>
            </w:pPr>
            <w:r w:rsidRPr="00B11924">
              <w:rPr>
                <w:rFonts w:cs="Calibri"/>
                <w:sz w:val="16"/>
                <w:szCs w:val="16"/>
              </w:rPr>
              <w:t>CO</w:t>
            </w:r>
            <w:r w:rsidRPr="00B11924">
              <w:rPr>
                <w:rFonts w:cs="Calibri"/>
                <w:sz w:val="16"/>
                <w:szCs w:val="16"/>
                <w:vertAlign w:val="subscript"/>
              </w:rPr>
              <w:t>2</w:t>
            </w:r>
          </w:p>
        </w:tc>
        <w:tc>
          <w:tcPr>
            <w:tcW w:w="850" w:type="dxa"/>
            <w:shd w:val="clear" w:color="auto" w:fill="FFFFFF" w:themeFill="background1"/>
          </w:tcPr>
          <w:p w14:paraId="7E21EB6F"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2025</w:t>
            </w:r>
          </w:p>
        </w:tc>
        <w:tc>
          <w:tcPr>
            <w:tcW w:w="1418" w:type="dxa"/>
            <w:shd w:val="clear" w:color="auto" w:fill="FFFFFF" w:themeFill="background1"/>
          </w:tcPr>
          <w:p w14:paraId="7651FA8E" w14:textId="77777777" w:rsidR="00652773" w:rsidRPr="00B11924" w:rsidRDefault="00652773">
            <w:pPr>
              <w:pStyle w:val="TableText"/>
              <w:spacing w:before="40" w:after="40" w:line="240" w:lineRule="auto"/>
              <w:rPr>
                <w:rFonts w:cs="Calibri"/>
                <w:color w:val="000000"/>
                <w:sz w:val="16"/>
                <w:szCs w:val="16"/>
              </w:rPr>
            </w:pPr>
            <w:r w:rsidRPr="00B11924">
              <w:rPr>
                <w:rFonts w:cs="Calibri"/>
                <w:sz w:val="16"/>
                <w:szCs w:val="16"/>
              </w:rPr>
              <w:t>Ministry of Business, Innovation and Employment</w:t>
            </w:r>
          </w:p>
        </w:tc>
        <w:tc>
          <w:tcPr>
            <w:tcW w:w="992" w:type="dxa"/>
            <w:shd w:val="clear" w:color="auto" w:fill="FFFFFF" w:themeFill="background1"/>
          </w:tcPr>
          <w:p w14:paraId="420615E4"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0</w:t>
            </w:r>
          </w:p>
        </w:tc>
        <w:tc>
          <w:tcPr>
            <w:tcW w:w="992" w:type="dxa"/>
            <w:shd w:val="clear" w:color="auto" w:fill="FFFFFF" w:themeFill="background1"/>
          </w:tcPr>
          <w:p w14:paraId="7E82B2DA"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0</w:t>
            </w:r>
          </w:p>
        </w:tc>
        <w:tc>
          <w:tcPr>
            <w:tcW w:w="964" w:type="dxa"/>
            <w:shd w:val="clear" w:color="auto" w:fill="FFFFFF" w:themeFill="background1"/>
          </w:tcPr>
          <w:p w14:paraId="77144C07"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42</w:t>
            </w:r>
          </w:p>
        </w:tc>
      </w:tr>
      <w:tr w:rsidR="00B467F4" w:rsidRPr="00B11924" w14:paraId="6A7075EF" w14:textId="77777777" w:rsidTr="00B467F4">
        <w:trPr>
          <w:gridAfter w:val="1"/>
          <w:wAfter w:w="24" w:type="dxa"/>
        </w:trPr>
        <w:tc>
          <w:tcPr>
            <w:tcW w:w="1134" w:type="dxa"/>
            <w:shd w:val="clear" w:color="auto" w:fill="auto"/>
          </w:tcPr>
          <w:p w14:paraId="3495F372" w14:textId="54B13609" w:rsidR="00652773" w:rsidRPr="00B11924" w:rsidRDefault="00652773">
            <w:pPr>
              <w:pStyle w:val="TableText"/>
              <w:spacing w:before="40" w:after="40" w:line="240" w:lineRule="auto"/>
              <w:rPr>
                <w:rFonts w:cs="Calibri"/>
                <w:sz w:val="16"/>
                <w:szCs w:val="16"/>
              </w:rPr>
            </w:pPr>
            <w:r w:rsidRPr="00B11924">
              <w:rPr>
                <w:rFonts w:cs="Calibri"/>
                <w:sz w:val="16"/>
                <w:szCs w:val="16"/>
              </w:rPr>
              <w:t xml:space="preserve">Hydrogen </w:t>
            </w:r>
            <w:r w:rsidR="00C01566">
              <w:rPr>
                <w:rFonts w:cs="Calibri"/>
                <w:sz w:val="16"/>
                <w:szCs w:val="16"/>
              </w:rPr>
              <w:t>Action Plan</w:t>
            </w:r>
          </w:p>
        </w:tc>
        <w:tc>
          <w:tcPr>
            <w:tcW w:w="1985" w:type="dxa"/>
          </w:tcPr>
          <w:p w14:paraId="77A920E5" w14:textId="2CACA43A" w:rsidR="00652773" w:rsidRPr="00B11924" w:rsidRDefault="00F37B75">
            <w:pPr>
              <w:pStyle w:val="TableText"/>
              <w:spacing w:before="40" w:after="40" w:line="240" w:lineRule="auto"/>
              <w:rPr>
                <w:rFonts w:cs="Calibri"/>
                <w:sz w:val="16"/>
                <w:szCs w:val="16"/>
              </w:rPr>
            </w:pPr>
            <w:r>
              <w:rPr>
                <w:rFonts w:cs="Calibri"/>
                <w:sz w:val="16"/>
                <w:szCs w:val="16"/>
              </w:rPr>
              <w:t>Development o</w:t>
            </w:r>
            <w:r w:rsidR="003E7E17">
              <w:rPr>
                <w:rFonts w:cs="Calibri"/>
                <w:sz w:val="16"/>
                <w:szCs w:val="16"/>
              </w:rPr>
              <w:t>f a Hydrogen Action Plan</w:t>
            </w:r>
          </w:p>
        </w:tc>
        <w:tc>
          <w:tcPr>
            <w:tcW w:w="1701" w:type="dxa"/>
            <w:shd w:val="clear" w:color="auto" w:fill="FFFFFF" w:themeFill="background1"/>
          </w:tcPr>
          <w:p w14:paraId="2E5FF225" w14:textId="639E5F2E" w:rsidR="00652773" w:rsidRPr="00B11924" w:rsidRDefault="00652773">
            <w:pPr>
              <w:pStyle w:val="TableText"/>
              <w:spacing w:before="40" w:after="40" w:line="240" w:lineRule="auto"/>
              <w:rPr>
                <w:rFonts w:cs="Calibri"/>
                <w:sz w:val="16"/>
                <w:szCs w:val="16"/>
              </w:rPr>
            </w:pPr>
            <w:r w:rsidRPr="00B11924">
              <w:rPr>
                <w:rFonts w:cs="Calibri"/>
                <w:sz w:val="16"/>
                <w:szCs w:val="16"/>
              </w:rPr>
              <w:t xml:space="preserve">Support </w:t>
            </w:r>
            <w:r w:rsidR="00D74633">
              <w:rPr>
                <w:rFonts w:cs="Calibri"/>
                <w:sz w:val="16"/>
                <w:szCs w:val="16"/>
              </w:rPr>
              <w:t>private investment in hydrogen</w:t>
            </w:r>
            <w:r w:rsidR="4BF5B8C5" w:rsidRPr="1E2FE3C0">
              <w:rPr>
                <w:rFonts w:cs="Calibri"/>
                <w:sz w:val="16"/>
                <w:szCs w:val="16"/>
              </w:rPr>
              <w:t>.</w:t>
            </w:r>
          </w:p>
        </w:tc>
        <w:tc>
          <w:tcPr>
            <w:tcW w:w="992" w:type="dxa"/>
            <w:shd w:val="clear" w:color="auto" w:fill="FFFFFF" w:themeFill="background1"/>
          </w:tcPr>
          <w:p w14:paraId="31D94025"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Regulatory, other</w:t>
            </w:r>
          </w:p>
        </w:tc>
        <w:tc>
          <w:tcPr>
            <w:tcW w:w="1134" w:type="dxa"/>
            <w:shd w:val="clear" w:color="auto" w:fill="FFFFFF" w:themeFill="background1"/>
          </w:tcPr>
          <w:p w14:paraId="767EA8F3"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Planned</w:t>
            </w:r>
          </w:p>
        </w:tc>
        <w:tc>
          <w:tcPr>
            <w:tcW w:w="1134" w:type="dxa"/>
            <w:shd w:val="clear" w:color="auto" w:fill="FFFFFF" w:themeFill="background1"/>
          </w:tcPr>
          <w:p w14:paraId="7424667D"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 xml:space="preserve">Energy, Transport, IPPU </w:t>
            </w:r>
          </w:p>
        </w:tc>
        <w:tc>
          <w:tcPr>
            <w:tcW w:w="1276" w:type="dxa"/>
            <w:shd w:val="clear" w:color="auto" w:fill="FFFFFF" w:themeFill="background1"/>
          </w:tcPr>
          <w:p w14:paraId="337CBF20"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CO</w:t>
            </w:r>
            <w:r w:rsidRPr="00B11924">
              <w:rPr>
                <w:rFonts w:cs="Calibri"/>
                <w:sz w:val="16"/>
                <w:szCs w:val="16"/>
                <w:vertAlign w:val="subscript"/>
              </w:rPr>
              <w:t>2</w:t>
            </w:r>
          </w:p>
        </w:tc>
        <w:tc>
          <w:tcPr>
            <w:tcW w:w="850" w:type="dxa"/>
            <w:shd w:val="clear" w:color="auto" w:fill="FFFFFF" w:themeFill="background1"/>
          </w:tcPr>
          <w:p w14:paraId="53BCEFE3"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2024</w:t>
            </w:r>
          </w:p>
        </w:tc>
        <w:tc>
          <w:tcPr>
            <w:tcW w:w="1418" w:type="dxa"/>
            <w:shd w:val="clear" w:color="auto" w:fill="FFFFFF" w:themeFill="background1"/>
          </w:tcPr>
          <w:p w14:paraId="124BB953" w14:textId="77777777" w:rsidR="00652773" w:rsidRPr="00B11924" w:rsidDel="00873F63" w:rsidRDefault="00652773">
            <w:pPr>
              <w:pStyle w:val="TableText"/>
              <w:spacing w:before="40" w:after="40" w:line="240" w:lineRule="auto"/>
              <w:rPr>
                <w:rFonts w:cs="Calibri"/>
                <w:sz w:val="16"/>
                <w:szCs w:val="16"/>
              </w:rPr>
            </w:pPr>
            <w:r w:rsidRPr="00B11924">
              <w:rPr>
                <w:rFonts w:cs="Calibri"/>
                <w:sz w:val="16"/>
                <w:szCs w:val="16"/>
              </w:rPr>
              <w:t>Ministry of Business, Innovation and Employment</w:t>
            </w:r>
          </w:p>
        </w:tc>
        <w:tc>
          <w:tcPr>
            <w:tcW w:w="992" w:type="dxa"/>
            <w:shd w:val="clear" w:color="auto" w:fill="FFFFFF" w:themeFill="background1"/>
          </w:tcPr>
          <w:p w14:paraId="7E11612B"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c>
          <w:tcPr>
            <w:tcW w:w="992" w:type="dxa"/>
            <w:shd w:val="clear" w:color="auto" w:fill="FFFFFF" w:themeFill="background1"/>
          </w:tcPr>
          <w:p w14:paraId="7BC99B6A"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c>
          <w:tcPr>
            <w:tcW w:w="964" w:type="dxa"/>
            <w:shd w:val="clear" w:color="auto" w:fill="FFFFFF" w:themeFill="background1"/>
          </w:tcPr>
          <w:p w14:paraId="005C27D3"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r>
      <w:tr w:rsidR="00B467F4" w:rsidRPr="00E711FA" w14:paraId="1C21CC98" w14:textId="77777777" w:rsidTr="00B467F4">
        <w:tc>
          <w:tcPr>
            <w:tcW w:w="1134" w:type="dxa"/>
            <w:shd w:val="clear" w:color="auto" w:fill="auto"/>
          </w:tcPr>
          <w:p w14:paraId="77693913" w14:textId="53035D42" w:rsidR="00652773" w:rsidRPr="00B11924" w:rsidRDefault="00652773">
            <w:pPr>
              <w:pStyle w:val="TableText"/>
              <w:spacing w:before="40" w:after="40" w:line="240" w:lineRule="auto"/>
              <w:rPr>
                <w:rFonts w:cs="Calibri"/>
                <w:sz w:val="16"/>
                <w:szCs w:val="16"/>
              </w:rPr>
            </w:pPr>
            <w:r w:rsidRPr="00B11924">
              <w:rPr>
                <w:rFonts w:cs="Calibri"/>
                <w:sz w:val="16"/>
                <w:szCs w:val="16"/>
              </w:rPr>
              <w:t>Carbon capture</w:t>
            </w:r>
            <w:r w:rsidR="00A20D5B">
              <w:rPr>
                <w:rFonts w:cs="Calibri"/>
                <w:sz w:val="16"/>
                <w:szCs w:val="16"/>
              </w:rPr>
              <w:t>,</w:t>
            </w:r>
            <w:r w:rsidRPr="00B11924">
              <w:rPr>
                <w:rFonts w:cs="Calibri"/>
                <w:sz w:val="16"/>
                <w:szCs w:val="16"/>
              </w:rPr>
              <w:t xml:space="preserve"> utilisation and storage</w:t>
            </w:r>
          </w:p>
        </w:tc>
        <w:tc>
          <w:tcPr>
            <w:tcW w:w="1985" w:type="dxa"/>
          </w:tcPr>
          <w:p w14:paraId="1ABF81AB" w14:textId="07F63B3D" w:rsidR="00652773" w:rsidRPr="00B11924" w:rsidRDefault="00652773">
            <w:pPr>
              <w:pStyle w:val="TableText"/>
              <w:spacing w:before="40" w:after="40" w:line="240" w:lineRule="auto"/>
              <w:rPr>
                <w:rFonts w:cs="Calibri"/>
                <w:sz w:val="16"/>
                <w:szCs w:val="16"/>
              </w:rPr>
            </w:pPr>
            <w:r w:rsidRPr="00B11924">
              <w:rPr>
                <w:rFonts w:cs="Calibri"/>
                <w:sz w:val="16"/>
                <w:szCs w:val="16"/>
              </w:rPr>
              <w:t>The Government has agreed to create an enabling regime for carbon capture</w:t>
            </w:r>
            <w:r w:rsidR="3402BDDE" w:rsidRPr="04BF459F">
              <w:rPr>
                <w:rFonts w:cs="Calibri"/>
                <w:sz w:val="16"/>
                <w:szCs w:val="16"/>
              </w:rPr>
              <w:t>,</w:t>
            </w:r>
            <w:r w:rsidRPr="00B11924">
              <w:rPr>
                <w:rFonts w:cs="Calibri"/>
                <w:sz w:val="16"/>
                <w:szCs w:val="16"/>
              </w:rPr>
              <w:t xml:space="preserve"> utilisation and storage. </w:t>
            </w:r>
          </w:p>
        </w:tc>
        <w:tc>
          <w:tcPr>
            <w:tcW w:w="1701" w:type="dxa"/>
            <w:shd w:val="clear" w:color="auto" w:fill="FFFFFF" w:themeFill="background1"/>
          </w:tcPr>
          <w:p w14:paraId="76AB10DF" w14:textId="77777777" w:rsidR="00652773" w:rsidRDefault="00652773">
            <w:pPr>
              <w:pStyle w:val="TableText"/>
              <w:spacing w:before="40" w:after="40" w:line="240" w:lineRule="auto"/>
              <w:rPr>
                <w:rFonts w:cs="Calibri"/>
                <w:sz w:val="16"/>
                <w:szCs w:val="16"/>
              </w:rPr>
            </w:pPr>
            <w:r w:rsidRPr="00B11924">
              <w:rPr>
                <w:rFonts w:cs="Calibri"/>
                <w:sz w:val="16"/>
                <w:szCs w:val="16"/>
              </w:rPr>
              <w:t>Allow New Zealand’s industries to access carbon capture</w:t>
            </w:r>
            <w:r w:rsidR="06DC7C1C" w:rsidRPr="04BF459F">
              <w:rPr>
                <w:rFonts w:cs="Calibri"/>
                <w:sz w:val="16"/>
                <w:szCs w:val="16"/>
              </w:rPr>
              <w:t>,</w:t>
            </w:r>
            <w:r w:rsidRPr="00B11924">
              <w:rPr>
                <w:rFonts w:cs="Calibri"/>
                <w:sz w:val="16"/>
                <w:szCs w:val="16"/>
              </w:rPr>
              <w:t xml:space="preserve"> utilisation and storage technology on a level playing field with other emissions reduction and removal tools</w:t>
            </w:r>
            <w:r w:rsidRPr="1D7F5925">
              <w:rPr>
                <w:rFonts w:cs="Calibri"/>
                <w:sz w:val="16"/>
                <w:szCs w:val="16"/>
              </w:rPr>
              <w:t>.</w:t>
            </w:r>
          </w:p>
          <w:p w14:paraId="6A9A43F3" w14:textId="77777777" w:rsidR="00B467F4" w:rsidRDefault="00B467F4">
            <w:pPr>
              <w:pStyle w:val="TableText"/>
              <w:spacing w:before="40" w:after="40" w:line="240" w:lineRule="auto"/>
              <w:rPr>
                <w:rFonts w:cs="Calibri"/>
                <w:sz w:val="16"/>
                <w:szCs w:val="16"/>
              </w:rPr>
            </w:pPr>
          </w:p>
          <w:p w14:paraId="3FDE4906" w14:textId="009CE7E7" w:rsidR="00B467F4" w:rsidRPr="00B11924" w:rsidRDefault="00B467F4">
            <w:pPr>
              <w:pStyle w:val="TableText"/>
              <w:spacing w:before="40" w:after="40" w:line="240" w:lineRule="auto"/>
              <w:rPr>
                <w:rFonts w:cs="Calibri"/>
                <w:sz w:val="16"/>
                <w:szCs w:val="16"/>
              </w:rPr>
            </w:pPr>
          </w:p>
        </w:tc>
        <w:tc>
          <w:tcPr>
            <w:tcW w:w="992" w:type="dxa"/>
            <w:shd w:val="clear" w:color="auto" w:fill="FFFFFF" w:themeFill="background1"/>
          </w:tcPr>
          <w:p w14:paraId="4DA44518"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Regulatory</w:t>
            </w:r>
          </w:p>
        </w:tc>
        <w:tc>
          <w:tcPr>
            <w:tcW w:w="1134" w:type="dxa"/>
            <w:shd w:val="clear" w:color="auto" w:fill="FFFFFF" w:themeFill="background1"/>
          </w:tcPr>
          <w:p w14:paraId="31FB825C" w14:textId="77D3E254" w:rsidR="00652773" w:rsidRPr="00B11924" w:rsidRDefault="00DB005D">
            <w:pPr>
              <w:pStyle w:val="TableText"/>
              <w:spacing w:before="40" w:after="40" w:line="240" w:lineRule="auto"/>
              <w:rPr>
                <w:rFonts w:cs="Calibri"/>
                <w:sz w:val="16"/>
                <w:szCs w:val="16"/>
              </w:rPr>
            </w:pPr>
            <w:r>
              <w:rPr>
                <w:rFonts w:cs="Calibri"/>
                <w:sz w:val="16"/>
                <w:szCs w:val="16"/>
              </w:rPr>
              <w:t>Adopted</w:t>
            </w:r>
          </w:p>
        </w:tc>
        <w:tc>
          <w:tcPr>
            <w:tcW w:w="1134" w:type="dxa"/>
            <w:shd w:val="clear" w:color="auto" w:fill="FFFFFF" w:themeFill="background1"/>
          </w:tcPr>
          <w:p w14:paraId="18C4D8B1"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Energy</w:t>
            </w:r>
          </w:p>
        </w:tc>
        <w:tc>
          <w:tcPr>
            <w:tcW w:w="1276" w:type="dxa"/>
            <w:shd w:val="clear" w:color="auto" w:fill="FFFFFF" w:themeFill="background1"/>
          </w:tcPr>
          <w:p w14:paraId="52B9CCE6"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CO</w:t>
            </w:r>
            <w:r w:rsidRPr="00B11924">
              <w:rPr>
                <w:rFonts w:cs="Calibri"/>
                <w:sz w:val="16"/>
                <w:szCs w:val="16"/>
                <w:vertAlign w:val="subscript"/>
              </w:rPr>
              <w:t>2</w:t>
            </w:r>
          </w:p>
        </w:tc>
        <w:tc>
          <w:tcPr>
            <w:tcW w:w="850" w:type="dxa"/>
            <w:shd w:val="clear" w:color="auto" w:fill="FFFFFF" w:themeFill="background1"/>
          </w:tcPr>
          <w:p w14:paraId="3CF68226"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2025</w:t>
            </w:r>
          </w:p>
        </w:tc>
        <w:tc>
          <w:tcPr>
            <w:tcW w:w="1418" w:type="dxa"/>
            <w:shd w:val="clear" w:color="auto" w:fill="FFFFFF" w:themeFill="background1"/>
          </w:tcPr>
          <w:p w14:paraId="57EBC98A"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Ministry of Business, Innovation and Employment</w:t>
            </w:r>
          </w:p>
        </w:tc>
        <w:tc>
          <w:tcPr>
            <w:tcW w:w="992" w:type="dxa"/>
            <w:shd w:val="clear" w:color="auto" w:fill="FFFFFF" w:themeFill="background1"/>
          </w:tcPr>
          <w:p w14:paraId="0B9F95E4" w14:textId="2D7588F0" w:rsidR="00652773" w:rsidRPr="00B11924" w:rsidRDefault="00B8593D">
            <w:pPr>
              <w:pStyle w:val="TableText"/>
              <w:spacing w:before="40" w:after="40" w:line="240" w:lineRule="auto"/>
              <w:rPr>
                <w:rFonts w:cs="Calibri"/>
                <w:sz w:val="16"/>
                <w:szCs w:val="16"/>
              </w:rPr>
            </w:pPr>
            <w:r>
              <w:rPr>
                <w:rFonts w:cs="Calibri"/>
                <w:sz w:val="16"/>
                <w:szCs w:val="16"/>
              </w:rPr>
              <w:t>NE</w:t>
            </w:r>
          </w:p>
        </w:tc>
        <w:tc>
          <w:tcPr>
            <w:tcW w:w="992" w:type="dxa"/>
            <w:shd w:val="clear" w:color="auto" w:fill="FFFFFF" w:themeFill="background1"/>
          </w:tcPr>
          <w:p w14:paraId="04460EBE" w14:textId="11132686" w:rsidR="00652773" w:rsidRPr="00B11924" w:rsidRDefault="00B8593D">
            <w:pPr>
              <w:pStyle w:val="TableText"/>
              <w:spacing w:before="40" w:after="40" w:line="240" w:lineRule="auto"/>
              <w:rPr>
                <w:rFonts w:cs="Calibri"/>
                <w:sz w:val="16"/>
                <w:szCs w:val="16"/>
              </w:rPr>
            </w:pPr>
            <w:r>
              <w:rPr>
                <w:rFonts w:cs="Calibri"/>
                <w:sz w:val="16"/>
                <w:szCs w:val="16"/>
              </w:rPr>
              <w:t>NE</w:t>
            </w:r>
          </w:p>
        </w:tc>
        <w:tc>
          <w:tcPr>
            <w:tcW w:w="988" w:type="dxa"/>
            <w:gridSpan w:val="2"/>
            <w:shd w:val="clear" w:color="auto" w:fill="FFFFFF" w:themeFill="background1"/>
          </w:tcPr>
          <w:p w14:paraId="0EB04A5F" w14:textId="384F5360" w:rsidR="00652773" w:rsidRPr="00B11924" w:rsidRDefault="00B8593D">
            <w:pPr>
              <w:pStyle w:val="TableText"/>
              <w:spacing w:before="40" w:after="40" w:line="240" w:lineRule="auto"/>
              <w:rPr>
                <w:rFonts w:cs="Calibri"/>
                <w:sz w:val="16"/>
                <w:szCs w:val="16"/>
              </w:rPr>
            </w:pPr>
            <w:r>
              <w:rPr>
                <w:rFonts w:cs="Calibri"/>
                <w:sz w:val="16"/>
                <w:szCs w:val="16"/>
              </w:rPr>
              <w:t>NE</w:t>
            </w:r>
          </w:p>
        </w:tc>
      </w:tr>
      <w:tr w:rsidR="000463C2" w:rsidRPr="00B11924" w14:paraId="63AAC535" w14:textId="77777777" w:rsidTr="00692400">
        <w:tc>
          <w:tcPr>
            <w:tcW w:w="14596" w:type="dxa"/>
            <w:gridSpan w:val="13"/>
            <w:shd w:val="clear" w:color="auto" w:fill="D2DDE1" w:themeFill="background2"/>
          </w:tcPr>
          <w:p w14:paraId="46988172" w14:textId="27719C50" w:rsidR="000463C2" w:rsidRPr="00B11924" w:rsidRDefault="0024610E">
            <w:pPr>
              <w:pStyle w:val="TableText"/>
              <w:spacing w:before="40" w:after="40" w:line="240" w:lineRule="auto"/>
              <w:rPr>
                <w:rFonts w:cs="Calibri"/>
                <w:szCs w:val="18"/>
              </w:rPr>
            </w:pPr>
            <w:r w:rsidRPr="00B11924">
              <w:rPr>
                <w:rFonts w:cs="Calibri"/>
                <w:b/>
                <w:sz w:val="16"/>
                <w:szCs w:val="16"/>
              </w:rPr>
              <w:t>Energy: energy efficiency</w:t>
            </w:r>
          </w:p>
        </w:tc>
      </w:tr>
      <w:tr w:rsidR="00E872AA" w:rsidRPr="00E711FA" w14:paraId="204AB535" w14:textId="77777777" w:rsidTr="006E5BDE">
        <w:trPr>
          <w:gridAfter w:val="1"/>
          <w:wAfter w:w="24" w:type="dxa"/>
        </w:trPr>
        <w:tc>
          <w:tcPr>
            <w:tcW w:w="1134" w:type="dxa"/>
            <w:shd w:val="clear" w:color="auto" w:fill="auto"/>
          </w:tcPr>
          <w:p w14:paraId="50F46EF1"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rPr>
              <w:t>Equipment Energy Efficiency programme</w:t>
            </w:r>
          </w:p>
        </w:tc>
        <w:tc>
          <w:tcPr>
            <w:tcW w:w="1985" w:type="dxa"/>
          </w:tcPr>
          <w:p w14:paraId="4C50F6AE"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The joint Equipment Energy Efficiency Programme has been developed with Australia. Energy efficiency measures, including energy rating labelling for a range of residential, commercial and industrial products, along with mandatory performance standards, allow both countries to set consistent standards and measures for energy efficiency.</w:t>
            </w:r>
          </w:p>
        </w:tc>
        <w:tc>
          <w:tcPr>
            <w:tcW w:w="1701" w:type="dxa"/>
          </w:tcPr>
          <w:p w14:paraId="591456F6"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Help households and businesses to purchase and use products that use less energy and save money.</w:t>
            </w:r>
          </w:p>
        </w:tc>
        <w:tc>
          <w:tcPr>
            <w:tcW w:w="992" w:type="dxa"/>
          </w:tcPr>
          <w:p w14:paraId="7C590ED4"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Regulatory, other</w:t>
            </w:r>
          </w:p>
        </w:tc>
        <w:tc>
          <w:tcPr>
            <w:tcW w:w="1134" w:type="dxa"/>
          </w:tcPr>
          <w:p w14:paraId="7F9AD7B1"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Implemented</w:t>
            </w:r>
          </w:p>
        </w:tc>
        <w:tc>
          <w:tcPr>
            <w:tcW w:w="1134" w:type="dxa"/>
            <w:shd w:val="clear" w:color="auto" w:fill="auto"/>
          </w:tcPr>
          <w:p w14:paraId="7251AB17"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rPr>
              <w:t>Energy</w:t>
            </w:r>
          </w:p>
        </w:tc>
        <w:tc>
          <w:tcPr>
            <w:tcW w:w="1276" w:type="dxa"/>
            <w:shd w:val="clear" w:color="auto" w:fill="auto"/>
          </w:tcPr>
          <w:p w14:paraId="421D930E"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rPr>
              <w:t>CO</w:t>
            </w:r>
            <w:r w:rsidRPr="00B11924">
              <w:rPr>
                <w:rFonts w:cs="Calibri"/>
                <w:sz w:val="16"/>
                <w:szCs w:val="16"/>
                <w:vertAlign w:val="subscript"/>
              </w:rPr>
              <w:t>2</w:t>
            </w:r>
          </w:p>
        </w:tc>
        <w:tc>
          <w:tcPr>
            <w:tcW w:w="850" w:type="dxa"/>
            <w:shd w:val="clear" w:color="auto" w:fill="auto"/>
          </w:tcPr>
          <w:p w14:paraId="039F6A1D"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rPr>
              <w:t>2002</w:t>
            </w:r>
          </w:p>
        </w:tc>
        <w:tc>
          <w:tcPr>
            <w:tcW w:w="1418" w:type="dxa"/>
            <w:shd w:val="clear" w:color="auto" w:fill="auto"/>
          </w:tcPr>
          <w:p w14:paraId="15B68ED7"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rPr>
              <w:t>Energy Efficiency and Conservation Authority</w:t>
            </w:r>
          </w:p>
        </w:tc>
        <w:tc>
          <w:tcPr>
            <w:tcW w:w="992" w:type="dxa"/>
          </w:tcPr>
          <w:p w14:paraId="17927958"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c>
          <w:tcPr>
            <w:tcW w:w="992" w:type="dxa"/>
            <w:shd w:val="clear" w:color="auto" w:fill="auto"/>
          </w:tcPr>
          <w:p w14:paraId="6945D106"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c>
          <w:tcPr>
            <w:tcW w:w="964" w:type="dxa"/>
            <w:shd w:val="clear" w:color="auto" w:fill="auto"/>
          </w:tcPr>
          <w:p w14:paraId="3670CBE4"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r>
      <w:tr w:rsidR="00E872AA" w:rsidRPr="00E711FA" w14:paraId="6C4DF01E" w14:textId="77777777" w:rsidTr="006E5BDE">
        <w:trPr>
          <w:gridAfter w:val="1"/>
          <w:wAfter w:w="24" w:type="dxa"/>
        </w:trPr>
        <w:tc>
          <w:tcPr>
            <w:tcW w:w="1134" w:type="dxa"/>
            <w:shd w:val="clear" w:color="auto" w:fill="auto"/>
          </w:tcPr>
          <w:p w14:paraId="6D1681C0"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rPr>
              <w:t xml:space="preserve">Publicly Available Specifications </w:t>
            </w:r>
          </w:p>
        </w:tc>
        <w:tc>
          <w:tcPr>
            <w:tcW w:w="1985" w:type="dxa"/>
          </w:tcPr>
          <w:p w14:paraId="137C983E"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The Energy Efficiency and Conservation Authority has worked with Standards New Zealand since 2020 to develop five Publicly Available Specifications. This includes guidance for biomass boilers, high-temperature heat pumps, and residential and commercial electric vehicle chargers.</w:t>
            </w:r>
          </w:p>
        </w:tc>
        <w:tc>
          <w:tcPr>
            <w:tcW w:w="1701" w:type="dxa"/>
          </w:tcPr>
          <w:p w14:paraId="2DE92ECF"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Provide best-practice specifications for non-regulated products.</w:t>
            </w:r>
          </w:p>
        </w:tc>
        <w:tc>
          <w:tcPr>
            <w:tcW w:w="992" w:type="dxa"/>
          </w:tcPr>
          <w:p w14:paraId="65B57C16"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Other</w:t>
            </w:r>
          </w:p>
        </w:tc>
        <w:tc>
          <w:tcPr>
            <w:tcW w:w="1134" w:type="dxa"/>
          </w:tcPr>
          <w:p w14:paraId="7E663D5E"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Implemented</w:t>
            </w:r>
          </w:p>
        </w:tc>
        <w:tc>
          <w:tcPr>
            <w:tcW w:w="1134" w:type="dxa"/>
            <w:shd w:val="clear" w:color="auto" w:fill="auto"/>
          </w:tcPr>
          <w:p w14:paraId="334D3623"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rPr>
              <w:t>Energy</w:t>
            </w:r>
          </w:p>
        </w:tc>
        <w:tc>
          <w:tcPr>
            <w:tcW w:w="1276" w:type="dxa"/>
            <w:shd w:val="clear" w:color="auto" w:fill="auto"/>
          </w:tcPr>
          <w:p w14:paraId="3422A146"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rPr>
              <w:t>CO</w:t>
            </w:r>
            <w:r w:rsidRPr="00B11924">
              <w:rPr>
                <w:rFonts w:cs="Calibri"/>
                <w:sz w:val="16"/>
                <w:szCs w:val="16"/>
                <w:vertAlign w:val="subscript"/>
              </w:rPr>
              <w:t>2</w:t>
            </w:r>
          </w:p>
        </w:tc>
        <w:tc>
          <w:tcPr>
            <w:tcW w:w="850" w:type="dxa"/>
            <w:shd w:val="clear" w:color="auto" w:fill="auto"/>
          </w:tcPr>
          <w:p w14:paraId="2F91DBFD"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rPr>
              <w:t>2020</w:t>
            </w:r>
          </w:p>
        </w:tc>
        <w:tc>
          <w:tcPr>
            <w:tcW w:w="1418" w:type="dxa"/>
            <w:shd w:val="clear" w:color="auto" w:fill="auto"/>
          </w:tcPr>
          <w:p w14:paraId="09B13F6C" w14:textId="77777777" w:rsidR="00652773" w:rsidRPr="00B11924" w:rsidRDefault="00652773">
            <w:pPr>
              <w:pStyle w:val="TableText"/>
              <w:spacing w:before="40" w:after="40" w:line="240" w:lineRule="auto"/>
              <w:rPr>
                <w:rFonts w:cs="Calibri"/>
                <w:sz w:val="16"/>
                <w:szCs w:val="16"/>
                <w:lang w:eastAsia="en-US"/>
              </w:rPr>
            </w:pPr>
            <w:r w:rsidRPr="00B11924">
              <w:rPr>
                <w:rFonts w:cs="Calibri"/>
                <w:sz w:val="16"/>
                <w:szCs w:val="16"/>
              </w:rPr>
              <w:t>Energy Efficiency and Conservation Authority</w:t>
            </w:r>
          </w:p>
        </w:tc>
        <w:tc>
          <w:tcPr>
            <w:tcW w:w="992" w:type="dxa"/>
          </w:tcPr>
          <w:p w14:paraId="6FDAC2C9"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c>
          <w:tcPr>
            <w:tcW w:w="992" w:type="dxa"/>
            <w:shd w:val="clear" w:color="auto" w:fill="auto"/>
          </w:tcPr>
          <w:p w14:paraId="366F8DD5"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c>
          <w:tcPr>
            <w:tcW w:w="964" w:type="dxa"/>
            <w:shd w:val="clear" w:color="auto" w:fill="auto"/>
          </w:tcPr>
          <w:p w14:paraId="70A1051C"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r>
      <w:tr w:rsidR="00E872AA" w:rsidRPr="00E711FA" w14:paraId="67C68D99" w14:textId="77777777" w:rsidTr="006E5BDE">
        <w:trPr>
          <w:gridAfter w:val="1"/>
          <w:wAfter w:w="24" w:type="dxa"/>
        </w:trPr>
        <w:tc>
          <w:tcPr>
            <w:tcW w:w="1134" w:type="dxa"/>
            <w:shd w:val="clear" w:color="auto" w:fill="auto"/>
          </w:tcPr>
          <w:p w14:paraId="05018CF0" w14:textId="77777777" w:rsidR="00652773" w:rsidRPr="00B11924" w:rsidRDefault="00652773">
            <w:pPr>
              <w:pStyle w:val="TableText"/>
              <w:keepNext/>
              <w:spacing w:before="40" w:after="40" w:line="240" w:lineRule="auto"/>
              <w:rPr>
                <w:rFonts w:cs="Calibri"/>
                <w:sz w:val="16"/>
                <w:szCs w:val="16"/>
              </w:rPr>
            </w:pPr>
            <w:r w:rsidRPr="00B11924">
              <w:rPr>
                <w:rFonts w:cs="Calibri"/>
                <w:sz w:val="16"/>
                <w:szCs w:val="16"/>
              </w:rPr>
              <w:t>Gen Less</w:t>
            </w:r>
          </w:p>
        </w:tc>
        <w:tc>
          <w:tcPr>
            <w:tcW w:w="1985" w:type="dxa"/>
          </w:tcPr>
          <w:p w14:paraId="2788852B"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The Gen Less website, social media channels and direct mailing lists provide information about climate change and how to reduce energy-related emissions at household, business and national levels.</w:t>
            </w:r>
          </w:p>
        </w:tc>
        <w:tc>
          <w:tcPr>
            <w:tcW w:w="1701" w:type="dxa"/>
          </w:tcPr>
          <w:p w14:paraId="3B697C04"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Educate people and businesses about their energy choices.</w:t>
            </w:r>
          </w:p>
        </w:tc>
        <w:tc>
          <w:tcPr>
            <w:tcW w:w="992" w:type="dxa"/>
          </w:tcPr>
          <w:p w14:paraId="58C78489"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Other</w:t>
            </w:r>
          </w:p>
        </w:tc>
        <w:tc>
          <w:tcPr>
            <w:tcW w:w="1134" w:type="dxa"/>
          </w:tcPr>
          <w:p w14:paraId="793468DD"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Implemented</w:t>
            </w:r>
          </w:p>
        </w:tc>
        <w:tc>
          <w:tcPr>
            <w:tcW w:w="1134" w:type="dxa"/>
            <w:shd w:val="clear" w:color="auto" w:fill="auto"/>
          </w:tcPr>
          <w:p w14:paraId="6AA7D21B"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Energy</w:t>
            </w:r>
          </w:p>
        </w:tc>
        <w:tc>
          <w:tcPr>
            <w:tcW w:w="1276" w:type="dxa"/>
            <w:shd w:val="clear" w:color="auto" w:fill="auto"/>
          </w:tcPr>
          <w:p w14:paraId="43343E55"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CO</w:t>
            </w:r>
            <w:r w:rsidRPr="00B11924">
              <w:rPr>
                <w:rFonts w:cs="Calibri"/>
                <w:sz w:val="16"/>
                <w:szCs w:val="16"/>
                <w:vertAlign w:val="subscript"/>
              </w:rPr>
              <w:t>2</w:t>
            </w:r>
          </w:p>
        </w:tc>
        <w:tc>
          <w:tcPr>
            <w:tcW w:w="850" w:type="dxa"/>
            <w:shd w:val="clear" w:color="auto" w:fill="auto"/>
          </w:tcPr>
          <w:p w14:paraId="46482BA1"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2019</w:t>
            </w:r>
          </w:p>
        </w:tc>
        <w:tc>
          <w:tcPr>
            <w:tcW w:w="1418" w:type="dxa"/>
            <w:shd w:val="clear" w:color="auto" w:fill="auto"/>
          </w:tcPr>
          <w:p w14:paraId="59BE96C7"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Energy Efficiency and Conservation Authority</w:t>
            </w:r>
          </w:p>
        </w:tc>
        <w:tc>
          <w:tcPr>
            <w:tcW w:w="992" w:type="dxa"/>
          </w:tcPr>
          <w:p w14:paraId="7FAB4195"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c>
          <w:tcPr>
            <w:tcW w:w="992" w:type="dxa"/>
            <w:shd w:val="clear" w:color="auto" w:fill="auto"/>
          </w:tcPr>
          <w:p w14:paraId="67FFE38B"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c>
          <w:tcPr>
            <w:tcW w:w="964" w:type="dxa"/>
            <w:shd w:val="clear" w:color="auto" w:fill="auto"/>
          </w:tcPr>
          <w:p w14:paraId="5EC9336C" w14:textId="77777777" w:rsidR="00652773" w:rsidRPr="00B11924" w:rsidRDefault="00652773">
            <w:pPr>
              <w:pStyle w:val="TableText"/>
              <w:spacing w:before="40" w:after="40" w:line="240" w:lineRule="auto"/>
              <w:rPr>
                <w:rFonts w:cs="Calibri"/>
                <w:sz w:val="16"/>
                <w:szCs w:val="16"/>
              </w:rPr>
            </w:pPr>
            <w:r w:rsidRPr="00B11924">
              <w:rPr>
                <w:rFonts w:cs="Calibri"/>
                <w:sz w:val="16"/>
                <w:szCs w:val="16"/>
              </w:rPr>
              <w:t>NE</w:t>
            </w:r>
          </w:p>
        </w:tc>
      </w:tr>
      <w:tr w:rsidR="00E872AA" w:rsidRPr="00E711FA" w14:paraId="2898C725" w14:textId="77777777" w:rsidTr="006E5BDE">
        <w:trPr>
          <w:gridAfter w:val="1"/>
          <w:wAfter w:w="24" w:type="dxa"/>
        </w:trPr>
        <w:tc>
          <w:tcPr>
            <w:tcW w:w="1134" w:type="dxa"/>
            <w:shd w:val="clear" w:color="auto" w:fill="auto"/>
          </w:tcPr>
          <w:p w14:paraId="47331ED8"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 xml:space="preserve">Support for Energy Education in Communities Programme </w:t>
            </w:r>
          </w:p>
        </w:tc>
        <w:tc>
          <w:tcPr>
            <w:tcW w:w="1985" w:type="dxa"/>
          </w:tcPr>
          <w:p w14:paraId="0F330C67" w14:textId="1CCD21D8" w:rsidR="00155185" w:rsidRPr="00B11924" w:rsidRDefault="00652773" w:rsidP="000D2C24">
            <w:pPr>
              <w:pStyle w:val="TableText"/>
              <w:spacing w:before="40" w:after="40" w:line="240" w:lineRule="auto"/>
              <w:rPr>
                <w:rFonts w:cs="Calibri"/>
                <w:color w:val="000000"/>
                <w:sz w:val="16"/>
                <w:szCs w:val="16"/>
              </w:rPr>
            </w:pPr>
            <w:r w:rsidRPr="00B11924">
              <w:rPr>
                <w:rFonts w:cs="Calibri"/>
                <w:color w:val="000000"/>
                <w:sz w:val="16"/>
                <w:szCs w:val="16"/>
              </w:rPr>
              <w:t>The Support for Energy Education in Communities Programme funds New Zealand organisations to deliver personalised, specialist advice and education to struggling households in their communities. Organisations can also supply low-cost, energy-saving items, such as LED light bulbs, low-flow showerheads, heaters and devices to monitor temperature and humidity.</w:t>
            </w:r>
          </w:p>
        </w:tc>
        <w:tc>
          <w:tcPr>
            <w:tcW w:w="1701" w:type="dxa"/>
          </w:tcPr>
          <w:p w14:paraId="346F8D48"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 xml:space="preserve">Lift people out of energy hardship. </w:t>
            </w:r>
          </w:p>
        </w:tc>
        <w:tc>
          <w:tcPr>
            <w:tcW w:w="992" w:type="dxa"/>
          </w:tcPr>
          <w:p w14:paraId="368BD009"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Economic instrument</w:t>
            </w:r>
          </w:p>
        </w:tc>
        <w:tc>
          <w:tcPr>
            <w:tcW w:w="1134" w:type="dxa"/>
          </w:tcPr>
          <w:p w14:paraId="2CB8AAAF"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Implemented</w:t>
            </w:r>
          </w:p>
        </w:tc>
        <w:tc>
          <w:tcPr>
            <w:tcW w:w="1134" w:type="dxa"/>
            <w:shd w:val="clear" w:color="auto" w:fill="auto"/>
          </w:tcPr>
          <w:p w14:paraId="4378C501"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Energy</w:t>
            </w:r>
          </w:p>
        </w:tc>
        <w:tc>
          <w:tcPr>
            <w:tcW w:w="1276" w:type="dxa"/>
            <w:shd w:val="clear" w:color="auto" w:fill="auto"/>
          </w:tcPr>
          <w:p w14:paraId="0B2A9181"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CO</w:t>
            </w:r>
            <w:r w:rsidRPr="00B11924">
              <w:rPr>
                <w:rFonts w:cs="Calibri"/>
                <w:color w:val="000000"/>
                <w:sz w:val="16"/>
                <w:szCs w:val="16"/>
                <w:vertAlign w:val="subscript"/>
              </w:rPr>
              <w:t>2</w:t>
            </w:r>
          </w:p>
        </w:tc>
        <w:tc>
          <w:tcPr>
            <w:tcW w:w="850" w:type="dxa"/>
            <w:shd w:val="clear" w:color="auto" w:fill="auto"/>
          </w:tcPr>
          <w:p w14:paraId="7B1CC90B"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2020</w:t>
            </w:r>
          </w:p>
        </w:tc>
        <w:tc>
          <w:tcPr>
            <w:tcW w:w="1418" w:type="dxa"/>
            <w:shd w:val="clear" w:color="auto" w:fill="auto"/>
          </w:tcPr>
          <w:p w14:paraId="1A599A44" w14:textId="77777777" w:rsidR="00652773" w:rsidRPr="00B11924" w:rsidRDefault="00652773">
            <w:pPr>
              <w:pStyle w:val="TableText"/>
              <w:spacing w:before="40" w:after="40" w:line="240" w:lineRule="auto"/>
              <w:rPr>
                <w:rFonts w:cs="Calibri"/>
                <w:color w:val="000000"/>
                <w:sz w:val="16"/>
                <w:szCs w:val="16"/>
              </w:rPr>
            </w:pPr>
            <w:r w:rsidRPr="00B11924">
              <w:rPr>
                <w:rFonts w:cs="Calibri"/>
                <w:color w:val="000000"/>
                <w:sz w:val="16"/>
                <w:szCs w:val="16"/>
              </w:rPr>
              <w:t>Ministry of Business, Innovation and Employment</w:t>
            </w:r>
          </w:p>
        </w:tc>
        <w:tc>
          <w:tcPr>
            <w:tcW w:w="992" w:type="dxa"/>
          </w:tcPr>
          <w:p w14:paraId="7A7FF280" w14:textId="77777777" w:rsidR="00652773" w:rsidRPr="00B11924" w:rsidRDefault="00652773">
            <w:pPr>
              <w:pStyle w:val="TableText"/>
              <w:spacing w:before="40" w:after="40" w:line="240" w:lineRule="auto"/>
              <w:rPr>
                <w:rFonts w:cs="Calibri"/>
                <w:color w:val="000000"/>
                <w:sz w:val="16"/>
                <w:szCs w:val="16"/>
              </w:rPr>
            </w:pPr>
            <w:r w:rsidRPr="00B11924">
              <w:rPr>
                <w:rFonts w:cs="Calibri"/>
                <w:sz w:val="16"/>
                <w:szCs w:val="16"/>
              </w:rPr>
              <w:t>NE</w:t>
            </w:r>
          </w:p>
        </w:tc>
        <w:tc>
          <w:tcPr>
            <w:tcW w:w="992" w:type="dxa"/>
            <w:shd w:val="clear" w:color="auto" w:fill="auto"/>
          </w:tcPr>
          <w:p w14:paraId="19870380" w14:textId="77777777" w:rsidR="00652773" w:rsidRPr="00B11924" w:rsidRDefault="00652773">
            <w:pPr>
              <w:pStyle w:val="TableText"/>
              <w:spacing w:before="40" w:after="40" w:line="240" w:lineRule="auto"/>
              <w:rPr>
                <w:rFonts w:cs="Calibri"/>
                <w:color w:val="000000"/>
                <w:sz w:val="16"/>
                <w:szCs w:val="16"/>
              </w:rPr>
            </w:pPr>
            <w:r w:rsidRPr="00B11924">
              <w:rPr>
                <w:rFonts w:cs="Calibri"/>
                <w:sz w:val="16"/>
                <w:szCs w:val="16"/>
              </w:rPr>
              <w:t>NE</w:t>
            </w:r>
          </w:p>
        </w:tc>
        <w:tc>
          <w:tcPr>
            <w:tcW w:w="964" w:type="dxa"/>
            <w:shd w:val="clear" w:color="auto" w:fill="auto"/>
          </w:tcPr>
          <w:p w14:paraId="6B9E07A9" w14:textId="77777777" w:rsidR="00652773" w:rsidRPr="00B11924" w:rsidRDefault="00652773">
            <w:pPr>
              <w:pStyle w:val="TableText"/>
              <w:spacing w:before="40" w:after="40" w:line="240" w:lineRule="auto"/>
              <w:rPr>
                <w:rFonts w:cs="Calibri"/>
                <w:color w:val="000000"/>
                <w:sz w:val="16"/>
                <w:szCs w:val="16"/>
              </w:rPr>
            </w:pPr>
            <w:r w:rsidRPr="00B11924">
              <w:rPr>
                <w:rFonts w:cs="Calibri"/>
                <w:sz w:val="16"/>
                <w:szCs w:val="16"/>
              </w:rPr>
              <w:t>NE</w:t>
            </w:r>
          </w:p>
        </w:tc>
      </w:tr>
      <w:tr w:rsidR="001567CE" w:rsidRPr="00E711FA" w14:paraId="13FF631A" w14:textId="77777777" w:rsidTr="00692400">
        <w:tc>
          <w:tcPr>
            <w:tcW w:w="14596" w:type="dxa"/>
            <w:gridSpan w:val="13"/>
            <w:shd w:val="clear" w:color="auto" w:fill="D2DDE1" w:themeFill="background2"/>
          </w:tcPr>
          <w:p w14:paraId="1A10DD1D" w14:textId="6AC787C8" w:rsidR="001567CE" w:rsidRPr="00E711FA" w:rsidRDefault="0024610E">
            <w:pPr>
              <w:pStyle w:val="TableText"/>
              <w:spacing w:before="40" w:after="40" w:line="240" w:lineRule="auto"/>
              <w:rPr>
                <w:rFonts w:cs="Calibri"/>
                <w:sz w:val="14"/>
                <w:szCs w:val="14"/>
              </w:rPr>
            </w:pPr>
            <w:r w:rsidRPr="00B11924">
              <w:rPr>
                <w:rFonts w:cs="Calibri"/>
                <w:b/>
                <w:color w:val="000000"/>
                <w:spacing w:val="-4"/>
                <w:sz w:val="16"/>
                <w:szCs w:val="16"/>
              </w:rPr>
              <w:t>Energy: Business decarbonisation</w:t>
            </w:r>
          </w:p>
        </w:tc>
      </w:tr>
      <w:tr w:rsidR="00E872AA" w:rsidRPr="00E711FA" w14:paraId="0469B528" w14:textId="77777777" w:rsidTr="006E5BDE">
        <w:trPr>
          <w:gridAfter w:val="1"/>
          <w:wAfter w:w="24" w:type="dxa"/>
        </w:trPr>
        <w:tc>
          <w:tcPr>
            <w:tcW w:w="1134" w:type="dxa"/>
            <w:shd w:val="clear" w:color="auto" w:fill="auto"/>
          </w:tcPr>
          <w:p w14:paraId="076AE0E8" w14:textId="77777777" w:rsidR="00652773" w:rsidRPr="00D42EDA" w:rsidRDefault="00652773">
            <w:pPr>
              <w:pStyle w:val="TableText"/>
              <w:spacing w:before="40" w:after="40" w:line="240" w:lineRule="auto"/>
              <w:rPr>
                <w:rFonts w:cs="Calibri"/>
                <w:color w:val="000000"/>
                <w:spacing w:val="-8"/>
                <w:sz w:val="16"/>
                <w:szCs w:val="16"/>
              </w:rPr>
            </w:pPr>
            <w:r w:rsidRPr="00D42EDA">
              <w:rPr>
                <w:rFonts w:cs="Calibri"/>
                <w:color w:val="000000"/>
                <w:spacing w:val="-8"/>
                <w:sz w:val="16"/>
                <w:szCs w:val="16"/>
              </w:rPr>
              <w:t>Business decarbonisation programmes</w:t>
            </w:r>
          </w:p>
        </w:tc>
        <w:tc>
          <w:tcPr>
            <w:tcW w:w="1985" w:type="dxa"/>
          </w:tcPr>
          <w:p w14:paraId="2A42E68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The Government’s business decarbonisation programmes help businesses reduce emissions and improve energy productivity. Support is provided through the programmes included below, as well as via energy audits and feasibility studies. It includes the Energy Transition Accelerator programme, Regional Energy Transition Accelerator programme, Technology Demonstration programme and </w:t>
            </w:r>
            <w:r w:rsidRPr="00D42EDA">
              <w:rPr>
                <w:rFonts w:eastAsia="Calibri" w:cs="Calibri"/>
                <w:sz w:val="16"/>
                <w:szCs w:val="16"/>
              </w:rPr>
              <w:t xml:space="preserve">the Sector Decarbonisation Programme. </w:t>
            </w:r>
          </w:p>
        </w:tc>
        <w:tc>
          <w:tcPr>
            <w:tcW w:w="1701" w:type="dxa"/>
          </w:tcPr>
          <w:p w14:paraId="639245AB"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themeColor="text1"/>
                <w:sz w:val="16"/>
                <w:szCs w:val="16"/>
              </w:rPr>
              <w:t>Support businesses to decarbonise process heat.</w:t>
            </w:r>
          </w:p>
        </w:tc>
        <w:tc>
          <w:tcPr>
            <w:tcW w:w="992" w:type="dxa"/>
          </w:tcPr>
          <w:p w14:paraId="7D87AAA7"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themeColor="text1"/>
                <w:sz w:val="16"/>
                <w:szCs w:val="16"/>
              </w:rPr>
              <w:t>Other</w:t>
            </w:r>
          </w:p>
        </w:tc>
        <w:tc>
          <w:tcPr>
            <w:tcW w:w="1134" w:type="dxa"/>
          </w:tcPr>
          <w:p w14:paraId="58AABA55" w14:textId="77777777" w:rsidR="00652773" w:rsidRPr="00D42EDA" w:rsidRDefault="00652773">
            <w:pPr>
              <w:pStyle w:val="TableText"/>
              <w:spacing w:before="40" w:after="40" w:line="240" w:lineRule="auto"/>
              <w:rPr>
                <w:rFonts w:cs="Calibri"/>
                <w:color w:val="000000" w:themeColor="text1"/>
                <w:sz w:val="16"/>
                <w:szCs w:val="16"/>
              </w:rPr>
            </w:pPr>
            <w:r w:rsidRPr="00D42EDA">
              <w:rPr>
                <w:rFonts w:cs="Calibri"/>
                <w:sz w:val="16"/>
                <w:szCs w:val="16"/>
              </w:rPr>
              <w:t>Implemented</w:t>
            </w:r>
          </w:p>
          <w:p w14:paraId="28BB3DD9" w14:textId="77777777" w:rsidR="00652773" w:rsidRPr="00D42EDA" w:rsidRDefault="00652773">
            <w:pPr>
              <w:pStyle w:val="TableText"/>
              <w:spacing w:before="40" w:after="40" w:line="240" w:lineRule="auto"/>
              <w:rPr>
                <w:rFonts w:cs="Calibri"/>
                <w:color w:val="000000"/>
                <w:sz w:val="16"/>
                <w:szCs w:val="16"/>
              </w:rPr>
            </w:pPr>
          </w:p>
        </w:tc>
        <w:tc>
          <w:tcPr>
            <w:tcW w:w="1134" w:type="dxa"/>
            <w:shd w:val="clear" w:color="auto" w:fill="auto"/>
          </w:tcPr>
          <w:p w14:paraId="3240880C" w14:textId="77777777" w:rsidR="00652773" w:rsidRPr="00D42EDA" w:rsidRDefault="00652773">
            <w:pPr>
              <w:pStyle w:val="TableText"/>
              <w:spacing w:before="40" w:after="40" w:line="240" w:lineRule="auto"/>
              <w:rPr>
                <w:rFonts w:cs="Calibri"/>
                <w:color w:val="000000" w:themeColor="text1"/>
                <w:sz w:val="16"/>
                <w:szCs w:val="16"/>
              </w:rPr>
            </w:pPr>
            <w:r w:rsidRPr="00D42EDA">
              <w:rPr>
                <w:rFonts w:cs="Calibri"/>
                <w:color w:val="000000" w:themeColor="text1"/>
                <w:sz w:val="16"/>
                <w:szCs w:val="16"/>
              </w:rPr>
              <w:t>Energy</w:t>
            </w:r>
          </w:p>
          <w:p w14:paraId="70B00282" w14:textId="77777777" w:rsidR="00652773" w:rsidRPr="00D42EDA" w:rsidRDefault="00652773">
            <w:pPr>
              <w:pStyle w:val="TableText"/>
              <w:spacing w:before="40" w:after="40" w:line="240" w:lineRule="auto"/>
              <w:rPr>
                <w:rFonts w:cs="Calibri"/>
                <w:color w:val="000000"/>
                <w:sz w:val="16"/>
                <w:szCs w:val="16"/>
              </w:rPr>
            </w:pPr>
          </w:p>
        </w:tc>
        <w:tc>
          <w:tcPr>
            <w:tcW w:w="1276" w:type="dxa"/>
            <w:shd w:val="clear" w:color="auto" w:fill="auto"/>
          </w:tcPr>
          <w:p w14:paraId="2B5D2060" w14:textId="77777777" w:rsidR="00652773" w:rsidRPr="00D42EDA" w:rsidRDefault="00652773">
            <w:pPr>
              <w:pStyle w:val="TableText"/>
              <w:spacing w:before="40" w:after="40" w:line="240" w:lineRule="auto"/>
              <w:rPr>
                <w:rFonts w:cs="Calibri"/>
                <w:color w:val="000000" w:themeColor="text1"/>
                <w:sz w:val="16"/>
                <w:szCs w:val="16"/>
              </w:rPr>
            </w:pPr>
            <w:r w:rsidRPr="00D42EDA">
              <w:rPr>
                <w:rFonts w:cs="Calibri"/>
                <w:color w:val="000000" w:themeColor="text1"/>
                <w:sz w:val="16"/>
                <w:szCs w:val="16"/>
              </w:rPr>
              <w:t>CO</w:t>
            </w:r>
            <w:r w:rsidRPr="00D42EDA">
              <w:rPr>
                <w:rFonts w:cs="Calibri"/>
                <w:color w:val="000000" w:themeColor="text1"/>
                <w:sz w:val="16"/>
                <w:szCs w:val="16"/>
                <w:vertAlign w:val="subscript"/>
              </w:rPr>
              <w:t>2</w:t>
            </w:r>
          </w:p>
          <w:p w14:paraId="2EAFD320" w14:textId="77777777" w:rsidR="00652773" w:rsidRPr="00D42EDA" w:rsidRDefault="00652773">
            <w:pPr>
              <w:pStyle w:val="TableText"/>
              <w:spacing w:before="40" w:after="40" w:line="240" w:lineRule="auto"/>
              <w:rPr>
                <w:rFonts w:cs="Calibri"/>
                <w:color w:val="000000"/>
                <w:sz w:val="16"/>
                <w:szCs w:val="16"/>
              </w:rPr>
            </w:pPr>
          </w:p>
        </w:tc>
        <w:tc>
          <w:tcPr>
            <w:tcW w:w="850" w:type="dxa"/>
            <w:shd w:val="clear" w:color="auto" w:fill="auto"/>
          </w:tcPr>
          <w:p w14:paraId="2A433AB5"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themeColor="text1"/>
                <w:sz w:val="16"/>
                <w:szCs w:val="16"/>
              </w:rPr>
              <w:t>2013</w:t>
            </w:r>
          </w:p>
        </w:tc>
        <w:tc>
          <w:tcPr>
            <w:tcW w:w="1418" w:type="dxa"/>
            <w:shd w:val="clear" w:color="auto" w:fill="auto"/>
          </w:tcPr>
          <w:p w14:paraId="7030018D" w14:textId="77777777" w:rsidR="00652773" w:rsidRPr="00D42EDA" w:rsidRDefault="00652773">
            <w:pPr>
              <w:pStyle w:val="TableText"/>
              <w:spacing w:before="40" w:after="40" w:line="240" w:lineRule="auto"/>
              <w:rPr>
                <w:rFonts w:cs="Calibri"/>
                <w:color w:val="000000" w:themeColor="text1"/>
                <w:sz w:val="16"/>
                <w:szCs w:val="16"/>
              </w:rPr>
            </w:pPr>
            <w:r w:rsidRPr="00D42EDA">
              <w:rPr>
                <w:rFonts w:cs="Calibri"/>
                <w:sz w:val="16"/>
                <w:szCs w:val="16"/>
              </w:rPr>
              <w:t>Energy Efficiency and Conservation Authority</w:t>
            </w:r>
          </w:p>
          <w:p w14:paraId="7CB86938" w14:textId="77777777" w:rsidR="00652773" w:rsidRPr="00D42EDA" w:rsidRDefault="00652773">
            <w:pPr>
              <w:pStyle w:val="TableText"/>
              <w:spacing w:before="40" w:after="40" w:line="240" w:lineRule="auto"/>
              <w:rPr>
                <w:rFonts w:cs="Calibri"/>
                <w:color w:val="000000"/>
                <w:sz w:val="16"/>
                <w:szCs w:val="16"/>
              </w:rPr>
            </w:pPr>
          </w:p>
        </w:tc>
        <w:tc>
          <w:tcPr>
            <w:tcW w:w="992" w:type="dxa"/>
          </w:tcPr>
          <w:p w14:paraId="49A971D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277</w:t>
            </w:r>
          </w:p>
        </w:tc>
        <w:tc>
          <w:tcPr>
            <w:tcW w:w="992" w:type="dxa"/>
            <w:shd w:val="clear" w:color="auto" w:fill="auto"/>
          </w:tcPr>
          <w:p w14:paraId="04823A7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332</w:t>
            </w:r>
          </w:p>
        </w:tc>
        <w:tc>
          <w:tcPr>
            <w:tcW w:w="964" w:type="dxa"/>
            <w:shd w:val="clear" w:color="auto" w:fill="auto"/>
          </w:tcPr>
          <w:p w14:paraId="130A123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646</w:t>
            </w:r>
          </w:p>
        </w:tc>
      </w:tr>
      <w:tr w:rsidR="00E872AA" w:rsidRPr="00E711FA" w14:paraId="203CC96C" w14:textId="77777777" w:rsidTr="006E5BDE">
        <w:trPr>
          <w:gridAfter w:val="1"/>
          <w:wAfter w:w="24" w:type="dxa"/>
        </w:trPr>
        <w:tc>
          <w:tcPr>
            <w:tcW w:w="1134" w:type="dxa"/>
            <w:shd w:val="clear" w:color="auto" w:fill="auto"/>
          </w:tcPr>
          <w:p w14:paraId="66576598" w14:textId="3CC02249"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Energy Transition Accelerator Programme</w:t>
            </w:r>
          </w:p>
        </w:tc>
        <w:tc>
          <w:tcPr>
            <w:tcW w:w="1985" w:type="dxa"/>
          </w:tcPr>
          <w:p w14:paraId="79793260" w14:textId="77777777" w:rsidR="00652773" w:rsidRDefault="00652773">
            <w:pPr>
              <w:pStyle w:val="TableText"/>
              <w:spacing w:before="40" w:after="40" w:line="240" w:lineRule="auto"/>
              <w:rPr>
                <w:rFonts w:cs="Calibri"/>
                <w:sz w:val="16"/>
                <w:szCs w:val="16"/>
              </w:rPr>
            </w:pPr>
            <w:r w:rsidRPr="00D42EDA">
              <w:rPr>
                <w:rFonts w:cs="Calibri"/>
                <w:sz w:val="16"/>
                <w:szCs w:val="16"/>
              </w:rPr>
              <w:t>The Energy Efficiency and Conservation Authority works with large energy users to help them develop tailored and practical low-carbon transition pathways. The goal is to facilitate long-term thinking by drafting a practical map for transition, showing what the technically and economically feasible opportunities are, including innovative technologies, energy efficiency and fuel switching.</w:t>
            </w:r>
          </w:p>
          <w:p w14:paraId="41E15C8C" w14:textId="4315BB3D" w:rsidR="00652773" w:rsidRPr="00642E32" w:rsidRDefault="000D790D">
            <w:pPr>
              <w:pStyle w:val="TableText"/>
              <w:spacing w:before="40" w:after="40" w:line="240" w:lineRule="auto"/>
              <w:rPr>
                <w:rFonts w:cs="Calibri"/>
                <w:sz w:val="16"/>
                <w:szCs w:val="16"/>
              </w:rPr>
            </w:pPr>
            <w:r w:rsidRPr="000D790D">
              <w:rPr>
                <w:rFonts w:cs="Calibri"/>
                <w:sz w:val="16"/>
                <w:szCs w:val="16"/>
              </w:rPr>
              <w:t>The estimates of GHG emissions reductions</w:t>
            </w:r>
            <w:r w:rsidR="00E3166F">
              <w:rPr>
                <w:rFonts w:cs="Calibri"/>
                <w:sz w:val="16"/>
                <w:szCs w:val="16"/>
              </w:rPr>
              <w:t xml:space="preserve"> from this policy are included </w:t>
            </w:r>
            <w:r w:rsidRPr="000D790D">
              <w:rPr>
                <w:rFonts w:cs="Calibri"/>
                <w:sz w:val="16"/>
                <w:szCs w:val="16"/>
              </w:rPr>
              <w:t>within</w:t>
            </w:r>
            <w:r w:rsidR="00E3166F">
              <w:rPr>
                <w:rFonts w:cs="Calibri"/>
                <w:sz w:val="16"/>
                <w:szCs w:val="16"/>
              </w:rPr>
              <w:t xml:space="preserve"> Business decarbonisation programmes.</w:t>
            </w:r>
            <w:r w:rsidRPr="000D790D">
              <w:rPr>
                <w:rFonts w:cs="Calibri"/>
                <w:sz w:val="16"/>
                <w:szCs w:val="16"/>
              </w:rPr>
              <w:t> </w:t>
            </w:r>
          </w:p>
        </w:tc>
        <w:tc>
          <w:tcPr>
            <w:tcW w:w="1701" w:type="dxa"/>
          </w:tcPr>
          <w:p w14:paraId="7DA84903"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Develop long-term plans for businesses to transition to lowering emissions as much as possible.</w:t>
            </w:r>
          </w:p>
        </w:tc>
        <w:tc>
          <w:tcPr>
            <w:tcW w:w="992" w:type="dxa"/>
          </w:tcPr>
          <w:p w14:paraId="3C05F658"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Economic instrument, other</w:t>
            </w:r>
          </w:p>
        </w:tc>
        <w:tc>
          <w:tcPr>
            <w:tcW w:w="1134" w:type="dxa"/>
          </w:tcPr>
          <w:p w14:paraId="4BC86A5B"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Implemented</w:t>
            </w:r>
          </w:p>
        </w:tc>
        <w:tc>
          <w:tcPr>
            <w:tcW w:w="1134" w:type="dxa"/>
            <w:shd w:val="clear" w:color="auto" w:fill="auto"/>
          </w:tcPr>
          <w:p w14:paraId="62A4FD79"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Energy</w:t>
            </w:r>
          </w:p>
        </w:tc>
        <w:tc>
          <w:tcPr>
            <w:tcW w:w="1276" w:type="dxa"/>
            <w:shd w:val="clear" w:color="auto" w:fill="auto"/>
          </w:tcPr>
          <w:p w14:paraId="6E9CF1AE"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CO</w:t>
            </w:r>
            <w:r w:rsidRPr="00D42EDA">
              <w:rPr>
                <w:rFonts w:cs="Calibri"/>
                <w:sz w:val="16"/>
                <w:szCs w:val="16"/>
                <w:vertAlign w:val="subscript"/>
              </w:rPr>
              <w:t>2</w:t>
            </w:r>
          </w:p>
        </w:tc>
        <w:tc>
          <w:tcPr>
            <w:tcW w:w="850" w:type="dxa"/>
            <w:shd w:val="clear" w:color="auto" w:fill="auto"/>
          </w:tcPr>
          <w:p w14:paraId="15F0A18A"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2019</w:t>
            </w:r>
          </w:p>
        </w:tc>
        <w:tc>
          <w:tcPr>
            <w:tcW w:w="1418" w:type="dxa"/>
            <w:shd w:val="clear" w:color="auto" w:fill="auto"/>
          </w:tcPr>
          <w:p w14:paraId="4B71F264"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Energy Efficiency and Conservation Authority</w:t>
            </w:r>
          </w:p>
        </w:tc>
        <w:tc>
          <w:tcPr>
            <w:tcW w:w="992" w:type="dxa"/>
          </w:tcPr>
          <w:p w14:paraId="6D6CB633"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IE</w:t>
            </w:r>
          </w:p>
        </w:tc>
        <w:tc>
          <w:tcPr>
            <w:tcW w:w="992" w:type="dxa"/>
            <w:shd w:val="clear" w:color="auto" w:fill="auto"/>
          </w:tcPr>
          <w:p w14:paraId="7E96B47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IE</w:t>
            </w:r>
          </w:p>
        </w:tc>
        <w:tc>
          <w:tcPr>
            <w:tcW w:w="964" w:type="dxa"/>
            <w:shd w:val="clear" w:color="auto" w:fill="auto"/>
          </w:tcPr>
          <w:p w14:paraId="76972A4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IE</w:t>
            </w:r>
          </w:p>
        </w:tc>
      </w:tr>
      <w:tr w:rsidR="00E872AA" w:rsidRPr="00E711FA" w14:paraId="6E8E765D" w14:textId="77777777" w:rsidTr="006E5BDE">
        <w:trPr>
          <w:gridAfter w:val="1"/>
          <w:wAfter w:w="24" w:type="dxa"/>
        </w:trPr>
        <w:tc>
          <w:tcPr>
            <w:tcW w:w="1134" w:type="dxa"/>
            <w:shd w:val="clear" w:color="auto" w:fill="auto"/>
          </w:tcPr>
          <w:p w14:paraId="5707E490" w14:textId="6740C718"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Regional Energy Transition Accelerator programme</w:t>
            </w:r>
          </w:p>
        </w:tc>
        <w:tc>
          <w:tcPr>
            <w:tcW w:w="1985" w:type="dxa"/>
          </w:tcPr>
          <w:p w14:paraId="77E75FBD" w14:textId="77777777" w:rsidR="00652773" w:rsidRDefault="00652773">
            <w:pPr>
              <w:pStyle w:val="TableText"/>
              <w:spacing w:before="40" w:after="40" w:line="240" w:lineRule="auto"/>
              <w:rPr>
                <w:rFonts w:cs="Calibri"/>
                <w:sz w:val="16"/>
                <w:szCs w:val="16"/>
              </w:rPr>
            </w:pPr>
            <w:r w:rsidRPr="00D42EDA">
              <w:rPr>
                <w:rFonts w:cs="Calibri"/>
                <w:sz w:val="16"/>
                <w:szCs w:val="16"/>
              </w:rPr>
              <w:t>The Regional Energy Transition Accelerator programme’s focus is on understanding localised opportunities and barriers faced by medium and large energy users when seeking to reduce emissions from process heat.</w:t>
            </w:r>
          </w:p>
          <w:p w14:paraId="64D84838" w14:textId="17C50BCE" w:rsidR="00652773" w:rsidRPr="00D42EDA" w:rsidRDefault="000D790D">
            <w:pPr>
              <w:pStyle w:val="TableText"/>
              <w:spacing w:before="40" w:after="40" w:line="240" w:lineRule="auto"/>
              <w:rPr>
                <w:rFonts w:cs="Calibri"/>
                <w:sz w:val="16"/>
                <w:szCs w:val="16"/>
              </w:rPr>
            </w:pPr>
            <w:r w:rsidRPr="000D790D">
              <w:rPr>
                <w:rFonts w:cs="Calibri"/>
                <w:sz w:val="16"/>
                <w:szCs w:val="16"/>
              </w:rPr>
              <w:t>The estimates of GHG emissions reductions from this policy are included within Business decarbonisation programmes. </w:t>
            </w:r>
          </w:p>
        </w:tc>
        <w:tc>
          <w:tcPr>
            <w:tcW w:w="1701" w:type="dxa"/>
          </w:tcPr>
          <w:p w14:paraId="5857795D" w14:textId="394666C1" w:rsidR="00652773" w:rsidRPr="006E5BDE" w:rsidRDefault="00652773">
            <w:pPr>
              <w:pStyle w:val="TableText"/>
              <w:spacing w:before="40" w:after="40" w:line="240" w:lineRule="auto"/>
              <w:rPr>
                <w:rFonts w:cs="Calibri"/>
                <w:color w:val="000000"/>
                <w:spacing w:val="-4"/>
                <w:sz w:val="16"/>
                <w:szCs w:val="16"/>
              </w:rPr>
            </w:pPr>
            <w:r w:rsidRPr="00F53217">
              <w:rPr>
                <w:rFonts w:cs="Calibri"/>
                <w:color w:val="000000" w:themeColor="text1"/>
                <w:spacing w:val="-4"/>
                <w:sz w:val="16"/>
                <w:szCs w:val="16"/>
              </w:rPr>
              <w:t>Develop and share a well-informed and coordinated approach for regional decarbonisation</w:t>
            </w:r>
          </w:p>
        </w:tc>
        <w:tc>
          <w:tcPr>
            <w:tcW w:w="992" w:type="dxa"/>
          </w:tcPr>
          <w:p w14:paraId="2ED7C9A4"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themeColor="text1"/>
                <w:sz w:val="16"/>
                <w:szCs w:val="16"/>
              </w:rPr>
              <w:t>Other</w:t>
            </w:r>
          </w:p>
        </w:tc>
        <w:tc>
          <w:tcPr>
            <w:tcW w:w="1134" w:type="dxa"/>
          </w:tcPr>
          <w:p w14:paraId="275F5EC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shd w:val="clear" w:color="auto" w:fill="auto"/>
          </w:tcPr>
          <w:p w14:paraId="10C4266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Energy</w:t>
            </w:r>
          </w:p>
        </w:tc>
        <w:tc>
          <w:tcPr>
            <w:tcW w:w="1276" w:type="dxa"/>
            <w:shd w:val="clear" w:color="auto" w:fill="auto"/>
          </w:tcPr>
          <w:p w14:paraId="5003028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shd w:val="clear" w:color="auto" w:fill="auto"/>
          </w:tcPr>
          <w:p w14:paraId="1E84FA91"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themeColor="text1"/>
                <w:sz w:val="16"/>
                <w:szCs w:val="16"/>
              </w:rPr>
              <w:t>2022</w:t>
            </w:r>
          </w:p>
        </w:tc>
        <w:tc>
          <w:tcPr>
            <w:tcW w:w="1418" w:type="dxa"/>
            <w:shd w:val="clear" w:color="auto" w:fill="auto"/>
          </w:tcPr>
          <w:p w14:paraId="6E8D5A60" w14:textId="77777777" w:rsidR="00652773" w:rsidRPr="00D42EDA" w:rsidRDefault="00652773">
            <w:pPr>
              <w:pStyle w:val="TableText"/>
              <w:spacing w:before="40" w:after="40" w:line="240" w:lineRule="auto"/>
              <w:rPr>
                <w:rFonts w:cs="Calibri"/>
                <w:color w:val="000000" w:themeColor="text1"/>
                <w:sz w:val="16"/>
                <w:szCs w:val="16"/>
              </w:rPr>
            </w:pPr>
            <w:r w:rsidRPr="00D42EDA">
              <w:rPr>
                <w:rFonts w:cs="Calibri"/>
                <w:sz w:val="16"/>
                <w:szCs w:val="16"/>
              </w:rPr>
              <w:t>Energy Efficiency and Conservation Authority</w:t>
            </w:r>
          </w:p>
          <w:p w14:paraId="3FD0FC93" w14:textId="77777777" w:rsidR="00652773" w:rsidRPr="00D42EDA" w:rsidRDefault="00652773">
            <w:pPr>
              <w:pStyle w:val="TableText"/>
              <w:spacing w:before="40" w:after="40" w:line="240" w:lineRule="auto"/>
              <w:rPr>
                <w:rFonts w:cs="Calibri"/>
                <w:color w:val="000000"/>
                <w:sz w:val="16"/>
                <w:szCs w:val="16"/>
              </w:rPr>
            </w:pPr>
          </w:p>
        </w:tc>
        <w:tc>
          <w:tcPr>
            <w:tcW w:w="992" w:type="dxa"/>
          </w:tcPr>
          <w:p w14:paraId="4F767C3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IE</w:t>
            </w:r>
          </w:p>
        </w:tc>
        <w:tc>
          <w:tcPr>
            <w:tcW w:w="992" w:type="dxa"/>
            <w:shd w:val="clear" w:color="auto" w:fill="auto"/>
          </w:tcPr>
          <w:p w14:paraId="0F889B5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IE</w:t>
            </w:r>
          </w:p>
        </w:tc>
        <w:tc>
          <w:tcPr>
            <w:tcW w:w="964" w:type="dxa"/>
            <w:shd w:val="clear" w:color="auto" w:fill="auto"/>
          </w:tcPr>
          <w:p w14:paraId="06BBD2B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IE</w:t>
            </w:r>
          </w:p>
        </w:tc>
      </w:tr>
      <w:tr w:rsidR="00E872AA" w:rsidRPr="00E711FA" w14:paraId="0B33DF83" w14:textId="77777777" w:rsidTr="006E5BDE">
        <w:trPr>
          <w:gridAfter w:val="1"/>
          <w:wAfter w:w="24" w:type="dxa"/>
        </w:trPr>
        <w:tc>
          <w:tcPr>
            <w:tcW w:w="1134" w:type="dxa"/>
            <w:shd w:val="clear" w:color="auto" w:fill="auto"/>
          </w:tcPr>
          <w:p w14:paraId="6A5FB21D" w14:textId="166CF49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Technology Demonstration Fund</w:t>
            </w:r>
          </w:p>
        </w:tc>
        <w:tc>
          <w:tcPr>
            <w:tcW w:w="1985" w:type="dxa"/>
          </w:tcPr>
          <w:p w14:paraId="624AE8A6" w14:textId="77777777" w:rsidR="00652773" w:rsidRDefault="00652773">
            <w:pPr>
              <w:pStyle w:val="TableText"/>
              <w:spacing w:before="40" w:after="40" w:line="240" w:lineRule="auto"/>
              <w:rPr>
                <w:rFonts w:cs="Calibri"/>
                <w:sz w:val="16"/>
                <w:szCs w:val="16"/>
              </w:rPr>
            </w:pPr>
            <w:r w:rsidRPr="00D42EDA">
              <w:rPr>
                <w:rFonts w:cs="Calibri"/>
                <w:sz w:val="16"/>
                <w:szCs w:val="16"/>
              </w:rPr>
              <w:t>The Technology Demonstration Fund co-funds and reduces risks for underused energy-saving technology for wider market deployment. Since 2018/19, the programme has included a specific investment focus to demonstrate innovative electric heat pump technologies.</w:t>
            </w:r>
          </w:p>
          <w:p w14:paraId="7440E4C3" w14:textId="02AEB3C9" w:rsidR="00652773" w:rsidRPr="00D42EDA" w:rsidRDefault="000D790D">
            <w:pPr>
              <w:pStyle w:val="TableText"/>
              <w:spacing w:before="40" w:after="40" w:line="240" w:lineRule="auto"/>
              <w:rPr>
                <w:rFonts w:cs="Calibri"/>
                <w:color w:val="000000"/>
                <w:sz w:val="16"/>
                <w:szCs w:val="16"/>
              </w:rPr>
            </w:pPr>
            <w:r w:rsidRPr="000D790D">
              <w:rPr>
                <w:rFonts w:cs="Calibri"/>
                <w:color w:val="000000"/>
                <w:sz w:val="16"/>
                <w:szCs w:val="16"/>
              </w:rPr>
              <w:t>The estimates of GHG emissions reductions from this policy are included within Business decarbonisation programmes. </w:t>
            </w:r>
          </w:p>
        </w:tc>
        <w:tc>
          <w:tcPr>
            <w:tcW w:w="1701" w:type="dxa"/>
          </w:tcPr>
          <w:p w14:paraId="7895120F"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Promote technology that is commercially proven but underused in New Zealand.</w:t>
            </w:r>
          </w:p>
        </w:tc>
        <w:tc>
          <w:tcPr>
            <w:tcW w:w="992" w:type="dxa"/>
          </w:tcPr>
          <w:p w14:paraId="09E2C828"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Other</w:t>
            </w:r>
          </w:p>
        </w:tc>
        <w:tc>
          <w:tcPr>
            <w:tcW w:w="1134" w:type="dxa"/>
          </w:tcPr>
          <w:p w14:paraId="5C256000"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Implemented</w:t>
            </w:r>
          </w:p>
        </w:tc>
        <w:tc>
          <w:tcPr>
            <w:tcW w:w="1134" w:type="dxa"/>
            <w:shd w:val="clear" w:color="auto" w:fill="auto"/>
          </w:tcPr>
          <w:p w14:paraId="20E0C60E"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Energy</w:t>
            </w:r>
          </w:p>
        </w:tc>
        <w:tc>
          <w:tcPr>
            <w:tcW w:w="1276" w:type="dxa"/>
            <w:shd w:val="clear" w:color="auto" w:fill="auto"/>
          </w:tcPr>
          <w:p w14:paraId="6A1AC9B2"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CO</w:t>
            </w:r>
            <w:r w:rsidRPr="00D42EDA">
              <w:rPr>
                <w:rFonts w:cs="Calibri"/>
                <w:sz w:val="16"/>
                <w:szCs w:val="16"/>
                <w:vertAlign w:val="subscript"/>
              </w:rPr>
              <w:t>2</w:t>
            </w:r>
          </w:p>
        </w:tc>
        <w:tc>
          <w:tcPr>
            <w:tcW w:w="850" w:type="dxa"/>
            <w:shd w:val="clear" w:color="auto" w:fill="auto"/>
          </w:tcPr>
          <w:p w14:paraId="20B89DDD"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2013</w:t>
            </w:r>
          </w:p>
        </w:tc>
        <w:tc>
          <w:tcPr>
            <w:tcW w:w="1418" w:type="dxa"/>
            <w:shd w:val="clear" w:color="auto" w:fill="auto"/>
          </w:tcPr>
          <w:p w14:paraId="658CE5D9"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Energy Efficiency and Conservation Authority</w:t>
            </w:r>
          </w:p>
        </w:tc>
        <w:tc>
          <w:tcPr>
            <w:tcW w:w="992" w:type="dxa"/>
          </w:tcPr>
          <w:p w14:paraId="695AA95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IE</w:t>
            </w:r>
          </w:p>
        </w:tc>
        <w:tc>
          <w:tcPr>
            <w:tcW w:w="992" w:type="dxa"/>
            <w:shd w:val="clear" w:color="auto" w:fill="auto"/>
          </w:tcPr>
          <w:p w14:paraId="56207EC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IE</w:t>
            </w:r>
          </w:p>
        </w:tc>
        <w:tc>
          <w:tcPr>
            <w:tcW w:w="964" w:type="dxa"/>
            <w:shd w:val="clear" w:color="auto" w:fill="auto"/>
          </w:tcPr>
          <w:p w14:paraId="37AD376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IE</w:t>
            </w:r>
          </w:p>
        </w:tc>
      </w:tr>
      <w:tr w:rsidR="00E872AA" w:rsidRPr="00E711FA" w14:paraId="449B3F18" w14:textId="77777777" w:rsidTr="006E5BDE">
        <w:trPr>
          <w:gridAfter w:val="1"/>
          <w:wAfter w:w="24" w:type="dxa"/>
        </w:trPr>
        <w:tc>
          <w:tcPr>
            <w:tcW w:w="1134" w:type="dxa"/>
            <w:shd w:val="clear" w:color="auto" w:fill="auto"/>
          </w:tcPr>
          <w:p w14:paraId="60125DAF" w14:textId="7C3F9800" w:rsidR="00652773" w:rsidRPr="00D42EDA" w:rsidRDefault="00652773">
            <w:pPr>
              <w:pStyle w:val="TableText"/>
              <w:spacing w:before="40" w:after="40" w:line="240" w:lineRule="auto"/>
              <w:rPr>
                <w:rFonts w:cs="Calibri"/>
                <w:color w:val="000000"/>
                <w:sz w:val="16"/>
                <w:szCs w:val="16"/>
              </w:rPr>
            </w:pPr>
            <w:r w:rsidRPr="006E335A">
              <w:rPr>
                <w:rFonts w:cs="Calibri"/>
                <w:spacing w:val="-8"/>
                <w:sz w:val="16"/>
                <w:szCs w:val="16"/>
              </w:rPr>
              <w:t>Sector Decarbonisation Programme</w:t>
            </w:r>
          </w:p>
        </w:tc>
        <w:tc>
          <w:tcPr>
            <w:tcW w:w="1985" w:type="dxa"/>
          </w:tcPr>
          <w:p w14:paraId="67D7BEC0" w14:textId="77777777" w:rsidR="00652773" w:rsidRDefault="00652773">
            <w:pPr>
              <w:pStyle w:val="TableText"/>
              <w:spacing w:before="40" w:after="40" w:line="240" w:lineRule="auto"/>
              <w:rPr>
                <w:rFonts w:eastAsia="Calibri" w:cs="Calibri"/>
                <w:sz w:val="16"/>
                <w:szCs w:val="16"/>
              </w:rPr>
            </w:pPr>
            <w:r w:rsidRPr="00D42EDA">
              <w:rPr>
                <w:rFonts w:eastAsia="Calibri" w:cs="Calibri"/>
                <w:sz w:val="16"/>
                <w:szCs w:val="16"/>
              </w:rPr>
              <w:t>The Sector Decarbonisation Programme provides easy-to-follow pathways for businesses across a range of sectors to understand how to use existing equipment and processes as efficiently as possible. It provides businesses with resources and tools to reduce reliance on fossil fuels.</w:t>
            </w:r>
          </w:p>
          <w:p w14:paraId="3BA0EC26" w14:textId="32483A51" w:rsidR="00652773" w:rsidRPr="00D42EDA" w:rsidRDefault="000D790D">
            <w:pPr>
              <w:pStyle w:val="TableText"/>
              <w:spacing w:before="40" w:after="40" w:line="240" w:lineRule="auto"/>
              <w:rPr>
                <w:rFonts w:cs="Calibri"/>
                <w:color w:val="000000"/>
                <w:sz w:val="16"/>
                <w:szCs w:val="16"/>
              </w:rPr>
            </w:pPr>
            <w:r w:rsidRPr="000D790D">
              <w:rPr>
                <w:rFonts w:cs="Calibri"/>
                <w:color w:val="000000"/>
                <w:sz w:val="16"/>
                <w:szCs w:val="16"/>
              </w:rPr>
              <w:t>The estimates of GHG emissions reductions from this policy are included within Business decarbonisation programmes. </w:t>
            </w:r>
          </w:p>
        </w:tc>
        <w:tc>
          <w:tcPr>
            <w:tcW w:w="1701" w:type="dxa"/>
          </w:tcPr>
          <w:p w14:paraId="27904506" w14:textId="77777777" w:rsidR="00652773" w:rsidRPr="00D42EDA" w:rsidRDefault="00652773">
            <w:pPr>
              <w:pStyle w:val="TableText"/>
              <w:spacing w:before="40" w:after="40" w:line="240" w:lineRule="auto"/>
              <w:rPr>
                <w:rFonts w:cs="Calibri"/>
                <w:color w:val="000000"/>
                <w:sz w:val="16"/>
                <w:szCs w:val="16"/>
              </w:rPr>
            </w:pPr>
            <w:r w:rsidRPr="00D42EDA">
              <w:rPr>
                <w:rFonts w:eastAsia="Calibri" w:cs="Calibri"/>
                <w:sz w:val="16"/>
                <w:szCs w:val="16"/>
              </w:rPr>
              <w:t>Energy efficiency pathways for businesses.</w:t>
            </w:r>
          </w:p>
        </w:tc>
        <w:tc>
          <w:tcPr>
            <w:tcW w:w="992" w:type="dxa"/>
          </w:tcPr>
          <w:p w14:paraId="64B4BB23"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Other</w:t>
            </w:r>
          </w:p>
        </w:tc>
        <w:tc>
          <w:tcPr>
            <w:tcW w:w="1134" w:type="dxa"/>
          </w:tcPr>
          <w:p w14:paraId="047C2441"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Implemented</w:t>
            </w:r>
          </w:p>
        </w:tc>
        <w:tc>
          <w:tcPr>
            <w:tcW w:w="1134" w:type="dxa"/>
            <w:shd w:val="clear" w:color="auto" w:fill="auto"/>
          </w:tcPr>
          <w:p w14:paraId="298792BA"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Energy</w:t>
            </w:r>
          </w:p>
        </w:tc>
        <w:tc>
          <w:tcPr>
            <w:tcW w:w="1276" w:type="dxa"/>
            <w:shd w:val="clear" w:color="auto" w:fill="auto"/>
          </w:tcPr>
          <w:p w14:paraId="5114BD7D"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CO</w:t>
            </w:r>
            <w:r w:rsidRPr="00D42EDA">
              <w:rPr>
                <w:rFonts w:cs="Calibri"/>
                <w:sz w:val="16"/>
                <w:szCs w:val="16"/>
                <w:vertAlign w:val="subscript"/>
              </w:rPr>
              <w:t>2</w:t>
            </w:r>
          </w:p>
        </w:tc>
        <w:tc>
          <w:tcPr>
            <w:tcW w:w="850" w:type="dxa"/>
            <w:shd w:val="clear" w:color="auto" w:fill="auto"/>
          </w:tcPr>
          <w:p w14:paraId="23B64F09"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2019</w:t>
            </w:r>
          </w:p>
        </w:tc>
        <w:tc>
          <w:tcPr>
            <w:tcW w:w="1418" w:type="dxa"/>
            <w:shd w:val="clear" w:color="auto" w:fill="auto"/>
          </w:tcPr>
          <w:p w14:paraId="2402D1F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Energy Efficiency and Conservation Authority</w:t>
            </w:r>
          </w:p>
          <w:p w14:paraId="1B3D54A3" w14:textId="77777777" w:rsidR="00652773" w:rsidRPr="00D42EDA" w:rsidRDefault="00652773">
            <w:pPr>
              <w:pStyle w:val="TableText"/>
              <w:spacing w:before="40" w:after="40" w:line="240" w:lineRule="auto"/>
              <w:rPr>
                <w:rFonts w:cs="Calibri"/>
                <w:color w:val="000000"/>
                <w:sz w:val="16"/>
                <w:szCs w:val="16"/>
              </w:rPr>
            </w:pPr>
          </w:p>
        </w:tc>
        <w:tc>
          <w:tcPr>
            <w:tcW w:w="992" w:type="dxa"/>
          </w:tcPr>
          <w:p w14:paraId="1AE4A04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IE</w:t>
            </w:r>
          </w:p>
        </w:tc>
        <w:tc>
          <w:tcPr>
            <w:tcW w:w="992" w:type="dxa"/>
            <w:shd w:val="clear" w:color="auto" w:fill="auto"/>
          </w:tcPr>
          <w:p w14:paraId="4FE5539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IE</w:t>
            </w:r>
          </w:p>
        </w:tc>
        <w:tc>
          <w:tcPr>
            <w:tcW w:w="964" w:type="dxa"/>
            <w:shd w:val="clear" w:color="auto" w:fill="auto"/>
          </w:tcPr>
          <w:p w14:paraId="2BC5214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IE</w:t>
            </w:r>
          </w:p>
        </w:tc>
      </w:tr>
      <w:tr w:rsidR="00E872AA" w:rsidRPr="00E711FA" w14:paraId="5791D4B3" w14:textId="77777777" w:rsidTr="006E5BDE">
        <w:trPr>
          <w:gridAfter w:val="1"/>
          <w:wAfter w:w="24" w:type="dxa"/>
        </w:trPr>
        <w:tc>
          <w:tcPr>
            <w:tcW w:w="1134" w:type="dxa"/>
            <w:shd w:val="clear" w:color="auto" w:fill="auto"/>
          </w:tcPr>
          <w:p w14:paraId="12D0576F"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Government Investment in Decarbonising Industry Fund</w:t>
            </w:r>
          </w:p>
        </w:tc>
        <w:tc>
          <w:tcPr>
            <w:tcW w:w="1985" w:type="dxa"/>
          </w:tcPr>
          <w:p w14:paraId="5DB6FD63" w14:textId="77777777" w:rsidR="00652773" w:rsidRPr="00D42EDA" w:rsidRDefault="00652773">
            <w:pPr>
              <w:pStyle w:val="TableText"/>
              <w:spacing w:before="40" w:after="40" w:line="240" w:lineRule="auto"/>
              <w:rPr>
                <w:rFonts w:cs="Calibri"/>
                <w:sz w:val="16"/>
                <w:szCs w:val="16"/>
              </w:rPr>
            </w:pPr>
            <w:r w:rsidRPr="00D42EDA">
              <w:rPr>
                <w:rFonts w:eastAsia="Calibri" w:cs="Calibri"/>
                <w:sz w:val="16"/>
                <w:szCs w:val="16"/>
              </w:rPr>
              <w:t xml:space="preserve">The </w:t>
            </w:r>
            <w:r w:rsidRPr="00D42EDA">
              <w:rPr>
                <w:rFonts w:cs="Calibri"/>
                <w:sz w:val="16"/>
                <w:szCs w:val="16"/>
              </w:rPr>
              <w:t>Government Investment in Decarbonising Industry Fund</w:t>
            </w:r>
            <w:r w:rsidRPr="00D42EDA">
              <w:rPr>
                <w:rFonts w:eastAsia="Calibri" w:cs="Calibri"/>
                <w:sz w:val="16"/>
                <w:szCs w:val="16"/>
              </w:rPr>
              <w:t xml:space="preserve"> provided co-funding for private sector businesses to help with energy efficiency initiatives and the decarbonisation of process heat. The original fund was expanded in 2022 with a significant increase in funding. This included funding to help large energy users with decarbonising, to provide energy-efficient equipment subsidies and develop enabling infrastructure.</w:t>
            </w:r>
          </w:p>
        </w:tc>
        <w:tc>
          <w:tcPr>
            <w:tcW w:w="1701" w:type="dxa"/>
          </w:tcPr>
          <w:p w14:paraId="5023A46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Decarbonise businesses through several workstreams, including industrial process heat, commercial space and water heating, and efficient industrial equipment replacements.</w:t>
            </w:r>
          </w:p>
        </w:tc>
        <w:tc>
          <w:tcPr>
            <w:tcW w:w="992" w:type="dxa"/>
          </w:tcPr>
          <w:p w14:paraId="0267747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Economic instrument</w:t>
            </w:r>
          </w:p>
        </w:tc>
        <w:tc>
          <w:tcPr>
            <w:tcW w:w="1134" w:type="dxa"/>
          </w:tcPr>
          <w:p w14:paraId="55EBB9A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shd w:val="clear" w:color="auto" w:fill="auto"/>
          </w:tcPr>
          <w:p w14:paraId="4F3EB70E"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Energy</w:t>
            </w:r>
          </w:p>
        </w:tc>
        <w:tc>
          <w:tcPr>
            <w:tcW w:w="1276" w:type="dxa"/>
            <w:shd w:val="clear" w:color="auto" w:fill="auto"/>
          </w:tcPr>
          <w:p w14:paraId="34016E13"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CO</w:t>
            </w:r>
            <w:r w:rsidRPr="00D42EDA">
              <w:rPr>
                <w:rFonts w:cs="Calibri"/>
                <w:sz w:val="16"/>
                <w:szCs w:val="16"/>
                <w:vertAlign w:val="subscript"/>
              </w:rPr>
              <w:t>2</w:t>
            </w:r>
          </w:p>
        </w:tc>
        <w:tc>
          <w:tcPr>
            <w:tcW w:w="850" w:type="dxa"/>
            <w:shd w:val="clear" w:color="auto" w:fill="auto"/>
          </w:tcPr>
          <w:p w14:paraId="35E8AE83"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2020</w:t>
            </w:r>
          </w:p>
        </w:tc>
        <w:tc>
          <w:tcPr>
            <w:tcW w:w="1418" w:type="dxa"/>
            <w:shd w:val="clear" w:color="auto" w:fill="auto"/>
          </w:tcPr>
          <w:p w14:paraId="3A7BA8BD"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Energy Efficiency and Conservation Authority</w:t>
            </w:r>
          </w:p>
        </w:tc>
        <w:tc>
          <w:tcPr>
            <w:tcW w:w="992" w:type="dxa"/>
          </w:tcPr>
          <w:p w14:paraId="350529A3"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sz w:val="16"/>
                <w:szCs w:val="16"/>
              </w:rPr>
              <w:t>NE</w:t>
            </w:r>
          </w:p>
        </w:tc>
        <w:tc>
          <w:tcPr>
            <w:tcW w:w="992" w:type="dxa"/>
            <w:shd w:val="clear" w:color="auto" w:fill="auto"/>
          </w:tcPr>
          <w:p w14:paraId="221B16ED"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sz w:val="16"/>
                <w:szCs w:val="16"/>
              </w:rPr>
              <w:t>NE</w:t>
            </w:r>
          </w:p>
        </w:tc>
        <w:tc>
          <w:tcPr>
            <w:tcW w:w="964" w:type="dxa"/>
            <w:shd w:val="clear" w:color="auto" w:fill="auto"/>
          </w:tcPr>
          <w:p w14:paraId="044B4B3B"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sz w:val="16"/>
                <w:szCs w:val="16"/>
              </w:rPr>
              <w:t>1,549</w:t>
            </w:r>
          </w:p>
        </w:tc>
      </w:tr>
      <w:tr w:rsidR="00206ADA" w:rsidRPr="00E711FA" w14:paraId="07E7E951" w14:textId="77777777" w:rsidTr="00692400">
        <w:tc>
          <w:tcPr>
            <w:tcW w:w="14596" w:type="dxa"/>
            <w:gridSpan w:val="13"/>
            <w:shd w:val="clear" w:color="auto" w:fill="D2DDE1" w:themeFill="background2"/>
          </w:tcPr>
          <w:p w14:paraId="4A039E97" w14:textId="30341164" w:rsidR="00206ADA" w:rsidRPr="00E711FA" w:rsidRDefault="0024610E">
            <w:pPr>
              <w:pStyle w:val="TableText"/>
              <w:spacing w:before="40" w:after="40" w:line="240" w:lineRule="auto"/>
              <w:rPr>
                <w:rFonts w:cs="Calibri"/>
                <w:sz w:val="14"/>
                <w:szCs w:val="14"/>
              </w:rPr>
            </w:pPr>
            <w:r w:rsidRPr="00D42EDA">
              <w:rPr>
                <w:rFonts w:cs="Calibri"/>
                <w:b/>
                <w:sz w:val="16"/>
                <w:szCs w:val="16"/>
              </w:rPr>
              <w:t>Energy: Other energy policies</w:t>
            </w:r>
          </w:p>
        </w:tc>
      </w:tr>
      <w:tr w:rsidR="00E872AA" w:rsidRPr="00E711FA" w14:paraId="24FFD784" w14:textId="77777777" w:rsidTr="006E5BDE">
        <w:trPr>
          <w:gridAfter w:val="1"/>
          <w:wAfter w:w="24" w:type="dxa"/>
        </w:trPr>
        <w:tc>
          <w:tcPr>
            <w:tcW w:w="1134" w:type="dxa"/>
          </w:tcPr>
          <w:p w14:paraId="23BC525A" w14:textId="77777777" w:rsidR="00652773" w:rsidRPr="00D42EDA" w:rsidRDefault="00652773">
            <w:pPr>
              <w:pStyle w:val="TableText"/>
              <w:keepNext/>
              <w:spacing w:before="40" w:after="40" w:line="240" w:lineRule="auto"/>
              <w:rPr>
                <w:rFonts w:cs="Calibri"/>
                <w:color w:val="000000"/>
                <w:sz w:val="16"/>
                <w:szCs w:val="16"/>
              </w:rPr>
            </w:pPr>
            <w:r w:rsidRPr="00D42EDA">
              <w:rPr>
                <w:rFonts w:cs="Calibri"/>
                <w:color w:val="000000"/>
                <w:sz w:val="16"/>
                <w:szCs w:val="16"/>
              </w:rPr>
              <w:t xml:space="preserve">Māori and Public Housing Renewable Energy Fund </w:t>
            </w:r>
          </w:p>
        </w:tc>
        <w:tc>
          <w:tcPr>
            <w:tcW w:w="1985" w:type="dxa"/>
          </w:tcPr>
          <w:p w14:paraId="0AB00A0F" w14:textId="77777777" w:rsidR="00652773" w:rsidRPr="00D42EDA" w:rsidRDefault="00652773">
            <w:pPr>
              <w:pStyle w:val="TableText"/>
              <w:keepNext/>
              <w:spacing w:before="40" w:after="40" w:line="240" w:lineRule="auto"/>
              <w:rPr>
                <w:rFonts w:cs="Calibri"/>
                <w:color w:val="000000"/>
                <w:sz w:val="16"/>
                <w:szCs w:val="16"/>
              </w:rPr>
            </w:pPr>
            <w:r w:rsidRPr="00D42EDA">
              <w:rPr>
                <w:rFonts w:cs="Calibri"/>
                <w:color w:val="000000" w:themeColor="text1"/>
                <w:sz w:val="16"/>
                <w:szCs w:val="16"/>
              </w:rPr>
              <w:t xml:space="preserve">This fund trials community-scale renewable technologies for Māori and public housing. These include technologies such as modern geothermal, solar panels and batteries. The final round made funding available for larger, more complex, renewable energy projects, such as small-scale hydro and solar photovoltaic projects integrating remote distribution and retail solutions. </w:t>
            </w:r>
          </w:p>
          <w:p w14:paraId="1E7EA03E" w14:textId="77777777" w:rsidR="00652773" w:rsidRPr="00D42EDA" w:rsidRDefault="00652773">
            <w:pPr>
              <w:pStyle w:val="TableText"/>
              <w:keepNext/>
              <w:spacing w:before="40" w:after="40" w:line="240" w:lineRule="auto"/>
              <w:rPr>
                <w:rFonts w:cs="Calibri"/>
                <w:color w:val="000000"/>
                <w:sz w:val="16"/>
                <w:szCs w:val="16"/>
              </w:rPr>
            </w:pPr>
            <w:r w:rsidRPr="00D42EDA">
              <w:rPr>
                <w:rFonts w:cs="Calibri"/>
                <w:color w:val="000000"/>
                <w:sz w:val="16"/>
                <w:szCs w:val="16"/>
              </w:rPr>
              <w:t>The $28 million Community Renewable Energy Fund builds on and expands this.</w:t>
            </w:r>
          </w:p>
        </w:tc>
        <w:tc>
          <w:tcPr>
            <w:tcW w:w="1701" w:type="dxa"/>
          </w:tcPr>
          <w:p w14:paraId="7AD6263D" w14:textId="77777777" w:rsidR="00652773" w:rsidRPr="00D42EDA" w:rsidRDefault="00652773">
            <w:pPr>
              <w:pStyle w:val="TableText"/>
              <w:keepNext/>
              <w:spacing w:before="40" w:after="40" w:line="240" w:lineRule="auto"/>
              <w:rPr>
                <w:rFonts w:cs="Calibri"/>
                <w:color w:val="000000"/>
                <w:sz w:val="16"/>
                <w:szCs w:val="16"/>
              </w:rPr>
            </w:pPr>
            <w:r w:rsidRPr="00D42EDA">
              <w:rPr>
                <w:rFonts w:cs="Calibri"/>
                <w:color w:val="000000"/>
                <w:sz w:val="16"/>
                <w:szCs w:val="16"/>
              </w:rPr>
              <w:t>Support renewable and affordable energy in communities.</w:t>
            </w:r>
          </w:p>
        </w:tc>
        <w:tc>
          <w:tcPr>
            <w:tcW w:w="992" w:type="dxa"/>
          </w:tcPr>
          <w:p w14:paraId="0485E973" w14:textId="77777777" w:rsidR="00652773" w:rsidRPr="00D42EDA" w:rsidRDefault="00652773">
            <w:pPr>
              <w:pStyle w:val="TableText"/>
              <w:keepNext/>
              <w:spacing w:before="40" w:after="40" w:line="240" w:lineRule="auto"/>
              <w:rPr>
                <w:rFonts w:cs="Calibri"/>
                <w:color w:val="000000"/>
                <w:sz w:val="16"/>
                <w:szCs w:val="16"/>
              </w:rPr>
            </w:pPr>
            <w:r w:rsidRPr="00D42EDA">
              <w:rPr>
                <w:rFonts w:cs="Calibri"/>
                <w:color w:val="000000"/>
                <w:sz w:val="16"/>
                <w:szCs w:val="16"/>
              </w:rPr>
              <w:t>Economic instrument</w:t>
            </w:r>
          </w:p>
        </w:tc>
        <w:tc>
          <w:tcPr>
            <w:tcW w:w="1134" w:type="dxa"/>
          </w:tcPr>
          <w:p w14:paraId="20599AD9" w14:textId="77777777" w:rsidR="00652773" w:rsidRPr="00D42EDA" w:rsidRDefault="00652773">
            <w:pPr>
              <w:pStyle w:val="TableText"/>
              <w:keepNext/>
              <w:spacing w:before="40" w:after="40" w:line="240" w:lineRule="auto"/>
              <w:rPr>
                <w:rFonts w:cs="Calibri"/>
                <w:color w:val="000000"/>
                <w:sz w:val="16"/>
                <w:szCs w:val="16"/>
              </w:rPr>
            </w:pPr>
            <w:r w:rsidRPr="00D42EDA">
              <w:rPr>
                <w:rFonts w:cs="Calibri"/>
                <w:sz w:val="16"/>
                <w:szCs w:val="16"/>
              </w:rPr>
              <w:t>Implemented</w:t>
            </w:r>
          </w:p>
        </w:tc>
        <w:tc>
          <w:tcPr>
            <w:tcW w:w="1134" w:type="dxa"/>
          </w:tcPr>
          <w:p w14:paraId="289647E8" w14:textId="77777777" w:rsidR="00652773" w:rsidRPr="00D42EDA" w:rsidRDefault="00652773">
            <w:pPr>
              <w:pStyle w:val="TableText"/>
              <w:keepNext/>
              <w:spacing w:before="40" w:after="40" w:line="240" w:lineRule="auto"/>
              <w:rPr>
                <w:rFonts w:cs="Calibri"/>
                <w:color w:val="000000"/>
                <w:sz w:val="16"/>
                <w:szCs w:val="16"/>
              </w:rPr>
            </w:pPr>
            <w:r w:rsidRPr="00D42EDA">
              <w:rPr>
                <w:rFonts w:cs="Calibri"/>
                <w:color w:val="000000"/>
                <w:sz w:val="16"/>
                <w:szCs w:val="16"/>
              </w:rPr>
              <w:t>Energy</w:t>
            </w:r>
          </w:p>
        </w:tc>
        <w:tc>
          <w:tcPr>
            <w:tcW w:w="1276" w:type="dxa"/>
          </w:tcPr>
          <w:p w14:paraId="2851574A" w14:textId="77777777" w:rsidR="00652773" w:rsidRPr="00D42EDA" w:rsidRDefault="00652773">
            <w:pPr>
              <w:pStyle w:val="TableText"/>
              <w:keepNext/>
              <w:spacing w:before="40" w:after="40" w:line="240" w:lineRule="auto"/>
              <w:rPr>
                <w:rFonts w:cs="Calibri"/>
                <w:color w:val="000000"/>
                <w:sz w:val="16"/>
                <w:szCs w:val="16"/>
              </w:rPr>
            </w:pPr>
            <w:r w:rsidRPr="00D42EDA">
              <w:rPr>
                <w:rFonts w:cs="Calibri"/>
                <w:color w:val="000000"/>
                <w:sz w:val="16"/>
                <w:szCs w:val="16"/>
              </w:rPr>
              <w:t>CO</w:t>
            </w:r>
            <w:r w:rsidRPr="00D42EDA">
              <w:rPr>
                <w:rFonts w:cs="Calibri"/>
                <w:color w:val="000000"/>
                <w:sz w:val="16"/>
                <w:szCs w:val="16"/>
                <w:vertAlign w:val="subscript"/>
              </w:rPr>
              <w:t>2</w:t>
            </w:r>
          </w:p>
        </w:tc>
        <w:tc>
          <w:tcPr>
            <w:tcW w:w="850" w:type="dxa"/>
          </w:tcPr>
          <w:p w14:paraId="538E7AB6" w14:textId="77777777" w:rsidR="00652773" w:rsidRPr="00D42EDA" w:rsidRDefault="00652773">
            <w:pPr>
              <w:pStyle w:val="TableText"/>
              <w:keepNext/>
              <w:spacing w:before="40" w:after="40" w:line="240" w:lineRule="auto"/>
              <w:rPr>
                <w:rFonts w:cs="Calibri"/>
                <w:sz w:val="16"/>
                <w:szCs w:val="16"/>
              </w:rPr>
            </w:pPr>
            <w:r w:rsidRPr="00D42EDA">
              <w:rPr>
                <w:rFonts w:cs="Calibri"/>
                <w:color w:val="000000"/>
                <w:sz w:val="16"/>
                <w:szCs w:val="16"/>
              </w:rPr>
              <w:t>2020</w:t>
            </w:r>
          </w:p>
        </w:tc>
        <w:tc>
          <w:tcPr>
            <w:tcW w:w="1418" w:type="dxa"/>
          </w:tcPr>
          <w:p w14:paraId="1C06873D" w14:textId="77777777" w:rsidR="00652773" w:rsidRPr="00D42EDA" w:rsidRDefault="00652773">
            <w:pPr>
              <w:pStyle w:val="TableText"/>
              <w:keepNext/>
              <w:spacing w:before="40" w:after="40" w:line="240" w:lineRule="auto"/>
              <w:rPr>
                <w:rFonts w:cs="Calibri"/>
                <w:color w:val="000000"/>
                <w:sz w:val="16"/>
                <w:szCs w:val="16"/>
              </w:rPr>
            </w:pPr>
            <w:r w:rsidRPr="00D42EDA">
              <w:rPr>
                <w:rFonts w:cs="Calibri"/>
                <w:color w:val="000000"/>
                <w:sz w:val="16"/>
                <w:szCs w:val="16"/>
              </w:rPr>
              <w:t>Ministry of Business, Innovation and Employment</w:t>
            </w:r>
          </w:p>
        </w:tc>
        <w:tc>
          <w:tcPr>
            <w:tcW w:w="992" w:type="dxa"/>
          </w:tcPr>
          <w:p w14:paraId="417EF0F3" w14:textId="77777777" w:rsidR="00652773" w:rsidRPr="00D42EDA" w:rsidRDefault="00652773">
            <w:pPr>
              <w:pStyle w:val="TableText"/>
              <w:keepNext/>
              <w:spacing w:before="40" w:after="40" w:line="240" w:lineRule="auto"/>
              <w:rPr>
                <w:rFonts w:cs="Calibri"/>
                <w:sz w:val="16"/>
                <w:szCs w:val="16"/>
              </w:rPr>
            </w:pPr>
            <w:r w:rsidRPr="00D42EDA">
              <w:rPr>
                <w:rFonts w:cs="Calibri"/>
                <w:sz w:val="16"/>
                <w:szCs w:val="16"/>
              </w:rPr>
              <w:t>NE</w:t>
            </w:r>
          </w:p>
        </w:tc>
        <w:tc>
          <w:tcPr>
            <w:tcW w:w="992" w:type="dxa"/>
          </w:tcPr>
          <w:p w14:paraId="3DEE6030" w14:textId="77777777" w:rsidR="00652773" w:rsidRPr="00D42EDA" w:rsidRDefault="00652773">
            <w:pPr>
              <w:pStyle w:val="TableText"/>
              <w:keepNext/>
              <w:spacing w:before="40" w:after="40" w:line="240" w:lineRule="auto"/>
              <w:rPr>
                <w:rFonts w:cs="Calibri"/>
                <w:sz w:val="16"/>
                <w:szCs w:val="16"/>
              </w:rPr>
            </w:pPr>
            <w:r w:rsidRPr="00D42EDA">
              <w:rPr>
                <w:rFonts w:cs="Calibri"/>
                <w:sz w:val="16"/>
                <w:szCs w:val="16"/>
              </w:rPr>
              <w:t>NE</w:t>
            </w:r>
          </w:p>
        </w:tc>
        <w:tc>
          <w:tcPr>
            <w:tcW w:w="964" w:type="dxa"/>
          </w:tcPr>
          <w:p w14:paraId="7CECD6F8" w14:textId="77777777" w:rsidR="00652773" w:rsidRPr="00D42EDA" w:rsidRDefault="00652773">
            <w:pPr>
              <w:pStyle w:val="TableText"/>
              <w:keepNext/>
              <w:spacing w:before="40" w:after="40" w:line="240" w:lineRule="auto"/>
              <w:rPr>
                <w:rFonts w:cs="Calibri"/>
                <w:sz w:val="16"/>
                <w:szCs w:val="16"/>
              </w:rPr>
            </w:pPr>
            <w:r w:rsidRPr="00D42EDA">
              <w:rPr>
                <w:rFonts w:cs="Calibri"/>
                <w:sz w:val="16"/>
                <w:szCs w:val="16"/>
              </w:rPr>
              <w:t>NE</w:t>
            </w:r>
          </w:p>
        </w:tc>
      </w:tr>
      <w:tr w:rsidR="00E872AA" w:rsidRPr="00E711FA" w14:paraId="35D1FE30" w14:textId="77777777" w:rsidTr="006E5BDE">
        <w:trPr>
          <w:gridAfter w:val="1"/>
          <w:wAfter w:w="24" w:type="dxa"/>
        </w:trPr>
        <w:tc>
          <w:tcPr>
            <w:tcW w:w="1134" w:type="dxa"/>
          </w:tcPr>
          <w:p w14:paraId="05FB9A54"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sz w:val="16"/>
                <w:szCs w:val="16"/>
                <w:lang w:eastAsia="en-US"/>
              </w:rPr>
              <w:t>Community Renewable Energy Fund</w:t>
            </w:r>
          </w:p>
        </w:tc>
        <w:tc>
          <w:tcPr>
            <w:tcW w:w="1985" w:type="dxa"/>
          </w:tcPr>
          <w:p w14:paraId="205C44E9" w14:textId="77777777" w:rsidR="00652773" w:rsidRPr="00D42EDA" w:rsidRDefault="00652773">
            <w:pPr>
              <w:pStyle w:val="TableText"/>
              <w:spacing w:before="40" w:after="40" w:line="240" w:lineRule="auto"/>
              <w:rPr>
                <w:rFonts w:cs="Calibri"/>
                <w:color w:val="000000"/>
                <w:sz w:val="16"/>
                <w:szCs w:val="16"/>
                <w:lang w:eastAsia="en-US"/>
              </w:rPr>
            </w:pPr>
            <w:r w:rsidRPr="00D42EDA">
              <w:rPr>
                <w:rFonts w:cs="Calibri"/>
                <w:color w:val="000000"/>
                <w:sz w:val="16"/>
                <w:szCs w:val="16"/>
                <w:lang w:eastAsia="en-US"/>
              </w:rPr>
              <w:t>The fund supports renewable energy projects that help communities access secure, renewable and more affordable energy.</w:t>
            </w:r>
          </w:p>
          <w:p w14:paraId="0ECC618F" w14:textId="77777777" w:rsidR="00652773" w:rsidRPr="00D42EDA" w:rsidRDefault="00652773">
            <w:pPr>
              <w:pStyle w:val="TableText"/>
              <w:spacing w:before="40" w:after="40" w:line="240" w:lineRule="auto"/>
              <w:rPr>
                <w:rFonts w:cs="Calibri"/>
                <w:color w:val="000000"/>
                <w:sz w:val="16"/>
                <w:szCs w:val="16"/>
                <w:lang w:eastAsia="en-US"/>
              </w:rPr>
            </w:pPr>
            <w:r w:rsidRPr="00D42EDA">
              <w:rPr>
                <w:rFonts w:cs="Calibri"/>
                <w:color w:val="000000"/>
                <w:sz w:val="16"/>
                <w:szCs w:val="16"/>
                <w:lang w:eastAsia="en-US"/>
              </w:rPr>
              <w:t>Funded projects are providing valuable insight into the operational, economic, environmental and wellbeing effects of introducing renewable energy systems. This information will help inform future projects on a larger scale, as well as the overall future of the New Zealand energy system.</w:t>
            </w:r>
          </w:p>
        </w:tc>
        <w:tc>
          <w:tcPr>
            <w:tcW w:w="1701" w:type="dxa"/>
          </w:tcPr>
          <w:p w14:paraId="51C7664B" w14:textId="77777777" w:rsidR="00652773" w:rsidRPr="00D42EDA" w:rsidRDefault="00652773">
            <w:pPr>
              <w:pStyle w:val="TableText"/>
              <w:spacing w:before="40" w:after="40" w:line="240" w:lineRule="auto"/>
              <w:rPr>
                <w:rFonts w:cs="Calibri"/>
                <w:color w:val="000000"/>
                <w:sz w:val="16"/>
                <w:szCs w:val="16"/>
                <w:lang w:eastAsia="en-US"/>
              </w:rPr>
            </w:pPr>
            <w:r w:rsidRPr="00D42EDA">
              <w:rPr>
                <w:rFonts w:cs="Calibri"/>
                <w:color w:val="000000"/>
                <w:sz w:val="16"/>
                <w:szCs w:val="16"/>
                <w:lang w:eastAsia="en-US"/>
              </w:rPr>
              <w:t>Support renewable and affordable energy in communities.</w:t>
            </w:r>
          </w:p>
        </w:tc>
        <w:tc>
          <w:tcPr>
            <w:tcW w:w="992" w:type="dxa"/>
          </w:tcPr>
          <w:p w14:paraId="69AC1FB0" w14:textId="77777777" w:rsidR="00652773" w:rsidRPr="00D42EDA" w:rsidRDefault="00652773">
            <w:pPr>
              <w:pStyle w:val="TableText"/>
              <w:spacing w:before="40" w:after="40" w:line="240" w:lineRule="auto"/>
              <w:rPr>
                <w:rFonts w:cs="Calibri"/>
                <w:color w:val="000000"/>
                <w:sz w:val="16"/>
                <w:szCs w:val="16"/>
                <w:lang w:eastAsia="en-US"/>
              </w:rPr>
            </w:pPr>
            <w:r w:rsidRPr="00D42EDA">
              <w:rPr>
                <w:rFonts w:cs="Calibri"/>
                <w:color w:val="000000"/>
                <w:sz w:val="16"/>
                <w:szCs w:val="16"/>
              </w:rPr>
              <w:t>Economic instrument</w:t>
            </w:r>
          </w:p>
        </w:tc>
        <w:tc>
          <w:tcPr>
            <w:tcW w:w="1134" w:type="dxa"/>
          </w:tcPr>
          <w:p w14:paraId="0B4897FB" w14:textId="77777777" w:rsidR="00652773" w:rsidRPr="00D42EDA" w:rsidRDefault="00652773">
            <w:pPr>
              <w:pStyle w:val="TableText"/>
              <w:spacing w:before="40" w:after="40" w:line="240" w:lineRule="auto"/>
              <w:rPr>
                <w:rFonts w:cs="Calibri"/>
                <w:color w:val="000000"/>
                <w:sz w:val="16"/>
                <w:szCs w:val="16"/>
                <w:lang w:eastAsia="en-US"/>
              </w:rPr>
            </w:pPr>
            <w:r w:rsidRPr="00D42EDA">
              <w:rPr>
                <w:rFonts w:cs="Calibri"/>
                <w:sz w:val="16"/>
                <w:szCs w:val="16"/>
                <w:lang w:eastAsia="en-US"/>
              </w:rPr>
              <w:t>Implemented</w:t>
            </w:r>
          </w:p>
        </w:tc>
        <w:tc>
          <w:tcPr>
            <w:tcW w:w="1134" w:type="dxa"/>
          </w:tcPr>
          <w:p w14:paraId="7AFB2104"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sz w:val="16"/>
                <w:szCs w:val="16"/>
                <w:lang w:eastAsia="en-US"/>
              </w:rPr>
              <w:t>Energy</w:t>
            </w:r>
          </w:p>
        </w:tc>
        <w:tc>
          <w:tcPr>
            <w:tcW w:w="1276" w:type="dxa"/>
          </w:tcPr>
          <w:p w14:paraId="0F2E966F"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sz w:val="16"/>
                <w:szCs w:val="16"/>
                <w:lang w:eastAsia="en-US"/>
              </w:rPr>
              <w:t>CO</w:t>
            </w:r>
            <w:r w:rsidRPr="00D42EDA">
              <w:rPr>
                <w:rFonts w:cs="Calibri"/>
                <w:color w:val="000000"/>
                <w:sz w:val="16"/>
                <w:szCs w:val="16"/>
                <w:vertAlign w:val="subscript"/>
                <w:lang w:eastAsia="en-US"/>
              </w:rPr>
              <w:t>2</w:t>
            </w:r>
          </w:p>
        </w:tc>
        <w:tc>
          <w:tcPr>
            <w:tcW w:w="850" w:type="dxa"/>
          </w:tcPr>
          <w:p w14:paraId="094DDD18"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sz w:val="16"/>
                <w:szCs w:val="16"/>
                <w:lang w:eastAsia="en-US"/>
              </w:rPr>
              <w:t>2022</w:t>
            </w:r>
          </w:p>
        </w:tc>
        <w:tc>
          <w:tcPr>
            <w:tcW w:w="1418" w:type="dxa"/>
          </w:tcPr>
          <w:p w14:paraId="0B27A11D"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sz w:val="16"/>
                <w:szCs w:val="16"/>
                <w:lang w:eastAsia="en-US"/>
              </w:rPr>
              <w:t>Ministry of Business, Innovation and Employment</w:t>
            </w:r>
          </w:p>
        </w:tc>
        <w:tc>
          <w:tcPr>
            <w:tcW w:w="992" w:type="dxa"/>
          </w:tcPr>
          <w:p w14:paraId="0A5C7C4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19185FC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571E05D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3053A4D2" w14:textId="77777777" w:rsidTr="006E5BDE">
        <w:trPr>
          <w:gridAfter w:val="1"/>
          <w:wAfter w:w="24" w:type="dxa"/>
        </w:trPr>
        <w:tc>
          <w:tcPr>
            <w:tcW w:w="1134" w:type="dxa"/>
          </w:tcPr>
          <w:p w14:paraId="54115A6B"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sz w:val="16"/>
                <w:szCs w:val="16"/>
              </w:rPr>
              <w:t>National Direction for Greenhouse Gas Emissions from Industrial Process Heat</w:t>
            </w:r>
          </w:p>
        </w:tc>
        <w:tc>
          <w:tcPr>
            <w:tcW w:w="1985" w:type="dxa"/>
          </w:tcPr>
          <w:p w14:paraId="38C692B0" w14:textId="16DF26BE" w:rsidR="00C774C7" w:rsidRPr="00D42EDA" w:rsidRDefault="00652773" w:rsidP="008E73AF">
            <w:pPr>
              <w:pStyle w:val="TableText"/>
              <w:spacing w:before="40" w:after="40" w:line="240" w:lineRule="auto"/>
              <w:rPr>
                <w:rFonts w:cs="Calibri"/>
                <w:color w:val="000000"/>
                <w:sz w:val="16"/>
                <w:szCs w:val="16"/>
              </w:rPr>
            </w:pPr>
            <w:r w:rsidRPr="00D42EDA">
              <w:rPr>
                <w:rFonts w:cs="Calibri"/>
                <w:color w:val="000000" w:themeColor="text1"/>
                <w:sz w:val="16"/>
                <w:szCs w:val="16"/>
              </w:rPr>
              <w:t>Industries using process heat are required to consider greenhouse gas emissions for their operations when applying to local councils for a discharge to air consent. Guidance has been published to help local councils and industry understand the requirements.</w:t>
            </w:r>
          </w:p>
        </w:tc>
        <w:tc>
          <w:tcPr>
            <w:tcW w:w="1701" w:type="dxa"/>
          </w:tcPr>
          <w:p w14:paraId="34F63F48"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themeColor="text1"/>
                <w:sz w:val="16"/>
                <w:szCs w:val="16"/>
              </w:rPr>
              <w:t>Requires local councils to consider greenhouse gas emissions for resource consent applications.</w:t>
            </w:r>
          </w:p>
        </w:tc>
        <w:tc>
          <w:tcPr>
            <w:tcW w:w="992" w:type="dxa"/>
          </w:tcPr>
          <w:p w14:paraId="65E682B9"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themeColor="text1"/>
                <w:sz w:val="16"/>
                <w:szCs w:val="16"/>
              </w:rPr>
              <w:t>Regulation, other</w:t>
            </w:r>
          </w:p>
        </w:tc>
        <w:tc>
          <w:tcPr>
            <w:tcW w:w="1134" w:type="dxa"/>
          </w:tcPr>
          <w:p w14:paraId="5731DDAE" w14:textId="77777777" w:rsidR="00652773" w:rsidRPr="00D42EDA" w:rsidRDefault="00652773">
            <w:pPr>
              <w:pStyle w:val="TableText"/>
              <w:spacing w:before="40" w:after="40" w:line="240" w:lineRule="auto"/>
              <w:rPr>
                <w:rFonts w:cs="Calibri"/>
                <w:color w:val="000000"/>
                <w:sz w:val="16"/>
                <w:szCs w:val="16"/>
              </w:rPr>
            </w:pPr>
            <w:r w:rsidRPr="00D42EDA">
              <w:rPr>
                <w:rFonts w:cs="Calibri"/>
                <w:sz w:val="16"/>
                <w:szCs w:val="16"/>
              </w:rPr>
              <w:t>Implemented</w:t>
            </w:r>
          </w:p>
        </w:tc>
        <w:tc>
          <w:tcPr>
            <w:tcW w:w="1134" w:type="dxa"/>
          </w:tcPr>
          <w:p w14:paraId="2F123A52"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sz w:val="16"/>
                <w:szCs w:val="16"/>
              </w:rPr>
              <w:t>Energy</w:t>
            </w:r>
          </w:p>
        </w:tc>
        <w:tc>
          <w:tcPr>
            <w:tcW w:w="1276" w:type="dxa"/>
          </w:tcPr>
          <w:p w14:paraId="69543B05" w14:textId="77777777" w:rsidR="00652773" w:rsidRPr="00D42EDA" w:rsidRDefault="00652773">
            <w:pPr>
              <w:pStyle w:val="TableText"/>
              <w:spacing w:before="40" w:after="40" w:line="240" w:lineRule="auto"/>
              <w:rPr>
                <w:rFonts w:cs="Calibri"/>
                <w:color w:val="000000" w:themeColor="text1"/>
                <w:sz w:val="16"/>
                <w:szCs w:val="16"/>
              </w:rPr>
            </w:pPr>
            <w:r w:rsidRPr="00D42EDA">
              <w:rPr>
                <w:rFonts w:cs="Calibri"/>
                <w:color w:val="000000" w:themeColor="text1"/>
                <w:sz w:val="16"/>
                <w:szCs w:val="16"/>
              </w:rPr>
              <w:t>CO</w:t>
            </w:r>
            <w:r w:rsidRPr="00D42EDA">
              <w:rPr>
                <w:rFonts w:cs="Calibri"/>
                <w:color w:val="000000" w:themeColor="text1"/>
                <w:sz w:val="16"/>
                <w:szCs w:val="16"/>
                <w:vertAlign w:val="subscript"/>
              </w:rPr>
              <w:t>2</w:t>
            </w:r>
          </w:p>
          <w:p w14:paraId="5F6929D9" w14:textId="77777777" w:rsidR="00652773" w:rsidRPr="00D42EDA" w:rsidRDefault="00652773">
            <w:pPr>
              <w:pStyle w:val="TableText"/>
              <w:spacing w:before="40" w:after="40" w:line="240" w:lineRule="auto"/>
              <w:rPr>
                <w:rFonts w:cs="Calibri"/>
                <w:color w:val="000000"/>
                <w:sz w:val="16"/>
                <w:szCs w:val="16"/>
              </w:rPr>
            </w:pPr>
          </w:p>
        </w:tc>
        <w:tc>
          <w:tcPr>
            <w:tcW w:w="850" w:type="dxa"/>
          </w:tcPr>
          <w:p w14:paraId="60774D69"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themeColor="text1"/>
                <w:sz w:val="16"/>
                <w:szCs w:val="16"/>
              </w:rPr>
              <w:t>2023</w:t>
            </w:r>
          </w:p>
        </w:tc>
        <w:tc>
          <w:tcPr>
            <w:tcW w:w="1418" w:type="dxa"/>
          </w:tcPr>
          <w:p w14:paraId="5BE19E58" w14:textId="77777777" w:rsidR="00652773" w:rsidRPr="00D42EDA" w:rsidRDefault="00652773">
            <w:pPr>
              <w:pStyle w:val="TableText"/>
              <w:spacing w:before="40" w:after="40" w:line="240" w:lineRule="auto"/>
              <w:rPr>
                <w:rFonts w:cs="Calibri"/>
                <w:color w:val="000000" w:themeColor="text1"/>
                <w:sz w:val="16"/>
                <w:szCs w:val="16"/>
              </w:rPr>
            </w:pPr>
            <w:r w:rsidRPr="00D42EDA">
              <w:rPr>
                <w:rFonts w:cs="Calibri"/>
                <w:color w:val="000000" w:themeColor="text1"/>
                <w:sz w:val="16"/>
                <w:szCs w:val="16"/>
              </w:rPr>
              <w:t xml:space="preserve">Ministry for the Environment, Ministry of Business, Innovation and Employment, </w:t>
            </w:r>
            <w:r w:rsidRPr="00D42EDA">
              <w:rPr>
                <w:rFonts w:cs="Calibri"/>
                <w:sz w:val="16"/>
                <w:szCs w:val="16"/>
              </w:rPr>
              <w:t>Energy Efficiency and Conservation Authority</w:t>
            </w:r>
          </w:p>
        </w:tc>
        <w:tc>
          <w:tcPr>
            <w:tcW w:w="992" w:type="dxa"/>
          </w:tcPr>
          <w:p w14:paraId="798470B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0</w:t>
            </w:r>
          </w:p>
        </w:tc>
        <w:tc>
          <w:tcPr>
            <w:tcW w:w="992" w:type="dxa"/>
          </w:tcPr>
          <w:p w14:paraId="68E4A85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0</w:t>
            </w:r>
          </w:p>
        </w:tc>
        <w:tc>
          <w:tcPr>
            <w:tcW w:w="964" w:type="dxa"/>
          </w:tcPr>
          <w:p w14:paraId="271A203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579</w:t>
            </w:r>
          </w:p>
        </w:tc>
      </w:tr>
      <w:tr w:rsidR="00206ADA" w:rsidRPr="00E711FA" w14:paraId="11F72876" w14:textId="77777777" w:rsidTr="00692400">
        <w:trPr>
          <w:gridAfter w:val="1"/>
          <w:wAfter w:w="24" w:type="dxa"/>
        </w:trPr>
        <w:tc>
          <w:tcPr>
            <w:tcW w:w="14572" w:type="dxa"/>
            <w:gridSpan w:val="12"/>
            <w:shd w:val="clear" w:color="auto" w:fill="D2DDE1" w:themeFill="background2"/>
          </w:tcPr>
          <w:p w14:paraId="408D90C2" w14:textId="0AB18F36" w:rsidR="00206ADA" w:rsidRPr="00E711FA" w:rsidRDefault="0024610E" w:rsidP="00206ADA">
            <w:pPr>
              <w:pStyle w:val="TableText"/>
              <w:spacing w:before="40" w:after="40" w:line="240" w:lineRule="auto"/>
              <w:rPr>
                <w:rFonts w:cs="Calibri"/>
                <w:sz w:val="14"/>
                <w:szCs w:val="14"/>
              </w:rPr>
            </w:pPr>
            <w:r w:rsidRPr="00D42EDA">
              <w:rPr>
                <w:rFonts w:cs="Calibri"/>
                <w:b/>
                <w:sz w:val="16"/>
                <w:szCs w:val="16"/>
              </w:rPr>
              <w:t>Energy: Building and construction</w:t>
            </w:r>
          </w:p>
        </w:tc>
      </w:tr>
      <w:tr w:rsidR="00E872AA" w:rsidRPr="00E711FA" w14:paraId="5268C0E7" w14:textId="77777777" w:rsidTr="006E5BDE">
        <w:trPr>
          <w:gridAfter w:val="1"/>
          <w:wAfter w:w="24" w:type="dxa"/>
        </w:trPr>
        <w:tc>
          <w:tcPr>
            <w:tcW w:w="1134" w:type="dxa"/>
          </w:tcPr>
          <w:p w14:paraId="015FD40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Improvements to the energy efficiency requirements in the New Zealand Building Code </w:t>
            </w:r>
          </w:p>
        </w:tc>
        <w:tc>
          <w:tcPr>
            <w:tcW w:w="1985" w:type="dxa"/>
          </w:tcPr>
          <w:p w14:paraId="5456DB4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The </w:t>
            </w:r>
            <w:r w:rsidRPr="00D42EDA">
              <w:rPr>
                <w:rFonts w:cs="Calibri"/>
                <w:color w:val="000000" w:themeColor="text1"/>
                <w:sz w:val="16"/>
                <w:szCs w:val="16"/>
              </w:rPr>
              <w:t>Ministry of Business, Innovation and Employment</w:t>
            </w:r>
            <w:r w:rsidRPr="00D42EDA">
              <w:rPr>
                <w:rFonts w:cs="Calibri"/>
                <w:sz w:val="16"/>
                <w:szCs w:val="16"/>
              </w:rPr>
              <w:t xml:space="preserve"> increased the minimum energy efficiency standards for new buildings through changes to the compliance requirements in Clause H1 of the New Zealand Building Code. </w:t>
            </w:r>
          </w:p>
        </w:tc>
        <w:tc>
          <w:tcPr>
            <w:tcW w:w="1701" w:type="dxa"/>
          </w:tcPr>
          <w:p w14:paraId="2327037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Improve the energy efficiency of new buildings. </w:t>
            </w:r>
          </w:p>
        </w:tc>
        <w:tc>
          <w:tcPr>
            <w:tcW w:w="992" w:type="dxa"/>
          </w:tcPr>
          <w:p w14:paraId="2ABDCFC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Regulatory </w:t>
            </w:r>
          </w:p>
        </w:tc>
        <w:tc>
          <w:tcPr>
            <w:tcW w:w="1134" w:type="dxa"/>
          </w:tcPr>
          <w:p w14:paraId="4ED8679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Implemented </w:t>
            </w:r>
          </w:p>
        </w:tc>
        <w:tc>
          <w:tcPr>
            <w:tcW w:w="1134" w:type="dxa"/>
          </w:tcPr>
          <w:p w14:paraId="5F0C1B4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Energy </w:t>
            </w:r>
          </w:p>
        </w:tc>
        <w:tc>
          <w:tcPr>
            <w:tcW w:w="1276" w:type="dxa"/>
          </w:tcPr>
          <w:p w14:paraId="6E8018F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p w14:paraId="434A73DA" w14:textId="77777777" w:rsidR="00652773" w:rsidRPr="00D42EDA" w:rsidRDefault="00652773">
            <w:pPr>
              <w:pStyle w:val="TableText"/>
              <w:spacing w:before="40" w:after="40" w:line="240" w:lineRule="auto"/>
              <w:rPr>
                <w:rFonts w:cs="Calibri"/>
                <w:sz w:val="16"/>
                <w:szCs w:val="16"/>
              </w:rPr>
            </w:pPr>
          </w:p>
        </w:tc>
        <w:tc>
          <w:tcPr>
            <w:tcW w:w="850" w:type="dxa"/>
          </w:tcPr>
          <w:p w14:paraId="1A4B4DF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2023</w:t>
            </w:r>
          </w:p>
        </w:tc>
        <w:tc>
          <w:tcPr>
            <w:tcW w:w="1418" w:type="dxa"/>
          </w:tcPr>
          <w:p w14:paraId="55FB839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of Business, Innovation and Employment</w:t>
            </w:r>
          </w:p>
        </w:tc>
        <w:tc>
          <w:tcPr>
            <w:tcW w:w="992" w:type="dxa"/>
          </w:tcPr>
          <w:p w14:paraId="2CF3A61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0</w:t>
            </w:r>
          </w:p>
        </w:tc>
        <w:tc>
          <w:tcPr>
            <w:tcW w:w="992" w:type="dxa"/>
          </w:tcPr>
          <w:p w14:paraId="1A37E50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0</w:t>
            </w:r>
          </w:p>
        </w:tc>
        <w:tc>
          <w:tcPr>
            <w:tcW w:w="964" w:type="dxa"/>
          </w:tcPr>
          <w:p w14:paraId="6D5AE0A3"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154</w:t>
            </w:r>
          </w:p>
        </w:tc>
      </w:tr>
      <w:tr w:rsidR="00E872AA" w:rsidRPr="00E711FA" w14:paraId="6686B85B" w14:textId="77777777" w:rsidTr="006E5BDE">
        <w:trPr>
          <w:gridAfter w:val="1"/>
          <w:wAfter w:w="24" w:type="dxa"/>
        </w:trPr>
        <w:tc>
          <w:tcPr>
            <w:tcW w:w="1134" w:type="dxa"/>
          </w:tcPr>
          <w:p w14:paraId="17BD492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Technical methodologies to measure embodied carbon and operational carbon </w:t>
            </w:r>
          </w:p>
        </w:tc>
        <w:tc>
          <w:tcPr>
            <w:tcW w:w="1985" w:type="dxa"/>
          </w:tcPr>
          <w:p w14:paraId="53ABC12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The </w:t>
            </w:r>
            <w:r w:rsidRPr="00D42EDA">
              <w:rPr>
                <w:rFonts w:cs="Calibri"/>
                <w:color w:val="000000" w:themeColor="text1"/>
                <w:sz w:val="16"/>
                <w:szCs w:val="16"/>
              </w:rPr>
              <w:t>Ministry of Business, Innovation and Employment</w:t>
            </w:r>
            <w:r w:rsidRPr="00D42EDA">
              <w:rPr>
                <w:rFonts w:cs="Calibri"/>
                <w:sz w:val="16"/>
                <w:szCs w:val="16"/>
              </w:rPr>
              <w:t xml:space="preserve"> has developed two technical methodologies to enable the building and construction sector to measure embodied and operational carbon from new buildings in a consistent and credible way.</w:t>
            </w:r>
          </w:p>
        </w:tc>
        <w:tc>
          <w:tcPr>
            <w:tcW w:w="1701" w:type="dxa"/>
          </w:tcPr>
          <w:p w14:paraId="7F1D84D3"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Reduce embodied and operational emissions from new buildings. </w:t>
            </w:r>
          </w:p>
        </w:tc>
        <w:tc>
          <w:tcPr>
            <w:tcW w:w="992" w:type="dxa"/>
          </w:tcPr>
          <w:p w14:paraId="2A7D916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Other </w:t>
            </w:r>
          </w:p>
        </w:tc>
        <w:tc>
          <w:tcPr>
            <w:tcW w:w="1134" w:type="dxa"/>
          </w:tcPr>
          <w:p w14:paraId="2E410FB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Implemented </w:t>
            </w:r>
          </w:p>
        </w:tc>
        <w:tc>
          <w:tcPr>
            <w:tcW w:w="1134" w:type="dxa"/>
          </w:tcPr>
          <w:p w14:paraId="1103ADE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Energy </w:t>
            </w:r>
          </w:p>
        </w:tc>
        <w:tc>
          <w:tcPr>
            <w:tcW w:w="1276" w:type="dxa"/>
          </w:tcPr>
          <w:p w14:paraId="55333E0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29DF547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2022 </w:t>
            </w:r>
          </w:p>
        </w:tc>
        <w:tc>
          <w:tcPr>
            <w:tcW w:w="1418" w:type="dxa"/>
          </w:tcPr>
          <w:p w14:paraId="77B8C686" w14:textId="77777777" w:rsidR="00652773" w:rsidRPr="00D42EDA" w:rsidRDefault="00652773">
            <w:pPr>
              <w:pStyle w:val="TableText"/>
              <w:spacing w:line="240" w:lineRule="auto"/>
              <w:rPr>
                <w:rFonts w:cs="Calibri"/>
                <w:sz w:val="16"/>
                <w:szCs w:val="16"/>
              </w:rPr>
            </w:pPr>
            <w:r w:rsidRPr="00D42EDA">
              <w:rPr>
                <w:rFonts w:cs="Calibri"/>
                <w:sz w:val="16"/>
                <w:szCs w:val="16"/>
              </w:rPr>
              <w:t>Ministry of Business, Innovation and Employment</w:t>
            </w:r>
          </w:p>
        </w:tc>
        <w:tc>
          <w:tcPr>
            <w:tcW w:w="992" w:type="dxa"/>
          </w:tcPr>
          <w:p w14:paraId="06A50CB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04E4F8F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5F3099B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5F7FF0EA" w14:textId="77777777" w:rsidTr="006E5BDE">
        <w:trPr>
          <w:gridAfter w:val="1"/>
          <w:wAfter w:w="24" w:type="dxa"/>
        </w:trPr>
        <w:tc>
          <w:tcPr>
            <w:tcW w:w="1134" w:type="dxa"/>
          </w:tcPr>
          <w:p w14:paraId="595B6CF3" w14:textId="77777777" w:rsidR="00652773" w:rsidRPr="00D42EDA" w:rsidRDefault="00652773">
            <w:pPr>
              <w:pStyle w:val="TableText"/>
              <w:keepNext/>
              <w:spacing w:before="40" w:after="40" w:line="240" w:lineRule="auto"/>
              <w:rPr>
                <w:rFonts w:cs="Calibri"/>
                <w:sz w:val="16"/>
                <w:szCs w:val="16"/>
              </w:rPr>
            </w:pPr>
            <w:r w:rsidRPr="00D42EDA">
              <w:rPr>
                <w:rFonts w:cs="Calibri"/>
                <w:sz w:val="16"/>
                <w:szCs w:val="16"/>
              </w:rPr>
              <w:t>Energy performance ratings: National Australian Built Environment Rating System – New Zealand (NABERSNZ</w:t>
            </w:r>
            <w:r w:rsidRPr="00D42EDA">
              <w:rPr>
                <w:rFonts w:cs="Calibri"/>
                <w:sz w:val="16"/>
                <w:szCs w:val="16"/>
                <w:vertAlign w:val="superscript"/>
              </w:rPr>
              <w:t>TM</w:t>
            </w:r>
            <w:r w:rsidRPr="00D42EDA">
              <w:rPr>
                <w:rFonts w:cs="Calibri"/>
                <w:sz w:val="16"/>
                <w:szCs w:val="16"/>
              </w:rPr>
              <w:t>)</w:t>
            </w:r>
          </w:p>
        </w:tc>
        <w:tc>
          <w:tcPr>
            <w:tcW w:w="1985" w:type="dxa"/>
          </w:tcPr>
          <w:p w14:paraId="236F83B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NABERSNZ</w:t>
            </w:r>
            <w:r w:rsidRPr="00D42EDA">
              <w:rPr>
                <w:rFonts w:cs="Calibri"/>
                <w:sz w:val="16"/>
                <w:szCs w:val="16"/>
                <w:vertAlign w:val="superscript"/>
              </w:rPr>
              <w:t>TM</w:t>
            </w:r>
            <w:r w:rsidRPr="00D42EDA">
              <w:rPr>
                <w:rFonts w:cs="Calibri"/>
                <w:sz w:val="16"/>
                <w:szCs w:val="16"/>
              </w:rPr>
              <w:t xml:space="preserve"> is a system for rating the energy efficiency of existing office buildings and identifies opportunities for implementing building energy performance improvements. Other work includes financial grants and loans for energy audits; energy plans; monitoring and verification systems; systems optimisation; and new and emerging technologies.</w:t>
            </w:r>
          </w:p>
        </w:tc>
        <w:tc>
          <w:tcPr>
            <w:tcW w:w="1701" w:type="dxa"/>
          </w:tcPr>
          <w:p w14:paraId="081CCA5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Improve the energy performance of new and existing commercial buildings.</w:t>
            </w:r>
          </w:p>
        </w:tc>
        <w:tc>
          <w:tcPr>
            <w:tcW w:w="992" w:type="dxa"/>
          </w:tcPr>
          <w:p w14:paraId="538C252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Other</w:t>
            </w:r>
          </w:p>
        </w:tc>
        <w:tc>
          <w:tcPr>
            <w:tcW w:w="1134" w:type="dxa"/>
          </w:tcPr>
          <w:p w14:paraId="427B35E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Pr>
          <w:p w14:paraId="0BD05AE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Energy</w:t>
            </w:r>
          </w:p>
        </w:tc>
        <w:tc>
          <w:tcPr>
            <w:tcW w:w="1276" w:type="dxa"/>
          </w:tcPr>
          <w:p w14:paraId="533C244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4548F29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2013</w:t>
            </w:r>
          </w:p>
        </w:tc>
        <w:tc>
          <w:tcPr>
            <w:tcW w:w="1418" w:type="dxa"/>
          </w:tcPr>
          <w:p w14:paraId="1A8F5E2E" w14:textId="77777777" w:rsidR="00652773" w:rsidRPr="00D42EDA" w:rsidRDefault="00652773">
            <w:pPr>
              <w:pStyle w:val="TableText"/>
              <w:spacing w:line="240" w:lineRule="auto"/>
              <w:rPr>
                <w:rFonts w:cs="Calibri"/>
                <w:sz w:val="16"/>
                <w:szCs w:val="16"/>
              </w:rPr>
            </w:pPr>
            <w:r w:rsidRPr="00D42EDA">
              <w:rPr>
                <w:rFonts w:cs="Calibri"/>
                <w:sz w:val="16"/>
                <w:szCs w:val="16"/>
              </w:rPr>
              <w:t>Energy Efficiency and Conservation Authority</w:t>
            </w:r>
          </w:p>
        </w:tc>
        <w:tc>
          <w:tcPr>
            <w:tcW w:w="992" w:type="dxa"/>
          </w:tcPr>
          <w:p w14:paraId="091CBD9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2EA20A2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196C017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75336873" w14:textId="77777777" w:rsidTr="006E5BDE">
        <w:trPr>
          <w:gridAfter w:val="1"/>
          <w:wAfter w:w="24" w:type="dxa"/>
        </w:trPr>
        <w:tc>
          <w:tcPr>
            <w:tcW w:w="1134" w:type="dxa"/>
          </w:tcPr>
          <w:p w14:paraId="4A4A28E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Insulation and heating grants: Warmer Kiwi Homes Programme</w:t>
            </w:r>
          </w:p>
        </w:tc>
        <w:tc>
          <w:tcPr>
            <w:tcW w:w="1985" w:type="dxa"/>
          </w:tcPr>
          <w:p w14:paraId="1A11303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Warmer Kiwi Homes offers insulation and heating grants to low-income households to make their homes warmer, drier and more energy efficient.</w:t>
            </w:r>
          </w:p>
        </w:tc>
        <w:tc>
          <w:tcPr>
            <w:tcW w:w="1701" w:type="dxa"/>
          </w:tcPr>
          <w:p w14:paraId="207299B3"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Provide warmer, drier homes through improved thermal performance.</w:t>
            </w:r>
          </w:p>
        </w:tc>
        <w:tc>
          <w:tcPr>
            <w:tcW w:w="992" w:type="dxa"/>
          </w:tcPr>
          <w:p w14:paraId="677F2FF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Economic instrument</w:t>
            </w:r>
          </w:p>
        </w:tc>
        <w:tc>
          <w:tcPr>
            <w:tcW w:w="1134" w:type="dxa"/>
          </w:tcPr>
          <w:p w14:paraId="155FB23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Pr>
          <w:p w14:paraId="13454E5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Energy</w:t>
            </w:r>
          </w:p>
        </w:tc>
        <w:tc>
          <w:tcPr>
            <w:tcW w:w="1276" w:type="dxa"/>
          </w:tcPr>
          <w:p w14:paraId="64DA147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1D5055C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2018</w:t>
            </w:r>
          </w:p>
        </w:tc>
        <w:tc>
          <w:tcPr>
            <w:tcW w:w="1418" w:type="dxa"/>
          </w:tcPr>
          <w:p w14:paraId="2DF680E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Energy Efficiency and Conservation Authority</w:t>
            </w:r>
          </w:p>
        </w:tc>
        <w:tc>
          <w:tcPr>
            <w:tcW w:w="992" w:type="dxa"/>
          </w:tcPr>
          <w:p w14:paraId="64BB720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0</w:t>
            </w:r>
          </w:p>
        </w:tc>
        <w:tc>
          <w:tcPr>
            <w:tcW w:w="992" w:type="dxa"/>
          </w:tcPr>
          <w:p w14:paraId="0611A60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1</w:t>
            </w:r>
          </w:p>
        </w:tc>
        <w:tc>
          <w:tcPr>
            <w:tcW w:w="964" w:type="dxa"/>
          </w:tcPr>
          <w:p w14:paraId="6E19F75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4</w:t>
            </w:r>
          </w:p>
        </w:tc>
      </w:tr>
      <w:tr w:rsidR="00206ADA" w:rsidRPr="00E711FA" w14:paraId="7EB21F5E" w14:textId="77777777" w:rsidTr="00692400">
        <w:trPr>
          <w:gridAfter w:val="1"/>
          <w:wAfter w:w="24" w:type="dxa"/>
        </w:trPr>
        <w:tc>
          <w:tcPr>
            <w:tcW w:w="14572" w:type="dxa"/>
            <w:gridSpan w:val="12"/>
            <w:shd w:val="clear" w:color="auto" w:fill="D2DDE1" w:themeFill="background2"/>
          </w:tcPr>
          <w:p w14:paraId="6D194D29" w14:textId="31B3F1E7" w:rsidR="00206ADA" w:rsidRPr="00E711FA" w:rsidRDefault="0024610E" w:rsidP="00206ADA">
            <w:pPr>
              <w:pStyle w:val="TableText"/>
              <w:spacing w:before="40" w:after="40" w:line="240" w:lineRule="auto"/>
              <w:rPr>
                <w:rFonts w:cs="Calibri"/>
                <w:sz w:val="14"/>
                <w:szCs w:val="14"/>
              </w:rPr>
            </w:pPr>
            <w:r w:rsidRPr="00D42EDA">
              <w:rPr>
                <w:rFonts w:cs="Calibri"/>
                <w:b/>
                <w:sz w:val="16"/>
                <w:szCs w:val="16"/>
              </w:rPr>
              <w:t>Transport</w:t>
            </w:r>
          </w:p>
        </w:tc>
      </w:tr>
      <w:tr w:rsidR="00E872AA" w:rsidRPr="00E711FA" w14:paraId="13EFC793" w14:textId="77777777" w:rsidTr="006E5BDE">
        <w:trPr>
          <w:gridAfter w:val="1"/>
          <w:wAfter w:w="24" w:type="dxa"/>
        </w:trPr>
        <w:tc>
          <w:tcPr>
            <w:tcW w:w="1134" w:type="dxa"/>
          </w:tcPr>
          <w:p w14:paraId="45DF503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Electric vehicle charging infrastructure</w:t>
            </w:r>
          </w:p>
        </w:tc>
        <w:tc>
          <w:tcPr>
            <w:tcW w:w="1985" w:type="dxa"/>
          </w:tcPr>
          <w:p w14:paraId="23165CA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The Government is taking steps to enable the delivery of a network of 10,000 public electric vehicle charging points by 2030. It will support the transition to and use of low-emissions transport by giving users the confidence that they can charge their vehicle on the public network when and where they need to.</w:t>
            </w:r>
          </w:p>
        </w:tc>
        <w:tc>
          <w:tcPr>
            <w:tcW w:w="1701" w:type="dxa"/>
          </w:tcPr>
          <w:p w14:paraId="2BEE2E4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Provide a long-term strategic direction as New Zealand’s electric vehicle infrastructure expands. </w:t>
            </w:r>
          </w:p>
        </w:tc>
        <w:tc>
          <w:tcPr>
            <w:tcW w:w="992" w:type="dxa"/>
          </w:tcPr>
          <w:p w14:paraId="6B71C33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Other</w:t>
            </w:r>
          </w:p>
        </w:tc>
        <w:tc>
          <w:tcPr>
            <w:tcW w:w="1134" w:type="dxa"/>
          </w:tcPr>
          <w:p w14:paraId="065BE18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Planned</w:t>
            </w:r>
          </w:p>
        </w:tc>
        <w:tc>
          <w:tcPr>
            <w:tcW w:w="1134" w:type="dxa"/>
          </w:tcPr>
          <w:p w14:paraId="0DE73D3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Transport</w:t>
            </w:r>
          </w:p>
        </w:tc>
        <w:tc>
          <w:tcPr>
            <w:tcW w:w="1276" w:type="dxa"/>
          </w:tcPr>
          <w:p w14:paraId="7B249D5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46B58A3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2024</w:t>
            </w:r>
          </w:p>
        </w:tc>
        <w:tc>
          <w:tcPr>
            <w:tcW w:w="1418" w:type="dxa"/>
          </w:tcPr>
          <w:p w14:paraId="3D8552C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Ministry of Transport, </w:t>
            </w:r>
            <w:r w:rsidRPr="00D42EDA">
              <w:rPr>
                <w:rFonts w:cs="Calibri"/>
                <w:color w:val="000000" w:themeColor="text1"/>
                <w:sz w:val="16"/>
                <w:szCs w:val="16"/>
              </w:rPr>
              <w:t xml:space="preserve">Ministry of Business, Innovation and Employment, </w:t>
            </w:r>
            <w:r w:rsidRPr="00D42EDA">
              <w:rPr>
                <w:rFonts w:cs="Calibri"/>
                <w:sz w:val="16"/>
                <w:szCs w:val="16"/>
              </w:rPr>
              <w:t>Energy Efficiency and Conservation Authority</w:t>
            </w:r>
          </w:p>
          <w:p w14:paraId="3EC659FD" w14:textId="77777777" w:rsidR="00652773" w:rsidRPr="00D42EDA" w:rsidRDefault="00652773">
            <w:pPr>
              <w:pStyle w:val="TableText"/>
              <w:spacing w:before="40" w:after="40" w:line="240" w:lineRule="auto"/>
              <w:rPr>
                <w:rFonts w:cs="Calibri"/>
                <w:color w:val="000000" w:themeColor="text1"/>
                <w:sz w:val="16"/>
                <w:szCs w:val="16"/>
              </w:rPr>
            </w:pPr>
          </w:p>
        </w:tc>
        <w:tc>
          <w:tcPr>
            <w:tcW w:w="992" w:type="dxa"/>
          </w:tcPr>
          <w:p w14:paraId="5A771EB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26E3451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77DDD2E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7C800549" w14:textId="77777777" w:rsidTr="006E5BDE">
        <w:trPr>
          <w:gridAfter w:val="1"/>
          <w:wAfter w:w="24" w:type="dxa"/>
        </w:trPr>
        <w:tc>
          <w:tcPr>
            <w:tcW w:w="1134" w:type="dxa"/>
          </w:tcPr>
          <w:p w14:paraId="70C810F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Clean Vehicle Standard and Clean Vehicle Discount Scheme</w:t>
            </w:r>
          </w:p>
        </w:tc>
        <w:tc>
          <w:tcPr>
            <w:tcW w:w="1985" w:type="dxa"/>
          </w:tcPr>
          <w:p w14:paraId="463FC745" w14:textId="1D070BE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The Clean Vehicle Standard requires vehicle importers to achieve annually stricter carbon dioxide targets from 2023 or otherwise face financial charges. The Clean Vehicle Discount encouraged buyer demand for low-emission vehicles by providing rebates for zero- and low-emission light vehicles, and requiring a fee be paid for high-emission vehicles registered in New Zealand for the first time. </w:t>
            </w:r>
          </w:p>
        </w:tc>
        <w:tc>
          <w:tcPr>
            <w:tcW w:w="1701" w:type="dxa"/>
          </w:tcPr>
          <w:p w14:paraId="17CC7F8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Address both the supply of and the demand for low-emissions vehicles in New Zealand.</w:t>
            </w:r>
          </w:p>
        </w:tc>
        <w:tc>
          <w:tcPr>
            <w:tcW w:w="992" w:type="dxa"/>
          </w:tcPr>
          <w:p w14:paraId="1B443EB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Regulatory, e</w:t>
            </w:r>
            <w:r w:rsidRPr="00D42EDA">
              <w:rPr>
                <w:rFonts w:cs="Calibri"/>
                <w:color w:val="000000"/>
                <w:sz w:val="16"/>
                <w:szCs w:val="16"/>
              </w:rPr>
              <w:t>conomic instrument</w:t>
            </w:r>
          </w:p>
        </w:tc>
        <w:tc>
          <w:tcPr>
            <w:tcW w:w="1134" w:type="dxa"/>
          </w:tcPr>
          <w:p w14:paraId="2427F8C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Implemented </w:t>
            </w:r>
          </w:p>
        </w:tc>
        <w:tc>
          <w:tcPr>
            <w:tcW w:w="1134" w:type="dxa"/>
          </w:tcPr>
          <w:p w14:paraId="2C7FF0D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Transport</w:t>
            </w:r>
          </w:p>
        </w:tc>
        <w:tc>
          <w:tcPr>
            <w:tcW w:w="1276" w:type="dxa"/>
          </w:tcPr>
          <w:p w14:paraId="434830D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4385964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2021</w:t>
            </w:r>
          </w:p>
        </w:tc>
        <w:tc>
          <w:tcPr>
            <w:tcW w:w="1418" w:type="dxa"/>
          </w:tcPr>
          <w:p w14:paraId="76E3A95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of Transport, NZ Transport Agency</w:t>
            </w:r>
          </w:p>
        </w:tc>
        <w:tc>
          <w:tcPr>
            <w:tcW w:w="992" w:type="dxa"/>
          </w:tcPr>
          <w:p w14:paraId="16E35BC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6</w:t>
            </w:r>
          </w:p>
        </w:tc>
        <w:tc>
          <w:tcPr>
            <w:tcW w:w="992" w:type="dxa"/>
          </w:tcPr>
          <w:p w14:paraId="2B4387A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30</w:t>
            </w:r>
          </w:p>
        </w:tc>
        <w:tc>
          <w:tcPr>
            <w:tcW w:w="964" w:type="dxa"/>
          </w:tcPr>
          <w:p w14:paraId="58B6EBC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364</w:t>
            </w:r>
          </w:p>
        </w:tc>
      </w:tr>
      <w:tr w:rsidR="00E872AA" w:rsidRPr="00E711FA" w14:paraId="0495EC63" w14:textId="77777777" w:rsidTr="006E5BDE">
        <w:trPr>
          <w:gridAfter w:val="1"/>
          <w:wAfter w:w="24" w:type="dxa"/>
        </w:trPr>
        <w:tc>
          <w:tcPr>
            <w:tcW w:w="1134" w:type="dxa"/>
          </w:tcPr>
          <w:p w14:paraId="5657B31C" w14:textId="5A968CA4"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Road </w:t>
            </w:r>
            <w:r w:rsidR="00352DD1">
              <w:rPr>
                <w:rFonts w:cs="Calibri"/>
                <w:sz w:val="16"/>
                <w:szCs w:val="16"/>
              </w:rPr>
              <w:t>u</w:t>
            </w:r>
            <w:r w:rsidRPr="00D42EDA">
              <w:rPr>
                <w:rFonts w:cs="Calibri"/>
                <w:sz w:val="16"/>
                <w:szCs w:val="16"/>
              </w:rPr>
              <w:t xml:space="preserve">ser </w:t>
            </w:r>
            <w:r w:rsidR="00352DD1">
              <w:rPr>
                <w:rFonts w:cs="Calibri"/>
                <w:sz w:val="16"/>
                <w:szCs w:val="16"/>
              </w:rPr>
              <w:t>c</w:t>
            </w:r>
            <w:r w:rsidRPr="00D42EDA">
              <w:rPr>
                <w:rFonts w:cs="Calibri"/>
                <w:sz w:val="16"/>
                <w:szCs w:val="16"/>
              </w:rPr>
              <w:t>harges exemptions for electric vehicles</w:t>
            </w:r>
          </w:p>
        </w:tc>
        <w:tc>
          <w:tcPr>
            <w:tcW w:w="1985" w:type="dxa"/>
          </w:tcPr>
          <w:p w14:paraId="7D7F2118" w14:textId="216B2E58"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A </w:t>
            </w:r>
            <w:r w:rsidR="00352DD1">
              <w:rPr>
                <w:rFonts w:cs="Calibri"/>
                <w:sz w:val="16"/>
                <w:szCs w:val="16"/>
              </w:rPr>
              <w:t>r</w:t>
            </w:r>
            <w:r w:rsidRPr="00D42EDA">
              <w:rPr>
                <w:rFonts w:cs="Calibri"/>
                <w:sz w:val="16"/>
                <w:szCs w:val="16"/>
              </w:rPr>
              <w:t xml:space="preserve">oad </w:t>
            </w:r>
            <w:r w:rsidR="00352DD1">
              <w:rPr>
                <w:rFonts w:cs="Calibri"/>
                <w:sz w:val="16"/>
                <w:szCs w:val="16"/>
              </w:rPr>
              <w:t>u</w:t>
            </w:r>
            <w:r w:rsidRPr="00D42EDA">
              <w:rPr>
                <w:rFonts w:cs="Calibri"/>
                <w:sz w:val="16"/>
                <w:szCs w:val="16"/>
              </w:rPr>
              <w:t xml:space="preserve">ser </w:t>
            </w:r>
            <w:r w:rsidR="00352DD1">
              <w:rPr>
                <w:rFonts w:cs="Calibri"/>
                <w:sz w:val="16"/>
                <w:szCs w:val="16"/>
              </w:rPr>
              <w:t>c</w:t>
            </w:r>
            <w:r w:rsidRPr="00D42EDA">
              <w:rPr>
                <w:rFonts w:cs="Calibri"/>
                <w:sz w:val="16"/>
                <w:szCs w:val="16"/>
              </w:rPr>
              <w:t xml:space="preserve">harges exemption on light electric vehicles started in 2009 and ran until 1 April 2024. A </w:t>
            </w:r>
            <w:r w:rsidR="001E58DD">
              <w:rPr>
                <w:rFonts w:cs="Calibri"/>
                <w:sz w:val="16"/>
                <w:szCs w:val="16"/>
              </w:rPr>
              <w:t>r</w:t>
            </w:r>
            <w:r w:rsidRPr="00D42EDA">
              <w:rPr>
                <w:rFonts w:cs="Calibri"/>
                <w:sz w:val="16"/>
                <w:szCs w:val="16"/>
              </w:rPr>
              <w:t xml:space="preserve">oad </w:t>
            </w:r>
            <w:r w:rsidR="00352DD1">
              <w:rPr>
                <w:rFonts w:cs="Calibri"/>
                <w:sz w:val="16"/>
                <w:szCs w:val="16"/>
              </w:rPr>
              <w:t>u</w:t>
            </w:r>
            <w:r w:rsidRPr="00D42EDA">
              <w:rPr>
                <w:rFonts w:cs="Calibri"/>
                <w:sz w:val="16"/>
                <w:szCs w:val="16"/>
              </w:rPr>
              <w:t xml:space="preserve">ser </w:t>
            </w:r>
            <w:r w:rsidR="00352DD1">
              <w:rPr>
                <w:rFonts w:cs="Calibri"/>
                <w:sz w:val="16"/>
                <w:szCs w:val="16"/>
              </w:rPr>
              <w:t>c</w:t>
            </w:r>
            <w:r w:rsidRPr="00D42EDA">
              <w:rPr>
                <w:rFonts w:cs="Calibri"/>
                <w:sz w:val="16"/>
                <w:szCs w:val="16"/>
              </w:rPr>
              <w:t>harges exemption for heavy electric vehicles was introduced in 2017 and will run until 1 January 2026.</w:t>
            </w:r>
          </w:p>
        </w:tc>
        <w:tc>
          <w:tcPr>
            <w:tcW w:w="1701" w:type="dxa"/>
          </w:tcPr>
          <w:p w14:paraId="1125937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Encourage electric vehicle uptake in both the light and heavy fleets.</w:t>
            </w:r>
          </w:p>
        </w:tc>
        <w:tc>
          <w:tcPr>
            <w:tcW w:w="992" w:type="dxa"/>
          </w:tcPr>
          <w:p w14:paraId="699674D2" w14:textId="77777777" w:rsidR="00652773" w:rsidRPr="00D42EDA" w:rsidRDefault="00652773">
            <w:pPr>
              <w:pStyle w:val="TableText"/>
              <w:spacing w:before="40" w:after="40" w:line="240" w:lineRule="auto"/>
              <w:rPr>
                <w:rFonts w:cs="Calibri"/>
                <w:sz w:val="16"/>
                <w:szCs w:val="16"/>
              </w:rPr>
            </w:pPr>
            <w:r w:rsidRPr="00D42EDA">
              <w:rPr>
                <w:rFonts w:cs="Calibri"/>
                <w:color w:val="000000"/>
                <w:sz w:val="16"/>
                <w:szCs w:val="16"/>
              </w:rPr>
              <w:t>Economic instrument</w:t>
            </w:r>
          </w:p>
        </w:tc>
        <w:tc>
          <w:tcPr>
            <w:tcW w:w="1134" w:type="dxa"/>
          </w:tcPr>
          <w:p w14:paraId="4C0C988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Implemented </w:t>
            </w:r>
          </w:p>
        </w:tc>
        <w:tc>
          <w:tcPr>
            <w:tcW w:w="1134" w:type="dxa"/>
          </w:tcPr>
          <w:p w14:paraId="1A44064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Transport</w:t>
            </w:r>
          </w:p>
        </w:tc>
        <w:tc>
          <w:tcPr>
            <w:tcW w:w="1276" w:type="dxa"/>
          </w:tcPr>
          <w:p w14:paraId="3EB2859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61BC1F5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2009 </w:t>
            </w:r>
          </w:p>
        </w:tc>
        <w:tc>
          <w:tcPr>
            <w:tcW w:w="1418" w:type="dxa"/>
          </w:tcPr>
          <w:p w14:paraId="090A2D03"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of Transport, NZ Transport Agency</w:t>
            </w:r>
          </w:p>
        </w:tc>
        <w:tc>
          <w:tcPr>
            <w:tcW w:w="992" w:type="dxa"/>
          </w:tcPr>
          <w:p w14:paraId="666D839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w:t>
            </w:r>
          </w:p>
        </w:tc>
        <w:tc>
          <w:tcPr>
            <w:tcW w:w="992" w:type="dxa"/>
          </w:tcPr>
          <w:p w14:paraId="125EE85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5</w:t>
            </w:r>
          </w:p>
        </w:tc>
        <w:tc>
          <w:tcPr>
            <w:tcW w:w="964" w:type="dxa"/>
          </w:tcPr>
          <w:p w14:paraId="5E0518D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6</w:t>
            </w:r>
          </w:p>
        </w:tc>
      </w:tr>
      <w:tr w:rsidR="00E872AA" w:rsidRPr="00E711FA" w14:paraId="5A8A4522" w14:textId="77777777" w:rsidTr="006E5BDE">
        <w:trPr>
          <w:gridAfter w:val="1"/>
          <w:wAfter w:w="24" w:type="dxa"/>
        </w:trPr>
        <w:tc>
          <w:tcPr>
            <w:tcW w:w="1134" w:type="dxa"/>
          </w:tcPr>
          <w:p w14:paraId="069A390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Freight and Supply Chain Strategy</w:t>
            </w:r>
          </w:p>
        </w:tc>
        <w:tc>
          <w:tcPr>
            <w:tcW w:w="1985" w:type="dxa"/>
          </w:tcPr>
          <w:p w14:paraId="6589A73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The Government released the Freight and Supply Chain Strategy in August 2023, informed by extensive stakeholder engagement.</w:t>
            </w:r>
          </w:p>
        </w:tc>
        <w:tc>
          <w:tcPr>
            <w:tcW w:w="1701" w:type="dxa"/>
          </w:tcPr>
          <w:p w14:paraId="6CDFD5B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Reduce emissions from heavy road freight.</w:t>
            </w:r>
          </w:p>
        </w:tc>
        <w:tc>
          <w:tcPr>
            <w:tcW w:w="992" w:type="dxa"/>
          </w:tcPr>
          <w:p w14:paraId="6217DD2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Other</w:t>
            </w:r>
          </w:p>
        </w:tc>
        <w:tc>
          <w:tcPr>
            <w:tcW w:w="1134" w:type="dxa"/>
          </w:tcPr>
          <w:p w14:paraId="488BCFD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Pr>
          <w:p w14:paraId="36B197E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Transport </w:t>
            </w:r>
          </w:p>
        </w:tc>
        <w:tc>
          <w:tcPr>
            <w:tcW w:w="1276" w:type="dxa"/>
          </w:tcPr>
          <w:p w14:paraId="561CDA6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2BF43DD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2023</w:t>
            </w:r>
          </w:p>
        </w:tc>
        <w:tc>
          <w:tcPr>
            <w:tcW w:w="1418" w:type="dxa"/>
          </w:tcPr>
          <w:p w14:paraId="53F574C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of Transport</w:t>
            </w:r>
          </w:p>
        </w:tc>
        <w:tc>
          <w:tcPr>
            <w:tcW w:w="992" w:type="dxa"/>
          </w:tcPr>
          <w:p w14:paraId="0A8E43C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0EC9D27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6F9C4ED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7FC5C0B2" w14:textId="77777777" w:rsidTr="006E5BDE">
        <w:trPr>
          <w:gridAfter w:val="1"/>
          <w:wAfter w:w="24" w:type="dxa"/>
        </w:trPr>
        <w:tc>
          <w:tcPr>
            <w:tcW w:w="1134" w:type="dxa"/>
          </w:tcPr>
          <w:p w14:paraId="058B02E5" w14:textId="77777777" w:rsidR="00652773" w:rsidRPr="006E335A" w:rsidRDefault="00652773">
            <w:pPr>
              <w:pStyle w:val="TableText"/>
              <w:spacing w:before="40" w:after="40" w:line="240" w:lineRule="auto"/>
              <w:rPr>
                <w:rFonts w:cs="Calibri"/>
                <w:spacing w:val="-8"/>
                <w:sz w:val="16"/>
                <w:szCs w:val="16"/>
              </w:rPr>
            </w:pPr>
            <w:r w:rsidRPr="006E335A">
              <w:rPr>
                <w:rFonts w:cs="Calibri"/>
                <w:spacing w:val="-8"/>
                <w:sz w:val="16"/>
                <w:szCs w:val="16"/>
              </w:rPr>
              <w:t>Public transport bus decarbonisation</w:t>
            </w:r>
          </w:p>
        </w:tc>
        <w:tc>
          <w:tcPr>
            <w:tcW w:w="1985" w:type="dxa"/>
          </w:tcPr>
          <w:p w14:paraId="40FAC0FD" w14:textId="5669AD75"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The Government will require only zero-emission public transport buses to be purchased by 1 July 2025 and is targeting full decarbonisation of the bus fleet by 2035. The Government is providing $44.7 million over four years to support bus decarbonisation initiatives. </w:t>
            </w:r>
          </w:p>
        </w:tc>
        <w:tc>
          <w:tcPr>
            <w:tcW w:w="1701" w:type="dxa"/>
          </w:tcPr>
          <w:p w14:paraId="6ECA93C8" w14:textId="77777777" w:rsidR="00652773" w:rsidRPr="00611EB7" w:rsidRDefault="00652773">
            <w:pPr>
              <w:pStyle w:val="TableText"/>
              <w:spacing w:before="40" w:after="40" w:line="240" w:lineRule="auto"/>
              <w:rPr>
                <w:rFonts w:cs="Calibri"/>
                <w:spacing w:val="-4"/>
                <w:sz w:val="16"/>
                <w:szCs w:val="16"/>
              </w:rPr>
            </w:pPr>
            <w:r w:rsidRPr="00611EB7">
              <w:rPr>
                <w:rFonts w:cs="Calibri"/>
                <w:spacing w:val="-4"/>
                <w:sz w:val="16"/>
                <w:szCs w:val="16"/>
              </w:rPr>
              <w:t>Accelerate decarbonisation of the public transport bus fleet.</w:t>
            </w:r>
          </w:p>
        </w:tc>
        <w:tc>
          <w:tcPr>
            <w:tcW w:w="992" w:type="dxa"/>
          </w:tcPr>
          <w:p w14:paraId="6C9452B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Regulatory, </w:t>
            </w:r>
            <w:r w:rsidRPr="00D42EDA">
              <w:rPr>
                <w:rFonts w:cs="Calibri"/>
                <w:color w:val="000000"/>
                <w:sz w:val="16"/>
                <w:szCs w:val="16"/>
              </w:rPr>
              <w:t>economic instrument</w:t>
            </w:r>
          </w:p>
        </w:tc>
        <w:tc>
          <w:tcPr>
            <w:tcW w:w="1134" w:type="dxa"/>
          </w:tcPr>
          <w:p w14:paraId="1137433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Implemented </w:t>
            </w:r>
          </w:p>
        </w:tc>
        <w:tc>
          <w:tcPr>
            <w:tcW w:w="1134" w:type="dxa"/>
          </w:tcPr>
          <w:p w14:paraId="101AD9D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Transport</w:t>
            </w:r>
          </w:p>
        </w:tc>
        <w:tc>
          <w:tcPr>
            <w:tcW w:w="1276" w:type="dxa"/>
          </w:tcPr>
          <w:p w14:paraId="7123074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67DB459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2023</w:t>
            </w:r>
          </w:p>
        </w:tc>
        <w:tc>
          <w:tcPr>
            <w:tcW w:w="1418" w:type="dxa"/>
          </w:tcPr>
          <w:p w14:paraId="620AD753"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of Transport, NZ Transport Agency, Energy Efficiency and Conservation Authority</w:t>
            </w:r>
          </w:p>
          <w:p w14:paraId="54F380F0" w14:textId="77777777" w:rsidR="00652773" w:rsidRPr="00D42EDA" w:rsidRDefault="00652773">
            <w:pPr>
              <w:pStyle w:val="TableText"/>
              <w:spacing w:before="40" w:after="40" w:line="240" w:lineRule="auto"/>
              <w:rPr>
                <w:rFonts w:cs="Calibri"/>
                <w:sz w:val="16"/>
                <w:szCs w:val="16"/>
              </w:rPr>
            </w:pPr>
          </w:p>
        </w:tc>
        <w:tc>
          <w:tcPr>
            <w:tcW w:w="992" w:type="dxa"/>
          </w:tcPr>
          <w:p w14:paraId="1CA665B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1</w:t>
            </w:r>
          </w:p>
        </w:tc>
        <w:tc>
          <w:tcPr>
            <w:tcW w:w="992" w:type="dxa"/>
          </w:tcPr>
          <w:p w14:paraId="3698A78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3</w:t>
            </w:r>
          </w:p>
        </w:tc>
        <w:tc>
          <w:tcPr>
            <w:tcW w:w="964" w:type="dxa"/>
          </w:tcPr>
          <w:p w14:paraId="195F803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37</w:t>
            </w:r>
          </w:p>
        </w:tc>
      </w:tr>
      <w:tr w:rsidR="00E872AA" w:rsidRPr="00E711FA" w14:paraId="69CAA3A3" w14:textId="77777777" w:rsidTr="006E5BDE">
        <w:trPr>
          <w:gridAfter w:val="1"/>
          <w:wAfter w:w="24" w:type="dxa"/>
        </w:trPr>
        <w:tc>
          <w:tcPr>
            <w:tcW w:w="1134" w:type="dxa"/>
          </w:tcPr>
          <w:p w14:paraId="607E7841" w14:textId="77777777" w:rsidR="00652773" w:rsidRPr="00D42EDA" w:rsidRDefault="00652773">
            <w:pPr>
              <w:pStyle w:val="TableText"/>
              <w:keepNext/>
              <w:spacing w:before="40" w:after="40" w:line="240" w:lineRule="auto"/>
              <w:rPr>
                <w:rFonts w:cs="Calibri"/>
                <w:sz w:val="16"/>
                <w:szCs w:val="16"/>
              </w:rPr>
            </w:pPr>
            <w:r w:rsidRPr="00D42EDA">
              <w:rPr>
                <w:rFonts w:cs="Calibri"/>
                <w:sz w:val="16"/>
                <w:szCs w:val="16"/>
              </w:rPr>
              <w:t>Zero-emissions trucks and buses</w:t>
            </w:r>
          </w:p>
        </w:tc>
        <w:tc>
          <w:tcPr>
            <w:tcW w:w="1985" w:type="dxa"/>
          </w:tcPr>
          <w:p w14:paraId="6ED83EB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The Government has committed $30 million for a grant scheme to reduce the upfront capital cost of low-emissions heavy vehicles. </w:t>
            </w:r>
          </w:p>
        </w:tc>
        <w:tc>
          <w:tcPr>
            <w:tcW w:w="1701" w:type="dxa"/>
          </w:tcPr>
          <w:p w14:paraId="78EBAC6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Reduce emissions from heavy vehicles.</w:t>
            </w:r>
          </w:p>
        </w:tc>
        <w:tc>
          <w:tcPr>
            <w:tcW w:w="992" w:type="dxa"/>
          </w:tcPr>
          <w:p w14:paraId="0442D4CD" w14:textId="77777777" w:rsidR="00652773" w:rsidRPr="00D42EDA" w:rsidRDefault="00652773">
            <w:pPr>
              <w:pStyle w:val="TableText"/>
              <w:spacing w:before="40" w:after="40" w:line="240" w:lineRule="auto"/>
              <w:rPr>
                <w:rFonts w:cs="Calibri"/>
                <w:sz w:val="16"/>
                <w:szCs w:val="16"/>
              </w:rPr>
            </w:pPr>
            <w:r w:rsidRPr="00D42EDA">
              <w:rPr>
                <w:rFonts w:cs="Calibri"/>
                <w:color w:val="000000"/>
                <w:sz w:val="16"/>
                <w:szCs w:val="16"/>
              </w:rPr>
              <w:t>Economic instrument</w:t>
            </w:r>
          </w:p>
        </w:tc>
        <w:tc>
          <w:tcPr>
            <w:tcW w:w="1134" w:type="dxa"/>
          </w:tcPr>
          <w:p w14:paraId="12EA720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Planned</w:t>
            </w:r>
          </w:p>
        </w:tc>
        <w:tc>
          <w:tcPr>
            <w:tcW w:w="1134" w:type="dxa"/>
          </w:tcPr>
          <w:p w14:paraId="47260B5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Transport</w:t>
            </w:r>
          </w:p>
        </w:tc>
        <w:tc>
          <w:tcPr>
            <w:tcW w:w="1276" w:type="dxa"/>
          </w:tcPr>
          <w:p w14:paraId="198D6E9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61D9090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2024</w:t>
            </w:r>
          </w:p>
        </w:tc>
        <w:tc>
          <w:tcPr>
            <w:tcW w:w="1418" w:type="dxa"/>
          </w:tcPr>
          <w:p w14:paraId="5E3C076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Energy Efficiency and Conservation Authority</w:t>
            </w:r>
          </w:p>
          <w:p w14:paraId="3FF55E5A" w14:textId="77777777" w:rsidR="00652773" w:rsidRPr="00D42EDA" w:rsidRDefault="00652773">
            <w:pPr>
              <w:pStyle w:val="TableText"/>
              <w:spacing w:before="40" w:after="40" w:line="240" w:lineRule="auto"/>
              <w:rPr>
                <w:rFonts w:cs="Calibri"/>
                <w:sz w:val="16"/>
                <w:szCs w:val="16"/>
              </w:rPr>
            </w:pPr>
          </w:p>
        </w:tc>
        <w:tc>
          <w:tcPr>
            <w:tcW w:w="992" w:type="dxa"/>
          </w:tcPr>
          <w:p w14:paraId="43316B4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59EE432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2494569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663D1A06" w14:textId="77777777" w:rsidTr="006E5BDE">
        <w:trPr>
          <w:gridAfter w:val="1"/>
          <w:wAfter w:w="24" w:type="dxa"/>
        </w:trPr>
        <w:tc>
          <w:tcPr>
            <w:tcW w:w="1134" w:type="dxa"/>
          </w:tcPr>
          <w:p w14:paraId="1DF49AA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Low Emissions Transport Fund</w:t>
            </w:r>
          </w:p>
        </w:tc>
        <w:tc>
          <w:tcPr>
            <w:tcW w:w="1985" w:type="dxa"/>
          </w:tcPr>
          <w:p w14:paraId="4BDEBF5B" w14:textId="349D3C8E" w:rsidR="00652773" w:rsidRPr="00D42EDA" w:rsidRDefault="00652773">
            <w:pPr>
              <w:pStyle w:val="TableText"/>
              <w:spacing w:before="40" w:after="40" w:line="240" w:lineRule="auto"/>
              <w:rPr>
                <w:rFonts w:cs="Calibri"/>
                <w:sz w:val="16"/>
                <w:szCs w:val="16"/>
              </w:rPr>
            </w:pPr>
            <w:r w:rsidRPr="00D42EDA">
              <w:rPr>
                <w:rFonts w:cs="Calibri"/>
                <w:sz w:val="16"/>
                <w:szCs w:val="16"/>
              </w:rPr>
              <w:t>The Government increased the funding contribution from $6 million–$7 million per year to $25 million per year by 2023/24.</w:t>
            </w:r>
          </w:p>
        </w:tc>
        <w:tc>
          <w:tcPr>
            <w:tcW w:w="1701" w:type="dxa"/>
          </w:tcPr>
          <w:p w14:paraId="3B5FDE1A" w14:textId="77777777" w:rsidR="00652773" w:rsidRPr="00611EB7" w:rsidRDefault="00652773">
            <w:pPr>
              <w:pStyle w:val="TableText"/>
              <w:spacing w:before="40" w:after="40" w:line="240" w:lineRule="auto"/>
              <w:rPr>
                <w:rFonts w:cs="Calibri"/>
                <w:spacing w:val="-4"/>
                <w:sz w:val="16"/>
                <w:szCs w:val="16"/>
              </w:rPr>
            </w:pPr>
            <w:r w:rsidRPr="00611EB7">
              <w:rPr>
                <w:rFonts w:cs="Calibri"/>
                <w:spacing w:val="-4"/>
                <w:sz w:val="16"/>
                <w:szCs w:val="16"/>
              </w:rPr>
              <w:t xml:space="preserve">Support the demonstration and adoption of low-emissions transport technology, innovation and infrastructure to accelerate the decarbonisation of New Zealand’s transport sector. </w:t>
            </w:r>
          </w:p>
        </w:tc>
        <w:tc>
          <w:tcPr>
            <w:tcW w:w="992" w:type="dxa"/>
          </w:tcPr>
          <w:p w14:paraId="67D84F54" w14:textId="77777777" w:rsidR="00652773" w:rsidRPr="00D42EDA" w:rsidRDefault="00652773">
            <w:pPr>
              <w:pStyle w:val="TableText"/>
              <w:spacing w:before="40" w:after="40" w:line="240" w:lineRule="auto"/>
              <w:rPr>
                <w:rFonts w:cs="Calibri"/>
                <w:sz w:val="16"/>
                <w:szCs w:val="16"/>
              </w:rPr>
            </w:pPr>
            <w:r w:rsidRPr="00D42EDA">
              <w:rPr>
                <w:rFonts w:cs="Calibri"/>
                <w:color w:val="000000"/>
                <w:sz w:val="16"/>
                <w:szCs w:val="16"/>
              </w:rPr>
              <w:t>Economic instrument</w:t>
            </w:r>
          </w:p>
        </w:tc>
        <w:tc>
          <w:tcPr>
            <w:tcW w:w="1134" w:type="dxa"/>
          </w:tcPr>
          <w:p w14:paraId="7068391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Pr>
          <w:p w14:paraId="6962C63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Transport</w:t>
            </w:r>
          </w:p>
        </w:tc>
        <w:tc>
          <w:tcPr>
            <w:tcW w:w="1276" w:type="dxa"/>
          </w:tcPr>
          <w:p w14:paraId="0D5B729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0848DF2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2021</w:t>
            </w:r>
          </w:p>
        </w:tc>
        <w:tc>
          <w:tcPr>
            <w:tcW w:w="1418" w:type="dxa"/>
          </w:tcPr>
          <w:p w14:paraId="6EA6C1F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Energy Efficiency and Conservation Authority</w:t>
            </w:r>
          </w:p>
        </w:tc>
        <w:tc>
          <w:tcPr>
            <w:tcW w:w="992" w:type="dxa"/>
          </w:tcPr>
          <w:p w14:paraId="0E6D4F1F" w14:textId="77777777" w:rsidR="00652773" w:rsidRPr="00D42EDA" w:rsidRDefault="00652773">
            <w:pPr>
              <w:pStyle w:val="TableText"/>
              <w:spacing w:before="40" w:after="40" w:line="240" w:lineRule="auto"/>
              <w:rPr>
                <w:rStyle w:val="CommentReference"/>
                <w:rFonts w:cs="Calibri"/>
              </w:rPr>
            </w:pPr>
            <w:r w:rsidRPr="00D42EDA">
              <w:rPr>
                <w:rStyle w:val="CommentReference"/>
                <w:rFonts w:cs="Calibri"/>
              </w:rPr>
              <w:t>NE</w:t>
            </w:r>
          </w:p>
        </w:tc>
        <w:tc>
          <w:tcPr>
            <w:tcW w:w="992" w:type="dxa"/>
          </w:tcPr>
          <w:p w14:paraId="128118E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7DA60C9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550EDD1B" w14:textId="77777777" w:rsidTr="006E5BDE">
        <w:trPr>
          <w:gridAfter w:val="1"/>
          <w:wAfter w:w="24" w:type="dxa"/>
        </w:trPr>
        <w:tc>
          <w:tcPr>
            <w:tcW w:w="1134" w:type="dxa"/>
          </w:tcPr>
          <w:p w14:paraId="511C420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Vehicle Fuel Economy Labelling</w:t>
            </w:r>
          </w:p>
        </w:tc>
        <w:tc>
          <w:tcPr>
            <w:tcW w:w="1985" w:type="dxa"/>
          </w:tcPr>
          <w:p w14:paraId="441EDFD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This compulsory programme requires vehicle traders and online vendors to display information relating to fuel economy. </w:t>
            </w:r>
          </w:p>
        </w:tc>
        <w:tc>
          <w:tcPr>
            <w:tcW w:w="1701" w:type="dxa"/>
          </w:tcPr>
          <w:p w14:paraId="23EC6369" w14:textId="77777777" w:rsidR="00652773" w:rsidRDefault="00652773">
            <w:pPr>
              <w:pStyle w:val="TableText"/>
              <w:spacing w:before="40" w:after="40" w:line="240" w:lineRule="auto"/>
              <w:rPr>
                <w:rFonts w:cs="Calibri"/>
                <w:sz w:val="16"/>
                <w:szCs w:val="16"/>
              </w:rPr>
            </w:pPr>
            <w:r w:rsidRPr="00D42EDA">
              <w:rPr>
                <w:rFonts w:cs="Calibri"/>
                <w:sz w:val="16"/>
                <w:szCs w:val="16"/>
              </w:rPr>
              <w:t xml:space="preserve">Allow consumers to make more informed vehicle purchase choices, and to place an appropriate value on fuel economy. </w:t>
            </w:r>
          </w:p>
          <w:p w14:paraId="0FFB014D" w14:textId="77777777" w:rsidR="00321B85" w:rsidRDefault="00321B85">
            <w:pPr>
              <w:pStyle w:val="TableText"/>
              <w:spacing w:before="40" w:after="40" w:line="240" w:lineRule="auto"/>
              <w:rPr>
                <w:rFonts w:cs="Calibri"/>
                <w:sz w:val="16"/>
                <w:szCs w:val="16"/>
              </w:rPr>
            </w:pPr>
          </w:p>
          <w:p w14:paraId="6F7D0866" w14:textId="77777777" w:rsidR="00321B85" w:rsidRPr="00D42EDA" w:rsidRDefault="00321B85">
            <w:pPr>
              <w:pStyle w:val="TableText"/>
              <w:spacing w:before="40" w:after="40" w:line="240" w:lineRule="auto"/>
              <w:rPr>
                <w:rFonts w:cs="Calibri"/>
                <w:sz w:val="16"/>
                <w:szCs w:val="16"/>
              </w:rPr>
            </w:pPr>
          </w:p>
        </w:tc>
        <w:tc>
          <w:tcPr>
            <w:tcW w:w="992" w:type="dxa"/>
          </w:tcPr>
          <w:p w14:paraId="2AB8291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Regulatory, other</w:t>
            </w:r>
          </w:p>
        </w:tc>
        <w:tc>
          <w:tcPr>
            <w:tcW w:w="1134" w:type="dxa"/>
          </w:tcPr>
          <w:p w14:paraId="760D30E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Pr>
          <w:p w14:paraId="73199D5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Transport</w:t>
            </w:r>
          </w:p>
        </w:tc>
        <w:tc>
          <w:tcPr>
            <w:tcW w:w="1276" w:type="dxa"/>
          </w:tcPr>
          <w:p w14:paraId="38B66FB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49E8C09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2008</w:t>
            </w:r>
          </w:p>
        </w:tc>
        <w:tc>
          <w:tcPr>
            <w:tcW w:w="1418" w:type="dxa"/>
          </w:tcPr>
          <w:p w14:paraId="0130ECB3"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Energy Efficiency and Conservation Authority</w:t>
            </w:r>
          </w:p>
        </w:tc>
        <w:tc>
          <w:tcPr>
            <w:tcW w:w="992" w:type="dxa"/>
          </w:tcPr>
          <w:p w14:paraId="4CF536F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764A7473"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2162597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7C6AD1" w:rsidRPr="00E711FA" w14:paraId="1D11A816" w14:textId="77777777" w:rsidTr="00692400">
        <w:trPr>
          <w:gridAfter w:val="1"/>
          <w:wAfter w:w="24" w:type="dxa"/>
        </w:trPr>
        <w:tc>
          <w:tcPr>
            <w:tcW w:w="14572" w:type="dxa"/>
            <w:gridSpan w:val="12"/>
            <w:shd w:val="clear" w:color="auto" w:fill="D2DDE1" w:themeFill="background2"/>
          </w:tcPr>
          <w:p w14:paraId="6224139F" w14:textId="78174FB8" w:rsidR="007C6AD1" w:rsidRPr="00E711FA" w:rsidRDefault="0024610E" w:rsidP="00206ADA">
            <w:pPr>
              <w:pStyle w:val="TableText"/>
              <w:spacing w:before="40" w:after="40" w:line="240" w:lineRule="auto"/>
              <w:rPr>
                <w:rFonts w:cs="Calibri"/>
                <w:sz w:val="14"/>
                <w:szCs w:val="14"/>
              </w:rPr>
            </w:pPr>
            <w:r w:rsidRPr="00D42EDA">
              <w:rPr>
                <w:rFonts w:cs="Calibri"/>
                <w:b/>
                <w:sz w:val="16"/>
                <w:szCs w:val="16"/>
              </w:rPr>
              <w:t>Industrial Processes and Product Use</w:t>
            </w:r>
          </w:p>
        </w:tc>
      </w:tr>
      <w:tr w:rsidR="00E872AA" w:rsidRPr="00E711FA" w14:paraId="7E1AC1E4" w14:textId="77777777" w:rsidTr="00611EB7">
        <w:trPr>
          <w:gridAfter w:val="1"/>
          <w:wAfter w:w="24" w:type="dxa"/>
        </w:trPr>
        <w:tc>
          <w:tcPr>
            <w:tcW w:w="1134" w:type="dxa"/>
          </w:tcPr>
          <w:p w14:paraId="3A79768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Synthetic greenhouse gas levy</w:t>
            </w:r>
          </w:p>
        </w:tc>
        <w:tc>
          <w:tcPr>
            <w:tcW w:w="1985" w:type="dxa"/>
          </w:tcPr>
          <w:p w14:paraId="60C4678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A levy is applied to imported goods containing certain HFCs and PFCs, based on the global warming potential and quantity of HFCs or PFCs they contain.</w:t>
            </w:r>
          </w:p>
        </w:tc>
        <w:tc>
          <w:tcPr>
            <w:tcW w:w="1701" w:type="dxa"/>
          </w:tcPr>
          <w:p w14:paraId="69C40A5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Encourage the use of lower global warming potential gases.</w:t>
            </w:r>
          </w:p>
        </w:tc>
        <w:tc>
          <w:tcPr>
            <w:tcW w:w="992" w:type="dxa"/>
          </w:tcPr>
          <w:p w14:paraId="20CCBDB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Regulatory</w:t>
            </w:r>
          </w:p>
        </w:tc>
        <w:tc>
          <w:tcPr>
            <w:tcW w:w="1134" w:type="dxa"/>
          </w:tcPr>
          <w:p w14:paraId="6995D0D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Pr>
          <w:p w14:paraId="337ABCE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IPPU</w:t>
            </w:r>
          </w:p>
        </w:tc>
        <w:tc>
          <w:tcPr>
            <w:tcW w:w="1276" w:type="dxa"/>
          </w:tcPr>
          <w:p w14:paraId="06ACAA4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HFCs, PFCs</w:t>
            </w:r>
          </w:p>
        </w:tc>
        <w:tc>
          <w:tcPr>
            <w:tcW w:w="850" w:type="dxa"/>
          </w:tcPr>
          <w:p w14:paraId="290C410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2013</w:t>
            </w:r>
          </w:p>
        </w:tc>
        <w:tc>
          <w:tcPr>
            <w:tcW w:w="1418" w:type="dxa"/>
          </w:tcPr>
          <w:p w14:paraId="562772F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Environmental Protection Authority</w:t>
            </w:r>
          </w:p>
        </w:tc>
        <w:tc>
          <w:tcPr>
            <w:tcW w:w="992" w:type="dxa"/>
          </w:tcPr>
          <w:p w14:paraId="42729499" w14:textId="77777777" w:rsidR="00652773" w:rsidRPr="00D42EDA" w:rsidRDefault="00652773">
            <w:pPr>
              <w:pStyle w:val="TableText"/>
              <w:spacing w:before="40" w:after="40" w:line="240" w:lineRule="auto"/>
              <w:rPr>
                <w:rStyle w:val="CommentReference"/>
                <w:rFonts w:cs="Calibri"/>
              </w:rPr>
            </w:pPr>
            <w:r w:rsidRPr="00D42EDA">
              <w:rPr>
                <w:rStyle w:val="CommentReference"/>
                <w:rFonts w:cs="Calibri"/>
              </w:rPr>
              <w:t>NE</w:t>
            </w:r>
          </w:p>
        </w:tc>
        <w:tc>
          <w:tcPr>
            <w:tcW w:w="992" w:type="dxa"/>
          </w:tcPr>
          <w:p w14:paraId="40BB78C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7314C01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3B9C04FD" w14:textId="77777777" w:rsidTr="00611EB7">
        <w:trPr>
          <w:gridAfter w:val="1"/>
          <w:wAfter w:w="24" w:type="dxa"/>
        </w:trPr>
        <w:tc>
          <w:tcPr>
            <w:tcW w:w="1134" w:type="dxa"/>
          </w:tcPr>
          <w:p w14:paraId="638D523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Permitting scheme for imports and exports of bulk HFCs</w:t>
            </w:r>
          </w:p>
        </w:tc>
        <w:tc>
          <w:tcPr>
            <w:tcW w:w="1985" w:type="dxa"/>
          </w:tcPr>
          <w:p w14:paraId="3F981B1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Staged phase-down on consumption (production, importation and exportation) of bulk HFCs.</w:t>
            </w:r>
          </w:p>
        </w:tc>
        <w:tc>
          <w:tcPr>
            <w:tcW w:w="1701" w:type="dxa"/>
          </w:tcPr>
          <w:p w14:paraId="4953242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Phase-down of consumption of HFC gases.</w:t>
            </w:r>
          </w:p>
        </w:tc>
        <w:tc>
          <w:tcPr>
            <w:tcW w:w="992" w:type="dxa"/>
          </w:tcPr>
          <w:p w14:paraId="159EE93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Regulatory</w:t>
            </w:r>
          </w:p>
        </w:tc>
        <w:tc>
          <w:tcPr>
            <w:tcW w:w="1134" w:type="dxa"/>
          </w:tcPr>
          <w:p w14:paraId="0C660F9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Implemented </w:t>
            </w:r>
          </w:p>
        </w:tc>
        <w:tc>
          <w:tcPr>
            <w:tcW w:w="1134" w:type="dxa"/>
          </w:tcPr>
          <w:p w14:paraId="4271E70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IPPU</w:t>
            </w:r>
          </w:p>
        </w:tc>
        <w:tc>
          <w:tcPr>
            <w:tcW w:w="1276" w:type="dxa"/>
          </w:tcPr>
          <w:p w14:paraId="26B9E8F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HFCs</w:t>
            </w:r>
          </w:p>
        </w:tc>
        <w:tc>
          <w:tcPr>
            <w:tcW w:w="850" w:type="dxa"/>
          </w:tcPr>
          <w:p w14:paraId="452A2BC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2020</w:t>
            </w:r>
          </w:p>
        </w:tc>
        <w:tc>
          <w:tcPr>
            <w:tcW w:w="1418" w:type="dxa"/>
          </w:tcPr>
          <w:p w14:paraId="7DDD92E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the Environment</w:t>
            </w:r>
          </w:p>
        </w:tc>
        <w:tc>
          <w:tcPr>
            <w:tcW w:w="992" w:type="dxa"/>
          </w:tcPr>
          <w:p w14:paraId="3858C70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0</w:t>
            </w:r>
          </w:p>
        </w:tc>
        <w:tc>
          <w:tcPr>
            <w:tcW w:w="992" w:type="dxa"/>
          </w:tcPr>
          <w:p w14:paraId="40D8838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0</w:t>
            </w:r>
          </w:p>
        </w:tc>
        <w:tc>
          <w:tcPr>
            <w:tcW w:w="964" w:type="dxa"/>
          </w:tcPr>
          <w:p w14:paraId="4D39C08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102</w:t>
            </w:r>
          </w:p>
        </w:tc>
      </w:tr>
      <w:tr w:rsidR="00E872AA" w:rsidRPr="00E711FA" w14:paraId="28F11C06" w14:textId="77777777" w:rsidTr="00611EB7">
        <w:trPr>
          <w:gridAfter w:val="1"/>
          <w:wAfter w:w="24" w:type="dxa"/>
        </w:trPr>
        <w:tc>
          <w:tcPr>
            <w:tcW w:w="1134" w:type="dxa"/>
          </w:tcPr>
          <w:p w14:paraId="6B7820B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Voluntary product stewardship scheme for refrigerants</w:t>
            </w:r>
          </w:p>
        </w:tc>
        <w:tc>
          <w:tcPr>
            <w:tcW w:w="1985" w:type="dxa"/>
          </w:tcPr>
          <w:p w14:paraId="7B788A89" w14:textId="77777777" w:rsidR="00652773" w:rsidRDefault="00652773">
            <w:pPr>
              <w:pStyle w:val="TableText"/>
              <w:spacing w:before="40" w:after="40" w:line="240" w:lineRule="auto"/>
              <w:rPr>
                <w:rFonts w:cs="Calibri"/>
                <w:sz w:val="16"/>
                <w:szCs w:val="16"/>
              </w:rPr>
            </w:pPr>
            <w:r w:rsidRPr="00D42EDA">
              <w:rPr>
                <w:rFonts w:cs="Calibri"/>
                <w:sz w:val="16"/>
                <w:szCs w:val="16"/>
              </w:rPr>
              <w:t>A government-accredited organisation facilitates the collection and export of refrigerant gases for destruction overseas.</w:t>
            </w:r>
          </w:p>
          <w:p w14:paraId="7A8D1A1F" w14:textId="77777777" w:rsidR="008E73AF" w:rsidRPr="00D42EDA" w:rsidRDefault="008E73AF">
            <w:pPr>
              <w:pStyle w:val="TableText"/>
              <w:spacing w:before="40" w:after="40" w:line="240" w:lineRule="auto"/>
              <w:rPr>
                <w:rFonts w:cs="Calibri"/>
                <w:sz w:val="16"/>
                <w:szCs w:val="16"/>
              </w:rPr>
            </w:pPr>
          </w:p>
        </w:tc>
        <w:tc>
          <w:tcPr>
            <w:tcW w:w="1701" w:type="dxa"/>
          </w:tcPr>
          <w:p w14:paraId="1230164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Export for destruction of refrigerant gases.</w:t>
            </w:r>
          </w:p>
        </w:tc>
        <w:tc>
          <w:tcPr>
            <w:tcW w:w="992" w:type="dxa"/>
          </w:tcPr>
          <w:p w14:paraId="59D3040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Other</w:t>
            </w:r>
          </w:p>
        </w:tc>
        <w:tc>
          <w:tcPr>
            <w:tcW w:w="1134" w:type="dxa"/>
          </w:tcPr>
          <w:p w14:paraId="0F4F15E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Pr>
          <w:p w14:paraId="68090F9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IPPU</w:t>
            </w:r>
          </w:p>
        </w:tc>
        <w:tc>
          <w:tcPr>
            <w:tcW w:w="1276" w:type="dxa"/>
          </w:tcPr>
          <w:p w14:paraId="3EA7322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HFCs, PFCs, SF6</w:t>
            </w:r>
          </w:p>
        </w:tc>
        <w:tc>
          <w:tcPr>
            <w:tcW w:w="850" w:type="dxa"/>
          </w:tcPr>
          <w:p w14:paraId="2F3BBB0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2010</w:t>
            </w:r>
          </w:p>
        </w:tc>
        <w:tc>
          <w:tcPr>
            <w:tcW w:w="1418" w:type="dxa"/>
          </w:tcPr>
          <w:p w14:paraId="2183434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the Environment</w:t>
            </w:r>
          </w:p>
        </w:tc>
        <w:tc>
          <w:tcPr>
            <w:tcW w:w="992" w:type="dxa"/>
          </w:tcPr>
          <w:p w14:paraId="43B9C48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0</w:t>
            </w:r>
          </w:p>
        </w:tc>
        <w:tc>
          <w:tcPr>
            <w:tcW w:w="992" w:type="dxa"/>
          </w:tcPr>
          <w:p w14:paraId="48B63E6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0</w:t>
            </w:r>
          </w:p>
        </w:tc>
        <w:tc>
          <w:tcPr>
            <w:tcW w:w="964" w:type="dxa"/>
          </w:tcPr>
          <w:p w14:paraId="12858FF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51</w:t>
            </w:r>
          </w:p>
        </w:tc>
      </w:tr>
      <w:tr w:rsidR="00AD3845" w:rsidRPr="00D42EDA" w14:paraId="514D260A" w14:textId="77777777" w:rsidTr="00692400">
        <w:trPr>
          <w:gridAfter w:val="1"/>
          <w:wAfter w:w="24" w:type="dxa"/>
        </w:trPr>
        <w:tc>
          <w:tcPr>
            <w:tcW w:w="14572" w:type="dxa"/>
            <w:gridSpan w:val="12"/>
            <w:shd w:val="clear" w:color="auto" w:fill="D2DDE1" w:themeFill="background2"/>
          </w:tcPr>
          <w:p w14:paraId="10ACD3FC" w14:textId="7B7F3D1D" w:rsidR="00AD3845" w:rsidRPr="00D42EDA" w:rsidRDefault="0024610E" w:rsidP="00206ADA">
            <w:pPr>
              <w:pStyle w:val="TableText"/>
              <w:spacing w:before="40" w:after="40" w:line="240" w:lineRule="auto"/>
              <w:rPr>
                <w:rFonts w:cs="Calibri"/>
                <w:sz w:val="16"/>
                <w:szCs w:val="16"/>
              </w:rPr>
            </w:pPr>
            <w:r w:rsidRPr="00D42EDA">
              <w:rPr>
                <w:rFonts w:cs="Calibri"/>
                <w:b/>
                <w:sz w:val="16"/>
                <w:szCs w:val="16"/>
              </w:rPr>
              <w:t>Agriculture</w:t>
            </w:r>
          </w:p>
        </w:tc>
      </w:tr>
      <w:tr w:rsidR="00E872AA" w:rsidRPr="00E711FA" w14:paraId="4F11C4AD" w14:textId="77777777" w:rsidTr="00611EB7">
        <w:trPr>
          <w:gridAfter w:val="1"/>
          <w:wAfter w:w="24" w:type="dxa"/>
        </w:trPr>
        <w:tc>
          <w:tcPr>
            <w:tcW w:w="1134" w:type="dxa"/>
          </w:tcPr>
          <w:p w14:paraId="7F58DAA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A fair and sustainable pricing system for on-farm agricultural </w:t>
            </w:r>
            <w:r w:rsidRPr="00D42EDA" w:rsidDel="00DC2EB9">
              <w:rPr>
                <w:rFonts w:cs="Calibri"/>
                <w:sz w:val="16"/>
                <w:szCs w:val="16"/>
              </w:rPr>
              <w:t>emissions</w:t>
            </w:r>
          </w:p>
        </w:tc>
        <w:tc>
          <w:tcPr>
            <w:tcW w:w="1985" w:type="dxa"/>
          </w:tcPr>
          <w:p w14:paraId="0EC8807A" w14:textId="77777777" w:rsidR="00652773" w:rsidRPr="00D42EDA" w:rsidRDefault="00652773">
            <w:pPr>
              <w:pStyle w:val="TableText"/>
              <w:spacing w:before="40" w:after="40" w:line="240" w:lineRule="auto"/>
              <w:rPr>
                <w:rFonts w:cs="Calibri"/>
                <w:sz w:val="16"/>
                <w:szCs w:val="16"/>
              </w:rPr>
            </w:pPr>
            <w:r w:rsidRPr="00D42EDA">
              <w:rPr>
                <w:rFonts w:cs="Calibri"/>
                <w:color w:val="000000" w:themeColor="text1"/>
                <w:sz w:val="16"/>
                <w:szCs w:val="16"/>
              </w:rPr>
              <w:t>The Government has committed to a fair and sustainable pricing system for agricultural emissions no later than 2030, with on-farm emissions measurement by 2025.</w:t>
            </w:r>
          </w:p>
        </w:tc>
        <w:tc>
          <w:tcPr>
            <w:tcW w:w="1701" w:type="dxa"/>
          </w:tcPr>
          <w:p w14:paraId="3CF58A0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Encourage reduction in agricultural emissions.</w:t>
            </w:r>
          </w:p>
        </w:tc>
        <w:tc>
          <w:tcPr>
            <w:tcW w:w="992" w:type="dxa"/>
          </w:tcPr>
          <w:p w14:paraId="32BD3A3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Regulatory, economic instrument</w:t>
            </w:r>
          </w:p>
        </w:tc>
        <w:tc>
          <w:tcPr>
            <w:tcW w:w="1134" w:type="dxa"/>
          </w:tcPr>
          <w:p w14:paraId="206EF34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Planned </w:t>
            </w:r>
          </w:p>
        </w:tc>
        <w:tc>
          <w:tcPr>
            <w:tcW w:w="1134" w:type="dxa"/>
          </w:tcPr>
          <w:p w14:paraId="5B778D1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Agriculture</w:t>
            </w:r>
          </w:p>
        </w:tc>
        <w:tc>
          <w:tcPr>
            <w:tcW w:w="1276" w:type="dxa"/>
          </w:tcPr>
          <w:p w14:paraId="146D4C5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CH</w:t>
            </w:r>
            <w:r w:rsidRPr="00D42EDA">
              <w:rPr>
                <w:rFonts w:cs="Calibri"/>
                <w:sz w:val="16"/>
                <w:szCs w:val="16"/>
                <w:vertAlign w:val="subscript"/>
              </w:rPr>
              <w:t>4</w:t>
            </w:r>
            <w:r w:rsidRPr="00D42EDA">
              <w:rPr>
                <w:rFonts w:cs="Calibri"/>
                <w:sz w:val="16"/>
                <w:szCs w:val="16"/>
              </w:rPr>
              <w:t>,</w:t>
            </w:r>
            <w:r w:rsidRPr="00D42EDA">
              <w:rPr>
                <w:rFonts w:cs="Calibri"/>
                <w:sz w:val="16"/>
                <w:szCs w:val="16"/>
                <w:vertAlign w:val="subscript"/>
              </w:rPr>
              <w:t xml:space="preserve"> </w:t>
            </w:r>
            <w:r w:rsidRPr="00D42EDA">
              <w:rPr>
                <w:rFonts w:cs="Calibri"/>
                <w:sz w:val="16"/>
                <w:szCs w:val="16"/>
              </w:rPr>
              <w:t>N</w:t>
            </w:r>
            <w:r w:rsidRPr="00D42EDA">
              <w:rPr>
                <w:rFonts w:cs="Calibri"/>
                <w:sz w:val="16"/>
                <w:szCs w:val="16"/>
                <w:vertAlign w:val="subscript"/>
              </w:rPr>
              <w:t>2</w:t>
            </w:r>
            <w:r w:rsidRPr="00D42EDA">
              <w:rPr>
                <w:rFonts w:cs="Calibri"/>
                <w:sz w:val="16"/>
                <w:szCs w:val="16"/>
              </w:rPr>
              <w:t>O, CO</w:t>
            </w:r>
            <w:r w:rsidRPr="00D42EDA">
              <w:rPr>
                <w:rFonts w:cs="Calibri"/>
                <w:sz w:val="16"/>
                <w:szCs w:val="16"/>
                <w:vertAlign w:val="subscript"/>
              </w:rPr>
              <w:t>2</w:t>
            </w:r>
          </w:p>
        </w:tc>
        <w:tc>
          <w:tcPr>
            <w:tcW w:w="850" w:type="dxa"/>
          </w:tcPr>
          <w:p w14:paraId="4017091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2030</w:t>
            </w:r>
          </w:p>
        </w:tc>
        <w:tc>
          <w:tcPr>
            <w:tcW w:w="1418" w:type="dxa"/>
          </w:tcPr>
          <w:p w14:paraId="4EC47C8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Primary Industries</w:t>
            </w:r>
          </w:p>
        </w:tc>
        <w:tc>
          <w:tcPr>
            <w:tcW w:w="992" w:type="dxa"/>
          </w:tcPr>
          <w:p w14:paraId="62E9A087" w14:textId="653A7A4F"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37C04D4F" w14:textId="463A16D4"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6762A99C" w14:textId="143A0219"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6F40B6BE" w14:textId="77777777" w:rsidTr="00611EB7">
        <w:trPr>
          <w:gridAfter w:val="1"/>
          <w:wAfter w:w="24" w:type="dxa"/>
        </w:trPr>
        <w:tc>
          <w:tcPr>
            <w:tcW w:w="1134" w:type="dxa"/>
          </w:tcPr>
          <w:p w14:paraId="77B2F61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Centre for Climate Action on Agricultural Emissions</w:t>
            </w:r>
          </w:p>
        </w:tc>
        <w:tc>
          <w:tcPr>
            <w:tcW w:w="1985" w:type="dxa"/>
          </w:tcPr>
          <w:p w14:paraId="2798AB80" w14:textId="77777777" w:rsidR="00652773" w:rsidRPr="00D42EDA" w:rsidRDefault="00652773">
            <w:pPr>
              <w:spacing w:before="40" w:after="40" w:line="240" w:lineRule="auto"/>
              <w:jc w:val="left"/>
              <w:rPr>
                <w:rFonts w:cs="Calibri"/>
                <w:sz w:val="16"/>
                <w:szCs w:val="16"/>
              </w:rPr>
            </w:pPr>
            <w:r w:rsidRPr="00D42EDA">
              <w:rPr>
                <w:rFonts w:cs="Calibri"/>
                <w:sz w:val="16"/>
                <w:szCs w:val="16"/>
              </w:rPr>
              <w:t xml:space="preserve">The Centre for Climate Action on Agricultural Emissions accelerates the commercialisation of new mitigation technologies. </w:t>
            </w:r>
          </w:p>
          <w:p w14:paraId="26F815C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The Centre has two components: AgriZero</w:t>
            </w:r>
            <w:r w:rsidRPr="00D42EDA">
              <w:rPr>
                <w:rFonts w:cs="Calibri"/>
                <w:sz w:val="16"/>
                <w:szCs w:val="16"/>
                <w:vertAlign w:val="superscript"/>
              </w:rPr>
              <w:t>NZ</w:t>
            </w:r>
            <w:r w:rsidRPr="00D42EDA">
              <w:rPr>
                <w:rFonts w:cs="Calibri"/>
                <w:sz w:val="16"/>
                <w:szCs w:val="16"/>
              </w:rPr>
              <w:t>, a catalyst and investment industry–Crown joint venture company, and the New Zealand Agricultural Greenhouse Gas Research Centre.</w:t>
            </w:r>
          </w:p>
        </w:tc>
        <w:tc>
          <w:tcPr>
            <w:tcW w:w="1701" w:type="dxa"/>
          </w:tcPr>
          <w:p w14:paraId="1669648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Accelerate the development of greenhouse gas mitigations.</w:t>
            </w:r>
          </w:p>
        </w:tc>
        <w:tc>
          <w:tcPr>
            <w:tcW w:w="992" w:type="dxa"/>
          </w:tcPr>
          <w:p w14:paraId="6442E0C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Other</w:t>
            </w:r>
          </w:p>
        </w:tc>
        <w:tc>
          <w:tcPr>
            <w:tcW w:w="1134" w:type="dxa"/>
          </w:tcPr>
          <w:p w14:paraId="74B5A8D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Pr>
          <w:p w14:paraId="781B916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Agriculture</w:t>
            </w:r>
          </w:p>
        </w:tc>
        <w:tc>
          <w:tcPr>
            <w:tcW w:w="1276" w:type="dxa"/>
          </w:tcPr>
          <w:p w14:paraId="54A51C8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CH</w:t>
            </w:r>
            <w:r w:rsidRPr="00D42EDA">
              <w:rPr>
                <w:rFonts w:cs="Calibri"/>
                <w:sz w:val="16"/>
                <w:szCs w:val="16"/>
                <w:vertAlign w:val="subscript"/>
              </w:rPr>
              <w:t>4</w:t>
            </w:r>
            <w:r w:rsidRPr="00D42EDA">
              <w:rPr>
                <w:rFonts w:cs="Calibri"/>
                <w:sz w:val="16"/>
                <w:szCs w:val="16"/>
              </w:rPr>
              <w:t>, N</w:t>
            </w:r>
            <w:r w:rsidRPr="00D42EDA">
              <w:rPr>
                <w:rFonts w:cs="Calibri"/>
                <w:sz w:val="16"/>
                <w:szCs w:val="16"/>
                <w:vertAlign w:val="subscript"/>
              </w:rPr>
              <w:t>2</w:t>
            </w:r>
            <w:r w:rsidRPr="00D42EDA">
              <w:rPr>
                <w:rFonts w:cs="Calibri"/>
                <w:sz w:val="16"/>
                <w:szCs w:val="16"/>
              </w:rPr>
              <w:t>O, CO</w:t>
            </w:r>
            <w:r w:rsidRPr="00D42EDA">
              <w:rPr>
                <w:rFonts w:cs="Calibri"/>
                <w:sz w:val="16"/>
                <w:szCs w:val="16"/>
                <w:vertAlign w:val="subscript"/>
              </w:rPr>
              <w:t>2</w:t>
            </w:r>
          </w:p>
        </w:tc>
        <w:tc>
          <w:tcPr>
            <w:tcW w:w="850" w:type="dxa"/>
          </w:tcPr>
          <w:p w14:paraId="5D43CB8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2022</w:t>
            </w:r>
          </w:p>
        </w:tc>
        <w:tc>
          <w:tcPr>
            <w:tcW w:w="1418" w:type="dxa"/>
          </w:tcPr>
          <w:p w14:paraId="0CE47A4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Primary Industries</w:t>
            </w:r>
          </w:p>
        </w:tc>
        <w:tc>
          <w:tcPr>
            <w:tcW w:w="992" w:type="dxa"/>
          </w:tcPr>
          <w:p w14:paraId="3434978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60A6727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6C82C15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78E6FA36" w14:textId="77777777" w:rsidTr="00611EB7">
        <w:trPr>
          <w:gridAfter w:val="1"/>
          <w:wAfter w:w="24" w:type="dxa"/>
        </w:trPr>
        <w:tc>
          <w:tcPr>
            <w:tcW w:w="1134" w:type="dxa"/>
          </w:tcPr>
          <w:p w14:paraId="20AF8C7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 Zealand Agricultural Greenhouse Gas Research Centre</w:t>
            </w:r>
          </w:p>
        </w:tc>
        <w:tc>
          <w:tcPr>
            <w:tcW w:w="1985" w:type="dxa"/>
          </w:tcPr>
          <w:p w14:paraId="09AB707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Brings together nine primary sector research organisations.</w:t>
            </w:r>
          </w:p>
        </w:tc>
        <w:tc>
          <w:tcPr>
            <w:tcW w:w="1701" w:type="dxa"/>
          </w:tcPr>
          <w:p w14:paraId="11056B0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Focus on ways to reduce on-farm CH</w:t>
            </w:r>
            <w:r w:rsidRPr="00D42EDA">
              <w:rPr>
                <w:rFonts w:cs="Calibri"/>
                <w:sz w:val="16"/>
                <w:szCs w:val="16"/>
                <w:vertAlign w:val="subscript"/>
              </w:rPr>
              <w:t>4</w:t>
            </w:r>
            <w:r w:rsidRPr="00D42EDA">
              <w:rPr>
                <w:rFonts w:cs="Calibri"/>
                <w:sz w:val="16"/>
                <w:szCs w:val="16"/>
              </w:rPr>
              <w:t xml:space="preserve"> and N</w:t>
            </w:r>
            <w:r w:rsidRPr="00D42EDA">
              <w:rPr>
                <w:rFonts w:cs="Calibri"/>
                <w:sz w:val="16"/>
                <w:szCs w:val="16"/>
                <w:vertAlign w:val="subscript"/>
              </w:rPr>
              <w:t>2</w:t>
            </w:r>
            <w:r w:rsidRPr="00D42EDA">
              <w:rPr>
                <w:rFonts w:cs="Calibri"/>
                <w:sz w:val="16"/>
                <w:szCs w:val="16"/>
              </w:rPr>
              <w:t>O emissions and enhance soil carbon.</w:t>
            </w:r>
          </w:p>
        </w:tc>
        <w:tc>
          <w:tcPr>
            <w:tcW w:w="992" w:type="dxa"/>
          </w:tcPr>
          <w:p w14:paraId="17E7CC6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Other</w:t>
            </w:r>
          </w:p>
        </w:tc>
        <w:tc>
          <w:tcPr>
            <w:tcW w:w="1134" w:type="dxa"/>
          </w:tcPr>
          <w:p w14:paraId="329A461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Pr>
          <w:p w14:paraId="6380C28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Agriculture</w:t>
            </w:r>
          </w:p>
        </w:tc>
        <w:tc>
          <w:tcPr>
            <w:tcW w:w="1276" w:type="dxa"/>
          </w:tcPr>
          <w:p w14:paraId="5DB41993"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CH</w:t>
            </w:r>
            <w:r w:rsidRPr="00D42EDA">
              <w:rPr>
                <w:rFonts w:cs="Calibri"/>
                <w:sz w:val="16"/>
                <w:szCs w:val="16"/>
                <w:vertAlign w:val="subscript"/>
              </w:rPr>
              <w:t>4</w:t>
            </w:r>
            <w:r w:rsidRPr="00D42EDA">
              <w:rPr>
                <w:rFonts w:cs="Calibri"/>
                <w:sz w:val="16"/>
                <w:szCs w:val="16"/>
              </w:rPr>
              <w:t>, N</w:t>
            </w:r>
            <w:r w:rsidRPr="00D42EDA">
              <w:rPr>
                <w:rFonts w:cs="Calibri"/>
                <w:sz w:val="16"/>
                <w:szCs w:val="16"/>
                <w:vertAlign w:val="subscript"/>
              </w:rPr>
              <w:t>2</w:t>
            </w:r>
            <w:r w:rsidRPr="00D42EDA">
              <w:rPr>
                <w:rFonts w:cs="Calibri"/>
                <w:sz w:val="16"/>
                <w:szCs w:val="16"/>
              </w:rPr>
              <w:t>O, CO</w:t>
            </w:r>
            <w:r w:rsidRPr="00D42EDA">
              <w:rPr>
                <w:rFonts w:cs="Calibri"/>
                <w:sz w:val="16"/>
                <w:szCs w:val="16"/>
                <w:vertAlign w:val="subscript"/>
              </w:rPr>
              <w:t>2</w:t>
            </w:r>
          </w:p>
        </w:tc>
        <w:tc>
          <w:tcPr>
            <w:tcW w:w="850" w:type="dxa"/>
          </w:tcPr>
          <w:p w14:paraId="6145F66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2009</w:t>
            </w:r>
          </w:p>
        </w:tc>
        <w:tc>
          <w:tcPr>
            <w:tcW w:w="1418" w:type="dxa"/>
          </w:tcPr>
          <w:p w14:paraId="540A39F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Primary Industries</w:t>
            </w:r>
          </w:p>
        </w:tc>
        <w:tc>
          <w:tcPr>
            <w:tcW w:w="992" w:type="dxa"/>
          </w:tcPr>
          <w:p w14:paraId="275D7D5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489E1B3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7486F80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566AC60A" w14:textId="77777777" w:rsidTr="00611EB7">
        <w:trPr>
          <w:gridAfter w:val="1"/>
          <w:wAfter w:w="24" w:type="dxa"/>
        </w:trPr>
        <w:tc>
          <w:tcPr>
            <w:tcW w:w="1134" w:type="dxa"/>
          </w:tcPr>
          <w:p w14:paraId="5019F49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Global Research Alliance on Agricultural Greenhouse Gases (GRA)</w:t>
            </w:r>
          </w:p>
        </w:tc>
        <w:tc>
          <w:tcPr>
            <w:tcW w:w="1985" w:type="dxa"/>
          </w:tcPr>
          <w:p w14:paraId="0EC9DC6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New Zealand plays an active role in supporting the GRA through funding and delivery of education, training and public awareness, funding of mitigation research projects and funding of regional and international collaboration in addition to co-chairing the GRA’s Livestock Research Group and hosting the GRA Secretariat and Special Representative. </w:t>
            </w:r>
          </w:p>
        </w:tc>
        <w:tc>
          <w:tcPr>
            <w:tcW w:w="1701" w:type="dxa"/>
          </w:tcPr>
          <w:p w14:paraId="71199CE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Increase international collaboration on and investment in research on increasing agricultural and food production, without increasing greenhouse gas emissions.</w:t>
            </w:r>
          </w:p>
        </w:tc>
        <w:tc>
          <w:tcPr>
            <w:tcW w:w="992" w:type="dxa"/>
          </w:tcPr>
          <w:p w14:paraId="7EA463C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Other</w:t>
            </w:r>
          </w:p>
        </w:tc>
        <w:tc>
          <w:tcPr>
            <w:tcW w:w="1134" w:type="dxa"/>
          </w:tcPr>
          <w:p w14:paraId="0395268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Pr>
          <w:p w14:paraId="0BF4FE4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Agriculture</w:t>
            </w:r>
          </w:p>
        </w:tc>
        <w:tc>
          <w:tcPr>
            <w:tcW w:w="1276" w:type="dxa"/>
          </w:tcPr>
          <w:p w14:paraId="50CB20A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CH</w:t>
            </w:r>
            <w:r w:rsidRPr="00D42EDA">
              <w:rPr>
                <w:rFonts w:cs="Calibri"/>
                <w:sz w:val="16"/>
                <w:szCs w:val="16"/>
                <w:vertAlign w:val="subscript"/>
              </w:rPr>
              <w:t>4</w:t>
            </w:r>
            <w:r w:rsidRPr="00D42EDA">
              <w:rPr>
                <w:rFonts w:cs="Calibri"/>
                <w:sz w:val="16"/>
                <w:szCs w:val="16"/>
              </w:rPr>
              <w:t>, N</w:t>
            </w:r>
            <w:r w:rsidRPr="00D42EDA">
              <w:rPr>
                <w:rFonts w:cs="Calibri"/>
                <w:sz w:val="16"/>
                <w:szCs w:val="16"/>
                <w:vertAlign w:val="subscript"/>
              </w:rPr>
              <w:t>2</w:t>
            </w:r>
            <w:r w:rsidRPr="00D42EDA">
              <w:rPr>
                <w:rFonts w:cs="Calibri"/>
                <w:sz w:val="16"/>
                <w:szCs w:val="16"/>
              </w:rPr>
              <w:t>O, CO</w:t>
            </w:r>
            <w:r w:rsidRPr="00D42EDA">
              <w:rPr>
                <w:rFonts w:cs="Calibri"/>
                <w:sz w:val="16"/>
                <w:szCs w:val="16"/>
                <w:vertAlign w:val="subscript"/>
              </w:rPr>
              <w:t>2</w:t>
            </w:r>
          </w:p>
        </w:tc>
        <w:tc>
          <w:tcPr>
            <w:tcW w:w="850" w:type="dxa"/>
          </w:tcPr>
          <w:p w14:paraId="1BB0E8C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2009</w:t>
            </w:r>
          </w:p>
        </w:tc>
        <w:tc>
          <w:tcPr>
            <w:tcW w:w="1418" w:type="dxa"/>
          </w:tcPr>
          <w:p w14:paraId="6CE018E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Secretariat support and co-Chair of the Livestock Research Group provided by New Zealand </w:t>
            </w:r>
          </w:p>
          <w:p w14:paraId="6C2734B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Primary Industries</w:t>
            </w:r>
          </w:p>
        </w:tc>
        <w:tc>
          <w:tcPr>
            <w:tcW w:w="992" w:type="dxa"/>
          </w:tcPr>
          <w:p w14:paraId="371F687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4AF7786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12D37CE3"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6BED013A" w14:textId="77777777" w:rsidTr="00611EB7">
        <w:trPr>
          <w:gridAfter w:val="1"/>
          <w:wAfter w:w="24" w:type="dxa"/>
        </w:trPr>
        <w:tc>
          <w:tcPr>
            <w:tcW w:w="1134" w:type="dxa"/>
          </w:tcPr>
          <w:p w14:paraId="593C429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Sustainable Food and Fibre Futures</w:t>
            </w:r>
          </w:p>
        </w:tc>
        <w:tc>
          <w:tcPr>
            <w:tcW w:w="1985" w:type="dxa"/>
          </w:tcPr>
          <w:p w14:paraId="77D3E70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Provides co-funding for programmes driving sustainable impact for the food and fibre sectors.</w:t>
            </w:r>
          </w:p>
        </w:tc>
        <w:tc>
          <w:tcPr>
            <w:tcW w:w="1701" w:type="dxa"/>
          </w:tcPr>
          <w:p w14:paraId="17531CF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Co-invest in innovative projects to grow New Zealand's food and fibre industries sustainably.</w:t>
            </w:r>
          </w:p>
        </w:tc>
        <w:tc>
          <w:tcPr>
            <w:tcW w:w="992" w:type="dxa"/>
          </w:tcPr>
          <w:p w14:paraId="6A8BCBC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Other</w:t>
            </w:r>
          </w:p>
        </w:tc>
        <w:tc>
          <w:tcPr>
            <w:tcW w:w="1134" w:type="dxa"/>
          </w:tcPr>
          <w:p w14:paraId="1015A88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Pr>
          <w:p w14:paraId="29EDFF1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Agriculture</w:t>
            </w:r>
          </w:p>
        </w:tc>
        <w:tc>
          <w:tcPr>
            <w:tcW w:w="1276" w:type="dxa"/>
          </w:tcPr>
          <w:p w14:paraId="2A60890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CH</w:t>
            </w:r>
            <w:r w:rsidRPr="00D42EDA">
              <w:rPr>
                <w:rFonts w:cs="Calibri"/>
                <w:sz w:val="16"/>
                <w:szCs w:val="16"/>
                <w:vertAlign w:val="subscript"/>
              </w:rPr>
              <w:t>4</w:t>
            </w:r>
            <w:r w:rsidRPr="00D42EDA">
              <w:rPr>
                <w:rFonts w:cs="Calibri"/>
                <w:sz w:val="16"/>
                <w:szCs w:val="16"/>
              </w:rPr>
              <w:t>, N</w:t>
            </w:r>
            <w:r w:rsidRPr="00D42EDA">
              <w:rPr>
                <w:rFonts w:cs="Calibri"/>
                <w:sz w:val="16"/>
                <w:szCs w:val="16"/>
                <w:vertAlign w:val="subscript"/>
              </w:rPr>
              <w:t>2</w:t>
            </w:r>
            <w:r w:rsidRPr="00D42EDA">
              <w:rPr>
                <w:rFonts w:cs="Calibri"/>
                <w:sz w:val="16"/>
                <w:szCs w:val="16"/>
              </w:rPr>
              <w:t>O, CO</w:t>
            </w:r>
            <w:r w:rsidRPr="00D42EDA">
              <w:rPr>
                <w:rFonts w:cs="Calibri"/>
                <w:sz w:val="16"/>
                <w:szCs w:val="16"/>
                <w:vertAlign w:val="subscript"/>
              </w:rPr>
              <w:t>2</w:t>
            </w:r>
          </w:p>
        </w:tc>
        <w:tc>
          <w:tcPr>
            <w:tcW w:w="850" w:type="dxa"/>
          </w:tcPr>
          <w:p w14:paraId="5475795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2018</w:t>
            </w:r>
          </w:p>
        </w:tc>
        <w:tc>
          <w:tcPr>
            <w:tcW w:w="1418" w:type="dxa"/>
          </w:tcPr>
          <w:p w14:paraId="39BC76A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Primary Industries</w:t>
            </w:r>
          </w:p>
        </w:tc>
        <w:tc>
          <w:tcPr>
            <w:tcW w:w="992" w:type="dxa"/>
          </w:tcPr>
          <w:p w14:paraId="0E2127D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2902DD1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6DE7AD3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3A5D13D3" w14:textId="77777777" w:rsidTr="00611EB7">
        <w:trPr>
          <w:gridAfter w:val="1"/>
          <w:wAfter w:w="24" w:type="dxa"/>
        </w:trPr>
        <w:tc>
          <w:tcPr>
            <w:tcW w:w="1134" w:type="dxa"/>
          </w:tcPr>
          <w:p w14:paraId="7E54FDC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Sustainable Land Management and Climate Change Research Programme</w:t>
            </w:r>
          </w:p>
        </w:tc>
        <w:tc>
          <w:tcPr>
            <w:tcW w:w="1985" w:type="dxa"/>
          </w:tcPr>
          <w:p w14:paraId="1D9901A1" w14:textId="605FCC19" w:rsidR="00652773" w:rsidRPr="00D42EDA" w:rsidRDefault="00652773">
            <w:pPr>
              <w:pStyle w:val="TableText"/>
              <w:spacing w:before="40" w:after="40" w:line="240" w:lineRule="auto"/>
              <w:rPr>
                <w:rFonts w:cs="Calibri"/>
                <w:sz w:val="16"/>
                <w:szCs w:val="16"/>
              </w:rPr>
            </w:pPr>
            <w:r w:rsidRPr="00D42EDA">
              <w:rPr>
                <w:rFonts w:cs="Calibri"/>
                <w:sz w:val="16"/>
                <w:szCs w:val="16"/>
              </w:rPr>
              <w:t>Initiatives and programmes in the agricultur</w:t>
            </w:r>
            <w:r w:rsidR="006447C7">
              <w:rPr>
                <w:rFonts w:cs="Calibri"/>
                <w:sz w:val="16"/>
                <w:szCs w:val="16"/>
              </w:rPr>
              <w:t>e</w:t>
            </w:r>
            <w:r w:rsidRPr="00D42EDA">
              <w:rPr>
                <w:rFonts w:cs="Calibri"/>
                <w:sz w:val="16"/>
                <w:szCs w:val="16"/>
              </w:rPr>
              <w:t xml:space="preserve"> and forestry sectors that focus on adaptation to climate change.</w:t>
            </w:r>
          </w:p>
        </w:tc>
        <w:tc>
          <w:tcPr>
            <w:tcW w:w="1701" w:type="dxa"/>
          </w:tcPr>
          <w:p w14:paraId="11E04FD6" w14:textId="16458922"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Research programmes in agriculture and forestry sectors. </w:t>
            </w:r>
          </w:p>
        </w:tc>
        <w:tc>
          <w:tcPr>
            <w:tcW w:w="992" w:type="dxa"/>
          </w:tcPr>
          <w:p w14:paraId="6563901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Other</w:t>
            </w:r>
          </w:p>
        </w:tc>
        <w:tc>
          <w:tcPr>
            <w:tcW w:w="1134" w:type="dxa"/>
          </w:tcPr>
          <w:p w14:paraId="379CC4C3"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Pr>
          <w:p w14:paraId="14353BF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Agriculture, LULUCF</w:t>
            </w:r>
          </w:p>
        </w:tc>
        <w:tc>
          <w:tcPr>
            <w:tcW w:w="1276" w:type="dxa"/>
          </w:tcPr>
          <w:p w14:paraId="594A456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CH</w:t>
            </w:r>
            <w:r w:rsidRPr="00D42EDA">
              <w:rPr>
                <w:rFonts w:cs="Calibri"/>
                <w:sz w:val="16"/>
                <w:szCs w:val="16"/>
                <w:vertAlign w:val="subscript"/>
              </w:rPr>
              <w:t>4</w:t>
            </w:r>
            <w:r w:rsidRPr="00D42EDA">
              <w:rPr>
                <w:rFonts w:cs="Calibri"/>
                <w:sz w:val="16"/>
                <w:szCs w:val="16"/>
              </w:rPr>
              <w:t>, N</w:t>
            </w:r>
            <w:r w:rsidRPr="00D42EDA">
              <w:rPr>
                <w:rFonts w:cs="Calibri"/>
                <w:sz w:val="16"/>
                <w:szCs w:val="16"/>
                <w:vertAlign w:val="subscript"/>
              </w:rPr>
              <w:t>2</w:t>
            </w:r>
            <w:r w:rsidRPr="00D42EDA">
              <w:rPr>
                <w:rFonts w:cs="Calibri"/>
                <w:sz w:val="16"/>
                <w:szCs w:val="16"/>
              </w:rPr>
              <w:t>O, CO</w:t>
            </w:r>
            <w:r w:rsidRPr="00D42EDA">
              <w:rPr>
                <w:rFonts w:cs="Calibri"/>
                <w:sz w:val="16"/>
                <w:szCs w:val="16"/>
                <w:vertAlign w:val="subscript"/>
              </w:rPr>
              <w:t>2</w:t>
            </w:r>
          </w:p>
        </w:tc>
        <w:tc>
          <w:tcPr>
            <w:tcW w:w="850" w:type="dxa"/>
          </w:tcPr>
          <w:p w14:paraId="11545B2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2007</w:t>
            </w:r>
          </w:p>
        </w:tc>
        <w:tc>
          <w:tcPr>
            <w:tcW w:w="1418" w:type="dxa"/>
          </w:tcPr>
          <w:p w14:paraId="6C38C00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Primary Industries</w:t>
            </w:r>
          </w:p>
        </w:tc>
        <w:tc>
          <w:tcPr>
            <w:tcW w:w="992" w:type="dxa"/>
          </w:tcPr>
          <w:p w14:paraId="582AB6F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79BACC7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0E42F92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4207F69F" w14:textId="77777777" w:rsidTr="00611EB7">
        <w:trPr>
          <w:gridAfter w:val="1"/>
          <w:wAfter w:w="24" w:type="dxa"/>
        </w:trPr>
        <w:tc>
          <w:tcPr>
            <w:tcW w:w="1134" w:type="dxa"/>
          </w:tcPr>
          <w:p w14:paraId="1FCE6A8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Synthetic nitrogen fertiliser cap </w:t>
            </w:r>
          </w:p>
        </w:tc>
        <w:tc>
          <w:tcPr>
            <w:tcW w:w="1985" w:type="dxa"/>
          </w:tcPr>
          <w:p w14:paraId="4CD8C36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From 1 July 2021, a cap on the use of synthetic nitrogen fertiliser applies on any contiguous parcel of pastoral land. The cap has been set at 190 kilograms per hectare per year. </w:t>
            </w:r>
          </w:p>
        </w:tc>
        <w:tc>
          <w:tcPr>
            <w:tcW w:w="1701" w:type="dxa"/>
          </w:tcPr>
          <w:p w14:paraId="32CE5AB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Limit the impacts of synthetic nitrogen fertiliser on freshwater ecosystems following application to land. Has a co-benefit of reducing synthetic nitrogen fertiliser applied to land.</w:t>
            </w:r>
          </w:p>
        </w:tc>
        <w:tc>
          <w:tcPr>
            <w:tcW w:w="992" w:type="dxa"/>
          </w:tcPr>
          <w:p w14:paraId="317B96D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Regulatory</w:t>
            </w:r>
          </w:p>
        </w:tc>
        <w:tc>
          <w:tcPr>
            <w:tcW w:w="1134" w:type="dxa"/>
          </w:tcPr>
          <w:p w14:paraId="6D57A1C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Implemented </w:t>
            </w:r>
          </w:p>
        </w:tc>
        <w:tc>
          <w:tcPr>
            <w:tcW w:w="1134" w:type="dxa"/>
          </w:tcPr>
          <w:p w14:paraId="55E74FE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Agriculture</w:t>
            </w:r>
          </w:p>
        </w:tc>
        <w:tc>
          <w:tcPr>
            <w:tcW w:w="1276" w:type="dxa"/>
          </w:tcPr>
          <w:p w14:paraId="25F1125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w:t>
            </w:r>
            <w:r w:rsidRPr="00D42EDA">
              <w:rPr>
                <w:rFonts w:cs="Calibri"/>
                <w:sz w:val="16"/>
                <w:szCs w:val="16"/>
                <w:vertAlign w:val="subscript"/>
              </w:rPr>
              <w:t>2</w:t>
            </w:r>
            <w:r w:rsidRPr="00D42EDA">
              <w:rPr>
                <w:rFonts w:cs="Calibri"/>
                <w:sz w:val="16"/>
                <w:szCs w:val="16"/>
              </w:rPr>
              <w:t>O</w:t>
            </w:r>
          </w:p>
        </w:tc>
        <w:tc>
          <w:tcPr>
            <w:tcW w:w="850" w:type="dxa"/>
          </w:tcPr>
          <w:p w14:paraId="2C59104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2021</w:t>
            </w:r>
          </w:p>
        </w:tc>
        <w:tc>
          <w:tcPr>
            <w:tcW w:w="1418" w:type="dxa"/>
          </w:tcPr>
          <w:p w14:paraId="6FD380D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the Environment, regional and local councils</w:t>
            </w:r>
          </w:p>
        </w:tc>
        <w:tc>
          <w:tcPr>
            <w:tcW w:w="992" w:type="dxa"/>
          </w:tcPr>
          <w:p w14:paraId="20027F4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0</w:t>
            </w:r>
          </w:p>
        </w:tc>
        <w:tc>
          <w:tcPr>
            <w:tcW w:w="992" w:type="dxa"/>
          </w:tcPr>
          <w:p w14:paraId="1ADA02F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0</w:t>
            </w:r>
          </w:p>
        </w:tc>
        <w:tc>
          <w:tcPr>
            <w:tcW w:w="964" w:type="dxa"/>
          </w:tcPr>
          <w:p w14:paraId="38AF8ED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50</w:t>
            </w:r>
          </w:p>
        </w:tc>
      </w:tr>
      <w:tr w:rsidR="00E872AA" w:rsidRPr="00E711FA" w14:paraId="248EDFC2" w14:textId="77777777" w:rsidTr="00611EB7">
        <w:trPr>
          <w:gridAfter w:val="1"/>
          <w:wAfter w:w="24" w:type="dxa"/>
        </w:trPr>
        <w:tc>
          <w:tcPr>
            <w:tcW w:w="1134" w:type="dxa"/>
          </w:tcPr>
          <w:p w14:paraId="468CF8CB" w14:textId="000D230B" w:rsidR="00652773" w:rsidRPr="00D42EDA" w:rsidRDefault="00D84774">
            <w:pPr>
              <w:pStyle w:val="TableText"/>
              <w:spacing w:before="40" w:after="40" w:line="240" w:lineRule="auto"/>
              <w:rPr>
                <w:rFonts w:cs="Calibri"/>
                <w:sz w:val="16"/>
                <w:szCs w:val="16"/>
              </w:rPr>
            </w:pPr>
            <w:r w:rsidRPr="00D84774">
              <w:rPr>
                <w:rFonts w:cs="Calibri"/>
                <w:sz w:val="16"/>
                <w:szCs w:val="16"/>
              </w:rPr>
              <w:t>Regulations to manage freshwater introduced under the Essential Freshwater package</w:t>
            </w:r>
          </w:p>
        </w:tc>
        <w:tc>
          <w:tcPr>
            <w:tcW w:w="1985" w:type="dxa"/>
          </w:tcPr>
          <w:p w14:paraId="29316514" w14:textId="493F7112" w:rsidR="00652773" w:rsidRPr="00D42EDA" w:rsidRDefault="00652773">
            <w:pPr>
              <w:pStyle w:val="TableText"/>
              <w:spacing w:before="40" w:after="40" w:line="240" w:lineRule="auto"/>
              <w:rPr>
                <w:rFonts w:cs="Calibri"/>
                <w:sz w:val="16"/>
                <w:szCs w:val="16"/>
              </w:rPr>
            </w:pPr>
            <w:r w:rsidRPr="00D42EDA">
              <w:rPr>
                <w:rFonts w:cs="Calibri"/>
                <w:sz w:val="16"/>
                <w:szCs w:val="16"/>
              </w:rPr>
              <w:t>The National Policy Statement for Freshwater Management provides national policy direction to regional councils on freshwater management</w:t>
            </w:r>
            <w:r w:rsidR="00E3050F">
              <w:rPr>
                <w:rFonts w:cs="Calibri"/>
                <w:sz w:val="16"/>
                <w:szCs w:val="16"/>
              </w:rPr>
              <w:t xml:space="preserve"> (This </w:t>
            </w:r>
            <w:r w:rsidR="00E3050F" w:rsidRPr="00D84774">
              <w:rPr>
                <w:rFonts w:cs="Calibri"/>
                <w:sz w:val="16"/>
                <w:szCs w:val="16"/>
              </w:rPr>
              <w:t>exclu</w:t>
            </w:r>
            <w:r w:rsidR="00E3050F">
              <w:rPr>
                <w:rFonts w:cs="Calibri"/>
                <w:sz w:val="16"/>
                <w:szCs w:val="16"/>
              </w:rPr>
              <w:t>des</w:t>
            </w:r>
            <w:r w:rsidR="00E3050F" w:rsidRPr="00D84774">
              <w:rPr>
                <w:rFonts w:cs="Calibri"/>
                <w:sz w:val="16"/>
                <w:szCs w:val="16"/>
              </w:rPr>
              <w:t xml:space="preserve"> the impact of the </w:t>
            </w:r>
            <w:r w:rsidR="00DB4D55">
              <w:rPr>
                <w:rFonts w:cs="Calibri"/>
                <w:sz w:val="16"/>
                <w:szCs w:val="16"/>
              </w:rPr>
              <w:t xml:space="preserve">nitrogen fertiliser </w:t>
            </w:r>
            <w:r w:rsidR="00E3050F" w:rsidRPr="00D84774">
              <w:rPr>
                <w:rFonts w:cs="Calibri"/>
                <w:sz w:val="16"/>
                <w:szCs w:val="16"/>
              </w:rPr>
              <w:t>cap</w:t>
            </w:r>
            <w:r w:rsidR="00E3050F">
              <w:rPr>
                <w:rFonts w:cs="Calibri"/>
                <w:sz w:val="16"/>
                <w:szCs w:val="16"/>
              </w:rPr>
              <w:t>)</w:t>
            </w:r>
            <w:r w:rsidRPr="00D42EDA">
              <w:rPr>
                <w:rFonts w:cs="Calibri"/>
                <w:sz w:val="16"/>
                <w:szCs w:val="16"/>
              </w:rPr>
              <w:t>. These measures will impact emissions from agriculture through their influence on animal numbers.</w:t>
            </w:r>
            <w:r w:rsidR="003208D6">
              <w:rPr>
                <w:rFonts w:cs="Calibri"/>
                <w:sz w:val="16"/>
                <w:szCs w:val="16"/>
              </w:rPr>
              <w:t xml:space="preserve"> </w:t>
            </w:r>
          </w:p>
        </w:tc>
        <w:tc>
          <w:tcPr>
            <w:tcW w:w="1701" w:type="dxa"/>
          </w:tcPr>
          <w:p w14:paraId="66FF883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Improve the quality of freshwater in New Zealand. Has co-benefits of more streamside planting (to reduce rural runoff), retention of more natural wetlands, and potentially less intensive stocking. </w:t>
            </w:r>
          </w:p>
        </w:tc>
        <w:tc>
          <w:tcPr>
            <w:tcW w:w="992" w:type="dxa"/>
          </w:tcPr>
          <w:p w14:paraId="741A22B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Regulatory</w:t>
            </w:r>
          </w:p>
        </w:tc>
        <w:tc>
          <w:tcPr>
            <w:tcW w:w="1134" w:type="dxa"/>
          </w:tcPr>
          <w:p w14:paraId="29B293C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Implemented </w:t>
            </w:r>
          </w:p>
        </w:tc>
        <w:tc>
          <w:tcPr>
            <w:tcW w:w="1134" w:type="dxa"/>
          </w:tcPr>
          <w:p w14:paraId="42DD310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Agriculture</w:t>
            </w:r>
          </w:p>
        </w:tc>
        <w:tc>
          <w:tcPr>
            <w:tcW w:w="1276" w:type="dxa"/>
          </w:tcPr>
          <w:p w14:paraId="3AAFE38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CH</w:t>
            </w:r>
            <w:r w:rsidRPr="00D42EDA">
              <w:rPr>
                <w:rFonts w:cs="Calibri"/>
                <w:sz w:val="16"/>
                <w:szCs w:val="16"/>
                <w:vertAlign w:val="subscript"/>
              </w:rPr>
              <w:t>4</w:t>
            </w:r>
            <w:r w:rsidRPr="00D42EDA">
              <w:rPr>
                <w:rFonts w:cs="Calibri"/>
                <w:sz w:val="16"/>
                <w:szCs w:val="16"/>
              </w:rPr>
              <w:t>, N</w:t>
            </w:r>
            <w:r w:rsidRPr="00D42EDA">
              <w:rPr>
                <w:rFonts w:cs="Calibri"/>
                <w:sz w:val="16"/>
                <w:szCs w:val="16"/>
                <w:vertAlign w:val="subscript"/>
              </w:rPr>
              <w:t>2</w:t>
            </w:r>
            <w:r w:rsidRPr="00D42EDA">
              <w:rPr>
                <w:rFonts w:cs="Calibri"/>
                <w:sz w:val="16"/>
                <w:szCs w:val="16"/>
              </w:rPr>
              <w:t>O</w:t>
            </w:r>
          </w:p>
        </w:tc>
        <w:tc>
          <w:tcPr>
            <w:tcW w:w="850" w:type="dxa"/>
          </w:tcPr>
          <w:p w14:paraId="08B81B5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2020</w:t>
            </w:r>
          </w:p>
        </w:tc>
        <w:tc>
          <w:tcPr>
            <w:tcW w:w="1418" w:type="dxa"/>
          </w:tcPr>
          <w:p w14:paraId="19FDB10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Regional and local councils</w:t>
            </w:r>
          </w:p>
        </w:tc>
        <w:tc>
          <w:tcPr>
            <w:tcW w:w="992" w:type="dxa"/>
          </w:tcPr>
          <w:p w14:paraId="347CF38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0</w:t>
            </w:r>
          </w:p>
        </w:tc>
        <w:tc>
          <w:tcPr>
            <w:tcW w:w="992" w:type="dxa"/>
          </w:tcPr>
          <w:p w14:paraId="3897F67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0</w:t>
            </w:r>
          </w:p>
        </w:tc>
        <w:tc>
          <w:tcPr>
            <w:tcW w:w="964" w:type="dxa"/>
          </w:tcPr>
          <w:p w14:paraId="38D6D3F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200</w:t>
            </w:r>
          </w:p>
        </w:tc>
      </w:tr>
      <w:tr w:rsidR="00AD3845" w:rsidRPr="00D42EDA" w14:paraId="0C9338C6" w14:textId="77777777" w:rsidTr="00692400">
        <w:trPr>
          <w:gridAfter w:val="1"/>
          <w:wAfter w:w="24" w:type="dxa"/>
        </w:trPr>
        <w:tc>
          <w:tcPr>
            <w:tcW w:w="14572" w:type="dxa"/>
            <w:gridSpan w:val="12"/>
            <w:shd w:val="clear" w:color="auto" w:fill="D2DDE1" w:themeFill="background2"/>
          </w:tcPr>
          <w:p w14:paraId="11B5F561" w14:textId="34FC2CCB" w:rsidR="00AD3845" w:rsidRPr="00D42EDA" w:rsidRDefault="0024610E" w:rsidP="00AD3845">
            <w:pPr>
              <w:pStyle w:val="TableText"/>
              <w:spacing w:before="40" w:after="40" w:line="240" w:lineRule="auto"/>
              <w:rPr>
                <w:rFonts w:cs="Calibri"/>
                <w:sz w:val="16"/>
                <w:szCs w:val="16"/>
              </w:rPr>
            </w:pPr>
            <w:r w:rsidRPr="00D42EDA">
              <w:rPr>
                <w:rFonts w:cs="Calibri"/>
                <w:b/>
                <w:sz w:val="16"/>
                <w:szCs w:val="16"/>
              </w:rPr>
              <w:t>Land Use, Land-</w:t>
            </w:r>
            <w:r w:rsidR="00ED5254">
              <w:rPr>
                <w:rFonts w:cs="Calibri"/>
                <w:b/>
                <w:sz w:val="16"/>
                <w:szCs w:val="16"/>
              </w:rPr>
              <w:t>U</w:t>
            </w:r>
            <w:r w:rsidRPr="00D42EDA">
              <w:rPr>
                <w:rFonts w:cs="Calibri"/>
                <w:b/>
                <w:sz w:val="16"/>
                <w:szCs w:val="16"/>
              </w:rPr>
              <w:t xml:space="preserve">se Change and Forestry </w:t>
            </w:r>
          </w:p>
        </w:tc>
      </w:tr>
      <w:tr w:rsidR="00E872AA" w:rsidRPr="00E711FA" w14:paraId="58790DA6" w14:textId="77777777" w:rsidTr="00611EB7">
        <w:trPr>
          <w:gridAfter w:val="1"/>
          <w:wAfter w:w="24" w:type="dxa"/>
        </w:trPr>
        <w:tc>
          <w:tcPr>
            <w:tcW w:w="1134" w:type="dxa"/>
          </w:tcPr>
          <w:p w14:paraId="2EA7293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Afforestation Grant Scheme</w:t>
            </w:r>
          </w:p>
        </w:tc>
        <w:tc>
          <w:tcPr>
            <w:tcW w:w="1985" w:type="dxa"/>
          </w:tcPr>
          <w:p w14:paraId="5DE51FF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Under the Afforestation Grant Scheme, land owners who have received a grant have ongoing obligations to maintain their grant forests for a minimum 10-year period.</w:t>
            </w:r>
          </w:p>
        </w:tc>
        <w:tc>
          <w:tcPr>
            <w:tcW w:w="1701" w:type="dxa"/>
          </w:tcPr>
          <w:p w14:paraId="3A07F94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Promote the establishment of production and permanent forests on previously unforested land. Reduce erosion by encouraging tree planting on erosion-prone land. Enhance the sequestration of carbon in forest sinks. Increase the area of new forests that meet the afforestation and reforestation definition under the Kyoto Protocol in New Zealand.</w:t>
            </w:r>
          </w:p>
        </w:tc>
        <w:tc>
          <w:tcPr>
            <w:tcW w:w="992" w:type="dxa"/>
          </w:tcPr>
          <w:p w14:paraId="5EF4167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Economic instrument</w:t>
            </w:r>
          </w:p>
        </w:tc>
        <w:tc>
          <w:tcPr>
            <w:tcW w:w="1134" w:type="dxa"/>
          </w:tcPr>
          <w:p w14:paraId="550F2AC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Implemented </w:t>
            </w:r>
          </w:p>
        </w:tc>
        <w:tc>
          <w:tcPr>
            <w:tcW w:w="1134" w:type="dxa"/>
          </w:tcPr>
          <w:p w14:paraId="41E9C43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LULUCF</w:t>
            </w:r>
          </w:p>
        </w:tc>
        <w:tc>
          <w:tcPr>
            <w:tcW w:w="1276" w:type="dxa"/>
          </w:tcPr>
          <w:p w14:paraId="4018CE8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12B8613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2008</w:t>
            </w:r>
          </w:p>
        </w:tc>
        <w:tc>
          <w:tcPr>
            <w:tcW w:w="1418" w:type="dxa"/>
          </w:tcPr>
          <w:p w14:paraId="4675859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Primary Industries</w:t>
            </w:r>
          </w:p>
        </w:tc>
        <w:tc>
          <w:tcPr>
            <w:tcW w:w="992" w:type="dxa"/>
          </w:tcPr>
          <w:p w14:paraId="2591F3AE" w14:textId="77777777" w:rsidR="00652773" w:rsidRPr="00D42EDA" w:rsidRDefault="00652773">
            <w:pPr>
              <w:pStyle w:val="TableText"/>
              <w:spacing w:before="40" w:after="40" w:line="240" w:lineRule="auto"/>
              <w:rPr>
                <w:rStyle w:val="CommentReference"/>
                <w:rFonts w:cs="Calibri"/>
              </w:rPr>
            </w:pPr>
            <w:r w:rsidRPr="00D42EDA">
              <w:rPr>
                <w:rStyle w:val="CommentReference"/>
                <w:rFonts w:cs="Calibri"/>
              </w:rPr>
              <w:t>447</w:t>
            </w:r>
          </w:p>
        </w:tc>
        <w:tc>
          <w:tcPr>
            <w:tcW w:w="992" w:type="dxa"/>
          </w:tcPr>
          <w:p w14:paraId="6B3E122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502</w:t>
            </w:r>
          </w:p>
        </w:tc>
        <w:tc>
          <w:tcPr>
            <w:tcW w:w="964" w:type="dxa"/>
          </w:tcPr>
          <w:p w14:paraId="474C62D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698</w:t>
            </w:r>
          </w:p>
        </w:tc>
      </w:tr>
      <w:tr w:rsidR="00E872AA" w:rsidRPr="00E711FA" w14:paraId="065B7C16" w14:textId="77777777" w:rsidTr="00611EB7">
        <w:trPr>
          <w:gridAfter w:val="1"/>
          <w:wAfter w:w="24" w:type="dxa"/>
        </w:trPr>
        <w:tc>
          <w:tcPr>
            <w:tcW w:w="1134" w:type="dxa"/>
          </w:tcPr>
          <w:p w14:paraId="370D8BF2" w14:textId="77777777" w:rsidR="00652773" w:rsidRPr="00D42EDA" w:rsidRDefault="00652773">
            <w:pPr>
              <w:pStyle w:val="TableText"/>
              <w:spacing w:before="30" w:after="30" w:line="240" w:lineRule="auto"/>
              <w:rPr>
                <w:rFonts w:cs="Calibri"/>
                <w:sz w:val="16"/>
                <w:szCs w:val="16"/>
              </w:rPr>
            </w:pPr>
            <w:r w:rsidRPr="00D42EDA">
              <w:rPr>
                <w:rFonts w:cs="Calibri"/>
                <w:sz w:val="16"/>
                <w:szCs w:val="16"/>
              </w:rPr>
              <w:t xml:space="preserve">One Billion Trees </w:t>
            </w:r>
          </w:p>
        </w:tc>
        <w:tc>
          <w:tcPr>
            <w:tcW w:w="1985" w:type="dxa"/>
          </w:tcPr>
          <w:p w14:paraId="1DBE994F" w14:textId="77777777" w:rsidR="00652773" w:rsidRPr="00D42EDA" w:rsidRDefault="00652773">
            <w:pPr>
              <w:pStyle w:val="TableText"/>
              <w:spacing w:before="30" w:after="30" w:line="240" w:lineRule="auto"/>
              <w:rPr>
                <w:rFonts w:cs="Calibri"/>
                <w:sz w:val="16"/>
                <w:szCs w:val="16"/>
              </w:rPr>
            </w:pPr>
            <w:r w:rsidRPr="00D42EDA">
              <w:rPr>
                <w:rFonts w:cs="Calibri"/>
                <w:sz w:val="16"/>
                <w:szCs w:val="16"/>
              </w:rPr>
              <w:t>This $176.8 million fund ran for three years from August 2018 until its closure on 30 June 2021. Existing funding agreements extend into the future and will receive continued support and relationship management as these projects progress to completion.</w:t>
            </w:r>
          </w:p>
        </w:tc>
        <w:tc>
          <w:tcPr>
            <w:tcW w:w="1701" w:type="dxa"/>
          </w:tcPr>
          <w:p w14:paraId="340C2FBC" w14:textId="77777777" w:rsidR="00652773" w:rsidRPr="00D42EDA" w:rsidRDefault="00652773">
            <w:pPr>
              <w:pStyle w:val="TableText"/>
              <w:spacing w:before="30" w:after="30" w:line="240" w:lineRule="auto"/>
              <w:rPr>
                <w:rFonts w:cs="Calibri"/>
                <w:sz w:val="16"/>
                <w:szCs w:val="16"/>
              </w:rPr>
            </w:pPr>
            <w:r w:rsidRPr="00D42EDA">
              <w:rPr>
                <w:rFonts w:cs="Calibri"/>
                <w:sz w:val="16"/>
                <w:szCs w:val="16"/>
              </w:rPr>
              <w:t>Increase tree planting across New Zealand to contribute to the wider programme’s goal of reaching 1 billion trees planted by 2028.</w:t>
            </w:r>
          </w:p>
        </w:tc>
        <w:tc>
          <w:tcPr>
            <w:tcW w:w="992" w:type="dxa"/>
          </w:tcPr>
          <w:p w14:paraId="52901670" w14:textId="77777777" w:rsidR="00652773" w:rsidRPr="00D42EDA" w:rsidRDefault="00652773">
            <w:pPr>
              <w:pStyle w:val="TableText"/>
              <w:spacing w:before="30" w:after="30" w:line="240" w:lineRule="auto"/>
              <w:rPr>
                <w:rFonts w:cs="Calibri"/>
                <w:sz w:val="16"/>
                <w:szCs w:val="16"/>
              </w:rPr>
            </w:pPr>
            <w:r w:rsidRPr="00D42EDA">
              <w:rPr>
                <w:rFonts w:cs="Calibri"/>
                <w:sz w:val="16"/>
                <w:szCs w:val="16"/>
              </w:rPr>
              <w:t>Economic instrument</w:t>
            </w:r>
          </w:p>
        </w:tc>
        <w:tc>
          <w:tcPr>
            <w:tcW w:w="1134" w:type="dxa"/>
          </w:tcPr>
          <w:p w14:paraId="7CB9AA0A" w14:textId="77777777" w:rsidR="00652773" w:rsidRPr="00D42EDA" w:rsidRDefault="00652773">
            <w:pPr>
              <w:pStyle w:val="TableText"/>
              <w:spacing w:before="30" w:after="30" w:line="240" w:lineRule="auto"/>
              <w:rPr>
                <w:rFonts w:cs="Calibri"/>
                <w:sz w:val="16"/>
                <w:szCs w:val="16"/>
              </w:rPr>
            </w:pPr>
            <w:r w:rsidRPr="00D42EDA">
              <w:rPr>
                <w:rFonts w:cs="Calibri"/>
                <w:sz w:val="16"/>
                <w:szCs w:val="16"/>
              </w:rPr>
              <w:t>Implemented</w:t>
            </w:r>
          </w:p>
        </w:tc>
        <w:tc>
          <w:tcPr>
            <w:tcW w:w="1134" w:type="dxa"/>
          </w:tcPr>
          <w:p w14:paraId="79BD3C4A" w14:textId="77777777" w:rsidR="00652773" w:rsidRPr="00D42EDA" w:rsidRDefault="00652773">
            <w:pPr>
              <w:pStyle w:val="TableText"/>
              <w:spacing w:before="30" w:after="30" w:line="240" w:lineRule="auto"/>
              <w:rPr>
                <w:rFonts w:cs="Calibri"/>
                <w:sz w:val="16"/>
                <w:szCs w:val="16"/>
              </w:rPr>
            </w:pPr>
            <w:r w:rsidRPr="00D42EDA">
              <w:rPr>
                <w:rFonts w:cs="Calibri"/>
                <w:sz w:val="16"/>
                <w:szCs w:val="16"/>
              </w:rPr>
              <w:t>LULUCF</w:t>
            </w:r>
          </w:p>
        </w:tc>
        <w:tc>
          <w:tcPr>
            <w:tcW w:w="1276" w:type="dxa"/>
          </w:tcPr>
          <w:p w14:paraId="6BBECA0F" w14:textId="77777777" w:rsidR="00652773" w:rsidRPr="00D42EDA" w:rsidRDefault="00652773">
            <w:pPr>
              <w:pStyle w:val="TableText"/>
              <w:spacing w:before="30" w:after="3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115A7FF0" w14:textId="77777777" w:rsidR="00652773" w:rsidRPr="00D42EDA" w:rsidRDefault="00652773">
            <w:pPr>
              <w:pStyle w:val="TableText"/>
              <w:spacing w:before="30" w:after="30" w:line="240" w:lineRule="auto"/>
              <w:rPr>
                <w:rFonts w:cs="Calibri"/>
                <w:sz w:val="16"/>
                <w:szCs w:val="16"/>
              </w:rPr>
            </w:pPr>
            <w:r w:rsidRPr="00D42EDA">
              <w:rPr>
                <w:rFonts w:cs="Calibri"/>
                <w:sz w:val="16"/>
                <w:szCs w:val="16"/>
              </w:rPr>
              <w:t>2018</w:t>
            </w:r>
          </w:p>
        </w:tc>
        <w:tc>
          <w:tcPr>
            <w:tcW w:w="1418" w:type="dxa"/>
          </w:tcPr>
          <w:p w14:paraId="57EACF9C" w14:textId="77777777" w:rsidR="00652773" w:rsidRPr="00D42EDA" w:rsidRDefault="00652773">
            <w:pPr>
              <w:pStyle w:val="TableText"/>
              <w:spacing w:before="30" w:after="30" w:line="240" w:lineRule="auto"/>
              <w:rPr>
                <w:rFonts w:cs="Calibri"/>
                <w:sz w:val="16"/>
                <w:szCs w:val="16"/>
              </w:rPr>
            </w:pPr>
            <w:r w:rsidRPr="00D42EDA">
              <w:rPr>
                <w:rFonts w:cs="Calibri"/>
                <w:sz w:val="16"/>
                <w:szCs w:val="16"/>
              </w:rPr>
              <w:t>Ministry for Primary Industries</w:t>
            </w:r>
          </w:p>
        </w:tc>
        <w:tc>
          <w:tcPr>
            <w:tcW w:w="992" w:type="dxa"/>
          </w:tcPr>
          <w:p w14:paraId="662B8111" w14:textId="77777777" w:rsidR="00652773" w:rsidRPr="00D42EDA" w:rsidRDefault="00652773">
            <w:pPr>
              <w:pStyle w:val="TableText"/>
              <w:spacing w:before="30" w:after="30" w:line="240" w:lineRule="auto"/>
              <w:rPr>
                <w:rFonts w:cs="Calibri"/>
                <w:sz w:val="16"/>
                <w:szCs w:val="16"/>
              </w:rPr>
            </w:pPr>
            <w:r w:rsidRPr="00D42EDA">
              <w:rPr>
                <w:rFonts w:cs="Calibri"/>
                <w:sz w:val="16"/>
                <w:szCs w:val="16"/>
              </w:rPr>
              <w:t>NE</w:t>
            </w:r>
          </w:p>
        </w:tc>
        <w:tc>
          <w:tcPr>
            <w:tcW w:w="992" w:type="dxa"/>
          </w:tcPr>
          <w:p w14:paraId="2E034A82" w14:textId="77777777" w:rsidR="00652773" w:rsidRPr="00D42EDA" w:rsidRDefault="00652773">
            <w:pPr>
              <w:pStyle w:val="TableText"/>
              <w:spacing w:before="30" w:after="30" w:line="240" w:lineRule="auto"/>
              <w:rPr>
                <w:rFonts w:cs="Calibri"/>
                <w:sz w:val="16"/>
                <w:szCs w:val="16"/>
              </w:rPr>
            </w:pPr>
            <w:r w:rsidRPr="00D42EDA">
              <w:rPr>
                <w:rFonts w:cs="Calibri"/>
                <w:sz w:val="16"/>
                <w:szCs w:val="16"/>
              </w:rPr>
              <w:t>NE</w:t>
            </w:r>
          </w:p>
        </w:tc>
        <w:tc>
          <w:tcPr>
            <w:tcW w:w="964" w:type="dxa"/>
          </w:tcPr>
          <w:p w14:paraId="4F4E3531" w14:textId="77777777" w:rsidR="00652773" w:rsidRPr="00D42EDA" w:rsidRDefault="00652773">
            <w:pPr>
              <w:pStyle w:val="TableText"/>
              <w:spacing w:before="30" w:after="30" w:line="240" w:lineRule="auto"/>
              <w:rPr>
                <w:rFonts w:cs="Calibri"/>
                <w:sz w:val="16"/>
                <w:szCs w:val="16"/>
              </w:rPr>
            </w:pPr>
            <w:r w:rsidRPr="00D42EDA">
              <w:rPr>
                <w:rFonts w:cs="Calibri"/>
                <w:sz w:val="16"/>
                <w:szCs w:val="16"/>
              </w:rPr>
              <w:t>NE</w:t>
            </w:r>
          </w:p>
        </w:tc>
      </w:tr>
      <w:tr w:rsidR="00E872AA" w:rsidRPr="00E711FA" w14:paraId="35F913A6" w14:textId="77777777" w:rsidTr="00611EB7">
        <w:trPr>
          <w:gridAfter w:val="1"/>
          <w:wAfter w:w="24" w:type="dxa"/>
        </w:trPr>
        <w:tc>
          <w:tcPr>
            <w:tcW w:w="1134" w:type="dxa"/>
          </w:tcPr>
          <w:p w14:paraId="7EB3FEF4"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Sustainable Land Management Hill Country Erosion Programme</w:t>
            </w:r>
          </w:p>
        </w:tc>
        <w:tc>
          <w:tcPr>
            <w:tcW w:w="1985" w:type="dxa"/>
          </w:tcPr>
          <w:p w14:paraId="5A48C1DD"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The programme currently provides up to NZ$6.3 million of targeted funding support annually to regional and unitary councils. The purpose of the programme is to speed up the rate of treatment of erosion-prone land.</w:t>
            </w:r>
          </w:p>
        </w:tc>
        <w:tc>
          <w:tcPr>
            <w:tcW w:w="1701" w:type="dxa"/>
          </w:tcPr>
          <w:p w14:paraId="3442126E"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Protect New Zealand’s estimated 1.4 million hectares of pastoral hill country that is classified as erosion prone.</w:t>
            </w:r>
          </w:p>
        </w:tc>
        <w:tc>
          <w:tcPr>
            <w:tcW w:w="992" w:type="dxa"/>
          </w:tcPr>
          <w:p w14:paraId="65C9C2F3"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Economic instrument</w:t>
            </w:r>
          </w:p>
        </w:tc>
        <w:tc>
          <w:tcPr>
            <w:tcW w:w="1134" w:type="dxa"/>
          </w:tcPr>
          <w:p w14:paraId="0848DEF0"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Implemented</w:t>
            </w:r>
          </w:p>
        </w:tc>
        <w:tc>
          <w:tcPr>
            <w:tcW w:w="1134" w:type="dxa"/>
          </w:tcPr>
          <w:p w14:paraId="6E9D5DEC"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LULUCF</w:t>
            </w:r>
          </w:p>
        </w:tc>
        <w:tc>
          <w:tcPr>
            <w:tcW w:w="1276" w:type="dxa"/>
          </w:tcPr>
          <w:p w14:paraId="2629248A"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136B9B13"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2007</w:t>
            </w:r>
          </w:p>
        </w:tc>
        <w:tc>
          <w:tcPr>
            <w:tcW w:w="1418" w:type="dxa"/>
          </w:tcPr>
          <w:p w14:paraId="2228F2AF"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Ministry for Primary Industries</w:t>
            </w:r>
          </w:p>
        </w:tc>
        <w:tc>
          <w:tcPr>
            <w:tcW w:w="992" w:type="dxa"/>
          </w:tcPr>
          <w:p w14:paraId="17F2E1B1"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180</w:t>
            </w:r>
          </w:p>
        </w:tc>
        <w:tc>
          <w:tcPr>
            <w:tcW w:w="992" w:type="dxa"/>
          </w:tcPr>
          <w:p w14:paraId="5BC90D07"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211</w:t>
            </w:r>
          </w:p>
        </w:tc>
        <w:tc>
          <w:tcPr>
            <w:tcW w:w="964" w:type="dxa"/>
          </w:tcPr>
          <w:p w14:paraId="4B05BB8E"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871</w:t>
            </w:r>
          </w:p>
        </w:tc>
      </w:tr>
      <w:tr w:rsidR="00E872AA" w:rsidRPr="00E711FA" w14:paraId="25D3F620" w14:textId="77777777" w:rsidTr="00611EB7">
        <w:trPr>
          <w:gridAfter w:val="1"/>
          <w:wAfter w:w="24" w:type="dxa"/>
        </w:trPr>
        <w:tc>
          <w:tcPr>
            <w:tcW w:w="1134" w:type="dxa"/>
          </w:tcPr>
          <w:p w14:paraId="2F7391B6"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Erosion Control Funding Programme</w:t>
            </w:r>
          </w:p>
        </w:tc>
        <w:tc>
          <w:tcPr>
            <w:tcW w:w="1985" w:type="dxa"/>
          </w:tcPr>
          <w:p w14:paraId="7FA9B4C0"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 xml:space="preserve">Land owner grants can be used to control erosion on erosion-prone land in the Tairāwhiti district, by providing effective tree cover through planting or encouraging natural reversion to native bush. </w:t>
            </w:r>
          </w:p>
        </w:tc>
        <w:tc>
          <w:tcPr>
            <w:tcW w:w="1701" w:type="dxa"/>
          </w:tcPr>
          <w:p w14:paraId="2C882E73"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Provide funding to land owners to prevent and control erosion.</w:t>
            </w:r>
          </w:p>
        </w:tc>
        <w:tc>
          <w:tcPr>
            <w:tcW w:w="992" w:type="dxa"/>
          </w:tcPr>
          <w:p w14:paraId="7F6ABFA0"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Economic instrument</w:t>
            </w:r>
          </w:p>
        </w:tc>
        <w:tc>
          <w:tcPr>
            <w:tcW w:w="1134" w:type="dxa"/>
          </w:tcPr>
          <w:p w14:paraId="3D4652C3"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Implemented</w:t>
            </w:r>
          </w:p>
        </w:tc>
        <w:tc>
          <w:tcPr>
            <w:tcW w:w="1134" w:type="dxa"/>
          </w:tcPr>
          <w:p w14:paraId="4DE1E392"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LULUCF</w:t>
            </w:r>
          </w:p>
        </w:tc>
        <w:tc>
          <w:tcPr>
            <w:tcW w:w="1276" w:type="dxa"/>
          </w:tcPr>
          <w:p w14:paraId="6DE444FB"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6937556E" w14:textId="77777777" w:rsidR="00652773" w:rsidRPr="00D42EDA" w:rsidRDefault="00652773">
            <w:pPr>
              <w:pStyle w:val="TableText"/>
              <w:spacing w:before="20" w:after="20" w:line="240" w:lineRule="auto"/>
              <w:rPr>
                <w:rFonts w:cs="Calibri"/>
                <w:spacing w:val="-2"/>
                <w:sz w:val="16"/>
                <w:szCs w:val="16"/>
              </w:rPr>
            </w:pPr>
            <w:r w:rsidRPr="00D42EDA">
              <w:rPr>
                <w:rFonts w:cs="Calibri"/>
                <w:spacing w:val="-2"/>
                <w:sz w:val="16"/>
                <w:szCs w:val="16"/>
              </w:rPr>
              <w:t>1993</w:t>
            </w:r>
          </w:p>
        </w:tc>
        <w:tc>
          <w:tcPr>
            <w:tcW w:w="1418" w:type="dxa"/>
          </w:tcPr>
          <w:p w14:paraId="0AD54DBB"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Ministry for Primary Industries</w:t>
            </w:r>
          </w:p>
        </w:tc>
        <w:tc>
          <w:tcPr>
            <w:tcW w:w="992" w:type="dxa"/>
          </w:tcPr>
          <w:p w14:paraId="3413C092"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1,200</w:t>
            </w:r>
          </w:p>
        </w:tc>
        <w:tc>
          <w:tcPr>
            <w:tcW w:w="992" w:type="dxa"/>
          </w:tcPr>
          <w:p w14:paraId="74CF7F5F"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1,152</w:t>
            </w:r>
          </w:p>
        </w:tc>
        <w:tc>
          <w:tcPr>
            <w:tcW w:w="964" w:type="dxa"/>
          </w:tcPr>
          <w:p w14:paraId="575653A6"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1,065</w:t>
            </w:r>
          </w:p>
        </w:tc>
      </w:tr>
      <w:tr w:rsidR="00E872AA" w:rsidRPr="00E711FA" w14:paraId="503B2A55" w14:textId="77777777" w:rsidTr="00611EB7">
        <w:trPr>
          <w:gridAfter w:val="1"/>
          <w:wAfter w:w="24" w:type="dxa"/>
        </w:trPr>
        <w:tc>
          <w:tcPr>
            <w:tcW w:w="1134" w:type="dxa"/>
            <w:tcBorders>
              <w:bottom w:val="single" w:sz="4" w:space="0" w:color="1B556B" w:themeColor="text2"/>
            </w:tcBorders>
          </w:tcPr>
          <w:p w14:paraId="4F95F5E7"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 xml:space="preserve">Permanent Forest Sink Initiative </w:t>
            </w:r>
          </w:p>
        </w:tc>
        <w:tc>
          <w:tcPr>
            <w:tcW w:w="1985" w:type="dxa"/>
            <w:tcBorders>
              <w:bottom w:val="single" w:sz="4" w:space="0" w:color="1B556B" w:themeColor="text2"/>
            </w:tcBorders>
          </w:tcPr>
          <w:p w14:paraId="4707754F" w14:textId="7A7CB1EE" w:rsidR="00652773" w:rsidRPr="00D42EDA" w:rsidRDefault="00652773">
            <w:pPr>
              <w:pStyle w:val="TableText"/>
              <w:spacing w:before="20" w:after="20" w:line="240" w:lineRule="auto"/>
              <w:rPr>
                <w:rFonts w:cs="Calibri"/>
                <w:sz w:val="16"/>
                <w:szCs w:val="16"/>
              </w:rPr>
            </w:pPr>
            <w:r w:rsidRPr="00D42EDA">
              <w:rPr>
                <w:rFonts w:cs="Calibri"/>
                <w:sz w:val="16"/>
                <w:szCs w:val="16"/>
              </w:rPr>
              <w:t>Enable land owners to receive New Zealand Units for permanent forest sinks. It closed in 2023 and was replaced by ‘permanent forestry’ in the ETS.</w:t>
            </w:r>
          </w:p>
        </w:tc>
        <w:tc>
          <w:tcPr>
            <w:tcW w:w="1701" w:type="dxa"/>
            <w:tcBorders>
              <w:bottom w:val="single" w:sz="4" w:space="0" w:color="1B556B" w:themeColor="text2"/>
            </w:tcBorders>
          </w:tcPr>
          <w:p w14:paraId="042C421A" w14:textId="77777777" w:rsidR="00652773" w:rsidRPr="00D42EDA" w:rsidRDefault="00652773">
            <w:pPr>
              <w:pStyle w:val="TableText"/>
              <w:spacing w:before="20" w:after="20" w:line="240" w:lineRule="auto"/>
              <w:rPr>
                <w:rFonts w:cs="Calibri"/>
                <w:sz w:val="16"/>
                <w:szCs w:val="16"/>
                <w:highlight w:val="yellow"/>
              </w:rPr>
            </w:pPr>
            <w:r w:rsidRPr="00D42EDA">
              <w:rPr>
                <w:rFonts w:cs="Calibri"/>
                <w:sz w:val="16"/>
                <w:szCs w:val="16"/>
              </w:rPr>
              <w:t>Incentivise land owners for the creation of permanent forests.</w:t>
            </w:r>
          </w:p>
        </w:tc>
        <w:tc>
          <w:tcPr>
            <w:tcW w:w="992" w:type="dxa"/>
            <w:tcBorders>
              <w:bottom w:val="single" w:sz="4" w:space="0" w:color="1B556B" w:themeColor="text2"/>
            </w:tcBorders>
          </w:tcPr>
          <w:p w14:paraId="30F0903A"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Economic instrument</w:t>
            </w:r>
          </w:p>
        </w:tc>
        <w:tc>
          <w:tcPr>
            <w:tcW w:w="1134" w:type="dxa"/>
            <w:tcBorders>
              <w:bottom w:val="single" w:sz="4" w:space="0" w:color="1B556B" w:themeColor="text2"/>
            </w:tcBorders>
          </w:tcPr>
          <w:p w14:paraId="17D9BE11"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Implemented</w:t>
            </w:r>
          </w:p>
        </w:tc>
        <w:tc>
          <w:tcPr>
            <w:tcW w:w="1134" w:type="dxa"/>
            <w:tcBorders>
              <w:bottom w:val="single" w:sz="4" w:space="0" w:color="1B556B" w:themeColor="text2"/>
            </w:tcBorders>
          </w:tcPr>
          <w:p w14:paraId="175D401C"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LULUCF</w:t>
            </w:r>
          </w:p>
        </w:tc>
        <w:tc>
          <w:tcPr>
            <w:tcW w:w="1276" w:type="dxa"/>
            <w:tcBorders>
              <w:bottom w:val="single" w:sz="4" w:space="0" w:color="1B556B" w:themeColor="text2"/>
            </w:tcBorders>
          </w:tcPr>
          <w:p w14:paraId="6F7132E8"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Borders>
              <w:bottom w:val="single" w:sz="4" w:space="0" w:color="1B556B" w:themeColor="text2"/>
            </w:tcBorders>
          </w:tcPr>
          <w:p w14:paraId="64BAEC15"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2008</w:t>
            </w:r>
          </w:p>
        </w:tc>
        <w:tc>
          <w:tcPr>
            <w:tcW w:w="1418" w:type="dxa"/>
            <w:tcBorders>
              <w:bottom w:val="single" w:sz="4" w:space="0" w:color="1B556B" w:themeColor="text2"/>
            </w:tcBorders>
          </w:tcPr>
          <w:p w14:paraId="71FFE0EE"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Ministry for Primary Industries</w:t>
            </w:r>
          </w:p>
        </w:tc>
        <w:tc>
          <w:tcPr>
            <w:tcW w:w="992" w:type="dxa"/>
            <w:tcBorders>
              <w:bottom w:val="single" w:sz="4" w:space="0" w:color="1B556B" w:themeColor="text2"/>
            </w:tcBorders>
          </w:tcPr>
          <w:p w14:paraId="0064FB9B"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229</w:t>
            </w:r>
          </w:p>
        </w:tc>
        <w:tc>
          <w:tcPr>
            <w:tcW w:w="992" w:type="dxa"/>
            <w:tcBorders>
              <w:bottom w:val="single" w:sz="4" w:space="0" w:color="1B556B" w:themeColor="text2"/>
            </w:tcBorders>
          </w:tcPr>
          <w:p w14:paraId="3D152793"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223</w:t>
            </w:r>
          </w:p>
        </w:tc>
        <w:tc>
          <w:tcPr>
            <w:tcW w:w="964" w:type="dxa"/>
            <w:tcBorders>
              <w:bottom w:val="single" w:sz="4" w:space="0" w:color="1B556B" w:themeColor="text2"/>
            </w:tcBorders>
          </w:tcPr>
          <w:p w14:paraId="6F9C0A11"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156</w:t>
            </w:r>
          </w:p>
        </w:tc>
      </w:tr>
      <w:tr w:rsidR="00E872AA" w:rsidRPr="00E711FA" w14:paraId="5D2B9127" w14:textId="77777777" w:rsidTr="00611EB7">
        <w:trPr>
          <w:gridAfter w:val="1"/>
          <w:wAfter w:w="24" w:type="dxa"/>
        </w:trPr>
        <w:tc>
          <w:tcPr>
            <w:tcW w:w="1134" w:type="dxa"/>
            <w:tcBorders>
              <w:bottom w:val="single" w:sz="4" w:space="0" w:color="1B556B" w:themeColor="text2"/>
            </w:tcBorders>
          </w:tcPr>
          <w:p w14:paraId="08D3D7F9"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Afforestation on Crown-owned land</w:t>
            </w:r>
          </w:p>
        </w:tc>
        <w:tc>
          <w:tcPr>
            <w:tcW w:w="1985" w:type="dxa"/>
            <w:tcBorders>
              <w:bottom w:val="single" w:sz="4" w:space="0" w:color="1B556B" w:themeColor="text2"/>
            </w:tcBorders>
            <w:shd w:val="clear" w:color="auto" w:fill="auto"/>
          </w:tcPr>
          <w:p w14:paraId="42111DCF" w14:textId="4EE9CD53" w:rsidR="00652773" w:rsidRPr="00D42EDA" w:rsidRDefault="00652773">
            <w:pPr>
              <w:pStyle w:val="TableText"/>
              <w:spacing w:before="20" w:after="20" w:line="240" w:lineRule="auto"/>
              <w:rPr>
                <w:rFonts w:cs="Calibri"/>
                <w:sz w:val="16"/>
                <w:szCs w:val="16"/>
              </w:rPr>
            </w:pPr>
            <w:r w:rsidRPr="00D42EDA">
              <w:rPr>
                <w:rFonts w:cs="Calibri"/>
                <w:sz w:val="16"/>
                <w:szCs w:val="16"/>
              </w:rPr>
              <w:t xml:space="preserve">The Government is exploring opportunities to partner with the private sector to plant trees on Crown-owned land (excluding national parks) that is of low conservation value and low farming value. </w:t>
            </w:r>
          </w:p>
        </w:tc>
        <w:tc>
          <w:tcPr>
            <w:tcW w:w="1701" w:type="dxa"/>
            <w:tcBorders>
              <w:bottom w:val="single" w:sz="4" w:space="0" w:color="1B556B" w:themeColor="text2"/>
            </w:tcBorders>
            <w:shd w:val="clear" w:color="auto" w:fill="auto"/>
          </w:tcPr>
          <w:p w14:paraId="25B16A70"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Secure additional net emissions reductions that contribute towards our climate change targets, boost forestry and wood processing, and provide other environmental benefits.</w:t>
            </w:r>
          </w:p>
        </w:tc>
        <w:tc>
          <w:tcPr>
            <w:tcW w:w="992" w:type="dxa"/>
            <w:tcBorders>
              <w:bottom w:val="single" w:sz="4" w:space="0" w:color="1B556B" w:themeColor="text2"/>
            </w:tcBorders>
            <w:shd w:val="clear" w:color="auto" w:fill="auto"/>
          </w:tcPr>
          <w:p w14:paraId="224D152B"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Economic instrument</w:t>
            </w:r>
          </w:p>
        </w:tc>
        <w:tc>
          <w:tcPr>
            <w:tcW w:w="1134" w:type="dxa"/>
            <w:tcBorders>
              <w:bottom w:val="single" w:sz="4" w:space="0" w:color="1B556B" w:themeColor="text2"/>
            </w:tcBorders>
            <w:shd w:val="clear" w:color="auto" w:fill="auto"/>
          </w:tcPr>
          <w:p w14:paraId="0231DB3B"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Planned</w:t>
            </w:r>
          </w:p>
        </w:tc>
        <w:tc>
          <w:tcPr>
            <w:tcW w:w="1134" w:type="dxa"/>
            <w:tcBorders>
              <w:bottom w:val="single" w:sz="4" w:space="0" w:color="1B556B" w:themeColor="text2"/>
            </w:tcBorders>
            <w:shd w:val="clear" w:color="auto" w:fill="auto"/>
          </w:tcPr>
          <w:p w14:paraId="4DB41A49"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LULUCF</w:t>
            </w:r>
          </w:p>
        </w:tc>
        <w:tc>
          <w:tcPr>
            <w:tcW w:w="1276" w:type="dxa"/>
            <w:tcBorders>
              <w:bottom w:val="single" w:sz="4" w:space="0" w:color="1B556B" w:themeColor="text2"/>
            </w:tcBorders>
            <w:shd w:val="clear" w:color="auto" w:fill="auto"/>
          </w:tcPr>
          <w:p w14:paraId="116130AD"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Borders>
              <w:bottom w:val="single" w:sz="4" w:space="0" w:color="1B556B" w:themeColor="text2"/>
            </w:tcBorders>
            <w:shd w:val="clear" w:color="auto" w:fill="auto"/>
          </w:tcPr>
          <w:p w14:paraId="58951245"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2025</w:t>
            </w:r>
          </w:p>
        </w:tc>
        <w:tc>
          <w:tcPr>
            <w:tcW w:w="1418" w:type="dxa"/>
            <w:tcBorders>
              <w:bottom w:val="single" w:sz="4" w:space="0" w:color="1B556B" w:themeColor="text2"/>
            </w:tcBorders>
            <w:shd w:val="clear" w:color="auto" w:fill="auto"/>
          </w:tcPr>
          <w:p w14:paraId="69EACE76"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Ministry for Primary Industries</w:t>
            </w:r>
          </w:p>
        </w:tc>
        <w:tc>
          <w:tcPr>
            <w:tcW w:w="992" w:type="dxa"/>
            <w:tcBorders>
              <w:bottom w:val="single" w:sz="4" w:space="0" w:color="1B556B" w:themeColor="text2"/>
            </w:tcBorders>
          </w:tcPr>
          <w:p w14:paraId="6FFF6632"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NE</w:t>
            </w:r>
          </w:p>
        </w:tc>
        <w:tc>
          <w:tcPr>
            <w:tcW w:w="992" w:type="dxa"/>
            <w:tcBorders>
              <w:bottom w:val="single" w:sz="4" w:space="0" w:color="1B556B" w:themeColor="text2"/>
            </w:tcBorders>
          </w:tcPr>
          <w:p w14:paraId="34008A7F"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NE</w:t>
            </w:r>
          </w:p>
        </w:tc>
        <w:tc>
          <w:tcPr>
            <w:tcW w:w="964" w:type="dxa"/>
            <w:tcBorders>
              <w:bottom w:val="single" w:sz="4" w:space="0" w:color="1B556B" w:themeColor="text2"/>
            </w:tcBorders>
          </w:tcPr>
          <w:p w14:paraId="13CDE735"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NE</w:t>
            </w:r>
          </w:p>
        </w:tc>
      </w:tr>
      <w:tr w:rsidR="00E872AA" w:rsidRPr="00E711FA" w14:paraId="7C152AE0" w14:textId="77777777" w:rsidTr="00611EB7">
        <w:trPr>
          <w:gridAfter w:val="1"/>
          <w:wAfter w:w="24" w:type="dxa"/>
        </w:trPr>
        <w:tc>
          <w:tcPr>
            <w:tcW w:w="1134" w:type="dxa"/>
          </w:tcPr>
          <w:p w14:paraId="6B6C6825" w14:textId="77777777" w:rsidR="00652773" w:rsidRPr="00D42EDA" w:rsidRDefault="00652773">
            <w:pPr>
              <w:pStyle w:val="TableText"/>
              <w:keepNext/>
              <w:spacing w:before="20" w:after="20" w:line="240" w:lineRule="auto"/>
              <w:rPr>
                <w:rFonts w:cs="Calibri"/>
                <w:sz w:val="16"/>
                <w:szCs w:val="16"/>
              </w:rPr>
            </w:pPr>
            <w:r w:rsidRPr="00D42EDA">
              <w:rPr>
                <w:rFonts w:cs="Calibri"/>
                <w:sz w:val="16"/>
                <w:szCs w:val="16"/>
              </w:rPr>
              <w:t>Woody biomass for bioenergy</w:t>
            </w:r>
          </w:p>
        </w:tc>
        <w:tc>
          <w:tcPr>
            <w:tcW w:w="1985" w:type="dxa"/>
            <w:shd w:val="clear" w:color="auto" w:fill="auto"/>
          </w:tcPr>
          <w:p w14:paraId="38E4519F"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Investment in commercial planting to increase the supply of biomass, research into alternative biomass crops and effective forest waste recovery for biomass.</w:t>
            </w:r>
          </w:p>
        </w:tc>
        <w:tc>
          <w:tcPr>
            <w:tcW w:w="1701" w:type="dxa"/>
            <w:shd w:val="clear" w:color="auto" w:fill="auto"/>
          </w:tcPr>
          <w:p w14:paraId="2A1C161B"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Directly increase biomass supply and stimulate private sector investment to create further supply.</w:t>
            </w:r>
          </w:p>
        </w:tc>
        <w:tc>
          <w:tcPr>
            <w:tcW w:w="992" w:type="dxa"/>
            <w:shd w:val="clear" w:color="auto" w:fill="auto"/>
          </w:tcPr>
          <w:p w14:paraId="1288DF61"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Economic instrument</w:t>
            </w:r>
          </w:p>
        </w:tc>
        <w:tc>
          <w:tcPr>
            <w:tcW w:w="1134" w:type="dxa"/>
            <w:shd w:val="clear" w:color="auto" w:fill="auto"/>
          </w:tcPr>
          <w:p w14:paraId="27EE505A"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Implemented</w:t>
            </w:r>
          </w:p>
        </w:tc>
        <w:tc>
          <w:tcPr>
            <w:tcW w:w="1134" w:type="dxa"/>
            <w:shd w:val="clear" w:color="auto" w:fill="auto"/>
          </w:tcPr>
          <w:p w14:paraId="7C8D4470"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LULUCF</w:t>
            </w:r>
          </w:p>
        </w:tc>
        <w:tc>
          <w:tcPr>
            <w:tcW w:w="1276" w:type="dxa"/>
            <w:shd w:val="clear" w:color="auto" w:fill="auto"/>
          </w:tcPr>
          <w:p w14:paraId="52878249"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shd w:val="clear" w:color="auto" w:fill="auto"/>
          </w:tcPr>
          <w:p w14:paraId="339DFF44" w14:textId="77777777" w:rsidR="00652773" w:rsidRPr="00D42EDA" w:rsidRDefault="00652773" w:rsidP="00611EB7">
            <w:pPr>
              <w:pStyle w:val="TableText"/>
              <w:spacing w:before="20" w:after="20" w:line="240" w:lineRule="auto"/>
              <w:rPr>
                <w:rFonts w:cs="Calibri"/>
                <w:sz w:val="16"/>
                <w:szCs w:val="16"/>
              </w:rPr>
            </w:pPr>
            <w:r w:rsidRPr="00D42EDA">
              <w:rPr>
                <w:rFonts w:cs="Calibri"/>
                <w:sz w:val="16"/>
                <w:szCs w:val="16"/>
              </w:rPr>
              <w:t xml:space="preserve">2023 </w:t>
            </w:r>
          </w:p>
          <w:p w14:paraId="4F5697E3" w14:textId="77777777" w:rsidR="00652773" w:rsidRPr="00D42EDA" w:rsidRDefault="00652773">
            <w:pPr>
              <w:pStyle w:val="TableText"/>
              <w:spacing w:before="20" w:after="20" w:line="240" w:lineRule="auto"/>
              <w:rPr>
                <w:rFonts w:cs="Calibri"/>
                <w:sz w:val="16"/>
                <w:szCs w:val="16"/>
              </w:rPr>
            </w:pPr>
          </w:p>
        </w:tc>
        <w:tc>
          <w:tcPr>
            <w:tcW w:w="1418" w:type="dxa"/>
            <w:shd w:val="clear" w:color="auto" w:fill="auto"/>
          </w:tcPr>
          <w:p w14:paraId="480DC48B"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Ministry for Primary Industries</w:t>
            </w:r>
          </w:p>
        </w:tc>
        <w:tc>
          <w:tcPr>
            <w:tcW w:w="992" w:type="dxa"/>
          </w:tcPr>
          <w:p w14:paraId="5339E39C"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NE</w:t>
            </w:r>
          </w:p>
        </w:tc>
        <w:tc>
          <w:tcPr>
            <w:tcW w:w="992" w:type="dxa"/>
          </w:tcPr>
          <w:p w14:paraId="6EDDACB7"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NE</w:t>
            </w:r>
          </w:p>
        </w:tc>
        <w:tc>
          <w:tcPr>
            <w:tcW w:w="964" w:type="dxa"/>
          </w:tcPr>
          <w:p w14:paraId="4937C88A"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NE</w:t>
            </w:r>
          </w:p>
        </w:tc>
      </w:tr>
      <w:tr w:rsidR="00E872AA" w:rsidRPr="00E711FA" w14:paraId="075A09FB" w14:textId="77777777" w:rsidTr="00611EB7">
        <w:trPr>
          <w:gridAfter w:val="1"/>
          <w:wAfter w:w="24" w:type="dxa"/>
        </w:trPr>
        <w:tc>
          <w:tcPr>
            <w:tcW w:w="1134" w:type="dxa"/>
          </w:tcPr>
          <w:p w14:paraId="531ABDE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Maximising forest carbon programme</w:t>
            </w:r>
          </w:p>
        </w:tc>
        <w:tc>
          <w:tcPr>
            <w:tcW w:w="1985" w:type="dxa"/>
          </w:tcPr>
          <w:p w14:paraId="43F4EBF6" w14:textId="77777777" w:rsidR="00652773" w:rsidRPr="00D42EDA" w:rsidRDefault="00652773">
            <w:pPr>
              <w:pStyle w:val="TableText"/>
              <w:spacing w:before="40" w:after="40" w:line="240" w:lineRule="auto"/>
              <w:rPr>
                <w:rFonts w:cs="Calibri"/>
                <w:sz w:val="16"/>
                <w:szCs w:val="16"/>
              </w:rPr>
            </w:pPr>
            <w:r w:rsidRPr="00D42EDA">
              <w:rPr>
                <w:rFonts w:cs="Calibri"/>
                <w:sz w:val="16"/>
                <w:szCs w:val="16"/>
                <w:lang w:eastAsia="en-US"/>
              </w:rPr>
              <w:t>Maximise carbon stored in new and existing forests. Expand NZ ETS look-up tables to more accurately reflect carbon stock changes and explore the feasibility of measuring carbon with remote-sensing tools.</w:t>
            </w:r>
          </w:p>
        </w:tc>
        <w:tc>
          <w:tcPr>
            <w:tcW w:w="1701" w:type="dxa"/>
          </w:tcPr>
          <w:p w14:paraId="260D256B" w14:textId="77777777" w:rsidR="00652773" w:rsidRPr="00D42EDA" w:rsidRDefault="00652773">
            <w:pPr>
              <w:pStyle w:val="TableText"/>
              <w:spacing w:before="40" w:after="40" w:line="240" w:lineRule="auto"/>
              <w:rPr>
                <w:rFonts w:cs="Calibri"/>
                <w:sz w:val="16"/>
                <w:szCs w:val="16"/>
              </w:rPr>
            </w:pPr>
            <w:r w:rsidRPr="00D42EDA">
              <w:rPr>
                <w:rFonts w:cs="Calibri"/>
                <w:sz w:val="16"/>
                <w:szCs w:val="16"/>
                <w:lang w:eastAsia="en-US"/>
              </w:rPr>
              <w:t xml:space="preserve">Support the increased sequestration of forest carbon. </w:t>
            </w:r>
          </w:p>
        </w:tc>
        <w:tc>
          <w:tcPr>
            <w:tcW w:w="992" w:type="dxa"/>
          </w:tcPr>
          <w:p w14:paraId="616146A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Economic instrument</w:t>
            </w:r>
          </w:p>
        </w:tc>
        <w:tc>
          <w:tcPr>
            <w:tcW w:w="1134" w:type="dxa"/>
          </w:tcPr>
          <w:p w14:paraId="6BE1154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Planned</w:t>
            </w:r>
          </w:p>
        </w:tc>
        <w:tc>
          <w:tcPr>
            <w:tcW w:w="1134" w:type="dxa"/>
          </w:tcPr>
          <w:p w14:paraId="34FAABC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LULUCF</w:t>
            </w:r>
          </w:p>
        </w:tc>
        <w:tc>
          <w:tcPr>
            <w:tcW w:w="1276" w:type="dxa"/>
          </w:tcPr>
          <w:p w14:paraId="0F9D8AF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29E85DF3" w14:textId="77777777" w:rsidR="00652773" w:rsidRPr="00D42EDA" w:rsidRDefault="00652773" w:rsidP="003C46A4">
            <w:pPr>
              <w:pStyle w:val="TableText"/>
              <w:spacing w:before="40" w:after="40" w:line="240" w:lineRule="auto"/>
              <w:rPr>
                <w:rFonts w:cs="Calibri"/>
                <w:sz w:val="16"/>
                <w:szCs w:val="16"/>
              </w:rPr>
            </w:pPr>
            <w:r w:rsidRPr="00D42EDA">
              <w:rPr>
                <w:rFonts w:cs="Calibri"/>
                <w:sz w:val="16"/>
                <w:szCs w:val="16"/>
              </w:rPr>
              <w:t>2022</w:t>
            </w:r>
          </w:p>
        </w:tc>
        <w:tc>
          <w:tcPr>
            <w:tcW w:w="1418" w:type="dxa"/>
          </w:tcPr>
          <w:p w14:paraId="52690CA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Primary Industries</w:t>
            </w:r>
          </w:p>
        </w:tc>
        <w:tc>
          <w:tcPr>
            <w:tcW w:w="992" w:type="dxa"/>
          </w:tcPr>
          <w:p w14:paraId="2317CA5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62BA841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286A0BF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7B423919" w14:textId="77777777" w:rsidTr="00611EB7">
        <w:trPr>
          <w:gridAfter w:val="1"/>
          <w:wAfter w:w="24" w:type="dxa"/>
        </w:trPr>
        <w:tc>
          <w:tcPr>
            <w:tcW w:w="1134" w:type="dxa"/>
            <w:tcBorders>
              <w:bottom w:val="single" w:sz="4" w:space="0" w:color="1B556B" w:themeColor="text2"/>
            </w:tcBorders>
            <w:shd w:val="clear" w:color="auto" w:fill="auto"/>
          </w:tcPr>
          <w:p w14:paraId="243D905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National Environmental Standards for Commercial Forestry</w:t>
            </w:r>
          </w:p>
        </w:tc>
        <w:tc>
          <w:tcPr>
            <w:tcW w:w="1985" w:type="dxa"/>
            <w:tcBorders>
              <w:bottom w:val="single" w:sz="4" w:space="0" w:color="1B556B" w:themeColor="text2"/>
            </w:tcBorders>
          </w:tcPr>
          <w:p w14:paraId="68D72F3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These regulations under the Resource Management Act 1991 are the main forestry management rules for commercial forestry activities in New Zealand, including afforestation and harvesting. Changes to the National Environmental Standards for Commercial Forestry were completed in November 2023.</w:t>
            </w:r>
          </w:p>
        </w:tc>
        <w:tc>
          <w:tcPr>
            <w:tcW w:w="1701" w:type="dxa"/>
            <w:tcBorders>
              <w:bottom w:val="single" w:sz="4" w:space="0" w:color="1B556B" w:themeColor="text2"/>
            </w:tcBorders>
          </w:tcPr>
          <w:p w14:paraId="223C755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Ensure the environmental effects of commercial forestry are managed.</w:t>
            </w:r>
          </w:p>
        </w:tc>
        <w:tc>
          <w:tcPr>
            <w:tcW w:w="992" w:type="dxa"/>
            <w:tcBorders>
              <w:bottom w:val="single" w:sz="4" w:space="0" w:color="1B556B" w:themeColor="text2"/>
            </w:tcBorders>
          </w:tcPr>
          <w:p w14:paraId="046DF18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Regulatory</w:t>
            </w:r>
          </w:p>
        </w:tc>
        <w:tc>
          <w:tcPr>
            <w:tcW w:w="1134" w:type="dxa"/>
            <w:tcBorders>
              <w:bottom w:val="single" w:sz="4" w:space="0" w:color="1B556B" w:themeColor="text2"/>
            </w:tcBorders>
          </w:tcPr>
          <w:p w14:paraId="08D6C17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Borders>
              <w:bottom w:val="single" w:sz="4" w:space="0" w:color="1B556B" w:themeColor="text2"/>
            </w:tcBorders>
            <w:shd w:val="clear" w:color="auto" w:fill="auto"/>
          </w:tcPr>
          <w:p w14:paraId="31C9101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LULUCF</w:t>
            </w:r>
          </w:p>
        </w:tc>
        <w:tc>
          <w:tcPr>
            <w:tcW w:w="1276" w:type="dxa"/>
            <w:tcBorders>
              <w:bottom w:val="single" w:sz="4" w:space="0" w:color="1B556B" w:themeColor="text2"/>
            </w:tcBorders>
            <w:shd w:val="clear" w:color="auto" w:fill="auto"/>
          </w:tcPr>
          <w:p w14:paraId="097BAAC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Borders>
              <w:bottom w:val="single" w:sz="4" w:space="0" w:color="1B556B" w:themeColor="text2"/>
            </w:tcBorders>
            <w:shd w:val="clear" w:color="auto" w:fill="auto"/>
          </w:tcPr>
          <w:p w14:paraId="6853A5B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2023</w:t>
            </w:r>
          </w:p>
        </w:tc>
        <w:tc>
          <w:tcPr>
            <w:tcW w:w="1418" w:type="dxa"/>
            <w:tcBorders>
              <w:bottom w:val="single" w:sz="4" w:space="0" w:color="1B556B" w:themeColor="text2"/>
            </w:tcBorders>
            <w:shd w:val="clear" w:color="auto" w:fill="auto"/>
          </w:tcPr>
          <w:p w14:paraId="6C09C01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the Environment, Ministry for Primary Industries</w:t>
            </w:r>
          </w:p>
        </w:tc>
        <w:tc>
          <w:tcPr>
            <w:tcW w:w="992" w:type="dxa"/>
            <w:tcBorders>
              <w:bottom w:val="single" w:sz="4" w:space="0" w:color="1B556B" w:themeColor="text2"/>
            </w:tcBorders>
          </w:tcPr>
          <w:p w14:paraId="4D1A0A71" w14:textId="77777777" w:rsidR="00652773" w:rsidRPr="00D42EDA" w:rsidRDefault="00652773">
            <w:pPr>
              <w:pStyle w:val="TableText"/>
              <w:spacing w:before="40" w:after="40" w:line="240" w:lineRule="auto"/>
              <w:rPr>
                <w:rStyle w:val="CommentReference"/>
                <w:rFonts w:cs="Calibri"/>
              </w:rPr>
            </w:pPr>
            <w:r w:rsidRPr="00D42EDA">
              <w:rPr>
                <w:rStyle w:val="CommentReference"/>
                <w:rFonts w:cs="Calibri"/>
              </w:rPr>
              <w:t>NE</w:t>
            </w:r>
          </w:p>
        </w:tc>
        <w:tc>
          <w:tcPr>
            <w:tcW w:w="992" w:type="dxa"/>
            <w:tcBorders>
              <w:bottom w:val="single" w:sz="4" w:space="0" w:color="1B556B" w:themeColor="text2"/>
            </w:tcBorders>
            <w:shd w:val="clear" w:color="auto" w:fill="auto"/>
          </w:tcPr>
          <w:p w14:paraId="7B0F68C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Borders>
              <w:bottom w:val="single" w:sz="4" w:space="0" w:color="1B556B" w:themeColor="text2"/>
            </w:tcBorders>
            <w:shd w:val="clear" w:color="auto" w:fill="auto"/>
          </w:tcPr>
          <w:p w14:paraId="1934022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AD3845" w:rsidRPr="00D42EDA" w14:paraId="5F3007F6" w14:textId="77777777" w:rsidTr="00692400">
        <w:trPr>
          <w:gridAfter w:val="1"/>
          <w:wAfter w:w="24" w:type="dxa"/>
        </w:trPr>
        <w:tc>
          <w:tcPr>
            <w:tcW w:w="14572" w:type="dxa"/>
            <w:gridSpan w:val="12"/>
            <w:shd w:val="clear" w:color="auto" w:fill="D2DDE1" w:themeFill="background2"/>
          </w:tcPr>
          <w:p w14:paraId="36D68819" w14:textId="37C99B5A" w:rsidR="00AD3845" w:rsidRPr="00D42EDA" w:rsidRDefault="0024610E" w:rsidP="00AD3845">
            <w:pPr>
              <w:pStyle w:val="TableText"/>
              <w:spacing w:before="40" w:after="40" w:line="240" w:lineRule="auto"/>
              <w:rPr>
                <w:rFonts w:cs="Calibri"/>
                <w:sz w:val="16"/>
                <w:szCs w:val="16"/>
              </w:rPr>
            </w:pPr>
            <w:r w:rsidRPr="00D42EDA">
              <w:rPr>
                <w:rFonts w:cs="Calibri"/>
                <w:b/>
                <w:sz w:val="16"/>
                <w:szCs w:val="16"/>
              </w:rPr>
              <w:t>Waste</w:t>
            </w:r>
          </w:p>
        </w:tc>
      </w:tr>
      <w:tr w:rsidR="00E872AA" w:rsidRPr="00E711FA" w14:paraId="330122AB" w14:textId="77777777" w:rsidTr="00611EB7">
        <w:trPr>
          <w:gridAfter w:val="1"/>
          <w:wAfter w:w="24" w:type="dxa"/>
        </w:trPr>
        <w:tc>
          <w:tcPr>
            <w:tcW w:w="1134" w:type="dxa"/>
            <w:shd w:val="clear" w:color="auto" w:fill="auto"/>
          </w:tcPr>
          <w:p w14:paraId="3A13CA4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Food waste reduction (behaviour change)</w:t>
            </w:r>
          </w:p>
        </w:tc>
        <w:tc>
          <w:tcPr>
            <w:tcW w:w="1985" w:type="dxa"/>
          </w:tcPr>
          <w:p w14:paraId="244432E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Encourage behaviour to prevent waste at home.</w:t>
            </w:r>
          </w:p>
        </w:tc>
        <w:tc>
          <w:tcPr>
            <w:tcW w:w="1701" w:type="dxa"/>
          </w:tcPr>
          <w:p w14:paraId="6760ABD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Enable households and businesses to reduce organic waste.</w:t>
            </w:r>
          </w:p>
        </w:tc>
        <w:tc>
          <w:tcPr>
            <w:tcW w:w="992" w:type="dxa"/>
          </w:tcPr>
          <w:p w14:paraId="02AD499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Regulatory, economic instrument </w:t>
            </w:r>
          </w:p>
        </w:tc>
        <w:tc>
          <w:tcPr>
            <w:tcW w:w="1134" w:type="dxa"/>
          </w:tcPr>
          <w:p w14:paraId="4CED3B0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shd w:val="clear" w:color="auto" w:fill="auto"/>
          </w:tcPr>
          <w:p w14:paraId="43FEBAE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Waste management</w:t>
            </w:r>
          </w:p>
        </w:tc>
        <w:tc>
          <w:tcPr>
            <w:tcW w:w="1276" w:type="dxa"/>
            <w:shd w:val="clear" w:color="auto" w:fill="auto"/>
          </w:tcPr>
          <w:p w14:paraId="1E556A0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CH</w:t>
            </w:r>
            <w:r w:rsidRPr="00D42EDA">
              <w:rPr>
                <w:rFonts w:cs="Calibri"/>
                <w:sz w:val="16"/>
                <w:szCs w:val="16"/>
                <w:vertAlign w:val="subscript"/>
              </w:rPr>
              <w:t>4</w:t>
            </w:r>
          </w:p>
        </w:tc>
        <w:tc>
          <w:tcPr>
            <w:tcW w:w="850" w:type="dxa"/>
            <w:shd w:val="clear" w:color="auto" w:fill="auto"/>
          </w:tcPr>
          <w:p w14:paraId="4DD1E2F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2023</w:t>
            </w:r>
          </w:p>
        </w:tc>
        <w:tc>
          <w:tcPr>
            <w:tcW w:w="1418" w:type="dxa"/>
            <w:shd w:val="clear" w:color="auto" w:fill="auto"/>
          </w:tcPr>
          <w:p w14:paraId="07FCF5B3"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the Environment, regional and local councils</w:t>
            </w:r>
            <w:r w:rsidRPr="00D42EDA" w:rsidDel="00340C19">
              <w:rPr>
                <w:rFonts w:cs="Calibri"/>
                <w:sz w:val="16"/>
                <w:szCs w:val="16"/>
              </w:rPr>
              <w:t xml:space="preserve"> </w:t>
            </w:r>
          </w:p>
        </w:tc>
        <w:tc>
          <w:tcPr>
            <w:tcW w:w="992" w:type="dxa"/>
          </w:tcPr>
          <w:p w14:paraId="0E6A90F3" w14:textId="77777777" w:rsidR="00652773" w:rsidRPr="00D42EDA" w:rsidRDefault="00652773">
            <w:pPr>
              <w:pStyle w:val="TableText"/>
              <w:spacing w:before="40" w:after="40" w:line="240" w:lineRule="auto"/>
              <w:rPr>
                <w:rStyle w:val="CommentReference"/>
                <w:rFonts w:cs="Calibri"/>
              </w:rPr>
            </w:pPr>
            <w:r w:rsidRPr="00D42EDA">
              <w:rPr>
                <w:rStyle w:val="CommentReference"/>
                <w:rFonts w:cs="Calibri"/>
              </w:rPr>
              <w:t>0</w:t>
            </w:r>
          </w:p>
        </w:tc>
        <w:tc>
          <w:tcPr>
            <w:tcW w:w="992" w:type="dxa"/>
            <w:shd w:val="clear" w:color="auto" w:fill="auto"/>
          </w:tcPr>
          <w:p w14:paraId="2947613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0</w:t>
            </w:r>
          </w:p>
        </w:tc>
        <w:tc>
          <w:tcPr>
            <w:tcW w:w="964" w:type="dxa"/>
            <w:shd w:val="clear" w:color="auto" w:fill="auto"/>
          </w:tcPr>
          <w:p w14:paraId="326A4C6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8</w:t>
            </w:r>
          </w:p>
        </w:tc>
      </w:tr>
      <w:tr w:rsidR="00E872AA" w:rsidRPr="00E711FA" w14:paraId="4297CB41" w14:textId="77777777" w:rsidTr="00611EB7">
        <w:trPr>
          <w:gridAfter w:val="1"/>
          <w:wAfter w:w="24" w:type="dxa"/>
        </w:trPr>
        <w:tc>
          <w:tcPr>
            <w:tcW w:w="1134" w:type="dxa"/>
            <w:shd w:val="clear" w:color="auto" w:fill="auto"/>
          </w:tcPr>
          <w:p w14:paraId="4D9BD68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Limits on organic waste disposal</w:t>
            </w:r>
          </w:p>
        </w:tc>
        <w:tc>
          <w:tcPr>
            <w:tcW w:w="1985" w:type="dxa"/>
          </w:tcPr>
          <w:p w14:paraId="6E8111A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Banning organic materials from a range of landfill types to incentivise businesses and households to look for ways to reduce, recycle or compost their organic waste.</w:t>
            </w:r>
          </w:p>
        </w:tc>
        <w:tc>
          <w:tcPr>
            <w:tcW w:w="1701" w:type="dxa"/>
          </w:tcPr>
          <w:p w14:paraId="688EA74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Explore bans or limits to divert more organic waste from landfill.</w:t>
            </w:r>
          </w:p>
        </w:tc>
        <w:tc>
          <w:tcPr>
            <w:tcW w:w="992" w:type="dxa"/>
          </w:tcPr>
          <w:p w14:paraId="43B5366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Regulatory, economic instrument</w:t>
            </w:r>
          </w:p>
        </w:tc>
        <w:tc>
          <w:tcPr>
            <w:tcW w:w="1134" w:type="dxa"/>
          </w:tcPr>
          <w:p w14:paraId="19F3CEF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Planned</w:t>
            </w:r>
          </w:p>
        </w:tc>
        <w:tc>
          <w:tcPr>
            <w:tcW w:w="1134" w:type="dxa"/>
            <w:shd w:val="clear" w:color="auto" w:fill="auto"/>
          </w:tcPr>
          <w:p w14:paraId="3957247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Waste management</w:t>
            </w:r>
          </w:p>
        </w:tc>
        <w:tc>
          <w:tcPr>
            <w:tcW w:w="1276" w:type="dxa"/>
            <w:shd w:val="clear" w:color="auto" w:fill="auto"/>
          </w:tcPr>
          <w:p w14:paraId="5F1E70B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CH</w:t>
            </w:r>
            <w:r w:rsidRPr="00D42EDA">
              <w:rPr>
                <w:rFonts w:cs="Calibri"/>
                <w:sz w:val="16"/>
                <w:szCs w:val="16"/>
                <w:vertAlign w:val="subscript"/>
              </w:rPr>
              <w:t>4</w:t>
            </w:r>
          </w:p>
        </w:tc>
        <w:tc>
          <w:tcPr>
            <w:tcW w:w="850" w:type="dxa"/>
            <w:shd w:val="clear" w:color="auto" w:fill="auto"/>
          </w:tcPr>
          <w:p w14:paraId="2DD7495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2030</w:t>
            </w:r>
          </w:p>
        </w:tc>
        <w:tc>
          <w:tcPr>
            <w:tcW w:w="1418" w:type="dxa"/>
            <w:shd w:val="clear" w:color="auto" w:fill="auto"/>
          </w:tcPr>
          <w:p w14:paraId="37256A2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the Environment, regional and local councils</w:t>
            </w:r>
          </w:p>
        </w:tc>
        <w:tc>
          <w:tcPr>
            <w:tcW w:w="992" w:type="dxa"/>
          </w:tcPr>
          <w:p w14:paraId="3166CC1D" w14:textId="77777777" w:rsidR="00652773" w:rsidRPr="00D42EDA" w:rsidRDefault="00652773">
            <w:pPr>
              <w:pStyle w:val="TableText"/>
              <w:spacing w:before="40" w:after="40" w:line="240" w:lineRule="auto"/>
              <w:rPr>
                <w:rStyle w:val="CommentReference"/>
                <w:rFonts w:cs="Calibri"/>
              </w:rPr>
            </w:pPr>
            <w:r w:rsidRPr="00D42EDA">
              <w:rPr>
                <w:rStyle w:val="CommentReference"/>
                <w:rFonts w:cs="Calibri"/>
              </w:rPr>
              <w:t>NE</w:t>
            </w:r>
          </w:p>
        </w:tc>
        <w:tc>
          <w:tcPr>
            <w:tcW w:w="992" w:type="dxa"/>
            <w:shd w:val="clear" w:color="auto" w:fill="auto"/>
          </w:tcPr>
          <w:p w14:paraId="4FB13BDE" w14:textId="77777777" w:rsidR="00652773" w:rsidRPr="00D42EDA" w:rsidRDefault="00652773">
            <w:pPr>
              <w:pStyle w:val="TableText"/>
              <w:spacing w:before="40" w:after="40" w:line="240" w:lineRule="auto"/>
              <w:rPr>
                <w:rStyle w:val="CommentReference"/>
                <w:rFonts w:cs="Calibri"/>
              </w:rPr>
            </w:pPr>
            <w:r w:rsidRPr="00D42EDA">
              <w:rPr>
                <w:rStyle w:val="CommentReference"/>
                <w:rFonts w:cs="Calibri"/>
              </w:rPr>
              <w:t>NE</w:t>
            </w:r>
          </w:p>
        </w:tc>
        <w:tc>
          <w:tcPr>
            <w:tcW w:w="964" w:type="dxa"/>
            <w:shd w:val="clear" w:color="auto" w:fill="auto"/>
          </w:tcPr>
          <w:p w14:paraId="5D528A7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3F74E560" w14:textId="77777777" w:rsidTr="00611EB7">
        <w:trPr>
          <w:gridAfter w:val="1"/>
          <w:wAfter w:w="24" w:type="dxa"/>
        </w:trPr>
        <w:tc>
          <w:tcPr>
            <w:tcW w:w="1134" w:type="dxa"/>
            <w:shd w:val="clear" w:color="auto" w:fill="auto"/>
          </w:tcPr>
          <w:p w14:paraId="545D616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Kerbside expansion</w:t>
            </w:r>
          </w:p>
        </w:tc>
        <w:tc>
          <w:tcPr>
            <w:tcW w:w="1985" w:type="dxa"/>
          </w:tcPr>
          <w:p w14:paraId="1D6E1EE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Provide services and infrastructure for kerbside organic collections to make it easier for households and businesses to manage their organic waste.</w:t>
            </w:r>
          </w:p>
        </w:tc>
        <w:tc>
          <w:tcPr>
            <w:tcW w:w="1701" w:type="dxa"/>
          </w:tcPr>
          <w:p w14:paraId="24A575F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Enable households and businesses to reduce food and garden waste.</w:t>
            </w:r>
          </w:p>
        </w:tc>
        <w:tc>
          <w:tcPr>
            <w:tcW w:w="992" w:type="dxa"/>
          </w:tcPr>
          <w:p w14:paraId="7AAC497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Regulatory, economic instrument</w:t>
            </w:r>
          </w:p>
        </w:tc>
        <w:tc>
          <w:tcPr>
            <w:tcW w:w="1134" w:type="dxa"/>
          </w:tcPr>
          <w:p w14:paraId="3E8B634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Planned </w:t>
            </w:r>
          </w:p>
        </w:tc>
        <w:tc>
          <w:tcPr>
            <w:tcW w:w="1134" w:type="dxa"/>
            <w:shd w:val="clear" w:color="auto" w:fill="auto"/>
          </w:tcPr>
          <w:p w14:paraId="046C56D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Waste management</w:t>
            </w:r>
          </w:p>
        </w:tc>
        <w:tc>
          <w:tcPr>
            <w:tcW w:w="1276" w:type="dxa"/>
            <w:shd w:val="clear" w:color="auto" w:fill="auto"/>
          </w:tcPr>
          <w:p w14:paraId="4B4B2FF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CH</w:t>
            </w:r>
            <w:r w:rsidRPr="00D42EDA">
              <w:rPr>
                <w:rFonts w:cs="Calibri"/>
                <w:sz w:val="16"/>
                <w:szCs w:val="16"/>
                <w:vertAlign w:val="subscript"/>
              </w:rPr>
              <w:t>4</w:t>
            </w:r>
          </w:p>
        </w:tc>
        <w:tc>
          <w:tcPr>
            <w:tcW w:w="850" w:type="dxa"/>
            <w:shd w:val="clear" w:color="auto" w:fill="auto"/>
          </w:tcPr>
          <w:p w14:paraId="1E7D199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2030</w:t>
            </w:r>
          </w:p>
        </w:tc>
        <w:tc>
          <w:tcPr>
            <w:tcW w:w="1418" w:type="dxa"/>
            <w:shd w:val="clear" w:color="auto" w:fill="auto"/>
          </w:tcPr>
          <w:p w14:paraId="404B621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the Environment, regional and local councils</w:t>
            </w:r>
          </w:p>
        </w:tc>
        <w:tc>
          <w:tcPr>
            <w:tcW w:w="992" w:type="dxa"/>
          </w:tcPr>
          <w:p w14:paraId="26FDE019" w14:textId="77777777" w:rsidR="00652773" w:rsidRPr="00D42EDA" w:rsidRDefault="00652773">
            <w:pPr>
              <w:pStyle w:val="TableText"/>
              <w:spacing w:before="40" w:after="40" w:line="240" w:lineRule="auto"/>
              <w:rPr>
                <w:rStyle w:val="CommentReference"/>
                <w:rFonts w:cs="Calibri"/>
              </w:rPr>
            </w:pPr>
            <w:r w:rsidRPr="00D42EDA">
              <w:rPr>
                <w:rStyle w:val="CommentReference"/>
                <w:rFonts w:cs="Calibri"/>
              </w:rPr>
              <w:t>NE</w:t>
            </w:r>
          </w:p>
        </w:tc>
        <w:tc>
          <w:tcPr>
            <w:tcW w:w="992" w:type="dxa"/>
            <w:shd w:val="clear" w:color="auto" w:fill="auto"/>
          </w:tcPr>
          <w:p w14:paraId="748AE237" w14:textId="77777777" w:rsidR="00652773" w:rsidRPr="00D42EDA" w:rsidRDefault="00652773">
            <w:pPr>
              <w:pStyle w:val="TableText"/>
              <w:spacing w:before="40" w:after="40" w:line="240" w:lineRule="auto"/>
              <w:rPr>
                <w:rStyle w:val="CommentReference"/>
                <w:rFonts w:cs="Calibri"/>
              </w:rPr>
            </w:pPr>
            <w:r w:rsidRPr="00D42EDA">
              <w:rPr>
                <w:rStyle w:val="CommentReference"/>
                <w:rFonts w:cs="Calibri"/>
              </w:rPr>
              <w:t>NE</w:t>
            </w:r>
          </w:p>
        </w:tc>
        <w:tc>
          <w:tcPr>
            <w:tcW w:w="964" w:type="dxa"/>
            <w:shd w:val="clear" w:color="auto" w:fill="auto"/>
          </w:tcPr>
          <w:p w14:paraId="0F154E9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77C13F77" w14:textId="77777777" w:rsidTr="00611EB7">
        <w:trPr>
          <w:gridAfter w:val="1"/>
          <w:wAfter w:w="24" w:type="dxa"/>
        </w:trPr>
        <w:tc>
          <w:tcPr>
            <w:tcW w:w="1134" w:type="dxa"/>
            <w:shd w:val="clear" w:color="auto" w:fill="auto"/>
          </w:tcPr>
          <w:p w14:paraId="02906AA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Paper waste diversion (business)</w:t>
            </w:r>
          </w:p>
        </w:tc>
        <w:tc>
          <w:tcPr>
            <w:tcW w:w="1985" w:type="dxa"/>
          </w:tcPr>
          <w:p w14:paraId="7957FC7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Investigate whether to require paper and cardboard to be collected separately from other recyclables.</w:t>
            </w:r>
          </w:p>
        </w:tc>
        <w:tc>
          <w:tcPr>
            <w:tcW w:w="1701" w:type="dxa"/>
          </w:tcPr>
          <w:p w14:paraId="3F7CD70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Require the separation of paper and cardboard.</w:t>
            </w:r>
          </w:p>
        </w:tc>
        <w:tc>
          <w:tcPr>
            <w:tcW w:w="992" w:type="dxa"/>
          </w:tcPr>
          <w:p w14:paraId="335296F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Regulatory, economic instrument</w:t>
            </w:r>
          </w:p>
        </w:tc>
        <w:tc>
          <w:tcPr>
            <w:tcW w:w="1134" w:type="dxa"/>
          </w:tcPr>
          <w:p w14:paraId="02755C2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Planned</w:t>
            </w:r>
          </w:p>
        </w:tc>
        <w:tc>
          <w:tcPr>
            <w:tcW w:w="1134" w:type="dxa"/>
            <w:shd w:val="clear" w:color="auto" w:fill="auto"/>
          </w:tcPr>
          <w:p w14:paraId="6B5C9A9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Waste management</w:t>
            </w:r>
          </w:p>
        </w:tc>
        <w:tc>
          <w:tcPr>
            <w:tcW w:w="1276" w:type="dxa"/>
            <w:shd w:val="clear" w:color="auto" w:fill="auto"/>
          </w:tcPr>
          <w:p w14:paraId="5AA3273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CH</w:t>
            </w:r>
            <w:r w:rsidRPr="00D42EDA">
              <w:rPr>
                <w:rFonts w:cs="Calibri"/>
                <w:sz w:val="16"/>
                <w:szCs w:val="16"/>
                <w:vertAlign w:val="subscript"/>
              </w:rPr>
              <w:t>4</w:t>
            </w:r>
          </w:p>
        </w:tc>
        <w:tc>
          <w:tcPr>
            <w:tcW w:w="850" w:type="dxa"/>
            <w:shd w:val="clear" w:color="auto" w:fill="auto"/>
          </w:tcPr>
          <w:p w14:paraId="4025294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2026</w:t>
            </w:r>
          </w:p>
        </w:tc>
        <w:tc>
          <w:tcPr>
            <w:tcW w:w="1418" w:type="dxa"/>
            <w:shd w:val="clear" w:color="auto" w:fill="auto"/>
          </w:tcPr>
          <w:p w14:paraId="6CAE362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the Environment, regional and local councils</w:t>
            </w:r>
          </w:p>
        </w:tc>
        <w:tc>
          <w:tcPr>
            <w:tcW w:w="992" w:type="dxa"/>
          </w:tcPr>
          <w:p w14:paraId="7260656F" w14:textId="77777777" w:rsidR="00652773" w:rsidRPr="00D42EDA" w:rsidRDefault="00652773">
            <w:pPr>
              <w:pStyle w:val="TableText"/>
              <w:spacing w:before="40" w:after="40" w:line="240" w:lineRule="auto"/>
              <w:rPr>
                <w:rStyle w:val="CommentReference"/>
                <w:rFonts w:cs="Calibri"/>
              </w:rPr>
            </w:pPr>
            <w:r w:rsidRPr="00D42EDA">
              <w:rPr>
                <w:rStyle w:val="CommentReference"/>
                <w:rFonts w:cs="Calibri"/>
              </w:rPr>
              <w:t>NE</w:t>
            </w:r>
          </w:p>
        </w:tc>
        <w:tc>
          <w:tcPr>
            <w:tcW w:w="992" w:type="dxa"/>
            <w:shd w:val="clear" w:color="auto" w:fill="auto"/>
          </w:tcPr>
          <w:p w14:paraId="7720497C" w14:textId="77777777" w:rsidR="00652773" w:rsidRPr="00D42EDA" w:rsidRDefault="00652773">
            <w:pPr>
              <w:pStyle w:val="TableText"/>
              <w:spacing w:before="40" w:after="40" w:line="240" w:lineRule="auto"/>
              <w:rPr>
                <w:rStyle w:val="CommentReference"/>
                <w:rFonts w:cs="Calibri"/>
              </w:rPr>
            </w:pPr>
            <w:r w:rsidRPr="00D42EDA">
              <w:rPr>
                <w:rStyle w:val="CommentReference"/>
                <w:rFonts w:cs="Calibri"/>
              </w:rPr>
              <w:t>NE</w:t>
            </w:r>
          </w:p>
        </w:tc>
        <w:tc>
          <w:tcPr>
            <w:tcW w:w="964" w:type="dxa"/>
            <w:shd w:val="clear" w:color="auto" w:fill="auto"/>
          </w:tcPr>
          <w:p w14:paraId="2CB0051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050D0D40" w14:textId="77777777" w:rsidTr="00611EB7">
        <w:trPr>
          <w:gridAfter w:val="1"/>
          <w:wAfter w:w="24" w:type="dxa"/>
        </w:trPr>
        <w:tc>
          <w:tcPr>
            <w:tcW w:w="1134" w:type="dxa"/>
            <w:shd w:val="clear" w:color="auto" w:fill="auto"/>
          </w:tcPr>
          <w:p w14:paraId="4BACA3D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Wood waste reduction and diversion</w:t>
            </w:r>
          </w:p>
        </w:tc>
        <w:tc>
          <w:tcPr>
            <w:tcW w:w="1985" w:type="dxa"/>
          </w:tcPr>
          <w:p w14:paraId="3915CF9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Invest in organic waste processing and resource recovery infrastructure and support the building and construction sector to minimise waste through research and improved capability.</w:t>
            </w:r>
          </w:p>
        </w:tc>
        <w:tc>
          <w:tcPr>
            <w:tcW w:w="1701" w:type="dxa"/>
          </w:tcPr>
          <w:p w14:paraId="14C88F1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Increase the amount of organic waste diverted from landfill.</w:t>
            </w:r>
            <w:r w:rsidRPr="00D42EDA" w:rsidDel="00E34E00">
              <w:rPr>
                <w:rFonts w:cs="Calibri"/>
                <w:sz w:val="16"/>
                <w:szCs w:val="16"/>
              </w:rPr>
              <w:t xml:space="preserve"> </w:t>
            </w:r>
          </w:p>
        </w:tc>
        <w:tc>
          <w:tcPr>
            <w:tcW w:w="992" w:type="dxa"/>
          </w:tcPr>
          <w:p w14:paraId="6D26660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Regulatory, economic instrument</w:t>
            </w:r>
          </w:p>
        </w:tc>
        <w:tc>
          <w:tcPr>
            <w:tcW w:w="1134" w:type="dxa"/>
          </w:tcPr>
          <w:p w14:paraId="75242FD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shd w:val="clear" w:color="auto" w:fill="auto"/>
          </w:tcPr>
          <w:p w14:paraId="084C588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Waste management</w:t>
            </w:r>
          </w:p>
        </w:tc>
        <w:tc>
          <w:tcPr>
            <w:tcW w:w="1276" w:type="dxa"/>
            <w:shd w:val="clear" w:color="auto" w:fill="auto"/>
          </w:tcPr>
          <w:p w14:paraId="73EBD0A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CH</w:t>
            </w:r>
            <w:r w:rsidRPr="00D42EDA">
              <w:rPr>
                <w:rFonts w:cs="Calibri"/>
                <w:sz w:val="16"/>
                <w:szCs w:val="16"/>
                <w:vertAlign w:val="subscript"/>
              </w:rPr>
              <w:t>4</w:t>
            </w:r>
          </w:p>
        </w:tc>
        <w:tc>
          <w:tcPr>
            <w:tcW w:w="850" w:type="dxa"/>
            <w:shd w:val="clear" w:color="auto" w:fill="auto"/>
          </w:tcPr>
          <w:p w14:paraId="38B1AD8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2023</w:t>
            </w:r>
          </w:p>
        </w:tc>
        <w:tc>
          <w:tcPr>
            <w:tcW w:w="1418" w:type="dxa"/>
            <w:shd w:val="clear" w:color="auto" w:fill="auto"/>
          </w:tcPr>
          <w:p w14:paraId="135AF9E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the Environment, regional and local councils</w:t>
            </w:r>
          </w:p>
        </w:tc>
        <w:tc>
          <w:tcPr>
            <w:tcW w:w="992" w:type="dxa"/>
          </w:tcPr>
          <w:p w14:paraId="2430B415" w14:textId="77777777" w:rsidR="00652773" w:rsidRPr="00D42EDA" w:rsidRDefault="00652773">
            <w:pPr>
              <w:pStyle w:val="TableText"/>
              <w:spacing w:before="40" w:after="40" w:line="240" w:lineRule="auto"/>
              <w:rPr>
                <w:rStyle w:val="CommentReference"/>
                <w:rFonts w:cs="Calibri"/>
              </w:rPr>
            </w:pPr>
            <w:r w:rsidRPr="00D42EDA">
              <w:rPr>
                <w:rStyle w:val="CommentReference"/>
                <w:rFonts w:cs="Calibri"/>
              </w:rPr>
              <w:t>0</w:t>
            </w:r>
          </w:p>
        </w:tc>
        <w:tc>
          <w:tcPr>
            <w:tcW w:w="992" w:type="dxa"/>
            <w:shd w:val="clear" w:color="auto" w:fill="auto"/>
          </w:tcPr>
          <w:p w14:paraId="7B795BD2" w14:textId="77777777" w:rsidR="00652773" w:rsidRPr="00D42EDA" w:rsidRDefault="00652773">
            <w:pPr>
              <w:pStyle w:val="TableText"/>
              <w:spacing w:before="40" w:after="40" w:line="240" w:lineRule="auto"/>
              <w:rPr>
                <w:rStyle w:val="CommentReference"/>
                <w:rFonts w:cs="Calibri"/>
              </w:rPr>
            </w:pPr>
            <w:r w:rsidRPr="00D42EDA">
              <w:rPr>
                <w:rStyle w:val="CommentReference"/>
                <w:rFonts w:cs="Calibri"/>
              </w:rPr>
              <w:t>0</w:t>
            </w:r>
          </w:p>
        </w:tc>
        <w:tc>
          <w:tcPr>
            <w:tcW w:w="964" w:type="dxa"/>
            <w:shd w:val="clear" w:color="auto" w:fill="auto"/>
          </w:tcPr>
          <w:p w14:paraId="79C4917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1</w:t>
            </w:r>
          </w:p>
        </w:tc>
      </w:tr>
      <w:tr w:rsidR="00E872AA" w:rsidRPr="00E711FA" w14:paraId="47F7C289" w14:textId="77777777" w:rsidTr="00611EB7">
        <w:trPr>
          <w:gridAfter w:val="1"/>
          <w:wAfter w:w="24" w:type="dxa"/>
        </w:trPr>
        <w:tc>
          <w:tcPr>
            <w:tcW w:w="1134" w:type="dxa"/>
            <w:shd w:val="clear" w:color="auto" w:fill="auto"/>
          </w:tcPr>
          <w:p w14:paraId="60C1F85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Landfill gas capture expansion</w:t>
            </w:r>
          </w:p>
        </w:tc>
        <w:tc>
          <w:tcPr>
            <w:tcW w:w="1985" w:type="dxa"/>
          </w:tcPr>
          <w:p w14:paraId="0C60DBE7" w14:textId="5EDE5E3A" w:rsidR="00652773" w:rsidRPr="00D42EDA" w:rsidRDefault="00652773">
            <w:pPr>
              <w:pStyle w:val="TableText"/>
              <w:spacing w:before="40" w:after="40" w:line="240" w:lineRule="auto"/>
              <w:rPr>
                <w:rFonts w:cs="Calibri"/>
                <w:sz w:val="16"/>
                <w:szCs w:val="16"/>
              </w:rPr>
            </w:pPr>
            <w:r w:rsidRPr="00D42EDA">
              <w:rPr>
                <w:rFonts w:cs="Calibri"/>
                <w:sz w:val="16"/>
                <w:szCs w:val="16"/>
              </w:rPr>
              <w:t>Regulations will require landfill gas capture at municipal landfills. Feasibility studies will determine the need for additional landfill gas capture requirements. This could include expanding landfill gas capture systems to smaller class 1 (municipal waste) facilities, for example, facilities that receive over 10,000 Tonnes of waste per year.</w:t>
            </w:r>
          </w:p>
        </w:tc>
        <w:tc>
          <w:tcPr>
            <w:tcW w:w="1701" w:type="dxa"/>
          </w:tcPr>
          <w:p w14:paraId="7AE0EC8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Increase the capture of gas from landfills.</w:t>
            </w:r>
          </w:p>
        </w:tc>
        <w:tc>
          <w:tcPr>
            <w:tcW w:w="992" w:type="dxa"/>
          </w:tcPr>
          <w:p w14:paraId="21DEFF6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Regulatory, economic instrument</w:t>
            </w:r>
          </w:p>
        </w:tc>
        <w:tc>
          <w:tcPr>
            <w:tcW w:w="1134" w:type="dxa"/>
          </w:tcPr>
          <w:p w14:paraId="02F94F7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Planned</w:t>
            </w:r>
          </w:p>
        </w:tc>
        <w:tc>
          <w:tcPr>
            <w:tcW w:w="1134" w:type="dxa"/>
            <w:shd w:val="clear" w:color="auto" w:fill="auto"/>
          </w:tcPr>
          <w:p w14:paraId="316A466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Waste management</w:t>
            </w:r>
          </w:p>
        </w:tc>
        <w:tc>
          <w:tcPr>
            <w:tcW w:w="1276" w:type="dxa"/>
            <w:shd w:val="clear" w:color="auto" w:fill="auto"/>
          </w:tcPr>
          <w:p w14:paraId="551C6DE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CH</w:t>
            </w:r>
            <w:r w:rsidRPr="00D42EDA">
              <w:rPr>
                <w:rFonts w:cs="Calibri"/>
                <w:sz w:val="16"/>
                <w:szCs w:val="16"/>
                <w:vertAlign w:val="subscript"/>
              </w:rPr>
              <w:t>4</w:t>
            </w:r>
          </w:p>
        </w:tc>
        <w:tc>
          <w:tcPr>
            <w:tcW w:w="850" w:type="dxa"/>
            <w:shd w:val="clear" w:color="auto" w:fill="auto"/>
          </w:tcPr>
          <w:p w14:paraId="3EB24C5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2026</w:t>
            </w:r>
          </w:p>
        </w:tc>
        <w:tc>
          <w:tcPr>
            <w:tcW w:w="1418" w:type="dxa"/>
            <w:shd w:val="clear" w:color="auto" w:fill="auto"/>
          </w:tcPr>
          <w:p w14:paraId="5928136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the Environment, regional and local councils</w:t>
            </w:r>
          </w:p>
        </w:tc>
        <w:tc>
          <w:tcPr>
            <w:tcW w:w="992" w:type="dxa"/>
          </w:tcPr>
          <w:p w14:paraId="717E2AAA" w14:textId="77777777" w:rsidR="00652773" w:rsidRPr="00D42EDA" w:rsidRDefault="00652773">
            <w:pPr>
              <w:pStyle w:val="TableText"/>
              <w:spacing w:before="40" w:after="40" w:line="240" w:lineRule="auto"/>
              <w:rPr>
                <w:rStyle w:val="CommentReference"/>
                <w:rFonts w:cs="Calibri"/>
              </w:rPr>
            </w:pPr>
            <w:r w:rsidRPr="00D42EDA">
              <w:rPr>
                <w:rStyle w:val="CommentReference"/>
                <w:rFonts w:cs="Calibri"/>
              </w:rPr>
              <w:t>NE</w:t>
            </w:r>
          </w:p>
        </w:tc>
        <w:tc>
          <w:tcPr>
            <w:tcW w:w="992" w:type="dxa"/>
            <w:shd w:val="clear" w:color="auto" w:fill="auto"/>
          </w:tcPr>
          <w:p w14:paraId="1037B572" w14:textId="77777777" w:rsidR="00652773" w:rsidRPr="00D42EDA" w:rsidRDefault="00652773">
            <w:pPr>
              <w:pStyle w:val="TableText"/>
              <w:spacing w:before="40" w:after="40" w:line="240" w:lineRule="auto"/>
              <w:rPr>
                <w:rStyle w:val="CommentReference"/>
                <w:rFonts w:cs="Calibri"/>
              </w:rPr>
            </w:pPr>
            <w:r w:rsidRPr="00D42EDA">
              <w:rPr>
                <w:rStyle w:val="CommentReference"/>
                <w:rFonts w:cs="Calibri"/>
              </w:rPr>
              <w:t>NE</w:t>
            </w:r>
          </w:p>
        </w:tc>
        <w:tc>
          <w:tcPr>
            <w:tcW w:w="964" w:type="dxa"/>
            <w:shd w:val="clear" w:color="auto" w:fill="auto"/>
          </w:tcPr>
          <w:p w14:paraId="4438894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59F298F3" w14:textId="77777777" w:rsidTr="00611EB7">
        <w:trPr>
          <w:gridAfter w:val="1"/>
          <w:wAfter w:w="24" w:type="dxa"/>
        </w:trPr>
        <w:tc>
          <w:tcPr>
            <w:tcW w:w="1134" w:type="dxa"/>
          </w:tcPr>
          <w:p w14:paraId="06EED5C5" w14:textId="494F40FC" w:rsidR="00652773" w:rsidRPr="00D42EDA" w:rsidRDefault="00611D1F">
            <w:pPr>
              <w:pStyle w:val="TableText"/>
              <w:spacing w:before="40" w:after="40" w:line="240" w:lineRule="auto"/>
              <w:rPr>
                <w:rFonts w:cs="Calibri"/>
                <w:sz w:val="16"/>
                <w:szCs w:val="16"/>
              </w:rPr>
            </w:pPr>
            <w:r>
              <w:rPr>
                <w:rFonts w:cs="Calibri"/>
                <w:sz w:val="16"/>
                <w:szCs w:val="16"/>
              </w:rPr>
              <w:t>Waste disposal levy</w:t>
            </w:r>
            <w:r w:rsidR="00652773" w:rsidRPr="00D42EDA">
              <w:rPr>
                <w:rFonts w:cs="Calibri"/>
                <w:sz w:val="16"/>
                <w:szCs w:val="16"/>
              </w:rPr>
              <w:t xml:space="preserve"> under the Waste Minimisation Act 2008</w:t>
            </w:r>
          </w:p>
        </w:tc>
        <w:tc>
          <w:tcPr>
            <w:tcW w:w="1985" w:type="dxa"/>
          </w:tcPr>
          <w:p w14:paraId="138B8B6F" w14:textId="007CEA34"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The </w:t>
            </w:r>
            <w:r w:rsidR="00611D1F">
              <w:rPr>
                <w:rFonts w:cs="Calibri"/>
                <w:sz w:val="16"/>
                <w:szCs w:val="16"/>
              </w:rPr>
              <w:t>waste disposal levy</w:t>
            </w:r>
            <w:r w:rsidRPr="00D42EDA">
              <w:rPr>
                <w:rFonts w:cs="Calibri"/>
                <w:sz w:val="16"/>
                <w:szCs w:val="16"/>
              </w:rPr>
              <w:t xml:space="preserve"> rate for landfills has progressively increased and expanded. From $10 per tonne for landfills that receive household waste, set in 2009, to $60 per tonne as of July 2024, further increasing to $75 in 2027 as a result of additional changes to the Waste Minimisation Act 2008 in July 2024. The levy was also expanded from July 2021 to cover additional landfill types.</w:t>
            </w:r>
          </w:p>
        </w:tc>
        <w:tc>
          <w:tcPr>
            <w:tcW w:w="1701" w:type="dxa"/>
          </w:tcPr>
          <w:p w14:paraId="6B70E2E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Achieve a range of waste and environmental objectives, including encouraging waste minimisation and decreasing waste disposal to protect the environment from harm and provide environmental, social, economic and cultural benefits.</w:t>
            </w:r>
          </w:p>
        </w:tc>
        <w:tc>
          <w:tcPr>
            <w:tcW w:w="992" w:type="dxa"/>
          </w:tcPr>
          <w:p w14:paraId="64BCF5D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Regulatory</w:t>
            </w:r>
          </w:p>
        </w:tc>
        <w:tc>
          <w:tcPr>
            <w:tcW w:w="1134" w:type="dxa"/>
          </w:tcPr>
          <w:p w14:paraId="402FBE6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Pr>
          <w:p w14:paraId="02A9317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Waste management</w:t>
            </w:r>
          </w:p>
        </w:tc>
        <w:tc>
          <w:tcPr>
            <w:tcW w:w="1276" w:type="dxa"/>
          </w:tcPr>
          <w:p w14:paraId="2FDB823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r w:rsidRPr="00D42EDA">
              <w:rPr>
                <w:rFonts w:cs="Calibri"/>
                <w:sz w:val="16"/>
                <w:szCs w:val="16"/>
              </w:rPr>
              <w:t>, CH</w:t>
            </w:r>
            <w:r w:rsidRPr="00D42EDA">
              <w:rPr>
                <w:rFonts w:cs="Calibri"/>
                <w:sz w:val="16"/>
                <w:szCs w:val="16"/>
                <w:vertAlign w:val="subscript"/>
              </w:rPr>
              <w:t>4</w:t>
            </w:r>
            <w:r w:rsidRPr="00D42EDA">
              <w:rPr>
                <w:rFonts w:cs="Calibri"/>
                <w:sz w:val="16"/>
                <w:szCs w:val="16"/>
              </w:rPr>
              <w:t>, N</w:t>
            </w:r>
            <w:r w:rsidRPr="00D42EDA">
              <w:rPr>
                <w:rFonts w:cs="Calibri"/>
                <w:sz w:val="16"/>
                <w:szCs w:val="16"/>
                <w:vertAlign w:val="subscript"/>
              </w:rPr>
              <w:t>2</w:t>
            </w:r>
            <w:r w:rsidRPr="00D42EDA">
              <w:rPr>
                <w:rFonts w:cs="Calibri"/>
                <w:sz w:val="16"/>
                <w:szCs w:val="16"/>
              </w:rPr>
              <w:t>O</w:t>
            </w:r>
          </w:p>
        </w:tc>
        <w:tc>
          <w:tcPr>
            <w:tcW w:w="850" w:type="dxa"/>
          </w:tcPr>
          <w:p w14:paraId="131F459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2010</w:t>
            </w:r>
          </w:p>
        </w:tc>
        <w:tc>
          <w:tcPr>
            <w:tcW w:w="1418" w:type="dxa"/>
          </w:tcPr>
          <w:p w14:paraId="31BE430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the Environment</w:t>
            </w:r>
          </w:p>
        </w:tc>
        <w:tc>
          <w:tcPr>
            <w:tcW w:w="992" w:type="dxa"/>
          </w:tcPr>
          <w:p w14:paraId="6B1EE0E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13</w:t>
            </w:r>
          </w:p>
        </w:tc>
        <w:tc>
          <w:tcPr>
            <w:tcW w:w="992" w:type="dxa"/>
          </w:tcPr>
          <w:p w14:paraId="1AA5D01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15</w:t>
            </w:r>
          </w:p>
        </w:tc>
        <w:tc>
          <w:tcPr>
            <w:tcW w:w="964" w:type="dxa"/>
          </w:tcPr>
          <w:p w14:paraId="662CA63E"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97</w:t>
            </w:r>
          </w:p>
        </w:tc>
      </w:tr>
      <w:tr w:rsidR="00E872AA" w:rsidRPr="00E711FA" w14:paraId="0B80E668" w14:textId="77777777" w:rsidTr="00611EB7">
        <w:trPr>
          <w:gridAfter w:val="1"/>
          <w:wAfter w:w="24" w:type="dxa"/>
        </w:trPr>
        <w:tc>
          <w:tcPr>
            <w:tcW w:w="1134" w:type="dxa"/>
          </w:tcPr>
          <w:p w14:paraId="4AE288D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Waste Minimisation Fund </w:t>
            </w:r>
          </w:p>
        </w:tc>
        <w:tc>
          <w:tcPr>
            <w:tcW w:w="1985" w:type="dxa"/>
          </w:tcPr>
          <w:p w14:paraId="6FA9069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A levy is imposed on waste disposed to landfill and generates funds for waste minimisation activities. These funds are distributed to territorial authorities and waste minimisation projects (via the Waste Minimisation Fund). Additional funding from the Climate Emergency Response Fund is available for infrastructure projects to reduce emissions from waste over 2022 to 2024.</w:t>
            </w:r>
          </w:p>
        </w:tc>
        <w:tc>
          <w:tcPr>
            <w:tcW w:w="1701" w:type="dxa"/>
          </w:tcPr>
          <w:p w14:paraId="426E77D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Increase resource efficiency, increase reuse, recovery and recycling, and decrease waste to landfill.</w:t>
            </w:r>
          </w:p>
        </w:tc>
        <w:tc>
          <w:tcPr>
            <w:tcW w:w="992" w:type="dxa"/>
          </w:tcPr>
          <w:p w14:paraId="22F85AB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Economic instrument</w:t>
            </w:r>
          </w:p>
        </w:tc>
        <w:tc>
          <w:tcPr>
            <w:tcW w:w="1134" w:type="dxa"/>
          </w:tcPr>
          <w:p w14:paraId="2CBD99C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Adopted</w:t>
            </w:r>
          </w:p>
        </w:tc>
        <w:tc>
          <w:tcPr>
            <w:tcW w:w="1134" w:type="dxa"/>
          </w:tcPr>
          <w:p w14:paraId="00C1BCC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Waste management</w:t>
            </w:r>
          </w:p>
        </w:tc>
        <w:tc>
          <w:tcPr>
            <w:tcW w:w="1276" w:type="dxa"/>
          </w:tcPr>
          <w:p w14:paraId="237371A3"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r w:rsidRPr="00D42EDA">
              <w:rPr>
                <w:rFonts w:cs="Calibri"/>
                <w:sz w:val="16"/>
                <w:szCs w:val="16"/>
              </w:rPr>
              <w:t>, CH</w:t>
            </w:r>
            <w:r w:rsidRPr="00D42EDA">
              <w:rPr>
                <w:rFonts w:cs="Calibri"/>
                <w:sz w:val="16"/>
                <w:szCs w:val="16"/>
                <w:vertAlign w:val="subscript"/>
              </w:rPr>
              <w:t>4</w:t>
            </w:r>
            <w:r w:rsidRPr="00D42EDA">
              <w:rPr>
                <w:rFonts w:cs="Calibri"/>
                <w:sz w:val="16"/>
                <w:szCs w:val="16"/>
              </w:rPr>
              <w:t>, N</w:t>
            </w:r>
            <w:r w:rsidRPr="00D42EDA">
              <w:rPr>
                <w:rFonts w:cs="Calibri"/>
                <w:sz w:val="16"/>
                <w:szCs w:val="16"/>
                <w:vertAlign w:val="subscript"/>
              </w:rPr>
              <w:t>2</w:t>
            </w:r>
            <w:r w:rsidRPr="00D42EDA">
              <w:rPr>
                <w:rFonts w:cs="Calibri"/>
                <w:sz w:val="16"/>
                <w:szCs w:val="16"/>
              </w:rPr>
              <w:t>O, HFCs, PFCs, SF</w:t>
            </w:r>
            <w:r w:rsidRPr="00D42EDA">
              <w:rPr>
                <w:rFonts w:cs="Calibri"/>
                <w:sz w:val="16"/>
                <w:szCs w:val="16"/>
                <w:vertAlign w:val="subscript"/>
              </w:rPr>
              <w:t>6</w:t>
            </w:r>
          </w:p>
        </w:tc>
        <w:tc>
          <w:tcPr>
            <w:tcW w:w="850" w:type="dxa"/>
          </w:tcPr>
          <w:p w14:paraId="1EDB4A2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2010</w:t>
            </w:r>
          </w:p>
        </w:tc>
        <w:tc>
          <w:tcPr>
            <w:tcW w:w="1418" w:type="dxa"/>
          </w:tcPr>
          <w:p w14:paraId="5DB90B5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the Environment</w:t>
            </w:r>
          </w:p>
        </w:tc>
        <w:tc>
          <w:tcPr>
            <w:tcW w:w="992" w:type="dxa"/>
          </w:tcPr>
          <w:p w14:paraId="1EF48473"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2589F35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384A0A7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1502640B" w14:textId="77777777" w:rsidTr="00611EB7">
        <w:trPr>
          <w:gridAfter w:val="1"/>
          <w:wAfter w:w="24" w:type="dxa"/>
        </w:trPr>
        <w:tc>
          <w:tcPr>
            <w:tcW w:w="1134" w:type="dxa"/>
          </w:tcPr>
          <w:p w14:paraId="6B13CF76"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Product stewardship </w:t>
            </w:r>
          </w:p>
        </w:tc>
        <w:tc>
          <w:tcPr>
            <w:tcW w:w="1985" w:type="dxa"/>
          </w:tcPr>
          <w:p w14:paraId="720ADE18" w14:textId="77777777" w:rsidR="00652773" w:rsidRPr="00D42EDA" w:rsidRDefault="00652773">
            <w:pPr>
              <w:spacing w:before="40" w:after="40" w:line="240" w:lineRule="auto"/>
              <w:jc w:val="left"/>
              <w:rPr>
                <w:rFonts w:cs="Calibri"/>
                <w:sz w:val="16"/>
                <w:szCs w:val="16"/>
              </w:rPr>
            </w:pPr>
            <w:r w:rsidRPr="00D42EDA">
              <w:rPr>
                <w:rFonts w:cs="Calibri"/>
                <w:sz w:val="16"/>
                <w:szCs w:val="16"/>
              </w:rPr>
              <w:t>Co-designing product stewardship for six priority products. The first regulatory framework to be implemented addresses end-of-life tyres and has been designed by industry-led working groups.</w:t>
            </w:r>
          </w:p>
          <w:p w14:paraId="25F7453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The other priority product schemes and proposed regulations are in various stages of development. </w:t>
            </w:r>
          </w:p>
        </w:tc>
        <w:tc>
          <w:tcPr>
            <w:tcW w:w="1701" w:type="dxa"/>
          </w:tcPr>
          <w:p w14:paraId="1A272A9F" w14:textId="1FA99F61" w:rsidR="00652773" w:rsidRPr="00D42EDA" w:rsidRDefault="00652773">
            <w:pPr>
              <w:pStyle w:val="TableText"/>
              <w:spacing w:before="40" w:after="40" w:line="240" w:lineRule="auto"/>
              <w:rPr>
                <w:rFonts w:cs="Calibri"/>
                <w:sz w:val="16"/>
                <w:szCs w:val="16"/>
              </w:rPr>
            </w:pPr>
            <w:r w:rsidRPr="00D42EDA">
              <w:rPr>
                <w:rFonts w:cs="Calibri"/>
                <w:sz w:val="16"/>
                <w:szCs w:val="16"/>
              </w:rPr>
              <w:t>Implement regulations to increase circular economy and place responsibilities for managing end-of-life products on producers, importers and retailers rather than on communities, councils, neighbours and nature.</w:t>
            </w:r>
          </w:p>
        </w:tc>
        <w:tc>
          <w:tcPr>
            <w:tcW w:w="992" w:type="dxa"/>
          </w:tcPr>
          <w:p w14:paraId="6B9ACEDB"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Regulatory</w:t>
            </w:r>
          </w:p>
        </w:tc>
        <w:tc>
          <w:tcPr>
            <w:tcW w:w="1134" w:type="dxa"/>
          </w:tcPr>
          <w:p w14:paraId="2CFE912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Adopted</w:t>
            </w:r>
          </w:p>
        </w:tc>
        <w:tc>
          <w:tcPr>
            <w:tcW w:w="1134" w:type="dxa"/>
          </w:tcPr>
          <w:p w14:paraId="3D129CA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IPPU, Waste management</w:t>
            </w:r>
          </w:p>
        </w:tc>
        <w:tc>
          <w:tcPr>
            <w:tcW w:w="1276" w:type="dxa"/>
          </w:tcPr>
          <w:p w14:paraId="0E1030E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r w:rsidRPr="00D42EDA">
              <w:rPr>
                <w:rFonts w:cs="Calibri"/>
                <w:sz w:val="16"/>
                <w:szCs w:val="16"/>
              </w:rPr>
              <w:t>, CH</w:t>
            </w:r>
            <w:r w:rsidRPr="00D42EDA">
              <w:rPr>
                <w:rFonts w:cs="Calibri"/>
                <w:sz w:val="16"/>
                <w:szCs w:val="16"/>
                <w:vertAlign w:val="subscript"/>
              </w:rPr>
              <w:t>4</w:t>
            </w:r>
            <w:r w:rsidRPr="00D42EDA">
              <w:rPr>
                <w:rFonts w:cs="Calibri"/>
                <w:sz w:val="16"/>
                <w:szCs w:val="16"/>
              </w:rPr>
              <w:t>, HFCs, SF</w:t>
            </w:r>
            <w:r w:rsidRPr="00D42EDA">
              <w:rPr>
                <w:rFonts w:cs="Calibri"/>
                <w:sz w:val="16"/>
                <w:szCs w:val="16"/>
                <w:vertAlign w:val="subscript"/>
              </w:rPr>
              <w:t>6</w:t>
            </w:r>
          </w:p>
        </w:tc>
        <w:tc>
          <w:tcPr>
            <w:tcW w:w="850" w:type="dxa"/>
          </w:tcPr>
          <w:p w14:paraId="1E2FA71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2020</w:t>
            </w:r>
          </w:p>
        </w:tc>
        <w:tc>
          <w:tcPr>
            <w:tcW w:w="1418" w:type="dxa"/>
          </w:tcPr>
          <w:p w14:paraId="2528F8A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the Environment</w:t>
            </w:r>
          </w:p>
        </w:tc>
        <w:tc>
          <w:tcPr>
            <w:tcW w:w="992" w:type="dxa"/>
          </w:tcPr>
          <w:p w14:paraId="2FD8622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1B3A6E8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2BAFDEC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544CE394" w14:textId="77777777" w:rsidTr="00611EB7">
        <w:trPr>
          <w:gridAfter w:val="1"/>
          <w:wAfter w:w="24" w:type="dxa"/>
        </w:trPr>
        <w:tc>
          <w:tcPr>
            <w:tcW w:w="1134" w:type="dxa"/>
          </w:tcPr>
          <w:p w14:paraId="17C4B51E" w14:textId="6D99A0B2" w:rsidR="00652773" w:rsidRPr="00D42EDA" w:rsidRDefault="00652773">
            <w:pPr>
              <w:pStyle w:val="TableText"/>
              <w:spacing w:before="40" w:after="40" w:line="240" w:lineRule="auto"/>
              <w:rPr>
                <w:rFonts w:cs="Calibri"/>
                <w:sz w:val="16"/>
                <w:szCs w:val="16"/>
              </w:rPr>
            </w:pPr>
            <w:r w:rsidRPr="00D42EDA">
              <w:rPr>
                <w:rFonts w:cs="Calibri"/>
                <w:sz w:val="16"/>
                <w:szCs w:val="16"/>
              </w:rPr>
              <w:t xml:space="preserve">National Environmental Standard for Air Quality </w:t>
            </w:r>
          </w:p>
        </w:tc>
        <w:tc>
          <w:tcPr>
            <w:tcW w:w="1985" w:type="dxa"/>
          </w:tcPr>
          <w:p w14:paraId="01BE952B" w14:textId="77777777" w:rsidR="00652773" w:rsidRDefault="00652773">
            <w:pPr>
              <w:pStyle w:val="TableText"/>
              <w:spacing w:before="40" w:after="40" w:line="240" w:lineRule="auto"/>
              <w:rPr>
                <w:rFonts w:cs="Calibri"/>
                <w:sz w:val="16"/>
                <w:szCs w:val="16"/>
              </w:rPr>
            </w:pPr>
            <w:r w:rsidRPr="00D42EDA">
              <w:rPr>
                <w:rFonts w:cs="Calibri"/>
                <w:sz w:val="16"/>
                <w:szCs w:val="16"/>
              </w:rPr>
              <w:t xml:space="preserve">Amendments proposed under the </w:t>
            </w:r>
            <w:r w:rsidR="00091192">
              <w:rPr>
                <w:rFonts w:cs="Calibri"/>
                <w:sz w:val="16"/>
                <w:szCs w:val="16"/>
              </w:rPr>
              <w:t>first</w:t>
            </w:r>
            <w:r w:rsidRPr="00D42EDA">
              <w:rPr>
                <w:rFonts w:cs="Calibri"/>
                <w:sz w:val="16"/>
                <w:szCs w:val="16"/>
              </w:rPr>
              <w:t xml:space="preserve"> emissions reduction plan will require all municipal landfills to capture gas, including sites with less than 1 million tonnes capacity.</w:t>
            </w:r>
          </w:p>
          <w:p w14:paraId="0631705D" w14:textId="70DAA5AC" w:rsidR="00982B72" w:rsidRDefault="00982B72">
            <w:pPr>
              <w:pStyle w:val="TableText"/>
              <w:spacing w:before="40" w:after="40" w:line="240" w:lineRule="auto"/>
              <w:rPr>
                <w:rFonts w:cs="Calibri"/>
                <w:sz w:val="16"/>
                <w:szCs w:val="16"/>
              </w:rPr>
            </w:pPr>
            <w:r>
              <w:rPr>
                <w:rFonts w:cs="Calibri"/>
                <w:sz w:val="16"/>
                <w:szCs w:val="16"/>
              </w:rPr>
              <w:t xml:space="preserve">The </w:t>
            </w:r>
            <w:r w:rsidRPr="00982B72">
              <w:rPr>
                <w:rFonts w:cs="Calibri"/>
                <w:sz w:val="16"/>
                <w:szCs w:val="16"/>
              </w:rPr>
              <w:t>estimates of GHG emissions reductions from this policy are included within NZ ETS – Impact on Waste sector emissions</w:t>
            </w:r>
            <w:r>
              <w:rPr>
                <w:rFonts w:cs="Calibri"/>
                <w:sz w:val="16"/>
                <w:szCs w:val="16"/>
              </w:rPr>
              <w:t>.</w:t>
            </w:r>
          </w:p>
          <w:p w14:paraId="03BDD468" w14:textId="77777777" w:rsidR="00982B72" w:rsidRDefault="00982B72">
            <w:pPr>
              <w:pStyle w:val="TableText"/>
              <w:spacing w:before="40" w:after="40" w:line="240" w:lineRule="auto"/>
              <w:rPr>
                <w:rFonts w:cs="Calibri"/>
                <w:sz w:val="16"/>
                <w:szCs w:val="16"/>
              </w:rPr>
            </w:pPr>
          </w:p>
          <w:p w14:paraId="7064FF6F" w14:textId="2CFEBF3F" w:rsidR="00652773" w:rsidRPr="00D42EDA" w:rsidRDefault="00652773">
            <w:pPr>
              <w:pStyle w:val="TableText"/>
              <w:spacing w:before="40" w:after="40" w:line="240" w:lineRule="auto"/>
              <w:rPr>
                <w:rFonts w:cs="Calibri"/>
                <w:sz w:val="16"/>
                <w:szCs w:val="16"/>
              </w:rPr>
            </w:pPr>
          </w:p>
        </w:tc>
        <w:tc>
          <w:tcPr>
            <w:tcW w:w="1701" w:type="dxa"/>
          </w:tcPr>
          <w:p w14:paraId="6DA846B9"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Effectively manage discharges to air of greenhouse gases (mainly CH</w:t>
            </w:r>
            <w:r w:rsidRPr="00D42EDA">
              <w:rPr>
                <w:rFonts w:cs="Calibri"/>
                <w:sz w:val="16"/>
                <w:szCs w:val="16"/>
                <w:vertAlign w:val="subscript"/>
              </w:rPr>
              <w:t>4</w:t>
            </w:r>
            <w:r w:rsidRPr="00D42EDA">
              <w:rPr>
                <w:rFonts w:cs="Calibri"/>
                <w:sz w:val="16"/>
                <w:szCs w:val="16"/>
              </w:rPr>
              <w:t>) generated from large landfills.</w:t>
            </w:r>
          </w:p>
        </w:tc>
        <w:tc>
          <w:tcPr>
            <w:tcW w:w="992" w:type="dxa"/>
          </w:tcPr>
          <w:p w14:paraId="6BAE1BB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Regulatory</w:t>
            </w:r>
          </w:p>
        </w:tc>
        <w:tc>
          <w:tcPr>
            <w:tcW w:w="1134" w:type="dxa"/>
          </w:tcPr>
          <w:p w14:paraId="116A4D1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Pr>
          <w:p w14:paraId="361B5C5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Waste management</w:t>
            </w:r>
          </w:p>
        </w:tc>
        <w:tc>
          <w:tcPr>
            <w:tcW w:w="1276" w:type="dxa"/>
          </w:tcPr>
          <w:p w14:paraId="52B172C8"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CH</w:t>
            </w:r>
            <w:r w:rsidRPr="00D42EDA">
              <w:rPr>
                <w:rFonts w:cs="Calibri"/>
                <w:sz w:val="16"/>
                <w:szCs w:val="16"/>
                <w:vertAlign w:val="subscript"/>
              </w:rPr>
              <w:t>4</w:t>
            </w:r>
          </w:p>
        </w:tc>
        <w:tc>
          <w:tcPr>
            <w:tcW w:w="850" w:type="dxa"/>
          </w:tcPr>
          <w:p w14:paraId="7C8D36F2"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2004</w:t>
            </w:r>
          </w:p>
        </w:tc>
        <w:tc>
          <w:tcPr>
            <w:tcW w:w="1418" w:type="dxa"/>
          </w:tcPr>
          <w:p w14:paraId="5081EF6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the Environment, regional and local councils</w:t>
            </w:r>
          </w:p>
        </w:tc>
        <w:tc>
          <w:tcPr>
            <w:tcW w:w="992" w:type="dxa"/>
          </w:tcPr>
          <w:p w14:paraId="23C933AF" w14:textId="76C7ECEE" w:rsidR="00652773" w:rsidRPr="00D42EDA" w:rsidRDefault="001F202A">
            <w:pPr>
              <w:pStyle w:val="TableText"/>
              <w:spacing w:before="40" w:after="40" w:line="240" w:lineRule="auto"/>
              <w:rPr>
                <w:rFonts w:cs="Calibri"/>
                <w:sz w:val="16"/>
                <w:szCs w:val="16"/>
              </w:rPr>
            </w:pPr>
            <w:r>
              <w:rPr>
                <w:rFonts w:cs="Calibri"/>
                <w:sz w:val="16"/>
                <w:szCs w:val="16"/>
              </w:rPr>
              <w:t>IE</w:t>
            </w:r>
          </w:p>
        </w:tc>
        <w:tc>
          <w:tcPr>
            <w:tcW w:w="992" w:type="dxa"/>
          </w:tcPr>
          <w:p w14:paraId="78D07313" w14:textId="32E5791A" w:rsidR="00652773" w:rsidRPr="00D42EDA" w:rsidRDefault="001F202A">
            <w:pPr>
              <w:pStyle w:val="TableText"/>
              <w:spacing w:before="40" w:after="40" w:line="240" w:lineRule="auto"/>
              <w:rPr>
                <w:rFonts w:cs="Calibri"/>
                <w:sz w:val="16"/>
                <w:szCs w:val="16"/>
              </w:rPr>
            </w:pPr>
            <w:r>
              <w:rPr>
                <w:rFonts w:cs="Calibri"/>
                <w:sz w:val="16"/>
                <w:szCs w:val="16"/>
              </w:rPr>
              <w:t>IE</w:t>
            </w:r>
          </w:p>
        </w:tc>
        <w:tc>
          <w:tcPr>
            <w:tcW w:w="964" w:type="dxa"/>
          </w:tcPr>
          <w:p w14:paraId="6FDB8A13" w14:textId="30747CC2" w:rsidR="00652773" w:rsidRPr="00D42EDA" w:rsidRDefault="004D0480">
            <w:pPr>
              <w:pStyle w:val="TableText"/>
              <w:spacing w:before="40" w:after="40" w:line="240" w:lineRule="auto"/>
              <w:rPr>
                <w:rFonts w:cs="Calibri"/>
                <w:sz w:val="16"/>
                <w:szCs w:val="16"/>
              </w:rPr>
            </w:pPr>
            <w:r>
              <w:rPr>
                <w:rFonts w:cs="Calibri"/>
                <w:sz w:val="16"/>
                <w:szCs w:val="16"/>
              </w:rPr>
              <w:t>IE</w:t>
            </w:r>
          </w:p>
        </w:tc>
      </w:tr>
      <w:tr w:rsidR="001E7C25" w:rsidRPr="00E711FA" w14:paraId="5A57AA52" w14:textId="77777777" w:rsidTr="00692400">
        <w:trPr>
          <w:gridAfter w:val="1"/>
          <w:wAfter w:w="24" w:type="dxa"/>
        </w:trPr>
        <w:tc>
          <w:tcPr>
            <w:tcW w:w="14572" w:type="dxa"/>
            <w:gridSpan w:val="12"/>
            <w:shd w:val="clear" w:color="auto" w:fill="D2DDE1" w:themeFill="background2"/>
          </w:tcPr>
          <w:p w14:paraId="16C33868" w14:textId="45C7CFE6" w:rsidR="001E7C25" w:rsidRPr="00D42EDA" w:rsidRDefault="0024610E" w:rsidP="00AD3845">
            <w:pPr>
              <w:pStyle w:val="TableText"/>
              <w:spacing w:before="40" w:after="40" w:line="240" w:lineRule="auto"/>
              <w:rPr>
                <w:rFonts w:cs="Calibri"/>
                <w:sz w:val="16"/>
                <w:szCs w:val="16"/>
              </w:rPr>
            </w:pPr>
            <w:r w:rsidRPr="00D42EDA">
              <w:rPr>
                <w:rFonts w:cs="Calibri"/>
                <w:b/>
                <w:sz w:val="16"/>
                <w:szCs w:val="16"/>
              </w:rPr>
              <w:t>Public sector policies</w:t>
            </w:r>
          </w:p>
        </w:tc>
      </w:tr>
      <w:tr w:rsidR="00E872AA" w:rsidRPr="00E711FA" w14:paraId="38E8E3F3" w14:textId="77777777" w:rsidTr="00611EB7">
        <w:trPr>
          <w:gridAfter w:val="1"/>
          <w:wAfter w:w="24" w:type="dxa"/>
        </w:trPr>
        <w:tc>
          <w:tcPr>
            <w:tcW w:w="1134" w:type="dxa"/>
          </w:tcPr>
          <w:p w14:paraId="3DC8455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Carbon Neutral Government Programme</w:t>
            </w:r>
          </w:p>
        </w:tc>
        <w:tc>
          <w:tcPr>
            <w:tcW w:w="1985" w:type="dxa"/>
          </w:tcPr>
          <w:p w14:paraId="4719532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Support public sector organisations</w:t>
            </w:r>
            <w:r w:rsidRPr="00D42EDA" w:rsidDel="00576C33">
              <w:rPr>
                <w:rFonts w:cs="Calibri"/>
                <w:sz w:val="16"/>
                <w:szCs w:val="16"/>
              </w:rPr>
              <w:t xml:space="preserve"> </w:t>
            </w:r>
            <w:r w:rsidRPr="00D42EDA">
              <w:rPr>
                <w:rFonts w:cs="Calibri"/>
                <w:sz w:val="16"/>
                <w:szCs w:val="16"/>
              </w:rPr>
              <w:t>to measure, report and reduce their emissions to achieve a 20% reduction by 2025 and 42% by 2030. Agencies should offset remaining emissions to achieve a future neutrality date.</w:t>
            </w:r>
          </w:p>
        </w:tc>
        <w:tc>
          <w:tcPr>
            <w:tcW w:w="1701" w:type="dxa"/>
          </w:tcPr>
          <w:p w14:paraId="3197E79F" w14:textId="77777777" w:rsidR="00652773" w:rsidRPr="00D42EDA" w:rsidRDefault="00652773">
            <w:pPr>
              <w:pStyle w:val="TableText"/>
              <w:spacing w:before="40" w:after="40" w:line="240" w:lineRule="auto"/>
              <w:rPr>
                <w:rFonts w:cs="Calibri"/>
                <w:color w:val="000000"/>
                <w:sz w:val="16"/>
                <w:szCs w:val="16"/>
                <w:lang w:eastAsia="en-US"/>
              </w:rPr>
            </w:pPr>
            <w:r w:rsidRPr="00D42EDA">
              <w:rPr>
                <w:rFonts w:cs="Calibri"/>
                <w:color w:val="000000" w:themeColor="text1"/>
                <w:sz w:val="16"/>
                <w:szCs w:val="16"/>
                <w:lang w:eastAsia="en-US"/>
              </w:rPr>
              <w:t>Understand and accelerate the reduction of emissions within the public sector.</w:t>
            </w:r>
          </w:p>
          <w:p w14:paraId="2B9D7A2E" w14:textId="77777777" w:rsidR="00652773" w:rsidRPr="00D42EDA" w:rsidRDefault="00652773">
            <w:pPr>
              <w:pStyle w:val="TableText"/>
              <w:spacing w:before="40" w:after="40" w:line="240" w:lineRule="auto"/>
              <w:rPr>
                <w:rFonts w:cs="Calibri"/>
                <w:sz w:val="16"/>
                <w:szCs w:val="16"/>
              </w:rPr>
            </w:pPr>
          </w:p>
        </w:tc>
        <w:tc>
          <w:tcPr>
            <w:tcW w:w="992" w:type="dxa"/>
          </w:tcPr>
          <w:p w14:paraId="5365121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Other</w:t>
            </w:r>
          </w:p>
        </w:tc>
        <w:tc>
          <w:tcPr>
            <w:tcW w:w="1134" w:type="dxa"/>
          </w:tcPr>
          <w:p w14:paraId="6775202D"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Pr>
          <w:p w14:paraId="1360544A" w14:textId="77777777" w:rsidR="00652773" w:rsidRPr="00D42EDA" w:rsidRDefault="00652773">
            <w:pPr>
              <w:pStyle w:val="TableText"/>
              <w:spacing w:before="40" w:after="40" w:line="240" w:lineRule="auto"/>
              <w:rPr>
                <w:rFonts w:cs="Calibri"/>
                <w:color w:val="000000" w:themeColor="text1"/>
                <w:sz w:val="16"/>
                <w:szCs w:val="16"/>
              </w:rPr>
            </w:pPr>
            <w:r w:rsidRPr="00D42EDA">
              <w:rPr>
                <w:rFonts w:cs="Calibri"/>
                <w:color w:val="000000" w:themeColor="text1"/>
                <w:sz w:val="16"/>
                <w:szCs w:val="16"/>
              </w:rPr>
              <w:t>Energy, Transport, IPPU, Agriculture, LULUCF, Waste management</w:t>
            </w:r>
          </w:p>
        </w:tc>
        <w:tc>
          <w:tcPr>
            <w:tcW w:w="1276" w:type="dxa"/>
          </w:tcPr>
          <w:p w14:paraId="718E4A9C"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r w:rsidRPr="00D42EDA">
              <w:rPr>
                <w:rFonts w:cs="Calibri"/>
                <w:sz w:val="16"/>
                <w:szCs w:val="16"/>
              </w:rPr>
              <w:t>, CH</w:t>
            </w:r>
            <w:r w:rsidRPr="00D42EDA">
              <w:rPr>
                <w:rFonts w:cs="Calibri"/>
                <w:sz w:val="16"/>
                <w:szCs w:val="16"/>
                <w:vertAlign w:val="subscript"/>
              </w:rPr>
              <w:t>4</w:t>
            </w:r>
            <w:r w:rsidRPr="00D42EDA">
              <w:rPr>
                <w:rFonts w:cs="Calibri"/>
                <w:sz w:val="16"/>
                <w:szCs w:val="16"/>
              </w:rPr>
              <w:t>, N</w:t>
            </w:r>
            <w:r w:rsidRPr="00D42EDA">
              <w:rPr>
                <w:rFonts w:cs="Calibri"/>
                <w:sz w:val="16"/>
                <w:szCs w:val="16"/>
                <w:vertAlign w:val="subscript"/>
              </w:rPr>
              <w:t>2</w:t>
            </w:r>
            <w:r w:rsidRPr="00D42EDA">
              <w:rPr>
                <w:rFonts w:cs="Calibri"/>
                <w:sz w:val="16"/>
                <w:szCs w:val="16"/>
              </w:rPr>
              <w:t>O, HFCs, PFCs, SF</w:t>
            </w:r>
            <w:r w:rsidRPr="00D42EDA">
              <w:rPr>
                <w:rFonts w:cs="Calibri"/>
                <w:sz w:val="16"/>
                <w:szCs w:val="16"/>
                <w:vertAlign w:val="subscript"/>
              </w:rPr>
              <w:t>6</w:t>
            </w:r>
          </w:p>
          <w:p w14:paraId="7AD1378F" w14:textId="77777777" w:rsidR="00652773" w:rsidRPr="00D42EDA" w:rsidRDefault="00652773">
            <w:pPr>
              <w:pStyle w:val="TableText"/>
              <w:spacing w:before="40" w:after="40" w:line="240" w:lineRule="auto"/>
              <w:rPr>
                <w:rFonts w:cs="Calibri"/>
                <w:sz w:val="16"/>
                <w:szCs w:val="16"/>
              </w:rPr>
            </w:pPr>
          </w:p>
        </w:tc>
        <w:tc>
          <w:tcPr>
            <w:tcW w:w="850" w:type="dxa"/>
          </w:tcPr>
          <w:p w14:paraId="474D5093"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2022</w:t>
            </w:r>
          </w:p>
        </w:tc>
        <w:tc>
          <w:tcPr>
            <w:tcW w:w="1418" w:type="dxa"/>
          </w:tcPr>
          <w:p w14:paraId="7C18F95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for the Environment, Ministry of Business, Innovation and Employment, Energy Efficiency and Conservation Authority</w:t>
            </w:r>
          </w:p>
        </w:tc>
        <w:tc>
          <w:tcPr>
            <w:tcW w:w="992" w:type="dxa"/>
          </w:tcPr>
          <w:p w14:paraId="65221B3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687B68E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6173F773"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13AA2090" w14:textId="77777777" w:rsidTr="00611EB7">
        <w:trPr>
          <w:gridAfter w:val="1"/>
          <w:wAfter w:w="24" w:type="dxa"/>
        </w:trPr>
        <w:tc>
          <w:tcPr>
            <w:tcW w:w="1134" w:type="dxa"/>
          </w:tcPr>
          <w:p w14:paraId="597DADB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Sustainable Government Procurement</w:t>
            </w:r>
          </w:p>
        </w:tc>
        <w:tc>
          <w:tcPr>
            <w:tcW w:w="1985" w:type="dxa"/>
          </w:tcPr>
          <w:p w14:paraId="457DB6B8" w14:textId="77777777" w:rsidR="00652773" w:rsidRPr="00D42EDA" w:rsidRDefault="00652773">
            <w:pPr>
              <w:pStyle w:val="TableText"/>
              <w:spacing w:before="20" w:after="20" w:line="240" w:lineRule="auto"/>
              <w:rPr>
                <w:rFonts w:cs="Calibri"/>
                <w:sz w:val="16"/>
                <w:szCs w:val="16"/>
              </w:rPr>
            </w:pPr>
            <w:r w:rsidRPr="00D42EDA">
              <w:rPr>
                <w:rFonts w:cs="Calibri"/>
                <w:sz w:val="16"/>
                <w:szCs w:val="16"/>
              </w:rPr>
              <w:t>The Government Procurement Rules were updated in 2019 to include a focus on the achievement of wider social, economic, cultural and environmental outcomes that go beyond the immediate purchase of goods and services. A new Government Procurement Rule was introduced. Rule 20: Transitioning to a net zero emissions economy and designing waste out of the system.</w:t>
            </w:r>
          </w:p>
        </w:tc>
        <w:tc>
          <w:tcPr>
            <w:tcW w:w="1701" w:type="dxa"/>
          </w:tcPr>
          <w:p w14:paraId="02D7930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Make sustainable procurement part of government procurement practice.</w:t>
            </w:r>
          </w:p>
        </w:tc>
        <w:tc>
          <w:tcPr>
            <w:tcW w:w="992" w:type="dxa"/>
          </w:tcPr>
          <w:p w14:paraId="232F3EE5"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Other</w:t>
            </w:r>
          </w:p>
        </w:tc>
        <w:tc>
          <w:tcPr>
            <w:tcW w:w="1134" w:type="dxa"/>
          </w:tcPr>
          <w:p w14:paraId="668C8D2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Implemented</w:t>
            </w:r>
          </w:p>
        </w:tc>
        <w:tc>
          <w:tcPr>
            <w:tcW w:w="1134" w:type="dxa"/>
          </w:tcPr>
          <w:p w14:paraId="390F8687"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Energy</w:t>
            </w:r>
          </w:p>
        </w:tc>
        <w:tc>
          <w:tcPr>
            <w:tcW w:w="1276" w:type="dxa"/>
          </w:tcPr>
          <w:p w14:paraId="23A8CAD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CO</w:t>
            </w:r>
            <w:r w:rsidRPr="00D42EDA">
              <w:rPr>
                <w:rFonts w:cs="Calibri"/>
                <w:sz w:val="16"/>
                <w:szCs w:val="16"/>
                <w:vertAlign w:val="subscript"/>
              </w:rPr>
              <w:t>2</w:t>
            </w:r>
          </w:p>
        </w:tc>
        <w:tc>
          <w:tcPr>
            <w:tcW w:w="850" w:type="dxa"/>
          </w:tcPr>
          <w:p w14:paraId="1D79DC1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2019</w:t>
            </w:r>
          </w:p>
        </w:tc>
        <w:tc>
          <w:tcPr>
            <w:tcW w:w="1418" w:type="dxa"/>
          </w:tcPr>
          <w:p w14:paraId="66FC42BA"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Ministry of Business, Innovation and Employment</w:t>
            </w:r>
          </w:p>
        </w:tc>
        <w:tc>
          <w:tcPr>
            <w:tcW w:w="992" w:type="dxa"/>
          </w:tcPr>
          <w:p w14:paraId="7698CF8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92" w:type="dxa"/>
          </w:tcPr>
          <w:p w14:paraId="5F5D8451"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21AA0C64"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r w:rsidR="00E872AA" w:rsidRPr="00E711FA" w14:paraId="7B6AD4C5" w14:textId="77777777" w:rsidTr="00611EB7">
        <w:trPr>
          <w:gridAfter w:val="1"/>
          <w:wAfter w:w="24" w:type="dxa"/>
        </w:trPr>
        <w:tc>
          <w:tcPr>
            <w:tcW w:w="1134" w:type="dxa"/>
          </w:tcPr>
          <w:p w14:paraId="00AFEBB0" w14:textId="77777777" w:rsidR="00652773" w:rsidRPr="00D42EDA" w:rsidRDefault="00652773">
            <w:pPr>
              <w:pStyle w:val="TableText"/>
              <w:spacing w:before="40" w:after="40" w:line="240" w:lineRule="auto"/>
              <w:rPr>
                <w:rFonts w:cs="Calibri"/>
                <w:sz w:val="16"/>
                <w:szCs w:val="16"/>
              </w:rPr>
            </w:pPr>
            <w:r w:rsidRPr="00D42EDA">
              <w:rPr>
                <w:rFonts w:cs="Calibri"/>
                <w:color w:val="000000"/>
                <w:sz w:val="16"/>
                <w:szCs w:val="16"/>
              </w:rPr>
              <w:t>Climate implications of policy assessment</w:t>
            </w:r>
          </w:p>
        </w:tc>
        <w:tc>
          <w:tcPr>
            <w:tcW w:w="1985" w:type="dxa"/>
          </w:tcPr>
          <w:p w14:paraId="77F17B54"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themeColor="text1"/>
                <w:sz w:val="16"/>
                <w:szCs w:val="16"/>
              </w:rPr>
              <w:t xml:space="preserve">Government agencies must do a greenhouse gas emissions analysis on certain policy proposals that go to Cabinet, so that Cabinet can make decisions informed of the impact on greenhouse gas emissions. </w:t>
            </w:r>
          </w:p>
        </w:tc>
        <w:tc>
          <w:tcPr>
            <w:tcW w:w="1701" w:type="dxa"/>
          </w:tcPr>
          <w:p w14:paraId="06152ECB"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sz w:val="16"/>
                <w:szCs w:val="16"/>
              </w:rPr>
              <w:t>Measure, monitor and report on policy decisions that will impact New Zealand’s greenhouse gas emissions.</w:t>
            </w:r>
          </w:p>
        </w:tc>
        <w:tc>
          <w:tcPr>
            <w:tcW w:w="992" w:type="dxa"/>
          </w:tcPr>
          <w:p w14:paraId="75B0E8B3"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sz w:val="16"/>
                <w:szCs w:val="16"/>
              </w:rPr>
              <w:t>Regulatory</w:t>
            </w:r>
          </w:p>
        </w:tc>
        <w:tc>
          <w:tcPr>
            <w:tcW w:w="1134" w:type="dxa"/>
          </w:tcPr>
          <w:p w14:paraId="1EDC1BC2" w14:textId="77777777" w:rsidR="00652773" w:rsidRPr="00D42EDA" w:rsidRDefault="00652773">
            <w:pPr>
              <w:pStyle w:val="TableText"/>
              <w:spacing w:before="40" w:after="40" w:line="240" w:lineRule="auto"/>
              <w:rPr>
                <w:rFonts w:cs="Calibri"/>
                <w:color w:val="000000"/>
                <w:sz w:val="16"/>
                <w:szCs w:val="16"/>
              </w:rPr>
            </w:pPr>
            <w:r w:rsidRPr="00D42EDA">
              <w:rPr>
                <w:rFonts w:cs="Calibri"/>
                <w:color w:val="000000"/>
                <w:sz w:val="16"/>
                <w:szCs w:val="16"/>
              </w:rPr>
              <w:t>Implemented</w:t>
            </w:r>
          </w:p>
        </w:tc>
        <w:tc>
          <w:tcPr>
            <w:tcW w:w="1134" w:type="dxa"/>
          </w:tcPr>
          <w:p w14:paraId="7D219759" w14:textId="77777777" w:rsidR="00652773" w:rsidRPr="00D42EDA" w:rsidRDefault="00652773">
            <w:pPr>
              <w:pStyle w:val="TableText"/>
              <w:spacing w:before="40" w:after="40" w:line="240" w:lineRule="auto"/>
              <w:rPr>
                <w:rFonts w:cs="Calibri"/>
                <w:sz w:val="16"/>
                <w:szCs w:val="16"/>
              </w:rPr>
            </w:pPr>
            <w:r w:rsidRPr="00D42EDA">
              <w:rPr>
                <w:rFonts w:cs="Calibri"/>
                <w:color w:val="000000"/>
                <w:sz w:val="16"/>
                <w:szCs w:val="16"/>
              </w:rPr>
              <w:t>Energy, Transport, IPPU, Agriculture, LULUCF, Waste management</w:t>
            </w:r>
          </w:p>
        </w:tc>
        <w:tc>
          <w:tcPr>
            <w:tcW w:w="1276" w:type="dxa"/>
          </w:tcPr>
          <w:p w14:paraId="0CB8222D" w14:textId="77777777" w:rsidR="00652773" w:rsidRPr="00D42EDA" w:rsidRDefault="00652773">
            <w:pPr>
              <w:pStyle w:val="TableText"/>
              <w:spacing w:before="40" w:after="40" w:line="240" w:lineRule="auto"/>
              <w:rPr>
                <w:rFonts w:cs="Calibri"/>
                <w:sz w:val="16"/>
                <w:szCs w:val="16"/>
              </w:rPr>
            </w:pPr>
            <w:r w:rsidRPr="00D42EDA">
              <w:rPr>
                <w:rFonts w:cs="Calibri"/>
                <w:color w:val="000000"/>
                <w:sz w:val="16"/>
                <w:szCs w:val="16"/>
              </w:rPr>
              <w:t>CO</w:t>
            </w:r>
            <w:r w:rsidRPr="00D42EDA">
              <w:rPr>
                <w:rFonts w:cs="Calibri"/>
                <w:color w:val="000000"/>
                <w:sz w:val="16"/>
                <w:szCs w:val="16"/>
                <w:vertAlign w:val="subscript"/>
              </w:rPr>
              <w:t>2</w:t>
            </w:r>
            <w:r w:rsidRPr="00D42EDA">
              <w:rPr>
                <w:rFonts w:cs="Calibri"/>
                <w:color w:val="000000"/>
                <w:sz w:val="16"/>
                <w:szCs w:val="16"/>
              </w:rPr>
              <w:t>, CH</w:t>
            </w:r>
            <w:r w:rsidRPr="00D42EDA">
              <w:rPr>
                <w:rFonts w:cs="Calibri"/>
                <w:color w:val="000000"/>
                <w:sz w:val="16"/>
                <w:szCs w:val="16"/>
                <w:vertAlign w:val="subscript"/>
              </w:rPr>
              <w:t>4</w:t>
            </w:r>
            <w:r w:rsidRPr="00D42EDA">
              <w:rPr>
                <w:rFonts w:cs="Calibri"/>
                <w:color w:val="000000"/>
                <w:sz w:val="16"/>
                <w:szCs w:val="16"/>
              </w:rPr>
              <w:t>, N</w:t>
            </w:r>
            <w:r w:rsidRPr="00D42EDA">
              <w:rPr>
                <w:rFonts w:cs="Calibri"/>
                <w:color w:val="000000"/>
                <w:sz w:val="16"/>
                <w:szCs w:val="16"/>
                <w:vertAlign w:val="subscript"/>
              </w:rPr>
              <w:t>2</w:t>
            </w:r>
            <w:r w:rsidRPr="00D42EDA">
              <w:rPr>
                <w:rFonts w:cs="Calibri"/>
                <w:color w:val="000000"/>
                <w:sz w:val="16"/>
                <w:szCs w:val="16"/>
              </w:rPr>
              <w:t>O, PFCs, HFCs, SF</w:t>
            </w:r>
            <w:r w:rsidRPr="00D42EDA">
              <w:rPr>
                <w:rFonts w:cs="Calibri"/>
                <w:color w:val="000000"/>
                <w:sz w:val="16"/>
                <w:szCs w:val="16"/>
                <w:vertAlign w:val="subscript"/>
              </w:rPr>
              <w:t>6</w:t>
            </w:r>
          </w:p>
        </w:tc>
        <w:tc>
          <w:tcPr>
            <w:tcW w:w="850" w:type="dxa"/>
          </w:tcPr>
          <w:p w14:paraId="0F03E11B" w14:textId="77777777" w:rsidR="00652773" w:rsidRPr="00D42EDA" w:rsidRDefault="00652773">
            <w:pPr>
              <w:pStyle w:val="TableText"/>
              <w:spacing w:before="40" w:after="40" w:line="240" w:lineRule="auto"/>
              <w:rPr>
                <w:rFonts w:cs="Calibri"/>
                <w:sz w:val="16"/>
                <w:szCs w:val="16"/>
              </w:rPr>
            </w:pPr>
            <w:r w:rsidRPr="00D42EDA">
              <w:rPr>
                <w:rFonts w:cs="Calibri"/>
                <w:color w:val="000000"/>
                <w:sz w:val="16"/>
                <w:szCs w:val="16"/>
              </w:rPr>
              <w:t>2019</w:t>
            </w:r>
          </w:p>
        </w:tc>
        <w:tc>
          <w:tcPr>
            <w:tcW w:w="1418" w:type="dxa"/>
          </w:tcPr>
          <w:p w14:paraId="22DF8A99" w14:textId="77777777" w:rsidR="00652773" w:rsidRPr="00D42EDA" w:rsidRDefault="00652773">
            <w:pPr>
              <w:pStyle w:val="TableText"/>
              <w:spacing w:before="40" w:after="40" w:line="240" w:lineRule="auto"/>
              <w:rPr>
                <w:rFonts w:cs="Calibri"/>
                <w:sz w:val="16"/>
                <w:szCs w:val="16"/>
              </w:rPr>
            </w:pPr>
            <w:r w:rsidRPr="00D42EDA">
              <w:rPr>
                <w:rFonts w:cs="Calibri"/>
                <w:color w:val="000000"/>
                <w:sz w:val="16"/>
                <w:szCs w:val="16"/>
              </w:rPr>
              <w:t>Ministry for the Environment</w:t>
            </w:r>
          </w:p>
        </w:tc>
        <w:tc>
          <w:tcPr>
            <w:tcW w:w="992" w:type="dxa"/>
          </w:tcPr>
          <w:p w14:paraId="74D4D57D" w14:textId="77777777" w:rsidR="00652773" w:rsidRPr="00D42EDA" w:rsidRDefault="00652773">
            <w:pPr>
              <w:pStyle w:val="TableText"/>
              <w:spacing w:before="40" w:after="40" w:line="240" w:lineRule="auto"/>
              <w:rPr>
                <w:rStyle w:val="CommentReference"/>
                <w:rFonts w:cs="Calibri"/>
              </w:rPr>
            </w:pPr>
            <w:r w:rsidRPr="00D42EDA">
              <w:rPr>
                <w:rStyle w:val="CommentReference"/>
                <w:rFonts w:cs="Calibri"/>
              </w:rPr>
              <w:t>NE</w:t>
            </w:r>
          </w:p>
        </w:tc>
        <w:tc>
          <w:tcPr>
            <w:tcW w:w="992" w:type="dxa"/>
          </w:tcPr>
          <w:p w14:paraId="240F084F"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c>
          <w:tcPr>
            <w:tcW w:w="964" w:type="dxa"/>
          </w:tcPr>
          <w:p w14:paraId="6FBE87C0" w14:textId="77777777" w:rsidR="00652773" w:rsidRPr="00D42EDA" w:rsidRDefault="00652773">
            <w:pPr>
              <w:pStyle w:val="TableText"/>
              <w:spacing w:before="40" w:after="40" w:line="240" w:lineRule="auto"/>
              <w:rPr>
                <w:rFonts w:cs="Calibri"/>
                <w:sz w:val="16"/>
                <w:szCs w:val="16"/>
              </w:rPr>
            </w:pPr>
            <w:r w:rsidRPr="00D42EDA">
              <w:rPr>
                <w:rFonts w:cs="Calibri"/>
                <w:sz w:val="16"/>
                <w:szCs w:val="16"/>
              </w:rPr>
              <w:t>NE</w:t>
            </w:r>
          </w:p>
        </w:tc>
      </w:tr>
    </w:tbl>
    <w:p w14:paraId="3B0F98B1" w14:textId="77777777" w:rsidR="00652773" w:rsidRPr="00657D21" w:rsidRDefault="00652773" w:rsidP="00CF5C91">
      <w:pPr>
        <w:pStyle w:val="BodyText"/>
        <w:sectPr w:rsidR="00652773" w:rsidRPr="00657D21" w:rsidSect="00652773">
          <w:headerReference w:type="even" r:id="rId93"/>
          <w:headerReference w:type="default" r:id="rId94"/>
          <w:footerReference w:type="default" r:id="rId95"/>
          <w:headerReference w:type="first" r:id="rId96"/>
          <w:pgSz w:w="16840" w:h="11907" w:orient="landscape" w:code="9"/>
          <w:pgMar w:top="1701" w:right="1134" w:bottom="1701" w:left="1134" w:header="567" w:footer="567" w:gutter="0"/>
          <w:cols w:space="720"/>
          <w:docGrid w:linePitch="299"/>
        </w:sectPr>
      </w:pPr>
    </w:p>
    <w:p w14:paraId="648E2BE8" w14:textId="77777777" w:rsidR="00F51113" w:rsidRPr="004C2DCD" w:rsidRDefault="00F51113" w:rsidP="0044676F">
      <w:pPr>
        <w:pStyle w:val="Heading1"/>
        <w:numPr>
          <w:ilvl w:val="0"/>
          <w:numId w:val="108"/>
        </w:numPr>
        <w:tabs>
          <w:tab w:val="clear" w:pos="851"/>
          <w:tab w:val="left" w:pos="1134"/>
        </w:tabs>
        <w:ind w:left="1134" w:hanging="1134"/>
      </w:pPr>
      <w:bookmarkStart w:id="500" w:name="section25"/>
      <w:bookmarkStart w:id="501" w:name="_Toc184825519"/>
      <w:bookmarkEnd w:id="500"/>
      <w:r w:rsidRPr="004C2DCD">
        <w:t>Projections of greenhouse gas emissions and removals</w:t>
      </w:r>
      <w:bookmarkEnd w:id="501"/>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8505"/>
      </w:tblGrid>
      <w:tr w:rsidR="00F51113" w:rsidRPr="004C2DCD" w14:paraId="0FD3CA86" w14:textId="77777777">
        <w:tc>
          <w:tcPr>
            <w:tcW w:w="8505" w:type="dxa"/>
            <w:tcBorders>
              <w:bottom w:val="single" w:sz="4" w:space="0" w:color="2C9986" w:themeColor="accent4"/>
            </w:tcBorders>
            <w:shd w:val="clear" w:color="auto" w:fill="2C9986" w:themeFill="accent4"/>
          </w:tcPr>
          <w:p w14:paraId="3D375C11" w14:textId="77777777" w:rsidR="00F51113" w:rsidRPr="004C2DCD" w:rsidRDefault="00F51113">
            <w:pPr>
              <w:pStyle w:val="Heading2"/>
              <w:spacing w:before="120" w:after="120"/>
              <w:rPr>
                <w:color w:val="FFFFFF" w:themeColor="background1"/>
              </w:rPr>
            </w:pPr>
            <w:bookmarkStart w:id="502" w:name="_Toc184825520"/>
            <w:r w:rsidRPr="004C2DCD">
              <w:rPr>
                <w:color w:val="FFFFFF" w:themeColor="background1"/>
              </w:rPr>
              <w:t>Key messages</w:t>
            </w:r>
            <w:bookmarkEnd w:id="502"/>
          </w:p>
        </w:tc>
      </w:tr>
      <w:tr w:rsidR="00F51113" w:rsidRPr="004C2DCD" w14:paraId="56AC08F2" w14:textId="77777777">
        <w:tc>
          <w:tcPr>
            <w:tcW w:w="8505" w:type="dxa"/>
            <w:tcBorders>
              <w:top w:val="single" w:sz="4" w:space="0" w:color="2C9986" w:themeColor="accent4"/>
              <w:bottom w:val="single" w:sz="4" w:space="0" w:color="2C9986" w:themeColor="accent4"/>
            </w:tcBorders>
            <w:shd w:val="clear" w:color="auto" w:fill="FFFFFF" w:themeFill="background1"/>
          </w:tcPr>
          <w:p w14:paraId="4B0D420F" w14:textId="77777777" w:rsidR="00F51113" w:rsidRPr="004C2DCD" w:rsidRDefault="00F51113" w:rsidP="003D0542">
            <w:pPr>
              <w:pStyle w:val="BodyText"/>
              <w:spacing w:before="100" w:after="100" w:line="260" w:lineRule="atLeast"/>
            </w:pPr>
            <w:r w:rsidRPr="004C2DCD">
              <w:t>The effects of New Zealand’s main quantifiable policies and measures on its greenhouse gas emissions and removals are projected out to 2050.</w:t>
            </w:r>
          </w:p>
        </w:tc>
      </w:tr>
      <w:tr w:rsidR="00F51113" w:rsidRPr="004C2DCD" w14:paraId="516E3F10" w14:textId="77777777">
        <w:tc>
          <w:tcPr>
            <w:tcW w:w="8505" w:type="dxa"/>
            <w:tcBorders>
              <w:top w:val="single" w:sz="4" w:space="0" w:color="2C9986" w:themeColor="accent4"/>
              <w:bottom w:val="single" w:sz="4" w:space="0" w:color="2C9986" w:themeColor="accent4"/>
            </w:tcBorders>
            <w:shd w:val="clear" w:color="auto" w:fill="FFFFFF" w:themeFill="background1"/>
          </w:tcPr>
          <w:p w14:paraId="20E02167" w14:textId="53317A85" w:rsidR="00F51113" w:rsidRPr="004C2DCD" w:rsidRDefault="00F51113" w:rsidP="003D0542">
            <w:pPr>
              <w:pStyle w:val="BodyText"/>
              <w:spacing w:before="100" w:after="100" w:line="260" w:lineRule="atLeast"/>
            </w:pPr>
            <w:r w:rsidRPr="004C2DCD">
              <w:t>New Zealand’s gross emissions (excluding emissions and removals from the Land Use, Land-</w:t>
            </w:r>
            <w:r w:rsidR="00ED5254">
              <w:t>U</w:t>
            </w:r>
            <w:r w:rsidRPr="004C2DCD">
              <w:t xml:space="preserve">se </w:t>
            </w:r>
            <w:r w:rsidRPr="004C2DCD">
              <w:rPr>
                <w:spacing w:val="-2"/>
              </w:rPr>
              <w:t xml:space="preserve">Change and Forestry (LULUCF) sector) reported in </w:t>
            </w:r>
            <w:r w:rsidRPr="004C2DCD">
              <w:rPr>
                <w:i/>
                <w:iCs/>
                <w:spacing w:val="-2"/>
              </w:rPr>
              <w:t>New Zealand’s Greenhouse Gas Inventory 1990–2022</w:t>
            </w:r>
            <w:r w:rsidRPr="004C2DCD">
              <w:t xml:space="preserve"> (Inventory 2024) were 78.4 million tonnes of carbon dioxide equivalent (Mt CO</w:t>
            </w:r>
            <w:r w:rsidRPr="004C2DCD">
              <w:rPr>
                <w:vertAlign w:val="subscript"/>
              </w:rPr>
              <w:t>2</w:t>
            </w:r>
            <w:r w:rsidRPr="004C2DCD">
              <w:t>e) in 2022.</w:t>
            </w:r>
          </w:p>
        </w:tc>
      </w:tr>
      <w:tr w:rsidR="00F51113" w:rsidRPr="004C2DCD" w14:paraId="0A1EBB32" w14:textId="77777777">
        <w:tc>
          <w:tcPr>
            <w:tcW w:w="8505" w:type="dxa"/>
            <w:tcBorders>
              <w:top w:val="single" w:sz="4" w:space="0" w:color="2C9986" w:themeColor="accent4"/>
              <w:bottom w:val="single" w:sz="4" w:space="0" w:color="2C9986" w:themeColor="accent4"/>
            </w:tcBorders>
            <w:shd w:val="clear" w:color="auto" w:fill="FFFFFF" w:themeFill="background1"/>
          </w:tcPr>
          <w:p w14:paraId="0D763011" w14:textId="56F52DE4" w:rsidR="00F51113" w:rsidRPr="004C2DCD" w:rsidRDefault="00F51113" w:rsidP="003D0542">
            <w:pPr>
              <w:pStyle w:val="BodyText"/>
              <w:spacing w:before="100" w:after="100" w:line="260" w:lineRule="atLeast"/>
            </w:pPr>
            <w:r w:rsidRPr="004C2DCD">
              <w:t>New Zealand’s gross emissions (excluding emissions and removals from the LULUCF sector) are projected to be 71.7 Mt CO</w:t>
            </w:r>
            <w:r w:rsidRPr="004C2DCD">
              <w:rPr>
                <w:vertAlign w:val="subscript"/>
              </w:rPr>
              <w:t>2</w:t>
            </w:r>
            <w:r w:rsidRPr="004C2DCD">
              <w:t>e in 2030 and 62.9 Mt CO</w:t>
            </w:r>
            <w:r w:rsidRPr="004C2DCD">
              <w:rPr>
                <w:vertAlign w:val="subscript"/>
              </w:rPr>
              <w:t>2</w:t>
            </w:r>
            <w:r w:rsidRPr="004C2DCD">
              <w:t>e in 2050.</w:t>
            </w:r>
          </w:p>
        </w:tc>
      </w:tr>
      <w:tr w:rsidR="00F51113" w:rsidRPr="004C2DCD" w14:paraId="168F7529" w14:textId="77777777">
        <w:tc>
          <w:tcPr>
            <w:tcW w:w="8505" w:type="dxa"/>
            <w:tcBorders>
              <w:top w:val="single" w:sz="4" w:space="0" w:color="2C9986" w:themeColor="accent4"/>
              <w:bottom w:val="single" w:sz="4" w:space="0" w:color="2C9986" w:themeColor="accent4"/>
            </w:tcBorders>
            <w:shd w:val="clear" w:color="auto" w:fill="FFFFFF" w:themeFill="background1"/>
          </w:tcPr>
          <w:p w14:paraId="5800176C" w14:textId="2FCC8CB6" w:rsidR="00F51113" w:rsidRPr="004C2DCD" w:rsidRDefault="00F51113" w:rsidP="003D0542">
            <w:pPr>
              <w:pStyle w:val="BodyText"/>
              <w:spacing w:before="100" w:after="100" w:line="260" w:lineRule="atLeast"/>
            </w:pPr>
            <w:r w:rsidRPr="004C2DCD">
              <w:t>New Zealand’s net emissions (including emissions and removals from the LULUCF sector) reported in Inventory 2024 were 59.2 Mt CO</w:t>
            </w:r>
            <w:r w:rsidRPr="004C2DCD">
              <w:rPr>
                <w:vertAlign w:val="subscript"/>
              </w:rPr>
              <w:t>2</w:t>
            </w:r>
            <w:r w:rsidRPr="004C2DCD">
              <w:t>e in 2022.</w:t>
            </w:r>
          </w:p>
        </w:tc>
      </w:tr>
      <w:tr w:rsidR="00F51113" w:rsidRPr="004C2DCD" w14:paraId="292F75DD" w14:textId="77777777">
        <w:tc>
          <w:tcPr>
            <w:tcW w:w="8505" w:type="dxa"/>
            <w:tcBorders>
              <w:top w:val="single" w:sz="4" w:space="0" w:color="2C9986" w:themeColor="accent4"/>
              <w:bottom w:val="single" w:sz="4" w:space="0" w:color="2C9986" w:themeColor="accent4"/>
            </w:tcBorders>
            <w:shd w:val="clear" w:color="auto" w:fill="FFFFFF" w:themeFill="background1"/>
          </w:tcPr>
          <w:p w14:paraId="188E6117" w14:textId="0C49696D" w:rsidR="00F51113" w:rsidRPr="004C2DCD" w:rsidRDefault="00F51113" w:rsidP="003D0542">
            <w:pPr>
              <w:pStyle w:val="BodyText"/>
              <w:spacing w:before="100" w:after="100" w:line="260" w:lineRule="atLeast"/>
            </w:pPr>
            <w:r w:rsidRPr="004C2DCD">
              <w:t>New Zealand’s net emissions (including emissions and removals from the LULUCF sector) are projected to be 54.7 Mt CO</w:t>
            </w:r>
            <w:r w:rsidRPr="004C2DCD">
              <w:rPr>
                <w:vertAlign w:val="subscript"/>
              </w:rPr>
              <w:t>2</w:t>
            </w:r>
            <w:r w:rsidRPr="004C2DCD">
              <w:t>e in 2030 and 34.0 Mt CO</w:t>
            </w:r>
            <w:r w:rsidRPr="004C2DCD">
              <w:rPr>
                <w:vertAlign w:val="subscript"/>
              </w:rPr>
              <w:t>2</w:t>
            </w:r>
            <w:r w:rsidRPr="004C2DCD">
              <w:t>e in 2050.</w:t>
            </w:r>
          </w:p>
        </w:tc>
      </w:tr>
      <w:tr w:rsidR="00F51113" w:rsidRPr="004C2DCD" w14:paraId="77C87756" w14:textId="77777777">
        <w:tc>
          <w:tcPr>
            <w:tcW w:w="8505" w:type="dxa"/>
            <w:tcBorders>
              <w:top w:val="single" w:sz="4" w:space="0" w:color="2C9986" w:themeColor="accent4"/>
              <w:bottom w:val="single" w:sz="4" w:space="0" w:color="2C9986" w:themeColor="accent4"/>
            </w:tcBorders>
            <w:shd w:val="clear" w:color="auto" w:fill="FFFFFF" w:themeFill="background1"/>
          </w:tcPr>
          <w:p w14:paraId="1CC97634" w14:textId="1727F379" w:rsidR="00F51113" w:rsidRPr="004C2DCD" w:rsidRDefault="00F51113" w:rsidP="003D0542">
            <w:pPr>
              <w:pStyle w:val="BodyText"/>
              <w:spacing w:before="100" w:after="100" w:line="260" w:lineRule="atLeast"/>
            </w:pPr>
            <w:r w:rsidRPr="004C2DCD">
              <w:t>Over the period to 2050, the largest projected decreases are expected from the Energy, Transport, and Industrial Processes and Product Use sectors. Agriculture emissions are projected to gradually decrease to 2035 and remain relatively stable out to 2050. Emissions from the Waste sector, having already decreased 20 per cent since 1990, are projected to gradually decline out to 2050.</w:t>
            </w:r>
          </w:p>
        </w:tc>
      </w:tr>
      <w:tr w:rsidR="00F51113" w:rsidRPr="004C2DCD" w14:paraId="217D6178" w14:textId="77777777">
        <w:tc>
          <w:tcPr>
            <w:tcW w:w="8505" w:type="dxa"/>
            <w:tcBorders>
              <w:top w:val="single" w:sz="4" w:space="0" w:color="2C9986" w:themeColor="accent4"/>
              <w:bottom w:val="single" w:sz="4" w:space="0" w:color="2C9986" w:themeColor="accent4"/>
            </w:tcBorders>
            <w:shd w:val="clear" w:color="auto" w:fill="FFFFFF" w:themeFill="background1"/>
          </w:tcPr>
          <w:p w14:paraId="60972543" w14:textId="226F4FC3" w:rsidR="00F51113" w:rsidRPr="004C2DCD" w:rsidRDefault="00F51113" w:rsidP="003D0542">
            <w:pPr>
              <w:pStyle w:val="BodyText"/>
              <w:spacing w:before="100" w:after="100" w:line="260" w:lineRule="atLeast"/>
            </w:pPr>
            <w:r w:rsidRPr="004C2DCD">
              <w:t xml:space="preserve">The net emissions reported in section 2.5 are based on the full Land </w:t>
            </w:r>
            <w:r w:rsidR="00D031EC">
              <w:t>U</w:t>
            </w:r>
            <w:r w:rsidRPr="004C2DCD">
              <w:t>se, Land-</w:t>
            </w:r>
            <w:r w:rsidR="00ED5254">
              <w:t>U</w:t>
            </w:r>
            <w:r w:rsidRPr="004C2DCD">
              <w:t>se Change and Forestry sector. They are not used to account towards New Zealand’s emission</w:t>
            </w:r>
            <w:r w:rsidR="0022489A">
              <w:t>s</w:t>
            </w:r>
            <w:r w:rsidRPr="004C2DCD">
              <w:t xml:space="preserve"> reduction targets. See instead </w:t>
            </w:r>
            <w:hyperlink w:anchor="section26" w:history="1">
              <w:r w:rsidRPr="00B51A8F">
                <w:rPr>
                  <w:rStyle w:val="Hyperlink"/>
                  <w:rFonts w:cstheme="minorBidi"/>
                  <w:sz w:val="22"/>
                  <w:szCs w:val="22"/>
                </w:rPr>
                <w:t>section 2.6</w:t>
              </w:r>
            </w:hyperlink>
            <w:r w:rsidRPr="004C2DCD">
              <w:t xml:space="preserve"> for projections that monitor progress towards New Zealand’s first Nationally Determined Contribution.</w:t>
            </w:r>
          </w:p>
        </w:tc>
      </w:tr>
    </w:tbl>
    <w:p w14:paraId="61F936C0" w14:textId="77777777" w:rsidR="00F51113" w:rsidRPr="004C2DCD" w:rsidRDefault="00F51113" w:rsidP="00784F5F">
      <w:pPr>
        <w:pStyle w:val="Heading2"/>
        <w:numPr>
          <w:ilvl w:val="0"/>
          <w:numId w:val="109"/>
        </w:numPr>
        <w:spacing w:before="440"/>
      </w:pPr>
      <w:bookmarkStart w:id="503" w:name="_Toc184825523"/>
      <w:r w:rsidRPr="004C2DCD">
        <w:t>Introduction</w:t>
      </w:r>
      <w:bookmarkEnd w:id="503"/>
    </w:p>
    <w:p w14:paraId="30B653C5" w14:textId="77777777" w:rsidR="00F51113" w:rsidRPr="004C2DCD" w:rsidRDefault="00F51113" w:rsidP="00F51113">
      <w:pPr>
        <w:pStyle w:val="BodyText"/>
        <w:spacing w:after="100"/>
      </w:pPr>
      <w:r w:rsidRPr="004C2DCD">
        <w:t>This section presents New Zealand’s projected greenhouse gas (GHG) emissions and removals under two</w:t>
      </w:r>
      <w:r w:rsidRPr="004C2DCD" w:rsidDel="00B337AB">
        <w:t xml:space="preserve"> </w:t>
      </w:r>
      <w:r w:rsidRPr="004C2DCD">
        <w:t>scenarios:</w:t>
      </w:r>
    </w:p>
    <w:p w14:paraId="5DB8753F" w14:textId="77777777" w:rsidR="00F51113" w:rsidRPr="004C2DCD" w:rsidRDefault="00F51113" w:rsidP="00F51113">
      <w:pPr>
        <w:pStyle w:val="Bullet"/>
      </w:pPr>
      <w:r w:rsidRPr="004C2DCD">
        <w:t>‘with existing measures’ (WEM) – currently implemented and adopted policies and measures</w:t>
      </w:r>
    </w:p>
    <w:p w14:paraId="0876D313" w14:textId="77777777" w:rsidR="00F51113" w:rsidRPr="004C2DCD" w:rsidRDefault="00F51113" w:rsidP="00F51113">
      <w:pPr>
        <w:pStyle w:val="Bullet"/>
      </w:pPr>
      <w:r w:rsidRPr="004C2DCD">
        <w:t>‘without measures’ (WOM) – excludes implemented, adopted and planned policies and measures.</w:t>
      </w:r>
    </w:p>
    <w:p w14:paraId="0F46C81E" w14:textId="29CA100A" w:rsidR="008677D4" w:rsidRPr="004C2DCD" w:rsidRDefault="00F51113" w:rsidP="008677D4">
      <w:pPr>
        <w:pStyle w:val="BodyText"/>
      </w:pPr>
      <w:r w:rsidRPr="004C2DCD">
        <w:t xml:space="preserve">A ‘with additional measures’ scenario is not included at this time. </w:t>
      </w:r>
      <w:r w:rsidR="008677D4" w:rsidRPr="00173543">
        <w:t>This was due to the timing of the second emissions reduction plan, which was published in December 2024.</w:t>
      </w:r>
    </w:p>
    <w:p w14:paraId="083D5D34" w14:textId="453889B2" w:rsidR="00F51113" w:rsidRPr="004C2DCD" w:rsidRDefault="00F51113" w:rsidP="008677D4">
      <w:pPr>
        <w:pStyle w:val="BodyText"/>
      </w:pPr>
      <w:r w:rsidRPr="004C2DCD">
        <w:t>The projections in this section do not measure progress towards New Zealand’s first Nationally Determined Contribution (NDC1) under the Paris Agreement or New Zealand’s domestic emissions targets and budgets.</w:t>
      </w:r>
      <w:r w:rsidRPr="004C2DCD">
        <w:rPr>
          <w:rStyle w:val="FootnoteReference"/>
        </w:rPr>
        <w:footnoteReference w:id="176"/>
      </w:r>
      <w:r w:rsidRPr="004C2DCD">
        <w:t xml:space="preserve"> This information is provided in </w:t>
      </w:r>
      <w:hyperlink w:anchor="section26" w:history="1">
        <w:r w:rsidRPr="00B51A8F">
          <w:rPr>
            <w:rStyle w:val="Hyperlink"/>
          </w:rPr>
          <w:t>section 2.6</w:t>
        </w:r>
      </w:hyperlink>
      <w:r w:rsidRPr="004C2DCD">
        <w:t>.</w:t>
      </w:r>
    </w:p>
    <w:p w14:paraId="352D3A1B" w14:textId="0E90C7A1" w:rsidR="00F51113" w:rsidRPr="004C2DCD" w:rsidRDefault="00F51113" w:rsidP="00B03C45">
      <w:pPr>
        <w:pStyle w:val="BodyText"/>
        <w:spacing w:before="100" w:after="100" w:line="270" w:lineRule="atLeast"/>
      </w:pPr>
      <w:r w:rsidRPr="004C2DCD">
        <w:t xml:space="preserve">The net emissions </w:t>
      </w:r>
      <w:r w:rsidRPr="004C2DCD">
        <w:rPr>
          <w:rFonts w:eastAsia="Aptos"/>
        </w:rPr>
        <w:t xml:space="preserve">reported </w:t>
      </w:r>
      <w:r w:rsidRPr="004C2DCD">
        <w:t xml:space="preserve">in </w:t>
      </w:r>
      <w:hyperlink w:anchor="section25" w:history="1">
        <w:r w:rsidRPr="00B51A8F">
          <w:rPr>
            <w:rStyle w:val="Hyperlink"/>
          </w:rPr>
          <w:t>section 2.5</w:t>
        </w:r>
      </w:hyperlink>
      <w:r w:rsidRPr="004C2DCD">
        <w:t xml:space="preserve"> are based on the full Land</w:t>
      </w:r>
      <w:r w:rsidRPr="004C2DCD">
        <w:rPr>
          <w:rFonts w:eastAsia="Aptos"/>
        </w:rPr>
        <w:t xml:space="preserve"> </w:t>
      </w:r>
      <w:r w:rsidR="00ED5254">
        <w:rPr>
          <w:rFonts w:eastAsia="Aptos"/>
        </w:rPr>
        <w:t>U</w:t>
      </w:r>
      <w:r w:rsidRPr="004C2DCD">
        <w:rPr>
          <w:rFonts w:eastAsia="Aptos"/>
        </w:rPr>
        <w:t>se, Land</w:t>
      </w:r>
      <w:r w:rsidRPr="004C2DCD">
        <w:t>-</w:t>
      </w:r>
      <w:r w:rsidR="00ED5254">
        <w:rPr>
          <w:rFonts w:eastAsia="Aptos"/>
        </w:rPr>
        <w:t>U</w:t>
      </w:r>
      <w:r w:rsidRPr="004C2DCD">
        <w:rPr>
          <w:rFonts w:eastAsia="Aptos"/>
        </w:rPr>
        <w:t>se Change and Forestry (LULUCF) sector</w:t>
      </w:r>
      <w:r w:rsidRPr="004C2DCD">
        <w:t xml:space="preserve">, known as LULUCF reporting. It includes carbon stock changes across all land uses as reported in New Zealand’s Greenhouse Gas Inventory (the Inventory). </w:t>
      </w:r>
    </w:p>
    <w:p w14:paraId="231AE9B7" w14:textId="4E24BC16" w:rsidR="00F51113" w:rsidRPr="004C2DCD" w:rsidRDefault="00F51113" w:rsidP="00B03C45">
      <w:pPr>
        <w:pStyle w:val="BodyText"/>
        <w:spacing w:before="100" w:after="100" w:line="270" w:lineRule="atLeast"/>
      </w:pPr>
      <w:r w:rsidRPr="004C2DCD">
        <w:t>New Zealand’s NDC1 applies accounting rules to the LULUCF sector (to derive</w:t>
      </w:r>
      <w:r w:rsidRPr="004C2DCD">
        <w:rPr>
          <w:rFonts w:eastAsia="Aptos"/>
        </w:rPr>
        <w:t xml:space="preserve"> LULUCF target accounting quantities</w:t>
      </w:r>
      <w:r w:rsidRPr="004C2DCD">
        <w:t xml:space="preserve">). The accounting rules for the LULUCF sector quantify the emissions and removals that arise from the additional action that has occurred since 1990. LULUCF target accounting quantities are derived from forestry activities. Further information on New Zealand’s LULUCF target accounting approach can be found in </w:t>
      </w:r>
      <w:hyperlink w:anchor="section23" w:history="1">
        <w:r w:rsidRPr="00A16118">
          <w:rPr>
            <w:rStyle w:val="Hyperlink"/>
          </w:rPr>
          <w:t>section 2.3</w:t>
        </w:r>
      </w:hyperlink>
      <w:r w:rsidRPr="004C2DCD">
        <w:t xml:space="preserve"> and </w:t>
      </w:r>
      <w:hyperlink w:anchor="annex2" w:history="1">
        <w:r w:rsidRPr="00A16118">
          <w:rPr>
            <w:rStyle w:val="Hyperlink"/>
          </w:rPr>
          <w:t>annex 2</w:t>
        </w:r>
      </w:hyperlink>
      <w:r w:rsidRPr="004C2DCD">
        <w:t xml:space="preserve">. Projections of LULUCF target accounting quantities and net target accounting emissions are detailed in </w:t>
      </w:r>
      <w:hyperlink w:anchor="section26" w:history="1">
        <w:r w:rsidRPr="00A16118">
          <w:rPr>
            <w:rStyle w:val="Hyperlink"/>
          </w:rPr>
          <w:t>section 2.6</w:t>
        </w:r>
      </w:hyperlink>
      <w:r w:rsidRPr="004C2DCD">
        <w:t xml:space="preserve">. </w:t>
      </w:r>
    </w:p>
    <w:p w14:paraId="5A84C508" w14:textId="3319E2BF" w:rsidR="00F51113" w:rsidRPr="004C2DCD" w:rsidRDefault="00A3578A" w:rsidP="00B03C45">
      <w:pPr>
        <w:pStyle w:val="BodyText"/>
        <w:spacing w:before="100" w:after="100" w:line="270" w:lineRule="atLeast"/>
      </w:pPr>
      <w:hyperlink w:anchor="section252" w:history="1">
        <w:r w:rsidR="00F51113" w:rsidRPr="00A3578A">
          <w:rPr>
            <w:rStyle w:val="Hyperlink"/>
          </w:rPr>
          <w:t>Section</w:t>
        </w:r>
        <w:r w:rsidR="00F51113" w:rsidRPr="00A3578A" w:rsidDel="00D8006B">
          <w:rPr>
            <w:rStyle w:val="Hyperlink"/>
          </w:rPr>
          <w:t xml:space="preserve"> </w:t>
        </w:r>
        <w:r w:rsidR="00F51113" w:rsidRPr="00A3578A">
          <w:rPr>
            <w:rStyle w:val="Hyperlink"/>
          </w:rPr>
          <w:t>2.5.2</w:t>
        </w:r>
      </w:hyperlink>
      <w:r w:rsidR="00F51113" w:rsidRPr="004C2DCD">
        <w:t xml:space="preserve"> provides a summary of projections for total gross and net emissions under the WEM scenario from 1990 to 2050. </w:t>
      </w:r>
    </w:p>
    <w:p w14:paraId="32879C8C" w14:textId="4FBD614D" w:rsidR="00F51113" w:rsidRPr="004C2DCD" w:rsidRDefault="00A3578A" w:rsidP="00B03C45">
      <w:pPr>
        <w:pStyle w:val="BodyText"/>
        <w:spacing w:before="100" w:after="100" w:line="270" w:lineRule="atLeast"/>
      </w:pPr>
      <w:hyperlink w:anchor="section253" w:history="1">
        <w:r w:rsidR="00F51113" w:rsidRPr="00A3578A">
          <w:rPr>
            <w:rStyle w:val="Hyperlink"/>
          </w:rPr>
          <w:t>Section 2.5.3</w:t>
        </w:r>
      </w:hyperlink>
      <w:r w:rsidR="00F51113" w:rsidRPr="004C2DCD">
        <w:t xml:space="preserve"> provides details on the key assumptions, variables, policies and measures under the WEM scenario, and </w:t>
      </w:r>
      <w:hyperlink w:anchor="section254" w:history="1">
        <w:r w:rsidR="00F51113" w:rsidRPr="002F235A">
          <w:rPr>
            <w:rStyle w:val="Hyperlink"/>
          </w:rPr>
          <w:t>section 2.5.4</w:t>
        </w:r>
      </w:hyperlink>
      <w:r w:rsidR="00F51113" w:rsidRPr="004C2DCD">
        <w:t xml:space="preserve"> provides New Zealand’s gross and net greenhouse emissions under the WEM scenario from 1990 to 2050 disaggregated by sector and gas type. </w:t>
      </w:r>
    </w:p>
    <w:p w14:paraId="178D7C21" w14:textId="11BEBA4A" w:rsidR="00F51113" w:rsidRPr="004C2DCD" w:rsidRDefault="002F235A" w:rsidP="00B03C45">
      <w:pPr>
        <w:pStyle w:val="BodyText"/>
        <w:spacing w:before="100" w:after="100" w:line="270" w:lineRule="atLeast"/>
      </w:pPr>
      <w:hyperlink w:anchor="section255" w:history="1">
        <w:r w:rsidR="00F51113" w:rsidRPr="002F235A">
          <w:rPr>
            <w:rStyle w:val="Hyperlink"/>
          </w:rPr>
          <w:t>Section 2.5.5</w:t>
        </w:r>
      </w:hyperlink>
      <w:r w:rsidR="00F51113" w:rsidRPr="004C2DCD">
        <w:t xml:space="preserve"> provides details on the methodologies under the WEM scenario, including key cross-sectoral assumptions and variables, and the ‘sector-based’ and ‘whole-of-economy’ modelling approach used to develop the projections. </w:t>
      </w:r>
      <w:hyperlink w:anchor="section256" w:history="1">
        <w:r w:rsidR="00F51113" w:rsidRPr="002F235A">
          <w:rPr>
            <w:rStyle w:val="Hyperlink"/>
          </w:rPr>
          <w:t>Section 2.5.6</w:t>
        </w:r>
      </w:hyperlink>
      <w:r w:rsidR="00F51113" w:rsidRPr="004C2DCD">
        <w:t xml:space="preserve"> provides details of the sensitivity analyses performed under the WEM scenario. </w:t>
      </w:r>
    </w:p>
    <w:p w14:paraId="29DFCC97" w14:textId="2AFD6FCA" w:rsidR="00F51113" w:rsidRPr="004C2DCD" w:rsidRDefault="002F235A" w:rsidP="00B03C45">
      <w:pPr>
        <w:pStyle w:val="BodyText"/>
        <w:spacing w:before="100" w:after="100" w:line="270" w:lineRule="atLeast"/>
      </w:pPr>
      <w:hyperlink w:anchor="section257" w:history="1">
        <w:r w:rsidR="00F51113" w:rsidRPr="002F235A">
          <w:rPr>
            <w:rStyle w:val="Hyperlink"/>
          </w:rPr>
          <w:t>Section 2.5.7</w:t>
        </w:r>
      </w:hyperlink>
      <w:r w:rsidR="00F51113" w:rsidRPr="004C2DCD">
        <w:t xml:space="preserve"> provides a summary of the WOM scenario, including gross and net emissions from 1990 to 2050 disaggregated by gas and sector. It includes details on the methodologies used for the WOM scenario. </w:t>
      </w:r>
    </w:p>
    <w:p w14:paraId="09B88517" w14:textId="6838F246" w:rsidR="00F51113" w:rsidRPr="004C2DCD" w:rsidRDefault="00F51113" w:rsidP="00B03C45">
      <w:pPr>
        <w:pStyle w:val="BodyText"/>
        <w:spacing w:before="100" w:after="100" w:line="270" w:lineRule="atLeast"/>
      </w:pPr>
      <w:r w:rsidRPr="004C2DCD">
        <w:t xml:space="preserve">The projections are calibrated against estimates reported in </w:t>
      </w:r>
      <w:r w:rsidRPr="004C2DCD">
        <w:rPr>
          <w:i/>
          <w:iCs/>
        </w:rPr>
        <w:t>New Zealand’s Greenhouse Gas Inventory 1990–2022</w:t>
      </w:r>
      <w:r w:rsidRPr="004C2DCD">
        <w:t xml:space="preserve"> (Inventory 2024),</w:t>
      </w:r>
      <w:r w:rsidRPr="004C2DCD">
        <w:rPr>
          <w:rStyle w:val="FootnoteReference"/>
        </w:rPr>
        <w:footnoteReference w:id="177"/>
      </w:r>
      <w:r w:rsidRPr="004C2DCD">
        <w:t xml:space="preserve"> alongside the historical and projected key assumptions driving the emission</w:t>
      </w:r>
      <w:r w:rsidR="002E10F2">
        <w:t>s</w:t>
      </w:r>
      <w:r w:rsidRPr="004C2DCD">
        <w:t xml:space="preserve"> scenarios. Projections of emissions and removals are produced on a sector-by-sector and whole-of-economy basis, by gas, and compiled by the Ministry for the Environment.</w:t>
      </w:r>
    </w:p>
    <w:p w14:paraId="06D67ABB" w14:textId="77777777" w:rsidR="00F51113" w:rsidRPr="004C2DCD" w:rsidRDefault="00F51113" w:rsidP="00784F5F">
      <w:pPr>
        <w:pStyle w:val="Heading2"/>
        <w:numPr>
          <w:ilvl w:val="0"/>
          <w:numId w:val="109"/>
        </w:numPr>
        <w:spacing w:before="280"/>
      </w:pPr>
      <w:bookmarkStart w:id="504" w:name="section252"/>
      <w:bookmarkStart w:id="505" w:name="_Toc184825524"/>
      <w:bookmarkEnd w:id="504"/>
      <w:r w:rsidRPr="004C2DCD">
        <w:t>Summary of projections</w:t>
      </w:r>
      <w:bookmarkEnd w:id="505"/>
    </w:p>
    <w:p w14:paraId="6D2F1453" w14:textId="77777777" w:rsidR="00F51113" w:rsidRPr="004C2DCD" w:rsidRDefault="00F51113" w:rsidP="00AC659E">
      <w:pPr>
        <w:pStyle w:val="Heading3"/>
        <w:numPr>
          <w:ilvl w:val="0"/>
          <w:numId w:val="110"/>
        </w:numPr>
        <w:spacing w:before="180"/>
        <w:ind w:left="1134" w:hanging="1134"/>
      </w:pPr>
      <w:r w:rsidRPr="004C2DCD">
        <w:t>Projected gross and net greenhouse gas emissions and removals, under the ‘with existing measures’ scenario</w:t>
      </w:r>
    </w:p>
    <w:p w14:paraId="422B9D6D" w14:textId="77777777" w:rsidR="00F51113" w:rsidRPr="004C2DCD" w:rsidRDefault="00F51113" w:rsidP="00F51113">
      <w:pPr>
        <w:pStyle w:val="BodyText"/>
      </w:pPr>
      <w:r w:rsidRPr="004C2DCD">
        <w:t>New Zealand’s reported (historical) and projected gross and net GHG emissions are shown in figure 2.5.1.</w:t>
      </w:r>
      <w:r w:rsidRPr="004C2DCD">
        <w:rPr>
          <w:rStyle w:val="FootnoteReference"/>
        </w:rPr>
        <w:footnoteReference w:id="178"/>
      </w:r>
      <w:r w:rsidRPr="004C2DCD">
        <w:t xml:space="preserve"> The estimates for 1990 to 2022 are consistent with data reported in Inventory 2024. The estimates for 2023 to 2050 are projections, using the WEM scenario. </w:t>
      </w:r>
    </w:p>
    <w:p w14:paraId="1E434062" w14:textId="77777777" w:rsidR="00F51113" w:rsidRPr="004C2DCD" w:rsidRDefault="00F51113" w:rsidP="00F51113">
      <w:pPr>
        <w:pStyle w:val="BodyText"/>
        <w:spacing w:after="60"/>
      </w:pPr>
      <w:r w:rsidRPr="004C2DCD">
        <w:t xml:space="preserve">The WEM scenario quantifies the impacts of policies implemented and adopted by the Government at the time when modelling was undertaken. This includes the impacts of current </w:t>
      </w:r>
      <w:r w:rsidRPr="004C2DCD">
        <w:rPr>
          <w:spacing w:val="-2"/>
        </w:rPr>
        <w:t>legislation and any anticipated changes, while also taking account of the signalled strengthening</w:t>
      </w:r>
      <w:r w:rsidRPr="004C2DCD">
        <w:t xml:space="preserve"> of existing policies and measures (ie, any strengthening foreseen under current legislation).</w:t>
      </w:r>
    </w:p>
    <w:p w14:paraId="1509A4A7" w14:textId="77777777" w:rsidR="00F51113" w:rsidRPr="004C2DCD" w:rsidRDefault="00F51113" w:rsidP="00201256">
      <w:pPr>
        <w:pStyle w:val="Figureheading"/>
      </w:pPr>
      <w:bookmarkStart w:id="506" w:name="_Toc185347245"/>
      <w:r w:rsidRPr="004C2DCD">
        <w:t>Figure 2.5.1:</w:t>
      </w:r>
      <w:r w:rsidRPr="004C2DCD">
        <w:rPr>
          <w:rStyle w:val="CommentReference"/>
          <w:b w:val="0"/>
        </w:rPr>
        <w:t xml:space="preserve"> </w:t>
      </w:r>
      <w:r w:rsidRPr="004C2DCD">
        <w:rPr>
          <w:rStyle w:val="CommentReference"/>
          <w:b w:val="0"/>
        </w:rPr>
        <w:tab/>
      </w:r>
      <w:r w:rsidRPr="004C2DCD">
        <w:t xml:space="preserve">New Zealand greenhouse gas </w:t>
      </w:r>
      <w:r w:rsidRPr="00201256">
        <w:t>emissions</w:t>
      </w:r>
      <w:r w:rsidRPr="004C2DCD">
        <w:t xml:space="preserve"> and removals under the ‘with existing measures’ scenario, 1990–2050</w:t>
      </w:r>
      <w:bookmarkEnd w:id="506"/>
      <w:r w:rsidRPr="004C2DCD">
        <w:t xml:space="preserve"> </w:t>
      </w:r>
    </w:p>
    <w:p w14:paraId="2DFE6539" w14:textId="6DA8D705" w:rsidR="00F51113" w:rsidRPr="004C2DCD" w:rsidRDefault="00B24C6C" w:rsidP="00F51113">
      <w:pPr>
        <w:pStyle w:val="BodyText"/>
      </w:pPr>
      <w:r>
        <w:rPr>
          <w:noProof/>
        </w:rPr>
        <w:drawing>
          <wp:inline distT="0" distB="0" distL="0" distR="0" wp14:anchorId="2AE43C9A" wp14:editId="4B0FC260">
            <wp:extent cx="5151337" cy="2589375"/>
            <wp:effectExtent l="0" t="0" r="0" b="1905"/>
            <wp:docPr id="1210016783" name="Picture 26" descr="A bar and line graph showing New Zealand’s greenhouse gas emissions and removals in million tonnes of carbon dioxide equivalent under the ‘with existing measures’ scenario for 1990 to 2050. The graph compares gross emissions, net historical emissions, net projected emissions and emissions and removals for the Land-Use, Land-use Change and Forestry sector separat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016783" name="Picture 26" descr="A bar and line graph showing New Zealand’s greenhouse gas emissions and removals in million tonnes of carbon dioxide equivalent under the ‘with existing measures’ scenario for 1990 to 2050. The graph compares gross emissions, net historical emissions, net projected emissions and emissions and removals for the Land-Use, Land-use Change and Forestry sector separately."/>
                    <pic:cNvPicPr>
                      <a:picLocks noChangeAspect="1" noChangeArrowheads="1"/>
                    </pic:cNvPicPr>
                  </pic:nvPicPr>
                  <pic:blipFill rotWithShape="1">
                    <a:blip r:embed="rId97">
                      <a:extLst>
                        <a:ext uri="{28A0092B-C50C-407E-A947-70E740481C1C}">
                          <a14:useLocalDpi xmlns:a14="http://schemas.microsoft.com/office/drawing/2010/main" val="0"/>
                        </a:ext>
                      </a:extLst>
                    </a:blip>
                    <a:srcRect t="2728" b="5412"/>
                    <a:stretch/>
                  </pic:blipFill>
                  <pic:spPr bwMode="auto">
                    <a:xfrm>
                      <a:off x="0" y="0"/>
                      <a:ext cx="5170297" cy="2598906"/>
                    </a:xfrm>
                    <a:prstGeom prst="rect">
                      <a:avLst/>
                    </a:prstGeom>
                    <a:noFill/>
                    <a:ln>
                      <a:noFill/>
                    </a:ln>
                    <a:extLst>
                      <a:ext uri="{53640926-AAD7-44D8-BBD7-CCE9431645EC}">
                        <a14:shadowObscured xmlns:a14="http://schemas.microsoft.com/office/drawing/2010/main"/>
                      </a:ext>
                    </a:extLst>
                  </pic:spPr>
                </pic:pic>
              </a:graphicData>
            </a:graphic>
          </wp:inline>
        </w:drawing>
      </w:r>
      <w:r w:rsidR="00D14DDB" w:rsidRPr="004C2DCD">
        <w:rPr>
          <w:noProof/>
        </w:rPr>
        <w:t xml:space="preserve"> </w:t>
      </w:r>
    </w:p>
    <w:p w14:paraId="137E0B49" w14:textId="1AE0D34D" w:rsidR="00F51113" w:rsidRPr="004C2DCD" w:rsidRDefault="00F51113" w:rsidP="00F51113">
      <w:pPr>
        <w:pStyle w:val="Note"/>
        <w:spacing w:before="60"/>
      </w:pPr>
      <w:r w:rsidRPr="004C2DCD">
        <w:rPr>
          <w:b/>
          <w:bCs/>
        </w:rPr>
        <w:t>Note:</w:t>
      </w:r>
      <w:r w:rsidRPr="004C2DCD">
        <w:t xml:space="preserve"> LULUCF = Land Use, Land-Use Change and Forestry; Mt CO</w:t>
      </w:r>
      <w:r w:rsidRPr="004C2DCD">
        <w:rPr>
          <w:vertAlign w:val="subscript"/>
        </w:rPr>
        <w:t>2</w:t>
      </w:r>
      <w:r w:rsidRPr="004C2DCD">
        <w:t xml:space="preserve">e = </w:t>
      </w:r>
      <w:r w:rsidRPr="004C2DCD">
        <w:rPr>
          <w:rFonts w:eastAsia="Calibri" w:cs="Calibri"/>
        </w:rPr>
        <w:t xml:space="preserve">million tonnes of </w:t>
      </w:r>
      <w:r w:rsidRPr="004C2DCD">
        <w:t>carbon dioxide equivalent.</w:t>
      </w:r>
    </w:p>
    <w:p w14:paraId="65839F3F" w14:textId="62D9E227" w:rsidR="00F51113" w:rsidRPr="004C2DCD" w:rsidRDefault="00513535" w:rsidP="00513535">
      <w:pPr>
        <w:pStyle w:val="Heading4"/>
      </w:pPr>
      <w:r>
        <w:t>2.</w:t>
      </w:r>
      <w:r w:rsidR="00000D55">
        <w:t>5.2.1.1</w:t>
      </w:r>
      <w:r w:rsidR="00000D55">
        <w:tab/>
      </w:r>
      <w:r w:rsidR="00F51113" w:rsidRPr="004C2DCD">
        <w:t>Changes in gross emissions</w:t>
      </w:r>
    </w:p>
    <w:p w14:paraId="058128C7" w14:textId="3AE93758" w:rsidR="00F51113" w:rsidRPr="004C2DCD" w:rsidRDefault="00F51113" w:rsidP="00F51113">
      <w:pPr>
        <w:pStyle w:val="BodyText"/>
        <w:rPr>
          <w:rFonts w:eastAsia="Aptos"/>
        </w:rPr>
      </w:pPr>
      <w:r w:rsidRPr="004C2DCD">
        <w:rPr>
          <w:rFonts w:eastAsia="Aptos"/>
        </w:rPr>
        <w:t>New Zealand’s gross emissions (excluding emissions and removals from the LULUCF sector</w:t>
      </w:r>
      <w:r w:rsidR="00FA3662">
        <w:rPr>
          <w:rFonts w:eastAsia="Aptos"/>
        </w:rPr>
        <w:t>)</w:t>
      </w:r>
      <w:r w:rsidRPr="004C2DCD">
        <w:rPr>
          <w:rFonts w:eastAsia="Aptos"/>
        </w:rPr>
        <w:t xml:space="preserve"> were </w:t>
      </w:r>
      <w:r w:rsidRPr="004C2DCD">
        <w:t>reported</w:t>
      </w:r>
      <w:r w:rsidRPr="004C2DCD">
        <w:rPr>
          <w:rFonts w:eastAsia="Aptos"/>
        </w:rPr>
        <w:t xml:space="preserve"> as 69.0 million tonnes of carbon dioxide equivalent (Mt CO</w:t>
      </w:r>
      <w:r w:rsidRPr="004C2DCD">
        <w:rPr>
          <w:rFonts w:eastAsia="Aptos"/>
          <w:vertAlign w:val="subscript"/>
        </w:rPr>
        <w:t>2</w:t>
      </w:r>
      <w:r w:rsidRPr="004C2DCD">
        <w:rPr>
          <w:rFonts w:eastAsia="Aptos"/>
        </w:rPr>
        <w:t>e) in 1990 and 78.4 Mt CO</w:t>
      </w:r>
      <w:r w:rsidRPr="004C2DCD">
        <w:rPr>
          <w:rFonts w:eastAsia="Aptos"/>
          <w:vertAlign w:val="subscript"/>
        </w:rPr>
        <w:t>2</w:t>
      </w:r>
      <w:r w:rsidRPr="004C2DCD">
        <w:rPr>
          <w:rFonts w:eastAsia="Aptos"/>
        </w:rPr>
        <w:t xml:space="preserve">e in 2022 (13.7 per cent above 1990 levels). </w:t>
      </w:r>
    </w:p>
    <w:p w14:paraId="47061B8E" w14:textId="5BD3532E" w:rsidR="00F51113" w:rsidRPr="004C2DCD" w:rsidRDefault="00F51113" w:rsidP="00F51113">
      <w:pPr>
        <w:pStyle w:val="BodyText"/>
        <w:rPr>
          <w:rFonts w:eastAsia="Aptos"/>
        </w:rPr>
      </w:pPr>
      <w:r w:rsidRPr="004C2DCD">
        <w:rPr>
          <w:rFonts w:eastAsia="Aptos"/>
        </w:rPr>
        <w:t>New Zealand’s gross emissions first exceeded 80.0 Mt CO</w:t>
      </w:r>
      <w:r w:rsidRPr="004C2DCD">
        <w:rPr>
          <w:rFonts w:eastAsia="Aptos"/>
          <w:vertAlign w:val="subscript"/>
        </w:rPr>
        <w:t>2</w:t>
      </w:r>
      <w:r w:rsidRPr="004C2DCD">
        <w:rPr>
          <w:rFonts w:eastAsia="Aptos"/>
        </w:rPr>
        <w:t>e per year in 2001 and peaked in 2006 at 86.7 Mt CO</w:t>
      </w:r>
      <w:r w:rsidRPr="004C2DCD">
        <w:rPr>
          <w:rFonts w:eastAsia="Aptos"/>
          <w:vertAlign w:val="subscript"/>
        </w:rPr>
        <w:t>2</w:t>
      </w:r>
      <w:r w:rsidRPr="004C2DCD">
        <w:rPr>
          <w:rFonts w:eastAsia="Aptos"/>
        </w:rPr>
        <w:t>e. Gross emissions declined moderately thereafter but remained above 80.0 Mt CO</w:t>
      </w:r>
      <w:r w:rsidRPr="004C2DCD">
        <w:rPr>
          <w:rFonts w:eastAsia="Aptos"/>
          <w:vertAlign w:val="subscript"/>
        </w:rPr>
        <w:t>2</w:t>
      </w:r>
      <w:r w:rsidRPr="004C2DCD">
        <w:rPr>
          <w:rFonts w:eastAsia="Aptos"/>
        </w:rPr>
        <w:t>e per year until 2021. Gross emissions declined to below 80.0 Mt CO</w:t>
      </w:r>
      <w:r w:rsidRPr="004C2DCD">
        <w:rPr>
          <w:rFonts w:eastAsia="Aptos"/>
          <w:vertAlign w:val="subscript"/>
        </w:rPr>
        <w:t>2</w:t>
      </w:r>
      <w:r w:rsidRPr="004C2DCD">
        <w:rPr>
          <w:rFonts w:eastAsia="Aptos"/>
        </w:rPr>
        <w:t>e in 2022 and were reported as 78.4 Mt CO</w:t>
      </w:r>
      <w:r w:rsidRPr="004C2DCD">
        <w:rPr>
          <w:rFonts w:eastAsia="Aptos"/>
          <w:vertAlign w:val="subscript"/>
        </w:rPr>
        <w:t>2</w:t>
      </w:r>
      <w:r w:rsidRPr="004C2DCD">
        <w:rPr>
          <w:rFonts w:eastAsia="Aptos"/>
        </w:rPr>
        <w:t xml:space="preserve">e in that year. </w:t>
      </w:r>
    </w:p>
    <w:p w14:paraId="505BF871" w14:textId="77777777" w:rsidR="00F51113" w:rsidRPr="004C2DCD" w:rsidRDefault="00F51113" w:rsidP="00F51113">
      <w:pPr>
        <w:pStyle w:val="BodyText"/>
        <w:rPr>
          <w:rFonts w:eastAsia="Aptos"/>
        </w:rPr>
      </w:pPr>
      <w:r w:rsidRPr="004C2DCD">
        <w:rPr>
          <w:rFonts w:eastAsia="Aptos"/>
        </w:rPr>
        <w:t>Under the WEM scenario, gross emissions are projected to be 71.7 Mt CO</w:t>
      </w:r>
      <w:r w:rsidRPr="004C2DCD">
        <w:rPr>
          <w:rFonts w:eastAsia="Aptos"/>
          <w:vertAlign w:val="subscript"/>
        </w:rPr>
        <w:t>2</w:t>
      </w:r>
      <w:r w:rsidRPr="004C2DCD">
        <w:rPr>
          <w:rFonts w:eastAsia="Aptos"/>
        </w:rPr>
        <w:t>e (3.9 per cent above 1990 levels) in 2030 and 62.9 Mt CO</w:t>
      </w:r>
      <w:r w:rsidRPr="004C2DCD">
        <w:rPr>
          <w:rFonts w:eastAsia="Aptos"/>
          <w:vertAlign w:val="subscript"/>
        </w:rPr>
        <w:t>2</w:t>
      </w:r>
      <w:r w:rsidRPr="004C2DCD">
        <w:rPr>
          <w:rFonts w:eastAsia="Aptos"/>
        </w:rPr>
        <w:t>e (8.8 per cent below 1990 levels) in 2050.</w:t>
      </w:r>
      <w:r w:rsidRPr="004C2DCD" w:rsidDel="003B248E">
        <w:rPr>
          <w:rFonts w:eastAsia="Aptos"/>
        </w:rPr>
        <w:t xml:space="preserve"> </w:t>
      </w:r>
      <w:r w:rsidRPr="004C2DCD">
        <w:rPr>
          <w:rFonts w:eastAsia="Aptos"/>
        </w:rPr>
        <w:t>From 2035, gross emissions are projected to remain below 1990 levels.</w:t>
      </w:r>
    </w:p>
    <w:p w14:paraId="7356E96E" w14:textId="7B04339C" w:rsidR="00F51113" w:rsidRPr="004C2DCD" w:rsidRDefault="00F51113" w:rsidP="00F51113">
      <w:pPr>
        <w:pStyle w:val="BodyText"/>
        <w:rPr>
          <w:rFonts w:eastAsia="Calibri"/>
        </w:rPr>
      </w:pPr>
      <w:r w:rsidRPr="004C2DCD">
        <w:rPr>
          <w:rFonts w:eastAsia="Calibri"/>
        </w:rPr>
        <w:t>Over the projected period to 2050, the largest decreases will likely occur in the Energy, Transport, and Industrial Processes and Product Use (IPPU) sectors. Agricultur</w:t>
      </w:r>
      <w:r w:rsidR="006558EB">
        <w:rPr>
          <w:rFonts w:eastAsia="Calibri"/>
        </w:rPr>
        <w:t>e</w:t>
      </w:r>
      <w:r w:rsidRPr="004C2DCD">
        <w:rPr>
          <w:rFonts w:eastAsia="Calibri"/>
        </w:rPr>
        <w:t xml:space="preserve"> emissions are projected to gradually decrease to 2035 and remain relatively stable out to 2050. Emissions from the Waste sector, having already decreased 20 per cent since 1990, are projected to gradually </w:t>
      </w:r>
      <w:r w:rsidRPr="004C2DCD">
        <w:t>decline</w:t>
      </w:r>
      <w:r w:rsidRPr="004C2DCD">
        <w:rPr>
          <w:rFonts w:eastAsia="Calibri"/>
        </w:rPr>
        <w:t xml:space="preserve"> out to 2050. </w:t>
      </w:r>
    </w:p>
    <w:p w14:paraId="68460DC1" w14:textId="3675CCD6" w:rsidR="00F51113" w:rsidRPr="004C2DCD" w:rsidRDefault="00F51113" w:rsidP="00F51113">
      <w:pPr>
        <w:pStyle w:val="BodyText"/>
        <w:rPr>
          <w:rFonts w:eastAsia="Aptos"/>
        </w:rPr>
      </w:pPr>
      <w:r w:rsidRPr="004C2DCD">
        <w:rPr>
          <w:rFonts w:eastAsia="Aptos"/>
        </w:rPr>
        <w:t xml:space="preserve">These projections do not </w:t>
      </w:r>
      <w:r w:rsidRPr="004C2DCD">
        <w:t>include</w:t>
      </w:r>
      <w:r w:rsidRPr="004C2DCD">
        <w:rPr>
          <w:rFonts w:eastAsia="Aptos"/>
        </w:rPr>
        <w:t xml:space="preserve"> the impact of new policies as part of the Government’s ERP2. </w:t>
      </w:r>
      <w:r w:rsidR="00AB5DBD">
        <w:rPr>
          <w:rFonts w:eastAsia="Aptos"/>
        </w:rPr>
        <w:t xml:space="preserve">ERP2 projections, which include ERP2 policies and updated data, are </w:t>
      </w:r>
      <w:r w:rsidRPr="004C2DCD">
        <w:rPr>
          <w:rFonts w:eastAsia="Aptos"/>
        </w:rPr>
        <w:t xml:space="preserve">projected to further </w:t>
      </w:r>
      <w:r w:rsidRPr="004C2DCD">
        <w:t>reduce</w:t>
      </w:r>
      <w:r w:rsidRPr="004C2DCD">
        <w:rPr>
          <w:rFonts w:eastAsia="Aptos"/>
        </w:rPr>
        <w:t xml:space="preserve"> emissions by 5.2 Mt CO</w:t>
      </w:r>
      <w:r w:rsidRPr="004C2DCD">
        <w:rPr>
          <w:rFonts w:eastAsia="Aptos"/>
          <w:vertAlign w:val="subscript"/>
        </w:rPr>
        <w:t>2</w:t>
      </w:r>
      <w:r w:rsidRPr="004C2DCD">
        <w:rPr>
          <w:rFonts w:eastAsia="Aptos"/>
        </w:rPr>
        <w:t xml:space="preserve">e over the 2021 to 2030 period </w:t>
      </w:r>
      <w:r w:rsidR="00413CED">
        <w:rPr>
          <w:rFonts w:eastAsia="Aptos"/>
        </w:rPr>
        <w:t>compared with the</w:t>
      </w:r>
      <w:r w:rsidR="00413CED" w:rsidRPr="004C2DCD">
        <w:rPr>
          <w:rFonts w:eastAsia="Aptos"/>
        </w:rPr>
        <w:t xml:space="preserve"> </w:t>
      </w:r>
      <w:r w:rsidRPr="004C2DCD">
        <w:rPr>
          <w:rFonts w:eastAsia="Aptos"/>
        </w:rPr>
        <w:t>WEM scenario</w:t>
      </w:r>
      <w:r w:rsidRPr="004C2DCD">
        <w:t>.</w:t>
      </w:r>
      <w:r w:rsidR="000A65A5">
        <w:rPr>
          <w:rStyle w:val="FootnoteReference"/>
        </w:rPr>
        <w:footnoteReference w:id="179"/>
      </w:r>
      <w:r w:rsidRPr="004C2DCD">
        <w:t xml:space="preserve"> Because this report and the ERP2 have been prepared in parallel, the impact of the ERP2 on emissions has not been included in this report. These will be fully reported in New Zealand’s next </w:t>
      </w:r>
      <w:r w:rsidR="00D21994">
        <w:t>Biennial Transparency Report</w:t>
      </w:r>
      <w:r w:rsidRPr="004C2DCD">
        <w:t xml:space="preserve">. </w:t>
      </w:r>
    </w:p>
    <w:p w14:paraId="628A9B6C" w14:textId="77777777" w:rsidR="00F51113" w:rsidRPr="004C2DCD" w:rsidRDefault="00F51113" w:rsidP="00E51ED8">
      <w:pPr>
        <w:pStyle w:val="BodyText"/>
      </w:pPr>
      <w:r w:rsidRPr="004C2DCD">
        <w:t>The projections of gross emissions and net emissions (including emissions and removals from the LULUCF sector) are summarised by sector and gas in table 2.5.1 under the WEM scenario.</w:t>
      </w:r>
    </w:p>
    <w:p w14:paraId="7A79772A" w14:textId="77777777" w:rsidR="00F51113" w:rsidRPr="004C2DCD" w:rsidRDefault="00F51113" w:rsidP="00F51113">
      <w:pPr>
        <w:pStyle w:val="Tableheading"/>
      </w:pPr>
      <w:bookmarkStart w:id="507" w:name="table251"/>
      <w:bookmarkStart w:id="508" w:name="_Toc183789676"/>
      <w:bookmarkStart w:id="509" w:name="_Toc185407466"/>
      <w:bookmarkStart w:id="510" w:name="_Toc185427729"/>
      <w:r w:rsidRPr="004C2DCD">
        <w:t>Table 2.5.1</w:t>
      </w:r>
      <w:bookmarkEnd w:id="507"/>
      <w:r w:rsidRPr="004C2DCD">
        <w:t xml:space="preserve">: </w:t>
      </w:r>
      <w:r w:rsidRPr="004C2DCD">
        <w:tab/>
        <w:t>New Zealand greenhouse gas emissions and removals under the ‘with existing measures’</w:t>
      </w:r>
      <w:r w:rsidRPr="004C2DCD" w:rsidDel="00A1360C">
        <w:t xml:space="preserve"> </w:t>
      </w:r>
      <w:r w:rsidRPr="004C2DCD">
        <w:t>scenario, 1990–2050 (Mt CO</w:t>
      </w:r>
      <w:r w:rsidRPr="004C2DCD">
        <w:rPr>
          <w:vertAlign w:val="subscript"/>
        </w:rPr>
        <w:t>2</w:t>
      </w:r>
      <w:r w:rsidRPr="004C2DCD">
        <w:t>e)</w:t>
      </w:r>
      <w:bookmarkEnd w:id="508"/>
      <w:bookmarkEnd w:id="509"/>
      <w:bookmarkEnd w:id="510"/>
      <w:r w:rsidRPr="004C2DCD">
        <w:t xml:space="preserve"> </w:t>
      </w:r>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57" w:type="dxa"/>
          <w:right w:w="57" w:type="dxa"/>
        </w:tblCellMar>
        <w:tblLook w:val="04A0" w:firstRow="1" w:lastRow="0" w:firstColumn="1" w:lastColumn="0" w:noHBand="0" w:noVBand="1"/>
      </w:tblPr>
      <w:tblGrid>
        <w:gridCol w:w="959"/>
        <w:gridCol w:w="544"/>
        <w:gridCol w:w="32"/>
        <w:gridCol w:w="580"/>
        <w:gridCol w:w="37"/>
        <w:gridCol w:w="538"/>
        <w:gridCol w:w="7"/>
        <w:gridCol w:w="532"/>
        <w:gridCol w:w="48"/>
        <w:gridCol w:w="582"/>
        <w:gridCol w:w="17"/>
        <w:gridCol w:w="539"/>
        <w:gridCol w:w="24"/>
        <w:gridCol w:w="514"/>
        <w:gridCol w:w="68"/>
        <w:gridCol w:w="143"/>
        <w:gridCol w:w="441"/>
        <w:gridCol w:w="582"/>
        <w:gridCol w:w="65"/>
        <w:gridCol w:w="517"/>
        <w:gridCol w:w="20"/>
        <w:gridCol w:w="538"/>
        <w:gridCol w:w="22"/>
        <w:gridCol w:w="515"/>
        <w:gridCol w:w="66"/>
        <w:gridCol w:w="575"/>
      </w:tblGrid>
      <w:tr w:rsidR="00F51113" w:rsidRPr="00841C21" w14:paraId="6D5D38F8" w14:textId="77777777">
        <w:tc>
          <w:tcPr>
            <w:tcW w:w="564" w:type="pct"/>
            <w:tcBorders>
              <w:bottom w:val="nil"/>
              <w:right w:val="nil"/>
            </w:tcBorders>
            <w:shd w:val="clear" w:color="auto" w:fill="1B556B" w:themeFill="text2"/>
            <w:vAlign w:val="center"/>
          </w:tcPr>
          <w:p w14:paraId="20DD8CE8" w14:textId="77777777" w:rsidR="00F51113" w:rsidRPr="00841C21" w:rsidRDefault="00F51113">
            <w:pPr>
              <w:pStyle w:val="TableText"/>
              <w:spacing w:before="50" w:after="0"/>
              <w:rPr>
                <w:b/>
                <w:bCs/>
                <w:color w:val="FFFFFF" w:themeColor="background1"/>
                <w:szCs w:val="18"/>
              </w:rPr>
            </w:pPr>
          </w:p>
        </w:tc>
        <w:tc>
          <w:tcPr>
            <w:tcW w:w="2032" w:type="pct"/>
            <w:gridSpan w:val="11"/>
            <w:tcBorders>
              <w:left w:val="nil"/>
              <w:bottom w:val="nil"/>
              <w:right w:val="nil"/>
            </w:tcBorders>
            <w:shd w:val="clear" w:color="auto" w:fill="1B556B" w:themeFill="text2"/>
            <w:vAlign w:val="center"/>
          </w:tcPr>
          <w:p w14:paraId="6E73637D" w14:textId="77777777" w:rsidR="00F51113" w:rsidRPr="00841C21" w:rsidRDefault="00F51113">
            <w:pPr>
              <w:pStyle w:val="TableText"/>
              <w:spacing w:before="50" w:after="0"/>
              <w:jc w:val="center"/>
              <w:rPr>
                <w:b/>
                <w:bCs/>
                <w:color w:val="FFFFFF" w:themeColor="background1"/>
                <w:szCs w:val="18"/>
              </w:rPr>
            </w:pPr>
            <w:r w:rsidRPr="00841C21">
              <w:rPr>
                <w:b/>
                <w:bCs/>
                <w:color w:val="FFFFFF" w:themeColor="background1"/>
                <w:szCs w:val="18"/>
              </w:rPr>
              <w:t>Historical</w:t>
            </w:r>
          </w:p>
        </w:tc>
        <w:tc>
          <w:tcPr>
            <w:tcW w:w="440" w:type="pct"/>
            <w:gridSpan w:val="4"/>
            <w:tcBorders>
              <w:left w:val="nil"/>
              <w:bottom w:val="nil"/>
              <w:right w:val="nil"/>
            </w:tcBorders>
            <w:shd w:val="clear" w:color="auto" w:fill="1B556B" w:themeFill="text2"/>
            <w:vAlign w:val="center"/>
          </w:tcPr>
          <w:p w14:paraId="5BBCAFFD" w14:textId="77777777" w:rsidR="00F51113" w:rsidRPr="00841C21" w:rsidRDefault="00F51113">
            <w:pPr>
              <w:pStyle w:val="TableText"/>
              <w:spacing w:before="50" w:after="0"/>
              <w:jc w:val="center"/>
              <w:rPr>
                <w:b/>
                <w:bCs/>
                <w:color w:val="FFFFFF" w:themeColor="background1"/>
                <w:szCs w:val="18"/>
              </w:rPr>
            </w:pPr>
          </w:p>
        </w:tc>
        <w:tc>
          <w:tcPr>
            <w:tcW w:w="1964" w:type="pct"/>
            <w:gridSpan w:val="10"/>
            <w:tcBorders>
              <w:left w:val="nil"/>
              <w:bottom w:val="nil"/>
            </w:tcBorders>
            <w:shd w:val="clear" w:color="auto" w:fill="1B556B" w:themeFill="text2"/>
            <w:vAlign w:val="center"/>
          </w:tcPr>
          <w:p w14:paraId="70B8673B" w14:textId="77777777" w:rsidR="00F51113" w:rsidRPr="00841C21" w:rsidRDefault="00F51113">
            <w:pPr>
              <w:pStyle w:val="TableText"/>
              <w:spacing w:before="50" w:after="0"/>
              <w:jc w:val="center"/>
              <w:rPr>
                <w:b/>
                <w:bCs/>
                <w:color w:val="FFFFFF" w:themeColor="background1"/>
                <w:szCs w:val="18"/>
              </w:rPr>
            </w:pPr>
            <w:r w:rsidRPr="00841C21">
              <w:rPr>
                <w:b/>
                <w:bCs/>
                <w:color w:val="FFFFFF" w:themeColor="background1"/>
                <w:szCs w:val="18"/>
              </w:rPr>
              <w:t>Projected</w:t>
            </w:r>
          </w:p>
        </w:tc>
      </w:tr>
      <w:tr w:rsidR="00F51113" w:rsidRPr="00841C21" w14:paraId="4B1E202B" w14:textId="77777777">
        <w:tc>
          <w:tcPr>
            <w:tcW w:w="564" w:type="pct"/>
            <w:tcBorders>
              <w:top w:val="nil"/>
              <w:right w:val="nil"/>
            </w:tcBorders>
            <w:shd w:val="clear" w:color="auto" w:fill="1B556B" w:themeFill="text2"/>
            <w:vAlign w:val="center"/>
          </w:tcPr>
          <w:p w14:paraId="2C5F69B9" w14:textId="77777777" w:rsidR="00F51113" w:rsidRPr="00841C21" w:rsidRDefault="00F51113">
            <w:pPr>
              <w:pStyle w:val="TableText"/>
              <w:spacing w:before="0" w:after="50"/>
              <w:rPr>
                <w:b/>
                <w:bCs/>
                <w:color w:val="FFFFFF" w:themeColor="background1"/>
                <w:szCs w:val="18"/>
              </w:rPr>
            </w:pPr>
          </w:p>
        </w:tc>
        <w:tc>
          <w:tcPr>
            <w:tcW w:w="320" w:type="pct"/>
            <w:tcBorders>
              <w:top w:val="nil"/>
              <w:left w:val="nil"/>
              <w:right w:val="nil"/>
            </w:tcBorders>
            <w:shd w:val="clear" w:color="auto" w:fill="1B556B" w:themeFill="text2"/>
            <w:vAlign w:val="center"/>
          </w:tcPr>
          <w:p w14:paraId="636799C6"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1990</w:t>
            </w:r>
          </w:p>
        </w:tc>
        <w:tc>
          <w:tcPr>
            <w:tcW w:w="382" w:type="pct"/>
            <w:gridSpan w:val="3"/>
            <w:tcBorders>
              <w:top w:val="nil"/>
              <w:left w:val="nil"/>
              <w:right w:val="nil"/>
            </w:tcBorders>
            <w:shd w:val="clear" w:color="auto" w:fill="1B556B" w:themeFill="text2"/>
            <w:vAlign w:val="center"/>
          </w:tcPr>
          <w:p w14:paraId="18832A48"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1995</w:t>
            </w:r>
          </w:p>
        </w:tc>
        <w:tc>
          <w:tcPr>
            <w:tcW w:w="316" w:type="pct"/>
            <w:tcBorders>
              <w:top w:val="nil"/>
              <w:left w:val="nil"/>
              <w:right w:val="nil"/>
            </w:tcBorders>
            <w:shd w:val="clear" w:color="auto" w:fill="1B556B" w:themeFill="text2"/>
            <w:vAlign w:val="center"/>
          </w:tcPr>
          <w:p w14:paraId="7AF9CE77"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2000</w:t>
            </w:r>
          </w:p>
        </w:tc>
        <w:tc>
          <w:tcPr>
            <w:tcW w:w="317" w:type="pct"/>
            <w:gridSpan w:val="2"/>
            <w:tcBorders>
              <w:top w:val="nil"/>
              <w:left w:val="nil"/>
              <w:right w:val="nil"/>
            </w:tcBorders>
            <w:shd w:val="clear" w:color="auto" w:fill="1B556B" w:themeFill="text2"/>
            <w:vAlign w:val="center"/>
          </w:tcPr>
          <w:p w14:paraId="5C72A1EA"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2005</w:t>
            </w:r>
          </w:p>
        </w:tc>
        <w:tc>
          <w:tcPr>
            <w:tcW w:w="380" w:type="pct"/>
            <w:gridSpan w:val="3"/>
            <w:tcBorders>
              <w:top w:val="nil"/>
              <w:left w:val="nil"/>
              <w:right w:val="nil"/>
            </w:tcBorders>
            <w:shd w:val="clear" w:color="auto" w:fill="1B556B" w:themeFill="text2"/>
            <w:vAlign w:val="center"/>
          </w:tcPr>
          <w:p w14:paraId="34BA836C"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2010</w:t>
            </w:r>
          </w:p>
        </w:tc>
        <w:tc>
          <w:tcPr>
            <w:tcW w:w="317" w:type="pct"/>
            <w:tcBorders>
              <w:top w:val="nil"/>
              <w:left w:val="nil"/>
              <w:right w:val="nil"/>
            </w:tcBorders>
            <w:shd w:val="clear" w:color="auto" w:fill="1B556B" w:themeFill="text2"/>
            <w:vAlign w:val="center"/>
          </w:tcPr>
          <w:p w14:paraId="725091E9"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2015</w:t>
            </w:r>
          </w:p>
        </w:tc>
        <w:tc>
          <w:tcPr>
            <w:tcW w:w="316" w:type="pct"/>
            <w:gridSpan w:val="2"/>
            <w:tcBorders>
              <w:top w:val="nil"/>
              <w:left w:val="nil"/>
              <w:right w:val="nil"/>
            </w:tcBorders>
            <w:shd w:val="clear" w:color="auto" w:fill="1B556B" w:themeFill="text2"/>
            <w:vAlign w:val="center"/>
          </w:tcPr>
          <w:p w14:paraId="17FA8305"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2020</w:t>
            </w:r>
          </w:p>
        </w:tc>
        <w:tc>
          <w:tcPr>
            <w:tcW w:w="383" w:type="pct"/>
            <w:gridSpan w:val="3"/>
            <w:tcBorders>
              <w:top w:val="nil"/>
              <w:left w:val="nil"/>
              <w:bottom w:val="single" w:sz="4" w:space="0" w:color="1B556B" w:themeColor="text2"/>
              <w:right w:val="nil"/>
            </w:tcBorders>
            <w:shd w:val="clear" w:color="auto" w:fill="1B556B" w:themeFill="text2"/>
            <w:vAlign w:val="center"/>
          </w:tcPr>
          <w:p w14:paraId="00811589"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2025</w:t>
            </w:r>
          </w:p>
        </w:tc>
        <w:tc>
          <w:tcPr>
            <w:tcW w:w="380" w:type="pct"/>
            <w:gridSpan w:val="2"/>
            <w:tcBorders>
              <w:top w:val="nil"/>
              <w:left w:val="nil"/>
              <w:bottom w:val="single" w:sz="4" w:space="0" w:color="1B556B" w:themeColor="text2"/>
              <w:right w:val="nil"/>
            </w:tcBorders>
            <w:shd w:val="clear" w:color="auto" w:fill="1B556B" w:themeFill="text2"/>
            <w:vAlign w:val="center"/>
          </w:tcPr>
          <w:p w14:paraId="7323DD84"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2030</w:t>
            </w:r>
          </w:p>
        </w:tc>
        <w:tc>
          <w:tcPr>
            <w:tcW w:w="316" w:type="pct"/>
            <w:gridSpan w:val="2"/>
            <w:tcBorders>
              <w:top w:val="nil"/>
              <w:left w:val="nil"/>
              <w:bottom w:val="single" w:sz="4" w:space="0" w:color="1B556B" w:themeColor="text2"/>
            </w:tcBorders>
            <w:shd w:val="clear" w:color="auto" w:fill="1B556B" w:themeFill="text2"/>
            <w:vAlign w:val="center"/>
          </w:tcPr>
          <w:p w14:paraId="41F60C5D"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2035</w:t>
            </w:r>
          </w:p>
        </w:tc>
        <w:tc>
          <w:tcPr>
            <w:tcW w:w="316" w:type="pct"/>
            <w:tcBorders>
              <w:top w:val="nil"/>
              <w:left w:val="nil"/>
              <w:bottom w:val="single" w:sz="4" w:space="0" w:color="1B556B" w:themeColor="text2"/>
            </w:tcBorders>
            <w:shd w:val="clear" w:color="auto" w:fill="1B556B" w:themeFill="text2"/>
            <w:vAlign w:val="center"/>
          </w:tcPr>
          <w:p w14:paraId="17451119"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2040</w:t>
            </w:r>
          </w:p>
        </w:tc>
        <w:tc>
          <w:tcPr>
            <w:tcW w:w="316" w:type="pct"/>
            <w:gridSpan w:val="2"/>
            <w:tcBorders>
              <w:top w:val="nil"/>
              <w:left w:val="nil"/>
              <w:bottom w:val="single" w:sz="4" w:space="0" w:color="1B556B" w:themeColor="text2"/>
              <w:right w:val="nil"/>
            </w:tcBorders>
            <w:shd w:val="clear" w:color="auto" w:fill="1B556B" w:themeFill="text2"/>
            <w:vAlign w:val="center"/>
          </w:tcPr>
          <w:p w14:paraId="4FADA03B"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2045</w:t>
            </w:r>
          </w:p>
        </w:tc>
        <w:tc>
          <w:tcPr>
            <w:tcW w:w="377" w:type="pct"/>
            <w:gridSpan w:val="2"/>
            <w:tcBorders>
              <w:top w:val="nil"/>
              <w:left w:val="nil"/>
              <w:bottom w:val="single" w:sz="4" w:space="0" w:color="1B556B" w:themeColor="text2"/>
            </w:tcBorders>
            <w:shd w:val="clear" w:color="auto" w:fill="1B556B" w:themeFill="text2"/>
            <w:vAlign w:val="center"/>
          </w:tcPr>
          <w:p w14:paraId="52E8E175"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2050</w:t>
            </w:r>
          </w:p>
        </w:tc>
      </w:tr>
      <w:tr w:rsidR="00F51113" w:rsidRPr="00841C21" w14:paraId="654DADC3" w14:textId="77777777">
        <w:tc>
          <w:tcPr>
            <w:tcW w:w="5000" w:type="pct"/>
            <w:gridSpan w:val="26"/>
            <w:vAlign w:val="center"/>
          </w:tcPr>
          <w:p w14:paraId="5DC4E337" w14:textId="77777777" w:rsidR="00F51113" w:rsidRPr="00841C21" w:rsidRDefault="00F51113">
            <w:pPr>
              <w:pStyle w:val="TableText"/>
              <w:spacing w:before="40" w:after="40"/>
              <w:rPr>
                <w:rFonts w:cs="Calibri"/>
                <w:b/>
                <w:bCs/>
                <w:szCs w:val="18"/>
              </w:rPr>
            </w:pPr>
            <w:r w:rsidRPr="00841C21">
              <w:rPr>
                <w:rFonts w:cs="Calibri"/>
                <w:b/>
                <w:bCs/>
                <w:szCs w:val="18"/>
              </w:rPr>
              <w:t>Sector</w:t>
            </w:r>
          </w:p>
        </w:tc>
      </w:tr>
      <w:tr w:rsidR="00F51113" w:rsidRPr="00841C21" w14:paraId="22E9192A" w14:textId="77777777">
        <w:tc>
          <w:tcPr>
            <w:tcW w:w="564" w:type="pct"/>
            <w:vAlign w:val="center"/>
          </w:tcPr>
          <w:p w14:paraId="70100A8C" w14:textId="77777777" w:rsidR="00F51113" w:rsidRPr="00841C21" w:rsidRDefault="00F51113">
            <w:pPr>
              <w:pStyle w:val="TableText"/>
              <w:spacing w:before="40" w:after="40"/>
              <w:rPr>
                <w:rFonts w:eastAsia="Times New Roman" w:cs="Calibri"/>
                <w:szCs w:val="18"/>
              </w:rPr>
            </w:pPr>
            <w:r w:rsidRPr="00841C21">
              <w:rPr>
                <w:rFonts w:eastAsia="Times New Roman" w:cs="Calibri"/>
                <w:szCs w:val="18"/>
              </w:rPr>
              <w:t>Energy </w:t>
            </w:r>
          </w:p>
        </w:tc>
        <w:tc>
          <w:tcPr>
            <w:tcW w:w="339" w:type="pct"/>
            <w:gridSpan w:val="2"/>
            <w:vAlign w:val="center"/>
          </w:tcPr>
          <w:p w14:paraId="32718E9A"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15.9</w:t>
            </w:r>
          </w:p>
        </w:tc>
        <w:tc>
          <w:tcPr>
            <w:tcW w:w="341" w:type="pct"/>
            <w:vAlign w:val="center"/>
          </w:tcPr>
          <w:p w14:paraId="49787998"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15.7</w:t>
            </w:r>
          </w:p>
        </w:tc>
        <w:tc>
          <w:tcPr>
            <w:tcW w:w="342" w:type="pct"/>
            <w:gridSpan w:val="3"/>
            <w:vAlign w:val="center"/>
          </w:tcPr>
          <w:p w14:paraId="2DDD9948"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18.3</w:t>
            </w:r>
          </w:p>
        </w:tc>
        <w:tc>
          <w:tcPr>
            <w:tcW w:w="341" w:type="pct"/>
            <w:gridSpan w:val="2"/>
            <w:vAlign w:val="center"/>
          </w:tcPr>
          <w:p w14:paraId="294E2990"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21.6</w:t>
            </w:r>
          </w:p>
        </w:tc>
        <w:tc>
          <w:tcPr>
            <w:tcW w:w="342" w:type="pct"/>
            <w:vAlign w:val="center"/>
          </w:tcPr>
          <w:p w14:paraId="369D3AF3"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18.9</w:t>
            </w:r>
          </w:p>
        </w:tc>
        <w:tc>
          <w:tcPr>
            <w:tcW w:w="341" w:type="pct"/>
            <w:gridSpan w:val="3"/>
            <w:vAlign w:val="center"/>
          </w:tcPr>
          <w:p w14:paraId="48EB5A9D"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18.5</w:t>
            </w:r>
          </w:p>
        </w:tc>
        <w:tc>
          <w:tcPr>
            <w:tcW w:w="342" w:type="pct"/>
            <w:gridSpan w:val="2"/>
            <w:vAlign w:val="center"/>
          </w:tcPr>
          <w:p w14:paraId="080006D1"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17.7</w:t>
            </w:r>
          </w:p>
        </w:tc>
        <w:tc>
          <w:tcPr>
            <w:tcW w:w="343" w:type="pct"/>
            <w:gridSpan w:val="2"/>
            <w:shd w:val="clear" w:color="auto" w:fill="D2DDE1" w:themeFill="background2"/>
            <w:vAlign w:val="center"/>
          </w:tcPr>
          <w:p w14:paraId="041221DF"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14.9</w:t>
            </w:r>
          </w:p>
        </w:tc>
        <w:tc>
          <w:tcPr>
            <w:tcW w:w="342" w:type="pct"/>
            <w:shd w:val="clear" w:color="auto" w:fill="D2DDE1" w:themeFill="background2"/>
            <w:vAlign w:val="center"/>
          </w:tcPr>
          <w:p w14:paraId="46AA265A"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12.4</w:t>
            </w:r>
          </w:p>
        </w:tc>
        <w:tc>
          <w:tcPr>
            <w:tcW w:w="342" w:type="pct"/>
            <w:gridSpan w:val="2"/>
            <w:shd w:val="clear" w:color="auto" w:fill="D2DDE1" w:themeFill="background2"/>
            <w:vAlign w:val="center"/>
          </w:tcPr>
          <w:p w14:paraId="088E2955"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11.0</w:t>
            </w:r>
          </w:p>
        </w:tc>
        <w:tc>
          <w:tcPr>
            <w:tcW w:w="341" w:type="pct"/>
            <w:gridSpan w:val="3"/>
            <w:shd w:val="clear" w:color="auto" w:fill="D2DDE1" w:themeFill="background2"/>
            <w:vAlign w:val="center"/>
          </w:tcPr>
          <w:p w14:paraId="50D4652A"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10.5</w:t>
            </w:r>
          </w:p>
        </w:tc>
        <w:tc>
          <w:tcPr>
            <w:tcW w:w="342" w:type="pct"/>
            <w:gridSpan w:val="2"/>
            <w:shd w:val="clear" w:color="auto" w:fill="D2DDE1" w:themeFill="background2"/>
            <w:vAlign w:val="center"/>
          </w:tcPr>
          <w:p w14:paraId="7F39DA70"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10.7</w:t>
            </w:r>
          </w:p>
        </w:tc>
        <w:tc>
          <w:tcPr>
            <w:tcW w:w="338" w:type="pct"/>
            <w:shd w:val="clear" w:color="auto" w:fill="D2DDE1" w:themeFill="background2"/>
            <w:vAlign w:val="center"/>
          </w:tcPr>
          <w:p w14:paraId="697E0740"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10.7</w:t>
            </w:r>
          </w:p>
        </w:tc>
      </w:tr>
      <w:tr w:rsidR="00F51113" w:rsidRPr="00841C21" w14:paraId="7D0967FD" w14:textId="77777777">
        <w:tc>
          <w:tcPr>
            <w:tcW w:w="564" w:type="pct"/>
            <w:vAlign w:val="center"/>
          </w:tcPr>
          <w:p w14:paraId="63771DD9" w14:textId="77777777" w:rsidR="00F51113" w:rsidRPr="00841C21" w:rsidRDefault="00F51113">
            <w:pPr>
              <w:pStyle w:val="TableText"/>
              <w:spacing w:before="40" w:after="40"/>
              <w:rPr>
                <w:rFonts w:cs="Calibri"/>
                <w:b/>
                <w:bCs/>
                <w:szCs w:val="18"/>
              </w:rPr>
            </w:pPr>
            <w:r w:rsidRPr="00841C21">
              <w:rPr>
                <w:rFonts w:eastAsia="Times New Roman" w:cs="Calibri"/>
                <w:szCs w:val="18"/>
              </w:rPr>
              <w:t>Transport</w:t>
            </w:r>
          </w:p>
        </w:tc>
        <w:tc>
          <w:tcPr>
            <w:tcW w:w="339" w:type="pct"/>
            <w:gridSpan w:val="2"/>
            <w:vAlign w:val="center"/>
          </w:tcPr>
          <w:p w14:paraId="6BC0F382" w14:textId="77777777" w:rsidR="00F51113" w:rsidRPr="00841C21" w:rsidRDefault="00F51113">
            <w:pPr>
              <w:pStyle w:val="TableText"/>
              <w:spacing w:before="40" w:after="40"/>
              <w:jc w:val="center"/>
              <w:rPr>
                <w:rFonts w:cs="Calibri"/>
                <w:szCs w:val="18"/>
              </w:rPr>
            </w:pPr>
            <w:r w:rsidRPr="00841C21">
              <w:rPr>
                <w:rFonts w:eastAsia="Times New Roman" w:cs="Calibri"/>
                <w:szCs w:val="18"/>
              </w:rPr>
              <w:t>8.1</w:t>
            </w:r>
          </w:p>
        </w:tc>
        <w:tc>
          <w:tcPr>
            <w:tcW w:w="341" w:type="pct"/>
            <w:vAlign w:val="center"/>
          </w:tcPr>
          <w:p w14:paraId="644AAEB9" w14:textId="77777777" w:rsidR="00F51113" w:rsidRPr="00841C21" w:rsidRDefault="00F51113">
            <w:pPr>
              <w:pStyle w:val="TableText"/>
              <w:spacing w:before="40" w:after="40"/>
              <w:jc w:val="center"/>
              <w:rPr>
                <w:rFonts w:cs="Calibri"/>
                <w:szCs w:val="18"/>
              </w:rPr>
            </w:pPr>
            <w:r w:rsidRPr="00841C21">
              <w:rPr>
                <w:rFonts w:eastAsia="Times New Roman" w:cs="Calibri"/>
                <w:szCs w:val="18"/>
              </w:rPr>
              <w:t>10.2</w:t>
            </w:r>
          </w:p>
        </w:tc>
        <w:tc>
          <w:tcPr>
            <w:tcW w:w="342" w:type="pct"/>
            <w:gridSpan w:val="3"/>
            <w:vAlign w:val="center"/>
          </w:tcPr>
          <w:p w14:paraId="201DC9A6" w14:textId="77777777" w:rsidR="00F51113" w:rsidRPr="00841C21" w:rsidRDefault="00F51113">
            <w:pPr>
              <w:pStyle w:val="TableText"/>
              <w:spacing w:before="40" w:after="40"/>
              <w:jc w:val="center"/>
              <w:rPr>
                <w:rFonts w:cs="Calibri"/>
                <w:szCs w:val="18"/>
              </w:rPr>
            </w:pPr>
            <w:r w:rsidRPr="00841C21">
              <w:rPr>
                <w:rFonts w:eastAsia="Times New Roman" w:cs="Calibri"/>
                <w:szCs w:val="18"/>
              </w:rPr>
              <w:t>11.6</w:t>
            </w:r>
          </w:p>
        </w:tc>
        <w:tc>
          <w:tcPr>
            <w:tcW w:w="341" w:type="pct"/>
            <w:gridSpan w:val="2"/>
            <w:vAlign w:val="center"/>
          </w:tcPr>
          <w:p w14:paraId="31CDA1FF" w14:textId="77777777" w:rsidR="00F51113" w:rsidRPr="00841C21" w:rsidRDefault="00F51113">
            <w:pPr>
              <w:pStyle w:val="TableText"/>
              <w:spacing w:before="40" w:after="40"/>
              <w:jc w:val="center"/>
              <w:rPr>
                <w:rFonts w:cs="Calibri"/>
                <w:szCs w:val="18"/>
              </w:rPr>
            </w:pPr>
            <w:r w:rsidRPr="00841C21">
              <w:rPr>
                <w:rFonts w:eastAsia="Times New Roman" w:cs="Calibri"/>
                <w:szCs w:val="18"/>
              </w:rPr>
              <w:t>13.0</w:t>
            </w:r>
          </w:p>
        </w:tc>
        <w:tc>
          <w:tcPr>
            <w:tcW w:w="342" w:type="pct"/>
            <w:vAlign w:val="center"/>
          </w:tcPr>
          <w:p w14:paraId="38CC926C" w14:textId="77777777" w:rsidR="00F51113" w:rsidRPr="00841C21" w:rsidRDefault="00F51113">
            <w:pPr>
              <w:pStyle w:val="TableText"/>
              <w:spacing w:before="40" w:after="40"/>
              <w:jc w:val="center"/>
              <w:rPr>
                <w:rFonts w:cs="Calibri"/>
                <w:szCs w:val="18"/>
              </w:rPr>
            </w:pPr>
            <w:r w:rsidRPr="00841C21">
              <w:rPr>
                <w:rFonts w:eastAsia="Times New Roman" w:cs="Calibri"/>
                <w:szCs w:val="18"/>
              </w:rPr>
              <w:t>13.3</w:t>
            </w:r>
          </w:p>
        </w:tc>
        <w:tc>
          <w:tcPr>
            <w:tcW w:w="341" w:type="pct"/>
            <w:gridSpan w:val="3"/>
            <w:vAlign w:val="center"/>
          </w:tcPr>
          <w:p w14:paraId="1B1A0A76" w14:textId="77777777" w:rsidR="00F51113" w:rsidRPr="00841C21" w:rsidRDefault="00F51113">
            <w:pPr>
              <w:pStyle w:val="TableText"/>
              <w:spacing w:before="40" w:after="40"/>
              <w:jc w:val="center"/>
              <w:rPr>
                <w:rFonts w:cs="Calibri"/>
                <w:szCs w:val="18"/>
              </w:rPr>
            </w:pPr>
            <w:r w:rsidRPr="00841C21">
              <w:rPr>
                <w:rFonts w:eastAsia="Times New Roman" w:cs="Calibri"/>
                <w:szCs w:val="18"/>
              </w:rPr>
              <w:t>13.8</w:t>
            </w:r>
          </w:p>
        </w:tc>
        <w:tc>
          <w:tcPr>
            <w:tcW w:w="342" w:type="pct"/>
            <w:gridSpan w:val="2"/>
            <w:vAlign w:val="center"/>
          </w:tcPr>
          <w:p w14:paraId="51100072" w14:textId="77777777" w:rsidR="00F51113" w:rsidRPr="00841C21" w:rsidRDefault="00F51113">
            <w:pPr>
              <w:pStyle w:val="TableText"/>
              <w:spacing w:before="40" w:after="40"/>
              <w:jc w:val="center"/>
              <w:rPr>
                <w:rFonts w:cs="Calibri"/>
                <w:szCs w:val="18"/>
              </w:rPr>
            </w:pPr>
            <w:r w:rsidRPr="00841C21">
              <w:rPr>
                <w:rFonts w:eastAsia="Times New Roman" w:cs="Calibri"/>
                <w:szCs w:val="18"/>
              </w:rPr>
              <w:t>13.2</w:t>
            </w:r>
          </w:p>
        </w:tc>
        <w:tc>
          <w:tcPr>
            <w:tcW w:w="343" w:type="pct"/>
            <w:gridSpan w:val="2"/>
            <w:shd w:val="clear" w:color="auto" w:fill="D2DDE1" w:themeFill="background2"/>
            <w:vAlign w:val="center"/>
          </w:tcPr>
          <w:p w14:paraId="6DEDFC5D" w14:textId="77777777" w:rsidR="00F51113" w:rsidRPr="00841C21" w:rsidRDefault="00F51113">
            <w:pPr>
              <w:pStyle w:val="TableText"/>
              <w:spacing w:before="40" w:after="40"/>
              <w:jc w:val="center"/>
              <w:rPr>
                <w:rFonts w:cs="Calibri"/>
                <w:szCs w:val="18"/>
              </w:rPr>
            </w:pPr>
            <w:r w:rsidRPr="00841C21">
              <w:rPr>
                <w:rFonts w:eastAsia="Times New Roman" w:cs="Calibri"/>
                <w:szCs w:val="18"/>
              </w:rPr>
              <w:t>14.3</w:t>
            </w:r>
          </w:p>
        </w:tc>
        <w:tc>
          <w:tcPr>
            <w:tcW w:w="342" w:type="pct"/>
            <w:shd w:val="clear" w:color="auto" w:fill="D2DDE1" w:themeFill="background2"/>
            <w:vAlign w:val="center"/>
          </w:tcPr>
          <w:p w14:paraId="5DF76BA7" w14:textId="77777777" w:rsidR="00F51113" w:rsidRPr="00841C21" w:rsidRDefault="00F51113">
            <w:pPr>
              <w:pStyle w:val="TableText"/>
              <w:spacing w:before="40" w:after="40"/>
              <w:jc w:val="center"/>
              <w:rPr>
                <w:rFonts w:cs="Calibri"/>
                <w:szCs w:val="18"/>
              </w:rPr>
            </w:pPr>
            <w:r w:rsidRPr="00841C21">
              <w:rPr>
                <w:rFonts w:eastAsia="Times New Roman" w:cs="Calibri"/>
                <w:szCs w:val="18"/>
              </w:rPr>
              <w:t>13.7</w:t>
            </w:r>
          </w:p>
        </w:tc>
        <w:tc>
          <w:tcPr>
            <w:tcW w:w="342" w:type="pct"/>
            <w:gridSpan w:val="2"/>
            <w:shd w:val="clear" w:color="auto" w:fill="D2DDE1" w:themeFill="background2"/>
            <w:vAlign w:val="center"/>
          </w:tcPr>
          <w:p w14:paraId="77E9C6D9" w14:textId="77777777" w:rsidR="00F51113" w:rsidRPr="00841C21" w:rsidRDefault="00F51113">
            <w:pPr>
              <w:pStyle w:val="TableText"/>
              <w:spacing w:before="40" w:after="40"/>
              <w:jc w:val="center"/>
              <w:rPr>
                <w:rFonts w:cs="Calibri"/>
                <w:szCs w:val="18"/>
              </w:rPr>
            </w:pPr>
            <w:r w:rsidRPr="00841C21">
              <w:rPr>
                <w:rFonts w:eastAsia="Times New Roman" w:cs="Calibri"/>
                <w:szCs w:val="18"/>
              </w:rPr>
              <w:t>12.6</w:t>
            </w:r>
          </w:p>
        </w:tc>
        <w:tc>
          <w:tcPr>
            <w:tcW w:w="341" w:type="pct"/>
            <w:gridSpan w:val="3"/>
            <w:shd w:val="clear" w:color="auto" w:fill="D2DDE1" w:themeFill="background2"/>
            <w:vAlign w:val="center"/>
          </w:tcPr>
          <w:p w14:paraId="5E7E6339" w14:textId="77777777" w:rsidR="00F51113" w:rsidRPr="00841C21" w:rsidRDefault="00F51113">
            <w:pPr>
              <w:pStyle w:val="TableText"/>
              <w:spacing w:before="40" w:after="40"/>
              <w:jc w:val="center"/>
              <w:rPr>
                <w:rFonts w:cs="Calibri"/>
                <w:szCs w:val="18"/>
              </w:rPr>
            </w:pPr>
            <w:r w:rsidRPr="00841C21">
              <w:rPr>
                <w:rFonts w:eastAsia="Times New Roman" w:cs="Calibri"/>
                <w:szCs w:val="18"/>
              </w:rPr>
              <w:t>10.8</w:t>
            </w:r>
          </w:p>
        </w:tc>
        <w:tc>
          <w:tcPr>
            <w:tcW w:w="342" w:type="pct"/>
            <w:gridSpan w:val="2"/>
            <w:shd w:val="clear" w:color="auto" w:fill="D2DDE1" w:themeFill="background2"/>
            <w:vAlign w:val="center"/>
          </w:tcPr>
          <w:p w14:paraId="31B16D3B" w14:textId="77777777" w:rsidR="00F51113" w:rsidRPr="00841C21" w:rsidRDefault="00F51113">
            <w:pPr>
              <w:pStyle w:val="TableText"/>
              <w:spacing w:before="40" w:after="40"/>
              <w:jc w:val="center"/>
              <w:rPr>
                <w:rFonts w:cs="Calibri"/>
                <w:szCs w:val="18"/>
              </w:rPr>
            </w:pPr>
            <w:r w:rsidRPr="00841C21">
              <w:rPr>
                <w:rFonts w:eastAsia="Times New Roman" w:cs="Calibri"/>
                <w:szCs w:val="18"/>
              </w:rPr>
              <w:t>8.9</w:t>
            </w:r>
          </w:p>
        </w:tc>
        <w:tc>
          <w:tcPr>
            <w:tcW w:w="338" w:type="pct"/>
            <w:shd w:val="clear" w:color="auto" w:fill="D2DDE1" w:themeFill="background2"/>
            <w:vAlign w:val="center"/>
          </w:tcPr>
          <w:p w14:paraId="7EB83D02" w14:textId="77777777" w:rsidR="00F51113" w:rsidRPr="00841C21" w:rsidRDefault="00F51113">
            <w:pPr>
              <w:pStyle w:val="TableText"/>
              <w:spacing w:before="40" w:after="40"/>
              <w:jc w:val="center"/>
              <w:rPr>
                <w:rFonts w:cs="Calibri"/>
                <w:szCs w:val="18"/>
              </w:rPr>
            </w:pPr>
            <w:r w:rsidRPr="00841C21">
              <w:rPr>
                <w:rFonts w:eastAsia="Times New Roman" w:cs="Calibri"/>
                <w:szCs w:val="18"/>
              </w:rPr>
              <w:t>7.4</w:t>
            </w:r>
          </w:p>
        </w:tc>
      </w:tr>
      <w:tr w:rsidR="00F51113" w:rsidRPr="00841C21" w14:paraId="7294494B" w14:textId="77777777">
        <w:tc>
          <w:tcPr>
            <w:tcW w:w="564" w:type="pct"/>
            <w:vAlign w:val="center"/>
          </w:tcPr>
          <w:p w14:paraId="6CE75543" w14:textId="77777777" w:rsidR="00F51113" w:rsidRPr="00841C21" w:rsidRDefault="00F51113">
            <w:pPr>
              <w:pStyle w:val="TableText"/>
              <w:spacing w:before="40" w:after="40"/>
              <w:rPr>
                <w:rFonts w:cs="Calibri"/>
                <w:b/>
                <w:bCs/>
                <w:szCs w:val="18"/>
              </w:rPr>
            </w:pPr>
            <w:r w:rsidRPr="00841C21">
              <w:rPr>
                <w:rFonts w:eastAsia="Times New Roman" w:cs="Calibri"/>
                <w:szCs w:val="18"/>
              </w:rPr>
              <w:t>IPPU </w:t>
            </w:r>
          </w:p>
        </w:tc>
        <w:tc>
          <w:tcPr>
            <w:tcW w:w="339" w:type="pct"/>
            <w:gridSpan w:val="2"/>
            <w:vAlign w:val="center"/>
          </w:tcPr>
          <w:p w14:paraId="01BECB07" w14:textId="77777777" w:rsidR="00F51113" w:rsidRPr="00841C21" w:rsidRDefault="00F51113">
            <w:pPr>
              <w:pStyle w:val="TableText"/>
              <w:spacing w:before="40" w:after="40"/>
              <w:jc w:val="center"/>
              <w:rPr>
                <w:rFonts w:cs="Calibri"/>
                <w:szCs w:val="18"/>
              </w:rPr>
            </w:pPr>
            <w:r w:rsidRPr="00841C21">
              <w:rPr>
                <w:rFonts w:eastAsia="Times New Roman" w:cs="Calibri"/>
                <w:szCs w:val="18"/>
              </w:rPr>
              <w:t>3.48</w:t>
            </w:r>
          </w:p>
        </w:tc>
        <w:tc>
          <w:tcPr>
            <w:tcW w:w="341" w:type="pct"/>
            <w:vAlign w:val="center"/>
          </w:tcPr>
          <w:p w14:paraId="0F7F7D60" w14:textId="77777777" w:rsidR="00F51113" w:rsidRPr="00841C21" w:rsidRDefault="00F51113">
            <w:pPr>
              <w:pStyle w:val="TableText"/>
              <w:spacing w:before="40" w:after="40"/>
              <w:jc w:val="center"/>
              <w:rPr>
                <w:rFonts w:cs="Calibri"/>
                <w:szCs w:val="18"/>
              </w:rPr>
            </w:pPr>
            <w:r w:rsidRPr="00841C21">
              <w:rPr>
                <w:rFonts w:eastAsia="Times New Roman" w:cs="Calibri"/>
                <w:szCs w:val="18"/>
              </w:rPr>
              <w:t>3.17</w:t>
            </w:r>
          </w:p>
        </w:tc>
        <w:tc>
          <w:tcPr>
            <w:tcW w:w="342" w:type="pct"/>
            <w:gridSpan w:val="3"/>
            <w:vAlign w:val="center"/>
          </w:tcPr>
          <w:p w14:paraId="28F97756" w14:textId="77777777" w:rsidR="00F51113" w:rsidRPr="00841C21" w:rsidRDefault="00F51113">
            <w:pPr>
              <w:pStyle w:val="TableText"/>
              <w:spacing w:before="40" w:after="40"/>
              <w:jc w:val="center"/>
              <w:rPr>
                <w:rFonts w:cs="Calibri"/>
                <w:szCs w:val="18"/>
              </w:rPr>
            </w:pPr>
            <w:r w:rsidRPr="00841C21">
              <w:rPr>
                <w:rFonts w:eastAsia="Times New Roman" w:cs="Calibri"/>
                <w:szCs w:val="18"/>
              </w:rPr>
              <w:t>3.47</w:t>
            </w:r>
          </w:p>
        </w:tc>
        <w:tc>
          <w:tcPr>
            <w:tcW w:w="341" w:type="pct"/>
            <w:gridSpan w:val="2"/>
            <w:vAlign w:val="center"/>
          </w:tcPr>
          <w:p w14:paraId="0563F636" w14:textId="77777777" w:rsidR="00F51113" w:rsidRPr="00841C21" w:rsidRDefault="00F51113">
            <w:pPr>
              <w:pStyle w:val="TableText"/>
              <w:spacing w:before="40" w:after="40"/>
              <w:jc w:val="center"/>
              <w:rPr>
                <w:rFonts w:cs="Calibri"/>
                <w:szCs w:val="18"/>
              </w:rPr>
            </w:pPr>
            <w:r w:rsidRPr="00841C21">
              <w:rPr>
                <w:rFonts w:eastAsia="Times New Roman" w:cs="Calibri"/>
                <w:szCs w:val="18"/>
              </w:rPr>
              <w:t>4.01</w:t>
            </w:r>
          </w:p>
        </w:tc>
        <w:tc>
          <w:tcPr>
            <w:tcW w:w="342" w:type="pct"/>
            <w:vAlign w:val="center"/>
          </w:tcPr>
          <w:p w14:paraId="66E93288" w14:textId="77777777" w:rsidR="00F51113" w:rsidRPr="00841C21" w:rsidRDefault="00F51113">
            <w:pPr>
              <w:pStyle w:val="TableText"/>
              <w:spacing w:before="40" w:after="40"/>
              <w:jc w:val="center"/>
              <w:rPr>
                <w:rFonts w:cs="Calibri"/>
                <w:szCs w:val="18"/>
              </w:rPr>
            </w:pPr>
            <w:r w:rsidRPr="00841C21">
              <w:rPr>
                <w:rFonts w:eastAsia="Times New Roman" w:cs="Calibri"/>
                <w:szCs w:val="18"/>
              </w:rPr>
              <w:t>4.50</w:t>
            </w:r>
          </w:p>
        </w:tc>
        <w:tc>
          <w:tcPr>
            <w:tcW w:w="341" w:type="pct"/>
            <w:gridSpan w:val="3"/>
            <w:vAlign w:val="center"/>
          </w:tcPr>
          <w:p w14:paraId="1B447F19" w14:textId="77777777" w:rsidR="00F51113" w:rsidRPr="00841C21" w:rsidRDefault="00F51113">
            <w:pPr>
              <w:pStyle w:val="TableText"/>
              <w:spacing w:before="40" w:after="40"/>
              <w:jc w:val="center"/>
              <w:rPr>
                <w:rFonts w:cs="Calibri"/>
                <w:szCs w:val="18"/>
              </w:rPr>
            </w:pPr>
            <w:r w:rsidRPr="00841C21">
              <w:rPr>
                <w:rFonts w:eastAsia="Times New Roman" w:cs="Calibri"/>
                <w:szCs w:val="18"/>
              </w:rPr>
              <w:t>4.94</w:t>
            </w:r>
          </w:p>
        </w:tc>
        <w:tc>
          <w:tcPr>
            <w:tcW w:w="342" w:type="pct"/>
            <w:gridSpan w:val="2"/>
            <w:vAlign w:val="center"/>
          </w:tcPr>
          <w:p w14:paraId="2DCCA6F1" w14:textId="77777777" w:rsidR="00F51113" w:rsidRPr="00841C21" w:rsidRDefault="00F51113">
            <w:pPr>
              <w:pStyle w:val="TableText"/>
              <w:spacing w:before="40" w:after="40"/>
              <w:jc w:val="center"/>
              <w:rPr>
                <w:rFonts w:cs="Calibri"/>
                <w:color w:val="000000"/>
                <w:szCs w:val="18"/>
              </w:rPr>
            </w:pPr>
            <w:r w:rsidRPr="00841C21">
              <w:rPr>
                <w:rFonts w:eastAsia="Times New Roman" w:cs="Calibri"/>
                <w:szCs w:val="18"/>
              </w:rPr>
              <w:t>4.48</w:t>
            </w:r>
          </w:p>
        </w:tc>
        <w:tc>
          <w:tcPr>
            <w:tcW w:w="343" w:type="pct"/>
            <w:gridSpan w:val="2"/>
            <w:shd w:val="clear" w:color="auto" w:fill="D2DDE1" w:themeFill="background2"/>
            <w:vAlign w:val="center"/>
          </w:tcPr>
          <w:p w14:paraId="1F2D429F" w14:textId="77777777" w:rsidR="00F51113" w:rsidRPr="00841C21" w:rsidRDefault="00F51113">
            <w:pPr>
              <w:pStyle w:val="TableText"/>
              <w:spacing w:before="40" w:after="40"/>
              <w:jc w:val="center"/>
              <w:rPr>
                <w:rFonts w:cs="Calibri"/>
                <w:color w:val="000000"/>
                <w:szCs w:val="18"/>
              </w:rPr>
            </w:pPr>
            <w:r w:rsidRPr="00841C21">
              <w:rPr>
                <w:rFonts w:eastAsia="Times New Roman" w:cs="Calibri"/>
                <w:szCs w:val="18"/>
              </w:rPr>
              <w:t>4.23</w:t>
            </w:r>
          </w:p>
        </w:tc>
        <w:tc>
          <w:tcPr>
            <w:tcW w:w="342" w:type="pct"/>
            <w:shd w:val="clear" w:color="auto" w:fill="D2DDE1" w:themeFill="background2"/>
            <w:vAlign w:val="center"/>
          </w:tcPr>
          <w:p w14:paraId="266183C9" w14:textId="77777777" w:rsidR="00F51113" w:rsidRPr="00841C21" w:rsidRDefault="00F51113">
            <w:pPr>
              <w:pStyle w:val="TableText"/>
              <w:spacing w:before="40" w:after="40"/>
              <w:jc w:val="center"/>
              <w:rPr>
                <w:rFonts w:cs="Calibri"/>
                <w:color w:val="000000"/>
                <w:szCs w:val="18"/>
              </w:rPr>
            </w:pPr>
            <w:r w:rsidRPr="00841C21">
              <w:rPr>
                <w:rFonts w:eastAsia="Times New Roman" w:cs="Calibri"/>
                <w:szCs w:val="18"/>
              </w:rPr>
              <w:t>3.11</w:t>
            </w:r>
          </w:p>
        </w:tc>
        <w:tc>
          <w:tcPr>
            <w:tcW w:w="342" w:type="pct"/>
            <w:gridSpan w:val="2"/>
            <w:shd w:val="clear" w:color="auto" w:fill="D2DDE1" w:themeFill="background2"/>
            <w:vAlign w:val="center"/>
          </w:tcPr>
          <w:p w14:paraId="06098E70" w14:textId="77777777" w:rsidR="00F51113" w:rsidRPr="00841C21" w:rsidRDefault="00F51113">
            <w:pPr>
              <w:pStyle w:val="TableText"/>
              <w:spacing w:before="40" w:after="40"/>
              <w:jc w:val="center"/>
              <w:rPr>
                <w:rFonts w:cs="Calibri"/>
                <w:color w:val="000000"/>
                <w:szCs w:val="18"/>
              </w:rPr>
            </w:pPr>
            <w:r w:rsidRPr="00841C21">
              <w:rPr>
                <w:rFonts w:eastAsia="Times New Roman" w:cs="Calibri"/>
                <w:szCs w:val="18"/>
              </w:rPr>
              <w:t>3.03</w:t>
            </w:r>
          </w:p>
        </w:tc>
        <w:tc>
          <w:tcPr>
            <w:tcW w:w="341" w:type="pct"/>
            <w:gridSpan w:val="3"/>
            <w:shd w:val="clear" w:color="auto" w:fill="D2DDE1" w:themeFill="background2"/>
            <w:vAlign w:val="center"/>
          </w:tcPr>
          <w:p w14:paraId="37AA1F0D" w14:textId="77777777" w:rsidR="00F51113" w:rsidRPr="00841C21" w:rsidRDefault="00F51113">
            <w:pPr>
              <w:pStyle w:val="TableText"/>
              <w:spacing w:before="40" w:after="40"/>
              <w:jc w:val="center"/>
              <w:rPr>
                <w:rFonts w:cs="Calibri"/>
                <w:color w:val="000000"/>
                <w:szCs w:val="18"/>
              </w:rPr>
            </w:pPr>
            <w:r w:rsidRPr="00841C21">
              <w:rPr>
                <w:rFonts w:eastAsia="Times New Roman" w:cs="Calibri"/>
                <w:szCs w:val="18"/>
              </w:rPr>
              <w:t>2.91</w:t>
            </w:r>
          </w:p>
        </w:tc>
        <w:tc>
          <w:tcPr>
            <w:tcW w:w="342" w:type="pct"/>
            <w:gridSpan w:val="2"/>
            <w:shd w:val="clear" w:color="auto" w:fill="D2DDE1" w:themeFill="background2"/>
            <w:vAlign w:val="center"/>
          </w:tcPr>
          <w:p w14:paraId="147610B0" w14:textId="77777777" w:rsidR="00F51113" w:rsidRPr="00841C21" w:rsidRDefault="00F51113">
            <w:pPr>
              <w:pStyle w:val="TableText"/>
              <w:spacing w:before="40" w:after="40"/>
              <w:jc w:val="center"/>
              <w:rPr>
                <w:rFonts w:cs="Calibri"/>
                <w:color w:val="000000"/>
                <w:szCs w:val="18"/>
              </w:rPr>
            </w:pPr>
            <w:r w:rsidRPr="00841C21">
              <w:rPr>
                <w:rFonts w:eastAsia="Times New Roman" w:cs="Calibri"/>
                <w:szCs w:val="18"/>
              </w:rPr>
              <w:t>2.92</w:t>
            </w:r>
          </w:p>
        </w:tc>
        <w:tc>
          <w:tcPr>
            <w:tcW w:w="338" w:type="pct"/>
            <w:shd w:val="clear" w:color="auto" w:fill="D2DDE1" w:themeFill="background2"/>
            <w:vAlign w:val="center"/>
          </w:tcPr>
          <w:p w14:paraId="106AF70C" w14:textId="77777777" w:rsidR="00F51113" w:rsidRPr="00841C21" w:rsidRDefault="00F51113">
            <w:pPr>
              <w:pStyle w:val="TableText"/>
              <w:spacing w:before="40" w:after="40"/>
              <w:jc w:val="center"/>
              <w:rPr>
                <w:rFonts w:cs="Calibri"/>
                <w:color w:val="000000"/>
                <w:szCs w:val="18"/>
              </w:rPr>
            </w:pPr>
            <w:r w:rsidRPr="00841C21">
              <w:rPr>
                <w:rFonts w:eastAsia="Times New Roman" w:cs="Calibri"/>
                <w:szCs w:val="18"/>
              </w:rPr>
              <w:t>2.83</w:t>
            </w:r>
          </w:p>
        </w:tc>
      </w:tr>
      <w:tr w:rsidR="00F51113" w:rsidRPr="00841C21" w14:paraId="7A4948C3" w14:textId="77777777">
        <w:tc>
          <w:tcPr>
            <w:tcW w:w="564" w:type="pct"/>
            <w:vAlign w:val="center"/>
          </w:tcPr>
          <w:p w14:paraId="3DCCBC74" w14:textId="77777777" w:rsidR="00F51113" w:rsidRPr="00841C21" w:rsidRDefault="00F51113">
            <w:pPr>
              <w:pStyle w:val="TableText"/>
              <w:spacing w:before="40" w:after="40"/>
              <w:rPr>
                <w:rFonts w:eastAsia="Times New Roman" w:cs="Calibri"/>
                <w:szCs w:val="18"/>
              </w:rPr>
            </w:pPr>
            <w:r w:rsidRPr="00841C21">
              <w:rPr>
                <w:rFonts w:eastAsia="Times New Roman" w:cs="Calibri"/>
                <w:szCs w:val="18"/>
              </w:rPr>
              <w:t>Agriculture</w:t>
            </w:r>
          </w:p>
        </w:tc>
        <w:tc>
          <w:tcPr>
            <w:tcW w:w="339" w:type="pct"/>
            <w:gridSpan w:val="2"/>
            <w:vAlign w:val="center"/>
          </w:tcPr>
          <w:p w14:paraId="726691DE"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37.1</w:t>
            </w:r>
          </w:p>
        </w:tc>
        <w:tc>
          <w:tcPr>
            <w:tcW w:w="341" w:type="pct"/>
            <w:vAlign w:val="center"/>
          </w:tcPr>
          <w:p w14:paraId="63F6E8C8"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39.2</w:t>
            </w:r>
          </w:p>
        </w:tc>
        <w:tc>
          <w:tcPr>
            <w:tcW w:w="342" w:type="pct"/>
            <w:gridSpan w:val="3"/>
            <w:vAlign w:val="center"/>
          </w:tcPr>
          <w:p w14:paraId="124D39AB"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41.2</w:t>
            </w:r>
          </w:p>
        </w:tc>
        <w:tc>
          <w:tcPr>
            <w:tcW w:w="341" w:type="pct"/>
            <w:gridSpan w:val="2"/>
            <w:vAlign w:val="center"/>
          </w:tcPr>
          <w:p w14:paraId="37AA1603"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43.1</w:t>
            </w:r>
          </w:p>
        </w:tc>
        <w:tc>
          <w:tcPr>
            <w:tcW w:w="342" w:type="pct"/>
            <w:vAlign w:val="center"/>
          </w:tcPr>
          <w:p w14:paraId="131B301C"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41.0</w:t>
            </w:r>
          </w:p>
        </w:tc>
        <w:tc>
          <w:tcPr>
            <w:tcW w:w="341" w:type="pct"/>
            <w:gridSpan w:val="3"/>
            <w:vAlign w:val="center"/>
          </w:tcPr>
          <w:p w14:paraId="15114C6F"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42.8</w:t>
            </w:r>
          </w:p>
        </w:tc>
        <w:tc>
          <w:tcPr>
            <w:tcW w:w="342" w:type="pct"/>
            <w:gridSpan w:val="2"/>
            <w:vAlign w:val="center"/>
          </w:tcPr>
          <w:p w14:paraId="53AE02E2"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42.9</w:t>
            </w:r>
          </w:p>
        </w:tc>
        <w:tc>
          <w:tcPr>
            <w:tcW w:w="343" w:type="pct"/>
            <w:gridSpan w:val="2"/>
            <w:shd w:val="clear" w:color="auto" w:fill="D2DDE1" w:themeFill="background2"/>
            <w:vAlign w:val="center"/>
          </w:tcPr>
          <w:p w14:paraId="55B179A8"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39.6</w:t>
            </w:r>
          </w:p>
        </w:tc>
        <w:tc>
          <w:tcPr>
            <w:tcW w:w="342" w:type="pct"/>
            <w:shd w:val="clear" w:color="auto" w:fill="D2DDE1" w:themeFill="background2"/>
            <w:vAlign w:val="center"/>
          </w:tcPr>
          <w:p w14:paraId="14950EE8"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39.1</w:t>
            </w:r>
          </w:p>
        </w:tc>
        <w:tc>
          <w:tcPr>
            <w:tcW w:w="342" w:type="pct"/>
            <w:gridSpan w:val="2"/>
            <w:shd w:val="clear" w:color="auto" w:fill="D2DDE1" w:themeFill="background2"/>
            <w:vAlign w:val="center"/>
          </w:tcPr>
          <w:p w14:paraId="35698AD6"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38.8</w:t>
            </w:r>
          </w:p>
        </w:tc>
        <w:tc>
          <w:tcPr>
            <w:tcW w:w="341" w:type="pct"/>
            <w:gridSpan w:val="3"/>
            <w:shd w:val="clear" w:color="auto" w:fill="D2DDE1" w:themeFill="background2"/>
            <w:vAlign w:val="center"/>
          </w:tcPr>
          <w:p w14:paraId="2D000232"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38.7</w:t>
            </w:r>
          </w:p>
        </w:tc>
        <w:tc>
          <w:tcPr>
            <w:tcW w:w="342" w:type="pct"/>
            <w:gridSpan w:val="2"/>
            <w:shd w:val="clear" w:color="auto" w:fill="D2DDE1" w:themeFill="background2"/>
            <w:vAlign w:val="center"/>
          </w:tcPr>
          <w:p w14:paraId="7460F275"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38.8</w:t>
            </w:r>
          </w:p>
        </w:tc>
        <w:tc>
          <w:tcPr>
            <w:tcW w:w="338" w:type="pct"/>
            <w:shd w:val="clear" w:color="auto" w:fill="D2DDE1" w:themeFill="background2"/>
            <w:vAlign w:val="center"/>
          </w:tcPr>
          <w:p w14:paraId="4642587B" w14:textId="77777777" w:rsidR="00F51113" w:rsidRPr="00841C21" w:rsidRDefault="00F51113">
            <w:pPr>
              <w:pStyle w:val="TableText"/>
              <w:spacing w:before="40" w:after="40"/>
              <w:jc w:val="center"/>
              <w:rPr>
                <w:rFonts w:eastAsia="Times New Roman" w:cs="Calibri"/>
                <w:szCs w:val="18"/>
              </w:rPr>
            </w:pPr>
            <w:r w:rsidRPr="00841C21">
              <w:rPr>
                <w:rFonts w:eastAsia="Times New Roman" w:cs="Calibri"/>
                <w:szCs w:val="18"/>
              </w:rPr>
              <w:t>38.8</w:t>
            </w:r>
          </w:p>
        </w:tc>
      </w:tr>
      <w:tr w:rsidR="00F51113" w:rsidRPr="00841C21" w14:paraId="1E37366C" w14:textId="77777777">
        <w:tc>
          <w:tcPr>
            <w:tcW w:w="564" w:type="pct"/>
            <w:vAlign w:val="center"/>
          </w:tcPr>
          <w:p w14:paraId="68795820" w14:textId="77777777" w:rsidR="00F51113" w:rsidRPr="00841C21" w:rsidRDefault="00F51113">
            <w:pPr>
              <w:pStyle w:val="TableText"/>
              <w:spacing w:before="40" w:after="40"/>
              <w:rPr>
                <w:rFonts w:eastAsia="Times New Roman" w:cs="Calibri"/>
                <w:szCs w:val="18"/>
              </w:rPr>
            </w:pPr>
            <w:r w:rsidRPr="00841C21">
              <w:rPr>
                <w:rFonts w:eastAsia="Times New Roman" w:cs="Calibri"/>
                <w:szCs w:val="18"/>
              </w:rPr>
              <w:t>LULUCF</w:t>
            </w:r>
          </w:p>
        </w:tc>
        <w:tc>
          <w:tcPr>
            <w:tcW w:w="339" w:type="pct"/>
            <w:gridSpan w:val="2"/>
            <w:vAlign w:val="center"/>
          </w:tcPr>
          <w:p w14:paraId="1236A410"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–24.3</w:t>
            </w:r>
          </w:p>
        </w:tc>
        <w:tc>
          <w:tcPr>
            <w:tcW w:w="341" w:type="pct"/>
            <w:vAlign w:val="center"/>
          </w:tcPr>
          <w:p w14:paraId="5540A485"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–23.7</w:t>
            </w:r>
          </w:p>
        </w:tc>
        <w:tc>
          <w:tcPr>
            <w:tcW w:w="342" w:type="pct"/>
            <w:gridSpan w:val="3"/>
            <w:vAlign w:val="center"/>
          </w:tcPr>
          <w:p w14:paraId="2BF470B0"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–27.4</w:t>
            </w:r>
          </w:p>
        </w:tc>
        <w:tc>
          <w:tcPr>
            <w:tcW w:w="341" w:type="pct"/>
            <w:gridSpan w:val="2"/>
            <w:vAlign w:val="center"/>
          </w:tcPr>
          <w:p w14:paraId="5B93D8C4"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–24.3</w:t>
            </w:r>
          </w:p>
        </w:tc>
        <w:tc>
          <w:tcPr>
            <w:tcW w:w="342" w:type="pct"/>
            <w:vAlign w:val="center"/>
          </w:tcPr>
          <w:p w14:paraId="51EFC652"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–28.6</w:t>
            </w:r>
          </w:p>
        </w:tc>
        <w:tc>
          <w:tcPr>
            <w:tcW w:w="341" w:type="pct"/>
            <w:gridSpan w:val="3"/>
            <w:vAlign w:val="center"/>
          </w:tcPr>
          <w:p w14:paraId="76981FF0"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–25.6</w:t>
            </w:r>
          </w:p>
        </w:tc>
        <w:tc>
          <w:tcPr>
            <w:tcW w:w="342" w:type="pct"/>
            <w:gridSpan w:val="2"/>
            <w:vAlign w:val="center"/>
          </w:tcPr>
          <w:p w14:paraId="450E2675"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–21.1</w:t>
            </w:r>
          </w:p>
        </w:tc>
        <w:tc>
          <w:tcPr>
            <w:tcW w:w="343" w:type="pct"/>
            <w:gridSpan w:val="2"/>
            <w:shd w:val="clear" w:color="auto" w:fill="D2DDE1" w:themeFill="background2"/>
            <w:vAlign w:val="center"/>
          </w:tcPr>
          <w:p w14:paraId="4AE6427A" w14:textId="77777777" w:rsidR="00F51113" w:rsidRPr="00841C21" w:rsidRDefault="00F51113">
            <w:pPr>
              <w:pStyle w:val="TableText"/>
              <w:spacing w:before="40" w:after="40"/>
              <w:jc w:val="center"/>
              <w:rPr>
                <w:rFonts w:eastAsia="Times New Roman" w:cs="Calibri"/>
                <w:szCs w:val="18"/>
              </w:rPr>
            </w:pPr>
            <w:r w:rsidRPr="00841C21">
              <w:rPr>
                <w:rFonts w:cs="Calibri"/>
                <w:szCs w:val="18"/>
              </w:rPr>
              <w:t>–12.2</w:t>
            </w:r>
          </w:p>
        </w:tc>
        <w:tc>
          <w:tcPr>
            <w:tcW w:w="342" w:type="pct"/>
            <w:shd w:val="clear" w:color="auto" w:fill="D2DDE1" w:themeFill="background2"/>
            <w:vAlign w:val="center"/>
          </w:tcPr>
          <w:p w14:paraId="7E911257" w14:textId="77777777" w:rsidR="00F51113" w:rsidRPr="00841C21" w:rsidRDefault="00F51113">
            <w:pPr>
              <w:pStyle w:val="TableText"/>
              <w:spacing w:before="40" w:after="40"/>
              <w:jc w:val="center"/>
              <w:rPr>
                <w:rFonts w:eastAsia="Times New Roman" w:cs="Calibri"/>
                <w:szCs w:val="18"/>
              </w:rPr>
            </w:pPr>
            <w:r w:rsidRPr="00841C21">
              <w:rPr>
                <w:rFonts w:cs="Calibri"/>
                <w:szCs w:val="18"/>
              </w:rPr>
              <w:t>–17.0</w:t>
            </w:r>
          </w:p>
        </w:tc>
        <w:tc>
          <w:tcPr>
            <w:tcW w:w="342" w:type="pct"/>
            <w:gridSpan w:val="2"/>
            <w:shd w:val="clear" w:color="auto" w:fill="D2DDE1" w:themeFill="background2"/>
            <w:vAlign w:val="center"/>
          </w:tcPr>
          <w:p w14:paraId="1E799383"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–27.4</w:t>
            </w:r>
          </w:p>
        </w:tc>
        <w:tc>
          <w:tcPr>
            <w:tcW w:w="341" w:type="pct"/>
            <w:gridSpan w:val="3"/>
            <w:shd w:val="clear" w:color="auto" w:fill="D2DDE1" w:themeFill="background2"/>
            <w:vAlign w:val="center"/>
          </w:tcPr>
          <w:p w14:paraId="391CBE77"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–20.4</w:t>
            </w:r>
          </w:p>
        </w:tc>
        <w:tc>
          <w:tcPr>
            <w:tcW w:w="342" w:type="pct"/>
            <w:gridSpan w:val="2"/>
            <w:shd w:val="clear" w:color="auto" w:fill="D2DDE1" w:themeFill="background2"/>
            <w:vAlign w:val="center"/>
          </w:tcPr>
          <w:p w14:paraId="1EC3A5B6"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–27.9</w:t>
            </w:r>
          </w:p>
        </w:tc>
        <w:tc>
          <w:tcPr>
            <w:tcW w:w="338" w:type="pct"/>
            <w:shd w:val="clear" w:color="auto" w:fill="D2DDE1" w:themeFill="background2"/>
            <w:vAlign w:val="center"/>
          </w:tcPr>
          <w:p w14:paraId="52B8FFB9"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–28.9</w:t>
            </w:r>
          </w:p>
        </w:tc>
      </w:tr>
      <w:tr w:rsidR="00F51113" w:rsidRPr="00841C21" w14:paraId="23F3340F" w14:textId="77777777">
        <w:tc>
          <w:tcPr>
            <w:tcW w:w="564" w:type="pct"/>
            <w:vAlign w:val="center"/>
          </w:tcPr>
          <w:p w14:paraId="472F9B62" w14:textId="77777777" w:rsidR="00F51113" w:rsidRPr="00841C21" w:rsidRDefault="00F51113">
            <w:pPr>
              <w:pStyle w:val="TableText"/>
              <w:spacing w:before="40" w:after="40"/>
              <w:rPr>
                <w:rFonts w:cs="Calibri"/>
                <w:szCs w:val="18"/>
              </w:rPr>
            </w:pPr>
            <w:r w:rsidRPr="00841C21">
              <w:rPr>
                <w:rFonts w:eastAsia="Times New Roman" w:cs="Calibri"/>
                <w:szCs w:val="18"/>
              </w:rPr>
              <w:t>Waste </w:t>
            </w:r>
          </w:p>
        </w:tc>
        <w:tc>
          <w:tcPr>
            <w:tcW w:w="339" w:type="pct"/>
            <w:gridSpan w:val="2"/>
            <w:vAlign w:val="center"/>
          </w:tcPr>
          <w:p w14:paraId="0868E9C1" w14:textId="77777777" w:rsidR="00F51113" w:rsidRPr="00841C21" w:rsidRDefault="00F51113">
            <w:pPr>
              <w:pStyle w:val="TableText"/>
              <w:spacing w:before="40" w:after="40"/>
              <w:jc w:val="center"/>
              <w:rPr>
                <w:szCs w:val="18"/>
              </w:rPr>
            </w:pPr>
            <w:r w:rsidRPr="00841C21">
              <w:rPr>
                <w:rFonts w:eastAsia="Times New Roman" w:cs="Calibri"/>
                <w:szCs w:val="18"/>
              </w:rPr>
              <w:t>4.36</w:t>
            </w:r>
          </w:p>
        </w:tc>
        <w:tc>
          <w:tcPr>
            <w:tcW w:w="341" w:type="pct"/>
            <w:vAlign w:val="center"/>
          </w:tcPr>
          <w:p w14:paraId="3BDC3AD9" w14:textId="77777777" w:rsidR="00F51113" w:rsidRPr="00841C21" w:rsidRDefault="00F51113">
            <w:pPr>
              <w:pStyle w:val="TableText"/>
              <w:spacing w:before="40" w:after="40"/>
              <w:jc w:val="center"/>
              <w:rPr>
                <w:szCs w:val="18"/>
              </w:rPr>
            </w:pPr>
            <w:r w:rsidRPr="00841C21">
              <w:rPr>
                <w:rFonts w:eastAsia="Times New Roman" w:cs="Calibri"/>
                <w:szCs w:val="18"/>
              </w:rPr>
              <w:t>4.69</w:t>
            </w:r>
          </w:p>
        </w:tc>
        <w:tc>
          <w:tcPr>
            <w:tcW w:w="342" w:type="pct"/>
            <w:gridSpan w:val="3"/>
            <w:vAlign w:val="center"/>
          </w:tcPr>
          <w:p w14:paraId="0ACA7758" w14:textId="77777777" w:rsidR="00F51113" w:rsidRPr="00841C21" w:rsidRDefault="00F51113">
            <w:pPr>
              <w:pStyle w:val="TableText"/>
              <w:spacing w:before="40" w:after="40"/>
              <w:jc w:val="center"/>
              <w:rPr>
                <w:szCs w:val="18"/>
              </w:rPr>
            </w:pPr>
            <w:r w:rsidRPr="00841C21">
              <w:rPr>
                <w:rFonts w:eastAsia="Times New Roman" w:cs="Calibri"/>
                <w:szCs w:val="18"/>
              </w:rPr>
              <w:t>4.90</w:t>
            </w:r>
          </w:p>
        </w:tc>
        <w:tc>
          <w:tcPr>
            <w:tcW w:w="341" w:type="pct"/>
            <w:gridSpan w:val="2"/>
            <w:vAlign w:val="center"/>
          </w:tcPr>
          <w:p w14:paraId="14511CA6" w14:textId="77777777" w:rsidR="00F51113" w:rsidRPr="00841C21" w:rsidRDefault="00F51113">
            <w:pPr>
              <w:pStyle w:val="TableText"/>
              <w:spacing w:before="40" w:after="40"/>
              <w:jc w:val="center"/>
              <w:rPr>
                <w:szCs w:val="18"/>
              </w:rPr>
            </w:pPr>
            <w:r w:rsidRPr="00841C21">
              <w:rPr>
                <w:rFonts w:eastAsia="Times New Roman" w:cs="Calibri"/>
                <w:szCs w:val="18"/>
              </w:rPr>
              <w:t>4.85</w:t>
            </w:r>
          </w:p>
        </w:tc>
        <w:tc>
          <w:tcPr>
            <w:tcW w:w="342" w:type="pct"/>
            <w:vAlign w:val="center"/>
          </w:tcPr>
          <w:p w14:paraId="06C4D032" w14:textId="77777777" w:rsidR="00F51113" w:rsidRPr="00841C21" w:rsidRDefault="00F51113">
            <w:pPr>
              <w:pStyle w:val="TableText"/>
              <w:spacing w:before="40" w:after="40"/>
              <w:jc w:val="center"/>
              <w:rPr>
                <w:szCs w:val="18"/>
              </w:rPr>
            </w:pPr>
            <w:r w:rsidRPr="00841C21">
              <w:rPr>
                <w:rFonts w:eastAsia="Times New Roman" w:cs="Calibri"/>
                <w:szCs w:val="18"/>
              </w:rPr>
              <w:t>4.28</w:t>
            </w:r>
          </w:p>
        </w:tc>
        <w:tc>
          <w:tcPr>
            <w:tcW w:w="341" w:type="pct"/>
            <w:gridSpan w:val="3"/>
            <w:vAlign w:val="center"/>
          </w:tcPr>
          <w:p w14:paraId="4773B101" w14:textId="77777777" w:rsidR="00F51113" w:rsidRPr="00841C21" w:rsidRDefault="00F51113">
            <w:pPr>
              <w:pStyle w:val="TableText"/>
              <w:spacing w:before="40" w:after="40"/>
              <w:jc w:val="center"/>
              <w:rPr>
                <w:szCs w:val="18"/>
              </w:rPr>
            </w:pPr>
            <w:r w:rsidRPr="00841C21">
              <w:rPr>
                <w:rFonts w:eastAsia="Times New Roman" w:cs="Calibri"/>
                <w:szCs w:val="18"/>
              </w:rPr>
              <w:t>3.86</w:t>
            </w:r>
          </w:p>
        </w:tc>
        <w:tc>
          <w:tcPr>
            <w:tcW w:w="342" w:type="pct"/>
            <w:gridSpan w:val="2"/>
            <w:vAlign w:val="center"/>
          </w:tcPr>
          <w:p w14:paraId="3C5A5EF6" w14:textId="77777777" w:rsidR="00F51113" w:rsidRPr="00841C21" w:rsidRDefault="00F51113">
            <w:pPr>
              <w:pStyle w:val="TableText"/>
              <w:spacing w:before="40" w:after="40"/>
              <w:jc w:val="center"/>
              <w:rPr>
                <w:szCs w:val="18"/>
              </w:rPr>
            </w:pPr>
            <w:r w:rsidRPr="00841C21">
              <w:rPr>
                <w:rFonts w:eastAsia="Times New Roman" w:cs="Calibri"/>
                <w:szCs w:val="18"/>
              </w:rPr>
              <w:t>3.60</w:t>
            </w:r>
          </w:p>
        </w:tc>
        <w:tc>
          <w:tcPr>
            <w:tcW w:w="343" w:type="pct"/>
            <w:gridSpan w:val="2"/>
            <w:shd w:val="clear" w:color="auto" w:fill="D2DDE1" w:themeFill="background2"/>
            <w:vAlign w:val="center"/>
          </w:tcPr>
          <w:p w14:paraId="71F9D6E9" w14:textId="77777777" w:rsidR="00F51113" w:rsidRPr="00841C21" w:rsidRDefault="00F51113">
            <w:pPr>
              <w:pStyle w:val="TableText"/>
              <w:spacing w:before="40" w:after="40"/>
              <w:jc w:val="center"/>
              <w:rPr>
                <w:szCs w:val="18"/>
              </w:rPr>
            </w:pPr>
            <w:r w:rsidRPr="00841C21">
              <w:rPr>
                <w:rFonts w:eastAsia="Times New Roman" w:cs="Calibri"/>
                <w:szCs w:val="18"/>
              </w:rPr>
              <w:t>3.40</w:t>
            </w:r>
          </w:p>
        </w:tc>
        <w:tc>
          <w:tcPr>
            <w:tcW w:w="342" w:type="pct"/>
            <w:shd w:val="clear" w:color="auto" w:fill="D2DDE1" w:themeFill="background2"/>
            <w:vAlign w:val="center"/>
          </w:tcPr>
          <w:p w14:paraId="18B696CB" w14:textId="77777777" w:rsidR="00F51113" w:rsidRPr="00841C21" w:rsidRDefault="00F51113">
            <w:pPr>
              <w:pStyle w:val="TableText"/>
              <w:spacing w:before="40" w:after="40"/>
              <w:jc w:val="center"/>
              <w:rPr>
                <w:szCs w:val="18"/>
              </w:rPr>
            </w:pPr>
            <w:r w:rsidRPr="00841C21">
              <w:rPr>
                <w:rFonts w:eastAsia="Times New Roman" w:cs="Calibri"/>
                <w:szCs w:val="18"/>
              </w:rPr>
              <w:t>3.27</w:t>
            </w:r>
          </w:p>
        </w:tc>
        <w:tc>
          <w:tcPr>
            <w:tcW w:w="342" w:type="pct"/>
            <w:gridSpan w:val="2"/>
            <w:shd w:val="clear" w:color="auto" w:fill="D2DDE1" w:themeFill="background2"/>
            <w:vAlign w:val="center"/>
          </w:tcPr>
          <w:p w14:paraId="2FC39DD3" w14:textId="77777777" w:rsidR="00F51113" w:rsidRPr="00841C21" w:rsidRDefault="00F51113">
            <w:pPr>
              <w:pStyle w:val="TableText"/>
              <w:spacing w:before="40" w:after="40"/>
              <w:jc w:val="center"/>
              <w:rPr>
                <w:szCs w:val="18"/>
              </w:rPr>
            </w:pPr>
            <w:r w:rsidRPr="00841C21">
              <w:rPr>
                <w:rFonts w:eastAsia="Times New Roman" w:cs="Calibri"/>
                <w:szCs w:val="18"/>
              </w:rPr>
              <w:t>3.21</w:t>
            </w:r>
          </w:p>
        </w:tc>
        <w:tc>
          <w:tcPr>
            <w:tcW w:w="341" w:type="pct"/>
            <w:gridSpan w:val="3"/>
            <w:shd w:val="clear" w:color="auto" w:fill="D2DDE1" w:themeFill="background2"/>
            <w:vAlign w:val="center"/>
          </w:tcPr>
          <w:p w14:paraId="7E8A6457" w14:textId="77777777" w:rsidR="00F51113" w:rsidRPr="00841C21" w:rsidRDefault="00F51113">
            <w:pPr>
              <w:pStyle w:val="TableText"/>
              <w:spacing w:before="40" w:after="40"/>
              <w:jc w:val="center"/>
              <w:rPr>
                <w:szCs w:val="18"/>
              </w:rPr>
            </w:pPr>
            <w:r w:rsidRPr="00841C21">
              <w:rPr>
                <w:rFonts w:eastAsia="Times New Roman" w:cs="Calibri"/>
                <w:szCs w:val="18"/>
              </w:rPr>
              <w:t>3.16</w:t>
            </w:r>
          </w:p>
        </w:tc>
        <w:tc>
          <w:tcPr>
            <w:tcW w:w="342" w:type="pct"/>
            <w:gridSpan w:val="2"/>
            <w:shd w:val="clear" w:color="auto" w:fill="D2DDE1" w:themeFill="background2"/>
            <w:vAlign w:val="center"/>
          </w:tcPr>
          <w:p w14:paraId="1E3862C1" w14:textId="77777777" w:rsidR="00F51113" w:rsidRPr="00841C21" w:rsidRDefault="00F51113">
            <w:pPr>
              <w:pStyle w:val="TableText"/>
              <w:spacing w:before="40" w:after="40"/>
              <w:jc w:val="center"/>
              <w:rPr>
                <w:szCs w:val="18"/>
              </w:rPr>
            </w:pPr>
            <w:r w:rsidRPr="00841C21">
              <w:rPr>
                <w:rFonts w:eastAsia="Times New Roman" w:cs="Calibri"/>
                <w:szCs w:val="18"/>
              </w:rPr>
              <w:t>3.14</w:t>
            </w:r>
          </w:p>
        </w:tc>
        <w:tc>
          <w:tcPr>
            <w:tcW w:w="338" w:type="pct"/>
            <w:shd w:val="clear" w:color="auto" w:fill="D2DDE1" w:themeFill="background2"/>
            <w:vAlign w:val="center"/>
          </w:tcPr>
          <w:p w14:paraId="74315768" w14:textId="77777777" w:rsidR="00F51113" w:rsidRPr="00841C21" w:rsidRDefault="00F51113">
            <w:pPr>
              <w:pStyle w:val="TableText"/>
              <w:spacing w:before="40" w:after="40"/>
              <w:jc w:val="center"/>
              <w:rPr>
                <w:szCs w:val="18"/>
              </w:rPr>
            </w:pPr>
            <w:r w:rsidRPr="00841C21">
              <w:rPr>
                <w:rFonts w:eastAsia="Times New Roman" w:cs="Calibri"/>
                <w:szCs w:val="18"/>
              </w:rPr>
              <w:t>3.12</w:t>
            </w:r>
          </w:p>
        </w:tc>
      </w:tr>
      <w:tr w:rsidR="00F51113" w:rsidRPr="00841C21" w14:paraId="10194ED6" w14:textId="77777777">
        <w:tc>
          <w:tcPr>
            <w:tcW w:w="564" w:type="pct"/>
            <w:vAlign w:val="center"/>
          </w:tcPr>
          <w:p w14:paraId="4420DFEB" w14:textId="77777777" w:rsidR="00F51113" w:rsidRPr="00841C21" w:rsidRDefault="00F51113">
            <w:pPr>
              <w:pStyle w:val="TableText"/>
              <w:spacing w:before="40" w:after="40"/>
              <w:rPr>
                <w:rFonts w:cs="Calibri"/>
                <w:szCs w:val="18"/>
              </w:rPr>
            </w:pPr>
            <w:r w:rsidRPr="00841C21">
              <w:rPr>
                <w:rFonts w:eastAsia="Times New Roman" w:cs="Calibri"/>
                <w:szCs w:val="18"/>
              </w:rPr>
              <w:t>Tokelau </w:t>
            </w:r>
          </w:p>
        </w:tc>
        <w:tc>
          <w:tcPr>
            <w:tcW w:w="339" w:type="pct"/>
            <w:gridSpan w:val="2"/>
            <w:vAlign w:val="center"/>
          </w:tcPr>
          <w:p w14:paraId="3C3B0440" w14:textId="77777777" w:rsidR="00F51113" w:rsidRPr="00841C21" w:rsidRDefault="00F51113">
            <w:pPr>
              <w:pStyle w:val="TableText"/>
              <w:spacing w:before="40" w:after="40"/>
              <w:jc w:val="center"/>
              <w:rPr>
                <w:szCs w:val="18"/>
              </w:rPr>
            </w:pPr>
            <w:r w:rsidRPr="00841C21">
              <w:rPr>
                <w:rFonts w:eastAsia="Times New Roman" w:cs="Calibri"/>
                <w:szCs w:val="18"/>
              </w:rPr>
              <w:t>0.003</w:t>
            </w:r>
          </w:p>
        </w:tc>
        <w:tc>
          <w:tcPr>
            <w:tcW w:w="341" w:type="pct"/>
            <w:vAlign w:val="center"/>
          </w:tcPr>
          <w:p w14:paraId="3F1EE8D6" w14:textId="77777777" w:rsidR="00F51113" w:rsidRPr="00841C21" w:rsidRDefault="00F51113">
            <w:pPr>
              <w:pStyle w:val="TableText"/>
              <w:spacing w:before="40" w:after="40"/>
              <w:jc w:val="center"/>
              <w:rPr>
                <w:szCs w:val="18"/>
              </w:rPr>
            </w:pPr>
            <w:r w:rsidRPr="00841C21">
              <w:rPr>
                <w:rFonts w:eastAsia="Times New Roman" w:cs="Calibri"/>
                <w:szCs w:val="18"/>
              </w:rPr>
              <w:t>0.003</w:t>
            </w:r>
          </w:p>
        </w:tc>
        <w:tc>
          <w:tcPr>
            <w:tcW w:w="342" w:type="pct"/>
            <w:gridSpan w:val="3"/>
            <w:vAlign w:val="center"/>
          </w:tcPr>
          <w:p w14:paraId="1FD72E90" w14:textId="77777777" w:rsidR="00F51113" w:rsidRPr="00841C21" w:rsidRDefault="00F51113">
            <w:pPr>
              <w:pStyle w:val="TableText"/>
              <w:spacing w:before="40" w:after="40"/>
              <w:jc w:val="center"/>
              <w:rPr>
                <w:szCs w:val="18"/>
              </w:rPr>
            </w:pPr>
            <w:r w:rsidRPr="00841C21">
              <w:rPr>
                <w:rFonts w:eastAsia="Times New Roman" w:cs="Calibri"/>
                <w:szCs w:val="18"/>
              </w:rPr>
              <w:t>0.004</w:t>
            </w:r>
          </w:p>
        </w:tc>
        <w:tc>
          <w:tcPr>
            <w:tcW w:w="341" w:type="pct"/>
            <w:gridSpan w:val="2"/>
            <w:vAlign w:val="center"/>
          </w:tcPr>
          <w:p w14:paraId="1D221578" w14:textId="77777777" w:rsidR="00F51113" w:rsidRPr="00841C21" w:rsidRDefault="00F51113">
            <w:pPr>
              <w:pStyle w:val="TableText"/>
              <w:spacing w:before="40" w:after="40"/>
              <w:jc w:val="center"/>
              <w:rPr>
                <w:szCs w:val="18"/>
              </w:rPr>
            </w:pPr>
            <w:r w:rsidRPr="00841C21">
              <w:rPr>
                <w:rFonts w:eastAsia="Times New Roman" w:cs="Calibri"/>
                <w:szCs w:val="18"/>
              </w:rPr>
              <w:t>0.005</w:t>
            </w:r>
          </w:p>
        </w:tc>
        <w:tc>
          <w:tcPr>
            <w:tcW w:w="342" w:type="pct"/>
            <w:vAlign w:val="center"/>
          </w:tcPr>
          <w:p w14:paraId="3F9E5730" w14:textId="77777777" w:rsidR="00F51113" w:rsidRPr="00841C21" w:rsidRDefault="00F51113">
            <w:pPr>
              <w:pStyle w:val="TableText"/>
              <w:spacing w:before="40" w:after="40"/>
              <w:jc w:val="center"/>
              <w:rPr>
                <w:szCs w:val="18"/>
              </w:rPr>
            </w:pPr>
            <w:r w:rsidRPr="00841C21">
              <w:rPr>
                <w:rFonts w:eastAsia="Times New Roman" w:cs="Calibri"/>
                <w:szCs w:val="18"/>
              </w:rPr>
              <w:t>0.005</w:t>
            </w:r>
          </w:p>
        </w:tc>
        <w:tc>
          <w:tcPr>
            <w:tcW w:w="341" w:type="pct"/>
            <w:gridSpan w:val="3"/>
            <w:vAlign w:val="center"/>
          </w:tcPr>
          <w:p w14:paraId="3883A7ED" w14:textId="77777777" w:rsidR="00F51113" w:rsidRPr="00841C21" w:rsidRDefault="00F51113">
            <w:pPr>
              <w:pStyle w:val="TableText"/>
              <w:spacing w:before="40" w:after="40"/>
              <w:jc w:val="center"/>
              <w:rPr>
                <w:szCs w:val="18"/>
              </w:rPr>
            </w:pPr>
            <w:r w:rsidRPr="00841C21">
              <w:rPr>
                <w:rFonts w:eastAsia="Times New Roman" w:cs="Calibri"/>
                <w:szCs w:val="18"/>
              </w:rPr>
              <w:t>0.004</w:t>
            </w:r>
          </w:p>
        </w:tc>
        <w:tc>
          <w:tcPr>
            <w:tcW w:w="342" w:type="pct"/>
            <w:gridSpan w:val="2"/>
            <w:vAlign w:val="center"/>
          </w:tcPr>
          <w:p w14:paraId="2DCE009F" w14:textId="77777777" w:rsidR="00F51113" w:rsidRPr="00841C21" w:rsidRDefault="00F51113">
            <w:pPr>
              <w:pStyle w:val="TableText"/>
              <w:spacing w:before="40" w:after="40"/>
              <w:jc w:val="center"/>
              <w:rPr>
                <w:szCs w:val="18"/>
              </w:rPr>
            </w:pPr>
            <w:r w:rsidRPr="00841C21">
              <w:rPr>
                <w:rFonts w:eastAsia="Times New Roman" w:cs="Calibri"/>
                <w:szCs w:val="18"/>
              </w:rPr>
              <w:t>0.004</w:t>
            </w:r>
          </w:p>
        </w:tc>
        <w:tc>
          <w:tcPr>
            <w:tcW w:w="343" w:type="pct"/>
            <w:gridSpan w:val="2"/>
            <w:shd w:val="clear" w:color="auto" w:fill="D2DDE1" w:themeFill="background2"/>
            <w:vAlign w:val="center"/>
          </w:tcPr>
          <w:p w14:paraId="52FA9F37" w14:textId="77777777" w:rsidR="00F51113" w:rsidRPr="00841C21" w:rsidRDefault="00F51113">
            <w:pPr>
              <w:pStyle w:val="TableText"/>
              <w:spacing w:before="40" w:after="40"/>
              <w:jc w:val="center"/>
              <w:rPr>
                <w:szCs w:val="18"/>
              </w:rPr>
            </w:pPr>
            <w:r w:rsidRPr="00841C21">
              <w:rPr>
                <w:rFonts w:eastAsia="Times New Roman" w:cs="Calibri"/>
                <w:szCs w:val="18"/>
              </w:rPr>
              <w:t>0.005</w:t>
            </w:r>
          </w:p>
        </w:tc>
        <w:tc>
          <w:tcPr>
            <w:tcW w:w="342" w:type="pct"/>
            <w:shd w:val="clear" w:color="auto" w:fill="D2DDE1" w:themeFill="background2"/>
            <w:vAlign w:val="center"/>
          </w:tcPr>
          <w:p w14:paraId="73BAD772" w14:textId="77777777" w:rsidR="00F51113" w:rsidRPr="00841C21" w:rsidRDefault="00F51113">
            <w:pPr>
              <w:pStyle w:val="TableText"/>
              <w:spacing w:before="40" w:after="40"/>
              <w:jc w:val="center"/>
              <w:rPr>
                <w:szCs w:val="18"/>
              </w:rPr>
            </w:pPr>
            <w:r w:rsidRPr="00841C21">
              <w:rPr>
                <w:rFonts w:eastAsia="Times New Roman" w:cs="Calibri"/>
                <w:szCs w:val="18"/>
              </w:rPr>
              <w:t>0.005</w:t>
            </w:r>
          </w:p>
        </w:tc>
        <w:tc>
          <w:tcPr>
            <w:tcW w:w="342" w:type="pct"/>
            <w:gridSpan w:val="2"/>
            <w:shd w:val="clear" w:color="auto" w:fill="D2DDE1" w:themeFill="background2"/>
            <w:vAlign w:val="center"/>
          </w:tcPr>
          <w:p w14:paraId="61E821C7" w14:textId="77777777" w:rsidR="00F51113" w:rsidRPr="00841C21" w:rsidRDefault="00F51113">
            <w:pPr>
              <w:pStyle w:val="TableText"/>
              <w:spacing w:before="40" w:after="40"/>
              <w:jc w:val="center"/>
              <w:rPr>
                <w:szCs w:val="18"/>
              </w:rPr>
            </w:pPr>
            <w:r w:rsidRPr="00841C21">
              <w:rPr>
                <w:rFonts w:eastAsia="Times New Roman" w:cs="Calibri"/>
                <w:szCs w:val="18"/>
              </w:rPr>
              <w:t>0.004</w:t>
            </w:r>
          </w:p>
        </w:tc>
        <w:tc>
          <w:tcPr>
            <w:tcW w:w="341" w:type="pct"/>
            <w:gridSpan w:val="3"/>
            <w:shd w:val="clear" w:color="auto" w:fill="D2DDE1" w:themeFill="background2"/>
            <w:vAlign w:val="center"/>
          </w:tcPr>
          <w:p w14:paraId="2164C8C1" w14:textId="77777777" w:rsidR="00F51113" w:rsidRPr="00841C21" w:rsidRDefault="00F51113">
            <w:pPr>
              <w:pStyle w:val="TableText"/>
              <w:spacing w:before="40" w:after="40"/>
              <w:jc w:val="center"/>
              <w:rPr>
                <w:szCs w:val="18"/>
              </w:rPr>
            </w:pPr>
            <w:r w:rsidRPr="00841C21">
              <w:rPr>
                <w:rFonts w:eastAsia="Times New Roman" w:cs="Calibri"/>
                <w:szCs w:val="18"/>
              </w:rPr>
              <w:t>0.004</w:t>
            </w:r>
          </w:p>
        </w:tc>
        <w:tc>
          <w:tcPr>
            <w:tcW w:w="342" w:type="pct"/>
            <w:gridSpan w:val="2"/>
            <w:shd w:val="clear" w:color="auto" w:fill="D2DDE1" w:themeFill="background2"/>
            <w:vAlign w:val="center"/>
          </w:tcPr>
          <w:p w14:paraId="32765873" w14:textId="77777777" w:rsidR="00F51113" w:rsidRPr="00841C21" w:rsidRDefault="00F51113">
            <w:pPr>
              <w:pStyle w:val="TableText"/>
              <w:spacing w:before="40" w:after="40"/>
              <w:jc w:val="center"/>
              <w:rPr>
                <w:szCs w:val="18"/>
              </w:rPr>
            </w:pPr>
            <w:r w:rsidRPr="00841C21">
              <w:rPr>
                <w:rFonts w:eastAsia="Times New Roman" w:cs="Calibri"/>
                <w:szCs w:val="18"/>
              </w:rPr>
              <w:t>0.004</w:t>
            </w:r>
          </w:p>
        </w:tc>
        <w:tc>
          <w:tcPr>
            <w:tcW w:w="338" w:type="pct"/>
            <w:shd w:val="clear" w:color="auto" w:fill="D2DDE1" w:themeFill="background2"/>
            <w:vAlign w:val="center"/>
          </w:tcPr>
          <w:p w14:paraId="012C006F" w14:textId="77777777" w:rsidR="00F51113" w:rsidRPr="00841C21" w:rsidRDefault="00F51113">
            <w:pPr>
              <w:pStyle w:val="TableText"/>
              <w:spacing w:before="40" w:after="40"/>
              <w:jc w:val="center"/>
              <w:rPr>
                <w:szCs w:val="18"/>
              </w:rPr>
            </w:pPr>
            <w:r w:rsidRPr="00841C21">
              <w:rPr>
                <w:rFonts w:eastAsia="Times New Roman" w:cs="Calibri"/>
                <w:szCs w:val="18"/>
              </w:rPr>
              <w:t>0.004</w:t>
            </w:r>
          </w:p>
        </w:tc>
      </w:tr>
      <w:tr w:rsidR="00F51113" w:rsidRPr="00841C21" w14:paraId="236FD781" w14:textId="77777777">
        <w:tc>
          <w:tcPr>
            <w:tcW w:w="5000" w:type="pct"/>
            <w:gridSpan w:val="26"/>
            <w:vAlign w:val="center"/>
          </w:tcPr>
          <w:p w14:paraId="35F2172D" w14:textId="77777777" w:rsidR="00F51113" w:rsidRPr="00841C21" w:rsidRDefault="00F51113">
            <w:pPr>
              <w:pStyle w:val="TableText"/>
              <w:spacing w:before="40" w:after="40"/>
              <w:rPr>
                <w:rFonts w:eastAsia="Times New Roman" w:cs="Calibri"/>
                <w:b/>
                <w:bCs/>
                <w:szCs w:val="18"/>
              </w:rPr>
            </w:pPr>
            <w:r w:rsidRPr="00841C21">
              <w:rPr>
                <w:rFonts w:eastAsia="Times New Roman" w:cs="Calibri"/>
                <w:b/>
                <w:bCs/>
                <w:szCs w:val="18"/>
              </w:rPr>
              <w:t>Gas, excluding net emissions from LULUCF sector</w:t>
            </w:r>
          </w:p>
        </w:tc>
      </w:tr>
      <w:tr w:rsidR="00F51113" w:rsidRPr="00841C21" w14:paraId="16C6A407" w14:textId="77777777">
        <w:tc>
          <w:tcPr>
            <w:tcW w:w="564" w:type="pct"/>
            <w:vAlign w:val="center"/>
          </w:tcPr>
          <w:p w14:paraId="14AB29DC" w14:textId="77777777" w:rsidR="00F51113" w:rsidRPr="00841C21" w:rsidRDefault="00F51113">
            <w:pPr>
              <w:pStyle w:val="TableText"/>
              <w:spacing w:before="40" w:after="40"/>
              <w:rPr>
                <w:rFonts w:eastAsia="Times New Roman" w:cs="Calibri"/>
                <w:szCs w:val="18"/>
              </w:rPr>
            </w:pPr>
            <w:r w:rsidRPr="00841C21">
              <w:rPr>
                <w:rFonts w:cs="Calibri"/>
                <w:szCs w:val="18"/>
              </w:rPr>
              <w:t>CO</w:t>
            </w:r>
            <w:r w:rsidRPr="00841C21">
              <w:rPr>
                <w:rFonts w:cs="Calibri"/>
                <w:szCs w:val="18"/>
                <w:vertAlign w:val="subscript"/>
              </w:rPr>
              <w:t>2</w:t>
            </w:r>
          </w:p>
        </w:tc>
        <w:tc>
          <w:tcPr>
            <w:tcW w:w="339" w:type="pct"/>
            <w:gridSpan w:val="2"/>
            <w:vAlign w:val="center"/>
          </w:tcPr>
          <w:p w14:paraId="0571A708"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25.5</w:t>
            </w:r>
          </w:p>
        </w:tc>
        <w:tc>
          <w:tcPr>
            <w:tcW w:w="341" w:type="pct"/>
            <w:vAlign w:val="center"/>
          </w:tcPr>
          <w:p w14:paraId="742183AB"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28.0</w:t>
            </w:r>
          </w:p>
        </w:tc>
        <w:tc>
          <w:tcPr>
            <w:tcW w:w="342" w:type="pct"/>
            <w:gridSpan w:val="3"/>
            <w:vAlign w:val="center"/>
          </w:tcPr>
          <w:p w14:paraId="44C525F1"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32.2</w:t>
            </w:r>
          </w:p>
        </w:tc>
        <w:tc>
          <w:tcPr>
            <w:tcW w:w="341" w:type="pct"/>
            <w:gridSpan w:val="2"/>
            <w:vAlign w:val="center"/>
          </w:tcPr>
          <w:p w14:paraId="5A4D5AE7"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37.4</w:t>
            </w:r>
          </w:p>
        </w:tc>
        <w:tc>
          <w:tcPr>
            <w:tcW w:w="342" w:type="pct"/>
            <w:vAlign w:val="center"/>
          </w:tcPr>
          <w:p w14:paraId="64A52D47"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34.8</w:t>
            </w:r>
          </w:p>
        </w:tc>
        <w:tc>
          <w:tcPr>
            <w:tcW w:w="341" w:type="pct"/>
            <w:gridSpan w:val="3"/>
            <w:vAlign w:val="center"/>
          </w:tcPr>
          <w:p w14:paraId="2FC6E312"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35.8</w:t>
            </w:r>
          </w:p>
        </w:tc>
        <w:tc>
          <w:tcPr>
            <w:tcW w:w="342" w:type="pct"/>
            <w:gridSpan w:val="2"/>
            <w:vAlign w:val="center"/>
          </w:tcPr>
          <w:p w14:paraId="7C02010D"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34.0</w:t>
            </w:r>
          </w:p>
        </w:tc>
        <w:tc>
          <w:tcPr>
            <w:tcW w:w="343" w:type="pct"/>
            <w:gridSpan w:val="2"/>
            <w:shd w:val="clear" w:color="auto" w:fill="D2DDE1" w:themeFill="background2"/>
            <w:vAlign w:val="center"/>
          </w:tcPr>
          <w:p w14:paraId="73EF55EB"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31.9</w:t>
            </w:r>
          </w:p>
        </w:tc>
        <w:tc>
          <w:tcPr>
            <w:tcW w:w="342" w:type="pct"/>
            <w:shd w:val="clear" w:color="auto" w:fill="D2DDE1" w:themeFill="background2"/>
            <w:vAlign w:val="center"/>
          </w:tcPr>
          <w:p w14:paraId="3FBFFE80"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28.1</w:t>
            </w:r>
          </w:p>
        </w:tc>
        <w:tc>
          <w:tcPr>
            <w:tcW w:w="342" w:type="pct"/>
            <w:gridSpan w:val="2"/>
            <w:shd w:val="clear" w:color="auto" w:fill="D2DDE1" w:themeFill="background2"/>
            <w:vAlign w:val="center"/>
          </w:tcPr>
          <w:p w14:paraId="43933E28"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25.6</w:t>
            </w:r>
          </w:p>
        </w:tc>
        <w:tc>
          <w:tcPr>
            <w:tcW w:w="341" w:type="pct"/>
            <w:gridSpan w:val="3"/>
            <w:shd w:val="clear" w:color="auto" w:fill="D2DDE1" w:themeFill="background2"/>
            <w:vAlign w:val="center"/>
          </w:tcPr>
          <w:p w14:paraId="02C44D37"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23.2</w:t>
            </w:r>
          </w:p>
        </w:tc>
        <w:tc>
          <w:tcPr>
            <w:tcW w:w="342" w:type="pct"/>
            <w:gridSpan w:val="2"/>
            <w:shd w:val="clear" w:color="auto" w:fill="D2DDE1" w:themeFill="background2"/>
            <w:vAlign w:val="center"/>
          </w:tcPr>
          <w:p w14:paraId="3FD2F1CD"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21.5</w:t>
            </w:r>
          </w:p>
        </w:tc>
        <w:tc>
          <w:tcPr>
            <w:tcW w:w="338" w:type="pct"/>
            <w:shd w:val="clear" w:color="auto" w:fill="D2DDE1" w:themeFill="background2"/>
            <w:vAlign w:val="center"/>
          </w:tcPr>
          <w:p w14:paraId="1A930F82"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20.1</w:t>
            </w:r>
          </w:p>
        </w:tc>
      </w:tr>
      <w:tr w:rsidR="00F51113" w:rsidRPr="00841C21" w14:paraId="653C6A4E" w14:textId="77777777">
        <w:tc>
          <w:tcPr>
            <w:tcW w:w="564" w:type="pct"/>
            <w:vAlign w:val="center"/>
          </w:tcPr>
          <w:p w14:paraId="5D8F640D" w14:textId="77777777" w:rsidR="00F51113" w:rsidRPr="00841C21" w:rsidRDefault="00F51113">
            <w:pPr>
              <w:pStyle w:val="TableText"/>
              <w:spacing w:before="40" w:after="40"/>
              <w:rPr>
                <w:rFonts w:eastAsia="Times New Roman" w:cs="Calibri"/>
                <w:szCs w:val="18"/>
              </w:rPr>
            </w:pPr>
            <w:r w:rsidRPr="00841C21">
              <w:rPr>
                <w:rFonts w:cs="Calibri"/>
                <w:szCs w:val="18"/>
              </w:rPr>
              <w:t>CH</w:t>
            </w:r>
            <w:r w:rsidRPr="00841C21">
              <w:rPr>
                <w:rFonts w:cs="Calibri"/>
                <w:szCs w:val="18"/>
                <w:vertAlign w:val="subscript"/>
              </w:rPr>
              <w:t>4</w:t>
            </w:r>
          </w:p>
        </w:tc>
        <w:tc>
          <w:tcPr>
            <w:tcW w:w="339" w:type="pct"/>
            <w:gridSpan w:val="2"/>
            <w:vAlign w:val="center"/>
          </w:tcPr>
          <w:p w14:paraId="60FE39D0"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37.5</w:t>
            </w:r>
          </w:p>
        </w:tc>
        <w:tc>
          <w:tcPr>
            <w:tcW w:w="341" w:type="pct"/>
            <w:vAlign w:val="center"/>
          </w:tcPr>
          <w:p w14:paraId="13FCBA68"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39.0</w:t>
            </w:r>
          </w:p>
        </w:tc>
        <w:tc>
          <w:tcPr>
            <w:tcW w:w="342" w:type="pct"/>
            <w:gridSpan w:val="3"/>
            <w:vAlign w:val="center"/>
          </w:tcPr>
          <w:p w14:paraId="6187D317" w14:textId="77777777" w:rsidR="00F51113" w:rsidRPr="00841C21" w:rsidRDefault="00F51113">
            <w:pPr>
              <w:pStyle w:val="TableText"/>
              <w:spacing w:before="40" w:after="40"/>
              <w:jc w:val="center"/>
              <w:rPr>
                <w:rFonts w:eastAsia="Times New Roman" w:cs="Calibri"/>
                <w:szCs w:val="18"/>
              </w:rPr>
            </w:pPr>
            <w:r w:rsidRPr="00841C21">
              <w:rPr>
                <w:rFonts w:cs="Calibri"/>
                <w:szCs w:val="18"/>
              </w:rPr>
              <w:t>40.8</w:t>
            </w:r>
          </w:p>
        </w:tc>
        <w:tc>
          <w:tcPr>
            <w:tcW w:w="341" w:type="pct"/>
            <w:gridSpan w:val="2"/>
            <w:vAlign w:val="center"/>
          </w:tcPr>
          <w:p w14:paraId="32B9F2BF" w14:textId="77777777" w:rsidR="00F51113" w:rsidRPr="00841C21" w:rsidRDefault="00F51113">
            <w:pPr>
              <w:pStyle w:val="TableText"/>
              <w:spacing w:before="40" w:after="40"/>
              <w:jc w:val="center"/>
              <w:rPr>
                <w:rFonts w:eastAsia="Times New Roman" w:cs="Calibri"/>
                <w:szCs w:val="18"/>
              </w:rPr>
            </w:pPr>
            <w:r w:rsidRPr="00841C21">
              <w:rPr>
                <w:rFonts w:cs="Calibri"/>
                <w:szCs w:val="18"/>
              </w:rPr>
              <w:t>41.5</w:t>
            </w:r>
          </w:p>
        </w:tc>
        <w:tc>
          <w:tcPr>
            <w:tcW w:w="342" w:type="pct"/>
            <w:vAlign w:val="center"/>
          </w:tcPr>
          <w:p w14:paraId="22A2579D"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39.5</w:t>
            </w:r>
          </w:p>
        </w:tc>
        <w:tc>
          <w:tcPr>
            <w:tcW w:w="341" w:type="pct"/>
            <w:gridSpan w:val="3"/>
            <w:vAlign w:val="center"/>
          </w:tcPr>
          <w:p w14:paraId="4907EDCA"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39.7</w:t>
            </w:r>
          </w:p>
        </w:tc>
        <w:tc>
          <w:tcPr>
            <w:tcW w:w="342" w:type="pct"/>
            <w:gridSpan w:val="2"/>
            <w:vAlign w:val="center"/>
          </w:tcPr>
          <w:p w14:paraId="503A2A5C"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39.0</w:t>
            </w:r>
          </w:p>
        </w:tc>
        <w:tc>
          <w:tcPr>
            <w:tcW w:w="343" w:type="pct"/>
            <w:gridSpan w:val="2"/>
            <w:shd w:val="clear" w:color="auto" w:fill="D2DDE1" w:themeFill="background2"/>
            <w:vAlign w:val="center"/>
          </w:tcPr>
          <w:p w14:paraId="6277EC4D"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36.3</w:t>
            </w:r>
          </w:p>
        </w:tc>
        <w:tc>
          <w:tcPr>
            <w:tcW w:w="342" w:type="pct"/>
            <w:shd w:val="clear" w:color="auto" w:fill="D2DDE1" w:themeFill="background2"/>
            <w:vAlign w:val="center"/>
          </w:tcPr>
          <w:p w14:paraId="2DB140DB"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35.4</w:t>
            </w:r>
          </w:p>
        </w:tc>
        <w:tc>
          <w:tcPr>
            <w:tcW w:w="342" w:type="pct"/>
            <w:gridSpan w:val="2"/>
            <w:shd w:val="clear" w:color="auto" w:fill="D2DDE1" w:themeFill="background2"/>
            <w:vAlign w:val="center"/>
          </w:tcPr>
          <w:p w14:paraId="0411E735"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35.1</w:t>
            </w:r>
          </w:p>
        </w:tc>
        <w:tc>
          <w:tcPr>
            <w:tcW w:w="341" w:type="pct"/>
            <w:gridSpan w:val="3"/>
            <w:shd w:val="clear" w:color="auto" w:fill="D2DDE1" w:themeFill="background2"/>
            <w:vAlign w:val="center"/>
          </w:tcPr>
          <w:p w14:paraId="3DDF80F8"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35.1</w:t>
            </w:r>
          </w:p>
        </w:tc>
        <w:tc>
          <w:tcPr>
            <w:tcW w:w="342" w:type="pct"/>
            <w:gridSpan w:val="2"/>
            <w:shd w:val="clear" w:color="auto" w:fill="D2DDE1" w:themeFill="background2"/>
            <w:vAlign w:val="center"/>
          </w:tcPr>
          <w:p w14:paraId="42638415"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35.1</w:t>
            </w:r>
          </w:p>
        </w:tc>
        <w:tc>
          <w:tcPr>
            <w:tcW w:w="338" w:type="pct"/>
            <w:shd w:val="clear" w:color="auto" w:fill="D2DDE1" w:themeFill="background2"/>
            <w:vAlign w:val="center"/>
          </w:tcPr>
          <w:p w14:paraId="7ECEF93C"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35.1</w:t>
            </w:r>
          </w:p>
        </w:tc>
      </w:tr>
      <w:tr w:rsidR="00F51113" w:rsidRPr="00841C21" w14:paraId="22CAB87E" w14:textId="77777777">
        <w:tc>
          <w:tcPr>
            <w:tcW w:w="564" w:type="pct"/>
            <w:vAlign w:val="center"/>
          </w:tcPr>
          <w:p w14:paraId="59C727BF" w14:textId="77777777" w:rsidR="00F51113" w:rsidRPr="00841C21" w:rsidRDefault="00F51113">
            <w:pPr>
              <w:pStyle w:val="TableText"/>
              <w:spacing w:before="40" w:after="40"/>
              <w:rPr>
                <w:rFonts w:eastAsia="Times New Roman" w:cs="Calibri"/>
                <w:szCs w:val="18"/>
              </w:rPr>
            </w:pPr>
            <w:r w:rsidRPr="00841C21">
              <w:rPr>
                <w:rFonts w:cs="Calibri"/>
                <w:szCs w:val="18"/>
              </w:rPr>
              <w:t>N</w:t>
            </w:r>
            <w:r w:rsidRPr="00841C21">
              <w:rPr>
                <w:rFonts w:cs="Calibri"/>
                <w:szCs w:val="18"/>
                <w:vertAlign w:val="subscript"/>
              </w:rPr>
              <w:t>2</w:t>
            </w:r>
            <w:r w:rsidRPr="00841C21">
              <w:rPr>
                <w:rFonts w:cs="Calibri"/>
                <w:szCs w:val="18"/>
              </w:rPr>
              <w:t>O</w:t>
            </w:r>
          </w:p>
        </w:tc>
        <w:tc>
          <w:tcPr>
            <w:tcW w:w="339" w:type="pct"/>
            <w:gridSpan w:val="2"/>
            <w:vAlign w:val="center"/>
          </w:tcPr>
          <w:p w14:paraId="484CBC6D" w14:textId="77777777" w:rsidR="00F51113" w:rsidRPr="00841C21" w:rsidRDefault="00F51113">
            <w:pPr>
              <w:pStyle w:val="TableText"/>
              <w:spacing w:before="40" w:after="40"/>
              <w:jc w:val="center"/>
              <w:rPr>
                <w:rFonts w:eastAsia="Times New Roman" w:cs="Calibri"/>
                <w:szCs w:val="18"/>
              </w:rPr>
            </w:pPr>
            <w:r w:rsidRPr="00841C21">
              <w:rPr>
                <w:rFonts w:cs="Calibri"/>
                <w:szCs w:val="18"/>
              </w:rPr>
              <w:t>5.1</w:t>
            </w:r>
          </w:p>
        </w:tc>
        <w:tc>
          <w:tcPr>
            <w:tcW w:w="341" w:type="pct"/>
            <w:vAlign w:val="center"/>
          </w:tcPr>
          <w:p w14:paraId="42E58CF8" w14:textId="77777777" w:rsidR="00F51113" w:rsidRPr="00841C21" w:rsidRDefault="00F51113">
            <w:pPr>
              <w:pStyle w:val="TableText"/>
              <w:spacing w:before="40" w:after="40"/>
              <w:jc w:val="center"/>
              <w:rPr>
                <w:rFonts w:eastAsia="Times New Roman" w:cs="Calibri"/>
                <w:szCs w:val="18"/>
              </w:rPr>
            </w:pPr>
            <w:r w:rsidRPr="00841C21">
              <w:rPr>
                <w:rFonts w:cs="Calibri"/>
                <w:szCs w:val="18"/>
              </w:rPr>
              <w:t>5.8</w:t>
            </w:r>
          </w:p>
        </w:tc>
        <w:tc>
          <w:tcPr>
            <w:tcW w:w="342" w:type="pct"/>
            <w:gridSpan w:val="3"/>
            <w:vAlign w:val="center"/>
          </w:tcPr>
          <w:p w14:paraId="7B5DEB18" w14:textId="77777777" w:rsidR="00F51113" w:rsidRPr="00841C21" w:rsidRDefault="00F51113">
            <w:pPr>
              <w:pStyle w:val="TableText"/>
              <w:spacing w:before="40" w:after="40"/>
              <w:jc w:val="center"/>
              <w:rPr>
                <w:rFonts w:eastAsia="Times New Roman" w:cs="Calibri"/>
                <w:szCs w:val="18"/>
              </w:rPr>
            </w:pPr>
            <w:r w:rsidRPr="00841C21">
              <w:rPr>
                <w:rFonts w:cs="Calibri"/>
                <w:szCs w:val="18"/>
              </w:rPr>
              <w:t>6.2</w:t>
            </w:r>
          </w:p>
        </w:tc>
        <w:tc>
          <w:tcPr>
            <w:tcW w:w="341" w:type="pct"/>
            <w:gridSpan w:val="2"/>
            <w:vAlign w:val="center"/>
          </w:tcPr>
          <w:p w14:paraId="5D10F23A" w14:textId="77777777" w:rsidR="00F51113" w:rsidRPr="00841C21" w:rsidRDefault="00F51113">
            <w:pPr>
              <w:pStyle w:val="TableText"/>
              <w:spacing w:before="40" w:after="40"/>
              <w:jc w:val="center"/>
              <w:rPr>
                <w:rFonts w:eastAsia="Times New Roman" w:cs="Calibri"/>
                <w:szCs w:val="18"/>
              </w:rPr>
            </w:pPr>
            <w:r w:rsidRPr="00841C21">
              <w:rPr>
                <w:rFonts w:cs="Calibri"/>
                <w:szCs w:val="18"/>
              </w:rPr>
              <w:t>6.9</w:t>
            </w:r>
          </w:p>
        </w:tc>
        <w:tc>
          <w:tcPr>
            <w:tcW w:w="342" w:type="pct"/>
            <w:vAlign w:val="center"/>
          </w:tcPr>
          <w:p w14:paraId="6E29744F" w14:textId="77777777" w:rsidR="00F51113" w:rsidRPr="00841C21" w:rsidRDefault="00F51113">
            <w:pPr>
              <w:pStyle w:val="TableText"/>
              <w:spacing w:before="40" w:after="40"/>
              <w:jc w:val="center"/>
              <w:rPr>
                <w:rFonts w:eastAsia="Times New Roman" w:cs="Calibri"/>
                <w:szCs w:val="18"/>
              </w:rPr>
            </w:pPr>
            <w:r w:rsidRPr="00841C21">
              <w:rPr>
                <w:rFonts w:cs="Calibri"/>
                <w:szCs w:val="18"/>
              </w:rPr>
              <w:t>6.7</w:t>
            </w:r>
          </w:p>
        </w:tc>
        <w:tc>
          <w:tcPr>
            <w:tcW w:w="341" w:type="pct"/>
            <w:gridSpan w:val="3"/>
            <w:vAlign w:val="center"/>
          </w:tcPr>
          <w:p w14:paraId="475FE15A" w14:textId="77777777" w:rsidR="00F51113" w:rsidRPr="00841C21" w:rsidRDefault="00F51113">
            <w:pPr>
              <w:pStyle w:val="TableText"/>
              <w:spacing w:before="40" w:after="40"/>
              <w:jc w:val="center"/>
              <w:rPr>
                <w:rFonts w:eastAsia="Times New Roman" w:cs="Calibri"/>
                <w:szCs w:val="18"/>
              </w:rPr>
            </w:pPr>
            <w:r w:rsidRPr="00841C21">
              <w:rPr>
                <w:rFonts w:cs="Calibri"/>
                <w:szCs w:val="18"/>
              </w:rPr>
              <w:t>7.1</w:t>
            </w:r>
          </w:p>
        </w:tc>
        <w:tc>
          <w:tcPr>
            <w:tcW w:w="342" w:type="pct"/>
            <w:gridSpan w:val="2"/>
            <w:vAlign w:val="center"/>
          </w:tcPr>
          <w:p w14:paraId="44550DD7" w14:textId="77777777" w:rsidR="00F51113" w:rsidRPr="00841C21" w:rsidRDefault="00F51113">
            <w:pPr>
              <w:pStyle w:val="TableText"/>
              <w:spacing w:before="40" w:after="40"/>
              <w:jc w:val="center"/>
              <w:rPr>
                <w:rFonts w:eastAsia="Times New Roman" w:cs="Calibri"/>
                <w:szCs w:val="18"/>
              </w:rPr>
            </w:pPr>
            <w:r w:rsidRPr="00841C21">
              <w:rPr>
                <w:rFonts w:cs="Calibri"/>
                <w:szCs w:val="18"/>
              </w:rPr>
              <w:t>7.4</w:t>
            </w:r>
          </w:p>
        </w:tc>
        <w:tc>
          <w:tcPr>
            <w:tcW w:w="343" w:type="pct"/>
            <w:gridSpan w:val="2"/>
            <w:shd w:val="clear" w:color="auto" w:fill="D2DDE1" w:themeFill="background2"/>
            <w:vAlign w:val="center"/>
          </w:tcPr>
          <w:p w14:paraId="0E00CA46" w14:textId="77777777" w:rsidR="00F51113" w:rsidRPr="00841C21" w:rsidRDefault="00F51113">
            <w:pPr>
              <w:pStyle w:val="TableText"/>
              <w:spacing w:before="40" w:after="40"/>
              <w:jc w:val="center"/>
              <w:rPr>
                <w:rFonts w:eastAsia="Times New Roman" w:cs="Calibri"/>
                <w:szCs w:val="18"/>
              </w:rPr>
            </w:pPr>
            <w:r w:rsidRPr="00841C21">
              <w:rPr>
                <w:rFonts w:cs="Calibri"/>
                <w:szCs w:val="18"/>
              </w:rPr>
              <w:t>7.1</w:t>
            </w:r>
          </w:p>
        </w:tc>
        <w:tc>
          <w:tcPr>
            <w:tcW w:w="342" w:type="pct"/>
            <w:shd w:val="clear" w:color="auto" w:fill="D2DDE1" w:themeFill="background2"/>
            <w:vAlign w:val="center"/>
          </w:tcPr>
          <w:p w14:paraId="4F5C98C0" w14:textId="77777777" w:rsidR="00F51113" w:rsidRPr="00841C21" w:rsidRDefault="00F51113">
            <w:pPr>
              <w:pStyle w:val="TableText"/>
              <w:spacing w:before="40" w:after="40"/>
              <w:jc w:val="center"/>
              <w:rPr>
                <w:rFonts w:eastAsia="Times New Roman" w:cs="Calibri"/>
                <w:szCs w:val="18"/>
              </w:rPr>
            </w:pPr>
            <w:r w:rsidRPr="00841C21">
              <w:rPr>
                <w:rFonts w:cs="Calibri"/>
                <w:szCs w:val="18"/>
              </w:rPr>
              <w:t>7.0</w:t>
            </w:r>
          </w:p>
        </w:tc>
        <w:tc>
          <w:tcPr>
            <w:tcW w:w="342" w:type="pct"/>
            <w:gridSpan w:val="2"/>
            <w:shd w:val="clear" w:color="auto" w:fill="D2DDE1" w:themeFill="background2"/>
            <w:vAlign w:val="center"/>
          </w:tcPr>
          <w:p w14:paraId="2E5CD5DE" w14:textId="77777777" w:rsidR="00F51113" w:rsidRPr="00841C21" w:rsidRDefault="00F51113">
            <w:pPr>
              <w:pStyle w:val="TableText"/>
              <w:spacing w:before="40" w:after="40"/>
              <w:jc w:val="center"/>
              <w:rPr>
                <w:rFonts w:eastAsia="Times New Roman" w:cs="Calibri"/>
                <w:szCs w:val="18"/>
              </w:rPr>
            </w:pPr>
            <w:r w:rsidRPr="00841C21">
              <w:rPr>
                <w:rFonts w:cs="Calibri"/>
                <w:szCs w:val="18"/>
              </w:rPr>
              <w:t>6.9</w:t>
            </w:r>
          </w:p>
        </w:tc>
        <w:tc>
          <w:tcPr>
            <w:tcW w:w="341" w:type="pct"/>
            <w:gridSpan w:val="3"/>
            <w:shd w:val="clear" w:color="auto" w:fill="D2DDE1" w:themeFill="background2"/>
            <w:vAlign w:val="center"/>
          </w:tcPr>
          <w:p w14:paraId="3A857081" w14:textId="77777777" w:rsidR="00F51113" w:rsidRPr="00841C21" w:rsidRDefault="00F51113">
            <w:pPr>
              <w:pStyle w:val="TableText"/>
              <w:spacing w:before="40" w:after="40"/>
              <w:jc w:val="center"/>
              <w:rPr>
                <w:rFonts w:eastAsia="Times New Roman" w:cs="Calibri"/>
                <w:szCs w:val="18"/>
              </w:rPr>
            </w:pPr>
            <w:r w:rsidRPr="00841C21">
              <w:rPr>
                <w:rFonts w:cs="Calibri"/>
                <w:szCs w:val="18"/>
              </w:rPr>
              <w:t>6.9</w:t>
            </w:r>
          </w:p>
        </w:tc>
        <w:tc>
          <w:tcPr>
            <w:tcW w:w="342" w:type="pct"/>
            <w:gridSpan w:val="2"/>
            <w:shd w:val="clear" w:color="auto" w:fill="D2DDE1" w:themeFill="background2"/>
            <w:vAlign w:val="center"/>
          </w:tcPr>
          <w:p w14:paraId="2C39C9F3" w14:textId="77777777" w:rsidR="00F51113" w:rsidRPr="00841C21" w:rsidRDefault="00F51113">
            <w:pPr>
              <w:pStyle w:val="TableText"/>
              <w:spacing w:before="40" w:after="40"/>
              <w:jc w:val="center"/>
              <w:rPr>
                <w:rFonts w:eastAsia="Times New Roman" w:cs="Calibri"/>
                <w:szCs w:val="18"/>
              </w:rPr>
            </w:pPr>
            <w:r w:rsidRPr="00841C21">
              <w:rPr>
                <w:rFonts w:cs="Calibri"/>
                <w:szCs w:val="18"/>
              </w:rPr>
              <w:t>6.9</w:t>
            </w:r>
          </w:p>
        </w:tc>
        <w:tc>
          <w:tcPr>
            <w:tcW w:w="338" w:type="pct"/>
            <w:shd w:val="clear" w:color="auto" w:fill="D2DDE1" w:themeFill="background2"/>
            <w:vAlign w:val="center"/>
          </w:tcPr>
          <w:p w14:paraId="400534E3" w14:textId="77777777" w:rsidR="00F51113" w:rsidRPr="00841C21" w:rsidRDefault="00F51113">
            <w:pPr>
              <w:pStyle w:val="TableText"/>
              <w:spacing w:before="40" w:after="40"/>
              <w:jc w:val="center"/>
              <w:rPr>
                <w:rFonts w:eastAsia="Times New Roman" w:cs="Calibri"/>
                <w:szCs w:val="18"/>
              </w:rPr>
            </w:pPr>
            <w:r w:rsidRPr="00841C21">
              <w:rPr>
                <w:rFonts w:cs="Calibri"/>
                <w:szCs w:val="18"/>
              </w:rPr>
              <w:t>6.9</w:t>
            </w:r>
          </w:p>
        </w:tc>
      </w:tr>
      <w:tr w:rsidR="00F51113" w:rsidRPr="00841C21" w14:paraId="48334BEF" w14:textId="77777777">
        <w:tc>
          <w:tcPr>
            <w:tcW w:w="564" w:type="pct"/>
            <w:vAlign w:val="center"/>
          </w:tcPr>
          <w:p w14:paraId="56146CF3" w14:textId="77777777" w:rsidR="00F51113" w:rsidRPr="00841C21" w:rsidRDefault="00F51113">
            <w:pPr>
              <w:pStyle w:val="TableText"/>
              <w:spacing w:before="40" w:after="40"/>
              <w:rPr>
                <w:rFonts w:eastAsia="Times New Roman" w:cs="Calibri"/>
                <w:szCs w:val="18"/>
              </w:rPr>
            </w:pPr>
            <w:r w:rsidRPr="00841C21">
              <w:rPr>
                <w:rFonts w:eastAsia="Times New Roman" w:cs="Calibri"/>
                <w:szCs w:val="18"/>
              </w:rPr>
              <w:t>HFCs</w:t>
            </w:r>
          </w:p>
        </w:tc>
        <w:tc>
          <w:tcPr>
            <w:tcW w:w="339" w:type="pct"/>
            <w:gridSpan w:val="2"/>
            <w:vAlign w:val="center"/>
          </w:tcPr>
          <w:p w14:paraId="68A48270"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0.00</w:t>
            </w:r>
          </w:p>
        </w:tc>
        <w:tc>
          <w:tcPr>
            <w:tcW w:w="341" w:type="pct"/>
            <w:vAlign w:val="center"/>
          </w:tcPr>
          <w:p w14:paraId="0A2CEC91"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0.03</w:t>
            </w:r>
          </w:p>
        </w:tc>
        <w:tc>
          <w:tcPr>
            <w:tcW w:w="342" w:type="pct"/>
            <w:gridSpan w:val="3"/>
            <w:vAlign w:val="center"/>
          </w:tcPr>
          <w:p w14:paraId="787C1D09"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0.23</w:t>
            </w:r>
          </w:p>
        </w:tc>
        <w:tc>
          <w:tcPr>
            <w:tcW w:w="341" w:type="pct"/>
            <w:gridSpan w:val="2"/>
            <w:vAlign w:val="center"/>
          </w:tcPr>
          <w:p w14:paraId="4C72E279"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0.65</w:t>
            </w:r>
          </w:p>
        </w:tc>
        <w:tc>
          <w:tcPr>
            <w:tcW w:w="342" w:type="pct"/>
            <w:vAlign w:val="center"/>
          </w:tcPr>
          <w:p w14:paraId="6E670DB4" w14:textId="77777777" w:rsidR="00F51113" w:rsidRPr="00841C21" w:rsidRDefault="00F51113">
            <w:pPr>
              <w:pStyle w:val="TableText"/>
              <w:spacing w:before="40" w:after="40"/>
              <w:jc w:val="center"/>
              <w:rPr>
                <w:rFonts w:eastAsia="Times New Roman" w:cs="Calibri"/>
                <w:szCs w:val="18"/>
              </w:rPr>
            </w:pPr>
            <w:r w:rsidRPr="00841C21">
              <w:rPr>
                <w:rFonts w:cs="Calibri"/>
                <w:szCs w:val="18"/>
              </w:rPr>
              <w:t>1.01</w:t>
            </w:r>
          </w:p>
        </w:tc>
        <w:tc>
          <w:tcPr>
            <w:tcW w:w="341" w:type="pct"/>
            <w:gridSpan w:val="3"/>
            <w:vAlign w:val="center"/>
          </w:tcPr>
          <w:p w14:paraId="028592C1" w14:textId="77777777" w:rsidR="00F51113" w:rsidRPr="00841C21" w:rsidRDefault="00F51113">
            <w:pPr>
              <w:pStyle w:val="TableText"/>
              <w:spacing w:before="40" w:after="40"/>
              <w:jc w:val="center"/>
              <w:rPr>
                <w:rFonts w:eastAsia="Times New Roman" w:cs="Calibri"/>
                <w:szCs w:val="18"/>
              </w:rPr>
            </w:pPr>
            <w:r w:rsidRPr="00841C21">
              <w:rPr>
                <w:rFonts w:cs="Calibri"/>
                <w:szCs w:val="18"/>
              </w:rPr>
              <w:t>1.20</w:t>
            </w:r>
          </w:p>
        </w:tc>
        <w:tc>
          <w:tcPr>
            <w:tcW w:w="342" w:type="pct"/>
            <w:gridSpan w:val="2"/>
            <w:vAlign w:val="center"/>
          </w:tcPr>
          <w:p w14:paraId="595B9A01" w14:textId="77777777" w:rsidR="00F51113" w:rsidRPr="00841C21" w:rsidRDefault="00F51113">
            <w:pPr>
              <w:pStyle w:val="TableText"/>
              <w:spacing w:before="40" w:after="40"/>
              <w:jc w:val="center"/>
              <w:rPr>
                <w:rFonts w:eastAsia="Times New Roman" w:cs="Calibri"/>
                <w:szCs w:val="18"/>
              </w:rPr>
            </w:pPr>
            <w:r w:rsidRPr="00841C21">
              <w:rPr>
                <w:rFonts w:cs="Calibri"/>
                <w:szCs w:val="18"/>
              </w:rPr>
              <w:t>1.34</w:t>
            </w:r>
          </w:p>
        </w:tc>
        <w:tc>
          <w:tcPr>
            <w:tcW w:w="343" w:type="pct"/>
            <w:gridSpan w:val="2"/>
            <w:shd w:val="clear" w:color="auto" w:fill="D2DDE1" w:themeFill="background2"/>
            <w:vAlign w:val="center"/>
          </w:tcPr>
          <w:p w14:paraId="2A2FF26E" w14:textId="77777777" w:rsidR="00F51113" w:rsidRPr="00841C21" w:rsidRDefault="00F51113">
            <w:pPr>
              <w:pStyle w:val="TableText"/>
              <w:spacing w:before="40" w:after="40"/>
              <w:jc w:val="center"/>
              <w:rPr>
                <w:rFonts w:eastAsia="Times New Roman" w:cs="Calibri"/>
                <w:szCs w:val="18"/>
              </w:rPr>
            </w:pPr>
            <w:r w:rsidRPr="00841C21">
              <w:rPr>
                <w:rFonts w:cs="Calibri"/>
                <w:szCs w:val="18"/>
              </w:rPr>
              <w:t>1.13</w:t>
            </w:r>
          </w:p>
        </w:tc>
        <w:tc>
          <w:tcPr>
            <w:tcW w:w="342" w:type="pct"/>
            <w:shd w:val="clear" w:color="auto" w:fill="D2DDE1" w:themeFill="background2"/>
            <w:vAlign w:val="center"/>
          </w:tcPr>
          <w:p w14:paraId="0C743D2E" w14:textId="77777777" w:rsidR="00F51113" w:rsidRPr="00841C21" w:rsidRDefault="00F51113">
            <w:pPr>
              <w:pStyle w:val="TableText"/>
              <w:spacing w:before="40" w:after="40"/>
              <w:jc w:val="center"/>
              <w:rPr>
                <w:rFonts w:eastAsia="Times New Roman" w:cs="Calibri"/>
                <w:szCs w:val="18"/>
              </w:rPr>
            </w:pPr>
            <w:r w:rsidRPr="00841C21">
              <w:rPr>
                <w:rFonts w:cs="Calibri"/>
                <w:szCs w:val="18"/>
              </w:rPr>
              <w:t>1.04</w:t>
            </w:r>
          </w:p>
        </w:tc>
        <w:tc>
          <w:tcPr>
            <w:tcW w:w="342" w:type="pct"/>
            <w:gridSpan w:val="2"/>
            <w:shd w:val="clear" w:color="auto" w:fill="D2DDE1" w:themeFill="background2"/>
            <w:vAlign w:val="center"/>
          </w:tcPr>
          <w:p w14:paraId="625BD1AB"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0.96</w:t>
            </w:r>
          </w:p>
        </w:tc>
        <w:tc>
          <w:tcPr>
            <w:tcW w:w="341" w:type="pct"/>
            <w:gridSpan w:val="3"/>
            <w:shd w:val="clear" w:color="auto" w:fill="D2DDE1" w:themeFill="background2"/>
            <w:vAlign w:val="center"/>
          </w:tcPr>
          <w:p w14:paraId="778783A8"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0.83</w:t>
            </w:r>
          </w:p>
        </w:tc>
        <w:tc>
          <w:tcPr>
            <w:tcW w:w="342" w:type="pct"/>
            <w:gridSpan w:val="2"/>
            <w:shd w:val="clear" w:color="auto" w:fill="D2DDE1" w:themeFill="background2"/>
            <w:vAlign w:val="center"/>
          </w:tcPr>
          <w:p w14:paraId="24D2AB82"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0.84</w:t>
            </w:r>
          </w:p>
        </w:tc>
        <w:tc>
          <w:tcPr>
            <w:tcW w:w="338" w:type="pct"/>
            <w:shd w:val="clear" w:color="auto" w:fill="D2DDE1" w:themeFill="background2"/>
            <w:vAlign w:val="center"/>
          </w:tcPr>
          <w:p w14:paraId="410A6E39"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0.75</w:t>
            </w:r>
          </w:p>
        </w:tc>
      </w:tr>
      <w:tr w:rsidR="00F51113" w:rsidRPr="00841C21" w14:paraId="173E156F" w14:textId="77777777">
        <w:tc>
          <w:tcPr>
            <w:tcW w:w="564" w:type="pct"/>
            <w:vAlign w:val="center"/>
          </w:tcPr>
          <w:p w14:paraId="72F4F7BF" w14:textId="77777777" w:rsidR="00F51113" w:rsidRPr="00841C21" w:rsidRDefault="00F51113">
            <w:pPr>
              <w:pStyle w:val="TableText"/>
              <w:spacing w:before="40" w:after="40"/>
              <w:rPr>
                <w:rFonts w:eastAsia="Times New Roman" w:cs="Calibri"/>
                <w:szCs w:val="18"/>
              </w:rPr>
            </w:pPr>
            <w:r w:rsidRPr="00841C21">
              <w:rPr>
                <w:rFonts w:eastAsia="Times New Roman" w:cs="Calibri"/>
                <w:szCs w:val="18"/>
              </w:rPr>
              <w:t>PFCs</w:t>
            </w:r>
          </w:p>
        </w:tc>
        <w:tc>
          <w:tcPr>
            <w:tcW w:w="339" w:type="pct"/>
            <w:gridSpan w:val="2"/>
            <w:vAlign w:val="center"/>
          </w:tcPr>
          <w:p w14:paraId="3AD1581E"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0.82</w:t>
            </w:r>
          </w:p>
        </w:tc>
        <w:tc>
          <w:tcPr>
            <w:tcW w:w="341" w:type="pct"/>
            <w:vAlign w:val="center"/>
          </w:tcPr>
          <w:p w14:paraId="0C2E48F3"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0.14</w:t>
            </w:r>
          </w:p>
        </w:tc>
        <w:tc>
          <w:tcPr>
            <w:tcW w:w="342" w:type="pct"/>
            <w:gridSpan w:val="3"/>
            <w:vAlign w:val="center"/>
          </w:tcPr>
          <w:p w14:paraId="66B141C8"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0.08</w:t>
            </w:r>
          </w:p>
        </w:tc>
        <w:tc>
          <w:tcPr>
            <w:tcW w:w="341" w:type="pct"/>
            <w:gridSpan w:val="2"/>
            <w:vAlign w:val="center"/>
          </w:tcPr>
          <w:p w14:paraId="393575A4"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0.06</w:t>
            </w:r>
          </w:p>
        </w:tc>
        <w:tc>
          <w:tcPr>
            <w:tcW w:w="342" w:type="pct"/>
            <w:vAlign w:val="center"/>
          </w:tcPr>
          <w:p w14:paraId="52EEE234"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0.04</w:t>
            </w:r>
          </w:p>
        </w:tc>
        <w:tc>
          <w:tcPr>
            <w:tcW w:w="341" w:type="pct"/>
            <w:gridSpan w:val="3"/>
            <w:vAlign w:val="center"/>
          </w:tcPr>
          <w:p w14:paraId="3168C5A0"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0.05</w:t>
            </w:r>
          </w:p>
        </w:tc>
        <w:tc>
          <w:tcPr>
            <w:tcW w:w="342" w:type="pct"/>
            <w:gridSpan w:val="2"/>
            <w:vAlign w:val="center"/>
          </w:tcPr>
          <w:p w14:paraId="1B7251B6"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0.08</w:t>
            </w:r>
          </w:p>
        </w:tc>
        <w:tc>
          <w:tcPr>
            <w:tcW w:w="343" w:type="pct"/>
            <w:gridSpan w:val="2"/>
            <w:shd w:val="clear" w:color="auto" w:fill="D2DDE1" w:themeFill="background2"/>
            <w:vAlign w:val="center"/>
          </w:tcPr>
          <w:p w14:paraId="0BB56AA4"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0.05</w:t>
            </w:r>
          </w:p>
        </w:tc>
        <w:tc>
          <w:tcPr>
            <w:tcW w:w="342" w:type="pct"/>
            <w:shd w:val="clear" w:color="auto" w:fill="D2DDE1" w:themeFill="background2"/>
            <w:vAlign w:val="center"/>
          </w:tcPr>
          <w:p w14:paraId="49C8DFE8"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0.05</w:t>
            </w:r>
          </w:p>
        </w:tc>
        <w:tc>
          <w:tcPr>
            <w:tcW w:w="342" w:type="pct"/>
            <w:gridSpan w:val="2"/>
            <w:shd w:val="clear" w:color="auto" w:fill="D2DDE1" w:themeFill="background2"/>
            <w:vAlign w:val="center"/>
          </w:tcPr>
          <w:p w14:paraId="3A42A850"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0.05</w:t>
            </w:r>
          </w:p>
        </w:tc>
        <w:tc>
          <w:tcPr>
            <w:tcW w:w="341" w:type="pct"/>
            <w:gridSpan w:val="3"/>
            <w:shd w:val="clear" w:color="auto" w:fill="D2DDE1" w:themeFill="background2"/>
            <w:vAlign w:val="center"/>
          </w:tcPr>
          <w:p w14:paraId="2A3FE785"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0.05</w:t>
            </w:r>
          </w:p>
        </w:tc>
        <w:tc>
          <w:tcPr>
            <w:tcW w:w="342" w:type="pct"/>
            <w:gridSpan w:val="2"/>
            <w:shd w:val="clear" w:color="auto" w:fill="D2DDE1" w:themeFill="background2"/>
            <w:vAlign w:val="center"/>
          </w:tcPr>
          <w:p w14:paraId="70A1A6B7"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0.05</w:t>
            </w:r>
          </w:p>
        </w:tc>
        <w:tc>
          <w:tcPr>
            <w:tcW w:w="338" w:type="pct"/>
            <w:shd w:val="clear" w:color="auto" w:fill="D2DDE1" w:themeFill="background2"/>
            <w:vAlign w:val="center"/>
          </w:tcPr>
          <w:p w14:paraId="0485ACAD"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0.05</w:t>
            </w:r>
          </w:p>
        </w:tc>
      </w:tr>
      <w:tr w:rsidR="00F51113" w:rsidRPr="00841C21" w14:paraId="5C76507D" w14:textId="77777777">
        <w:tc>
          <w:tcPr>
            <w:tcW w:w="564" w:type="pct"/>
            <w:vAlign w:val="center"/>
          </w:tcPr>
          <w:p w14:paraId="43C8F9B9" w14:textId="77777777" w:rsidR="00F51113" w:rsidRPr="00841C21" w:rsidRDefault="00F51113">
            <w:pPr>
              <w:pStyle w:val="TableText"/>
              <w:spacing w:before="40" w:after="40"/>
              <w:rPr>
                <w:rFonts w:eastAsia="Times New Roman" w:cs="Calibri"/>
                <w:szCs w:val="18"/>
              </w:rPr>
            </w:pPr>
            <w:r w:rsidRPr="00841C21">
              <w:rPr>
                <w:rFonts w:eastAsia="Times New Roman" w:cs="Calibri"/>
                <w:szCs w:val="18"/>
              </w:rPr>
              <w:t>SF</w:t>
            </w:r>
            <w:r w:rsidRPr="00841C21">
              <w:rPr>
                <w:rFonts w:eastAsia="Times New Roman" w:cs="Calibri"/>
                <w:szCs w:val="18"/>
                <w:vertAlign w:val="subscript"/>
              </w:rPr>
              <w:t>6</w:t>
            </w:r>
          </w:p>
        </w:tc>
        <w:tc>
          <w:tcPr>
            <w:tcW w:w="339" w:type="pct"/>
            <w:gridSpan w:val="2"/>
            <w:vAlign w:val="center"/>
          </w:tcPr>
          <w:p w14:paraId="1021031B"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1" w:type="pct"/>
            <w:vAlign w:val="center"/>
          </w:tcPr>
          <w:p w14:paraId="5D80CE91"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0.03</w:t>
            </w:r>
          </w:p>
        </w:tc>
        <w:tc>
          <w:tcPr>
            <w:tcW w:w="342" w:type="pct"/>
            <w:gridSpan w:val="3"/>
            <w:vAlign w:val="center"/>
          </w:tcPr>
          <w:p w14:paraId="31816D83"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1" w:type="pct"/>
            <w:gridSpan w:val="2"/>
            <w:vAlign w:val="center"/>
          </w:tcPr>
          <w:p w14:paraId="4D531674"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0.03</w:t>
            </w:r>
          </w:p>
        </w:tc>
        <w:tc>
          <w:tcPr>
            <w:tcW w:w="342" w:type="pct"/>
            <w:vAlign w:val="center"/>
          </w:tcPr>
          <w:p w14:paraId="07912E25"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1" w:type="pct"/>
            <w:gridSpan w:val="3"/>
            <w:vAlign w:val="center"/>
          </w:tcPr>
          <w:p w14:paraId="67A3F849"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2" w:type="pct"/>
            <w:gridSpan w:val="2"/>
            <w:vAlign w:val="center"/>
          </w:tcPr>
          <w:p w14:paraId="1879073A"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3" w:type="pct"/>
            <w:gridSpan w:val="2"/>
            <w:shd w:val="clear" w:color="auto" w:fill="D2DDE1" w:themeFill="background2"/>
            <w:vAlign w:val="center"/>
          </w:tcPr>
          <w:p w14:paraId="7616F576"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2" w:type="pct"/>
            <w:shd w:val="clear" w:color="auto" w:fill="D2DDE1" w:themeFill="background2"/>
            <w:vAlign w:val="center"/>
          </w:tcPr>
          <w:p w14:paraId="69D3B550"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2" w:type="pct"/>
            <w:gridSpan w:val="2"/>
            <w:shd w:val="clear" w:color="auto" w:fill="D2DDE1" w:themeFill="background2"/>
            <w:vAlign w:val="center"/>
          </w:tcPr>
          <w:p w14:paraId="79DFAB3B"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1" w:type="pct"/>
            <w:gridSpan w:val="3"/>
            <w:shd w:val="clear" w:color="auto" w:fill="D2DDE1" w:themeFill="background2"/>
            <w:vAlign w:val="center"/>
          </w:tcPr>
          <w:p w14:paraId="14B8E93A"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2" w:type="pct"/>
            <w:gridSpan w:val="2"/>
            <w:shd w:val="clear" w:color="auto" w:fill="D2DDE1" w:themeFill="background2"/>
            <w:vAlign w:val="center"/>
          </w:tcPr>
          <w:p w14:paraId="14D8140A"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38" w:type="pct"/>
            <w:shd w:val="clear" w:color="auto" w:fill="D2DDE1" w:themeFill="background2"/>
            <w:vAlign w:val="center"/>
          </w:tcPr>
          <w:p w14:paraId="40857F6D"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r>
      <w:tr w:rsidR="00F51113" w:rsidRPr="00841C21" w14:paraId="480135A7" w14:textId="77777777">
        <w:tc>
          <w:tcPr>
            <w:tcW w:w="5000" w:type="pct"/>
            <w:gridSpan w:val="26"/>
            <w:vAlign w:val="center"/>
          </w:tcPr>
          <w:p w14:paraId="41FAA7B9" w14:textId="77777777" w:rsidR="00F51113" w:rsidRPr="00841C21" w:rsidRDefault="00F51113">
            <w:pPr>
              <w:pStyle w:val="TableText"/>
              <w:spacing w:before="40" w:after="40"/>
              <w:rPr>
                <w:rFonts w:eastAsia="Times New Roman" w:cs="Calibri"/>
                <w:szCs w:val="18"/>
              </w:rPr>
            </w:pPr>
            <w:r w:rsidRPr="00841C21">
              <w:rPr>
                <w:rFonts w:eastAsia="Times New Roman" w:cs="Calibri"/>
                <w:b/>
                <w:bCs/>
                <w:szCs w:val="18"/>
              </w:rPr>
              <w:t>Gas, including net emissions from LULUCF sector</w:t>
            </w:r>
          </w:p>
        </w:tc>
      </w:tr>
      <w:tr w:rsidR="00F51113" w:rsidRPr="00841C21" w14:paraId="02368C7D" w14:textId="77777777">
        <w:tc>
          <w:tcPr>
            <w:tcW w:w="564" w:type="pct"/>
            <w:vAlign w:val="center"/>
          </w:tcPr>
          <w:p w14:paraId="71743283" w14:textId="77777777" w:rsidR="00F51113" w:rsidRPr="00841C21" w:rsidRDefault="00F51113">
            <w:pPr>
              <w:pStyle w:val="TableText"/>
              <w:spacing w:before="40" w:after="40"/>
              <w:rPr>
                <w:rFonts w:eastAsia="Times New Roman" w:cs="Calibri"/>
                <w:szCs w:val="18"/>
              </w:rPr>
            </w:pPr>
            <w:r w:rsidRPr="00841C21">
              <w:rPr>
                <w:rFonts w:cs="Calibri"/>
                <w:szCs w:val="18"/>
              </w:rPr>
              <w:t>CO</w:t>
            </w:r>
            <w:r w:rsidRPr="00841C21">
              <w:rPr>
                <w:rFonts w:cs="Calibri"/>
                <w:szCs w:val="18"/>
                <w:vertAlign w:val="subscript"/>
              </w:rPr>
              <w:t>2</w:t>
            </w:r>
          </w:p>
        </w:tc>
        <w:tc>
          <w:tcPr>
            <w:tcW w:w="339" w:type="pct"/>
            <w:gridSpan w:val="2"/>
            <w:vAlign w:val="center"/>
          </w:tcPr>
          <w:p w14:paraId="11C2CC8B"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0.8</w:t>
            </w:r>
          </w:p>
        </w:tc>
        <w:tc>
          <w:tcPr>
            <w:tcW w:w="341" w:type="pct"/>
            <w:vAlign w:val="center"/>
          </w:tcPr>
          <w:p w14:paraId="792DBB32"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3.8</w:t>
            </w:r>
          </w:p>
        </w:tc>
        <w:tc>
          <w:tcPr>
            <w:tcW w:w="342" w:type="pct"/>
            <w:gridSpan w:val="3"/>
            <w:vAlign w:val="center"/>
          </w:tcPr>
          <w:p w14:paraId="6A737109" w14:textId="77777777" w:rsidR="00F51113" w:rsidRPr="00841C21" w:rsidRDefault="00F51113">
            <w:pPr>
              <w:pStyle w:val="TableText"/>
              <w:spacing w:before="40" w:after="40"/>
              <w:jc w:val="center"/>
              <w:rPr>
                <w:rFonts w:eastAsia="Times New Roman" w:cs="Calibri"/>
                <w:szCs w:val="18"/>
              </w:rPr>
            </w:pPr>
            <w:r w:rsidRPr="00841C21">
              <w:rPr>
                <w:rFonts w:cs="Calibri"/>
                <w:szCs w:val="18"/>
              </w:rPr>
              <w:t>4.4</w:t>
            </w:r>
          </w:p>
        </w:tc>
        <w:tc>
          <w:tcPr>
            <w:tcW w:w="341" w:type="pct"/>
            <w:gridSpan w:val="2"/>
            <w:vAlign w:val="center"/>
          </w:tcPr>
          <w:p w14:paraId="69C45A7B" w14:textId="77777777" w:rsidR="00F51113" w:rsidRPr="00841C21" w:rsidRDefault="00F51113">
            <w:pPr>
              <w:pStyle w:val="TableText"/>
              <w:spacing w:before="40" w:after="40"/>
              <w:jc w:val="center"/>
              <w:rPr>
                <w:rFonts w:eastAsia="Times New Roman" w:cs="Calibri"/>
                <w:szCs w:val="18"/>
              </w:rPr>
            </w:pPr>
            <w:r w:rsidRPr="00841C21">
              <w:rPr>
                <w:rFonts w:cs="Calibri"/>
                <w:szCs w:val="18"/>
              </w:rPr>
              <w:t>12.7</w:t>
            </w:r>
          </w:p>
        </w:tc>
        <w:tc>
          <w:tcPr>
            <w:tcW w:w="342" w:type="pct"/>
            <w:vAlign w:val="center"/>
          </w:tcPr>
          <w:p w14:paraId="2CD01653" w14:textId="77777777" w:rsidR="00F51113" w:rsidRPr="00841C21" w:rsidRDefault="00F51113">
            <w:pPr>
              <w:pStyle w:val="TableText"/>
              <w:spacing w:before="40" w:after="40"/>
              <w:jc w:val="center"/>
              <w:rPr>
                <w:rFonts w:eastAsia="Times New Roman" w:cs="Calibri"/>
                <w:szCs w:val="18"/>
              </w:rPr>
            </w:pPr>
            <w:r w:rsidRPr="00841C21">
              <w:rPr>
                <w:rFonts w:cs="Calibri"/>
                <w:szCs w:val="18"/>
              </w:rPr>
              <w:t>5.8</w:t>
            </w:r>
          </w:p>
        </w:tc>
        <w:tc>
          <w:tcPr>
            <w:tcW w:w="341" w:type="pct"/>
            <w:gridSpan w:val="3"/>
            <w:vAlign w:val="center"/>
          </w:tcPr>
          <w:p w14:paraId="45F5285F" w14:textId="77777777" w:rsidR="00F51113" w:rsidRPr="00841C21" w:rsidRDefault="00F51113">
            <w:pPr>
              <w:pStyle w:val="TableText"/>
              <w:spacing w:before="40" w:after="40"/>
              <w:jc w:val="center"/>
              <w:rPr>
                <w:rFonts w:eastAsia="Times New Roman" w:cs="Calibri"/>
                <w:szCs w:val="18"/>
              </w:rPr>
            </w:pPr>
            <w:r w:rsidRPr="00841C21">
              <w:rPr>
                <w:rFonts w:cs="Calibri"/>
                <w:szCs w:val="18"/>
              </w:rPr>
              <w:t>9.9</w:t>
            </w:r>
          </w:p>
        </w:tc>
        <w:tc>
          <w:tcPr>
            <w:tcW w:w="342" w:type="pct"/>
            <w:gridSpan w:val="2"/>
            <w:vAlign w:val="center"/>
          </w:tcPr>
          <w:p w14:paraId="691AA385" w14:textId="77777777" w:rsidR="00F51113" w:rsidRPr="00841C21" w:rsidRDefault="00F51113">
            <w:pPr>
              <w:pStyle w:val="TableText"/>
              <w:spacing w:before="40" w:after="40"/>
              <w:jc w:val="center"/>
              <w:rPr>
                <w:rFonts w:eastAsia="Times New Roman" w:cs="Calibri"/>
                <w:szCs w:val="18"/>
              </w:rPr>
            </w:pPr>
            <w:r w:rsidRPr="00841C21">
              <w:rPr>
                <w:rFonts w:cs="Calibri"/>
                <w:szCs w:val="18"/>
              </w:rPr>
              <w:t>12.6</w:t>
            </w:r>
          </w:p>
        </w:tc>
        <w:tc>
          <w:tcPr>
            <w:tcW w:w="343" w:type="pct"/>
            <w:gridSpan w:val="2"/>
            <w:shd w:val="clear" w:color="auto" w:fill="D2DDE1" w:themeFill="background2"/>
            <w:vAlign w:val="center"/>
          </w:tcPr>
          <w:p w14:paraId="3E000B72" w14:textId="77777777" w:rsidR="00F51113" w:rsidRPr="00841C21" w:rsidRDefault="00F51113">
            <w:pPr>
              <w:pStyle w:val="TableText"/>
              <w:spacing w:before="40" w:after="40"/>
              <w:jc w:val="center"/>
              <w:rPr>
                <w:rFonts w:eastAsia="Times New Roman" w:cs="Calibri"/>
                <w:szCs w:val="18"/>
              </w:rPr>
            </w:pPr>
            <w:r w:rsidRPr="00841C21">
              <w:rPr>
                <w:rFonts w:cs="Calibri"/>
                <w:szCs w:val="18"/>
              </w:rPr>
              <w:t>19.4</w:t>
            </w:r>
          </w:p>
        </w:tc>
        <w:tc>
          <w:tcPr>
            <w:tcW w:w="342" w:type="pct"/>
            <w:shd w:val="clear" w:color="auto" w:fill="D2DDE1" w:themeFill="background2"/>
            <w:vAlign w:val="center"/>
          </w:tcPr>
          <w:p w14:paraId="22C3DDFF" w14:textId="77777777" w:rsidR="00F51113" w:rsidRPr="00841C21" w:rsidRDefault="00F51113">
            <w:pPr>
              <w:pStyle w:val="TableText"/>
              <w:spacing w:before="40" w:after="40"/>
              <w:jc w:val="center"/>
              <w:rPr>
                <w:rFonts w:eastAsia="Times New Roman" w:cs="Calibri"/>
                <w:szCs w:val="18"/>
              </w:rPr>
            </w:pPr>
            <w:r w:rsidRPr="00841C21">
              <w:rPr>
                <w:rFonts w:cs="Calibri"/>
                <w:szCs w:val="18"/>
              </w:rPr>
              <w:t>10.8</w:t>
            </w:r>
          </w:p>
        </w:tc>
        <w:tc>
          <w:tcPr>
            <w:tcW w:w="342" w:type="pct"/>
            <w:gridSpan w:val="2"/>
            <w:shd w:val="clear" w:color="auto" w:fill="D2DDE1" w:themeFill="background2"/>
            <w:vAlign w:val="center"/>
          </w:tcPr>
          <w:p w14:paraId="4F284159"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-2.2</w:t>
            </w:r>
          </w:p>
        </w:tc>
        <w:tc>
          <w:tcPr>
            <w:tcW w:w="341" w:type="pct"/>
            <w:gridSpan w:val="3"/>
            <w:shd w:val="clear" w:color="auto" w:fill="D2DDE1" w:themeFill="background2"/>
            <w:vAlign w:val="center"/>
          </w:tcPr>
          <w:p w14:paraId="565FD8A2" w14:textId="77777777" w:rsidR="00F51113" w:rsidRPr="00841C21" w:rsidRDefault="00F51113">
            <w:pPr>
              <w:pStyle w:val="TableText"/>
              <w:spacing w:before="40" w:after="40"/>
              <w:jc w:val="center"/>
              <w:rPr>
                <w:rFonts w:eastAsia="Times New Roman" w:cs="Calibri"/>
                <w:szCs w:val="18"/>
              </w:rPr>
            </w:pPr>
            <w:r w:rsidRPr="00841C21">
              <w:rPr>
                <w:rFonts w:cs="Calibri"/>
                <w:szCs w:val="18"/>
              </w:rPr>
              <w:t>2.5</w:t>
            </w:r>
          </w:p>
        </w:tc>
        <w:tc>
          <w:tcPr>
            <w:tcW w:w="342" w:type="pct"/>
            <w:gridSpan w:val="2"/>
            <w:shd w:val="clear" w:color="auto" w:fill="D2DDE1" w:themeFill="background2"/>
            <w:vAlign w:val="center"/>
          </w:tcPr>
          <w:p w14:paraId="3606AEDF" w14:textId="77777777" w:rsidR="00F51113" w:rsidRPr="00841C21" w:rsidRDefault="00F51113">
            <w:pPr>
              <w:pStyle w:val="TableText"/>
              <w:spacing w:before="40" w:after="40"/>
              <w:jc w:val="center"/>
              <w:rPr>
                <w:rFonts w:eastAsia="Times New Roman" w:cs="Calibri"/>
                <w:szCs w:val="18"/>
              </w:rPr>
            </w:pPr>
            <w:r w:rsidRPr="00841C21">
              <w:rPr>
                <w:rFonts w:cs="Calibri"/>
                <w:szCs w:val="18"/>
              </w:rPr>
              <w:t>-6.7</w:t>
            </w:r>
          </w:p>
        </w:tc>
        <w:tc>
          <w:tcPr>
            <w:tcW w:w="338" w:type="pct"/>
            <w:shd w:val="clear" w:color="auto" w:fill="D2DDE1" w:themeFill="background2"/>
            <w:vAlign w:val="center"/>
          </w:tcPr>
          <w:p w14:paraId="396F69B1" w14:textId="77777777" w:rsidR="00F51113" w:rsidRPr="00841C21" w:rsidRDefault="00F51113">
            <w:pPr>
              <w:pStyle w:val="TableText"/>
              <w:spacing w:before="40" w:after="40"/>
              <w:jc w:val="center"/>
              <w:rPr>
                <w:rFonts w:eastAsia="Times New Roman" w:cs="Calibri"/>
                <w:szCs w:val="18"/>
              </w:rPr>
            </w:pPr>
            <w:r w:rsidRPr="00841C21">
              <w:rPr>
                <w:rFonts w:cs="Calibri"/>
                <w:szCs w:val="18"/>
              </w:rPr>
              <w:t>-9.1</w:t>
            </w:r>
          </w:p>
        </w:tc>
      </w:tr>
      <w:tr w:rsidR="00F51113" w:rsidRPr="00841C21" w14:paraId="37D49BF7" w14:textId="77777777">
        <w:tc>
          <w:tcPr>
            <w:tcW w:w="564" w:type="pct"/>
            <w:vAlign w:val="center"/>
          </w:tcPr>
          <w:p w14:paraId="01B83B15" w14:textId="77777777" w:rsidR="00F51113" w:rsidRPr="00841C21" w:rsidRDefault="00F51113">
            <w:pPr>
              <w:pStyle w:val="TableText"/>
              <w:spacing w:before="40" w:after="40"/>
              <w:rPr>
                <w:rFonts w:eastAsia="Times New Roman" w:cs="Calibri"/>
                <w:szCs w:val="18"/>
              </w:rPr>
            </w:pPr>
            <w:r w:rsidRPr="00841C21">
              <w:rPr>
                <w:rFonts w:cs="Calibri"/>
                <w:szCs w:val="18"/>
              </w:rPr>
              <w:t>CH</w:t>
            </w:r>
            <w:r w:rsidRPr="00841C21">
              <w:rPr>
                <w:rFonts w:cs="Calibri"/>
                <w:szCs w:val="18"/>
                <w:vertAlign w:val="subscript"/>
              </w:rPr>
              <w:t>4</w:t>
            </w:r>
          </w:p>
        </w:tc>
        <w:tc>
          <w:tcPr>
            <w:tcW w:w="339" w:type="pct"/>
            <w:gridSpan w:val="2"/>
            <w:vAlign w:val="center"/>
          </w:tcPr>
          <w:p w14:paraId="13BF336E"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37.6</w:t>
            </w:r>
          </w:p>
        </w:tc>
        <w:tc>
          <w:tcPr>
            <w:tcW w:w="341" w:type="pct"/>
            <w:vAlign w:val="center"/>
          </w:tcPr>
          <w:p w14:paraId="2924C02D"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39.1</w:t>
            </w:r>
          </w:p>
        </w:tc>
        <w:tc>
          <w:tcPr>
            <w:tcW w:w="342" w:type="pct"/>
            <w:gridSpan w:val="3"/>
            <w:vAlign w:val="center"/>
          </w:tcPr>
          <w:p w14:paraId="01ED3990" w14:textId="77777777" w:rsidR="00F51113" w:rsidRPr="00841C21" w:rsidRDefault="00F51113">
            <w:pPr>
              <w:pStyle w:val="TableText"/>
              <w:spacing w:before="40" w:after="40"/>
              <w:jc w:val="center"/>
              <w:rPr>
                <w:rFonts w:eastAsia="Times New Roman" w:cs="Calibri"/>
                <w:szCs w:val="18"/>
              </w:rPr>
            </w:pPr>
            <w:r w:rsidRPr="00841C21">
              <w:rPr>
                <w:rFonts w:cs="Calibri"/>
                <w:szCs w:val="18"/>
              </w:rPr>
              <w:t>40.9</w:t>
            </w:r>
          </w:p>
        </w:tc>
        <w:tc>
          <w:tcPr>
            <w:tcW w:w="341" w:type="pct"/>
            <w:gridSpan w:val="2"/>
            <w:vAlign w:val="center"/>
          </w:tcPr>
          <w:p w14:paraId="04C607F5" w14:textId="77777777" w:rsidR="00F51113" w:rsidRPr="00841C21" w:rsidRDefault="00F51113">
            <w:pPr>
              <w:pStyle w:val="TableText"/>
              <w:spacing w:before="40" w:after="40"/>
              <w:jc w:val="center"/>
              <w:rPr>
                <w:rFonts w:eastAsia="Times New Roman" w:cs="Calibri"/>
                <w:szCs w:val="18"/>
              </w:rPr>
            </w:pPr>
            <w:r w:rsidRPr="00841C21">
              <w:rPr>
                <w:rFonts w:cs="Calibri"/>
                <w:szCs w:val="18"/>
              </w:rPr>
              <w:t>41.6</w:t>
            </w:r>
          </w:p>
        </w:tc>
        <w:tc>
          <w:tcPr>
            <w:tcW w:w="342" w:type="pct"/>
            <w:vAlign w:val="center"/>
          </w:tcPr>
          <w:p w14:paraId="3C2BEFCA"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39.6</w:t>
            </w:r>
          </w:p>
        </w:tc>
        <w:tc>
          <w:tcPr>
            <w:tcW w:w="341" w:type="pct"/>
            <w:gridSpan w:val="3"/>
            <w:vAlign w:val="center"/>
          </w:tcPr>
          <w:p w14:paraId="7C9AE22D"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39.8</w:t>
            </w:r>
          </w:p>
        </w:tc>
        <w:tc>
          <w:tcPr>
            <w:tcW w:w="342" w:type="pct"/>
            <w:gridSpan w:val="2"/>
            <w:vAlign w:val="center"/>
          </w:tcPr>
          <w:p w14:paraId="5CE3C60B"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39.1</w:t>
            </w:r>
          </w:p>
        </w:tc>
        <w:tc>
          <w:tcPr>
            <w:tcW w:w="343" w:type="pct"/>
            <w:gridSpan w:val="2"/>
            <w:shd w:val="clear" w:color="auto" w:fill="D2DDE1" w:themeFill="background2"/>
            <w:vAlign w:val="center"/>
          </w:tcPr>
          <w:p w14:paraId="29316AD7"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36.3</w:t>
            </w:r>
          </w:p>
        </w:tc>
        <w:tc>
          <w:tcPr>
            <w:tcW w:w="342" w:type="pct"/>
            <w:shd w:val="clear" w:color="auto" w:fill="D2DDE1" w:themeFill="background2"/>
            <w:vAlign w:val="center"/>
          </w:tcPr>
          <w:p w14:paraId="67DC8196"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35.5</w:t>
            </w:r>
          </w:p>
        </w:tc>
        <w:tc>
          <w:tcPr>
            <w:tcW w:w="342" w:type="pct"/>
            <w:gridSpan w:val="2"/>
            <w:shd w:val="clear" w:color="auto" w:fill="D2DDE1" w:themeFill="background2"/>
            <w:vAlign w:val="center"/>
          </w:tcPr>
          <w:p w14:paraId="11643C46"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35.2</w:t>
            </w:r>
          </w:p>
        </w:tc>
        <w:tc>
          <w:tcPr>
            <w:tcW w:w="341" w:type="pct"/>
            <w:gridSpan w:val="3"/>
            <w:shd w:val="clear" w:color="auto" w:fill="D2DDE1" w:themeFill="background2"/>
            <w:vAlign w:val="center"/>
          </w:tcPr>
          <w:p w14:paraId="4D6908AB"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35.2</w:t>
            </w:r>
          </w:p>
        </w:tc>
        <w:tc>
          <w:tcPr>
            <w:tcW w:w="342" w:type="pct"/>
            <w:gridSpan w:val="2"/>
            <w:shd w:val="clear" w:color="auto" w:fill="D2DDE1" w:themeFill="background2"/>
            <w:vAlign w:val="center"/>
          </w:tcPr>
          <w:p w14:paraId="517E6DA6"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35.2</w:t>
            </w:r>
          </w:p>
        </w:tc>
        <w:tc>
          <w:tcPr>
            <w:tcW w:w="338" w:type="pct"/>
            <w:shd w:val="clear" w:color="auto" w:fill="D2DDE1" w:themeFill="background2"/>
            <w:vAlign w:val="center"/>
          </w:tcPr>
          <w:p w14:paraId="7A4157DC" w14:textId="77777777" w:rsidR="00F51113" w:rsidRPr="00841C21" w:rsidRDefault="00F51113">
            <w:pPr>
              <w:pStyle w:val="TableText"/>
              <w:spacing w:before="40" w:after="40"/>
              <w:jc w:val="center"/>
              <w:rPr>
                <w:rFonts w:eastAsia="Times New Roman" w:cs="Calibri"/>
                <w:szCs w:val="18"/>
              </w:rPr>
            </w:pPr>
            <w:r w:rsidRPr="00841C21">
              <w:rPr>
                <w:rFonts w:cs="Calibri"/>
                <w:szCs w:val="18"/>
              </w:rPr>
              <w:t>35.1</w:t>
            </w:r>
          </w:p>
        </w:tc>
      </w:tr>
      <w:tr w:rsidR="00F51113" w:rsidRPr="00841C21" w14:paraId="3E3A2F6A" w14:textId="77777777">
        <w:tc>
          <w:tcPr>
            <w:tcW w:w="564" w:type="pct"/>
            <w:vAlign w:val="center"/>
          </w:tcPr>
          <w:p w14:paraId="7270351C" w14:textId="77777777" w:rsidR="00F51113" w:rsidRPr="00841C21" w:rsidRDefault="00F51113">
            <w:pPr>
              <w:pStyle w:val="TableText"/>
              <w:spacing w:before="40" w:after="40"/>
              <w:rPr>
                <w:rFonts w:eastAsia="Times New Roman" w:cs="Calibri"/>
                <w:szCs w:val="18"/>
              </w:rPr>
            </w:pPr>
            <w:r w:rsidRPr="00841C21">
              <w:rPr>
                <w:rFonts w:cs="Calibri"/>
                <w:szCs w:val="18"/>
              </w:rPr>
              <w:t>N</w:t>
            </w:r>
            <w:r w:rsidRPr="00841C21">
              <w:rPr>
                <w:rFonts w:cs="Calibri"/>
                <w:szCs w:val="18"/>
                <w:vertAlign w:val="subscript"/>
              </w:rPr>
              <w:t>2</w:t>
            </w:r>
            <w:r w:rsidRPr="00841C21">
              <w:rPr>
                <w:rFonts w:cs="Calibri"/>
                <w:szCs w:val="18"/>
              </w:rPr>
              <w:t>O</w:t>
            </w:r>
          </w:p>
        </w:tc>
        <w:tc>
          <w:tcPr>
            <w:tcW w:w="339" w:type="pct"/>
            <w:gridSpan w:val="2"/>
            <w:vAlign w:val="center"/>
          </w:tcPr>
          <w:p w14:paraId="55B25FF7" w14:textId="77777777" w:rsidR="00F51113" w:rsidRPr="00841C21" w:rsidRDefault="00F51113">
            <w:pPr>
              <w:pStyle w:val="TableText"/>
              <w:spacing w:before="40" w:after="40"/>
              <w:jc w:val="center"/>
              <w:rPr>
                <w:rFonts w:eastAsia="Times New Roman" w:cs="Calibri"/>
                <w:szCs w:val="18"/>
              </w:rPr>
            </w:pPr>
            <w:r w:rsidRPr="00841C21">
              <w:rPr>
                <w:rFonts w:cs="Calibri"/>
                <w:szCs w:val="18"/>
              </w:rPr>
              <w:t>5.4</w:t>
            </w:r>
          </w:p>
        </w:tc>
        <w:tc>
          <w:tcPr>
            <w:tcW w:w="341" w:type="pct"/>
            <w:vAlign w:val="center"/>
          </w:tcPr>
          <w:p w14:paraId="37187D0B" w14:textId="77777777" w:rsidR="00F51113" w:rsidRPr="00841C21" w:rsidRDefault="00F51113">
            <w:pPr>
              <w:pStyle w:val="TableText"/>
              <w:spacing w:before="40" w:after="40"/>
              <w:jc w:val="center"/>
              <w:rPr>
                <w:rFonts w:eastAsia="Times New Roman" w:cs="Calibri"/>
                <w:szCs w:val="18"/>
              </w:rPr>
            </w:pPr>
            <w:r w:rsidRPr="00841C21">
              <w:rPr>
                <w:rFonts w:cs="Calibri"/>
                <w:szCs w:val="18"/>
              </w:rPr>
              <w:t>6.2</w:t>
            </w:r>
          </w:p>
        </w:tc>
        <w:tc>
          <w:tcPr>
            <w:tcW w:w="342" w:type="pct"/>
            <w:gridSpan w:val="3"/>
            <w:vAlign w:val="center"/>
          </w:tcPr>
          <w:p w14:paraId="4181E191" w14:textId="77777777" w:rsidR="00F51113" w:rsidRPr="00841C21" w:rsidRDefault="00F51113">
            <w:pPr>
              <w:pStyle w:val="TableText"/>
              <w:spacing w:before="40" w:after="40"/>
              <w:jc w:val="center"/>
              <w:rPr>
                <w:rFonts w:eastAsia="Times New Roman" w:cs="Calibri"/>
                <w:szCs w:val="18"/>
              </w:rPr>
            </w:pPr>
            <w:r w:rsidRPr="00841C21">
              <w:rPr>
                <w:rFonts w:cs="Calibri"/>
                <w:szCs w:val="18"/>
              </w:rPr>
              <w:t>6.5</w:t>
            </w:r>
          </w:p>
        </w:tc>
        <w:tc>
          <w:tcPr>
            <w:tcW w:w="341" w:type="pct"/>
            <w:gridSpan w:val="2"/>
            <w:vAlign w:val="center"/>
          </w:tcPr>
          <w:p w14:paraId="2EB757F6" w14:textId="77777777" w:rsidR="00F51113" w:rsidRPr="00841C21" w:rsidRDefault="00F51113">
            <w:pPr>
              <w:pStyle w:val="TableText"/>
              <w:spacing w:before="40" w:after="40"/>
              <w:jc w:val="center"/>
              <w:rPr>
                <w:rFonts w:eastAsia="Times New Roman" w:cs="Calibri"/>
                <w:szCs w:val="18"/>
              </w:rPr>
            </w:pPr>
            <w:r w:rsidRPr="00841C21">
              <w:rPr>
                <w:rFonts w:cs="Calibri"/>
                <w:szCs w:val="18"/>
              </w:rPr>
              <w:t>7.3</w:t>
            </w:r>
          </w:p>
        </w:tc>
        <w:tc>
          <w:tcPr>
            <w:tcW w:w="342" w:type="pct"/>
            <w:vAlign w:val="center"/>
          </w:tcPr>
          <w:p w14:paraId="4AB63B81" w14:textId="77777777" w:rsidR="00F51113" w:rsidRPr="00841C21" w:rsidRDefault="00F51113">
            <w:pPr>
              <w:pStyle w:val="TableText"/>
              <w:spacing w:before="40" w:after="40"/>
              <w:jc w:val="center"/>
              <w:rPr>
                <w:rFonts w:eastAsia="Times New Roman" w:cs="Calibri"/>
                <w:szCs w:val="18"/>
              </w:rPr>
            </w:pPr>
            <w:r w:rsidRPr="00841C21">
              <w:rPr>
                <w:rFonts w:cs="Calibri"/>
                <w:szCs w:val="18"/>
              </w:rPr>
              <w:t>7.0</w:t>
            </w:r>
          </w:p>
        </w:tc>
        <w:tc>
          <w:tcPr>
            <w:tcW w:w="341" w:type="pct"/>
            <w:gridSpan w:val="3"/>
            <w:vAlign w:val="center"/>
          </w:tcPr>
          <w:p w14:paraId="4C15941C" w14:textId="77777777" w:rsidR="00F51113" w:rsidRPr="00841C21" w:rsidRDefault="00F51113">
            <w:pPr>
              <w:pStyle w:val="TableText"/>
              <w:spacing w:before="40" w:after="40"/>
              <w:jc w:val="center"/>
              <w:rPr>
                <w:rFonts w:eastAsia="Times New Roman" w:cs="Calibri"/>
                <w:szCs w:val="18"/>
              </w:rPr>
            </w:pPr>
            <w:r w:rsidRPr="00841C21">
              <w:rPr>
                <w:rFonts w:cs="Calibri"/>
                <w:szCs w:val="18"/>
              </w:rPr>
              <w:t>7.4</w:t>
            </w:r>
          </w:p>
        </w:tc>
        <w:tc>
          <w:tcPr>
            <w:tcW w:w="342" w:type="pct"/>
            <w:gridSpan w:val="2"/>
            <w:vAlign w:val="center"/>
          </w:tcPr>
          <w:p w14:paraId="72DFE49D" w14:textId="77777777" w:rsidR="00F51113" w:rsidRPr="00841C21" w:rsidRDefault="00F51113">
            <w:pPr>
              <w:pStyle w:val="TableText"/>
              <w:spacing w:before="40" w:after="40"/>
              <w:jc w:val="center"/>
              <w:rPr>
                <w:rFonts w:eastAsia="Times New Roman" w:cs="Calibri"/>
                <w:szCs w:val="18"/>
              </w:rPr>
            </w:pPr>
            <w:r w:rsidRPr="00841C21">
              <w:rPr>
                <w:rFonts w:cs="Calibri"/>
                <w:szCs w:val="18"/>
              </w:rPr>
              <w:t>7.6</w:t>
            </w:r>
          </w:p>
        </w:tc>
        <w:tc>
          <w:tcPr>
            <w:tcW w:w="343" w:type="pct"/>
            <w:gridSpan w:val="2"/>
            <w:shd w:val="clear" w:color="auto" w:fill="D2DDE1" w:themeFill="background2"/>
            <w:vAlign w:val="center"/>
          </w:tcPr>
          <w:p w14:paraId="12525133" w14:textId="77777777" w:rsidR="00F51113" w:rsidRPr="00841C21" w:rsidRDefault="00F51113">
            <w:pPr>
              <w:pStyle w:val="TableText"/>
              <w:spacing w:before="40" w:after="40"/>
              <w:jc w:val="center"/>
              <w:rPr>
                <w:rFonts w:eastAsia="Times New Roman" w:cs="Calibri"/>
                <w:szCs w:val="18"/>
              </w:rPr>
            </w:pPr>
            <w:r w:rsidRPr="00841C21">
              <w:rPr>
                <w:rFonts w:cs="Calibri"/>
                <w:szCs w:val="18"/>
              </w:rPr>
              <w:t>7.4</w:t>
            </w:r>
          </w:p>
        </w:tc>
        <w:tc>
          <w:tcPr>
            <w:tcW w:w="342" w:type="pct"/>
            <w:shd w:val="clear" w:color="auto" w:fill="D2DDE1" w:themeFill="background2"/>
            <w:vAlign w:val="center"/>
          </w:tcPr>
          <w:p w14:paraId="7B01D63C" w14:textId="77777777" w:rsidR="00F51113" w:rsidRPr="00841C21" w:rsidRDefault="00F51113">
            <w:pPr>
              <w:pStyle w:val="TableText"/>
              <w:spacing w:before="40" w:after="40"/>
              <w:jc w:val="center"/>
              <w:rPr>
                <w:rFonts w:eastAsia="Times New Roman" w:cs="Calibri"/>
                <w:szCs w:val="18"/>
              </w:rPr>
            </w:pPr>
            <w:r w:rsidRPr="00841C21">
              <w:rPr>
                <w:rFonts w:cs="Calibri"/>
                <w:szCs w:val="18"/>
              </w:rPr>
              <w:t>7.3</w:t>
            </w:r>
          </w:p>
        </w:tc>
        <w:tc>
          <w:tcPr>
            <w:tcW w:w="342" w:type="pct"/>
            <w:gridSpan w:val="2"/>
            <w:shd w:val="clear" w:color="auto" w:fill="D2DDE1" w:themeFill="background2"/>
            <w:vAlign w:val="center"/>
          </w:tcPr>
          <w:p w14:paraId="1084AB4B" w14:textId="77777777" w:rsidR="00F51113" w:rsidRPr="00841C21" w:rsidRDefault="00F51113">
            <w:pPr>
              <w:pStyle w:val="TableText"/>
              <w:spacing w:before="40" w:after="40"/>
              <w:jc w:val="center"/>
              <w:rPr>
                <w:rFonts w:eastAsia="Times New Roman" w:cs="Calibri"/>
                <w:szCs w:val="18"/>
              </w:rPr>
            </w:pPr>
            <w:r w:rsidRPr="00841C21">
              <w:rPr>
                <w:rFonts w:cs="Calibri"/>
                <w:szCs w:val="18"/>
              </w:rPr>
              <w:t>7.2</w:t>
            </w:r>
          </w:p>
        </w:tc>
        <w:tc>
          <w:tcPr>
            <w:tcW w:w="341" w:type="pct"/>
            <w:gridSpan w:val="3"/>
            <w:shd w:val="clear" w:color="auto" w:fill="D2DDE1" w:themeFill="background2"/>
            <w:vAlign w:val="center"/>
          </w:tcPr>
          <w:p w14:paraId="4CAC1A83" w14:textId="77777777" w:rsidR="00F51113" w:rsidRPr="00841C21" w:rsidRDefault="00F51113">
            <w:pPr>
              <w:pStyle w:val="TableText"/>
              <w:spacing w:before="40" w:after="40"/>
              <w:jc w:val="center"/>
              <w:rPr>
                <w:rFonts w:eastAsia="Times New Roman" w:cs="Calibri"/>
                <w:szCs w:val="18"/>
              </w:rPr>
            </w:pPr>
            <w:r w:rsidRPr="00841C21">
              <w:rPr>
                <w:rFonts w:cs="Calibri"/>
                <w:szCs w:val="18"/>
              </w:rPr>
              <w:t>7.2</w:t>
            </w:r>
          </w:p>
        </w:tc>
        <w:tc>
          <w:tcPr>
            <w:tcW w:w="342" w:type="pct"/>
            <w:gridSpan w:val="2"/>
            <w:shd w:val="clear" w:color="auto" w:fill="D2DDE1" w:themeFill="background2"/>
            <w:vAlign w:val="center"/>
          </w:tcPr>
          <w:p w14:paraId="0181EB43" w14:textId="77777777" w:rsidR="00F51113" w:rsidRPr="00841C21" w:rsidRDefault="00F51113">
            <w:pPr>
              <w:pStyle w:val="TableText"/>
              <w:spacing w:before="40" w:after="40"/>
              <w:jc w:val="center"/>
              <w:rPr>
                <w:rFonts w:eastAsia="Times New Roman" w:cs="Calibri"/>
                <w:szCs w:val="18"/>
              </w:rPr>
            </w:pPr>
            <w:r w:rsidRPr="00841C21">
              <w:rPr>
                <w:rFonts w:cs="Calibri"/>
                <w:szCs w:val="18"/>
              </w:rPr>
              <w:t>7.2</w:t>
            </w:r>
          </w:p>
        </w:tc>
        <w:tc>
          <w:tcPr>
            <w:tcW w:w="338" w:type="pct"/>
            <w:shd w:val="clear" w:color="auto" w:fill="D2DDE1" w:themeFill="background2"/>
            <w:vAlign w:val="center"/>
          </w:tcPr>
          <w:p w14:paraId="702B0A61" w14:textId="77777777" w:rsidR="00F51113" w:rsidRPr="00841C21" w:rsidRDefault="00F51113">
            <w:pPr>
              <w:pStyle w:val="TableText"/>
              <w:spacing w:before="40" w:after="40"/>
              <w:jc w:val="center"/>
              <w:rPr>
                <w:rFonts w:eastAsia="Times New Roman" w:cs="Calibri"/>
                <w:szCs w:val="18"/>
              </w:rPr>
            </w:pPr>
            <w:r w:rsidRPr="00841C21">
              <w:rPr>
                <w:rFonts w:cs="Calibri"/>
                <w:szCs w:val="18"/>
              </w:rPr>
              <w:t>7.1</w:t>
            </w:r>
          </w:p>
        </w:tc>
      </w:tr>
      <w:tr w:rsidR="00F51113" w:rsidRPr="00841C21" w14:paraId="65CE1AAB" w14:textId="77777777">
        <w:tc>
          <w:tcPr>
            <w:tcW w:w="564" w:type="pct"/>
            <w:vAlign w:val="center"/>
          </w:tcPr>
          <w:p w14:paraId="5939C468" w14:textId="77777777" w:rsidR="00F51113" w:rsidRPr="00841C21" w:rsidRDefault="00F51113">
            <w:pPr>
              <w:pStyle w:val="TableText"/>
              <w:spacing w:before="40" w:after="40"/>
              <w:rPr>
                <w:rFonts w:eastAsia="Times New Roman" w:cs="Calibri"/>
                <w:szCs w:val="18"/>
              </w:rPr>
            </w:pPr>
            <w:r w:rsidRPr="00841C21">
              <w:rPr>
                <w:rFonts w:eastAsia="Times New Roman" w:cs="Calibri"/>
                <w:szCs w:val="18"/>
              </w:rPr>
              <w:t>HFCs</w:t>
            </w:r>
          </w:p>
        </w:tc>
        <w:tc>
          <w:tcPr>
            <w:tcW w:w="339" w:type="pct"/>
            <w:gridSpan w:val="2"/>
            <w:vAlign w:val="center"/>
          </w:tcPr>
          <w:p w14:paraId="1830ADE3"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0.00</w:t>
            </w:r>
          </w:p>
        </w:tc>
        <w:tc>
          <w:tcPr>
            <w:tcW w:w="341" w:type="pct"/>
            <w:vAlign w:val="center"/>
          </w:tcPr>
          <w:p w14:paraId="1E8BAAB8"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0.03</w:t>
            </w:r>
          </w:p>
        </w:tc>
        <w:tc>
          <w:tcPr>
            <w:tcW w:w="342" w:type="pct"/>
            <w:gridSpan w:val="3"/>
            <w:vAlign w:val="center"/>
          </w:tcPr>
          <w:p w14:paraId="6F2112BB"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0.23</w:t>
            </w:r>
          </w:p>
        </w:tc>
        <w:tc>
          <w:tcPr>
            <w:tcW w:w="341" w:type="pct"/>
            <w:gridSpan w:val="2"/>
            <w:vAlign w:val="center"/>
          </w:tcPr>
          <w:p w14:paraId="62D8917C"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0.65</w:t>
            </w:r>
          </w:p>
        </w:tc>
        <w:tc>
          <w:tcPr>
            <w:tcW w:w="342" w:type="pct"/>
            <w:vAlign w:val="center"/>
          </w:tcPr>
          <w:p w14:paraId="29521E23" w14:textId="77777777" w:rsidR="00F51113" w:rsidRPr="00841C21" w:rsidRDefault="00F51113">
            <w:pPr>
              <w:pStyle w:val="TableText"/>
              <w:spacing w:before="40" w:after="40"/>
              <w:jc w:val="center"/>
              <w:rPr>
                <w:rFonts w:eastAsia="Times New Roman" w:cs="Calibri"/>
                <w:szCs w:val="18"/>
              </w:rPr>
            </w:pPr>
            <w:r w:rsidRPr="00841C21">
              <w:rPr>
                <w:rFonts w:cs="Calibri"/>
                <w:szCs w:val="18"/>
              </w:rPr>
              <w:t>1.01</w:t>
            </w:r>
          </w:p>
        </w:tc>
        <w:tc>
          <w:tcPr>
            <w:tcW w:w="341" w:type="pct"/>
            <w:gridSpan w:val="3"/>
            <w:vAlign w:val="center"/>
          </w:tcPr>
          <w:p w14:paraId="4E5AE142" w14:textId="77777777" w:rsidR="00F51113" w:rsidRPr="00841C21" w:rsidRDefault="00F51113">
            <w:pPr>
              <w:pStyle w:val="TableText"/>
              <w:spacing w:before="40" w:after="40"/>
              <w:jc w:val="center"/>
              <w:rPr>
                <w:rFonts w:eastAsia="Times New Roman" w:cs="Calibri"/>
                <w:szCs w:val="18"/>
              </w:rPr>
            </w:pPr>
            <w:r w:rsidRPr="00841C21">
              <w:rPr>
                <w:rFonts w:cs="Calibri"/>
                <w:szCs w:val="18"/>
              </w:rPr>
              <w:t>1.20</w:t>
            </w:r>
          </w:p>
        </w:tc>
        <w:tc>
          <w:tcPr>
            <w:tcW w:w="342" w:type="pct"/>
            <w:gridSpan w:val="2"/>
            <w:vAlign w:val="center"/>
          </w:tcPr>
          <w:p w14:paraId="0F8071D4" w14:textId="77777777" w:rsidR="00F51113" w:rsidRPr="00841C21" w:rsidRDefault="00F51113">
            <w:pPr>
              <w:pStyle w:val="TableText"/>
              <w:spacing w:before="40" w:after="40"/>
              <w:jc w:val="center"/>
              <w:rPr>
                <w:rFonts w:eastAsia="Times New Roman" w:cs="Calibri"/>
                <w:szCs w:val="18"/>
              </w:rPr>
            </w:pPr>
            <w:r w:rsidRPr="00841C21">
              <w:rPr>
                <w:rFonts w:cs="Calibri"/>
                <w:szCs w:val="18"/>
              </w:rPr>
              <w:t>1.34</w:t>
            </w:r>
          </w:p>
        </w:tc>
        <w:tc>
          <w:tcPr>
            <w:tcW w:w="343" w:type="pct"/>
            <w:gridSpan w:val="2"/>
            <w:shd w:val="clear" w:color="auto" w:fill="D2DDE1" w:themeFill="background2"/>
            <w:vAlign w:val="center"/>
          </w:tcPr>
          <w:p w14:paraId="4D9B851E" w14:textId="77777777" w:rsidR="00F51113" w:rsidRPr="00841C21" w:rsidRDefault="00F51113">
            <w:pPr>
              <w:pStyle w:val="TableText"/>
              <w:spacing w:before="40" w:after="40"/>
              <w:jc w:val="center"/>
              <w:rPr>
                <w:rFonts w:eastAsia="Times New Roman" w:cs="Calibri"/>
                <w:szCs w:val="18"/>
              </w:rPr>
            </w:pPr>
            <w:r w:rsidRPr="00841C21">
              <w:rPr>
                <w:rFonts w:cs="Calibri"/>
                <w:szCs w:val="18"/>
              </w:rPr>
              <w:t>1.13</w:t>
            </w:r>
          </w:p>
        </w:tc>
        <w:tc>
          <w:tcPr>
            <w:tcW w:w="342" w:type="pct"/>
            <w:shd w:val="clear" w:color="auto" w:fill="D2DDE1" w:themeFill="background2"/>
            <w:vAlign w:val="center"/>
          </w:tcPr>
          <w:p w14:paraId="624EA517" w14:textId="77777777" w:rsidR="00F51113" w:rsidRPr="00841C21" w:rsidRDefault="00F51113">
            <w:pPr>
              <w:pStyle w:val="TableText"/>
              <w:spacing w:before="40" w:after="40"/>
              <w:jc w:val="center"/>
              <w:rPr>
                <w:rFonts w:eastAsia="Times New Roman" w:cs="Calibri"/>
                <w:szCs w:val="18"/>
              </w:rPr>
            </w:pPr>
            <w:r w:rsidRPr="00841C21">
              <w:rPr>
                <w:rFonts w:cs="Calibri"/>
                <w:szCs w:val="18"/>
              </w:rPr>
              <w:t>1.04</w:t>
            </w:r>
          </w:p>
        </w:tc>
        <w:tc>
          <w:tcPr>
            <w:tcW w:w="342" w:type="pct"/>
            <w:gridSpan w:val="2"/>
            <w:shd w:val="clear" w:color="auto" w:fill="D2DDE1" w:themeFill="background2"/>
            <w:vAlign w:val="center"/>
          </w:tcPr>
          <w:p w14:paraId="7E205159"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0.96</w:t>
            </w:r>
          </w:p>
        </w:tc>
        <w:tc>
          <w:tcPr>
            <w:tcW w:w="341" w:type="pct"/>
            <w:gridSpan w:val="3"/>
            <w:shd w:val="clear" w:color="auto" w:fill="D2DDE1" w:themeFill="background2"/>
            <w:vAlign w:val="center"/>
          </w:tcPr>
          <w:p w14:paraId="38DDB60C"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0.83</w:t>
            </w:r>
          </w:p>
        </w:tc>
        <w:tc>
          <w:tcPr>
            <w:tcW w:w="342" w:type="pct"/>
            <w:gridSpan w:val="2"/>
            <w:shd w:val="clear" w:color="auto" w:fill="D2DDE1" w:themeFill="background2"/>
            <w:vAlign w:val="center"/>
          </w:tcPr>
          <w:p w14:paraId="2C9DC7CC"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0.84</w:t>
            </w:r>
          </w:p>
        </w:tc>
        <w:tc>
          <w:tcPr>
            <w:tcW w:w="338" w:type="pct"/>
            <w:shd w:val="clear" w:color="auto" w:fill="D2DDE1" w:themeFill="background2"/>
            <w:vAlign w:val="center"/>
          </w:tcPr>
          <w:p w14:paraId="3C06A3FE"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0.75</w:t>
            </w:r>
          </w:p>
        </w:tc>
      </w:tr>
      <w:tr w:rsidR="00F51113" w:rsidRPr="00841C21" w14:paraId="236A127D" w14:textId="77777777">
        <w:tc>
          <w:tcPr>
            <w:tcW w:w="564" w:type="pct"/>
            <w:vAlign w:val="center"/>
          </w:tcPr>
          <w:p w14:paraId="2EE1F255" w14:textId="77777777" w:rsidR="00F51113" w:rsidRPr="00841C21" w:rsidRDefault="00F51113">
            <w:pPr>
              <w:pStyle w:val="TableText"/>
              <w:spacing w:before="40" w:after="40"/>
              <w:rPr>
                <w:rFonts w:eastAsia="Times New Roman" w:cs="Calibri"/>
                <w:szCs w:val="18"/>
              </w:rPr>
            </w:pPr>
            <w:r w:rsidRPr="00841C21">
              <w:rPr>
                <w:rFonts w:eastAsia="Times New Roman" w:cs="Calibri"/>
                <w:szCs w:val="18"/>
              </w:rPr>
              <w:t>PFCs</w:t>
            </w:r>
          </w:p>
        </w:tc>
        <w:tc>
          <w:tcPr>
            <w:tcW w:w="339" w:type="pct"/>
            <w:gridSpan w:val="2"/>
            <w:vAlign w:val="center"/>
          </w:tcPr>
          <w:p w14:paraId="2D1A630C"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0.82</w:t>
            </w:r>
          </w:p>
        </w:tc>
        <w:tc>
          <w:tcPr>
            <w:tcW w:w="341" w:type="pct"/>
            <w:vAlign w:val="center"/>
          </w:tcPr>
          <w:p w14:paraId="685697BA"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0.14</w:t>
            </w:r>
          </w:p>
        </w:tc>
        <w:tc>
          <w:tcPr>
            <w:tcW w:w="342" w:type="pct"/>
            <w:gridSpan w:val="3"/>
            <w:vAlign w:val="center"/>
          </w:tcPr>
          <w:p w14:paraId="5D07A8A3"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0.08</w:t>
            </w:r>
          </w:p>
        </w:tc>
        <w:tc>
          <w:tcPr>
            <w:tcW w:w="341" w:type="pct"/>
            <w:gridSpan w:val="2"/>
            <w:vAlign w:val="center"/>
          </w:tcPr>
          <w:p w14:paraId="09DD6EE7"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0.06</w:t>
            </w:r>
          </w:p>
        </w:tc>
        <w:tc>
          <w:tcPr>
            <w:tcW w:w="342" w:type="pct"/>
            <w:vAlign w:val="center"/>
          </w:tcPr>
          <w:p w14:paraId="0EF446CC"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0.04</w:t>
            </w:r>
          </w:p>
        </w:tc>
        <w:tc>
          <w:tcPr>
            <w:tcW w:w="341" w:type="pct"/>
            <w:gridSpan w:val="3"/>
            <w:vAlign w:val="center"/>
          </w:tcPr>
          <w:p w14:paraId="4C4CC066"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0.05</w:t>
            </w:r>
          </w:p>
        </w:tc>
        <w:tc>
          <w:tcPr>
            <w:tcW w:w="342" w:type="pct"/>
            <w:gridSpan w:val="2"/>
            <w:vAlign w:val="center"/>
          </w:tcPr>
          <w:p w14:paraId="377DDD0D"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0.08</w:t>
            </w:r>
          </w:p>
        </w:tc>
        <w:tc>
          <w:tcPr>
            <w:tcW w:w="343" w:type="pct"/>
            <w:gridSpan w:val="2"/>
            <w:shd w:val="clear" w:color="auto" w:fill="D2DDE1" w:themeFill="background2"/>
            <w:vAlign w:val="center"/>
          </w:tcPr>
          <w:p w14:paraId="729606F3"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0.05</w:t>
            </w:r>
          </w:p>
        </w:tc>
        <w:tc>
          <w:tcPr>
            <w:tcW w:w="342" w:type="pct"/>
            <w:shd w:val="clear" w:color="auto" w:fill="D2DDE1" w:themeFill="background2"/>
            <w:vAlign w:val="center"/>
          </w:tcPr>
          <w:p w14:paraId="00958035"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0.05</w:t>
            </w:r>
          </w:p>
        </w:tc>
        <w:tc>
          <w:tcPr>
            <w:tcW w:w="342" w:type="pct"/>
            <w:gridSpan w:val="2"/>
            <w:shd w:val="clear" w:color="auto" w:fill="D2DDE1" w:themeFill="background2"/>
            <w:vAlign w:val="center"/>
          </w:tcPr>
          <w:p w14:paraId="02642256"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0.05</w:t>
            </w:r>
          </w:p>
        </w:tc>
        <w:tc>
          <w:tcPr>
            <w:tcW w:w="341" w:type="pct"/>
            <w:gridSpan w:val="3"/>
            <w:shd w:val="clear" w:color="auto" w:fill="D2DDE1" w:themeFill="background2"/>
            <w:vAlign w:val="center"/>
          </w:tcPr>
          <w:p w14:paraId="5685EFBE"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0.05</w:t>
            </w:r>
          </w:p>
        </w:tc>
        <w:tc>
          <w:tcPr>
            <w:tcW w:w="342" w:type="pct"/>
            <w:gridSpan w:val="2"/>
            <w:shd w:val="clear" w:color="auto" w:fill="D2DDE1" w:themeFill="background2"/>
            <w:vAlign w:val="center"/>
          </w:tcPr>
          <w:p w14:paraId="6B4B41B2"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0.05</w:t>
            </w:r>
          </w:p>
        </w:tc>
        <w:tc>
          <w:tcPr>
            <w:tcW w:w="338" w:type="pct"/>
            <w:shd w:val="clear" w:color="auto" w:fill="D2DDE1" w:themeFill="background2"/>
            <w:vAlign w:val="center"/>
          </w:tcPr>
          <w:p w14:paraId="412429F2"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0.05</w:t>
            </w:r>
          </w:p>
        </w:tc>
      </w:tr>
      <w:tr w:rsidR="00F51113" w:rsidRPr="00841C21" w14:paraId="013F9755" w14:textId="77777777">
        <w:tc>
          <w:tcPr>
            <w:tcW w:w="564" w:type="pct"/>
            <w:vAlign w:val="center"/>
          </w:tcPr>
          <w:p w14:paraId="37541CA1" w14:textId="77777777" w:rsidR="00F51113" w:rsidRPr="00841C21" w:rsidRDefault="00F51113">
            <w:pPr>
              <w:pStyle w:val="TableText"/>
              <w:spacing w:before="40" w:after="40"/>
              <w:rPr>
                <w:rFonts w:eastAsia="Times New Roman" w:cs="Calibri"/>
                <w:szCs w:val="18"/>
              </w:rPr>
            </w:pPr>
            <w:r w:rsidRPr="00841C21">
              <w:rPr>
                <w:rFonts w:eastAsia="Times New Roman" w:cs="Calibri"/>
                <w:szCs w:val="18"/>
              </w:rPr>
              <w:t>SF</w:t>
            </w:r>
            <w:r w:rsidRPr="00841C21">
              <w:rPr>
                <w:rFonts w:eastAsia="Times New Roman" w:cs="Calibri"/>
                <w:szCs w:val="18"/>
                <w:vertAlign w:val="subscript"/>
              </w:rPr>
              <w:t>6</w:t>
            </w:r>
          </w:p>
        </w:tc>
        <w:tc>
          <w:tcPr>
            <w:tcW w:w="339" w:type="pct"/>
            <w:gridSpan w:val="2"/>
            <w:vAlign w:val="center"/>
          </w:tcPr>
          <w:p w14:paraId="30DB1073"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1" w:type="pct"/>
            <w:vAlign w:val="center"/>
          </w:tcPr>
          <w:p w14:paraId="5F12DBF3"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0.03</w:t>
            </w:r>
          </w:p>
        </w:tc>
        <w:tc>
          <w:tcPr>
            <w:tcW w:w="342" w:type="pct"/>
            <w:gridSpan w:val="3"/>
            <w:vAlign w:val="center"/>
          </w:tcPr>
          <w:p w14:paraId="718CE0C0"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1" w:type="pct"/>
            <w:gridSpan w:val="2"/>
            <w:vAlign w:val="center"/>
          </w:tcPr>
          <w:p w14:paraId="44972008"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0.03</w:t>
            </w:r>
          </w:p>
        </w:tc>
        <w:tc>
          <w:tcPr>
            <w:tcW w:w="342" w:type="pct"/>
            <w:vAlign w:val="center"/>
          </w:tcPr>
          <w:p w14:paraId="74B4BD87"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1" w:type="pct"/>
            <w:gridSpan w:val="3"/>
            <w:vAlign w:val="center"/>
          </w:tcPr>
          <w:p w14:paraId="54D7D017"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2" w:type="pct"/>
            <w:gridSpan w:val="2"/>
            <w:vAlign w:val="center"/>
          </w:tcPr>
          <w:p w14:paraId="7656D97E"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3" w:type="pct"/>
            <w:gridSpan w:val="2"/>
            <w:shd w:val="clear" w:color="auto" w:fill="D2DDE1" w:themeFill="background2"/>
            <w:vAlign w:val="center"/>
          </w:tcPr>
          <w:p w14:paraId="7CE2C07D"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2" w:type="pct"/>
            <w:shd w:val="clear" w:color="auto" w:fill="D2DDE1" w:themeFill="background2"/>
            <w:vAlign w:val="center"/>
          </w:tcPr>
          <w:p w14:paraId="21FF7638"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2" w:type="pct"/>
            <w:gridSpan w:val="2"/>
            <w:shd w:val="clear" w:color="auto" w:fill="D2DDE1" w:themeFill="background2"/>
            <w:vAlign w:val="center"/>
          </w:tcPr>
          <w:p w14:paraId="60671117"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1" w:type="pct"/>
            <w:gridSpan w:val="3"/>
            <w:shd w:val="clear" w:color="auto" w:fill="D2DDE1" w:themeFill="background2"/>
            <w:vAlign w:val="center"/>
          </w:tcPr>
          <w:p w14:paraId="6D079BE2"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42" w:type="pct"/>
            <w:gridSpan w:val="2"/>
            <w:shd w:val="clear" w:color="auto" w:fill="D2DDE1" w:themeFill="background2"/>
            <w:vAlign w:val="center"/>
          </w:tcPr>
          <w:p w14:paraId="57F428F5"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c>
          <w:tcPr>
            <w:tcW w:w="338" w:type="pct"/>
            <w:shd w:val="clear" w:color="auto" w:fill="D2DDE1" w:themeFill="background2"/>
            <w:vAlign w:val="center"/>
          </w:tcPr>
          <w:p w14:paraId="4CD42295" w14:textId="77777777" w:rsidR="00F51113" w:rsidRPr="00841C21" w:rsidRDefault="00F51113">
            <w:pPr>
              <w:pStyle w:val="TableText"/>
              <w:spacing w:before="40" w:after="40"/>
              <w:jc w:val="center"/>
              <w:rPr>
                <w:rFonts w:eastAsia="Times New Roman" w:cs="Calibri"/>
                <w:szCs w:val="18"/>
              </w:rPr>
            </w:pPr>
            <w:r w:rsidRPr="00841C21">
              <w:rPr>
                <w:rFonts w:cs="Calibri"/>
                <w:szCs w:val="18"/>
              </w:rPr>
              <w:t>0.02</w:t>
            </w:r>
          </w:p>
        </w:tc>
      </w:tr>
      <w:tr w:rsidR="00F51113" w:rsidRPr="00841C21" w14:paraId="10FCD516" w14:textId="77777777">
        <w:tc>
          <w:tcPr>
            <w:tcW w:w="564" w:type="pct"/>
            <w:vAlign w:val="bottom"/>
          </w:tcPr>
          <w:p w14:paraId="7F9D4C40" w14:textId="77777777" w:rsidR="00F51113" w:rsidRPr="00841C21" w:rsidRDefault="00F51113">
            <w:pPr>
              <w:pStyle w:val="TableText"/>
              <w:spacing w:before="40" w:after="40"/>
              <w:rPr>
                <w:rFonts w:eastAsia="Times New Roman" w:cs="Calibri"/>
                <w:b/>
                <w:bCs/>
                <w:szCs w:val="18"/>
              </w:rPr>
            </w:pPr>
            <w:r w:rsidRPr="00841C21">
              <w:rPr>
                <w:rFonts w:eastAsia="Times New Roman" w:cs="Calibri"/>
                <w:b/>
                <w:bCs/>
                <w:szCs w:val="18"/>
              </w:rPr>
              <w:t>Total excl LULUCF</w:t>
            </w:r>
          </w:p>
        </w:tc>
        <w:tc>
          <w:tcPr>
            <w:tcW w:w="339" w:type="pct"/>
            <w:gridSpan w:val="2"/>
            <w:vAlign w:val="bottom"/>
          </w:tcPr>
          <w:p w14:paraId="5083322E"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69.0</w:t>
            </w:r>
          </w:p>
        </w:tc>
        <w:tc>
          <w:tcPr>
            <w:tcW w:w="341" w:type="pct"/>
            <w:vAlign w:val="bottom"/>
          </w:tcPr>
          <w:p w14:paraId="5428E88D"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73.0</w:t>
            </w:r>
          </w:p>
        </w:tc>
        <w:tc>
          <w:tcPr>
            <w:tcW w:w="342" w:type="pct"/>
            <w:gridSpan w:val="3"/>
            <w:vAlign w:val="bottom"/>
          </w:tcPr>
          <w:p w14:paraId="406E3AE5"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79.5</w:t>
            </w:r>
          </w:p>
        </w:tc>
        <w:tc>
          <w:tcPr>
            <w:tcW w:w="341" w:type="pct"/>
            <w:gridSpan w:val="2"/>
            <w:vAlign w:val="bottom"/>
          </w:tcPr>
          <w:p w14:paraId="5FD63C94"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86.6</w:t>
            </w:r>
          </w:p>
        </w:tc>
        <w:tc>
          <w:tcPr>
            <w:tcW w:w="342" w:type="pct"/>
            <w:vAlign w:val="bottom"/>
          </w:tcPr>
          <w:p w14:paraId="38DEEE5B"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82.1</w:t>
            </w:r>
          </w:p>
        </w:tc>
        <w:tc>
          <w:tcPr>
            <w:tcW w:w="341" w:type="pct"/>
            <w:gridSpan w:val="3"/>
            <w:vAlign w:val="bottom"/>
          </w:tcPr>
          <w:p w14:paraId="5B6AE4CF"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83.9</w:t>
            </w:r>
          </w:p>
        </w:tc>
        <w:tc>
          <w:tcPr>
            <w:tcW w:w="342" w:type="pct"/>
            <w:gridSpan w:val="2"/>
            <w:vAlign w:val="bottom"/>
          </w:tcPr>
          <w:p w14:paraId="2ED8CB8B"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81.9</w:t>
            </w:r>
          </w:p>
        </w:tc>
        <w:tc>
          <w:tcPr>
            <w:tcW w:w="343" w:type="pct"/>
            <w:gridSpan w:val="2"/>
            <w:shd w:val="clear" w:color="auto" w:fill="D2DDE1" w:themeFill="background2"/>
            <w:vAlign w:val="bottom"/>
          </w:tcPr>
          <w:p w14:paraId="4E054E04"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76.5</w:t>
            </w:r>
          </w:p>
        </w:tc>
        <w:tc>
          <w:tcPr>
            <w:tcW w:w="342" w:type="pct"/>
            <w:shd w:val="clear" w:color="auto" w:fill="D2DDE1" w:themeFill="background2"/>
            <w:vAlign w:val="bottom"/>
          </w:tcPr>
          <w:p w14:paraId="3C8EC3F9"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71.7</w:t>
            </w:r>
          </w:p>
        </w:tc>
        <w:tc>
          <w:tcPr>
            <w:tcW w:w="342" w:type="pct"/>
            <w:gridSpan w:val="2"/>
            <w:shd w:val="clear" w:color="auto" w:fill="D2DDE1" w:themeFill="background2"/>
            <w:vAlign w:val="bottom"/>
          </w:tcPr>
          <w:p w14:paraId="4C00FD1A"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68.6</w:t>
            </w:r>
          </w:p>
        </w:tc>
        <w:tc>
          <w:tcPr>
            <w:tcW w:w="341" w:type="pct"/>
            <w:gridSpan w:val="3"/>
            <w:shd w:val="clear" w:color="auto" w:fill="D2DDE1" w:themeFill="background2"/>
            <w:vAlign w:val="bottom"/>
          </w:tcPr>
          <w:p w14:paraId="5CFA9986"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66.1</w:t>
            </w:r>
          </w:p>
        </w:tc>
        <w:tc>
          <w:tcPr>
            <w:tcW w:w="342" w:type="pct"/>
            <w:gridSpan w:val="2"/>
            <w:shd w:val="clear" w:color="auto" w:fill="D2DDE1" w:themeFill="background2"/>
            <w:vAlign w:val="bottom"/>
          </w:tcPr>
          <w:p w14:paraId="14E083AC"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64.4</w:t>
            </w:r>
          </w:p>
        </w:tc>
        <w:tc>
          <w:tcPr>
            <w:tcW w:w="338" w:type="pct"/>
            <w:shd w:val="clear" w:color="auto" w:fill="D2DDE1" w:themeFill="background2"/>
            <w:vAlign w:val="bottom"/>
          </w:tcPr>
          <w:p w14:paraId="042816BC"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62.9</w:t>
            </w:r>
          </w:p>
        </w:tc>
      </w:tr>
      <w:tr w:rsidR="00F51113" w:rsidRPr="00841C21" w14:paraId="00C90461" w14:textId="77777777">
        <w:tc>
          <w:tcPr>
            <w:tcW w:w="564" w:type="pct"/>
            <w:vAlign w:val="bottom"/>
          </w:tcPr>
          <w:p w14:paraId="4E87559A" w14:textId="77777777" w:rsidR="00F51113" w:rsidRPr="00841C21" w:rsidRDefault="00F51113">
            <w:pPr>
              <w:pStyle w:val="TableText"/>
              <w:spacing w:before="40" w:after="40"/>
              <w:rPr>
                <w:rFonts w:eastAsia="Times New Roman" w:cs="Calibri"/>
                <w:b/>
                <w:bCs/>
                <w:szCs w:val="18"/>
              </w:rPr>
            </w:pPr>
            <w:r w:rsidRPr="00841C21">
              <w:rPr>
                <w:rFonts w:eastAsia="Times New Roman" w:cs="Calibri"/>
                <w:b/>
                <w:bCs/>
                <w:szCs w:val="18"/>
              </w:rPr>
              <w:t>Total incl LULUCF</w:t>
            </w:r>
          </w:p>
        </w:tc>
        <w:tc>
          <w:tcPr>
            <w:tcW w:w="339" w:type="pct"/>
            <w:gridSpan w:val="2"/>
            <w:vAlign w:val="bottom"/>
          </w:tcPr>
          <w:p w14:paraId="38EBE005"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44.6</w:t>
            </w:r>
          </w:p>
        </w:tc>
        <w:tc>
          <w:tcPr>
            <w:tcW w:w="341" w:type="pct"/>
            <w:vAlign w:val="bottom"/>
          </w:tcPr>
          <w:p w14:paraId="4BFDE8F2"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49.3</w:t>
            </w:r>
          </w:p>
        </w:tc>
        <w:tc>
          <w:tcPr>
            <w:tcW w:w="342" w:type="pct"/>
            <w:gridSpan w:val="3"/>
            <w:vAlign w:val="bottom"/>
          </w:tcPr>
          <w:p w14:paraId="66DE708A"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52.2</w:t>
            </w:r>
          </w:p>
        </w:tc>
        <w:tc>
          <w:tcPr>
            <w:tcW w:w="341" w:type="pct"/>
            <w:gridSpan w:val="2"/>
            <w:vAlign w:val="bottom"/>
          </w:tcPr>
          <w:p w14:paraId="7E905C29"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62.4</w:t>
            </w:r>
          </w:p>
        </w:tc>
        <w:tc>
          <w:tcPr>
            <w:tcW w:w="342" w:type="pct"/>
            <w:vAlign w:val="bottom"/>
          </w:tcPr>
          <w:p w14:paraId="032C7EAB"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53.5</w:t>
            </w:r>
          </w:p>
        </w:tc>
        <w:tc>
          <w:tcPr>
            <w:tcW w:w="341" w:type="pct"/>
            <w:gridSpan w:val="3"/>
            <w:vAlign w:val="bottom"/>
          </w:tcPr>
          <w:p w14:paraId="5D041DA4"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58.3</w:t>
            </w:r>
          </w:p>
        </w:tc>
        <w:tc>
          <w:tcPr>
            <w:tcW w:w="342" w:type="pct"/>
            <w:gridSpan w:val="2"/>
            <w:vAlign w:val="bottom"/>
          </w:tcPr>
          <w:p w14:paraId="01F20D47"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60.8</w:t>
            </w:r>
          </w:p>
        </w:tc>
        <w:tc>
          <w:tcPr>
            <w:tcW w:w="343" w:type="pct"/>
            <w:gridSpan w:val="2"/>
            <w:shd w:val="clear" w:color="auto" w:fill="D2DDE1" w:themeFill="background2"/>
            <w:vAlign w:val="bottom"/>
          </w:tcPr>
          <w:p w14:paraId="3DF4081A"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64.3</w:t>
            </w:r>
          </w:p>
        </w:tc>
        <w:tc>
          <w:tcPr>
            <w:tcW w:w="342" w:type="pct"/>
            <w:shd w:val="clear" w:color="auto" w:fill="D2DDE1" w:themeFill="background2"/>
            <w:vAlign w:val="bottom"/>
          </w:tcPr>
          <w:p w14:paraId="55E7A6D6"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54.7</w:t>
            </w:r>
          </w:p>
        </w:tc>
        <w:tc>
          <w:tcPr>
            <w:tcW w:w="342" w:type="pct"/>
            <w:gridSpan w:val="2"/>
            <w:shd w:val="clear" w:color="auto" w:fill="D2DDE1" w:themeFill="background2"/>
            <w:vAlign w:val="bottom"/>
          </w:tcPr>
          <w:p w14:paraId="32F844F9"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41.2</w:t>
            </w:r>
          </w:p>
        </w:tc>
        <w:tc>
          <w:tcPr>
            <w:tcW w:w="341" w:type="pct"/>
            <w:gridSpan w:val="3"/>
            <w:shd w:val="clear" w:color="auto" w:fill="D2DDE1" w:themeFill="background2"/>
            <w:vAlign w:val="bottom"/>
          </w:tcPr>
          <w:p w14:paraId="797AC724"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45.7</w:t>
            </w:r>
          </w:p>
        </w:tc>
        <w:tc>
          <w:tcPr>
            <w:tcW w:w="342" w:type="pct"/>
            <w:gridSpan w:val="2"/>
            <w:shd w:val="clear" w:color="auto" w:fill="D2DDE1" w:themeFill="background2"/>
            <w:vAlign w:val="bottom"/>
          </w:tcPr>
          <w:p w14:paraId="7636A33D"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36.5</w:t>
            </w:r>
          </w:p>
        </w:tc>
        <w:tc>
          <w:tcPr>
            <w:tcW w:w="338" w:type="pct"/>
            <w:shd w:val="clear" w:color="auto" w:fill="D2DDE1" w:themeFill="background2"/>
            <w:vAlign w:val="bottom"/>
          </w:tcPr>
          <w:p w14:paraId="29216268" w14:textId="77777777" w:rsidR="00F51113" w:rsidRPr="00841C21" w:rsidRDefault="00F51113">
            <w:pPr>
              <w:pStyle w:val="TableText"/>
              <w:spacing w:before="40" w:after="40"/>
              <w:jc w:val="center"/>
              <w:rPr>
                <w:rFonts w:eastAsia="Times New Roman" w:cs="Calibri"/>
                <w:b/>
                <w:bCs/>
                <w:szCs w:val="18"/>
              </w:rPr>
            </w:pPr>
            <w:r w:rsidRPr="00841C21">
              <w:rPr>
                <w:rFonts w:cs="Calibri"/>
                <w:b/>
                <w:bCs/>
                <w:szCs w:val="18"/>
              </w:rPr>
              <w:t>34.0</w:t>
            </w:r>
          </w:p>
        </w:tc>
      </w:tr>
    </w:tbl>
    <w:p w14:paraId="3AB9B37D" w14:textId="77777777" w:rsidR="00F51113" w:rsidRPr="004C2DCD" w:rsidRDefault="00F51113" w:rsidP="00E51ED8">
      <w:pPr>
        <w:pStyle w:val="TableText"/>
        <w:spacing w:before="120" w:after="40"/>
        <w:rPr>
          <w:rFonts w:eastAsia="Times New Roman" w:cs="Calibri"/>
          <w:szCs w:val="18"/>
        </w:rPr>
      </w:pPr>
      <w:r w:rsidRPr="004C2DCD">
        <w:rPr>
          <w:rFonts w:cs="Calibri"/>
          <w:b/>
          <w:bCs/>
          <w:szCs w:val="18"/>
        </w:rPr>
        <w:t>Note:</w:t>
      </w:r>
      <w:r w:rsidRPr="004C2DCD">
        <w:rPr>
          <w:rFonts w:cs="Calibri"/>
          <w:szCs w:val="18"/>
        </w:rPr>
        <w:t xml:space="preserve"> CH</w:t>
      </w:r>
      <w:r w:rsidRPr="004C2DCD">
        <w:rPr>
          <w:rFonts w:cs="Calibri"/>
          <w:szCs w:val="18"/>
          <w:vertAlign w:val="subscript"/>
        </w:rPr>
        <w:t>4</w:t>
      </w:r>
      <w:r w:rsidRPr="004C2DCD">
        <w:rPr>
          <w:rFonts w:cs="Calibri"/>
          <w:szCs w:val="18"/>
        </w:rPr>
        <w:t xml:space="preserve"> = methane; CO</w:t>
      </w:r>
      <w:r w:rsidRPr="004C2DCD">
        <w:rPr>
          <w:rFonts w:cs="Calibri"/>
          <w:szCs w:val="18"/>
          <w:vertAlign w:val="subscript"/>
        </w:rPr>
        <w:t>2</w:t>
      </w:r>
      <w:r w:rsidRPr="004C2DCD">
        <w:rPr>
          <w:rFonts w:cs="Calibri"/>
          <w:szCs w:val="18"/>
        </w:rPr>
        <w:t xml:space="preserve"> = carbon dioxide; </w:t>
      </w:r>
      <w:r w:rsidRPr="004C2DCD">
        <w:rPr>
          <w:rFonts w:eastAsia="Times New Roman" w:cs="Calibri"/>
          <w:szCs w:val="18"/>
        </w:rPr>
        <w:t xml:space="preserve">HFCs = hydrofluorocarbons; IPPU = Industrial Processes and Product Use; LULUCF = Land Use, Land-Use Change and Forestry; </w:t>
      </w:r>
      <w:r w:rsidRPr="004C2DCD">
        <w:rPr>
          <w:rFonts w:cs="Calibri"/>
          <w:szCs w:val="18"/>
        </w:rPr>
        <w:t>N</w:t>
      </w:r>
      <w:r w:rsidRPr="004C2DCD">
        <w:rPr>
          <w:rFonts w:cs="Calibri"/>
          <w:szCs w:val="18"/>
          <w:vertAlign w:val="subscript"/>
        </w:rPr>
        <w:t>2</w:t>
      </w:r>
      <w:r w:rsidRPr="004C2DCD">
        <w:rPr>
          <w:rFonts w:cs="Calibri"/>
          <w:szCs w:val="18"/>
        </w:rPr>
        <w:t>O = nitrous oxide;</w:t>
      </w:r>
      <w:r w:rsidRPr="004C2DCD">
        <w:rPr>
          <w:szCs w:val="18"/>
        </w:rPr>
        <w:t xml:space="preserve"> </w:t>
      </w:r>
      <w:r w:rsidRPr="004C2DCD">
        <w:rPr>
          <w:rFonts w:eastAsia="Times New Roman" w:cs="Calibri"/>
          <w:szCs w:val="18"/>
        </w:rPr>
        <w:t>PFCs = perfluorocarbons; SF</w:t>
      </w:r>
      <w:r w:rsidRPr="004C2DCD">
        <w:rPr>
          <w:rFonts w:eastAsia="Times New Roman" w:cs="Calibri"/>
          <w:sz w:val="14"/>
          <w:szCs w:val="14"/>
          <w:vertAlign w:val="subscript"/>
        </w:rPr>
        <w:t>6</w:t>
      </w:r>
      <w:r w:rsidRPr="004C2DCD">
        <w:rPr>
          <w:rFonts w:eastAsia="Times New Roman" w:cs="Calibri"/>
          <w:sz w:val="14"/>
          <w:szCs w:val="14"/>
        </w:rPr>
        <w:t xml:space="preserve"> </w:t>
      </w:r>
      <w:r w:rsidRPr="004C2DCD">
        <w:t>= sulphur hexafluoride.</w:t>
      </w:r>
    </w:p>
    <w:p w14:paraId="0127895F" w14:textId="6A8B2337" w:rsidR="00F51113" w:rsidRPr="004C2DCD" w:rsidRDefault="007A0175" w:rsidP="00F51113">
      <w:pPr>
        <w:pStyle w:val="BodyText"/>
        <w:spacing w:before="100" w:after="100"/>
      </w:pPr>
      <w:hyperlink w:anchor="figure252" w:history="1">
        <w:r w:rsidR="00F51113" w:rsidRPr="007A0175">
          <w:rPr>
            <w:rStyle w:val="Hyperlink"/>
          </w:rPr>
          <w:t>Figure 2.5.2</w:t>
        </w:r>
      </w:hyperlink>
      <w:r w:rsidR="00F51113" w:rsidRPr="004C2DCD">
        <w:t xml:space="preserve"> shows New Zealand’s gross GHG emissions by sector, using the WEM scenario. </w:t>
      </w:r>
      <w:hyperlink w:anchor="figure253" w:history="1">
        <w:r w:rsidR="00F51113" w:rsidRPr="007A0175">
          <w:rPr>
            <w:rStyle w:val="Hyperlink"/>
          </w:rPr>
          <w:t>Figure 2.5.3</w:t>
        </w:r>
      </w:hyperlink>
      <w:r w:rsidR="00F51113" w:rsidRPr="004C2DCD">
        <w:t xml:space="preserve"> shows the same information in percentage terms.</w:t>
      </w:r>
    </w:p>
    <w:p w14:paraId="64CDC0F9" w14:textId="146125F1" w:rsidR="00F51113" w:rsidRPr="004C2DCD" w:rsidRDefault="00F51113" w:rsidP="00F51113">
      <w:pPr>
        <w:pStyle w:val="BodyText"/>
        <w:spacing w:before="100" w:after="100"/>
      </w:pPr>
      <w:r w:rsidRPr="004C2DCD">
        <w:rPr>
          <w:spacing w:val="-2"/>
        </w:rPr>
        <w:t xml:space="preserve">New Zealand’s gross emissions profile by sector is dominated by emissions from the </w:t>
      </w:r>
      <w:r w:rsidR="009571FF">
        <w:rPr>
          <w:spacing w:val="-2"/>
        </w:rPr>
        <w:t>Agriculture sector</w:t>
      </w:r>
      <w:r w:rsidRPr="004C2DCD">
        <w:t xml:space="preserve">. Agriculture accounted for 54 per cent of gross emissions in 1990 and 53 per cent of gross emissions in 2022. Between 1990 and 2022, the proportion of emissions from the Energy sector declined, while those from the Transport sector increased. Details of trends for each sector are provided in </w:t>
      </w:r>
      <w:hyperlink w:anchor="section254" w:history="1">
        <w:r w:rsidRPr="007A0175">
          <w:rPr>
            <w:rStyle w:val="Hyperlink"/>
          </w:rPr>
          <w:t>section 2.5.4</w:t>
        </w:r>
      </w:hyperlink>
      <w:r w:rsidRPr="004C2DCD">
        <w:t xml:space="preserve"> and details of emissions projections sensitivities for each sector are provided in </w:t>
      </w:r>
      <w:hyperlink w:anchor="section256" w:history="1">
        <w:r w:rsidRPr="007A0175">
          <w:rPr>
            <w:rStyle w:val="Hyperlink"/>
          </w:rPr>
          <w:t>section 2.5.6</w:t>
        </w:r>
      </w:hyperlink>
      <w:r w:rsidRPr="004C2DCD">
        <w:t>.</w:t>
      </w:r>
    </w:p>
    <w:p w14:paraId="44710AE4" w14:textId="1EED4556" w:rsidR="00F51113" w:rsidRPr="004C2DCD" w:rsidRDefault="00F51113" w:rsidP="00F51113">
      <w:pPr>
        <w:pStyle w:val="BodyText"/>
        <w:spacing w:before="100" w:after="100"/>
      </w:pPr>
      <w:r w:rsidRPr="004C2DCD">
        <w:t>Over the projected period to 2050, the proportion</w:t>
      </w:r>
      <w:r w:rsidR="00872A2F">
        <w:t>s</w:t>
      </w:r>
      <w:r w:rsidRPr="004C2DCD">
        <w:t xml:space="preserve"> of gross emissions from the Energy and Transport sectors are expected to decline, which results in the Agricultur</w:t>
      </w:r>
      <w:r w:rsidR="00324998">
        <w:t>e</w:t>
      </w:r>
      <w:r w:rsidRPr="004C2DCD">
        <w:t xml:space="preserve"> sector growing to 62 per cent of gross emissions by 2050</w:t>
      </w:r>
      <w:r w:rsidR="00356267">
        <w:t xml:space="preserve"> despite its absolute emissions decreasing</w:t>
      </w:r>
      <w:r w:rsidRPr="004C2DCD">
        <w:t>.</w:t>
      </w:r>
    </w:p>
    <w:p w14:paraId="3FBBAA7D" w14:textId="77777777" w:rsidR="00F51113" w:rsidRDefault="00F51113" w:rsidP="00201256">
      <w:pPr>
        <w:pStyle w:val="Figureheading"/>
      </w:pPr>
      <w:bookmarkStart w:id="511" w:name="figure252"/>
      <w:bookmarkStart w:id="512" w:name="_Toc185347246"/>
      <w:r w:rsidRPr="004C2DCD">
        <w:t>Figure 2.5.2</w:t>
      </w:r>
      <w:bookmarkEnd w:id="511"/>
      <w:r w:rsidRPr="004C2DCD">
        <w:t xml:space="preserve">: </w:t>
      </w:r>
      <w:r w:rsidRPr="004C2DCD">
        <w:tab/>
        <w:t>Greenhouse gas emissions by sector under the ‘with existing measures’ scenario for gross emissions (total without LULUCF), 1990–2050</w:t>
      </w:r>
      <w:bookmarkEnd w:id="512"/>
    </w:p>
    <w:p w14:paraId="1D885933" w14:textId="51C439E3" w:rsidR="00F51113" w:rsidRPr="004C2DCD" w:rsidRDefault="006C5A14" w:rsidP="00F51113">
      <w:pPr>
        <w:pStyle w:val="BodyText"/>
      </w:pPr>
      <w:r>
        <w:rPr>
          <w:noProof/>
        </w:rPr>
        <w:drawing>
          <wp:inline distT="0" distB="0" distL="0" distR="0" wp14:anchorId="3C3FFC2D" wp14:editId="40CABE50">
            <wp:extent cx="5040000" cy="2755897"/>
            <wp:effectExtent l="0" t="0" r="8255" b="6985"/>
            <wp:docPr id="2012250840" name="Picture 28" descr="A bar graph showing greenhouse gas emissions under the ‘with existing measures’ scenario for gross emissions in million tonnes carbon dioxide equivalent for the period 1990 to 2050 for the following sectors: Energy, Transport, IPPU, Agriculture, Waste and Tokelau (but excluding LULUC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250840" name="Picture 28" descr="A bar graph showing greenhouse gas emissions under the ‘with existing measures’ scenario for gross emissions in million tonnes carbon dioxide equivalent for the period 1990 to 2050 for the following sectors: Energy, Transport, IPPU, Agriculture, Waste and Tokelau (but excluding LULUCF).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40000" cy="2755897"/>
                    </a:xfrm>
                    <a:prstGeom prst="rect">
                      <a:avLst/>
                    </a:prstGeom>
                    <a:noFill/>
                  </pic:spPr>
                </pic:pic>
              </a:graphicData>
            </a:graphic>
          </wp:inline>
        </w:drawing>
      </w:r>
    </w:p>
    <w:p w14:paraId="12D2C090" w14:textId="77777777" w:rsidR="00F51113" w:rsidRPr="004C2DCD" w:rsidRDefault="00F51113" w:rsidP="00F51113">
      <w:pPr>
        <w:pStyle w:val="Note"/>
        <w:spacing w:before="0"/>
      </w:pPr>
      <w:r w:rsidRPr="004C2DCD">
        <w:rPr>
          <w:b/>
          <w:bCs/>
        </w:rPr>
        <w:t>Note:</w:t>
      </w:r>
      <w:r w:rsidRPr="004C2DCD">
        <w:t xml:space="preserve"> IPPU = Industrial Processes and Product Use; Mt CO</w:t>
      </w:r>
      <w:r w:rsidRPr="004C2DCD">
        <w:rPr>
          <w:vertAlign w:val="subscript"/>
        </w:rPr>
        <w:t>2</w:t>
      </w:r>
      <w:r w:rsidRPr="004C2DCD">
        <w:t xml:space="preserve">e = </w:t>
      </w:r>
      <w:r w:rsidRPr="004C2DCD">
        <w:rPr>
          <w:rFonts w:eastAsia="Calibri" w:cs="Calibri"/>
        </w:rPr>
        <w:t xml:space="preserve">million tonnes of </w:t>
      </w:r>
      <w:r w:rsidRPr="004C2DCD">
        <w:t>carbon dioxide equivalent.</w:t>
      </w:r>
    </w:p>
    <w:p w14:paraId="3A320F48" w14:textId="423090FD" w:rsidR="00F51113" w:rsidRPr="004C2DCD" w:rsidRDefault="00F51113" w:rsidP="00201256">
      <w:pPr>
        <w:pStyle w:val="Figureheading"/>
      </w:pPr>
      <w:bookmarkStart w:id="513" w:name="figure253"/>
      <w:bookmarkStart w:id="514" w:name="_Toc185347247"/>
      <w:r w:rsidRPr="004C2DCD">
        <w:t>Figure 2.5.3</w:t>
      </w:r>
      <w:bookmarkEnd w:id="513"/>
      <w:r w:rsidRPr="004C2DCD">
        <w:t>:</w:t>
      </w:r>
      <w:r w:rsidRPr="004C2DCD">
        <w:tab/>
        <w:t>Proportion of greenhouse gas emissions by sector under the ‘with existing</w:t>
      </w:r>
      <w:r w:rsidR="009F5949">
        <w:t> </w:t>
      </w:r>
      <w:r w:rsidRPr="004C2DCD">
        <w:t>measures’ scenario for gross emissions (total without LULUCF), 1990–2050</w:t>
      </w:r>
      <w:bookmarkEnd w:id="514"/>
    </w:p>
    <w:p w14:paraId="2D811520" w14:textId="2DBFC9D7" w:rsidR="00F51113" w:rsidRPr="004C2DCD" w:rsidRDefault="00D242D1" w:rsidP="00F51113">
      <w:pPr>
        <w:pStyle w:val="BodyText"/>
      </w:pPr>
      <w:r>
        <w:rPr>
          <w:noProof/>
        </w:rPr>
        <w:drawing>
          <wp:inline distT="0" distB="0" distL="0" distR="0" wp14:anchorId="49F7CB2C" wp14:editId="6C2D147C">
            <wp:extent cx="5040000" cy="2755897"/>
            <wp:effectExtent l="0" t="0" r="8255" b="6985"/>
            <wp:docPr id="278593878" name="Picture 29" descr="A bar graph showing the proportion of greenhouse gas emissions by sector under the ‘without existing measures’ scenario for gross emissions in million tonnes carbon dioxide equivalent for the period 1990 to 2050 for the following sectors: Energy, Transport, IPPU, Agriculture, Waste and Tokelau (but excluding LULU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593878" name="Picture 29" descr="A bar graph showing the proportion of greenhouse gas emissions by sector under the ‘without existing measures’ scenario for gross emissions in million tonnes carbon dioxide equivalent for the period 1990 to 2050 for the following sectors: Energy, Transport, IPPU, Agriculture, Waste and Tokelau (but excluding LULUC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40000" cy="2755897"/>
                    </a:xfrm>
                    <a:prstGeom prst="rect">
                      <a:avLst/>
                    </a:prstGeom>
                    <a:noFill/>
                  </pic:spPr>
                </pic:pic>
              </a:graphicData>
            </a:graphic>
          </wp:inline>
        </w:drawing>
      </w:r>
    </w:p>
    <w:p w14:paraId="4C14298B" w14:textId="1DBEA3CE" w:rsidR="00F51113" w:rsidRPr="004C2DCD" w:rsidRDefault="007A0175" w:rsidP="00F51113">
      <w:pPr>
        <w:pStyle w:val="BodyText"/>
        <w:spacing w:before="100" w:after="100"/>
      </w:pPr>
      <w:hyperlink w:anchor="figure254" w:history="1">
        <w:r w:rsidR="00F51113" w:rsidRPr="007A0175">
          <w:rPr>
            <w:rStyle w:val="Hyperlink"/>
          </w:rPr>
          <w:t>Figure 2.5.4</w:t>
        </w:r>
      </w:hyperlink>
      <w:r w:rsidR="00F51113" w:rsidRPr="004C2DCD">
        <w:t xml:space="preserve"> shows New Zealand’s gross GHG emissions by gas under the WEM scenario. </w:t>
      </w:r>
      <w:hyperlink w:anchor="figure255" w:history="1">
        <w:r w:rsidR="00F51113" w:rsidRPr="007A0175">
          <w:rPr>
            <w:rStyle w:val="Hyperlink"/>
          </w:rPr>
          <w:t>Figure 2.5.5</w:t>
        </w:r>
      </w:hyperlink>
      <w:r w:rsidR="00F51113" w:rsidRPr="004C2DCD">
        <w:t xml:space="preserve"> shows the same information in percentage terms. With the dominance of emissions from the Agriculture sector, methane (CH</w:t>
      </w:r>
      <w:r w:rsidR="00F51113" w:rsidRPr="004C2DCD">
        <w:rPr>
          <w:vertAlign w:val="subscript"/>
        </w:rPr>
        <w:t>4</w:t>
      </w:r>
      <w:r w:rsidR="00F51113" w:rsidRPr="004C2DCD">
        <w:t>) makes up the largest proportion of gas emissions.</w:t>
      </w:r>
    </w:p>
    <w:p w14:paraId="3C8A86D3" w14:textId="427F7777" w:rsidR="00F51113" w:rsidRPr="004C2DCD" w:rsidRDefault="00F51113" w:rsidP="00F51113">
      <w:pPr>
        <w:pStyle w:val="BodyText"/>
        <w:spacing w:before="100" w:after="100"/>
      </w:pPr>
      <w:r w:rsidRPr="004C2DCD">
        <w:t>In 1990, carbon dioxide (CO</w:t>
      </w:r>
      <w:r w:rsidRPr="004C2DCD">
        <w:rPr>
          <w:vertAlign w:val="subscript"/>
        </w:rPr>
        <w:t>2</w:t>
      </w:r>
      <w:r w:rsidRPr="004C2DCD">
        <w:t>) emissions were 25.5 Mt CO</w:t>
      </w:r>
      <w:r w:rsidRPr="004C2DCD">
        <w:rPr>
          <w:vertAlign w:val="subscript"/>
        </w:rPr>
        <w:t>2</w:t>
      </w:r>
      <w:r w:rsidRPr="004C2DCD">
        <w:t xml:space="preserve">e (37.0 per cent of gross emissions) </w:t>
      </w:r>
      <w:r w:rsidRPr="004C2DCD">
        <w:rPr>
          <w:spacing w:val="-2"/>
        </w:rPr>
        <w:t>and CH</w:t>
      </w:r>
      <w:r w:rsidRPr="004C2DCD">
        <w:rPr>
          <w:spacing w:val="-2"/>
          <w:vertAlign w:val="subscript"/>
        </w:rPr>
        <w:t>4</w:t>
      </w:r>
      <w:r w:rsidRPr="004C2DCD">
        <w:rPr>
          <w:spacing w:val="-2"/>
        </w:rPr>
        <w:t xml:space="preserve"> emissions were 37.5 Mt CO</w:t>
      </w:r>
      <w:r w:rsidRPr="004C2DCD">
        <w:rPr>
          <w:spacing w:val="-2"/>
          <w:vertAlign w:val="subscript"/>
        </w:rPr>
        <w:t>2</w:t>
      </w:r>
      <w:r w:rsidRPr="004C2DCD">
        <w:rPr>
          <w:spacing w:val="-2"/>
        </w:rPr>
        <w:t>e (54.4 per cent of gross emissions). By 2022, CO</w:t>
      </w:r>
      <w:r w:rsidRPr="004C2DCD">
        <w:rPr>
          <w:spacing w:val="-2"/>
          <w:vertAlign w:val="subscript"/>
        </w:rPr>
        <w:t>2</w:t>
      </w:r>
      <w:r w:rsidRPr="004C2DCD">
        <w:rPr>
          <w:spacing w:val="-2"/>
        </w:rPr>
        <w:t xml:space="preserve"> emissions were 31.6 Mt (40.3 per cent of gross emissions) and CH</w:t>
      </w:r>
      <w:r w:rsidRPr="004C2DCD">
        <w:rPr>
          <w:spacing w:val="-2"/>
          <w:vertAlign w:val="subscript"/>
        </w:rPr>
        <w:t>4</w:t>
      </w:r>
      <w:r w:rsidRPr="004C2DCD">
        <w:rPr>
          <w:spacing w:val="-2"/>
        </w:rPr>
        <w:t xml:space="preserve"> emissions were 38.3 Mt CO</w:t>
      </w:r>
      <w:r w:rsidRPr="004C2DCD">
        <w:rPr>
          <w:spacing w:val="-2"/>
          <w:vertAlign w:val="subscript"/>
        </w:rPr>
        <w:t>2</w:t>
      </w:r>
      <w:r w:rsidRPr="004C2DCD">
        <w:rPr>
          <w:spacing w:val="-2"/>
        </w:rPr>
        <w:t>e</w:t>
      </w:r>
      <w:r w:rsidRPr="004C2DCD">
        <w:t xml:space="preserve"> (48.9 per cent of gross emissions). </w:t>
      </w:r>
    </w:p>
    <w:p w14:paraId="29631183" w14:textId="77777777" w:rsidR="00F51113" w:rsidRPr="004C2DCD" w:rsidRDefault="00F51113" w:rsidP="00F51113">
      <w:pPr>
        <w:pStyle w:val="BodyText"/>
        <w:spacing w:before="100" w:after="100"/>
      </w:pPr>
      <w:r w:rsidRPr="004C2DCD">
        <w:t>Over the projected period to 2050, CH</w:t>
      </w:r>
      <w:r w:rsidRPr="004C2DCD">
        <w:rPr>
          <w:vertAlign w:val="subscript"/>
        </w:rPr>
        <w:t>4</w:t>
      </w:r>
      <w:r w:rsidRPr="004C2DCD">
        <w:t xml:space="preserve"> becomes more dominant in the gas profile. Carbon dioxide is expected to reduce by 11.5 Mt CO</w:t>
      </w:r>
      <w:r w:rsidRPr="004C2DCD">
        <w:rPr>
          <w:vertAlign w:val="subscript"/>
        </w:rPr>
        <w:t>2</w:t>
      </w:r>
      <w:r w:rsidRPr="004C2DCD">
        <w:t>e to 20.1 Mt CO</w:t>
      </w:r>
      <w:r w:rsidRPr="004C2DCD">
        <w:rPr>
          <w:vertAlign w:val="subscript"/>
        </w:rPr>
        <w:t>2</w:t>
      </w:r>
      <w:r w:rsidRPr="004C2DCD">
        <w:t>e in 2050 (32.0 per cent of gross emissions) while CH</w:t>
      </w:r>
      <w:r w:rsidRPr="004C2DCD">
        <w:rPr>
          <w:vertAlign w:val="subscript"/>
        </w:rPr>
        <w:t>4</w:t>
      </w:r>
      <w:r w:rsidRPr="004C2DCD">
        <w:t xml:space="preserve"> reduces by 3.3 Mt CO</w:t>
      </w:r>
      <w:r w:rsidRPr="004C2DCD">
        <w:rPr>
          <w:vertAlign w:val="subscript"/>
        </w:rPr>
        <w:t>2</w:t>
      </w:r>
      <w:r w:rsidRPr="004C2DCD">
        <w:t>e to 35.1 Mt CO</w:t>
      </w:r>
      <w:r w:rsidRPr="004C2DCD">
        <w:rPr>
          <w:vertAlign w:val="subscript"/>
        </w:rPr>
        <w:t>2</w:t>
      </w:r>
      <w:r w:rsidRPr="004C2DCD">
        <w:t>e in 2050 (55.8 per cent of gross emissions).</w:t>
      </w:r>
    </w:p>
    <w:p w14:paraId="58A3A5A8" w14:textId="77777777" w:rsidR="00F51113" w:rsidRPr="004C2DCD" w:rsidRDefault="00F51113" w:rsidP="00201256">
      <w:pPr>
        <w:pStyle w:val="Figureheading"/>
      </w:pPr>
      <w:bookmarkStart w:id="515" w:name="figure254"/>
      <w:bookmarkStart w:id="516" w:name="_Toc185347248"/>
      <w:r w:rsidRPr="004C2DCD">
        <w:t>Figure 2.5.4</w:t>
      </w:r>
      <w:bookmarkEnd w:id="515"/>
      <w:r w:rsidRPr="004C2DCD">
        <w:t xml:space="preserve">: </w:t>
      </w:r>
      <w:r w:rsidRPr="004C2DCD">
        <w:tab/>
        <w:t>Greenhouse gas emissions by gas under the ‘with existing measures’</w:t>
      </w:r>
      <w:r w:rsidRPr="004C2DCD" w:rsidDel="00D65ADA">
        <w:t xml:space="preserve"> </w:t>
      </w:r>
      <w:r w:rsidRPr="004C2DCD">
        <w:t>scenario for gross emissions (total without LULUCF), 1990–2050</w:t>
      </w:r>
      <w:bookmarkEnd w:id="516"/>
    </w:p>
    <w:p w14:paraId="1916FA6C" w14:textId="60CE9B88" w:rsidR="00F51113" w:rsidRPr="004C2DCD" w:rsidRDefault="004D432C" w:rsidP="00F51113">
      <w:pPr>
        <w:pStyle w:val="BodyText"/>
      </w:pPr>
      <w:r>
        <w:rPr>
          <w:noProof/>
        </w:rPr>
        <w:drawing>
          <wp:inline distT="0" distB="0" distL="0" distR="0" wp14:anchorId="2EA61710" wp14:editId="421FE40A">
            <wp:extent cx="5040000" cy="2686049"/>
            <wp:effectExtent l="0" t="0" r="8255" b="635"/>
            <wp:docPr id="193080704" name="Picture 30" descr="A bar graph showing greenhouse gas emissions by gas under the ‘with existing measures’ scenario for gross emissions in million tonnes carbon dioxide equivalent for the period 1990 to 2050 for the gases carbon dioxide, methane, nitrous oxide and fluorinated gases (excluding LULUCF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0704" name="Picture 30" descr="A bar graph showing greenhouse gas emissions by gas under the ‘with existing measures’ scenario for gross emissions in million tonnes carbon dioxide equivalent for the period 1990 to 2050 for the gases carbon dioxide, methane, nitrous oxide and fluorinated gases (excluding LULUCF secto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40000" cy="2686049"/>
                    </a:xfrm>
                    <a:prstGeom prst="rect">
                      <a:avLst/>
                    </a:prstGeom>
                    <a:noFill/>
                  </pic:spPr>
                </pic:pic>
              </a:graphicData>
            </a:graphic>
          </wp:inline>
        </w:drawing>
      </w:r>
    </w:p>
    <w:p w14:paraId="2191B34A" w14:textId="77777777" w:rsidR="00F51113" w:rsidRPr="004C2DCD" w:rsidRDefault="00F51113" w:rsidP="00F51113">
      <w:pPr>
        <w:pStyle w:val="Note"/>
        <w:spacing w:before="0"/>
      </w:pPr>
      <w:r w:rsidRPr="004C2DCD">
        <w:rPr>
          <w:b/>
          <w:bCs/>
        </w:rPr>
        <w:t>Note:</w:t>
      </w:r>
      <w:r w:rsidRPr="004C2DCD">
        <w:t xml:space="preserve"> F-gases = fluorinated gases; Mt CO</w:t>
      </w:r>
      <w:r w:rsidRPr="004C2DCD">
        <w:rPr>
          <w:vertAlign w:val="subscript"/>
        </w:rPr>
        <w:t>2</w:t>
      </w:r>
      <w:r w:rsidRPr="004C2DCD">
        <w:t xml:space="preserve">e = </w:t>
      </w:r>
      <w:r w:rsidRPr="004C2DCD">
        <w:rPr>
          <w:rFonts w:eastAsia="Calibri" w:cs="Calibri"/>
        </w:rPr>
        <w:t xml:space="preserve">million tonnes of </w:t>
      </w:r>
      <w:r w:rsidRPr="004C2DCD">
        <w:t>carbon dioxide equivalent.</w:t>
      </w:r>
    </w:p>
    <w:p w14:paraId="6D97DE3E" w14:textId="5E40495B" w:rsidR="00F51113" w:rsidRPr="004C2DCD" w:rsidRDefault="00F51113" w:rsidP="00201256">
      <w:pPr>
        <w:pStyle w:val="Figureheading"/>
      </w:pPr>
      <w:bookmarkStart w:id="517" w:name="figure255"/>
      <w:bookmarkStart w:id="518" w:name="_Toc185347249"/>
      <w:r w:rsidRPr="004C2DCD">
        <w:t>Figure 2.5.5</w:t>
      </w:r>
      <w:bookmarkEnd w:id="517"/>
      <w:r w:rsidRPr="004C2DCD">
        <w:t xml:space="preserve">: </w:t>
      </w:r>
      <w:r w:rsidRPr="004C2DCD">
        <w:tab/>
        <w:t>Proportion of greenhouse gas emissions by gas under the ‘with</w:t>
      </w:r>
      <w:r w:rsidR="00B763DD">
        <w:t> </w:t>
      </w:r>
      <w:r w:rsidRPr="004C2DCD">
        <w:t>existing measures’ scenario for gross emissions (total without LULUCF), 1990–2050</w:t>
      </w:r>
      <w:bookmarkEnd w:id="518"/>
    </w:p>
    <w:p w14:paraId="7635F1D9" w14:textId="4EA13228" w:rsidR="00F51113" w:rsidRPr="004C2DCD" w:rsidRDefault="00AB054B" w:rsidP="00F51113">
      <w:pPr>
        <w:pStyle w:val="BodyText"/>
        <w:keepNext/>
        <w:spacing w:before="60"/>
      </w:pPr>
      <w:r>
        <w:rPr>
          <w:noProof/>
        </w:rPr>
        <w:drawing>
          <wp:inline distT="0" distB="0" distL="0" distR="0" wp14:anchorId="208C5FCD" wp14:editId="6B767023">
            <wp:extent cx="5040000" cy="2686049"/>
            <wp:effectExtent l="0" t="0" r="8255" b="635"/>
            <wp:docPr id="1258765743" name="Picture 31" descr="A bar graph showing the proportion of greenhouse gas emissions by gas under the ‘with existing measures’ scenario for gross emissions in million tonnes carbon dioxide equivalent for the period 1990 to 2050 for the gases carbon dioxide, methane, nitrous oxide and fluorinated gases (excluding LULUCF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765743" name="Picture 31" descr="A bar graph showing the proportion of greenhouse gas emissions by gas under the ‘with existing measures’ scenario for gross emissions in million tonnes carbon dioxide equivalent for the period 1990 to 2050 for the gases carbon dioxide, methane, nitrous oxide and fluorinated gases (excluding LULUCF secto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40000" cy="2686049"/>
                    </a:xfrm>
                    <a:prstGeom prst="rect">
                      <a:avLst/>
                    </a:prstGeom>
                    <a:noFill/>
                  </pic:spPr>
                </pic:pic>
              </a:graphicData>
            </a:graphic>
          </wp:inline>
        </w:drawing>
      </w:r>
    </w:p>
    <w:p w14:paraId="0E8BFF75" w14:textId="77777777" w:rsidR="00F51113" w:rsidRPr="004C2DCD" w:rsidRDefault="00F51113" w:rsidP="00F51113">
      <w:pPr>
        <w:pStyle w:val="Note"/>
        <w:spacing w:before="0"/>
      </w:pPr>
      <w:r w:rsidRPr="004C2DCD">
        <w:rPr>
          <w:b/>
          <w:bCs/>
        </w:rPr>
        <w:t>Note:</w:t>
      </w:r>
      <w:r w:rsidRPr="004C2DCD">
        <w:t xml:space="preserve"> F-gases = fluorinated gases.</w:t>
      </w:r>
    </w:p>
    <w:p w14:paraId="2BD3D517" w14:textId="5A7DDC92" w:rsidR="00F51113" w:rsidRPr="004C2DCD" w:rsidRDefault="00000D55" w:rsidP="00F51113">
      <w:pPr>
        <w:pStyle w:val="Heading4"/>
      </w:pPr>
      <w:r>
        <w:t>2.5.</w:t>
      </w:r>
      <w:r w:rsidR="00C36E6E">
        <w:t>2</w:t>
      </w:r>
      <w:r>
        <w:t>.</w:t>
      </w:r>
      <w:r w:rsidR="00C36E6E">
        <w:t>1.2</w:t>
      </w:r>
      <w:r w:rsidR="00C36E6E">
        <w:tab/>
      </w:r>
      <w:r w:rsidR="00F51113" w:rsidRPr="004C2DCD">
        <w:t>Changes in net emissions</w:t>
      </w:r>
    </w:p>
    <w:p w14:paraId="78A2A5EC" w14:textId="774D41F5" w:rsidR="00F51113" w:rsidRPr="004C2DCD" w:rsidRDefault="00F51113" w:rsidP="00F51113">
      <w:pPr>
        <w:pStyle w:val="BodyText"/>
      </w:pPr>
      <w:r w:rsidRPr="004C2DCD">
        <w:t>In this section, net emissions are calculated and presented as gross emissions plus net emissions from the LULUCF sector. Net emissions from the LULUCF sector include the emissions and removals occurring in all land</w:t>
      </w:r>
      <w:r w:rsidR="007A0175">
        <w:t>-</w:t>
      </w:r>
      <w:r w:rsidRPr="004C2DCD">
        <w:t xml:space="preserve">use types. </w:t>
      </w:r>
    </w:p>
    <w:p w14:paraId="12C45562" w14:textId="29F93DD4" w:rsidR="00F51113" w:rsidRPr="004C2DCD" w:rsidRDefault="00F51113" w:rsidP="00F51113">
      <w:pPr>
        <w:pStyle w:val="BodyText"/>
      </w:pPr>
      <w:r w:rsidRPr="004C2DCD">
        <w:t xml:space="preserve">Accounting rules are applied to the LULUCF sector for tracking and meeting emissions reduction targets. </w:t>
      </w:r>
      <w:hyperlink w:anchor="section26" w:history="1">
        <w:r w:rsidRPr="007A0175">
          <w:rPr>
            <w:rStyle w:val="Hyperlink"/>
          </w:rPr>
          <w:t>Section 2.6</w:t>
        </w:r>
      </w:hyperlink>
      <w:r w:rsidRPr="004C2DCD">
        <w:t xml:space="preserve"> provides the LULUCF target accounting quantities that are derived by applying accounting rules to the LULUCF sector and used for tracking progress against New Zealand’s emission reduction target for NDC1.</w:t>
      </w:r>
    </w:p>
    <w:p w14:paraId="110C53D1" w14:textId="77777777" w:rsidR="00F51113" w:rsidRPr="004C2DCD" w:rsidRDefault="00F51113" w:rsidP="00F51113">
      <w:pPr>
        <w:pStyle w:val="BodyText"/>
      </w:pPr>
      <w:r w:rsidRPr="004C2DCD">
        <w:t>New Zealand’s net emissions (including emissions and removals from the LULUCF sector) were reported as 44.6 Mt CO</w:t>
      </w:r>
      <w:r w:rsidRPr="004C2DCD">
        <w:rPr>
          <w:vertAlign w:val="subscript"/>
        </w:rPr>
        <w:t>2</w:t>
      </w:r>
      <w:r w:rsidRPr="004C2DCD">
        <w:t>e in 1990 and 59.2 Mt CO</w:t>
      </w:r>
      <w:r w:rsidRPr="004C2DCD">
        <w:rPr>
          <w:vertAlign w:val="subscript"/>
        </w:rPr>
        <w:t>2</w:t>
      </w:r>
      <w:r w:rsidRPr="004C2DCD">
        <w:t>e in 2022 (32.5 per cent above 1990 levels).</w:t>
      </w:r>
    </w:p>
    <w:p w14:paraId="20F829C8" w14:textId="12256A37" w:rsidR="00F51113" w:rsidRPr="004C2DCD" w:rsidRDefault="00F51113" w:rsidP="00F51113">
      <w:pPr>
        <w:pStyle w:val="BodyText"/>
      </w:pPr>
      <w:r w:rsidRPr="004C2DCD">
        <w:rPr>
          <w:spacing w:val="-2"/>
        </w:rPr>
        <w:t>Under the WEM scenario, New Zealand’s net emissions (including emissions and removals</w:t>
      </w:r>
      <w:r w:rsidRPr="004C2DCD">
        <w:rPr>
          <w:rFonts w:ascii="Aptos" w:eastAsia="Aptos" w:hAnsi="Aptos" w:cs="Aptos"/>
          <w:spacing w:val="-2"/>
        </w:rPr>
        <w:t xml:space="preserve"> </w:t>
      </w:r>
      <w:r w:rsidRPr="004C2DCD">
        <w:rPr>
          <w:spacing w:val="-2"/>
        </w:rPr>
        <w:t>from</w:t>
      </w:r>
      <w:r w:rsidRPr="004C2DCD">
        <w:t xml:space="preserve"> the LULUCF sector) are projected to be 54.7 Mt CO</w:t>
      </w:r>
      <w:r w:rsidRPr="004C2DCD">
        <w:rPr>
          <w:vertAlign w:val="subscript"/>
        </w:rPr>
        <w:t>2</w:t>
      </w:r>
      <w:r w:rsidRPr="004C2DCD">
        <w:t xml:space="preserve">e (22.5 per cent above 1990 levels) in 2030 </w:t>
      </w:r>
      <w:r w:rsidRPr="004C2DCD">
        <w:rPr>
          <w:spacing w:val="-2"/>
        </w:rPr>
        <w:t>and 34.0 Mt CO</w:t>
      </w:r>
      <w:r w:rsidRPr="004C2DCD">
        <w:rPr>
          <w:spacing w:val="-2"/>
          <w:vertAlign w:val="subscript"/>
        </w:rPr>
        <w:t>2</w:t>
      </w:r>
      <w:r w:rsidRPr="004C2DCD">
        <w:rPr>
          <w:spacing w:val="-2"/>
        </w:rPr>
        <w:t>e (23.7 per cent below 1990 levels) in 2050</w:t>
      </w:r>
      <w:r w:rsidR="00A834B3">
        <w:rPr>
          <w:spacing w:val="-2"/>
        </w:rPr>
        <w:t xml:space="preserve"> (</w:t>
      </w:r>
      <w:hyperlink w:anchor="table251" w:history="1">
        <w:r w:rsidR="00A834B3" w:rsidRPr="00932762">
          <w:rPr>
            <w:rStyle w:val="Hyperlink"/>
            <w:spacing w:val="-2"/>
          </w:rPr>
          <w:t>table 2.5.1</w:t>
        </w:r>
      </w:hyperlink>
      <w:r w:rsidR="00A834B3">
        <w:rPr>
          <w:spacing w:val="-2"/>
        </w:rPr>
        <w:t>)</w:t>
      </w:r>
      <w:r w:rsidRPr="004C2DCD">
        <w:rPr>
          <w:spacing w:val="-2"/>
        </w:rPr>
        <w:t>. Trends in net emissions are strongly influenced by the harvest and growth cycles of New Zealand’s exotic production forests.</w:t>
      </w:r>
    </w:p>
    <w:p w14:paraId="6B67A19D" w14:textId="77777777" w:rsidR="00F51113" w:rsidRPr="004C2DCD" w:rsidRDefault="00F51113" w:rsidP="00784F5F">
      <w:pPr>
        <w:pStyle w:val="Heading2"/>
        <w:numPr>
          <w:ilvl w:val="0"/>
          <w:numId w:val="109"/>
        </w:numPr>
      </w:pPr>
      <w:bookmarkStart w:id="519" w:name="section253"/>
      <w:bookmarkStart w:id="520" w:name="_Toc184825525"/>
      <w:bookmarkEnd w:id="519"/>
      <w:r w:rsidRPr="004C2DCD">
        <w:t>Key assumptions and variables</w:t>
      </w:r>
      <w:bookmarkEnd w:id="520"/>
      <w:r w:rsidRPr="004C2DCD">
        <w:t xml:space="preserve"> </w:t>
      </w:r>
    </w:p>
    <w:p w14:paraId="01AFFA93" w14:textId="728740B7" w:rsidR="00F51113" w:rsidRPr="004C2DCD" w:rsidRDefault="00F51113" w:rsidP="00C36E6E">
      <w:pPr>
        <w:pStyle w:val="Heading3"/>
        <w:numPr>
          <w:ilvl w:val="0"/>
          <w:numId w:val="111"/>
        </w:numPr>
        <w:ind w:left="1134" w:hanging="1134"/>
      </w:pPr>
      <w:r w:rsidRPr="004C2DCD">
        <w:t>Policies and measures considered under the ‘with existing measures’ scenario</w:t>
      </w:r>
    </w:p>
    <w:p w14:paraId="572C9AAA" w14:textId="71E029F3" w:rsidR="00F51113" w:rsidRPr="004C2DCD" w:rsidRDefault="00932762" w:rsidP="00F51113">
      <w:pPr>
        <w:pStyle w:val="BodyText"/>
      </w:pPr>
      <w:hyperlink w:anchor="table252" w:history="1">
        <w:r w:rsidR="00F51113" w:rsidRPr="00932762">
          <w:rPr>
            <w:rStyle w:val="Hyperlink"/>
          </w:rPr>
          <w:t>Table 2.5.2</w:t>
        </w:r>
      </w:hyperlink>
      <w:r w:rsidR="00F51113" w:rsidRPr="004C2DCD">
        <w:t xml:space="preserve"> shows the policies and measures included in the WEM scenario and </w:t>
      </w:r>
      <w:hyperlink w:anchor="table253" w:history="1">
        <w:r w:rsidR="00F51113" w:rsidRPr="00932762">
          <w:rPr>
            <w:rStyle w:val="Hyperlink"/>
          </w:rPr>
          <w:t>table 2.5.3</w:t>
        </w:r>
      </w:hyperlink>
      <w:r w:rsidR="00F51113" w:rsidRPr="004C2DCD">
        <w:t xml:space="preserve"> shows key cross-sector assumptions. </w:t>
      </w:r>
    </w:p>
    <w:p w14:paraId="65364D9D" w14:textId="77777777" w:rsidR="00F51113" w:rsidRPr="004C2DCD" w:rsidRDefault="00F51113" w:rsidP="00F51113">
      <w:pPr>
        <w:pStyle w:val="Tableheading"/>
        <w:rPr>
          <w:rFonts w:eastAsia="Calibri"/>
        </w:rPr>
      </w:pPr>
      <w:bookmarkStart w:id="521" w:name="table252"/>
      <w:bookmarkStart w:id="522" w:name="_Toc183789677"/>
      <w:bookmarkStart w:id="523" w:name="_Toc185407467"/>
      <w:bookmarkStart w:id="524" w:name="_Toc185427730"/>
      <w:r w:rsidRPr="004C2DCD">
        <w:t>Table 2.5.2</w:t>
      </w:r>
      <w:bookmarkEnd w:id="521"/>
      <w:r w:rsidRPr="004C2DCD">
        <w:t xml:space="preserve">: </w:t>
      </w:r>
      <w:r w:rsidRPr="004C2DCD">
        <w:tab/>
        <w:t>Policies and measures included in the ‘with existing measures’ scenario</w:t>
      </w:r>
      <w:bookmarkEnd w:id="522"/>
      <w:bookmarkEnd w:id="523"/>
      <w:bookmarkEnd w:id="524"/>
      <w:r w:rsidRPr="004C2DCD">
        <w:t xml:space="preserve"> </w:t>
      </w:r>
    </w:p>
    <w:tbl>
      <w:tblPr>
        <w:tblStyle w:val="TableGrid1"/>
        <w:tblW w:w="8534" w:type="dxa"/>
        <w:tblInd w:w="0" w:type="dxa"/>
        <w:tblLayout w:type="fixed"/>
        <w:tblCellMar>
          <w:left w:w="57" w:type="dxa"/>
          <w:right w:w="57" w:type="dxa"/>
        </w:tblCellMar>
        <w:tblLook w:val="04A0" w:firstRow="1" w:lastRow="0" w:firstColumn="1" w:lastColumn="0" w:noHBand="0" w:noVBand="1"/>
      </w:tblPr>
      <w:tblGrid>
        <w:gridCol w:w="1843"/>
        <w:gridCol w:w="1559"/>
        <w:gridCol w:w="1276"/>
        <w:gridCol w:w="3856"/>
      </w:tblGrid>
      <w:tr w:rsidR="00F51113" w:rsidRPr="004C2DCD" w14:paraId="369B66D0" w14:textId="77777777">
        <w:trPr>
          <w:tblHeader/>
        </w:trPr>
        <w:tc>
          <w:tcPr>
            <w:tcW w:w="1843" w:type="dxa"/>
            <w:tcBorders>
              <w:right w:val="nil"/>
            </w:tcBorders>
            <w:shd w:val="clear" w:color="auto" w:fill="1B556B" w:themeFill="text2"/>
            <w:vAlign w:val="bottom"/>
          </w:tcPr>
          <w:p w14:paraId="6F4C796B" w14:textId="77777777" w:rsidR="00F51113" w:rsidRPr="004C2DCD" w:rsidRDefault="00F51113">
            <w:pPr>
              <w:pStyle w:val="TableText"/>
              <w:spacing w:before="40" w:after="40"/>
              <w:rPr>
                <w:b/>
                <w:bCs/>
                <w:color w:val="FFFFFF" w:themeColor="background1"/>
                <w:szCs w:val="18"/>
                <w:lang w:val="en-NZ"/>
              </w:rPr>
            </w:pPr>
            <w:r w:rsidRPr="004C2DCD">
              <w:rPr>
                <w:b/>
                <w:bCs/>
                <w:color w:val="FFFFFF" w:themeColor="background1"/>
                <w:szCs w:val="18"/>
                <w:lang w:val="en-NZ"/>
              </w:rPr>
              <w:t>Policy or measure</w:t>
            </w:r>
          </w:p>
        </w:tc>
        <w:tc>
          <w:tcPr>
            <w:tcW w:w="1559" w:type="dxa"/>
            <w:tcBorders>
              <w:left w:val="nil"/>
              <w:right w:val="nil"/>
            </w:tcBorders>
            <w:shd w:val="clear" w:color="auto" w:fill="1B556B" w:themeFill="text2"/>
            <w:vAlign w:val="bottom"/>
          </w:tcPr>
          <w:p w14:paraId="63DAE199" w14:textId="77777777" w:rsidR="00F51113" w:rsidRPr="004C2DCD" w:rsidRDefault="00F51113">
            <w:pPr>
              <w:pStyle w:val="TableText"/>
              <w:spacing w:before="40" w:after="40"/>
              <w:rPr>
                <w:b/>
                <w:bCs/>
                <w:color w:val="FFFFFF" w:themeColor="background1"/>
                <w:szCs w:val="18"/>
                <w:lang w:val="en-NZ"/>
              </w:rPr>
            </w:pPr>
            <w:r w:rsidRPr="004C2DCD">
              <w:rPr>
                <w:b/>
                <w:bCs/>
                <w:color w:val="FFFFFF" w:themeColor="background1"/>
                <w:szCs w:val="18"/>
                <w:lang w:val="en-NZ"/>
              </w:rPr>
              <w:t>Timeframe modelled</w:t>
            </w:r>
          </w:p>
        </w:tc>
        <w:tc>
          <w:tcPr>
            <w:tcW w:w="1276" w:type="dxa"/>
            <w:tcBorders>
              <w:left w:val="nil"/>
              <w:right w:val="nil"/>
            </w:tcBorders>
            <w:shd w:val="clear" w:color="auto" w:fill="1B556B" w:themeFill="text2"/>
            <w:vAlign w:val="bottom"/>
          </w:tcPr>
          <w:p w14:paraId="5F0DA1CB" w14:textId="77777777" w:rsidR="00F51113" w:rsidRPr="004C2DCD" w:rsidRDefault="00F51113">
            <w:pPr>
              <w:pStyle w:val="TableText"/>
              <w:spacing w:before="40" w:after="40"/>
              <w:rPr>
                <w:b/>
                <w:bCs/>
                <w:color w:val="FFFFFF" w:themeColor="background1"/>
                <w:szCs w:val="18"/>
                <w:lang w:val="en-NZ"/>
              </w:rPr>
            </w:pPr>
            <w:r w:rsidRPr="004C2DCD">
              <w:rPr>
                <w:b/>
                <w:bCs/>
                <w:color w:val="FFFFFF" w:themeColor="background1"/>
                <w:szCs w:val="18"/>
                <w:lang w:val="en-NZ"/>
              </w:rPr>
              <w:t>Sector</w:t>
            </w:r>
          </w:p>
        </w:tc>
        <w:tc>
          <w:tcPr>
            <w:tcW w:w="3856" w:type="dxa"/>
            <w:tcBorders>
              <w:left w:val="nil"/>
            </w:tcBorders>
            <w:shd w:val="clear" w:color="auto" w:fill="1B556B" w:themeFill="text2"/>
            <w:vAlign w:val="bottom"/>
          </w:tcPr>
          <w:p w14:paraId="2904C236" w14:textId="77777777" w:rsidR="00F51113" w:rsidRPr="004C2DCD" w:rsidRDefault="00F51113">
            <w:pPr>
              <w:pStyle w:val="TableText"/>
              <w:spacing w:before="40" w:after="40"/>
              <w:rPr>
                <w:b/>
                <w:bCs/>
                <w:color w:val="FFFFFF" w:themeColor="background1"/>
                <w:szCs w:val="18"/>
                <w:lang w:val="en-NZ"/>
              </w:rPr>
            </w:pPr>
            <w:r w:rsidRPr="004C2DCD">
              <w:rPr>
                <w:b/>
                <w:bCs/>
                <w:color w:val="FFFFFF" w:themeColor="background1"/>
                <w:szCs w:val="18"/>
                <w:lang w:val="en-NZ"/>
              </w:rPr>
              <w:t>Notes on ‘sector-based’ emissions modelling</w:t>
            </w:r>
          </w:p>
        </w:tc>
      </w:tr>
      <w:tr w:rsidR="00F51113" w:rsidRPr="004C2DCD" w14:paraId="475CA06B" w14:textId="77777777">
        <w:tc>
          <w:tcPr>
            <w:tcW w:w="1843" w:type="dxa"/>
          </w:tcPr>
          <w:p w14:paraId="02C40133" w14:textId="18BB1134" w:rsidR="00F51113" w:rsidRPr="004C2DCD" w:rsidRDefault="00F51113">
            <w:pPr>
              <w:pStyle w:val="TableTextbold"/>
              <w:spacing w:before="40" w:after="40"/>
              <w:rPr>
                <w:b w:val="0"/>
                <w:bCs/>
                <w:lang w:val="en-NZ"/>
              </w:rPr>
            </w:pPr>
            <w:r w:rsidRPr="004C2DCD">
              <w:rPr>
                <w:b w:val="0"/>
                <w:bCs/>
                <w:lang w:val="en-NZ"/>
              </w:rPr>
              <w:t>New Zealand Emissions Trading Scheme (NZ</w:t>
            </w:r>
            <w:r w:rsidR="00667D42">
              <w:rPr>
                <w:b w:val="0"/>
                <w:bCs/>
                <w:lang w:val="en-NZ"/>
              </w:rPr>
              <w:t> </w:t>
            </w:r>
            <w:r w:rsidRPr="004C2DCD">
              <w:rPr>
                <w:b w:val="0"/>
                <w:bCs/>
                <w:lang w:val="en-NZ"/>
              </w:rPr>
              <w:t>ETS)</w:t>
            </w:r>
          </w:p>
        </w:tc>
        <w:tc>
          <w:tcPr>
            <w:tcW w:w="1559" w:type="dxa"/>
          </w:tcPr>
          <w:p w14:paraId="346EA784" w14:textId="77777777" w:rsidR="00F51113" w:rsidRPr="004C2DCD" w:rsidRDefault="00F51113">
            <w:pPr>
              <w:pStyle w:val="TableTextbold"/>
              <w:spacing w:before="40" w:after="40"/>
              <w:rPr>
                <w:b w:val="0"/>
                <w:bCs/>
                <w:lang w:val="en-NZ"/>
              </w:rPr>
            </w:pPr>
            <w:r w:rsidRPr="004C2DCD">
              <w:rPr>
                <w:b w:val="0"/>
                <w:bCs/>
                <w:lang w:val="en-NZ"/>
              </w:rPr>
              <w:t>2010–50</w:t>
            </w:r>
          </w:p>
        </w:tc>
        <w:tc>
          <w:tcPr>
            <w:tcW w:w="1276" w:type="dxa"/>
          </w:tcPr>
          <w:p w14:paraId="141D5052" w14:textId="77777777" w:rsidR="00F51113" w:rsidRPr="004C2DCD" w:rsidRDefault="00F51113">
            <w:pPr>
              <w:pStyle w:val="TableTextbold"/>
              <w:spacing w:before="40" w:after="40"/>
              <w:rPr>
                <w:b w:val="0"/>
                <w:bCs/>
                <w:lang w:val="en-NZ"/>
              </w:rPr>
            </w:pPr>
            <w:r w:rsidRPr="004C2DCD">
              <w:rPr>
                <w:b w:val="0"/>
                <w:bCs/>
                <w:lang w:val="en-NZ"/>
              </w:rPr>
              <w:t>Energy</w:t>
            </w:r>
          </w:p>
        </w:tc>
        <w:tc>
          <w:tcPr>
            <w:tcW w:w="3856" w:type="dxa"/>
          </w:tcPr>
          <w:p w14:paraId="439F0A58" w14:textId="77777777" w:rsidR="00F51113" w:rsidRPr="004C2DCD" w:rsidRDefault="00F51113">
            <w:pPr>
              <w:pStyle w:val="TableTextbold"/>
              <w:spacing w:before="40" w:after="40"/>
              <w:rPr>
                <w:b w:val="0"/>
                <w:bCs/>
                <w:lang w:val="en-NZ"/>
              </w:rPr>
            </w:pPr>
            <w:r w:rsidRPr="004C2DCD">
              <w:rPr>
                <w:b w:val="0"/>
                <w:bCs/>
                <w:lang w:val="en-NZ"/>
              </w:rPr>
              <w:t>NZ ETS price added to fuel costs for demand and generation modelling.</w:t>
            </w:r>
          </w:p>
        </w:tc>
      </w:tr>
      <w:tr w:rsidR="00F51113" w:rsidRPr="004C2DCD" w14:paraId="554D4DF0" w14:textId="77777777">
        <w:tc>
          <w:tcPr>
            <w:tcW w:w="1843" w:type="dxa"/>
          </w:tcPr>
          <w:p w14:paraId="47830987" w14:textId="77777777" w:rsidR="00F51113" w:rsidRPr="004C2DCD" w:rsidRDefault="00F51113">
            <w:pPr>
              <w:pStyle w:val="TableTextbold"/>
              <w:spacing w:before="40" w:after="40"/>
              <w:rPr>
                <w:b w:val="0"/>
                <w:bCs/>
                <w:szCs w:val="18"/>
                <w:lang w:val="en-NZ"/>
              </w:rPr>
            </w:pPr>
            <w:r w:rsidRPr="004C2DCD">
              <w:rPr>
                <w:b w:val="0"/>
                <w:bCs/>
                <w:lang w:val="en-NZ"/>
              </w:rPr>
              <w:t xml:space="preserve">Electrify NZ </w:t>
            </w:r>
          </w:p>
        </w:tc>
        <w:tc>
          <w:tcPr>
            <w:tcW w:w="1559" w:type="dxa"/>
          </w:tcPr>
          <w:p w14:paraId="09116606" w14:textId="77777777" w:rsidR="00F51113" w:rsidRPr="004C2DCD" w:rsidRDefault="00F51113">
            <w:pPr>
              <w:pStyle w:val="TableTextbold"/>
              <w:spacing w:before="40" w:after="40"/>
              <w:rPr>
                <w:rFonts w:cs="Calibri"/>
                <w:b w:val="0"/>
                <w:bCs/>
                <w:szCs w:val="18"/>
                <w:lang w:val="en-NZ"/>
              </w:rPr>
            </w:pPr>
            <w:r w:rsidRPr="004C2DCD">
              <w:rPr>
                <w:b w:val="0"/>
                <w:bCs/>
                <w:lang w:val="en-NZ"/>
              </w:rPr>
              <w:t>2025–50</w:t>
            </w:r>
          </w:p>
        </w:tc>
        <w:tc>
          <w:tcPr>
            <w:tcW w:w="1276" w:type="dxa"/>
          </w:tcPr>
          <w:p w14:paraId="7B83AFD2" w14:textId="77777777" w:rsidR="00F51113" w:rsidRPr="004C2DCD" w:rsidRDefault="00F51113">
            <w:pPr>
              <w:pStyle w:val="TableTextbold"/>
              <w:spacing w:before="40" w:after="40"/>
              <w:rPr>
                <w:rFonts w:cs="Calibri"/>
                <w:b w:val="0"/>
                <w:bCs/>
                <w:szCs w:val="18"/>
                <w:lang w:val="en-NZ"/>
              </w:rPr>
            </w:pPr>
            <w:r w:rsidRPr="004C2DCD">
              <w:rPr>
                <w:b w:val="0"/>
                <w:bCs/>
                <w:lang w:val="en-NZ"/>
              </w:rPr>
              <w:t xml:space="preserve">Energy </w:t>
            </w:r>
          </w:p>
        </w:tc>
        <w:tc>
          <w:tcPr>
            <w:tcW w:w="3856" w:type="dxa"/>
          </w:tcPr>
          <w:p w14:paraId="05FCFB9C" w14:textId="77777777" w:rsidR="00F51113" w:rsidRPr="004C2DCD" w:rsidRDefault="00F51113">
            <w:pPr>
              <w:pStyle w:val="TableTextbold"/>
              <w:spacing w:before="40" w:after="40"/>
              <w:rPr>
                <w:rFonts w:cs="Calibri"/>
                <w:b w:val="0"/>
                <w:bCs/>
                <w:szCs w:val="18"/>
                <w:lang w:val="en-NZ"/>
              </w:rPr>
            </w:pPr>
            <w:r w:rsidRPr="004C2DCD">
              <w:rPr>
                <w:b w:val="0"/>
                <w:bCs/>
                <w:lang w:val="en-NZ"/>
              </w:rPr>
              <w:t>Electrify NZ contains initiatives to support doubling renewable energy by 2050. We currently model reduction in consenting costs for plants not yet consented.</w:t>
            </w:r>
          </w:p>
        </w:tc>
      </w:tr>
      <w:tr w:rsidR="00F51113" w:rsidRPr="004C2DCD" w14:paraId="168CA9B7" w14:textId="77777777">
        <w:tc>
          <w:tcPr>
            <w:tcW w:w="1843" w:type="dxa"/>
          </w:tcPr>
          <w:p w14:paraId="11B3C7DB" w14:textId="77777777" w:rsidR="00F51113" w:rsidRPr="004C2DCD" w:rsidRDefault="00F51113">
            <w:pPr>
              <w:pStyle w:val="TableTextbold"/>
              <w:spacing w:before="40" w:after="40"/>
              <w:rPr>
                <w:b w:val="0"/>
                <w:bCs/>
                <w:szCs w:val="18"/>
                <w:lang w:val="en-NZ"/>
              </w:rPr>
            </w:pPr>
            <w:r w:rsidRPr="004C2DCD">
              <w:rPr>
                <w:b w:val="0"/>
                <w:bCs/>
                <w:lang w:val="en-NZ"/>
              </w:rPr>
              <w:t xml:space="preserve">Government Investment in Decarbonising Industry </w:t>
            </w:r>
          </w:p>
        </w:tc>
        <w:tc>
          <w:tcPr>
            <w:tcW w:w="1559" w:type="dxa"/>
          </w:tcPr>
          <w:p w14:paraId="3906E3F7" w14:textId="77777777" w:rsidR="00F51113" w:rsidRPr="004C2DCD" w:rsidRDefault="00F51113">
            <w:pPr>
              <w:pStyle w:val="TableTextbold"/>
              <w:spacing w:before="40" w:after="40"/>
              <w:rPr>
                <w:rFonts w:cs="Calibri"/>
                <w:b w:val="0"/>
                <w:bCs/>
                <w:szCs w:val="18"/>
                <w:lang w:val="en-NZ"/>
              </w:rPr>
            </w:pPr>
            <w:r w:rsidRPr="004C2DCD">
              <w:rPr>
                <w:b w:val="0"/>
                <w:bCs/>
                <w:lang w:val="en-NZ"/>
              </w:rPr>
              <w:t>2020–50</w:t>
            </w:r>
          </w:p>
        </w:tc>
        <w:tc>
          <w:tcPr>
            <w:tcW w:w="1276" w:type="dxa"/>
          </w:tcPr>
          <w:p w14:paraId="5864588A" w14:textId="77777777" w:rsidR="00F51113" w:rsidRPr="004C2DCD" w:rsidRDefault="00F51113">
            <w:pPr>
              <w:pStyle w:val="TableTextbold"/>
              <w:spacing w:before="40" w:after="40"/>
              <w:rPr>
                <w:rFonts w:cs="Calibri"/>
                <w:b w:val="0"/>
                <w:bCs/>
                <w:szCs w:val="18"/>
                <w:lang w:val="en-NZ"/>
              </w:rPr>
            </w:pPr>
            <w:r w:rsidRPr="004C2DCD">
              <w:rPr>
                <w:b w:val="0"/>
                <w:bCs/>
                <w:lang w:val="en-NZ"/>
              </w:rPr>
              <w:t>Energy</w:t>
            </w:r>
          </w:p>
        </w:tc>
        <w:tc>
          <w:tcPr>
            <w:tcW w:w="3856" w:type="dxa"/>
          </w:tcPr>
          <w:p w14:paraId="1CA58FDC" w14:textId="77777777" w:rsidR="00F51113" w:rsidRPr="004C2DCD" w:rsidRDefault="00F51113">
            <w:pPr>
              <w:pStyle w:val="TableTextbold"/>
              <w:spacing w:before="40" w:after="40"/>
              <w:rPr>
                <w:rFonts w:cs="Calibri"/>
                <w:b w:val="0"/>
                <w:bCs/>
                <w:lang w:val="en-NZ"/>
              </w:rPr>
            </w:pPr>
            <w:r w:rsidRPr="004C2DCD">
              <w:rPr>
                <w:b w:val="0"/>
                <w:bCs/>
                <w:lang w:val="en-NZ"/>
              </w:rPr>
              <w:t>This fund helped businesses with the upfront capital costs of energy efficiency initiatives as well as switching from fossil fuels to renewables to accelerate their decarbonisation goals. The fund is now closed but impacts remain.</w:t>
            </w:r>
          </w:p>
        </w:tc>
      </w:tr>
      <w:tr w:rsidR="00F51113" w:rsidRPr="004C2DCD" w14:paraId="4582F84F" w14:textId="77777777">
        <w:tc>
          <w:tcPr>
            <w:tcW w:w="1843" w:type="dxa"/>
          </w:tcPr>
          <w:p w14:paraId="2D578D33" w14:textId="77777777" w:rsidR="00F51113" w:rsidRPr="004C2DCD" w:rsidRDefault="00F51113">
            <w:pPr>
              <w:pStyle w:val="TableTextbold"/>
              <w:spacing w:before="40" w:after="40"/>
              <w:rPr>
                <w:b w:val="0"/>
                <w:bCs/>
                <w:szCs w:val="18"/>
                <w:lang w:val="en-NZ"/>
              </w:rPr>
            </w:pPr>
            <w:r w:rsidRPr="004C2DCD">
              <w:rPr>
                <w:b w:val="0"/>
                <w:bCs/>
                <w:lang w:val="en-NZ"/>
              </w:rPr>
              <w:t>National Direction on Greenhouse Gases – Industrial process heat</w:t>
            </w:r>
          </w:p>
        </w:tc>
        <w:tc>
          <w:tcPr>
            <w:tcW w:w="1559" w:type="dxa"/>
          </w:tcPr>
          <w:p w14:paraId="12D0AE74" w14:textId="77777777" w:rsidR="00F51113" w:rsidRPr="004C2DCD" w:rsidRDefault="00F51113">
            <w:pPr>
              <w:pStyle w:val="TableTextbold"/>
              <w:spacing w:before="40" w:after="40"/>
              <w:rPr>
                <w:rFonts w:cs="Calibri"/>
                <w:b w:val="0"/>
                <w:bCs/>
                <w:lang w:val="en-NZ"/>
              </w:rPr>
            </w:pPr>
            <w:r w:rsidRPr="004C2DCD">
              <w:rPr>
                <w:rFonts w:cs="Calibri"/>
                <w:b w:val="0"/>
                <w:bCs/>
                <w:lang w:val="en-NZ"/>
              </w:rPr>
              <w:t>2023–50</w:t>
            </w:r>
          </w:p>
        </w:tc>
        <w:tc>
          <w:tcPr>
            <w:tcW w:w="1276" w:type="dxa"/>
          </w:tcPr>
          <w:p w14:paraId="6AC15235" w14:textId="77777777" w:rsidR="00F51113" w:rsidRPr="004C2DCD" w:rsidRDefault="00F51113">
            <w:pPr>
              <w:pStyle w:val="TableTextbold"/>
              <w:spacing w:before="40" w:after="40"/>
              <w:rPr>
                <w:rFonts w:cs="Calibri"/>
                <w:b w:val="0"/>
                <w:bCs/>
                <w:szCs w:val="18"/>
                <w:lang w:val="en-NZ"/>
              </w:rPr>
            </w:pPr>
            <w:r w:rsidRPr="004C2DCD">
              <w:rPr>
                <w:b w:val="0"/>
                <w:bCs/>
                <w:lang w:val="en-NZ"/>
              </w:rPr>
              <w:t>Energy</w:t>
            </w:r>
          </w:p>
        </w:tc>
        <w:tc>
          <w:tcPr>
            <w:tcW w:w="3856" w:type="dxa"/>
          </w:tcPr>
          <w:p w14:paraId="157BB2B1" w14:textId="69E84DC3" w:rsidR="00F51113" w:rsidRPr="004C2DCD" w:rsidRDefault="00F51113">
            <w:pPr>
              <w:pStyle w:val="TableTextbold"/>
              <w:spacing w:before="40" w:after="40"/>
              <w:rPr>
                <w:rFonts w:cs="Calibri"/>
                <w:b w:val="0"/>
                <w:bCs/>
                <w:szCs w:val="18"/>
                <w:lang w:val="en-NZ"/>
              </w:rPr>
            </w:pPr>
            <w:r w:rsidRPr="004C2DCD">
              <w:rPr>
                <w:b w:val="0"/>
                <w:bCs/>
                <w:lang w:val="en-NZ"/>
              </w:rPr>
              <w:t>Policy direction to phase out coal use for low</w:t>
            </w:r>
            <w:r w:rsidR="00FB2CD3">
              <w:rPr>
                <w:b w:val="0"/>
                <w:bCs/>
                <w:lang w:val="en-NZ"/>
              </w:rPr>
              <w:t>-</w:t>
            </w:r>
            <w:r w:rsidRPr="004C2DCD">
              <w:rPr>
                <w:b w:val="0"/>
                <w:bCs/>
                <w:lang w:val="en-NZ"/>
              </w:rPr>
              <w:t xml:space="preserve"> to medium</w:t>
            </w:r>
            <w:r w:rsidR="00FB2CD3">
              <w:rPr>
                <w:b w:val="0"/>
                <w:bCs/>
                <w:lang w:val="en-NZ"/>
              </w:rPr>
              <w:t>-</w:t>
            </w:r>
            <w:r w:rsidRPr="004C2DCD">
              <w:rPr>
                <w:b w:val="0"/>
                <w:bCs/>
                <w:lang w:val="en-NZ"/>
              </w:rPr>
              <w:t>temperature process heat by 2037.</w:t>
            </w:r>
          </w:p>
        </w:tc>
      </w:tr>
      <w:tr w:rsidR="00F51113" w:rsidRPr="004C2DCD" w14:paraId="2C84949A" w14:textId="77777777">
        <w:tc>
          <w:tcPr>
            <w:tcW w:w="1843" w:type="dxa"/>
            <w:tcBorders>
              <w:bottom w:val="single" w:sz="4" w:space="0" w:color="1B556B" w:themeColor="text2"/>
            </w:tcBorders>
          </w:tcPr>
          <w:p w14:paraId="4C7CB787" w14:textId="77777777" w:rsidR="00F51113" w:rsidRPr="004C2DCD" w:rsidRDefault="00F51113">
            <w:pPr>
              <w:pStyle w:val="TableTextbold"/>
              <w:spacing w:before="40" w:after="40"/>
              <w:rPr>
                <w:b w:val="0"/>
                <w:bCs/>
                <w:lang w:val="en-NZ"/>
              </w:rPr>
            </w:pPr>
            <w:r w:rsidRPr="004C2DCD">
              <w:rPr>
                <w:b w:val="0"/>
                <w:bCs/>
                <w:lang w:val="en-NZ"/>
              </w:rPr>
              <w:t xml:space="preserve">Clean Car Discount Scheme </w:t>
            </w:r>
          </w:p>
        </w:tc>
        <w:tc>
          <w:tcPr>
            <w:tcW w:w="1559" w:type="dxa"/>
            <w:tcBorders>
              <w:bottom w:val="single" w:sz="4" w:space="0" w:color="1B556B" w:themeColor="text2"/>
            </w:tcBorders>
          </w:tcPr>
          <w:p w14:paraId="6799A529" w14:textId="77777777" w:rsidR="00F51113" w:rsidRPr="004C2DCD" w:rsidRDefault="00F51113">
            <w:pPr>
              <w:pStyle w:val="TableTextbold"/>
              <w:spacing w:before="40" w:after="40"/>
              <w:rPr>
                <w:rFonts w:cs="Calibri"/>
                <w:b w:val="0"/>
                <w:bCs/>
                <w:lang w:val="en-NZ"/>
              </w:rPr>
            </w:pPr>
            <w:r w:rsidRPr="004C2DCD">
              <w:rPr>
                <w:rFonts w:cs="Calibri"/>
                <w:b w:val="0"/>
                <w:bCs/>
                <w:lang w:val="en-NZ"/>
              </w:rPr>
              <w:t xml:space="preserve">2021–23 </w:t>
            </w:r>
          </w:p>
        </w:tc>
        <w:tc>
          <w:tcPr>
            <w:tcW w:w="1276" w:type="dxa"/>
            <w:tcBorders>
              <w:bottom w:val="single" w:sz="4" w:space="0" w:color="1B556B" w:themeColor="text2"/>
            </w:tcBorders>
          </w:tcPr>
          <w:p w14:paraId="0C61FE0C" w14:textId="77777777" w:rsidR="00F51113" w:rsidRPr="004C2DCD" w:rsidRDefault="00F51113">
            <w:pPr>
              <w:pStyle w:val="TableTextbold"/>
              <w:spacing w:before="40" w:after="40"/>
              <w:rPr>
                <w:rFonts w:cs="Calibri"/>
                <w:b w:val="0"/>
                <w:bCs/>
                <w:lang w:val="en-NZ"/>
              </w:rPr>
            </w:pPr>
            <w:r w:rsidRPr="004C2DCD">
              <w:rPr>
                <w:rFonts w:cs="Calibri"/>
                <w:b w:val="0"/>
                <w:bCs/>
                <w:lang w:val="en-NZ"/>
              </w:rPr>
              <w:t>Transport</w:t>
            </w:r>
          </w:p>
        </w:tc>
        <w:tc>
          <w:tcPr>
            <w:tcW w:w="3856" w:type="dxa"/>
            <w:tcBorders>
              <w:bottom w:val="single" w:sz="4" w:space="0" w:color="1B556B" w:themeColor="text2"/>
            </w:tcBorders>
          </w:tcPr>
          <w:p w14:paraId="265BD845" w14:textId="77777777" w:rsidR="00F51113" w:rsidRPr="004C2DCD" w:rsidRDefault="00F51113">
            <w:pPr>
              <w:pStyle w:val="TableTextbold"/>
              <w:spacing w:before="40" w:after="40"/>
              <w:rPr>
                <w:rFonts w:cs="Calibri"/>
                <w:b w:val="0"/>
                <w:bCs/>
                <w:lang w:val="en-NZ"/>
              </w:rPr>
            </w:pPr>
            <w:r w:rsidRPr="004C2DCD">
              <w:rPr>
                <w:rFonts w:cs="Calibri"/>
                <w:b w:val="0"/>
                <w:bCs/>
                <w:lang w:val="en-NZ"/>
              </w:rPr>
              <w:t xml:space="preserve">This policy is no longer in place. </w:t>
            </w:r>
          </w:p>
        </w:tc>
      </w:tr>
      <w:tr w:rsidR="00F51113" w:rsidRPr="004C2DCD" w14:paraId="6E32B412" w14:textId="77777777">
        <w:tc>
          <w:tcPr>
            <w:tcW w:w="1843" w:type="dxa"/>
            <w:tcBorders>
              <w:bottom w:val="single" w:sz="4" w:space="0" w:color="1B556B" w:themeColor="text2"/>
            </w:tcBorders>
          </w:tcPr>
          <w:p w14:paraId="7545A0FF" w14:textId="77777777" w:rsidR="00F51113" w:rsidRPr="004C2DCD" w:rsidRDefault="00F51113">
            <w:pPr>
              <w:pStyle w:val="TableTextbold"/>
              <w:spacing w:before="40" w:after="40"/>
              <w:rPr>
                <w:b w:val="0"/>
                <w:bCs/>
                <w:lang w:val="en-NZ"/>
              </w:rPr>
            </w:pPr>
            <w:r w:rsidRPr="004C2DCD">
              <w:rPr>
                <w:b w:val="0"/>
                <w:bCs/>
                <w:lang w:val="en-NZ"/>
              </w:rPr>
              <w:t xml:space="preserve">Clean Car Standard </w:t>
            </w:r>
          </w:p>
        </w:tc>
        <w:tc>
          <w:tcPr>
            <w:tcW w:w="1559" w:type="dxa"/>
            <w:tcBorders>
              <w:bottom w:val="single" w:sz="4" w:space="0" w:color="1B556B" w:themeColor="text2"/>
            </w:tcBorders>
          </w:tcPr>
          <w:p w14:paraId="0B3E5AAA" w14:textId="77777777" w:rsidR="00F51113" w:rsidRPr="004C2DCD" w:rsidRDefault="00F51113">
            <w:pPr>
              <w:pStyle w:val="TableTextbold"/>
              <w:spacing w:before="40" w:after="40"/>
              <w:rPr>
                <w:rFonts w:cs="Calibri"/>
                <w:b w:val="0"/>
                <w:bCs/>
                <w:lang w:val="en-NZ"/>
              </w:rPr>
            </w:pPr>
            <w:r w:rsidRPr="004C2DCD">
              <w:rPr>
                <w:rFonts w:cs="Calibri"/>
                <w:b w:val="0"/>
                <w:bCs/>
                <w:lang w:val="en-NZ"/>
              </w:rPr>
              <w:t>2023–40</w:t>
            </w:r>
          </w:p>
        </w:tc>
        <w:tc>
          <w:tcPr>
            <w:tcW w:w="1276" w:type="dxa"/>
            <w:tcBorders>
              <w:bottom w:val="single" w:sz="4" w:space="0" w:color="1B556B" w:themeColor="text2"/>
            </w:tcBorders>
          </w:tcPr>
          <w:p w14:paraId="7228E154" w14:textId="77777777" w:rsidR="00F51113" w:rsidRPr="004C2DCD" w:rsidRDefault="00F51113">
            <w:pPr>
              <w:pStyle w:val="TableTextbold"/>
              <w:spacing w:before="40" w:after="40"/>
              <w:rPr>
                <w:rFonts w:cs="Calibri"/>
                <w:b w:val="0"/>
                <w:bCs/>
                <w:lang w:val="en-NZ"/>
              </w:rPr>
            </w:pPr>
            <w:r w:rsidRPr="004C2DCD">
              <w:rPr>
                <w:rFonts w:cs="Calibri"/>
                <w:b w:val="0"/>
                <w:bCs/>
                <w:lang w:val="en-NZ"/>
              </w:rPr>
              <w:t>Transport</w:t>
            </w:r>
          </w:p>
        </w:tc>
        <w:tc>
          <w:tcPr>
            <w:tcW w:w="3856" w:type="dxa"/>
            <w:tcBorders>
              <w:bottom w:val="single" w:sz="4" w:space="0" w:color="1B556B" w:themeColor="text2"/>
            </w:tcBorders>
          </w:tcPr>
          <w:p w14:paraId="25594ED9" w14:textId="0FFC1220" w:rsidR="00F51113" w:rsidRPr="004C2DCD" w:rsidRDefault="00F51113">
            <w:pPr>
              <w:pStyle w:val="TableTextbold"/>
              <w:spacing w:before="40" w:after="40"/>
              <w:rPr>
                <w:rFonts w:cs="Calibri"/>
                <w:b w:val="0"/>
                <w:bCs/>
                <w:lang w:val="en-NZ"/>
              </w:rPr>
            </w:pPr>
            <w:r w:rsidRPr="004C2DCD">
              <w:rPr>
                <w:rFonts w:cs="Calibri"/>
                <w:b w:val="0"/>
                <w:bCs/>
                <w:lang w:val="en-NZ"/>
              </w:rPr>
              <w:t xml:space="preserve">The </w:t>
            </w:r>
            <w:r w:rsidR="00FB2CD3">
              <w:rPr>
                <w:rFonts w:cs="Calibri"/>
                <w:b w:val="0"/>
                <w:bCs/>
                <w:lang w:val="en-NZ"/>
              </w:rPr>
              <w:t>s</w:t>
            </w:r>
            <w:r w:rsidRPr="004C2DCD">
              <w:rPr>
                <w:rFonts w:cs="Calibri"/>
                <w:b w:val="0"/>
                <w:bCs/>
                <w:lang w:val="en-NZ"/>
              </w:rPr>
              <w:t>tandard was reviewed in 2024 and the revised settings will be applied from 2025.</w:t>
            </w:r>
          </w:p>
        </w:tc>
      </w:tr>
      <w:tr w:rsidR="00F51113" w:rsidRPr="004C2DCD" w14:paraId="4547A680" w14:textId="77777777">
        <w:tc>
          <w:tcPr>
            <w:tcW w:w="1843" w:type="dxa"/>
            <w:tcBorders>
              <w:bottom w:val="single" w:sz="4" w:space="0" w:color="1B556B" w:themeColor="text2"/>
            </w:tcBorders>
          </w:tcPr>
          <w:p w14:paraId="2A32FD31" w14:textId="2193287F" w:rsidR="00F51113" w:rsidRPr="004C2DCD" w:rsidRDefault="00F51113">
            <w:pPr>
              <w:pStyle w:val="TableText"/>
              <w:spacing w:before="40" w:after="40"/>
              <w:rPr>
                <w:lang w:val="en-NZ"/>
              </w:rPr>
            </w:pPr>
            <w:r w:rsidRPr="004C2DCD">
              <w:rPr>
                <w:lang w:val="en-NZ"/>
              </w:rPr>
              <w:t xml:space="preserve">Road </w:t>
            </w:r>
            <w:r w:rsidR="00932762">
              <w:rPr>
                <w:lang w:val="en-NZ"/>
              </w:rPr>
              <w:t>u</w:t>
            </w:r>
            <w:r w:rsidRPr="004C2DCD">
              <w:rPr>
                <w:lang w:val="en-NZ"/>
              </w:rPr>
              <w:t xml:space="preserve">ser </w:t>
            </w:r>
            <w:r w:rsidR="00932762">
              <w:rPr>
                <w:lang w:val="en-NZ"/>
              </w:rPr>
              <w:t>c</w:t>
            </w:r>
            <w:r w:rsidRPr="004C2DCD">
              <w:rPr>
                <w:lang w:val="en-NZ"/>
              </w:rPr>
              <w:t>harges exemptions for electric vehicles</w:t>
            </w:r>
          </w:p>
        </w:tc>
        <w:tc>
          <w:tcPr>
            <w:tcW w:w="1559" w:type="dxa"/>
            <w:tcBorders>
              <w:bottom w:val="single" w:sz="4" w:space="0" w:color="1B556B" w:themeColor="text2"/>
            </w:tcBorders>
          </w:tcPr>
          <w:p w14:paraId="012814F3" w14:textId="77777777" w:rsidR="00F51113" w:rsidRPr="004C2DCD" w:rsidRDefault="00F51113">
            <w:pPr>
              <w:pStyle w:val="TableText"/>
              <w:spacing w:before="40" w:after="40"/>
              <w:rPr>
                <w:rFonts w:cs="Calibri"/>
                <w:lang w:val="en-NZ"/>
              </w:rPr>
            </w:pPr>
            <w:r w:rsidRPr="004C2DCD">
              <w:rPr>
                <w:rFonts w:cs="Calibri"/>
                <w:lang w:val="en-NZ"/>
              </w:rPr>
              <w:t xml:space="preserve">2021–24 for light </w:t>
            </w:r>
            <w:r w:rsidRPr="004C2DCD">
              <w:rPr>
                <w:rFonts w:eastAsia="Calibri" w:cs="Calibri"/>
                <w:szCs w:val="18"/>
                <w:lang w:val="en-NZ"/>
              </w:rPr>
              <w:t>electric vehicles</w:t>
            </w:r>
            <w:r w:rsidRPr="004C2DCD">
              <w:rPr>
                <w:rFonts w:cs="Calibri"/>
                <w:lang w:val="en-NZ"/>
              </w:rPr>
              <w:t xml:space="preserve"> (EVs)</w:t>
            </w:r>
          </w:p>
          <w:p w14:paraId="79B86113" w14:textId="77777777" w:rsidR="00F51113" w:rsidRPr="004C2DCD" w:rsidRDefault="00F51113">
            <w:pPr>
              <w:pStyle w:val="TableText"/>
              <w:spacing w:before="40" w:after="40"/>
              <w:rPr>
                <w:rFonts w:cs="Calibri"/>
                <w:lang w:val="en-NZ"/>
              </w:rPr>
            </w:pPr>
            <w:r w:rsidRPr="004C2DCD">
              <w:rPr>
                <w:rFonts w:cs="Calibri"/>
                <w:lang w:val="en-NZ"/>
              </w:rPr>
              <w:t>2021–25 for heavy EVs</w:t>
            </w:r>
          </w:p>
        </w:tc>
        <w:tc>
          <w:tcPr>
            <w:tcW w:w="1276" w:type="dxa"/>
            <w:tcBorders>
              <w:bottom w:val="single" w:sz="4" w:space="0" w:color="1B556B" w:themeColor="text2"/>
            </w:tcBorders>
          </w:tcPr>
          <w:p w14:paraId="31711BF4" w14:textId="77777777" w:rsidR="00F51113" w:rsidRPr="004C2DCD" w:rsidRDefault="00F51113">
            <w:pPr>
              <w:pStyle w:val="TableText"/>
              <w:spacing w:before="40" w:after="40"/>
              <w:rPr>
                <w:rFonts w:cs="Calibri"/>
                <w:lang w:val="en-NZ"/>
              </w:rPr>
            </w:pPr>
            <w:r w:rsidRPr="004C2DCD">
              <w:rPr>
                <w:rFonts w:cs="Calibri"/>
                <w:lang w:val="en-NZ"/>
              </w:rPr>
              <w:t>Transport</w:t>
            </w:r>
          </w:p>
        </w:tc>
        <w:tc>
          <w:tcPr>
            <w:tcW w:w="3856" w:type="dxa"/>
            <w:tcBorders>
              <w:bottom w:val="single" w:sz="4" w:space="0" w:color="1B556B" w:themeColor="text2"/>
            </w:tcBorders>
          </w:tcPr>
          <w:p w14:paraId="5B4A1D01" w14:textId="66EDFADB" w:rsidR="00F51113" w:rsidRPr="004C2DCD" w:rsidRDefault="00F51113">
            <w:pPr>
              <w:pStyle w:val="TableText"/>
              <w:spacing w:before="40" w:after="40"/>
              <w:rPr>
                <w:lang w:val="en-NZ"/>
              </w:rPr>
            </w:pPr>
            <w:r w:rsidRPr="004C2DCD">
              <w:rPr>
                <w:rFonts w:eastAsia="Calibri" w:cs="Calibri"/>
                <w:szCs w:val="18"/>
                <w:lang w:val="en-NZ"/>
              </w:rPr>
              <w:t xml:space="preserve">The </w:t>
            </w:r>
            <w:r w:rsidR="00FB2CD3">
              <w:rPr>
                <w:rFonts w:eastAsia="Calibri" w:cs="Calibri"/>
                <w:szCs w:val="18"/>
                <w:lang w:val="en-NZ"/>
              </w:rPr>
              <w:t>r</w:t>
            </w:r>
            <w:r w:rsidRPr="004C2DCD">
              <w:rPr>
                <w:rFonts w:eastAsia="Calibri" w:cs="Calibri"/>
                <w:szCs w:val="18"/>
                <w:lang w:val="en-NZ"/>
              </w:rPr>
              <w:t xml:space="preserve">oad </w:t>
            </w:r>
            <w:r w:rsidR="00FB2CD3">
              <w:rPr>
                <w:rFonts w:eastAsia="Calibri" w:cs="Calibri"/>
                <w:szCs w:val="18"/>
                <w:lang w:val="en-NZ"/>
              </w:rPr>
              <w:t>u</w:t>
            </w:r>
            <w:r w:rsidRPr="004C2DCD">
              <w:rPr>
                <w:rFonts w:eastAsia="Calibri" w:cs="Calibri"/>
                <w:szCs w:val="18"/>
                <w:lang w:val="en-NZ"/>
              </w:rPr>
              <w:t xml:space="preserve">ser </w:t>
            </w:r>
            <w:r w:rsidR="00FB2CD3">
              <w:rPr>
                <w:rFonts w:eastAsia="Calibri" w:cs="Calibri"/>
                <w:szCs w:val="18"/>
                <w:lang w:val="en-NZ"/>
              </w:rPr>
              <w:t>c</w:t>
            </w:r>
            <w:r w:rsidRPr="004C2DCD">
              <w:rPr>
                <w:rFonts w:eastAsia="Calibri" w:cs="Calibri"/>
                <w:szCs w:val="18"/>
                <w:lang w:val="en-NZ"/>
              </w:rPr>
              <w:t>harges exemption on light EVs ceased from 31 March 2024.</w:t>
            </w:r>
          </w:p>
        </w:tc>
      </w:tr>
      <w:tr w:rsidR="00F51113" w:rsidRPr="004C2DCD" w14:paraId="12E05A91" w14:textId="77777777">
        <w:tc>
          <w:tcPr>
            <w:tcW w:w="1843" w:type="dxa"/>
            <w:tcBorders>
              <w:bottom w:val="single" w:sz="4" w:space="0" w:color="1B556B" w:themeColor="text2"/>
            </w:tcBorders>
          </w:tcPr>
          <w:p w14:paraId="68CB4EFE" w14:textId="77777777" w:rsidR="00F51113" w:rsidRPr="004C2DCD" w:rsidRDefault="00F51113">
            <w:pPr>
              <w:pStyle w:val="TableText"/>
              <w:spacing w:before="40" w:after="40"/>
              <w:rPr>
                <w:lang w:val="en-NZ"/>
              </w:rPr>
            </w:pPr>
            <w:r w:rsidRPr="004C2DCD">
              <w:rPr>
                <w:lang w:val="en-NZ"/>
              </w:rPr>
              <w:t>Public transport bus decarbonisation</w:t>
            </w:r>
          </w:p>
        </w:tc>
        <w:tc>
          <w:tcPr>
            <w:tcW w:w="1559" w:type="dxa"/>
            <w:tcBorders>
              <w:bottom w:val="single" w:sz="4" w:space="0" w:color="1B556B" w:themeColor="text2"/>
            </w:tcBorders>
          </w:tcPr>
          <w:p w14:paraId="5AA265F3" w14:textId="77777777" w:rsidR="00F51113" w:rsidRPr="004C2DCD" w:rsidRDefault="00F51113">
            <w:pPr>
              <w:pStyle w:val="TableText"/>
              <w:spacing w:before="40" w:after="40"/>
              <w:rPr>
                <w:rFonts w:cs="Calibri"/>
                <w:lang w:val="en-NZ"/>
              </w:rPr>
            </w:pPr>
            <w:r w:rsidRPr="004C2DCD">
              <w:rPr>
                <w:rFonts w:cs="Calibri"/>
                <w:lang w:val="en-NZ"/>
              </w:rPr>
              <w:t>2021–35</w:t>
            </w:r>
          </w:p>
        </w:tc>
        <w:tc>
          <w:tcPr>
            <w:tcW w:w="1276" w:type="dxa"/>
            <w:tcBorders>
              <w:bottom w:val="single" w:sz="4" w:space="0" w:color="1B556B" w:themeColor="text2"/>
            </w:tcBorders>
          </w:tcPr>
          <w:p w14:paraId="232E08E6" w14:textId="77777777" w:rsidR="00F51113" w:rsidRPr="004C2DCD" w:rsidRDefault="00F51113">
            <w:pPr>
              <w:pStyle w:val="TableText"/>
              <w:spacing w:before="40" w:after="40"/>
              <w:rPr>
                <w:rFonts w:cs="Calibri"/>
                <w:lang w:val="en-NZ"/>
              </w:rPr>
            </w:pPr>
            <w:r w:rsidRPr="004C2DCD">
              <w:rPr>
                <w:rFonts w:cs="Calibri"/>
                <w:lang w:val="en-NZ"/>
              </w:rPr>
              <w:t>Transport</w:t>
            </w:r>
          </w:p>
        </w:tc>
        <w:tc>
          <w:tcPr>
            <w:tcW w:w="3856" w:type="dxa"/>
            <w:tcBorders>
              <w:bottom w:val="single" w:sz="4" w:space="0" w:color="1B556B" w:themeColor="text2"/>
            </w:tcBorders>
          </w:tcPr>
          <w:p w14:paraId="38182F6E" w14:textId="638DD226" w:rsidR="00F51113" w:rsidRPr="004C2DCD" w:rsidRDefault="00BC655B">
            <w:pPr>
              <w:pStyle w:val="TableText"/>
              <w:spacing w:before="40" w:after="40"/>
              <w:rPr>
                <w:rFonts w:cs="Calibri"/>
                <w:lang w:val="en-NZ"/>
              </w:rPr>
            </w:pPr>
            <w:r w:rsidRPr="004C2DCD">
              <w:rPr>
                <w:b/>
                <w:bCs/>
                <w:lang w:val="en-NZ"/>
              </w:rPr>
              <w:t>–</w:t>
            </w:r>
          </w:p>
        </w:tc>
      </w:tr>
      <w:tr w:rsidR="00F51113" w:rsidRPr="004C2DCD" w14:paraId="3083DE91" w14:textId="77777777">
        <w:tc>
          <w:tcPr>
            <w:tcW w:w="1843" w:type="dxa"/>
          </w:tcPr>
          <w:p w14:paraId="43FF2AB7" w14:textId="77777777" w:rsidR="00F51113" w:rsidRPr="004C2DCD" w:rsidRDefault="00F51113">
            <w:pPr>
              <w:pStyle w:val="TableText"/>
              <w:spacing w:before="40" w:after="40"/>
              <w:rPr>
                <w:lang w:val="en-NZ"/>
              </w:rPr>
            </w:pPr>
            <w:r w:rsidRPr="004C2DCD">
              <w:rPr>
                <w:lang w:val="en-NZ"/>
              </w:rPr>
              <w:t>NZ ETS</w:t>
            </w:r>
          </w:p>
        </w:tc>
        <w:tc>
          <w:tcPr>
            <w:tcW w:w="1559" w:type="dxa"/>
          </w:tcPr>
          <w:p w14:paraId="2F16979B" w14:textId="77777777" w:rsidR="00F51113" w:rsidRPr="004C2DCD" w:rsidRDefault="00F51113">
            <w:pPr>
              <w:pStyle w:val="TableText"/>
              <w:spacing w:before="40" w:after="40"/>
              <w:rPr>
                <w:rFonts w:cs="Calibri"/>
                <w:lang w:val="en-NZ"/>
              </w:rPr>
            </w:pPr>
            <w:r w:rsidRPr="004C2DCD">
              <w:rPr>
                <w:rFonts w:cs="Calibri"/>
                <w:lang w:val="en-NZ"/>
              </w:rPr>
              <w:t>2021–50</w:t>
            </w:r>
          </w:p>
        </w:tc>
        <w:tc>
          <w:tcPr>
            <w:tcW w:w="1276" w:type="dxa"/>
          </w:tcPr>
          <w:p w14:paraId="10C2E915" w14:textId="77777777" w:rsidR="00F51113" w:rsidRPr="004C2DCD" w:rsidRDefault="00F51113">
            <w:pPr>
              <w:pStyle w:val="TableText"/>
              <w:spacing w:before="40" w:after="40"/>
              <w:rPr>
                <w:rFonts w:cs="Calibri"/>
                <w:lang w:val="en-NZ"/>
              </w:rPr>
            </w:pPr>
            <w:r w:rsidRPr="004C2DCD">
              <w:rPr>
                <w:rFonts w:cs="Calibri"/>
                <w:lang w:val="en-NZ"/>
              </w:rPr>
              <w:t>Transport</w:t>
            </w:r>
          </w:p>
        </w:tc>
        <w:tc>
          <w:tcPr>
            <w:tcW w:w="3856" w:type="dxa"/>
          </w:tcPr>
          <w:p w14:paraId="207480F4" w14:textId="77777777" w:rsidR="00F51113" w:rsidRPr="004C2DCD" w:rsidRDefault="00F51113">
            <w:pPr>
              <w:pStyle w:val="TableText"/>
              <w:spacing w:before="40" w:after="40"/>
              <w:rPr>
                <w:rFonts w:cs="Calibri"/>
                <w:lang w:val="en-NZ"/>
              </w:rPr>
            </w:pPr>
            <w:r w:rsidRPr="004C2DCD">
              <w:rPr>
                <w:rFonts w:cs="Calibri"/>
                <w:lang w:val="en-NZ"/>
              </w:rPr>
              <w:t>The NZ ETS is incorporated into transport fuel costs. Its impact on gross transport emissions is estimated through its effects on EV uptake and travel demand.</w:t>
            </w:r>
          </w:p>
        </w:tc>
      </w:tr>
      <w:tr w:rsidR="00F51113" w:rsidRPr="004C2DCD" w14:paraId="4AC4CEC0" w14:textId="77777777">
        <w:tc>
          <w:tcPr>
            <w:tcW w:w="1843" w:type="dxa"/>
          </w:tcPr>
          <w:p w14:paraId="4DFE36EB" w14:textId="77777777" w:rsidR="00F51113" w:rsidRPr="004C2DCD" w:rsidRDefault="00F51113" w:rsidP="00BB5CAE">
            <w:pPr>
              <w:pStyle w:val="TableText"/>
              <w:keepNext/>
              <w:spacing w:before="40" w:after="40"/>
              <w:rPr>
                <w:rFonts w:asciiTheme="minorHAnsi" w:hAnsiTheme="minorHAnsi" w:cstheme="minorHAnsi"/>
                <w:szCs w:val="18"/>
                <w:lang w:val="en-NZ"/>
              </w:rPr>
            </w:pPr>
            <w:r w:rsidRPr="004C2DCD">
              <w:rPr>
                <w:lang w:val="en-NZ"/>
              </w:rPr>
              <w:t>NZ ETS</w:t>
            </w:r>
          </w:p>
        </w:tc>
        <w:tc>
          <w:tcPr>
            <w:tcW w:w="1559" w:type="dxa"/>
          </w:tcPr>
          <w:p w14:paraId="2C8DB1D6" w14:textId="77777777" w:rsidR="00F51113" w:rsidRPr="004C2DCD" w:rsidRDefault="00F51113">
            <w:pPr>
              <w:pStyle w:val="TableText"/>
              <w:spacing w:before="40" w:after="40"/>
              <w:rPr>
                <w:rFonts w:cs="Calibri"/>
                <w:szCs w:val="18"/>
                <w:lang w:val="en-NZ"/>
              </w:rPr>
            </w:pPr>
            <w:r w:rsidRPr="004C2DCD">
              <w:rPr>
                <w:rFonts w:cs="Calibri"/>
                <w:szCs w:val="18"/>
                <w:lang w:val="en-NZ"/>
              </w:rPr>
              <w:t>2023–50</w:t>
            </w:r>
          </w:p>
        </w:tc>
        <w:tc>
          <w:tcPr>
            <w:tcW w:w="1276" w:type="dxa"/>
          </w:tcPr>
          <w:p w14:paraId="52EC17C3" w14:textId="77777777" w:rsidR="00F51113" w:rsidRPr="004C2DCD" w:rsidRDefault="00F51113">
            <w:pPr>
              <w:pStyle w:val="TableText"/>
              <w:spacing w:before="40" w:after="40"/>
              <w:rPr>
                <w:rFonts w:cs="Calibri"/>
                <w:szCs w:val="18"/>
                <w:lang w:val="en-NZ"/>
              </w:rPr>
            </w:pPr>
            <w:r w:rsidRPr="004C2DCD">
              <w:rPr>
                <w:rFonts w:cs="Calibri"/>
                <w:szCs w:val="18"/>
                <w:lang w:val="en-NZ"/>
              </w:rPr>
              <w:t>Agriculture</w:t>
            </w:r>
          </w:p>
        </w:tc>
        <w:tc>
          <w:tcPr>
            <w:tcW w:w="3856" w:type="dxa"/>
          </w:tcPr>
          <w:p w14:paraId="46587672" w14:textId="77777777" w:rsidR="00F51113" w:rsidRPr="004C2DCD" w:rsidRDefault="00F51113">
            <w:pPr>
              <w:pStyle w:val="TableText"/>
              <w:spacing w:before="40" w:after="40"/>
              <w:rPr>
                <w:rFonts w:cs="Calibri"/>
                <w:szCs w:val="18"/>
                <w:lang w:val="en-NZ"/>
              </w:rPr>
            </w:pPr>
            <w:r w:rsidRPr="004C2DCD">
              <w:rPr>
                <w:rFonts w:cs="Calibri"/>
                <w:szCs w:val="18"/>
                <w:lang w:val="en-NZ"/>
              </w:rPr>
              <w:t>The impact of the NZ ETS price is entirely based on the impact of the NZ ETS on forestry (ie, the incentive to afforest under the NZ ETS), and the resulting land-use change from agriculture to forestry land use.</w:t>
            </w:r>
          </w:p>
        </w:tc>
      </w:tr>
      <w:tr w:rsidR="00F51113" w:rsidRPr="004C2DCD" w14:paraId="35BB5A33" w14:textId="77777777">
        <w:tc>
          <w:tcPr>
            <w:tcW w:w="1843" w:type="dxa"/>
          </w:tcPr>
          <w:p w14:paraId="7B3C85B2" w14:textId="77777777" w:rsidR="00F51113" w:rsidRPr="004C2DCD" w:rsidRDefault="00F51113">
            <w:pPr>
              <w:pStyle w:val="TableText"/>
              <w:spacing w:before="40" w:after="40"/>
              <w:rPr>
                <w:rFonts w:asciiTheme="minorHAnsi" w:hAnsiTheme="minorHAnsi" w:cstheme="minorHAnsi"/>
                <w:szCs w:val="18"/>
                <w:lang w:val="en-NZ"/>
              </w:rPr>
            </w:pPr>
            <w:r w:rsidRPr="004C2DCD">
              <w:rPr>
                <w:rFonts w:asciiTheme="minorHAnsi" w:hAnsiTheme="minorHAnsi" w:cstheme="minorHAnsi"/>
                <w:lang w:val="en-NZ"/>
              </w:rPr>
              <w:t xml:space="preserve">Other forestry programmes </w:t>
            </w:r>
          </w:p>
        </w:tc>
        <w:tc>
          <w:tcPr>
            <w:tcW w:w="1559" w:type="dxa"/>
          </w:tcPr>
          <w:p w14:paraId="5BE1F7B9" w14:textId="77777777" w:rsidR="00F51113" w:rsidRPr="004C2DCD" w:rsidRDefault="00F51113">
            <w:pPr>
              <w:pStyle w:val="TableText"/>
              <w:spacing w:before="40" w:after="40"/>
              <w:rPr>
                <w:rFonts w:cs="Calibri"/>
                <w:szCs w:val="18"/>
                <w:lang w:val="en-NZ"/>
              </w:rPr>
            </w:pPr>
            <w:r w:rsidRPr="004C2DCD">
              <w:rPr>
                <w:rFonts w:cs="Calibri"/>
                <w:szCs w:val="18"/>
                <w:lang w:val="en-NZ"/>
              </w:rPr>
              <w:t>1990–2027</w:t>
            </w:r>
          </w:p>
        </w:tc>
        <w:tc>
          <w:tcPr>
            <w:tcW w:w="1276" w:type="dxa"/>
          </w:tcPr>
          <w:p w14:paraId="06E94A01" w14:textId="77777777" w:rsidR="00F51113" w:rsidRPr="004C2DCD" w:rsidRDefault="00F51113">
            <w:pPr>
              <w:pStyle w:val="TableText"/>
              <w:spacing w:before="40" w:after="40"/>
              <w:rPr>
                <w:rFonts w:cs="Calibri"/>
                <w:szCs w:val="18"/>
                <w:lang w:val="en-NZ"/>
              </w:rPr>
            </w:pPr>
            <w:r w:rsidRPr="004C2DCD">
              <w:rPr>
                <w:rFonts w:cs="Calibri"/>
                <w:szCs w:val="18"/>
                <w:lang w:val="en-NZ"/>
              </w:rPr>
              <w:t>Agriculture</w:t>
            </w:r>
          </w:p>
        </w:tc>
        <w:tc>
          <w:tcPr>
            <w:tcW w:w="3856" w:type="dxa"/>
          </w:tcPr>
          <w:p w14:paraId="3EC8BB04" w14:textId="77777777" w:rsidR="00F51113" w:rsidRPr="004C2DCD" w:rsidRDefault="00F51113">
            <w:pPr>
              <w:pStyle w:val="TableText"/>
              <w:spacing w:before="40" w:after="40"/>
              <w:rPr>
                <w:rFonts w:cs="Calibri"/>
                <w:szCs w:val="18"/>
                <w:lang w:val="en-NZ"/>
              </w:rPr>
            </w:pPr>
            <w:r w:rsidRPr="75ADBAC8">
              <w:rPr>
                <w:rFonts w:cs="Calibri"/>
                <w:lang w:val="en-NZ"/>
              </w:rPr>
              <w:t>Includes: direct grants and partnerships (eg, One Billion Trees Programme</w:t>
            </w:r>
            <w:r w:rsidRPr="004C2DCD">
              <w:rPr>
                <w:rStyle w:val="FootnoteReference"/>
                <w:rFonts w:cs="Calibri"/>
                <w:sz w:val="18"/>
                <w:szCs w:val="18"/>
                <w:lang w:val="en-NZ"/>
              </w:rPr>
              <w:footnoteReference w:id="180"/>
            </w:r>
            <w:r w:rsidRPr="75ADBAC8">
              <w:rPr>
                <w:rFonts w:cs="Calibri"/>
                <w:lang w:val="en-NZ"/>
              </w:rPr>
              <w:t>), joint ventures, Afforestation Grant Scheme, Hill Country Erosion Programme, Permanent Forest Sink Initiative and the Erosion Control Funding Programme.</w:t>
            </w:r>
          </w:p>
        </w:tc>
      </w:tr>
      <w:tr w:rsidR="00F51113" w:rsidRPr="004C2DCD" w14:paraId="7521386E" w14:textId="77777777">
        <w:tc>
          <w:tcPr>
            <w:tcW w:w="1843" w:type="dxa"/>
          </w:tcPr>
          <w:p w14:paraId="6F8036E2" w14:textId="6C399BCA" w:rsidR="00F51113" w:rsidRPr="004C2DCD" w:rsidRDefault="000B1FC1">
            <w:pPr>
              <w:pStyle w:val="TableText"/>
              <w:spacing w:before="40" w:after="40"/>
              <w:rPr>
                <w:rFonts w:asciiTheme="minorHAnsi" w:hAnsiTheme="minorHAnsi" w:cstheme="minorHAnsi"/>
                <w:szCs w:val="18"/>
                <w:lang w:val="en-NZ"/>
              </w:rPr>
            </w:pPr>
            <w:r w:rsidRPr="006242AF">
              <w:rPr>
                <w:rFonts w:asciiTheme="minorHAnsi" w:hAnsiTheme="minorHAnsi" w:cstheme="minorHAnsi"/>
                <w:lang w:val="en-NZ"/>
              </w:rPr>
              <w:t>Regulations to manage freshwater introduced under the Essential Freshwater package</w:t>
            </w:r>
          </w:p>
        </w:tc>
        <w:tc>
          <w:tcPr>
            <w:tcW w:w="1559" w:type="dxa"/>
          </w:tcPr>
          <w:p w14:paraId="24C66C92" w14:textId="77777777" w:rsidR="00F51113" w:rsidRPr="004C2DCD" w:rsidRDefault="00F51113">
            <w:pPr>
              <w:pStyle w:val="TableText"/>
              <w:spacing w:before="40" w:after="40"/>
              <w:rPr>
                <w:rFonts w:cs="Calibri"/>
                <w:szCs w:val="18"/>
                <w:lang w:val="en-NZ"/>
              </w:rPr>
            </w:pPr>
            <w:r w:rsidRPr="004C2DCD">
              <w:rPr>
                <w:rFonts w:cs="Calibri"/>
                <w:szCs w:val="18"/>
                <w:lang w:val="en-NZ"/>
              </w:rPr>
              <w:t>2028–38</w:t>
            </w:r>
          </w:p>
        </w:tc>
        <w:tc>
          <w:tcPr>
            <w:tcW w:w="1276" w:type="dxa"/>
          </w:tcPr>
          <w:p w14:paraId="6B3FE93D" w14:textId="77777777" w:rsidR="00F51113" w:rsidRPr="004C2DCD" w:rsidRDefault="00F51113">
            <w:pPr>
              <w:pStyle w:val="TableText"/>
              <w:spacing w:before="40" w:after="40"/>
              <w:rPr>
                <w:rFonts w:cs="Calibri"/>
                <w:szCs w:val="18"/>
                <w:lang w:val="en-NZ"/>
              </w:rPr>
            </w:pPr>
            <w:r w:rsidRPr="004C2DCD">
              <w:rPr>
                <w:rFonts w:cs="Calibri"/>
                <w:szCs w:val="18"/>
                <w:lang w:val="en-NZ"/>
              </w:rPr>
              <w:t>Agriculture</w:t>
            </w:r>
          </w:p>
        </w:tc>
        <w:tc>
          <w:tcPr>
            <w:tcW w:w="3856" w:type="dxa"/>
          </w:tcPr>
          <w:p w14:paraId="0DE3BEF3" w14:textId="77777777" w:rsidR="00F51113" w:rsidRPr="004C2DCD" w:rsidRDefault="00F51113">
            <w:pPr>
              <w:pStyle w:val="TableText"/>
              <w:spacing w:before="40" w:after="40"/>
              <w:rPr>
                <w:rFonts w:cs="Calibri"/>
                <w:szCs w:val="18"/>
                <w:lang w:val="en-NZ"/>
              </w:rPr>
            </w:pPr>
            <w:r w:rsidRPr="004C2DCD">
              <w:rPr>
                <w:rFonts w:cs="Calibri"/>
                <w:szCs w:val="18"/>
                <w:lang w:val="en-NZ"/>
              </w:rPr>
              <w:t>The impacts on agricultural emissions resulting from this package include: reductions in dairy area to reduce nitrogen pollution; reductions in the use of nitrogen fertiliser; and setback requirements to exclude stock from rivers.</w:t>
            </w:r>
          </w:p>
        </w:tc>
      </w:tr>
      <w:tr w:rsidR="00F51113" w:rsidRPr="004C2DCD" w14:paraId="06528D44" w14:textId="77777777">
        <w:tc>
          <w:tcPr>
            <w:tcW w:w="1843" w:type="dxa"/>
          </w:tcPr>
          <w:p w14:paraId="167ED118" w14:textId="77777777" w:rsidR="00F51113" w:rsidRPr="004C2DCD" w:rsidRDefault="00F51113">
            <w:pPr>
              <w:pStyle w:val="TableText"/>
              <w:spacing w:before="40" w:after="40"/>
              <w:rPr>
                <w:rFonts w:asciiTheme="minorHAnsi" w:hAnsiTheme="minorHAnsi" w:cstheme="minorHAnsi"/>
                <w:szCs w:val="18"/>
                <w:lang w:val="en-NZ"/>
              </w:rPr>
            </w:pPr>
            <w:r w:rsidRPr="004C2DCD">
              <w:rPr>
                <w:rFonts w:asciiTheme="minorHAnsi" w:hAnsiTheme="minorHAnsi" w:cstheme="minorHAnsi"/>
                <w:lang w:val="en-NZ"/>
              </w:rPr>
              <w:t xml:space="preserve">Cap on synthetic nitrogen fertilisers </w:t>
            </w:r>
          </w:p>
        </w:tc>
        <w:tc>
          <w:tcPr>
            <w:tcW w:w="1559" w:type="dxa"/>
          </w:tcPr>
          <w:p w14:paraId="1A284662" w14:textId="77777777" w:rsidR="00F51113" w:rsidRPr="004C2DCD" w:rsidRDefault="00F51113">
            <w:pPr>
              <w:pStyle w:val="TableText"/>
              <w:spacing w:before="40" w:after="40"/>
              <w:rPr>
                <w:rFonts w:cs="Calibri"/>
                <w:szCs w:val="18"/>
                <w:lang w:val="en-NZ"/>
              </w:rPr>
            </w:pPr>
            <w:r w:rsidRPr="004C2DCD">
              <w:rPr>
                <w:rFonts w:cs="Calibri"/>
                <w:szCs w:val="18"/>
                <w:lang w:val="en-NZ"/>
              </w:rPr>
              <w:t>2028–38</w:t>
            </w:r>
          </w:p>
        </w:tc>
        <w:tc>
          <w:tcPr>
            <w:tcW w:w="1276" w:type="dxa"/>
          </w:tcPr>
          <w:p w14:paraId="1620EE14" w14:textId="77777777" w:rsidR="00F51113" w:rsidRPr="004C2DCD" w:rsidRDefault="00F51113">
            <w:pPr>
              <w:pStyle w:val="TableText"/>
              <w:spacing w:before="40" w:after="40"/>
              <w:rPr>
                <w:rFonts w:cs="Calibri"/>
                <w:szCs w:val="18"/>
                <w:lang w:val="en-NZ"/>
              </w:rPr>
            </w:pPr>
            <w:r w:rsidRPr="004C2DCD">
              <w:rPr>
                <w:rFonts w:cs="Calibri"/>
                <w:szCs w:val="18"/>
                <w:lang w:val="en-NZ"/>
              </w:rPr>
              <w:t>Agriculture</w:t>
            </w:r>
          </w:p>
        </w:tc>
        <w:tc>
          <w:tcPr>
            <w:tcW w:w="3856" w:type="dxa"/>
          </w:tcPr>
          <w:p w14:paraId="085A2BE4" w14:textId="77777777" w:rsidR="00F51113" w:rsidRPr="004C2DCD" w:rsidRDefault="00F51113">
            <w:pPr>
              <w:pStyle w:val="TableText"/>
              <w:spacing w:before="40" w:after="40"/>
              <w:rPr>
                <w:rFonts w:cs="Calibri"/>
                <w:szCs w:val="18"/>
                <w:lang w:val="en-NZ"/>
              </w:rPr>
            </w:pPr>
            <w:r w:rsidRPr="004C2DCD">
              <w:rPr>
                <w:rFonts w:cs="Calibri"/>
                <w:szCs w:val="18"/>
                <w:lang w:val="en-NZ"/>
              </w:rPr>
              <w:t xml:space="preserve">A cap on the use of synthetic nitrogen fertiliser applied on any contiguous parcel of pastoral land, of 190 kilogram per hectare per year. The modelling accounts for overlap between the Essential Freshwater package and the cap on synthetic nitrogen fertiliser. </w:t>
            </w:r>
          </w:p>
        </w:tc>
      </w:tr>
      <w:tr w:rsidR="00F51113" w:rsidRPr="004C2DCD" w14:paraId="01DBC92A" w14:textId="77777777">
        <w:tc>
          <w:tcPr>
            <w:tcW w:w="1843" w:type="dxa"/>
          </w:tcPr>
          <w:p w14:paraId="28022F77" w14:textId="77777777" w:rsidR="00F51113" w:rsidRPr="004C2DCD" w:rsidRDefault="00F51113">
            <w:pPr>
              <w:pStyle w:val="TableText"/>
              <w:spacing w:before="40" w:after="40"/>
              <w:rPr>
                <w:lang w:val="en-NZ"/>
              </w:rPr>
            </w:pPr>
            <w:r w:rsidRPr="004C2DCD">
              <w:rPr>
                <w:lang w:val="en-NZ"/>
              </w:rPr>
              <w:t>National Environmental Standard for Air Quality (landfill methane)</w:t>
            </w:r>
          </w:p>
        </w:tc>
        <w:tc>
          <w:tcPr>
            <w:tcW w:w="1559" w:type="dxa"/>
          </w:tcPr>
          <w:p w14:paraId="76E39FD3" w14:textId="77777777" w:rsidR="00F51113" w:rsidRPr="004C2DCD" w:rsidRDefault="00F51113">
            <w:pPr>
              <w:pStyle w:val="TableText"/>
              <w:spacing w:before="40" w:after="40"/>
              <w:rPr>
                <w:rFonts w:cs="Calibri"/>
                <w:lang w:val="en-NZ"/>
              </w:rPr>
            </w:pPr>
            <w:r w:rsidRPr="004C2DCD">
              <w:rPr>
                <w:rFonts w:cs="Calibri"/>
                <w:lang w:val="en-NZ"/>
              </w:rPr>
              <w:t>2004–50</w:t>
            </w:r>
          </w:p>
        </w:tc>
        <w:tc>
          <w:tcPr>
            <w:tcW w:w="1276" w:type="dxa"/>
          </w:tcPr>
          <w:p w14:paraId="15775951" w14:textId="77777777" w:rsidR="00F51113" w:rsidRPr="004C2DCD" w:rsidRDefault="00F51113">
            <w:pPr>
              <w:pStyle w:val="TableText"/>
              <w:spacing w:before="40" w:after="40"/>
              <w:rPr>
                <w:rFonts w:cs="Calibri"/>
                <w:lang w:val="en-NZ"/>
              </w:rPr>
            </w:pPr>
            <w:r w:rsidRPr="004C2DCD">
              <w:rPr>
                <w:rFonts w:cs="Calibri"/>
                <w:lang w:val="en-NZ"/>
              </w:rPr>
              <w:t>Waste</w:t>
            </w:r>
          </w:p>
        </w:tc>
        <w:tc>
          <w:tcPr>
            <w:tcW w:w="3856" w:type="dxa"/>
          </w:tcPr>
          <w:p w14:paraId="1EAA2F0D" w14:textId="7C427BB4" w:rsidR="00F51113" w:rsidRPr="004C2DCD" w:rsidRDefault="00BC655B">
            <w:pPr>
              <w:pStyle w:val="TableText"/>
              <w:spacing w:before="40" w:after="40"/>
              <w:rPr>
                <w:rFonts w:cs="Calibri"/>
                <w:lang w:val="en-NZ"/>
              </w:rPr>
            </w:pPr>
            <w:r w:rsidRPr="004C2DCD">
              <w:rPr>
                <w:b/>
                <w:bCs/>
                <w:lang w:val="en-NZ"/>
              </w:rPr>
              <w:t>–</w:t>
            </w:r>
          </w:p>
        </w:tc>
      </w:tr>
      <w:tr w:rsidR="00F51113" w:rsidRPr="004C2DCD" w14:paraId="40F884BA" w14:textId="77777777">
        <w:tc>
          <w:tcPr>
            <w:tcW w:w="1843" w:type="dxa"/>
          </w:tcPr>
          <w:p w14:paraId="67C0EFA7" w14:textId="643797EE" w:rsidR="00F51113" w:rsidRPr="004C2DCD" w:rsidRDefault="00611D1F">
            <w:pPr>
              <w:pStyle w:val="TableText"/>
              <w:spacing w:before="40" w:after="40"/>
              <w:rPr>
                <w:lang w:val="en-NZ"/>
              </w:rPr>
            </w:pPr>
            <w:r>
              <w:rPr>
                <w:lang w:val="en-NZ"/>
              </w:rPr>
              <w:t>Waste disposal levy</w:t>
            </w:r>
          </w:p>
        </w:tc>
        <w:tc>
          <w:tcPr>
            <w:tcW w:w="1559" w:type="dxa"/>
          </w:tcPr>
          <w:p w14:paraId="6FB6B7A1" w14:textId="77777777" w:rsidR="00F51113" w:rsidRPr="004C2DCD" w:rsidRDefault="00F51113">
            <w:pPr>
              <w:pStyle w:val="TableText"/>
              <w:spacing w:before="40" w:after="40"/>
              <w:rPr>
                <w:rFonts w:cs="Calibri"/>
                <w:lang w:val="en-NZ"/>
              </w:rPr>
            </w:pPr>
            <w:r w:rsidRPr="004C2DCD">
              <w:rPr>
                <w:rFonts w:cs="Calibri"/>
                <w:lang w:val="en-NZ"/>
              </w:rPr>
              <w:t>2004–50</w:t>
            </w:r>
          </w:p>
        </w:tc>
        <w:tc>
          <w:tcPr>
            <w:tcW w:w="1276" w:type="dxa"/>
          </w:tcPr>
          <w:p w14:paraId="4FAF83CA" w14:textId="77777777" w:rsidR="00F51113" w:rsidRPr="004C2DCD" w:rsidRDefault="00F51113">
            <w:pPr>
              <w:pStyle w:val="TableText"/>
              <w:spacing w:before="40" w:after="40"/>
              <w:rPr>
                <w:rFonts w:cs="Calibri"/>
                <w:lang w:val="en-NZ"/>
              </w:rPr>
            </w:pPr>
            <w:r w:rsidRPr="004C2DCD">
              <w:rPr>
                <w:rFonts w:cs="Calibri"/>
                <w:lang w:val="en-NZ"/>
              </w:rPr>
              <w:t>Waste</w:t>
            </w:r>
          </w:p>
        </w:tc>
        <w:tc>
          <w:tcPr>
            <w:tcW w:w="3856" w:type="dxa"/>
          </w:tcPr>
          <w:p w14:paraId="1B5FB03B" w14:textId="43CC6059" w:rsidR="00F51113" w:rsidRPr="004C2DCD" w:rsidRDefault="00F51113">
            <w:pPr>
              <w:pStyle w:val="TableText"/>
              <w:spacing w:before="40" w:after="40"/>
              <w:rPr>
                <w:rFonts w:cs="Calibri"/>
                <w:lang w:val="en-NZ"/>
              </w:rPr>
            </w:pPr>
            <w:r w:rsidRPr="004C2DCD">
              <w:rPr>
                <w:rFonts w:cs="Calibri"/>
                <w:lang w:val="en-NZ"/>
              </w:rPr>
              <w:t xml:space="preserve">The </w:t>
            </w:r>
            <w:r w:rsidR="00611D1F">
              <w:rPr>
                <w:rFonts w:cs="Calibri"/>
                <w:lang w:val="en-NZ"/>
              </w:rPr>
              <w:t>waste disposal levy</w:t>
            </w:r>
            <w:r w:rsidRPr="004C2DCD">
              <w:rPr>
                <w:rFonts w:cs="Calibri"/>
                <w:lang w:val="en-NZ"/>
              </w:rPr>
              <w:t xml:space="preserve"> rate for landfills has progressively increased and expanded and is reflected in the modelling. This is modelled as $10 per tonne for landfills that receive household waste, set in 2009, to $60 per tonne as of July 2024 further increasing to $75 in 2027.</w:t>
            </w:r>
          </w:p>
        </w:tc>
      </w:tr>
      <w:tr w:rsidR="00F51113" w:rsidRPr="004C2DCD" w14:paraId="3D5DF754" w14:textId="77777777">
        <w:tc>
          <w:tcPr>
            <w:tcW w:w="1843" w:type="dxa"/>
          </w:tcPr>
          <w:p w14:paraId="19089D61" w14:textId="77777777" w:rsidR="00F51113" w:rsidRPr="004C2DCD" w:rsidRDefault="00F51113">
            <w:pPr>
              <w:pStyle w:val="TableText"/>
              <w:spacing w:before="40" w:after="40"/>
              <w:rPr>
                <w:lang w:val="en-NZ"/>
              </w:rPr>
            </w:pPr>
            <w:r w:rsidRPr="004C2DCD">
              <w:rPr>
                <w:lang w:val="en-NZ"/>
              </w:rPr>
              <w:t>Food waste reduction (behaviour change)</w:t>
            </w:r>
          </w:p>
        </w:tc>
        <w:tc>
          <w:tcPr>
            <w:tcW w:w="1559" w:type="dxa"/>
          </w:tcPr>
          <w:p w14:paraId="7A8A427D" w14:textId="77777777" w:rsidR="00F51113" w:rsidRPr="004C2DCD" w:rsidRDefault="00F51113">
            <w:pPr>
              <w:pStyle w:val="TableText"/>
              <w:spacing w:before="40" w:after="40"/>
              <w:rPr>
                <w:rFonts w:cs="Calibri"/>
                <w:lang w:val="en-NZ"/>
              </w:rPr>
            </w:pPr>
            <w:r w:rsidRPr="004C2DCD">
              <w:rPr>
                <w:rFonts w:cs="Calibri"/>
                <w:lang w:val="en-NZ"/>
              </w:rPr>
              <w:t>2023–26</w:t>
            </w:r>
          </w:p>
        </w:tc>
        <w:tc>
          <w:tcPr>
            <w:tcW w:w="1276" w:type="dxa"/>
          </w:tcPr>
          <w:p w14:paraId="2525B4B7" w14:textId="77777777" w:rsidR="00F51113" w:rsidRPr="004C2DCD" w:rsidRDefault="00F51113">
            <w:pPr>
              <w:pStyle w:val="TableText"/>
              <w:spacing w:before="40" w:after="40"/>
              <w:rPr>
                <w:rFonts w:cs="Calibri"/>
                <w:lang w:val="en-NZ"/>
              </w:rPr>
            </w:pPr>
            <w:r w:rsidRPr="004C2DCD">
              <w:rPr>
                <w:rFonts w:cs="Calibri"/>
                <w:lang w:val="en-NZ"/>
              </w:rPr>
              <w:t xml:space="preserve">Waste </w:t>
            </w:r>
          </w:p>
        </w:tc>
        <w:tc>
          <w:tcPr>
            <w:tcW w:w="3856" w:type="dxa"/>
          </w:tcPr>
          <w:p w14:paraId="32929B56" w14:textId="746CE925" w:rsidR="00F51113" w:rsidRPr="004C2DCD" w:rsidRDefault="00BC655B">
            <w:pPr>
              <w:pStyle w:val="TableText"/>
              <w:spacing w:before="40" w:after="40"/>
              <w:rPr>
                <w:rFonts w:cs="Calibri"/>
                <w:lang w:val="en-NZ"/>
              </w:rPr>
            </w:pPr>
            <w:r w:rsidRPr="004C2DCD">
              <w:rPr>
                <w:b/>
                <w:bCs/>
                <w:lang w:val="en-NZ"/>
              </w:rPr>
              <w:t>–</w:t>
            </w:r>
          </w:p>
        </w:tc>
      </w:tr>
      <w:tr w:rsidR="00F51113" w:rsidRPr="004C2DCD" w14:paraId="72EC2B5C" w14:textId="77777777">
        <w:tc>
          <w:tcPr>
            <w:tcW w:w="1843" w:type="dxa"/>
          </w:tcPr>
          <w:p w14:paraId="58E6171F" w14:textId="77777777" w:rsidR="00F51113" w:rsidRPr="004C2DCD" w:rsidRDefault="00F51113">
            <w:pPr>
              <w:pStyle w:val="TableText"/>
              <w:spacing w:before="40" w:after="40"/>
              <w:rPr>
                <w:bCs/>
                <w:szCs w:val="18"/>
                <w:lang w:val="en-NZ"/>
              </w:rPr>
            </w:pPr>
            <w:r w:rsidRPr="004C2DCD">
              <w:rPr>
                <w:bCs/>
                <w:szCs w:val="18"/>
                <w:lang w:val="en-NZ"/>
              </w:rPr>
              <w:t xml:space="preserve">Wood waste reduction and </w:t>
            </w:r>
            <w:r w:rsidRPr="004C2DCD" w:rsidDel="009E2C7A">
              <w:rPr>
                <w:bCs/>
                <w:szCs w:val="18"/>
                <w:lang w:val="en-NZ"/>
              </w:rPr>
              <w:t>diversion</w:t>
            </w:r>
          </w:p>
        </w:tc>
        <w:tc>
          <w:tcPr>
            <w:tcW w:w="1559" w:type="dxa"/>
          </w:tcPr>
          <w:p w14:paraId="0E11F6A7" w14:textId="77777777" w:rsidR="00F51113" w:rsidRPr="004C2DCD" w:rsidRDefault="00F51113">
            <w:pPr>
              <w:pStyle w:val="TableText"/>
              <w:spacing w:before="40" w:after="40"/>
              <w:rPr>
                <w:rFonts w:cs="Calibri"/>
                <w:bCs/>
                <w:szCs w:val="18"/>
                <w:lang w:val="en-NZ"/>
              </w:rPr>
            </w:pPr>
            <w:r w:rsidRPr="004C2DCD">
              <w:rPr>
                <w:rFonts w:cs="Calibri"/>
                <w:lang w:val="en-NZ"/>
              </w:rPr>
              <w:t>2004–50</w:t>
            </w:r>
          </w:p>
        </w:tc>
        <w:tc>
          <w:tcPr>
            <w:tcW w:w="1276" w:type="dxa"/>
          </w:tcPr>
          <w:p w14:paraId="623017D8" w14:textId="77777777" w:rsidR="00F51113" w:rsidRPr="004C2DCD" w:rsidRDefault="00F51113">
            <w:pPr>
              <w:pStyle w:val="TableText"/>
              <w:spacing w:before="40" w:after="40"/>
              <w:rPr>
                <w:rFonts w:cs="Calibri"/>
                <w:bCs/>
                <w:szCs w:val="18"/>
                <w:lang w:val="en-NZ"/>
              </w:rPr>
            </w:pPr>
            <w:r w:rsidRPr="004C2DCD" w:rsidDel="009E2C7A">
              <w:rPr>
                <w:rFonts w:cs="Calibri"/>
                <w:bCs/>
                <w:szCs w:val="18"/>
                <w:lang w:val="en-NZ"/>
              </w:rPr>
              <w:t>Waste</w:t>
            </w:r>
          </w:p>
        </w:tc>
        <w:tc>
          <w:tcPr>
            <w:tcW w:w="3856" w:type="dxa"/>
          </w:tcPr>
          <w:p w14:paraId="6A0F95A1" w14:textId="57A80401" w:rsidR="00F51113" w:rsidRPr="004C2DCD" w:rsidRDefault="00BC655B">
            <w:pPr>
              <w:pStyle w:val="TableText"/>
              <w:spacing w:before="40" w:after="40"/>
              <w:rPr>
                <w:rFonts w:cs="Calibri"/>
                <w:bCs/>
                <w:szCs w:val="18"/>
                <w:lang w:val="en-NZ"/>
              </w:rPr>
            </w:pPr>
            <w:r w:rsidRPr="004C2DCD">
              <w:rPr>
                <w:b/>
                <w:bCs/>
                <w:lang w:val="en-NZ"/>
              </w:rPr>
              <w:t>–</w:t>
            </w:r>
          </w:p>
        </w:tc>
      </w:tr>
      <w:tr w:rsidR="00F51113" w:rsidRPr="004C2DCD" w14:paraId="1296DFC0" w14:textId="77777777">
        <w:tc>
          <w:tcPr>
            <w:tcW w:w="1843" w:type="dxa"/>
          </w:tcPr>
          <w:p w14:paraId="69485B82" w14:textId="77777777" w:rsidR="00F51113" w:rsidRPr="004C2DCD" w:rsidRDefault="00F51113" w:rsidP="00667D42">
            <w:pPr>
              <w:pStyle w:val="TableText"/>
              <w:spacing w:before="40" w:after="40"/>
              <w:rPr>
                <w:bCs/>
                <w:szCs w:val="18"/>
                <w:lang w:val="en-NZ"/>
              </w:rPr>
            </w:pPr>
            <w:r w:rsidRPr="004C2DCD">
              <w:rPr>
                <w:bCs/>
                <w:szCs w:val="18"/>
                <w:lang w:val="en-NZ"/>
              </w:rPr>
              <w:t>Permitting scheme for imports and exports of bulk hydrofluorocarbons</w:t>
            </w:r>
          </w:p>
        </w:tc>
        <w:tc>
          <w:tcPr>
            <w:tcW w:w="1559" w:type="dxa"/>
          </w:tcPr>
          <w:p w14:paraId="17EB8A6E" w14:textId="77777777" w:rsidR="00F51113" w:rsidRPr="004C2DCD" w:rsidRDefault="00F51113">
            <w:pPr>
              <w:pStyle w:val="TableText"/>
              <w:spacing w:before="40" w:after="40"/>
              <w:rPr>
                <w:rFonts w:cs="Calibri"/>
                <w:lang w:val="en-NZ"/>
              </w:rPr>
            </w:pPr>
            <w:r w:rsidRPr="004C2DCD">
              <w:rPr>
                <w:rFonts w:cs="Calibri"/>
                <w:lang w:val="en-NZ"/>
              </w:rPr>
              <w:t>2020–50</w:t>
            </w:r>
          </w:p>
        </w:tc>
        <w:tc>
          <w:tcPr>
            <w:tcW w:w="1276" w:type="dxa"/>
          </w:tcPr>
          <w:p w14:paraId="422A6FA2" w14:textId="77777777" w:rsidR="00F51113" w:rsidRPr="004C2DCD" w:rsidDel="009E2C7A" w:rsidRDefault="00F51113">
            <w:pPr>
              <w:pStyle w:val="TableText"/>
              <w:spacing w:before="40" w:after="40"/>
              <w:rPr>
                <w:rFonts w:cs="Calibri"/>
                <w:bCs/>
                <w:szCs w:val="18"/>
                <w:lang w:val="en-NZ"/>
              </w:rPr>
            </w:pPr>
            <w:r w:rsidRPr="004C2DCD">
              <w:rPr>
                <w:rFonts w:cs="Calibri"/>
                <w:bCs/>
                <w:szCs w:val="18"/>
                <w:lang w:val="en-NZ"/>
              </w:rPr>
              <w:t>Industrial Processes and Product Use (IPPU)</w:t>
            </w:r>
          </w:p>
        </w:tc>
        <w:tc>
          <w:tcPr>
            <w:tcW w:w="3856" w:type="dxa"/>
          </w:tcPr>
          <w:p w14:paraId="7109733D" w14:textId="77777777" w:rsidR="00F51113" w:rsidRPr="004C2DCD" w:rsidRDefault="00F51113">
            <w:pPr>
              <w:pStyle w:val="TableText"/>
              <w:spacing w:before="40" w:after="40"/>
              <w:rPr>
                <w:rFonts w:cs="Calibri"/>
                <w:bCs/>
                <w:szCs w:val="18"/>
                <w:lang w:val="en-NZ"/>
              </w:rPr>
            </w:pPr>
            <w:r w:rsidRPr="004C2DCD">
              <w:rPr>
                <w:rFonts w:cs="Calibri"/>
                <w:bCs/>
                <w:szCs w:val="18"/>
                <w:lang w:val="en-NZ"/>
              </w:rPr>
              <w:t>The relative effect of the three key synthetic greenhouse gas policies is modelled based on a wide range of stakeholder opinions on their relative contributions to historical and future abatement. The</w:t>
            </w:r>
            <w:r w:rsidRPr="004C2DCD" w:rsidDel="00C94F42">
              <w:rPr>
                <w:rFonts w:cs="Calibri"/>
                <w:bCs/>
                <w:szCs w:val="18"/>
                <w:lang w:val="en-NZ"/>
              </w:rPr>
              <w:t xml:space="preserve"> </w:t>
            </w:r>
            <w:r w:rsidRPr="004C2DCD">
              <w:rPr>
                <w:rFonts w:cs="Calibri"/>
                <w:bCs/>
                <w:szCs w:val="18"/>
                <w:lang w:val="en-NZ"/>
              </w:rPr>
              <w:t>implementation of the Kigali Amendment to the Montreal Protocol will increase in importance from 2030 to 2033 then become the dominant factor (as NZ ETS prices decrease in importance) from 2034 to 2040.</w:t>
            </w:r>
          </w:p>
        </w:tc>
      </w:tr>
      <w:tr w:rsidR="00F51113" w:rsidRPr="004C2DCD" w14:paraId="2837AF25" w14:textId="77777777">
        <w:tc>
          <w:tcPr>
            <w:tcW w:w="1843" w:type="dxa"/>
          </w:tcPr>
          <w:p w14:paraId="41129481" w14:textId="77777777" w:rsidR="00F51113" w:rsidRPr="004C2DCD" w:rsidRDefault="00F51113">
            <w:pPr>
              <w:pStyle w:val="TableText"/>
              <w:spacing w:before="40" w:after="40"/>
              <w:rPr>
                <w:bCs/>
                <w:szCs w:val="18"/>
                <w:lang w:val="en-NZ"/>
              </w:rPr>
            </w:pPr>
            <w:r w:rsidRPr="004C2DCD">
              <w:rPr>
                <w:bCs/>
                <w:szCs w:val="18"/>
                <w:lang w:val="en-NZ"/>
              </w:rPr>
              <w:t>Voluntary product stewardship scheme for refrigerants</w:t>
            </w:r>
          </w:p>
        </w:tc>
        <w:tc>
          <w:tcPr>
            <w:tcW w:w="1559" w:type="dxa"/>
          </w:tcPr>
          <w:p w14:paraId="00D7E4D8" w14:textId="77777777" w:rsidR="00F51113" w:rsidRPr="004C2DCD" w:rsidRDefault="00F51113">
            <w:pPr>
              <w:pStyle w:val="TableText"/>
              <w:spacing w:before="40" w:after="40"/>
              <w:rPr>
                <w:rFonts w:cs="Calibri"/>
                <w:lang w:val="en-NZ"/>
              </w:rPr>
            </w:pPr>
            <w:r w:rsidRPr="004C2DCD">
              <w:rPr>
                <w:rFonts w:cs="Calibri"/>
                <w:lang w:val="en-NZ"/>
              </w:rPr>
              <w:t>2010–50</w:t>
            </w:r>
          </w:p>
        </w:tc>
        <w:tc>
          <w:tcPr>
            <w:tcW w:w="1276" w:type="dxa"/>
          </w:tcPr>
          <w:p w14:paraId="7572ECFC" w14:textId="77777777" w:rsidR="00F51113" w:rsidRPr="004C2DCD" w:rsidRDefault="00F51113">
            <w:pPr>
              <w:pStyle w:val="TableText"/>
              <w:spacing w:before="40" w:after="40"/>
              <w:rPr>
                <w:rFonts w:cs="Calibri"/>
                <w:bCs/>
                <w:szCs w:val="18"/>
                <w:lang w:val="en-NZ"/>
              </w:rPr>
            </w:pPr>
            <w:r w:rsidRPr="004C2DCD">
              <w:rPr>
                <w:rFonts w:cs="Calibri"/>
                <w:bCs/>
                <w:szCs w:val="18"/>
                <w:lang w:val="en-NZ"/>
              </w:rPr>
              <w:t>IPPU</w:t>
            </w:r>
          </w:p>
        </w:tc>
        <w:tc>
          <w:tcPr>
            <w:tcW w:w="3856" w:type="dxa"/>
          </w:tcPr>
          <w:p w14:paraId="54FA7A6E" w14:textId="77777777" w:rsidR="00F51113" w:rsidRPr="004C2DCD" w:rsidRDefault="00F51113">
            <w:pPr>
              <w:pStyle w:val="TableText"/>
              <w:spacing w:before="40" w:after="40"/>
              <w:rPr>
                <w:rFonts w:cs="Calibri"/>
                <w:bCs/>
                <w:szCs w:val="18"/>
                <w:lang w:val="en-NZ"/>
              </w:rPr>
            </w:pPr>
            <w:r w:rsidRPr="004C2DCD">
              <w:rPr>
                <w:rFonts w:cs="Calibri"/>
                <w:bCs/>
                <w:szCs w:val="18"/>
                <w:lang w:val="en-NZ"/>
              </w:rPr>
              <w:t>The relative effect of the three key synthetic greenhouse gas policies is modelled based on a wide range of stakeholder opinions on their relative contributions to historical and future abatement. It is assumed that once industry standard practices are well established, the scheme will become the dominant policy contribution from 2041 to 2050.</w:t>
            </w:r>
          </w:p>
        </w:tc>
      </w:tr>
      <w:tr w:rsidR="00F51113" w:rsidRPr="004C2DCD" w14:paraId="37DEE083" w14:textId="77777777">
        <w:tc>
          <w:tcPr>
            <w:tcW w:w="1843" w:type="dxa"/>
            <w:tcBorders>
              <w:bottom w:val="single" w:sz="4" w:space="0" w:color="1B556B" w:themeColor="text2"/>
            </w:tcBorders>
          </w:tcPr>
          <w:p w14:paraId="7B46E878" w14:textId="77777777" w:rsidR="00F51113" w:rsidRPr="004C2DCD" w:rsidRDefault="00F51113">
            <w:pPr>
              <w:pStyle w:val="TableText"/>
              <w:spacing w:before="40" w:after="40"/>
              <w:rPr>
                <w:szCs w:val="18"/>
                <w:lang w:val="en-NZ"/>
              </w:rPr>
            </w:pPr>
            <w:r w:rsidRPr="004C2DCD">
              <w:rPr>
                <w:lang w:val="en-NZ"/>
              </w:rPr>
              <w:t>NZ ETS</w:t>
            </w:r>
          </w:p>
        </w:tc>
        <w:tc>
          <w:tcPr>
            <w:tcW w:w="1559" w:type="dxa"/>
            <w:tcBorders>
              <w:bottom w:val="single" w:sz="4" w:space="0" w:color="1B556B" w:themeColor="text2"/>
            </w:tcBorders>
          </w:tcPr>
          <w:p w14:paraId="6A512F1D" w14:textId="77777777" w:rsidR="00F51113" w:rsidRPr="004C2DCD" w:rsidRDefault="00F51113">
            <w:pPr>
              <w:pStyle w:val="TableText"/>
              <w:spacing w:before="40" w:after="40"/>
              <w:rPr>
                <w:rFonts w:cs="Calibri"/>
                <w:lang w:val="en-NZ"/>
              </w:rPr>
            </w:pPr>
            <w:r w:rsidRPr="004C2DCD">
              <w:rPr>
                <w:rFonts w:cs="Calibri"/>
                <w:lang w:val="en-NZ"/>
              </w:rPr>
              <w:t>2008–50</w:t>
            </w:r>
          </w:p>
        </w:tc>
        <w:tc>
          <w:tcPr>
            <w:tcW w:w="1276" w:type="dxa"/>
            <w:tcBorders>
              <w:bottom w:val="single" w:sz="4" w:space="0" w:color="1B556B" w:themeColor="text2"/>
            </w:tcBorders>
          </w:tcPr>
          <w:p w14:paraId="47895E8D" w14:textId="77777777" w:rsidR="00F51113" w:rsidRPr="004C2DCD" w:rsidDel="009E2C7A" w:rsidRDefault="00F51113">
            <w:pPr>
              <w:pStyle w:val="TableText"/>
              <w:spacing w:before="40" w:after="40"/>
              <w:rPr>
                <w:rFonts w:cs="Calibri"/>
                <w:bCs/>
                <w:szCs w:val="18"/>
                <w:lang w:val="en-NZ"/>
              </w:rPr>
            </w:pPr>
            <w:r w:rsidRPr="004C2DCD">
              <w:rPr>
                <w:rFonts w:cs="Calibri"/>
                <w:bCs/>
                <w:szCs w:val="18"/>
                <w:lang w:val="en-NZ"/>
              </w:rPr>
              <w:t>IPPU</w:t>
            </w:r>
          </w:p>
        </w:tc>
        <w:tc>
          <w:tcPr>
            <w:tcW w:w="3856" w:type="dxa"/>
            <w:tcBorders>
              <w:bottom w:val="single" w:sz="4" w:space="0" w:color="1B556B" w:themeColor="text2"/>
            </w:tcBorders>
          </w:tcPr>
          <w:p w14:paraId="7BFD1A17" w14:textId="77777777" w:rsidR="00F51113" w:rsidRPr="004C2DCD" w:rsidRDefault="00F51113">
            <w:pPr>
              <w:pStyle w:val="TableText"/>
              <w:spacing w:before="40" w:after="40"/>
              <w:rPr>
                <w:rFonts w:cs="Calibri"/>
                <w:bCs/>
                <w:szCs w:val="18"/>
                <w:lang w:val="en-NZ"/>
              </w:rPr>
            </w:pPr>
            <w:r w:rsidRPr="004C2DCD">
              <w:rPr>
                <w:rFonts w:cs="Calibri"/>
                <w:bCs/>
                <w:szCs w:val="18"/>
                <w:lang w:val="en-NZ"/>
              </w:rPr>
              <w:t>The relative effect of the three key synthetic greenhouse gas policies is modelled based on a wide range of stakeholder opinions on their relative contributions to historical and future abatement. The NZ ETS price is likely to continue to be the dominant policy until 2030. The threat of high NZ ETS prices is one of the major factors driving current conversions to low global warming potential technologies.</w:t>
            </w:r>
          </w:p>
        </w:tc>
      </w:tr>
    </w:tbl>
    <w:p w14:paraId="7C57DAAD" w14:textId="77777777" w:rsidR="00F51113" w:rsidRPr="004C2DCD" w:rsidRDefault="00F51113" w:rsidP="00784F5F">
      <w:pPr>
        <w:pStyle w:val="Heading3"/>
        <w:numPr>
          <w:ilvl w:val="0"/>
          <w:numId w:val="111"/>
        </w:numPr>
        <w:spacing w:before="360"/>
      </w:pPr>
      <w:r w:rsidRPr="004C2DCD">
        <w:t>Key cross-sector assumptions</w:t>
      </w:r>
    </w:p>
    <w:p w14:paraId="516D1DED" w14:textId="77777777" w:rsidR="00F51113" w:rsidRPr="004C2DCD" w:rsidRDefault="00F51113" w:rsidP="00F51113">
      <w:pPr>
        <w:pStyle w:val="Tableheading"/>
      </w:pPr>
      <w:bookmarkStart w:id="525" w:name="table253"/>
      <w:bookmarkStart w:id="526" w:name="_Toc183789678"/>
      <w:bookmarkStart w:id="527" w:name="_Toc185407468"/>
      <w:bookmarkStart w:id="528" w:name="_Toc185427731"/>
      <w:r w:rsidRPr="004C2DCD">
        <w:t>Table 2.5.3</w:t>
      </w:r>
      <w:bookmarkEnd w:id="525"/>
      <w:r w:rsidRPr="004C2DCD">
        <w:t>:</w:t>
      </w:r>
      <w:r w:rsidRPr="004C2DCD">
        <w:tab/>
        <w:t>Summary of key cross-sector assumptions for modelling New Zealand’s greenhouse gas emissions projections, 1990–2050</w:t>
      </w:r>
      <w:bookmarkEnd w:id="526"/>
      <w:bookmarkEnd w:id="527"/>
      <w:bookmarkEnd w:id="528"/>
    </w:p>
    <w:tbl>
      <w:tblPr>
        <w:tblStyle w:val="TableGrid"/>
        <w:tblW w:w="8662"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CellMar>
          <w:left w:w="85" w:type="dxa"/>
          <w:right w:w="57" w:type="dxa"/>
        </w:tblCellMar>
        <w:tblLook w:val="04A0" w:firstRow="1" w:lastRow="0" w:firstColumn="1" w:lastColumn="0" w:noHBand="0" w:noVBand="1"/>
      </w:tblPr>
      <w:tblGrid>
        <w:gridCol w:w="851"/>
        <w:gridCol w:w="599"/>
        <w:gridCol w:w="564"/>
        <w:gridCol w:w="554"/>
        <w:gridCol w:w="554"/>
        <w:gridCol w:w="554"/>
        <w:gridCol w:w="554"/>
        <w:gridCol w:w="554"/>
        <w:gridCol w:w="554"/>
        <w:gridCol w:w="554"/>
        <w:gridCol w:w="554"/>
        <w:gridCol w:w="554"/>
        <w:gridCol w:w="554"/>
        <w:gridCol w:w="554"/>
        <w:gridCol w:w="554"/>
      </w:tblGrid>
      <w:tr w:rsidR="00DF7396" w:rsidRPr="00841C21" w14:paraId="3E9C44C7" w14:textId="77777777" w:rsidTr="00F80331">
        <w:tc>
          <w:tcPr>
            <w:tcW w:w="1450" w:type="dxa"/>
            <w:gridSpan w:val="2"/>
            <w:vMerge w:val="restart"/>
            <w:tcBorders>
              <w:top w:val="nil"/>
              <w:left w:val="nil"/>
              <w:bottom w:val="nil"/>
              <w:right w:val="single" w:sz="4" w:space="0" w:color="1B556B" w:themeColor="text2"/>
            </w:tcBorders>
            <w:shd w:val="clear" w:color="auto" w:fill="1B556B" w:themeFill="text2"/>
            <w:tcMar>
              <w:left w:w="60" w:type="dxa"/>
              <w:right w:w="60" w:type="dxa"/>
            </w:tcMar>
            <w:vAlign w:val="bottom"/>
          </w:tcPr>
          <w:p w14:paraId="6221E955" w14:textId="77777777" w:rsidR="00F51113" w:rsidRPr="00841C21" w:rsidRDefault="00F51113">
            <w:pPr>
              <w:pStyle w:val="TableText"/>
              <w:keepNext/>
              <w:spacing w:before="0" w:line="230" w:lineRule="atLeast"/>
              <w:rPr>
                <w:rFonts w:eastAsia="Calibri" w:cs="Calibri"/>
                <w:color w:val="FFFFFF" w:themeColor="background1"/>
                <w:szCs w:val="18"/>
              </w:rPr>
            </w:pPr>
            <w:r w:rsidRPr="00841C21">
              <w:rPr>
                <w:rFonts w:eastAsia="Calibri" w:cs="Calibri"/>
                <w:b/>
                <w:color w:val="FFFFFF" w:themeColor="background1"/>
                <w:szCs w:val="18"/>
              </w:rPr>
              <w:t>Key assumptions and scenarios</w:t>
            </w:r>
          </w:p>
        </w:tc>
        <w:tc>
          <w:tcPr>
            <w:tcW w:w="3888" w:type="dxa"/>
            <w:gridSpan w:val="7"/>
            <w:tcBorders>
              <w:top w:val="nil"/>
              <w:left w:val="single" w:sz="4" w:space="0" w:color="1B556B" w:themeColor="text2"/>
              <w:bottom w:val="nil"/>
              <w:right w:val="single" w:sz="4" w:space="0" w:color="1B556B" w:themeColor="text2"/>
            </w:tcBorders>
            <w:shd w:val="clear" w:color="auto" w:fill="1B556B" w:themeFill="text2"/>
            <w:tcMar>
              <w:left w:w="60" w:type="dxa"/>
              <w:right w:w="60" w:type="dxa"/>
            </w:tcMar>
            <w:vAlign w:val="bottom"/>
          </w:tcPr>
          <w:p w14:paraId="4A0152B8" w14:textId="77777777" w:rsidR="00F51113" w:rsidRPr="00841C21" w:rsidRDefault="00F51113">
            <w:pPr>
              <w:pStyle w:val="TableText"/>
              <w:keepNext/>
              <w:spacing w:before="0" w:after="0" w:line="230" w:lineRule="atLeast"/>
              <w:jc w:val="center"/>
              <w:rPr>
                <w:rFonts w:eastAsia="Calibri" w:cs="Calibri"/>
                <w:color w:val="FFFFFF" w:themeColor="background1"/>
                <w:szCs w:val="18"/>
              </w:rPr>
            </w:pPr>
            <w:r w:rsidRPr="00841C21">
              <w:rPr>
                <w:rFonts w:eastAsia="Calibri" w:cs="Calibri"/>
                <w:b/>
                <w:color w:val="FFFFFF" w:themeColor="background1"/>
                <w:szCs w:val="18"/>
              </w:rPr>
              <w:t>Historical</w:t>
            </w:r>
          </w:p>
        </w:tc>
        <w:tc>
          <w:tcPr>
            <w:tcW w:w="3324" w:type="dxa"/>
            <w:gridSpan w:val="6"/>
            <w:tcBorders>
              <w:top w:val="nil"/>
              <w:left w:val="single" w:sz="4" w:space="0" w:color="1B556B" w:themeColor="text2"/>
              <w:bottom w:val="nil"/>
            </w:tcBorders>
            <w:shd w:val="clear" w:color="auto" w:fill="1B556B" w:themeFill="text2"/>
            <w:tcMar>
              <w:left w:w="60" w:type="dxa"/>
              <w:right w:w="60" w:type="dxa"/>
            </w:tcMar>
            <w:vAlign w:val="bottom"/>
          </w:tcPr>
          <w:p w14:paraId="2FCF4BD0" w14:textId="77777777" w:rsidR="00F51113" w:rsidRPr="00841C21" w:rsidRDefault="00F51113">
            <w:pPr>
              <w:pStyle w:val="TableText"/>
              <w:keepNext/>
              <w:spacing w:before="0" w:after="0" w:line="230" w:lineRule="atLeast"/>
              <w:jc w:val="center"/>
              <w:rPr>
                <w:rFonts w:eastAsia="Calibri" w:cs="Calibri"/>
                <w:color w:val="FFFFFF" w:themeColor="background1"/>
                <w:szCs w:val="18"/>
              </w:rPr>
            </w:pPr>
            <w:r w:rsidRPr="00841C21">
              <w:rPr>
                <w:rFonts w:eastAsia="Calibri" w:cs="Calibri"/>
                <w:b/>
                <w:color w:val="FFFFFF" w:themeColor="background1"/>
                <w:szCs w:val="18"/>
              </w:rPr>
              <w:t>Projections</w:t>
            </w:r>
          </w:p>
        </w:tc>
      </w:tr>
      <w:tr w:rsidR="00F51113" w:rsidRPr="00841C21" w14:paraId="4E83DA49" w14:textId="77777777" w:rsidTr="75ADBAC8">
        <w:tc>
          <w:tcPr>
            <w:tcW w:w="1450" w:type="dxa"/>
            <w:gridSpan w:val="2"/>
            <w:vMerge/>
            <w:vAlign w:val="bottom"/>
          </w:tcPr>
          <w:p w14:paraId="0C075472" w14:textId="77777777" w:rsidR="00F51113" w:rsidRPr="00841C21" w:rsidRDefault="00F51113">
            <w:pPr>
              <w:pStyle w:val="TableText"/>
              <w:keepNext/>
              <w:spacing w:before="0" w:line="230" w:lineRule="atLeast"/>
              <w:rPr>
                <w:rFonts w:cs="Calibri"/>
                <w:color w:val="FFFFFF" w:themeColor="background1"/>
                <w:szCs w:val="18"/>
              </w:rPr>
            </w:pPr>
          </w:p>
        </w:tc>
        <w:tc>
          <w:tcPr>
            <w:tcW w:w="564" w:type="dxa"/>
            <w:tcBorders>
              <w:top w:val="nil"/>
              <w:left w:val="nil"/>
              <w:right w:val="nil"/>
            </w:tcBorders>
            <w:shd w:val="clear" w:color="auto" w:fill="1B556B" w:themeFill="text2"/>
            <w:tcMar>
              <w:left w:w="60" w:type="dxa"/>
              <w:right w:w="60" w:type="dxa"/>
            </w:tcMar>
            <w:vAlign w:val="bottom"/>
          </w:tcPr>
          <w:p w14:paraId="103F5E34" w14:textId="77777777" w:rsidR="00F51113" w:rsidRPr="00841C21" w:rsidRDefault="00F51113">
            <w:pPr>
              <w:pStyle w:val="TableText"/>
              <w:keepNext/>
              <w:spacing w:before="0" w:line="230" w:lineRule="atLeast"/>
              <w:jc w:val="center"/>
              <w:rPr>
                <w:rFonts w:eastAsia="Calibri" w:cs="Calibri"/>
                <w:color w:val="FFFFFF" w:themeColor="background1"/>
                <w:szCs w:val="18"/>
              </w:rPr>
            </w:pPr>
            <w:r w:rsidRPr="00841C21">
              <w:rPr>
                <w:rFonts w:eastAsia="Calibri" w:cs="Calibri"/>
                <w:b/>
                <w:color w:val="FFFFFF" w:themeColor="background1"/>
                <w:szCs w:val="18"/>
              </w:rPr>
              <w:t>1990</w:t>
            </w:r>
          </w:p>
        </w:tc>
        <w:tc>
          <w:tcPr>
            <w:tcW w:w="554" w:type="dxa"/>
            <w:tcBorders>
              <w:top w:val="nil"/>
              <w:left w:val="nil"/>
              <w:right w:val="nil"/>
            </w:tcBorders>
            <w:shd w:val="clear" w:color="auto" w:fill="1B556B" w:themeFill="text2"/>
            <w:tcMar>
              <w:left w:w="60" w:type="dxa"/>
              <w:right w:w="60" w:type="dxa"/>
            </w:tcMar>
            <w:vAlign w:val="bottom"/>
          </w:tcPr>
          <w:p w14:paraId="6A0D9AA0" w14:textId="77777777" w:rsidR="00F51113" w:rsidRPr="00841C21" w:rsidRDefault="00F51113">
            <w:pPr>
              <w:pStyle w:val="TableText"/>
              <w:keepNext/>
              <w:spacing w:before="0" w:line="230" w:lineRule="atLeast"/>
              <w:jc w:val="center"/>
              <w:rPr>
                <w:rFonts w:eastAsia="Calibri" w:cs="Calibri"/>
                <w:color w:val="FFFFFF" w:themeColor="background1"/>
                <w:szCs w:val="18"/>
              </w:rPr>
            </w:pPr>
            <w:r w:rsidRPr="00841C21">
              <w:rPr>
                <w:rFonts w:eastAsia="Calibri" w:cs="Calibri"/>
                <w:b/>
                <w:color w:val="FFFFFF" w:themeColor="background1"/>
                <w:szCs w:val="18"/>
              </w:rPr>
              <w:t>1995</w:t>
            </w:r>
          </w:p>
        </w:tc>
        <w:tc>
          <w:tcPr>
            <w:tcW w:w="554" w:type="dxa"/>
            <w:tcBorders>
              <w:top w:val="nil"/>
              <w:left w:val="nil"/>
              <w:right w:val="nil"/>
            </w:tcBorders>
            <w:shd w:val="clear" w:color="auto" w:fill="1B556B" w:themeFill="text2"/>
            <w:tcMar>
              <w:left w:w="60" w:type="dxa"/>
              <w:right w:w="60" w:type="dxa"/>
            </w:tcMar>
            <w:vAlign w:val="bottom"/>
          </w:tcPr>
          <w:p w14:paraId="26F1CCA2" w14:textId="77777777" w:rsidR="00F51113" w:rsidRPr="00841C21" w:rsidRDefault="00F51113">
            <w:pPr>
              <w:pStyle w:val="TableText"/>
              <w:keepNext/>
              <w:spacing w:before="0" w:line="230" w:lineRule="atLeast"/>
              <w:jc w:val="center"/>
              <w:rPr>
                <w:rFonts w:eastAsia="Calibri" w:cs="Calibri"/>
                <w:color w:val="FFFFFF" w:themeColor="background1"/>
                <w:szCs w:val="18"/>
              </w:rPr>
            </w:pPr>
            <w:r w:rsidRPr="00841C21">
              <w:rPr>
                <w:rFonts w:eastAsia="Calibri" w:cs="Calibri"/>
                <w:b/>
                <w:color w:val="FFFFFF" w:themeColor="background1"/>
                <w:szCs w:val="18"/>
              </w:rPr>
              <w:t>2000</w:t>
            </w:r>
          </w:p>
        </w:tc>
        <w:tc>
          <w:tcPr>
            <w:tcW w:w="554" w:type="dxa"/>
            <w:tcBorders>
              <w:top w:val="nil"/>
              <w:left w:val="nil"/>
              <w:right w:val="nil"/>
            </w:tcBorders>
            <w:shd w:val="clear" w:color="auto" w:fill="1B556B" w:themeFill="text2"/>
            <w:tcMar>
              <w:left w:w="60" w:type="dxa"/>
              <w:right w:w="60" w:type="dxa"/>
            </w:tcMar>
            <w:vAlign w:val="bottom"/>
          </w:tcPr>
          <w:p w14:paraId="25443AE5" w14:textId="77777777" w:rsidR="00F51113" w:rsidRPr="00841C21" w:rsidRDefault="00F51113">
            <w:pPr>
              <w:pStyle w:val="TableText"/>
              <w:keepNext/>
              <w:spacing w:before="0" w:line="230" w:lineRule="atLeast"/>
              <w:jc w:val="center"/>
              <w:rPr>
                <w:rFonts w:eastAsia="Calibri" w:cs="Calibri"/>
                <w:color w:val="FFFFFF" w:themeColor="background1"/>
                <w:szCs w:val="18"/>
              </w:rPr>
            </w:pPr>
            <w:r w:rsidRPr="00841C21">
              <w:rPr>
                <w:rFonts w:eastAsia="Calibri" w:cs="Calibri"/>
                <w:b/>
                <w:color w:val="FFFFFF" w:themeColor="background1"/>
                <w:szCs w:val="18"/>
              </w:rPr>
              <w:t>2005</w:t>
            </w:r>
          </w:p>
        </w:tc>
        <w:tc>
          <w:tcPr>
            <w:tcW w:w="554" w:type="dxa"/>
            <w:tcBorders>
              <w:top w:val="nil"/>
              <w:left w:val="nil"/>
              <w:right w:val="nil"/>
            </w:tcBorders>
            <w:shd w:val="clear" w:color="auto" w:fill="1B556B" w:themeFill="text2"/>
            <w:tcMar>
              <w:left w:w="60" w:type="dxa"/>
              <w:right w:w="60" w:type="dxa"/>
            </w:tcMar>
            <w:vAlign w:val="bottom"/>
          </w:tcPr>
          <w:p w14:paraId="45942714" w14:textId="77777777" w:rsidR="00F51113" w:rsidRPr="00841C21" w:rsidRDefault="00F51113">
            <w:pPr>
              <w:pStyle w:val="TableText"/>
              <w:keepNext/>
              <w:spacing w:before="0" w:line="230" w:lineRule="atLeast"/>
              <w:jc w:val="center"/>
              <w:rPr>
                <w:rFonts w:eastAsia="Calibri" w:cs="Calibri"/>
                <w:color w:val="FFFFFF" w:themeColor="background1"/>
                <w:szCs w:val="18"/>
              </w:rPr>
            </w:pPr>
            <w:r w:rsidRPr="00841C21">
              <w:rPr>
                <w:rFonts w:eastAsia="Calibri" w:cs="Calibri"/>
                <w:b/>
                <w:color w:val="FFFFFF" w:themeColor="background1"/>
                <w:szCs w:val="18"/>
              </w:rPr>
              <w:t>2010</w:t>
            </w:r>
          </w:p>
        </w:tc>
        <w:tc>
          <w:tcPr>
            <w:tcW w:w="554" w:type="dxa"/>
            <w:tcBorders>
              <w:top w:val="nil"/>
              <w:left w:val="nil"/>
              <w:right w:val="nil"/>
            </w:tcBorders>
            <w:shd w:val="clear" w:color="auto" w:fill="1B556B" w:themeFill="text2"/>
            <w:tcMar>
              <w:left w:w="60" w:type="dxa"/>
              <w:right w:w="60" w:type="dxa"/>
            </w:tcMar>
            <w:vAlign w:val="bottom"/>
          </w:tcPr>
          <w:p w14:paraId="5FABF378" w14:textId="77777777" w:rsidR="00F51113" w:rsidRPr="00841C21" w:rsidRDefault="00F51113">
            <w:pPr>
              <w:pStyle w:val="TableText"/>
              <w:keepNext/>
              <w:spacing w:before="0" w:line="230" w:lineRule="atLeast"/>
              <w:jc w:val="center"/>
              <w:rPr>
                <w:rFonts w:eastAsia="Calibri" w:cs="Calibri"/>
                <w:color w:val="FFFFFF" w:themeColor="background1"/>
                <w:szCs w:val="18"/>
              </w:rPr>
            </w:pPr>
            <w:r w:rsidRPr="00841C21">
              <w:rPr>
                <w:rFonts w:eastAsia="Calibri" w:cs="Calibri"/>
                <w:b/>
                <w:color w:val="FFFFFF" w:themeColor="background1"/>
                <w:szCs w:val="18"/>
              </w:rPr>
              <w:t>2015</w:t>
            </w:r>
          </w:p>
        </w:tc>
        <w:tc>
          <w:tcPr>
            <w:tcW w:w="554" w:type="dxa"/>
            <w:tcBorders>
              <w:top w:val="nil"/>
              <w:left w:val="nil"/>
              <w:right w:val="nil"/>
            </w:tcBorders>
            <w:shd w:val="clear" w:color="auto" w:fill="1B556B" w:themeFill="text2"/>
            <w:tcMar>
              <w:left w:w="60" w:type="dxa"/>
              <w:right w:w="60" w:type="dxa"/>
            </w:tcMar>
            <w:vAlign w:val="bottom"/>
          </w:tcPr>
          <w:p w14:paraId="62A82E30" w14:textId="77777777" w:rsidR="00F51113" w:rsidRPr="00841C21" w:rsidRDefault="00F51113">
            <w:pPr>
              <w:pStyle w:val="TableText"/>
              <w:keepNext/>
              <w:spacing w:before="0" w:line="230" w:lineRule="atLeast"/>
              <w:jc w:val="center"/>
              <w:rPr>
                <w:rFonts w:eastAsia="Calibri" w:cs="Calibri"/>
                <w:color w:val="FFFFFF" w:themeColor="background1"/>
                <w:szCs w:val="18"/>
              </w:rPr>
            </w:pPr>
            <w:r w:rsidRPr="00841C21">
              <w:rPr>
                <w:rFonts w:eastAsia="Calibri" w:cs="Calibri"/>
                <w:b/>
                <w:color w:val="FFFFFF" w:themeColor="background1"/>
                <w:szCs w:val="18"/>
              </w:rPr>
              <w:t>2020</w:t>
            </w:r>
          </w:p>
        </w:tc>
        <w:tc>
          <w:tcPr>
            <w:tcW w:w="554" w:type="dxa"/>
            <w:tcBorders>
              <w:top w:val="nil"/>
              <w:left w:val="nil"/>
              <w:right w:val="nil"/>
            </w:tcBorders>
            <w:shd w:val="clear" w:color="auto" w:fill="1B556B" w:themeFill="text2"/>
            <w:tcMar>
              <w:left w:w="60" w:type="dxa"/>
              <w:right w:w="60" w:type="dxa"/>
            </w:tcMar>
            <w:vAlign w:val="bottom"/>
          </w:tcPr>
          <w:p w14:paraId="6900E158" w14:textId="77777777" w:rsidR="00F51113" w:rsidRPr="00841C21" w:rsidRDefault="00F51113">
            <w:pPr>
              <w:pStyle w:val="TableText"/>
              <w:keepNext/>
              <w:spacing w:before="0" w:line="230" w:lineRule="atLeast"/>
              <w:jc w:val="center"/>
              <w:rPr>
                <w:rFonts w:eastAsia="Calibri" w:cs="Calibri"/>
                <w:color w:val="FFFFFF" w:themeColor="background1"/>
                <w:szCs w:val="18"/>
              </w:rPr>
            </w:pPr>
            <w:r w:rsidRPr="00841C21">
              <w:rPr>
                <w:rFonts w:eastAsia="Calibri" w:cs="Calibri"/>
                <w:b/>
                <w:color w:val="FFFFFF" w:themeColor="background1"/>
                <w:szCs w:val="18"/>
              </w:rPr>
              <w:t>2025</w:t>
            </w:r>
          </w:p>
        </w:tc>
        <w:tc>
          <w:tcPr>
            <w:tcW w:w="554" w:type="dxa"/>
            <w:tcBorders>
              <w:top w:val="nil"/>
              <w:left w:val="nil"/>
              <w:right w:val="nil"/>
            </w:tcBorders>
            <w:shd w:val="clear" w:color="auto" w:fill="1B556B" w:themeFill="text2"/>
            <w:tcMar>
              <w:left w:w="60" w:type="dxa"/>
              <w:right w:w="60" w:type="dxa"/>
            </w:tcMar>
            <w:vAlign w:val="bottom"/>
          </w:tcPr>
          <w:p w14:paraId="61D1DB1D" w14:textId="77777777" w:rsidR="00F51113" w:rsidRPr="00841C21" w:rsidRDefault="00F51113">
            <w:pPr>
              <w:pStyle w:val="TableText"/>
              <w:keepNext/>
              <w:spacing w:before="0" w:line="230" w:lineRule="atLeast"/>
              <w:jc w:val="center"/>
              <w:rPr>
                <w:rFonts w:eastAsia="Calibri" w:cs="Calibri"/>
                <w:color w:val="FFFFFF" w:themeColor="background1"/>
                <w:szCs w:val="18"/>
              </w:rPr>
            </w:pPr>
            <w:r w:rsidRPr="00841C21">
              <w:rPr>
                <w:rFonts w:eastAsia="Calibri" w:cs="Calibri"/>
                <w:b/>
                <w:color w:val="FFFFFF" w:themeColor="background1"/>
                <w:szCs w:val="18"/>
              </w:rPr>
              <w:t>2030</w:t>
            </w:r>
          </w:p>
        </w:tc>
        <w:tc>
          <w:tcPr>
            <w:tcW w:w="554" w:type="dxa"/>
            <w:tcBorders>
              <w:top w:val="nil"/>
              <w:left w:val="nil"/>
              <w:right w:val="nil"/>
            </w:tcBorders>
            <w:shd w:val="clear" w:color="auto" w:fill="1B556B" w:themeFill="text2"/>
            <w:tcMar>
              <w:left w:w="60" w:type="dxa"/>
              <w:right w:w="60" w:type="dxa"/>
            </w:tcMar>
            <w:vAlign w:val="bottom"/>
          </w:tcPr>
          <w:p w14:paraId="4ACFC1D3" w14:textId="77777777" w:rsidR="00F51113" w:rsidRPr="00841C21" w:rsidRDefault="00F51113">
            <w:pPr>
              <w:pStyle w:val="TableText"/>
              <w:keepNext/>
              <w:spacing w:before="0" w:line="230" w:lineRule="atLeast"/>
              <w:jc w:val="center"/>
              <w:rPr>
                <w:rFonts w:eastAsia="Calibri" w:cs="Calibri"/>
                <w:color w:val="FFFFFF" w:themeColor="background1"/>
                <w:szCs w:val="18"/>
              </w:rPr>
            </w:pPr>
            <w:r w:rsidRPr="00841C21">
              <w:rPr>
                <w:rFonts w:eastAsia="Calibri" w:cs="Calibri"/>
                <w:b/>
                <w:color w:val="FFFFFF" w:themeColor="background1"/>
                <w:szCs w:val="18"/>
              </w:rPr>
              <w:t>2035</w:t>
            </w:r>
          </w:p>
        </w:tc>
        <w:tc>
          <w:tcPr>
            <w:tcW w:w="554" w:type="dxa"/>
            <w:tcBorders>
              <w:top w:val="nil"/>
              <w:left w:val="nil"/>
              <w:right w:val="nil"/>
            </w:tcBorders>
            <w:shd w:val="clear" w:color="auto" w:fill="1B556B" w:themeFill="text2"/>
            <w:tcMar>
              <w:left w:w="60" w:type="dxa"/>
              <w:right w:w="60" w:type="dxa"/>
            </w:tcMar>
            <w:vAlign w:val="bottom"/>
          </w:tcPr>
          <w:p w14:paraId="1F4B90C6" w14:textId="77777777" w:rsidR="00F51113" w:rsidRPr="00841C21" w:rsidRDefault="00F51113">
            <w:pPr>
              <w:pStyle w:val="TableText"/>
              <w:keepNext/>
              <w:spacing w:before="0" w:line="230" w:lineRule="atLeast"/>
              <w:jc w:val="center"/>
              <w:rPr>
                <w:rFonts w:eastAsia="Calibri" w:cs="Calibri"/>
                <w:color w:val="FFFFFF" w:themeColor="background1"/>
                <w:szCs w:val="18"/>
              </w:rPr>
            </w:pPr>
            <w:r w:rsidRPr="00841C21">
              <w:rPr>
                <w:rFonts w:eastAsia="Calibri" w:cs="Calibri"/>
                <w:b/>
                <w:color w:val="FFFFFF" w:themeColor="background1"/>
                <w:szCs w:val="18"/>
              </w:rPr>
              <w:t>2040</w:t>
            </w:r>
          </w:p>
        </w:tc>
        <w:tc>
          <w:tcPr>
            <w:tcW w:w="554" w:type="dxa"/>
            <w:tcBorders>
              <w:top w:val="nil"/>
              <w:left w:val="nil"/>
              <w:right w:val="nil"/>
            </w:tcBorders>
            <w:shd w:val="clear" w:color="auto" w:fill="1B556B" w:themeFill="text2"/>
            <w:tcMar>
              <w:left w:w="60" w:type="dxa"/>
              <w:right w:w="60" w:type="dxa"/>
            </w:tcMar>
            <w:vAlign w:val="bottom"/>
          </w:tcPr>
          <w:p w14:paraId="30FDBC98" w14:textId="77777777" w:rsidR="00F51113" w:rsidRPr="00841C21" w:rsidRDefault="00F51113">
            <w:pPr>
              <w:pStyle w:val="TableText"/>
              <w:keepNext/>
              <w:spacing w:before="0" w:line="230" w:lineRule="atLeast"/>
              <w:jc w:val="center"/>
              <w:rPr>
                <w:rFonts w:eastAsia="Calibri" w:cs="Calibri"/>
                <w:color w:val="FFFFFF" w:themeColor="background1"/>
                <w:szCs w:val="18"/>
              </w:rPr>
            </w:pPr>
            <w:r w:rsidRPr="00841C21">
              <w:rPr>
                <w:rFonts w:eastAsia="Calibri" w:cs="Calibri"/>
                <w:b/>
                <w:color w:val="FFFFFF" w:themeColor="background1"/>
                <w:szCs w:val="18"/>
              </w:rPr>
              <w:t>2045</w:t>
            </w:r>
          </w:p>
        </w:tc>
        <w:tc>
          <w:tcPr>
            <w:tcW w:w="554" w:type="dxa"/>
            <w:tcBorders>
              <w:top w:val="nil"/>
              <w:left w:val="nil"/>
            </w:tcBorders>
            <w:shd w:val="clear" w:color="auto" w:fill="1B556B" w:themeFill="text2"/>
            <w:tcMar>
              <w:left w:w="60" w:type="dxa"/>
              <w:right w:w="60" w:type="dxa"/>
            </w:tcMar>
            <w:vAlign w:val="bottom"/>
          </w:tcPr>
          <w:p w14:paraId="1138E3B2" w14:textId="77777777" w:rsidR="00F51113" w:rsidRPr="00841C21" w:rsidRDefault="00F51113">
            <w:pPr>
              <w:pStyle w:val="TableText"/>
              <w:keepNext/>
              <w:spacing w:before="0" w:line="230" w:lineRule="atLeast"/>
              <w:jc w:val="center"/>
              <w:rPr>
                <w:rFonts w:eastAsia="Calibri" w:cs="Calibri"/>
                <w:color w:val="FFFFFF" w:themeColor="background1"/>
                <w:szCs w:val="18"/>
              </w:rPr>
            </w:pPr>
            <w:r w:rsidRPr="00841C21">
              <w:rPr>
                <w:rFonts w:eastAsia="Calibri" w:cs="Calibri"/>
                <w:b/>
                <w:color w:val="FFFFFF" w:themeColor="background1"/>
                <w:szCs w:val="18"/>
              </w:rPr>
              <w:t>2050</w:t>
            </w:r>
          </w:p>
        </w:tc>
      </w:tr>
      <w:tr w:rsidR="00F51113" w:rsidRPr="00841C21" w14:paraId="49BE5DF6" w14:textId="77777777">
        <w:tc>
          <w:tcPr>
            <w:tcW w:w="851" w:type="dxa"/>
            <w:vMerge w:val="restart"/>
            <w:tcMar>
              <w:left w:w="60" w:type="dxa"/>
              <w:right w:w="60" w:type="dxa"/>
            </w:tcMar>
            <w:vAlign w:val="center"/>
          </w:tcPr>
          <w:p w14:paraId="335A0C52" w14:textId="77777777" w:rsidR="00F51113" w:rsidRPr="00F80331" w:rsidRDefault="00F51113">
            <w:pPr>
              <w:pStyle w:val="TableText"/>
              <w:keepNext/>
              <w:spacing w:before="40" w:after="40" w:line="230" w:lineRule="atLeast"/>
              <w:rPr>
                <w:rFonts w:eastAsia="Calibri" w:cs="Calibri"/>
                <w:spacing w:val="-10"/>
                <w:szCs w:val="18"/>
              </w:rPr>
            </w:pPr>
            <w:r w:rsidRPr="00F80331">
              <w:rPr>
                <w:rFonts w:eastAsia="Calibri" w:cs="Calibri"/>
                <w:b/>
                <w:spacing w:val="-10"/>
                <w:szCs w:val="18"/>
              </w:rPr>
              <w:t xml:space="preserve">Population </w:t>
            </w:r>
            <w:r w:rsidRPr="00F80331">
              <w:rPr>
                <w:rFonts w:eastAsia="Calibri" w:cs="Calibri"/>
                <w:spacing w:val="-10"/>
                <w:szCs w:val="18"/>
              </w:rPr>
              <w:t>million people</w:t>
            </w:r>
          </w:p>
        </w:tc>
        <w:tc>
          <w:tcPr>
            <w:tcW w:w="599" w:type="dxa"/>
            <w:tcMar>
              <w:left w:w="60" w:type="dxa"/>
              <w:right w:w="60" w:type="dxa"/>
            </w:tcMar>
            <w:vAlign w:val="center"/>
          </w:tcPr>
          <w:p w14:paraId="20976B8D" w14:textId="77777777" w:rsidR="00F51113" w:rsidRPr="00841C21" w:rsidRDefault="00F51113">
            <w:pPr>
              <w:pStyle w:val="TableText"/>
              <w:keepNext/>
              <w:spacing w:before="40" w:after="40" w:line="230" w:lineRule="atLeast"/>
              <w:jc w:val="center"/>
              <w:rPr>
                <w:rFonts w:eastAsia="Calibri" w:cs="Calibri"/>
                <w:color w:val="000000" w:themeColor="text1"/>
                <w:szCs w:val="18"/>
              </w:rPr>
            </w:pPr>
            <w:r w:rsidRPr="00841C21">
              <w:rPr>
                <w:rFonts w:eastAsia="Calibri" w:cs="Calibri"/>
                <w:color w:val="000000" w:themeColor="text1"/>
                <w:szCs w:val="18"/>
              </w:rPr>
              <w:t>WEM</w:t>
            </w:r>
          </w:p>
        </w:tc>
        <w:tc>
          <w:tcPr>
            <w:tcW w:w="564" w:type="dxa"/>
            <w:tcMar>
              <w:left w:w="60" w:type="dxa"/>
              <w:right w:w="60" w:type="dxa"/>
            </w:tcMar>
            <w:vAlign w:val="center"/>
          </w:tcPr>
          <w:p w14:paraId="6C05B7D1" w14:textId="77777777" w:rsidR="00F51113" w:rsidRPr="00841C21" w:rsidRDefault="00F51113">
            <w:pPr>
              <w:pStyle w:val="TableText"/>
              <w:keepNext/>
              <w:spacing w:before="40" w:after="40" w:line="230" w:lineRule="atLeast"/>
              <w:jc w:val="center"/>
              <w:rPr>
                <w:rFonts w:eastAsia="Calibri" w:cs="Calibri"/>
                <w:szCs w:val="18"/>
              </w:rPr>
            </w:pPr>
            <w:r w:rsidRPr="00841C21">
              <w:rPr>
                <w:rFonts w:eastAsia="Calibri" w:cs="Calibri"/>
                <w:szCs w:val="18"/>
              </w:rPr>
              <w:t>3.5</w:t>
            </w:r>
          </w:p>
        </w:tc>
        <w:tc>
          <w:tcPr>
            <w:tcW w:w="554" w:type="dxa"/>
            <w:tcMar>
              <w:left w:w="60" w:type="dxa"/>
              <w:right w:w="60" w:type="dxa"/>
            </w:tcMar>
            <w:vAlign w:val="center"/>
          </w:tcPr>
          <w:p w14:paraId="3269C496" w14:textId="77777777" w:rsidR="00F51113" w:rsidRPr="00841C21" w:rsidRDefault="00F51113">
            <w:pPr>
              <w:pStyle w:val="TableText"/>
              <w:keepNext/>
              <w:spacing w:before="40" w:after="40" w:line="230" w:lineRule="atLeast"/>
              <w:jc w:val="center"/>
              <w:rPr>
                <w:rFonts w:eastAsia="Calibri" w:cs="Calibri"/>
                <w:szCs w:val="18"/>
              </w:rPr>
            </w:pPr>
            <w:r w:rsidRPr="00841C21">
              <w:rPr>
                <w:rFonts w:eastAsia="Calibri" w:cs="Calibri"/>
                <w:szCs w:val="18"/>
              </w:rPr>
              <w:t>3.7</w:t>
            </w:r>
          </w:p>
        </w:tc>
        <w:tc>
          <w:tcPr>
            <w:tcW w:w="554" w:type="dxa"/>
            <w:tcMar>
              <w:left w:w="60" w:type="dxa"/>
              <w:right w:w="60" w:type="dxa"/>
            </w:tcMar>
            <w:vAlign w:val="center"/>
          </w:tcPr>
          <w:p w14:paraId="1EA78B7B" w14:textId="77777777" w:rsidR="00F51113" w:rsidRPr="00841C21" w:rsidRDefault="00F51113">
            <w:pPr>
              <w:pStyle w:val="TableText"/>
              <w:keepNext/>
              <w:spacing w:before="40" w:after="40" w:line="230" w:lineRule="atLeast"/>
              <w:jc w:val="center"/>
              <w:rPr>
                <w:rFonts w:eastAsia="Calibri" w:cs="Calibri"/>
                <w:szCs w:val="18"/>
              </w:rPr>
            </w:pPr>
            <w:r w:rsidRPr="00841C21">
              <w:rPr>
                <w:rFonts w:eastAsia="Calibri" w:cs="Calibri"/>
                <w:szCs w:val="18"/>
              </w:rPr>
              <w:t>3.9</w:t>
            </w:r>
          </w:p>
        </w:tc>
        <w:tc>
          <w:tcPr>
            <w:tcW w:w="554" w:type="dxa"/>
            <w:tcMar>
              <w:left w:w="60" w:type="dxa"/>
              <w:right w:w="60" w:type="dxa"/>
            </w:tcMar>
            <w:vAlign w:val="center"/>
          </w:tcPr>
          <w:p w14:paraId="1C9EB11F" w14:textId="77777777" w:rsidR="00F51113" w:rsidRPr="00841C21" w:rsidRDefault="00F51113">
            <w:pPr>
              <w:pStyle w:val="TableText"/>
              <w:keepNext/>
              <w:spacing w:before="40" w:after="40" w:line="230" w:lineRule="atLeast"/>
              <w:jc w:val="center"/>
              <w:rPr>
                <w:rFonts w:eastAsia="Calibri" w:cs="Calibri"/>
                <w:szCs w:val="18"/>
              </w:rPr>
            </w:pPr>
            <w:r w:rsidRPr="00841C21">
              <w:rPr>
                <w:rFonts w:eastAsia="Calibri" w:cs="Calibri"/>
                <w:szCs w:val="18"/>
              </w:rPr>
              <w:t>4.1</w:t>
            </w:r>
          </w:p>
        </w:tc>
        <w:tc>
          <w:tcPr>
            <w:tcW w:w="554" w:type="dxa"/>
            <w:tcMar>
              <w:left w:w="60" w:type="dxa"/>
              <w:right w:w="60" w:type="dxa"/>
            </w:tcMar>
            <w:vAlign w:val="center"/>
          </w:tcPr>
          <w:p w14:paraId="0EFDB806" w14:textId="77777777" w:rsidR="00F51113" w:rsidRPr="00841C21" w:rsidRDefault="00F51113">
            <w:pPr>
              <w:pStyle w:val="TableText"/>
              <w:keepNext/>
              <w:spacing w:before="40" w:after="40" w:line="230" w:lineRule="atLeast"/>
              <w:jc w:val="center"/>
              <w:rPr>
                <w:rFonts w:eastAsia="Calibri" w:cs="Calibri"/>
                <w:szCs w:val="18"/>
              </w:rPr>
            </w:pPr>
            <w:r w:rsidRPr="00841C21">
              <w:rPr>
                <w:rFonts w:eastAsia="Calibri" w:cs="Calibri"/>
                <w:szCs w:val="18"/>
              </w:rPr>
              <w:t>4.3</w:t>
            </w:r>
          </w:p>
        </w:tc>
        <w:tc>
          <w:tcPr>
            <w:tcW w:w="554" w:type="dxa"/>
            <w:tcMar>
              <w:left w:w="60" w:type="dxa"/>
              <w:right w:w="60" w:type="dxa"/>
            </w:tcMar>
            <w:vAlign w:val="center"/>
          </w:tcPr>
          <w:p w14:paraId="368975C7" w14:textId="77777777" w:rsidR="00F51113" w:rsidRPr="00841C21" w:rsidRDefault="00F51113">
            <w:pPr>
              <w:pStyle w:val="TableText"/>
              <w:keepNext/>
              <w:spacing w:before="40" w:after="40" w:line="230" w:lineRule="atLeast"/>
              <w:jc w:val="center"/>
              <w:rPr>
                <w:rFonts w:eastAsia="Calibri" w:cs="Calibri"/>
                <w:szCs w:val="18"/>
              </w:rPr>
            </w:pPr>
            <w:r w:rsidRPr="00841C21">
              <w:rPr>
                <w:rFonts w:eastAsia="Calibri" w:cs="Calibri"/>
                <w:szCs w:val="18"/>
              </w:rPr>
              <w:t>4.6</w:t>
            </w:r>
          </w:p>
        </w:tc>
        <w:tc>
          <w:tcPr>
            <w:tcW w:w="554" w:type="dxa"/>
            <w:tcMar>
              <w:left w:w="60" w:type="dxa"/>
              <w:right w:w="60" w:type="dxa"/>
            </w:tcMar>
            <w:vAlign w:val="center"/>
          </w:tcPr>
          <w:p w14:paraId="52782497" w14:textId="77777777" w:rsidR="00F51113" w:rsidRPr="00841C21" w:rsidRDefault="00F51113">
            <w:pPr>
              <w:pStyle w:val="TableText"/>
              <w:keepNext/>
              <w:spacing w:before="40" w:after="40" w:line="230" w:lineRule="atLeast"/>
              <w:jc w:val="center"/>
              <w:rPr>
                <w:rFonts w:eastAsia="Calibri" w:cs="Calibri"/>
                <w:color w:val="000000" w:themeColor="text1"/>
                <w:szCs w:val="18"/>
              </w:rPr>
            </w:pPr>
            <w:r w:rsidRPr="00841C21">
              <w:rPr>
                <w:rFonts w:eastAsia="Calibri" w:cs="Calibri"/>
                <w:color w:val="000000" w:themeColor="text1"/>
                <w:szCs w:val="18"/>
              </w:rPr>
              <w:t>5.1</w:t>
            </w:r>
          </w:p>
        </w:tc>
        <w:tc>
          <w:tcPr>
            <w:tcW w:w="554" w:type="dxa"/>
            <w:shd w:val="clear" w:color="auto" w:fill="D2DDE1" w:themeFill="background2"/>
            <w:tcMar>
              <w:left w:w="60" w:type="dxa"/>
              <w:right w:w="60" w:type="dxa"/>
            </w:tcMar>
            <w:vAlign w:val="center"/>
          </w:tcPr>
          <w:p w14:paraId="662091C4" w14:textId="77777777" w:rsidR="00F51113" w:rsidRPr="00841C21" w:rsidRDefault="00F51113">
            <w:pPr>
              <w:pStyle w:val="TableText"/>
              <w:keepNext/>
              <w:spacing w:before="40" w:after="40" w:line="230" w:lineRule="atLeast"/>
              <w:jc w:val="center"/>
              <w:rPr>
                <w:rFonts w:eastAsia="Calibri" w:cs="Calibri"/>
                <w:szCs w:val="18"/>
              </w:rPr>
            </w:pPr>
            <w:r w:rsidRPr="00841C21">
              <w:rPr>
                <w:rFonts w:eastAsia="Calibri" w:cs="Calibri"/>
                <w:szCs w:val="18"/>
              </w:rPr>
              <w:t>5.2</w:t>
            </w:r>
          </w:p>
        </w:tc>
        <w:tc>
          <w:tcPr>
            <w:tcW w:w="554" w:type="dxa"/>
            <w:shd w:val="clear" w:color="auto" w:fill="D2DDE1" w:themeFill="background2"/>
            <w:tcMar>
              <w:left w:w="60" w:type="dxa"/>
              <w:right w:w="60" w:type="dxa"/>
            </w:tcMar>
            <w:vAlign w:val="center"/>
          </w:tcPr>
          <w:p w14:paraId="0A84EF0A" w14:textId="77777777" w:rsidR="00F51113" w:rsidRPr="00841C21" w:rsidRDefault="00F51113">
            <w:pPr>
              <w:pStyle w:val="TableText"/>
              <w:keepNext/>
              <w:spacing w:before="40" w:after="40" w:line="230" w:lineRule="atLeast"/>
              <w:jc w:val="center"/>
              <w:rPr>
                <w:rFonts w:eastAsia="Calibri" w:cs="Calibri"/>
                <w:szCs w:val="18"/>
              </w:rPr>
            </w:pPr>
            <w:r w:rsidRPr="00841C21">
              <w:rPr>
                <w:rFonts w:eastAsia="Calibri" w:cs="Calibri"/>
                <w:szCs w:val="18"/>
              </w:rPr>
              <w:t>5.4</w:t>
            </w:r>
          </w:p>
        </w:tc>
        <w:tc>
          <w:tcPr>
            <w:tcW w:w="554" w:type="dxa"/>
            <w:shd w:val="clear" w:color="auto" w:fill="D2DDE1" w:themeFill="background2"/>
            <w:tcMar>
              <w:left w:w="60" w:type="dxa"/>
              <w:right w:w="60" w:type="dxa"/>
            </w:tcMar>
            <w:vAlign w:val="center"/>
          </w:tcPr>
          <w:p w14:paraId="28D2F627" w14:textId="77777777" w:rsidR="00F51113" w:rsidRPr="00841C21" w:rsidRDefault="00F51113">
            <w:pPr>
              <w:pStyle w:val="TableText"/>
              <w:keepNext/>
              <w:spacing w:before="40" w:after="40" w:line="230" w:lineRule="atLeast"/>
              <w:jc w:val="center"/>
              <w:rPr>
                <w:rFonts w:eastAsia="Calibri" w:cs="Calibri"/>
                <w:szCs w:val="18"/>
              </w:rPr>
            </w:pPr>
            <w:r w:rsidRPr="00841C21">
              <w:rPr>
                <w:rFonts w:eastAsia="Calibri" w:cs="Calibri"/>
                <w:szCs w:val="18"/>
              </w:rPr>
              <w:t>5.6</w:t>
            </w:r>
          </w:p>
        </w:tc>
        <w:tc>
          <w:tcPr>
            <w:tcW w:w="554" w:type="dxa"/>
            <w:shd w:val="clear" w:color="auto" w:fill="D2DDE1" w:themeFill="background2"/>
            <w:tcMar>
              <w:left w:w="60" w:type="dxa"/>
              <w:right w:w="60" w:type="dxa"/>
            </w:tcMar>
            <w:vAlign w:val="center"/>
          </w:tcPr>
          <w:p w14:paraId="4039ED64" w14:textId="77777777" w:rsidR="00F51113" w:rsidRPr="00841C21" w:rsidRDefault="00F51113">
            <w:pPr>
              <w:pStyle w:val="TableText"/>
              <w:keepNext/>
              <w:spacing w:before="40" w:after="40" w:line="230" w:lineRule="atLeast"/>
              <w:jc w:val="center"/>
              <w:rPr>
                <w:rFonts w:eastAsia="Calibri" w:cs="Calibri"/>
                <w:szCs w:val="18"/>
              </w:rPr>
            </w:pPr>
            <w:r w:rsidRPr="00841C21">
              <w:rPr>
                <w:rFonts w:eastAsia="Calibri" w:cs="Calibri"/>
                <w:szCs w:val="18"/>
              </w:rPr>
              <w:t>5.8</w:t>
            </w:r>
          </w:p>
        </w:tc>
        <w:tc>
          <w:tcPr>
            <w:tcW w:w="554" w:type="dxa"/>
            <w:shd w:val="clear" w:color="auto" w:fill="D2DDE1" w:themeFill="background2"/>
            <w:tcMar>
              <w:left w:w="60" w:type="dxa"/>
              <w:right w:w="60" w:type="dxa"/>
            </w:tcMar>
            <w:vAlign w:val="center"/>
          </w:tcPr>
          <w:p w14:paraId="0954EA27" w14:textId="77777777" w:rsidR="00F51113" w:rsidRPr="00841C21" w:rsidRDefault="00F51113">
            <w:pPr>
              <w:pStyle w:val="TableText"/>
              <w:keepNext/>
              <w:spacing w:before="40" w:after="40" w:line="230" w:lineRule="atLeast"/>
              <w:jc w:val="center"/>
              <w:rPr>
                <w:rFonts w:eastAsia="Calibri" w:cs="Calibri"/>
                <w:szCs w:val="18"/>
              </w:rPr>
            </w:pPr>
            <w:r w:rsidRPr="00841C21">
              <w:rPr>
                <w:rFonts w:eastAsia="Calibri" w:cs="Calibri"/>
                <w:szCs w:val="18"/>
              </w:rPr>
              <w:t>6.0</w:t>
            </w:r>
          </w:p>
        </w:tc>
        <w:tc>
          <w:tcPr>
            <w:tcW w:w="554" w:type="dxa"/>
            <w:shd w:val="clear" w:color="auto" w:fill="D2DDE1" w:themeFill="background2"/>
            <w:tcMar>
              <w:left w:w="60" w:type="dxa"/>
              <w:right w:w="60" w:type="dxa"/>
            </w:tcMar>
            <w:vAlign w:val="center"/>
          </w:tcPr>
          <w:p w14:paraId="19A77EF6" w14:textId="77777777" w:rsidR="00F51113" w:rsidRPr="00841C21" w:rsidRDefault="00F51113">
            <w:pPr>
              <w:pStyle w:val="TableText"/>
              <w:keepNext/>
              <w:spacing w:before="40" w:after="40" w:line="230" w:lineRule="atLeast"/>
              <w:jc w:val="center"/>
              <w:rPr>
                <w:rFonts w:eastAsia="Calibri" w:cs="Calibri"/>
                <w:szCs w:val="18"/>
              </w:rPr>
            </w:pPr>
            <w:r w:rsidRPr="00841C21">
              <w:rPr>
                <w:rFonts w:eastAsia="Calibri" w:cs="Calibri"/>
                <w:szCs w:val="18"/>
              </w:rPr>
              <w:t>6.1</w:t>
            </w:r>
          </w:p>
        </w:tc>
      </w:tr>
      <w:tr w:rsidR="00F51113" w:rsidRPr="00841C21" w14:paraId="2F149ADC" w14:textId="77777777">
        <w:tc>
          <w:tcPr>
            <w:tcW w:w="851" w:type="dxa"/>
            <w:vMerge/>
            <w:vAlign w:val="center"/>
          </w:tcPr>
          <w:p w14:paraId="272781DB" w14:textId="77777777" w:rsidR="00F51113" w:rsidRPr="00841C21" w:rsidRDefault="00F51113">
            <w:pPr>
              <w:spacing w:before="40" w:after="40" w:line="230" w:lineRule="atLeast"/>
              <w:jc w:val="left"/>
              <w:rPr>
                <w:rFonts w:cs="Calibri"/>
                <w:sz w:val="18"/>
                <w:szCs w:val="18"/>
              </w:rPr>
            </w:pPr>
          </w:p>
        </w:tc>
        <w:tc>
          <w:tcPr>
            <w:tcW w:w="599" w:type="dxa"/>
            <w:tcMar>
              <w:left w:w="60" w:type="dxa"/>
              <w:right w:w="60" w:type="dxa"/>
            </w:tcMar>
            <w:vAlign w:val="center"/>
          </w:tcPr>
          <w:p w14:paraId="31AD8015" w14:textId="77777777" w:rsidR="00F51113" w:rsidRPr="00841C21" w:rsidRDefault="00F51113">
            <w:pPr>
              <w:pStyle w:val="TableText"/>
              <w:spacing w:before="40" w:after="40" w:line="230" w:lineRule="atLeast"/>
              <w:jc w:val="center"/>
              <w:rPr>
                <w:rFonts w:eastAsia="Calibri" w:cs="Calibri"/>
                <w:color w:val="000000" w:themeColor="text1"/>
                <w:szCs w:val="18"/>
              </w:rPr>
            </w:pPr>
            <w:r w:rsidRPr="00841C21">
              <w:rPr>
                <w:rFonts w:eastAsia="Calibri" w:cs="Calibri"/>
                <w:color w:val="000000" w:themeColor="text1"/>
                <w:szCs w:val="18"/>
              </w:rPr>
              <w:t>Low</w:t>
            </w:r>
          </w:p>
        </w:tc>
        <w:tc>
          <w:tcPr>
            <w:tcW w:w="564" w:type="dxa"/>
            <w:tcMar>
              <w:left w:w="60" w:type="dxa"/>
              <w:right w:w="60" w:type="dxa"/>
            </w:tcMar>
            <w:vAlign w:val="center"/>
          </w:tcPr>
          <w:p w14:paraId="68177114"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3.5</w:t>
            </w:r>
          </w:p>
        </w:tc>
        <w:tc>
          <w:tcPr>
            <w:tcW w:w="554" w:type="dxa"/>
            <w:tcMar>
              <w:left w:w="60" w:type="dxa"/>
              <w:right w:w="60" w:type="dxa"/>
            </w:tcMar>
            <w:vAlign w:val="center"/>
          </w:tcPr>
          <w:p w14:paraId="665A0918"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3.7</w:t>
            </w:r>
          </w:p>
        </w:tc>
        <w:tc>
          <w:tcPr>
            <w:tcW w:w="554" w:type="dxa"/>
            <w:tcMar>
              <w:left w:w="60" w:type="dxa"/>
              <w:right w:w="60" w:type="dxa"/>
            </w:tcMar>
            <w:vAlign w:val="center"/>
          </w:tcPr>
          <w:p w14:paraId="271BCF16"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3.9</w:t>
            </w:r>
          </w:p>
        </w:tc>
        <w:tc>
          <w:tcPr>
            <w:tcW w:w="554" w:type="dxa"/>
            <w:tcMar>
              <w:left w:w="60" w:type="dxa"/>
              <w:right w:w="60" w:type="dxa"/>
            </w:tcMar>
            <w:vAlign w:val="center"/>
          </w:tcPr>
          <w:p w14:paraId="70E45203"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4.1</w:t>
            </w:r>
          </w:p>
        </w:tc>
        <w:tc>
          <w:tcPr>
            <w:tcW w:w="554" w:type="dxa"/>
            <w:tcMar>
              <w:left w:w="60" w:type="dxa"/>
              <w:right w:w="60" w:type="dxa"/>
            </w:tcMar>
            <w:vAlign w:val="center"/>
          </w:tcPr>
          <w:p w14:paraId="022B20D3"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4.3</w:t>
            </w:r>
          </w:p>
        </w:tc>
        <w:tc>
          <w:tcPr>
            <w:tcW w:w="554" w:type="dxa"/>
            <w:tcMar>
              <w:left w:w="60" w:type="dxa"/>
              <w:right w:w="60" w:type="dxa"/>
            </w:tcMar>
            <w:vAlign w:val="center"/>
          </w:tcPr>
          <w:p w14:paraId="4B96E923"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4.6</w:t>
            </w:r>
          </w:p>
        </w:tc>
        <w:tc>
          <w:tcPr>
            <w:tcW w:w="554" w:type="dxa"/>
            <w:tcMar>
              <w:left w:w="60" w:type="dxa"/>
              <w:right w:w="60" w:type="dxa"/>
            </w:tcMar>
            <w:vAlign w:val="center"/>
          </w:tcPr>
          <w:p w14:paraId="777ABD2E" w14:textId="77777777" w:rsidR="00F51113" w:rsidRPr="00841C21" w:rsidRDefault="00F51113">
            <w:pPr>
              <w:pStyle w:val="TableText"/>
              <w:spacing w:before="40" w:after="40" w:line="230" w:lineRule="atLeast"/>
              <w:jc w:val="center"/>
              <w:rPr>
                <w:rFonts w:eastAsia="Calibri" w:cs="Calibri"/>
                <w:color w:val="000000" w:themeColor="text1"/>
                <w:szCs w:val="18"/>
              </w:rPr>
            </w:pPr>
            <w:r w:rsidRPr="00841C21">
              <w:rPr>
                <w:rFonts w:eastAsia="Calibri" w:cs="Calibri"/>
                <w:color w:val="000000" w:themeColor="text1"/>
                <w:szCs w:val="18"/>
              </w:rPr>
              <w:t>5.1</w:t>
            </w:r>
          </w:p>
        </w:tc>
        <w:tc>
          <w:tcPr>
            <w:tcW w:w="554" w:type="dxa"/>
            <w:shd w:val="clear" w:color="auto" w:fill="D2DDE1" w:themeFill="background2"/>
            <w:tcMar>
              <w:left w:w="60" w:type="dxa"/>
              <w:right w:w="60" w:type="dxa"/>
            </w:tcMar>
            <w:vAlign w:val="center"/>
          </w:tcPr>
          <w:p w14:paraId="3AB879E8"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5.1</w:t>
            </w:r>
          </w:p>
        </w:tc>
        <w:tc>
          <w:tcPr>
            <w:tcW w:w="554" w:type="dxa"/>
            <w:shd w:val="clear" w:color="auto" w:fill="D2DDE1" w:themeFill="background2"/>
            <w:tcMar>
              <w:left w:w="60" w:type="dxa"/>
              <w:right w:w="60" w:type="dxa"/>
            </w:tcMar>
            <w:vAlign w:val="center"/>
          </w:tcPr>
          <w:p w14:paraId="52299E35"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5.2</w:t>
            </w:r>
          </w:p>
        </w:tc>
        <w:tc>
          <w:tcPr>
            <w:tcW w:w="554" w:type="dxa"/>
            <w:shd w:val="clear" w:color="auto" w:fill="D2DDE1" w:themeFill="background2"/>
            <w:tcMar>
              <w:left w:w="60" w:type="dxa"/>
              <w:right w:w="60" w:type="dxa"/>
            </w:tcMar>
            <w:vAlign w:val="center"/>
          </w:tcPr>
          <w:p w14:paraId="21A74ACC"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5.3</w:t>
            </w:r>
          </w:p>
        </w:tc>
        <w:tc>
          <w:tcPr>
            <w:tcW w:w="554" w:type="dxa"/>
            <w:shd w:val="clear" w:color="auto" w:fill="D2DDE1" w:themeFill="background2"/>
            <w:tcMar>
              <w:left w:w="60" w:type="dxa"/>
              <w:right w:w="60" w:type="dxa"/>
            </w:tcMar>
            <w:vAlign w:val="center"/>
          </w:tcPr>
          <w:p w14:paraId="29ED2B09"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5.4</w:t>
            </w:r>
          </w:p>
        </w:tc>
        <w:tc>
          <w:tcPr>
            <w:tcW w:w="554" w:type="dxa"/>
            <w:shd w:val="clear" w:color="auto" w:fill="D2DDE1" w:themeFill="background2"/>
            <w:tcMar>
              <w:left w:w="60" w:type="dxa"/>
              <w:right w:w="60" w:type="dxa"/>
            </w:tcMar>
            <w:vAlign w:val="center"/>
          </w:tcPr>
          <w:p w14:paraId="0A98B138"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5.5</w:t>
            </w:r>
          </w:p>
        </w:tc>
        <w:tc>
          <w:tcPr>
            <w:tcW w:w="554" w:type="dxa"/>
            <w:shd w:val="clear" w:color="auto" w:fill="D2DDE1" w:themeFill="background2"/>
            <w:tcMar>
              <w:left w:w="60" w:type="dxa"/>
              <w:right w:w="60" w:type="dxa"/>
            </w:tcMar>
            <w:vAlign w:val="center"/>
          </w:tcPr>
          <w:p w14:paraId="1ED3669F"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5.5</w:t>
            </w:r>
          </w:p>
        </w:tc>
      </w:tr>
      <w:tr w:rsidR="00F51113" w:rsidRPr="00841C21" w14:paraId="06312271" w14:textId="77777777">
        <w:tc>
          <w:tcPr>
            <w:tcW w:w="851" w:type="dxa"/>
            <w:vMerge/>
            <w:vAlign w:val="center"/>
          </w:tcPr>
          <w:p w14:paraId="4485AD22" w14:textId="77777777" w:rsidR="00F51113" w:rsidRPr="00841C21" w:rsidRDefault="00F51113">
            <w:pPr>
              <w:spacing w:before="40" w:after="40" w:line="230" w:lineRule="atLeast"/>
              <w:jc w:val="left"/>
              <w:rPr>
                <w:rFonts w:cs="Calibri"/>
                <w:sz w:val="18"/>
                <w:szCs w:val="18"/>
              </w:rPr>
            </w:pPr>
          </w:p>
        </w:tc>
        <w:tc>
          <w:tcPr>
            <w:tcW w:w="599" w:type="dxa"/>
            <w:tcMar>
              <w:left w:w="60" w:type="dxa"/>
              <w:right w:w="60" w:type="dxa"/>
            </w:tcMar>
            <w:vAlign w:val="center"/>
          </w:tcPr>
          <w:p w14:paraId="574FC891" w14:textId="77777777" w:rsidR="00F51113" w:rsidRPr="00841C21" w:rsidRDefault="00F51113">
            <w:pPr>
              <w:pStyle w:val="TableText"/>
              <w:spacing w:before="40" w:after="40" w:line="230" w:lineRule="atLeast"/>
              <w:jc w:val="center"/>
              <w:rPr>
                <w:rFonts w:eastAsia="Calibri" w:cs="Calibri"/>
                <w:color w:val="000000" w:themeColor="text1"/>
                <w:szCs w:val="18"/>
              </w:rPr>
            </w:pPr>
            <w:r w:rsidRPr="00841C21">
              <w:rPr>
                <w:rFonts w:eastAsia="Calibri" w:cs="Calibri"/>
                <w:color w:val="000000" w:themeColor="text1"/>
                <w:szCs w:val="18"/>
              </w:rPr>
              <w:t>High</w:t>
            </w:r>
          </w:p>
        </w:tc>
        <w:tc>
          <w:tcPr>
            <w:tcW w:w="564" w:type="dxa"/>
            <w:tcMar>
              <w:left w:w="60" w:type="dxa"/>
              <w:right w:w="60" w:type="dxa"/>
            </w:tcMar>
            <w:vAlign w:val="center"/>
          </w:tcPr>
          <w:p w14:paraId="2ACE4D00"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3.5</w:t>
            </w:r>
          </w:p>
        </w:tc>
        <w:tc>
          <w:tcPr>
            <w:tcW w:w="554" w:type="dxa"/>
            <w:tcMar>
              <w:left w:w="60" w:type="dxa"/>
              <w:right w:w="60" w:type="dxa"/>
            </w:tcMar>
            <w:vAlign w:val="center"/>
          </w:tcPr>
          <w:p w14:paraId="476CC92C"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3.7</w:t>
            </w:r>
          </w:p>
        </w:tc>
        <w:tc>
          <w:tcPr>
            <w:tcW w:w="554" w:type="dxa"/>
            <w:tcMar>
              <w:left w:w="60" w:type="dxa"/>
              <w:right w:w="60" w:type="dxa"/>
            </w:tcMar>
            <w:vAlign w:val="center"/>
          </w:tcPr>
          <w:p w14:paraId="336E8476"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3.9</w:t>
            </w:r>
          </w:p>
        </w:tc>
        <w:tc>
          <w:tcPr>
            <w:tcW w:w="554" w:type="dxa"/>
            <w:tcMar>
              <w:left w:w="60" w:type="dxa"/>
              <w:right w:w="60" w:type="dxa"/>
            </w:tcMar>
            <w:vAlign w:val="center"/>
          </w:tcPr>
          <w:p w14:paraId="31DC76CA"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4.1</w:t>
            </w:r>
          </w:p>
        </w:tc>
        <w:tc>
          <w:tcPr>
            <w:tcW w:w="554" w:type="dxa"/>
            <w:tcMar>
              <w:left w:w="60" w:type="dxa"/>
              <w:right w:w="60" w:type="dxa"/>
            </w:tcMar>
            <w:vAlign w:val="center"/>
          </w:tcPr>
          <w:p w14:paraId="71C5E7A4"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4.3</w:t>
            </w:r>
          </w:p>
        </w:tc>
        <w:tc>
          <w:tcPr>
            <w:tcW w:w="554" w:type="dxa"/>
            <w:tcMar>
              <w:left w:w="60" w:type="dxa"/>
              <w:right w:w="60" w:type="dxa"/>
            </w:tcMar>
            <w:vAlign w:val="center"/>
          </w:tcPr>
          <w:p w14:paraId="50546AA0"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4.6</w:t>
            </w:r>
          </w:p>
        </w:tc>
        <w:tc>
          <w:tcPr>
            <w:tcW w:w="554" w:type="dxa"/>
            <w:tcMar>
              <w:left w:w="60" w:type="dxa"/>
              <w:right w:w="60" w:type="dxa"/>
            </w:tcMar>
            <w:vAlign w:val="center"/>
          </w:tcPr>
          <w:p w14:paraId="518B5344" w14:textId="77777777" w:rsidR="00F51113" w:rsidRPr="00841C21" w:rsidRDefault="00F51113">
            <w:pPr>
              <w:pStyle w:val="TableText"/>
              <w:spacing w:before="40" w:after="40" w:line="230" w:lineRule="atLeast"/>
              <w:jc w:val="center"/>
              <w:rPr>
                <w:rFonts w:eastAsia="Calibri" w:cs="Calibri"/>
                <w:color w:val="000000" w:themeColor="text1"/>
                <w:szCs w:val="18"/>
              </w:rPr>
            </w:pPr>
            <w:r w:rsidRPr="00841C21">
              <w:rPr>
                <w:rFonts w:eastAsia="Calibri" w:cs="Calibri"/>
                <w:color w:val="000000" w:themeColor="text1"/>
                <w:szCs w:val="18"/>
              </w:rPr>
              <w:t>5.1</w:t>
            </w:r>
          </w:p>
        </w:tc>
        <w:tc>
          <w:tcPr>
            <w:tcW w:w="554" w:type="dxa"/>
            <w:shd w:val="clear" w:color="auto" w:fill="D2DDE1" w:themeFill="background2"/>
            <w:tcMar>
              <w:left w:w="60" w:type="dxa"/>
              <w:right w:w="60" w:type="dxa"/>
            </w:tcMar>
            <w:vAlign w:val="center"/>
          </w:tcPr>
          <w:p w14:paraId="69063B0E"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5.3</w:t>
            </w:r>
          </w:p>
        </w:tc>
        <w:tc>
          <w:tcPr>
            <w:tcW w:w="554" w:type="dxa"/>
            <w:shd w:val="clear" w:color="auto" w:fill="D2DDE1" w:themeFill="background2"/>
            <w:tcMar>
              <w:left w:w="60" w:type="dxa"/>
              <w:right w:w="60" w:type="dxa"/>
            </w:tcMar>
            <w:vAlign w:val="center"/>
          </w:tcPr>
          <w:p w14:paraId="2F1482BF"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5.6</w:t>
            </w:r>
          </w:p>
        </w:tc>
        <w:tc>
          <w:tcPr>
            <w:tcW w:w="554" w:type="dxa"/>
            <w:shd w:val="clear" w:color="auto" w:fill="D2DDE1" w:themeFill="background2"/>
            <w:tcMar>
              <w:left w:w="60" w:type="dxa"/>
              <w:right w:w="60" w:type="dxa"/>
            </w:tcMar>
            <w:vAlign w:val="center"/>
          </w:tcPr>
          <w:p w14:paraId="40E89A20"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5.9</w:t>
            </w:r>
          </w:p>
        </w:tc>
        <w:tc>
          <w:tcPr>
            <w:tcW w:w="554" w:type="dxa"/>
            <w:shd w:val="clear" w:color="auto" w:fill="D2DDE1" w:themeFill="background2"/>
            <w:tcMar>
              <w:left w:w="60" w:type="dxa"/>
              <w:right w:w="60" w:type="dxa"/>
            </w:tcMar>
            <w:vAlign w:val="center"/>
          </w:tcPr>
          <w:p w14:paraId="366D9511"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6.2</w:t>
            </w:r>
          </w:p>
        </w:tc>
        <w:tc>
          <w:tcPr>
            <w:tcW w:w="554" w:type="dxa"/>
            <w:shd w:val="clear" w:color="auto" w:fill="D2DDE1" w:themeFill="background2"/>
            <w:tcMar>
              <w:left w:w="60" w:type="dxa"/>
              <w:right w:w="60" w:type="dxa"/>
            </w:tcMar>
            <w:vAlign w:val="center"/>
          </w:tcPr>
          <w:p w14:paraId="24FC860B"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6.5</w:t>
            </w:r>
          </w:p>
        </w:tc>
        <w:tc>
          <w:tcPr>
            <w:tcW w:w="554" w:type="dxa"/>
            <w:shd w:val="clear" w:color="auto" w:fill="D2DDE1" w:themeFill="background2"/>
            <w:tcMar>
              <w:left w:w="60" w:type="dxa"/>
              <w:right w:w="60" w:type="dxa"/>
            </w:tcMar>
            <w:vAlign w:val="center"/>
          </w:tcPr>
          <w:p w14:paraId="06AF17CF"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6.7</w:t>
            </w:r>
          </w:p>
        </w:tc>
      </w:tr>
      <w:tr w:rsidR="00F51113" w:rsidRPr="00841C21" w14:paraId="13DD831C" w14:textId="77777777">
        <w:tc>
          <w:tcPr>
            <w:tcW w:w="851" w:type="dxa"/>
            <w:vMerge w:val="restart"/>
            <w:tcMar>
              <w:left w:w="60" w:type="dxa"/>
              <w:right w:w="60" w:type="dxa"/>
            </w:tcMar>
            <w:vAlign w:val="center"/>
          </w:tcPr>
          <w:p w14:paraId="2602EC0B" w14:textId="77777777" w:rsidR="00F51113" w:rsidRPr="00841C21" w:rsidRDefault="00F51113">
            <w:pPr>
              <w:pStyle w:val="TableText"/>
              <w:spacing w:before="40" w:after="40" w:line="230" w:lineRule="atLeast"/>
              <w:rPr>
                <w:rFonts w:eastAsia="Calibri" w:cs="Calibri"/>
                <w:szCs w:val="18"/>
              </w:rPr>
            </w:pPr>
            <w:r w:rsidRPr="00841C21">
              <w:rPr>
                <w:rFonts w:eastAsia="Calibri" w:cs="Calibri"/>
                <w:b/>
                <w:bCs/>
                <w:szCs w:val="18"/>
              </w:rPr>
              <w:t xml:space="preserve">GDP </w:t>
            </w:r>
            <w:r w:rsidRPr="00841C21">
              <w:rPr>
                <w:rFonts w:eastAsia="Calibri" w:cs="Calibri"/>
                <w:szCs w:val="18"/>
              </w:rPr>
              <w:t>billion real 2009/ 10 $NZ</w:t>
            </w:r>
          </w:p>
        </w:tc>
        <w:tc>
          <w:tcPr>
            <w:tcW w:w="599" w:type="dxa"/>
            <w:tcMar>
              <w:left w:w="60" w:type="dxa"/>
              <w:right w:w="60" w:type="dxa"/>
            </w:tcMar>
            <w:vAlign w:val="center"/>
          </w:tcPr>
          <w:p w14:paraId="5926352A" w14:textId="77777777" w:rsidR="00F51113" w:rsidRPr="00841C21" w:rsidRDefault="00F51113">
            <w:pPr>
              <w:pStyle w:val="TableText"/>
              <w:spacing w:before="40" w:after="40" w:line="230" w:lineRule="atLeast"/>
              <w:jc w:val="center"/>
              <w:rPr>
                <w:rFonts w:eastAsia="Calibri" w:cs="Calibri"/>
                <w:color w:val="000000" w:themeColor="text1"/>
                <w:szCs w:val="18"/>
              </w:rPr>
            </w:pPr>
            <w:r w:rsidRPr="00841C21">
              <w:rPr>
                <w:rFonts w:eastAsia="Calibri" w:cs="Calibri"/>
                <w:color w:val="000000" w:themeColor="text1"/>
                <w:szCs w:val="18"/>
              </w:rPr>
              <w:t>WEM</w:t>
            </w:r>
          </w:p>
        </w:tc>
        <w:tc>
          <w:tcPr>
            <w:tcW w:w="564" w:type="dxa"/>
            <w:tcMar>
              <w:left w:w="60" w:type="dxa"/>
              <w:right w:w="60" w:type="dxa"/>
            </w:tcMar>
            <w:vAlign w:val="center"/>
          </w:tcPr>
          <w:p w14:paraId="29D27DED"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113</w:t>
            </w:r>
          </w:p>
        </w:tc>
        <w:tc>
          <w:tcPr>
            <w:tcW w:w="554" w:type="dxa"/>
            <w:tcMar>
              <w:left w:w="60" w:type="dxa"/>
              <w:right w:w="60" w:type="dxa"/>
            </w:tcMar>
            <w:vAlign w:val="center"/>
          </w:tcPr>
          <w:p w14:paraId="0B35B5A2"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130</w:t>
            </w:r>
          </w:p>
        </w:tc>
        <w:tc>
          <w:tcPr>
            <w:tcW w:w="554" w:type="dxa"/>
            <w:tcMar>
              <w:left w:w="60" w:type="dxa"/>
              <w:right w:w="60" w:type="dxa"/>
            </w:tcMar>
            <w:vAlign w:val="center"/>
          </w:tcPr>
          <w:p w14:paraId="2685B4BC"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152</w:t>
            </w:r>
          </w:p>
        </w:tc>
        <w:tc>
          <w:tcPr>
            <w:tcW w:w="554" w:type="dxa"/>
            <w:tcMar>
              <w:left w:w="60" w:type="dxa"/>
              <w:right w:w="60" w:type="dxa"/>
            </w:tcMar>
            <w:vAlign w:val="center"/>
          </w:tcPr>
          <w:p w14:paraId="72736291"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184</w:t>
            </w:r>
          </w:p>
        </w:tc>
        <w:tc>
          <w:tcPr>
            <w:tcW w:w="554" w:type="dxa"/>
            <w:tcMar>
              <w:left w:w="60" w:type="dxa"/>
              <w:right w:w="60" w:type="dxa"/>
            </w:tcMar>
            <w:vAlign w:val="center"/>
          </w:tcPr>
          <w:p w14:paraId="4F993F73"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197</w:t>
            </w:r>
          </w:p>
        </w:tc>
        <w:tc>
          <w:tcPr>
            <w:tcW w:w="554" w:type="dxa"/>
            <w:tcMar>
              <w:left w:w="60" w:type="dxa"/>
              <w:right w:w="60" w:type="dxa"/>
            </w:tcMar>
            <w:vAlign w:val="center"/>
          </w:tcPr>
          <w:p w14:paraId="4523F279"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226</w:t>
            </w:r>
          </w:p>
        </w:tc>
        <w:tc>
          <w:tcPr>
            <w:tcW w:w="554" w:type="dxa"/>
            <w:tcMar>
              <w:left w:w="60" w:type="dxa"/>
              <w:right w:w="60" w:type="dxa"/>
            </w:tcMar>
            <w:vAlign w:val="center"/>
          </w:tcPr>
          <w:p w14:paraId="0F19E1AE" w14:textId="77777777" w:rsidR="00F51113" w:rsidRPr="00841C21" w:rsidRDefault="00F51113">
            <w:pPr>
              <w:pStyle w:val="TableText"/>
              <w:spacing w:before="40" w:after="40" w:line="230" w:lineRule="atLeast"/>
              <w:jc w:val="center"/>
              <w:rPr>
                <w:rFonts w:eastAsia="Calibri" w:cs="Calibri"/>
                <w:color w:val="000000" w:themeColor="text1"/>
                <w:szCs w:val="18"/>
              </w:rPr>
            </w:pPr>
            <w:r w:rsidRPr="00841C21">
              <w:rPr>
                <w:rFonts w:eastAsia="Calibri" w:cs="Calibri"/>
                <w:color w:val="000000" w:themeColor="text1"/>
                <w:szCs w:val="18"/>
              </w:rPr>
              <w:t>255</w:t>
            </w:r>
          </w:p>
        </w:tc>
        <w:tc>
          <w:tcPr>
            <w:tcW w:w="554" w:type="dxa"/>
            <w:shd w:val="clear" w:color="auto" w:fill="D2DDE1" w:themeFill="background2"/>
            <w:tcMar>
              <w:left w:w="60" w:type="dxa"/>
              <w:right w:w="60" w:type="dxa"/>
            </w:tcMar>
            <w:vAlign w:val="center"/>
          </w:tcPr>
          <w:p w14:paraId="6EF37BE4"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293</w:t>
            </w:r>
          </w:p>
        </w:tc>
        <w:tc>
          <w:tcPr>
            <w:tcW w:w="554" w:type="dxa"/>
            <w:shd w:val="clear" w:color="auto" w:fill="D2DDE1" w:themeFill="background2"/>
            <w:tcMar>
              <w:left w:w="60" w:type="dxa"/>
              <w:right w:w="60" w:type="dxa"/>
            </w:tcMar>
            <w:vAlign w:val="center"/>
          </w:tcPr>
          <w:p w14:paraId="0DE4D610"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325</w:t>
            </w:r>
          </w:p>
        </w:tc>
        <w:tc>
          <w:tcPr>
            <w:tcW w:w="554" w:type="dxa"/>
            <w:shd w:val="clear" w:color="auto" w:fill="D2DDE1" w:themeFill="background2"/>
            <w:tcMar>
              <w:left w:w="60" w:type="dxa"/>
              <w:right w:w="60" w:type="dxa"/>
            </w:tcMar>
            <w:vAlign w:val="center"/>
          </w:tcPr>
          <w:p w14:paraId="1EF4DD96"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342</w:t>
            </w:r>
          </w:p>
        </w:tc>
        <w:tc>
          <w:tcPr>
            <w:tcW w:w="554" w:type="dxa"/>
            <w:shd w:val="clear" w:color="auto" w:fill="D2DDE1" w:themeFill="background2"/>
            <w:tcMar>
              <w:left w:w="60" w:type="dxa"/>
              <w:right w:w="60" w:type="dxa"/>
            </w:tcMar>
            <w:vAlign w:val="center"/>
          </w:tcPr>
          <w:p w14:paraId="32E578B1"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355</w:t>
            </w:r>
          </w:p>
        </w:tc>
        <w:tc>
          <w:tcPr>
            <w:tcW w:w="554" w:type="dxa"/>
            <w:shd w:val="clear" w:color="auto" w:fill="D2DDE1" w:themeFill="background2"/>
            <w:tcMar>
              <w:left w:w="60" w:type="dxa"/>
              <w:right w:w="60" w:type="dxa"/>
            </w:tcMar>
            <w:vAlign w:val="center"/>
          </w:tcPr>
          <w:p w14:paraId="2853F6CB"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364</w:t>
            </w:r>
          </w:p>
        </w:tc>
        <w:tc>
          <w:tcPr>
            <w:tcW w:w="554" w:type="dxa"/>
            <w:shd w:val="clear" w:color="auto" w:fill="D2DDE1" w:themeFill="background2"/>
            <w:tcMar>
              <w:left w:w="60" w:type="dxa"/>
              <w:right w:w="60" w:type="dxa"/>
            </w:tcMar>
            <w:vAlign w:val="center"/>
          </w:tcPr>
          <w:p w14:paraId="382F9114"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371</w:t>
            </w:r>
          </w:p>
        </w:tc>
      </w:tr>
      <w:tr w:rsidR="00F51113" w:rsidRPr="00841C21" w14:paraId="7BC44948" w14:textId="77777777">
        <w:tc>
          <w:tcPr>
            <w:tcW w:w="851" w:type="dxa"/>
            <w:vMerge/>
            <w:vAlign w:val="center"/>
          </w:tcPr>
          <w:p w14:paraId="33FB90A8" w14:textId="77777777" w:rsidR="00F51113" w:rsidRPr="00841C21" w:rsidRDefault="00F51113">
            <w:pPr>
              <w:spacing w:before="40" w:after="40" w:line="230" w:lineRule="atLeast"/>
              <w:jc w:val="left"/>
              <w:rPr>
                <w:rFonts w:cs="Calibri"/>
                <w:sz w:val="18"/>
                <w:szCs w:val="18"/>
              </w:rPr>
            </w:pPr>
          </w:p>
        </w:tc>
        <w:tc>
          <w:tcPr>
            <w:tcW w:w="599" w:type="dxa"/>
            <w:tcMar>
              <w:left w:w="60" w:type="dxa"/>
              <w:right w:w="60" w:type="dxa"/>
            </w:tcMar>
            <w:vAlign w:val="center"/>
          </w:tcPr>
          <w:p w14:paraId="54E93B72" w14:textId="77777777" w:rsidR="00F51113" w:rsidRPr="00841C21" w:rsidRDefault="00F51113">
            <w:pPr>
              <w:pStyle w:val="TableText"/>
              <w:spacing w:before="40" w:after="40" w:line="230" w:lineRule="atLeast"/>
              <w:jc w:val="center"/>
              <w:rPr>
                <w:rFonts w:eastAsia="Calibri" w:cs="Calibri"/>
                <w:color w:val="000000" w:themeColor="text1"/>
                <w:szCs w:val="18"/>
              </w:rPr>
            </w:pPr>
            <w:r w:rsidRPr="00841C21">
              <w:rPr>
                <w:rFonts w:eastAsia="Calibri" w:cs="Calibri"/>
                <w:color w:val="000000" w:themeColor="text1"/>
                <w:szCs w:val="18"/>
              </w:rPr>
              <w:t>Low</w:t>
            </w:r>
          </w:p>
        </w:tc>
        <w:tc>
          <w:tcPr>
            <w:tcW w:w="564" w:type="dxa"/>
            <w:tcMar>
              <w:left w:w="60" w:type="dxa"/>
              <w:right w:w="60" w:type="dxa"/>
            </w:tcMar>
            <w:vAlign w:val="center"/>
          </w:tcPr>
          <w:p w14:paraId="129A6A05"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113</w:t>
            </w:r>
          </w:p>
        </w:tc>
        <w:tc>
          <w:tcPr>
            <w:tcW w:w="554" w:type="dxa"/>
            <w:tcMar>
              <w:left w:w="60" w:type="dxa"/>
              <w:right w:w="60" w:type="dxa"/>
            </w:tcMar>
            <w:vAlign w:val="center"/>
          </w:tcPr>
          <w:p w14:paraId="48E200FB"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130</w:t>
            </w:r>
          </w:p>
        </w:tc>
        <w:tc>
          <w:tcPr>
            <w:tcW w:w="554" w:type="dxa"/>
            <w:tcMar>
              <w:left w:w="60" w:type="dxa"/>
              <w:right w:w="60" w:type="dxa"/>
            </w:tcMar>
            <w:vAlign w:val="center"/>
          </w:tcPr>
          <w:p w14:paraId="214C7BBF"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152</w:t>
            </w:r>
          </w:p>
        </w:tc>
        <w:tc>
          <w:tcPr>
            <w:tcW w:w="554" w:type="dxa"/>
            <w:tcMar>
              <w:left w:w="60" w:type="dxa"/>
              <w:right w:w="60" w:type="dxa"/>
            </w:tcMar>
            <w:vAlign w:val="center"/>
          </w:tcPr>
          <w:p w14:paraId="0E340AB5"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184</w:t>
            </w:r>
          </w:p>
        </w:tc>
        <w:tc>
          <w:tcPr>
            <w:tcW w:w="554" w:type="dxa"/>
            <w:tcMar>
              <w:left w:w="60" w:type="dxa"/>
              <w:right w:w="60" w:type="dxa"/>
            </w:tcMar>
            <w:vAlign w:val="center"/>
          </w:tcPr>
          <w:p w14:paraId="7D8B7DB1"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197</w:t>
            </w:r>
          </w:p>
        </w:tc>
        <w:tc>
          <w:tcPr>
            <w:tcW w:w="554" w:type="dxa"/>
            <w:tcMar>
              <w:left w:w="60" w:type="dxa"/>
              <w:right w:w="60" w:type="dxa"/>
            </w:tcMar>
            <w:vAlign w:val="center"/>
          </w:tcPr>
          <w:p w14:paraId="6B61FB7D"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226</w:t>
            </w:r>
          </w:p>
        </w:tc>
        <w:tc>
          <w:tcPr>
            <w:tcW w:w="554" w:type="dxa"/>
            <w:tcMar>
              <w:left w:w="60" w:type="dxa"/>
              <w:right w:w="60" w:type="dxa"/>
            </w:tcMar>
            <w:vAlign w:val="center"/>
          </w:tcPr>
          <w:p w14:paraId="28F9E4EB" w14:textId="77777777" w:rsidR="00F51113" w:rsidRPr="00841C21" w:rsidRDefault="00F51113">
            <w:pPr>
              <w:pStyle w:val="TableText"/>
              <w:spacing w:before="40" w:after="40" w:line="230" w:lineRule="atLeast"/>
              <w:jc w:val="center"/>
              <w:rPr>
                <w:rFonts w:eastAsia="Calibri" w:cs="Calibri"/>
                <w:color w:val="000000" w:themeColor="text1"/>
                <w:szCs w:val="18"/>
              </w:rPr>
            </w:pPr>
            <w:r w:rsidRPr="00841C21">
              <w:rPr>
                <w:rFonts w:eastAsia="Calibri" w:cs="Calibri"/>
                <w:color w:val="000000" w:themeColor="text1"/>
                <w:szCs w:val="18"/>
              </w:rPr>
              <w:t>255</w:t>
            </w:r>
          </w:p>
        </w:tc>
        <w:tc>
          <w:tcPr>
            <w:tcW w:w="554" w:type="dxa"/>
            <w:shd w:val="clear" w:color="auto" w:fill="D2DDE1" w:themeFill="background2"/>
            <w:tcMar>
              <w:left w:w="60" w:type="dxa"/>
              <w:right w:w="60" w:type="dxa"/>
            </w:tcMar>
            <w:vAlign w:val="center"/>
          </w:tcPr>
          <w:p w14:paraId="15CFE49D"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293</w:t>
            </w:r>
          </w:p>
        </w:tc>
        <w:tc>
          <w:tcPr>
            <w:tcW w:w="554" w:type="dxa"/>
            <w:shd w:val="clear" w:color="auto" w:fill="D2DDE1" w:themeFill="background2"/>
            <w:tcMar>
              <w:left w:w="60" w:type="dxa"/>
              <w:right w:w="60" w:type="dxa"/>
            </w:tcMar>
            <w:vAlign w:val="center"/>
          </w:tcPr>
          <w:p w14:paraId="63821B52"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332</w:t>
            </w:r>
          </w:p>
        </w:tc>
        <w:tc>
          <w:tcPr>
            <w:tcW w:w="554" w:type="dxa"/>
            <w:shd w:val="clear" w:color="auto" w:fill="D2DDE1" w:themeFill="background2"/>
            <w:tcMar>
              <w:left w:w="60" w:type="dxa"/>
              <w:right w:w="60" w:type="dxa"/>
            </w:tcMar>
            <w:vAlign w:val="center"/>
          </w:tcPr>
          <w:p w14:paraId="115F1326"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360</w:t>
            </w:r>
          </w:p>
        </w:tc>
        <w:tc>
          <w:tcPr>
            <w:tcW w:w="554" w:type="dxa"/>
            <w:shd w:val="clear" w:color="auto" w:fill="D2DDE1" w:themeFill="background2"/>
            <w:tcMar>
              <w:left w:w="60" w:type="dxa"/>
              <w:right w:w="60" w:type="dxa"/>
            </w:tcMar>
            <w:vAlign w:val="center"/>
          </w:tcPr>
          <w:p w14:paraId="076E6409"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385</w:t>
            </w:r>
          </w:p>
        </w:tc>
        <w:tc>
          <w:tcPr>
            <w:tcW w:w="554" w:type="dxa"/>
            <w:shd w:val="clear" w:color="auto" w:fill="D2DDE1" w:themeFill="background2"/>
            <w:tcMar>
              <w:left w:w="60" w:type="dxa"/>
              <w:right w:w="60" w:type="dxa"/>
            </w:tcMar>
            <w:vAlign w:val="center"/>
          </w:tcPr>
          <w:p w14:paraId="31006ED5"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409</w:t>
            </w:r>
          </w:p>
        </w:tc>
        <w:tc>
          <w:tcPr>
            <w:tcW w:w="554" w:type="dxa"/>
            <w:shd w:val="clear" w:color="auto" w:fill="D2DDE1" w:themeFill="background2"/>
            <w:tcMar>
              <w:left w:w="60" w:type="dxa"/>
              <w:right w:w="60" w:type="dxa"/>
            </w:tcMar>
            <w:vAlign w:val="center"/>
          </w:tcPr>
          <w:p w14:paraId="78A8B8BE"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431</w:t>
            </w:r>
          </w:p>
        </w:tc>
      </w:tr>
      <w:tr w:rsidR="00F51113" w:rsidRPr="00841C21" w14:paraId="0E712227" w14:textId="77777777">
        <w:tc>
          <w:tcPr>
            <w:tcW w:w="851" w:type="dxa"/>
            <w:vMerge/>
            <w:vAlign w:val="center"/>
          </w:tcPr>
          <w:p w14:paraId="343C3D87" w14:textId="77777777" w:rsidR="00F51113" w:rsidRPr="00841C21" w:rsidRDefault="00F51113">
            <w:pPr>
              <w:spacing w:before="40" w:after="40" w:line="230" w:lineRule="atLeast"/>
              <w:jc w:val="left"/>
              <w:rPr>
                <w:rFonts w:cs="Calibri"/>
                <w:sz w:val="18"/>
                <w:szCs w:val="18"/>
              </w:rPr>
            </w:pPr>
          </w:p>
        </w:tc>
        <w:tc>
          <w:tcPr>
            <w:tcW w:w="599" w:type="dxa"/>
            <w:tcMar>
              <w:left w:w="60" w:type="dxa"/>
              <w:right w:w="60" w:type="dxa"/>
            </w:tcMar>
            <w:vAlign w:val="center"/>
          </w:tcPr>
          <w:p w14:paraId="06112CF4" w14:textId="77777777" w:rsidR="00F51113" w:rsidRPr="00841C21" w:rsidRDefault="00F51113">
            <w:pPr>
              <w:pStyle w:val="TableText"/>
              <w:spacing w:before="40" w:after="40" w:line="230" w:lineRule="atLeast"/>
              <w:jc w:val="center"/>
              <w:rPr>
                <w:rFonts w:eastAsia="Calibri" w:cs="Calibri"/>
                <w:color w:val="000000" w:themeColor="text1"/>
                <w:szCs w:val="18"/>
              </w:rPr>
            </w:pPr>
            <w:r w:rsidRPr="00841C21">
              <w:rPr>
                <w:rFonts w:eastAsia="Calibri" w:cs="Calibri"/>
                <w:color w:val="000000" w:themeColor="text1"/>
                <w:szCs w:val="18"/>
              </w:rPr>
              <w:t>High</w:t>
            </w:r>
          </w:p>
        </w:tc>
        <w:tc>
          <w:tcPr>
            <w:tcW w:w="564" w:type="dxa"/>
            <w:tcMar>
              <w:left w:w="60" w:type="dxa"/>
              <w:right w:w="60" w:type="dxa"/>
            </w:tcMar>
            <w:vAlign w:val="center"/>
          </w:tcPr>
          <w:p w14:paraId="5BF63600"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113</w:t>
            </w:r>
          </w:p>
        </w:tc>
        <w:tc>
          <w:tcPr>
            <w:tcW w:w="554" w:type="dxa"/>
            <w:tcMar>
              <w:left w:w="60" w:type="dxa"/>
              <w:right w:w="60" w:type="dxa"/>
            </w:tcMar>
            <w:vAlign w:val="center"/>
          </w:tcPr>
          <w:p w14:paraId="0F828208"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130</w:t>
            </w:r>
          </w:p>
        </w:tc>
        <w:tc>
          <w:tcPr>
            <w:tcW w:w="554" w:type="dxa"/>
            <w:tcMar>
              <w:left w:w="60" w:type="dxa"/>
              <w:right w:w="60" w:type="dxa"/>
            </w:tcMar>
            <w:vAlign w:val="center"/>
          </w:tcPr>
          <w:p w14:paraId="1CC33331"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152</w:t>
            </w:r>
          </w:p>
        </w:tc>
        <w:tc>
          <w:tcPr>
            <w:tcW w:w="554" w:type="dxa"/>
            <w:tcMar>
              <w:left w:w="60" w:type="dxa"/>
              <w:right w:w="60" w:type="dxa"/>
            </w:tcMar>
            <w:vAlign w:val="center"/>
          </w:tcPr>
          <w:p w14:paraId="078FA0D1"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184</w:t>
            </w:r>
          </w:p>
        </w:tc>
        <w:tc>
          <w:tcPr>
            <w:tcW w:w="554" w:type="dxa"/>
            <w:tcMar>
              <w:left w:w="60" w:type="dxa"/>
              <w:right w:w="60" w:type="dxa"/>
            </w:tcMar>
            <w:vAlign w:val="center"/>
          </w:tcPr>
          <w:p w14:paraId="2C192661"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197</w:t>
            </w:r>
          </w:p>
        </w:tc>
        <w:tc>
          <w:tcPr>
            <w:tcW w:w="554" w:type="dxa"/>
            <w:tcMar>
              <w:left w:w="60" w:type="dxa"/>
              <w:right w:w="60" w:type="dxa"/>
            </w:tcMar>
            <w:vAlign w:val="center"/>
          </w:tcPr>
          <w:p w14:paraId="5BE21068"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226</w:t>
            </w:r>
          </w:p>
        </w:tc>
        <w:tc>
          <w:tcPr>
            <w:tcW w:w="554" w:type="dxa"/>
            <w:tcMar>
              <w:left w:w="60" w:type="dxa"/>
              <w:right w:w="60" w:type="dxa"/>
            </w:tcMar>
            <w:vAlign w:val="center"/>
          </w:tcPr>
          <w:p w14:paraId="0A9C5654" w14:textId="77777777" w:rsidR="00F51113" w:rsidRPr="00841C21" w:rsidRDefault="00F51113">
            <w:pPr>
              <w:pStyle w:val="TableText"/>
              <w:spacing w:before="40" w:after="40" w:line="230" w:lineRule="atLeast"/>
              <w:jc w:val="center"/>
              <w:rPr>
                <w:rFonts w:eastAsia="Calibri" w:cs="Calibri"/>
                <w:color w:val="000000" w:themeColor="text1"/>
                <w:szCs w:val="18"/>
              </w:rPr>
            </w:pPr>
            <w:r w:rsidRPr="00841C21">
              <w:rPr>
                <w:rFonts w:eastAsia="Calibri" w:cs="Calibri"/>
                <w:color w:val="000000" w:themeColor="text1"/>
                <w:szCs w:val="18"/>
              </w:rPr>
              <w:t>255</w:t>
            </w:r>
          </w:p>
        </w:tc>
        <w:tc>
          <w:tcPr>
            <w:tcW w:w="554" w:type="dxa"/>
            <w:shd w:val="clear" w:color="auto" w:fill="D2DDE1" w:themeFill="background2"/>
            <w:tcMar>
              <w:left w:w="60" w:type="dxa"/>
              <w:right w:w="60" w:type="dxa"/>
            </w:tcMar>
            <w:vAlign w:val="center"/>
          </w:tcPr>
          <w:p w14:paraId="2AA88140"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293</w:t>
            </w:r>
          </w:p>
        </w:tc>
        <w:tc>
          <w:tcPr>
            <w:tcW w:w="554" w:type="dxa"/>
            <w:shd w:val="clear" w:color="auto" w:fill="D2DDE1" w:themeFill="background2"/>
            <w:tcMar>
              <w:left w:w="60" w:type="dxa"/>
              <w:right w:w="60" w:type="dxa"/>
            </w:tcMar>
            <w:vAlign w:val="center"/>
          </w:tcPr>
          <w:p w14:paraId="1D733896"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339</w:t>
            </w:r>
          </w:p>
        </w:tc>
        <w:tc>
          <w:tcPr>
            <w:tcW w:w="554" w:type="dxa"/>
            <w:shd w:val="clear" w:color="auto" w:fill="D2DDE1" w:themeFill="background2"/>
            <w:tcMar>
              <w:left w:w="60" w:type="dxa"/>
              <w:right w:w="60" w:type="dxa"/>
            </w:tcMar>
            <w:vAlign w:val="center"/>
          </w:tcPr>
          <w:p w14:paraId="684E9F24"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381</w:t>
            </w:r>
          </w:p>
        </w:tc>
        <w:tc>
          <w:tcPr>
            <w:tcW w:w="554" w:type="dxa"/>
            <w:shd w:val="clear" w:color="auto" w:fill="D2DDE1" w:themeFill="background2"/>
            <w:tcMar>
              <w:left w:w="60" w:type="dxa"/>
              <w:right w:w="60" w:type="dxa"/>
            </w:tcMar>
            <w:vAlign w:val="center"/>
          </w:tcPr>
          <w:p w14:paraId="2B3C2150"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420</w:t>
            </w:r>
          </w:p>
        </w:tc>
        <w:tc>
          <w:tcPr>
            <w:tcW w:w="554" w:type="dxa"/>
            <w:shd w:val="clear" w:color="auto" w:fill="D2DDE1" w:themeFill="background2"/>
            <w:tcMar>
              <w:left w:w="60" w:type="dxa"/>
              <w:right w:w="60" w:type="dxa"/>
            </w:tcMar>
            <w:vAlign w:val="center"/>
          </w:tcPr>
          <w:p w14:paraId="3CD6CFDB"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459</w:t>
            </w:r>
          </w:p>
        </w:tc>
        <w:tc>
          <w:tcPr>
            <w:tcW w:w="554" w:type="dxa"/>
            <w:shd w:val="clear" w:color="auto" w:fill="D2DDE1" w:themeFill="background2"/>
            <w:tcMar>
              <w:left w:w="60" w:type="dxa"/>
              <w:right w:w="60" w:type="dxa"/>
            </w:tcMar>
            <w:vAlign w:val="center"/>
          </w:tcPr>
          <w:p w14:paraId="17F0DD94"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498</w:t>
            </w:r>
          </w:p>
        </w:tc>
      </w:tr>
      <w:tr w:rsidR="00F51113" w:rsidRPr="00841C21" w14:paraId="607661D2" w14:textId="77777777">
        <w:tc>
          <w:tcPr>
            <w:tcW w:w="851" w:type="dxa"/>
            <w:vMerge w:val="restart"/>
            <w:tcMar>
              <w:left w:w="60" w:type="dxa"/>
              <w:right w:w="60" w:type="dxa"/>
            </w:tcMar>
            <w:vAlign w:val="center"/>
          </w:tcPr>
          <w:p w14:paraId="2537EC2A" w14:textId="77777777" w:rsidR="00F51113" w:rsidRPr="00841C21" w:rsidRDefault="00F51113">
            <w:pPr>
              <w:pStyle w:val="TableText"/>
              <w:spacing w:before="40" w:after="40" w:line="230" w:lineRule="atLeast"/>
              <w:rPr>
                <w:rFonts w:eastAsia="Calibri" w:cs="Calibri"/>
                <w:szCs w:val="18"/>
              </w:rPr>
            </w:pPr>
            <w:r w:rsidRPr="00841C21">
              <w:rPr>
                <w:rFonts w:eastAsia="Calibri" w:cs="Calibri"/>
                <w:b/>
                <w:bCs/>
                <w:szCs w:val="18"/>
              </w:rPr>
              <w:t>Effective carbon price</w:t>
            </w:r>
            <w:r w:rsidRPr="00841C21">
              <w:rPr>
                <w:rStyle w:val="FootnoteReference"/>
                <w:rFonts w:eastAsia="Calibri" w:cs="Calibri"/>
                <w:b/>
                <w:bCs/>
                <w:sz w:val="18"/>
                <w:szCs w:val="18"/>
              </w:rPr>
              <w:footnoteReference w:id="181"/>
            </w:r>
            <w:r w:rsidRPr="00841C21">
              <w:rPr>
                <w:rFonts w:eastAsia="Calibri" w:cs="Calibri"/>
                <w:b/>
                <w:bCs/>
                <w:szCs w:val="18"/>
              </w:rPr>
              <w:t xml:space="preserve"> </w:t>
            </w:r>
            <w:r w:rsidRPr="00841C21">
              <w:rPr>
                <w:rFonts w:eastAsia="Calibri" w:cs="Calibri"/>
                <w:b/>
                <w:bCs/>
                <w:szCs w:val="18"/>
              </w:rPr>
              <w:br/>
            </w:r>
            <w:r w:rsidRPr="00841C21">
              <w:rPr>
                <w:rFonts w:eastAsia="Calibri" w:cs="Calibri"/>
                <w:szCs w:val="18"/>
              </w:rPr>
              <w:t>$NZ tonne CO</w:t>
            </w:r>
            <w:r w:rsidRPr="00841C21">
              <w:rPr>
                <w:rFonts w:eastAsia="Calibri" w:cs="Calibri"/>
                <w:szCs w:val="18"/>
                <w:vertAlign w:val="subscript"/>
              </w:rPr>
              <w:t>2</w:t>
            </w:r>
            <w:r w:rsidRPr="00841C21">
              <w:rPr>
                <w:rFonts w:eastAsia="Calibri" w:cs="Calibri"/>
                <w:szCs w:val="18"/>
              </w:rPr>
              <w:t>e</w:t>
            </w:r>
          </w:p>
        </w:tc>
        <w:tc>
          <w:tcPr>
            <w:tcW w:w="599" w:type="dxa"/>
            <w:tcMar>
              <w:left w:w="60" w:type="dxa"/>
              <w:right w:w="60" w:type="dxa"/>
            </w:tcMar>
            <w:vAlign w:val="center"/>
          </w:tcPr>
          <w:p w14:paraId="6D6BD15C" w14:textId="77777777" w:rsidR="00F51113" w:rsidRPr="00841C21" w:rsidRDefault="00F51113">
            <w:pPr>
              <w:pStyle w:val="TableText"/>
              <w:spacing w:before="40" w:after="40" w:line="230" w:lineRule="atLeast"/>
              <w:jc w:val="center"/>
              <w:rPr>
                <w:rFonts w:eastAsia="Calibri" w:cs="Calibri"/>
                <w:color w:val="000000" w:themeColor="text1"/>
                <w:szCs w:val="18"/>
              </w:rPr>
            </w:pPr>
            <w:r w:rsidRPr="00841C21">
              <w:rPr>
                <w:rFonts w:eastAsia="Calibri" w:cs="Calibri"/>
                <w:color w:val="000000" w:themeColor="text1"/>
                <w:szCs w:val="18"/>
              </w:rPr>
              <w:t>WEM</w:t>
            </w:r>
          </w:p>
        </w:tc>
        <w:tc>
          <w:tcPr>
            <w:tcW w:w="564" w:type="dxa"/>
            <w:tcMar>
              <w:left w:w="60" w:type="dxa"/>
              <w:right w:w="60" w:type="dxa"/>
            </w:tcMar>
            <w:vAlign w:val="center"/>
          </w:tcPr>
          <w:p w14:paraId="5C4BA8E9" w14:textId="77777777" w:rsidR="00F51113" w:rsidRPr="00841C21" w:rsidRDefault="00F51113">
            <w:pPr>
              <w:spacing w:before="40" w:after="40" w:line="230" w:lineRule="atLeast"/>
              <w:jc w:val="center"/>
              <w:rPr>
                <w:rFonts w:eastAsia="Calibri" w:cs="Calibri"/>
                <w:sz w:val="18"/>
                <w:szCs w:val="18"/>
              </w:rPr>
            </w:pPr>
          </w:p>
        </w:tc>
        <w:tc>
          <w:tcPr>
            <w:tcW w:w="554" w:type="dxa"/>
            <w:tcMar>
              <w:left w:w="60" w:type="dxa"/>
              <w:right w:w="60" w:type="dxa"/>
            </w:tcMar>
            <w:vAlign w:val="center"/>
          </w:tcPr>
          <w:p w14:paraId="5D9BE176" w14:textId="77777777" w:rsidR="00F51113" w:rsidRPr="00841C21" w:rsidRDefault="00F51113">
            <w:pPr>
              <w:spacing w:before="40" w:after="40" w:line="230" w:lineRule="atLeast"/>
              <w:jc w:val="center"/>
              <w:rPr>
                <w:rFonts w:eastAsia="Calibri" w:cs="Calibri"/>
                <w:sz w:val="18"/>
                <w:szCs w:val="18"/>
              </w:rPr>
            </w:pPr>
          </w:p>
        </w:tc>
        <w:tc>
          <w:tcPr>
            <w:tcW w:w="554" w:type="dxa"/>
            <w:tcMar>
              <w:left w:w="60" w:type="dxa"/>
              <w:right w:w="60" w:type="dxa"/>
            </w:tcMar>
            <w:vAlign w:val="center"/>
          </w:tcPr>
          <w:p w14:paraId="40255E82" w14:textId="77777777" w:rsidR="00F51113" w:rsidRPr="00841C21" w:rsidRDefault="00F51113">
            <w:pPr>
              <w:spacing w:before="40" w:after="40" w:line="230" w:lineRule="atLeast"/>
              <w:jc w:val="center"/>
              <w:rPr>
                <w:rFonts w:eastAsia="Calibri" w:cs="Calibri"/>
                <w:sz w:val="18"/>
                <w:szCs w:val="18"/>
              </w:rPr>
            </w:pPr>
          </w:p>
        </w:tc>
        <w:tc>
          <w:tcPr>
            <w:tcW w:w="554" w:type="dxa"/>
            <w:tcMar>
              <w:left w:w="60" w:type="dxa"/>
              <w:right w:w="60" w:type="dxa"/>
            </w:tcMar>
            <w:vAlign w:val="center"/>
          </w:tcPr>
          <w:p w14:paraId="74A7779E" w14:textId="77777777" w:rsidR="00F51113" w:rsidRPr="00841C21" w:rsidRDefault="00F51113">
            <w:pPr>
              <w:spacing w:before="40" w:after="40" w:line="230" w:lineRule="atLeast"/>
              <w:jc w:val="center"/>
              <w:rPr>
                <w:rFonts w:eastAsia="Calibri" w:cs="Calibri"/>
                <w:sz w:val="18"/>
                <w:szCs w:val="18"/>
              </w:rPr>
            </w:pPr>
          </w:p>
        </w:tc>
        <w:tc>
          <w:tcPr>
            <w:tcW w:w="554" w:type="dxa"/>
            <w:tcMar>
              <w:left w:w="60" w:type="dxa"/>
              <w:right w:w="60" w:type="dxa"/>
            </w:tcMar>
            <w:vAlign w:val="center"/>
          </w:tcPr>
          <w:p w14:paraId="57A4D2CC" w14:textId="77777777" w:rsidR="00F51113" w:rsidRPr="00841C21" w:rsidRDefault="00F51113">
            <w:pPr>
              <w:spacing w:before="40" w:after="40" w:line="230" w:lineRule="atLeast"/>
              <w:jc w:val="center"/>
              <w:rPr>
                <w:rFonts w:eastAsia="Calibri" w:cs="Calibri"/>
                <w:sz w:val="18"/>
                <w:szCs w:val="18"/>
              </w:rPr>
            </w:pPr>
            <w:r w:rsidRPr="00841C21">
              <w:rPr>
                <w:rFonts w:eastAsia="Calibri" w:cs="Calibri"/>
                <w:sz w:val="18"/>
                <w:szCs w:val="18"/>
              </w:rPr>
              <w:t>19.12</w:t>
            </w:r>
          </w:p>
        </w:tc>
        <w:tc>
          <w:tcPr>
            <w:tcW w:w="554" w:type="dxa"/>
            <w:tcMar>
              <w:left w:w="60" w:type="dxa"/>
              <w:right w:w="60" w:type="dxa"/>
            </w:tcMar>
            <w:vAlign w:val="center"/>
          </w:tcPr>
          <w:p w14:paraId="6937B340" w14:textId="77777777" w:rsidR="00F51113" w:rsidRPr="00841C21" w:rsidRDefault="00F51113">
            <w:pPr>
              <w:spacing w:before="40" w:after="40" w:line="230" w:lineRule="atLeast"/>
              <w:jc w:val="center"/>
              <w:rPr>
                <w:rFonts w:eastAsia="Calibri" w:cs="Calibri"/>
                <w:sz w:val="18"/>
                <w:szCs w:val="18"/>
              </w:rPr>
            </w:pPr>
            <w:r w:rsidRPr="00841C21">
              <w:rPr>
                <w:rFonts w:eastAsia="Calibri" w:cs="Calibri"/>
                <w:sz w:val="18"/>
                <w:szCs w:val="18"/>
              </w:rPr>
              <w:t>6.72</w:t>
            </w:r>
          </w:p>
        </w:tc>
        <w:tc>
          <w:tcPr>
            <w:tcW w:w="554" w:type="dxa"/>
            <w:tcMar>
              <w:left w:w="60" w:type="dxa"/>
              <w:right w:w="60" w:type="dxa"/>
            </w:tcMar>
            <w:vAlign w:val="center"/>
          </w:tcPr>
          <w:p w14:paraId="18E4819C" w14:textId="77777777" w:rsidR="00F51113" w:rsidRPr="00841C21" w:rsidRDefault="00F51113">
            <w:pPr>
              <w:spacing w:before="40" w:after="40" w:line="230" w:lineRule="atLeast"/>
              <w:jc w:val="center"/>
              <w:rPr>
                <w:rFonts w:eastAsia="Calibri" w:cs="Calibri"/>
                <w:sz w:val="18"/>
                <w:szCs w:val="18"/>
              </w:rPr>
            </w:pPr>
            <w:r w:rsidRPr="00841C21">
              <w:rPr>
                <w:rFonts w:eastAsia="Calibri" w:cs="Calibri"/>
                <w:sz w:val="18"/>
                <w:szCs w:val="18"/>
              </w:rPr>
              <w:t>30.58</w:t>
            </w:r>
          </w:p>
        </w:tc>
        <w:tc>
          <w:tcPr>
            <w:tcW w:w="554" w:type="dxa"/>
            <w:shd w:val="clear" w:color="auto" w:fill="D2DDE1" w:themeFill="background2"/>
            <w:tcMar>
              <w:left w:w="60" w:type="dxa"/>
              <w:right w:w="60" w:type="dxa"/>
            </w:tcMar>
            <w:vAlign w:val="center"/>
          </w:tcPr>
          <w:p w14:paraId="114CEB9B"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67.80</w:t>
            </w:r>
          </w:p>
        </w:tc>
        <w:tc>
          <w:tcPr>
            <w:tcW w:w="554" w:type="dxa"/>
            <w:shd w:val="clear" w:color="auto" w:fill="D2DDE1" w:themeFill="background2"/>
            <w:tcMar>
              <w:left w:w="60" w:type="dxa"/>
              <w:right w:w="60" w:type="dxa"/>
            </w:tcMar>
            <w:vAlign w:val="center"/>
          </w:tcPr>
          <w:p w14:paraId="4EF75A0C"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67.86</w:t>
            </w:r>
          </w:p>
        </w:tc>
        <w:tc>
          <w:tcPr>
            <w:tcW w:w="554" w:type="dxa"/>
            <w:shd w:val="clear" w:color="auto" w:fill="D2DDE1" w:themeFill="background2"/>
            <w:tcMar>
              <w:left w:w="60" w:type="dxa"/>
              <w:right w:w="60" w:type="dxa"/>
            </w:tcMar>
            <w:vAlign w:val="center"/>
          </w:tcPr>
          <w:p w14:paraId="024655CE"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50.00</w:t>
            </w:r>
          </w:p>
        </w:tc>
        <w:tc>
          <w:tcPr>
            <w:tcW w:w="554" w:type="dxa"/>
            <w:shd w:val="clear" w:color="auto" w:fill="D2DDE1" w:themeFill="background2"/>
            <w:tcMar>
              <w:left w:w="60" w:type="dxa"/>
              <w:right w:w="60" w:type="dxa"/>
            </w:tcMar>
            <w:vAlign w:val="center"/>
          </w:tcPr>
          <w:p w14:paraId="5F567256"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50.00</w:t>
            </w:r>
          </w:p>
        </w:tc>
        <w:tc>
          <w:tcPr>
            <w:tcW w:w="554" w:type="dxa"/>
            <w:shd w:val="clear" w:color="auto" w:fill="D2DDE1" w:themeFill="background2"/>
            <w:tcMar>
              <w:left w:w="60" w:type="dxa"/>
              <w:right w:w="60" w:type="dxa"/>
            </w:tcMar>
            <w:vAlign w:val="center"/>
          </w:tcPr>
          <w:p w14:paraId="126D376C"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50.00</w:t>
            </w:r>
          </w:p>
        </w:tc>
        <w:tc>
          <w:tcPr>
            <w:tcW w:w="554" w:type="dxa"/>
            <w:shd w:val="clear" w:color="auto" w:fill="D2DDE1" w:themeFill="background2"/>
            <w:tcMar>
              <w:left w:w="60" w:type="dxa"/>
              <w:right w:w="60" w:type="dxa"/>
            </w:tcMar>
            <w:vAlign w:val="center"/>
          </w:tcPr>
          <w:p w14:paraId="02F3DD1D"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50.00</w:t>
            </w:r>
          </w:p>
        </w:tc>
      </w:tr>
      <w:tr w:rsidR="00F51113" w:rsidRPr="00841C21" w14:paraId="4DE9458E" w14:textId="77777777">
        <w:tc>
          <w:tcPr>
            <w:tcW w:w="851" w:type="dxa"/>
            <w:vMerge/>
            <w:vAlign w:val="center"/>
          </w:tcPr>
          <w:p w14:paraId="3893AFA6" w14:textId="77777777" w:rsidR="00F51113" w:rsidRPr="00841C21" w:rsidRDefault="00F51113">
            <w:pPr>
              <w:spacing w:before="40" w:after="40" w:line="230" w:lineRule="atLeast"/>
              <w:jc w:val="center"/>
              <w:rPr>
                <w:rFonts w:cs="Calibri"/>
                <w:sz w:val="18"/>
                <w:szCs w:val="18"/>
              </w:rPr>
            </w:pPr>
          </w:p>
        </w:tc>
        <w:tc>
          <w:tcPr>
            <w:tcW w:w="599" w:type="dxa"/>
            <w:tcMar>
              <w:left w:w="60" w:type="dxa"/>
              <w:right w:w="60" w:type="dxa"/>
            </w:tcMar>
            <w:vAlign w:val="center"/>
          </w:tcPr>
          <w:p w14:paraId="14C6558A" w14:textId="77777777" w:rsidR="00F51113" w:rsidRPr="00841C21" w:rsidRDefault="00F51113">
            <w:pPr>
              <w:pStyle w:val="TableText"/>
              <w:spacing w:before="40" w:after="40" w:line="230" w:lineRule="atLeast"/>
              <w:jc w:val="center"/>
              <w:rPr>
                <w:rFonts w:eastAsia="Calibri" w:cs="Calibri"/>
                <w:color w:val="000000" w:themeColor="text1"/>
                <w:szCs w:val="18"/>
              </w:rPr>
            </w:pPr>
            <w:r w:rsidRPr="00841C21">
              <w:rPr>
                <w:rFonts w:eastAsia="Calibri" w:cs="Calibri"/>
                <w:color w:val="000000" w:themeColor="text1"/>
                <w:szCs w:val="18"/>
              </w:rPr>
              <w:t>Low</w:t>
            </w:r>
          </w:p>
        </w:tc>
        <w:tc>
          <w:tcPr>
            <w:tcW w:w="564" w:type="dxa"/>
            <w:tcMar>
              <w:left w:w="60" w:type="dxa"/>
              <w:right w:w="60" w:type="dxa"/>
            </w:tcMar>
            <w:vAlign w:val="center"/>
          </w:tcPr>
          <w:p w14:paraId="17CC47A2" w14:textId="77777777" w:rsidR="00F51113" w:rsidRPr="00841C21" w:rsidRDefault="00F51113">
            <w:pPr>
              <w:spacing w:before="40" w:after="40" w:line="230" w:lineRule="atLeast"/>
              <w:jc w:val="center"/>
              <w:rPr>
                <w:rFonts w:eastAsia="Calibri" w:cs="Calibri"/>
                <w:sz w:val="18"/>
                <w:szCs w:val="18"/>
              </w:rPr>
            </w:pPr>
          </w:p>
        </w:tc>
        <w:tc>
          <w:tcPr>
            <w:tcW w:w="554" w:type="dxa"/>
            <w:tcMar>
              <w:left w:w="60" w:type="dxa"/>
              <w:right w:w="60" w:type="dxa"/>
            </w:tcMar>
            <w:vAlign w:val="center"/>
          </w:tcPr>
          <w:p w14:paraId="12E4C3AF" w14:textId="77777777" w:rsidR="00F51113" w:rsidRPr="00841C21" w:rsidRDefault="00F51113">
            <w:pPr>
              <w:spacing w:before="40" w:after="40" w:line="230" w:lineRule="atLeast"/>
              <w:jc w:val="center"/>
              <w:rPr>
                <w:rFonts w:eastAsia="Calibri" w:cs="Calibri"/>
                <w:sz w:val="18"/>
                <w:szCs w:val="18"/>
              </w:rPr>
            </w:pPr>
          </w:p>
        </w:tc>
        <w:tc>
          <w:tcPr>
            <w:tcW w:w="554" w:type="dxa"/>
            <w:tcMar>
              <w:left w:w="60" w:type="dxa"/>
              <w:right w:w="60" w:type="dxa"/>
            </w:tcMar>
            <w:vAlign w:val="center"/>
          </w:tcPr>
          <w:p w14:paraId="6D33BC08" w14:textId="77777777" w:rsidR="00F51113" w:rsidRPr="00841C21" w:rsidRDefault="00F51113">
            <w:pPr>
              <w:spacing w:before="40" w:after="40" w:line="230" w:lineRule="atLeast"/>
              <w:jc w:val="center"/>
              <w:rPr>
                <w:rFonts w:eastAsia="Calibri" w:cs="Calibri"/>
                <w:sz w:val="18"/>
                <w:szCs w:val="18"/>
              </w:rPr>
            </w:pPr>
          </w:p>
        </w:tc>
        <w:tc>
          <w:tcPr>
            <w:tcW w:w="554" w:type="dxa"/>
            <w:tcMar>
              <w:left w:w="60" w:type="dxa"/>
              <w:right w:w="60" w:type="dxa"/>
            </w:tcMar>
            <w:vAlign w:val="center"/>
          </w:tcPr>
          <w:p w14:paraId="74C1663B" w14:textId="77777777" w:rsidR="00F51113" w:rsidRPr="00841C21" w:rsidRDefault="00F51113">
            <w:pPr>
              <w:spacing w:before="40" w:after="40" w:line="230" w:lineRule="atLeast"/>
              <w:jc w:val="center"/>
              <w:rPr>
                <w:rFonts w:eastAsia="Calibri" w:cs="Calibri"/>
                <w:sz w:val="18"/>
                <w:szCs w:val="18"/>
              </w:rPr>
            </w:pPr>
          </w:p>
        </w:tc>
        <w:tc>
          <w:tcPr>
            <w:tcW w:w="554" w:type="dxa"/>
            <w:tcMar>
              <w:left w:w="60" w:type="dxa"/>
              <w:right w:w="60" w:type="dxa"/>
            </w:tcMar>
            <w:vAlign w:val="center"/>
          </w:tcPr>
          <w:p w14:paraId="3A7BD1DB" w14:textId="77777777" w:rsidR="00F51113" w:rsidRPr="00841C21" w:rsidRDefault="00F51113">
            <w:pPr>
              <w:spacing w:before="40" w:after="40" w:line="230" w:lineRule="atLeast"/>
              <w:jc w:val="center"/>
              <w:rPr>
                <w:rFonts w:eastAsia="Calibri" w:cs="Calibri"/>
                <w:sz w:val="18"/>
                <w:szCs w:val="18"/>
              </w:rPr>
            </w:pPr>
            <w:r w:rsidRPr="00841C21">
              <w:rPr>
                <w:rFonts w:eastAsia="Calibri" w:cs="Calibri"/>
                <w:sz w:val="18"/>
                <w:szCs w:val="18"/>
              </w:rPr>
              <w:t>19.12</w:t>
            </w:r>
          </w:p>
        </w:tc>
        <w:tc>
          <w:tcPr>
            <w:tcW w:w="554" w:type="dxa"/>
            <w:tcMar>
              <w:left w:w="60" w:type="dxa"/>
              <w:right w:w="60" w:type="dxa"/>
            </w:tcMar>
            <w:vAlign w:val="center"/>
          </w:tcPr>
          <w:p w14:paraId="3B2E921B" w14:textId="77777777" w:rsidR="00F51113" w:rsidRPr="00841C21" w:rsidRDefault="00F51113">
            <w:pPr>
              <w:spacing w:before="40" w:after="40" w:line="230" w:lineRule="atLeast"/>
              <w:jc w:val="center"/>
              <w:rPr>
                <w:rFonts w:eastAsia="Calibri" w:cs="Calibri"/>
                <w:sz w:val="18"/>
                <w:szCs w:val="18"/>
              </w:rPr>
            </w:pPr>
            <w:r w:rsidRPr="00841C21">
              <w:rPr>
                <w:rFonts w:eastAsia="Calibri" w:cs="Calibri"/>
                <w:sz w:val="18"/>
                <w:szCs w:val="18"/>
              </w:rPr>
              <w:t>6.72</w:t>
            </w:r>
          </w:p>
        </w:tc>
        <w:tc>
          <w:tcPr>
            <w:tcW w:w="554" w:type="dxa"/>
            <w:tcMar>
              <w:left w:w="60" w:type="dxa"/>
              <w:right w:w="60" w:type="dxa"/>
            </w:tcMar>
            <w:vAlign w:val="center"/>
          </w:tcPr>
          <w:p w14:paraId="04A7DD98" w14:textId="77777777" w:rsidR="00F51113" w:rsidRPr="00841C21" w:rsidRDefault="00F51113">
            <w:pPr>
              <w:spacing w:before="40" w:after="40" w:line="230" w:lineRule="atLeast"/>
              <w:jc w:val="center"/>
              <w:rPr>
                <w:rFonts w:eastAsia="Calibri" w:cs="Calibri"/>
                <w:sz w:val="18"/>
                <w:szCs w:val="18"/>
              </w:rPr>
            </w:pPr>
            <w:r w:rsidRPr="00841C21">
              <w:rPr>
                <w:rFonts w:eastAsia="Calibri" w:cs="Calibri"/>
                <w:sz w:val="18"/>
                <w:szCs w:val="18"/>
              </w:rPr>
              <w:t>30.58</w:t>
            </w:r>
          </w:p>
        </w:tc>
        <w:tc>
          <w:tcPr>
            <w:tcW w:w="554" w:type="dxa"/>
            <w:shd w:val="clear" w:color="auto" w:fill="D2DDE1" w:themeFill="background2"/>
            <w:tcMar>
              <w:left w:w="60" w:type="dxa"/>
              <w:right w:w="60" w:type="dxa"/>
            </w:tcMar>
            <w:vAlign w:val="center"/>
          </w:tcPr>
          <w:p w14:paraId="36ECC425"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58.33</w:t>
            </w:r>
          </w:p>
        </w:tc>
        <w:tc>
          <w:tcPr>
            <w:tcW w:w="554" w:type="dxa"/>
            <w:shd w:val="clear" w:color="auto" w:fill="D2DDE1" w:themeFill="background2"/>
            <w:tcMar>
              <w:left w:w="60" w:type="dxa"/>
              <w:right w:w="60" w:type="dxa"/>
            </w:tcMar>
            <w:vAlign w:val="center"/>
          </w:tcPr>
          <w:p w14:paraId="342D9490"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46.67</w:t>
            </w:r>
          </w:p>
        </w:tc>
        <w:tc>
          <w:tcPr>
            <w:tcW w:w="554" w:type="dxa"/>
            <w:shd w:val="clear" w:color="auto" w:fill="D2DDE1" w:themeFill="background2"/>
            <w:tcMar>
              <w:left w:w="60" w:type="dxa"/>
              <w:right w:w="60" w:type="dxa"/>
            </w:tcMar>
            <w:vAlign w:val="center"/>
          </w:tcPr>
          <w:p w14:paraId="53A918FA"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35.00</w:t>
            </w:r>
          </w:p>
        </w:tc>
        <w:tc>
          <w:tcPr>
            <w:tcW w:w="554" w:type="dxa"/>
            <w:shd w:val="clear" w:color="auto" w:fill="D2DDE1" w:themeFill="background2"/>
            <w:tcMar>
              <w:left w:w="60" w:type="dxa"/>
              <w:right w:w="60" w:type="dxa"/>
            </w:tcMar>
            <w:vAlign w:val="center"/>
          </w:tcPr>
          <w:p w14:paraId="192FFF4C"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35.00</w:t>
            </w:r>
          </w:p>
        </w:tc>
        <w:tc>
          <w:tcPr>
            <w:tcW w:w="554" w:type="dxa"/>
            <w:shd w:val="clear" w:color="auto" w:fill="D2DDE1" w:themeFill="background2"/>
            <w:tcMar>
              <w:left w:w="60" w:type="dxa"/>
              <w:right w:w="60" w:type="dxa"/>
            </w:tcMar>
            <w:vAlign w:val="center"/>
          </w:tcPr>
          <w:p w14:paraId="6161BD3B"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35.00</w:t>
            </w:r>
          </w:p>
        </w:tc>
        <w:tc>
          <w:tcPr>
            <w:tcW w:w="554" w:type="dxa"/>
            <w:shd w:val="clear" w:color="auto" w:fill="D2DDE1" w:themeFill="background2"/>
            <w:tcMar>
              <w:left w:w="60" w:type="dxa"/>
              <w:right w:w="60" w:type="dxa"/>
            </w:tcMar>
            <w:vAlign w:val="center"/>
          </w:tcPr>
          <w:p w14:paraId="7DA56A3B"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35.00</w:t>
            </w:r>
          </w:p>
        </w:tc>
      </w:tr>
      <w:tr w:rsidR="00F51113" w:rsidRPr="00841C21" w14:paraId="375901BF" w14:textId="77777777">
        <w:tc>
          <w:tcPr>
            <w:tcW w:w="851" w:type="dxa"/>
            <w:vMerge/>
            <w:vAlign w:val="center"/>
          </w:tcPr>
          <w:p w14:paraId="091E36A0" w14:textId="77777777" w:rsidR="00F51113" w:rsidRPr="00841C21" w:rsidRDefault="00F51113">
            <w:pPr>
              <w:spacing w:before="40" w:after="40" w:line="230" w:lineRule="atLeast"/>
              <w:jc w:val="center"/>
              <w:rPr>
                <w:rFonts w:cs="Calibri"/>
                <w:sz w:val="18"/>
                <w:szCs w:val="18"/>
              </w:rPr>
            </w:pPr>
          </w:p>
        </w:tc>
        <w:tc>
          <w:tcPr>
            <w:tcW w:w="599" w:type="dxa"/>
            <w:tcMar>
              <w:left w:w="60" w:type="dxa"/>
              <w:right w:w="60" w:type="dxa"/>
            </w:tcMar>
            <w:vAlign w:val="center"/>
          </w:tcPr>
          <w:p w14:paraId="67224A06" w14:textId="77777777" w:rsidR="00F51113" w:rsidRPr="00841C21" w:rsidRDefault="00F51113">
            <w:pPr>
              <w:pStyle w:val="TableText"/>
              <w:spacing w:before="40" w:after="40" w:line="230" w:lineRule="atLeast"/>
              <w:jc w:val="center"/>
              <w:rPr>
                <w:rFonts w:eastAsia="Calibri" w:cs="Calibri"/>
                <w:color w:val="000000" w:themeColor="text1"/>
                <w:szCs w:val="18"/>
              </w:rPr>
            </w:pPr>
            <w:r w:rsidRPr="00841C21">
              <w:rPr>
                <w:rFonts w:eastAsia="Calibri" w:cs="Calibri"/>
                <w:color w:val="000000" w:themeColor="text1"/>
                <w:szCs w:val="18"/>
              </w:rPr>
              <w:t>High</w:t>
            </w:r>
          </w:p>
        </w:tc>
        <w:tc>
          <w:tcPr>
            <w:tcW w:w="564" w:type="dxa"/>
            <w:tcMar>
              <w:left w:w="60" w:type="dxa"/>
              <w:right w:w="60" w:type="dxa"/>
            </w:tcMar>
            <w:vAlign w:val="center"/>
          </w:tcPr>
          <w:p w14:paraId="297EC756" w14:textId="77777777" w:rsidR="00F51113" w:rsidRPr="00841C21" w:rsidRDefault="00F51113">
            <w:pPr>
              <w:spacing w:before="40" w:after="40" w:line="230" w:lineRule="atLeast"/>
              <w:jc w:val="center"/>
              <w:rPr>
                <w:rFonts w:eastAsia="Calibri" w:cs="Calibri"/>
                <w:sz w:val="18"/>
                <w:szCs w:val="18"/>
              </w:rPr>
            </w:pPr>
          </w:p>
        </w:tc>
        <w:tc>
          <w:tcPr>
            <w:tcW w:w="554" w:type="dxa"/>
            <w:tcMar>
              <w:left w:w="60" w:type="dxa"/>
              <w:right w:w="60" w:type="dxa"/>
            </w:tcMar>
            <w:vAlign w:val="center"/>
          </w:tcPr>
          <w:p w14:paraId="7FB1EB15" w14:textId="77777777" w:rsidR="00F51113" w:rsidRPr="00841C21" w:rsidRDefault="00F51113">
            <w:pPr>
              <w:spacing w:before="40" w:after="40" w:line="230" w:lineRule="atLeast"/>
              <w:jc w:val="center"/>
              <w:rPr>
                <w:rFonts w:eastAsia="Calibri" w:cs="Calibri"/>
                <w:sz w:val="18"/>
                <w:szCs w:val="18"/>
              </w:rPr>
            </w:pPr>
          </w:p>
        </w:tc>
        <w:tc>
          <w:tcPr>
            <w:tcW w:w="554" w:type="dxa"/>
            <w:tcMar>
              <w:left w:w="60" w:type="dxa"/>
              <w:right w:w="60" w:type="dxa"/>
            </w:tcMar>
            <w:vAlign w:val="center"/>
          </w:tcPr>
          <w:p w14:paraId="67947159" w14:textId="77777777" w:rsidR="00F51113" w:rsidRPr="00841C21" w:rsidRDefault="00F51113">
            <w:pPr>
              <w:spacing w:before="40" w:after="40" w:line="230" w:lineRule="atLeast"/>
              <w:jc w:val="center"/>
              <w:rPr>
                <w:rFonts w:eastAsia="Calibri" w:cs="Calibri"/>
                <w:sz w:val="18"/>
                <w:szCs w:val="18"/>
              </w:rPr>
            </w:pPr>
          </w:p>
        </w:tc>
        <w:tc>
          <w:tcPr>
            <w:tcW w:w="554" w:type="dxa"/>
            <w:tcMar>
              <w:left w:w="60" w:type="dxa"/>
              <w:right w:w="60" w:type="dxa"/>
            </w:tcMar>
            <w:vAlign w:val="center"/>
          </w:tcPr>
          <w:p w14:paraId="44CD52C0" w14:textId="77777777" w:rsidR="00F51113" w:rsidRPr="00841C21" w:rsidRDefault="00F51113">
            <w:pPr>
              <w:spacing w:before="40" w:after="40" w:line="230" w:lineRule="atLeast"/>
              <w:jc w:val="center"/>
              <w:rPr>
                <w:rFonts w:eastAsia="Calibri" w:cs="Calibri"/>
                <w:sz w:val="18"/>
                <w:szCs w:val="18"/>
              </w:rPr>
            </w:pPr>
          </w:p>
        </w:tc>
        <w:tc>
          <w:tcPr>
            <w:tcW w:w="554" w:type="dxa"/>
            <w:tcMar>
              <w:left w:w="60" w:type="dxa"/>
              <w:right w:w="60" w:type="dxa"/>
            </w:tcMar>
            <w:vAlign w:val="center"/>
          </w:tcPr>
          <w:p w14:paraId="13EC6D6A" w14:textId="77777777" w:rsidR="00F51113" w:rsidRPr="00841C21" w:rsidRDefault="00F51113">
            <w:pPr>
              <w:spacing w:before="40" w:after="40" w:line="230" w:lineRule="atLeast"/>
              <w:jc w:val="center"/>
              <w:rPr>
                <w:rFonts w:eastAsia="Calibri" w:cs="Calibri"/>
                <w:sz w:val="18"/>
                <w:szCs w:val="18"/>
              </w:rPr>
            </w:pPr>
            <w:r w:rsidRPr="00841C21">
              <w:rPr>
                <w:rFonts w:eastAsia="Calibri" w:cs="Calibri"/>
                <w:sz w:val="18"/>
                <w:szCs w:val="18"/>
              </w:rPr>
              <w:t>19.12</w:t>
            </w:r>
          </w:p>
        </w:tc>
        <w:tc>
          <w:tcPr>
            <w:tcW w:w="554" w:type="dxa"/>
            <w:tcMar>
              <w:left w:w="60" w:type="dxa"/>
              <w:right w:w="60" w:type="dxa"/>
            </w:tcMar>
            <w:vAlign w:val="center"/>
          </w:tcPr>
          <w:p w14:paraId="702E30EE" w14:textId="77777777" w:rsidR="00F51113" w:rsidRPr="00841C21" w:rsidRDefault="00F51113">
            <w:pPr>
              <w:spacing w:before="40" w:after="40" w:line="230" w:lineRule="atLeast"/>
              <w:jc w:val="center"/>
              <w:rPr>
                <w:rFonts w:eastAsia="Calibri" w:cs="Calibri"/>
                <w:sz w:val="18"/>
                <w:szCs w:val="18"/>
              </w:rPr>
            </w:pPr>
            <w:r w:rsidRPr="00841C21">
              <w:rPr>
                <w:rFonts w:eastAsia="Calibri" w:cs="Calibri"/>
                <w:sz w:val="18"/>
                <w:szCs w:val="18"/>
              </w:rPr>
              <w:t>6.72</w:t>
            </w:r>
          </w:p>
        </w:tc>
        <w:tc>
          <w:tcPr>
            <w:tcW w:w="554" w:type="dxa"/>
            <w:tcMar>
              <w:left w:w="60" w:type="dxa"/>
              <w:right w:w="60" w:type="dxa"/>
            </w:tcMar>
            <w:vAlign w:val="center"/>
          </w:tcPr>
          <w:p w14:paraId="371807DB" w14:textId="77777777" w:rsidR="00F51113" w:rsidRPr="00841C21" w:rsidRDefault="00F51113">
            <w:pPr>
              <w:spacing w:before="40" w:after="40" w:line="230" w:lineRule="atLeast"/>
              <w:jc w:val="center"/>
              <w:rPr>
                <w:rFonts w:eastAsia="Calibri" w:cs="Calibri"/>
                <w:sz w:val="18"/>
                <w:szCs w:val="18"/>
              </w:rPr>
            </w:pPr>
            <w:r w:rsidRPr="00841C21">
              <w:rPr>
                <w:rFonts w:eastAsia="Calibri" w:cs="Calibri"/>
                <w:sz w:val="18"/>
                <w:szCs w:val="18"/>
              </w:rPr>
              <w:t>30.58</w:t>
            </w:r>
          </w:p>
        </w:tc>
        <w:tc>
          <w:tcPr>
            <w:tcW w:w="554" w:type="dxa"/>
            <w:shd w:val="clear" w:color="auto" w:fill="D2DDE1" w:themeFill="background2"/>
            <w:tcMar>
              <w:left w:w="60" w:type="dxa"/>
              <w:right w:w="60" w:type="dxa"/>
            </w:tcMar>
            <w:vAlign w:val="center"/>
          </w:tcPr>
          <w:p w14:paraId="2FF23DE4"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65.80</w:t>
            </w:r>
          </w:p>
        </w:tc>
        <w:tc>
          <w:tcPr>
            <w:tcW w:w="554" w:type="dxa"/>
            <w:shd w:val="clear" w:color="auto" w:fill="D2DDE1" w:themeFill="background2"/>
            <w:tcMar>
              <w:left w:w="60" w:type="dxa"/>
              <w:right w:w="60" w:type="dxa"/>
            </w:tcMar>
            <w:vAlign w:val="center"/>
          </w:tcPr>
          <w:p w14:paraId="7B3D2BCA"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70.00</w:t>
            </w:r>
          </w:p>
        </w:tc>
        <w:tc>
          <w:tcPr>
            <w:tcW w:w="554" w:type="dxa"/>
            <w:shd w:val="clear" w:color="auto" w:fill="D2DDE1" w:themeFill="background2"/>
            <w:tcMar>
              <w:left w:w="60" w:type="dxa"/>
              <w:right w:w="60" w:type="dxa"/>
            </w:tcMar>
            <w:vAlign w:val="center"/>
          </w:tcPr>
          <w:p w14:paraId="74C5EE06"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70.00</w:t>
            </w:r>
          </w:p>
        </w:tc>
        <w:tc>
          <w:tcPr>
            <w:tcW w:w="554" w:type="dxa"/>
            <w:shd w:val="clear" w:color="auto" w:fill="D2DDE1" w:themeFill="background2"/>
            <w:tcMar>
              <w:left w:w="60" w:type="dxa"/>
              <w:right w:w="60" w:type="dxa"/>
            </w:tcMar>
            <w:vAlign w:val="center"/>
          </w:tcPr>
          <w:p w14:paraId="68494FF1"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70.00</w:t>
            </w:r>
          </w:p>
        </w:tc>
        <w:tc>
          <w:tcPr>
            <w:tcW w:w="554" w:type="dxa"/>
            <w:shd w:val="clear" w:color="auto" w:fill="D2DDE1" w:themeFill="background2"/>
            <w:tcMar>
              <w:left w:w="60" w:type="dxa"/>
              <w:right w:w="60" w:type="dxa"/>
            </w:tcMar>
            <w:vAlign w:val="center"/>
          </w:tcPr>
          <w:p w14:paraId="5F8CC2D1"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70.00</w:t>
            </w:r>
          </w:p>
        </w:tc>
        <w:tc>
          <w:tcPr>
            <w:tcW w:w="554" w:type="dxa"/>
            <w:shd w:val="clear" w:color="auto" w:fill="D2DDE1" w:themeFill="background2"/>
            <w:tcMar>
              <w:left w:w="60" w:type="dxa"/>
              <w:right w:w="60" w:type="dxa"/>
            </w:tcMar>
            <w:vAlign w:val="center"/>
          </w:tcPr>
          <w:p w14:paraId="361AA5D7" w14:textId="77777777" w:rsidR="00F51113" w:rsidRPr="00841C21" w:rsidRDefault="00F51113">
            <w:pPr>
              <w:pStyle w:val="TableText"/>
              <w:spacing w:before="40" w:after="40" w:line="230" w:lineRule="atLeast"/>
              <w:jc w:val="center"/>
              <w:rPr>
                <w:rFonts w:eastAsia="Calibri" w:cs="Calibri"/>
                <w:szCs w:val="18"/>
              </w:rPr>
            </w:pPr>
            <w:r w:rsidRPr="00841C21">
              <w:rPr>
                <w:rFonts w:eastAsia="Calibri" w:cs="Calibri"/>
                <w:szCs w:val="18"/>
              </w:rPr>
              <w:t>70.00</w:t>
            </w:r>
          </w:p>
        </w:tc>
      </w:tr>
    </w:tbl>
    <w:p w14:paraId="6CA4D1A7" w14:textId="77777777" w:rsidR="00F51113" w:rsidRPr="004C2DCD" w:rsidRDefault="00F51113" w:rsidP="00F51113">
      <w:pPr>
        <w:pStyle w:val="Note"/>
      </w:pPr>
      <w:r w:rsidRPr="004C2DCD">
        <w:rPr>
          <w:b/>
          <w:bCs/>
        </w:rPr>
        <w:t>Note:</w:t>
      </w:r>
      <w:r w:rsidRPr="004C2DCD">
        <w:t xml:space="preserve"> </w:t>
      </w:r>
      <w:r w:rsidRPr="004C2DCD">
        <w:tab/>
      </w:r>
      <w:r w:rsidRPr="004C2DCD">
        <w:rPr>
          <w:rFonts w:eastAsia="Calibri"/>
        </w:rPr>
        <w:t>CO</w:t>
      </w:r>
      <w:r w:rsidRPr="004C2DCD">
        <w:rPr>
          <w:rFonts w:eastAsia="Calibri"/>
          <w:vertAlign w:val="subscript"/>
        </w:rPr>
        <w:t>2</w:t>
      </w:r>
      <w:r w:rsidRPr="004C2DCD">
        <w:rPr>
          <w:rFonts w:eastAsia="Calibri"/>
        </w:rPr>
        <w:t>e</w:t>
      </w:r>
      <w:r w:rsidRPr="004C2DCD">
        <w:t xml:space="preserve"> = carbon dioxide equivalent; GDP = gross domestic product; WEM = with existing measures.</w:t>
      </w:r>
    </w:p>
    <w:p w14:paraId="0A0BE8A2" w14:textId="77777777" w:rsidR="00F51113" w:rsidRPr="004C2DCD" w:rsidRDefault="00F51113" w:rsidP="000145CE">
      <w:pPr>
        <w:pStyle w:val="Heading2"/>
        <w:numPr>
          <w:ilvl w:val="0"/>
          <w:numId w:val="109"/>
        </w:numPr>
        <w:ind w:left="1134" w:hanging="1134"/>
      </w:pPr>
      <w:bookmarkStart w:id="529" w:name="section254"/>
      <w:bookmarkStart w:id="530" w:name="_Toc184825526"/>
      <w:bookmarkEnd w:id="529"/>
      <w:r w:rsidRPr="004C2DCD">
        <w:t>Emissions projections by sector, under the ‘with existing measures’ scenario</w:t>
      </w:r>
      <w:bookmarkEnd w:id="530"/>
      <w:r w:rsidRPr="004C2DCD">
        <w:t xml:space="preserve"> </w:t>
      </w:r>
    </w:p>
    <w:p w14:paraId="05E85729" w14:textId="77777777" w:rsidR="00F51113" w:rsidRPr="004C2DCD" w:rsidRDefault="00F51113" w:rsidP="00784F5F">
      <w:pPr>
        <w:pStyle w:val="Heading3"/>
        <w:numPr>
          <w:ilvl w:val="0"/>
          <w:numId w:val="112"/>
        </w:numPr>
      </w:pPr>
      <w:r w:rsidRPr="004C2DCD">
        <w:t>Energy (excluding transport)</w:t>
      </w:r>
      <w:r w:rsidRPr="004C2DCD">
        <w:rPr>
          <w:rStyle w:val="FootnoteReference"/>
          <w:sz w:val="28"/>
          <w:szCs w:val="28"/>
        </w:rPr>
        <w:footnoteReference w:id="182"/>
      </w:r>
    </w:p>
    <w:p w14:paraId="3D647E3C" w14:textId="545018C3" w:rsidR="00F51113" w:rsidRPr="004C2DCD" w:rsidRDefault="00F51113" w:rsidP="00F51113">
      <w:pPr>
        <w:pStyle w:val="BodyText"/>
      </w:pPr>
      <w:r w:rsidRPr="004C2DCD">
        <w:t xml:space="preserve">New Zealand’s non-transport energy emissions </w:t>
      </w:r>
      <w:r w:rsidR="00481BDB">
        <w:t>were</w:t>
      </w:r>
      <w:r w:rsidRPr="004C2DCD">
        <w:t xml:space="preserve"> mostly from industrial activities (40.7 per cent) and electricity generation (27.3 per cent) in 2022. Most of New Zealand’s electricity is generated</w:t>
      </w:r>
      <w:r w:rsidRPr="004C2DCD" w:rsidDel="004E40DF">
        <w:t xml:space="preserve"> </w:t>
      </w:r>
      <w:r w:rsidRPr="004C2DCD">
        <w:t xml:space="preserve">from renewable sources, </w:t>
      </w:r>
      <w:r w:rsidR="00831267">
        <w:t>mainly</w:t>
      </w:r>
      <w:r w:rsidR="00831267" w:rsidRPr="004C2DCD">
        <w:t xml:space="preserve"> </w:t>
      </w:r>
      <w:r w:rsidRPr="004C2DCD">
        <w:t xml:space="preserve">hydro generation. However, this means gas and coal generation are often required to provide backup when rainfall levels are low, which can lead to high variance in results if dry or wet years occur. </w:t>
      </w:r>
    </w:p>
    <w:p w14:paraId="534BA26E" w14:textId="470B22BA" w:rsidR="00F51113" w:rsidRPr="004C2DCD" w:rsidRDefault="00F51113" w:rsidP="00F51113">
      <w:pPr>
        <w:pStyle w:val="BodyText"/>
      </w:pPr>
      <w:r w:rsidRPr="004C2DCD">
        <w:t xml:space="preserve">Energy emissions are expected to fall over time (see </w:t>
      </w:r>
      <w:hyperlink w:anchor="figure256" w:history="1">
        <w:r w:rsidRPr="00831267">
          <w:rPr>
            <w:rStyle w:val="Hyperlink"/>
          </w:rPr>
          <w:t>figure 2.5.6</w:t>
        </w:r>
      </w:hyperlink>
      <w:r w:rsidRPr="004C2DCD">
        <w:t xml:space="preserve">). Compared with 2005, energy emissions are expected to be 42.5 per cent lower in 2030. This is driven by an assumption of electrification of some existing fossil fuel processes and the retirement of some important thermal plants and large industrial users. Domestic natural gas supply is also falling, and so current gas demand levels are not sustainable, which will lead to further falls in emissions. However, an expectation of reduced rainfall means emissions may rise above recent historic levels in the short term, due to an increase in coal use for electricity generation. </w:t>
      </w:r>
    </w:p>
    <w:p w14:paraId="17A33F9D" w14:textId="77777777" w:rsidR="00F51113" w:rsidRPr="004C2DCD" w:rsidRDefault="00F51113" w:rsidP="00F51113">
      <w:pPr>
        <w:pStyle w:val="BodyText"/>
      </w:pPr>
      <w:r w:rsidRPr="004C2DCD">
        <w:rPr>
          <w:spacing w:val="-2"/>
        </w:rPr>
        <w:t>New generation build is mostly onshore wind and solar farms. These will partially meet growing</w:t>
      </w:r>
      <w:r w:rsidRPr="004C2DCD">
        <w:t xml:space="preserve"> electricity demand but also displace some thermal baseload generation. For example, the Taranaki Combined Cycle Power Station is anticipated to close at the end of 2024. However, gas and coal generation will still be required for electricity grid stability, particularly in dry years, for the foreseeable future.</w:t>
      </w:r>
    </w:p>
    <w:p w14:paraId="6CCC21DB" w14:textId="77777777" w:rsidR="00F51113" w:rsidRDefault="00F51113" w:rsidP="00201256">
      <w:pPr>
        <w:pStyle w:val="Figureheading"/>
      </w:pPr>
      <w:bookmarkStart w:id="531" w:name="figure256"/>
      <w:bookmarkStart w:id="532" w:name="_Toc185347250"/>
      <w:r w:rsidRPr="004C2DCD">
        <w:t>Figure 2.5.6</w:t>
      </w:r>
      <w:bookmarkEnd w:id="531"/>
      <w:r w:rsidRPr="004C2DCD">
        <w:t xml:space="preserve">: </w:t>
      </w:r>
      <w:r w:rsidRPr="004C2DCD">
        <w:tab/>
        <w:t>Greenhouse gas emissions under the ‘with existing measures’ scenario in the Energy (excluding Transport) sector, 1990–2050</w:t>
      </w:r>
      <w:bookmarkEnd w:id="532"/>
    </w:p>
    <w:p w14:paraId="50FBCDFC" w14:textId="00E742F8" w:rsidR="00850B1E" w:rsidRPr="00850B1E" w:rsidRDefault="00850B1E" w:rsidP="00642E32">
      <w:pPr>
        <w:pStyle w:val="BodyText"/>
        <w:jc w:val="center"/>
      </w:pPr>
      <w:r>
        <w:rPr>
          <w:noProof/>
        </w:rPr>
        <w:drawing>
          <wp:inline distT="0" distB="0" distL="0" distR="0" wp14:anchorId="27EC0489" wp14:editId="4FC082D7">
            <wp:extent cx="5040000" cy="2735730"/>
            <wp:effectExtent l="0" t="0" r="8255" b="7620"/>
            <wp:docPr id="2093692630" name="Picture 32" descr="A line graph showing greenhouse gas emissions in million tonnes carbon dioxide equivalent under the ‘with existing measures’ scenario in the Energy (excluding Transport) sector for the period 1990–2050. It shows energy historical emissions (solid line) then projected emissions (dott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92630" name="Picture 32" descr="A line graph showing greenhouse gas emissions in million tonnes carbon dioxide equivalent under the ‘with existing measures’ scenario in the Energy (excluding Transport) sector for the period 1990–2050. It shows energy historical emissions (solid line) then projected emissions (dotted lin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40000" cy="2735730"/>
                    </a:xfrm>
                    <a:prstGeom prst="rect">
                      <a:avLst/>
                    </a:prstGeom>
                    <a:noFill/>
                  </pic:spPr>
                </pic:pic>
              </a:graphicData>
            </a:graphic>
          </wp:inline>
        </w:drawing>
      </w:r>
    </w:p>
    <w:p w14:paraId="03926D64" w14:textId="77777777" w:rsidR="00F51113" w:rsidRPr="004C2DCD" w:rsidRDefault="00F51113" w:rsidP="009225C3">
      <w:pPr>
        <w:pStyle w:val="Note"/>
      </w:pPr>
      <w:r w:rsidRPr="004C2DCD">
        <w:rPr>
          <w:b/>
          <w:bCs/>
        </w:rPr>
        <w:t>Note:</w:t>
      </w:r>
      <w:r w:rsidRPr="004C2DCD">
        <w:t xml:space="preserve"> Mt CO</w:t>
      </w:r>
      <w:r w:rsidRPr="004C2DCD">
        <w:rPr>
          <w:vertAlign w:val="subscript"/>
        </w:rPr>
        <w:t>2</w:t>
      </w:r>
      <w:r w:rsidRPr="004C2DCD">
        <w:t xml:space="preserve">e = </w:t>
      </w:r>
      <w:r w:rsidRPr="004C2DCD">
        <w:rPr>
          <w:rFonts w:eastAsia="Calibri" w:cs="Calibri"/>
        </w:rPr>
        <w:t xml:space="preserve">million tonnes of </w:t>
      </w:r>
      <w:r w:rsidRPr="004C2DCD">
        <w:t>carbon dioxide equivalent.</w:t>
      </w:r>
    </w:p>
    <w:p w14:paraId="237B52FF" w14:textId="77777777" w:rsidR="00F51113" w:rsidRPr="004C2DCD" w:rsidRDefault="00F51113" w:rsidP="00F51113">
      <w:pPr>
        <w:pStyle w:val="BodyText"/>
        <w:keepNext/>
      </w:pPr>
      <w:r w:rsidRPr="004C2DCD">
        <w:t xml:space="preserve">New Zealand’s historical and projected non-transport Energy sector emissions (excluding transport) by gas are given in table 2.5.4. </w:t>
      </w:r>
    </w:p>
    <w:p w14:paraId="4D2BC6EB" w14:textId="77777777" w:rsidR="00F51113" w:rsidRPr="004C2DCD" w:rsidRDefault="00F51113" w:rsidP="00F51113">
      <w:pPr>
        <w:pStyle w:val="Tableheading"/>
      </w:pPr>
      <w:bookmarkStart w:id="533" w:name="_Toc183789679"/>
      <w:bookmarkStart w:id="534" w:name="_Toc185407469"/>
      <w:bookmarkStart w:id="535" w:name="_Toc185427732"/>
      <w:r w:rsidRPr="004C2DCD">
        <w:t xml:space="preserve">Table 2.5.4: </w:t>
      </w:r>
      <w:r w:rsidRPr="004C2DCD">
        <w:tab/>
        <w:t>Historical and projected non-transport Energy sector emissions by gas under the ‘with existing measures’ scenario, 1990–2050 (Mt CO</w:t>
      </w:r>
      <w:r w:rsidRPr="004C2DCD">
        <w:rPr>
          <w:vertAlign w:val="subscript"/>
        </w:rPr>
        <w:t>2</w:t>
      </w:r>
      <w:r w:rsidRPr="004C2DCD">
        <w:t>e)</w:t>
      </w:r>
      <w:bookmarkEnd w:id="533"/>
      <w:bookmarkEnd w:id="534"/>
      <w:bookmarkEnd w:id="535"/>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ook w:val="04A0" w:firstRow="1" w:lastRow="0" w:firstColumn="1" w:lastColumn="0" w:noHBand="0" w:noVBand="1"/>
      </w:tblPr>
      <w:tblGrid>
        <w:gridCol w:w="613"/>
        <w:gridCol w:w="608"/>
        <w:gridCol w:w="607"/>
        <w:gridCol w:w="607"/>
        <w:gridCol w:w="607"/>
        <w:gridCol w:w="607"/>
        <w:gridCol w:w="607"/>
        <w:gridCol w:w="607"/>
        <w:gridCol w:w="607"/>
        <w:gridCol w:w="607"/>
        <w:gridCol w:w="607"/>
        <w:gridCol w:w="607"/>
        <w:gridCol w:w="607"/>
        <w:gridCol w:w="607"/>
      </w:tblGrid>
      <w:tr w:rsidR="00F51113" w:rsidRPr="00841C21" w14:paraId="004D2EFF" w14:textId="77777777">
        <w:tc>
          <w:tcPr>
            <w:tcW w:w="613" w:type="dxa"/>
            <w:tcBorders>
              <w:bottom w:val="nil"/>
              <w:right w:val="nil"/>
            </w:tcBorders>
            <w:shd w:val="clear" w:color="auto" w:fill="1B556B" w:themeFill="text2"/>
            <w:vAlign w:val="center"/>
          </w:tcPr>
          <w:p w14:paraId="237B0DC0" w14:textId="77777777" w:rsidR="00F51113" w:rsidRPr="00841C21" w:rsidRDefault="00F51113">
            <w:pPr>
              <w:pStyle w:val="TableText"/>
              <w:spacing w:before="50" w:after="0"/>
              <w:jc w:val="center"/>
              <w:rPr>
                <w:b/>
                <w:bCs/>
                <w:color w:val="FFFFFF" w:themeColor="background1"/>
                <w:szCs w:val="18"/>
              </w:rPr>
            </w:pPr>
          </w:p>
        </w:tc>
        <w:tc>
          <w:tcPr>
            <w:tcW w:w="4250" w:type="dxa"/>
            <w:gridSpan w:val="7"/>
            <w:tcBorders>
              <w:left w:val="nil"/>
              <w:bottom w:val="nil"/>
              <w:right w:val="nil"/>
            </w:tcBorders>
            <w:shd w:val="clear" w:color="auto" w:fill="1B556B" w:themeFill="text2"/>
            <w:vAlign w:val="center"/>
          </w:tcPr>
          <w:p w14:paraId="42CB3333" w14:textId="77777777" w:rsidR="00F51113" w:rsidRPr="00841C21" w:rsidRDefault="00F51113">
            <w:pPr>
              <w:pStyle w:val="TableText"/>
              <w:spacing w:before="50" w:after="0"/>
              <w:jc w:val="center"/>
              <w:rPr>
                <w:b/>
                <w:bCs/>
                <w:color w:val="FFFFFF" w:themeColor="background1"/>
                <w:szCs w:val="18"/>
              </w:rPr>
            </w:pPr>
            <w:r w:rsidRPr="00841C21">
              <w:rPr>
                <w:b/>
                <w:bCs/>
                <w:color w:val="FFFFFF" w:themeColor="background1"/>
                <w:szCs w:val="18"/>
              </w:rPr>
              <w:t>Historical</w:t>
            </w:r>
          </w:p>
        </w:tc>
        <w:tc>
          <w:tcPr>
            <w:tcW w:w="3642" w:type="dxa"/>
            <w:gridSpan w:val="6"/>
            <w:tcBorders>
              <w:left w:val="nil"/>
              <w:bottom w:val="nil"/>
            </w:tcBorders>
            <w:shd w:val="clear" w:color="auto" w:fill="1B556B" w:themeFill="text2"/>
            <w:vAlign w:val="center"/>
          </w:tcPr>
          <w:p w14:paraId="08780B11" w14:textId="77777777" w:rsidR="00F51113" w:rsidRPr="00841C21" w:rsidRDefault="00F51113">
            <w:pPr>
              <w:pStyle w:val="TableText"/>
              <w:spacing w:before="50" w:after="0"/>
              <w:jc w:val="center"/>
              <w:rPr>
                <w:b/>
                <w:bCs/>
                <w:color w:val="FFFFFF" w:themeColor="background1"/>
                <w:szCs w:val="18"/>
              </w:rPr>
            </w:pPr>
            <w:r w:rsidRPr="00841C21">
              <w:rPr>
                <w:b/>
                <w:bCs/>
                <w:color w:val="FFFFFF" w:themeColor="background1"/>
                <w:szCs w:val="18"/>
              </w:rPr>
              <w:t>Projected</w:t>
            </w:r>
          </w:p>
        </w:tc>
      </w:tr>
      <w:tr w:rsidR="00F51113" w:rsidRPr="00841C21" w14:paraId="1E8922AE" w14:textId="77777777">
        <w:tc>
          <w:tcPr>
            <w:tcW w:w="613" w:type="dxa"/>
            <w:tcBorders>
              <w:top w:val="nil"/>
              <w:right w:val="nil"/>
            </w:tcBorders>
            <w:shd w:val="clear" w:color="auto" w:fill="1B556B" w:themeFill="text2"/>
            <w:vAlign w:val="center"/>
          </w:tcPr>
          <w:p w14:paraId="2C10995F" w14:textId="77777777" w:rsidR="00F51113" w:rsidRPr="00841C21" w:rsidRDefault="00F51113">
            <w:pPr>
              <w:pStyle w:val="TableText"/>
              <w:spacing w:before="0" w:after="50"/>
              <w:rPr>
                <w:b/>
                <w:bCs/>
                <w:color w:val="FFFFFF" w:themeColor="background1"/>
                <w:szCs w:val="18"/>
              </w:rPr>
            </w:pPr>
            <w:r w:rsidRPr="00841C21">
              <w:rPr>
                <w:b/>
                <w:bCs/>
                <w:color w:val="FFFFFF" w:themeColor="background1"/>
                <w:szCs w:val="18"/>
              </w:rPr>
              <w:t>Gas</w:t>
            </w:r>
          </w:p>
        </w:tc>
        <w:tc>
          <w:tcPr>
            <w:tcW w:w="608" w:type="dxa"/>
            <w:tcBorders>
              <w:top w:val="nil"/>
              <w:left w:val="nil"/>
              <w:right w:val="nil"/>
            </w:tcBorders>
            <w:shd w:val="clear" w:color="auto" w:fill="1B556B" w:themeFill="text2"/>
            <w:vAlign w:val="center"/>
          </w:tcPr>
          <w:p w14:paraId="13D895DA"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1990</w:t>
            </w:r>
          </w:p>
        </w:tc>
        <w:tc>
          <w:tcPr>
            <w:tcW w:w="607" w:type="dxa"/>
            <w:tcBorders>
              <w:top w:val="nil"/>
              <w:left w:val="nil"/>
              <w:right w:val="nil"/>
            </w:tcBorders>
            <w:shd w:val="clear" w:color="auto" w:fill="1B556B" w:themeFill="text2"/>
            <w:vAlign w:val="center"/>
          </w:tcPr>
          <w:p w14:paraId="76F980DE"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1995</w:t>
            </w:r>
          </w:p>
        </w:tc>
        <w:tc>
          <w:tcPr>
            <w:tcW w:w="607" w:type="dxa"/>
            <w:tcBorders>
              <w:top w:val="nil"/>
              <w:left w:val="nil"/>
              <w:right w:val="nil"/>
            </w:tcBorders>
            <w:shd w:val="clear" w:color="auto" w:fill="1B556B" w:themeFill="text2"/>
            <w:vAlign w:val="center"/>
          </w:tcPr>
          <w:p w14:paraId="5CD1B916"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2000</w:t>
            </w:r>
          </w:p>
        </w:tc>
        <w:tc>
          <w:tcPr>
            <w:tcW w:w="607" w:type="dxa"/>
            <w:tcBorders>
              <w:top w:val="nil"/>
              <w:left w:val="nil"/>
              <w:right w:val="nil"/>
            </w:tcBorders>
            <w:shd w:val="clear" w:color="auto" w:fill="1B556B" w:themeFill="text2"/>
            <w:vAlign w:val="center"/>
          </w:tcPr>
          <w:p w14:paraId="74B66551"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2005</w:t>
            </w:r>
          </w:p>
        </w:tc>
        <w:tc>
          <w:tcPr>
            <w:tcW w:w="607" w:type="dxa"/>
            <w:tcBorders>
              <w:top w:val="nil"/>
              <w:left w:val="nil"/>
              <w:right w:val="nil"/>
            </w:tcBorders>
            <w:shd w:val="clear" w:color="auto" w:fill="1B556B" w:themeFill="text2"/>
            <w:vAlign w:val="center"/>
          </w:tcPr>
          <w:p w14:paraId="1459DCF3"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2010</w:t>
            </w:r>
          </w:p>
        </w:tc>
        <w:tc>
          <w:tcPr>
            <w:tcW w:w="607" w:type="dxa"/>
            <w:tcBorders>
              <w:top w:val="nil"/>
              <w:left w:val="nil"/>
              <w:right w:val="nil"/>
            </w:tcBorders>
            <w:shd w:val="clear" w:color="auto" w:fill="1B556B" w:themeFill="text2"/>
            <w:vAlign w:val="center"/>
          </w:tcPr>
          <w:p w14:paraId="567E07F4"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2015</w:t>
            </w:r>
          </w:p>
        </w:tc>
        <w:tc>
          <w:tcPr>
            <w:tcW w:w="607" w:type="dxa"/>
            <w:tcBorders>
              <w:top w:val="nil"/>
              <w:left w:val="nil"/>
              <w:right w:val="nil"/>
            </w:tcBorders>
            <w:shd w:val="clear" w:color="auto" w:fill="1B556B" w:themeFill="text2"/>
            <w:vAlign w:val="center"/>
          </w:tcPr>
          <w:p w14:paraId="3C0405E4"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2020</w:t>
            </w:r>
          </w:p>
        </w:tc>
        <w:tc>
          <w:tcPr>
            <w:tcW w:w="607" w:type="dxa"/>
            <w:tcBorders>
              <w:top w:val="nil"/>
              <w:left w:val="nil"/>
              <w:bottom w:val="single" w:sz="4" w:space="0" w:color="1B556B" w:themeColor="text2"/>
              <w:right w:val="nil"/>
            </w:tcBorders>
            <w:shd w:val="clear" w:color="auto" w:fill="1B556B" w:themeFill="text2"/>
            <w:vAlign w:val="center"/>
          </w:tcPr>
          <w:p w14:paraId="0162C50A"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2025</w:t>
            </w:r>
          </w:p>
        </w:tc>
        <w:tc>
          <w:tcPr>
            <w:tcW w:w="607" w:type="dxa"/>
            <w:tcBorders>
              <w:top w:val="nil"/>
              <w:left w:val="nil"/>
              <w:bottom w:val="single" w:sz="4" w:space="0" w:color="1B556B" w:themeColor="text2"/>
              <w:right w:val="nil"/>
            </w:tcBorders>
            <w:shd w:val="clear" w:color="auto" w:fill="1B556B" w:themeFill="text2"/>
            <w:vAlign w:val="center"/>
          </w:tcPr>
          <w:p w14:paraId="452DAF81"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2030</w:t>
            </w:r>
          </w:p>
        </w:tc>
        <w:tc>
          <w:tcPr>
            <w:tcW w:w="607" w:type="dxa"/>
            <w:tcBorders>
              <w:top w:val="nil"/>
              <w:left w:val="nil"/>
              <w:bottom w:val="single" w:sz="4" w:space="0" w:color="1B556B" w:themeColor="text2"/>
            </w:tcBorders>
            <w:shd w:val="clear" w:color="auto" w:fill="1B556B" w:themeFill="text2"/>
            <w:vAlign w:val="center"/>
          </w:tcPr>
          <w:p w14:paraId="04B2BB6A"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2035</w:t>
            </w:r>
          </w:p>
        </w:tc>
        <w:tc>
          <w:tcPr>
            <w:tcW w:w="607" w:type="dxa"/>
            <w:tcBorders>
              <w:top w:val="nil"/>
              <w:left w:val="nil"/>
              <w:bottom w:val="single" w:sz="4" w:space="0" w:color="1B556B" w:themeColor="text2"/>
            </w:tcBorders>
            <w:shd w:val="clear" w:color="auto" w:fill="1B556B" w:themeFill="text2"/>
            <w:vAlign w:val="center"/>
          </w:tcPr>
          <w:p w14:paraId="57CC7E64"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2040</w:t>
            </w:r>
          </w:p>
        </w:tc>
        <w:tc>
          <w:tcPr>
            <w:tcW w:w="607" w:type="dxa"/>
            <w:tcBorders>
              <w:top w:val="nil"/>
              <w:left w:val="nil"/>
              <w:bottom w:val="single" w:sz="4" w:space="0" w:color="1B556B" w:themeColor="text2"/>
              <w:right w:val="nil"/>
            </w:tcBorders>
            <w:shd w:val="clear" w:color="auto" w:fill="1B556B" w:themeFill="text2"/>
            <w:vAlign w:val="center"/>
          </w:tcPr>
          <w:p w14:paraId="5B199499"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2045</w:t>
            </w:r>
          </w:p>
        </w:tc>
        <w:tc>
          <w:tcPr>
            <w:tcW w:w="607" w:type="dxa"/>
            <w:tcBorders>
              <w:top w:val="nil"/>
              <w:left w:val="nil"/>
              <w:bottom w:val="single" w:sz="4" w:space="0" w:color="1B556B" w:themeColor="text2"/>
            </w:tcBorders>
            <w:shd w:val="clear" w:color="auto" w:fill="1B556B" w:themeFill="text2"/>
            <w:vAlign w:val="center"/>
          </w:tcPr>
          <w:p w14:paraId="7F669C5A" w14:textId="77777777" w:rsidR="00F51113" w:rsidRPr="00841C21" w:rsidRDefault="00F51113">
            <w:pPr>
              <w:pStyle w:val="TableText"/>
              <w:spacing w:before="0" w:after="50"/>
              <w:jc w:val="center"/>
              <w:rPr>
                <w:b/>
                <w:bCs/>
                <w:color w:val="FFFFFF" w:themeColor="background1"/>
                <w:szCs w:val="18"/>
              </w:rPr>
            </w:pPr>
            <w:r w:rsidRPr="00841C21">
              <w:rPr>
                <w:b/>
                <w:bCs/>
                <w:color w:val="FFFFFF" w:themeColor="background1"/>
                <w:szCs w:val="18"/>
              </w:rPr>
              <w:t>2050</w:t>
            </w:r>
          </w:p>
        </w:tc>
      </w:tr>
      <w:tr w:rsidR="00F51113" w:rsidRPr="00841C21" w14:paraId="49701927" w14:textId="77777777">
        <w:tc>
          <w:tcPr>
            <w:tcW w:w="613" w:type="dxa"/>
            <w:vAlign w:val="center"/>
          </w:tcPr>
          <w:p w14:paraId="0E043BF7" w14:textId="77777777" w:rsidR="00F51113" w:rsidRPr="00841C21" w:rsidRDefault="00F51113">
            <w:pPr>
              <w:pStyle w:val="TableText"/>
              <w:spacing w:before="40" w:after="40"/>
              <w:rPr>
                <w:rFonts w:cs="Calibri"/>
                <w:szCs w:val="18"/>
              </w:rPr>
            </w:pPr>
            <w:r w:rsidRPr="00841C21">
              <w:rPr>
                <w:rFonts w:cs="Calibri"/>
                <w:szCs w:val="18"/>
              </w:rPr>
              <w:t>CO</w:t>
            </w:r>
            <w:r w:rsidRPr="00841C21">
              <w:rPr>
                <w:rFonts w:cs="Calibri"/>
                <w:szCs w:val="18"/>
                <w:vertAlign w:val="subscript"/>
              </w:rPr>
              <w:t>2</w:t>
            </w:r>
          </w:p>
        </w:tc>
        <w:tc>
          <w:tcPr>
            <w:tcW w:w="608" w:type="dxa"/>
            <w:vAlign w:val="center"/>
          </w:tcPr>
          <w:p w14:paraId="537D2289" w14:textId="77777777" w:rsidR="00F51113" w:rsidRPr="00841C21" w:rsidRDefault="00F51113">
            <w:pPr>
              <w:pStyle w:val="TableText"/>
              <w:spacing w:before="40" w:after="40"/>
              <w:jc w:val="center"/>
              <w:rPr>
                <w:rFonts w:cs="Calibri"/>
                <w:color w:val="000000"/>
                <w:szCs w:val="18"/>
              </w:rPr>
            </w:pPr>
            <w:r w:rsidRPr="00841C21">
              <w:rPr>
                <w:szCs w:val="18"/>
              </w:rPr>
              <w:t>14.6</w:t>
            </w:r>
          </w:p>
        </w:tc>
        <w:tc>
          <w:tcPr>
            <w:tcW w:w="607" w:type="dxa"/>
            <w:vAlign w:val="center"/>
          </w:tcPr>
          <w:p w14:paraId="02A2B744" w14:textId="77777777" w:rsidR="00F51113" w:rsidRPr="00841C21" w:rsidRDefault="00F51113">
            <w:pPr>
              <w:pStyle w:val="TableText"/>
              <w:spacing w:before="40" w:after="40"/>
              <w:jc w:val="center"/>
              <w:rPr>
                <w:rFonts w:cs="Calibri"/>
                <w:color w:val="000000"/>
                <w:szCs w:val="18"/>
              </w:rPr>
            </w:pPr>
            <w:r w:rsidRPr="00841C21">
              <w:rPr>
                <w:szCs w:val="18"/>
              </w:rPr>
              <w:t>14.4</w:t>
            </w:r>
          </w:p>
        </w:tc>
        <w:tc>
          <w:tcPr>
            <w:tcW w:w="607" w:type="dxa"/>
            <w:vAlign w:val="center"/>
          </w:tcPr>
          <w:p w14:paraId="375D68D8" w14:textId="77777777" w:rsidR="00F51113" w:rsidRPr="00841C21" w:rsidRDefault="00F51113">
            <w:pPr>
              <w:pStyle w:val="TableText"/>
              <w:spacing w:before="40" w:after="40"/>
              <w:jc w:val="center"/>
              <w:rPr>
                <w:rFonts w:cs="Calibri"/>
                <w:color w:val="000000"/>
                <w:szCs w:val="18"/>
              </w:rPr>
            </w:pPr>
            <w:r w:rsidRPr="00841C21">
              <w:rPr>
                <w:szCs w:val="18"/>
              </w:rPr>
              <w:t>17.0</w:t>
            </w:r>
          </w:p>
        </w:tc>
        <w:tc>
          <w:tcPr>
            <w:tcW w:w="607" w:type="dxa"/>
            <w:vAlign w:val="center"/>
          </w:tcPr>
          <w:p w14:paraId="158C08B4" w14:textId="77777777" w:rsidR="00F51113" w:rsidRPr="00841C21" w:rsidRDefault="00F51113">
            <w:pPr>
              <w:pStyle w:val="TableText"/>
              <w:spacing w:before="40" w:after="40"/>
              <w:jc w:val="center"/>
              <w:rPr>
                <w:rFonts w:cs="Calibri"/>
                <w:color w:val="000000"/>
                <w:szCs w:val="18"/>
              </w:rPr>
            </w:pPr>
            <w:r w:rsidRPr="00841C21">
              <w:rPr>
                <w:szCs w:val="18"/>
              </w:rPr>
              <w:t>20.2</w:t>
            </w:r>
          </w:p>
        </w:tc>
        <w:tc>
          <w:tcPr>
            <w:tcW w:w="607" w:type="dxa"/>
            <w:vAlign w:val="center"/>
          </w:tcPr>
          <w:p w14:paraId="3836B0E4" w14:textId="77777777" w:rsidR="00F51113" w:rsidRPr="00841C21" w:rsidRDefault="00F51113">
            <w:pPr>
              <w:pStyle w:val="TableText"/>
              <w:spacing w:before="40" w:after="40"/>
              <w:jc w:val="center"/>
              <w:rPr>
                <w:rFonts w:cs="Calibri"/>
                <w:color w:val="000000"/>
                <w:szCs w:val="18"/>
              </w:rPr>
            </w:pPr>
            <w:r w:rsidRPr="00841C21">
              <w:rPr>
                <w:szCs w:val="18"/>
              </w:rPr>
              <w:t>17.3</w:t>
            </w:r>
          </w:p>
        </w:tc>
        <w:tc>
          <w:tcPr>
            <w:tcW w:w="607" w:type="dxa"/>
            <w:vAlign w:val="center"/>
          </w:tcPr>
          <w:p w14:paraId="252CE9F4" w14:textId="77777777" w:rsidR="00F51113" w:rsidRPr="00841C21" w:rsidRDefault="00F51113">
            <w:pPr>
              <w:pStyle w:val="TableText"/>
              <w:spacing w:before="40" w:after="40"/>
              <w:jc w:val="center"/>
              <w:rPr>
                <w:rFonts w:cs="Calibri"/>
                <w:color w:val="000000"/>
                <w:szCs w:val="18"/>
              </w:rPr>
            </w:pPr>
            <w:r w:rsidRPr="00841C21">
              <w:rPr>
                <w:szCs w:val="18"/>
              </w:rPr>
              <w:t>17.5</w:t>
            </w:r>
          </w:p>
        </w:tc>
        <w:tc>
          <w:tcPr>
            <w:tcW w:w="607" w:type="dxa"/>
            <w:vAlign w:val="center"/>
          </w:tcPr>
          <w:p w14:paraId="47180849" w14:textId="77777777" w:rsidR="00F51113" w:rsidRPr="00841C21" w:rsidRDefault="00F51113">
            <w:pPr>
              <w:pStyle w:val="TableText"/>
              <w:spacing w:before="40" w:after="40"/>
              <w:jc w:val="center"/>
              <w:rPr>
                <w:rFonts w:cs="Calibri"/>
                <w:szCs w:val="18"/>
              </w:rPr>
            </w:pPr>
            <w:r w:rsidRPr="00841C21">
              <w:rPr>
                <w:szCs w:val="18"/>
              </w:rPr>
              <w:t>17.0</w:t>
            </w:r>
          </w:p>
        </w:tc>
        <w:tc>
          <w:tcPr>
            <w:tcW w:w="607" w:type="dxa"/>
            <w:shd w:val="clear" w:color="auto" w:fill="D2DDE1" w:themeFill="background2"/>
            <w:vAlign w:val="center"/>
          </w:tcPr>
          <w:p w14:paraId="0002BFC6" w14:textId="77777777" w:rsidR="00F51113" w:rsidRPr="00841C21" w:rsidRDefault="00F51113">
            <w:pPr>
              <w:pStyle w:val="TableText"/>
              <w:spacing w:before="40" w:after="40"/>
              <w:jc w:val="center"/>
              <w:rPr>
                <w:rFonts w:cs="Calibri"/>
                <w:szCs w:val="18"/>
              </w:rPr>
            </w:pPr>
            <w:r w:rsidRPr="00841C21">
              <w:rPr>
                <w:szCs w:val="18"/>
              </w:rPr>
              <w:t>14.2</w:t>
            </w:r>
          </w:p>
        </w:tc>
        <w:tc>
          <w:tcPr>
            <w:tcW w:w="607" w:type="dxa"/>
            <w:shd w:val="clear" w:color="auto" w:fill="D2DDE1" w:themeFill="background2"/>
            <w:vAlign w:val="center"/>
          </w:tcPr>
          <w:p w14:paraId="0483CDF3" w14:textId="77777777" w:rsidR="00F51113" w:rsidRPr="00841C21" w:rsidRDefault="00F51113">
            <w:pPr>
              <w:pStyle w:val="TableText"/>
              <w:spacing w:before="40" w:after="40"/>
              <w:jc w:val="center"/>
              <w:rPr>
                <w:rFonts w:cs="Calibri"/>
                <w:szCs w:val="18"/>
              </w:rPr>
            </w:pPr>
            <w:r w:rsidRPr="00841C21">
              <w:rPr>
                <w:szCs w:val="18"/>
              </w:rPr>
              <w:t>11.9</w:t>
            </w:r>
          </w:p>
        </w:tc>
        <w:tc>
          <w:tcPr>
            <w:tcW w:w="607" w:type="dxa"/>
            <w:shd w:val="clear" w:color="auto" w:fill="D2DDE1" w:themeFill="background2"/>
            <w:vAlign w:val="center"/>
          </w:tcPr>
          <w:p w14:paraId="4F808D8A" w14:textId="77777777" w:rsidR="00F51113" w:rsidRPr="00841C21" w:rsidRDefault="00F51113">
            <w:pPr>
              <w:pStyle w:val="TableText"/>
              <w:spacing w:before="40" w:after="40"/>
              <w:jc w:val="center"/>
              <w:rPr>
                <w:rFonts w:cs="Calibri"/>
                <w:szCs w:val="18"/>
              </w:rPr>
            </w:pPr>
            <w:r w:rsidRPr="00841C21">
              <w:rPr>
                <w:szCs w:val="18"/>
              </w:rPr>
              <w:t>10.4</w:t>
            </w:r>
          </w:p>
        </w:tc>
        <w:tc>
          <w:tcPr>
            <w:tcW w:w="607" w:type="dxa"/>
            <w:shd w:val="clear" w:color="auto" w:fill="D2DDE1" w:themeFill="background2"/>
            <w:vAlign w:val="center"/>
          </w:tcPr>
          <w:p w14:paraId="11C2B987" w14:textId="77777777" w:rsidR="00F51113" w:rsidRPr="00841C21" w:rsidRDefault="00F51113">
            <w:pPr>
              <w:pStyle w:val="TableText"/>
              <w:spacing w:before="40" w:after="40"/>
              <w:jc w:val="center"/>
              <w:rPr>
                <w:rFonts w:cs="Calibri"/>
                <w:szCs w:val="18"/>
              </w:rPr>
            </w:pPr>
            <w:r w:rsidRPr="00841C21">
              <w:rPr>
                <w:szCs w:val="18"/>
              </w:rPr>
              <w:t>10.0</w:t>
            </w:r>
          </w:p>
        </w:tc>
        <w:tc>
          <w:tcPr>
            <w:tcW w:w="607" w:type="dxa"/>
            <w:shd w:val="clear" w:color="auto" w:fill="D2DDE1" w:themeFill="background2"/>
            <w:vAlign w:val="center"/>
          </w:tcPr>
          <w:p w14:paraId="76543AF8" w14:textId="77777777" w:rsidR="00F51113" w:rsidRPr="00841C21" w:rsidRDefault="00F51113">
            <w:pPr>
              <w:pStyle w:val="TableText"/>
              <w:spacing w:before="40" w:after="40"/>
              <w:jc w:val="center"/>
              <w:rPr>
                <w:rFonts w:cs="Calibri"/>
                <w:szCs w:val="18"/>
              </w:rPr>
            </w:pPr>
            <w:r w:rsidRPr="00841C21">
              <w:rPr>
                <w:szCs w:val="18"/>
              </w:rPr>
              <w:t>10.2</w:t>
            </w:r>
          </w:p>
        </w:tc>
        <w:tc>
          <w:tcPr>
            <w:tcW w:w="607" w:type="dxa"/>
            <w:shd w:val="clear" w:color="auto" w:fill="D2DDE1" w:themeFill="background2"/>
            <w:vAlign w:val="center"/>
          </w:tcPr>
          <w:p w14:paraId="18672E83" w14:textId="77777777" w:rsidR="00F51113" w:rsidRPr="00841C21" w:rsidRDefault="00F51113">
            <w:pPr>
              <w:pStyle w:val="TableText"/>
              <w:spacing w:before="40" w:after="40"/>
              <w:jc w:val="center"/>
              <w:rPr>
                <w:rFonts w:cs="Calibri"/>
                <w:szCs w:val="18"/>
              </w:rPr>
            </w:pPr>
            <w:r w:rsidRPr="00841C21">
              <w:rPr>
                <w:szCs w:val="18"/>
              </w:rPr>
              <w:t>10.2</w:t>
            </w:r>
          </w:p>
        </w:tc>
      </w:tr>
      <w:tr w:rsidR="00F51113" w:rsidRPr="00841C21" w14:paraId="48DBA9B6" w14:textId="77777777">
        <w:tc>
          <w:tcPr>
            <w:tcW w:w="613" w:type="dxa"/>
            <w:vAlign w:val="center"/>
          </w:tcPr>
          <w:p w14:paraId="6C81C488" w14:textId="77777777" w:rsidR="00F51113" w:rsidRPr="00841C21" w:rsidRDefault="00F51113">
            <w:pPr>
              <w:pStyle w:val="TableText"/>
              <w:spacing w:before="40" w:after="40"/>
              <w:rPr>
                <w:rFonts w:cs="Calibri"/>
                <w:szCs w:val="18"/>
              </w:rPr>
            </w:pPr>
            <w:r w:rsidRPr="00841C21">
              <w:rPr>
                <w:rFonts w:cs="Calibri"/>
                <w:szCs w:val="18"/>
              </w:rPr>
              <w:t>CH</w:t>
            </w:r>
            <w:r w:rsidRPr="00841C21">
              <w:rPr>
                <w:rFonts w:cs="Calibri"/>
                <w:szCs w:val="18"/>
                <w:vertAlign w:val="subscript"/>
              </w:rPr>
              <w:t>4</w:t>
            </w:r>
          </w:p>
        </w:tc>
        <w:tc>
          <w:tcPr>
            <w:tcW w:w="608" w:type="dxa"/>
            <w:vAlign w:val="center"/>
          </w:tcPr>
          <w:p w14:paraId="495D8DAA" w14:textId="77777777" w:rsidR="00F51113" w:rsidRPr="00841C21" w:rsidRDefault="00F51113">
            <w:pPr>
              <w:pStyle w:val="TableText"/>
              <w:spacing w:before="40" w:after="40"/>
              <w:jc w:val="center"/>
              <w:rPr>
                <w:rFonts w:cs="Calibri"/>
                <w:szCs w:val="18"/>
              </w:rPr>
            </w:pPr>
            <w:r w:rsidRPr="00841C21">
              <w:rPr>
                <w:szCs w:val="18"/>
              </w:rPr>
              <w:t>1.2</w:t>
            </w:r>
          </w:p>
        </w:tc>
        <w:tc>
          <w:tcPr>
            <w:tcW w:w="607" w:type="dxa"/>
            <w:vAlign w:val="center"/>
          </w:tcPr>
          <w:p w14:paraId="2510A121" w14:textId="77777777" w:rsidR="00F51113" w:rsidRPr="00841C21" w:rsidRDefault="00F51113">
            <w:pPr>
              <w:pStyle w:val="TableText"/>
              <w:spacing w:before="40" w:after="40"/>
              <w:jc w:val="center"/>
              <w:rPr>
                <w:rFonts w:cs="Calibri"/>
                <w:szCs w:val="18"/>
              </w:rPr>
            </w:pPr>
            <w:r w:rsidRPr="00841C21">
              <w:rPr>
                <w:szCs w:val="18"/>
              </w:rPr>
              <w:t>1.1</w:t>
            </w:r>
          </w:p>
        </w:tc>
        <w:tc>
          <w:tcPr>
            <w:tcW w:w="607" w:type="dxa"/>
            <w:vAlign w:val="center"/>
          </w:tcPr>
          <w:p w14:paraId="0A0237D2" w14:textId="77777777" w:rsidR="00F51113" w:rsidRPr="00841C21" w:rsidRDefault="00F51113">
            <w:pPr>
              <w:pStyle w:val="TableText"/>
              <w:spacing w:before="40" w:after="40"/>
              <w:jc w:val="center"/>
              <w:rPr>
                <w:rFonts w:cs="Calibri"/>
                <w:szCs w:val="18"/>
              </w:rPr>
            </w:pPr>
            <w:r w:rsidRPr="00841C21">
              <w:rPr>
                <w:szCs w:val="18"/>
              </w:rPr>
              <w:t>1.3</w:t>
            </w:r>
          </w:p>
        </w:tc>
        <w:tc>
          <w:tcPr>
            <w:tcW w:w="607" w:type="dxa"/>
            <w:vAlign w:val="center"/>
          </w:tcPr>
          <w:p w14:paraId="12243C0C" w14:textId="77777777" w:rsidR="00F51113" w:rsidRPr="00841C21" w:rsidRDefault="00F51113">
            <w:pPr>
              <w:pStyle w:val="TableText"/>
              <w:spacing w:before="40" w:after="40"/>
              <w:jc w:val="center"/>
              <w:rPr>
                <w:rFonts w:cs="Calibri"/>
                <w:szCs w:val="18"/>
              </w:rPr>
            </w:pPr>
            <w:r w:rsidRPr="00841C21">
              <w:rPr>
                <w:szCs w:val="18"/>
              </w:rPr>
              <w:t>1.2</w:t>
            </w:r>
          </w:p>
        </w:tc>
        <w:tc>
          <w:tcPr>
            <w:tcW w:w="607" w:type="dxa"/>
            <w:vAlign w:val="center"/>
          </w:tcPr>
          <w:p w14:paraId="13205A26" w14:textId="77777777" w:rsidR="00F51113" w:rsidRPr="00841C21" w:rsidRDefault="00F51113">
            <w:pPr>
              <w:pStyle w:val="TableText"/>
              <w:spacing w:before="40" w:after="40"/>
              <w:jc w:val="center"/>
              <w:rPr>
                <w:rFonts w:cs="Calibri"/>
                <w:szCs w:val="18"/>
              </w:rPr>
            </w:pPr>
            <w:r w:rsidRPr="00841C21">
              <w:rPr>
                <w:szCs w:val="18"/>
              </w:rPr>
              <w:t>1.5</w:t>
            </w:r>
          </w:p>
        </w:tc>
        <w:tc>
          <w:tcPr>
            <w:tcW w:w="607" w:type="dxa"/>
            <w:vAlign w:val="center"/>
          </w:tcPr>
          <w:p w14:paraId="5B2F29B6" w14:textId="77777777" w:rsidR="00F51113" w:rsidRPr="00841C21" w:rsidRDefault="00F51113">
            <w:pPr>
              <w:pStyle w:val="TableText"/>
              <w:spacing w:before="40" w:after="40"/>
              <w:jc w:val="center"/>
              <w:rPr>
                <w:rFonts w:cs="Calibri"/>
                <w:szCs w:val="18"/>
              </w:rPr>
            </w:pPr>
            <w:r w:rsidRPr="00841C21">
              <w:rPr>
                <w:szCs w:val="18"/>
              </w:rPr>
              <w:t>0.9</w:t>
            </w:r>
          </w:p>
        </w:tc>
        <w:tc>
          <w:tcPr>
            <w:tcW w:w="607" w:type="dxa"/>
            <w:vAlign w:val="center"/>
          </w:tcPr>
          <w:p w14:paraId="3B601704" w14:textId="77777777" w:rsidR="00F51113" w:rsidRPr="00841C21" w:rsidRDefault="00F51113">
            <w:pPr>
              <w:pStyle w:val="TableText"/>
              <w:spacing w:before="40" w:after="40"/>
              <w:jc w:val="center"/>
              <w:rPr>
                <w:rFonts w:cs="Calibri"/>
                <w:szCs w:val="18"/>
              </w:rPr>
            </w:pPr>
            <w:r w:rsidRPr="00841C21">
              <w:rPr>
                <w:szCs w:val="18"/>
              </w:rPr>
              <w:t>0.6</w:t>
            </w:r>
          </w:p>
        </w:tc>
        <w:tc>
          <w:tcPr>
            <w:tcW w:w="607" w:type="dxa"/>
            <w:shd w:val="clear" w:color="auto" w:fill="D2DDE1" w:themeFill="background2"/>
            <w:vAlign w:val="center"/>
          </w:tcPr>
          <w:p w14:paraId="705FBD81" w14:textId="77777777" w:rsidR="00F51113" w:rsidRPr="00841C21" w:rsidRDefault="00F51113">
            <w:pPr>
              <w:pStyle w:val="TableText"/>
              <w:spacing w:before="40" w:after="40"/>
              <w:jc w:val="center"/>
              <w:rPr>
                <w:rFonts w:cs="Calibri"/>
                <w:szCs w:val="18"/>
              </w:rPr>
            </w:pPr>
            <w:r w:rsidRPr="00841C21">
              <w:rPr>
                <w:szCs w:val="18"/>
              </w:rPr>
              <w:t>0.6</w:t>
            </w:r>
          </w:p>
        </w:tc>
        <w:tc>
          <w:tcPr>
            <w:tcW w:w="607" w:type="dxa"/>
            <w:shd w:val="clear" w:color="auto" w:fill="D2DDE1" w:themeFill="background2"/>
            <w:vAlign w:val="center"/>
          </w:tcPr>
          <w:p w14:paraId="23F601E4" w14:textId="77777777" w:rsidR="00F51113" w:rsidRPr="00841C21" w:rsidRDefault="00F51113">
            <w:pPr>
              <w:pStyle w:val="TableText"/>
              <w:spacing w:before="40" w:after="40"/>
              <w:jc w:val="center"/>
              <w:rPr>
                <w:rFonts w:cs="Calibri"/>
                <w:szCs w:val="18"/>
              </w:rPr>
            </w:pPr>
            <w:r w:rsidRPr="00841C21">
              <w:rPr>
                <w:szCs w:val="18"/>
              </w:rPr>
              <w:t>0.5</w:t>
            </w:r>
          </w:p>
        </w:tc>
        <w:tc>
          <w:tcPr>
            <w:tcW w:w="607" w:type="dxa"/>
            <w:shd w:val="clear" w:color="auto" w:fill="D2DDE1" w:themeFill="background2"/>
            <w:vAlign w:val="center"/>
          </w:tcPr>
          <w:p w14:paraId="2FB33D67" w14:textId="77777777" w:rsidR="00F51113" w:rsidRPr="00841C21" w:rsidRDefault="00F51113">
            <w:pPr>
              <w:pStyle w:val="TableText"/>
              <w:spacing w:before="40" w:after="40"/>
              <w:jc w:val="center"/>
              <w:rPr>
                <w:rFonts w:cs="Calibri"/>
                <w:szCs w:val="18"/>
              </w:rPr>
            </w:pPr>
            <w:r w:rsidRPr="00841C21">
              <w:rPr>
                <w:szCs w:val="18"/>
              </w:rPr>
              <w:t>0.5</w:t>
            </w:r>
          </w:p>
        </w:tc>
        <w:tc>
          <w:tcPr>
            <w:tcW w:w="607" w:type="dxa"/>
            <w:shd w:val="clear" w:color="auto" w:fill="D2DDE1" w:themeFill="background2"/>
            <w:vAlign w:val="center"/>
          </w:tcPr>
          <w:p w14:paraId="0A476D64" w14:textId="77777777" w:rsidR="00F51113" w:rsidRPr="00841C21" w:rsidRDefault="00F51113">
            <w:pPr>
              <w:pStyle w:val="TableText"/>
              <w:spacing w:before="40" w:after="40"/>
              <w:jc w:val="center"/>
              <w:rPr>
                <w:rFonts w:cs="Calibri"/>
                <w:szCs w:val="18"/>
              </w:rPr>
            </w:pPr>
            <w:r w:rsidRPr="00841C21">
              <w:rPr>
                <w:szCs w:val="18"/>
              </w:rPr>
              <w:t>0.4</w:t>
            </w:r>
          </w:p>
        </w:tc>
        <w:tc>
          <w:tcPr>
            <w:tcW w:w="607" w:type="dxa"/>
            <w:shd w:val="clear" w:color="auto" w:fill="D2DDE1" w:themeFill="background2"/>
            <w:vAlign w:val="center"/>
          </w:tcPr>
          <w:p w14:paraId="713C480D" w14:textId="77777777" w:rsidR="00F51113" w:rsidRPr="00841C21" w:rsidRDefault="00F51113">
            <w:pPr>
              <w:pStyle w:val="TableText"/>
              <w:spacing w:before="40" w:after="40"/>
              <w:jc w:val="center"/>
              <w:rPr>
                <w:rFonts w:cs="Calibri"/>
                <w:szCs w:val="18"/>
              </w:rPr>
            </w:pPr>
            <w:r w:rsidRPr="00841C21">
              <w:rPr>
                <w:szCs w:val="18"/>
              </w:rPr>
              <w:t>0.4</w:t>
            </w:r>
          </w:p>
        </w:tc>
        <w:tc>
          <w:tcPr>
            <w:tcW w:w="607" w:type="dxa"/>
            <w:shd w:val="clear" w:color="auto" w:fill="D2DDE1" w:themeFill="background2"/>
            <w:vAlign w:val="center"/>
          </w:tcPr>
          <w:p w14:paraId="30A519CD" w14:textId="77777777" w:rsidR="00F51113" w:rsidRPr="00841C21" w:rsidRDefault="00F51113">
            <w:pPr>
              <w:pStyle w:val="TableText"/>
              <w:spacing w:before="40" w:after="40"/>
              <w:jc w:val="center"/>
              <w:rPr>
                <w:rFonts w:cs="Calibri"/>
                <w:szCs w:val="18"/>
              </w:rPr>
            </w:pPr>
            <w:r w:rsidRPr="00841C21">
              <w:rPr>
                <w:szCs w:val="18"/>
              </w:rPr>
              <w:t>0.4</w:t>
            </w:r>
          </w:p>
        </w:tc>
      </w:tr>
      <w:tr w:rsidR="00F51113" w:rsidRPr="00841C21" w14:paraId="2A1E20F7" w14:textId="77777777">
        <w:tc>
          <w:tcPr>
            <w:tcW w:w="613" w:type="dxa"/>
            <w:vAlign w:val="center"/>
          </w:tcPr>
          <w:p w14:paraId="2E0A7599" w14:textId="77777777" w:rsidR="00F51113" w:rsidRPr="00841C21" w:rsidRDefault="00F51113">
            <w:pPr>
              <w:pStyle w:val="TableText"/>
              <w:spacing w:before="40" w:after="40"/>
              <w:rPr>
                <w:rFonts w:cs="Calibri"/>
                <w:szCs w:val="18"/>
              </w:rPr>
            </w:pPr>
            <w:r w:rsidRPr="00841C21">
              <w:rPr>
                <w:rFonts w:cs="Calibri"/>
                <w:szCs w:val="18"/>
              </w:rPr>
              <w:t>N</w:t>
            </w:r>
            <w:r w:rsidRPr="00841C21">
              <w:rPr>
                <w:rFonts w:cs="Calibri"/>
                <w:szCs w:val="18"/>
                <w:vertAlign w:val="subscript"/>
              </w:rPr>
              <w:t>2</w:t>
            </w:r>
            <w:r w:rsidRPr="00841C21">
              <w:rPr>
                <w:rFonts w:cs="Calibri"/>
                <w:szCs w:val="18"/>
              </w:rPr>
              <w:t>O</w:t>
            </w:r>
          </w:p>
        </w:tc>
        <w:tc>
          <w:tcPr>
            <w:tcW w:w="608" w:type="dxa"/>
            <w:vAlign w:val="center"/>
          </w:tcPr>
          <w:p w14:paraId="624E3730" w14:textId="77777777" w:rsidR="00F51113" w:rsidRPr="00841C21" w:rsidRDefault="00F51113">
            <w:pPr>
              <w:pStyle w:val="TableText"/>
              <w:spacing w:before="40" w:after="40"/>
              <w:jc w:val="center"/>
              <w:rPr>
                <w:rFonts w:cs="Calibri"/>
                <w:szCs w:val="18"/>
              </w:rPr>
            </w:pPr>
            <w:r w:rsidRPr="00841C21">
              <w:rPr>
                <w:szCs w:val="18"/>
              </w:rPr>
              <w:t>0.1</w:t>
            </w:r>
          </w:p>
        </w:tc>
        <w:tc>
          <w:tcPr>
            <w:tcW w:w="607" w:type="dxa"/>
            <w:vAlign w:val="center"/>
          </w:tcPr>
          <w:p w14:paraId="6DA806A6" w14:textId="77777777" w:rsidR="00F51113" w:rsidRPr="00841C21" w:rsidRDefault="00F51113">
            <w:pPr>
              <w:pStyle w:val="TableText"/>
              <w:spacing w:before="40" w:after="40"/>
              <w:jc w:val="center"/>
              <w:rPr>
                <w:rFonts w:cs="Calibri"/>
                <w:szCs w:val="18"/>
              </w:rPr>
            </w:pPr>
            <w:r w:rsidRPr="00841C21">
              <w:rPr>
                <w:szCs w:val="18"/>
              </w:rPr>
              <w:t>0.1</w:t>
            </w:r>
          </w:p>
        </w:tc>
        <w:tc>
          <w:tcPr>
            <w:tcW w:w="607" w:type="dxa"/>
            <w:vAlign w:val="center"/>
          </w:tcPr>
          <w:p w14:paraId="621402D1" w14:textId="77777777" w:rsidR="00F51113" w:rsidRPr="00841C21" w:rsidRDefault="00F51113">
            <w:pPr>
              <w:pStyle w:val="TableText"/>
              <w:spacing w:before="40" w:after="40"/>
              <w:jc w:val="center"/>
              <w:rPr>
                <w:rFonts w:cs="Calibri"/>
                <w:szCs w:val="18"/>
              </w:rPr>
            </w:pPr>
            <w:r w:rsidRPr="00841C21">
              <w:rPr>
                <w:szCs w:val="18"/>
              </w:rPr>
              <w:t>0.1</w:t>
            </w:r>
          </w:p>
        </w:tc>
        <w:tc>
          <w:tcPr>
            <w:tcW w:w="607" w:type="dxa"/>
            <w:vAlign w:val="center"/>
          </w:tcPr>
          <w:p w14:paraId="34BCF726" w14:textId="77777777" w:rsidR="00F51113" w:rsidRPr="00841C21" w:rsidRDefault="00F51113">
            <w:pPr>
              <w:pStyle w:val="TableText"/>
              <w:spacing w:before="40" w:after="40"/>
              <w:jc w:val="center"/>
              <w:rPr>
                <w:rFonts w:cs="Calibri"/>
                <w:szCs w:val="18"/>
              </w:rPr>
            </w:pPr>
            <w:r w:rsidRPr="00841C21">
              <w:rPr>
                <w:szCs w:val="18"/>
              </w:rPr>
              <w:t>0.1</w:t>
            </w:r>
          </w:p>
        </w:tc>
        <w:tc>
          <w:tcPr>
            <w:tcW w:w="607" w:type="dxa"/>
            <w:vAlign w:val="center"/>
          </w:tcPr>
          <w:p w14:paraId="506243DF" w14:textId="77777777" w:rsidR="00F51113" w:rsidRPr="00841C21" w:rsidRDefault="00F51113">
            <w:pPr>
              <w:pStyle w:val="TableText"/>
              <w:spacing w:before="40" w:after="40"/>
              <w:jc w:val="center"/>
              <w:rPr>
                <w:rFonts w:cs="Calibri"/>
                <w:szCs w:val="18"/>
              </w:rPr>
            </w:pPr>
            <w:r w:rsidRPr="00841C21">
              <w:rPr>
                <w:szCs w:val="18"/>
              </w:rPr>
              <w:t>0.1</w:t>
            </w:r>
          </w:p>
        </w:tc>
        <w:tc>
          <w:tcPr>
            <w:tcW w:w="607" w:type="dxa"/>
            <w:vAlign w:val="center"/>
          </w:tcPr>
          <w:p w14:paraId="64D29E65" w14:textId="77777777" w:rsidR="00F51113" w:rsidRPr="00841C21" w:rsidRDefault="00F51113">
            <w:pPr>
              <w:pStyle w:val="TableText"/>
              <w:spacing w:before="40" w:after="40"/>
              <w:jc w:val="center"/>
              <w:rPr>
                <w:rFonts w:cs="Calibri"/>
                <w:szCs w:val="18"/>
              </w:rPr>
            </w:pPr>
            <w:r w:rsidRPr="00841C21">
              <w:rPr>
                <w:szCs w:val="18"/>
              </w:rPr>
              <w:t>0.1</w:t>
            </w:r>
          </w:p>
        </w:tc>
        <w:tc>
          <w:tcPr>
            <w:tcW w:w="607" w:type="dxa"/>
            <w:vAlign w:val="center"/>
          </w:tcPr>
          <w:p w14:paraId="7F138777" w14:textId="77777777" w:rsidR="00F51113" w:rsidRPr="00841C21" w:rsidRDefault="00F51113">
            <w:pPr>
              <w:pStyle w:val="TableText"/>
              <w:spacing w:before="40" w:after="40"/>
              <w:jc w:val="center"/>
              <w:rPr>
                <w:rFonts w:cs="Calibri"/>
                <w:color w:val="000000"/>
                <w:szCs w:val="18"/>
              </w:rPr>
            </w:pPr>
            <w:r w:rsidRPr="00841C21">
              <w:rPr>
                <w:szCs w:val="18"/>
              </w:rPr>
              <w:t>0.1</w:t>
            </w:r>
          </w:p>
        </w:tc>
        <w:tc>
          <w:tcPr>
            <w:tcW w:w="607" w:type="dxa"/>
            <w:shd w:val="clear" w:color="auto" w:fill="D2DDE1" w:themeFill="background2"/>
            <w:vAlign w:val="center"/>
          </w:tcPr>
          <w:p w14:paraId="2B40ED52" w14:textId="77777777" w:rsidR="00F51113" w:rsidRPr="00841C21" w:rsidRDefault="00F51113">
            <w:pPr>
              <w:pStyle w:val="TableText"/>
              <w:spacing w:before="40" w:after="40"/>
              <w:jc w:val="center"/>
              <w:rPr>
                <w:rFonts w:cs="Calibri"/>
                <w:color w:val="000000"/>
                <w:szCs w:val="18"/>
              </w:rPr>
            </w:pPr>
            <w:r w:rsidRPr="00841C21">
              <w:rPr>
                <w:szCs w:val="18"/>
              </w:rPr>
              <w:t>0.1</w:t>
            </w:r>
          </w:p>
        </w:tc>
        <w:tc>
          <w:tcPr>
            <w:tcW w:w="607" w:type="dxa"/>
            <w:shd w:val="clear" w:color="auto" w:fill="D2DDE1" w:themeFill="background2"/>
            <w:vAlign w:val="center"/>
          </w:tcPr>
          <w:p w14:paraId="74DD3DD3" w14:textId="77777777" w:rsidR="00F51113" w:rsidRPr="00841C21" w:rsidRDefault="00F51113">
            <w:pPr>
              <w:pStyle w:val="TableText"/>
              <w:spacing w:before="40" w:after="40"/>
              <w:jc w:val="center"/>
              <w:rPr>
                <w:rFonts w:cs="Calibri"/>
                <w:color w:val="000000"/>
                <w:szCs w:val="18"/>
              </w:rPr>
            </w:pPr>
            <w:r w:rsidRPr="00841C21">
              <w:rPr>
                <w:szCs w:val="18"/>
              </w:rPr>
              <w:t>0.1</w:t>
            </w:r>
          </w:p>
        </w:tc>
        <w:tc>
          <w:tcPr>
            <w:tcW w:w="607" w:type="dxa"/>
            <w:shd w:val="clear" w:color="auto" w:fill="D2DDE1" w:themeFill="background2"/>
            <w:vAlign w:val="center"/>
          </w:tcPr>
          <w:p w14:paraId="6699BC17" w14:textId="77777777" w:rsidR="00F51113" w:rsidRPr="00841C21" w:rsidRDefault="00F51113">
            <w:pPr>
              <w:pStyle w:val="TableText"/>
              <w:spacing w:before="40" w:after="40"/>
              <w:jc w:val="center"/>
              <w:rPr>
                <w:rFonts w:cs="Calibri"/>
                <w:color w:val="000000"/>
                <w:szCs w:val="18"/>
              </w:rPr>
            </w:pPr>
            <w:r w:rsidRPr="00841C21">
              <w:rPr>
                <w:szCs w:val="18"/>
              </w:rPr>
              <w:t>0.1</w:t>
            </w:r>
          </w:p>
        </w:tc>
        <w:tc>
          <w:tcPr>
            <w:tcW w:w="607" w:type="dxa"/>
            <w:shd w:val="clear" w:color="auto" w:fill="D2DDE1" w:themeFill="background2"/>
            <w:vAlign w:val="center"/>
          </w:tcPr>
          <w:p w14:paraId="32D1A2B0" w14:textId="77777777" w:rsidR="00F51113" w:rsidRPr="00841C21" w:rsidRDefault="00F51113">
            <w:pPr>
              <w:pStyle w:val="TableText"/>
              <w:spacing w:before="40" w:after="40"/>
              <w:jc w:val="center"/>
              <w:rPr>
                <w:rFonts w:cs="Calibri"/>
                <w:color w:val="000000"/>
                <w:szCs w:val="18"/>
              </w:rPr>
            </w:pPr>
            <w:r w:rsidRPr="00841C21">
              <w:rPr>
                <w:szCs w:val="18"/>
              </w:rPr>
              <w:t>0.1</w:t>
            </w:r>
          </w:p>
        </w:tc>
        <w:tc>
          <w:tcPr>
            <w:tcW w:w="607" w:type="dxa"/>
            <w:shd w:val="clear" w:color="auto" w:fill="D2DDE1" w:themeFill="background2"/>
            <w:vAlign w:val="center"/>
          </w:tcPr>
          <w:p w14:paraId="2F5AF5BB" w14:textId="77777777" w:rsidR="00F51113" w:rsidRPr="00841C21" w:rsidRDefault="00F51113">
            <w:pPr>
              <w:pStyle w:val="TableText"/>
              <w:spacing w:before="40" w:after="40"/>
              <w:jc w:val="center"/>
              <w:rPr>
                <w:rFonts w:cs="Calibri"/>
                <w:color w:val="000000"/>
                <w:szCs w:val="18"/>
              </w:rPr>
            </w:pPr>
            <w:r w:rsidRPr="00841C21">
              <w:rPr>
                <w:szCs w:val="18"/>
              </w:rPr>
              <w:t>0.1</w:t>
            </w:r>
          </w:p>
        </w:tc>
        <w:tc>
          <w:tcPr>
            <w:tcW w:w="607" w:type="dxa"/>
            <w:shd w:val="clear" w:color="auto" w:fill="D2DDE1" w:themeFill="background2"/>
            <w:vAlign w:val="center"/>
          </w:tcPr>
          <w:p w14:paraId="4F91DED3" w14:textId="77777777" w:rsidR="00F51113" w:rsidRPr="00841C21" w:rsidRDefault="00F51113">
            <w:pPr>
              <w:pStyle w:val="TableText"/>
              <w:spacing w:before="40" w:after="40"/>
              <w:jc w:val="center"/>
              <w:rPr>
                <w:rFonts w:cs="Calibri"/>
                <w:color w:val="000000"/>
                <w:szCs w:val="18"/>
              </w:rPr>
            </w:pPr>
            <w:r w:rsidRPr="00841C21">
              <w:rPr>
                <w:szCs w:val="18"/>
              </w:rPr>
              <w:t>0.1</w:t>
            </w:r>
          </w:p>
        </w:tc>
      </w:tr>
      <w:tr w:rsidR="00F51113" w:rsidRPr="00841C21" w14:paraId="29F80927" w14:textId="77777777">
        <w:tc>
          <w:tcPr>
            <w:tcW w:w="613" w:type="dxa"/>
            <w:vAlign w:val="center"/>
          </w:tcPr>
          <w:p w14:paraId="60E3752D" w14:textId="77777777" w:rsidR="00F51113" w:rsidRPr="00841C21" w:rsidRDefault="00F51113">
            <w:pPr>
              <w:pStyle w:val="TableText"/>
              <w:spacing w:before="40" w:after="40"/>
              <w:rPr>
                <w:b/>
                <w:bCs/>
                <w:szCs w:val="18"/>
              </w:rPr>
            </w:pPr>
            <w:r w:rsidRPr="00841C21">
              <w:rPr>
                <w:b/>
                <w:bCs/>
                <w:szCs w:val="18"/>
              </w:rPr>
              <w:t>Total</w:t>
            </w:r>
          </w:p>
        </w:tc>
        <w:tc>
          <w:tcPr>
            <w:tcW w:w="608" w:type="dxa"/>
            <w:vAlign w:val="center"/>
          </w:tcPr>
          <w:p w14:paraId="11132A33" w14:textId="77777777" w:rsidR="00F51113" w:rsidRPr="00841C21" w:rsidRDefault="00F51113">
            <w:pPr>
              <w:pStyle w:val="TableText"/>
              <w:spacing w:before="40" w:after="40"/>
              <w:jc w:val="center"/>
              <w:rPr>
                <w:b/>
                <w:bCs/>
                <w:color w:val="000000"/>
                <w:szCs w:val="18"/>
              </w:rPr>
            </w:pPr>
            <w:r w:rsidRPr="00841C21">
              <w:rPr>
                <w:b/>
                <w:bCs/>
                <w:szCs w:val="18"/>
              </w:rPr>
              <w:t>15.9</w:t>
            </w:r>
          </w:p>
        </w:tc>
        <w:tc>
          <w:tcPr>
            <w:tcW w:w="607" w:type="dxa"/>
            <w:vAlign w:val="center"/>
          </w:tcPr>
          <w:p w14:paraId="27469AC1" w14:textId="77777777" w:rsidR="00F51113" w:rsidRPr="00841C21" w:rsidRDefault="00F51113">
            <w:pPr>
              <w:pStyle w:val="TableText"/>
              <w:spacing w:before="40" w:after="40"/>
              <w:jc w:val="center"/>
              <w:rPr>
                <w:b/>
                <w:bCs/>
                <w:color w:val="000000"/>
                <w:szCs w:val="18"/>
              </w:rPr>
            </w:pPr>
            <w:r w:rsidRPr="00841C21">
              <w:rPr>
                <w:b/>
                <w:bCs/>
                <w:szCs w:val="18"/>
              </w:rPr>
              <w:t>15.7</w:t>
            </w:r>
          </w:p>
        </w:tc>
        <w:tc>
          <w:tcPr>
            <w:tcW w:w="607" w:type="dxa"/>
            <w:vAlign w:val="center"/>
          </w:tcPr>
          <w:p w14:paraId="5AABA8BE" w14:textId="77777777" w:rsidR="00F51113" w:rsidRPr="00841C21" w:rsidRDefault="00F51113">
            <w:pPr>
              <w:pStyle w:val="TableText"/>
              <w:spacing w:before="40" w:after="40"/>
              <w:jc w:val="center"/>
              <w:rPr>
                <w:b/>
                <w:bCs/>
                <w:color w:val="000000"/>
                <w:szCs w:val="18"/>
              </w:rPr>
            </w:pPr>
            <w:r w:rsidRPr="00841C21">
              <w:rPr>
                <w:b/>
                <w:bCs/>
                <w:szCs w:val="18"/>
              </w:rPr>
              <w:t>18.3</w:t>
            </w:r>
          </w:p>
        </w:tc>
        <w:tc>
          <w:tcPr>
            <w:tcW w:w="607" w:type="dxa"/>
            <w:vAlign w:val="center"/>
          </w:tcPr>
          <w:p w14:paraId="06755792" w14:textId="77777777" w:rsidR="00F51113" w:rsidRPr="00841C21" w:rsidRDefault="00F51113">
            <w:pPr>
              <w:pStyle w:val="TableText"/>
              <w:spacing w:before="40" w:after="40"/>
              <w:jc w:val="center"/>
              <w:rPr>
                <w:b/>
                <w:bCs/>
                <w:color w:val="000000"/>
                <w:szCs w:val="18"/>
              </w:rPr>
            </w:pPr>
            <w:r w:rsidRPr="00841C21">
              <w:rPr>
                <w:b/>
                <w:bCs/>
                <w:szCs w:val="18"/>
              </w:rPr>
              <w:t>21.6</w:t>
            </w:r>
          </w:p>
        </w:tc>
        <w:tc>
          <w:tcPr>
            <w:tcW w:w="607" w:type="dxa"/>
            <w:vAlign w:val="center"/>
          </w:tcPr>
          <w:p w14:paraId="5EAD27A5" w14:textId="77777777" w:rsidR="00F51113" w:rsidRPr="00841C21" w:rsidRDefault="00F51113">
            <w:pPr>
              <w:pStyle w:val="TableText"/>
              <w:spacing w:before="40" w:after="40"/>
              <w:jc w:val="center"/>
              <w:rPr>
                <w:b/>
                <w:bCs/>
                <w:color w:val="000000"/>
                <w:szCs w:val="18"/>
              </w:rPr>
            </w:pPr>
            <w:r w:rsidRPr="00841C21">
              <w:rPr>
                <w:b/>
                <w:bCs/>
                <w:szCs w:val="18"/>
              </w:rPr>
              <w:t>18.9</w:t>
            </w:r>
          </w:p>
        </w:tc>
        <w:tc>
          <w:tcPr>
            <w:tcW w:w="607" w:type="dxa"/>
            <w:vAlign w:val="center"/>
          </w:tcPr>
          <w:p w14:paraId="33D6DA35" w14:textId="77777777" w:rsidR="00F51113" w:rsidRPr="00841C21" w:rsidRDefault="00F51113">
            <w:pPr>
              <w:pStyle w:val="TableText"/>
              <w:spacing w:before="40" w:after="40"/>
              <w:jc w:val="center"/>
              <w:rPr>
                <w:b/>
                <w:bCs/>
                <w:color w:val="000000"/>
                <w:szCs w:val="18"/>
              </w:rPr>
            </w:pPr>
            <w:r w:rsidRPr="00841C21">
              <w:rPr>
                <w:b/>
                <w:bCs/>
                <w:szCs w:val="18"/>
              </w:rPr>
              <w:t>18.5</w:t>
            </w:r>
          </w:p>
        </w:tc>
        <w:tc>
          <w:tcPr>
            <w:tcW w:w="607" w:type="dxa"/>
            <w:vAlign w:val="center"/>
          </w:tcPr>
          <w:p w14:paraId="547DE0FE" w14:textId="77777777" w:rsidR="00F51113" w:rsidRPr="00841C21" w:rsidRDefault="00F51113">
            <w:pPr>
              <w:pStyle w:val="TableText"/>
              <w:spacing w:before="40" w:after="40"/>
              <w:jc w:val="center"/>
              <w:rPr>
                <w:b/>
                <w:bCs/>
                <w:szCs w:val="18"/>
              </w:rPr>
            </w:pPr>
            <w:r w:rsidRPr="00841C21">
              <w:rPr>
                <w:b/>
                <w:bCs/>
                <w:szCs w:val="18"/>
              </w:rPr>
              <w:t>17.7</w:t>
            </w:r>
          </w:p>
        </w:tc>
        <w:tc>
          <w:tcPr>
            <w:tcW w:w="607" w:type="dxa"/>
            <w:shd w:val="clear" w:color="auto" w:fill="D2DDE1" w:themeFill="background2"/>
            <w:vAlign w:val="center"/>
          </w:tcPr>
          <w:p w14:paraId="7C2D63E2" w14:textId="77777777" w:rsidR="00F51113" w:rsidRPr="00841C21" w:rsidRDefault="00F51113">
            <w:pPr>
              <w:pStyle w:val="TableText"/>
              <w:spacing w:before="40" w:after="40"/>
              <w:jc w:val="center"/>
              <w:rPr>
                <w:b/>
                <w:bCs/>
                <w:szCs w:val="18"/>
              </w:rPr>
            </w:pPr>
            <w:r w:rsidRPr="00841C21">
              <w:rPr>
                <w:b/>
                <w:bCs/>
                <w:szCs w:val="18"/>
              </w:rPr>
              <w:t>14.9</w:t>
            </w:r>
          </w:p>
        </w:tc>
        <w:tc>
          <w:tcPr>
            <w:tcW w:w="607" w:type="dxa"/>
            <w:shd w:val="clear" w:color="auto" w:fill="D2DDE1" w:themeFill="background2"/>
            <w:vAlign w:val="center"/>
          </w:tcPr>
          <w:p w14:paraId="745DDFB7" w14:textId="77777777" w:rsidR="00F51113" w:rsidRPr="00841C21" w:rsidRDefault="00F51113">
            <w:pPr>
              <w:pStyle w:val="TableText"/>
              <w:spacing w:before="40" w:after="40"/>
              <w:jc w:val="center"/>
              <w:rPr>
                <w:b/>
                <w:bCs/>
                <w:szCs w:val="18"/>
              </w:rPr>
            </w:pPr>
            <w:r w:rsidRPr="00841C21">
              <w:rPr>
                <w:b/>
                <w:bCs/>
                <w:szCs w:val="18"/>
              </w:rPr>
              <w:t>12.4</w:t>
            </w:r>
          </w:p>
        </w:tc>
        <w:tc>
          <w:tcPr>
            <w:tcW w:w="607" w:type="dxa"/>
            <w:shd w:val="clear" w:color="auto" w:fill="D2DDE1" w:themeFill="background2"/>
            <w:vAlign w:val="center"/>
          </w:tcPr>
          <w:p w14:paraId="505C712E" w14:textId="77777777" w:rsidR="00F51113" w:rsidRPr="00841C21" w:rsidRDefault="00F51113">
            <w:pPr>
              <w:pStyle w:val="TableText"/>
              <w:spacing w:before="40" w:after="40"/>
              <w:jc w:val="center"/>
              <w:rPr>
                <w:b/>
                <w:bCs/>
                <w:szCs w:val="18"/>
              </w:rPr>
            </w:pPr>
            <w:r w:rsidRPr="00841C21">
              <w:rPr>
                <w:b/>
                <w:bCs/>
                <w:szCs w:val="18"/>
              </w:rPr>
              <w:t>11.0</w:t>
            </w:r>
          </w:p>
        </w:tc>
        <w:tc>
          <w:tcPr>
            <w:tcW w:w="607" w:type="dxa"/>
            <w:shd w:val="clear" w:color="auto" w:fill="D2DDE1" w:themeFill="background2"/>
            <w:vAlign w:val="center"/>
          </w:tcPr>
          <w:p w14:paraId="056EDBBD" w14:textId="77777777" w:rsidR="00F51113" w:rsidRPr="00841C21" w:rsidRDefault="00F51113">
            <w:pPr>
              <w:pStyle w:val="TableText"/>
              <w:spacing w:before="40" w:after="40"/>
              <w:jc w:val="center"/>
              <w:rPr>
                <w:b/>
                <w:bCs/>
                <w:szCs w:val="18"/>
              </w:rPr>
            </w:pPr>
            <w:r w:rsidRPr="00841C21">
              <w:rPr>
                <w:b/>
                <w:bCs/>
                <w:szCs w:val="18"/>
              </w:rPr>
              <w:t>10.5</w:t>
            </w:r>
          </w:p>
        </w:tc>
        <w:tc>
          <w:tcPr>
            <w:tcW w:w="607" w:type="dxa"/>
            <w:shd w:val="clear" w:color="auto" w:fill="D2DDE1" w:themeFill="background2"/>
            <w:vAlign w:val="center"/>
          </w:tcPr>
          <w:p w14:paraId="08F095F7" w14:textId="77777777" w:rsidR="00F51113" w:rsidRPr="00841C21" w:rsidRDefault="00F51113">
            <w:pPr>
              <w:pStyle w:val="TableText"/>
              <w:spacing w:before="40" w:after="40"/>
              <w:jc w:val="center"/>
              <w:rPr>
                <w:b/>
                <w:bCs/>
                <w:szCs w:val="18"/>
              </w:rPr>
            </w:pPr>
            <w:r w:rsidRPr="00841C21">
              <w:rPr>
                <w:b/>
                <w:bCs/>
                <w:szCs w:val="18"/>
              </w:rPr>
              <w:t>10.7</w:t>
            </w:r>
          </w:p>
        </w:tc>
        <w:tc>
          <w:tcPr>
            <w:tcW w:w="607" w:type="dxa"/>
            <w:shd w:val="clear" w:color="auto" w:fill="D2DDE1" w:themeFill="background2"/>
            <w:vAlign w:val="center"/>
          </w:tcPr>
          <w:p w14:paraId="10B5CFF8" w14:textId="77777777" w:rsidR="00F51113" w:rsidRPr="00841C21" w:rsidRDefault="00F51113">
            <w:pPr>
              <w:pStyle w:val="TableText"/>
              <w:spacing w:before="40" w:after="40"/>
              <w:jc w:val="center"/>
              <w:rPr>
                <w:b/>
                <w:bCs/>
                <w:szCs w:val="18"/>
              </w:rPr>
            </w:pPr>
            <w:r w:rsidRPr="00841C21">
              <w:rPr>
                <w:b/>
                <w:bCs/>
                <w:szCs w:val="18"/>
              </w:rPr>
              <w:t>10.7</w:t>
            </w:r>
          </w:p>
        </w:tc>
      </w:tr>
    </w:tbl>
    <w:p w14:paraId="2B83EF84" w14:textId="77777777" w:rsidR="00F51113" w:rsidRPr="004C2DCD" w:rsidRDefault="00F51113" w:rsidP="00F51113">
      <w:pPr>
        <w:pStyle w:val="Note"/>
        <w:spacing w:after="0"/>
      </w:pPr>
      <w:r w:rsidRPr="004C2DCD">
        <w:rPr>
          <w:b/>
          <w:bCs/>
        </w:rPr>
        <w:t>Note:</w:t>
      </w:r>
      <w:r w:rsidRPr="004C2DCD">
        <w:t xml:space="preserve"> CH</w:t>
      </w:r>
      <w:r w:rsidRPr="004C2DCD">
        <w:rPr>
          <w:vertAlign w:val="subscript"/>
        </w:rPr>
        <w:t>4</w:t>
      </w:r>
      <w:r w:rsidRPr="004C2DCD">
        <w:t xml:space="preserve"> = methane; CO</w:t>
      </w:r>
      <w:r w:rsidRPr="004C2DCD">
        <w:rPr>
          <w:vertAlign w:val="subscript"/>
        </w:rPr>
        <w:t>2</w:t>
      </w:r>
      <w:r w:rsidRPr="004C2DCD">
        <w:t xml:space="preserve"> = carbon dioxide; N</w:t>
      </w:r>
      <w:r w:rsidRPr="004C2DCD">
        <w:rPr>
          <w:vertAlign w:val="subscript"/>
        </w:rPr>
        <w:t>2</w:t>
      </w:r>
      <w:r w:rsidRPr="004C2DCD">
        <w:t xml:space="preserve">O = nitrous oxide. </w:t>
      </w:r>
    </w:p>
    <w:p w14:paraId="7F886654" w14:textId="77777777" w:rsidR="00F51113" w:rsidRPr="004C2DCD" w:rsidRDefault="00F51113" w:rsidP="00784F5F">
      <w:pPr>
        <w:pStyle w:val="Heading3"/>
        <w:numPr>
          <w:ilvl w:val="0"/>
          <w:numId w:val="112"/>
        </w:numPr>
      </w:pPr>
      <w:r w:rsidRPr="004C2DCD">
        <w:t>Transport</w:t>
      </w:r>
    </w:p>
    <w:p w14:paraId="2ECA9A61" w14:textId="77777777" w:rsidR="00F51113" w:rsidRPr="004C2DCD" w:rsidRDefault="00F51113" w:rsidP="00F51113">
      <w:pPr>
        <w:pStyle w:val="BodyText"/>
      </w:pPr>
      <w:r w:rsidRPr="004C2DCD">
        <w:t>In New Zealand, GHG emissions from domestic transport are dominated by road transport (91 per cent in 2022), followed by domestic aviation (7.5 per cent in 2022), with emissions from rail, domestic navigation (coastal shipping) and other transport modes representing less than 2 per cent in the same year.</w:t>
      </w:r>
    </w:p>
    <w:p w14:paraId="2D914A70" w14:textId="4A584C3B" w:rsidR="00F51113" w:rsidRPr="004C2DCD" w:rsidRDefault="00F51113" w:rsidP="00F51113">
      <w:pPr>
        <w:pStyle w:val="BodyText"/>
      </w:pPr>
      <w:r w:rsidRPr="004C2DCD">
        <w:t xml:space="preserve">In the WEM scenario, domestic transport emissions are projected to peak around 2024 and then decline over time (see </w:t>
      </w:r>
      <w:hyperlink w:anchor="figure257" w:history="1">
        <w:r w:rsidRPr="00CF3FCD">
          <w:rPr>
            <w:rStyle w:val="Hyperlink"/>
          </w:rPr>
          <w:t>figure 2.5.7</w:t>
        </w:r>
      </w:hyperlink>
      <w:r w:rsidRPr="004C2DCD">
        <w:t>). Compared with 2005, transport emissions are expected to be around 5 per cent higher in 2030. The main drivers for the emissions decrease include the increasing uptake of zero- or low-emission</w:t>
      </w:r>
      <w:r w:rsidR="00CF3FCD">
        <w:t>s</w:t>
      </w:r>
      <w:r w:rsidRPr="004C2DCD">
        <w:t xml:space="preserve"> vehicles and continuous improvements in the fuel efficiency of internal combustion engine vehicles. </w:t>
      </w:r>
    </w:p>
    <w:p w14:paraId="39E1844D" w14:textId="77777777" w:rsidR="00F51113" w:rsidRDefault="00F51113" w:rsidP="00201256">
      <w:pPr>
        <w:pStyle w:val="Figureheading"/>
      </w:pPr>
      <w:bookmarkStart w:id="536" w:name="figure257"/>
      <w:bookmarkStart w:id="537" w:name="_Toc185347251"/>
      <w:r w:rsidRPr="004C2DCD">
        <w:t>Figure 2.5.7</w:t>
      </w:r>
      <w:bookmarkEnd w:id="536"/>
      <w:r w:rsidRPr="004C2DCD">
        <w:t xml:space="preserve">: </w:t>
      </w:r>
      <w:r w:rsidRPr="004C2DCD">
        <w:tab/>
        <w:t>Greenhouse gas emissions under the ‘with existing measures’ scenario in the Transport sector, 1990–2050</w:t>
      </w:r>
      <w:bookmarkEnd w:id="537"/>
    </w:p>
    <w:p w14:paraId="79F9F421" w14:textId="7EE29C48" w:rsidR="0028227C" w:rsidRPr="0028227C" w:rsidRDefault="0028227C" w:rsidP="00642E32">
      <w:pPr>
        <w:pStyle w:val="BodyText"/>
        <w:jc w:val="center"/>
      </w:pPr>
      <w:r>
        <w:rPr>
          <w:noProof/>
        </w:rPr>
        <w:drawing>
          <wp:inline distT="0" distB="0" distL="0" distR="0" wp14:anchorId="2F72AD53" wp14:editId="0D4A4290">
            <wp:extent cx="5040000" cy="2733537"/>
            <wp:effectExtent l="0" t="0" r="8255" b="0"/>
            <wp:docPr id="2132063860" name="Picture 33" descr="A line graph showing greenhouse gas emissions in million tonnes carbon dioxide equivalent under the ‘with existing measures’ scenario in the Transport sector for the period 1990 to 2050. It shows transport historical emissions (solid line) then projected emissions (dott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063860" name="Picture 33" descr="A line graph showing greenhouse gas emissions in million tonnes carbon dioxide equivalent under the ‘with existing measures’ scenario in the Transport sector for the period 1990 to 2050. It shows transport historical emissions (solid line) then projected emissions (dotted lin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40000" cy="2733537"/>
                    </a:xfrm>
                    <a:prstGeom prst="rect">
                      <a:avLst/>
                    </a:prstGeom>
                    <a:noFill/>
                  </pic:spPr>
                </pic:pic>
              </a:graphicData>
            </a:graphic>
          </wp:inline>
        </w:drawing>
      </w:r>
    </w:p>
    <w:p w14:paraId="7FA30832" w14:textId="77777777" w:rsidR="00F51113" w:rsidRPr="004C2DCD" w:rsidRDefault="00F51113" w:rsidP="009225C3">
      <w:pPr>
        <w:pStyle w:val="Note"/>
      </w:pPr>
      <w:r w:rsidRPr="004C2DCD">
        <w:rPr>
          <w:b/>
          <w:bCs/>
        </w:rPr>
        <w:t>Note:</w:t>
      </w:r>
      <w:r w:rsidRPr="004C2DCD">
        <w:t xml:space="preserve"> Mt CO</w:t>
      </w:r>
      <w:r w:rsidRPr="004C2DCD">
        <w:rPr>
          <w:vertAlign w:val="subscript"/>
        </w:rPr>
        <w:t>2</w:t>
      </w:r>
      <w:r w:rsidRPr="004C2DCD">
        <w:t xml:space="preserve">e = </w:t>
      </w:r>
      <w:r w:rsidRPr="004C2DCD">
        <w:rPr>
          <w:rFonts w:eastAsia="Calibri" w:cs="Calibri"/>
        </w:rPr>
        <w:t xml:space="preserve">million tonnes of </w:t>
      </w:r>
      <w:r w:rsidRPr="004C2DCD">
        <w:t>carbon dioxide equivalent.</w:t>
      </w:r>
    </w:p>
    <w:p w14:paraId="2C7E59A1" w14:textId="77777777" w:rsidR="00F51113" w:rsidRPr="004C2DCD" w:rsidRDefault="00F51113" w:rsidP="00F51113">
      <w:pPr>
        <w:pStyle w:val="BodyText"/>
        <w:keepNext/>
      </w:pPr>
      <w:r w:rsidRPr="004C2DCD">
        <w:rPr>
          <w:spacing w:val="-2"/>
        </w:rPr>
        <w:t>New Zealand’s historical and projected Transport sector emissions by gas are given in table 2.5.5</w:t>
      </w:r>
      <w:r w:rsidRPr="004C2DCD">
        <w:t xml:space="preserve">. </w:t>
      </w:r>
    </w:p>
    <w:p w14:paraId="06414BE2" w14:textId="77777777" w:rsidR="00F51113" w:rsidRPr="004C2DCD" w:rsidRDefault="00F51113" w:rsidP="00F51113">
      <w:pPr>
        <w:pStyle w:val="Tableheading"/>
      </w:pPr>
      <w:bookmarkStart w:id="538" w:name="_Toc183789680"/>
      <w:bookmarkStart w:id="539" w:name="_Toc185407470"/>
      <w:bookmarkStart w:id="540" w:name="_Toc185427733"/>
      <w:r w:rsidRPr="004C2DCD">
        <w:t xml:space="preserve">Table 2.5.5: </w:t>
      </w:r>
      <w:r w:rsidRPr="004C2DCD">
        <w:tab/>
        <w:t>Historical and projected Transport sector emissions by gas under the ‘with existing measures’ scenario, 1990–2050 (Mt CO</w:t>
      </w:r>
      <w:r w:rsidRPr="004C2DCD">
        <w:rPr>
          <w:vertAlign w:val="subscript"/>
        </w:rPr>
        <w:t>2</w:t>
      </w:r>
      <w:r w:rsidRPr="004C2DCD">
        <w:t>e)</w:t>
      </w:r>
      <w:bookmarkEnd w:id="538"/>
      <w:bookmarkEnd w:id="539"/>
      <w:bookmarkEnd w:id="540"/>
      <w:r w:rsidRPr="004C2DCD">
        <w:t xml:space="preserve"> </w:t>
      </w:r>
    </w:p>
    <w:tbl>
      <w:tblPr>
        <w:tblStyle w:val="TableGrid1"/>
        <w:tblW w:w="8505" w:type="dxa"/>
        <w:tblInd w:w="0" w:type="dxa"/>
        <w:tblLayout w:type="fixed"/>
        <w:tblCellMar>
          <w:left w:w="85" w:type="dxa"/>
          <w:right w:w="85" w:type="dxa"/>
        </w:tblCellMar>
        <w:tblLook w:val="04A0" w:firstRow="1" w:lastRow="0" w:firstColumn="1" w:lastColumn="0" w:noHBand="0" w:noVBand="1"/>
      </w:tblPr>
      <w:tblGrid>
        <w:gridCol w:w="611"/>
        <w:gridCol w:w="608"/>
        <w:gridCol w:w="608"/>
        <w:gridCol w:w="608"/>
        <w:gridCol w:w="607"/>
        <w:gridCol w:w="607"/>
        <w:gridCol w:w="607"/>
        <w:gridCol w:w="607"/>
        <w:gridCol w:w="607"/>
        <w:gridCol w:w="607"/>
        <w:gridCol w:w="607"/>
        <w:gridCol w:w="607"/>
        <w:gridCol w:w="607"/>
        <w:gridCol w:w="607"/>
      </w:tblGrid>
      <w:tr w:rsidR="00F51113" w:rsidRPr="00841C21" w14:paraId="462A2B74" w14:textId="77777777">
        <w:tc>
          <w:tcPr>
            <w:tcW w:w="611" w:type="dxa"/>
            <w:tcBorders>
              <w:bottom w:val="nil"/>
              <w:right w:val="nil"/>
            </w:tcBorders>
            <w:shd w:val="clear" w:color="auto" w:fill="1B556B" w:themeFill="text2"/>
            <w:vAlign w:val="center"/>
          </w:tcPr>
          <w:p w14:paraId="1208E124" w14:textId="77777777" w:rsidR="00F51113" w:rsidRPr="00841C21" w:rsidRDefault="00F51113">
            <w:pPr>
              <w:pStyle w:val="TableText"/>
              <w:keepNext/>
              <w:spacing w:before="40" w:after="0"/>
              <w:jc w:val="center"/>
              <w:rPr>
                <w:b/>
                <w:bCs/>
                <w:color w:val="FFFFFF" w:themeColor="background1"/>
                <w:szCs w:val="18"/>
                <w:lang w:val="en-NZ"/>
              </w:rPr>
            </w:pPr>
          </w:p>
        </w:tc>
        <w:tc>
          <w:tcPr>
            <w:tcW w:w="4252" w:type="dxa"/>
            <w:gridSpan w:val="7"/>
            <w:tcBorders>
              <w:left w:val="nil"/>
              <w:bottom w:val="nil"/>
              <w:right w:val="nil"/>
            </w:tcBorders>
            <w:shd w:val="clear" w:color="auto" w:fill="1B556B" w:themeFill="text2"/>
            <w:vAlign w:val="center"/>
          </w:tcPr>
          <w:p w14:paraId="79B1D2DA" w14:textId="77777777" w:rsidR="00F51113" w:rsidRPr="00841C21" w:rsidRDefault="00F51113">
            <w:pPr>
              <w:pStyle w:val="TableText"/>
              <w:keepNext/>
              <w:spacing w:before="40" w:after="0"/>
              <w:jc w:val="center"/>
              <w:rPr>
                <w:b/>
                <w:bCs/>
                <w:color w:val="FFFFFF" w:themeColor="background1"/>
                <w:szCs w:val="18"/>
                <w:lang w:val="en-NZ"/>
              </w:rPr>
            </w:pPr>
            <w:r w:rsidRPr="00841C21">
              <w:rPr>
                <w:b/>
                <w:bCs/>
                <w:color w:val="FFFFFF" w:themeColor="background1"/>
                <w:szCs w:val="18"/>
                <w:lang w:val="en-NZ"/>
              </w:rPr>
              <w:t>Historical</w:t>
            </w:r>
          </w:p>
        </w:tc>
        <w:tc>
          <w:tcPr>
            <w:tcW w:w="3642" w:type="dxa"/>
            <w:gridSpan w:val="6"/>
            <w:tcBorders>
              <w:left w:val="nil"/>
              <w:bottom w:val="nil"/>
            </w:tcBorders>
            <w:shd w:val="clear" w:color="auto" w:fill="1B556B" w:themeFill="text2"/>
            <w:vAlign w:val="center"/>
          </w:tcPr>
          <w:p w14:paraId="35F2FEEA" w14:textId="77777777" w:rsidR="00F51113" w:rsidRPr="00841C21" w:rsidRDefault="00F51113">
            <w:pPr>
              <w:pStyle w:val="TableText"/>
              <w:keepNext/>
              <w:spacing w:before="40" w:after="0"/>
              <w:jc w:val="center"/>
              <w:rPr>
                <w:b/>
                <w:bCs/>
                <w:color w:val="FFFFFF" w:themeColor="background1"/>
                <w:szCs w:val="18"/>
                <w:lang w:val="en-NZ"/>
              </w:rPr>
            </w:pPr>
            <w:r w:rsidRPr="00841C21">
              <w:rPr>
                <w:b/>
                <w:bCs/>
                <w:color w:val="FFFFFF" w:themeColor="background1"/>
                <w:szCs w:val="18"/>
                <w:lang w:val="en-NZ"/>
              </w:rPr>
              <w:t>Projected</w:t>
            </w:r>
          </w:p>
        </w:tc>
      </w:tr>
      <w:tr w:rsidR="00F51113" w:rsidRPr="00841C21" w14:paraId="5C47DD0F" w14:textId="77777777">
        <w:tc>
          <w:tcPr>
            <w:tcW w:w="611" w:type="dxa"/>
            <w:tcBorders>
              <w:top w:val="nil"/>
              <w:right w:val="nil"/>
            </w:tcBorders>
            <w:shd w:val="clear" w:color="auto" w:fill="1B556B" w:themeFill="text2"/>
            <w:vAlign w:val="center"/>
          </w:tcPr>
          <w:p w14:paraId="5AD1CFD0" w14:textId="77777777" w:rsidR="00F51113" w:rsidRPr="00841C21" w:rsidRDefault="00F51113">
            <w:pPr>
              <w:pStyle w:val="TableText"/>
              <w:keepNext/>
              <w:spacing w:before="40" w:after="40"/>
              <w:jc w:val="center"/>
              <w:rPr>
                <w:b/>
                <w:bCs/>
                <w:color w:val="FFFFFF" w:themeColor="background1"/>
                <w:szCs w:val="18"/>
                <w:lang w:val="en-NZ"/>
              </w:rPr>
            </w:pPr>
            <w:r w:rsidRPr="00841C21">
              <w:rPr>
                <w:b/>
                <w:bCs/>
                <w:color w:val="FFFFFF" w:themeColor="background1"/>
                <w:szCs w:val="18"/>
                <w:lang w:val="en-NZ"/>
              </w:rPr>
              <w:t>Gas</w:t>
            </w:r>
          </w:p>
        </w:tc>
        <w:tc>
          <w:tcPr>
            <w:tcW w:w="608" w:type="dxa"/>
            <w:tcBorders>
              <w:top w:val="nil"/>
              <w:left w:val="nil"/>
              <w:right w:val="nil"/>
            </w:tcBorders>
            <w:shd w:val="clear" w:color="auto" w:fill="1B556B" w:themeFill="text2"/>
            <w:vAlign w:val="center"/>
          </w:tcPr>
          <w:p w14:paraId="3E1E5420" w14:textId="77777777" w:rsidR="00F51113" w:rsidRPr="00841C21" w:rsidRDefault="00F51113">
            <w:pPr>
              <w:pStyle w:val="TableText"/>
              <w:keepNext/>
              <w:spacing w:before="40" w:after="40"/>
              <w:jc w:val="center"/>
              <w:rPr>
                <w:b/>
                <w:bCs/>
                <w:color w:val="FFFFFF" w:themeColor="background1"/>
                <w:szCs w:val="18"/>
                <w:lang w:val="en-NZ"/>
              </w:rPr>
            </w:pPr>
            <w:r w:rsidRPr="00841C21">
              <w:rPr>
                <w:b/>
                <w:bCs/>
                <w:color w:val="FFFFFF" w:themeColor="background1"/>
                <w:szCs w:val="18"/>
                <w:lang w:val="en-NZ"/>
              </w:rPr>
              <w:t>1990</w:t>
            </w:r>
          </w:p>
        </w:tc>
        <w:tc>
          <w:tcPr>
            <w:tcW w:w="608" w:type="dxa"/>
            <w:tcBorders>
              <w:top w:val="nil"/>
              <w:left w:val="nil"/>
              <w:right w:val="nil"/>
            </w:tcBorders>
            <w:shd w:val="clear" w:color="auto" w:fill="1B556B" w:themeFill="text2"/>
            <w:vAlign w:val="center"/>
          </w:tcPr>
          <w:p w14:paraId="2C8E293E" w14:textId="77777777" w:rsidR="00F51113" w:rsidRPr="00841C21" w:rsidRDefault="00F51113">
            <w:pPr>
              <w:pStyle w:val="TableText"/>
              <w:keepNext/>
              <w:spacing w:before="40" w:after="40"/>
              <w:jc w:val="center"/>
              <w:rPr>
                <w:b/>
                <w:bCs/>
                <w:color w:val="FFFFFF" w:themeColor="background1"/>
                <w:szCs w:val="18"/>
                <w:lang w:val="en-NZ"/>
              </w:rPr>
            </w:pPr>
            <w:r w:rsidRPr="00841C21">
              <w:rPr>
                <w:b/>
                <w:bCs/>
                <w:color w:val="FFFFFF" w:themeColor="background1"/>
                <w:szCs w:val="18"/>
                <w:lang w:val="en-NZ"/>
              </w:rPr>
              <w:t>1995</w:t>
            </w:r>
          </w:p>
        </w:tc>
        <w:tc>
          <w:tcPr>
            <w:tcW w:w="608" w:type="dxa"/>
            <w:tcBorders>
              <w:top w:val="nil"/>
              <w:left w:val="nil"/>
              <w:right w:val="nil"/>
            </w:tcBorders>
            <w:shd w:val="clear" w:color="auto" w:fill="1B556B" w:themeFill="text2"/>
            <w:vAlign w:val="center"/>
          </w:tcPr>
          <w:p w14:paraId="64D0EC4A" w14:textId="77777777" w:rsidR="00F51113" w:rsidRPr="00841C21" w:rsidRDefault="00F51113">
            <w:pPr>
              <w:pStyle w:val="TableText"/>
              <w:keepNext/>
              <w:spacing w:before="40" w:after="40"/>
              <w:jc w:val="center"/>
              <w:rPr>
                <w:b/>
                <w:bCs/>
                <w:color w:val="FFFFFF" w:themeColor="background1"/>
                <w:szCs w:val="18"/>
                <w:lang w:val="en-NZ"/>
              </w:rPr>
            </w:pPr>
            <w:r w:rsidRPr="00841C21">
              <w:rPr>
                <w:b/>
                <w:bCs/>
                <w:color w:val="FFFFFF" w:themeColor="background1"/>
                <w:szCs w:val="18"/>
                <w:lang w:val="en-NZ"/>
              </w:rPr>
              <w:t>2000</w:t>
            </w:r>
          </w:p>
        </w:tc>
        <w:tc>
          <w:tcPr>
            <w:tcW w:w="607" w:type="dxa"/>
            <w:tcBorders>
              <w:top w:val="nil"/>
              <w:left w:val="nil"/>
              <w:right w:val="nil"/>
            </w:tcBorders>
            <w:shd w:val="clear" w:color="auto" w:fill="1B556B" w:themeFill="text2"/>
            <w:vAlign w:val="center"/>
          </w:tcPr>
          <w:p w14:paraId="3E05B8A3" w14:textId="77777777" w:rsidR="00F51113" w:rsidRPr="00841C21" w:rsidRDefault="00F51113">
            <w:pPr>
              <w:pStyle w:val="TableText"/>
              <w:keepNext/>
              <w:spacing w:before="40" w:after="40"/>
              <w:jc w:val="center"/>
              <w:rPr>
                <w:b/>
                <w:bCs/>
                <w:color w:val="FFFFFF" w:themeColor="background1"/>
                <w:szCs w:val="18"/>
                <w:lang w:val="en-NZ"/>
              </w:rPr>
            </w:pPr>
            <w:r w:rsidRPr="00841C21">
              <w:rPr>
                <w:b/>
                <w:bCs/>
                <w:color w:val="FFFFFF" w:themeColor="background1"/>
                <w:szCs w:val="18"/>
                <w:lang w:val="en-NZ"/>
              </w:rPr>
              <w:t>2005</w:t>
            </w:r>
          </w:p>
        </w:tc>
        <w:tc>
          <w:tcPr>
            <w:tcW w:w="607" w:type="dxa"/>
            <w:tcBorders>
              <w:top w:val="nil"/>
              <w:left w:val="nil"/>
              <w:right w:val="nil"/>
            </w:tcBorders>
            <w:shd w:val="clear" w:color="auto" w:fill="1B556B" w:themeFill="text2"/>
            <w:vAlign w:val="center"/>
          </w:tcPr>
          <w:p w14:paraId="7C891250" w14:textId="77777777" w:rsidR="00F51113" w:rsidRPr="00841C21" w:rsidRDefault="00F51113">
            <w:pPr>
              <w:pStyle w:val="TableText"/>
              <w:keepNext/>
              <w:spacing w:before="40" w:after="40"/>
              <w:jc w:val="center"/>
              <w:rPr>
                <w:b/>
                <w:bCs/>
                <w:color w:val="FFFFFF" w:themeColor="background1"/>
                <w:szCs w:val="18"/>
                <w:lang w:val="en-NZ"/>
              </w:rPr>
            </w:pPr>
            <w:r w:rsidRPr="00841C21">
              <w:rPr>
                <w:b/>
                <w:bCs/>
                <w:color w:val="FFFFFF" w:themeColor="background1"/>
                <w:szCs w:val="18"/>
                <w:lang w:val="en-NZ"/>
              </w:rPr>
              <w:t>2010</w:t>
            </w:r>
          </w:p>
        </w:tc>
        <w:tc>
          <w:tcPr>
            <w:tcW w:w="607" w:type="dxa"/>
            <w:tcBorders>
              <w:top w:val="nil"/>
              <w:left w:val="nil"/>
              <w:right w:val="nil"/>
            </w:tcBorders>
            <w:shd w:val="clear" w:color="auto" w:fill="1B556B" w:themeFill="text2"/>
            <w:vAlign w:val="center"/>
          </w:tcPr>
          <w:p w14:paraId="319083BF" w14:textId="77777777" w:rsidR="00F51113" w:rsidRPr="00841C21" w:rsidRDefault="00F51113">
            <w:pPr>
              <w:pStyle w:val="TableText"/>
              <w:keepNext/>
              <w:spacing w:before="40" w:after="40"/>
              <w:jc w:val="center"/>
              <w:rPr>
                <w:b/>
                <w:bCs/>
                <w:color w:val="FFFFFF" w:themeColor="background1"/>
                <w:szCs w:val="18"/>
                <w:lang w:val="en-NZ"/>
              </w:rPr>
            </w:pPr>
            <w:r w:rsidRPr="00841C21">
              <w:rPr>
                <w:b/>
                <w:bCs/>
                <w:color w:val="FFFFFF" w:themeColor="background1"/>
                <w:szCs w:val="18"/>
                <w:lang w:val="en-NZ"/>
              </w:rPr>
              <w:t>2015</w:t>
            </w:r>
          </w:p>
        </w:tc>
        <w:tc>
          <w:tcPr>
            <w:tcW w:w="607" w:type="dxa"/>
            <w:tcBorders>
              <w:top w:val="nil"/>
              <w:left w:val="nil"/>
              <w:right w:val="nil"/>
            </w:tcBorders>
            <w:shd w:val="clear" w:color="auto" w:fill="1B556B" w:themeFill="text2"/>
            <w:vAlign w:val="center"/>
          </w:tcPr>
          <w:p w14:paraId="101AF375" w14:textId="77777777" w:rsidR="00F51113" w:rsidRPr="00841C21" w:rsidRDefault="00F51113">
            <w:pPr>
              <w:pStyle w:val="TableText"/>
              <w:keepNext/>
              <w:spacing w:before="40" w:after="40"/>
              <w:jc w:val="center"/>
              <w:rPr>
                <w:b/>
                <w:bCs/>
                <w:color w:val="FFFFFF" w:themeColor="background1"/>
                <w:szCs w:val="18"/>
                <w:lang w:val="en-NZ"/>
              </w:rPr>
            </w:pPr>
            <w:r w:rsidRPr="00841C21">
              <w:rPr>
                <w:b/>
                <w:bCs/>
                <w:color w:val="FFFFFF" w:themeColor="background1"/>
                <w:szCs w:val="18"/>
                <w:lang w:val="en-NZ"/>
              </w:rPr>
              <w:t>2020</w:t>
            </w:r>
          </w:p>
        </w:tc>
        <w:tc>
          <w:tcPr>
            <w:tcW w:w="607" w:type="dxa"/>
            <w:tcBorders>
              <w:top w:val="nil"/>
              <w:left w:val="nil"/>
              <w:bottom w:val="single" w:sz="4" w:space="0" w:color="1B556B" w:themeColor="text2"/>
              <w:right w:val="nil"/>
            </w:tcBorders>
            <w:shd w:val="clear" w:color="auto" w:fill="1B556B" w:themeFill="text2"/>
            <w:vAlign w:val="center"/>
          </w:tcPr>
          <w:p w14:paraId="74FA8466" w14:textId="77777777" w:rsidR="00F51113" w:rsidRPr="00841C21" w:rsidRDefault="00F51113">
            <w:pPr>
              <w:pStyle w:val="TableText"/>
              <w:keepNext/>
              <w:spacing w:before="40" w:after="40"/>
              <w:jc w:val="center"/>
              <w:rPr>
                <w:b/>
                <w:bCs/>
                <w:color w:val="FFFFFF" w:themeColor="background1"/>
                <w:szCs w:val="18"/>
                <w:lang w:val="en-NZ"/>
              </w:rPr>
            </w:pPr>
            <w:r w:rsidRPr="00841C21">
              <w:rPr>
                <w:b/>
                <w:bCs/>
                <w:color w:val="FFFFFF" w:themeColor="background1"/>
                <w:szCs w:val="18"/>
                <w:lang w:val="en-NZ"/>
              </w:rPr>
              <w:t>2025</w:t>
            </w:r>
          </w:p>
        </w:tc>
        <w:tc>
          <w:tcPr>
            <w:tcW w:w="607" w:type="dxa"/>
            <w:tcBorders>
              <w:top w:val="nil"/>
              <w:left w:val="nil"/>
              <w:bottom w:val="single" w:sz="4" w:space="0" w:color="1B556B" w:themeColor="text2"/>
              <w:right w:val="nil"/>
            </w:tcBorders>
            <w:shd w:val="clear" w:color="auto" w:fill="1B556B" w:themeFill="text2"/>
            <w:vAlign w:val="center"/>
          </w:tcPr>
          <w:p w14:paraId="49B64666" w14:textId="77777777" w:rsidR="00F51113" w:rsidRPr="00841C21" w:rsidRDefault="00F51113">
            <w:pPr>
              <w:pStyle w:val="TableText"/>
              <w:keepNext/>
              <w:spacing w:before="40" w:after="40"/>
              <w:jc w:val="center"/>
              <w:rPr>
                <w:b/>
                <w:bCs/>
                <w:color w:val="FFFFFF" w:themeColor="background1"/>
                <w:szCs w:val="18"/>
                <w:lang w:val="en-NZ"/>
              </w:rPr>
            </w:pPr>
            <w:r w:rsidRPr="00841C21">
              <w:rPr>
                <w:b/>
                <w:bCs/>
                <w:color w:val="FFFFFF" w:themeColor="background1"/>
                <w:szCs w:val="18"/>
                <w:lang w:val="en-NZ"/>
              </w:rPr>
              <w:t>2030</w:t>
            </w:r>
          </w:p>
        </w:tc>
        <w:tc>
          <w:tcPr>
            <w:tcW w:w="607" w:type="dxa"/>
            <w:tcBorders>
              <w:top w:val="nil"/>
              <w:left w:val="nil"/>
              <w:bottom w:val="single" w:sz="4" w:space="0" w:color="1B556B" w:themeColor="text2"/>
            </w:tcBorders>
            <w:shd w:val="clear" w:color="auto" w:fill="1B556B" w:themeFill="text2"/>
            <w:vAlign w:val="center"/>
          </w:tcPr>
          <w:p w14:paraId="70B78EF1" w14:textId="77777777" w:rsidR="00F51113" w:rsidRPr="00841C21" w:rsidRDefault="00F51113">
            <w:pPr>
              <w:pStyle w:val="TableText"/>
              <w:keepNext/>
              <w:spacing w:before="40" w:after="40"/>
              <w:jc w:val="center"/>
              <w:rPr>
                <w:b/>
                <w:bCs/>
                <w:color w:val="FFFFFF" w:themeColor="background1"/>
                <w:szCs w:val="18"/>
                <w:lang w:val="en-NZ"/>
              </w:rPr>
            </w:pPr>
            <w:r w:rsidRPr="00841C21">
              <w:rPr>
                <w:b/>
                <w:bCs/>
                <w:color w:val="FFFFFF" w:themeColor="background1"/>
                <w:szCs w:val="18"/>
                <w:lang w:val="en-NZ"/>
              </w:rPr>
              <w:t>2035</w:t>
            </w:r>
          </w:p>
        </w:tc>
        <w:tc>
          <w:tcPr>
            <w:tcW w:w="607" w:type="dxa"/>
            <w:tcBorders>
              <w:top w:val="nil"/>
              <w:left w:val="nil"/>
              <w:bottom w:val="single" w:sz="4" w:space="0" w:color="1B556B" w:themeColor="text2"/>
            </w:tcBorders>
            <w:shd w:val="clear" w:color="auto" w:fill="1B556B" w:themeFill="text2"/>
            <w:vAlign w:val="center"/>
          </w:tcPr>
          <w:p w14:paraId="4CF3B63A" w14:textId="77777777" w:rsidR="00F51113" w:rsidRPr="00841C21" w:rsidRDefault="00F51113">
            <w:pPr>
              <w:pStyle w:val="TableText"/>
              <w:keepNext/>
              <w:spacing w:before="40" w:after="40"/>
              <w:jc w:val="center"/>
              <w:rPr>
                <w:b/>
                <w:bCs/>
                <w:color w:val="FFFFFF" w:themeColor="background1"/>
                <w:szCs w:val="18"/>
                <w:lang w:val="en-NZ"/>
              </w:rPr>
            </w:pPr>
            <w:r w:rsidRPr="00841C21">
              <w:rPr>
                <w:b/>
                <w:bCs/>
                <w:color w:val="FFFFFF" w:themeColor="background1"/>
                <w:szCs w:val="18"/>
                <w:lang w:val="en-NZ"/>
              </w:rPr>
              <w:t>2040</w:t>
            </w:r>
          </w:p>
        </w:tc>
        <w:tc>
          <w:tcPr>
            <w:tcW w:w="607" w:type="dxa"/>
            <w:tcBorders>
              <w:top w:val="nil"/>
              <w:left w:val="nil"/>
              <w:bottom w:val="single" w:sz="4" w:space="0" w:color="1B556B" w:themeColor="text2"/>
              <w:right w:val="nil"/>
            </w:tcBorders>
            <w:shd w:val="clear" w:color="auto" w:fill="1B556B" w:themeFill="text2"/>
            <w:vAlign w:val="center"/>
          </w:tcPr>
          <w:p w14:paraId="3CA2A085" w14:textId="77777777" w:rsidR="00F51113" w:rsidRPr="00841C21" w:rsidRDefault="00F51113">
            <w:pPr>
              <w:pStyle w:val="TableText"/>
              <w:keepNext/>
              <w:spacing w:before="40" w:after="40"/>
              <w:jc w:val="center"/>
              <w:rPr>
                <w:b/>
                <w:bCs/>
                <w:color w:val="FFFFFF" w:themeColor="background1"/>
                <w:szCs w:val="18"/>
                <w:lang w:val="en-NZ"/>
              </w:rPr>
            </w:pPr>
            <w:r w:rsidRPr="00841C21">
              <w:rPr>
                <w:b/>
                <w:bCs/>
                <w:color w:val="FFFFFF" w:themeColor="background1"/>
                <w:szCs w:val="18"/>
                <w:lang w:val="en-NZ"/>
              </w:rPr>
              <w:t>2045</w:t>
            </w:r>
          </w:p>
        </w:tc>
        <w:tc>
          <w:tcPr>
            <w:tcW w:w="607" w:type="dxa"/>
            <w:tcBorders>
              <w:top w:val="nil"/>
              <w:left w:val="nil"/>
              <w:bottom w:val="single" w:sz="4" w:space="0" w:color="1B556B" w:themeColor="text2"/>
            </w:tcBorders>
            <w:shd w:val="clear" w:color="auto" w:fill="1B556B" w:themeFill="text2"/>
            <w:vAlign w:val="center"/>
          </w:tcPr>
          <w:p w14:paraId="45F4D2CD" w14:textId="77777777" w:rsidR="00F51113" w:rsidRPr="00841C21" w:rsidRDefault="00F51113">
            <w:pPr>
              <w:pStyle w:val="TableText"/>
              <w:keepNext/>
              <w:spacing w:before="40" w:after="40"/>
              <w:jc w:val="center"/>
              <w:rPr>
                <w:b/>
                <w:bCs/>
                <w:color w:val="FFFFFF" w:themeColor="background1"/>
                <w:szCs w:val="18"/>
                <w:lang w:val="en-NZ"/>
              </w:rPr>
            </w:pPr>
            <w:r w:rsidRPr="00841C21">
              <w:rPr>
                <w:b/>
                <w:bCs/>
                <w:color w:val="FFFFFF" w:themeColor="background1"/>
                <w:szCs w:val="18"/>
                <w:lang w:val="en-NZ"/>
              </w:rPr>
              <w:t>2050</w:t>
            </w:r>
          </w:p>
        </w:tc>
      </w:tr>
      <w:tr w:rsidR="00F51113" w:rsidRPr="00841C21" w14:paraId="0E7FBD0C" w14:textId="77777777">
        <w:tc>
          <w:tcPr>
            <w:tcW w:w="611" w:type="dxa"/>
            <w:vAlign w:val="center"/>
          </w:tcPr>
          <w:p w14:paraId="4BF87971" w14:textId="77777777" w:rsidR="00F51113" w:rsidRPr="00841C21" w:rsidRDefault="00F51113">
            <w:pPr>
              <w:pStyle w:val="TableText"/>
              <w:spacing w:before="40" w:after="40"/>
              <w:rPr>
                <w:rFonts w:cs="Calibri"/>
                <w:szCs w:val="18"/>
                <w:lang w:val="en-NZ"/>
              </w:rPr>
            </w:pPr>
            <w:r w:rsidRPr="00841C21">
              <w:rPr>
                <w:rFonts w:cs="Calibri"/>
                <w:szCs w:val="18"/>
                <w:lang w:val="en-NZ"/>
              </w:rPr>
              <w:t>CO</w:t>
            </w:r>
            <w:r w:rsidRPr="00841C21">
              <w:rPr>
                <w:rFonts w:cs="Calibri"/>
                <w:szCs w:val="18"/>
                <w:vertAlign w:val="subscript"/>
                <w:lang w:val="en-NZ"/>
              </w:rPr>
              <w:t>2</w:t>
            </w:r>
          </w:p>
        </w:tc>
        <w:tc>
          <w:tcPr>
            <w:tcW w:w="608" w:type="dxa"/>
            <w:vAlign w:val="center"/>
          </w:tcPr>
          <w:p w14:paraId="1657BA99" w14:textId="77777777" w:rsidR="00F51113" w:rsidRPr="00841C21" w:rsidRDefault="00F51113">
            <w:pPr>
              <w:pStyle w:val="TableText"/>
              <w:spacing w:before="40" w:after="40"/>
              <w:jc w:val="center"/>
              <w:rPr>
                <w:rFonts w:cs="Calibri"/>
                <w:color w:val="000000"/>
                <w:szCs w:val="18"/>
                <w:lang w:val="en-NZ"/>
              </w:rPr>
            </w:pPr>
            <w:r w:rsidRPr="00841C21">
              <w:rPr>
                <w:szCs w:val="18"/>
                <w:lang w:val="en-NZ"/>
              </w:rPr>
              <w:t>7.9</w:t>
            </w:r>
          </w:p>
        </w:tc>
        <w:tc>
          <w:tcPr>
            <w:tcW w:w="608" w:type="dxa"/>
            <w:vAlign w:val="center"/>
          </w:tcPr>
          <w:p w14:paraId="3E9E2B31" w14:textId="77777777" w:rsidR="00F51113" w:rsidRPr="00841C21" w:rsidRDefault="00F51113">
            <w:pPr>
              <w:pStyle w:val="TableText"/>
              <w:spacing w:before="40" w:after="40"/>
              <w:jc w:val="center"/>
              <w:rPr>
                <w:rFonts w:cs="Calibri"/>
                <w:color w:val="000000"/>
                <w:szCs w:val="18"/>
                <w:lang w:val="en-NZ"/>
              </w:rPr>
            </w:pPr>
            <w:r w:rsidRPr="00841C21">
              <w:rPr>
                <w:szCs w:val="18"/>
                <w:lang w:val="en-NZ"/>
              </w:rPr>
              <w:t>10.0</w:t>
            </w:r>
          </w:p>
        </w:tc>
        <w:tc>
          <w:tcPr>
            <w:tcW w:w="608" w:type="dxa"/>
            <w:vAlign w:val="center"/>
          </w:tcPr>
          <w:p w14:paraId="54EBC5B3" w14:textId="77777777" w:rsidR="00F51113" w:rsidRPr="00841C21" w:rsidRDefault="00F51113">
            <w:pPr>
              <w:pStyle w:val="TableText"/>
              <w:spacing w:before="40" w:after="40"/>
              <w:jc w:val="center"/>
              <w:rPr>
                <w:rFonts w:cs="Calibri"/>
                <w:color w:val="000000"/>
                <w:szCs w:val="18"/>
                <w:lang w:val="en-NZ"/>
              </w:rPr>
            </w:pPr>
            <w:r w:rsidRPr="00841C21">
              <w:rPr>
                <w:szCs w:val="18"/>
                <w:lang w:val="en-NZ"/>
              </w:rPr>
              <w:t>11.4</w:t>
            </w:r>
          </w:p>
        </w:tc>
        <w:tc>
          <w:tcPr>
            <w:tcW w:w="607" w:type="dxa"/>
            <w:vAlign w:val="center"/>
          </w:tcPr>
          <w:p w14:paraId="740C4821" w14:textId="77777777" w:rsidR="00F51113" w:rsidRPr="00841C21" w:rsidRDefault="00F51113">
            <w:pPr>
              <w:pStyle w:val="TableText"/>
              <w:spacing w:before="40" w:after="40"/>
              <w:jc w:val="center"/>
              <w:rPr>
                <w:rFonts w:cs="Calibri"/>
                <w:color w:val="000000"/>
                <w:szCs w:val="18"/>
                <w:lang w:val="en-NZ"/>
              </w:rPr>
            </w:pPr>
            <w:r w:rsidRPr="00841C21">
              <w:rPr>
                <w:szCs w:val="18"/>
                <w:lang w:val="en-NZ"/>
              </w:rPr>
              <w:t>12.8</w:t>
            </w:r>
          </w:p>
        </w:tc>
        <w:tc>
          <w:tcPr>
            <w:tcW w:w="607" w:type="dxa"/>
            <w:vAlign w:val="center"/>
          </w:tcPr>
          <w:p w14:paraId="16380D9B" w14:textId="77777777" w:rsidR="00F51113" w:rsidRPr="00841C21" w:rsidRDefault="00F51113">
            <w:pPr>
              <w:pStyle w:val="TableText"/>
              <w:spacing w:before="40" w:after="40"/>
              <w:jc w:val="center"/>
              <w:rPr>
                <w:rFonts w:cs="Calibri"/>
                <w:color w:val="000000"/>
                <w:szCs w:val="18"/>
                <w:lang w:val="en-NZ"/>
              </w:rPr>
            </w:pPr>
            <w:r w:rsidRPr="00841C21">
              <w:rPr>
                <w:szCs w:val="18"/>
                <w:lang w:val="en-NZ"/>
              </w:rPr>
              <w:t>13.1</w:t>
            </w:r>
          </w:p>
        </w:tc>
        <w:tc>
          <w:tcPr>
            <w:tcW w:w="607" w:type="dxa"/>
            <w:vAlign w:val="center"/>
          </w:tcPr>
          <w:p w14:paraId="7F6EB145" w14:textId="77777777" w:rsidR="00F51113" w:rsidRPr="00841C21" w:rsidRDefault="00F51113">
            <w:pPr>
              <w:pStyle w:val="TableText"/>
              <w:spacing w:before="40" w:after="40"/>
              <w:jc w:val="center"/>
              <w:rPr>
                <w:rFonts w:cs="Calibri"/>
                <w:color w:val="000000"/>
                <w:szCs w:val="18"/>
                <w:lang w:val="en-NZ"/>
              </w:rPr>
            </w:pPr>
            <w:r w:rsidRPr="00841C21">
              <w:rPr>
                <w:szCs w:val="18"/>
                <w:lang w:val="en-NZ"/>
              </w:rPr>
              <w:t>13.6</w:t>
            </w:r>
          </w:p>
        </w:tc>
        <w:tc>
          <w:tcPr>
            <w:tcW w:w="607" w:type="dxa"/>
            <w:vAlign w:val="center"/>
          </w:tcPr>
          <w:p w14:paraId="5493AC96" w14:textId="77777777" w:rsidR="00F51113" w:rsidRPr="00841C21" w:rsidRDefault="00F51113">
            <w:pPr>
              <w:pStyle w:val="TableText"/>
              <w:spacing w:before="40" w:after="40"/>
              <w:jc w:val="center"/>
              <w:rPr>
                <w:rFonts w:cs="Calibri"/>
                <w:szCs w:val="18"/>
                <w:lang w:val="en-NZ"/>
              </w:rPr>
            </w:pPr>
            <w:r w:rsidRPr="00841C21">
              <w:rPr>
                <w:szCs w:val="18"/>
                <w:lang w:val="en-NZ"/>
              </w:rPr>
              <w:t>13.1</w:t>
            </w:r>
          </w:p>
        </w:tc>
        <w:tc>
          <w:tcPr>
            <w:tcW w:w="607" w:type="dxa"/>
            <w:shd w:val="clear" w:color="auto" w:fill="D2DDE1" w:themeFill="background2"/>
            <w:vAlign w:val="center"/>
          </w:tcPr>
          <w:p w14:paraId="4050CE89" w14:textId="77777777" w:rsidR="00F51113" w:rsidRPr="00841C21" w:rsidRDefault="00F51113">
            <w:pPr>
              <w:pStyle w:val="TableText"/>
              <w:spacing w:before="40" w:after="40"/>
              <w:jc w:val="center"/>
              <w:rPr>
                <w:rFonts w:cs="Calibri"/>
                <w:szCs w:val="18"/>
                <w:lang w:val="en-NZ"/>
              </w:rPr>
            </w:pPr>
            <w:r w:rsidRPr="00841C21">
              <w:rPr>
                <w:szCs w:val="18"/>
                <w:lang w:val="en-NZ"/>
              </w:rPr>
              <w:t>14.2</w:t>
            </w:r>
          </w:p>
        </w:tc>
        <w:tc>
          <w:tcPr>
            <w:tcW w:w="607" w:type="dxa"/>
            <w:shd w:val="clear" w:color="auto" w:fill="D2DDE1" w:themeFill="background2"/>
            <w:vAlign w:val="center"/>
          </w:tcPr>
          <w:p w14:paraId="771021A7" w14:textId="77777777" w:rsidR="00F51113" w:rsidRPr="00841C21" w:rsidRDefault="00F51113">
            <w:pPr>
              <w:pStyle w:val="TableText"/>
              <w:spacing w:before="40" w:after="40"/>
              <w:jc w:val="center"/>
              <w:rPr>
                <w:rFonts w:cs="Calibri"/>
                <w:szCs w:val="18"/>
                <w:lang w:val="en-NZ"/>
              </w:rPr>
            </w:pPr>
            <w:r w:rsidRPr="00841C21">
              <w:rPr>
                <w:szCs w:val="18"/>
                <w:lang w:val="en-NZ"/>
              </w:rPr>
              <w:t>13.6</w:t>
            </w:r>
          </w:p>
        </w:tc>
        <w:tc>
          <w:tcPr>
            <w:tcW w:w="607" w:type="dxa"/>
            <w:shd w:val="clear" w:color="auto" w:fill="D2DDE1" w:themeFill="background2"/>
            <w:vAlign w:val="center"/>
          </w:tcPr>
          <w:p w14:paraId="40E7F33D" w14:textId="77777777" w:rsidR="00F51113" w:rsidRPr="00841C21" w:rsidRDefault="00F51113">
            <w:pPr>
              <w:pStyle w:val="TableText"/>
              <w:spacing w:before="40" w:after="40"/>
              <w:jc w:val="center"/>
              <w:rPr>
                <w:rFonts w:cs="Calibri"/>
                <w:szCs w:val="18"/>
                <w:lang w:val="en-NZ"/>
              </w:rPr>
            </w:pPr>
            <w:r w:rsidRPr="00841C21">
              <w:rPr>
                <w:szCs w:val="18"/>
                <w:lang w:val="en-NZ"/>
              </w:rPr>
              <w:t>12.5</w:t>
            </w:r>
          </w:p>
        </w:tc>
        <w:tc>
          <w:tcPr>
            <w:tcW w:w="607" w:type="dxa"/>
            <w:shd w:val="clear" w:color="auto" w:fill="D2DDE1" w:themeFill="background2"/>
            <w:vAlign w:val="center"/>
          </w:tcPr>
          <w:p w14:paraId="1D6B3079" w14:textId="77777777" w:rsidR="00F51113" w:rsidRPr="00841C21" w:rsidRDefault="00F51113">
            <w:pPr>
              <w:pStyle w:val="TableText"/>
              <w:spacing w:before="40" w:after="40"/>
              <w:jc w:val="center"/>
              <w:rPr>
                <w:rFonts w:cs="Calibri"/>
                <w:szCs w:val="18"/>
                <w:lang w:val="en-NZ"/>
              </w:rPr>
            </w:pPr>
            <w:r w:rsidRPr="00841C21">
              <w:rPr>
                <w:szCs w:val="18"/>
                <w:lang w:val="en-NZ"/>
              </w:rPr>
              <w:t>10.7</w:t>
            </w:r>
          </w:p>
        </w:tc>
        <w:tc>
          <w:tcPr>
            <w:tcW w:w="607" w:type="dxa"/>
            <w:shd w:val="clear" w:color="auto" w:fill="D2DDE1" w:themeFill="background2"/>
            <w:vAlign w:val="center"/>
          </w:tcPr>
          <w:p w14:paraId="342F461C" w14:textId="77777777" w:rsidR="00F51113" w:rsidRPr="00841C21" w:rsidRDefault="00F51113">
            <w:pPr>
              <w:pStyle w:val="TableText"/>
              <w:spacing w:before="40" w:after="40"/>
              <w:jc w:val="center"/>
              <w:rPr>
                <w:rFonts w:cs="Calibri"/>
                <w:szCs w:val="18"/>
                <w:lang w:val="en-NZ"/>
              </w:rPr>
            </w:pPr>
            <w:r w:rsidRPr="00841C21">
              <w:rPr>
                <w:szCs w:val="18"/>
                <w:lang w:val="en-NZ"/>
              </w:rPr>
              <w:t>8.9</w:t>
            </w:r>
          </w:p>
        </w:tc>
        <w:tc>
          <w:tcPr>
            <w:tcW w:w="607" w:type="dxa"/>
            <w:shd w:val="clear" w:color="auto" w:fill="D2DDE1" w:themeFill="background2"/>
            <w:vAlign w:val="center"/>
          </w:tcPr>
          <w:p w14:paraId="14A163D6" w14:textId="77777777" w:rsidR="00F51113" w:rsidRPr="00841C21" w:rsidRDefault="00F51113">
            <w:pPr>
              <w:pStyle w:val="TableText"/>
              <w:spacing w:before="40" w:after="40"/>
              <w:jc w:val="center"/>
              <w:rPr>
                <w:rFonts w:cs="Calibri"/>
                <w:szCs w:val="18"/>
                <w:lang w:val="en-NZ"/>
              </w:rPr>
            </w:pPr>
            <w:r w:rsidRPr="00841C21">
              <w:rPr>
                <w:szCs w:val="18"/>
                <w:lang w:val="en-NZ"/>
              </w:rPr>
              <w:t>7.4</w:t>
            </w:r>
          </w:p>
        </w:tc>
      </w:tr>
      <w:tr w:rsidR="00F51113" w:rsidRPr="00841C21" w14:paraId="001E22CF" w14:textId="77777777">
        <w:tc>
          <w:tcPr>
            <w:tcW w:w="611" w:type="dxa"/>
            <w:vAlign w:val="center"/>
          </w:tcPr>
          <w:p w14:paraId="55842098" w14:textId="77777777" w:rsidR="00F51113" w:rsidRPr="00841C21" w:rsidRDefault="00F51113">
            <w:pPr>
              <w:pStyle w:val="TableText"/>
              <w:spacing w:before="40" w:after="40"/>
              <w:rPr>
                <w:rFonts w:cs="Calibri"/>
                <w:szCs w:val="18"/>
                <w:lang w:val="en-NZ"/>
              </w:rPr>
            </w:pPr>
            <w:r w:rsidRPr="00841C21">
              <w:rPr>
                <w:rFonts w:cs="Calibri"/>
                <w:szCs w:val="18"/>
                <w:lang w:val="en-NZ"/>
              </w:rPr>
              <w:t>CH</w:t>
            </w:r>
            <w:r w:rsidRPr="00841C21">
              <w:rPr>
                <w:rFonts w:cs="Calibri"/>
                <w:szCs w:val="18"/>
                <w:vertAlign w:val="subscript"/>
                <w:lang w:val="en-NZ"/>
              </w:rPr>
              <w:t>4</w:t>
            </w:r>
          </w:p>
        </w:tc>
        <w:tc>
          <w:tcPr>
            <w:tcW w:w="608" w:type="dxa"/>
            <w:vAlign w:val="center"/>
          </w:tcPr>
          <w:p w14:paraId="48E339A4" w14:textId="77777777" w:rsidR="00F51113" w:rsidRPr="00841C21" w:rsidRDefault="00F51113">
            <w:pPr>
              <w:pStyle w:val="TableText"/>
              <w:spacing w:before="40" w:after="40"/>
              <w:jc w:val="center"/>
              <w:rPr>
                <w:rFonts w:cs="Calibri"/>
                <w:szCs w:val="18"/>
                <w:lang w:val="en-NZ"/>
              </w:rPr>
            </w:pPr>
            <w:r w:rsidRPr="00841C21">
              <w:rPr>
                <w:szCs w:val="18"/>
                <w:lang w:val="en-NZ"/>
              </w:rPr>
              <w:t>0.09</w:t>
            </w:r>
          </w:p>
        </w:tc>
        <w:tc>
          <w:tcPr>
            <w:tcW w:w="608" w:type="dxa"/>
            <w:vAlign w:val="center"/>
          </w:tcPr>
          <w:p w14:paraId="50271AEC" w14:textId="77777777" w:rsidR="00F51113" w:rsidRPr="00841C21" w:rsidRDefault="00F51113">
            <w:pPr>
              <w:pStyle w:val="TableText"/>
              <w:spacing w:before="40" w:after="40"/>
              <w:jc w:val="center"/>
              <w:rPr>
                <w:rFonts w:cs="Calibri"/>
                <w:szCs w:val="18"/>
                <w:lang w:val="en-NZ"/>
              </w:rPr>
            </w:pPr>
            <w:r w:rsidRPr="00841C21">
              <w:rPr>
                <w:szCs w:val="18"/>
                <w:lang w:val="en-NZ"/>
              </w:rPr>
              <w:t>0.08</w:t>
            </w:r>
          </w:p>
        </w:tc>
        <w:tc>
          <w:tcPr>
            <w:tcW w:w="608" w:type="dxa"/>
            <w:vAlign w:val="center"/>
          </w:tcPr>
          <w:p w14:paraId="0740C17B" w14:textId="77777777" w:rsidR="00F51113" w:rsidRPr="00841C21" w:rsidRDefault="00F51113">
            <w:pPr>
              <w:pStyle w:val="TableText"/>
              <w:spacing w:before="40" w:after="40"/>
              <w:jc w:val="center"/>
              <w:rPr>
                <w:rFonts w:cs="Calibri"/>
                <w:szCs w:val="18"/>
                <w:lang w:val="en-NZ"/>
              </w:rPr>
            </w:pPr>
            <w:r w:rsidRPr="00841C21">
              <w:rPr>
                <w:szCs w:val="18"/>
                <w:lang w:val="en-NZ"/>
              </w:rPr>
              <w:t>0.06</w:t>
            </w:r>
          </w:p>
        </w:tc>
        <w:tc>
          <w:tcPr>
            <w:tcW w:w="607" w:type="dxa"/>
            <w:vAlign w:val="center"/>
          </w:tcPr>
          <w:p w14:paraId="5A4B34D1" w14:textId="77777777" w:rsidR="00F51113" w:rsidRPr="00841C21" w:rsidRDefault="00F51113">
            <w:pPr>
              <w:pStyle w:val="TableText"/>
              <w:spacing w:before="40" w:after="40"/>
              <w:jc w:val="center"/>
              <w:rPr>
                <w:rFonts w:cs="Calibri"/>
                <w:szCs w:val="18"/>
                <w:lang w:val="en-NZ"/>
              </w:rPr>
            </w:pPr>
            <w:r w:rsidRPr="00841C21">
              <w:rPr>
                <w:szCs w:val="18"/>
                <w:lang w:val="en-NZ"/>
              </w:rPr>
              <w:t>0.05</w:t>
            </w:r>
          </w:p>
        </w:tc>
        <w:tc>
          <w:tcPr>
            <w:tcW w:w="607" w:type="dxa"/>
            <w:vAlign w:val="center"/>
          </w:tcPr>
          <w:p w14:paraId="12362B6B" w14:textId="77777777" w:rsidR="00F51113" w:rsidRPr="00841C21" w:rsidRDefault="00F51113">
            <w:pPr>
              <w:pStyle w:val="TableText"/>
              <w:spacing w:before="40" w:after="40"/>
              <w:jc w:val="center"/>
              <w:rPr>
                <w:rFonts w:cs="Calibri"/>
                <w:szCs w:val="18"/>
                <w:lang w:val="en-NZ"/>
              </w:rPr>
            </w:pPr>
            <w:r w:rsidRPr="00841C21">
              <w:rPr>
                <w:szCs w:val="18"/>
                <w:lang w:val="en-NZ"/>
              </w:rPr>
              <w:t>0.04</w:t>
            </w:r>
          </w:p>
        </w:tc>
        <w:tc>
          <w:tcPr>
            <w:tcW w:w="607" w:type="dxa"/>
            <w:vAlign w:val="center"/>
          </w:tcPr>
          <w:p w14:paraId="432C5427" w14:textId="77777777" w:rsidR="00F51113" w:rsidRPr="00841C21" w:rsidRDefault="00F51113">
            <w:pPr>
              <w:pStyle w:val="TableText"/>
              <w:spacing w:before="40" w:after="40"/>
              <w:jc w:val="center"/>
              <w:rPr>
                <w:rFonts w:cs="Calibri"/>
                <w:szCs w:val="18"/>
                <w:lang w:val="en-NZ"/>
              </w:rPr>
            </w:pPr>
            <w:r w:rsidRPr="00841C21">
              <w:rPr>
                <w:szCs w:val="18"/>
                <w:lang w:val="en-NZ"/>
              </w:rPr>
              <w:t>0.03</w:t>
            </w:r>
          </w:p>
        </w:tc>
        <w:tc>
          <w:tcPr>
            <w:tcW w:w="607" w:type="dxa"/>
            <w:vAlign w:val="center"/>
          </w:tcPr>
          <w:p w14:paraId="16A5436C" w14:textId="77777777" w:rsidR="00F51113" w:rsidRPr="00841C21" w:rsidRDefault="00F51113">
            <w:pPr>
              <w:pStyle w:val="TableText"/>
              <w:spacing w:before="40" w:after="40"/>
              <w:jc w:val="center"/>
              <w:rPr>
                <w:rFonts w:cs="Calibri"/>
                <w:szCs w:val="18"/>
                <w:lang w:val="en-NZ"/>
              </w:rPr>
            </w:pPr>
            <w:r w:rsidRPr="00841C21">
              <w:rPr>
                <w:szCs w:val="18"/>
                <w:lang w:val="en-NZ"/>
              </w:rPr>
              <w:t>0.02</w:t>
            </w:r>
          </w:p>
        </w:tc>
        <w:tc>
          <w:tcPr>
            <w:tcW w:w="607" w:type="dxa"/>
            <w:shd w:val="clear" w:color="auto" w:fill="D2DDE1" w:themeFill="background2"/>
            <w:vAlign w:val="center"/>
          </w:tcPr>
          <w:p w14:paraId="5D18453F" w14:textId="77777777" w:rsidR="00F51113" w:rsidRPr="00841C21" w:rsidRDefault="00F51113">
            <w:pPr>
              <w:pStyle w:val="TableText"/>
              <w:spacing w:before="40" w:after="40"/>
              <w:jc w:val="center"/>
              <w:rPr>
                <w:rFonts w:cs="Calibri"/>
                <w:szCs w:val="18"/>
                <w:lang w:val="en-NZ"/>
              </w:rPr>
            </w:pPr>
            <w:r w:rsidRPr="00841C21">
              <w:rPr>
                <w:szCs w:val="18"/>
                <w:lang w:val="en-NZ"/>
              </w:rPr>
              <w:t>0.02</w:t>
            </w:r>
          </w:p>
        </w:tc>
        <w:tc>
          <w:tcPr>
            <w:tcW w:w="607" w:type="dxa"/>
            <w:shd w:val="clear" w:color="auto" w:fill="D2DDE1" w:themeFill="background2"/>
            <w:vAlign w:val="center"/>
          </w:tcPr>
          <w:p w14:paraId="072578E0" w14:textId="77777777" w:rsidR="00F51113" w:rsidRPr="00841C21" w:rsidRDefault="00F51113">
            <w:pPr>
              <w:pStyle w:val="TableText"/>
              <w:spacing w:before="40" w:after="40"/>
              <w:jc w:val="center"/>
              <w:rPr>
                <w:rFonts w:cs="Calibri"/>
                <w:szCs w:val="18"/>
                <w:lang w:val="en-NZ"/>
              </w:rPr>
            </w:pPr>
            <w:r w:rsidRPr="00841C21">
              <w:rPr>
                <w:szCs w:val="18"/>
                <w:lang w:val="en-NZ"/>
              </w:rPr>
              <w:t>0.02</w:t>
            </w:r>
          </w:p>
        </w:tc>
        <w:tc>
          <w:tcPr>
            <w:tcW w:w="607" w:type="dxa"/>
            <w:shd w:val="clear" w:color="auto" w:fill="D2DDE1" w:themeFill="background2"/>
            <w:vAlign w:val="center"/>
          </w:tcPr>
          <w:p w14:paraId="439AEDEF" w14:textId="77777777" w:rsidR="00F51113" w:rsidRPr="00841C21" w:rsidRDefault="00F51113">
            <w:pPr>
              <w:pStyle w:val="TableText"/>
              <w:spacing w:before="40" w:after="40"/>
              <w:jc w:val="center"/>
              <w:rPr>
                <w:rFonts w:cs="Calibri"/>
                <w:szCs w:val="18"/>
                <w:lang w:val="en-NZ"/>
              </w:rPr>
            </w:pPr>
            <w:r w:rsidRPr="00841C21">
              <w:rPr>
                <w:szCs w:val="18"/>
                <w:lang w:val="en-NZ"/>
              </w:rPr>
              <w:t>0.02</w:t>
            </w:r>
          </w:p>
        </w:tc>
        <w:tc>
          <w:tcPr>
            <w:tcW w:w="607" w:type="dxa"/>
            <w:shd w:val="clear" w:color="auto" w:fill="D2DDE1" w:themeFill="background2"/>
            <w:vAlign w:val="center"/>
          </w:tcPr>
          <w:p w14:paraId="29A6CB62" w14:textId="77777777" w:rsidR="00F51113" w:rsidRPr="00841C21" w:rsidRDefault="00F51113">
            <w:pPr>
              <w:pStyle w:val="TableText"/>
              <w:spacing w:before="40" w:after="40"/>
              <w:jc w:val="center"/>
              <w:rPr>
                <w:rFonts w:cs="Calibri"/>
                <w:szCs w:val="18"/>
                <w:lang w:val="en-NZ"/>
              </w:rPr>
            </w:pPr>
            <w:r w:rsidRPr="00841C21">
              <w:rPr>
                <w:szCs w:val="18"/>
                <w:lang w:val="en-NZ"/>
              </w:rPr>
              <w:t>0.01</w:t>
            </w:r>
          </w:p>
        </w:tc>
        <w:tc>
          <w:tcPr>
            <w:tcW w:w="607" w:type="dxa"/>
            <w:shd w:val="clear" w:color="auto" w:fill="D2DDE1" w:themeFill="background2"/>
            <w:vAlign w:val="center"/>
          </w:tcPr>
          <w:p w14:paraId="7ED5351B" w14:textId="77777777" w:rsidR="00F51113" w:rsidRPr="00841C21" w:rsidRDefault="00F51113">
            <w:pPr>
              <w:pStyle w:val="TableText"/>
              <w:spacing w:before="40" w:after="40"/>
              <w:jc w:val="center"/>
              <w:rPr>
                <w:rFonts w:cs="Calibri"/>
                <w:szCs w:val="18"/>
                <w:lang w:val="en-NZ"/>
              </w:rPr>
            </w:pPr>
            <w:r w:rsidRPr="00841C21">
              <w:rPr>
                <w:szCs w:val="18"/>
                <w:lang w:val="en-NZ"/>
              </w:rPr>
              <w:t>0.01</w:t>
            </w:r>
          </w:p>
        </w:tc>
        <w:tc>
          <w:tcPr>
            <w:tcW w:w="607" w:type="dxa"/>
            <w:shd w:val="clear" w:color="auto" w:fill="D2DDE1" w:themeFill="background2"/>
            <w:vAlign w:val="center"/>
          </w:tcPr>
          <w:p w14:paraId="54634A16" w14:textId="77777777" w:rsidR="00F51113" w:rsidRPr="00841C21" w:rsidRDefault="00F51113">
            <w:pPr>
              <w:pStyle w:val="TableText"/>
              <w:spacing w:before="40" w:after="40"/>
              <w:jc w:val="center"/>
              <w:rPr>
                <w:rFonts w:cs="Calibri"/>
                <w:szCs w:val="18"/>
                <w:lang w:val="en-NZ"/>
              </w:rPr>
            </w:pPr>
            <w:r w:rsidRPr="00841C21">
              <w:rPr>
                <w:szCs w:val="18"/>
                <w:lang w:val="en-NZ"/>
              </w:rPr>
              <w:t>0.01</w:t>
            </w:r>
          </w:p>
        </w:tc>
      </w:tr>
      <w:tr w:rsidR="00F51113" w:rsidRPr="00841C21" w14:paraId="0AA350DE" w14:textId="77777777">
        <w:tc>
          <w:tcPr>
            <w:tcW w:w="611" w:type="dxa"/>
            <w:vAlign w:val="center"/>
          </w:tcPr>
          <w:p w14:paraId="1F2A197F" w14:textId="77777777" w:rsidR="00F51113" w:rsidRPr="00841C21" w:rsidRDefault="00F51113">
            <w:pPr>
              <w:pStyle w:val="TableText"/>
              <w:spacing w:before="40" w:after="40"/>
              <w:rPr>
                <w:rFonts w:cs="Calibri"/>
                <w:szCs w:val="18"/>
                <w:lang w:val="en-NZ"/>
              </w:rPr>
            </w:pPr>
            <w:r w:rsidRPr="00841C21">
              <w:rPr>
                <w:rFonts w:cs="Calibri"/>
                <w:szCs w:val="18"/>
                <w:lang w:val="en-NZ"/>
              </w:rPr>
              <w:t>N</w:t>
            </w:r>
            <w:r w:rsidRPr="00841C21">
              <w:rPr>
                <w:rFonts w:cs="Calibri"/>
                <w:szCs w:val="18"/>
                <w:vertAlign w:val="subscript"/>
                <w:lang w:val="en-NZ"/>
              </w:rPr>
              <w:t>2</w:t>
            </w:r>
            <w:r w:rsidRPr="00841C21">
              <w:rPr>
                <w:rFonts w:cs="Calibri"/>
                <w:szCs w:val="18"/>
                <w:lang w:val="en-NZ"/>
              </w:rPr>
              <w:t>O</w:t>
            </w:r>
          </w:p>
        </w:tc>
        <w:tc>
          <w:tcPr>
            <w:tcW w:w="608" w:type="dxa"/>
            <w:vAlign w:val="center"/>
          </w:tcPr>
          <w:p w14:paraId="2D20DCC1" w14:textId="77777777" w:rsidR="00F51113" w:rsidRPr="00841C21" w:rsidRDefault="00F51113">
            <w:pPr>
              <w:pStyle w:val="TableText"/>
              <w:spacing w:before="40" w:after="40"/>
              <w:jc w:val="center"/>
              <w:rPr>
                <w:rFonts w:cs="Calibri"/>
                <w:szCs w:val="18"/>
                <w:lang w:val="en-NZ"/>
              </w:rPr>
            </w:pPr>
            <w:r w:rsidRPr="00841C21">
              <w:rPr>
                <w:szCs w:val="18"/>
                <w:lang w:val="en-NZ"/>
              </w:rPr>
              <w:t>0.1</w:t>
            </w:r>
          </w:p>
        </w:tc>
        <w:tc>
          <w:tcPr>
            <w:tcW w:w="608" w:type="dxa"/>
            <w:vAlign w:val="center"/>
          </w:tcPr>
          <w:p w14:paraId="60C1A224" w14:textId="77777777" w:rsidR="00F51113" w:rsidRPr="00841C21" w:rsidRDefault="00F51113">
            <w:pPr>
              <w:pStyle w:val="TableText"/>
              <w:spacing w:before="40" w:after="40"/>
              <w:jc w:val="center"/>
              <w:rPr>
                <w:rFonts w:cs="Calibri"/>
                <w:szCs w:val="18"/>
                <w:lang w:val="en-NZ"/>
              </w:rPr>
            </w:pPr>
            <w:r w:rsidRPr="00841C21">
              <w:rPr>
                <w:szCs w:val="18"/>
                <w:lang w:val="en-NZ"/>
              </w:rPr>
              <w:t>0.1</w:t>
            </w:r>
          </w:p>
        </w:tc>
        <w:tc>
          <w:tcPr>
            <w:tcW w:w="608" w:type="dxa"/>
            <w:vAlign w:val="center"/>
          </w:tcPr>
          <w:p w14:paraId="7F762A99" w14:textId="77777777" w:rsidR="00F51113" w:rsidRPr="00841C21" w:rsidRDefault="00F51113">
            <w:pPr>
              <w:pStyle w:val="TableText"/>
              <w:spacing w:before="40" w:after="40"/>
              <w:jc w:val="center"/>
              <w:rPr>
                <w:rFonts w:cs="Calibri"/>
                <w:szCs w:val="18"/>
                <w:lang w:val="en-NZ"/>
              </w:rPr>
            </w:pPr>
            <w:r w:rsidRPr="00841C21">
              <w:rPr>
                <w:szCs w:val="18"/>
                <w:lang w:val="en-NZ"/>
              </w:rPr>
              <w:t>0.2</w:t>
            </w:r>
          </w:p>
        </w:tc>
        <w:tc>
          <w:tcPr>
            <w:tcW w:w="607" w:type="dxa"/>
            <w:vAlign w:val="center"/>
          </w:tcPr>
          <w:p w14:paraId="734D2285" w14:textId="77777777" w:rsidR="00F51113" w:rsidRPr="00841C21" w:rsidRDefault="00F51113">
            <w:pPr>
              <w:pStyle w:val="TableText"/>
              <w:spacing w:before="40" w:after="40"/>
              <w:jc w:val="center"/>
              <w:rPr>
                <w:rFonts w:cs="Calibri"/>
                <w:szCs w:val="18"/>
                <w:lang w:val="en-NZ"/>
              </w:rPr>
            </w:pPr>
            <w:r w:rsidRPr="00841C21">
              <w:rPr>
                <w:szCs w:val="18"/>
                <w:lang w:val="en-NZ"/>
              </w:rPr>
              <w:t>0.2</w:t>
            </w:r>
          </w:p>
        </w:tc>
        <w:tc>
          <w:tcPr>
            <w:tcW w:w="607" w:type="dxa"/>
            <w:vAlign w:val="center"/>
          </w:tcPr>
          <w:p w14:paraId="71323ABB" w14:textId="77777777" w:rsidR="00F51113" w:rsidRPr="00841C21" w:rsidRDefault="00F51113">
            <w:pPr>
              <w:pStyle w:val="TableText"/>
              <w:spacing w:before="40" w:after="40"/>
              <w:jc w:val="center"/>
              <w:rPr>
                <w:rFonts w:cs="Calibri"/>
                <w:szCs w:val="18"/>
                <w:lang w:val="en-NZ"/>
              </w:rPr>
            </w:pPr>
            <w:r w:rsidRPr="00841C21">
              <w:rPr>
                <w:szCs w:val="18"/>
                <w:lang w:val="en-NZ"/>
              </w:rPr>
              <w:t>0.2</w:t>
            </w:r>
          </w:p>
        </w:tc>
        <w:tc>
          <w:tcPr>
            <w:tcW w:w="607" w:type="dxa"/>
            <w:vAlign w:val="center"/>
          </w:tcPr>
          <w:p w14:paraId="2F03FFDC" w14:textId="77777777" w:rsidR="00F51113" w:rsidRPr="00841C21" w:rsidRDefault="00F51113">
            <w:pPr>
              <w:pStyle w:val="TableText"/>
              <w:spacing w:before="40" w:after="40"/>
              <w:jc w:val="center"/>
              <w:rPr>
                <w:rFonts w:cs="Calibri"/>
                <w:szCs w:val="18"/>
                <w:lang w:val="en-NZ"/>
              </w:rPr>
            </w:pPr>
            <w:r w:rsidRPr="00841C21">
              <w:rPr>
                <w:szCs w:val="18"/>
                <w:lang w:val="en-NZ"/>
              </w:rPr>
              <w:t>0.1</w:t>
            </w:r>
          </w:p>
        </w:tc>
        <w:tc>
          <w:tcPr>
            <w:tcW w:w="607" w:type="dxa"/>
            <w:vAlign w:val="center"/>
          </w:tcPr>
          <w:p w14:paraId="477B725D" w14:textId="77777777" w:rsidR="00F51113" w:rsidRPr="00841C21" w:rsidRDefault="00F51113">
            <w:pPr>
              <w:pStyle w:val="TableText"/>
              <w:spacing w:before="40" w:after="40"/>
              <w:jc w:val="center"/>
              <w:rPr>
                <w:rFonts w:cs="Calibri"/>
                <w:color w:val="000000"/>
                <w:szCs w:val="18"/>
                <w:lang w:val="en-NZ"/>
              </w:rPr>
            </w:pPr>
            <w:r w:rsidRPr="00841C21">
              <w:rPr>
                <w:szCs w:val="18"/>
                <w:lang w:val="en-NZ"/>
              </w:rPr>
              <w:t>0.1</w:t>
            </w:r>
          </w:p>
        </w:tc>
        <w:tc>
          <w:tcPr>
            <w:tcW w:w="607" w:type="dxa"/>
            <w:shd w:val="clear" w:color="auto" w:fill="D2DDE1" w:themeFill="background2"/>
            <w:vAlign w:val="center"/>
          </w:tcPr>
          <w:p w14:paraId="65DF32A6" w14:textId="77777777" w:rsidR="00F51113" w:rsidRPr="00841C21" w:rsidRDefault="00F51113">
            <w:pPr>
              <w:pStyle w:val="TableText"/>
              <w:spacing w:before="40" w:after="40"/>
              <w:jc w:val="center"/>
              <w:rPr>
                <w:rFonts w:cs="Calibri"/>
                <w:color w:val="000000"/>
                <w:szCs w:val="18"/>
                <w:lang w:val="en-NZ"/>
              </w:rPr>
            </w:pPr>
            <w:r w:rsidRPr="00841C21">
              <w:rPr>
                <w:szCs w:val="18"/>
                <w:lang w:val="en-NZ"/>
              </w:rPr>
              <w:t>0.1</w:t>
            </w:r>
          </w:p>
        </w:tc>
        <w:tc>
          <w:tcPr>
            <w:tcW w:w="607" w:type="dxa"/>
            <w:shd w:val="clear" w:color="auto" w:fill="D2DDE1" w:themeFill="background2"/>
            <w:vAlign w:val="center"/>
          </w:tcPr>
          <w:p w14:paraId="3EA6F47A" w14:textId="77777777" w:rsidR="00F51113" w:rsidRPr="00841C21" w:rsidRDefault="00F51113">
            <w:pPr>
              <w:pStyle w:val="TableText"/>
              <w:spacing w:before="40" w:after="40"/>
              <w:jc w:val="center"/>
              <w:rPr>
                <w:rFonts w:cs="Calibri"/>
                <w:color w:val="000000"/>
                <w:szCs w:val="18"/>
                <w:lang w:val="en-NZ"/>
              </w:rPr>
            </w:pPr>
            <w:r w:rsidRPr="00841C21">
              <w:rPr>
                <w:szCs w:val="18"/>
                <w:lang w:val="en-NZ"/>
              </w:rPr>
              <w:t>0.1</w:t>
            </w:r>
          </w:p>
        </w:tc>
        <w:tc>
          <w:tcPr>
            <w:tcW w:w="607" w:type="dxa"/>
            <w:shd w:val="clear" w:color="auto" w:fill="D2DDE1" w:themeFill="background2"/>
            <w:vAlign w:val="center"/>
          </w:tcPr>
          <w:p w14:paraId="25FDD4EC" w14:textId="77777777" w:rsidR="00F51113" w:rsidRPr="00841C21" w:rsidRDefault="00F51113">
            <w:pPr>
              <w:pStyle w:val="TableText"/>
              <w:spacing w:before="40" w:after="40"/>
              <w:jc w:val="center"/>
              <w:rPr>
                <w:rFonts w:cs="Calibri"/>
                <w:color w:val="000000"/>
                <w:szCs w:val="18"/>
                <w:lang w:val="en-NZ"/>
              </w:rPr>
            </w:pPr>
            <w:r w:rsidRPr="00841C21">
              <w:rPr>
                <w:szCs w:val="18"/>
                <w:lang w:val="en-NZ"/>
              </w:rPr>
              <w:t>0.1</w:t>
            </w:r>
          </w:p>
        </w:tc>
        <w:tc>
          <w:tcPr>
            <w:tcW w:w="607" w:type="dxa"/>
            <w:shd w:val="clear" w:color="auto" w:fill="D2DDE1" w:themeFill="background2"/>
            <w:vAlign w:val="center"/>
          </w:tcPr>
          <w:p w14:paraId="15DE2B18" w14:textId="77777777" w:rsidR="00F51113" w:rsidRPr="00841C21" w:rsidRDefault="00F51113">
            <w:pPr>
              <w:pStyle w:val="TableText"/>
              <w:spacing w:before="40" w:after="40"/>
              <w:jc w:val="center"/>
              <w:rPr>
                <w:rFonts w:cs="Calibri"/>
                <w:color w:val="000000"/>
                <w:szCs w:val="18"/>
                <w:lang w:val="en-NZ"/>
              </w:rPr>
            </w:pPr>
            <w:r w:rsidRPr="00841C21">
              <w:rPr>
                <w:szCs w:val="18"/>
                <w:lang w:val="en-NZ"/>
              </w:rPr>
              <w:t>0.1</w:t>
            </w:r>
          </w:p>
        </w:tc>
        <w:tc>
          <w:tcPr>
            <w:tcW w:w="607" w:type="dxa"/>
            <w:shd w:val="clear" w:color="auto" w:fill="D2DDE1" w:themeFill="background2"/>
            <w:vAlign w:val="center"/>
          </w:tcPr>
          <w:p w14:paraId="0727E488" w14:textId="77777777" w:rsidR="00F51113" w:rsidRPr="00841C21" w:rsidRDefault="00F51113">
            <w:pPr>
              <w:pStyle w:val="TableText"/>
              <w:spacing w:before="40" w:after="40"/>
              <w:jc w:val="center"/>
              <w:rPr>
                <w:rFonts w:cs="Calibri"/>
                <w:color w:val="000000"/>
                <w:szCs w:val="18"/>
                <w:lang w:val="en-NZ"/>
              </w:rPr>
            </w:pPr>
            <w:r w:rsidRPr="00841C21">
              <w:rPr>
                <w:szCs w:val="18"/>
                <w:lang w:val="en-NZ"/>
              </w:rPr>
              <w:t>0.1</w:t>
            </w:r>
          </w:p>
        </w:tc>
        <w:tc>
          <w:tcPr>
            <w:tcW w:w="607" w:type="dxa"/>
            <w:shd w:val="clear" w:color="auto" w:fill="D2DDE1" w:themeFill="background2"/>
            <w:vAlign w:val="center"/>
          </w:tcPr>
          <w:p w14:paraId="2076DA59" w14:textId="77777777" w:rsidR="00F51113" w:rsidRPr="00841C21" w:rsidRDefault="00F51113">
            <w:pPr>
              <w:pStyle w:val="TableText"/>
              <w:spacing w:before="40" w:after="40"/>
              <w:jc w:val="center"/>
              <w:rPr>
                <w:rFonts w:cs="Calibri"/>
                <w:color w:val="000000"/>
                <w:szCs w:val="18"/>
                <w:lang w:val="en-NZ"/>
              </w:rPr>
            </w:pPr>
            <w:r w:rsidRPr="00841C21">
              <w:rPr>
                <w:szCs w:val="18"/>
                <w:lang w:val="en-NZ"/>
              </w:rPr>
              <w:t>0.1</w:t>
            </w:r>
          </w:p>
        </w:tc>
      </w:tr>
      <w:tr w:rsidR="00F51113" w:rsidRPr="00841C21" w14:paraId="241C0018" w14:textId="77777777">
        <w:tc>
          <w:tcPr>
            <w:tcW w:w="611" w:type="dxa"/>
            <w:vAlign w:val="center"/>
          </w:tcPr>
          <w:p w14:paraId="36620188" w14:textId="77777777" w:rsidR="00F51113" w:rsidRPr="00841C21" w:rsidRDefault="00F51113">
            <w:pPr>
              <w:pStyle w:val="TableText"/>
              <w:spacing w:before="40" w:after="40"/>
              <w:rPr>
                <w:b/>
                <w:bCs/>
                <w:szCs w:val="18"/>
                <w:lang w:val="en-NZ"/>
              </w:rPr>
            </w:pPr>
            <w:r w:rsidRPr="00841C21">
              <w:rPr>
                <w:b/>
                <w:bCs/>
                <w:szCs w:val="18"/>
                <w:lang w:val="en-NZ"/>
              </w:rPr>
              <w:t>Total</w:t>
            </w:r>
          </w:p>
        </w:tc>
        <w:tc>
          <w:tcPr>
            <w:tcW w:w="608" w:type="dxa"/>
            <w:vAlign w:val="center"/>
          </w:tcPr>
          <w:p w14:paraId="68E190AD" w14:textId="77777777" w:rsidR="00F51113" w:rsidRPr="00841C21" w:rsidRDefault="00F51113">
            <w:pPr>
              <w:pStyle w:val="TableText"/>
              <w:spacing w:before="40" w:after="40"/>
              <w:jc w:val="center"/>
              <w:rPr>
                <w:b/>
                <w:bCs/>
                <w:color w:val="000000"/>
                <w:szCs w:val="18"/>
                <w:lang w:val="en-NZ"/>
              </w:rPr>
            </w:pPr>
            <w:r w:rsidRPr="00841C21">
              <w:rPr>
                <w:b/>
                <w:bCs/>
                <w:szCs w:val="18"/>
                <w:lang w:val="en-NZ"/>
              </w:rPr>
              <w:t>8.1</w:t>
            </w:r>
          </w:p>
        </w:tc>
        <w:tc>
          <w:tcPr>
            <w:tcW w:w="608" w:type="dxa"/>
            <w:vAlign w:val="center"/>
          </w:tcPr>
          <w:p w14:paraId="3078279F" w14:textId="77777777" w:rsidR="00F51113" w:rsidRPr="00841C21" w:rsidRDefault="00F51113">
            <w:pPr>
              <w:pStyle w:val="TableText"/>
              <w:spacing w:before="40" w:after="40"/>
              <w:jc w:val="center"/>
              <w:rPr>
                <w:b/>
                <w:bCs/>
                <w:color w:val="000000"/>
                <w:szCs w:val="18"/>
                <w:lang w:val="en-NZ"/>
              </w:rPr>
            </w:pPr>
            <w:r w:rsidRPr="00841C21">
              <w:rPr>
                <w:b/>
                <w:bCs/>
                <w:szCs w:val="18"/>
                <w:lang w:val="en-NZ"/>
              </w:rPr>
              <w:t>10.2</w:t>
            </w:r>
          </w:p>
        </w:tc>
        <w:tc>
          <w:tcPr>
            <w:tcW w:w="608" w:type="dxa"/>
            <w:vAlign w:val="center"/>
          </w:tcPr>
          <w:p w14:paraId="0C94D263" w14:textId="77777777" w:rsidR="00F51113" w:rsidRPr="00841C21" w:rsidRDefault="00F51113">
            <w:pPr>
              <w:pStyle w:val="TableText"/>
              <w:spacing w:before="40" w:after="40"/>
              <w:jc w:val="center"/>
              <w:rPr>
                <w:b/>
                <w:bCs/>
                <w:color w:val="000000"/>
                <w:szCs w:val="18"/>
                <w:lang w:val="en-NZ"/>
              </w:rPr>
            </w:pPr>
            <w:r w:rsidRPr="00841C21">
              <w:rPr>
                <w:b/>
                <w:bCs/>
                <w:szCs w:val="18"/>
                <w:lang w:val="en-NZ"/>
              </w:rPr>
              <w:t>11.6</w:t>
            </w:r>
          </w:p>
        </w:tc>
        <w:tc>
          <w:tcPr>
            <w:tcW w:w="607" w:type="dxa"/>
            <w:vAlign w:val="center"/>
          </w:tcPr>
          <w:p w14:paraId="4457C85A" w14:textId="77777777" w:rsidR="00F51113" w:rsidRPr="00841C21" w:rsidRDefault="00F51113">
            <w:pPr>
              <w:pStyle w:val="TableText"/>
              <w:spacing w:before="40" w:after="40"/>
              <w:jc w:val="center"/>
              <w:rPr>
                <w:b/>
                <w:bCs/>
                <w:color w:val="000000"/>
                <w:szCs w:val="18"/>
                <w:lang w:val="en-NZ"/>
              </w:rPr>
            </w:pPr>
            <w:r w:rsidRPr="00841C21">
              <w:rPr>
                <w:b/>
                <w:bCs/>
                <w:szCs w:val="18"/>
                <w:lang w:val="en-NZ"/>
              </w:rPr>
              <w:t>13.0</w:t>
            </w:r>
          </w:p>
        </w:tc>
        <w:tc>
          <w:tcPr>
            <w:tcW w:w="607" w:type="dxa"/>
            <w:vAlign w:val="center"/>
          </w:tcPr>
          <w:p w14:paraId="76ADFADC" w14:textId="77777777" w:rsidR="00F51113" w:rsidRPr="00841C21" w:rsidRDefault="00F51113">
            <w:pPr>
              <w:pStyle w:val="TableText"/>
              <w:spacing w:before="40" w:after="40"/>
              <w:jc w:val="center"/>
              <w:rPr>
                <w:b/>
                <w:bCs/>
                <w:color w:val="000000"/>
                <w:szCs w:val="18"/>
                <w:lang w:val="en-NZ"/>
              </w:rPr>
            </w:pPr>
            <w:r w:rsidRPr="00841C21">
              <w:rPr>
                <w:b/>
                <w:bCs/>
                <w:szCs w:val="18"/>
                <w:lang w:val="en-NZ"/>
              </w:rPr>
              <w:t>13.3</w:t>
            </w:r>
          </w:p>
        </w:tc>
        <w:tc>
          <w:tcPr>
            <w:tcW w:w="607" w:type="dxa"/>
            <w:vAlign w:val="center"/>
          </w:tcPr>
          <w:p w14:paraId="0B7DC5C8" w14:textId="77777777" w:rsidR="00F51113" w:rsidRPr="00841C21" w:rsidRDefault="00F51113">
            <w:pPr>
              <w:pStyle w:val="TableText"/>
              <w:spacing w:before="40" w:after="40"/>
              <w:jc w:val="center"/>
              <w:rPr>
                <w:b/>
                <w:bCs/>
                <w:color w:val="000000"/>
                <w:szCs w:val="18"/>
                <w:lang w:val="en-NZ"/>
              </w:rPr>
            </w:pPr>
            <w:r w:rsidRPr="00841C21">
              <w:rPr>
                <w:b/>
                <w:bCs/>
                <w:szCs w:val="18"/>
                <w:lang w:val="en-NZ"/>
              </w:rPr>
              <w:t>13.8</w:t>
            </w:r>
          </w:p>
        </w:tc>
        <w:tc>
          <w:tcPr>
            <w:tcW w:w="607" w:type="dxa"/>
            <w:vAlign w:val="center"/>
          </w:tcPr>
          <w:p w14:paraId="731946DF" w14:textId="77777777" w:rsidR="00F51113" w:rsidRPr="00841C21" w:rsidRDefault="00F51113">
            <w:pPr>
              <w:pStyle w:val="TableText"/>
              <w:spacing w:before="40" w:after="40"/>
              <w:jc w:val="center"/>
              <w:rPr>
                <w:b/>
                <w:bCs/>
                <w:szCs w:val="18"/>
                <w:lang w:val="en-NZ"/>
              </w:rPr>
            </w:pPr>
            <w:r w:rsidRPr="00841C21">
              <w:rPr>
                <w:b/>
                <w:bCs/>
                <w:szCs w:val="18"/>
                <w:lang w:val="en-NZ"/>
              </w:rPr>
              <w:t>13.2</w:t>
            </w:r>
          </w:p>
        </w:tc>
        <w:tc>
          <w:tcPr>
            <w:tcW w:w="607" w:type="dxa"/>
            <w:shd w:val="clear" w:color="auto" w:fill="D2DDE1" w:themeFill="background2"/>
            <w:vAlign w:val="center"/>
          </w:tcPr>
          <w:p w14:paraId="2BC0C236" w14:textId="77777777" w:rsidR="00F51113" w:rsidRPr="00841C21" w:rsidRDefault="00F51113">
            <w:pPr>
              <w:pStyle w:val="TableText"/>
              <w:spacing w:before="40" w:after="40"/>
              <w:jc w:val="center"/>
              <w:rPr>
                <w:b/>
                <w:bCs/>
                <w:szCs w:val="18"/>
                <w:lang w:val="en-NZ"/>
              </w:rPr>
            </w:pPr>
            <w:r w:rsidRPr="00841C21">
              <w:rPr>
                <w:b/>
                <w:bCs/>
                <w:szCs w:val="18"/>
                <w:lang w:val="en-NZ"/>
              </w:rPr>
              <w:t>14.3</w:t>
            </w:r>
          </w:p>
        </w:tc>
        <w:tc>
          <w:tcPr>
            <w:tcW w:w="607" w:type="dxa"/>
            <w:shd w:val="clear" w:color="auto" w:fill="D2DDE1" w:themeFill="background2"/>
            <w:vAlign w:val="center"/>
          </w:tcPr>
          <w:p w14:paraId="1CE76C5C" w14:textId="77777777" w:rsidR="00F51113" w:rsidRPr="00841C21" w:rsidRDefault="00F51113">
            <w:pPr>
              <w:pStyle w:val="TableText"/>
              <w:spacing w:before="40" w:after="40"/>
              <w:jc w:val="center"/>
              <w:rPr>
                <w:b/>
                <w:bCs/>
                <w:szCs w:val="18"/>
                <w:lang w:val="en-NZ"/>
              </w:rPr>
            </w:pPr>
            <w:r w:rsidRPr="00841C21">
              <w:rPr>
                <w:b/>
                <w:bCs/>
                <w:szCs w:val="18"/>
                <w:lang w:val="en-NZ"/>
              </w:rPr>
              <w:t>13.7</w:t>
            </w:r>
          </w:p>
        </w:tc>
        <w:tc>
          <w:tcPr>
            <w:tcW w:w="607" w:type="dxa"/>
            <w:shd w:val="clear" w:color="auto" w:fill="D2DDE1" w:themeFill="background2"/>
            <w:vAlign w:val="center"/>
          </w:tcPr>
          <w:p w14:paraId="7534B79F" w14:textId="77777777" w:rsidR="00F51113" w:rsidRPr="00841C21" w:rsidRDefault="00F51113">
            <w:pPr>
              <w:pStyle w:val="TableText"/>
              <w:spacing w:before="40" w:after="40"/>
              <w:jc w:val="center"/>
              <w:rPr>
                <w:b/>
                <w:bCs/>
                <w:szCs w:val="18"/>
                <w:lang w:val="en-NZ"/>
              </w:rPr>
            </w:pPr>
            <w:r w:rsidRPr="00841C21">
              <w:rPr>
                <w:b/>
                <w:bCs/>
                <w:szCs w:val="18"/>
                <w:lang w:val="en-NZ"/>
              </w:rPr>
              <w:t>12.6</w:t>
            </w:r>
          </w:p>
        </w:tc>
        <w:tc>
          <w:tcPr>
            <w:tcW w:w="607" w:type="dxa"/>
            <w:shd w:val="clear" w:color="auto" w:fill="D2DDE1" w:themeFill="background2"/>
            <w:vAlign w:val="center"/>
          </w:tcPr>
          <w:p w14:paraId="0275436E" w14:textId="77777777" w:rsidR="00F51113" w:rsidRPr="00841C21" w:rsidRDefault="00F51113">
            <w:pPr>
              <w:pStyle w:val="TableText"/>
              <w:spacing w:before="40" w:after="40"/>
              <w:jc w:val="center"/>
              <w:rPr>
                <w:b/>
                <w:bCs/>
                <w:szCs w:val="18"/>
                <w:lang w:val="en-NZ"/>
              </w:rPr>
            </w:pPr>
            <w:r w:rsidRPr="00841C21">
              <w:rPr>
                <w:b/>
                <w:bCs/>
                <w:szCs w:val="18"/>
                <w:lang w:val="en-NZ"/>
              </w:rPr>
              <w:t>10.8</w:t>
            </w:r>
          </w:p>
        </w:tc>
        <w:tc>
          <w:tcPr>
            <w:tcW w:w="607" w:type="dxa"/>
            <w:shd w:val="clear" w:color="auto" w:fill="D2DDE1" w:themeFill="background2"/>
            <w:vAlign w:val="center"/>
          </w:tcPr>
          <w:p w14:paraId="67A87F64" w14:textId="77777777" w:rsidR="00F51113" w:rsidRPr="00841C21" w:rsidRDefault="00F51113">
            <w:pPr>
              <w:pStyle w:val="TableText"/>
              <w:spacing w:before="40" w:after="40"/>
              <w:jc w:val="center"/>
              <w:rPr>
                <w:b/>
                <w:bCs/>
                <w:szCs w:val="18"/>
                <w:lang w:val="en-NZ"/>
              </w:rPr>
            </w:pPr>
            <w:r w:rsidRPr="00841C21">
              <w:rPr>
                <w:b/>
                <w:bCs/>
                <w:szCs w:val="18"/>
                <w:lang w:val="en-NZ"/>
              </w:rPr>
              <w:t>8.9</w:t>
            </w:r>
          </w:p>
        </w:tc>
        <w:tc>
          <w:tcPr>
            <w:tcW w:w="607" w:type="dxa"/>
            <w:shd w:val="clear" w:color="auto" w:fill="D2DDE1" w:themeFill="background2"/>
            <w:vAlign w:val="center"/>
          </w:tcPr>
          <w:p w14:paraId="462C1485" w14:textId="77777777" w:rsidR="00F51113" w:rsidRPr="00841C21" w:rsidRDefault="00F51113">
            <w:pPr>
              <w:pStyle w:val="TableText"/>
              <w:spacing w:before="40" w:after="40"/>
              <w:jc w:val="center"/>
              <w:rPr>
                <w:b/>
                <w:bCs/>
                <w:szCs w:val="18"/>
                <w:lang w:val="en-NZ"/>
              </w:rPr>
            </w:pPr>
            <w:r w:rsidRPr="00841C21">
              <w:rPr>
                <w:b/>
                <w:bCs/>
                <w:szCs w:val="18"/>
                <w:lang w:val="en-NZ"/>
              </w:rPr>
              <w:t>7.4</w:t>
            </w:r>
          </w:p>
        </w:tc>
      </w:tr>
    </w:tbl>
    <w:p w14:paraId="613C6106" w14:textId="77777777" w:rsidR="00F51113" w:rsidRPr="004C2DCD" w:rsidRDefault="00F51113" w:rsidP="00F51113">
      <w:pPr>
        <w:pStyle w:val="Note"/>
        <w:spacing w:after="0"/>
      </w:pPr>
      <w:r w:rsidRPr="004C2DCD">
        <w:rPr>
          <w:b/>
          <w:bCs/>
        </w:rPr>
        <w:t>Note:</w:t>
      </w:r>
      <w:r w:rsidRPr="004C2DCD">
        <w:t xml:space="preserve"> CH</w:t>
      </w:r>
      <w:r w:rsidRPr="004C2DCD">
        <w:rPr>
          <w:vertAlign w:val="subscript"/>
        </w:rPr>
        <w:t>4</w:t>
      </w:r>
      <w:r w:rsidRPr="004C2DCD">
        <w:t xml:space="preserve"> = methane; CO</w:t>
      </w:r>
      <w:r w:rsidRPr="004C2DCD">
        <w:rPr>
          <w:vertAlign w:val="subscript"/>
        </w:rPr>
        <w:t>2</w:t>
      </w:r>
      <w:r w:rsidRPr="004C2DCD">
        <w:t xml:space="preserve"> = carbon dioxide; N</w:t>
      </w:r>
      <w:r w:rsidRPr="004C2DCD">
        <w:rPr>
          <w:vertAlign w:val="subscript"/>
        </w:rPr>
        <w:t>2</w:t>
      </w:r>
      <w:r w:rsidRPr="004C2DCD">
        <w:t xml:space="preserve">O = nitrous oxide. </w:t>
      </w:r>
    </w:p>
    <w:p w14:paraId="646307E2" w14:textId="77777777" w:rsidR="00F51113" w:rsidRPr="004C2DCD" w:rsidRDefault="00F51113" w:rsidP="00784F5F">
      <w:pPr>
        <w:pStyle w:val="Heading3"/>
        <w:numPr>
          <w:ilvl w:val="0"/>
          <w:numId w:val="112"/>
        </w:numPr>
        <w:spacing w:before="280"/>
      </w:pPr>
      <w:r w:rsidRPr="004C2DCD">
        <w:t>Industrial Processes and Product Use</w:t>
      </w:r>
    </w:p>
    <w:p w14:paraId="463247BC" w14:textId="77777777" w:rsidR="00F51113" w:rsidRPr="004C2DCD" w:rsidRDefault="00F51113" w:rsidP="00667D42">
      <w:pPr>
        <w:pStyle w:val="BodyText"/>
        <w:spacing w:before="100" w:after="100" w:line="270" w:lineRule="atLeast"/>
      </w:pPr>
      <w:r w:rsidRPr="004C2DCD">
        <w:t>In New Zealand, CO</w:t>
      </w:r>
      <w:r w:rsidRPr="004C2DCD">
        <w:rPr>
          <w:vertAlign w:val="subscript"/>
        </w:rPr>
        <w:t>2</w:t>
      </w:r>
      <w:r w:rsidRPr="004C2DCD">
        <w:t xml:space="preserve"> emissions from IPPU result mainly from the manufacture of iron, steel, aluminium, urea, cement, lime and hydrogen, as well as from the production of methanol. Large</w:t>
      </w:r>
      <w:r w:rsidRPr="004C2DCD">
        <w:noBreakHyphen/>
        <w:t xml:space="preserve">scale manufacturing in New Zealand is dominated by a small number of firms. </w:t>
      </w:r>
      <w:r w:rsidRPr="004C2DCD">
        <w:rPr>
          <w:spacing w:val="-2"/>
        </w:rPr>
        <w:t>As a result, projections from these sources are subject to an unusually high degree of variability</w:t>
      </w:r>
      <w:r w:rsidRPr="004C2DCD">
        <w:t xml:space="preserve"> because small changes in one firm (or a closure) will significantly affect total IPPU emissions. Many of these industries are assumed to be at or near production capacity, so their emissions are projected to remain constant unless a closure date for a particular site is assumed. </w:t>
      </w:r>
    </w:p>
    <w:p w14:paraId="11F6E0F3" w14:textId="64E8EECC" w:rsidR="00F51113" w:rsidRPr="004C2DCD" w:rsidRDefault="00F51113" w:rsidP="00667D42">
      <w:pPr>
        <w:pStyle w:val="BodyText"/>
        <w:spacing w:before="100" w:after="100" w:line="270" w:lineRule="atLeast"/>
      </w:pPr>
      <w:r w:rsidRPr="004C2DCD">
        <w:t>Based on the WEM scenario, emissions from the IPPU sector are projected to generally steadily decrease from 4,316 kilotonnes (kt) CO</w:t>
      </w:r>
      <w:r w:rsidRPr="004C2DCD">
        <w:rPr>
          <w:vertAlign w:val="subscript"/>
        </w:rPr>
        <w:t>2</w:t>
      </w:r>
      <w:r w:rsidRPr="004C2DCD">
        <w:t>e in 2024 to 2,829 kt CO</w:t>
      </w:r>
      <w:r w:rsidRPr="004C2DCD">
        <w:rPr>
          <w:vertAlign w:val="subscript"/>
        </w:rPr>
        <w:t>2</w:t>
      </w:r>
      <w:r w:rsidRPr="004C2DCD">
        <w:t xml:space="preserve">e in 2050 (see </w:t>
      </w:r>
      <w:hyperlink w:anchor="figure258" w:history="1">
        <w:r w:rsidRPr="00621841">
          <w:rPr>
            <w:rStyle w:val="Hyperlink"/>
          </w:rPr>
          <w:t>figure 2.5.8</w:t>
        </w:r>
      </w:hyperlink>
      <w:r w:rsidRPr="004C2DCD">
        <w:t xml:space="preserve">). Compared with 2005, IPPU emissions are expected to be 22.3 per cent lower in 2030. A steep decrease in emissions is evident from the end of 2025 due to the projected installation of an electric arc furnace at the Glenbrook steel smelter. The only aluminium smelter in New Zealand is assumed to operate through to 2050. </w:t>
      </w:r>
    </w:p>
    <w:p w14:paraId="47208219" w14:textId="77777777" w:rsidR="00F51113" w:rsidRPr="004C2DCD" w:rsidRDefault="00F51113" w:rsidP="00667D42">
      <w:pPr>
        <w:pStyle w:val="BodyText"/>
        <w:spacing w:before="100" w:after="100" w:line="270" w:lineRule="atLeast"/>
      </w:pPr>
      <w:r w:rsidRPr="004C2DCD">
        <w:t>The emissions from methanol production are expected to step down to zero between 2028 and 2030 because all methanol production facilities are anticipated to be closed by 2029. The emissions from sulphur hexafluoride and nitrous oxide are expected to remain steady at low levels out to 2050.</w:t>
      </w:r>
    </w:p>
    <w:p w14:paraId="452BDF49" w14:textId="77777777" w:rsidR="00F51113" w:rsidRPr="004C2DCD" w:rsidRDefault="00F51113" w:rsidP="00667D42">
      <w:pPr>
        <w:pStyle w:val="BodyText"/>
        <w:spacing w:before="100" w:after="100" w:line="270" w:lineRule="atLeast"/>
      </w:pPr>
      <w:r w:rsidRPr="004C2DCD">
        <w:t>Hydrofluorocarbon (HFC) emissions are expected to have reached a peak level at around 1,585 kt CO</w:t>
      </w:r>
      <w:r w:rsidRPr="004C2DCD">
        <w:rPr>
          <w:vertAlign w:val="subscript"/>
        </w:rPr>
        <w:t xml:space="preserve">2 </w:t>
      </w:r>
      <w:r w:rsidRPr="004C2DCD">
        <w:t>in 2021. Starting in 2025, HFC emissions are expected to steadily decline, reaching 1,038 kt CO</w:t>
      </w:r>
      <w:r w:rsidRPr="004C2DCD">
        <w:rPr>
          <w:vertAlign w:val="subscript"/>
        </w:rPr>
        <w:t>2</w:t>
      </w:r>
      <w:r w:rsidRPr="004C2DCD">
        <w:t>e in 2030 and 754 kt CO</w:t>
      </w:r>
      <w:r w:rsidRPr="004C2DCD">
        <w:rPr>
          <w:vertAlign w:val="subscript"/>
        </w:rPr>
        <w:t>2</w:t>
      </w:r>
      <w:r w:rsidRPr="004C2DCD">
        <w:t>e in 2050. The use of HFCs has grown rapidly since the early 1990s when they replaced chlorofluorocarbons, which are being phased out under the Montreal Protocol. The phase-down of HFC consumption in New Zealand is expected to reduce HFC emissions, in line with the Kigali Amendment to the Montreal Protocol (Kigali Amendment).</w:t>
      </w:r>
      <w:r w:rsidRPr="004C2DCD">
        <w:rPr>
          <w:vertAlign w:val="superscript"/>
        </w:rPr>
        <w:footnoteReference w:id="183"/>
      </w:r>
      <w:r w:rsidRPr="004C2DCD">
        <w:t xml:space="preserve"> The HFC phase-down, likely along with an NZ ETS price increase, has already started to affect HFC consumption. Note that New Zealand’s ratification of the Kigali Amendment does not extend to Tokelau.</w:t>
      </w:r>
      <w:r w:rsidRPr="004C2DCD">
        <w:rPr>
          <w:vertAlign w:val="superscript"/>
        </w:rPr>
        <w:footnoteReference w:id="184"/>
      </w:r>
    </w:p>
    <w:p w14:paraId="3F21C411" w14:textId="77777777" w:rsidR="00F51113" w:rsidRPr="004C2DCD" w:rsidRDefault="00F51113" w:rsidP="00667D42">
      <w:pPr>
        <w:pStyle w:val="BodyText"/>
        <w:spacing w:before="100" w:after="100"/>
      </w:pPr>
      <w:r w:rsidRPr="004C2DCD">
        <w:t>Emissions of nitrogen trifluoride do not occur in New Zealand, because the industries that could be potential sources of the gas do not exist in the country and no nitrogen trifluoride is imported.</w:t>
      </w:r>
    </w:p>
    <w:p w14:paraId="0D6BA422" w14:textId="77777777" w:rsidR="00F51113" w:rsidRPr="004C2DCD" w:rsidRDefault="00F51113" w:rsidP="008135E1">
      <w:pPr>
        <w:pStyle w:val="Figureheading"/>
        <w:spacing w:after="0"/>
      </w:pPr>
      <w:bookmarkStart w:id="541" w:name="figure258"/>
      <w:bookmarkStart w:id="542" w:name="_Toc185347252"/>
      <w:r w:rsidRPr="004C2DCD">
        <w:t>Figure 2.5.8</w:t>
      </w:r>
      <w:bookmarkEnd w:id="541"/>
      <w:r w:rsidRPr="004C2DCD">
        <w:t xml:space="preserve">: </w:t>
      </w:r>
      <w:r w:rsidRPr="004C2DCD">
        <w:tab/>
        <w:t>Greenhouse gas emissions under the ‘with existing measures’ scenario in the IPPU sector, 1990–2050</w:t>
      </w:r>
      <w:bookmarkEnd w:id="542"/>
    </w:p>
    <w:p w14:paraId="75846BAA" w14:textId="5154BA21" w:rsidR="00F51113" w:rsidRPr="004C2DCD" w:rsidRDefault="00FA62DE" w:rsidP="00237553">
      <w:pPr>
        <w:pStyle w:val="BodyText"/>
        <w:keepNext/>
        <w:spacing w:before="80" w:after="80"/>
        <w:jc w:val="center"/>
      </w:pPr>
      <w:bookmarkStart w:id="543" w:name="_Toc183789681"/>
      <w:r>
        <w:rPr>
          <w:noProof/>
        </w:rPr>
        <w:drawing>
          <wp:inline distT="0" distB="0" distL="0" distR="0" wp14:anchorId="68B2C1BC" wp14:editId="4B47A779">
            <wp:extent cx="5040000" cy="2857782"/>
            <wp:effectExtent l="0" t="0" r="8255" b="0"/>
            <wp:docPr id="1355641290" name="Picture 34" descr="A line graph showing greenhouse gas emissions in kilotonnes carbon dioxide equivalent under the ‘with existing measures’ scenario in the Industrial Processes and Product Use sector for the period 1990 to 2050. It shows IPPU historical emissions (solid line) then projected emissions (dott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41290" name="Picture 34" descr="A line graph showing greenhouse gas emissions in kilotonnes carbon dioxide equivalent under the ‘with existing measures’ scenario in the Industrial Processes and Product Use sector for the period 1990 to 2050. It shows IPPU historical emissions (solid line) then projected emissions (dotted lin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40000" cy="2857782"/>
                    </a:xfrm>
                    <a:prstGeom prst="rect">
                      <a:avLst/>
                    </a:prstGeom>
                    <a:noFill/>
                  </pic:spPr>
                </pic:pic>
              </a:graphicData>
            </a:graphic>
          </wp:inline>
        </w:drawing>
      </w:r>
      <w:bookmarkEnd w:id="543"/>
    </w:p>
    <w:p w14:paraId="74234540" w14:textId="77777777" w:rsidR="00F51113" w:rsidRPr="004C2DCD" w:rsidRDefault="00F51113" w:rsidP="00F51113">
      <w:pPr>
        <w:pStyle w:val="Note"/>
        <w:spacing w:before="0"/>
      </w:pPr>
      <w:r w:rsidRPr="004C2DCD">
        <w:rPr>
          <w:b/>
          <w:bCs/>
        </w:rPr>
        <w:t>Note:</w:t>
      </w:r>
      <w:r w:rsidRPr="004C2DCD">
        <w:t xml:space="preserve"> IPPU = Industrial Processes and Product Use; kt CO</w:t>
      </w:r>
      <w:r w:rsidRPr="004C2DCD">
        <w:rPr>
          <w:vertAlign w:val="subscript"/>
        </w:rPr>
        <w:t>2</w:t>
      </w:r>
      <w:r w:rsidRPr="004C2DCD">
        <w:t xml:space="preserve">e = </w:t>
      </w:r>
      <w:r w:rsidRPr="004C2DCD">
        <w:rPr>
          <w:rFonts w:eastAsia="Calibri" w:cs="Calibri"/>
        </w:rPr>
        <w:t xml:space="preserve">kilotonnes of </w:t>
      </w:r>
      <w:r w:rsidRPr="004C2DCD">
        <w:t>carbon dioxide equivalent.</w:t>
      </w:r>
    </w:p>
    <w:p w14:paraId="0824A90E" w14:textId="77777777" w:rsidR="00F51113" w:rsidRPr="004C2DCD" w:rsidRDefault="00F51113" w:rsidP="00F51113">
      <w:r w:rsidRPr="004C2DCD">
        <w:t xml:space="preserve">New Zealand’s historical and projected IPPU sector emissions by gas are presented in table 2.5.6. </w:t>
      </w:r>
    </w:p>
    <w:p w14:paraId="01763ADB" w14:textId="6ECFE6B7" w:rsidR="00F51113" w:rsidRPr="004C2DCD" w:rsidRDefault="00F51113" w:rsidP="00F51113">
      <w:pPr>
        <w:pStyle w:val="Tableheading"/>
        <w:spacing w:line="240" w:lineRule="atLeast"/>
        <w:rPr>
          <w:rFonts w:ascii="Segoe UI" w:hAnsi="Segoe UI" w:cs="Segoe UI"/>
          <w:sz w:val="18"/>
          <w:szCs w:val="18"/>
        </w:rPr>
      </w:pPr>
      <w:bookmarkStart w:id="544" w:name="_Toc183789682"/>
      <w:bookmarkStart w:id="545" w:name="_Toc185407471"/>
      <w:bookmarkStart w:id="546" w:name="_Toc185427734"/>
      <w:r w:rsidRPr="004C2DCD">
        <w:t xml:space="preserve">Table 2.5.6: </w:t>
      </w:r>
      <w:r w:rsidRPr="004C2DCD">
        <w:tab/>
        <w:t>Historical and projected IPPU emissions by gas under the ‘with existing measures’ scenario, 1990–20</w:t>
      </w:r>
      <w:r w:rsidR="000353C0">
        <w:t>50</w:t>
      </w:r>
      <w:r w:rsidRPr="004C2DCD">
        <w:t xml:space="preserve"> (kt CO</w:t>
      </w:r>
      <w:r w:rsidRPr="004C2DCD">
        <w:rPr>
          <w:sz w:val="16"/>
          <w:szCs w:val="16"/>
          <w:vertAlign w:val="subscript"/>
        </w:rPr>
        <w:t>2</w:t>
      </w:r>
      <w:r w:rsidRPr="004C2DCD">
        <w:t>e)</w:t>
      </w:r>
      <w:bookmarkEnd w:id="544"/>
      <w:bookmarkEnd w:id="545"/>
      <w:bookmarkEnd w:id="546"/>
      <w:r w:rsidRPr="004C2DCD">
        <w:t> </w:t>
      </w:r>
    </w:p>
    <w:tbl>
      <w:tblPr>
        <w:tblW w:w="8497" w:type="dxa"/>
        <w:tblBorders>
          <w:top w:val="single" w:sz="6" w:space="0" w:color="1B556B" w:themeColor="text2"/>
          <w:bottom w:val="single" w:sz="6" w:space="0" w:color="1B556B" w:themeColor="text2"/>
          <w:insideH w:val="single" w:sz="6" w:space="0" w:color="1B556B" w:themeColor="text2"/>
          <w:insideV w:val="single" w:sz="6" w:space="0" w:color="1B556B" w:themeColor="text2"/>
        </w:tblBorders>
        <w:tblLayout w:type="fixed"/>
        <w:tblCellMar>
          <w:left w:w="85" w:type="dxa"/>
          <w:right w:w="85" w:type="dxa"/>
        </w:tblCellMar>
        <w:tblLook w:val="04A0" w:firstRow="1" w:lastRow="0" w:firstColumn="1" w:lastColumn="0" w:noHBand="0" w:noVBand="1"/>
      </w:tblPr>
      <w:tblGrid>
        <w:gridCol w:w="993"/>
        <w:gridCol w:w="52"/>
        <w:gridCol w:w="1051"/>
        <w:gridCol w:w="332"/>
        <w:gridCol w:w="719"/>
        <w:gridCol w:w="495"/>
        <w:gridCol w:w="557"/>
        <w:gridCol w:w="655"/>
        <w:gridCol w:w="396"/>
        <w:gridCol w:w="814"/>
        <w:gridCol w:w="237"/>
        <w:gridCol w:w="971"/>
        <w:gridCol w:w="81"/>
        <w:gridCol w:w="1106"/>
        <w:gridCol w:w="38"/>
      </w:tblGrid>
      <w:tr w:rsidR="00F51113" w:rsidRPr="00841C21" w14:paraId="66DB980E" w14:textId="77777777">
        <w:trPr>
          <w:gridAfter w:val="1"/>
          <w:wAfter w:w="38" w:type="dxa"/>
          <w:tblHeader/>
        </w:trPr>
        <w:tc>
          <w:tcPr>
            <w:tcW w:w="1045" w:type="dxa"/>
            <w:gridSpan w:val="2"/>
            <w:tcBorders>
              <w:bottom w:val="nil"/>
              <w:right w:val="nil"/>
            </w:tcBorders>
            <w:shd w:val="clear" w:color="auto" w:fill="1B556B"/>
            <w:vAlign w:val="center"/>
            <w:hideMark/>
          </w:tcPr>
          <w:p w14:paraId="2FBCA2F3" w14:textId="77777777" w:rsidR="00F51113" w:rsidRPr="00841C21" w:rsidRDefault="00F51113">
            <w:pPr>
              <w:pStyle w:val="TableTextbold"/>
              <w:spacing w:before="40" w:after="0"/>
              <w:rPr>
                <w:color w:val="FFFFFF" w:themeColor="background1"/>
                <w:szCs w:val="18"/>
              </w:rPr>
            </w:pPr>
            <w:r w:rsidRPr="00841C21">
              <w:rPr>
                <w:color w:val="FFFFFF" w:themeColor="background1"/>
                <w:szCs w:val="18"/>
              </w:rPr>
              <w:t> </w:t>
            </w:r>
          </w:p>
        </w:tc>
        <w:tc>
          <w:tcPr>
            <w:tcW w:w="7414" w:type="dxa"/>
            <w:gridSpan w:val="12"/>
            <w:tcBorders>
              <w:left w:val="nil"/>
              <w:bottom w:val="nil"/>
            </w:tcBorders>
            <w:shd w:val="clear" w:color="auto" w:fill="1B556B"/>
            <w:vAlign w:val="center"/>
            <w:hideMark/>
          </w:tcPr>
          <w:p w14:paraId="72C41161" w14:textId="77777777" w:rsidR="00F51113" w:rsidRPr="00841C21" w:rsidRDefault="00F51113">
            <w:pPr>
              <w:pStyle w:val="TableTextbold"/>
              <w:spacing w:before="40" w:after="0"/>
              <w:jc w:val="center"/>
              <w:rPr>
                <w:color w:val="FFFFFF" w:themeColor="background1"/>
                <w:szCs w:val="18"/>
              </w:rPr>
            </w:pPr>
            <w:r w:rsidRPr="00841C21">
              <w:rPr>
                <w:color w:val="FFFFFF" w:themeColor="background1"/>
                <w:szCs w:val="18"/>
              </w:rPr>
              <w:t>Historical</w:t>
            </w:r>
          </w:p>
        </w:tc>
      </w:tr>
      <w:tr w:rsidR="00F51113" w:rsidRPr="00841C21" w14:paraId="66873EC4" w14:textId="77777777">
        <w:trPr>
          <w:gridAfter w:val="1"/>
          <w:wAfter w:w="38" w:type="dxa"/>
          <w:tblHeader/>
        </w:trPr>
        <w:tc>
          <w:tcPr>
            <w:tcW w:w="1045" w:type="dxa"/>
            <w:gridSpan w:val="2"/>
            <w:tcBorders>
              <w:top w:val="nil"/>
              <w:right w:val="nil"/>
            </w:tcBorders>
            <w:shd w:val="clear" w:color="auto" w:fill="1B556B"/>
            <w:vAlign w:val="center"/>
            <w:hideMark/>
          </w:tcPr>
          <w:p w14:paraId="11654334" w14:textId="77777777" w:rsidR="00F51113" w:rsidRPr="00841C21" w:rsidRDefault="00F51113">
            <w:pPr>
              <w:pStyle w:val="TableTextbold"/>
              <w:spacing w:before="0" w:after="40"/>
              <w:rPr>
                <w:color w:val="FFFFFF" w:themeColor="background1"/>
                <w:szCs w:val="18"/>
              </w:rPr>
            </w:pPr>
            <w:r w:rsidRPr="00841C21">
              <w:rPr>
                <w:color w:val="FFFFFF" w:themeColor="background1"/>
                <w:szCs w:val="18"/>
              </w:rPr>
              <w:t>Gas </w:t>
            </w:r>
          </w:p>
        </w:tc>
        <w:tc>
          <w:tcPr>
            <w:tcW w:w="1051" w:type="dxa"/>
            <w:tcBorders>
              <w:top w:val="nil"/>
              <w:left w:val="nil"/>
              <w:right w:val="nil"/>
            </w:tcBorders>
            <w:shd w:val="clear" w:color="auto" w:fill="1B556B"/>
            <w:vAlign w:val="center"/>
            <w:hideMark/>
          </w:tcPr>
          <w:p w14:paraId="74CFEDDD" w14:textId="77777777" w:rsidR="00F51113" w:rsidRPr="00841C21" w:rsidRDefault="00F51113">
            <w:pPr>
              <w:pStyle w:val="TableTextbold"/>
              <w:spacing w:before="0" w:after="40"/>
              <w:jc w:val="center"/>
              <w:rPr>
                <w:color w:val="FFFFFF" w:themeColor="background1"/>
                <w:szCs w:val="18"/>
              </w:rPr>
            </w:pPr>
            <w:r w:rsidRPr="00841C21">
              <w:rPr>
                <w:color w:val="FFFFFF" w:themeColor="background1"/>
                <w:szCs w:val="18"/>
              </w:rPr>
              <w:t>1990</w:t>
            </w:r>
          </w:p>
        </w:tc>
        <w:tc>
          <w:tcPr>
            <w:tcW w:w="1051" w:type="dxa"/>
            <w:gridSpan w:val="2"/>
            <w:tcBorders>
              <w:top w:val="nil"/>
              <w:left w:val="nil"/>
              <w:right w:val="nil"/>
            </w:tcBorders>
            <w:shd w:val="clear" w:color="auto" w:fill="1B556B"/>
            <w:vAlign w:val="center"/>
            <w:hideMark/>
          </w:tcPr>
          <w:p w14:paraId="67E53E87" w14:textId="77777777" w:rsidR="00F51113" w:rsidRPr="00841C21" w:rsidRDefault="00F51113">
            <w:pPr>
              <w:pStyle w:val="TableTextbold"/>
              <w:spacing w:before="0" w:after="40"/>
              <w:jc w:val="center"/>
              <w:rPr>
                <w:color w:val="FFFFFF" w:themeColor="background1"/>
                <w:szCs w:val="18"/>
              </w:rPr>
            </w:pPr>
            <w:r w:rsidRPr="00841C21">
              <w:rPr>
                <w:color w:val="FFFFFF" w:themeColor="background1"/>
                <w:szCs w:val="18"/>
              </w:rPr>
              <w:t>1995</w:t>
            </w:r>
          </w:p>
        </w:tc>
        <w:tc>
          <w:tcPr>
            <w:tcW w:w="1052" w:type="dxa"/>
            <w:gridSpan w:val="2"/>
            <w:tcBorders>
              <w:top w:val="nil"/>
              <w:left w:val="nil"/>
              <w:right w:val="nil"/>
            </w:tcBorders>
            <w:shd w:val="clear" w:color="auto" w:fill="1B556B"/>
            <w:vAlign w:val="center"/>
            <w:hideMark/>
          </w:tcPr>
          <w:p w14:paraId="609CBC00" w14:textId="77777777" w:rsidR="00F51113" w:rsidRPr="00841C21" w:rsidRDefault="00F51113">
            <w:pPr>
              <w:pStyle w:val="TableTextbold"/>
              <w:spacing w:before="0" w:after="40"/>
              <w:jc w:val="center"/>
              <w:rPr>
                <w:color w:val="FFFFFF" w:themeColor="background1"/>
                <w:szCs w:val="18"/>
              </w:rPr>
            </w:pPr>
            <w:r w:rsidRPr="00841C21">
              <w:rPr>
                <w:color w:val="FFFFFF" w:themeColor="background1"/>
                <w:szCs w:val="18"/>
              </w:rPr>
              <w:t>2000</w:t>
            </w:r>
          </w:p>
        </w:tc>
        <w:tc>
          <w:tcPr>
            <w:tcW w:w="1051" w:type="dxa"/>
            <w:gridSpan w:val="2"/>
            <w:tcBorders>
              <w:top w:val="nil"/>
              <w:left w:val="nil"/>
              <w:right w:val="nil"/>
            </w:tcBorders>
            <w:shd w:val="clear" w:color="auto" w:fill="1B556B"/>
            <w:vAlign w:val="center"/>
            <w:hideMark/>
          </w:tcPr>
          <w:p w14:paraId="77E5289C" w14:textId="77777777" w:rsidR="00F51113" w:rsidRPr="00841C21" w:rsidRDefault="00F51113">
            <w:pPr>
              <w:pStyle w:val="TableTextbold"/>
              <w:spacing w:before="0" w:after="40"/>
              <w:jc w:val="center"/>
              <w:rPr>
                <w:color w:val="FFFFFF" w:themeColor="background1"/>
                <w:szCs w:val="18"/>
              </w:rPr>
            </w:pPr>
            <w:r w:rsidRPr="00841C21">
              <w:rPr>
                <w:color w:val="FFFFFF" w:themeColor="background1"/>
                <w:szCs w:val="18"/>
              </w:rPr>
              <w:t>2005</w:t>
            </w:r>
          </w:p>
        </w:tc>
        <w:tc>
          <w:tcPr>
            <w:tcW w:w="1051" w:type="dxa"/>
            <w:gridSpan w:val="2"/>
            <w:tcBorders>
              <w:top w:val="nil"/>
              <w:left w:val="nil"/>
              <w:right w:val="nil"/>
            </w:tcBorders>
            <w:shd w:val="clear" w:color="auto" w:fill="1B556B"/>
            <w:vAlign w:val="center"/>
            <w:hideMark/>
          </w:tcPr>
          <w:p w14:paraId="2D53D5FE" w14:textId="77777777" w:rsidR="00F51113" w:rsidRPr="00841C21" w:rsidRDefault="00F51113">
            <w:pPr>
              <w:pStyle w:val="TableTextbold"/>
              <w:spacing w:before="0" w:after="40"/>
              <w:jc w:val="center"/>
              <w:rPr>
                <w:color w:val="FFFFFF" w:themeColor="background1"/>
                <w:szCs w:val="18"/>
              </w:rPr>
            </w:pPr>
            <w:r w:rsidRPr="00841C21">
              <w:rPr>
                <w:color w:val="FFFFFF" w:themeColor="background1"/>
                <w:szCs w:val="18"/>
              </w:rPr>
              <w:t>2010</w:t>
            </w:r>
          </w:p>
        </w:tc>
        <w:tc>
          <w:tcPr>
            <w:tcW w:w="1052" w:type="dxa"/>
            <w:gridSpan w:val="2"/>
            <w:tcBorders>
              <w:top w:val="nil"/>
              <w:left w:val="nil"/>
              <w:right w:val="nil"/>
            </w:tcBorders>
            <w:shd w:val="clear" w:color="auto" w:fill="1B556B"/>
            <w:vAlign w:val="center"/>
            <w:hideMark/>
          </w:tcPr>
          <w:p w14:paraId="04454BB7" w14:textId="77777777" w:rsidR="00F51113" w:rsidRPr="00841C21" w:rsidRDefault="00F51113">
            <w:pPr>
              <w:pStyle w:val="TableTextbold"/>
              <w:spacing w:before="0" w:after="40"/>
              <w:jc w:val="center"/>
              <w:rPr>
                <w:color w:val="FFFFFF" w:themeColor="background1"/>
                <w:szCs w:val="18"/>
              </w:rPr>
            </w:pPr>
            <w:r w:rsidRPr="00841C21">
              <w:rPr>
                <w:color w:val="FFFFFF" w:themeColor="background1"/>
                <w:szCs w:val="18"/>
              </w:rPr>
              <w:t>2015</w:t>
            </w:r>
          </w:p>
        </w:tc>
        <w:tc>
          <w:tcPr>
            <w:tcW w:w="1106" w:type="dxa"/>
            <w:tcBorders>
              <w:top w:val="nil"/>
              <w:left w:val="nil"/>
            </w:tcBorders>
            <w:shd w:val="clear" w:color="auto" w:fill="1B556B"/>
            <w:vAlign w:val="center"/>
            <w:hideMark/>
          </w:tcPr>
          <w:p w14:paraId="7176682B" w14:textId="77777777" w:rsidR="00F51113" w:rsidRPr="00841C21" w:rsidRDefault="00F51113">
            <w:pPr>
              <w:pStyle w:val="TableTextbold"/>
              <w:spacing w:before="0" w:after="40"/>
              <w:jc w:val="center"/>
              <w:rPr>
                <w:color w:val="FFFFFF" w:themeColor="background1"/>
                <w:szCs w:val="18"/>
              </w:rPr>
            </w:pPr>
            <w:r w:rsidRPr="00841C21">
              <w:rPr>
                <w:color w:val="FFFFFF" w:themeColor="background1"/>
                <w:szCs w:val="18"/>
              </w:rPr>
              <w:t>2020</w:t>
            </w:r>
          </w:p>
        </w:tc>
      </w:tr>
      <w:tr w:rsidR="00F51113" w:rsidRPr="00841C21" w14:paraId="34D375E1" w14:textId="77777777">
        <w:trPr>
          <w:gridAfter w:val="1"/>
          <w:wAfter w:w="38" w:type="dxa"/>
        </w:trPr>
        <w:tc>
          <w:tcPr>
            <w:tcW w:w="1045" w:type="dxa"/>
            <w:gridSpan w:val="2"/>
            <w:shd w:val="clear" w:color="auto" w:fill="auto"/>
            <w:vAlign w:val="center"/>
            <w:hideMark/>
          </w:tcPr>
          <w:p w14:paraId="6D7FDCDC" w14:textId="77777777" w:rsidR="00F51113" w:rsidRPr="00841C21" w:rsidRDefault="00F51113" w:rsidP="00667D42">
            <w:pPr>
              <w:pStyle w:val="TableText"/>
              <w:spacing w:before="30" w:after="30"/>
              <w:rPr>
                <w:rFonts w:cs="Calibri"/>
                <w:szCs w:val="18"/>
              </w:rPr>
            </w:pPr>
            <w:r w:rsidRPr="00841C21">
              <w:rPr>
                <w:rFonts w:cs="Calibri"/>
                <w:szCs w:val="18"/>
              </w:rPr>
              <w:t>CO</w:t>
            </w:r>
            <w:r w:rsidRPr="00841C21">
              <w:rPr>
                <w:rFonts w:cs="Calibri"/>
                <w:szCs w:val="18"/>
                <w:vertAlign w:val="subscript"/>
              </w:rPr>
              <w:t>2</w:t>
            </w:r>
            <w:r w:rsidRPr="00841C21">
              <w:rPr>
                <w:rFonts w:cs="Calibri"/>
                <w:szCs w:val="18"/>
              </w:rPr>
              <w:t> </w:t>
            </w:r>
          </w:p>
        </w:tc>
        <w:tc>
          <w:tcPr>
            <w:tcW w:w="1051" w:type="dxa"/>
            <w:shd w:val="clear" w:color="auto" w:fill="auto"/>
            <w:vAlign w:val="center"/>
            <w:hideMark/>
          </w:tcPr>
          <w:p w14:paraId="5D48E732" w14:textId="77777777" w:rsidR="00F51113" w:rsidRPr="00841C21" w:rsidRDefault="00F51113" w:rsidP="00667D42">
            <w:pPr>
              <w:pStyle w:val="TableText"/>
              <w:spacing w:before="30" w:after="30"/>
              <w:jc w:val="center"/>
              <w:rPr>
                <w:rFonts w:cs="Calibri"/>
                <w:szCs w:val="18"/>
              </w:rPr>
            </w:pPr>
            <w:r w:rsidRPr="00841C21">
              <w:rPr>
                <w:rFonts w:cs="Calibri"/>
                <w:szCs w:val="18"/>
              </w:rPr>
              <w:t>2,520</w:t>
            </w:r>
          </w:p>
        </w:tc>
        <w:tc>
          <w:tcPr>
            <w:tcW w:w="1051" w:type="dxa"/>
            <w:gridSpan w:val="2"/>
            <w:shd w:val="clear" w:color="auto" w:fill="auto"/>
            <w:vAlign w:val="center"/>
            <w:hideMark/>
          </w:tcPr>
          <w:p w14:paraId="50DA4BFE" w14:textId="77777777" w:rsidR="00F51113" w:rsidRPr="00841C21" w:rsidRDefault="00F51113" w:rsidP="00667D42">
            <w:pPr>
              <w:pStyle w:val="TableText"/>
              <w:spacing w:before="30" w:after="30"/>
              <w:jc w:val="center"/>
              <w:rPr>
                <w:rFonts w:cs="Calibri"/>
                <w:szCs w:val="18"/>
              </w:rPr>
            </w:pPr>
            <w:r w:rsidRPr="00841C21">
              <w:rPr>
                <w:rFonts w:cs="Calibri"/>
                <w:szCs w:val="18"/>
              </w:rPr>
              <w:t>2,814</w:t>
            </w:r>
          </w:p>
        </w:tc>
        <w:tc>
          <w:tcPr>
            <w:tcW w:w="1052" w:type="dxa"/>
            <w:gridSpan w:val="2"/>
            <w:shd w:val="clear" w:color="auto" w:fill="auto"/>
            <w:vAlign w:val="center"/>
            <w:hideMark/>
          </w:tcPr>
          <w:p w14:paraId="61A23F84" w14:textId="77777777" w:rsidR="00F51113" w:rsidRPr="00841C21" w:rsidRDefault="00F51113" w:rsidP="00667D42">
            <w:pPr>
              <w:pStyle w:val="TableText"/>
              <w:spacing w:before="30" w:after="30"/>
              <w:jc w:val="center"/>
              <w:rPr>
                <w:rFonts w:cs="Calibri"/>
                <w:szCs w:val="18"/>
              </w:rPr>
            </w:pPr>
            <w:r w:rsidRPr="00841C21">
              <w:rPr>
                <w:rFonts w:cs="Calibri"/>
                <w:szCs w:val="18"/>
              </w:rPr>
              <w:t>2,922</w:t>
            </w:r>
          </w:p>
        </w:tc>
        <w:tc>
          <w:tcPr>
            <w:tcW w:w="1051" w:type="dxa"/>
            <w:gridSpan w:val="2"/>
            <w:shd w:val="clear" w:color="auto" w:fill="auto"/>
            <w:vAlign w:val="center"/>
            <w:hideMark/>
          </w:tcPr>
          <w:p w14:paraId="286B888A" w14:textId="77777777" w:rsidR="00F51113" w:rsidRPr="00841C21" w:rsidRDefault="00F51113" w:rsidP="00667D42">
            <w:pPr>
              <w:pStyle w:val="TableText"/>
              <w:spacing w:before="30" w:after="30"/>
              <w:jc w:val="center"/>
              <w:rPr>
                <w:rFonts w:cs="Calibri"/>
                <w:szCs w:val="18"/>
              </w:rPr>
            </w:pPr>
            <w:r w:rsidRPr="00841C21">
              <w:rPr>
                <w:rFonts w:cs="Calibri"/>
                <w:szCs w:val="18"/>
              </w:rPr>
              <w:t>3,209</w:t>
            </w:r>
          </w:p>
        </w:tc>
        <w:tc>
          <w:tcPr>
            <w:tcW w:w="1051" w:type="dxa"/>
            <w:gridSpan w:val="2"/>
            <w:shd w:val="clear" w:color="auto" w:fill="auto"/>
            <w:vAlign w:val="center"/>
            <w:hideMark/>
          </w:tcPr>
          <w:p w14:paraId="4061EAF4" w14:textId="77777777" w:rsidR="00F51113" w:rsidRPr="00841C21" w:rsidRDefault="00F51113" w:rsidP="00667D42">
            <w:pPr>
              <w:pStyle w:val="TableText"/>
              <w:spacing w:before="30" w:after="30"/>
              <w:jc w:val="center"/>
              <w:rPr>
                <w:rFonts w:cs="Calibri"/>
                <w:szCs w:val="18"/>
              </w:rPr>
            </w:pPr>
            <w:r w:rsidRPr="00841C21">
              <w:rPr>
                <w:rFonts w:cs="Calibri"/>
                <w:szCs w:val="18"/>
              </w:rPr>
              <w:t>3,319</w:t>
            </w:r>
          </w:p>
        </w:tc>
        <w:tc>
          <w:tcPr>
            <w:tcW w:w="1052" w:type="dxa"/>
            <w:gridSpan w:val="2"/>
            <w:shd w:val="clear" w:color="auto" w:fill="auto"/>
            <w:vAlign w:val="center"/>
            <w:hideMark/>
          </w:tcPr>
          <w:p w14:paraId="077F5DCC" w14:textId="77777777" w:rsidR="00F51113" w:rsidRPr="00841C21" w:rsidRDefault="00F51113" w:rsidP="00667D42">
            <w:pPr>
              <w:pStyle w:val="TableText"/>
              <w:spacing w:before="30" w:after="30"/>
              <w:jc w:val="center"/>
              <w:rPr>
                <w:rFonts w:cs="Calibri"/>
                <w:szCs w:val="18"/>
              </w:rPr>
            </w:pPr>
            <w:r w:rsidRPr="00841C21">
              <w:rPr>
                <w:rFonts w:cs="Calibri"/>
                <w:szCs w:val="18"/>
              </w:rPr>
              <w:t>3,503</w:t>
            </w:r>
          </w:p>
        </w:tc>
        <w:tc>
          <w:tcPr>
            <w:tcW w:w="1106" w:type="dxa"/>
            <w:shd w:val="clear" w:color="auto" w:fill="auto"/>
            <w:vAlign w:val="center"/>
            <w:hideMark/>
          </w:tcPr>
          <w:p w14:paraId="3C3E15B4" w14:textId="77777777" w:rsidR="00F51113" w:rsidRPr="00841C21" w:rsidRDefault="00F51113" w:rsidP="00667D42">
            <w:pPr>
              <w:pStyle w:val="TableText"/>
              <w:spacing w:before="30" w:after="30"/>
              <w:jc w:val="center"/>
              <w:rPr>
                <w:rFonts w:cs="Calibri"/>
                <w:szCs w:val="18"/>
              </w:rPr>
            </w:pPr>
            <w:r w:rsidRPr="00841C21">
              <w:rPr>
                <w:rFonts w:cs="Calibri"/>
                <w:szCs w:val="18"/>
              </w:rPr>
              <w:t>2,868</w:t>
            </w:r>
          </w:p>
        </w:tc>
      </w:tr>
      <w:tr w:rsidR="00F51113" w:rsidRPr="00841C21" w14:paraId="690DB004" w14:textId="77777777">
        <w:trPr>
          <w:gridAfter w:val="1"/>
          <w:wAfter w:w="38" w:type="dxa"/>
        </w:trPr>
        <w:tc>
          <w:tcPr>
            <w:tcW w:w="1045" w:type="dxa"/>
            <w:gridSpan w:val="2"/>
            <w:shd w:val="clear" w:color="auto" w:fill="auto"/>
            <w:vAlign w:val="center"/>
            <w:hideMark/>
          </w:tcPr>
          <w:p w14:paraId="2F5E0A43" w14:textId="77777777" w:rsidR="00F51113" w:rsidRPr="00841C21" w:rsidRDefault="00F51113" w:rsidP="00667D42">
            <w:pPr>
              <w:pStyle w:val="TableText"/>
              <w:spacing w:before="30" w:after="30"/>
              <w:rPr>
                <w:rFonts w:cs="Calibri"/>
                <w:szCs w:val="18"/>
              </w:rPr>
            </w:pPr>
            <w:r w:rsidRPr="00841C21">
              <w:rPr>
                <w:rFonts w:cs="Calibri"/>
                <w:szCs w:val="18"/>
              </w:rPr>
              <w:t>CH</w:t>
            </w:r>
            <w:r w:rsidRPr="00841C21">
              <w:rPr>
                <w:rFonts w:cs="Calibri"/>
                <w:szCs w:val="18"/>
                <w:vertAlign w:val="subscript"/>
              </w:rPr>
              <w:t>4</w:t>
            </w:r>
            <w:r w:rsidRPr="00841C21">
              <w:rPr>
                <w:rFonts w:cs="Calibri"/>
                <w:szCs w:val="18"/>
              </w:rPr>
              <w:t> </w:t>
            </w:r>
          </w:p>
        </w:tc>
        <w:tc>
          <w:tcPr>
            <w:tcW w:w="1051" w:type="dxa"/>
            <w:shd w:val="clear" w:color="auto" w:fill="auto"/>
            <w:vAlign w:val="center"/>
            <w:hideMark/>
          </w:tcPr>
          <w:p w14:paraId="45BC77CB" w14:textId="77777777" w:rsidR="00F51113" w:rsidRPr="00841C21" w:rsidRDefault="00F51113" w:rsidP="00667D42">
            <w:pPr>
              <w:pStyle w:val="TableText"/>
              <w:spacing w:before="30" w:after="30"/>
              <w:jc w:val="center"/>
              <w:rPr>
                <w:rFonts w:cs="Calibri"/>
                <w:szCs w:val="18"/>
              </w:rPr>
            </w:pPr>
            <w:r w:rsidRPr="00841C21">
              <w:rPr>
                <w:rFonts w:cs="Calibri"/>
                <w:szCs w:val="18"/>
              </w:rPr>
              <w:t>31</w:t>
            </w:r>
          </w:p>
        </w:tc>
        <w:tc>
          <w:tcPr>
            <w:tcW w:w="1051" w:type="dxa"/>
            <w:gridSpan w:val="2"/>
            <w:shd w:val="clear" w:color="auto" w:fill="auto"/>
            <w:vAlign w:val="center"/>
            <w:hideMark/>
          </w:tcPr>
          <w:p w14:paraId="6A4C7D36" w14:textId="77777777" w:rsidR="00F51113" w:rsidRPr="00841C21" w:rsidRDefault="00F51113" w:rsidP="00667D42">
            <w:pPr>
              <w:pStyle w:val="TableText"/>
              <w:spacing w:before="30" w:after="30"/>
              <w:jc w:val="center"/>
              <w:rPr>
                <w:rFonts w:cs="Calibri"/>
                <w:szCs w:val="18"/>
              </w:rPr>
            </w:pPr>
            <w:r w:rsidRPr="00841C21">
              <w:rPr>
                <w:rFonts w:cs="Calibri"/>
                <w:szCs w:val="18"/>
              </w:rPr>
              <w:t>89</w:t>
            </w:r>
          </w:p>
        </w:tc>
        <w:tc>
          <w:tcPr>
            <w:tcW w:w="1052" w:type="dxa"/>
            <w:gridSpan w:val="2"/>
            <w:shd w:val="clear" w:color="auto" w:fill="auto"/>
            <w:vAlign w:val="center"/>
            <w:hideMark/>
          </w:tcPr>
          <w:p w14:paraId="136C71FD" w14:textId="77777777" w:rsidR="00F51113" w:rsidRPr="00841C21" w:rsidRDefault="00F51113" w:rsidP="00667D42">
            <w:pPr>
              <w:pStyle w:val="TableText"/>
              <w:spacing w:before="30" w:after="30"/>
              <w:jc w:val="center"/>
              <w:rPr>
                <w:rFonts w:cs="Calibri"/>
                <w:szCs w:val="18"/>
              </w:rPr>
            </w:pPr>
            <w:r w:rsidRPr="00841C21">
              <w:rPr>
                <w:rFonts w:cs="Calibri"/>
                <w:szCs w:val="18"/>
              </w:rPr>
              <w:t>155</w:t>
            </w:r>
          </w:p>
        </w:tc>
        <w:tc>
          <w:tcPr>
            <w:tcW w:w="1051" w:type="dxa"/>
            <w:gridSpan w:val="2"/>
            <w:shd w:val="clear" w:color="auto" w:fill="auto"/>
            <w:vAlign w:val="center"/>
            <w:hideMark/>
          </w:tcPr>
          <w:p w14:paraId="425DA391" w14:textId="77777777" w:rsidR="00F51113" w:rsidRPr="00841C21" w:rsidRDefault="00F51113" w:rsidP="00667D42">
            <w:pPr>
              <w:pStyle w:val="TableText"/>
              <w:spacing w:before="30" w:after="30"/>
              <w:jc w:val="center"/>
              <w:rPr>
                <w:rFonts w:cs="Calibri"/>
                <w:szCs w:val="18"/>
              </w:rPr>
            </w:pPr>
            <w:r w:rsidRPr="00841C21">
              <w:rPr>
                <w:rFonts w:cs="Calibri"/>
                <w:szCs w:val="18"/>
              </w:rPr>
              <w:t>22</w:t>
            </w:r>
          </w:p>
        </w:tc>
        <w:tc>
          <w:tcPr>
            <w:tcW w:w="1051" w:type="dxa"/>
            <w:gridSpan w:val="2"/>
            <w:shd w:val="clear" w:color="auto" w:fill="auto"/>
            <w:vAlign w:val="center"/>
            <w:hideMark/>
          </w:tcPr>
          <w:p w14:paraId="1D58D568" w14:textId="77777777" w:rsidR="00F51113" w:rsidRPr="00841C21" w:rsidRDefault="00F51113" w:rsidP="00667D42">
            <w:pPr>
              <w:pStyle w:val="TableText"/>
              <w:spacing w:before="30" w:after="30"/>
              <w:jc w:val="center"/>
              <w:rPr>
                <w:rFonts w:cs="Calibri"/>
                <w:szCs w:val="18"/>
              </w:rPr>
            </w:pPr>
            <w:r w:rsidRPr="00841C21">
              <w:rPr>
                <w:rFonts w:cs="Calibri"/>
                <w:szCs w:val="18"/>
              </w:rPr>
              <w:t>53</w:t>
            </w:r>
          </w:p>
        </w:tc>
        <w:tc>
          <w:tcPr>
            <w:tcW w:w="1052" w:type="dxa"/>
            <w:gridSpan w:val="2"/>
            <w:shd w:val="clear" w:color="auto" w:fill="auto"/>
            <w:vAlign w:val="center"/>
            <w:hideMark/>
          </w:tcPr>
          <w:p w14:paraId="73FFC78D" w14:textId="77777777" w:rsidR="00F51113" w:rsidRPr="00841C21" w:rsidRDefault="00F51113" w:rsidP="00667D42">
            <w:pPr>
              <w:pStyle w:val="TableText"/>
              <w:spacing w:before="30" w:after="30"/>
              <w:jc w:val="center"/>
              <w:rPr>
                <w:rFonts w:cs="Calibri"/>
                <w:szCs w:val="18"/>
              </w:rPr>
            </w:pPr>
            <w:r w:rsidRPr="00841C21">
              <w:rPr>
                <w:rFonts w:cs="Calibri"/>
                <w:szCs w:val="18"/>
              </w:rPr>
              <w:t>120</w:t>
            </w:r>
          </w:p>
        </w:tc>
        <w:tc>
          <w:tcPr>
            <w:tcW w:w="1106" w:type="dxa"/>
            <w:shd w:val="clear" w:color="auto" w:fill="auto"/>
            <w:vAlign w:val="center"/>
            <w:hideMark/>
          </w:tcPr>
          <w:p w14:paraId="36976515" w14:textId="77777777" w:rsidR="00F51113" w:rsidRPr="00841C21" w:rsidRDefault="00F51113" w:rsidP="00667D42">
            <w:pPr>
              <w:pStyle w:val="TableText"/>
              <w:spacing w:before="30" w:after="30"/>
              <w:jc w:val="center"/>
              <w:rPr>
                <w:rFonts w:cs="Calibri"/>
                <w:szCs w:val="18"/>
              </w:rPr>
            </w:pPr>
            <w:r w:rsidRPr="00841C21">
              <w:rPr>
                <w:rFonts w:cs="Calibri"/>
                <w:szCs w:val="18"/>
              </w:rPr>
              <w:t>108</w:t>
            </w:r>
          </w:p>
        </w:tc>
      </w:tr>
      <w:tr w:rsidR="00F51113" w:rsidRPr="00841C21" w14:paraId="6A9BB428" w14:textId="77777777">
        <w:trPr>
          <w:gridAfter w:val="1"/>
          <w:wAfter w:w="38" w:type="dxa"/>
        </w:trPr>
        <w:tc>
          <w:tcPr>
            <w:tcW w:w="1045" w:type="dxa"/>
            <w:gridSpan w:val="2"/>
            <w:shd w:val="clear" w:color="auto" w:fill="auto"/>
            <w:vAlign w:val="center"/>
            <w:hideMark/>
          </w:tcPr>
          <w:p w14:paraId="4D267E0B" w14:textId="77777777" w:rsidR="00F51113" w:rsidRPr="00841C21" w:rsidRDefault="00F51113" w:rsidP="00667D42">
            <w:pPr>
              <w:pStyle w:val="TableText"/>
              <w:spacing w:before="30" w:after="30"/>
              <w:rPr>
                <w:rFonts w:cs="Calibri"/>
                <w:szCs w:val="18"/>
              </w:rPr>
            </w:pPr>
            <w:r w:rsidRPr="00841C21">
              <w:rPr>
                <w:rFonts w:cs="Calibri"/>
                <w:szCs w:val="18"/>
              </w:rPr>
              <w:t>N</w:t>
            </w:r>
            <w:r w:rsidRPr="00841C21">
              <w:rPr>
                <w:rFonts w:cs="Calibri"/>
                <w:szCs w:val="18"/>
                <w:vertAlign w:val="subscript"/>
              </w:rPr>
              <w:t>2</w:t>
            </w:r>
            <w:r w:rsidRPr="00841C21">
              <w:rPr>
                <w:rFonts w:cs="Calibri"/>
                <w:szCs w:val="18"/>
              </w:rPr>
              <w:t>O </w:t>
            </w:r>
          </w:p>
        </w:tc>
        <w:tc>
          <w:tcPr>
            <w:tcW w:w="1051" w:type="dxa"/>
            <w:shd w:val="clear" w:color="auto" w:fill="auto"/>
            <w:vAlign w:val="center"/>
            <w:hideMark/>
          </w:tcPr>
          <w:p w14:paraId="58BE37BF" w14:textId="77777777" w:rsidR="00F51113" w:rsidRPr="00841C21" w:rsidRDefault="00F51113" w:rsidP="00667D42">
            <w:pPr>
              <w:pStyle w:val="TableText"/>
              <w:spacing w:before="30" w:after="30"/>
              <w:jc w:val="center"/>
              <w:rPr>
                <w:rFonts w:cs="Calibri"/>
                <w:szCs w:val="18"/>
              </w:rPr>
            </w:pPr>
            <w:r w:rsidRPr="00841C21">
              <w:rPr>
                <w:rFonts w:cs="Calibri"/>
                <w:szCs w:val="18"/>
              </w:rPr>
              <w:t>89</w:t>
            </w:r>
          </w:p>
        </w:tc>
        <w:tc>
          <w:tcPr>
            <w:tcW w:w="1051" w:type="dxa"/>
            <w:gridSpan w:val="2"/>
            <w:shd w:val="clear" w:color="auto" w:fill="auto"/>
            <w:vAlign w:val="center"/>
            <w:hideMark/>
          </w:tcPr>
          <w:p w14:paraId="146D8CBB" w14:textId="77777777" w:rsidR="00F51113" w:rsidRPr="00841C21" w:rsidRDefault="00F51113" w:rsidP="00667D42">
            <w:pPr>
              <w:pStyle w:val="TableText"/>
              <w:spacing w:before="30" w:after="30"/>
              <w:jc w:val="center"/>
              <w:rPr>
                <w:rFonts w:cs="Calibri"/>
                <w:szCs w:val="18"/>
              </w:rPr>
            </w:pPr>
            <w:r w:rsidRPr="00841C21">
              <w:rPr>
                <w:rFonts w:cs="Calibri"/>
                <w:szCs w:val="18"/>
              </w:rPr>
              <w:t>70</w:t>
            </w:r>
          </w:p>
        </w:tc>
        <w:tc>
          <w:tcPr>
            <w:tcW w:w="1052" w:type="dxa"/>
            <w:gridSpan w:val="2"/>
            <w:shd w:val="clear" w:color="auto" w:fill="auto"/>
            <w:vAlign w:val="center"/>
            <w:hideMark/>
          </w:tcPr>
          <w:p w14:paraId="49BC9C74" w14:textId="77777777" w:rsidR="00F51113" w:rsidRPr="00841C21" w:rsidRDefault="00F51113" w:rsidP="00667D42">
            <w:pPr>
              <w:pStyle w:val="TableText"/>
              <w:spacing w:before="30" w:after="30"/>
              <w:jc w:val="center"/>
              <w:rPr>
                <w:rFonts w:cs="Calibri"/>
                <w:szCs w:val="18"/>
              </w:rPr>
            </w:pPr>
            <w:r w:rsidRPr="00841C21">
              <w:rPr>
                <w:rFonts w:cs="Calibri"/>
                <w:szCs w:val="18"/>
              </w:rPr>
              <w:t>55</w:t>
            </w:r>
          </w:p>
        </w:tc>
        <w:tc>
          <w:tcPr>
            <w:tcW w:w="1051" w:type="dxa"/>
            <w:gridSpan w:val="2"/>
            <w:shd w:val="clear" w:color="auto" w:fill="auto"/>
            <w:vAlign w:val="center"/>
            <w:hideMark/>
          </w:tcPr>
          <w:p w14:paraId="63CAE2A8" w14:textId="77777777" w:rsidR="00F51113" w:rsidRPr="00841C21" w:rsidRDefault="00F51113" w:rsidP="00667D42">
            <w:pPr>
              <w:pStyle w:val="TableText"/>
              <w:spacing w:before="30" w:after="30"/>
              <w:jc w:val="center"/>
              <w:rPr>
                <w:rFonts w:cs="Calibri"/>
                <w:szCs w:val="18"/>
              </w:rPr>
            </w:pPr>
            <w:r w:rsidRPr="00841C21">
              <w:rPr>
                <w:rFonts w:cs="Calibri"/>
                <w:szCs w:val="18"/>
              </w:rPr>
              <w:t>40</w:t>
            </w:r>
          </w:p>
        </w:tc>
        <w:tc>
          <w:tcPr>
            <w:tcW w:w="1051" w:type="dxa"/>
            <w:gridSpan w:val="2"/>
            <w:shd w:val="clear" w:color="auto" w:fill="auto"/>
            <w:vAlign w:val="center"/>
            <w:hideMark/>
          </w:tcPr>
          <w:p w14:paraId="79664309" w14:textId="77777777" w:rsidR="00F51113" w:rsidRPr="00841C21" w:rsidRDefault="00F51113" w:rsidP="00667D42">
            <w:pPr>
              <w:pStyle w:val="TableText"/>
              <w:spacing w:before="30" w:after="30"/>
              <w:jc w:val="center"/>
              <w:rPr>
                <w:rFonts w:cs="Calibri"/>
                <w:szCs w:val="18"/>
              </w:rPr>
            </w:pPr>
            <w:r w:rsidRPr="00841C21">
              <w:rPr>
                <w:rFonts w:cs="Calibri"/>
                <w:szCs w:val="18"/>
              </w:rPr>
              <w:t>48</w:t>
            </w:r>
          </w:p>
        </w:tc>
        <w:tc>
          <w:tcPr>
            <w:tcW w:w="1052" w:type="dxa"/>
            <w:gridSpan w:val="2"/>
            <w:shd w:val="clear" w:color="auto" w:fill="auto"/>
            <w:vAlign w:val="center"/>
            <w:hideMark/>
          </w:tcPr>
          <w:p w14:paraId="6326A1B6" w14:textId="77777777" w:rsidR="00F51113" w:rsidRPr="00841C21" w:rsidRDefault="00F51113" w:rsidP="00667D42">
            <w:pPr>
              <w:pStyle w:val="TableText"/>
              <w:spacing w:before="30" w:after="30"/>
              <w:jc w:val="center"/>
              <w:rPr>
                <w:rFonts w:cs="Calibri"/>
                <w:szCs w:val="18"/>
              </w:rPr>
            </w:pPr>
            <w:r w:rsidRPr="00841C21">
              <w:rPr>
                <w:rFonts w:cs="Calibri"/>
                <w:szCs w:val="18"/>
              </w:rPr>
              <w:t>53</w:t>
            </w:r>
          </w:p>
        </w:tc>
        <w:tc>
          <w:tcPr>
            <w:tcW w:w="1106" w:type="dxa"/>
            <w:shd w:val="clear" w:color="auto" w:fill="auto"/>
            <w:vAlign w:val="center"/>
            <w:hideMark/>
          </w:tcPr>
          <w:p w14:paraId="5C169D41" w14:textId="77777777" w:rsidR="00F51113" w:rsidRPr="00841C21" w:rsidRDefault="00F51113" w:rsidP="00667D42">
            <w:pPr>
              <w:pStyle w:val="TableText"/>
              <w:spacing w:before="30" w:after="30"/>
              <w:jc w:val="center"/>
              <w:rPr>
                <w:rFonts w:cs="Calibri"/>
                <w:szCs w:val="18"/>
              </w:rPr>
            </w:pPr>
            <w:r w:rsidRPr="00841C21">
              <w:rPr>
                <w:rFonts w:cs="Calibri"/>
                <w:szCs w:val="18"/>
              </w:rPr>
              <w:t>66</w:t>
            </w:r>
          </w:p>
        </w:tc>
      </w:tr>
      <w:tr w:rsidR="00F51113" w:rsidRPr="00841C21" w14:paraId="0A2B9E5A" w14:textId="77777777">
        <w:trPr>
          <w:gridAfter w:val="1"/>
          <w:wAfter w:w="38" w:type="dxa"/>
        </w:trPr>
        <w:tc>
          <w:tcPr>
            <w:tcW w:w="1045" w:type="dxa"/>
            <w:gridSpan w:val="2"/>
            <w:shd w:val="clear" w:color="auto" w:fill="auto"/>
            <w:vAlign w:val="center"/>
            <w:hideMark/>
          </w:tcPr>
          <w:p w14:paraId="725B51CC" w14:textId="77777777" w:rsidR="00F51113" w:rsidRPr="00841C21" w:rsidRDefault="00F51113" w:rsidP="00667D42">
            <w:pPr>
              <w:pStyle w:val="TableText"/>
              <w:spacing w:before="30" w:after="30"/>
              <w:rPr>
                <w:rFonts w:cs="Calibri"/>
                <w:szCs w:val="18"/>
              </w:rPr>
            </w:pPr>
            <w:r w:rsidRPr="00841C21">
              <w:rPr>
                <w:rFonts w:cs="Calibri"/>
                <w:szCs w:val="18"/>
              </w:rPr>
              <w:t>HFCs </w:t>
            </w:r>
          </w:p>
        </w:tc>
        <w:tc>
          <w:tcPr>
            <w:tcW w:w="1051" w:type="dxa"/>
            <w:shd w:val="clear" w:color="auto" w:fill="auto"/>
            <w:vAlign w:val="center"/>
            <w:hideMark/>
          </w:tcPr>
          <w:p w14:paraId="345DF533" w14:textId="77777777" w:rsidR="00F51113" w:rsidRPr="00841C21" w:rsidRDefault="00F51113" w:rsidP="00667D42">
            <w:pPr>
              <w:pStyle w:val="TableText"/>
              <w:spacing w:before="30" w:after="30"/>
              <w:jc w:val="center"/>
              <w:rPr>
                <w:rFonts w:cs="Calibri"/>
                <w:szCs w:val="18"/>
              </w:rPr>
            </w:pPr>
            <w:r w:rsidRPr="00841C21">
              <w:rPr>
                <w:rFonts w:cs="Calibri"/>
                <w:szCs w:val="18"/>
              </w:rPr>
              <w:t>0</w:t>
            </w:r>
          </w:p>
        </w:tc>
        <w:tc>
          <w:tcPr>
            <w:tcW w:w="1051" w:type="dxa"/>
            <w:gridSpan w:val="2"/>
            <w:shd w:val="clear" w:color="auto" w:fill="auto"/>
            <w:vAlign w:val="center"/>
            <w:hideMark/>
          </w:tcPr>
          <w:p w14:paraId="13946332" w14:textId="77777777" w:rsidR="00F51113" w:rsidRPr="00841C21" w:rsidRDefault="00F51113" w:rsidP="00667D42">
            <w:pPr>
              <w:pStyle w:val="TableText"/>
              <w:spacing w:before="30" w:after="30"/>
              <w:jc w:val="center"/>
              <w:rPr>
                <w:rFonts w:cs="Calibri"/>
                <w:szCs w:val="18"/>
              </w:rPr>
            </w:pPr>
            <w:r w:rsidRPr="00841C21">
              <w:rPr>
                <w:rFonts w:cs="Calibri"/>
                <w:szCs w:val="18"/>
              </w:rPr>
              <w:t>29</w:t>
            </w:r>
          </w:p>
        </w:tc>
        <w:tc>
          <w:tcPr>
            <w:tcW w:w="1052" w:type="dxa"/>
            <w:gridSpan w:val="2"/>
            <w:shd w:val="clear" w:color="auto" w:fill="auto"/>
            <w:vAlign w:val="center"/>
            <w:hideMark/>
          </w:tcPr>
          <w:p w14:paraId="3EAE3B72" w14:textId="77777777" w:rsidR="00F51113" w:rsidRPr="00841C21" w:rsidRDefault="00F51113" w:rsidP="00667D42">
            <w:pPr>
              <w:pStyle w:val="TableText"/>
              <w:spacing w:before="30" w:after="30"/>
              <w:jc w:val="center"/>
              <w:rPr>
                <w:rFonts w:cs="Calibri"/>
                <w:szCs w:val="18"/>
              </w:rPr>
            </w:pPr>
            <w:r w:rsidRPr="00841C21">
              <w:rPr>
                <w:rFonts w:cs="Calibri"/>
                <w:szCs w:val="18"/>
              </w:rPr>
              <w:t>231</w:t>
            </w:r>
          </w:p>
        </w:tc>
        <w:tc>
          <w:tcPr>
            <w:tcW w:w="1051" w:type="dxa"/>
            <w:gridSpan w:val="2"/>
            <w:shd w:val="clear" w:color="auto" w:fill="auto"/>
            <w:vAlign w:val="center"/>
            <w:hideMark/>
          </w:tcPr>
          <w:p w14:paraId="3D2B6CCA" w14:textId="77777777" w:rsidR="00F51113" w:rsidRPr="00841C21" w:rsidRDefault="00F51113" w:rsidP="00667D42">
            <w:pPr>
              <w:pStyle w:val="TableText"/>
              <w:spacing w:before="30" w:after="30"/>
              <w:jc w:val="center"/>
              <w:rPr>
                <w:rFonts w:cs="Calibri"/>
                <w:szCs w:val="18"/>
              </w:rPr>
            </w:pPr>
            <w:r w:rsidRPr="00841C21">
              <w:rPr>
                <w:rFonts w:cs="Calibri"/>
                <w:szCs w:val="18"/>
              </w:rPr>
              <w:t>649</w:t>
            </w:r>
          </w:p>
        </w:tc>
        <w:tc>
          <w:tcPr>
            <w:tcW w:w="1051" w:type="dxa"/>
            <w:gridSpan w:val="2"/>
            <w:shd w:val="clear" w:color="auto" w:fill="auto"/>
            <w:vAlign w:val="center"/>
            <w:hideMark/>
          </w:tcPr>
          <w:p w14:paraId="45F95C32" w14:textId="77777777" w:rsidR="00F51113" w:rsidRPr="00841C21" w:rsidRDefault="00F51113" w:rsidP="00667D42">
            <w:pPr>
              <w:pStyle w:val="TableText"/>
              <w:spacing w:before="30" w:after="30"/>
              <w:jc w:val="center"/>
              <w:rPr>
                <w:rFonts w:cs="Calibri"/>
                <w:szCs w:val="18"/>
              </w:rPr>
            </w:pPr>
            <w:r w:rsidRPr="00841C21">
              <w:rPr>
                <w:rFonts w:cs="Calibri"/>
                <w:szCs w:val="18"/>
              </w:rPr>
              <w:t>1,010</w:t>
            </w:r>
          </w:p>
        </w:tc>
        <w:tc>
          <w:tcPr>
            <w:tcW w:w="1052" w:type="dxa"/>
            <w:gridSpan w:val="2"/>
            <w:shd w:val="clear" w:color="auto" w:fill="auto"/>
            <w:vAlign w:val="center"/>
            <w:hideMark/>
          </w:tcPr>
          <w:p w14:paraId="0A52C9B4" w14:textId="77777777" w:rsidR="00F51113" w:rsidRPr="00841C21" w:rsidRDefault="00F51113" w:rsidP="00667D42">
            <w:pPr>
              <w:pStyle w:val="TableText"/>
              <w:spacing w:before="30" w:after="30"/>
              <w:jc w:val="center"/>
              <w:rPr>
                <w:rFonts w:cs="Calibri"/>
                <w:szCs w:val="18"/>
              </w:rPr>
            </w:pPr>
            <w:r w:rsidRPr="00841C21">
              <w:rPr>
                <w:rFonts w:cs="Calibri"/>
                <w:szCs w:val="18"/>
              </w:rPr>
              <w:t>1,198</w:t>
            </w:r>
          </w:p>
        </w:tc>
        <w:tc>
          <w:tcPr>
            <w:tcW w:w="1106" w:type="dxa"/>
            <w:shd w:val="clear" w:color="auto" w:fill="auto"/>
            <w:vAlign w:val="center"/>
            <w:hideMark/>
          </w:tcPr>
          <w:p w14:paraId="2510A235" w14:textId="77777777" w:rsidR="00F51113" w:rsidRPr="00841C21" w:rsidRDefault="00F51113" w:rsidP="00667D42">
            <w:pPr>
              <w:pStyle w:val="TableText"/>
              <w:spacing w:before="30" w:after="30"/>
              <w:jc w:val="center"/>
              <w:rPr>
                <w:rFonts w:cs="Calibri"/>
                <w:szCs w:val="18"/>
              </w:rPr>
            </w:pPr>
            <w:r w:rsidRPr="00841C21">
              <w:rPr>
                <w:rFonts w:cs="Calibri"/>
                <w:szCs w:val="18"/>
              </w:rPr>
              <w:t>1,343</w:t>
            </w:r>
          </w:p>
        </w:tc>
      </w:tr>
      <w:tr w:rsidR="00F51113" w:rsidRPr="00841C21" w14:paraId="4702D46C" w14:textId="77777777">
        <w:trPr>
          <w:gridAfter w:val="1"/>
          <w:wAfter w:w="38" w:type="dxa"/>
        </w:trPr>
        <w:tc>
          <w:tcPr>
            <w:tcW w:w="1045" w:type="dxa"/>
            <w:gridSpan w:val="2"/>
            <w:shd w:val="clear" w:color="auto" w:fill="auto"/>
            <w:vAlign w:val="center"/>
            <w:hideMark/>
          </w:tcPr>
          <w:p w14:paraId="4666A708" w14:textId="77777777" w:rsidR="00F51113" w:rsidRPr="00841C21" w:rsidRDefault="00F51113" w:rsidP="00667D42">
            <w:pPr>
              <w:pStyle w:val="TableText"/>
              <w:spacing w:before="30" w:after="30"/>
              <w:rPr>
                <w:rFonts w:cs="Calibri"/>
                <w:szCs w:val="18"/>
              </w:rPr>
            </w:pPr>
            <w:r w:rsidRPr="00841C21">
              <w:rPr>
                <w:rFonts w:cs="Calibri"/>
                <w:szCs w:val="18"/>
              </w:rPr>
              <w:t>PFCs </w:t>
            </w:r>
          </w:p>
        </w:tc>
        <w:tc>
          <w:tcPr>
            <w:tcW w:w="1051" w:type="dxa"/>
            <w:shd w:val="clear" w:color="auto" w:fill="auto"/>
            <w:vAlign w:val="center"/>
            <w:hideMark/>
          </w:tcPr>
          <w:p w14:paraId="6B22AA8E" w14:textId="77777777" w:rsidR="00F51113" w:rsidRPr="00841C21" w:rsidRDefault="00F51113" w:rsidP="00667D42">
            <w:pPr>
              <w:pStyle w:val="TableText"/>
              <w:spacing w:before="30" w:after="30"/>
              <w:jc w:val="center"/>
              <w:rPr>
                <w:rFonts w:cs="Calibri"/>
                <w:szCs w:val="18"/>
              </w:rPr>
            </w:pPr>
            <w:r w:rsidRPr="00841C21">
              <w:rPr>
                <w:rFonts w:cs="Calibri"/>
                <w:szCs w:val="18"/>
              </w:rPr>
              <w:t>818</w:t>
            </w:r>
          </w:p>
        </w:tc>
        <w:tc>
          <w:tcPr>
            <w:tcW w:w="1051" w:type="dxa"/>
            <w:gridSpan w:val="2"/>
            <w:shd w:val="clear" w:color="auto" w:fill="auto"/>
            <w:vAlign w:val="center"/>
            <w:hideMark/>
          </w:tcPr>
          <w:p w14:paraId="2BF602D2" w14:textId="77777777" w:rsidR="00F51113" w:rsidRPr="00841C21" w:rsidRDefault="00F51113" w:rsidP="00667D42">
            <w:pPr>
              <w:pStyle w:val="TableText"/>
              <w:spacing w:before="30" w:after="30"/>
              <w:jc w:val="center"/>
              <w:rPr>
                <w:rFonts w:cs="Calibri"/>
                <w:szCs w:val="18"/>
              </w:rPr>
            </w:pPr>
            <w:r w:rsidRPr="00841C21">
              <w:rPr>
                <w:rFonts w:cs="Calibri"/>
                <w:szCs w:val="18"/>
              </w:rPr>
              <w:t>139</w:t>
            </w:r>
          </w:p>
        </w:tc>
        <w:tc>
          <w:tcPr>
            <w:tcW w:w="1052" w:type="dxa"/>
            <w:gridSpan w:val="2"/>
            <w:shd w:val="clear" w:color="auto" w:fill="auto"/>
            <w:vAlign w:val="center"/>
            <w:hideMark/>
          </w:tcPr>
          <w:p w14:paraId="17D7083C" w14:textId="77777777" w:rsidR="00F51113" w:rsidRPr="00841C21" w:rsidRDefault="00F51113" w:rsidP="00667D42">
            <w:pPr>
              <w:pStyle w:val="TableText"/>
              <w:spacing w:before="30" w:after="30"/>
              <w:jc w:val="center"/>
              <w:rPr>
                <w:rFonts w:cs="Calibri"/>
                <w:szCs w:val="18"/>
              </w:rPr>
            </w:pPr>
            <w:r w:rsidRPr="00841C21">
              <w:rPr>
                <w:rFonts w:cs="Calibri"/>
                <w:szCs w:val="18"/>
              </w:rPr>
              <w:t>85</w:t>
            </w:r>
          </w:p>
        </w:tc>
        <w:tc>
          <w:tcPr>
            <w:tcW w:w="1051" w:type="dxa"/>
            <w:gridSpan w:val="2"/>
            <w:shd w:val="clear" w:color="auto" w:fill="auto"/>
            <w:vAlign w:val="center"/>
            <w:hideMark/>
          </w:tcPr>
          <w:p w14:paraId="2F63A663" w14:textId="77777777" w:rsidR="00F51113" w:rsidRPr="00841C21" w:rsidRDefault="00F51113" w:rsidP="00667D42">
            <w:pPr>
              <w:pStyle w:val="TableText"/>
              <w:spacing w:before="30" w:after="30"/>
              <w:jc w:val="center"/>
              <w:rPr>
                <w:rFonts w:cs="Calibri"/>
                <w:szCs w:val="18"/>
              </w:rPr>
            </w:pPr>
            <w:r w:rsidRPr="00841C21">
              <w:rPr>
                <w:rFonts w:cs="Calibri"/>
                <w:szCs w:val="18"/>
              </w:rPr>
              <w:t>62</w:t>
            </w:r>
          </w:p>
        </w:tc>
        <w:tc>
          <w:tcPr>
            <w:tcW w:w="1051" w:type="dxa"/>
            <w:gridSpan w:val="2"/>
            <w:shd w:val="clear" w:color="auto" w:fill="auto"/>
            <w:vAlign w:val="center"/>
            <w:hideMark/>
          </w:tcPr>
          <w:p w14:paraId="1CF2ED79" w14:textId="77777777" w:rsidR="00F51113" w:rsidRPr="00841C21" w:rsidRDefault="00F51113" w:rsidP="00667D42">
            <w:pPr>
              <w:pStyle w:val="TableText"/>
              <w:spacing w:before="30" w:after="30"/>
              <w:jc w:val="center"/>
              <w:rPr>
                <w:rFonts w:cs="Calibri"/>
                <w:szCs w:val="18"/>
              </w:rPr>
            </w:pPr>
            <w:r w:rsidRPr="00841C21">
              <w:rPr>
                <w:rFonts w:cs="Calibri"/>
                <w:szCs w:val="18"/>
              </w:rPr>
              <w:t>43</w:t>
            </w:r>
          </w:p>
        </w:tc>
        <w:tc>
          <w:tcPr>
            <w:tcW w:w="1052" w:type="dxa"/>
            <w:gridSpan w:val="2"/>
            <w:shd w:val="clear" w:color="auto" w:fill="auto"/>
            <w:vAlign w:val="center"/>
            <w:hideMark/>
          </w:tcPr>
          <w:p w14:paraId="2E8CF5B4" w14:textId="77777777" w:rsidR="00F51113" w:rsidRPr="00841C21" w:rsidRDefault="00F51113" w:rsidP="00667D42">
            <w:pPr>
              <w:pStyle w:val="TableText"/>
              <w:spacing w:before="30" w:after="30"/>
              <w:jc w:val="center"/>
              <w:rPr>
                <w:rFonts w:cs="Calibri"/>
                <w:szCs w:val="18"/>
              </w:rPr>
            </w:pPr>
            <w:r w:rsidRPr="00841C21">
              <w:rPr>
                <w:rFonts w:cs="Calibri"/>
                <w:szCs w:val="18"/>
              </w:rPr>
              <w:t>53</w:t>
            </w:r>
          </w:p>
        </w:tc>
        <w:tc>
          <w:tcPr>
            <w:tcW w:w="1106" w:type="dxa"/>
            <w:shd w:val="clear" w:color="auto" w:fill="auto"/>
            <w:vAlign w:val="center"/>
            <w:hideMark/>
          </w:tcPr>
          <w:p w14:paraId="70BABD73" w14:textId="77777777" w:rsidR="00F51113" w:rsidRPr="00841C21" w:rsidRDefault="00F51113" w:rsidP="00667D42">
            <w:pPr>
              <w:pStyle w:val="TableText"/>
              <w:spacing w:before="30" w:after="30"/>
              <w:jc w:val="center"/>
              <w:rPr>
                <w:rFonts w:cs="Calibri"/>
                <w:szCs w:val="18"/>
              </w:rPr>
            </w:pPr>
            <w:r w:rsidRPr="00841C21">
              <w:rPr>
                <w:rFonts w:cs="Calibri"/>
                <w:szCs w:val="18"/>
              </w:rPr>
              <w:t>79</w:t>
            </w:r>
          </w:p>
        </w:tc>
      </w:tr>
      <w:tr w:rsidR="00F51113" w:rsidRPr="00841C21" w14:paraId="448071C4" w14:textId="77777777">
        <w:trPr>
          <w:gridAfter w:val="1"/>
          <w:wAfter w:w="38" w:type="dxa"/>
        </w:trPr>
        <w:tc>
          <w:tcPr>
            <w:tcW w:w="1045" w:type="dxa"/>
            <w:gridSpan w:val="2"/>
            <w:shd w:val="clear" w:color="auto" w:fill="auto"/>
            <w:vAlign w:val="center"/>
            <w:hideMark/>
          </w:tcPr>
          <w:p w14:paraId="529BFF96" w14:textId="77777777" w:rsidR="00F51113" w:rsidRPr="00841C21" w:rsidRDefault="00F51113" w:rsidP="00667D42">
            <w:pPr>
              <w:pStyle w:val="TableText"/>
              <w:spacing w:before="30" w:after="30"/>
              <w:rPr>
                <w:rFonts w:cs="Calibri"/>
                <w:szCs w:val="18"/>
              </w:rPr>
            </w:pPr>
            <w:r w:rsidRPr="00841C21">
              <w:rPr>
                <w:rFonts w:cs="Calibri"/>
                <w:szCs w:val="18"/>
              </w:rPr>
              <w:t>SF</w:t>
            </w:r>
            <w:r w:rsidRPr="00841C21">
              <w:rPr>
                <w:rFonts w:cs="Calibri"/>
                <w:szCs w:val="18"/>
                <w:vertAlign w:val="subscript"/>
              </w:rPr>
              <w:t>6</w:t>
            </w:r>
            <w:r w:rsidRPr="00841C21">
              <w:rPr>
                <w:rFonts w:cs="Calibri"/>
                <w:szCs w:val="18"/>
              </w:rPr>
              <w:t> </w:t>
            </w:r>
          </w:p>
        </w:tc>
        <w:tc>
          <w:tcPr>
            <w:tcW w:w="1051" w:type="dxa"/>
            <w:shd w:val="clear" w:color="auto" w:fill="auto"/>
            <w:vAlign w:val="center"/>
            <w:hideMark/>
          </w:tcPr>
          <w:p w14:paraId="45A8FADA" w14:textId="77777777" w:rsidR="00F51113" w:rsidRPr="00841C21" w:rsidRDefault="00F51113" w:rsidP="00667D42">
            <w:pPr>
              <w:pStyle w:val="TableText"/>
              <w:spacing w:before="30" w:after="30"/>
              <w:jc w:val="center"/>
              <w:rPr>
                <w:rFonts w:cs="Calibri"/>
                <w:szCs w:val="18"/>
              </w:rPr>
            </w:pPr>
            <w:r w:rsidRPr="00841C21">
              <w:rPr>
                <w:rFonts w:cs="Calibri"/>
                <w:szCs w:val="18"/>
              </w:rPr>
              <w:t>21</w:t>
            </w:r>
          </w:p>
        </w:tc>
        <w:tc>
          <w:tcPr>
            <w:tcW w:w="1051" w:type="dxa"/>
            <w:gridSpan w:val="2"/>
            <w:shd w:val="clear" w:color="auto" w:fill="auto"/>
            <w:vAlign w:val="center"/>
            <w:hideMark/>
          </w:tcPr>
          <w:p w14:paraId="7EAC6378" w14:textId="77777777" w:rsidR="00F51113" w:rsidRPr="00841C21" w:rsidRDefault="00F51113" w:rsidP="00667D42">
            <w:pPr>
              <w:pStyle w:val="TableText"/>
              <w:spacing w:before="30" w:after="30"/>
              <w:jc w:val="center"/>
              <w:rPr>
                <w:rFonts w:cs="Calibri"/>
                <w:szCs w:val="18"/>
              </w:rPr>
            </w:pPr>
            <w:r w:rsidRPr="00841C21">
              <w:rPr>
                <w:rFonts w:cs="Calibri"/>
                <w:szCs w:val="18"/>
              </w:rPr>
              <w:t>25</w:t>
            </w:r>
          </w:p>
        </w:tc>
        <w:tc>
          <w:tcPr>
            <w:tcW w:w="1052" w:type="dxa"/>
            <w:gridSpan w:val="2"/>
            <w:shd w:val="clear" w:color="auto" w:fill="auto"/>
            <w:vAlign w:val="center"/>
            <w:hideMark/>
          </w:tcPr>
          <w:p w14:paraId="3670F079" w14:textId="77777777" w:rsidR="00F51113" w:rsidRPr="00841C21" w:rsidRDefault="00F51113" w:rsidP="00667D42">
            <w:pPr>
              <w:pStyle w:val="TableText"/>
              <w:spacing w:before="30" w:after="30"/>
              <w:jc w:val="center"/>
              <w:rPr>
                <w:rFonts w:cs="Calibri"/>
                <w:szCs w:val="18"/>
              </w:rPr>
            </w:pPr>
            <w:r w:rsidRPr="00841C21">
              <w:rPr>
                <w:rFonts w:cs="Calibri"/>
                <w:szCs w:val="18"/>
              </w:rPr>
              <w:t>20</w:t>
            </w:r>
          </w:p>
        </w:tc>
        <w:tc>
          <w:tcPr>
            <w:tcW w:w="1051" w:type="dxa"/>
            <w:gridSpan w:val="2"/>
            <w:shd w:val="clear" w:color="auto" w:fill="auto"/>
            <w:vAlign w:val="center"/>
            <w:hideMark/>
          </w:tcPr>
          <w:p w14:paraId="25C631CB" w14:textId="77777777" w:rsidR="00F51113" w:rsidRPr="00841C21" w:rsidRDefault="00F51113" w:rsidP="00667D42">
            <w:pPr>
              <w:pStyle w:val="TableText"/>
              <w:spacing w:before="30" w:after="30"/>
              <w:jc w:val="center"/>
              <w:rPr>
                <w:rFonts w:cs="Calibri"/>
                <w:szCs w:val="18"/>
              </w:rPr>
            </w:pPr>
            <w:r w:rsidRPr="00841C21">
              <w:rPr>
                <w:rFonts w:cs="Calibri"/>
                <w:szCs w:val="18"/>
              </w:rPr>
              <w:t>26</w:t>
            </w:r>
          </w:p>
        </w:tc>
        <w:tc>
          <w:tcPr>
            <w:tcW w:w="1051" w:type="dxa"/>
            <w:gridSpan w:val="2"/>
            <w:shd w:val="clear" w:color="auto" w:fill="auto"/>
            <w:vAlign w:val="center"/>
            <w:hideMark/>
          </w:tcPr>
          <w:p w14:paraId="3F70F86F" w14:textId="77777777" w:rsidR="00F51113" w:rsidRPr="00841C21" w:rsidRDefault="00F51113" w:rsidP="00667D42">
            <w:pPr>
              <w:pStyle w:val="TableText"/>
              <w:spacing w:before="30" w:after="30"/>
              <w:jc w:val="center"/>
              <w:rPr>
                <w:rFonts w:cs="Calibri"/>
                <w:szCs w:val="18"/>
              </w:rPr>
            </w:pPr>
            <w:r w:rsidRPr="00841C21">
              <w:rPr>
                <w:rFonts w:cs="Calibri"/>
                <w:szCs w:val="18"/>
              </w:rPr>
              <w:t>24</w:t>
            </w:r>
          </w:p>
        </w:tc>
        <w:tc>
          <w:tcPr>
            <w:tcW w:w="1052" w:type="dxa"/>
            <w:gridSpan w:val="2"/>
            <w:shd w:val="clear" w:color="auto" w:fill="auto"/>
            <w:vAlign w:val="center"/>
            <w:hideMark/>
          </w:tcPr>
          <w:p w14:paraId="6BF7A34C" w14:textId="77777777" w:rsidR="00F51113" w:rsidRPr="00841C21" w:rsidRDefault="00F51113" w:rsidP="00667D42">
            <w:pPr>
              <w:pStyle w:val="TableText"/>
              <w:spacing w:before="30" w:after="30"/>
              <w:jc w:val="center"/>
              <w:rPr>
                <w:rFonts w:cs="Calibri"/>
                <w:szCs w:val="18"/>
              </w:rPr>
            </w:pPr>
            <w:r w:rsidRPr="00841C21">
              <w:rPr>
                <w:rFonts w:cs="Calibri"/>
                <w:szCs w:val="18"/>
              </w:rPr>
              <w:t>17</w:t>
            </w:r>
          </w:p>
        </w:tc>
        <w:tc>
          <w:tcPr>
            <w:tcW w:w="1106" w:type="dxa"/>
            <w:shd w:val="clear" w:color="auto" w:fill="auto"/>
            <w:vAlign w:val="center"/>
            <w:hideMark/>
          </w:tcPr>
          <w:p w14:paraId="164086CF" w14:textId="77777777" w:rsidR="00F51113" w:rsidRPr="00841C21" w:rsidRDefault="00F51113" w:rsidP="00667D42">
            <w:pPr>
              <w:pStyle w:val="TableText"/>
              <w:spacing w:before="30" w:after="30"/>
              <w:jc w:val="center"/>
              <w:rPr>
                <w:rFonts w:cs="Calibri"/>
                <w:szCs w:val="18"/>
              </w:rPr>
            </w:pPr>
            <w:r w:rsidRPr="00841C21">
              <w:rPr>
                <w:rFonts w:cs="Calibri"/>
                <w:szCs w:val="18"/>
              </w:rPr>
              <w:t>17</w:t>
            </w:r>
          </w:p>
        </w:tc>
      </w:tr>
      <w:tr w:rsidR="00F51113" w:rsidRPr="00841C21" w14:paraId="0FA105EB" w14:textId="77777777">
        <w:trPr>
          <w:gridAfter w:val="1"/>
          <w:wAfter w:w="38" w:type="dxa"/>
        </w:trPr>
        <w:tc>
          <w:tcPr>
            <w:tcW w:w="1045" w:type="dxa"/>
            <w:gridSpan w:val="2"/>
            <w:shd w:val="clear" w:color="auto" w:fill="auto"/>
            <w:vAlign w:val="center"/>
            <w:hideMark/>
          </w:tcPr>
          <w:p w14:paraId="0E993962" w14:textId="77777777" w:rsidR="00F51113" w:rsidRPr="00841C21" w:rsidRDefault="00F51113" w:rsidP="00667D42">
            <w:pPr>
              <w:pStyle w:val="TableText"/>
              <w:spacing w:before="30" w:after="30"/>
              <w:rPr>
                <w:rFonts w:cs="Calibri"/>
                <w:szCs w:val="18"/>
              </w:rPr>
            </w:pPr>
            <w:r w:rsidRPr="00841C21">
              <w:rPr>
                <w:rFonts w:cs="Calibri"/>
                <w:szCs w:val="18"/>
              </w:rPr>
              <w:t>NF</w:t>
            </w:r>
            <w:r w:rsidRPr="00841C21">
              <w:rPr>
                <w:rFonts w:cs="Calibri"/>
                <w:szCs w:val="18"/>
                <w:vertAlign w:val="subscript"/>
              </w:rPr>
              <w:t>3</w:t>
            </w:r>
            <w:r w:rsidRPr="00841C21">
              <w:rPr>
                <w:rFonts w:cs="Calibri"/>
                <w:szCs w:val="18"/>
              </w:rPr>
              <w:t> </w:t>
            </w:r>
          </w:p>
        </w:tc>
        <w:tc>
          <w:tcPr>
            <w:tcW w:w="1051" w:type="dxa"/>
            <w:shd w:val="clear" w:color="auto" w:fill="auto"/>
            <w:vAlign w:val="center"/>
            <w:hideMark/>
          </w:tcPr>
          <w:p w14:paraId="273B1B87" w14:textId="77777777" w:rsidR="00F51113" w:rsidRPr="00841C21" w:rsidRDefault="00F51113" w:rsidP="00667D42">
            <w:pPr>
              <w:pStyle w:val="TableText"/>
              <w:spacing w:before="30" w:after="30"/>
              <w:jc w:val="center"/>
              <w:rPr>
                <w:rFonts w:cs="Calibri"/>
                <w:szCs w:val="18"/>
              </w:rPr>
            </w:pPr>
            <w:r w:rsidRPr="00841C21">
              <w:rPr>
                <w:rFonts w:cs="Calibri"/>
                <w:szCs w:val="18"/>
              </w:rPr>
              <w:t>NA</w:t>
            </w:r>
          </w:p>
        </w:tc>
        <w:tc>
          <w:tcPr>
            <w:tcW w:w="1051" w:type="dxa"/>
            <w:gridSpan w:val="2"/>
            <w:shd w:val="clear" w:color="auto" w:fill="auto"/>
            <w:vAlign w:val="center"/>
            <w:hideMark/>
          </w:tcPr>
          <w:p w14:paraId="219BC2FE" w14:textId="77777777" w:rsidR="00F51113" w:rsidRPr="00841C21" w:rsidRDefault="00F51113" w:rsidP="00667D42">
            <w:pPr>
              <w:pStyle w:val="TableText"/>
              <w:spacing w:before="30" w:after="30"/>
              <w:jc w:val="center"/>
              <w:rPr>
                <w:rFonts w:cs="Calibri"/>
                <w:szCs w:val="18"/>
              </w:rPr>
            </w:pPr>
            <w:r w:rsidRPr="00841C21">
              <w:rPr>
                <w:rFonts w:cs="Calibri"/>
                <w:szCs w:val="18"/>
              </w:rPr>
              <w:t>NA</w:t>
            </w:r>
          </w:p>
        </w:tc>
        <w:tc>
          <w:tcPr>
            <w:tcW w:w="1052" w:type="dxa"/>
            <w:gridSpan w:val="2"/>
            <w:shd w:val="clear" w:color="auto" w:fill="auto"/>
            <w:vAlign w:val="center"/>
            <w:hideMark/>
          </w:tcPr>
          <w:p w14:paraId="6F943F8B" w14:textId="77777777" w:rsidR="00F51113" w:rsidRPr="00841C21" w:rsidRDefault="00F51113" w:rsidP="00667D42">
            <w:pPr>
              <w:pStyle w:val="TableText"/>
              <w:spacing w:before="30" w:after="30"/>
              <w:jc w:val="center"/>
              <w:rPr>
                <w:rFonts w:cs="Calibri"/>
                <w:szCs w:val="18"/>
              </w:rPr>
            </w:pPr>
            <w:r w:rsidRPr="00841C21">
              <w:rPr>
                <w:rFonts w:cs="Calibri"/>
                <w:szCs w:val="18"/>
              </w:rPr>
              <w:t>NA</w:t>
            </w:r>
          </w:p>
        </w:tc>
        <w:tc>
          <w:tcPr>
            <w:tcW w:w="1051" w:type="dxa"/>
            <w:gridSpan w:val="2"/>
            <w:shd w:val="clear" w:color="auto" w:fill="auto"/>
            <w:vAlign w:val="center"/>
            <w:hideMark/>
          </w:tcPr>
          <w:p w14:paraId="2556BD52" w14:textId="77777777" w:rsidR="00F51113" w:rsidRPr="00841C21" w:rsidRDefault="00F51113" w:rsidP="00667D42">
            <w:pPr>
              <w:pStyle w:val="TableText"/>
              <w:spacing w:before="30" w:after="30"/>
              <w:jc w:val="center"/>
              <w:rPr>
                <w:rFonts w:cs="Calibri"/>
                <w:szCs w:val="18"/>
              </w:rPr>
            </w:pPr>
            <w:r w:rsidRPr="00841C21">
              <w:rPr>
                <w:rFonts w:cs="Calibri"/>
                <w:szCs w:val="18"/>
              </w:rPr>
              <w:t>NA</w:t>
            </w:r>
          </w:p>
        </w:tc>
        <w:tc>
          <w:tcPr>
            <w:tcW w:w="1051" w:type="dxa"/>
            <w:gridSpan w:val="2"/>
            <w:shd w:val="clear" w:color="auto" w:fill="auto"/>
            <w:vAlign w:val="center"/>
            <w:hideMark/>
          </w:tcPr>
          <w:p w14:paraId="0BA9B627" w14:textId="77777777" w:rsidR="00F51113" w:rsidRPr="00841C21" w:rsidRDefault="00F51113" w:rsidP="00667D42">
            <w:pPr>
              <w:pStyle w:val="TableText"/>
              <w:spacing w:before="30" w:after="30"/>
              <w:jc w:val="center"/>
              <w:rPr>
                <w:rFonts w:cs="Calibri"/>
                <w:szCs w:val="18"/>
              </w:rPr>
            </w:pPr>
            <w:r w:rsidRPr="00841C21">
              <w:rPr>
                <w:rFonts w:cs="Calibri"/>
                <w:szCs w:val="18"/>
              </w:rPr>
              <w:t>NA</w:t>
            </w:r>
          </w:p>
        </w:tc>
        <w:tc>
          <w:tcPr>
            <w:tcW w:w="1052" w:type="dxa"/>
            <w:gridSpan w:val="2"/>
            <w:shd w:val="clear" w:color="auto" w:fill="auto"/>
            <w:vAlign w:val="center"/>
            <w:hideMark/>
          </w:tcPr>
          <w:p w14:paraId="08BDB4F6" w14:textId="77777777" w:rsidR="00F51113" w:rsidRPr="00841C21" w:rsidRDefault="00F51113" w:rsidP="00667D42">
            <w:pPr>
              <w:pStyle w:val="TableText"/>
              <w:spacing w:before="30" w:after="30"/>
              <w:jc w:val="center"/>
              <w:rPr>
                <w:rFonts w:cs="Calibri"/>
                <w:szCs w:val="18"/>
              </w:rPr>
            </w:pPr>
            <w:r w:rsidRPr="00841C21">
              <w:rPr>
                <w:rFonts w:cs="Calibri"/>
                <w:szCs w:val="18"/>
              </w:rPr>
              <w:t>NA</w:t>
            </w:r>
          </w:p>
        </w:tc>
        <w:tc>
          <w:tcPr>
            <w:tcW w:w="1106" w:type="dxa"/>
            <w:shd w:val="clear" w:color="auto" w:fill="auto"/>
            <w:vAlign w:val="center"/>
            <w:hideMark/>
          </w:tcPr>
          <w:p w14:paraId="70D3FD15" w14:textId="77777777" w:rsidR="00F51113" w:rsidRPr="00841C21" w:rsidRDefault="00F51113" w:rsidP="00667D42">
            <w:pPr>
              <w:pStyle w:val="TableText"/>
              <w:spacing w:before="30" w:after="30"/>
              <w:jc w:val="center"/>
              <w:rPr>
                <w:rFonts w:cs="Calibri"/>
                <w:szCs w:val="18"/>
              </w:rPr>
            </w:pPr>
            <w:r w:rsidRPr="00841C21">
              <w:rPr>
                <w:rFonts w:cs="Calibri"/>
                <w:szCs w:val="18"/>
              </w:rPr>
              <w:t>NA</w:t>
            </w:r>
          </w:p>
        </w:tc>
      </w:tr>
      <w:tr w:rsidR="00F51113" w:rsidRPr="00841C21" w14:paraId="3DB24116" w14:textId="77777777">
        <w:trPr>
          <w:gridAfter w:val="1"/>
          <w:wAfter w:w="38" w:type="dxa"/>
        </w:trPr>
        <w:tc>
          <w:tcPr>
            <w:tcW w:w="1045" w:type="dxa"/>
            <w:gridSpan w:val="2"/>
            <w:shd w:val="clear" w:color="auto" w:fill="auto"/>
            <w:vAlign w:val="center"/>
            <w:hideMark/>
          </w:tcPr>
          <w:p w14:paraId="2F6CC271" w14:textId="77777777" w:rsidR="00F51113" w:rsidRPr="00841C21" w:rsidRDefault="00F51113" w:rsidP="00667D42">
            <w:pPr>
              <w:pStyle w:val="TableTextbold"/>
              <w:spacing w:before="30" w:after="30"/>
              <w:rPr>
                <w:szCs w:val="18"/>
              </w:rPr>
            </w:pPr>
            <w:r w:rsidRPr="00841C21">
              <w:rPr>
                <w:szCs w:val="18"/>
              </w:rPr>
              <w:t>Total </w:t>
            </w:r>
          </w:p>
        </w:tc>
        <w:tc>
          <w:tcPr>
            <w:tcW w:w="1051" w:type="dxa"/>
            <w:shd w:val="clear" w:color="auto" w:fill="auto"/>
            <w:vAlign w:val="center"/>
            <w:hideMark/>
          </w:tcPr>
          <w:p w14:paraId="7A6C3A1F" w14:textId="77777777" w:rsidR="00F51113" w:rsidRPr="00841C21" w:rsidRDefault="00F51113" w:rsidP="00667D42">
            <w:pPr>
              <w:pStyle w:val="TableTextbold"/>
              <w:spacing w:before="30" w:after="30"/>
              <w:jc w:val="center"/>
              <w:rPr>
                <w:szCs w:val="18"/>
              </w:rPr>
            </w:pPr>
            <w:r w:rsidRPr="00841C21">
              <w:rPr>
                <w:szCs w:val="18"/>
              </w:rPr>
              <w:t>3,478</w:t>
            </w:r>
          </w:p>
        </w:tc>
        <w:tc>
          <w:tcPr>
            <w:tcW w:w="1051" w:type="dxa"/>
            <w:gridSpan w:val="2"/>
            <w:shd w:val="clear" w:color="auto" w:fill="auto"/>
            <w:vAlign w:val="center"/>
            <w:hideMark/>
          </w:tcPr>
          <w:p w14:paraId="24FEA5A2" w14:textId="77777777" w:rsidR="00F51113" w:rsidRPr="00841C21" w:rsidRDefault="00F51113" w:rsidP="00667D42">
            <w:pPr>
              <w:pStyle w:val="TableTextbold"/>
              <w:spacing w:before="30" w:after="30"/>
              <w:jc w:val="center"/>
              <w:rPr>
                <w:szCs w:val="18"/>
              </w:rPr>
            </w:pPr>
            <w:r w:rsidRPr="00841C21">
              <w:rPr>
                <w:szCs w:val="18"/>
              </w:rPr>
              <w:t>3,166</w:t>
            </w:r>
          </w:p>
        </w:tc>
        <w:tc>
          <w:tcPr>
            <w:tcW w:w="1052" w:type="dxa"/>
            <w:gridSpan w:val="2"/>
            <w:shd w:val="clear" w:color="auto" w:fill="auto"/>
            <w:vAlign w:val="center"/>
            <w:hideMark/>
          </w:tcPr>
          <w:p w14:paraId="582500C1" w14:textId="77777777" w:rsidR="00F51113" w:rsidRPr="00841C21" w:rsidRDefault="00F51113" w:rsidP="00667D42">
            <w:pPr>
              <w:pStyle w:val="TableTextbold"/>
              <w:spacing w:before="30" w:after="30"/>
              <w:jc w:val="center"/>
              <w:rPr>
                <w:szCs w:val="18"/>
              </w:rPr>
            </w:pPr>
            <w:r w:rsidRPr="00841C21">
              <w:rPr>
                <w:szCs w:val="18"/>
              </w:rPr>
              <w:t>3,468</w:t>
            </w:r>
          </w:p>
        </w:tc>
        <w:tc>
          <w:tcPr>
            <w:tcW w:w="1051" w:type="dxa"/>
            <w:gridSpan w:val="2"/>
            <w:shd w:val="clear" w:color="auto" w:fill="auto"/>
            <w:vAlign w:val="center"/>
            <w:hideMark/>
          </w:tcPr>
          <w:p w14:paraId="1E9AE234" w14:textId="77777777" w:rsidR="00F51113" w:rsidRPr="00841C21" w:rsidRDefault="00F51113" w:rsidP="00667D42">
            <w:pPr>
              <w:pStyle w:val="TableTextbold"/>
              <w:spacing w:before="30" w:after="30"/>
              <w:jc w:val="center"/>
              <w:rPr>
                <w:szCs w:val="18"/>
              </w:rPr>
            </w:pPr>
            <w:r w:rsidRPr="00841C21">
              <w:rPr>
                <w:szCs w:val="18"/>
              </w:rPr>
              <w:t>4,008</w:t>
            </w:r>
          </w:p>
        </w:tc>
        <w:tc>
          <w:tcPr>
            <w:tcW w:w="1051" w:type="dxa"/>
            <w:gridSpan w:val="2"/>
            <w:shd w:val="clear" w:color="auto" w:fill="auto"/>
            <w:vAlign w:val="center"/>
            <w:hideMark/>
          </w:tcPr>
          <w:p w14:paraId="36E4A28F" w14:textId="77777777" w:rsidR="00F51113" w:rsidRPr="00841C21" w:rsidRDefault="00F51113" w:rsidP="00667D42">
            <w:pPr>
              <w:pStyle w:val="TableTextbold"/>
              <w:spacing w:before="30" w:after="30"/>
              <w:jc w:val="center"/>
              <w:rPr>
                <w:szCs w:val="18"/>
              </w:rPr>
            </w:pPr>
            <w:r w:rsidRPr="00841C21">
              <w:rPr>
                <w:szCs w:val="18"/>
              </w:rPr>
              <w:t>4,497</w:t>
            </w:r>
          </w:p>
        </w:tc>
        <w:tc>
          <w:tcPr>
            <w:tcW w:w="1052" w:type="dxa"/>
            <w:gridSpan w:val="2"/>
            <w:shd w:val="clear" w:color="auto" w:fill="auto"/>
            <w:vAlign w:val="center"/>
            <w:hideMark/>
          </w:tcPr>
          <w:p w14:paraId="7C3D0E3B" w14:textId="77777777" w:rsidR="00F51113" w:rsidRPr="00841C21" w:rsidRDefault="00F51113" w:rsidP="00667D42">
            <w:pPr>
              <w:pStyle w:val="TableTextbold"/>
              <w:spacing w:before="30" w:after="30"/>
              <w:jc w:val="center"/>
              <w:rPr>
                <w:szCs w:val="18"/>
              </w:rPr>
            </w:pPr>
            <w:r w:rsidRPr="00841C21">
              <w:rPr>
                <w:szCs w:val="18"/>
              </w:rPr>
              <w:t>4,943</w:t>
            </w:r>
          </w:p>
        </w:tc>
        <w:tc>
          <w:tcPr>
            <w:tcW w:w="1106" w:type="dxa"/>
            <w:shd w:val="clear" w:color="auto" w:fill="auto"/>
            <w:vAlign w:val="center"/>
            <w:hideMark/>
          </w:tcPr>
          <w:p w14:paraId="4D57D5CF" w14:textId="77777777" w:rsidR="00F51113" w:rsidRPr="00841C21" w:rsidRDefault="00F51113" w:rsidP="00667D42">
            <w:pPr>
              <w:pStyle w:val="TableTextbold"/>
              <w:spacing w:before="30" w:after="30"/>
              <w:jc w:val="center"/>
              <w:rPr>
                <w:szCs w:val="18"/>
              </w:rPr>
            </w:pPr>
            <w:r w:rsidRPr="00841C21">
              <w:rPr>
                <w:szCs w:val="18"/>
              </w:rPr>
              <w:t>4,480</w:t>
            </w:r>
          </w:p>
        </w:tc>
      </w:tr>
      <w:tr w:rsidR="00F51113" w:rsidRPr="00841C21" w14:paraId="3B1AAEB6" w14:textId="77777777">
        <w:tc>
          <w:tcPr>
            <w:tcW w:w="993" w:type="dxa"/>
            <w:tcBorders>
              <w:top w:val="nil"/>
              <w:bottom w:val="nil"/>
              <w:right w:val="nil"/>
            </w:tcBorders>
            <w:shd w:val="clear" w:color="auto" w:fill="1B556B"/>
            <w:vAlign w:val="center"/>
            <w:hideMark/>
          </w:tcPr>
          <w:p w14:paraId="7A77CF7E" w14:textId="77777777" w:rsidR="00F51113" w:rsidRPr="00841C21" w:rsidRDefault="00F51113">
            <w:pPr>
              <w:pStyle w:val="TableTextbold"/>
              <w:spacing w:before="40" w:after="0"/>
              <w:rPr>
                <w:color w:val="FFFFFF" w:themeColor="background1"/>
                <w:szCs w:val="18"/>
              </w:rPr>
            </w:pPr>
            <w:r w:rsidRPr="00841C21">
              <w:rPr>
                <w:color w:val="FFFFFF" w:themeColor="background1"/>
                <w:szCs w:val="18"/>
              </w:rPr>
              <w:t> </w:t>
            </w:r>
          </w:p>
        </w:tc>
        <w:tc>
          <w:tcPr>
            <w:tcW w:w="7504" w:type="dxa"/>
            <w:gridSpan w:val="14"/>
            <w:tcBorders>
              <w:top w:val="nil"/>
              <w:left w:val="nil"/>
              <w:bottom w:val="nil"/>
            </w:tcBorders>
            <w:shd w:val="clear" w:color="auto" w:fill="1B556B"/>
            <w:vAlign w:val="center"/>
            <w:hideMark/>
          </w:tcPr>
          <w:p w14:paraId="61600131" w14:textId="77777777" w:rsidR="00F51113" w:rsidRPr="00841C21" w:rsidRDefault="00F51113">
            <w:pPr>
              <w:pStyle w:val="TableTextbold"/>
              <w:spacing w:before="40" w:after="0"/>
              <w:jc w:val="center"/>
              <w:rPr>
                <w:color w:val="FFFFFF" w:themeColor="background1"/>
                <w:szCs w:val="18"/>
              </w:rPr>
            </w:pPr>
            <w:r w:rsidRPr="00841C21">
              <w:rPr>
                <w:color w:val="FFFFFF" w:themeColor="background1"/>
                <w:szCs w:val="18"/>
              </w:rPr>
              <w:t>Projections</w:t>
            </w:r>
          </w:p>
        </w:tc>
      </w:tr>
      <w:tr w:rsidR="00F51113" w:rsidRPr="00841C21" w14:paraId="6EDE0777" w14:textId="77777777">
        <w:tc>
          <w:tcPr>
            <w:tcW w:w="993" w:type="dxa"/>
            <w:tcBorders>
              <w:top w:val="nil"/>
              <w:right w:val="nil"/>
            </w:tcBorders>
            <w:shd w:val="clear" w:color="auto" w:fill="1B556B"/>
            <w:vAlign w:val="center"/>
            <w:hideMark/>
          </w:tcPr>
          <w:p w14:paraId="09AD43E7" w14:textId="77777777" w:rsidR="00F51113" w:rsidRPr="00841C21" w:rsidRDefault="00F51113">
            <w:pPr>
              <w:pStyle w:val="TableTextbold"/>
              <w:spacing w:before="0" w:after="40"/>
              <w:rPr>
                <w:color w:val="FFFFFF" w:themeColor="background1"/>
                <w:szCs w:val="18"/>
              </w:rPr>
            </w:pPr>
            <w:r w:rsidRPr="00841C21">
              <w:rPr>
                <w:color w:val="FFFFFF" w:themeColor="background1"/>
                <w:szCs w:val="18"/>
              </w:rPr>
              <w:t>Gas </w:t>
            </w:r>
          </w:p>
        </w:tc>
        <w:tc>
          <w:tcPr>
            <w:tcW w:w="1435" w:type="dxa"/>
            <w:gridSpan w:val="3"/>
            <w:tcBorders>
              <w:top w:val="nil"/>
              <w:left w:val="nil"/>
              <w:right w:val="nil"/>
            </w:tcBorders>
            <w:shd w:val="clear" w:color="auto" w:fill="1B556B"/>
            <w:vAlign w:val="center"/>
            <w:hideMark/>
          </w:tcPr>
          <w:p w14:paraId="5712A8D8" w14:textId="77777777" w:rsidR="00F51113" w:rsidRPr="00841C21" w:rsidRDefault="00F51113">
            <w:pPr>
              <w:pStyle w:val="TableTextbold"/>
              <w:spacing w:before="0" w:after="40"/>
              <w:jc w:val="center"/>
              <w:rPr>
                <w:color w:val="FFFFFF" w:themeColor="background1"/>
                <w:szCs w:val="18"/>
              </w:rPr>
            </w:pPr>
            <w:r w:rsidRPr="00841C21">
              <w:rPr>
                <w:color w:val="FFFFFF" w:themeColor="background1"/>
                <w:szCs w:val="18"/>
              </w:rPr>
              <w:t>2025</w:t>
            </w:r>
          </w:p>
        </w:tc>
        <w:tc>
          <w:tcPr>
            <w:tcW w:w="1214" w:type="dxa"/>
            <w:gridSpan w:val="2"/>
            <w:tcBorders>
              <w:top w:val="nil"/>
              <w:left w:val="nil"/>
              <w:right w:val="nil"/>
            </w:tcBorders>
            <w:shd w:val="clear" w:color="auto" w:fill="1B556B"/>
            <w:vAlign w:val="center"/>
            <w:hideMark/>
          </w:tcPr>
          <w:p w14:paraId="01E43B97" w14:textId="77777777" w:rsidR="00F51113" w:rsidRPr="00841C21" w:rsidRDefault="00F51113">
            <w:pPr>
              <w:pStyle w:val="TableTextbold"/>
              <w:spacing w:before="0" w:after="40"/>
              <w:jc w:val="center"/>
              <w:rPr>
                <w:color w:val="FFFFFF" w:themeColor="background1"/>
                <w:szCs w:val="18"/>
              </w:rPr>
            </w:pPr>
            <w:r w:rsidRPr="00841C21">
              <w:rPr>
                <w:color w:val="FFFFFF" w:themeColor="background1"/>
                <w:szCs w:val="18"/>
              </w:rPr>
              <w:t>2030</w:t>
            </w:r>
          </w:p>
        </w:tc>
        <w:tc>
          <w:tcPr>
            <w:tcW w:w="1212" w:type="dxa"/>
            <w:gridSpan w:val="2"/>
            <w:tcBorders>
              <w:top w:val="nil"/>
              <w:left w:val="nil"/>
              <w:right w:val="nil"/>
            </w:tcBorders>
            <w:shd w:val="clear" w:color="auto" w:fill="1B556B"/>
            <w:vAlign w:val="center"/>
            <w:hideMark/>
          </w:tcPr>
          <w:p w14:paraId="2BCED085" w14:textId="77777777" w:rsidR="00F51113" w:rsidRPr="00841C21" w:rsidRDefault="00F51113">
            <w:pPr>
              <w:pStyle w:val="TableTextbold"/>
              <w:spacing w:before="0" w:after="40"/>
              <w:jc w:val="center"/>
              <w:rPr>
                <w:color w:val="FFFFFF" w:themeColor="background1"/>
                <w:szCs w:val="18"/>
              </w:rPr>
            </w:pPr>
            <w:r w:rsidRPr="00841C21">
              <w:rPr>
                <w:color w:val="FFFFFF" w:themeColor="background1"/>
                <w:szCs w:val="18"/>
              </w:rPr>
              <w:t>2035</w:t>
            </w:r>
          </w:p>
        </w:tc>
        <w:tc>
          <w:tcPr>
            <w:tcW w:w="1210" w:type="dxa"/>
            <w:gridSpan w:val="2"/>
            <w:tcBorders>
              <w:top w:val="nil"/>
              <w:left w:val="nil"/>
              <w:right w:val="nil"/>
            </w:tcBorders>
            <w:shd w:val="clear" w:color="auto" w:fill="1B556B"/>
            <w:vAlign w:val="center"/>
            <w:hideMark/>
          </w:tcPr>
          <w:p w14:paraId="38224ECB" w14:textId="77777777" w:rsidR="00F51113" w:rsidRPr="00841C21" w:rsidRDefault="00F51113">
            <w:pPr>
              <w:pStyle w:val="TableTextbold"/>
              <w:spacing w:before="0" w:after="40"/>
              <w:jc w:val="center"/>
              <w:rPr>
                <w:color w:val="FFFFFF" w:themeColor="background1"/>
                <w:szCs w:val="18"/>
              </w:rPr>
            </w:pPr>
            <w:r w:rsidRPr="00841C21">
              <w:rPr>
                <w:color w:val="FFFFFF" w:themeColor="background1"/>
                <w:szCs w:val="18"/>
              </w:rPr>
              <w:t>2040</w:t>
            </w:r>
          </w:p>
        </w:tc>
        <w:tc>
          <w:tcPr>
            <w:tcW w:w="1208" w:type="dxa"/>
            <w:gridSpan w:val="2"/>
            <w:tcBorders>
              <w:top w:val="nil"/>
              <w:left w:val="nil"/>
              <w:right w:val="nil"/>
            </w:tcBorders>
            <w:shd w:val="clear" w:color="auto" w:fill="1B556B"/>
            <w:vAlign w:val="center"/>
            <w:hideMark/>
          </w:tcPr>
          <w:p w14:paraId="17358F60" w14:textId="77777777" w:rsidR="00F51113" w:rsidRPr="00841C21" w:rsidRDefault="00F51113">
            <w:pPr>
              <w:pStyle w:val="TableTextbold"/>
              <w:spacing w:before="0" w:after="40"/>
              <w:jc w:val="center"/>
              <w:rPr>
                <w:color w:val="FFFFFF" w:themeColor="background1"/>
                <w:szCs w:val="18"/>
              </w:rPr>
            </w:pPr>
            <w:r w:rsidRPr="00841C21">
              <w:rPr>
                <w:color w:val="FFFFFF" w:themeColor="background1"/>
                <w:szCs w:val="18"/>
              </w:rPr>
              <w:t>2045</w:t>
            </w:r>
          </w:p>
        </w:tc>
        <w:tc>
          <w:tcPr>
            <w:tcW w:w="1225" w:type="dxa"/>
            <w:gridSpan w:val="3"/>
            <w:tcBorders>
              <w:top w:val="nil"/>
              <w:left w:val="nil"/>
            </w:tcBorders>
            <w:shd w:val="clear" w:color="auto" w:fill="1B556B"/>
            <w:vAlign w:val="center"/>
            <w:hideMark/>
          </w:tcPr>
          <w:p w14:paraId="7CCA103E" w14:textId="77777777" w:rsidR="00F51113" w:rsidRPr="00841C21" w:rsidRDefault="00F51113">
            <w:pPr>
              <w:pStyle w:val="TableTextbold"/>
              <w:spacing w:before="0" w:after="40"/>
              <w:jc w:val="center"/>
              <w:rPr>
                <w:color w:val="FFFFFF" w:themeColor="background1"/>
                <w:szCs w:val="18"/>
              </w:rPr>
            </w:pPr>
            <w:r w:rsidRPr="00841C21">
              <w:rPr>
                <w:color w:val="FFFFFF" w:themeColor="background1"/>
                <w:szCs w:val="18"/>
              </w:rPr>
              <w:t>2050</w:t>
            </w:r>
          </w:p>
        </w:tc>
      </w:tr>
      <w:tr w:rsidR="00F51113" w:rsidRPr="00841C21" w14:paraId="7AE1EB5B" w14:textId="77777777">
        <w:tc>
          <w:tcPr>
            <w:tcW w:w="993" w:type="dxa"/>
            <w:shd w:val="clear" w:color="auto" w:fill="auto"/>
            <w:vAlign w:val="center"/>
            <w:hideMark/>
          </w:tcPr>
          <w:p w14:paraId="56D164A1" w14:textId="77777777" w:rsidR="00F51113" w:rsidRPr="00841C21" w:rsidRDefault="00F51113" w:rsidP="00667D42">
            <w:pPr>
              <w:pStyle w:val="TableText"/>
              <w:spacing w:before="30" w:after="30"/>
              <w:rPr>
                <w:rFonts w:cs="Calibri"/>
                <w:szCs w:val="18"/>
              </w:rPr>
            </w:pPr>
            <w:r w:rsidRPr="00841C21">
              <w:rPr>
                <w:rFonts w:cs="Calibri"/>
                <w:szCs w:val="18"/>
              </w:rPr>
              <w:t>CO</w:t>
            </w:r>
            <w:r w:rsidRPr="00841C21">
              <w:rPr>
                <w:rFonts w:cs="Calibri"/>
                <w:szCs w:val="18"/>
                <w:vertAlign w:val="subscript"/>
              </w:rPr>
              <w:t>2</w:t>
            </w:r>
            <w:r w:rsidRPr="00841C21">
              <w:rPr>
                <w:rFonts w:cs="Calibri"/>
                <w:szCs w:val="18"/>
              </w:rPr>
              <w:t> </w:t>
            </w:r>
          </w:p>
        </w:tc>
        <w:tc>
          <w:tcPr>
            <w:tcW w:w="1435" w:type="dxa"/>
            <w:gridSpan w:val="3"/>
            <w:shd w:val="clear" w:color="auto" w:fill="D2DDE1"/>
            <w:vAlign w:val="center"/>
            <w:hideMark/>
          </w:tcPr>
          <w:p w14:paraId="3A0E4CD4" w14:textId="77777777" w:rsidR="00F51113" w:rsidRPr="00841C21" w:rsidRDefault="00F51113" w:rsidP="00667D42">
            <w:pPr>
              <w:pStyle w:val="TableText"/>
              <w:spacing w:before="30" w:after="30"/>
              <w:jc w:val="center"/>
              <w:rPr>
                <w:rFonts w:cs="Calibri"/>
                <w:szCs w:val="18"/>
              </w:rPr>
            </w:pPr>
            <w:r w:rsidRPr="00841C21">
              <w:rPr>
                <w:rFonts w:cs="Calibri"/>
                <w:szCs w:val="18"/>
              </w:rPr>
              <w:t>2,834</w:t>
            </w:r>
          </w:p>
        </w:tc>
        <w:tc>
          <w:tcPr>
            <w:tcW w:w="1214" w:type="dxa"/>
            <w:gridSpan w:val="2"/>
            <w:shd w:val="clear" w:color="auto" w:fill="D2DDE1"/>
            <w:vAlign w:val="center"/>
            <w:hideMark/>
          </w:tcPr>
          <w:p w14:paraId="51A640C6" w14:textId="77777777" w:rsidR="00F51113" w:rsidRPr="00841C21" w:rsidRDefault="00F51113" w:rsidP="00667D42">
            <w:pPr>
              <w:pStyle w:val="TableText"/>
              <w:spacing w:before="30" w:after="30"/>
              <w:jc w:val="center"/>
              <w:rPr>
                <w:rFonts w:cs="Calibri"/>
                <w:szCs w:val="18"/>
              </w:rPr>
            </w:pPr>
            <w:r w:rsidRPr="00841C21">
              <w:rPr>
                <w:rFonts w:cs="Calibri"/>
                <w:szCs w:val="18"/>
              </w:rPr>
              <w:t>1,895</w:t>
            </w:r>
          </w:p>
        </w:tc>
        <w:tc>
          <w:tcPr>
            <w:tcW w:w="1212" w:type="dxa"/>
            <w:gridSpan w:val="2"/>
            <w:shd w:val="clear" w:color="auto" w:fill="D2DDE1"/>
            <w:vAlign w:val="center"/>
            <w:hideMark/>
          </w:tcPr>
          <w:p w14:paraId="720FCB03" w14:textId="77777777" w:rsidR="00F51113" w:rsidRPr="00841C21" w:rsidRDefault="00F51113" w:rsidP="00667D42">
            <w:pPr>
              <w:pStyle w:val="TableText"/>
              <w:spacing w:before="30" w:after="30"/>
              <w:jc w:val="center"/>
              <w:rPr>
                <w:rFonts w:cs="Calibri"/>
                <w:szCs w:val="18"/>
              </w:rPr>
            </w:pPr>
            <w:r w:rsidRPr="00841C21">
              <w:rPr>
                <w:rFonts w:cs="Calibri"/>
                <w:szCs w:val="18"/>
              </w:rPr>
              <w:t>1,895</w:t>
            </w:r>
          </w:p>
        </w:tc>
        <w:tc>
          <w:tcPr>
            <w:tcW w:w="1210" w:type="dxa"/>
            <w:gridSpan w:val="2"/>
            <w:shd w:val="clear" w:color="auto" w:fill="D2DDE1"/>
            <w:vAlign w:val="center"/>
            <w:hideMark/>
          </w:tcPr>
          <w:p w14:paraId="62EC1F2F" w14:textId="77777777" w:rsidR="00F51113" w:rsidRPr="00841C21" w:rsidRDefault="00F51113" w:rsidP="00667D42">
            <w:pPr>
              <w:pStyle w:val="TableText"/>
              <w:spacing w:before="30" w:after="30"/>
              <w:jc w:val="center"/>
              <w:rPr>
                <w:rFonts w:cs="Calibri"/>
                <w:szCs w:val="18"/>
              </w:rPr>
            </w:pPr>
            <w:r w:rsidRPr="00841C21">
              <w:rPr>
                <w:rFonts w:cs="Calibri"/>
                <w:szCs w:val="18"/>
              </w:rPr>
              <w:t>1,895</w:t>
            </w:r>
          </w:p>
        </w:tc>
        <w:tc>
          <w:tcPr>
            <w:tcW w:w="1208" w:type="dxa"/>
            <w:gridSpan w:val="2"/>
            <w:shd w:val="clear" w:color="auto" w:fill="D2DDE1"/>
            <w:vAlign w:val="center"/>
            <w:hideMark/>
          </w:tcPr>
          <w:p w14:paraId="177539E6" w14:textId="77777777" w:rsidR="00F51113" w:rsidRPr="00841C21" w:rsidRDefault="00F51113" w:rsidP="00667D42">
            <w:pPr>
              <w:pStyle w:val="TableText"/>
              <w:spacing w:before="30" w:after="30"/>
              <w:jc w:val="center"/>
              <w:rPr>
                <w:rFonts w:cs="Calibri"/>
                <w:szCs w:val="18"/>
              </w:rPr>
            </w:pPr>
            <w:r w:rsidRPr="00841C21">
              <w:rPr>
                <w:rFonts w:cs="Calibri"/>
                <w:szCs w:val="18"/>
              </w:rPr>
              <w:t>1,895</w:t>
            </w:r>
          </w:p>
        </w:tc>
        <w:tc>
          <w:tcPr>
            <w:tcW w:w="1225" w:type="dxa"/>
            <w:gridSpan w:val="3"/>
            <w:shd w:val="clear" w:color="auto" w:fill="D2DDE1"/>
            <w:vAlign w:val="center"/>
            <w:hideMark/>
          </w:tcPr>
          <w:p w14:paraId="073AEEA5" w14:textId="77777777" w:rsidR="00F51113" w:rsidRPr="00841C21" w:rsidRDefault="00F51113" w:rsidP="00667D42">
            <w:pPr>
              <w:pStyle w:val="TableText"/>
              <w:spacing w:before="30" w:after="30"/>
              <w:jc w:val="center"/>
              <w:rPr>
                <w:rFonts w:cs="Calibri"/>
                <w:szCs w:val="18"/>
              </w:rPr>
            </w:pPr>
            <w:r w:rsidRPr="00841C21">
              <w:rPr>
                <w:rFonts w:cs="Calibri"/>
                <w:szCs w:val="18"/>
              </w:rPr>
              <w:t>1,895</w:t>
            </w:r>
          </w:p>
        </w:tc>
      </w:tr>
      <w:tr w:rsidR="00F51113" w:rsidRPr="00841C21" w14:paraId="646775CD" w14:textId="77777777">
        <w:tc>
          <w:tcPr>
            <w:tcW w:w="993" w:type="dxa"/>
            <w:shd w:val="clear" w:color="auto" w:fill="auto"/>
            <w:vAlign w:val="center"/>
            <w:hideMark/>
          </w:tcPr>
          <w:p w14:paraId="480F03D6" w14:textId="77777777" w:rsidR="00F51113" w:rsidRPr="00841C21" w:rsidRDefault="00F51113" w:rsidP="00667D42">
            <w:pPr>
              <w:pStyle w:val="TableText"/>
              <w:spacing w:before="30" w:after="30"/>
              <w:rPr>
                <w:rFonts w:cs="Calibri"/>
                <w:szCs w:val="18"/>
              </w:rPr>
            </w:pPr>
            <w:r w:rsidRPr="00841C21">
              <w:rPr>
                <w:rFonts w:cs="Calibri"/>
                <w:szCs w:val="18"/>
              </w:rPr>
              <w:t>CH</w:t>
            </w:r>
            <w:r w:rsidRPr="00841C21">
              <w:rPr>
                <w:rFonts w:cs="Calibri"/>
                <w:szCs w:val="18"/>
                <w:vertAlign w:val="subscript"/>
              </w:rPr>
              <w:t>4</w:t>
            </w:r>
            <w:r w:rsidRPr="00841C21">
              <w:rPr>
                <w:rFonts w:cs="Calibri"/>
                <w:szCs w:val="18"/>
              </w:rPr>
              <w:t> </w:t>
            </w:r>
          </w:p>
        </w:tc>
        <w:tc>
          <w:tcPr>
            <w:tcW w:w="1435" w:type="dxa"/>
            <w:gridSpan w:val="3"/>
            <w:shd w:val="clear" w:color="auto" w:fill="D2DDE1"/>
            <w:vAlign w:val="center"/>
            <w:hideMark/>
          </w:tcPr>
          <w:p w14:paraId="0312F34D" w14:textId="77777777" w:rsidR="00F51113" w:rsidRPr="00841C21" w:rsidRDefault="00F51113" w:rsidP="00667D42">
            <w:pPr>
              <w:pStyle w:val="TableText"/>
              <w:spacing w:before="30" w:after="30"/>
              <w:jc w:val="center"/>
              <w:rPr>
                <w:rFonts w:cs="Calibri"/>
                <w:szCs w:val="18"/>
              </w:rPr>
            </w:pPr>
            <w:r w:rsidRPr="00841C21">
              <w:rPr>
                <w:rFonts w:cs="Calibri"/>
                <w:szCs w:val="18"/>
              </w:rPr>
              <w:t>100</w:t>
            </w:r>
          </w:p>
        </w:tc>
        <w:tc>
          <w:tcPr>
            <w:tcW w:w="1214" w:type="dxa"/>
            <w:gridSpan w:val="2"/>
            <w:shd w:val="clear" w:color="auto" w:fill="D2DDE1"/>
            <w:vAlign w:val="center"/>
            <w:hideMark/>
          </w:tcPr>
          <w:p w14:paraId="090C7A30" w14:textId="77777777" w:rsidR="00F51113" w:rsidRPr="00841C21" w:rsidRDefault="00F51113" w:rsidP="00667D42">
            <w:pPr>
              <w:pStyle w:val="TableText"/>
              <w:spacing w:before="30" w:after="30"/>
              <w:jc w:val="center"/>
              <w:rPr>
                <w:rFonts w:cs="Calibri"/>
                <w:szCs w:val="18"/>
              </w:rPr>
            </w:pPr>
            <w:r w:rsidRPr="00841C21">
              <w:rPr>
                <w:rFonts w:cs="Calibri"/>
                <w:szCs w:val="18"/>
              </w:rPr>
              <w:t>0</w:t>
            </w:r>
          </w:p>
        </w:tc>
        <w:tc>
          <w:tcPr>
            <w:tcW w:w="1212" w:type="dxa"/>
            <w:gridSpan w:val="2"/>
            <w:shd w:val="clear" w:color="auto" w:fill="D2DDE1"/>
            <w:vAlign w:val="center"/>
            <w:hideMark/>
          </w:tcPr>
          <w:p w14:paraId="3EB8332B" w14:textId="77777777" w:rsidR="00F51113" w:rsidRPr="00841C21" w:rsidRDefault="00F51113" w:rsidP="00667D42">
            <w:pPr>
              <w:pStyle w:val="TableText"/>
              <w:spacing w:before="30" w:after="30"/>
              <w:jc w:val="center"/>
              <w:rPr>
                <w:rFonts w:cs="Calibri"/>
                <w:szCs w:val="18"/>
              </w:rPr>
            </w:pPr>
            <w:r w:rsidRPr="00841C21">
              <w:rPr>
                <w:rFonts w:cs="Calibri"/>
                <w:szCs w:val="18"/>
              </w:rPr>
              <w:t>0</w:t>
            </w:r>
          </w:p>
        </w:tc>
        <w:tc>
          <w:tcPr>
            <w:tcW w:w="1210" w:type="dxa"/>
            <w:gridSpan w:val="2"/>
            <w:shd w:val="clear" w:color="auto" w:fill="D2DDE1"/>
            <w:vAlign w:val="center"/>
            <w:hideMark/>
          </w:tcPr>
          <w:p w14:paraId="3B8FDE24" w14:textId="77777777" w:rsidR="00F51113" w:rsidRPr="00841C21" w:rsidRDefault="00F51113" w:rsidP="00667D42">
            <w:pPr>
              <w:pStyle w:val="TableText"/>
              <w:spacing w:before="30" w:after="30"/>
              <w:jc w:val="center"/>
              <w:rPr>
                <w:rFonts w:cs="Calibri"/>
                <w:szCs w:val="18"/>
              </w:rPr>
            </w:pPr>
            <w:r w:rsidRPr="00841C21">
              <w:rPr>
                <w:rFonts w:cs="Calibri"/>
                <w:szCs w:val="18"/>
              </w:rPr>
              <w:t>0</w:t>
            </w:r>
          </w:p>
        </w:tc>
        <w:tc>
          <w:tcPr>
            <w:tcW w:w="1208" w:type="dxa"/>
            <w:gridSpan w:val="2"/>
            <w:shd w:val="clear" w:color="auto" w:fill="D2DDE1"/>
            <w:vAlign w:val="center"/>
            <w:hideMark/>
          </w:tcPr>
          <w:p w14:paraId="1949DA5B" w14:textId="77777777" w:rsidR="00F51113" w:rsidRPr="00841C21" w:rsidRDefault="00F51113" w:rsidP="00667D42">
            <w:pPr>
              <w:pStyle w:val="TableText"/>
              <w:spacing w:before="30" w:after="30"/>
              <w:jc w:val="center"/>
              <w:rPr>
                <w:rFonts w:cs="Calibri"/>
                <w:szCs w:val="18"/>
              </w:rPr>
            </w:pPr>
            <w:r w:rsidRPr="00841C21">
              <w:rPr>
                <w:rFonts w:cs="Calibri"/>
                <w:szCs w:val="18"/>
              </w:rPr>
              <w:t>0</w:t>
            </w:r>
          </w:p>
        </w:tc>
        <w:tc>
          <w:tcPr>
            <w:tcW w:w="1225" w:type="dxa"/>
            <w:gridSpan w:val="3"/>
            <w:shd w:val="clear" w:color="auto" w:fill="D2DDE1"/>
            <w:vAlign w:val="center"/>
            <w:hideMark/>
          </w:tcPr>
          <w:p w14:paraId="414A8F47" w14:textId="77777777" w:rsidR="00F51113" w:rsidRPr="00841C21" w:rsidRDefault="00F51113" w:rsidP="00667D42">
            <w:pPr>
              <w:pStyle w:val="TableText"/>
              <w:spacing w:before="30" w:after="30"/>
              <w:jc w:val="center"/>
              <w:rPr>
                <w:rFonts w:cs="Calibri"/>
                <w:szCs w:val="18"/>
              </w:rPr>
            </w:pPr>
            <w:r w:rsidRPr="00841C21">
              <w:rPr>
                <w:rFonts w:cs="Calibri"/>
                <w:szCs w:val="18"/>
              </w:rPr>
              <w:t>0</w:t>
            </w:r>
          </w:p>
        </w:tc>
      </w:tr>
      <w:tr w:rsidR="00F51113" w:rsidRPr="00841C21" w14:paraId="4C36E7BE" w14:textId="77777777">
        <w:tc>
          <w:tcPr>
            <w:tcW w:w="993" w:type="dxa"/>
            <w:shd w:val="clear" w:color="auto" w:fill="auto"/>
            <w:vAlign w:val="center"/>
            <w:hideMark/>
          </w:tcPr>
          <w:p w14:paraId="701F1F99" w14:textId="77777777" w:rsidR="00F51113" w:rsidRPr="00841C21" w:rsidRDefault="00F51113" w:rsidP="00667D42">
            <w:pPr>
              <w:pStyle w:val="TableText"/>
              <w:spacing w:before="30" w:after="30"/>
              <w:rPr>
                <w:rFonts w:cs="Calibri"/>
                <w:szCs w:val="18"/>
              </w:rPr>
            </w:pPr>
            <w:r w:rsidRPr="00841C21">
              <w:rPr>
                <w:rFonts w:cs="Calibri"/>
                <w:szCs w:val="18"/>
              </w:rPr>
              <w:t>N</w:t>
            </w:r>
            <w:r w:rsidRPr="00841C21">
              <w:rPr>
                <w:rFonts w:cs="Calibri"/>
                <w:szCs w:val="18"/>
                <w:vertAlign w:val="subscript"/>
              </w:rPr>
              <w:t>2</w:t>
            </w:r>
            <w:r w:rsidRPr="00841C21">
              <w:rPr>
                <w:rFonts w:cs="Calibri"/>
                <w:szCs w:val="18"/>
              </w:rPr>
              <w:t>O </w:t>
            </w:r>
          </w:p>
        </w:tc>
        <w:tc>
          <w:tcPr>
            <w:tcW w:w="1435" w:type="dxa"/>
            <w:gridSpan w:val="3"/>
            <w:shd w:val="clear" w:color="auto" w:fill="D2DDE1"/>
            <w:vAlign w:val="center"/>
            <w:hideMark/>
          </w:tcPr>
          <w:p w14:paraId="750C2086" w14:textId="77777777" w:rsidR="00F51113" w:rsidRPr="00841C21" w:rsidRDefault="00F51113" w:rsidP="00667D42">
            <w:pPr>
              <w:pStyle w:val="TableText"/>
              <w:spacing w:before="30" w:after="30"/>
              <w:jc w:val="center"/>
              <w:rPr>
                <w:rFonts w:cs="Calibri"/>
                <w:szCs w:val="18"/>
              </w:rPr>
            </w:pPr>
            <w:r w:rsidRPr="00841C21">
              <w:rPr>
                <w:rFonts w:cs="Calibri"/>
                <w:szCs w:val="18"/>
              </w:rPr>
              <w:t>98</w:t>
            </w:r>
          </w:p>
        </w:tc>
        <w:tc>
          <w:tcPr>
            <w:tcW w:w="1214" w:type="dxa"/>
            <w:gridSpan w:val="2"/>
            <w:shd w:val="clear" w:color="auto" w:fill="D2DDE1"/>
            <w:vAlign w:val="center"/>
            <w:hideMark/>
          </w:tcPr>
          <w:p w14:paraId="6D489CE7" w14:textId="77777777" w:rsidR="00F51113" w:rsidRPr="00841C21" w:rsidRDefault="00F51113" w:rsidP="00667D42">
            <w:pPr>
              <w:pStyle w:val="TableText"/>
              <w:spacing w:before="30" w:after="30"/>
              <w:jc w:val="center"/>
              <w:rPr>
                <w:rFonts w:cs="Calibri"/>
                <w:szCs w:val="18"/>
              </w:rPr>
            </w:pPr>
            <w:r w:rsidRPr="00841C21">
              <w:rPr>
                <w:rFonts w:cs="Calibri"/>
                <w:szCs w:val="18"/>
              </w:rPr>
              <w:t>109</w:t>
            </w:r>
          </w:p>
        </w:tc>
        <w:tc>
          <w:tcPr>
            <w:tcW w:w="1212" w:type="dxa"/>
            <w:gridSpan w:val="2"/>
            <w:shd w:val="clear" w:color="auto" w:fill="D2DDE1"/>
            <w:vAlign w:val="center"/>
            <w:hideMark/>
          </w:tcPr>
          <w:p w14:paraId="15B83D3C" w14:textId="77777777" w:rsidR="00F51113" w:rsidRPr="00841C21" w:rsidRDefault="00F51113" w:rsidP="00667D42">
            <w:pPr>
              <w:pStyle w:val="TableText"/>
              <w:spacing w:before="30" w:after="30"/>
              <w:jc w:val="center"/>
              <w:rPr>
                <w:rFonts w:cs="Calibri"/>
                <w:szCs w:val="18"/>
              </w:rPr>
            </w:pPr>
            <w:r w:rsidRPr="00841C21">
              <w:rPr>
                <w:rFonts w:cs="Calibri"/>
                <w:szCs w:val="18"/>
              </w:rPr>
              <w:t>109</w:t>
            </w:r>
          </w:p>
        </w:tc>
        <w:tc>
          <w:tcPr>
            <w:tcW w:w="1210" w:type="dxa"/>
            <w:gridSpan w:val="2"/>
            <w:shd w:val="clear" w:color="auto" w:fill="D2DDE1"/>
            <w:vAlign w:val="center"/>
            <w:hideMark/>
          </w:tcPr>
          <w:p w14:paraId="5811EF40" w14:textId="77777777" w:rsidR="00F51113" w:rsidRPr="00841C21" w:rsidRDefault="00F51113" w:rsidP="00667D42">
            <w:pPr>
              <w:pStyle w:val="TableText"/>
              <w:spacing w:before="30" w:after="30"/>
              <w:jc w:val="center"/>
              <w:rPr>
                <w:rFonts w:cs="Calibri"/>
                <w:szCs w:val="18"/>
              </w:rPr>
            </w:pPr>
            <w:r w:rsidRPr="00841C21">
              <w:rPr>
                <w:rFonts w:cs="Calibri"/>
                <w:szCs w:val="18"/>
              </w:rPr>
              <w:t>109</w:t>
            </w:r>
          </w:p>
        </w:tc>
        <w:tc>
          <w:tcPr>
            <w:tcW w:w="1208" w:type="dxa"/>
            <w:gridSpan w:val="2"/>
            <w:shd w:val="clear" w:color="auto" w:fill="D2DDE1"/>
            <w:vAlign w:val="center"/>
            <w:hideMark/>
          </w:tcPr>
          <w:p w14:paraId="43145CE4" w14:textId="77777777" w:rsidR="00F51113" w:rsidRPr="00841C21" w:rsidRDefault="00F51113" w:rsidP="00667D42">
            <w:pPr>
              <w:pStyle w:val="TableText"/>
              <w:spacing w:before="30" w:after="30"/>
              <w:jc w:val="center"/>
              <w:rPr>
                <w:rFonts w:cs="Calibri"/>
                <w:szCs w:val="18"/>
              </w:rPr>
            </w:pPr>
            <w:r w:rsidRPr="00841C21">
              <w:rPr>
                <w:rFonts w:cs="Calibri"/>
                <w:szCs w:val="18"/>
              </w:rPr>
              <w:t>109</w:t>
            </w:r>
          </w:p>
        </w:tc>
        <w:tc>
          <w:tcPr>
            <w:tcW w:w="1225" w:type="dxa"/>
            <w:gridSpan w:val="3"/>
            <w:shd w:val="clear" w:color="auto" w:fill="D2DDE1"/>
            <w:vAlign w:val="center"/>
            <w:hideMark/>
          </w:tcPr>
          <w:p w14:paraId="7F3C6D38" w14:textId="77777777" w:rsidR="00F51113" w:rsidRPr="00841C21" w:rsidRDefault="00F51113" w:rsidP="00667D42">
            <w:pPr>
              <w:pStyle w:val="TableText"/>
              <w:spacing w:before="30" w:after="30"/>
              <w:jc w:val="center"/>
              <w:rPr>
                <w:rFonts w:cs="Calibri"/>
                <w:szCs w:val="18"/>
              </w:rPr>
            </w:pPr>
            <w:r w:rsidRPr="00841C21">
              <w:rPr>
                <w:rFonts w:cs="Calibri"/>
                <w:szCs w:val="18"/>
              </w:rPr>
              <w:t>109</w:t>
            </w:r>
          </w:p>
        </w:tc>
      </w:tr>
      <w:tr w:rsidR="00F51113" w:rsidRPr="00841C21" w14:paraId="3B6DA81E" w14:textId="77777777">
        <w:tc>
          <w:tcPr>
            <w:tcW w:w="993" w:type="dxa"/>
            <w:shd w:val="clear" w:color="auto" w:fill="auto"/>
            <w:vAlign w:val="center"/>
            <w:hideMark/>
          </w:tcPr>
          <w:p w14:paraId="71653B2A" w14:textId="77777777" w:rsidR="00F51113" w:rsidRPr="00841C21" w:rsidRDefault="00F51113" w:rsidP="00667D42">
            <w:pPr>
              <w:pStyle w:val="TableText"/>
              <w:spacing w:before="30" w:after="30"/>
              <w:rPr>
                <w:rFonts w:cs="Calibri"/>
                <w:szCs w:val="18"/>
              </w:rPr>
            </w:pPr>
            <w:r w:rsidRPr="00841C21">
              <w:rPr>
                <w:rFonts w:cs="Calibri"/>
                <w:szCs w:val="18"/>
              </w:rPr>
              <w:t>HFCs </w:t>
            </w:r>
          </w:p>
        </w:tc>
        <w:tc>
          <w:tcPr>
            <w:tcW w:w="1435" w:type="dxa"/>
            <w:gridSpan w:val="3"/>
            <w:shd w:val="clear" w:color="auto" w:fill="D2DDE1"/>
            <w:vAlign w:val="center"/>
            <w:hideMark/>
          </w:tcPr>
          <w:p w14:paraId="539B9D9D" w14:textId="77777777" w:rsidR="00F51113" w:rsidRPr="00841C21" w:rsidRDefault="00F51113" w:rsidP="00667D42">
            <w:pPr>
              <w:pStyle w:val="TableText"/>
              <w:spacing w:before="30" w:after="30"/>
              <w:jc w:val="center"/>
              <w:rPr>
                <w:rFonts w:cs="Calibri"/>
                <w:szCs w:val="18"/>
              </w:rPr>
            </w:pPr>
            <w:r w:rsidRPr="00841C21">
              <w:rPr>
                <w:rFonts w:cs="Calibri"/>
                <w:szCs w:val="18"/>
              </w:rPr>
              <w:t>1,129</w:t>
            </w:r>
          </w:p>
        </w:tc>
        <w:tc>
          <w:tcPr>
            <w:tcW w:w="1214" w:type="dxa"/>
            <w:gridSpan w:val="2"/>
            <w:shd w:val="clear" w:color="auto" w:fill="D2DDE1"/>
            <w:vAlign w:val="center"/>
            <w:hideMark/>
          </w:tcPr>
          <w:p w14:paraId="13FA647B" w14:textId="77777777" w:rsidR="00F51113" w:rsidRPr="00841C21" w:rsidRDefault="00F51113" w:rsidP="00667D42">
            <w:pPr>
              <w:pStyle w:val="TableText"/>
              <w:spacing w:before="30" w:after="30"/>
              <w:jc w:val="center"/>
              <w:rPr>
                <w:rFonts w:cs="Calibri"/>
                <w:szCs w:val="18"/>
              </w:rPr>
            </w:pPr>
            <w:r w:rsidRPr="00841C21">
              <w:rPr>
                <w:rFonts w:cs="Calibri"/>
                <w:szCs w:val="18"/>
              </w:rPr>
              <w:t>1,038</w:t>
            </w:r>
          </w:p>
        </w:tc>
        <w:tc>
          <w:tcPr>
            <w:tcW w:w="1212" w:type="dxa"/>
            <w:gridSpan w:val="2"/>
            <w:shd w:val="clear" w:color="auto" w:fill="D2DDE1"/>
            <w:vAlign w:val="center"/>
            <w:hideMark/>
          </w:tcPr>
          <w:p w14:paraId="07ED915D" w14:textId="77777777" w:rsidR="00F51113" w:rsidRPr="00841C21" w:rsidRDefault="00F51113" w:rsidP="00667D42">
            <w:pPr>
              <w:pStyle w:val="TableText"/>
              <w:spacing w:before="30" w:after="30"/>
              <w:jc w:val="center"/>
              <w:rPr>
                <w:rFonts w:cs="Calibri"/>
                <w:szCs w:val="18"/>
              </w:rPr>
            </w:pPr>
            <w:r w:rsidRPr="00841C21">
              <w:rPr>
                <w:rFonts w:cs="Calibri"/>
                <w:szCs w:val="18"/>
              </w:rPr>
              <w:t>958</w:t>
            </w:r>
          </w:p>
        </w:tc>
        <w:tc>
          <w:tcPr>
            <w:tcW w:w="1210" w:type="dxa"/>
            <w:gridSpan w:val="2"/>
            <w:shd w:val="clear" w:color="auto" w:fill="D2DDE1"/>
            <w:vAlign w:val="center"/>
            <w:hideMark/>
          </w:tcPr>
          <w:p w14:paraId="3FEE459F" w14:textId="77777777" w:rsidR="00F51113" w:rsidRPr="00841C21" w:rsidRDefault="00F51113" w:rsidP="00667D42">
            <w:pPr>
              <w:pStyle w:val="TableText"/>
              <w:spacing w:before="30" w:after="30"/>
              <w:jc w:val="center"/>
              <w:rPr>
                <w:rFonts w:cs="Calibri"/>
                <w:szCs w:val="18"/>
              </w:rPr>
            </w:pPr>
            <w:r w:rsidRPr="00841C21">
              <w:rPr>
                <w:rFonts w:cs="Calibri"/>
                <w:szCs w:val="18"/>
              </w:rPr>
              <w:t>834</w:t>
            </w:r>
          </w:p>
        </w:tc>
        <w:tc>
          <w:tcPr>
            <w:tcW w:w="1208" w:type="dxa"/>
            <w:gridSpan w:val="2"/>
            <w:shd w:val="clear" w:color="auto" w:fill="D2DDE1"/>
            <w:vAlign w:val="center"/>
            <w:hideMark/>
          </w:tcPr>
          <w:p w14:paraId="32F1BE61" w14:textId="77777777" w:rsidR="00F51113" w:rsidRPr="00841C21" w:rsidRDefault="00F51113" w:rsidP="00667D42">
            <w:pPr>
              <w:pStyle w:val="TableText"/>
              <w:spacing w:before="30" w:after="30"/>
              <w:jc w:val="center"/>
              <w:rPr>
                <w:rFonts w:cs="Calibri"/>
                <w:szCs w:val="18"/>
              </w:rPr>
            </w:pPr>
            <w:r w:rsidRPr="00841C21">
              <w:rPr>
                <w:rFonts w:cs="Calibri"/>
                <w:szCs w:val="18"/>
              </w:rPr>
              <w:t>843</w:t>
            </w:r>
          </w:p>
        </w:tc>
        <w:tc>
          <w:tcPr>
            <w:tcW w:w="1225" w:type="dxa"/>
            <w:gridSpan w:val="3"/>
            <w:shd w:val="clear" w:color="auto" w:fill="D2DDE1"/>
            <w:vAlign w:val="center"/>
            <w:hideMark/>
          </w:tcPr>
          <w:p w14:paraId="7F214C00" w14:textId="77777777" w:rsidR="00F51113" w:rsidRPr="00841C21" w:rsidRDefault="00F51113" w:rsidP="00667D42">
            <w:pPr>
              <w:pStyle w:val="TableText"/>
              <w:spacing w:before="30" w:after="30"/>
              <w:jc w:val="center"/>
              <w:rPr>
                <w:rFonts w:cs="Calibri"/>
                <w:szCs w:val="18"/>
              </w:rPr>
            </w:pPr>
            <w:r w:rsidRPr="00841C21">
              <w:rPr>
                <w:rFonts w:cs="Calibri"/>
                <w:szCs w:val="18"/>
              </w:rPr>
              <w:t>754</w:t>
            </w:r>
          </w:p>
        </w:tc>
      </w:tr>
      <w:tr w:rsidR="00F51113" w:rsidRPr="00841C21" w14:paraId="33195203" w14:textId="77777777">
        <w:tc>
          <w:tcPr>
            <w:tcW w:w="993" w:type="dxa"/>
            <w:shd w:val="clear" w:color="auto" w:fill="auto"/>
            <w:vAlign w:val="center"/>
            <w:hideMark/>
          </w:tcPr>
          <w:p w14:paraId="78D75425" w14:textId="77777777" w:rsidR="00F51113" w:rsidRPr="00841C21" w:rsidRDefault="00F51113" w:rsidP="00667D42">
            <w:pPr>
              <w:pStyle w:val="TableText"/>
              <w:spacing w:before="30" w:after="30"/>
              <w:rPr>
                <w:rFonts w:cs="Calibri"/>
                <w:szCs w:val="18"/>
              </w:rPr>
            </w:pPr>
            <w:r w:rsidRPr="00841C21">
              <w:rPr>
                <w:rFonts w:cs="Calibri"/>
                <w:szCs w:val="18"/>
              </w:rPr>
              <w:t>PFCs </w:t>
            </w:r>
          </w:p>
        </w:tc>
        <w:tc>
          <w:tcPr>
            <w:tcW w:w="1435" w:type="dxa"/>
            <w:gridSpan w:val="3"/>
            <w:shd w:val="clear" w:color="auto" w:fill="D2DDE1"/>
            <w:vAlign w:val="center"/>
            <w:hideMark/>
          </w:tcPr>
          <w:p w14:paraId="77C41A0E" w14:textId="77777777" w:rsidR="00F51113" w:rsidRPr="00841C21" w:rsidRDefault="00F51113" w:rsidP="00667D42">
            <w:pPr>
              <w:pStyle w:val="TableText"/>
              <w:spacing w:before="30" w:after="30"/>
              <w:jc w:val="center"/>
              <w:rPr>
                <w:rFonts w:cs="Calibri"/>
                <w:szCs w:val="18"/>
              </w:rPr>
            </w:pPr>
            <w:r w:rsidRPr="00841C21">
              <w:rPr>
                <w:rFonts w:cs="Calibri"/>
                <w:szCs w:val="18"/>
              </w:rPr>
              <w:t>47</w:t>
            </w:r>
          </w:p>
        </w:tc>
        <w:tc>
          <w:tcPr>
            <w:tcW w:w="1214" w:type="dxa"/>
            <w:gridSpan w:val="2"/>
            <w:shd w:val="clear" w:color="auto" w:fill="D2DDE1"/>
            <w:vAlign w:val="center"/>
            <w:hideMark/>
          </w:tcPr>
          <w:p w14:paraId="39288CCA" w14:textId="77777777" w:rsidR="00F51113" w:rsidRPr="00841C21" w:rsidRDefault="00F51113" w:rsidP="00667D42">
            <w:pPr>
              <w:pStyle w:val="TableText"/>
              <w:spacing w:before="30" w:after="30"/>
              <w:jc w:val="center"/>
              <w:rPr>
                <w:rFonts w:cs="Calibri"/>
                <w:szCs w:val="18"/>
              </w:rPr>
            </w:pPr>
            <w:r w:rsidRPr="00841C21">
              <w:rPr>
                <w:rFonts w:cs="Calibri"/>
                <w:szCs w:val="18"/>
              </w:rPr>
              <w:t>47</w:t>
            </w:r>
          </w:p>
        </w:tc>
        <w:tc>
          <w:tcPr>
            <w:tcW w:w="1212" w:type="dxa"/>
            <w:gridSpan w:val="2"/>
            <w:shd w:val="clear" w:color="auto" w:fill="D2DDE1"/>
            <w:vAlign w:val="center"/>
            <w:hideMark/>
          </w:tcPr>
          <w:p w14:paraId="63ADE50B" w14:textId="77777777" w:rsidR="00F51113" w:rsidRPr="00841C21" w:rsidRDefault="00F51113" w:rsidP="00667D42">
            <w:pPr>
              <w:pStyle w:val="TableText"/>
              <w:spacing w:before="30" w:after="30"/>
              <w:jc w:val="center"/>
              <w:rPr>
                <w:rFonts w:cs="Calibri"/>
                <w:szCs w:val="18"/>
              </w:rPr>
            </w:pPr>
            <w:r w:rsidRPr="00841C21">
              <w:rPr>
                <w:rFonts w:cs="Calibri"/>
                <w:szCs w:val="18"/>
              </w:rPr>
              <w:t>47</w:t>
            </w:r>
          </w:p>
        </w:tc>
        <w:tc>
          <w:tcPr>
            <w:tcW w:w="1210" w:type="dxa"/>
            <w:gridSpan w:val="2"/>
            <w:shd w:val="clear" w:color="auto" w:fill="D2DDE1"/>
            <w:vAlign w:val="center"/>
            <w:hideMark/>
          </w:tcPr>
          <w:p w14:paraId="2138B1A9" w14:textId="77777777" w:rsidR="00F51113" w:rsidRPr="00841C21" w:rsidRDefault="00F51113" w:rsidP="00667D42">
            <w:pPr>
              <w:pStyle w:val="TableText"/>
              <w:spacing w:before="30" w:after="30"/>
              <w:jc w:val="center"/>
              <w:rPr>
                <w:rFonts w:cs="Calibri"/>
                <w:szCs w:val="18"/>
              </w:rPr>
            </w:pPr>
            <w:r w:rsidRPr="00841C21">
              <w:rPr>
                <w:rFonts w:cs="Calibri"/>
                <w:szCs w:val="18"/>
              </w:rPr>
              <w:t>47</w:t>
            </w:r>
          </w:p>
        </w:tc>
        <w:tc>
          <w:tcPr>
            <w:tcW w:w="1208" w:type="dxa"/>
            <w:gridSpan w:val="2"/>
            <w:shd w:val="clear" w:color="auto" w:fill="D2DDE1"/>
            <w:vAlign w:val="center"/>
            <w:hideMark/>
          </w:tcPr>
          <w:p w14:paraId="170471FF" w14:textId="77777777" w:rsidR="00F51113" w:rsidRPr="00841C21" w:rsidRDefault="00F51113" w:rsidP="00667D42">
            <w:pPr>
              <w:pStyle w:val="TableText"/>
              <w:spacing w:before="30" w:after="30"/>
              <w:jc w:val="center"/>
              <w:rPr>
                <w:rFonts w:cs="Calibri"/>
                <w:szCs w:val="18"/>
              </w:rPr>
            </w:pPr>
            <w:r w:rsidRPr="00841C21">
              <w:rPr>
                <w:rFonts w:cs="Calibri"/>
                <w:szCs w:val="18"/>
              </w:rPr>
              <w:t>47</w:t>
            </w:r>
          </w:p>
        </w:tc>
        <w:tc>
          <w:tcPr>
            <w:tcW w:w="1225" w:type="dxa"/>
            <w:gridSpan w:val="3"/>
            <w:shd w:val="clear" w:color="auto" w:fill="D2DDE1"/>
            <w:vAlign w:val="center"/>
            <w:hideMark/>
          </w:tcPr>
          <w:p w14:paraId="2095EFB2" w14:textId="77777777" w:rsidR="00F51113" w:rsidRPr="00841C21" w:rsidRDefault="00F51113" w:rsidP="00667D42">
            <w:pPr>
              <w:pStyle w:val="TableText"/>
              <w:spacing w:before="30" w:after="30"/>
              <w:jc w:val="center"/>
              <w:rPr>
                <w:rFonts w:cs="Calibri"/>
                <w:szCs w:val="18"/>
              </w:rPr>
            </w:pPr>
            <w:r w:rsidRPr="00841C21">
              <w:rPr>
                <w:rFonts w:cs="Calibri"/>
                <w:szCs w:val="18"/>
              </w:rPr>
              <w:t>47</w:t>
            </w:r>
          </w:p>
        </w:tc>
      </w:tr>
      <w:tr w:rsidR="00F51113" w:rsidRPr="00841C21" w14:paraId="63BCCFB7" w14:textId="77777777">
        <w:tc>
          <w:tcPr>
            <w:tcW w:w="993" w:type="dxa"/>
            <w:shd w:val="clear" w:color="auto" w:fill="auto"/>
            <w:vAlign w:val="center"/>
            <w:hideMark/>
          </w:tcPr>
          <w:p w14:paraId="6D6C0877" w14:textId="77777777" w:rsidR="00F51113" w:rsidRPr="00841C21" w:rsidRDefault="00F51113" w:rsidP="00667D42">
            <w:pPr>
              <w:pStyle w:val="TableText"/>
              <w:spacing w:before="30" w:after="30"/>
              <w:rPr>
                <w:rFonts w:cs="Calibri"/>
                <w:szCs w:val="18"/>
              </w:rPr>
            </w:pPr>
            <w:r w:rsidRPr="00841C21">
              <w:rPr>
                <w:rFonts w:cs="Calibri"/>
                <w:szCs w:val="18"/>
              </w:rPr>
              <w:t>SF</w:t>
            </w:r>
            <w:r w:rsidRPr="00841C21">
              <w:rPr>
                <w:rFonts w:cs="Calibri"/>
                <w:szCs w:val="18"/>
                <w:vertAlign w:val="subscript"/>
              </w:rPr>
              <w:t>6</w:t>
            </w:r>
            <w:r w:rsidRPr="00841C21">
              <w:rPr>
                <w:rFonts w:cs="Calibri"/>
                <w:szCs w:val="18"/>
              </w:rPr>
              <w:t> </w:t>
            </w:r>
          </w:p>
        </w:tc>
        <w:tc>
          <w:tcPr>
            <w:tcW w:w="1435" w:type="dxa"/>
            <w:gridSpan w:val="3"/>
            <w:shd w:val="clear" w:color="auto" w:fill="D2DDE1"/>
            <w:vAlign w:val="center"/>
            <w:hideMark/>
          </w:tcPr>
          <w:p w14:paraId="648DB317" w14:textId="77777777" w:rsidR="00F51113" w:rsidRPr="00841C21" w:rsidRDefault="00F51113" w:rsidP="00667D42">
            <w:pPr>
              <w:pStyle w:val="TableText"/>
              <w:spacing w:before="30" w:after="30"/>
              <w:jc w:val="center"/>
              <w:rPr>
                <w:rFonts w:cs="Calibri"/>
                <w:szCs w:val="18"/>
              </w:rPr>
            </w:pPr>
            <w:r w:rsidRPr="00841C21">
              <w:rPr>
                <w:rFonts w:cs="Calibri"/>
                <w:szCs w:val="18"/>
              </w:rPr>
              <w:t>20</w:t>
            </w:r>
          </w:p>
        </w:tc>
        <w:tc>
          <w:tcPr>
            <w:tcW w:w="1214" w:type="dxa"/>
            <w:gridSpan w:val="2"/>
            <w:shd w:val="clear" w:color="auto" w:fill="D2DDE1"/>
            <w:vAlign w:val="center"/>
            <w:hideMark/>
          </w:tcPr>
          <w:p w14:paraId="2B1C6EEB" w14:textId="77777777" w:rsidR="00F51113" w:rsidRPr="00841C21" w:rsidRDefault="00F51113" w:rsidP="00667D42">
            <w:pPr>
              <w:pStyle w:val="TableText"/>
              <w:spacing w:before="30" w:after="30"/>
              <w:jc w:val="center"/>
              <w:rPr>
                <w:rFonts w:cs="Calibri"/>
                <w:szCs w:val="18"/>
              </w:rPr>
            </w:pPr>
            <w:r w:rsidRPr="00841C21">
              <w:rPr>
                <w:rFonts w:cs="Calibri"/>
                <w:szCs w:val="18"/>
              </w:rPr>
              <w:t>22</w:t>
            </w:r>
          </w:p>
        </w:tc>
        <w:tc>
          <w:tcPr>
            <w:tcW w:w="1212" w:type="dxa"/>
            <w:gridSpan w:val="2"/>
            <w:shd w:val="clear" w:color="auto" w:fill="D2DDE1"/>
            <w:vAlign w:val="center"/>
            <w:hideMark/>
          </w:tcPr>
          <w:p w14:paraId="7CD806FB" w14:textId="77777777" w:rsidR="00F51113" w:rsidRPr="00841C21" w:rsidRDefault="00F51113" w:rsidP="00667D42">
            <w:pPr>
              <w:pStyle w:val="TableText"/>
              <w:spacing w:before="30" w:after="30"/>
              <w:jc w:val="center"/>
              <w:rPr>
                <w:rFonts w:cs="Calibri"/>
                <w:szCs w:val="18"/>
              </w:rPr>
            </w:pPr>
            <w:r w:rsidRPr="00841C21">
              <w:rPr>
                <w:rFonts w:cs="Calibri"/>
                <w:szCs w:val="18"/>
              </w:rPr>
              <w:t>22</w:t>
            </w:r>
          </w:p>
        </w:tc>
        <w:tc>
          <w:tcPr>
            <w:tcW w:w="1210" w:type="dxa"/>
            <w:gridSpan w:val="2"/>
            <w:shd w:val="clear" w:color="auto" w:fill="D2DDE1"/>
            <w:vAlign w:val="center"/>
            <w:hideMark/>
          </w:tcPr>
          <w:p w14:paraId="0690D4AE" w14:textId="77777777" w:rsidR="00F51113" w:rsidRPr="00841C21" w:rsidRDefault="00F51113" w:rsidP="00667D42">
            <w:pPr>
              <w:pStyle w:val="TableText"/>
              <w:spacing w:before="30" w:after="30"/>
              <w:jc w:val="center"/>
              <w:rPr>
                <w:rFonts w:cs="Calibri"/>
                <w:szCs w:val="18"/>
              </w:rPr>
            </w:pPr>
            <w:r w:rsidRPr="00841C21">
              <w:rPr>
                <w:rFonts w:cs="Calibri"/>
                <w:szCs w:val="18"/>
              </w:rPr>
              <w:t>22</w:t>
            </w:r>
          </w:p>
        </w:tc>
        <w:tc>
          <w:tcPr>
            <w:tcW w:w="1208" w:type="dxa"/>
            <w:gridSpan w:val="2"/>
            <w:shd w:val="clear" w:color="auto" w:fill="D2DDE1"/>
            <w:vAlign w:val="center"/>
            <w:hideMark/>
          </w:tcPr>
          <w:p w14:paraId="7D3BD6AC" w14:textId="77777777" w:rsidR="00F51113" w:rsidRPr="00841C21" w:rsidRDefault="00F51113" w:rsidP="00667D42">
            <w:pPr>
              <w:pStyle w:val="TableText"/>
              <w:spacing w:before="30" w:after="30"/>
              <w:jc w:val="center"/>
              <w:rPr>
                <w:rFonts w:cs="Calibri"/>
                <w:szCs w:val="18"/>
              </w:rPr>
            </w:pPr>
            <w:r w:rsidRPr="00841C21">
              <w:rPr>
                <w:rFonts w:cs="Calibri"/>
                <w:szCs w:val="18"/>
              </w:rPr>
              <w:t>22</w:t>
            </w:r>
          </w:p>
        </w:tc>
        <w:tc>
          <w:tcPr>
            <w:tcW w:w="1225" w:type="dxa"/>
            <w:gridSpan w:val="3"/>
            <w:shd w:val="clear" w:color="auto" w:fill="D2DDE1"/>
            <w:vAlign w:val="center"/>
            <w:hideMark/>
          </w:tcPr>
          <w:p w14:paraId="7BA77EEA" w14:textId="77777777" w:rsidR="00F51113" w:rsidRPr="00841C21" w:rsidRDefault="00F51113" w:rsidP="00667D42">
            <w:pPr>
              <w:pStyle w:val="TableText"/>
              <w:spacing w:before="30" w:after="30"/>
              <w:jc w:val="center"/>
              <w:rPr>
                <w:rFonts w:cs="Calibri"/>
                <w:szCs w:val="18"/>
              </w:rPr>
            </w:pPr>
            <w:r w:rsidRPr="00841C21">
              <w:rPr>
                <w:rFonts w:cs="Calibri"/>
                <w:szCs w:val="18"/>
              </w:rPr>
              <w:t>22</w:t>
            </w:r>
          </w:p>
        </w:tc>
      </w:tr>
      <w:tr w:rsidR="00F51113" w:rsidRPr="00841C21" w14:paraId="1FEF9687" w14:textId="77777777">
        <w:tc>
          <w:tcPr>
            <w:tcW w:w="993" w:type="dxa"/>
            <w:shd w:val="clear" w:color="auto" w:fill="auto"/>
            <w:vAlign w:val="center"/>
            <w:hideMark/>
          </w:tcPr>
          <w:p w14:paraId="5D79914C" w14:textId="77777777" w:rsidR="00F51113" w:rsidRPr="00841C21" w:rsidRDefault="00F51113" w:rsidP="00667D42">
            <w:pPr>
              <w:pStyle w:val="TableText"/>
              <w:spacing w:before="30" w:after="30"/>
              <w:rPr>
                <w:rFonts w:cs="Calibri"/>
                <w:szCs w:val="18"/>
              </w:rPr>
            </w:pPr>
            <w:r w:rsidRPr="00841C21">
              <w:rPr>
                <w:rFonts w:cs="Calibri"/>
                <w:szCs w:val="18"/>
              </w:rPr>
              <w:t>NF</w:t>
            </w:r>
            <w:r w:rsidRPr="00841C21">
              <w:rPr>
                <w:rFonts w:cs="Calibri"/>
                <w:szCs w:val="18"/>
                <w:vertAlign w:val="subscript"/>
              </w:rPr>
              <w:t>3</w:t>
            </w:r>
            <w:r w:rsidRPr="00841C21">
              <w:rPr>
                <w:rFonts w:cs="Calibri"/>
                <w:szCs w:val="18"/>
              </w:rPr>
              <w:t> </w:t>
            </w:r>
          </w:p>
        </w:tc>
        <w:tc>
          <w:tcPr>
            <w:tcW w:w="1435" w:type="dxa"/>
            <w:gridSpan w:val="3"/>
            <w:shd w:val="clear" w:color="auto" w:fill="D2DDE1"/>
            <w:vAlign w:val="center"/>
            <w:hideMark/>
          </w:tcPr>
          <w:p w14:paraId="1BC7E714" w14:textId="77777777" w:rsidR="00F51113" w:rsidRPr="00841C21" w:rsidRDefault="00F51113" w:rsidP="00667D42">
            <w:pPr>
              <w:pStyle w:val="TableText"/>
              <w:spacing w:before="30" w:after="30"/>
              <w:jc w:val="center"/>
              <w:rPr>
                <w:rFonts w:cs="Calibri"/>
                <w:szCs w:val="18"/>
              </w:rPr>
            </w:pPr>
            <w:r w:rsidRPr="00841C21">
              <w:rPr>
                <w:rFonts w:cs="Calibri"/>
                <w:color w:val="000000"/>
                <w:szCs w:val="18"/>
              </w:rPr>
              <w:t>NA</w:t>
            </w:r>
          </w:p>
        </w:tc>
        <w:tc>
          <w:tcPr>
            <w:tcW w:w="1214" w:type="dxa"/>
            <w:gridSpan w:val="2"/>
            <w:shd w:val="clear" w:color="auto" w:fill="D2DDE1"/>
            <w:vAlign w:val="center"/>
            <w:hideMark/>
          </w:tcPr>
          <w:p w14:paraId="5EF8B544" w14:textId="77777777" w:rsidR="00F51113" w:rsidRPr="00841C21" w:rsidRDefault="00F51113" w:rsidP="00667D42">
            <w:pPr>
              <w:pStyle w:val="TableText"/>
              <w:spacing w:before="30" w:after="30"/>
              <w:jc w:val="center"/>
              <w:rPr>
                <w:rFonts w:cs="Calibri"/>
                <w:szCs w:val="18"/>
              </w:rPr>
            </w:pPr>
            <w:r w:rsidRPr="00841C21">
              <w:rPr>
                <w:rFonts w:cs="Calibri"/>
                <w:color w:val="000000"/>
                <w:szCs w:val="18"/>
              </w:rPr>
              <w:t>NA</w:t>
            </w:r>
          </w:p>
        </w:tc>
        <w:tc>
          <w:tcPr>
            <w:tcW w:w="1212" w:type="dxa"/>
            <w:gridSpan w:val="2"/>
            <w:shd w:val="clear" w:color="auto" w:fill="D2DDE1"/>
            <w:vAlign w:val="center"/>
            <w:hideMark/>
          </w:tcPr>
          <w:p w14:paraId="064EEB17" w14:textId="77777777" w:rsidR="00F51113" w:rsidRPr="00841C21" w:rsidRDefault="00F51113" w:rsidP="00667D42">
            <w:pPr>
              <w:pStyle w:val="TableText"/>
              <w:spacing w:before="30" w:after="30"/>
              <w:jc w:val="center"/>
              <w:rPr>
                <w:rFonts w:cs="Calibri"/>
                <w:szCs w:val="18"/>
              </w:rPr>
            </w:pPr>
            <w:r w:rsidRPr="00841C21">
              <w:rPr>
                <w:rFonts w:cs="Calibri"/>
                <w:color w:val="000000"/>
                <w:szCs w:val="18"/>
              </w:rPr>
              <w:t>NA</w:t>
            </w:r>
          </w:p>
        </w:tc>
        <w:tc>
          <w:tcPr>
            <w:tcW w:w="1210" w:type="dxa"/>
            <w:gridSpan w:val="2"/>
            <w:shd w:val="clear" w:color="auto" w:fill="D2DDE1"/>
            <w:vAlign w:val="center"/>
            <w:hideMark/>
          </w:tcPr>
          <w:p w14:paraId="1C9D8EB9" w14:textId="77777777" w:rsidR="00F51113" w:rsidRPr="00841C21" w:rsidRDefault="00F51113" w:rsidP="00667D42">
            <w:pPr>
              <w:pStyle w:val="TableText"/>
              <w:spacing w:before="30" w:after="30"/>
              <w:jc w:val="center"/>
              <w:rPr>
                <w:rFonts w:cs="Calibri"/>
                <w:szCs w:val="18"/>
              </w:rPr>
            </w:pPr>
            <w:r w:rsidRPr="00841C21">
              <w:rPr>
                <w:rFonts w:cs="Calibri"/>
                <w:color w:val="000000"/>
                <w:szCs w:val="18"/>
              </w:rPr>
              <w:t>NA</w:t>
            </w:r>
          </w:p>
        </w:tc>
        <w:tc>
          <w:tcPr>
            <w:tcW w:w="1208" w:type="dxa"/>
            <w:gridSpan w:val="2"/>
            <w:shd w:val="clear" w:color="auto" w:fill="D2DDE1"/>
            <w:vAlign w:val="center"/>
            <w:hideMark/>
          </w:tcPr>
          <w:p w14:paraId="63791FFA" w14:textId="77777777" w:rsidR="00F51113" w:rsidRPr="00841C21" w:rsidRDefault="00F51113" w:rsidP="00667D42">
            <w:pPr>
              <w:pStyle w:val="TableText"/>
              <w:spacing w:before="30" w:after="30"/>
              <w:jc w:val="center"/>
              <w:rPr>
                <w:rFonts w:cs="Calibri"/>
                <w:szCs w:val="18"/>
              </w:rPr>
            </w:pPr>
            <w:r w:rsidRPr="00841C21">
              <w:rPr>
                <w:rFonts w:cs="Calibri"/>
                <w:color w:val="000000"/>
                <w:szCs w:val="18"/>
              </w:rPr>
              <w:t>NA</w:t>
            </w:r>
          </w:p>
        </w:tc>
        <w:tc>
          <w:tcPr>
            <w:tcW w:w="1225" w:type="dxa"/>
            <w:gridSpan w:val="3"/>
            <w:shd w:val="clear" w:color="auto" w:fill="D2DDE1"/>
            <w:vAlign w:val="center"/>
            <w:hideMark/>
          </w:tcPr>
          <w:p w14:paraId="38CCB2AE" w14:textId="77777777" w:rsidR="00F51113" w:rsidRPr="00841C21" w:rsidRDefault="00F51113" w:rsidP="00667D42">
            <w:pPr>
              <w:pStyle w:val="TableText"/>
              <w:spacing w:before="30" w:after="30"/>
              <w:jc w:val="center"/>
              <w:rPr>
                <w:rFonts w:cs="Calibri"/>
                <w:szCs w:val="18"/>
              </w:rPr>
            </w:pPr>
            <w:r w:rsidRPr="00841C21">
              <w:rPr>
                <w:rFonts w:cs="Calibri"/>
                <w:color w:val="000000"/>
                <w:szCs w:val="18"/>
              </w:rPr>
              <w:t>NA</w:t>
            </w:r>
          </w:p>
        </w:tc>
      </w:tr>
      <w:tr w:rsidR="00F51113" w:rsidRPr="00841C21" w14:paraId="17267318" w14:textId="77777777">
        <w:tc>
          <w:tcPr>
            <w:tcW w:w="993" w:type="dxa"/>
            <w:shd w:val="clear" w:color="auto" w:fill="auto"/>
            <w:vAlign w:val="center"/>
            <w:hideMark/>
          </w:tcPr>
          <w:p w14:paraId="456E804D" w14:textId="77777777" w:rsidR="00F51113" w:rsidRPr="00841C21" w:rsidRDefault="00F51113" w:rsidP="00667D42">
            <w:pPr>
              <w:pStyle w:val="TableTextbold"/>
              <w:spacing w:before="30" w:after="30"/>
              <w:rPr>
                <w:szCs w:val="18"/>
              </w:rPr>
            </w:pPr>
            <w:r w:rsidRPr="00841C21">
              <w:rPr>
                <w:szCs w:val="18"/>
              </w:rPr>
              <w:t>Total </w:t>
            </w:r>
          </w:p>
        </w:tc>
        <w:tc>
          <w:tcPr>
            <w:tcW w:w="1435" w:type="dxa"/>
            <w:gridSpan w:val="3"/>
            <w:shd w:val="clear" w:color="auto" w:fill="D2DDE1"/>
            <w:vAlign w:val="center"/>
            <w:hideMark/>
          </w:tcPr>
          <w:p w14:paraId="3B3CD9D9" w14:textId="77777777" w:rsidR="00F51113" w:rsidRPr="00841C21" w:rsidRDefault="00F51113" w:rsidP="00667D42">
            <w:pPr>
              <w:pStyle w:val="TableTextbold"/>
              <w:spacing w:before="30" w:after="30"/>
              <w:jc w:val="center"/>
              <w:rPr>
                <w:szCs w:val="18"/>
              </w:rPr>
            </w:pPr>
            <w:r w:rsidRPr="00841C21">
              <w:rPr>
                <w:szCs w:val="18"/>
              </w:rPr>
              <w:t>4,230</w:t>
            </w:r>
          </w:p>
        </w:tc>
        <w:tc>
          <w:tcPr>
            <w:tcW w:w="1214" w:type="dxa"/>
            <w:gridSpan w:val="2"/>
            <w:shd w:val="clear" w:color="auto" w:fill="D2DDE1"/>
            <w:vAlign w:val="center"/>
            <w:hideMark/>
          </w:tcPr>
          <w:p w14:paraId="287E2570" w14:textId="77777777" w:rsidR="00F51113" w:rsidRPr="00841C21" w:rsidRDefault="00F51113" w:rsidP="00667D42">
            <w:pPr>
              <w:pStyle w:val="TableTextbold"/>
              <w:spacing w:before="30" w:after="30"/>
              <w:jc w:val="center"/>
              <w:rPr>
                <w:szCs w:val="18"/>
              </w:rPr>
            </w:pPr>
            <w:r w:rsidRPr="00841C21">
              <w:rPr>
                <w:szCs w:val="18"/>
              </w:rPr>
              <w:t>3,113</w:t>
            </w:r>
          </w:p>
        </w:tc>
        <w:tc>
          <w:tcPr>
            <w:tcW w:w="1212" w:type="dxa"/>
            <w:gridSpan w:val="2"/>
            <w:shd w:val="clear" w:color="auto" w:fill="D2DDE1"/>
            <w:vAlign w:val="center"/>
            <w:hideMark/>
          </w:tcPr>
          <w:p w14:paraId="0A6EF7BB" w14:textId="77777777" w:rsidR="00F51113" w:rsidRPr="00841C21" w:rsidRDefault="00F51113" w:rsidP="00667D42">
            <w:pPr>
              <w:pStyle w:val="TableTextbold"/>
              <w:spacing w:before="30" w:after="30"/>
              <w:jc w:val="center"/>
              <w:rPr>
                <w:szCs w:val="18"/>
              </w:rPr>
            </w:pPr>
            <w:r w:rsidRPr="00841C21">
              <w:rPr>
                <w:szCs w:val="18"/>
              </w:rPr>
              <w:t>3,032</w:t>
            </w:r>
          </w:p>
        </w:tc>
        <w:tc>
          <w:tcPr>
            <w:tcW w:w="1210" w:type="dxa"/>
            <w:gridSpan w:val="2"/>
            <w:shd w:val="clear" w:color="auto" w:fill="D2DDE1"/>
            <w:vAlign w:val="center"/>
            <w:hideMark/>
          </w:tcPr>
          <w:p w14:paraId="5E2283B1" w14:textId="77777777" w:rsidR="00F51113" w:rsidRPr="00841C21" w:rsidRDefault="00F51113" w:rsidP="00667D42">
            <w:pPr>
              <w:pStyle w:val="TableTextbold"/>
              <w:spacing w:before="30" w:after="30"/>
              <w:jc w:val="center"/>
              <w:rPr>
                <w:szCs w:val="18"/>
              </w:rPr>
            </w:pPr>
            <w:r w:rsidRPr="00841C21">
              <w:rPr>
                <w:szCs w:val="18"/>
              </w:rPr>
              <w:t>2,908</w:t>
            </w:r>
          </w:p>
        </w:tc>
        <w:tc>
          <w:tcPr>
            <w:tcW w:w="1208" w:type="dxa"/>
            <w:gridSpan w:val="2"/>
            <w:shd w:val="clear" w:color="auto" w:fill="D2DDE1"/>
            <w:vAlign w:val="center"/>
            <w:hideMark/>
          </w:tcPr>
          <w:p w14:paraId="6D23176E" w14:textId="77777777" w:rsidR="00F51113" w:rsidRPr="00841C21" w:rsidRDefault="00F51113" w:rsidP="00667D42">
            <w:pPr>
              <w:pStyle w:val="TableTextbold"/>
              <w:spacing w:before="30" w:after="30"/>
              <w:jc w:val="center"/>
              <w:rPr>
                <w:szCs w:val="18"/>
              </w:rPr>
            </w:pPr>
            <w:r w:rsidRPr="00841C21">
              <w:rPr>
                <w:szCs w:val="18"/>
              </w:rPr>
              <w:t>2,917</w:t>
            </w:r>
          </w:p>
        </w:tc>
        <w:tc>
          <w:tcPr>
            <w:tcW w:w="1225" w:type="dxa"/>
            <w:gridSpan w:val="3"/>
            <w:shd w:val="clear" w:color="auto" w:fill="D2DDE1"/>
            <w:vAlign w:val="center"/>
            <w:hideMark/>
          </w:tcPr>
          <w:p w14:paraId="7646DA02" w14:textId="77777777" w:rsidR="00F51113" w:rsidRPr="00841C21" w:rsidRDefault="00F51113" w:rsidP="00667D42">
            <w:pPr>
              <w:pStyle w:val="TableTextbold"/>
              <w:spacing w:before="30" w:after="30"/>
              <w:jc w:val="center"/>
              <w:rPr>
                <w:szCs w:val="18"/>
              </w:rPr>
            </w:pPr>
            <w:r w:rsidRPr="00841C21">
              <w:rPr>
                <w:szCs w:val="18"/>
              </w:rPr>
              <w:t>2,829</w:t>
            </w:r>
          </w:p>
        </w:tc>
      </w:tr>
    </w:tbl>
    <w:p w14:paraId="391A16A4" w14:textId="77777777" w:rsidR="00F51113" w:rsidRPr="004C2DCD" w:rsidRDefault="00F51113" w:rsidP="00F51113">
      <w:pPr>
        <w:pStyle w:val="Note"/>
      </w:pPr>
      <w:r w:rsidRPr="004C2DCD">
        <w:rPr>
          <w:b/>
          <w:bCs/>
        </w:rPr>
        <w:t>Note:</w:t>
      </w:r>
      <w:r w:rsidRPr="004C2DCD">
        <w:t xml:space="preserve"> CH</w:t>
      </w:r>
      <w:r w:rsidRPr="004C2DCD">
        <w:rPr>
          <w:vertAlign w:val="subscript"/>
        </w:rPr>
        <w:t>4</w:t>
      </w:r>
      <w:r w:rsidRPr="004C2DCD">
        <w:t xml:space="preserve"> = methane; CO</w:t>
      </w:r>
      <w:r w:rsidRPr="004C2DCD">
        <w:rPr>
          <w:vertAlign w:val="subscript"/>
        </w:rPr>
        <w:t>2</w:t>
      </w:r>
      <w:r w:rsidRPr="004C2DCD">
        <w:t xml:space="preserve"> = carbon dioxide; HFCs</w:t>
      </w:r>
      <w:r w:rsidRPr="004C2DCD">
        <w:rPr>
          <w:rFonts w:eastAsia="Calibri" w:cs="Calibri"/>
          <w:sz w:val="20"/>
          <w:szCs w:val="20"/>
        </w:rPr>
        <w:t xml:space="preserve"> </w:t>
      </w:r>
      <w:r w:rsidRPr="004C2DCD">
        <w:t>hydrofluorocarbons</w:t>
      </w:r>
      <w:r w:rsidRPr="004C2DCD">
        <w:rPr>
          <w:rFonts w:eastAsia="Calibri" w:cs="Calibri"/>
          <w:sz w:val="20"/>
          <w:szCs w:val="20"/>
        </w:rPr>
        <w:t>; NA = not applicable;</w:t>
      </w:r>
      <w:r w:rsidRPr="004C2DCD">
        <w:t xml:space="preserve"> N</w:t>
      </w:r>
      <w:r w:rsidRPr="004C2DCD">
        <w:rPr>
          <w:vertAlign w:val="subscript"/>
        </w:rPr>
        <w:t>2</w:t>
      </w:r>
      <w:r w:rsidRPr="004C2DCD">
        <w:t>O = nitrous oxide;</w:t>
      </w:r>
      <w:r w:rsidRPr="004C2DCD">
        <w:rPr>
          <w:rFonts w:eastAsia="Times New Roman" w:cs="Calibri"/>
          <w:szCs w:val="18"/>
        </w:rPr>
        <w:t xml:space="preserve"> </w:t>
      </w:r>
      <w:r w:rsidRPr="004C2DCD">
        <w:t>PFCs</w:t>
      </w:r>
      <w:r w:rsidRPr="004C2DCD">
        <w:rPr>
          <w:rFonts w:eastAsia="Times New Roman" w:cs="Calibri"/>
          <w:szCs w:val="18"/>
        </w:rPr>
        <w:t xml:space="preserve"> = </w:t>
      </w:r>
      <w:r w:rsidRPr="004C2DCD">
        <w:t>perfluorocarbons; SF</w:t>
      </w:r>
      <w:r w:rsidRPr="004C2DCD">
        <w:rPr>
          <w:vertAlign w:val="subscript"/>
        </w:rPr>
        <w:t>6</w:t>
      </w:r>
      <w:r w:rsidRPr="004C2DCD">
        <w:t xml:space="preserve"> = sulphur hexafluoride.</w:t>
      </w:r>
    </w:p>
    <w:p w14:paraId="38E370E3" w14:textId="77777777" w:rsidR="00F51113" w:rsidRPr="004C2DCD" w:rsidRDefault="00F51113" w:rsidP="00784F5F">
      <w:pPr>
        <w:pStyle w:val="Heading3"/>
        <w:numPr>
          <w:ilvl w:val="0"/>
          <w:numId w:val="112"/>
        </w:numPr>
      </w:pPr>
      <w:r w:rsidRPr="004C2DCD">
        <w:t>Agriculture</w:t>
      </w:r>
    </w:p>
    <w:p w14:paraId="086E901B" w14:textId="0E526310" w:rsidR="00F51113" w:rsidRPr="004C2DCD" w:rsidRDefault="00F51113" w:rsidP="00F51113">
      <w:pPr>
        <w:pStyle w:val="BodyText"/>
      </w:pPr>
      <w:r w:rsidRPr="004C2DCD">
        <w:t>Enteric fermentation is the main source of emissions from the Agriculture sector, contributing 78.2 per cent of the sector’s emissions in 2022. Agricultural soils (15.2 per cent in 2022) are the second-largest source followed by manure management (4.6 per cent in 2022). Urea application and liming contributed 1.0 per cent and 1.1 per cent in 2022 respectively.</w:t>
      </w:r>
    </w:p>
    <w:p w14:paraId="149B14E8" w14:textId="1ACE0D36" w:rsidR="00F51113" w:rsidRPr="004C2DCD" w:rsidRDefault="00F51113" w:rsidP="00F51113">
      <w:pPr>
        <w:pStyle w:val="BodyText"/>
      </w:pPr>
      <w:r w:rsidRPr="004C2DCD">
        <w:t>Under the WEM scenario</w:t>
      </w:r>
      <w:r w:rsidR="00F92FC0">
        <w:t>,</w:t>
      </w:r>
      <w:r w:rsidRPr="004C2DCD">
        <w:t xml:space="preserve"> total agricultur</w:t>
      </w:r>
      <w:r w:rsidR="00162E8D">
        <w:t>al</w:t>
      </w:r>
      <w:r w:rsidRPr="004C2DCD" w:rsidDel="00F94988">
        <w:t xml:space="preserve"> </w:t>
      </w:r>
      <w:r w:rsidRPr="004C2DCD">
        <w:t xml:space="preserve">emissions </w:t>
      </w:r>
      <w:r w:rsidR="00F92FC0">
        <w:t xml:space="preserve">are expected to reduce </w:t>
      </w:r>
      <w:r w:rsidRPr="004C2DCD">
        <w:t>in the near term</w:t>
      </w:r>
      <w:r w:rsidR="008B1803">
        <w:t xml:space="preserve"> </w:t>
      </w:r>
      <w:r w:rsidR="00953452">
        <w:t>(</w:t>
      </w:r>
      <w:r w:rsidR="008B1803">
        <w:t>from 2022</w:t>
      </w:r>
      <w:r w:rsidR="00953452">
        <w:t>)</w:t>
      </w:r>
      <w:r w:rsidR="008B1803">
        <w:t>,</w:t>
      </w:r>
      <w:r w:rsidRPr="004C2DCD">
        <w:t xml:space="preserve"> with emissions stabilising after 2030. Total </w:t>
      </w:r>
      <w:r w:rsidRPr="004C2DCD" w:rsidDel="00162E8D">
        <w:t>agriculture emissions</w:t>
      </w:r>
      <w:r w:rsidRPr="004C2DCD">
        <w:t xml:space="preserve"> are projected to decrease from the 2022 value by 6.1 per cent by 2030 and 7.1 per cent by 2050. Compared </w:t>
      </w:r>
      <w:r w:rsidRPr="004C2DCD">
        <w:rPr>
          <w:spacing w:val="-2"/>
        </w:rPr>
        <w:t>with 2005, agricultural emissions are expected to fall 9.2 per cent by 2030, and reach a maximum reduction of 10 per cent in 203</w:t>
      </w:r>
      <w:r w:rsidR="00AE5058">
        <w:rPr>
          <w:spacing w:val="-2"/>
        </w:rPr>
        <w:t>7</w:t>
      </w:r>
      <w:r w:rsidRPr="004C2DCD">
        <w:rPr>
          <w:spacing w:val="-2"/>
        </w:rPr>
        <w:t xml:space="preserve">, then remain relatively stable until 2050 (see </w:t>
      </w:r>
      <w:hyperlink w:anchor="figure259" w:history="1">
        <w:r w:rsidRPr="00162E8D">
          <w:rPr>
            <w:rStyle w:val="Hyperlink"/>
            <w:spacing w:val="-2"/>
          </w:rPr>
          <w:t>figure 2.5.9</w:t>
        </w:r>
      </w:hyperlink>
      <w:r w:rsidRPr="004C2DCD">
        <w:rPr>
          <w:spacing w:val="-2"/>
        </w:rPr>
        <w:t>).</w:t>
      </w:r>
    </w:p>
    <w:p w14:paraId="1C7DCB7F" w14:textId="0C01B449" w:rsidR="00F51113" w:rsidRPr="004C2DCD" w:rsidRDefault="00F51113" w:rsidP="00F51113">
      <w:pPr>
        <w:pStyle w:val="BodyText"/>
      </w:pPr>
      <w:r w:rsidRPr="004C2DCD">
        <w:t>The decline in agricultural emissions out to 2030 is largely associated with a decline in animal numbers due to land-use change, mainly to forestry. This</w:t>
      </w:r>
      <w:r w:rsidRPr="004C2DCD" w:rsidDel="00AE157C">
        <w:t xml:space="preserve"> </w:t>
      </w:r>
      <w:r w:rsidR="00AE157C">
        <w:t>predominantly</w:t>
      </w:r>
      <w:r w:rsidR="00AE157C" w:rsidRPr="004C2DCD">
        <w:t xml:space="preserve"> </w:t>
      </w:r>
      <w:r w:rsidRPr="004C2DCD">
        <w:t xml:space="preserve">affects sheep, beef </w:t>
      </w:r>
      <w:r w:rsidRPr="004C2DCD">
        <w:rPr>
          <w:spacing w:val="-2"/>
        </w:rPr>
        <w:t>cattle, and deer populations. From 2030 onwards, the uptake of on-farm mitigation technologies</w:t>
      </w:r>
      <w:r w:rsidRPr="004C2DCD">
        <w:t xml:space="preserve"> starts to have a measurable (but relatively small) effect because various technologies are assumed to become available near 2030. In the long term, the effect of land-use change and mitigation technologies is largely offset by the projected continuation of improving meat and dairy productivity per animal, which results in more emissions per animal.</w:t>
      </w:r>
    </w:p>
    <w:p w14:paraId="20F477FE" w14:textId="77777777" w:rsidR="00F51113" w:rsidRDefault="00F51113" w:rsidP="00201256">
      <w:pPr>
        <w:pStyle w:val="Figureheading"/>
      </w:pPr>
      <w:bookmarkStart w:id="547" w:name="figure259"/>
      <w:bookmarkStart w:id="548" w:name="_Toc185347253"/>
      <w:r w:rsidRPr="004C2DCD">
        <w:t>Figure 2.5.9</w:t>
      </w:r>
      <w:bookmarkEnd w:id="547"/>
      <w:r w:rsidRPr="004C2DCD">
        <w:t xml:space="preserve">: </w:t>
      </w:r>
      <w:r w:rsidRPr="004C2DCD">
        <w:tab/>
        <w:t>Greenhouse gas emissions under the ‘</w:t>
      </w:r>
      <w:r w:rsidRPr="004C2DCD">
        <w:rPr>
          <w:rFonts w:eastAsia="Times New Roman"/>
        </w:rPr>
        <w:t>with existing measures’</w:t>
      </w:r>
      <w:r w:rsidRPr="004C2DCD">
        <w:t xml:space="preserve"> scenario in the Agriculture sector, 1990–2050</w:t>
      </w:r>
      <w:bookmarkEnd w:id="548"/>
    </w:p>
    <w:p w14:paraId="5DAC0F3B" w14:textId="305C64A9" w:rsidR="00F51113" w:rsidRPr="004C2DCD" w:rsidRDefault="0027769D" w:rsidP="00642E32">
      <w:pPr>
        <w:pStyle w:val="BodyText"/>
      </w:pPr>
      <w:r>
        <w:rPr>
          <w:noProof/>
        </w:rPr>
        <w:drawing>
          <wp:inline distT="0" distB="0" distL="0" distR="0" wp14:anchorId="183541C8" wp14:editId="204B1F75">
            <wp:extent cx="5040000" cy="2857782"/>
            <wp:effectExtent l="0" t="0" r="8255" b="0"/>
            <wp:docPr id="628865848" name="Picture 36" descr="A line graph showing greenhouse gas emissions in million tonnes carbon dioxide equivalent under the ‘with existing measures’ scenario in the Agriculture sector for the period 1990 to 2050. It shows Agricultural historical emissions (solid line) then projected emissions (dott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865848" name="Picture 36" descr="A line graph showing greenhouse gas emissions in million tonnes carbon dioxide equivalent under the ‘with existing measures’ scenario in the Agriculture sector for the period 1990 to 2050. It shows Agricultural historical emissions (solid line) then projected emissions (dotted lin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40000" cy="2857782"/>
                    </a:xfrm>
                    <a:prstGeom prst="rect">
                      <a:avLst/>
                    </a:prstGeom>
                    <a:noFill/>
                  </pic:spPr>
                </pic:pic>
              </a:graphicData>
            </a:graphic>
          </wp:inline>
        </w:drawing>
      </w:r>
    </w:p>
    <w:p w14:paraId="2CD140F9" w14:textId="77777777" w:rsidR="00F51113" w:rsidRPr="004C2DCD" w:rsidRDefault="00F51113" w:rsidP="00F51113">
      <w:pPr>
        <w:pStyle w:val="Note"/>
        <w:spacing w:before="0"/>
      </w:pPr>
      <w:r w:rsidRPr="004C2DCD">
        <w:rPr>
          <w:b/>
          <w:bCs/>
        </w:rPr>
        <w:t>Note:</w:t>
      </w:r>
      <w:r w:rsidRPr="004C2DCD">
        <w:t xml:space="preserve"> Mt CO</w:t>
      </w:r>
      <w:r w:rsidRPr="004C2DCD">
        <w:rPr>
          <w:vertAlign w:val="subscript"/>
        </w:rPr>
        <w:t>2</w:t>
      </w:r>
      <w:r w:rsidRPr="004C2DCD">
        <w:t xml:space="preserve">e = </w:t>
      </w:r>
      <w:r w:rsidRPr="004C2DCD">
        <w:rPr>
          <w:rFonts w:eastAsia="Calibri" w:cs="Calibri"/>
        </w:rPr>
        <w:t xml:space="preserve">million tonnes of </w:t>
      </w:r>
      <w:r w:rsidRPr="004C2DCD">
        <w:t>carbon dioxide equivalent.</w:t>
      </w:r>
    </w:p>
    <w:p w14:paraId="72B65191" w14:textId="77777777" w:rsidR="00F51113" w:rsidRPr="004C2DCD" w:rsidRDefault="00F51113" w:rsidP="00DC70A7">
      <w:pPr>
        <w:keepNext/>
        <w:jc w:val="left"/>
      </w:pPr>
      <w:r w:rsidRPr="004C2DCD">
        <w:t xml:space="preserve">New Zealand’s historical and projected Agriculture sector emissions by gas are presented in table 2.5.7. </w:t>
      </w:r>
    </w:p>
    <w:p w14:paraId="576421F5" w14:textId="77777777" w:rsidR="00F51113" w:rsidRPr="004C2DCD" w:rsidRDefault="00F51113" w:rsidP="00F51113">
      <w:pPr>
        <w:pStyle w:val="Tableheading"/>
      </w:pPr>
      <w:bookmarkStart w:id="549" w:name="_Toc183789683"/>
      <w:bookmarkStart w:id="550" w:name="_Toc185407472"/>
      <w:bookmarkStart w:id="551" w:name="_Toc185427735"/>
      <w:r w:rsidRPr="004C2DCD">
        <w:t xml:space="preserve">Table 2.5.7: </w:t>
      </w:r>
      <w:r w:rsidRPr="004C2DCD">
        <w:tab/>
        <w:t>Historical and projected Agriculture sector emissions by gas under the ‘with existing measures’ scenario, 1990–2050 (Mt CO</w:t>
      </w:r>
      <w:r w:rsidRPr="004C2DCD">
        <w:rPr>
          <w:vertAlign w:val="subscript"/>
        </w:rPr>
        <w:t>2</w:t>
      </w:r>
      <w:r w:rsidRPr="004C2DCD">
        <w:t>e)</w:t>
      </w:r>
      <w:bookmarkEnd w:id="549"/>
      <w:bookmarkEnd w:id="550"/>
      <w:bookmarkEnd w:id="551"/>
    </w:p>
    <w:tbl>
      <w:tblPr>
        <w:tblW w:w="8562"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85" w:type="dxa"/>
          <w:right w:w="85" w:type="dxa"/>
        </w:tblCellMar>
        <w:tblLook w:val="04A0" w:firstRow="1" w:lastRow="0" w:firstColumn="1" w:lastColumn="0" w:noHBand="0" w:noVBand="1"/>
      </w:tblPr>
      <w:tblGrid>
        <w:gridCol w:w="611"/>
        <w:gridCol w:w="611"/>
        <w:gridCol w:w="611"/>
        <w:gridCol w:w="611"/>
        <w:gridCol w:w="611"/>
        <w:gridCol w:w="611"/>
        <w:gridCol w:w="612"/>
        <w:gridCol w:w="612"/>
        <w:gridCol w:w="612"/>
        <w:gridCol w:w="612"/>
        <w:gridCol w:w="612"/>
        <w:gridCol w:w="612"/>
        <w:gridCol w:w="612"/>
        <w:gridCol w:w="612"/>
      </w:tblGrid>
      <w:tr w:rsidR="00F51113" w:rsidRPr="00841C21" w14:paraId="3E21EE3E" w14:textId="77777777">
        <w:trPr>
          <w:trHeight w:val="20"/>
        </w:trPr>
        <w:tc>
          <w:tcPr>
            <w:tcW w:w="621" w:type="dxa"/>
            <w:tcBorders>
              <w:bottom w:val="nil"/>
              <w:right w:val="nil"/>
            </w:tcBorders>
            <w:shd w:val="clear" w:color="auto" w:fill="1B556B" w:themeFill="text2"/>
            <w:vAlign w:val="center"/>
            <w:hideMark/>
          </w:tcPr>
          <w:p w14:paraId="37779EA1" w14:textId="77777777" w:rsidR="00F51113" w:rsidRPr="00841C21" w:rsidRDefault="00F51113">
            <w:pPr>
              <w:pStyle w:val="TableTextbold"/>
              <w:keepNext/>
              <w:spacing w:after="0"/>
              <w:jc w:val="center"/>
              <w:rPr>
                <w:color w:val="FFFFFF" w:themeColor="background1"/>
                <w:szCs w:val="18"/>
              </w:rPr>
            </w:pPr>
          </w:p>
        </w:tc>
        <w:tc>
          <w:tcPr>
            <w:tcW w:w="3726" w:type="dxa"/>
            <w:gridSpan w:val="6"/>
            <w:tcBorders>
              <w:left w:val="nil"/>
              <w:bottom w:val="nil"/>
              <w:right w:val="nil"/>
            </w:tcBorders>
            <w:shd w:val="clear" w:color="auto" w:fill="1B556B" w:themeFill="text2"/>
            <w:vAlign w:val="center"/>
            <w:hideMark/>
          </w:tcPr>
          <w:p w14:paraId="030D4C2D" w14:textId="77777777" w:rsidR="00F51113" w:rsidRPr="00841C21" w:rsidRDefault="00F51113">
            <w:pPr>
              <w:pStyle w:val="TableTextbold"/>
              <w:keepNext/>
              <w:spacing w:after="0"/>
              <w:jc w:val="center"/>
              <w:rPr>
                <w:color w:val="FFFFFF" w:themeColor="background1"/>
                <w:szCs w:val="18"/>
              </w:rPr>
            </w:pPr>
            <w:r w:rsidRPr="00841C21">
              <w:rPr>
                <w:color w:val="FFFFFF" w:themeColor="background1"/>
                <w:szCs w:val="18"/>
              </w:rPr>
              <w:t>Historical</w:t>
            </w:r>
          </w:p>
        </w:tc>
        <w:tc>
          <w:tcPr>
            <w:tcW w:w="4347" w:type="dxa"/>
            <w:gridSpan w:val="7"/>
            <w:tcBorders>
              <w:left w:val="nil"/>
              <w:bottom w:val="nil"/>
            </w:tcBorders>
            <w:shd w:val="clear" w:color="auto" w:fill="1B556B" w:themeFill="text2"/>
            <w:vAlign w:val="center"/>
            <w:hideMark/>
          </w:tcPr>
          <w:p w14:paraId="30300AFA" w14:textId="77777777" w:rsidR="00F51113" w:rsidRPr="00841C21" w:rsidRDefault="00F51113">
            <w:pPr>
              <w:pStyle w:val="TableTextbold"/>
              <w:keepNext/>
              <w:spacing w:after="0"/>
              <w:jc w:val="center"/>
              <w:rPr>
                <w:color w:val="FFFFFF" w:themeColor="background1"/>
                <w:szCs w:val="18"/>
              </w:rPr>
            </w:pPr>
            <w:r w:rsidRPr="00841C21">
              <w:rPr>
                <w:color w:val="FFFFFF" w:themeColor="background1"/>
                <w:szCs w:val="18"/>
              </w:rPr>
              <w:t>Projected</w:t>
            </w:r>
          </w:p>
        </w:tc>
      </w:tr>
      <w:tr w:rsidR="00F51113" w:rsidRPr="00841C21" w14:paraId="58D8B840" w14:textId="77777777">
        <w:trPr>
          <w:trHeight w:val="20"/>
        </w:trPr>
        <w:tc>
          <w:tcPr>
            <w:tcW w:w="621" w:type="dxa"/>
            <w:tcBorders>
              <w:top w:val="nil"/>
              <w:right w:val="nil"/>
            </w:tcBorders>
            <w:shd w:val="clear" w:color="auto" w:fill="1B556B" w:themeFill="text2"/>
            <w:vAlign w:val="center"/>
            <w:hideMark/>
          </w:tcPr>
          <w:p w14:paraId="36BD8DB3" w14:textId="77777777" w:rsidR="00F51113" w:rsidRPr="00841C21" w:rsidRDefault="00F51113">
            <w:pPr>
              <w:pStyle w:val="TableTextbold"/>
              <w:keepNext/>
              <w:spacing w:before="0"/>
              <w:jc w:val="both"/>
              <w:rPr>
                <w:color w:val="FFFFFF" w:themeColor="background1"/>
                <w:szCs w:val="18"/>
              </w:rPr>
            </w:pPr>
            <w:r w:rsidRPr="00841C21">
              <w:rPr>
                <w:color w:val="FFFFFF" w:themeColor="background1"/>
                <w:szCs w:val="18"/>
              </w:rPr>
              <w:t>Gas</w:t>
            </w:r>
          </w:p>
        </w:tc>
        <w:tc>
          <w:tcPr>
            <w:tcW w:w="621" w:type="dxa"/>
            <w:tcBorders>
              <w:top w:val="nil"/>
              <w:left w:val="nil"/>
              <w:right w:val="nil"/>
            </w:tcBorders>
            <w:shd w:val="clear" w:color="auto" w:fill="1B556B" w:themeFill="text2"/>
            <w:vAlign w:val="center"/>
            <w:hideMark/>
          </w:tcPr>
          <w:p w14:paraId="20F1E951" w14:textId="77777777" w:rsidR="00F51113" w:rsidRPr="00841C21" w:rsidRDefault="00F51113">
            <w:pPr>
              <w:pStyle w:val="TableTextbold"/>
              <w:keepNext/>
              <w:spacing w:before="0"/>
              <w:rPr>
                <w:color w:val="FFFFFF" w:themeColor="background1"/>
                <w:szCs w:val="18"/>
              </w:rPr>
            </w:pPr>
            <w:r w:rsidRPr="00841C21">
              <w:rPr>
                <w:color w:val="FFFFFF" w:themeColor="background1"/>
                <w:szCs w:val="18"/>
              </w:rPr>
              <w:t>1990</w:t>
            </w:r>
          </w:p>
        </w:tc>
        <w:tc>
          <w:tcPr>
            <w:tcW w:w="621" w:type="dxa"/>
            <w:tcBorders>
              <w:top w:val="nil"/>
              <w:left w:val="nil"/>
              <w:right w:val="nil"/>
            </w:tcBorders>
            <w:shd w:val="clear" w:color="auto" w:fill="1B556B" w:themeFill="text2"/>
            <w:vAlign w:val="center"/>
            <w:hideMark/>
          </w:tcPr>
          <w:p w14:paraId="7B90815E" w14:textId="77777777" w:rsidR="00F51113" w:rsidRPr="00841C21" w:rsidRDefault="00F51113">
            <w:pPr>
              <w:pStyle w:val="TableTextbold"/>
              <w:keepNext/>
              <w:spacing w:before="0"/>
              <w:rPr>
                <w:color w:val="FFFFFF" w:themeColor="background1"/>
                <w:szCs w:val="18"/>
              </w:rPr>
            </w:pPr>
            <w:r w:rsidRPr="00841C21">
              <w:rPr>
                <w:color w:val="FFFFFF" w:themeColor="background1"/>
                <w:szCs w:val="18"/>
              </w:rPr>
              <w:t>1995</w:t>
            </w:r>
          </w:p>
        </w:tc>
        <w:tc>
          <w:tcPr>
            <w:tcW w:w="621" w:type="dxa"/>
            <w:tcBorders>
              <w:top w:val="nil"/>
              <w:left w:val="nil"/>
              <w:right w:val="nil"/>
            </w:tcBorders>
            <w:shd w:val="clear" w:color="auto" w:fill="1B556B" w:themeFill="text2"/>
            <w:vAlign w:val="center"/>
            <w:hideMark/>
          </w:tcPr>
          <w:p w14:paraId="71BFF525" w14:textId="77777777" w:rsidR="00F51113" w:rsidRPr="00841C21" w:rsidRDefault="00F51113">
            <w:pPr>
              <w:pStyle w:val="TableTextbold"/>
              <w:keepNext/>
              <w:spacing w:before="0"/>
              <w:rPr>
                <w:color w:val="FFFFFF" w:themeColor="background1"/>
                <w:szCs w:val="18"/>
              </w:rPr>
            </w:pPr>
            <w:r w:rsidRPr="00841C21">
              <w:rPr>
                <w:color w:val="FFFFFF" w:themeColor="background1"/>
                <w:szCs w:val="18"/>
              </w:rPr>
              <w:t>2000</w:t>
            </w:r>
          </w:p>
        </w:tc>
        <w:tc>
          <w:tcPr>
            <w:tcW w:w="621" w:type="dxa"/>
            <w:tcBorders>
              <w:top w:val="nil"/>
              <w:left w:val="nil"/>
              <w:right w:val="nil"/>
            </w:tcBorders>
            <w:shd w:val="clear" w:color="auto" w:fill="1B556B" w:themeFill="text2"/>
            <w:vAlign w:val="center"/>
            <w:hideMark/>
          </w:tcPr>
          <w:p w14:paraId="6C2C9256" w14:textId="77777777" w:rsidR="00F51113" w:rsidRPr="00841C21" w:rsidRDefault="00F51113">
            <w:pPr>
              <w:pStyle w:val="TableTextbold"/>
              <w:keepNext/>
              <w:spacing w:before="0"/>
              <w:rPr>
                <w:color w:val="FFFFFF" w:themeColor="background1"/>
                <w:szCs w:val="18"/>
              </w:rPr>
            </w:pPr>
            <w:r w:rsidRPr="00841C21">
              <w:rPr>
                <w:color w:val="FFFFFF" w:themeColor="background1"/>
                <w:szCs w:val="18"/>
              </w:rPr>
              <w:t>2005</w:t>
            </w:r>
          </w:p>
        </w:tc>
        <w:tc>
          <w:tcPr>
            <w:tcW w:w="621" w:type="dxa"/>
            <w:tcBorders>
              <w:top w:val="nil"/>
              <w:left w:val="nil"/>
              <w:right w:val="nil"/>
            </w:tcBorders>
            <w:shd w:val="clear" w:color="auto" w:fill="1B556B" w:themeFill="text2"/>
            <w:vAlign w:val="center"/>
            <w:hideMark/>
          </w:tcPr>
          <w:p w14:paraId="04F6DDDD" w14:textId="77777777" w:rsidR="00F51113" w:rsidRPr="00841C21" w:rsidRDefault="00F51113">
            <w:pPr>
              <w:pStyle w:val="TableTextbold"/>
              <w:keepNext/>
              <w:spacing w:before="0"/>
              <w:rPr>
                <w:color w:val="FFFFFF" w:themeColor="background1"/>
                <w:szCs w:val="18"/>
              </w:rPr>
            </w:pPr>
            <w:r w:rsidRPr="00841C21">
              <w:rPr>
                <w:color w:val="FFFFFF" w:themeColor="background1"/>
                <w:szCs w:val="18"/>
              </w:rPr>
              <w:t>2010</w:t>
            </w:r>
          </w:p>
        </w:tc>
        <w:tc>
          <w:tcPr>
            <w:tcW w:w="621" w:type="dxa"/>
            <w:tcBorders>
              <w:top w:val="nil"/>
              <w:left w:val="nil"/>
              <w:right w:val="nil"/>
            </w:tcBorders>
            <w:shd w:val="clear" w:color="auto" w:fill="1B556B" w:themeFill="text2"/>
            <w:vAlign w:val="center"/>
            <w:hideMark/>
          </w:tcPr>
          <w:p w14:paraId="0DAA1B10" w14:textId="77777777" w:rsidR="00F51113" w:rsidRPr="00841C21" w:rsidRDefault="00F51113">
            <w:pPr>
              <w:pStyle w:val="TableTextbold"/>
              <w:keepNext/>
              <w:spacing w:before="0"/>
              <w:rPr>
                <w:color w:val="FFFFFF" w:themeColor="background1"/>
                <w:szCs w:val="18"/>
              </w:rPr>
            </w:pPr>
            <w:r w:rsidRPr="00841C21">
              <w:rPr>
                <w:color w:val="FFFFFF" w:themeColor="background1"/>
                <w:szCs w:val="18"/>
              </w:rPr>
              <w:t>2015</w:t>
            </w:r>
          </w:p>
        </w:tc>
        <w:tc>
          <w:tcPr>
            <w:tcW w:w="621" w:type="dxa"/>
            <w:tcBorders>
              <w:top w:val="nil"/>
              <w:left w:val="nil"/>
              <w:right w:val="nil"/>
            </w:tcBorders>
            <w:shd w:val="clear" w:color="auto" w:fill="1B556B" w:themeFill="text2"/>
            <w:vAlign w:val="center"/>
            <w:hideMark/>
          </w:tcPr>
          <w:p w14:paraId="51DCFBFE" w14:textId="77777777" w:rsidR="00F51113" w:rsidRPr="00841C21" w:rsidRDefault="00F51113">
            <w:pPr>
              <w:pStyle w:val="TableTextbold"/>
              <w:keepNext/>
              <w:spacing w:before="0"/>
              <w:rPr>
                <w:color w:val="FFFFFF" w:themeColor="background1"/>
                <w:szCs w:val="18"/>
              </w:rPr>
            </w:pPr>
            <w:r w:rsidRPr="00841C21">
              <w:rPr>
                <w:color w:val="FFFFFF" w:themeColor="background1"/>
                <w:szCs w:val="18"/>
              </w:rPr>
              <w:t>2020</w:t>
            </w:r>
          </w:p>
        </w:tc>
        <w:tc>
          <w:tcPr>
            <w:tcW w:w="621" w:type="dxa"/>
            <w:tcBorders>
              <w:top w:val="nil"/>
              <w:left w:val="nil"/>
              <w:right w:val="nil"/>
            </w:tcBorders>
            <w:shd w:val="clear" w:color="auto" w:fill="1B556B" w:themeFill="text2"/>
            <w:vAlign w:val="center"/>
            <w:hideMark/>
          </w:tcPr>
          <w:p w14:paraId="25BC2E8B" w14:textId="77777777" w:rsidR="00F51113" w:rsidRPr="00841C21" w:rsidRDefault="00F51113">
            <w:pPr>
              <w:pStyle w:val="TableTextbold"/>
              <w:keepNext/>
              <w:spacing w:before="0"/>
              <w:rPr>
                <w:color w:val="FFFFFF" w:themeColor="background1"/>
                <w:szCs w:val="18"/>
              </w:rPr>
            </w:pPr>
            <w:r w:rsidRPr="00841C21">
              <w:rPr>
                <w:color w:val="FFFFFF" w:themeColor="background1"/>
                <w:szCs w:val="18"/>
              </w:rPr>
              <w:t>2025</w:t>
            </w:r>
          </w:p>
        </w:tc>
        <w:tc>
          <w:tcPr>
            <w:tcW w:w="621" w:type="dxa"/>
            <w:tcBorders>
              <w:top w:val="nil"/>
              <w:left w:val="nil"/>
              <w:right w:val="nil"/>
            </w:tcBorders>
            <w:shd w:val="clear" w:color="auto" w:fill="1B556B" w:themeFill="text2"/>
            <w:vAlign w:val="center"/>
            <w:hideMark/>
          </w:tcPr>
          <w:p w14:paraId="3F525A38" w14:textId="77777777" w:rsidR="00F51113" w:rsidRPr="00841C21" w:rsidRDefault="00F51113">
            <w:pPr>
              <w:pStyle w:val="TableTextbold"/>
              <w:keepNext/>
              <w:spacing w:before="0"/>
              <w:rPr>
                <w:color w:val="FFFFFF" w:themeColor="background1"/>
                <w:szCs w:val="18"/>
              </w:rPr>
            </w:pPr>
            <w:r w:rsidRPr="00841C21">
              <w:rPr>
                <w:color w:val="FFFFFF" w:themeColor="background1"/>
                <w:szCs w:val="18"/>
              </w:rPr>
              <w:t>2030</w:t>
            </w:r>
          </w:p>
        </w:tc>
        <w:tc>
          <w:tcPr>
            <w:tcW w:w="621" w:type="dxa"/>
            <w:tcBorders>
              <w:top w:val="nil"/>
              <w:left w:val="nil"/>
              <w:right w:val="nil"/>
            </w:tcBorders>
            <w:shd w:val="clear" w:color="auto" w:fill="1B556B" w:themeFill="text2"/>
            <w:vAlign w:val="center"/>
            <w:hideMark/>
          </w:tcPr>
          <w:p w14:paraId="555BFA5F" w14:textId="77777777" w:rsidR="00F51113" w:rsidRPr="00841C21" w:rsidRDefault="00F51113">
            <w:pPr>
              <w:pStyle w:val="TableTextbold"/>
              <w:keepNext/>
              <w:spacing w:before="0"/>
              <w:rPr>
                <w:color w:val="FFFFFF" w:themeColor="background1"/>
                <w:szCs w:val="18"/>
              </w:rPr>
            </w:pPr>
            <w:r w:rsidRPr="00841C21">
              <w:rPr>
                <w:color w:val="FFFFFF" w:themeColor="background1"/>
                <w:szCs w:val="18"/>
              </w:rPr>
              <w:t>2035</w:t>
            </w:r>
          </w:p>
        </w:tc>
        <w:tc>
          <w:tcPr>
            <w:tcW w:w="621" w:type="dxa"/>
            <w:tcBorders>
              <w:top w:val="nil"/>
              <w:left w:val="nil"/>
              <w:right w:val="nil"/>
            </w:tcBorders>
            <w:shd w:val="clear" w:color="auto" w:fill="1B556B" w:themeFill="text2"/>
            <w:vAlign w:val="center"/>
            <w:hideMark/>
          </w:tcPr>
          <w:p w14:paraId="44A0FB28" w14:textId="77777777" w:rsidR="00F51113" w:rsidRPr="00841C21" w:rsidRDefault="00F51113">
            <w:pPr>
              <w:pStyle w:val="TableTextbold"/>
              <w:keepNext/>
              <w:spacing w:before="0"/>
              <w:rPr>
                <w:color w:val="FFFFFF" w:themeColor="background1"/>
                <w:szCs w:val="18"/>
              </w:rPr>
            </w:pPr>
            <w:r w:rsidRPr="00841C21">
              <w:rPr>
                <w:color w:val="FFFFFF" w:themeColor="background1"/>
                <w:szCs w:val="18"/>
              </w:rPr>
              <w:t>2040</w:t>
            </w:r>
          </w:p>
        </w:tc>
        <w:tc>
          <w:tcPr>
            <w:tcW w:w="621" w:type="dxa"/>
            <w:tcBorders>
              <w:top w:val="nil"/>
              <w:left w:val="nil"/>
              <w:right w:val="nil"/>
            </w:tcBorders>
            <w:shd w:val="clear" w:color="auto" w:fill="1B556B" w:themeFill="text2"/>
            <w:vAlign w:val="center"/>
            <w:hideMark/>
          </w:tcPr>
          <w:p w14:paraId="6ED015E7" w14:textId="77777777" w:rsidR="00F51113" w:rsidRPr="00841C21" w:rsidRDefault="00F51113">
            <w:pPr>
              <w:pStyle w:val="TableTextbold"/>
              <w:keepNext/>
              <w:spacing w:before="0"/>
              <w:rPr>
                <w:color w:val="FFFFFF" w:themeColor="background1"/>
                <w:szCs w:val="18"/>
              </w:rPr>
            </w:pPr>
            <w:r w:rsidRPr="00841C21">
              <w:rPr>
                <w:color w:val="FFFFFF" w:themeColor="background1"/>
                <w:szCs w:val="18"/>
              </w:rPr>
              <w:t>2045</w:t>
            </w:r>
          </w:p>
        </w:tc>
        <w:tc>
          <w:tcPr>
            <w:tcW w:w="621" w:type="dxa"/>
            <w:tcBorders>
              <w:top w:val="nil"/>
              <w:left w:val="nil"/>
            </w:tcBorders>
            <w:shd w:val="clear" w:color="auto" w:fill="1B556B" w:themeFill="text2"/>
            <w:vAlign w:val="center"/>
            <w:hideMark/>
          </w:tcPr>
          <w:p w14:paraId="3FE54018" w14:textId="77777777" w:rsidR="00F51113" w:rsidRPr="00841C21" w:rsidRDefault="00F51113">
            <w:pPr>
              <w:pStyle w:val="TableTextbold"/>
              <w:keepNext/>
              <w:spacing w:before="0"/>
              <w:rPr>
                <w:color w:val="FFFFFF" w:themeColor="background1"/>
                <w:szCs w:val="18"/>
              </w:rPr>
            </w:pPr>
            <w:r w:rsidRPr="00841C21">
              <w:rPr>
                <w:color w:val="FFFFFF" w:themeColor="background1"/>
                <w:szCs w:val="18"/>
              </w:rPr>
              <w:t>2050</w:t>
            </w:r>
          </w:p>
        </w:tc>
      </w:tr>
      <w:tr w:rsidR="00F51113" w:rsidRPr="00841C21" w14:paraId="6E633842" w14:textId="77777777">
        <w:trPr>
          <w:trHeight w:val="20"/>
        </w:trPr>
        <w:tc>
          <w:tcPr>
            <w:tcW w:w="621" w:type="dxa"/>
            <w:shd w:val="clear" w:color="auto" w:fill="auto"/>
            <w:vAlign w:val="center"/>
            <w:hideMark/>
          </w:tcPr>
          <w:p w14:paraId="0D215FCC" w14:textId="77777777" w:rsidR="00F51113" w:rsidRPr="00841C21" w:rsidRDefault="00F51113">
            <w:pPr>
              <w:pStyle w:val="TableText"/>
              <w:keepNext/>
              <w:spacing w:before="40" w:after="40"/>
              <w:jc w:val="both"/>
              <w:rPr>
                <w:szCs w:val="18"/>
              </w:rPr>
            </w:pPr>
            <w:r w:rsidRPr="00841C21">
              <w:rPr>
                <w:szCs w:val="18"/>
              </w:rPr>
              <w:t>CO</w:t>
            </w:r>
            <w:r w:rsidRPr="00841C21">
              <w:rPr>
                <w:szCs w:val="18"/>
                <w:vertAlign w:val="subscript"/>
              </w:rPr>
              <w:t>2</w:t>
            </w:r>
          </w:p>
        </w:tc>
        <w:tc>
          <w:tcPr>
            <w:tcW w:w="621" w:type="dxa"/>
            <w:shd w:val="clear" w:color="auto" w:fill="auto"/>
            <w:vAlign w:val="center"/>
            <w:hideMark/>
          </w:tcPr>
          <w:p w14:paraId="5464C1D7" w14:textId="77777777" w:rsidR="00F51113" w:rsidRPr="00841C21" w:rsidRDefault="00F51113">
            <w:pPr>
              <w:pStyle w:val="TableText"/>
              <w:keepNext/>
              <w:spacing w:before="40" w:after="40"/>
              <w:jc w:val="center"/>
              <w:rPr>
                <w:szCs w:val="18"/>
              </w:rPr>
            </w:pPr>
            <w:r w:rsidRPr="00841C21">
              <w:rPr>
                <w:szCs w:val="18"/>
              </w:rPr>
              <w:t>0.3</w:t>
            </w:r>
          </w:p>
        </w:tc>
        <w:tc>
          <w:tcPr>
            <w:tcW w:w="621" w:type="dxa"/>
            <w:shd w:val="clear" w:color="auto" w:fill="auto"/>
            <w:vAlign w:val="center"/>
            <w:hideMark/>
          </w:tcPr>
          <w:p w14:paraId="386D3FCE" w14:textId="77777777" w:rsidR="00F51113" w:rsidRPr="00841C21" w:rsidRDefault="00F51113">
            <w:pPr>
              <w:pStyle w:val="TableText"/>
              <w:keepNext/>
              <w:spacing w:before="40" w:after="40"/>
              <w:jc w:val="center"/>
              <w:rPr>
                <w:szCs w:val="18"/>
              </w:rPr>
            </w:pPr>
            <w:r w:rsidRPr="00841C21">
              <w:rPr>
                <w:szCs w:val="18"/>
              </w:rPr>
              <w:t>0.6</w:t>
            </w:r>
          </w:p>
        </w:tc>
        <w:tc>
          <w:tcPr>
            <w:tcW w:w="621" w:type="dxa"/>
            <w:shd w:val="clear" w:color="auto" w:fill="auto"/>
            <w:vAlign w:val="center"/>
            <w:hideMark/>
          </w:tcPr>
          <w:p w14:paraId="52358E7D" w14:textId="77777777" w:rsidR="00F51113" w:rsidRPr="00841C21" w:rsidRDefault="00F51113">
            <w:pPr>
              <w:pStyle w:val="TableText"/>
              <w:keepNext/>
              <w:spacing w:before="40" w:after="40"/>
              <w:jc w:val="center"/>
              <w:rPr>
                <w:szCs w:val="18"/>
              </w:rPr>
            </w:pPr>
            <w:r w:rsidRPr="00841C21">
              <w:rPr>
                <w:szCs w:val="18"/>
              </w:rPr>
              <w:t>0.8</w:t>
            </w:r>
          </w:p>
        </w:tc>
        <w:tc>
          <w:tcPr>
            <w:tcW w:w="621" w:type="dxa"/>
            <w:shd w:val="clear" w:color="auto" w:fill="auto"/>
            <w:vAlign w:val="center"/>
            <w:hideMark/>
          </w:tcPr>
          <w:p w14:paraId="6BA82447" w14:textId="77777777" w:rsidR="00F51113" w:rsidRPr="00841C21" w:rsidRDefault="00F51113">
            <w:pPr>
              <w:pStyle w:val="TableText"/>
              <w:keepNext/>
              <w:spacing w:before="40" w:after="40"/>
              <w:jc w:val="center"/>
              <w:rPr>
                <w:szCs w:val="18"/>
              </w:rPr>
            </w:pPr>
            <w:r w:rsidRPr="00841C21">
              <w:rPr>
                <w:szCs w:val="18"/>
              </w:rPr>
              <w:t>1.1</w:t>
            </w:r>
          </w:p>
        </w:tc>
        <w:tc>
          <w:tcPr>
            <w:tcW w:w="621" w:type="dxa"/>
            <w:shd w:val="clear" w:color="auto" w:fill="auto"/>
            <w:vAlign w:val="center"/>
            <w:hideMark/>
          </w:tcPr>
          <w:p w14:paraId="2C84B3F3" w14:textId="77777777" w:rsidR="00F51113" w:rsidRPr="00841C21" w:rsidRDefault="00F51113">
            <w:pPr>
              <w:pStyle w:val="TableText"/>
              <w:keepNext/>
              <w:spacing w:before="40" w:after="40"/>
              <w:jc w:val="center"/>
              <w:rPr>
                <w:szCs w:val="18"/>
              </w:rPr>
            </w:pPr>
            <w:r w:rsidRPr="00841C21">
              <w:rPr>
                <w:szCs w:val="18"/>
              </w:rPr>
              <w:t>1.0</w:t>
            </w:r>
          </w:p>
        </w:tc>
        <w:tc>
          <w:tcPr>
            <w:tcW w:w="621" w:type="dxa"/>
            <w:shd w:val="clear" w:color="auto" w:fill="auto"/>
            <w:vAlign w:val="center"/>
            <w:hideMark/>
          </w:tcPr>
          <w:p w14:paraId="79F84A5D" w14:textId="77777777" w:rsidR="00F51113" w:rsidRPr="00841C21" w:rsidRDefault="00F51113">
            <w:pPr>
              <w:pStyle w:val="TableText"/>
              <w:keepNext/>
              <w:spacing w:before="40" w:after="40"/>
              <w:jc w:val="center"/>
              <w:rPr>
                <w:szCs w:val="18"/>
              </w:rPr>
            </w:pPr>
            <w:r w:rsidRPr="00841C21">
              <w:rPr>
                <w:szCs w:val="18"/>
              </w:rPr>
              <w:t>1.1</w:t>
            </w:r>
          </w:p>
        </w:tc>
        <w:tc>
          <w:tcPr>
            <w:tcW w:w="621" w:type="dxa"/>
            <w:shd w:val="clear" w:color="auto" w:fill="auto"/>
            <w:vAlign w:val="center"/>
            <w:hideMark/>
          </w:tcPr>
          <w:p w14:paraId="4549D0DD" w14:textId="77777777" w:rsidR="00F51113" w:rsidRPr="00841C21" w:rsidRDefault="00F51113">
            <w:pPr>
              <w:pStyle w:val="TableText"/>
              <w:keepNext/>
              <w:spacing w:before="40" w:after="40"/>
              <w:jc w:val="center"/>
              <w:rPr>
                <w:szCs w:val="18"/>
              </w:rPr>
            </w:pPr>
            <w:r w:rsidRPr="00841C21">
              <w:rPr>
                <w:szCs w:val="18"/>
              </w:rPr>
              <w:t>1.0</w:t>
            </w:r>
          </w:p>
        </w:tc>
        <w:tc>
          <w:tcPr>
            <w:tcW w:w="621" w:type="dxa"/>
            <w:shd w:val="clear" w:color="auto" w:fill="D2DDE1" w:themeFill="background2"/>
            <w:vAlign w:val="center"/>
            <w:hideMark/>
          </w:tcPr>
          <w:p w14:paraId="3BDE8A86" w14:textId="77777777" w:rsidR="00F51113" w:rsidRPr="00841C21" w:rsidRDefault="00F51113">
            <w:pPr>
              <w:pStyle w:val="TableText"/>
              <w:keepNext/>
              <w:spacing w:before="40" w:after="40"/>
              <w:jc w:val="center"/>
              <w:rPr>
                <w:szCs w:val="18"/>
              </w:rPr>
            </w:pPr>
            <w:r w:rsidRPr="00841C21">
              <w:rPr>
                <w:szCs w:val="18"/>
              </w:rPr>
              <w:t>0.6</w:t>
            </w:r>
          </w:p>
        </w:tc>
        <w:tc>
          <w:tcPr>
            <w:tcW w:w="621" w:type="dxa"/>
            <w:shd w:val="clear" w:color="auto" w:fill="D2DDE1" w:themeFill="background2"/>
            <w:vAlign w:val="center"/>
            <w:hideMark/>
          </w:tcPr>
          <w:p w14:paraId="63750128" w14:textId="77777777" w:rsidR="00F51113" w:rsidRPr="00841C21" w:rsidRDefault="00F51113">
            <w:pPr>
              <w:pStyle w:val="TableText"/>
              <w:keepNext/>
              <w:spacing w:before="40" w:after="40"/>
              <w:jc w:val="center"/>
              <w:rPr>
                <w:szCs w:val="18"/>
              </w:rPr>
            </w:pPr>
            <w:r w:rsidRPr="00841C21">
              <w:rPr>
                <w:szCs w:val="18"/>
              </w:rPr>
              <w:t>0.7</w:t>
            </w:r>
          </w:p>
        </w:tc>
        <w:tc>
          <w:tcPr>
            <w:tcW w:w="621" w:type="dxa"/>
            <w:shd w:val="clear" w:color="auto" w:fill="D2DDE1" w:themeFill="background2"/>
            <w:vAlign w:val="center"/>
            <w:hideMark/>
          </w:tcPr>
          <w:p w14:paraId="1ABA4A81" w14:textId="77777777" w:rsidR="00F51113" w:rsidRPr="00841C21" w:rsidRDefault="00F51113">
            <w:pPr>
              <w:pStyle w:val="TableText"/>
              <w:keepNext/>
              <w:spacing w:before="40" w:after="40"/>
              <w:jc w:val="center"/>
              <w:rPr>
                <w:szCs w:val="18"/>
              </w:rPr>
            </w:pPr>
            <w:r w:rsidRPr="00841C21">
              <w:rPr>
                <w:szCs w:val="18"/>
              </w:rPr>
              <w:t>0.7</w:t>
            </w:r>
          </w:p>
        </w:tc>
        <w:tc>
          <w:tcPr>
            <w:tcW w:w="621" w:type="dxa"/>
            <w:shd w:val="clear" w:color="auto" w:fill="D2DDE1" w:themeFill="background2"/>
            <w:vAlign w:val="center"/>
            <w:hideMark/>
          </w:tcPr>
          <w:p w14:paraId="77C8EAB6" w14:textId="77777777" w:rsidR="00F51113" w:rsidRPr="00841C21" w:rsidRDefault="00F51113">
            <w:pPr>
              <w:pStyle w:val="TableText"/>
              <w:keepNext/>
              <w:spacing w:before="40" w:after="40"/>
              <w:jc w:val="center"/>
              <w:rPr>
                <w:szCs w:val="18"/>
              </w:rPr>
            </w:pPr>
            <w:r w:rsidRPr="00841C21">
              <w:rPr>
                <w:szCs w:val="18"/>
              </w:rPr>
              <w:t>0.5</w:t>
            </w:r>
          </w:p>
        </w:tc>
        <w:tc>
          <w:tcPr>
            <w:tcW w:w="621" w:type="dxa"/>
            <w:shd w:val="clear" w:color="auto" w:fill="D2DDE1" w:themeFill="background2"/>
            <w:vAlign w:val="center"/>
            <w:hideMark/>
          </w:tcPr>
          <w:p w14:paraId="71E13CA1" w14:textId="77777777" w:rsidR="00F51113" w:rsidRPr="00841C21" w:rsidRDefault="00F51113">
            <w:pPr>
              <w:pStyle w:val="TableText"/>
              <w:keepNext/>
              <w:spacing w:before="40" w:after="40"/>
              <w:jc w:val="center"/>
              <w:rPr>
                <w:szCs w:val="18"/>
              </w:rPr>
            </w:pPr>
            <w:r w:rsidRPr="00841C21">
              <w:rPr>
                <w:szCs w:val="18"/>
              </w:rPr>
              <w:t>0.5</w:t>
            </w:r>
          </w:p>
        </w:tc>
        <w:tc>
          <w:tcPr>
            <w:tcW w:w="621" w:type="dxa"/>
            <w:shd w:val="clear" w:color="auto" w:fill="D2DDE1" w:themeFill="background2"/>
            <w:vAlign w:val="center"/>
            <w:hideMark/>
          </w:tcPr>
          <w:p w14:paraId="68DFD7B5" w14:textId="77777777" w:rsidR="00F51113" w:rsidRPr="00841C21" w:rsidRDefault="00F51113">
            <w:pPr>
              <w:pStyle w:val="TableText"/>
              <w:keepNext/>
              <w:spacing w:before="40" w:after="40"/>
              <w:jc w:val="center"/>
              <w:rPr>
                <w:szCs w:val="18"/>
              </w:rPr>
            </w:pPr>
            <w:r w:rsidRPr="00841C21">
              <w:rPr>
                <w:szCs w:val="18"/>
              </w:rPr>
              <w:t>0.5</w:t>
            </w:r>
          </w:p>
        </w:tc>
      </w:tr>
      <w:tr w:rsidR="00F51113" w:rsidRPr="00841C21" w14:paraId="09584F6F" w14:textId="77777777">
        <w:trPr>
          <w:trHeight w:val="20"/>
        </w:trPr>
        <w:tc>
          <w:tcPr>
            <w:tcW w:w="621" w:type="dxa"/>
            <w:shd w:val="clear" w:color="auto" w:fill="auto"/>
            <w:vAlign w:val="center"/>
            <w:hideMark/>
          </w:tcPr>
          <w:p w14:paraId="6F721F54" w14:textId="77777777" w:rsidR="00F51113" w:rsidRPr="00841C21" w:rsidRDefault="00F51113">
            <w:pPr>
              <w:pStyle w:val="TableText"/>
              <w:keepNext/>
              <w:spacing w:before="40" w:after="40"/>
              <w:jc w:val="both"/>
              <w:rPr>
                <w:szCs w:val="18"/>
              </w:rPr>
            </w:pPr>
            <w:r w:rsidRPr="00841C21">
              <w:rPr>
                <w:szCs w:val="18"/>
              </w:rPr>
              <w:t>CH</w:t>
            </w:r>
            <w:r w:rsidRPr="00841C21">
              <w:rPr>
                <w:szCs w:val="18"/>
                <w:vertAlign w:val="subscript"/>
              </w:rPr>
              <w:t>4</w:t>
            </w:r>
          </w:p>
        </w:tc>
        <w:tc>
          <w:tcPr>
            <w:tcW w:w="621" w:type="dxa"/>
            <w:shd w:val="clear" w:color="auto" w:fill="auto"/>
            <w:vAlign w:val="center"/>
            <w:hideMark/>
          </w:tcPr>
          <w:p w14:paraId="0828D454" w14:textId="77777777" w:rsidR="00F51113" w:rsidRPr="00841C21" w:rsidRDefault="00F51113">
            <w:pPr>
              <w:pStyle w:val="TableText"/>
              <w:keepNext/>
              <w:spacing w:before="40" w:after="40"/>
              <w:jc w:val="center"/>
              <w:rPr>
                <w:szCs w:val="18"/>
              </w:rPr>
            </w:pPr>
            <w:r w:rsidRPr="00841C21">
              <w:rPr>
                <w:szCs w:val="18"/>
              </w:rPr>
              <w:t>32.1</w:t>
            </w:r>
          </w:p>
        </w:tc>
        <w:tc>
          <w:tcPr>
            <w:tcW w:w="621" w:type="dxa"/>
            <w:shd w:val="clear" w:color="auto" w:fill="auto"/>
            <w:vAlign w:val="center"/>
            <w:hideMark/>
          </w:tcPr>
          <w:p w14:paraId="216642E7" w14:textId="77777777" w:rsidR="00F51113" w:rsidRPr="00841C21" w:rsidRDefault="00F51113">
            <w:pPr>
              <w:pStyle w:val="TableText"/>
              <w:keepNext/>
              <w:spacing w:before="40" w:after="40"/>
              <w:jc w:val="center"/>
              <w:rPr>
                <w:szCs w:val="18"/>
              </w:rPr>
            </w:pPr>
            <w:r w:rsidRPr="00841C21">
              <w:rPr>
                <w:szCs w:val="18"/>
              </w:rPr>
              <w:t>33.2</w:t>
            </w:r>
          </w:p>
        </w:tc>
        <w:tc>
          <w:tcPr>
            <w:tcW w:w="621" w:type="dxa"/>
            <w:shd w:val="clear" w:color="auto" w:fill="auto"/>
            <w:vAlign w:val="center"/>
            <w:hideMark/>
          </w:tcPr>
          <w:p w14:paraId="6B216E15" w14:textId="77777777" w:rsidR="00F51113" w:rsidRPr="00841C21" w:rsidRDefault="00F51113">
            <w:pPr>
              <w:pStyle w:val="TableText"/>
              <w:keepNext/>
              <w:spacing w:before="40" w:after="40"/>
              <w:jc w:val="center"/>
              <w:rPr>
                <w:szCs w:val="18"/>
              </w:rPr>
            </w:pPr>
            <w:r w:rsidRPr="00841C21">
              <w:rPr>
                <w:szCs w:val="18"/>
              </w:rPr>
              <w:t>34.7</w:t>
            </w:r>
          </w:p>
        </w:tc>
        <w:tc>
          <w:tcPr>
            <w:tcW w:w="621" w:type="dxa"/>
            <w:shd w:val="clear" w:color="auto" w:fill="auto"/>
            <w:vAlign w:val="center"/>
            <w:hideMark/>
          </w:tcPr>
          <w:p w14:paraId="7C89177B" w14:textId="77777777" w:rsidR="00F51113" w:rsidRPr="00841C21" w:rsidRDefault="00F51113">
            <w:pPr>
              <w:pStyle w:val="TableText"/>
              <w:keepNext/>
              <w:spacing w:before="40" w:after="40"/>
              <w:jc w:val="center"/>
              <w:rPr>
                <w:szCs w:val="18"/>
              </w:rPr>
            </w:pPr>
            <w:r w:rsidRPr="00841C21">
              <w:rPr>
                <w:szCs w:val="18"/>
              </w:rPr>
              <w:t>35.6</w:t>
            </w:r>
          </w:p>
        </w:tc>
        <w:tc>
          <w:tcPr>
            <w:tcW w:w="621" w:type="dxa"/>
            <w:shd w:val="clear" w:color="auto" w:fill="auto"/>
            <w:vAlign w:val="center"/>
            <w:hideMark/>
          </w:tcPr>
          <w:p w14:paraId="3256D3A1" w14:textId="77777777" w:rsidR="00F51113" w:rsidRPr="00841C21" w:rsidRDefault="00F51113">
            <w:pPr>
              <w:pStyle w:val="TableText"/>
              <w:keepNext/>
              <w:spacing w:before="40" w:after="40"/>
              <w:jc w:val="center"/>
              <w:rPr>
                <w:szCs w:val="18"/>
              </w:rPr>
            </w:pPr>
            <w:r w:rsidRPr="00841C21">
              <w:rPr>
                <w:szCs w:val="18"/>
              </w:rPr>
              <w:t>33.8</w:t>
            </w:r>
          </w:p>
        </w:tc>
        <w:tc>
          <w:tcPr>
            <w:tcW w:w="621" w:type="dxa"/>
            <w:shd w:val="clear" w:color="auto" w:fill="auto"/>
            <w:vAlign w:val="center"/>
            <w:hideMark/>
          </w:tcPr>
          <w:p w14:paraId="48018A66" w14:textId="77777777" w:rsidR="00F51113" w:rsidRPr="00841C21" w:rsidRDefault="00F51113">
            <w:pPr>
              <w:pStyle w:val="TableText"/>
              <w:keepNext/>
              <w:spacing w:before="40" w:after="40"/>
              <w:jc w:val="center"/>
              <w:rPr>
                <w:szCs w:val="18"/>
              </w:rPr>
            </w:pPr>
            <w:r w:rsidRPr="00841C21">
              <w:rPr>
                <w:szCs w:val="18"/>
              </w:rPr>
              <w:t>35.1</w:t>
            </w:r>
          </w:p>
        </w:tc>
        <w:tc>
          <w:tcPr>
            <w:tcW w:w="621" w:type="dxa"/>
            <w:shd w:val="clear" w:color="auto" w:fill="auto"/>
            <w:vAlign w:val="center"/>
            <w:hideMark/>
          </w:tcPr>
          <w:p w14:paraId="7E274CC2" w14:textId="77777777" w:rsidR="00F51113" w:rsidRPr="00841C21" w:rsidRDefault="00F51113">
            <w:pPr>
              <w:pStyle w:val="TableText"/>
              <w:keepNext/>
              <w:spacing w:before="40" w:after="40"/>
              <w:jc w:val="center"/>
              <w:rPr>
                <w:szCs w:val="18"/>
              </w:rPr>
            </w:pPr>
            <w:r w:rsidRPr="00841C21">
              <w:rPr>
                <w:szCs w:val="18"/>
              </w:rPr>
              <w:t>35.0</w:t>
            </w:r>
          </w:p>
        </w:tc>
        <w:tc>
          <w:tcPr>
            <w:tcW w:w="621" w:type="dxa"/>
            <w:shd w:val="clear" w:color="auto" w:fill="D2DDE1" w:themeFill="background2"/>
            <w:vAlign w:val="center"/>
            <w:hideMark/>
          </w:tcPr>
          <w:p w14:paraId="44B8A949" w14:textId="77777777" w:rsidR="00F51113" w:rsidRPr="00841C21" w:rsidRDefault="00F51113">
            <w:pPr>
              <w:pStyle w:val="TableText"/>
              <w:keepNext/>
              <w:spacing w:before="40" w:after="40"/>
              <w:jc w:val="center"/>
              <w:rPr>
                <w:szCs w:val="18"/>
              </w:rPr>
            </w:pPr>
            <w:r w:rsidRPr="00841C21">
              <w:rPr>
                <w:szCs w:val="18"/>
              </w:rPr>
              <w:t>32.3</w:t>
            </w:r>
          </w:p>
        </w:tc>
        <w:tc>
          <w:tcPr>
            <w:tcW w:w="621" w:type="dxa"/>
            <w:shd w:val="clear" w:color="auto" w:fill="D2DDE1" w:themeFill="background2"/>
            <w:vAlign w:val="center"/>
            <w:hideMark/>
          </w:tcPr>
          <w:p w14:paraId="7B432444" w14:textId="77777777" w:rsidR="00F51113" w:rsidRPr="00841C21" w:rsidRDefault="00F51113">
            <w:pPr>
              <w:pStyle w:val="TableText"/>
              <w:keepNext/>
              <w:spacing w:before="40" w:after="40"/>
              <w:jc w:val="center"/>
              <w:rPr>
                <w:szCs w:val="18"/>
              </w:rPr>
            </w:pPr>
            <w:r w:rsidRPr="00841C21">
              <w:rPr>
                <w:szCs w:val="18"/>
              </w:rPr>
              <w:t>31.9</w:t>
            </w:r>
          </w:p>
        </w:tc>
        <w:tc>
          <w:tcPr>
            <w:tcW w:w="621" w:type="dxa"/>
            <w:shd w:val="clear" w:color="auto" w:fill="D2DDE1" w:themeFill="background2"/>
            <w:vAlign w:val="center"/>
            <w:hideMark/>
          </w:tcPr>
          <w:p w14:paraId="59D3413C" w14:textId="77777777" w:rsidR="00F51113" w:rsidRPr="00841C21" w:rsidRDefault="00F51113">
            <w:pPr>
              <w:pStyle w:val="TableText"/>
              <w:keepNext/>
              <w:spacing w:before="40" w:after="40"/>
              <w:jc w:val="center"/>
              <w:rPr>
                <w:szCs w:val="18"/>
              </w:rPr>
            </w:pPr>
            <w:r w:rsidRPr="00841C21">
              <w:rPr>
                <w:szCs w:val="18"/>
              </w:rPr>
              <w:t>31.7</w:t>
            </w:r>
          </w:p>
        </w:tc>
        <w:tc>
          <w:tcPr>
            <w:tcW w:w="621" w:type="dxa"/>
            <w:shd w:val="clear" w:color="auto" w:fill="D2DDE1" w:themeFill="background2"/>
            <w:vAlign w:val="center"/>
            <w:hideMark/>
          </w:tcPr>
          <w:p w14:paraId="187A7071" w14:textId="77777777" w:rsidR="00F51113" w:rsidRPr="00841C21" w:rsidRDefault="00F51113">
            <w:pPr>
              <w:pStyle w:val="TableText"/>
              <w:keepNext/>
              <w:spacing w:before="40" w:after="40"/>
              <w:jc w:val="center"/>
              <w:rPr>
                <w:szCs w:val="18"/>
              </w:rPr>
            </w:pPr>
            <w:r w:rsidRPr="00841C21">
              <w:rPr>
                <w:szCs w:val="18"/>
              </w:rPr>
              <w:t>31.7</w:t>
            </w:r>
          </w:p>
        </w:tc>
        <w:tc>
          <w:tcPr>
            <w:tcW w:w="621" w:type="dxa"/>
            <w:shd w:val="clear" w:color="auto" w:fill="D2DDE1" w:themeFill="background2"/>
            <w:vAlign w:val="center"/>
            <w:hideMark/>
          </w:tcPr>
          <w:p w14:paraId="2C386A21" w14:textId="77777777" w:rsidR="00F51113" w:rsidRPr="00841C21" w:rsidRDefault="00F51113">
            <w:pPr>
              <w:pStyle w:val="TableText"/>
              <w:keepNext/>
              <w:spacing w:before="40" w:after="40"/>
              <w:jc w:val="center"/>
              <w:rPr>
                <w:szCs w:val="18"/>
              </w:rPr>
            </w:pPr>
            <w:r w:rsidRPr="00841C21">
              <w:rPr>
                <w:szCs w:val="18"/>
              </w:rPr>
              <w:t>31.7</w:t>
            </w:r>
          </w:p>
        </w:tc>
        <w:tc>
          <w:tcPr>
            <w:tcW w:w="621" w:type="dxa"/>
            <w:shd w:val="clear" w:color="auto" w:fill="D2DDE1" w:themeFill="background2"/>
            <w:vAlign w:val="center"/>
            <w:hideMark/>
          </w:tcPr>
          <w:p w14:paraId="0B4C4DFB" w14:textId="77777777" w:rsidR="00F51113" w:rsidRPr="00841C21" w:rsidRDefault="00F51113">
            <w:pPr>
              <w:pStyle w:val="TableText"/>
              <w:keepNext/>
              <w:spacing w:before="40" w:after="40"/>
              <w:jc w:val="center"/>
              <w:rPr>
                <w:szCs w:val="18"/>
              </w:rPr>
            </w:pPr>
            <w:r w:rsidRPr="00841C21">
              <w:rPr>
                <w:szCs w:val="18"/>
              </w:rPr>
              <w:t>31.8</w:t>
            </w:r>
          </w:p>
        </w:tc>
      </w:tr>
      <w:tr w:rsidR="00F51113" w:rsidRPr="00841C21" w14:paraId="7081D2AD" w14:textId="77777777">
        <w:trPr>
          <w:trHeight w:val="20"/>
        </w:trPr>
        <w:tc>
          <w:tcPr>
            <w:tcW w:w="621" w:type="dxa"/>
            <w:shd w:val="clear" w:color="auto" w:fill="auto"/>
            <w:vAlign w:val="center"/>
            <w:hideMark/>
          </w:tcPr>
          <w:p w14:paraId="1BEC001C" w14:textId="77777777" w:rsidR="00F51113" w:rsidRPr="00841C21" w:rsidRDefault="00F51113">
            <w:pPr>
              <w:pStyle w:val="TableText"/>
              <w:keepNext/>
              <w:spacing w:before="40" w:after="40"/>
              <w:jc w:val="both"/>
              <w:rPr>
                <w:szCs w:val="18"/>
              </w:rPr>
            </w:pPr>
            <w:r w:rsidRPr="00841C21">
              <w:rPr>
                <w:szCs w:val="18"/>
              </w:rPr>
              <w:t>N</w:t>
            </w:r>
            <w:r w:rsidRPr="00841C21">
              <w:rPr>
                <w:szCs w:val="18"/>
                <w:vertAlign w:val="subscript"/>
              </w:rPr>
              <w:t>2</w:t>
            </w:r>
            <w:r w:rsidRPr="00841C21">
              <w:rPr>
                <w:szCs w:val="18"/>
              </w:rPr>
              <w:t>O</w:t>
            </w:r>
          </w:p>
        </w:tc>
        <w:tc>
          <w:tcPr>
            <w:tcW w:w="621" w:type="dxa"/>
            <w:shd w:val="clear" w:color="auto" w:fill="auto"/>
            <w:vAlign w:val="center"/>
            <w:hideMark/>
          </w:tcPr>
          <w:p w14:paraId="47CD0125" w14:textId="77777777" w:rsidR="00F51113" w:rsidRPr="00841C21" w:rsidRDefault="00F51113">
            <w:pPr>
              <w:pStyle w:val="TableText"/>
              <w:keepNext/>
              <w:spacing w:before="40" w:after="40"/>
              <w:jc w:val="center"/>
              <w:rPr>
                <w:szCs w:val="18"/>
              </w:rPr>
            </w:pPr>
            <w:r w:rsidRPr="00841C21">
              <w:rPr>
                <w:szCs w:val="18"/>
              </w:rPr>
              <w:t>4.7</w:t>
            </w:r>
          </w:p>
        </w:tc>
        <w:tc>
          <w:tcPr>
            <w:tcW w:w="621" w:type="dxa"/>
            <w:shd w:val="clear" w:color="auto" w:fill="auto"/>
            <w:vAlign w:val="center"/>
            <w:hideMark/>
          </w:tcPr>
          <w:p w14:paraId="1EB1D384" w14:textId="77777777" w:rsidR="00F51113" w:rsidRPr="00841C21" w:rsidRDefault="00F51113">
            <w:pPr>
              <w:pStyle w:val="TableText"/>
              <w:keepNext/>
              <w:spacing w:before="40" w:after="40"/>
              <w:jc w:val="center"/>
              <w:rPr>
                <w:szCs w:val="18"/>
              </w:rPr>
            </w:pPr>
            <w:r w:rsidRPr="00841C21">
              <w:rPr>
                <w:szCs w:val="18"/>
              </w:rPr>
              <w:t>5.4</w:t>
            </w:r>
          </w:p>
        </w:tc>
        <w:tc>
          <w:tcPr>
            <w:tcW w:w="621" w:type="dxa"/>
            <w:shd w:val="clear" w:color="auto" w:fill="auto"/>
            <w:vAlign w:val="center"/>
            <w:hideMark/>
          </w:tcPr>
          <w:p w14:paraId="270C3816" w14:textId="77777777" w:rsidR="00F51113" w:rsidRPr="00841C21" w:rsidRDefault="00F51113">
            <w:pPr>
              <w:pStyle w:val="TableText"/>
              <w:keepNext/>
              <w:spacing w:before="40" w:after="40"/>
              <w:jc w:val="center"/>
              <w:rPr>
                <w:szCs w:val="18"/>
              </w:rPr>
            </w:pPr>
            <w:r w:rsidRPr="00841C21">
              <w:rPr>
                <w:szCs w:val="18"/>
              </w:rPr>
              <w:t>5.7</w:t>
            </w:r>
          </w:p>
        </w:tc>
        <w:tc>
          <w:tcPr>
            <w:tcW w:w="621" w:type="dxa"/>
            <w:shd w:val="clear" w:color="auto" w:fill="auto"/>
            <w:vAlign w:val="center"/>
            <w:hideMark/>
          </w:tcPr>
          <w:p w14:paraId="1AD06243" w14:textId="77777777" w:rsidR="00F51113" w:rsidRPr="00841C21" w:rsidRDefault="00F51113">
            <w:pPr>
              <w:pStyle w:val="TableText"/>
              <w:keepNext/>
              <w:spacing w:before="40" w:after="40"/>
              <w:jc w:val="center"/>
              <w:rPr>
                <w:szCs w:val="18"/>
              </w:rPr>
            </w:pPr>
            <w:r w:rsidRPr="00841C21">
              <w:rPr>
                <w:szCs w:val="18"/>
              </w:rPr>
              <w:t>6.5</w:t>
            </w:r>
          </w:p>
        </w:tc>
        <w:tc>
          <w:tcPr>
            <w:tcW w:w="621" w:type="dxa"/>
            <w:shd w:val="clear" w:color="auto" w:fill="auto"/>
            <w:vAlign w:val="center"/>
            <w:hideMark/>
          </w:tcPr>
          <w:p w14:paraId="475655A4" w14:textId="77777777" w:rsidR="00F51113" w:rsidRPr="00841C21" w:rsidRDefault="00F51113">
            <w:pPr>
              <w:pStyle w:val="TableText"/>
              <w:keepNext/>
              <w:spacing w:before="40" w:after="40"/>
              <w:jc w:val="center"/>
              <w:rPr>
                <w:szCs w:val="18"/>
              </w:rPr>
            </w:pPr>
            <w:r w:rsidRPr="00841C21">
              <w:rPr>
                <w:szCs w:val="18"/>
              </w:rPr>
              <w:t>6.3</w:t>
            </w:r>
          </w:p>
        </w:tc>
        <w:tc>
          <w:tcPr>
            <w:tcW w:w="621" w:type="dxa"/>
            <w:shd w:val="clear" w:color="auto" w:fill="auto"/>
            <w:vAlign w:val="center"/>
            <w:hideMark/>
          </w:tcPr>
          <w:p w14:paraId="56206259" w14:textId="77777777" w:rsidR="00F51113" w:rsidRPr="00841C21" w:rsidRDefault="00F51113">
            <w:pPr>
              <w:pStyle w:val="TableText"/>
              <w:keepNext/>
              <w:spacing w:before="40" w:after="40"/>
              <w:jc w:val="center"/>
              <w:rPr>
                <w:szCs w:val="18"/>
              </w:rPr>
            </w:pPr>
            <w:r w:rsidRPr="00841C21">
              <w:rPr>
                <w:szCs w:val="18"/>
              </w:rPr>
              <w:t>6.7</w:t>
            </w:r>
          </w:p>
        </w:tc>
        <w:tc>
          <w:tcPr>
            <w:tcW w:w="621" w:type="dxa"/>
            <w:shd w:val="clear" w:color="auto" w:fill="auto"/>
            <w:vAlign w:val="center"/>
            <w:hideMark/>
          </w:tcPr>
          <w:p w14:paraId="3369CE25" w14:textId="77777777" w:rsidR="00F51113" w:rsidRPr="00841C21" w:rsidRDefault="00F51113">
            <w:pPr>
              <w:pStyle w:val="TableText"/>
              <w:keepNext/>
              <w:spacing w:before="40" w:after="40"/>
              <w:jc w:val="center"/>
              <w:rPr>
                <w:szCs w:val="18"/>
              </w:rPr>
            </w:pPr>
            <w:r w:rsidRPr="00841C21">
              <w:rPr>
                <w:szCs w:val="18"/>
              </w:rPr>
              <w:t>7.0</w:t>
            </w:r>
          </w:p>
        </w:tc>
        <w:tc>
          <w:tcPr>
            <w:tcW w:w="621" w:type="dxa"/>
            <w:shd w:val="clear" w:color="auto" w:fill="D2DDE1" w:themeFill="background2"/>
            <w:vAlign w:val="center"/>
            <w:hideMark/>
          </w:tcPr>
          <w:p w14:paraId="7D1624CC" w14:textId="77777777" w:rsidR="00F51113" w:rsidRPr="00841C21" w:rsidRDefault="00F51113">
            <w:pPr>
              <w:pStyle w:val="TableText"/>
              <w:keepNext/>
              <w:spacing w:before="40" w:after="40"/>
              <w:jc w:val="center"/>
              <w:rPr>
                <w:szCs w:val="18"/>
              </w:rPr>
            </w:pPr>
            <w:r w:rsidRPr="00841C21">
              <w:rPr>
                <w:szCs w:val="18"/>
              </w:rPr>
              <w:t>6.7</w:t>
            </w:r>
          </w:p>
        </w:tc>
        <w:tc>
          <w:tcPr>
            <w:tcW w:w="621" w:type="dxa"/>
            <w:shd w:val="clear" w:color="auto" w:fill="D2DDE1" w:themeFill="background2"/>
            <w:vAlign w:val="center"/>
            <w:hideMark/>
          </w:tcPr>
          <w:p w14:paraId="558EB1A0" w14:textId="77777777" w:rsidR="00F51113" w:rsidRPr="00841C21" w:rsidRDefault="00F51113">
            <w:pPr>
              <w:pStyle w:val="TableText"/>
              <w:keepNext/>
              <w:spacing w:before="40" w:after="40"/>
              <w:jc w:val="center"/>
              <w:rPr>
                <w:szCs w:val="18"/>
              </w:rPr>
            </w:pPr>
            <w:r w:rsidRPr="00841C21">
              <w:rPr>
                <w:szCs w:val="18"/>
              </w:rPr>
              <w:t>6.6</w:t>
            </w:r>
          </w:p>
        </w:tc>
        <w:tc>
          <w:tcPr>
            <w:tcW w:w="621" w:type="dxa"/>
            <w:shd w:val="clear" w:color="auto" w:fill="D2DDE1" w:themeFill="background2"/>
            <w:vAlign w:val="center"/>
            <w:hideMark/>
          </w:tcPr>
          <w:p w14:paraId="5E41295B" w14:textId="77777777" w:rsidR="00F51113" w:rsidRPr="00841C21" w:rsidRDefault="00F51113">
            <w:pPr>
              <w:pStyle w:val="TableText"/>
              <w:keepNext/>
              <w:spacing w:before="40" w:after="40"/>
              <w:jc w:val="center"/>
              <w:rPr>
                <w:szCs w:val="18"/>
              </w:rPr>
            </w:pPr>
            <w:r w:rsidRPr="00841C21">
              <w:rPr>
                <w:szCs w:val="18"/>
              </w:rPr>
              <w:t>6.5</w:t>
            </w:r>
          </w:p>
        </w:tc>
        <w:tc>
          <w:tcPr>
            <w:tcW w:w="621" w:type="dxa"/>
            <w:shd w:val="clear" w:color="auto" w:fill="D2DDE1" w:themeFill="background2"/>
            <w:vAlign w:val="center"/>
            <w:hideMark/>
          </w:tcPr>
          <w:p w14:paraId="04DC66EC" w14:textId="77777777" w:rsidR="00F51113" w:rsidRPr="00841C21" w:rsidRDefault="00F51113">
            <w:pPr>
              <w:pStyle w:val="TableText"/>
              <w:keepNext/>
              <w:spacing w:before="40" w:after="40"/>
              <w:jc w:val="center"/>
              <w:rPr>
                <w:szCs w:val="18"/>
              </w:rPr>
            </w:pPr>
            <w:r w:rsidRPr="00841C21">
              <w:rPr>
                <w:szCs w:val="18"/>
              </w:rPr>
              <w:t>6.5</w:t>
            </w:r>
          </w:p>
        </w:tc>
        <w:tc>
          <w:tcPr>
            <w:tcW w:w="621" w:type="dxa"/>
            <w:shd w:val="clear" w:color="auto" w:fill="D2DDE1" w:themeFill="background2"/>
            <w:vAlign w:val="center"/>
            <w:hideMark/>
          </w:tcPr>
          <w:p w14:paraId="16651D91" w14:textId="77777777" w:rsidR="00F51113" w:rsidRPr="00841C21" w:rsidRDefault="00F51113">
            <w:pPr>
              <w:pStyle w:val="TableText"/>
              <w:keepNext/>
              <w:spacing w:before="40" w:after="40"/>
              <w:jc w:val="center"/>
              <w:rPr>
                <w:szCs w:val="18"/>
              </w:rPr>
            </w:pPr>
            <w:r w:rsidRPr="00841C21">
              <w:rPr>
                <w:szCs w:val="18"/>
              </w:rPr>
              <w:t>6.5</w:t>
            </w:r>
          </w:p>
        </w:tc>
        <w:tc>
          <w:tcPr>
            <w:tcW w:w="621" w:type="dxa"/>
            <w:shd w:val="clear" w:color="auto" w:fill="D2DDE1" w:themeFill="background2"/>
            <w:vAlign w:val="center"/>
            <w:hideMark/>
          </w:tcPr>
          <w:p w14:paraId="402BEF22" w14:textId="77777777" w:rsidR="00F51113" w:rsidRPr="00841C21" w:rsidRDefault="00F51113">
            <w:pPr>
              <w:pStyle w:val="TableText"/>
              <w:keepNext/>
              <w:spacing w:before="40" w:after="40"/>
              <w:jc w:val="center"/>
              <w:rPr>
                <w:szCs w:val="18"/>
              </w:rPr>
            </w:pPr>
            <w:r w:rsidRPr="00841C21">
              <w:rPr>
                <w:szCs w:val="18"/>
              </w:rPr>
              <w:t>6.5</w:t>
            </w:r>
          </w:p>
        </w:tc>
      </w:tr>
      <w:tr w:rsidR="00F51113" w:rsidRPr="00841C21" w14:paraId="6264FA3A" w14:textId="77777777">
        <w:trPr>
          <w:trHeight w:val="20"/>
        </w:trPr>
        <w:tc>
          <w:tcPr>
            <w:tcW w:w="621" w:type="dxa"/>
            <w:shd w:val="clear" w:color="auto" w:fill="auto"/>
            <w:vAlign w:val="center"/>
            <w:hideMark/>
          </w:tcPr>
          <w:p w14:paraId="3F7C2332" w14:textId="77777777" w:rsidR="00F51113" w:rsidRPr="00841C21" w:rsidRDefault="00F51113">
            <w:pPr>
              <w:pStyle w:val="TableTextbold"/>
              <w:spacing w:before="40" w:after="40"/>
              <w:jc w:val="both"/>
              <w:rPr>
                <w:szCs w:val="18"/>
              </w:rPr>
            </w:pPr>
            <w:r w:rsidRPr="00841C21">
              <w:rPr>
                <w:szCs w:val="18"/>
              </w:rPr>
              <w:t>Total</w:t>
            </w:r>
          </w:p>
        </w:tc>
        <w:tc>
          <w:tcPr>
            <w:tcW w:w="621" w:type="dxa"/>
            <w:shd w:val="clear" w:color="auto" w:fill="auto"/>
            <w:vAlign w:val="center"/>
            <w:hideMark/>
          </w:tcPr>
          <w:p w14:paraId="185F01D2" w14:textId="77777777" w:rsidR="00F51113" w:rsidRPr="00841C21" w:rsidRDefault="00F51113">
            <w:pPr>
              <w:pStyle w:val="TableTextbold"/>
              <w:spacing w:before="40" w:after="40"/>
              <w:jc w:val="center"/>
              <w:rPr>
                <w:szCs w:val="18"/>
              </w:rPr>
            </w:pPr>
            <w:r w:rsidRPr="00841C21">
              <w:rPr>
                <w:szCs w:val="18"/>
              </w:rPr>
              <w:t>37.1</w:t>
            </w:r>
          </w:p>
        </w:tc>
        <w:tc>
          <w:tcPr>
            <w:tcW w:w="621" w:type="dxa"/>
            <w:shd w:val="clear" w:color="auto" w:fill="auto"/>
            <w:vAlign w:val="center"/>
            <w:hideMark/>
          </w:tcPr>
          <w:p w14:paraId="0FD581CD" w14:textId="77777777" w:rsidR="00F51113" w:rsidRPr="00841C21" w:rsidRDefault="00F51113">
            <w:pPr>
              <w:pStyle w:val="TableTextbold"/>
              <w:spacing w:before="40" w:after="40"/>
              <w:jc w:val="center"/>
              <w:rPr>
                <w:szCs w:val="18"/>
              </w:rPr>
            </w:pPr>
            <w:r w:rsidRPr="00841C21">
              <w:rPr>
                <w:szCs w:val="18"/>
              </w:rPr>
              <w:t>39.2</w:t>
            </w:r>
          </w:p>
        </w:tc>
        <w:tc>
          <w:tcPr>
            <w:tcW w:w="621" w:type="dxa"/>
            <w:shd w:val="clear" w:color="auto" w:fill="auto"/>
            <w:vAlign w:val="center"/>
            <w:hideMark/>
          </w:tcPr>
          <w:p w14:paraId="0CE144E8" w14:textId="77777777" w:rsidR="00F51113" w:rsidRPr="00841C21" w:rsidRDefault="00F51113">
            <w:pPr>
              <w:pStyle w:val="TableTextbold"/>
              <w:spacing w:before="40" w:after="40"/>
              <w:jc w:val="center"/>
              <w:rPr>
                <w:szCs w:val="18"/>
              </w:rPr>
            </w:pPr>
            <w:r w:rsidRPr="00841C21">
              <w:rPr>
                <w:szCs w:val="18"/>
              </w:rPr>
              <w:t>41.2</w:t>
            </w:r>
          </w:p>
        </w:tc>
        <w:tc>
          <w:tcPr>
            <w:tcW w:w="621" w:type="dxa"/>
            <w:shd w:val="clear" w:color="auto" w:fill="auto"/>
            <w:vAlign w:val="center"/>
            <w:hideMark/>
          </w:tcPr>
          <w:p w14:paraId="391D2AEF" w14:textId="77777777" w:rsidR="00F51113" w:rsidRPr="00841C21" w:rsidRDefault="00F51113">
            <w:pPr>
              <w:pStyle w:val="TableTextbold"/>
              <w:spacing w:before="40" w:after="40"/>
              <w:jc w:val="center"/>
              <w:rPr>
                <w:szCs w:val="18"/>
              </w:rPr>
            </w:pPr>
            <w:r w:rsidRPr="00841C21">
              <w:rPr>
                <w:szCs w:val="18"/>
              </w:rPr>
              <w:t>43.1</w:t>
            </w:r>
          </w:p>
        </w:tc>
        <w:tc>
          <w:tcPr>
            <w:tcW w:w="621" w:type="dxa"/>
            <w:shd w:val="clear" w:color="auto" w:fill="auto"/>
            <w:vAlign w:val="center"/>
            <w:hideMark/>
          </w:tcPr>
          <w:p w14:paraId="2F04E493" w14:textId="77777777" w:rsidR="00F51113" w:rsidRPr="00841C21" w:rsidRDefault="00F51113">
            <w:pPr>
              <w:pStyle w:val="TableTextbold"/>
              <w:spacing w:before="40" w:after="40"/>
              <w:jc w:val="center"/>
              <w:rPr>
                <w:szCs w:val="18"/>
              </w:rPr>
            </w:pPr>
            <w:r w:rsidRPr="00841C21">
              <w:rPr>
                <w:szCs w:val="18"/>
              </w:rPr>
              <w:t>41.0</w:t>
            </w:r>
          </w:p>
        </w:tc>
        <w:tc>
          <w:tcPr>
            <w:tcW w:w="621" w:type="dxa"/>
            <w:shd w:val="clear" w:color="auto" w:fill="auto"/>
            <w:vAlign w:val="center"/>
            <w:hideMark/>
          </w:tcPr>
          <w:p w14:paraId="69C19565" w14:textId="77777777" w:rsidR="00F51113" w:rsidRPr="00841C21" w:rsidRDefault="00F51113">
            <w:pPr>
              <w:pStyle w:val="TableTextbold"/>
              <w:spacing w:before="40" w:after="40"/>
              <w:jc w:val="center"/>
              <w:rPr>
                <w:szCs w:val="18"/>
              </w:rPr>
            </w:pPr>
            <w:r w:rsidRPr="00841C21">
              <w:rPr>
                <w:szCs w:val="18"/>
              </w:rPr>
              <w:t>42.8</w:t>
            </w:r>
          </w:p>
        </w:tc>
        <w:tc>
          <w:tcPr>
            <w:tcW w:w="621" w:type="dxa"/>
            <w:shd w:val="clear" w:color="auto" w:fill="auto"/>
            <w:vAlign w:val="center"/>
            <w:hideMark/>
          </w:tcPr>
          <w:p w14:paraId="428D3429" w14:textId="77777777" w:rsidR="00F51113" w:rsidRPr="00841C21" w:rsidRDefault="00F51113">
            <w:pPr>
              <w:pStyle w:val="TableTextbold"/>
              <w:spacing w:before="40" w:after="40"/>
              <w:jc w:val="center"/>
              <w:rPr>
                <w:szCs w:val="18"/>
              </w:rPr>
            </w:pPr>
            <w:r w:rsidRPr="00841C21">
              <w:rPr>
                <w:szCs w:val="18"/>
              </w:rPr>
              <w:t>42.9</w:t>
            </w:r>
          </w:p>
        </w:tc>
        <w:tc>
          <w:tcPr>
            <w:tcW w:w="621" w:type="dxa"/>
            <w:shd w:val="clear" w:color="auto" w:fill="D2DDE1" w:themeFill="background2"/>
            <w:vAlign w:val="center"/>
            <w:hideMark/>
          </w:tcPr>
          <w:p w14:paraId="3E16D506" w14:textId="77777777" w:rsidR="00F51113" w:rsidRPr="00841C21" w:rsidRDefault="00F51113">
            <w:pPr>
              <w:pStyle w:val="TableTextbold"/>
              <w:spacing w:before="40" w:after="40"/>
              <w:jc w:val="center"/>
              <w:rPr>
                <w:szCs w:val="18"/>
              </w:rPr>
            </w:pPr>
            <w:r w:rsidRPr="00841C21">
              <w:rPr>
                <w:szCs w:val="18"/>
              </w:rPr>
              <w:t>39.6</w:t>
            </w:r>
          </w:p>
        </w:tc>
        <w:tc>
          <w:tcPr>
            <w:tcW w:w="621" w:type="dxa"/>
            <w:shd w:val="clear" w:color="auto" w:fill="D2DDE1" w:themeFill="background2"/>
            <w:vAlign w:val="center"/>
            <w:hideMark/>
          </w:tcPr>
          <w:p w14:paraId="0CF70FA4" w14:textId="77777777" w:rsidR="00F51113" w:rsidRPr="00841C21" w:rsidRDefault="00F51113">
            <w:pPr>
              <w:pStyle w:val="TableTextbold"/>
              <w:spacing w:before="40" w:after="40"/>
              <w:jc w:val="center"/>
              <w:rPr>
                <w:szCs w:val="18"/>
              </w:rPr>
            </w:pPr>
            <w:r w:rsidRPr="00841C21">
              <w:rPr>
                <w:szCs w:val="18"/>
              </w:rPr>
              <w:t>39.1</w:t>
            </w:r>
          </w:p>
        </w:tc>
        <w:tc>
          <w:tcPr>
            <w:tcW w:w="621" w:type="dxa"/>
            <w:shd w:val="clear" w:color="auto" w:fill="D2DDE1" w:themeFill="background2"/>
            <w:vAlign w:val="center"/>
            <w:hideMark/>
          </w:tcPr>
          <w:p w14:paraId="7D1FAC7D" w14:textId="77777777" w:rsidR="00F51113" w:rsidRPr="00841C21" w:rsidRDefault="00F51113">
            <w:pPr>
              <w:pStyle w:val="TableTextbold"/>
              <w:spacing w:before="40" w:after="40"/>
              <w:jc w:val="center"/>
              <w:rPr>
                <w:szCs w:val="18"/>
              </w:rPr>
            </w:pPr>
            <w:r w:rsidRPr="00841C21">
              <w:rPr>
                <w:szCs w:val="18"/>
              </w:rPr>
              <w:t>38.8</w:t>
            </w:r>
          </w:p>
        </w:tc>
        <w:tc>
          <w:tcPr>
            <w:tcW w:w="621" w:type="dxa"/>
            <w:shd w:val="clear" w:color="auto" w:fill="D2DDE1" w:themeFill="background2"/>
            <w:vAlign w:val="center"/>
            <w:hideMark/>
          </w:tcPr>
          <w:p w14:paraId="4329342A" w14:textId="77777777" w:rsidR="00F51113" w:rsidRPr="00841C21" w:rsidRDefault="00F51113">
            <w:pPr>
              <w:pStyle w:val="TableTextbold"/>
              <w:spacing w:before="40" w:after="40"/>
              <w:jc w:val="center"/>
              <w:rPr>
                <w:szCs w:val="18"/>
              </w:rPr>
            </w:pPr>
            <w:r w:rsidRPr="00841C21">
              <w:rPr>
                <w:szCs w:val="18"/>
              </w:rPr>
              <w:t>38.7</w:t>
            </w:r>
          </w:p>
        </w:tc>
        <w:tc>
          <w:tcPr>
            <w:tcW w:w="621" w:type="dxa"/>
            <w:shd w:val="clear" w:color="auto" w:fill="D2DDE1" w:themeFill="background2"/>
            <w:vAlign w:val="center"/>
            <w:hideMark/>
          </w:tcPr>
          <w:p w14:paraId="1EC319BC" w14:textId="77777777" w:rsidR="00F51113" w:rsidRPr="00841C21" w:rsidRDefault="00F51113">
            <w:pPr>
              <w:pStyle w:val="TableTextbold"/>
              <w:spacing w:before="40" w:after="40"/>
              <w:jc w:val="center"/>
              <w:rPr>
                <w:szCs w:val="18"/>
              </w:rPr>
            </w:pPr>
            <w:r w:rsidRPr="00841C21">
              <w:rPr>
                <w:szCs w:val="18"/>
              </w:rPr>
              <w:t>38.8</w:t>
            </w:r>
          </w:p>
        </w:tc>
        <w:tc>
          <w:tcPr>
            <w:tcW w:w="621" w:type="dxa"/>
            <w:shd w:val="clear" w:color="auto" w:fill="D2DDE1" w:themeFill="background2"/>
            <w:vAlign w:val="center"/>
            <w:hideMark/>
          </w:tcPr>
          <w:p w14:paraId="3DBEF90B" w14:textId="77777777" w:rsidR="00F51113" w:rsidRPr="00841C21" w:rsidRDefault="00F51113">
            <w:pPr>
              <w:pStyle w:val="TableTextbold"/>
              <w:spacing w:before="40" w:after="40"/>
              <w:jc w:val="center"/>
              <w:rPr>
                <w:szCs w:val="18"/>
              </w:rPr>
            </w:pPr>
            <w:r w:rsidRPr="00841C21">
              <w:rPr>
                <w:szCs w:val="18"/>
              </w:rPr>
              <w:t>38.8</w:t>
            </w:r>
          </w:p>
        </w:tc>
      </w:tr>
    </w:tbl>
    <w:p w14:paraId="56E07E1A" w14:textId="77777777" w:rsidR="00F51113" w:rsidRPr="004C2DCD" w:rsidRDefault="00F51113" w:rsidP="00F51113">
      <w:pPr>
        <w:pStyle w:val="Note"/>
      </w:pPr>
      <w:r w:rsidRPr="004C2DCD">
        <w:rPr>
          <w:b/>
          <w:bCs/>
        </w:rPr>
        <w:t>Note:</w:t>
      </w:r>
      <w:r w:rsidRPr="004C2DCD">
        <w:t xml:space="preserve"> CH</w:t>
      </w:r>
      <w:r w:rsidRPr="004C2DCD">
        <w:rPr>
          <w:vertAlign w:val="subscript"/>
        </w:rPr>
        <w:t>4</w:t>
      </w:r>
      <w:r w:rsidRPr="004C2DCD">
        <w:t xml:space="preserve"> = methane; CO</w:t>
      </w:r>
      <w:r w:rsidRPr="004C2DCD">
        <w:rPr>
          <w:vertAlign w:val="subscript"/>
        </w:rPr>
        <w:t>2</w:t>
      </w:r>
      <w:r w:rsidRPr="004C2DCD">
        <w:t xml:space="preserve"> = carbon dioxide; N</w:t>
      </w:r>
      <w:r w:rsidRPr="004C2DCD">
        <w:rPr>
          <w:vertAlign w:val="subscript"/>
        </w:rPr>
        <w:t>2</w:t>
      </w:r>
      <w:r w:rsidRPr="004C2DCD">
        <w:t xml:space="preserve">O = nitrous oxide. </w:t>
      </w:r>
    </w:p>
    <w:p w14:paraId="7D528F06" w14:textId="77777777" w:rsidR="00F51113" w:rsidRPr="004C2DCD" w:rsidRDefault="00F51113" w:rsidP="00784F5F">
      <w:pPr>
        <w:pStyle w:val="Heading3"/>
        <w:numPr>
          <w:ilvl w:val="0"/>
          <w:numId w:val="112"/>
        </w:numPr>
      </w:pPr>
      <w:r w:rsidRPr="004C2DCD">
        <w:t>Waste</w:t>
      </w:r>
    </w:p>
    <w:p w14:paraId="6345C261" w14:textId="71192686" w:rsidR="00F51113" w:rsidRPr="004C2DCD" w:rsidRDefault="00F51113" w:rsidP="00AB56DE">
      <w:pPr>
        <w:pStyle w:val="BodyText"/>
        <w:spacing w:before="100" w:after="100"/>
      </w:pPr>
      <w:r w:rsidRPr="004C2DCD">
        <w:t>Emissions from the Waste sector are projected to decrease to 3,266 kt CO</w:t>
      </w:r>
      <w:r w:rsidRPr="004C2DCD">
        <w:rPr>
          <w:vertAlign w:val="subscript"/>
        </w:rPr>
        <w:t>2</w:t>
      </w:r>
      <w:r w:rsidRPr="004C2DCD">
        <w:t>e by 2030 (32.6 per cent below 2005 levels) and to 3,124 kt CO</w:t>
      </w:r>
      <w:r w:rsidRPr="004C2DCD">
        <w:rPr>
          <w:vertAlign w:val="subscript"/>
        </w:rPr>
        <w:t>2</w:t>
      </w:r>
      <w:r w:rsidRPr="004C2DCD">
        <w:t xml:space="preserve">e by 2050 (10.6 per cent below 2022 levels) (see </w:t>
      </w:r>
      <w:hyperlink w:anchor="figure2510" w:history="1">
        <w:r w:rsidRPr="00162E8D">
          <w:rPr>
            <w:rStyle w:val="Hyperlink"/>
          </w:rPr>
          <w:t>figure 2.5.10</w:t>
        </w:r>
      </w:hyperlink>
      <w:r w:rsidRPr="004C2DCD">
        <w:t>). Figure 2.5.10 presents historical GHG emissions from 1990 to 2022</w:t>
      </w:r>
      <w:r>
        <w:t> </w:t>
      </w:r>
      <w:r w:rsidRPr="004C2DCD">
        <w:t xml:space="preserve">and projected GHG emissions from 2023 to 2050 for the Waste sector. </w:t>
      </w:r>
    </w:p>
    <w:p w14:paraId="063EDDFB" w14:textId="77777777" w:rsidR="00F51113" w:rsidRPr="004C2DCD" w:rsidRDefault="00F51113" w:rsidP="00AB56DE">
      <w:pPr>
        <w:pStyle w:val="BodyText"/>
        <w:spacing w:before="100" w:after="100"/>
      </w:pPr>
      <w:r w:rsidRPr="004C2DCD">
        <w:t>Most waste emissions are CH</w:t>
      </w:r>
      <w:r w:rsidRPr="004C2DCD">
        <w:rPr>
          <w:vertAlign w:val="subscript"/>
        </w:rPr>
        <w:t>4</w:t>
      </w:r>
      <w:r w:rsidRPr="004C2DCD">
        <w:t xml:space="preserve"> emissions resulting from the disposal of solid waste to landfill, averaging 81.9 per cent across the 1990 to 2050 time series. Due to the increasing use of landfill gas capture, particularly since this became mandatory for certain landfills under the National Environmental Standard for Air Quality,</w:t>
      </w:r>
      <w:r w:rsidRPr="004C2DCD">
        <w:rPr>
          <w:rStyle w:val="FootnoteReference"/>
        </w:rPr>
        <w:footnoteReference w:id="185"/>
      </w:r>
      <w:r w:rsidRPr="004C2DCD">
        <w:t xml:space="preserve"> net emissions from landfills and the Waste sector peaked around 2002. The changing composition of waste, notably a reduction in the proportion of food and paper waste to landfill, offsets projected increases in waste volumes, resulting in a slightly decreasing trend to 2035.</w:t>
      </w:r>
    </w:p>
    <w:p w14:paraId="34D69863" w14:textId="1242C57C" w:rsidR="00F51113" w:rsidRPr="004C2DCD" w:rsidRDefault="00F51113" w:rsidP="00F51113">
      <w:pPr>
        <w:pStyle w:val="BodyText"/>
      </w:pPr>
      <w:r w:rsidRPr="004C2DCD">
        <w:t>The remaining 18.1 per cent of emissions in the Waste sector consist of CO</w:t>
      </w:r>
      <w:r w:rsidRPr="004C2DCD">
        <w:rPr>
          <w:vertAlign w:val="subscript"/>
        </w:rPr>
        <w:t>2</w:t>
      </w:r>
      <w:r w:rsidRPr="004C2DCD">
        <w:t xml:space="preserve"> and N</w:t>
      </w:r>
      <w:r w:rsidRPr="004C2DCD">
        <w:rPr>
          <w:vertAlign w:val="subscript"/>
        </w:rPr>
        <w:t>2</w:t>
      </w:r>
      <w:r w:rsidRPr="004C2DCD">
        <w:t>O, originating from the following sources in decreasing order of contribution: domestic wastewater, open burning, industrial wastewater, composting, incineration and anaerobic digestion. Carbon dioxide emissions, primarily from open burning, are projected to show a slight and gradual decrease from 2022 to 2050.</w:t>
      </w:r>
      <w:r w:rsidRPr="004C2DCD" w:rsidDel="00451B68">
        <w:t xml:space="preserve"> </w:t>
      </w:r>
      <w:r w:rsidRPr="004C2DCD">
        <w:t xml:space="preserve">Methane emissions are expected to steadily decline between 2022 </w:t>
      </w:r>
      <w:r w:rsidR="00195D83">
        <w:t>and</w:t>
      </w:r>
      <w:r w:rsidRPr="004C2DCD">
        <w:t xml:space="preserve"> 2050. Nitrous oxide emissions are anticipated to increase over the same period, mainly due to rising wastewater emissions from a growing population, with additional contributions from increased composting activities. </w:t>
      </w:r>
    </w:p>
    <w:p w14:paraId="52957088" w14:textId="74811C02" w:rsidR="0035129A" w:rsidRPr="0035129A" w:rsidRDefault="00F51113" w:rsidP="00B07BED">
      <w:pPr>
        <w:pStyle w:val="Figureheading"/>
        <w:spacing w:after="0"/>
      </w:pPr>
      <w:bookmarkStart w:id="552" w:name="figure2510"/>
      <w:bookmarkStart w:id="553" w:name="_Toc185347254"/>
      <w:r w:rsidRPr="004C2DCD">
        <w:t>Figure 2.5.10</w:t>
      </w:r>
      <w:bookmarkEnd w:id="552"/>
      <w:r w:rsidRPr="004C2DCD">
        <w:t xml:space="preserve">: </w:t>
      </w:r>
      <w:r w:rsidRPr="004C2DCD">
        <w:tab/>
        <w:t>Greenhouse gas emissions under the ‘with existing measures’ scenario in the Waste sector, 1990–2050</w:t>
      </w:r>
      <w:bookmarkEnd w:id="553"/>
    </w:p>
    <w:p w14:paraId="612EEF6C" w14:textId="4B84289D" w:rsidR="00F51113" w:rsidRPr="004C2DCD" w:rsidRDefault="0035129A" w:rsidP="00642E32">
      <w:pPr>
        <w:pStyle w:val="BodyText"/>
        <w:spacing w:before="80" w:after="0"/>
        <w:jc w:val="center"/>
      </w:pPr>
      <w:r>
        <w:rPr>
          <w:noProof/>
        </w:rPr>
        <w:drawing>
          <wp:inline distT="0" distB="0" distL="0" distR="0" wp14:anchorId="72C2C906" wp14:editId="253718DB">
            <wp:extent cx="5040000" cy="2864771"/>
            <wp:effectExtent l="0" t="0" r="8255" b="0"/>
            <wp:docPr id="1134023283" name="Picture 37" descr="A line graph showing greenhouse gas emissions in kilotonnes carbon dioxide equivalent under the ‘with existing measures’ scenario in the Waste sector for the period 1990 to 2050. It shows waste historical emissions (solid line) then projected emissions (dott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023283" name="Picture 37" descr="A line graph showing greenhouse gas emissions in kilotonnes carbon dioxide equivalent under the ‘with existing measures’ scenario in the Waste sector for the period 1990 to 2050. It shows waste historical emissions (solid line) then projected emissions (dotted lin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40000" cy="2864771"/>
                    </a:xfrm>
                    <a:prstGeom prst="rect">
                      <a:avLst/>
                    </a:prstGeom>
                    <a:noFill/>
                  </pic:spPr>
                </pic:pic>
              </a:graphicData>
            </a:graphic>
          </wp:inline>
        </w:drawing>
      </w:r>
    </w:p>
    <w:p w14:paraId="60A3F074" w14:textId="696339C0" w:rsidR="00F51113" w:rsidRPr="004C2DCD" w:rsidRDefault="00F51113" w:rsidP="00730A86">
      <w:pPr>
        <w:pStyle w:val="Note"/>
        <w:spacing w:after="100"/>
      </w:pPr>
      <w:r w:rsidRPr="004C2DCD">
        <w:rPr>
          <w:b/>
          <w:bCs/>
        </w:rPr>
        <w:t>Note:</w:t>
      </w:r>
      <w:r w:rsidRPr="004C2DCD">
        <w:t xml:space="preserve"> </w:t>
      </w:r>
      <w:r w:rsidR="000E3C52">
        <w:t>k</w:t>
      </w:r>
      <w:r w:rsidRPr="004C2DCD">
        <w:t>t CO</w:t>
      </w:r>
      <w:r w:rsidRPr="004C2DCD">
        <w:rPr>
          <w:vertAlign w:val="subscript"/>
        </w:rPr>
        <w:t>2</w:t>
      </w:r>
      <w:r w:rsidRPr="004C2DCD">
        <w:t xml:space="preserve">e = </w:t>
      </w:r>
      <w:r w:rsidRPr="004C2DCD">
        <w:rPr>
          <w:rFonts w:eastAsia="Calibri" w:cs="Calibri"/>
        </w:rPr>
        <w:t xml:space="preserve">kilotonnes of </w:t>
      </w:r>
      <w:r w:rsidRPr="004C2DCD">
        <w:t>carbon dioxide equivalent.</w:t>
      </w:r>
    </w:p>
    <w:p w14:paraId="0C4C7367" w14:textId="77777777" w:rsidR="00F51113" w:rsidRPr="004C2DCD" w:rsidRDefault="00F51113" w:rsidP="00730A86">
      <w:pPr>
        <w:pStyle w:val="BodyText"/>
        <w:spacing w:before="100" w:after="100"/>
      </w:pPr>
      <w:r w:rsidRPr="004C2DCD">
        <w:t>New Zealand’s historical and projected Waste sector emissions by gas are given in table 2.5.8.</w:t>
      </w:r>
    </w:p>
    <w:p w14:paraId="6BF3E10D" w14:textId="77777777" w:rsidR="00F51113" w:rsidRPr="004C2DCD" w:rsidRDefault="00F51113" w:rsidP="00F51113">
      <w:pPr>
        <w:pStyle w:val="Tableheading"/>
      </w:pPr>
      <w:bookmarkStart w:id="554" w:name="_Toc183789684"/>
      <w:bookmarkStart w:id="555" w:name="_Toc185407473"/>
      <w:bookmarkStart w:id="556" w:name="_Toc185427736"/>
      <w:r w:rsidRPr="004C2DCD">
        <w:t xml:space="preserve">Table 2.5.8: </w:t>
      </w:r>
      <w:r w:rsidRPr="004C2DCD">
        <w:tab/>
        <w:t>Historical and projected emissions from waste by gas, under a ‘with existing measures’ scenario, 1990–2050 (kt CO</w:t>
      </w:r>
      <w:r w:rsidRPr="004C2DCD">
        <w:rPr>
          <w:vertAlign w:val="subscript"/>
        </w:rPr>
        <w:t>2</w:t>
      </w:r>
      <w:r w:rsidRPr="004C2DCD">
        <w:t>e)</w:t>
      </w:r>
      <w:bookmarkEnd w:id="554"/>
      <w:bookmarkEnd w:id="555"/>
      <w:bookmarkEnd w:id="556"/>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85" w:type="dxa"/>
          <w:right w:w="85" w:type="dxa"/>
        </w:tblCellMar>
        <w:tblLook w:val="04A0" w:firstRow="1" w:lastRow="0" w:firstColumn="1" w:lastColumn="0" w:noHBand="0" w:noVBand="1"/>
      </w:tblPr>
      <w:tblGrid>
        <w:gridCol w:w="560"/>
        <w:gridCol w:w="610"/>
        <w:gridCol w:w="611"/>
        <w:gridCol w:w="611"/>
        <w:gridCol w:w="612"/>
        <w:gridCol w:w="611"/>
        <w:gridCol w:w="611"/>
        <w:gridCol w:w="612"/>
        <w:gridCol w:w="611"/>
        <w:gridCol w:w="611"/>
        <w:gridCol w:w="612"/>
        <w:gridCol w:w="611"/>
        <w:gridCol w:w="611"/>
        <w:gridCol w:w="611"/>
      </w:tblGrid>
      <w:tr w:rsidR="00F51113" w:rsidRPr="00841C21" w14:paraId="7E8E201C" w14:textId="77777777">
        <w:tc>
          <w:tcPr>
            <w:tcW w:w="330" w:type="pct"/>
            <w:vMerge w:val="restart"/>
            <w:shd w:val="clear" w:color="auto" w:fill="1C556C" w:themeFill="accent1"/>
            <w:vAlign w:val="bottom"/>
          </w:tcPr>
          <w:p w14:paraId="060D9721" w14:textId="77777777" w:rsidR="00F51113" w:rsidRPr="00841C21" w:rsidRDefault="00F51113">
            <w:pPr>
              <w:pStyle w:val="TableText"/>
              <w:jc w:val="center"/>
              <w:rPr>
                <w:b/>
                <w:bCs/>
                <w:color w:val="FFFFFF" w:themeColor="background1"/>
                <w:szCs w:val="18"/>
              </w:rPr>
            </w:pPr>
            <w:r w:rsidRPr="00841C21">
              <w:rPr>
                <w:b/>
                <w:bCs/>
                <w:color w:val="FFFFFF" w:themeColor="background1"/>
                <w:szCs w:val="18"/>
              </w:rPr>
              <w:t>Gas</w:t>
            </w:r>
          </w:p>
        </w:tc>
        <w:tc>
          <w:tcPr>
            <w:tcW w:w="2515" w:type="pct"/>
            <w:gridSpan w:val="7"/>
            <w:tcBorders>
              <w:top w:val="nil"/>
              <w:left w:val="nil"/>
              <w:bottom w:val="single" w:sz="4" w:space="0" w:color="1B556B" w:themeColor="text2"/>
              <w:right w:val="nil"/>
            </w:tcBorders>
            <w:shd w:val="clear" w:color="auto" w:fill="1C556C" w:themeFill="accent1"/>
            <w:vAlign w:val="center"/>
          </w:tcPr>
          <w:p w14:paraId="526B7393" w14:textId="77777777" w:rsidR="00F51113" w:rsidRPr="00841C21" w:rsidRDefault="00F51113">
            <w:pPr>
              <w:pStyle w:val="TableText"/>
              <w:spacing w:before="40" w:after="0"/>
              <w:jc w:val="center"/>
              <w:rPr>
                <w:b/>
                <w:bCs/>
                <w:color w:val="FFFFFF" w:themeColor="background1"/>
                <w:szCs w:val="18"/>
              </w:rPr>
            </w:pPr>
            <w:r w:rsidRPr="00841C21">
              <w:rPr>
                <w:b/>
                <w:bCs/>
                <w:color w:val="FFFFFF" w:themeColor="background1"/>
                <w:szCs w:val="18"/>
              </w:rPr>
              <w:t>Historical</w:t>
            </w:r>
          </w:p>
        </w:tc>
        <w:tc>
          <w:tcPr>
            <w:tcW w:w="2155" w:type="pct"/>
            <w:gridSpan w:val="6"/>
            <w:tcBorders>
              <w:top w:val="nil"/>
              <w:left w:val="nil"/>
              <w:bottom w:val="single" w:sz="4" w:space="0" w:color="1B556B" w:themeColor="text2"/>
            </w:tcBorders>
            <w:shd w:val="clear" w:color="auto" w:fill="1C556C" w:themeFill="accent1"/>
            <w:vAlign w:val="center"/>
          </w:tcPr>
          <w:p w14:paraId="7F3DBD25" w14:textId="77777777" w:rsidR="00F51113" w:rsidRPr="00841C21" w:rsidRDefault="00F51113">
            <w:pPr>
              <w:pStyle w:val="TableText"/>
              <w:spacing w:before="40" w:after="0"/>
              <w:jc w:val="center"/>
              <w:rPr>
                <w:b/>
                <w:bCs/>
                <w:color w:val="FFFFFF" w:themeColor="background1"/>
                <w:szCs w:val="18"/>
              </w:rPr>
            </w:pPr>
            <w:r w:rsidRPr="00841C21">
              <w:rPr>
                <w:b/>
                <w:bCs/>
                <w:color w:val="FFFFFF" w:themeColor="background1"/>
                <w:szCs w:val="18"/>
              </w:rPr>
              <w:t>Projected</w:t>
            </w:r>
          </w:p>
        </w:tc>
      </w:tr>
      <w:tr w:rsidR="00F51113" w:rsidRPr="00841C21" w14:paraId="0F89741A" w14:textId="77777777">
        <w:tc>
          <w:tcPr>
            <w:tcW w:w="330" w:type="pct"/>
            <w:vMerge/>
            <w:shd w:val="clear" w:color="auto" w:fill="1C556C" w:themeFill="accent1"/>
            <w:vAlign w:val="center"/>
            <w:hideMark/>
          </w:tcPr>
          <w:p w14:paraId="2D72D320" w14:textId="77777777" w:rsidR="00F51113" w:rsidRPr="00841C21" w:rsidRDefault="00F51113">
            <w:pPr>
              <w:pStyle w:val="TableText"/>
              <w:jc w:val="center"/>
              <w:rPr>
                <w:b/>
                <w:bCs/>
                <w:color w:val="FFFFFF" w:themeColor="background1"/>
                <w:szCs w:val="18"/>
              </w:rPr>
            </w:pPr>
          </w:p>
        </w:tc>
        <w:tc>
          <w:tcPr>
            <w:tcW w:w="359" w:type="pct"/>
            <w:tcBorders>
              <w:top w:val="nil"/>
              <w:left w:val="nil"/>
              <w:bottom w:val="single" w:sz="4" w:space="0" w:color="1B556B" w:themeColor="text2"/>
              <w:right w:val="nil"/>
            </w:tcBorders>
            <w:shd w:val="clear" w:color="auto" w:fill="1C556C" w:themeFill="accent1"/>
            <w:vAlign w:val="center"/>
            <w:hideMark/>
          </w:tcPr>
          <w:p w14:paraId="291A3D55" w14:textId="77777777" w:rsidR="00F51113" w:rsidRPr="00841C21" w:rsidRDefault="00F51113">
            <w:pPr>
              <w:pStyle w:val="TableText"/>
              <w:spacing w:before="0"/>
              <w:jc w:val="center"/>
              <w:rPr>
                <w:b/>
                <w:bCs/>
                <w:color w:val="FFFFFF" w:themeColor="background1"/>
                <w:szCs w:val="18"/>
              </w:rPr>
            </w:pPr>
            <w:r w:rsidRPr="00841C21">
              <w:rPr>
                <w:b/>
                <w:bCs/>
                <w:color w:val="FFFFFF" w:themeColor="background1"/>
                <w:szCs w:val="18"/>
              </w:rPr>
              <w:t>1990</w:t>
            </w:r>
          </w:p>
        </w:tc>
        <w:tc>
          <w:tcPr>
            <w:tcW w:w="359" w:type="pct"/>
            <w:tcBorders>
              <w:top w:val="nil"/>
              <w:left w:val="nil"/>
              <w:bottom w:val="single" w:sz="4" w:space="0" w:color="1B556B" w:themeColor="text2"/>
              <w:right w:val="nil"/>
            </w:tcBorders>
            <w:shd w:val="clear" w:color="auto" w:fill="1C556C" w:themeFill="accent1"/>
            <w:vAlign w:val="center"/>
            <w:hideMark/>
          </w:tcPr>
          <w:p w14:paraId="6EAF9D06" w14:textId="77777777" w:rsidR="00F51113" w:rsidRPr="00841C21" w:rsidRDefault="00F51113">
            <w:pPr>
              <w:pStyle w:val="TableText"/>
              <w:spacing w:before="0"/>
              <w:jc w:val="center"/>
              <w:rPr>
                <w:b/>
                <w:bCs/>
                <w:color w:val="FFFFFF" w:themeColor="background1"/>
                <w:szCs w:val="18"/>
              </w:rPr>
            </w:pPr>
            <w:r w:rsidRPr="00841C21">
              <w:rPr>
                <w:b/>
                <w:bCs/>
                <w:color w:val="FFFFFF" w:themeColor="background1"/>
                <w:szCs w:val="18"/>
              </w:rPr>
              <w:t>1995</w:t>
            </w:r>
          </w:p>
        </w:tc>
        <w:tc>
          <w:tcPr>
            <w:tcW w:w="359" w:type="pct"/>
            <w:tcBorders>
              <w:top w:val="nil"/>
              <w:left w:val="nil"/>
              <w:bottom w:val="single" w:sz="4" w:space="0" w:color="1B556B" w:themeColor="text2"/>
              <w:right w:val="nil"/>
            </w:tcBorders>
            <w:shd w:val="clear" w:color="auto" w:fill="1C556C" w:themeFill="accent1"/>
            <w:vAlign w:val="center"/>
            <w:hideMark/>
          </w:tcPr>
          <w:p w14:paraId="6227E364" w14:textId="77777777" w:rsidR="00F51113" w:rsidRPr="00841C21" w:rsidRDefault="00F51113">
            <w:pPr>
              <w:pStyle w:val="TableText"/>
              <w:spacing w:before="0"/>
              <w:jc w:val="center"/>
              <w:rPr>
                <w:b/>
                <w:bCs/>
                <w:color w:val="FFFFFF" w:themeColor="background1"/>
                <w:szCs w:val="18"/>
              </w:rPr>
            </w:pPr>
            <w:r w:rsidRPr="00841C21">
              <w:rPr>
                <w:b/>
                <w:bCs/>
                <w:color w:val="FFFFFF" w:themeColor="background1"/>
                <w:szCs w:val="18"/>
              </w:rPr>
              <w:t>2000</w:t>
            </w:r>
          </w:p>
        </w:tc>
        <w:tc>
          <w:tcPr>
            <w:tcW w:w="360" w:type="pct"/>
            <w:tcBorders>
              <w:top w:val="nil"/>
              <w:left w:val="nil"/>
              <w:bottom w:val="single" w:sz="4" w:space="0" w:color="1B556B" w:themeColor="text2"/>
              <w:right w:val="nil"/>
            </w:tcBorders>
            <w:shd w:val="clear" w:color="auto" w:fill="1C556C" w:themeFill="accent1"/>
            <w:vAlign w:val="center"/>
            <w:hideMark/>
          </w:tcPr>
          <w:p w14:paraId="2F4B690B" w14:textId="77777777" w:rsidR="00F51113" w:rsidRPr="00841C21" w:rsidRDefault="00F51113">
            <w:pPr>
              <w:pStyle w:val="TableText"/>
              <w:spacing w:before="0"/>
              <w:jc w:val="center"/>
              <w:rPr>
                <w:b/>
                <w:bCs/>
                <w:color w:val="FFFFFF" w:themeColor="background1"/>
                <w:szCs w:val="18"/>
              </w:rPr>
            </w:pPr>
            <w:r w:rsidRPr="00841C21">
              <w:rPr>
                <w:b/>
                <w:bCs/>
                <w:color w:val="FFFFFF" w:themeColor="background1"/>
                <w:szCs w:val="18"/>
              </w:rPr>
              <w:t>2005</w:t>
            </w:r>
          </w:p>
        </w:tc>
        <w:tc>
          <w:tcPr>
            <w:tcW w:w="359" w:type="pct"/>
            <w:tcBorders>
              <w:top w:val="nil"/>
              <w:left w:val="nil"/>
              <w:bottom w:val="single" w:sz="4" w:space="0" w:color="1B556B" w:themeColor="text2"/>
              <w:right w:val="nil"/>
            </w:tcBorders>
            <w:shd w:val="clear" w:color="auto" w:fill="1C556C" w:themeFill="accent1"/>
            <w:vAlign w:val="center"/>
            <w:hideMark/>
          </w:tcPr>
          <w:p w14:paraId="7B098C2E" w14:textId="77777777" w:rsidR="00F51113" w:rsidRPr="00841C21" w:rsidRDefault="00F51113">
            <w:pPr>
              <w:pStyle w:val="TableText"/>
              <w:spacing w:before="0"/>
              <w:jc w:val="center"/>
              <w:rPr>
                <w:b/>
                <w:bCs/>
                <w:color w:val="FFFFFF" w:themeColor="background1"/>
                <w:szCs w:val="18"/>
              </w:rPr>
            </w:pPr>
            <w:r w:rsidRPr="00841C21">
              <w:rPr>
                <w:b/>
                <w:bCs/>
                <w:color w:val="FFFFFF" w:themeColor="background1"/>
                <w:szCs w:val="18"/>
              </w:rPr>
              <w:t>2010</w:t>
            </w:r>
          </w:p>
        </w:tc>
        <w:tc>
          <w:tcPr>
            <w:tcW w:w="359" w:type="pct"/>
            <w:tcBorders>
              <w:top w:val="nil"/>
              <w:left w:val="nil"/>
              <w:bottom w:val="single" w:sz="4" w:space="0" w:color="1B556B" w:themeColor="text2"/>
              <w:right w:val="nil"/>
            </w:tcBorders>
            <w:shd w:val="clear" w:color="auto" w:fill="1C556C" w:themeFill="accent1"/>
            <w:vAlign w:val="center"/>
            <w:hideMark/>
          </w:tcPr>
          <w:p w14:paraId="3853C1F7" w14:textId="77777777" w:rsidR="00F51113" w:rsidRPr="00841C21" w:rsidRDefault="00F51113">
            <w:pPr>
              <w:pStyle w:val="TableText"/>
              <w:spacing w:before="0"/>
              <w:jc w:val="center"/>
              <w:rPr>
                <w:b/>
                <w:bCs/>
                <w:color w:val="FFFFFF" w:themeColor="background1"/>
                <w:szCs w:val="18"/>
              </w:rPr>
            </w:pPr>
            <w:r w:rsidRPr="00841C21">
              <w:rPr>
                <w:b/>
                <w:bCs/>
                <w:color w:val="FFFFFF" w:themeColor="background1"/>
                <w:szCs w:val="18"/>
              </w:rPr>
              <w:t>2015</w:t>
            </w:r>
          </w:p>
        </w:tc>
        <w:tc>
          <w:tcPr>
            <w:tcW w:w="360" w:type="pct"/>
            <w:tcBorders>
              <w:top w:val="nil"/>
              <w:left w:val="nil"/>
              <w:bottom w:val="single" w:sz="4" w:space="0" w:color="1B556B" w:themeColor="text2"/>
              <w:right w:val="nil"/>
            </w:tcBorders>
            <w:shd w:val="clear" w:color="auto" w:fill="1C556C" w:themeFill="accent1"/>
            <w:vAlign w:val="center"/>
          </w:tcPr>
          <w:p w14:paraId="0044E0F3" w14:textId="77777777" w:rsidR="00F51113" w:rsidRPr="00841C21" w:rsidRDefault="00F51113">
            <w:pPr>
              <w:pStyle w:val="TableText"/>
              <w:spacing w:before="0"/>
              <w:jc w:val="center"/>
              <w:rPr>
                <w:b/>
                <w:bCs/>
                <w:color w:val="FFFFFF" w:themeColor="background1"/>
                <w:szCs w:val="18"/>
              </w:rPr>
            </w:pPr>
            <w:r w:rsidRPr="00841C21">
              <w:rPr>
                <w:b/>
                <w:bCs/>
                <w:color w:val="FFFFFF" w:themeColor="background1"/>
                <w:szCs w:val="18"/>
              </w:rPr>
              <w:t>2020</w:t>
            </w:r>
          </w:p>
        </w:tc>
        <w:tc>
          <w:tcPr>
            <w:tcW w:w="359" w:type="pct"/>
            <w:tcBorders>
              <w:top w:val="nil"/>
              <w:left w:val="nil"/>
              <w:bottom w:val="single" w:sz="4" w:space="0" w:color="1B556B" w:themeColor="text2"/>
              <w:right w:val="nil"/>
            </w:tcBorders>
            <w:shd w:val="clear" w:color="auto" w:fill="1C556C" w:themeFill="accent1"/>
            <w:vAlign w:val="center"/>
          </w:tcPr>
          <w:p w14:paraId="6D7670F0" w14:textId="77777777" w:rsidR="00F51113" w:rsidRPr="00841C21" w:rsidRDefault="00F51113">
            <w:pPr>
              <w:pStyle w:val="TableText"/>
              <w:spacing w:before="0"/>
              <w:jc w:val="center"/>
              <w:rPr>
                <w:b/>
                <w:bCs/>
                <w:color w:val="FFFFFF" w:themeColor="background1"/>
                <w:szCs w:val="18"/>
              </w:rPr>
            </w:pPr>
            <w:r w:rsidRPr="00841C21">
              <w:rPr>
                <w:b/>
                <w:bCs/>
                <w:color w:val="FFFFFF" w:themeColor="background1"/>
                <w:szCs w:val="18"/>
              </w:rPr>
              <w:t>2025</w:t>
            </w:r>
          </w:p>
        </w:tc>
        <w:tc>
          <w:tcPr>
            <w:tcW w:w="359" w:type="pct"/>
            <w:tcBorders>
              <w:top w:val="nil"/>
              <w:left w:val="nil"/>
              <w:bottom w:val="single" w:sz="4" w:space="0" w:color="1B556B" w:themeColor="text2"/>
              <w:right w:val="nil"/>
            </w:tcBorders>
            <w:shd w:val="clear" w:color="auto" w:fill="1C556C" w:themeFill="accent1"/>
            <w:vAlign w:val="center"/>
          </w:tcPr>
          <w:p w14:paraId="73D79CE6" w14:textId="77777777" w:rsidR="00F51113" w:rsidRPr="00841C21" w:rsidRDefault="00F51113">
            <w:pPr>
              <w:pStyle w:val="TableText"/>
              <w:spacing w:before="0"/>
              <w:jc w:val="center"/>
              <w:rPr>
                <w:b/>
                <w:bCs/>
                <w:color w:val="FFFFFF" w:themeColor="background1"/>
                <w:szCs w:val="18"/>
              </w:rPr>
            </w:pPr>
            <w:r w:rsidRPr="00841C21">
              <w:rPr>
                <w:b/>
                <w:bCs/>
                <w:color w:val="FFFFFF" w:themeColor="background1"/>
                <w:szCs w:val="18"/>
              </w:rPr>
              <w:t>2030</w:t>
            </w:r>
          </w:p>
        </w:tc>
        <w:tc>
          <w:tcPr>
            <w:tcW w:w="360" w:type="pct"/>
            <w:tcBorders>
              <w:top w:val="nil"/>
              <w:left w:val="nil"/>
              <w:bottom w:val="single" w:sz="4" w:space="0" w:color="1B556B" w:themeColor="text2"/>
            </w:tcBorders>
            <w:shd w:val="clear" w:color="auto" w:fill="1C556C" w:themeFill="accent1"/>
            <w:vAlign w:val="center"/>
          </w:tcPr>
          <w:p w14:paraId="31AB1991" w14:textId="77777777" w:rsidR="00F51113" w:rsidRPr="00841C21" w:rsidRDefault="00F51113">
            <w:pPr>
              <w:pStyle w:val="TableText"/>
              <w:spacing w:before="0"/>
              <w:jc w:val="center"/>
              <w:rPr>
                <w:b/>
                <w:bCs/>
                <w:color w:val="FFFFFF" w:themeColor="background1"/>
                <w:szCs w:val="18"/>
              </w:rPr>
            </w:pPr>
            <w:r w:rsidRPr="00841C21">
              <w:rPr>
                <w:b/>
                <w:bCs/>
                <w:color w:val="FFFFFF" w:themeColor="background1"/>
                <w:szCs w:val="18"/>
              </w:rPr>
              <w:t>2035</w:t>
            </w:r>
          </w:p>
        </w:tc>
        <w:tc>
          <w:tcPr>
            <w:tcW w:w="359" w:type="pct"/>
            <w:tcBorders>
              <w:top w:val="nil"/>
              <w:left w:val="nil"/>
              <w:bottom w:val="single" w:sz="4" w:space="0" w:color="1B556B" w:themeColor="text2"/>
            </w:tcBorders>
            <w:shd w:val="clear" w:color="auto" w:fill="1C556C" w:themeFill="accent1"/>
            <w:vAlign w:val="center"/>
          </w:tcPr>
          <w:p w14:paraId="0C00ACD1" w14:textId="77777777" w:rsidR="00F51113" w:rsidRPr="00841C21" w:rsidRDefault="00F51113">
            <w:pPr>
              <w:pStyle w:val="TableText"/>
              <w:spacing w:before="0"/>
              <w:jc w:val="center"/>
              <w:rPr>
                <w:b/>
                <w:bCs/>
                <w:color w:val="FFFFFF" w:themeColor="background1"/>
                <w:szCs w:val="18"/>
              </w:rPr>
            </w:pPr>
            <w:r w:rsidRPr="00841C21">
              <w:rPr>
                <w:b/>
                <w:bCs/>
                <w:color w:val="FFFFFF" w:themeColor="background1"/>
                <w:szCs w:val="18"/>
              </w:rPr>
              <w:t>2040</w:t>
            </w:r>
          </w:p>
        </w:tc>
        <w:tc>
          <w:tcPr>
            <w:tcW w:w="359" w:type="pct"/>
            <w:tcBorders>
              <w:top w:val="nil"/>
              <w:left w:val="nil"/>
              <w:bottom w:val="single" w:sz="4" w:space="0" w:color="1B556B" w:themeColor="text2"/>
              <w:right w:val="nil"/>
            </w:tcBorders>
            <w:shd w:val="clear" w:color="auto" w:fill="1C556C" w:themeFill="accent1"/>
            <w:vAlign w:val="center"/>
          </w:tcPr>
          <w:p w14:paraId="10F278F0" w14:textId="77777777" w:rsidR="00F51113" w:rsidRPr="00841C21" w:rsidRDefault="00F51113">
            <w:pPr>
              <w:pStyle w:val="TableText"/>
              <w:spacing w:before="0"/>
              <w:jc w:val="center"/>
              <w:rPr>
                <w:b/>
                <w:bCs/>
                <w:color w:val="FFFFFF" w:themeColor="background1"/>
                <w:szCs w:val="18"/>
              </w:rPr>
            </w:pPr>
            <w:r w:rsidRPr="00841C21">
              <w:rPr>
                <w:b/>
                <w:bCs/>
                <w:color w:val="FFFFFF" w:themeColor="background1"/>
                <w:szCs w:val="18"/>
              </w:rPr>
              <w:t>2045</w:t>
            </w:r>
          </w:p>
        </w:tc>
        <w:tc>
          <w:tcPr>
            <w:tcW w:w="358" w:type="pct"/>
            <w:tcBorders>
              <w:top w:val="nil"/>
              <w:left w:val="nil"/>
              <w:bottom w:val="single" w:sz="4" w:space="0" w:color="1B556B" w:themeColor="text2"/>
            </w:tcBorders>
            <w:shd w:val="clear" w:color="auto" w:fill="1C556C" w:themeFill="accent1"/>
            <w:vAlign w:val="center"/>
          </w:tcPr>
          <w:p w14:paraId="41164CB4" w14:textId="77777777" w:rsidR="00F51113" w:rsidRPr="00841C21" w:rsidRDefault="00F51113">
            <w:pPr>
              <w:pStyle w:val="TableText"/>
              <w:spacing w:before="0"/>
              <w:jc w:val="center"/>
              <w:rPr>
                <w:b/>
                <w:bCs/>
                <w:color w:val="FFFFFF" w:themeColor="background1"/>
                <w:szCs w:val="18"/>
              </w:rPr>
            </w:pPr>
            <w:r w:rsidRPr="00841C21">
              <w:rPr>
                <w:b/>
                <w:bCs/>
                <w:color w:val="FFFFFF" w:themeColor="background1"/>
                <w:szCs w:val="18"/>
              </w:rPr>
              <w:t>2050</w:t>
            </w:r>
          </w:p>
        </w:tc>
      </w:tr>
      <w:tr w:rsidR="00F51113" w:rsidRPr="00841C21" w14:paraId="0766668B" w14:textId="77777777">
        <w:tc>
          <w:tcPr>
            <w:tcW w:w="330" w:type="pct"/>
            <w:tcBorders>
              <w:top w:val="single" w:sz="4" w:space="0" w:color="1B556B" w:themeColor="text2"/>
            </w:tcBorders>
            <w:shd w:val="clear" w:color="auto" w:fill="auto"/>
            <w:vAlign w:val="center"/>
            <w:hideMark/>
          </w:tcPr>
          <w:p w14:paraId="2737D3B3" w14:textId="77777777" w:rsidR="00F51113" w:rsidRPr="00841C21" w:rsidRDefault="00F51113" w:rsidP="00730A86">
            <w:pPr>
              <w:pStyle w:val="TableText"/>
              <w:spacing w:before="20" w:after="20"/>
              <w:jc w:val="center"/>
              <w:rPr>
                <w:rFonts w:cs="Calibri"/>
                <w:szCs w:val="18"/>
              </w:rPr>
            </w:pPr>
            <w:r w:rsidRPr="00841C21">
              <w:rPr>
                <w:rFonts w:cs="Calibri"/>
                <w:szCs w:val="18"/>
              </w:rPr>
              <w:t>CO</w:t>
            </w:r>
            <w:r w:rsidRPr="00841C21">
              <w:rPr>
                <w:rFonts w:cs="Calibri"/>
                <w:szCs w:val="18"/>
                <w:vertAlign w:val="subscript"/>
              </w:rPr>
              <w:t>2</w:t>
            </w:r>
          </w:p>
        </w:tc>
        <w:tc>
          <w:tcPr>
            <w:tcW w:w="359" w:type="pct"/>
            <w:tcBorders>
              <w:top w:val="single" w:sz="4" w:space="0" w:color="1B556B" w:themeColor="text2"/>
            </w:tcBorders>
            <w:shd w:val="clear" w:color="auto" w:fill="auto"/>
            <w:vAlign w:val="center"/>
          </w:tcPr>
          <w:p w14:paraId="23C15418"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154</w:t>
            </w:r>
          </w:p>
        </w:tc>
        <w:tc>
          <w:tcPr>
            <w:tcW w:w="359" w:type="pct"/>
            <w:tcBorders>
              <w:top w:val="single" w:sz="4" w:space="0" w:color="1B556B" w:themeColor="text2"/>
            </w:tcBorders>
            <w:shd w:val="clear" w:color="auto" w:fill="auto"/>
            <w:vAlign w:val="center"/>
          </w:tcPr>
          <w:p w14:paraId="4AC3DCEF"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132</w:t>
            </w:r>
          </w:p>
        </w:tc>
        <w:tc>
          <w:tcPr>
            <w:tcW w:w="359" w:type="pct"/>
            <w:tcBorders>
              <w:top w:val="single" w:sz="4" w:space="0" w:color="1B556B" w:themeColor="text2"/>
            </w:tcBorders>
            <w:shd w:val="clear" w:color="auto" w:fill="auto"/>
            <w:vAlign w:val="center"/>
          </w:tcPr>
          <w:p w14:paraId="56FF89D9"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145</w:t>
            </w:r>
          </w:p>
        </w:tc>
        <w:tc>
          <w:tcPr>
            <w:tcW w:w="360" w:type="pct"/>
            <w:tcBorders>
              <w:top w:val="single" w:sz="4" w:space="0" w:color="1B556B" w:themeColor="text2"/>
            </w:tcBorders>
            <w:shd w:val="clear" w:color="auto" w:fill="auto"/>
            <w:vAlign w:val="center"/>
          </w:tcPr>
          <w:p w14:paraId="24583F8C"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116</w:t>
            </w:r>
          </w:p>
        </w:tc>
        <w:tc>
          <w:tcPr>
            <w:tcW w:w="359" w:type="pct"/>
            <w:tcBorders>
              <w:top w:val="single" w:sz="4" w:space="0" w:color="1B556B" w:themeColor="text2"/>
            </w:tcBorders>
            <w:shd w:val="clear" w:color="auto" w:fill="auto"/>
            <w:vAlign w:val="center"/>
          </w:tcPr>
          <w:p w14:paraId="688A9F0B"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105</w:t>
            </w:r>
          </w:p>
        </w:tc>
        <w:tc>
          <w:tcPr>
            <w:tcW w:w="359" w:type="pct"/>
            <w:tcBorders>
              <w:top w:val="single" w:sz="4" w:space="0" w:color="1B556B" w:themeColor="text2"/>
            </w:tcBorders>
            <w:shd w:val="clear" w:color="auto" w:fill="auto"/>
            <w:vAlign w:val="center"/>
          </w:tcPr>
          <w:p w14:paraId="29046A40"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97</w:t>
            </w:r>
          </w:p>
        </w:tc>
        <w:tc>
          <w:tcPr>
            <w:tcW w:w="360" w:type="pct"/>
            <w:tcBorders>
              <w:top w:val="single" w:sz="4" w:space="0" w:color="1B556B" w:themeColor="text2"/>
            </w:tcBorders>
            <w:shd w:val="clear" w:color="auto" w:fill="auto"/>
            <w:vAlign w:val="center"/>
          </w:tcPr>
          <w:p w14:paraId="296CD964"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87</w:t>
            </w:r>
          </w:p>
        </w:tc>
        <w:tc>
          <w:tcPr>
            <w:tcW w:w="359" w:type="pct"/>
            <w:tcBorders>
              <w:top w:val="single" w:sz="4" w:space="0" w:color="1B556B" w:themeColor="text2"/>
            </w:tcBorders>
            <w:shd w:val="clear" w:color="auto" w:fill="D2DDE1" w:themeFill="background2"/>
            <w:vAlign w:val="center"/>
          </w:tcPr>
          <w:p w14:paraId="4FDC9763"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82</w:t>
            </w:r>
          </w:p>
        </w:tc>
        <w:tc>
          <w:tcPr>
            <w:tcW w:w="359" w:type="pct"/>
            <w:tcBorders>
              <w:top w:val="single" w:sz="4" w:space="0" w:color="1B556B" w:themeColor="text2"/>
            </w:tcBorders>
            <w:shd w:val="clear" w:color="auto" w:fill="D2DDE1" w:themeFill="background2"/>
            <w:vAlign w:val="center"/>
          </w:tcPr>
          <w:p w14:paraId="5CA8846F"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80</w:t>
            </w:r>
          </w:p>
        </w:tc>
        <w:tc>
          <w:tcPr>
            <w:tcW w:w="360" w:type="pct"/>
            <w:tcBorders>
              <w:top w:val="single" w:sz="4" w:space="0" w:color="1B556B" w:themeColor="text2"/>
            </w:tcBorders>
            <w:shd w:val="clear" w:color="auto" w:fill="D2DDE1" w:themeFill="background2"/>
            <w:vAlign w:val="center"/>
          </w:tcPr>
          <w:p w14:paraId="47ED7D80"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79</w:t>
            </w:r>
          </w:p>
        </w:tc>
        <w:tc>
          <w:tcPr>
            <w:tcW w:w="359" w:type="pct"/>
            <w:tcBorders>
              <w:top w:val="single" w:sz="4" w:space="0" w:color="1B556B" w:themeColor="text2"/>
            </w:tcBorders>
            <w:shd w:val="clear" w:color="auto" w:fill="D2DDE1" w:themeFill="background2"/>
            <w:vAlign w:val="center"/>
          </w:tcPr>
          <w:p w14:paraId="7CF475E8"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78</w:t>
            </w:r>
          </w:p>
        </w:tc>
        <w:tc>
          <w:tcPr>
            <w:tcW w:w="359" w:type="pct"/>
            <w:tcBorders>
              <w:top w:val="single" w:sz="4" w:space="0" w:color="1B556B" w:themeColor="text2"/>
            </w:tcBorders>
            <w:shd w:val="clear" w:color="auto" w:fill="D2DDE1" w:themeFill="background2"/>
            <w:vAlign w:val="center"/>
          </w:tcPr>
          <w:p w14:paraId="495C4063"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76</w:t>
            </w:r>
          </w:p>
        </w:tc>
        <w:tc>
          <w:tcPr>
            <w:tcW w:w="358" w:type="pct"/>
            <w:tcBorders>
              <w:top w:val="single" w:sz="4" w:space="0" w:color="1B556B" w:themeColor="text2"/>
            </w:tcBorders>
            <w:shd w:val="clear" w:color="auto" w:fill="D2DDE1" w:themeFill="background2"/>
            <w:vAlign w:val="center"/>
          </w:tcPr>
          <w:p w14:paraId="731F0096"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76</w:t>
            </w:r>
          </w:p>
        </w:tc>
      </w:tr>
      <w:tr w:rsidR="00F51113" w:rsidRPr="00841C21" w14:paraId="5BAB71BD" w14:textId="77777777">
        <w:tc>
          <w:tcPr>
            <w:tcW w:w="330" w:type="pct"/>
            <w:shd w:val="clear" w:color="auto" w:fill="auto"/>
            <w:vAlign w:val="center"/>
            <w:hideMark/>
          </w:tcPr>
          <w:p w14:paraId="7E789345" w14:textId="77777777" w:rsidR="00F51113" w:rsidRPr="00841C21" w:rsidRDefault="00F51113" w:rsidP="00730A86">
            <w:pPr>
              <w:pStyle w:val="TableText"/>
              <w:spacing w:before="20" w:after="20"/>
              <w:jc w:val="center"/>
              <w:rPr>
                <w:rFonts w:cs="Calibri"/>
                <w:szCs w:val="18"/>
              </w:rPr>
            </w:pPr>
            <w:r w:rsidRPr="00841C21">
              <w:rPr>
                <w:rFonts w:cs="Calibri"/>
                <w:szCs w:val="18"/>
              </w:rPr>
              <w:t>CH</w:t>
            </w:r>
            <w:r w:rsidRPr="00841C21">
              <w:rPr>
                <w:rFonts w:cs="Calibri"/>
                <w:szCs w:val="18"/>
                <w:vertAlign w:val="subscript"/>
              </w:rPr>
              <w:t>4</w:t>
            </w:r>
          </w:p>
        </w:tc>
        <w:tc>
          <w:tcPr>
            <w:tcW w:w="359" w:type="pct"/>
            <w:shd w:val="clear" w:color="auto" w:fill="auto"/>
            <w:vAlign w:val="center"/>
          </w:tcPr>
          <w:p w14:paraId="72B6C7C8"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4,103</w:t>
            </w:r>
          </w:p>
        </w:tc>
        <w:tc>
          <w:tcPr>
            <w:tcW w:w="359" w:type="pct"/>
            <w:shd w:val="clear" w:color="auto" w:fill="auto"/>
            <w:vAlign w:val="center"/>
          </w:tcPr>
          <w:p w14:paraId="691B3E76"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4,449</w:t>
            </w:r>
          </w:p>
        </w:tc>
        <w:tc>
          <w:tcPr>
            <w:tcW w:w="359" w:type="pct"/>
            <w:shd w:val="clear" w:color="auto" w:fill="auto"/>
            <w:vAlign w:val="center"/>
          </w:tcPr>
          <w:p w14:paraId="553829FB"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4,645</w:t>
            </w:r>
          </w:p>
        </w:tc>
        <w:tc>
          <w:tcPr>
            <w:tcW w:w="360" w:type="pct"/>
            <w:shd w:val="clear" w:color="auto" w:fill="auto"/>
            <w:vAlign w:val="center"/>
          </w:tcPr>
          <w:p w14:paraId="66AF5859"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4,620</w:t>
            </w:r>
          </w:p>
        </w:tc>
        <w:tc>
          <w:tcPr>
            <w:tcW w:w="359" w:type="pct"/>
            <w:shd w:val="clear" w:color="auto" w:fill="auto"/>
            <w:vAlign w:val="center"/>
          </w:tcPr>
          <w:p w14:paraId="6FDD4A30"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4,061</w:t>
            </w:r>
          </w:p>
        </w:tc>
        <w:tc>
          <w:tcPr>
            <w:tcW w:w="359" w:type="pct"/>
            <w:shd w:val="clear" w:color="auto" w:fill="auto"/>
            <w:vAlign w:val="center"/>
          </w:tcPr>
          <w:p w14:paraId="1773F6F2"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3,627</w:t>
            </w:r>
          </w:p>
        </w:tc>
        <w:tc>
          <w:tcPr>
            <w:tcW w:w="360" w:type="pct"/>
            <w:shd w:val="clear" w:color="auto" w:fill="auto"/>
            <w:vAlign w:val="center"/>
          </w:tcPr>
          <w:p w14:paraId="56D55DC8"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3,368</w:t>
            </w:r>
          </w:p>
        </w:tc>
        <w:tc>
          <w:tcPr>
            <w:tcW w:w="359" w:type="pct"/>
            <w:shd w:val="clear" w:color="auto" w:fill="D2DDE1" w:themeFill="background2"/>
            <w:vAlign w:val="center"/>
          </w:tcPr>
          <w:p w14:paraId="527BA084"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3,167</w:t>
            </w:r>
          </w:p>
        </w:tc>
        <w:tc>
          <w:tcPr>
            <w:tcW w:w="359" w:type="pct"/>
            <w:shd w:val="clear" w:color="auto" w:fill="D2DDE1" w:themeFill="background2"/>
            <w:vAlign w:val="center"/>
          </w:tcPr>
          <w:p w14:paraId="6BC9C024"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3,024</w:t>
            </w:r>
          </w:p>
        </w:tc>
        <w:tc>
          <w:tcPr>
            <w:tcW w:w="360" w:type="pct"/>
            <w:shd w:val="clear" w:color="auto" w:fill="D2DDE1" w:themeFill="background2"/>
            <w:vAlign w:val="center"/>
          </w:tcPr>
          <w:p w14:paraId="35DD1D44"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2,961</w:t>
            </w:r>
          </w:p>
        </w:tc>
        <w:tc>
          <w:tcPr>
            <w:tcW w:w="359" w:type="pct"/>
            <w:shd w:val="clear" w:color="auto" w:fill="D2DDE1" w:themeFill="background2"/>
            <w:vAlign w:val="center"/>
          </w:tcPr>
          <w:p w14:paraId="7EB87AAA"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2,917</w:t>
            </w:r>
          </w:p>
        </w:tc>
        <w:tc>
          <w:tcPr>
            <w:tcW w:w="359" w:type="pct"/>
            <w:shd w:val="clear" w:color="auto" w:fill="D2DDE1" w:themeFill="background2"/>
            <w:vAlign w:val="center"/>
          </w:tcPr>
          <w:p w14:paraId="0646B81C"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2,889</w:t>
            </w:r>
          </w:p>
        </w:tc>
        <w:tc>
          <w:tcPr>
            <w:tcW w:w="358" w:type="pct"/>
            <w:shd w:val="clear" w:color="auto" w:fill="D2DDE1" w:themeFill="background2"/>
            <w:vAlign w:val="center"/>
          </w:tcPr>
          <w:p w14:paraId="6211B075"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2,873</w:t>
            </w:r>
          </w:p>
        </w:tc>
      </w:tr>
      <w:tr w:rsidR="00F51113" w:rsidRPr="00841C21" w14:paraId="5BF6F486" w14:textId="77777777">
        <w:tc>
          <w:tcPr>
            <w:tcW w:w="330" w:type="pct"/>
            <w:shd w:val="clear" w:color="auto" w:fill="auto"/>
            <w:vAlign w:val="center"/>
            <w:hideMark/>
          </w:tcPr>
          <w:p w14:paraId="5B373574" w14:textId="77777777" w:rsidR="00F51113" w:rsidRPr="00841C21" w:rsidRDefault="00F51113" w:rsidP="00730A86">
            <w:pPr>
              <w:pStyle w:val="TableText"/>
              <w:spacing w:before="20" w:after="20"/>
              <w:jc w:val="center"/>
              <w:rPr>
                <w:rFonts w:cs="Calibri"/>
                <w:szCs w:val="18"/>
                <w:vertAlign w:val="superscript"/>
              </w:rPr>
            </w:pPr>
            <w:r w:rsidRPr="00841C21">
              <w:rPr>
                <w:rFonts w:cs="Calibri"/>
                <w:szCs w:val="18"/>
              </w:rPr>
              <w:t>N</w:t>
            </w:r>
            <w:r w:rsidRPr="00841C21">
              <w:rPr>
                <w:rFonts w:cs="Calibri"/>
                <w:szCs w:val="18"/>
                <w:vertAlign w:val="subscript"/>
              </w:rPr>
              <w:t>2</w:t>
            </w:r>
            <w:r w:rsidRPr="00841C21">
              <w:rPr>
                <w:rFonts w:cs="Calibri"/>
                <w:szCs w:val="18"/>
              </w:rPr>
              <w:t>O</w:t>
            </w:r>
          </w:p>
        </w:tc>
        <w:tc>
          <w:tcPr>
            <w:tcW w:w="359" w:type="pct"/>
            <w:shd w:val="clear" w:color="auto" w:fill="auto"/>
            <w:vAlign w:val="center"/>
          </w:tcPr>
          <w:p w14:paraId="700A7C27"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100</w:t>
            </w:r>
          </w:p>
        </w:tc>
        <w:tc>
          <w:tcPr>
            <w:tcW w:w="359" w:type="pct"/>
            <w:shd w:val="clear" w:color="auto" w:fill="auto"/>
            <w:vAlign w:val="center"/>
          </w:tcPr>
          <w:p w14:paraId="5D49DC47"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104</w:t>
            </w:r>
          </w:p>
        </w:tc>
        <w:tc>
          <w:tcPr>
            <w:tcW w:w="359" w:type="pct"/>
            <w:shd w:val="clear" w:color="auto" w:fill="auto"/>
            <w:vAlign w:val="center"/>
          </w:tcPr>
          <w:p w14:paraId="75947039"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114</w:t>
            </w:r>
          </w:p>
        </w:tc>
        <w:tc>
          <w:tcPr>
            <w:tcW w:w="360" w:type="pct"/>
            <w:shd w:val="clear" w:color="auto" w:fill="auto"/>
            <w:vAlign w:val="center"/>
          </w:tcPr>
          <w:p w14:paraId="5AA23224"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112</w:t>
            </w:r>
          </w:p>
        </w:tc>
        <w:tc>
          <w:tcPr>
            <w:tcW w:w="359" w:type="pct"/>
            <w:shd w:val="clear" w:color="auto" w:fill="auto"/>
            <w:vAlign w:val="center"/>
          </w:tcPr>
          <w:p w14:paraId="1B6A7D9A"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116</w:t>
            </w:r>
          </w:p>
        </w:tc>
        <w:tc>
          <w:tcPr>
            <w:tcW w:w="359" w:type="pct"/>
            <w:shd w:val="clear" w:color="auto" w:fill="auto"/>
            <w:vAlign w:val="center"/>
          </w:tcPr>
          <w:p w14:paraId="5F612D59"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131</w:t>
            </w:r>
          </w:p>
        </w:tc>
        <w:tc>
          <w:tcPr>
            <w:tcW w:w="360" w:type="pct"/>
            <w:shd w:val="clear" w:color="auto" w:fill="auto"/>
            <w:vAlign w:val="center"/>
          </w:tcPr>
          <w:p w14:paraId="2E159636" w14:textId="77777777" w:rsidR="00F51113" w:rsidRPr="00841C21" w:rsidRDefault="00F51113" w:rsidP="00730A86">
            <w:pPr>
              <w:pStyle w:val="TableText"/>
              <w:spacing w:before="20" w:after="20"/>
              <w:jc w:val="center"/>
              <w:rPr>
                <w:rFonts w:eastAsia="Calibri" w:cs="Calibri"/>
                <w:szCs w:val="18"/>
                <w:highlight w:val="yellow"/>
              </w:rPr>
            </w:pPr>
            <w:r w:rsidRPr="00841C21">
              <w:rPr>
                <w:szCs w:val="18"/>
              </w:rPr>
              <w:t>149</w:t>
            </w:r>
          </w:p>
        </w:tc>
        <w:tc>
          <w:tcPr>
            <w:tcW w:w="359" w:type="pct"/>
            <w:shd w:val="clear" w:color="auto" w:fill="D2DDE1" w:themeFill="background2"/>
            <w:vAlign w:val="center"/>
          </w:tcPr>
          <w:p w14:paraId="0D305828"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154</w:t>
            </w:r>
          </w:p>
        </w:tc>
        <w:tc>
          <w:tcPr>
            <w:tcW w:w="359" w:type="pct"/>
            <w:shd w:val="clear" w:color="auto" w:fill="D2DDE1" w:themeFill="background2"/>
            <w:vAlign w:val="center"/>
          </w:tcPr>
          <w:p w14:paraId="12B2B566"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162</w:t>
            </w:r>
          </w:p>
        </w:tc>
        <w:tc>
          <w:tcPr>
            <w:tcW w:w="360" w:type="pct"/>
            <w:shd w:val="clear" w:color="auto" w:fill="D2DDE1" w:themeFill="background2"/>
            <w:vAlign w:val="center"/>
          </w:tcPr>
          <w:p w14:paraId="6CE5CCBD"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165</w:t>
            </w:r>
          </w:p>
        </w:tc>
        <w:tc>
          <w:tcPr>
            <w:tcW w:w="359" w:type="pct"/>
            <w:shd w:val="clear" w:color="auto" w:fill="D2DDE1" w:themeFill="background2"/>
            <w:vAlign w:val="center"/>
          </w:tcPr>
          <w:p w14:paraId="46EC61D3"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169</w:t>
            </w:r>
          </w:p>
        </w:tc>
        <w:tc>
          <w:tcPr>
            <w:tcW w:w="359" w:type="pct"/>
            <w:shd w:val="clear" w:color="auto" w:fill="D2DDE1" w:themeFill="background2"/>
            <w:vAlign w:val="center"/>
          </w:tcPr>
          <w:p w14:paraId="7571BC88"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172</w:t>
            </w:r>
          </w:p>
        </w:tc>
        <w:tc>
          <w:tcPr>
            <w:tcW w:w="358" w:type="pct"/>
            <w:shd w:val="clear" w:color="auto" w:fill="D2DDE1" w:themeFill="background2"/>
            <w:vAlign w:val="center"/>
          </w:tcPr>
          <w:p w14:paraId="275AA84A" w14:textId="77777777" w:rsidR="00F51113" w:rsidRPr="00841C21" w:rsidRDefault="00F51113" w:rsidP="00730A86">
            <w:pPr>
              <w:pStyle w:val="TableText"/>
              <w:spacing w:before="20" w:after="20"/>
              <w:jc w:val="center"/>
              <w:rPr>
                <w:rFonts w:eastAsia="Calibri" w:cs="Calibri"/>
                <w:szCs w:val="18"/>
              </w:rPr>
            </w:pPr>
            <w:r w:rsidRPr="00841C21">
              <w:rPr>
                <w:rFonts w:eastAsia="Calibri" w:cs="Calibri"/>
                <w:szCs w:val="18"/>
              </w:rPr>
              <w:t>176</w:t>
            </w:r>
          </w:p>
        </w:tc>
      </w:tr>
      <w:tr w:rsidR="00F51113" w:rsidRPr="00841C21" w14:paraId="4EFF90AE" w14:textId="77777777">
        <w:tc>
          <w:tcPr>
            <w:tcW w:w="330" w:type="pct"/>
            <w:shd w:val="clear" w:color="auto" w:fill="auto"/>
            <w:vAlign w:val="center"/>
          </w:tcPr>
          <w:p w14:paraId="2C0FAA1F" w14:textId="77777777" w:rsidR="00F51113" w:rsidRPr="00841C21" w:rsidRDefault="00F51113" w:rsidP="00730A86">
            <w:pPr>
              <w:pStyle w:val="TableText"/>
              <w:spacing w:before="20" w:after="20"/>
              <w:jc w:val="center"/>
              <w:rPr>
                <w:rFonts w:cs="Calibri"/>
                <w:b/>
                <w:szCs w:val="18"/>
              </w:rPr>
            </w:pPr>
            <w:r w:rsidRPr="00841C21">
              <w:rPr>
                <w:rFonts w:cs="Calibri"/>
                <w:b/>
                <w:szCs w:val="18"/>
              </w:rPr>
              <w:t>Total</w:t>
            </w:r>
          </w:p>
        </w:tc>
        <w:tc>
          <w:tcPr>
            <w:tcW w:w="359" w:type="pct"/>
            <w:shd w:val="clear" w:color="auto" w:fill="auto"/>
            <w:vAlign w:val="center"/>
          </w:tcPr>
          <w:p w14:paraId="6FFE413F" w14:textId="77777777" w:rsidR="00F51113" w:rsidRPr="00841C21" w:rsidRDefault="00F51113" w:rsidP="00730A86">
            <w:pPr>
              <w:pStyle w:val="TableText"/>
              <w:spacing w:before="20" w:after="20"/>
              <w:jc w:val="center"/>
              <w:rPr>
                <w:rFonts w:eastAsia="Calibri" w:cs="Calibri"/>
                <w:b/>
                <w:szCs w:val="18"/>
                <w:highlight w:val="yellow"/>
              </w:rPr>
            </w:pPr>
            <w:r w:rsidRPr="00841C21">
              <w:rPr>
                <w:b/>
                <w:bCs/>
                <w:szCs w:val="18"/>
              </w:rPr>
              <w:t>4,357</w:t>
            </w:r>
          </w:p>
        </w:tc>
        <w:tc>
          <w:tcPr>
            <w:tcW w:w="359" w:type="pct"/>
            <w:shd w:val="clear" w:color="auto" w:fill="auto"/>
            <w:vAlign w:val="center"/>
          </w:tcPr>
          <w:p w14:paraId="081A13DD" w14:textId="77777777" w:rsidR="00F51113" w:rsidRPr="00841C21" w:rsidRDefault="00F51113" w:rsidP="00730A86">
            <w:pPr>
              <w:pStyle w:val="TableText"/>
              <w:spacing w:before="20" w:after="20"/>
              <w:jc w:val="center"/>
              <w:rPr>
                <w:rFonts w:eastAsia="Calibri" w:cs="Calibri"/>
                <w:b/>
                <w:szCs w:val="18"/>
                <w:highlight w:val="yellow"/>
              </w:rPr>
            </w:pPr>
            <w:r w:rsidRPr="00841C21">
              <w:rPr>
                <w:b/>
                <w:bCs/>
                <w:szCs w:val="18"/>
              </w:rPr>
              <w:t>4,685</w:t>
            </w:r>
          </w:p>
        </w:tc>
        <w:tc>
          <w:tcPr>
            <w:tcW w:w="359" w:type="pct"/>
            <w:shd w:val="clear" w:color="auto" w:fill="auto"/>
            <w:vAlign w:val="center"/>
          </w:tcPr>
          <w:p w14:paraId="6B78B011" w14:textId="77777777" w:rsidR="00F51113" w:rsidRPr="00841C21" w:rsidRDefault="00F51113" w:rsidP="00730A86">
            <w:pPr>
              <w:pStyle w:val="TableText"/>
              <w:spacing w:before="20" w:after="20"/>
              <w:jc w:val="center"/>
              <w:rPr>
                <w:rFonts w:eastAsia="Calibri" w:cs="Calibri"/>
                <w:b/>
                <w:szCs w:val="18"/>
                <w:highlight w:val="yellow"/>
              </w:rPr>
            </w:pPr>
            <w:r w:rsidRPr="00841C21">
              <w:rPr>
                <w:b/>
                <w:bCs/>
                <w:szCs w:val="18"/>
              </w:rPr>
              <w:t>4,905</w:t>
            </w:r>
          </w:p>
        </w:tc>
        <w:tc>
          <w:tcPr>
            <w:tcW w:w="360" w:type="pct"/>
            <w:shd w:val="clear" w:color="auto" w:fill="auto"/>
            <w:vAlign w:val="center"/>
          </w:tcPr>
          <w:p w14:paraId="10077184" w14:textId="77777777" w:rsidR="00F51113" w:rsidRPr="00841C21" w:rsidRDefault="00F51113" w:rsidP="00730A86">
            <w:pPr>
              <w:pStyle w:val="TableText"/>
              <w:spacing w:before="20" w:after="20"/>
              <w:jc w:val="center"/>
              <w:rPr>
                <w:rFonts w:eastAsia="Calibri" w:cs="Calibri"/>
                <w:b/>
                <w:szCs w:val="18"/>
                <w:highlight w:val="yellow"/>
              </w:rPr>
            </w:pPr>
            <w:r w:rsidRPr="00841C21">
              <w:rPr>
                <w:b/>
                <w:bCs/>
                <w:szCs w:val="18"/>
              </w:rPr>
              <w:t>4,848</w:t>
            </w:r>
          </w:p>
        </w:tc>
        <w:tc>
          <w:tcPr>
            <w:tcW w:w="359" w:type="pct"/>
            <w:shd w:val="clear" w:color="auto" w:fill="auto"/>
            <w:vAlign w:val="center"/>
          </w:tcPr>
          <w:p w14:paraId="089A99D1" w14:textId="77777777" w:rsidR="00F51113" w:rsidRPr="00841C21" w:rsidRDefault="00F51113" w:rsidP="00730A86">
            <w:pPr>
              <w:pStyle w:val="TableText"/>
              <w:spacing w:before="20" w:after="20"/>
              <w:jc w:val="center"/>
              <w:rPr>
                <w:rFonts w:eastAsia="Calibri" w:cs="Calibri"/>
                <w:b/>
                <w:szCs w:val="18"/>
                <w:highlight w:val="yellow"/>
              </w:rPr>
            </w:pPr>
            <w:r w:rsidRPr="00841C21">
              <w:rPr>
                <w:b/>
                <w:bCs/>
                <w:szCs w:val="18"/>
              </w:rPr>
              <w:t>4,282</w:t>
            </w:r>
          </w:p>
        </w:tc>
        <w:tc>
          <w:tcPr>
            <w:tcW w:w="359" w:type="pct"/>
            <w:shd w:val="clear" w:color="auto" w:fill="auto"/>
            <w:vAlign w:val="center"/>
          </w:tcPr>
          <w:p w14:paraId="2E0B97A1" w14:textId="77777777" w:rsidR="00F51113" w:rsidRPr="00841C21" w:rsidRDefault="00F51113" w:rsidP="00730A86">
            <w:pPr>
              <w:pStyle w:val="TableText"/>
              <w:spacing w:before="20" w:after="20"/>
              <w:jc w:val="center"/>
              <w:rPr>
                <w:rFonts w:eastAsia="Calibri" w:cs="Calibri"/>
                <w:b/>
                <w:szCs w:val="18"/>
                <w:highlight w:val="yellow"/>
              </w:rPr>
            </w:pPr>
            <w:r w:rsidRPr="00841C21">
              <w:rPr>
                <w:b/>
                <w:bCs/>
                <w:szCs w:val="18"/>
              </w:rPr>
              <w:t>3,855</w:t>
            </w:r>
          </w:p>
        </w:tc>
        <w:tc>
          <w:tcPr>
            <w:tcW w:w="360" w:type="pct"/>
            <w:shd w:val="clear" w:color="auto" w:fill="auto"/>
            <w:vAlign w:val="center"/>
          </w:tcPr>
          <w:p w14:paraId="0DC4D7E1" w14:textId="77777777" w:rsidR="00F51113" w:rsidRPr="00841C21" w:rsidRDefault="00F51113" w:rsidP="00730A86">
            <w:pPr>
              <w:pStyle w:val="TableText"/>
              <w:spacing w:before="20" w:after="20"/>
              <w:jc w:val="center"/>
              <w:rPr>
                <w:rFonts w:eastAsia="Calibri" w:cs="Calibri"/>
                <w:b/>
                <w:szCs w:val="18"/>
                <w:highlight w:val="yellow"/>
              </w:rPr>
            </w:pPr>
            <w:r w:rsidRPr="00841C21">
              <w:rPr>
                <w:b/>
                <w:bCs/>
                <w:szCs w:val="18"/>
              </w:rPr>
              <w:t>3,603</w:t>
            </w:r>
          </w:p>
        </w:tc>
        <w:tc>
          <w:tcPr>
            <w:tcW w:w="359" w:type="pct"/>
            <w:shd w:val="clear" w:color="auto" w:fill="D2DDE1" w:themeFill="background2"/>
            <w:vAlign w:val="center"/>
          </w:tcPr>
          <w:p w14:paraId="539A84CA" w14:textId="77777777" w:rsidR="00F51113" w:rsidRPr="00841C21" w:rsidRDefault="00F51113" w:rsidP="00730A86">
            <w:pPr>
              <w:pStyle w:val="TableText"/>
              <w:spacing w:before="20" w:after="20"/>
              <w:jc w:val="center"/>
              <w:rPr>
                <w:rFonts w:eastAsia="Calibri" w:cs="Calibri"/>
                <w:b/>
                <w:szCs w:val="18"/>
              </w:rPr>
            </w:pPr>
            <w:r w:rsidRPr="00841C21">
              <w:rPr>
                <w:rFonts w:eastAsia="Calibri" w:cs="Calibri"/>
                <w:b/>
                <w:szCs w:val="18"/>
              </w:rPr>
              <w:t>3,403</w:t>
            </w:r>
          </w:p>
        </w:tc>
        <w:tc>
          <w:tcPr>
            <w:tcW w:w="359" w:type="pct"/>
            <w:shd w:val="clear" w:color="auto" w:fill="D2DDE1" w:themeFill="background2"/>
            <w:vAlign w:val="center"/>
          </w:tcPr>
          <w:p w14:paraId="69E5201B" w14:textId="77777777" w:rsidR="00F51113" w:rsidRPr="00841C21" w:rsidRDefault="00F51113" w:rsidP="00730A86">
            <w:pPr>
              <w:pStyle w:val="TableText"/>
              <w:spacing w:before="20" w:after="20"/>
              <w:jc w:val="center"/>
              <w:rPr>
                <w:rFonts w:eastAsia="Calibri" w:cs="Calibri"/>
                <w:b/>
                <w:szCs w:val="18"/>
              </w:rPr>
            </w:pPr>
            <w:r w:rsidRPr="00841C21">
              <w:rPr>
                <w:rFonts w:eastAsia="Calibri" w:cs="Calibri"/>
                <w:b/>
                <w:szCs w:val="18"/>
              </w:rPr>
              <w:t>3,266</w:t>
            </w:r>
          </w:p>
        </w:tc>
        <w:tc>
          <w:tcPr>
            <w:tcW w:w="360" w:type="pct"/>
            <w:shd w:val="clear" w:color="auto" w:fill="D2DDE1" w:themeFill="background2"/>
            <w:vAlign w:val="center"/>
          </w:tcPr>
          <w:p w14:paraId="160DAD23" w14:textId="77777777" w:rsidR="00F51113" w:rsidRPr="00841C21" w:rsidRDefault="00F51113" w:rsidP="00730A86">
            <w:pPr>
              <w:pStyle w:val="TableText"/>
              <w:spacing w:before="20" w:after="20"/>
              <w:jc w:val="center"/>
              <w:rPr>
                <w:rFonts w:eastAsia="Calibri" w:cs="Calibri"/>
                <w:b/>
                <w:szCs w:val="18"/>
              </w:rPr>
            </w:pPr>
            <w:r w:rsidRPr="00841C21">
              <w:rPr>
                <w:rFonts w:eastAsia="Calibri" w:cs="Calibri"/>
                <w:b/>
                <w:szCs w:val="18"/>
              </w:rPr>
              <w:t>3,205</w:t>
            </w:r>
          </w:p>
        </w:tc>
        <w:tc>
          <w:tcPr>
            <w:tcW w:w="359" w:type="pct"/>
            <w:shd w:val="clear" w:color="auto" w:fill="D2DDE1" w:themeFill="background2"/>
            <w:vAlign w:val="center"/>
          </w:tcPr>
          <w:p w14:paraId="25B7DED3" w14:textId="77777777" w:rsidR="00F51113" w:rsidRPr="00841C21" w:rsidRDefault="00F51113" w:rsidP="00730A86">
            <w:pPr>
              <w:pStyle w:val="TableText"/>
              <w:spacing w:before="20" w:after="20"/>
              <w:jc w:val="center"/>
              <w:rPr>
                <w:rFonts w:eastAsia="Calibri" w:cs="Calibri"/>
                <w:b/>
                <w:szCs w:val="18"/>
              </w:rPr>
            </w:pPr>
            <w:r w:rsidRPr="00841C21">
              <w:rPr>
                <w:rFonts w:eastAsia="Calibri" w:cs="Calibri"/>
                <w:b/>
                <w:szCs w:val="18"/>
              </w:rPr>
              <w:t>3,163</w:t>
            </w:r>
          </w:p>
        </w:tc>
        <w:tc>
          <w:tcPr>
            <w:tcW w:w="359" w:type="pct"/>
            <w:shd w:val="clear" w:color="auto" w:fill="D2DDE1" w:themeFill="background2"/>
            <w:vAlign w:val="center"/>
          </w:tcPr>
          <w:p w14:paraId="19EC0698" w14:textId="77777777" w:rsidR="00F51113" w:rsidRPr="00841C21" w:rsidRDefault="00F51113" w:rsidP="00730A86">
            <w:pPr>
              <w:pStyle w:val="TableText"/>
              <w:spacing w:before="20" w:after="20"/>
              <w:jc w:val="center"/>
              <w:rPr>
                <w:rFonts w:eastAsia="Calibri" w:cs="Calibri"/>
                <w:b/>
                <w:szCs w:val="18"/>
              </w:rPr>
            </w:pPr>
            <w:r w:rsidRPr="00841C21">
              <w:rPr>
                <w:rFonts w:eastAsia="Calibri" w:cs="Calibri"/>
                <w:b/>
                <w:szCs w:val="18"/>
              </w:rPr>
              <w:t>3,137</w:t>
            </w:r>
          </w:p>
        </w:tc>
        <w:tc>
          <w:tcPr>
            <w:tcW w:w="358" w:type="pct"/>
            <w:shd w:val="clear" w:color="auto" w:fill="D2DDE1" w:themeFill="background2"/>
            <w:vAlign w:val="center"/>
          </w:tcPr>
          <w:p w14:paraId="0EC5A2B4" w14:textId="77777777" w:rsidR="00F51113" w:rsidRPr="00841C21" w:rsidRDefault="00F51113" w:rsidP="00730A86">
            <w:pPr>
              <w:pStyle w:val="TableText"/>
              <w:spacing w:before="20" w:after="20"/>
              <w:jc w:val="center"/>
              <w:rPr>
                <w:rFonts w:eastAsia="Calibri" w:cs="Calibri"/>
                <w:b/>
                <w:szCs w:val="18"/>
              </w:rPr>
            </w:pPr>
            <w:r w:rsidRPr="00841C21">
              <w:rPr>
                <w:rFonts w:eastAsia="Calibri" w:cs="Calibri"/>
                <w:b/>
                <w:szCs w:val="18"/>
              </w:rPr>
              <w:t>3,124</w:t>
            </w:r>
          </w:p>
        </w:tc>
      </w:tr>
    </w:tbl>
    <w:p w14:paraId="3D5E5361" w14:textId="77777777" w:rsidR="00F51113" w:rsidRPr="004C2DCD" w:rsidRDefault="00F51113" w:rsidP="00F51113">
      <w:pPr>
        <w:pStyle w:val="Note"/>
        <w:spacing w:after="0"/>
      </w:pPr>
      <w:r w:rsidRPr="004C2DCD">
        <w:rPr>
          <w:b/>
          <w:bCs/>
        </w:rPr>
        <w:t>Note:</w:t>
      </w:r>
      <w:r w:rsidRPr="004C2DCD">
        <w:t xml:space="preserve"> CH</w:t>
      </w:r>
      <w:r w:rsidRPr="004C2DCD">
        <w:rPr>
          <w:vertAlign w:val="subscript"/>
        </w:rPr>
        <w:t>4</w:t>
      </w:r>
      <w:r w:rsidRPr="004C2DCD">
        <w:t xml:space="preserve"> = methane; CO</w:t>
      </w:r>
      <w:r w:rsidRPr="004C2DCD">
        <w:rPr>
          <w:vertAlign w:val="subscript"/>
        </w:rPr>
        <w:t>2</w:t>
      </w:r>
      <w:r w:rsidRPr="004C2DCD">
        <w:t xml:space="preserve"> = carbon dioxide; N</w:t>
      </w:r>
      <w:r w:rsidRPr="004C2DCD">
        <w:rPr>
          <w:vertAlign w:val="subscript"/>
        </w:rPr>
        <w:t>2</w:t>
      </w:r>
      <w:r w:rsidRPr="004C2DCD">
        <w:t>O = nitrous oxide.</w:t>
      </w:r>
    </w:p>
    <w:p w14:paraId="66B186DA" w14:textId="77777777" w:rsidR="00F51113" w:rsidRPr="004C2DCD" w:rsidRDefault="00F51113" w:rsidP="00784F5F">
      <w:pPr>
        <w:pStyle w:val="Heading3"/>
        <w:numPr>
          <w:ilvl w:val="0"/>
          <w:numId w:val="112"/>
        </w:numPr>
      </w:pPr>
      <w:r w:rsidRPr="004C2DCD">
        <w:t>Tokelau</w:t>
      </w:r>
    </w:p>
    <w:p w14:paraId="438F5880" w14:textId="77777777" w:rsidR="00F51113" w:rsidRPr="004C2DCD" w:rsidRDefault="00F51113" w:rsidP="00F51113">
      <w:pPr>
        <w:pStyle w:val="BodyText"/>
        <w:spacing w:before="100" w:after="100"/>
      </w:pPr>
      <w:r w:rsidRPr="004C2DCD">
        <w:t>On 13 November 2017, New Zealand extended its ratification of the United Nations Framework Convention on Climate Change and the Paris Agreement to include Tokelau. Emissions estimates for Tokelau have been included in the Inventory</w:t>
      </w:r>
      <w:r w:rsidRPr="004C2DCD">
        <w:rPr>
          <w:i/>
        </w:rPr>
        <w:t xml:space="preserve"> </w:t>
      </w:r>
      <w:r w:rsidRPr="004C2DCD">
        <w:t xml:space="preserve">since 2019. </w:t>
      </w:r>
    </w:p>
    <w:p w14:paraId="6D42F147" w14:textId="77777777" w:rsidR="00F51113" w:rsidRPr="004C2DCD" w:rsidRDefault="00F51113" w:rsidP="00F51113">
      <w:pPr>
        <w:pStyle w:val="BodyText"/>
        <w:spacing w:before="100" w:after="100"/>
      </w:pPr>
      <w:r w:rsidRPr="004C2DCD">
        <w:t>Including and refining Tokelau’s emissions projections has been carried out in an iterative manner through a continuous improvement process. As with inventory reporting, this requires building expert capacity in the various small government departments and organisations in Tokelau that participate in decision-making, data collection and processing.</w:t>
      </w:r>
    </w:p>
    <w:p w14:paraId="3C2F1546" w14:textId="5ABCDF55" w:rsidR="00F51113" w:rsidRPr="004C2DCD" w:rsidRDefault="00F51113" w:rsidP="00F51113">
      <w:pPr>
        <w:pStyle w:val="BodyText"/>
        <w:spacing w:before="100" w:after="100"/>
      </w:pPr>
      <w:r w:rsidRPr="004C2DCD">
        <w:t xml:space="preserve">Tokelau’s historical and projected gross GHG emissions are shown in </w:t>
      </w:r>
      <w:hyperlink w:anchor="figure2511" w:history="1">
        <w:r w:rsidRPr="00E056EB">
          <w:rPr>
            <w:rStyle w:val="Hyperlink"/>
          </w:rPr>
          <w:t>figure 2.5.11</w:t>
        </w:r>
      </w:hyperlink>
      <w:r w:rsidRPr="004C2DCD">
        <w:t>.</w:t>
      </w:r>
    </w:p>
    <w:p w14:paraId="754FE83B" w14:textId="77777777" w:rsidR="00F51113" w:rsidRPr="004C2DCD" w:rsidRDefault="00F51113" w:rsidP="00F51113">
      <w:pPr>
        <w:pStyle w:val="BodyText"/>
        <w:spacing w:before="100" w:after="100"/>
      </w:pPr>
      <w:r w:rsidRPr="004C2DCD">
        <w:rPr>
          <w:spacing w:val="-2"/>
        </w:rPr>
        <w:t>Between 1990 and 2022, Tokelau’s total emissions increased by 38.9 per cent, from 3.</w:t>
      </w:r>
      <w:r w:rsidRPr="004C2DCD" w:rsidDel="008327B4">
        <w:rPr>
          <w:spacing w:val="-2"/>
        </w:rPr>
        <w:t>37</w:t>
      </w:r>
      <w:r w:rsidRPr="004C2DCD">
        <w:rPr>
          <w:spacing w:val="-2"/>
        </w:rPr>
        <w:t> kt CO</w:t>
      </w:r>
      <w:r w:rsidRPr="004C2DCD">
        <w:rPr>
          <w:spacing w:val="-2"/>
          <w:vertAlign w:val="subscript"/>
        </w:rPr>
        <w:t>2</w:t>
      </w:r>
      <w:r w:rsidRPr="004C2DCD">
        <w:rPr>
          <w:spacing w:val="-2"/>
        </w:rPr>
        <w:t>e</w:t>
      </w:r>
      <w:r w:rsidRPr="004C2DCD">
        <w:t xml:space="preserve"> </w:t>
      </w:r>
      <w:r w:rsidRPr="004C2DCD">
        <w:rPr>
          <w:spacing w:val="-2"/>
        </w:rPr>
        <w:t>to 4.69 kt CO</w:t>
      </w:r>
      <w:r w:rsidRPr="004C2DCD">
        <w:rPr>
          <w:spacing w:val="-2"/>
          <w:vertAlign w:val="subscript"/>
        </w:rPr>
        <w:t>2</w:t>
      </w:r>
      <w:r w:rsidRPr="004C2DCD">
        <w:rPr>
          <w:spacing w:val="-2"/>
        </w:rPr>
        <w:t>e. The main contributors to this increase were domestic navigation and electricit</w:t>
      </w:r>
      <w:r w:rsidRPr="004C2DCD">
        <w:t xml:space="preserve">y generation. The changes in domestic navigation are a result of Tokelau gaining ownership and use of the ferry </w:t>
      </w:r>
      <w:r w:rsidRPr="004C2DCD">
        <w:rPr>
          <w:i/>
        </w:rPr>
        <w:t>Mataliki</w:t>
      </w:r>
      <w:r w:rsidRPr="004C2DCD">
        <w:t xml:space="preserve"> in 2016, cargo vessel </w:t>
      </w:r>
      <w:r w:rsidRPr="004C2DCD">
        <w:rPr>
          <w:i/>
        </w:rPr>
        <w:t>Kalopaga</w:t>
      </w:r>
      <w:r w:rsidRPr="004C2DCD">
        <w:t xml:space="preserve"> in 2018 and </w:t>
      </w:r>
      <w:r w:rsidRPr="004C2DCD">
        <w:rPr>
          <w:i/>
        </w:rPr>
        <w:t>Fetu o te Moana</w:t>
      </w:r>
      <w:r w:rsidRPr="004C2DCD">
        <w:t xml:space="preserve"> in 2019, leading to an increasing number of sea voyages between the atolls, which increased transport emissions. </w:t>
      </w:r>
    </w:p>
    <w:p w14:paraId="158D1C6B" w14:textId="265BE196" w:rsidR="00F51113" w:rsidRPr="004C2DCD" w:rsidRDefault="00F51113" w:rsidP="00F51113">
      <w:pPr>
        <w:pStyle w:val="BodyText"/>
      </w:pPr>
      <w:r w:rsidRPr="004C2DCD">
        <w:t xml:space="preserve">Tokelau’s transport emissions reduced in 2020 but are expected to increase at a similar rate as that seen before 2018. It is assumed that solar power will be again fully operational by 2030, which explains the drop in emissions. </w:t>
      </w:r>
      <w:hyperlink w:anchor="figure2511" w:history="1">
        <w:r w:rsidRPr="00815252">
          <w:rPr>
            <w:rStyle w:val="Hyperlink"/>
          </w:rPr>
          <w:t>Figure 2.5.11</w:t>
        </w:r>
      </w:hyperlink>
      <w:r w:rsidRPr="004C2DCD">
        <w:t xml:space="preserve"> presents historical and projected GHG emissions for Tokelau.</w:t>
      </w:r>
    </w:p>
    <w:p w14:paraId="6187E772" w14:textId="77777777" w:rsidR="00F51113" w:rsidRDefault="00F51113" w:rsidP="00730A86">
      <w:pPr>
        <w:pStyle w:val="Figureheading"/>
        <w:spacing w:after="80"/>
      </w:pPr>
      <w:bookmarkStart w:id="557" w:name="figure2511"/>
      <w:bookmarkStart w:id="558" w:name="_Toc185347255"/>
      <w:r w:rsidRPr="004C2DCD">
        <w:t>Figure 2.5.11</w:t>
      </w:r>
      <w:bookmarkEnd w:id="557"/>
      <w:r w:rsidRPr="004C2DCD">
        <w:t xml:space="preserve">: </w:t>
      </w:r>
      <w:r w:rsidRPr="004C2DCD">
        <w:tab/>
        <w:t>Greenhouse gas emissions under the ‘</w:t>
      </w:r>
      <w:r w:rsidRPr="004C2DCD">
        <w:rPr>
          <w:rFonts w:eastAsia="Calibri"/>
        </w:rPr>
        <w:t>with existing measures’</w:t>
      </w:r>
      <w:r w:rsidRPr="004C2DCD">
        <w:t xml:space="preserve"> scenario in Tokelau, 1990–2050</w:t>
      </w:r>
      <w:bookmarkEnd w:id="558"/>
    </w:p>
    <w:p w14:paraId="35C6F18F" w14:textId="04982F34" w:rsidR="00F51113" w:rsidRPr="004C2DCD" w:rsidRDefault="005E3FC6" w:rsidP="00642E32">
      <w:pPr>
        <w:pStyle w:val="BodyText"/>
        <w:jc w:val="center"/>
      </w:pPr>
      <w:r>
        <w:rPr>
          <w:noProof/>
        </w:rPr>
        <w:drawing>
          <wp:inline distT="0" distB="0" distL="0" distR="0" wp14:anchorId="59E0A989" wp14:editId="48BA68C4">
            <wp:extent cx="5244861" cy="3053751"/>
            <wp:effectExtent l="0" t="0" r="0" b="0"/>
            <wp:docPr id="161689071" name="Chart 1" descr="A line graph showing greenhouse gas emissions in kilotonnes carbon dioxide equivalent under the ‘with existing measures’ scenario in Tokelau for the period 1990 to 2050. It shows Tokelau’s historical emissions (solid line) then projected emissions (dotted line).">
              <a:extLst xmlns:a="http://schemas.openxmlformats.org/drawingml/2006/main">
                <a:ext uri="{FF2B5EF4-FFF2-40B4-BE49-F238E27FC236}">
                  <a16:creationId xmlns:a16="http://schemas.microsoft.com/office/drawing/2014/main" id="{DEFE74C5-AEF7-4AFE-A59A-7CFD1680E9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2C2DB911" w14:textId="77777777" w:rsidR="00F51113" w:rsidRPr="004C2DCD" w:rsidRDefault="00F51113" w:rsidP="00F51113">
      <w:pPr>
        <w:pStyle w:val="Note"/>
      </w:pPr>
      <w:r w:rsidRPr="004C2DCD">
        <w:rPr>
          <w:b/>
          <w:bCs/>
        </w:rPr>
        <w:t>Note:</w:t>
      </w:r>
      <w:r w:rsidRPr="004C2DCD">
        <w:t xml:space="preserve"> Kt CO</w:t>
      </w:r>
      <w:r w:rsidRPr="004C2DCD">
        <w:rPr>
          <w:vertAlign w:val="subscript"/>
        </w:rPr>
        <w:t>2</w:t>
      </w:r>
      <w:r w:rsidRPr="004C2DCD">
        <w:t xml:space="preserve">e = </w:t>
      </w:r>
      <w:r w:rsidRPr="004C2DCD">
        <w:rPr>
          <w:rFonts w:eastAsia="Calibri" w:cs="Calibri"/>
        </w:rPr>
        <w:t xml:space="preserve">kilotonnes of </w:t>
      </w:r>
      <w:r w:rsidRPr="004C2DCD">
        <w:t>carbon dioxide equivalent.</w:t>
      </w:r>
    </w:p>
    <w:p w14:paraId="71218AE7" w14:textId="3A56F23E" w:rsidR="00F51113" w:rsidRPr="004C2DCD" w:rsidRDefault="00F51113" w:rsidP="00730A86">
      <w:pPr>
        <w:pStyle w:val="BodyText"/>
        <w:spacing w:before="80" w:after="80"/>
      </w:pPr>
      <w:r w:rsidRPr="004C2DCD">
        <w:t>In 2030</w:t>
      </w:r>
      <w:r w:rsidR="00815252">
        <w:t>,</w:t>
      </w:r>
      <w:r w:rsidRPr="004C2DCD">
        <w:t xml:space="preserve"> total emissions from Tokelau are projected to be 4.78 kt CO</w:t>
      </w:r>
      <w:r w:rsidRPr="004C2DCD">
        <w:rPr>
          <w:vertAlign w:val="subscript"/>
        </w:rPr>
        <w:t>2</w:t>
      </w:r>
      <w:r w:rsidRPr="004C2DCD">
        <w:t>e (1.4 per cent higher than in 2005) and 4.10 kt CO</w:t>
      </w:r>
      <w:r w:rsidRPr="004C2DCD">
        <w:rPr>
          <w:vertAlign w:val="subscript"/>
        </w:rPr>
        <w:t>2</w:t>
      </w:r>
      <w:r w:rsidRPr="004C2DCD">
        <w:t xml:space="preserve">e in 2050 (13 per cent lower than 2005). </w:t>
      </w:r>
    </w:p>
    <w:p w14:paraId="2EDAB5EE" w14:textId="77777777" w:rsidR="00F51113" w:rsidRPr="004C2DCD" w:rsidRDefault="00F51113" w:rsidP="00730A86">
      <w:pPr>
        <w:pStyle w:val="BodyText"/>
        <w:spacing w:before="80" w:after="80"/>
      </w:pPr>
      <w:r w:rsidRPr="004C2DCD">
        <w:t>Tokelau’s historical and projected gross GHG emissions by gas are presented in table 2.5.9.</w:t>
      </w:r>
    </w:p>
    <w:p w14:paraId="17824899" w14:textId="77777777" w:rsidR="00F51113" w:rsidRPr="004C2DCD" w:rsidRDefault="00F51113" w:rsidP="00730A86">
      <w:pPr>
        <w:pStyle w:val="BodyText"/>
        <w:spacing w:before="80" w:after="80"/>
      </w:pPr>
      <w:r w:rsidRPr="004C2DCD">
        <w:t>Emissions of perfluorocarbons (PFCs), sulphur hexafluoride</w:t>
      </w:r>
      <w:r w:rsidRPr="004C2DCD" w:rsidDel="002D38B5">
        <w:t xml:space="preserve"> </w:t>
      </w:r>
      <w:r w:rsidRPr="004C2DCD">
        <w:t>and nitrogen trifluoride</w:t>
      </w:r>
      <w:r w:rsidRPr="004C2DCD" w:rsidDel="002D38B5">
        <w:t xml:space="preserve"> </w:t>
      </w:r>
      <w:r w:rsidRPr="004C2DCD">
        <w:t>are not occurring in Tokelau.</w:t>
      </w:r>
    </w:p>
    <w:p w14:paraId="7C27E6F3" w14:textId="77777777" w:rsidR="00F51113" w:rsidRPr="004C2DCD" w:rsidRDefault="00F51113" w:rsidP="00F51113">
      <w:pPr>
        <w:pStyle w:val="Tableheading"/>
      </w:pPr>
      <w:bookmarkStart w:id="559" w:name="_Toc121773818"/>
      <w:bookmarkStart w:id="560" w:name="_Toc183789685"/>
      <w:bookmarkStart w:id="561" w:name="_Toc185407474"/>
      <w:bookmarkStart w:id="562" w:name="_Toc185427737"/>
      <w:r w:rsidRPr="004C2DCD">
        <w:rPr>
          <w:szCs w:val="20"/>
        </w:rPr>
        <w:t xml:space="preserve">Table 2.5.9: </w:t>
      </w:r>
      <w:r w:rsidRPr="004C2DCD">
        <w:rPr>
          <w:szCs w:val="20"/>
        </w:rPr>
        <w:tab/>
      </w:r>
      <w:r w:rsidRPr="004C2DCD">
        <w:t>Tokelau’s gross greenhouse gas emissions by gas, 1990–2050 (kt CO</w:t>
      </w:r>
      <w:r w:rsidRPr="004C2DCD">
        <w:rPr>
          <w:vertAlign w:val="subscript"/>
        </w:rPr>
        <w:t>2</w:t>
      </w:r>
      <w:r w:rsidRPr="004C2DCD">
        <w:t>e)</w:t>
      </w:r>
      <w:bookmarkEnd w:id="559"/>
      <w:bookmarkEnd w:id="560"/>
      <w:bookmarkEnd w:id="561"/>
      <w:bookmarkEnd w:id="562"/>
    </w:p>
    <w:tbl>
      <w:tblPr>
        <w:tblStyle w:val="TableGrid1"/>
        <w:tblW w:w="8505" w:type="dxa"/>
        <w:tblInd w:w="0" w:type="dxa"/>
        <w:tblLayout w:type="fixed"/>
        <w:tblCellMar>
          <w:left w:w="85" w:type="dxa"/>
          <w:right w:w="85" w:type="dxa"/>
        </w:tblCellMar>
        <w:tblLook w:val="04A0" w:firstRow="1" w:lastRow="0" w:firstColumn="1" w:lastColumn="0" w:noHBand="0" w:noVBand="1"/>
      </w:tblPr>
      <w:tblGrid>
        <w:gridCol w:w="598"/>
        <w:gridCol w:w="923"/>
        <w:gridCol w:w="582"/>
        <w:gridCol w:w="582"/>
        <w:gridCol w:w="582"/>
        <w:gridCol w:w="582"/>
        <w:gridCol w:w="582"/>
        <w:gridCol w:w="582"/>
        <w:gridCol w:w="7"/>
        <w:gridCol w:w="575"/>
        <w:gridCol w:w="582"/>
        <w:gridCol w:w="582"/>
        <w:gridCol w:w="582"/>
        <w:gridCol w:w="582"/>
        <w:gridCol w:w="582"/>
      </w:tblGrid>
      <w:tr w:rsidR="00F51113" w:rsidRPr="00841C21" w14:paraId="530A9310" w14:textId="77777777">
        <w:tc>
          <w:tcPr>
            <w:tcW w:w="598" w:type="dxa"/>
            <w:shd w:val="clear" w:color="auto" w:fill="1B556B" w:themeFill="text2"/>
            <w:vAlign w:val="center"/>
          </w:tcPr>
          <w:p w14:paraId="21D40286" w14:textId="77777777" w:rsidR="00F51113" w:rsidRPr="00841C21" w:rsidRDefault="00F51113">
            <w:pPr>
              <w:pStyle w:val="TableText"/>
              <w:spacing w:after="0"/>
              <w:jc w:val="center"/>
              <w:rPr>
                <w:b/>
                <w:bCs/>
                <w:color w:val="FFFFFF" w:themeColor="background1"/>
                <w:szCs w:val="18"/>
                <w:lang w:val="en-NZ"/>
              </w:rPr>
            </w:pPr>
          </w:p>
        </w:tc>
        <w:tc>
          <w:tcPr>
            <w:tcW w:w="4422" w:type="dxa"/>
            <w:gridSpan w:val="8"/>
            <w:shd w:val="clear" w:color="auto" w:fill="1B556B" w:themeFill="text2"/>
            <w:vAlign w:val="center"/>
          </w:tcPr>
          <w:p w14:paraId="5D718719" w14:textId="77777777" w:rsidR="00F51113" w:rsidRPr="00841C21" w:rsidRDefault="00F51113">
            <w:pPr>
              <w:pStyle w:val="TableText"/>
              <w:spacing w:after="0"/>
              <w:jc w:val="center"/>
              <w:rPr>
                <w:b/>
                <w:bCs/>
                <w:color w:val="FFFFFF" w:themeColor="background1"/>
                <w:szCs w:val="18"/>
                <w:lang w:val="en-NZ"/>
              </w:rPr>
            </w:pPr>
            <w:r w:rsidRPr="00841C21">
              <w:rPr>
                <w:b/>
                <w:bCs/>
                <w:color w:val="FFFFFF" w:themeColor="background1"/>
                <w:szCs w:val="18"/>
                <w:lang w:val="en-NZ"/>
              </w:rPr>
              <w:t>Historical</w:t>
            </w:r>
          </w:p>
        </w:tc>
        <w:tc>
          <w:tcPr>
            <w:tcW w:w="3485" w:type="dxa"/>
            <w:gridSpan w:val="6"/>
            <w:tcBorders>
              <w:bottom w:val="single" w:sz="4" w:space="0" w:color="1B556B" w:themeColor="text2"/>
            </w:tcBorders>
            <w:shd w:val="clear" w:color="auto" w:fill="1B556B" w:themeFill="text2"/>
            <w:vAlign w:val="center"/>
          </w:tcPr>
          <w:p w14:paraId="6758C1AA" w14:textId="77777777" w:rsidR="00F51113" w:rsidRPr="00841C21" w:rsidRDefault="00F51113">
            <w:pPr>
              <w:pStyle w:val="TableText"/>
              <w:spacing w:after="0"/>
              <w:jc w:val="center"/>
              <w:rPr>
                <w:b/>
                <w:bCs/>
                <w:color w:val="FFFFFF" w:themeColor="background1"/>
                <w:szCs w:val="18"/>
                <w:lang w:val="en-NZ"/>
              </w:rPr>
            </w:pPr>
            <w:r w:rsidRPr="00841C21">
              <w:rPr>
                <w:b/>
                <w:bCs/>
                <w:color w:val="FFFFFF" w:themeColor="background1"/>
                <w:szCs w:val="18"/>
                <w:lang w:val="en-NZ"/>
              </w:rPr>
              <w:t>Projected</w:t>
            </w:r>
          </w:p>
        </w:tc>
      </w:tr>
      <w:tr w:rsidR="00F51113" w:rsidRPr="00841C21" w14:paraId="358DE287" w14:textId="77777777">
        <w:tc>
          <w:tcPr>
            <w:tcW w:w="598" w:type="dxa"/>
            <w:shd w:val="clear" w:color="auto" w:fill="1B556B" w:themeFill="text2"/>
            <w:vAlign w:val="center"/>
            <w:hideMark/>
          </w:tcPr>
          <w:p w14:paraId="57B8B3C3" w14:textId="77777777" w:rsidR="00F51113" w:rsidRPr="00841C21" w:rsidRDefault="00F51113">
            <w:pPr>
              <w:pStyle w:val="TableText"/>
              <w:spacing w:before="0" w:after="40"/>
              <w:jc w:val="center"/>
              <w:rPr>
                <w:b/>
                <w:bCs/>
                <w:color w:val="FFFFFF" w:themeColor="background1"/>
                <w:szCs w:val="18"/>
                <w:lang w:val="en-NZ"/>
              </w:rPr>
            </w:pPr>
            <w:r w:rsidRPr="00841C21">
              <w:rPr>
                <w:b/>
                <w:bCs/>
                <w:color w:val="FFFFFF" w:themeColor="background1"/>
                <w:szCs w:val="18"/>
                <w:lang w:val="en-NZ"/>
              </w:rPr>
              <w:t>Gas</w:t>
            </w:r>
          </w:p>
        </w:tc>
        <w:tc>
          <w:tcPr>
            <w:tcW w:w="923" w:type="dxa"/>
            <w:shd w:val="clear" w:color="auto" w:fill="1B556B" w:themeFill="text2"/>
            <w:vAlign w:val="center"/>
            <w:hideMark/>
          </w:tcPr>
          <w:p w14:paraId="63D52FB5" w14:textId="77777777" w:rsidR="00F51113" w:rsidRPr="00841C21" w:rsidRDefault="00F51113">
            <w:pPr>
              <w:pStyle w:val="TableText"/>
              <w:spacing w:before="0" w:after="40"/>
              <w:jc w:val="center"/>
              <w:rPr>
                <w:b/>
                <w:bCs/>
                <w:color w:val="FFFFFF" w:themeColor="background1"/>
                <w:szCs w:val="18"/>
                <w:lang w:val="en-NZ"/>
              </w:rPr>
            </w:pPr>
            <w:r w:rsidRPr="00841C21">
              <w:rPr>
                <w:b/>
                <w:bCs/>
                <w:color w:val="FFFFFF" w:themeColor="background1"/>
                <w:szCs w:val="18"/>
                <w:lang w:val="en-NZ"/>
              </w:rPr>
              <w:t>1990</w:t>
            </w:r>
          </w:p>
        </w:tc>
        <w:tc>
          <w:tcPr>
            <w:tcW w:w="582" w:type="dxa"/>
            <w:shd w:val="clear" w:color="auto" w:fill="1B556B" w:themeFill="text2"/>
            <w:vAlign w:val="center"/>
            <w:hideMark/>
          </w:tcPr>
          <w:p w14:paraId="049413DD" w14:textId="77777777" w:rsidR="00F51113" w:rsidRPr="00841C21" w:rsidRDefault="00F51113">
            <w:pPr>
              <w:pStyle w:val="TableText"/>
              <w:spacing w:before="0" w:after="40"/>
              <w:jc w:val="center"/>
              <w:rPr>
                <w:b/>
                <w:bCs/>
                <w:color w:val="FFFFFF" w:themeColor="background1"/>
                <w:szCs w:val="18"/>
                <w:lang w:val="en-NZ"/>
              </w:rPr>
            </w:pPr>
            <w:r w:rsidRPr="00841C21">
              <w:rPr>
                <w:b/>
                <w:bCs/>
                <w:color w:val="FFFFFF" w:themeColor="background1"/>
                <w:szCs w:val="18"/>
                <w:lang w:val="en-NZ"/>
              </w:rPr>
              <w:t>1995</w:t>
            </w:r>
          </w:p>
        </w:tc>
        <w:tc>
          <w:tcPr>
            <w:tcW w:w="582" w:type="dxa"/>
            <w:shd w:val="clear" w:color="auto" w:fill="1B556B" w:themeFill="text2"/>
            <w:vAlign w:val="center"/>
            <w:hideMark/>
          </w:tcPr>
          <w:p w14:paraId="3FCAC859" w14:textId="77777777" w:rsidR="00F51113" w:rsidRPr="00841C21" w:rsidRDefault="00F51113">
            <w:pPr>
              <w:pStyle w:val="TableText"/>
              <w:spacing w:before="0" w:after="40"/>
              <w:jc w:val="center"/>
              <w:rPr>
                <w:b/>
                <w:bCs/>
                <w:color w:val="FFFFFF" w:themeColor="background1"/>
                <w:szCs w:val="18"/>
                <w:lang w:val="en-NZ"/>
              </w:rPr>
            </w:pPr>
            <w:r w:rsidRPr="00841C21">
              <w:rPr>
                <w:b/>
                <w:bCs/>
                <w:color w:val="FFFFFF" w:themeColor="background1"/>
                <w:szCs w:val="18"/>
                <w:lang w:val="en-NZ"/>
              </w:rPr>
              <w:t>2000</w:t>
            </w:r>
          </w:p>
        </w:tc>
        <w:tc>
          <w:tcPr>
            <w:tcW w:w="582" w:type="dxa"/>
            <w:shd w:val="clear" w:color="auto" w:fill="1B556B" w:themeFill="text2"/>
            <w:vAlign w:val="center"/>
            <w:hideMark/>
          </w:tcPr>
          <w:p w14:paraId="6174C79C" w14:textId="77777777" w:rsidR="00F51113" w:rsidRPr="00841C21" w:rsidRDefault="00F51113">
            <w:pPr>
              <w:pStyle w:val="TableText"/>
              <w:spacing w:before="0" w:after="40"/>
              <w:jc w:val="center"/>
              <w:rPr>
                <w:b/>
                <w:bCs/>
                <w:color w:val="FFFFFF" w:themeColor="background1"/>
                <w:szCs w:val="18"/>
                <w:lang w:val="en-NZ"/>
              </w:rPr>
            </w:pPr>
            <w:r w:rsidRPr="00841C21">
              <w:rPr>
                <w:b/>
                <w:bCs/>
                <w:color w:val="FFFFFF" w:themeColor="background1"/>
                <w:szCs w:val="18"/>
                <w:lang w:val="en-NZ"/>
              </w:rPr>
              <w:t>2005</w:t>
            </w:r>
          </w:p>
        </w:tc>
        <w:tc>
          <w:tcPr>
            <w:tcW w:w="582" w:type="dxa"/>
            <w:shd w:val="clear" w:color="auto" w:fill="1B556B" w:themeFill="text2"/>
            <w:vAlign w:val="center"/>
            <w:hideMark/>
          </w:tcPr>
          <w:p w14:paraId="581A9E3C" w14:textId="77777777" w:rsidR="00F51113" w:rsidRPr="00841C21" w:rsidRDefault="00F51113">
            <w:pPr>
              <w:pStyle w:val="TableText"/>
              <w:spacing w:before="0" w:after="40"/>
              <w:jc w:val="center"/>
              <w:rPr>
                <w:b/>
                <w:bCs/>
                <w:color w:val="FFFFFF" w:themeColor="background1"/>
                <w:szCs w:val="18"/>
                <w:lang w:val="en-NZ"/>
              </w:rPr>
            </w:pPr>
            <w:r w:rsidRPr="00841C21">
              <w:rPr>
                <w:b/>
                <w:bCs/>
                <w:color w:val="FFFFFF" w:themeColor="background1"/>
                <w:szCs w:val="18"/>
                <w:lang w:val="en-NZ"/>
              </w:rPr>
              <w:t>2010</w:t>
            </w:r>
          </w:p>
        </w:tc>
        <w:tc>
          <w:tcPr>
            <w:tcW w:w="582" w:type="dxa"/>
            <w:shd w:val="clear" w:color="auto" w:fill="1B556B" w:themeFill="text2"/>
            <w:vAlign w:val="center"/>
            <w:hideMark/>
          </w:tcPr>
          <w:p w14:paraId="10355996" w14:textId="77777777" w:rsidR="00F51113" w:rsidRPr="00841C21" w:rsidRDefault="00F51113">
            <w:pPr>
              <w:pStyle w:val="TableText"/>
              <w:spacing w:before="0" w:after="40"/>
              <w:jc w:val="center"/>
              <w:rPr>
                <w:b/>
                <w:bCs/>
                <w:color w:val="FFFFFF" w:themeColor="background1"/>
                <w:szCs w:val="18"/>
                <w:lang w:val="en-NZ"/>
              </w:rPr>
            </w:pPr>
            <w:r w:rsidRPr="00841C21">
              <w:rPr>
                <w:b/>
                <w:bCs/>
                <w:color w:val="FFFFFF" w:themeColor="background1"/>
                <w:szCs w:val="18"/>
                <w:lang w:val="en-NZ"/>
              </w:rPr>
              <w:t>2015</w:t>
            </w:r>
          </w:p>
        </w:tc>
        <w:tc>
          <w:tcPr>
            <w:tcW w:w="582" w:type="dxa"/>
            <w:shd w:val="clear" w:color="auto" w:fill="1B556B" w:themeFill="text2"/>
            <w:vAlign w:val="center"/>
            <w:hideMark/>
          </w:tcPr>
          <w:p w14:paraId="69BA97A5" w14:textId="77777777" w:rsidR="00F51113" w:rsidRPr="00841C21" w:rsidRDefault="00F51113">
            <w:pPr>
              <w:pStyle w:val="TableText"/>
              <w:spacing w:before="0" w:after="40"/>
              <w:jc w:val="center"/>
              <w:rPr>
                <w:b/>
                <w:bCs/>
                <w:color w:val="FFFFFF" w:themeColor="background1"/>
                <w:szCs w:val="18"/>
                <w:lang w:val="en-NZ"/>
              </w:rPr>
            </w:pPr>
            <w:r w:rsidRPr="00841C21">
              <w:rPr>
                <w:b/>
                <w:bCs/>
                <w:color w:val="FFFFFF" w:themeColor="background1"/>
                <w:szCs w:val="18"/>
                <w:lang w:val="en-NZ"/>
              </w:rPr>
              <w:t>2020</w:t>
            </w:r>
          </w:p>
        </w:tc>
        <w:tc>
          <w:tcPr>
            <w:tcW w:w="582" w:type="dxa"/>
            <w:gridSpan w:val="2"/>
            <w:tcBorders>
              <w:bottom w:val="single" w:sz="4" w:space="0" w:color="1B556B" w:themeColor="text2"/>
            </w:tcBorders>
            <w:shd w:val="clear" w:color="auto" w:fill="1B556B" w:themeFill="text2"/>
            <w:vAlign w:val="center"/>
            <w:hideMark/>
          </w:tcPr>
          <w:p w14:paraId="36589213" w14:textId="77777777" w:rsidR="00F51113" w:rsidRPr="00841C21" w:rsidRDefault="00F51113">
            <w:pPr>
              <w:pStyle w:val="TableText"/>
              <w:spacing w:before="0" w:after="40"/>
              <w:jc w:val="center"/>
              <w:rPr>
                <w:b/>
                <w:bCs/>
                <w:color w:val="FFFFFF" w:themeColor="background1"/>
                <w:szCs w:val="18"/>
                <w:lang w:val="en-NZ"/>
              </w:rPr>
            </w:pPr>
            <w:r w:rsidRPr="00841C21">
              <w:rPr>
                <w:b/>
                <w:bCs/>
                <w:color w:val="FFFFFF" w:themeColor="background1"/>
                <w:szCs w:val="18"/>
                <w:lang w:val="en-NZ"/>
              </w:rPr>
              <w:t>2025</w:t>
            </w:r>
          </w:p>
        </w:tc>
        <w:tc>
          <w:tcPr>
            <w:tcW w:w="582" w:type="dxa"/>
            <w:tcBorders>
              <w:bottom w:val="single" w:sz="4" w:space="0" w:color="1B556B" w:themeColor="text2"/>
            </w:tcBorders>
            <w:shd w:val="clear" w:color="auto" w:fill="1B556B" w:themeFill="text2"/>
            <w:vAlign w:val="center"/>
            <w:hideMark/>
          </w:tcPr>
          <w:p w14:paraId="7EE8A369" w14:textId="77777777" w:rsidR="00F51113" w:rsidRPr="00841C21" w:rsidRDefault="00F51113">
            <w:pPr>
              <w:pStyle w:val="TableText"/>
              <w:spacing w:before="0" w:after="40"/>
              <w:jc w:val="center"/>
              <w:rPr>
                <w:b/>
                <w:bCs/>
                <w:color w:val="FFFFFF" w:themeColor="background1"/>
                <w:szCs w:val="18"/>
                <w:lang w:val="en-NZ"/>
              </w:rPr>
            </w:pPr>
            <w:r w:rsidRPr="00841C21">
              <w:rPr>
                <w:b/>
                <w:bCs/>
                <w:color w:val="FFFFFF" w:themeColor="background1"/>
                <w:szCs w:val="18"/>
                <w:lang w:val="en-NZ"/>
              </w:rPr>
              <w:t>2030</w:t>
            </w:r>
          </w:p>
        </w:tc>
        <w:tc>
          <w:tcPr>
            <w:tcW w:w="582" w:type="dxa"/>
            <w:tcBorders>
              <w:bottom w:val="single" w:sz="4" w:space="0" w:color="1B556B" w:themeColor="text2"/>
            </w:tcBorders>
            <w:shd w:val="clear" w:color="auto" w:fill="1B556B" w:themeFill="text2"/>
            <w:vAlign w:val="center"/>
            <w:hideMark/>
          </w:tcPr>
          <w:p w14:paraId="3DD20268" w14:textId="77777777" w:rsidR="00F51113" w:rsidRPr="00841C21" w:rsidRDefault="00F51113">
            <w:pPr>
              <w:pStyle w:val="TableText"/>
              <w:spacing w:before="0" w:after="40"/>
              <w:jc w:val="center"/>
              <w:rPr>
                <w:b/>
                <w:bCs/>
                <w:color w:val="FFFFFF" w:themeColor="background1"/>
                <w:szCs w:val="18"/>
                <w:lang w:val="en-NZ"/>
              </w:rPr>
            </w:pPr>
            <w:r w:rsidRPr="00841C21">
              <w:rPr>
                <w:b/>
                <w:bCs/>
                <w:color w:val="FFFFFF" w:themeColor="background1"/>
                <w:szCs w:val="18"/>
                <w:lang w:val="en-NZ"/>
              </w:rPr>
              <w:t>2035</w:t>
            </w:r>
          </w:p>
        </w:tc>
        <w:tc>
          <w:tcPr>
            <w:tcW w:w="582" w:type="dxa"/>
            <w:tcBorders>
              <w:bottom w:val="single" w:sz="4" w:space="0" w:color="1B556B" w:themeColor="text2"/>
            </w:tcBorders>
            <w:shd w:val="clear" w:color="auto" w:fill="1B556B" w:themeFill="text2"/>
            <w:vAlign w:val="center"/>
          </w:tcPr>
          <w:p w14:paraId="3CB33503" w14:textId="77777777" w:rsidR="00F51113" w:rsidRPr="00841C21" w:rsidRDefault="00F51113">
            <w:pPr>
              <w:pStyle w:val="TableText"/>
              <w:spacing w:before="0" w:after="40"/>
              <w:jc w:val="center"/>
              <w:rPr>
                <w:b/>
                <w:bCs/>
                <w:color w:val="FFFFFF" w:themeColor="background1"/>
                <w:szCs w:val="18"/>
                <w:lang w:val="en-NZ"/>
              </w:rPr>
            </w:pPr>
            <w:r w:rsidRPr="00841C21">
              <w:rPr>
                <w:b/>
                <w:bCs/>
                <w:color w:val="FFFFFF" w:themeColor="background1"/>
                <w:szCs w:val="18"/>
                <w:lang w:val="en-NZ"/>
              </w:rPr>
              <w:t>2040</w:t>
            </w:r>
          </w:p>
        </w:tc>
        <w:tc>
          <w:tcPr>
            <w:tcW w:w="582" w:type="dxa"/>
            <w:tcBorders>
              <w:bottom w:val="single" w:sz="4" w:space="0" w:color="1B556B" w:themeColor="text2"/>
            </w:tcBorders>
            <w:shd w:val="clear" w:color="auto" w:fill="1B556B" w:themeFill="text2"/>
            <w:vAlign w:val="center"/>
          </w:tcPr>
          <w:p w14:paraId="420576C7" w14:textId="77777777" w:rsidR="00F51113" w:rsidRPr="00841C21" w:rsidRDefault="00F51113">
            <w:pPr>
              <w:pStyle w:val="TableText"/>
              <w:spacing w:before="0" w:after="40"/>
              <w:jc w:val="center"/>
              <w:rPr>
                <w:b/>
                <w:bCs/>
                <w:color w:val="FFFFFF" w:themeColor="background1"/>
                <w:szCs w:val="18"/>
                <w:lang w:val="en-NZ"/>
              </w:rPr>
            </w:pPr>
            <w:r w:rsidRPr="00841C21">
              <w:rPr>
                <w:b/>
                <w:bCs/>
                <w:color w:val="FFFFFF" w:themeColor="background1"/>
                <w:szCs w:val="18"/>
                <w:lang w:val="en-NZ"/>
              </w:rPr>
              <w:t>2045</w:t>
            </w:r>
          </w:p>
        </w:tc>
        <w:tc>
          <w:tcPr>
            <w:tcW w:w="582" w:type="dxa"/>
            <w:tcBorders>
              <w:bottom w:val="single" w:sz="4" w:space="0" w:color="1B556B" w:themeColor="text2"/>
            </w:tcBorders>
            <w:shd w:val="clear" w:color="auto" w:fill="1B556B" w:themeFill="text2"/>
            <w:vAlign w:val="center"/>
          </w:tcPr>
          <w:p w14:paraId="66AA7D18" w14:textId="77777777" w:rsidR="00F51113" w:rsidRPr="00841C21" w:rsidRDefault="00F51113">
            <w:pPr>
              <w:pStyle w:val="TableText"/>
              <w:spacing w:before="0" w:after="40"/>
              <w:jc w:val="center"/>
              <w:rPr>
                <w:b/>
                <w:bCs/>
                <w:color w:val="FFFFFF" w:themeColor="background1"/>
                <w:szCs w:val="18"/>
                <w:lang w:val="en-NZ"/>
              </w:rPr>
            </w:pPr>
            <w:r w:rsidRPr="00841C21">
              <w:rPr>
                <w:b/>
                <w:bCs/>
                <w:color w:val="FFFFFF" w:themeColor="background1"/>
                <w:szCs w:val="18"/>
                <w:lang w:val="en-NZ"/>
              </w:rPr>
              <w:t>2050</w:t>
            </w:r>
          </w:p>
        </w:tc>
      </w:tr>
      <w:tr w:rsidR="00F51113" w:rsidRPr="00841C21" w14:paraId="629E5678" w14:textId="77777777">
        <w:tc>
          <w:tcPr>
            <w:tcW w:w="598" w:type="dxa"/>
            <w:vAlign w:val="center"/>
          </w:tcPr>
          <w:p w14:paraId="1F382299" w14:textId="77777777" w:rsidR="00F51113" w:rsidRPr="00841C21" w:rsidRDefault="00F51113" w:rsidP="00730A86">
            <w:pPr>
              <w:pStyle w:val="TableText"/>
              <w:spacing w:before="20" w:after="20"/>
              <w:rPr>
                <w:rFonts w:cs="Calibri"/>
                <w:szCs w:val="18"/>
                <w:lang w:val="en-NZ"/>
              </w:rPr>
            </w:pPr>
            <w:r w:rsidRPr="00841C21">
              <w:rPr>
                <w:rFonts w:cs="Calibri"/>
                <w:szCs w:val="18"/>
                <w:lang w:val="en-NZ"/>
              </w:rPr>
              <w:t>CO</w:t>
            </w:r>
            <w:r w:rsidRPr="00841C21">
              <w:rPr>
                <w:rFonts w:cs="Calibri"/>
                <w:szCs w:val="18"/>
                <w:vertAlign w:val="subscript"/>
                <w:lang w:val="en-NZ"/>
              </w:rPr>
              <w:t>2</w:t>
            </w:r>
          </w:p>
        </w:tc>
        <w:tc>
          <w:tcPr>
            <w:tcW w:w="923" w:type="dxa"/>
            <w:vAlign w:val="center"/>
          </w:tcPr>
          <w:p w14:paraId="4793FAFC"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1.30</w:t>
            </w:r>
          </w:p>
        </w:tc>
        <w:tc>
          <w:tcPr>
            <w:tcW w:w="582" w:type="dxa"/>
            <w:vAlign w:val="center"/>
          </w:tcPr>
          <w:p w14:paraId="13106041"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1.38</w:t>
            </w:r>
          </w:p>
        </w:tc>
        <w:tc>
          <w:tcPr>
            <w:tcW w:w="582" w:type="dxa"/>
            <w:vAlign w:val="center"/>
          </w:tcPr>
          <w:p w14:paraId="764954C2"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1.45</w:t>
            </w:r>
          </w:p>
        </w:tc>
        <w:tc>
          <w:tcPr>
            <w:tcW w:w="582" w:type="dxa"/>
            <w:vAlign w:val="center"/>
          </w:tcPr>
          <w:p w14:paraId="76458AB0"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2.45</w:t>
            </w:r>
          </w:p>
        </w:tc>
        <w:tc>
          <w:tcPr>
            <w:tcW w:w="582" w:type="dxa"/>
            <w:vAlign w:val="center"/>
          </w:tcPr>
          <w:p w14:paraId="64E677A6"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2.52</w:t>
            </w:r>
          </w:p>
        </w:tc>
        <w:tc>
          <w:tcPr>
            <w:tcW w:w="582" w:type="dxa"/>
            <w:vAlign w:val="center"/>
          </w:tcPr>
          <w:p w14:paraId="788902ED"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1.63</w:t>
            </w:r>
          </w:p>
        </w:tc>
        <w:tc>
          <w:tcPr>
            <w:tcW w:w="582" w:type="dxa"/>
            <w:vAlign w:val="center"/>
          </w:tcPr>
          <w:p w14:paraId="3B424651"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2.42</w:t>
            </w:r>
          </w:p>
        </w:tc>
        <w:tc>
          <w:tcPr>
            <w:tcW w:w="582" w:type="dxa"/>
            <w:gridSpan w:val="2"/>
            <w:shd w:val="clear" w:color="auto" w:fill="D2DDE1" w:themeFill="background2"/>
            <w:vAlign w:val="center"/>
          </w:tcPr>
          <w:p w14:paraId="789073F4"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2.85</w:t>
            </w:r>
          </w:p>
        </w:tc>
        <w:tc>
          <w:tcPr>
            <w:tcW w:w="582" w:type="dxa"/>
            <w:shd w:val="clear" w:color="auto" w:fill="D2DDE1" w:themeFill="background2"/>
            <w:vAlign w:val="center"/>
          </w:tcPr>
          <w:p w14:paraId="58BD525F"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2.93</w:t>
            </w:r>
          </w:p>
        </w:tc>
        <w:tc>
          <w:tcPr>
            <w:tcW w:w="582" w:type="dxa"/>
            <w:shd w:val="clear" w:color="auto" w:fill="D2DDE1" w:themeFill="background2"/>
            <w:vAlign w:val="center"/>
          </w:tcPr>
          <w:p w14:paraId="720DF4BA"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2.07</w:t>
            </w:r>
          </w:p>
        </w:tc>
        <w:tc>
          <w:tcPr>
            <w:tcW w:w="582" w:type="dxa"/>
            <w:shd w:val="clear" w:color="auto" w:fill="D2DDE1" w:themeFill="background2"/>
            <w:vAlign w:val="center"/>
          </w:tcPr>
          <w:p w14:paraId="1C728B31"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2.18</w:t>
            </w:r>
          </w:p>
        </w:tc>
        <w:tc>
          <w:tcPr>
            <w:tcW w:w="582" w:type="dxa"/>
            <w:shd w:val="clear" w:color="auto" w:fill="D2DDE1" w:themeFill="background2"/>
            <w:vAlign w:val="center"/>
          </w:tcPr>
          <w:p w14:paraId="7152A7F2"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2.28</w:t>
            </w:r>
          </w:p>
        </w:tc>
        <w:tc>
          <w:tcPr>
            <w:tcW w:w="582" w:type="dxa"/>
            <w:shd w:val="clear" w:color="auto" w:fill="D2DDE1" w:themeFill="background2"/>
            <w:vAlign w:val="center"/>
          </w:tcPr>
          <w:p w14:paraId="0B01E441"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2.38</w:t>
            </w:r>
          </w:p>
        </w:tc>
      </w:tr>
      <w:tr w:rsidR="00F51113" w:rsidRPr="00841C21" w14:paraId="301A7B1F" w14:textId="77777777">
        <w:tc>
          <w:tcPr>
            <w:tcW w:w="598" w:type="dxa"/>
            <w:vAlign w:val="center"/>
          </w:tcPr>
          <w:p w14:paraId="6F683705" w14:textId="77777777" w:rsidR="00F51113" w:rsidRPr="00841C21" w:rsidRDefault="00F51113" w:rsidP="00730A86">
            <w:pPr>
              <w:pStyle w:val="TableText"/>
              <w:spacing w:before="20" w:after="20"/>
              <w:rPr>
                <w:rFonts w:cs="Calibri"/>
                <w:szCs w:val="18"/>
                <w:lang w:val="en-NZ"/>
              </w:rPr>
            </w:pPr>
            <w:r w:rsidRPr="00841C21">
              <w:rPr>
                <w:rFonts w:cs="Calibri"/>
                <w:szCs w:val="18"/>
                <w:lang w:val="en-NZ"/>
              </w:rPr>
              <w:t>CH</w:t>
            </w:r>
            <w:r w:rsidRPr="00841C21">
              <w:rPr>
                <w:rFonts w:cs="Calibri"/>
                <w:szCs w:val="18"/>
                <w:vertAlign w:val="subscript"/>
                <w:lang w:val="en-NZ"/>
              </w:rPr>
              <w:t>4</w:t>
            </w:r>
          </w:p>
        </w:tc>
        <w:tc>
          <w:tcPr>
            <w:tcW w:w="923" w:type="dxa"/>
            <w:vAlign w:val="center"/>
          </w:tcPr>
          <w:p w14:paraId="0C13BD92"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2.00</w:t>
            </w:r>
          </w:p>
        </w:tc>
        <w:tc>
          <w:tcPr>
            <w:tcW w:w="582" w:type="dxa"/>
            <w:vAlign w:val="center"/>
          </w:tcPr>
          <w:p w14:paraId="6C5C3C2A"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1.89</w:t>
            </w:r>
          </w:p>
        </w:tc>
        <w:tc>
          <w:tcPr>
            <w:tcW w:w="582" w:type="dxa"/>
            <w:vAlign w:val="center"/>
          </w:tcPr>
          <w:p w14:paraId="297D04F4"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2.19</w:t>
            </w:r>
          </w:p>
        </w:tc>
        <w:tc>
          <w:tcPr>
            <w:tcW w:w="582" w:type="dxa"/>
            <w:vAlign w:val="center"/>
          </w:tcPr>
          <w:p w14:paraId="3C33DB7C"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2.16</w:t>
            </w:r>
          </w:p>
        </w:tc>
        <w:tc>
          <w:tcPr>
            <w:tcW w:w="582" w:type="dxa"/>
            <w:vAlign w:val="center"/>
          </w:tcPr>
          <w:p w14:paraId="2C77EB88"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2.03</w:t>
            </w:r>
          </w:p>
        </w:tc>
        <w:tc>
          <w:tcPr>
            <w:tcW w:w="582" w:type="dxa"/>
            <w:vAlign w:val="center"/>
          </w:tcPr>
          <w:p w14:paraId="0F937ED3"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1.72</w:t>
            </w:r>
          </w:p>
        </w:tc>
        <w:tc>
          <w:tcPr>
            <w:tcW w:w="582" w:type="dxa"/>
            <w:vAlign w:val="center"/>
          </w:tcPr>
          <w:p w14:paraId="287523E5"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1.65</w:t>
            </w:r>
          </w:p>
        </w:tc>
        <w:tc>
          <w:tcPr>
            <w:tcW w:w="582" w:type="dxa"/>
            <w:gridSpan w:val="2"/>
            <w:shd w:val="clear" w:color="auto" w:fill="D2DDE1" w:themeFill="background2"/>
            <w:vAlign w:val="center"/>
          </w:tcPr>
          <w:p w14:paraId="30EEC75B"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1.66</w:t>
            </w:r>
          </w:p>
        </w:tc>
        <w:tc>
          <w:tcPr>
            <w:tcW w:w="582" w:type="dxa"/>
            <w:shd w:val="clear" w:color="auto" w:fill="D2DDE1" w:themeFill="background2"/>
            <w:vAlign w:val="center"/>
          </w:tcPr>
          <w:p w14:paraId="5362CC9E"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1.66</w:t>
            </w:r>
          </w:p>
        </w:tc>
        <w:tc>
          <w:tcPr>
            <w:tcW w:w="582" w:type="dxa"/>
            <w:shd w:val="clear" w:color="auto" w:fill="D2DDE1" w:themeFill="background2"/>
            <w:vAlign w:val="center"/>
          </w:tcPr>
          <w:p w14:paraId="1050AC15"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1.65</w:t>
            </w:r>
          </w:p>
        </w:tc>
        <w:tc>
          <w:tcPr>
            <w:tcW w:w="582" w:type="dxa"/>
            <w:shd w:val="clear" w:color="auto" w:fill="D2DDE1" w:themeFill="background2"/>
            <w:vAlign w:val="center"/>
          </w:tcPr>
          <w:p w14:paraId="01E65D93"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1.66</w:t>
            </w:r>
          </w:p>
        </w:tc>
        <w:tc>
          <w:tcPr>
            <w:tcW w:w="582" w:type="dxa"/>
            <w:shd w:val="clear" w:color="auto" w:fill="D2DDE1" w:themeFill="background2"/>
            <w:vAlign w:val="center"/>
          </w:tcPr>
          <w:p w14:paraId="7DA08FDD"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1.66</w:t>
            </w:r>
          </w:p>
        </w:tc>
        <w:tc>
          <w:tcPr>
            <w:tcW w:w="582" w:type="dxa"/>
            <w:shd w:val="clear" w:color="auto" w:fill="D2DDE1" w:themeFill="background2"/>
            <w:vAlign w:val="center"/>
          </w:tcPr>
          <w:p w14:paraId="13BC0BB9"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1.66</w:t>
            </w:r>
          </w:p>
        </w:tc>
      </w:tr>
      <w:tr w:rsidR="00F51113" w:rsidRPr="00841C21" w14:paraId="3BDC51F0" w14:textId="77777777">
        <w:tc>
          <w:tcPr>
            <w:tcW w:w="598" w:type="dxa"/>
            <w:vAlign w:val="center"/>
          </w:tcPr>
          <w:p w14:paraId="02F20F9C" w14:textId="77777777" w:rsidR="00F51113" w:rsidRPr="00841C21" w:rsidRDefault="00F51113" w:rsidP="00730A86">
            <w:pPr>
              <w:pStyle w:val="TableText"/>
              <w:spacing w:before="20" w:after="20"/>
              <w:rPr>
                <w:rFonts w:cs="Calibri"/>
                <w:szCs w:val="18"/>
                <w:lang w:val="en-NZ"/>
              </w:rPr>
            </w:pPr>
            <w:r w:rsidRPr="00841C21">
              <w:rPr>
                <w:rFonts w:cs="Calibri"/>
                <w:szCs w:val="18"/>
                <w:lang w:val="en-NZ"/>
              </w:rPr>
              <w:t>N</w:t>
            </w:r>
            <w:r w:rsidRPr="00841C21">
              <w:rPr>
                <w:rFonts w:cs="Calibri"/>
                <w:szCs w:val="18"/>
                <w:vertAlign w:val="subscript"/>
                <w:lang w:val="en-NZ"/>
              </w:rPr>
              <w:t>2</w:t>
            </w:r>
            <w:r w:rsidRPr="00841C21">
              <w:rPr>
                <w:rFonts w:cs="Calibri"/>
                <w:szCs w:val="18"/>
                <w:lang w:val="en-NZ"/>
              </w:rPr>
              <w:t>O</w:t>
            </w:r>
          </w:p>
        </w:tc>
        <w:tc>
          <w:tcPr>
            <w:tcW w:w="923" w:type="dxa"/>
            <w:vAlign w:val="center"/>
          </w:tcPr>
          <w:p w14:paraId="1B4D81C1"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0.08</w:t>
            </w:r>
          </w:p>
        </w:tc>
        <w:tc>
          <w:tcPr>
            <w:tcW w:w="582" w:type="dxa"/>
            <w:vAlign w:val="center"/>
          </w:tcPr>
          <w:p w14:paraId="077797CB"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0.06</w:t>
            </w:r>
          </w:p>
        </w:tc>
        <w:tc>
          <w:tcPr>
            <w:tcW w:w="582" w:type="dxa"/>
            <w:vAlign w:val="center"/>
          </w:tcPr>
          <w:p w14:paraId="12070697"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0.05</w:t>
            </w:r>
          </w:p>
        </w:tc>
        <w:tc>
          <w:tcPr>
            <w:tcW w:w="582" w:type="dxa"/>
            <w:vAlign w:val="center"/>
          </w:tcPr>
          <w:p w14:paraId="3294790B"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0.03</w:t>
            </w:r>
          </w:p>
        </w:tc>
        <w:tc>
          <w:tcPr>
            <w:tcW w:w="582" w:type="dxa"/>
            <w:vAlign w:val="center"/>
          </w:tcPr>
          <w:p w14:paraId="04F45897"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0.04</w:t>
            </w:r>
          </w:p>
        </w:tc>
        <w:tc>
          <w:tcPr>
            <w:tcW w:w="582" w:type="dxa"/>
            <w:vAlign w:val="center"/>
          </w:tcPr>
          <w:p w14:paraId="2CF7582C"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0.03</w:t>
            </w:r>
          </w:p>
        </w:tc>
        <w:tc>
          <w:tcPr>
            <w:tcW w:w="582" w:type="dxa"/>
            <w:vAlign w:val="center"/>
          </w:tcPr>
          <w:p w14:paraId="27FE561E"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0.04</w:t>
            </w:r>
          </w:p>
        </w:tc>
        <w:tc>
          <w:tcPr>
            <w:tcW w:w="582" w:type="dxa"/>
            <w:gridSpan w:val="2"/>
            <w:shd w:val="clear" w:color="auto" w:fill="D2DDE1" w:themeFill="background2"/>
            <w:vAlign w:val="center"/>
          </w:tcPr>
          <w:p w14:paraId="633A9756"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0.04</w:t>
            </w:r>
          </w:p>
        </w:tc>
        <w:tc>
          <w:tcPr>
            <w:tcW w:w="582" w:type="dxa"/>
            <w:shd w:val="clear" w:color="auto" w:fill="D2DDE1" w:themeFill="background2"/>
            <w:vAlign w:val="center"/>
          </w:tcPr>
          <w:p w14:paraId="59CCA14C"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0.04</w:t>
            </w:r>
          </w:p>
        </w:tc>
        <w:tc>
          <w:tcPr>
            <w:tcW w:w="582" w:type="dxa"/>
            <w:shd w:val="clear" w:color="auto" w:fill="D2DDE1" w:themeFill="background2"/>
            <w:vAlign w:val="center"/>
          </w:tcPr>
          <w:p w14:paraId="1A54BF65"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0.04</w:t>
            </w:r>
          </w:p>
        </w:tc>
        <w:tc>
          <w:tcPr>
            <w:tcW w:w="582" w:type="dxa"/>
            <w:shd w:val="clear" w:color="auto" w:fill="D2DDE1" w:themeFill="background2"/>
            <w:vAlign w:val="center"/>
          </w:tcPr>
          <w:p w14:paraId="403F56EA"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0.04</w:t>
            </w:r>
          </w:p>
        </w:tc>
        <w:tc>
          <w:tcPr>
            <w:tcW w:w="582" w:type="dxa"/>
            <w:shd w:val="clear" w:color="auto" w:fill="D2DDE1" w:themeFill="background2"/>
            <w:vAlign w:val="center"/>
          </w:tcPr>
          <w:p w14:paraId="58F624F3"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0.04</w:t>
            </w:r>
          </w:p>
        </w:tc>
        <w:tc>
          <w:tcPr>
            <w:tcW w:w="582" w:type="dxa"/>
            <w:shd w:val="clear" w:color="auto" w:fill="D2DDE1" w:themeFill="background2"/>
            <w:vAlign w:val="center"/>
          </w:tcPr>
          <w:p w14:paraId="75F4653A"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0.04</w:t>
            </w:r>
          </w:p>
        </w:tc>
      </w:tr>
      <w:tr w:rsidR="00F51113" w:rsidRPr="00841C21" w14:paraId="46ABA96D" w14:textId="77777777">
        <w:tc>
          <w:tcPr>
            <w:tcW w:w="598" w:type="dxa"/>
            <w:vAlign w:val="center"/>
          </w:tcPr>
          <w:p w14:paraId="0E40455F" w14:textId="77777777" w:rsidR="00F51113" w:rsidRPr="00841C21" w:rsidRDefault="00F51113" w:rsidP="00730A86">
            <w:pPr>
              <w:pStyle w:val="TableText"/>
              <w:spacing w:before="20" w:after="20"/>
              <w:rPr>
                <w:rFonts w:cs="Calibri"/>
                <w:szCs w:val="18"/>
                <w:lang w:val="en-NZ"/>
              </w:rPr>
            </w:pPr>
            <w:r w:rsidRPr="00841C21">
              <w:rPr>
                <w:rFonts w:cs="Calibri"/>
                <w:szCs w:val="18"/>
                <w:lang w:val="en-NZ"/>
              </w:rPr>
              <w:t>HFCs</w:t>
            </w:r>
          </w:p>
        </w:tc>
        <w:tc>
          <w:tcPr>
            <w:tcW w:w="923" w:type="dxa"/>
            <w:vAlign w:val="center"/>
          </w:tcPr>
          <w:p w14:paraId="52B2178A"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0.00</w:t>
            </w:r>
          </w:p>
        </w:tc>
        <w:tc>
          <w:tcPr>
            <w:tcW w:w="582" w:type="dxa"/>
            <w:vAlign w:val="center"/>
          </w:tcPr>
          <w:p w14:paraId="153DF4A8"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0.01</w:t>
            </w:r>
          </w:p>
        </w:tc>
        <w:tc>
          <w:tcPr>
            <w:tcW w:w="582" w:type="dxa"/>
            <w:vAlign w:val="center"/>
          </w:tcPr>
          <w:p w14:paraId="04DF9D9D"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0.03</w:t>
            </w:r>
          </w:p>
        </w:tc>
        <w:tc>
          <w:tcPr>
            <w:tcW w:w="582" w:type="dxa"/>
            <w:vAlign w:val="center"/>
          </w:tcPr>
          <w:p w14:paraId="11AE3594"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0.07</w:t>
            </w:r>
          </w:p>
        </w:tc>
        <w:tc>
          <w:tcPr>
            <w:tcW w:w="582" w:type="dxa"/>
            <w:vAlign w:val="center"/>
          </w:tcPr>
          <w:p w14:paraId="634A2251"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0.14</w:t>
            </w:r>
          </w:p>
        </w:tc>
        <w:tc>
          <w:tcPr>
            <w:tcW w:w="582" w:type="dxa"/>
            <w:vAlign w:val="center"/>
          </w:tcPr>
          <w:p w14:paraId="2E135611"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0.20</w:t>
            </w:r>
          </w:p>
        </w:tc>
        <w:tc>
          <w:tcPr>
            <w:tcW w:w="582" w:type="dxa"/>
            <w:vAlign w:val="center"/>
          </w:tcPr>
          <w:p w14:paraId="36D99F72"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0.21</w:t>
            </w:r>
          </w:p>
        </w:tc>
        <w:tc>
          <w:tcPr>
            <w:tcW w:w="582" w:type="dxa"/>
            <w:gridSpan w:val="2"/>
            <w:shd w:val="clear" w:color="auto" w:fill="D2DDE1" w:themeFill="background2"/>
            <w:vAlign w:val="center"/>
          </w:tcPr>
          <w:p w14:paraId="55C6A703"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0.19</w:t>
            </w:r>
          </w:p>
        </w:tc>
        <w:tc>
          <w:tcPr>
            <w:tcW w:w="582" w:type="dxa"/>
            <w:shd w:val="clear" w:color="auto" w:fill="D2DDE1" w:themeFill="background2"/>
            <w:vAlign w:val="center"/>
          </w:tcPr>
          <w:p w14:paraId="41020CAF"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0.15</w:t>
            </w:r>
          </w:p>
        </w:tc>
        <w:tc>
          <w:tcPr>
            <w:tcW w:w="582" w:type="dxa"/>
            <w:shd w:val="clear" w:color="auto" w:fill="D2DDE1" w:themeFill="background2"/>
            <w:vAlign w:val="center"/>
          </w:tcPr>
          <w:p w14:paraId="06AD7350"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0.12</w:t>
            </w:r>
          </w:p>
        </w:tc>
        <w:tc>
          <w:tcPr>
            <w:tcW w:w="582" w:type="dxa"/>
            <w:shd w:val="clear" w:color="auto" w:fill="D2DDE1" w:themeFill="background2"/>
            <w:vAlign w:val="center"/>
          </w:tcPr>
          <w:p w14:paraId="472D8074"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0.08</w:t>
            </w:r>
          </w:p>
        </w:tc>
        <w:tc>
          <w:tcPr>
            <w:tcW w:w="582" w:type="dxa"/>
            <w:shd w:val="clear" w:color="auto" w:fill="D2DDE1" w:themeFill="background2"/>
            <w:vAlign w:val="center"/>
          </w:tcPr>
          <w:p w14:paraId="37A5CB6A"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0.05</w:t>
            </w:r>
          </w:p>
        </w:tc>
        <w:tc>
          <w:tcPr>
            <w:tcW w:w="582" w:type="dxa"/>
            <w:shd w:val="clear" w:color="auto" w:fill="D2DDE1" w:themeFill="background2"/>
            <w:vAlign w:val="center"/>
          </w:tcPr>
          <w:p w14:paraId="6E798336" w14:textId="77777777" w:rsidR="00F51113" w:rsidRPr="00841C21" w:rsidRDefault="00F51113" w:rsidP="00730A86">
            <w:pPr>
              <w:pStyle w:val="TableText"/>
              <w:spacing w:before="20" w:after="20"/>
              <w:jc w:val="center"/>
              <w:rPr>
                <w:rFonts w:cs="Calibri"/>
                <w:szCs w:val="18"/>
                <w:lang w:val="en-NZ"/>
              </w:rPr>
            </w:pPr>
            <w:r w:rsidRPr="00841C21">
              <w:rPr>
                <w:szCs w:val="18"/>
                <w:lang w:val="en-NZ"/>
              </w:rPr>
              <w:t>0.02</w:t>
            </w:r>
          </w:p>
        </w:tc>
      </w:tr>
      <w:tr w:rsidR="00F51113" w:rsidRPr="00841C21" w14:paraId="321196F2" w14:textId="77777777">
        <w:tc>
          <w:tcPr>
            <w:tcW w:w="598" w:type="dxa"/>
            <w:vAlign w:val="center"/>
          </w:tcPr>
          <w:p w14:paraId="428F8959" w14:textId="77777777" w:rsidR="00F51113" w:rsidRPr="00841C21" w:rsidRDefault="00F51113" w:rsidP="00730A86">
            <w:pPr>
              <w:pStyle w:val="TableText"/>
              <w:spacing w:before="20" w:after="20"/>
              <w:rPr>
                <w:rFonts w:cs="Calibri"/>
                <w:szCs w:val="18"/>
                <w:lang w:val="en-NZ"/>
              </w:rPr>
            </w:pPr>
            <w:r w:rsidRPr="00841C21">
              <w:rPr>
                <w:rFonts w:cs="Calibri"/>
                <w:szCs w:val="18"/>
                <w:lang w:val="en-NZ"/>
              </w:rPr>
              <w:t>PFCs</w:t>
            </w:r>
          </w:p>
        </w:tc>
        <w:tc>
          <w:tcPr>
            <w:tcW w:w="923" w:type="dxa"/>
            <w:vAlign w:val="center"/>
          </w:tcPr>
          <w:p w14:paraId="1794F181"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vAlign w:val="center"/>
          </w:tcPr>
          <w:p w14:paraId="480190FE"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vAlign w:val="center"/>
          </w:tcPr>
          <w:p w14:paraId="7F2443C6"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vAlign w:val="center"/>
          </w:tcPr>
          <w:p w14:paraId="2D490B87"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vAlign w:val="center"/>
          </w:tcPr>
          <w:p w14:paraId="664BF29D"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vAlign w:val="center"/>
          </w:tcPr>
          <w:p w14:paraId="0AA75033"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vAlign w:val="center"/>
          </w:tcPr>
          <w:p w14:paraId="4FBC5BDD"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gridSpan w:val="2"/>
            <w:shd w:val="clear" w:color="auto" w:fill="D2DDE1" w:themeFill="background2"/>
            <w:vAlign w:val="center"/>
          </w:tcPr>
          <w:p w14:paraId="081D14FD"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shd w:val="clear" w:color="auto" w:fill="D2DDE1" w:themeFill="background2"/>
            <w:vAlign w:val="center"/>
          </w:tcPr>
          <w:p w14:paraId="5EBAF05F"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shd w:val="clear" w:color="auto" w:fill="D2DDE1" w:themeFill="background2"/>
            <w:vAlign w:val="center"/>
          </w:tcPr>
          <w:p w14:paraId="44A44AC6"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shd w:val="clear" w:color="auto" w:fill="D2DDE1" w:themeFill="background2"/>
            <w:vAlign w:val="center"/>
          </w:tcPr>
          <w:p w14:paraId="6DD554BC"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shd w:val="clear" w:color="auto" w:fill="D2DDE1" w:themeFill="background2"/>
            <w:vAlign w:val="center"/>
          </w:tcPr>
          <w:p w14:paraId="2C20A317"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shd w:val="clear" w:color="auto" w:fill="D2DDE1" w:themeFill="background2"/>
            <w:vAlign w:val="center"/>
          </w:tcPr>
          <w:p w14:paraId="7B1D6751"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r>
      <w:tr w:rsidR="00F51113" w:rsidRPr="00841C21" w14:paraId="167F7CE6" w14:textId="77777777">
        <w:tc>
          <w:tcPr>
            <w:tcW w:w="598" w:type="dxa"/>
            <w:vAlign w:val="center"/>
          </w:tcPr>
          <w:p w14:paraId="67D899F4" w14:textId="77777777" w:rsidR="00F51113" w:rsidRPr="00841C21" w:rsidRDefault="00F51113" w:rsidP="00730A86">
            <w:pPr>
              <w:pStyle w:val="TableText"/>
              <w:spacing w:before="20" w:after="20"/>
              <w:rPr>
                <w:rFonts w:cs="Calibri"/>
                <w:szCs w:val="18"/>
                <w:lang w:val="en-NZ"/>
              </w:rPr>
            </w:pPr>
            <w:r w:rsidRPr="00841C21">
              <w:rPr>
                <w:rFonts w:cs="Calibri"/>
                <w:szCs w:val="18"/>
                <w:lang w:val="en-NZ"/>
              </w:rPr>
              <w:t>SF</w:t>
            </w:r>
            <w:r w:rsidRPr="00841C21">
              <w:rPr>
                <w:rFonts w:cs="Calibri"/>
                <w:szCs w:val="18"/>
                <w:vertAlign w:val="subscript"/>
                <w:lang w:val="en-NZ"/>
              </w:rPr>
              <w:t>6</w:t>
            </w:r>
          </w:p>
        </w:tc>
        <w:tc>
          <w:tcPr>
            <w:tcW w:w="923" w:type="dxa"/>
            <w:vAlign w:val="center"/>
          </w:tcPr>
          <w:p w14:paraId="7B970FE3"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vAlign w:val="center"/>
          </w:tcPr>
          <w:p w14:paraId="6D496708"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vAlign w:val="center"/>
          </w:tcPr>
          <w:p w14:paraId="34028994"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vAlign w:val="center"/>
          </w:tcPr>
          <w:p w14:paraId="6064CD5A"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vAlign w:val="center"/>
          </w:tcPr>
          <w:p w14:paraId="1626E6B1"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vAlign w:val="center"/>
          </w:tcPr>
          <w:p w14:paraId="6D6CC47A"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vAlign w:val="center"/>
          </w:tcPr>
          <w:p w14:paraId="00BA74A9"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gridSpan w:val="2"/>
            <w:shd w:val="clear" w:color="auto" w:fill="D2DDE1" w:themeFill="background2"/>
            <w:vAlign w:val="center"/>
          </w:tcPr>
          <w:p w14:paraId="0C1A2016"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shd w:val="clear" w:color="auto" w:fill="D2DDE1" w:themeFill="background2"/>
            <w:vAlign w:val="center"/>
          </w:tcPr>
          <w:p w14:paraId="614D914E"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shd w:val="clear" w:color="auto" w:fill="D2DDE1" w:themeFill="background2"/>
            <w:vAlign w:val="center"/>
          </w:tcPr>
          <w:p w14:paraId="77CC5435"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shd w:val="clear" w:color="auto" w:fill="D2DDE1" w:themeFill="background2"/>
            <w:vAlign w:val="center"/>
          </w:tcPr>
          <w:p w14:paraId="74C768F1" w14:textId="77777777" w:rsidR="00F51113" w:rsidRPr="00841C21" w:rsidRDefault="00F51113" w:rsidP="00730A86">
            <w:pPr>
              <w:pStyle w:val="TableText"/>
              <w:spacing w:before="20" w:after="20"/>
              <w:jc w:val="center"/>
              <w:rPr>
                <w:rFonts w:cs="Calibri"/>
                <w:szCs w:val="18"/>
                <w:lang w:val="en-NZ"/>
              </w:rPr>
            </w:pPr>
            <w:r w:rsidRPr="00841C21">
              <w:rPr>
                <w:rStyle w:val="CommentReference"/>
                <w:sz w:val="18"/>
                <w:szCs w:val="18"/>
                <w:lang w:val="en-NZ"/>
              </w:rPr>
              <w:t>NO</w:t>
            </w:r>
          </w:p>
        </w:tc>
        <w:tc>
          <w:tcPr>
            <w:tcW w:w="582" w:type="dxa"/>
            <w:shd w:val="clear" w:color="auto" w:fill="D2DDE1" w:themeFill="background2"/>
            <w:vAlign w:val="center"/>
          </w:tcPr>
          <w:p w14:paraId="2111D0C6"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c>
          <w:tcPr>
            <w:tcW w:w="582" w:type="dxa"/>
            <w:shd w:val="clear" w:color="auto" w:fill="D2DDE1" w:themeFill="background2"/>
            <w:vAlign w:val="center"/>
          </w:tcPr>
          <w:p w14:paraId="43831312" w14:textId="77777777" w:rsidR="00F51113" w:rsidRPr="00841C21" w:rsidRDefault="00F51113" w:rsidP="00730A86">
            <w:pPr>
              <w:pStyle w:val="TableText"/>
              <w:spacing w:before="20" w:after="20"/>
              <w:jc w:val="center"/>
              <w:rPr>
                <w:rFonts w:cs="Calibri"/>
                <w:szCs w:val="18"/>
                <w:lang w:val="en-NZ"/>
              </w:rPr>
            </w:pPr>
            <w:r w:rsidRPr="00841C21">
              <w:rPr>
                <w:rFonts w:cs="Calibri"/>
                <w:szCs w:val="18"/>
                <w:lang w:val="en-NZ"/>
              </w:rPr>
              <w:t>NO</w:t>
            </w:r>
          </w:p>
        </w:tc>
      </w:tr>
      <w:tr w:rsidR="00F51113" w:rsidRPr="00841C21" w14:paraId="21001B6C" w14:textId="77777777">
        <w:tc>
          <w:tcPr>
            <w:tcW w:w="598" w:type="dxa"/>
            <w:vAlign w:val="center"/>
          </w:tcPr>
          <w:p w14:paraId="33E7317D" w14:textId="77777777" w:rsidR="00F51113" w:rsidRPr="00841C21" w:rsidRDefault="00F51113" w:rsidP="00730A86">
            <w:pPr>
              <w:pStyle w:val="TableText"/>
              <w:spacing w:before="20" w:after="20"/>
              <w:rPr>
                <w:rFonts w:asciiTheme="minorHAnsi" w:hAnsiTheme="minorHAnsi" w:cstheme="minorHAnsi"/>
                <w:b/>
                <w:bCs/>
                <w:szCs w:val="18"/>
                <w:lang w:val="en-NZ"/>
              </w:rPr>
            </w:pPr>
            <w:r w:rsidRPr="00841C21">
              <w:rPr>
                <w:rFonts w:asciiTheme="minorHAnsi" w:hAnsiTheme="minorHAnsi" w:cstheme="minorHAnsi"/>
                <w:b/>
                <w:bCs/>
                <w:szCs w:val="18"/>
                <w:lang w:val="en-NZ"/>
              </w:rPr>
              <w:t>Total</w:t>
            </w:r>
          </w:p>
        </w:tc>
        <w:tc>
          <w:tcPr>
            <w:tcW w:w="923" w:type="dxa"/>
            <w:vAlign w:val="center"/>
          </w:tcPr>
          <w:p w14:paraId="47624926" w14:textId="77777777" w:rsidR="00F51113" w:rsidRPr="00841C21" w:rsidRDefault="00F51113" w:rsidP="00730A86">
            <w:pPr>
              <w:pStyle w:val="TableText"/>
              <w:spacing w:before="20" w:after="20"/>
              <w:jc w:val="center"/>
              <w:rPr>
                <w:rFonts w:asciiTheme="minorHAnsi" w:hAnsiTheme="minorHAnsi" w:cstheme="minorHAnsi"/>
                <w:b/>
                <w:bCs/>
                <w:szCs w:val="18"/>
                <w:lang w:val="en-NZ"/>
              </w:rPr>
            </w:pPr>
            <w:r w:rsidRPr="00841C21">
              <w:rPr>
                <w:b/>
                <w:bCs/>
                <w:szCs w:val="18"/>
                <w:lang w:val="en-NZ"/>
              </w:rPr>
              <w:t>3.37</w:t>
            </w:r>
          </w:p>
        </w:tc>
        <w:tc>
          <w:tcPr>
            <w:tcW w:w="582" w:type="dxa"/>
            <w:vAlign w:val="center"/>
          </w:tcPr>
          <w:p w14:paraId="209D0E40" w14:textId="77777777" w:rsidR="00F51113" w:rsidRPr="00841C21" w:rsidRDefault="00F51113" w:rsidP="00730A86">
            <w:pPr>
              <w:pStyle w:val="TableText"/>
              <w:spacing w:before="20" w:after="20"/>
              <w:jc w:val="center"/>
              <w:rPr>
                <w:rFonts w:asciiTheme="minorHAnsi" w:hAnsiTheme="minorHAnsi" w:cstheme="minorHAnsi"/>
                <w:b/>
                <w:bCs/>
                <w:szCs w:val="18"/>
                <w:lang w:val="en-NZ"/>
              </w:rPr>
            </w:pPr>
            <w:r w:rsidRPr="00841C21">
              <w:rPr>
                <w:b/>
                <w:bCs/>
                <w:szCs w:val="18"/>
                <w:lang w:val="en-NZ"/>
              </w:rPr>
              <w:t>3.33</w:t>
            </w:r>
          </w:p>
        </w:tc>
        <w:tc>
          <w:tcPr>
            <w:tcW w:w="582" w:type="dxa"/>
            <w:vAlign w:val="center"/>
          </w:tcPr>
          <w:p w14:paraId="44385FC0" w14:textId="77777777" w:rsidR="00F51113" w:rsidRPr="00841C21" w:rsidRDefault="00F51113" w:rsidP="00730A86">
            <w:pPr>
              <w:pStyle w:val="TableText"/>
              <w:spacing w:before="20" w:after="20"/>
              <w:jc w:val="center"/>
              <w:rPr>
                <w:rFonts w:asciiTheme="minorHAnsi" w:hAnsiTheme="minorHAnsi" w:cstheme="minorHAnsi"/>
                <w:b/>
                <w:bCs/>
                <w:szCs w:val="18"/>
                <w:lang w:val="en-NZ"/>
              </w:rPr>
            </w:pPr>
            <w:r w:rsidRPr="00841C21">
              <w:rPr>
                <w:b/>
                <w:bCs/>
                <w:szCs w:val="18"/>
                <w:lang w:val="en-NZ"/>
              </w:rPr>
              <w:t>3.72</w:t>
            </w:r>
          </w:p>
        </w:tc>
        <w:tc>
          <w:tcPr>
            <w:tcW w:w="582" w:type="dxa"/>
            <w:vAlign w:val="center"/>
          </w:tcPr>
          <w:p w14:paraId="41BE32EC" w14:textId="77777777" w:rsidR="00F51113" w:rsidRPr="00841C21" w:rsidRDefault="00F51113" w:rsidP="00730A86">
            <w:pPr>
              <w:pStyle w:val="TableText"/>
              <w:spacing w:before="20" w:after="20"/>
              <w:jc w:val="center"/>
              <w:rPr>
                <w:rFonts w:asciiTheme="minorHAnsi" w:hAnsiTheme="minorHAnsi" w:cstheme="minorHAnsi"/>
                <w:b/>
                <w:bCs/>
                <w:szCs w:val="18"/>
                <w:lang w:val="en-NZ"/>
              </w:rPr>
            </w:pPr>
            <w:r w:rsidRPr="00841C21">
              <w:rPr>
                <w:b/>
                <w:bCs/>
                <w:szCs w:val="18"/>
                <w:lang w:val="en-NZ"/>
              </w:rPr>
              <w:t>4.71</w:t>
            </w:r>
          </w:p>
        </w:tc>
        <w:tc>
          <w:tcPr>
            <w:tcW w:w="582" w:type="dxa"/>
            <w:vAlign w:val="center"/>
          </w:tcPr>
          <w:p w14:paraId="38B47056" w14:textId="77777777" w:rsidR="00F51113" w:rsidRPr="00841C21" w:rsidRDefault="00F51113" w:rsidP="00730A86">
            <w:pPr>
              <w:pStyle w:val="TableText"/>
              <w:spacing w:before="20" w:after="20"/>
              <w:jc w:val="center"/>
              <w:rPr>
                <w:rFonts w:asciiTheme="minorHAnsi" w:hAnsiTheme="minorHAnsi" w:cstheme="minorHAnsi"/>
                <w:b/>
                <w:bCs/>
                <w:szCs w:val="18"/>
                <w:lang w:val="en-NZ"/>
              </w:rPr>
            </w:pPr>
            <w:r w:rsidRPr="00841C21">
              <w:rPr>
                <w:b/>
                <w:bCs/>
                <w:szCs w:val="18"/>
                <w:lang w:val="en-NZ"/>
              </w:rPr>
              <w:t>4.72</w:t>
            </w:r>
          </w:p>
        </w:tc>
        <w:tc>
          <w:tcPr>
            <w:tcW w:w="582" w:type="dxa"/>
            <w:vAlign w:val="center"/>
          </w:tcPr>
          <w:p w14:paraId="7D465C98" w14:textId="77777777" w:rsidR="00F51113" w:rsidRPr="00841C21" w:rsidRDefault="00F51113" w:rsidP="00730A86">
            <w:pPr>
              <w:pStyle w:val="TableText"/>
              <w:spacing w:before="20" w:after="20"/>
              <w:jc w:val="center"/>
              <w:rPr>
                <w:rFonts w:asciiTheme="minorHAnsi" w:hAnsiTheme="minorHAnsi" w:cstheme="minorHAnsi"/>
                <w:b/>
                <w:bCs/>
                <w:szCs w:val="18"/>
                <w:lang w:val="en-NZ"/>
              </w:rPr>
            </w:pPr>
            <w:r w:rsidRPr="00841C21">
              <w:rPr>
                <w:b/>
                <w:bCs/>
                <w:szCs w:val="18"/>
                <w:lang w:val="en-NZ"/>
              </w:rPr>
              <w:t>3.58</w:t>
            </w:r>
          </w:p>
        </w:tc>
        <w:tc>
          <w:tcPr>
            <w:tcW w:w="582" w:type="dxa"/>
            <w:vAlign w:val="center"/>
          </w:tcPr>
          <w:p w14:paraId="0F5B2CC1" w14:textId="77777777" w:rsidR="00F51113" w:rsidRPr="00841C21" w:rsidRDefault="00F51113" w:rsidP="00730A86">
            <w:pPr>
              <w:pStyle w:val="TableText"/>
              <w:spacing w:before="20" w:after="20"/>
              <w:jc w:val="center"/>
              <w:rPr>
                <w:rFonts w:asciiTheme="minorHAnsi" w:hAnsiTheme="minorHAnsi" w:cstheme="minorHAnsi"/>
                <w:b/>
                <w:bCs/>
                <w:szCs w:val="18"/>
                <w:lang w:val="en-NZ"/>
              </w:rPr>
            </w:pPr>
            <w:r w:rsidRPr="00841C21">
              <w:rPr>
                <w:b/>
                <w:bCs/>
                <w:szCs w:val="18"/>
                <w:lang w:val="en-NZ"/>
              </w:rPr>
              <w:t>4.33</w:t>
            </w:r>
          </w:p>
        </w:tc>
        <w:tc>
          <w:tcPr>
            <w:tcW w:w="582" w:type="dxa"/>
            <w:gridSpan w:val="2"/>
            <w:shd w:val="clear" w:color="auto" w:fill="D2DDE1" w:themeFill="background2"/>
            <w:vAlign w:val="center"/>
          </w:tcPr>
          <w:p w14:paraId="37D0B391" w14:textId="77777777" w:rsidR="00F51113" w:rsidRPr="00841C21" w:rsidRDefault="00F51113" w:rsidP="00730A86">
            <w:pPr>
              <w:pStyle w:val="TableText"/>
              <w:spacing w:before="20" w:after="20"/>
              <w:jc w:val="center"/>
              <w:rPr>
                <w:rFonts w:asciiTheme="minorHAnsi" w:hAnsiTheme="minorHAnsi" w:cstheme="minorHAnsi"/>
                <w:b/>
                <w:bCs/>
                <w:szCs w:val="18"/>
                <w:lang w:val="en-NZ"/>
              </w:rPr>
            </w:pPr>
            <w:r w:rsidRPr="00841C21">
              <w:rPr>
                <w:b/>
                <w:bCs/>
                <w:szCs w:val="18"/>
                <w:lang w:val="en-NZ"/>
              </w:rPr>
              <w:t>4.74</w:t>
            </w:r>
          </w:p>
        </w:tc>
        <w:tc>
          <w:tcPr>
            <w:tcW w:w="582" w:type="dxa"/>
            <w:shd w:val="clear" w:color="auto" w:fill="D2DDE1" w:themeFill="background2"/>
            <w:vAlign w:val="center"/>
          </w:tcPr>
          <w:p w14:paraId="5C859824" w14:textId="77777777" w:rsidR="00F51113" w:rsidRPr="00841C21" w:rsidRDefault="00F51113" w:rsidP="00730A86">
            <w:pPr>
              <w:pStyle w:val="TableText"/>
              <w:spacing w:before="20" w:after="20"/>
              <w:jc w:val="center"/>
              <w:rPr>
                <w:rFonts w:asciiTheme="minorHAnsi" w:hAnsiTheme="minorHAnsi" w:cstheme="minorHAnsi"/>
                <w:b/>
                <w:bCs/>
                <w:szCs w:val="18"/>
                <w:lang w:val="en-NZ"/>
              </w:rPr>
            </w:pPr>
            <w:r w:rsidRPr="00841C21">
              <w:rPr>
                <w:b/>
                <w:bCs/>
                <w:szCs w:val="18"/>
                <w:lang w:val="en-NZ"/>
              </w:rPr>
              <w:t>4.78</w:t>
            </w:r>
          </w:p>
        </w:tc>
        <w:tc>
          <w:tcPr>
            <w:tcW w:w="582" w:type="dxa"/>
            <w:shd w:val="clear" w:color="auto" w:fill="D2DDE1" w:themeFill="background2"/>
            <w:vAlign w:val="center"/>
          </w:tcPr>
          <w:p w14:paraId="0C2A8E73" w14:textId="77777777" w:rsidR="00F51113" w:rsidRPr="00841C21" w:rsidRDefault="00F51113" w:rsidP="00730A86">
            <w:pPr>
              <w:pStyle w:val="TableText"/>
              <w:spacing w:before="20" w:after="20"/>
              <w:jc w:val="center"/>
              <w:rPr>
                <w:rFonts w:asciiTheme="minorHAnsi" w:hAnsiTheme="minorHAnsi" w:cstheme="minorHAnsi"/>
                <w:b/>
                <w:bCs/>
                <w:szCs w:val="18"/>
                <w:lang w:val="en-NZ"/>
              </w:rPr>
            </w:pPr>
            <w:r w:rsidRPr="00841C21">
              <w:rPr>
                <w:b/>
                <w:bCs/>
                <w:szCs w:val="18"/>
                <w:lang w:val="en-NZ"/>
              </w:rPr>
              <w:t>3.88</w:t>
            </w:r>
          </w:p>
        </w:tc>
        <w:tc>
          <w:tcPr>
            <w:tcW w:w="582" w:type="dxa"/>
            <w:shd w:val="clear" w:color="auto" w:fill="D2DDE1" w:themeFill="background2"/>
            <w:vAlign w:val="center"/>
          </w:tcPr>
          <w:p w14:paraId="57A77E6F" w14:textId="77777777" w:rsidR="00F51113" w:rsidRPr="00841C21" w:rsidRDefault="00F51113" w:rsidP="00730A86">
            <w:pPr>
              <w:pStyle w:val="TableText"/>
              <w:spacing w:before="20" w:after="20"/>
              <w:jc w:val="center"/>
              <w:rPr>
                <w:rFonts w:asciiTheme="minorHAnsi" w:hAnsiTheme="minorHAnsi" w:cstheme="minorHAnsi"/>
                <w:b/>
                <w:bCs/>
                <w:szCs w:val="18"/>
                <w:lang w:val="en-NZ"/>
              </w:rPr>
            </w:pPr>
            <w:r w:rsidRPr="00841C21">
              <w:rPr>
                <w:b/>
                <w:bCs/>
                <w:szCs w:val="18"/>
                <w:lang w:val="en-NZ"/>
              </w:rPr>
              <w:t>3.96</w:t>
            </w:r>
          </w:p>
        </w:tc>
        <w:tc>
          <w:tcPr>
            <w:tcW w:w="582" w:type="dxa"/>
            <w:shd w:val="clear" w:color="auto" w:fill="D2DDE1" w:themeFill="background2"/>
            <w:vAlign w:val="center"/>
          </w:tcPr>
          <w:p w14:paraId="4FAA4C0E" w14:textId="77777777" w:rsidR="00F51113" w:rsidRPr="00841C21" w:rsidRDefault="00F51113" w:rsidP="00730A86">
            <w:pPr>
              <w:pStyle w:val="TableText"/>
              <w:spacing w:before="20" w:after="20"/>
              <w:jc w:val="center"/>
              <w:rPr>
                <w:rFonts w:asciiTheme="minorHAnsi" w:hAnsiTheme="minorHAnsi" w:cstheme="minorHAnsi"/>
                <w:b/>
                <w:bCs/>
                <w:szCs w:val="18"/>
                <w:lang w:val="en-NZ"/>
              </w:rPr>
            </w:pPr>
            <w:r w:rsidRPr="00841C21">
              <w:rPr>
                <w:b/>
                <w:bCs/>
                <w:szCs w:val="18"/>
                <w:lang w:val="en-NZ"/>
              </w:rPr>
              <w:t>4.03</w:t>
            </w:r>
          </w:p>
        </w:tc>
        <w:tc>
          <w:tcPr>
            <w:tcW w:w="582" w:type="dxa"/>
            <w:shd w:val="clear" w:color="auto" w:fill="D2DDE1" w:themeFill="background2"/>
            <w:vAlign w:val="center"/>
          </w:tcPr>
          <w:p w14:paraId="533485DC" w14:textId="77777777" w:rsidR="00F51113" w:rsidRPr="00841C21" w:rsidRDefault="00F51113" w:rsidP="00730A86">
            <w:pPr>
              <w:pStyle w:val="TableText"/>
              <w:spacing w:before="20" w:after="20"/>
              <w:jc w:val="center"/>
              <w:rPr>
                <w:rFonts w:asciiTheme="minorHAnsi" w:hAnsiTheme="minorHAnsi" w:cstheme="minorHAnsi"/>
                <w:b/>
                <w:bCs/>
                <w:szCs w:val="18"/>
                <w:lang w:val="en-NZ"/>
              </w:rPr>
            </w:pPr>
            <w:r w:rsidRPr="00841C21">
              <w:rPr>
                <w:b/>
                <w:bCs/>
                <w:szCs w:val="18"/>
                <w:lang w:val="en-NZ"/>
              </w:rPr>
              <w:t>4.10</w:t>
            </w:r>
          </w:p>
        </w:tc>
      </w:tr>
    </w:tbl>
    <w:p w14:paraId="1C28B130" w14:textId="77777777" w:rsidR="00F51113" w:rsidRPr="004C2DCD" w:rsidRDefault="00F51113" w:rsidP="00F51113">
      <w:pPr>
        <w:pStyle w:val="Note"/>
        <w:spacing w:after="0"/>
      </w:pPr>
      <w:r w:rsidRPr="004C2DCD">
        <w:rPr>
          <w:b/>
          <w:bCs/>
        </w:rPr>
        <w:t>Note:</w:t>
      </w:r>
      <w:r w:rsidRPr="004C2DCD">
        <w:t xml:space="preserve"> CH</w:t>
      </w:r>
      <w:r w:rsidRPr="004C2DCD">
        <w:rPr>
          <w:vertAlign w:val="subscript"/>
        </w:rPr>
        <w:t>4</w:t>
      </w:r>
      <w:r w:rsidRPr="004C2DCD">
        <w:t xml:space="preserve"> = methane; CO</w:t>
      </w:r>
      <w:r w:rsidRPr="004C2DCD">
        <w:rPr>
          <w:vertAlign w:val="subscript"/>
        </w:rPr>
        <w:t>2</w:t>
      </w:r>
      <w:r w:rsidRPr="004C2DCD">
        <w:t xml:space="preserve"> = carbon dioxide; HFCs</w:t>
      </w:r>
      <w:r w:rsidRPr="004C2DCD">
        <w:rPr>
          <w:rFonts w:eastAsia="Calibri" w:cs="Calibri"/>
          <w:sz w:val="20"/>
          <w:szCs w:val="20"/>
        </w:rPr>
        <w:t xml:space="preserve"> </w:t>
      </w:r>
      <w:r w:rsidRPr="004C2DCD">
        <w:t>hydrofluorocarbons</w:t>
      </w:r>
      <w:r w:rsidRPr="004C2DCD">
        <w:rPr>
          <w:rFonts w:eastAsia="Calibri" w:cs="Calibri"/>
          <w:sz w:val="20"/>
          <w:szCs w:val="20"/>
        </w:rPr>
        <w:t xml:space="preserve">; </w:t>
      </w:r>
      <w:r w:rsidRPr="004C2DCD">
        <w:t>NO = not</w:t>
      </w:r>
      <w:r w:rsidRPr="004C2DCD">
        <w:rPr>
          <w:rFonts w:eastAsia="Calibri" w:cs="Calibri"/>
          <w:sz w:val="20"/>
          <w:szCs w:val="20"/>
        </w:rPr>
        <w:t xml:space="preserve"> </w:t>
      </w:r>
      <w:r w:rsidRPr="004C2DCD">
        <w:t>occurring</w:t>
      </w:r>
      <w:r w:rsidRPr="004C2DCD">
        <w:rPr>
          <w:rFonts w:eastAsia="Calibri" w:cs="Calibri"/>
          <w:sz w:val="20"/>
          <w:szCs w:val="20"/>
        </w:rPr>
        <w:t>;</w:t>
      </w:r>
      <w:r w:rsidRPr="004C2DCD">
        <w:t xml:space="preserve"> N</w:t>
      </w:r>
      <w:r w:rsidRPr="004C2DCD">
        <w:rPr>
          <w:vertAlign w:val="subscript"/>
        </w:rPr>
        <w:t>2</w:t>
      </w:r>
      <w:r w:rsidRPr="004C2DCD">
        <w:t>O = nitrous oxide;</w:t>
      </w:r>
      <w:r w:rsidRPr="004C2DCD">
        <w:rPr>
          <w:rFonts w:eastAsia="Times New Roman" w:cs="Calibri"/>
          <w:szCs w:val="18"/>
        </w:rPr>
        <w:t xml:space="preserve"> PFCs = </w:t>
      </w:r>
      <w:r w:rsidRPr="004C2DCD">
        <w:t>perfluorocarbons; SF</w:t>
      </w:r>
      <w:r w:rsidRPr="004C2DCD">
        <w:rPr>
          <w:vertAlign w:val="subscript"/>
        </w:rPr>
        <w:t>6</w:t>
      </w:r>
      <w:r w:rsidRPr="004C2DCD">
        <w:t xml:space="preserve"> = sulphur hexafluoride.</w:t>
      </w:r>
    </w:p>
    <w:p w14:paraId="602245B1" w14:textId="504D7003" w:rsidR="00F51113" w:rsidRPr="004C2DCD" w:rsidRDefault="00B67BC9" w:rsidP="00784F5F">
      <w:pPr>
        <w:pStyle w:val="Heading3"/>
        <w:numPr>
          <w:ilvl w:val="0"/>
          <w:numId w:val="112"/>
        </w:numPr>
      </w:pPr>
      <w:r>
        <w:t>Land Use, Land-Use Change and Forestry</w:t>
      </w:r>
      <w:r w:rsidR="00F51113" w:rsidRPr="004C2DCD">
        <w:t xml:space="preserve"> </w:t>
      </w:r>
    </w:p>
    <w:p w14:paraId="1DD88D8A" w14:textId="55A5F796" w:rsidR="00F51113" w:rsidRPr="004C2DCD" w:rsidRDefault="00F51113" w:rsidP="00F51113">
      <w:pPr>
        <w:pStyle w:val="BodyText"/>
        <w:keepLines/>
      </w:pPr>
      <w:r w:rsidRPr="004C2DCD">
        <w:t xml:space="preserve">The net emissions reported under New Zealand’s LULUCF sector are significantly influenced by New Zealand’s planted forest age-class profile and harvesting rates (see </w:t>
      </w:r>
      <w:hyperlink w:anchor="figure2512" w:history="1">
        <w:r w:rsidRPr="00815252">
          <w:rPr>
            <w:rStyle w:val="Hyperlink"/>
          </w:rPr>
          <w:t>figure 2.5.12</w:t>
        </w:r>
      </w:hyperlink>
      <w:r w:rsidRPr="004C2DCD">
        <w:t>). New Zealand has undergone three periods of significant afforestation and reforestation, most of which have been for the production of timber</w:t>
      </w:r>
      <w:r w:rsidR="00036FC3">
        <w:t>.</w:t>
      </w:r>
      <w:r w:rsidRPr="004C2DCD">
        <w:t xml:space="preserve"> </w:t>
      </w:r>
      <w:r w:rsidR="00036FC3">
        <w:t>T</w:t>
      </w:r>
      <w:r w:rsidRPr="004C2DCD">
        <w:t xml:space="preserve">he subsequent growth, harvest and replanting cycles of these production forests have affected the net emissions profile and will continue to do so into the future. </w:t>
      </w:r>
    </w:p>
    <w:p w14:paraId="17BAB2BD" w14:textId="5B1817A6" w:rsidR="00F51113" w:rsidRPr="004C2DCD" w:rsidRDefault="00F51113" w:rsidP="00F51113">
      <w:pPr>
        <w:pStyle w:val="BodyText"/>
      </w:pPr>
      <w:r w:rsidRPr="004C2DCD">
        <w:t>New Zealand’s LULUCF sector is currently a net sink of GHG emissions. In 2005, the LULUCF sector contributed –24.3 Mt CO</w:t>
      </w:r>
      <w:r w:rsidRPr="004C2DCD">
        <w:rPr>
          <w:vertAlign w:val="subscript"/>
        </w:rPr>
        <w:t>2</w:t>
      </w:r>
      <w:r w:rsidRPr="004C2DCD">
        <w:t>e of net emissions, compared with –17 Mt CO</w:t>
      </w:r>
      <w:r w:rsidRPr="004C2DCD">
        <w:rPr>
          <w:vertAlign w:val="subscript"/>
        </w:rPr>
        <w:t>2</w:t>
      </w:r>
      <w:r w:rsidRPr="004C2DCD">
        <w:t>e projected in 2030 (</w:t>
      </w:r>
      <w:hyperlink w:anchor="table2510" w:history="1">
        <w:r w:rsidRPr="00036FC3">
          <w:rPr>
            <w:rStyle w:val="Hyperlink"/>
          </w:rPr>
          <w:t>table 2.5.10</w:t>
        </w:r>
      </w:hyperlink>
      <w:r w:rsidRPr="004C2DCD">
        <w:t>). The main reason for the increase in emissions from 2010 is an increase in forest harvesting of New Zealand’s sustainable production forests. See Inventory 2024 for a more detailed explanation of the change.</w:t>
      </w:r>
      <w:r w:rsidRPr="004C2DCD">
        <w:rPr>
          <w:vertAlign w:val="superscript"/>
        </w:rPr>
        <w:footnoteReference w:id="186"/>
      </w:r>
      <w:r w:rsidRPr="004C2DCD">
        <w:t xml:space="preserve"> </w:t>
      </w:r>
    </w:p>
    <w:p w14:paraId="7067BAB3" w14:textId="77777777" w:rsidR="00F51113" w:rsidRPr="004C2DCD" w:rsidRDefault="00F51113" w:rsidP="00F51113">
      <w:pPr>
        <w:pStyle w:val="BodyText"/>
      </w:pPr>
      <w:r w:rsidRPr="004C2DCD">
        <w:t>Net emissions in New Zealand’s LULUCF sector are projected to continue to increase</w:t>
      </w:r>
      <w:r w:rsidRPr="004C2DCD" w:rsidDel="00A131E4">
        <w:t xml:space="preserve"> </w:t>
      </w:r>
      <w:r w:rsidRPr="004C2DCD">
        <w:t>until the mid-2020s as plantation forests established in the late 1980s and early 1990s continue to be harvested for timber. However, the LULUCF sector is expected to see that trend reverse in the late 2020s as the growth from the replanted forests following harvest accelerates, harvest rates decline and the additional sequestration from recent and projected afforestation activities increases.</w:t>
      </w:r>
    </w:p>
    <w:p w14:paraId="56724E27" w14:textId="77777777" w:rsidR="00F51113" w:rsidRPr="004C2DCD" w:rsidRDefault="00F51113" w:rsidP="00201256">
      <w:pPr>
        <w:pStyle w:val="Figureheading"/>
      </w:pPr>
      <w:bookmarkStart w:id="563" w:name="figure2512"/>
      <w:bookmarkStart w:id="564" w:name="_Toc185347256"/>
      <w:r w:rsidRPr="004C2DCD">
        <w:t>Figure 2.5.12</w:t>
      </w:r>
      <w:bookmarkEnd w:id="563"/>
      <w:r w:rsidRPr="004C2DCD">
        <w:t>:</w:t>
      </w:r>
      <w:r w:rsidRPr="004C2DCD">
        <w:tab/>
        <w:t>Greenhouse gas emissions under the ‘with existing measures’ scenario in the LULUCF sector, 1990–2050</w:t>
      </w:r>
      <w:bookmarkEnd w:id="564"/>
    </w:p>
    <w:p w14:paraId="7A2D0202" w14:textId="7A7AFA0F" w:rsidR="00F51113" w:rsidRPr="004C2DCD" w:rsidRDefault="0024760F" w:rsidP="00642E32">
      <w:pPr>
        <w:pStyle w:val="BodyText"/>
        <w:spacing w:before="80" w:after="80"/>
        <w:jc w:val="center"/>
      </w:pPr>
      <w:r>
        <w:rPr>
          <w:noProof/>
        </w:rPr>
        <w:drawing>
          <wp:inline distT="0" distB="0" distL="0" distR="0" wp14:anchorId="2359B888" wp14:editId="2507763B">
            <wp:extent cx="5040000" cy="2862239"/>
            <wp:effectExtent l="0" t="0" r="8255" b="0"/>
            <wp:docPr id="751669250" name="Picture 38" descr="A line graph showing greenhouse gas emissions in million tonnes carbon dioxide equivalent under the ‘with existing measures’ scenario in the Land-Use, Land-use Change and Forestry (LULUCF) sector for the period 1990 to 2050. It shows LULUCF historical emissions (solid line) then projected emissions (dott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669250" name="Picture 38" descr="A line graph showing greenhouse gas emissions in million tonnes carbon dioxide equivalent under the ‘with existing measures’ scenario in the Land-Use, Land-use Change and Forestry (LULUCF) sector for the period 1990 to 2050. It shows LULUCF historical emissions (solid line) then projected emissions (dotted lin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40000" cy="2862239"/>
                    </a:xfrm>
                    <a:prstGeom prst="rect">
                      <a:avLst/>
                    </a:prstGeom>
                    <a:noFill/>
                  </pic:spPr>
                </pic:pic>
              </a:graphicData>
            </a:graphic>
          </wp:inline>
        </w:drawing>
      </w:r>
    </w:p>
    <w:p w14:paraId="2BB310BF" w14:textId="77777777" w:rsidR="00F51113" w:rsidRPr="004C2DCD" w:rsidRDefault="00F51113" w:rsidP="00F51113">
      <w:pPr>
        <w:pStyle w:val="Note"/>
      </w:pPr>
      <w:r w:rsidRPr="004C2DCD">
        <w:rPr>
          <w:b/>
          <w:bCs/>
        </w:rPr>
        <w:t>Note:</w:t>
      </w:r>
      <w:r w:rsidRPr="004C2DCD">
        <w:t xml:space="preserve"> LULUCF = Land Use, Land-Use Change and Forestry; Mt CO</w:t>
      </w:r>
      <w:r w:rsidRPr="004C2DCD">
        <w:rPr>
          <w:vertAlign w:val="subscript"/>
        </w:rPr>
        <w:t>2</w:t>
      </w:r>
      <w:r w:rsidRPr="004C2DCD">
        <w:t xml:space="preserve">e = million tonnes of carbon dioxide equivalent. </w:t>
      </w:r>
    </w:p>
    <w:p w14:paraId="0F963958" w14:textId="77777777" w:rsidR="00F51113" w:rsidRPr="004C2DCD" w:rsidRDefault="00F51113" w:rsidP="00F51113">
      <w:pPr>
        <w:pStyle w:val="Tableheading"/>
        <w:ind w:left="1276" w:hanging="1276"/>
      </w:pPr>
      <w:bookmarkStart w:id="565" w:name="table2510"/>
      <w:bookmarkStart w:id="566" w:name="_Toc183789686"/>
      <w:bookmarkStart w:id="567" w:name="_Toc185407475"/>
      <w:bookmarkStart w:id="568" w:name="_Toc185427738"/>
      <w:r w:rsidRPr="004C2DCD">
        <w:t>Table 2.5.10</w:t>
      </w:r>
      <w:bookmarkEnd w:id="565"/>
      <w:r w:rsidRPr="004C2DCD">
        <w:t xml:space="preserve">: </w:t>
      </w:r>
      <w:r w:rsidRPr="004C2DCD">
        <w:tab/>
        <w:t>Historical and projected LULUCF sector emissions and removals by gas under the ‘with existing measures’ scenario, 1990–2050 (Mt CO</w:t>
      </w:r>
      <w:r w:rsidRPr="004C2DCD">
        <w:rPr>
          <w:vertAlign w:val="subscript"/>
        </w:rPr>
        <w:t>2</w:t>
      </w:r>
      <w:r w:rsidRPr="004C2DCD">
        <w:t>e)</w:t>
      </w:r>
      <w:bookmarkEnd w:id="566"/>
      <w:bookmarkEnd w:id="567"/>
      <w:bookmarkEnd w:id="568"/>
      <w:r w:rsidRPr="004C2DCD">
        <w:t> </w:t>
      </w:r>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85" w:type="dxa"/>
          <w:right w:w="85" w:type="dxa"/>
        </w:tblCellMar>
        <w:tblLook w:val="04A0" w:firstRow="1" w:lastRow="0" w:firstColumn="1" w:lastColumn="0" w:noHBand="0" w:noVBand="1"/>
      </w:tblPr>
      <w:tblGrid>
        <w:gridCol w:w="608"/>
        <w:gridCol w:w="608"/>
        <w:gridCol w:w="608"/>
        <w:gridCol w:w="608"/>
        <w:gridCol w:w="608"/>
        <w:gridCol w:w="608"/>
        <w:gridCol w:w="608"/>
        <w:gridCol w:w="607"/>
        <w:gridCol w:w="607"/>
        <w:gridCol w:w="607"/>
        <w:gridCol w:w="607"/>
        <w:gridCol w:w="607"/>
        <w:gridCol w:w="607"/>
        <w:gridCol w:w="607"/>
      </w:tblGrid>
      <w:tr w:rsidR="00F51113" w:rsidRPr="00841C21" w14:paraId="088A12D3" w14:textId="77777777" w:rsidTr="00DC70A7">
        <w:tc>
          <w:tcPr>
            <w:tcW w:w="621" w:type="dxa"/>
            <w:vMerge w:val="restart"/>
            <w:shd w:val="clear" w:color="auto" w:fill="1B556B" w:themeFill="text2"/>
            <w:vAlign w:val="bottom"/>
            <w:hideMark/>
          </w:tcPr>
          <w:p w14:paraId="1122A32A" w14:textId="77777777" w:rsidR="00F51113" w:rsidRPr="00841C21" w:rsidRDefault="00F51113">
            <w:pPr>
              <w:pStyle w:val="TableTextbold"/>
              <w:keepNext/>
              <w:rPr>
                <w:color w:val="FFFFFF" w:themeColor="background1"/>
                <w:szCs w:val="18"/>
              </w:rPr>
            </w:pPr>
            <w:bookmarkStart w:id="569" w:name="_Toc183789687"/>
            <w:r w:rsidRPr="00841C21">
              <w:rPr>
                <w:color w:val="FFFFFF" w:themeColor="background1"/>
                <w:szCs w:val="18"/>
              </w:rPr>
              <w:t>Gas</w:t>
            </w:r>
            <w:bookmarkEnd w:id="569"/>
          </w:p>
        </w:tc>
        <w:tc>
          <w:tcPr>
            <w:tcW w:w="4347" w:type="dxa"/>
            <w:gridSpan w:val="7"/>
            <w:shd w:val="clear" w:color="auto" w:fill="1B556B" w:themeFill="text2"/>
            <w:vAlign w:val="center"/>
            <w:hideMark/>
          </w:tcPr>
          <w:p w14:paraId="78DA2C97" w14:textId="77777777" w:rsidR="00F51113" w:rsidRPr="00841C21" w:rsidRDefault="00F51113">
            <w:pPr>
              <w:pStyle w:val="TableTextbold"/>
              <w:keepNext/>
              <w:spacing w:after="0"/>
              <w:jc w:val="center"/>
              <w:rPr>
                <w:color w:val="FFFFFF" w:themeColor="background1"/>
                <w:szCs w:val="18"/>
              </w:rPr>
            </w:pPr>
            <w:bookmarkStart w:id="570" w:name="_Toc183789688"/>
            <w:r w:rsidRPr="00841C21">
              <w:rPr>
                <w:color w:val="FFFFFF" w:themeColor="background1"/>
                <w:szCs w:val="18"/>
              </w:rPr>
              <w:t>Historical</w:t>
            </w:r>
            <w:bookmarkEnd w:id="570"/>
          </w:p>
        </w:tc>
        <w:tc>
          <w:tcPr>
            <w:tcW w:w="3726" w:type="dxa"/>
            <w:gridSpan w:val="6"/>
            <w:shd w:val="clear" w:color="auto" w:fill="1B556B" w:themeFill="text2"/>
            <w:vAlign w:val="center"/>
            <w:hideMark/>
          </w:tcPr>
          <w:p w14:paraId="64ED8EBF" w14:textId="77777777" w:rsidR="00F51113" w:rsidRPr="00841C21" w:rsidRDefault="00F51113">
            <w:pPr>
              <w:pStyle w:val="TableTextbold"/>
              <w:keepNext/>
              <w:spacing w:after="0"/>
              <w:jc w:val="center"/>
              <w:rPr>
                <w:color w:val="FFFFFF" w:themeColor="background1"/>
                <w:szCs w:val="18"/>
              </w:rPr>
            </w:pPr>
            <w:bookmarkStart w:id="571" w:name="_Toc183789689"/>
            <w:r w:rsidRPr="00841C21">
              <w:rPr>
                <w:color w:val="FFFFFF" w:themeColor="background1"/>
                <w:szCs w:val="18"/>
              </w:rPr>
              <w:t>Projected</w:t>
            </w:r>
            <w:bookmarkEnd w:id="571"/>
          </w:p>
        </w:tc>
      </w:tr>
      <w:tr w:rsidR="00003FCA" w:rsidRPr="00841C21" w14:paraId="353DEACC" w14:textId="77777777" w:rsidTr="009571FF">
        <w:tc>
          <w:tcPr>
            <w:tcW w:w="621" w:type="dxa"/>
            <w:vMerge/>
            <w:vAlign w:val="bottom"/>
            <w:hideMark/>
          </w:tcPr>
          <w:p w14:paraId="3400EF89" w14:textId="77777777" w:rsidR="00F51113" w:rsidRPr="00841C21" w:rsidRDefault="00F51113">
            <w:pPr>
              <w:pStyle w:val="TableTextbold"/>
              <w:keepNext/>
              <w:rPr>
                <w:color w:val="FFFFFF" w:themeColor="background1"/>
                <w:szCs w:val="18"/>
              </w:rPr>
            </w:pPr>
          </w:p>
        </w:tc>
        <w:tc>
          <w:tcPr>
            <w:tcW w:w="621" w:type="dxa"/>
            <w:shd w:val="clear" w:color="auto" w:fill="1B556B" w:themeFill="text2"/>
            <w:vAlign w:val="center"/>
            <w:hideMark/>
          </w:tcPr>
          <w:p w14:paraId="22F22E2B" w14:textId="77777777" w:rsidR="00F51113" w:rsidRPr="00841C21" w:rsidRDefault="00F51113">
            <w:pPr>
              <w:pStyle w:val="TableTextbold"/>
              <w:keepNext/>
              <w:jc w:val="center"/>
              <w:rPr>
                <w:color w:val="FFFFFF" w:themeColor="background1"/>
                <w:szCs w:val="18"/>
              </w:rPr>
            </w:pPr>
            <w:bookmarkStart w:id="572" w:name="_Toc183789690"/>
            <w:r w:rsidRPr="00841C21">
              <w:rPr>
                <w:color w:val="FFFFFF" w:themeColor="background1"/>
                <w:szCs w:val="18"/>
              </w:rPr>
              <w:t>1990</w:t>
            </w:r>
            <w:bookmarkEnd w:id="572"/>
          </w:p>
        </w:tc>
        <w:tc>
          <w:tcPr>
            <w:tcW w:w="621" w:type="dxa"/>
            <w:shd w:val="clear" w:color="auto" w:fill="1B556B" w:themeFill="text2"/>
            <w:vAlign w:val="center"/>
            <w:hideMark/>
          </w:tcPr>
          <w:p w14:paraId="3FE1E177" w14:textId="77777777" w:rsidR="00F51113" w:rsidRPr="00841C21" w:rsidRDefault="00F51113">
            <w:pPr>
              <w:pStyle w:val="TableTextbold"/>
              <w:keepNext/>
              <w:jc w:val="center"/>
              <w:rPr>
                <w:color w:val="FFFFFF" w:themeColor="background1"/>
                <w:szCs w:val="18"/>
              </w:rPr>
            </w:pPr>
            <w:bookmarkStart w:id="573" w:name="_Toc183789691"/>
            <w:r w:rsidRPr="00841C21">
              <w:rPr>
                <w:color w:val="FFFFFF" w:themeColor="background1"/>
                <w:szCs w:val="18"/>
              </w:rPr>
              <w:t>1995</w:t>
            </w:r>
            <w:bookmarkEnd w:id="573"/>
          </w:p>
        </w:tc>
        <w:tc>
          <w:tcPr>
            <w:tcW w:w="621" w:type="dxa"/>
            <w:shd w:val="clear" w:color="auto" w:fill="1B556B" w:themeFill="text2"/>
            <w:vAlign w:val="center"/>
            <w:hideMark/>
          </w:tcPr>
          <w:p w14:paraId="579374C3" w14:textId="77777777" w:rsidR="00F51113" w:rsidRPr="00841C21" w:rsidRDefault="00F51113">
            <w:pPr>
              <w:pStyle w:val="TableTextbold"/>
              <w:keepNext/>
              <w:jc w:val="center"/>
              <w:rPr>
                <w:color w:val="FFFFFF" w:themeColor="background1"/>
                <w:szCs w:val="18"/>
              </w:rPr>
            </w:pPr>
            <w:bookmarkStart w:id="574" w:name="_Toc183789692"/>
            <w:r w:rsidRPr="00841C21">
              <w:rPr>
                <w:color w:val="FFFFFF" w:themeColor="background1"/>
                <w:szCs w:val="18"/>
              </w:rPr>
              <w:t>2000</w:t>
            </w:r>
            <w:bookmarkEnd w:id="574"/>
          </w:p>
        </w:tc>
        <w:tc>
          <w:tcPr>
            <w:tcW w:w="621" w:type="dxa"/>
            <w:shd w:val="clear" w:color="auto" w:fill="1B556B" w:themeFill="text2"/>
            <w:vAlign w:val="center"/>
            <w:hideMark/>
          </w:tcPr>
          <w:p w14:paraId="4EF33135" w14:textId="77777777" w:rsidR="00F51113" w:rsidRPr="00841C21" w:rsidRDefault="00F51113">
            <w:pPr>
              <w:pStyle w:val="TableTextbold"/>
              <w:keepNext/>
              <w:jc w:val="center"/>
              <w:rPr>
                <w:color w:val="FFFFFF" w:themeColor="background1"/>
                <w:szCs w:val="18"/>
              </w:rPr>
            </w:pPr>
            <w:bookmarkStart w:id="575" w:name="_Toc183789693"/>
            <w:r w:rsidRPr="00841C21">
              <w:rPr>
                <w:color w:val="FFFFFF" w:themeColor="background1"/>
                <w:szCs w:val="18"/>
              </w:rPr>
              <w:t>2005</w:t>
            </w:r>
            <w:bookmarkEnd w:id="575"/>
          </w:p>
        </w:tc>
        <w:tc>
          <w:tcPr>
            <w:tcW w:w="621" w:type="dxa"/>
            <w:shd w:val="clear" w:color="auto" w:fill="1B556B" w:themeFill="text2"/>
            <w:vAlign w:val="center"/>
            <w:hideMark/>
          </w:tcPr>
          <w:p w14:paraId="62B3AC52" w14:textId="77777777" w:rsidR="00F51113" w:rsidRPr="00841C21" w:rsidRDefault="00F51113">
            <w:pPr>
              <w:pStyle w:val="TableTextbold"/>
              <w:keepNext/>
              <w:jc w:val="center"/>
              <w:rPr>
                <w:color w:val="FFFFFF" w:themeColor="background1"/>
                <w:szCs w:val="18"/>
              </w:rPr>
            </w:pPr>
            <w:bookmarkStart w:id="576" w:name="_Toc183789694"/>
            <w:r w:rsidRPr="00841C21">
              <w:rPr>
                <w:color w:val="FFFFFF" w:themeColor="background1"/>
                <w:szCs w:val="18"/>
              </w:rPr>
              <w:t>2010</w:t>
            </w:r>
            <w:bookmarkEnd w:id="576"/>
          </w:p>
        </w:tc>
        <w:tc>
          <w:tcPr>
            <w:tcW w:w="621" w:type="dxa"/>
            <w:shd w:val="clear" w:color="auto" w:fill="1B556B" w:themeFill="text2"/>
            <w:vAlign w:val="center"/>
            <w:hideMark/>
          </w:tcPr>
          <w:p w14:paraId="21E6BF7A" w14:textId="77777777" w:rsidR="00F51113" w:rsidRPr="00841C21" w:rsidRDefault="00F51113">
            <w:pPr>
              <w:pStyle w:val="TableTextbold"/>
              <w:keepNext/>
              <w:jc w:val="center"/>
              <w:rPr>
                <w:color w:val="FFFFFF" w:themeColor="background1"/>
                <w:szCs w:val="18"/>
              </w:rPr>
            </w:pPr>
            <w:bookmarkStart w:id="577" w:name="_Toc183789695"/>
            <w:r w:rsidRPr="00841C21">
              <w:rPr>
                <w:color w:val="FFFFFF" w:themeColor="background1"/>
                <w:szCs w:val="18"/>
              </w:rPr>
              <w:t>2015</w:t>
            </w:r>
            <w:bookmarkEnd w:id="577"/>
          </w:p>
        </w:tc>
        <w:tc>
          <w:tcPr>
            <w:tcW w:w="621" w:type="dxa"/>
            <w:shd w:val="clear" w:color="auto" w:fill="1B556B" w:themeFill="text2"/>
            <w:vAlign w:val="center"/>
            <w:hideMark/>
          </w:tcPr>
          <w:p w14:paraId="2C4C5E33" w14:textId="77777777" w:rsidR="00F51113" w:rsidRPr="00841C21" w:rsidRDefault="00F51113">
            <w:pPr>
              <w:pStyle w:val="TableTextbold"/>
              <w:keepNext/>
              <w:jc w:val="center"/>
              <w:rPr>
                <w:color w:val="FFFFFF" w:themeColor="background1"/>
                <w:szCs w:val="18"/>
              </w:rPr>
            </w:pPr>
            <w:bookmarkStart w:id="578" w:name="_Toc183789696"/>
            <w:r w:rsidRPr="00841C21">
              <w:rPr>
                <w:color w:val="FFFFFF" w:themeColor="background1"/>
                <w:szCs w:val="18"/>
              </w:rPr>
              <w:t>2020</w:t>
            </w:r>
            <w:bookmarkEnd w:id="578"/>
          </w:p>
        </w:tc>
        <w:tc>
          <w:tcPr>
            <w:tcW w:w="621" w:type="dxa"/>
            <w:shd w:val="clear" w:color="auto" w:fill="1B556B" w:themeFill="text2"/>
            <w:vAlign w:val="center"/>
            <w:hideMark/>
          </w:tcPr>
          <w:p w14:paraId="08C68AD2" w14:textId="77777777" w:rsidR="00F51113" w:rsidRPr="00841C21" w:rsidRDefault="00F51113">
            <w:pPr>
              <w:pStyle w:val="TableTextbold"/>
              <w:keepNext/>
              <w:jc w:val="center"/>
              <w:rPr>
                <w:color w:val="FFFFFF" w:themeColor="background1"/>
                <w:szCs w:val="18"/>
              </w:rPr>
            </w:pPr>
            <w:bookmarkStart w:id="579" w:name="_Toc183789697"/>
            <w:r w:rsidRPr="00841C21">
              <w:rPr>
                <w:color w:val="FFFFFF" w:themeColor="background1"/>
                <w:szCs w:val="18"/>
              </w:rPr>
              <w:t>2025</w:t>
            </w:r>
            <w:bookmarkEnd w:id="579"/>
          </w:p>
        </w:tc>
        <w:tc>
          <w:tcPr>
            <w:tcW w:w="621" w:type="dxa"/>
            <w:shd w:val="clear" w:color="auto" w:fill="1B556B" w:themeFill="text2"/>
            <w:vAlign w:val="center"/>
            <w:hideMark/>
          </w:tcPr>
          <w:p w14:paraId="43C847EC" w14:textId="77777777" w:rsidR="00F51113" w:rsidRPr="00841C21" w:rsidRDefault="00F51113">
            <w:pPr>
              <w:pStyle w:val="TableTextbold"/>
              <w:keepNext/>
              <w:jc w:val="center"/>
              <w:rPr>
                <w:color w:val="FFFFFF" w:themeColor="background1"/>
                <w:szCs w:val="18"/>
              </w:rPr>
            </w:pPr>
            <w:bookmarkStart w:id="580" w:name="_Toc183789698"/>
            <w:r w:rsidRPr="00841C21">
              <w:rPr>
                <w:color w:val="FFFFFF" w:themeColor="background1"/>
                <w:szCs w:val="18"/>
              </w:rPr>
              <w:t>2030</w:t>
            </w:r>
            <w:bookmarkEnd w:id="580"/>
          </w:p>
        </w:tc>
        <w:tc>
          <w:tcPr>
            <w:tcW w:w="621" w:type="dxa"/>
            <w:shd w:val="clear" w:color="auto" w:fill="1B556B" w:themeFill="text2"/>
            <w:vAlign w:val="center"/>
            <w:hideMark/>
          </w:tcPr>
          <w:p w14:paraId="757BF3F6" w14:textId="77777777" w:rsidR="00F51113" w:rsidRPr="00841C21" w:rsidRDefault="00F51113">
            <w:pPr>
              <w:pStyle w:val="TableTextbold"/>
              <w:keepNext/>
              <w:jc w:val="center"/>
              <w:rPr>
                <w:color w:val="FFFFFF" w:themeColor="background1"/>
                <w:szCs w:val="18"/>
              </w:rPr>
            </w:pPr>
            <w:bookmarkStart w:id="581" w:name="_Toc183789699"/>
            <w:r w:rsidRPr="00841C21">
              <w:rPr>
                <w:color w:val="FFFFFF" w:themeColor="background1"/>
                <w:szCs w:val="18"/>
              </w:rPr>
              <w:t>2035</w:t>
            </w:r>
            <w:bookmarkEnd w:id="581"/>
          </w:p>
        </w:tc>
        <w:tc>
          <w:tcPr>
            <w:tcW w:w="621" w:type="dxa"/>
            <w:shd w:val="clear" w:color="auto" w:fill="1B556B" w:themeFill="text2"/>
            <w:vAlign w:val="center"/>
            <w:hideMark/>
          </w:tcPr>
          <w:p w14:paraId="2F4B0C4B" w14:textId="77777777" w:rsidR="00F51113" w:rsidRPr="00841C21" w:rsidRDefault="00F51113">
            <w:pPr>
              <w:pStyle w:val="TableTextbold"/>
              <w:keepNext/>
              <w:jc w:val="center"/>
              <w:rPr>
                <w:color w:val="FFFFFF" w:themeColor="background1"/>
                <w:szCs w:val="18"/>
              </w:rPr>
            </w:pPr>
            <w:bookmarkStart w:id="582" w:name="_Toc183789700"/>
            <w:r w:rsidRPr="00841C21">
              <w:rPr>
                <w:color w:val="FFFFFF" w:themeColor="background1"/>
                <w:szCs w:val="18"/>
              </w:rPr>
              <w:t>2040</w:t>
            </w:r>
            <w:bookmarkEnd w:id="582"/>
          </w:p>
        </w:tc>
        <w:tc>
          <w:tcPr>
            <w:tcW w:w="621" w:type="dxa"/>
            <w:shd w:val="clear" w:color="auto" w:fill="1B556B" w:themeFill="text2"/>
            <w:vAlign w:val="center"/>
            <w:hideMark/>
          </w:tcPr>
          <w:p w14:paraId="6D2370AF" w14:textId="77777777" w:rsidR="00F51113" w:rsidRPr="00841C21" w:rsidRDefault="00F51113">
            <w:pPr>
              <w:pStyle w:val="TableTextbold"/>
              <w:keepNext/>
              <w:jc w:val="center"/>
              <w:rPr>
                <w:color w:val="FFFFFF" w:themeColor="background1"/>
                <w:szCs w:val="18"/>
              </w:rPr>
            </w:pPr>
            <w:bookmarkStart w:id="583" w:name="_Toc183789701"/>
            <w:r w:rsidRPr="00841C21">
              <w:rPr>
                <w:color w:val="FFFFFF" w:themeColor="background1"/>
                <w:szCs w:val="18"/>
              </w:rPr>
              <w:t>2045</w:t>
            </w:r>
            <w:bookmarkEnd w:id="583"/>
          </w:p>
        </w:tc>
        <w:tc>
          <w:tcPr>
            <w:tcW w:w="621" w:type="dxa"/>
            <w:shd w:val="clear" w:color="auto" w:fill="1B556B" w:themeFill="text2"/>
            <w:vAlign w:val="center"/>
            <w:hideMark/>
          </w:tcPr>
          <w:p w14:paraId="03A6E8CE" w14:textId="77777777" w:rsidR="00F51113" w:rsidRPr="00841C21" w:rsidRDefault="00F51113">
            <w:pPr>
              <w:pStyle w:val="TableTextbold"/>
              <w:keepNext/>
              <w:jc w:val="center"/>
              <w:rPr>
                <w:color w:val="FFFFFF" w:themeColor="background1"/>
                <w:szCs w:val="18"/>
              </w:rPr>
            </w:pPr>
            <w:bookmarkStart w:id="584" w:name="_Toc183789702"/>
            <w:r w:rsidRPr="00841C21">
              <w:rPr>
                <w:color w:val="FFFFFF" w:themeColor="background1"/>
                <w:szCs w:val="18"/>
              </w:rPr>
              <w:t>2050</w:t>
            </w:r>
            <w:bookmarkEnd w:id="584"/>
          </w:p>
        </w:tc>
      </w:tr>
      <w:tr w:rsidR="008B6354" w:rsidRPr="00841C21" w14:paraId="3E9A5757" w14:textId="77777777" w:rsidTr="00DC70A7">
        <w:trPr>
          <w:trHeight w:val="300"/>
        </w:trPr>
        <w:tc>
          <w:tcPr>
            <w:tcW w:w="621" w:type="dxa"/>
            <w:vAlign w:val="center"/>
            <w:hideMark/>
          </w:tcPr>
          <w:p w14:paraId="23656449" w14:textId="77777777" w:rsidR="00F51113" w:rsidRPr="00841C21" w:rsidRDefault="00F51113">
            <w:pPr>
              <w:pStyle w:val="TableText"/>
              <w:keepNext/>
              <w:rPr>
                <w:szCs w:val="18"/>
              </w:rPr>
            </w:pPr>
            <w:r w:rsidRPr="00841C21">
              <w:rPr>
                <w:szCs w:val="18"/>
              </w:rPr>
              <w:t>CO</w:t>
            </w:r>
            <w:r w:rsidRPr="00841C21">
              <w:rPr>
                <w:szCs w:val="18"/>
                <w:vertAlign w:val="subscript"/>
              </w:rPr>
              <w:t>2</w:t>
            </w:r>
          </w:p>
        </w:tc>
        <w:tc>
          <w:tcPr>
            <w:tcW w:w="621" w:type="dxa"/>
            <w:vAlign w:val="center"/>
            <w:hideMark/>
          </w:tcPr>
          <w:p w14:paraId="03C505A3" w14:textId="77777777" w:rsidR="00F51113" w:rsidRPr="00841C21" w:rsidRDefault="00F51113">
            <w:pPr>
              <w:pStyle w:val="TableText"/>
              <w:keepNext/>
              <w:jc w:val="center"/>
              <w:rPr>
                <w:szCs w:val="18"/>
              </w:rPr>
            </w:pPr>
            <w:r w:rsidRPr="00841C21">
              <w:rPr>
                <w:szCs w:val="18"/>
              </w:rPr>
              <w:t>–24.7</w:t>
            </w:r>
          </w:p>
        </w:tc>
        <w:tc>
          <w:tcPr>
            <w:tcW w:w="621" w:type="dxa"/>
            <w:vAlign w:val="center"/>
            <w:hideMark/>
          </w:tcPr>
          <w:p w14:paraId="3875EBC6" w14:textId="77777777" w:rsidR="00F51113" w:rsidRPr="00841C21" w:rsidRDefault="00F51113">
            <w:pPr>
              <w:pStyle w:val="TableText"/>
              <w:keepNext/>
              <w:jc w:val="center"/>
              <w:rPr>
                <w:szCs w:val="18"/>
              </w:rPr>
            </w:pPr>
            <w:r w:rsidRPr="00841C21">
              <w:rPr>
                <w:szCs w:val="18"/>
              </w:rPr>
              <w:t>–24.2</w:t>
            </w:r>
          </w:p>
        </w:tc>
        <w:tc>
          <w:tcPr>
            <w:tcW w:w="621" w:type="dxa"/>
            <w:vAlign w:val="center"/>
            <w:hideMark/>
          </w:tcPr>
          <w:p w14:paraId="1EE2CF31" w14:textId="77777777" w:rsidR="00F51113" w:rsidRPr="00841C21" w:rsidRDefault="00F51113">
            <w:pPr>
              <w:pStyle w:val="TableText"/>
              <w:keepNext/>
              <w:jc w:val="center"/>
              <w:rPr>
                <w:szCs w:val="18"/>
              </w:rPr>
            </w:pPr>
            <w:r w:rsidRPr="00841C21">
              <w:rPr>
                <w:szCs w:val="18"/>
              </w:rPr>
              <w:t>–27.8</w:t>
            </w:r>
          </w:p>
        </w:tc>
        <w:tc>
          <w:tcPr>
            <w:tcW w:w="621" w:type="dxa"/>
            <w:vAlign w:val="center"/>
            <w:hideMark/>
          </w:tcPr>
          <w:p w14:paraId="7E33507B" w14:textId="77777777" w:rsidR="00F51113" w:rsidRPr="00841C21" w:rsidRDefault="00F51113">
            <w:pPr>
              <w:pStyle w:val="TableText"/>
              <w:keepNext/>
              <w:jc w:val="center"/>
              <w:rPr>
                <w:szCs w:val="18"/>
              </w:rPr>
            </w:pPr>
            <w:r w:rsidRPr="00841C21">
              <w:rPr>
                <w:szCs w:val="18"/>
              </w:rPr>
              <w:t>–24.7</w:t>
            </w:r>
          </w:p>
        </w:tc>
        <w:tc>
          <w:tcPr>
            <w:tcW w:w="621" w:type="dxa"/>
            <w:vAlign w:val="center"/>
            <w:hideMark/>
          </w:tcPr>
          <w:p w14:paraId="11A37C0B" w14:textId="77777777" w:rsidR="00F51113" w:rsidRPr="00841C21" w:rsidRDefault="00F51113">
            <w:pPr>
              <w:pStyle w:val="TableText"/>
              <w:keepNext/>
              <w:jc w:val="center"/>
              <w:rPr>
                <w:szCs w:val="18"/>
              </w:rPr>
            </w:pPr>
            <w:r w:rsidRPr="00841C21">
              <w:rPr>
                <w:szCs w:val="18"/>
              </w:rPr>
              <w:t>–29.0</w:t>
            </w:r>
          </w:p>
        </w:tc>
        <w:tc>
          <w:tcPr>
            <w:tcW w:w="621" w:type="dxa"/>
            <w:vAlign w:val="center"/>
            <w:hideMark/>
          </w:tcPr>
          <w:p w14:paraId="47DA6120" w14:textId="77777777" w:rsidR="00F51113" w:rsidRPr="00841C21" w:rsidRDefault="00F51113">
            <w:pPr>
              <w:pStyle w:val="TableText"/>
              <w:keepNext/>
              <w:jc w:val="center"/>
              <w:rPr>
                <w:szCs w:val="18"/>
              </w:rPr>
            </w:pPr>
            <w:r w:rsidRPr="00841C21">
              <w:rPr>
                <w:szCs w:val="18"/>
              </w:rPr>
              <w:t>–25.9</w:t>
            </w:r>
          </w:p>
        </w:tc>
        <w:tc>
          <w:tcPr>
            <w:tcW w:w="621" w:type="dxa"/>
            <w:vAlign w:val="center"/>
            <w:hideMark/>
          </w:tcPr>
          <w:p w14:paraId="1FCCEC22" w14:textId="77777777" w:rsidR="00F51113" w:rsidRPr="00841C21" w:rsidRDefault="00F51113">
            <w:pPr>
              <w:pStyle w:val="TableText"/>
              <w:keepNext/>
              <w:jc w:val="center"/>
              <w:rPr>
                <w:szCs w:val="18"/>
              </w:rPr>
            </w:pPr>
            <w:r w:rsidRPr="00841C21">
              <w:rPr>
                <w:szCs w:val="18"/>
              </w:rPr>
              <w:t>–21.4</w:t>
            </w:r>
          </w:p>
        </w:tc>
        <w:tc>
          <w:tcPr>
            <w:tcW w:w="621" w:type="dxa"/>
            <w:shd w:val="clear" w:color="auto" w:fill="D2DDE1" w:themeFill="background2"/>
            <w:vAlign w:val="center"/>
            <w:hideMark/>
          </w:tcPr>
          <w:p w14:paraId="138B9039" w14:textId="77777777" w:rsidR="00F51113" w:rsidRPr="00841C21" w:rsidRDefault="00F51113">
            <w:pPr>
              <w:pStyle w:val="TableText"/>
              <w:keepNext/>
              <w:jc w:val="center"/>
              <w:rPr>
                <w:szCs w:val="18"/>
              </w:rPr>
            </w:pPr>
            <w:r w:rsidRPr="00841C21">
              <w:rPr>
                <w:szCs w:val="18"/>
              </w:rPr>
              <w:t>–12.5</w:t>
            </w:r>
          </w:p>
        </w:tc>
        <w:tc>
          <w:tcPr>
            <w:tcW w:w="621" w:type="dxa"/>
            <w:shd w:val="clear" w:color="auto" w:fill="D2DDE1" w:themeFill="background2"/>
            <w:vAlign w:val="center"/>
            <w:hideMark/>
          </w:tcPr>
          <w:p w14:paraId="6C289333" w14:textId="77777777" w:rsidR="00F51113" w:rsidRPr="00841C21" w:rsidRDefault="00F51113">
            <w:pPr>
              <w:pStyle w:val="TableText"/>
              <w:keepNext/>
              <w:jc w:val="center"/>
              <w:rPr>
                <w:szCs w:val="18"/>
              </w:rPr>
            </w:pPr>
            <w:r w:rsidRPr="00841C21">
              <w:rPr>
                <w:szCs w:val="18"/>
              </w:rPr>
              <w:t>–17.3</w:t>
            </w:r>
          </w:p>
        </w:tc>
        <w:tc>
          <w:tcPr>
            <w:tcW w:w="621" w:type="dxa"/>
            <w:shd w:val="clear" w:color="auto" w:fill="D2DDE1" w:themeFill="background2"/>
            <w:vAlign w:val="center"/>
            <w:hideMark/>
          </w:tcPr>
          <w:p w14:paraId="6BA40A14" w14:textId="77777777" w:rsidR="00F51113" w:rsidRPr="00841C21" w:rsidRDefault="00F51113">
            <w:pPr>
              <w:pStyle w:val="TableText"/>
              <w:keepNext/>
              <w:jc w:val="center"/>
              <w:rPr>
                <w:szCs w:val="18"/>
              </w:rPr>
            </w:pPr>
            <w:r w:rsidRPr="00841C21">
              <w:rPr>
                <w:szCs w:val="18"/>
              </w:rPr>
              <w:t>–27.7</w:t>
            </w:r>
          </w:p>
        </w:tc>
        <w:tc>
          <w:tcPr>
            <w:tcW w:w="621" w:type="dxa"/>
            <w:shd w:val="clear" w:color="auto" w:fill="D2DDE1" w:themeFill="background2"/>
            <w:vAlign w:val="center"/>
            <w:hideMark/>
          </w:tcPr>
          <w:p w14:paraId="0F239987" w14:textId="77777777" w:rsidR="00F51113" w:rsidRPr="00841C21" w:rsidRDefault="00F51113">
            <w:pPr>
              <w:pStyle w:val="TableText"/>
              <w:keepNext/>
              <w:jc w:val="center"/>
              <w:rPr>
                <w:szCs w:val="18"/>
              </w:rPr>
            </w:pPr>
            <w:r w:rsidRPr="00841C21">
              <w:rPr>
                <w:szCs w:val="18"/>
              </w:rPr>
              <w:t>–20.7</w:t>
            </w:r>
          </w:p>
        </w:tc>
        <w:tc>
          <w:tcPr>
            <w:tcW w:w="621" w:type="dxa"/>
            <w:shd w:val="clear" w:color="auto" w:fill="D2DDE1" w:themeFill="background2"/>
            <w:vAlign w:val="center"/>
            <w:hideMark/>
          </w:tcPr>
          <w:p w14:paraId="63C5980C" w14:textId="77777777" w:rsidR="00F51113" w:rsidRPr="00841C21" w:rsidRDefault="00F51113">
            <w:pPr>
              <w:pStyle w:val="TableText"/>
              <w:keepNext/>
              <w:jc w:val="center"/>
              <w:rPr>
                <w:szCs w:val="18"/>
              </w:rPr>
            </w:pPr>
            <w:r w:rsidRPr="00841C21">
              <w:rPr>
                <w:szCs w:val="18"/>
              </w:rPr>
              <w:t>–28.2</w:t>
            </w:r>
          </w:p>
        </w:tc>
        <w:tc>
          <w:tcPr>
            <w:tcW w:w="621" w:type="dxa"/>
            <w:shd w:val="clear" w:color="auto" w:fill="D2DDE1" w:themeFill="background2"/>
            <w:vAlign w:val="center"/>
            <w:hideMark/>
          </w:tcPr>
          <w:p w14:paraId="2E66F38E" w14:textId="77777777" w:rsidR="00F51113" w:rsidRPr="00841C21" w:rsidRDefault="00F51113">
            <w:pPr>
              <w:pStyle w:val="TableText"/>
              <w:keepNext/>
              <w:jc w:val="center"/>
              <w:rPr>
                <w:szCs w:val="18"/>
              </w:rPr>
            </w:pPr>
            <w:r w:rsidRPr="00841C21">
              <w:rPr>
                <w:szCs w:val="18"/>
              </w:rPr>
              <w:t>–29.2</w:t>
            </w:r>
          </w:p>
        </w:tc>
      </w:tr>
      <w:tr w:rsidR="008B6354" w:rsidRPr="00841C21" w14:paraId="0065A4A4" w14:textId="77777777" w:rsidTr="00DC70A7">
        <w:trPr>
          <w:trHeight w:val="300"/>
        </w:trPr>
        <w:tc>
          <w:tcPr>
            <w:tcW w:w="621" w:type="dxa"/>
            <w:vAlign w:val="center"/>
            <w:hideMark/>
          </w:tcPr>
          <w:p w14:paraId="42158CC2" w14:textId="77777777" w:rsidR="00F51113" w:rsidRPr="00841C21" w:rsidRDefault="00F51113">
            <w:pPr>
              <w:pStyle w:val="TableText"/>
              <w:rPr>
                <w:szCs w:val="18"/>
              </w:rPr>
            </w:pPr>
            <w:r w:rsidRPr="00841C21">
              <w:rPr>
                <w:szCs w:val="18"/>
              </w:rPr>
              <w:t>CH</w:t>
            </w:r>
            <w:r w:rsidRPr="00841C21">
              <w:rPr>
                <w:szCs w:val="18"/>
                <w:vertAlign w:val="subscript"/>
              </w:rPr>
              <w:t>4</w:t>
            </w:r>
          </w:p>
        </w:tc>
        <w:tc>
          <w:tcPr>
            <w:tcW w:w="621" w:type="dxa"/>
            <w:vAlign w:val="center"/>
            <w:hideMark/>
          </w:tcPr>
          <w:p w14:paraId="4FC5B462" w14:textId="77777777" w:rsidR="00F51113" w:rsidRPr="00841C21" w:rsidRDefault="00F51113">
            <w:pPr>
              <w:pStyle w:val="TableText"/>
              <w:jc w:val="center"/>
              <w:rPr>
                <w:szCs w:val="18"/>
              </w:rPr>
            </w:pPr>
            <w:r w:rsidRPr="00841C21">
              <w:rPr>
                <w:szCs w:val="18"/>
              </w:rPr>
              <w:t>0.08</w:t>
            </w:r>
          </w:p>
        </w:tc>
        <w:tc>
          <w:tcPr>
            <w:tcW w:w="621" w:type="dxa"/>
            <w:vAlign w:val="center"/>
            <w:hideMark/>
          </w:tcPr>
          <w:p w14:paraId="6EA5FF7F" w14:textId="77777777" w:rsidR="00F51113" w:rsidRPr="00841C21" w:rsidRDefault="00F51113">
            <w:pPr>
              <w:pStyle w:val="TableText"/>
              <w:jc w:val="center"/>
              <w:rPr>
                <w:szCs w:val="18"/>
              </w:rPr>
            </w:pPr>
            <w:r w:rsidRPr="00841C21">
              <w:rPr>
                <w:szCs w:val="18"/>
              </w:rPr>
              <w:t>0.09</w:t>
            </w:r>
          </w:p>
        </w:tc>
        <w:tc>
          <w:tcPr>
            <w:tcW w:w="621" w:type="dxa"/>
            <w:vAlign w:val="center"/>
            <w:hideMark/>
          </w:tcPr>
          <w:p w14:paraId="71479A8D" w14:textId="77777777" w:rsidR="00F51113" w:rsidRPr="00841C21" w:rsidRDefault="00F51113">
            <w:pPr>
              <w:pStyle w:val="TableText"/>
              <w:jc w:val="center"/>
              <w:rPr>
                <w:szCs w:val="18"/>
              </w:rPr>
            </w:pPr>
            <w:r w:rsidRPr="00841C21">
              <w:rPr>
                <w:szCs w:val="18"/>
              </w:rPr>
              <w:t>0.08</w:t>
            </w:r>
          </w:p>
        </w:tc>
        <w:tc>
          <w:tcPr>
            <w:tcW w:w="621" w:type="dxa"/>
            <w:vAlign w:val="center"/>
            <w:hideMark/>
          </w:tcPr>
          <w:p w14:paraId="63011752" w14:textId="77777777" w:rsidR="00F51113" w:rsidRPr="00841C21" w:rsidRDefault="00F51113">
            <w:pPr>
              <w:pStyle w:val="TableText"/>
              <w:jc w:val="center"/>
              <w:rPr>
                <w:szCs w:val="18"/>
              </w:rPr>
            </w:pPr>
            <w:r w:rsidRPr="00841C21">
              <w:rPr>
                <w:szCs w:val="18"/>
              </w:rPr>
              <w:t>0.12</w:t>
            </w:r>
          </w:p>
        </w:tc>
        <w:tc>
          <w:tcPr>
            <w:tcW w:w="621" w:type="dxa"/>
            <w:vAlign w:val="center"/>
            <w:hideMark/>
          </w:tcPr>
          <w:p w14:paraId="3BE8879F" w14:textId="77777777" w:rsidR="00F51113" w:rsidRPr="00841C21" w:rsidRDefault="00F51113">
            <w:pPr>
              <w:pStyle w:val="TableText"/>
              <w:jc w:val="center"/>
              <w:rPr>
                <w:szCs w:val="18"/>
              </w:rPr>
            </w:pPr>
            <w:r w:rsidRPr="00841C21">
              <w:rPr>
                <w:szCs w:val="18"/>
              </w:rPr>
              <w:t>0.10</w:t>
            </w:r>
          </w:p>
        </w:tc>
        <w:tc>
          <w:tcPr>
            <w:tcW w:w="621" w:type="dxa"/>
            <w:vAlign w:val="center"/>
            <w:hideMark/>
          </w:tcPr>
          <w:p w14:paraId="62A7A8A4" w14:textId="77777777" w:rsidR="00F51113" w:rsidRPr="00841C21" w:rsidRDefault="00F51113">
            <w:pPr>
              <w:pStyle w:val="TableText"/>
              <w:jc w:val="center"/>
              <w:rPr>
                <w:szCs w:val="18"/>
              </w:rPr>
            </w:pPr>
            <w:r w:rsidRPr="00841C21">
              <w:rPr>
                <w:szCs w:val="18"/>
              </w:rPr>
              <w:t>0.09</w:t>
            </w:r>
          </w:p>
        </w:tc>
        <w:tc>
          <w:tcPr>
            <w:tcW w:w="621" w:type="dxa"/>
            <w:vAlign w:val="center"/>
            <w:hideMark/>
          </w:tcPr>
          <w:p w14:paraId="54FD792A" w14:textId="77777777" w:rsidR="00F51113" w:rsidRPr="00841C21" w:rsidRDefault="00F51113">
            <w:pPr>
              <w:pStyle w:val="TableText"/>
              <w:jc w:val="center"/>
              <w:rPr>
                <w:szCs w:val="18"/>
              </w:rPr>
            </w:pPr>
            <w:r w:rsidRPr="00841C21">
              <w:rPr>
                <w:szCs w:val="18"/>
              </w:rPr>
              <w:t>0.10</w:t>
            </w:r>
          </w:p>
        </w:tc>
        <w:tc>
          <w:tcPr>
            <w:tcW w:w="621" w:type="dxa"/>
            <w:shd w:val="clear" w:color="auto" w:fill="D2DDE1" w:themeFill="background2"/>
            <w:vAlign w:val="center"/>
            <w:hideMark/>
          </w:tcPr>
          <w:p w14:paraId="1B1E1514" w14:textId="77777777" w:rsidR="00F51113" w:rsidRPr="00841C21" w:rsidRDefault="00F51113">
            <w:pPr>
              <w:pStyle w:val="TableText"/>
              <w:jc w:val="center"/>
              <w:rPr>
                <w:szCs w:val="18"/>
              </w:rPr>
            </w:pPr>
            <w:r w:rsidRPr="00841C21">
              <w:rPr>
                <w:szCs w:val="18"/>
              </w:rPr>
              <w:t>0.07</w:t>
            </w:r>
          </w:p>
        </w:tc>
        <w:tc>
          <w:tcPr>
            <w:tcW w:w="621" w:type="dxa"/>
            <w:shd w:val="clear" w:color="auto" w:fill="D2DDE1" w:themeFill="background2"/>
            <w:vAlign w:val="center"/>
            <w:hideMark/>
          </w:tcPr>
          <w:p w14:paraId="6C1B6B6B" w14:textId="77777777" w:rsidR="00F51113" w:rsidRPr="00841C21" w:rsidRDefault="00F51113">
            <w:pPr>
              <w:pStyle w:val="TableText"/>
              <w:jc w:val="center"/>
              <w:rPr>
                <w:szCs w:val="18"/>
              </w:rPr>
            </w:pPr>
            <w:r w:rsidRPr="00841C21">
              <w:rPr>
                <w:szCs w:val="18"/>
              </w:rPr>
              <w:t>0.07</w:t>
            </w:r>
          </w:p>
        </w:tc>
        <w:tc>
          <w:tcPr>
            <w:tcW w:w="621" w:type="dxa"/>
            <w:shd w:val="clear" w:color="auto" w:fill="D2DDE1" w:themeFill="background2"/>
            <w:vAlign w:val="center"/>
            <w:hideMark/>
          </w:tcPr>
          <w:p w14:paraId="72F4C8D3" w14:textId="77777777" w:rsidR="00F51113" w:rsidRPr="00841C21" w:rsidRDefault="00F51113">
            <w:pPr>
              <w:pStyle w:val="TableText"/>
              <w:jc w:val="center"/>
              <w:rPr>
                <w:szCs w:val="18"/>
              </w:rPr>
            </w:pPr>
            <w:r w:rsidRPr="00841C21">
              <w:rPr>
                <w:szCs w:val="18"/>
              </w:rPr>
              <w:t>0.07</w:t>
            </w:r>
          </w:p>
        </w:tc>
        <w:tc>
          <w:tcPr>
            <w:tcW w:w="621" w:type="dxa"/>
            <w:shd w:val="clear" w:color="auto" w:fill="D2DDE1" w:themeFill="background2"/>
            <w:vAlign w:val="center"/>
            <w:hideMark/>
          </w:tcPr>
          <w:p w14:paraId="33C948A7" w14:textId="77777777" w:rsidR="00F51113" w:rsidRPr="00841C21" w:rsidRDefault="00F51113">
            <w:pPr>
              <w:pStyle w:val="TableText"/>
              <w:jc w:val="center"/>
              <w:rPr>
                <w:szCs w:val="18"/>
              </w:rPr>
            </w:pPr>
            <w:r w:rsidRPr="00841C21">
              <w:rPr>
                <w:szCs w:val="18"/>
              </w:rPr>
              <w:t>0.07</w:t>
            </w:r>
          </w:p>
        </w:tc>
        <w:tc>
          <w:tcPr>
            <w:tcW w:w="621" w:type="dxa"/>
            <w:shd w:val="clear" w:color="auto" w:fill="D2DDE1" w:themeFill="background2"/>
            <w:vAlign w:val="center"/>
            <w:hideMark/>
          </w:tcPr>
          <w:p w14:paraId="4BF50E33" w14:textId="77777777" w:rsidR="00F51113" w:rsidRPr="00841C21" w:rsidRDefault="00F51113">
            <w:pPr>
              <w:pStyle w:val="TableText"/>
              <w:jc w:val="center"/>
              <w:rPr>
                <w:szCs w:val="18"/>
              </w:rPr>
            </w:pPr>
            <w:r w:rsidRPr="00841C21">
              <w:rPr>
                <w:szCs w:val="18"/>
              </w:rPr>
              <w:t>0.07</w:t>
            </w:r>
          </w:p>
        </w:tc>
        <w:tc>
          <w:tcPr>
            <w:tcW w:w="621" w:type="dxa"/>
            <w:shd w:val="clear" w:color="auto" w:fill="D2DDE1" w:themeFill="background2"/>
            <w:vAlign w:val="center"/>
            <w:hideMark/>
          </w:tcPr>
          <w:p w14:paraId="132EAB13" w14:textId="77777777" w:rsidR="00F51113" w:rsidRPr="00841C21" w:rsidRDefault="00F51113">
            <w:pPr>
              <w:pStyle w:val="TableText"/>
              <w:jc w:val="center"/>
              <w:rPr>
                <w:szCs w:val="18"/>
              </w:rPr>
            </w:pPr>
            <w:r w:rsidRPr="00841C21">
              <w:rPr>
                <w:szCs w:val="18"/>
              </w:rPr>
              <w:t>0.07</w:t>
            </w:r>
          </w:p>
        </w:tc>
      </w:tr>
      <w:tr w:rsidR="008B6354" w:rsidRPr="00841C21" w14:paraId="1DC133DE" w14:textId="77777777" w:rsidTr="00DC70A7">
        <w:trPr>
          <w:trHeight w:val="300"/>
        </w:trPr>
        <w:tc>
          <w:tcPr>
            <w:tcW w:w="621" w:type="dxa"/>
            <w:vAlign w:val="center"/>
            <w:hideMark/>
          </w:tcPr>
          <w:p w14:paraId="5669C58C" w14:textId="77777777" w:rsidR="00F51113" w:rsidRPr="00841C21" w:rsidRDefault="00F51113">
            <w:pPr>
              <w:pStyle w:val="TableText"/>
              <w:rPr>
                <w:szCs w:val="18"/>
              </w:rPr>
            </w:pPr>
            <w:r w:rsidRPr="00841C21">
              <w:rPr>
                <w:szCs w:val="18"/>
              </w:rPr>
              <w:t>N</w:t>
            </w:r>
            <w:r w:rsidRPr="00841C21">
              <w:rPr>
                <w:szCs w:val="18"/>
                <w:vertAlign w:val="subscript"/>
              </w:rPr>
              <w:t>2</w:t>
            </w:r>
            <w:r w:rsidRPr="00841C21">
              <w:rPr>
                <w:szCs w:val="18"/>
              </w:rPr>
              <w:t>O</w:t>
            </w:r>
          </w:p>
        </w:tc>
        <w:tc>
          <w:tcPr>
            <w:tcW w:w="621" w:type="dxa"/>
            <w:vAlign w:val="center"/>
            <w:hideMark/>
          </w:tcPr>
          <w:p w14:paraId="32CC7EE0" w14:textId="77777777" w:rsidR="00F51113" w:rsidRPr="00841C21" w:rsidRDefault="00F51113">
            <w:pPr>
              <w:pStyle w:val="TableText"/>
              <w:jc w:val="center"/>
              <w:rPr>
                <w:szCs w:val="18"/>
              </w:rPr>
            </w:pPr>
            <w:r w:rsidRPr="00841C21">
              <w:rPr>
                <w:szCs w:val="18"/>
              </w:rPr>
              <w:t>0.29</w:t>
            </w:r>
          </w:p>
        </w:tc>
        <w:tc>
          <w:tcPr>
            <w:tcW w:w="621" w:type="dxa"/>
            <w:vAlign w:val="center"/>
            <w:hideMark/>
          </w:tcPr>
          <w:p w14:paraId="6A2C38A1" w14:textId="77777777" w:rsidR="00F51113" w:rsidRPr="00841C21" w:rsidRDefault="00F51113">
            <w:pPr>
              <w:pStyle w:val="TableText"/>
              <w:jc w:val="center"/>
              <w:rPr>
                <w:szCs w:val="18"/>
              </w:rPr>
            </w:pPr>
            <w:r w:rsidRPr="00841C21">
              <w:rPr>
                <w:szCs w:val="18"/>
              </w:rPr>
              <w:t>0.34</w:t>
            </w:r>
          </w:p>
        </w:tc>
        <w:tc>
          <w:tcPr>
            <w:tcW w:w="621" w:type="dxa"/>
            <w:vAlign w:val="center"/>
            <w:hideMark/>
          </w:tcPr>
          <w:p w14:paraId="3D856FD9" w14:textId="77777777" w:rsidR="00F51113" w:rsidRPr="00841C21" w:rsidRDefault="00F51113">
            <w:pPr>
              <w:pStyle w:val="TableText"/>
              <w:jc w:val="center"/>
              <w:rPr>
                <w:szCs w:val="18"/>
              </w:rPr>
            </w:pPr>
            <w:r w:rsidRPr="00841C21">
              <w:rPr>
                <w:szCs w:val="18"/>
              </w:rPr>
              <w:t>0.36</w:t>
            </w:r>
          </w:p>
        </w:tc>
        <w:tc>
          <w:tcPr>
            <w:tcW w:w="621" w:type="dxa"/>
            <w:vAlign w:val="center"/>
            <w:hideMark/>
          </w:tcPr>
          <w:p w14:paraId="4320BF3C" w14:textId="77777777" w:rsidR="00F51113" w:rsidRPr="00841C21" w:rsidRDefault="00F51113">
            <w:pPr>
              <w:pStyle w:val="TableText"/>
              <w:jc w:val="center"/>
              <w:rPr>
                <w:szCs w:val="18"/>
              </w:rPr>
            </w:pPr>
            <w:r w:rsidRPr="00841C21">
              <w:rPr>
                <w:szCs w:val="18"/>
              </w:rPr>
              <w:t>0.35</w:t>
            </w:r>
          </w:p>
        </w:tc>
        <w:tc>
          <w:tcPr>
            <w:tcW w:w="621" w:type="dxa"/>
            <w:vAlign w:val="center"/>
            <w:hideMark/>
          </w:tcPr>
          <w:p w14:paraId="5A552DBF" w14:textId="77777777" w:rsidR="00F51113" w:rsidRPr="00841C21" w:rsidRDefault="00F51113">
            <w:pPr>
              <w:pStyle w:val="TableText"/>
              <w:jc w:val="center"/>
              <w:rPr>
                <w:szCs w:val="18"/>
              </w:rPr>
            </w:pPr>
            <w:r w:rsidRPr="00841C21">
              <w:rPr>
                <w:szCs w:val="18"/>
              </w:rPr>
              <w:t>0.31</w:t>
            </w:r>
          </w:p>
        </w:tc>
        <w:tc>
          <w:tcPr>
            <w:tcW w:w="621" w:type="dxa"/>
            <w:vAlign w:val="center"/>
            <w:hideMark/>
          </w:tcPr>
          <w:p w14:paraId="10C8E722" w14:textId="77777777" w:rsidR="00F51113" w:rsidRPr="00841C21" w:rsidRDefault="00F51113">
            <w:pPr>
              <w:pStyle w:val="TableText"/>
              <w:jc w:val="center"/>
              <w:rPr>
                <w:szCs w:val="18"/>
              </w:rPr>
            </w:pPr>
            <w:r w:rsidRPr="00841C21">
              <w:rPr>
                <w:szCs w:val="18"/>
              </w:rPr>
              <w:t>0.26</w:t>
            </w:r>
          </w:p>
        </w:tc>
        <w:tc>
          <w:tcPr>
            <w:tcW w:w="621" w:type="dxa"/>
            <w:vAlign w:val="center"/>
            <w:hideMark/>
          </w:tcPr>
          <w:p w14:paraId="0657C8AA" w14:textId="77777777" w:rsidR="00F51113" w:rsidRPr="00841C21" w:rsidRDefault="00F51113">
            <w:pPr>
              <w:pStyle w:val="TableText"/>
              <w:jc w:val="center"/>
              <w:rPr>
                <w:szCs w:val="18"/>
              </w:rPr>
            </w:pPr>
            <w:r w:rsidRPr="00841C21">
              <w:rPr>
                <w:szCs w:val="18"/>
              </w:rPr>
              <w:t>0.25</w:t>
            </w:r>
          </w:p>
        </w:tc>
        <w:tc>
          <w:tcPr>
            <w:tcW w:w="621" w:type="dxa"/>
            <w:shd w:val="clear" w:color="auto" w:fill="D2DDE1" w:themeFill="background2"/>
            <w:vAlign w:val="center"/>
            <w:hideMark/>
          </w:tcPr>
          <w:p w14:paraId="70B9D5E8" w14:textId="77777777" w:rsidR="00F51113" w:rsidRPr="00841C21" w:rsidRDefault="00F51113">
            <w:pPr>
              <w:pStyle w:val="TableText"/>
              <w:jc w:val="center"/>
              <w:rPr>
                <w:szCs w:val="18"/>
              </w:rPr>
            </w:pPr>
            <w:r w:rsidRPr="00841C21">
              <w:rPr>
                <w:szCs w:val="18"/>
              </w:rPr>
              <w:t>0.25</w:t>
            </w:r>
          </w:p>
        </w:tc>
        <w:tc>
          <w:tcPr>
            <w:tcW w:w="621" w:type="dxa"/>
            <w:shd w:val="clear" w:color="auto" w:fill="D2DDE1" w:themeFill="background2"/>
            <w:vAlign w:val="center"/>
            <w:hideMark/>
          </w:tcPr>
          <w:p w14:paraId="24500F4F" w14:textId="77777777" w:rsidR="00F51113" w:rsidRPr="00841C21" w:rsidRDefault="00F51113">
            <w:pPr>
              <w:pStyle w:val="TableText"/>
              <w:jc w:val="center"/>
              <w:rPr>
                <w:szCs w:val="18"/>
              </w:rPr>
            </w:pPr>
            <w:r w:rsidRPr="00841C21">
              <w:rPr>
                <w:szCs w:val="18"/>
              </w:rPr>
              <w:t>0.25</w:t>
            </w:r>
          </w:p>
        </w:tc>
        <w:tc>
          <w:tcPr>
            <w:tcW w:w="621" w:type="dxa"/>
            <w:shd w:val="clear" w:color="auto" w:fill="D2DDE1" w:themeFill="background2"/>
            <w:vAlign w:val="center"/>
            <w:hideMark/>
          </w:tcPr>
          <w:p w14:paraId="2E67FE13" w14:textId="77777777" w:rsidR="00F51113" w:rsidRPr="00841C21" w:rsidRDefault="00F51113">
            <w:pPr>
              <w:pStyle w:val="TableText"/>
              <w:jc w:val="center"/>
              <w:rPr>
                <w:szCs w:val="18"/>
              </w:rPr>
            </w:pPr>
            <w:r w:rsidRPr="00841C21">
              <w:rPr>
                <w:szCs w:val="18"/>
              </w:rPr>
              <w:t>0.25</w:t>
            </w:r>
          </w:p>
        </w:tc>
        <w:tc>
          <w:tcPr>
            <w:tcW w:w="621" w:type="dxa"/>
            <w:shd w:val="clear" w:color="auto" w:fill="D2DDE1" w:themeFill="background2"/>
            <w:vAlign w:val="center"/>
            <w:hideMark/>
          </w:tcPr>
          <w:p w14:paraId="668AF777" w14:textId="77777777" w:rsidR="00F51113" w:rsidRPr="00841C21" w:rsidRDefault="00F51113">
            <w:pPr>
              <w:pStyle w:val="TableText"/>
              <w:jc w:val="center"/>
              <w:rPr>
                <w:szCs w:val="18"/>
              </w:rPr>
            </w:pPr>
            <w:r w:rsidRPr="00841C21">
              <w:rPr>
                <w:szCs w:val="18"/>
              </w:rPr>
              <w:t>0.25</w:t>
            </w:r>
          </w:p>
        </w:tc>
        <w:tc>
          <w:tcPr>
            <w:tcW w:w="621" w:type="dxa"/>
            <w:shd w:val="clear" w:color="auto" w:fill="D2DDE1" w:themeFill="background2"/>
            <w:vAlign w:val="center"/>
            <w:hideMark/>
          </w:tcPr>
          <w:p w14:paraId="7C4484E4" w14:textId="77777777" w:rsidR="00F51113" w:rsidRPr="00841C21" w:rsidRDefault="00F51113">
            <w:pPr>
              <w:pStyle w:val="TableText"/>
              <w:jc w:val="center"/>
              <w:rPr>
                <w:szCs w:val="18"/>
              </w:rPr>
            </w:pPr>
            <w:r w:rsidRPr="00841C21">
              <w:rPr>
                <w:szCs w:val="18"/>
              </w:rPr>
              <w:t>0.25</w:t>
            </w:r>
          </w:p>
        </w:tc>
        <w:tc>
          <w:tcPr>
            <w:tcW w:w="621" w:type="dxa"/>
            <w:shd w:val="clear" w:color="auto" w:fill="D2DDE1" w:themeFill="background2"/>
            <w:vAlign w:val="center"/>
            <w:hideMark/>
          </w:tcPr>
          <w:p w14:paraId="6BAB17E9" w14:textId="77777777" w:rsidR="00F51113" w:rsidRPr="00841C21" w:rsidRDefault="00F51113">
            <w:pPr>
              <w:pStyle w:val="TableText"/>
              <w:jc w:val="center"/>
              <w:rPr>
                <w:szCs w:val="18"/>
              </w:rPr>
            </w:pPr>
            <w:r w:rsidRPr="00841C21">
              <w:rPr>
                <w:szCs w:val="18"/>
              </w:rPr>
              <w:t>0.25</w:t>
            </w:r>
          </w:p>
        </w:tc>
      </w:tr>
      <w:tr w:rsidR="008B6354" w:rsidRPr="00841C21" w14:paraId="084DC251" w14:textId="77777777" w:rsidTr="00DC70A7">
        <w:trPr>
          <w:trHeight w:val="300"/>
        </w:trPr>
        <w:tc>
          <w:tcPr>
            <w:tcW w:w="621" w:type="dxa"/>
            <w:vAlign w:val="center"/>
            <w:hideMark/>
          </w:tcPr>
          <w:p w14:paraId="17EF869F" w14:textId="77777777" w:rsidR="00F51113" w:rsidRPr="00841C21" w:rsidRDefault="00F51113">
            <w:pPr>
              <w:pStyle w:val="TableText"/>
              <w:rPr>
                <w:szCs w:val="18"/>
              </w:rPr>
            </w:pPr>
            <w:r w:rsidRPr="00841C21">
              <w:rPr>
                <w:b/>
                <w:szCs w:val="18"/>
              </w:rPr>
              <w:t>Total</w:t>
            </w:r>
          </w:p>
        </w:tc>
        <w:tc>
          <w:tcPr>
            <w:tcW w:w="621" w:type="dxa"/>
            <w:vAlign w:val="center"/>
            <w:hideMark/>
          </w:tcPr>
          <w:p w14:paraId="5B0C335D" w14:textId="77777777" w:rsidR="00F51113" w:rsidRPr="00841C21" w:rsidRDefault="00F51113">
            <w:pPr>
              <w:pStyle w:val="TableText"/>
              <w:jc w:val="center"/>
              <w:rPr>
                <w:b/>
                <w:bCs/>
                <w:szCs w:val="18"/>
              </w:rPr>
            </w:pPr>
            <w:r w:rsidRPr="00841C21">
              <w:rPr>
                <w:b/>
                <w:bCs/>
                <w:szCs w:val="18"/>
              </w:rPr>
              <w:t>–24.3</w:t>
            </w:r>
          </w:p>
        </w:tc>
        <w:tc>
          <w:tcPr>
            <w:tcW w:w="621" w:type="dxa"/>
            <w:vAlign w:val="center"/>
            <w:hideMark/>
          </w:tcPr>
          <w:p w14:paraId="7E1B5A10" w14:textId="77777777" w:rsidR="00F51113" w:rsidRPr="00841C21" w:rsidRDefault="00F51113">
            <w:pPr>
              <w:pStyle w:val="TableText"/>
              <w:jc w:val="center"/>
              <w:rPr>
                <w:b/>
                <w:bCs/>
                <w:szCs w:val="18"/>
              </w:rPr>
            </w:pPr>
            <w:r w:rsidRPr="00841C21">
              <w:rPr>
                <w:b/>
                <w:bCs/>
                <w:szCs w:val="18"/>
              </w:rPr>
              <w:t>–23.7</w:t>
            </w:r>
          </w:p>
        </w:tc>
        <w:tc>
          <w:tcPr>
            <w:tcW w:w="621" w:type="dxa"/>
            <w:vAlign w:val="center"/>
            <w:hideMark/>
          </w:tcPr>
          <w:p w14:paraId="7A5B0B80" w14:textId="77777777" w:rsidR="00F51113" w:rsidRPr="00841C21" w:rsidRDefault="00F51113">
            <w:pPr>
              <w:pStyle w:val="TableText"/>
              <w:jc w:val="center"/>
              <w:rPr>
                <w:b/>
                <w:bCs/>
                <w:szCs w:val="18"/>
              </w:rPr>
            </w:pPr>
            <w:r w:rsidRPr="00841C21">
              <w:rPr>
                <w:b/>
                <w:bCs/>
                <w:szCs w:val="18"/>
              </w:rPr>
              <w:t>–27.4</w:t>
            </w:r>
          </w:p>
        </w:tc>
        <w:tc>
          <w:tcPr>
            <w:tcW w:w="621" w:type="dxa"/>
            <w:vAlign w:val="center"/>
            <w:hideMark/>
          </w:tcPr>
          <w:p w14:paraId="11D518BA" w14:textId="77777777" w:rsidR="00F51113" w:rsidRPr="00841C21" w:rsidRDefault="00F51113">
            <w:pPr>
              <w:pStyle w:val="TableText"/>
              <w:jc w:val="center"/>
              <w:rPr>
                <w:b/>
                <w:bCs/>
                <w:szCs w:val="18"/>
              </w:rPr>
            </w:pPr>
            <w:r w:rsidRPr="00841C21">
              <w:rPr>
                <w:b/>
                <w:bCs/>
                <w:szCs w:val="18"/>
              </w:rPr>
              <w:t>–24.3</w:t>
            </w:r>
          </w:p>
        </w:tc>
        <w:tc>
          <w:tcPr>
            <w:tcW w:w="621" w:type="dxa"/>
            <w:vAlign w:val="center"/>
            <w:hideMark/>
          </w:tcPr>
          <w:p w14:paraId="37224859" w14:textId="77777777" w:rsidR="00F51113" w:rsidRPr="00841C21" w:rsidRDefault="00F51113">
            <w:pPr>
              <w:pStyle w:val="TableText"/>
              <w:jc w:val="center"/>
              <w:rPr>
                <w:b/>
                <w:bCs/>
                <w:szCs w:val="18"/>
              </w:rPr>
            </w:pPr>
            <w:r w:rsidRPr="00841C21">
              <w:rPr>
                <w:b/>
                <w:bCs/>
                <w:szCs w:val="18"/>
              </w:rPr>
              <w:t>–28.6</w:t>
            </w:r>
          </w:p>
        </w:tc>
        <w:tc>
          <w:tcPr>
            <w:tcW w:w="621" w:type="dxa"/>
            <w:vAlign w:val="center"/>
            <w:hideMark/>
          </w:tcPr>
          <w:p w14:paraId="393E61B0" w14:textId="77777777" w:rsidR="00F51113" w:rsidRPr="00841C21" w:rsidRDefault="00F51113">
            <w:pPr>
              <w:pStyle w:val="TableText"/>
              <w:jc w:val="center"/>
              <w:rPr>
                <w:b/>
                <w:bCs/>
                <w:szCs w:val="18"/>
              </w:rPr>
            </w:pPr>
            <w:r w:rsidRPr="00841C21">
              <w:rPr>
                <w:b/>
                <w:bCs/>
                <w:szCs w:val="18"/>
              </w:rPr>
              <w:t>–25.6</w:t>
            </w:r>
          </w:p>
        </w:tc>
        <w:tc>
          <w:tcPr>
            <w:tcW w:w="621" w:type="dxa"/>
            <w:vAlign w:val="center"/>
            <w:hideMark/>
          </w:tcPr>
          <w:p w14:paraId="2936713C" w14:textId="77777777" w:rsidR="00F51113" w:rsidRPr="00841C21" w:rsidRDefault="00F51113">
            <w:pPr>
              <w:pStyle w:val="TableText"/>
              <w:jc w:val="center"/>
              <w:rPr>
                <w:b/>
                <w:bCs/>
                <w:szCs w:val="18"/>
              </w:rPr>
            </w:pPr>
            <w:r w:rsidRPr="00841C21">
              <w:rPr>
                <w:b/>
                <w:bCs/>
                <w:szCs w:val="18"/>
              </w:rPr>
              <w:t>–21.1</w:t>
            </w:r>
          </w:p>
        </w:tc>
        <w:tc>
          <w:tcPr>
            <w:tcW w:w="621" w:type="dxa"/>
            <w:shd w:val="clear" w:color="auto" w:fill="D2DDE1" w:themeFill="background2"/>
            <w:vAlign w:val="center"/>
            <w:hideMark/>
          </w:tcPr>
          <w:p w14:paraId="28A2CB89" w14:textId="77777777" w:rsidR="00F51113" w:rsidRPr="00841C21" w:rsidRDefault="00F51113">
            <w:pPr>
              <w:pStyle w:val="TableText"/>
              <w:jc w:val="center"/>
              <w:rPr>
                <w:b/>
                <w:bCs/>
                <w:szCs w:val="18"/>
              </w:rPr>
            </w:pPr>
            <w:r w:rsidRPr="00841C21">
              <w:rPr>
                <w:b/>
                <w:bCs/>
                <w:szCs w:val="18"/>
              </w:rPr>
              <w:t>–12.2</w:t>
            </w:r>
          </w:p>
        </w:tc>
        <w:tc>
          <w:tcPr>
            <w:tcW w:w="621" w:type="dxa"/>
            <w:shd w:val="clear" w:color="auto" w:fill="D2DDE1" w:themeFill="background2"/>
            <w:vAlign w:val="center"/>
            <w:hideMark/>
          </w:tcPr>
          <w:p w14:paraId="08671E37" w14:textId="77777777" w:rsidR="00F51113" w:rsidRPr="00841C21" w:rsidRDefault="00F51113">
            <w:pPr>
              <w:pStyle w:val="TableText"/>
              <w:jc w:val="center"/>
              <w:rPr>
                <w:b/>
                <w:bCs/>
                <w:szCs w:val="18"/>
              </w:rPr>
            </w:pPr>
            <w:r w:rsidRPr="00841C21">
              <w:rPr>
                <w:b/>
                <w:bCs/>
                <w:szCs w:val="18"/>
              </w:rPr>
              <w:t>–17.0</w:t>
            </w:r>
          </w:p>
        </w:tc>
        <w:tc>
          <w:tcPr>
            <w:tcW w:w="621" w:type="dxa"/>
            <w:shd w:val="clear" w:color="auto" w:fill="D2DDE1" w:themeFill="background2"/>
            <w:vAlign w:val="center"/>
            <w:hideMark/>
          </w:tcPr>
          <w:p w14:paraId="76FED67B" w14:textId="77777777" w:rsidR="00F51113" w:rsidRPr="00841C21" w:rsidRDefault="00F51113">
            <w:pPr>
              <w:pStyle w:val="TableText"/>
              <w:jc w:val="center"/>
              <w:rPr>
                <w:b/>
                <w:bCs/>
                <w:szCs w:val="18"/>
              </w:rPr>
            </w:pPr>
            <w:r w:rsidRPr="00841C21">
              <w:rPr>
                <w:b/>
                <w:bCs/>
                <w:szCs w:val="18"/>
              </w:rPr>
              <w:t>–27.4</w:t>
            </w:r>
          </w:p>
        </w:tc>
        <w:tc>
          <w:tcPr>
            <w:tcW w:w="621" w:type="dxa"/>
            <w:shd w:val="clear" w:color="auto" w:fill="D2DDE1" w:themeFill="background2"/>
            <w:vAlign w:val="center"/>
            <w:hideMark/>
          </w:tcPr>
          <w:p w14:paraId="297716DC" w14:textId="77777777" w:rsidR="00F51113" w:rsidRPr="00841C21" w:rsidRDefault="00F51113">
            <w:pPr>
              <w:pStyle w:val="TableText"/>
              <w:jc w:val="center"/>
              <w:rPr>
                <w:b/>
                <w:bCs/>
                <w:szCs w:val="18"/>
              </w:rPr>
            </w:pPr>
            <w:r w:rsidRPr="00841C21">
              <w:rPr>
                <w:b/>
                <w:bCs/>
                <w:szCs w:val="18"/>
              </w:rPr>
              <w:t>–20.4</w:t>
            </w:r>
          </w:p>
        </w:tc>
        <w:tc>
          <w:tcPr>
            <w:tcW w:w="621" w:type="dxa"/>
            <w:shd w:val="clear" w:color="auto" w:fill="D2DDE1" w:themeFill="background2"/>
            <w:vAlign w:val="center"/>
            <w:hideMark/>
          </w:tcPr>
          <w:p w14:paraId="58B4B83B" w14:textId="77777777" w:rsidR="00F51113" w:rsidRPr="00841C21" w:rsidRDefault="00F51113">
            <w:pPr>
              <w:pStyle w:val="TableText"/>
              <w:jc w:val="center"/>
              <w:rPr>
                <w:b/>
                <w:bCs/>
                <w:szCs w:val="18"/>
              </w:rPr>
            </w:pPr>
            <w:r w:rsidRPr="00841C21">
              <w:rPr>
                <w:b/>
                <w:bCs/>
                <w:szCs w:val="18"/>
              </w:rPr>
              <w:t>–27.9</w:t>
            </w:r>
          </w:p>
        </w:tc>
        <w:tc>
          <w:tcPr>
            <w:tcW w:w="621" w:type="dxa"/>
            <w:shd w:val="clear" w:color="auto" w:fill="D2DDE1" w:themeFill="background2"/>
            <w:vAlign w:val="center"/>
            <w:hideMark/>
          </w:tcPr>
          <w:p w14:paraId="280CA61F" w14:textId="77777777" w:rsidR="00F51113" w:rsidRPr="00841C21" w:rsidRDefault="00F51113">
            <w:pPr>
              <w:pStyle w:val="TableText"/>
              <w:jc w:val="center"/>
              <w:rPr>
                <w:b/>
                <w:bCs/>
                <w:szCs w:val="18"/>
              </w:rPr>
            </w:pPr>
            <w:r w:rsidRPr="00841C21">
              <w:rPr>
                <w:b/>
                <w:bCs/>
                <w:szCs w:val="18"/>
              </w:rPr>
              <w:t>–28.9</w:t>
            </w:r>
          </w:p>
        </w:tc>
      </w:tr>
    </w:tbl>
    <w:p w14:paraId="2A2442BE" w14:textId="3E7D452A" w:rsidR="00F51113" w:rsidRPr="004C2DCD" w:rsidRDefault="00F51113" w:rsidP="00F51113">
      <w:pPr>
        <w:pStyle w:val="Note"/>
        <w:spacing w:after="0"/>
      </w:pPr>
      <w:r w:rsidRPr="004C2DCD">
        <w:rPr>
          <w:b/>
          <w:bCs/>
        </w:rPr>
        <w:t>Note</w:t>
      </w:r>
      <w:r w:rsidRPr="004C2DCD">
        <w:t>: Net emissions expressed as negatives (–) represent the amount of carbon dioxide equivalent that is removed from the atmosphere, while emissions expressed as positives</w:t>
      </w:r>
      <w:r w:rsidRPr="004C2DCD" w:rsidDel="00DC1AEA">
        <w:t xml:space="preserve"> </w:t>
      </w:r>
      <w:r w:rsidRPr="004C2DCD">
        <w:t>represent emissions to the atmosphere. CH</w:t>
      </w:r>
      <w:r w:rsidRPr="004C2DCD">
        <w:rPr>
          <w:vertAlign w:val="subscript"/>
        </w:rPr>
        <w:t>4</w:t>
      </w:r>
      <w:r w:rsidRPr="004C2DCD">
        <w:t xml:space="preserve"> = methane; </w:t>
      </w:r>
      <w:r w:rsidRPr="004C2DCD">
        <w:rPr>
          <w:szCs w:val="18"/>
        </w:rPr>
        <w:t>CO</w:t>
      </w:r>
      <w:r w:rsidRPr="004C2DCD">
        <w:rPr>
          <w:szCs w:val="18"/>
          <w:vertAlign w:val="subscript"/>
        </w:rPr>
        <w:t xml:space="preserve">2 </w:t>
      </w:r>
      <w:r w:rsidRPr="004C2DCD">
        <w:rPr>
          <w:szCs w:val="18"/>
        </w:rPr>
        <w:t xml:space="preserve">= carbon dioxide; </w:t>
      </w:r>
      <w:r w:rsidRPr="004C2DCD">
        <w:t>N</w:t>
      </w:r>
      <w:r w:rsidRPr="004C2DCD">
        <w:rPr>
          <w:vertAlign w:val="subscript"/>
        </w:rPr>
        <w:t>2</w:t>
      </w:r>
      <w:r w:rsidRPr="004C2DCD">
        <w:t xml:space="preserve">O = nitrous oxide. Totals may not add up due to rounding. </w:t>
      </w:r>
    </w:p>
    <w:p w14:paraId="4C213808" w14:textId="77777777" w:rsidR="00F51113" w:rsidRPr="004C2DCD" w:rsidRDefault="00F51113" w:rsidP="00FC319B">
      <w:pPr>
        <w:pStyle w:val="Heading2"/>
        <w:numPr>
          <w:ilvl w:val="0"/>
          <w:numId w:val="109"/>
        </w:numPr>
        <w:ind w:left="1134" w:hanging="1134"/>
      </w:pPr>
      <w:bookmarkStart w:id="585" w:name="section255"/>
      <w:bookmarkStart w:id="586" w:name="_Toc184825527"/>
      <w:bookmarkEnd w:id="585"/>
      <w:r w:rsidRPr="004C2DCD">
        <w:t>Methodologies for the ‘with existing measures’ scenario</w:t>
      </w:r>
      <w:bookmarkEnd w:id="586"/>
    </w:p>
    <w:p w14:paraId="316F6FE9" w14:textId="77777777" w:rsidR="00F51113" w:rsidRPr="004C2DCD" w:rsidRDefault="00F51113" w:rsidP="00FC319B">
      <w:pPr>
        <w:pStyle w:val="Heading3"/>
        <w:numPr>
          <w:ilvl w:val="0"/>
          <w:numId w:val="113"/>
        </w:numPr>
        <w:ind w:left="1134" w:hanging="1134"/>
      </w:pPr>
      <w:r w:rsidRPr="004C2DCD">
        <w:t>Overview of ‘with existing measures’ modelling approach</w:t>
      </w:r>
    </w:p>
    <w:p w14:paraId="1B2511CB" w14:textId="77777777" w:rsidR="00F51113" w:rsidRPr="004C2DCD" w:rsidRDefault="00F51113" w:rsidP="00F51113">
      <w:pPr>
        <w:pStyle w:val="BodyText"/>
      </w:pPr>
      <w:r w:rsidRPr="004C2DCD">
        <w:t xml:space="preserve">New Zealand uses two types of models to project GHG emissions: </w:t>
      </w:r>
    </w:p>
    <w:p w14:paraId="78284B8B" w14:textId="77777777" w:rsidR="00F51113" w:rsidRPr="004C2DCD" w:rsidRDefault="00F51113" w:rsidP="00F51113">
      <w:pPr>
        <w:pStyle w:val="Bullet"/>
      </w:pPr>
      <w:r w:rsidRPr="004C2DCD">
        <w:t>‘sector-based’ emissions models, which, for some sectors, are extensions of models used for the Inventory</w:t>
      </w:r>
    </w:p>
    <w:p w14:paraId="3CE7198B" w14:textId="77777777" w:rsidR="00F51113" w:rsidRPr="004C2DCD" w:rsidRDefault="00F51113" w:rsidP="00F51113">
      <w:pPr>
        <w:pStyle w:val="Bullet"/>
      </w:pPr>
      <w:r w:rsidRPr="004C2DCD">
        <w:t xml:space="preserve">the ‘Emissions in New Zealand’ (ENZ) model, which is a bottom-up ‘whole-of-economy’ model that includes data to represent individual industries and technologies. </w:t>
      </w:r>
    </w:p>
    <w:p w14:paraId="08CBC1B1" w14:textId="77777777" w:rsidR="00F51113" w:rsidRPr="004C2DCD" w:rsidRDefault="00F51113" w:rsidP="00F51113">
      <w:pPr>
        <w:pStyle w:val="BodyText"/>
      </w:pPr>
      <w:r w:rsidRPr="004C2DCD">
        <w:t>Sector-based emissions models are comprehensive and incorporate macroeconomic and sector-specific assumptions. The ENZ model incorporates these assumptions but can also model how emissions outcomes may vary given changes in future ‘state-of-the-world’ drivers (eg, technology or commodity prices) or policy settings (eg, NZ ETS pricing) in an endogenous or exogenous manner.</w:t>
      </w:r>
    </w:p>
    <w:p w14:paraId="0BD24EC3" w14:textId="77777777" w:rsidR="00F51113" w:rsidRPr="004C2DCD" w:rsidRDefault="00F51113" w:rsidP="00F51113">
      <w:pPr>
        <w:pStyle w:val="BodyText"/>
      </w:pPr>
      <w:r w:rsidRPr="004C2DCD">
        <w:t>The combined use of sector-based and ENZ models enables the development of economy-wide GHG emissions projections data when macroeconomic assumptions, technology or policy settings change, and supports ongoing policy development and target tracking. Sector-based models are developed and run by different New Zealand government agencies, are granular in nature and based on a range of detailed inputs. This means several months are required to compile sector-based projections. The ENZ model is flexible by nature and, while it retains a degree of granularity observed in sector-based models, it can respond to</w:t>
      </w:r>
      <w:r w:rsidRPr="004C2DCD" w:rsidDel="00DE76A4">
        <w:t xml:space="preserve"> </w:t>
      </w:r>
      <w:r w:rsidRPr="004C2DCD">
        <w:t>changing macroeconomic assumptions, technology or policy settings in a more timely manner. An important advantage of applying ENZ is that it also models interactions between and among sectors (such as the effect of carbon prices) to provide more realistic projections.</w:t>
      </w:r>
    </w:p>
    <w:p w14:paraId="1E244FCE" w14:textId="77777777" w:rsidR="00F51113" w:rsidRPr="004C2DCD" w:rsidRDefault="00F51113" w:rsidP="00F51113">
      <w:pPr>
        <w:pStyle w:val="BodyText"/>
      </w:pPr>
      <w:r w:rsidRPr="004C2DCD">
        <w:t xml:space="preserve">For this report, WEM model projections using macroeconomic and sector-specific assumptions have been compiled by applying sector-based models. Sector-based model outputs are then used to calibrate the ENZ model. This calibration ensures the ENZ model uses the latest sector-specific information from sector-based models and external changes, including the same input data, the latest Inventory, and different policy assumptions or macroeconomic assumptions. Following this calibration, ENZ is used to produce WEM GHG emissions projections time series data for all sectors except LULUCF reporting and Tokelau. ENZ does not produce LULUCF reporting and Tokelau emissions projections, and sector-based projections data are provided for LULUCF reporting and Tokelau for the WEM scenario. </w:t>
      </w:r>
    </w:p>
    <w:p w14:paraId="721657D1" w14:textId="77777777" w:rsidR="00F51113" w:rsidRPr="004C2DCD" w:rsidRDefault="00F51113" w:rsidP="00F51113">
      <w:pPr>
        <w:pStyle w:val="BodyText"/>
      </w:pPr>
      <w:r w:rsidRPr="004C2DCD">
        <w:t>The WEM GHG emissions projections data presented in this section are derived from the combined ENZ and sector-specific modelling approach described above and shown in figure 2.5.13.</w:t>
      </w:r>
    </w:p>
    <w:p w14:paraId="5E33DFCA" w14:textId="77777777" w:rsidR="00F51113" w:rsidRPr="004C2DCD" w:rsidRDefault="00F51113" w:rsidP="00201256">
      <w:pPr>
        <w:pStyle w:val="Figureheading"/>
      </w:pPr>
      <w:bookmarkStart w:id="587" w:name="_Toc185347257"/>
      <w:r w:rsidRPr="004C2DCD">
        <w:t xml:space="preserve">Figure 2.5.13: </w:t>
      </w:r>
      <w:r w:rsidRPr="004C2DCD">
        <w:tab/>
        <w:t>Overview of ‘with existing measures’ modelling approach</w:t>
      </w:r>
      <w:bookmarkEnd w:id="587"/>
    </w:p>
    <w:p w14:paraId="071D33C2" w14:textId="77777777" w:rsidR="00F51113" w:rsidRPr="004C2DCD" w:rsidRDefault="00F51113" w:rsidP="00F51113">
      <w:pPr>
        <w:pStyle w:val="BodyText"/>
        <w:spacing w:after="80"/>
      </w:pPr>
      <w:r w:rsidRPr="004C2DCD">
        <w:rPr>
          <w:noProof/>
        </w:rPr>
        <w:drawing>
          <wp:inline distT="0" distB="0" distL="0" distR="0" wp14:anchorId="047507B7" wp14:editId="744EEA9E">
            <wp:extent cx="5400675" cy="3720055"/>
            <wp:effectExtent l="0" t="0" r="0" b="0"/>
            <wp:docPr id="1599357669" name="Picture 1599357669" descr="A flow diagram providing an overview of the combined Emissions in New Zealand and sector-specific ‘with existing measures’ modelling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57669" name="Picture 1599357669" descr="A flow diagram providing an overview of the combined Emissions in New Zealand and sector-specific ‘with existing measures’ modelling approach."/>
                    <pic:cNvPicPr/>
                  </pic:nvPicPr>
                  <pic:blipFill rotWithShape="1">
                    <a:blip r:embed="rId109">
                      <a:extLst>
                        <a:ext uri="{28A0092B-C50C-407E-A947-70E740481C1C}">
                          <a14:useLocalDpi xmlns:a14="http://schemas.microsoft.com/office/drawing/2010/main" val="0"/>
                        </a:ext>
                      </a:extLst>
                    </a:blip>
                    <a:srcRect t="1623"/>
                    <a:stretch/>
                  </pic:blipFill>
                  <pic:spPr bwMode="auto">
                    <a:xfrm>
                      <a:off x="0" y="0"/>
                      <a:ext cx="5400675" cy="3720055"/>
                    </a:xfrm>
                    <a:prstGeom prst="rect">
                      <a:avLst/>
                    </a:prstGeom>
                    <a:ln>
                      <a:noFill/>
                    </a:ln>
                    <a:extLst>
                      <a:ext uri="{53640926-AAD7-44D8-BBD7-CCE9431645EC}">
                        <a14:shadowObscured xmlns:a14="http://schemas.microsoft.com/office/drawing/2010/main"/>
                      </a:ext>
                    </a:extLst>
                  </pic:spPr>
                </pic:pic>
              </a:graphicData>
            </a:graphic>
          </wp:inline>
        </w:drawing>
      </w:r>
    </w:p>
    <w:p w14:paraId="0657581F" w14:textId="77777777" w:rsidR="00F51113" w:rsidRPr="004C2DCD" w:rsidRDefault="00F51113" w:rsidP="00F51113">
      <w:pPr>
        <w:pStyle w:val="Note"/>
        <w:spacing w:after="0"/>
      </w:pPr>
      <w:r w:rsidRPr="004C2DCD">
        <w:rPr>
          <w:b/>
          <w:bCs/>
        </w:rPr>
        <w:t>Note:</w:t>
      </w:r>
      <w:r w:rsidRPr="004C2DCD">
        <w:t xml:space="preserve"> ENZ = Emissions in New Zealand; GDP = gross domestic product; IPPU = Industrial Processes and Product Use; NZ-USD = New Zealand-United States dollars; LULUCF = Land Use, Land-Use Change and Forestry.</w:t>
      </w:r>
    </w:p>
    <w:p w14:paraId="5FDC4B0B" w14:textId="77777777" w:rsidR="00F51113" w:rsidRPr="004C2DCD" w:rsidRDefault="00F51113" w:rsidP="00784F5F">
      <w:pPr>
        <w:pStyle w:val="Heading3"/>
        <w:numPr>
          <w:ilvl w:val="0"/>
          <w:numId w:val="113"/>
        </w:numPr>
      </w:pPr>
      <w:r w:rsidRPr="004C2DCD">
        <w:t>Overview of sector-based methods</w:t>
      </w:r>
    </w:p>
    <w:p w14:paraId="2137BE2A" w14:textId="77777777" w:rsidR="00F51113" w:rsidRPr="004C2DCD" w:rsidRDefault="00F51113" w:rsidP="00F51113">
      <w:pPr>
        <w:pStyle w:val="Tableheading"/>
        <w:ind w:left="1276" w:hanging="1276"/>
      </w:pPr>
      <w:bookmarkStart w:id="588" w:name="_Toc183789703"/>
      <w:bookmarkStart w:id="589" w:name="_Toc121773803"/>
      <w:bookmarkStart w:id="590" w:name="_Toc185407476"/>
      <w:bookmarkStart w:id="591" w:name="_Toc185427739"/>
      <w:r w:rsidRPr="004C2DCD">
        <w:t xml:space="preserve">Table 2.5.11: </w:t>
      </w:r>
      <w:r w:rsidRPr="004C2DCD">
        <w:tab/>
        <w:t>Overview of sector-based models and approaches used to project New Zealand’s greenhouse gas emissions</w:t>
      </w:r>
      <w:bookmarkEnd w:id="588"/>
      <w:bookmarkEnd w:id="590"/>
      <w:bookmarkEnd w:id="591"/>
      <w:r w:rsidRPr="004C2DCD">
        <w:t xml:space="preserve"> </w:t>
      </w:r>
      <w:bookmarkEnd w:id="589"/>
    </w:p>
    <w:tbl>
      <w:tblPr>
        <w:tblStyle w:val="TableGrid1"/>
        <w:tblW w:w="8562" w:type="dxa"/>
        <w:tblInd w:w="0" w:type="dxa"/>
        <w:tblBorders>
          <w:insideH w:val="single" w:sz="6" w:space="0" w:color="1B556B" w:themeColor="text2"/>
          <w:insideV w:val="single" w:sz="6" w:space="0" w:color="1B556B" w:themeColor="text2"/>
        </w:tblBorders>
        <w:tblLayout w:type="fixed"/>
        <w:tblCellMar>
          <w:left w:w="57" w:type="dxa"/>
          <w:right w:w="57" w:type="dxa"/>
        </w:tblCellMar>
        <w:tblLook w:val="04A0" w:firstRow="1" w:lastRow="0" w:firstColumn="1" w:lastColumn="0" w:noHBand="0" w:noVBand="1"/>
      </w:tblPr>
      <w:tblGrid>
        <w:gridCol w:w="1227"/>
        <w:gridCol w:w="999"/>
        <w:gridCol w:w="1455"/>
        <w:gridCol w:w="1427"/>
        <w:gridCol w:w="1696"/>
        <w:gridCol w:w="1758"/>
      </w:tblGrid>
      <w:tr w:rsidR="00F51113" w:rsidRPr="004C2DCD" w14:paraId="54D9CAA7" w14:textId="77777777">
        <w:trPr>
          <w:tblHeader/>
        </w:trPr>
        <w:tc>
          <w:tcPr>
            <w:tcW w:w="1227" w:type="dxa"/>
            <w:tcBorders>
              <w:top w:val="single" w:sz="4" w:space="0" w:color="1B556B" w:themeColor="text2"/>
              <w:bottom w:val="nil"/>
              <w:right w:val="nil"/>
            </w:tcBorders>
            <w:shd w:val="clear" w:color="auto" w:fill="1B556B" w:themeFill="text2"/>
            <w:vAlign w:val="bottom"/>
          </w:tcPr>
          <w:p w14:paraId="72870A93" w14:textId="77777777" w:rsidR="00F51113" w:rsidRPr="004C2DCD" w:rsidRDefault="00F51113">
            <w:pPr>
              <w:pStyle w:val="TableText"/>
              <w:spacing w:before="30" w:after="40"/>
              <w:rPr>
                <w:rFonts w:cs="Calibri"/>
                <w:b/>
                <w:bCs/>
                <w:color w:val="FFFFFF" w:themeColor="background1"/>
                <w:szCs w:val="18"/>
                <w:lang w:val="en-NZ"/>
              </w:rPr>
            </w:pPr>
            <w:r w:rsidRPr="004C2DCD">
              <w:rPr>
                <w:rFonts w:cs="Calibri"/>
                <w:b/>
                <w:bCs/>
                <w:color w:val="FFFFFF" w:themeColor="background1"/>
                <w:szCs w:val="18"/>
                <w:lang w:val="en-NZ"/>
              </w:rPr>
              <w:t>Sector(s)</w:t>
            </w:r>
          </w:p>
        </w:tc>
        <w:tc>
          <w:tcPr>
            <w:tcW w:w="999" w:type="dxa"/>
            <w:tcBorders>
              <w:top w:val="single" w:sz="4" w:space="0" w:color="1B556B" w:themeColor="text2"/>
              <w:left w:val="nil"/>
              <w:bottom w:val="nil"/>
              <w:right w:val="nil"/>
            </w:tcBorders>
            <w:shd w:val="clear" w:color="auto" w:fill="1B556B" w:themeFill="text2"/>
            <w:vAlign w:val="bottom"/>
          </w:tcPr>
          <w:p w14:paraId="41ADA7E2" w14:textId="77777777" w:rsidR="00F51113" w:rsidRPr="004C2DCD" w:rsidRDefault="00F51113">
            <w:pPr>
              <w:pStyle w:val="TableText"/>
              <w:spacing w:before="30" w:after="40"/>
              <w:rPr>
                <w:rFonts w:cs="Calibri"/>
                <w:b/>
                <w:bCs/>
                <w:color w:val="FFFFFF" w:themeColor="background1"/>
                <w:szCs w:val="18"/>
                <w:lang w:val="en-NZ"/>
              </w:rPr>
            </w:pPr>
            <w:r w:rsidRPr="004C2DCD">
              <w:rPr>
                <w:rFonts w:cs="Calibri"/>
                <w:b/>
                <w:bCs/>
                <w:color w:val="FFFFFF" w:themeColor="background1"/>
                <w:szCs w:val="18"/>
                <w:lang w:val="en-NZ"/>
              </w:rPr>
              <w:t>Gases</w:t>
            </w:r>
          </w:p>
        </w:tc>
        <w:tc>
          <w:tcPr>
            <w:tcW w:w="1455" w:type="dxa"/>
            <w:tcBorders>
              <w:top w:val="single" w:sz="4" w:space="0" w:color="1B556B" w:themeColor="text2"/>
              <w:left w:val="nil"/>
              <w:bottom w:val="nil"/>
              <w:right w:val="nil"/>
            </w:tcBorders>
            <w:shd w:val="clear" w:color="auto" w:fill="1B556B" w:themeFill="text2"/>
            <w:vAlign w:val="bottom"/>
          </w:tcPr>
          <w:p w14:paraId="3E0E53F5" w14:textId="77777777" w:rsidR="00F51113" w:rsidRPr="004C2DCD" w:rsidRDefault="00F51113">
            <w:pPr>
              <w:pStyle w:val="TableText"/>
              <w:spacing w:before="30" w:after="40"/>
              <w:rPr>
                <w:rFonts w:cs="Calibri"/>
                <w:b/>
                <w:bCs/>
                <w:color w:val="FFFFFF" w:themeColor="background1"/>
                <w:szCs w:val="18"/>
                <w:lang w:val="en-NZ"/>
              </w:rPr>
            </w:pPr>
            <w:r w:rsidRPr="004C2DCD">
              <w:rPr>
                <w:rFonts w:cs="Calibri"/>
                <w:b/>
                <w:bCs/>
                <w:color w:val="FFFFFF" w:themeColor="background1"/>
                <w:szCs w:val="18"/>
                <w:lang w:val="en-NZ"/>
              </w:rPr>
              <w:t>Type and characteristics of approach or model</w:t>
            </w:r>
          </w:p>
        </w:tc>
        <w:tc>
          <w:tcPr>
            <w:tcW w:w="1427" w:type="dxa"/>
            <w:tcBorders>
              <w:top w:val="single" w:sz="4" w:space="0" w:color="1B556B" w:themeColor="text2"/>
              <w:left w:val="nil"/>
              <w:bottom w:val="nil"/>
              <w:right w:val="nil"/>
            </w:tcBorders>
            <w:shd w:val="clear" w:color="auto" w:fill="1B556B" w:themeFill="text2"/>
            <w:vAlign w:val="bottom"/>
          </w:tcPr>
          <w:p w14:paraId="46B7A316" w14:textId="77777777" w:rsidR="00F51113" w:rsidRPr="004C2DCD" w:rsidRDefault="00F51113">
            <w:pPr>
              <w:pStyle w:val="TableText"/>
              <w:spacing w:before="30" w:after="40"/>
              <w:rPr>
                <w:rFonts w:cs="Calibri"/>
                <w:b/>
                <w:bCs/>
                <w:color w:val="FFFFFF" w:themeColor="background1"/>
                <w:szCs w:val="18"/>
                <w:lang w:val="en-NZ"/>
              </w:rPr>
            </w:pPr>
            <w:r w:rsidRPr="004C2DCD">
              <w:rPr>
                <w:rFonts w:cs="Calibri"/>
                <w:b/>
                <w:bCs/>
                <w:color w:val="FFFFFF" w:themeColor="background1"/>
                <w:szCs w:val="18"/>
                <w:lang w:val="en-NZ"/>
              </w:rPr>
              <w:t>Original purpose of approach or model</w:t>
            </w:r>
          </w:p>
        </w:tc>
        <w:tc>
          <w:tcPr>
            <w:tcW w:w="1696" w:type="dxa"/>
            <w:tcBorders>
              <w:top w:val="single" w:sz="4" w:space="0" w:color="1B556B" w:themeColor="text2"/>
              <w:left w:val="nil"/>
              <w:bottom w:val="nil"/>
              <w:right w:val="nil"/>
            </w:tcBorders>
            <w:shd w:val="clear" w:color="auto" w:fill="1B556B" w:themeFill="text2"/>
            <w:vAlign w:val="bottom"/>
          </w:tcPr>
          <w:p w14:paraId="0DF86EF8" w14:textId="77777777" w:rsidR="00F51113" w:rsidRPr="004C2DCD" w:rsidRDefault="00F51113">
            <w:pPr>
              <w:pStyle w:val="TableText"/>
              <w:spacing w:before="30" w:after="40"/>
              <w:rPr>
                <w:rFonts w:cs="Calibri"/>
                <w:b/>
                <w:bCs/>
                <w:color w:val="FFFFFF" w:themeColor="background1"/>
                <w:szCs w:val="18"/>
                <w:lang w:val="en-NZ"/>
              </w:rPr>
            </w:pPr>
            <w:r w:rsidRPr="004C2DCD">
              <w:rPr>
                <w:rFonts w:cs="Calibri"/>
                <w:b/>
                <w:bCs/>
                <w:color w:val="FFFFFF" w:themeColor="background1"/>
                <w:szCs w:val="18"/>
                <w:lang w:val="en-NZ"/>
              </w:rPr>
              <w:t>Strengths and weaknesses</w:t>
            </w:r>
          </w:p>
        </w:tc>
        <w:tc>
          <w:tcPr>
            <w:tcW w:w="1758" w:type="dxa"/>
            <w:tcBorders>
              <w:top w:val="single" w:sz="4" w:space="0" w:color="1B556B" w:themeColor="text2"/>
              <w:left w:val="nil"/>
              <w:bottom w:val="nil"/>
            </w:tcBorders>
            <w:shd w:val="clear" w:color="auto" w:fill="1B556B" w:themeFill="text2"/>
            <w:vAlign w:val="bottom"/>
          </w:tcPr>
          <w:p w14:paraId="0EC5C9C2" w14:textId="77777777" w:rsidR="00F51113" w:rsidRPr="004C2DCD" w:rsidRDefault="00F51113">
            <w:pPr>
              <w:pStyle w:val="TableText"/>
              <w:spacing w:before="30" w:after="40"/>
              <w:rPr>
                <w:rFonts w:cs="Calibri"/>
                <w:b/>
                <w:bCs/>
                <w:color w:val="FFFFFF" w:themeColor="background1"/>
                <w:szCs w:val="18"/>
                <w:lang w:val="en-NZ"/>
              </w:rPr>
            </w:pPr>
            <w:r w:rsidRPr="004C2DCD">
              <w:rPr>
                <w:rFonts w:cs="Calibri"/>
                <w:b/>
                <w:bCs/>
                <w:color w:val="FFFFFF" w:themeColor="background1"/>
                <w:szCs w:val="18"/>
                <w:lang w:val="en-NZ"/>
              </w:rPr>
              <w:t>Accounting of overlaps and synergies</w:t>
            </w:r>
          </w:p>
        </w:tc>
      </w:tr>
      <w:tr w:rsidR="00F51113" w:rsidRPr="004C2DCD" w14:paraId="1D90F01B" w14:textId="77777777">
        <w:tc>
          <w:tcPr>
            <w:tcW w:w="1227" w:type="dxa"/>
            <w:tcBorders>
              <w:top w:val="nil"/>
              <w:bottom w:val="single" w:sz="4" w:space="0" w:color="1B556B" w:themeColor="text2"/>
            </w:tcBorders>
          </w:tcPr>
          <w:p w14:paraId="424044D4" w14:textId="77777777" w:rsidR="00F51113" w:rsidRPr="004C2DCD" w:rsidRDefault="00F51113">
            <w:pPr>
              <w:pStyle w:val="TableText"/>
              <w:spacing w:before="30" w:after="40"/>
              <w:rPr>
                <w:rFonts w:cs="Calibri"/>
                <w:szCs w:val="18"/>
                <w:lang w:val="en-NZ"/>
              </w:rPr>
            </w:pPr>
            <w:r w:rsidRPr="004C2DCD">
              <w:rPr>
                <w:rFonts w:cs="Calibri"/>
                <w:szCs w:val="18"/>
                <w:lang w:val="en-NZ"/>
              </w:rPr>
              <w:t>Energy (excluding transport)</w:t>
            </w:r>
          </w:p>
        </w:tc>
        <w:tc>
          <w:tcPr>
            <w:tcW w:w="999" w:type="dxa"/>
            <w:tcBorders>
              <w:top w:val="nil"/>
              <w:bottom w:val="single" w:sz="4" w:space="0" w:color="1B556B" w:themeColor="text2"/>
            </w:tcBorders>
          </w:tcPr>
          <w:p w14:paraId="369D62E4" w14:textId="77777777" w:rsidR="00F51113" w:rsidRPr="004C2DCD" w:rsidRDefault="00F51113">
            <w:pPr>
              <w:pStyle w:val="TableText"/>
              <w:rPr>
                <w:rFonts w:cs="Calibri"/>
                <w:szCs w:val="18"/>
                <w:lang w:val="en-NZ"/>
              </w:rPr>
            </w:pPr>
            <w:r w:rsidRPr="004C2DCD">
              <w:rPr>
                <w:rFonts w:cs="Calibri"/>
                <w:szCs w:val="18"/>
                <w:lang w:val="en-NZ"/>
              </w:rPr>
              <w:t>CO</w:t>
            </w:r>
            <w:r w:rsidRPr="004C2DCD">
              <w:rPr>
                <w:rFonts w:cs="Calibri"/>
                <w:szCs w:val="18"/>
                <w:vertAlign w:val="subscript"/>
                <w:lang w:val="en-NZ"/>
              </w:rPr>
              <w:t>2</w:t>
            </w:r>
            <w:r w:rsidRPr="004C2DCD">
              <w:rPr>
                <w:rFonts w:cs="Calibri"/>
                <w:szCs w:val="18"/>
                <w:lang w:val="en-NZ"/>
              </w:rPr>
              <w:t>, CH</w:t>
            </w:r>
            <w:r w:rsidRPr="004C2DCD">
              <w:rPr>
                <w:rFonts w:cs="Calibri"/>
                <w:szCs w:val="18"/>
                <w:vertAlign w:val="subscript"/>
                <w:lang w:val="en-NZ"/>
              </w:rPr>
              <w:t>4</w:t>
            </w:r>
            <w:r w:rsidRPr="004C2DCD">
              <w:rPr>
                <w:rFonts w:cs="Calibri"/>
                <w:szCs w:val="18"/>
                <w:lang w:val="en-NZ"/>
              </w:rPr>
              <w:t>, N</w:t>
            </w:r>
            <w:r w:rsidRPr="004C2DCD">
              <w:rPr>
                <w:rFonts w:cs="Calibri"/>
                <w:szCs w:val="18"/>
                <w:vertAlign w:val="subscript"/>
                <w:lang w:val="en-NZ"/>
              </w:rPr>
              <w:t>2</w:t>
            </w:r>
            <w:r w:rsidRPr="004C2DCD">
              <w:rPr>
                <w:rFonts w:cs="Calibri"/>
                <w:szCs w:val="18"/>
                <w:lang w:val="en-NZ"/>
              </w:rPr>
              <w:t>O</w:t>
            </w:r>
          </w:p>
        </w:tc>
        <w:tc>
          <w:tcPr>
            <w:tcW w:w="1455" w:type="dxa"/>
            <w:tcBorders>
              <w:top w:val="nil"/>
              <w:bottom w:val="single" w:sz="4" w:space="0" w:color="1B556B" w:themeColor="text2"/>
            </w:tcBorders>
          </w:tcPr>
          <w:p w14:paraId="4EE7918E" w14:textId="77777777" w:rsidR="00F51113" w:rsidRPr="004C2DCD" w:rsidRDefault="00F51113">
            <w:pPr>
              <w:pStyle w:val="TableText"/>
              <w:spacing w:before="30" w:after="40"/>
              <w:rPr>
                <w:rFonts w:cs="Calibri"/>
                <w:szCs w:val="18"/>
                <w:lang w:val="en-NZ"/>
              </w:rPr>
            </w:pPr>
            <w:r w:rsidRPr="004C2DCD">
              <w:rPr>
                <w:rFonts w:cs="Calibri"/>
                <w:szCs w:val="18"/>
                <w:lang w:val="en-NZ"/>
              </w:rPr>
              <w:t>Non-transport energy (demand): Partial equilibrium model of the Energy sector</w:t>
            </w:r>
          </w:p>
          <w:p w14:paraId="24C7CE6D" w14:textId="77777777" w:rsidR="00F51113" w:rsidRPr="004C2DCD" w:rsidRDefault="00F51113">
            <w:pPr>
              <w:pStyle w:val="TableText"/>
              <w:spacing w:before="30" w:after="40"/>
              <w:rPr>
                <w:rFonts w:cs="Calibri"/>
                <w:szCs w:val="18"/>
                <w:lang w:val="en-NZ"/>
              </w:rPr>
            </w:pPr>
            <w:r w:rsidRPr="004C2DCD">
              <w:rPr>
                <w:rFonts w:cs="Calibri"/>
                <w:szCs w:val="18"/>
                <w:lang w:val="en-NZ"/>
              </w:rPr>
              <w:t>Non-transport energy (generation):</w:t>
            </w:r>
          </w:p>
          <w:p w14:paraId="2046FD46" w14:textId="77777777" w:rsidR="00F51113" w:rsidRPr="004C2DCD" w:rsidRDefault="00F51113">
            <w:pPr>
              <w:pStyle w:val="TableText"/>
              <w:spacing w:before="30" w:after="40"/>
              <w:rPr>
                <w:rFonts w:cs="Calibri"/>
                <w:szCs w:val="18"/>
                <w:lang w:val="en-NZ"/>
              </w:rPr>
            </w:pPr>
            <w:r w:rsidRPr="004C2DCD">
              <w:rPr>
                <w:rFonts w:cs="Calibri"/>
                <w:szCs w:val="18"/>
                <w:lang w:val="en-NZ"/>
              </w:rPr>
              <w:t>Least-cost optimisation model for new build</w:t>
            </w:r>
          </w:p>
        </w:tc>
        <w:tc>
          <w:tcPr>
            <w:tcW w:w="1427" w:type="dxa"/>
            <w:tcBorders>
              <w:top w:val="nil"/>
              <w:bottom w:val="single" w:sz="4" w:space="0" w:color="1B556B" w:themeColor="text2"/>
            </w:tcBorders>
          </w:tcPr>
          <w:p w14:paraId="5E6F1974" w14:textId="77777777" w:rsidR="00F51113" w:rsidRPr="004C2DCD" w:rsidRDefault="00F51113">
            <w:pPr>
              <w:pStyle w:val="TableText"/>
              <w:spacing w:before="30" w:after="40"/>
              <w:rPr>
                <w:rFonts w:cs="Calibri"/>
                <w:szCs w:val="18"/>
                <w:lang w:val="en-NZ"/>
              </w:rPr>
            </w:pPr>
            <w:r w:rsidRPr="004C2DCD">
              <w:rPr>
                <w:rFonts w:cs="Calibri"/>
                <w:szCs w:val="18"/>
                <w:lang w:val="en-NZ"/>
              </w:rPr>
              <w:t xml:space="preserve">Ministry of Business, Innovation and Employment’s Energy Outlook </w:t>
            </w:r>
          </w:p>
          <w:p w14:paraId="67306BBA" w14:textId="77777777" w:rsidR="00F51113" w:rsidRPr="004C2DCD" w:rsidRDefault="00F51113">
            <w:pPr>
              <w:pStyle w:val="TableText"/>
              <w:spacing w:before="30" w:after="40"/>
              <w:rPr>
                <w:rFonts w:cs="Calibri"/>
                <w:szCs w:val="18"/>
                <w:lang w:val="en-NZ"/>
              </w:rPr>
            </w:pPr>
            <w:r w:rsidRPr="004C2DCD">
              <w:rPr>
                <w:rFonts w:cs="Calibri"/>
                <w:szCs w:val="18"/>
                <w:lang w:val="en-NZ"/>
              </w:rPr>
              <w:t xml:space="preserve">Electricity Authority’s grid expansion modelling </w:t>
            </w:r>
          </w:p>
        </w:tc>
        <w:tc>
          <w:tcPr>
            <w:tcW w:w="1696" w:type="dxa"/>
            <w:tcBorders>
              <w:top w:val="nil"/>
              <w:bottom w:val="single" w:sz="4" w:space="0" w:color="1B556B" w:themeColor="text2"/>
            </w:tcBorders>
          </w:tcPr>
          <w:p w14:paraId="47A1B0B0" w14:textId="77777777" w:rsidR="00F51113" w:rsidRPr="004C2DCD" w:rsidRDefault="00F51113">
            <w:pPr>
              <w:pStyle w:val="TableText"/>
              <w:spacing w:before="30" w:after="40"/>
              <w:rPr>
                <w:rFonts w:cs="Calibri"/>
                <w:szCs w:val="18"/>
                <w:lang w:val="en-NZ"/>
              </w:rPr>
            </w:pPr>
            <w:r w:rsidRPr="004C2DCD">
              <w:rPr>
                <w:rFonts w:cs="Calibri"/>
                <w:szCs w:val="18"/>
                <w:lang w:val="en-NZ"/>
              </w:rPr>
              <w:t>Based on official energy data used for GHG Inventory</w:t>
            </w:r>
          </w:p>
          <w:p w14:paraId="21041BEB" w14:textId="77777777" w:rsidR="00F51113" w:rsidRPr="004C2DCD" w:rsidRDefault="00F51113">
            <w:pPr>
              <w:pStyle w:val="TableText"/>
              <w:spacing w:before="30" w:after="40"/>
              <w:rPr>
                <w:rFonts w:cs="Calibri"/>
                <w:szCs w:val="18"/>
                <w:lang w:val="en-NZ"/>
              </w:rPr>
            </w:pPr>
            <w:r w:rsidRPr="004C2DCD">
              <w:rPr>
                <w:rFonts w:cs="Calibri"/>
                <w:szCs w:val="18"/>
                <w:lang w:val="en-NZ"/>
              </w:rPr>
              <w:t>Full plant-level cost optimisation expansion modelling</w:t>
            </w:r>
          </w:p>
          <w:p w14:paraId="35AFC0E4" w14:textId="77777777" w:rsidR="00F51113" w:rsidRPr="004C2DCD" w:rsidRDefault="00F51113">
            <w:pPr>
              <w:pStyle w:val="TableText"/>
              <w:spacing w:before="30" w:after="40"/>
              <w:rPr>
                <w:rFonts w:cs="Calibri"/>
                <w:szCs w:val="18"/>
                <w:lang w:val="en-NZ"/>
              </w:rPr>
            </w:pPr>
            <w:r w:rsidRPr="004C2DCD">
              <w:rPr>
                <w:rFonts w:cs="Calibri"/>
                <w:szCs w:val="18"/>
                <w:lang w:val="en-NZ"/>
              </w:rPr>
              <w:t>Modular and flexible demand modelling</w:t>
            </w:r>
          </w:p>
          <w:p w14:paraId="3287BF59" w14:textId="5BECDA5C" w:rsidR="00F51113" w:rsidRPr="004C2DCD" w:rsidRDefault="00F51113">
            <w:pPr>
              <w:pStyle w:val="TableText"/>
              <w:spacing w:before="30" w:after="40"/>
              <w:rPr>
                <w:rFonts w:cs="Calibri"/>
                <w:szCs w:val="18"/>
                <w:lang w:val="en-NZ"/>
              </w:rPr>
            </w:pPr>
            <w:r w:rsidRPr="004C2DCD">
              <w:rPr>
                <w:rFonts w:cs="Calibri"/>
                <w:szCs w:val="18"/>
                <w:lang w:val="en-NZ"/>
              </w:rPr>
              <w:t xml:space="preserve">Some assumptions required on future fuel switching rates and behaviour, not captured by existing price relationships </w:t>
            </w:r>
          </w:p>
          <w:p w14:paraId="1CC48EFA" w14:textId="2881F555" w:rsidR="00F51113" w:rsidRPr="004C2DCD" w:rsidRDefault="00F51113">
            <w:pPr>
              <w:pStyle w:val="TableText"/>
              <w:spacing w:before="30" w:after="40"/>
              <w:rPr>
                <w:rFonts w:cs="Calibri"/>
                <w:szCs w:val="18"/>
                <w:lang w:val="en-NZ"/>
              </w:rPr>
            </w:pPr>
            <w:r w:rsidRPr="004C2DCD">
              <w:rPr>
                <w:rFonts w:cs="Calibri"/>
                <w:szCs w:val="18"/>
                <w:lang w:val="en-NZ"/>
              </w:rPr>
              <w:t>Not all second-order interactions captured</w:t>
            </w:r>
          </w:p>
        </w:tc>
        <w:tc>
          <w:tcPr>
            <w:tcW w:w="1758" w:type="dxa"/>
            <w:tcBorders>
              <w:top w:val="nil"/>
              <w:bottom w:val="single" w:sz="4" w:space="0" w:color="1B556B" w:themeColor="text2"/>
            </w:tcBorders>
          </w:tcPr>
          <w:p w14:paraId="3BADD7E6" w14:textId="1CAD85AA" w:rsidR="00F51113" w:rsidRPr="004C2DCD" w:rsidRDefault="00F51113">
            <w:pPr>
              <w:pStyle w:val="TableText"/>
              <w:spacing w:before="30" w:after="40"/>
              <w:rPr>
                <w:rFonts w:cs="Calibri"/>
                <w:szCs w:val="18"/>
                <w:lang w:val="en-NZ"/>
              </w:rPr>
            </w:pPr>
            <w:r w:rsidRPr="004C2DCD">
              <w:rPr>
                <w:rFonts w:cs="Calibri"/>
                <w:szCs w:val="18"/>
                <w:lang w:val="en-NZ"/>
              </w:rPr>
              <w:t>Policies and measures must be considered additional to the NZ ETS to be included directly in WEM modelling</w:t>
            </w:r>
          </w:p>
          <w:p w14:paraId="17406C8C" w14:textId="47ED7EAF" w:rsidR="00F51113" w:rsidRPr="004C2DCD" w:rsidRDefault="00F51113">
            <w:pPr>
              <w:pStyle w:val="TableText"/>
              <w:spacing w:before="30" w:after="40"/>
              <w:rPr>
                <w:rFonts w:cs="Calibri"/>
                <w:szCs w:val="18"/>
                <w:lang w:val="en-NZ"/>
              </w:rPr>
            </w:pPr>
            <w:r w:rsidRPr="004C2DCD">
              <w:rPr>
                <w:rFonts w:cs="Calibri"/>
                <w:szCs w:val="18"/>
                <w:lang w:val="en-NZ"/>
              </w:rPr>
              <w:t>Some policies are modelled separately, but these are excluded from final results to avoid double-counting or assumption misalignment</w:t>
            </w:r>
          </w:p>
        </w:tc>
      </w:tr>
      <w:tr w:rsidR="00F51113" w:rsidRPr="004C2DCD" w14:paraId="01BDD2F2" w14:textId="77777777">
        <w:tc>
          <w:tcPr>
            <w:tcW w:w="1227" w:type="dxa"/>
            <w:tcBorders>
              <w:top w:val="single" w:sz="4" w:space="0" w:color="1B556B" w:themeColor="text2"/>
              <w:bottom w:val="single" w:sz="4" w:space="0" w:color="1B556B" w:themeColor="text2"/>
              <w:right w:val="single" w:sz="4" w:space="0" w:color="1B556B" w:themeColor="text2"/>
            </w:tcBorders>
          </w:tcPr>
          <w:p w14:paraId="5C580CF4" w14:textId="77777777" w:rsidR="00F51113" w:rsidRPr="004C2DCD" w:rsidRDefault="00F51113">
            <w:pPr>
              <w:pStyle w:val="TableText"/>
              <w:rPr>
                <w:rFonts w:cs="Calibri"/>
                <w:szCs w:val="18"/>
                <w:lang w:val="en-NZ"/>
              </w:rPr>
            </w:pPr>
            <w:r w:rsidRPr="004C2DCD">
              <w:rPr>
                <w:rFonts w:cs="Calibri"/>
                <w:szCs w:val="18"/>
                <w:lang w:val="en-NZ"/>
              </w:rPr>
              <w:t>Transport</w:t>
            </w:r>
          </w:p>
        </w:tc>
        <w:tc>
          <w:tcPr>
            <w:tcW w:w="999"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38F5E1FB" w14:textId="77777777" w:rsidR="00F51113" w:rsidRPr="004C2DCD" w:rsidRDefault="00F51113">
            <w:pPr>
              <w:pStyle w:val="TableText"/>
              <w:rPr>
                <w:rFonts w:cs="Calibri"/>
                <w:szCs w:val="18"/>
                <w:vertAlign w:val="subscript"/>
                <w:lang w:val="en-NZ"/>
              </w:rPr>
            </w:pPr>
            <w:r w:rsidRPr="004C2DCD">
              <w:rPr>
                <w:rFonts w:cs="Calibri"/>
                <w:szCs w:val="18"/>
                <w:lang w:val="en-NZ"/>
              </w:rPr>
              <w:t>CO</w:t>
            </w:r>
            <w:r w:rsidRPr="004C2DCD">
              <w:rPr>
                <w:rFonts w:cs="Calibri"/>
                <w:szCs w:val="18"/>
                <w:vertAlign w:val="subscript"/>
                <w:lang w:val="en-NZ"/>
              </w:rPr>
              <w:t>2</w:t>
            </w:r>
            <w:r w:rsidRPr="004C2DCD">
              <w:rPr>
                <w:rFonts w:cs="Calibri"/>
                <w:szCs w:val="18"/>
                <w:lang w:val="en-NZ"/>
              </w:rPr>
              <w:t>, CH</w:t>
            </w:r>
            <w:r w:rsidRPr="004C2DCD">
              <w:rPr>
                <w:rFonts w:cs="Calibri"/>
                <w:szCs w:val="18"/>
                <w:vertAlign w:val="subscript"/>
                <w:lang w:val="en-NZ"/>
              </w:rPr>
              <w:t>4</w:t>
            </w:r>
            <w:r w:rsidRPr="004C2DCD">
              <w:rPr>
                <w:rFonts w:cs="Calibri"/>
                <w:szCs w:val="18"/>
                <w:lang w:val="en-NZ"/>
              </w:rPr>
              <w:t>, N</w:t>
            </w:r>
            <w:r w:rsidRPr="004C2DCD">
              <w:rPr>
                <w:rFonts w:cs="Calibri"/>
                <w:szCs w:val="18"/>
                <w:vertAlign w:val="subscript"/>
                <w:lang w:val="en-NZ"/>
              </w:rPr>
              <w:t>2</w:t>
            </w:r>
            <w:r w:rsidRPr="004C2DCD">
              <w:rPr>
                <w:rFonts w:cs="Calibri"/>
                <w:szCs w:val="18"/>
                <w:lang w:val="en-NZ"/>
              </w:rPr>
              <w:t>O</w:t>
            </w:r>
          </w:p>
        </w:tc>
        <w:tc>
          <w:tcPr>
            <w:tcW w:w="1455"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4BEB1EE4" w14:textId="77777777" w:rsidR="00F51113" w:rsidRPr="004C2DCD" w:rsidRDefault="00F51113">
            <w:pPr>
              <w:pStyle w:val="TableText"/>
              <w:rPr>
                <w:rFonts w:eastAsia="Calibri" w:cs="Calibri"/>
                <w:szCs w:val="18"/>
                <w:lang w:val="en-NZ"/>
              </w:rPr>
            </w:pPr>
            <w:r w:rsidRPr="004C2DCD">
              <w:rPr>
                <w:rFonts w:eastAsia="Calibri" w:cs="Calibri"/>
                <w:szCs w:val="18"/>
                <w:lang w:val="en-NZ"/>
              </w:rPr>
              <w:t>The Vehicle Fleet Model takes a bottom-up approach, based on detailed transport activity and fuel economy data</w:t>
            </w:r>
          </w:p>
        </w:tc>
        <w:tc>
          <w:tcPr>
            <w:tcW w:w="1427"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160D0053" w14:textId="77777777" w:rsidR="00F51113" w:rsidRPr="004C2DCD" w:rsidRDefault="00F51113">
            <w:pPr>
              <w:pStyle w:val="TableText"/>
              <w:rPr>
                <w:rFonts w:eastAsia="Calibri" w:cs="Calibri"/>
                <w:szCs w:val="18"/>
                <w:lang w:val="en-NZ"/>
              </w:rPr>
            </w:pPr>
            <w:r w:rsidRPr="004C2DCD">
              <w:rPr>
                <w:rFonts w:eastAsia="Calibri" w:cs="Calibri"/>
                <w:szCs w:val="18"/>
                <w:lang w:val="en-NZ"/>
              </w:rPr>
              <w:t>Annual projections of vehicle fleet composition, travel, fuel use and GHG emissions</w:t>
            </w:r>
          </w:p>
        </w:tc>
        <w:tc>
          <w:tcPr>
            <w:tcW w:w="1696"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0BD22E6C" w14:textId="7D21D4B0" w:rsidR="00F51113" w:rsidRPr="004C2DCD" w:rsidRDefault="00F51113">
            <w:pPr>
              <w:pStyle w:val="TableText"/>
              <w:rPr>
                <w:rFonts w:eastAsia="Calibri" w:cs="Calibri"/>
                <w:szCs w:val="18"/>
                <w:lang w:val="en-NZ"/>
              </w:rPr>
            </w:pPr>
            <w:r w:rsidRPr="004C2DCD">
              <w:rPr>
                <w:rFonts w:eastAsia="Calibri" w:cs="Calibri"/>
                <w:szCs w:val="18"/>
                <w:lang w:val="en-NZ"/>
              </w:rPr>
              <w:t>The Vehicle Fleet Model works at a detailed level of vehicle categories, using New Zealand-specific data. The new aviation model represents a significant improvement over the previous approach</w:t>
            </w:r>
          </w:p>
          <w:p w14:paraId="194B968A" w14:textId="15E97155" w:rsidR="00F51113" w:rsidRPr="004C2DCD" w:rsidRDefault="00F51113">
            <w:pPr>
              <w:pStyle w:val="TableText"/>
              <w:rPr>
                <w:rFonts w:cs="Calibri"/>
                <w:szCs w:val="18"/>
                <w:lang w:val="en-NZ"/>
              </w:rPr>
            </w:pPr>
            <w:r w:rsidRPr="004C2DCD">
              <w:rPr>
                <w:rFonts w:eastAsia="Calibri" w:cs="Calibri"/>
                <w:szCs w:val="18"/>
                <w:lang w:val="en-NZ"/>
              </w:rPr>
              <w:t xml:space="preserve">However, significant uncertainty is associated with the long-term projections </w:t>
            </w:r>
          </w:p>
        </w:tc>
        <w:tc>
          <w:tcPr>
            <w:tcW w:w="1758" w:type="dxa"/>
            <w:tcBorders>
              <w:top w:val="single" w:sz="4" w:space="0" w:color="1B556B" w:themeColor="text2"/>
              <w:left w:val="single" w:sz="4" w:space="0" w:color="1B556B" w:themeColor="text2"/>
              <w:bottom w:val="single" w:sz="4" w:space="0" w:color="1B556B" w:themeColor="text2"/>
            </w:tcBorders>
          </w:tcPr>
          <w:p w14:paraId="03DAF38B" w14:textId="37AD7410" w:rsidR="00F51113" w:rsidRPr="004C2DCD" w:rsidRDefault="00F51113">
            <w:pPr>
              <w:pStyle w:val="TableText"/>
              <w:rPr>
                <w:rFonts w:cs="Calibri"/>
                <w:szCs w:val="18"/>
                <w:lang w:val="en-NZ"/>
              </w:rPr>
            </w:pPr>
            <w:r w:rsidRPr="004C2DCD">
              <w:rPr>
                <w:rFonts w:eastAsia="Calibri" w:cs="Calibri"/>
                <w:szCs w:val="18"/>
                <w:lang w:val="en-NZ"/>
              </w:rPr>
              <w:t>Policies and measures included in the modelling are assumed to have different impacts on the gross transport GHG emissions</w:t>
            </w:r>
          </w:p>
        </w:tc>
      </w:tr>
      <w:tr w:rsidR="00F51113" w:rsidRPr="004C2DCD" w14:paraId="2838629E" w14:textId="77777777">
        <w:tc>
          <w:tcPr>
            <w:tcW w:w="1227" w:type="dxa"/>
            <w:tcBorders>
              <w:top w:val="single" w:sz="4" w:space="0" w:color="1B556B" w:themeColor="text2"/>
              <w:bottom w:val="single" w:sz="4" w:space="0" w:color="1B556B" w:themeColor="text2"/>
              <w:right w:val="single" w:sz="4" w:space="0" w:color="1B556B" w:themeColor="text2"/>
            </w:tcBorders>
          </w:tcPr>
          <w:p w14:paraId="6A525146" w14:textId="77777777" w:rsidR="00F51113" w:rsidRPr="004C2DCD" w:rsidRDefault="00F51113">
            <w:pPr>
              <w:pStyle w:val="TableText"/>
              <w:rPr>
                <w:lang w:val="en-NZ"/>
              </w:rPr>
            </w:pPr>
            <w:r w:rsidRPr="004C2DCD">
              <w:rPr>
                <w:lang w:val="en-NZ"/>
              </w:rPr>
              <w:t xml:space="preserve">Industrial processes and product use </w:t>
            </w:r>
          </w:p>
        </w:tc>
        <w:tc>
          <w:tcPr>
            <w:tcW w:w="999"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7304CF95" w14:textId="77777777" w:rsidR="00F51113" w:rsidRPr="004C2DCD" w:rsidRDefault="00F51113">
            <w:pPr>
              <w:pStyle w:val="TableText"/>
              <w:spacing w:before="30" w:after="40"/>
              <w:rPr>
                <w:rFonts w:cs="Calibri"/>
                <w:szCs w:val="18"/>
                <w:lang w:val="en-NZ"/>
              </w:rPr>
            </w:pPr>
            <w:r w:rsidRPr="004C2DCD">
              <w:rPr>
                <w:rFonts w:cs="Calibri"/>
                <w:szCs w:val="18"/>
                <w:lang w:val="en-NZ"/>
              </w:rPr>
              <w:t>CO</w:t>
            </w:r>
            <w:r w:rsidRPr="004C2DCD">
              <w:rPr>
                <w:rFonts w:cs="Calibri"/>
                <w:szCs w:val="18"/>
                <w:vertAlign w:val="subscript"/>
                <w:lang w:val="en-NZ"/>
              </w:rPr>
              <w:t>2</w:t>
            </w:r>
            <w:r w:rsidRPr="004C2DCD">
              <w:rPr>
                <w:rFonts w:cs="Calibri"/>
                <w:szCs w:val="18"/>
                <w:lang w:val="en-NZ"/>
              </w:rPr>
              <w:t>, CH</w:t>
            </w:r>
            <w:r w:rsidRPr="004C2DCD">
              <w:rPr>
                <w:rFonts w:cs="Calibri"/>
                <w:szCs w:val="18"/>
                <w:vertAlign w:val="subscript"/>
                <w:lang w:val="en-NZ"/>
              </w:rPr>
              <w:t>4</w:t>
            </w:r>
            <w:r w:rsidRPr="004C2DCD">
              <w:rPr>
                <w:rFonts w:cs="Calibri"/>
                <w:szCs w:val="18"/>
                <w:lang w:val="en-NZ"/>
              </w:rPr>
              <w:t>, N</w:t>
            </w:r>
            <w:r w:rsidRPr="004C2DCD">
              <w:rPr>
                <w:rFonts w:cs="Calibri"/>
                <w:szCs w:val="18"/>
                <w:vertAlign w:val="subscript"/>
                <w:lang w:val="en-NZ"/>
              </w:rPr>
              <w:t>2</w:t>
            </w:r>
            <w:r w:rsidRPr="004C2DCD">
              <w:rPr>
                <w:rFonts w:cs="Calibri"/>
                <w:szCs w:val="18"/>
                <w:lang w:val="en-NZ"/>
              </w:rPr>
              <w:t>O, HFCs, PFCs, SF</w:t>
            </w:r>
            <w:r w:rsidRPr="004C2DCD">
              <w:rPr>
                <w:rFonts w:cs="Calibri"/>
                <w:szCs w:val="18"/>
                <w:vertAlign w:val="subscript"/>
                <w:lang w:val="en-NZ"/>
              </w:rPr>
              <w:t>6</w:t>
            </w:r>
          </w:p>
        </w:tc>
        <w:tc>
          <w:tcPr>
            <w:tcW w:w="1455"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1A9C8037" w14:textId="77777777" w:rsidR="00F51113" w:rsidRPr="004C2DCD" w:rsidRDefault="00F51113">
            <w:pPr>
              <w:pStyle w:val="TableText"/>
              <w:spacing w:before="30" w:after="40"/>
              <w:rPr>
                <w:rFonts w:cs="Calibri"/>
                <w:szCs w:val="18"/>
                <w:lang w:val="en-NZ"/>
              </w:rPr>
            </w:pPr>
            <w:r w:rsidRPr="004C2DCD">
              <w:rPr>
                <w:rFonts w:cs="Calibri"/>
                <w:szCs w:val="18"/>
                <w:lang w:val="en-NZ"/>
              </w:rPr>
              <w:t>For F-gases and N</w:t>
            </w:r>
            <w:r w:rsidRPr="004C2DCD">
              <w:rPr>
                <w:rFonts w:cs="Calibri"/>
                <w:szCs w:val="18"/>
                <w:vertAlign w:val="subscript"/>
                <w:lang w:val="en-NZ"/>
              </w:rPr>
              <w:t>2</w:t>
            </w:r>
            <w:r w:rsidRPr="004C2DCD">
              <w:rPr>
                <w:rFonts w:cs="Calibri"/>
                <w:szCs w:val="18"/>
                <w:lang w:val="en-NZ"/>
              </w:rPr>
              <w:t>O: Simplified bottom-up equipment model developed from UNFCCC Common Reporting tables</w:t>
            </w:r>
          </w:p>
          <w:p w14:paraId="00EF85D7" w14:textId="77777777" w:rsidR="00F51113" w:rsidRPr="004C2DCD" w:rsidRDefault="00F51113">
            <w:pPr>
              <w:pStyle w:val="TableText"/>
              <w:spacing w:before="30" w:after="40"/>
              <w:rPr>
                <w:rFonts w:cs="Calibri"/>
                <w:szCs w:val="18"/>
                <w:lang w:val="en-NZ"/>
              </w:rPr>
            </w:pPr>
            <w:r w:rsidRPr="004C2DCD">
              <w:rPr>
                <w:rFonts w:cs="Calibri"/>
                <w:szCs w:val="18"/>
                <w:lang w:val="en-NZ"/>
              </w:rPr>
              <w:t>For other gases: Activity forecasts built as sub-module of non-transport energy’s activity modelling</w:t>
            </w:r>
          </w:p>
        </w:tc>
        <w:tc>
          <w:tcPr>
            <w:tcW w:w="1427"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7FEE43FF" w14:textId="77777777" w:rsidR="00F51113" w:rsidRPr="004C2DCD" w:rsidRDefault="00F51113">
            <w:pPr>
              <w:pStyle w:val="TableText"/>
              <w:spacing w:before="30" w:after="40"/>
              <w:rPr>
                <w:rFonts w:cs="Calibri"/>
                <w:szCs w:val="18"/>
                <w:lang w:val="en-NZ"/>
              </w:rPr>
            </w:pPr>
            <w:r w:rsidRPr="004C2DCD">
              <w:rPr>
                <w:rFonts w:cs="Calibri"/>
                <w:szCs w:val="18"/>
                <w:lang w:val="en-NZ"/>
              </w:rPr>
              <w:t>Annual F-gas and N</w:t>
            </w:r>
            <w:r w:rsidRPr="004C2DCD">
              <w:rPr>
                <w:rFonts w:cs="Calibri"/>
                <w:szCs w:val="18"/>
                <w:vertAlign w:val="subscript"/>
                <w:lang w:val="en-NZ"/>
              </w:rPr>
              <w:t>2</w:t>
            </w:r>
            <w:r w:rsidRPr="004C2DCD">
              <w:rPr>
                <w:rFonts w:cs="Calibri"/>
                <w:szCs w:val="18"/>
                <w:lang w:val="en-NZ"/>
              </w:rPr>
              <w:t>O GHG Inventory calculations</w:t>
            </w:r>
          </w:p>
        </w:tc>
        <w:tc>
          <w:tcPr>
            <w:tcW w:w="1696"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72B384FF" w14:textId="77777777" w:rsidR="00F51113" w:rsidRPr="004C2DCD" w:rsidRDefault="00F51113">
            <w:pPr>
              <w:pStyle w:val="TableText"/>
              <w:spacing w:before="30" w:after="40"/>
              <w:rPr>
                <w:rFonts w:cs="Calibri"/>
                <w:szCs w:val="18"/>
                <w:lang w:val="en-NZ"/>
              </w:rPr>
            </w:pPr>
            <w:r w:rsidRPr="004C2DCD">
              <w:rPr>
                <w:rFonts w:cs="Calibri"/>
                <w:szCs w:val="18"/>
                <w:lang w:val="en-NZ"/>
              </w:rPr>
              <w:t xml:space="preserve">Detailed F-gas sectoral breakdown allows assessment of low uncertainties to those sectors with consistent, precise statistics on stocks and emissions </w:t>
            </w:r>
          </w:p>
        </w:tc>
        <w:tc>
          <w:tcPr>
            <w:tcW w:w="1758" w:type="dxa"/>
            <w:tcBorders>
              <w:top w:val="single" w:sz="4" w:space="0" w:color="1B556B" w:themeColor="text2"/>
              <w:left w:val="single" w:sz="4" w:space="0" w:color="1B556B" w:themeColor="text2"/>
              <w:bottom w:val="single" w:sz="4" w:space="0" w:color="1B556B" w:themeColor="text2"/>
            </w:tcBorders>
          </w:tcPr>
          <w:p w14:paraId="6C021DA6" w14:textId="77777777" w:rsidR="00F51113" w:rsidRPr="004C2DCD" w:rsidRDefault="00F51113">
            <w:pPr>
              <w:pStyle w:val="TableText"/>
              <w:spacing w:before="30" w:after="40"/>
              <w:rPr>
                <w:rFonts w:cs="Calibri"/>
                <w:szCs w:val="18"/>
                <w:lang w:val="en-NZ"/>
              </w:rPr>
            </w:pPr>
            <w:r w:rsidRPr="004C2DCD">
              <w:rPr>
                <w:rFonts w:cs="Calibri"/>
                <w:szCs w:val="18"/>
                <w:lang w:val="en-NZ"/>
              </w:rPr>
              <w:t>Policies and measures are assumed to target distinct sources of greenhouse gases</w:t>
            </w:r>
          </w:p>
        </w:tc>
      </w:tr>
      <w:tr w:rsidR="00F51113" w:rsidRPr="004C2DCD" w14:paraId="23956E2C" w14:textId="77777777">
        <w:tc>
          <w:tcPr>
            <w:tcW w:w="1227" w:type="dxa"/>
            <w:tcBorders>
              <w:top w:val="single" w:sz="4" w:space="0" w:color="1B556B" w:themeColor="text2"/>
              <w:bottom w:val="single" w:sz="4" w:space="0" w:color="1B556B" w:themeColor="text2"/>
              <w:right w:val="single" w:sz="4" w:space="0" w:color="1B556B" w:themeColor="text2"/>
            </w:tcBorders>
          </w:tcPr>
          <w:p w14:paraId="162BFDE0" w14:textId="77777777" w:rsidR="00F51113" w:rsidRPr="004C2DCD" w:rsidRDefault="00F51113">
            <w:pPr>
              <w:pStyle w:val="TableText"/>
              <w:spacing w:before="30" w:after="40"/>
              <w:rPr>
                <w:rFonts w:cs="Calibri"/>
                <w:szCs w:val="18"/>
                <w:lang w:val="en-NZ"/>
              </w:rPr>
            </w:pPr>
            <w:r w:rsidRPr="004C2DCD">
              <w:rPr>
                <w:rFonts w:cs="Calibri"/>
                <w:szCs w:val="18"/>
                <w:lang w:val="en-NZ"/>
              </w:rPr>
              <w:t>Agriculture</w:t>
            </w:r>
          </w:p>
        </w:tc>
        <w:tc>
          <w:tcPr>
            <w:tcW w:w="999"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30B72FE0" w14:textId="77777777" w:rsidR="00F51113" w:rsidRPr="004C2DCD" w:rsidRDefault="00F51113">
            <w:pPr>
              <w:pStyle w:val="TableText"/>
              <w:spacing w:before="30" w:after="40"/>
              <w:rPr>
                <w:rFonts w:cs="Calibri"/>
                <w:szCs w:val="18"/>
                <w:lang w:val="en-NZ"/>
              </w:rPr>
            </w:pPr>
            <w:r w:rsidRPr="004C2DCD">
              <w:rPr>
                <w:rFonts w:cs="Calibri"/>
                <w:szCs w:val="18"/>
                <w:lang w:val="en-NZ"/>
              </w:rPr>
              <w:t>CO</w:t>
            </w:r>
            <w:r w:rsidRPr="004C2DCD">
              <w:rPr>
                <w:rFonts w:cs="Calibri"/>
                <w:szCs w:val="18"/>
                <w:vertAlign w:val="subscript"/>
                <w:lang w:val="en-NZ"/>
              </w:rPr>
              <w:t>2</w:t>
            </w:r>
            <w:r w:rsidRPr="004C2DCD">
              <w:rPr>
                <w:rFonts w:cs="Calibri"/>
                <w:szCs w:val="18"/>
                <w:lang w:val="en-NZ"/>
              </w:rPr>
              <w:t>, CH</w:t>
            </w:r>
            <w:r w:rsidRPr="004C2DCD">
              <w:rPr>
                <w:rFonts w:cs="Calibri"/>
                <w:szCs w:val="18"/>
                <w:vertAlign w:val="subscript"/>
                <w:lang w:val="en-NZ"/>
              </w:rPr>
              <w:t>4</w:t>
            </w:r>
            <w:r w:rsidRPr="004C2DCD">
              <w:rPr>
                <w:rFonts w:cs="Calibri"/>
                <w:szCs w:val="18"/>
                <w:lang w:val="en-NZ"/>
              </w:rPr>
              <w:t>, N</w:t>
            </w:r>
            <w:r w:rsidRPr="004C2DCD">
              <w:rPr>
                <w:rFonts w:cs="Calibri"/>
                <w:szCs w:val="18"/>
                <w:vertAlign w:val="subscript"/>
                <w:lang w:val="en-NZ"/>
              </w:rPr>
              <w:t>2</w:t>
            </w:r>
            <w:r w:rsidRPr="004C2DCD">
              <w:rPr>
                <w:rFonts w:cs="Calibri"/>
                <w:szCs w:val="18"/>
                <w:lang w:val="en-NZ"/>
              </w:rPr>
              <w:t>O</w:t>
            </w:r>
          </w:p>
        </w:tc>
        <w:tc>
          <w:tcPr>
            <w:tcW w:w="1455"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7EB4725F" w14:textId="144A6DC5" w:rsidR="00F51113" w:rsidRPr="004C2DCD" w:rsidRDefault="00F51113">
            <w:pPr>
              <w:pStyle w:val="TableText"/>
              <w:spacing w:before="30" w:after="40"/>
              <w:rPr>
                <w:rFonts w:cs="Calibri"/>
                <w:szCs w:val="18"/>
                <w:lang w:val="en-NZ"/>
              </w:rPr>
            </w:pPr>
            <w:r w:rsidRPr="004C2DCD">
              <w:rPr>
                <w:rFonts w:cs="Calibri"/>
                <w:szCs w:val="18"/>
                <w:lang w:val="en-NZ"/>
              </w:rPr>
              <w:t>Bottom-up estimates using AIM to produce the agriculture estimates for Inventory 2024</w:t>
            </w:r>
          </w:p>
        </w:tc>
        <w:tc>
          <w:tcPr>
            <w:tcW w:w="1427"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6B94AA15" w14:textId="77777777" w:rsidR="00F51113" w:rsidRPr="004C2DCD" w:rsidRDefault="00F51113">
            <w:pPr>
              <w:pStyle w:val="TableText"/>
              <w:spacing w:before="30" w:after="40"/>
              <w:rPr>
                <w:rFonts w:cs="Calibri"/>
                <w:szCs w:val="18"/>
                <w:lang w:val="en-NZ"/>
              </w:rPr>
            </w:pPr>
            <w:r w:rsidRPr="004C2DCD">
              <w:rPr>
                <w:rFonts w:cs="Calibri"/>
                <w:szCs w:val="18"/>
                <w:lang w:val="en-NZ"/>
              </w:rPr>
              <w:t>Annual GHG Inventory</w:t>
            </w:r>
          </w:p>
        </w:tc>
        <w:tc>
          <w:tcPr>
            <w:tcW w:w="1696"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414DE655" w14:textId="77777777" w:rsidR="00F51113" w:rsidRPr="004C2DCD" w:rsidRDefault="00F51113">
            <w:pPr>
              <w:pStyle w:val="TableText"/>
              <w:spacing w:before="30" w:after="40"/>
              <w:rPr>
                <w:rFonts w:cs="Calibri"/>
                <w:szCs w:val="18"/>
                <w:lang w:val="en-NZ"/>
              </w:rPr>
            </w:pPr>
            <w:r w:rsidRPr="004C2DCD">
              <w:rPr>
                <w:rFonts w:cs="Calibri"/>
                <w:szCs w:val="18"/>
                <w:lang w:val="en-NZ"/>
              </w:rPr>
              <w:t>Uses same detailed calculations as AIM</w:t>
            </w:r>
          </w:p>
        </w:tc>
        <w:tc>
          <w:tcPr>
            <w:tcW w:w="1758" w:type="dxa"/>
            <w:tcBorders>
              <w:top w:val="single" w:sz="4" w:space="0" w:color="1B556B" w:themeColor="text2"/>
              <w:left w:val="single" w:sz="4" w:space="0" w:color="1B556B" w:themeColor="text2"/>
              <w:bottom w:val="single" w:sz="4" w:space="0" w:color="1B556B" w:themeColor="text2"/>
            </w:tcBorders>
          </w:tcPr>
          <w:p w14:paraId="648A2AB6" w14:textId="77777777" w:rsidR="00F51113" w:rsidRPr="004C2DCD" w:rsidRDefault="00F51113">
            <w:pPr>
              <w:pStyle w:val="TableText"/>
              <w:spacing w:before="30" w:after="40"/>
              <w:rPr>
                <w:rFonts w:cs="Calibri"/>
                <w:szCs w:val="18"/>
                <w:lang w:val="en-NZ"/>
              </w:rPr>
            </w:pPr>
          </w:p>
        </w:tc>
      </w:tr>
      <w:tr w:rsidR="00F51113" w:rsidRPr="004C2DCD" w14:paraId="60E6EBF8" w14:textId="77777777">
        <w:tc>
          <w:tcPr>
            <w:tcW w:w="1227" w:type="dxa"/>
            <w:tcBorders>
              <w:top w:val="single" w:sz="4" w:space="0" w:color="1B556B" w:themeColor="text2"/>
              <w:bottom w:val="single" w:sz="4" w:space="0" w:color="1B556B" w:themeColor="text2"/>
              <w:right w:val="single" w:sz="4" w:space="0" w:color="1B556B" w:themeColor="text2"/>
            </w:tcBorders>
          </w:tcPr>
          <w:p w14:paraId="36B05099" w14:textId="45CF09AB" w:rsidR="00F51113" w:rsidRPr="004C2DCD" w:rsidRDefault="00B67BC9">
            <w:pPr>
              <w:pStyle w:val="TableText"/>
              <w:spacing w:before="30" w:after="40"/>
              <w:rPr>
                <w:rFonts w:cs="Calibri"/>
                <w:szCs w:val="18"/>
                <w:lang w:val="en-NZ"/>
              </w:rPr>
            </w:pPr>
            <w:r>
              <w:rPr>
                <w:rFonts w:cs="Calibri"/>
                <w:szCs w:val="18"/>
                <w:lang w:val="en-NZ"/>
              </w:rPr>
              <w:t>Land Use, Land-Use Change and Forestry</w:t>
            </w:r>
            <w:r w:rsidR="00F51113" w:rsidRPr="004C2DCD">
              <w:rPr>
                <w:rFonts w:cs="Calibri"/>
                <w:szCs w:val="18"/>
                <w:lang w:val="en-NZ"/>
              </w:rPr>
              <w:t xml:space="preserve"> (LULUCF reporting)</w:t>
            </w:r>
          </w:p>
        </w:tc>
        <w:tc>
          <w:tcPr>
            <w:tcW w:w="999"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2510C36B" w14:textId="77777777" w:rsidR="00F51113" w:rsidRPr="004C2DCD" w:rsidRDefault="00F51113">
            <w:pPr>
              <w:pStyle w:val="TableText"/>
              <w:spacing w:before="30" w:after="40"/>
              <w:rPr>
                <w:rFonts w:cs="Calibri"/>
                <w:szCs w:val="18"/>
                <w:lang w:val="en-NZ"/>
              </w:rPr>
            </w:pPr>
            <w:r w:rsidRPr="004C2DCD">
              <w:rPr>
                <w:rFonts w:cs="Calibri"/>
                <w:szCs w:val="18"/>
                <w:lang w:val="en-NZ"/>
              </w:rPr>
              <w:t>CO</w:t>
            </w:r>
            <w:r w:rsidRPr="004C2DCD">
              <w:rPr>
                <w:rFonts w:cs="Calibri"/>
                <w:szCs w:val="18"/>
                <w:vertAlign w:val="subscript"/>
                <w:lang w:val="en-NZ"/>
              </w:rPr>
              <w:t>2</w:t>
            </w:r>
            <w:r w:rsidRPr="004C2DCD">
              <w:rPr>
                <w:rFonts w:cs="Calibri"/>
                <w:szCs w:val="18"/>
                <w:lang w:val="en-NZ"/>
              </w:rPr>
              <w:t>, CH</w:t>
            </w:r>
            <w:r w:rsidRPr="004C2DCD">
              <w:rPr>
                <w:rFonts w:cs="Calibri"/>
                <w:szCs w:val="18"/>
                <w:vertAlign w:val="subscript"/>
                <w:lang w:val="en-NZ"/>
              </w:rPr>
              <w:t>4</w:t>
            </w:r>
            <w:r w:rsidRPr="004C2DCD">
              <w:rPr>
                <w:rFonts w:cs="Calibri"/>
                <w:szCs w:val="18"/>
                <w:lang w:val="en-NZ"/>
              </w:rPr>
              <w:t>, N</w:t>
            </w:r>
            <w:r w:rsidRPr="004C2DCD">
              <w:rPr>
                <w:rFonts w:cs="Calibri"/>
                <w:szCs w:val="18"/>
                <w:vertAlign w:val="subscript"/>
                <w:lang w:val="en-NZ"/>
              </w:rPr>
              <w:t>2</w:t>
            </w:r>
            <w:r w:rsidRPr="004C2DCD">
              <w:rPr>
                <w:rFonts w:cs="Calibri"/>
                <w:szCs w:val="18"/>
                <w:lang w:val="en-NZ"/>
              </w:rPr>
              <w:t>O</w:t>
            </w:r>
          </w:p>
        </w:tc>
        <w:tc>
          <w:tcPr>
            <w:tcW w:w="1455"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0F259E71" w14:textId="77777777" w:rsidR="00F51113" w:rsidRPr="004C2DCD" w:rsidRDefault="00F51113">
            <w:pPr>
              <w:pStyle w:val="TableText"/>
              <w:spacing w:before="30" w:after="40"/>
              <w:rPr>
                <w:rFonts w:cs="Calibri"/>
                <w:szCs w:val="18"/>
                <w:lang w:val="en-NZ"/>
              </w:rPr>
            </w:pPr>
            <w:r w:rsidRPr="004C2DCD">
              <w:rPr>
                <w:rFonts w:cs="Calibri"/>
                <w:szCs w:val="18"/>
                <w:lang w:val="en-NZ" w:eastAsia="en-US"/>
              </w:rPr>
              <w:t>Bottom-up projections LULUCF model. Based on 2006 IPCC Guidelines</w:t>
            </w:r>
            <w:r w:rsidRPr="004C2DCD" w:rsidDel="009C3985">
              <w:rPr>
                <w:rFonts w:cs="Calibri"/>
                <w:szCs w:val="18"/>
                <w:lang w:val="en-NZ" w:eastAsia="en-US"/>
              </w:rPr>
              <w:t xml:space="preserve"> </w:t>
            </w:r>
          </w:p>
        </w:tc>
        <w:tc>
          <w:tcPr>
            <w:tcW w:w="1427"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313BFBDD" w14:textId="77777777" w:rsidR="00F51113" w:rsidRPr="004C2DCD" w:rsidRDefault="00F51113">
            <w:pPr>
              <w:pStyle w:val="TableText"/>
              <w:spacing w:before="30" w:after="40"/>
              <w:rPr>
                <w:rFonts w:cs="Calibri"/>
                <w:szCs w:val="18"/>
                <w:lang w:val="en-NZ"/>
              </w:rPr>
            </w:pPr>
            <w:r w:rsidRPr="004C2DCD">
              <w:rPr>
                <w:rFonts w:cs="Calibri"/>
                <w:szCs w:val="18"/>
                <w:lang w:val="en-NZ" w:eastAsia="en-US"/>
              </w:rPr>
              <w:t>International projections reporting based on the latest LULUCF GHG inventory approach, method and assumptions</w:t>
            </w:r>
          </w:p>
        </w:tc>
        <w:tc>
          <w:tcPr>
            <w:tcW w:w="1696"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653A2A92" w14:textId="0661DDE2" w:rsidR="00F51113" w:rsidRPr="004C2DCD" w:rsidRDefault="00F51113">
            <w:pPr>
              <w:pStyle w:val="TableText"/>
              <w:spacing w:before="30" w:after="40"/>
              <w:rPr>
                <w:rFonts w:cs="Calibri"/>
                <w:szCs w:val="18"/>
                <w:lang w:val="en-NZ"/>
              </w:rPr>
            </w:pPr>
            <w:r w:rsidRPr="004C2DCD">
              <w:rPr>
                <w:rFonts w:cs="Calibri"/>
                <w:szCs w:val="18"/>
                <w:lang w:val="en-NZ" w:eastAsia="en-US"/>
              </w:rPr>
              <w:t>Engagement with sector helps to calibrate projections, and the additional impact of policies and measures is assessed independently</w:t>
            </w:r>
          </w:p>
        </w:tc>
        <w:tc>
          <w:tcPr>
            <w:tcW w:w="1758" w:type="dxa"/>
            <w:tcBorders>
              <w:top w:val="single" w:sz="4" w:space="0" w:color="1B556B" w:themeColor="text2"/>
              <w:left w:val="single" w:sz="4" w:space="0" w:color="1B556B" w:themeColor="text2"/>
              <w:bottom w:val="single" w:sz="4" w:space="0" w:color="1B556B" w:themeColor="text2"/>
            </w:tcBorders>
          </w:tcPr>
          <w:p w14:paraId="0380025A" w14:textId="7389ED3B" w:rsidR="00F51113" w:rsidRPr="004C2DCD" w:rsidRDefault="00F51113">
            <w:pPr>
              <w:pStyle w:val="TableText"/>
              <w:spacing w:before="30" w:after="40"/>
              <w:rPr>
                <w:rFonts w:cs="Calibri"/>
                <w:szCs w:val="18"/>
                <w:lang w:val="en-NZ"/>
              </w:rPr>
            </w:pPr>
            <w:r w:rsidRPr="004C2DCD">
              <w:rPr>
                <w:rFonts w:cs="Calibri"/>
                <w:szCs w:val="18"/>
                <w:lang w:val="en-NZ" w:eastAsia="en-US"/>
              </w:rPr>
              <w:t>Additional impact of policy and measures is estimated individually and incorporated into projections</w:t>
            </w:r>
          </w:p>
        </w:tc>
      </w:tr>
      <w:tr w:rsidR="00F51113" w:rsidRPr="004C2DCD" w14:paraId="3E0FA578" w14:textId="77777777">
        <w:tc>
          <w:tcPr>
            <w:tcW w:w="1227" w:type="dxa"/>
            <w:tcBorders>
              <w:top w:val="single" w:sz="4" w:space="0" w:color="1B556B" w:themeColor="text2"/>
              <w:bottom w:val="single" w:sz="4" w:space="0" w:color="1B556B" w:themeColor="text2"/>
            </w:tcBorders>
          </w:tcPr>
          <w:p w14:paraId="15F7688E" w14:textId="77777777" w:rsidR="00F51113" w:rsidRPr="004C2DCD" w:rsidRDefault="00F51113">
            <w:pPr>
              <w:pStyle w:val="TableText"/>
              <w:keepNext/>
              <w:spacing w:before="30" w:after="40"/>
              <w:rPr>
                <w:rFonts w:cs="Calibri"/>
                <w:b/>
                <w:bCs/>
                <w:szCs w:val="18"/>
                <w:lang w:val="en-NZ"/>
              </w:rPr>
            </w:pPr>
            <w:r w:rsidRPr="004C2DCD">
              <w:rPr>
                <w:rFonts w:cs="Calibri"/>
                <w:bCs/>
                <w:szCs w:val="18"/>
                <w:lang w:val="en-NZ"/>
              </w:rPr>
              <w:t>Waste</w:t>
            </w:r>
          </w:p>
        </w:tc>
        <w:tc>
          <w:tcPr>
            <w:tcW w:w="999" w:type="dxa"/>
            <w:tcBorders>
              <w:top w:val="single" w:sz="4" w:space="0" w:color="1B556B" w:themeColor="text2"/>
              <w:bottom w:val="single" w:sz="4" w:space="0" w:color="1B556B" w:themeColor="text2"/>
            </w:tcBorders>
          </w:tcPr>
          <w:p w14:paraId="4F72D2CC" w14:textId="77777777" w:rsidR="00F51113" w:rsidRPr="004C2DCD" w:rsidRDefault="00F51113">
            <w:pPr>
              <w:pStyle w:val="TableText"/>
              <w:keepNext/>
              <w:spacing w:before="30" w:after="40"/>
              <w:rPr>
                <w:rFonts w:cs="Calibri"/>
                <w:szCs w:val="18"/>
                <w:lang w:val="en-NZ"/>
              </w:rPr>
            </w:pPr>
            <w:r w:rsidRPr="004C2DCD">
              <w:rPr>
                <w:rFonts w:cs="Calibri"/>
                <w:szCs w:val="18"/>
                <w:lang w:val="en-NZ"/>
              </w:rPr>
              <w:t>CO</w:t>
            </w:r>
            <w:r w:rsidRPr="004C2DCD">
              <w:rPr>
                <w:rFonts w:cs="Calibri"/>
                <w:szCs w:val="18"/>
                <w:vertAlign w:val="subscript"/>
                <w:lang w:val="en-NZ"/>
              </w:rPr>
              <w:t>2</w:t>
            </w:r>
            <w:r w:rsidRPr="004C2DCD">
              <w:rPr>
                <w:rFonts w:cs="Calibri"/>
                <w:szCs w:val="18"/>
                <w:lang w:val="en-NZ"/>
              </w:rPr>
              <w:t>, CH</w:t>
            </w:r>
            <w:r w:rsidRPr="004C2DCD">
              <w:rPr>
                <w:rFonts w:cs="Calibri"/>
                <w:szCs w:val="18"/>
                <w:vertAlign w:val="subscript"/>
                <w:lang w:val="en-NZ"/>
              </w:rPr>
              <w:t>4</w:t>
            </w:r>
            <w:r w:rsidRPr="004C2DCD">
              <w:rPr>
                <w:rFonts w:cs="Calibri"/>
                <w:szCs w:val="18"/>
                <w:lang w:val="en-NZ"/>
              </w:rPr>
              <w:t>, N</w:t>
            </w:r>
            <w:r w:rsidRPr="004C2DCD">
              <w:rPr>
                <w:rFonts w:cs="Calibri"/>
                <w:szCs w:val="18"/>
                <w:vertAlign w:val="subscript"/>
                <w:lang w:val="en-NZ"/>
              </w:rPr>
              <w:t>2</w:t>
            </w:r>
            <w:r w:rsidRPr="004C2DCD">
              <w:rPr>
                <w:rFonts w:cs="Calibri"/>
                <w:szCs w:val="18"/>
                <w:lang w:val="en-NZ"/>
              </w:rPr>
              <w:t>O</w:t>
            </w:r>
          </w:p>
        </w:tc>
        <w:tc>
          <w:tcPr>
            <w:tcW w:w="1455" w:type="dxa"/>
            <w:tcBorders>
              <w:top w:val="single" w:sz="4" w:space="0" w:color="1B556B" w:themeColor="text2"/>
              <w:bottom w:val="single" w:sz="4" w:space="0" w:color="1B556B" w:themeColor="text2"/>
            </w:tcBorders>
          </w:tcPr>
          <w:p w14:paraId="030DB354" w14:textId="77777777" w:rsidR="00F51113" w:rsidRPr="004C2DCD" w:rsidRDefault="00F51113">
            <w:pPr>
              <w:pStyle w:val="TableText"/>
              <w:keepNext/>
              <w:spacing w:before="30" w:after="40"/>
              <w:rPr>
                <w:rFonts w:cs="Calibri"/>
                <w:szCs w:val="18"/>
                <w:lang w:val="en-NZ"/>
              </w:rPr>
            </w:pPr>
            <w:r w:rsidRPr="004C2DCD">
              <w:rPr>
                <w:rFonts w:cs="Calibri"/>
                <w:szCs w:val="18"/>
                <w:lang w:val="en-NZ"/>
              </w:rPr>
              <w:t>Bottom-up estimates using GHG Inventory waste models, in line with 2006 IPCC Guidelines, and a bottom-up policy impacts model</w:t>
            </w:r>
          </w:p>
        </w:tc>
        <w:tc>
          <w:tcPr>
            <w:tcW w:w="1427" w:type="dxa"/>
            <w:tcBorders>
              <w:top w:val="single" w:sz="4" w:space="0" w:color="1B556B" w:themeColor="text2"/>
              <w:bottom w:val="single" w:sz="4" w:space="0" w:color="1B556B" w:themeColor="text2"/>
            </w:tcBorders>
          </w:tcPr>
          <w:p w14:paraId="3FA5617A" w14:textId="0D5EF13D" w:rsidR="00F51113" w:rsidRPr="004C2DCD" w:rsidRDefault="00F51113">
            <w:pPr>
              <w:pStyle w:val="TableText"/>
              <w:keepNext/>
              <w:spacing w:before="30" w:after="40"/>
              <w:rPr>
                <w:rFonts w:cs="Calibri"/>
                <w:szCs w:val="18"/>
                <w:lang w:val="en-NZ"/>
              </w:rPr>
            </w:pPr>
            <w:r w:rsidRPr="004C2DCD">
              <w:rPr>
                <w:rFonts w:cs="Calibri"/>
                <w:szCs w:val="18"/>
                <w:lang w:val="en-NZ"/>
              </w:rPr>
              <w:t>Annual GHG Inventory and policy impacts calculations for the Emissions Reduction Plan</w:t>
            </w:r>
          </w:p>
        </w:tc>
        <w:tc>
          <w:tcPr>
            <w:tcW w:w="1696" w:type="dxa"/>
            <w:tcBorders>
              <w:top w:val="single" w:sz="4" w:space="0" w:color="1B556B" w:themeColor="text2"/>
              <w:bottom w:val="single" w:sz="4" w:space="0" w:color="1B556B" w:themeColor="text2"/>
            </w:tcBorders>
          </w:tcPr>
          <w:p w14:paraId="4699557F" w14:textId="0E596DEE" w:rsidR="00F51113" w:rsidRPr="004C2DCD" w:rsidRDefault="00F51113">
            <w:pPr>
              <w:pStyle w:val="TableText"/>
              <w:keepNext/>
              <w:spacing w:before="30" w:after="40"/>
              <w:rPr>
                <w:rFonts w:cs="Calibri"/>
                <w:szCs w:val="18"/>
                <w:lang w:val="en-NZ"/>
              </w:rPr>
            </w:pPr>
            <w:r w:rsidRPr="004C2DCD">
              <w:rPr>
                <w:rFonts w:cs="Calibri"/>
                <w:szCs w:val="18"/>
                <w:lang w:val="en-NZ"/>
              </w:rPr>
              <w:t>Calculations are consistent with the GHG Inventory at the category level, requiring a full set of projections of activity data and emission factors</w:t>
            </w:r>
          </w:p>
        </w:tc>
        <w:tc>
          <w:tcPr>
            <w:tcW w:w="1758" w:type="dxa"/>
            <w:tcBorders>
              <w:top w:val="single" w:sz="4" w:space="0" w:color="1B556B" w:themeColor="text2"/>
              <w:bottom w:val="single" w:sz="4" w:space="0" w:color="1B556B" w:themeColor="text2"/>
            </w:tcBorders>
          </w:tcPr>
          <w:p w14:paraId="0371C142" w14:textId="17DB02DA" w:rsidR="00F51113" w:rsidRPr="004C2DCD" w:rsidRDefault="00F51113">
            <w:pPr>
              <w:pStyle w:val="TableText"/>
              <w:keepNext/>
              <w:spacing w:before="30" w:after="40"/>
              <w:rPr>
                <w:rFonts w:cs="Calibri"/>
                <w:szCs w:val="18"/>
                <w:lang w:val="en-NZ"/>
              </w:rPr>
            </w:pPr>
            <w:r w:rsidRPr="004C2DCD">
              <w:rPr>
                <w:rFonts w:cs="Calibri"/>
                <w:szCs w:val="18"/>
                <w:lang w:val="en-NZ"/>
              </w:rPr>
              <w:t>Policies and measures are assumed to target distinct sources of greenhouse gases</w:t>
            </w:r>
          </w:p>
        </w:tc>
      </w:tr>
      <w:tr w:rsidR="00F51113" w:rsidRPr="004C2DCD" w14:paraId="7A4B85AB" w14:textId="77777777">
        <w:tc>
          <w:tcPr>
            <w:tcW w:w="1227" w:type="dxa"/>
            <w:tcBorders>
              <w:top w:val="single" w:sz="4" w:space="0" w:color="1B556B" w:themeColor="text2"/>
              <w:bottom w:val="single" w:sz="4" w:space="0" w:color="1B556B" w:themeColor="text2"/>
              <w:right w:val="single" w:sz="4" w:space="0" w:color="1B556B" w:themeColor="text2"/>
            </w:tcBorders>
          </w:tcPr>
          <w:p w14:paraId="794BB1AD" w14:textId="77777777" w:rsidR="00F51113" w:rsidRPr="004C2DCD" w:rsidRDefault="00F51113">
            <w:pPr>
              <w:pStyle w:val="TableText"/>
              <w:spacing w:before="30" w:after="40"/>
              <w:rPr>
                <w:rFonts w:cs="Calibri"/>
                <w:szCs w:val="18"/>
                <w:lang w:val="en-NZ"/>
              </w:rPr>
            </w:pPr>
            <w:r w:rsidRPr="004C2DCD">
              <w:rPr>
                <w:rFonts w:cs="Calibri"/>
                <w:szCs w:val="18"/>
                <w:lang w:val="en-NZ"/>
              </w:rPr>
              <w:t>Tokelau</w:t>
            </w:r>
          </w:p>
        </w:tc>
        <w:tc>
          <w:tcPr>
            <w:tcW w:w="999"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67EC25D1" w14:textId="77777777" w:rsidR="00F51113" w:rsidRPr="004C2DCD" w:rsidRDefault="00F51113">
            <w:pPr>
              <w:pStyle w:val="TableText"/>
              <w:spacing w:before="30" w:after="40"/>
              <w:rPr>
                <w:rFonts w:cs="Calibri"/>
                <w:szCs w:val="18"/>
                <w:lang w:val="en-NZ"/>
              </w:rPr>
            </w:pPr>
            <w:r w:rsidRPr="004C2DCD">
              <w:rPr>
                <w:rFonts w:cs="Calibri"/>
                <w:szCs w:val="18"/>
                <w:lang w:val="en-NZ"/>
              </w:rPr>
              <w:t>CO</w:t>
            </w:r>
            <w:r w:rsidRPr="004C2DCD">
              <w:rPr>
                <w:rFonts w:cs="Calibri"/>
                <w:szCs w:val="18"/>
                <w:vertAlign w:val="subscript"/>
                <w:lang w:val="en-NZ"/>
              </w:rPr>
              <w:t>2</w:t>
            </w:r>
            <w:r w:rsidRPr="004C2DCD">
              <w:rPr>
                <w:rFonts w:cs="Calibri"/>
                <w:szCs w:val="18"/>
                <w:lang w:val="en-NZ"/>
              </w:rPr>
              <w:t>, CH</w:t>
            </w:r>
            <w:r w:rsidRPr="004C2DCD">
              <w:rPr>
                <w:rFonts w:cs="Calibri"/>
                <w:szCs w:val="18"/>
                <w:vertAlign w:val="subscript"/>
                <w:lang w:val="en-NZ"/>
              </w:rPr>
              <w:t>4</w:t>
            </w:r>
            <w:r w:rsidRPr="004C2DCD">
              <w:rPr>
                <w:rFonts w:cs="Calibri"/>
                <w:szCs w:val="18"/>
                <w:lang w:val="en-NZ"/>
              </w:rPr>
              <w:t>, N</w:t>
            </w:r>
            <w:r w:rsidRPr="004C2DCD">
              <w:rPr>
                <w:rFonts w:cs="Calibri"/>
                <w:szCs w:val="18"/>
                <w:vertAlign w:val="subscript"/>
                <w:lang w:val="en-NZ"/>
              </w:rPr>
              <w:t>2</w:t>
            </w:r>
            <w:r w:rsidRPr="004C2DCD">
              <w:rPr>
                <w:rFonts w:cs="Calibri"/>
                <w:szCs w:val="18"/>
                <w:lang w:val="en-NZ"/>
              </w:rPr>
              <w:t>O, HFCs</w:t>
            </w:r>
          </w:p>
        </w:tc>
        <w:tc>
          <w:tcPr>
            <w:tcW w:w="1455"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6973B963" w14:textId="77777777" w:rsidR="00F51113" w:rsidRPr="004C2DCD" w:rsidRDefault="00F51113">
            <w:pPr>
              <w:pStyle w:val="TableText"/>
              <w:spacing w:before="30" w:after="40"/>
              <w:rPr>
                <w:rFonts w:cs="Calibri"/>
                <w:szCs w:val="18"/>
                <w:lang w:val="en-NZ"/>
              </w:rPr>
            </w:pPr>
            <w:r w:rsidRPr="004C2DCD">
              <w:rPr>
                <w:rFonts w:cs="Calibri"/>
                <w:szCs w:val="18"/>
                <w:lang w:val="en-NZ"/>
              </w:rPr>
              <w:t>A hybrid top-down, bottom-up approach, based on historical emissions</w:t>
            </w:r>
          </w:p>
        </w:tc>
        <w:tc>
          <w:tcPr>
            <w:tcW w:w="1427"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179BEB7A" w14:textId="77777777" w:rsidR="00F51113" w:rsidRPr="004C2DCD" w:rsidRDefault="00F51113">
            <w:pPr>
              <w:pStyle w:val="TableText"/>
              <w:spacing w:before="30" w:after="40"/>
              <w:rPr>
                <w:rFonts w:cs="Calibri"/>
                <w:szCs w:val="18"/>
                <w:lang w:val="en-NZ"/>
              </w:rPr>
            </w:pPr>
            <w:r w:rsidRPr="004C2DCD">
              <w:rPr>
                <w:rFonts w:cs="Calibri"/>
                <w:szCs w:val="18"/>
                <w:lang w:val="en-NZ"/>
              </w:rPr>
              <w:t>Projection of Tokelau’s emissions</w:t>
            </w:r>
          </w:p>
        </w:tc>
        <w:tc>
          <w:tcPr>
            <w:tcW w:w="1696"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53A558FF" w14:textId="77777777" w:rsidR="00F51113" w:rsidRPr="004C2DCD" w:rsidRDefault="00F51113">
            <w:pPr>
              <w:pStyle w:val="TableText"/>
              <w:spacing w:before="30" w:after="40"/>
              <w:rPr>
                <w:rFonts w:cs="Calibri"/>
                <w:szCs w:val="18"/>
                <w:lang w:val="en-NZ"/>
              </w:rPr>
            </w:pPr>
            <w:r w:rsidRPr="004C2DCD">
              <w:rPr>
                <w:rFonts w:cs="Calibri"/>
                <w:szCs w:val="18"/>
                <w:lang w:val="en-NZ"/>
              </w:rPr>
              <w:t>Based on historical trends and prepared at the level of single gases</w:t>
            </w:r>
          </w:p>
        </w:tc>
        <w:tc>
          <w:tcPr>
            <w:tcW w:w="1758" w:type="dxa"/>
            <w:tcBorders>
              <w:top w:val="single" w:sz="4" w:space="0" w:color="1B556B" w:themeColor="text2"/>
              <w:left w:val="single" w:sz="4" w:space="0" w:color="1B556B" w:themeColor="text2"/>
              <w:bottom w:val="single" w:sz="4" w:space="0" w:color="1B556B" w:themeColor="text2"/>
            </w:tcBorders>
          </w:tcPr>
          <w:p w14:paraId="095418E4" w14:textId="4809324C" w:rsidR="00F51113" w:rsidRPr="004C2DCD" w:rsidRDefault="00F51113">
            <w:pPr>
              <w:pStyle w:val="TableText"/>
              <w:spacing w:before="30" w:after="40"/>
              <w:rPr>
                <w:rFonts w:cs="Calibri"/>
                <w:szCs w:val="18"/>
                <w:lang w:val="en-NZ"/>
              </w:rPr>
            </w:pPr>
            <w:r w:rsidRPr="004C2DCD">
              <w:rPr>
                <w:rFonts w:cs="Calibri"/>
                <w:szCs w:val="18"/>
                <w:lang w:val="en-NZ"/>
              </w:rPr>
              <w:t>Policies and measures adopted by New Zealand (including the NZ ETS) do not extend to Tokelau</w:t>
            </w:r>
          </w:p>
        </w:tc>
      </w:tr>
      <w:tr w:rsidR="00F51113" w:rsidRPr="004C2DCD" w14:paraId="75308E1B" w14:textId="77777777">
        <w:tc>
          <w:tcPr>
            <w:tcW w:w="1227" w:type="dxa"/>
            <w:tcBorders>
              <w:top w:val="single" w:sz="4" w:space="0" w:color="1B556B" w:themeColor="text2"/>
              <w:bottom w:val="single" w:sz="4" w:space="0" w:color="1B556B" w:themeColor="text2"/>
              <w:right w:val="single" w:sz="4" w:space="0" w:color="1B556B" w:themeColor="text2"/>
            </w:tcBorders>
          </w:tcPr>
          <w:p w14:paraId="3E53DCB8" w14:textId="77777777" w:rsidR="00F51113" w:rsidRPr="004C2DCD" w:rsidRDefault="00F51113">
            <w:pPr>
              <w:pStyle w:val="TableText"/>
              <w:spacing w:before="30" w:after="40"/>
              <w:rPr>
                <w:rFonts w:cs="Calibri"/>
                <w:szCs w:val="18"/>
                <w:lang w:val="en-NZ"/>
              </w:rPr>
            </w:pPr>
            <w:r w:rsidRPr="004C2DCD">
              <w:rPr>
                <w:rFonts w:cs="Calibri"/>
                <w:szCs w:val="18"/>
                <w:lang w:val="en-NZ"/>
              </w:rPr>
              <w:t>International Transport</w:t>
            </w:r>
          </w:p>
        </w:tc>
        <w:tc>
          <w:tcPr>
            <w:tcW w:w="7335" w:type="dxa"/>
            <w:gridSpan w:val="5"/>
            <w:tcBorders>
              <w:top w:val="single" w:sz="4" w:space="0" w:color="1B556B" w:themeColor="text2"/>
              <w:left w:val="single" w:sz="4" w:space="0" w:color="1B556B" w:themeColor="text2"/>
              <w:bottom w:val="single" w:sz="4" w:space="0" w:color="1B556B" w:themeColor="text2"/>
            </w:tcBorders>
          </w:tcPr>
          <w:p w14:paraId="32475264" w14:textId="23DB63EE" w:rsidR="00F51113" w:rsidRPr="004C2DCD" w:rsidRDefault="00F51113">
            <w:pPr>
              <w:pStyle w:val="TableText"/>
              <w:spacing w:before="30" w:after="40"/>
              <w:rPr>
                <w:rFonts w:cs="Calibri"/>
                <w:szCs w:val="18"/>
                <w:lang w:val="en-NZ"/>
              </w:rPr>
            </w:pPr>
            <w:r w:rsidRPr="004C2DCD">
              <w:rPr>
                <w:rFonts w:cs="Calibri"/>
                <w:szCs w:val="18"/>
                <w:lang w:val="en-NZ"/>
              </w:rPr>
              <w:t xml:space="preserve">New Zealand has developed emissions projections for international air transport, but not for international shipping </w:t>
            </w:r>
          </w:p>
        </w:tc>
      </w:tr>
    </w:tbl>
    <w:p w14:paraId="62C8A275" w14:textId="77777777" w:rsidR="00F51113" w:rsidRPr="004C2DCD" w:rsidRDefault="00F51113" w:rsidP="00F51113">
      <w:pPr>
        <w:pStyle w:val="Note"/>
        <w:rPr>
          <w:iCs/>
        </w:rPr>
      </w:pPr>
      <w:r w:rsidRPr="004C2DCD">
        <w:rPr>
          <w:b/>
          <w:bCs/>
        </w:rPr>
        <w:t>Note:</w:t>
      </w:r>
      <w:r w:rsidRPr="004C2DCD">
        <w:t xml:space="preserve"> AIM = Agriculture Inventory Model; CH</w:t>
      </w:r>
      <w:r w:rsidRPr="004C2DCD">
        <w:rPr>
          <w:vertAlign w:val="subscript"/>
        </w:rPr>
        <w:t>4</w:t>
      </w:r>
      <w:r w:rsidRPr="004C2DCD">
        <w:t xml:space="preserve"> = methane; CO</w:t>
      </w:r>
      <w:r w:rsidRPr="004C2DCD">
        <w:rPr>
          <w:vertAlign w:val="subscript"/>
        </w:rPr>
        <w:t>2</w:t>
      </w:r>
      <w:r w:rsidRPr="004C2DCD">
        <w:t xml:space="preserve"> = carbon dioxide; F-gas = fluorinated gas; GHG = greenhouse gas; HFCs</w:t>
      </w:r>
      <w:r w:rsidRPr="004C2DCD">
        <w:rPr>
          <w:rFonts w:eastAsia="Calibri" w:cs="Calibri"/>
          <w:sz w:val="20"/>
          <w:szCs w:val="20"/>
        </w:rPr>
        <w:t xml:space="preserve"> </w:t>
      </w:r>
      <w:r w:rsidRPr="004C2DCD">
        <w:t>hydrofluorocarbon; N</w:t>
      </w:r>
      <w:r w:rsidRPr="004C2DCD">
        <w:rPr>
          <w:vertAlign w:val="subscript"/>
        </w:rPr>
        <w:t>2</w:t>
      </w:r>
      <w:r w:rsidRPr="004C2DCD">
        <w:t>O = nitrous oxide;</w:t>
      </w:r>
      <w:r w:rsidRPr="004C2DCD">
        <w:rPr>
          <w:rFonts w:eastAsia="Times New Roman" w:cs="Calibri"/>
          <w:szCs w:val="18"/>
        </w:rPr>
        <w:t xml:space="preserve"> NZ ETS</w:t>
      </w:r>
      <w:r w:rsidRPr="004C2DCD">
        <w:t xml:space="preserve"> </w:t>
      </w:r>
      <w:r w:rsidRPr="004C2DCD">
        <w:rPr>
          <w:rFonts w:eastAsia="Times New Roman" w:cs="Calibri"/>
          <w:szCs w:val="18"/>
        </w:rPr>
        <w:t xml:space="preserve">New Zealand Emissions Trading Scheme; PFCs = </w:t>
      </w:r>
      <w:r w:rsidRPr="004C2DCD">
        <w:t>perfluorocarbons; SF</w:t>
      </w:r>
      <w:r w:rsidRPr="004C2DCD">
        <w:rPr>
          <w:vertAlign w:val="subscript"/>
        </w:rPr>
        <w:t>6</w:t>
      </w:r>
      <w:r w:rsidRPr="004C2DCD">
        <w:t xml:space="preserve"> = sulphur hexafluoride; UNFCCC = United Nations Framework Convention on Climate Change; WEM = with existing measures. </w:t>
      </w:r>
      <w:r w:rsidRPr="004C2DCD">
        <w:rPr>
          <w:rFonts w:cs="Calibri"/>
        </w:rPr>
        <w:t xml:space="preserve">Inventory 2024 = </w:t>
      </w:r>
      <w:r w:rsidRPr="004C2DCD">
        <w:rPr>
          <w:i/>
        </w:rPr>
        <w:t>New Zealand’s Greenhouse Gas Inventory 1990–2022</w:t>
      </w:r>
      <w:r w:rsidRPr="004C2DCD">
        <w:rPr>
          <w:iCs/>
        </w:rPr>
        <w:t>. 2006 IPCC Guidelines for National Greenhouse Gas Inventories, prepared by the National Greenhouse Gas Inventories Programme, edited by HS Eggleston, L Buendia, K Miwa, T Ngara and K Tanabe.</w:t>
      </w:r>
    </w:p>
    <w:p w14:paraId="460D5E10" w14:textId="77777777" w:rsidR="00F51113" w:rsidRPr="004C2DCD" w:rsidRDefault="00F51113" w:rsidP="00784F5F">
      <w:pPr>
        <w:pStyle w:val="Heading3"/>
        <w:numPr>
          <w:ilvl w:val="0"/>
          <w:numId w:val="113"/>
        </w:numPr>
      </w:pPr>
      <w:bookmarkStart w:id="592" w:name="section2553"/>
      <w:bookmarkEnd w:id="592"/>
      <w:r w:rsidRPr="004C2DCD">
        <w:t xml:space="preserve">Sector-based emissions projections methodologies </w:t>
      </w:r>
    </w:p>
    <w:p w14:paraId="09DE5373" w14:textId="0712CBF6" w:rsidR="00F51113" w:rsidRPr="004C2DCD" w:rsidRDefault="00FC319B" w:rsidP="00F51113">
      <w:pPr>
        <w:pStyle w:val="Heading4"/>
      </w:pPr>
      <w:r>
        <w:t>2.5.5.3.1</w:t>
      </w:r>
      <w:r>
        <w:tab/>
      </w:r>
      <w:r w:rsidR="00F51113" w:rsidRPr="004C2DCD">
        <w:t xml:space="preserve">Energy </w:t>
      </w:r>
    </w:p>
    <w:p w14:paraId="313408C4" w14:textId="77777777" w:rsidR="00F51113" w:rsidRPr="004C2DCD" w:rsidRDefault="00F51113" w:rsidP="00F51113">
      <w:pPr>
        <w:pStyle w:val="Heading5"/>
      </w:pPr>
      <w:r w:rsidRPr="004C2DCD">
        <w:t>Methodology</w:t>
      </w:r>
    </w:p>
    <w:p w14:paraId="34412491" w14:textId="77777777" w:rsidR="00F51113" w:rsidRPr="004C2DCD" w:rsidRDefault="00F51113" w:rsidP="00F51113">
      <w:pPr>
        <w:pStyle w:val="BodyText"/>
      </w:pPr>
      <w:r w:rsidRPr="004C2DCD">
        <w:t>The Energy sector modelling system comprises two main models: the Supply and Demand Energy Model (SADEM) and the Generation Expansion Model (GEM). SADEM performs three main functions. First, it projects energy demand for all sectors of the economy based on exogenous projections of population and economic growth and incorporates econometric relationships based on historical relationships and observed trends of energy efficiency growth. Second, it provides a central hub to incorporate electricity supply information from GEM. Finally, it calculates projections of Energy sector GHG emissions by applying emission factors. SADEM also produces activity forecasts for users relevant to IPPU emissions, such as methanol or steel production.</w:t>
      </w:r>
    </w:p>
    <w:p w14:paraId="42248E97" w14:textId="41E1D59C" w:rsidR="00F51113" w:rsidRPr="004C2DCD" w:rsidRDefault="00F51113" w:rsidP="00F51113">
      <w:pPr>
        <w:pStyle w:val="BodyText"/>
      </w:pPr>
      <w:r w:rsidRPr="004C2DCD">
        <w:t>GEM is a long-term planning model used to study capacity expansion specifically in the New Zealand electricity sector. Selecting from a large list of potential new generation facilities, the model determines which plant to construct and in which year each new plant is to be commissioned, while taking account of several technical, physical and economic constraints. While it is most often used to conduct research on generation capacity expansion given a fixed</w:t>
      </w:r>
      <w:r w:rsidR="001F5388">
        <w:t> </w:t>
      </w:r>
      <w:r w:rsidRPr="004C2DCD">
        <w:t>transmission network, GEM can also be configured to simultaneously optimise generation and transmission capacity investment decisions. However, GEM only considers large-scale generation that is connected to the grid. GEM requires fuel prices and electricity demand projections from SADEM as inputs.</w:t>
      </w:r>
    </w:p>
    <w:p w14:paraId="0F7F0E60" w14:textId="77777777" w:rsidR="00F51113" w:rsidRPr="004C2DCD" w:rsidRDefault="00F51113" w:rsidP="00F51113">
      <w:pPr>
        <w:pStyle w:val="Heading5"/>
      </w:pPr>
      <w:r w:rsidRPr="004C2DCD">
        <w:t>Strengths and weaknesses of models or approach</w:t>
      </w:r>
    </w:p>
    <w:p w14:paraId="18573259" w14:textId="4ADE6034" w:rsidR="00F51113" w:rsidRPr="004C2DCD" w:rsidRDefault="00F51113" w:rsidP="00F51113">
      <w:pPr>
        <w:pStyle w:val="BodyText"/>
        <w:keepLines/>
      </w:pPr>
      <w:r w:rsidRPr="004C2DCD">
        <w:t xml:space="preserve">The GEM is technically a comprehensive model of the New Zealand electricity system. However, the model does not account for departures from assumptions underlying a perfect competition framework. GEM is formulated as a mixed integer programming problem with a cost-minimisation objective function. Each potential new plant is characterised by parameters </w:t>
      </w:r>
      <w:r w:rsidRPr="004C2DCD">
        <w:rPr>
          <w:spacing w:val="-2"/>
        </w:rPr>
        <w:t>describing attributes such as location, technology, fuel type, capacity, capital cost and operating</w:t>
      </w:r>
      <w:r w:rsidRPr="004C2DCD">
        <w:t xml:space="preserve"> costs. The model is typically run for a series of scenarios describing possible future outcomes </w:t>
      </w:r>
      <w:r w:rsidRPr="004C2DCD">
        <w:rPr>
          <w:spacing w:val="-2"/>
        </w:rPr>
        <w:t>for factors such as demand for electricity (energy and peak), hydro and thermal fuel availability</w:t>
      </w:r>
      <w:r w:rsidRPr="004C2DCD">
        <w:t xml:space="preserve">, fuel prices, plant costs, and policies such as carbon pricing, renewables targets or transmission pricing. Under each scenario, a build plan and a supporting set of prices are generated. The time horizon over which the model is operated is typically 20 to 40 years. </w:t>
      </w:r>
    </w:p>
    <w:p w14:paraId="64334005" w14:textId="77777777" w:rsidR="00F51113" w:rsidRPr="004C2DCD" w:rsidRDefault="00F51113" w:rsidP="00F51113">
      <w:pPr>
        <w:pStyle w:val="BodyText"/>
      </w:pPr>
      <w:r w:rsidRPr="004C2DCD">
        <w:t xml:space="preserve">Grid-scale batteries are currently modelled as supporting peak demand, meaning the model requires fewer thermal peakers if more grid-scale batteries provide firming. However, GEM is not yet equipped to model the likely timing of charging, discharging and losses for grid-scale batteries, and how these might provide market arbitrage opportunities as the generation mix becomes more intermittent. This is also relevant to expectations of time-weighted pricing for different generation types, and how these might change if solar or wind generators increase market penetration over time. </w:t>
      </w:r>
    </w:p>
    <w:p w14:paraId="1D2BE8CB" w14:textId="77777777" w:rsidR="00F51113" w:rsidRPr="004C2DCD" w:rsidRDefault="00F51113" w:rsidP="00F51113">
      <w:pPr>
        <w:pStyle w:val="BodyText"/>
      </w:pPr>
      <w:r w:rsidRPr="004C2DCD">
        <w:t>SADEM projects energy demand for all sectors in the economy. However, the modelling is of the Energy sector only and not the entire economy. SADEM also has limited representation of potential mitigation technologies and their uptake in response to a carbon price. The main drivers in this modelling are exogenous (eg, gross domestic product (GDP) and carbon prices), meaning that secondary effects are not modelled (eg, the potential link between carbon prices and GDP is not included).</w:t>
      </w:r>
    </w:p>
    <w:p w14:paraId="388E7994" w14:textId="77777777" w:rsidR="00F51113" w:rsidRPr="004C2DCD" w:rsidRDefault="00F51113" w:rsidP="00F51113">
      <w:pPr>
        <w:pStyle w:val="BodyText"/>
      </w:pPr>
      <w:r w:rsidRPr="004C2DCD">
        <w:t xml:space="preserve">Because SADEM has been developed in-house, it offers the flexibility to be further modified and improved. For this Biennial Transparency Report, recent additions include: </w:t>
      </w:r>
    </w:p>
    <w:p w14:paraId="4CDB07B2" w14:textId="77777777" w:rsidR="00F51113" w:rsidRPr="004C2DCD" w:rsidRDefault="00F51113" w:rsidP="00F51113">
      <w:pPr>
        <w:pStyle w:val="Bullet"/>
      </w:pPr>
      <w:r w:rsidRPr="004C2DCD">
        <w:t xml:space="preserve">modelling of grid-scale batteries that can support peak demand and firming </w:t>
      </w:r>
    </w:p>
    <w:p w14:paraId="09C304D8" w14:textId="77777777" w:rsidR="00F51113" w:rsidRPr="004C2DCD" w:rsidRDefault="00F51113" w:rsidP="00F51113">
      <w:pPr>
        <w:pStyle w:val="Bullet"/>
      </w:pPr>
      <w:r w:rsidRPr="004C2DCD">
        <w:t>additional data-centre load</w:t>
      </w:r>
    </w:p>
    <w:p w14:paraId="199D8965" w14:textId="77777777" w:rsidR="00F51113" w:rsidRPr="004C2DCD" w:rsidRDefault="00F51113" w:rsidP="00F51113">
      <w:pPr>
        <w:pStyle w:val="Bullet"/>
      </w:pPr>
      <w:r w:rsidRPr="004C2DCD">
        <w:t xml:space="preserve">reduced expectations of natural gas demand, in line with new information on reduced supply projections </w:t>
      </w:r>
    </w:p>
    <w:p w14:paraId="4BACA0A3" w14:textId="77777777" w:rsidR="00F51113" w:rsidRPr="004C2DCD" w:rsidRDefault="00F51113" w:rsidP="00F51113">
      <w:pPr>
        <w:pStyle w:val="Bullet"/>
      </w:pPr>
      <w:r w:rsidRPr="004C2DCD">
        <w:t>incorporation of new fuel switching satellite models, which allow direct incorporation of the potential impacts of the National Policy Statement for Greenhouse Gas Emissions from Industrial Process Heat</w:t>
      </w:r>
    </w:p>
    <w:p w14:paraId="389B68DA" w14:textId="77777777" w:rsidR="00F51113" w:rsidRPr="004C2DCD" w:rsidRDefault="00F51113" w:rsidP="00F51113">
      <w:pPr>
        <w:pStyle w:val="Bullet"/>
      </w:pPr>
      <w:r w:rsidRPr="004C2DCD">
        <w:t>top-down modelling of peak demand, so SADEM does not reflect shifts in peak demand that might occur due to shifts in underlying energy demand unless this is specified exogenously</w:t>
      </w:r>
    </w:p>
    <w:p w14:paraId="3D1252A8" w14:textId="77777777" w:rsidR="00F51113" w:rsidRPr="004C2DCD" w:rsidRDefault="00F51113" w:rsidP="00F51113">
      <w:pPr>
        <w:pStyle w:val="Bullet"/>
      </w:pPr>
      <w:r w:rsidRPr="004C2DCD">
        <w:t>use of historical emission factors to estimate future emissions based on activity. However, inherent uncertainty exists around the impact of new energy developments, particularly (for instance) the location and nature of future geothermal fields and the technologies used to extract and generate electricity from geothermal fluids.</w:t>
      </w:r>
    </w:p>
    <w:p w14:paraId="02F9BA3F" w14:textId="4E1A0230" w:rsidR="00F51113" w:rsidRPr="004C2DCD" w:rsidRDefault="00812593" w:rsidP="00F51113">
      <w:pPr>
        <w:pStyle w:val="Heading4"/>
      </w:pPr>
      <w:r>
        <w:t>2.5.5.3.2</w:t>
      </w:r>
      <w:r>
        <w:tab/>
      </w:r>
      <w:r w:rsidR="00F51113" w:rsidRPr="004C2DCD">
        <w:t>Transport</w:t>
      </w:r>
    </w:p>
    <w:p w14:paraId="416AB3BD" w14:textId="77777777" w:rsidR="00F51113" w:rsidRPr="004C2DCD" w:rsidRDefault="00F51113" w:rsidP="00C56F3C">
      <w:pPr>
        <w:pStyle w:val="Heading5"/>
        <w:spacing w:before="180"/>
      </w:pPr>
      <w:r w:rsidRPr="004C2DCD">
        <w:t>Methodology</w:t>
      </w:r>
    </w:p>
    <w:p w14:paraId="357E43FD" w14:textId="77777777" w:rsidR="00F51113" w:rsidRPr="004C2DCD" w:rsidRDefault="00F51113" w:rsidP="00F51113">
      <w:pPr>
        <w:pStyle w:val="BodyText"/>
      </w:pPr>
      <w:r w:rsidRPr="004C2DCD">
        <w:t>Transport emissions have been estimated through the following approaches.</w:t>
      </w:r>
    </w:p>
    <w:p w14:paraId="480301B9" w14:textId="77777777" w:rsidR="00F51113" w:rsidRPr="004C2DCD" w:rsidRDefault="00F51113" w:rsidP="00F51113">
      <w:pPr>
        <w:pStyle w:val="BodyText"/>
        <w:rPr>
          <w:color w:val="183C47"/>
          <w:vertAlign w:val="superscript"/>
        </w:rPr>
      </w:pPr>
      <w:r w:rsidRPr="004C2DCD">
        <w:t>The Ministry of Transport’s Vehicle Fleet Model (VFM) has been used to project emissions from road transport. The VFM projects the composition of future motor vehicle fleets on the road, their vehicle kilometres travelled, energy use (fuel and electricity) and GHG emissions up to 2055.</w:t>
      </w:r>
      <w:r w:rsidRPr="004C2DCD">
        <w:rPr>
          <w:rStyle w:val="FootnoteReference"/>
          <w:rFonts w:eastAsia="Calibri" w:cs="Calibri"/>
        </w:rPr>
        <w:footnoteReference w:id="187"/>
      </w:r>
    </w:p>
    <w:p w14:paraId="3665F49E" w14:textId="2D43FADC" w:rsidR="00F51113" w:rsidRPr="004C2DCD" w:rsidRDefault="00F51113" w:rsidP="00F51113">
      <w:pPr>
        <w:pStyle w:val="BodyText"/>
      </w:pPr>
      <w:r w:rsidRPr="004C2DCD">
        <w:t>For domestic aviation emissions, the Ministry of Transport models fuel use as the product of passenger numbers, average distance (kilometres) travelled per passenger and average fuel use per passenger kilometre. The model projects emissions by applying an emission factor to the estimated fuel use</w:t>
      </w:r>
      <w:r w:rsidR="000B5EFF">
        <w:t>.</w:t>
      </w:r>
    </w:p>
    <w:p w14:paraId="00662626" w14:textId="77777777" w:rsidR="00F51113" w:rsidRPr="004C2DCD" w:rsidRDefault="00F51113" w:rsidP="00F51113">
      <w:pPr>
        <w:pStyle w:val="BodyText"/>
      </w:pPr>
      <w:r w:rsidRPr="004C2DCD">
        <w:t>No specific projection models have been developed for emissions from rail, domestic navigation or other transport categories because of their small scale. Emissions from these modes are assumed to remain at the 2022 levels.</w:t>
      </w:r>
    </w:p>
    <w:p w14:paraId="69D21DA0" w14:textId="77777777" w:rsidR="00F51113" w:rsidRPr="004C2DCD" w:rsidRDefault="00F51113" w:rsidP="00F51113">
      <w:pPr>
        <w:pStyle w:val="BodyText"/>
      </w:pPr>
      <w:r w:rsidRPr="004C2DCD">
        <w:t>The VFM estimates emission impacts of policy measures in the WEM primarily based on the difference in electric vehicle (EV) uptake rates between the scenarios with and without the policy measures. Vehicle purchase price elasticities are also used when estimating the impacts of the Clean Car Standard on purchasing decisions. Additionally, travel price elasticities are used to estimate the impact of the NZ ETS on light vehicle travel.</w:t>
      </w:r>
    </w:p>
    <w:p w14:paraId="3CC76835" w14:textId="7FAAC702" w:rsidR="00F51113" w:rsidRPr="004C2DCD" w:rsidRDefault="00812593" w:rsidP="00F51113">
      <w:pPr>
        <w:pStyle w:val="Heading4"/>
      </w:pPr>
      <w:r>
        <w:t>2.5.5.3.3</w:t>
      </w:r>
      <w:r>
        <w:tab/>
      </w:r>
      <w:r w:rsidR="00F51113" w:rsidRPr="004C2DCD">
        <w:t>Strengths and weaknesses of models or approach</w:t>
      </w:r>
    </w:p>
    <w:p w14:paraId="48F57C64" w14:textId="77777777" w:rsidR="00F51113" w:rsidRPr="004C2DCD" w:rsidRDefault="00F51113" w:rsidP="00F51113">
      <w:pPr>
        <w:pStyle w:val="Heading5"/>
        <w:rPr>
          <w:iCs/>
        </w:rPr>
      </w:pPr>
      <w:r w:rsidRPr="004C2DCD">
        <w:t xml:space="preserve">Vehicle Fleet Model </w:t>
      </w:r>
    </w:p>
    <w:p w14:paraId="0CB1D894" w14:textId="77777777" w:rsidR="00F51113" w:rsidRPr="004C2DCD" w:rsidRDefault="00F51113" w:rsidP="00F51113">
      <w:pPr>
        <w:pStyle w:val="BodyText"/>
      </w:pPr>
      <w:r w:rsidRPr="004C2DCD">
        <w:t xml:space="preserve">The VFM uses a bottom-up approach, that is, emissions are estimated and projected at the detailed level of vehicle categories. New Zealand-specific data are used, including on vehicle fleet composition and travel patterns. In particular, real-world fuel use data in New Zealand are used. </w:t>
      </w:r>
    </w:p>
    <w:p w14:paraId="1DCE6DD9" w14:textId="77777777" w:rsidR="00F51113" w:rsidRPr="004C2DCD" w:rsidRDefault="00F51113" w:rsidP="00F51113">
      <w:pPr>
        <w:pStyle w:val="BodyText"/>
      </w:pPr>
      <w:r w:rsidRPr="004C2DCD">
        <w:t>Due to the long-time horizon, significant uncertainty is associated with its long-term projections. This uncertainty is particularly evident for projections for the uptake of electric heavy vehicles as a result of limited data and information availability.</w:t>
      </w:r>
    </w:p>
    <w:p w14:paraId="1358EDA2" w14:textId="77777777" w:rsidR="00F51113" w:rsidRPr="004C2DCD" w:rsidRDefault="00F51113" w:rsidP="00F51113">
      <w:pPr>
        <w:pStyle w:val="Heading5"/>
      </w:pPr>
      <w:r w:rsidRPr="004C2DCD">
        <w:t>Aviation</w:t>
      </w:r>
    </w:p>
    <w:p w14:paraId="55A1247C" w14:textId="77777777" w:rsidR="00F51113" w:rsidRPr="004C2DCD" w:rsidRDefault="00F51113" w:rsidP="00F51113">
      <w:pPr>
        <w:pStyle w:val="BodyText"/>
      </w:pPr>
      <w:r w:rsidRPr="004C2DCD">
        <w:t>A new aviation model has been developed, representing a significant improvement over the previous approach, which assumed that emissions would remain at the same level as the past historical year for all future years. However, its methodology remains relatively simple and there is a high level of uncertainty regarding the recovery of air travel demand from the COVID-19 pandemic and other factors affecting the aviation industry.</w:t>
      </w:r>
    </w:p>
    <w:p w14:paraId="22019193" w14:textId="42C1B75E" w:rsidR="00F51113" w:rsidRPr="004C2DCD" w:rsidRDefault="00812593" w:rsidP="00F51113">
      <w:pPr>
        <w:pStyle w:val="Heading4"/>
      </w:pPr>
      <w:r>
        <w:t>2.5.5.3.4</w:t>
      </w:r>
      <w:r>
        <w:tab/>
      </w:r>
      <w:r w:rsidR="00F51113" w:rsidRPr="004C2DCD">
        <w:t>Industrial Processes and Product Use</w:t>
      </w:r>
    </w:p>
    <w:p w14:paraId="313A76CA" w14:textId="77777777" w:rsidR="00F51113" w:rsidRPr="004C2DCD" w:rsidRDefault="00F51113" w:rsidP="00F51113">
      <w:pPr>
        <w:pStyle w:val="Heading5"/>
      </w:pPr>
      <w:r w:rsidRPr="004C2DCD">
        <w:t>Methodology</w:t>
      </w:r>
    </w:p>
    <w:p w14:paraId="2AEBFAAD" w14:textId="77777777" w:rsidR="00F51113" w:rsidRPr="004C2DCD" w:rsidRDefault="00F51113" w:rsidP="00F51113">
      <w:pPr>
        <w:pStyle w:val="BodyText"/>
        <w:spacing w:before="100" w:after="100"/>
      </w:pPr>
      <w:r w:rsidRPr="004C2DCD">
        <w:t>For the IPPU sector, projections of CO</w:t>
      </w:r>
      <w:r w:rsidRPr="004C2DCD">
        <w:rPr>
          <w:vertAlign w:val="subscript"/>
        </w:rPr>
        <w:t>2</w:t>
      </w:r>
      <w:r w:rsidRPr="004C2DCD">
        <w:t>, CH</w:t>
      </w:r>
      <w:r w:rsidRPr="004C2DCD">
        <w:rPr>
          <w:vertAlign w:val="subscript"/>
        </w:rPr>
        <w:t>4</w:t>
      </w:r>
      <w:r w:rsidRPr="004C2DCD">
        <w:t xml:space="preserve"> and PFC emissions are estimated largely by holding emissions constant where facilities are assumed to be at production capacity and reducing emissions when site closures are expected to occur. The methanol production facilities Motunui 1 and Motunui 2 are projected to decrease production as natural gas availability declines before closing in 2029. The Waitara Valley Plant (idled in 2021) is assumed to stay closed. The New Zealand Steel facility is projected to install a new electric arc furnace from 2027, and new coal and electricity use estimates for steelmaking have been applied. The subsequent increase in electricity demand is modelled separately in the Energy sector. </w:t>
      </w:r>
    </w:p>
    <w:p w14:paraId="39FC89C7" w14:textId="77777777" w:rsidR="00F51113" w:rsidRPr="004C2DCD" w:rsidRDefault="00F51113" w:rsidP="00F51113">
      <w:pPr>
        <w:pStyle w:val="BodyText"/>
        <w:spacing w:before="100" w:after="100"/>
      </w:pPr>
      <w:r w:rsidRPr="004C2DCD">
        <w:t xml:space="preserve">Projected emissions of sulphur hexafluoride and nitrous oxide were modelled from forecast activity informed by historical trends and relationships to population and economic growth. </w:t>
      </w:r>
    </w:p>
    <w:p w14:paraId="283E6359" w14:textId="77777777" w:rsidR="00F51113" w:rsidRPr="004C2DCD" w:rsidRDefault="00F51113" w:rsidP="00F51113">
      <w:pPr>
        <w:pStyle w:val="BodyText"/>
        <w:spacing w:before="100" w:after="100"/>
      </w:pPr>
      <w:r w:rsidRPr="004C2DCD">
        <w:t>Projections of HFC emissions were prepared through an assessment of the volume and composition of the stockpile of HFC gases in New Zealand and estimates on New Zealand’s projected drawdown, reuse, destruction and emissions of those gases. This assessment considered historical trends and analysis on the impact of the Kigali Amendment phase-down, international equipment changes resulting from the European Union’s fluorinated gas regulations, emissions pricing, stakeholder transition plans and likely new technology shifts.</w:t>
      </w:r>
    </w:p>
    <w:p w14:paraId="7C760ED1" w14:textId="77777777" w:rsidR="00F51113" w:rsidRPr="004C2DCD" w:rsidRDefault="00F51113" w:rsidP="00F51113">
      <w:pPr>
        <w:pStyle w:val="Heading5"/>
      </w:pPr>
      <w:r w:rsidRPr="004C2DCD">
        <w:t>Strengths and weaknesses of models or approach</w:t>
      </w:r>
    </w:p>
    <w:p w14:paraId="58235EB0" w14:textId="77777777" w:rsidR="00F51113" w:rsidRPr="004C2DCD" w:rsidRDefault="00F51113" w:rsidP="00F51113">
      <w:pPr>
        <w:pStyle w:val="BodyText"/>
        <w:spacing w:before="100" w:after="100"/>
      </w:pPr>
      <w:r w:rsidRPr="004C2DCD">
        <w:t>The compilation of HFC emissions includes a highly detailed assessment process for different sectors and uses of HFCs. The approach used is a considerable revision and improvement from previously prepared projections. However, a high level of uncertainty still exists because there are many interacting factors, limited domestic and international evidence, and a significant ongoing policy programme to address HFC emissions.</w:t>
      </w:r>
    </w:p>
    <w:p w14:paraId="5FF45C07" w14:textId="77777777" w:rsidR="00F51113" w:rsidRPr="004C2DCD" w:rsidRDefault="00F51113" w:rsidP="00F51113">
      <w:pPr>
        <w:pStyle w:val="BodyText"/>
        <w:spacing w:before="100" w:after="100"/>
      </w:pPr>
      <w:r w:rsidRPr="004C2DCD">
        <w:t xml:space="preserve">The mitigation impact of emissions pricing under the NZ ETS is not quantified for non-HFC IPPU emissions. This includes the estimated mitigation impact of the phase-down of free allocation of units to large trade-exposed industrial emitters within the NZ ETS. </w:t>
      </w:r>
    </w:p>
    <w:p w14:paraId="3C7B6D6F" w14:textId="77777777" w:rsidR="00F51113" w:rsidRPr="004C2DCD" w:rsidRDefault="00F51113" w:rsidP="00F51113">
      <w:pPr>
        <w:pStyle w:val="BodyText"/>
        <w:spacing w:before="100" w:after="100"/>
      </w:pPr>
      <w:r w:rsidRPr="004C2DCD">
        <w:t>Historically, imports and exports of bulk HFCs and equipment containing HFCs have fluctuated significantly from year to year. For example, stockpiling of bulk imported fluorinated gases is suspected to have occurred from 2010 to 2012, before the January 2013 introduction of fluorinated gases into the NZ ETS, and around 2016 to 2017 in response to increasing NZ ETS prices and the prospect of a Kigali Amendment phase-down permit system. These types of fluctuations distort year</w:t>
      </w:r>
      <w:r w:rsidRPr="004C2DCD">
        <w:noBreakHyphen/>
        <w:t>to</w:t>
      </w:r>
      <w:r w:rsidRPr="004C2DCD">
        <w:noBreakHyphen/>
        <w:t>year importation and consumption data that are used to inform historical and projected IPPU emissions.</w:t>
      </w:r>
    </w:p>
    <w:p w14:paraId="6621FC96" w14:textId="77777777" w:rsidR="00F51113" w:rsidRPr="004C2DCD" w:rsidRDefault="00F51113" w:rsidP="00F51113">
      <w:pPr>
        <w:pStyle w:val="BodyText"/>
        <w:spacing w:before="100" w:after="100"/>
      </w:pPr>
      <w:r w:rsidRPr="004C2DCD">
        <w:t>The impact of an NZ ETS price under the WEM scenarios has been assessed for different refrigeration sectors for HFCs. However, these impacts are highly uncertain because the evidence base is limited for the elasticity of refrigerant usage with respect to an emissions price.</w:t>
      </w:r>
    </w:p>
    <w:p w14:paraId="40E3E859" w14:textId="77777777" w:rsidR="00F51113" w:rsidRPr="004C2DCD" w:rsidRDefault="00F51113" w:rsidP="00F51113">
      <w:pPr>
        <w:pStyle w:val="BodyText"/>
        <w:spacing w:before="100" w:after="100"/>
      </w:pPr>
      <w:r w:rsidRPr="004C2DCD">
        <w:t>With high uncertainties in cumulative HFC emissions estimates, uncertainties in total abatement estimates will be higher again. Consequently, attribution estimates are highly uncertain.</w:t>
      </w:r>
    </w:p>
    <w:p w14:paraId="025580B8" w14:textId="15A8B0B2" w:rsidR="00F51113" w:rsidRPr="004C2DCD" w:rsidRDefault="00812593" w:rsidP="00F51113">
      <w:pPr>
        <w:pStyle w:val="Heading4"/>
      </w:pPr>
      <w:r>
        <w:t>2.5.5.3.5</w:t>
      </w:r>
      <w:r>
        <w:tab/>
      </w:r>
      <w:r w:rsidR="00F51113" w:rsidRPr="004C2DCD">
        <w:t>Agriculture</w:t>
      </w:r>
    </w:p>
    <w:p w14:paraId="2537B2EA" w14:textId="77777777" w:rsidR="00F51113" w:rsidRPr="004C2DCD" w:rsidRDefault="00F51113" w:rsidP="00F51113">
      <w:pPr>
        <w:pStyle w:val="Heading5"/>
      </w:pPr>
      <w:r w:rsidRPr="004C2DCD">
        <w:t>Methodology</w:t>
      </w:r>
    </w:p>
    <w:p w14:paraId="64D78AF5" w14:textId="77777777" w:rsidR="00F51113" w:rsidRPr="004C2DCD" w:rsidRDefault="00F51113" w:rsidP="00F51113">
      <w:pPr>
        <w:pStyle w:val="BodyText"/>
      </w:pPr>
      <w:r w:rsidRPr="004C2DCD">
        <w:t>Forecasting of future agricultural activity is estimated using several modelling tools and assumptions then inserted into the agricultural GHG inventory model to obtain emissions projections out to 2050. The same methodology and country-specific emission factors used in the compilation of Inventory 2024 have been used in producing these projected agricultural emissions.</w:t>
      </w:r>
    </w:p>
    <w:p w14:paraId="3BFAC294" w14:textId="77777777" w:rsidR="00F51113" w:rsidRPr="004C2DCD" w:rsidRDefault="00F51113" w:rsidP="00F51113">
      <w:pPr>
        <w:pStyle w:val="BodyText"/>
      </w:pPr>
      <w:r w:rsidRPr="004D69F8">
        <w:t>The WEM productivity</w:t>
      </w:r>
      <w:r w:rsidRPr="004C2DCD">
        <w:t xml:space="preserve"> and animal population inputs for the four major livestock categories (dairy, sheep, deer and beef cattle) are modelled by the Pastoral Supply Response Model (PSRM), which is also used for the Situation and Outlook for Primary Industries quarterly reports. </w:t>
      </w:r>
    </w:p>
    <w:p w14:paraId="1E077EFC" w14:textId="0A9BF383" w:rsidR="00F51113" w:rsidRPr="004C2DCD" w:rsidRDefault="00F51113" w:rsidP="00F51113">
      <w:pPr>
        <w:pStyle w:val="BodyText"/>
      </w:pPr>
      <w:r w:rsidRPr="004C2DCD">
        <w:t>The PSRM is the Ministry for Primary Industries’ internal econometric model for forecasting production from the pastoral sector. The PSRM models livestock numbers and agricultural production (slaughter weights, milk, wood production) at the national level, which are representative of biological constraints and investment decisions made by land owners or land managers. Factors that influence investment decisions include forecast prices and biological factors, such as actual livestock numbers and the lifecycle of animals, to constrain the rate of change. It is also constrained by climate trends and the amount of pastoral land available in New Zealand. A significant driver of pastoral land-use change is afforestation, which is modelled externally to the PSRM.</w:t>
      </w:r>
    </w:p>
    <w:p w14:paraId="209F4D82" w14:textId="255576C1" w:rsidR="00F51113" w:rsidRPr="004C2DCD" w:rsidRDefault="00F51113" w:rsidP="00F51113">
      <w:pPr>
        <w:pStyle w:val="BodyText"/>
      </w:pPr>
      <w:r w:rsidRPr="004C2DCD">
        <w:t>Between 2023 and 2028</w:t>
      </w:r>
      <w:r w:rsidR="002A10F8">
        <w:t>,</w:t>
      </w:r>
      <w:r w:rsidRPr="004C2DCD">
        <w:t xml:space="preserve"> the WEM scenario is based on the animal population and productivity estimates published in the July 2024 Situation and Outlook for Primary Industries, with adjustments to account for population data available in August 2024. </w:t>
      </w:r>
    </w:p>
    <w:p w14:paraId="1A6D4467" w14:textId="77777777" w:rsidR="00F51113" w:rsidRPr="004C2DCD" w:rsidRDefault="00F51113" w:rsidP="00F51113">
      <w:pPr>
        <w:pStyle w:val="BodyText"/>
      </w:pPr>
      <w:r w:rsidRPr="004C2DCD">
        <w:t>Improvements in productivity (per cow milk yield, butterfat and protein content of milk, lambing per cent, average animal weights and carcass weights) were taken from the Situation and Outlook for Primary Industries estimates for 2023 to 2050.</w:t>
      </w:r>
    </w:p>
    <w:p w14:paraId="6CE5E487" w14:textId="3AF2C401" w:rsidR="00F51113" w:rsidRPr="004C2DCD" w:rsidRDefault="00F51113" w:rsidP="00F51113">
      <w:pPr>
        <w:pStyle w:val="BodyText"/>
      </w:pPr>
      <w:r w:rsidRPr="004C2DCD">
        <w:t xml:space="preserve">From 2029, dairy populations are estimated as a percentage reduction from the 2028 value. This is based on an assumed level of dairy land-use change to horticultural activities (including arable cropping) and settlements through urban expansion, and the expected effects of the Essential Freshwater package and the cap on synthetic nitrogen fertiliser use (see </w:t>
      </w:r>
      <w:hyperlink w:anchor="table252" w:history="1">
        <w:r w:rsidRPr="00BF2415">
          <w:rPr>
            <w:rStyle w:val="Hyperlink"/>
          </w:rPr>
          <w:t>table 2.5.2</w:t>
        </w:r>
      </w:hyperlink>
      <w:r w:rsidRPr="004C2DCD">
        <w:t xml:space="preserve">, for more detail). </w:t>
      </w:r>
    </w:p>
    <w:p w14:paraId="4A7D0953" w14:textId="501D7B37" w:rsidR="00F51113" w:rsidRPr="004C2DCD" w:rsidRDefault="00F51113" w:rsidP="00F51113">
      <w:pPr>
        <w:pStyle w:val="BodyText"/>
      </w:pPr>
      <w:r w:rsidRPr="004C2DCD">
        <w:t>From 2029, sheep, beef cattle and deer populations were calculated using a percentage change in stock from 2028 based on the forestry</w:t>
      </w:r>
      <w:r w:rsidR="00704C3B">
        <w:t>-</w:t>
      </w:r>
      <w:r w:rsidRPr="004C2DCD">
        <w:t>driven</w:t>
      </w:r>
      <w:r w:rsidR="00866A86">
        <w:t>,</w:t>
      </w:r>
      <w:r w:rsidRPr="004C2DCD">
        <w:t xml:space="preserve"> stock change analysis. Afforestation numbers are taken from the projections compiled for the LULUCF sector. Spatial analysis, historical data and trends, and advice from subject matter experts were used to determine impacts on sheep, beef cattle and deer populations.</w:t>
      </w:r>
    </w:p>
    <w:p w14:paraId="39DB9FC7" w14:textId="01964A97" w:rsidR="00F51113" w:rsidRPr="004C2DCD" w:rsidRDefault="00F51113" w:rsidP="00F51113">
      <w:pPr>
        <w:pStyle w:val="BodyText"/>
      </w:pPr>
      <w:r w:rsidRPr="004C2DCD">
        <w:rPr>
          <w:spacing w:val="-2"/>
        </w:rPr>
        <w:t>Fertiliser use was projected forward from the 2023 value using PSRM land</w:t>
      </w:r>
      <w:r w:rsidR="00CF44D2">
        <w:rPr>
          <w:spacing w:val="-2"/>
        </w:rPr>
        <w:t>-</w:t>
      </w:r>
      <w:r w:rsidRPr="004C2DCD">
        <w:rPr>
          <w:spacing w:val="-2"/>
        </w:rPr>
        <w:t>use area projections.</w:t>
      </w:r>
      <w:r w:rsidRPr="004C2DCD">
        <w:t xml:space="preserve"> The portion of fertiliser use by industry (based on the 2017 Agricultural Production Census) is used to calculate fertiliser by land</w:t>
      </w:r>
      <w:r w:rsidR="00CF44D2">
        <w:t>-</w:t>
      </w:r>
      <w:r w:rsidRPr="004C2DCD">
        <w:t>use type.</w:t>
      </w:r>
    </w:p>
    <w:p w14:paraId="398D5AFA" w14:textId="77777777" w:rsidR="00F51113" w:rsidRPr="004C2DCD" w:rsidRDefault="00F51113" w:rsidP="00F51113">
      <w:pPr>
        <w:pStyle w:val="BodyText"/>
      </w:pPr>
      <w:r w:rsidRPr="004C2DCD">
        <w:t>Other inputs used either a constant value (2022 input) or a linear forecast using the 1990 to 2022 data.</w:t>
      </w:r>
    </w:p>
    <w:p w14:paraId="7EE7FFCF" w14:textId="77777777" w:rsidR="00F51113" w:rsidRPr="004C2DCD" w:rsidRDefault="00F51113" w:rsidP="00F51113">
      <w:pPr>
        <w:pStyle w:val="BodyText"/>
      </w:pPr>
      <w:r w:rsidRPr="004C2DCD">
        <w:t>Emissions outputs were further modified to account for the impact of emissions reduction technologies.</w:t>
      </w:r>
    </w:p>
    <w:p w14:paraId="254DA3FC" w14:textId="77777777" w:rsidR="00F51113" w:rsidRPr="004C2DCD" w:rsidRDefault="00F51113" w:rsidP="00F51113">
      <w:pPr>
        <w:pStyle w:val="Tableheading"/>
        <w:ind w:left="1276" w:hanging="1276"/>
      </w:pPr>
      <w:bookmarkStart w:id="593" w:name="_Toc121773810"/>
      <w:bookmarkStart w:id="594" w:name="_Toc183789704"/>
      <w:bookmarkStart w:id="595" w:name="_Toc185407477"/>
      <w:bookmarkStart w:id="596" w:name="_Toc185427740"/>
      <w:r w:rsidRPr="004C2DCD">
        <w:t xml:space="preserve">Table 2.5.12: </w:t>
      </w:r>
      <w:r w:rsidRPr="004C2DCD">
        <w:tab/>
        <w:t>Projected change in emissions, production and animal numbers between 2022 and 2035 under a ‘with existing measures’ scenario for dairy, sheep and beef</w:t>
      </w:r>
      <w:bookmarkEnd w:id="593"/>
      <w:r w:rsidRPr="004C2DCD">
        <w:t xml:space="preserve"> cattle</w:t>
      </w:r>
      <w:bookmarkEnd w:id="594"/>
      <w:bookmarkEnd w:id="595"/>
      <w:bookmarkEnd w:id="596"/>
      <w:r w:rsidRPr="004C2DCD">
        <w:t xml:space="preserve"> </w:t>
      </w:r>
    </w:p>
    <w:tbl>
      <w:tblPr>
        <w:tblStyle w:val="TableGrid1"/>
        <w:tblW w:w="8505" w:type="dxa"/>
        <w:tblInd w:w="113" w:type="dxa"/>
        <w:tblLayout w:type="fixed"/>
        <w:tblCellMar>
          <w:left w:w="85" w:type="dxa"/>
          <w:right w:w="85" w:type="dxa"/>
        </w:tblCellMar>
        <w:tblLook w:val="04A0" w:firstRow="1" w:lastRow="0" w:firstColumn="1" w:lastColumn="0" w:noHBand="0" w:noVBand="1"/>
      </w:tblPr>
      <w:tblGrid>
        <w:gridCol w:w="2248"/>
        <w:gridCol w:w="2765"/>
        <w:gridCol w:w="3492"/>
      </w:tblGrid>
      <w:tr w:rsidR="00F51113" w:rsidRPr="004C2DCD" w14:paraId="32C06932" w14:textId="77777777">
        <w:tc>
          <w:tcPr>
            <w:tcW w:w="6975" w:type="dxa"/>
            <w:gridSpan w:val="3"/>
            <w:shd w:val="clear" w:color="auto" w:fill="1B556B" w:themeFill="text2"/>
            <w:noWrap/>
            <w:hideMark/>
          </w:tcPr>
          <w:p w14:paraId="2E98B0B9" w14:textId="03833B10" w:rsidR="00F51113" w:rsidRPr="004C2DCD" w:rsidRDefault="00F51113">
            <w:pPr>
              <w:pStyle w:val="TableText"/>
              <w:keepNext/>
              <w:spacing w:before="40" w:after="40" w:line="220" w:lineRule="atLeast"/>
              <w:rPr>
                <w:b/>
                <w:bCs/>
                <w:color w:val="FFFFFF" w:themeColor="background1"/>
                <w:lang w:val="en-NZ"/>
              </w:rPr>
            </w:pPr>
            <w:r w:rsidRPr="004C2DCD">
              <w:rPr>
                <w:b/>
                <w:bCs/>
                <w:color w:val="FFFFFF" w:themeColor="background1"/>
                <w:lang w:val="en-NZ"/>
              </w:rPr>
              <w:t>Projected change in emissions by activity (Mt CO</w:t>
            </w:r>
            <w:r w:rsidRPr="004C2DCD">
              <w:rPr>
                <w:b/>
                <w:bCs/>
                <w:color w:val="FFFFFF" w:themeColor="background1"/>
                <w:vertAlign w:val="subscript"/>
                <w:lang w:val="en-NZ"/>
              </w:rPr>
              <w:t>2</w:t>
            </w:r>
            <w:r w:rsidRPr="004C2DCD">
              <w:rPr>
                <w:b/>
                <w:bCs/>
                <w:color w:val="FFFFFF" w:themeColor="background1"/>
                <w:lang w:val="en-NZ"/>
              </w:rPr>
              <w:t>e)</w:t>
            </w:r>
          </w:p>
        </w:tc>
      </w:tr>
      <w:tr w:rsidR="00F51113" w:rsidRPr="004C2DCD" w14:paraId="1CF6E132" w14:textId="77777777">
        <w:tc>
          <w:tcPr>
            <w:tcW w:w="1843" w:type="dxa"/>
            <w:noWrap/>
            <w:hideMark/>
          </w:tcPr>
          <w:p w14:paraId="1A9081A7" w14:textId="77777777" w:rsidR="00F51113" w:rsidRPr="004C2DCD" w:rsidRDefault="00F51113">
            <w:pPr>
              <w:pStyle w:val="TableText"/>
              <w:spacing w:before="40" w:after="40"/>
              <w:rPr>
                <w:b/>
                <w:bCs/>
                <w:lang w:val="en-NZ"/>
              </w:rPr>
            </w:pPr>
          </w:p>
        </w:tc>
        <w:tc>
          <w:tcPr>
            <w:tcW w:w="2268" w:type="dxa"/>
            <w:noWrap/>
            <w:hideMark/>
          </w:tcPr>
          <w:p w14:paraId="34CA9905" w14:textId="77777777" w:rsidR="00F51113" w:rsidRPr="004C2DCD" w:rsidRDefault="00F51113">
            <w:pPr>
              <w:pStyle w:val="TableText"/>
              <w:spacing w:before="40" w:after="40"/>
              <w:jc w:val="center"/>
              <w:rPr>
                <w:b/>
                <w:bCs/>
                <w:lang w:val="en-NZ"/>
              </w:rPr>
            </w:pPr>
            <w:r w:rsidRPr="004C2DCD">
              <w:rPr>
                <w:b/>
                <w:bCs/>
                <w:lang w:val="en-NZ"/>
              </w:rPr>
              <w:t>Dairy</w:t>
            </w:r>
          </w:p>
        </w:tc>
        <w:tc>
          <w:tcPr>
            <w:tcW w:w="2864" w:type="dxa"/>
            <w:noWrap/>
            <w:hideMark/>
          </w:tcPr>
          <w:p w14:paraId="5B5D14E1" w14:textId="77777777" w:rsidR="00F51113" w:rsidRPr="004C2DCD" w:rsidRDefault="00F51113">
            <w:pPr>
              <w:pStyle w:val="TableText"/>
              <w:spacing w:before="40" w:after="40"/>
              <w:jc w:val="center"/>
              <w:rPr>
                <w:b/>
                <w:bCs/>
                <w:lang w:val="en-NZ"/>
              </w:rPr>
            </w:pPr>
            <w:r w:rsidRPr="004C2DCD">
              <w:rPr>
                <w:b/>
                <w:bCs/>
                <w:lang w:val="en-NZ"/>
              </w:rPr>
              <w:t>Sheep and beef cattle</w:t>
            </w:r>
          </w:p>
        </w:tc>
      </w:tr>
      <w:tr w:rsidR="00F51113" w:rsidRPr="004C2DCD" w14:paraId="75A99EB8" w14:textId="77777777">
        <w:tc>
          <w:tcPr>
            <w:tcW w:w="1843" w:type="dxa"/>
            <w:noWrap/>
          </w:tcPr>
          <w:p w14:paraId="4629EC64" w14:textId="77777777" w:rsidR="00F51113" w:rsidRPr="004C2DCD" w:rsidRDefault="00F51113">
            <w:pPr>
              <w:pStyle w:val="TableText"/>
              <w:spacing w:before="40" w:after="40"/>
              <w:rPr>
                <w:lang w:val="en-NZ"/>
              </w:rPr>
            </w:pPr>
            <w:r w:rsidRPr="004C2DCD">
              <w:rPr>
                <w:lang w:val="en-NZ"/>
              </w:rPr>
              <w:t>2022</w:t>
            </w:r>
          </w:p>
        </w:tc>
        <w:tc>
          <w:tcPr>
            <w:tcW w:w="2268" w:type="dxa"/>
            <w:noWrap/>
            <w:vAlign w:val="center"/>
          </w:tcPr>
          <w:p w14:paraId="515E9F21" w14:textId="77777777" w:rsidR="00F51113" w:rsidRPr="004C2DCD" w:rsidRDefault="00F51113">
            <w:pPr>
              <w:pStyle w:val="TableText"/>
              <w:spacing w:before="40" w:after="40"/>
              <w:jc w:val="center"/>
              <w:rPr>
                <w:lang w:val="en-NZ"/>
              </w:rPr>
            </w:pPr>
            <w:r w:rsidRPr="004C2DCD">
              <w:rPr>
                <w:lang w:val="en-NZ"/>
              </w:rPr>
              <w:t>21.5</w:t>
            </w:r>
          </w:p>
        </w:tc>
        <w:tc>
          <w:tcPr>
            <w:tcW w:w="2864" w:type="dxa"/>
            <w:noWrap/>
            <w:vAlign w:val="center"/>
          </w:tcPr>
          <w:p w14:paraId="360B96EC" w14:textId="77777777" w:rsidR="00F51113" w:rsidRPr="004C2DCD" w:rsidRDefault="00F51113">
            <w:pPr>
              <w:pStyle w:val="TableText"/>
              <w:spacing w:before="40" w:after="40"/>
              <w:jc w:val="center"/>
              <w:rPr>
                <w:lang w:val="en-NZ"/>
              </w:rPr>
            </w:pPr>
            <w:r w:rsidRPr="004C2DCD">
              <w:rPr>
                <w:lang w:val="en-NZ"/>
              </w:rPr>
              <w:t>18.2</w:t>
            </w:r>
          </w:p>
        </w:tc>
      </w:tr>
      <w:tr w:rsidR="00F51113" w:rsidRPr="004C2DCD" w14:paraId="4475830E" w14:textId="77777777">
        <w:tc>
          <w:tcPr>
            <w:tcW w:w="1843" w:type="dxa"/>
            <w:noWrap/>
          </w:tcPr>
          <w:p w14:paraId="073AE186" w14:textId="77777777" w:rsidR="00F51113" w:rsidRPr="004C2DCD" w:rsidRDefault="00F51113">
            <w:pPr>
              <w:pStyle w:val="TableText"/>
              <w:spacing w:before="40" w:after="40"/>
              <w:rPr>
                <w:lang w:val="en-NZ"/>
              </w:rPr>
            </w:pPr>
            <w:r w:rsidRPr="004C2DCD">
              <w:rPr>
                <w:lang w:val="en-NZ"/>
              </w:rPr>
              <w:t>2035</w:t>
            </w:r>
          </w:p>
        </w:tc>
        <w:tc>
          <w:tcPr>
            <w:tcW w:w="2268" w:type="dxa"/>
            <w:noWrap/>
            <w:vAlign w:val="center"/>
          </w:tcPr>
          <w:p w14:paraId="78EA7BB6" w14:textId="77777777" w:rsidR="00F51113" w:rsidRPr="004C2DCD" w:rsidRDefault="00F51113">
            <w:pPr>
              <w:pStyle w:val="TableText"/>
              <w:spacing w:before="40" w:after="40"/>
              <w:jc w:val="center"/>
              <w:rPr>
                <w:lang w:val="en-NZ"/>
              </w:rPr>
            </w:pPr>
            <w:r w:rsidRPr="004C2DCD">
              <w:rPr>
                <w:lang w:val="en-NZ"/>
              </w:rPr>
              <w:t>20.8</w:t>
            </w:r>
          </w:p>
        </w:tc>
        <w:tc>
          <w:tcPr>
            <w:tcW w:w="2864" w:type="dxa"/>
            <w:noWrap/>
            <w:vAlign w:val="center"/>
          </w:tcPr>
          <w:p w14:paraId="5698F17F" w14:textId="77777777" w:rsidR="00F51113" w:rsidRPr="004C2DCD" w:rsidRDefault="00F51113">
            <w:pPr>
              <w:pStyle w:val="TableText"/>
              <w:spacing w:before="40" w:after="40"/>
              <w:jc w:val="center"/>
              <w:rPr>
                <w:lang w:val="en-NZ"/>
              </w:rPr>
            </w:pPr>
            <w:r w:rsidRPr="004C2DCD">
              <w:rPr>
                <w:lang w:val="en-NZ"/>
              </w:rPr>
              <w:t>16.4</w:t>
            </w:r>
          </w:p>
        </w:tc>
      </w:tr>
      <w:tr w:rsidR="00F51113" w:rsidRPr="004C2DCD" w14:paraId="007ED591" w14:textId="77777777">
        <w:tc>
          <w:tcPr>
            <w:tcW w:w="1843" w:type="dxa"/>
            <w:tcBorders>
              <w:bottom w:val="single" w:sz="4" w:space="0" w:color="1B556B" w:themeColor="text2"/>
            </w:tcBorders>
            <w:noWrap/>
            <w:hideMark/>
          </w:tcPr>
          <w:p w14:paraId="6B319BD5" w14:textId="77777777" w:rsidR="00F51113" w:rsidRPr="004C2DCD" w:rsidRDefault="00F51113">
            <w:pPr>
              <w:pStyle w:val="TableText"/>
              <w:spacing w:before="40" w:after="40"/>
              <w:rPr>
                <w:lang w:val="en-NZ"/>
              </w:rPr>
            </w:pPr>
            <w:r w:rsidRPr="004C2DCD">
              <w:rPr>
                <w:lang w:val="en-NZ"/>
              </w:rPr>
              <w:t>Change 2020–35 (%)</w:t>
            </w:r>
          </w:p>
        </w:tc>
        <w:tc>
          <w:tcPr>
            <w:tcW w:w="2268" w:type="dxa"/>
            <w:tcBorders>
              <w:bottom w:val="single" w:sz="4" w:space="0" w:color="1B556B" w:themeColor="text2"/>
            </w:tcBorders>
            <w:noWrap/>
            <w:vAlign w:val="center"/>
          </w:tcPr>
          <w:p w14:paraId="69341BDC" w14:textId="77777777" w:rsidR="00F51113" w:rsidRPr="004C2DCD" w:rsidRDefault="00F51113">
            <w:pPr>
              <w:pStyle w:val="TableText"/>
              <w:spacing w:before="40" w:after="40"/>
              <w:jc w:val="center"/>
              <w:rPr>
                <w:lang w:val="en-NZ"/>
              </w:rPr>
            </w:pPr>
            <w:r w:rsidRPr="004C2DCD">
              <w:rPr>
                <w:lang w:val="en-NZ"/>
              </w:rPr>
              <w:t>–3%</w:t>
            </w:r>
          </w:p>
        </w:tc>
        <w:tc>
          <w:tcPr>
            <w:tcW w:w="2864" w:type="dxa"/>
            <w:tcBorders>
              <w:bottom w:val="single" w:sz="4" w:space="0" w:color="1B556B" w:themeColor="text2"/>
            </w:tcBorders>
            <w:noWrap/>
            <w:vAlign w:val="center"/>
          </w:tcPr>
          <w:p w14:paraId="0F1DACE7" w14:textId="77777777" w:rsidR="00F51113" w:rsidRPr="004C2DCD" w:rsidRDefault="00F51113">
            <w:pPr>
              <w:pStyle w:val="TableText"/>
              <w:spacing w:before="40" w:after="40"/>
              <w:jc w:val="center"/>
              <w:rPr>
                <w:lang w:val="en-NZ"/>
              </w:rPr>
            </w:pPr>
            <w:r w:rsidRPr="004C2DCD">
              <w:rPr>
                <w:lang w:val="en-NZ"/>
              </w:rPr>
              <w:t>–10%</w:t>
            </w:r>
          </w:p>
        </w:tc>
      </w:tr>
      <w:tr w:rsidR="00F51113" w:rsidRPr="004C2DCD" w14:paraId="025D7843" w14:textId="77777777">
        <w:tc>
          <w:tcPr>
            <w:tcW w:w="6975" w:type="dxa"/>
            <w:gridSpan w:val="3"/>
            <w:shd w:val="clear" w:color="auto" w:fill="1B556B" w:themeFill="text2"/>
            <w:noWrap/>
          </w:tcPr>
          <w:p w14:paraId="1CD3BF45" w14:textId="77777777" w:rsidR="00F51113" w:rsidRPr="004C2DCD" w:rsidRDefault="00F51113">
            <w:pPr>
              <w:pStyle w:val="TableText"/>
              <w:spacing w:before="40" w:after="40" w:line="220" w:lineRule="atLeast"/>
              <w:rPr>
                <w:b/>
                <w:bCs/>
                <w:color w:val="FFFFFF" w:themeColor="background1"/>
                <w:lang w:val="en-NZ"/>
              </w:rPr>
            </w:pPr>
            <w:r w:rsidRPr="004C2DCD">
              <w:rPr>
                <w:b/>
                <w:bCs/>
                <w:color w:val="FFFFFF" w:themeColor="background1"/>
                <w:lang w:val="en-NZ"/>
              </w:rPr>
              <w:t>Projected change in stock units</w:t>
            </w:r>
          </w:p>
        </w:tc>
      </w:tr>
      <w:tr w:rsidR="00F51113" w:rsidRPr="004C2DCD" w14:paraId="1619176F" w14:textId="77777777">
        <w:tc>
          <w:tcPr>
            <w:tcW w:w="1843" w:type="dxa"/>
            <w:noWrap/>
          </w:tcPr>
          <w:p w14:paraId="56DB582D" w14:textId="77777777" w:rsidR="00F51113" w:rsidRPr="004C2DCD" w:rsidRDefault="00F51113">
            <w:pPr>
              <w:pStyle w:val="TableText"/>
              <w:spacing w:before="40" w:after="40"/>
              <w:rPr>
                <w:b/>
                <w:bCs/>
                <w:lang w:val="en-NZ"/>
              </w:rPr>
            </w:pPr>
          </w:p>
        </w:tc>
        <w:tc>
          <w:tcPr>
            <w:tcW w:w="2268" w:type="dxa"/>
            <w:noWrap/>
          </w:tcPr>
          <w:p w14:paraId="37D29087" w14:textId="77777777" w:rsidR="00F51113" w:rsidRPr="004C2DCD" w:rsidRDefault="00F51113">
            <w:pPr>
              <w:pStyle w:val="TableText"/>
              <w:spacing w:before="40" w:after="40"/>
              <w:jc w:val="center"/>
              <w:rPr>
                <w:b/>
                <w:bCs/>
                <w:lang w:val="en-NZ"/>
              </w:rPr>
            </w:pPr>
            <w:r w:rsidRPr="004C2DCD">
              <w:rPr>
                <w:b/>
                <w:bCs/>
                <w:lang w:val="en-NZ"/>
              </w:rPr>
              <w:t>Dairy cattle</w:t>
            </w:r>
          </w:p>
        </w:tc>
        <w:tc>
          <w:tcPr>
            <w:tcW w:w="2864" w:type="dxa"/>
            <w:noWrap/>
          </w:tcPr>
          <w:p w14:paraId="23FF597F" w14:textId="77777777" w:rsidR="00F51113" w:rsidRPr="004C2DCD" w:rsidRDefault="00F51113">
            <w:pPr>
              <w:pStyle w:val="TableText"/>
              <w:spacing w:before="40" w:after="40"/>
              <w:jc w:val="center"/>
              <w:rPr>
                <w:b/>
                <w:bCs/>
                <w:lang w:val="en-NZ"/>
              </w:rPr>
            </w:pPr>
            <w:r w:rsidRPr="004C2DCD">
              <w:rPr>
                <w:b/>
                <w:bCs/>
                <w:lang w:val="en-NZ"/>
              </w:rPr>
              <w:t>Sheep and beef cattle</w:t>
            </w:r>
          </w:p>
        </w:tc>
      </w:tr>
      <w:tr w:rsidR="00F51113" w:rsidRPr="004C2DCD" w14:paraId="35C69874" w14:textId="77777777">
        <w:tc>
          <w:tcPr>
            <w:tcW w:w="1843" w:type="dxa"/>
            <w:noWrap/>
          </w:tcPr>
          <w:p w14:paraId="5BA4BCF0" w14:textId="77777777" w:rsidR="00F51113" w:rsidRPr="004C2DCD" w:rsidRDefault="00F51113">
            <w:pPr>
              <w:pStyle w:val="TableText"/>
              <w:spacing w:before="40" w:after="40"/>
              <w:rPr>
                <w:lang w:val="en-NZ"/>
              </w:rPr>
            </w:pPr>
            <w:r w:rsidRPr="004C2DCD">
              <w:rPr>
                <w:lang w:val="en-NZ"/>
              </w:rPr>
              <w:t>2022</w:t>
            </w:r>
          </w:p>
        </w:tc>
        <w:tc>
          <w:tcPr>
            <w:tcW w:w="2268" w:type="dxa"/>
            <w:noWrap/>
            <w:vAlign w:val="center"/>
          </w:tcPr>
          <w:p w14:paraId="59F12531" w14:textId="77777777" w:rsidR="00F51113" w:rsidRPr="004C2DCD" w:rsidRDefault="00F51113">
            <w:pPr>
              <w:pStyle w:val="TableText"/>
              <w:spacing w:before="40" w:after="40"/>
              <w:jc w:val="center"/>
              <w:rPr>
                <w:lang w:val="en-NZ"/>
              </w:rPr>
            </w:pPr>
            <w:r w:rsidRPr="004C2DCD">
              <w:rPr>
                <w:lang w:val="en-NZ"/>
              </w:rPr>
              <w:t>5,930</w:t>
            </w:r>
          </w:p>
        </w:tc>
        <w:tc>
          <w:tcPr>
            <w:tcW w:w="2864" w:type="dxa"/>
            <w:noWrap/>
            <w:vAlign w:val="center"/>
          </w:tcPr>
          <w:p w14:paraId="132CB91F" w14:textId="77777777" w:rsidR="00F51113" w:rsidRPr="004C2DCD" w:rsidRDefault="00F51113">
            <w:pPr>
              <w:pStyle w:val="TableText"/>
              <w:spacing w:before="40" w:after="40"/>
              <w:jc w:val="center"/>
              <w:rPr>
                <w:lang w:val="en-NZ"/>
              </w:rPr>
            </w:pPr>
            <w:r w:rsidRPr="004C2DCD">
              <w:rPr>
                <w:lang w:val="en-NZ"/>
              </w:rPr>
              <w:t>44,238</w:t>
            </w:r>
          </w:p>
        </w:tc>
      </w:tr>
      <w:tr w:rsidR="00F51113" w:rsidRPr="004C2DCD" w14:paraId="6C6D5EC3" w14:textId="77777777">
        <w:tc>
          <w:tcPr>
            <w:tcW w:w="1843" w:type="dxa"/>
            <w:noWrap/>
          </w:tcPr>
          <w:p w14:paraId="1ED36AD7" w14:textId="77777777" w:rsidR="00F51113" w:rsidRPr="004C2DCD" w:rsidRDefault="00F51113">
            <w:pPr>
              <w:pStyle w:val="TableText"/>
              <w:spacing w:before="40" w:after="40"/>
              <w:rPr>
                <w:lang w:val="en-NZ"/>
              </w:rPr>
            </w:pPr>
            <w:r w:rsidRPr="004C2DCD">
              <w:rPr>
                <w:lang w:val="en-NZ"/>
              </w:rPr>
              <w:t>2035</w:t>
            </w:r>
          </w:p>
        </w:tc>
        <w:tc>
          <w:tcPr>
            <w:tcW w:w="2268" w:type="dxa"/>
            <w:noWrap/>
            <w:vAlign w:val="center"/>
          </w:tcPr>
          <w:p w14:paraId="2FB685A2" w14:textId="77777777" w:rsidR="00F51113" w:rsidRPr="004C2DCD" w:rsidRDefault="00F51113">
            <w:pPr>
              <w:pStyle w:val="TableText"/>
              <w:spacing w:before="40" w:after="40"/>
              <w:jc w:val="center"/>
              <w:rPr>
                <w:lang w:val="en-NZ"/>
              </w:rPr>
            </w:pPr>
            <w:r w:rsidRPr="004C2DCD">
              <w:rPr>
                <w:lang w:val="en-NZ"/>
              </w:rPr>
              <w:t>5,631</w:t>
            </w:r>
          </w:p>
        </w:tc>
        <w:tc>
          <w:tcPr>
            <w:tcW w:w="2864" w:type="dxa"/>
            <w:noWrap/>
            <w:vAlign w:val="center"/>
          </w:tcPr>
          <w:p w14:paraId="0831754A" w14:textId="77777777" w:rsidR="00F51113" w:rsidRPr="004C2DCD" w:rsidRDefault="00F51113">
            <w:pPr>
              <w:pStyle w:val="TableText"/>
              <w:spacing w:before="40" w:after="40"/>
              <w:jc w:val="center"/>
              <w:rPr>
                <w:lang w:val="en-NZ"/>
              </w:rPr>
            </w:pPr>
            <w:r w:rsidRPr="004C2DCD">
              <w:rPr>
                <w:lang w:val="en-NZ"/>
              </w:rPr>
              <w:t>39,382</w:t>
            </w:r>
          </w:p>
        </w:tc>
      </w:tr>
      <w:tr w:rsidR="00F51113" w:rsidRPr="004C2DCD" w14:paraId="7B612744" w14:textId="77777777">
        <w:tc>
          <w:tcPr>
            <w:tcW w:w="1843" w:type="dxa"/>
            <w:noWrap/>
            <w:hideMark/>
          </w:tcPr>
          <w:p w14:paraId="3AD95899" w14:textId="77777777" w:rsidR="00F51113" w:rsidRPr="004C2DCD" w:rsidRDefault="00F51113">
            <w:pPr>
              <w:pStyle w:val="TableText"/>
              <w:spacing w:before="40" w:after="40"/>
              <w:rPr>
                <w:lang w:val="en-NZ"/>
              </w:rPr>
            </w:pPr>
            <w:r w:rsidRPr="004C2DCD">
              <w:rPr>
                <w:lang w:val="en-NZ"/>
              </w:rPr>
              <w:t>Change 2020–35 (%)</w:t>
            </w:r>
          </w:p>
        </w:tc>
        <w:tc>
          <w:tcPr>
            <w:tcW w:w="2268" w:type="dxa"/>
            <w:noWrap/>
            <w:vAlign w:val="center"/>
          </w:tcPr>
          <w:p w14:paraId="3F28C5DE" w14:textId="77777777" w:rsidR="00F51113" w:rsidRPr="004C2DCD" w:rsidRDefault="00F51113">
            <w:pPr>
              <w:pStyle w:val="TableText"/>
              <w:spacing w:before="40" w:after="40"/>
              <w:jc w:val="center"/>
              <w:rPr>
                <w:lang w:val="en-NZ"/>
              </w:rPr>
            </w:pPr>
            <w:r w:rsidRPr="004C2DCD">
              <w:rPr>
                <w:lang w:val="en-NZ"/>
              </w:rPr>
              <w:t>–5%</w:t>
            </w:r>
          </w:p>
        </w:tc>
        <w:tc>
          <w:tcPr>
            <w:tcW w:w="2864" w:type="dxa"/>
            <w:noWrap/>
            <w:vAlign w:val="center"/>
          </w:tcPr>
          <w:p w14:paraId="1A3B98C9" w14:textId="77777777" w:rsidR="00F51113" w:rsidRPr="004C2DCD" w:rsidRDefault="00F51113">
            <w:pPr>
              <w:pStyle w:val="TableText"/>
              <w:spacing w:before="40" w:after="40"/>
              <w:jc w:val="center"/>
              <w:rPr>
                <w:lang w:val="en-NZ"/>
              </w:rPr>
            </w:pPr>
            <w:r w:rsidRPr="004C2DCD">
              <w:rPr>
                <w:lang w:val="en-NZ"/>
              </w:rPr>
              <w:t>–11%</w:t>
            </w:r>
          </w:p>
        </w:tc>
      </w:tr>
    </w:tbl>
    <w:p w14:paraId="592C4A25" w14:textId="77777777" w:rsidR="00F51113" w:rsidRPr="004C2DCD" w:rsidRDefault="00F51113" w:rsidP="00F51113">
      <w:pPr>
        <w:pStyle w:val="Heading5"/>
        <w:spacing w:before="360"/>
      </w:pPr>
      <w:r w:rsidRPr="004C2DCD">
        <w:t>Strengths and weaknesses of models or approach</w:t>
      </w:r>
    </w:p>
    <w:p w14:paraId="132563C2" w14:textId="77777777" w:rsidR="00F51113" w:rsidRPr="004C2DCD" w:rsidRDefault="00F51113" w:rsidP="00F51113">
      <w:pPr>
        <w:pStyle w:val="Tableheading"/>
        <w:ind w:left="1276" w:hanging="1276"/>
      </w:pPr>
      <w:bookmarkStart w:id="597" w:name="_Toc183789705"/>
      <w:bookmarkStart w:id="598" w:name="_Toc185407478"/>
      <w:bookmarkStart w:id="599" w:name="_Toc185427741"/>
      <w:r w:rsidRPr="004C2DCD">
        <w:t xml:space="preserve">Table 2.5.13: </w:t>
      </w:r>
      <w:r w:rsidRPr="004C2DCD">
        <w:tab/>
        <w:t>Models used for Agriculture sector projections, with strengths and weaknesses</w:t>
      </w:r>
      <w:bookmarkEnd w:id="597"/>
      <w:bookmarkEnd w:id="598"/>
      <w:bookmarkEnd w:id="599"/>
    </w:p>
    <w:tbl>
      <w:tblPr>
        <w:tblStyle w:val="ListTable4-Accent1"/>
        <w:tblW w:w="0" w:type="auto"/>
        <w:tblBorders>
          <w:top w:val="none" w:sz="0" w:space="0" w:color="auto"/>
          <w:left w:val="none" w:sz="0" w:space="0" w:color="auto"/>
          <w:bottom w:val="none" w:sz="0" w:space="0" w:color="auto"/>
          <w:right w:val="none" w:sz="0" w:space="0" w:color="auto"/>
          <w:insideH w:val="single" w:sz="4" w:space="0" w:color="1C556C" w:themeColor="accent1"/>
          <w:insideV w:val="single" w:sz="4" w:space="0" w:color="1C556C" w:themeColor="accent1"/>
        </w:tblBorders>
        <w:tblLook w:val="04A0" w:firstRow="1" w:lastRow="0" w:firstColumn="1" w:lastColumn="0" w:noHBand="0" w:noVBand="1"/>
      </w:tblPr>
      <w:tblGrid>
        <w:gridCol w:w="1577"/>
        <w:gridCol w:w="2368"/>
        <w:gridCol w:w="2146"/>
        <w:gridCol w:w="2404"/>
      </w:tblGrid>
      <w:tr w:rsidR="00C763E5" w:rsidRPr="004C2DCD" w14:paraId="29F3231C"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bottom"/>
          </w:tcPr>
          <w:p w14:paraId="1C70B5B0" w14:textId="77777777" w:rsidR="00F51113" w:rsidRPr="004C2DCD" w:rsidRDefault="00F51113">
            <w:pPr>
              <w:pStyle w:val="TableText"/>
              <w:spacing w:line="220" w:lineRule="atLeast"/>
              <w:rPr>
                <w:b w:val="0"/>
                <w:bCs w:val="0"/>
              </w:rPr>
            </w:pPr>
            <w:r w:rsidRPr="004C2DCD">
              <w:rPr>
                <w:bCs w:val="0"/>
              </w:rPr>
              <w:t>Approach or model</w:t>
            </w:r>
          </w:p>
        </w:tc>
        <w:tc>
          <w:tcPr>
            <w:tcW w:w="0" w:type="auto"/>
            <w:vAlign w:val="bottom"/>
          </w:tcPr>
          <w:p w14:paraId="2AF6DADC" w14:textId="77777777" w:rsidR="00F51113" w:rsidRPr="004C2DCD" w:rsidRDefault="00F51113">
            <w:pPr>
              <w:pStyle w:val="TableText"/>
              <w:spacing w:line="220" w:lineRule="atLeast"/>
              <w:cnfStyle w:val="100000000000" w:firstRow="1" w:lastRow="0" w:firstColumn="0" w:lastColumn="0" w:oddVBand="0" w:evenVBand="0" w:oddHBand="0" w:evenHBand="0" w:firstRowFirstColumn="0" w:firstRowLastColumn="0" w:lastRowFirstColumn="0" w:lastRowLastColumn="0"/>
              <w:rPr>
                <w:b w:val="0"/>
                <w:bCs w:val="0"/>
              </w:rPr>
            </w:pPr>
            <w:r w:rsidRPr="004C2DCD">
              <w:rPr>
                <w:bCs w:val="0"/>
              </w:rPr>
              <w:t>Type and characteristics of approach or model</w:t>
            </w:r>
          </w:p>
        </w:tc>
        <w:tc>
          <w:tcPr>
            <w:tcW w:w="2146" w:type="dxa"/>
            <w:vAlign w:val="bottom"/>
          </w:tcPr>
          <w:p w14:paraId="5B36ED0E" w14:textId="77777777" w:rsidR="00F51113" w:rsidRPr="004C2DCD" w:rsidRDefault="00F51113">
            <w:pPr>
              <w:pStyle w:val="TableText"/>
              <w:spacing w:line="220" w:lineRule="atLeast"/>
              <w:cnfStyle w:val="100000000000" w:firstRow="1" w:lastRow="0" w:firstColumn="0" w:lastColumn="0" w:oddVBand="0" w:evenVBand="0" w:oddHBand="0" w:evenHBand="0" w:firstRowFirstColumn="0" w:firstRowLastColumn="0" w:lastRowFirstColumn="0" w:lastRowLastColumn="0"/>
              <w:rPr>
                <w:b w:val="0"/>
                <w:bCs w:val="0"/>
              </w:rPr>
            </w:pPr>
            <w:r w:rsidRPr="004C2DCD">
              <w:rPr>
                <w:bCs w:val="0"/>
              </w:rPr>
              <w:t>Purpose</w:t>
            </w:r>
          </w:p>
        </w:tc>
        <w:tc>
          <w:tcPr>
            <w:tcW w:w="2404" w:type="dxa"/>
            <w:vAlign w:val="bottom"/>
          </w:tcPr>
          <w:p w14:paraId="653128B2" w14:textId="77777777" w:rsidR="00F51113" w:rsidRPr="004C2DCD" w:rsidRDefault="00F51113">
            <w:pPr>
              <w:pStyle w:val="TableText"/>
              <w:spacing w:line="220" w:lineRule="atLeast"/>
              <w:cnfStyle w:val="100000000000" w:firstRow="1" w:lastRow="0" w:firstColumn="0" w:lastColumn="0" w:oddVBand="0" w:evenVBand="0" w:oddHBand="0" w:evenHBand="0" w:firstRowFirstColumn="0" w:firstRowLastColumn="0" w:lastRowFirstColumn="0" w:lastRowLastColumn="0"/>
              <w:rPr>
                <w:b w:val="0"/>
                <w:bCs w:val="0"/>
              </w:rPr>
            </w:pPr>
            <w:r w:rsidRPr="004C2DCD">
              <w:rPr>
                <w:bCs w:val="0"/>
              </w:rPr>
              <w:t>Strengths and weaknesses</w:t>
            </w:r>
          </w:p>
        </w:tc>
      </w:tr>
      <w:tr w:rsidR="00DE245C" w:rsidRPr="004C2DCD" w14:paraId="148EFDB4" w14:textId="77777777">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6F96B8F8" w14:textId="77777777" w:rsidR="00F51113" w:rsidRPr="004C2DCD" w:rsidRDefault="00F51113" w:rsidP="004034D9">
            <w:pPr>
              <w:pStyle w:val="TableText"/>
              <w:spacing w:before="40" w:after="40" w:line="220" w:lineRule="atLeast"/>
              <w:rPr>
                <w:rFonts w:cs="Times New Roman"/>
                <w:b w:val="0"/>
                <w:szCs w:val="24"/>
              </w:rPr>
            </w:pPr>
            <w:r w:rsidRPr="004C2DCD">
              <w:rPr>
                <w:b w:val="0"/>
              </w:rPr>
              <w:t>Pastoral Supply Response Model</w:t>
            </w:r>
            <w:r w:rsidRPr="004C2DCD">
              <w:t xml:space="preserve"> </w:t>
            </w:r>
            <w:r w:rsidRPr="004C2DCD">
              <w:rPr>
                <w:b w:val="0"/>
              </w:rPr>
              <w:t>(</w:t>
            </w:r>
            <w:r w:rsidRPr="004C2DCD">
              <w:rPr>
                <w:rFonts w:cs="Times New Roman"/>
                <w:b w:val="0"/>
                <w:szCs w:val="24"/>
              </w:rPr>
              <w:t>PSRM)</w:t>
            </w:r>
          </w:p>
        </w:tc>
        <w:tc>
          <w:tcPr>
            <w:tcW w:w="0" w:type="auto"/>
            <w:shd w:val="clear" w:color="auto" w:fill="auto"/>
          </w:tcPr>
          <w:p w14:paraId="0442ED18" w14:textId="77777777" w:rsidR="00F51113" w:rsidRPr="004C2DCD" w:rsidRDefault="00F51113" w:rsidP="004034D9">
            <w:pPr>
              <w:pStyle w:val="TableText"/>
              <w:spacing w:before="40" w:after="40" w:line="220" w:lineRule="atLeast"/>
              <w:cnfStyle w:val="000000100000" w:firstRow="0" w:lastRow="0" w:firstColumn="0" w:lastColumn="0" w:oddVBand="0" w:evenVBand="0" w:oddHBand="1" w:evenHBand="0" w:firstRowFirstColumn="0" w:firstRowLastColumn="0" w:lastRowFirstColumn="0" w:lastRowLastColumn="0"/>
              <w:rPr>
                <w:rFonts w:cs="Times New Roman"/>
                <w:szCs w:val="24"/>
              </w:rPr>
            </w:pPr>
            <w:r w:rsidRPr="004C2DCD">
              <w:rPr>
                <w:rFonts w:cs="Times New Roman"/>
                <w:szCs w:val="24"/>
              </w:rPr>
              <w:t>Econometric model</w:t>
            </w:r>
          </w:p>
        </w:tc>
        <w:tc>
          <w:tcPr>
            <w:tcW w:w="2146" w:type="dxa"/>
            <w:shd w:val="clear" w:color="auto" w:fill="auto"/>
          </w:tcPr>
          <w:p w14:paraId="168E73E2" w14:textId="77777777" w:rsidR="00F51113" w:rsidRPr="004C2DCD" w:rsidRDefault="00F51113" w:rsidP="004034D9">
            <w:pPr>
              <w:pStyle w:val="TableText"/>
              <w:spacing w:before="40" w:after="40" w:line="220" w:lineRule="atLeast"/>
              <w:cnfStyle w:val="000000100000" w:firstRow="0" w:lastRow="0" w:firstColumn="0" w:lastColumn="0" w:oddVBand="0" w:evenVBand="0" w:oddHBand="1" w:evenHBand="0" w:firstRowFirstColumn="0" w:firstRowLastColumn="0" w:lastRowFirstColumn="0" w:lastRowLastColumn="0"/>
              <w:rPr>
                <w:rFonts w:cs="Times New Roman"/>
                <w:szCs w:val="24"/>
              </w:rPr>
            </w:pPr>
            <w:r w:rsidRPr="004C2DCD">
              <w:rPr>
                <w:rFonts w:cs="Times New Roman"/>
                <w:szCs w:val="24"/>
              </w:rPr>
              <w:t>To estimate input values for the emissions model (especially for with existing measures)</w:t>
            </w:r>
          </w:p>
        </w:tc>
        <w:tc>
          <w:tcPr>
            <w:tcW w:w="2404" w:type="dxa"/>
            <w:shd w:val="clear" w:color="auto" w:fill="auto"/>
          </w:tcPr>
          <w:p w14:paraId="7200677C" w14:textId="77777777" w:rsidR="00F51113" w:rsidRPr="004C2DCD" w:rsidRDefault="00F51113" w:rsidP="004034D9">
            <w:pPr>
              <w:pStyle w:val="TableText"/>
              <w:spacing w:before="40" w:after="40" w:line="220" w:lineRule="atLeast"/>
              <w:cnfStyle w:val="000000100000" w:firstRow="0" w:lastRow="0" w:firstColumn="0" w:lastColumn="0" w:oddVBand="0" w:evenVBand="0" w:oddHBand="1" w:evenHBand="0" w:firstRowFirstColumn="0" w:firstRowLastColumn="0" w:lastRowFirstColumn="0" w:lastRowLastColumn="0"/>
              <w:rPr>
                <w:rFonts w:cs="Times New Roman"/>
                <w:szCs w:val="24"/>
              </w:rPr>
            </w:pPr>
            <w:r w:rsidRPr="004C2DCD">
              <w:rPr>
                <w:rFonts w:cs="Times New Roman"/>
                <w:szCs w:val="24"/>
              </w:rPr>
              <w:t>Use of economic modelling and expert opinion</w:t>
            </w:r>
          </w:p>
        </w:tc>
      </w:tr>
      <w:tr w:rsidR="00DE245C" w:rsidRPr="004C2DCD" w14:paraId="3E7A24CE" w14:textId="77777777">
        <w:trPr>
          <w:trHeight w:val="1265"/>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4CA7AD65" w14:textId="77777777" w:rsidR="00F51113" w:rsidRPr="004C2DCD" w:rsidRDefault="00F51113" w:rsidP="004034D9">
            <w:pPr>
              <w:pStyle w:val="TableText"/>
              <w:spacing w:before="40" w:after="40" w:line="220" w:lineRule="atLeast"/>
              <w:rPr>
                <w:rFonts w:cs="Times New Roman"/>
                <w:b w:val="0"/>
                <w:szCs w:val="18"/>
              </w:rPr>
            </w:pPr>
            <w:r w:rsidRPr="3E81A84E">
              <w:rPr>
                <w:rFonts w:cs="Times New Roman"/>
                <w:b w:val="0"/>
              </w:rPr>
              <w:t>Adoption and Diffusion Outcome Prediction Tool (ADOPT)</w:t>
            </w:r>
            <w:r w:rsidRPr="004C2DCD">
              <w:rPr>
                <w:rStyle w:val="FootnoteReference"/>
                <w:rFonts w:cs="Times New Roman"/>
                <w:b w:val="0"/>
                <w:sz w:val="18"/>
                <w:szCs w:val="18"/>
              </w:rPr>
              <w:footnoteReference w:id="188"/>
            </w:r>
          </w:p>
        </w:tc>
        <w:tc>
          <w:tcPr>
            <w:tcW w:w="0" w:type="auto"/>
            <w:shd w:val="clear" w:color="auto" w:fill="auto"/>
          </w:tcPr>
          <w:p w14:paraId="57B3CEB6" w14:textId="77777777" w:rsidR="00F51113" w:rsidRPr="004C2DCD" w:rsidRDefault="00F51113" w:rsidP="004034D9">
            <w:pPr>
              <w:pStyle w:val="TableText"/>
              <w:spacing w:before="40" w:after="40" w:line="220" w:lineRule="atLeast"/>
              <w:cnfStyle w:val="000000000000" w:firstRow="0" w:lastRow="0" w:firstColumn="0" w:lastColumn="0" w:oddVBand="0" w:evenVBand="0" w:oddHBand="0" w:evenHBand="0" w:firstRowFirstColumn="0" w:firstRowLastColumn="0" w:lastRowFirstColumn="0" w:lastRowLastColumn="0"/>
              <w:rPr>
                <w:rFonts w:cs="Times New Roman"/>
                <w:szCs w:val="18"/>
              </w:rPr>
            </w:pPr>
            <w:r w:rsidRPr="004C2DCD">
              <w:rPr>
                <w:rFonts w:cs="Times New Roman"/>
                <w:szCs w:val="18"/>
              </w:rPr>
              <w:t>ADOPT incorporates sets of factors that studies have shown to commonly influence the rate and peak level of adoption within a population</w:t>
            </w:r>
          </w:p>
        </w:tc>
        <w:tc>
          <w:tcPr>
            <w:tcW w:w="2146" w:type="dxa"/>
            <w:shd w:val="clear" w:color="auto" w:fill="auto"/>
          </w:tcPr>
          <w:p w14:paraId="280DFFD9" w14:textId="77777777" w:rsidR="00F51113" w:rsidRPr="004C2DCD" w:rsidRDefault="00F51113" w:rsidP="004034D9">
            <w:pPr>
              <w:pStyle w:val="TableText"/>
              <w:spacing w:before="40" w:after="40" w:line="220" w:lineRule="atLeast"/>
              <w:cnfStyle w:val="000000000000" w:firstRow="0" w:lastRow="0" w:firstColumn="0" w:lastColumn="0" w:oddVBand="0" w:evenVBand="0" w:oddHBand="0" w:evenHBand="0" w:firstRowFirstColumn="0" w:firstRowLastColumn="0" w:lastRowFirstColumn="0" w:lastRowLastColumn="0"/>
              <w:rPr>
                <w:rFonts w:cs="Times New Roman"/>
                <w:szCs w:val="18"/>
              </w:rPr>
            </w:pPr>
            <w:r w:rsidRPr="004C2DCD">
              <w:rPr>
                <w:rFonts w:cs="Times New Roman"/>
                <w:szCs w:val="18"/>
              </w:rPr>
              <w:t>To estimate peak adoption of mitigation technologies and generate adoption curves for different pricing scenarios</w:t>
            </w:r>
          </w:p>
        </w:tc>
        <w:tc>
          <w:tcPr>
            <w:tcW w:w="2404" w:type="dxa"/>
            <w:shd w:val="clear" w:color="auto" w:fill="auto"/>
          </w:tcPr>
          <w:p w14:paraId="3C1CF89B" w14:textId="77777777" w:rsidR="00F51113" w:rsidRPr="004C2DCD" w:rsidRDefault="00F51113" w:rsidP="004034D9">
            <w:pPr>
              <w:pStyle w:val="TableText"/>
              <w:spacing w:before="40" w:after="40" w:line="220" w:lineRule="atLeast"/>
              <w:cnfStyle w:val="000000000000" w:firstRow="0" w:lastRow="0" w:firstColumn="0" w:lastColumn="0" w:oddVBand="0" w:evenVBand="0" w:oddHBand="0" w:evenHBand="0" w:firstRowFirstColumn="0" w:firstRowLastColumn="0" w:lastRowFirstColumn="0" w:lastRowLastColumn="0"/>
              <w:rPr>
                <w:rFonts w:cs="Times New Roman"/>
                <w:szCs w:val="18"/>
              </w:rPr>
            </w:pPr>
            <w:r w:rsidRPr="004C2DCD">
              <w:rPr>
                <w:rFonts w:cs="Times New Roman"/>
                <w:szCs w:val="18"/>
              </w:rPr>
              <w:t>Use of expert opinion. Considers many aspects influencing uptake</w:t>
            </w:r>
          </w:p>
        </w:tc>
      </w:tr>
      <w:tr w:rsidR="00DE245C" w:rsidRPr="004C2DCD" w14:paraId="4BD7893E" w14:textId="77777777">
        <w:trPr>
          <w:cnfStyle w:val="000000100000" w:firstRow="0" w:lastRow="0" w:firstColumn="0" w:lastColumn="0" w:oddVBand="0" w:evenVBand="0" w:oddHBand="1" w:evenHBand="0"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6EE2CC26" w14:textId="77777777" w:rsidR="00F51113" w:rsidRPr="004C2DCD" w:rsidRDefault="00F51113" w:rsidP="004034D9">
            <w:pPr>
              <w:pStyle w:val="TableText"/>
              <w:spacing w:before="40" w:after="40" w:line="220" w:lineRule="atLeast"/>
              <w:rPr>
                <w:rFonts w:cs="Times New Roman"/>
                <w:b w:val="0"/>
                <w:szCs w:val="24"/>
              </w:rPr>
            </w:pPr>
            <w:r w:rsidRPr="004C2DCD">
              <w:rPr>
                <w:rFonts w:cs="Times New Roman"/>
                <w:b w:val="0"/>
                <w:szCs w:val="24"/>
              </w:rPr>
              <w:t>Stocking rate and adjustment for afforestation</w:t>
            </w:r>
          </w:p>
        </w:tc>
        <w:tc>
          <w:tcPr>
            <w:tcW w:w="0" w:type="auto"/>
            <w:shd w:val="clear" w:color="auto" w:fill="auto"/>
          </w:tcPr>
          <w:p w14:paraId="0DBEBB6E" w14:textId="77777777" w:rsidR="00F51113" w:rsidRPr="004C2DCD" w:rsidRDefault="00F51113" w:rsidP="004034D9">
            <w:pPr>
              <w:pStyle w:val="TableText"/>
              <w:spacing w:before="40" w:after="40" w:line="220" w:lineRule="atLeast"/>
              <w:cnfStyle w:val="000000100000" w:firstRow="0" w:lastRow="0" w:firstColumn="0" w:lastColumn="0" w:oddVBand="0" w:evenVBand="0" w:oddHBand="1" w:evenHBand="0" w:firstRowFirstColumn="0" w:firstRowLastColumn="0" w:lastRowFirstColumn="0" w:lastRowLastColumn="0"/>
              <w:rPr>
                <w:rFonts w:cs="Times New Roman"/>
                <w:szCs w:val="24"/>
              </w:rPr>
            </w:pPr>
            <w:r w:rsidRPr="004C2DCD">
              <w:rPr>
                <w:rFonts w:cs="Times New Roman"/>
                <w:szCs w:val="24"/>
              </w:rPr>
              <w:t>Linear programming and simple Excel calculation</w:t>
            </w:r>
          </w:p>
        </w:tc>
        <w:tc>
          <w:tcPr>
            <w:tcW w:w="2146" w:type="dxa"/>
            <w:shd w:val="clear" w:color="auto" w:fill="auto"/>
          </w:tcPr>
          <w:p w14:paraId="6929148B" w14:textId="77777777" w:rsidR="00F51113" w:rsidRPr="004C2DCD" w:rsidRDefault="00F51113" w:rsidP="004034D9">
            <w:pPr>
              <w:pStyle w:val="TableText"/>
              <w:spacing w:before="40" w:after="40" w:line="220" w:lineRule="atLeast"/>
              <w:cnfStyle w:val="000000100000" w:firstRow="0" w:lastRow="0" w:firstColumn="0" w:lastColumn="0" w:oddVBand="0" w:evenVBand="0" w:oddHBand="1" w:evenHBand="0" w:firstRowFirstColumn="0" w:firstRowLastColumn="0" w:lastRowFirstColumn="0" w:lastRowLastColumn="0"/>
              <w:rPr>
                <w:rFonts w:cs="Times New Roman"/>
                <w:szCs w:val="24"/>
              </w:rPr>
            </w:pPr>
            <w:r w:rsidRPr="004C2DCD">
              <w:rPr>
                <w:rFonts w:cs="Times New Roman"/>
                <w:szCs w:val="24"/>
              </w:rPr>
              <w:t>To estimate the change in livestock numbers due to afforestation</w:t>
            </w:r>
          </w:p>
        </w:tc>
        <w:tc>
          <w:tcPr>
            <w:tcW w:w="2404" w:type="dxa"/>
            <w:shd w:val="clear" w:color="auto" w:fill="auto"/>
          </w:tcPr>
          <w:p w14:paraId="6806116E" w14:textId="77777777" w:rsidR="00F51113" w:rsidRPr="004C2DCD" w:rsidRDefault="00F51113" w:rsidP="004034D9">
            <w:pPr>
              <w:pStyle w:val="TableText"/>
              <w:spacing w:before="40" w:after="40" w:line="220" w:lineRule="atLeast"/>
              <w:cnfStyle w:val="000000100000" w:firstRow="0" w:lastRow="0" w:firstColumn="0" w:lastColumn="0" w:oddVBand="0" w:evenVBand="0" w:oddHBand="1" w:evenHBand="0" w:firstRowFirstColumn="0" w:firstRowLastColumn="0" w:lastRowFirstColumn="0" w:lastRowLastColumn="0"/>
              <w:rPr>
                <w:rFonts w:cs="Times New Roman"/>
                <w:szCs w:val="24"/>
              </w:rPr>
            </w:pPr>
            <w:r w:rsidRPr="004C2DCD">
              <w:rPr>
                <w:rFonts w:cs="Times New Roman"/>
                <w:szCs w:val="24"/>
              </w:rPr>
              <w:t>Mathematically robust, based on industry data. Novel method still in development</w:t>
            </w:r>
          </w:p>
        </w:tc>
      </w:tr>
      <w:tr w:rsidR="00DE245C" w:rsidRPr="004C2DCD" w14:paraId="1E9F12BF" w14:textId="77777777">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26B8F906" w14:textId="77777777" w:rsidR="00F51113" w:rsidRPr="004C2DCD" w:rsidRDefault="00F51113" w:rsidP="004034D9">
            <w:pPr>
              <w:pStyle w:val="TableText"/>
              <w:spacing w:before="40" w:after="40" w:line="220" w:lineRule="atLeast"/>
              <w:rPr>
                <w:rFonts w:cs="Times New Roman"/>
                <w:b w:val="0"/>
                <w:szCs w:val="24"/>
              </w:rPr>
            </w:pPr>
            <w:r w:rsidRPr="004C2DCD">
              <w:rPr>
                <w:rFonts w:cs="Times New Roman"/>
                <w:b w:val="0"/>
                <w:szCs w:val="24"/>
              </w:rPr>
              <w:t>Input adjustments for policies and measures</w:t>
            </w:r>
          </w:p>
        </w:tc>
        <w:tc>
          <w:tcPr>
            <w:tcW w:w="0" w:type="auto"/>
            <w:shd w:val="clear" w:color="auto" w:fill="auto"/>
          </w:tcPr>
          <w:p w14:paraId="21362B6E" w14:textId="77777777" w:rsidR="00F51113" w:rsidRPr="004C2DCD" w:rsidRDefault="00F51113" w:rsidP="004034D9">
            <w:pPr>
              <w:pStyle w:val="TableText"/>
              <w:spacing w:before="40" w:after="40" w:line="220" w:lineRule="atLeast"/>
              <w:cnfStyle w:val="000000000000" w:firstRow="0" w:lastRow="0" w:firstColumn="0" w:lastColumn="0" w:oddVBand="0" w:evenVBand="0" w:oddHBand="0" w:evenHBand="0" w:firstRowFirstColumn="0" w:firstRowLastColumn="0" w:lastRowFirstColumn="0" w:lastRowLastColumn="0"/>
              <w:rPr>
                <w:rFonts w:cs="Times New Roman"/>
                <w:szCs w:val="24"/>
              </w:rPr>
            </w:pPr>
            <w:r w:rsidRPr="004C2DCD">
              <w:rPr>
                <w:rFonts w:cs="Times New Roman"/>
                <w:szCs w:val="24"/>
              </w:rPr>
              <w:t>Simple Excel-based calculation based on research and advice from subject matter experts</w:t>
            </w:r>
          </w:p>
        </w:tc>
        <w:tc>
          <w:tcPr>
            <w:tcW w:w="2146" w:type="dxa"/>
            <w:shd w:val="clear" w:color="auto" w:fill="auto"/>
          </w:tcPr>
          <w:p w14:paraId="362CE30B" w14:textId="77777777" w:rsidR="00F51113" w:rsidRPr="004C2DCD" w:rsidRDefault="00F51113" w:rsidP="004034D9">
            <w:pPr>
              <w:pStyle w:val="TableText"/>
              <w:spacing w:before="40" w:after="40" w:line="220" w:lineRule="atLeast"/>
              <w:cnfStyle w:val="000000000000" w:firstRow="0" w:lastRow="0" w:firstColumn="0" w:lastColumn="0" w:oddVBand="0" w:evenVBand="0" w:oddHBand="0" w:evenHBand="0" w:firstRowFirstColumn="0" w:firstRowLastColumn="0" w:lastRowFirstColumn="0" w:lastRowLastColumn="0"/>
              <w:rPr>
                <w:rFonts w:cs="Times New Roman"/>
                <w:szCs w:val="24"/>
              </w:rPr>
            </w:pPr>
            <w:r w:rsidRPr="004C2DCD">
              <w:rPr>
                <w:rFonts w:cs="Times New Roman"/>
                <w:szCs w:val="24"/>
              </w:rPr>
              <w:t>Adjusting the with existing measures inputs to account for land-use change due to afforestation</w:t>
            </w:r>
          </w:p>
        </w:tc>
        <w:tc>
          <w:tcPr>
            <w:tcW w:w="2404" w:type="dxa"/>
            <w:shd w:val="clear" w:color="auto" w:fill="auto"/>
          </w:tcPr>
          <w:p w14:paraId="730EECCB" w14:textId="77777777" w:rsidR="00F51113" w:rsidRPr="004C2DCD" w:rsidRDefault="00F51113" w:rsidP="004034D9">
            <w:pPr>
              <w:pStyle w:val="TableText"/>
              <w:spacing w:before="40" w:after="40" w:line="220" w:lineRule="atLeast"/>
              <w:cnfStyle w:val="000000000000" w:firstRow="0" w:lastRow="0" w:firstColumn="0" w:lastColumn="0" w:oddVBand="0" w:evenVBand="0" w:oddHBand="0" w:evenHBand="0" w:firstRowFirstColumn="0" w:firstRowLastColumn="0" w:lastRowFirstColumn="0" w:lastRowLastColumn="0"/>
              <w:rPr>
                <w:rFonts w:cs="Times New Roman"/>
                <w:szCs w:val="24"/>
              </w:rPr>
            </w:pPr>
            <w:r w:rsidRPr="004C2DCD">
              <w:rPr>
                <w:rFonts w:cs="Times New Roman"/>
                <w:szCs w:val="24"/>
              </w:rPr>
              <w:t>Accounts for interactions between the effects of different policies and measures. Can only account for impacts seen in present activity data</w:t>
            </w:r>
          </w:p>
        </w:tc>
      </w:tr>
      <w:tr w:rsidR="00443839" w:rsidRPr="004C2DCD" w14:paraId="69286E7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1C556C" w:themeColor="accent1"/>
            </w:tcBorders>
            <w:shd w:val="clear" w:color="auto" w:fill="auto"/>
          </w:tcPr>
          <w:p w14:paraId="579EEB8C" w14:textId="77777777" w:rsidR="00F51113" w:rsidRPr="004C2DCD" w:rsidRDefault="00F51113" w:rsidP="004034D9">
            <w:pPr>
              <w:pStyle w:val="TableText"/>
              <w:spacing w:before="40" w:after="40" w:line="220" w:lineRule="atLeast"/>
              <w:rPr>
                <w:rFonts w:cs="Times New Roman"/>
                <w:b w:val="0"/>
                <w:szCs w:val="24"/>
              </w:rPr>
            </w:pPr>
            <w:r w:rsidRPr="004C2DCD">
              <w:rPr>
                <w:rFonts w:cs="Times New Roman"/>
                <w:b w:val="0"/>
                <w:szCs w:val="24"/>
              </w:rPr>
              <w:t xml:space="preserve">Agriculture Inventory Model </w:t>
            </w:r>
          </w:p>
        </w:tc>
        <w:tc>
          <w:tcPr>
            <w:tcW w:w="0" w:type="auto"/>
            <w:tcBorders>
              <w:bottom w:val="single" w:sz="4" w:space="0" w:color="1C556C" w:themeColor="accent1"/>
            </w:tcBorders>
            <w:shd w:val="clear" w:color="auto" w:fill="auto"/>
          </w:tcPr>
          <w:p w14:paraId="06BF429D" w14:textId="77777777" w:rsidR="00F51113" w:rsidRPr="004C2DCD" w:rsidRDefault="00F51113" w:rsidP="004034D9">
            <w:pPr>
              <w:pStyle w:val="TableText"/>
              <w:spacing w:before="40" w:after="40" w:line="220" w:lineRule="atLeast"/>
              <w:cnfStyle w:val="000000100000" w:firstRow="0" w:lastRow="0" w:firstColumn="0" w:lastColumn="0" w:oddVBand="0" w:evenVBand="0" w:oddHBand="1" w:evenHBand="0" w:firstRowFirstColumn="0" w:firstRowLastColumn="0" w:lastRowFirstColumn="0" w:lastRowLastColumn="0"/>
              <w:rPr>
                <w:rFonts w:cs="Times New Roman"/>
                <w:szCs w:val="24"/>
              </w:rPr>
            </w:pPr>
            <w:r w:rsidRPr="004C2DCD">
              <w:rPr>
                <w:rFonts w:cs="Times New Roman"/>
                <w:szCs w:val="24"/>
              </w:rPr>
              <w:t>Bottom-up estimates-based inventory model</w:t>
            </w:r>
          </w:p>
        </w:tc>
        <w:tc>
          <w:tcPr>
            <w:tcW w:w="2146" w:type="dxa"/>
            <w:tcBorders>
              <w:bottom w:val="single" w:sz="4" w:space="0" w:color="1C556C" w:themeColor="accent1"/>
            </w:tcBorders>
            <w:shd w:val="clear" w:color="auto" w:fill="auto"/>
          </w:tcPr>
          <w:p w14:paraId="726B31F6" w14:textId="77777777" w:rsidR="00F51113" w:rsidRPr="004C2DCD" w:rsidRDefault="00F51113" w:rsidP="004034D9">
            <w:pPr>
              <w:pStyle w:val="TableText"/>
              <w:spacing w:before="40" w:after="40" w:line="220" w:lineRule="atLeast"/>
              <w:cnfStyle w:val="000000100000" w:firstRow="0" w:lastRow="0" w:firstColumn="0" w:lastColumn="0" w:oddVBand="0" w:evenVBand="0" w:oddHBand="1" w:evenHBand="0" w:firstRowFirstColumn="0" w:firstRowLastColumn="0" w:lastRowFirstColumn="0" w:lastRowLastColumn="0"/>
              <w:rPr>
                <w:rFonts w:cs="Times New Roman"/>
                <w:szCs w:val="24"/>
              </w:rPr>
            </w:pPr>
            <w:r w:rsidRPr="004C2DCD">
              <w:rPr>
                <w:rFonts w:cs="Times New Roman"/>
                <w:szCs w:val="24"/>
              </w:rPr>
              <w:t>Calculates emissions from inputs</w:t>
            </w:r>
          </w:p>
        </w:tc>
        <w:tc>
          <w:tcPr>
            <w:tcW w:w="2404" w:type="dxa"/>
            <w:tcBorders>
              <w:bottom w:val="single" w:sz="4" w:space="0" w:color="1C556C" w:themeColor="accent1"/>
            </w:tcBorders>
            <w:shd w:val="clear" w:color="auto" w:fill="auto"/>
          </w:tcPr>
          <w:p w14:paraId="15689BA9" w14:textId="77777777" w:rsidR="00F51113" w:rsidRPr="004C2DCD" w:rsidRDefault="00F51113" w:rsidP="004034D9">
            <w:pPr>
              <w:pStyle w:val="TableText"/>
              <w:spacing w:before="40" w:after="40" w:line="220" w:lineRule="atLeast"/>
              <w:cnfStyle w:val="000000100000" w:firstRow="0" w:lastRow="0" w:firstColumn="0" w:lastColumn="0" w:oddVBand="0" w:evenVBand="0" w:oddHBand="1" w:evenHBand="0" w:firstRowFirstColumn="0" w:firstRowLastColumn="0" w:lastRowFirstColumn="0" w:lastRowLastColumn="0"/>
              <w:rPr>
                <w:rFonts w:cs="Times New Roman"/>
                <w:szCs w:val="24"/>
              </w:rPr>
            </w:pPr>
            <w:r w:rsidRPr="004C2DCD">
              <w:rPr>
                <w:rFonts w:cs="Times New Roman"/>
                <w:szCs w:val="24"/>
              </w:rPr>
              <w:t>Uses same calculations as inventory model</w:t>
            </w:r>
          </w:p>
        </w:tc>
      </w:tr>
      <w:tr w:rsidR="00443839" w:rsidRPr="004C2DCD" w14:paraId="165AF1C5" w14:textId="77777777">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1C556C" w:themeColor="accent1"/>
              <w:bottom w:val="single" w:sz="4" w:space="0" w:color="1C556C" w:themeColor="accent1"/>
            </w:tcBorders>
            <w:shd w:val="clear" w:color="auto" w:fill="auto"/>
          </w:tcPr>
          <w:p w14:paraId="4F21F344" w14:textId="77777777" w:rsidR="00F51113" w:rsidRPr="004C2DCD" w:rsidRDefault="00F51113" w:rsidP="004034D9">
            <w:pPr>
              <w:pStyle w:val="TableText"/>
              <w:spacing w:before="40" w:after="40" w:line="220" w:lineRule="atLeast"/>
              <w:rPr>
                <w:rFonts w:cs="Times New Roman"/>
                <w:b w:val="0"/>
                <w:szCs w:val="24"/>
              </w:rPr>
            </w:pPr>
            <w:r w:rsidRPr="004C2DCD">
              <w:rPr>
                <w:rFonts w:cs="Times New Roman"/>
                <w:b w:val="0"/>
                <w:szCs w:val="24"/>
              </w:rPr>
              <w:t>Adjustment for mitigation technology</w:t>
            </w:r>
          </w:p>
        </w:tc>
        <w:tc>
          <w:tcPr>
            <w:tcW w:w="0" w:type="auto"/>
            <w:tcBorders>
              <w:top w:val="single" w:sz="4" w:space="0" w:color="1C556C" w:themeColor="accent1"/>
              <w:bottom w:val="single" w:sz="4" w:space="0" w:color="1C556C" w:themeColor="accent1"/>
            </w:tcBorders>
            <w:shd w:val="clear" w:color="auto" w:fill="auto"/>
          </w:tcPr>
          <w:p w14:paraId="647E4819" w14:textId="77777777" w:rsidR="00F51113" w:rsidRPr="004C2DCD" w:rsidRDefault="00F51113" w:rsidP="004034D9">
            <w:pPr>
              <w:pStyle w:val="TableText"/>
              <w:spacing w:before="40" w:after="40" w:line="220" w:lineRule="atLeast"/>
              <w:cnfStyle w:val="000000000000" w:firstRow="0" w:lastRow="0" w:firstColumn="0" w:lastColumn="0" w:oddVBand="0" w:evenVBand="0" w:oddHBand="0" w:evenHBand="0" w:firstRowFirstColumn="0" w:firstRowLastColumn="0" w:lastRowFirstColumn="0" w:lastRowLastColumn="0"/>
              <w:rPr>
                <w:rFonts w:cs="Times New Roman"/>
                <w:szCs w:val="24"/>
              </w:rPr>
            </w:pPr>
            <w:r w:rsidRPr="004C2DCD">
              <w:rPr>
                <w:rFonts w:cs="Times New Roman"/>
                <w:szCs w:val="24"/>
              </w:rPr>
              <w:t>Simple R-based calculation</w:t>
            </w:r>
          </w:p>
        </w:tc>
        <w:tc>
          <w:tcPr>
            <w:tcW w:w="2146" w:type="dxa"/>
            <w:tcBorders>
              <w:top w:val="single" w:sz="4" w:space="0" w:color="1C556C" w:themeColor="accent1"/>
              <w:bottom w:val="single" w:sz="4" w:space="0" w:color="1C556C" w:themeColor="accent1"/>
            </w:tcBorders>
            <w:shd w:val="clear" w:color="auto" w:fill="auto"/>
          </w:tcPr>
          <w:p w14:paraId="5BA0E376" w14:textId="77777777" w:rsidR="00F51113" w:rsidRPr="004C2DCD" w:rsidRDefault="00F51113" w:rsidP="004034D9">
            <w:pPr>
              <w:pStyle w:val="TableText"/>
              <w:spacing w:before="40" w:after="40" w:line="220" w:lineRule="atLeast"/>
              <w:cnfStyle w:val="000000000000" w:firstRow="0" w:lastRow="0" w:firstColumn="0" w:lastColumn="0" w:oddVBand="0" w:evenVBand="0" w:oddHBand="0" w:evenHBand="0" w:firstRowFirstColumn="0" w:firstRowLastColumn="0" w:lastRowFirstColumn="0" w:lastRowLastColumn="0"/>
              <w:rPr>
                <w:rFonts w:cs="Times New Roman"/>
                <w:szCs w:val="24"/>
              </w:rPr>
            </w:pPr>
            <w:r w:rsidRPr="004C2DCD">
              <w:rPr>
                <w:rFonts w:cs="Times New Roman"/>
                <w:szCs w:val="24"/>
              </w:rPr>
              <w:t>Adjusts emissions outputs to account for the impact of mitigation technologies</w:t>
            </w:r>
          </w:p>
        </w:tc>
        <w:tc>
          <w:tcPr>
            <w:tcW w:w="2404" w:type="dxa"/>
            <w:tcBorders>
              <w:top w:val="single" w:sz="4" w:space="0" w:color="1C556C" w:themeColor="accent1"/>
              <w:bottom w:val="single" w:sz="4" w:space="0" w:color="1C556C" w:themeColor="accent1"/>
            </w:tcBorders>
            <w:shd w:val="clear" w:color="auto" w:fill="auto"/>
          </w:tcPr>
          <w:p w14:paraId="464313C9" w14:textId="77777777" w:rsidR="00F51113" w:rsidRPr="004C2DCD" w:rsidRDefault="00F51113" w:rsidP="004034D9">
            <w:pPr>
              <w:pStyle w:val="TableText"/>
              <w:spacing w:before="40" w:after="40" w:line="220" w:lineRule="atLeast"/>
              <w:cnfStyle w:val="000000000000" w:firstRow="0" w:lastRow="0" w:firstColumn="0" w:lastColumn="0" w:oddVBand="0" w:evenVBand="0" w:oddHBand="0" w:evenHBand="0" w:firstRowFirstColumn="0" w:firstRowLastColumn="0" w:lastRowFirstColumn="0" w:lastRowLastColumn="0"/>
              <w:rPr>
                <w:rFonts w:cs="Times New Roman"/>
                <w:szCs w:val="24"/>
              </w:rPr>
            </w:pPr>
            <w:r w:rsidRPr="004C2DCD">
              <w:rPr>
                <w:rFonts w:cs="Times New Roman"/>
                <w:szCs w:val="24"/>
              </w:rPr>
              <w:t>Simple implementation. Unsophisticated accounting of mitigation stacking</w:t>
            </w:r>
          </w:p>
        </w:tc>
      </w:tr>
    </w:tbl>
    <w:p w14:paraId="39F9CDAF" w14:textId="3A7B94D6" w:rsidR="00F51113" w:rsidRPr="004C2DCD" w:rsidRDefault="00812593" w:rsidP="00F51113">
      <w:pPr>
        <w:pStyle w:val="Heading4"/>
        <w:spacing w:before="360"/>
      </w:pPr>
      <w:r>
        <w:t>2.5.5.3.6</w:t>
      </w:r>
      <w:r>
        <w:tab/>
      </w:r>
      <w:r w:rsidR="00F51113" w:rsidRPr="004C2DCD">
        <w:t>Waste</w:t>
      </w:r>
    </w:p>
    <w:p w14:paraId="3F54987A" w14:textId="77777777" w:rsidR="00F51113" w:rsidRPr="004C2DCD" w:rsidRDefault="00F51113" w:rsidP="00F51113">
      <w:pPr>
        <w:pStyle w:val="Heading5"/>
      </w:pPr>
      <w:r w:rsidRPr="004C2DCD">
        <w:t>Methodology</w:t>
      </w:r>
    </w:p>
    <w:p w14:paraId="2B6A5B5C" w14:textId="77777777" w:rsidR="00F51113" w:rsidRPr="004C2DCD" w:rsidRDefault="00F51113" w:rsidP="00F51113">
      <w:pPr>
        <w:pStyle w:val="BodyText"/>
      </w:pPr>
      <w:r w:rsidRPr="004C2DCD">
        <w:t xml:space="preserve">All categories in the Waste sector are modelled using a bottom-up approach, estimating emissions at the category level as reported in the Inventory. This is done by projecting activity data and applying the national GHG inventory waste models to estimate emissions. </w:t>
      </w:r>
    </w:p>
    <w:p w14:paraId="2A3FA680" w14:textId="7AEBBD7B" w:rsidR="00F51113" w:rsidRPr="004C2DCD" w:rsidRDefault="00F51113" w:rsidP="00F51113">
      <w:pPr>
        <w:pStyle w:val="BodyText"/>
      </w:pPr>
      <w:r w:rsidRPr="004C2DCD">
        <w:t xml:space="preserve">Some methods for projecting activity data have been revised for the Biennial Transparency Report. Several policies and measures have been quantified in the Waste sector and use a variant of the model for existing measures that incorporates the alternative activity data and/or emission factors. </w:t>
      </w:r>
      <w:hyperlink w:anchor="table2514" w:history="1">
        <w:r w:rsidRPr="00057811">
          <w:rPr>
            <w:rStyle w:val="Hyperlink"/>
          </w:rPr>
          <w:t>Table 2.5.14</w:t>
        </w:r>
      </w:hyperlink>
      <w:r w:rsidRPr="004C2DCD">
        <w:t xml:space="preserve"> provides details on the methods used for projecting each category in the Waste sector.</w:t>
      </w:r>
    </w:p>
    <w:p w14:paraId="66E33A50" w14:textId="7DB8217F" w:rsidR="00F51113" w:rsidRPr="004C2DCD" w:rsidRDefault="00F51113" w:rsidP="00F51113">
      <w:pPr>
        <w:pStyle w:val="Tableheading"/>
        <w:ind w:left="1276" w:hanging="1276"/>
      </w:pPr>
      <w:bookmarkStart w:id="600" w:name="table2514"/>
      <w:bookmarkStart w:id="601" w:name="_Toc121773816"/>
      <w:bookmarkStart w:id="602" w:name="_Toc183789706"/>
      <w:bookmarkStart w:id="603" w:name="_Toc185407479"/>
      <w:bookmarkStart w:id="604" w:name="_Toc185427742"/>
      <w:r w:rsidRPr="004C2DCD">
        <w:t>Table 2.5.14</w:t>
      </w:r>
      <w:bookmarkEnd w:id="600"/>
      <w:r w:rsidRPr="004C2DCD">
        <w:t xml:space="preserve">: </w:t>
      </w:r>
      <w:r w:rsidRPr="004C2DCD">
        <w:tab/>
        <w:t xml:space="preserve">Methods for projecting activity data and/or emissions in the Waste sector, </w:t>
      </w:r>
      <w:bookmarkEnd w:id="601"/>
      <w:r w:rsidRPr="004C2DCD">
        <w:t>2023–50</w:t>
      </w:r>
      <w:bookmarkEnd w:id="602"/>
      <w:bookmarkEnd w:id="603"/>
      <w:bookmarkEnd w:id="604"/>
    </w:p>
    <w:tbl>
      <w:tblPr>
        <w:tblStyle w:val="TableGrid1"/>
        <w:tblW w:w="8505" w:type="dxa"/>
        <w:tblInd w:w="0" w:type="dxa"/>
        <w:tblCellMar>
          <w:left w:w="57" w:type="dxa"/>
          <w:right w:w="57" w:type="dxa"/>
        </w:tblCellMar>
        <w:tblLook w:val="04A0" w:firstRow="1" w:lastRow="0" w:firstColumn="1" w:lastColumn="0" w:noHBand="0" w:noVBand="1"/>
      </w:tblPr>
      <w:tblGrid>
        <w:gridCol w:w="1426"/>
        <w:gridCol w:w="840"/>
        <w:gridCol w:w="2610"/>
        <w:gridCol w:w="1915"/>
        <w:gridCol w:w="1714"/>
      </w:tblGrid>
      <w:tr w:rsidR="00F51113" w:rsidRPr="004C2DCD" w14:paraId="299C40C2" w14:textId="77777777">
        <w:trPr>
          <w:tblHeader/>
        </w:trPr>
        <w:tc>
          <w:tcPr>
            <w:tcW w:w="1426" w:type="dxa"/>
            <w:tcBorders>
              <w:bottom w:val="nil"/>
            </w:tcBorders>
            <w:shd w:val="clear" w:color="auto" w:fill="1B556B" w:themeFill="text2"/>
            <w:vAlign w:val="bottom"/>
          </w:tcPr>
          <w:p w14:paraId="364109A5" w14:textId="77777777" w:rsidR="00F51113" w:rsidRPr="004C2DCD" w:rsidRDefault="00F51113">
            <w:pPr>
              <w:pStyle w:val="TableText"/>
              <w:keepNext/>
              <w:spacing w:before="40" w:after="40"/>
              <w:rPr>
                <w:rFonts w:cs="Calibri"/>
                <w:b/>
                <w:bCs/>
                <w:color w:val="FFFFFF" w:themeColor="background1"/>
                <w:szCs w:val="18"/>
                <w:lang w:val="en-NZ"/>
              </w:rPr>
            </w:pPr>
            <w:r w:rsidRPr="004C2DCD">
              <w:rPr>
                <w:rFonts w:cs="Calibri"/>
                <w:b/>
                <w:bCs/>
                <w:color w:val="FFFFFF" w:themeColor="background1"/>
                <w:szCs w:val="18"/>
                <w:lang w:val="en-NZ"/>
              </w:rPr>
              <w:t>Category in the Waste sector</w:t>
            </w:r>
          </w:p>
        </w:tc>
        <w:tc>
          <w:tcPr>
            <w:tcW w:w="840" w:type="dxa"/>
            <w:tcBorders>
              <w:bottom w:val="nil"/>
            </w:tcBorders>
            <w:shd w:val="clear" w:color="auto" w:fill="1B556B" w:themeFill="text2"/>
            <w:vAlign w:val="bottom"/>
          </w:tcPr>
          <w:p w14:paraId="781BDF12" w14:textId="77777777" w:rsidR="00F51113" w:rsidRPr="004C2DCD" w:rsidRDefault="00F51113">
            <w:pPr>
              <w:pStyle w:val="TableText"/>
              <w:keepNext/>
              <w:spacing w:before="40" w:after="40"/>
              <w:rPr>
                <w:rFonts w:cs="Calibri"/>
                <w:b/>
                <w:bCs/>
                <w:color w:val="FFFFFF" w:themeColor="background1"/>
                <w:szCs w:val="18"/>
                <w:lang w:val="en-NZ"/>
              </w:rPr>
            </w:pPr>
            <w:r w:rsidRPr="004C2DCD">
              <w:rPr>
                <w:rFonts w:cs="Calibri"/>
                <w:b/>
                <w:bCs/>
                <w:color w:val="FFFFFF" w:themeColor="background1"/>
                <w:szCs w:val="18"/>
                <w:lang w:val="en-NZ"/>
              </w:rPr>
              <w:t>Gas(es)</w:t>
            </w:r>
          </w:p>
        </w:tc>
        <w:tc>
          <w:tcPr>
            <w:tcW w:w="2610" w:type="dxa"/>
            <w:tcBorders>
              <w:bottom w:val="nil"/>
            </w:tcBorders>
            <w:shd w:val="clear" w:color="auto" w:fill="1B556B" w:themeFill="text2"/>
            <w:vAlign w:val="bottom"/>
          </w:tcPr>
          <w:p w14:paraId="6049B777" w14:textId="77777777" w:rsidR="00F51113" w:rsidRPr="004C2DCD" w:rsidRDefault="00F51113">
            <w:pPr>
              <w:pStyle w:val="TableText"/>
              <w:keepNext/>
              <w:spacing w:before="40" w:after="40"/>
              <w:rPr>
                <w:rFonts w:cs="Calibri"/>
                <w:b/>
                <w:bCs/>
                <w:color w:val="FFFFFF" w:themeColor="background1"/>
                <w:szCs w:val="18"/>
                <w:lang w:val="en-NZ"/>
              </w:rPr>
            </w:pPr>
            <w:r w:rsidRPr="004C2DCD">
              <w:rPr>
                <w:rFonts w:cs="Calibri"/>
                <w:b/>
                <w:bCs/>
                <w:color w:val="FFFFFF" w:themeColor="background1"/>
                <w:szCs w:val="18"/>
                <w:lang w:val="en-NZ"/>
              </w:rPr>
              <w:t>Method for projecting activity data or emissions</w:t>
            </w:r>
          </w:p>
        </w:tc>
        <w:tc>
          <w:tcPr>
            <w:tcW w:w="1915" w:type="dxa"/>
            <w:tcBorders>
              <w:bottom w:val="nil"/>
            </w:tcBorders>
            <w:shd w:val="clear" w:color="auto" w:fill="1B556B" w:themeFill="text2"/>
            <w:vAlign w:val="bottom"/>
          </w:tcPr>
          <w:p w14:paraId="071028E0" w14:textId="77777777" w:rsidR="00F51113" w:rsidRPr="004C2DCD" w:rsidRDefault="00F51113">
            <w:pPr>
              <w:pStyle w:val="TableText"/>
              <w:keepNext/>
              <w:spacing w:before="40" w:after="40"/>
              <w:rPr>
                <w:rFonts w:cs="Calibri"/>
                <w:b/>
                <w:bCs/>
                <w:color w:val="FFFFFF" w:themeColor="background1"/>
                <w:szCs w:val="18"/>
                <w:lang w:val="en-NZ"/>
              </w:rPr>
            </w:pPr>
            <w:r w:rsidRPr="004C2DCD">
              <w:rPr>
                <w:rFonts w:cs="Calibri"/>
                <w:b/>
                <w:bCs/>
                <w:color w:val="FFFFFF" w:themeColor="background1"/>
                <w:szCs w:val="18"/>
                <w:lang w:val="en-NZ"/>
              </w:rPr>
              <w:t>Strengths</w:t>
            </w:r>
          </w:p>
        </w:tc>
        <w:tc>
          <w:tcPr>
            <w:tcW w:w="1714" w:type="dxa"/>
            <w:tcBorders>
              <w:bottom w:val="nil"/>
            </w:tcBorders>
            <w:shd w:val="clear" w:color="auto" w:fill="1B556B" w:themeFill="text2"/>
            <w:vAlign w:val="bottom"/>
          </w:tcPr>
          <w:p w14:paraId="11FCC849" w14:textId="77777777" w:rsidR="00F51113" w:rsidRPr="004C2DCD" w:rsidRDefault="00F51113">
            <w:pPr>
              <w:pStyle w:val="TableText"/>
              <w:keepNext/>
              <w:spacing w:before="40" w:after="40"/>
              <w:rPr>
                <w:rFonts w:cs="Calibri"/>
                <w:b/>
                <w:bCs/>
                <w:color w:val="FFFFFF" w:themeColor="background1"/>
                <w:szCs w:val="18"/>
                <w:lang w:val="en-NZ"/>
              </w:rPr>
            </w:pPr>
            <w:r w:rsidRPr="004C2DCD">
              <w:rPr>
                <w:rFonts w:cs="Calibri"/>
                <w:b/>
                <w:bCs/>
                <w:color w:val="FFFFFF" w:themeColor="background1"/>
                <w:szCs w:val="18"/>
                <w:lang w:val="en-NZ"/>
              </w:rPr>
              <w:t>Weaknesses</w:t>
            </w:r>
          </w:p>
        </w:tc>
      </w:tr>
      <w:tr w:rsidR="00F51113" w:rsidRPr="004C2DCD" w14:paraId="611F73C3" w14:textId="77777777">
        <w:tc>
          <w:tcPr>
            <w:tcW w:w="1426" w:type="dxa"/>
            <w:tcBorders>
              <w:top w:val="nil"/>
            </w:tcBorders>
          </w:tcPr>
          <w:p w14:paraId="6A6D1AB5" w14:textId="77777777" w:rsidR="00F51113" w:rsidRPr="004C2DCD" w:rsidRDefault="00F51113">
            <w:pPr>
              <w:pStyle w:val="TableText"/>
              <w:spacing w:before="40" w:after="40"/>
              <w:rPr>
                <w:rFonts w:cs="Calibri"/>
                <w:szCs w:val="18"/>
                <w:lang w:val="en-NZ"/>
              </w:rPr>
            </w:pPr>
            <w:r w:rsidRPr="004C2DCD">
              <w:rPr>
                <w:rFonts w:cs="Calibri"/>
                <w:szCs w:val="18"/>
                <w:lang w:val="en-NZ"/>
              </w:rPr>
              <w:t>Managed landfills</w:t>
            </w:r>
          </w:p>
        </w:tc>
        <w:tc>
          <w:tcPr>
            <w:tcW w:w="840" w:type="dxa"/>
            <w:tcBorders>
              <w:top w:val="nil"/>
            </w:tcBorders>
          </w:tcPr>
          <w:p w14:paraId="76A66F7C" w14:textId="77777777" w:rsidR="00F51113" w:rsidRPr="004C2DCD" w:rsidRDefault="00F51113">
            <w:pPr>
              <w:pStyle w:val="TableText"/>
              <w:spacing w:before="40" w:after="40"/>
              <w:rPr>
                <w:rFonts w:cs="Calibri"/>
                <w:szCs w:val="18"/>
                <w:lang w:val="en-NZ"/>
              </w:rPr>
            </w:pPr>
            <w:r w:rsidRPr="004C2DCD">
              <w:rPr>
                <w:rFonts w:cs="Calibri"/>
                <w:szCs w:val="18"/>
                <w:lang w:val="en-NZ"/>
              </w:rPr>
              <w:t>CH</w:t>
            </w:r>
            <w:r w:rsidRPr="004C2DCD">
              <w:rPr>
                <w:rFonts w:cs="Calibri"/>
                <w:szCs w:val="18"/>
                <w:vertAlign w:val="subscript"/>
                <w:lang w:val="en-NZ"/>
              </w:rPr>
              <w:t>4</w:t>
            </w:r>
          </w:p>
        </w:tc>
        <w:tc>
          <w:tcPr>
            <w:tcW w:w="2610" w:type="dxa"/>
            <w:tcBorders>
              <w:top w:val="nil"/>
            </w:tcBorders>
          </w:tcPr>
          <w:p w14:paraId="6A0FF12A" w14:textId="77777777" w:rsidR="00F51113" w:rsidRPr="004C2DCD" w:rsidRDefault="00F51113">
            <w:pPr>
              <w:pStyle w:val="TableText"/>
              <w:spacing w:before="40" w:after="40"/>
              <w:rPr>
                <w:rFonts w:cs="Calibri"/>
                <w:szCs w:val="18"/>
                <w:lang w:val="en-NZ"/>
              </w:rPr>
            </w:pPr>
            <w:r w:rsidRPr="004C2DCD">
              <w:rPr>
                <w:rFonts w:cs="Calibri"/>
                <w:szCs w:val="18"/>
                <w:lang w:val="en-NZ"/>
              </w:rPr>
              <w:t xml:space="preserve">Waste tonnage is projected by correlating historical GDP with total waste disposed and extending the correlation into the future. Other parameters are held constant </w:t>
            </w:r>
          </w:p>
          <w:p w14:paraId="00A3C1B0" w14:textId="77777777" w:rsidR="00F51113" w:rsidRPr="004C2DCD" w:rsidRDefault="00F51113">
            <w:pPr>
              <w:pStyle w:val="TableText"/>
              <w:spacing w:before="40" w:after="40"/>
              <w:rPr>
                <w:rFonts w:cs="Calibri"/>
                <w:szCs w:val="18"/>
                <w:lang w:val="en-NZ"/>
              </w:rPr>
            </w:pPr>
            <w:r w:rsidRPr="004C2DCD">
              <w:rPr>
                <w:rFonts w:cs="Calibri"/>
                <w:szCs w:val="18"/>
                <w:lang w:val="en-NZ"/>
              </w:rPr>
              <w:t xml:space="preserve">Variants of this model using modified activity data and/or parameters are used to estimate the effects of some existing measures </w:t>
            </w:r>
          </w:p>
        </w:tc>
        <w:tc>
          <w:tcPr>
            <w:tcW w:w="1915" w:type="dxa"/>
            <w:tcBorders>
              <w:top w:val="nil"/>
            </w:tcBorders>
          </w:tcPr>
          <w:p w14:paraId="254A1FDB" w14:textId="77777777" w:rsidR="00F51113" w:rsidRPr="004C2DCD" w:rsidRDefault="00F51113">
            <w:pPr>
              <w:pStyle w:val="TableText"/>
              <w:spacing w:before="40" w:after="40"/>
              <w:rPr>
                <w:rFonts w:cs="Calibri"/>
                <w:szCs w:val="18"/>
                <w:lang w:val="en-NZ"/>
              </w:rPr>
            </w:pPr>
            <w:r w:rsidRPr="004C2DCD">
              <w:rPr>
                <w:rFonts w:cs="Calibri"/>
                <w:szCs w:val="18"/>
                <w:lang w:val="en-NZ"/>
              </w:rPr>
              <w:t xml:space="preserve">Models project waste volumes using a robust mathematical model drawing mainly on recent historical trends, the effect of an increasing waste levy and current policy direction </w:t>
            </w:r>
          </w:p>
        </w:tc>
        <w:tc>
          <w:tcPr>
            <w:tcW w:w="1714" w:type="dxa"/>
            <w:tcBorders>
              <w:top w:val="nil"/>
            </w:tcBorders>
          </w:tcPr>
          <w:p w14:paraId="27B4E0C3" w14:textId="77777777" w:rsidR="00F51113" w:rsidRPr="004C2DCD" w:rsidRDefault="00F51113">
            <w:pPr>
              <w:pStyle w:val="TableText"/>
              <w:spacing w:before="40" w:after="40"/>
              <w:rPr>
                <w:rFonts w:cs="Calibri"/>
                <w:szCs w:val="18"/>
                <w:lang w:val="en-NZ"/>
              </w:rPr>
            </w:pPr>
            <w:r w:rsidRPr="75ADBAC8">
              <w:rPr>
                <w:rFonts w:cs="Calibri"/>
                <w:lang w:val="en-NZ"/>
              </w:rPr>
              <w:t>Projection of activity data is sensitive to the latest historical waste tonnages that have been affected by multiple factors, including the COVID-19 pandemic and Cyclone Gabrielle,</w:t>
            </w:r>
            <w:r w:rsidRPr="004C2DCD">
              <w:rPr>
                <w:rStyle w:val="FootnoteReference"/>
                <w:rFonts w:cs="Calibri"/>
                <w:sz w:val="18"/>
                <w:szCs w:val="18"/>
                <w:lang w:val="en-NZ"/>
              </w:rPr>
              <w:footnoteReference w:id="189"/>
            </w:r>
            <w:r w:rsidRPr="75ADBAC8">
              <w:rPr>
                <w:rFonts w:cs="Calibri"/>
                <w:lang w:val="en-NZ"/>
              </w:rPr>
              <w:t xml:space="preserve"> and could distort the longer-term projection </w:t>
            </w:r>
          </w:p>
        </w:tc>
      </w:tr>
      <w:tr w:rsidR="00F51113" w:rsidRPr="004C2DCD" w14:paraId="6D75E929" w14:textId="77777777">
        <w:tc>
          <w:tcPr>
            <w:tcW w:w="1426" w:type="dxa"/>
          </w:tcPr>
          <w:p w14:paraId="0EA8FD03" w14:textId="77777777" w:rsidR="00F51113" w:rsidRPr="004C2DCD" w:rsidRDefault="00F51113">
            <w:pPr>
              <w:pStyle w:val="TableText"/>
              <w:spacing w:before="40" w:after="40"/>
              <w:rPr>
                <w:rFonts w:cs="Calibri"/>
                <w:szCs w:val="18"/>
                <w:lang w:val="en-NZ"/>
              </w:rPr>
            </w:pPr>
            <w:r w:rsidRPr="004C2DCD">
              <w:rPr>
                <w:rFonts w:cs="Calibri"/>
                <w:szCs w:val="18"/>
                <w:lang w:val="en-NZ"/>
              </w:rPr>
              <w:t>Unmanaged farm fills</w:t>
            </w:r>
          </w:p>
        </w:tc>
        <w:tc>
          <w:tcPr>
            <w:tcW w:w="840" w:type="dxa"/>
          </w:tcPr>
          <w:p w14:paraId="03FF0CF2" w14:textId="77777777" w:rsidR="00F51113" w:rsidRPr="004C2DCD" w:rsidRDefault="00F51113">
            <w:pPr>
              <w:pStyle w:val="TableText"/>
              <w:spacing w:before="40" w:after="40"/>
              <w:rPr>
                <w:rFonts w:cs="Calibri"/>
                <w:szCs w:val="18"/>
                <w:lang w:val="en-NZ"/>
              </w:rPr>
            </w:pPr>
            <w:r w:rsidRPr="004C2DCD">
              <w:rPr>
                <w:rFonts w:cs="Calibri"/>
                <w:szCs w:val="18"/>
                <w:lang w:val="en-NZ"/>
              </w:rPr>
              <w:t>CH</w:t>
            </w:r>
            <w:r w:rsidRPr="004C2DCD">
              <w:rPr>
                <w:rFonts w:cs="Calibri"/>
                <w:szCs w:val="18"/>
                <w:vertAlign w:val="subscript"/>
                <w:lang w:val="en-NZ"/>
              </w:rPr>
              <w:t>4</w:t>
            </w:r>
          </w:p>
        </w:tc>
        <w:tc>
          <w:tcPr>
            <w:tcW w:w="2610" w:type="dxa"/>
          </w:tcPr>
          <w:p w14:paraId="6AA063DF" w14:textId="77777777" w:rsidR="00F51113" w:rsidRPr="004C2DCD" w:rsidRDefault="00F51113">
            <w:pPr>
              <w:pStyle w:val="TableText"/>
              <w:spacing w:before="40" w:after="40"/>
              <w:rPr>
                <w:rFonts w:cs="Calibri"/>
                <w:szCs w:val="18"/>
                <w:lang w:val="en-NZ"/>
              </w:rPr>
            </w:pPr>
            <w:r w:rsidRPr="004C2DCD">
              <w:rPr>
                <w:rFonts w:cs="Calibri"/>
                <w:szCs w:val="18"/>
                <w:lang w:val="en-NZ"/>
              </w:rPr>
              <w:t>Logarithmic extrapolation of farm counts from 2002 to 2017, which in turn drives overall waste tonnages on farms as per the Greenhouse Gas Inventory</w:t>
            </w:r>
          </w:p>
        </w:tc>
        <w:tc>
          <w:tcPr>
            <w:tcW w:w="1915" w:type="dxa"/>
          </w:tcPr>
          <w:p w14:paraId="2624588D" w14:textId="77777777" w:rsidR="00F51113" w:rsidRPr="004C2DCD" w:rsidRDefault="00F51113">
            <w:pPr>
              <w:pStyle w:val="TableText"/>
              <w:spacing w:before="40" w:after="40"/>
              <w:rPr>
                <w:rFonts w:cs="Calibri"/>
                <w:szCs w:val="18"/>
                <w:lang w:val="en-NZ"/>
              </w:rPr>
            </w:pPr>
            <w:r w:rsidRPr="004C2DCD">
              <w:rPr>
                <w:rFonts w:cs="Calibri"/>
                <w:szCs w:val="18"/>
                <w:lang w:val="en-NZ"/>
              </w:rPr>
              <w:t>Based on plausible long-term trend in farm counts</w:t>
            </w:r>
          </w:p>
        </w:tc>
        <w:tc>
          <w:tcPr>
            <w:tcW w:w="1714" w:type="dxa"/>
          </w:tcPr>
          <w:p w14:paraId="5B65DA56" w14:textId="77777777" w:rsidR="00F51113" w:rsidRPr="004C2DCD" w:rsidRDefault="00F51113">
            <w:pPr>
              <w:pStyle w:val="TableText"/>
              <w:spacing w:before="40" w:after="40"/>
              <w:rPr>
                <w:rFonts w:cs="Calibri"/>
                <w:szCs w:val="18"/>
                <w:lang w:val="en-NZ"/>
              </w:rPr>
            </w:pPr>
            <w:r w:rsidRPr="004C2DCD">
              <w:rPr>
                <w:rFonts w:cs="Calibri"/>
                <w:szCs w:val="18"/>
                <w:lang w:val="en-NZ"/>
              </w:rPr>
              <w:t>Assumes that waste volume per farm is constant</w:t>
            </w:r>
          </w:p>
        </w:tc>
      </w:tr>
      <w:tr w:rsidR="00F51113" w:rsidRPr="004C2DCD" w14:paraId="2BBAFC77" w14:textId="77777777">
        <w:tc>
          <w:tcPr>
            <w:tcW w:w="1426" w:type="dxa"/>
          </w:tcPr>
          <w:p w14:paraId="5F7EB484" w14:textId="77777777" w:rsidR="00F51113" w:rsidRPr="004C2DCD" w:rsidRDefault="00F51113">
            <w:pPr>
              <w:pStyle w:val="TableText"/>
              <w:keepNext/>
              <w:spacing w:before="40" w:after="40"/>
              <w:rPr>
                <w:rFonts w:cs="Calibri"/>
                <w:szCs w:val="18"/>
                <w:lang w:val="en-NZ"/>
              </w:rPr>
            </w:pPr>
            <w:r w:rsidRPr="004C2DCD">
              <w:rPr>
                <w:rFonts w:cs="Calibri"/>
                <w:szCs w:val="18"/>
                <w:lang w:val="en-NZ"/>
              </w:rPr>
              <w:t>Unmanaged non-municipal fills</w:t>
            </w:r>
          </w:p>
        </w:tc>
        <w:tc>
          <w:tcPr>
            <w:tcW w:w="840" w:type="dxa"/>
          </w:tcPr>
          <w:p w14:paraId="1AE01814" w14:textId="77777777" w:rsidR="00F51113" w:rsidRPr="004C2DCD" w:rsidRDefault="00F51113">
            <w:pPr>
              <w:pStyle w:val="TableText"/>
              <w:spacing w:before="40" w:after="40"/>
              <w:rPr>
                <w:rFonts w:cs="Calibri"/>
                <w:szCs w:val="18"/>
                <w:lang w:val="en-NZ"/>
              </w:rPr>
            </w:pPr>
            <w:r w:rsidRPr="004C2DCD">
              <w:rPr>
                <w:rFonts w:cs="Calibri"/>
                <w:szCs w:val="18"/>
                <w:lang w:val="en-NZ"/>
              </w:rPr>
              <w:t>CH</w:t>
            </w:r>
            <w:r w:rsidRPr="004C2DCD">
              <w:rPr>
                <w:rFonts w:cs="Calibri"/>
                <w:szCs w:val="18"/>
                <w:vertAlign w:val="subscript"/>
                <w:lang w:val="en-NZ"/>
              </w:rPr>
              <w:t>4</w:t>
            </w:r>
          </w:p>
        </w:tc>
        <w:tc>
          <w:tcPr>
            <w:tcW w:w="2610" w:type="dxa"/>
          </w:tcPr>
          <w:p w14:paraId="22086EDD" w14:textId="77777777" w:rsidR="00F51113" w:rsidRPr="004C2DCD" w:rsidRDefault="00F51113">
            <w:pPr>
              <w:pStyle w:val="TableText"/>
              <w:spacing w:before="40" w:after="40"/>
              <w:rPr>
                <w:rFonts w:cs="Calibri"/>
                <w:szCs w:val="18"/>
                <w:lang w:val="en-NZ"/>
              </w:rPr>
            </w:pPr>
            <w:r w:rsidRPr="004C2DCD">
              <w:rPr>
                <w:rFonts w:cs="Calibri"/>
                <w:szCs w:val="18"/>
                <w:lang w:val="en-NZ"/>
              </w:rPr>
              <w:t>Waste tonnages are held constant into the future at 2015 levels, based on the available historical data</w:t>
            </w:r>
          </w:p>
        </w:tc>
        <w:tc>
          <w:tcPr>
            <w:tcW w:w="1915" w:type="dxa"/>
          </w:tcPr>
          <w:p w14:paraId="3891E595" w14:textId="77777777" w:rsidR="00F51113" w:rsidRPr="004C2DCD" w:rsidRDefault="00F51113">
            <w:pPr>
              <w:pStyle w:val="TableText"/>
              <w:spacing w:before="40" w:after="40"/>
              <w:rPr>
                <w:rFonts w:cs="Calibri"/>
                <w:szCs w:val="18"/>
                <w:lang w:val="en-NZ"/>
              </w:rPr>
            </w:pPr>
            <w:r w:rsidRPr="004C2DCD">
              <w:rPr>
                <w:rFonts w:cs="Calibri"/>
                <w:szCs w:val="18"/>
                <w:lang w:val="en-NZ"/>
              </w:rPr>
              <w:t>Plausible projection based on limited available data</w:t>
            </w:r>
          </w:p>
        </w:tc>
        <w:tc>
          <w:tcPr>
            <w:tcW w:w="1714" w:type="dxa"/>
          </w:tcPr>
          <w:p w14:paraId="5021620A" w14:textId="77777777" w:rsidR="00F51113" w:rsidRPr="004C2DCD" w:rsidRDefault="00F51113">
            <w:pPr>
              <w:pStyle w:val="TableText"/>
              <w:spacing w:before="40" w:after="40"/>
              <w:rPr>
                <w:rFonts w:cs="Calibri"/>
                <w:szCs w:val="18"/>
                <w:lang w:val="en-NZ"/>
              </w:rPr>
            </w:pPr>
            <w:r w:rsidRPr="004C2DCD">
              <w:rPr>
                <w:rFonts w:cs="Calibri"/>
                <w:szCs w:val="18"/>
                <w:lang w:val="en-NZ"/>
              </w:rPr>
              <w:t>Does not account for potential changes in industry activity into the future</w:t>
            </w:r>
          </w:p>
        </w:tc>
      </w:tr>
      <w:tr w:rsidR="00F51113" w:rsidRPr="004C2DCD" w14:paraId="727E3198" w14:textId="77777777">
        <w:tc>
          <w:tcPr>
            <w:tcW w:w="1426" w:type="dxa"/>
          </w:tcPr>
          <w:p w14:paraId="3F742B1C" w14:textId="77777777" w:rsidR="00F51113" w:rsidRPr="004C2DCD" w:rsidRDefault="00F51113">
            <w:pPr>
              <w:pStyle w:val="TableText"/>
              <w:spacing w:before="40" w:after="40"/>
              <w:rPr>
                <w:rFonts w:cs="Calibri"/>
                <w:szCs w:val="18"/>
                <w:lang w:val="en-NZ"/>
              </w:rPr>
            </w:pPr>
            <w:r w:rsidRPr="004C2DCD">
              <w:rPr>
                <w:rFonts w:cs="Calibri"/>
                <w:szCs w:val="18"/>
                <w:lang w:val="en-NZ"/>
              </w:rPr>
              <w:t>Uncategorised landfills</w:t>
            </w:r>
          </w:p>
        </w:tc>
        <w:tc>
          <w:tcPr>
            <w:tcW w:w="840" w:type="dxa"/>
          </w:tcPr>
          <w:p w14:paraId="66A6AEC1" w14:textId="77777777" w:rsidR="00F51113" w:rsidRPr="004C2DCD" w:rsidRDefault="00F51113">
            <w:pPr>
              <w:pStyle w:val="TableText"/>
              <w:spacing w:before="40" w:after="40"/>
              <w:rPr>
                <w:rFonts w:cs="Calibri"/>
                <w:szCs w:val="18"/>
                <w:lang w:val="en-NZ"/>
              </w:rPr>
            </w:pPr>
            <w:r w:rsidRPr="004C2DCD">
              <w:rPr>
                <w:rFonts w:cs="Calibri"/>
                <w:szCs w:val="18"/>
                <w:lang w:val="en-NZ"/>
              </w:rPr>
              <w:t>CH</w:t>
            </w:r>
            <w:r w:rsidRPr="004C2DCD">
              <w:rPr>
                <w:rFonts w:cs="Calibri"/>
                <w:szCs w:val="18"/>
                <w:vertAlign w:val="subscript"/>
                <w:lang w:val="en-NZ"/>
              </w:rPr>
              <w:t>4</w:t>
            </w:r>
          </w:p>
        </w:tc>
        <w:tc>
          <w:tcPr>
            <w:tcW w:w="2610" w:type="dxa"/>
          </w:tcPr>
          <w:p w14:paraId="238B1D4C" w14:textId="77777777" w:rsidR="00F51113" w:rsidRPr="004C2DCD" w:rsidRDefault="00F51113">
            <w:pPr>
              <w:pStyle w:val="TableText"/>
              <w:spacing w:before="40" w:after="40"/>
              <w:rPr>
                <w:rFonts w:cs="Calibri"/>
                <w:szCs w:val="18"/>
                <w:lang w:val="en-NZ"/>
              </w:rPr>
            </w:pPr>
            <w:r w:rsidRPr="004C2DCD">
              <w:rPr>
                <w:rFonts w:cs="Calibri"/>
                <w:szCs w:val="18"/>
                <w:lang w:val="en-NZ"/>
              </w:rPr>
              <w:t>Activity data ended in 2010, however, emissions continue to occur and are projected using the first order decay model in the Greenhouse Gas Inventory</w:t>
            </w:r>
          </w:p>
        </w:tc>
        <w:tc>
          <w:tcPr>
            <w:tcW w:w="1915" w:type="dxa"/>
          </w:tcPr>
          <w:p w14:paraId="2AEFB7C4" w14:textId="77777777" w:rsidR="00F51113" w:rsidRPr="004C2DCD" w:rsidRDefault="00F51113">
            <w:pPr>
              <w:pStyle w:val="TableText"/>
              <w:spacing w:before="40" w:after="40"/>
              <w:rPr>
                <w:rFonts w:cs="Calibri"/>
                <w:szCs w:val="18"/>
                <w:lang w:val="en-NZ"/>
              </w:rPr>
            </w:pPr>
            <w:r w:rsidRPr="004C2DCD">
              <w:rPr>
                <w:rFonts w:cs="Calibri"/>
                <w:szCs w:val="18"/>
                <w:lang w:val="en-NZ"/>
              </w:rPr>
              <w:t>Uses first order decay model from the Greenhouse Gas Inventory</w:t>
            </w:r>
          </w:p>
        </w:tc>
        <w:tc>
          <w:tcPr>
            <w:tcW w:w="1714" w:type="dxa"/>
          </w:tcPr>
          <w:p w14:paraId="496994CC" w14:textId="77777777" w:rsidR="00F51113" w:rsidRPr="004C2DCD" w:rsidRDefault="00F51113">
            <w:pPr>
              <w:pStyle w:val="TableText"/>
              <w:spacing w:before="40" w:after="40"/>
              <w:rPr>
                <w:rFonts w:cs="Calibri"/>
                <w:szCs w:val="18"/>
                <w:lang w:val="en-NZ"/>
              </w:rPr>
            </w:pPr>
            <w:r w:rsidRPr="004C2DCD">
              <w:rPr>
                <w:rFonts w:cs="Calibri"/>
                <w:szCs w:val="18"/>
                <w:lang w:val="en-NZ"/>
              </w:rPr>
              <w:t>Relies on historical activity data being accurate</w:t>
            </w:r>
          </w:p>
        </w:tc>
      </w:tr>
      <w:tr w:rsidR="00F51113" w:rsidRPr="004C2DCD" w14:paraId="056EFA95" w14:textId="77777777">
        <w:tc>
          <w:tcPr>
            <w:tcW w:w="1426" w:type="dxa"/>
          </w:tcPr>
          <w:p w14:paraId="6E418C1A" w14:textId="77777777" w:rsidR="00F51113" w:rsidRPr="004C2DCD" w:rsidRDefault="00F51113">
            <w:pPr>
              <w:pStyle w:val="TableText"/>
              <w:keepNext/>
              <w:spacing w:before="40" w:after="40"/>
              <w:rPr>
                <w:rFonts w:cs="Calibri"/>
                <w:szCs w:val="18"/>
                <w:lang w:val="en-NZ"/>
              </w:rPr>
            </w:pPr>
            <w:r w:rsidRPr="004C2DCD">
              <w:rPr>
                <w:rFonts w:cs="Calibri"/>
                <w:szCs w:val="18"/>
                <w:lang w:val="en-NZ"/>
              </w:rPr>
              <w:t>Composting</w:t>
            </w:r>
          </w:p>
        </w:tc>
        <w:tc>
          <w:tcPr>
            <w:tcW w:w="840" w:type="dxa"/>
          </w:tcPr>
          <w:p w14:paraId="63A8B342" w14:textId="77777777" w:rsidR="00F51113" w:rsidRPr="004C2DCD" w:rsidRDefault="00F51113">
            <w:pPr>
              <w:pStyle w:val="TableText"/>
              <w:spacing w:before="40" w:after="40"/>
              <w:rPr>
                <w:rFonts w:cs="Calibri"/>
                <w:szCs w:val="18"/>
                <w:lang w:val="en-NZ"/>
              </w:rPr>
            </w:pPr>
            <w:r w:rsidRPr="004C2DCD">
              <w:rPr>
                <w:rFonts w:cs="Calibri"/>
                <w:szCs w:val="18"/>
                <w:lang w:val="en-NZ"/>
              </w:rPr>
              <w:t>CH</w:t>
            </w:r>
            <w:r w:rsidRPr="004C2DCD">
              <w:rPr>
                <w:rFonts w:cs="Calibri"/>
                <w:szCs w:val="18"/>
                <w:vertAlign w:val="subscript"/>
                <w:lang w:val="en-NZ"/>
              </w:rPr>
              <w:t>4</w:t>
            </w:r>
            <w:r w:rsidRPr="004C2DCD">
              <w:rPr>
                <w:rFonts w:cs="Calibri"/>
                <w:szCs w:val="18"/>
                <w:lang w:val="en-NZ"/>
              </w:rPr>
              <w:t>, N</w:t>
            </w:r>
            <w:r w:rsidRPr="004C2DCD">
              <w:rPr>
                <w:rFonts w:cs="Calibri"/>
                <w:szCs w:val="18"/>
                <w:vertAlign w:val="subscript"/>
                <w:lang w:val="en-NZ"/>
              </w:rPr>
              <w:t>2</w:t>
            </w:r>
            <w:r w:rsidRPr="004C2DCD">
              <w:rPr>
                <w:rFonts w:cs="Calibri"/>
                <w:szCs w:val="18"/>
                <w:lang w:val="en-NZ"/>
              </w:rPr>
              <w:t>O</w:t>
            </w:r>
          </w:p>
        </w:tc>
        <w:tc>
          <w:tcPr>
            <w:tcW w:w="2610" w:type="dxa"/>
          </w:tcPr>
          <w:p w14:paraId="59F1E7E1" w14:textId="77777777" w:rsidR="00F51113" w:rsidRPr="004C2DCD" w:rsidRDefault="00F51113">
            <w:pPr>
              <w:pStyle w:val="TableText"/>
              <w:spacing w:before="40" w:after="40"/>
              <w:rPr>
                <w:rFonts w:cs="Calibri"/>
                <w:szCs w:val="18"/>
                <w:lang w:val="en-NZ"/>
              </w:rPr>
            </w:pPr>
            <w:r w:rsidRPr="004C2DCD">
              <w:rPr>
                <w:rFonts w:cs="Calibri"/>
                <w:szCs w:val="18"/>
                <w:lang w:val="en-NZ"/>
              </w:rPr>
              <w:t>The activity data are modelled from 1990 based on an assumed growth curve, consistent with limited actual data where available, and assumed changes into the future. Variants of this model using modified activity data and/or parameters are used to estimate the effects of some existing measures</w:t>
            </w:r>
          </w:p>
        </w:tc>
        <w:tc>
          <w:tcPr>
            <w:tcW w:w="1915" w:type="dxa"/>
          </w:tcPr>
          <w:p w14:paraId="30599B13" w14:textId="77777777" w:rsidR="00F51113" w:rsidRPr="004C2DCD" w:rsidRDefault="00F51113">
            <w:pPr>
              <w:pStyle w:val="TableText"/>
              <w:spacing w:before="40" w:after="40"/>
              <w:rPr>
                <w:rFonts w:cs="Calibri"/>
                <w:szCs w:val="18"/>
                <w:lang w:val="en-NZ"/>
              </w:rPr>
            </w:pPr>
            <w:r w:rsidRPr="004C2DCD">
              <w:rPr>
                <w:rFonts w:cs="Calibri"/>
                <w:szCs w:val="18"/>
                <w:lang w:val="en-NZ"/>
              </w:rPr>
              <w:t>Assumptions are tied to actual data</w:t>
            </w:r>
          </w:p>
        </w:tc>
        <w:tc>
          <w:tcPr>
            <w:tcW w:w="1714" w:type="dxa"/>
          </w:tcPr>
          <w:p w14:paraId="789EF6CC" w14:textId="77777777" w:rsidR="00F51113" w:rsidRPr="004C2DCD" w:rsidRDefault="00F51113">
            <w:pPr>
              <w:pStyle w:val="TableText"/>
              <w:spacing w:before="40" w:after="40"/>
              <w:rPr>
                <w:rFonts w:cs="Calibri"/>
                <w:szCs w:val="18"/>
                <w:lang w:val="en-NZ"/>
              </w:rPr>
            </w:pPr>
            <w:r w:rsidRPr="004C2DCD">
              <w:rPr>
                <w:rFonts w:cs="Calibri"/>
                <w:szCs w:val="18"/>
                <w:lang w:val="en-NZ"/>
              </w:rPr>
              <w:t>Limited actual data results in heavy reliance on assumed growth curve</w:t>
            </w:r>
          </w:p>
        </w:tc>
      </w:tr>
      <w:tr w:rsidR="00F51113" w:rsidRPr="004C2DCD" w14:paraId="4E94554B" w14:textId="77777777">
        <w:tc>
          <w:tcPr>
            <w:tcW w:w="1426" w:type="dxa"/>
          </w:tcPr>
          <w:p w14:paraId="0D8FCD05" w14:textId="77777777" w:rsidR="00F51113" w:rsidRPr="004C2DCD" w:rsidRDefault="00F51113">
            <w:pPr>
              <w:pStyle w:val="TableText"/>
              <w:spacing w:before="40" w:after="40"/>
              <w:rPr>
                <w:rFonts w:cs="Calibri"/>
                <w:szCs w:val="18"/>
                <w:lang w:val="en-NZ"/>
              </w:rPr>
            </w:pPr>
            <w:r w:rsidRPr="004C2DCD">
              <w:rPr>
                <w:rFonts w:cs="Calibri"/>
                <w:szCs w:val="18"/>
                <w:lang w:val="en-NZ"/>
              </w:rPr>
              <w:t>Anaerobic digestion</w:t>
            </w:r>
          </w:p>
        </w:tc>
        <w:tc>
          <w:tcPr>
            <w:tcW w:w="840" w:type="dxa"/>
          </w:tcPr>
          <w:p w14:paraId="60B8F6B5" w14:textId="77777777" w:rsidR="00F51113" w:rsidRPr="004C2DCD" w:rsidRDefault="00F51113">
            <w:pPr>
              <w:pStyle w:val="TableText"/>
              <w:spacing w:before="40" w:after="40"/>
              <w:rPr>
                <w:rFonts w:cs="Calibri"/>
                <w:szCs w:val="18"/>
                <w:lang w:val="en-NZ"/>
              </w:rPr>
            </w:pPr>
            <w:r w:rsidRPr="004C2DCD">
              <w:rPr>
                <w:rFonts w:cs="Calibri"/>
                <w:szCs w:val="18"/>
                <w:lang w:val="en-NZ"/>
              </w:rPr>
              <w:t>CH</w:t>
            </w:r>
            <w:r w:rsidRPr="004C2DCD">
              <w:rPr>
                <w:rFonts w:cs="Calibri"/>
                <w:szCs w:val="18"/>
                <w:vertAlign w:val="subscript"/>
                <w:lang w:val="en-NZ"/>
              </w:rPr>
              <w:t>4</w:t>
            </w:r>
          </w:p>
        </w:tc>
        <w:tc>
          <w:tcPr>
            <w:tcW w:w="2610" w:type="dxa"/>
          </w:tcPr>
          <w:p w14:paraId="32DD58F1" w14:textId="77777777" w:rsidR="00F51113" w:rsidRPr="004C2DCD" w:rsidRDefault="00F51113">
            <w:pPr>
              <w:pStyle w:val="TableText"/>
              <w:spacing w:before="40" w:after="40"/>
              <w:rPr>
                <w:rFonts w:cs="Calibri"/>
                <w:szCs w:val="18"/>
                <w:lang w:val="en-NZ"/>
              </w:rPr>
            </w:pPr>
            <w:r w:rsidRPr="004C2DCD">
              <w:rPr>
                <w:rFonts w:cs="Calibri"/>
                <w:szCs w:val="18"/>
                <w:lang w:val="en-NZ"/>
              </w:rPr>
              <w:t xml:space="preserve">A model based on IPCC Tier 1 methods is used to estimate projected emissions for anaerobic digestion based on assumed waste tonnages </w:t>
            </w:r>
          </w:p>
        </w:tc>
        <w:tc>
          <w:tcPr>
            <w:tcW w:w="1915" w:type="dxa"/>
          </w:tcPr>
          <w:p w14:paraId="70A9F18F" w14:textId="77777777" w:rsidR="00F51113" w:rsidRPr="004C2DCD" w:rsidRDefault="00F51113">
            <w:pPr>
              <w:pStyle w:val="TableText"/>
              <w:spacing w:before="40" w:after="40"/>
              <w:rPr>
                <w:rFonts w:cs="Calibri"/>
                <w:szCs w:val="18"/>
                <w:lang w:val="en-NZ"/>
              </w:rPr>
            </w:pPr>
            <w:r w:rsidRPr="004C2DCD">
              <w:rPr>
                <w:rFonts w:cs="Calibri"/>
                <w:szCs w:val="18"/>
                <w:lang w:val="en-NZ"/>
              </w:rPr>
              <w:t>Applies Greenhouse Gas Inventory methods</w:t>
            </w:r>
          </w:p>
        </w:tc>
        <w:tc>
          <w:tcPr>
            <w:tcW w:w="1714" w:type="dxa"/>
          </w:tcPr>
          <w:p w14:paraId="42A4FD40" w14:textId="62FA41EA" w:rsidR="00F51113" w:rsidRPr="004C2DCD" w:rsidRDefault="00710363">
            <w:pPr>
              <w:pStyle w:val="TableText"/>
              <w:spacing w:before="40" w:after="40"/>
              <w:rPr>
                <w:rFonts w:cs="Calibri"/>
                <w:szCs w:val="18"/>
                <w:lang w:val="en-NZ"/>
              </w:rPr>
            </w:pPr>
            <w:r w:rsidRPr="00710363">
              <w:rPr>
                <w:rFonts w:cs="Calibri"/>
                <w:szCs w:val="18"/>
                <w:lang w:val="en-US"/>
              </w:rPr>
              <w:t>Activity data is limited, as anaerobic digestion plants have historically been co-located on industrial sites for specific applications and have not been accessible to the domestic market and processing facilities</w:t>
            </w:r>
          </w:p>
        </w:tc>
      </w:tr>
      <w:tr w:rsidR="00F51113" w:rsidRPr="004C2DCD" w14:paraId="3E457A9B" w14:textId="77777777">
        <w:tc>
          <w:tcPr>
            <w:tcW w:w="1426" w:type="dxa"/>
          </w:tcPr>
          <w:p w14:paraId="2B98FE4E" w14:textId="77777777" w:rsidR="00F51113" w:rsidRPr="004C2DCD" w:rsidRDefault="00F51113">
            <w:pPr>
              <w:pStyle w:val="TableText"/>
              <w:spacing w:before="40" w:after="40"/>
              <w:rPr>
                <w:rFonts w:cs="Calibri"/>
                <w:szCs w:val="18"/>
                <w:lang w:val="en-NZ"/>
              </w:rPr>
            </w:pPr>
            <w:r w:rsidRPr="004C2DCD">
              <w:rPr>
                <w:rFonts w:cs="Calibri"/>
                <w:szCs w:val="18"/>
                <w:lang w:val="en-NZ"/>
              </w:rPr>
              <w:t>Incineration</w:t>
            </w:r>
          </w:p>
        </w:tc>
        <w:tc>
          <w:tcPr>
            <w:tcW w:w="840" w:type="dxa"/>
          </w:tcPr>
          <w:p w14:paraId="2760CAEF" w14:textId="77777777" w:rsidR="00F51113" w:rsidRPr="004C2DCD" w:rsidRDefault="00F51113">
            <w:pPr>
              <w:pStyle w:val="TableText"/>
              <w:spacing w:before="40" w:after="40"/>
              <w:rPr>
                <w:rFonts w:cs="Calibri"/>
                <w:szCs w:val="18"/>
                <w:lang w:val="en-NZ"/>
              </w:rPr>
            </w:pPr>
            <w:r w:rsidRPr="004C2DCD">
              <w:rPr>
                <w:rFonts w:cs="Calibri"/>
                <w:szCs w:val="18"/>
                <w:lang w:val="en-NZ"/>
              </w:rPr>
              <w:t>CO</w:t>
            </w:r>
            <w:r w:rsidRPr="004C2DCD">
              <w:rPr>
                <w:rFonts w:cs="Calibri"/>
                <w:szCs w:val="18"/>
                <w:vertAlign w:val="subscript"/>
                <w:lang w:val="en-NZ"/>
              </w:rPr>
              <w:t>2</w:t>
            </w:r>
            <w:r w:rsidRPr="004C2DCD">
              <w:rPr>
                <w:rFonts w:cs="Calibri"/>
                <w:szCs w:val="18"/>
                <w:lang w:val="en-NZ"/>
              </w:rPr>
              <w:t>, CH</w:t>
            </w:r>
            <w:r w:rsidRPr="004C2DCD">
              <w:rPr>
                <w:rFonts w:cs="Calibri"/>
                <w:szCs w:val="18"/>
                <w:vertAlign w:val="subscript"/>
                <w:lang w:val="en-NZ"/>
              </w:rPr>
              <w:t>4</w:t>
            </w:r>
            <w:r w:rsidRPr="004C2DCD">
              <w:rPr>
                <w:rFonts w:cs="Calibri"/>
                <w:szCs w:val="18"/>
                <w:lang w:val="en-NZ"/>
              </w:rPr>
              <w:t>, N</w:t>
            </w:r>
            <w:r w:rsidRPr="004C2DCD">
              <w:rPr>
                <w:rFonts w:cs="Calibri"/>
                <w:szCs w:val="18"/>
                <w:vertAlign w:val="subscript"/>
                <w:lang w:val="en-NZ"/>
              </w:rPr>
              <w:t>2</w:t>
            </w:r>
            <w:r w:rsidRPr="004C2DCD">
              <w:rPr>
                <w:rFonts w:cs="Calibri"/>
                <w:szCs w:val="18"/>
                <w:lang w:val="en-NZ"/>
              </w:rPr>
              <w:t>O</w:t>
            </w:r>
          </w:p>
        </w:tc>
        <w:tc>
          <w:tcPr>
            <w:tcW w:w="2610" w:type="dxa"/>
          </w:tcPr>
          <w:p w14:paraId="4755E912" w14:textId="77777777" w:rsidR="00F51113" w:rsidRPr="004C2DCD" w:rsidRDefault="00F51113">
            <w:pPr>
              <w:pStyle w:val="TableText"/>
              <w:spacing w:before="40" w:after="40"/>
              <w:rPr>
                <w:rFonts w:cs="Calibri"/>
                <w:szCs w:val="18"/>
                <w:lang w:val="en-NZ"/>
              </w:rPr>
            </w:pPr>
            <w:r w:rsidRPr="004C2DCD">
              <w:rPr>
                <w:rFonts w:cs="Calibri"/>
                <w:szCs w:val="18"/>
                <w:lang w:val="en-NZ"/>
              </w:rPr>
              <w:t>Constant activity assumed since 2007</w:t>
            </w:r>
          </w:p>
        </w:tc>
        <w:tc>
          <w:tcPr>
            <w:tcW w:w="1915" w:type="dxa"/>
          </w:tcPr>
          <w:p w14:paraId="45DB44DC" w14:textId="77777777" w:rsidR="00F51113" w:rsidRPr="004C2DCD" w:rsidRDefault="00F51113">
            <w:pPr>
              <w:pStyle w:val="TableText"/>
              <w:spacing w:before="40" w:after="40"/>
              <w:rPr>
                <w:rFonts w:cs="Calibri"/>
                <w:szCs w:val="18"/>
                <w:lang w:val="en-NZ"/>
              </w:rPr>
            </w:pPr>
            <w:r w:rsidRPr="004C2DCD">
              <w:rPr>
                <w:rFonts w:cs="Calibri"/>
                <w:szCs w:val="18"/>
                <w:lang w:val="en-NZ"/>
              </w:rPr>
              <w:t>Simple, consistent with the Greenhouse Gas Inventory</w:t>
            </w:r>
          </w:p>
        </w:tc>
        <w:tc>
          <w:tcPr>
            <w:tcW w:w="1714" w:type="dxa"/>
          </w:tcPr>
          <w:p w14:paraId="07ED864A" w14:textId="77777777" w:rsidR="00F51113" w:rsidRPr="004C2DCD" w:rsidRDefault="00F51113">
            <w:pPr>
              <w:pStyle w:val="TableText"/>
              <w:spacing w:before="40" w:after="40"/>
              <w:rPr>
                <w:rFonts w:cs="Calibri"/>
                <w:szCs w:val="18"/>
                <w:lang w:val="en-NZ"/>
              </w:rPr>
            </w:pPr>
            <w:r w:rsidRPr="004C2DCD">
              <w:rPr>
                <w:rFonts w:cs="Calibri"/>
                <w:szCs w:val="18"/>
                <w:lang w:val="en-NZ"/>
              </w:rPr>
              <w:t>Assumes the incineration rate is constant</w:t>
            </w:r>
          </w:p>
        </w:tc>
      </w:tr>
      <w:tr w:rsidR="00F51113" w:rsidRPr="004C2DCD" w14:paraId="76A10DDC" w14:textId="77777777">
        <w:tc>
          <w:tcPr>
            <w:tcW w:w="1426" w:type="dxa"/>
          </w:tcPr>
          <w:p w14:paraId="0A7D6F38" w14:textId="77777777" w:rsidR="00F51113" w:rsidRPr="004C2DCD" w:rsidRDefault="00F51113">
            <w:pPr>
              <w:pStyle w:val="TableText"/>
              <w:rPr>
                <w:rFonts w:cs="Calibri"/>
                <w:szCs w:val="18"/>
                <w:lang w:val="en-NZ"/>
              </w:rPr>
            </w:pPr>
            <w:r w:rsidRPr="004C2DCD">
              <w:rPr>
                <w:rFonts w:cs="Calibri"/>
                <w:szCs w:val="18"/>
                <w:lang w:val="en-NZ"/>
              </w:rPr>
              <w:t>Open burning</w:t>
            </w:r>
          </w:p>
        </w:tc>
        <w:tc>
          <w:tcPr>
            <w:tcW w:w="840" w:type="dxa"/>
          </w:tcPr>
          <w:p w14:paraId="092061D5" w14:textId="77777777" w:rsidR="00F51113" w:rsidRPr="004C2DCD" w:rsidRDefault="00F51113">
            <w:pPr>
              <w:pStyle w:val="TableText"/>
              <w:spacing w:before="40" w:after="40"/>
              <w:rPr>
                <w:rFonts w:cs="Calibri"/>
                <w:szCs w:val="18"/>
                <w:lang w:val="en-NZ"/>
              </w:rPr>
            </w:pPr>
            <w:r w:rsidRPr="004C2DCD">
              <w:rPr>
                <w:rFonts w:cs="Calibri"/>
                <w:szCs w:val="18"/>
                <w:lang w:val="en-NZ"/>
              </w:rPr>
              <w:t>CO</w:t>
            </w:r>
            <w:r w:rsidRPr="004C2DCD">
              <w:rPr>
                <w:rFonts w:cs="Calibri"/>
                <w:szCs w:val="18"/>
                <w:vertAlign w:val="subscript"/>
                <w:lang w:val="en-NZ"/>
              </w:rPr>
              <w:t>2</w:t>
            </w:r>
            <w:r w:rsidRPr="004C2DCD">
              <w:rPr>
                <w:rFonts w:cs="Calibri"/>
                <w:szCs w:val="18"/>
                <w:lang w:val="en-NZ"/>
              </w:rPr>
              <w:t>, CH</w:t>
            </w:r>
            <w:r w:rsidRPr="004C2DCD">
              <w:rPr>
                <w:rFonts w:cs="Calibri"/>
                <w:szCs w:val="18"/>
                <w:vertAlign w:val="subscript"/>
                <w:lang w:val="en-NZ"/>
              </w:rPr>
              <w:t>4</w:t>
            </w:r>
            <w:r w:rsidRPr="004C2DCD">
              <w:rPr>
                <w:rFonts w:cs="Calibri"/>
                <w:szCs w:val="18"/>
                <w:lang w:val="en-NZ"/>
              </w:rPr>
              <w:t>, N</w:t>
            </w:r>
            <w:r w:rsidRPr="004C2DCD">
              <w:rPr>
                <w:rFonts w:cs="Calibri"/>
                <w:szCs w:val="18"/>
                <w:vertAlign w:val="subscript"/>
                <w:lang w:val="en-NZ"/>
              </w:rPr>
              <w:t>2</w:t>
            </w:r>
            <w:r w:rsidRPr="004C2DCD">
              <w:rPr>
                <w:rFonts w:cs="Calibri"/>
                <w:szCs w:val="18"/>
                <w:lang w:val="en-NZ"/>
              </w:rPr>
              <w:t>O</w:t>
            </w:r>
          </w:p>
        </w:tc>
        <w:tc>
          <w:tcPr>
            <w:tcW w:w="2610" w:type="dxa"/>
          </w:tcPr>
          <w:p w14:paraId="3A55DB7B" w14:textId="77777777" w:rsidR="00F51113" w:rsidRPr="004C2DCD" w:rsidRDefault="00F51113">
            <w:pPr>
              <w:pStyle w:val="TableText"/>
              <w:spacing w:before="40" w:after="40"/>
              <w:rPr>
                <w:rFonts w:cs="Calibri"/>
                <w:szCs w:val="18"/>
                <w:lang w:val="en-NZ"/>
              </w:rPr>
            </w:pPr>
            <w:r w:rsidRPr="004C2DCD">
              <w:rPr>
                <w:rFonts w:cs="Calibri"/>
                <w:szCs w:val="18"/>
                <w:lang w:val="en-NZ"/>
              </w:rPr>
              <w:t>Uses activity data modelled for farm fills, noting that half of the activity data are landfilled and half are burned</w:t>
            </w:r>
          </w:p>
        </w:tc>
        <w:tc>
          <w:tcPr>
            <w:tcW w:w="1915" w:type="dxa"/>
          </w:tcPr>
          <w:p w14:paraId="0AD1D2E1" w14:textId="77777777" w:rsidR="00F51113" w:rsidRPr="004C2DCD" w:rsidRDefault="00F51113">
            <w:pPr>
              <w:pStyle w:val="TableText"/>
              <w:spacing w:before="40" w:after="40"/>
              <w:rPr>
                <w:rFonts w:cs="Calibri"/>
                <w:szCs w:val="18"/>
                <w:lang w:val="en-NZ"/>
              </w:rPr>
            </w:pPr>
            <w:r w:rsidRPr="004C2DCD">
              <w:rPr>
                <w:rFonts w:cs="Calibri"/>
                <w:szCs w:val="18"/>
                <w:lang w:val="en-NZ"/>
              </w:rPr>
              <w:t>Simple, consistent with the Greenhouse Gas Inventory</w:t>
            </w:r>
          </w:p>
        </w:tc>
        <w:tc>
          <w:tcPr>
            <w:tcW w:w="1714" w:type="dxa"/>
          </w:tcPr>
          <w:p w14:paraId="2E93C95F" w14:textId="77777777" w:rsidR="00F51113" w:rsidRPr="004C2DCD" w:rsidRDefault="00F51113">
            <w:pPr>
              <w:pStyle w:val="TableText"/>
              <w:spacing w:before="40" w:after="40"/>
              <w:rPr>
                <w:rFonts w:cs="Calibri"/>
                <w:szCs w:val="18"/>
                <w:lang w:val="en-NZ"/>
              </w:rPr>
            </w:pPr>
            <w:r w:rsidRPr="004C2DCD">
              <w:rPr>
                <w:rFonts w:cs="Calibri"/>
                <w:szCs w:val="18"/>
                <w:lang w:val="en-NZ"/>
              </w:rPr>
              <w:t>Assumes the same amounts of waste are burned and buried</w:t>
            </w:r>
          </w:p>
        </w:tc>
      </w:tr>
      <w:tr w:rsidR="00F51113" w:rsidRPr="004C2DCD" w14:paraId="183746D8" w14:textId="77777777">
        <w:tc>
          <w:tcPr>
            <w:tcW w:w="1426" w:type="dxa"/>
          </w:tcPr>
          <w:p w14:paraId="1B9DB4A6" w14:textId="77777777" w:rsidR="00F51113" w:rsidRPr="004C2DCD" w:rsidRDefault="00F51113">
            <w:pPr>
              <w:pStyle w:val="TableText"/>
              <w:spacing w:before="40" w:after="40"/>
              <w:rPr>
                <w:rFonts w:cs="Calibri"/>
                <w:szCs w:val="18"/>
                <w:lang w:val="en-NZ"/>
              </w:rPr>
            </w:pPr>
            <w:r w:rsidRPr="004C2DCD">
              <w:rPr>
                <w:rFonts w:cs="Calibri"/>
                <w:szCs w:val="18"/>
                <w:lang w:val="en-NZ"/>
              </w:rPr>
              <w:t>Domestic wastewater</w:t>
            </w:r>
          </w:p>
        </w:tc>
        <w:tc>
          <w:tcPr>
            <w:tcW w:w="840" w:type="dxa"/>
          </w:tcPr>
          <w:p w14:paraId="0C28045F" w14:textId="77777777" w:rsidR="00F51113" w:rsidRPr="004C2DCD" w:rsidRDefault="00F51113">
            <w:pPr>
              <w:pStyle w:val="TableText"/>
              <w:spacing w:before="40" w:after="40"/>
              <w:rPr>
                <w:rFonts w:cs="Calibri"/>
                <w:szCs w:val="18"/>
                <w:lang w:val="en-NZ"/>
              </w:rPr>
            </w:pPr>
            <w:r w:rsidRPr="004C2DCD">
              <w:rPr>
                <w:rFonts w:cs="Calibri"/>
                <w:szCs w:val="18"/>
                <w:lang w:val="en-NZ"/>
              </w:rPr>
              <w:t>CH</w:t>
            </w:r>
            <w:r w:rsidRPr="004C2DCD">
              <w:rPr>
                <w:rFonts w:cs="Calibri"/>
                <w:szCs w:val="18"/>
                <w:vertAlign w:val="subscript"/>
                <w:lang w:val="en-NZ"/>
              </w:rPr>
              <w:t>4</w:t>
            </w:r>
            <w:r w:rsidRPr="004C2DCD">
              <w:rPr>
                <w:rFonts w:cs="Calibri"/>
                <w:szCs w:val="18"/>
                <w:lang w:val="en-NZ"/>
              </w:rPr>
              <w:t>, N</w:t>
            </w:r>
            <w:r w:rsidRPr="004C2DCD">
              <w:rPr>
                <w:rFonts w:cs="Calibri"/>
                <w:szCs w:val="18"/>
                <w:vertAlign w:val="subscript"/>
                <w:lang w:val="en-NZ"/>
              </w:rPr>
              <w:t>2</w:t>
            </w:r>
            <w:r w:rsidRPr="004C2DCD">
              <w:rPr>
                <w:rFonts w:cs="Calibri"/>
                <w:szCs w:val="18"/>
                <w:lang w:val="en-NZ"/>
              </w:rPr>
              <w:t>O</w:t>
            </w:r>
          </w:p>
        </w:tc>
        <w:tc>
          <w:tcPr>
            <w:tcW w:w="2610" w:type="dxa"/>
          </w:tcPr>
          <w:p w14:paraId="763C6F99" w14:textId="7145DA70" w:rsidR="00F51113" w:rsidRPr="004C2DCD" w:rsidRDefault="00F51113">
            <w:pPr>
              <w:pStyle w:val="TableText"/>
              <w:spacing w:before="40" w:after="40"/>
              <w:rPr>
                <w:rFonts w:cs="Calibri"/>
                <w:szCs w:val="18"/>
                <w:lang w:val="en-NZ"/>
              </w:rPr>
            </w:pPr>
            <w:r w:rsidRPr="004C2DCD">
              <w:rPr>
                <w:rFonts w:cs="Calibri"/>
                <w:szCs w:val="18"/>
                <w:lang w:val="en-NZ"/>
              </w:rPr>
              <w:t>The quantity of domestic wastewater is dependent on the national population, using the latest emission factor as calculated in the Inventory, which is held constant for projections</w:t>
            </w:r>
          </w:p>
        </w:tc>
        <w:tc>
          <w:tcPr>
            <w:tcW w:w="1915" w:type="dxa"/>
          </w:tcPr>
          <w:p w14:paraId="07923E8A" w14:textId="77777777" w:rsidR="00F51113" w:rsidRPr="004C2DCD" w:rsidRDefault="00F51113">
            <w:pPr>
              <w:pStyle w:val="TableText"/>
              <w:spacing w:before="40" w:after="40"/>
              <w:rPr>
                <w:rFonts w:cs="Calibri"/>
                <w:szCs w:val="18"/>
                <w:lang w:val="en-NZ"/>
              </w:rPr>
            </w:pPr>
            <w:r w:rsidRPr="004C2DCD">
              <w:rPr>
                <w:rFonts w:cs="Calibri"/>
                <w:szCs w:val="18"/>
                <w:lang w:val="en-NZ"/>
              </w:rPr>
              <w:t>Uses Inventory methods and reflects projected population changes</w:t>
            </w:r>
          </w:p>
        </w:tc>
        <w:tc>
          <w:tcPr>
            <w:tcW w:w="1714" w:type="dxa"/>
          </w:tcPr>
          <w:p w14:paraId="1075F4A6" w14:textId="77777777" w:rsidR="00F51113" w:rsidRPr="004C2DCD" w:rsidRDefault="00F51113">
            <w:pPr>
              <w:pStyle w:val="TableText"/>
              <w:spacing w:before="40" w:after="40"/>
              <w:rPr>
                <w:rFonts w:cs="Calibri"/>
                <w:szCs w:val="18"/>
                <w:lang w:val="en-NZ"/>
              </w:rPr>
            </w:pPr>
            <w:r w:rsidRPr="004C2DCD">
              <w:rPr>
                <w:rFonts w:cs="Calibri"/>
                <w:szCs w:val="18"/>
                <w:lang w:val="en-NZ"/>
              </w:rPr>
              <w:t>Assumes no changes in wastewater treatment processes</w:t>
            </w:r>
          </w:p>
        </w:tc>
      </w:tr>
      <w:tr w:rsidR="00F51113" w:rsidRPr="004C2DCD" w14:paraId="64BCD9E5" w14:textId="77777777">
        <w:tc>
          <w:tcPr>
            <w:tcW w:w="1426" w:type="dxa"/>
          </w:tcPr>
          <w:p w14:paraId="1BA58B56" w14:textId="77777777" w:rsidR="00F51113" w:rsidRPr="004C2DCD" w:rsidRDefault="00F51113">
            <w:pPr>
              <w:pStyle w:val="TableText"/>
              <w:spacing w:before="40" w:after="40"/>
              <w:rPr>
                <w:rFonts w:cs="Calibri"/>
                <w:szCs w:val="18"/>
                <w:lang w:val="en-NZ"/>
              </w:rPr>
            </w:pPr>
            <w:r w:rsidRPr="004C2DCD">
              <w:rPr>
                <w:rFonts w:cs="Calibri"/>
                <w:szCs w:val="18"/>
                <w:lang w:val="en-NZ"/>
              </w:rPr>
              <w:t>Industrial wastewater</w:t>
            </w:r>
          </w:p>
        </w:tc>
        <w:tc>
          <w:tcPr>
            <w:tcW w:w="840" w:type="dxa"/>
          </w:tcPr>
          <w:p w14:paraId="38DF24EE" w14:textId="77777777" w:rsidR="00F51113" w:rsidRPr="004C2DCD" w:rsidRDefault="00F51113">
            <w:pPr>
              <w:pStyle w:val="TableText"/>
              <w:spacing w:before="40" w:after="40"/>
              <w:rPr>
                <w:rFonts w:cs="Calibri"/>
                <w:szCs w:val="18"/>
                <w:lang w:val="en-NZ"/>
              </w:rPr>
            </w:pPr>
            <w:r w:rsidRPr="004C2DCD">
              <w:rPr>
                <w:rFonts w:cs="Calibri"/>
                <w:szCs w:val="18"/>
                <w:lang w:val="en-NZ"/>
              </w:rPr>
              <w:t>CH</w:t>
            </w:r>
            <w:r w:rsidRPr="004C2DCD">
              <w:rPr>
                <w:rFonts w:cs="Calibri"/>
                <w:szCs w:val="18"/>
                <w:vertAlign w:val="subscript"/>
                <w:lang w:val="en-NZ"/>
              </w:rPr>
              <w:t>4</w:t>
            </w:r>
            <w:r w:rsidRPr="004C2DCD">
              <w:rPr>
                <w:rFonts w:cs="Calibri"/>
                <w:szCs w:val="18"/>
                <w:lang w:val="en-NZ"/>
              </w:rPr>
              <w:t>, N</w:t>
            </w:r>
            <w:r w:rsidRPr="004C2DCD">
              <w:rPr>
                <w:rFonts w:cs="Calibri"/>
                <w:szCs w:val="18"/>
                <w:vertAlign w:val="subscript"/>
                <w:lang w:val="en-NZ"/>
              </w:rPr>
              <w:t>2</w:t>
            </w:r>
            <w:r w:rsidRPr="004C2DCD">
              <w:rPr>
                <w:rFonts w:cs="Calibri"/>
                <w:szCs w:val="18"/>
                <w:lang w:val="en-NZ"/>
              </w:rPr>
              <w:t>O</w:t>
            </w:r>
          </w:p>
        </w:tc>
        <w:tc>
          <w:tcPr>
            <w:tcW w:w="2610" w:type="dxa"/>
          </w:tcPr>
          <w:p w14:paraId="63988B43" w14:textId="77777777" w:rsidR="00F51113" w:rsidRPr="004C2DCD" w:rsidRDefault="00F51113">
            <w:pPr>
              <w:pStyle w:val="TableText"/>
              <w:spacing w:before="40" w:after="40"/>
              <w:rPr>
                <w:rFonts w:cs="Calibri"/>
                <w:szCs w:val="18"/>
                <w:lang w:val="en-NZ"/>
              </w:rPr>
            </w:pPr>
            <w:r w:rsidRPr="004C2DCD">
              <w:rPr>
                <w:rFonts w:cs="Calibri"/>
                <w:szCs w:val="18"/>
                <w:lang w:val="en-NZ"/>
              </w:rPr>
              <w:t>The quantity of industrial wastewater is dependent on industrial production. Projected production for meat and dairy industries is based on projected industry data. The remaining industries are held constant at 2022 levels</w:t>
            </w:r>
          </w:p>
        </w:tc>
        <w:tc>
          <w:tcPr>
            <w:tcW w:w="1915" w:type="dxa"/>
          </w:tcPr>
          <w:p w14:paraId="6E236A25" w14:textId="77777777" w:rsidR="00F51113" w:rsidRPr="004C2DCD" w:rsidRDefault="00F51113">
            <w:pPr>
              <w:pStyle w:val="TableText"/>
              <w:spacing w:before="40" w:after="40"/>
              <w:rPr>
                <w:rFonts w:cs="Calibri"/>
                <w:szCs w:val="18"/>
                <w:lang w:val="en-NZ"/>
              </w:rPr>
            </w:pPr>
            <w:r w:rsidRPr="004C2DCD">
              <w:rPr>
                <w:rFonts w:cs="Calibri"/>
                <w:szCs w:val="18"/>
                <w:lang w:val="en-NZ"/>
              </w:rPr>
              <w:t>Tracks known changes in activity in accordance with the Greenhouse Gas Inventory</w:t>
            </w:r>
          </w:p>
        </w:tc>
        <w:tc>
          <w:tcPr>
            <w:tcW w:w="1714" w:type="dxa"/>
          </w:tcPr>
          <w:p w14:paraId="5FAC015B" w14:textId="77777777" w:rsidR="00F51113" w:rsidRPr="004C2DCD" w:rsidRDefault="00F51113">
            <w:pPr>
              <w:pStyle w:val="TableText"/>
              <w:spacing w:before="40" w:after="40"/>
              <w:rPr>
                <w:rFonts w:cs="Calibri"/>
                <w:szCs w:val="18"/>
                <w:lang w:val="en-NZ"/>
              </w:rPr>
            </w:pPr>
            <w:r w:rsidRPr="004C2DCD">
              <w:rPr>
                <w:rFonts w:cs="Calibri"/>
                <w:szCs w:val="18"/>
                <w:lang w:val="en-NZ"/>
              </w:rPr>
              <w:t>Assumes emission factors and some activity data are constant</w:t>
            </w:r>
          </w:p>
        </w:tc>
      </w:tr>
    </w:tbl>
    <w:p w14:paraId="3C001E3A" w14:textId="77777777" w:rsidR="00F51113" w:rsidRPr="004C2DCD" w:rsidRDefault="00F51113" w:rsidP="00F51113">
      <w:pPr>
        <w:pStyle w:val="Note"/>
        <w:rPr>
          <w:rStyle w:val="NoteChar"/>
        </w:rPr>
      </w:pPr>
      <w:r w:rsidRPr="004C2DCD">
        <w:rPr>
          <w:b/>
          <w:bCs/>
        </w:rPr>
        <w:t>Note:</w:t>
      </w:r>
      <w:r w:rsidRPr="004C2DCD">
        <w:t xml:space="preserve"> CH</w:t>
      </w:r>
      <w:r w:rsidRPr="004C2DCD">
        <w:rPr>
          <w:vertAlign w:val="subscript"/>
        </w:rPr>
        <w:t>4</w:t>
      </w:r>
      <w:r w:rsidRPr="004C2DCD">
        <w:t xml:space="preserve"> = methane; CO</w:t>
      </w:r>
      <w:r w:rsidRPr="004C2DCD">
        <w:rPr>
          <w:vertAlign w:val="subscript"/>
        </w:rPr>
        <w:t>2</w:t>
      </w:r>
      <w:r w:rsidRPr="004C2DCD">
        <w:t xml:space="preserve"> = carbon dioxide; GDP = gross domestic product; </w:t>
      </w:r>
      <w:r w:rsidRPr="004C2DCD">
        <w:rPr>
          <w:rFonts w:cs="Calibri"/>
          <w:szCs w:val="18"/>
        </w:rPr>
        <w:t xml:space="preserve">IPCC = Intergovernmental Panel on Climate Change; </w:t>
      </w:r>
      <w:r w:rsidRPr="004C2DCD">
        <w:t>N</w:t>
      </w:r>
      <w:r w:rsidRPr="004C2DCD">
        <w:rPr>
          <w:vertAlign w:val="subscript"/>
        </w:rPr>
        <w:t>2</w:t>
      </w:r>
      <w:r w:rsidRPr="004C2DCD">
        <w:t>O =</w:t>
      </w:r>
      <w:r w:rsidRPr="004C2DCD">
        <w:rPr>
          <w:rFonts w:eastAsia="Calibri" w:cs="Calibri"/>
          <w:sz w:val="20"/>
          <w:szCs w:val="20"/>
        </w:rPr>
        <w:t xml:space="preserve"> </w:t>
      </w:r>
      <w:r w:rsidRPr="004C2DCD">
        <w:rPr>
          <w:rStyle w:val="NoteChar"/>
        </w:rPr>
        <w:t>nitrous oxide.</w:t>
      </w:r>
    </w:p>
    <w:p w14:paraId="6B947075" w14:textId="7691410B" w:rsidR="00F51113" w:rsidRPr="004C2DCD" w:rsidRDefault="002B5D7A" w:rsidP="00F51113">
      <w:pPr>
        <w:pStyle w:val="Heading4"/>
      </w:pPr>
      <w:r>
        <w:t>2.5.5.3.7</w:t>
      </w:r>
      <w:r>
        <w:tab/>
      </w:r>
      <w:r w:rsidR="00F51113" w:rsidRPr="004C2DCD">
        <w:t>Tokelau</w:t>
      </w:r>
    </w:p>
    <w:p w14:paraId="38AB2D18" w14:textId="77777777" w:rsidR="00F51113" w:rsidRPr="004C2DCD" w:rsidRDefault="00F51113" w:rsidP="00F51113">
      <w:pPr>
        <w:pStyle w:val="Heading5"/>
      </w:pPr>
      <w:r w:rsidRPr="004C2DCD">
        <w:t>Methodology</w:t>
      </w:r>
    </w:p>
    <w:p w14:paraId="19EDBD79" w14:textId="77777777" w:rsidR="00F51113" w:rsidRPr="004C2DCD" w:rsidRDefault="00F51113" w:rsidP="00F51113">
      <w:pPr>
        <w:pStyle w:val="BodyText"/>
      </w:pPr>
      <w:r w:rsidRPr="004C2DCD">
        <w:t xml:space="preserve">Tokelau’s emissions were projected using a hybrid of a top-down and bottom-up approach. The model used is an extension of the Inventory model and assumptions on future emissions trends were made. </w:t>
      </w:r>
    </w:p>
    <w:p w14:paraId="508A96EF" w14:textId="77777777" w:rsidR="00F51113" w:rsidRPr="004C2DCD" w:rsidRDefault="00F51113" w:rsidP="00F51113">
      <w:pPr>
        <w:pStyle w:val="Heading5"/>
      </w:pPr>
      <w:bookmarkStart w:id="605" w:name="_Toc169616478"/>
      <w:bookmarkStart w:id="606" w:name="_Toc169616519"/>
      <w:bookmarkStart w:id="607" w:name="_Toc169616544"/>
      <w:bookmarkStart w:id="608" w:name="_Toc169620184"/>
      <w:bookmarkStart w:id="609" w:name="_Toc164252810"/>
      <w:r w:rsidRPr="004C2DCD">
        <w:t>Strengths and weaknesses of models or approach </w:t>
      </w:r>
    </w:p>
    <w:p w14:paraId="6FCD2FB4" w14:textId="77777777" w:rsidR="00F51113" w:rsidRPr="004C2DCD" w:rsidRDefault="00F51113" w:rsidP="00F51113">
      <w:pPr>
        <w:pStyle w:val="BodyText"/>
        <w:rPr>
          <w:rFonts w:ascii="Georgia" w:eastAsiaTheme="majorEastAsia" w:hAnsi="Georgia" w:cstheme="majorBidi"/>
          <w:b/>
          <w:bCs/>
          <w:color w:val="1B556B"/>
          <w:sz w:val="36"/>
          <w:szCs w:val="26"/>
        </w:rPr>
      </w:pPr>
      <w:r w:rsidRPr="004C2DCD">
        <w:t>The model used for Tokelau’s emissions projection uses a hybrid of a top-down and bottom-up approach, which includes the use of time series activity data and sector-specific assumptions. There is a high degree of uncertainty in assumptions made for future trends in each sector that are</w:t>
      </w:r>
      <w:r w:rsidRPr="004C2DCD" w:rsidDel="000A7315">
        <w:t xml:space="preserve"> </w:t>
      </w:r>
      <w:r w:rsidRPr="004C2DCD">
        <w:t>based on a combination of historic trends and/or expert opinion on future emissions trends. For example, future public electricity and heat emissions are highly dependent on solar panels being operational again.</w:t>
      </w:r>
    </w:p>
    <w:p w14:paraId="2DAC0746" w14:textId="77563777" w:rsidR="00F51113" w:rsidRPr="004C2DCD" w:rsidRDefault="002B5D7A" w:rsidP="00F51113">
      <w:pPr>
        <w:pStyle w:val="Heading4"/>
      </w:pPr>
      <w:r>
        <w:t>2.5.5.3.8</w:t>
      </w:r>
      <w:r>
        <w:tab/>
      </w:r>
      <w:r w:rsidR="00B67BC9">
        <w:t>Land Use, Land-Use Change and Forestry</w:t>
      </w:r>
    </w:p>
    <w:p w14:paraId="3B9FDE13" w14:textId="77777777" w:rsidR="00F51113" w:rsidRPr="004C2DCD" w:rsidRDefault="00F51113" w:rsidP="00F51113">
      <w:pPr>
        <w:pStyle w:val="Heading5"/>
      </w:pPr>
      <w:r w:rsidRPr="004C2DCD">
        <w:t>Methodology</w:t>
      </w:r>
    </w:p>
    <w:p w14:paraId="7F1749FA" w14:textId="7DBE93B9" w:rsidR="00F51113" w:rsidRPr="004C2DCD" w:rsidRDefault="00F51113" w:rsidP="00F51113">
      <w:pPr>
        <w:pStyle w:val="BodyText"/>
      </w:pPr>
      <w:r w:rsidRPr="004C2DCD">
        <w:t>Projected emissions and removals from the LULUCF sector are calculated using methodologies consistent with those used within Inventory 2024.</w:t>
      </w:r>
      <w:r w:rsidRPr="004C2DCD">
        <w:rPr>
          <w:vertAlign w:val="superscript"/>
        </w:rPr>
        <w:footnoteReference w:id="190"/>
      </w:r>
      <w:r w:rsidRPr="004C2DCD">
        <w:t xml:space="preserve"> Activity data and emission factors used in Inventory 2024 comprise the historical time series (1990 to 2022) used in this report. The modelling takes a bottom-up approach to projecting the WEM projections. Each LULUCF policy and measure is calculated on an individual basis using a bottom-up approach. </w:t>
      </w:r>
    </w:p>
    <w:p w14:paraId="3B7DFC2C" w14:textId="77777777" w:rsidR="00F51113" w:rsidRPr="007211FD" w:rsidRDefault="00F51113" w:rsidP="007211FD">
      <w:pPr>
        <w:pStyle w:val="Heading6"/>
      </w:pPr>
      <w:r w:rsidRPr="007211FD">
        <w:t>Main assumptions </w:t>
      </w:r>
    </w:p>
    <w:p w14:paraId="6B4003AA" w14:textId="77777777" w:rsidR="00F51113" w:rsidRPr="004C2DCD" w:rsidRDefault="00F51113" w:rsidP="00F51113">
      <w:pPr>
        <w:pStyle w:val="BodyText"/>
      </w:pPr>
      <w:r w:rsidRPr="004C2DCD">
        <w:t xml:space="preserve">The main drivers and assumptions used in the LULUCF projections are detailed below. </w:t>
      </w:r>
    </w:p>
    <w:p w14:paraId="11D98F3D" w14:textId="77777777" w:rsidR="00F51113" w:rsidRPr="004C2DCD" w:rsidRDefault="00F51113" w:rsidP="00F51113">
      <w:pPr>
        <w:pStyle w:val="Heading5"/>
      </w:pPr>
      <w:r w:rsidRPr="004C2DCD">
        <w:t xml:space="preserve">Pre-1990 natural forests </w:t>
      </w:r>
    </w:p>
    <w:p w14:paraId="6258E203" w14:textId="05CF6C79" w:rsidR="00F51113" w:rsidRPr="004C2DCD" w:rsidRDefault="00F51113" w:rsidP="00F51113">
      <w:pPr>
        <w:pStyle w:val="BodyText"/>
      </w:pPr>
      <w:r w:rsidRPr="004C2DCD">
        <w:t>New Zealand’s pre-1990 natural forest is separated into two sub-categories: pre-1990 regenerating forest and pre-1990 tall forest. Carbon stock changes of these forest categories are reported in the Inventory. In 2022</w:t>
      </w:r>
      <w:r w:rsidR="00236CCF">
        <w:t>,</w:t>
      </w:r>
      <w:r w:rsidRPr="004C2DCD">
        <w:t xml:space="preserve"> the pre-1990 natural forest estate was a net sink, sequestering around –1.44 Mt CO</w:t>
      </w:r>
      <w:r w:rsidRPr="004C2DCD">
        <w:rPr>
          <w:vertAlign w:val="subscript"/>
        </w:rPr>
        <w:t>2</w:t>
      </w:r>
      <w:r w:rsidRPr="004C2DCD">
        <w:t xml:space="preserve">. The regenerating component of the pre-1990 forest estate was a net sink whereas the tall forest component was a net source of emissions. </w:t>
      </w:r>
    </w:p>
    <w:p w14:paraId="06E3788A" w14:textId="77777777" w:rsidR="00F51113" w:rsidRPr="004C2DCD" w:rsidRDefault="00F51113" w:rsidP="00F51113">
      <w:pPr>
        <w:pStyle w:val="BodyText"/>
      </w:pPr>
      <w:r w:rsidRPr="004C2DCD">
        <w:t>Activity data and emission factors for New Zealand’s pre-1990 natural forest from the Inventory are used for the historical time series 1990 to 2022. Pre-1990 natural forest projections from 2023 to 2035 assume the continued rate of change for pre-1990 tall and regenerating natural forests.</w:t>
      </w:r>
      <w:r w:rsidRPr="004C2DCD">
        <w:rPr>
          <w:vertAlign w:val="superscript"/>
        </w:rPr>
        <w:footnoteReference w:id="191"/>
      </w:r>
      <w:r w:rsidRPr="004C2DCD">
        <w:t xml:space="preserve"> </w:t>
      </w:r>
    </w:p>
    <w:p w14:paraId="5F940BBD" w14:textId="0E3816C3" w:rsidR="00F51113" w:rsidRPr="004C2DCD" w:rsidRDefault="00F51113" w:rsidP="00F51113">
      <w:pPr>
        <w:pStyle w:val="BodyText"/>
      </w:pPr>
      <w:r w:rsidRPr="004C2DCD">
        <w:t>The rate of carbon stock change in pre-1990 tall forest is –0.01 ± 0.19 tonnes of carbon per</w:t>
      </w:r>
      <w:r w:rsidR="003038F0">
        <w:t> </w:t>
      </w:r>
      <w:r w:rsidRPr="004C2DCD">
        <w:t>hectare per year, while for pre-1990 regenerating forest, the rate of change is 0.43</w:t>
      </w:r>
      <w:r w:rsidR="003038F0">
        <w:t> </w:t>
      </w:r>
      <w:r w:rsidRPr="004C2DCD">
        <w:t>±</w:t>
      </w:r>
      <w:r w:rsidR="003038F0">
        <w:t> </w:t>
      </w:r>
      <w:r w:rsidRPr="004C2DCD">
        <w:t>0.51</w:t>
      </w:r>
      <w:r w:rsidR="003038F0">
        <w:t> </w:t>
      </w:r>
      <w:r w:rsidRPr="004C2DCD">
        <w:t>tonnes of carbon per hectare per year. The uncertainty in the report’s estimate has</w:t>
      </w:r>
      <w:r w:rsidR="003038F0">
        <w:t> </w:t>
      </w:r>
      <w:r w:rsidRPr="004C2DCD">
        <w:t>been</w:t>
      </w:r>
      <w:r w:rsidR="003038F0">
        <w:t> </w:t>
      </w:r>
      <w:r w:rsidRPr="004C2DCD">
        <w:t>applied to the lower and upper removal scenarios to represent sensitivity in measurement, sampling and model uncertainty.</w:t>
      </w:r>
    </w:p>
    <w:p w14:paraId="4D93480C" w14:textId="77777777" w:rsidR="00F51113" w:rsidRPr="004C2DCD" w:rsidRDefault="00F51113" w:rsidP="00F51113">
      <w:pPr>
        <w:pStyle w:val="Heading5"/>
      </w:pPr>
      <w:r w:rsidRPr="004C2DCD">
        <w:t xml:space="preserve">Pre-1990 planted forest and sustainable forest harvesting </w:t>
      </w:r>
    </w:p>
    <w:p w14:paraId="263FCDE7" w14:textId="77777777" w:rsidR="00F51113" w:rsidRPr="004C2DCD" w:rsidRDefault="00F51113" w:rsidP="00F51113">
      <w:pPr>
        <w:pStyle w:val="BodyText"/>
      </w:pPr>
      <w:r w:rsidRPr="004C2DCD">
        <w:t>In 1990, pre-1990 planted forests were a net sink, sequestering around –22.3 Mt CO</w:t>
      </w:r>
      <w:r w:rsidRPr="004C2DCD">
        <w:rPr>
          <w:vertAlign w:val="subscript"/>
        </w:rPr>
        <w:t>2</w:t>
      </w:r>
      <w:r w:rsidRPr="004C2DCD">
        <w:t>. This has decreased to around –12.6 Mt CO</w:t>
      </w:r>
      <w:r w:rsidRPr="004C2DCD">
        <w:rPr>
          <w:vertAlign w:val="subscript"/>
        </w:rPr>
        <w:t>2</w:t>
      </w:r>
      <w:r w:rsidRPr="004C2DCD">
        <w:t xml:space="preserve"> in 2022, due to an increase in rates of harvesting. The activity data and emission factors from Inventory 2024,</w:t>
      </w:r>
      <w:r w:rsidRPr="004C2DCD">
        <w:rPr>
          <w:vertAlign w:val="superscript"/>
        </w:rPr>
        <w:footnoteReference w:id="192"/>
      </w:r>
      <w:r w:rsidRPr="004C2DCD">
        <w:t xml:space="preserve"> combined with projections of harvesting and replanting, are used to determine pre-1990 planted forest emissions and removals from 2023 to 2050. </w:t>
      </w:r>
    </w:p>
    <w:p w14:paraId="78CACCB7" w14:textId="77777777" w:rsidR="00F51113" w:rsidRPr="004C2DCD" w:rsidRDefault="00F51113" w:rsidP="00F51113">
      <w:pPr>
        <w:pStyle w:val="BodyText"/>
      </w:pPr>
      <w:r w:rsidRPr="004C2DCD">
        <w:t xml:space="preserve">Projections of pre-1990 planted forest harvest are sourced from the </w:t>
      </w:r>
      <w:r w:rsidRPr="004C2DCD">
        <w:rPr>
          <w:i/>
          <w:iCs/>
        </w:rPr>
        <w:t>Wood Availability Forecast – New Zealand 2021 to 2050</w:t>
      </w:r>
      <w:r w:rsidRPr="004C2DCD">
        <w:t xml:space="preserve"> (the Wood Availability Forecast).</w:t>
      </w:r>
      <w:r w:rsidRPr="004C2DCD">
        <w:rPr>
          <w:vertAlign w:val="superscript"/>
        </w:rPr>
        <w:footnoteReference w:id="193"/>
      </w:r>
      <w:r w:rsidRPr="004C2DCD">
        <w:t xml:space="preserve"> Almost all forest harvesting in New Zealand (99.9 per cent) occurs in planted production forests.</w:t>
      </w:r>
      <w:r w:rsidRPr="004C2DCD">
        <w:rPr>
          <w:vertAlign w:val="superscript"/>
        </w:rPr>
        <w:footnoteReference w:id="194"/>
      </w:r>
      <w:r w:rsidRPr="004C2DCD">
        <w:t xml:space="preserve"> Planted forest harvesting area, age and net emissions from 1990 to 2022 are sourced from Inventory 2024. Projections are modelled from historical forest plantings and assume a target rotation length of 28 years to 30 years. </w:t>
      </w:r>
    </w:p>
    <w:p w14:paraId="171C725B" w14:textId="77777777" w:rsidR="00F51113" w:rsidRPr="004C2DCD" w:rsidRDefault="00F51113" w:rsidP="00F51113">
      <w:pPr>
        <w:pStyle w:val="Heading5"/>
      </w:pPr>
      <w:r w:rsidRPr="004C2DCD">
        <w:t xml:space="preserve">Afforestation and sustainable forest harvesting </w:t>
      </w:r>
    </w:p>
    <w:p w14:paraId="395BD9DC" w14:textId="77777777" w:rsidR="00F51113" w:rsidRPr="004C2DCD" w:rsidRDefault="00F51113" w:rsidP="003038F0">
      <w:pPr>
        <w:pStyle w:val="BodyText"/>
        <w:spacing w:before="100" w:after="100"/>
      </w:pPr>
      <w:r w:rsidRPr="004C2DCD">
        <w:t xml:space="preserve">Historical post-1989 forest activity data and emission factors are sourced from Inventory 2024. Estimated post-1989 planted forest age-class data from Inventory 2024 are combined with projected afforestation scenarios from 2023, and the 2021 Wood Availability Forecast, to estimate emissions and removals out to 2050. The 2021 Wood Availability Forecast indicates that harvest levels will increase over the 2020s, which is reflected in the LULUCF projections of higher net emissions over this period. </w:t>
      </w:r>
    </w:p>
    <w:p w14:paraId="13C1ADBB" w14:textId="77777777" w:rsidR="00F51113" w:rsidRPr="004C2DCD" w:rsidRDefault="00F51113" w:rsidP="003038F0">
      <w:pPr>
        <w:pStyle w:val="BodyText"/>
        <w:spacing w:before="100" w:after="100"/>
      </w:pPr>
      <w:r w:rsidRPr="004C2DCD">
        <w:t>Projected afforestation scenarios from 2023 onwards are based on the University of Canterbury’s School of Forestry report, 2021 and 2023 Afforestation and Deforestation Intentions Survey, for the upper, central and lower removal scenarios respectively.</w:t>
      </w:r>
      <w:r w:rsidRPr="004C2DCD">
        <w:rPr>
          <w:vertAlign w:val="superscript"/>
        </w:rPr>
        <w:footnoteReference w:id="195"/>
      </w:r>
      <w:r w:rsidRPr="004C2DCD">
        <w:t xml:space="preserve"> The 2023 report shows exotic afforestation intentions estimated at 58,400 hectares in 2023 and intentions to establish 45,400 hectares in 2024. The survey also reported native forest afforestation estimated at 7,800 hectares in 2023 and intentions of 9,000 hectares in 2024, which then decreased to around 6,000 hectares per year by 2025. </w:t>
      </w:r>
    </w:p>
    <w:p w14:paraId="0832AC7D" w14:textId="77777777" w:rsidR="00F51113" w:rsidRPr="004C2DCD" w:rsidRDefault="00F51113" w:rsidP="00F51113">
      <w:pPr>
        <w:pStyle w:val="Heading5"/>
      </w:pPr>
      <w:r w:rsidRPr="004C2DCD">
        <w:t xml:space="preserve">Harvested wood products </w:t>
      </w:r>
    </w:p>
    <w:p w14:paraId="1B0FEAD0" w14:textId="77777777" w:rsidR="00F51113" w:rsidRPr="004C2DCD" w:rsidRDefault="00F51113" w:rsidP="003038F0">
      <w:pPr>
        <w:pStyle w:val="BodyText"/>
        <w:spacing w:before="100" w:after="100"/>
      </w:pPr>
      <w:r w:rsidRPr="004C2DCD">
        <w:t>New Zealand’s planted forests are dominated by radiata pine. Its wood is used in a range of applications including timber-frame construction, packaging, plywood, medium-density fibreboard, posts and poles, and mechanical and chemical pulping. The methodology used to estimate net emissions from harvested wood products over the projected period can be found in the Inventory.</w:t>
      </w:r>
    </w:p>
    <w:p w14:paraId="4CAFF844" w14:textId="77777777" w:rsidR="00F51113" w:rsidRPr="004C2DCD" w:rsidRDefault="00F51113" w:rsidP="003038F0">
      <w:pPr>
        <w:pStyle w:val="BodyText"/>
        <w:spacing w:before="100" w:after="100"/>
      </w:pPr>
      <w:r w:rsidRPr="004C2DCD">
        <w:t>Harvested wood product projections are based on the amount of timber expected to be produced from the projected harvesting rates. The uncertainty in these estimates is predominantly driven by the uncertainty in harvest projections, changes to current export or domestic product demand and updated carbon decay functions.</w:t>
      </w:r>
    </w:p>
    <w:p w14:paraId="15D42637" w14:textId="77777777" w:rsidR="00F51113" w:rsidRPr="004C2DCD" w:rsidRDefault="00F51113" w:rsidP="00F51113">
      <w:pPr>
        <w:pStyle w:val="Heading5"/>
      </w:pPr>
      <w:r w:rsidRPr="004C2DCD">
        <w:t>Deforestation</w:t>
      </w:r>
    </w:p>
    <w:p w14:paraId="06CAD9D6" w14:textId="77777777" w:rsidR="00F51113" w:rsidRPr="004C2DCD" w:rsidRDefault="00F51113" w:rsidP="00F51113">
      <w:pPr>
        <w:pStyle w:val="BodyText"/>
        <w:rPr>
          <w:vertAlign w:val="superscript"/>
        </w:rPr>
      </w:pPr>
      <w:r w:rsidRPr="004C2DCD">
        <w:t>Historical planted and natural forest deforestation activity data and emission factors are sourced from the Inventory. Projections of planted production forest deforestation are sourced from the 2023 Afforestation and Deforestation Intentions Survey.</w:t>
      </w:r>
      <w:r w:rsidRPr="004C2DCD">
        <w:rPr>
          <w:vertAlign w:val="superscript"/>
        </w:rPr>
        <w:footnoteReference w:id="196"/>
      </w:r>
      <w:r w:rsidRPr="004C2DCD">
        <w:t xml:space="preserve"> With most of New Zealand’s planted forestry estate privately owned, the three deforestation scenarios reflect the impact of land-use economics, carbon emissions unit price, and central and local government policies. Projections of pre-1990 natural forest deforestation are based on historical trends.</w:t>
      </w:r>
      <w:r w:rsidRPr="004C2DCD">
        <w:rPr>
          <w:vertAlign w:val="superscript"/>
        </w:rPr>
        <w:footnoteReference w:id="197"/>
      </w:r>
    </w:p>
    <w:p w14:paraId="2F138FA8" w14:textId="77777777" w:rsidR="00F51113" w:rsidRPr="004C2DCD" w:rsidRDefault="00F51113" w:rsidP="00F51113">
      <w:pPr>
        <w:pStyle w:val="BodyText"/>
      </w:pPr>
      <w:r w:rsidRPr="004C2DCD">
        <w:t>Projected post-1989 deforestation is based on research and analysis completed by the University of Canterbury in 2018</w:t>
      </w:r>
      <w:r w:rsidRPr="004C2DCD">
        <w:rPr>
          <w:vertAlign w:val="superscript"/>
        </w:rPr>
        <w:footnoteReference w:id="198"/>
      </w:r>
      <w:r w:rsidRPr="004C2DCD">
        <w:t xml:space="preserve"> and the 2023 Afforestation and Deforestation Intentions Survey. However, significant uncertainty still exists in the amount and timing of post-1989 deforestation. Continued research in this area is needed to increase our understanding of the drivers and timing of deforestation for land owners and its impact on emissions.</w:t>
      </w:r>
    </w:p>
    <w:p w14:paraId="1C7ADA41" w14:textId="77777777" w:rsidR="00F51113" w:rsidRPr="004C2DCD" w:rsidRDefault="00F51113" w:rsidP="00F51113">
      <w:pPr>
        <w:pStyle w:val="Heading5"/>
      </w:pPr>
      <w:r w:rsidRPr="004C2DCD">
        <w:t>Harvesting</w:t>
      </w:r>
    </w:p>
    <w:p w14:paraId="3013A843" w14:textId="77777777" w:rsidR="00F51113" w:rsidRPr="004C2DCD" w:rsidRDefault="00F51113" w:rsidP="00F51113">
      <w:pPr>
        <w:pStyle w:val="BodyText"/>
      </w:pPr>
      <w:r w:rsidRPr="004C2DCD">
        <w:t>Harvesting projections are based on the 2021 Wood Availability Forecasts (scenario 3). Variations in the level and timing of harvest have the largest impact on the projections. Continued research on and analysis of future harvesting rates and the impact of current policies, measures and drivers are needed, given harvesting is the main driver of emissions and holds the highest area of uncertainty.</w:t>
      </w:r>
    </w:p>
    <w:p w14:paraId="7D2AD21A" w14:textId="77777777" w:rsidR="00F51113" w:rsidRPr="004C2DCD" w:rsidRDefault="00F51113" w:rsidP="00F51113">
      <w:pPr>
        <w:pStyle w:val="Heading5"/>
      </w:pPr>
      <w:r w:rsidRPr="004C2DCD">
        <w:t>Forest yields</w:t>
      </w:r>
    </w:p>
    <w:p w14:paraId="6ECB1F63" w14:textId="77777777" w:rsidR="00F51113" w:rsidRPr="004C2DCD" w:rsidRDefault="00F51113" w:rsidP="00F51113">
      <w:pPr>
        <w:pStyle w:val="BodyText"/>
      </w:pPr>
      <w:r w:rsidRPr="004C2DCD">
        <w:t>Forest yields (the rate of carbon accumulation per age) can also contribute to variations in emissions and removals. The yield table estimates used for these projections were kept consistent with the Inventory 2024 estimate. It is possible that these yields will change in the future (with a predicted increase through time), however, this potential source of uncertainty was not incorporated into these projections.</w:t>
      </w:r>
    </w:p>
    <w:p w14:paraId="01800132" w14:textId="77777777" w:rsidR="00F51113" w:rsidRPr="004C2DCD" w:rsidRDefault="00F51113" w:rsidP="00F51113">
      <w:pPr>
        <w:pStyle w:val="Heading5"/>
      </w:pPr>
      <w:r w:rsidRPr="004C2DCD">
        <w:t>Non-CO</w:t>
      </w:r>
      <w:r w:rsidRPr="004C2DCD">
        <w:rPr>
          <w:vertAlign w:val="subscript"/>
        </w:rPr>
        <w:t>2</w:t>
      </w:r>
      <w:r w:rsidRPr="004C2DCD">
        <w:t xml:space="preserve"> emissions </w:t>
      </w:r>
    </w:p>
    <w:p w14:paraId="26BA81C1" w14:textId="77777777" w:rsidR="00F51113" w:rsidRPr="004C2DCD" w:rsidRDefault="00F51113" w:rsidP="00F51113">
      <w:pPr>
        <w:pStyle w:val="BodyText"/>
      </w:pPr>
      <w:r w:rsidRPr="004C2DCD">
        <w:t>Historical non-CO</w:t>
      </w:r>
      <w:r w:rsidRPr="004C2DCD">
        <w:rPr>
          <w:vertAlign w:val="subscript"/>
        </w:rPr>
        <w:t>2</w:t>
      </w:r>
      <w:r w:rsidRPr="004C2DCD">
        <w:t xml:space="preserve"> emissions are sourced from the Inventory. Non-CO</w:t>
      </w:r>
      <w:r w:rsidRPr="004C2DCD">
        <w:rPr>
          <w:vertAlign w:val="subscript"/>
        </w:rPr>
        <w:t>2</w:t>
      </w:r>
      <w:r w:rsidRPr="004C2DCD">
        <w:t xml:space="preserve"> emissions are not a significant source of emissions for New Zealand’s LULUCF sector, with projections based on historical trends.</w:t>
      </w:r>
    </w:p>
    <w:p w14:paraId="5C10917E" w14:textId="77777777" w:rsidR="00F51113" w:rsidRPr="004C2DCD" w:rsidRDefault="00F51113" w:rsidP="00F51113">
      <w:pPr>
        <w:pStyle w:val="Heading5"/>
      </w:pPr>
      <w:r w:rsidRPr="004C2DCD">
        <w:t>Strengths and weaknesses of models or approach </w:t>
      </w:r>
    </w:p>
    <w:p w14:paraId="02AA85F3" w14:textId="77777777" w:rsidR="00F51113" w:rsidRPr="004C2DCD" w:rsidRDefault="00F51113" w:rsidP="00F51113">
      <w:pPr>
        <w:pStyle w:val="BodyText"/>
      </w:pPr>
      <w:r w:rsidRPr="004C2DCD">
        <w:t>Uncertainty has been included in the projections using scenarios that incorporate variations in harvest, afforestation, deforestation, harvested wood products, and pre-1990 natural forest sequestration rates. Variation in the projections can be influenced by a changing economic climate, the carbon price and harvested wood products, and future implemented policies that might affect the forestry sector or emissions targets. Even with completed external research and analysis, the level of uncertainty in future harvest ages and rotation lengths remains high and is a significant area of uncertainty within the 2024 projections.</w:t>
      </w:r>
    </w:p>
    <w:p w14:paraId="62E17E1D" w14:textId="77777777" w:rsidR="00F51113" w:rsidRPr="004C2DCD" w:rsidRDefault="00F51113" w:rsidP="00F51113">
      <w:pPr>
        <w:pStyle w:val="BodyText"/>
      </w:pPr>
      <w:r w:rsidRPr="004C2DCD">
        <w:t>Afforestation and deforestation rates are challenging and difficult to predict. Afforestation rates have been surveyed out to 2030 and then extrapolated to 2050. Regular updates of the model and results are needed to ensure the afforestation projections factor in the most current data, assumptions and drivers.</w:t>
      </w:r>
    </w:p>
    <w:p w14:paraId="7FAFF946" w14:textId="77777777" w:rsidR="00F51113" w:rsidRPr="004C2DCD" w:rsidRDefault="00F51113" w:rsidP="003075FD">
      <w:pPr>
        <w:pStyle w:val="Heading3"/>
        <w:numPr>
          <w:ilvl w:val="0"/>
          <w:numId w:val="113"/>
        </w:numPr>
        <w:ind w:left="1134" w:hanging="1134"/>
      </w:pPr>
      <w:r w:rsidRPr="004C2DCD">
        <w:t>Whole-of-economy emissions projections methodology (Emissions in New Zealand model)</w:t>
      </w:r>
    </w:p>
    <w:p w14:paraId="1CFAE200" w14:textId="77777777" w:rsidR="00F51113" w:rsidRPr="004C2DCD" w:rsidRDefault="00F51113" w:rsidP="00F51113">
      <w:pPr>
        <w:pStyle w:val="BodyText"/>
        <w:keepNext/>
        <w:spacing w:after="100"/>
      </w:pPr>
      <w:r w:rsidRPr="004C2DCD">
        <w:t>The ENZ model has two main functions:</w:t>
      </w:r>
    </w:p>
    <w:p w14:paraId="5FBCDF4F" w14:textId="77777777" w:rsidR="00F51113" w:rsidRPr="004C2DCD" w:rsidRDefault="00F51113" w:rsidP="00784F5F">
      <w:pPr>
        <w:pStyle w:val="Numberedparagraph"/>
        <w:numPr>
          <w:ilvl w:val="0"/>
          <w:numId w:val="116"/>
        </w:numPr>
        <w:spacing w:after="100"/>
      </w:pPr>
      <w:r w:rsidRPr="004C2DCD">
        <w:t>to project economic and emissions outcomes of New Zealand’s economic sectors that produce GHG emissions</w:t>
      </w:r>
    </w:p>
    <w:p w14:paraId="6BCFB436" w14:textId="77777777" w:rsidR="00F51113" w:rsidRPr="004C2DCD" w:rsidRDefault="00F51113" w:rsidP="00F51113">
      <w:pPr>
        <w:pStyle w:val="Numberedparagraph"/>
        <w:spacing w:after="100"/>
      </w:pPr>
      <w:r w:rsidRPr="004C2DCD">
        <w:t>to provide insight into how such outcomes may vary given variations in future ‘state-of-the world’ drivers (eg, future technology, commodity prices) or policy settings.</w:t>
      </w:r>
    </w:p>
    <w:p w14:paraId="1A4165A5" w14:textId="77777777" w:rsidR="00F51113" w:rsidRPr="004C2DCD" w:rsidRDefault="00F51113" w:rsidP="00F51113">
      <w:pPr>
        <w:pStyle w:val="BodyText"/>
        <w:spacing w:after="100"/>
      </w:pPr>
      <w:r w:rsidRPr="004C2DCD">
        <w:t>The ENZ model projects the future economic and emissions outcomes of decisions that range from whether households buy an EV or internal combustion engine</w:t>
      </w:r>
      <w:r w:rsidRPr="004C2DCD" w:rsidDel="008B54D1">
        <w:t xml:space="preserve"> </w:t>
      </w:r>
      <w:r w:rsidRPr="004C2DCD">
        <w:t xml:space="preserve">(ICE) vehicle to whether land owners switch from sheep and beef cattle farming to forestry. In many cases, these decisions can be endogenous (ie, defined by activity within the model), where decision-makers are assumed to choose the least-cost option driven by relative prices (eg, EV versus ICE vehicle purchase prices). In other cases, the decisions are exogenously specified (ie, defined as an external assumption that is an input to the model) given the current lack of information on key drivers (eg, the costs of zero-emissions aircraft). Areas that allow for endogenous decisions can also be exogenously specified. </w:t>
      </w:r>
    </w:p>
    <w:p w14:paraId="59E51F51" w14:textId="77777777" w:rsidR="00F51113" w:rsidRPr="004C2DCD" w:rsidRDefault="00F51113" w:rsidP="00F51113">
      <w:pPr>
        <w:pStyle w:val="BodyText"/>
        <w:spacing w:after="100"/>
      </w:pPr>
      <w:r w:rsidRPr="004C2DCD">
        <w:t>Carbon prices are an important feature of the model. These can be exogenously specified or endogenously determined by solving for a carbon price trajectory that will achieve a specified emissions objective. </w:t>
      </w:r>
    </w:p>
    <w:p w14:paraId="45EF3EFE" w14:textId="3DA12EEE" w:rsidR="00F51113" w:rsidRPr="004C2DCD" w:rsidRDefault="00121231" w:rsidP="00121231">
      <w:pPr>
        <w:pStyle w:val="Heading4"/>
      </w:pPr>
      <w:r>
        <w:t>2.5.</w:t>
      </w:r>
      <w:r w:rsidR="00B96DA9">
        <w:t>5</w:t>
      </w:r>
      <w:r>
        <w:t>.4.1</w:t>
      </w:r>
      <w:r>
        <w:tab/>
      </w:r>
      <w:r>
        <w:tab/>
      </w:r>
      <w:r w:rsidR="00F51113" w:rsidRPr="003209C6">
        <w:t>Primary assumptions and inputs</w:t>
      </w:r>
    </w:p>
    <w:p w14:paraId="06506494" w14:textId="4D4348C7" w:rsidR="00F51113" w:rsidRPr="004C2DCD" w:rsidRDefault="00F51113" w:rsidP="00F51113">
      <w:pPr>
        <w:pStyle w:val="BodyText"/>
        <w:spacing w:before="100" w:after="100"/>
      </w:pPr>
      <w:r w:rsidRPr="004C2DCD">
        <w:t>ENZ uses the same macroeconomic assumptions as in each sector-based model for population, GDP and New Zealand Carbon Price (</w:t>
      </w:r>
      <w:hyperlink w:anchor="table253" w:history="1">
        <w:r w:rsidRPr="005F3741">
          <w:rPr>
            <w:rStyle w:val="Hyperlink"/>
          </w:rPr>
          <w:t>table 2.5.3</w:t>
        </w:r>
      </w:hyperlink>
      <w:r w:rsidRPr="004C2DCD">
        <w:t>). These are ‘global’ assumptions in ENZ, which means they are consistent across each module described below.</w:t>
      </w:r>
    </w:p>
    <w:p w14:paraId="552F2E1F" w14:textId="77777777" w:rsidR="00F51113" w:rsidRPr="004C2DCD" w:rsidRDefault="00F51113" w:rsidP="00F51113">
      <w:pPr>
        <w:pStyle w:val="BodyText"/>
        <w:spacing w:before="100" w:after="100"/>
      </w:pPr>
      <w:r w:rsidRPr="004C2DCD">
        <w:t>Additional macroeconomic assumptions are also used in some ENZ modules including New Zealand fossil gas wholesale price, gas reserves, world oil/coal/liquid natural gas prices, and New Zealand dollar–United States dollar exchange rate. Some of these assumptions are also used in sector-based models and are consistent where applicable.</w:t>
      </w:r>
    </w:p>
    <w:p w14:paraId="0E09497C" w14:textId="77777777" w:rsidR="00F51113" w:rsidRPr="004C2DCD" w:rsidRDefault="00F51113" w:rsidP="00F51113">
      <w:pPr>
        <w:pStyle w:val="BodyText"/>
        <w:spacing w:before="100" w:after="100"/>
      </w:pPr>
      <w:r w:rsidRPr="004C2DCD">
        <w:t>ENZ also incorporates recent data and market information inputs. These include:</w:t>
      </w:r>
    </w:p>
    <w:p w14:paraId="1554D4F2" w14:textId="77777777" w:rsidR="00F51113" w:rsidRPr="004C2DCD" w:rsidRDefault="00F51113" w:rsidP="00F51113">
      <w:pPr>
        <w:pStyle w:val="Bullet"/>
        <w:spacing w:after="100"/>
      </w:pPr>
      <w:r w:rsidRPr="004C2DCD">
        <w:t>Inventory 2024 data, incorporating methodology updates in addition to updated activity data and revised forestry expectations </w:t>
      </w:r>
    </w:p>
    <w:p w14:paraId="7279F28C" w14:textId="77777777" w:rsidR="00F51113" w:rsidRPr="004C2DCD" w:rsidRDefault="00F51113" w:rsidP="00F51113">
      <w:pPr>
        <w:pStyle w:val="Bullet"/>
        <w:spacing w:after="100"/>
      </w:pPr>
      <w:r w:rsidRPr="004C2DCD">
        <w:t>an emissions price path in which carbon prices continue to rise to $75 in 2028 but then fall to a long-run price of $50 from 2035 (all in 2023 dollar values), due to the role forestry is expected to play in the NZ ETS over the medium to long term.</w:t>
      </w:r>
    </w:p>
    <w:p w14:paraId="4B5ACC43" w14:textId="283E775B" w:rsidR="00F51113" w:rsidRPr="004C2DCD" w:rsidRDefault="000700D3" w:rsidP="000700D3">
      <w:pPr>
        <w:pStyle w:val="Heading4"/>
      </w:pPr>
      <w:r>
        <w:t>2.5.</w:t>
      </w:r>
      <w:r w:rsidR="00B96DA9">
        <w:t>5</w:t>
      </w:r>
      <w:r>
        <w:t>.4.2</w:t>
      </w:r>
      <w:r>
        <w:tab/>
      </w:r>
      <w:r w:rsidR="00F51113" w:rsidRPr="004C2DCD">
        <w:t>Model structure</w:t>
      </w:r>
    </w:p>
    <w:p w14:paraId="755AF34A" w14:textId="77777777" w:rsidR="00F51113" w:rsidRPr="004C2DCD" w:rsidRDefault="00F51113" w:rsidP="00F51113">
      <w:pPr>
        <w:pStyle w:val="BodyText"/>
        <w:spacing w:after="100"/>
      </w:pPr>
      <w:r w:rsidRPr="004C2DCD">
        <w:t>ENZ comprises three modules that, together, model the economic and emissions outcomes for New Zealand across all emissions-producing sectors. The modules are as follows.</w:t>
      </w:r>
    </w:p>
    <w:p w14:paraId="3D344CA1" w14:textId="77777777" w:rsidR="00F51113" w:rsidRPr="004C2DCD" w:rsidRDefault="00F51113" w:rsidP="00F51113">
      <w:pPr>
        <w:pStyle w:val="Numberedparagraph"/>
        <w:numPr>
          <w:ilvl w:val="0"/>
          <w:numId w:val="66"/>
        </w:numPr>
        <w:spacing w:after="100"/>
      </w:pPr>
      <w:r w:rsidRPr="004C2DCD">
        <w:t>Land and Waste module (LnW): The ‘Land’ module covers agricultural and forestry activities and the ‘Waste’ module covers emissions from waste, landfills and wastewater.</w:t>
      </w:r>
    </w:p>
    <w:p w14:paraId="1A6C81F3" w14:textId="77777777" w:rsidR="00F51113" w:rsidRPr="004C2DCD" w:rsidRDefault="00F51113" w:rsidP="00F51113">
      <w:pPr>
        <w:pStyle w:val="Numberedparagraph"/>
        <w:spacing w:after="100"/>
      </w:pPr>
      <w:r w:rsidRPr="004C2DCD">
        <w:t>Transport modules: Covers the transport sector including land (road and rail), aviation (domestic and international) and marine (domestic and international).</w:t>
      </w:r>
    </w:p>
    <w:p w14:paraId="4FC2095D" w14:textId="77777777" w:rsidR="00F51113" w:rsidRPr="004C2DCD" w:rsidRDefault="00F51113" w:rsidP="00F51113">
      <w:pPr>
        <w:pStyle w:val="Numberedparagraph"/>
      </w:pPr>
      <w:r w:rsidRPr="004C2DCD">
        <w:t>Heat, Industry and Power module (HIP): models the rest of the economy, including residential, commercial and industrial activities and the Energy and IPPU sectors.</w:t>
      </w:r>
    </w:p>
    <w:p w14:paraId="61EE1691" w14:textId="7136886D" w:rsidR="00F51113" w:rsidRPr="004C2DCD" w:rsidRDefault="00B96DA9" w:rsidP="003A0C20">
      <w:pPr>
        <w:pStyle w:val="Heading3"/>
      </w:pPr>
      <w:r>
        <w:t>2.5.5.5</w:t>
      </w:r>
      <w:r>
        <w:tab/>
      </w:r>
      <w:r w:rsidR="00F51113" w:rsidRPr="004C2DCD">
        <w:t>Module methodologies</w:t>
      </w:r>
    </w:p>
    <w:p w14:paraId="05E49418" w14:textId="297441E3" w:rsidR="00F51113" w:rsidRPr="004C2DCD" w:rsidRDefault="00206A83" w:rsidP="003A0C20">
      <w:pPr>
        <w:pStyle w:val="Heading4"/>
      </w:pPr>
      <w:r>
        <w:t>2.5.5.5.1</w:t>
      </w:r>
      <w:r>
        <w:tab/>
      </w:r>
      <w:r w:rsidR="00F51113" w:rsidRPr="004C2DCD">
        <w:t>Land and Waste module</w:t>
      </w:r>
    </w:p>
    <w:p w14:paraId="2D1200E9" w14:textId="77777777" w:rsidR="00F51113" w:rsidRPr="004C2DCD" w:rsidRDefault="00F51113" w:rsidP="006D71D8">
      <w:pPr>
        <w:pStyle w:val="Heading5"/>
      </w:pPr>
      <w:r w:rsidRPr="004C2DCD">
        <w:t>Agriculture</w:t>
      </w:r>
    </w:p>
    <w:p w14:paraId="26B9BA38" w14:textId="0A89B632" w:rsidR="00F51113" w:rsidRPr="004C2DCD" w:rsidRDefault="00F51113" w:rsidP="00F51113">
      <w:pPr>
        <w:pStyle w:val="BodyText"/>
        <w:spacing w:after="100"/>
      </w:pPr>
      <w:r w:rsidRPr="004C2DCD">
        <w:t>The LnW module projects agricultur</w:t>
      </w:r>
      <w:r w:rsidR="00BF62E7">
        <w:t>al</w:t>
      </w:r>
      <w:r w:rsidRPr="004C2DCD">
        <w:t xml:space="preserve"> emissions by: </w:t>
      </w:r>
    </w:p>
    <w:p w14:paraId="3E29CC70" w14:textId="77777777" w:rsidR="00F51113" w:rsidRPr="004C2DCD" w:rsidRDefault="00F51113" w:rsidP="00784F5F">
      <w:pPr>
        <w:pStyle w:val="Numberedparagraph"/>
        <w:numPr>
          <w:ilvl w:val="0"/>
          <w:numId w:val="117"/>
        </w:numPr>
        <w:spacing w:after="100"/>
      </w:pPr>
      <w:r w:rsidRPr="004C2DCD">
        <w:t xml:space="preserve">estimating emissions from dairy and sheep and beef cattle without emissions reduction measures </w:t>
      </w:r>
    </w:p>
    <w:p w14:paraId="6494B336" w14:textId="77777777" w:rsidR="00F51113" w:rsidRPr="004C2DCD" w:rsidRDefault="00F51113" w:rsidP="00F51113">
      <w:pPr>
        <w:pStyle w:val="Numberedparagraph"/>
        <w:numPr>
          <w:ilvl w:val="0"/>
          <w:numId w:val="66"/>
        </w:numPr>
        <w:spacing w:after="100"/>
      </w:pPr>
      <w:r w:rsidRPr="004C2DCD">
        <w:t xml:space="preserve">estimating the impact and costs of emissions reduction measures </w:t>
      </w:r>
    </w:p>
    <w:p w14:paraId="37AC063E" w14:textId="77777777" w:rsidR="00F51113" w:rsidRPr="004C2DCD" w:rsidRDefault="00F51113" w:rsidP="00F51113">
      <w:pPr>
        <w:pStyle w:val="Numberedparagraph"/>
        <w:numPr>
          <w:ilvl w:val="0"/>
          <w:numId w:val="66"/>
        </w:numPr>
        <w:spacing w:after="100"/>
      </w:pPr>
      <w:r w:rsidRPr="004C2DCD">
        <w:t>calculating regional and national emissions totals using projected emissions from dairy and sheep and beef cattle and the impact of emissions reduction measures</w:t>
      </w:r>
    </w:p>
    <w:p w14:paraId="5D785A61" w14:textId="77777777" w:rsidR="00F51113" w:rsidRPr="004C2DCD" w:rsidRDefault="00F51113" w:rsidP="00F51113">
      <w:pPr>
        <w:pStyle w:val="Numberedparagraph"/>
        <w:numPr>
          <w:ilvl w:val="0"/>
          <w:numId w:val="66"/>
        </w:numPr>
        <w:spacing w:after="100"/>
      </w:pPr>
      <w:r w:rsidRPr="004C2DCD">
        <w:t>calculating emissions from fertiliser use.</w:t>
      </w:r>
    </w:p>
    <w:p w14:paraId="6D301D9E" w14:textId="77777777" w:rsidR="00F51113" w:rsidRPr="004C2DCD" w:rsidRDefault="00F51113" w:rsidP="00F51113">
      <w:pPr>
        <w:pStyle w:val="BodyText"/>
        <w:spacing w:after="100"/>
      </w:pPr>
      <w:r w:rsidRPr="004C2DCD">
        <w:t>Emissions from dairy and sheep and beef cattle are calculated by first estimating future land</w:t>
      </w:r>
      <w:r w:rsidRPr="004C2DCD">
        <w:noBreakHyphen/>
        <w:t xml:space="preserve">use change between pastoral farming (dairy, sheep and beef cattle) and forestry and horticulture. The module uses exogenously specified land areas undertaking pastoral farming activities in conjunction with sector-based projections of pastoral stocking rates to estimate the number of dairy cattle or sheep and beef cattle stock units. Emissions from dairy cattle and sheep and beef cattle stock units are calculated out to 2050 using ‘sector-based’ projections of emissions per unit of production (milk or meat). Emissions per cattle head are split into three categories: enteric, manure and agricultural soils. </w:t>
      </w:r>
    </w:p>
    <w:p w14:paraId="69ED2331" w14:textId="77777777" w:rsidR="00F51113" w:rsidRPr="004C2DCD" w:rsidRDefault="00F51113" w:rsidP="00F51113">
      <w:pPr>
        <w:pStyle w:val="BodyText"/>
        <w:spacing w:after="100"/>
      </w:pPr>
      <w:r w:rsidRPr="004C2DCD">
        <w:t xml:space="preserve">Next, the extent of the uptake, and the consequent emissions reduction, from emissions mitigation measures (eg, supporting uptake of mitigation technologies) are projected and aligned to the three above categories. The cost and effectiveness of the measures are exogenously specified. The module accounts for the fact that the cost and effectiveness of a measure will also be affected by the extent to which other measures have been taken up. </w:t>
      </w:r>
    </w:p>
    <w:p w14:paraId="496C051D" w14:textId="77777777" w:rsidR="00F51113" w:rsidRPr="004C2DCD" w:rsidRDefault="00F51113" w:rsidP="00F51113">
      <w:pPr>
        <w:pStyle w:val="BodyText"/>
        <w:spacing w:after="100"/>
      </w:pPr>
      <w:r w:rsidRPr="004C2DCD">
        <w:t>The impact of emissions mitigation measures is calculated on a per-animal basis and then multiplied by the projected dairy cattle and sheep and beef cattle stock units on a per-animal basis, to determine regional and national emissions totals.</w:t>
      </w:r>
    </w:p>
    <w:p w14:paraId="500CFC1B" w14:textId="77777777" w:rsidR="00F51113" w:rsidRPr="004C2DCD" w:rsidRDefault="00F51113" w:rsidP="00F51113">
      <w:pPr>
        <w:pStyle w:val="BodyText"/>
        <w:spacing w:after="100"/>
      </w:pPr>
      <w:r w:rsidRPr="004C2DCD">
        <w:t>Projected fertiliser emissions are calculated using projections of land area for different land uses (eg, horticulture) in conjunction with projections of farm management practices until 2050. Projections of farm management practices include estimates of dry matter consumption (feed) and fertiliser use.</w:t>
      </w:r>
    </w:p>
    <w:p w14:paraId="1D307818" w14:textId="77777777" w:rsidR="00F51113" w:rsidRPr="004C2DCD" w:rsidRDefault="00F51113" w:rsidP="006D71D8">
      <w:pPr>
        <w:pStyle w:val="Heading5"/>
      </w:pPr>
      <w:r w:rsidRPr="004C2DCD">
        <w:t>Forestry</w:t>
      </w:r>
    </w:p>
    <w:p w14:paraId="677BF3DA" w14:textId="77777777" w:rsidR="00F51113" w:rsidRPr="004C2DCD" w:rsidRDefault="00F51113" w:rsidP="00F51113">
      <w:pPr>
        <w:pStyle w:val="BodyText"/>
      </w:pPr>
      <w:r w:rsidRPr="004C2DCD">
        <w:t>The LnW module uses future hectares of native and exotic afforestation and deforestation for pre-1990 and post-1989 forests, which are exogenously specified, to determine biomass changes and total land area under forest. Emissions and removals by forests are calculated using land areas afforested and deforested in an activity-based averaging approach, using age</w:t>
      </w:r>
      <w:r w:rsidRPr="004C2DCD">
        <w:noBreakHyphen/>
        <w:t>based carbon yield tables, soil carbon and biomass carbon emission factors from the Inventory. The methodology matches and therefore produces the same results as the forestry sector-based projections model.</w:t>
      </w:r>
    </w:p>
    <w:p w14:paraId="1946E8CF" w14:textId="77777777" w:rsidR="00F51113" w:rsidRPr="004C2DCD" w:rsidRDefault="00F51113" w:rsidP="006D71D8">
      <w:pPr>
        <w:pStyle w:val="Heading5"/>
      </w:pPr>
      <w:r w:rsidRPr="004C2DCD">
        <w:t>Waste</w:t>
      </w:r>
    </w:p>
    <w:p w14:paraId="505E1548" w14:textId="77777777" w:rsidR="00F51113" w:rsidRPr="004C2DCD" w:rsidRDefault="00F51113" w:rsidP="00F51113">
      <w:pPr>
        <w:pStyle w:val="BodyText"/>
      </w:pPr>
      <w:r w:rsidRPr="004C2DCD">
        <w:t>The LnW module projects waste emissions across three categories: solid waste disposal, biological treatment of diverted waste streams, and open burning/incineration. Wastewater treatment and discharge emissions are treated as exogenous and come from the sector-based projections in the aggregated projections of waste emissions across all categories.</w:t>
      </w:r>
    </w:p>
    <w:p w14:paraId="0E1B8EBE" w14:textId="067E7B2D" w:rsidR="00F51113" w:rsidRPr="004C2DCD" w:rsidRDefault="00F51113" w:rsidP="00F51113">
      <w:pPr>
        <w:pStyle w:val="BodyText"/>
      </w:pPr>
      <w:r w:rsidRPr="004C2DCD">
        <w:t xml:space="preserve">Emissions from solid waste disposal are calculated from actual and projections of solid waste generation </w:t>
      </w:r>
      <w:r w:rsidR="009948BD">
        <w:t xml:space="preserve">at municipal and non-municipal landfills </w:t>
      </w:r>
      <w:r w:rsidRPr="004C2DCD">
        <w:t>since 1950 in a first order decay model. This model accounts for landfill waste placement, the reduction and diversion of waste, and the decomposable degradable organic carbon accumulated, decomposed and generated from all waste. The model also accounts for landfill gas capture via landfill gas capture efficiency and coverage.</w:t>
      </w:r>
    </w:p>
    <w:p w14:paraId="523FD169" w14:textId="77777777" w:rsidR="00F51113" w:rsidRPr="004C2DCD" w:rsidRDefault="00F51113" w:rsidP="00F51113">
      <w:pPr>
        <w:pStyle w:val="Heading5"/>
      </w:pPr>
      <w:r w:rsidRPr="004C2DCD">
        <w:t>Transport module</w:t>
      </w:r>
    </w:p>
    <w:p w14:paraId="7551806F" w14:textId="77777777" w:rsidR="00F51113" w:rsidRPr="004C2DCD" w:rsidRDefault="00F51113" w:rsidP="00F51113">
      <w:pPr>
        <w:pStyle w:val="BodyText"/>
      </w:pPr>
      <w:r w:rsidRPr="004C2DCD">
        <w:t>The transport module projects road, air and sea emissions separately and are aggregated together to produce projections of transport emissions to 2050.</w:t>
      </w:r>
    </w:p>
    <w:p w14:paraId="52B9139D" w14:textId="77777777" w:rsidR="00F51113" w:rsidRPr="004C2DCD" w:rsidRDefault="00F51113" w:rsidP="006D71D8">
      <w:pPr>
        <w:pStyle w:val="Heading5"/>
      </w:pPr>
      <w:r w:rsidRPr="004C2DCD">
        <w:t>Road</w:t>
      </w:r>
    </w:p>
    <w:p w14:paraId="21326074" w14:textId="77777777" w:rsidR="00F51113" w:rsidRPr="004C2DCD" w:rsidRDefault="00F51113" w:rsidP="00F51113">
      <w:pPr>
        <w:pStyle w:val="BodyText"/>
      </w:pPr>
      <w:r w:rsidRPr="004C2DCD">
        <w:t>The transport module projects road transport emissions by determining the fuel usage required for future kilometres travelled for a given balance of different vehicle types. First, ENZ projects future vehicle kilometres travelled by exogenously specifying the demand for transport services on a per capita or per GDP basis and exogenously specifying a mode-split for transport services. The vehicle types needed to meet future vehicle kilometres travelled are then estimated across different road transport categories to derive the number of vehicles needed in each road transport category in New Zealand’s road fleet.</w:t>
      </w:r>
    </w:p>
    <w:p w14:paraId="24AB03A1" w14:textId="77777777" w:rsidR="00F51113" w:rsidRPr="004C2DCD" w:rsidRDefault="00F51113" w:rsidP="00F51113">
      <w:pPr>
        <w:pStyle w:val="BodyText"/>
      </w:pPr>
      <w:r w:rsidRPr="004C2DCD">
        <w:t>Scrappage (the number of vehicles scrapped in a year) is then modelled by accounting for the underlying growth in vehicle numbers from the population or GDP. Scrappage is used in conjunction with projections of the number of vehicles in each road transport category to determine the number of vehicles entering New Zealand’s road fleet. ENZ then models what fuel type purchasers choose between (eg, ICE and EV), based on the total cost of ownership. The balance of ICE and EV is then used to estimate emissions using the projected fuel consumption for those vehicle kilometres travelled.</w:t>
      </w:r>
    </w:p>
    <w:p w14:paraId="4FB707E3" w14:textId="77777777" w:rsidR="00F51113" w:rsidRPr="004C2DCD" w:rsidRDefault="00F51113" w:rsidP="006D71D8">
      <w:pPr>
        <w:pStyle w:val="Heading5"/>
      </w:pPr>
      <w:r w:rsidRPr="004C2DCD">
        <w:t>Air</w:t>
      </w:r>
    </w:p>
    <w:p w14:paraId="3BB6657C" w14:textId="77777777" w:rsidR="00F51113" w:rsidRPr="004C2DCD" w:rsidRDefault="00F51113" w:rsidP="00F51113">
      <w:pPr>
        <w:pStyle w:val="BodyText"/>
      </w:pPr>
      <w:r w:rsidRPr="004C2DCD">
        <w:t>The transport module projects aviation transport emissions by projecting future aviation fuel usage from the demand for future air seat kilometres over different travel types (eg, domestic and international travel on regional, short-haul or long-haul flights). Air seat kilometres per travel types are disaggregated by different aircraft (eg, 787 for international long-haul flights) and used to calculate a projection for liquid aviation fuel. This fuel projection is used to estimate emissions using fuel-specific emissions factors (including sustainable aviation fuel where applicable).</w:t>
      </w:r>
    </w:p>
    <w:p w14:paraId="5F600D9A" w14:textId="77777777" w:rsidR="00F51113" w:rsidRPr="004C2DCD" w:rsidRDefault="00F51113" w:rsidP="006D71D8">
      <w:pPr>
        <w:pStyle w:val="Heading5"/>
      </w:pPr>
      <w:r w:rsidRPr="004C2DCD">
        <w:t>Sea</w:t>
      </w:r>
    </w:p>
    <w:p w14:paraId="02F6B8B2" w14:textId="77777777" w:rsidR="00F51113" w:rsidRPr="004C2DCD" w:rsidRDefault="00F51113" w:rsidP="00F51113">
      <w:pPr>
        <w:pStyle w:val="BodyText"/>
        <w:tabs>
          <w:tab w:val="left" w:pos="5640"/>
        </w:tabs>
      </w:pPr>
      <w:r w:rsidRPr="004C2DCD">
        <w:t>The transport module projects sea transport emissions from future marine and rail fuel usage, which uses estimates of the future demand of marine and rail shipping and the demand for transport oil.</w:t>
      </w:r>
    </w:p>
    <w:p w14:paraId="4E183FC8" w14:textId="51506187" w:rsidR="00F51113" w:rsidRPr="004C2DCD" w:rsidRDefault="00195FF3" w:rsidP="006D71D8">
      <w:pPr>
        <w:pStyle w:val="Heading4"/>
      </w:pPr>
      <w:r>
        <w:t>2.5.5.5.2</w:t>
      </w:r>
      <w:r>
        <w:tab/>
      </w:r>
      <w:r w:rsidR="00F51113" w:rsidRPr="004C2DCD">
        <w:t>Heat, Industry and Power module</w:t>
      </w:r>
    </w:p>
    <w:p w14:paraId="1353C190" w14:textId="77777777" w:rsidR="00F51113" w:rsidRPr="004C2DCD" w:rsidRDefault="00F51113" w:rsidP="00F51113">
      <w:pPr>
        <w:pStyle w:val="BodyText"/>
      </w:pPr>
      <w:r w:rsidRPr="004C2DCD">
        <w:t>Projected emissions for the non-transport energy and IPPU sectors are modelled from the HIP module.</w:t>
      </w:r>
    </w:p>
    <w:p w14:paraId="0F357CFE" w14:textId="77777777" w:rsidR="00F51113" w:rsidRPr="004C2DCD" w:rsidRDefault="00F51113" w:rsidP="00F51113">
      <w:pPr>
        <w:pStyle w:val="BodyText"/>
      </w:pPr>
      <w:r w:rsidRPr="004C2DCD">
        <w:t>Projected non-transport energy and IPPU emissions are calculated using projections of future levels of activity, energy demand, energy supply, future energy efficiency, carbon price, the potential supply of biomass (from the LnW module) and access to biomass for gas switching. Projections of future energy demand and future activity are based on exogenous projections of population and economic growth. Energy and electricity demand, energy efficiency and supply of biomass projections are used as inputs into models that project energy needs for specific industrial segments (eg, steel, methanol) and different energy end uses (eg, residential heating). Biofuels, oil and coal are also modelled in the HIP module but at a more basic level.</w:t>
      </w:r>
    </w:p>
    <w:p w14:paraId="1208E149" w14:textId="77777777" w:rsidR="00F51113" w:rsidRPr="004C2DCD" w:rsidRDefault="00F51113" w:rsidP="00195FF3">
      <w:pPr>
        <w:pStyle w:val="Heading2"/>
        <w:numPr>
          <w:ilvl w:val="0"/>
          <w:numId w:val="109"/>
        </w:numPr>
        <w:ind w:left="1134" w:hanging="1134"/>
      </w:pPr>
      <w:bookmarkStart w:id="610" w:name="section256"/>
      <w:bookmarkStart w:id="611" w:name="_Toc184825528"/>
      <w:bookmarkEnd w:id="610"/>
      <w:r w:rsidRPr="004C2DCD">
        <w:t>Sensitivity analysis for the ‘with existing measures’ scenario</w:t>
      </w:r>
      <w:bookmarkEnd w:id="611"/>
      <w:r w:rsidRPr="004C2DCD">
        <w:t xml:space="preserve"> </w:t>
      </w:r>
    </w:p>
    <w:p w14:paraId="79B76C28" w14:textId="77777777" w:rsidR="00F51113" w:rsidRPr="004C2DCD" w:rsidRDefault="00F51113" w:rsidP="00784F5F">
      <w:pPr>
        <w:pStyle w:val="Heading3"/>
        <w:numPr>
          <w:ilvl w:val="0"/>
          <w:numId w:val="114"/>
        </w:numPr>
      </w:pPr>
      <w:r w:rsidRPr="004C2DCD">
        <w:t>Sensitivity methodology</w:t>
      </w:r>
    </w:p>
    <w:p w14:paraId="0CBD350B" w14:textId="77777777" w:rsidR="00F51113" w:rsidRPr="004C2DCD" w:rsidRDefault="00F51113" w:rsidP="00F51113">
      <w:pPr>
        <w:pStyle w:val="BodyText"/>
      </w:pPr>
      <w:r w:rsidRPr="004C2DCD">
        <w:t>The sensitivity methodology under the WEM scenario is consistent with the overall WEM projections modelling approach. This is such that the Tokelau and LULUCF reporting sectors use sector-based models to produce ‘high’ and ‘low’ WEM scenarios and the Energy, Transport, IPPU, Agriculture and Waste sectors</w:t>
      </w:r>
      <w:r w:rsidRPr="004C2DCD" w:rsidDel="00F3013F">
        <w:t xml:space="preserve"> </w:t>
      </w:r>
      <w:r w:rsidRPr="004C2DCD">
        <w:t xml:space="preserve">use ENZ. </w:t>
      </w:r>
    </w:p>
    <w:p w14:paraId="51A899DF" w14:textId="77777777" w:rsidR="00F51113" w:rsidRPr="004C2DCD" w:rsidRDefault="00F51113" w:rsidP="00BD6FE6">
      <w:pPr>
        <w:pStyle w:val="Heading3"/>
        <w:numPr>
          <w:ilvl w:val="0"/>
          <w:numId w:val="114"/>
        </w:numPr>
        <w:ind w:left="1134" w:hanging="1134"/>
      </w:pPr>
      <w:r w:rsidRPr="004C2DCD">
        <w:t>Sensitivity analysis from the Emissions in New Zealand model</w:t>
      </w:r>
    </w:p>
    <w:p w14:paraId="4C23E6AA" w14:textId="77777777" w:rsidR="00F51113" w:rsidRPr="004C2DCD" w:rsidRDefault="00F51113" w:rsidP="00F51113">
      <w:pPr>
        <w:pStyle w:val="BodyText"/>
      </w:pPr>
      <w:r w:rsidRPr="004C2DCD">
        <w:t xml:space="preserve">The sensitivity analysis from the ENZ model has the following underlying assumptions varied to produce ‘high’ and ‘low’ emissions projections for each sector (table 2.5.15). </w:t>
      </w:r>
    </w:p>
    <w:p w14:paraId="1854DBC1" w14:textId="77777777" w:rsidR="00F51113" w:rsidRPr="004C2DCD" w:rsidRDefault="00F51113" w:rsidP="00F51113">
      <w:pPr>
        <w:pStyle w:val="Tableheading"/>
        <w:ind w:left="1276" w:hanging="1276"/>
      </w:pPr>
      <w:bookmarkStart w:id="612" w:name="_Toc183789707"/>
      <w:bookmarkStart w:id="613" w:name="_Toc185407480"/>
      <w:bookmarkStart w:id="614" w:name="_Toc185427743"/>
      <w:r w:rsidRPr="004C2DCD">
        <w:t xml:space="preserve">Table 2.5.15: </w:t>
      </w:r>
      <w:r w:rsidRPr="004C2DCD">
        <w:tab/>
        <w:t>Sensitivity analysis assumptions from the Emissions in New Zealand model</w:t>
      </w:r>
      <w:bookmarkEnd w:id="612"/>
      <w:bookmarkEnd w:id="613"/>
      <w:bookmarkEnd w:id="614"/>
    </w:p>
    <w:tbl>
      <w:tblPr>
        <w:tblStyle w:val="TableGrid1"/>
        <w:tblW w:w="8505" w:type="dxa"/>
        <w:tblInd w:w="0" w:type="dxa"/>
        <w:tblLayout w:type="fixed"/>
        <w:tblCellMar>
          <w:left w:w="85" w:type="dxa"/>
          <w:right w:w="85" w:type="dxa"/>
        </w:tblCellMar>
        <w:tblLook w:val="04A0" w:firstRow="1" w:lastRow="0" w:firstColumn="1" w:lastColumn="0" w:noHBand="0" w:noVBand="1"/>
      </w:tblPr>
      <w:tblGrid>
        <w:gridCol w:w="2268"/>
        <w:gridCol w:w="2835"/>
        <w:gridCol w:w="3402"/>
      </w:tblGrid>
      <w:tr w:rsidR="00F51113" w:rsidRPr="004C2DCD" w14:paraId="77036CD3" w14:textId="77777777">
        <w:trPr>
          <w:tblHeader/>
        </w:trPr>
        <w:tc>
          <w:tcPr>
            <w:tcW w:w="2268" w:type="dxa"/>
            <w:shd w:val="clear" w:color="auto" w:fill="1B556B" w:themeFill="text2"/>
          </w:tcPr>
          <w:p w14:paraId="0A7F4658" w14:textId="77777777" w:rsidR="00F51113" w:rsidRPr="004C2DCD" w:rsidRDefault="00F51113">
            <w:pPr>
              <w:pStyle w:val="TableText"/>
              <w:spacing w:before="40"/>
              <w:rPr>
                <w:b/>
                <w:bCs/>
                <w:color w:val="FFFFFF" w:themeColor="background1"/>
                <w:szCs w:val="18"/>
                <w:lang w:val="en-NZ"/>
              </w:rPr>
            </w:pPr>
            <w:r w:rsidRPr="004C2DCD">
              <w:rPr>
                <w:b/>
                <w:bCs/>
                <w:color w:val="FFFFFF" w:themeColor="background1"/>
                <w:szCs w:val="18"/>
                <w:lang w:val="en-NZ"/>
              </w:rPr>
              <w:t>Assumption varied</w:t>
            </w:r>
          </w:p>
        </w:tc>
        <w:tc>
          <w:tcPr>
            <w:tcW w:w="2835" w:type="dxa"/>
            <w:shd w:val="clear" w:color="auto" w:fill="1B556B" w:themeFill="text2"/>
          </w:tcPr>
          <w:p w14:paraId="4FBA5F88" w14:textId="77777777" w:rsidR="00F51113" w:rsidRPr="004C2DCD" w:rsidRDefault="00F51113">
            <w:pPr>
              <w:pStyle w:val="TableText"/>
              <w:spacing w:before="40"/>
              <w:rPr>
                <w:b/>
                <w:bCs/>
                <w:color w:val="FFFFFF" w:themeColor="background1"/>
                <w:szCs w:val="18"/>
                <w:lang w:val="en-NZ"/>
              </w:rPr>
            </w:pPr>
            <w:r w:rsidRPr="004C2DCD">
              <w:rPr>
                <w:b/>
                <w:bCs/>
                <w:color w:val="FFFFFF" w:themeColor="background1"/>
                <w:szCs w:val="18"/>
                <w:lang w:val="en-NZ"/>
              </w:rPr>
              <w:t>Low</w:t>
            </w:r>
          </w:p>
        </w:tc>
        <w:tc>
          <w:tcPr>
            <w:tcW w:w="3402" w:type="dxa"/>
            <w:shd w:val="clear" w:color="auto" w:fill="1B556B" w:themeFill="text2"/>
          </w:tcPr>
          <w:p w14:paraId="3BEFBBC6" w14:textId="77777777" w:rsidR="00F51113" w:rsidRPr="004C2DCD" w:rsidDel="009D6D9D" w:rsidRDefault="00F51113">
            <w:pPr>
              <w:pStyle w:val="TableText"/>
              <w:spacing w:before="40"/>
              <w:rPr>
                <w:b/>
                <w:bCs/>
                <w:color w:val="FFFFFF" w:themeColor="background1"/>
                <w:szCs w:val="18"/>
                <w:lang w:val="en-NZ"/>
              </w:rPr>
            </w:pPr>
            <w:r w:rsidRPr="004C2DCD">
              <w:rPr>
                <w:b/>
                <w:bCs/>
                <w:color w:val="FFFFFF" w:themeColor="background1"/>
                <w:szCs w:val="18"/>
                <w:lang w:val="en-NZ"/>
              </w:rPr>
              <w:t>High</w:t>
            </w:r>
          </w:p>
        </w:tc>
      </w:tr>
      <w:tr w:rsidR="00F51113" w:rsidRPr="004C2DCD" w14:paraId="62A8B96A" w14:textId="77777777">
        <w:tc>
          <w:tcPr>
            <w:tcW w:w="2268" w:type="dxa"/>
          </w:tcPr>
          <w:p w14:paraId="5972C8F2" w14:textId="77777777" w:rsidR="00F51113" w:rsidRPr="004C2DCD" w:rsidRDefault="00F51113">
            <w:pPr>
              <w:pStyle w:val="TableText"/>
              <w:spacing w:before="40"/>
              <w:rPr>
                <w:rFonts w:cs="Calibri"/>
                <w:szCs w:val="18"/>
                <w:lang w:val="en-NZ"/>
              </w:rPr>
            </w:pPr>
            <w:r w:rsidRPr="004C2DCD">
              <w:rPr>
                <w:lang w:val="en-NZ"/>
              </w:rPr>
              <w:t>Carbon price</w:t>
            </w:r>
          </w:p>
        </w:tc>
        <w:tc>
          <w:tcPr>
            <w:tcW w:w="2835" w:type="dxa"/>
          </w:tcPr>
          <w:p w14:paraId="2393D424" w14:textId="77777777" w:rsidR="00F51113" w:rsidRPr="004C2DCD" w:rsidRDefault="00F51113">
            <w:pPr>
              <w:pStyle w:val="TableText"/>
              <w:spacing w:before="40" w:after="40"/>
              <w:rPr>
                <w:rFonts w:cs="Calibri"/>
                <w:szCs w:val="18"/>
                <w:lang w:val="en-NZ"/>
              </w:rPr>
            </w:pPr>
            <w:r w:rsidRPr="004C2DCD">
              <w:rPr>
                <w:lang w:val="en-NZ"/>
              </w:rPr>
              <w:t>Rise to $70 and stay at that level</w:t>
            </w:r>
          </w:p>
        </w:tc>
        <w:tc>
          <w:tcPr>
            <w:tcW w:w="3402" w:type="dxa"/>
          </w:tcPr>
          <w:p w14:paraId="793E35F4" w14:textId="77777777" w:rsidR="00F51113" w:rsidRPr="004C2DCD" w:rsidRDefault="00F51113">
            <w:pPr>
              <w:pStyle w:val="TableText"/>
              <w:spacing w:before="40" w:after="40"/>
              <w:rPr>
                <w:rFonts w:cs="Calibri"/>
                <w:szCs w:val="18"/>
                <w:lang w:val="en-NZ"/>
              </w:rPr>
            </w:pPr>
            <w:r w:rsidRPr="004C2DCD">
              <w:rPr>
                <w:lang w:val="en-NZ"/>
              </w:rPr>
              <w:t>Fall to $35 and stay at that level</w:t>
            </w:r>
          </w:p>
        </w:tc>
      </w:tr>
      <w:tr w:rsidR="00F51113" w:rsidRPr="004C2DCD" w14:paraId="120F95F4" w14:textId="77777777">
        <w:tc>
          <w:tcPr>
            <w:tcW w:w="2268" w:type="dxa"/>
          </w:tcPr>
          <w:p w14:paraId="7DDE075F" w14:textId="77777777" w:rsidR="00F51113" w:rsidRPr="004C2DCD" w:rsidRDefault="00F51113">
            <w:pPr>
              <w:pStyle w:val="TableText"/>
              <w:spacing w:before="40"/>
              <w:rPr>
                <w:rFonts w:cs="Calibri"/>
                <w:szCs w:val="18"/>
                <w:lang w:val="en-NZ"/>
              </w:rPr>
            </w:pPr>
            <w:r w:rsidRPr="004C2DCD">
              <w:rPr>
                <w:lang w:val="en-NZ"/>
              </w:rPr>
              <w:t>Oil and coal prices</w:t>
            </w:r>
          </w:p>
        </w:tc>
        <w:tc>
          <w:tcPr>
            <w:tcW w:w="2835" w:type="dxa"/>
          </w:tcPr>
          <w:p w14:paraId="49CDCEFB" w14:textId="77777777" w:rsidR="00F51113" w:rsidRPr="004C2DCD" w:rsidRDefault="00F51113">
            <w:pPr>
              <w:pStyle w:val="TableText"/>
              <w:spacing w:before="40" w:after="40"/>
              <w:rPr>
                <w:rFonts w:cs="Calibri"/>
                <w:szCs w:val="18"/>
                <w:lang w:val="en-NZ"/>
              </w:rPr>
            </w:pPr>
            <w:r w:rsidRPr="004C2DCD">
              <w:rPr>
                <w:lang w:val="en-NZ"/>
              </w:rPr>
              <w:t>Higher</w:t>
            </w:r>
          </w:p>
        </w:tc>
        <w:tc>
          <w:tcPr>
            <w:tcW w:w="3402" w:type="dxa"/>
          </w:tcPr>
          <w:p w14:paraId="778A5C9B" w14:textId="77777777" w:rsidR="00F51113" w:rsidRPr="004C2DCD" w:rsidRDefault="00F51113">
            <w:pPr>
              <w:pStyle w:val="TableText"/>
              <w:spacing w:before="40" w:after="40"/>
              <w:rPr>
                <w:rFonts w:cs="Calibri"/>
                <w:szCs w:val="18"/>
                <w:lang w:val="en-NZ"/>
              </w:rPr>
            </w:pPr>
            <w:r w:rsidRPr="004C2DCD">
              <w:rPr>
                <w:lang w:val="en-NZ"/>
              </w:rPr>
              <w:t>Lower</w:t>
            </w:r>
          </w:p>
        </w:tc>
      </w:tr>
      <w:tr w:rsidR="00F51113" w:rsidRPr="004C2DCD" w14:paraId="52BE683F" w14:textId="77777777">
        <w:tc>
          <w:tcPr>
            <w:tcW w:w="2268" w:type="dxa"/>
          </w:tcPr>
          <w:p w14:paraId="7AF87DFD" w14:textId="77777777" w:rsidR="00F51113" w:rsidRPr="004C2DCD" w:rsidRDefault="00F51113">
            <w:pPr>
              <w:pStyle w:val="TableText"/>
              <w:spacing w:before="40"/>
              <w:rPr>
                <w:rFonts w:cs="Calibri"/>
                <w:szCs w:val="18"/>
                <w:lang w:val="en-NZ"/>
              </w:rPr>
            </w:pPr>
            <w:r w:rsidRPr="004C2DCD">
              <w:rPr>
                <w:lang w:val="en-NZ"/>
              </w:rPr>
              <w:t>Gas prices</w:t>
            </w:r>
          </w:p>
        </w:tc>
        <w:tc>
          <w:tcPr>
            <w:tcW w:w="2835" w:type="dxa"/>
          </w:tcPr>
          <w:p w14:paraId="2A0656A3" w14:textId="77777777" w:rsidR="00F51113" w:rsidRPr="004C2DCD" w:rsidRDefault="00F51113">
            <w:pPr>
              <w:pStyle w:val="TableText"/>
              <w:spacing w:before="40" w:after="40"/>
              <w:rPr>
                <w:rFonts w:cs="Calibri"/>
                <w:szCs w:val="18"/>
                <w:lang w:val="en-NZ"/>
              </w:rPr>
            </w:pPr>
            <w:r w:rsidRPr="004C2DCD">
              <w:rPr>
                <w:lang w:val="en-NZ"/>
              </w:rPr>
              <w:t>No change</w:t>
            </w:r>
          </w:p>
        </w:tc>
        <w:tc>
          <w:tcPr>
            <w:tcW w:w="3402" w:type="dxa"/>
          </w:tcPr>
          <w:p w14:paraId="50366B47" w14:textId="77777777" w:rsidR="00F51113" w:rsidRPr="004C2DCD" w:rsidRDefault="00F51113">
            <w:pPr>
              <w:pStyle w:val="TableText"/>
              <w:spacing w:before="40" w:after="40"/>
              <w:rPr>
                <w:rFonts w:cs="Calibri"/>
                <w:szCs w:val="18"/>
                <w:lang w:val="en-NZ"/>
              </w:rPr>
            </w:pPr>
            <w:r w:rsidRPr="004C2DCD">
              <w:rPr>
                <w:lang w:val="en-NZ"/>
              </w:rPr>
              <w:t>Lower</w:t>
            </w:r>
          </w:p>
        </w:tc>
      </w:tr>
      <w:tr w:rsidR="00F51113" w:rsidRPr="004C2DCD" w14:paraId="5DA58326" w14:textId="77777777">
        <w:tc>
          <w:tcPr>
            <w:tcW w:w="2268" w:type="dxa"/>
          </w:tcPr>
          <w:p w14:paraId="6DB2107A" w14:textId="77777777" w:rsidR="00F51113" w:rsidRPr="004C2DCD" w:rsidRDefault="00F51113">
            <w:pPr>
              <w:pStyle w:val="TableText"/>
              <w:spacing w:before="40"/>
              <w:rPr>
                <w:rFonts w:cs="Calibri"/>
                <w:szCs w:val="18"/>
                <w:lang w:val="en-NZ"/>
              </w:rPr>
            </w:pPr>
            <w:r w:rsidRPr="004C2DCD">
              <w:rPr>
                <w:lang w:val="en-NZ"/>
              </w:rPr>
              <w:t>Methanol production</w:t>
            </w:r>
          </w:p>
        </w:tc>
        <w:tc>
          <w:tcPr>
            <w:tcW w:w="2835" w:type="dxa"/>
          </w:tcPr>
          <w:p w14:paraId="632EFF1F" w14:textId="77777777" w:rsidR="00F51113" w:rsidRPr="004C2DCD" w:rsidRDefault="00F51113">
            <w:pPr>
              <w:pStyle w:val="TableText"/>
              <w:spacing w:before="40" w:after="40"/>
              <w:rPr>
                <w:rFonts w:cs="Calibri"/>
                <w:szCs w:val="18"/>
                <w:lang w:val="en-NZ"/>
              </w:rPr>
            </w:pPr>
            <w:r w:rsidRPr="004C2DCD">
              <w:rPr>
                <w:lang w:val="en-NZ"/>
              </w:rPr>
              <w:t>Train 1 stays closed</w:t>
            </w:r>
          </w:p>
        </w:tc>
        <w:tc>
          <w:tcPr>
            <w:tcW w:w="3402" w:type="dxa"/>
          </w:tcPr>
          <w:p w14:paraId="1CFE2A32" w14:textId="77777777" w:rsidR="00F51113" w:rsidRPr="004C2DCD" w:rsidRDefault="00F51113">
            <w:pPr>
              <w:pStyle w:val="TableText"/>
              <w:spacing w:before="40" w:after="40"/>
              <w:rPr>
                <w:rFonts w:cs="Calibri"/>
                <w:szCs w:val="18"/>
                <w:lang w:val="en-NZ"/>
              </w:rPr>
            </w:pPr>
            <w:r w:rsidRPr="004C2DCD">
              <w:rPr>
                <w:lang w:val="en-NZ"/>
              </w:rPr>
              <w:t>Trains close in 2030 and 2040</w:t>
            </w:r>
          </w:p>
        </w:tc>
      </w:tr>
      <w:tr w:rsidR="00F51113" w:rsidRPr="004C2DCD" w14:paraId="287CD8F9" w14:textId="77777777">
        <w:tc>
          <w:tcPr>
            <w:tcW w:w="2268" w:type="dxa"/>
          </w:tcPr>
          <w:p w14:paraId="31A5317B" w14:textId="77777777" w:rsidR="00F51113" w:rsidRPr="004C2DCD" w:rsidRDefault="00F51113">
            <w:pPr>
              <w:pStyle w:val="TableText"/>
              <w:spacing w:before="40"/>
              <w:rPr>
                <w:rFonts w:cs="Calibri"/>
                <w:szCs w:val="18"/>
                <w:lang w:val="en-NZ"/>
              </w:rPr>
            </w:pPr>
            <w:r w:rsidRPr="004C2DCD">
              <w:rPr>
                <w:lang w:val="en-NZ"/>
              </w:rPr>
              <w:t>Population and GDP growth</w:t>
            </w:r>
          </w:p>
        </w:tc>
        <w:tc>
          <w:tcPr>
            <w:tcW w:w="2835" w:type="dxa"/>
          </w:tcPr>
          <w:p w14:paraId="29680C02" w14:textId="77777777" w:rsidR="00F51113" w:rsidRPr="004C2DCD" w:rsidRDefault="00F51113">
            <w:pPr>
              <w:pStyle w:val="TableText"/>
              <w:spacing w:before="40" w:after="40"/>
              <w:rPr>
                <w:rFonts w:cs="Calibri"/>
                <w:szCs w:val="18"/>
                <w:lang w:val="en-NZ"/>
              </w:rPr>
            </w:pPr>
            <w:r w:rsidRPr="004C2DCD">
              <w:rPr>
                <w:lang w:val="en-NZ"/>
              </w:rPr>
              <w:t>Low</w:t>
            </w:r>
          </w:p>
        </w:tc>
        <w:tc>
          <w:tcPr>
            <w:tcW w:w="3402" w:type="dxa"/>
          </w:tcPr>
          <w:p w14:paraId="17A177C7" w14:textId="77777777" w:rsidR="00F51113" w:rsidRPr="004C2DCD" w:rsidRDefault="00F51113">
            <w:pPr>
              <w:pStyle w:val="TableText"/>
              <w:spacing w:before="40" w:after="40"/>
              <w:rPr>
                <w:rFonts w:cs="Calibri"/>
                <w:szCs w:val="18"/>
                <w:lang w:val="en-NZ"/>
              </w:rPr>
            </w:pPr>
            <w:r w:rsidRPr="004C2DCD">
              <w:rPr>
                <w:lang w:val="en-NZ"/>
              </w:rPr>
              <w:t>High</w:t>
            </w:r>
          </w:p>
        </w:tc>
      </w:tr>
      <w:tr w:rsidR="00F51113" w:rsidRPr="004C2DCD" w14:paraId="2FCCAEB7" w14:textId="77777777">
        <w:tc>
          <w:tcPr>
            <w:tcW w:w="2268" w:type="dxa"/>
          </w:tcPr>
          <w:p w14:paraId="589C8D77" w14:textId="77777777" w:rsidR="00F51113" w:rsidRPr="004C2DCD" w:rsidRDefault="00F51113">
            <w:pPr>
              <w:pStyle w:val="TableText"/>
              <w:spacing w:before="40"/>
              <w:rPr>
                <w:rFonts w:cs="Calibri"/>
                <w:szCs w:val="18"/>
                <w:lang w:val="en-NZ"/>
              </w:rPr>
            </w:pPr>
            <w:r w:rsidRPr="004C2DCD">
              <w:rPr>
                <w:lang w:val="en-NZ"/>
              </w:rPr>
              <w:t>Battery prices</w:t>
            </w:r>
          </w:p>
        </w:tc>
        <w:tc>
          <w:tcPr>
            <w:tcW w:w="2835" w:type="dxa"/>
          </w:tcPr>
          <w:p w14:paraId="08EBF33D" w14:textId="77777777" w:rsidR="00F51113" w:rsidRPr="004C2DCD" w:rsidRDefault="00F51113">
            <w:pPr>
              <w:pStyle w:val="TableText"/>
              <w:spacing w:before="40" w:after="40"/>
              <w:rPr>
                <w:rFonts w:cs="Calibri"/>
                <w:szCs w:val="18"/>
                <w:lang w:val="en-NZ"/>
              </w:rPr>
            </w:pPr>
            <w:r w:rsidRPr="004C2DCD">
              <w:rPr>
                <w:lang w:val="en-NZ"/>
              </w:rPr>
              <w:t>Larger cost reductions</w:t>
            </w:r>
          </w:p>
        </w:tc>
        <w:tc>
          <w:tcPr>
            <w:tcW w:w="3402" w:type="dxa"/>
          </w:tcPr>
          <w:p w14:paraId="5EDF18F1" w14:textId="77777777" w:rsidR="00F51113" w:rsidRPr="004C2DCD" w:rsidRDefault="00F51113">
            <w:pPr>
              <w:pStyle w:val="TableText"/>
              <w:spacing w:before="40" w:after="40"/>
              <w:rPr>
                <w:rFonts w:cs="Calibri"/>
                <w:szCs w:val="18"/>
                <w:lang w:val="en-NZ"/>
              </w:rPr>
            </w:pPr>
            <w:r w:rsidRPr="004C2DCD">
              <w:rPr>
                <w:lang w:val="en-NZ"/>
              </w:rPr>
              <w:t>Smaller cost reductions</w:t>
            </w:r>
          </w:p>
        </w:tc>
      </w:tr>
      <w:tr w:rsidR="00F51113" w:rsidRPr="004C2DCD" w14:paraId="43D92904" w14:textId="77777777">
        <w:tc>
          <w:tcPr>
            <w:tcW w:w="2268" w:type="dxa"/>
          </w:tcPr>
          <w:p w14:paraId="5A57822A" w14:textId="77777777" w:rsidR="00F51113" w:rsidRPr="004C2DCD" w:rsidRDefault="00F51113">
            <w:pPr>
              <w:pStyle w:val="TableText"/>
              <w:spacing w:before="40"/>
              <w:rPr>
                <w:rFonts w:cs="Calibri"/>
                <w:szCs w:val="18"/>
                <w:lang w:val="en-NZ"/>
              </w:rPr>
            </w:pPr>
            <w:r w:rsidRPr="004C2DCD">
              <w:rPr>
                <w:lang w:val="en-NZ"/>
              </w:rPr>
              <w:t>International EV prices</w:t>
            </w:r>
          </w:p>
        </w:tc>
        <w:tc>
          <w:tcPr>
            <w:tcW w:w="2835" w:type="dxa"/>
          </w:tcPr>
          <w:p w14:paraId="6A295D5F" w14:textId="77777777" w:rsidR="00F51113" w:rsidRPr="004C2DCD" w:rsidRDefault="00F51113">
            <w:pPr>
              <w:pStyle w:val="TableText"/>
              <w:spacing w:before="40" w:after="40"/>
              <w:rPr>
                <w:rFonts w:cs="Calibri"/>
                <w:szCs w:val="18"/>
                <w:lang w:val="en-NZ"/>
              </w:rPr>
            </w:pPr>
            <w:r w:rsidRPr="004C2DCD">
              <w:rPr>
                <w:lang w:val="en-NZ"/>
              </w:rPr>
              <w:t>Lower</w:t>
            </w:r>
          </w:p>
        </w:tc>
        <w:tc>
          <w:tcPr>
            <w:tcW w:w="3402" w:type="dxa"/>
          </w:tcPr>
          <w:p w14:paraId="4FEFF6BA" w14:textId="77777777" w:rsidR="00F51113" w:rsidRPr="004C2DCD" w:rsidRDefault="00F51113">
            <w:pPr>
              <w:pStyle w:val="TableText"/>
              <w:spacing w:before="40" w:after="40"/>
              <w:rPr>
                <w:rFonts w:cs="Calibri"/>
                <w:szCs w:val="18"/>
                <w:lang w:val="en-NZ"/>
              </w:rPr>
            </w:pPr>
            <w:r w:rsidRPr="004C2DCD">
              <w:rPr>
                <w:lang w:val="en-NZ"/>
              </w:rPr>
              <w:t>Higher</w:t>
            </w:r>
          </w:p>
        </w:tc>
      </w:tr>
      <w:tr w:rsidR="00F51113" w:rsidRPr="004C2DCD" w14:paraId="6C415E22" w14:textId="77777777">
        <w:tc>
          <w:tcPr>
            <w:tcW w:w="2268" w:type="dxa"/>
          </w:tcPr>
          <w:p w14:paraId="7D076A6C" w14:textId="77777777" w:rsidR="00F51113" w:rsidRPr="004C2DCD" w:rsidRDefault="00F51113">
            <w:pPr>
              <w:pStyle w:val="TableText"/>
              <w:spacing w:before="40"/>
              <w:rPr>
                <w:rFonts w:cs="Calibri"/>
                <w:szCs w:val="18"/>
                <w:lang w:val="en-NZ"/>
              </w:rPr>
            </w:pPr>
            <w:r w:rsidRPr="004C2DCD">
              <w:rPr>
                <w:lang w:val="en-NZ"/>
              </w:rPr>
              <w:t>EV supply constraints</w:t>
            </w:r>
          </w:p>
        </w:tc>
        <w:tc>
          <w:tcPr>
            <w:tcW w:w="2835" w:type="dxa"/>
          </w:tcPr>
          <w:p w14:paraId="208AA7A0" w14:textId="77777777" w:rsidR="00F51113" w:rsidRPr="004C2DCD" w:rsidRDefault="00F51113">
            <w:pPr>
              <w:pStyle w:val="TableText"/>
              <w:spacing w:before="40" w:after="40"/>
              <w:rPr>
                <w:rFonts w:cs="Calibri"/>
                <w:szCs w:val="18"/>
                <w:lang w:val="en-NZ"/>
              </w:rPr>
            </w:pPr>
            <w:r w:rsidRPr="004C2DCD">
              <w:rPr>
                <w:lang w:val="en-NZ"/>
              </w:rPr>
              <w:t>Reduced</w:t>
            </w:r>
          </w:p>
        </w:tc>
        <w:tc>
          <w:tcPr>
            <w:tcW w:w="3402" w:type="dxa"/>
          </w:tcPr>
          <w:p w14:paraId="024D584E" w14:textId="77777777" w:rsidR="00F51113" w:rsidRPr="004C2DCD" w:rsidRDefault="00F51113">
            <w:pPr>
              <w:pStyle w:val="TableText"/>
              <w:spacing w:before="40" w:after="40"/>
              <w:rPr>
                <w:rFonts w:cs="Calibri"/>
                <w:szCs w:val="18"/>
                <w:lang w:val="en-NZ"/>
              </w:rPr>
            </w:pPr>
            <w:r w:rsidRPr="004C2DCD">
              <w:rPr>
                <w:lang w:val="en-NZ"/>
              </w:rPr>
              <w:t>No change</w:t>
            </w:r>
          </w:p>
        </w:tc>
      </w:tr>
      <w:tr w:rsidR="00F51113" w:rsidRPr="004C2DCD" w14:paraId="3B8C0462" w14:textId="77777777">
        <w:tc>
          <w:tcPr>
            <w:tcW w:w="2268" w:type="dxa"/>
          </w:tcPr>
          <w:p w14:paraId="22C5283B" w14:textId="77777777" w:rsidR="00F51113" w:rsidRPr="004C2DCD" w:rsidRDefault="00F51113">
            <w:pPr>
              <w:pStyle w:val="TableText"/>
              <w:spacing w:before="40"/>
              <w:rPr>
                <w:rFonts w:cs="Calibri"/>
                <w:szCs w:val="18"/>
                <w:lang w:val="en-NZ"/>
              </w:rPr>
            </w:pPr>
            <w:r w:rsidRPr="004C2DCD">
              <w:rPr>
                <w:lang w:val="en-NZ"/>
              </w:rPr>
              <w:t>Vehicle kilometres travelled</w:t>
            </w:r>
          </w:p>
        </w:tc>
        <w:tc>
          <w:tcPr>
            <w:tcW w:w="2835" w:type="dxa"/>
          </w:tcPr>
          <w:p w14:paraId="00A51CCE" w14:textId="77777777" w:rsidR="00F51113" w:rsidRPr="004C2DCD" w:rsidRDefault="00F51113">
            <w:pPr>
              <w:pStyle w:val="TableText"/>
              <w:spacing w:before="40" w:after="40"/>
              <w:rPr>
                <w:rFonts w:cs="Calibri"/>
                <w:szCs w:val="18"/>
                <w:lang w:val="en-NZ"/>
              </w:rPr>
            </w:pPr>
            <w:r w:rsidRPr="004C2DCD">
              <w:rPr>
                <w:lang w:val="en-NZ"/>
              </w:rPr>
              <w:t>No increase</w:t>
            </w:r>
          </w:p>
        </w:tc>
        <w:tc>
          <w:tcPr>
            <w:tcW w:w="3402" w:type="dxa"/>
          </w:tcPr>
          <w:p w14:paraId="594EB53E" w14:textId="77777777" w:rsidR="00F51113" w:rsidRPr="004C2DCD" w:rsidRDefault="00F51113">
            <w:pPr>
              <w:pStyle w:val="TableText"/>
              <w:spacing w:before="40" w:after="40"/>
              <w:rPr>
                <w:rFonts w:cs="Calibri"/>
                <w:szCs w:val="18"/>
                <w:lang w:val="en-NZ"/>
              </w:rPr>
            </w:pPr>
            <w:r w:rsidRPr="004C2DCD">
              <w:rPr>
                <w:lang w:val="en-NZ"/>
              </w:rPr>
              <w:t>Increase</w:t>
            </w:r>
          </w:p>
        </w:tc>
      </w:tr>
      <w:tr w:rsidR="00F51113" w:rsidRPr="004C2DCD" w14:paraId="49AB3469" w14:textId="77777777">
        <w:tc>
          <w:tcPr>
            <w:tcW w:w="2268" w:type="dxa"/>
          </w:tcPr>
          <w:p w14:paraId="05910862" w14:textId="77777777" w:rsidR="00F51113" w:rsidRPr="004C2DCD" w:rsidRDefault="00F51113">
            <w:pPr>
              <w:pStyle w:val="TableText"/>
              <w:spacing w:before="40"/>
              <w:rPr>
                <w:rFonts w:cs="Calibri"/>
                <w:szCs w:val="18"/>
                <w:lang w:val="en-NZ"/>
              </w:rPr>
            </w:pPr>
            <w:r w:rsidRPr="004C2DCD">
              <w:rPr>
                <w:lang w:val="en-NZ"/>
              </w:rPr>
              <w:t>Livestock numbers</w:t>
            </w:r>
          </w:p>
        </w:tc>
        <w:tc>
          <w:tcPr>
            <w:tcW w:w="2835" w:type="dxa"/>
          </w:tcPr>
          <w:p w14:paraId="27FB56D8" w14:textId="77777777" w:rsidR="00F51113" w:rsidRPr="004C2DCD" w:rsidRDefault="00F51113">
            <w:pPr>
              <w:pStyle w:val="TableText"/>
              <w:spacing w:before="40" w:after="40"/>
              <w:rPr>
                <w:rFonts w:cs="Calibri"/>
                <w:szCs w:val="18"/>
                <w:lang w:val="en-NZ"/>
              </w:rPr>
            </w:pPr>
            <w:r w:rsidRPr="004C2DCD">
              <w:rPr>
                <w:lang w:val="en-NZ"/>
              </w:rPr>
              <w:t>Lower stocking rate</w:t>
            </w:r>
          </w:p>
        </w:tc>
        <w:tc>
          <w:tcPr>
            <w:tcW w:w="3402" w:type="dxa"/>
          </w:tcPr>
          <w:p w14:paraId="703F5BA1" w14:textId="77777777" w:rsidR="00F51113" w:rsidRPr="004C2DCD" w:rsidRDefault="00F51113">
            <w:pPr>
              <w:pStyle w:val="TableText"/>
              <w:spacing w:before="40" w:after="40"/>
              <w:rPr>
                <w:rFonts w:cs="Calibri"/>
                <w:szCs w:val="18"/>
                <w:lang w:val="en-NZ"/>
              </w:rPr>
            </w:pPr>
            <w:r w:rsidRPr="004C2DCD">
              <w:rPr>
                <w:lang w:val="en-NZ"/>
              </w:rPr>
              <w:t>Higher stocking rate</w:t>
            </w:r>
          </w:p>
        </w:tc>
      </w:tr>
      <w:tr w:rsidR="00F51113" w:rsidRPr="004C2DCD" w14:paraId="341415DB" w14:textId="77777777">
        <w:tc>
          <w:tcPr>
            <w:tcW w:w="2268" w:type="dxa"/>
          </w:tcPr>
          <w:p w14:paraId="480682FA" w14:textId="77777777" w:rsidR="00F51113" w:rsidRPr="004C2DCD" w:rsidRDefault="00F51113">
            <w:pPr>
              <w:pStyle w:val="TableText"/>
              <w:spacing w:before="40"/>
              <w:rPr>
                <w:rFonts w:cs="Calibri"/>
                <w:szCs w:val="18"/>
                <w:lang w:val="en-NZ"/>
              </w:rPr>
            </w:pPr>
            <w:r w:rsidRPr="004C2DCD">
              <w:rPr>
                <w:lang w:val="en-NZ"/>
              </w:rPr>
              <w:t>Afforestation and deforestation levels</w:t>
            </w:r>
          </w:p>
        </w:tc>
        <w:tc>
          <w:tcPr>
            <w:tcW w:w="2835" w:type="dxa"/>
          </w:tcPr>
          <w:p w14:paraId="3CDB7AB3" w14:textId="77777777" w:rsidR="00F51113" w:rsidRPr="004C2DCD" w:rsidRDefault="00F51113">
            <w:pPr>
              <w:pStyle w:val="TableText"/>
              <w:spacing w:before="40" w:after="40"/>
              <w:rPr>
                <w:rFonts w:cs="Calibri"/>
                <w:szCs w:val="18"/>
                <w:lang w:val="en-NZ"/>
              </w:rPr>
            </w:pPr>
            <w:r w:rsidRPr="004C2DCD">
              <w:rPr>
                <w:lang w:val="en-NZ"/>
              </w:rPr>
              <w:t>Higher/lower</w:t>
            </w:r>
          </w:p>
        </w:tc>
        <w:tc>
          <w:tcPr>
            <w:tcW w:w="3402" w:type="dxa"/>
          </w:tcPr>
          <w:p w14:paraId="4AFF029D" w14:textId="77777777" w:rsidR="00F51113" w:rsidRPr="004C2DCD" w:rsidRDefault="00F51113">
            <w:pPr>
              <w:pStyle w:val="TableText"/>
              <w:spacing w:before="40" w:after="40"/>
              <w:rPr>
                <w:rFonts w:cs="Calibri"/>
                <w:szCs w:val="18"/>
                <w:lang w:val="en-NZ"/>
              </w:rPr>
            </w:pPr>
            <w:r w:rsidRPr="004C2DCD">
              <w:rPr>
                <w:lang w:val="en-NZ"/>
              </w:rPr>
              <w:t>Lower/higher</w:t>
            </w:r>
          </w:p>
        </w:tc>
      </w:tr>
      <w:tr w:rsidR="00F51113" w:rsidRPr="004C2DCD" w14:paraId="4B760D5A" w14:textId="77777777">
        <w:tc>
          <w:tcPr>
            <w:tcW w:w="2268" w:type="dxa"/>
          </w:tcPr>
          <w:p w14:paraId="01973DB7" w14:textId="77777777" w:rsidR="00F51113" w:rsidRPr="004C2DCD" w:rsidRDefault="00F51113">
            <w:pPr>
              <w:pStyle w:val="TableText"/>
              <w:spacing w:before="40"/>
              <w:rPr>
                <w:rFonts w:cs="Calibri"/>
                <w:szCs w:val="18"/>
                <w:lang w:val="en-NZ"/>
              </w:rPr>
            </w:pPr>
            <w:r w:rsidRPr="004C2DCD">
              <w:rPr>
                <w:lang w:val="en-NZ"/>
              </w:rPr>
              <w:t>Waste</w:t>
            </w:r>
          </w:p>
        </w:tc>
        <w:tc>
          <w:tcPr>
            <w:tcW w:w="2835" w:type="dxa"/>
          </w:tcPr>
          <w:p w14:paraId="22275014" w14:textId="77777777" w:rsidR="00F51113" w:rsidRPr="004C2DCD" w:rsidRDefault="00F51113">
            <w:pPr>
              <w:pStyle w:val="TableText"/>
              <w:spacing w:before="40" w:after="40"/>
              <w:rPr>
                <w:rFonts w:cs="Calibri"/>
                <w:szCs w:val="18"/>
                <w:lang w:val="en-NZ"/>
              </w:rPr>
            </w:pPr>
            <w:r w:rsidRPr="004C2DCD">
              <w:rPr>
                <w:lang w:val="en-NZ"/>
              </w:rPr>
              <w:t>Lower tonnage and more diversion</w:t>
            </w:r>
          </w:p>
        </w:tc>
        <w:tc>
          <w:tcPr>
            <w:tcW w:w="3402" w:type="dxa"/>
          </w:tcPr>
          <w:p w14:paraId="5937C464" w14:textId="77777777" w:rsidR="00F51113" w:rsidRPr="004C2DCD" w:rsidRDefault="00F51113">
            <w:pPr>
              <w:pStyle w:val="TableText"/>
              <w:spacing w:before="40" w:after="40"/>
              <w:rPr>
                <w:rFonts w:cs="Calibri"/>
                <w:spacing w:val="-2"/>
                <w:szCs w:val="18"/>
                <w:lang w:val="en-NZ"/>
              </w:rPr>
            </w:pPr>
            <w:r w:rsidRPr="004C2DCD">
              <w:rPr>
                <w:spacing w:val="-2"/>
                <w:lang w:val="en-NZ"/>
              </w:rPr>
              <w:t>Higher tonnage and more diversion, LFG 20%</w:t>
            </w:r>
          </w:p>
        </w:tc>
      </w:tr>
    </w:tbl>
    <w:p w14:paraId="0AEB0FC3" w14:textId="77777777" w:rsidR="00F51113" w:rsidRPr="004C2DCD" w:rsidRDefault="00F51113" w:rsidP="00F51113">
      <w:pPr>
        <w:pStyle w:val="Note"/>
      </w:pPr>
      <w:r w:rsidRPr="004C2DCD">
        <w:rPr>
          <w:b/>
          <w:bCs/>
        </w:rPr>
        <w:t>Note:</w:t>
      </w:r>
      <w:r w:rsidRPr="004C2DCD">
        <w:t xml:space="preserve"> EV = electric vehicle; GDP = gross domestic product; LFG = landfill gas capture.</w:t>
      </w:r>
    </w:p>
    <w:p w14:paraId="76C86C0D" w14:textId="4FD0758F" w:rsidR="00F51113" w:rsidRPr="004C2DCD" w:rsidRDefault="00EF583A" w:rsidP="00F51113">
      <w:pPr>
        <w:pStyle w:val="BodyText"/>
      </w:pPr>
      <w:hyperlink w:anchor="table2516" w:history="1">
        <w:r w:rsidR="00F51113" w:rsidRPr="00EF583A">
          <w:rPr>
            <w:rStyle w:val="Hyperlink"/>
          </w:rPr>
          <w:t>Table 2.5.16</w:t>
        </w:r>
      </w:hyperlink>
      <w:r w:rsidR="00F51113" w:rsidRPr="004C2DCD">
        <w:t xml:space="preserve"> and </w:t>
      </w:r>
      <w:hyperlink w:anchor="figure2514" w:history="1">
        <w:r w:rsidR="00F51113" w:rsidRPr="00EF583A">
          <w:rPr>
            <w:rStyle w:val="Hyperlink"/>
          </w:rPr>
          <w:t>figure 2.5.14</w:t>
        </w:r>
      </w:hyperlink>
      <w:r w:rsidR="00F51113" w:rsidRPr="004C2DCD">
        <w:t xml:space="preserve"> show high and low gross WEM emissions scenarios based on those different assumptions and reflect the Energy, Transport, IPPU, Agriculture and Waste sectors only.</w:t>
      </w:r>
    </w:p>
    <w:p w14:paraId="01E6221E" w14:textId="4F91C65B" w:rsidR="00F51113" w:rsidRPr="004C2DCD" w:rsidRDefault="00F51113" w:rsidP="003038F0">
      <w:pPr>
        <w:pStyle w:val="Figureheading"/>
        <w:ind w:left="1276" w:hanging="1276"/>
      </w:pPr>
      <w:bookmarkStart w:id="615" w:name="figure2514"/>
      <w:bookmarkStart w:id="616" w:name="_Toc185347258"/>
      <w:r w:rsidRPr="004C2DCD">
        <w:t>Figure 2.5.14</w:t>
      </w:r>
      <w:bookmarkEnd w:id="615"/>
      <w:r w:rsidRPr="004C2DCD">
        <w:t xml:space="preserve">: </w:t>
      </w:r>
      <w:r w:rsidRPr="004C2DCD">
        <w:tab/>
        <w:t>Gross greenhouse gas emissions under the ‘with existing measures’,</w:t>
      </w:r>
      <w:r w:rsidRPr="004C2DCD">
        <w:br/>
        <w:t>high</w:t>
      </w:r>
      <w:r w:rsidR="00B763DD">
        <w:noBreakHyphen/>
      </w:r>
      <w:r w:rsidRPr="004C2DCD">
        <w:t xml:space="preserve"> and low-emissions scenarios, 1990–2050</w:t>
      </w:r>
      <w:bookmarkEnd w:id="616"/>
    </w:p>
    <w:p w14:paraId="74B781E2" w14:textId="21DC5083" w:rsidR="00F51113" w:rsidRPr="004C2DCD" w:rsidRDefault="00090FBA" w:rsidP="00642E32">
      <w:pPr>
        <w:pStyle w:val="BodyText"/>
        <w:spacing w:before="80" w:after="80"/>
        <w:jc w:val="center"/>
      </w:pPr>
      <w:r>
        <w:rPr>
          <w:noProof/>
        </w:rPr>
        <w:drawing>
          <wp:inline distT="0" distB="0" distL="0" distR="0" wp14:anchorId="1B7F1A97" wp14:editId="734FAD1F">
            <wp:extent cx="5040000" cy="2860311"/>
            <wp:effectExtent l="0" t="0" r="8255" b="0"/>
            <wp:docPr id="888002634" name="Picture 39" descr="A line graph showing greenhouse gas emissions in million tonnes carbon dioxide equivalent under the ‘with existing measures’ high- and low- scenarios for the period 1990 to 2050. It plots the paths of gross historical emissions, gross projected emissions (high scenario), gross projected emissions and gross projected emissions (low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02634" name="Picture 39" descr="A line graph showing greenhouse gas emissions in million tonnes carbon dioxide equivalent under the ‘with existing measures’ high- and low- scenarios for the period 1990 to 2050. It plots the paths of gross historical emissions, gross projected emissions (high scenario), gross projected emissions and gross projected emissions (low scenari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40000" cy="2860311"/>
                    </a:xfrm>
                    <a:prstGeom prst="rect">
                      <a:avLst/>
                    </a:prstGeom>
                    <a:noFill/>
                  </pic:spPr>
                </pic:pic>
              </a:graphicData>
            </a:graphic>
          </wp:inline>
        </w:drawing>
      </w:r>
    </w:p>
    <w:p w14:paraId="3EFEA2A8" w14:textId="77777777" w:rsidR="00F51113" w:rsidRPr="004C2DCD" w:rsidRDefault="00F51113" w:rsidP="00F51113">
      <w:pPr>
        <w:pStyle w:val="Note"/>
      </w:pPr>
      <w:r w:rsidRPr="004C2DCD">
        <w:rPr>
          <w:b/>
          <w:bCs/>
        </w:rPr>
        <w:t>Note:</w:t>
      </w:r>
      <w:r w:rsidRPr="004C2DCD">
        <w:t xml:space="preserve"> Mt CO</w:t>
      </w:r>
      <w:r w:rsidRPr="004C2DCD">
        <w:rPr>
          <w:vertAlign w:val="subscript"/>
        </w:rPr>
        <w:t>2</w:t>
      </w:r>
      <w:r w:rsidRPr="004C2DCD">
        <w:t>e =</w:t>
      </w:r>
      <w:r w:rsidRPr="004C2DCD">
        <w:rPr>
          <w:b/>
          <w:bCs/>
        </w:rPr>
        <w:t xml:space="preserve"> </w:t>
      </w:r>
      <w:r w:rsidRPr="004C2DCD">
        <w:t>million tonnes of carbon dioxide equivalent.</w:t>
      </w:r>
    </w:p>
    <w:p w14:paraId="49B2D2A2" w14:textId="77777777" w:rsidR="00F51113" w:rsidRPr="004C2DCD" w:rsidRDefault="00F51113" w:rsidP="00F51113">
      <w:pPr>
        <w:pStyle w:val="Tableheading"/>
        <w:ind w:left="1276" w:hanging="1276"/>
      </w:pPr>
      <w:bookmarkStart w:id="617" w:name="table2516"/>
      <w:bookmarkStart w:id="618" w:name="_Toc183789708"/>
      <w:bookmarkStart w:id="619" w:name="_Toc185407481"/>
      <w:bookmarkStart w:id="620" w:name="_Toc185427744"/>
      <w:r w:rsidRPr="004C2DCD">
        <w:t>Table 2.5.16</w:t>
      </w:r>
      <w:bookmarkEnd w:id="617"/>
      <w:r w:rsidRPr="004C2DCD">
        <w:t xml:space="preserve">: </w:t>
      </w:r>
      <w:r w:rsidRPr="004C2DCD">
        <w:tab/>
        <w:t>Projected gross emissions under ‘with existing measures’, high- and low-emissions scenarios, 1990–2050 (Mt CO</w:t>
      </w:r>
      <w:r w:rsidRPr="004C2DCD">
        <w:rPr>
          <w:vertAlign w:val="subscript"/>
        </w:rPr>
        <w:t>2</w:t>
      </w:r>
      <w:r w:rsidRPr="004C2DCD">
        <w:t>e)</w:t>
      </w:r>
      <w:bookmarkEnd w:id="618"/>
      <w:bookmarkEnd w:id="619"/>
      <w:bookmarkEnd w:id="620"/>
    </w:p>
    <w:tbl>
      <w:tblPr>
        <w:tblStyle w:val="TableGrid1"/>
        <w:tblW w:w="8505" w:type="dxa"/>
        <w:tblInd w:w="0" w:type="dxa"/>
        <w:tblLayout w:type="fixed"/>
        <w:tblCellMar>
          <w:left w:w="85" w:type="dxa"/>
          <w:right w:w="85" w:type="dxa"/>
        </w:tblCellMar>
        <w:tblLook w:val="04A0" w:firstRow="1" w:lastRow="0" w:firstColumn="1" w:lastColumn="0" w:noHBand="0" w:noVBand="1"/>
      </w:tblPr>
      <w:tblGrid>
        <w:gridCol w:w="2835"/>
        <w:gridCol w:w="709"/>
        <w:gridCol w:w="709"/>
        <w:gridCol w:w="709"/>
        <w:gridCol w:w="708"/>
        <w:gridCol w:w="709"/>
        <w:gridCol w:w="709"/>
        <w:gridCol w:w="709"/>
        <w:gridCol w:w="708"/>
      </w:tblGrid>
      <w:tr w:rsidR="00F51113" w:rsidRPr="004C2DCD" w14:paraId="02D0D110" w14:textId="77777777" w:rsidTr="00001CE2">
        <w:trPr>
          <w:tblHeader/>
        </w:trPr>
        <w:tc>
          <w:tcPr>
            <w:tcW w:w="2835" w:type="dxa"/>
            <w:shd w:val="clear" w:color="auto" w:fill="1B556B" w:themeFill="text2"/>
          </w:tcPr>
          <w:p w14:paraId="6C477541" w14:textId="77777777" w:rsidR="00F51113" w:rsidRPr="004C2DCD" w:rsidRDefault="00F51113">
            <w:pPr>
              <w:pStyle w:val="TableText"/>
              <w:keepNext/>
              <w:spacing w:before="40" w:after="40"/>
              <w:rPr>
                <w:b/>
                <w:bCs/>
                <w:color w:val="FFFFFF" w:themeColor="background1"/>
                <w:szCs w:val="18"/>
                <w:lang w:val="en-NZ"/>
              </w:rPr>
            </w:pPr>
            <w:r w:rsidRPr="004C2DCD">
              <w:rPr>
                <w:b/>
                <w:bCs/>
                <w:color w:val="FFFFFF" w:themeColor="background1"/>
                <w:szCs w:val="18"/>
                <w:lang w:val="en-NZ"/>
              </w:rPr>
              <w:t>Scenario</w:t>
            </w:r>
          </w:p>
        </w:tc>
        <w:tc>
          <w:tcPr>
            <w:tcW w:w="709" w:type="dxa"/>
            <w:shd w:val="clear" w:color="auto" w:fill="1B556B" w:themeFill="text2"/>
          </w:tcPr>
          <w:p w14:paraId="0C6A27BE"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1990</w:t>
            </w:r>
          </w:p>
        </w:tc>
        <w:tc>
          <w:tcPr>
            <w:tcW w:w="709" w:type="dxa"/>
            <w:shd w:val="clear" w:color="auto" w:fill="1B556B" w:themeFill="text2"/>
          </w:tcPr>
          <w:p w14:paraId="5F835181"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2020</w:t>
            </w:r>
          </w:p>
        </w:tc>
        <w:tc>
          <w:tcPr>
            <w:tcW w:w="709" w:type="dxa"/>
            <w:shd w:val="clear" w:color="auto" w:fill="1B556B" w:themeFill="text2"/>
          </w:tcPr>
          <w:p w14:paraId="4BDAA584"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2025</w:t>
            </w:r>
          </w:p>
        </w:tc>
        <w:tc>
          <w:tcPr>
            <w:tcW w:w="708" w:type="dxa"/>
            <w:shd w:val="clear" w:color="auto" w:fill="1B556B" w:themeFill="text2"/>
          </w:tcPr>
          <w:p w14:paraId="1E0CA920"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2030</w:t>
            </w:r>
          </w:p>
        </w:tc>
        <w:tc>
          <w:tcPr>
            <w:tcW w:w="709" w:type="dxa"/>
            <w:shd w:val="clear" w:color="auto" w:fill="1B556B" w:themeFill="text2"/>
          </w:tcPr>
          <w:p w14:paraId="66C0E0E0"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2035</w:t>
            </w:r>
          </w:p>
        </w:tc>
        <w:tc>
          <w:tcPr>
            <w:tcW w:w="709" w:type="dxa"/>
            <w:shd w:val="clear" w:color="auto" w:fill="1B556B" w:themeFill="text2"/>
          </w:tcPr>
          <w:p w14:paraId="107FF0AE"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2040</w:t>
            </w:r>
          </w:p>
        </w:tc>
        <w:tc>
          <w:tcPr>
            <w:tcW w:w="709" w:type="dxa"/>
            <w:shd w:val="clear" w:color="auto" w:fill="1B556B" w:themeFill="text2"/>
          </w:tcPr>
          <w:p w14:paraId="17410DFE"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2045</w:t>
            </w:r>
          </w:p>
        </w:tc>
        <w:tc>
          <w:tcPr>
            <w:tcW w:w="708" w:type="dxa"/>
            <w:shd w:val="clear" w:color="auto" w:fill="1B556B" w:themeFill="text2"/>
          </w:tcPr>
          <w:p w14:paraId="35C28764"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2050</w:t>
            </w:r>
          </w:p>
        </w:tc>
      </w:tr>
      <w:tr w:rsidR="00F51113" w:rsidRPr="004C2DCD" w14:paraId="5042F56A" w14:textId="77777777" w:rsidTr="00001CE2">
        <w:tc>
          <w:tcPr>
            <w:tcW w:w="2835" w:type="dxa"/>
          </w:tcPr>
          <w:p w14:paraId="1FF0FC1A" w14:textId="77777777" w:rsidR="00F51113" w:rsidRPr="004C2DCD" w:rsidRDefault="00F51113">
            <w:pPr>
              <w:pStyle w:val="TableText"/>
              <w:spacing w:before="40" w:after="40"/>
              <w:rPr>
                <w:rFonts w:cs="Calibri"/>
                <w:szCs w:val="18"/>
                <w:lang w:val="en-NZ"/>
              </w:rPr>
            </w:pPr>
            <w:r w:rsidRPr="004C2DCD">
              <w:rPr>
                <w:rFonts w:cs="Calibri"/>
                <w:szCs w:val="18"/>
                <w:lang w:val="en-NZ"/>
              </w:rPr>
              <w:t xml:space="preserve">High emissions </w:t>
            </w:r>
          </w:p>
        </w:tc>
        <w:tc>
          <w:tcPr>
            <w:tcW w:w="709" w:type="dxa"/>
          </w:tcPr>
          <w:p w14:paraId="7B042824" w14:textId="77777777" w:rsidR="00F51113" w:rsidRPr="004C2DCD" w:rsidRDefault="00F51113">
            <w:pPr>
              <w:pStyle w:val="TableText"/>
              <w:spacing w:before="40" w:after="40"/>
              <w:jc w:val="center"/>
              <w:rPr>
                <w:rFonts w:cs="Calibri"/>
                <w:szCs w:val="18"/>
                <w:lang w:val="en-NZ"/>
              </w:rPr>
            </w:pPr>
            <w:r w:rsidRPr="004C2DCD">
              <w:rPr>
                <w:rFonts w:eastAsia="Times New Roman" w:cs="Calibri"/>
                <w:color w:val="000000"/>
                <w:lang w:val="en-NZ"/>
              </w:rPr>
              <w:t>69.0</w:t>
            </w:r>
          </w:p>
        </w:tc>
        <w:tc>
          <w:tcPr>
            <w:tcW w:w="709" w:type="dxa"/>
          </w:tcPr>
          <w:p w14:paraId="6984F4D9" w14:textId="77777777" w:rsidR="00F51113" w:rsidRPr="004C2DCD" w:rsidRDefault="00F51113">
            <w:pPr>
              <w:pStyle w:val="TableText"/>
              <w:spacing w:before="40" w:after="40"/>
              <w:jc w:val="center"/>
              <w:rPr>
                <w:rFonts w:cs="Calibri"/>
                <w:szCs w:val="18"/>
                <w:lang w:val="en-NZ"/>
              </w:rPr>
            </w:pPr>
            <w:r w:rsidRPr="004C2DCD">
              <w:rPr>
                <w:rFonts w:eastAsia="Times New Roman" w:cs="Calibri"/>
                <w:color w:val="000000"/>
                <w:lang w:val="en-NZ"/>
              </w:rPr>
              <w:t>81.9</w:t>
            </w:r>
          </w:p>
        </w:tc>
        <w:tc>
          <w:tcPr>
            <w:tcW w:w="709" w:type="dxa"/>
          </w:tcPr>
          <w:p w14:paraId="2CB207C5"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78.1</w:t>
            </w:r>
          </w:p>
        </w:tc>
        <w:tc>
          <w:tcPr>
            <w:tcW w:w="708" w:type="dxa"/>
          </w:tcPr>
          <w:p w14:paraId="44E0C95D"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74.1</w:t>
            </w:r>
          </w:p>
        </w:tc>
        <w:tc>
          <w:tcPr>
            <w:tcW w:w="709" w:type="dxa"/>
          </w:tcPr>
          <w:p w14:paraId="7E99C27B"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74.3</w:t>
            </w:r>
          </w:p>
        </w:tc>
        <w:tc>
          <w:tcPr>
            <w:tcW w:w="709" w:type="dxa"/>
          </w:tcPr>
          <w:p w14:paraId="6BC6F6BF"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72.4</w:t>
            </w:r>
          </w:p>
        </w:tc>
        <w:tc>
          <w:tcPr>
            <w:tcW w:w="709" w:type="dxa"/>
          </w:tcPr>
          <w:p w14:paraId="4AF4E636"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71.9</w:t>
            </w:r>
          </w:p>
        </w:tc>
        <w:tc>
          <w:tcPr>
            <w:tcW w:w="708" w:type="dxa"/>
          </w:tcPr>
          <w:p w14:paraId="303083F4"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71.3</w:t>
            </w:r>
          </w:p>
        </w:tc>
      </w:tr>
      <w:tr w:rsidR="00F51113" w:rsidRPr="004C2DCD" w14:paraId="04586D75" w14:textId="77777777" w:rsidTr="00001CE2">
        <w:tc>
          <w:tcPr>
            <w:tcW w:w="2835" w:type="dxa"/>
          </w:tcPr>
          <w:p w14:paraId="33CDD22E" w14:textId="77777777" w:rsidR="00F51113" w:rsidRPr="004C2DCD" w:rsidRDefault="00F51113">
            <w:pPr>
              <w:pStyle w:val="TableText"/>
              <w:spacing w:before="40" w:after="40"/>
              <w:rPr>
                <w:rFonts w:cs="Calibri"/>
                <w:szCs w:val="18"/>
                <w:lang w:val="en-NZ"/>
              </w:rPr>
            </w:pPr>
            <w:r w:rsidRPr="004C2DCD">
              <w:rPr>
                <w:rFonts w:cs="Calibri"/>
                <w:szCs w:val="18"/>
                <w:lang w:val="en-NZ"/>
              </w:rPr>
              <w:t>With existing measures central</w:t>
            </w:r>
          </w:p>
        </w:tc>
        <w:tc>
          <w:tcPr>
            <w:tcW w:w="709" w:type="dxa"/>
          </w:tcPr>
          <w:p w14:paraId="7A04ED0C" w14:textId="77777777" w:rsidR="00F51113" w:rsidRPr="004C2DCD" w:rsidRDefault="00F51113">
            <w:pPr>
              <w:pStyle w:val="TableText"/>
              <w:spacing w:before="40" w:after="40"/>
              <w:jc w:val="center"/>
              <w:rPr>
                <w:rFonts w:cs="Calibri"/>
                <w:szCs w:val="18"/>
                <w:lang w:val="en-NZ"/>
              </w:rPr>
            </w:pPr>
            <w:r w:rsidRPr="004C2DCD">
              <w:rPr>
                <w:rFonts w:eastAsia="Times New Roman" w:cs="Calibri"/>
                <w:color w:val="000000"/>
                <w:lang w:val="en-NZ"/>
              </w:rPr>
              <w:t>69.0</w:t>
            </w:r>
          </w:p>
        </w:tc>
        <w:tc>
          <w:tcPr>
            <w:tcW w:w="709" w:type="dxa"/>
          </w:tcPr>
          <w:p w14:paraId="2A06EA5C" w14:textId="77777777" w:rsidR="00F51113" w:rsidRPr="004C2DCD" w:rsidRDefault="00F51113">
            <w:pPr>
              <w:pStyle w:val="TableText"/>
              <w:spacing w:before="40" w:after="40"/>
              <w:jc w:val="center"/>
              <w:rPr>
                <w:rFonts w:cs="Calibri"/>
                <w:szCs w:val="18"/>
                <w:lang w:val="en-NZ"/>
              </w:rPr>
            </w:pPr>
            <w:r w:rsidRPr="004C2DCD">
              <w:rPr>
                <w:rFonts w:eastAsia="Times New Roman" w:cs="Calibri"/>
                <w:color w:val="000000"/>
                <w:lang w:val="en-NZ"/>
              </w:rPr>
              <w:t>81.9</w:t>
            </w:r>
          </w:p>
        </w:tc>
        <w:tc>
          <w:tcPr>
            <w:tcW w:w="709" w:type="dxa"/>
          </w:tcPr>
          <w:p w14:paraId="66598EC8"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76.5</w:t>
            </w:r>
          </w:p>
        </w:tc>
        <w:tc>
          <w:tcPr>
            <w:tcW w:w="708" w:type="dxa"/>
          </w:tcPr>
          <w:p w14:paraId="14C773D0"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71.7</w:t>
            </w:r>
          </w:p>
        </w:tc>
        <w:tc>
          <w:tcPr>
            <w:tcW w:w="709" w:type="dxa"/>
          </w:tcPr>
          <w:p w14:paraId="42B2AE48"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68.6</w:t>
            </w:r>
          </w:p>
        </w:tc>
        <w:tc>
          <w:tcPr>
            <w:tcW w:w="709" w:type="dxa"/>
          </w:tcPr>
          <w:p w14:paraId="5BD4D114"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66.1</w:t>
            </w:r>
          </w:p>
        </w:tc>
        <w:tc>
          <w:tcPr>
            <w:tcW w:w="709" w:type="dxa"/>
          </w:tcPr>
          <w:p w14:paraId="0E65CCB4"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64.4</w:t>
            </w:r>
          </w:p>
        </w:tc>
        <w:tc>
          <w:tcPr>
            <w:tcW w:w="708" w:type="dxa"/>
          </w:tcPr>
          <w:p w14:paraId="726AC019"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62.9</w:t>
            </w:r>
          </w:p>
        </w:tc>
      </w:tr>
      <w:tr w:rsidR="00F51113" w:rsidRPr="004C2DCD" w14:paraId="154D97F3" w14:textId="77777777" w:rsidTr="00001CE2">
        <w:tc>
          <w:tcPr>
            <w:tcW w:w="2835" w:type="dxa"/>
          </w:tcPr>
          <w:p w14:paraId="4F6BC40C" w14:textId="77777777" w:rsidR="00F51113" w:rsidRPr="004C2DCD" w:rsidRDefault="00F51113">
            <w:pPr>
              <w:pStyle w:val="TableText"/>
              <w:spacing w:before="40" w:after="40"/>
              <w:rPr>
                <w:rFonts w:cs="Calibri"/>
                <w:szCs w:val="18"/>
                <w:lang w:val="en-NZ"/>
              </w:rPr>
            </w:pPr>
            <w:r w:rsidRPr="004C2DCD">
              <w:rPr>
                <w:rFonts w:cs="Calibri"/>
                <w:szCs w:val="18"/>
                <w:lang w:val="en-NZ"/>
              </w:rPr>
              <w:t>Low emissions</w:t>
            </w:r>
          </w:p>
        </w:tc>
        <w:tc>
          <w:tcPr>
            <w:tcW w:w="709" w:type="dxa"/>
          </w:tcPr>
          <w:p w14:paraId="744CD015" w14:textId="77777777" w:rsidR="00F51113" w:rsidRPr="004C2DCD" w:rsidRDefault="00F51113">
            <w:pPr>
              <w:pStyle w:val="TableText"/>
              <w:spacing w:before="40" w:after="40"/>
              <w:jc w:val="center"/>
              <w:rPr>
                <w:rFonts w:cs="Calibri"/>
                <w:szCs w:val="18"/>
                <w:lang w:val="en-NZ"/>
              </w:rPr>
            </w:pPr>
            <w:r w:rsidRPr="004C2DCD">
              <w:rPr>
                <w:rFonts w:eastAsia="Times New Roman" w:cs="Calibri"/>
                <w:color w:val="000000"/>
                <w:lang w:val="en-NZ"/>
              </w:rPr>
              <w:t>69.0</w:t>
            </w:r>
          </w:p>
        </w:tc>
        <w:tc>
          <w:tcPr>
            <w:tcW w:w="709" w:type="dxa"/>
          </w:tcPr>
          <w:p w14:paraId="41D799A9" w14:textId="77777777" w:rsidR="00F51113" w:rsidRPr="004C2DCD" w:rsidRDefault="00F51113">
            <w:pPr>
              <w:pStyle w:val="TableText"/>
              <w:spacing w:before="40" w:after="40"/>
              <w:jc w:val="center"/>
              <w:rPr>
                <w:rFonts w:cs="Calibri"/>
                <w:szCs w:val="18"/>
                <w:lang w:val="en-NZ"/>
              </w:rPr>
            </w:pPr>
            <w:r w:rsidRPr="004C2DCD">
              <w:rPr>
                <w:rFonts w:eastAsia="Times New Roman" w:cs="Calibri"/>
                <w:color w:val="000000"/>
                <w:lang w:val="en-NZ"/>
              </w:rPr>
              <w:t>81.9</w:t>
            </w:r>
          </w:p>
        </w:tc>
        <w:tc>
          <w:tcPr>
            <w:tcW w:w="709" w:type="dxa"/>
          </w:tcPr>
          <w:p w14:paraId="072EAEC2"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74.0</w:t>
            </w:r>
          </w:p>
        </w:tc>
        <w:tc>
          <w:tcPr>
            <w:tcW w:w="708" w:type="dxa"/>
          </w:tcPr>
          <w:p w14:paraId="24F2EB18"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69.5</w:t>
            </w:r>
          </w:p>
        </w:tc>
        <w:tc>
          <w:tcPr>
            <w:tcW w:w="709" w:type="dxa"/>
          </w:tcPr>
          <w:p w14:paraId="1631CE6A"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63.0</w:t>
            </w:r>
          </w:p>
        </w:tc>
        <w:tc>
          <w:tcPr>
            <w:tcW w:w="709" w:type="dxa"/>
          </w:tcPr>
          <w:p w14:paraId="0FC8720E"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59.0</w:t>
            </w:r>
          </w:p>
        </w:tc>
        <w:tc>
          <w:tcPr>
            <w:tcW w:w="709" w:type="dxa"/>
          </w:tcPr>
          <w:p w14:paraId="17CC49BF"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56.1</w:t>
            </w:r>
          </w:p>
        </w:tc>
        <w:tc>
          <w:tcPr>
            <w:tcW w:w="708" w:type="dxa"/>
          </w:tcPr>
          <w:p w14:paraId="1335E2E1" w14:textId="77777777" w:rsidR="00F51113" w:rsidRPr="004C2DCD" w:rsidRDefault="00F51113">
            <w:pPr>
              <w:pStyle w:val="TableText"/>
              <w:spacing w:before="40" w:after="40"/>
              <w:jc w:val="center"/>
              <w:rPr>
                <w:rFonts w:cs="Calibri"/>
                <w:lang w:val="en-NZ"/>
              </w:rPr>
            </w:pPr>
            <w:r w:rsidRPr="004C2DCD">
              <w:rPr>
                <w:rFonts w:eastAsia="Times New Roman" w:cs="Calibri"/>
                <w:color w:val="000000"/>
                <w:lang w:val="en-NZ"/>
              </w:rPr>
              <w:t>53.9</w:t>
            </w:r>
          </w:p>
        </w:tc>
      </w:tr>
    </w:tbl>
    <w:p w14:paraId="5CCB0052" w14:textId="40B3C360" w:rsidR="00F51113" w:rsidRPr="004C2DCD" w:rsidRDefault="00F51113" w:rsidP="00F51113">
      <w:pPr>
        <w:pStyle w:val="BodyText"/>
        <w:spacing w:before="240"/>
      </w:pPr>
      <w:r w:rsidRPr="004C2DCD">
        <w:t xml:space="preserve">Table 2.5.17 and </w:t>
      </w:r>
      <w:hyperlink w:anchor="figure2515" w:history="1">
        <w:r w:rsidRPr="00441056">
          <w:rPr>
            <w:rStyle w:val="Hyperlink"/>
          </w:rPr>
          <w:t>figure 2.5.15</w:t>
        </w:r>
      </w:hyperlink>
      <w:r w:rsidRPr="004C2DCD">
        <w:t xml:space="preserve"> show high and low WEM Energy sector emissions scenarios based on those different assumptions.</w:t>
      </w:r>
    </w:p>
    <w:p w14:paraId="72D828B8" w14:textId="77777777" w:rsidR="00F51113" w:rsidRPr="004C2DCD" w:rsidRDefault="00F51113" w:rsidP="00F51113">
      <w:pPr>
        <w:pStyle w:val="Tableheading"/>
        <w:ind w:left="1276" w:hanging="1276"/>
      </w:pPr>
      <w:bookmarkStart w:id="621" w:name="_Toc183789709"/>
      <w:bookmarkStart w:id="622" w:name="_Toc185407482"/>
      <w:bookmarkStart w:id="623" w:name="_Toc185427745"/>
      <w:r w:rsidRPr="004C2DCD">
        <w:t xml:space="preserve">Table 2.5.17: </w:t>
      </w:r>
      <w:r w:rsidRPr="004C2DCD">
        <w:tab/>
        <w:t>Projected Energy sector emissions under ‘with existing measures’,</w:t>
      </w:r>
      <w:r w:rsidRPr="004C2DCD">
        <w:br/>
        <w:t>high- and low-emissions scenarios, 1990–2050 (Mt CO</w:t>
      </w:r>
      <w:r w:rsidRPr="004C2DCD">
        <w:rPr>
          <w:vertAlign w:val="subscript"/>
        </w:rPr>
        <w:t>2</w:t>
      </w:r>
      <w:r w:rsidRPr="004C2DCD">
        <w:t>e)</w:t>
      </w:r>
      <w:bookmarkEnd w:id="621"/>
      <w:bookmarkEnd w:id="622"/>
      <w:bookmarkEnd w:id="623"/>
    </w:p>
    <w:tbl>
      <w:tblPr>
        <w:tblStyle w:val="TableGrid1"/>
        <w:tblW w:w="8505" w:type="dxa"/>
        <w:tblInd w:w="0" w:type="dxa"/>
        <w:tblLayout w:type="fixed"/>
        <w:tblCellMar>
          <w:left w:w="85" w:type="dxa"/>
          <w:right w:w="85" w:type="dxa"/>
        </w:tblCellMar>
        <w:tblLook w:val="04A0" w:firstRow="1" w:lastRow="0" w:firstColumn="1" w:lastColumn="0" w:noHBand="0" w:noVBand="1"/>
      </w:tblPr>
      <w:tblGrid>
        <w:gridCol w:w="2835"/>
        <w:gridCol w:w="709"/>
        <w:gridCol w:w="709"/>
        <w:gridCol w:w="709"/>
        <w:gridCol w:w="708"/>
        <w:gridCol w:w="709"/>
        <w:gridCol w:w="709"/>
        <w:gridCol w:w="709"/>
        <w:gridCol w:w="708"/>
      </w:tblGrid>
      <w:tr w:rsidR="00F51113" w:rsidRPr="004C2DCD" w14:paraId="7A112AE2" w14:textId="77777777" w:rsidTr="00001CE2">
        <w:trPr>
          <w:tblHeader/>
        </w:trPr>
        <w:tc>
          <w:tcPr>
            <w:tcW w:w="2835" w:type="dxa"/>
            <w:shd w:val="clear" w:color="auto" w:fill="1B556B" w:themeFill="text2"/>
          </w:tcPr>
          <w:p w14:paraId="699F205D" w14:textId="77777777" w:rsidR="00F51113" w:rsidRPr="004C2DCD" w:rsidRDefault="00F51113">
            <w:pPr>
              <w:pStyle w:val="TableText"/>
              <w:keepNext/>
              <w:spacing w:before="40" w:after="40"/>
              <w:rPr>
                <w:b/>
                <w:bCs/>
                <w:color w:val="FFFFFF" w:themeColor="background1"/>
                <w:szCs w:val="18"/>
                <w:lang w:val="en-NZ"/>
              </w:rPr>
            </w:pPr>
            <w:r w:rsidRPr="004C2DCD">
              <w:rPr>
                <w:b/>
                <w:bCs/>
                <w:color w:val="FFFFFF" w:themeColor="background1"/>
                <w:szCs w:val="18"/>
                <w:lang w:val="en-NZ"/>
              </w:rPr>
              <w:t>Scenario</w:t>
            </w:r>
          </w:p>
        </w:tc>
        <w:tc>
          <w:tcPr>
            <w:tcW w:w="709" w:type="dxa"/>
            <w:shd w:val="clear" w:color="auto" w:fill="1B556B" w:themeFill="text2"/>
          </w:tcPr>
          <w:p w14:paraId="18A98400"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1990</w:t>
            </w:r>
          </w:p>
        </w:tc>
        <w:tc>
          <w:tcPr>
            <w:tcW w:w="709" w:type="dxa"/>
            <w:shd w:val="clear" w:color="auto" w:fill="1B556B" w:themeFill="text2"/>
          </w:tcPr>
          <w:p w14:paraId="3A39C346"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2020</w:t>
            </w:r>
          </w:p>
        </w:tc>
        <w:tc>
          <w:tcPr>
            <w:tcW w:w="709" w:type="dxa"/>
            <w:shd w:val="clear" w:color="auto" w:fill="1B556B" w:themeFill="text2"/>
          </w:tcPr>
          <w:p w14:paraId="55053503"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2025</w:t>
            </w:r>
          </w:p>
        </w:tc>
        <w:tc>
          <w:tcPr>
            <w:tcW w:w="708" w:type="dxa"/>
            <w:shd w:val="clear" w:color="auto" w:fill="1B556B" w:themeFill="text2"/>
          </w:tcPr>
          <w:p w14:paraId="43CF9319"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2030</w:t>
            </w:r>
          </w:p>
        </w:tc>
        <w:tc>
          <w:tcPr>
            <w:tcW w:w="709" w:type="dxa"/>
            <w:shd w:val="clear" w:color="auto" w:fill="1B556B" w:themeFill="text2"/>
          </w:tcPr>
          <w:p w14:paraId="0D4B0C36"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2035</w:t>
            </w:r>
          </w:p>
        </w:tc>
        <w:tc>
          <w:tcPr>
            <w:tcW w:w="709" w:type="dxa"/>
            <w:shd w:val="clear" w:color="auto" w:fill="1B556B" w:themeFill="text2"/>
          </w:tcPr>
          <w:p w14:paraId="13203D33"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2040</w:t>
            </w:r>
          </w:p>
        </w:tc>
        <w:tc>
          <w:tcPr>
            <w:tcW w:w="709" w:type="dxa"/>
            <w:shd w:val="clear" w:color="auto" w:fill="1B556B" w:themeFill="text2"/>
          </w:tcPr>
          <w:p w14:paraId="56D88F3D"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2045</w:t>
            </w:r>
          </w:p>
        </w:tc>
        <w:tc>
          <w:tcPr>
            <w:tcW w:w="708" w:type="dxa"/>
            <w:shd w:val="clear" w:color="auto" w:fill="1B556B" w:themeFill="text2"/>
          </w:tcPr>
          <w:p w14:paraId="4CFBFC76"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2050</w:t>
            </w:r>
          </w:p>
        </w:tc>
      </w:tr>
      <w:tr w:rsidR="00F51113" w:rsidRPr="004C2DCD" w14:paraId="32B9803A" w14:textId="77777777" w:rsidTr="00001CE2">
        <w:tc>
          <w:tcPr>
            <w:tcW w:w="2835" w:type="dxa"/>
          </w:tcPr>
          <w:p w14:paraId="7FA70F24" w14:textId="77777777" w:rsidR="00F51113" w:rsidRPr="004C2DCD" w:rsidRDefault="00F51113">
            <w:pPr>
              <w:pStyle w:val="TableText"/>
              <w:spacing w:before="40" w:after="40"/>
              <w:rPr>
                <w:rFonts w:cs="Calibri"/>
                <w:szCs w:val="18"/>
                <w:lang w:val="en-NZ"/>
              </w:rPr>
            </w:pPr>
            <w:r w:rsidRPr="004C2DCD">
              <w:rPr>
                <w:rFonts w:cs="Calibri"/>
                <w:szCs w:val="18"/>
                <w:lang w:val="en-NZ"/>
              </w:rPr>
              <w:t xml:space="preserve">High emissions </w:t>
            </w:r>
          </w:p>
        </w:tc>
        <w:tc>
          <w:tcPr>
            <w:tcW w:w="709" w:type="dxa"/>
          </w:tcPr>
          <w:p w14:paraId="46FCDFC6"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15.9</w:t>
            </w:r>
          </w:p>
        </w:tc>
        <w:tc>
          <w:tcPr>
            <w:tcW w:w="709" w:type="dxa"/>
          </w:tcPr>
          <w:p w14:paraId="6E2186F8"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17.7</w:t>
            </w:r>
          </w:p>
        </w:tc>
        <w:tc>
          <w:tcPr>
            <w:tcW w:w="709" w:type="dxa"/>
          </w:tcPr>
          <w:p w14:paraId="1743C258" w14:textId="77777777" w:rsidR="00F51113" w:rsidRPr="004C2DCD" w:rsidRDefault="00F51113">
            <w:pPr>
              <w:pStyle w:val="TableText"/>
              <w:spacing w:before="40" w:after="40"/>
              <w:jc w:val="center"/>
              <w:rPr>
                <w:rFonts w:cs="Calibri"/>
                <w:lang w:val="en-NZ"/>
              </w:rPr>
            </w:pPr>
            <w:r w:rsidRPr="004C2DCD">
              <w:rPr>
                <w:rFonts w:cs="Calibri"/>
                <w:lang w:val="en-NZ"/>
              </w:rPr>
              <w:t>15.3</w:t>
            </w:r>
          </w:p>
        </w:tc>
        <w:tc>
          <w:tcPr>
            <w:tcW w:w="708" w:type="dxa"/>
          </w:tcPr>
          <w:p w14:paraId="1D837353" w14:textId="77777777" w:rsidR="00F51113" w:rsidRPr="004C2DCD" w:rsidRDefault="00F51113">
            <w:pPr>
              <w:pStyle w:val="TableText"/>
              <w:spacing w:before="40" w:after="40"/>
              <w:jc w:val="center"/>
              <w:rPr>
                <w:rFonts w:cs="Calibri"/>
                <w:lang w:val="en-NZ"/>
              </w:rPr>
            </w:pPr>
            <w:r w:rsidRPr="004C2DCD">
              <w:rPr>
                <w:rFonts w:cs="Calibri"/>
                <w:lang w:val="en-NZ"/>
              </w:rPr>
              <w:t>13.2</w:t>
            </w:r>
          </w:p>
        </w:tc>
        <w:tc>
          <w:tcPr>
            <w:tcW w:w="709" w:type="dxa"/>
          </w:tcPr>
          <w:p w14:paraId="56EC0A52" w14:textId="77777777" w:rsidR="00F51113" w:rsidRPr="004C2DCD" w:rsidRDefault="00F51113">
            <w:pPr>
              <w:pStyle w:val="TableText"/>
              <w:spacing w:before="40" w:after="40"/>
              <w:jc w:val="center"/>
              <w:rPr>
                <w:rFonts w:cs="Calibri"/>
                <w:lang w:val="en-NZ"/>
              </w:rPr>
            </w:pPr>
            <w:r w:rsidRPr="004C2DCD">
              <w:rPr>
                <w:rFonts w:cs="Calibri"/>
                <w:lang w:val="en-NZ"/>
              </w:rPr>
              <w:t>12.2</w:t>
            </w:r>
          </w:p>
        </w:tc>
        <w:tc>
          <w:tcPr>
            <w:tcW w:w="709" w:type="dxa"/>
          </w:tcPr>
          <w:p w14:paraId="3854DD75" w14:textId="77777777" w:rsidR="00F51113" w:rsidRPr="004C2DCD" w:rsidRDefault="00F51113">
            <w:pPr>
              <w:pStyle w:val="TableText"/>
              <w:spacing w:before="40" w:after="40"/>
              <w:jc w:val="center"/>
              <w:rPr>
                <w:rFonts w:cs="Calibri"/>
                <w:lang w:val="en-NZ"/>
              </w:rPr>
            </w:pPr>
            <w:r w:rsidRPr="004C2DCD">
              <w:rPr>
                <w:rFonts w:cs="Calibri"/>
                <w:lang w:val="en-NZ"/>
              </w:rPr>
              <w:t>11.2</w:t>
            </w:r>
          </w:p>
        </w:tc>
        <w:tc>
          <w:tcPr>
            <w:tcW w:w="709" w:type="dxa"/>
          </w:tcPr>
          <w:p w14:paraId="2AC09A09" w14:textId="77777777" w:rsidR="00F51113" w:rsidRPr="004C2DCD" w:rsidRDefault="00F51113">
            <w:pPr>
              <w:pStyle w:val="TableText"/>
              <w:spacing w:before="40" w:after="40"/>
              <w:jc w:val="center"/>
              <w:rPr>
                <w:rFonts w:cs="Calibri"/>
                <w:lang w:val="en-NZ"/>
              </w:rPr>
            </w:pPr>
            <w:r w:rsidRPr="004C2DCD">
              <w:rPr>
                <w:rFonts w:cs="Calibri"/>
                <w:lang w:val="en-NZ"/>
              </w:rPr>
              <w:t>11.5</w:t>
            </w:r>
          </w:p>
        </w:tc>
        <w:tc>
          <w:tcPr>
            <w:tcW w:w="708" w:type="dxa"/>
          </w:tcPr>
          <w:p w14:paraId="39E21E84" w14:textId="77777777" w:rsidR="00F51113" w:rsidRPr="004C2DCD" w:rsidRDefault="00F51113">
            <w:pPr>
              <w:pStyle w:val="TableText"/>
              <w:spacing w:before="40" w:after="40"/>
              <w:jc w:val="center"/>
              <w:rPr>
                <w:rFonts w:cs="Calibri"/>
                <w:lang w:val="en-NZ"/>
              </w:rPr>
            </w:pPr>
            <w:r w:rsidRPr="004C2DCD">
              <w:rPr>
                <w:rFonts w:cs="Calibri"/>
                <w:lang w:val="en-NZ"/>
              </w:rPr>
              <w:t>11.8</w:t>
            </w:r>
          </w:p>
        </w:tc>
      </w:tr>
      <w:tr w:rsidR="00F51113" w:rsidRPr="004C2DCD" w14:paraId="13886800" w14:textId="77777777" w:rsidTr="00001CE2">
        <w:tc>
          <w:tcPr>
            <w:tcW w:w="2835" w:type="dxa"/>
          </w:tcPr>
          <w:p w14:paraId="1178F57C" w14:textId="77777777" w:rsidR="00F51113" w:rsidRPr="004C2DCD" w:rsidRDefault="00F51113">
            <w:pPr>
              <w:pStyle w:val="TableText"/>
              <w:spacing w:before="40" w:after="40"/>
              <w:rPr>
                <w:rFonts w:cs="Calibri"/>
                <w:szCs w:val="18"/>
                <w:lang w:val="en-NZ"/>
              </w:rPr>
            </w:pPr>
            <w:r w:rsidRPr="004C2DCD">
              <w:rPr>
                <w:rFonts w:cs="Calibri"/>
                <w:szCs w:val="18"/>
                <w:lang w:val="en-NZ"/>
              </w:rPr>
              <w:t>With existing measures central</w:t>
            </w:r>
          </w:p>
        </w:tc>
        <w:tc>
          <w:tcPr>
            <w:tcW w:w="709" w:type="dxa"/>
          </w:tcPr>
          <w:p w14:paraId="686E434D"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15.9</w:t>
            </w:r>
          </w:p>
        </w:tc>
        <w:tc>
          <w:tcPr>
            <w:tcW w:w="709" w:type="dxa"/>
          </w:tcPr>
          <w:p w14:paraId="6918D615"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17.7</w:t>
            </w:r>
          </w:p>
        </w:tc>
        <w:tc>
          <w:tcPr>
            <w:tcW w:w="709" w:type="dxa"/>
          </w:tcPr>
          <w:p w14:paraId="78D9E028" w14:textId="77777777" w:rsidR="00F51113" w:rsidRPr="004C2DCD" w:rsidRDefault="00F51113">
            <w:pPr>
              <w:pStyle w:val="TableText"/>
              <w:spacing w:before="40" w:after="40"/>
              <w:jc w:val="center"/>
              <w:rPr>
                <w:rFonts w:cs="Calibri"/>
                <w:lang w:val="en-NZ"/>
              </w:rPr>
            </w:pPr>
            <w:r w:rsidRPr="004C2DCD">
              <w:rPr>
                <w:rFonts w:cs="Calibri"/>
                <w:lang w:val="en-NZ"/>
              </w:rPr>
              <w:t>14.9</w:t>
            </w:r>
          </w:p>
        </w:tc>
        <w:tc>
          <w:tcPr>
            <w:tcW w:w="708" w:type="dxa"/>
          </w:tcPr>
          <w:p w14:paraId="59795A63" w14:textId="77777777" w:rsidR="00F51113" w:rsidRPr="004C2DCD" w:rsidRDefault="00F51113">
            <w:pPr>
              <w:pStyle w:val="TableText"/>
              <w:spacing w:before="40" w:after="40"/>
              <w:jc w:val="center"/>
              <w:rPr>
                <w:rFonts w:cs="Calibri"/>
                <w:lang w:val="en-NZ"/>
              </w:rPr>
            </w:pPr>
            <w:r w:rsidRPr="004C2DCD">
              <w:rPr>
                <w:rFonts w:cs="Calibri"/>
                <w:lang w:val="en-NZ"/>
              </w:rPr>
              <w:t>12.4</w:t>
            </w:r>
          </w:p>
        </w:tc>
        <w:tc>
          <w:tcPr>
            <w:tcW w:w="709" w:type="dxa"/>
          </w:tcPr>
          <w:p w14:paraId="1F8D6B8C" w14:textId="77777777" w:rsidR="00F51113" w:rsidRPr="004C2DCD" w:rsidRDefault="00F51113">
            <w:pPr>
              <w:pStyle w:val="TableText"/>
              <w:spacing w:before="40" w:after="40"/>
              <w:jc w:val="center"/>
              <w:rPr>
                <w:rFonts w:cs="Calibri"/>
                <w:lang w:val="en-NZ"/>
              </w:rPr>
            </w:pPr>
            <w:r w:rsidRPr="004C2DCD">
              <w:rPr>
                <w:rFonts w:cs="Calibri"/>
                <w:lang w:val="en-NZ"/>
              </w:rPr>
              <w:t>11.0</w:t>
            </w:r>
          </w:p>
        </w:tc>
        <w:tc>
          <w:tcPr>
            <w:tcW w:w="709" w:type="dxa"/>
          </w:tcPr>
          <w:p w14:paraId="0F639CB3" w14:textId="77777777" w:rsidR="00F51113" w:rsidRPr="004C2DCD" w:rsidRDefault="00F51113">
            <w:pPr>
              <w:pStyle w:val="TableText"/>
              <w:spacing w:before="40" w:after="40"/>
              <w:jc w:val="center"/>
              <w:rPr>
                <w:rFonts w:cs="Calibri"/>
                <w:lang w:val="en-NZ"/>
              </w:rPr>
            </w:pPr>
            <w:r w:rsidRPr="004C2DCD">
              <w:rPr>
                <w:rFonts w:cs="Calibri"/>
                <w:lang w:val="en-NZ"/>
              </w:rPr>
              <w:t>10.5</w:t>
            </w:r>
          </w:p>
        </w:tc>
        <w:tc>
          <w:tcPr>
            <w:tcW w:w="709" w:type="dxa"/>
          </w:tcPr>
          <w:p w14:paraId="7B7F3366" w14:textId="77777777" w:rsidR="00F51113" w:rsidRPr="004C2DCD" w:rsidRDefault="00F51113">
            <w:pPr>
              <w:pStyle w:val="TableText"/>
              <w:spacing w:before="40" w:after="40"/>
              <w:jc w:val="center"/>
              <w:rPr>
                <w:rFonts w:cs="Calibri"/>
                <w:lang w:val="en-NZ"/>
              </w:rPr>
            </w:pPr>
            <w:r w:rsidRPr="004C2DCD">
              <w:rPr>
                <w:rFonts w:cs="Calibri"/>
                <w:lang w:val="en-NZ"/>
              </w:rPr>
              <w:t>10.7</w:t>
            </w:r>
          </w:p>
        </w:tc>
        <w:tc>
          <w:tcPr>
            <w:tcW w:w="708" w:type="dxa"/>
          </w:tcPr>
          <w:p w14:paraId="59E3CEFB" w14:textId="77777777" w:rsidR="00F51113" w:rsidRPr="004C2DCD" w:rsidRDefault="00F51113">
            <w:pPr>
              <w:pStyle w:val="TableText"/>
              <w:spacing w:before="40" w:after="40"/>
              <w:jc w:val="center"/>
              <w:rPr>
                <w:rFonts w:cs="Calibri"/>
                <w:lang w:val="en-NZ"/>
              </w:rPr>
            </w:pPr>
            <w:r w:rsidRPr="004C2DCD">
              <w:rPr>
                <w:rFonts w:cs="Calibri"/>
                <w:lang w:val="en-NZ"/>
              </w:rPr>
              <w:t>10.7</w:t>
            </w:r>
          </w:p>
        </w:tc>
      </w:tr>
      <w:tr w:rsidR="00F51113" w:rsidRPr="004C2DCD" w14:paraId="2C912B96" w14:textId="77777777" w:rsidTr="00001CE2">
        <w:tc>
          <w:tcPr>
            <w:tcW w:w="2835" w:type="dxa"/>
          </w:tcPr>
          <w:p w14:paraId="730A824B" w14:textId="77777777" w:rsidR="00F51113" w:rsidRPr="004C2DCD" w:rsidRDefault="00F51113">
            <w:pPr>
              <w:pStyle w:val="TableText"/>
              <w:spacing w:before="40" w:after="40"/>
              <w:rPr>
                <w:rFonts w:cs="Calibri"/>
                <w:szCs w:val="18"/>
                <w:lang w:val="en-NZ"/>
              </w:rPr>
            </w:pPr>
            <w:r w:rsidRPr="004C2DCD">
              <w:rPr>
                <w:rFonts w:cs="Calibri"/>
                <w:szCs w:val="18"/>
                <w:lang w:val="en-NZ"/>
              </w:rPr>
              <w:t>Low emissions</w:t>
            </w:r>
          </w:p>
        </w:tc>
        <w:tc>
          <w:tcPr>
            <w:tcW w:w="709" w:type="dxa"/>
          </w:tcPr>
          <w:p w14:paraId="75355D38"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15.9</w:t>
            </w:r>
          </w:p>
        </w:tc>
        <w:tc>
          <w:tcPr>
            <w:tcW w:w="709" w:type="dxa"/>
          </w:tcPr>
          <w:p w14:paraId="1B4635CA"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17.7</w:t>
            </w:r>
          </w:p>
        </w:tc>
        <w:tc>
          <w:tcPr>
            <w:tcW w:w="709" w:type="dxa"/>
          </w:tcPr>
          <w:p w14:paraId="6F8A5761" w14:textId="77777777" w:rsidR="00F51113" w:rsidRPr="004C2DCD" w:rsidRDefault="00F51113">
            <w:pPr>
              <w:pStyle w:val="TableText"/>
              <w:spacing w:before="40" w:after="40"/>
              <w:jc w:val="center"/>
              <w:rPr>
                <w:rFonts w:cs="Calibri"/>
                <w:lang w:val="en-NZ"/>
              </w:rPr>
            </w:pPr>
            <w:r w:rsidRPr="004C2DCD">
              <w:rPr>
                <w:rFonts w:cs="Calibri"/>
                <w:lang w:val="en-NZ"/>
              </w:rPr>
              <w:t>13.8</w:t>
            </w:r>
          </w:p>
        </w:tc>
        <w:tc>
          <w:tcPr>
            <w:tcW w:w="708" w:type="dxa"/>
          </w:tcPr>
          <w:p w14:paraId="29470BA4" w14:textId="77777777" w:rsidR="00F51113" w:rsidRPr="004C2DCD" w:rsidRDefault="00F51113">
            <w:pPr>
              <w:pStyle w:val="TableText"/>
              <w:spacing w:before="40" w:after="40"/>
              <w:jc w:val="center"/>
              <w:rPr>
                <w:rFonts w:cs="Calibri"/>
                <w:lang w:val="en-NZ"/>
              </w:rPr>
            </w:pPr>
            <w:r w:rsidRPr="004C2DCD">
              <w:rPr>
                <w:rFonts w:cs="Calibri"/>
                <w:lang w:val="en-NZ"/>
              </w:rPr>
              <w:t>12.3</w:t>
            </w:r>
          </w:p>
        </w:tc>
        <w:tc>
          <w:tcPr>
            <w:tcW w:w="709" w:type="dxa"/>
          </w:tcPr>
          <w:p w14:paraId="25965F88" w14:textId="77777777" w:rsidR="00F51113" w:rsidRPr="004C2DCD" w:rsidRDefault="00F51113">
            <w:pPr>
              <w:pStyle w:val="TableText"/>
              <w:spacing w:before="40" w:after="40"/>
              <w:jc w:val="center"/>
              <w:rPr>
                <w:rFonts w:cs="Calibri"/>
                <w:lang w:val="en-NZ"/>
              </w:rPr>
            </w:pPr>
            <w:r w:rsidRPr="004C2DCD">
              <w:rPr>
                <w:rFonts w:cs="Calibri"/>
                <w:lang w:val="en-NZ"/>
              </w:rPr>
              <w:t>10.8</w:t>
            </w:r>
          </w:p>
        </w:tc>
        <w:tc>
          <w:tcPr>
            <w:tcW w:w="709" w:type="dxa"/>
          </w:tcPr>
          <w:p w14:paraId="14DBACCA" w14:textId="77777777" w:rsidR="00F51113" w:rsidRPr="004C2DCD" w:rsidRDefault="00F51113">
            <w:pPr>
              <w:pStyle w:val="TableText"/>
              <w:spacing w:before="40" w:after="40"/>
              <w:jc w:val="center"/>
              <w:rPr>
                <w:rFonts w:cs="Calibri"/>
                <w:lang w:val="en-NZ"/>
              </w:rPr>
            </w:pPr>
            <w:r w:rsidRPr="004C2DCD">
              <w:rPr>
                <w:rFonts w:cs="Calibri"/>
                <w:lang w:val="en-NZ"/>
              </w:rPr>
              <w:t>9.6</w:t>
            </w:r>
          </w:p>
        </w:tc>
        <w:tc>
          <w:tcPr>
            <w:tcW w:w="709" w:type="dxa"/>
          </w:tcPr>
          <w:p w14:paraId="4A8086B1" w14:textId="77777777" w:rsidR="00F51113" w:rsidRPr="004C2DCD" w:rsidRDefault="00F51113">
            <w:pPr>
              <w:pStyle w:val="TableText"/>
              <w:spacing w:before="40" w:after="40"/>
              <w:jc w:val="center"/>
              <w:rPr>
                <w:rFonts w:cs="Calibri"/>
                <w:lang w:val="en-NZ"/>
              </w:rPr>
            </w:pPr>
            <w:r w:rsidRPr="004C2DCD">
              <w:rPr>
                <w:rFonts w:cs="Calibri"/>
                <w:lang w:val="en-NZ"/>
              </w:rPr>
              <w:t>9.1</w:t>
            </w:r>
          </w:p>
        </w:tc>
        <w:tc>
          <w:tcPr>
            <w:tcW w:w="708" w:type="dxa"/>
          </w:tcPr>
          <w:p w14:paraId="3FBC0ED1" w14:textId="77777777" w:rsidR="00F51113" w:rsidRPr="004C2DCD" w:rsidRDefault="00F51113">
            <w:pPr>
              <w:pStyle w:val="TableText"/>
              <w:spacing w:before="40" w:after="40"/>
              <w:jc w:val="center"/>
              <w:rPr>
                <w:rFonts w:cs="Calibri"/>
                <w:lang w:val="en-NZ"/>
              </w:rPr>
            </w:pPr>
            <w:r w:rsidRPr="004C2DCD">
              <w:rPr>
                <w:rFonts w:cs="Calibri"/>
                <w:lang w:val="en-NZ"/>
              </w:rPr>
              <w:t>8.8</w:t>
            </w:r>
          </w:p>
        </w:tc>
      </w:tr>
    </w:tbl>
    <w:p w14:paraId="5841F427" w14:textId="77777777" w:rsidR="00F51113" w:rsidRPr="004C2DCD" w:rsidRDefault="00F51113" w:rsidP="003038F0">
      <w:pPr>
        <w:pStyle w:val="Figureheading"/>
        <w:ind w:left="1276" w:hanging="1276"/>
      </w:pPr>
      <w:bookmarkStart w:id="624" w:name="figure2515"/>
      <w:bookmarkStart w:id="625" w:name="_Toc185347259"/>
      <w:r w:rsidRPr="004C2DCD">
        <w:t>Figure 2.5.15</w:t>
      </w:r>
      <w:bookmarkEnd w:id="624"/>
      <w:r w:rsidRPr="004C2DCD">
        <w:t>:</w:t>
      </w:r>
      <w:r w:rsidRPr="004C2DCD">
        <w:tab/>
        <w:t>Greenhouse gas emissions under the ‘with existing measures’, high- and low-emissions scenarios in the Energy sector, 1990–2050</w:t>
      </w:r>
      <w:bookmarkEnd w:id="625"/>
    </w:p>
    <w:p w14:paraId="75407420" w14:textId="0628A152" w:rsidR="00F51113" w:rsidRPr="004C2DCD" w:rsidRDefault="001D393E" w:rsidP="00F51113">
      <w:pPr>
        <w:pStyle w:val="BodyText"/>
        <w:spacing w:before="80" w:after="80"/>
      </w:pPr>
      <w:r>
        <w:rPr>
          <w:noProof/>
        </w:rPr>
        <w:drawing>
          <wp:inline distT="0" distB="0" distL="0" distR="0" wp14:anchorId="714E3D4B" wp14:editId="25D99C67">
            <wp:extent cx="5040000" cy="2779047"/>
            <wp:effectExtent l="0" t="0" r="8255" b="2540"/>
            <wp:docPr id="1044835130" name="Picture 40" descr="A line graph showing greenhouse gas emissions in million tonnes carbon dioxide equivalent under the ‘with existing measures’ high- and low- scenarios in the Energy sector for the period 1990 to 2050. It plots the paths of Energy historical emissions, Energy projected emissions (high scenario), Energy projected emissions and Energy projected emissions (low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35130" name="Picture 40" descr="A line graph showing greenhouse gas emissions in million tonnes carbon dioxide equivalent under the ‘with existing measures’ high- and low- scenarios in the Energy sector for the period 1990 to 2050. It plots the paths of Energy historical emissions, Energy projected emissions (high scenario), Energy projected emissions and Energy projected emissions (low scenario)."/>
                    <pic:cNvPicPr>
                      <a:picLocks noChangeAspect="1" noChangeArrowheads="1"/>
                    </pic:cNvPicPr>
                  </pic:nvPicPr>
                  <pic:blipFill rotWithShape="1">
                    <a:blip r:embed="rId111">
                      <a:extLst>
                        <a:ext uri="{28A0092B-C50C-407E-A947-70E740481C1C}">
                          <a14:useLocalDpi xmlns:a14="http://schemas.microsoft.com/office/drawing/2010/main" val="0"/>
                        </a:ext>
                      </a:extLst>
                    </a:blip>
                    <a:srcRect t="2841"/>
                    <a:stretch/>
                  </pic:blipFill>
                  <pic:spPr bwMode="auto">
                    <a:xfrm>
                      <a:off x="0" y="0"/>
                      <a:ext cx="5040000" cy="2779047"/>
                    </a:xfrm>
                    <a:prstGeom prst="rect">
                      <a:avLst/>
                    </a:prstGeom>
                    <a:noFill/>
                    <a:ln>
                      <a:noFill/>
                    </a:ln>
                    <a:extLst>
                      <a:ext uri="{53640926-AAD7-44D8-BBD7-CCE9431645EC}">
                        <a14:shadowObscured xmlns:a14="http://schemas.microsoft.com/office/drawing/2010/main"/>
                      </a:ext>
                    </a:extLst>
                  </pic:spPr>
                </pic:pic>
              </a:graphicData>
            </a:graphic>
          </wp:inline>
        </w:drawing>
      </w:r>
    </w:p>
    <w:p w14:paraId="44B3E869" w14:textId="77777777" w:rsidR="00F51113" w:rsidRPr="004C2DCD" w:rsidRDefault="00F51113" w:rsidP="00F51113">
      <w:pPr>
        <w:pStyle w:val="Note"/>
      </w:pPr>
      <w:r w:rsidRPr="004C2DCD">
        <w:rPr>
          <w:b/>
          <w:bCs/>
        </w:rPr>
        <w:t>Note:</w:t>
      </w:r>
      <w:r w:rsidRPr="004C2DCD">
        <w:t xml:space="preserve"> Mt CO</w:t>
      </w:r>
      <w:r w:rsidRPr="004C2DCD">
        <w:rPr>
          <w:vertAlign w:val="subscript"/>
        </w:rPr>
        <w:t>2</w:t>
      </w:r>
      <w:r w:rsidRPr="004C2DCD">
        <w:t>e =</w:t>
      </w:r>
      <w:r w:rsidRPr="004C2DCD">
        <w:rPr>
          <w:b/>
          <w:bCs/>
        </w:rPr>
        <w:t xml:space="preserve"> </w:t>
      </w:r>
      <w:r w:rsidRPr="004C2DCD">
        <w:t>million tonnes of carbon dioxide equivalent.</w:t>
      </w:r>
    </w:p>
    <w:p w14:paraId="44E7D67E" w14:textId="77777777" w:rsidR="00F51113" w:rsidRPr="004C2DCD" w:rsidRDefault="00F51113" w:rsidP="00F51113">
      <w:pPr>
        <w:pStyle w:val="BodyText"/>
        <w:rPr>
          <w:rFonts w:eastAsia="Calibri" w:cs="Calibri"/>
        </w:rPr>
      </w:pPr>
      <w:r w:rsidRPr="004C2DCD">
        <w:t>Table 2.5.18 and figure 2.5.16 show high and low WEM Transport sector emissions based on those different assumptions.</w:t>
      </w:r>
    </w:p>
    <w:p w14:paraId="0D1C6B28" w14:textId="77777777" w:rsidR="00F51113" w:rsidRPr="004C2DCD" w:rsidRDefault="00F51113" w:rsidP="00F51113">
      <w:pPr>
        <w:pStyle w:val="Tableheading"/>
        <w:ind w:left="1276" w:hanging="1276"/>
      </w:pPr>
      <w:bookmarkStart w:id="626" w:name="_Toc183789710"/>
      <w:bookmarkStart w:id="627" w:name="_Toc185407483"/>
      <w:bookmarkStart w:id="628" w:name="_Toc185427746"/>
      <w:r w:rsidRPr="004C2DCD">
        <w:t xml:space="preserve">Table 2.5.18: </w:t>
      </w:r>
      <w:r w:rsidRPr="004C2DCD">
        <w:tab/>
        <w:t>Projected Transport sector emissions under ‘with existing measures’,</w:t>
      </w:r>
      <w:r w:rsidRPr="004C2DCD">
        <w:br/>
        <w:t>high- and low-emissions scenarios, 1990–2050 (Mt CO</w:t>
      </w:r>
      <w:r w:rsidRPr="004C2DCD">
        <w:rPr>
          <w:vertAlign w:val="subscript"/>
        </w:rPr>
        <w:t>2</w:t>
      </w:r>
      <w:r w:rsidRPr="004C2DCD">
        <w:t>e)</w:t>
      </w:r>
      <w:bookmarkEnd w:id="626"/>
      <w:bookmarkEnd w:id="627"/>
      <w:bookmarkEnd w:id="628"/>
    </w:p>
    <w:tbl>
      <w:tblPr>
        <w:tblStyle w:val="TableGrid1"/>
        <w:tblW w:w="8505" w:type="dxa"/>
        <w:tblInd w:w="0"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4A0" w:firstRow="1" w:lastRow="0" w:firstColumn="1" w:lastColumn="0" w:noHBand="0" w:noVBand="1"/>
      </w:tblPr>
      <w:tblGrid>
        <w:gridCol w:w="2694"/>
        <w:gridCol w:w="850"/>
        <w:gridCol w:w="709"/>
        <w:gridCol w:w="709"/>
        <w:gridCol w:w="708"/>
        <w:gridCol w:w="709"/>
        <w:gridCol w:w="709"/>
        <w:gridCol w:w="709"/>
        <w:gridCol w:w="708"/>
      </w:tblGrid>
      <w:tr w:rsidR="00F51113" w:rsidRPr="004C2DCD" w14:paraId="380F9EDC" w14:textId="77777777" w:rsidTr="00001CE2">
        <w:trPr>
          <w:tblHeader/>
        </w:trPr>
        <w:tc>
          <w:tcPr>
            <w:tcW w:w="2694" w:type="dxa"/>
            <w:shd w:val="clear" w:color="auto" w:fill="1B556B" w:themeFill="text2"/>
          </w:tcPr>
          <w:p w14:paraId="164786AB" w14:textId="77777777" w:rsidR="00F51113" w:rsidRPr="004C2DCD" w:rsidRDefault="00F51113">
            <w:pPr>
              <w:pStyle w:val="TableText"/>
              <w:keepNext/>
              <w:spacing w:before="40" w:after="40"/>
              <w:rPr>
                <w:b/>
                <w:bCs/>
                <w:color w:val="FFFFFF" w:themeColor="background1"/>
                <w:szCs w:val="18"/>
                <w:lang w:val="en-NZ"/>
              </w:rPr>
            </w:pPr>
            <w:r w:rsidRPr="004C2DCD">
              <w:rPr>
                <w:b/>
                <w:bCs/>
                <w:color w:val="FFFFFF" w:themeColor="background1"/>
                <w:szCs w:val="18"/>
                <w:lang w:val="en-NZ"/>
              </w:rPr>
              <w:t>Scenario</w:t>
            </w:r>
          </w:p>
        </w:tc>
        <w:tc>
          <w:tcPr>
            <w:tcW w:w="850" w:type="dxa"/>
            <w:shd w:val="clear" w:color="auto" w:fill="1B556B" w:themeFill="text2"/>
          </w:tcPr>
          <w:p w14:paraId="51061D3F"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1990</w:t>
            </w:r>
          </w:p>
        </w:tc>
        <w:tc>
          <w:tcPr>
            <w:tcW w:w="709" w:type="dxa"/>
            <w:shd w:val="clear" w:color="auto" w:fill="1B556B" w:themeFill="text2"/>
          </w:tcPr>
          <w:p w14:paraId="729CCC88"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2020</w:t>
            </w:r>
          </w:p>
        </w:tc>
        <w:tc>
          <w:tcPr>
            <w:tcW w:w="709" w:type="dxa"/>
            <w:shd w:val="clear" w:color="auto" w:fill="1B556B" w:themeFill="text2"/>
          </w:tcPr>
          <w:p w14:paraId="045F64A9"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2025</w:t>
            </w:r>
          </w:p>
        </w:tc>
        <w:tc>
          <w:tcPr>
            <w:tcW w:w="708" w:type="dxa"/>
            <w:shd w:val="clear" w:color="auto" w:fill="1B556B" w:themeFill="text2"/>
          </w:tcPr>
          <w:p w14:paraId="5AA5668F"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2030</w:t>
            </w:r>
          </w:p>
        </w:tc>
        <w:tc>
          <w:tcPr>
            <w:tcW w:w="709" w:type="dxa"/>
            <w:shd w:val="clear" w:color="auto" w:fill="1B556B" w:themeFill="text2"/>
          </w:tcPr>
          <w:p w14:paraId="165C5A83"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2035</w:t>
            </w:r>
          </w:p>
        </w:tc>
        <w:tc>
          <w:tcPr>
            <w:tcW w:w="709" w:type="dxa"/>
            <w:shd w:val="clear" w:color="auto" w:fill="1B556B" w:themeFill="text2"/>
          </w:tcPr>
          <w:p w14:paraId="70090FE8"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2040</w:t>
            </w:r>
          </w:p>
        </w:tc>
        <w:tc>
          <w:tcPr>
            <w:tcW w:w="709" w:type="dxa"/>
            <w:shd w:val="clear" w:color="auto" w:fill="1B556B" w:themeFill="text2"/>
          </w:tcPr>
          <w:p w14:paraId="26B41997"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2045</w:t>
            </w:r>
          </w:p>
        </w:tc>
        <w:tc>
          <w:tcPr>
            <w:tcW w:w="708" w:type="dxa"/>
            <w:shd w:val="clear" w:color="auto" w:fill="1B556B" w:themeFill="text2"/>
          </w:tcPr>
          <w:p w14:paraId="66467551"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2050</w:t>
            </w:r>
          </w:p>
        </w:tc>
      </w:tr>
      <w:tr w:rsidR="00F51113" w:rsidRPr="004C2DCD" w14:paraId="4078DE66" w14:textId="77777777" w:rsidTr="00001CE2">
        <w:tc>
          <w:tcPr>
            <w:tcW w:w="2694" w:type="dxa"/>
          </w:tcPr>
          <w:p w14:paraId="4A4E301E" w14:textId="77777777" w:rsidR="00F51113" w:rsidRPr="004C2DCD" w:rsidRDefault="00F51113">
            <w:pPr>
              <w:pStyle w:val="TableText"/>
              <w:spacing w:before="40" w:after="40"/>
              <w:rPr>
                <w:rFonts w:cs="Calibri"/>
                <w:szCs w:val="18"/>
                <w:lang w:val="en-NZ"/>
              </w:rPr>
            </w:pPr>
            <w:r w:rsidRPr="004C2DCD">
              <w:rPr>
                <w:rFonts w:cs="Calibri"/>
                <w:szCs w:val="18"/>
                <w:lang w:val="en-NZ"/>
              </w:rPr>
              <w:t xml:space="preserve">High emissions </w:t>
            </w:r>
          </w:p>
        </w:tc>
        <w:tc>
          <w:tcPr>
            <w:tcW w:w="850" w:type="dxa"/>
          </w:tcPr>
          <w:p w14:paraId="3498D2B4"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8.1</w:t>
            </w:r>
          </w:p>
        </w:tc>
        <w:tc>
          <w:tcPr>
            <w:tcW w:w="709" w:type="dxa"/>
          </w:tcPr>
          <w:p w14:paraId="65D81B21"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13.2</w:t>
            </w:r>
          </w:p>
        </w:tc>
        <w:tc>
          <w:tcPr>
            <w:tcW w:w="709" w:type="dxa"/>
          </w:tcPr>
          <w:p w14:paraId="2E95B5BA" w14:textId="77777777" w:rsidR="00F51113" w:rsidRPr="004C2DCD" w:rsidRDefault="00F51113">
            <w:pPr>
              <w:pStyle w:val="TableText"/>
              <w:spacing w:before="40" w:after="40"/>
              <w:jc w:val="center"/>
              <w:rPr>
                <w:rFonts w:cs="Calibri"/>
                <w:lang w:val="en-NZ"/>
              </w:rPr>
            </w:pPr>
            <w:r w:rsidRPr="004C2DCD">
              <w:rPr>
                <w:rFonts w:cs="Calibri"/>
                <w:lang w:val="en-NZ"/>
              </w:rPr>
              <w:t>14.5</w:t>
            </w:r>
          </w:p>
        </w:tc>
        <w:tc>
          <w:tcPr>
            <w:tcW w:w="708" w:type="dxa"/>
          </w:tcPr>
          <w:p w14:paraId="40697A43" w14:textId="77777777" w:rsidR="00F51113" w:rsidRPr="004C2DCD" w:rsidRDefault="00F51113">
            <w:pPr>
              <w:pStyle w:val="TableText"/>
              <w:spacing w:before="40" w:after="40"/>
              <w:jc w:val="center"/>
              <w:rPr>
                <w:rFonts w:cs="Calibri"/>
                <w:lang w:val="en-NZ"/>
              </w:rPr>
            </w:pPr>
            <w:r w:rsidRPr="004C2DCD">
              <w:rPr>
                <w:rFonts w:cs="Calibri"/>
                <w:lang w:val="en-NZ"/>
              </w:rPr>
              <w:t>14.2</w:t>
            </w:r>
          </w:p>
        </w:tc>
        <w:tc>
          <w:tcPr>
            <w:tcW w:w="709" w:type="dxa"/>
          </w:tcPr>
          <w:p w14:paraId="29842014" w14:textId="77777777" w:rsidR="00F51113" w:rsidRPr="004C2DCD" w:rsidRDefault="00F51113">
            <w:pPr>
              <w:pStyle w:val="TableText"/>
              <w:spacing w:before="40" w:after="40"/>
              <w:jc w:val="center"/>
              <w:rPr>
                <w:rFonts w:cs="Calibri"/>
                <w:lang w:val="en-NZ"/>
              </w:rPr>
            </w:pPr>
            <w:r w:rsidRPr="004C2DCD">
              <w:rPr>
                <w:rFonts w:cs="Calibri"/>
                <w:lang w:val="en-NZ"/>
              </w:rPr>
              <w:t>13.4</w:t>
            </w:r>
          </w:p>
        </w:tc>
        <w:tc>
          <w:tcPr>
            <w:tcW w:w="709" w:type="dxa"/>
          </w:tcPr>
          <w:p w14:paraId="4CCF5A89" w14:textId="77777777" w:rsidR="00F51113" w:rsidRPr="004C2DCD" w:rsidRDefault="00F51113">
            <w:pPr>
              <w:pStyle w:val="TableText"/>
              <w:spacing w:before="40" w:after="40"/>
              <w:jc w:val="center"/>
              <w:rPr>
                <w:rFonts w:cs="Calibri"/>
                <w:lang w:val="en-NZ"/>
              </w:rPr>
            </w:pPr>
            <w:r w:rsidRPr="004C2DCD">
              <w:rPr>
                <w:rFonts w:cs="Calibri"/>
                <w:lang w:val="en-NZ"/>
              </w:rPr>
              <w:t>12.0</w:t>
            </w:r>
          </w:p>
        </w:tc>
        <w:tc>
          <w:tcPr>
            <w:tcW w:w="709" w:type="dxa"/>
          </w:tcPr>
          <w:p w14:paraId="49D1073F" w14:textId="77777777" w:rsidR="00F51113" w:rsidRPr="004C2DCD" w:rsidRDefault="00F51113">
            <w:pPr>
              <w:pStyle w:val="TableText"/>
              <w:spacing w:before="40" w:after="40"/>
              <w:jc w:val="center"/>
              <w:rPr>
                <w:rFonts w:cs="Calibri"/>
                <w:lang w:val="en-NZ"/>
              </w:rPr>
            </w:pPr>
            <w:r w:rsidRPr="004C2DCD">
              <w:rPr>
                <w:rFonts w:cs="Calibri"/>
                <w:lang w:val="en-NZ"/>
              </w:rPr>
              <w:t>10.3</w:t>
            </w:r>
          </w:p>
        </w:tc>
        <w:tc>
          <w:tcPr>
            <w:tcW w:w="708" w:type="dxa"/>
          </w:tcPr>
          <w:p w14:paraId="730FCEAE" w14:textId="77777777" w:rsidR="00F51113" w:rsidRPr="004C2DCD" w:rsidRDefault="00F51113">
            <w:pPr>
              <w:pStyle w:val="TableText"/>
              <w:spacing w:before="40" w:after="40"/>
              <w:jc w:val="center"/>
              <w:rPr>
                <w:rFonts w:cs="Calibri"/>
                <w:lang w:val="en-NZ"/>
              </w:rPr>
            </w:pPr>
            <w:r w:rsidRPr="004C2DCD">
              <w:rPr>
                <w:rFonts w:cs="Calibri"/>
                <w:lang w:val="en-NZ"/>
              </w:rPr>
              <w:t>8.8</w:t>
            </w:r>
          </w:p>
        </w:tc>
      </w:tr>
      <w:tr w:rsidR="00F51113" w:rsidRPr="004C2DCD" w14:paraId="0AFEBAC7" w14:textId="77777777" w:rsidTr="00001CE2">
        <w:tc>
          <w:tcPr>
            <w:tcW w:w="2694" w:type="dxa"/>
          </w:tcPr>
          <w:p w14:paraId="77F8CC30" w14:textId="77777777" w:rsidR="00F51113" w:rsidRPr="004C2DCD" w:rsidRDefault="00F51113">
            <w:pPr>
              <w:pStyle w:val="TableText"/>
              <w:spacing w:before="40" w:after="40"/>
              <w:rPr>
                <w:rFonts w:cs="Calibri"/>
                <w:szCs w:val="18"/>
                <w:lang w:val="en-NZ"/>
              </w:rPr>
            </w:pPr>
            <w:r w:rsidRPr="004C2DCD">
              <w:rPr>
                <w:rFonts w:cs="Calibri"/>
                <w:szCs w:val="18"/>
                <w:lang w:val="en-NZ"/>
              </w:rPr>
              <w:t>With existing measures central</w:t>
            </w:r>
          </w:p>
        </w:tc>
        <w:tc>
          <w:tcPr>
            <w:tcW w:w="850" w:type="dxa"/>
          </w:tcPr>
          <w:p w14:paraId="1EBE452D"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8.1</w:t>
            </w:r>
          </w:p>
        </w:tc>
        <w:tc>
          <w:tcPr>
            <w:tcW w:w="709" w:type="dxa"/>
          </w:tcPr>
          <w:p w14:paraId="04708D05"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13.2</w:t>
            </w:r>
          </w:p>
        </w:tc>
        <w:tc>
          <w:tcPr>
            <w:tcW w:w="709" w:type="dxa"/>
          </w:tcPr>
          <w:p w14:paraId="6CDE98BC" w14:textId="77777777" w:rsidR="00F51113" w:rsidRPr="004C2DCD" w:rsidRDefault="00F51113">
            <w:pPr>
              <w:pStyle w:val="TableText"/>
              <w:spacing w:before="40" w:after="40"/>
              <w:jc w:val="center"/>
              <w:rPr>
                <w:rFonts w:cs="Calibri"/>
                <w:lang w:val="en-NZ"/>
              </w:rPr>
            </w:pPr>
            <w:r w:rsidRPr="004C2DCD">
              <w:rPr>
                <w:rFonts w:cs="Calibri"/>
                <w:lang w:val="en-NZ"/>
              </w:rPr>
              <w:t>14.3</w:t>
            </w:r>
          </w:p>
        </w:tc>
        <w:tc>
          <w:tcPr>
            <w:tcW w:w="708" w:type="dxa"/>
          </w:tcPr>
          <w:p w14:paraId="32964CAC" w14:textId="77777777" w:rsidR="00F51113" w:rsidRPr="004C2DCD" w:rsidRDefault="00F51113">
            <w:pPr>
              <w:pStyle w:val="TableText"/>
              <w:spacing w:before="40" w:after="40"/>
              <w:jc w:val="center"/>
              <w:rPr>
                <w:rFonts w:cs="Calibri"/>
                <w:lang w:val="en-NZ"/>
              </w:rPr>
            </w:pPr>
            <w:r w:rsidRPr="004C2DCD">
              <w:rPr>
                <w:rFonts w:cs="Calibri"/>
                <w:lang w:val="en-NZ"/>
              </w:rPr>
              <w:t>13.7</w:t>
            </w:r>
          </w:p>
        </w:tc>
        <w:tc>
          <w:tcPr>
            <w:tcW w:w="709" w:type="dxa"/>
          </w:tcPr>
          <w:p w14:paraId="4B083D5F" w14:textId="77777777" w:rsidR="00F51113" w:rsidRPr="004C2DCD" w:rsidRDefault="00F51113">
            <w:pPr>
              <w:pStyle w:val="TableText"/>
              <w:spacing w:before="40" w:after="40"/>
              <w:jc w:val="center"/>
              <w:rPr>
                <w:rFonts w:cs="Calibri"/>
                <w:lang w:val="en-NZ"/>
              </w:rPr>
            </w:pPr>
            <w:r w:rsidRPr="004C2DCD">
              <w:rPr>
                <w:rFonts w:cs="Calibri"/>
                <w:lang w:val="en-NZ"/>
              </w:rPr>
              <w:t>12.6</w:t>
            </w:r>
          </w:p>
        </w:tc>
        <w:tc>
          <w:tcPr>
            <w:tcW w:w="709" w:type="dxa"/>
          </w:tcPr>
          <w:p w14:paraId="16274C04" w14:textId="77777777" w:rsidR="00F51113" w:rsidRPr="004C2DCD" w:rsidRDefault="00F51113">
            <w:pPr>
              <w:pStyle w:val="TableText"/>
              <w:spacing w:before="40" w:after="40"/>
              <w:jc w:val="center"/>
              <w:rPr>
                <w:rFonts w:cs="Calibri"/>
                <w:lang w:val="en-NZ"/>
              </w:rPr>
            </w:pPr>
            <w:r w:rsidRPr="004C2DCD">
              <w:rPr>
                <w:rFonts w:cs="Calibri"/>
                <w:lang w:val="en-NZ"/>
              </w:rPr>
              <w:t>10.8</w:t>
            </w:r>
          </w:p>
        </w:tc>
        <w:tc>
          <w:tcPr>
            <w:tcW w:w="709" w:type="dxa"/>
          </w:tcPr>
          <w:p w14:paraId="7C9BFB82" w14:textId="77777777" w:rsidR="00F51113" w:rsidRPr="004C2DCD" w:rsidRDefault="00F51113">
            <w:pPr>
              <w:pStyle w:val="TableText"/>
              <w:spacing w:before="40" w:after="40"/>
              <w:jc w:val="center"/>
              <w:rPr>
                <w:rFonts w:cs="Calibri"/>
                <w:lang w:val="en-NZ"/>
              </w:rPr>
            </w:pPr>
            <w:r w:rsidRPr="004C2DCD">
              <w:rPr>
                <w:rFonts w:cs="Calibri"/>
                <w:lang w:val="en-NZ"/>
              </w:rPr>
              <w:t>8.9</w:t>
            </w:r>
          </w:p>
        </w:tc>
        <w:tc>
          <w:tcPr>
            <w:tcW w:w="708" w:type="dxa"/>
          </w:tcPr>
          <w:p w14:paraId="070CA410" w14:textId="77777777" w:rsidR="00F51113" w:rsidRPr="004C2DCD" w:rsidRDefault="00F51113">
            <w:pPr>
              <w:pStyle w:val="TableText"/>
              <w:spacing w:before="40" w:after="40"/>
              <w:jc w:val="center"/>
              <w:rPr>
                <w:rFonts w:cs="Calibri"/>
                <w:lang w:val="en-NZ"/>
              </w:rPr>
            </w:pPr>
            <w:r w:rsidRPr="004C2DCD">
              <w:rPr>
                <w:rFonts w:cs="Calibri"/>
                <w:lang w:val="en-NZ"/>
              </w:rPr>
              <w:t>7.4</w:t>
            </w:r>
          </w:p>
        </w:tc>
      </w:tr>
      <w:tr w:rsidR="00F51113" w:rsidRPr="004C2DCD" w14:paraId="04E1E009" w14:textId="77777777" w:rsidTr="00001CE2">
        <w:tc>
          <w:tcPr>
            <w:tcW w:w="2694" w:type="dxa"/>
          </w:tcPr>
          <w:p w14:paraId="69502A46" w14:textId="77777777" w:rsidR="00F51113" w:rsidRPr="004C2DCD" w:rsidRDefault="00F51113">
            <w:pPr>
              <w:pStyle w:val="TableText"/>
              <w:spacing w:before="40" w:after="40"/>
              <w:rPr>
                <w:rFonts w:cs="Calibri"/>
                <w:szCs w:val="18"/>
                <w:lang w:val="en-NZ"/>
              </w:rPr>
            </w:pPr>
            <w:r w:rsidRPr="004C2DCD">
              <w:rPr>
                <w:rFonts w:cs="Calibri"/>
                <w:szCs w:val="18"/>
                <w:lang w:val="en-NZ"/>
              </w:rPr>
              <w:t>Low emissions</w:t>
            </w:r>
          </w:p>
        </w:tc>
        <w:tc>
          <w:tcPr>
            <w:tcW w:w="850" w:type="dxa"/>
          </w:tcPr>
          <w:p w14:paraId="4372B24B"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8.1</w:t>
            </w:r>
          </w:p>
        </w:tc>
        <w:tc>
          <w:tcPr>
            <w:tcW w:w="709" w:type="dxa"/>
          </w:tcPr>
          <w:p w14:paraId="222ED28C"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13.2</w:t>
            </w:r>
          </w:p>
        </w:tc>
        <w:tc>
          <w:tcPr>
            <w:tcW w:w="709" w:type="dxa"/>
          </w:tcPr>
          <w:p w14:paraId="794FFC87" w14:textId="77777777" w:rsidR="00F51113" w:rsidRPr="004C2DCD" w:rsidRDefault="00F51113">
            <w:pPr>
              <w:pStyle w:val="TableText"/>
              <w:spacing w:before="40" w:after="40"/>
              <w:jc w:val="center"/>
              <w:rPr>
                <w:rFonts w:cs="Calibri"/>
                <w:lang w:val="en-NZ"/>
              </w:rPr>
            </w:pPr>
            <w:r w:rsidRPr="004C2DCD">
              <w:rPr>
                <w:rFonts w:cs="Calibri"/>
                <w:lang w:val="en-NZ"/>
              </w:rPr>
              <w:t>14.1</w:t>
            </w:r>
          </w:p>
        </w:tc>
        <w:tc>
          <w:tcPr>
            <w:tcW w:w="708" w:type="dxa"/>
          </w:tcPr>
          <w:p w14:paraId="0C97C5AD" w14:textId="77777777" w:rsidR="00F51113" w:rsidRPr="004C2DCD" w:rsidRDefault="00F51113">
            <w:pPr>
              <w:pStyle w:val="TableText"/>
              <w:spacing w:before="40" w:after="40"/>
              <w:jc w:val="center"/>
              <w:rPr>
                <w:rFonts w:cs="Calibri"/>
                <w:lang w:val="en-NZ"/>
              </w:rPr>
            </w:pPr>
            <w:r w:rsidRPr="004C2DCD">
              <w:rPr>
                <w:rFonts w:cs="Calibri"/>
                <w:lang w:val="en-NZ"/>
              </w:rPr>
              <w:t>12.7</w:t>
            </w:r>
          </w:p>
        </w:tc>
        <w:tc>
          <w:tcPr>
            <w:tcW w:w="709" w:type="dxa"/>
          </w:tcPr>
          <w:p w14:paraId="3587306D" w14:textId="77777777" w:rsidR="00F51113" w:rsidRPr="004C2DCD" w:rsidRDefault="00F51113">
            <w:pPr>
              <w:pStyle w:val="TableText"/>
              <w:spacing w:before="40" w:after="40"/>
              <w:jc w:val="center"/>
              <w:rPr>
                <w:rFonts w:cs="Calibri"/>
                <w:lang w:val="en-NZ"/>
              </w:rPr>
            </w:pPr>
            <w:r w:rsidRPr="004C2DCD">
              <w:rPr>
                <w:rFonts w:cs="Calibri"/>
                <w:lang w:val="en-NZ"/>
              </w:rPr>
              <w:t>10.7</w:t>
            </w:r>
          </w:p>
        </w:tc>
        <w:tc>
          <w:tcPr>
            <w:tcW w:w="709" w:type="dxa"/>
          </w:tcPr>
          <w:p w14:paraId="1E599061" w14:textId="77777777" w:rsidR="00F51113" w:rsidRPr="004C2DCD" w:rsidRDefault="00F51113">
            <w:pPr>
              <w:pStyle w:val="TableText"/>
              <w:spacing w:before="40" w:after="40"/>
              <w:jc w:val="center"/>
              <w:rPr>
                <w:rFonts w:cs="Calibri"/>
                <w:lang w:val="en-NZ"/>
              </w:rPr>
            </w:pPr>
            <w:r w:rsidRPr="004C2DCD">
              <w:rPr>
                <w:rFonts w:cs="Calibri"/>
                <w:lang w:val="en-NZ"/>
              </w:rPr>
              <w:t>8.7</w:t>
            </w:r>
          </w:p>
        </w:tc>
        <w:tc>
          <w:tcPr>
            <w:tcW w:w="709" w:type="dxa"/>
          </w:tcPr>
          <w:p w14:paraId="6D04975A" w14:textId="77777777" w:rsidR="00F51113" w:rsidRPr="004C2DCD" w:rsidRDefault="00F51113">
            <w:pPr>
              <w:pStyle w:val="TableText"/>
              <w:spacing w:before="40" w:after="40"/>
              <w:jc w:val="center"/>
              <w:rPr>
                <w:rFonts w:cs="Calibri"/>
                <w:lang w:val="en-NZ"/>
              </w:rPr>
            </w:pPr>
            <w:r w:rsidRPr="004C2DCD">
              <w:rPr>
                <w:rFonts w:cs="Calibri"/>
                <w:lang w:val="en-NZ"/>
              </w:rPr>
              <w:t>7.1</w:t>
            </w:r>
          </w:p>
        </w:tc>
        <w:tc>
          <w:tcPr>
            <w:tcW w:w="708" w:type="dxa"/>
          </w:tcPr>
          <w:p w14:paraId="642F47C9" w14:textId="77777777" w:rsidR="00F51113" w:rsidRPr="004C2DCD" w:rsidRDefault="00F51113">
            <w:pPr>
              <w:pStyle w:val="TableText"/>
              <w:spacing w:before="40" w:after="40"/>
              <w:jc w:val="center"/>
              <w:rPr>
                <w:rFonts w:cs="Calibri"/>
                <w:lang w:val="en-NZ"/>
              </w:rPr>
            </w:pPr>
            <w:r w:rsidRPr="004C2DCD">
              <w:rPr>
                <w:rFonts w:cs="Calibri"/>
                <w:lang w:val="en-NZ"/>
              </w:rPr>
              <w:t>6.0</w:t>
            </w:r>
          </w:p>
        </w:tc>
      </w:tr>
    </w:tbl>
    <w:p w14:paraId="685C6FF7" w14:textId="77777777" w:rsidR="00F51113" w:rsidRPr="004C2DCD" w:rsidRDefault="00F51113" w:rsidP="00F51113">
      <w:pPr>
        <w:pStyle w:val="BodyText"/>
        <w:spacing w:before="0" w:after="0"/>
      </w:pPr>
    </w:p>
    <w:p w14:paraId="3D40477F" w14:textId="77777777" w:rsidR="00F51113" w:rsidRPr="004C2DCD" w:rsidRDefault="00F51113" w:rsidP="003038F0">
      <w:pPr>
        <w:pStyle w:val="Figureheading"/>
        <w:ind w:left="1276" w:hanging="1276"/>
      </w:pPr>
      <w:bookmarkStart w:id="629" w:name="_Toc185347260"/>
      <w:r w:rsidRPr="004C2DCD">
        <w:t xml:space="preserve">Figure 2.5.16: </w:t>
      </w:r>
      <w:r w:rsidRPr="004C2DCD">
        <w:tab/>
        <w:t>Greenhouse gas emissions under the ‘with existing measures’, high- and low-emissions scenarios in the Transport sector, 1990–2050</w:t>
      </w:r>
      <w:bookmarkEnd w:id="629"/>
    </w:p>
    <w:p w14:paraId="6603BB23" w14:textId="20D75FE5" w:rsidR="00F51113" w:rsidRPr="004C2DCD" w:rsidRDefault="006022A7" w:rsidP="00F51113">
      <w:pPr>
        <w:pStyle w:val="BodyText"/>
        <w:spacing w:before="80" w:after="80"/>
        <w:jc w:val="center"/>
      </w:pPr>
      <w:r>
        <w:rPr>
          <w:noProof/>
        </w:rPr>
        <w:drawing>
          <wp:inline distT="0" distB="0" distL="0" distR="0" wp14:anchorId="5369140E" wp14:editId="5426EC4F">
            <wp:extent cx="4868545" cy="2771624"/>
            <wp:effectExtent l="0" t="0" r="8255" b="0"/>
            <wp:docPr id="1413889615" name="Picture 41" descr="A line graph showing greenhouse gas emissions in million tonnes carbon dioxide equivalent under the ‘with existing measures’ high- and low- scenarios in the Transport sector for the period 1990 to 2050. It plots the paths of Transport historical emissions, Transport projected emissions (high scenario), Transport projected emissions and Transport projected emissions (low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889615" name="Picture 41" descr="A line graph showing greenhouse gas emissions in million tonnes carbon dioxide equivalent under the ‘with existing measures’ high- and low- scenarios in the Transport sector for the period 1990 to 2050. It plots the paths of Transport historical emissions, Transport projected emissions (high scenario), Transport projected emissions and Transport projected emissions (low scenario)."/>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73638" cy="2774524"/>
                    </a:xfrm>
                    <a:prstGeom prst="rect">
                      <a:avLst/>
                    </a:prstGeom>
                    <a:noFill/>
                  </pic:spPr>
                </pic:pic>
              </a:graphicData>
            </a:graphic>
          </wp:inline>
        </w:drawing>
      </w:r>
    </w:p>
    <w:p w14:paraId="382F0C0D" w14:textId="77777777" w:rsidR="00F51113" w:rsidRPr="004C2DCD" w:rsidRDefault="00F51113" w:rsidP="00F51113">
      <w:pPr>
        <w:pStyle w:val="Note"/>
        <w:spacing w:before="80"/>
      </w:pPr>
      <w:r w:rsidRPr="004C2DCD">
        <w:rPr>
          <w:b/>
          <w:bCs/>
        </w:rPr>
        <w:t>Note:</w:t>
      </w:r>
      <w:r w:rsidRPr="004C2DCD">
        <w:t xml:space="preserve"> Mt CO</w:t>
      </w:r>
      <w:r w:rsidRPr="004C2DCD">
        <w:rPr>
          <w:vertAlign w:val="subscript"/>
        </w:rPr>
        <w:t>2</w:t>
      </w:r>
      <w:r w:rsidRPr="004C2DCD">
        <w:t>e =</w:t>
      </w:r>
      <w:r w:rsidRPr="004C2DCD">
        <w:rPr>
          <w:b/>
          <w:bCs/>
        </w:rPr>
        <w:t xml:space="preserve"> </w:t>
      </w:r>
      <w:r w:rsidRPr="004C2DCD">
        <w:t>million tonnes of carbon dioxide equivalent.</w:t>
      </w:r>
    </w:p>
    <w:p w14:paraId="7FEE1C7F" w14:textId="77777777" w:rsidR="00F51113" w:rsidRPr="004C2DCD" w:rsidRDefault="00F51113" w:rsidP="00F51113">
      <w:pPr>
        <w:pStyle w:val="BodyText"/>
      </w:pPr>
      <w:r w:rsidRPr="004C2DCD">
        <w:t xml:space="preserve">Figure 2.5.17 and table 2.5.19 show high and low WEM IPPU sector emissions scenarios based on those different assumptions. </w:t>
      </w:r>
    </w:p>
    <w:p w14:paraId="6CC822CE" w14:textId="77777777" w:rsidR="00F51113" w:rsidRPr="004C2DCD" w:rsidRDefault="00F51113" w:rsidP="00F51113">
      <w:pPr>
        <w:pStyle w:val="Tableheading"/>
        <w:ind w:left="1276" w:hanging="1276"/>
      </w:pPr>
      <w:bookmarkStart w:id="630" w:name="_Toc183789711"/>
      <w:bookmarkStart w:id="631" w:name="_Toc185407484"/>
      <w:bookmarkStart w:id="632" w:name="_Toc185427747"/>
      <w:r w:rsidRPr="004C2DCD">
        <w:t xml:space="preserve">Table 2.5.19: </w:t>
      </w:r>
      <w:r w:rsidRPr="004C2DCD">
        <w:tab/>
        <w:t>Projected IPPU sector emissions under ‘with existing measures’,</w:t>
      </w:r>
      <w:r w:rsidRPr="004C2DCD">
        <w:br/>
        <w:t>high- and low-emissions scenarios, 1990–2050 (kt CO</w:t>
      </w:r>
      <w:r w:rsidRPr="004C2DCD">
        <w:rPr>
          <w:vertAlign w:val="subscript"/>
        </w:rPr>
        <w:t>2</w:t>
      </w:r>
      <w:r w:rsidRPr="004C2DCD">
        <w:t>e)</w:t>
      </w:r>
      <w:bookmarkEnd w:id="630"/>
      <w:bookmarkEnd w:id="631"/>
      <w:bookmarkEnd w:id="632"/>
    </w:p>
    <w:tbl>
      <w:tblPr>
        <w:tblStyle w:val="TableGrid1"/>
        <w:tblW w:w="8505" w:type="dxa"/>
        <w:tblInd w:w="0" w:type="dxa"/>
        <w:tblLayout w:type="fixed"/>
        <w:tblCellMar>
          <w:left w:w="85" w:type="dxa"/>
          <w:right w:w="85" w:type="dxa"/>
        </w:tblCellMar>
        <w:tblLook w:val="04A0" w:firstRow="1" w:lastRow="0" w:firstColumn="1" w:lastColumn="0" w:noHBand="0" w:noVBand="1"/>
      </w:tblPr>
      <w:tblGrid>
        <w:gridCol w:w="2552"/>
        <w:gridCol w:w="709"/>
        <w:gridCol w:w="850"/>
        <w:gridCol w:w="709"/>
        <w:gridCol w:w="850"/>
        <w:gridCol w:w="709"/>
        <w:gridCol w:w="709"/>
        <w:gridCol w:w="709"/>
        <w:gridCol w:w="708"/>
      </w:tblGrid>
      <w:tr w:rsidR="00F51113" w:rsidRPr="004C2DCD" w14:paraId="2A1FF1E6" w14:textId="77777777" w:rsidTr="00C40E20">
        <w:trPr>
          <w:trHeight w:val="328"/>
          <w:tblHeader/>
        </w:trPr>
        <w:tc>
          <w:tcPr>
            <w:tcW w:w="2552" w:type="dxa"/>
            <w:shd w:val="clear" w:color="auto" w:fill="1B556B" w:themeFill="text2"/>
            <w:vAlign w:val="bottom"/>
          </w:tcPr>
          <w:p w14:paraId="54EC1D9D" w14:textId="77777777" w:rsidR="00F51113" w:rsidRPr="004C2DCD" w:rsidRDefault="00F51113">
            <w:pPr>
              <w:pStyle w:val="TableText"/>
              <w:keepNext/>
              <w:spacing w:before="40" w:after="40"/>
              <w:rPr>
                <w:b/>
                <w:bCs/>
                <w:color w:val="FFFFFF" w:themeColor="background1"/>
                <w:szCs w:val="18"/>
                <w:lang w:val="en-NZ"/>
              </w:rPr>
            </w:pPr>
            <w:r w:rsidRPr="004C2DCD">
              <w:rPr>
                <w:b/>
                <w:bCs/>
                <w:color w:val="FFFFFF" w:themeColor="background1"/>
                <w:szCs w:val="18"/>
                <w:lang w:val="en-NZ"/>
              </w:rPr>
              <w:t>Scenario</w:t>
            </w:r>
          </w:p>
        </w:tc>
        <w:tc>
          <w:tcPr>
            <w:tcW w:w="709" w:type="dxa"/>
            <w:shd w:val="clear" w:color="auto" w:fill="1B556B" w:themeFill="text2"/>
            <w:vAlign w:val="bottom"/>
          </w:tcPr>
          <w:p w14:paraId="0138F5B8"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1990</w:t>
            </w:r>
          </w:p>
        </w:tc>
        <w:tc>
          <w:tcPr>
            <w:tcW w:w="850" w:type="dxa"/>
            <w:shd w:val="clear" w:color="auto" w:fill="1B556B" w:themeFill="text2"/>
            <w:vAlign w:val="bottom"/>
          </w:tcPr>
          <w:p w14:paraId="0137339E"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2020</w:t>
            </w:r>
          </w:p>
        </w:tc>
        <w:tc>
          <w:tcPr>
            <w:tcW w:w="709" w:type="dxa"/>
            <w:shd w:val="clear" w:color="auto" w:fill="1B556B" w:themeFill="text2"/>
            <w:vAlign w:val="bottom"/>
          </w:tcPr>
          <w:p w14:paraId="3DC3E87A"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2025</w:t>
            </w:r>
          </w:p>
        </w:tc>
        <w:tc>
          <w:tcPr>
            <w:tcW w:w="850" w:type="dxa"/>
            <w:shd w:val="clear" w:color="auto" w:fill="1B556B" w:themeFill="text2"/>
          </w:tcPr>
          <w:p w14:paraId="1FBA5884"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2030</w:t>
            </w:r>
          </w:p>
        </w:tc>
        <w:tc>
          <w:tcPr>
            <w:tcW w:w="709" w:type="dxa"/>
            <w:shd w:val="clear" w:color="auto" w:fill="1B556B" w:themeFill="text2"/>
          </w:tcPr>
          <w:p w14:paraId="4AE2700F"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2035</w:t>
            </w:r>
          </w:p>
        </w:tc>
        <w:tc>
          <w:tcPr>
            <w:tcW w:w="709" w:type="dxa"/>
            <w:shd w:val="clear" w:color="auto" w:fill="1B556B" w:themeFill="text2"/>
          </w:tcPr>
          <w:p w14:paraId="6BF1BA73"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2040</w:t>
            </w:r>
          </w:p>
        </w:tc>
        <w:tc>
          <w:tcPr>
            <w:tcW w:w="709" w:type="dxa"/>
            <w:shd w:val="clear" w:color="auto" w:fill="1B556B" w:themeFill="text2"/>
          </w:tcPr>
          <w:p w14:paraId="338AC72A"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2045</w:t>
            </w:r>
          </w:p>
        </w:tc>
        <w:tc>
          <w:tcPr>
            <w:tcW w:w="708" w:type="dxa"/>
            <w:shd w:val="clear" w:color="auto" w:fill="1B556B" w:themeFill="text2"/>
          </w:tcPr>
          <w:p w14:paraId="6E07539F"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2050</w:t>
            </w:r>
          </w:p>
        </w:tc>
      </w:tr>
      <w:tr w:rsidR="00F51113" w:rsidRPr="004C2DCD" w14:paraId="517546B6" w14:textId="77777777" w:rsidTr="00C40E20">
        <w:tc>
          <w:tcPr>
            <w:tcW w:w="2552" w:type="dxa"/>
          </w:tcPr>
          <w:p w14:paraId="268FD734" w14:textId="77777777" w:rsidR="00F51113" w:rsidRPr="004C2DCD" w:rsidRDefault="00F51113">
            <w:pPr>
              <w:pStyle w:val="TableText"/>
              <w:spacing w:before="40" w:after="40"/>
              <w:rPr>
                <w:rFonts w:cs="Calibri"/>
                <w:szCs w:val="18"/>
                <w:lang w:val="en-NZ"/>
              </w:rPr>
            </w:pPr>
            <w:r w:rsidRPr="004C2DCD">
              <w:rPr>
                <w:rFonts w:cs="Calibri"/>
                <w:szCs w:val="18"/>
                <w:lang w:val="en-NZ"/>
              </w:rPr>
              <w:t xml:space="preserve">High emissions </w:t>
            </w:r>
          </w:p>
        </w:tc>
        <w:tc>
          <w:tcPr>
            <w:tcW w:w="709" w:type="dxa"/>
          </w:tcPr>
          <w:p w14:paraId="773FA6C7"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3,478</w:t>
            </w:r>
          </w:p>
        </w:tc>
        <w:tc>
          <w:tcPr>
            <w:tcW w:w="850" w:type="dxa"/>
          </w:tcPr>
          <w:p w14:paraId="5FEE05AB"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4,480</w:t>
            </w:r>
          </w:p>
        </w:tc>
        <w:tc>
          <w:tcPr>
            <w:tcW w:w="709" w:type="dxa"/>
          </w:tcPr>
          <w:p w14:paraId="495C682F" w14:textId="77777777" w:rsidR="00F51113" w:rsidRPr="004C2DCD" w:rsidRDefault="00F51113">
            <w:pPr>
              <w:pStyle w:val="TableText"/>
              <w:spacing w:before="40" w:after="40"/>
              <w:jc w:val="center"/>
              <w:rPr>
                <w:rFonts w:cs="Calibri"/>
                <w:lang w:val="en-NZ"/>
              </w:rPr>
            </w:pPr>
            <w:r w:rsidRPr="004C2DCD">
              <w:rPr>
                <w:rFonts w:cs="Calibri"/>
                <w:lang w:val="en-NZ"/>
              </w:rPr>
              <w:t>4,230</w:t>
            </w:r>
          </w:p>
        </w:tc>
        <w:tc>
          <w:tcPr>
            <w:tcW w:w="850" w:type="dxa"/>
          </w:tcPr>
          <w:p w14:paraId="79159E99" w14:textId="77777777" w:rsidR="00F51113" w:rsidRPr="004C2DCD" w:rsidRDefault="00F51113">
            <w:pPr>
              <w:pStyle w:val="TableText"/>
              <w:spacing w:before="40" w:after="40"/>
              <w:jc w:val="center"/>
              <w:rPr>
                <w:rFonts w:cs="Calibri"/>
                <w:lang w:val="en-NZ"/>
              </w:rPr>
            </w:pPr>
            <w:r w:rsidRPr="004C2DCD">
              <w:rPr>
                <w:rFonts w:cs="Calibri"/>
                <w:lang w:val="en-NZ"/>
              </w:rPr>
              <w:t>3,163</w:t>
            </w:r>
          </w:p>
        </w:tc>
        <w:tc>
          <w:tcPr>
            <w:tcW w:w="709" w:type="dxa"/>
          </w:tcPr>
          <w:p w14:paraId="4D725761" w14:textId="77777777" w:rsidR="00F51113" w:rsidRPr="004C2DCD" w:rsidRDefault="00F51113">
            <w:pPr>
              <w:pStyle w:val="TableText"/>
              <w:spacing w:before="40" w:after="40"/>
              <w:jc w:val="center"/>
              <w:rPr>
                <w:rFonts w:cs="Calibri"/>
                <w:lang w:val="en-NZ"/>
              </w:rPr>
            </w:pPr>
            <w:r w:rsidRPr="004C2DCD">
              <w:rPr>
                <w:rFonts w:cs="Calibri"/>
                <w:lang w:val="en-NZ"/>
              </w:rPr>
              <w:t>3,083</w:t>
            </w:r>
          </w:p>
        </w:tc>
        <w:tc>
          <w:tcPr>
            <w:tcW w:w="709" w:type="dxa"/>
          </w:tcPr>
          <w:p w14:paraId="368F118F" w14:textId="77777777" w:rsidR="00F51113" w:rsidRPr="004C2DCD" w:rsidRDefault="00F51113">
            <w:pPr>
              <w:pStyle w:val="TableText"/>
              <w:spacing w:before="40" w:after="40"/>
              <w:jc w:val="center"/>
              <w:rPr>
                <w:rFonts w:cs="Calibri"/>
                <w:lang w:val="en-NZ"/>
              </w:rPr>
            </w:pPr>
            <w:r w:rsidRPr="004C2DCD">
              <w:rPr>
                <w:rFonts w:cs="Calibri"/>
                <w:lang w:val="en-NZ"/>
              </w:rPr>
              <w:t>2,908</w:t>
            </w:r>
          </w:p>
        </w:tc>
        <w:tc>
          <w:tcPr>
            <w:tcW w:w="709" w:type="dxa"/>
          </w:tcPr>
          <w:p w14:paraId="29A17550" w14:textId="77777777" w:rsidR="00F51113" w:rsidRPr="004C2DCD" w:rsidRDefault="00F51113">
            <w:pPr>
              <w:pStyle w:val="TableText"/>
              <w:spacing w:before="40" w:after="40"/>
              <w:jc w:val="center"/>
              <w:rPr>
                <w:rFonts w:cs="Calibri"/>
                <w:lang w:val="en-NZ"/>
              </w:rPr>
            </w:pPr>
            <w:r w:rsidRPr="004C2DCD">
              <w:rPr>
                <w:rFonts w:cs="Calibri"/>
                <w:lang w:val="en-NZ"/>
              </w:rPr>
              <w:t>2,917</w:t>
            </w:r>
          </w:p>
        </w:tc>
        <w:tc>
          <w:tcPr>
            <w:tcW w:w="708" w:type="dxa"/>
          </w:tcPr>
          <w:p w14:paraId="321E5A27" w14:textId="77777777" w:rsidR="00F51113" w:rsidRPr="004C2DCD" w:rsidRDefault="00F51113">
            <w:pPr>
              <w:pStyle w:val="TableText"/>
              <w:spacing w:before="40" w:after="40"/>
              <w:jc w:val="center"/>
              <w:rPr>
                <w:rFonts w:cs="Calibri"/>
                <w:lang w:val="en-NZ"/>
              </w:rPr>
            </w:pPr>
            <w:r w:rsidRPr="004C2DCD">
              <w:rPr>
                <w:rFonts w:cs="Calibri"/>
                <w:lang w:val="en-NZ"/>
              </w:rPr>
              <w:t>2,829</w:t>
            </w:r>
          </w:p>
        </w:tc>
      </w:tr>
      <w:tr w:rsidR="00F51113" w:rsidRPr="004C2DCD" w14:paraId="2A1DFB92" w14:textId="77777777" w:rsidTr="00C40E20">
        <w:tc>
          <w:tcPr>
            <w:tcW w:w="2552" w:type="dxa"/>
          </w:tcPr>
          <w:p w14:paraId="1B2684F8" w14:textId="77777777" w:rsidR="00F51113" w:rsidRPr="004C2DCD" w:rsidRDefault="00F51113">
            <w:pPr>
              <w:pStyle w:val="TableText"/>
              <w:spacing w:before="40" w:after="40"/>
              <w:rPr>
                <w:rFonts w:cs="Calibri"/>
                <w:szCs w:val="18"/>
                <w:lang w:val="en-NZ"/>
              </w:rPr>
            </w:pPr>
            <w:r w:rsidRPr="004C2DCD">
              <w:rPr>
                <w:rFonts w:cs="Calibri"/>
                <w:szCs w:val="18"/>
                <w:lang w:val="en-NZ"/>
              </w:rPr>
              <w:t>With existing measures central</w:t>
            </w:r>
          </w:p>
        </w:tc>
        <w:tc>
          <w:tcPr>
            <w:tcW w:w="709" w:type="dxa"/>
          </w:tcPr>
          <w:p w14:paraId="2FC7D132"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3,478</w:t>
            </w:r>
          </w:p>
        </w:tc>
        <w:tc>
          <w:tcPr>
            <w:tcW w:w="850" w:type="dxa"/>
          </w:tcPr>
          <w:p w14:paraId="1FB1405C"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4,480</w:t>
            </w:r>
          </w:p>
        </w:tc>
        <w:tc>
          <w:tcPr>
            <w:tcW w:w="709" w:type="dxa"/>
          </w:tcPr>
          <w:p w14:paraId="6DFED10D" w14:textId="77777777" w:rsidR="00F51113" w:rsidRPr="004C2DCD" w:rsidRDefault="00F51113">
            <w:pPr>
              <w:pStyle w:val="TableText"/>
              <w:spacing w:before="40" w:after="40"/>
              <w:jc w:val="center"/>
              <w:rPr>
                <w:rFonts w:cs="Calibri"/>
                <w:lang w:val="en-NZ"/>
              </w:rPr>
            </w:pPr>
            <w:r w:rsidRPr="004C2DCD">
              <w:rPr>
                <w:rFonts w:cs="Calibri"/>
                <w:lang w:val="en-NZ"/>
              </w:rPr>
              <w:t>4,230</w:t>
            </w:r>
          </w:p>
        </w:tc>
        <w:tc>
          <w:tcPr>
            <w:tcW w:w="850" w:type="dxa"/>
          </w:tcPr>
          <w:p w14:paraId="63A6D270" w14:textId="77777777" w:rsidR="00F51113" w:rsidRPr="004C2DCD" w:rsidRDefault="00F51113">
            <w:pPr>
              <w:pStyle w:val="TableText"/>
              <w:spacing w:before="40" w:after="40"/>
              <w:jc w:val="center"/>
              <w:rPr>
                <w:rFonts w:cs="Calibri"/>
                <w:lang w:val="en-NZ"/>
              </w:rPr>
            </w:pPr>
            <w:r w:rsidRPr="004C2DCD">
              <w:rPr>
                <w:rFonts w:cs="Calibri"/>
                <w:lang w:val="en-NZ"/>
              </w:rPr>
              <w:t>3,113</w:t>
            </w:r>
          </w:p>
        </w:tc>
        <w:tc>
          <w:tcPr>
            <w:tcW w:w="709" w:type="dxa"/>
          </w:tcPr>
          <w:p w14:paraId="11E3F020" w14:textId="77777777" w:rsidR="00F51113" w:rsidRPr="004C2DCD" w:rsidRDefault="00F51113">
            <w:pPr>
              <w:pStyle w:val="TableText"/>
              <w:spacing w:before="40" w:after="40"/>
              <w:jc w:val="center"/>
              <w:rPr>
                <w:rFonts w:cs="Calibri"/>
                <w:lang w:val="en-NZ"/>
              </w:rPr>
            </w:pPr>
            <w:r w:rsidRPr="004C2DCD">
              <w:rPr>
                <w:rFonts w:cs="Calibri"/>
                <w:lang w:val="en-NZ"/>
              </w:rPr>
              <w:t>3,032</w:t>
            </w:r>
          </w:p>
        </w:tc>
        <w:tc>
          <w:tcPr>
            <w:tcW w:w="709" w:type="dxa"/>
          </w:tcPr>
          <w:p w14:paraId="707FC281" w14:textId="77777777" w:rsidR="00F51113" w:rsidRPr="004C2DCD" w:rsidRDefault="00F51113">
            <w:pPr>
              <w:pStyle w:val="TableText"/>
              <w:spacing w:before="40" w:after="40"/>
              <w:jc w:val="center"/>
              <w:rPr>
                <w:rFonts w:cs="Calibri"/>
                <w:lang w:val="en-NZ"/>
              </w:rPr>
            </w:pPr>
            <w:r w:rsidRPr="004C2DCD">
              <w:rPr>
                <w:rFonts w:cs="Calibri"/>
                <w:lang w:val="en-NZ"/>
              </w:rPr>
              <w:t>2,908</w:t>
            </w:r>
          </w:p>
        </w:tc>
        <w:tc>
          <w:tcPr>
            <w:tcW w:w="709" w:type="dxa"/>
          </w:tcPr>
          <w:p w14:paraId="7055C89E" w14:textId="77777777" w:rsidR="00F51113" w:rsidRPr="004C2DCD" w:rsidRDefault="00F51113">
            <w:pPr>
              <w:pStyle w:val="TableText"/>
              <w:spacing w:before="40" w:after="40"/>
              <w:jc w:val="center"/>
              <w:rPr>
                <w:rFonts w:cs="Calibri"/>
                <w:lang w:val="en-NZ"/>
              </w:rPr>
            </w:pPr>
            <w:r w:rsidRPr="004C2DCD">
              <w:rPr>
                <w:rFonts w:cs="Calibri"/>
                <w:lang w:val="en-NZ"/>
              </w:rPr>
              <w:t>2,917</w:t>
            </w:r>
          </w:p>
        </w:tc>
        <w:tc>
          <w:tcPr>
            <w:tcW w:w="708" w:type="dxa"/>
          </w:tcPr>
          <w:p w14:paraId="25FE5C0C" w14:textId="77777777" w:rsidR="00F51113" w:rsidRPr="004C2DCD" w:rsidRDefault="00F51113">
            <w:pPr>
              <w:pStyle w:val="TableText"/>
              <w:spacing w:before="40" w:after="40"/>
              <w:jc w:val="center"/>
              <w:rPr>
                <w:rFonts w:cs="Calibri"/>
                <w:lang w:val="en-NZ"/>
              </w:rPr>
            </w:pPr>
            <w:r w:rsidRPr="004C2DCD">
              <w:rPr>
                <w:rFonts w:cs="Calibri"/>
                <w:lang w:val="en-NZ"/>
              </w:rPr>
              <w:t>2,829</w:t>
            </w:r>
          </w:p>
        </w:tc>
      </w:tr>
      <w:tr w:rsidR="00F51113" w:rsidRPr="004C2DCD" w14:paraId="32F42AE7" w14:textId="77777777" w:rsidTr="00C40E20">
        <w:tc>
          <w:tcPr>
            <w:tcW w:w="2552" w:type="dxa"/>
          </w:tcPr>
          <w:p w14:paraId="5B48E741" w14:textId="77777777" w:rsidR="00F51113" w:rsidRPr="004C2DCD" w:rsidRDefault="00F51113">
            <w:pPr>
              <w:pStyle w:val="TableText"/>
              <w:spacing w:before="40" w:after="40"/>
              <w:rPr>
                <w:rFonts w:cs="Calibri"/>
                <w:szCs w:val="18"/>
                <w:lang w:val="en-NZ"/>
              </w:rPr>
            </w:pPr>
            <w:r w:rsidRPr="004C2DCD">
              <w:rPr>
                <w:rFonts w:cs="Calibri"/>
                <w:szCs w:val="18"/>
                <w:lang w:val="en-NZ"/>
              </w:rPr>
              <w:t>Low emissions</w:t>
            </w:r>
          </w:p>
        </w:tc>
        <w:tc>
          <w:tcPr>
            <w:tcW w:w="709" w:type="dxa"/>
          </w:tcPr>
          <w:p w14:paraId="16DC92F0"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3,478</w:t>
            </w:r>
          </w:p>
        </w:tc>
        <w:tc>
          <w:tcPr>
            <w:tcW w:w="850" w:type="dxa"/>
          </w:tcPr>
          <w:p w14:paraId="26FDD15D" w14:textId="77777777" w:rsidR="00F51113" w:rsidRPr="004C2DCD" w:rsidRDefault="00F51113">
            <w:pPr>
              <w:pStyle w:val="TableText"/>
              <w:spacing w:before="40" w:after="40"/>
              <w:jc w:val="center"/>
              <w:rPr>
                <w:rFonts w:cs="Calibri"/>
                <w:szCs w:val="18"/>
                <w:lang w:val="en-NZ"/>
              </w:rPr>
            </w:pPr>
            <w:r w:rsidRPr="004C2DCD">
              <w:rPr>
                <w:rFonts w:cs="Calibri"/>
                <w:szCs w:val="18"/>
                <w:lang w:val="en-NZ"/>
              </w:rPr>
              <w:t>4,480</w:t>
            </w:r>
          </w:p>
        </w:tc>
        <w:tc>
          <w:tcPr>
            <w:tcW w:w="709" w:type="dxa"/>
          </w:tcPr>
          <w:p w14:paraId="72559DE5" w14:textId="77777777" w:rsidR="00F51113" w:rsidRPr="004C2DCD" w:rsidRDefault="00F51113">
            <w:pPr>
              <w:pStyle w:val="TableText"/>
              <w:spacing w:before="40" w:after="40"/>
              <w:jc w:val="center"/>
              <w:rPr>
                <w:rFonts w:cs="Calibri"/>
                <w:lang w:val="en-NZ"/>
              </w:rPr>
            </w:pPr>
            <w:r w:rsidRPr="004C2DCD">
              <w:rPr>
                <w:rFonts w:cs="Calibri"/>
                <w:lang w:val="en-NZ"/>
              </w:rPr>
              <w:t>4,180</w:t>
            </w:r>
          </w:p>
        </w:tc>
        <w:tc>
          <w:tcPr>
            <w:tcW w:w="850" w:type="dxa"/>
          </w:tcPr>
          <w:p w14:paraId="59975479" w14:textId="77777777" w:rsidR="00F51113" w:rsidRPr="004C2DCD" w:rsidRDefault="00F51113">
            <w:pPr>
              <w:pStyle w:val="TableText"/>
              <w:spacing w:before="40" w:after="40"/>
              <w:jc w:val="center"/>
              <w:rPr>
                <w:rFonts w:cs="Calibri"/>
                <w:lang w:val="en-NZ"/>
              </w:rPr>
            </w:pPr>
            <w:r w:rsidRPr="004C2DCD">
              <w:rPr>
                <w:rFonts w:cs="Calibri"/>
                <w:lang w:val="en-NZ"/>
              </w:rPr>
              <w:t>3,113</w:t>
            </w:r>
          </w:p>
        </w:tc>
        <w:tc>
          <w:tcPr>
            <w:tcW w:w="709" w:type="dxa"/>
          </w:tcPr>
          <w:p w14:paraId="1D909095" w14:textId="77777777" w:rsidR="00F51113" w:rsidRPr="004C2DCD" w:rsidRDefault="00F51113">
            <w:pPr>
              <w:pStyle w:val="TableText"/>
              <w:spacing w:before="40" w:after="40"/>
              <w:jc w:val="center"/>
              <w:rPr>
                <w:rFonts w:cs="Calibri"/>
                <w:lang w:val="en-NZ"/>
              </w:rPr>
            </w:pPr>
            <w:r w:rsidRPr="004C2DCD">
              <w:rPr>
                <w:rFonts w:cs="Calibri"/>
                <w:lang w:val="en-NZ"/>
              </w:rPr>
              <w:t>3,032</w:t>
            </w:r>
          </w:p>
        </w:tc>
        <w:tc>
          <w:tcPr>
            <w:tcW w:w="709" w:type="dxa"/>
          </w:tcPr>
          <w:p w14:paraId="4E0769D0" w14:textId="77777777" w:rsidR="00F51113" w:rsidRPr="004C2DCD" w:rsidRDefault="00F51113">
            <w:pPr>
              <w:pStyle w:val="TableText"/>
              <w:spacing w:before="40" w:after="40"/>
              <w:jc w:val="center"/>
              <w:rPr>
                <w:rFonts w:cs="Calibri"/>
                <w:lang w:val="en-NZ"/>
              </w:rPr>
            </w:pPr>
            <w:r w:rsidRPr="004C2DCD">
              <w:rPr>
                <w:rFonts w:cs="Calibri"/>
                <w:lang w:val="en-NZ"/>
              </w:rPr>
              <w:t>2,908</w:t>
            </w:r>
          </w:p>
        </w:tc>
        <w:tc>
          <w:tcPr>
            <w:tcW w:w="709" w:type="dxa"/>
          </w:tcPr>
          <w:p w14:paraId="0D73278F" w14:textId="77777777" w:rsidR="00F51113" w:rsidRPr="004C2DCD" w:rsidRDefault="00F51113">
            <w:pPr>
              <w:pStyle w:val="TableText"/>
              <w:spacing w:before="40" w:after="40"/>
              <w:jc w:val="center"/>
              <w:rPr>
                <w:rFonts w:cs="Calibri"/>
                <w:lang w:val="en-NZ"/>
              </w:rPr>
            </w:pPr>
            <w:r w:rsidRPr="004C2DCD">
              <w:rPr>
                <w:rFonts w:cs="Calibri"/>
                <w:lang w:val="en-NZ"/>
              </w:rPr>
              <w:t>2,917</w:t>
            </w:r>
          </w:p>
        </w:tc>
        <w:tc>
          <w:tcPr>
            <w:tcW w:w="708" w:type="dxa"/>
          </w:tcPr>
          <w:p w14:paraId="15C14802" w14:textId="77777777" w:rsidR="00F51113" w:rsidRPr="004C2DCD" w:rsidRDefault="00F51113">
            <w:pPr>
              <w:pStyle w:val="TableText"/>
              <w:spacing w:before="40" w:after="40"/>
              <w:jc w:val="center"/>
              <w:rPr>
                <w:rFonts w:cs="Calibri"/>
                <w:lang w:val="en-NZ"/>
              </w:rPr>
            </w:pPr>
            <w:r w:rsidRPr="004C2DCD">
              <w:rPr>
                <w:rFonts w:cs="Calibri"/>
                <w:lang w:val="en-NZ"/>
              </w:rPr>
              <w:t>2,829</w:t>
            </w:r>
          </w:p>
        </w:tc>
      </w:tr>
    </w:tbl>
    <w:p w14:paraId="5C1E9FE8" w14:textId="77777777" w:rsidR="00F51113" w:rsidRPr="004C2DCD" w:rsidRDefault="00F51113" w:rsidP="00F51113">
      <w:pPr>
        <w:pStyle w:val="BodyText"/>
        <w:spacing w:before="0" w:after="0"/>
      </w:pPr>
    </w:p>
    <w:p w14:paraId="1DE965C5" w14:textId="77777777" w:rsidR="00F51113" w:rsidRPr="004C2DCD" w:rsidRDefault="00F51113" w:rsidP="003038F0">
      <w:pPr>
        <w:pStyle w:val="Figureheading"/>
        <w:ind w:left="1276" w:hanging="1276"/>
      </w:pPr>
      <w:bookmarkStart w:id="633" w:name="_Toc185347261"/>
      <w:r w:rsidRPr="004C2DCD">
        <w:t xml:space="preserve">Figure 2.5.17: </w:t>
      </w:r>
      <w:r w:rsidRPr="004C2DCD">
        <w:tab/>
        <w:t>Greenhouse gas emissions under the ‘with existing measures’, high- and low-emissions scenarios in the IPPU sector, 1990–2050</w:t>
      </w:r>
      <w:bookmarkEnd w:id="633"/>
    </w:p>
    <w:p w14:paraId="1DF1EBEB" w14:textId="054A1771" w:rsidR="00F51113" w:rsidRPr="004C2DCD" w:rsidRDefault="00045C42" w:rsidP="00F51113">
      <w:pPr>
        <w:pStyle w:val="BodyText"/>
        <w:spacing w:before="80" w:after="80"/>
        <w:jc w:val="center"/>
      </w:pPr>
      <w:r>
        <w:rPr>
          <w:noProof/>
        </w:rPr>
        <w:drawing>
          <wp:inline distT="0" distB="0" distL="0" distR="0" wp14:anchorId="6BCB8D17" wp14:editId="0BBB799C">
            <wp:extent cx="5029200" cy="2771037"/>
            <wp:effectExtent l="0" t="0" r="0" b="0"/>
            <wp:docPr id="2048696646" name="Picture 42" descr="A line graph showing greenhouse gas emissions in million tonnes carbon dioxide equivalent under the ‘with existing measures’ high- and low- scenarios in the Industrial Processes and Product Use (IPPU) sector for the period 1990 to 2050. It plots the paths of IPPU historical emissions, IPPU projected emissions (high scenario), IPPU projected emissions and IPPU projected emissions (low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96646" name="Picture 42" descr="A line graph showing greenhouse gas emissions in million tonnes carbon dioxide equivalent under the ‘with existing measures’ high- and low- scenarios in the Industrial Processes and Product Use (IPPU) sector for the period 1990 to 2050. It plots the paths of IPPU historical emissions, IPPU projected emissions (high scenario), IPPU projected emissions and IPPU projected emissions (low scenario)."/>
                    <pic:cNvPicPr>
                      <a:picLocks noChangeAspect="1" noChangeArrowheads="1"/>
                    </pic:cNvPicPr>
                  </pic:nvPicPr>
                  <pic:blipFill rotWithShape="1">
                    <a:blip r:embed="rId113">
                      <a:extLst>
                        <a:ext uri="{28A0092B-C50C-407E-A947-70E740481C1C}">
                          <a14:useLocalDpi xmlns:a14="http://schemas.microsoft.com/office/drawing/2010/main" val="0"/>
                        </a:ext>
                      </a:extLst>
                    </a:blip>
                    <a:srcRect t="2913"/>
                    <a:stretch/>
                  </pic:blipFill>
                  <pic:spPr bwMode="auto">
                    <a:xfrm>
                      <a:off x="0" y="0"/>
                      <a:ext cx="5052016" cy="2783608"/>
                    </a:xfrm>
                    <a:prstGeom prst="rect">
                      <a:avLst/>
                    </a:prstGeom>
                    <a:noFill/>
                    <a:ln>
                      <a:noFill/>
                    </a:ln>
                    <a:extLst>
                      <a:ext uri="{53640926-AAD7-44D8-BBD7-CCE9431645EC}">
                        <a14:shadowObscured xmlns:a14="http://schemas.microsoft.com/office/drawing/2010/main"/>
                      </a:ext>
                    </a:extLst>
                  </pic:spPr>
                </pic:pic>
              </a:graphicData>
            </a:graphic>
          </wp:inline>
        </w:drawing>
      </w:r>
    </w:p>
    <w:p w14:paraId="64F4566F" w14:textId="77777777" w:rsidR="00F51113" w:rsidRPr="004C2DCD" w:rsidRDefault="00F51113" w:rsidP="00F51113">
      <w:pPr>
        <w:pStyle w:val="Note"/>
        <w:spacing w:before="0"/>
      </w:pPr>
      <w:r w:rsidRPr="004C2DCD">
        <w:rPr>
          <w:b/>
          <w:bCs/>
        </w:rPr>
        <w:t>Note:</w:t>
      </w:r>
      <w:r w:rsidRPr="004C2DCD">
        <w:t xml:space="preserve"> IPPU = Industrial Processes and Product Use; kt CO</w:t>
      </w:r>
      <w:r w:rsidRPr="004C2DCD">
        <w:rPr>
          <w:vertAlign w:val="subscript"/>
        </w:rPr>
        <w:t>2</w:t>
      </w:r>
      <w:r w:rsidRPr="004C2DCD">
        <w:t>e =</w:t>
      </w:r>
      <w:r w:rsidRPr="004C2DCD">
        <w:rPr>
          <w:b/>
          <w:bCs/>
        </w:rPr>
        <w:t xml:space="preserve"> </w:t>
      </w:r>
      <w:r w:rsidRPr="004C2DCD">
        <w:t>kilotonnes of carbon dioxide equivalent.</w:t>
      </w:r>
    </w:p>
    <w:p w14:paraId="0CA4C5C8" w14:textId="38082C33" w:rsidR="00F51113" w:rsidRPr="004C2DCD" w:rsidRDefault="00F51113" w:rsidP="00F51113">
      <w:pPr>
        <w:pStyle w:val="BodyText"/>
      </w:pPr>
      <w:r w:rsidRPr="004C2DCD">
        <w:t xml:space="preserve">Table 2.5.20 and </w:t>
      </w:r>
      <w:hyperlink w:anchor="figure2518" w:history="1">
        <w:r w:rsidRPr="005F613E">
          <w:rPr>
            <w:rStyle w:val="Hyperlink"/>
          </w:rPr>
          <w:t>figure 2.5.18</w:t>
        </w:r>
      </w:hyperlink>
      <w:r w:rsidRPr="004C2DCD">
        <w:t xml:space="preserve"> show high and low WEM Agriculture sector emissions scenarios based on those different assumptions.</w:t>
      </w:r>
    </w:p>
    <w:p w14:paraId="28443AE3" w14:textId="77777777" w:rsidR="00F51113" w:rsidRPr="004C2DCD" w:rsidRDefault="00F51113" w:rsidP="00F51113">
      <w:pPr>
        <w:pStyle w:val="Tableheading"/>
        <w:ind w:left="1276" w:hanging="1276"/>
      </w:pPr>
      <w:bookmarkStart w:id="634" w:name="_Toc183789712"/>
      <w:bookmarkStart w:id="635" w:name="_Toc185407485"/>
      <w:bookmarkStart w:id="636" w:name="_Toc185427748"/>
      <w:r w:rsidRPr="004C2DCD">
        <w:t xml:space="preserve">Table 2.5.20: </w:t>
      </w:r>
      <w:r w:rsidRPr="004C2DCD">
        <w:tab/>
        <w:t>Projected emissions from the Agriculture sector, under ‘with existing measures’, high</w:t>
      </w:r>
      <w:r w:rsidRPr="004C2DCD">
        <w:noBreakHyphen/>
        <w:t xml:space="preserve"> and low</w:t>
      </w:r>
      <w:r w:rsidRPr="004C2DCD">
        <w:noBreakHyphen/>
        <w:t>emissions scenarios, 1990–2035 (Mt CO</w:t>
      </w:r>
      <w:r w:rsidRPr="004C2DCD">
        <w:rPr>
          <w:vertAlign w:val="subscript"/>
        </w:rPr>
        <w:t>2</w:t>
      </w:r>
      <w:r w:rsidRPr="004C2DCD">
        <w:t>e)</w:t>
      </w:r>
      <w:bookmarkEnd w:id="634"/>
      <w:bookmarkEnd w:id="635"/>
      <w:bookmarkEnd w:id="636"/>
    </w:p>
    <w:tbl>
      <w:tblPr>
        <w:tblStyle w:val="TableGrid1"/>
        <w:tblW w:w="8505" w:type="dxa"/>
        <w:tblInd w:w="0" w:type="dxa"/>
        <w:tblLayout w:type="fixed"/>
        <w:tblCellMar>
          <w:left w:w="85" w:type="dxa"/>
          <w:right w:w="85" w:type="dxa"/>
        </w:tblCellMar>
        <w:tblLook w:val="04A0" w:firstRow="1" w:lastRow="0" w:firstColumn="1" w:lastColumn="0" w:noHBand="0" w:noVBand="1"/>
      </w:tblPr>
      <w:tblGrid>
        <w:gridCol w:w="2552"/>
        <w:gridCol w:w="709"/>
        <w:gridCol w:w="850"/>
        <w:gridCol w:w="709"/>
        <w:gridCol w:w="850"/>
        <w:gridCol w:w="709"/>
        <w:gridCol w:w="709"/>
        <w:gridCol w:w="709"/>
        <w:gridCol w:w="708"/>
      </w:tblGrid>
      <w:tr w:rsidR="00F51113" w:rsidRPr="004C2DCD" w14:paraId="1A68CF90" w14:textId="77777777" w:rsidTr="00C40E20">
        <w:trPr>
          <w:trHeight w:val="328"/>
          <w:tblHeader/>
        </w:trPr>
        <w:tc>
          <w:tcPr>
            <w:tcW w:w="2552" w:type="dxa"/>
            <w:shd w:val="clear" w:color="auto" w:fill="1B556B" w:themeFill="text2"/>
            <w:vAlign w:val="center"/>
          </w:tcPr>
          <w:p w14:paraId="5C93D6E7"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Scenario</w:t>
            </w:r>
          </w:p>
        </w:tc>
        <w:tc>
          <w:tcPr>
            <w:tcW w:w="709" w:type="dxa"/>
            <w:shd w:val="clear" w:color="auto" w:fill="1B556B" w:themeFill="text2"/>
            <w:vAlign w:val="center"/>
          </w:tcPr>
          <w:p w14:paraId="2EA83DDA"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1990</w:t>
            </w:r>
          </w:p>
        </w:tc>
        <w:tc>
          <w:tcPr>
            <w:tcW w:w="850" w:type="dxa"/>
            <w:shd w:val="clear" w:color="auto" w:fill="1B556B" w:themeFill="text2"/>
            <w:vAlign w:val="center"/>
          </w:tcPr>
          <w:p w14:paraId="0759972F"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2020</w:t>
            </w:r>
          </w:p>
        </w:tc>
        <w:tc>
          <w:tcPr>
            <w:tcW w:w="709" w:type="dxa"/>
            <w:shd w:val="clear" w:color="auto" w:fill="1B556B" w:themeFill="text2"/>
            <w:vAlign w:val="center"/>
          </w:tcPr>
          <w:p w14:paraId="1309A864"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2025</w:t>
            </w:r>
          </w:p>
        </w:tc>
        <w:tc>
          <w:tcPr>
            <w:tcW w:w="850" w:type="dxa"/>
            <w:shd w:val="clear" w:color="auto" w:fill="1B556B" w:themeFill="text2"/>
            <w:vAlign w:val="center"/>
          </w:tcPr>
          <w:p w14:paraId="748DAE49"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2030</w:t>
            </w:r>
          </w:p>
        </w:tc>
        <w:tc>
          <w:tcPr>
            <w:tcW w:w="709" w:type="dxa"/>
            <w:shd w:val="clear" w:color="auto" w:fill="1B556B" w:themeFill="text2"/>
            <w:vAlign w:val="center"/>
          </w:tcPr>
          <w:p w14:paraId="7A641BEE"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2035</w:t>
            </w:r>
          </w:p>
        </w:tc>
        <w:tc>
          <w:tcPr>
            <w:tcW w:w="709" w:type="dxa"/>
            <w:shd w:val="clear" w:color="auto" w:fill="1B556B" w:themeFill="text2"/>
            <w:vAlign w:val="center"/>
          </w:tcPr>
          <w:p w14:paraId="6D906B93"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2040</w:t>
            </w:r>
          </w:p>
        </w:tc>
        <w:tc>
          <w:tcPr>
            <w:tcW w:w="709" w:type="dxa"/>
            <w:shd w:val="clear" w:color="auto" w:fill="1B556B" w:themeFill="text2"/>
            <w:vAlign w:val="center"/>
          </w:tcPr>
          <w:p w14:paraId="587BD8D1"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2045</w:t>
            </w:r>
          </w:p>
        </w:tc>
        <w:tc>
          <w:tcPr>
            <w:tcW w:w="708" w:type="dxa"/>
            <w:shd w:val="clear" w:color="auto" w:fill="1B556B" w:themeFill="text2"/>
            <w:vAlign w:val="center"/>
          </w:tcPr>
          <w:p w14:paraId="2239B1DA" w14:textId="77777777" w:rsidR="00F51113" w:rsidRPr="004C2DCD" w:rsidRDefault="00F51113">
            <w:pPr>
              <w:pStyle w:val="TableText"/>
              <w:keepNext/>
              <w:spacing w:before="40" w:after="40"/>
              <w:jc w:val="center"/>
              <w:rPr>
                <w:b/>
                <w:bCs/>
                <w:color w:val="FFFFFF" w:themeColor="background1"/>
                <w:szCs w:val="18"/>
                <w:lang w:val="en-NZ"/>
              </w:rPr>
            </w:pPr>
            <w:r w:rsidRPr="004C2DCD">
              <w:rPr>
                <w:b/>
                <w:bCs/>
                <w:color w:val="FFFFFF" w:themeColor="background1"/>
                <w:szCs w:val="18"/>
                <w:lang w:val="en-NZ"/>
              </w:rPr>
              <w:t>2050</w:t>
            </w:r>
          </w:p>
        </w:tc>
      </w:tr>
      <w:tr w:rsidR="00F51113" w:rsidRPr="004C2DCD" w14:paraId="2FCECBBF" w14:textId="77777777" w:rsidTr="00C40E20">
        <w:tc>
          <w:tcPr>
            <w:tcW w:w="2552" w:type="dxa"/>
            <w:vAlign w:val="center"/>
          </w:tcPr>
          <w:p w14:paraId="41EF9936" w14:textId="77777777" w:rsidR="00F51113" w:rsidRPr="004C2DCD" w:rsidRDefault="00F51113">
            <w:pPr>
              <w:pStyle w:val="TableText"/>
              <w:spacing w:before="40" w:after="40"/>
              <w:rPr>
                <w:rFonts w:cs="Calibri"/>
                <w:szCs w:val="18"/>
                <w:lang w:val="en-NZ"/>
              </w:rPr>
            </w:pPr>
            <w:r w:rsidRPr="004C2DCD">
              <w:rPr>
                <w:rFonts w:cs="Calibri"/>
                <w:szCs w:val="18"/>
                <w:lang w:val="en-NZ"/>
              </w:rPr>
              <w:t xml:space="preserve">High emissions </w:t>
            </w:r>
          </w:p>
        </w:tc>
        <w:tc>
          <w:tcPr>
            <w:tcW w:w="709" w:type="dxa"/>
            <w:shd w:val="clear" w:color="auto" w:fill="auto"/>
            <w:vAlign w:val="center"/>
          </w:tcPr>
          <w:p w14:paraId="1FD5748D"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37.1</w:t>
            </w:r>
          </w:p>
        </w:tc>
        <w:tc>
          <w:tcPr>
            <w:tcW w:w="850" w:type="dxa"/>
            <w:shd w:val="clear" w:color="auto" w:fill="auto"/>
            <w:vAlign w:val="center"/>
          </w:tcPr>
          <w:p w14:paraId="5AE50715"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42.9</w:t>
            </w:r>
          </w:p>
        </w:tc>
        <w:tc>
          <w:tcPr>
            <w:tcW w:w="709" w:type="dxa"/>
            <w:shd w:val="clear" w:color="auto" w:fill="auto"/>
            <w:vAlign w:val="center"/>
          </w:tcPr>
          <w:p w14:paraId="1F4DA3DF"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40.6</w:t>
            </w:r>
          </w:p>
        </w:tc>
        <w:tc>
          <w:tcPr>
            <w:tcW w:w="850" w:type="dxa"/>
            <w:shd w:val="clear" w:color="auto" w:fill="auto"/>
            <w:vAlign w:val="center"/>
          </w:tcPr>
          <w:p w14:paraId="0094636E"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40.3</w:t>
            </w:r>
          </w:p>
        </w:tc>
        <w:tc>
          <w:tcPr>
            <w:tcW w:w="709" w:type="dxa"/>
            <w:shd w:val="clear" w:color="auto" w:fill="auto"/>
            <w:vAlign w:val="center"/>
          </w:tcPr>
          <w:p w14:paraId="57B71607"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42.5</w:t>
            </w:r>
          </w:p>
        </w:tc>
        <w:tc>
          <w:tcPr>
            <w:tcW w:w="709" w:type="dxa"/>
            <w:shd w:val="clear" w:color="auto" w:fill="auto"/>
            <w:vAlign w:val="center"/>
          </w:tcPr>
          <w:p w14:paraId="25D4E4AF"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43.2</w:t>
            </w:r>
          </w:p>
        </w:tc>
        <w:tc>
          <w:tcPr>
            <w:tcW w:w="709" w:type="dxa"/>
            <w:shd w:val="clear" w:color="auto" w:fill="auto"/>
            <w:vAlign w:val="center"/>
          </w:tcPr>
          <w:p w14:paraId="7355E038"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43.9</w:t>
            </w:r>
          </w:p>
        </w:tc>
        <w:tc>
          <w:tcPr>
            <w:tcW w:w="708" w:type="dxa"/>
            <w:shd w:val="clear" w:color="auto" w:fill="auto"/>
            <w:vAlign w:val="center"/>
          </w:tcPr>
          <w:p w14:paraId="4087AB98"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44.7</w:t>
            </w:r>
          </w:p>
        </w:tc>
      </w:tr>
      <w:tr w:rsidR="00F51113" w:rsidRPr="004C2DCD" w14:paraId="613CDB26" w14:textId="77777777" w:rsidTr="00C40E20">
        <w:tc>
          <w:tcPr>
            <w:tcW w:w="2552" w:type="dxa"/>
            <w:vAlign w:val="center"/>
          </w:tcPr>
          <w:p w14:paraId="2B6B3CF3" w14:textId="77777777" w:rsidR="00F51113" w:rsidRPr="004C2DCD" w:rsidRDefault="00F51113">
            <w:pPr>
              <w:pStyle w:val="TableText"/>
              <w:spacing w:before="40" w:after="40"/>
              <w:rPr>
                <w:rFonts w:cs="Calibri"/>
                <w:szCs w:val="18"/>
                <w:lang w:val="en-NZ"/>
              </w:rPr>
            </w:pPr>
            <w:r w:rsidRPr="004C2DCD">
              <w:rPr>
                <w:rFonts w:cs="Calibri"/>
                <w:szCs w:val="18"/>
                <w:lang w:val="en-NZ"/>
              </w:rPr>
              <w:t>With existing measures central</w:t>
            </w:r>
          </w:p>
        </w:tc>
        <w:tc>
          <w:tcPr>
            <w:tcW w:w="709" w:type="dxa"/>
            <w:shd w:val="clear" w:color="auto" w:fill="auto"/>
            <w:vAlign w:val="center"/>
          </w:tcPr>
          <w:p w14:paraId="4C0DF298"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37.1</w:t>
            </w:r>
          </w:p>
        </w:tc>
        <w:tc>
          <w:tcPr>
            <w:tcW w:w="850" w:type="dxa"/>
            <w:shd w:val="clear" w:color="auto" w:fill="auto"/>
            <w:vAlign w:val="center"/>
          </w:tcPr>
          <w:p w14:paraId="4E209386"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42.9</w:t>
            </w:r>
          </w:p>
        </w:tc>
        <w:tc>
          <w:tcPr>
            <w:tcW w:w="709" w:type="dxa"/>
            <w:shd w:val="clear" w:color="auto" w:fill="auto"/>
            <w:vAlign w:val="center"/>
          </w:tcPr>
          <w:p w14:paraId="52C86182"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39.6</w:t>
            </w:r>
          </w:p>
        </w:tc>
        <w:tc>
          <w:tcPr>
            <w:tcW w:w="850" w:type="dxa"/>
            <w:shd w:val="clear" w:color="auto" w:fill="auto"/>
            <w:vAlign w:val="center"/>
          </w:tcPr>
          <w:p w14:paraId="6C518C4B"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39.1</w:t>
            </w:r>
          </w:p>
        </w:tc>
        <w:tc>
          <w:tcPr>
            <w:tcW w:w="709" w:type="dxa"/>
            <w:shd w:val="clear" w:color="auto" w:fill="auto"/>
            <w:vAlign w:val="center"/>
          </w:tcPr>
          <w:p w14:paraId="0F8011CF"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38.8</w:t>
            </w:r>
          </w:p>
        </w:tc>
        <w:tc>
          <w:tcPr>
            <w:tcW w:w="709" w:type="dxa"/>
            <w:shd w:val="clear" w:color="auto" w:fill="auto"/>
            <w:vAlign w:val="center"/>
          </w:tcPr>
          <w:p w14:paraId="3F37EFB7"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38.7</w:t>
            </w:r>
          </w:p>
        </w:tc>
        <w:tc>
          <w:tcPr>
            <w:tcW w:w="709" w:type="dxa"/>
            <w:shd w:val="clear" w:color="auto" w:fill="auto"/>
            <w:vAlign w:val="center"/>
          </w:tcPr>
          <w:p w14:paraId="5FF41E30"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38.8</w:t>
            </w:r>
          </w:p>
        </w:tc>
        <w:tc>
          <w:tcPr>
            <w:tcW w:w="708" w:type="dxa"/>
            <w:shd w:val="clear" w:color="auto" w:fill="auto"/>
            <w:vAlign w:val="center"/>
          </w:tcPr>
          <w:p w14:paraId="3337080E"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38.8</w:t>
            </w:r>
          </w:p>
        </w:tc>
      </w:tr>
      <w:tr w:rsidR="00F51113" w:rsidRPr="004C2DCD" w14:paraId="5FBA180F" w14:textId="77777777" w:rsidTr="00C40E20">
        <w:tc>
          <w:tcPr>
            <w:tcW w:w="2552" w:type="dxa"/>
            <w:vAlign w:val="center"/>
          </w:tcPr>
          <w:p w14:paraId="76B02761" w14:textId="77777777" w:rsidR="00F51113" w:rsidRPr="004C2DCD" w:rsidRDefault="00F51113">
            <w:pPr>
              <w:pStyle w:val="TableText"/>
              <w:spacing w:before="40" w:after="40"/>
              <w:rPr>
                <w:rFonts w:cs="Calibri"/>
                <w:szCs w:val="18"/>
                <w:lang w:val="en-NZ"/>
              </w:rPr>
            </w:pPr>
            <w:r w:rsidRPr="004C2DCD">
              <w:rPr>
                <w:rFonts w:cs="Calibri"/>
                <w:szCs w:val="18"/>
                <w:lang w:val="en-NZ"/>
              </w:rPr>
              <w:t>Low emissions</w:t>
            </w:r>
          </w:p>
        </w:tc>
        <w:tc>
          <w:tcPr>
            <w:tcW w:w="709" w:type="dxa"/>
            <w:shd w:val="clear" w:color="auto" w:fill="auto"/>
            <w:vAlign w:val="center"/>
          </w:tcPr>
          <w:p w14:paraId="5EE3A7A0"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37.1</w:t>
            </w:r>
          </w:p>
        </w:tc>
        <w:tc>
          <w:tcPr>
            <w:tcW w:w="850" w:type="dxa"/>
            <w:shd w:val="clear" w:color="auto" w:fill="auto"/>
            <w:vAlign w:val="center"/>
          </w:tcPr>
          <w:p w14:paraId="5EA29AD6"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42.9</w:t>
            </w:r>
          </w:p>
        </w:tc>
        <w:tc>
          <w:tcPr>
            <w:tcW w:w="709" w:type="dxa"/>
            <w:shd w:val="clear" w:color="auto" w:fill="auto"/>
            <w:vAlign w:val="center"/>
          </w:tcPr>
          <w:p w14:paraId="1F1AEB4C"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38.5</w:t>
            </w:r>
          </w:p>
        </w:tc>
        <w:tc>
          <w:tcPr>
            <w:tcW w:w="850" w:type="dxa"/>
            <w:shd w:val="clear" w:color="auto" w:fill="auto"/>
            <w:vAlign w:val="center"/>
          </w:tcPr>
          <w:p w14:paraId="66C17722"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38.0</w:t>
            </w:r>
          </w:p>
        </w:tc>
        <w:tc>
          <w:tcPr>
            <w:tcW w:w="709" w:type="dxa"/>
            <w:shd w:val="clear" w:color="auto" w:fill="auto"/>
            <w:vAlign w:val="center"/>
          </w:tcPr>
          <w:p w14:paraId="270439DB"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35.3</w:t>
            </w:r>
          </w:p>
        </w:tc>
        <w:tc>
          <w:tcPr>
            <w:tcW w:w="709" w:type="dxa"/>
            <w:shd w:val="clear" w:color="auto" w:fill="auto"/>
            <w:vAlign w:val="center"/>
          </w:tcPr>
          <w:p w14:paraId="682C4C9D"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34.7</w:t>
            </w:r>
          </w:p>
        </w:tc>
        <w:tc>
          <w:tcPr>
            <w:tcW w:w="709" w:type="dxa"/>
            <w:shd w:val="clear" w:color="auto" w:fill="auto"/>
            <w:vAlign w:val="center"/>
          </w:tcPr>
          <w:p w14:paraId="06841CDF"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33.9</w:t>
            </w:r>
          </w:p>
        </w:tc>
        <w:tc>
          <w:tcPr>
            <w:tcW w:w="708" w:type="dxa"/>
            <w:shd w:val="clear" w:color="auto" w:fill="auto"/>
            <w:vAlign w:val="center"/>
          </w:tcPr>
          <w:p w14:paraId="155457D4" w14:textId="77777777" w:rsidR="00F51113" w:rsidRPr="004C2DCD" w:rsidRDefault="00F51113">
            <w:pPr>
              <w:pStyle w:val="TableText"/>
              <w:spacing w:before="40" w:after="40"/>
              <w:jc w:val="center"/>
              <w:rPr>
                <w:rFonts w:cs="Calibri"/>
                <w:szCs w:val="18"/>
                <w:lang w:val="en-NZ"/>
              </w:rPr>
            </w:pPr>
            <w:r w:rsidRPr="004C2DCD">
              <w:rPr>
                <w:rFonts w:cs="Calibri"/>
                <w:color w:val="000000" w:themeColor="text1"/>
                <w:szCs w:val="18"/>
                <w:lang w:val="en-NZ"/>
              </w:rPr>
              <w:t>33.3</w:t>
            </w:r>
          </w:p>
        </w:tc>
      </w:tr>
    </w:tbl>
    <w:p w14:paraId="0139F290" w14:textId="77777777" w:rsidR="00F51113" w:rsidRPr="004C2DCD" w:rsidRDefault="00F51113" w:rsidP="00F51113">
      <w:pPr>
        <w:spacing w:before="0" w:after="0"/>
      </w:pPr>
    </w:p>
    <w:p w14:paraId="271B1C23" w14:textId="77777777" w:rsidR="00F51113" w:rsidRPr="004C2DCD" w:rsidRDefault="00F51113" w:rsidP="003038F0">
      <w:pPr>
        <w:pStyle w:val="Figureheading"/>
        <w:ind w:left="1276" w:hanging="1276"/>
      </w:pPr>
      <w:bookmarkStart w:id="637" w:name="figure2518"/>
      <w:bookmarkStart w:id="638" w:name="_Toc185347262"/>
      <w:r w:rsidRPr="004C2DCD">
        <w:t>Figure 2.5.18</w:t>
      </w:r>
      <w:bookmarkEnd w:id="637"/>
      <w:r w:rsidRPr="004C2DCD">
        <w:t xml:space="preserve">: </w:t>
      </w:r>
      <w:r w:rsidRPr="004C2DCD">
        <w:tab/>
        <w:t>Greenhouse gas emissions under the ‘with existing measures’, high- and low-emissions scenarios in the Agriculture sector, 1990–2050</w:t>
      </w:r>
      <w:bookmarkEnd w:id="638"/>
    </w:p>
    <w:p w14:paraId="63E85A89" w14:textId="77777777" w:rsidR="00B55E0E" w:rsidRDefault="005B74FD" w:rsidP="00BD2C77">
      <w:pPr>
        <w:pStyle w:val="Note"/>
        <w:rPr>
          <w:b/>
          <w:bCs/>
        </w:rPr>
      </w:pPr>
      <w:r>
        <w:rPr>
          <w:b/>
          <w:bCs/>
          <w:noProof/>
        </w:rPr>
        <w:drawing>
          <wp:inline distT="0" distB="0" distL="0" distR="0" wp14:anchorId="1BD29617" wp14:editId="47712646">
            <wp:extent cx="5020408" cy="2766192"/>
            <wp:effectExtent l="0" t="0" r="8890" b="0"/>
            <wp:docPr id="113440415" name="Picture 43" descr="A line graph showing greenhouse gas emissions in million tonnes carbon dioxide equivalent under the ‘with existing measures’ high- and low- scenarios in the Agriculture sector for the period 1990 to 2050. It plots the paths of Agriculture historical emissions, Agriculture projected emissions (high scenario), Agriculture projected emissions and Agriculture projected emissions (low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40415" name="Picture 43" descr="A line graph showing greenhouse gas emissions in million tonnes carbon dioxide equivalent under the ‘with existing measures’ high- and low- scenarios in the Agriculture sector for the period 1990 to 2050. It plots the paths of Agriculture historical emissions, Agriculture projected emissions (high scenario), Agriculture projected emissions and Agriculture projected emissions (low scenario)."/>
                    <pic:cNvPicPr>
                      <a:picLocks noChangeAspect="1" noChangeArrowheads="1"/>
                    </pic:cNvPicPr>
                  </pic:nvPicPr>
                  <pic:blipFill rotWithShape="1">
                    <a:blip r:embed="rId114">
                      <a:extLst>
                        <a:ext uri="{28A0092B-C50C-407E-A947-70E740481C1C}">
                          <a14:useLocalDpi xmlns:a14="http://schemas.microsoft.com/office/drawing/2010/main" val="0"/>
                        </a:ext>
                      </a:extLst>
                    </a:blip>
                    <a:srcRect t="2913" b="1"/>
                    <a:stretch/>
                  </pic:blipFill>
                  <pic:spPr bwMode="auto">
                    <a:xfrm>
                      <a:off x="0" y="0"/>
                      <a:ext cx="5042395" cy="2778307"/>
                    </a:xfrm>
                    <a:prstGeom prst="rect">
                      <a:avLst/>
                    </a:prstGeom>
                    <a:noFill/>
                    <a:ln>
                      <a:noFill/>
                    </a:ln>
                    <a:extLst>
                      <a:ext uri="{53640926-AAD7-44D8-BBD7-CCE9431645EC}">
                        <a14:shadowObscured xmlns:a14="http://schemas.microsoft.com/office/drawing/2010/main"/>
                      </a:ext>
                    </a:extLst>
                  </pic:spPr>
                </pic:pic>
              </a:graphicData>
            </a:graphic>
          </wp:inline>
        </w:drawing>
      </w:r>
    </w:p>
    <w:p w14:paraId="38294793" w14:textId="7F225A1F" w:rsidR="00F51113" w:rsidRPr="004C2DCD" w:rsidRDefault="00F51113" w:rsidP="00BD2C77">
      <w:pPr>
        <w:pStyle w:val="Note"/>
      </w:pPr>
      <w:r w:rsidRPr="004C2DCD">
        <w:rPr>
          <w:b/>
          <w:bCs/>
        </w:rPr>
        <w:t>Note:</w:t>
      </w:r>
      <w:r w:rsidRPr="004C2DCD">
        <w:t xml:space="preserve"> Mt CO</w:t>
      </w:r>
      <w:r w:rsidRPr="004C2DCD">
        <w:rPr>
          <w:vertAlign w:val="subscript"/>
        </w:rPr>
        <w:t>2</w:t>
      </w:r>
      <w:r w:rsidRPr="004C2DCD">
        <w:t>e =</w:t>
      </w:r>
      <w:r w:rsidRPr="004C2DCD">
        <w:rPr>
          <w:b/>
          <w:bCs/>
        </w:rPr>
        <w:t xml:space="preserve"> </w:t>
      </w:r>
      <w:r w:rsidRPr="004C2DCD">
        <w:t>million tonnes of carbon dioxide equivalent.</w:t>
      </w:r>
    </w:p>
    <w:p w14:paraId="22ABB60F" w14:textId="77777777" w:rsidR="00F51113" w:rsidRPr="004C2DCD" w:rsidRDefault="00F51113" w:rsidP="00F51113">
      <w:pPr>
        <w:pStyle w:val="BodyText"/>
      </w:pPr>
      <w:r w:rsidRPr="004C2DCD">
        <w:t>Table 2.5.21 and figure 2.5.19 show high and low WEM Waste sector emissions scenarios based on those different assumptions.</w:t>
      </w:r>
    </w:p>
    <w:p w14:paraId="30742741" w14:textId="77777777" w:rsidR="00F51113" w:rsidRPr="004C2DCD" w:rsidRDefault="00F51113" w:rsidP="003038F0">
      <w:pPr>
        <w:pStyle w:val="Tableheading"/>
        <w:spacing w:line="260" w:lineRule="atLeast"/>
        <w:ind w:left="1276" w:hanging="1276"/>
      </w:pPr>
      <w:bookmarkStart w:id="639" w:name="_Toc183789713"/>
      <w:bookmarkStart w:id="640" w:name="_Toc185407486"/>
      <w:bookmarkStart w:id="641" w:name="_Toc185427749"/>
      <w:r w:rsidRPr="004C2DCD">
        <w:t xml:space="preserve">Table 2.5.21: </w:t>
      </w:r>
      <w:r w:rsidRPr="004C2DCD">
        <w:tab/>
        <w:t>Projected Waste sector emissions under ‘with existing measures’,</w:t>
      </w:r>
      <w:r w:rsidRPr="004C2DCD">
        <w:br/>
        <w:t>high- and low-emissions scenarios, 1990–2050 (kt CO</w:t>
      </w:r>
      <w:r w:rsidRPr="004C2DCD">
        <w:rPr>
          <w:vertAlign w:val="subscript"/>
        </w:rPr>
        <w:t>2</w:t>
      </w:r>
      <w:r w:rsidRPr="004C2DCD">
        <w:t>e)</w:t>
      </w:r>
      <w:bookmarkEnd w:id="639"/>
      <w:bookmarkEnd w:id="640"/>
      <w:bookmarkEnd w:id="641"/>
    </w:p>
    <w:tbl>
      <w:tblPr>
        <w:tblStyle w:val="TableGrid1"/>
        <w:tblW w:w="8505" w:type="dxa"/>
        <w:tblInd w:w="0" w:type="dxa"/>
        <w:tblLayout w:type="fixed"/>
        <w:tblCellMar>
          <w:left w:w="85" w:type="dxa"/>
          <w:right w:w="85" w:type="dxa"/>
        </w:tblCellMar>
        <w:tblLook w:val="04A0" w:firstRow="1" w:lastRow="0" w:firstColumn="1" w:lastColumn="0" w:noHBand="0" w:noVBand="1"/>
      </w:tblPr>
      <w:tblGrid>
        <w:gridCol w:w="2552"/>
        <w:gridCol w:w="850"/>
        <w:gridCol w:w="851"/>
        <w:gridCol w:w="709"/>
        <w:gridCol w:w="708"/>
        <w:gridCol w:w="709"/>
        <w:gridCol w:w="709"/>
        <w:gridCol w:w="709"/>
        <w:gridCol w:w="708"/>
      </w:tblGrid>
      <w:tr w:rsidR="00F51113" w:rsidRPr="004C2DCD" w14:paraId="4CE23B8A" w14:textId="77777777">
        <w:trPr>
          <w:tblHeader/>
        </w:trPr>
        <w:tc>
          <w:tcPr>
            <w:tcW w:w="2552" w:type="dxa"/>
            <w:tcBorders>
              <w:bottom w:val="nil"/>
            </w:tcBorders>
            <w:shd w:val="clear" w:color="auto" w:fill="1B556B" w:themeFill="text2"/>
            <w:vAlign w:val="center"/>
          </w:tcPr>
          <w:p w14:paraId="7312BF3A" w14:textId="77777777" w:rsidR="00F51113" w:rsidRPr="004C2DCD" w:rsidRDefault="00F51113">
            <w:pPr>
              <w:pStyle w:val="TableTextbold"/>
              <w:rPr>
                <w:color w:val="FFFFFF" w:themeColor="background1"/>
                <w:lang w:val="en-NZ"/>
              </w:rPr>
            </w:pPr>
            <w:bookmarkStart w:id="642" w:name="_Toc183789714"/>
            <w:r w:rsidRPr="004C2DCD">
              <w:rPr>
                <w:color w:val="FFFFFF" w:themeColor="background1"/>
                <w:lang w:val="en-NZ"/>
              </w:rPr>
              <w:t>Scenario</w:t>
            </w:r>
            <w:bookmarkEnd w:id="642"/>
          </w:p>
        </w:tc>
        <w:tc>
          <w:tcPr>
            <w:tcW w:w="850" w:type="dxa"/>
            <w:tcBorders>
              <w:bottom w:val="nil"/>
            </w:tcBorders>
            <w:shd w:val="clear" w:color="auto" w:fill="1B556B" w:themeFill="text2"/>
            <w:vAlign w:val="center"/>
          </w:tcPr>
          <w:p w14:paraId="313F1360" w14:textId="77777777" w:rsidR="00F51113" w:rsidRPr="004C2DCD" w:rsidRDefault="00F51113">
            <w:pPr>
              <w:pStyle w:val="TableTextbold"/>
              <w:jc w:val="center"/>
              <w:rPr>
                <w:color w:val="FFFFFF" w:themeColor="background1"/>
                <w:lang w:val="en-NZ"/>
              </w:rPr>
            </w:pPr>
            <w:bookmarkStart w:id="643" w:name="_Toc183789715"/>
            <w:r w:rsidRPr="004C2DCD">
              <w:rPr>
                <w:color w:val="FFFFFF" w:themeColor="background1"/>
                <w:lang w:val="en-NZ"/>
              </w:rPr>
              <w:t>1990</w:t>
            </w:r>
            <w:bookmarkEnd w:id="643"/>
          </w:p>
        </w:tc>
        <w:tc>
          <w:tcPr>
            <w:tcW w:w="851" w:type="dxa"/>
            <w:tcBorders>
              <w:bottom w:val="nil"/>
            </w:tcBorders>
            <w:shd w:val="clear" w:color="auto" w:fill="1B556B" w:themeFill="text2"/>
            <w:vAlign w:val="center"/>
          </w:tcPr>
          <w:p w14:paraId="5BD714BA" w14:textId="77777777" w:rsidR="00F51113" w:rsidRPr="004C2DCD" w:rsidRDefault="00F51113">
            <w:pPr>
              <w:pStyle w:val="TableTextbold"/>
              <w:jc w:val="center"/>
              <w:rPr>
                <w:color w:val="FFFFFF" w:themeColor="background1"/>
                <w:lang w:val="en-NZ"/>
              </w:rPr>
            </w:pPr>
            <w:bookmarkStart w:id="644" w:name="_Toc183789716"/>
            <w:r w:rsidRPr="004C2DCD">
              <w:rPr>
                <w:color w:val="FFFFFF" w:themeColor="background1"/>
                <w:lang w:val="en-NZ"/>
              </w:rPr>
              <w:t>2020</w:t>
            </w:r>
            <w:bookmarkEnd w:id="644"/>
          </w:p>
        </w:tc>
        <w:tc>
          <w:tcPr>
            <w:tcW w:w="709" w:type="dxa"/>
            <w:tcBorders>
              <w:bottom w:val="nil"/>
            </w:tcBorders>
            <w:shd w:val="clear" w:color="auto" w:fill="1B556B" w:themeFill="text2"/>
            <w:vAlign w:val="center"/>
          </w:tcPr>
          <w:p w14:paraId="65430F04" w14:textId="77777777" w:rsidR="00F51113" w:rsidRPr="004C2DCD" w:rsidRDefault="00F51113">
            <w:pPr>
              <w:pStyle w:val="TableTextbold"/>
              <w:jc w:val="center"/>
              <w:rPr>
                <w:color w:val="FFFFFF" w:themeColor="background1"/>
                <w:lang w:val="en-NZ"/>
              </w:rPr>
            </w:pPr>
            <w:bookmarkStart w:id="645" w:name="_Toc183789717"/>
            <w:r w:rsidRPr="004C2DCD">
              <w:rPr>
                <w:color w:val="FFFFFF" w:themeColor="background1"/>
                <w:lang w:val="en-NZ"/>
              </w:rPr>
              <w:t>2025</w:t>
            </w:r>
            <w:bookmarkEnd w:id="645"/>
          </w:p>
        </w:tc>
        <w:tc>
          <w:tcPr>
            <w:tcW w:w="708" w:type="dxa"/>
            <w:tcBorders>
              <w:bottom w:val="nil"/>
            </w:tcBorders>
            <w:shd w:val="clear" w:color="auto" w:fill="1B556B" w:themeFill="text2"/>
            <w:vAlign w:val="center"/>
          </w:tcPr>
          <w:p w14:paraId="58A3F86C" w14:textId="77777777" w:rsidR="00F51113" w:rsidRPr="004C2DCD" w:rsidRDefault="00F51113">
            <w:pPr>
              <w:pStyle w:val="TableTextbold"/>
              <w:jc w:val="center"/>
              <w:rPr>
                <w:color w:val="FFFFFF" w:themeColor="background1"/>
                <w:lang w:val="en-NZ"/>
              </w:rPr>
            </w:pPr>
            <w:bookmarkStart w:id="646" w:name="_Toc183789718"/>
            <w:r w:rsidRPr="004C2DCD">
              <w:rPr>
                <w:color w:val="FFFFFF" w:themeColor="background1"/>
                <w:lang w:val="en-NZ"/>
              </w:rPr>
              <w:t>2030</w:t>
            </w:r>
            <w:bookmarkEnd w:id="646"/>
          </w:p>
        </w:tc>
        <w:tc>
          <w:tcPr>
            <w:tcW w:w="709" w:type="dxa"/>
            <w:tcBorders>
              <w:bottom w:val="nil"/>
            </w:tcBorders>
            <w:shd w:val="clear" w:color="auto" w:fill="1B556B" w:themeFill="text2"/>
            <w:vAlign w:val="center"/>
          </w:tcPr>
          <w:p w14:paraId="257E3D9F" w14:textId="77777777" w:rsidR="00F51113" w:rsidRPr="004C2DCD" w:rsidRDefault="00F51113">
            <w:pPr>
              <w:pStyle w:val="TableTextbold"/>
              <w:jc w:val="center"/>
              <w:rPr>
                <w:color w:val="FFFFFF" w:themeColor="background1"/>
                <w:lang w:val="en-NZ"/>
              </w:rPr>
            </w:pPr>
            <w:bookmarkStart w:id="647" w:name="_Toc183789719"/>
            <w:r w:rsidRPr="004C2DCD">
              <w:rPr>
                <w:color w:val="FFFFFF" w:themeColor="background1"/>
                <w:lang w:val="en-NZ"/>
              </w:rPr>
              <w:t>2035</w:t>
            </w:r>
            <w:bookmarkEnd w:id="647"/>
          </w:p>
        </w:tc>
        <w:tc>
          <w:tcPr>
            <w:tcW w:w="709" w:type="dxa"/>
            <w:tcBorders>
              <w:bottom w:val="nil"/>
            </w:tcBorders>
            <w:shd w:val="clear" w:color="auto" w:fill="1B556B" w:themeFill="text2"/>
            <w:vAlign w:val="center"/>
          </w:tcPr>
          <w:p w14:paraId="770ED64C" w14:textId="77777777" w:rsidR="00F51113" w:rsidRPr="004C2DCD" w:rsidRDefault="00F51113">
            <w:pPr>
              <w:pStyle w:val="TableTextbold"/>
              <w:jc w:val="center"/>
              <w:rPr>
                <w:color w:val="FFFFFF" w:themeColor="background1"/>
                <w:lang w:val="en-NZ"/>
              </w:rPr>
            </w:pPr>
            <w:bookmarkStart w:id="648" w:name="_Toc183789720"/>
            <w:r w:rsidRPr="004C2DCD">
              <w:rPr>
                <w:color w:val="FFFFFF" w:themeColor="background1"/>
                <w:lang w:val="en-NZ"/>
              </w:rPr>
              <w:t>2040</w:t>
            </w:r>
            <w:bookmarkEnd w:id="648"/>
          </w:p>
        </w:tc>
        <w:tc>
          <w:tcPr>
            <w:tcW w:w="709" w:type="dxa"/>
            <w:tcBorders>
              <w:bottom w:val="nil"/>
            </w:tcBorders>
            <w:shd w:val="clear" w:color="auto" w:fill="1B556B" w:themeFill="text2"/>
            <w:vAlign w:val="center"/>
          </w:tcPr>
          <w:p w14:paraId="0F402423" w14:textId="77777777" w:rsidR="00F51113" w:rsidRPr="004C2DCD" w:rsidRDefault="00F51113">
            <w:pPr>
              <w:pStyle w:val="TableTextbold"/>
              <w:jc w:val="center"/>
              <w:rPr>
                <w:color w:val="FFFFFF" w:themeColor="background1"/>
                <w:lang w:val="en-NZ"/>
              </w:rPr>
            </w:pPr>
            <w:bookmarkStart w:id="649" w:name="_Toc183789721"/>
            <w:r w:rsidRPr="004C2DCD">
              <w:rPr>
                <w:color w:val="FFFFFF" w:themeColor="background1"/>
                <w:lang w:val="en-NZ"/>
              </w:rPr>
              <w:t>2045</w:t>
            </w:r>
            <w:bookmarkEnd w:id="649"/>
          </w:p>
        </w:tc>
        <w:tc>
          <w:tcPr>
            <w:tcW w:w="708" w:type="dxa"/>
            <w:tcBorders>
              <w:bottom w:val="nil"/>
            </w:tcBorders>
            <w:shd w:val="clear" w:color="auto" w:fill="1B556B" w:themeFill="text2"/>
            <w:vAlign w:val="center"/>
          </w:tcPr>
          <w:p w14:paraId="2AB71660" w14:textId="77777777" w:rsidR="00F51113" w:rsidRPr="004C2DCD" w:rsidRDefault="00F51113">
            <w:pPr>
              <w:pStyle w:val="TableTextbold"/>
              <w:jc w:val="center"/>
              <w:rPr>
                <w:color w:val="FFFFFF" w:themeColor="background1"/>
                <w:lang w:val="en-NZ"/>
              </w:rPr>
            </w:pPr>
            <w:bookmarkStart w:id="650" w:name="_Toc183789722"/>
            <w:r w:rsidRPr="004C2DCD">
              <w:rPr>
                <w:color w:val="FFFFFF" w:themeColor="background1"/>
                <w:lang w:val="en-NZ"/>
              </w:rPr>
              <w:t>2050</w:t>
            </w:r>
            <w:bookmarkEnd w:id="650"/>
          </w:p>
        </w:tc>
      </w:tr>
      <w:tr w:rsidR="00F51113" w:rsidRPr="004C2DCD" w14:paraId="0005E7F8" w14:textId="77777777">
        <w:tc>
          <w:tcPr>
            <w:tcW w:w="2552" w:type="dxa"/>
            <w:tcBorders>
              <w:top w:val="nil"/>
              <w:bottom w:val="single" w:sz="4" w:space="0" w:color="auto"/>
              <w:right w:val="single" w:sz="4" w:space="0" w:color="auto"/>
            </w:tcBorders>
            <w:vAlign w:val="center"/>
          </w:tcPr>
          <w:p w14:paraId="1E12EEBB" w14:textId="77777777" w:rsidR="00F51113" w:rsidRPr="004C2DCD" w:rsidRDefault="00F51113">
            <w:pPr>
              <w:pStyle w:val="TableText"/>
              <w:rPr>
                <w:lang w:val="en-NZ"/>
              </w:rPr>
            </w:pPr>
            <w:r w:rsidRPr="004C2DCD">
              <w:rPr>
                <w:lang w:val="en-NZ"/>
              </w:rPr>
              <w:t xml:space="preserve">High emissions </w:t>
            </w:r>
          </w:p>
        </w:tc>
        <w:tc>
          <w:tcPr>
            <w:tcW w:w="850" w:type="dxa"/>
            <w:tcBorders>
              <w:top w:val="nil"/>
              <w:left w:val="nil"/>
              <w:bottom w:val="single" w:sz="4" w:space="0" w:color="auto"/>
              <w:right w:val="single" w:sz="4" w:space="0" w:color="auto"/>
            </w:tcBorders>
            <w:shd w:val="clear" w:color="auto" w:fill="auto"/>
            <w:vAlign w:val="center"/>
          </w:tcPr>
          <w:p w14:paraId="575D4E5B" w14:textId="77777777" w:rsidR="00F51113" w:rsidRPr="004C2DCD" w:rsidRDefault="00F51113">
            <w:pPr>
              <w:pStyle w:val="TableText"/>
              <w:jc w:val="center"/>
              <w:rPr>
                <w:lang w:val="en-NZ"/>
              </w:rPr>
            </w:pPr>
            <w:r w:rsidRPr="004C2DCD">
              <w:rPr>
                <w:color w:val="000000" w:themeColor="text1"/>
                <w:lang w:val="en-NZ"/>
              </w:rPr>
              <w:t>4,357</w:t>
            </w:r>
          </w:p>
        </w:tc>
        <w:tc>
          <w:tcPr>
            <w:tcW w:w="851" w:type="dxa"/>
            <w:tcBorders>
              <w:top w:val="nil"/>
              <w:left w:val="single" w:sz="4" w:space="0" w:color="auto"/>
              <w:bottom w:val="single" w:sz="4" w:space="0" w:color="auto"/>
              <w:right w:val="single" w:sz="4" w:space="0" w:color="auto"/>
            </w:tcBorders>
            <w:shd w:val="clear" w:color="auto" w:fill="auto"/>
            <w:vAlign w:val="center"/>
          </w:tcPr>
          <w:p w14:paraId="3193CB68" w14:textId="77777777" w:rsidR="00F51113" w:rsidRPr="004C2DCD" w:rsidRDefault="00F51113">
            <w:pPr>
              <w:pStyle w:val="TableText"/>
              <w:jc w:val="center"/>
              <w:rPr>
                <w:lang w:val="en-NZ"/>
              </w:rPr>
            </w:pPr>
            <w:r w:rsidRPr="004C2DCD">
              <w:rPr>
                <w:color w:val="000000" w:themeColor="text1"/>
                <w:lang w:val="en-NZ"/>
              </w:rPr>
              <w:t>3,630</w:t>
            </w:r>
          </w:p>
        </w:tc>
        <w:tc>
          <w:tcPr>
            <w:tcW w:w="709" w:type="dxa"/>
            <w:tcBorders>
              <w:top w:val="nil"/>
              <w:left w:val="single" w:sz="4" w:space="0" w:color="auto"/>
              <w:bottom w:val="single" w:sz="4" w:space="0" w:color="auto"/>
              <w:right w:val="single" w:sz="4" w:space="0" w:color="auto"/>
            </w:tcBorders>
            <w:shd w:val="clear" w:color="auto" w:fill="auto"/>
            <w:vAlign w:val="center"/>
          </w:tcPr>
          <w:p w14:paraId="0DEF202A" w14:textId="77777777" w:rsidR="00F51113" w:rsidRPr="004C2DCD" w:rsidRDefault="00F51113">
            <w:pPr>
              <w:pStyle w:val="TableText"/>
              <w:jc w:val="center"/>
              <w:rPr>
                <w:color w:val="000000"/>
                <w:lang w:val="en-NZ"/>
              </w:rPr>
            </w:pPr>
            <w:r w:rsidRPr="004C2DCD">
              <w:rPr>
                <w:color w:val="000000" w:themeColor="text1"/>
                <w:lang w:val="en-NZ"/>
              </w:rPr>
              <w:t>3,403</w:t>
            </w:r>
          </w:p>
        </w:tc>
        <w:tc>
          <w:tcPr>
            <w:tcW w:w="708" w:type="dxa"/>
            <w:tcBorders>
              <w:top w:val="nil"/>
              <w:left w:val="single" w:sz="4" w:space="0" w:color="auto"/>
              <w:bottom w:val="single" w:sz="4" w:space="0" w:color="auto"/>
              <w:right w:val="single" w:sz="4" w:space="0" w:color="auto"/>
            </w:tcBorders>
            <w:shd w:val="clear" w:color="auto" w:fill="auto"/>
            <w:vAlign w:val="center"/>
          </w:tcPr>
          <w:p w14:paraId="29B19465" w14:textId="77777777" w:rsidR="00F51113" w:rsidRPr="004C2DCD" w:rsidRDefault="00F51113">
            <w:pPr>
              <w:pStyle w:val="TableText"/>
              <w:jc w:val="center"/>
              <w:rPr>
                <w:lang w:val="en-NZ"/>
              </w:rPr>
            </w:pPr>
            <w:r w:rsidRPr="004C2DCD">
              <w:rPr>
                <w:color w:val="000000" w:themeColor="text1"/>
                <w:lang w:val="en-NZ"/>
              </w:rPr>
              <w:t>3,290</w:t>
            </w:r>
          </w:p>
        </w:tc>
        <w:tc>
          <w:tcPr>
            <w:tcW w:w="709" w:type="dxa"/>
            <w:tcBorders>
              <w:top w:val="nil"/>
              <w:left w:val="single" w:sz="4" w:space="0" w:color="auto"/>
              <w:bottom w:val="single" w:sz="4" w:space="0" w:color="auto"/>
              <w:right w:val="single" w:sz="4" w:space="0" w:color="auto"/>
            </w:tcBorders>
            <w:shd w:val="clear" w:color="auto" w:fill="auto"/>
            <w:vAlign w:val="center"/>
          </w:tcPr>
          <w:p w14:paraId="1C96B5D1" w14:textId="77777777" w:rsidR="00F51113" w:rsidRPr="004C2DCD" w:rsidRDefault="00F51113">
            <w:pPr>
              <w:pStyle w:val="TableText"/>
              <w:jc w:val="center"/>
              <w:rPr>
                <w:lang w:val="en-NZ"/>
              </w:rPr>
            </w:pPr>
            <w:r w:rsidRPr="004C2DCD">
              <w:rPr>
                <w:color w:val="000000" w:themeColor="text1"/>
                <w:lang w:val="en-NZ"/>
              </w:rPr>
              <w:t>3,243</w:t>
            </w:r>
          </w:p>
        </w:tc>
        <w:tc>
          <w:tcPr>
            <w:tcW w:w="709" w:type="dxa"/>
            <w:tcBorders>
              <w:top w:val="nil"/>
              <w:left w:val="single" w:sz="4" w:space="0" w:color="auto"/>
              <w:bottom w:val="single" w:sz="4" w:space="0" w:color="auto"/>
              <w:right w:val="single" w:sz="4" w:space="0" w:color="auto"/>
            </w:tcBorders>
            <w:shd w:val="clear" w:color="auto" w:fill="auto"/>
            <w:vAlign w:val="center"/>
          </w:tcPr>
          <w:p w14:paraId="5CC9E592" w14:textId="77777777" w:rsidR="00F51113" w:rsidRPr="004C2DCD" w:rsidRDefault="00F51113">
            <w:pPr>
              <w:pStyle w:val="TableText"/>
              <w:jc w:val="center"/>
              <w:rPr>
                <w:lang w:val="en-NZ"/>
              </w:rPr>
            </w:pPr>
            <w:r w:rsidRPr="004C2DCD">
              <w:rPr>
                <w:color w:val="000000" w:themeColor="text1"/>
                <w:lang w:val="en-NZ"/>
              </w:rPr>
              <w:t>3,209</w:t>
            </w:r>
          </w:p>
        </w:tc>
        <w:tc>
          <w:tcPr>
            <w:tcW w:w="709" w:type="dxa"/>
            <w:tcBorders>
              <w:top w:val="nil"/>
              <w:left w:val="single" w:sz="4" w:space="0" w:color="auto"/>
              <w:bottom w:val="single" w:sz="4" w:space="0" w:color="auto"/>
              <w:right w:val="single" w:sz="4" w:space="0" w:color="auto"/>
            </w:tcBorders>
            <w:shd w:val="clear" w:color="auto" w:fill="auto"/>
            <w:vAlign w:val="center"/>
          </w:tcPr>
          <w:p w14:paraId="4878F94A" w14:textId="77777777" w:rsidR="00F51113" w:rsidRPr="004C2DCD" w:rsidRDefault="00F51113">
            <w:pPr>
              <w:pStyle w:val="TableText"/>
              <w:jc w:val="center"/>
              <w:rPr>
                <w:lang w:val="en-NZ"/>
              </w:rPr>
            </w:pPr>
            <w:r w:rsidRPr="004C2DCD">
              <w:rPr>
                <w:color w:val="000000" w:themeColor="text1"/>
                <w:lang w:val="en-NZ"/>
              </w:rPr>
              <w:t>3,191</w:t>
            </w:r>
          </w:p>
        </w:tc>
        <w:tc>
          <w:tcPr>
            <w:tcW w:w="708" w:type="dxa"/>
            <w:tcBorders>
              <w:top w:val="nil"/>
              <w:left w:val="single" w:sz="4" w:space="0" w:color="auto"/>
              <w:bottom w:val="single" w:sz="4" w:space="0" w:color="auto"/>
              <w:right w:val="nil"/>
            </w:tcBorders>
            <w:shd w:val="clear" w:color="auto" w:fill="auto"/>
            <w:vAlign w:val="center"/>
          </w:tcPr>
          <w:p w14:paraId="64007142" w14:textId="77777777" w:rsidR="00F51113" w:rsidRPr="004C2DCD" w:rsidRDefault="00F51113">
            <w:pPr>
              <w:pStyle w:val="TableText"/>
              <w:jc w:val="center"/>
              <w:rPr>
                <w:lang w:val="en-NZ"/>
              </w:rPr>
            </w:pPr>
            <w:r w:rsidRPr="004C2DCD">
              <w:rPr>
                <w:color w:val="000000" w:themeColor="text1"/>
                <w:lang w:val="en-NZ"/>
              </w:rPr>
              <w:t>3,186</w:t>
            </w:r>
          </w:p>
        </w:tc>
      </w:tr>
      <w:tr w:rsidR="00F51113" w:rsidRPr="004C2DCD" w14:paraId="4C09C0A5" w14:textId="77777777">
        <w:tc>
          <w:tcPr>
            <w:tcW w:w="2552" w:type="dxa"/>
            <w:tcBorders>
              <w:top w:val="single" w:sz="4" w:space="0" w:color="auto"/>
              <w:bottom w:val="single" w:sz="4" w:space="0" w:color="auto"/>
              <w:right w:val="single" w:sz="4" w:space="0" w:color="auto"/>
            </w:tcBorders>
            <w:vAlign w:val="center"/>
          </w:tcPr>
          <w:p w14:paraId="7DA0B349" w14:textId="77777777" w:rsidR="00F51113" w:rsidRPr="004C2DCD" w:rsidRDefault="00F51113">
            <w:pPr>
              <w:pStyle w:val="TableText"/>
              <w:rPr>
                <w:lang w:val="en-NZ"/>
              </w:rPr>
            </w:pPr>
            <w:r w:rsidRPr="004C2DCD">
              <w:rPr>
                <w:lang w:val="en-NZ"/>
              </w:rPr>
              <w:t>With existing measures central</w:t>
            </w:r>
          </w:p>
        </w:tc>
        <w:tc>
          <w:tcPr>
            <w:tcW w:w="850" w:type="dxa"/>
            <w:tcBorders>
              <w:top w:val="single" w:sz="4" w:space="0" w:color="auto"/>
              <w:left w:val="nil"/>
              <w:bottom w:val="single" w:sz="4" w:space="0" w:color="auto"/>
              <w:right w:val="single" w:sz="4" w:space="0" w:color="auto"/>
            </w:tcBorders>
            <w:shd w:val="clear" w:color="auto" w:fill="auto"/>
            <w:vAlign w:val="center"/>
          </w:tcPr>
          <w:p w14:paraId="190AFF72" w14:textId="77777777" w:rsidR="00F51113" w:rsidRPr="004C2DCD" w:rsidRDefault="00F51113">
            <w:pPr>
              <w:pStyle w:val="TableText"/>
              <w:jc w:val="center"/>
              <w:rPr>
                <w:lang w:val="en-NZ"/>
              </w:rPr>
            </w:pPr>
            <w:r w:rsidRPr="004C2DCD">
              <w:rPr>
                <w:color w:val="000000" w:themeColor="text1"/>
                <w:lang w:val="en-NZ"/>
              </w:rPr>
              <w:t>4,357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5F6667E" w14:textId="77777777" w:rsidR="00F51113" w:rsidRPr="004C2DCD" w:rsidRDefault="00F51113">
            <w:pPr>
              <w:pStyle w:val="TableText"/>
              <w:jc w:val="center"/>
              <w:rPr>
                <w:lang w:val="en-NZ"/>
              </w:rPr>
            </w:pPr>
            <w:r w:rsidRPr="004C2DCD">
              <w:rPr>
                <w:color w:val="000000" w:themeColor="text1"/>
                <w:lang w:val="en-NZ"/>
              </w:rPr>
              <w:t>3,630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8C6E4CF" w14:textId="77777777" w:rsidR="00F51113" w:rsidRPr="004C2DCD" w:rsidRDefault="00F51113">
            <w:pPr>
              <w:pStyle w:val="TableText"/>
              <w:jc w:val="center"/>
              <w:rPr>
                <w:lang w:val="en-NZ"/>
              </w:rPr>
            </w:pPr>
            <w:r w:rsidRPr="004C2DCD">
              <w:rPr>
                <w:color w:val="000000" w:themeColor="text1"/>
                <w:lang w:val="en-NZ"/>
              </w:rPr>
              <w:t>3,403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144CEC3" w14:textId="77777777" w:rsidR="00F51113" w:rsidRPr="004C2DCD" w:rsidRDefault="00F51113">
            <w:pPr>
              <w:pStyle w:val="TableText"/>
              <w:jc w:val="center"/>
              <w:rPr>
                <w:lang w:val="en-NZ"/>
              </w:rPr>
            </w:pPr>
            <w:r w:rsidRPr="004C2DCD">
              <w:rPr>
                <w:color w:val="000000" w:themeColor="text1"/>
                <w:lang w:val="en-NZ"/>
              </w:rPr>
              <w:t>3,266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7BCE874" w14:textId="77777777" w:rsidR="00F51113" w:rsidRPr="004C2DCD" w:rsidRDefault="00F51113">
            <w:pPr>
              <w:pStyle w:val="TableText"/>
              <w:jc w:val="center"/>
              <w:rPr>
                <w:lang w:val="en-NZ"/>
              </w:rPr>
            </w:pPr>
            <w:r w:rsidRPr="004C2DCD">
              <w:rPr>
                <w:color w:val="000000" w:themeColor="text1"/>
                <w:lang w:val="en-NZ"/>
              </w:rPr>
              <w:t>3,205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52E8D45" w14:textId="77777777" w:rsidR="00F51113" w:rsidRPr="004C2DCD" w:rsidRDefault="00F51113">
            <w:pPr>
              <w:pStyle w:val="TableText"/>
              <w:jc w:val="center"/>
              <w:rPr>
                <w:lang w:val="en-NZ"/>
              </w:rPr>
            </w:pPr>
            <w:r w:rsidRPr="004C2DCD">
              <w:rPr>
                <w:color w:val="000000" w:themeColor="text1"/>
                <w:lang w:val="en-NZ"/>
              </w:rPr>
              <w:t>3,163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5EE75D2" w14:textId="77777777" w:rsidR="00F51113" w:rsidRPr="004C2DCD" w:rsidRDefault="00F51113">
            <w:pPr>
              <w:pStyle w:val="TableText"/>
              <w:jc w:val="center"/>
              <w:rPr>
                <w:lang w:val="en-NZ"/>
              </w:rPr>
            </w:pPr>
            <w:r w:rsidRPr="004C2DCD">
              <w:rPr>
                <w:color w:val="000000" w:themeColor="text1"/>
                <w:lang w:val="en-NZ"/>
              </w:rPr>
              <w:t>3,137</w:t>
            </w:r>
          </w:p>
        </w:tc>
        <w:tc>
          <w:tcPr>
            <w:tcW w:w="708" w:type="dxa"/>
            <w:tcBorders>
              <w:top w:val="single" w:sz="4" w:space="0" w:color="auto"/>
              <w:left w:val="single" w:sz="4" w:space="0" w:color="auto"/>
              <w:bottom w:val="single" w:sz="4" w:space="0" w:color="auto"/>
              <w:right w:val="nil"/>
            </w:tcBorders>
            <w:shd w:val="clear" w:color="auto" w:fill="auto"/>
            <w:vAlign w:val="center"/>
          </w:tcPr>
          <w:p w14:paraId="682AC663" w14:textId="77777777" w:rsidR="00F51113" w:rsidRPr="004C2DCD" w:rsidRDefault="00F51113">
            <w:pPr>
              <w:pStyle w:val="TableText"/>
              <w:jc w:val="center"/>
              <w:rPr>
                <w:lang w:val="en-NZ"/>
              </w:rPr>
            </w:pPr>
            <w:r w:rsidRPr="004C2DCD">
              <w:rPr>
                <w:color w:val="000000" w:themeColor="text1"/>
                <w:lang w:val="en-NZ"/>
              </w:rPr>
              <w:t>3,124</w:t>
            </w:r>
          </w:p>
        </w:tc>
      </w:tr>
      <w:tr w:rsidR="00F51113" w:rsidRPr="004C2DCD" w14:paraId="55F43A42" w14:textId="77777777">
        <w:tc>
          <w:tcPr>
            <w:tcW w:w="2552" w:type="dxa"/>
            <w:tcBorders>
              <w:top w:val="single" w:sz="4" w:space="0" w:color="auto"/>
              <w:bottom w:val="single" w:sz="4" w:space="0" w:color="1B556B" w:themeColor="text2"/>
              <w:right w:val="single" w:sz="4" w:space="0" w:color="auto"/>
            </w:tcBorders>
            <w:vAlign w:val="center"/>
          </w:tcPr>
          <w:p w14:paraId="2D305D5F" w14:textId="77777777" w:rsidR="00F51113" w:rsidRPr="004C2DCD" w:rsidRDefault="00F51113">
            <w:pPr>
              <w:pStyle w:val="TableText"/>
              <w:rPr>
                <w:lang w:val="en-NZ"/>
              </w:rPr>
            </w:pPr>
            <w:r w:rsidRPr="004C2DCD">
              <w:rPr>
                <w:lang w:val="en-NZ"/>
              </w:rPr>
              <w:t>Low emissions</w:t>
            </w:r>
          </w:p>
        </w:tc>
        <w:tc>
          <w:tcPr>
            <w:tcW w:w="850" w:type="dxa"/>
            <w:tcBorders>
              <w:top w:val="single" w:sz="4" w:space="0" w:color="auto"/>
              <w:left w:val="nil"/>
              <w:bottom w:val="single" w:sz="4" w:space="0" w:color="1B556B" w:themeColor="text2"/>
              <w:right w:val="single" w:sz="4" w:space="0" w:color="auto"/>
            </w:tcBorders>
            <w:shd w:val="clear" w:color="auto" w:fill="auto"/>
            <w:vAlign w:val="center"/>
          </w:tcPr>
          <w:p w14:paraId="337AE0C7" w14:textId="77777777" w:rsidR="00F51113" w:rsidRPr="004C2DCD" w:rsidRDefault="00F51113">
            <w:pPr>
              <w:pStyle w:val="TableText"/>
              <w:jc w:val="center"/>
              <w:rPr>
                <w:lang w:val="en-NZ"/>
              </w:rPr>
            </w:pPr>
            <w:r w:rsidRPr="004C2DCD">
              <w:rPr>
                <w:color w:val="000000" w:themeColor="text1"/>
                <w:lang w:val="en-NZ"/>
              </w:rPr>
              <w:t>4,357</w:t>
            </w:r>
          </w:p>
        </w:tc>
        <w:tc>
          <w:tcPr>
            <w:tcW w:w="851" w:type="dxa"/>
            <w:tcBorders>
              <w:top w:val="single" w:sz="4" w:space="0" w:color="auto"/>
              <w:left w:val="single" w:sz="4" w:space="0" w:color="auto"/>
              <w:bottom w:val="single" w:sz="4" w:space="0" w:color="1B556B" w:themeColor="text2"/>
              <w:right w:val="single" w:sz="4" w:space="0" w:color="auto"/>
            </w:tcBorders>
            <w:shd w:val="clear" w:color="auto" w:fill="auto"/>
            <w:vAlign w:val="center"/>
          </w:tcPr>
          <w:p w14:paraId="0C0DEEEA" w14:textId="77777777" w:rsidR="00F51113" w:rsidRPr="004C2DCD" w:rsidRDefault="00F51113">
            <w:pPr>
              <w:pStyle w:val="TableText"/>
              <w:jc w:val="center"/>
              <w:rPr>
                <w:lang w:val="en-NZ"/>
              </w:rPr>
            </w:pPr>
            <w:r w:rsidRPr="004C2DCD">
              <w:rPr>
                <w:color w:val="000000" w:themeColor="text1"/>
                <w:lang w:val="en-NZ"/>
              </w:rPr>
              <w:t>3,630</w:t>
            </w:r>
          </w:p>
        </w:tc>
        <w:tc>
          <w:tcPr>
            <w:tcW w:w="709" w:type="dxa"/>
            <w:tcBorders>
              <w:top w:val="single" w:sz="4" w:space="0" w:color="auto"/>
              <w:left w:val="single" w:sz="4" w:space="0" w:color="auto"/>
              <w:bottom w:val="single" w:sz="4" w:space="0" w:color="1B556B" w:themeColor="text2"/>
              <w:right w:val="single" w:sz="4" w:space="0" w:color="auto"/>
            </w:tcBorders>
            <w:shd w:val="clear" w:color="auto" w:fill="auto"/>
            <w:vAlign w:val="center"/>
          </w:tcPr>
          <w:p w14:paraId="0D933877" w14:textId="77777777" w:rsidR="00F51113" w:rsidRPr="004C2DCD" w:rsidRDefault="00F51113">
            <w:pPr>
              <w:pStyle w:val="TableText"/>
              <w:jc w:val="center"/>
              <w:rPr>
                <w:lang w:val="en-NZ"/>
              </w:rPr>
            </w:pPr>
            <w:r w:rsidRPr="004C2DCD">
              <w:rPr>
                <w:color w:val="000000" w:themeColor="text1"/>
                <w:lang w:val="en-NZ"/>
              </w:rPr>
              <w:t>3,403</w:t>
            </w:r>
          </w:p>
        </w:tc>
        <w:tc>
          <w:tcPr>
            <w:tcW w:w="708" w:type="dxa"/>
            <w:tcBorders>
              <w:top w:val="single" w:sz="4" w:space="0" w:color="auto"/>
              <w:left w:val="single" w:sz="4" w:space="0" w:color="auto"/>
              <w:bottom w:val="single" w:sz="4" w:space="0" w:color="1B556B" w:themeColor="text2"/>
              <w:right w:val="single" w:sz="4" w:space="0" w:color="auto"/>
            </w:tcBorders>
            <w:shd w:val="clear" w:color="auto" w:fill="auto"/>
            <w:vAlign w:val="center"/>
          </w:tcPr>
          <w:p w14:paraId="63E9DC35" w14:textId="77777777" w:rsidR="00F51113" w:rsidRPr="004C2DCD" w:rsidRDefault="00F51113">
            <w:pPr>
              <w:pStyle w:val="TableText"/>
              <w:jc w:val="center"/>
              <w:rPr>
                <w:lang w:val="en-NZ"/>
              </w:rPr>
            </w:pPr>
            <w:r w:rsidRPr="004C2DCD">
              <w:rPr>
                <w:color w:val="000000" w:themeColor="text1"/>
                <w:lang w:val="en-NZ"/>
              </w:rPr>
              <w:t>3,238</w:t>
            </w:r>
          </w:p>
        </w:tc>
        <w:tc>
          <w:tcPr>
            <w:tcW w:w="709" w:type="dxa"/>
            <w:tcBorders>
              <w:top w:val="single" w:sz="4" w:space="0" w:color="auto"/>
              <w:left w:val="single" w:sz="4" w:space="0" w:color="auto"/>
              <w:bottom w:val="single" w:sz="4" w:space="0" w:color="1B556B" w:themeColor="text2"/>
              <w:right w:val="single" w:sz="4" w:space="0" w:color="auto"/>
            </w:tcBorders>
            <w:shd w:val="clear" w:color="auto" w:fill="auto"/>
            <w:vAlign w:val="center"/>
          </w:tcPr>
          <w:p w14:paraId="1DB1D930" w14:textId="77777777" w:rsidR="00F51113" w:rsidRPr="004C2DCD" w:rsidRDefault="00F51113">
            <w:pPr>
              <w:pStyle w:val="TableText"/>
              <w:jc w:val="center"/>
              <w:rPr>
                <w:lang w:val="en-NZ"/>
              </w:rPr>
            </w:pPr>
            <w:r w:rsidRPr="004C2DCD">
              <w:rPr>
                <w:color w:val="000000" w:themeColor="text1"/>
                <w:lang w:val="en-NZ"/>
              </w:rPr>
              <w:t>3,161</w:t>
            </w:r>
          </w:p>
        </w:tc>
        <w:tc>
          <w:tcPr>
            <w:tcW w:w="709" w:type="dxa"/>
            <w:tcBorders>
              <w:top w:val="single" w:sz="4" w:space="0" w:color="auto"/>
              <w:left w:val="single" w:sz="4" w:space="0" w:color="auto"/>
              <w:bottom w:val="single" w:sz="4" w:space="0" w:color="1B556B" w:themeColor="text2"/>
              <w:right w:val="single" w:sz="4" w:space="0" w:color="auto"/>
            </w:tcBorders>
            <w:shd w:val="clear" w:color="auto" w:fill="auto"/>
            <w:vAlign w:val="center"/>
          </w:tcPr>
          <w:p w14:paraId="4AE5CA8C" w14:textId="77777777" w:rsidR="00F51113" w:rsidRPr="004C2DCD" w:rsidRDefault="00F51113">
            <w:pPr>
              <w:pStyle w:val="TableText"/>
              <w:jc w:val="center"/>
              <w:rPr>
                <w:lang w:val="en-NZ"/>
              </w:rPr>
            </w:pPr>
            <w:r w:rsidRPr="004C2DCD">
              <w:rPr>
                <w:color w:val="000000" w:themeColor="text1"/>
                <w:lang w:val="en-NZ"/>
              </w:rPr>
              <w:t>3,111</w:t>
            </w:r>
          </w:p>
        </w:tc>
        <w:tc>
          <w:tcPr>
            <w:tcW w:w="709" w:type="dxa"/>
            <w:tcBorders>
              <w:top w:val="single" w:sz="4" w:space="0" w:color="auto"/>
              <w:left w:val="single" w:sz="4" w:space="0" w:color="auto"/>
              <w:bottom w:val="single" w:sz="4" w:space="0" w:color="1B556B" w:themeColor="text2"/>
              <w:right w:val="single" w:sz="4" w:space="0" w:color="auto"/>
            </w:tcBorders>
            <w:shd w:val="clear" w:color="auto" w:fill="auto"/>
            <w:vAlign w:val="center"/>
          </w:tcPr>
          <w:p w14:paraId="6C983AF8" w14:textId="77777777" w:rsidR="00F51113" w:rsidRPr="004C2DCD" w:rsidRDefault="00F51113">
            <w:pPr>
              <w:pStyle w:val="TableText"/>
              <w:jc w:val="center"/>
              <w:rPr>
                <w:lang w:val="en-NZ"/>
              </w:rPr>
            </w:pPr>
            <w:r w:rsidRPr="004C2DCD">
              <w:rPr>
                <w:color w:val="000000" w:themeColor="text1"/>
                <w:lang w:val="en-NZ"/>
              </w:rPr>
              <w:t>3,073</w:t>
            </w:r>
          </w:p>
        </w:tc>
        <w:tc>
          <w:tcPr>
            <w:tcW w:w="708" w:type="dxa"/>
            <w:tcBorders>
              <w:top w:val="single" w:sz="4" w:space="0" w:color="auto"/>
              <w:left w:val="single" w:sz="4" w:space="0" w:color="auto"/>
              <w:bottom w:val="single" w:sz="4" w:space="0" w:color="1B556B" w:themeColor="text2"/>
              <w:right w:val="nil"/>
            </w:tcBorders>
            <w:shd w:val="clear" w:color="auto" w:fill="auto"/>
            <w:vAlign w:val="center"/>
          </w:tcPr>
          <w:p w14:paraId="271B1B54" w14:textId="77777777" w:rsidR="00F51113" w:rsidRPr="004C2DCD" w:rsidRDefault="00F51113">
            <w:pPr>
              <w:pStyle w:val="TableText"/>
              <w:jc w:val="center"/>
              <w:rPr>
                <w:lang w:val="en-NZ"/>
              </w:rPr>
            </w:pPr>
            <w:r w:rsidRPr="004C2DCD">
              <w:rPr>
                <w:color w:val="000000" w:themeColor="text1"/>
                <w:lang w:val="en-NZ"/>
              </w:rPr>
              <w:t>3,045</w:t>
            </w:r>
          </w:p>
        </w:tc>
      </w:tr>
    </w:tbl>
    <w:p w14:paraId="156BE087" w14:textId="77777777" w:rsidR="00F51113" w:rsidRPr="004C2DCD" w:rsidRDefault="00F51113" w:rsidP="00F51113">
      <w:pPr>
        <w:pStyle w:val="BodyText"/>
        <w:spacing w:before="0" w:after="0"/>
      </w:pPr>
    </w:p>
    <w:p w14:paraId="669159C2" w14:textId="77777777" w:rsidR="00F51113" w:rsidRPr="004C2DCD" w:rsidRDefault="00F51113" w:rsidP="00AF10D1">
      <w:pPr>
        <w:pStyle w:val="Figureheading"/>
        <w:spacing w:after="80"/>
        <w:ind w:left="1276" w:hanging="1276"/>
      </w:pPr>
      <w:bookmarkStart w:id="651" w:name="_Toc185347263"/>
      <w:r w:rsidRPr="004C2DCD">
        <w:t xml:space="preserve">Figure 2.5.19: </w:t>
      </w:r>
      <w:r w:rsidRPr="004C2DCD">
        <w:tab/>
        <w:t>Greenhouse gas emissions under the ‘with existing measures’, high- and low-emissions scenarios in the Waste sector, 1990–2050</w:t>
      </w:r>
      <w:bookmarkEnd w:id="651"/>
    </w:p>
    <w:p w14:paraId="712D4296" w14:textId="20A66226" w:rsidR="00F51113" w:rsidRPr="004C2DCD" w:rsidRDefault="00003F55" w:rsidP="003038F0">
      <w:pPr>
        <w:pStyle w:val="BodyText"/>
        <w:keepNext/>
        <w:spacing w:before="80" w:after="0"/>
        <w:jc w:val="center"/>
      </w:pPr>
      <w:r>
        <w:rPr>
          <w:noProof/>
        </w:rPr>
        <w:drawing>
          <wp:inline distT="0" distB="0" distL="0" distR="0" wp14:anchorId="7214C5D3" wp14:editId="68A73A11">
            <wp:extent cx="4932484" cy="2799292"/>
            <wp:effectExtent l="0" t="0" r="1905" b="1270"/>
            <wp:docPr id="445074467" name="Picture 44" descr="A line graph showing greenhouse gas emissions in million tonnes carbon dioxide equivalent under the ‘with existing measures’ high- and low- scenarios in the Waste sector for the period 1990 to 2050. It plots the paths of Waste historical emissions, Waste projected emissions (high scenario), Waste projected emissions and Waste projected emissions (low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74467" name="Picture 44" descr="A line graph showing greenhouse gas emissions in million tonnes carbon dioxide equivalent under the ‘with existing measures’ high- and low- scenarios in the Waste sector for the period 1990 to 2050. It plots the paths of Waste historical emissions, Waste projected emissions (high scenario), Waste projected emissions and Waste projected emissions (low scenario)."/>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956554" cy="2812952"/>
                    </a:xfrm>
                    <a:prstGeom prst="rect">
                      <a:avLst/>
                    </a:prstGeom>
                    <a:noFill/>
                  </pic:spPr>
                </pic:pic>
              </a:graphicData>
            </a:graphic>
          </wp:inline>
        </w:drawing>
      </w:r>
    </w:p>
    <w:p w14:paraId="70606FE5" w14:textId="77777777" w:rsidR="00F51113" w:rsidRPr="004C2DCD" w:rsidRDefault="00F51113" w:rsidP="00F51113">
      <w:pPr>
        <w:pStyle w:val="Note"/>
        <w:spacing w:before="80"/>
      </w:pPr>
      <w:r w:rsidRPr="004C2DCD">
        <w:rPr>
          <w:b/>
          <w:bCs/>
        </w:rPr>
        <w:t>Note:</w:t>
      </w:r>
      <w:r w:rsidRPr="004C2DCD">
        <w:t xml:space="preserve"> Kt CO</w:t>
      </w:r>
      <w:r w:rsidRPr="004C2DCD">
        <w:rPr>
          <w:vertAlign w:val="subscript"/>
        </w:rPr>
        <w:t>2</w:t>
      </w:r>
      <w:r w:rsidRPr="004C2DCD">
        <w:t>e =</w:t>
      </w:r>
      <w:r w:rsidRPr="004C2DCD">
        <w:rPr>
          <w:b/>
          <w:bCs/>
        </w:rPr>
        <w:t xml:space="preserve"> </w:t>
      </w:r>
      <w:r w:rsidRPr="004C2DCD">
        <w:t>kilotonnes of carbon dioxide equivalent.</w:t>
      </w:r>
    </w:p>
    <w:p w14:paraId="3EB1AAB0" w14:textId="77777777" w:rsidR="00F51113" w:rsidRPr="004C2DCD" w:rsidRDefault="00F51113" w:rsidP="00784F5F">
      <w:pPr>
        <w:pStyle w:val="Heading3"/>
        <w:numPr>
          <w:ilvl w:val="0"/>
          <w:numId w:val="114"/>
        </w:numPr>
      </w:pPr>
      <w:r w:rsidRPr="004C2DCD">
        <w:t xml:space="preserve">Sensitivity analysis using sector-based models </w:t>
      </w:r>
    </w:p>
    <w:p w14:paraId="40EDFD93" w14:textId="576715EB" w:rsidR="00F51113" w:rsidRPr="004C2DCD" w:rsidRDefault="00195FF3" w:rsidP="00F51113">
      <w:pPr>
        <w:pStyle w:val="Heading4"/>
      </w:pPr>
      <w:r>
        <w:t>2.5.6.3.1</w:t>
      </w:r>
      <w:r>
        <w:tab/>
      </w:r>
      <w:r w:rsidR="00F51113" w:rsidRPr="004C2DCD">
        <w:t>Tokelau</w:t>
      </w:r>
    </w:p>
    <w:p w14:paraId="0525CFDD" w14:textId="77777777" w:rsidR="00F51113" w:rsidRPr="004C2DCD" w:rsidRDefault="00F51113" w:rsidP="00F51113">
      <w:pPr>
        <w:pStyle w:val="BodyText"/>
      </w:pPr>
      <w:r w:rsidRPr="004C2DCD">
        <w:t>No quantitative sensitivities were produced for Tokelau for the Biennial Transparency Report.</w:t>
      </w:r>
    </w:p>
    <w:p w14:paraId="16A41480" w14:textId="749D9376" w:rsidR="00F51113" w:rsidRPr="004C2DCD" w:rsidRDefault="00195FF3" w:rsidP="003A0C20">
      <w:pPr>
        <w:pStyle w:val="Heading4"/>
        <w:ind w:left="1134" w:hanging="1134"/>
      </w:pPr>
      <w:r>
        <w:t>2.5.6.3.2</w:t>
      </w:r>
      <w:r>
        <w:tab/>
      </w:r>
      <w:r w:rsidR="00B67BC9">
        <w:t>Land Use, Land-Use Change and Forestry</w:t>
      </w:r>
      <w:r w:rsidR="00F51113" w:rsidRPr="004C2DCD">
        <w:t xml:space="preserve"> (LULUCF reporting) </w:t>
      </w:r>
    </w:p>
    <w:p w14:paraId="2FB3235B" w14:textId="617FEFE8" w:rsidR="00F51113" w:rsidRPr="004C2DCD" w:rsidRDefault="00F51113" w:rsidP="00F51113">
      <w:pPr>
        <w:pStyle w:val="BodyText"/>
      </w:pPr>
      <w:r w:rsidRPr="004C2DCD">
        <w:rPr>
          <w:spacing w:val="-2"/>
        </w:rPr>
        <w:t>As with projections of emissions for any sector, the LULUCF sector is sensitive to the underlying</w:t>
      </w:r>
      <w:r w:rsidRPr="004C2DCD">
        <w:t xml:space="preserve"> assumptions used. It is challenging to arrive at absolute values of future rates of afforestation, </w:t>
      </w:r>
      <w:r w:rsidRPr="004C2DCD">
        <w:rPr>
          <w:spacing w:val="-2"/>
        </w:rPr>
        <w:t>deforestation, harvesting, pre-1990 natural forest sequestration and harvested wood products</w:t>
      </w:r>
      <w:r w:rsidRPr="004C2DCD">
        <w:t>. Projections of activity data and emission factors are based on external research and analysis, with a range of upper and lower removals estimates to reflect the variability in predictions (</w:t>
      </w:r>
      <w:hyperlink w:anchor="table2522" w:history="1">
        <w:r w:rsidRPr="007F412A">
          <w:rPr>
            <w:rStyle w:val="Hyperlink"/>
          </w:rPr>
          <w:t>table 2.5.22</w:t>
        </w:r>
      </w:hyperlink>
      <w:r w:rsidRPr="004C2DCD">
        <w:t xml:space="preserve">). </w:t>
      </w:r>
    </w:p>
    <w:p w14:paraId="06601E06" w14:textId="1DDDF1E7" w:rsidR="00F51113" w:rsidRPr="004C2DCD" w:rsidRDefault="00F51113" w:rsidP="00F51113">
      <w:pPr>
        <w:pStyle w:val="BodyText"/>
      </w:pPr>
      <w:r w:rsidRPr="004C2DCD">
        <w:t xml:space="preserve">The sensitivity of the LULUCF WEM projections to underlying assumptions of afforestation, deforestation, harvesting, pre-1990 natural forest sequestration and harvested wood products is described in </w:t>
      </w:r>
      <w:hyperlink w:anchor="section2632" w:history="1">
        <w:r w:rsidRPr="00F41AB5">
          <w:rPr>
            <w:rStyle w:val="Hyperlink"/>
          </w:rPr>
          <w:t>section 2.6.3.2</w:t>
        </w:r>
      </w:hyperlink>
      <w:r w:rsidRPr="004C2DCD">
        <w:t xml:space="preserve">. The methods used for determining the carbon impact of the NZ ETS and government forestry initiatives are briefly described below. </w:t>
      </w:r>
    </w:p>
    <w:p w14:paraId="306C75FE" w14:textId="77777777" w:rsidR="00F51113" w:rsidRPr="004C2DCD" w:rsidRDefault="00F51113" w:rsidP="00F51113">
      <w:pPr>
        <w:pStyle w:val="Heading5"/>
      </w:pPr>
      <w:r w:rsidRPr="004C2DCD">
        <w:t xml:space="preserve">New Zealand Emissions Trading Scheme </w:t>
      </w:r>
    </w:p>
    <w:p w14:paraId="4BF75263" w14:textId="77777777" w:rsidR="00F51113" w:rsidRPr="004C2DCD" w:rsidRDefault="00F51113" w:rsidP="00F51113">
      <w:pPr>
        <w:pStyle w:val="BodyText"/>
      </w:pPr>
      <w:r w:rsidRPr="004C2DCD">
        <w:t xml:space="preserve">The impact the NZ ETS has had on afforestation and deforestation varied between 2008 and 2022, depending on the carbon price at the time. </w:t>
      </w:r>
    </w:p>
    <w:p w14:paraId="6A2073E2" w14:textId="77777777" w:rsidR="00F51113" w:rsidRPr="004C2DCD" w:rsidRDefault="00F51113" w:rsidP="00F51113">
      <w:pPr>
        <w:pStyle w:val="BodyText"/>
      </w:pPr>
      <w:r w:rsidRPr="004C2DCD">
        <w:t>The assessment of the historical and projected impact is primarily based on annual evaluation surveys, research and modelling conducted by the University of Canterbury’s School of Forestry.</w:t>
      </w:r>
      <w:r w:rsidRPr="004C2DCD">
        <w:rPr>
          <w:vertAlign w:val="superscript"/>
        </w:rPr>
        <w:footnoteReference w:id="199"/>
      </w:r>
      <w:r w:rsidRPr="004C2DCD">
        <w:t xml:space="preserve"> Surveys conducted by the university are used to estimate the amount of deforestation that would occur ‘with’ and then ‘without’ the existence of the NZ ETS. The deforestation estimates ‘without the NZ ETS’ were correlated with historical and projected deforestation rates to determine the impact of the NZ ETS at that time. </w:t>
      </w:r>
    </w:p>
    <w:p w14:paraId="7A0A8FB9" w14:textId="77777777" w:rsidR="00F51113" w:rsidRPr="004C2DCD" w:rsidRDefault="00F51113" w:rsidP="00F51113">
      <w:pPr>
        <w:pStyle w:val="BodyText"/>
      </w:pPr>
      <w:r w:rsidRPr="004C2DCD">
        <w:t>In calculating the impact of the NZ ETS on afforestation, only afforestation since the establishment of the NZ ETS in 2008 is considered as being attributable. This creates a distinction between forests that were established before and after the NZ ETS came into effect and ensures only forests established as a direct result of that initiative are included. Research and analysis conducted by the University of Canterbury are used to estimate the impact of the NZ ETS carbon price on afforestation rates in New Zealand.</w:t>
      </w:r>
      <w:r w:rsidRPr="004C2DCD">
        <w:rPr>
          <w:vertAlign w:val="superscript"/>
        </w:rPr>
        <w:footnoteReference w:id="200"/>
      </w:r>
      <w:r w:rsidRPr="004C2DCD">
        <w:t xml:space="preserve"> </w:t>
      </w:r>
    </w:p>
    <w:p w14:paraId="02389842" w14:textId="77777777" w:rsidR="00F51113" w:rsidRPr="004C2DCD" w:rsidRDefault="00F51113" w:rsidP="00F51113">
      <w:pPr>
        <w:pStyle w:val="BodyText"/>
      </w:pPr>
      <w:r w:rsidRPr="004C2DCD">
        <w:t xml:space="preserve">The research findings provide estimated afforestation ‘with’ and ‘without’ carbon prices and are used as a measure of the ‘additional’ afforestation since 2008 that can be attributed to the </w:t>
      </w:r>
      <w:r w:rsidRPr="004C2DCD">
        <w:rPr>
          <w:spacing w:val="-2"/>
        </w:rPr>
        <w:t>establishment of the NZ ETS. The results of this research were then correlated with afforestation</w:t>
      </w:r>
      <w:r w:rsidRPr="004C2DCD">
        <w:t xml:space="preserve"> rates and carbon prices from 2008 to 2022, and ‘with existing measures’ projections from 2023 to 2050, to determine the impact that carbon price has had on afforestation. </w:t>
      </w:r>
    </w:p>
    <w:p w14:paraId="5035CCC1" w14:textId="5259C93B" w:rsidR="00F51113" w:rsidRPr="004C2DCD" w:rsidRDefault="008C618B" w:rsidP="00F51113">
      <w:pPr>
        <w:pStyle w:val="Heading4"/>
      </w:pPr>
      <w:r>
        <w:t>2.5.6.3.3</w:t>
      </w:r>
      <w:r>
        <w:tab/>
      </w:r>
      <w:r w:rsidR="00F51113" w:rsidRPr="004C2DCD">
        <w:t xml:space="preserve">Government-funded forestry initiatives </w:t>
      </w:r>
    </w:p>
    <w:p w14:paraId="3AFCEB79" w14:textId="48DB6681" w:rsidR="00F51113" w:rsidRPr="004C2DCD" w:rsidRDefault="00F51113" w:rsidP="00F51113">
      <w:pPr>
        <w:pStyle w:val="BodyText"/>
      </w:pPr>
      <w:r w:rsidRPr="004C2DCD">
        <w:t xml:space="preserve">Afforestation as a direct result of government forestry initiatives includes those from the Afforestation Grant Scheme, Permanent Forest Sink Initiative, Sustainable Land Management Hill Country Erosion Programme, Erosion Control Funding Programme and the One Billion Trees Programme. See </w:t>
      </w:r>
      <w:hyperlink w:anchor="section24" w:history="1">
        <w:r w:rsidRPr="00936598">
          <w:rPr>
            <w:rStyle w:val="Hyperlink"/>
          </w:rPr>
          <w:t>section 2.4</w:t>
        </w:r>
      </w:hyperlink>
      <w:r w:rsidRPr="004C2DCD">
        <w:t xml:space="preserve"> for further details of these government-funded forestry initiatives. Net removal estimates are based on methodologies in the Inventory and simulate forest growth using activity data on forest area, age and species.</w:t>
      </w:r>
    </w:p>
    <w:p w14:paraId="13E245E5" w14:textId="77777777" w:rsidR="00F51113" w:rsidRPr="004C2DCD" w:rsidRDefault="00F51113" w:rsidP="00F51113">
      <w:pPr>
        <w:pStyle w:val="Tableheading"/>
        <w:ind w:left="1276" w:hanging="1276"/>
      </w:pPr>
      <w:bookmarkStart w:id="652" w:name="table2522"/>
      <w:bookmarkStart w:id="653" w:name="_Toc183789723"/>
      <w:bookmarkStart w:id="654" w:name="_Toc185407487"/>
      <w:bookmarkStart w:id="655" w:name="_Toc185427750"/>
      <w:r w:rsidRPr="004C2DCD">
        <w:t>Table 2.5.22</w:t>
      </w:r>
      <w:bookmarkEnd w:id="652"/>
      <w:r w:rsidRPr="004C2DCD">
        <w:rPr>
          <w:bCs/>
        </w:rPr>
        <w:t xml:space="preserve">: </w:t>
      </w:r>
      <w:r w:rsidRPr="004C2DCD">
        <w:tab/>
        <w:t>Projected net LULUCF removals under ‘with existing measures’, lower removals and upper removals scenarios, 1990–2050 (Mt CO</w:t>
      </w:r>
      <w:r w:rsidRPr="004C2DCD">
        <w:rPr>
          <w:vertAlign w:val="subscript"/>
        </w:rPr>
        <w:t>2</w:t>
      </w:r>
      <w:r w:rsidRPr="004C2DCD">
        <w:t>e)</w:t>
      </w:r>
      <w:bookmarkEnd w:id="653"/>
      <w:bookmarkEnd w:id="654"/>
      <w:bookmarkEnd w:id="655"/>
      <w:r w:rsidRPr="004C2DCD" w:rsidDel="00FF5148">
        <w:t xml:space="preserve"> </w:t>
      </w:r>
    </w:p>
    <w:tbl>
      <w:tblPr>
        <w:tblW w:w="8505" w:type="dxa"/>
        <w:tblBorders>
          <w:top w:val="outset" w:sz="6" w:space="0" w:color="auto"/>
          <w:left w:val="outset" w:sz="6" w:space="0" w:color="auto"/>
          <w:bottom w:val="outset" w:sz="6" w:space="0" w:color="auto"/>
          <w:right w:val="outset" w:sz="6" w:space="0" w:color="auto"/>
        </w:tblBorders>
        <w:tblLayout w:type="fixed"/>
        <w:tblCellMar>
          <w:left w:w="85" w:type="dxa"/>
          <w:right w:w="85" w:type="dxa"/>
        </w:tblCellMar>
        <w:tblLook w:val="04A0" w:firstRow="1" w:lastRow="0" w:firstColumn="1" w:lastColumn="0" w:noHBand="0" w:noVBand="1"/>
      </w:tblPr>
      <w:tblGrid>
        <w:gridCol w:w="3316"/>
        <w:gridCol w:w="648"/>
        <w:gridCol w:w="648"/>
        <w:gridCol w:w="648"/>
        <w:gridCol w:w="649"/>
        <w:gridCol w:w="649"/>
        <w:gridCol w:w="649"/>
        <w:gridCol w:w="649"/>
        <w:gridCol w:w="649"/>
      </w:tblGrid>
      <w:tr w:rsidR="00F51113" w:rsidRPr="004C2DCD" w14:paraId="64D42BCB" w14:textId="77777777">
        <w:trPr>
          <w:trHeight w:val="300"/>
        </w:trPr>
        <w:tc>
          <w:tcPr>
            <w:tcW w:w="2608" w:type="dxa"/>
            <w:tcBorders>
              <w:top w:val="single" w:sz="6" w:space="0" w:color="1B556B" w:themeColor="text2"/>
              <w:left w:val="nil"/>
              <w:bottom w:val="single" w:sz="6" w:space="0" w:color="1C556C" w:themeColor="accent1"/>
              <w:right w:val="single" w:sz="6" w:space="0" w:color="1B556B" w:themeColor="text2"/>
            </w:tcBorders>
            <w:shd w:val="clear" w:color="auto" w:fill="1B556B" w:themeFill="text2"/>
            <w:hideMark/>
          </w:tcPr>
          <w:p w14:paraId="6AA019DC" w14:textId="77777777" w:rsidR="00F51113" w:rsidRPr="004C2DCD" w:rsidRDefault="00F51113">
            <w:pPr>
              <w:pStyle w:val="TableTextbold"/>
              <w:rPr>
                <w:color w:val="FFFFFF" w:themeColor="background1"/>
              </w:rPr>
            </w:pPr>
            <w:r w:rsidRPr="004C2DCD">
              <w:rPr>
                <w:color w:val="FFFFFF" w:themeColor="background1"/>
              </w:rPr>
              <w:t>Scenario </w:t>
            </w:r>
          </w:p>
        </w:tc>
        <w:tc>
          <w:tcPr>
            <w:tcW w:w="510" w:type="dxa"/>
            <w:tcBorders>
              <w:top w:val="single" w:sz="6" w:space="0" w:color="1B556B" w:themeColor="text2"/>
              <w:left w:val="single" w:sz="6" w:space="0" w:color="1B556B" w:themeColor="text2"/>
              <w:bottom w:val="single" w:sz="6" w:space="0" w:color="1C556C" w:themeColor="accent1"/>
              <w:right w:val="single" w:sz="6" w:space="0" w:color="1B556B" w:themeColor="text2"/>
            </w:tcBorders>
            <w:shd w:val="clear" w:color="auto" w:fill="1B556B" w:themeFill="text2"/>
            <w:hideMark/>
          </w:tcPr>
          <w:p w14:paraId="1B0D0B8E" w14:textId="77777777" w:rsidR="00F51113" w:rsidRPr="004C2DCD" w:rsidRDefault="00F51113">
            <w:pPr>
              <w:pStyle w:val="TableTextbold"/>
              <w:jc w:val="center"/>
              <w:rPr>
                <w:color w:val="FFFFFF" w:themeColor="background1"/>
              </w:rPr>
            </w:pPr>
            <w:r w:rsidRPr="004C2DCD">
              <w:rPr>
                <w:color w:val="FFFFFF" w:themeColor="background1"/>
              </w:rPr>
              <w:t>1990</w:t>
            </w:r>
          </w:p>
        </w:tc>
        <w:tc>
          <w:tcPr>
            <w:tcW w:w="510" w:type="dxa"/>
            <w:tcBorders>
              <w:top w:val="single" w:sz="6" w:space="0" w:color="1B556B" w:themeColor="text2"/>
              <w:left w:val="single" w:sz="6" w:space="0" w:color="1B556B" w:themeColor="text2"/>
              <w:bottom w:val="single" w:sz="6" w:space="0" w:color="1C556C" w:themeColor="accent1"/>
              <w:right w:val="single" w:sz="6" w:space="0" w:color="1B556B" w:themeColor="text2"/>
            </w:tcBorders>
            <w:shd w:val="clear" w:color="auto" w:fill="1B556B" w:themeFill="text2"/>
            <w:hideMark/>
          </w:tcPr>
          <w:p w14:paraId="5E80F903" w14:textId="77777777" w:rsidR="00F51113" w:rsidRPr="004C2DCD" w:rsidRDefault="00F51113">
            <w:pPr>
              <w:pStyle w:val="TableTextbold"/>
              <w:jc w:val="center"/>
              <w:rPr>
                <w:color w:val="FFFFFF" w:themeColor="background1"/>
              </w:rPr>
            </w:pPr>
            <w:r w:rsidRPr="004C2DCD">
              <w:rPr>
                <w:color w:val="FFFFFF" w:themeColor="background1"/>
              </w:rPr>
              <w:t>2020</w:t>
            </w:r>
          </w:p>
        </w:tc>
        <w:tc>
          <w:tcPr>
            <w:tcW w:w="510" w:type="dxa"/>
            <w:tcBorders>
              <w:top w:val="single" w:sz="6" w:space="0" w:color="1B556B" w:themeColor="text2"/>
              <w:left w:val="single" w:sz="6" w:space="0" w:color="1B556B" w:themeColor="text2"/>
              <w:bottom w:val="single" w:sz="6" w:space="0" w:color="1C556C" w:themeColor="accent1"/>
              <w:right w:val="single" w:sz="6" w:space="0" w:color="1B556B" w:themeColor="text2"/>
            </w:tcBorders>
            <w:shd w:val="clear" w:color="auto" w:fill="1B556B" w:themeFill="text2"/>
            <w:hideMark/>
          </w:tcPr>
          <w:p w14:paraId="14DDCB4C" w14:textId="77777777" w:rsidR="00F51113" w:rsidRPr="004C2DCD" w:rsidRDefault="00F51113">
            <w:pPr>
              <w:pStyle w:val="TableTextbold"/>
              <w:jc w:val="center"/>
              <w:rPr>
                <w:color w:val="FFFFFF" w:themeColor="background1"/>
              </w:rPr>
            </w:pPr>
            <w:r w:rsidRPr="004C2DCD">
              <w:rPr>
                <w:color w:val="FFFFFF" w:themeColor="background1"/>
              </w:rPr>
              <w:t>2025</w:t>
            </w:r>
          </w:p>
        </w:tc>
        <w:tc>
          <w:tcPr>
            <w:tcW w:w="510" w:type="dxa"/>
            <w:tcBorders>
              <w:top w:val="single" w:sz="6" w:space="0" w:color="1B556B" w:themeColor="text2"/>
              <w:left w:val="single" w:sz="6" w:space="0" w:color="1B556B" w:themeColor="text2"/>
              <w:bottom w:val="single" w:sz="6" w:space="0" w:color="1C556C" w:themeColor="accent1"/>
              <w:right w:val="single" w:sz="6" w:space="0" w:color="1B556B" w:themeColor="text2"/>
            </w:tcBorders>
            <w:shd w:val="clear" w:color="auto" w:fill="1B556B" w:themeFill="text2"/>
            <w:hideMark/>
          </w:tcPr>
          <w:p w14:paraId="1BCCE8F8" w14:textId="77777777" w:rsidR="00F51113" w:rsidRPr="004C2DCD" w:rsidRDefault="00F51113">
            <w:pPr>
              <w:pStyle w:val="TableTextbold"/>
              <w:jc w:val="center"/>
              <w:rPr>
                <w:color w:val="FFFFFF" w:themeColor="background1"/>
              </w:rPr>
            </w:pPr>
            <w:r w:rsidRPr="004C2DCD">
              <w:rPr>
                <w:color w:val="FFFFFF" w:themeColor="background1"/>
              </w:rPr>
              <w:t>2030</w:t>
            </w:r>
          </w:p>
        </w:tc>
        <w:tc>
          <w:tcPr>
            <w:tcW w:w="510" w:type="dxa"/>
            <w:tcBorders>
              <w:top w:val="single" w:sz="6" w:space="0" w:color="1B556B" w:themeColor="text2"/>
              <w:left w:val="single" w:sz="6" w:space="0" w:color="1B556B" w:themeColor="text2"/>
              <w:bottom w:val="single" w:sz="6" w:space="0" w:color="1C556C" w:themeColor="accent1"/>
              <w:right w:val="single" w:sz="6" w:space="0" w:color="1B556B" w:themeColor="text2"/>
            </w:tcBorders>
            <w:shd w:val="clear" w:color="auto" w:fill="1B556B" w:themeFill="text2"/>
            <w:hideMark/>
          </w:tcPr>
          <w:p w14:paraId="1F123B14" w14:textId="77777777" w:rsidR="00F51113" w:rsidRPr="004C2DCD" w:rsidRDefault="00F51113">
            <w:pPr>
              <w:pStyle w:val="TableTextbold"/>
              <w:jc w:val="center"/>
              <w:rPr>
                <w:color w:val="FFFFFF" w:themeColor="background1"/>
              </w:rPr>
            </w:pPr>
            <w:r w:rsidRPr="004C2DCD">
              <w:rPr>
                <w:color w:val="FFFFFF" w:themeColor="background1"/>
              </w:rPr>
              <w:t>2035</w:t>
            </w:r>
          </w:p>
        </w:tc>
        <w:tc>
          <w:tcPr>
            <w:tcW w:w="510" w:type="dxa"/>
            <w:tcBorders>
              <w:top w:val="single" w:sz="6" w:space="0" w:color="1B556B" w:themeColor="text2"/>
              <w:left w:val="single" w:sz="6" w:space="0" w:color="1B556B" w:themeColor="text2"/>
              <w:bottom w:val="single" w:sz="6" w:space="0" w:color="1C556C" w:themeColor="accent1"/>
              <w:right w:val="single" w:sz="6" w:space="0" w:color="1B556B" w:themeColor="text2"/>
            </w:tcBorders>
            <w:shd w:val="clear" w:color="auto" w:fill="1B556B" w:themeFill="text2"/>
            <w:hideMark/>
          </w:tcPr>
          <w:p w14:paraId="19711E99" w14:textId="77777777" w:rsidR="00F51113" w:rsidRPr="004C2DCD" w:rsidRDefault="00F51113">
            <w:pPr>
              <w:pStyle w:val="TableTextbold"/>
              <w:jc w:val="center"/>
              <w:rPr>
                <w:color w:val="FFFFFF" w:themeColor="background1"/>
              </w:rPr>
            </w:pPr>
            <w:r w:rsidRPr="004C2DCD">
              <w:rPr>
                <w:color w:val="FFFFFF" w:themeColor="background1"/>
              </w:rPr>
              <w:t>2040</w:t>
            </w:r>
          </w:p>
        </w:tc>
        <w:tc>
          <w:tcPr>
            <w:tcW w:w="510" w:type="dxa"/>
            <w:tcBorders>
              <w:top w:val="single" w:sz="6" w:space="0" w:color="1B556B" w:themeColor="text2"/>
              <w:left w:val="single" w:sz="6" w:space="0" w:color="1B556B" w:themeColor="text2"/>
              <w:bottom w:val="single" w:sz="6" w:space="0" w:color="1C556C" w:themeColor="accent1"/>
              <w:right w:val="single" w:sz="6" w:space="0" w:color="1B556B" w:themeColor="text2"/>
            </w:tcBorders>
            <w:shd w:val="clear" w:color="auto" w:fill="1B556B" w:themeFill="text2"/>
            <w:hideMark/>
          </w:tcPr>
          <w:p w14:paraId="23AF8D21" w14:textId="77777777" w:rsidR="00F51113" w:rsidRPr="004C2DCD" w:rsidRDefault="00F51113">
            <w:pPr>
              <w:pStyle w:val="TableTextbold"/>
              <w:jc w:val="center"/>
              <w:rPr>
                <w:color w:val="FFFFFF" w:themeColor="background1"/>
              </w:rPr>
            </w:pPr>
            <w:r w:rsidRPr="004C2DCD">
              <w:rPr>
                <w:color w:val="FFFFFF" w:themeColor="background1"/>
              </w:rPr>
              <w:t>2045</w:t>
            </w:r>
          </w:p>
        </w:tc>
        <w:tc>
          <w:tcPr>
            <w:tcW w:w="510" w:type="dxa"/>
            <w:tcBorders>
              <w:top w:val="single" w:sz="6" w:space="0" w:color="1B556B" w:themeColor="text2"/>
              <w:left w:val="single" w:sz="6" w:space="0" w:color="1B556B" w:themeColor="text2"/>
              <w:bottom w:val="single" w:sz="6" w:space="0" w:color="1C556C" w:themeColor="accent1"/>
              <w:right w:val="nil"/>
            </w:tcBorders>
            <w:shd w:val="clear" w:color="auto" w:fill="1B556B" w:themeFill="text2"/>
            <w:hideMark/>
          </w:tcPr>
          <w:p w14:paraId="20C5F1A6" w14:textId="77777777" w:rsidR="00F51113" w:rsidRPr="004C2DCD" w:rsidRDefault="00F51113">
            <w:pPr>
              <w:pStyle w:val="TableTextbold"/>
              <w:jc w:val="center"/>
              <w:rPr>
                <w:color w:val="FFFFFF" w:themeColor="background1"/>
              </w:rPr>
            </w:pPr>
            <w:r w:rsidRPr="004C2DCD">
              <w:rPr>
                <w:color w:val="FFFFFF" w:themeColor="background1"/>
              </w:rPr>
              <w:t>2050</w:t>
            </w:r>
          </w:p>
        </w:tc>
      </w:tr>
      <w:tr w:rsidR="00F51113" w:rsidRPr="004C2DCD" w14:paraId="72451ACF" w14:textId="77777777">
        <w:trPr>
          <w:trHeight w:val="300"/>
        </w:trPr>
        <w:tc>
          <w:tcPr>
            <w:tcW w:w="2608" w:type="dxa"/>
            <w:tcBorders>
              <w:top w:val="single" w:sz="6" w:space="0" w:color="1C556C" w:themeColor="accent1"/>
              <w:left w:val="nil"/>
              <w:bottom w:val="single" w:sz="6" w:space="0" w:color="1C556C" w:themeColor="accent1"/>
              <w:right w:val="single" w:sz="6" w:space="0" w:color="1B556B" w:themeColor="text2"/>
            </w:tcBorders>
            <w:vAlign w:val="bottom"/>
            <w:hideMark/>
          </w:tcPr>
          <w:p w14:paraId="3AA0F751" w14:textId="77777777" w:rsidR="00F51113" w:rsidRPr="004C2DCD" w:rsidRDefault="00F51113">
            <w:pPr>
              <w:pStyle w:val="TableText"/>
            </w:pPr>
            <w:r w:rsidRPr="004C2DCD">
              <w:t>Lower removals (high-emissions scenario)</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vAlign w:val="bottom"/>
            <w:hideMark/>
          </w:tcPr>
          <w:p w14:paraId="4C3CBFD5" w14:textId="77777777" w:rsidR="00F51113" w:rsidRPr="004C2DCD" w:rsidRDefault="00F51113">
            <w:pPr>
              <w:pStyle w:val="TableText"/>
              <w:jc w:val="center"/>
            </w:pPr>
            <w:r w:rsidRPr="004C2DCD">
              <w:t>–24.3</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vAlign w:val="bottom"/>
            <w:hideMark/>
          </w:tcPr>
          <w:p w14:paraId="51982D50" w14:textId="77777777" w:rsidR="00F51113" w:rsidRPr="004C2DCD" w:rsidRDefault="00F51113">
            <w:pPr>
              <w:pStyle w:val="TableText"/>
              <w:jc w:val="center"/>
            </w:pPr>
            <w:r w:rsidRPr="004C2DCD">
              <w:t>–21.1</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shd w:val="clear" w:color="auto" w:fill="D2DDE1" w:themeFill="background2"/>
            <w:vAlign w:val="bottom"/>
            <w:hideMark/>
          </w:tcPr>
          <w:p w14:paraId="560F3538" w14:textId="77777777" w:rsidR="00F51113" w:rsidRPr="004C2DCD" w:rsidRDefault="00F51113">
            <w:pPr>
              <w:pStyle w:val="TableText"/>
              <w:jc w:val="center"/>
            </w:pPr>
            <w:r w:rsidRPr="004C2DCD">
              <w:t>–6.3</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shd w:val="clear" w:color="auto" w:fill="D2DDE1" w:themeFill="background2"/>
            <w:vAlign w:val="bottom"/>
            <w:hideMark/>
          </w:tcPr>
          <w:p w14:paraId="20799969" w14:textId="77777777" w:rsidR="00F51113" w:rsidRPr="004C2DCD" w:rsidRDefault="00F51113">
            <w:pPr>
              <w:pStyle w:val="TableText"/>
              <w:jc w:val="center"/>
            </w:pPr>
            <w:r w:rsidRPr="004C2DCD">
              <w:t>–9.2</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shd w:val="clear" w:color="auto" w:fill="D2DDE1" w:themeFill="background2"/>
            <w:vAlign w:val="bottom"/>
            <w:hideMark/>
          </w:tcPr>
          <w:p w14:paraId="73FF127B" w14:textId="77777777" w:rsidR="00F51113" w:rsidRPr="004C2DCD" w:rsidRDefault="00F51113">
            <w:pPr>
              <w:pStyle w:val="TableText"/>
              <w:jc w:val="center"/>
            </w:pPr>
            <w:r w:rsidRPr="004C2DCD">
              <w:t>–18.0</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shd w:val="clear" w:color="auto" w:fill="D2DDE1" w:themeFill="background2"/>
            <w:vAlign w:val="bottom"/>
            <w:hideMark/>
          </w:tcPr>
          <w:p w14:paraId="1B74E183" w14:textId="77777777" w:rsidR="00F51113" w:rsidRPr="004C2DCD" w:rsidRDefault="00F51113">
            <w:pPr>
              <w:pStyle w:val="TableText"/>
              <w:jc w:val="center"/>
            </w:pPr>
            <w:r w:rsidRPr="004C2DCD">
              <w:t>–10.8</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shd w:val="clear" w:color="auto" w:fill="D2DDE1" w:themeFill="background2"/>
            <w:vAlign w:val="bottom"/>
            <w:hideMark/>
          </w:tcPr>
          <w:p w14:paraId="6DFC168F" w14:textId="77777777" w:rsidR="00F51113" w:rsidRPr="004C2DCD" w:rsidRDefault="00F51113">
            <w:pPr>
              <w:pStyle w:val="TableText"/>
              <w:jc w:val="center"/>
            </w:pPr>
            <w:r w:rsidRPr="004C2DCD">
              <w:t>–16.6</w:t>
            </w:r>
          </w:p>
        </w:tc>
        <w:tc>
          <w:tcPr>
            <w:tcW w:w="510" w:type="dxa"/>
            <w:tcBorders>
              <w:top w:val="single" w:sz="6" w:space="0" w:color="1C556C" w:themeColor="accent1"/>
              <w:left w:val="single" w:sz="6" w:space="0" w:color="1B556B" w:themeColor="text2"/>
              <w:bottom w:val="single" w:sz="6" w:space="0" w:color="1C556C" w:themeColor="accent1"/>
              <w:right w:val="nil"/>
            </w:tcBorders>
            <w:shd w:val="clear" w:color="auto" w:fill="D2DDE1" w:themeFill="background2"/>
            <w:vAlign w:val="bottom"/>
            <w:hideMark/>
          </w:tcPr>
          <w:p w14:paraId="7AFA6016" w14:textId="77777777" w:rsidR="00F51113" w:rsidRPr="004C2DCD" w:rsidRDefault="00F51113">
            <w:pPr>
              <w:pStyle w:val="TableText"/>
              <w:jc w:val="center"/>
            </w:pPr>
            <w:r w:rsidRPr="004C2DCD">
              <w:t>–15.7</w:t>
            </w:r>
          </w:p>
        </w:tc>
      </w:tr>
      <w:tr w:rsidR="00F51113" w:rsidRPr="004C2DCD" w14:paraId="1555EA32" w14:textId="77777777">
        <w:trPr>
          <w:trHeight w:val="300"/>
        </w:trPr>
        <w:tc>
          <w:tcPr>
            <w:tcW w:w="2608" w:type="dxa"/>
            <w:tcBorders>
              <w:top w:val="single" w:sz="6" w:space="0" w:color="1C556C" w:themeColor="accent1"/>
              <w:left w:val="nil"/>
              <w:bottom w:val="single" w:sz="6" w:space="0" w:color="1C556C" w:themeColor="accent1"/>
              <w:right w:val="single" w:sz="6" w:space="0" w:color="1B556B" w:themeColor="text2"/>
            </w:tcBorders>
            <w:vAlign w:val="bottom"/>
            <w:hideMark/>
          </w:tcPr>
          <w:p w14:paraId="602269EA" w14:textId="77777777" w:rsidR="00F51113" w:rsidRPr="004C2DCD" w:rsidRDefault="00F51113">
            <w:pPr>
              <w:pStyle w:val="TableText"/>
            </w:pPr>
            <w:r w:rsidRPr="004C2DCD">
              <w:t>With existing measures</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vAlign w:val="bottom"/>
            <w:hideMark/>
          </w:tcPr>
          <w:p w14:paraId="23461372" w14:textId="77777777" w:rsidR="00F51113" w:rsidRPr="004C2DCD" w:rsidRDefault="00F51113">
            <w:pPr>
              <w:pStyle w:val="TableText"/>
              <w:jc w:val="center"/>
            </w:pPr>
            <w:r w:rsidRPr="004C2DCD">
              <w:t>–24.3</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vAlign w:val="bottom"/>
            <w:hideMark/>
          </w:tcPr>
          <w:p w14:paraId="5264C34C" w14:textId="77777777" w:rsidR="00F51113" w:rsidRPr="004C2DCD" w:rsidRDefault="00F51113">
            <w:pPr>
              <w:pStyle w:val="TableText"/>
              <w:jc w:val="center"/>
            </w:pPr>
            <w:r w:rsidRPr="004C2DCD">
              <w:t>–21.1</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shd w:val="clear" w:color="auto" w:fill="D2DDE1" w:themeFill="background2"/>
            <w:vAlign w:val="bottom"/>
            <w:hideMark/>
          </w:tcPr>
          <w:p w14:paraId="7EA50E00" w14:textId="77777777" w:rsidR="00F51113" w:rsidRPr="004C2DCD" w:rsidRDefault="00F51113">
            <w:pPr>
              <w:pStyle w:val="TableText"/>
              <w:jc w:val="center"/>
            </w:pPr>
            <w:r w:rsidRPr="004C2DCD">
              <w:t>–12.2</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shd w:val="clear" w:color="auto" w:fill="D2DDE1" w:themeFill="background2"/>
            <w:vAlign w:val="bottom"/>
            <w:hideMark/>
          </w:tcPr>
          <w:p w14:paraId="1D171C93" w14:textId="77777777" w:rsidR="00F51113" w:rsidRPr="004C2DCD" w:rsidRDefault="00F51113">
            <w:pPr>
              <w:pStyle w:val="TableText"/>
              <w:jc w:val="center"/>
            </w:pPr>
            <w:r w:rsidRPr="004C2DCD">
              <w:t>–17.0</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shd w:val="clear" w:color="auto" w:fill="D2DDE1" w:themeFill="background2"/>
            <w:vAlign w:val="bottom"/>
            <w:hideMark/>
          </w:tcPr>
          <w:p w14:paraId="1AAFEF93" w14:textId="77777777" w:rsidR="00F51113" w:rsidRPr="004C2DCD" w:rsidRDefault="00F51113">
            <w:pPr>
              <w:pStyle w:val="TableText"/>
              <w:jc w:val="center"/>
            </w:pPr>
            <w:r w:rsidRPr="004C2DCD">
              <w:t>–27.4</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shd w:val="clear" w:color="auto" w:fill="D2DDE1" w:themeFill="background2"/>
            <w:vAlign w:val="bottom"/>
            <w:hideMark/>
          </w:tcPr>
          <w:p w14:paraId="6A868868" w14:textId="77777777" w:rsidR="00F51113" w:rsidRPr="004C2DCD" w:rsidRDefault="00F51113">
            <w:pPr>
              <w:pStyle w:val="TableText"/>
              <w:jc w:val="center"/>
            </w:pPr>
            <w:r w:rsidRPr="004C2DCD">
              <w:t>–20.4</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shd w:val="clear" w:color="auto" w:fill="D2DDE1" w:themeFill="background2"/>
            <w:vAlign w:val="bottom"/>
            <w:hideMark/>
          </w:tcPr>
          <w:p w14:paraId="462BEBDA" w14:textId="77777777" w:rsidR="00F51113" w:rsidRPr="004C2DCD" w:rsidRDefault="00F51113">
            <w:pPr>
              <w:pStyle w:val="TableText"/>
              <w:jc w:val="center"/>
            </w:pPr>
            <w:r w:rsidRPr="004C2DCD">
              <w:t>–27.9</w:t>
            </w:r>
          </w:p>
        </w:tc>
        <w:tc>
          <w:tcPr>
            <w:tcW w:w="510" w:type="dxa"/>
            <w:tcBorders>
              <w:top w:val="single" w:sz="6" w:space="0" w:color="1C556C" w:themeColor="accent1"/>
              <w:left w:val="single" w:sz="6" w:space="0" w:color="1B556B" w:themeColor="text2"/>
              <w:bottom w:val="single" w:sz="6" w:space="0" w:color="1C556C" w:themeColor="accent1"/>
              <w:right w:val="nil"/>
            </w:tcBorders>
            <w:shd w:val="clear" w:color="auto" w:fill="D2DDE1" w:themeFill="background2"/>
            <w:vAlign w:val="bottom"/>
            <w:hideMark/>
          </w:tcPr>
          <w:p w14:paraId="1E03DD85" w14:textId="77777777" w:rsidR="00F51113" w:rsidRPr="004C2DCD" w:rsidRDefault="00F51113">
            <w:pPr>
              <w:pStyle w:val="TableText"/>
              <w:jc w:val="center"/>
            </w:pPr>
            <w:r w:rsidRPr="004C2DCD">
              <w:t>–28.9</w:t>
            </w:r>
          </w:p>
        </w:tc>
      </w:tr>
      <w:tr w:rsidR="00F51113" w:rsidRPr="004C2DCD" w14:paraId="76AC810C" w14:textId="77777777">
        <w:trPr>
          <w:trHeight w:val="300"/>
        </w:trPr>
        <w:tc>
          <w:tcPr>
            <w:tcW w:w="2608" w:type="dxa"/>
            <w:tcBorders>
              <w:top w:val="single" w:sz="6" w:space="0" w:color="1C556C" w:themeColor="accent1"/>
              <w:left w:val="nil"/>
              <w:bottom w:val="single" w:sz="6" w:space="0" w:color="1C556C" w:themeColor="accent1"/>
              <w:right w:val="single" w:sz="6" w:space="0" w:color="1B556B" w:themeColor="text2"/>
            </w:tcBorders>
            <w:vAlign w:val="bottom"/>
            <w:hideMark/>
          </w:tcPr>
          <w:p w14:paraId="1C064074" w14:textId="77777777" w:rsidR="00F51113" w:rsidRPr="004C2DCD" w:rsidRDefault="00F51113">
            <w:pPr>
              <w:pStyle w:val="TableText"/>
            </w:pPr>
            <w:r w:rsidRPr="004C2DCD">
              <w:t>Upper removals (low-emissions scenario)</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vAlign w:val="bottom"/>
            <w:hideMark/>
          </w:tcPr>
          <w:p w14:paraId="36E37623" w14:textId="77777777" w:rsidR="00F51113" w:rsidRPr="004C2DCD" w:rsidRDefault="00F51113">
            <w:pPr>
              <w:pStyle w:val="TableText"/>
              <w:jc w:val="center"/>
            </w:pPr>
            <w:r w:rsidRPr="004C2DCD">
              <w:t>–24.3</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vAlign w:val="bottom"/>
            <w:hideMark/>
          </w:tcPr>
          <w:p w14:paraId="4F37E7F1" w14:textId="77777777" w:rsidR="00F51113" w:rsidRPr="004C2DCD" w:rsidRDefault="00F51113">
            <w:pPr>
              <w:pStyle w:val="TableText"/>
              <w:jc w:val="center"/>
            </w:pPr>
            <w:r w:rsidRPr="004C2DCD">
              <w:t>–21.1</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shd w:val="clear" w:color="auto" w:fill="D2DDE1" w:themeFill="background2"/>
            <w:vAlign w:val="bottom"/>
            <w:hideMark/>
          </w:tcPr>
          <w:p w14:paraId="2EC9F07A" w14:textId="77777777" w:rsidR="00F51113" w:rsidRPr="004C2DCD" w:rsidRDefault="00F51113">
            <w:pPr>
              <w:pStyle w:val="TableText"/>
              <w:jc w:val="center"/>
            </w:pPr>
            <w:r w:rsidRPr="004C2DCD">
              <w:t>–17.4</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shd w:val="clear" w:color="auto" w:fill="D2DDE1" w:themeFill="background2"/>
            <w:vAlign w:val="bottom"/>
            <w:hideMark/>
          </w:tcPr>
          <w:p w14:paraId="141B4FB1" w14:textId="77777777" w:rsidR="00F51113" w:rsidRPr="004C2DCD" w:rsidRDefault="00F51113">
            <w:pPr>
              <w:pStyle w:val="TableText"/>
              <w:jc w:val="center"/>
            </w:pPr>
            <w:r w:rsidRPr="004C2DCD">
              <w:t>–23.5</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shd w:val="clear" w:color="auto" w:fill="D2DDE1" w:themeFill="background2"/>
            <w:vAlign w:val="bottom"/>
            <w:hideMark/>
          </w:tcPr>
          <w:p w14:paraId="76CCE4D5" w14:textId="77777777" w:rsidR="00F51113" w:rsidRPr="004C2DCD" w:rsidRDefault="00F51113">
            <w:pPr>
              <w:pStyle w:val="TableText"/>
              <w:jc w:val="center"/>
            </w:pPr>
            <w:r w:rsidRPr="004C2DCD">
              <w:t>–34.7</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shd w:val="clear" w:color="auto" w:fill="D2DDE1" w:themeFill="background2"/>
            <w:vAlign w:val="bottom"/>
            <w:hideMark/>
          </w:tcPr>
          <w:p w14:paraId="2D73ADAD" w14:textId="77777777" w:rsidR="00F51113" w:rsidRPr="004C2DCD" w:rsidRDefault="00F51113">
            <w:pPr>
              <w:pStyle w:val="TableText"/>
              <w:jc w:val="center"/>
            </w:pPr>
            <w:r w:rsidRPr="004C2DCD">
              <w:t>–29.0</w:t>
            </w:r>
          </w:p>
        </w:tc>
        <w:tc>
          <w:tcPr>
            <w:tcW w:w="510" w:type="dxa"/>
            <w:tcBorders>
              <w:top w:val="single" w:sz="6" w:space="0" w:color="1C556C" w:themeColor="accent1"/>
              <w:left w:val="single" w:sz="6" w:space="0" w:color="1B556B" w:themeColor="text2"/>
              <w:bottom w:val="single" w:sz="6" w:space="0" w:color="1C556C" w:themeColor="accent1"/>
              <w:right w:val="single" w:sz="6" w:space="0" w:color="1B556B" w:themeColor="text2"/>
            </w:tcBorders>
            <w:shd w:val="clear" w:color="auto" w:fill="D2DDE1" w:themeFill="background2"/>
            <w:vAlign w:val="bottom"/>
            <w:hideMark/>
          </w:tcPr>
          <w:p w14:paraId="49DA87B6" w14:textId="77777777" w:rsidR="00F51113" w:rsidRPr="004C2DCD" w:rsidRDefault="00F51113">
            <w:pPr>
              <w:pStyle w:val="TableText"/>
              <w:jc w:val="center"/>
            </w:pPr>
            <w:r w:rsidRPr="004C2DCD">
              <w:t>–38.0</w:t>
            </w:r>
          </w:p>
        </w:tc>
        <w:tc>
          <w:tcPr>
            <w:tcW w:w="510" w:type="dxa"/>
            <w:tcBorders>
              <w:top w:val="single" w:sz="6" w:space="0" w:color="1C556C" w:themeColor="accent1"/>
              <w:left w:val="single" w:sz="6" w:space="0" w:color="1B556B" w:themeColor="text2"/>
              <w:bottom w:val="single" w:sz="6" w:space="0" w:color="1C556C" w:themeColor="accent1"/>
              <w:right w:val="nil"/>
            </w:tcBorders>
            <w:shd w:val="clear" w:color="auto" w:fill="D2DDE1" w:themeFill="background2"/>
            <w:vAlign w:val="bottom"/>
            <w:hideMark/>
          </w:tcPr>
          <w:p w14:paraId="5F951DFE" w14:textId="77777777" w:rsidR="00F51113" w:rsidRPr="004C2DCD" w:rsidRDefault="00F51113">
            <w:pPr>
              <w:pStyle w:val="TableText"/>
              <w:jc w:val="center"/>
            </w:pPr>
            <w:r w:rsidRPr="004C2DCD">
              <w:t>–40.7</w:t>
            </w:r>
          </w:p>
        </w:tc>
      </w:tr>
    </w:tbl>
    <w:p w14:paraId="52DF9927" w14:textId="77777777" w:rsidR="00F51113" w:rsidRPr="004C2DCD" w:rsidRDefault="00F51113" w:rsidP="00F51113">
      <w:pPr>
        <w:pStyle w:val="BodyText"/>
        <w:spacing w:before="0" w:after="0"/>
      </w:pPr>
    </w:p>
    <w:p w14:paraId="6703474E" w14:textId="77777777" w:rsidR="00F51113" w:rsidRPr="004C2DCD" w:rsidRDefault="00F51113" w:rsidP="00AF10D1">
      <w:pPr>
        <w:pStyle w:val="Figureheading"/>
        <w:ind w:left="1276" w:hanging="1276"/>
      </w:pPr>
      <w:bookmarkStart w:id="656" w:name="_Toc185347264"/>
      <w:r w:rsidRPr="004C2DCD">
        <w:t xml:space="preserve">Figure 2.5.20: </w:t>
      </w:r>
      <w:r w:rsidRPr="004C2DCD">
        <w:tab/>
        <w:t>Projected net LULUCF removals under ‘with existing measures’, lower removals and upper removals scenarios, 1990–2050</w:t>
      </w:r>
      <w:bookmarkEnd w:id="656"/>
      <w:r w:rsidRPr="004C2DCD">
        <w:t xml:space="preserve"> </w:t>
      </w:r>
    </w:p>
    <w:p w14:paraId="606B6F01" w14:textId="5BD00F33" w:rsidR="00F51113" w:rsidRPr="004C2DCD" w:rsidRDefault="00D513C4" w:rsidP="00642E32">
      <w:pPr>
        <w:pStyle w:val="Note"/>
      </w:pPr>
      <w:r>
        <w:rPr>
          <w:noProof/>
        </w:rPr>
        <w:drawing>
          <wp:inline distT="0" distB="0" distL="0" distR="0" wp14:anchorId="10BBADB4" wp14:editId="6C937657">
            <wp:extent cx="5496235" cy="3128963"/>
            <wp:effectExtent l="0" t="0" r="0" b="0"/>
            <wp:docPr id="133626208" name="Picture 45" descr="A line graph showing projected net removals in million tonnes carbon dioxide equivalent in the Land-Use, Land-Use Change and Forestry Sector under ‘with existing measures’, lower removals and upper removals scenarios for the period 1990 to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6208" name="Picture 45" descr="A line graph showing projected net removals in million tonnes carbon dioxide equivalent in the Land-Use, Land-Use Change and Forestry Sector under ‘with existing measures’, lower removals and upper removals scenarios for the period 1990 to 205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11872" cy="3137865"/>
                    </a:xfrm>
                    <a:prstGeom prst="rect">
                      <a:avLst/>
                    </a:prstGeom>
                    <a:noFill/>
                  </pic:spPr>
                </pic:pic>
              </a:graphicData>
            </a:graphic>
          </wp:inline>
        </w:drawing>
      </w:r>
      <w:r w:rsidR="00F51113" w:rsidRPr="004C2DCD">
        <w:rPr>
          <w:b/>
          <w:bCs/>
        </w:rPr>
        <w:t>Note:</w:t>
      </w:r>
      <w:r w:rsidR="00F51113" w:rsidRPr="004C2DCD">
        <w:t xml:space="preserve"> LULUCF = </w:t>
      </w:r>
      <w:r w:rsidR="00B67BC9">
        <w:t>Land Use, Land-Use Change and Forestry</w:t>
      </w:r>
      <w:r w:rsidR="00F51113" w:rsidRPr="004C2DCD">
        <w:t>; Mt CO</w:t>
      </w:r>
      <w:r w:rsidR="00F51113" w:rsidRPr="004C2DCD">
        <w:rPr>
          <w:vertAlign w:val="subscript"/>
        </w:rPr>
        <w:t>2</w:t>
      </w:r>
      <w:r w:rsidR="00F51113" w:rsidRPr="004C2DCD">
        <w:t>e =</w:t>
      </w:r>
      <w:r w:rsidR="00F51113" w:rsidRPr="004C2DCD">
        <w:rPr>
          <w:b/>
          <w:bCs/>
        </w:rPr>
        <w:t xml:space="preserve"> </w:t>
      </w:r>
      <w:r w:rsidR="00F51113" w:rsidRPr="004C2DCD">
        <w:t>million tonnes of carbon dioxide equivalent.</w:t>
      </w:r>
    </w:p>
    <w:p w14:paraId="148E6F74" w14:textId="77777777" w:rsidR="00F51113" w:rsidRPr="004C2DCD" w:rsidRDefault="00F51113" w:rsidP="00784F5F">
      <w:pPr>
        <w:pStyle w:val="Heading2"/>
        <w:numPr>
          <w:ilvl w:val="0"/>
          <w:numId w:val="109"/>
        </w:numPr>
      </w:pPr>
      <w:bookmarkStart w:id="657" w:name="section257"/>
      <w:bookmarkStart w:id="658" w:name="_Toc184825529"/>
      <w:bookmarkEnd w:id="657"/>
      <w:r w:rsidRPr="004C2DCD">
        <w:t>‘Without measures’ scenario</w:t>
      </w:r>
      <w:bookmarkEnd w:id="658"/>
      <w:r w:rsidRPr="004C2DCD">
        <w:t xml:space="preserve"> </w:t>
      </w:r>
    </w:p>
    <w:p w14:paraId="375672CF" w14:textId="77777777" w:rsidR="00F51113" w:rsidRPr="004C2DCD" w:rsidRDefault="00F51113" w:rsidP="009B131C">
      <w:pPr>
        <w:pStyle w:val="Heading3"/>
        <w:numPr>
          <w:ilvl w:val="0"/>
          <w:numId w:val="115"/>
        </w:numPr>
        <w:tabs>
          <w:tab w:val="num" w:pos="1134"/>
        </w:tabs>
        <w:ind w:left="1134" w:hanging="1134"/>
      </w:pPr>
      <w:r w:rsidRPr="004C2DCD">
        <w:t>Projected gross and net greenhouse gas emissions and removals, under the ‘without measures’ scenario</w:t>
      </w:r>
    </w:p>
    <w:p w14:paraId="0A7F357C" w14:textId="01504790" w:rsidR="00F51113" w:rsidRPr="004C2DCD" w:rsidRDefault="00F51113" w:rsidP="00F51113">
      <w:pPr>
        <w:pStyle w:val="BodyText"/>
      </w:pPr>
      <w:r w:rsidRPr="004C2DCD">
        <w:t xml:space="preserve">New Zealand’s historical and projected gross GHG emissions for the WOM scenario are shown in </w:t>
      </w:r>
      <w:hyperlink w:anchor="figure2521" w:history="1">
        <w:r w:rsidRPr="009F7161">
          <w:rPr>
            <w:rStyle w:val="Hyperlink"/>
          </w:rPr>
          <w:t>figure 2.5.21</w:t>
        </w:r>
      </w:hyperlink>
      <w:r w:rsidRPr="004C2DCD">
        <w:rPr>
          <w:rStyle w:val="FootnoteReference"/>
        </w:rPr>
        <w:footnoteReference w:id="201"/>
      </w:r>
      <w:r w:rsidRPr="004C2DCD">
        <w:t xml:space="preserve"> and the WOM scenario is defined in </w:t>
      </w:r>
      <w:hyperlink w:anchor="table2523" w:history="1">
        <w:r w:rsidRPr="009F7161">
          <w:rPr>
            <w:rStyle w:val="Hyperlink"/>
          </w:rPr>
          <w:t>table 2.5.23</w:t>
        </w:r>
      </w:hyperlink>
      <w:r w:rsidRPr="004C2DCD">
        <w:t>. The WOM scenario is calculated using sector-based modelling methods only and does not employ the ENZ model. ENZ was not used to produce the WOM scenario due to time constraints between producing the WEM projections for this section and adding new functionality to the ENZ model to hindcast emissions for the WOM scenario. Comparisons between the WEM and WOM projections should consider differences in WEM and WOM modelling methodologies, because WEM and WOM differences may also reflect methodological impacts in addition to the impact of policies and measures in the WEM scenario.</w:t>
      </w:r>
    </w:p>
    <w:p w14:paraId="4D33980F" w14:textId="77777777" w:rsidR="00F51113" w:rsidRPr="004C2DCD" w:rsidRDefault="00F51113" w:rsidP="00F51113">
      <w:pPr>
        <w:pStyle w:val="Tableheading"/>
        <w:ind w:left="1276" w:hanging="1276"/>
      </w:pPr>
      <w:bookmarkStart w:id="659" w:name="table2523"/>
      <w:bookmarkStart w:id="660" w:name="_Toc183789724"/>
      <w:bookmarkStart w:id="661" w:name="_Toc185407488"/>
      <w:bookmarkStart w:id="662" w:name="_Toc185427751"/>
      <w:r w:rsidRPr="004C2DCD">
        <w:t>Table 2.5.23</w:t>
      </w:r>
      <w:bookmarkEnd w:id="659"/>
      <w:r w:rsidRPr="004C2DCD">
        <w:t>:</w:t>
      </w:r>
      <w:r w:rsidRPr="004C2DCD">
        <w:tab/>
        <w:t>Description of ‘without measures’ scenario</w:t>
      </w:r>
      <w:bookmarkEnd w:id="661"/>
      <w:bookmarkEnd w:id="662"/>
      <w:r w:rsidRPr="004C2DCD">
        <w:t xml:space="preserve"> </w:t>
      </w:r>
      <w:bookmarkEnd w:id="660"/>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ayout w:type="fixed"/>
        <w:tblCellMar>
          <w:left w:w="85" w:type="dxa"/>
          <w:right w:w="85" w:type="dxa"/>
        </w:tblCellMar>
        <w:tblLook w:val="04A0" w:firstRow="1" w:lastRow="0" w:firstColumn="1" w:lastColumn="0" w:noHBand="0" w:noVBand="1"/>
      </w:tblPr>
      <w:tblGrid>
        <w:gridCol w:w="1560"/>
        <w:gridCol w:w="2693"/>
        <w:gridCol w:w="4252"/>
      </w:tblGrid>
      <w:tr w:rsidR="00F51113" w:rsidRPr="004C2DCD" w14:paraId="6D5FB4AE" w14:textId="77777777">
        <w:trPr>
          <w:tblHeader/>
        </w:trPr>
        <w:tc>
          <w:tcPr>
            <w:tcW w:w="1560" w:type="dxa"/>
            <w:tcBorders>
              <w:right w:val="nil"/>
            </w:tcBorders>
            <w:shd w:val="clear" w:color="auto" w:fill="1B556B" w:themeFill="text2"/>
          </w:tcPr>
          <w:p w14:paraId="4F5D5243" w14:textId="77777777" w:rsidR="00F51113" w:rsidRPr="004C2DCD" w:rsidRDefault="00F51113">
            <w:pPr>
              <w:pStyle w:val="TableTextbold"/>
              <w:spacing w:before="40" w:after="40"/>
              <w:rPr>
                <w:color w:val="FFFFFF" w:themeColor="background1"/>
              </w:rPr>
            </w:pPr>
            <w:r w:rsidRPr="004C2DCD">
              <w:rPr>
                <w:color w:val="FFFFFF" w:themeColor="background1"/>
              </w:rPr>
              <w:t>Scenario</w:t>
            </w:r>
          </w:p>
        </w:tc>
        <w:tc>
          <w:tcPr>
            <w:tcW w:w="2693" w:type="dxa"/>
            <w:tcBorders>
              <w:left w:val="nil"/>
              <w:right w:val="nil"/>
            </w:tcBorders>
            <w:shd w:val="clear" w:color="auto" w:fill="1B556B" w:themeFill="text2"/>
          </w:tcPr>
          <w:p w14:paraId="4A29B3E0" w14:textId="77777777" w:rsidR="00F51113" w:rsidRPr="004C2DCD" w:rsidRDefault="00F51113">
            <w:pPr>
              <w:pStyle w:val="TableTextbold"/>
              <w:spacing w:before="40" w:after="40"/>
              <w:rPr>
                <w:color w:val="FFFFFF" w:themeColor="background1"/>
              </w:rPr>
            </w:pPr>
            <w:r w:rsidRPr="004C2DCD">
              <w:rPr>
                <w:color w:val="FFFFFF" w:themeColor="background1"/>
              </w:rPr>
              <w:t>Description</w:t>
            </w:r>
          </w:p>
        </w:tc>
        <w:tc>
          <w:tcPr>
            <w:tcW w:w="4252" w:type="dxa"/>
            <w:tcBorders>
              <w:left w:val="nil"/>
            </w:tcBorders>
            <w:shd w:val="clear" w:color="auto" w:fill="1B556B" w:themeFill="text2"/>
          </w:tcPr>
          <w:p w14:paraId="3CE6628E" w14:textId="77777777" w:rsidR="00F51113" w:rsidRPr="004C2DCD" w:rsidRDefault="00F51113">
            <w:pPr>
              <w:pStyle w:val="TableTextbold"/>
              <w:spacing w:before="40" w:after="40"/>
              <w:rPr>
                <w:color w:val="FFFFFF" w:themeColor="background1"/>
              </w:rPr>
            </w:pPr>
            <w:r w:rsidRPr="004C2DCD">
              <w:rPr>
                <w:color w:val="FFFFFF" w:themeColor="background1"/>
              </w:rPr>
              <w:t>Notes</w:t>
            </w:r>
          </w:p>
        </w:tc>
      </w:tr>
      <w:tr w:rsidR="00F51113" w:rsidRPr="004C2DCD" w14:paraId="77797679" w14:textId="77777777">
        <w:tc>
          <w:tcPr>
            <w:tcW w:w="1560" w:type="dxa"/>
            <w:shd w:val="clear" w:color="auto" w:fill="auto"/>
          </w:tcPr>
          <w:p w14:paraId="0BA361EA" w14:textId="77777777" w:rsidR="00F51113" w:rsidRPr="004C2DCD" w:rsidRDefault="00F51113">
            <w:pPr>
              <w:pStyle w:val="TableText"/>
            </w:pPr>
            <w:r w:rsidRPr="004C2DCD">
              <w:t>Without measures scenario</w:t>
            </w:r>
          </w:p>
        </w:tc>
        <w:tc>
          <w:tcPr>
            <w:tcW w:w="2693" w:type="dxa"/>
            <w:shd w:val="clear" w:color="auto" w:fill="auto"/>
          </w:tcPr>
          <w:p w14:paraId="15EFF44D" w14:textId="77777777" w:rsidR="00F51113" w:rsidRPr="004C2DCD" w:rsidRDefault="00F51113">
            <w:pPr>
              <w:pStyle w:val="TableText"/>
            </w:pPr>
            <w:r w:rsidRPr="004C2DCD">
              <w:t>Excludes all implemented, adopted and planned policies and measures to the extent possible</w:t>
            </w:r>
          </w:p>
        </w:tc>
        <w:tc>
          <w:tcPr>
            <w:tcW w:w="4252" w:type="dxa"/>
          </w:tcPr>
          <w:p w14:paraId="317BDA7B" w14:textId="2FD440AC" w:rsidR="00F51113" w:rsidRPr="004C2DCD" w:rsidRDefault="00F51113">
            <w:pPr>
              <w:pStyle w:val="TableText"/>
            </w:pPr>
            <w:r w:rsidRPr="004C2DCD">
              <w:t>This scenario acts as a reference scenario against which with existing measures can be compared, however, without measures and with existing measures are calculated using different modelling approaches and so caution is needed when comparisons are made</w:t>
            </w:r>
          </w:p>
        </w:tc>
      </w:tr>
    </w:tbl>
    <w:p w14:paraId="09C2FF57" w14:textId="77777777" w:rsidR="00F51113" w:rsidRPr="004C2DCD" w:rsidRDefault="00F51113" w:rsidP="00F51113">
      <w:pPr>
        <w:pStyle w:val="BodyText"/>
        <w:spacing w:before="0" w:after="0"/>
      </w:pPr>
    </w:p>
    <w:p w14:paraId="18CA57FE" w14:textId="77777777" w:rsidR="00F51113" w:rsidRPr="004C2DCD" w:rsidRDefault="00F51113" w:rsidP="00AF10D1">
      <w:pPr>
        <w:pStyle w:val="Figureheading"/>
        <w:ind w:left="1276" w:hanging="1276"/>
      </w:pPr>
      <w:bookmarkStart w:id="663" w:name="figure2521"/>
      <w:bookmarkStart w:id="664" w:name="_Toc185347265"/>
      <w:r w:rsidRPr="004C2DCD">
        <w:t>Figure 2.5.21</w:t>
      </w:r>
      <w:bookmarkEnd w:id="663"/>
      <w:r w:rsidRPr="004C2DCD">
        <w:t xml:space="preserve">: </w:t>
      </w:r>
      <w:r w:rsidRPr="004C2DCD">
        <w:tab/>
        <w:t>Greenhouse gas emissions for the ‘without measures’ scenario for gross emissions (total without LULUCF), 1990–2050</w:t>
      </w:r>
      <w:bookmarkEnd w:id="664"/>
    </w:p>
    <w:p w14:paraId="489FD22C" w14:textId="12533014" w:rsidR="00F51113" w:rsidRPr="004C2DCD" w:rsidRDefault="00377049" w:rsidP="00BD2C77">
      <w:pPr>
        <w:pStyle w:val="Note"/>
      </w:pPr>
      <w:r>
        <w:rPr>
          <w:noProof/>
        </w:rPr>
        <w:drawing>
          <wp:inline distT="0" distB="0" distL="0" distR="0" wp14:anchorId="721D9560" wp14:editId="71D6DE8C">
            <wp:extent cx="5165124" cy="2752734"/>
            <wp:effectExtent l="0" t="0" r="0" b="0"/>
            <wp:docPr id="1472948432" name="Picture 46" descr="A line graph showing greenhouse gas emissions in million tonnes carbon dioxide equivalent for the ‘without measures’ scenario for gross historical and gross projected emissions (excluding the Land-Use, Land-Use Change and Forestry Sector) for the period 1990 to 205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948432" name="Picture 46" descr="A line graph showing greenhouse gas emissions in million tonnes carbon dioxide equivalent for the ‘without measures’ scenario for gross historical and gross projected emissions (excluding the Land-Use, Land-Use Change and Forestry Sector) for the period 1990 to 2050.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175454" cy="2758239"/>
                    </a:xfrm>
                    <a:prstGeom prst="rect">
                      <a:avLst/>
                    </a:prstGeom>
                    <a:noFill/>
                  </pic:spPr>
                </pic:pic>
              </a:graphicData>
            </a:graphic>
          </wp:inline>
        </w:drawing>
      </w:r>
      <w:r w:rsidR="00F51113" w:rsidRPr="004C2DCD">
        <w:rPr>
          <w:b/>
          <w:bCs/>
        </w:rPr>
        <w:t>Note:</w:t>
      </w:r>
      <w:r w:rsidR="00F51113" w:rsidRPr="004C2DCD">
        <w:t xml:space="preserve"> Mt CO</w:t>
      </w:r>
      <w:r w:rsidR="00F51113" w:rsidRPr="004C2DCD">
        <w:rPr>
          <w:vertAlign w:val="subscript"/>
        </w:rPr>
        <w:t>2</w:t>
      </w:r>
      <w:r w:rsidR="00F51113" w:rsidRPr="004C2DCD">
        <w:t>e =</w:t>
      </w:r>
      <w:r w:rsidR="00F51113" w:rsidRPr="004C2DCD">
        <w:rPr>
          <w:b/>
          <w:bCs/>
        </w:rPr>
        <w:t xml:space="preserve"> </w:t>
      </w:r>
      <w:r w:rsidR="00F51113" w:rsidRPr="004C2DCD">
        <w:t xml:space="preserve">million tonnes of carbon dioxide equivalent. </w:t>
      </w:r>
    </w:p>
    <w:p w14:paraId="364EAE1D" w14:textId="3FAB5B89" w:rsidR="00F51113" w:rsidRPr="004C2DCD" w:rsidRDefault="00F51113" w:rsidP="00F51113">
      <w:pPr>
        <w:pStyle w:val="BodyText"/>
      </w:pPr>
      <w:r w:rsidRPr="004C2DCD">
        <w:t>New Zealand’s gross emissions (not including emissions and removals from the LULUCF sector) under the WOM scenario are projected to be 78.0 Mt CO</w:t>
      </w:r>
      <w:r w:rsidRPr="004C2DCD">
        <w:rPr>
          <w:vertAlign w:val="subscript"/>
        </w:rPr>
        <w:t>2</w:t>
      </w:r>
      <w:r w:rsidRPr="004C2DCD">
        <w:t>e (13.4 per cent above 1990 levels) in 2030 and 69.0 Mt CO</w:t>
      </w:r>
      <w:r w:rsidRPr="004C2DCD">
        <w:rPr>
          <w:vertAlign w:val="subscript"/>
        </w:rPr>
        <w:t>2</w:t>
      </w:r>
      <w:r w:rsidRPr="004C2DCD">
        <w:t>e (0.3 per cent above 1990 levels) in 2050 (</w:t>
      </w:r>
      <w:hyperlink w:anchor="figure2521" w:history="1">
        <w:r w:rsidRPr="00C46442">
          <w:rPr>
            <w:rStyle w:val="Hyperlink"/>
          </w:rPr>
          <w:t>figure 2.5.21</w:t>
        </w:r>
      </w:hyperlink>
      <w:r w:rsidRPr="004C2DCD">
        <w:t xml:space="preserve">). </w:t>
      </w:r>
    </w:p>
    <w:p w14:paraId="037A56FF" w14:textId="53BCE935" w:rsidR="00F51113" w:rsidRPr="004C2DCD" w:rsidRDefault="00F51113" w:rsidP="00F51113">
      <w:pPr>
        <w:pStyle w:val="BodyText"/>
      </w:pPr>
      <w:r w:rsidRPr="004C2DCD">
        <w:t>New Zealand’s net emissions (including emissions and removals from the LULUCF sector) under the WOM scenario are projected to be 75.7 Mt CO</w:t>
      </w:r>
      <w:r w:rsidRPr="004C2DCD">
        <w:rPr>
          <w:vertAlign w:val="subscript"/>
        </w:rPr>
        <w:t>2</w:t>
      </w:r>
      <w:r w:rsidRPr="004C2DCD">
        <w:t>e (70.1 per cent above 1990 levels) in 2030 and 58.4 Mt CO</w:t>
      </w:r>
      <w:r w:rsidRPr="004C2DCD">
        <w:rPr>
          <w:vertAlign w:val="subscript"/>
        </w:rPr>
        <w:t>2</w:t>
      </w:r>
      <w:r w:rsidRPr="004C2DCD">
        <w:t>e (31.1 per cent above 1990 levels) in 2050 (</w:t>
      </w:r>
      <w:hyperlink w:anchor="figure2522" w:history="1">
        <w:r w:rsidRPr="009B7FD3">
          <w:rPr>
            <w:rStyle w:val="Hyperlink"/>
          </w:rPr>
          <w:t>figure 2.5.22</w:t>
        </w:r>
      </w:hyperlink>
      <w:r w:rsidRPr="004C2DCD">
        <w:t xml:space="preserve">). </w:t>
      </w:r>
    </w:p>
    <w:p w14:paraId="07681A8E" w14:textId="77777777" w:rsidR="00F51113" w:rsidRPr="004C2DCD" w:rsidRDefault="00F51113" w:rsidP="00AF10D1">
      <w:pPr>
        <w:pStyle w:val="Figureheading"/>
        <w:ind w:left="1276" w:hanging="1276"/>
      </w:pPr>
      <w:bookmarkStart w:id="665" w:name="figure2522"/>
      <w:bookmarkStart w:id="666" w:name="_Toc185347266"/>
      <w:r w:rsidRPr="004C2DCD">
        <w:t>Figure 2.5.22</w:t>
      </w:r>
      <w:bookmarkEnd w:id="665"/>
      <w:r w:rsidRPr="004C2DCD">
        <w:t xml:space="preserve">: </w:t>
      </w:r>
      <w:r w:rsidRPr="004C2DCD">
        <w:tab/>
        <w:t>Greenhouse gas emissions for the ‘without measures’ scenario for net emissions (total with LULUCF), 1990–2050</w:t>
      </w:r>
      <w:bookmarkEnd w:id="666"/>
    </w:p>
    <w:p w14:paraId="718B7BE5" w14:textId="77777777" w:rsidR="00A95495" w:rsidRDefault="00736361" w:rsidP="00642E32">
      <w:pPr>
        <w:pStyle w:val="Note"/>
        <w:jc w:val="center"/>
        <w:rPr>
          <w:b/>
          <w:bCs/>
        </w:rPr>
      </w:pPr>
      <w:r>
        <w:rPr>
          <w:noProof/>
        </w:rPr>
        <w:drawing>
          <wp:inline distT="0" distB="0" distL="0" distR="0" wp14:anchorId="13C1BB9E" wp14:editId="5AF49F3B">
            <wp:extent cx="5040000" cy="2682058"/>
            <wp:effectExtent l="0" t="0" r="8255" b="4445"/>
            <wp:docPr id="1645441385" name="Picture 47" descr="A line graph showing greenhouse gas emissions in million tonnes carbon dioxide equivalent for the ‘without measures’ scenario for net historical and net projected emissions (excluding the Land-Use, Land-Use Change and Forestry Sector) for the period 1990 to 205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41385" name="Picture 47" descr="A line graph showing greenhouse gas emissions in million tonnes carbon dioxide equivalent for the ‘without measures’ scenario for net historical and net projected emissions (excluding the Land-Use, Land-Use Change and Forestry Sector) for the period 1990 to 2050.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40000" cy="2682058"/>
                    </a:xfrm>
                    <a:prstGeom prst="rect">
                      <a:avLst/>
                    </a:prstGeom>
                    <a:noFill/>
                  </pic:spPr>
                </pic:pic>
              </a:graphicData>
            </a:graphic>
          </wp:inline>
        </w:drawing>
      </w:r>
    </w:p>
    <w:p w14:paraId="13139670" w14:textId="2FABEC0D" w:rsidR="00F51113" w:rsidRPr="004C2DCD" w:rsidRDefault="00F51113" w:rsidP="00A95495">
      <w:pPr>
        <w:pStyle w:val="Note"/>
      </w:pPr>
      <w:r w:rsidRPr="004C2DCD">
        <w:rPr>
          <w:b/>
          <w:bCs/>
        </w:rPr>
        <w:t>Note:</w:t>
      </w:r>
      <w:r w:rsidRPr="004C2DCD">
        <w:t xml:space="preserve"> Mt CO</w:t>
      </w:r>
      <w:r w:rsidRPr="004C2DCD">
        <w:rPr>
          <w:vertAlign w:val="subscript"/>
        </w:rPr>
        <w:t>2</w:t>
      </w:r>
      <w:r w:rsidRPr="004C2DCD">
        <w:t>e =</w:t>
      </w:r>
      <w:r w:rsidRPr="004C2DCD">
        <w:rPr>
          <w:b/>
          <w:bCs/>
        </w:rPr>
        <w:t xml:space="preserve"> </w:t>
      </w:r>
      <w:r w:rsidRPr="004C2DCD">
        <w:t xml:space="preserve">million tonnes of carbon dioxide equivalent. </w:t>
      </w:r>
    </w:p>
    <w:p w14:paraId="717EF777" w14:textId="77777777" w:rsidR="00F51113" w:rsidRPr="004C2DCD" w:rsidRDefault="00F51113" w:rsidP="00F51113">
      <w:pPr>
        <w:pStyle w:val="BodyText"/>
      </w:pPr>
      <w:r w:rsidRPr="004C2DCD">
        <w:t xml:space="preserve">The gross emissions projections in this section are a component of the indicator used in the measurement of progress towards New Zealand’s NDC1 under the Paris Agreement. </w:t>
      </w:r>
    </w:p>
    <w:p w14:paraId="2EE87396" w14:textId="77777777" w:rsidR="00F51113" w:rsidRPr="004C2DCD" w:rsidRDefault="00F51113" w:rsidP="00F51113">
      <w:pPr>
        <w:pStyle w:val="BodyText"/>
      </w:pPr>
      <w:r w:rsidRPr="004C2DCD">
        <w:t xml:space="preserve">The projections of gross emissions and net emissions (including emissions and removals from the LULUCF sector) are summarised by sector and gas in table 2.5.24 for the WOM scenario. </w:t>
      </w:r>
    </w:p>
    <w:p w14:paraId="26A715F0" w14:textId="77777777" w:rsidR="00F51113" w:rsidRPr="004C2DCD" w:rsidRDefault="00F51113" w:rsidP="00F51113">
      <w:pPr>
        <w:pStyle w:val="Tableheading"/>
        <w:ind w:left="1276" w:hanging="1276"/>
      </w:pPr>
      <w:bookmarkStart w:id="667" w:name="_Toc183789725"/>
      <w:bookmarkStart w:id="668" w:name="_Toc185407489"/>
      <w:bookmarkStart w:id="669" w:name="_Toc185427752"/>
      <w:r w:rsidRPr="004C2DCD">
        <w:t xml:space="preserve">Table 2.5.24: </w:t>
      </w:r>
      <w:r w:rsidRPr="004C2DCD">
        <w:tab/>
        <w:t>New Zealand greenhouse gas emissions and removals under ‘without measures’ scenario, 1990–2050 (Mt CO</w:t>
      </w:r>
      <w:r w:rsidRPr="004C2DCD">
        <w:rPr>
          <w:vertAlign w:val="subscript"/>
        </w:rPr>
        <w:t>2</w:t>
      </w:r>
      <w:r w:rsidRPr="004C2DCD">
        <w:t>e)</w:t>
      </w:r>
      <w:bookmarkEnd w:id="667"/>
      <w:bookmarkEnd w:id="668"/>
      <w:bookmarkEnd w:id="669"/>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85" w:type="dxa"/>
          <w:right w:w="57" w:type="dxa"/>
        </w:tblCellMar>
        <w:tblLook w:val="04A0" w:firstRow="1" w:lastRow="0" w:firstColumn="1" w:lastColumn="0" w:noHBand="0" w:noVBand="1"/>
      </w:tblPr>
      <w:tblGrid>
        <w:gridCol w:w="1137"/>
        <w:gridCol w:w="567"/>
        <w:gridCol w:w="567"/>
        <w:gridCol w:w="567"/>
        <w:gridCol w:w="567"/>
        <w:gridCol w:w="566"/>
        <w:gridCol w:w="566"/>
        <w:gridCol w:w="566"/>
        <w:gridCol w:w="566"/>
        <w:gridCol w:w="566"/>
        <w:gridCol w:w="566"/>
        <w:gridCol w:w="566"/>
        <w:gridCol w:w="566"/>
        <w:gridCol w:w="572"/>
      </w:tblGrid>
      <w:tr w:rsidR="00F51113" w:rsidRPr="005A72BD" w14:paraId="1AA71F66" w14:textId="77777777">
        <w:trPr>
          <w:tblHeader/>
        </w:trPr>
        <w:tc>
          <w:tcPr>
            <w:tcW w:w="668" w:type="pct"/>
            <w:tcBorders>
              <w:bottom w:val="nil"/>
              <w:right w:val="nil"/>
            </w:tcBorders>
            <w:shd w:val="clear" w:color="auto" w:fill="1B556B" w:themeFill="text2"/>
          </w:tcPr>
          <w:p w14:paraId="730166DC" w14:textId="77777777" w:rsidR="00F51113" w:rsidRPr="005A72BD" w:rsidRDefault="00F51113">
            <w:pPr>
              <w:pStyle w:val="TableTextbold"/>
              <w:spacing w:before="40" w:after="0"/>
              <w:jc w:val="center"/>
              <w:rPr>
                <w:color w:val="FFFFFF" w:themeColor="background1"/>
                <w:szCs w:val="18"/>
              </w:rPr>
            </w:pPr>
          </w:p>
        </w:tc>
        <w:tc>
          <w:tcPr>
            <w:tcW w:w="2331" w:type="pct"/>
            <w:gridSpan w:val="7"/>
            <w:tcBorders>
              <w:left w:val="nil"/>
              <w:bottom w:val="nil"/>
              <w:right w:val="nil"/>
            </w:tcBorders>
            <w:shd w:val="clear" w:color="auto" w:fill="1B556B" w:themeFill="text2"/>
          </w:tcPr>
          <w:p w14:paraId="17D3FB7D" w14:textId="77777777" w:rsidR="00F51113" w:rsidRPr="005A72BD" w:rsidRDefault="00F51113">
            <w:pPr>
              <w:pStyle w:val="TableTextbold"/>
              <w:spacing w:before="40" w:after="0"/>
              <w:jc w:val="center"/>
              <w:rPr>
                <w:color w:val="FFFFFF" w:themeColor="background1"/>
                <w:szCs w:val="18"/>
              </w:rPr>
            </w:pPr>
            <w:r w:rsidRPr="005A72BD">
              <w:rPr>
                <w:color w:val="FFFFFF" w:themeColor="background1"/>
                <w:szCs w:val="18"/>
              </w:rPr>
              <w:t>Historical</w:t>
            </w:r>
          </w:p>
        </w:tc>
        <w:tc>
          <w:tcPr>
            <w:tcW w:w="2001" w:type="pct"/>
            <w:gridSpan w:val="6"/>
            <w:tcBorders>
              <w:left w:val="nil"/>
              <w:bottom w:val="nil"/>
            </w:tcBorders>
            <w:shd w:val="clear" w:color="auto" w:fill="1B556B" w:themeFill="text2"/>
          </w:tcPr>
          <w:p w14:paraId="3A639DBD" w14:textId="77777777" w:rsidR="00F51113" w:rsidRPr="005A72BD" w:rsidRDefault="00F51113">
            <w:pPr>
              <w:pStyle w:val="TableTextbold"/>
              <w:spacing w:before="40" w:after="0"/>
              <w:jc w:val="center"/>
              <w:rPr>
                <w:color w:val="FFFFFF" w:themeColor="background1"/>
                <w:szCs w:val="18"/>
              </w:rPr>
            </w:pPr>
            <w:r w:rsidRPr="005A72BD">
              <w:rPr>
                <w:color w:val="FFFFFF" w:themeColor="background1"/>
                <w:szCs w:val="18"/>
              </w:rPr>
              <w:t>Projected</w:t>
            </w:r>
          </w:p>
        </w:tc>
      </w:tr>
      <w:tr w:rsidR="00F51113" w:rsidRPr="005A72BD" w14:paraId="38E62C7C" w14:textId="77777777">
        <w:trPr>
          <w:tblHeader/>
        </w:trPr>
        <w:tc>
          <w:tcPr>
            <w:tcW w:w="668" w:type="pct"/>
            <w:tcBorders>
              <w:top w:val="nil"/>
              <w:right w:val="nil"/>
            </w:tcBorders>
            <w:shd w:val="clear" w:color="auto" w:fill="1B556B" w:themeFill="text2"/>
          </w:tcPr>
          <w:p w14:paraId="186C4753" w14:textId="77777777" w:rsidR="00F51113" w:rsidRPr="005A72BD" w:rsidRDefault="00F51113">
            <w:pPr>
              <w:pStyle w:val="TableTextbold"/>
              <w:spacing w:before="0" w:after="40"/>
              <w:jc w:val="center"/>
              <w:rPr>
                <w:color w:val="FFFFFF" w:themeColor="background1"/>
                <w:szCs w:val="18"/>
              </w:rPr>
            </w:pPr>
          </w:p>
        </w:tc>
        <w:tc>
          <w:tcPr>
            <w:tcW w:w="333" w:type="pct"/>
            <w:tcBorders>
              <w:top w:val="nil"/>
              <w:left w:val="nil"/>
              <w:right w:val="nil"/>
            </w:tcBorders>
            <w:shd w:val="clear" w:color="auto" w:fill="1B556B" w:themeFill="text2"/>
          </w:tcPr>
          <w:p w14:paraId="0CF908A2" w14:textId="77777777" w:rsidR="00F51113" w:rsidRPr="005A72BD" w:rsidRDefault="00F51113">
            <w:pPr>
              <w:pStyle w:val="TableTextbold"/>
              <w:spacing w:before="0" w:after="40"/>
              <w:jc w:val="center"/>
              <w:rPr>
                <w:color w:val="FFFFFF" w:themeColor="background1"/>
                <w:szCs w:val="18"/>
              </w:rPr>
            </w:pPr>
            <w:r w:rsidRPr="005A72BD">
              <w:rPr>
                <w:color w:val="FFFFFF" w:themeColor="background1"/>
                <w:szCs w:val="18"/>
              </w:rPr>
              <w:t>1990</w:t>
            </w:r>
          </w:p>
        </w:tc>
        <w:tc>
          <w:tcPr>
            <w:tcW w:w="333" w:type="pct"/>
            <w:tcBorders>
              <w:top w:val="nil"/>
              <w:left w:val="nil"/>
              <w:right w:val="nil"/>
            </w:tcBorders>
            <w:shd w:val="clear" w:color="auto" w:fill="1B556B" w:themeFill="text2"/>
          </w:tcPr>
          <w:p w14:paraId="48CCDB49" w14:textId="77777777" w:rsidR="00F51113" w:rsidRPr="005A72BD" w:rsidRDefault="00F51113">
            <w:pPr>
              <w:pStyle w:val="TableTextbold"/>
              <w:spacing w:before="0" w:after="40"/>
              <w:jc w:val="center"/>
              <w:rPr>
                <w:color w:val="FFFFFF" w:themeColor="background1"/>
                <w:szCs w:val="18"/>
              </w:rPr>
            </w:pPr>
            <w:r w:rsidRPr="005A72BD">
              <w:rPr>
                <w:color w:val="FFFFFF" w:themeColor="background1"/>
                <w:szCs w:val="18"/>
              </w:rPr>
              <w:t>1995</w:t>
            </w:r>
          </w:p>
        </w:tc>
        <w:tc>
          <w:tcPr>
            <w:tcW w:w="333" w:type="pct"/>
            <w:tcBorders>
              <w:top w:val="nil"/>
              <w:left w:val="nil"/>
              <w:right w:val="nil"/>
            </w:tcBorders>
            <w:shd w:val="clear" w:color="auto" w:fill="1B556B" w:themeFill="text2"/>
          </w:tcPr>
          <w:p w14:paraId="76054E57" w14:textId="77777777" w:rsidR="00F51113" w:rsidRPr="005A72BD" w:rsidRDefault="00F51113">
            <w:pPr>
              <w:pStyle w:val="TableTextbold"/>
              <w:spacing w:before="0" w:after="40"/>
              <w:jc w:val="center"/>
              <w:rPr>
                <w:color w:val="FFFFFF" w:themeColor="background1"/>
                <w:szCs w:val="18"/>
              </w:rPr>
            </w:pPr>
            <w:r w:rsidRPr="005A72BD">
              <w:rPr>
                <w:color w:val="FFFFFF" w:themeColor="background1"/>
                <w:szCs w:val="18"/>
              </w:rPr>
              <w:t>2000</w:t>
            </w:r>
          </w:p>
        </w:tc>
        <w:tc>
          <w:tcPr>
            <w:tcW w:w="333" w:type="pct"/>
            <w:tcBorders>
              <w:top w:val="nil"/>
              <w:left w:val="nil"/>
              <w:right w:val="nil"/>
            </w:tcBorders>
            <w:shd w:val="clear" w:color="auto" w:fill="1B556B" w:themeFill="text2"/>
          </w:tcPr>
          <w:p w14:paraId="449B631B" w14:textId="77777777" w:rsidR="00F51113" w:rsidRPr="005A72BD" w:rsidRDefault="00F51113">
            <w:pPr>
              <w:pStyle w:val="TableTextbold"/>
              <w:spacing w:before="0" w:after="40"/>
              <w:jc w:val="center"/>
              <w:rPr>
                <w:color w:val="FFFFFF" w:themeColor="background1"/>
                <w:szCs w:val="18"/>
              </w:rPr>
            </w:pPr>
            <w:r w:rsidRPr="005A72BD">
              <w:rPr>
                <w:color w:val="FFFFFF" w:themeColor="background1"/>
                <w:szCs w:val="18"/>
              </w:rPr>
              <w:t>2005</w:t>
            </w:r>
          </w:p>
        </w:tc>
        <w:tc>
          <w:tcPr>
            <w:tcW w:w="333" w:type="pct"/>
            <w:tcBorders>
              <w:top w:val="nil"/>
              <w:left w:val="nil"/>
              <w:right w:val="nil"/>
            </w:tcBorders>
            <w:shd w:val="clear" w:color="auto" w:fill="1B556B" w:themeFill="text2"/>
          </w:tcPr>
          <w:p w14:paraId="1835D442" w14:textId="77777777" w:rsidR="00F51113" w:rsidRPr="005A72BD" w:rsidRDefault="00F51113">
            <w:pPr>
              <w:pStyle w:val="TableTextbold"/>
              <w:spacing w:before="0" w:after="40"/>
              <w:jc w:val="center"/>
              <w:rPr>
                <w:color w:val="FFFFFF" w:themeColor="background1"/>
                <w:szCs w:val="18"/>
              </w:rPr>
            </w:pPr>
            <w:r w:rsidRPr="005A72BD">
              <w:rPr>
                <w:color w:val="FFFFFF" w:themeColor="background1"/>
                <w:szCs w:val="18"/>
              </w:rPr>
              <w:t>2010</w:t>
            </w:r>
          </w:p>
        </w:tc>
        <w:tc>
          <w:tcPr>
            <w:tcW w:w="333" w:type="pct"/>
            <w:tcBorders>
              <w:top w:val="nil"/>
              <w:left w:val="nil"/>
              <w:right w:val="nil"/>
            </w:tcBorders>
            <w:shd w:val="clear" w:color="auto" w:fill="1B556B" w:themeFill="text2"/>
          </w:tcPr>
          <w:p w14:paraId="641CAC76" w14:textId="77777777" w:rsidR="00F51113" w:rsidRPr="005A72BD" w:rsidRDefault="00F51113">
            <w:pPr>
              <w:pStyle w:val="TableTextbold"/>
              <w:spacing w:before="0" w:after="40"/>
              <w:jc w:val="center"/>
              <w:rPr>
                <w:color w:val="FFFFFF" w:themeColor="background1"/>
                <w:szCs w:val="18"/>
              </w:rPr>
            </w:pPr>
            <w:r w:rsidRPr="005A72BD">
              <w:rPr>
                <w:color w:val="FFFFFF" w:themeColor="background1"/>
                <w:szCs w:val="18"/>
              </w:rPr>
              <w:t>2015</w:t>
            </w:r>
          </w:p>
        </w:tc>
        <w:tc>
          <w:tcPr>
            <w:tcW w:w="333" w:type="pct"/>
            <w:tcBorders>
              <w:top w:val="nil"/>
              <w:left w:val="nil"/>
              <w:right w:val="nil"/>
            </w:tcBorders>
            <w:shd w:val="clear" w:color="auto" w:fill="1B556B" w:themeFill="text2"/>
          </w:tcPr>
          <w:p w14:paraId="3B110575" w14:textId="77777777" w:rsidR="00F51113" w:rsidRPr="005A72BD" w:rsidRDefault="00F51113">
            <w:pPr>
              <w:pStyle w:val="TableTextbold"/>
              <w:spacing w:before="0" w:after="40"/>
              <w:jc w:val="center"/>
              <w:rPr>
                <w:color w:val="FFFFFF" w:themeColor="background1"/>
                <w:szCs w:val="18"/>
              </w:rPr>
            </w:pPr>
            <w:r w:rsidRPr="005A72BD">
              <w:rPr>
                <w:color w:val="FFFFFF" w:themeColor="background1"/>
                <w:szCs w:val="18"/>
              </w:rPr>
              <w:t>2020</w:t>
            </w:r>
          </w:p>
        </w:tc>
        <w:tc>
          <w:tcPr>
            <w:tcW w:w="333" w:type="pct"/>
            <w:tcBorders>
              <w:top w:val="nil"/>
              <w:left w:val="nil"/>
              <w:bottom w:val="single" w:sz="4" w:space="0" w:color="1B556B" w:themeColor="text2"/>
              <w:right w:val="nil"/>
            </w:tcBorders>
            <w:shd w:val="clear" w:color="auto" w:fill="1B556B" w:themeFill="text2"/>
          </w:tcPr>
          <w:p w14:paraId="170B2423" w14:textId="77777777" w:rsidR="00F51113" w:rsidRPr="005A72BD" w:rsidRDefault="00F51113">
            <w:pPr>
              <w:pStyle w:val="TableTextbold"/>
              <w:spacing w:before="0" w:after="40"/>
              <w:jc w:val="center"/>
              <w:rPr>
                <w:color w:val="FFFFFF" w:themeColor="background1"/>
                <w:szCs w:val="18"/>
              </w:rPr>
            </w:pPr>
            <w:r w:rsidRPr="005A72BD">
              <w:rPr>
                <w:color w:val="FFFFFF" w:themeColor="background1"/>
                <w:szCs w:val="18"/>
              </w:rPr>
              <w:t>2025</w:t>
            </w:r>
          </w:p>
        </w:tc>
        <w:tc>
          <w:tcPr>
            <w:tcW w:w="333" w:type="pct"/>
            <w:tcBorders>
              <w:top w:val="nil"/>
              <w:left w:val="nil"/>
              <w:bottom w:val="single" w:sz="4" w:space="0" w:color="1B556B" w:themeColor="text2"/>
              <w:right w:val="nil"/>
            </w:tcBorders>
            <w:shd w:val="clear" w:color="auto" w:fill="1B556B" w:themeFill="text2"/>
          </w:tcPr>
          <w:p w14:paraId="217602E5" w14:textId="77777777" w:rsidR="00F51113" w:rsidRPr="005A72BD" w:rsidRDefault="00F51113">
            <w:pPr>
              <w:pStyle w:val="TableTextbold"/>
              <w:spacing w:before="0" w:after="40"/>
              <w:jc w:val="center"/>
              <w:rPr>
                <w:color w:val="FFFFFF" w:themeColor="background1"/>
                <w:szCs w:val="18"/>
              </w:rPr>
            </w:pPr>
            <w:r w:rsidRPr="005A72BD">
              <w:rPr>
                <w:color w:val="FFFFFF" w:themeColor="background1"/>
                <w:szCs w:val="18"/>
              </w:rPr>
              <w:t>2030</w:t>
            </w:r>
          </w:p>
        </w:tc>
        <w:tc>
          <w:tcPr>
            <w:tcW w:w="333" w:type="pct"/>
            <w:tcBorders>
              <w:top w:val="nil"/>
              <w:left w:val="nil"/>
              <w:bottom w:val="single" w:sz="4" w:space="0" w:color="1B556B" w:themeColor="text2"/>
            </w:tcBorders>
            <w:shd w:val="clear" w:color="auto" w:fill="1B556B" w:themeFill="text2"/>
          </w:tcPr>
          <w:p w14:paraId="4759DD2A" w14:textId="77777777" w:rsidR="00F51113" w:rsidRPr="005A72BD" w:rsidRDefault="00F51113">
            <w:pPr>
              <w:pStyle w:val="TableTextbold"/>
              <w:spacing w:before="0" w:after="40"/>
              <w:jc w:val="center"/>
              <w:rPr>
                <w:color w:val="FFFFFF" w:themeColor="background1"/>
                <w:szCs w:val="18"/>
              </w:rPr>
            </w:pPr>
            <w:r w:rsidRPr="005A72BD">
              <w:rPr>
                <w:color w:val="FFFFFF" w:themeColor="background1"/>
                <w:szCs w:val="18"/>
              </w:rPr>
              <w:t>2035</w:t>
            </w:r>
          </w:p>
        </w:tc>
        <w:tc>
          <w:tcPr>
            <w:tcW w:w="333" w:type="pct"/>
            <w:tcBorders>
              <w:top w:val="nil"/>
              <w:left w:val="nil"/>
              <w:bottom w:val="single" w:sz="4" w:space="0" w:color="1B556B" w:themeColor="text2"/>
            </w:tcBorders>
            <w:shd w:val="clear" w:color="auto" w:fill="1B556B" w:themeFill="text2"/>
          </w:tcPr>
          <w:p w14:paraId="5D866328" w14:textId="77777777" w:rsidR="00F51113" w:rsidRPr="005A72BD" w:rsidRDefault="00F51113">
            <w:pPr>
              <w:pStyle w:val="TableTextbold"/>
              <w:spacing w:before="0" w:after="40"/>
              <w:jc w:val="center"/>
              <w:rPr>
                <w:color w:val="FFFFFF" w:themeColor="background1"/>
                <w:szCs w:val="18"/>
              </w:rPr>
            </w:pPr>
            <w:r w:rsidRPr="005A72BD">
              <w:rPr>
                <w:color w:val="FFFFFF" w:themeColor="background1"/>
                <w:szCs w:val="18"/>
              </w:rPr>
              <w:t>2040</w:t>
            </w:r>
          </w:p>
        </w:tc>
        <w:tc>
          <w:tcPr>
            <w:tcW w:w="333" w:type="pct"/>
            <w:tcBorders>
              <w:top w:val="nil"/>
              <w:left w:val="nil"/>
              <w:bottom w:val="single" w:sz="4" w:space="0" w:color="1B556B" w:themeColor="text2"/>
              <w:right w:val="nil"/>
            </w:tcBorders>
            <w:shd w:val="clear" w:color="auto" w:fill="1B556B" w:themeFill="text2"/>
          </w:tcPr>
          <w:p w14:paraId="0796D9A4" w14:textId="77777777" w:rsidR="00F51113" w:rsidRPr="005A72BD" w:rsidRDefault="00F51113">
            <w:pPr>
              <w:pStyle w:val="TableTextbold"/>
              <w:spacing w:before="0" w:after="40"/>
              <w:jc w:val="center"/>
              <w:rPr>
                <w:color w:val="FFFFFF" w:themeColor="background1"/>
                <w:szCs w:val="18"/>
              </w:rPr>
            </w:pPr>
            <w:r w:rsidRPr="005A72BD">
              <w:rPr>
                <w:color w:val="FFFFFF" w:themeColor="background1"/>
                <w:szCs w:val="18"/>
              </w:rPr>
              <w:t>2045</w:t>
            </w:r>
          </w:p>
        </w:tc>
        <w:tc>
          <w:tcPr>
            <w:tcW w:w="336" w:type="pct"/>
            <w:tcBorders>
              <w:top w:val="nil"/>
              <w:left w:val="nil"/>
              <w:bottom w:val="single" w:sz="4" w:space="0" w:color="1B556B" w:themeColor="text2"/>
            </w:tcBorders>
            <w:shd w:val="clear" w:color="auto" w:fill="1B556B" w:themeFill="text2"/>
          </w:tcPr>
          <w:p w14:paraId="41280F77" w14:textId="77777777" w:rsidR="00F51113" w:rsidRPr="005A72BD" w:rsidRDefault="00F51113">
            <w:pPr>
              <w:pStyle w:val="TableTextbold"/>
              <w:spacing w:before="0" w:after="40"/>
              <w:jc w:val="center"/>
              <w:rPr>
                <w:color w:val="FFFFFF" w:themeColor="background1"/>
                <w:szCs w:val="18"/>
              </w:rPr>
            </w:pPr>
            <w:r w:rsidRPr="005A72BD">
              <w:rPr>
                <w:color w:val="FFFFFF" w:themeColor="background1"/>
                <w:szCs w:val="18"/>
              </w:rPr>
              <w:t>2050</w:t>
            </w:r>
          </w:p>
        </w:tc>
      </w:tr>
      <w:tr w:rsidR="00F51113" w:rsidRPr="005A72BD" w14:paraId="0F5615D0" w14:textId="77777777">
        <w:tc>
          <w:tcPr>
            <w:tcW w:w="5000" w:type="pct"/>
            <w:gridSpan w:val="14"/>
          </w:tcPr>
          <w:p w14:paraId="71456C3B" w14:textId="77777777" w:rsidR="00F51113" w:rsidRPr="005A72BD" w:rsidRDefault="00F51113">
            <w:pPr>
              <w:pStyle w:val="TableText"/>
              <w:spacing w:before="40" w:after="40"/>
              <w:rPr>
                <w:rFonts w:cs="Calibri"/>
                <w:b/>
                <w:szCs w:val="18"/>
              </w:rPr>
            </w:pPr>
            <w:r w:rsidRPr="005A72BD">
              <w:rPr>
                <w:rFonts w:cs="Calibri"/>
                <w:b/>
                <w:szCs w:val="18"/>
              </w:rPr>
              <w:t>Sector</w:t>
            </w:r>
          </w:p>
        </w:tc>
      </w:tr>
      <w:tr w:rsidR="00F51113" w:rsidRPr="005A72BD" w14:paraId="1E249C5D" w14:textId="77777777">
        <w:tc>
          <w:tcPr>
            <w:tcW w:w="668" w:type="pct"/>
          </w:tcPr>
          <w:p w14:paraId="748F8222" w14:textId="77777777" w:rsidR="00F51113" w:rsidRPr="005A72BD" w:rsidRDefault="00F51113">
            <w:pPr>
              <w:pStyle w:val="TableText"/>
              <w:spacing w:before="40" w:after="40"/>
              <w:rPr>
                <w:rFonts w:asciiTheme="minorHAnsi" w:eastAsia="Times New Roman" w:hAnsiTheme="minorHAnsi" w:cstheme="minorHAnsi"/>
                <w:szCs w:val="18"/>
              </w:rPr>
            </w:pPr>
            <w:r w:rsidRPr="005A72BD">
              <w:rPr>
                <w:rFonts w:asciiTheme="minorHAnsi" w:eastAsia="Times New Roman" w:hAnsiTheme="minorHAnsi" w:cstheme="minorHAnsi"/>
                <w:szCs w:val="18"/>
              </w:rPr>
              <w:t>Energy  </w:t>
            </w:r>
          </w:p>
        </w:tc>
        <w:tc>
          <w:tcPr>
            <w:tcW w:w="333" w:type="pct"/>
            <w:vAlign w:val="center"/>
          </w:tcPr>
          <w:p w14:paraId="40804DAF"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15.9</w:t>
            </w:r>
          </w:p>
        </w:tc>
        <w:tc>
          <w:tcPr>
            <w:tcW w:w="333" w:type="pct"/>
            <w:vAlign w:val="center"/>
          </w:tcPr>
          <w:p w14:paraId="15310BD1"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15.7</w:t>
            </w:r>
          </w:p>
        </w:tc>
        <w:tc>
          <w:tcPr>
            <w:tcW w:w="333" w:type="pct"/>
            <w:vAlign w:val="center"/>
          </w:tcPr>
          <w:p w14:paraId="159F1138"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18.3</w:t>
            </w:r>
          </w:p>
        </w:tc>
        <w:tc>
          <w:tcPr>
            <w:tcW w:w="333" w:type="pct"/>
            <w:vAlign w:val="center"/>
          </w:tcPr>
          <w:p w14:paraId="12643EFA"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21.6</w:t>
            </w:r>
          </w:p>
        </w:tc>
        <w:tc>
          <w:tcPr>
            <w:tcW w:w="333" w:type="pct"/>
            <w:vAlign w:val="center"/>
          </w:tcPr>
          <w:p w14:paraId="2AD0C80D"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18.9</w:t>
            </w:r>
          </w:p>
        </w:tc>
        <w:tc>
          <w:tcPr>
            <w:tcW w:w="333" w:type="pct"/>
            <w:vAlign w:val="center"/>
          </w:tcPr>
          <w:p w14:paraId="26975C49"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18.5</w:t>
            </w:r>
          </w:p>
        </w:tc>
        <w:tc>
          <w:tcPr>
            <w:tcW w:w="333" w:type="pct"/>
            <w:vAlign w:val="center"/>
          </w:tcPr>
          <w:p w14:paraId="17BC33E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17.7</w:t>
            </w:r>
          </w:p>
        </w:tc>
        <w:tc>
          <w:tcPr>
            <w:tcW w:w="333" w:type="pct"/>
            <w:shd w:val="clear" w:color="auto" w:fill="D2DDE1" w:themeFill="background2"/>
            <w:vAlign w:val="center"/>
          </w:tcPr>
          <w:p w14:paraId="2A1F5D5D"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15.5</w:t>
            </w:r>
          </w:p>
        </w:tc>
        <w:tc>
          <w:tcPr>
            <w:tcW w:w="333" w:type="pct"/>
            <w:shd w:val="clear" w:color="auto" w:fill="D2DDE1" w:themeFill="background2"/>
            <w:vAlign w:val="center"/>
          </w:tcPr>
          <w:p w14:paraId="104D80B8"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14.2</w:t>
            </w:r>
          </w:p>
        </w:tc>
        <w:tc>
          <w:tcPr>
            <w:tcW w:w="333" w:type="pct"/>
            <w:shd w:val="clear" w:color="auto" w:fill="D2DDE1" w:themeFill="background2"/>
            <w:vAlign w:val="center"/>
          </w:tcPr>
          <w:p w14:paraId="084FD4B6"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13.7</w:t>
            </w:r>
          </w:p>
        </w:tc>
        <w:tc>
          <w:tcPr>
            <w:tcW w:w="333" w:type="pct"/>
            <w:shd w:val="clear" w:color="auto" w:fill="D2DDE1" w:themeFill="background2"/>
            <w:vAlign w:val="center"/>
          </w:tcPr>
          <w:p w14:paraId="799FF0A1"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11.7</w:t>
            </w:r>
          </w:p>
        </w:tc>
        <w:tc>
          <w:tcPr>
            <w:tcW w:w="333" w:type="pct"/>
            <w:shd w:val="clear" w:color="auto" w:fill="D2DDE1" w:themeFill="background2"/>
            <w:vAlign w:val="center"/>
          </w:tcPr>
          <w:p w14:paraId="07DF3845"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11.4</w:t>
            </w:r>
          </w:p>
        </w:tc>
        <w:tc>
          <w:tcPr>
            <w:tcW w:w="336" w:type="pct"/>
            <w:shd w:val="clear" w:color="auto" w:fill="D2DDE1" w:themeFill="background2"/>
            <w:vAlign w:val="center"/>
          </w:tcPr>
          <w:p w14:paraId="197E5236"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11.2</w:t>
            </w:r>
          </w:p>
        </w:tc>
      </w:tr>
      <w:tr w:rsidR="00F51113" w:rsidRPr="005A72BD" w14:paraId="1E7915B8" w14:textId="77777777">
        <w:tc>
          <w:tcPr>
            <w:tcW w:w="668" w:type="pct"/>
          </w:tcPr>
          <w:p w14:paraId="7D8F5ED8" w14:textId="77777777" w:rsidR="00F51113" w:rsidRPr="005A72BD" w:rsidRDefault="00F51113">
            <w:pPr>
              <w:pStyle w:val="TableText"/>
              <w:spacing w:before="40" w:after="40"/>
              <w:rPr>
                <w:rFonts w:asciiTheme="minorHAnsi" w:hAnsiTheme="minorHAnsi" w:cstheme="minorHAnsi"/>
                <w:szCs w:val="18"/>
              </w:rPr>
            </w:pPr>
            <w:r w:rsidRPr="005A72BD">
              <w:rPr>
                <w:rFonts w:asciiTheme="minorHAnsi" w:eastAsia="Times New Roman" w:hAnsiTheme="minorHAnsi" w:cstheme="minorHAnsi"/>
                <w:szCs w:val="18"/>
              </w:rPr>
              <w:t>Transport</w:t>
            </w:r>
          </w:p>
        </w:tc>
        <w:tc>
          <w:tcPr>
            <w:tcW w:w="333" w:type="pct"/>
            <w:vAlign w:val="center"/>
          </w:tcPr>
          <w:p w14:paraId="0036741E"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8.1</w:t>
            </w:r>
          </w:p>
        </w:tc>
        <w:tc>
          <w:tcPr>
            <w:tcW w:w="333" w:type="pct"/>
            <w:vAlign w:val="center"/>
          </w:tcPr>
          <w:p w14:paraId="441148E3"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10.2</w:t>
            </w:r>
          </w:p>
        </w:tc>
        <w:tc>
          <w:tcPr>
            <w:tcW w:w="333" w:type="pct"/>
            <w:vAlign w:val="center"/>
          </w:tcPr>
          <w:p w14:paraId="662609D3"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11.6</w:t>
            </w:r>
          </w:p>
        </w:tc>
        <w:tc>
          <w:tcPr>
            <w:tcW w:w="333" w:type="pct"/>
            <w:vAlign w:val="center"/>
          </w:tcPr>
          <w:p w14:paraId="5C53D850"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13.0</w:t>
            </w:r>
          </w:p>
        </w:tc>
        <w:tc>
          <w:tcPr>
            <w:tcW w:w="333" w:type="pct"/>
            <w:vAlign w:val="center"/>
          </w:tcPr>
          <w:p w14:paraId="179E6E26"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13.3</w:t>
            </w:r>
          </w:p>
        </w:tc>
        <w:tc>
          <w:tcPr>
            <w:tcW w:w="333" w:type="pct"/>
            <w:vAlign w:val="center"/>
          </w:tcPr>
          <w:p w14:paraId="33F46FA9"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13.8</w:t>
            </w:r>
          </w:p>
        </w:tc>
        <w:tc>
          <w:tcPr>
            <w:tcW w:w="333" w:type="pct"/>
            <w:vAlign w:val="center"/>
          </w:tcPr>
          <w:p w14:paraId="436C87A7"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13.2</w:t>
            </w:r>
          </w:p>
        </w:tc>
        <w:tc>
          <w:tcPr>
            <w:tcW w:w="333" w:type="pct"/>
            <w:shd w:val="clear" w:color="auto" w:fill="D2DDE1" w:themeFill="background2"/>
            <w:vAlign w:val="center"/>
          </w:tcPr>
          <w:p w14:paraId="359CE2AB"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14.6</w:t>
            </w:r>
          </w:p>
        </w:tc>
        <w:tc>
          <w:tcPr>
            <w:tcW w:w="333" w:type="pct"/>
            <w:shd w:val="clear" w:color="auto" w:fill="D2DDE1" w:themeFill="background2"/>
            <w:vAlign w:val="center"/>
          </w:tcPr>
          <w:p w14:paraId="5EB07B28"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14.3</w:t>
            </w:r>
          </w:p>
        </w:tc>
        <w:tc>
          <w:tcPr>
            <w:tcW w:w="333" w:type="pct"/>
            <w:shd w:val="clear" w:color="auto" w:fill="D2DDE1" w:themeFill="background2"/>
            <w:vAlign w:val="center"/>
          </w:tcPr>
          <w:p w14:paraId="3371A0D9"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13.3</w:t>
            </w:r>
          </w:p>
        </w:tc>
        <w:tc>
          <w:tcPr>
            <w:tcW w:w="333" w:type="pct"/>
            <w:shd w:val="clear" w:color="auto" w:fill="D2DDE1" w:themeFill="background2"/>
            <w:vAlign w:val="center"/>
          </w:tcPr>
          <w:p w14:paraId="29346D37"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11.4</w:t>
            </w:r>
          </w:p>
        </w:tc>
        <w:tc>
          <w:tcPr>
            <w:tcW w:w="333" w:type="pct"/>
            <w:shd w:val="clear" w:color="auto" w:fill="D2DDE1" w:themeFill="background2"/>
            <w:vAlign w:val="center"/>
          </w:tcPr>
          <w:p w14:paraId="5B4E9C4A"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9.3</w:t>
            </w:r>
          </w:p>
        </w:tc>
        <w:tc>
          <w:tcPr>
            <w:tcW w:w="336" w:type="pct"/>
            <w:shd w:val="clear" w:color="auto" w:fill="D2DDE1" w:themeFill="background2"/>
            <w:vAlign w:val="center"/>
          </w:tcPr>
          <w:p w14:paraId="71CE9D65"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7.7</w:t>
            </w:r>
          </w:p>
        </w:tc>
      </w:tr>
      <w:tr w:rsidR="00F51113" w:rsidRPr="005A72BD" w14:paraId="2B14A1A2" w14:textId="77777777">
        <w:tc>
          <w:tcPr>
            <w:tcW w:w="668" w:type="pct"/>
          </w:tcPr>
          <w:p w14:paraId="2642E838" w14:textId="77777777" w:rsidR="00F51113" w:rsidRPr="005A72BD" w:rsidRDefault="00F51113">
            <w:pPr>
              <w:pStyle w:val="TableText"/>
              <w:spacing w:before="40" w:after="40"/>
              <w:rPr>
                <w:rFonts w:asciiTheme="minorHAnsi" w:hAnsiTheme="minorHAnsi" w:cstheme="minorHAnsi"/>
                <w:szCs w:val="18"/>
              </w:rPr>
            </w:pPr>
            <w:r w:rsidRPr="005A72BD">
              <w:rPr>
                <w:rFonts w:asciiTheme="minorHAnsi" w:eastAsia="Times New Roman" w:hAnsiTheme="minorHAnsi" w:cstheme="minorHAnsi"/>
                <w:szCs w:val="18"/>
              </w:rPr>
              <w:t>IPPU  </w:t>
            </w:r>
          </w:p>
        </w:tc>
        <w:tc>
          <w:tcPr>
            <w:tcW w:w="333" w:type="pct"/>
            <w:vAlign w:val="center"/>
          </w:tcPr>
          <w:p w14:paraId="6FD384E8"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3.37</w:t>
            </w:r>
          </w:p>
        </w:tc>
        <w:tc>
          <w:tcPr>
            <w:tcW w:w="333" w:type="pct"/>
            <w:vAlign w:val="center"/>
          </w:tcPr>
          <w:p w14:paraId="209EACF2"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3.16</w:t>
            </w:r>
          </w:p>
        </w:tc>
        <w:tc>
          <w:tcPr>
            <w:tcW w:w="333" w:type="pct"/>
            <w:vAlign w:val="center"/>
          </w:tcPr>
          <w:p w14:paraId="025D92B7"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3.47</w:t>
            </w:r>
          </w:p>
        </w:tc>
        <w:tc>
          <w:tcPr>
            <w:tcW w:w="333" w:type="pct"/>
            <w:vAlign w:val="center"/>
          </w:tcPr>
          <w:p w14:paraId="5AD21EF1"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3.98</w:t>
            </w:r>
          </w:p>
        </w:tc>
        <w:tc>
          <w:tcPr>
            <w:tcW w:w="333" w:type="pct"/>
            <w:vAlign w:val="center"/>
          </w:tcPr>
          <w:p w14:paraId="49F9E0B0"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4.41</w:t>
            </w:r>
          </w:p>
        </w:tc>
        <w:tc>
          <w:tcPr>
            <w:tcW w:w="333" w:type="pct"/>
            <w:vAlign w:val="center"/>
          </w:tcPr>
          <w:p w14:paraId="122DA851"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5.02</w:t>
            </w:r>
          </w:p>
        </w:tc>
        <w:tc>
          <w:tcPr>
            <w:tcW w:w="333" w:type="pct"/>
            <w:vAlign w:val="center"/>
          </w:tcPr>
          <w:p w14:paraId="7C9EDFDF" w14:textId="77777777" w:rsidR="00F51113" w:rsidRPr="005A72BD" w:rsidRDefault="00F51113">
            <w:pPr>
              <w:pStyle w:val="TableText"/>
              <w:spacing w:before="40" w:after="40"/>
              <w:jc w:val="center"/>
              <w:rPr>
                <w:rFonts w:asciiTheme="minorHAnsi" w:hAnsiTheme="minorHAnsi" w:cstheme="minorHAnsi"/>
                <w:color w:val="000000"/>
                <w:szCs w:val="18"/>
              </w:rPr>
            </w:pPr>
            <w:r w:rsidRPr="005A72BD">
              <w:rPr>
                <w:rFonts w:asciiTheme="minorHAnsi" w:hAnsiTheme="minorHAnsi" w:cstheme="minorHAnsi"/>
                <w:szCs w:val="18"/>
              </w:rPr>
              <w:t>4.68</w:t>
            </w:r>
          </w:p>
        </w:tc>
        <w:tc>
          <w:tcPr>
            <w:tcW w:w="333" w:type="pct"/>
            <w:shd w:val="clear" w:color="auto" w:fill="D2DDE1" w:themeFill="background2"/>
            <w:vAlign w:val="center"/>
          </w:tcPr>
          <w:p w14:paraId="75FF73E8" w14:textId="77777777" w:rsidR="00F51113" w:rsidRPr="005A72BD" w:rsidRDefault="00F51113">
            <w:pPr>
              <w:pStyle w:val="TableText"/>
              <w:spacing w:before="40" w:after="40"/>
              <w:jc w:val="center"/>
              <w:rPr>
                <w:rFonts w:asciiTheme="minorHAnsi" w:hAnsiTheme="minorHAnsi" w:cstheme="minorHAnsi"/>
                <w:color w:val="000000"/>
                <w:szCs w:val="18"/>
              </w:rPr>
            </w:pPr>
            <w:r w:rsidRPr="005A72BD">
              <w:rPr>
                <w:rFonts w:asciiTheme="minorHAnsi" w:hAnsiTheme="minorHAnsi" w:cstheme="minorHAnsi"/>
                <w:szCs w:val="18"/>
              </w:rPr>
              <w:t>4.92</w:t>
            </w:r>
          </w:p>
        </w:tc>
        <w:tc>
          <w:tcPr>
            <w:tcW w:w="333" w:type="pct"/>
            <w:shd w:val="clear" w:color="auto" w:fill="D2DDE1" w:themeFill="background2"/>
            <w:vAlign w:val="center"/>
          </w:tcPr>
          <w:p w14:paraId="640E7BE6" w14:textId="77777777" w:rsidR="00F51113" w:rsidRPr="005A72BD" w:rsidRDefault="00F51113">
            <w:pPr>
              <w:pStyle w:val="TableText"/>
              <w:spacing w:before="40" w:after="40"/>
              <w:jc w:val="center"/>
              <w:rPr>
                <w:rFonts w:asciiTheme="minorHAnsi" w:hAnsiTheme="minorHAnsi" w:cstheme="minorHAnsi"/>
                <w:color w:val="000000"/>
                <w:szCs w:val="18"/>
              </w:rPr>
            </w:pPr>
            <w:r w:rsidRPr="005A72BD">
              <w:rPr>
                <w:rFonts w:asciiTheme="minorHAnsi" w:hAnsiTheme="minorHAnsi" w:cstheme="minorHAnsi"/>
                <w:szCs w:val="18"/>
              </w:rPr>
              <w:t>4.70</w:t>
            </w:r>
          </w:p>
        </w:tc>
        <w:tc>
          <w:tcPr>
            <w:tcW w:w="333" w:type="pct"/>
            <w:shd w:val="clear" w:color="auto" w:fill="D2DDE1" w:themeFill="background2"/>
            <w:vAlign w:val="center"/>
          </w:tcPr>
          <w:p w14:paraId="1AB400B2" w14:textId="77777777" w:rsidR="00F51113" w:rsidRPr="005A72BD" w:rsidRDefault="00F51113">
            <w:pPr>
              <w:pStyle w:val="TableText"/>
              <w:spacing w:before="40" w:after="40"/>
              <w:jc w:val="center"/>
              <w:rPr>
                <w:rFonts w:asciiTheme="minorHAnsi" w:hAnsiTheme="minorHAnsi" w:cstheme="minorHAnsi"/>
                <w:color w:val="000000"/>
                <w:szCs w:val="18"/>
              </w:rPr>
            </w:pPr>
            <w:r w:rsidRPr="005A72BD">
              <w:rPr>
                <w:rFonts w:asciiTheme="minorHAnsi" w:hAnsiTheme="minorHAnsi" w:cstheme="minorHAnsi"/>
                <w:szCs w:val="18"/>
              </w:rPr>
              <w:t>4.50</w:t>
            </w:r>
          </w:p>
        </w:tc>
        <w:tc>
          <w:tcPr>
            <w:tcW w:w="333" w:type="pct"/>
            <w:shd w:val="clear" w:color="auto" w:fill="D2DDE1" w:themeFill="background2"/>
            <w:vAlign w:val="center"/>
          </w:tcPr>
          <w:p w14:paraId="068B73DA" w14:textId="77777777" w:rsidR="00F51113" w:rsidRPr="005A72BD" w:rsidRDefault="00F51113">
            <w:pPr>
              <w:pStyle w:val="TableText"/>
              <w:spacing w:before="40" w:after="40"/>
              <w:jc w:val="center"/>
              <w:rPr>
                <w:rFonts w:asciiTheme="minorHAnsi" w:hAnsiTheme="minorHAnsi" w:cstheme="minorHAnsi"/>
                <w:color w:val="000000"/>
                <w:szCs w:val="18"/>
              </w:rPr>
            </w:pPr>
            <w:r w:rsidRPr="005A72BD">
              <w:rPr>
                <w:rFonts w:asciiTheme="minorHAnsi" w:hAnsiTheme="minorHAnsi" w:cstheme="minorHAnsi"/>
                <w:szCs w:val="18"/>
              </w:rPr>
              <w:t>4.32</w:t>
            </w:r>
          </w:p>
        </w:tc>
        <w:tc>
          <w:tcPr>
            <w:tcW w:w="333" w:type="pct"/>
            <w:shd w:val="clear" w:color="auto" w:fill="D2DDE1" w:themeFill="background2"/>
            <w:vAlign w:val="center"/>
          </w:tcPr>
          <w:p w14:paraId="2EE814BD" w14:textId="77777777" w:rsidR="00F51113" w:rsidRPr="005A72BD" w:rsidRDefault="00F51113">
            <w:pPr>
              <w:pStyle w:val="TableText"/>
              <w:spacing w:before="40" w:after="40"/>
              <w:jc w:val="center"/>
              <w:rPr>
                <w:rFonts w:asciiTheme="minorHAnsi" w:hAnsiTheme="minorHAnsi" w:cstheme="minorHAnsi"/>
                <w:color w:val="000000"/>
                <w:szCs w:val="18"/>
              </w:rPr>
            </w:pPr>
            <w:r w:rsidRPr="005A72BD">
              <w:rPr>
                <w:rFonts w:asciiTheme="minorHAnsi" w:hAnsiTheme="minorHAnsi" w:cstheme="minorHAnsi"/>
                <w:szCs w:val="18"/>
              </w:rPr>
              <w:t>4.29</w:t>
            </w:r>
          </w:p>
        </w:tc>
        <w:tc>
          <w:tcPr>
            <w:tcW w:w="336" w:type="pct"/>
            <w:shd w:val="clear" w:color="auto" w:fill="D2DDE1" w:themeFill="background2"/>
            <w:vAlign w:val="center"/>
          </w:tcPr>
          <w:p w14:paraId="18706663" w14:textId="77777777" w:rsidR="00F51113" w:rsidRPr="005A72BD" w:rsidRDefault="00F51113">
            <w:pPr>
              <w:pStyle w:val="TableText"/>
              <w:spacing w:before="40" w:after="40"/>
              <w:jc w:val="center"/>
              <w:rPr>
                <w:rFonts w:asciiTheme="minorHAnsi" w:hAnsiTheme="minorHAnsi" w:cstheme="minorHAnsi"/>
                <w:color w:val="000000"/>
                <w:szCs w:val="18"/>
              </w:rPr>
            </w:pPr>
            <w:r w:rsidRPr="005A72BD">
              <w:rPr>
                <w:rFonts w:asciiTheme="minorHAnsi" w:hAnsiTheme="minorHAnsi" w:cstheme="minorHAnsi"/>
                <w:szCs w:val="18"/>
              </w:rPr>
              <w:t>4.23</w:t>
            </w:r>
          </w:p>
        </w:tc>
      </w:tr>
      <w:tr w:rsidR="00F51113" w:rsidRPr="005A72BD" w14:paraId="58EAE197" w14:textId="77777777">
        <w:tc>
          <w:tcPr>
            <w:tcW w:w="668" w:type="pct"/>
          </w:tcPr>
          <w:p w14:paraId="51898A22" w14:textId="77777777" w:rsidR="00F51113" w:rsidRPr="005A72BD" w:rsidRDefault="00F51113">
            <w:pPr>
              <w:pStyle w:val="TableText"/>
              <w:spacing w:before="40" w:after="40"/>
              <w:rPr>
                <w:rFonts w:asciiTheme="minorHAnsi" w:eastAsia="Times New Roman" w:hAnsiTheme="minorHAnsi" w:cstheme="minorHAnsi"/>
                <w:szCs w:val="18"/>
              </w:rPr>
            </w:pPr>
            <w:r w:rsidRPr="005A72BD">
              <w:rPr>
                <w:rFonts w:asciiTheme="minorHAnsi" w:eastAsia="Times New Roman" w:hAnsiTheme="minorHAnsi" w:cstheme="minorHAnsi"/>
                <w:szCs w:val="18"/>
              </w:rPr>
              <w:t>Agriculture</w:t>
            </w:r>
          </w:p>
        </w:tc>
        <w:tc>
          <w:tcPr>
            <w:tcW w:w="333" w:type="pct"/>
            <w:vAlign w:val="center"/>
          </w:tcPr>
          <w:p w14:paraId="248522BB"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37.1</w:t>
            </w:r>
          </w:p>
        </w:tc>
        <w:tc>
          <w:tcPr>
            <w:tcW w:w="333" w:type="pct"/>
            <w:vAlign w:val="center"/>
          </w:tcPr>
          <w:p w14:paraId="22921463"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39.3</w:t>
            </w:r>
          </w:p>
        </w:tc>
        <w:tc>
          <w:tcPr>
            <w:tcW w:w="333" w:type="pct"/>
            <w:vAlign w:val="center"/>
          </w:tcPr>
          <w:p w14:paraId="5924D322"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41.3</w:t>
            </w:r>
          </w:p>
        </w:tc>
        <w:tc>
          <w:tcPr>
            <w:tcW w:w="333" w:type="pct"/>
            <w:vAlign w:val="center"/>
          </w:tcPr>
          <w:p w14:paraId="74C4AFE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43.2</w:t>
            </w:r>
          </w:p>
        </w:tc>
        <w:tc>
          <w:tcPr>
            <w:tcW w:w="333" w:type="pct"/>
            <w:vAlign w:val="center"/>
          </w:tcPr>
          <w:p w14:paraId="389CB74A"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41.2</w:t>
            </w:r>
          </w:p>
        </w:tc>
        <w:tc>
          <w:tcPr>
            <w:tcW w:w="333" w:type="pct"/>
            <w:vAlign w:val="center"/>
          </w:tcPr>
          <w:p w14:paraId="6F30564A"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43.0</w:t>
            </w:r>
          </w:p>
        </w:tc>
        <w:tc>
          <w:tcPr>
            <w:tcW w:w="333" w:type="pct"/>
            <w:vAlign w:val="center"/>
          </w:tcPr>
          <w:p w14:paraId="2C6B4EDE"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43.3</w:t>
            </w:r>
          </w:p>
        </w:tc>
        <w:tc>
          <w:tcPr>
            <w:tcW w:w="333" w:type="pct"/>
            <w:shd w:val="clear" w:color="auto" w:fill="D2DDE1" w:themeFill="background2"/>
            <w:vAlign w:val="center"/>
          </w:tcPr>
          <w:p w14:paraId="2BBD6966"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40.8</w:t>
            </w:r>
          </w:p>
        </w:tc>
        <w:tc>
          <w:tcPr>
            <w:tcW w:w="333" w:type="pct"/>
            <w:shd w:val="clear" w:color="auto" w:fill="D2DDE1" w:themeFill="background2"/>
            <w:vAlign w:val="center"/>
          </w:tcPr>
          <w:p w14:paraId="1C81443A"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40.8</w:t>
            </w:r>
          </w:p>
        </w:tc>
        <w:tc>
          <w:tcPr>
            <w:tcW w:w="333" w:type="pct"/>
            <w:shd w:val="clear" w:color="auto" w:fill="D2DDE1" w:themeFill="background2"/>
            <w:vAlign w:val="center"/>
          </w:tcPr>
          <w:p w14:paraId="2623143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41.0</w:t>
            </w:r>
          </w:p>
        </w:tc>
        <w:tc>
          <w:tcPr>
            <w:tcW w:w="333" w:type="pct"/>
            <w:shd w:val="clear" w:color="auto" w:fill="D2DDE1" w:themeFill="background2"/>
            <w:vAlign w:val="center"/>
          </w:tcPr>
          <w:p w14:paraId="2ACACC09"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41.3</w:t>
            </w:r>
          </w:p>
        </w:tc>
        <w:tc>
          <w:tcPr>
            <w:tcW w:w="333" w:type="pct"/>
            <w:shd w:val="clear" w:color="auto" w:fill="D2DDE1" w:themeFill="background2"/>
            <w:vAlign w:val="center"/>
          </w:tcPr>
          <w:p w14:paraId="41023123"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41.5</w:t>
            </w:r>
          </w:p>
        </w:tc>
        <w:tc>
          <w:tcPr>
            <w:tcW w:w="336" w:type="pct"/>
            <w:shd w:val="clear" w:color="auto" w:fill="D2DDE1" w:themeFill="background2"/>
            <w:vAlign w:val="center"/>
          </w:tcPr>
          <w:p w14:paraId="0C23EA9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41.8</w:t>
            </w:r>
          </w:p>
        </w:tc>
      </w:tr>
      <w:tr w:rsidR="00F51113" w:rsidRPr="005A72BD" w14:paraId="205C522A" w14:textId="77777777">
        <w:tc>
          <w:tcPr>
            <w:tcW w:w="668" w:type="pct"/>
          </w:tcPr>
          <w:p w14:paraId="45DD560A" w14:textId="77777777" w:rsidR="00F51113" w:rsidRPr="005A72BD" w:rsidRDefault="00F51113">
            <w:pPr>
              <w:pStyle w:val="TableText"/>
              <w:spacing w:before="40" w:after="40"/>
              <w:rPr>
                <w:rFonts w:asciiTheme="minorHAnsi" w:eastAsia="Times New Roman" w:hAnsiTheme="minorHAnsi" w:cstheme="minorHAnsi"/>
                <w:szCs w:val="18"/>
              </w:rPr>
            </w:pPr>
            <w:r w:rsidRPr="005A72BD">
              <w:rPr>
                <w:rFonts w:asciiTheme="minorHAnsi" w:eastAsia="Times New Roman" w:hAnsiTheme="minorHAnsi" w:cstheme="minorHAnsi"/>
                <w:szCs w:val="18"/>
              </w:rPr>
              <w:t>LULUCF</w:t>
            </w:r>
          </w:p>
        </w:tc>
        <w:tc>
          <w:tcPr>
            <w:tcW w:w="333" w:type="pct"/>
            <w:vAlign w:val="center"/>
          </w:tcPr>
          <w:p w14:paraId="573AA4F5"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–24.3</w:t>
            </w:r>
          </w:p>
        </w:tc>
        <w:tc>
          <w:tcPr>
            <w:tcW w:w="333" w:type="pct"/>
            <w:vAlign w:val="center"/>
          </w:tcPr>
          <w:p w14:paraId="7FD73759"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–23.8</w:t>
            </w:r>
          </w:p>
        </w:tc>
        <w:tc>
          <w:tcPr>
            <w:tcW w:w="333" w:type="pct"/>
            <w:vAlign w:val="center"/>
          </w:tcPr>
          <w:p w14:paraId="7E734432"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–27.1</w:t>
            </w:r>
          </w:p>
        </w:tc>
        <w:tc>
          <w:tcPr>
            <w:tcW w:w="333" w:type="pct"/>
            <w:vAlign w:val="center"/>
          </w:tcPr>
          <w:p w14:paraId="270C1D8A"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–27.1</w:t>
            </w:r>
          </w:p>
        </w:tc>
        <w:tc>
          <w:tcPr>
            <w:tcW w:w="333" w:type="pct"/>
            <w:vAlign w:val="center"/>
          </w:tcPr>
          <w:p w14:paraId="16D5F5DA"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–27.5</w:t>
            </w:r>
          </w:p>
        </w:tc>
        <w:tc>
          <w:tcPr>
            <w:tcW w:w="333" w:type="pct"/>
            <w:vAlign w:val="center"/>
          </w:tcPr>
          <w:p w14:paraId="294560F2"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–23.8</w:t>
            </w:r>
          </w:p>
        </w:tc>
        <w:tc>
          <w:tcPr>
            <w:tcW w:w="333" w:type="pct"/>
            <w:vAlign w:val="center"/>
          </w:tcPr>
          <w:p w14:paraId="65A4F8F5"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–15.0</w:t>
            </w:r>
          </w:p>
        </w:tc>
        <w:tc>
          <w:tcPr>
            <w:tcW w:w="333" w:type="pct"/>
            <w:shd w:val="clear" w:color="auto" w:fill="D2DDE1" w:themeFill="background2"/>
            <w:vAlign w:val="center"/>
          </w:tcPr>
          <w:p w14:paraId="04EFAF11"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–5.4</w:t>
            </w:r>
          </w:p>
        </w:tc>
        <w:tc>
          <w:tcPr>
            <w:tcW w:w="333" w:type="pct"/>
            <w:shd w:val="clear" w:color="auto" w:fill="D2DDE1" w:themeFill="background2"/>
            <w:vAlign w:val="center"/>
          </w:tcPr>
          <w:p w14:paraId="7A1BCD67"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–2.3</w:t>
            </w:r>
          </w:p>
        </w:tc>
        <w:tc>
          <w:tcPr>
            <w:tcW w:w="333" w:type="pct"/>
            <w:shd w:val="clear" w:color="auto" w:fill="D2DDE1" w:themeFill="background2"/>
            <w:vAlign w:val="center"/>
          </w:tcPr>
          <w:p w14:paraId="17A3EB65"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–7.2</w:t>
            </w:r>
          </w:p>
        </w:tc>
        <w:tc>
          <w:tcPr>
            <w:tcW w:w="333" w:type="pct"/>
            <w:shd w:val="clear" w:color="auto" w:fill="D2DDE1" w:themeFill="background2"/>
            <w:vAlign w:val="center"/>
          </w:tcPr>
          <w:p w14:paraId="068A48A7"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0.6</w:t>
            </w:r>
          </w:p>
        </w:tc>
        <w:tc>
          <w:tcPr>
            <w:tcW w:w="333" w:type="pct"/>
            <w:shd w:val="clear" w:color="auto" w:fill="D2DDE1" w:themeFill="background2"/>
            <w:vAlign w:val="center"/>
          </w:tcPr>
          <w:p w14:paraId="0211E2AC"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–0.6</w:t>
            </w:r>
          </w:p>
        </w:tc>
        <w:tc>
          <w:tcPr>
            <w:tcW w:w="336" w:type="pct"/>
            <w:shd w:val="clear" w:color="auto" w:fill="D2DDE1" w:themeFill="background2"/>
            <w:vAlign w:val="center"/>
          </w:tcPr>
          <w:p w14:paraId="03319636"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–10.6</w:t>
            </w:r>
          </w:p>
        </w:tc>
      </w:tr>
      <w:tr w:rsidR="00F51113" w:rsidRPr="005A72BD" w14:paraId="7EE33959" w14:textId="77777777">
        <w:tc>
          <w:tcPr>
            <w:tcW w:w="668" w:type="pct"/>
          </w:tcPr>
          <w:p w14:paraId="10C8D6BE" w14:textId="77777777" w:rsidR="00F51113" w:rsidRPr="005A72BD" w:rsidRDefault="00F51113">
            <w:pPr>
              <w:pStyle w:val="TableText"/>
              <w:spacing w:before="40" w:after="40"/>
              <w:rPr>
                <w:rFonts w:asciiTheme="minorHAnsi" w:hAnsiTheme="minorHAnsi" w:cstheme="minorHAnsi"/>
                <w:szCs w:val="18"/>
              </w:rPr>
            </w:pPr>
            <w:r w:rsidRPr="005A72BD">
              <w:rPr>
                <w:rFonts w:asciiTheme="minorHAnsi" w:eastAsia="Times New Roman" w:hAnsiTheme="minorHAnsi" w:cstheme="minorHAnsi"/>
                <w:szCs w:val="18"/>
              </w:rPr>
              <w:t>Waste  </w:t>
            </w:r>
          </w:p>
        </w:tc>
        <w:tc>
          <w:tcPr>
            <w:tcW w:w="333" w:type="pct"/>
            <w:vAlign w:val="center"/>
          </w:tcPr>
          <w:p w14:paraId="03E2FFC8"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4.36</w:t>
            </w:r>
          </w:p>
        </w:tc>
        <w:tc>
          <w:tcPr>
            <w:tcW w:w="333" w:type="pct"/>
            <w:vAlign w:val="center"/>
          </w:tcPr>
          <w:p w14:paraId="367B5D72"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4.69</w:t>
            </w:r>
          </w:p>
        </w:tc>
        <w:tc>
          <w:tcPr>
            <w:tcW w:w="333" w:type="pct"/>
            <w:vAlign w:val="center"/>
          </w:tcPr>
          <w:p w14:paraId="35BCA453"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4.90</w:t>
            </w:r>
          </w:p>
        </w:tc>
        <w:tc>
          <w:tcPr>
            <w:tcW w:w="333" w:type="pct"/>
            <w:vAlign w:val="center"/>
          </w:tcPr>
          <w:p w14:paraId="20F8C9B0"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4.85</w:t>
            </w:r>
          </w:p>
        </w:tc>
        <w:tc>
          <w:tcPr>
            <w:tcW w:w="333" w:type="pct"/>
            <w:vAlign w:val="center"/>
          </w:tcPr>
          <w:p w14:paraId="035E2DFF"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4.76</w:t>
            </w:r>
          </w:p>
        </w:tc>
        <w:tc>
          <w:tcPr>
            <w:tcW w:w="333" w:type="pct"/>
            <w:vAlign w:val="center"/>
          </w:tcPr>
          <w:p w14:paraId="4F1746EF"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4.53</w:t>
            </w:r>
          </w:p>
        </w:tc>
        <w:tc>
          <w:tcPr>
            <w:tcW w:w="333" w:type="pct"/>
            <w:vAlign w:val="center"/>
          </w:tcPr>
          <w:p w14:paraId="4B091A9C"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4.25</w:t>
            </w:r>
          </w:p>
        </w:tc>
        <w:tc>
          <w:tcPr>
            <w:tcW w:w="333" w:type="pct"/>
            <w:shd w:val="clear" w:color="auto" w:fill="D2DDE1" w:themeFill="background2"/>
            <w:vAlign w:val="center"/>
          </w:tcPr>
          <w:p w14:paraId="374EC011"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4.11</w:t>
            </w:r>
          </w:p>
        </w:tc>
        <w:tc>
          <w:tcPr>
            <w:tcW w:w="333" w:type="pct"/>
            <w:shd w:val="clear" w:color="auto" w:fill="D2DDE1" w:themeFill="background2"/>
            <w:vAlign w:val="center"/>
          </w:tcPr>
          <w:p w14:paraId="632B2D81"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4.11</w:t>
            </w:r>
          </w:p>
        </w:tc>
        <w:tc>
          <w:tcPr>
            <w:tcW w:w="333" w:type="pct"/>
            <w:shd w:val="clear" w:color="auto" w:fill="D2DDE1" w:themeFill="background2"/>
            <w:vAlign w:val="center"/>
          </w:tcPr>
          <w:p w14:paraId="0A7DAC32"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4.12</w:t>
            </w:r>
          </w:p>
        </w:tc>
        <w:tc>
          <w:tcPr>
            <w:tcW w:w="333" w:type="pct"/>
            <w:shd w:val="clear" w:color="auto" w:fill="D2DDE1" w:themeFill="background2"/>
            <w:vAlign w:val="center"/>
          </w:tcPr>
          <w:p w14:paraId="1243B715"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4.13</w:t>
            </w:r>
          </w:p>
        </w:tc>
        <w:tc>
          <w:tcPr>
            <w:tcW w:w="333" w:type="pct"/>
            <w:shd w:val="clear" w:color="auto" w:fill="D2DDE1" w:themeFill="background2"/>
            <w:vAlign w:val="center"/>
          </w:tcPr>
          <w:p w14:paraId="4AD36DF4"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4.15</w:t>
            </w:r>
          </w:p>
        </w:tc>
        <w:tc>
          <w:tcPr>
            <w:tcW w:w="336" w:type="pct"/>
            <w:shd w:val="clear" w:color="auto" w:fill="D2DDE1" w:themeFill="background2"/>
            <w:vAlign w:val="center"/>
          </w:tcPr>
          <w:p w14:paraId="2C2E14DD"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4.16</w:t>
            </w:r>
          </w:p>
        </w:tc>
      </w:tr>
      <w:tr w:rsidR="00F51113" w:rsidRPr="005A72BD" w14:paraId="307935FF" w14:textId="77777777">
        <w:tc>
          <w:tcPr>
            <w:tcW w:w="668" w:type="pct"/>
          </w:tcPr>
          <w:p w14:paraId="6E1C0E14" w14:textId="77777777" w:rsidR="00F51113" w:rsidRPr="005A72BD" w:rsidRDefault="00F51113">
            <w:pPr>
              <w:pStyle w:val="TableText"/>
              <w:spacing w:before="40" w:after="40"/>
              <w:rPr>
                <w:rFonts w:asciiTheme="minorHAnsi" w:hAnsiTheme="minorHAnsi" w:cstheme="minorHAnsi"/>
                <w:szCs w:val="18"/>
              </w:rPr>
            </w:pPr>
            <w:r w:rsidRPr="005A72BD">
              <w:rPr>
                <w:rFonts w:asciiTheme="minorHAnsi" w:eastAsia="Times New Roman" w:hAnsiTheme="minorHAnsi" w:cstheme="minorHAnsi"/>
                <w:szCs w:val="18"/>
              </w:rPr>
              <w:t>Tokelau  </w:t>
            </w:r>
          </w:p>
        </w:tc>
        <w:tc>
          <w:tcPr>
            <w:tcW w:w="333" w:type="pct"/>
            <w:vAlign w:val="center"/>
          </w:tcPr>
          <w:p w14:paraId="4555141F"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0.003</w:t>
            </w:r>
          </w:p>
        </w:tc>
        <w:tc>
          <w:tcPr>
            <w:tcW w:w="333" w:type="pct"/>
            <w:vAlign w:val="center"/>
          </w:tcPr>
          <w:p w14:paraId="6BF1B0AB"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0.003</w:t>
            </w:r>
          </w:p>
        </w:tc>
        <w:tc>
          <w:tcPr>
            <w:tcW w:w="333" w:type="pct"/>
            <w:vAlign w:val="center"/>
          </w:tcPr>
          <w:p w14:paraId="32136DEF"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0.004</w:t>
            </w:r>
          </w:p>
        </w:tc>
        <w:tc>
          <w:tcPr>
            <w:tcW w:w="333" w:type="pct"/>
            <w:vAlign w:val="center"/>
          </w:tcPr>
          <w:p w14:paraId="2E6D2D30"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0.005</w:t>
            </w:r>
          </w:p>
        </w:tc>
        <w:tc>
          <w:tcPr>
            <w:tcW w:w="333" w:type="pct"/>
            <w:vAlign w:val="center"/>
          </w:tcPr>
          <w:p w14:paraId="2D6B493B"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0.005</w:t>
            </w:r>
          </w:p>
        </w:tc>
        <w:tc>
          <w:tcPr>
            <w:tcW w:w="333" w:type="pct"/>
            <w:vAlign w:val="center"/>
          </w:tcPr>
          <w:p w14:paraId="07E51828"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0.004</w:t>
            </w:r>
          </w:p>
        </w:tc>
        <w:tc>
          <w:tcPr>
            <w:tcW w:w="333" w:type="pct"/>
            <w:vAlign w:val="center"/>
          </w:tcPr>
          <w:p w14:paraId="7ADC6116"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0.004</w:t>
            </w:r>
          </w:p>
        </w:tc>
        <w:tc>
          <w:tcPr>
            <w:tcW w:w="333" w:type="pct"/>
            <w:shd w:val="clear" w:color="auto" w:fill="D2DDE1" w:themeFill="background2"/>
            <w:vAlign w:val="center"/>
          </w:tcPr>
          <w:p w14:paraId="73858FC9"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0.005</w:t>
            </w:r>
          </w:p>
        </w:tc>
        <w:tc>
          <w:tcPr>
            <w:tcW w:w="333" w:type="pct"/>
            <w:shd w:val="clear" w:color="auto" w:fill="D2DDE1" w:themeFill="background2"/>
            <w:vAlign w:val="center"/>
          </w:tcPr>
          <w:p w14:paraId="65EA0987"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0.005</w:t>
            </w:r>
          </w:p>
        </w:tc>
        <w:tc>
          <w:tcPr>
            <w:tcW w:w="333" w:type="pct"/>
            <w:shd w:val="clear" w:color="auto" w:fill="D2DDE1" w:themeFill="background2"/>
            <w:vAlign w:val="center"/>
          </w:tcPr>
          <w:p w14:paraId="5E7C7574"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0.004</w:t>
            </w:r>
          </w:p>
        </w:tc>
        <w:tc>
          <w:tcPr>
            <w:tcW w:w="333" w:type="pct"/>
            <w:shd w:val="clear" w:color="auto" w:fill="D2DDE1" w:themeFill="background2"/>
            <w:vAlign w:val="center"/>
          </w:tcPr>
          <w:p w14:paraId="67B2D52E"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0.004</w:t>
            </w:r>
          </w:p>
        </w:tc>
        <w:tc>
          <w:tcPr>
            <w:tcW w:w="333" w:type="pct"/>
            <w:shd w:val="clear" w:color="auto" w:fill="D2DDE1" w:themeFill="background2"/>
            <w:vAlign w:val="center"/>
          </w:tcPr>
          <w:p w14:paraId="52A93115"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0.004</w:t>
            </w:r>
          </w:p>
        </w:tc>
        <w:tc>
          <w:tcPr>
            <w:tcW w:w="336" w:type="pct"/>
            <w:shd w:val="clear" w:color="auto" w:fill="D2DDE1" w:themeFill="background2"/>
            <w:vAlign w:val="center"/>
          </w:tcPr>
          <w:p w14:paraId="3FCCD7A2" w14:textId="77777777" w:rsidR="00F51113" w:rsidRPr="005A72BD" w:rsidRDefault="00F51113">
            <w:pPr>
              <w:pStyle w:val="TableText"/>
              <w:spacing w:before="40" w:after="40"/>
              <w:jc w:val="center"/>
              <w:rPr>
                <w:rFonts w:asciiTheme="minorHAnsi" w:hAnsiTheme="minorHAnsi" w:cstheme="minorHAnsi"/>
                <w:szCs w:val="18"/>
              </w:rPr>
            </w:pPr>
            <w:r w:rsidRPr="005A72BD">
              <w:rPr>
                <w:rFonts w:asciiTheme="minorHAnsi" w:hAnsiTheme="minorHAnsi" w:cstheme="minorHAnsi"/>
                <w:szCs w:val="18"/>
              </w:rPr>
              <w:t>0.004</w:t>
            </w:r>
          </w:p>
        </w:tc>
      </w:tr>
      <w:tr w:rsidR="00F51113" w:rsidRPr="005A72BD" w14:paraId="273DA828" w14:textId="77777777">
        <w:tc>
          <w:tcPr>
            <w:tcW w:w="5000" w:type="pct"/>
            <w:gridSpan w:val="14"/>
          </w:tcPr>
          <w:p w14:paraId="351950CD" w14:textId="77777777" w:rsidR="00F51113" w:rsidRPr="005A72BD" w:rsidRDefault="00F51113">
            <w:pPr>
              <w:pStyle w:val="TableText"/>
              <w:spacing w:before="40" w:after="40"/>
              <w:rPr>
                <w:rFonts w:asciiTheme="minorHAnsi" w:eastAsia="Times New Roman" w:hAnsiTheme="minorHAnsi" w:cstheme="minorHAnsi"/>
                <w:b/>
                <w:szCs w:val="18"/>
              </w:rPr>
            </w:pPr>
            <w:r w:rsidRPr="005A72BD">
              <w:rPr>
                <w:rFonts w:asciiTheme="minorHAnsi" w:eastAsia="Times New Roman" w:hAnsiTheme="minorHAnsi" w:cstheme="minorHAnsi"/>
                <w:b/>
                <w:szCs w:val="18"/>
              </w:rPr>
              <w:t xml:space="preserve">Gas, excluding net emissions from LULUCF sector </w:t>
            </w:r>
          </w:p>
        </w:tc>
      </w:tr>
      <w:tr w:rsidR="00F51113" w:rsidRPr="005A72BD" w14:paraId="6EFADBE9" w14:textId="77777777">
        <w:tc>
          <w:tcPr>
            <w:tcW w:w="668" w:type="pct"/>
          </w:tcPr>
          <w:p w14:paraId="0368DEA7" w14:textId="77777777" w:rsidR="00F51113" w:rsidRPr="005A72BD" w:rsidRDefault="00F51113">
            <w:pPr>
              <w:pStyle w:val="TableText"/>
              <w:spacing w:before="40" w:after="40"/>
              <w:rPr>
                <w:rFonts w:asciiTheme="minorHAnsi" w:eastAsia="Times New Roman" w:hAnsiTheme="minorHAnsi" w:cstheme="minorHAnsi"/>
                <w:szCs w:val="18"/>
              </w:rPr>
            </w:pPr>
            <w:r w:rsidRPr="005A72BD">
              <w:rPr>
                <w:rFonts w:asciiTheme="minorHAnsi" w:hAnsiTheme="minorHAnsi" w:cstheme="minorHAnsi"/>
                <w:szCs w:val="18"/>
              </w:rPr>
              <w:t>CO</w:t>
            </w:r>
            <w:r w:rsidRPr="005A72BD">
              <w:rPr>
                <w:rFonts w:asciiTheme="minorHAnsi" w:hAnsiTheme="minorHAnsi" w:cstheme="minorHAnsi"/>
                <w:szCs w:val="18"/>
                <w:vertAlign w:val="subscript"/>
              </w:rPr>
              <w:t>2</w:t>
            </w:r>
          </w:p>
        </w:tc>
        <w:tc>
          <w:tcPr>
            <w:tcW w:w="333" w:type="pct"/>
            <w:vAlign w:val="center"/>
          </w:tcPr>
          <w:p w14:paraId="69325128"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25.5</w:t>
            </w:r>
          </w:p>
        </w:tc>
        <w:tc>
          <w:tcPr>
            <w:tcW w:w="333" w:type="pct"/>
            <w:vAlign w:val="center"/>
          </w:tcPr>
          <w:p w14:paraId="4A6056FA"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28.0</w:t>
            </w:r>
          </w:p>
        </w:tc>
        <w:tc>
          <w:tcPr>
            <w:tcW w:w="333" w:type="pct"/>
            <w:vAlign w:val="center"/>
          </w:tcPr>
          <w:p w14:paraId="6CF5A0CA"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32.2</w:t>
            </w:r>
          </w:p>
        </w:tc>
        <w:tc>
          <w:tcPr>
            <w:tcW w:w="333" w:type="pct"/>
            <w:vAlign w:val="center"/>
          </w:tcPr>
          <w:p w14:paraId="26265BC5"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37.4</w:t>
            </w:r>
          </w:p>
        </w:tc>
        <w:tc>
          <w:tcPr>
            <w:tcW w:w="333" w:type="pct"/>
            <w:vAlign w:val="center"/>
          </w:tcPr>
          <w:p w14:paraId="289B6E1C"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34.8</w:t>
            </w:r>
          </w:p>
        </w:tc>
        <w:tc>
          <w:tcPr>
            <w:tcW w:w="333" w:type="pct"/>
            <w:vAlign w:val="center"/>
          </w:tcPr>
          <w:p w14:paraId="6DDBDDF8"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35.8</w:t>
            </w:r>
          </w:p>
        </w:tc>
        <w:tc>
          <w:tcPr>
            <w:tcW w:w="333" w:type="pct"/>
            <w:vAlign w:val="center"/>
          </w:tcPr>
          <w:p w14:paraId="26DF5CF8"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34.0</w:t>
            </w:r>
          </w:p>
        </w:tc>
        <w:tc>
          <w:tcPr>
            <w:tcW w:w="333" w:type="pct"/>
            <w:shd w:val="clear" w:color="auto" w:fill="D2DDE1" w:themeFill="background2"/>
            <w:vAlign w:val="center"/>
          </w:tcPr>
          <w:p w14:paraId="61FE62E5"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33.3</w:t>
            </w:r>
          </w:p>
        </w:tc>
        <w:tc>
          <w:tcPr>
            <w:tcW w:w="333" w:type="pct"/>
            <w:shd w:val="clear" w:color="auto" w:fill="D2DDE1" w:themeFill="background2"/>
            <w:vAlign w:val="center"/>
          </w:tcPr>
          <w:p w14:paraId="7724CBFF"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31.7</w:t>
            </w:r>
          </w:p>
        </w:tc>
        <w:tc>
          <w:tcPr>
            <w:tcW w:w="333" w:type="pct"/>
            <w:shd w:val="clear" w:color="auto" w:fill="D2DDE1" w:themeFill="background2"/>
            <w:vAlign w:val="center"/>
          </w:tcPr>
          <w:p w14:paraId="59B2E98D"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30.2</w:t>
            </w:r>
          </w:p>
        </w:tc>
        <w:tc>
          <w:tcPr>
            <w:tcW w:w="333" w:type="pct"/>
            <w:shd w:val="clear" w:color="auto" w:fill="D2DDE1" w:themeFill="background2"/>
            <w:vAlign w:val="center"/>
          </w:tcPr>
          <w:p w14:paraId="3FB6A010"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26.4</w:t>
            </w:r>
          </w:p>
        </w:tc>
        <w:tc>
          <w:tcPr>
            <w:tcW w:w="333" w:type="pct"/>
            <w:shd w:val="clear" w:color="auto" w:fill="D2DDE1" w:themeFill="background2"/>
            <w:vAlign w:val="center"/>
          </w:tcPr>
          <w:p w14:paraId="5C27577C"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23.9</w:t>
            </w:r>
          </w:p>
        </w:tc>
        <w:tc>
          <w:tcPr>
            <w:tcW w:w="336" w:type="pct"/>
            <w:shd w:val="clear" w:color="auto" w:fill="D2DDE1" w:themeFill="background2"/>
            <w:vAlign w:val="center"/>
          </w:tcPr>
          <w:p w14:paraId="6C54096F"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22.1</w:t>
            </w:r>
          </w:p>
        </w:tc>
      </w:tr>
      <w:tr w:rsidR="00F51113" w:rsidRPr="005A72BD" w14:paraId="08553042" w14:textId="77777777">
        <w:tc>
          <w:tcPr>
            <w:tcW w:w="668" w:type="pct"/>
          </w:tcPr>
          <w:p w14:paraId="28D36BC3" w14:textId="77777777" w:rsidR="00F51113" w:rsidRPr="005A72BD" w:rsidRDefault="00F51113">
            <w:pPr>
              <w:pStyle w:val="TableText"/>
              <w:spacing w:before="40" w:after="40"/>
              <w:rPr>
                <w:rFonts w:asciiTheme="minorHAnsi" w:eastAsia="Times New Roman" w:hAnsiTheme="minorHAnsi" w:cstheme="minorHAnsi"/>
                <w:szCs w:val="18"/>
              </w:rPr>
            </w:pPr>
            <w:r w:rsidRPr="005A72BD">
              <w:rPr>
                <w:rFonts w:asciiTheme="minorHAnsi" w:hAnsiTheme="minorHAnsi" w:cstheme="minorHAnsi"/>
                <w:szCs w:val="18"/>
              </w:rPr>
              <w:t>CH</w:t>
            </w:r>
            <w:r w:rsidRPr="005A72BD">
              <w:rPr>
                <w:rFonts w:asciiTheme="minorHAnsi" w:hAnsiTheme="minorHAnsi" w:cstheme="minorHAnsi"/>
                <w:szCs w:val="18"/>
                <w:vertAlign w:val="subscript"/>
              </w:rPr>
              <w:t>4</w:t>
            </w:r>
          </w:p>
        </w:tc>
        <w:tc>
          <w:tcPr>
            <w:tcW w:w="333" w:type="pct"/>
            <w:vAlign w:val="center"/>
          </w:tcPr>
          <w:p w14:paraId="51D9E3E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37.5</w:t>
            </w:r>
          </w:p>
        </w:tc>
        <w:tc>
          <w:tcPr>
            <w:tcW w:w="333" w:type="pct"/>
            <w:vAlign w:val="center"/>
          </w:tcPr>
          <w:p w14:paraId="2F0889AE"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39.0</w:t>
            </w:r>
          </w:p>
        </w:tc>
        <w:tc>
          <w:tcPr>
            <w:tcW w:w="333" w:type="pct"/>
            <w:vAlign w:val="center"/>
          </w:tcPr>
          <w:p w14:paraId="7596A89B"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40.9</w:t>
            </w:r>
          </w:p>
        </w:tc>
        <w:tc>
          <w:tcPr>
            <w:tcW w:w="333" w:type="pct"/>
            <w:vAlign w:val="center"/>
          </w:tcPr>
          <w:p w14:paraId="2FCF3EB1"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41.6</w:t>
            </w:r>
          </w:p>
        </w:tc>
        <w:tc>
          <w:tcPr>
            <w:tcW w:w="333" w:type="pct"/>
            <w:vAlign w:val="center"/>
          </w:tcPr>
          <w:p w14:paraId="3CA4D3DC"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40.1</w:t>
            </w:r>
          </w:p>
        </w:tc>
        <w:tc>
          <w:tcPr>
            <w:tcW w:w="333" w:type="pct"/>
            <w:vAlign w:val="center"/>
          </w:tcPr>
          <w:p w14:paraId="1A60644F"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40.6</w:t>
            </w:r>
          </w:p>
        </w:tc>
        <w:tc>
          <w:tcPr>
            <w:tcW w:w="333" w:type="pct"/>
            <w:vAlign w:val="center"/>
          </w:tcPr>
          <w:p w14:paraId="7EF4E5D0"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40.1</w:t>
            </w:r>
          </w:p>
        </w:tc>
        <w:tc>
          <w:tcPr>
            <w:tcW w:w="333" w:type="pct"/>
            <w:shd w:val="clear" w:color="auto" w:fill="D2DDE1" w:themeFill="background2"/>
            <w:vAlign w:val="center"/>
          </w:tcPr>
          <w:p w14:paraId="142168D5"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38.0</w:t>
            </w:r>
          </w:p>
        </w:tc>
        <w:tc>
          <w:tcPr>
            <w:tcW w:w="333" w:type="pct"/>
            <w:shd w:val="clear" w:color="auto" w:fill="D2DDE1" w:themeFill="background2"/>
            <w:vAlign w:val="center"/>
          </w:tcPr>
          <w:p w14:paraId="60BF680D"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37.7</w:t>
            </w:r>
          </w:p>
        </w:tc>
        <w:tc>
          <w:tcPr>
            <w:tcW w:w="333" w:type="pct"/>
            <w:shd w:val="clear" w:color="auto" w:fill="D2DDE1" w:themeFill="background2"/>
            <w:vAlign w:val="center"/>
          </w:tcPr>
          <w:p w14:paraId="2A07AF2A"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37.9</w:t>
            </w:r>
          </w:p>
        </w:tc>
        <w:tc>
          <w:tcPr>
            <w:tcW w:w="333" w:type="pct"/>
            <w:shd w:val="clear" w:color="auto" w:fill="D2DDE1" w:themeFill="background2"/>
            <w:vAlign w:val="center"/>
          </w:tcPr>
          <w:p w14:paraId="03D79C1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38.2</w:t>
            </w:r>
          </w:p>
        </w:tc>
        <w:tc>
          <w:tcPr>
            <w:tcW w:w="333" w:type="pct"/>
            <w:shd w:val="clear" w:color="auto" w:fill="D2DDE1" w:themeFill="background2"/>
            <w:vAlign w:val="center"/>
          </w:tcPr>
          <w:p w14:paraId="018B5920"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38.5</w:t>
            </w:r>
          </w:p>
        </w:tc>
        <w:tc>
          <w:tcPr>
            <w:tcW w:w="336" w:type="pct"/>
            <w:shd w:val="clear" w:color="auto" w:fill="D2DDE1" w:themeFill="background2"/>
            <w:vAlign w:val="center"/>
          </w:tcPr>
          <w:p w14:paraId="59E6DA65"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38.7</w:t>
            </w:r>
          </w:p>
        </w:tc>
      </w:tr>
      <w:tr w:rsidR="00F51113" w:rsidRPr="005A72BD" w14:paraId="28B67178" w14:textId="77777777">
        <w:tc>
          <w:tcPr>
            <w:tcW w:w="668" w:type="pct"/>
          </w:tcPr>
          <w:p w14:paraId="47291191" w14:textId="77777777" w:rsidR="00F51113" w:rsidRPr="005A72BD" w:rsidRDefault="00F51113">
            <w:pPr>
              <w:pStyle w:val="TableText"/>
              <w:spacing w:before="40" w:after="40"/>
              <w:rPr>
                <w:rFonts w:asciiTheme="minorHAnsi" w:eastAsia="Times New Roman" w:hAnsiTheme="minorHAnsi" w:cstheme="minorHAnsi"/>
                <w:szCs w:val="18"/>
              </w:rPr>
            </w:pPr>
            <w:r w:rsidRPr="005A72BD">
              <w:rPr>
                <w:rFonts w:asciiTheme="minorHAnsi" w:hAnsiTheme="minorHAnsi" w:cstheme="minorHAnsi"/>
                <w:szCs w:val="18"/>
              </w:rPr>
              <w:t>N</w:t>
            </w:r>
            <w:r w:rsidRPr="005A72BD">
              <w:rPr>
                <w:rFonts w:asciiTheme="minorHAnsi" w:hAnsiTheme="minorHAnsi" w:cstheme="minorHAnsi"/>
                <w:szCs w:val="18"/>
                <w:vertAlign w:val="subscript"/>
              </w:rPr>
              <w:t>2</w:t>
            </w:r>
            <w:r w:rsidRPr="005A72BD">
              <w:rPr>
                <w:rFonts w:asciiTheme="minorHAnsi" w:hAnsiTheme="minorHAnsi" w:cstheme="minorHAnsi"/>
                <w:szCs w:val="18"/>
              </w:rPr>
              <w:t>O</w:t>
            </w:r>
          </w:p>
        </w:tc>
        <w:tc>
          <w:tcPr>
            <w:tcW w:w="333" w:type="pct"/>
            <w:vAlign w:val="center"/>
          </w:tcPr>
          <w:p w14:paraId="0D93CD5B"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5.0</w:t>
            </w:r>
          </w:p>
        </w:tc>
        <w:tc>
          <w:tcPr>
            <w:tcW w:w="333" w:type="pct"/>
            <w:vAlign w:val="center"/>
          </w:tcPr>
          <w:p w14:paraId="7A39E230"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5.8</w:t>
            </w:r>
          </w:p>
        </w:tc>
        <w:tc>
          <w:tcPr>
            <w:tcW w:w="333" w:type="pct"/>
            <w:vAlign w:val="center"/>
          </w:tcPr>
          <w:p w14:paraId="19A74C3E"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6.2</w:t>
            </w:r>
          </w:p>
        </w:tc>
        <w:tc>
          <w:tcPr>
            <w:tcW w:w="333" w:type="pct"/>
            <w:vAlign w:val="center"/>
          </w:tcPr>
          <w:p w14:paraId="4224A34A"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6.9</w:t>
            </w:r>
          </w:p>
        </w:tc>
        <w:tc>
          <w:tcPr>
            <w:tcW w:w="333" w:type="pct"/>
            <w:vAlign w:val="center"/>
          </w:tcPr>
          <w:p w14:paraId="129933A3"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6.7</w:t>
            </w:r>
          </w:p>
        </w:tc>
        <w:tc>
          <w:tcPr>
            <w:tcW w:w="333" w:type="pct"/>
            <w:vAlign w:val="center"/>
          </w:tcPr>
          <w:p w14:paraId="1A5EC152"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7.1</w:t>
            </w:r>
          </w:p>
        </w:tc>
        <w:tc>
          <w:tcPr>
            <w:tcW w:w="333" w:type="pct"/>
            <w:vAlign w:val="center"/>
          </w:tcPr>
          <w:p w14:paraId="402B16BE"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7.4</w:t>
            </w:r>
          </w:p>
        </w:tc>
        <w:tc>
          <w:tcPr>
            <w:tcW w:w="333" w:type="pct"/>
            <w:shd w:val="clear" w:color="auto" w:fill="D2DDE1" w:themeFill="background2"/>
            <w:vAlign w:val="center"/>
          </w:tcPr>
          <w:p w14:paraId="50145A7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7.0</w:t>
            </w:r>
          </w:p>
        </w:tc>
        <w:tc>
          <w:tcPr>
            <w:tcW w:w="333" w:type="pct"/>
            <w:shd w:val="clear" w:color="auto" w:fill="D2DDE1" w:themeFill="background2"/>
            <w:vAlign w:val="center"/>
          </w:tcPr>
          <w:p w14:paraId="37DEEF67"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7.1</w:t>
            </w:r>
          </w:p>
        </w:tc>
        <w:tc>
          <w:tcPr>
            <w:tcW w:w="333" w:type="pct"/>
            <w:shd w:val="clear" w:color="auto" w:fill="D2DDE1" w:themeFill="background2"/>
            <w:vAlign w:val="center"/>
          </w:tcPr>
          <w:p w14:paraId="7E932565"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7.1</w:t>
            </w:r>
          </w:p>
        </w:tc>
        <w:tc>
          <w:tcPr>
            <w:tcW w:w="333" w:type="pct"/>
            <w:shd w:val="clear" w:color="auto" w:fill="D2DDE1" w:themeFill="background2"/>
            <w:vAlign w:val="center"/>
          </w:tcPr>
          <w:p w14:paraId="6E0E91DE"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7.1</w:t>
            </w:r>
          </w:p>
        </w:tc>
        <w:tc>
          <w:tcPr>
            <w:tcW w:w="333" w:type="pct"/>
            <w:shd w:val="clear" w:color="auto" w:fill="D2DDE1" w:themeFill="background2"/>
            <w:vAlign w:val="center"/>
          </w:tcPr>
          <w:p w14:paraId="3FFEED5B"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7.1</w:t>
            </w:r>
          </w:p>
        </w:tc>
        <w:tc>
          <w:tcPr>
            <w:tcW w:w="336" w:type="pct"/>
            <w:shd w:val="clear" w:color="auto" w:fill="D2DDE1" w:themeFill="background2"/>
            <w:vAlign w:val="center"/>
          </w:tcPr>
          <w:p w14:paraId="31E491B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7.1</w:t>
            </w:r>
          </w:p>
        </w:tc>
      </w:tr>
      <w:tr w:rsidR="00F51113" w:rsidRPr="005A72BD" w14:paraId="27DC5BC5" w14:textId="77777777">
        <w:tc>
          <w:tcPr>
            <w:tcW w:w="668" w:type="pct"/>
            <w:vAlign w:val="center"/>
          </w:tcPr>
          <w:p w14:paraId="7A2BE294" w14:textId="77777777" w:rsidR="00F51113" w:rsidRPr="005A72BD" w:rsidRDefault="00F51113">
            <w:pPr>
              <w:pStyle w:val="TableText"/>
              <w:spacing w:before="40" w:after="40"/>
              <w:rPr>
                <w:rFonts w:asciiTheme="minorHAnsi" w:eastAsia="Times New Roman" w:hAnsiTheme="minorHAnsi" w:cstheme="minorHAnsi"/>
                <w:szCs w:val="18"/>
              </w:rPr>
            </w:pPr>
            <w:r w:rsidRPr="005A72BD">
              <w:rPr>
                <w:rFonts w:asciiTheme="minorHAnsi" w:eastAsia="Times New Roman" w:hAnsiTheme="minorHAnsi" w:cstheme="minorHAnsi"/>
                <w:szCs w:val="18"/>
              </w:rPr>
              <w:t>HFCs </w:t>
            </w:r>
          </w:p>
        </w:tc>
        <w:tc>
          <w:tcPr>
            <w:tcW w:w="333" w:type="pct"/>
            <w:vAlign w:val="center"/>
          </w:tcPr>
          <w:p w14:paraId="00A04DBE"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0.00</w:t>
            </w:r>
          </w:p>
        </w:tc>
        <w:tc>
          <w:tcPr>
            <w:tcW w:w="333" w:type="pct"/>
            <w:vAlign w:val="center"/>
          </w:tcPr>
          <w:p w14:paraId="20D31CCF"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0.03</w:t>
            </w:r>
          </w:p>
        </w:tc>
        <w:tc>
          <w:tcPr>
            <w:tcW w:w="333" w:type="pct"/>
            <w:vAlign w:val="center"/>
          </w:tcPr>
          <w:p w14:paraId="5E05002C"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0.23</w:t>
            </w:r>
          </w:p>
        </w:tc>
        <w:tc>
          <w:tcPr>
            <w:tcW w:w="333" w:type="pct"/>
            <w:vAlign w:val="center"/>
          </w:tcPr>
          <w:p w14:paraId="00E48E90"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0.62</w:t>
            </w:r>
          </w:p>
        </w:tc>
        <w:tc>
          <w:tcPr>
            <w:tcW w:w="333" w:type="pct"/>
            <w:vAlign w:val="center"/>
          </w:tcPr>
          <w:p w14:paraId="5B3DDBC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0.93</w:t>
            </w:r>
          </w:p>
        </w:tc>
        <w:tc>
          <w:tcPr>
            <w:tcW w:w="333" w:type="pct"/>
            <w:vAlign w:val="center"/>
          </w:tcPr>
          <w:p w14:paraId="6F24C38C"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1.28</w:t>
            </w:r>
          </w:p>
        </w:tc>
        <w:tc>
          <w:tcPr>
            <w:tcW w:w="333" w:type="pct"/>
            <w:vAlign w:val="center"/>
          </w:tcPr>
          <w:p w14:paraId="706EB2E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1.55</w:t>
            </w:r>
          </w:p>
        </w:tc>
        <w:tc>
          <w:tcPr>
            <w:tcW w:w="333" w:type="pct"/>
            <w:shd w:val="clear" w:color="auto" w:fill="D2DDE1" w:themeFill="background2"/>
            <w:vAlign w:val="center"/>
          </w:tcPr>
          <w:p w14:paraId="61D1B75B"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1.64</w:t>
            </w:r>
          </w:p>
        </w:tc>
        <w:tc>
          <w:tcPr>
            <w:tcW w:w="333" w:type="pct"/>
            <w:shd w:val="clear" w:color="auto" w:fill="D2DDE1" w:themeFill="background2"/>
            <w:vAlign w:val="center"/>
          </w:tcPr>
          <w:p w14:paraId="457418DE"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1.50</w:t>
            </w:r>
          </w:p>
        </w:tc>
        <w:tc>
          <w:tcPr>
            <w:tcW w:w="333" w:type="pct"/>
            <w:shd w:val="clear" w:color="auto" w:fill="D2DDE1" w:themeFill="background2"/>
            <w:vAlign w:val="center"/>
          </w:tcPr>
          <w:p w14:paraId="11EACB5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1.30</w:t>
            </w:r>
          </w:p>
        </w:tc>
        <w:tc>
          <w:tcPr>
            <w:tcW w:w="333" w:type="pct"/>
            <w:shd w:val="clear" w:color="auto" w:fill="D2DDE1" w:themeFill="background2"/>
            <w:vAlign w:val="center"/>
          </w:tcPr>
          <w:p w14:paraId="7786FE59"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1.12</w:t>
            </w:r>
          </w:p>
        </w:tc>
        <w:tc>
          <w:tcPr>
            <w:tcW w:w="333" w:type="pct"/>
            <w:shd w:val="clear" w:color="auto" w:fill="D2DDE1" w:themeFill="background2"/>
            <w:vAlign w:val="center"/>
          </w:tcPr>
          <w:p w14:paraId="10D89C50"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1.09</w:t>
            </w:r>
          </w:p>
        </w:tc>
        <w:tc>
          <w:tcPr>
            <w:tcW w:w="336" w:type="pct"/>
            <w:shd w:val="clear" w:color="auto" w:fill="D2DDE1" w:themeFill="background2"/>
            <w:vAlign w:val="center"/>
          </w:tcPr>
          <w:p w14:paraId="60F165D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1.02</w:t>
            </w:r>
          </w:p>
        </w:tc>
      </w:tr>
      <w:tr w:rsidR="00F51113" w:rsidRPr="005A72BD" w14:paraId="25FBA9B2" w14:textId="77777777">
        <w:tc>
          <w:tcPr>
            <w:tcW w:w="668" w:type="pct"/>
            <w:vAlign w:val="center"/>
          </w:tcPr>
          <w:p w14:paraId="4BB961AB" w14:textId="77777777" w:rsidR="00F51113" w:rsidRPr="005A72BD" w:rsidRDefault="00F51113">
            <w:pPr>
              <w:pStyle w:val="TableText"/>
              <w:spacing w:before="40" w:after="40"/>
              <w:rPr>
                <w:rFonts w:asciiTheme="minorHAnsi" w:eastAsia="Times New Roman" w:hAnsiTheme="minorHAnsi" w:cstheme="minorHAnsi"/>
                <w:szCs w:val="18"/>
              </w:rPr>
            </w:pPr>
            <w:r w:rsidRPr="005A72BD">
              <w:rPr>
                <w:rFonts w:asciiTheme="minorHAnsi" w:eastAsia="Times New Roman" w:hAnsiTheme="minorHAnsi" w:cstheme="minorHAnsi"/>
                <w:szCs w:val="18"/>
              </w:rPr>
              <w:t>PFCs </w:t>
            </w:r>
          </w:p>
        </w:tc>
        <w:tc>
          <w:tcPr>
            <w:tcW w:w="333" w:type="pct"/>
            <w:vAlign w:val="center"/>
          </w:tcPr>
          <w:p w14:paraId="21E4B371"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0.82</w:t>
            </w:r>
          </w:p>
        </w:tc>
        <w:tc>
          <w:tcPr>
            <w:tcW w:w="333" w:type="pct"/>
            <w:vAlign w:val="center"/>
          </w:tcPr>
          <w:p w14:paraId="5DC4B31E"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0.14</w:t>
            </w:r>
          </w:p>
        </w:tc>
        <w:tc>
          <w:tcPr>
            <w:tcW w:w="333" w:type="pct"/>
            <w:vAlign w:val="center"/>
          </w:tcPr>
          <w:p w14:paraId="5E186129"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0.08</w:t>
            </w:r>
          </w:p>
        </w:tc>
        <w:tc>
          <w:tcPr>
            <w:tcW w:w="333" w:type="pct"/>
            <w:vAlign w:val="center"/>
          </w:tcPr>
          <w:p w14:paraId="685444DF"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0.06</w:t>
            </w:r>
          </w:p>
        </w:tc>
        <w:tc>
          <w:tcPr>
            <w:tcW w:w="333" w:type="pct"/>
            <w:vAlign w:val="center"/>
          </w:tcPr>
          <w:p w14:paraId="03E31D32"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0.04</w:t>
            </w:r>
          </w:p>
        </w:tc>
        <w:tc>
          <w:tcPr>
            <w:tcW w:w="333" w:type="pct"/>
            <w:vAlign w:val="center"/>
          </w:tcPr>
          <w:p w14:paraId="3AE3B625"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0.05</w:t>
            </w:r>
          </w:p>
        </w:tc>
        <w:tc>
          <w:tcPr>
            <w:tcW w:w="333" w:type="pct"/>
            <w:vAlign w:val="center"/>
          </w:tcPr>
          <w:p w14:paraId="4CCF7F02"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0.08</w:t>
            </w:r>
          </w:p>
        </w:tc>
        <w:tc>
          <w:tcPr>
            <w:tcW w:w="333" w:type="pct"/>
            <w:shd w:val="clear" w:color="auto" w:fill="D2DDE1" w:themeFill="background2"/>
            <w:vAlign w:val="center"/>
          </w:tcPr>
          <w:p w14:paraId="4F485A33"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0.05</w:t>
            </w:r>
          </w:p>
        </w:tc>
        <w:tc>
          <w:tcPr>
            <w:tcW w:w="333" w:type="pct"/>
            <w:shd w:val="clear" w:color="auto" w:fill="D2DDE1" w:themeFill="background2"/>
            <w:vAlign w:val="center"/>
          </w:tcPr>
          <w:p w14:paraId="25B934A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0.05</w:t>
            </w:r>
          </w:p>
        </w:tc>
        <w:tc>
          <w:tcPr>
            <w:tcW w:w="333" w:type="pct"/>
            <w:shd w:val="clear" w:color="auto" w:fill="D2DDE1" w:themeFill="background2"/>
            <w:vAlign w:val="center"/>
          </w:tcPr>
          <w:p w14:paraId="4D253073"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0.05</w:t>
            </w:r>
          </w:p>
        </w:tc>
        <w:tc>
          <w:tcPr>
            <w:tcW w:w="333" w:type="pct"/>
            <w:shd w:val="clear" w:color="auto" w:fill="D2DDE1" w:themeFill="background2"/>
            <w:vAlign w:val="center"/>
          </w:tcPr>
          <w:p w14:paraId="26C08073"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0.05</w:t>
            </w:r>
          </w:p>
        </w:tc>
        <w:tc>
          <w:tcPr>
            <w:tcW w:w="333" w:type="pct"/>
            <w:shd w:val="clear" w:color="auto" w:fill="D2DDE1" w:themeFill="background2"/>
            <w:vAlign w:val="center"/>
          </w:tcPr>
          <w:p w14:paraId="420C78FE"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0.05</w:t>
            </w:r>
          </w:p>
        </w:tc>
        <w:tc>
          <w:tcPr>
            <w:tcW w:w="336" w:type="pct"/>
            <w:shd w:val="clear" w:color="auto" w:fill="D2DDE1" w:themeFill="background2"/>
            <w:vAlign w:val="center"/>
          </w:tcPr>
          <w:p w14:paraId="738A9178"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0.05</w:t>
            </w:r>
          </w:p>
        </w:tc>
      </w:tr>
      <w:tr w:rsidR="00F51113" w:rsidRPr="005A72BD" w14:paraId="391CED9F" w14:textId="77777777">
        <w:tc>
          <w:tcPr>
            <w:tcW w:w="668" w:type="pct"/>
            <w:vAlign w:val="center"/>
          </w:tcPr>
          <w:p w14:paraId="42A9EA4E" w14:textId="77777777" w:rsidR="00F51113" w:rsidRPr="005A72BD" w:rsidRDefault="00F51113">
            <w:pPr>
              <w:pStyle w:val="TableText"/>
              <w:spacing w:before="40" w:after="40"/>
              <w:rPr>
                <w:rFonts w:asciiTheme="minorHAnsi" w:eastAsia="Times New Roman" w:hAnsiTheme="minorHAnsi" w:cstheme="minorHAnsi"/>
                <w:szCs w:val="18"/>
              </w:rPr>
            </w:pPr>
            <w:r w:rsidRPr="005A72BD">
              <w:rPr>
                <w:rFonts w:asciiTheme="minorHAnsi" w:eastAsia="Times New Roman" w:hAnsiTheme="minorHAnsi" w:cstheme="minorHAnsi"/>
                <w:szCs w:val="18"/>
              </w:rPr>
              <w:t>SF</w:t>
            </w:r>
            <w:r w:rsidRPr="005A72BD">
              <w:rPr>
                <w:rFonts w:asciiTheme="minorHAnsi" w:eastAsia="Times New Roman" w:hAnsiTheme="minorHAnsi" w:cstheme="minorHAnsi"/>
                <w:szCs w:val="18"/>
                <w:vertAlign w:val="subscript"/>
              </w:rPr>
              <w:t>6</w:t>
            </w:r>
            <w:r w:rsidRPr="005A72BD">
              <w:rPr>
                <w:rFonts w:asciiTheme="minorHAnsi" w:eastAsia="Times New Roman" w:hAnsiTheme="minorHAnsi" w:cstheme="minorHAnsi"/>
                <w:szCs w:val="18"/>
              </w:rPr>
              <w:t> </w:t>
            </w:r>
          </w:p>
        </w:tc>
        <w:tc>
          <w:tcPr>
            <w:tcW w:w="333" w:type="pct"/>
            <w:vAlign w:val="center"/>
          </w:tcPr>
          <w:p w14:paraId="0B8E879C"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0.00</w:t>
            </w:r>
          </w:p>
        </w:tc>
        <w:tc>
          <w:tcPr>
            <w:tcW w:w="333" w:type="pct"/>
            <w:vAlign w:val="center"/>
          </w:tcPr>
          <w:p w14:paraId="75F513E8"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vAlign w:val="center"/>
          </w:tcPr>
          <w:p w14:paraId="560999E0"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vAlign w:val="center"/>
          </w:tcPr>
          <w:p w14:paraId="4961041C"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0.03</w:t>
            </w:r>
          </w:p>
        </w:tc>
        <w:tc>
          <w:tcPr>
            <w:tcW w:w="333" w:type="pct"/>
            <w:vAlign w:val="center"/>
          </w:tcPr>
          <w:p w14:paraId="29E788EE"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vAlign w:val="center"/>
          </w:tcPr>
          <w:p w14:paraId="327CD560"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vAlign w:val="center"/>
          </w:tcPr>
          <w:p w14:paraId="7A127F37"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shd w:val="clear" w:color="auto" w:fill="D2DDE1" w:themeFill="background2"/>
            <w:vAlign w:val="center"/>
          </w:tcPr>
          <w:p w14:paraId="32A75BCA"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shd w:val="clear" w:color="auto" w:fill="D2DDE1" w:themeFill="background2"/>
            <w:vAlign w:val="center"/>
          </w:tcPr>
          <w:p w14:paraId="59792322"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shd w:val="clear" w:color="auto" w:fill="D2DDE1" w:themeFill="background2"/>
            <w:vAlign w:val="center"/>
          </w:tcPr>
          <w:p w14:paraId="1745A586"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shd w:val="clear" w:color="auto" w:fill="D2DDE1" w:themeFill="background2"/>
            <w:vAlign w:val="center"/>
          </w:tcPr>
          <w:p w14:paraId="65EBB4CF"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shd w:val="clear" w:color="auto" w:fill="D2DDE1" w:themeFill="background2"/>
            <w:vAlign w:val="center"/>
          </w:tcPr>
          <w:p w14:paraId="1E844CB5"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6" w:type="pct"/>
            <w:shd w:val="clear" w:color="auto" w:fill="D2DDE1" w:themeFill="background2"/>
            <w:vAlign w:val="center"/>
          </w:tcPr>
          <w:p w14:paraId="547F779F"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r>
      <w:tr w:rsidR="00F51113" w:rsidRPr="005A72BD" w14:paraId="6E949676" w14:textId="77777777">
        <w:tc>
          <w:tcPr>
            <w:tcW w:w="5000" w:type="pct"/>
            <w:gridSpan w:val="14"/>
          </w:tcPr>
          <w:p w14:paraId="25D4C4F4" w14:textId="77777777" w:rsidR="00F51113" w:rsidRPr="005A72BD" w:rsidRDefault="00F51113">
            <w:pPr>
              <w:pStyle w:val="TableText"/>
              <w:keepNext/>
              <w:spacing w:before="40" w:after="40"/>
              <w:rPr>
                <w:rFonts w:eastAsia="Times New Roman" w:cs="Calibri"/>
                <w:szCs w:val="18"/>
              </w:rPr>
            </w:pPr>
            <w:r w:rsidRPr="005A72BD">
              <w:rPr>
                <w:rFonts w:eastAsia="Times New Roman" w:cs="Calibri"/>
                <w:b/>
                <w:szCs w:val="18"/>
              </w:rPr>
              <w:t>Gas, including net emissions from LULUCF sector</w:t>
            </w:r>
          </w:p>
        </w:tc>
      </w:tr>
      <w:tr w:rsidR="00F51113" w:rsidRPr="005A72BD" w14:paraId="6EDF8E58" w14:textId="77777777">
        <w:tc>
          <w:tcPr>
            <w:tcW w:w="668" w:type="pct"/>
          </w:tcPr>
          <w:p w14:paraId="555D1431" w14:textId="77777777" w:rsidR="00F51113" w:rsidRPr="005A72BD" w:rsidRDefault="00F51113">
            <w:pPr>
              <w:pStyle w:val="TableText"/>
              <w:keepNext/>
              <w:spacing w:before="40" w:after="40"/>
              <w:rPr>
                <w:rFonts w:asciiTheme="minorHAnsi" w:eastAsia="Times New Roman" w:hAnsiTheme="minorHAnsi" w:cstheme="minorHAnsi"/>
                <w:szCs w:val="18"/>
              </w:rPr>
            </w:pPr>
            <w:r w:rsidRPr="005A72BD">
              <w:rPr>
                <w:rFonts w:asciiTheme="minorHAnsi" w:hAnsiTheme="minorHAnsi" w:cstheme="minorHAnsi"/>
                <w:szCs w:val="18"/>
              </w:rPr>
              <w:t>CO</w:t>
            </w:r>
            <w:r w:rsidRPr="005A72BD">
              <w:rPr>
                <w:rFonts w:asciiTheme="minorHAnsi" w:hAnsiTheme="minorHAnsi" w:cstheme="minorHAnsi"/>
                <w:szCs w:val="18"/>
                <w:vertAlign w:val="subscript"/>
              </w:rPr>
              <w:t>2</w:t>
            </w:r>
          </w:p>
        </w:tc>
        <w:tc>
          <w:tcPr>
            <w:tcW w:w="333" w:type="pct"/>
            <w:vAlign w:val="center"/>
          </w:tcPr>
          <w:p w14:paraId="6EDC8838"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1.2</w:t>
            </w:r>
          </w:p>
        </w:tc>
        <w:tc>
          <w:tcPr>
            <w:tcW w:w="333" w:type="pct"/>
            <w:vAlign w:val="center"/>
          </w:tcPr>
          <w:p w14:paraId="1D62C62E"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4.2</w:t>
            </w:r>
          </w:p>
        </w:tc>
        <w:tc>
          <w:tcPr>
            <w:tcW w:w="333" w:type="pct"/>
            <w:vAlign w:val="center"/>
          </w:tcPr>
          <w:p w14:paraId="715993AC"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5.2</w:t>
            </w:r>
          </w:p>
        </w:tc>
        <w:tc>
          <w:tcPr>
            <w:tcW w:w="333" w:type="pct"/>
            <w:vAlign w:val="center"/>
          </w:tcPr>
          <w:p w14:paraId="148319D5"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10.3</w:t>
            </w:r>
          </w:p>
        </w:tc>
        <w:tc>
          <w:tcPr>
            <w:tcW w:w="333" w:type="pct"/>
            <w:vAlign w:val="center"/>
          </w:tcPr>
          <w:p w14:paraId="0482CD09"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7.4</w:t>
            </w:r>
          </w:p>
        </w:tc>
        <w:tc>
          <w:tcPr>
            <w:tcW w:w="333" w:type="pct"/>
            <w:vAlign w:val="center"/>
          </w:tcPr>
          <w:p w14:paraId="29007EC7"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12.0</w:t>
            </w:r>
          </w:p>
        </w:tc>
        <w:tc>
          <w:tcPr>
            <w:tcW w:w="333" w:type="pct"/>
            <w:vAlign w:val="center"/>
          </w:tcPr>
          <w:p w14:paraId="130C6E17"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19.0</w:t>
            </w:r>
          </w:p>
        </w:tc>
        <w:tc>
          <w:tcPr>
            <w:tcW w:w="333" w:type="pct"/>
            <w:shd w:val="clear" w:color="auto" w:fill="D2DDE1" w:themeFill="background2"/>
            <w:vAlign w:val="center"/>
          </w:tcPr>
          <w:p w14:paraId="5EE81B01"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27.9</w:t>
            </w:r>
          </w:p>
        </w:tc>
        <w:tc>
          <w:tcPr>
            <w:tcW w:w="333" w:type="pct"/>
            <w:shd w:val="clear" w:color="auto" w:fill="D2DDE1" w:themeFill="background2"/>
            <w:vAlign w:val="center"/>
          </w:tcPr>
          <w:p w14:paraId="0960ED7A"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29.4</w:t>
            </w:r>
          </w:p>
        </w:tc>
        <w:tc>
          <w:tcPr>
            <w:tcW w:w="333" w:type="pct"/>
            <w:shd w:val="clear" w:color="auto" w:fill="D2DDE1" w:themeFill="background2"/>
            <w:vAlign w:val="center"/>
          </w:tcPr>
          <w:p w14:paraId="66831B50"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23.0</w:t>
            </w:r>
          </w:p>
        </w:tc>
        <w:tc>
          <w:tcPr>
            <w:tcW w:w="333" w:type="pct"/>
            <w:shd w:val="clear" w:color="auto" w:fill="D2DDE1" w:themeFill="background2"/>
            <w:vAlign w:val="center"/>
          </w:tcPr>
          <w:p w14:paraId="4EBBBC87"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27.0</w:t>
            </w:r>
          </w:p>
        </w:tc>
        <w:tc>
          <w:tcPr>
            <w:tcW w:w="333" w:type="pct"/>
            <w:shd w:val="clear" w:color="auto" w:fill="D2DDE1" w:themeFill="background2"/>
            <w:vAlign w:val="center"/>
          </w:tcPr>
          <w:p w14:paraId="133C7989"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23.3</w:t>
            </w:r>
          </w:p>
        </w:tc>
        <w:tc>
          <w:tcPr>
            <w:tcW w:w="336" w:type="pct"/>
            <w:shd w:val="clear" w:color="auto" w:fill="D2DDE1" w:themeFill="background2"/>
            <w:vAlign w:val="center"/>
          </w:tcPr>
          <w:p w14:paraId="120F453A"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11.4</w:t>
            </w:r>
          </w:p>
        </w:tc>
      </w:tr>
      <w:tr w:rsidR="00F51113" w:rsidRPr="005A72BD" w14:paraId="7EE95232" w14:textId="77777777">
        <w:tc>
          <w:tcPr>
            <w:tcW w:w="668" w:type="pct"/>
          </w:tcPr>
          <w:p w14:paraId="1164C2BA" w14:textId="77777777" w:rsidR="00F51113" w:rsidRPr="005A72BD" w:rsidRDefault="00F51113">
            <w:pPr>
              <w:pStyle w:val="TableText"/>
              <w:keepNext/>
              <w:spacing w:before="40" w:after="40"/>
              <w:rPr>
                <w:rFonts w:asciiTheme="minorHAnsi" w:eastAsia="Times New Roman" w:hAnsiTheme="minorHAnsi" w:cstheme="minorHAnsi"/>
                <w:szCs w:val="18"/>
              </w:rPr>
            </w:pPr>
            <w:r w:rsidRPr="005A72BD">
              <w:rPr>
                <w:rFonts w:asciiTheme="minorHAnsi" w:hAnsiTheme="minorHAnsi" w:cstheme="minorHAnsi"/>
                <w:szCs w:val="18"/>
              </w:rPr>
              <w:t>CH</w:t>
            </w:r>
            <w:r w:rsidRPr="005A72BD">
              <w:rPr>
                <w:rFonts w:asciiTheme="minorHAnsi" w:hAnsiTheme="minorHAnsi" w:cstheme="minorHAnsi"/>
                <w:szCs w:val="18"/>
                <w:vertAlign w:val="subscript"/>
              </w:rPr>
              <w:t>4</w:t>
            </w:r>
          </w:p>
        </w:tc>
        <w:tc>
          <w:tcPr>
            <w:tcW w:w="333" w:type="pct"/>
            <w:vAlign w:val="center"/>
          </w:tcPr>
          <w:p w14:paraId="618F1DAE"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37.5</w:t>
            </w:r>
          </w:p>
        </w:tc>
        <w:tc>
          <w:tcPr>
            <w:tcW w:w="333" w:type="pct"/>
            <w:vAlign w:val="center"/>
          </w:tcPr>
          <w:p w14:paraId="4A727A52"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39.0</w:t>
            </w:r>
          </w:p>
        </w:tc>
        <w:tc>
          <w:tcPr>
            <w:tcW w:w="333" w:type="pct"/>
            <w:vAlign w:val="center"/>
          </w:tcPr>
          <w:p w14:paraId="24CB7B06"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40.9</w:t>
            </w:r>
          </w:p>
        </w:tc>
        <w:tc>
          <w:tcPr>
            <w:tcW w:w="333" w:type="pct"/>
            <w:vAlign w:val="center"/>
          </w:tcPr>
          <w:p w14:paraId="2D3B69DA"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41.6</w:t>
            </w:r>
          </w:p>
        </w:tc>
        <w:tc>
          <w:tcPr>
            <w:tcW w:w="333" w:type="pct"/>
            <w:vAlign w:val="center"/>
          </w:tcPr>
          <w:p w14:paraId="5B588D69"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40.1</w:t>
            </w:r>
          </w:p>
        </w:tc>
        <w:tc>
          <w:tcPr>
            <w:tcW w:w="333" w:type="pct"/>
            <w:vAlign w:val="center"/>
          </w:tcPr>
          <w:p w14:paraId="6F35DE57"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40.6</w:t>
            </w:r>
          </w:p>
        </w:tc>
        <w:tc>
          <w:tcPr>
            <w:tcW w:w="333" w:type="pct"/>
            <w:vAlign w:val="center"/>
          </w:tcPr>
          <w:p w14:paraId="009FB0B6"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40.1</w:t>
            </w:r>
          </w:p>
        </w:tc>
        <w:tc>
          <w:tcPr>
            <w:tcW w:w="333" w:type="pct"/>
            <w:shd w:val="clear" w:color="auto" w:fill="D2DDE1" w:themeFill="background2"/>
            <w:vAlign w:val="center"/>
          </w:tcPr>
          <w:p w14:paraId="094AE866"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38.0</w:t>
            </w:r>
          </w:p>
        </w:tc>
        <w:tc>
          <w:tcPr>
            <w:tcW w:w="333" w:type="pct"/>
            <w:shd w:val="clear" w:color="auto" w:fill="D2DDE1" w:themeFill="background2"/>
            <w:vAlign w:val="center"/>
          </w:tcPr>
          <w:p w14:paraId="19C23FF7"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37.7</w:t>
            </w:r>
          </w:p>
        </w:tc>
        <w:tc>
          <w:tcPr>
            <w:tcW w:w="333" w:type="pct"/>
            <w:shd w:val="clear" w:color="auto" w:fill="D2DDE1" w:themeFill="background2"/>
            <w:vAlign w:val="center"/>
          </w:tcPr>
          <w:p w14:paraId="4C1C9A78"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37.9</w:t>
            </w:r>
          </w:p>
        </w:tc>
        <w:tc>
          <w:tcPr>
            <w:tcW w:w="333" w:type="pct"/>
            <w:shd w:val="clear" w:color="auto" w:fill="D2DDE1" w:themeFill="background2"/>
            <w:vAlign w:val="center"/>
          </w:tcPr>
          <w:p w14:paraId="005EC47A"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38.2</w:t>
            </w:r>
          </w:p>
        </w:tc>
        <w:tc>
          <w:tcPr>
            <w:tcW w:w="333" w:type="pct"/>
            <w:shd w:val="clear" w:color="auto" w:fill="D2DDE1" w:themeFill="background2"/>
            <w:vAlign w:val="center"/>
          </w:tcPr>
          <w:p w14:paraId="4EA43411"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38.5</w:t>
            </w:r>
          </w:p>
        </w:tc>
        <w:tc>
          <w:tcPr>
            <w:tcW w:w="336" w:type="pct"/>
            <w:shd w:val="clear" w:color="auto" w:fill="D2DDE1" w:themeFill="background2"/>
            <w:vAlign w:val="center"/>
          </w:tcPr>
          <w:p w14:paraId="0C6E4F6A" w14:textId="77777777" w:rsidR="00F51113" w:rsidRPr="005A72BD" w:rsidRDefault="00F51113">
            <w:pPr>
              <w:pStyle w:val="TableText"/>
              <w:keepN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38.7</w:t>
            </w:r>
          </w:p>
        </w:tc>
      </w:tr>
      <w:tr w:rsidR="00F51113" w:rsidRPr="005A72BD" w14:paraId="628333E8" w14:textId="77777777">
        <w:tc>
          <w:tcPr>
            <w:tcW w:w="668" w:type="pct"/>
          </w:tcPr>
          <w:p w14:paraId="58034D4F" w14:textId="77777777" w:rsidR="00F51113" w:rsidRPr="005A72BD" w:rsidRDefault="00F51113">
            <w:pPr>
              <w:pStyle w:val="TableText"/>
              <w:spacing w:before="40" w:after="40"/>
              <w:rPr>
                <w:rFonts w:asciiTheme="minorHAnsi" w:eastAsia="Times New Roman" w:hAnsiTheme="minorHAnsi" w:cstheme="minorHAnsi"/>
                <w:szCs w:val="18"/>
              </w:rPr>
            </w:pPr>
            <w:r w:rsidRPr="005A72BD">
              <w:rPr>
                <w:rFonts w:asciiTheme="minorHAnsi" w:hAnsiTheme="minorHAnsi" w:cstheme="minorHAnsi"/>
                <w:szCs w:val="18"/>
              </w:rPr>
              <w:t>N</w:t>
            </w:r>
            <w:r w:rsidRPr="005A72BD">
              <w:rPr>
                <w:rFonts w:asciiTheme="minorHAnsi" w:hAnsiTheme="minorHAnsi" w:cstheme="minorHAnsi"/>
                <w:szCs w:val="18"/>
                <w:vertAlign w:val="subscript"/>
              </w:rPr>
              <w:t>2</w:t>
            </w:r>
            <w:r w:rsidRPr="005A72BD">
              <w:rPr>
                <w:rFonts w:asciiTheme="minorHAnsi" w:hAnsiTheme="minorHAnsi" w:cstheme="minorHAnsi"/>
                <w:szCs w:val="18"/>
              </w:rPr>
              <w:t>O</w:t>
            </w:r>
          </w:p>
        </w:tc>
        <w:tc>
          <w:tcPr>
            <w:tcW w:w="333" w:type="pct"/>
            <w:vAlign w:val="center"/>
          </w:tcPr>
          <w:p w14:paraId="11B9C75D"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5.0</w:t>
            </w:r>
          </w:p>
        </w:tc>
        <w:tc>
          <w:tcPr>
            <w:tcW w:w="333" w:type="pct"/>
            <w:vAlign w:val="center"/>
          </w:tcPr>
          <w:p w14:paraId="1F21F156"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5.8</w:t>
            </w:r>
          </w:p>
        </w:tc>
        <w:tc>
          <w:tcPr>
            <w:tcW w:w="333" w:type="pct"/>
            <w:vAlign w:val="center"/>
          </w:tcPr>
          <w:p w14:paraId="74342CB5"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6.2</w:t>
            </w:r>
          </w:p>
        </w:tc>
        <w:tc>
          <w:tcPr>
            <w:tcW w:w="333" w:type="pct"/>
            <w:vAlign w:val="center"/>
          </w:tcPr>
          <w:p w14:paraId="10A40C00"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6.9</w:t>
            </w:r>
          </w:p>
        </w:tc>
        <w:tc>
          <w:tcPr>
            <w:tcW w:w="333" w:type="pct"/>
            <w:vAlign w:val="center"/>
          </w:tcPr>
          <w:p w14:paraId="006D1360"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6.7</w:t>
            </w:r>
          </w:p>
        </w:tc>
        <w:tc>
          <w:tcPr>
            <w:tcW w:w="333" w:type="pct"/>
            <w:vAlign w:val="center"/>
          </w:tcPr>
          <w:p w14:paraId="738D064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7.1</w:t>
            </w:r>
          </w:p>
        </w:tc>
        <w:tc>
          <w:tcPr>
            <w:tcW w:w="333" w:type="pct"/>
            <w:vAlign w:val="center"/>
          </w:tcPr>
          <w:p w14:paraId="043647FC"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7.4</w:t>
            </w:r>
          </w:p>
        </w:tc>
        <w:tc>
          <w:tcPr>
            <w:tcW w:w="333" w:type="pct"/>
            <w:shd w:val="clear" w:color="auto" w:fill="D2DDE1" w:themeFill="background2"/>
            <w:vAlign w:val="center"/>
          </w:tcPr>
          <w:p w14:paraId="31742F2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7.0</w:t>
            </w:r>
          </w:p>
        </w:tc>
        <w:tc>
          <w:tcPr>
            <w:tcW w:w="333" w:type="pct"/>
            <w:shd w:val="clear" w:color="auto" w:fill="D2DDE1" w:themeFill="background2"/>
            <w:vAlign w:val="center"/>
          </w:tcPr>
          <w:p w14:paraId="51415271"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7.1</w:t>
            </w:r>
          </w:p>
        </w:tc>
        <w:tc>
          <w:tcPr>
            <w:tcW w:w="333" w:type="pct"/>
            <w:shd w:val="clear" w:color="auto" w:fill="D2DDE1" w:themeFill="background2"/>
            <w:vAlign w:val="center"/>
          </w:tcPr>
          <w:p w14:paraId="52049523"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7.1</w:t>
            </w:r>
          </w:p>
        </w:tc>
        <w:tc>
          <w:tcPr>
            <w:tcW w:w="333" w:type="pct"/>
            <w:shd w:val="clear" w:color="auto" w:fill="D2DDE1" w:themeFill="background2"/>
            <w:vAlign w:val="center"/>
          </w:tcPr>
          <w:p w14:paraId="14DA42A0"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7.1</w:t>
            </w:r>
          </w:p>
        </w:tc>
        <w:tc>
          <w:tcPr>
            <w:tcW w:w="333" w:type="pct"/>
            <w:shd w:val="clear" w:color="auto" w:fill="D2DDE1" w:themeFill="background2"/>
            <w:vAlign w:val="center"/>
          </w:tcPr>
          <w:p w14:paraId="143A9E9D"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7.1</w:t>
            </w:r>
          </w:p>
        </w:tc>
        <w:tc>
          <w:tcPr>
            <w:tcW w:w="336" w:type="pct"/>
            <w:shd w:val="clear" w:color="auto" w:fill="D2DDE1" w:themeFill="background2"/>
            <w:vAlign w:val="center"/>
          </w:tcPr>
          <w:p w14:paraId="27E3A023"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7.1</w:t>
            </w:r>
          </w:p>
        </w:tc>
      </w:tr>
      <w:tr w:rsidR="00F51113" w:rsidRPr="005A72BD" w14:paraId="61431426" w14:textId="77777777">
        <w:tc>
          <w:tcPr>
            <w:tcW w:w="668" w:type="pct"/>
            <w:vAlign w:val="center"/>
          </w:tcPr>
          <w:p w14:paraId="5E6B3946" w14:textId="77777777" w:rsidR="00F51113" w:rsidRPr="005A72BD" w:rsidRDefault="00F51113">
            <w:pPr>
              <w:pStyle w:val="TableText"/>
              <w:spacing w:before="40" w:after="40"/>
              <w:rPr>
                <w:rFonts w:asciiTheme="minorHAnsi" w:eastAsia="Times New Roman" w:hAnsiTheme="minorHAnsi" w:cstheme="minorHAnsi"/>
                <w:szCs w:val="18"/>
              </w:rPr>
            </w:pPr>
            <w:r w:rsidRPr="005A72BD">
              <w:rPr>
                <w:rFonts w:asciiTheme="minorHAnsi" w:eastAsia="Times New Roman" w:hAnsiTheme="minorHAnsi" w:cstheme="minorHAnsi"/>
                <w:szCs w:val="18"/>
              </w:rPr>
              <w:t>HFCs </w:t>
            </w:r>
          </w:p>
        </w:tc>
        <w:tc>
          <w:tcPr>
            <w:tcW w:w="333" w:type="pct"/>
            <w:vAlign w:val="center"/>
          </w:tcPr>
          <w:p w14:paraId="52812525"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0.00</w:t>
            </w:r>
          </w:p>
        </w:tc>
        <w:tc>
          <w:tcPr>
            <w:tcW w:w="333" w:type="pct"/>
            <w:vAlign w:val="center"/>
          </w:tcPr>
          <w:p w14:paraId="3F7AD9CD"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0.03</w:t>
            </w:r>
          </w:p>
        </w:tc>
        <w:tc>
          <w:tcPr>
            <w:tcW w:w="333" w:type="pct"/>
            <w:vAlign w:val="center"/>
          </w:tcPr>
          <w:p w14:paraId="670273BF"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0.23</w:t>
            </w:r>
          </w:p>
        </w:tc>
        <w:tc>
          <w:tcPr>
            <w:tcW w:w="333" w:type="pct"/>
            <w:vAlign w:val="center"/>
          </w:tcPr>
          <w:p w14:paraId="641F644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0.62</w:t>
            </w:r>
          </w:p>
        </w:tc>
        <w:tc>
          <w:tcPr>
            <w:tcW w:w="333" w:type="pct"/>
            <w:vAlign w:val="center"/>
          </w:tcPr>
          <w:p w14:paraId="2356648A"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0.93</w:t>
            </w:r>
          </w:p>
        </w:tc>
        <w:tc>
          <w:tcPr>
            <w:tcW w:w="333" w:type="pct"/>
            <w:vAlign w:val="center"/>
          </w:tcPr>
          <w:p w14:paraId="445BC1D2"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1.28</w:t>
            </w:r>
          </w:p>
        </w:tc>
        <w:tc>
          <w:tcPr>
            <w:tcW w:w="333" w:type="pct"/>
            <w:vAlign w:val="center"/>
          </w:tcPr>
          <w:p w14:paraId="0F277E4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1.55</w:t>
            </w:r>
          </w:p>
        </w:tc>
        <w:tc>
          <w:tcPr>
            <w:tcW w:w="333" w:type="pct"/>
            <w:shd w:val="clear" w:color="auto" w:fill="D2DDE1" w:themeFill="background2"/>
            <w:vAlign w:val="center"/>
          </w:tcPr>
          <w:p w14:paraId="7923BC88"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1.64</w:t>
            </w:r>
          </w:p>
        </w:tc>
        <w:tc>
          <w:tcPr>
            <w:tcW w:w="333" w:type="pct"/>
            <w:shd w:val="clear" w:color="auto" w:fill="D2DDE1" w:themeFill="background2"/>
            <w:vAlign w:val="center"/>
          </w:tcPr>
          <w:p w14:paraId="6B04B8B2"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1.50</w:t>
            </w:r>
          </w:p>
        </w:tc>
        <w:tc>
          <w:tcPr>
            <w:tcW w:w="333" w:type="pct"/>
            <w:shd w:val="clear" w:color="auto" w:fill="D2DDE1" w:themeFill="background2"/>
            <w:vAlign w:val="center"/>
          </w:tcPr>
          <w:p w14:paraId="2F2E7848"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1.30</w:t>
            </w:r>
          </w:p>
        </w:tc>
        <w:tc>
          <w:tcPr>
            <w:tcW w:w="333" w:type="pct"/>
            <w:shd w:val="clear" w:color="auto" w:fill="D2DDE1" w:themeFill="background2"/>
            <w:vAlign w:val="center"/>
          </w:tcPr>
          <w:p w14:paraId="24C92020"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1.12</w:t>
            </w:r>
          </w:p>
        </w:tc>
        <w:tc>
          <w:tcPr>
            <w:tcW w:w="333" w:type="pct"/>
            <w:shd w:val="clear" w:color="auto" w:fill="D2DDE1" w:themeFill="background2"/>
            <w:vAlign w:val="center"/>
          </w:tcPr>
          <w:p w14:paraId="52E2276B"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1.09</w:t>
            </w:r>
          </w:p>
        </w:tc>
        <w:tc>
          <w:tcPr>
            <w:tcW w:w="336" w:type="pct"/>
            <w:shd w:val="clear" w:color="auto" w:fill="D2DDE1" w:themeFill="background2"/>
            <w:vAlign w:val="center"/>
          </w:tcPr>
          <w:p w14:paraId="490F0BC3"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1.02</w:t>
            </w:r>
          </w:p>
        </w:tc>
      </w:tr>
      <w:tr w:rsidR="00F51113" w:rsidRPr="005A72BD" w14:paraId="7CC2234B" w14:textId="77777777">
        <w:tc>
          <w:tcPr>
            <w:tcW w:w="668" w:type="pct"/>
            <w:vAlign w:val="center"/>
          </w:tcPr>
          <w:p w14:paraId="6568ED9D" w14:textId="77777777" w:rsidR="00F51113" w:rsidRPr="005A72BD" w:rsidRDefault="00F51113">
            <w:pPr>
              <w:pStyle w:val="TableText"/>
              <w:spacing w:before="40" w:after="40"/>
              <w:rPr>
                <w:rFonts w:asciiTheme="minorHAnsi" w:eastAsia="Times New Roman" w:hAnsiTheme="minorHAnsi" w:cstheme="minorHAnsi"/>
                <w:szCs w:val="18"/>
              </w:rPr>
            </w:pPr>
            <w:r w:rsidRPr="005A72BD">
              <w:rPr>
                <w:rFonts w:asciiTheme="minorHAnsi" w:eastAsia="Times New Roman" w:hAnsiTheme="minorHAnsi" w:cstheme="minorHAnsi"/>
                <w:szCs w:val="18"/>
              </w:rPr>
              <w:t>PFCs </w:t>
            </w:r>
          </w:p>
        </w:tc>
        <w:tc>
          <w:tcPr>
            <w:tcW w:w="333" w:type="pct"/>
            <w:vAlign w:val="center"/>
          </w:tcPr>
          <w:p w14:paraId="05708AE3"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0.82</w:t>
            </w:r>
          </w:p>
        </w:tc>
        <w:tc>
          <w:tcPr>
            <w:tcW w:w="333" w:type="pct"/>
            <w:vAlign w:val="center"/>
          </w:tcPr>
          <w:p w14:paraId="498CDAB1"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0.14</w:t>
            </w:r>
          </w:p>
        </w:tc>
        <w:tc>
          <w:tcPr>
            <w:tcW w:w="333" w:type="pct"/>
            <w:vAlign w:val="center"/>
          </w:tcPr>
          <w:p w14:paraId="3BAE82EE"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0.08</w:t>
            </w:r>
          </w:p>
        </w:tc>
        <w:tc>
          <w:tcPr>
            <w:tcW w:w="333" w:type="pct"/>
            <w:vAlign w:val="center"/>
          </w:tcPr>
          <w:p w14:paraId="30E1BB01"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0.06</w:t>
            </w:r>
          </w:p>
        </w:tc>
        <w:tc>
          <w:tcPr>
            <w:tcW w:w="333" w:type="pct"/>
            <w:vAlign w:val="center"/>
          </w:tcPr>
          <w:p w14:paraId="5ECFE755"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0.04</w:t>
            </w:r>
          </w:p>
        </w:tc>
        <w:tc>
          <w:tcPr>
            <w:tcW w:w="333" w:type="pct"/>
            <w:vAlign w:val="center"/>
          </w:tcPr>
          <w:p w14:paraId="68EA9D2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0.05</w:t>
            </w:r>
          </w:p>
        </w:tc>
        <w:tc>
          <w:tcPr>
            <w:tcW w:w="333" w:type="pct"/>
            <w:vAlign w:val="center"/>
          </w:tcPr>
          <w:p w14:paraId="0B9B5230"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0.08</w:t>
            </w:r>
          </w:p>
        </w:tc>
        <w:tc>
          <w:tcPr>
            <w:tcW w:w="333" w:type="pct"/>
            <w:shd w:val="clear" w:color="auto" w:fill="D2DDE1" w:themeFill="background2"/>
            <w:vAlign w:val="center"/>
          </w:tcPr>
          <w:p w14:paraId="60ACA253"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0.05</w:t>
            </w:r>
          </w:p>
        </w:tc>
        <w:tc>
          <w:tcPr>
            <w:tcW w:w="333" w:type="pct"/>
            <w:shd w:val="clear" w:color="auto" w:fill="D2DDE1" w:themeFill="background2"/>
            <w:vAlign w:val="center"/>
          </w:tcPr>
          <w:p w14:paraId="59DC2E68"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0.05</w:t>
            </w:r>
          </w:p>
        </w:tc>
        <w:tc>
          <w:tcPr>
            <w:tcW w:w="333" w:type="pct"/>
            <w:shd w:val="clear" w:color="auto" w:fill="D2DDE1" w:themeFill="background2"/>
            <w:vAlign w:val="center"/>
          </w:tcPr>
          <w:p w14:paraId="6EED26F7"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0.05</w:t>
            </w:r>
          </w:p>
        </w:tc>
        <w:tc>
          <w:tcPr>
            <w:tcW w:w="333" w:type="pct"/>
            <w:shd w:val="clear" w:color="auto" w:fill="D2DDE1" w:themeFill="background2"/>
            <w:vAlign w:val="center"/>
          </w:tcPr>
          <w:p w14:paraId="1AFCD41C"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0.05</w:t>
            </w:r>
          </w:p>
        </w:tc>
        <w:tc>
          <w:tcPr>
            <w:tcW w:w="333" w:type="pct"/>
            <w:shd w:val="clear" w:color="auto" w:fill="D2DDE1" w:themeFill="background2"/>
            <w:vAlign w:val="center"/>
          </w:tcPr>
          <w:p w14:paraId="7061EBBE"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0.05</w:t>
            </w:r>
          </w:p>
        </w:tc>
        <w:tc>
          <w:tcPr>
            <w:tcW w:w="336" w:type="pct"/>
            <w:shd w:val="clear" w:color="auto" w:fill="D2DDE1" w:themeFill="background2"/>
            <w:vAlign w:val="center"/>
          </w:tcPr>
          <w:p w14:paraId="779DD35A"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0.05</w:t>
            </w:r>
          </w:p>
        </w:tc>
      </w:tr>
      <w:tr w:rsidR="00F51113" w:rsidRPr="005A72BD" w14:paraId="206CA1A6" w14:textId="77777777">
        <w:tc>
          <w:tcPr>
            <w:tcW w:w="668" w:type="pct"/>
            <w:vAlign w:val="center"/>
          </w:tcPr>
          <w:p w14:paraId="3ED10156" w14:textId="77777777" w:rsidR="00F51113" w:rsidRPr="005A72BD" w:rsidRDefault="00F51113">
            <w:pPr>
              <w:pStyle w:val="TableText"/>
              <w:spacing w:before="40" w:after="40"/>
              <w:rPr>
                <w:rFonts w:asciiTheme="minorHAnsi" w:eastAsia="Times New Roman" w:hAnsiTheme="minorHAnsi" w:cstheme="minorHAnsi"/>
                <w:szCs w:val="18"/>
              </w:rPr>
            </w:pPr>
            <w:r w:rsidRPr="005A72BD">
              <w:rPr>
                <w:rFonts w:asciiTheme="minorHAnsi" w:eastAsia="Times New Roman" w:hAnsiTheme="minorHAnsi" w:cstheme="minorHAnsi"/>
                <w:szCs w:val="18"/>
              </w:rPr>
              <w:t>SF</w:t>
            </w:r>
            <w:r w:rsidRPr="005A72BD">
              <w:rPr>
                <w:rFonts w:asciiTheme="minorHAnsi" w:eastAsia="Times New Roman" w:hAnsiTheme="minorHAnsi" w:cstheme="minorHAnsi"/>
                <w:szCs w:val="18"/>
                <w:vertAlign w:val="subscript"/>
              </w:rPr>
              <w:t>6</w:t>
            </w:r>
            <w:r w:rsidRPr="005A72BD">
              <w:rPr>
                <w:rFonts w:asciiTheme="minorHAnsi" w:eastAsia="Times New Roman" w:hAnsiTheme="minorHAnsi" w:cstheme="minorHAnsi"/>
                <w:szCs w:val="18"/>
              </w:rPr>
              <w:t> </w:t>
            </w:r>
          </w:p>
        </w:tc>
        <w:tc>
          <w:tcPr>
            <w:tcW w:w="333" w:type="pct"/>
            <w:vAlign w:val="center"/>
          </w:tcPr>
          <w:p w14:paraId="732D1B47"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0.00</w:t>
            </w:r>
          </w:p>
        </w:tc>
        <w:tc>
          <w:tcPr>
            <w:tcW w:w="333" w:type="pct"/>
            <w:vAlign w:val="center"/>
          </w:tcPr>
          <w:p w14:paraId="247C673C"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vAlign w:val="center"/>
          </w:tcPr>
          <w:p w14:paraId="539126C3"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vAlign w:val="center"/>
          </w:tcPr>
          <w:p w14:paraId="0288E900"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0.03</w:t>
            </w:r>
          </w:p>
        </w:tc>
        <w:tc>
          <w:tcPr>
            <w:tcW w:w="333" w:type="pct"/>
            <w:vAlign w:val="center"/>
          </w:tcPr>
          <w:p w14:paraId="595F5687"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vAlign w:val="center"/>
          </w:tcPr>
          <w:p w14:paraId="3987555C"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vAlign w:val="center"/>
          </w:tcPr>
          <w:p w14:paraId="17E26C83"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shd w:val="clear" w:color="auto" w:fill="D2DDE1" w:themeFill="background2"/>
            <w:vAlign w:val="center"/>
          </w:tcPr>
          <w:p w14:paraId="64699902"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shd w:val="clear" w:color="auto" w:fill="D2DDE1" w:themeFill="background2"/>
            <w:vAlign w:val="center"/>
          </w:tcPr>
          <w:p w14:paraId="421FBD2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shd w:val="clear" w:color="auto" w:fill="D2DDE1" w:themeFill="background2"/>
            <w:vAlign w:val="center"/>
          </w:tcPr>
          <w:p w14:paraId="56A7D8A1"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shd w:val="clear" w:color="auto" w:fill="D2DDE1" w:themeFill="background2"/>
            <w:vAlign w:val="center"/>
          </w:tcPr>
          <w:p w14:paraId="002E8E6E"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3" w:type="pct"/>
            <w:shd w:val="clear" w:color="auto" w:fill="D2DDE1" w:themeFill="background2"/>
            <w:vAlign w:val="center"/>
          </w:tcPr>
          <w:p w14:paraId="151AC1B1"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c>
          <w:tcPr>
            <w:tcW w:w="336" w:type="pct"/>
            <w:shd w:val="clear" w:color="auto" w:fill="D2DDE1" w:themeFill="background2"/>
            <w:vAlign w:val="center"/>
          </w:tcPr>
          <w:p w14:paraId="3E8571D4" w14:textId="77777777" w:rsidR="00F51113" w:rsidRPr="005A72BD" w:rsidRDefault="00F51113">
            <w:pPr>
              <w:pStyle w:val="TableText"/>
              <w:spacing w:before="40" w:after="40"/>
              <w:jc w:val="center"/>
              <w:rPr>
                <w:rFonts w:asciiTheme="minorHAnsi" w:eastAsia="Times New Roman" w:hAnsiTheme="minorHAnsi" w:cstheme="minorHAnsi"/>
                <w:szCs w:val="18"/>
              </w:rPr>
            </w:pPr>
            <w:r w:rsidRPr="005A72BD">
              <w:rPr>
                <w:rFonts w:asciiTheme="minorHAnsi" w:hAnsiTheme="minorHAnsi" w:cstheme="minorHAnsi"/>
                <w:szCs w:val="18"/>
              </w:rPr>
              <w:t>0.02</w:t>
            </w:r>
          </w:p>
        </w:tc>
      </w:tr>
      <w:tr w:rsidR="00F51113" w:rsidRPr="005A72BD" w14:paraId="4C0C5885" w14:textId="77777777">
        <w:tc>
          <w:tcPr>
            <w:tcW w:w="668" w:type="pct"/>
            <w:vAlign w:val="bottom"/>
          </w:tcPr>
          <w:p w14:paraId="02821BE0" w14:textId="77777777" w:rsidR="00F51113" w:rsidRPr="005A72BD" w:rsidRDefault="00F51113">
            <w:pPr>
              <w:pStyle w:val="TableText"/>
              <w:spacing w:before="40" w:after="40"/>
              <w:rPr>
                <w:rFonts w:asciiTheme="minorHAnsi" w:eastAsia="Times New Roman" w:hAnsiTheme="minorHAnsi" w:cstheme="minorHAnsi"/>
                <w:b/>
                <w:szCs w:val="18"/>
              </w:rPr>
            </w:pPr>
            <w:r w:rsidRPr="005A72BD">
              <w:rPr>
                <w:rFonts w:asciiTheme="minorHAnsi" w:eastAsia="Times New Roman" w:hAnsiTheme="minorHAnsi" w:cstheme="minorHAnsi"/>
                <w:b/>
                <w:szCs w:val="18"/>
              </w:rPr>
              <w:t>Total excl LULUCF</w:t>
            </w:r>
          </w:p>
        </w:tc>
        <w:tc>
          <w:tcPr>
            <w:tcW w:w="333" w:type="pct"/>
            <w:vAlign w:val="bottom"/>
          </w:tcPr>
          <w:p w14:paraId="54740730"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68.8</w:t>
            </w:r>
          </w:p>
        </w:tc>
        <w:tc>
          <w:tcPr>
            <w:tcW w:w="333" w:type="pct"/>
            <w:vAlign w:val="bottom"/>
          </w:tcPr>
          <w:p w14:paraId="024499BB"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73.0</w:t>
            </w:r>
          </w:p>
        </w:tc>
        <w:tc>
          <w:tcPr>
            <w:tcW w:w="333" w:type="pct"/>
            <w:vAlign w:val="bottom"/>
          </w:tcPr>
          <w:p w14:paraId="1CCA4485"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79.6</w:t>
            </w:r>
          </w:p>
        </w:tc>
        <w:tc>
          <w:tcPr>
            <w:tcW w:w="333" w:type="pct"/>
            <w:vAlign w:val="bottom"/>
          </w:tcPr>
          <w:p w14:paraId="16B374E4"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86.7</w:t>
            </w:r>
          </w:p>
        </w:tc>
        <w:tc>
          <w:tcPr>
            <w:tcW w:w="333" w:type="pct"/>
            <w:vAlign w:val="bottom"/>
          </w:tcPr>
          <w:p w14:paraId="7D981FBF"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82.6</w:t>
            </w:r>
          </w:p>
        </w:tc>
        <w:tc>
          <w:tcPr>
            <w:tcW w:w="333" w:type="pct"/>
            <w:vAlign w:val="bottom"/>
          </w:tcPr>
          <w:p w14:paraId="5006E92F"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84.9</w:t>
            </w:r>
          </w:p>
        </w:tc>
        <w:tc>
          <w:tcPr>
            <w:tcW w:w="333" w:type="pct"/>
            <w:vAlign w:val="bottom"/>
          </w:tcPr>
          <w:p w14:paraId="342C8139"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83.2</w:t>
            </w:r>
          </w:p>
        </w:tc>
        <w:tc>
          <w:tcPr>
            <w:tcW w:w="333" w:type="pct"/>
            <w:shd w:val="clear" w:color="auto" w:fill="D2DDE1" w:themeFill="background2"/>
            <w:vAlign w:val="bottom"/>
          </w:tcPr>
          <w:p w14:paraId="2A6636AF"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80.0</w:t>
            </w:r>
          </w:p>
        </w:tc>
        <w:tc>
          <w:tcPr>
            <w:tcW w:w="333" w:type="pct"/>
            <w:shd w:val="clear" w:color="auto" w:fill="D2DDE1" w:themeFill="background2"/>
            <w:vAlign w:val="bottom"/>
          </w:tcPr>
          <w:p w14:paraId="2E4C9C49"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78.0</w:t>
            </w:r>
          </w:p>
        </w:tc>
        <w:tc>
          <w:tcPr>
            <w:tcW w:w="333" w:type="pct"/>
            <w:shd w:val="clear" w:color="auto" w:fill="D2DDE1" w:themeFill="background2"/>
            <w:vAlign w:val="bottom"/>
          </w:tcPr>
          <w:p w14:paraId="4C1465A6"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76.6</w:t>
            </w:r>
          </w:p>
        </w:tc>
        <w:tc>
          <w:tcPr>
            <w:tcW w:w="333" w:type="pct"/>
            <w:shd w:val="clear" w:color="auto" w:fill="D2DDE1" w:themeFill="background2"/>
            <w:vAlign w:val="bottom"/>
          </w:tcPr>
          <w:p w14:paraId="458C75EF"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72.9</w:t>
            </w:r>
          </w:p>
        </w:tc>
        <w:tc>
          <w:tcPr>
            <w:tcW w:w="333" w:type="pct"/>
            <w:shd w:val="clear" w:color="auto" w:fill="D2DDE1" w:themeFill="background2"/>
            <w:vAlign w:val="bottom"/>
          </w:tcPr>
          <w:p w14:paraId="3895297E"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70.7</w:t>
            </w:r>
          </w:p>
        </w:tc>
        <w:tc>
          <w:tcPr>
            <w:tcW w:w="336" w:type="pct"/>
            <w:shd w:val="clear" w:color="auto" w:fill="D2DDE1" w:themeFill="background2"/>
            <w:vAlign w:val="bottom"/>
          </w:tcPr>
          <w:p w14:paraId="4D658E2E"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69.0</w:t>
            </w:r>
          </w:p>
        </w:tc>
      </w:tr>
      <w:tr w:rsidR="00F51113" w:rsidRPr="005A72BD" w14:paraId="14984AE3" w14:textId="77777777">
        <w:tc>
          <w:tcPr>
            <w:tcW w:w="668" w:type="pct"/>
            <w:vAlign w:val="bottom"/>
          </w:tcPr>
          <w:p w14:paraId="10ACD00B" w14:textId="77777777" w:rsidR="00F51113" w:rsidRPr="005A72BD" w:rsidRDefault="00F51113">
            <w:pPr>
              <w:pStyle w:val="TableText"/>
              <w:spacing w:before="40" w:after="40"/>
              <w:rPr>
                <w:rFonts w:asciiTheme="minorHAnsi" w:eastAsia="Times New Roman" w:hAnsiTheme="minorHAnsi" w:cstheme="minorHAnsi"/>
                <w:b/>
                <w:szCs w:val="18"/>
              </w:rPr>
            </w:pPr>
            <w:r w:rsidRPr="005A72BD">
              <w:rPr>
                <w:rFonts w:asciiTheme="minorHAnsi" w:eastAsia="Times New Roman" w:hAnsiTheme="minorHAnsi" w:cstheme="minorHAnsi"/>
                <w:b/>
                <w:szCs w:val="18"/>
              </w:rPr>
              <w:t>Total incl LULUCF</w:t>
            </w:r>
          </w:p>
        </w:tc>
        <w:tc>
          <w:tcPr>
            <w:tcW w:w="333" w:type="pct"/>
            <w:vAlign w:val="bottom"/>
          </w:tcPr>
          <w:p w14:paraId="50B5F4C9"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44.5</w:t>
            </w:r>
          </w:p>
        </w:tc>
        <w:tc>
          <w:tcPr>
            <w:tcW w:w="333" w:type="pct"/>
            <w:vAlign w:val="bottom"/>
          </w:tcPr>
          <w:p w14:paraId="6F7CA519"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49.2</w:t>
            </w:r>
          </w:p>
        </w:tc>
        <w:tc>
          <w:tcPr>
            <w:tcW w:w="333" w:type="pct"/>
            <w:vAlign w:val="bottom"/>
          </w:tcPr>
          <w:p w14:paraId="1BD6A75F"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52.5</w:t>
            </w:r>
          </w:p>
        </w:tc>
        <w:tc>
          <w:tcPr>
            <w:tcW w:w="333" w:type="pct"/>
            <w:vAlign w:val="bottom"/>
          </w:tcPr>
          <w:p w14:paraId="14DFA196"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59.6</w:t>
            </w:r>
          </w:p>
        </w:tc>
        <w:tc>
          <w:tcPr>
            <w:tcW w:w="333" w:type="pct"/>
            <w:vAlign w:val="bottom"/>
          </w:tcPr>
          <w:p w14:paraId="6246A233"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55.2</w:t>
            </w:r>
          </w:p>
        </w:tc>
        <w:tc>
          <w:tcPr>
            <w:tcW w:w="333" w:type="pct"/>
            <w:vAlign w:val="bottom"/>
          </w:tcPr>
          <w:p w14:paraId="4AC96CE5"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61.1</w:t>
            </w:r>
          </w:p>
        </w:tc>
        <w:tc>
          <w:tcPr>
            <w:tcW w:w="333" w:type="pct"/>
            <w:vAlign w:val="bottom"/>
          </w:tcPr>
          <w:p w14:paraId="2C637C63"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68.2</w:t>
            </w:r>
          </w:p>
        </w:tc>
        <w:tc>
          <w:tcPr>
            <w:tcW w:w="333" w:type="pct"/>
            <w:shd w:val="clear" w:color="auto" w:fill="D2DDE1" w:themeFill="background2"/>
            <w:vAlign w:val="bottom"/>
          </w:tcPr>
          <w:p w14:paraId="7FA7AAB7"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74.6</w:t>
            </w:r>
          </w:p>
        </w:tc>
        <w:tc>
          <w:tcPr>
            <w:tcW w:w="333" w:type="pct"/>
            <w:shd w:val="clear" w:color="auto" w:fill="D2DDE1" w:themeFill="background2"/>
            <w:vAlign w:val="bottom"/>
          </w:tcPr>
          <w:p w14:paraId="5E4D3CFE"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75.7</w:t>
            </w:r>
          </w:p>
        </w:tc>
        <w:tc>
          <w:tcPr>
            <w:tcW w:w="333" w:type="pct"/>
            <w:shd w:val="clear" w:color="auto" w:fill="D2DDE1" w:themeFill="background2"/>
            <w:vAlign w:val="bottom"/>
          </w:tcPr>
          <w:p w14:paraId="5429C8B2"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69.4</w:t>
            </w:r>
          </w:p>
        </w:tc>
        <w:tc>
          <w:tcPr>
            <w:tcW w:w="333" w:type="pct"/>
            <w:shd w:val="clear" w:color="auto" w:fill="D2DDE1" w:themeFill="background2"/>
            <w:vAlign w:val="bottom"/>
          </w:tcPr>
          <w:p w14:paraId="62052822"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73.5</w:t>
            </w:r>
          </w:p>
        </w:tc>
        <w:tc>
          <w:tcPr>
            <w:tcW w:w="333" w:type="pct"/>
            <w:shd w:val="clear" w:color="auto" w:fill="D2DDE1" w:themeFill="background2"/>
            <w:vAlign w:val="bottom"/>
          </w:tcPr>
          <w:p w14:paraId="7AE18786"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70.1</w:t>
            </w:r>
          </w:p>
        </w:tc>
        <w:tc>
          <w:tcPr>
            <w:tcW w:w="336" w:type="pct"/>
            <w:shd w:val="clear" w:color="auto" w:fill="D2DDE1" w:themeFill="background2"/>
            <w:vAlign w:val="bottom"/>
          </w:tcPr>
          <w:p w14:paraId="39192474" w14:textId="77777777" w:rsidR="00F51113" w:rsidRPr="005A72BD" w:rsidRDefault="00F51113">
            <w:pPr>
              <w:pStyle w:val="TableText"/>
              <w:spacing w:before="40" w:after="40"/>
              <w:jc w:val="center"/>
              <w:rPr>
                <w:rFonts w:asciiTheme="minorHAnsi" w:eastAsia="Times New Roman" w:hAnsiTheme="minorHAnsi" w:cstheme="minorHAnsi"/>
                <w:b/>
                <w:szCs w:val="18"/>
              </w:rPr>
            </w:pPr>
            <w:r w:rsidRPr="005A72BD">
              <w:rPr>
                <w:rFonts w:asciiTheme="minorHAnsi" w:hAnsiTheme="minorHAnsi" w:cstheme="minorHAnsi"/>
                <w:b/>
                <w:szCs w:val="18"/>
              </w:rPr>
              <w:t>58.4</w:t>
            </w:r>
          </w:p>
        </w:tc>
      </w:tr>
    </w:tbl>
    <w:p w14:paraId="317DAAA7" w14:textId="77777777" w:rsidR="00F51113" w:rsidRPr="004C2DCD" w:rsidRDefault="00F51113" w:rsidP="00F51113">
      <w:pPr>
        <w:pStyle w:val="Note"/>
        <w:rPr>
          <w:rFonts w:eastAsia="Times New Roman"/>
        </w:rPr>
      </w:pPr>
      <w:r w:rsidRPr="004C2DCD">
        <w:rPr>
          <w:b/>
          <w:bCs/>
        </w:rPr>
        <w:t>Note:</w:t>
      </w:r>
      <w:r w:rsidRPr="004C2DCD">
        <w:t xml:space="preserve"> CH</w:t>
      </w:r>
      <w:r w:rsidRPr="004C2DCD">
        <w:rPr>
          <w:vertAlign w:val="subscript"/>
        </w:rPr>
        <w:t>4</w:t>
      </w:r>
      <w:r w:rsidRPr="004C2DCD">
        <w:t xml:space="preserve"> = methane; CO</w:t>
      </w:r>
      <w:r w:rsidRPr="004C2DCD">
        <w:rPr>
          <w:vertAlign w:val="subscript"/>
        </w:rPr>
        <w:t>2</w:t>
      </w:r>
      <w:r w:rsidRPr="004C2DCD">
        <w:t xml:space="preserve"> = carbon dioxide; </w:t>
      </w:r>
      <w:r w:rsidRPr="004C2DCD">
        <w:rPr>
          <w:rFonts w:eastAsia="Times New Roman"/>
        </w:rPr>
        <w:t xml:space="preserve">HFCs = hydrofluorocarbons; IPPU = Industrial Process and Product Use; LULUCF = Land Use, Land-Use Change and Forestry; </w:t>
      </w:r>
      <w:r w:rsidRPr="004C2DCD">
        <w:t>N</w:t>
      </w:r>
      <w:r w:rsidRPr="004C2DCD">
        <w:rPr>
          <w:vertAlign w:val="subscript"/>
        </w:rPr>
        <w:t>2</w:t>
      </w:r>
      <w:r w:rsidRPr="004C2DCD">
        <w:t xml:space="preserve">O = nitrous oxide; </w:t>
      </w:r>
      <w:r w:rsidRPr="004C2DCD">
        <w:rPr>
          <w:rFonts w:eastAsia="Times New Roman"/>
        </w:rPr>
        <w:t>PFCs = perfluorocarbons; SF</w:t>
      </w:r>
      <w:r w:rsidRPr="004C2DCD">
        <w:rPr>
          <w:rFonts w:eastAsia="Times New Roman"/>
          <w:sz w:val="14"/>
          <w:szCs w:val="14"/>
          <w:vertAlign w:val="subscript"/>
        </w:rPr>
        <w:t>6</w:t>
      </w:r>
      <w:r w:rsidRPr="004C2DCD">
        <w:rPr>
          <w:rFonts w:eastAsia="Times New Roman"/>
          <w:sz w:val="14"/>
          <w:szCs w:val="14"/>
        </w:rPr>
        <w:t xml:space="preserve"> </w:t>
      </w:r>
      <w:r w:rsidRPr="004C2DCD">
        <w:t>= sulphur hexafluoride.</w:t>
      </w:r>
    </w:p>
    <w:p w14:paraId="3D088762" w14:textId="11ECEC8E" w:rsidR="00F51113" w:rsidRPr="004C2DCD" w:rsidRDefault="00E75E70" w:rsidP="009B131C">
      <w:pPr>
        <w:pStyle w:val="Heading3"/>
        <w:ind w:left="1134" w:hanging="1134"/>
      </w:pPr>
      <w:r>
        <w:t>2.5.7.2</w:t>
      </w:r>
      <w:r>
        <w:tab/>
      </w:r>
      <w:r w:rsidR="00F51113" w:rsidRPr="004C2DCD">
        <w:t>Emissions projections by sector, under the ‘without measures’ scenario</w:t>
      </w:r>
    </w:p>
    <w:p w14:paraId="0B3E95B8" w14:textId="7CC1D4EE" w:rsidR="00F51113" w:rsidRPr="004C2DCD" w:rsidRDefault="00D1390B" w:rsidP="00F51113">
      <w:pPr>
        <w:pStyle w:val="Heading4"/>
      </w:pPr>
      <w:r>
        <w:t>2.5.7.2.1</w:t>
      </w:r>
      <w:r>
        <w:tab/>
      </w:r>
      <w:r w:rsidR="00F51113" w:rsidRPr="004C2DCD">
        <w:t xml:space="preserve">Energy (excluding </w:t>
      </w:r>
      <w:r w:rsidR="00975FCE">
        <w:t>T</w:t>
      </w:r>
      <w:r w:rsidR="00F51113" w:rsidRPr="004C2DCD">
        <w:t>ransport)</w:t>
      </w:r>
    </w:p>
    <w:p w14:paraId="7B026285" w14:textId="0CFA8AE0" w:rsidR="00F51113" w:rsidRPr="004C2DCD" w:rsidRDefault="00F51113" w:rsidP="00F51113">
      <w:pPr>
        <w:pStyle w:val="BodyText"/>
      </w:pPr>
      <w:r w:rsidRPr="004C2DCD">
        <w:t>Emissions from the Energy sector under the WOM scenario are projected to decrease to 14.2 Mt CO</w:t>
      </w:r>
      <w:r w:rsidRPr="004C2DCD">
        <w:rPr>
          <w:vertAlign w:val="subscript"/>
        </w:rPr>
        <w:t>2</w:t>
      </w:r>
      <w:r w:rsidRPr="004C2DCD">
        <w:t>e by 2030 (10.6 per cent below 1990 levels and 5.5 per cent below 2022 levels) and to 11.2 Mt CO</w:t>
      </w:r>
      <w:r w:rsidRPr="004C2DCD">
        <w:rPr>
          <w:vertAlign w:val="subscript"/>
        </w:rPr>
        <w:t>2</w:t>
      </w:r>
      <w:r w:rsidRPr="004C2DCD">
        <w:t xml:space="preserve">e by 2050 (29.8 per cent below 1990 levels and 25.8 per cent below 2022 levels). Figure 2.5.23 presents historical GHG emissions from 1990 to 2022 and projected GHG emissions under the WOM scenario out to 2050 for the Energy sector. </w:t>
      </w:r>
      <w:hyperlink w:anchor="table2525" w:history="1">
        <w:r w:rsidRPr="00EC5ED0">
          <w:rPr>
            <w:rStyle w:val="Hyperlink"/>
          </w:rPr>
          <w:t>Table 2.5.25</w:t>
        </w:r>
      </w:hyperlink>
      <w:r w:rsidRPr="004C2DCD">
        <w:t xml:space="preserve"> presents the WOM scenario by gas in five-yearly increments.</w:t>
      </w:r>
    </w:p>
    <w:p w14:paraId="258A8EBD" w14:textId="5F18E42E" w:rsidR="00F51113" w:rsidRPr="004C2DCD" w:rsidRDefault="00F51113" w:rsidP="00AF10D1">
      <w:pPr>
        <w:pStyle w:val="Figureheading"/>
        <w:ind w:left="1276" w:hanging="1276"/>
      </w:pPr>
      <w:bookmarkStart w:id="670" w:name="_Toc185347267"/>
      <w:r w:rsidRPr="004C2DCD">
        <w:t>Figure 2.5.23:</w:t>
      </w:r>
      <w:r w:rsidR="00AF10D1">
        <w:tab/>
      </w:r>
      <w:r w:rsidRPr="004C2DCD">
        <w:t>Greenhouse gas emissions for the ‘without measures’ scenario in the Energy sector, 1990–2050</w:t>
      </w:r>
      <w:bookmarkEnd w:id="670"/>
      <w:r w:rsidRPr="004C2DCD">
        <w:t xml:space="preserve"> </w:t>
      </w:r>
    </w:p>
    <w:p w14:paraId="4B7902F7" w14:textId="247980E6" w:rsidR="00F51113" w:rsidRPr="004C2DCD" w:rsidRDefault="00853E5D" w:rsidP="00537D75">
      <w:pPr>
        <w:pStyle w:val="Note"/>
      </w:pPr>
      <w:r>
        <w:rPr>
          <w:noProof/>
        </w:rPr>
        <w:drawing>
          <wp:inline distT="0" distB="0" distL="0" distR="0" wp14:anchorId="67B924B8" wp14:editId="477D0863">
            <wp:extent cx="5400675" cy="2873994"/>
            <wp:effectExtent l="0" t="0" r="0" b="3175"/>
            <wp:docPr id="756623149" name="Picture 48" descr="A line graph showing greenhouse gas emissions in million tonnes carbon dioxide equivalent for the ‘without measures’ scenario in the Energy sector for the period 1990 to 2050. It compares historical Energy emissions with projected emissions without mea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623149" name="Picture 48" descr="A line graph showing greenhouse gas emissions in million tonnes carbon dioxide equivalent for the ‘without measures’ scenario in the Energy sector for the period 1990 to 2050. It compares historical Energy emissions with projected emissions without measure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12385" cy="2880225"/>
                    </a:xfrm>
                    <a:prstGeom prst="rect">
                      <a:avLst/>
                    </a:prstGeom>
                    <a:noFill/>
                  </pic:spPr>
                </pic:pic>
              </a:graphicData>
            </a:graphic>
          </wp:inline>
        </w:drawing>
      </w:r>
      <w:r w:rsidR="00F51113" w:rsidRPr="004C2DCD">
        <w:rPr>
          <w:b/>
          <w:bCs/>
        </w:rPr>
        <w:t>Note:</w:t>
      </w:r>
      <w:r w:rsidR="00F51113" w:rsidRPr="004C2DCD">
        <w:t xml:space="preserve"> Mt CO</w:t>
      </w:r>
      <w:r w:rsidR="00F51113" w:rsidRPr="004C2DCD">
        <w:rPr>
          <w:vertAlign w:val="subscript"/>
        </w:rPr>
        <w:t>2</w:t>
      </w:r>
      <w:r w:rsidR="00F51113" w:rsidRPr="004C2DCD">
        <w:t>e =</w:t>
      </w:r>
      <w:r w:rsidR="00F51113" w:rsidRPr="004C2DCD">
        <w:rPr>
          <w:b/>
          <w:bCs/>
        </w:rPr>
        <w:t xml:space="preserve"> </w:t>
      </w:r>
      <w:r w:rsidR="00F51113" w:rsidRPr="004C2DCD">
        <w:t>million tonnes of carbon dioxide equivalent.</w:t>
      </w:r>
    </w:p>
    <w:p w14:paraId="7C73A2CE" w14:textId="77777777" w:rsidR="00F51113" w:rsidRPr="004C2DCD" w:rsidRDefault="00F51113" w:rsidP="00F51113">
      <w:pPr>
        <w:pStyle w:val="Tableheading"/>
        <w:ind w:left="1276" w:hanging="1276"/>
      </w:pPr>
      <w:bookmarkStart w:id="671" w:name="table2525"/>
      <w:bookmarkStart w:id="672" w:name="_Toc183789726"/>
      <w:bookmarkStart w:id="673" w:name="_Toc185407490"/>
      <w:bookmarkStart w:id="674" w:name="_Toc185427753"/>
      <w:r w:rsidRPr="004C2DCD">
        <w:t>Table 2.5.25</w:t>
      </w:r>
      <w:bookmarkEnd w:id="671"/>
      <w:r w:rsidRPr="004C2DCD">
        <w:t xml:space="preserve">: </w:t>
      </w:r>
      <w:r w:rsidRPr="004C2DCD">
        <w:tab/>
        <w:t>Historical and projected Energy sector emissions by gas under the ‘without measures’ scenario, 1990–2050 (Mt CO</w:t>
      </w:r>
      <w:r w:rsidRPr="004C2DCD">
        <w:rPr>
          <w:vertAlign w:val="subscript"/>
        </w:rPr>
        <w:t>2</w:t>
      </w:r>
      <w:r w:rsidRPr="004C2DCD">
        <w:t>e)</w:t>
      </w:r>
      <w:bookmarkEnd w:id="672"/>
      <w:bookmarkEnd w:id="673"/>
      <w:bookmarkEnd w:id="674"/>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ook w:val="04A0" w:firstRow="1" w:lastRow="0" w:firstColumn="1" w:lastColumn="0" w:noHBand="0" w:noVBand="1"/>
      </w:tblPr>
      <w:tblGrid>
        <w:gridCol w:w="614"/>
        <w:gridCol w:w="607"/>
        <w:gridCol w:w="607"/>
        <w:gridCol w:w="607"/>
        <w:gridCol w:w="607"/>
        <w:gridCol w:w="607"/>
        <w:gridCol w:w="607"/>
        <w:gridCol w:w="607"/>
        <w:gridCol w:w="607"/>
        <w:gridCol w:w="607"/>
        <w:gridCol w:w="607"/>
        <w:gridCol w:w="607"/>
        <w:gridCol w:w="607"/>
        <w:gridCol w:w="607"/>
      </w:tblGrid>
      <w:tr w:rsidR="00F51113" w:rsidRPr="000D643E" w14:paraId="0A2FDC31" w14:textId="77777777">
        <w:tc>
          <w:tcPr>
            <w:tcW w:w="621" w:type="dxa"/>
            <w:shd w:val="clear" w:color="auto" w:fill="1B556B" w:themeFill="text2"/>
            <w:hideMark/>
          </w:tcPr>
          <w:p w14:paraId="7B39BA4F" w14:textId="77777777" w:rsidR="00F51113" w:rsidRPr="000D643E" w:rsidRDefault="00F51113">
            <w:pPr>
              <w:pStyle w:val="TableTextbold"/>
              <w:keepNext/>
              <w:spacing w:before="40" w:after="0"/>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 </w:t>
            </w:r>
          </w:p>
        </w:tc>
        <w:tc>
          <w:tcPr>
            <w:tcW w:w="3726" w:type="dxa"/>
            <w:gridSpan w:val="6"/>
            <w:shd w:val="clear" w:color="auto" w:fill="1B556B" w:themeFill="text2"/>
            <w:hideMark/>
          </w:tcPr>
          <w:p w14:paraId="70AD641A" w14:textId="77777777" w:rsidR="00F51113" w:rsidRPr="000D643E" w:rsidRDefault="00F51113">
            <w:pPr>
              <w:pStyle w:val="TableTextbold"/>
              <w:keepNext/>
              <w:spacing w:before="40" w:after="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Historical</w:t>
            </w:r>
          </w:p>
        </w:tc>
        <w:tc>
          <w:tcPr>
            <w:tcW w:w="4347" w:type="dxa"/>
            <w:gridSpan w:val="7"/>
            <w:shd w:val="clear" w:color="auto" w:fill="1B556B" w:themeFill="text2"/>
            <w:hideMark/>
          </w:tcPr>
          <w:p w14:paraId="46E63FF1" w14:textId="77777777" w:rsidR="00F51113" w:rsidRPr="000D643E" w:rsidRDefault="00F51113">
            <w:pPr>
              <w:pStyle w:val="TableTextbold"/>
              <w:keepNext/>
              <w:spacing w:before="40" w:after="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Projected</w:t>
            </w:r>
          </w:p>
        </w:tc>
      </w:tr>
      <w:tr w:rsidR="00F51113" w:rsidRPr="000D643E" w14:paraId="75BDD875" w14:textId="77777777">
        <w:tc>
          <w:tcPr>
            <w:tcW w:w="621" w:type="dxa"/>
            <w:shd w:val="clear" w:color="auto" w:fill="1B556B" w:themeFill="text2"/>
            <w:hideMark/>
          </w:tcPr>
          <w:p w14:paraId="691EFCE5" w14:textId="77777777" w:rsidR="00F51113" w:rsidRPr="000D643E" w:rsidRDefault="00F51113">
            <w:pPr>
              <w:pStyle w:val="TableTextbold"/>
              <w:spacing w:before="0" w:after="40"/>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Gas</w:t>
            </w:r>
          </w:p>
        </w:tc>
        <w:tc>
          <w:tcPr>
            <w:tcW w:w="621" w:type="dxa"/>
            <w:shd w:val="clear" w:color="auto" w:fill="1B556B" w:themeFill="text2"/>
            <w:hideMark/>
          </w:tcPr>
          <w:p w14:paraId="64D8C6C3" w14:textId="77777777" w:rsidR="00F51113" w:rsidRPr="000D643E" w:rsidRDefault="00F51113">
            <w:pPr>
              <w:pStyle w:val="TableTextbold"/>
              <w:spacing w:before="0" w:after="40"/>
              <w:jc w:val="center"/>
              <w:rPr>
                <w:rFonts w:asciiTheme="minorHAnsi" w:hAnsiTheme="minorHAnsi" w:cstheme="minorHAnsi"/>
                <w:bCs/>
                <w:color w:val="FFFFFF" w:themeColor="background1"/>
                <w:szCs w:val="18"/>
              </w:rPr>
            </w:pPr>
            <w:r w:rsidRPr="000D643E">
              <w:rPr>
                <w:rFonts w:asciiTheme="minorHAnsi" w:hAnsiTheme="minorHAnsi" w:cstheme="minorHAnsi"/>
                <w:color w:val="FFFFFF" w:themeColor="background1"/>
                <w:szCs w:val="18"/>
              </w:rPr>
              <w:t>1990</w:t>
            </w:r>
          </w:p>
        </w:tc>
        <w:tc>
          <w:tcPr>
            <w:tcW w:w="621" w:type="dxa"/>
            <w:shd w:val="clear" w:color="auto" w:fill="1B556B" w:themeFill="text2"/>
            <w:hideMark/>
          </w:tcPr>
          <w:p w14:paraId="6B4E246B" w14:textId="77777777" w:rsidR="00F51113" w:rsidRPr="000D643E" w:rsidRDefault="00F51113">
            <w:pPr>
              <w:pStyle w:val="TableTextbold"/>
              <w:spacing w:before="0" w:after="40"/>
              <w:jc w:val="center"/>
              <w:rPr>
                <w:rFonts w:asciiTheme="minorHAnsi" w:hAnsiTheme="minorHAnsi" w:cstheme="minorHAnsi"/>
                <w:bCs/>
                <w:color w:val="FFFFFF" w:themeColor="background1"/>
                <w:szCs w:val="18"/>
              </w:rPr>
            </w:pPr>
            <w:r w:rsidRPr="000D643E">
              <w:rPr>
                <w:rFonts w:asciiTheme="minorHAnsi" w:hAnsiTheme="minorHAnsi" w:cstheme="minorHAnsi"/>
                <w:color w:val="FFFFFF" w:themeColor="background1"/>
                <w:szCs w:val="18"/>
              </w:rPr>
              <w:t>1995</w:t>
            </w:r>
          </w:p>
        </w:tc>
        <w:tc>
          <w:tcPr>
            <w:tcW w:w="621" w:type="dxa"/>
            <w:shd w:val="clear" w:color="auto" w:fill="1B556B" w:themeFill="text2"/>
            <w:hideMark/>
          </w:tcPr>
          <w:p w14:paraId="2FD80732" w14:textId="77777777" w:rsidR="00F51113" w:rsidRPr="000D643E" w:rsidRDefault="00F51113">
            <w:pPr>
              <w:pStyle w:val="TableTextbold"/>
              <w:spacing w:before="0" w:after="40"/>
              <w:jc w:val="center"/>
              <w:rPr>
                <w:rFonts w:asciiTheme="minorHAnsi" w:hAnsiTheme="minorHAnsi" w:cstheme="minorHAnsi"/>
                <w:bCs/>
                <w:color w:val="FFFFFF" w:themeColor="background1"/>
                <w:szCs w:val="18"/>
              </w:rPr>
            </w:pPr>
            <w:r w:rsidRPr="000D643E">
              <w:rPr>
                <w:rFonts w:asciiTheme="minorHAnsi" w:hAnsiTheme="minorHAnsi" w:cstheme="minorHAnsi"/>
                <w:color w:val="FFFFFF" w:themeColor="background1"/>
                <w:szCs w:val="18"/>
              </w:rPr>
              <w:t>2000</w:t>
            </w:r>
          </w:p>
        </w:tc>
        <w:tc>
          <w:tcPr>
            <w:tcW w:w="621" w:type="dxa"/>
            <w:shd w:val="clear" w:color="auto" w:fill="1B556B" w:themeFill="text2"/>
            <w:hideMark/>
          </w:tcPr>
          <w:p w14:paraId="0D98D96A" w14:textId="77777777" w:rsidR="00F51113" w:rsidRPr="000D643E" w:rsidRDefault="00F51113">
            <w:pPr>
              <w:pStyle w:val="TableTextbold"/>
              <w:spacing w:before="0" w:after="40"/>
              <w:jc w:val="center"/>
              <w:rPr>
                <w:rFonts w:asciiTheme="minorHAnsi" w:hAnsiTheme="minorHAnsi" w:cstheme="minorHAnsi"/>
                <w:bCs/>
                <w:color w:val="FFFFFF" w:themeColor="background1"/>
                <w:szCs w:val="18"/>
              </w:rPr>
            </w:pPr>
            <w:r w:rsidRPr="000D643E">
              <w:rPr>
                <w:rFonts w:asciiTheme="minorHAnsi" w:hAnsiTheme="minorHAnsi" w:cstheme="minorHAnsi"/>
                <w:color w:val="FFFFFF" w:themeColor="background1"/>
                <w:szCs w:val="18"/>
              </w:rPr>
              <w:t>2005</w:t>
            </w:r>
          </w:p>
        </w:tc>
        <w:tc>
          <w:tcPr>
            <w:tcW w:w="621" w:type="dxa"/>
            <w:shd w:val="clear" w:color="auto" w:fill="1B556B" w:themeFill="text2"/>
            <w:hideMark/>
          </w:tcPr>
          <w:p w14:paraId="3BD97F97" w14:textId="77777777" w:rsidR="00F51113" w:rsidRPr="000D643E" w:rsidRDefault="00F51113">
            <w:pPr>
              <w:pStyle w:val="TableTextbold"/>
              <w:spacing w:before="0" w:after="40"/>
              <w:jc w:val="center"/>
              <w:rPr>
                <w:rFonts w:asciiTheme="minorHAnsi" w:hAnsiTheme="minorHAnsi" w:cstheme="minorHAnsi"/>
                <w:bCs/>
                <w:color w:val="FFFFFF" w:themeColor="background1"/>
                <w:szCs w:val="18"/>
              </w:rPr>
            </w:pPr>
            <w:r w:rsidRPr="000D643E">
              <w:rPr>
                <w:rFonts w:asciiTheme="minorHAnsi" w:hAnsiTheme="minorHAnsi" w:cstheme="minorHAnsi"/>
                <w:color w:val="FFFFFF" w:themeColor="background1"/>
                <w:szCs w:val="18"/>
              </w:rPr>
              <w:t>2010</w:t>
            </w:r>
          </w:p>
        </w:tc>
        <w:tc>
          <w:tcPr>
            <w:tcW w:w="621" w:type="dxa"/>
            <w:shd w:val="clear" w:color="auto" w:fill="1B556B" w:themeFill="text2"/>
            <w:hideMark/>
          </w:tcPr>
          <w:p w14:paraId="220093A8" w14:textId="77777777" w:rsidR="00F51113" w:rsidRPr="000D643E" w:rsidRDefault="00F51113">
            <w:pPr>
              <w:pStyle w:val="TableTextbold"/>
              <w:spacing w:before="0" w:after="40"/>
              <w:jc w:val="center"/>
              <w:rPr>
                <w:rFonts w:asciiTheme="minorHAnsi" w:hAnsiTheme="minorHAnsi" w:cstheme="minorHAnsi"/>
                <w:bCs/>
                <w:color w:val="FFFFFF" w:themeColor="background1"/>
                <w:szCs w:val="18"/>
              </w:rPr>
            </w:pPr>
            <w:r w:rsidRPr="000D643E">
              <w:rPr>
                <w:rFonts w:asciiTheme="minorHAnsi" w:hAnsiTheme="minorHAnsi" w:cstheme="minorHAnsi"/>
                <w:color w:val="FFFFFF" w:themeColor="background1"/>
                <w:szCs w:val="18"/>
              </w:rPr>
              <w:t>2015</w:t>
            </w:r>
          </w:p>
        </w:tc>
        <w:tc>
          <w:tcPr>
            <w:tcW w:w="621" w:type="dxa"/>
            <w:shd w:val="clear" w:color="auto" w:fill="1B556B" w:themeFill="text2"/>
            <w:hideMark/>
          </w:tcPr>
          <w:p w14:paraId="0B2D58AB" w14:textId="77777777" w:rsidR="00F51113" w:rsidRPr="000D643E" w:rsidRDefault="00F51113">
            <w:pPr>
              <w:pStyle w:val="TableTextbold"/>
              <w:spacing w:before="0" w:after="40"/>
              <w:jc w:val="center"/>
              <w:rPr>
                <w:rFonts w:asciiTheme="minorHAnsi" w:hAnsiTheme="minorHAnsi" w:cstheme="minorHAnsi"/>
                <w:bCs/>
                <w:color w:val="FFFFFF" w:themeColor="background1"/>
                <w:szCs w:val="18"/>
              </w:rPr>
            </w:pPr>
            <w:r w:rsidRPr="000D643E">
              <w:rPr>
                <w:rFonts w:asciiTheme="minorHAnsi" w:hAnsiTheme="minorHAnsi" w:cstheme="minorHAnsi"/>
                <w:color w:val="FFFFFF" w:themeColor="background1"/>
                <w:szCs w:val="18"/>
              </w:rPr>
              <w:t>2020</w:t>
            </w:r>
          </w:p>
        </w:tc>
        <w:tc>
          <w:tcPr>
            <w:tcW w:w="621" w:type="dxa"/>
            <w:shd w:val="clear" w:color="auto" w:fill="1B556B" w:themeFill="text2"/>
            <w:hideMark/>
          </w:tcPr>
          <w:p w14:paraId="65AF5A48" w14:textId="77777777" w:rsidR="00F51113" w:rsidRPr="000D643E" w:rsidRDefault="00F51113">
            <w:pPr>
              <w:pStyle w:val="TableTextbold"/>
              <w:spacing w:before="0" w:after="40"/>
              <w:jc w:val="center"/>
              <w:rPr>
                <w:rFonts w:asciiTheme="minorHAnsi" w:hAnsiTheme="minorHAnsi" w:cstheme="minorHAnsi"/>
                <w:bCs/>
                <w:color w:val="FFFFFF" w:themeColor="background1"/>
                <w:szCs w:val="18"/>
              </w:rPr>
            </w:pPr>
            <w:r w:rsidRPr="000D643E">
              <w:rPr>
                <w:rFonts w:asciiTheme="minorHAnsi" w:hAnsiTheme="minorHAnsi" w:cstheme="minorHAnsi"/>
                <w:color w:val="FFFFFF" w:themeColor="background1"/>
                <w:szCs w:val="18"/>
              </w:rPr>
              <w:t>2025</w:t>
            </w:r>
          </w:p>
        </w:tc>
        <w:tc>
          <w:tcPr>
            <w:tcW w:w="621" w:type="dxa"/>
            <w:shd w:val="clear" w:color="auto" w:fill="1B556B" w:themeFill="text2"/>
            <w:hideMark/>
          </w:tcPr>
          <w:p w14:paraId="132764E9" w14:textId="77777777" w:rsidR="00F51113" w:rsidRPr="000D643E" w:rsidRDefault="00F51113">
            <w:pPr>
              <w:pStyle w:val="TableTextbold"/>
              <w:spacing w:before="0" w:after="40"/>
              <w:jc w:val="center"/>
              <w:rPr>
                <w:rFonts w:asciiTheme="minorHAnsi" w:hAnsiTheme="minorHAnsi" w:cstheme="minorHAnsi"/>
                <w:bCs/>
                <w:color w:val="FFFFFF" w:themeColor="background1"/>
                <w:szCs w:val="18"/>
              </w:rPr>
            </w:pPr>
            <w:r w:rsidRPr="000D643E">
              <w:rPr>
                <w:rFonts w:asciiTheme="minorHAnsi" w:hAnsiTheme="minorHAnsi" w:cstheme="minorHAnsi"/>
                <w:color w:val="FFFFFF" w:themeColor="background1"/>
                <w:szCs w:val="18"/>
              </w:rPr>
              <w:t>2030</w:t>
            </w:r>
          </w:p>
        </w:tc>
        <w:tc>
          <w:tcPr>
            <w:tcW w:w="621" w:type="dxa"/>
            <w:shd w:val="clear" w:color="auto" w:fill="1B556B" w:themeFill="text2"/>
            <w:hideMark/>
          </w:tcPr>
          <w:p w14:paraId="6956EF92" w14:textId="77777777" w:rsidR="00F51113" w:rsidRPr="000D643E" w:rsidRDefault="00F51113">
            <w:pPr>
              <w:pStyle w:val="TableTextbold"/>
              <w:spacing w:before="0" w:after="40"/>
              <w:jc w:val="center"/>
              <w:rPr>
                <w:rFonts w:asciiTheme="minorHAnsi" w:hAnsiTheme="minorHAnsi" w:cstheme="minorHAnsi"/>
                <w:bCs/>
                <w:color w:val="FFFFFF" w:themeColor="background1"/>
                <w:szCs w:val="18"/>
              </w:rPr>
            </w:pPr>
            <w:r w:rsidRPr="000D643E">
              <w:rPr>
                <w:rFonts w:asciiTheme="minorHAnsi" w:hAnsiTheme="minorHAnsi" w:cstheme="minorHAnsi"/>
                <w:color w:val="FFFFFF" w:themeColor="background1"/>
                <w:szCs w:val="18"/>
              </w:rPr>
              <w:t>2035</w:t>
            </w:r>
          </w:p>
        </w:tc>
        <w:tc>
          <w:tcPr>
            <w:tcW w:w="621" w:type="dxa"/>
            <w:shd w:val="clear" w:color="auto" w:fill="1B556B" w:themeFill="text2"/>
            <w:hideMark/>
          </w:tcPr>
          <w:p w14:paraId="4731A555" w14:textId="77777777" w:rsidR="00F51113" w:rsidRPr="000D643E" w:rsidRDefault="00F51113">
            <w:pPr>
              <w:pStyle w:val="TableTextbold"/>
              <w:spacing w:before="0" w:after="40"/>
              <w:jc w:val="center"/>
              <w:rPr>
                <w:rFonts w:asciiTheme="minorHAnsi" w:hAnsiTheme="minorHAnsi" w:cstheme="minorHAnsi"/>
                <w:bCs/>
                <w:color w:val="FFFFFF" w:themeColor="background1"/>
                <w:szCs w:val="18"/>
              </w:rPr>
            </w:pPr>
            <w:r w:rsidRPr="000D643E">
              <w:rPr>
                <w:rFonts w:asciiTheme="minorHAnsi" w:hAnsiTheme="minorHAnsi" w:cstheme="minorHAnsi"/>
                <w:color w:val="FFFFFF" w:themeColor="background1"/>
                <w:szCs w:val="18"/>
              </w:rPr>
              <w:t>2040</w:t>
            </w:r>
          </w:p>
        </w:tc>
        <w:tc>
          <w:tcPr>
            <w:tcW w:w="621" w:type="dxa"/>
            <w:shd w:val="clear" w:color="auto" w:fill="1B556B" w:themeFill="text2"/>
            <w:hideMark/>
          </w:tcPr>
          <w:p w14:paraId="56A079EE" w14:textId="77777777" w:rsidR="00F51113" w:rsidRPr="000D643E" w:rsidRDefault="00F51113">
            <w:pPr>
              <w:pStyle w:val="TableTextbold"/>
              <w:spacing w:before="0" w:after="40"/>
              <w:jc w:val="center"/>
              <w:rPr>
                <w:rFonts w:asciiTheme="minorHAnsi" w:hAnsiTheme="minorHAnsi" w:cstheme="minorHAnsi"/>
                <w:bCs/>
                <w:color w:val="FFFFFF" w:themeColor="background1"/>
                <w:szCs w:val="18"/>
              </w:rPr>
            </w:pPr>
            <w:r w:rsidRPr="000D643E">
              <w:rPr>
                <w:rFonts w:asciiTheme="minorHAnsi" w:hAnsiTheme="minorHAnsi" w:cstheme="minorHAnsi"/>
                <w:color w:val="FFFFFF" w:themeColor="background1"/>
                <w:szCs w:val="18"/>
              </w:rPr>
              <w:t>2045</w:t>
            </w:r>
          </w:p>
        </w:tc>
        <w:tc>
          <w:tcPr>
            <w:tcW w:w="621" w:type="dxa"/>
            <w:shd w:val="clear" w:color="auto" w:fill="1B556B" w:themeFill="text2"/>
            <w:hideMark/>
          </w:tcPr>
          <w:p w14:paraId="6572874F" w14:textId="77777777" w:rsidR="00F51113" w:rsidRPr="000D643E" w:rsidRDefault="00F51113">
            <w:pPr>
              <w:pStyle w:val="TableTextbold"/>
              <w:spacing w:before="0" w:after="40"/>
              <w:jc w:val="center"/>
              <w:rPr>
                <w:rFonts w:asciiTheme="minorHAnsi" w:hAnsiTheme="minorHAnsi" w:cstheme="minorHAnsi"/>
                <w:bCs/>
                <w:color w:val="FFFFFF" w:themeColor="background1"/>
                <w:szCs w:val="18"/>
              </w:rPr>
            </w:pPr>
            <w:r w:rsidRPr="000D643E">
              <w:rPr>
                <w:rFonts w:asciiTheme="minorHAnsi" w:hAnsiTheme="minorHAnsi" w:cstheme="minorHAnsi"/>
                <w:color w:val="FFFFFF" w:themeColor="background1"/>
                <w:szCs w:val="18"/>
              </w:rPr>
              <w:t>2050</w:t>
            </w:r>
          </w:p>
        </w:tc>
      </w:tr>
      <w:tr w:rsidR="00F51113" w:rsidRPr="000D643E" w14:paraId="51870D59" w14:textId="77777777">
        <w:tc>
          <w:tcPr>
            <w:tcW w:w="621" w:type="dxa"/>
            <w:shd w:val="clear" w:color="auto" w:fill="auto"/>
            <w:hideMark/>
          </w:tcPr>
          <w:p w14:paraId="0F25FCE3" w14:textId="77777777" w:rsidR="00F51113" w:rsidRPr="000D643E" w:rsidRDefault="00F51113">
            <w:pPr>
              <w:pStyle w:val="TableText"/>
              <w:spacing w:before="40" w:after="40"/>
              <w:rPr>
                <w:rFonts w:asciiTheme="minorHAnsi" w:hAnsiTheme="minorHAnsi" w:cstheme="minorHAnsi"/>
                <w:szCs w:val="18"/>
              </w:rPr>
            </w:pPr>
            <w:r w:rsidRPr="000D643E">
              <w:rPr>
                <w:rFonts w:asciiTheme="minorHAnsi" w:hAnsiTheme="minorHAnsi" w:cstheme="minorHAnsi"/>
                <w:szCs w:val="18"/>
              </w:rPr>
              <w:t>CO</w:t>
            </w:r>
            <w:r w:rsidRPr="000D643E">
              <w:rPr>
                <w:rFonts w:asciiTheme="minorHAnsi" w:hAnsiTheme="minorHAnsi" w:cstheme="minorHAnsi"/>
                <w:szCs w:val="18"/>
                <w:vertAlign w:val="subscript"/>
              </w:rPr>
              <w:t>2</w:t>
            </w:r>
          </w:p>
        </w:tc>
        <w:tc>
          <w:tcPr>
            <w:tcW w:w="621" w:type="dxa"/>
            <w:shd w:val="clear" w:color="auto" w:fill="auto"/>
          </w:tcPr>
          <w:p w14:paraId="3F635806"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14.6</w:t>
            </w:r>
          </w:p>
        </w:tc>
        <w:tc>
          <w:tcPr>
            <w:tcW w:w="621" w:type="dxa"/>
            <w:shd w:val="clear" w:color="auto" w:fill="auto"/>
          </w:tcPr>
          <w:p w14:paraId="6134A390"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14.4</w:t>
            </w:r>
          </w:p>
        </w:tc>
        <w:tc>
          <w:tcPr>
            <w:tcW w:w="621" w:type="dxa"/>
            <w:shd w:val="clear" w:color="auto" w:fill="auto"/>
          </w:tcPr>
          <w:p w14:paraId="3B73ACCB"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17.0</w:t>
            </w:r>
          </w:p>
        </w:tc>
        <w:tc>
          <w:tcPr>
            <w:tcW w:w="621" w:type="dxa"/>
            <w:shd w:val="clear" w:color="auto" w:fill="auto"/>
          </w:tcPr>
          <w:p w14:paraId="5FB8CDA6"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20.2</w:t>
            </w:r>
          </w:p>
        </w:tc>
        <w:tc>
          <w:tcPr>
            <w:tcW w:w="621" w:type="dxa"/>
            <w:shd w:val="clear" w:color="auto" w:fill="auto"/>
          </w:tcPr>
          <w:p w14:paraId="4FB63458"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17.3</w:t>
            </w:r>
          </w:p>
        </w:tc>
        <w:tc>
          <w:tcPr>
            <w:tcW w:w="621" w:type="dxa"/>
            <w:shd w:val="clear" w:color="auto" w:fill="auto"/>
          </w:tcPr>
          <w:p w14:paraId="1C02E20C"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17.5</w:t>
            </w:r>
          </w:p>
        </w:tc>
        <w:tc>
          <w:tcPr>
            <w:tcW w:w="621" w:type="dxa"/>
            <w:shd w:val="clear" w:color="auto" w:fill="auto"/>
          </w:tcPr>
          <w:p w14:paraId="35A6A42D"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17.0</w:t>
            </w:r>
          </w:p>
        </w:tc>
        <w:tc>
          <w:tcPr>
            <w:tcW w:w="621" w:type="dxa"/>
            <w:shd w:val="clear" w:color="auto" w:fill="D2DDE1" w:themeFill="background2"/>
          </w:tcPr>
          <w:p w14:paraId="54F52691"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14.8</w:t>
            </w:r>
          </w:p>
        </w:tc>
        <w:tc>
          <w:tcPr>
            <w:tcW w:w="621" w:type="dxa"/>
            <w:shd w:val="clear" w:color="auto" w:fill="D2DDE1" w:themeFill="background2"/>
          </w:tcPr>
          <w:p w14:paraId="5BD568CF"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13.5</w:t>
            </w:r>
          </w:p>
        </w:tc>
        <w:tc>
          <w:tcPr>
            <w:tcW w:w="621" w:type="dxa"/>
            <w:shd w:val="clear" w:color="auto" w:fill="D2DDE1" w:themeFill="background2"/>
          </w:tcPr>
          <w:p w14:paraId="2522A8C3"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13.0</w:t>
            </w:r>
          </w:p>
        </w:tc>
        <w:tc>
          <w:tcPr>
            <w:tcW w:w="621" w:type="dxa"/>
            <w:shd w:val="clear" w:color="auto" w:fill="D2DDE1" w:themeFill="background2"/>
          </w:tcPr>
          <w:p w14:paraId="3DB11955"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11.0</w:t>
            </w:r>
          </w:p>
        </w:tc>
        <w:tc>
          <w:tcPr>
            <w:tcW w:w="621" w:type="dxa"/>
            <w:shd w:val="clear" w:color="auto" w:fill="D2DDE1" w:themeFill="background2"/>
          </w:tcPr>
          <w:p w14:paraId="4E259936"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10.6</w:t>
            </w:r>
          </w:p>
        </w:tc>
        <w:tc>
          <w:tcPr>
            <w:tcW w:w="621" w:type="dxa"/>
            <w:shd w:val="clear" w:color="auto" w:fill="D2DDE1" w:themeFill="background2"/>
          </w:tcPr>
          <w:p w14:paraId="13738376"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10.4</w:t>
            </w:r>
          </w:p>
        </w:tc>
      </w:tr>
      <w:tr w:rsidR="00F51113" w:rsidRPr="000D643E" w14:paraId="5433D38B" w14:textId="77777777">
        <w:tc>
          <w:tcPr>
            <w:tcW w:w="621" w:type="dxa"/>
            <w:shd w:val="clear" w:color="auto" w:fill="auto"/>
            <w:hideMark/>
          </w:tcPr>
          <w:p w14:paraId="4517F41C" w14:textId="77777777" w:rsidR="00F51113" w:rsidRPr="000D643E" w:rsidRDefault="00F51113">
            <w:pPr>
              <w:pStyle w:val="TableText"/>
              <w:spacing w:before="40" w:after="40"/>
              <w:rPr>
                <w:rFonts w:asciiTheme="minorHAnsi" w:hAnsiTheme="minorHAnsi" w:cstheme="minorHAnsi"/>
                <w:szCs w:val="18"/>
              </w:rPr>
            </w:pPr>
            <w:r w:rsidRPr="000D643E">
              <w:rPr>
                <w:rFonts w:asciiTheme="minorHAnsi" w:hAnsiTheme="minorHAnsi" w:cstheme="minorHAnsi"/>
                <w:szCs w:val="18"/>
              </w:rPr>
              <w:t>CH</w:t>
            </w:r>
            <w:r w:rsidRPr="000D643E">
              <w:rPr>
                <w:rFonts w:asciiTheme="minorHAnsi" w:hAnsiTheme="minorHAnsi" w:cstheme="minorHAnsi"/>
                <w:szCs w:val="18"/>
                <w:vertAlign w:val="subscript"/>
              </w:rPr>
              <w:t>4</w:t>
            </w:r>
          </w:p>
        </w:tc>
        <w:tc>
          <w:tcPr>
            <w:tcW w:w="621" w:type="dxa"/>
            <w:shd w:val="clear" w:color="auto" w:fill="auto"/>
          </w:tcPr>
          <w:p w14:paraId="42FCBBC6"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1.2</w:t>
            </w:r>
          </w:p>
        </w:tc>
        <w:tc>
          <w:tcPr>
            <w:tcW w:w="621" w:type="dxa"/>
            <w:shd w:val="clear" w:color="auto" w:fill="auto"/>
          </w:tcPr>
          <w:p w14:paraId="74BC8074"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1.1</w:t>
            </w:r>
          </w:p>
        </w:tc>
        <w:tc>
          <w:tcPr>
            <w:tcW w:w="621" w:type="dxa"/>
            <w:shd w:val="clear" w:color="auto" w:fill="auto"/>
          </w:tcPr>
          <w:p w14:paraId="7E98E70F"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1.3</w:t>
            </w:r>
          </w:p>
        </w:tc>
        <w:tc>
          <w:tcPr>
            <w:tcW w:w="621" w:type="dxa"/>
            <w:shd w:val="clear" w:color="auto" w:fill="auto"/>
          </w:tcPr>
          <w:p w14:paraId="4AE533A5"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1.2</w:t>
            </w:r>
          </w:p>
        </w:tc>
        <w:tc>
          <w:tcPr>
            <w:tcW w:w="621" w:type="dxa"/>
            <w:shd w:val="clear" w:color="auto" w:fill="auto"/>
          </w:tcPr>
          <w:p w14:paraId="55FB0AE5"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1.5</w:t>
            </w:r>
          </w:p>
        </w:tc>
        <w:tc>
          <w:tcPr>
            <w:tcW w:w="621" w:type="dxa"/>
            <w:shd w:val="clear" w:color="auto" w:fill="auto"/>
          </w:tcPr>
          <w:p w14:paraId="1ADDD7BF"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0.9</w:t>
            </w:r>
          </w:p>
        </w:tc>
        <w:tc>
          <w:tcPr>
            <w:tcW w:w="621" w:type="dxa"/>
            <w:shd w:val="clear" w:color="auto" w:fill="auto"/>
          </w:tcPr>
          <w:p w14:paraId="4BAA8B16"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0.6</w:t>
            </w:r>
          </w:p>
        </w:tc>
        <w:tc>
          <w:tcPr>
            <w:tcW w:w="621" w:type="dxa"/>
            <w:shd w:val="clear" w:color="auto" w:fill="D2DDE1" w:themeFill="background2"/>
          </w:tcPr>
          <w:p w14:paraId="68A69685"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0.6</w:t>
            </w:r>
          </w:p>
        </w:tc>
        <w:tc>
          <w:tcPr>
            <w:tcW w:w="621" w:type="dxa"/>
            <w:shd w:val="clear" w:color="auto" w:fill="D2DDE1" w:themeFill="background2"/>
          </w:tcPr>
          <w:p w14:paraId="59E949C0"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0.6</w:t>
            </w:r>
          </w:p>
        </w:tc>
        <w:tc>
          <w:tcPr>
            <w:tcW w:w="621" w:type="dxa"/>
            <w:shd w:val="clear" w:color="auto" w:fill="D2DDE1" w:themeFill="background2"/>
          </w:tcPr>
          <w:p w14:paraId="65BF37FE"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0.6</w:t>
            </w:r>
          </w:p>
        </w:tc>
        <w:tc>
          <w:tcPr>
            <w:tcW w:w="621" w:type="dxa"/>
            <w:shd w:val="clear" w:color="auto" w:fill="D2DDE1" w:themeFill="background2"/>
          </w:tcPr>
          <w:p w14:paraId="73D40507"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0.6</w:t>
            </w:r>
          </w:p>
        </w:tc>
        <w:tc>
          <w:tcPr>
            <w:tcW w:w="621" w:type="dxa"/>
            <w:shd w:val="clear" w:color="auto" w:fill="D2DDE1" w:themeFill="background2"/>
          </w:tcPr>
          <w:p w14:paraId="27D1E41E"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0.6</w:t>
            </w:r>
          </w:p>
        </w:tc>
        <w:tc>
          <w:tcPr>
            <w:tcW w:w="621" w:type="dxa"/>
            <w:shd w:val="clear" w:color="auto" w:fill="D2DDE1" w:themeFill="background2"/>
          </w:tcPr>
          <w:p w14:paraId="3A290F11"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0.6</w:t>
            </w:r>
          </w:p>
        </w:tc>
      </w:tr>
      <w:tr w:rsidR="00F51113" w:rsidRPr="000D643E" w14:paraId="04186403" w14:textId="77777777">
        <w:tc>
          <w:tcPr>
            <w:tcW w:w="621" w:type="dxa"/>
            <w:shd w:val="clear" w:color="auto" w:fill="auto"/>
            <w:hideMark/>
          </w:tcPr>
          <w:p w14:paraId="63476990" w14:textId="77777777" w:rsidR="00F51113" w:rsidRPr="000D643E" w:rsidRDefault="00F51113">
            <w:pPr>
              <w:pStyle w:val="TableText"/>
              <w:spacing w:before="40" w:after="40"/>
              <w:rPr>
                <w:rFonts w:asciiTheme="minorHAnsi" w:hAnsiTheme="minorHAnsi" w:cstheme="minorHAnsi"/>
                <w:szCs w:val="18"/>
              </w:rPr>
            </w:pPr>
            <w:r w:rsidRPr="000D643E">
              <w:rPr>
                <w:rFonts w:asciiTheme="minorHAnsi" w:hAnsiTheme="minorHAnsi" w:cstheme="minorHAnsi"/>
                <w:szCs w:val="18"/>
              </w:rPr>
              <w:t>N</w:t>
            </w:r>
            <w:r w:rsidRPr="000D643E">
              <w:rPr>
                <w:rFonts w:asciiTheme="minorHAnsi" w:hAnsiTheme="minorHAnsi" w:cstheme="minorHAnsi"/>
                <w:szCs w:val="18"/>
                <w:vertAlign w:val="subscript"/>
              </w:rPr>
              <w:t>2</w:t>
            </w:r>
            <w:r w:rsidRPr="000D643E">
              <w:rPr>
                <w:rFonts w:asciiTheme="minorHAnsi" w:hAnsiTheme="minorHAnsi" w:cstheme="minorHAnsi"/>
                <w:szCs w:val="18"/>
              </w:rPr>
              <w:t>O</w:t>
            </w:r>
          </w:p>
        </w:tc>
        <w:tc>
          <w:tcPr>
            <w:tcW w:w="621" w:type="dxa"/>
            <w:shd w:val="clear" w:color="auto" w:fill="auto"/>
          </w:tcPr>
          <w:p w14:paraId="45A9B2FF"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0.1</w:t>
            </w:r>
          </w:p>
        </w:tc>
        <w:tc>
          <w:tcPr>
            <w:tcW w:w="621" w:type="dxa"/>
            <w:shd w:val="clear" w:color="auto" w:fill="auto"/>
          </w:tcPr>
          <w:p w14:paraId="1A44B9E1"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0.1</w:t>
            </w:r>
          </w:p>
        </w:tc>
        <w:tc>
          <w:tcPr>
            <w:tcW w:w="621" w:type="dxa"/>
            <w:shd w:val="clear" w:color="auto" w:fill="auto"/>
          </w:tcPr>
          <w:p w14:paraId="599BAD07"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0.1</w:t>
            </w:r>
          </w:p>
        </w:tc>
        <w:tc>
          <w:tcPr>
            <w:tcW w:w="621" w:type="dxa"/>
            <w:shd w:val="clear" w:color="auto" w:fill="auto"/>
          </w:tcPr>
          <w:p w14:paraId="4449B98A"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0.1</w:t>
            </w:r>
          </w:p>
        </w:tc>
        <w:tc>
          <w:tcPr>
            <w:tcW w:w="621" w:type="dxa"/>
            <w:shd w:val="clear" w:color="auto" w:fill="auto"/>
          </w:tcPr>
          <w:p w14:paraId="5B5FAE5C"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0.1</w:t>
            </w:r>
          </w:p>
        </w:tc>
        <w:tc>
          <w:tcPr>
            <w:tcW w:w="621" w:type="dxa"/>
            <w:shd w:val="clear" w:color="auto" w:fill="auto"/>
          </w:tcPr>
          <w:p w14:paraId="00B0E75A"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0.1</w:t>
            </w:r>
          </w:p>
        </w:tc>
        <w:tc>
          <w:tcPr>
            <w:tcW w:w="621" w:type="dxa"/>
            <w:shd w:val="clear" w:color="auto" w:fill="auto"/>
          </w:tcPr>
          <w:p w14:paraId="1DA818B3"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0.1</w:t>
            </w:r>
          </w:p>
        </w:tc>
        <w:tc>
          <w:tcPr>
            <w:tcW w:w="621" w:type="dxa"/>
            <w:shd w:val="clear" w:color="auto" w:fill="D2DDE1" w:themeFill="background2"/>
          </w:tcPr>
          <w:p w14:paraId="54C85CED"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0.1</w:t>
            </w:r>
          </w:p>
        </w:tc>
        <w:tc>
          <w:tcPr>
            <w:tcW w:w="621" w:type="dxa"/>
            <w:shd w:val="clear" w:color="auto" w:fill="D2DDE1" w:themeFill="background2"/>
          </w:tcPr>
          <w:p w14:paraId="25A1C388"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0.1</w:t>
            </w:r>
          </w:p>
        </w:tc>
        <w:tc>
          <w:tcPr>
            <w:tcW w:w="621" w:type="dxa"/>
            <w:shd w:val="clear" w:color="auto" w:fill="D2DDE1" w:themeFill="background2"/>
          </w:tcPr>
          <w:p w14:paraId="49D708E1"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0.1</w:t>
            </w:r>
          </w:p>
        </w:tc>
        <w:tc>
          <w:tcPr>
            <w:tcW w:w="621" w:type="dxa"/>
            <w:shd w:val="clear" w:color="auto" w:fill="D2DDE1" w:themeFill="background2"/>
          </w:tcPr>
          <w:p w14:paraId="597C7CB9"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0.1</w:t>
            </w:r>
          </w:p>
        </w:tc>
        <w:tc>
          <w:tcPr>
            <w:tcW w:w="621" w:type="dxa"/>
            <w:shd w:val="clear" w:color="auto" w:fill="D2DDE1" w:themeFill="background2"/>
          </w:tcPr>
          <w:p w14:paraId="17C9AF02"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0.1</w:t>
            </w:r>
          </w:p>
        </w:tc>
        <w:tc>
          <w:tcPr>
            <w:tcW w:w="621" w:type="dxa"/>
            <w:shd w:val="clear" w:color="auto" w:fill="D2DDE1" w:themeFill="background2"/>
          </w:tcPr>
          <w:p w14:paraId="2F4BA57C"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0.1</w:t>
            </w:r>
          </w:p>
        </w:tc>
      </w:tr>
      <w:tr w:rsidR="00F51113" w:rsidRPr="000D643E" w14:paraId="32AA02D1" w14:textId="77777777">
        <w:tc>
          <w:tcPr>
            <w:tcW w:w="621" w:type="dxa"/>
            <w:shd w:val="clear" w:color="auto" w:fill="auto"/>
            <w:hideMark/>
          </w:tcPr>
          <w:p w14:paraId="36C17206" w14:textId="77777777" w:rsidR="00F51113" w:rsidRPr="000D643E" w:rsidRDefault="00F51113">
            <w:pPr>
              <w:pStyle w:val="TableTextbold"/>
              <w:spacing w:before="40" w:after="40"/>
              <w:rPr>
                <w:rFonts w:asciiTheme="minorHAnsi" w:hAnsiTheme="minorHAnsi" w:cstheme="minorHAnsi"/>
                <w:szCs w:val="18"/>
              </w:rPr>
            </w:pPr>
            <w:r w:rsidRPr="000D643E">
              <w:rPr>
                <w:rFonts w:asciiTheme="minorHAnsi" w:hAnsiTheme="minorHAnsi" w:cstheme="minorHAnsi"/>
                <w:szCs w:val="18"/>
              </w:rPr>
              <w:t>Total</w:t>
            </w:r>
          </w:p>
        </w:tc>
        <w:tc>
          <w:tcPr>
            <w:tcW w:w="621" w:type="dxa"/>
            <w:shd w:val="clear" w:color="auto" w:fill="auto"/>
          </w:tcPr>
          <w:p w14:paraId="36402D17"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15.9</w:t>
            </w:r>
          </w:p>
        </w:tc>
        <w:tc>
          <w:tcPr>
            <w:tcW w:w="621" w:type="dxa"/>
            <w:shd w:val="clear" w:color="auto" w:fill="auto"/>
          </w:tcPr>
          <w:p w14:paraId="570EAE2F"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15.7</w:t>
            </w:r>
          </w:p>
        </w:tc>
        <w:tc>
          <w:tcPr>
            <w:tcW w:w="621" w:type="dxa"/>
            <w:shd w:val="clear" w:color="auto" w:fill="auto"/>
          </w:tcPr>
          <w:p w14:paraId="693D3151"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18.3</w:t>
            </w:r>
          </w:p>
        </w:tc>
        <w:tc>
          <w:tcPr>
            <w:tcW w:w="621" w:type="dxa"/>
            <w:shd w:val="clear" w:color="auto" w:fill="auto"/>
          </w:tcPr>
          <w:p w14:paraId="6B99CE02"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21.6</w:t>
            </w:r>
          </w:p>
        </w:tc>
        <w:tc>
          <w:tcPr>
            <w:tcW w:w="621" w:type="dxa"/>
            <w:shd w:val="clear" w:color="auto" w:fill="auto"/>
          </w:tcPr>
          <w:p w14:paraId="06811DEA"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18.9</w:t>
            </w:r>
          </w:p>
        </w:tc>
        <w:tc>
          <w:tcPr>
            <w:tcW w:w="621" w:type="dxa"/>
            <w:shd w:val="clear" w:color="auto" w:fill="auto"/>
          </w:tcPr>
          <w:p w14:paraId="22653ECD"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18.5</w:t>
            </w:r>
          </w:p>
        </w:tc>
        <w:tc>
          <w:tcPr>
            <w:tcW w:w="621" w:type="dxa"/>
            <w:shd w:val="clear" w:color="auto" w:fill="auto"/>
          </w:tcPr>
          <w:p w14:paraId="2126F912"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17.7</w:t>
            </w:r>
          </w:p>
        </w:tc>
        <w:tc>
          <w:tcPr>
            <w:tcW w:w="621" w:type="dxa"/>
            <w:shd w:val="clear" w:color="auto" w:fill="D2DDE1" w:themeFill="background2"/>
          </w:tcPr>
          <w:p w14:paraId="6F2DDCA9"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15.5</w:t>
            </w:r>
          </w:p>
        </w:tc>
        <w:tc>
          <w:tcPr>
            <w:tcW w:w="621" w:type="dxa"/>
            <w:shd w:val="clear" w:color="auto" w:fill="D2DDE1" w:themeFill="background2"/>
          </w:tcPr>
          <w:p w14:paraId="4D773748"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14.2</w:t>
            </w:r>
          </w:p>
        </w:tc>
        <w:tc>
          <w:tcPr>
            <w:tcW w:w="621" w:type="dxa"/>
            <w:shd w:val="clear" w:color="auto" w:fill="D2DDE1" w:themeFill="background2"/>
          </w:tcPr>
          <w:p w14:paraId="7190909B"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13.7</w:t>
            </w:r>
          </w:p>
        </w:tc>
        <w:tc>
          <w:tcPr>
            <w:tcW w:w="621" w:type="dxa"/>
            <w:shd w:val="clear" w:color="auto" w:fill="D2DDE1" w:themeFill="background2"/>
          </w:tcPr>
          <w:p w14:paraId="52088723"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11.7</w:t>
            </w:r>
          </w:p>
        </w:tc>
        <w:tc>
          <w:tcPr>
            <w:tcW w:w="621" w:type="dxa"/>
            <w:shd w:val="clear" w:color="auto" w:fill="D2DDE1" w:themeFill="background2"/>
          </w:tcPr>
          <w:p w14:paraId="2C353B3C"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11.4</w:t>
            </w:r>
          </w:p>
        </w:tc>
        <w:tc>
          <w:tcPr>
            <w:tcW w:w="621" w:type="dxa"/>
            <w:shd w:val="clear" w:color="auto" w:fill="D2DDE1" w:themeFill="background2"/>
          </w:tcPr>
          <w:p w14:paraId="112E2765"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11.2</w:t>
            </w:r>
          </w:p>
        </w:tc>
      </w:tr>
    </w:tbl>
    <w:p w14:paraId="3F3ADD73" w14:textId="77777777" w:rsidR="00F51113" w:rsidRPr="004C2DCD" w:rsidRDefault="00F51113" w:rsidP="00F51113">
      <w:pPr>
        <w:pStyle w:val="Note"/>
      </w:pPr>
      <w:r w:rsidRPr="004C2DCD">
        <w:rPr>
          <w:b/>
          <w:bCs/>
        </w:rPr>
        <w:t>Note:</w:t>
      </w:r>
      <w:r w:rsidRPr="004C2DCD">
        <w:t xml:space="preserve"> CH</w:t>
      </w:r>
      <w:r w:rsidRPr="004C2DCD">
        <w:rPr>
          <w:vertAlign w:val="subscript"/>
        </w:rPr>
        <w:t>4</w:t>
      </w:r>
      <w:r w:rsidRPr="004C2DCD">
        <w:t xml:space="preserve"> = methane; CO</w:t>
      </w:r>
      <w:r w:rsidRPr="004C2DCD">
        <w:rPr>
          <w:vertAlign w:val="subscript"/>
        </w:rPr>
        <w:t>2</w:t>
      </w:r>
      <w:r w:rsidRPr="004C2DCD">
        <w:t xml:space="preserve"> = carbon dioxide; N</w:t>
      </w:r>
      <w:r w:rsidRPr="004C2DCD">
        <w:rPr>
          <w:vertAlign w:val="subscript"/>
        </w:rPr>
        <w:t>2</w:t>
      </w:r>
      <w:r w:rsidRPr="004C2DCD">
        <w:t>O =</w:t>
      </w:r>
      <w:r w:rsidRPr="004C2DCD">
        <w:rPr>
          <w:rFonts w:eastAsia="Calibri" w:cs="Calibri"/>
          <w:sz w:val="20"/>
          <w:szCs w:val="20"/>
        </w:rPr>
        <w:t xml:space="preserve"> </w:t>
      </w:r>
      <w:r w:rsidRPr="004C2DCD">
        <w:rPr>
          <w:rStyle w:val="NoteChar"/>
        </w:rPr>
        <w:t>nitrous oxide.</w:t>
      </w:r>
    </w:p>
    <w:p w14:paraId="504E503B" w14:textId="2FA4A687" w:rsidR="00F51113" w:rsidRPr="004C2DCD" w:rsidRDefault="00F94945" w:rsidP="00F51113">
      <w:pPr>
        <w:pStyle w:val="Heading4"/>
        <w:rPr>
          <w:rFonts w:eastAsiaTheme="minorEastAsia"/>
        </w:rPr>
      </w:pPr>
      <w:r>
        <w:t>2.5.7.2.2</w:t>
      </w:r>
      <w:r>
        <w:tab/>
      </w:r>
      <w:r w:rsidR="00F51113" w:rsidRPr="004C2DCD">
        <w:t xml:space="preserve">Transport </w:t>
      </w:r>
    </w:p>
    <w:p w14:paraId="6768BDE6" w14:textId="77777777" w:rsidR="00F51113" w:rsidRPr="004C2DCD" w:rsidRDefault="00F51113" w:rsidP="00F51113">
      <w:pPr>
        <w:pStyle w:val="BodyText"/>
      </w:pPr>
      <w:r w:rsidRPr="004C2DCD">
        <w:t>Emissions from the Transport sector under the WOM scenario are projected to increase to 14.3 Mt CO</w:t>
      </w:r>
      <w:r w:rsidRPr="004C2DCD">
        <w:rPr>
          <w:vertAlign w:val="subscript"/>
        </w:rPr>
        <w:t>2</w:t>
      </w:r>
      <w:r w:rsidRPr="004C2DCD">
        <w:t>e by 2030 (75.9 per cent above 1990 levels and 1.9 per cent above 2022 levels) and to decrease to 7.7 Mt CO</w:t>
      </w:r>
      <w:r w:rsidRPr="004C2DCD">
        <w:rPr>
          <w:vertAlign w:val="subscript"/>
        </w:rPr>
        <w:t>2</w:t>
      </w:r>
      <w:r w:rsidRPr="004C2DCD">
        <w:t>e by 2050 (5.3 per cent below 1990 levels and 45.2 per cent below 2022 levels). Figure 2.5.24 presents historical GHG emissions from 1990 to 2022 and projected WOM GHG emissions out to 2050 for the Transport sector. Table 2.5.26 presents the WOM scenario by gas in five-yearly increments.</w:t>
      </w:r>
    </w:p>
    <w:p w14:paraId="384A11EC" w14:textId="77777777" w:rsidR="00F51113" w:rsidRPr="004C2DCD" w:rsidRDefault="00F51113" w:rsidP="00AF10D1">
      <w:pPr>
        <w:pStyle w:val="Figureheading"/>
        <w:ind w:left="1276" w:hanging="1276"/>
      </w:pPr>
      <w:bookmarkStart w:id="675" w:name="_Toc185347268"/>
      <w:r w:rsidRPr="004C2DCD">
        <w:t xml:space="preserve">Figure 2.5.24: </w:t>
      </w:r>
      <w:r w:rsidRPr="004C2DCD">
        <w:tab/>
        <w:t>Greenhouse gas emissions for the ‘without measures’ scenario in the Transport sector, 1990–2050</w:t>
      </w:r>
      <w:bookmarkEnd w:id="675"/>
      <w:r w:rsidRPr="004C2DCD">
        <w:t xml:space="preserve"> </w:t>
      </w:r>
    </w:p>
    <w:p w14:paraId="0C9E5DC2" w14:textId="7EDD2060" w:rsidR="00F51113" w:rsidRPr="004C2DCD" w:rsidRDefault="00CA7247" w:rsidP="00642E32">
      <w:pPr>
        <w:pStyle w:val="BodyText"/>
        <w:spacing w:before="80" w:after="80"/>
        <w:jc w:val="center"/>
      </w:pPr>
      <w:r>
        <w:rPr>
          <w:noProof/>
        </w:rPr>
        <w:drawing>
          <wp:inline distT="0" distB="0" distL="0" distR="0" wp14:anchorId="0C86F8BE" wp14:editId="2363108A">
            <wp:extent cx="5040000" cy="2686049"/>
            <wp:effectExtent l="0" t="0" r="8255" b="635"/>
            <wp:docPr id="11608987" name="Picture 49" descr="A line graph showing greenhouse gas emissions in million tonnes carbon dioxide equivalent for the ‘without measures’ scenario in the Transport sector for the period 1990 to 2050. It compares historical Transport emissions with projected emissions without mea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8987" name="Picture 49" descr="A line graph showing greenhouse gas emissions in million tonnes carbon dioxide equivalent for the ‘without measures’ scenario in the Transport sector for the period 1990 to 2050. It compares historical Transport emissions with projected emissions without measure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40000" cy="2686049"/>
                    </a:xfrm>
                    <a:prstGeom prst="rect">
                      <a:avLst/>
                    </a:prstGeom>
                    <a:noFill/>
                  </pic:spPr>
                </pic:pic>
              </a:graphicData>
            </a:graphic>
          </wp:inline>
        </w:drawing>
      </w:r>
    </w:p>
    <w:p w14:paraId="327F98D8" w14:textId="77777777" w:rsidR="00F51113" w:rsidRPr="004C2DCD" w:rsidRDefault="00F51113" w:rsidP="00F51113">
      <w:pPr>
        <w:pStyle w:val="Note"/>
      </w:pPr>
      <w:r w:rsidRPr="004C2DCD">
        <w:rPr>
          <w:b/>
          <w:bCs/>
        </w:rPr>
        <w:t>Note:</w:t>
      </w:r>
      <w:r w:rsidRPr="004C2DCD">
        <w:t xml:space="preserve"> Mt CO</w:t>
      </w:r>
      <w:r w:rsidRPr="004C2DCD">
        <w:rPr>
          <w:vertAlign w:val="subscript"/>
        </w:rPr>
        <w:t>2</w:t>
      </w:r>
      <w:r w:rsidRPr="004C2DCD">
        <w:t>e =</w:t>
      </w:r>
      <w:r w:rsidRPr="004C2DCD">
        <w:rPr>
          <w:b/>
          <w:bCs/>
        </w:rPr>
        <w:t xml:space="preserve"> </w:t>
      </w:r>
      <w:r w:rsidRPr="004C2DCD">
        <w:t>million tonnes of carbon dioxide equivalent.</w:t>
      </w:r>
    </w:p>
    <w:p w14:paraId="6417673D" w14:textId="77777777" w:rsidR="00F51113" w:rsidRPr="004C2DCD" w:rsidRDefault="00F51113" w:rsidP="00F51113">
      <w:pPr>
        <w:pStyle w:val="Tableheading"/>
        <w:ind w:left="1276" w:hanging="1276"/>
      </w:pPr>
      <w:bookmarkStart w:id="676" w:name="_Toc183789727"/>
      <w:bookmarkStart w:id="677" w:name="_Toc185407491"/>
      <w:bookmarkStart w:id="678" w:name="_Toc185427754"/>
      <w:r w:rsidRPr="004C2DCD">
        <w:t xml:space="preserve">Table 2.5.26: </w:t>
      </w:r>
      <w:r w:rsidRPr="004C2DCD">
        <w:tab/>
        <w:t>Historical and projected Transport sector emissions by gas under the ‘without measures’ scenario, 1990–2050 (Mt CO</w:t>
      </w:r>
      <w:r w:rsidRPr="004C2DCD">
        <w:rPr>
          <w:vertAlign w:val="subscript"/>
        </w:rPr>
        <w:t>2</w:t>
      </w:r>
      <w:r w:rsidRPr="004C2DCD">
        <w:t>e)</w:t>
      </w:r>
      <w:bookmarkEnd w:id="676"/>
      <w:bookmarkEnd w:id="677"/>
      <w:bookmarkEnd w:id="678"/>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ook w:val="04A0" w:firstRow="1" w:lastRow="0" w:firstColumn="1" w:lastColumn="0" w:noHBand="0" w:noVBand="1"/>
      </w:tblPr>
      <w:tblGrid>
        <w:gridCol w:w="614"/>
        <w:gridCol w:w="607"/>
        <w:gridCol w:w="607"/>
        <w:gridCol w:w="607"/>
        <w:gridCol w:w="607"/>
        <w:gridCol w:w="607"/>
        <w:gridCol w:w="607"/>
        <w:gridCol w:w="607"/>
        <w:gridCol w:w="607"/>
        <w:gridCol w:w="607"/>
        <w:gridCol w:w="607"/>
        <w:gridCol w:w="607"/>
        <w:gridCol w:w="607"/>
        <w:gridCol w:w="607"/>
      </w:tblGrid>
      <w:tr w:rsidR="00F51113" w:rsidRPr="000D643E" w14:paraId="3D00FC9F" w14:textId="77777777">
        <w:tc>
          <w:tcPr>
            <w:tcW w:w="621" w:type="dxa"/>
            <w:shd w:val="clear" w:color="auto" w:fill="1B556B" w:themeFill="text2"/>
            <w:vAlign w:val="center"/>
            <w:hideMark/>
          </w:tcPr>
          <w:p w14:paraId="70E08804" w14:textId="77777777" w:rsidR="00F51113" w:rsidRPr="000D643E" w:rsidRDefault="00F51113">
            <w:pPr>
              <w:pStyle w:val="TableTextbold"/>
              <w:spacing w:after="0"/>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 </w:t>
            </w:r>
          </w:p>
        </w:tc>
        <w:tc>
          <w:tcPr>
            <w:tcW w:w="3726" w:type="dxa"/>
            <w:gridSpan w:val="6"/>
            <w:shd w:val="clear" w:color="auto" w:fill="1B556B" w:themeFill="text2"/>
            <w:vAlign w:val="center"/>
            <w:hideMark/>
          </w:tcPr>
          <w:p w14:paraId="70CF0121" w14:textId="77777777" w:rsidR="00F51113" w:rsidRPr="000D643E" w:rsidRDefault="00F51113">
            <w:pPr>
              <w:pStyle w:val="TableTextbold"/>
              <w:spacing w:after="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Historical</w:t>
            </w:r>
          </w:p>
        </w:tc>
        <w:tc>
          <w:tcPr>
            <w:tcW w:w="4347" w:type="dxa"/>
            <w:gridSpan w:val="7"/>
            <w:shd w:val="clear" w:color="auto" w:fill="1B556B" w:themeFill="text2"/>
            <w:vAlign w:val="center"/>
            <w:hideMark/>
          </w:tcPr>
          <w:p w14:paraId="506B3C9C" w14:textId="77777777" w:rsidR="00F51113" w:rsidRPr="000D643E" w:rsidRDefault="00F51113">
            <w:pPr>
              <w:pStyle w:val="TableTextbold"/>
              <w:spacing w:after="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Projected</w:t>
            </w:r>
          </w:p>
        </w:tc>
      </w:tr>
      <w:tr w:rsidR="00F51113" w:rsidRPr="000D643E" w14:paraId="71817131" w14:textId="77777777">
        <w:tc>
          <w:tcPr>
            <w:tcW w:w="621" w:type="dxa"/>
            <w:shd w:val="clear" w:color="auto" w:fill="1B556B" w:themeFill="text2"/>
            <w:vAlign w:val="center"/>
            <w:hideMark/>
          </w:tcPr>
          <w:p w14:paraId="69E83255" w14:textId="77777777" w:rsidR="00F51113" w:rsidRPr="000D643E" w:rsidRDefault="00F51113">
            <w:pPr>
              <w:pStyle w:val="TableTextbold"/>
              <w:spacing w:before="0"/>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Gas</w:t>
            </w:r>
          </w:p>
        </w:tc>
        <w:tc>
          <w:tcPr>
            <w:tcW w:w="621" w:type="dxa"/>
            <w:shd w:val="clear" w:color="auto" w:fill="1B556B" w:themeFill="text2"/>
            <w:vAlign w:val="center"/>
            <w:hideMark/>
          </w:tcPr>
          <w:p w14:paraId="0BDFC72A"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1990</w:t>
            </w:r>
          </w:p>
        </w:tc>
        <w:tc>
          <w:tcPr>
            <w:tcW w:w="621" w:type="dxa"/>
            <w:shd w:val="clear" w:color="auto" w:fill="1B556B" w:themeFill="text2"/>
            <w:vAlign w:val="center"/>
            <w:hideMark/>
          </w:tcPr>
          <w:p w14:paraId="22E85965"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1995</w:t>
            </w:r>
          </w:p>
        </w:tc>
        <w:tc>
          <w:tcPr>
            <w:tcW w:w="621" w:type="dxa"/>
            <w:shd w:val="clear" w:color="auto" w:fill="1B556B" w:themeFill="text2"/>
            <w:vAlign w:val="center"/>
            <w:hideMark/>
          </w:tcPr>
          <w:p w14:paraId="46BA47F1"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2000</w:t>
            </w:r>
          </w:p>
        </w:tc>
        <w:tc>
          <w:tcPr>
            <w:tcW w:w="621" w:type="dxa"/>
            <w:shd w:val="clear" w:color="auto" w:fill="1B556B" w:themeFill="text2"/>
            <w:vAlign w:val="center"/>
            <w:hideMark/>
          </w:tcPr>
          <w:p w14:paraId="7366B0A1"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2005</w:t>
            </w:r>
          </w:p>
        </w:tc>
        <w:tc>
          <w:tcPr>
            <w:tcW w:w="621" w:type="dxa"/>
            <w:shd w:val="clear" w:color="auto" w:fill="1B556B" w:themeFill="text2"/>
            <w:vAlign w:val="center"/>
            <w:hideMark/>
          </w:tcPr>
          <w:p w14:paraId="459306A6"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2010</w:t>
            </w:r>
          </w:p>
        </w:tc>
        <w:tc>
          <w:tcPr>
            <w:tcW w:w="621" w:type="dxa"/>
            <w:shd w:val="clear" w:color="auto" w:fill="1B556B" w:themeFill="text2"/>
            <w:vAlign w:val="center"/>
            <w:hideMark/>
          </w:tcPr>
          <w:p w14:paraId="3472F961"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2015</w:t>
            </w:r>
          </w:p>
        </w:tc>
        <w:tc>
          <w:tcPr>
            <w:tcW w:w="621" w:type="dxa"/>
            <w:shd w:val="clear" w:color="auto" w:fill="1B556B" w:themeFill="text2"/>
            <w:vAlign w:val="center"/>
            <w:hideMark/>
          </w:tcPr>
          <w:p w14:paraId="39D5C75E"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2020</w:t>
            </w:r>
          </w:p>
        </w:tc>
        <w:tc>
          <w:tcPr>
            <w:tcW w:w="621" w:type="dxa"/>
            <w:shd w:val="clear" w:color="auto" w:fill="1B556B" w:themeFill="text2"/>
            <w:vAlign w:val="center"/>
            <w:hideMark/>
          </w:tcPr>
          <w:p w14:paraId="594E45C7"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2025</w:t>
            </w:r>
          </w:p>
        </w:tc>
        <w:tc>
          <w:tcPr>
            <w:tcW w:w="621" w:type="dxa"/>
            <w:shd w:val="clear" w:color="auto" w:fill="1B556B" w:themeFill="text2"/>
            <w:vAlign w:val="center"/>
            <w:hideMark/>
          </w:tcPr>
          <w:p w14:paraId="2AD7BAF6"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2030</w:t>
            </w:r>
          </w:p>
        </w:tc>
        <w:tc>
          <w:tcPr>
            <w:tcW w:w="621" w:type="dxa"/>
            <w:shd w:val="clear" w:color="auto" w:fill="1B556B" w:themeFill="text2"/>
            <w:vAlign w:val="center"/>
            <w:hideMark/>
          </w:tcPr>
          <w:p w14:paraId="312C36C6"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2035</w:t>
            </w:r>
          </w:p>
        </w:tc>
        <w:tc>
          <w:tcPr>
            <w:tcW w:w="621" w:type="dxa"/>
            <w:shd w:val="clear" w:color="auto" w:fill="1B556B" w:themeFill="text2"/>
            <w:vAlign w:val="center"/>
            <w:hideMark/>
          </w:tcPr>
          <w:p w14:paraId="083E27BE"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2040</w:t>
            </w:r>
          </w:p>
        </w:tc>
        <w:tc>
          <w:tcPr>
            <w:tcW w:w="621" w:type="dxa"/>
            <w:shd w:val="clear" w:color="auto" w:fill="1B556B" w:themeFill="text2"/>
            <w:vAlign w:val="center"/>
            <w:hideMark/>
          </w:tcPr>
          <w:p w14:paraId="53876762"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2045</w:t>
            </w:r>
          </w:p>
        </w:tc>
        <w:tc>
          <w:tcPr>
            <w:tcW w:w="621" w:type="dxa"/>
            <w:shd w:val="clear" w:color="auto" w:fill="1B556B" w:themeFill="text2"/>
            <w:vAlign w:val="center"/>
            <w:hideMark/>
          </w:tcPr>
          <w:p w14:paraId="0C95FFC2"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2050</w:t>
            </w:r>
          </w:p>
        </w:tc>
      </w:tr>
      <w:tr w:rsidR="00F51113" w:rsidRPr="000D643E" w14:paraId="77E9EE5C" w14:textId="77777777">
        <w:tc>
          <w:tcPr>
            <w:tcW w:w="621" w:type="dxa"/>
            <w:shd w:val="clear" w:color="auto" w:fill="auto"/>
            <w:vAlign w:val="center"/>
            <w:hideMark/>
          </w:tcPr>
          <w:p w14:paraId="0DE05C17" w14:textId="77777777" w:rsidR="00F51113" w:rsidRPr="000D643E" w:rsidRDefault="00F51113">
            <w:pPr>
              <w:pStyle w:val="TableText"/>
              <w:spacing w:before="40" w:after="40"/>
              <w:rPr>
                <w:rFonts w:asciiTheme="minorHAnsi" w:hAnsiTheme="minorHAnsi" w:cstheme="minorHAnsi"/>
                <w:szCs w:val="18"/>
              </w:rPr>
            </w:pPr>
            <w:r w:rsidRPr="000D643E">
              <w:rPr>
                <w:rFonts w:asciiTheme="minorHAnsi" w:hAnsiTheme="minorHAnsi" w:cstheme="minorHAnsi"/>
                <w:szCs w:val="18"/>
              </w:rPr>
              <w:t>CO</w:t>
            </w:r>
            <w:r w:rsidRPr="000D643E">
              <w:rPr>
                <w:rFonts w:asciiTheme="minorHAnsi" w:hAnsiTheme="minorHAnsi" w:cstheme="minorHAnsi"/>
                <w:szCs w:val="18"/>
                <w:vertAlign w:val="subscript"/>
              </w:rPr>
              <w:t>2</w:t>
            </w:r>
          </w:p>
        </w:tc>
        <w:tc>
          <w:tcPr>
            <w:tcW w:w="621" w:type="dxa"/>
            <w:shd w:val="clear" w:color="auto" w:fill="auto"/>
            <w:vAlign w:val="center"/>
          </w:tcPr>
          <w:p w14:paraId="7339986C"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7.9</w:t>
            </w:r>
          </w:p>
        </w:tc>
        <w:tc>
          <w:tcPr>
            <w:tcW w:w="621" w:type="dxa"/>
            <w:shd w:val="clear" w:color="auto" w:fill="auto"/>
            <w:vAlign w:val="center"/>
          </w:tcPr>
          <w:p w14:paraId="03995EAD"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10.0</w:t>
            </w:r>
          </w:p>
        </w:tc>
        <w:tc>
          <w:tcPr>
            <w:tcW w:w="621" w:type="dxa"/>
            <w:shd w:val="clear" w:color="auto" w:fill="auto"/>
            <w:vAlign w:val="center"/>
          </w:tcPr>
          <w:p w14:paraId="2DD1B4A4"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11.4</w:t>
            </w:r>
          </w:p>
        </w:tc>
        <w:tc>
          <w:tcPr>
            <w:tcW w:w="621" w:type="dxa"/>
            <w:shd w:val="clear" w:color="auto" w:fill="auto"/>
            <w:vAlign w:val="center"/>
          </w:tcPr>
          <w:p w14:paraId="610BCE58"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12.8</w:t>
            </w:r>
          </w:p>
        </w:tc>
        <w:tc>
          <w:tcPr>
            <w:tcW w:w="621" w:type="dxa"/>
            <w:shd w:val="clear" w:color="auto" w:fill="auto"/>
            <w:vAlign w:val="center"/>
          </w:tcPr>
          <w:p w14:paraId="1CF7ECD9"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13.1</w:t>
            </w:r>
          </w:p>
        </w:tc>
        <w:tc>
          <w:tcPr>
            <w:tcW w:w="621" w:type="dxa"/>
            <w:shd w:val="clear" w:color="auto" w:fill="auto"/>
            <w:vAlign w:val="center"/>
          </w:tcPr>
          <w:p w14:paraId="6E46035E"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13.6</w:t>
            </w:r>
          </w:p>
        </w:tc>
        <w:tc>
          <w:tcPr>
            <w:tcW w:w="621" w:type="dxa"/>
            <w:shd w:val="clear" w:color="auto" w:fill="auto"/>
            <w:vAlign w:val="center"/>
          </w:tcPr>
          <w:p w14:paraId="0EFC1261"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13.1</w:t>
            </w:r>
          </w:p>
        </w:tc>
        <w:tc>
          <w:tcPr>
            <w:tcW w:w="621" w:type="dxa"/>
            <w:shd w:val="clear" w:color="auto" w:fill="D2DDE1" w:themeFill="background2"/>
            <w:vAlign w:val="center"/>
          </w:tcPr>
          <w:p w14:paraId="7759D5FF"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14.5</w:t>
            </w:r>
          </w:p>
        </w:tc>
        <w:tc>
          <w:tcPr>
            <w:tcW w:w="621" w:type="dxa"/>
            <w:shd w:val="clear" w:color="auto" w:fill="D2DDE1" w:themeFill="background2"/>
            <w:vAlign w:val="center"/>
          </w:tcPr>
          <w:p w14:paraId="4C7391C5"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14.2</w:t>
            </w:r>
          </w:p>
        </w:tc>
        <w:tc>
          <w:tcPr>
            <w:tcW w:w="621" w:type="dxa"/>
            <w:shd w:val="clear" w:color="auto" w:fill="D2DDE1" w:themeFill="background2"/>
            <w:vAlign w:val="center"/>
          </w:tcPr>
          <w:p w14:paraId="08AC0F68"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13.2</w:t>
            </w:r>
          </w:p>
        </w:tc>
        <w:tc>
          <w:tcPr>
            <w:tcW w:w="621" w:type="dxa"/>
            <w:shd w:val="clear" w:color="auto" w:fill="D2DDE1" w:themeFill="background2"/>
            <w:vAlign w:val="center"/>
          </w:tcPr>
          <w:p w14:paraId="4BD7BE48"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11.3</w:t>
            </w:r>
          </w:p>
        </w:tc>
        <w:tc>
          <w:tcPr>
            <w:tcW w:w="621" w:type="dxa"/>
            <w:shd w:val="clear" w:color="auto" w:fill="D2DDE1" w:themeFill="background2"/>
            <w:vAlign w:val="center"/>
          </w:tcPr>
          <w:p w14:paraId="2EAB9E28"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9.3</w:t>
            </w:r>
          </w:p>
        </w:tc>
        <w:tc>
          <w:tcPr>
            <w:tcW w:w="621" w:type="dxa"/>
            <w:shd w:val="clear" w:color="auto" w:fill="D2DDE1" w:themeFill="background2"/>
            <w:vAlign w:val="center"/>
          </w:tcPr>
          <w:p w14:paraId="08DF41BF"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7.6</w:t>
            </w:r>
          </w:p>
        </w:tc>
      </w:tr>
      <w:tr w:rsidR="00F51113" w:rsidRPr="000D643E" w14:paraId="389DEF8A" w14:textId="77777777">
        <w:tc>
          <w:tcPr>
            <w:tcW w:w="621" w:type="dxa"/>
            <w:shd w:val="clear" w:color="auto" w:fill="auto"/>
            <w:vAlign w:val="center"/>
            <w:hideMark/>
          </w:tcPr>
          <w:p w14:paraId="646A458B" w14:textId="77777777" w:rsidR="00F51113" w:rsidRPr="000D643E" w:rsidRDefault="00F51113">
            <w:pPr>
              <w:pStyle w:val="TableText"/>
              <w:spacing w:before="40" w:after="40"/>
              <w:rPr>
                <w:rFonts w:asciiTheme="minorHAnsi" w:hAnsiTheme="minorHAnsi" w:cstheme="minorHAnsi"/>
                <w:szCs w:val="18"/>
              </w:rPr>
            </w:pPr>
            <w:r w:rsidRPr="000D643E">
              <w:rPr>
                <w:rFonts w:asciiTheme="minorHAnsi" w:hAnsiTheme="minorHAnsi" w:cstheme="minorHAnsi"/>
                <w:szCs w:val="18"/>
              </w:rPr>
              <w:t>CH</w:t>
            </w:r>
            <w:r w:rsidRPr="000D643E">
              <w:rPr>
                <w:rFonts w:asciiTheme="minorHAnsi" w:hAnsiTheme="minorHAnsi" w:cstheme="minorHAnsi"/>
                <w:szCs w:val="18"/>
                <w:vertAlign w:val="subscript"/>
              </w:rPr>
              <w:t>4</w:t>
            </w:r>
          </w:p>
        </w:tc>
        <w:tc>
          <w:tcPr>
            <w:tcW w:w="621" w:type="dxa"/>
            <w:shd w:val="clear" w:color="auto" w:fill="auto"/>
            <w:vAlign w:val="center"/>
          </w:tcPr>
          <w:p w14:paraId="5BFAC4BB"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0.1</w:t>
            </w:r>
          </w:p>
        </w:tc>
        <w:tc>
          <w:tcPr>
            <w:tcW w:w="621" w:type="dxa"/>
            <w:shd w:val="clear" w:color="auto" w:fill="auto"/>
            <w:vAlign w:val="center"/>
          </w:tcPr>
          <w:p w14:paraId="3E5A0E9A"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0.1</w:t>
            </w:r>
          </w:p>
        </w:tc>
        <w:tc>
          <w:tcPr>
            <w:tcW w:w="621" w:type="dxa"/>
            <w:shd w:val="clear" w:color="auto" w:fill="auto"/>
            <w:vAlign w:val="center"/>
          </w:tcPr>
          <w:p w14:paraId="1FEF0D87"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0.1</w:t>
            </w:r>
          </w:p>
        </w:tc>
        <w:tc>
          <w:tcPr>
            <w:tcW w:w="621" w:type="dxa"/>
            <w:shd w:val="clear" w:color="auto" w:fill="auto"/>
            <w:vAlign w:val="center"/>
          </w:tcPr>
          <w:p w14:paraId="30E6B6E1"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0.1</w:t>
            </w:r>
          </w:p>
        </w:tc>
        <w:tc>
          <w:tcPr>
            <w:tcW w:w="621" w:type="dxa"/>
            <w:shd w:val="clear" w:color="auto" w:fill="auto"/>
            <w:vAlign w:val="center"/>
          </w:tcPr>
          <w:p w14:paraId="1E02B07B"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0.0</w:t>
            </w:r>
          </w:p>
        </w:tc>
        <w:tc>
          <w:tcPr>
            <w:tcW w:w="621" w:type="dxa"/>
            <w:shd w:val="clear" w:color="auto" w:fill="auto"/>
            <w:vAlign w:val="center"/>
          </w:tcPr>
          <w:p w14:paraId="683910E2"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0.0</w:t>
            </w:r>
          </w:p>
        </w:tc>
        <w:tc>
          <w:tcPr>
            <w:tcW w:w="621" w:type="dxa"/>
            <w:shd w:val="clear" w:color="auto" w:fill="auto"/>
            <w:vAlign w:val="center"/>
          </w:tcPr>
          <w:p w14:paraId="7049A2C3"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0.0</w:t>
            </w:r>
          </w:p>
        </w:tc>
        <w:tc>
          <w:tcPr>
            <w:tcW w:w="621" w:type="dxa"/>
            <w:shd w:val="clear" w:color="auto" w:fill="D2DDE1" w:themeFill="background2"/>
            <w:vAlign w:val="center"/>
          </w:tcPr>
          <w:p w14:paraId="53F60BEC"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0.0</w:t>
            </w:r>
          </w:p>
        </w:tc>
        <w:tc>
          <w:tcPr>
            <w:tcW w:w="621" w:type="dxa"/>
            <w:shd w:val="clear" w:color="auto" w:fill="D2DDE1" w:themeFill="background2"/>
            <w:vAlign w:val="center"/>
          </w:tcPr>
          <w:p w14:paraId="21344AF5"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0.0</w:t>
            </w:r>
          </w:p>
        </w:tc>
        <w:tc>
          <w:tcPr>
            <w:tcW w:w="621" w:type="dxa"/>
            <w:shd w:val="clear" w:color="auto" w:fill="D2DDE1" w:themeFill="background2"/>
            <w:vAlign w:val="center"/>
          </w:tcPr>
          <w:p w14:paraId="6E2C53E5"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0.0</w:t>
            </w:r>
          </w:p>
        </w:tc>
        <w:tc>
          <w:tcPr>
            <w:tcW w:w="621" w:type="dxa"/>
            <w:shd w:val="clear" w:color="auto" w:fill="D2DDE1" w:themeFill="background2"/>
            <w:vAlign w:val="center"/>
          </w:tcPr>
          <w:p w14:paraId="359B6F8E"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0.0</w:t>
            </w:r>
          </w:p>
        </w:tc>
        <w:tc>
          <w:tcPr>
            <w:tcW w:w="621" w:type="dxa"/>
            <w:shd w:val="clear" w:color="auto" w:fill="D2DDE1" w:themeFill="background2"/>
            <w:vAlign w:val="center"/>
          </w:tcPr>
          <w:p w14:paraId="27135BB3"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0.0</w:t>
            </w:r>
          </w:p>
        </w:tc>
        <w:tc>
          <w:tcPr>
            <w:tcW w:w="621" w:type="dxa"/>
            <w:shd w:val="clear" w:color="auto" w:fill="D2DDE1" w:themeFill="background2"/>
            <w:vAlign w:val="center"/>
          </w:tcPr>
          <w:p w14:paraId="2CB1B5F3"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0.0</w:t>
            </w:r>
          </w:p>
        </w:tc>
      </w:tr>
      <w:tr w:rsidR="00F51113" w:rsidRPr="000D643E" w14:paraId="20C960D2" w14:textId="77777777">
        <w:tc>
          <w:tcPr>
            <w:tcW w:w="621" w:type="dxa"/>
            <w:shd w:val="clear" w:color="auto" w:fill="auto"/>
            <w:vAlign w:val="center"/>
            <w:hideMark/>
          </w:tcPr>
          <w:p w14:paraId="1DFB46D2" w14:textId="77777777" w:rsidR="00F51113" w:rsidRPr="000D643E" w:rsidRDefault="00F51113">
            <w:pPr>
              <w:pStyle w:val="TableText"/>
              <w:spacing w:before="40" w:after="40"/>
              <w:rPr>
                <w:rFonts w:asciiTheme="minorHAnsi" w:hAnsiTheme="minorHAnsi" w:cstheme="minorHAnsi"/>
                <w:szCs w:val="18"/>
              </w:rPr>
            </w:pPr>
            <w:r w:rsidRPr="000D643E">
              <w:rPr>
                <w:rFonts w:asciiTheme="minorHAnsi" w:hAnsiTheme="minorHAnsi" w:cstheme="minorHAnsi"/>
                <w:szCs w:val="18"/>
              </w:rPr>
              <w:t>N</w:t>
            </w:r>
            <w:r w:rsidRPr="000D643E">
              <w:rPr>
                <w:rFonts w:asciiTheme="minorHAnsi" w:hAnsiTheme="minorHAnsi" w:cstheme="minorHAnsi"/>
                <w:szCs w:val="18"/>
                <w:vertAlign w:val="subscript"/>
              </w:rPr>
              <w:t>2</w:t>
            </w:r>
            <w:r w:rsidRPr="000D643E">
              <w:rPr>
                <w:rFonts w:asciiTheme="minorHAnsi" w:hAnsiTheme="minorHAnsi" w:cstheme="minorHAnsi"/>
                <w:szCs w:val="18"/>
              </w:rPr>
              <w:t>O</w:t>
            </w:r>
          </w:p>
        </w:tc>
        <w:tc>
          <w:tcPr>
            <w:tcW w:w="621" w:type="dxa"/>
            <w:shd w:val="clear" w:color="auto" w:fill="auto"/>
            <w:vAlign w:val="center"/>
          </w:tcPr>
          <w:p w14:paraId="4BD896EB"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0.1</w:t>
            </w:r>
          </w:p>
        </w:tc>
        <w:tc>
          <w:tcPr>
            <w:tcW w:w="621" w:type="dxa"/>
            <w:shd w:val="clear" w:color="auto" w:fill="auto"/>
            <w:vAlign w:val="center"/>
          </w:tcPr>
          <w:p w14:paraId="4F228ACA"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0.1</w:t>
            </w:r>
          </w:p>
        </w:tc>
        <w:tc>
          <w:tcPr>
            <w:tcW w:w="621" w:type="dxa"/>
            <w:shd w:val="clear" w:color="auto" w:fill="auto"/>
            <w:vAlign w:val="center"/>
          </w:tcPr>
          <w:p w14:paraId="7B3343EA"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0.2</w:t>
            </w:r>
          </w:p>
        </w:tc>
        <w:tc>
          <w:tcPr>
            <w:tcW w:w="621" w:type="dxa"/>
            <w:shd w:val="clear" w:color="auto" w:fill="auto"/>
            <w:vAlign w:val="center"/>
          </w:tcPr>
          <w:p w14:paraId="78C174B8"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0.2</w:t>
            </w:r>
          </w:p>
        </w:tc>
        <w:tc>
          <w:tcPr>
            <w:tcW w:w="621" w:type="dxa"/>
            <w:shd w:val="clear" w:color="auto" w:fill="auto"/>
            <w:vAlign w:val="center"/>
          </w:tcPr>
          <w:p w14:paraId="30A7BBD8"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0.2</w:t>
            </w:r>
          </w:p>
        </w:tc>
        <w:tc>
          <w:tcPr>
            <w:tcW w:w="621" w:type="dxa"/>
            <w:shd w:val="clear" w:color="auto" w:fill="auto"/>
            <w:vAlign w:val="center"/>
          </w:tcPr>
          <w:p w14:paraId="2DDE10D5"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0.1</w:t>
            </w:r>
          </w:p>
        </w:tc>
        <w:tc>
          <w:tcPr>
            <w:tcW w:w="621" w:type="dxa"/>
            <w:shd w:val="clear" w:color="auto" w:fill="auto"/>
            <w:vAlign w:val="center"/>
          </w:tcPr>
          <w:p w14:paraId="3B387A2B"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0.1</w:t>
            </w:r>
          </w:p>
        </w:tc>
        <w:tc>
          <w:tcPr>
            <w:tcW w:w="621" w:type="dxa"/>
            <w:shd w:val="clear" w:color="auto" w:fill="D2DDE1" w:themeFill="background2"/>
            <w:vAlign w:val="center"/>
          </w:tcPr>
          <w:p w14:paraId="00B3A5B5"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0.1</w:t>
            </w:r>
          </w:p>
        </w:tc>
        <w:tc>
          <w:tcPr>
            <w:tcW w:w="621" w:type="dxa"/>
            <w:shd w:val="clear" w:color="auto" w:fill="D2DDE1" w:themeFill="background2"/>
            <w:vAlign w:val="center"/>
          </w:tcPr>
          <w:p w14:paraId="06E8BB51"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0.1</w:t>
            </w:r>
          </w:p>
        </w:tc>
        <w:tc>
          <w:tcPr>
            <w:tcW w:w="621" w:type="dxa"/>
            <w:shd w:val="clear" w:color="auto" w:fill="D2DDE1" w:themeFill="background2"/>
            <w:vAlign w:val="center"/>
          </w:tcPr>
          <w:p w14:paraId="2966CC80"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0.1</w:t>
            </w:r>
          </w:p>
        </w:tc>
        <w:tc>
          <w:tcPr>
            <w:tcW w:w="621" w:type="dxa"/>
            <w:shd w:val="clear" w:color="auto" w:fill="D2DDE1" w:themeFill="background2"/>
            <w:vAlign w:val="center"/>
          </w:tcPr>
          <w:p w14:paraId="67C000B5"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0.1</w:t>
            </w:r>
          </w:p>
        </w:tc>
        <w:tc>
          <w:tcPr>
            <w:tcW w:w="621" w:type="dxa"/>
            <w:shd w:val="clear" w:color="auto" w:fill="D2DDE1" w:themeFill="background2"/>
            <w:vAlign w:val="center"/>
          </w:tcPr>
          <w:p w14:paraId="4BE81CC5"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0.1</w:t>
            </w:r>
          </w:p>
        </w:tc>
        <w:tc>
          <w:tcPr>
            <w:tcW w:w="621" w:type="dxa"/>
            <w:shd w:val="clear" w:color="auto" w:fill="D2DDE1" w:themeFill="background2"/>
            <w:vAlign w:val="center"/>
          </w:tcPr>
          <w:p w14:paraId="22A4A136"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0.1</w:t>
            </w:r>
          </w:p>
        </w:tc>
      </w:tr>
      <w:tr w:rsidR="00F51113" w:rsidRPr="000D643E" w14:paraId="5DB52A38" w14:textId="77777777">
        <w:tc>
          <w:tcPr>
            <w:tcW w:w="621" w:type="dxa"/>
            <w:shd w:val="clear" w:color="auto" w:fill="auto"/>
            <w:vAlign w:val="center"/>
            <w:hideMark/>
          </w:tcPr>
          <w:p w14:paraId="689427B6" w14:textId="77777777" w:rsidR="00F51113" w:rsidRPr="000D643E" w:rsidRDefault="00F51113">
            <w:pPr>
              <w:pStyle w:val="TableTextbold"/>
              <w:spacing w:before="40" w:after="40"/>
              <w:rPr>
                <w:rFonts w:asciiTheme="minorHAnsi" w:hAnsiTheme="minorHAnsi" w:cstheme="minorHAnsi"/>
                <w:szCs w:val="18"/>
              </w:rPr>
            </w:pPr>
            <w:r w:rsidRPr="000D643E">
              <w:rPr>
                <w:rFonts w:asciiTheme="minorHAnsi" w:hAnsiTheme="minorHAnsi" w:cstheme="minorHAnsi"/>
                <w:szCs w:val="18"/>
              </w:rPr>
              <w:t>Total</w:t>
            </w:r>
          </w:p>
        </w:tc>
        <w:tc>
          <w:tcPr>
            <w:tcW w:w="621" w:type="dxa"/>
            <w:shd w:val="clear" w:color="auto" w:fill="auto"/>
            <w:vAlign w:val="center"/>
          </w:tcPr>
          <w:p w14:paraId="16C45FA4"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8.1</w:t>
            </w:r>
          </w:p>
        </w:tc>
        <w:tc>
          <w:tcPr>
            <w:tcW w:w="621" w:type="dxa"/>
            <w:shd w:val="clear" w:color="auto" w:fill="auto"/>
            <w:vAlign w:val="center"/>
          </w:tcPr>
          <w:p w14:paraId="0695C6FC"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10.2</w:t>
            </w:r>
          </w:p>
        </w:tc>
        <w:tc>
          <w:tcPr>
            <w:tcW w:w="621" w:type="dxa"/>
            <w:shd w:val="clear" w:color="auto" w:fill="auto"/>
            <w:vAlign w:val="center"/>
          </w:tcPr>
          <w:p w14:paraId="3AFF7210"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11.6</w:t>
            </w:r>
          </w:p>
        </w:tc>
        <w:tc>
          <w:tcPr>
            <w:tcW w:w="621" w:type="dxa"/>
            <w:shd w:val="clear" w:color="auto" w:fill="auto"/>
            <w:vAlign w:val="center"/>
          </w:tcPr>
          <w:p w14:paraId="74C79259"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13.0</w:t>
            </w:r>
          </w:p>
        </w:tc>
        <w:tc>
          <w:tcPr>
            <w:tcW w:w="621" w:type="dxa"/>
            <w:shd w:val="clear" w:color="auto" w:fill="auto"/>
            <w:vAlign w:val="center"/>
          </w:tcPr>
          <w:p w14:paraId="27464590"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13.3</w:t>
            </w:r>
          </w:p>
        </w:tc>
        <w:tc>
          <w:tcPr>
            <w:tcW w:w="621" w:type="dxa"/>
            <w:shd w:val="clear" w:color="auto" w:fill="auto"/>
            <w:vAlign w:val="center"/>
          </w:tcPr>
          <w:p w14:paraId="4DE76813"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13.8</w:t>
            </w:r>
          </w:p>
        </w:tc>
        <w:tc>
          <w:tcPr>
            <w:tcW w:w="621" w:type="dxa"/>
            <w:shd w:val="clear" w:color="auto" w:fill="auto"/>
            <w:vAlign w:val="center"/>
          </w:tcPr>
          <w:p w14:paraId="419074AC"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13.2</w:t>
            </w:r>
          </w:p>
        </w:tc>
        <w:tc>
          <w:tcPr>
            <w:tcW w:w="621" w:type="dxa"/>
            <w:shd w:val="clear" w:color="auto" w:fill="D2DDE1" w:themeFill="background2"/>
            <w:vAlign w:val="center"/>
          </w:tcPr>
          <w:p w14:paraId="5DD8C72B"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14.6</w:t>
            </w:r>
          </w:p>
        </w:tc>
        <w:tc>
          <w:tcPr>
            <w:tcW w:w="621" w:type="dxa"/>
            <w:shd w:val="clear" w:color="auto" w:fill="D2DDE1" w:themeFill="background2"/>
            <w:vAlign w:val="center"/>
          </w:tcPr>
          <w:p w14:paraId="605DB0E8"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14.3</w:t>
            </w:r>
          </w:p>
        </w:tc>
        <w:tc>
          <w:tcPr>
            <w:tcW w:w="621" w:type="dxa"/>
            <w:shd w:val="clear" w:color="auto" w:fill="D2DDE1" w:themeFill="background2"/>
            <w:vAlign w:val="center"/>
          </w:tcPr>
          <w:p w14:paraId="0558B0E4"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13.3</w:t>
            </w:r>
          </w:p>
        </w:tc>
        <w:tc>
          <w:tcPr>
            <w:tcW w:w="621" w:type="dxa"/>
            <w:shd w:val="clear" w:color="auto" w:fill="D2DDE1" w:themeFill="background2"/>
            <w:vAlign w:val="center"/>
          </w:tcPr>
          <w:p w14:paraId="3686D0ED"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11.4</w:t>
            </w:r>
          </w:p>
        </w:tc>
        <w:tc>
          <w:tcPr>
            <w:tcW w:w="621" w:type="dxa"/>
            <w:shd w:val="clear" w:color="auto" w:fill="D2DDE1" w:themeFill="background2"/>
            <w:vAlign w:val="center"/>
          </w:tcPr>
          <w:p w14:paraId="6D09F37B"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9.3</w:t>
            </w:r>
          </w:p>
        </w:tc>
        <w:tc>
          <w:tcPr>
            <w:tcW w:w="621" w:type="dxa"/>
            <w:shd w:val="clear" w:color="auto" w:fill="D2DDE1" w:themeFill="background2"/>
            <w:vAlign w:val="center"/>
          </w:tcPr>
          <w:p w14:paraId="31CE984A"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7.7</w:t>
            </w:r>
          </w:p>
        </w:tc>
      </w:tr>
    </w:tbl>
    <w:p w14:paraId="0A21904C" w14:textId="77777777" w:rsidR="00F51113" w:rsidRPr="004C2DCD" w:rsidRDefault="00F51113" w:rsidP="00F51113">
      <w:pPr>
        <w:pStyle w:val="Note"/>
      </w:pPr>
      <w:r w:rsidRPr="004C2DCD">
        <w:rPr>
          <w:b/>
          <w:bCs/>
        </w:rPr>
        <w:t>Note:</w:t>
      </w:r>
      <w:r w:rsidRPr="004C2DCD">
        <w:t xml:space="preserve"> CH</w:t>
      </w:r>
      <w:r w:rsidRPr="004C2DCD">
        <w:rPr>
          <w:vertAlign w:val="subscript"/>
        </w:rPr>
        <w:t>4</w:t>
      </w:r>
      <w:r w:rsidRPr="004C2DCD">
        <w:t xml:space="preserve"> = methane; CO</w:t>
      </w:r>
      <w:r w:rsidRPr="004C2DCD">
        <w:rPr>
          <w:vertAlign w:val="subscript"/>
        </w:rPr>
        <w:t>2</w:t>
      </w:r>
      <w:r w:rsidRPr="004C2DCD">
        <w:t xml:space="preserve"> = carbon dioxide; N</w:t>
      </w:r>
      <w:r w:rsidRPr="004C2DCD">
        <w:rPr>
          <w:vertAlign w:val="subscript"/>
        </w:rPr>
        <w:t>2</w:t>
      </w:r>
      <w:r w:rsidRPr="004C2DCD">
        <w:t>O =</w:t>
      </w:r>
      <w:r w:rsidRPr="004C2DCD">
        <w:rPr>
          <w:rFonts w:eastAsia="Calibri" w:cs="Calibri"/>
          <w:sz w:val="20"/>
          <w:szCs w:val="20"/>
        </w:rPr>
        <w:t xml:space="preserve"> </w:t>
      </w:r>
      <w:r w:rsidRPr="004C2DCD">
        <w:rPr>
          <w:rStyle w:val="NoteChar"/>
        </w:rPr>
        <w:t>nitrous oxide.</w:t>
      </w:r>
    </w:p>
    <w:p w14:paraId="44A960F1" w14:textId="0A73F82C" w:rsidR="00F51113" w:rsidRPr="004C2DCD" w:rsidRDefault="00F94945" w:rsidP="00F51113">
      <w:pPr>
        <w:pStyle w:val="Heading4"/>
      </w:pPr>
      <w:r>
        <w:t>2.5.7.2.3</w:t>
      </w:r>
      <w:r>
        <w:tab/>
      </w:r>
      <w:r w:rsidR="00F51113" w:rsidRPr="004C2DCD">
        <w:t>Industrial Processes and Product Use</w:t>
      </w:r>
    </w:p>
    <w:p w14:paraId="30F8D345" w14:textId="77777777" w:rsidR="00F51113" w:rsidRPr="004C2DCD" w:rsidRDefault="00F51113" w:rsidP="00F51113">
      <w:pPr>
        <w:pStyle w:val="BodyText"/>
        <w:spacing w:after="100"/>
      </w:pPr>
      <w:r w:rsidRPr="004C2DCD">
        <w:t>Emissions from the IPPU sector under the WOM scenario are projected to increase to 4.7 Mt CO</w:t>
      </w:r>
      <w:r w:rsidRPr="004C2DCD">
        <w:rPr>
          <w:vertAlign w:val="subscript"/>
        </w:rPr>
        <w:t>2</w:t>
      </w:r>
      <w:r w:rsidRPr="004C2DCD">
        <w:t>e by 2030 (39.5 per cent above 1990 levels and 0.01 per cent above 2022 levels) and to decrease to 4.2 Mt CO</w:t>
      </w:r>
      <w:r w:rsidRPr="004C2DCD">
        <w:rPr>
          <w:vertAlign w:val="subscript"/>
        </w:rPr>
        <w:t>2</w:t>
      </w:r>
      <w:r w:rsidRPr="004C2DCD">
        <w:t>e by 2050 (25.4 per cent above 1990 levels and 10.1 per cent below 2022 levels). Figure 2.5.25 presents historical GHG emissions from 1990 to 2022 and projected WOM GHG emissions out to 2050 for the IPPU sector. Table 2.5.27 presents the WOM scenario by gas in five-yearly increments.</w:t>
      </w:r>
    </w:p>
    <w:p w14:paraId="54CDD01D" w14:textId="77777777" w:rsidR="00F51113" w:rsidRPr="004C2DCD" w:rsidRDefault="00F51113" w:rsidP="00A24A1B">
      <w:pPr>
        <w:pStyle w:val="Figureheading"/>
        <w:spacing w:after="80"/>
        <w:ind w:left="1276" w:hanging="1276"/>
      </w:pPr>
      <w:bookmarkStart w:id="679" w:name="_Toc185347269"/>
      <w:r w:rsidRPr="004C2DCD">
        <w:t xml:space="preserve">Figure 2.5.25: </w:t>
      </w:r>
      <w:r w:rsidRPr="004C2DCD">
        <w:tab/>
        <w:t>Greenhouse gas emissions for the ‘without measures’ scenario in the IPPU sector, 1990–2050</w:t>
      </w:r>
      <w:bookmarkEnd w:id="679"/>
      <w:r w:rsidRPr="004C2DCD">
        <w:t xml:space="preserve"> </w:t>
      </w:r>
    </w:p>
    <w:p w14:paraId="76B5BE66" w14:textId="22EDAC0D" w:rsidR="00F51113" w:rsidRPr="004C2DCD" w:rsidRDefault="00F57429" w:rsidP="00642E32">
      <w:pPr>
        <w:spacing w:before="80" w:after="0"/>
        <w:jc w:val="center"/>
      </w:pPr>
      <w:r>
        <w:rPr>
          <w:noProof/>
        </w:rPr>
        <w:drawing>
          <wp:inline distT="0" distB="0" distL="0" distR="0" wp14:anchorId="56756C04" wp14:editId="2ED088B1">
            <wp:extent cx="5372100" cy="2863041"/>
            <wp:effectExtent l="0" t="0" r="0" b="0"/>
            <wp:docPr id="14291926" name="Picture 50" descr="A line graph showing greenhouse gas emissions in kilotonnes carbon dioxide equivalent for the ‘without measures’ scenario in the Industrial Processes and Product Use sector for the period 1990 to 2050. It compares historical IPPU emissions with projected emissions without mea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926" name="Picture 50" descr="A line graph showing greenhouse gas emissions in kilotonnes carbon dioxide equivalent for the ‘without measures’ scenario in the Industrial Processes and Product Use sector for the period 1990 to 2050. It compares historical IPPU emissions with projected emissions without measure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86458" cy="2870693"/>
                    </a:xfrm>
                    <a:prstGeom prst="rect">
                      <a:avLst/>
                    </a:prstGeom>
                    <a:noFill/>
                  </pic:spPr>
                </pic:pic>
              </a:graphicData>
            </a:graphic>
          </wp:inline>
        </w:drawing>
      </w:r>
    </w:p>
    <w:p w14:paraId="35565567" w14:textId="77777777" w:rsidR="00F51113" w:rsidRPr="004C2DCD" w:rsidRDefault="00F51113" w:rsidP="00F51113">
      <w:pPr>
        <w:pStyle w:val="Note"/>
      </w:pPr>
      <w:r w:rsidRPr="004C2DCD">
        <w:rPr>
          <w:b/>
          <w:bCs/>
        </w:rPr>
        <w:t>Note:</w:t>
      </w:r>
      <w:r w:rsidRPr="004C2DCD">
        <w:t xml:space="preserve"> IPPU = Industrial Processes and Product Use; kt CO</w:t>
      </w:r>
      <w:r w:rsidRPr="004C2DCD">
        <w:rPr>
          <w:vertAlign w:val="subscript"/>
        </w:rPr>
        <w:t>2</w:t>
      </w:r>
      <w:r w:rsidRPr="004C2DCD">
        <w:t>e =</w:t>
      </w:r>
      <w:r w:rsidRPr="004C2DCD">
        <w:rPr>
          <w:b/>
          <w:bCs/>
        </w:rPr>
        <w:t xml:space="preserve"> </w:t>
      </w:r>
      <w:r w:rsidRPr="004C2DCD">
        <w:t>kilotonnes of carbon dioxide equivalent.</w:t>
      </w:r>
    </w:p>
    <w:p w14:paraId="4C171E1E" w14:textId="77777777" w:rsidR="00F51113" w:rsidRPr="004C2DCD" w:rsidRDefault="00F51113" w:rsidP="00A24A1B">
      <w:pPr>
        <w:pStyle w:val="Tableheading"/>
        <w:spacing w:line="260" w:lineRule="atLeast"/>
        <w:ind w:left="1276" w:hanging="1276"/>
      </w:pPr>
      <w:bookmarkStart w:id="680" w:name="_Toc183789728"/>
      <w:bookmarkStart w:id="681" w:name="_Toc185407492"/>
      <w:bookmarkStart w:id="682" w:name="_Toc185427755"/>
      <w:r w:rsidRPr="004C2DCD">
        <w:t xml:space="preserve">Table 2.5.27: </w:t>
      </w:r>
      <w:r w:rsidRPr="004C2DCD">
        <w:tab/>
        <w:t>Historical and projected IPPU sector emissions by gas under the ‘without measures’ scenario, 1990–2050 (kt CO</w:t>
      </w:r>
      <w:r w:rsidRPr="004C2DCD">
        <w:rPr>
          <w:vertAlign w:val="subscript"/>
        </w:rPr>
        <w:t>2</w:t>
      </w:r>
      <w:r w:rsidRPr="004C2DCD">
        <w:t>e)</w:t>
      </w:r>
      <w:bookmarkEnd w:id="680"/>
      <w:bookmarkEnd w:id="681"/>
      <w:bookmarkEnd w:id="682"/>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85" w:type="dxa"/>
          <w:right w:w="85" w:type="dxa"/>
        </w:tblCellMar>
        <w:tblLook w:val="04A0" w:firstRow="1" w:lastRow="0" w:firstColumn="1" w:lastColumn="0" w:noHBand="0" w:noVBand="1"/>
      </w:tblPr>
      <w:tblGrid>
        <w:gridCol w:w="579"/>
        <w:gridCol w:w="609"/>
        <w:gridCol w:w="609"/>
        <w:gridCol w:w="609"/>
        <w:gridCol w:w="609"/>
        <w:gridCol w:w="610"/>
        <w:gridCol w:w="610"/>
        <w:gridCol w:w="610"/>
        <w:gridCol w:w="610"/>
        <w:gridCol w:w="610"/>
        <w:gridCol w:w="610"/>
        <w:gridCol w:w="610"/>
        <w:gridCol w:w="610"/>
        <w:gridCol w:w="610"/>
      </w:tblGrid>
      <w:tr w:rsidR="00F51113" w:rsidRPr="000D643E" w14:paraId="78B612CD" w14:textId="77777777">
        <w:tc>
          <w:tcPr>
            <w:tcW w:w="598" w:type="dxa"/>
            <w:shd w:val="clear" w:color="auto" w:fill="1B556B" w:themeFill="text2"/>
            <w:vAlign w:val="center"/>
            <w:hideMark/>
          </w:tcPr>
          <w:p w14:paraId="2DEB4C9A" w14:textId="77777777" w:rsidR="00F51113" w:rsidRPr="000D643E" w:rsidRDefault="00F51113">
            <w:pPr>
              <w:pStyle w:val="TableTextbold"/>
              <w:spacing w:after="0"/>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 </w:t>
            </w:r>
          </w:p>
        </w:tc>
        <w:tc>
          <w:tcPr>
            <w:tcW w:w="3774" w:type="dxa"/>
            <w:gridSpan w:val="6"/>
            <w:shd w:val="clear" w:color="auto" w:fill="1B556B" w:themeFill="text2"/>
            <w:vAlign w:val="center"/>
            <w:hideMark/>
          </w:tcPr>
          <w:p w14:paraId="36E67268" w14:textId="77777777" w:rsidR="00F51113" w:rsidRPr="000D643E" w:rsidRDefault="00F51113">
            <w:pPr>
              <w:pStyle w:val="TableTextbold"/>
              <w:spacing w:after="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Historical</w:t>
            </w:r>
          </w:p>
        </w:tc>
        <w:tc>
          <w:tcPr>
            <w:tcW w:w="4403" w:type="dxa"/>
            <w:gridSpan w:val="7"/>
            <w:shd w:val="clear" w:color="auto" w:fill="1B556B" w:themeFill="text2"/>
            <w:vAlign w:val="center"/>
            <w:hideMark/>
          </w:tcPr>
          <w:p w14:paraId="41BFDE0B" w14:textId="77777777" w:rsidR="00F51113" w:rsidRPr="000D643E" w:rsidRDefault="00F51113">
            <w:pPr>
              <w:pStyle w:val="TableTextbold"/>
              <w:spacing w:after="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Projected</w:t>
            </w:r>
          </w:p>
        </w:tc>
      </w:tr>
      <w:tr w:rsidR="00F51113" w:rsidRPr="000D643E" w14:paraId="25A64F4B" w14:textId="77777777">
        <w:tc>
          <w:tcPr>
            <w:tcW w:w="598" w:type="dxa"/>
            <w:shd w:val="clear" w:color="auto" w:fill="1B556B" w:themeFill="text2"/>
            <w:vAlign w:val="center"/>
            <w:hideMark/>
          </w:tcPr>
          <w:p w14:paraId="7BFC3542" w14:textId="77777777" w:rsidR="00F51113" w:rsidRPr="000D643E" w:rsidRDefault="00F51113">
            <w:pPr>
              <w:pStyle w:val="TableTextbold"/>
              <w:spacing w:before="0"/>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Gas</w:t>
            </w:r>
          </w:p>
        </w:tc>
        <w:tc>
          <w:tcPr>
            <w:tcW w:w="629" w:type="dxa"/>
            <w:shd w:val="clear" w:color="auto" w:fill="1B556B" w:themeFill="text2"/>
            <w:vAlign w:val="center"/>
            <w:hideMark/>
          </w:tcPr>
          <w:p w14:paraId="15942FAC"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1990</w:t>
            </w:r>
          </w:p>
        </w:tc>
        <w:tc>
          <w:tcPr>
            <w:tcW w:w="629" w:type="dxa"/>
            <w:shd w:val="clear" w:color="auto" w:fill="1B556B" w:themeFill="text2"/>
            <w:vAlign w:val="center"/>
            <w:hideMark/>
          </w:tcPr>
          <w:p w14:paraId="70F59559"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1995</w:t>
            </w:r>
          </w:p>
        </w:tc>
        <w:tc>
          <w:tcPr>
            <w:tcW w:w="629" w:type="dxa"/>
            <w:shd w:val="clear" w:color="auto" w:fill="1B556B" w:themeFill="text2"/>
            <w:vAlign w:val="center"/>
            <w:hideMark/>
          </w:tcPr>
          <w:p w14:paraId="186F7C8F"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2000</w:t>
            </w:r>
          </w:p>
        </w:tc>
        <w:tc>
          <w:tcPr>
            <w:tcW w:w="629" w:type="dxa"/>
            <w:shd w:val="clear" w:color="auto" w:fill="1B556B" w:themeFill="text2"/>
            <w:vAlign w:val="center"/>
            <w:hideMark/>
          </w:tcPr>
          <w:p w14:paraId="080A2BEE"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2005</w:t>
            </w:r>
          </w:p>
        </w:tc>
        <w:tc>
          <w:tcPr>
            <w:tcW w:w="629" w:type="dxa"/>
            <w:shd w:val="clear" w:color="auto" w:fill="1B556B" w:themeFill="text2"/>
            <w:vAlign w:val="center"/>
            <w:hideMark/>
          </w:tcPr>
          <w:p w14:paraId="094402DC"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2010</w:t>
            </w:r>
          </w:p>
        </w:tc>
        <w:tc>
          <w:tcPr>
            <w:tcW w:w="629" w:type="dxa"/>
            <w:shd w:val="clear" w:color="auto" w:fill="1B556B" w:themeFill="text2"/>
            <w:vAlign w:val="center"/>
            <w:hideMark/>
          </w:tcPr>
          <w:p w14:paraId="112E6AA5"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2015</w:t>
            </w:r>
          </w:p>
        </w:tc>
        <w:tc>
          <w:tcPr>
            <w:tcW w:w="629" w:type="dxa"/>
            <w:shd w:val="clear" w:color="auto" w:fill="1B556B" w:themeFill="text2"/>
            <w:vAlign w:val="center"/>
            <w:hideMark/>
          </w:tcPr>
          <w:p w14:paraId="3CBE02AD"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2020</w:t>
            </w:r>
          </w:p>
        </w:tc>
        <w:tc>
          <w:tcPr>
            <w:tcW w:w="629" w:type="dxa"/>
            <w:shd w:val="clear" w:color="auto" w:fill="1B556B" w:themeFill="text2"/>
            <w:vAlign w:val="center"/>
            <w:hideMark/>
          </w:tcPr>
          <w:p w14:paraId="60796C4E"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2025</w:t>
            </w:r>
          </w:p>
        </w:tc>
        <w:tc>
          <w:tcPr>
            <w:tcW w:w="629" w:type="dxa"/>
            <w:shd w:val="clear" w:color="auto" w:fill="1B556B" w:themeFill="text2"/>
            <w:vAlign w:val="center"/>
            <w:hideMark/>
          </w:tcPr>
          <w:p w14:paraId="2D3CD4CA"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2030</w:t>
            </w:r>
          </w:p>
        </w:tc>
        <w:tc>
          <w:tcPr>
            <w:tcW w:w="629" w:type="dxa"/>
            <w:shd w:val="clear" w:color="auto" w:fill="1B556B" w:themeFill="text2"/>
            <w:vAlign w:val="center"/>
            <w:hideMark/>
          </w:tcPr>
          <w:p w14:paraId="11BC04CE"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2035</w:t>
            </w:r>
          </w:p>
        </w:tc>
        <w:tc>
          <w:tcPr>
            <w:tcW w:w="629" w:type="dxa"/>
            <w:shd w:val="clear" w:color="auto" w:fill="1B556B" w:themeFill="text2"/>
            <w:vAlign w:val="center"/>
            <w:hideMark/>
          </w:tcPr>
          <w:p w14:paraId="751107E2"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2040</w:t>
            </w:r>
          </w:p>
        </w:tc>
        <w:tc>
          <w:tcPr>
            <w:tcW w:w="629" w:type="dxa"/>
            <w:shd w:val="clear" w:color="auto" w:fill="1B556B" w:themeFill="text2"/>
            <w:vAlign w:val="center"/>
            <w:hideMark/>
          </w:tcPr>
          <w:p w14:paraId="29685A05"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2045</w:t>
            </w:r>
          </w:p>
        </w:tc>
        <w:tc>
          <w:tcPr>
            <w:tcW w:w="629" w:type="dxa"/>
            <w:shd w:val="clear" w:color="auto" w:fill="1B556B" w:themeFill="text2"/>
            <w:vAlign w:val="center"/>
            <w:hideMark/>
          </w:tcPr>
          <w:p w14:paraId="23524178" w14:textId="77777777" w:rsidR="00F51113" w:rsidRPr="000D643E" w:rsidRDefault="00F51113">
            <w:pPr>
              <w:pStyle w:val="TableTextbold"/>
              <w:spacing w:before="0"/>
              <w:jc w:val="center"/>
              <w:rPr>
                <w:rFonts w:asciiTheme="minorHAnsi" w:hAnsiTheme="minorHAnsi" w:cstheme="minorHAnsi"/>
                <w:bCs/>
                <w:color w:val="FFFFFF" w:themeColor="background1"/>
                <w:szCs w:val="18"/>
              </w:rPr>
            </w:pPr>
            <w:r w:rsidRPr="000D643E">
              <w:rPr>
                <w:rFonts w:asciiTheme="minorHAnsi" w:hAnsiTheme="minorHAnsi" w:cstheme="minorHAnsi"/>
                <w:bCs/>
                <w:color w:val="FFFFFF" w:themeColor="background1"/>
                <w:szCs w:val="18"/>
              </w:rPr>
              <w:t>2050</w:t>
            </w:r>
          </w:p>
        </w:tc>
      </w:tr>
      <w:tr w:rsidR="00F51113" w:rsidRPr="000D643E" w14:paraId="5DFA15CA" w14:textId="77777777">
        <w:tc>
          <w:tcPr>
            <w:tcW w:w="598" w:type="dxa"/>
            <w:shd w:val="clear" w:color="auto" w:fill="auto"/>
            <w:vAlign w:val="center"/>
            <w:hideMark/>
          </w:tcPr>
          <w:p w14:paraId="783CBAA6" w14:textId="77777777" w:rsidR="00F51113" w:rsidRPr="000D643E" w:rsidRDefault="00F51113">
            <w:pPr>
              <w:pStyle w:val="TableText"/>
              <w:spacing w:before="40" w:after="40"/>
              <w:rPr>
                <w:rFonts w:asciiTheme="minorHAnsi" w:hAnsiTheme="minorHAnsi" w:cstheme="minorHAnsi"/>
                <w:szCs w:val="18"/>
              </w:rPr>
            </w:pPr>
            <w:r w:rsidRPr="000D643E">
              <w:rPr>
                <w:rFonts w:asciiTheme="minorHAnsi" w:hAnsiTheme="minorHAnsi" w:cstheme="minorHAnsi"/>
                <w:szCs w:val="18"/>
              </w:rPr>
              <w:t>CO</w:t>
            </w:r>
            <w:r w:rsidRPr="000D643E">
              <w:rPr>
                <w:rFonts w:asciiTheme="minorHAnsi" w:hAnsiTheme="minorHAnsi" w:cstheme="minorHAnsi"/>
                <w:szCs w:val="18"/>
                <w:vertAlign w:val="subscript"/>
              </w:rPr>
              <w:t>2</w:t>
            </w:r>
          </w:p>
        </w:tc>
        <w:tc>
          <w:tcPr>
            <w:tcW w:w="629" w:type="dxa"/>
            <w:shd w:val="clear" w:color="auto" w:fill="auto"/>
            <w:vAlign w:val="center"/>
          </w:tcPr>
          <w:p w14:paraId="4CD15A4E"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2,520</w:t>
            </w:r>
          </w:p>
        </w:tc>
        <w:tc>
          <w:tcPr>
            <w:tcW w:w="629" w:type="dxa"/>
            <w:shd w:val="clear" w:color="auto" w:fill="auto"/>
            <w:vAlign w:val="center"/>
          </w:tcPr>
          <w:p w14:paraId="168240AC"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2,814</w:t>
            </w:r>
          </w:p>
        </w:tc>
        <w:tc>
          <w:tcPr>
            <w:tcW w:w="629" w:type="dxa"/>
            <w:shd w:val="clear" w:color="auto" w:fill="auto"/>
            <w:vAlign w:val="center"/>
          </w:tcPr>
          <w:p w14:paraId="1DF7D443"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2,922</w:t>
            </w:r>
          </w:p>
        </w:tc>
        <w:tc>
          <w:tcPr>
            <w:tcW w:w="629" w:type="dxa"/>
            <w:shd w:val="clear" w:color="auto" w:fill="auto"/>
            <w:vAlign w:val="center"/>
          </w:tcPr>
          <w:p w14:paraId="4796D6A5"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3,209</w:t>
            </w:r>
          </w:p>
        </w:tc>
        <w:tc>
          <w:tcPr>
            <w:tcW w:w="629" w:type="dxa"/>
            <w:shd w:val="clear" w:color="auto" w:fill="auto"/>
            <w:vAlign w:val="center"/>
          </w:tcPr>
          <w:p w14:paraId="00B55CA6"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3,319</w:t>
            </w:r>
          </w:p>
        </w:tc>
        <w:tc>
          <w:tcPr>
            <w:tcW w:w="629" w:type="dxa"/>
            <w:shd w:val="clear" w:color="auto" w:fill="auto"/>
            <w:vAlign w:val="center"/>
          </w:tcPr>
          <w:p w14:paraId="48B00493"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3,503</w:t>
            </w:r>
          </w:p>
        </w:tc>
        <w:tc>
          <w:tcPr>
            <w:tcW w:w="629" w:type="dxa"/>
            <w:shd w:val="clear" w:color="auto" w:fill="auto"/>
            <w:vAlign w:val="center"/>
          </w:tcPr>
          <w:p w14:paraId="23AC650E"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2,868</w:t>
            </w:r>
          </w:p>
        </w:tc>
        <w:tc>
          <w:tcPr>
            <w:tcW w:w="629" w:type="dxa"/>
            <w:shd w:val="clear" w:color="auto" w:fill="D2DDE1" w:themeFill="background2"/>
            <w:vAlign w:val="center"/>
          </w:tcPr>
          <w:p w14:paraId="27AD8D60"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3,011</w:t>
            </w:r>
          </w:p>
        </w:tc>
        <w:tc>
          <w:tcPr>
            <w:tcW w:w="629" w:type="dxa"/>
            <w:shd w:val="clear" w:color="auto" w:fill="D2DDE1" w:themeFill="background2"/>
            <w:vAlign w:val="center"/>
          </w:tcPr>
          <w:p w14:paraId="481553B2"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3,011</w:t>
            </w:r>
          </w:p>
        </w:tc>
        <w:tc>
          <w:tcPr>
            <w:tcW w:w="629" w:type="dxa"/>
            <w:shd w:val="clear" w:color="auto" w:fill="D2DDE1" w:themeFill="background2"/>
            <w:vAlign w:val="center"/>
          </w:tcPr>
          <w:p w14:paraId="7538B9DD"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3,011</w:t>
            </w:r>
          </w:p>
        </w:tc>
        <w:tc>
          <w:tcPr>
            <w:tcW w:w="629" w:type="dxa"/>
            <w:shd w:val="clear" w:color="auto" w:fill="D2DDE1" w:themeFill="background2"/>
            <w:vAlign w:val="center"/>
          </w:tcPr>
          <w:p w14:paraId="1C3F4A33"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3,011</w:t>
            </w:r>
          </w:p>
        </w:tc>
        <w:tc>
          <w:tcPr>
            <w:tcW w:w="629" w:type="dxa"/>
            <w:shd w:val="clear" w:color="auto" w:fill="D2DDE1" w:themeFill="background2"/>
            <w:vAlign w:val="center"/>
          </w:tcPr>
          <w:p w14:paraId="430E4432"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3,011</w:t>
            </w:r>
          </w:p>
        </w:tc>
        <w:tc>
          <w:tcPr>
            <w:tcW w:w="629" w:type="dxa"/>
            <w:shd w:val="clear" w:color="auto" w:fill="D2DDE1" w:themeFill="background2"/>
            <w:vAlign w:val="center"/>
          </w:tcPr>
          <w:p w14:paraId="155AF873"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3,011</w:t>
            </w:r>
          </w:p>
        </w:tc>
      </w:tr>
      <w:tr w:rsidR="00F51113" w:rsidRPr="000D643E" w14:paraId="573CD845" w14:textId="77777777">
        <w:tc>
          <w:tcPr>
            <w:tcW w:w="598" w:type="dxa"/>
            <w:shd w:val="clear" w:color="auto" w:fill="auto"/>
            <w:vAlign w:val="center"/>
            <w:hideMark/>
          </w:tcPr>
          <w:p w14:paraId="5E22C132" w14:textId="77777777" w:rsidR="00F51113" w:rsidRPr="000D643E" w:rsidRDefault="00F51113">
            <w:pPr>
              <w:pStyle w:val="TableText"/>
              <w:spacing w:before="40" w:after="40"/>
              <w:rPr>
                <w:rFonts w:asciiTheme="minorHAnsi" w:hAnsiTheme="minorHAnsi" w:cstheme="minorHAnsi"/>
                <w:szCs w:val="18"/>
              </w:rPr>
            </w:pPr>
            <w:r w:rsidRPr="000D643E">
              <w:rPr>
                <w:rFonts w:asciiTheme="minorHAnsi" w:hAnsiTheme="minorHAnsi" w:cstheme="minorHAnsi"/>
                <w:szCs w:val="18"/>
              </w:rPr>
              <w:t>CH</w:t>
            </w:r>
            <w:r w:rsidRPr="000D643E">
              <w:rPr>
                <w:rFonts w:asciiTheme="minorHAnsi" w:hAnsiTheme="minorHAnsi" w:cstheme="minorHAnsi"/>
                <w:szCs w:val="18"/>
                <w:vertAlign w:val="subscript"/>
              </w:rPr>
              <w:t>4</w:t>
            </w:r>
          </w:p>
        </w:tc>
        <w:tc>
          <w:tcPr>
            <w:tcW w:w="629" w:type="dxa"/>
            <w:shd w:val="clear" w:color="auto" w:fill="auto"/>
            <w:vAlign w:val="center"/>
          </w:tcPr>
          <w:p w14:paraId="765A7AB2"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31</w:t>
            </w:r>
          </w:p>
        </w:tc>
        <w:tc>
          <w:tcPr>
            <w:tcW w:w="629" w:type="dxa"/>
            <w:shd w:val="clear" w:color="auto" w:fill="auto"/>
            <w:vAlign w:val="center"/>
          </w:tcPr>
          <w:p w14:paraId="0821EF36"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89</w:t>
            </w:r>
          </w:p>
        </w:tc>
        <w:tc>
          <w:tcPr>
            <w:tcW w:w="629" w:type="dxa"/>
            <w:shd w:val="clear" w:color="auto" w:fill="auto"/>
            <w:vAlign w:val="center"/>
          </w:tcPr>
          <w:p w14:paraId="18E29780"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155</w:t>
            </w:r>
          </w:p>
        </w:tc>
        <w:tc>
          <w:tcPr>
            <w:tcW w:w="629" w:type="dxa"/>
            <w:shd w:val="clear" w:color="auto" w:fill="auto"/>
            <w:vAlign w:val="center"/>
          </w:tcPr>
          <w:p w14:paraId="47DADBC5"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22</w:t>
            </w:r>
          </w:p>
        </w:tc>
        <w:tc>
          <w:tcPr>
            <w:tcW w:w="629" w:type="dxa"/>
            <w:shd w:val="clear" w:color="auto" w:fill="auto"/>
            <w:vAlign w:val="center"/>
          </w:tcPr>
          <w:p w14:paraId="322DFF57"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53</w:t>
            </w:r>
          </w:p>
        </w:tc>
        <w:tc>
          <w:tcPr>
            <w:tcW w:w="629" w:type="dxa"/>
            <w:shd w:val="clear" w:color="auto" w:fill="auto"/>
            <w:vAlign w:val="center"/>
          </w:tcPr>
          <w:p w14:paraId="29A9803A"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120</w:t>
            </w:r>
          </w:p>
        </w:tc>
        <w:tc>
          <w:tcPr>
            <w:tcW w:w="629" w:type="dxa"/>
            <w:shd w:val="clear" w:color="auto" w:fill="auto"/>
            <w:vAlign w:val="center"/>
          </w:tcPr>
          <w:p w14:paraId="66A8FFD1"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108</w:t>
            </w:r>
          </w:p>
        </w:tc>
        <w:tc>
          <w:tcPr>
            <w:tcW w:w="629" w:type="dxa"/>
            <w:shd w:val="clear" w:color="auto" w:fill="D2DDE1" w:themeFill="background2"/>
            <w:vAlign w:val="center"/>
          </w:tcPr>
          <w:p w14:paraId="7C6AF174"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98</w:t>
            </w:r>
          </w:p>
        </w:tc>
        <w:tc>
          <w:tcPr>
            <w:tcW w:w="629" w:type="dxa"/>
            <w:shd w:val="clear" w:color="auto" w:fill="D2DDE1" w:themeFill="background2"/>
            <w:vAlign w:val="center"/>
          </w:tcPr>
          <w:p w14:paraId="2DBDEB00"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w:t>
            </w:r>
          </w:p>
        </w:tc>
        <w:tc>
          <w:tcPr>
            <w:tcW w:w="629" w:type="dxa"/>
            <w:shd w:val="clear" w:color="auto" w:fill="D2DDE1" w:themeFill="background2"/>
            <w:vAlign w:val="center"/>
          </w:tcPr>
          <w:p w14:paraId="69ED1C37"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w:t>
            </w:r>
          </w:p>
        </w:tc>
        <w:tc>
          <w:tcPr>
            <w:tcW w:w="629" w:type="dxa"/>
            <w:shd w:val="clear" w:color="auto" w:fill="D2DDE1" w:themeFill="background2"/>
            <w:vAlign w:val="center"/>
          </w:tcPr>
          <w:p w14:paraId="4860532E"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w:t>
            </w:r>
          </w:p>
        </w:tc>
        <w:tc>
          <w:tcPr>
            <w:tcW w:w="629" w:type="dxa"/>
            <w:shd w:val="clear" w:color="auto" w:fill="D2DDE1" w:themeFill="background2"/>
            <w:vAlign w:val="center"/>
          </w:tcPr>
          <w:p w14:paraId="3263E673"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w:t>
            </w:r>
          </w:p>
        </w:tc>
        <w:tc>
          <w:tcPr>
            <w:tcW w:w="629" w:type="dxa"/>
            <w:shd w:val="clear" w:color="auto" w:fill="D2DDE1" w:themeFill="background2"/>
            <w:vAlign w:val="center"/>
          </w:tcPr>
          <w:p w14:paraId="3D8CA258"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w:t>
            </w:r>
          </w:p>
        </w:tc>
      </w:tr>
      <w:tr w:rsidR="00F51113" w:rsidRPr="000D643E" w14:paraId="4F8117DA" w14:textId="77777777">
        <w:tc>
          <w:tcPr>
            <w:tcW w:w="598" w:type="dxa"/>
            <w:shd w:val="clear" w:color="auto" w:fill="auto"/>
            <w:vAlign w:val="center"/>
            <w:hideMark/>
          </w:tcPr>
          <w:p w14:paraId="5441A1C9" w14:textId="77777777" w:rsidR="00F51113" w:rsidRPr="000D643E" w:rsidRDefault="00F51113">
            <w:pPr>
              <w:pStyle w:val="TableText"/>
              <w:spacing w:before="40" w:after="40"/>
              <w:rPr>
                <w:rFonts w:asciiTheme="minorHAnsi" w:hAnsiTheme="minorHAnsi" w:cstheme="minorHAnsi"/>
                <w:szCs w:val="18"/>
              </w:rPr>
            </w:pPr>
            <w:r w:rsidRPr="000D643E">
              <w:rPr>
                <w:rFonts w:asciiTheme="minorHAnsi" w:hAnsiTheme="minorHAnsi" w:cstheme="minorHAnsi"/>
                <w:szCs w:val="18"/>
              </w:rPr>
              <w:t>N</w:t>
            </w:r>
            <w:r w:rsidRPr="000D643E">
              <w:rPr>
                <w:rFonts w:asciiTheme="minorHAnsi" w:hAnsiTheme="minorHAnsi" w:cstheme="minorHAnsi"/>
                <w:szCs w:val="18"/>
                <w:vertAlign w:val="subscript"/>
              </w:rPr>
              <w:t>2</w:t>
            </w:r>
            <w:r w:rsidRPr="000D643E">
              <w:rPr>
                <w:rFonts w:asciiTheme="minorHAnsi" w:hAnsiTheme="minorHAnsi" w:cstheme="minorHAnsi"/>
                <w:szCs w:val="18"/>
              </w:rPr>
              <w:t>O</w:t>
            </w:r>
          </w:p>
        </w:tc>
        <w:tc>
          <w:tcPr>
            <w:tcW w:w="629" w:type="dxa"/>
            <w:shd w:val="clear" w:color="auto" w:fill="auto"/>
            <w:vAlign w:val="center"/>
          </w:tcPr>
          <w:p w14:paraId="74E88A3C"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w:t>
            </w:r>
          </w:p>
        </w:tc>
        <w:tc>
          <w:tcPr>
            <w:tcW w:w="629" w:type="dxa"/>
            <w:shd w:val="clear" w:color="auto" w:fill="auto"/>
            <w:vAlign w:val="center"/>
          </w:tcPr>
          <w:p w14:paraId="180C276B"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70</w:t>
            </w:r>
          </w:p>
        </w:tc>
        <w:tc>
          <w:tcPr>
            <w:tcW w:w="629" w:type="dxa"/>
            <w:shd w:val="clear" w:color="auto" w:fill="auto"/>
            <w:vAlign w:val="center"/>
          </w:tcPr>
          <w:p w14:paraId="25510505"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55</w:t>
            </w:r>
          </w:p>
        </w:tc>
        <w:tc>
          <w:tcPr>
            <w:tcW w:w="629" w:type="dxa"/>
            <w:shd w:val="clear" w:color="auto" w:fill="auto"/>
            <w:vAlign w:val="center"/>
          </w:tcPr>
          <w:p w14:paraId="303A5FCB"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40</w:t>
            </w:r>
          </w:p>
        </w:tc>
        <w:tc>
          <w:tcPr>
            <w:tcW w:w="629" w:type="dxa"/>
            <w:shd w:val="clear" w:color="auto" w:fill="auto"/>
            <w:vAlign w:val="center"/>
          </w:tcPr>
          <w:p w14:paraId="4A79B374"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47</w:t>
            </w:r>
          </w:p>
        </w:tc>
        <w:tc>
          <w:tcPr>
            <w:tcW w:w="629" w:type="dxa"/>
            <w:shd w:val="clear" w:color="auto" w:fill="auto"/>
            <w:vAlign w:val="center"/>
          </w:tcPr>
          <w:p w14:paraId="39E658A2"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53</w:t>
            </w:r>
          </w:p>
        </w:tc>
        <w:tc>
          <w:tcPr>
            <w:tcW w:w="629" w:type="dxa"/>
            <w:shd w:val="clear" w:color="auto" w:fill="auto"/>
            <w:vAlign w:val="center"/>
          </w:tcPr>
          <w:p w14:paraId="54E3237B"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66</w:t>
            </w:r>
          </w:p>
        </w:tc>
        <w:tc>
          <w:tcPr>
            <w:tcW w:w="629" w:type="dxa"/>
            <w:shd w:val="clear" w:color="auto" w:fill="D2DDE1" w:themeFill="background2"/>
            <w:vAlign w:val="center"/>
          </w:tcPr>
          <w:p w14:paraId="28D4FD5A"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104</w:t>
            </w:r>
          </w:p>
        </w:tc>
        <w:tc>
          <w:tcPr>
            <w:tcW w:w="629" w:type="dxa"/>
            <w:shd w:val="clear" w:color="auto" w:fill="D2DDE1" w:themeFill="background2"/>
            <w:vAlign w:val="center"/>
          </w:tcPr>
          <w:p w14:paraId="0E082D1B"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123</w:t>
            </w:r>
          </w:p>
        </w:tc>
        <w:tc>
          <w:tcPr>
            <w:tcW w:w="629" w:type="dxa"/>
            <w:shd w:val="clear" w:color="auto" w:fill="D2DDE1" w:themeFill="background2"/>
            <w:vAlign w:val="center"/>
          </w:tcPr>
          <w:p w14:paraId="6AB71C41"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123</w:t>
            </w:r>
          </w:p>
        </w:tc>
        <w:tc>
          <w:tcPr>
            <w:tcW w:w="629" w:type="dxa"/>
            <w:shd w:val="clear" w:color="auto" w:fill="D2DDE1" w:themeFill="background2"/>
            <w:vAlign w:val="center"/>
          </w:tcPr>
          <w:p w14:paraId="0DC3D357"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123</w:t>
            </w:r>
          </w:p>
        </w:tc>
        <w:tc>
          <w:tcPr>
            <w:tcW w:w="629" w:type="dxa"/>
            <w:shd w:val="clear" w:color="auto" w:fill="D2DDE1" w:themeFill="background2"/>
            <w:vAlign w:val="center"/>
          </w:tcPr>
          <w:p w14:paraId="2C8F6F66"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123</w:t>
            </w:r>
          </w:p>
        </w:tc>
        <w:tc>
          <w:tcPr>
            <w:tcW w:w="629" w:type="dxa"/>
            <w:shd w:val="clear" w:color="auto" w:fill="D2DDE1" w:themeFill="background2"/>
            <w:vAlign w:val="center"/>
          </w:tcPr>
          <w:p w14:paraId="15B157C7"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123</w:t>
            </w:r>
          </w:p>
        </w:tc>
      </w:tr>
      <w:tr w:rsidR="00F51113" w:rsidRPr="000D643E" w14:paraId="2D63DC33" w14:textId="77777777">
        <w:tc>
          <w:tcPr>
            <w:tcW w:w="598" w:type="dxa"/>
            <w:shd w:val="clear" w:color="auto" w:fill="auto"/>
            <w:vAlign w:val="center"/>
          </w:tcPr>
          <w:p w14:paraId="267CE6A1" w14:textId="77777777" w:rsidR="00F51113" w:rsidRPr="000D643E" w:rsidRDefault="00F51113">
            <w:pPr>
              <w:pStyle w:val="TableText"/>
              <w:spacing w:before="40" w:after="40"/>
              <w:rPr>
                <w:rFonts w:asciiTheme="minorHAnsi" w:hAnsiTheme="minorHAnsi" w:cstheme="minorHAnsi"/>
                <w:szCs w:val="18"/>
              </w:rPr>
            </w:pPr>
            <w:r w:rsidRPr="000D643E">
              <w:rPr>
                <w:rFonts w:asciiTheme="minorHAnsi" w:hAnsiTheme="minorHAnsi" w:cstheme="minorHAnsi"/>
                <w:szCs w:val="18"/>
              </w:rPr>
              <w:t>HFCs</w:t>
            </w:r>
          </w:p>
        </w:tc>
        <w:tc>
          <w:tcPr>
            <w:tcW w:w="629" w:type="dxa"/>
            <w:shd w:val="clear" w:color="auto" w:fill="auto"/>
            <w:vAlign w:val="center"/>
          </w:tcPr>
          <w:p w14:paraId="20A87F90"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w:t>
            </w:r>
          </w:p>
        </w:tc>
        <w:tc>
          <w:tcPr>
            <w:tcW w:w="629" w:type="dxa"/>
            <w:shd w:val="clear" w:color="auto" w:fill="auto"/>
            <w:vAlign w:val="center"/>
          </w:tcPr>
          <w:p w14:paraId="7B327F51"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26</w:t>
            </w:r>
          </w:p>
        </w:tc>
        <w:tc>
          <w:tcPr>
            <w:tcW w:w="629" w:type="dxa"/>
            <w:shd w:val="clear" w:color="auto" w:fill="auto"/>
            <w:vAlign w:val="center"/>
          </w:tcPr>
          <w:p w14:paraId="5B4B359E"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235</w:t>
            </w:r>
          </w:p>
        </w:tc>
        <w:tc>
          <w:tcPr>
            <w:tcW w:w="629" w:type="dxa"/>
            <w:shd w:val="clear" w:color="auto" w:fill="auto"/>
            <w:vAlign w:val="center"/>
          </w:tcPr>
          <w:p w14:paraId="6F54DD84"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618</w:t>
            </w:r>
          </w:p>
        </w:tc>
        <w:tc>
          <w:tcPr>
            <w:tcW w:w="629" w:type="dxa"/>
            <w:shd w:val="clear" w:color="auto" w:fill="auto"/>
            <w:vAlign w:val="center"/>
          </w:tcPr>
          <w:p w14:paraId="25C2F91B"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926</w:t>
            </w:r>
          </w:p>
        </w:tc>
        <w:tc>
          <w:tcPr>
            <w:tcW w:w="629" w:type="dxa"/>
            <w:shd w:val="clear" w:color="auto" w:fill="auto"/>
            <w:vAlign w:val="center"/>
          </w:tcPr>
          <w:p w14:paraId="43DB46DE"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1,279</w:t>
            </w:r>
          </w:p>
        </w:tc>
        <w:tc>
          <w:tcPr>
            <w:tcW w:w="629" w:type="dxa"/>
            <w:shd w:val="clear" w:color="auto" w:fill="auto"/>
            <w:vAlign w:val="center"/>
          </w:tcPr>
          <w:p w14:paraId="4E3A861E"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1,548</w:t>
            </w:r>
          </w:p>
        </w:tc>
        <w:tc>
          <w:tcPr>
            <w:tcW w:w="629" w:type="dxa"/>
            <w:shd w:val="clear" w:color="auto" w:fill="D2DDE1" w:themeFill="background2"/>
            <w:vAlign w:val="center"/>
          </w:tcPr>
          <w:p w14:paraId="36381413"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1,638</w:t>
            </w:r>
          </w:p>
        </w:tc>
        <w:tc>
          <w:tcPr>
            <w:tcW w:w="629" w:type="dxa"/>
            <w:shd w:val="clear" w:color="auto" w:fill="D2DDE1" w:themeFill="background2"/>
            <w:vAlign w:val="center"/>
          </w:tcPr>
          <w:p w14:paraId="2066FB50"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1,498</w:t>
            </w:r>
          </w:p>
        </w:tc>
        <w:tc>
          <w:tcPr>
            <w:tcW w:w="629" w:type="dxa"/>
            <w:shd w:val="clear" w:color="auto" w:fill="D2DDE1" w:themeFill="background2"/>
            <w:vAlign w:val="center"/>
          </w:tcPr>
          <w:p w14:paraId="29C400CF"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1,302</w:t>
            </w:r>
          </w:p>
        </w:tc>
        <w:tc>
          <w:tcPr>
            <w:tcW w:w="629" w:type="dxa"/>
            <w:shd w:val="clear" w:color="auto" w:fill="D2DDE1" w:themeFill="background2"/>
            <w:vAlign w:val="center"/>
          </w:tcPr>
          <w:p w14:paraId="5F5FC962"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1,116</w:t>
            </w:r>
          </w:p>
        </w:tc>
        <w:tc>
          <w:tcPr>
            <w:tcW w:w="629" w:type="dxa"/>
            <w:shd w:val="clear" w:color="auto" w:fill="D2DDE1" w:themeFill="background2"/>
            <w:vAlign w:val="center"/>
          </w:tcPr>
          <w:p w14:paraId="78BD99AD"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1,090</w:t>
            </w:r>
          </w:p>
        </w:tc>
        <w:tc>
          <w:tcPr>
            <w:tcW w:w="629" w:type="dxa"/>
            <w:shd w:val="clear" w:color="auto" w:fill="D2DDE1" w:themeFill="background2"/>
            <w:vAlign w:val="center"/>
          </w:tcPr>
          <w:p w14:paraId="1CBD8354"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1,024</w:t>
            </w:r>
          </w:p>
        </w:tc>
      </w:tr>
      <w:tr w:rsidR="00F51113" w:rsidRPr="000D643E" w14:paraId="1706DC9A" w14:textId="77777777">
        <w:tc>
          <w:tcPr>
            <w:tcW w:w="598" w:type="dxa"/>
            <w:shd w:val="clear" w:color="auto" w:fill="auto"/>
            <w:vAlign w:val="center"/>
          </w:tcPr>
          <w:p w14:paraId="6B034A38" w14:textId="77777777" w:rsidR="00F51113" w:rsidRPr="000D643E" w:rsidRDefault="00F51113">
            <w:pPr>
              <w:pStyle w:val="TableText"/>
              <w:spacing w:before="40" w:after="40"/>
              <w:rPr>
                <w:rFonts w:asciiTheme="minorHAnsi" w:hAnsiTheme="minorHAnsi" w:cstheme="minorHAnsi"/>
                <w:szCs w:val="18"/>
              </w:rPr>
            </w:pPr>
            <w:r w:rsidRPr="000D643E">
              <w:rPr>
                <w:rFonts w:asciiTheme="minorHAnsi" w:hAnsiTheme="minorHAnsi" w:cstheme="minorHAnsi"/>
                <w:szCs w:val="18"/>
              </w:rPr>
              <w:t>PFCs</w:t>
            </w:r>
          </w:p>
        </w:tc>
        <w:tc>
          <w:tcPr>
            <w:tcW w:w="629" w:type="dxa"/>
            <w:shd w:val="clear" w:color="auto" w:fill="auto"/>
            <w:vAlign w:val="center"/>
          </w:tcPr>
          <w:p w14:paraId="7843414C"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818</w:t>
            </w:r>
          </w:p>
        </w:tc>
        <w:tc>
          <w:tcPr>
            <w:tcW w:w="629" w:type="dxa"/>
            <w:shd w:val="clear" w:color="auto" w:fill="auto"/>
            <w:vAlign w:val="center"/>
          </w:tcPr>
          <w:p w14:paraId="472D03A9"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139</w:t>
            </w:r>
          </w:p>
        </w:tc>
        <w:tc>
          <w:tcPr>
            <w:tcW w:w="629" w:type="dxa"/>
            <w:shd w:val="clear" w:color="auto" w:fill="auto"/>
            <w:vAlign w:val="center"/>
          </w:tcPr>
          <w:p w14:paraId="24F23866"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85</w:t>
            </w:r>
          </w:p>
        </w:tc>
        <w:tc>
          <w:tcPr>
            <w:tcW w:w="629" w:type="dxa"/>
            <w:shd w:val="clear" w:color="auto" w:fill="auto"/>
            <w:vAlign w:val="center"/>
          </w:tcPr>
          <w:p w14:paraId="7B6A57E6"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62</w:t>
            </w:r>
          </w:p>
        </w:tc>
        <w:tc>
          <w:tcPr>
            <w:tcW w:w="629" w:type="dxa"/>
            <w:shd w:val="clear" w:color="auto" w:fill="auto"/>
            <w:vAlign w:val="center"/>
          </w:tcPr>
          <w:p w14:paraId="39BB1142"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43</w:t>
            </w:r>
          </w:p>
        </w:tc>
        <w:tc>
          <w:tcPr>
            <w:tcW w:w="629" w:type="dxa"/>
            <w:shd w:val="clear" w:color="auto" w:fill="auto"/>
            <w:vAlign w:val="center"/>
          </w:tcPr>
          <w:p w14:paraId="5891F0CF"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53</w:t>
            </w:r>
          </w:p>
        </w:tc>
        <w:tc>
          <w:tcPr>
            <w:tcW w:w="629" w:type="dxa"/>
            <w:shd w:val="clear" w:color="auto" w:fill="auto"/>
            <w:vAlign w:val="center"/>
          </w:tcPr>
          <w:p w14:paraId="71D01B40"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79</w:t>
            </w:r>
          </w:p>
        </w:tc>
        <w:tc>
          <w:tcPr>
            <w:tcW w:w="629" w:type="dxa"/>
            <w:shd w:val="clear" w:color="auto" w:fill="D2DDE1" w:themeFill="background2"/>
            <w:vAlign w:val="center"/>
          </w:tcPr>
          <w:p w14:paraId="57B24F39"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51</w:t>
            </w:r>
          </w:p>
        </w:tc>
        <w:tc>
          <w:tcPr>
            <w:tcW w:w="629" w:type="dxa"/>
            <w:shd w:val="clear" w:color="auto" w:fill="D2DDE1" w:themeFill="background2"/>
            <w:vAlign w:val="center"/>
          </w:tcPr>
          <w:p w14:paraId="6E9629FA"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51</w:t>
            </w:r>
          </w:p>
        </w:tc>
        <w:tc>
          <w:tcPr>
            <w:tcW w:w="629" w:type="dxa"/>
            <w:shd w:val="clear" w:color="auto" w:fill="D2DDE1" w:themeFill="background2"/>
            <w:vAlign w:val="center"/>
          </w:tcPr>
          <w:p w14:paraId="11D547B8"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51</w:t>
            </w:r>
          </w:p>
        </w:tc>
        <w:tc>
          <w:tcPr>
            <w:tcW w:w="629" w:type="dxa"/>
            <w:shd w:val="clear" w:color="auto" w:fill="D2DDE1" w:themeFill="background2"/>
            <w:vAlign w:val="center"/>
          </w:tcPr>
          <w:p w14:paraId="3E2D26E6"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51</w:t>
            </w:r>
          </w:p>
        </w:tc>
        <w:tc>
          <w:tcPr>
            <w:tcW w:w="629" w:type="dxa"/>
            <w:shd w:val="clear" w:color="auto" w:fill="D2DDE1" w:themeFill="background2"/>
            <w:vAlign w:val="center"/>
          </w:tcPr>
          <w:p w14:paraId="653A2337"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51</w:t>
            </w:r>
          </w:p>
        </w:tc>
        <w:tc>
          <w:tcPr>
            <w:tcW w:w="629" w:type="dxa"/>
            <w:shd w:val="clear" w:color="auto" w:fill="D2DDE1" w:themeFill="background2"/>
            <w:vAlign w:val="center"/>
          </w:tcPr>
          <w:p w14:paraId="0265D0C6"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51</w:t>
            </w:r>
          </w:p>
        </w:tc>
      </w:tr>
      <w:tr w:rsidR="00F51113" w:rsidRPr="000D643E" w14:paraId="29CD4400" w14:textId="77777777">
        <w:tc>
          <w:tcPr>
            <w:tcW w:w="598" w:type="dxa"/>
            <w:shd w:val="clear" w:color="auto" w:fill="auto"/>
            <w:vAlign w:val="center"/>
          </w:tcPr>
          <w:p w14:paraId="7D49BAEA" w14:textId="77777777" w:rsidR="00F51113" w:rsidRPr="000D643E" w:rsidRDefault="00F51113">
            <w:pPr>
              <w:pStyle w:val="TableText"/>
              <w:spacing w:before="40" w:after="40"/>
              <w:rPr>
                <w:rFonts w:asciiTheme="minorHAnsi" w:hAnsiTheme="minorHAnsi" w:cstheme="minorHAnsi"/>
                <w:szCs w:val="18"/>
                <w:vertAlign w:val="superscript"/>
              </w:rPr>
            </w:pPr>
            <w:r w:rsidRPr="000D643E">
              <w:rPr>
                <w:rFonts w:asciiTheme="minorHAnsi" w:hAnsiTheme="minorHAnsi" w:cstheme="minorHAnsi"/>
                <w:szCs w:val="18"/>
              </w:rPr>
              <w:t>SF</w:t>
            </w:r>
            <w:r w:rsidRPr="000D643E">
              <w:rPr>
                <w:rFonts w:asciiTheme="minorHAnsi" w:hAnsiTheme="minorHAnsi" w:cstheme="minorHAnsi"/>
                <w:szCs w:val="18"/>
                <w:vertAlign w:val="subscript"/>
              </w:rPr>
              <w:t>6</w:t>
            </w:r>
          </w:p>
        </w:tc>
        <w:tc>
          <w:tcPr>
            <w:tcW w:w="629" w:type="dxa"/>
            <w:shd w:val="clear" w:color="auto" w:fill="auto"/>
            <w:vAlign w:val="center"/>
          </w:tcPr>
          <w:p w14:paraId="109491FB"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0</w:t>
            </w:r>
          </w:p>
        </w:tc>
        <w:tc>
          <w:tcPr>
            <w:tcW w:w="629" w:type="dxa"/>
            <w:shd w:val="clear" w:color="auto" w:fill="auto"/>
            <w:vAlign w:val="center"/>
          </w:tcPr>
          <w:p w14:paraId="2EB0FE1C"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22</w:t>
            </w:r>
          </w:p>
        </w:tc>
        <w:tc>
          <w:tcPr>
            <w:tcW w:w="629" w:type="dxa"/>
            <w:shd w:val="clear" w:color="auto" w:fill="auto"/>
            <w:vAlign w:val="center"/>
          </w:tcPr>
          <w:p w14:paraId="57114D4A"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20</w:t>
            </w:r>
          </w:p>
        </w:tc>
        <w:tc>
          <w:tcPr>
            <w:tcW w:w="629" w:type="dxa"/>
            <w:shd w:val="clear" w:color="auto" w:fill="auto"/>
            <w:vAlign w:val="center"/>
          </w:tcPr>
          <w:p w14:paraId="4DCEF6E9"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26</w:t>
            </w:r>
          </w:p>
        </w:tc>
        <w:tc>
          <w:tcPr>
            <w:tcW w:w="629" w:type="dxa"/>
            <w:shd w:val="clear" w:color="auto" w:fill="auto"/>
            <w:vAlign w:val="center"/>
          </w:tcPr>
          <w:p w14:paraId="17E3191F"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24</w:t>
            </w:r>
          </w:p>
        </w:tc>
        <w:tc>
          <w:tcPr>
            <w:tcW w:w="629" w:type="dxa"/>
            <w:shd w:val="clear" w:color="auto" w:fill="auto"/>
            <w:vAlign w:val="center"/>
          </w:tcPr>
          <w:p w14:paraId="7E4770E2"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17</w:t>
            </w:r>
          </w:p>
        </w:tc>
        <w:tc>
          <w:tcPr>
            <w:tcW w:w="629" w:type="dxa"/>
            <w:shd w:val="clear" w:color="auto" w:fill="auto"/>
            <w:vAlign w:val="center"/>
          </w:tcPr>
          <w:p w14:paraId="15C277E7"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17</w:t>
            </w:r>
          </w:p>
        </w:tc>
        <w:tc>
          <w:tcPr>
            <w:tcW w:w="629" w:type="dxa"/>
            <w:shd w:val="clear" w:color="auto" w:fill="D2DDE1" w:themeFill="background2"/>
            <w:vAlign w:val="center"/>
          </w:tcPr>
          <w:p w14:paraId="607E9EAD"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19</w:t>
            </w:r>
          </w:p>
        </w:tc>
        <w:tc>
          <w:tcPr>
            <w:tcW w:w="629" w:type="dxa"/>
            <w:shd w:val="clear" w:color="auto" w:fill="D2DDE1" w:themeFill="background2"/>
            <w:vAlign w:val="center"/>
          </w:tcPr>
          <w:p w14:paraId="749A30CE"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16</w:t>
            </w:r>
          </w:p>
        </w:tc>
        <w:tc>
          <w:tcPr>
            <w:tcW w:w="629" w:type="dxa"/>
            <w:shd w:val="clear" w:color="auto" w:fill="D2DDE1" w:themeFill="background2"/>
            <w:vAlign w:val="center"/>
          </w:tcPr>
          <w:p w14:paraId="5A4F467F"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16</w:t>
            </w:r>
          </w:p>
        </w:tc>
        <w:tc>
          <w:tcPr>
            <w:tcW w:w="629" w:type="dxa"/>
            <w:shd w:val="clear" w:color="auto" w:fill="D2DDE1" w:themeFill="background2"/>
            <w:vAlign w:val="center"/>
          </w:tcPr>
          <w:p w14:paraId="2E505320"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16</w:t>
            </w:r>
          </w:p>
        </w:tc>
        <w:tc>
          <w:tcPr>
            <w:tcW w:w="629" w:type="dxa"/>
            <w:shd w:val="clear" w:color="auto" w:fill="D2DDE1" w:themeFill="background2"/>
            <w:vAlign w:val="center"/>
          </w:tcPr>
          <w:p w14:paraId="5A91B60F"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16</w:t>
            </w:r>
          </w:p>
        </w:tc>
        <w:tc>
          <w:tcPr>
            <w:tcW w:w="629" w:type="dxa"/>
            <w:shd w:val="clear" w:color="auto" w:fill="D2DDE1" w:themeFill="background2"/>
            <w:vAlign w:val="center"/>
          </w:tcPr>
          <w:p w14:paraId="23024993" w14:textId="77777777" w:rsidR="00F51113" w:rsidRPr="000D643E" w:rsidRDefault="00F51113">
            <w:pPr>
              <w:pStyle w:val="TableText"/>
              <w:spacing w:before="40" w:after="40"/>
              <w:jc w:val="center"/>
              <w:rPr>
                <w:rFonts w:asciiTheme="minorHAnsi" w:hAnsiTheme="minorHAnsi" w:cstheme="minorHAnsi"/>
                <w:szCs w:val="18"/>
              </w:rPr>
            </w:pPr>
            <w:r w:rsidRPr="000D643E">
              <w:rPr>
                <w:rFonts w:asciiTheme="minorHAnsi" w:hAnsiTheme="minorHAnsi" w:cstheme="minorHAnsi"/>
                <w:szCs w:val="18"/>
              </w:rPr>
              <w:t>16</w:t>
            </w:r>
          </w:p>
        </w:tc>
      </w:tr>
      <w:tr w:rsidR="00F51113" w:rsidRPr="000D643E" w14:paraId="13918136" w14:textId="77777777">
        <w:tc>
          <w:tcPr>
            <w:tcW w:w="598" w:type="dxa"/>
            <w:shd w:val="clear" w:color="auto" w:fill="auto"/>
            <w:vAlign w:val="center"/>
            <w:hideMark/>
          </w:tcPr>
          <w:p w14:paraId="42B6854C" w14:textId="77777777" w:rsidR="00F51113" w:rsidRPr="000D643E" w:rsidRDefault="00F51113">
            <w:pPr>
              <w:pStyle w:val="TableTextbold"/>
              <w:spacing w:before="40" w:after="40"/>
              <w:rPr>
                <w:rFonts w:asciiTheme="minorHAnsi" w:hAnsiTheme="minorHAnsi" w:cstheme="minorHAnsi"/>
                <w:szCs w:val="18"/>
              </w:rPr>
            </w:pPr>
            <w:r w:rsidRPr="000D643E">
              <w:rPr>
                <w:rFonts w:asciiTheme="minorHAnsi" w:hAnsiTheme="minorHAnsi" w:cstheme="minorHAnsi"/>
                <w:szCs w:val="18"/>
              </w:rPr>
              <w:t>Total</w:t>
            </w:r>
          </w:p>
        </w:tc>
        <w:tc>
          <w:tcPr>
            <w:tcW w:w="629" w:type="dxa"/>
            <w:shd w:val="clear" w:color="auto" w:fill="auto"/>
            <w:vAlign w:val="center"/>
          </w:tcPr>
          <w:p w14:paraId="6F249185"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3,369</w:t>
            </w:r>
          </w:p>
        </w:tc>
        <w:tc>
          <w:tcPr>
            <w:tcW w:w="629" w:type="dxa"/>
            <w:shd w:val="clear" w:color="auto" w:fill="auto"/>
            <w:vAlign w:val="center"/>
          </w:tcPr>
          <w:p w14:paraId="68EF7E25"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3,160</w:t>
            </w:r>
          </w:p>
        </w:tc>
        <w:tc>
          <w:tcPr>
            <w:tcW w:w="629" w:type="dxa"/>
            <w:shd w:val="clear" w:color="auto" w:fill="auto"/>
            <w:vAlign w:val="center"/>
          </w:tcPr>
          <w:p w14:paraId="46C741C2"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3,472</w:t>
            </w:r>
          </w:p>
        </w:tc>
        <w:tc>
          <w:tcPr>
            <w:tcW w:w="629" w:type="dxa"/>
            <w:shd w:val="clear" w:color="auto" w:fill="auto"/>
            <w:vAlign w:val="center"/>
          </w:tcPr>
          <w:p w14:paraId="65329407"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3,977</w:t>
            </w:r>
          </w:p>
        </w:tc>
        <w:tc>
          <w:tcPr>
            <w:tcW w:w="629" w:type="dxa"/>
            <w:shd w:val="clear" w:color="auto" w:fill="auto"/>
            <w:vAlign w:val="center"/>
          </w:tcPr>
          <w:p w14:paraId="6065C79A"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4,412</w:t>
            </w:r>
          </w:p>
        </w:tc>
        <w:tc>
          <w:tcPr>
            <w:tcW w:w="629" w:type="dxa"/>
            <w:shd w:val="clear" w:color="auto" w:fill="auto"/>
            <w:vAlign w:val="center"/>
          </w:tcPr>
          <w:p w14:paraId="3BA750D6"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5,024</w:t>
            </w:r>
          </w:p>
        </w:tc>
        <w:tc>
          <w:tcPr>
            <w:tcW w:w="629" w:type="dxa"/>
            <w:shd w:val="clear" w:color="auto" w:fill="auto"/>
            <w:vAlign w:val="center"/>
          </w:tcPr>
          <w:p w14:paraId="1CD4FF2E"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4,685</w:t>
            </w:r>
          </w:p>
        </w:tc>
        <w:tc>
          <w:tcPr>
            <w:tcW w:w="629" w:type="dxa"/>
            <w:shd w:val="clear" w:color="auto" w:fill="D2DDE1" w:themeFill="background2"/>
            <w:vAlign w:val="center"/>
          </w:tcPr>
          <w:p w14:paraId="324E4E98"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4,699</w:t>
            </w:r>
          </w:p>
        </w:tc>
        <w:tc>
          <w:tcPr>
            <w:tcW w:w="629" w:type="dxa"/>
            <w:shd w:val="clear" w:color="auto" w:fill="D2DDE1" w:themeFill="background2"/>
            <w:vAlign w:val="center"/>
          </w:tcPr>
          <w:p w14:paraId="0129F09E"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4,919</w:t>
            </w:r>
          </w:p>
        </w:tc>
        <w:tc>
          <w:tcPr>
            <w:tcW w:w="629" w:type="dxa"/>
            <w:shd w:val="clear" w:color="auto" w:fill="D2DDE1" w:themeFill="background2"/>
            <w:vAlign w:val="center"/>
          </w:tcPr>
          <w:p w14:paraId="4100973E"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4,699</w:t>
            </w:r>
          </w:p>
        </w:tc>
        <w:tc>
          <w:tcPr>
            <w:tcW w:w="629" w:type="dxa"/>
            <w:shd w:val="clear" w:color="auto" w:fill="D2DDE1" w:themeFill="background2"/>
            <w:vAlign w:val="center"/>
          </w:tcPr>
          <w:p w14:paraId="4EB7080E"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4,504</w:t>
            </w:r>
          </w:p>
        </w:tc>
        <w:tc>
          <w:tcPr>
            <w:tcW w:w="629" w:type="dxa"/>
            <w:shd w:val="clear" w:color="auto" w:fill="D2DDE1" w:themeFill="background2"/>
            <w:vAlign w:val="center"/>
          </w:tcPr>
          <w:p w14:paraId="5EBCE0EB"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4,317</w:t>
            </w:r>
          </w:p>
        </w:tc>
        <w:tc>
          <w:tcPr>
            <w:tcW w:w="629" w:type="dxa"/>
            <w:shd w:val="clear" w:color="auto" w:fill="D2DDE1" w:themeFill="background2"/>
            <w:vAlign w:val="center"/>
          </w:tcPr>
          <w:p w14:paraId="0F0D7D6D"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4,291</w:t>
            </w:r>
          </w:p>
        </w:tc>
      </w:tr>
    </w:tbl>
    <w:p w14:paraId="5016BA73" w14:textId="77777777" w:rsidR="00F51113" w:rsidRPr="004C2DCD" w:rsidRDefault="00F51113" w:rsidP="00F51113">
      <w:pPr>
        <w:pStyle w:val="Note"/>
      </w:pPr>
      <w:r w:rsidRPr="004C2DCD">
        <w:rPr>
          <w:b/>
          <w:bCs/>
          <w:spacing w:val="-2"/>
        </w:rPr>
        <w:t>Note:</w:t>
      </w:r>
      <w:r w:rsidRPr="004C2DCD">
        <w:rPr>
          <w:spacing w:val="-2"/>
        </w:rPr>
        <w:t xml:space="preserve"> CH</w:t>
      </w:r>
      <w:r w:rsidRPr="004C2DCD">
        <w:rPr>
          <w:spacing w:val="-2"/>
          <w:vertAlign w:val="subscript"/>
        </w:rPr>
        <w:t>4</w:t>
      </w:r>
      <w:r w:rsidRPr="004C2DCD">
        <w:rPr>
          <w:spacing w:val="-2"/>
        </w:rPr>
        <w:t xml:space="preserve"> = methane; CO</w:t>
      </w:r>
      <w:r w:rsidRPr="004C2DCD">
        <w:rPr>
          <w:spacing w:val="-2"/>
          <w:vertAlign w:val="subscript"/>
        </w:rPr>
        <w:t>2</w:t>
      </w:r>
      <w:r w:rsidRPr="004C2DCD">
        <w:rPr>
          <w:spacing w:val="-2"/>
        </w:rPr>
        <w:t xml:space="preserve"> = carbon dioxide; </w:t>
      </w:r>
      <w:r w:rsidRPr="004C2DCD">
        <w:rPr>
          <w:rFonts w:eastAsia="Times New Roman"/>
          <w:spacing w:val="-2"/>
        </w:rPr>
        <w:t xml:space="preserve">HFCs = hydrofluorocarbons; </w:t>
      </w:r>
      <w:r w:rsidRPr="004C2DCD">
        <w:rPr>
          <w:spacing w:val="-2"/>
        </w:rPr>
        <w:t>N</w:t>
      </w:r>
      <w:r w:rsidRPr="004C2DCD">
        <w:rPr>
          <w:spacing w:val="-2"/>
          <w:vertAlign w:val="subscript"/>
        </w:rPr>
        <w:t>2</w:t>
      </w:r>
      <w:r w:rsidRPr="004C2DCD">
        <w:rPr>
          <w:spacing w:val="-2"/>
        </w:rPr>
        <w:t xml:space="preserve">O = nitrous oxide; </w:t>
      </w:r>
      <w:r w:rsidRPr="004C2DCD">
        <w:rPr>
          <w:rFonts w:eastAsia="Times New Roman"/>
          <w:spacing w:val="-2"/>
        </w:rPr>
        <w:t>PFCs = perfluorocarbons;</w:t>
      </w:r>
      <w:r w:rsidRPr="004C2DCD">
        <w:rPr>
          <w:rFonts w:eastAsia="Times New Roman"/>
        </w:rPr>
        <w:t xml:space="preserve"> SF</w:t>
      </w:r>
      <w:r w:rsidRPr="004C2DCD">
        <w:rPr>
          <w:rFonts w:eastAsia="Times New Roman"/>
          <w:sz w:val="14"/>
          <w:szCs w:val="14"/>
          <w:vertAlign w:val="subscript"/>
        </w:rPr>
        <w:t>6</w:t>
      </w:r>
      <w:r w:rsidRPr="004C2DCD">
        <w:rPr>
          <w:rFonts w:eastAsia="Times New Roman"/>
          <w:sz w:val="14"/>
          <w:szCs w:val="14"/>
        </w:rPr>
        <w:t xml:space="preserve"> </w:t>
      </w:r>
      <w:r w:rsidRPr="004C2DCD">
        <w:t>= sulphur hexafluoride.</w:t>
      </w:r>
    </w:p>
    <w:p w14:paraId="12FBB2B5" w14:textId="41E2D225" w:rsidR="00F51113" w:rsidRPr="004C2DCD" w:rsidRDefault="00F94945" w:rsidP="00F51113">
      <w:pPr>
        <w:pStyle w:val="Heading4"/>
        <w:spacing w:before="120"/>
      </w:pPr>
      <w:r>
        <w:t>2.5.7.</w:t>
      </w:r>
      <w:r w:rsidR="006D759F">
        <w:t>2.4</w:t>
      </w:r>
      <w:r w:rsidR="006D759F">
        <w:tab/>
      </w:r>
      <w:r w:rsidR="00F51113" w:rsidRPr="004C2DCD">
        <w:t>Agriculture</w:t>
      </w:r>
    </w:p>
    <w:p w14:paraId="5D0396EE" w14:textId="31A58839" w:rsidR="00F51113" w:rsidRPr="004C2DCD" w:rsidRDefault="00F51113" w:rsidP="00F51113">
      <w:pPr>
        <w:pStyle w:val="BodyText"/>
      </w:pPr>
      <w:r w:rsidRPr="004C2DCD">
        <w:t>Emissions from the Agriculture sector under the WOM scenario are projected to decrease to 40.8 Mt CO</w:t>
      </w:r>
      <w:r w:rsidRPr="004C2DCD">
        <w:rPr>
          <w:vertAlign w:val="subscript"/>
        </w:rPr>
        <w:t>2</w:t>
      </w:r>
      <w:r w:rsidRPr="004C2DCD">
        <w:t>e by 2030 (9.8 per cent above 1990 levels and 3.9 per cent below 2022 levels) and to 41.8 kt CO</w:t>
      </w:r>
      <w:r w:rsidRPr="004C2DCD">
        <w:rPr>
          <w:vertAlign w:val="subscript"/>
        </w:rPr>
        <w:t>2</w:t>
      </w:r>
      <w:r w:rsidRPr="004C2DCD">
        <w:t xml:space="preserve">e by 2050 (12.6 per cent above 1990 levels and 1.5 per cent below 2022 levels). </w:t>
      </w:r>
      <w:hyperlink w:anchor="figure2526" w:history="1">
        <w:r w:rsidRPr="00BC2E77">
          <w:rPr>
            <w:rStyle w:val="Hyperlink"/>
          </w:rPr>
          <w:t>Figure 2.5.26</w:t>
        </w:r>
      </w:hyperlink>
      <w:r w:rsidRPr="004C2DCD">
        <w:t xml:space="preserve"> presents historical GHG emissions from 1990 to 2022 and projected WOM GHG emissions out to 2050 for the Agriculture sector. </w:t>
      </w:r>
      <w:hyperlink w:anchor="table2528" w:history="1">
        <w:r w:rsidRPr="00BC2E77">
          <w:rPr>
            <w:rStyle w:val="Hyperlink"/>
          </w:rPr>
          <w:t>Table 2.5.28</w:t>
        </w:r>
      </w:hyperlink>
      <w:r w:rsidRPr="004C2DCD">
        <w:t xml:space="preserve"> presents the WOM scenario by gas in five-yearly increments.</w:t>
      </w:r>
    </w:p>
    <w:p w14:paraId="6DC205BF" w14:textId="77777777" w:rsidR="00F51113" w:rsidRPr="004C2DCD" w:rsidRDefault="00F51113" w:rsidP="00A24A1B">
      <w:pPr>
        <w:pStyle w:val="Figureheading"/>
        <w:ind w:left="1276" w:hanging="1276"/>
      </w:pPr>
      <w:bookmarkStart w:id="683" w:name="figure2526"/>
      <w:bookmarkStart w:id="684" w:name="_Toc185347270"/>
      <w:r w:rsidRPr="004C2DCD">
        <w:t>Figure 2.5.26</w:t>
      </w:r>
      <w:bookmarkEnd w:id="683"/>
      <w:r w:rsidRPr="004C2DCD">
        <w:t xml:space="preserve">: </w:t>
      </w:r>
      <w:r w:rsidRPr="004C2DCD">
        <w:tab/>
        <w:t>Greenhouse gas emissions for the ‘without measures’ scenario in the Agriculture sector, 1990–2050</w:t>
      </w:r>
      <w:bookmarkEnd w:id="684"/>
      <w:r w:rsidRPr="004C2DCD">
        <w:t xml:space="preserve"> </w:t>
      </w:r>
    </w:p>
    <w:p w14:paraId="47634FB2" w14:textId="7BF3CA46" w:rsidR="00F51113" w:rsidRPr="004C2DCD" w:rsidRDefault="00DF65E6" w:rsidP="00642E32">
      <w:pPr>
        <w:pStyle w:val="BodyText"/>
        <w:spacing w:before="60" w:after="60"/>
        <w:jc w:val="center"/>
      </w:pPr>
      <w:r>
        <w:rPr>
          <w:noProof/>
        </w:rPr>
        <w:drawing>
          <wp:inline distT="0" distB="0" distL="0" distR="0" wp14:anchorId="2654B36C" wp14:editId="72F1BE16">
            <wp:extent cx="5040000" cy="2686049"/>
            <wp:effectExtent l="0" t="0" r="8255" b="635"/>
            <wp:docPr id="1772962589" name="Picture 51" descr="A line graph showing greenhouse gas emissions in million tonnes carbon dioxide equivalent for the ‘without measures’ scenario in the Agriculture sector for the period 1990 to 2050. It compares historical agricultural emissions with projected emissions without mea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962589" name="Picture 51" descr="A line graph showing greenhouse gas emissions in million tonnes carbon dioxide equivalent for the ‘without measures’ scenario in the Agriculture sector for the period 1990 to 2050. It compares historical agricultural emissions with projected emissions without measure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40000" cy="2686049"/>
                    </a:xfrm>
                    <a:prstGeom prst="rect">
                      <a:avLst/>
                    </a:prstGeom>
                    <a:noFill/>
                  </pic:spPr>
                </pic:pic>
              </a:graphicData>
            </a:graphic>
          </wp:inline>
        </w:drawing>
      </w:r>
    </w:p>
    <w:p w14:paraId="47F53B4D" w14:textId="77777777" w:rsidR="00F51113" w:rsidRPr="004C2DCD" w:rsidRDefault="00F51113" w:rsidP="00F51113">
      <w:pPr>
        <w:pStyle w:val="Note"/>
      </w:pPr>
      <w:r w:rsidRPr="004C2DCD">
        <w:rPr>
          <w:b/>
          <w:bCs/>
        </w:rPr>
        <w:t>Note:</w:t>
      </w:r>
      <w:r w:rsidRPr="004C2DCD">
        <w:t xml:space="preserve"> Mt CO</w:t>
      </w:r>
      <w:r w:rsidRPr="004C2DCD">
        <w:rPr>
          <w:vertAlign w:val="subscript"/>
        </w:rPr>
        <w:t>2</w:t>
      </w:r>
      <w:r w:rsidRPr="004C2DCD">
        <w:t>e =</w:t>
      </w:r>
      <w:r w:rsidRPr="004C2DCD">
        <w:rPr>
          <w:b/>
          <w:bCs/>
        </w:rPr>
        <w:t xml:space="preserve"> </w:t>
      </w:r>
      <w:r w:rsidRPr="004C2DCD">
        <w:t xml:space="preserve">million tonnes of carbon dioxide equivalent. </w:t>
      </w:r>
    </w:p>
    <w:p w14:paraId="25F0D86F" w14:textId="77777777" w:rsidR="00F51113" w:rsidRPr="004C2DCD" w:rsidRDefault="00F51113" w:rsidP="00F51113">
      <w:pPr>
        <w:pStyle w:val="Tableheading"/>
        <w:ind w:left="1276" w:hanging="1276"/>
      </w:pPr>
      <w:bookmarkStart w:id="685" w:name="table2528"/>
      <w:bookmarkStart w:id="686" w:name="_Toc183789729"/>
      <w:bookmarkStart w:id="687" w:name="_Toc185407493"/>
      <w:bookmarkStart w:id="688" w:name="_Toc185427756"/>
      <w:r w:rsidRPr="004C2DCD">
        <w:t>Table 2.5.28</w:t>
      </w:r>
      <w:bookmarkEnd w:id="685"/>
      <w:r w:rsidRPr="004C2DCD">
        <w:t xml:space="preserve">: </w:t>
      </w:r>
      <w:r w:rsidRPr="004C2DCD">
        <w:tab/>
        <w:t>Historical and projected Agriculture sector emissions by gas under the ‘without measures’ scenario, 1990–2050 (Mt CO</w:t>
      </w:r>
      <w:r w:rsidRPr="004C2DCD">
        <w:rPr>
          <w:vertAlign w:val="subscript"/>
        </w:rPr>
        <w:t>2</w:t>
      </w:r>
      <w:r w:rsidRPr="004C2DCD">
        <w:t>e)</w:t>
      </w:r>
      <w:bookmarkEnd w:id="686"/>
      <w:bookmarkEnd w:id="687"/>
      <w:bookmarkEnd w:id="688"/>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85" w:type="dxa"/>
          <w:right w:w="85" w:type="dxa"/>
        </w:tblCellMar>
        <w:tblLook w:val="04A0" w:firstRow="1" w:lastRow="0" w:firstColumn="1" w:lastColumn="0" w:noHBand="0" w:noVBand="1"/>
      </w:tblPr>
      <w:tblGrid>
        <w:gridCol w:w="608"/>
        <w:gridCol w:w="608"/>
        <w:gridCol w:w="608"/>
        <w:gridCol w:w="608"/>
        <w:gridCol w:w="608"/>
        <w:gridCol w:w="608"/>
        <w:gridCol w:w="608"/>
        <w:gridCol w:w="607"/>
        <w:gridCol w:w="607"/>
        <w:gridCol w:w="607"/>
        <w:gridCol w:w="607"/>
        <w:gridCol w:w="607"/>
        <w:gridCol w:w="607"/>
        <w:gridCol w:w="607"/>
      </w:tblGrid>
      <w:tr w:rsidR="00F51113" w:rsidRPr="000D643E" w14:paraId="31E13330" w14:textId="77777777">
        <w:trPr>
          <w:trHeight w:val="300"/>
        </w:trPr>
        <w:tc>
          <w:tcPr>
            <w:tcW w:w="621" w:type="dxa"/>
            <w:shd w:val="clear" w:color="auto" w:fill="1B556B" w:themeFill="text2"/>
            <w:vAlign w:val="center"/>
            <w:hideMark/>
          </w:tcPr>
          <w:p w14:paraId="23ABDD89" w14:textId="77777777" w:rsidR="00F51113" w:rsidRPr="000D643E" w:rsidRDefault="00F51113">
            <w:pPr>
              <w:pStyle w:val="TableTextbold"/>
              <w:spacing w:after="0"/>
              <w:jc w:val="center"/>
              <w:rPr>
                <w:rFonts w:asciiTheme="minorHAnsi" w:hAnsiTheme="minorHAnsi" w:cstheme="minorHAnsi"/>
                <w:color w:val="FFFFFF" w:themeColor="background1"/>
                <w:szCs w:val="18"/>
              </w:rPr>
            </w:pPr>
          </w:p>
        </w:tc>
        <w:tc>
          <w:tcPr>
            <w:tcW w:w="3726" w:type="dxa"/>
            <w:gridSpan w:val="6"/>
            <w:shd w:val="clear" w:color="auto" w:fill="1B556B" w:themeFill="text2"/>
            <w:vAlign w:val="center"/>
            <w:hideMark/>
          </w:tcPr>
          <w:p w14:paraId="135EA7FD" w14:textId="77777777" w:rsidR="00F51113" w:rsidRPr="000D643E" w:rsidRDefault="00F51113">
            <w:pPr>
              <w:pStyle w:val="TableTextbold"/>
              <w:spacing w:after="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Historical</w:t>
            </w:r>
          </w:p>
        </w:tc>
        <w:tc>
          <w:tcPr>
            <w:tcW w:w="4347" w:type="dxa"/>
            <w:gridSpan w:val="7"/>
            <w:shd w:val="clear" w:color="auto" w:fill="1B556B" w:themeFill="text2"/>
            <w:vAlign w:val="center"/>
            <w:hideMark/>
          </w:tcPr>
          <w:p w14:paraId="315F58DF" w14:textId="77777777" w:rsidR="00F51113" w:rsidRPr="000D643E" w:rsidRDefault="00F51113">
            <w:pPr>
              <w:pStyle w:val="TableTextbold"/>
              <w:spacing w:after="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Projected</w:t>
            </w:r>
          </w:p>
        </w:tc>
      </w:tr>
      <w:tr w:rsidR="00F51113" w:rsidRPr="000D643E" w14:paraId="5520AC6A" w14:textId="77777777">
        <w:trPr>
          <w:trHeight w:val="315"/>
        </w:trPr>
        <w:tc>
          <w:tcPr>
            <w:tcW w:w="621" w:type="dxa"/>
            <w:shd w:val="clear" w:color="auto" w:fill="1B556B" w:themeFill="text2"/>
            <w:vAlign w:val="center"/>
            <w:hideMark/>
          </w:tcPr>
          <w:p w14:paraId="2775798D" w14:textId="77777777" w:rsidR="00F51113" w:rsidRPr="000D643E" w:rsidRDefault="00F51113">
            <w:pPr>
              <w:pStyle w:val="TableTextbold"/>
              <w:spacing w:before="0"/>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Gas</w:t>
            </w:r>
          </w:p>
        </w:tc>
        <w:tc>
          <w:tcPr>
            <w:tcW w:w="621" w:type="dxa"/>
            <w:shd w:val="clear" w:color="auto" w:fill="1B556B" w:themeFill="text2"/>
            <w:vAlign w:val="center"/>
            <w:hideMark/>
          </w:tcPr>
          <w:p w14:paraId="60C4EA24"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1990</w:t>
            </w:r>
          </w:p>
        </w:tc>
        <w:tc>
          <w:tcPr>
            <w:tcW w:w="621" w:type="dxa"/>
            <w:shd w:val="clear" w:color="auto" w:fill="1B556B" w:themeFill="text2"/>
            <w:vAlign w:val="center"/>
            <w:hideMark/>
          </w:tcPr>
          <w:p w14:paraId="7D5751B3"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1995</w:t>
            </w:r>
          </w:p>
        </w:tc>
        <w:tc>
          <w:tcPr>
            <w:tcW w:w="621" w:type="dxa"/>
            <w:shd w:val="clear" w:color="auto" w:fill="1B556B" w:themeFill="text2"/>
            <w:vAlign w:val="center"/>
            <w:hideMark/>
          </w:tcPr>
          <w:p w14:paraId="19E62C14"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2000</w:t>
            </w:r>
          </w:p>
        </w:tc>
        <w:tc>
          <w:tcPr>
            <w:tcW w:w="621" w:type="dxa"/>
            <w:shd w:val="clear" w:color="auto" w:fill="1B556B" w:themeFill="text2"/>
            <w:vAlign w:val="center"/>
            <w:hideMark/>
          </w:tcPr>
          <w:p w14:paraId="2E35AC0C"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2005</w:t>
            </w:r>
          </w:p>
        </w:tc>
        <w:tc>
          <w:tcPr>
            <w:tcW w:w="621" w:type="dxa"/>
            <w:shd w:val="clear" w:color="auto" w:fill="1B556B" w:themeFill="text2"/>
            <w:vAlign w:val="center"/>
            <w:hideMark/>
          </w:tcPr>
          <w:p w14:paraId="5C16055A"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2010</w:t>
            </w:r>
          </w:p>
        </w:tc>
        <w:tc>
          <w:tcPr>
            <w:tcW w:w="621" w:type="dxa"/>
            <w:shd w:val="clear" w:color="auto" w:fill="1B556B" w:themeFill="text2"/>
            <w:vAlign w:val="center"/>
            <w:hideMark/>
          </w:tcPr>
          <w:p w14:paraId="53D821FD"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2015</w:t>
            </w:r>
          </w:p>
        </w:tc>
        <w:tc>
          <w:tcPr>
            <w:tcW w:w="621" w:type="dxa"/>
            <w:shd w:val="clear" w:color="auto" w:fill="1B556B" w:themeFill="text2"/>
            <w:vAlign w:val="center"/>
            <w:hideMark/>
          </w:tcPr>
          <w:p w14:paraId="259CCE03"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2020</w:t>
            </w:r>
          </w:p>
        </w:tc>
        <w:tc>
          <w:tcPr>
            <w:tcW w:w="621" w:type="dxa"/>
            <w:shd w:val="clear" w:color="auto" w:fill="1B556B" w:themeFill="text2"/>
            <w:vAlign w:val="center"/>
            <w:hideMark/>
          </w:tcPr>
          <w:p w14:paraId="0B982089"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2025</w:t>
            </w:r>
          </w:p>
        </w:tc>
        <w:tc>
          <w:tcPr>
            <w:tcW w:w="621" w:type="dxa"/>
            <w:shd w:val="clear" w:color="auto" w:fill="1B556B" w:themeFill="text2"/>
            <w:vAlign w:val="center"/>
            <w:hideMark/>
          </w:tcPr>
          <w:p w14:paraId="6624DA45"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2030</w:t>
            </w:r>
          </w:p>
        </w:tc>
        <w:tc>
          <w:tcPr>
            <w:tcW w:w="621" w:type="dxa"/>
            <w:shd w:val="clear" w:color="auto" w:fill="1B556B" w:themeFill="text2"/>
            <w:vAlign w:val="center"/>
            <w:hideMark/>
          </w:tcPr>
          <w:p w14:paraId="2ED6733E"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2035</w:t>
            </w:r>
          </w:p>
        </w:tc>
        <w:tc>
          <w:tcPr>
            <w:tcW w:w="621" w:type="dxa"/>
            <w:shd w:val="clear" w:color="auto" w:fill="1B556B" w:themeFill="text2"/>
            <w:vAlign w:val="center"/>
            <w:hideMark/>
          </w:tcPr>
          <w:p w14:paraId="740FD3C2"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2040</w:t>
            </w:r>
          </w:p>
        </w:tc>
        <w:tc>
          <w:tcPr>
            <w:tcW w:w="621" w:type="dxa"/>
            <w:shd w:val="clear" w:color="auto" w:fill="1B556B" w:themeFill="text2"/>
            <w:vAlign w:val="center"/>
            <w:hideMark/>
          </w:tcPr>
          <w:p w14:paraId="1E3BA932"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2045</w:t>
            </w:r>
          </w:p>
        </w:tc>
        <w:tc>
          <w:tcPr>
            <w:tcW w:w="621" w:type="dxa"/>
            <w:shd w:val="clear" w:color="auto" w:fill="1B556B" w:themeFill="text2"/>
            <w:vAlign w:val="center"/>
            <w:hideMark/>
          </w:tcPr>
          <w:p w14:paraId="71D6B668"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2050</w:t>
            </w:r>
          </w:p>
        </w:tc>
      </w:tr>
      <w:tr w:rsidR="00F51113" w:rsidRPr="000D643E" w14:paraId="5C9C2190" w14:textId="77777777">
        <w:trPr>
          <w:trHeight w:val="315"/>
        </w:trPr>
        <w:tc>
          <w:tcPr>
            <w:tcW w:w="621" w:type="dxa"/>
            <w:shd w:val="clear" w:color="auto" w:fill="auto"/>
            <w:vAlign w:val="center"/>
            <w:hideMark/>
          </w:tcPr>
          <w:p w14:paraId="6183496E" w14:textId="77777777" w:rsidR="00F51113" w:rsidRPr="000D643E" w:rsidRDefault="00F51113">
            <w:pPr>
              <w:pStyle w:val="TableText"/>
              <w:spacing w:before="40" w:after="40"/>
              <w:jc w:val="both"/>
              <w:rPr>
                <w:rFonts w:asciiTheme="minorHAnsi" w:hAnsiTheme="minorHAnsi" w:cstheme="minorHAnsi"/>
                <w:color w:val="000000"/>
                <w:szCs w:val="18"/>
              </w:rPr>
            </w:pPr>
            <w:r w:rsidRPr="000D643E">
              <w:rPr>
                <w:rFonts w:asciiTheme="minorHAnsi" w:hAnsiTheme="minorHAnsi" w:cstheme="minorHAnsi"/>
                <w:szCs w:val="18"/>
              </w:rPr>
              <w:t>CO</w:t>
            </w:r>
            <w:r w:rsidRPr="000D643E">
              <w:rPr>
                <w:rFonts w:asciiTheme="minorHAnsi" w:hAnsiTheme="minorHAnsi" w:cstheme="minorHAnsi"/>
                <w:szCs w:val="18"/>
                <w:vertAlign w:val="subscript"/>
              </w:rPr>
              <w:t>2</w:t>
            </w:r>
          </w:p>
        </w:tc>
        <w:tc>
          <w:tcPr>
            <w:tcW w:w="621" w:type="dxa"/>
            <w:shd w:val="clear" w:color="auto" w:fill="auto"/>
            <w:vAlign w:val="center"/>
          </w:tcPr>
          <w:p w14:paraId="04A4E286"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0.3</w:t>
            </w:r>
          </w:p>
        </w:tc>
        <w:tc>
          <w:tcPr>
            <w:tcW w:w="621" w:type="dxa"/>
            <w:shd w:val="clear" w:color="auto" w:fill="auto"/>
            <w:vAlign w:val="center"/>
          </w:tcPr>
          <w:p w14:paraId="4492CED3"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0.6</w:t>
            </w:r>
          </w:p>
        </w:tc>
        <w:tc>
          <w:tcPr>
            <w:tcW w:w="621" w:type="dxa"/>
            <w:shd w:val="clear" w:color="auto" w:fill="auto"/>
            <w:vAlign w:val="center"/>
          </w:tcPr>
          <w:p w14:paraId="4F154B92"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0.8</w:t>
            </w:r>
          </w:p>
        </w:tc>
        <w:tc>
          <w:tcPr>
            <w:tcW w:w="621" w:type="dxa"/>
            <w:shd w:val="clear" w:color="auto" w:fill="auto"/>
            <w:vAlign w:val="center"/>
          </w:tcPr>
          <w:p w14:paraId="7F00EE7C"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1.1</w:t>
            </w:r>
          </w:p>
        </w:tc>
        <w:tc>
          <w:tcPr>
            <w:tcW w:w="621" w:type="dxa"/>
            <w:shd w:val="clear" w:color="auto" w:fill="auto"/>
            <w:vAlign w:val="center"/>
          </w:tcPr>
          <w:p w14:paraId="61CA1211"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1.0</w:t>
            </w:r>
          </w:p>
        </w:tc>
        <w:tc>
          <w:tcPr>
            <w:tcW w:w="621" w:type="dxa"/>
            <w:shd w:val="clear" w:color="auto" w:fill="auto"/>
            <w:vAlign w:val="center"/>
          </w:tcPr>
          <w:p w14:paraId="2023FC4E"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1.1</w:t>
            </w:r>
          </w:p>
        </w:tc>
        <w:tc>
          <w:tcPr>
            <w:tcW w:w="621" w:type="dxa"/>
            <w:shd w:val="clear" w:color="auto" w:fill="auto"/>
            <w:vAlign w:val="center"/>
          </w:tcPr>
          <w:p w14:paraId="1F9305EB"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1.0</w:t>
            </w:r>
          </w:p>
        </w:tc>
        <w:tc>
          <w:tcPr>
            <w:tcW w:w="621" w:type="dxa"/>
            <w:shd w:val="clear" w:color="auto" w:fill="D2DDE1" w:themeFill="background2"/>
            <w:vAlign w:val="center"/>
          </w:tcPr>
          <w:p w14:paraId="6656CA15"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0.9</w:t>
            </w:r>
          </w:p>
        </w:tc>
        <w:tc>
          <w:tcPr>
            <w:tcW w:w="621" w:type="dxa"/>
            <w:shd w:val="clear" w:color="auto" w:fill="D2DDE1" w:themeFill="background2"/>
            <w:vAlign w:val="center"/>
          </w:tcPr>
          <w:p w14:paraId="2A936CEF"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0.9</w:t>
            </w:r>
          </w:p>
        </w:tc>
        <w:tc>
          <w:tcPr>
            <w:tcW w:w="621" w:type="dxa"/>
            <w:shd w:val="clear" w:color="auto" w:fill="D2DDE1" w:themeFill="background2"/>
            <w:vAlign w:val="center"/>
          </w:tcPr>
          <w:p w14:paraId="74C6D67A"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0.9</w:t>
            </w:r>
          </w:p>
        </w:tc>
        <w:tc>
          <w:tcPr>
            <w:tcW w:w="621" w:type="dxa"/>
            <w:shd w:val="clear" w:color="auto" w:fill="D2DDE1" w:themeFill="background2"/>
            <w:vAlign w:val="center"/>
          </w:tcPr>
          <w:p w14:paraId="0B1EF55E"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0.9</w:t>
            </w:r>
          </w:p>
        </w:tc>
        <w:tc>
          <w:tcPr>
            <w:tcW w:w="621" w:type="dxa"/>
            <w:shd w:val="clear" w:color="auto" w:fill="D2DDE1" w:themeFill="background2"/>
            <w:vAlign w:val="center"/>
          </w:tcPr>
          <w:p w14:paraId="3DB7D21E"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0.9</w:t>
            </w:r>
          </w:p>
        </w:tc>
        <w:tc>
          <w:tcPr>
            <w:tcW w:w="621" w:type="dxa"/>
            <w:shd w:val="clear" w:color="auto" w:fill="D2DDE1" w:themeFill="background2"/>
            <w:vAlign w:val="center"/>
          </w:tcPr>
          <w:p w14:paraId="5004A0DD"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0.9</w:t>
            </w:r>
          </w:p>
        </w:tc>
      </w:tr>
      <w:tr w:rsidR="00F51113" w:rsidRPr="000D643E" w14:paraId="38187A81" w14:textId="77777777">
        <w:trPr>
          <w:trHeight w:val="315"/>
        </w:trPr>
        <w:tc>
          <w:tcPr>
            <w:tcW w:w="621" w:type="dxa"/>
            <w:shd w:val="clear" w:color="auto" w:fill="auto"/>
            <w:vAlign w:val="center"/>
            <w:hideMark/>
          </w:tcPr>
          <w:p w14:paraId="6CC08500" w14:textId="77777777" w:rsidR="00F51113" w:rsidRPr="000D643E" w:rsidRDefault="00F51113">
            <w:pPr>
              <w:pStyle w:val="TableText"/>
              <w:spacing w:before="40" w:after="40"/>
              <w:jc w:val="both"/>
              <w:rPr>
                <w:rFonts w:asciiTheme="minorHAnsi" w:hAnsiTheme="minorHAnsi" w:cstheme="minorHAnsi"/>
                <w:color w:val="000000"/>
                <w:szCs w:val="18"/>
              </w:rPr>
            </w:pPr>
            <w:r w:rsidRPr="000D643E">
              <w:rPr>
                <w:rFonts w:asciiTheme="minorHAnsi" w:hAnsiTheme="minorHAnsi" w:cstheme="minorHAnsi"/>
                <w:szCs w:val="18"/>
              </w:rPr>
              <w:t>CH</w:t>
            </w:r>
            <w:r w:rsidRPr="000D643E">
              <w:rPr>
                <w:rFonts w:asciiTheme="minorHAnsi" w:hAnsiTheme="minorHAnsi" w:cstheme="minorHAnsi"/>
                <w:szCs w:val="18"/>
                <w:vertAlign w:val="subscript"/>
              </w:rPr>
              <w:t>4</w:t>
            </w:r>
          </w:p>
        </w:tc>
        <w:tc>
          <w:tcPr>
            <w:tcW w:w="621" w:type="dxa"/>
            <w:shd w:val="clear" w:color="auto" w:fill="auto"/>
            <w:vAlign w:val="center"/>
          </w:tcPr>
          <w:p w14:paraId="30BB3C39"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32.1</w:t>
            </w:r>
          </w:p>
        </w:tc>
        <w:tc>
          <w:tcPr>
            <w:tcW w:w="621" w:type="dxa"/>
            <w:shd w:val="clear" w:color="auto" w:fill="auto"/>
            <w:vAlign w:val="center"/>
          </w:tcPr>
          <w:p w14:paraId="1A022DDA"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33.3</w:t>
            </w:r>
          </w:p>
        </w:tc>
        <w:tc>
          <w:tcPr>
            <w:tcW w:w="621" w:type="dxa"/>
            <w:shd w:val="clear" w:color="auto" w:fill="auto"/>
            <w:vAlign w:val="center"/>
          </w:tcPr>
          <w:p w14:paraId="60A5C12F"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34.7</w:t>
            </w:r>
          </w:p>
        </w:tc>
        <w:tc>
          <w:tcPr>
            <w:tcW w:w="621" w:type="dxa"/>
            <w:shd w:val="clear" w:color="auto" w:fill="auto"/>
            <w:vAlign w:val="center"/>
          </w:tcPr>
          <w:p w14:paraId="51F122BB"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35.7</w:t>
            </w:r>
          </w:p>
        </w:tc>
        <w:tc>
          <w:tcPr>
            <w:tcW w:w="621" w:type="dxa"/>
            <w:shd w:val="clear" w:color="auto" w:fill="auto"/>
            <w:vAlign w:val="center"/>
          </w:tcPr>
          <w:p w14:paraId="2ACE4709"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33.9</w:t>
            </w:r>
          </w:p>
        </w:tc>
        <w:tc>
          <w:tcPr>
            <w:tcW w:w="621" w:type="dxa"/>
            <w:shd w:val="clear" w:color="auto" w:fill="auto"/>
            <w:vAlign w:val="center"/>
          </w:tcPr>
          <w:p w14:paraId="4687FBB6"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35.3</w:t>
            </w:r>
          </w:p>
        </w:tc>
        <w:tc>
          <w:tcPr>
            <w:tcW w:w="621" w:type="dxa"/>
            <w:shd w:val="clear" w:color="auto" w:fill="auto"/>
            <w:vAlign w:val="center"/>
          </w:tcPr>
          <w:p w14:paraId="69D04DFB"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35.4</w:t>
            </w:r>
          </w:p>
        </w:tc>
        <w:tc>
          <w:tcPr>
            <w:tcW w:w="621" w:type="dxa"/>
            <w:shd w:val="clear" w:color="auto" w:fill="D2DDE1" w:themeFill="background2"/>
            <w:vAlign w:val="center"/>
          </w:tcPr>
          <w:p w14:paraId="774C805B"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33.4</w:t>
            </w:r>
          </w:p>
        </w:tc>
        <w:tc>
          <w:tcPr>
            <w:tcW w:w="621" w:type="dxa"/>
            <w:shd w:val="clear" w:color="auto" w:fill="D2DDE1" w:themeFill="background2"/>
            <w:vAlign w:val="center"/>
          </w:tcPr>
          <w:p w14:paraId="4CE50BA8"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33.3</w:t>
            </w:r>
          </w:p>
        </w:tc>
        <w:tc>
          <w:tcPr>
            <w:tcW w:w="621" w:type="dxa"/>
            <w:shd w:val="clear" w:color="auto" w:fill="D2DDE1" w:themeFill="background2"/>
            <w:vAlign w:val="center"/>
          </w:tcPr>
          <w:p w14:paraId="09FD1BC1"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33.5</w:t>
            </w:r>
          </w:p>
        </w:tc>
        <w:tc>
          <w:tcPr>
            <w:tcW w:w="621" w:type="dxa"/>
            <w:shd w:val="clear" w:color="auto" w:fill="D2DDE1" w:themeFill="background2"/>
            <w:vAlign w:val="center"/>
          </w:tcPr>
          <w:p w14:paraId="4E1E67EB"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33.8</w:t>
            </w:r>
          </w:p>
        </w:tc>
        <w:tc>
          <w:tcPr>
            <w:tcW w:w="621" w:type="dxa"/>
            <w:shd w:val="clear" w:color="auto" w:fill="D2DDE1" w:themeFill="background2"/>
            <w:vAlign w:val="center"/>
          </w:tcPr>
          <w:p w14:paraId="7F859409"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34.0</w:t>
            </w:r>
          </w:p>
        </w:tc>
        <w:tc>
          <w:tcPr>
            <w:tcW w:w="621" w:type="dxa"/>
            <w:shd w:val="clear" w:color="auto" w:fill="D2DDE1" w:themeFill="background2"/>
            <w:vAlign w:val="center"/>
          </w:tcPr>
          <w:p w14:paraId="428D0C2A"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34.2</w:t>
            </w:r>
          </w:p>
        </w:tc>
      </w:tr>
      <w:tr w:rsidR="00F51113" w:rsidRPr="000D643E" w14:paraId="5C73BB0E" w14:textId="77777777">
        <w:trPr>
          <w:trHeight w:val="315"/>
        </w:trPr>
        <w:tc>
          <w:tcPr>
            <w:tcW w:w="621" w:type="dxa"/>
            <w:shd w:val="clear" w:color="auto" w:fill="auto"/>
            <w:vAlign w:val="center"/>
            <w:hideMark/>
          </w:tcPr>
          <w:p w14:paraId="1E207923" w14:textId="77777777" w:rsidR="00F51113" w:rsidRPr="000D643E" w:rsidRDefault="00F51113">
            <w:pPr>
              <w:pStyle w:val="TableText"/>
              <w:spacing w:before="40" w:after="40"/>
              <w:jc w:val="both"/>
              <w:rPr>
                <w:rFonts w:asciiTheme="minorHAnsi" w:hAnsiTheme="minorHAnsi" w:cstheme="minorHAnsi"/>
                <w:color w:val="000000"/>
                <w:szCs w:val="18"/>
              </w:rPr>
            </w:pPr>
            <w:r w:rsidRPr="000D643E">
              <w:rPr>
                <w:rFonts w:asciiTheme="minorHAnsi" w:hAnsiTheme="minorHAnsi" w:cstheme="minorHAnsi"/>
                <w:szCs w:val="18"/>
              </w:rPr>
              <w:t>N</w:t>
            </w:r>
            <w:r w:rsidRPr="000D643E">
              <w:rPr>
                <w:rFonts w:asciiTheme="minorHAnsi" w:hAnsiTheme="minorHAnsi" w:cstheme="minorHAnsi"/>
                <w:szCs w:val="18"/>
                <w:vertAlign w:val="subscript"/>
              </w:rPr>
              <w:t>2</w:t>
            </w:r>
            <w:r w:rsidRPr="000D643E">
              <w:rPr>
                <w:rFonts w:asciiTheme="minorHAnsi" w:hAnsiTheme="minorHAnsi" w:cstheme="minorHAnsi"/>
                <w:szCs w:val="18"/>
              </w:rPr>
              <w:t>O</w:t>
            </w:r>
          </w:p>
        </w:tc>
        <w:tc>
          <w:tcPr>
            <w:tcW w:w="621" w:type="dxa"/>
            <w:shd w:val="clear" w:color="auto" w:fill="auto"/>
            <w:vAlign w:val="center"/>
          </w:tcPr>
          <w:p w14:paraId="5ED3F81F"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4.7</w:t>
            </w:r>
          </w:p>
        </w:tc>
        <w:tc>
          <w:tcPr>
            <w:tcW w:w="621" w:type="dxa"/>
            <w:shd w:val="clear" w:color="auto" w:fill="auto"/>
            <w:vAlign w:val="center"/>
          </w:tcPr>
          <w:p w14:paraId="04E2B740"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5.4</w:t>
            </w:r>
          </w:p>
        </w:tc>
        <w:tc>
          <w:tcPr>
            <w:tcW w:w="621" w:type="dxa"/>
            <w:shd w:val="clear" w:color="auto" w:fill="auto"/>
            <w:vAlign w:val="center"/>
          </w:tcPr>
          <w:p w14:paraId="089CBAA4"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5.7</w:t>
            </w:r>
          </w:p>
        </w:tc>
        <w:tc>
          <w:tcPr>
            <w:tcW w:w="621" w:type="dxa"/>
            <w:shd w:val="clear" w:color="auto" w:fill="auto"/>
            <w:vAlign w:val="center"/>
          </w:tcPr>
          <w:p w14:paraId="7FB0D561"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6.5</w:t>
            </w:r>
          </w:p>
        </w:tc>
        <w:tc>
          <w:tcPr>
            <w:tcW w:w="621" w:type="dxa"/>
            <w:shd w:val="clear" w:color="auto" w:fill="auto"/>
            <w:vAlign w:val="center"/>
          </w:tcPr>
          <w:p w14:paraId="3DF6E618"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6.3</w:t>
            </w:r>
          </w:p>
        </w:tc>
        <w:tc>
          <w:tcPr>
            <w:tcW w:w="621" w:type="dxa"/>
            <w:shd w:val="clear" w:color="auto" w:fill="auto"/>
            <w:vAlign w:val="center"/>
          </w:tcPr>
          <w:p w14:paraId="43E60A4C"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6.7</w:t>
            </w:r>
          </w:p>
        </w:tc>
        <w:tc>
          <w:tcPr>
            <w:tcW w:w="621" w:type="dxa"/>
            <w:shd w:val="clear" w:color="auto" w:fill="auto"/>
            <w:vAlign w:val="center"/>
          </w:tcPr>
          <w:p w14:paraId="6B25EECE"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7.0</w:t>
            </w:r>
          </w:p>
        </w:tc>
        <w:tc>
          <w:tcPr>
            <w:tcW w:w="621" w:type="dxa"/>
            <w:shd w:val="clear" w:color="auto" w:fill="D2DDE1" w:themeFill="background2"/>
            <w:vAlign w:val="center"/>
          </w:tcPr>
          <w:p w14:paraId="294755F0"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6.5</w:t>
            </w:r>
          </w:p>
        </w:tc>
        <w:tc>
          <w:tcPr>
            <w:tcW w:w="621" w:type="dxa"/>
            <w:shd w:val="clear" w:color="auto" w:fill="D2DDE1" w:themeFill="background2"/>
            <w:vAlign w:val="center"/>
          </w:tcPr>
          <w:p w14:paraId="30B8B0D4"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6.6</w:t>
            </w:r>
          </w:p>
        </w:tc>
        <w:tc>
          <w:tcPr>
            <w:tcW w:w="621" w:type="dxa"/>
            <w:shd w:val="clear" w:color="auto" w:fill="D2DDE1" w:themeFill="background2"/>
            <w:vAlign w:val="center"/>
          </w:tcPr>
          <w:p w14:paraId="38648A49"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6.6</w:t>
            </w:r>
          </w:p>
        </w:tc>
        <w:tc>
          <w:tcPr>
            <w:tcW w:w="621" w:type="dxa"/>
            <w:shd w:val="clear" w:color="auto" w:fill="D2DDE1" w:themeFill="background2"/>
            <w:vAlign w:val="center"/>
          </w:tcPr>
          <w:p w14:paraId="0419E120"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6.7</w:t>
            </w:r>
          </w:p>
        </w:tc>
        <w:tc>
          <w:tcPr>
            <w:tcW w:w="621" w:type="dxa"/>
            <w:shd w:val="clear" w:color="auto" w:fill="D2DDE1" w:themeFill="background2"/>
            <w:vAlign w:val="center"/>
          </w:tcPr>
          <w:p w14:paraId="6FDE2A7D"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6.7</w:t>
            </w:r>
          </w:p>
        </w:tc>
        <w:tc>
          <w:tcPr>
            <w:tcW w:w="621" w:type="dxa"/>
            <w:shd w:val="clear" w:color="auto" w:fill="D2DDE1" w:themeFill="background2"/>
            <w:vAlign w:val="center"/>
          </w:tcPr>
          <w:p w14:paraId="39110182"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6.7</w:t>
            </w:r>
          </w:p>
        </w:tc>
      </w:tr>
      <w:tr w:rsidR="00F51113" w:rsidRPr="000D643E" w14:paraId="79A4EE41" w14:textId="77777777">
        <w:trPr>
          <w:trHeight w:val="315"/>
        </w:trPr>
        <w:tc>
          <w:tcPr>
            <w:tcW w:w="621" w:type="dxa"/>
            <w:shd w:val="clear" w:color="auto" w:fill="auto"/>
            <w:vAlign w:val="center"/>
            <w:hideMark/>
          </w:tcPr>
          <w:p w14:paraId="5EDBF854" w14:textId="77777777" w:rsidR="00F51113" w:rsidRPr="000D643E" w:rsidRDefault="00F51113">
            <w:pPr>
              <w:pStyle w:val="TableTextbold"/>
              <w:spacing w:before="40" w:after="40"/>
              <w:jc w:val="both"/>
              <w:rPr>
                <w:rFonts w:asciiTheme="minorHAnsi" w:hAnsiTheme="minorHAnsi" w:cstheme="minorHAnsi"/>
                <w:szCs w:val="18"/>
              </w:rPr>
            </w:pPr>
            <w:r w:rsidRPr="000D643E">
              <w:rPr>
                <w:rFonts w:asciiTheme="minorHAnsi" w:hAnsiTheme="minorHAnsi" w:cstheme="minorHAnsi"/>
                <w:szCs w:val="18"/>
              </w:rPr>
              <w:t>Total</w:t>
            </w:r>
          </w:p>
        </w:tc>
        <w:tc>
          <w:tcPr>
            <w:tcW w:w="621" w:type="dxa"/>
            <w:shd w:val="clear" w:color="auto" w:fill="auto"/>
            <w:vAlign w:val="center"/>
          </w:tcPr>
          <w:p w14:paraId="37D28C1A"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37.1</w:t>
            </w:r>
          </w:p>
        </w:tc>
        <w:tc>
          <w:tcPr>
            <w:tcW w:w="621" w:type="dxa"/>
            <w:shd w:val="clear" w:color="auto" w:fill="auto"/>
            <w:vAlign w:val="center"/>
          </w:tcPr>
          <w:p w14:paraId="23559644"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39.3</w:t>
            </w:r>
          </w:p>
        </w:tc>
        <w:tc>
          <w:tcPr>
            <w:tcW w:w="621" w:type="dxa"/>
            <w:shd w:val="clear" w:color="auto" w:fill="auto"/>
            <w:vAlign w:val="center"/>
          </w:tcPr>
          <w:p w14:paraId="257279DC"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41.3</w:t>
            </w:r>
          </w:p>
        </w:tc>
        <w:tc>
          <w:tcPr>
            <w:tcW w:w="621" w:type="dxa"/>
            <w:shd w:val="clear" w:color="auto" w:fill="auto"/>
            <w:vAlign w:val="center"/>
          </w:tcPr>
          <w:p w14:paraId="33B9A784"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43.2</w:t>
            </w:r>
          </w:p>
        </w:tc>
        <w:tc>
          <w:tcPr>
            <w:tcW w:w="621" w:type="dxa"/>
            <w:shd w:val="clear" w:color="auto" w:fill="auto"/>
            <w:vAlign w:val="center"/>
          </w:tcPr>
          <w:p w14:paraId="745C4E70"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41.2</w:t>
            </w:r>
          </w:p>
        </w:tc>
        <w:tc>
          <w:tcPr>
            <w:tcW w:w="621" w:type="dxa"/>
            <w:shd w:val="clear" w:color="auto" w:fill="auto"/>
            <w:vAlign w:val="center"/>
          </w:tcPr>
          <w:p w14:paraId="143A1693"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43.0</w:t>
            </w:r>
          </w:p>
        </w:tc>
        <w:tc>
          <w:tcPr>
            <w:tcW w:w="621" w:type="dxa"/>
            <w:shd w:val="clear" w:color="auto" w:fill="auto"/>
            <w:vAlign w:val="center"/>
          </w:tcPr>
          <w:p w14:paraId="1380D0DC"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43.3</w:t>
            </w:r>
          </w:p>
        </w:tc>
        <w:tc>
          <w:tcPr>
            <w:tcW w:w="621" w:type="dxa"/>
            <w:shd w:val="clear" w:color="auto" w:fill="D2DDE1" w:themeFill="background2"/>
            <w:vAlign w:val="center"/>
          </w:tcPr>
          <w:p w14:paraId="4FD93806"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40.8</w:t>
            </w:r>
          </w:p>
        </w:tc>
        <w:tc>
          <w:tcPr>
            <w:tcW w:w="621" w:type="dxa"/>
            <w:shd w:val="clear" w:color="auto" w:fill="D2DDE1" w:themeFill="background2"/>
            <w:vAlign w:val="center"/>
          </w:tcPr>
          <w:p w14:paraId="5B472F8B"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40.8</w:t>
            </w:r>
          </w:p>
        </w:tc>
        <w:tc>
          <w:tcPr>
            <w:tcW w:w="621" w:type="dxa"/>
            <w:shd w:val="clear" w:color="auto" w:fill="D2DDE1" w:themeFill="background2"/>
            <w:vAlign w:val="center"/>
          </w:tcPr>
          <w:p w14:paraId="54F7E0E1"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41.0</w:t>
            </w:r>
          </w:p>
        </w:tc>
        <w:tc>
          <w:tcPr>
            <w:tcW w:w="621" w:type="dxa"/>
            <w:shd w:val="clear" w:color="auto" w:fill="D2DDE1" w:themeFill="background2"/>
            <w:vAlign w:val="center"/>
          </w:tcPr>
          <w:p w14:paraId="447AFB78"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41.3</w:t>
            </w:r>
          </w:p>
        </w:tc>
        <w:tc>
          <w:tcPr>
            <w:tcW w:w="621" w:type="dxa"/>
            <w:shd w:val="clear" w:color="auto" w:fill="D2DDE1" w:themeFill="background2"/>
            <w:vAlign w:val="center"/>
          </w:tcPr>
          <w:p w14:paraId="3D0DFB5E"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41.5</w:t>
            </w:r>
          </w:p>
        </w:tc>
        <w:tc>
          <w:tcPr>
            <w:tcW w:w="621" w:type="dxa"/>
            <w:shd w:val="clear" w:color="auto" w:fill="D2DDE1" w:themeFill="background2"/>
            <w:vAlign w:val="center"/>
          </w:tcPr>
          <w:p w14:paraId="5C7117A5"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41.8</w:t>
            </w:r>
          </w:p>
        </w:tc>
      </w:tr>
    </w:tbl>
    <w:p w14:paraId="4755213C" w14:textId="77777777" w:rsidR="00F51113" w:rsidRPr="004C2DCD" w:rsidRDefault="00F51113" w:rsidP="00F51113">
      <w:pPr>
        <w:pStyle w:val="Note"/>
      </w:pPr>
      <w:r w:rsidRPr="004C2DCD">
        <w:rPr>
          <w:b/>
          <w:bCs/>
        </w:rPr>
        <w:t>Note:</w:t>
      </w:r>
      <w:r w:rsidRPr="004C2DCD">
        <w:t xml:space="preserve"> CH</w:t>
      </w:r>
      <w:r w:rsidRPr="004C2DCD">
        <w:rPr>
          <w:vertAlign w:val="subscript"/>
        </w:rPr>
        <w:t>4</w:t>
      </w:r>
      <w:r w:rsidRPr="004C2DCD">
        <w:t xml:space="preserve"> = methane; CO</w:t>
      </w:r>
      <w:r w:rsidRPr="004C2DCD">
        <w:rPr>
          <w:vertAlign w:val="subscript"/>
        </w:rPr>
        <w:t>2</w:t>
      </w:r>
      <w:r w:rsidRPr="004C2DCD">
        <w:t xml:space="preserve"> = carbon dioxide; N</w:t>
      </w:r>
      <w:r w:rsidRPr="004C2DCD">
        <w:rPr>
          <w:vertAlign w:val="subscript"/>
        </w:rPr>
        <w:t>2</w:t>
      </w:r>
      <w:r w:rsidRPr="004C2DCD">
        <w:t>O =</w:t>
      </w:r>
      <w:r w:rsidRPr="004C2DCD">
        <w:rPr>
          <w:rFonts w:eastAsia="Calibri" w:cs="Calibri"/>
          <w:sz w:val="20"/>
          <w:szCs w:val="20"/>
        </w:rPr>
        <w:t xml:space="preserve"> </w:t>
      </w:r>
      <w:r w:rsidRPr="004C2DCD">
        <w:rPr>
          <w:rStyle w:val="NoteChar"/>
        </w:rPr>
        <w:t>nitrous oxide.</w:t>
      </w:r>
    </w:p>
    <w:p w14:paraId="27E8CABF" w14:textId="1BB4662A" w:rsidR="00F51113" w:rsidRPr="004C2DCD" w:rsidRDefault="006D759F" w:rsidP="00F51113">
      <w:pPr>
        <w:pStyle w:val="Heading4"/>
      </w:pPr>
      <w:r>
        <w:t>2.5.7.2.5</w:t>
      </w:r>
      <w:r>
        <w:tab/>
      </w:r>
      <w:r w:rsidR="00F51113" w:rsidRPr="004C2DCD">
        <w:t>Waste</w:t>
      </w:r>
    </w:p>
    <w:p w14:paraId="28B6D3F6" w14:textId="37D956B0" w:rsidR="00F51113" w:rsidRPr="004C2DCD" w:rsidRDefault="00F51113" w:rsidP="00F51113">
      <w:pPr>
        <w:pStyle w:val="BodyText"/>
      </w:pPr>
      <w:r w:rsidRPr="004C2DCD">
        <w:t>Emissions from the Waste sector under the WOM scenario are projected to decrease to 4.1 Mt CO</w:t>
      </w:r>
      <w:r w:rsidRPr="004C2DCD">
        <w:rPr>
          <w:vertAlign w:val="subscript"/>
        </w:rPr>
        <w:t>2</w:t>
      </w:r>
      <w:r w:rsidRPr="004C2DCD">
        <w:t>e by 2030 (5.7 per cent below 1990 levels and 0.7 per cent below 2022 levels) and to increase to 4.2 kt CO</w:t>
      </w:r>
      <w:r w:rsidRPr="004C2DCD">
        <w:rPr>
          <w:vertAlign w:val="subscript"/>
        </w:rPr>
        <w:t>2</w:t>
      </w:r>
      <w:r w:rsidRPr="004C2DCD">
        <w:t xml:space="preserve">e by 2050 (4.4 per cent below 1990 levels and 0.7 per cent above 2022 levels). </w:t>
      </w:r>
      <w:hyperlink w:anchor="figure2527" w:history="1">
        <w:r w:rsidRPr="00014AD6">
          <w:rPr>
            <w:rStyle w:val="Hyperlink"/>
          </w:rPr>
          <w:t>Figure 2.5.27</w:t>
        </w:r>
      </w:hyperlink>
      <w:r w:rsidRPr="004C2DCD">
        <w:t xml:space="preserve"> presents historical GHG emissions from 1990 to 2022 and projected WOM GHG emissions out to 2050 for the Waste sector. </w:t>
      </w:r>
      <w:hyperlink w:anchor="table2529" w:history="1">
        <w:r w:rsidRPr="00014AD6">
          <w:rPr>
            <w:rStyle w:val="Hyperlink"/>
          </w:rPr>
          <w:t>Table 2.5.29</w:t>
        </w:r>
      </w:hyperlink>
      <w:r w:rsidRPr="004C2DCD">
        <w:t xml:space="preserve"> presents the WOM scenario by gas in five-yearly increments.</w:t>
      </w:r>
    </w:p>
    <w:p w14:paraId="08EE3E4A" w14:textId="77777777" w:rsidR="00F51113" w:rsidRPr="004C2DCD" w:rsidRDefault="00F51113" w:rsidP="00A24A1B">
      <w:pPr>
        <w:pStyle w:val="Figureheading"/>
        <w:ind w:left="1276" w:hanging="1276"/>
      </w:pPr>
      <w:bookmarkStart w:id="689" w:name="figure2527"/>
      <w:bookmarkStart w:id="690" w:name="_Toc185347271"/>
      <w:r w:rsidRPr="004C2DCD">
        <w:t>Figure 2.5.27</w:t>
      </w:r>
      <w:bookmarkEnd w:id="689"/>
      <w:r w:rsidRPr="004C2DCD">
        <w:t xml:space="preserve">: </w:t>
      </w:r>
      <w:r w:rsidRPr="004C2DCD">
        <w:tab/>
        <w:t>Greenhouse gas emissions for the ‘without measures’ scenario in the Waste sector, 1990–2050</w:t>
      </w:r>
      <w:bookmarkEnd w:id="690"/>
      <w:r w:rsidRPr="004C2DCD">
        <w:t xml:space="preserve"> </w:t>
      </w:r>
    </w:p>
    <w:p w14:paraId="36D86005" w14:textId="2C20ECED" w:rsidR="00F51113" w:rsidRPr="004C2DCD" w:rsidRDefault="00E97361" w:rsidP="00F51113">
      <w:pPr>
        <w:pStyle w:val="BodyText"/>
        <w:spacing w:before="80" w:after="0"/>
      </w:pPr>
      <w:r>
        <w:rPr>
          <w:noProof/>
        </w:rPr>
        <w:drawing>
          <wp:inline distT="0" distB="0" distL="0" distR="0" wp14:anchorId="4B9E07E3" wp14:editId="259FF53B">
            <wp:extent cx="5400675" cy="2873993"/>
            <wp:effectExtent l="0" t="0" r="0" b="3175"/>
            <wp:docPr id="1857838666" name="Picture 52" descr="A line graph showing greenhouse gas emissions in kilotonnes carbon dioxide equivalent for the ‘without measures’ scenario in the Waste sector for the period 1990 to 2050. It compares historical emissions with projected emissions without mea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38666" name="Picture 52" descr="A line graph showing greenhouse gas emissions in kilotonnes carbon dioxide equivalent for the ‘without measures’ scenario in the Waste sector for the period 1990 to 2050. It compares historical emissions with projected emissions without measures."/>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08402" cy="2878105"/>
                    </a:xfrm>
                    <a:prstGeom prst="rect">
                      <a:avLst/>
                    </a:prstGeom>
                    <a:noFill/>
                  </pic:spPr>
                </pic:pic>
              </a:graphicData>
            </a:graphic>
          </wp:inline>
        </w:drawing>
      </w:r>
      <w:r w:rsidR="00F51113" w:rsidRPr="004C2DCD">
        <w:t xml:space="preserve"> </w:t>
      </w:r>
    </w:p>
    <w:p w14:paraId="25E87011" w14:textId="77777777" w:rsidR="00F51113" w:rsidRPr="004C2DCD" w:rsidRDefault="00F51113" w:rsidP="00F51113">
      <w:pPr>
        <w:pStyle w:val="Note"/>
      </w:pPr>
      <w:r w:rsidRPr="004C2DCD">
        <w:rPr>
          <w:b/>
          <w:bCs/>
        </w:rPr>
        <w:t>Note:</w:t>
      </w:r>
      <w:r w:rsidRPr="004C2DCD">
        <w:t xml:space="preserve"> Kt CO</w:t>
      </w:r>
      <w:r w:rsidRPr="004C2DCD">
        <w:rPr>
          <w:vertAlign w:val="subscript"/>
        </w:rPr>
        <w:t>2</w:t>
      </w:r>
      <w:r w:rsidRPr="004C2DCD">
        <w:t>e =</w:t>
      </w:r>
      <w:r w:rsidRPr="004C2DCD">
        <w:rPr>
          <w:b/>
          <w:bCs/>
        </w:rPr>
        <w:t xml:space="preserve"> </w:t>
      </w:r>
      <w:r w:rsidRPr="004C2DCD">
        <w:t>kilotonnes of carbon dioxide equivalent.</w:t>
      </w:r>
    </w:p>
    <w:p w14:paraId="61200441" w14:textId="77777777" w:rsidR="00F51113" w:rsidRPr="004C2DCD" w:rsidRDefault="00F51113" w:rsidP="00F51113">
      <w:pPr>
        <w:pStyle w:val="Tableheading"/>
        <w:ind w:left="1276" w:hanging="1276"/>
      </w:pPr>
      <w:bookmarkStart w:id="691" w:name="table2529"/>
      <w:bookmarkStart w:id="692" w:name="_Toc183789730"/>
      <w:bookmarkStart w:id="693" w:name="_Toc185407494"/>
      <w:bookmarkStart w:id="694" w:name="_Toc185427757"/>
      <w:r w:rsidRPr="004C2DCD">
        <w:t>Table 2.5.29</w:t>
      </w:r>
      <w:bookmarkEnd w:id="691"/>
      <w:r w:rsidRPr="004C2DCD">
        <w:t xml:space="preserve">: </w:t>
      </w:r>
      <w:r w:rsidRPr="004C2DCD">
        <w:tab/>
        <w:t>Historical and projected Waste sector emissions by gas under the ‘without measures’ scenario, 1990–2050 (kt CO</w:t>
      </w:r>
      <w:r w:rsidRPr="004C2DCD">
        <w:rPr>
          <w:vertAlign w:val="subscript"/>
        </w:rPr>
        <w:t>2</w:t>
      </w:r>
      <w:r w:rsidRPr="004C2DCD">
        <w:t>e)</w:t>
      </w:r>
      <w:bookmarkEnd w:id="692"/>
      <w:bookmarkEnd w:id="693"/>
      <w:bookmarkEnd w:id="694"/>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85" w:type="dxa"/>
          <w:right w:w="85" w:type="dxa"/>
        </w:tblCellMar>
        <w:tblLook w:val="04A0" w:firstRow="1" w:lastRow="0" w:firstColumn="1" w:lastColumn="0" w:noHBand="0" w:noVBand="1"/>
      </w:tblPr>
      <w:tblGrid>
        <w:gridCol w:w="579"/>
        <w:gridCol w:w="609"/>
        <w:gridCol w:w="609"/>
        <w:gridCol w:w="609"/>
        <w:gridCol w:w="609"/>
        <w:gridCol w:w="610"/>
        <w:gridCol w:w="610"/>
        <w:gridCol w:w="610"/>
        <w:gridCol w:w="610"/>
        <w:gridCol w:w="610"/>
        <w:gridCol w:w="610"/>
        <w:gridCol w:w="610"/>
        <w:gridCol w:w="610"/>
        <w:gridCol w:w="610"/>
      </w:tblGrid>
      <w:tr w:rsidR="00F51113" w:rsidRPr="000D643E" w14:paraId="53FA8183" w14:textId="77777777">
        <w:trPr>
          <w:trHeight w:val="300"/>
        </w:trPr>
        <w:tc>
          <w:tcPr>
            <w:tcW w:w="598" w:type="dxa"/>
            <w:shd w:val="clear" w:color="auto" w:fill="1B556B" w:themeFill="text2"/>
            <w:vAlign w:val="center"/>
            <w:hideMark/>
          </w:tcPr>
          <w:p w14:paraId="245027C7" w14:textId="77777777" w:rsidR="00F51113" w:rsidRPr="000D643E" w:rsidRDefault="00F51113">
            <w:pPr>
              <w:pStyle w:val="TableTextbold"/>
              <w:spacing w:after="0"/>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 </w:t>
            </w:r>
          </w:p>
        </w:tc>
        <w:tc>
          <w:tcPr>
            <w:tcW w:w="3774" w:type="dxa"/>
            <w:gridSpan w:val="6"/>
            <w:shd w:val="clear" w:color="auto" w:fill="1B556B" w:themeFill="text2"/>
            <w:vAlign w:val="center"/>
            <w:hideMark/>
          </w:tcPr>
          <w:p w14:paraId="3212C1EE" w14:textId="77777777" w:rsidR="00F51113" w:rsidRPr="000D643E" w:rsidRDefault="00F51113">
            <w:pPr>
              <w:pStyle w:val="TableTextbold"/>
              <w:spacing w:after="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Historical</w:t>
            </w:r>
          </w:p>
        </w:tc>
        <w:tc>
          <w:tcPr>
            <w:tcW w:w="4403" w:type="dxa"/>
            <w:gridSpan w:val="7"/>
            <w:shd w:val="clear" w:color="auto" w:fill="1B556B" w:themeFill="text2"/>
            <w:vAlign w:val="center"/>
            <w:hideMark/>
          </w:tcPr>
          <w:p w14:paraId="14A689A0" w14:textId="77777777" w:rsidR="00F51113" w:rsidRPr="000D643E" w:rsidRDefault="00F51113">
            <w:pPr>
              <w:pStyle w:val="TableTextbold"/>
              <w:spacing w:after="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Projected</w:t>
            </w:r>
          </w:p>
        </w:tc>
      </w:tr>
      <w:tr w:rsidR="00F51113" w:rsidRPr="000D643E" w14:paraId="75EFAB2C" w14:textId="77777777">
        <w:trPr>
          <w:trHeight w:val="315"/>
        </w:trPr>
        <w:tc>
          <w:tcPr>
            <w:tcW w:w="598" w:type="dxa"/>
            <w:shd w:val="clear" w:color="auto" w:fill="1B556B" w:themeFill="text2"/>
            <w:vAlign w:val="center"/>
            <w:hideMark/>
          </w:tcPr>
          <w:p w14:paraId="4C4755E2" w14:textId="77777777" w:rsidR="00F51113" w:rsidRPr="000D643E" w:rsidRDefault="00F51113">
            <w:pPr>
              <w:pStyle w:val="TableTextbold"/>
              <w:spacing w:before="0"/>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Gas</w:t>
            </w:r>
          </w:p>
        </w:tc>
        <w:tc>
          <w:tcPr>
            <w:tcW w:w="629" w:type="dxa"/>
            <w:shd w:val="clear" w:color="auto" w:fill="1B556B" w:themeFill="text2"/>
            <w:vAlign w:val="center"/>
            <w:hideMark/>
          </w:tcPr>
          <w:p w14:paraId="67B68A07"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1990</w:t>
            </w:r>
          </w:p>
        </w:tc>
        <w:tc>
          <w:tcPr>
            <w:tcW w:w="629" w:type="dxa"/>
            <w:shd w:val="clear" w:color="auto" w:fill="1B556B" w:themeFill="text2"/>
            <w:vAlign w:val="center"/>
            <w:hideMark/>
          </w:tcPr>
          <w:p w14:paraId="60DA20F5"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1995</w:t>
            </w:r>
          </w:p>
        </w:tc>
        <w:tc>
          <w:tcPr>
            <w:tcW w:w="629" w:type="dxa"/>
            <w:shd w:val="clear" w:color="auto" w:fill="1B556B" w:themeFill="text2"/>
            <w:vAlign w:val="center"/>
            <w:hideMark/>
          </w:tcPr>
          <w:p w14:paraId="2B2F3EDB"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2000</w:t>
            </w:r>
          </w:p>
        </w:tc>
        <w:tc>
          <w:tcPr>
            <w:tcW w:w="629" w:type="dxa"/>
            <w:shd w:val="clear" w:color="auto" w:fill="1B556B" w:themeFill="text2"/>
            <w:vAlign w:val="center"/>
            <w:hideMark/>
          </w:tcPr>
          <w:p w14:paraId="4E8B27F5"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2005</w:t>
            </w:r>
          </w:p>
        </w:tc>
        <w:tc>
          <w:tcPr>
            <w:tcW w:w="629" w:type="dxa"/>
            <w:shd w:val="clear" w:color="auto" w:fill="1B556B" w:themeFill="text2"/>
            <w:vAlign w:val="center"/>
            <w:hideMark/>
          </w:tcPr>
          <w:p w14:paraId="4B88B805"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2010</w:t>
            </w:r>
          </w:p>
        </w:tc>
        <w:tc>
          <w:tcPr>
            <w:tcW w:w="629" w:type="dxa"/>
            <w:shd w:val="clear" w:color="auto" w:fill="1B556B" w:themeFill="text2"/>
            <w:vAlign w:val="center"/>
            <w:hideMark/>
          </w:tcPr>
          <w:p w14:paraId="570885BC"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2015</w:t>
            </w:r>
          </w:p>
        </w:tc>
        <w:tc>
          <w:tcPr>
            <w:tcW w:w="629" w:type="dxa"/>
            <w:shd w:val="clear" w:color="auto" w:fill="1B556B" w:themeFill="text2"/>
            <w:vAlign w:val="center"/>
            <w:hideMark/>
          </w:tcPr>
          <w:p w14:paraId="7CFF690A"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2020</w:t>
            </w:r>
          </w:p>
        </w:tc>
        <w:tc>
          <w:tcPr>
            <w:tcW w:w="629" w:type="dxa"/>
            <w:shd w:val="clear" w:color="auto" w:fill="1B556B" w:themeFill="text2"/>
            <w:vAlign w:val="center"/>
            <w:hideMark/>
          </w:tcPr>
          <w:p w14:paraId="6D6DAC7A"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2025</w:t>
            </w:r>
          </w:p>
        </w:tc>
        <w:tc>
          <w:tcPr>
            <w:tcW w:w="629" w:type="dxa"/>
            <w:shd w:val="clear" w:color="auto" w:fill="1B556B" w:themeFill="text2"/>
            <w:vAlign w:val="center"/>
            <w:hideMark/>
          </w:tcPr>
          <w:p w14:paraId="237EAA4D"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2030</w:t>
            </w:r>
          </w:p>
        </w:tc>
        <w:tc>
          <w:tcPr>
            <w:tcW w:w="629" w:type="dxa"/>
            <w:shd w:val="clear" w:color="auto" w:fill="1B556B" w:themeFill="text2"/>
            <w:vAlign w:val="center"/>
            <w:hideMark/>
          </w:tcPr>
          <w:p w14:paraId="4D5807B1"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2035</w:t>
            </w:r>
          </w:p>
        </w:tc>
        <w:tc>
          <w:tcPr>
            <w:tcW w:w="629" w:type="dxa"/>
            <w:shd w:val="clear" w:color="auto" w:fill="1B556B" w:themeFill="text2"/>
            <w:vAlign w:val="center"/>
            <w:hideMark/>
          </w:tcPr>
          <w:p w14:paraId="452BE239"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2040</w:t>
            </w:r>
          </w:p>
        </w:tc>
        <w:tc>
          <w:tcPr>
            <w:tcW w:w="629" w:type="dxa"/>
            <w:shd w:val="clear" w:color="auto" w:fill="1B556B" w:themeFill="text2"/>
            <w:vAlign w:val="center"/>
            <w:hideMark/>
          </w:tcPr>
          <w:p w14:paraId="3F928524"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2045</w:t>
            </w:r>
          </w:p>
        </w:tc>
        <w:tc>
          <w:tcPr>
            <w:tcW w:w="629" w:type="dxa"/>
            <w:shd w:val="clear" w:color="auto" w:fill="1B556B" w:themeFill="text2"/>
            <w:vAlign w:val="center"/>
            <w:hideMark/>
          </w:tcPr>
          <w:p w14:paraId="730A8726" w14:textId="77777777" w:rsidR="00F51113" w:rsidRPr="000D643E" w:rsidRDefault="00F51113">
            <w:pPr>
              <w:pStyle w:val="TableTextbold"/>
              <w:spacing w:before="0"/>
              <w:jc w:val="center"/>
              <w:rPr>
                <w:rFonts w:asciiTheme="minorHAnsi" w:hAnsiTheme="minorHAnsi" w:cstheme="minorHAnsi"/>
                <w:color w:val="FFFFFF" w:themeColor="background1"/>
                <w:szCs w:val="18"/>
              </w:rPr>
            </w:pPr>
            <w:r w:rsidRPr="000D643E">
              <w:rPr>
                <w:rFonts w:asciiTheme="minorHAnsi" w:hAnsiTheme="minorHAnsi" w:cstheme="minorHAnsi"/>
                <w:color w:val="FFFFFF" w:themeColor="background1"/>
                <w:szCs w:val="18"/>
              </w:rPr>
              <w:t>2050</w:t>
            </w:r>
          </w:p>
        </w:tc>
      </w:tr>
      <w:tr w:rsidR="00F51113" w:rsidRPr="000D643E" w14:paraId="7FC58BB2" w14:textId="77777777">
        <w:trPr>
          <w:trHeight w:val="315"/>
        </w:trPr>
        <w:tc>
          <w:tcPr>
            <w:tcW w:w="598" w:type="dxa"/>
            <w:shd w:val="clear" w:color="auto" w:fill="auto"/>
            <w:vAlign w:val="center"/>
            <w:hideMark/>
          </w:tcPr>
          <w:p w14:paraId="0686A642" w14:textId="77777777" w:rsidR="00F51113" w:rsidRPr="000D643E" w:rsidRDefault="00F51113">
            <w:pPr>
              <w:pStyle w:val="TableText"/>
              <w:spacing w:before="40" w:after="40"/>
              <w:rPr>
                <w:rFonts w:asciiTheme="minorHAnsi" w:hAnsiTheme="minorHAnsi" w:cstheme="minorHAnsi"/>
                <w:color w:val="000000"/>
                <w:szCs w:val="18"/>
              </w:rPr>
            </w:pPr>
            <w:r w:rsidRPr="000D643E">
              <w:rPr>
                <w:rFonts w:asciiTheme="minorHAnsi" w:hAnsiTheme="minorHAnsi" w:cstheme="minorHAnsi"/>
                <w:szCs w:val="18"/>
              </w:rPr>
              <w:t>CO</w:t>
            </w:r>
            <w:r w:rsidRPr="000D643E">
              <w:rPr>
                <w:rFonts w:asciiTheme="minorHAnsi" w:hAnsiTheme="minorHAnsi" w:cstheme="minorHAnsi"/>
                <w:szCs w:val="18"/>
                <w:vertAlign w:val="subscript"/>
              </w:rPr>
              <w:t>2</w:t>
            </w:r>
          </w:p>
        </w:tc>
        <w:tc>
          <w:tcPr>
            <w:tcW w:w="629" w:type="dxa"/>
            <w:shd w:val="clear" w:color="auto" w:fill="auto"/>
            <w:vAlign w:val="bottom"/>
          </w:tcPr>
          <w:p w14:paraId="76A4DB69"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154</w:t>
            </w:r>
          </w:p>
        </w:tc>
        <w:tc>
          <w:tcPr>
            <w:tcW w:w="629" w:type="dxa"/>
            <w:shd w:val="clear" w:color="auto" w:fill="auto"/>
            <w:vAlign w:val="bottom"/>
          </w:tcPr>
          <w:p w14:paraId="2D823625"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132</w:t>
            </w:r>
          </w:p>
        </w:tc>
        <w:tc>
          <w:tcPr>
            <w:tcW w:w="629" w:type="dxa"/>
            <w:shd w:val="clear" w:color="auto" w:fill="auto"/>
            <w:vAlign w:val="bottom"/>
          </w:tcPr>
          <w:p w14:paraId="7763EB9A"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145</w:t>
            </w:r>
          </w:p>
        </w:tc>
        <w:tc>
          <w:tcPr>
            <w:tcW w:w="629" w:type="dxa"/>
            <w:shd w:val="clear" w:color="auto" w:fill="auto"/>
            <w:vAlign w:val="bottom"/>
          </w:tcPr>
          <w:p w14:paraId="4F525BB2"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116</w:t>
            </w:r>
          </w:p>
        </w:tc>
        <w:tc>
          <w:tcPr>
            <w:tcW w:w="629" w:type="dxa"/>
            <w:shd w:val="clear" w:color="auto" w:fill="auto"/>
            <w:vAlign w:val="bottom"/>
          </w:tcPr>
          <w:p w14:paraId="2594931B"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105</w:t>
            </w:r>
          </w:p>
        </w:tc>
        <w:tc>
          <w:tcPr>
            <w:tcW w:w="629" w:type="dxa"/>
            <w:shd w:val="clear" w:color="auto" w:fill="auto"/>
            <w:vAlign w:val="bottom"/>
          </w:tcPr>
          <w:p w14:paraId="4FDC4BAC"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97</w:t>
            </w:r>
          </w:p>
        </w:tc>
        <w:tc>
          <w:tcPr>
            <w:tcW w:w="629" w:type="dxa"/>
            <w:shd w:val="clear" w:color="auto" w:fill="auto"/>
            <w:vAlign w:val="bottom"/>
          </w:tcPr>
          <w:p w14:paraId="514FEFA8"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87</w:t>
            </w:r>
          </w:p>
        </w:tc>
        <w:tc>
          <w:tcPr>
            <w:tcW w:w="629" w:type="dxa"/>
            <w:shd w:val="clear" w:color="auto" w:fill="D2DDE1" w:themeFill="background2"/>
            <w:vAlign w:val="bottom"/>
          </w:tcPr>
          <w:p w14:paraId="02A9E8A3"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85</w:t>
            </w:r>
          </w:p>
        </w:tc>
        <w:tc>
          <w:tcPr>
            <w:tcW w:w="629" w:type="dxa"/>
            <w:shd w:val="clear" w:color="auto" w:fill="D2DDE1" w:themeFill="background2"/>
            <w:vAlign w:val="bottom"/>
          </w:tcPr>
          <w:p w14:paraId="4B4E5835"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106</w:t>
            </w:r>
          </w:p>
        </w:tc>
        <w:tc>
          <w:tcPr>
            <w:tcW w:w="629" w:type="dxa"/>
            <w:shd w:val="clear" w:color="auto" w:fill="D2DDE1" w:themeFill="background2"/>
            <w:vAlign w:val="bottom"/>
          </w:tcPr>
          <w:p w14:paraId="179ABC6E"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120</w:t>
            </w:r>
          </w:p>
        </w:tc>
        <w:tc>
          <w:tcPr>
            <w:tcW w:w="629" w:type="dxa"/>
            <w:shd w:val="clear" w:color="auto" w:fill="D2DDE1" w:themeFill="background2"/>
            <w:vAlign w:val="bottom"/>
          </w:tcPr>
          <w:p w14:paraId="263B83E8"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124</w:t>
            </w:r>
          </w:p>
        </w:tc>
        <w:tc>
          <w:tcPr>
            <w:tcW w:w="629" w:type="dxa"/>
            <w:shd w:val="clear" w:color="auto" w:fill="D2DDE1" w:themeFill="background2"/>
            <w:vAlign w:val="bottom"/>
          </w:tcPr>
          <w:p w14:paraId="54401ABF"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125</w:t>
            </w:r>
          </w:p>
        </w:tc>
        <w:tc>
          <w:tcPr>
            <w:tcW w:w="629" w:type="dxa"/>
            <w:shd w:val="clear" w:color="auto" w:fill="D2DDE1" w:themeFill="background2"/>
            <w:vAlign w:val="bottom"/>
          </w:tcPr>
          <w:p w14:paraId="3A4EE575"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125</w:t>
            </w:r>
          </w:p>
        </w:tc>
      </w:tr>
      <w:tr w:rsidR="00F51113" w:rsidRPr="000D643E" w14:paraId="2EF34F9E" w14:textId="77777777">
        <w:trPr>
          <w:trHeight w:val="315"/>
        </w:trPr>
        <w:tc>
          <w:tcPr>
            <w:tcW w:w="598" w:type="dxa"/>
            <w:shd w:val="clear" w:color="auto" w:fill="auto"/>
            <w:vAlign w:val="center"/>
            <w:hideMark/>
          </w:tcPr>
          <w:p w14:paraId="588D35D5" w14:textId="77777777" w:rsidR="00F51113" w:rsidRPr="000D643E" w:rsidRDefault="00F51113">
            <w:pPr>
              <w:pStyle w:val="TableText"/>
              <w:spacing w:before="40" w:after="40"/>
              <w:rPr>
                <w:rFonts w:asciiTheme="minorHAnsi" w:hAnsiTheme="minorHAnsi" w:cstheme="minorHAnsi"/>
                <w:color w:val="000000"/>
                <w:szCs w:val="18"/>
              </w:rPr>
            </w:pPr>
            <w:r w:rsidRPr="000D643E">
              <w:rPr>
                <w:rFonts w:asciiTheme="minorHAnsi" w:hAnsiTheme="minorHAnsi" w:cstheme="minorHAnsi"/>
                <w:szCs w:val="18"/>
              </w:rPr>
              <w:t>CH</w:t>
            </w:r>
            <w:r w:rsidRPr="000D643E">
              <w:rPr>
                <w:rFonts w:asciiTheme="minorHAnsi" w:hAnsiTheme="minorHAnsi" w:cstheme="minorHAnsi"/>
                <w:szCs w:val="18"/>
                <w:vertAlign w:val="subscript"/>
              </w:rPr>
              <w:t>4</w:t>
            </w:r>
          </w:p>
        </w:tc>
        <w:tc>
          <w:tcPr>
            <w:tcW w:w="629" w:type="dxa"/>
            <w:shd w:val="clear" w:color="auto" w:fill="auto"/>
            <w:vAlign w:val="bottom"/>
          </w:tcPr>
          <w:p w14:paraId="3C57041F"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4,103</w:t>
            </w:r>
          </w:p>
        </w:tc>
        <w:tc>
          <w:tcPr>
            <w:tcW w:w="629" w:type="dxa"/>
            <w:shd w:val="clear" w:color="auto" w:fill="auto"/>
            <w:vAlign w:val="bottom"/>
          </w:tcPr>
          <w:p w14:paraId="7145E7A2"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4,449</w:t>
            </w:r>
          </w:p>
        </w:tc>
        <w:tc>
          <w:tcPr>
            <w:tcW w:w="629" w:type="dxa"/>
            <w:shd w:val="clear" w:color="auto" w:fill="auto"/>
            <w:vAlign w:val="bottom"/>
          </w:tcPr>
          <w:p w14:paraId="21D431E8"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4,645</w:t>
            </w:r>
          </w:p>
        </w:tc>
        <w:tc>
          <w:tcPr>
            <w:tcW w:w="629" w:type="dxa"/>
            <w:shd w:val="clear" w:color="auto" w:fill="auto"/>
            <w:vAlign w:val="bottom"/>
          </w:tcPr>
          <w:p w14:paraId="648B5517"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4,620</w:t>
            </w:r>
          </w:p>
        </w:tc>
        <w:tc>
          <w:tcPr>
            <w:tcW w:w="629" w:type="dxa"/>
            <w:shd w:val="clear" w:color="auto" w:fill="auto"/>
            <w:vAlign w:val="bottom"/>
          </w:tcPr>
          <w:p w14:paraId="504C3BF4"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4,538</w:t>
            </w:r>
          </w:p>
        </w:tc>
        <w:tc>
          <w:tcPr>
            <w:tcW w:w="629" w:type="dxa"/>
            <w:shd w:val="clear" w:color="auto" w:fill="auto"/>
            <w:vAlign w:val="bottom"/>
          </w:tcPr>
          <w:p w14:paraId="17A4EF5D"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4,302</w:t>
            </w:r>
          </w:p>
        </w:tc>
        <w:tc>
          <w:tcPr>
            <w:tcW w:w="629" w:type="dxa"/>
            <w:shd w:val="clear" w:color="auto" w:fill="auto"/>
            <w:vAlign w:val="bottom"/>
          </w:tcPr>
          <w:p w14:paraId="2D7F6F98"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4,019</w:t>
            </w:r>
          </w:p>
        </w:tc>
        <w:tc>
          <w:tcPr>
            <w:tcW w:w="629" w:type="dxa"/>
            <w:shd w:val="clear" w:color="auto" w:fill="D2DDE1" w:themeFill="background2"/>
            <w:vAlign w:val="bottom"/>
          </w:tcPr>
          <w:p w14:paraId="0CE8E586"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3,902</w:t>
            </w:r>
          </w:p>
        </w:tc>
        <w:tc>
          <w:tcPr>
            <w:tcW w:w="629" w:type="dxa"/>
            <w:shd w:val="clear" w:color="auto" w:fill="D2DDE1" w:themeFill="background2"/>
            <w:vAlign w:val="bottom"/>
          </w:tcPr>
          <w:p w14:paraId="5DBA0E35"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3,849</w:t>
            </w:r>
          </w:p>
        </w:tc>
        <w:tc>
          <w:tcPr>
            <w:tcW w:w="629" w:type="dxa"/>
            <w:shd w:val="clear" w:color="auto" w:fill="D2DDE1" w:themeFill="background2"/>
            <w:vAlign w:val="bottom"/>
          </w:tcPr>
          <w:p w14:paraId="45C000DD"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3,827</w:t>
            </w:r>
          </w:p>
        </w:tc>
        <w:tc>
          <w:tcPr>
            <w:tcW w:w="629" w:type="dxa"/>
            <w:shd w:val="clear" w:color="auto" w:fill="D2DDE1" w:themeFill="background2"/>
            <w:vAlign w:val="bottom"/>
          </w:tcPr>
          <w:p w14:paraId="71EDF08E"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3,825</w:t>
            </w:r>
          </w:p>
        </w:tc>
        <w:tc>
          <w:tcPr>
            <w:tcW w:w="629" w:type="dxa"/>
            <w:shd w:val="clear" w:color="auto" w:fill="D2DDE1" w:themeFill="background2"/>
            <w:vAlign w:val="bottom"/>
          </w:tcPr>
          <w:p w14:paraId="5032625C"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3,834</w:t>
            </w:r>
          </w:p>
        </w:tc>
        <w:tc>
          <w:tcPr>
            <w:tcW w:w="629" w:type="dxa"/>
            <w:shd w:val="clear" w:color="auto" w:fill="D2DDE1" w:themeFill="background2"/>
            <w:vAlign w:val="bottom"/>
          </w:tcPr>
          <w:p w14:paraId="37F4371E"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3,846</w:t>
            </w:r>
          </w:p>
        </w:tc>
      </w:tr>
      <w:tr w:rsidR="00F51113" w:rsidRPr="000D643E" w14:paraId="757176F7" w14:textId="77777777">
        <w:trPr>
          <w:trHeight w:val="315"/>
        </w:trPr>
        <w:tc>
          <w:tcPr>
            <w:tcW w:w="598" w:type="dxa"/>
            <w:shd w:val="clear" w:color="auto" w:fill="auto"/>
            <w:vAlign w:val="center"/>
            <w:hideMark/>
          </w:tcPr>
          <w:p w14:paraId="47423272" w14:textId="77777777" w:rsidR="00F51113" w:rsidRPr="000D643E" w:rsidRDefault="00F51113">
            <w:pPr>
              <w:pStyle w:val="TableText"/>
              <w:spacing w:before="40" w:after="40"/>
              <w:rPr>
                <w:rFonts w:asciiTheme="minorHAnsi" w:hAnsiTheme="minorHAnsi" w:cstheme="minorHAnsi"/>
                <w:color w:val="000000"/>
                <w:szCs w:val="18"/>
              </w:rPr>
            </w:pPr>
            <w:r w:rsidRPr="000D643E">
              <w:rPr>
                <w:rFonts w:asciiTheme="minorHAnsi" w:hAnsiTheme="minorHAnsi" w:cstheme="minorHAnsi"/>
                <w:szCs w:val="18"/>
              </w:rPr>
              <w:t>N</w:t>
            </w:r>
            <w:r w:rsidRPr="000D643E">
              <w:rPr>
                <w:rFonts w:asciiTheme="minorHAnsi" w:hAnsiTheme="minorHAnsi" w:cstheme="minorHAnsi"/>
                <w:szCs w:val="18"/>
                <w:vertAlign w:val="subscript"/>
              </w:rPr>
              <w:t>2</w:t>
            </w:r>
            <w:r w:rsidRPr="000D643E">
              <w:rPr>
                <w:rFonts w:asciiTheme="minorHAnsi" w:hAnsiTheme="minorHAnsi" w:cstheme="minorHAnsi"/>
                <w:szCs w:val="18"/>
              </w:rPr>
              <w:t>O</w:t>
            </w:r>
          </w:p>
        </w:tc>
        <w:tc>
          <w:tcPr>
            <w:tcW w:w="629" w:type="dxa"/>
            <w:shd w:val="clear" w:color="auto" w:fill="auto"/>
            <w:vAlign w:val="bottom"/>
          </w:tcPr>
          <w:p w14:paraId="51961548"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100</w:t>
            </w:r>
          </w:p>
        </w:tc>
        <w:tc>
          <w:tcPr>
            <w:tcW w:w="629" w:type="dxa"/>
            <w:shd w:val="clear" w:color="auto" w:fill="auto"/>
            <w:vAlign w:val="bottom"/>
          </w:tcPr>
          <w:p w14:paraId="05BB4B25"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104</w:t>
            </w:r>
          </w:p>
        </w:tc>
        <w:tc>
          <w:tcPr>
            <w:tcW w:w="629" w:type="dxa"/>
            <w:shd w:val="clear" w:color="auto" w:fill="auto"/>
            <w:vAlign w:val="bottom"/>
          </w:tcPr>
          <w:p w14:paraId="7D3E71B3"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114</w:t>
            </w:r>
          </w:p>
        </w:tc>
        <w:tc>
          <w:tcPr>
            <w:tcW w:w="629" w:type="dxa"/>
            <w:shd w:val="clear" w:color="auto" w:fill="auto"/>
            <w:vAlign w:val="bottom"/>
          </w:tcPr>
          <w:p w14:paraId="5F9CE71F"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112</w:t>
            </w:r>
          </w:p>
        </w:tc>
        <w:tc>
          <w:tcPr>
            <w:tcW w:w="629" w:type="dxa"/>
            <w:shd w:val="clear" w:color="auto" w:fill="auto"/>
            <w:vAlign w:val="bottom"/>
          </w:tcPr>
          <w:p w14:paraId="215B7D49"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116</w:t>
            </w:r>
          </w:p>
        </w:tc>
        <w:tc>
          <w:tcPr>
            <w:tcW w:w="629" w:type="dxa"/>
            <w:shd w:val="clear" w:color="auto" w:fill="auto"/>
            <w:vAlign w:val="bottom"/>
          </w:tcPr>
          <w:p w14:paraId="4DE21802"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131</w:t>
            </w:r>
          </w:p>
        </w:tc>
        <w:tc>
          <w:tcPr>
            <w:tcW w:w="629" w:type="dxa"/>
            <w:shd w:val="clear" w:color="auto" w:fill="auto"/>
            <w:vAlign w:val="bottom"/>
          </w:tcPr>
          <w:p w14:paraId="75BFF14B"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149</w:t>
            </w:r>
          </w:p>
        </w:tc>
        <w:tc>
          <w:tcPr>
            <w:tcW w:w="629" w:type="dxa"/>
            <w:shd w:val="clear" w:color="auto" w:fill="D2DDE1" w:themeFill="background2"/>
            <w:vAlign w:val="bottom"/>
          </w:tcPr>
          <w:p w14:paraId="5F98D204"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151</w:t>
            </w:r>
          </w:p>
        </w:tc>
        <w:tc>
          <w:tcPr>
            <w:tcW w:w="629" w:type="dxa"/>
            <w:shd w:val="clear" w:color="auto" w:fill="D2DDE1" w:themeFill="background2"/>
            <w:vAlign w:val="bottom"/>
          </w:tcPr>
          <w:p w14:paraId="04BDC264"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157</w:t>
            </w:r>
          </w:p>
        </w:tc>
        <w:tc>
          <w:tcPr>
            <w:tcW w:w="629" w:type="dxa"/>
            <w:shd w:val="clear" w:color="auto" w:fill="D2DDE1" w:themeFill="background2"/>
            <w:vAlign w:val="bottom"/>
          </w:tcPr>
          <w:p w14:paraId="7ED72F1F"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163</w:t>
            </w:r>
          </w:p>
        </w:tc>
        <w:tc>
          <w:tcPr>
            <w:tcW w:w="629" w:type="dxa"/>
            <w:shd w:val="clear" w:color="auto" w:fill="D2DDE1" w:themeFill="background2"/>
            <w:vAlign w:val="bottom"/>
          </w:tcPr>
          <w:p w14:paraId="2037AC54"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168</w:t>
            </w:r>
          </w:p>
        </w:tc>
        <w:tc>
          <w:tcPr>
            <w:tcW w:w="629" w:type="dxa"/>
            <w:shd w:val="clear" w:color="auto" w:fill="D2DDE1" w:themeFill="background2"/>
            <w:vAlign w:val="bottom"/>
          </w:tcPr>
          <w:p w14:paraId="12DAD3EE"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172</w:t>
            </w:r>
          </w:p>
        </w:tc>
        <w:tc>
          <w:tcPr>
            <w:tcW w:w="629" w:type="dxa"/>
            <w:shd w:val="clear" w:color="auto" w:fill="D2DDE1" w:themeFill="background2"/>
            <w:vAlign w:val="bottom"/>
          </w:tcPr>
          <w:p w14:paraId="70011AE3"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szCs w:val="18"/>
              </w:rPr>
              <w:t>175</w:t>
            </w:r>
          </w:p>
        </w:tc>
      </w:tr>
      <w:tr w:rsidR="00F51113" w:rsidRPr="000D643E" w14:paraId="21695E62" w14:textId="77777777">
        <w:trPr>
          <w:trHeight w:val="315"/>
        </w:trPr>
        <w:tc>
          <w:tcPr>
            <w:tcW w:w="598" w:type="dxa"/>
            <w:shd w:val="clear" w:color="auto" w:fill="auto"/>
            <w:vAlign w:val="center"/>
            <w:hideMark/>
          </w:tcPr>
          <w:p w14:paraId="1CEDCF5A" w14:textId="77777777" w:rsidR="00F51113" w:rsidRPr="000D643E" w:rsidRDefault="00F51113">
            <w:pPr>
              <w:pStyle w:val="TableTextbold"/>
              <w:spacing w:before="40" w:after="40"/>
              <w:rPr>
                <w:rFonts w:asciiTheme="minorHAnsi" w:hAnsiTheme="minorHAnsi" w:cstheme="minorHAnsi"/>
                <w:szCs w:val="18"/>
              </w:rPr>
            </w:pPr>
            <w:r w:rsidRPr="000D643E">
              <w:rPr>
                <w:rFonts w:asciiTheme="minorHAnsi" w:hAnsiTheme="minorHAnsi" w:cstheme="minorHAnsi"/>
                <w:szCs w:val="18"/>
              </w:rPr>
              <w:t>Total</w:t>
            </w:r>
          </w:p>
        </w:tc>
        <w:tc>
          <w:tcPr>
            <w:tcW w:w="629" w:type="dxa"/>
            <w:shd w:val="clear" w:color="auto" w:fill="auto"/>
            <w:vAlign w:val="bottom"/>
          </w:tcPr>
          <w:p w14:paraId="6A387FA4"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4,357</w:t>
            </w:r>
          </w:p>
        </w:tc>
        <w:tc>
          <w:tcPr>
            <w:tcW w:w="629" w:type="dxa"/>
            <w:shd w:val="clear" w:color="auto" w:fill="auto"/>
            <w:vAlign w:val="bottom"/>
          </w:tcPr>
          <w:p w14:paraId="1485AF84"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4,685</w:t>
            </w:r>
          </w:p>
        </w:tc>
        <w:tc>
          <w:tcPr>
            <w:tcW w:w="629" w:type="dxa"/>
            <w:shd w:val="clear" w:color="auto" w:fill="auto"/>
            <w:vAlign w:val="bottom"/>
          </w:tcPr>
          <w:p w14:paraId="67AB14DF"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4,905</w:t>
            </w:r>
          </w:p>
        </w:tc>
        <w:tc>
          <w:tcPr>
            <w:tcW w:w="629" w:type="dxa"/>
            <w:shd w:val="clear" w:color="auto" w:fill="auto"/>
            <w:vAlign w:val="bottom"/>
          </w:tcPr>
          <w:p w14:paraId="294C9883"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4,848</w:t>
            </w:r>
          </w:p>
        </w:tc>
        <w:tc>
          <w:tcPr>
            <w:tcW w:w="629" w:type="dxa"/>
            <w:shd w:val="clear" w:color="auto" w:fill="auto"/>
            <w:vAlign w:val="bottom"/>
          </w:tcPr>
          <w:p w14:paraId="7A83A9D6"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4,760</w:t>
            </w:r>
          </w:p>
        </w:tc>
        <w:tc>
          <w:tcPr>
            <w:tcW w:w="629" w:type="dxa"/>
            <w:shd w:val="clear" w:color="auto" w:fill="auto"/>
            <w:vAlign w:val="bottom"/>
          </w:tcPr>
          <w:p w14:paraId="28176530"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4,530</w:t>
            </w:r>
          </w:p>
        </w:tc>
        <w:tc>
          <w:tcPr>
            <w:tcW w:w="629" w:type="dxa"/>
            <w:shd w:val="clear" w:color="auto" w:fill="auto"/>
            <w:vAlign w:val="bottom"/>
          </w:tcPr>
          <w:p w14:paraId="2491B263"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4,254</w:t>
            </w:r>
          </w:p>
        </w:tc>
        <w:tc>
          <w:tcPr>
            <w:tcW w:w="629" w:type="dxa"/>
            <w:shd w:val="clear" w:color="auto" w:fill="D2DDE1" w:themeFill="background2"/>
            <w:vAlign w:val="bottom"/>
          </w:tcPr>
          <w:p w14:paraId="0475528A"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4,138</w:t>
            </w:r>
          </w:p>
        </w:tc>
        <w:tc>
          <w:tcPr>
            <w:tcW w:w="629" w:type="dxa"/>
            <w:shd w:val="clear" w:color="auto" w:fill="D2DDE1" w:themeFill="background2"/>
            <w:vAlign w:val="bottom"/>
          </w:tcPr>
          <w:p w14:paraId="23EC320E"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4,112</w:t>
            </w:r>
          </w:p>
        </w:tc>
        <w:tc>
          <w:tcPr>
            <w:tcW w:w="629" w:type="dxa"/>
            <w:shd w:val="clear" w:color="auto" w:fill="D2DDE1" w:themeFill="background2"/>
            <w:vAlign w:val="bottom"/>
          </w:tcPr>
          <w:p w14:paraId="37490639"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4,110</w:t>
            </w:r>
          </w:p>
        </w:tc>
        <w:tc>
          <w:tcPr>
            <w:tcW w:w="629" w:type="dxa"/>
            <w:shd w:val="clear" w:color="auto" w:fill="D2DDE1" w:themeFill="background2"/>
            <w:vAlign w:val="bottom"/>
          </w:tcPr>
          <w:p w14:paraId="078088F6"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4,116</w:t>
            </w:r>
          </w:p>
        </w:tc>
        <w:tc>
          <w:tcPr>
            <w:tcW w:w="629" w:type="dxa"/>
            <w:shd w:val="clear" w:color="auto" w:fill="D2DDE1" w:themeFill="background2"/>
            <w:vAlign w:val="bottom"/>
          </w:tcPr>
          <w:p w14:paraId="6912E715"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4,130</w:t>
            </w:r>
          </w:p>
        </w:tc>
        <w:tc>
          <w:tcPr>
            <w:tcW w:w="629" w:type="dxa"/>
            <w:shd w:val="clear" w:color="auto" w:fill="D2DDE1" w:themeFill="background2"/>
            <w:vAlign w:val="bottom"/>
          </w:tcPr>
          <w:p w14:paraId="153806CB"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szCs w:val="18"/>
              </w:rPr>
              <w:t>4,146</w:t>
            </w:r>
          </w:p>
        </w:tc>
      </w:tr>
    </w:tbl>
    <w:p w14:paraId="625697C3" w14:textId="77777777" w:rsidR="00F51113" w:rsidRPr="004C2DCD" w:rsidRDefault="00F51113" w:rsidP="00F51113">
      <w:pPr>
        <w:pStyle w:val="Note"/>
      </w:pPr>
      <w:r w:rsidRPr="004C2DCD">
        <w:rPr>
          <w:b/>
          <w:bCs/>
        </w:rPr>
        <w:t>Note:</w:t>
      </w:r>
      <w:r w:rsidRPr="004C2DCD">
        <w:t xml:space="preserve"> CH</w:t>
      </w:r>
      <w:r w:rsidRPr="004C2DCD">
        <w:rPr>
          <w:vertAlign w:val="subscript"/>
        </w:rPr>
        <w:t>4</w:t>
      </w:r>
      <w:r w:rsidRPr="004C2DCD">
        <w:t xml:space="preserve"> = methane; CO</w:t>
      </w:r>
      <w:r w:rsidRPr="004C2DCD">
        <w:rPr>
          <w:vertAlign w:val="subscript"/>
        </w:rPr>
        <w:t>2</w:t>
      </w:r>
      <w:r w:rsidRPr="004C2DCD">
        <w:t xml:space="preserve"> = carbon dioxide; N</w:t>
      </w:r>
      <w:r w:rsidRPr="004C2DCD">
        <w:rPr>
          <w:vertAlign w:val="subscript"/>
        </w:rPr>
        <w:t>2</w:t>
      </w:r>
      <w:r w:rsidRPr="004C2DCD">
        <w:t>O =</w:t>
      </w:r>
      <w:r w:rsidRPr="004C2DCD">
        <w:rPr>
          <w:rFonts w:eastAsia="Calibri" w:cs="Calibri"/>
          <w:sz w:val="20"/>
          <w:szCs w:val="20"/>
        </w:rPr>
        <w:t xml:space="preserve"> </w:t>
      </w:r>
      <w:r w:rsidRPr="004C2DCD">
        <w:rPr>
          <w:rStyle w:val="NoteChar"/>
        </w:rPr>
        <w:t>nitrous oxide.</w:t>
      </w:r>
    </w:p>
    <w:p w14:paraId="2F08FC97" w14:textId="752355A3" w:rsidR="00F51113" w:rsidRPr="004C2DCD" w:rsidRDefault="006D759F" w:rsidP="00F51113">
      <w:pPr>
        <w:pStyle w:val="Heading4"/>
      </w:pPr>
      <w:r>
        <w:t>2.5.7.2.6</w:t>
      </w:r>
      <w:r>
        <w:tab/>
      </w:r>
      <w:r w:rsidR="00F51113" w:rsidRPr="004C2DCD">
        <w:t>Tokelau</w:t>
      </w:r>
    </w:p>
    <w:p w14:paraId="06CF0427" w14:textId="35626368" w:rsidR="00F51113" w:rsidRPr="004C2DCD" w:rsidRDefault="00F51113" w:rsidP="00F51113">
      <w:pPr>
        <w:pStyle w:val="BodyText"/>
      </w:pPr>
      <w:r w:rsidRPr="004C2DCD">
        <w:t>Emissions from Tokelau under the WOM scenario are projected to increase to 4.78 kt CO</w:t>
      </w:r>
      <w:r w:rsidRPr="004C2DCD">
        <w:rPr>
          <w:vertAlign w:val="subscript"/>
        </w:rPr>
        <w:t>2</w:t>
      </w:r>
      <w:r w:rsidRPr="004C2DCD">
        <w:t>e by 2030 (41.8 per cent above 1990 levels and 2.1 per cent above 2022 levels) and to 4.10 kt CO</w:t>
      </w:r>
      <w:r w:rsidRPr="004C2DCD">
        <w:rPr>
          <w:vertAlign w:val="subscript"/>
        </w:rPr>
        <w:t>2</w:t>
      </w:r>
      <w:r w:rsidRPr="004C2DCD">
        <w:t xml:space="preserve">e by 2050 (21.6 per cent above 1990 levels and 12.5 per cent below 2022 levels). </w:t>
      </w:r>
      <w:hyperlink w:anchor="figure2528" w:history="1">
        <w:r w:rsidRPr="00DA0354">
          <w:rPr>
            <w:rStyle w:val="Hyperlink"/>
          </w:rPr>
          <w:t>Figure 2.5.28</w:t>
        </w:r>
      </w:hyperlink>
      <w:r w:rsidRPr="004C2DCD">
        <w:t xml:space="preserve"> presents historical GHG emissions from 1990 to 2022 and projected WOM GHG emissions out to 2050 for Tokelau. </w:t>
      </w:r>
      <w:hyperlink w:anchor="table2530" w:history="1">
        <w:r w:rsidRPr="00DA0354">
          <w:rPr>
            <w:rStyle w:val="Hyperlink"/>
          </w:rPr>
          <w:t>Table 2.5.30</w:t>
        </w:r>
      </w:hyperlink>
      <w:r w:rsidRPr="004C2DCD">
        <w:t xml:space="preserve"> presents the WOM scenario by gas in five-yearly increments.</w:t>
      </w:r>
    </w:p>
    <w:p w14:paraId="4EDEF0BB" w14:textId="77777777" w:rsidR="00F51113" w:rsidRPr="004C2DCD" w:rsidRDefault="00F51113" w:rsidP="00A24A1B">
      <w:pPr>
        <w:pStyle w:val="Figureheading"/>
        <w:ind w:left="1276" w:hanging="1276"/>
      </w:pPr>
      <w:bookmarkStart w:id="695" w:name="figure2528"/>
      <w:bookmarkStart w:id="696" w:name="_Toc185347272"/>
      <w:r w:rsidRPr="004C2DCD">
        <w:t>Figure 2.5.28</w:t>
      </w:r>
      <w:bookmarkEnd w:id="695"/>
      <w:r w:rsidRPr="004C2DCD">
        <w:t xml:space="preserve">: </w:t>
      </w:r>
      <w:r w:rsidRPr="004C2DCD">
        <w:tab/>
        <w:t>Tokelau’s greenhouse gas emissions for the ‘without measures’ scenario, 1990–2050</w:t>
      </w:r>
      <w:bookmarkEnd w:id="696"/>
      <w:r w:rsidRPr="004C2DCD">
        <w:t xml:space="preserve"> </w:t>
      </w:r>
    </w:p>
    <w:p w14:paraId="59C62859" w14:textId="5789D2F2" w:rsidR="00F51113" w:rsidRPr="004C2DCD" w:rsidRDefault="00BD0414" w:rsidP="00F51113">
      <w:pPr>
        <w:spacing w:before="60" w:after="60"/>
      </w:pPr>
      <w:r>
        <w:rPr>
          <w:noProof/>
        </w:rPr>
        <w:drawing>
          <wp:inline distT="0" distB="0" distL="0" distR="0" wp14:anchorId="5BD4864E" wp14:editId="5181FA4E">
            <wp:extent cx="5040000" cy="2774460"/>
            <wp:effectExtent l="0" t="0" r="8255" b="6985"/>
            <wp:docPr id="1052106029" name="Picture 53" descr="A line graph showing greenhouse gas emissions in kilotonnes carbon dioxide equivalent for the ‘without measures’ scenario in Tokelau for the period 1990 to 2050. It compares historical emissions with projected emissions without mea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106029" name="Picture 53" descr="A line graph showing greenhouse gas emissions in kilotonnes carbon dioxide equivalent for the ‘without measures’ scenario in Tokelau for the period 1990 to 2050. It compares historical emissions with projected emissions without measures."/>
                    <pic:cNvPicPr>
                      <a:picLocks noChangeAspect="1" noChangeArrowheads="1"/>
                    </pic:cNvPicPr>
                  </pic:nvPicPr>
                  <pic:blipFill rotWithShape="1">
                    <a:blip r:embed="rId124">
                      <a:extLst>
                        <a:ext uri="{28A0092B-C50C-407E-A947-70E740481C1C}">
                          <a14:useLocalDpi xmlns:a14="http://schemas.microsoft.com/office/drawing/2010/main" val="0"/>
                        </a:ext>
                      </a:extLst>
                    </a:blip>
                    <a:srcRect l="3187"/>
                    <a:stretch/>
                  </pic:blipFill>
                  <pic:spPr bwMode="auto">
                    <a:xfrm>
                      <a:off x="0" y="0"/>
                      <a:ext cx="5040000" cy="2774460"/>
                    </a:xfrm>
                    <a:prstGeom prst="rect">
                      <a:avLst/>
                    </a:prstGeom>
                    <a:noFill/>
                    <a:ln>
                      <a:noFill/>
                    </a:ln>
                    <a:extLst>
                      <a:ext uri="{53640926-AAD7-44D8-BBD7-CCE9431645EC}">
                        <a14:shadowObscured xmlns:a14="http://schemas.microsoft.com/office/drawing/2010/main"/>
                      </a:ext>
                    </a:extLst>
                  </pic:spPr>
                </pic:pic>
              </a:graphicData>
            </a:graphic>
          </wp:inline>
        </w:drawing>
      </w:r>
    </w:p>
    <w:p w14:paraId="2206C62F" w14:textId="77777777" w:rsidR="00F51113" w:rsidRPr="004C2DCD" w:rsidRDefault="00F51113" w:rsidP="00F51113">
      <w:pPr>
        <w:pStyle w:val="Note"/>
        <w:spacing w:after="240"/>
      </w:pPr>
      <w:r w:rsidRPr="004C2DCD">
        <w:rPr>
          <w:b/>
          <w:bCs/>
        </w:rPr>
        <w:t>Note:</w:t>
      </w:r>
      <w:r w:rsidRPr="004C2DCD">
        <w:t xml:space="preserve"> Kt CO</w:t>
      </w:r>
      <w:r w:rsidRPr="004C2DCD">
        <w:rPr>
          <w:vertAlign w:val="subscript"/>
        </w:rPr>
        <w:t>2</w:t>
      </w:r>
      <w:r w:rsidRPr="004C2DCD">
        <w:t>e =</w:t>
      </w:r>
      <w:r w:rsidRPr="004C2DCD">
        <w:rPr>
          <w:b/>
          <w:bCs/>
        </w:rPr>
        <w:t xml:space="preserve"> </w:t>
      </w:r>
      <w:r w:rsidRPr="004C2DCD">
        <w:t>kilotonnes of carbon dioxide equivalent.</w:t>
      </w:r>
    </w:p>
    <w:p w14:paraId="78EDC978" w14:textId="77777777" w:rsidR="00F51113" w:rsidRPr="004C2DCD" w:rsidRDefault="00F51113" w:rsidP="00F51113">
      <w:pPr>
        <w:pStyle w:val="Tableheading"/>
        <w:ind w:left="1276" w:hanging="1276"/>
      </w:pPr>
      <w:bookmarkStart w:id="697" w:name="table2530"/>
      <w:bookmarkStart w:id="698" w:name="_Toc183789731"/>
      <w:bookmarkStart w:id="699" w:name="_Toc185407495"/>
      <w:bookmarkStart w:id="700" w:name="_Toc185427758"/>
      <w:r w:rsidRPr="004C2DCD">
        <w:t>Table 2.5.30</w:t>
      </w:r>
      <w:bookmarkEnd w:id="697"/>
      <w:r w:rsidRPr="004C2DCD">
        <w:t xml:space="preserve">: </w:t>
      </w:r>
      <w:r w:rsidRPr="004C2DCD">
        <w:tab/>
        <w:t>Tokelau’s historical and projected emissions by gas under the ‘without measures’ scenario, 1990–2050 (kt CO</w:t>
      </w:r>
      <w:r w:rsidRPr="004C2DCD">
        <w:rPr>
          <w:vertAlign w:val="subscript"/>
        </w:rPr>
        <w:t>2</w:t>
      </w:r>
      <w:r w:rsidRPr="004C2DCD">
        <w:t>e)</w:t>
      </w:r>
      <w:bookmarkEnd w:id="698"/>
      <w:bookmarkEnd w:id="699"/>
      <w:bookmarkEnd w:id="700"/>
    </w:p>
    <w:tbl>
      <w:tblPr>
        <w:tblW w:w="8806"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ook w:val="04A0" w:firstRow="1" w:lastRow="0" w:firstColumn="1" w:lastColumn="0" w:noHBand="0" w:noVBand="1"/>
      </w:tblPr>
      <w:tblGrid>
        <w:gridCol w:w="629"/>
        <w:gridCol w:w="629"/>
        <w:gridCol w:w="629"/>
        <w:gridCol w:w="629"/>
        <w:gridCol w:w="629"/>
        <w:gridCol w:w="629"/>
        <w:gridCol w:w="629"/>
        <w:gridCol w:w="629"/>
        <w:gridCol w:w="629"/>
        <w:gridCol w:w="629"/>
        <w:gridCol w:w="629"/>
        <w:gridCol w:w="629"/>
        <w:gridCol w:w="629"/>
        <w:gridCol w:w="629"/>
      </w:tblGrid>
      <w:tr w:rsidR="00F51113" w:rsidRPr="000D643E" w14:paraId="096FA53F" w14:textId="77777777">
        <w:trPr>
          <w:trHeight w:val="300"/>
        </w:trPr>
        <w:tc>
          <w:tcPr>
            <w:tcW w:w="629" w:type="dxa"/>
            <w:shd w:val="clear" w:color="auto" w:fill="1B556B" w:themeFill="text2"/>
            <w:vAlign w:val="center"/>
            <w:hideMark/>
          </w:tcPr>
          <w:p w14:paraId="5556FCF9" w14:textId="77777777" w:rsidR="00F51113" w:rsidRPr="000D643E" w:rsidRDefault="00F51113">
            <w:pPr>
              <w:pStyle w:val="TableText"/>
              <w:spacing w:after="0"/>
              <w:jc w:val="center"/>
              <w:rPr>
                <w:rFonts w:asciiTheme="minorHAnsi" w:hAnsiTheme="minorHAnsi" w:cstheme="minorHAnsi"/>
                <w:color w:val="FFFFFF" w:themeColor="background1"/>
                <w:szCs w:val="18"/>
              </w:rPr>
            </w:pPr>
          </w:p>
        </w:tc>
        <w:tc>
          <w:tcPr>
            <w:tcW w:w="3774" w:type="dxa"/>
            <w:gridSpan w:val="6"/>
            <w:shd w:val="clear" w:color="auto" w:fill="1B556B" w:themeFill="text2"/>
            <w:vAlign w:val="center"/>
            <w:hideMark/>
          </w:tcPr>
          <w:p w14:paraId="0533CA61" w14:textId="77777777" w:rsidR="00F51113" w:rsidRPr="000D643E" w:rsidRDefault="00F51113">
            <w:pPr>
              <w:pStyle w:val="TableText"/>
              <w:spacing w:after="0"/>
              <w:jc w:val="center"/>
              <w:rPr>
                <w:rFonts w:asciiTheme="minorHAnsi" w:hAnsiTheme="minorHAnsi" w:cstheme="minorHAnsi"/>
                <w:b/>
                <w:bCs/>
                <w:color w:val="FFFFFF" w:themeColor="background1"/>
                <w:szCs w:val="18"/>
              </w:rPr>
            </w:pPr>
            <w:r w:rsidRPr="000D643E">
              <w:rPr>
                <w:rFonts w:asciiTheme="minorHAnsi" w:hAnsiTheme="minorHAnsi" w:cstheme="minorHAnsi"/>
                <w:b/>
                <w:bCs/>
                <w:color w:val="FFFFFF" w:themeColor="background1"/>
                <w:szCs w:val="18"/>
              </w:rPr>
              <w:t>Historical</w:t>
            </w:r>
          </w:p>
        </w:tc>
        <w:tc>
          <w:tcPr>
            <w:tcW w:w="4403" w:type="dxa"/>
            <w:gridSpan w:val="7"/>
            <w:shd w:val="clear" w:color="auto" w:fill="1B556B" w:themeFill="text2"/>
            <w:vAlign w:val="center"/>
            <w:hideMark/>
          </w:tcPr>
          <w:p w14:paraId="2EE7B0A0" w14:textId="77777777" w:rsidR="00F51113" w:rsidRPr="000D643E" w:rsidRDefault="00F51113">
            <w:pPr>
              <w:pStyle w:val="TableText"/>
              <w:spacing w:after="0"/>
              <w:jc w:val="center"/>
              <w:rPr>
                <w:rFonts w:asciiTheme="minorHAnsi" w:hAnsiTheme="minorHAnsi" w:cstheme="minorHAnsi"/>
                <w:b/>
                <w:bCs/>
                <w:color w:val="FFFFFF" w:themeColor="background1"/>
                <w:szCs w:val="18"/>
              </w:rPr>
            </w:pPr>
            <w:r w:rsidRPr="000D643E">
              <w:rPr>
                <w:rFonts w:asciiTheme="minorHAnsi" w:hAnsiTheme="minorHAnsi" w:cstheme="minorHAnsi"/>
                <w:b/>
                <w:bCs/>
                <w:color w:val="FFFFFF" w:themeColor="background1"/>
                <w:szCs w:val="18"/>
              </w:rPr>
              <w:t>Projected</w:t>
            </w:r>
          </w:p>
        </w:tc>
      </w:tr>
      <w:tr w:rsidR="00F51113" w:rsidRPr="000D643E" w14:paraId="53338CDF" w14:textId="77777777">
        <w:trPr>
          <w:trHeight w:val="315"/>
        </w:trPr>
        <w:tc>
          <w:tcPr>
            <w:tcW w:w="629" w:type="dxa"/>
            <w:shd w:val="clear" w:color="auto" w:fill="1B556B" w:themeFill="text2"/>
            <w:vAlign w:val="center"/>
            <w:hideMark/>
          </w:tcPr>
          <w:p w14:paraId="1B23216E" w14:textId="77777777" w:rsidR="00F51113" w:rsidRPr="000D643E" w:rsidRDefault="00F51113">
            <w:pPr>
              <w:pStyle w:val="TableText"/>
              <w:spacing w:before="0"/>
              <w:rPr>
                <w:rFonts w:asciiTheme="minorHAnsi" w:hAnsiTheme="minorHAnsi" w:cstheme="minorHAnsi"/>
                <w:b/>
                <w:bCs/>
                <w:color w:val="FFFFFF" w:themeColor="background1"/>
                <w:szCs w:val="18"/>
              </w:rPr>
            </w:pPr>
            <w:r w:rsidRPr="000D643E">
              <w:rPr>
                <w:rFonts w:asciiTheme="minorHAnsi" w:hAnsiTheme="minorHAnsi" w:cstheme="minorHAnsi"/>
                <w:b/>
                <w:bCs/>
                <w:color w:val="FFFFFF" w:themeColor="background1"/>
                <w:szCs w:val="18"/>
              </w:rPr>
              <w:t>Gas</w:t>
            </w:r>
          </w:p>
        </w:tc>
        <w:tc>
          <w:tcPr>
            <w:tcW w:w="629" w:type="dxa"/>
            <w:shd w:val="clear" w:color="auto" w:fill="1B556B" w:themeFill="text2"/>
            <w:vAlign w:val="center"/>
            <w:hideMark/>
          </w:tcPr>
          <w:p w14:paraId="2DC62DA3" w14:textId="77777777" w:rsidR="00F51113" w:rsidRPr="000D643E" w:rsidRDefault="00F51113">
            <w:pPr>
              <w:pStyle w:val="TableText"/>
              <w:spacing w:before="0"/>
              <w:jc w:val="center"/>
              <w:rPr>
                <w:rFonts w:asciiTheme="minorHAnsi" w:hAnsiTheme="minorHAnsi" w:cstheme="minorHAnsi"/>
                <w:b/>
                <w:bCs/>
                <w:color w:val="FFFFFF" w:themeColor="background1"/>
                <w:szCs w:val="18"/>
              </w:rPr>
            </w:pPr>
            <w:r w:rsidRPr="000D643E">
              <w:rPr>
                <w:rFonts w:asciiTheme="minorHAnsi" w:hAnsiTheme="minorHAnsi" w:cstheme="minorHAnsi"/>
                <w:b/>
                <w:bCs/>
                <w:color w:val="FFFFFF" w:themeColor="background1"/>
                <w:szCs w:val="18"/>
              </w:rPr>
              <w:t>1990</w:t>
            </w:r>
          </w:p>
        </w:tc>
        <w:tc>
          <w:tcPr>
            <w:tcW w:w="629" w:type="dxa"/>
            <w:shd w:val="clear" w:color="auto" w:fill="1B556B" w:themeFill="text2"/>
            <w:vAlign w:val="center"/>
            <w:hideMark/>
          </w:tcPr>
          <w:p w14:paraId="26D1944B" w14:textId="77777777" w:rsidR="00F51113" w:rsidRPr="000D643E" w:rsidRDefault="00F51113">
            <w:pPr>
              <w:pStyle w:val="TableText"/>
              <w:spacing w:before="0"/>
              <w:jc w:val="center"/>
              <w:rPr>
                <w:rFonts w:asciiTheme="minorHAnsi" w:hAnsiTheme="minorHAnsi" w:cstheme="minorHAnsi"/>
                <w:b/>
                <w:bCs/>
                <w:color w:val="FFFFFF" w:themeColor="background1"/>
                <w:szCs w:val="18"/>
              </w:rPr>
            </w:pPr>
            <w:r w:rsidRPr="000D643E">
              <w:rPr>
                <w:rFonts w:asciiTheme="minorHAnsi" w:hAnsiTheme="minorHAnsi" w:cstheme="minorHAnsi"/>
                <w:b/>
                <w:bCs/>
                <w:color w:val="FFFFFF" w:themeColor="background1"/>
                <w:szCs w:val="18"/>
              </w:rPr>
              <w:t>1995</w:t>
            </w:r>
          </w:p>
        </w:tc>
        <w:tc>
          <w:tcPr>
            <w:tcW w:w="629" w:type="dxa"/>
            <w:shd w:val="clear" w:color="auto" w:fill="1B556B" w:themeFill="text2"/>
            <w:vAlign w:val="center"/>
            <w:hideMark/>
          </w:tcPr>
          <w:p w14:paraId="5132BF10" w14:textId="77777777" w:rsidR="00F51113" w:rsidRPr="000D643E" w:rsidRDefault="00F51113">
            <w:pPr>
              <w:pStyle w:val="TableText"/>
              <w:spacing w:before="0"/>
              <w:jc w:val="center"/>
              <w:rPr>
                <w:rFonts w:asciiTheme="minorHAnsi" w:hAnsiTheme="minorHAnsi" w:cstheme="minorHAnsi"/>
                <w:b/>
                <w:bCs/>
                <w:color w:val="FFFFFF" w:themeColor="background1"/>
                <w:szCs w:val="18"/>
              </w:rPr>
            </w:pPr>
            <w:r w:rsidRPr="000D643E">
              <w:rPr>
                <w:rFonts w:asciiTheme="minorHAnsi" w:hAnsiTheme="minorHAnsi" w:cstheme="minorHAnsi"/>
                <w:b/>
                <w:bCs/>
                <w:color w:val="FFFFFF" w:themeColor="background1"/>
                <w:szCs w:val="18"/>
              </w:rPr>
              <w:t>2000</w:t>
            </w:r>
          </w:p>
        </w:tc>
        <w:tc>
          <w:tcPr>
            <w:tcW w:w="629" w:type="dxa"/>
            <w:shd w:val="clear" w:color="auto" w:fill="1B556B" w:themeFill="text2"/>
            <w:vAlign w:val="center"/>
            <w:hideMark/>
          </w:tcPr>
          <w:p w14:paraId="22D89D09" w14:textId="77777777" w:rsidR="00F51113" w:rsidRPr="000D643E" w:rsidRDefault="00F51113">
            <w:pPr>
              <w:pStyle w:val="TableText"/>
              <w:spacing w:before="0"/>
              <w:jc w:val="center"/>
              <w:rPr>
                <w:rFonts w:asciiTheme="minorHAnsi" w:hAnsiTheme="minorHAnsi" w:cstheme="minorHAnsi"/>
                <w:b/>
                <w:bCs/>
                <w:color w:val="FFFFFF" w:themeColor="background1"/>
                <w:szCs w:val="18"/>
              </w:rPr>
            </w:pPr>
            <w:r w:rsidRPr="000D643E">
              <w:rPr>
                <w:rFonts w:asciiTheme="minorHAnsi" w:hAnsiTheme="minorHAnsi" w:cstheme="minorHAnsi"/>
                <w:b/>
                <w:bCs/>
                <w:color w:val="FFFFFF" w:themeColor="background1"/>
                <w:szCs w:val="18"/>
              </w:rPr>
              <w:t>2005</w:t>
            </w:r>
          </w:p>
        </w:tc>
        <w:tc>
          <w:tcPr>
            <w:tcW w:w="629" w:type="dxa"/>
            <w:shd w:val="clear" w:color="auto" w:fill="1B556B" w:themeFill="text2"/>
            <w:vAlign w:val="center"/>
            <w:hideMark/>
          </w:tcPr>
          <w:p w14:paraId="6B0D1C09" w14:textId="77777777" w:rsidR="00F51113" w:rsidRPr="000D643E" w:rsidRDefault="00F51113">
            <w:pPr>
              <w:pStyle w:val="TableText"/>
              <w:spacing w:before="0"/>
              <w:jc w:val="center"/>
              <w:rPr>
                <w:rFonts w:asciiTheme="minorHAnsi" w:hAnsiTheme="minorHAnsi" w:cstheme="minorHAnsi"/>
                <w:b/>
                <w:bCs/>
                <w:color w:val="FFFFFF" w:themeColor="background1"/>
                <w:szCs w:val="18"/>
              </w:rPr>
            </w:pPr>
            <w:r w:rsidRPr="000D643E">
              <w:rPr>
                <w:rFonts w:asciiTheme="minorHAnsi" w:hAnsiTheme="minorHAnsi" w:cstheme="minorHAnsi"/>
                <w:b/>
                <w:bCs/>
                <w:color w:val="FFFFFF" w:themeColor="background1"/>
                <w:szCs w:val="18"/>
              </w:rPr>
              <w:t>2010</w:t>
            </w:r>
          </w:p>
        </w:tc>
        <w:tc>
          <w:tcPr>
            <w:tcW w:w="629" w:type="dxa"/>
            <w:shd w:val="clear" w:color="auto" w:fill="1B556B" w:themeFill="text2"/>
            <w:vAlign w:val="center"/>
            <w:hideMark/>
          </w:tcPr>
          <w:p w14:paraId="70F98731" w14:textId="77777777" w:rsidR="00F51113" w:rsidRPr="000D643E" w:rsidRDefault="00F51113">
            <w:pPr>
              <w:pStyle w:val="TableText"/>
              <w:spacing w:before="0"/>
              <w:jc w:val="center"/>
              <w:rPr>
                <w:rFonts w:asciiTheme="minorHAnsi" w:hAnsiTheme="minorHAnsi" w:cstheme="minorHAnsi"/>
                <w:b/>
                <w:bCs/>
                <w:color w:val="FFFFFF" w:themeColor="background1"/>
                <w:szCs w:val="18"/>
              </w:rPr>
            </w:pPr>
            <w:r w:rsidRPr="000D643E">
              <w:rPr>
                <w:rFonts w:asciiTheme="minorHAnsi" w:hAnsiTheme="minorHAnsi" w:cstheme="minorHAnsi"/>
                <w:b/>
                <w:bCs/>
                <w:color w:val="FFFFFF" w:themeColor="background1"/>
                <w:szCs w:val="18"/>
              </w:rPr>
              <w:t>2015</w:t>
            </w:r>
          </w:p>
        </w:tc>
        <w:tc>
          <w:tcPr>
            <w:tcW w:w="629" w:type="dxa"/>
            <w:shd w:val="clear" w:color="auto" w:fill="1B556B" w:themeFill="text2"/>
            <w:vAlign w:val="center"/>
            <w:hideMark/>
          </w:tcPr>
          <w:p w14:paraId="2FC461CE" w14:textId="77777777" w:rsidR="00F51113" w:rsidRPr="000D643E" w:rsidRDefault="00F51113">
            <w:pPr>
              <w:pStyle w:val="TableText"/>
              <w:spacing w:before="0"/>
              <w:jc w:val="center"/>
              <w:rPr>
                <w:rFonts w:asciiTheme="minorHAnsi" w:hAnsiTheme="minorHAnsi" w:cstheme="minorHAnsi"/>
                <w:b/>
                <w:bCs/>
                <w:color w:val="FFFFFF" w:themeColor="background1"/>
                <w:szCs w:val="18"/>
              </w:rPr>
            </w:pPr>
            <w:r w:rsidRPr="000D643E">
              <w:rPr>
                <w:rFonts w:asciiTheme="minorHAnsi" w:hAnsiTheme="minorHAnsi" w:cstheme="minorHAnsi"/>
                <w:b/>
                <w:bCs/>
                <w:color w:val="FFFFFF" w:themeColor="background1"/>
                <w:szCs w:val="18"/>
              </w:rPr>
              <w:t>2020</w:t>
            </w:r>
          </w:p>
        </w:tc>
        <w:tc>
          <w:tcPr>
            <w:tcW w:w="629" w:type="dxa"/>
            <w:shd w:val="clear" w:color="auto" w:fill="1B556B" w:themeFill="text2"/>
            <w:vAlign w:val="center"/>
            <w:hideMark/>
          </w:tcPr>
          <w:p w14:paraId="1BE8F12F" w14:textId="77777777" w:rsidR="00F51113" w:rsidRPr="000D643E" w:rsidRDefault="00F51113">
            <w:pPr>
              <w:pStyle w:val="TableText"/>
              <w:spacing w:before="0"/>
              <w:jc w:val="center"/>
              <w:rPr>
                <w:rFonts w:asciiTheme="minorHAnsi" w:hAnsiTheme="minorHAnsi" w:cstheme="minorHAnsi"/>
                <w:b/>
                <w:bCs/>
                <w:color w:val="FFFFFF" w:themeColor="background1"/>
                <w:szCs w:val="18"/>
              </w:rPr>
            </w:pPr>
            <w:r w:rsidRPr="000D643E">
              <w:rPr>
                <w:rFonts w:asciiTheme="minorHAnsi" w:hAnsiTheme="minorHAnsi" w:cstheme="minorHAnsi"/>
                <w:b/>
                <w:bCs/>
                <w:color w:val="FFFFFF" w:themeColor="background1"/>
                <w:szCs w:val="18"/>
              </w:rPr>
              <w:t>2025</w:t>
            </w:r>
          </w:p>
        </w:tc>
        <w:tc>
          <w:tcPr>
            <w:tcW w:w="629" w:type="dxa"/>
            <w:shd w:val="clear" w:color="auto" w:fill="1B556B" w:themeFill="text2"/>
            <w:vAlign w:val="center"/>
            <w:hideMark/>
          </w:tcPr>
          <w:p w14:paraId="52794747" w14:textId="77777777" w:rsidR="00F51113" w:rsidRPr="000D643E" w:rsidRDefault="00F51113">
            <w:pPr>
              <w:pStyle w:val="TableText"/>
              <w:spacing w:before="0"/>
              <w:jc w:val="center"/>
              <w:rPr>
                <w:rFonts w:asciiTheme="minorHAnsi" w:hAnsiTheme="minorHAnsi" w:cstheme="minorHAnsi"/>
                <w:b/>
                <w:bCs/>
                <w:color w:val="FFFFFF" w:themeColor="background1"/>
                <w:szCs w:val="18"/>
              </w:rPr>
            </w:pPr>
            <w:r w:rsidRPr="000D643E">
              <w:rPr>
                <w:rFonts w:asciiTheme="minorHAnsi" w:hAnsiTheme="minorHAnsi" w:cstheme="minorHAnsi"/>
                <w:b/>
                <w:bCs/>
                <w:color w:val="FFFFFF" w:themeColor="background1"/>
                <w:szCs w:val="18"/>
              </w:rPr>
              <w:t>2030</w:t>
            </w:r>
          </w:p>
        </w:tc>
        <w:tc>
          <w:tcPr>
            <w:tcW w:w="629" w:type="dxa"/>
            <w:shd w:val="clear" w:color="auto" w:fill="1B556B" w:themeFill="text2"/>
            <w:vAlign w:val="center"/>
            <w:hideMark/>
          </w:tcPr>
          <w:p w14:paraId="11B05945" w14:textId="77777777" w:rsidR="00F51113" w:rsidRPr="000D643E" w:rsidRDefault="00F51113">
            <w:pPr>
              <w:pStyle w:val="TableText"/>
              <w:spacing w:before="0"/>
              <w:jc w:val="center"/>
              <w:rPr>
                <w:rFonts w:asciiTheme="minorHAnsi" w:hAnsiTheme="minorHAnsi" w:cstheme="minorHAnsi"/>
                <w:b/>
                <w:bCs/>
                <w:color w:val="FFFFFF" w:themeColor="background1"/>
                <w:szCs w:val="18"/>
              </w:rPr>
            </w:pPr>
            <w:r w:rsidRPr="000D643E">
              <w:rPr>
                <w:rFonts w:asciiTheme="minorHAnsi" w:hAnsiTheme="minorHAnsi" w:cstheme="minorHAnsi"/>
                <w:b/>
                <w:bCs/>
                <w:color w:val="FFFFFF" w:themeColor="background1"/>
                <w:szCs w:val="18"/>
              </w:rPr>
              <w:t>2035</w:t>
            </w:r>
          </w:p>
        </w:tc>
        <w:tc>
          <w:tcPr>
            <w:tcW w:w="629" w:type="dxa"/>
            <w:shd w:val="clear" w:color="auto" w:fill="1B556B" w:themeFill="text2"/>
            <w:vAlign w:val="center"/>
            <w:hideMark/>
          </w:tcPr>
          <w:p w14:paraId="355D63D0" w14:textId="77777777" w:rsidR="00F51113" w:rsidRPr="000D643E" w:rsidRDefault="00F51113">
            <w:pPr>
              <w:pStyle w:val="TableText"/>
              <w:spacing w:before="0"/>
              <w:jc w:val="center"/>
              <w:rPr>
                <w:rFonts w:asciiTheme="minorHAnsi" w:hAnsiTheme="minorHAnsi" w:cstheme="minorHAnsi"/>
                <w:b/>
                <w:bCs/>
                <w:color w:val="FFFFFF" w:themeColor="background1"/>
                <w:szCs w:val="18"/>
              </w:rPr>
            </w:pPr>
            <w:r w:rsidRPr="000D643E">
              <w:rPr>
                <w:rFonts w:asciiTheme="minorHAnsi" w:hAnsiTheme="minorHAnsi" w:cstheme="minorHAnsi"/>
                <w:b/>
                <w:bCs/>
                <w:color w:val="FFFFFF" w:themeColor="background1"/>
                <w:szCs w:val="18"/>
              </w:rPr>
              <w:t>2040</w:t>
            </w:r>
          </w:p>
        </w:tc>
        <w:tc>
          <w:tcPr>
            <w:tcW w:w="629" w:type="dxa"/>
            <w:shd w:val="clear" w:color="auto" w:fill="1B556B" w:themeFill="text2"/>
            <w:vAlign w:val="center"/>
            <w:hideMark/>
          </w:tcPr>
          <w:p w14:paraId="5ACB01CC" w14:textId="77777777" w:rsidR="00F51113" w:rsidRPr="000D643E" w:rsidRDefault="00F51113">
            <w:pPr>
              <w:pStyle w:val="TableText"/>
              <w:spacing w:before="0"/>
              <w:jc w:val="center"/>
              <w:rPr>
                <w:rFonts w:asciiTheme="minorHAnsi" w:hAnsiTheme="minorHAnsi" w:cstheme="minorHAnsi"/>
                <w:b/>
                <w:bCs/>
                <w:color w:val="FFFFFF" w:themeColor="background1"/>
                <w:szCs w:val="18"/>
              </w:rPr>
            </w:pPr>
            <w:r w:rsidRPr="000D643E">
              <w:rPr>
                <w:rFonts w:asciiTheme="minorHAnsi" w:hAnsiTheme="minorHAnsi" w:cstheme="minorHAnsi"/>
                <w:b/>
                <w:bCs/>
                <w:color w:val="FFFFFF" w:themeColor="background1"/>
                <w:szCs w:val="18"/>
              </w:rPr>
              <w:t>2045</w:t>
            </w:r>
          </w:p>
        </w:tc>
        <w:tc>
          <w:tcPr>
            <w:tcW w:w="629" w:type="dxa"/>
            <w:shd w:val="clear" w:color="auto" w:fill="1B556B" w:themeFill="text2"/>
            <w:vAlign w:val="center"/>
            <w:hideMark/>
          </w:tcPr>
          <w:p w14:paraId="3910C3C7" w14:textId="77777777" w:rsidR="00F51113" w:rsidRPr="000D643E" w:rsidRDefault="00F51113">
            <w:pPr>
              <w:pStyle w:val="TableText"/>
              <w:spacing w:before="0"/>
              <w:jc w:val="center"/>
              <w:rPr>
                <w:rFonts w:asciiTheme="minorHAnsi" w:hAnsiTheme="minorHAnsi" w:cstheme="minorHAnsi"/>
                <w:b/>
                <w:bCs/>
                <w:color w:val="FFFFFF" w:themeColor="background1"/>
                <w:szCs w:val="18"/>
              </w:rPr>
            </w:pPr>
            <w:r w:rsidRPr="000D643E">
              <w:rPr>
                <w:rFonts w:asciiTheme="minorHAnsi" w:hAnsiTheme="minorHAnsi" w:cstheme="minorHAnsi"/>
                <w:b/>
                <w:bCs/>
                <w:color w:val="FFFFFF" w:themeColor="background1"/>
                <w:szCs w:val="18"/>
              </w:rPr>
              <w:t>2050</w:t>
            </w:r>
          </w:p>
        </w:tc>
      </w:tr>
      <w:tr w:rsidR="00F51113" w:rsidRPr="000D643E" w14:paraId="6C090E15" w14:textId="77777777">
        <w:trPr>
          <w:trHeight w:val="315"/>
        </w:trPr>
        <w:tc>
          <w:tcPr>
            <w:tcW w:w="629" w:type="dxa"/>
            <w:shd w:val="clear" w:color="auto" w:fill="auto"/>
            <w:vAlign w:val="center"/>
            <w:hideMark/>
          </w:tcPr>
          <w:p w14:paraId="7BB03035" w14:textId="77777777" w:rsidR="00F51113" w:rsidRPr="000D643E" w:rsidRDefault="00F51113">
            <w:pPr>
              <w:pStyle w:val="TableText"/>
              <w:spacing w:before="40" w:after="40"/>
              <w:rPr>
                <w:rFonts w:asciiTheme="minorHAnsi" w:hAnsiTheme="minorHAnsi" w:cstheme="minorHAnsi"/>
                <w:color w:val="000000"/>
                <w:szCs w:val="18"/>
              </w:rPr>
            </w:pPr>
            <w:r w:rsidRPr="000D643E">
              <w:rPr>
                <w:rFonts w:asciiTheme="minorHAnsi" w:hAnsiTheme="minorHAnsi" w:cstheme="minorHAnsi"/>
                <w:color w:val="000000"/>
                <w:szCs w:val="18"/>
              </w:rPr>
              <w:t>CO</w:t>
            </w:r>
            <w:r w:rsidRPr="000D643E">
              <w:rPr>
                <w:rFonts w:asciiTheme="minorHAnsi" w:hAnsiTheme="minorHAnsi" w:cstheme="minorHAnsi"/>
                <w:color w:val="000000"/>
                <w:szCs w:val="18"/>
                <w:vertAlign w:val="subscript"/>
              </w:rPr>
              <w:t>2</w:t>
            </w:r>
          </w:p>
        </w:tc>
        <w:tc>
          <w:tcPr>
            <w:tcW w:w="629" w:type="dxa"/>
            <w:shd w:val="clear" w:color="auto" w:fill="auto"/>
            <w:vAlign w:val="bottom"/>
          </w:tcPr>
          <w:p w14:paraId="3136625B"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1.3</w:t>
            </w:r>
          </w:p>
        </w:tc>
        <w:tc>
          <w:tcPr>
            <w:tcW w:w="629" w:type="dxa"/>
            <w:shd w:val="clear" w:color="auto" w:fill="auto"/>
            <w:vAlign w:val="bottom"/>
          </w:tcPr>
          <w:p w14:paraId="0E6815B4"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1.4</w:t>
            </w:r>
          </w:p>
        </w:tc>
        <w:tc>
          <w:tcPr>
            <w:tcW w:w="629" w:type="dxa"/>
            <w:shd w:val="clear" w:color="auto" w:fill="auto"/>
            <w:vAlign w:val="bottom"/>
          </w:tcPr>
          <w:p w14:paraId="4A15494C"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1.5</w:t>
            </w:r>
          </w:p>
        </w:tc>
        <w:tc>
          <w:tcPr>
            <w:tcW w:w="629" w:type="dxa"/>
            <w:shd w:val="clear" w:color="auto" w:fill="auto"/>
            <w:vAlign w:val="bottom"/>
          </w:tcPr>
          <w:p w14:paraId="2DA9B736"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2.4</w:t>
            </w:r>
          </w:p>
        </w:tc>
        <w:tc>
          <w:tcPr>
            <w:tcW w:w="629" w:type="dxa"/>
            <w:shd w:val="clear" w:color="auto" w:fill="auto"/>
            <w:vAlign w:val="bottom"/>
          </w:tcPr>
          <w:p w14:paraId="62E65AD9"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2.5</w:t>
            </w:r>
          </w:p>
        </w:tc>
        <w:tc>
          <w:tcPr>
            <w:tcW w:w="629" w:type="dxa"/>
            <w:shd w:val="clear" w:color="auto" w:fill="auto"/>
            <w:vAlign w:val="bottom"/>
          </w:tcPr>
          <w:p w14:paraId="3A381491"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1.6</w:t>
            </w:r>
          </w:p>
        </w:tc>
        <w:tc>
          <w:tcPr>
            <w:tcW w:w="629" w:type="dxa"/>
            <w:shd w:val="clear" w:color="auto" w:fill="auto"/>
            <w:vAlign w:val="bottom"/>
          </w:tcPr>
          <w:p w14:paraId="1479E16F"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2.4</w:t>
            </w:r>
          </w:p>
        </w:tc>
        <w:tc>
          <w:tcPr>
            <w:tcW w:w="629" w:type="dxa"/>
            <w:shd w:val="clear" w:color="auto" w:fill="D2DDE1" w:themeFill="background2"/>
            <w:vAlign w:val="bottom"/>
          </w:tcPr>
          <w:p w14:paraId="22CA223D"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2.8</w:t>
            </w:r>
          </w:p>
        </w:tc>
        <w:tc>
          <w:tcPr>
            <w:tcW w:w="629" w:type="dxa"/>
            <w:shd w:val="clear" w:color="auto" w:fill="D2DDE1" w:themeFill="background2"/>
            <w:vAlign w:val="bottom"/>
          </w:tcPr>
          <w:p w14:paraId="3F903981"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2.9</w:t>
            </w:r>
          </w:p>
        </w:tc>
        <w:tc>
          <w:tcPr>
            <w:tcW w:w="629" w:type="dxa"/>
            <w:shd w:val="clear" w:color="auto" w:fill="D2DDE1" w:themeFill="background2"/>
            <w:vAlign w:val="bottom"/>
          </w:tcPr>
          <w:p w14:paraId="1AFADE4F"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2.9</w:t>
            </w:r>
          </w:p>
        </w:tc>
        <w:tc>
          <w:tcPr>
            <w:tcW w:w="629" w:type="dxa"/>
            <w:shd w:val="clear" w:color="auto" w:fill="D2DDE1" w:themeFill="background2"/>
            <w:vAlign w:val="bottom"/>
          </w:tcPr>
          <w:p w14:paraId="252F4B60"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2.1</w:t>
            </w:r>
          </w:p>
        </w:tc>
        <w:tc>
          <w:tcPr>
            <w:tcW w:w="629" w:type="dxa"/>
            <w:shd w:val="clear" w:color="auto" w:fill="D2DDE1" w:themeFill="background2"/>
            <w:vAlign w:val="bottom"/>
          </w:tcPr>
          <w:p w14:paraId="226B7114"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2.2</w:t>
            </w:r>
          </w:p>
        </w:tc>
        <w:tc>
          <w:tcPr>
            <w:tcW w:w="629" w:type="dxa"/>
            <w:shd w:val="clear" w:color="auto" w:fill="D2DDE1" w:themeFill="background2"/>
            <w:vAlign w:val="bottom"/>
          </w:tcPr>
          <w:p w14:paraId="0EDDBF85"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2.3</w:t>
            </w:r>
          </w:p>
        </w:tc>
      </w:tr>
      <w:tr w:rsidR="00F51113" w:rsidRPr="000D643E" w14:paraId="3239288F" w14:textId="77777777">
        <w:trPr>
          <w:trHeight w:val="315"/>
        </w:trPr>
        <w:tc>
          <w:tcPr>
            <w:tcW w:w="629" w:type="dxa"/>
            <w:shd w:val="clear" w:color="auto" w:fill="auto"/>
            <w:vAlign w:val="center"/>
            <w:hideMark/>
          </w:tcPr>
          <w:p w14:paraId="326E2162" w14:textId="77777777" w:rsidR="00F51113" w:rsidRPr="000D643E" w:rsidRDefault="00F51113">
            <w:pPr>
              <w:pStyle w:val="TableText"/>
              <w:spacing w:before="40" w:after="40"/>
              <w:rPr>
                <w:rFonts w:asciiTheme="minorHAnsi" w:hAnsiTheme="minorHAnsi" w:cstheme="minorHAnsi"/>
                <w:color w:val="000000"/>
                <w:szCs w:val="18"/>
              </w:rPr>
            </w:pPr>
            <w:r w:rsidRPr="000D643E">
              <w:rPr>
                <w:rFonts w:asciiTheme="minorHAnsi" w:hAnsiTheme="minorHAnsi" w:cstheme="minorHAnsi"/>
                <w:color w:val="000000"/>
                <w:szCs w:val="18"/>
              </w:rPr>
              <w:t>CH</w:t>
            </w:r>
            <w:r w:rsidRPr="000D643E">
              <w:rPr>
                <w:rFonts w:asciiTheme="minorHAnsi" w:hAnsiTheme="minorHAnsi" w:cstheme="minorHAnsi"/>
                <w:color w:val="000000"/>
                <w:szCs w:val="18"/>
                <w:vertAlign w:val="subscript"/>
              </w:rPr>
              <w:t>4</w:t>
            </w:r>
          </w:p>
        </w:tc>
        <w:tc>
          <w:tcPr>
            <w:tcW w:w="629" w:type="dxa"/>
            <w:shd w:val="clear" w:color="auto" w:fill="auto"/>
            <w:vAlign w:val="bottom"/>
          </w:tcPr>
          <w:p w14:paraId="460379DA"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2.0</w:t>
            </w:r>
          </w:p>
        </w:tc>
        <w:tc>
          <w:tcPr>
            <w:tcW w:w="629" w:type="dxa"/>
            <w:shd w:val="clear" w:color="auto" w:fill="auto"/>
            <w:vAlign w:val="bottom"/>
          </w:tcPr>
          <w:p w14:paraId="0E668474"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1.9</w:t>
            </w:r>
          </w:p>
        </w:tc>
        <w:tc>
          <w:tcPr>
            <w:tcW w:w="629" w:type="dxa"/>
            <w:shd w:val="clear" w:color="auto" w:fill="auto"/>
            <w:vAlign w:val="bottom"/>
          </w:tcPr>
          <w:p w14:paraId="0DF40AF8"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2.2</w:t>
            </w:r>
          </w:p>
        </w:tc>
        <w:tc>
          <w:tcPr>
            <w:tcW w:w="629" w:type="dxa"/>
            <w:shd w:val="clear" w:color="auto" w:fill="auto"/>
            <w:vAlign w:val="bottom"/>
          </w:tcPr>
          <w:p w14:paraId="665581BE"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2.2</w:t>
            </w:r>
          </w:p>
        </w:tc>
        <w:tc>
          <w:tcPr>
            <w:tcW w:w="629" w:type="dxa"/>
            <w:shd w:val="clear" w:color="auto" w:fill="auto"/>
            <w:vAlign w:val="bottom"/>
          </w:tcPr>
          <w:p w14:paraId="795F31F5"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2.0</w:t>
            </w:r>
          </w:p>
        </w:tc>
        <w:tc>
          <w:tcPr>
            <w:tcW w:w="629" w:type="dxa"/>
            <w:shd w:val="clear" w:color="auto" w:fill="auto"/>
            <w:vAlign w:val="bottom"/>
          </w:tcPr>
          <w:p w14:paraId="540C7F56"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1.7</w:t>
            </w:r>
          </w:p>
        </w:tc>
        <w:tc>
          <w:tcPr>
            <w:tcW w:w="629" w:type="dxa"/>
            <w:shd w:val="clear" w:color="auto" w:fill="auto"/>
            <w:vAlign w:val="bottom"/>
          </w:tcPr>
          <w:p w14:paraId="7E7DDF7A"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1.7</w:t>
            </w:r>
          </w:p>
        </w:tc>
        <w:tc>
          <w:tcPr>
            <w:tcW w:w="629" w:type="dxa"/>
            <w:shd w:val="clear" w:color="auto" w:fill="D2DDE1" w:themeFill="background2"/>
            <w:vAlign w:val="bottom"/>
          </w:tcPr>
          <w:p w14:paraId="3DF35856"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1.7</w:t>
            </w:r>
          </w:p>
        </w:tc>
        <w:tc>
          <w:tcPr>
            <w:tcW w:w="629" w:type="dxa"/>
            <w:shd w:val="clear" w:color="auto" w:fill="D2DDE1" w:themeFill="background2"/>
            <w:vAlign w:val="bottom"/>
          </w:tcPr>
          <w:p w14:paraId="3B90AF63"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1.7</w:t>
            </w:r>
          </w:p>
        </w:tc>
        <w:tc>
          <w:tcPr>
            <w:tcW w:w="629" w:type="dxa"/>
            <w:shd w:val="clear" w:color="auto" w:fill="D2DDE1" w:themeFill="background2"/>
            <w:vAlign w:val="bottom"/>
          </w:tcPr>
          <w:p w14:paraId="38A54221"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1.7</w:t>
            </w:r>
          </w:p>
        </w:tc>
        <w:tc>
          <w:tcPr>
            <w:tcW w:w="629" w:type="dxa"/>
            <w:shd w:val="clear" w:color="auto" w:fill="D2DDE1" w:themeFill="background2"/>
            <w:vAlign w:val="bottom"/>
          </w:tcPr>
          <w:p w14:paraId="36E6CBAC"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1.7</w:t>
            </w:r>
          </w:p>
        </w:tc>
        <w:tc>
          <w:tcPr>
            <w:tcW w:w="629" w:type="dxa"/>
            <w:shd w:val="clear" w:color="auto" w:fill="D2DDE1" w:themeFill="background2"/>
            <w:vAlign w:val="bottom"/>
          </w:tcPr>
          <w:p w14:paraId="4F205D99"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1.7</w:t>
            </w:r>
          </w:p>
        </w:tc>
        <w:tc>
          <w:tcPr>
            <w:tcW w:w="629" w:type="dxa"/>
            <w:shd w:val="clear" w:color="auto" w:fill="D2DDE1" w:themeFill="background2"/>
            <w:vAlign w:val="bottom"/>
          </w:tcPr>
          <w:p w14:paraId="27B3A7CD"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1.7</w:t>
            </w:r>
          </w:p>
        </w:tc>
      </w:tr>
      <w:tr w:rsidR="00F51113" w:rsidRPr="000D643E" w14:paraId="75CAA0A4" w14:textId="77777777">
        <w:trPr>
          <w:trHeight w:val="315"/>
        </w:trPr>
        <w:tc>
          <w:tcPr>
            <w:tcW w:w="629" w:type="dxa"/>
            <w:shd w:val="clear" w:color="auto" w:fill="auto"/>
            <w:vAlign w:val="center"/>
            <w:hideMark/>
          </w:tcPr>
          <w:p w14:paraId="55D5BB8E" w14:textId="77777777" w:rsidR="00F51113" w:rsidRPr="000D643E" w:rsidRDefault="00F51113">
            <w:pPr>
              <w:pStyle w:val="TableText"/>
              <w:spacing w:before="40" w:after="40"/>
              <w:rPr>
                <w:rFonts w:asciiTheme="minorHAnsi" w:hAnsiTheme="minorHAnsi" w:cstheme="minorHAnsi"/>
                <w:color w:val="000000"/>
                <w:szCs w:val="18"/>
              </w:rPr>
            </w:pPr>
            <w:r w:rsidRPr="000D643E">
              <w:rPr>
                <w:rFonts w:asciiTheme="minorHAnsi" w:hAnsiTheme="minorHAnsi" w:cstheme="minorHAnsi"/>
                <w:color w:val="000000"/>
                <w:szCs w:val="18"/>
              </w:rPr>
              <w:t>N</w:t>
            </w:r>
            <w:r w:rsidRPr="000D643E">
              <w:rPr>
                <w:rFonts w:asciiTheme="minorHAnsi" w:hAnsiTheme="minorHAnsi" w:cstheme="minorHAnsi"/>
                <w:color w:val="000000"/>
                <w:szCs w:val="18"/>
                <w:vertAlign w:val="subscript"/>
              </w:rPr>
              <w:t>2</w:t>
            </w:r>
            <w:r w:rsidRPr="000D643E">
              <w:rPr>
                <w:rFonts w:asciiTheme="minorHAnsi" w:hAnsiTheme="minorHAnsi" w:cstheme="minorHAnsi"/>
                <w:color w:val="000000"/>
                <w:szCs w:val="18"/>
              </w:rPr>
              <w:t>O</w:t>
            </w:r>
          </w:p>
        </w:tc>
        <w:tc>
          <w:tcPr>
            <w:tcW w:w="629" w:type="dxa"/>
            <w:shd w:val="clear" w:color="auto" w:fill="auto"/>
            <w:vAlign w:val="bottom"/>
          </w:tcPr>
          <w:p w14:paraId="03892CFA"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0.1</w:t>
            </w:r>
          </w:p>
        </w:tc>
        <w:tc>
          <w:tcPr>
            <w:tcW w:w="629" w:type="dxa"/>
            <w:shd w:val="clear" w:color="auto" w:fill="auto"/>
            <w:vAlign w:val="bottom"/>
          </w:tcPr>
          <w:p w14:paraId="408F25FF"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0.1</w:t>
            </w:r>
          </w:p>
        </w:tc>
        <w:tc>
          <w:tcPr>
            <w:tcW w:w="629" w:type="dxa"/>
            <w:shd w:val="clear" w:color="auto" w:fill="auto"/>
            <w:vAlign w:val="bottom"/>
          </w:tcPr>
          <w:p w14:paraId="4EB183CC"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0.0</w:t>
            </w:r>
          </w:p>
        </w:tc>
        <w:tc>
          <w:tcPr>
            <w:tcW w:w="629" w:type="dxa"/>
            <w:shd w:val="clear" w:color="auto" w:fill="auto"/>
            <w:vAlign w:val="bottom"/>
          </w:tcPr>
          <w:p w14:paraId="0B1A12FD"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0.0</w:t>
            </w:r>
          </w:p>
        </w:tc>
        <w:tc>
          <w:tcPr>
            <w:tcW w:w="629" w:type="dxa"/>
            <w:shd w:val="clear" w:color="auto" w:fill="auto"/>
            <w:vAlign w:val="bottom"/>
          </w:tcPr>
          <w:p w14:paraId="02571A47"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0.0</w:t>
            </w:r>
          </w:p>
        </w:tc>
        <w:tc>
          <w:tcPr>
            <w:tcW w:w="629" w:type="dxa"/>
            <w:shd w:val="clear" w:color="auto" w:fill="auto"/>
            <w:vAlign w:val="bottom"/>
          </w:tcPr>
          <w:p w14:paraId="6297C944"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0.0</w:t>
            </w:r>
          </w:p>
        </w:tc>
        <w:tc>
          <w:tcPr>
            <w:tcW w:w="629" w:type="dxa"/>
            <w:shd w:val="clear" w:color="auto" w:fill="auto"/>
            <w:vAlign w:val="bottom"/>
          </w:tcPr>
          <w:p w14:paraId="74112DBD"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0.0</w:t>
            </w:r>
          </w:p>
        </w:tc>
        <w:tc>
          <w:tcPr>
            <w:tcW w:w="629" w:type="dxa"/>
            <w:shd w:val="clear" w:color="auto" w:fill="D2DDE1" w:themeFill="background2"/>
            <w:vAlign w:val="bottom"/>
          </w:tcPr>
          <w:p w14:paraId="52149C0D"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0.0</w:t>
            </w:r>
          </w:p>
        </w:tc>
        <w:tc>
          <w:tcPr>
            <w:tcW w:w="629" w:type="dxa"/>
            <w:shd w:val="clear" w:color="auto" w:fill="D2DDE1" w:themeFill="background2"/>
            <w:vAlign w:val="bottom"/>
          </w:tcPr>
          <w:p w14:paraId="7BB38A3E"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0.0</w:t>
            </w:r>
          </w:p>
        </w:tc>
        <w:tc>
          <w:tcPr>
            <w:tcW w:w="629" w:type="dxa"/>
            <w:shd w:val="clear" w:color="auto" w:fill="D2DDE1" w:themeFill="background2"/>
            <w:vAlign w:val="bottom"/>
          </w:tcPr>
          <w:p w14:paraId="31CB5F77"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0.0</w:t>
            </w:r>
          </w:p>
        </w:tc>
        <w:tc>
          <w:tcPr>
            <w:tcW w:w="629" w:type="dxa"/>
            <w:shd w:val="clear" w:color="auto" w:fill="D2DDE1" w:themeFill="background2"/>
            <w:vAlign w:val="bottom"/>
          </w:tcPr>
          <w:p w14:paraId="621A2448"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0.0</w:t>
            </w:r>
          </w:p>
        </w:tc>
        <w:tc>
          <w:tcPr>
            <w:tcW w:w="629" w:type="dxa"/>
            <w:shd w:val="clear" w:color="auto" w:fill="D2DDE1" w:themeFill="background2"/>
            <w:vAlign w:val="bottom"/>
          </w:tcPr>
          <w:p w14:paraId="1FEEC602"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0.0</w:t>
            </w:r>
          </w:p>
        </w:tc>
        <w:tc>
          <w:tcPr>
            <w:tcW w:w="629" w:type="dxa"/>
            <w:shd w:val="clear" w:color="auto" w:fill="D2DDE1" w:themeFill="background2"/>
            <w:vAlign w:val="bottom"/>
          </w:tcPr>
          <w:p w14:paraId="262F0B20"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0.0</w:t>
            </w:r>
          </w:p>
        </w:tc>
      </w:tr>
      <w:tr w:rsidR="00F51113" w:rsidRPr="000D643E" w14:paraId="00E91D59" w14:textId="77777777">
        <w:trPr>
          <w:trHeight w:val="315"/>
        </w:trPr>
        <w:tc>
          <w:tcPr>
            <w:tcW w:w="629" w:type="dxa"/>
            <w:shd w:val="clear" w:color="auto" w:fill="auto"/>
            <w:vAlign w:val="center"/>
          </w:tcPr>
          <w:p w14:paraId="7981A17F" w14:textId="77777777" w:rsidR="00F51113" w:rsidRPr="000D643E" w:rsidRDefault="00F51113">
            <w:pPr>
              <w:pStyle w:val="TableText"/>
              <w:spacing w:before="40" w:after="40"/>
              <w:rPr>
                <w:rFonts w:asciiTheme="minorHAnsi" w:hAnsiTheme="minorHAnsi" w:cstheme="minorHAnsi"/>
                <w:color w:val="000000"/>
                <w:szCs w:val="18"/>
              </w:rPr>
            </w:pPr>
            <w:r w:rsidRPr="000D643E">
              <w:rPr>
                <w:rFonts w:asciiTheme="minorHAnsi" w:hAnsiTheme="minorHAnsi" w:cstheme="minorHAnsi"/>
                <w:color w:val="000000"/>
                <w:szCs w:val="18"/>
              </w:rPr>
              <w:t>HFCs</w:t>
            </w:r>
          </w:p>
        </w:tc>
        <w:tc>
          <w:tcPr>
            <w:tcW w:w="629" w:type="dxa"/>
            <w:shd w:val="clear" w:color="auto" w:fill="auto"/>
            <w:vAlign w:val="bottom"/>
          </w:tcPr>
          <w:p w14:paraId="7D1D70F5"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0.0</w:t>
            </w:r>
          </w:p>
        </w:tc>
        <w:tc>
          <w:tcPr>
            <w:tcW w:w="629" w:type="dxa"/>
            <w:shd w:val="clear" w:color="auto" w:fill="auto"/>
            <w:vAlign w:val="bottom"/>
          </w:tcPr>
          <w:p w14:paraId="6D834F87"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0.0</w:t>
            </w:r>
          </w:p>
        </w:tc>
        <w:tc>
          <w:tcPr>
            <w:tcW w:w="629" w:type="dxa"/>
            <w:shd w:val="clear" w:color="auto" w:fill="auto"/>
            <w:vAlign w:val="bottom"/>
          </w:tcPr>
          <w:p w14:paraId="618ED6DE"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0.0</w:t>
            </w:r>
          </w:p>
        </w:tc>
        <w:tc>
          <w:tcPr>
            <w:tcW w:w="629" w:type="dxa"/>
            <w:shd w:val="clear" w:color="auto" w:fill="auto"/>
            <w:vAlign w:val="bottom"/>
          </w:tcPr>
          <w:p w14:paraId="3FD5E0FC"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0.1</w:t>
            </w:r>
          </w:p>
        </w:tc>
        <w:tc>
          <w:tcPr>
            <w:tcW w:w="629" w:type="dxa"/>
            <w:shd w:val="clear" w:color="auto" w:fill="auto"/>
            <w:vAlign w:val="bottom"/>
          </w:tcPr>
          <w:p w14:paraId="0B24F153"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0.1</w:t>
            </w:r>
          </w:p>
        </w:tc>
        <w:tc>
          <w:tcPr>
            <w:tcW w:w="629" w:type="dxa"/>
            <w:shd w:val="clear" w:color="auto" w:fill="auto"/>
            <w:vAlign w:val="bottom"/>
          </w:tcPr>
          <w:p w14:paraId="234AC576"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0.2</w:t>
            </w:r>
          </w:p>
        </w:tc>
        <w:tc>
          <w:tcPr>
            <w:tcW w:w="629" w:type="dxa"/>
            <w:shd w:val="clear" w:color="auto" w:fill="auto"/>
            <w:vAlign w:val="bottom"/>
          </w:tcPr>
          <w:p w14:paraId="0685FE36"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0.2</w:t>
            </w:r>
          </w:p>
        </w:tc>
        <w:tc>
          <w:tcPr>
            <w:tcW w:w="629" w:type="dxa"/>
            <w:shd w:val="clear" w:color="auto" w:fill="D2DDE1" w:themeFill="background2"/>
            <w:vAlign w:val="bottom"/>
          </w:tcPr>
          <w:p w14:paraId="5D7615E3"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0.2</w:t>
            </w:r>
          </w:p>
        </w:tc>
        <w:tc>
          <w:tcPr>
            <w:tcW w:w="629" w:type="dxa"/>
            <w:shd w:val="clear" w:color="auto" w:fill="D2DDE1" w:themeFill="background2"/>
            <w:vAlign w:val="bottom"/>
          </w:tcPr>
          <w:p w14:paraId="16328F1E"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0.2</w:t>
            </w:r>
          </w:p>
        </w:tc>
        <w:tc>
          <w:tcPr>
            <w:tcW w:w="629" w:type="dxa"/>
            <w:shd w:val="clear" w:color="auto" w:fill="D2DDE1" w:themeFill="background2"/>
            <w:vAlign w:val="bottom"/>
          </w:tcPr>
          <w:p w14:paraId="2CA929B9"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0.2</w:t>
            </w:r>
          </w:p>
        </w:tc>
        <w:tc>
          <w:tcPr>
            <w:tcW w:w="629" w:type="dxa"/>
            <w:shd w:val="clear" w:color="auto" w:fill="D2DDE1" w:themeFill="background2"/>
            <w:vAlign w:val="bottom"/>
          </w:tcPr>
          <w:p w14:paraId="70B25E0B"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0.1</w:t>
            </w:r>
          </w:p>
        </w:tc>
        <w:tc>
          <w:tcPr>
            <w:tcW w:w="629" w:type="dxa"/>
            <w:shd w:val="clear" w:color="auto" w:fill="D2DDE1" w:themeFill="background2"/>
            <w:vAlign w:val="bottom"/>
          </w:tcPr>
          <w:p w14:paraId="05CEC2E9"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0.1</w:t>
            </w:r>
          </w:p>
        </w:tc>
        <w:tc>
          <w:tcPr>
            <w:tcW w:w="629" w:type="dxa"/>
            <w:shd w:val="clear" w:color="auto" w:fill="D2DDE1" w:themeFill="background2"/>
            <w:vAlign w:val="bottom"/>
          </w:tcPr>
          <w:p w14:paraId="6818224F"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0.0</w:t>
            </w:r>
          </w:p>
        </w:tc>
      </w:tr>
      <w:tr w:rsidR="00F51113" w:rsidRPr="000D643E" w14:paraId="0441B14E" w14:textId="77777777">
        <w:trPr>
          <w:trHeight w:val="315"/>
        </w:trPr>
        <w:tc>
          <w:tcPr>
            <w:tcW w:w="629" w:type="dxa"/>
            <w:shd w:val="clear" w:color="auto" w:fill="auto"/>
            <w:vAlign w:val="center"/>
          </w:tcPr>
          <w:p w14:paraId="0A17A159" w14:textId="77777777" w:rsidR="00F51113" w:rsidRPr="000D643E" w:rsidRDefault="00F51113">
            <w:pPr>
              <w:pStyle w:val="TableText"/>
              <w:spacing w:before="40" w:after="40"/>
              <w:rPr>
                <w:rFonts w:asciiTheme="minorHAnsi" w:hAnsiTheme="minorHAnsi" w:cstheme="minorHAnsi"/>
                <w:color w:val="000000"/>
                <w:szCs w:val="18"/>
              </w:rPr>
            </w:pPr>
            <w:r w:rsidRPr="000D643E">
              <w:rPr>
                <w:rFonts w:asciiTheme="minorHAnsi" w:hAnsiTheme="minorHAnsi" w:cstheme="minorHAnsi"/>
                <w:color w:val="000000"/>
                <w:szCs w:val="18"/>
              </w:rPr>
              <w:t>PFCs</w:t>
            </w:r>
          </w:p>
        </w:tc>
        <w:tc>
          <w:tcPr>
            <w:tcW w:w="629" w:type="dxa"/>
            <w:shd w:val="clear" w:color="auto" w:fill="auto"/>
            <w:vAlign w:val="bottom"/>
          </w:tcPr>
          <w:p w14:paraId="479587C8"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auto"/>
            <w:vAlign w:val="bottom"/>
          </w:tcPr>
          <w:p w14:paraId="4E86EEB1"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auto"/>
            <w:vAlign w:val="bottom"/>
          </w:tcPr>
          <w:p w14:paraId="297FD52B"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auto"/>
            <w:vAlign w:val="bottom"/>
          </w:tcPr>
          <w:p w14:paraId="2821966F"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auto"/>
            <w:vAlign w:val="bottom"/>
          </w:tcPr>
          <w:p w14:paraId="2B94E290"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auto"/>
            <w:vAlign w:val="bottom"/>
          </w:tcPr>
          <w:p w14:paraId="09C477AC"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auto"/>
            <w:vAlign w:val="bottom"/>
          </w:tcPr>
          <w:p w14:paraId="512FAE4A"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D2DDE1" w:themeFill="background2"/>
            <w:vAlign w:val="bottom"/>
          </w:tcPr>
          <w:p w14:paraId="2D3E3E8D"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D2DDE1" w:themeFill="background2"/>
            <w:vAlign w:val="bottom"/>
          </w:tcPr>
          <w:p w14:paraId="47F26FC1"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D2DDE1" w:themeFill="background2"/>
            <w:vAlign w:val="bottom"/>
          </w:tcPr>
          <w:p w14:paraId="3AB6125C"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D2DDE1" w:themeFill="background2"/>
            <w:vAlign w:val="bottom"/>
          </w:tcPr>
          <w:p w14:paraId="75EB25B1"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D2DDE1" w:themeFill="background2"/>
            <w:vAlign w:val="bottom"/>
          </w:tcPr>
          <w:p w14:paraId="5911E213"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D2DDE1" w:themeFill="background2"/>
            <w:vAlign w:val="bottom"/>
          </w:tcPr>
          <w:p w14:paraId="1E1AC69A"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r>
      <w:tr w:rsidR="00F51113" w:rsidRPr="000D643E" w14:paraId="350AF78E" w14:textId="77777777">
        <w:trPr>
          <w:trHeight w:val="315"/>
        </w:trPr>
        <w:tc>
          <w:tcPr>
            <w:tcW w:w="629" w:type="dxa"/>
            <w:shd w:val="clear" w:color="auto" w:fill="auto"/>
            <w:vAlign w:val="center"/>
          </w:tcPr>
          <w:p w14:paraId="673BA904" w14:textId="77777777" w:rsidR="00F51113" w:rsidRPr="000D643E" w:rsidRDefault="00F51113">
            <w:pPr>
              <w:pStyle w:val="TableText"/>
              <w:spacing w:before="40" w:after="40"/>
              <w:rPr>
                <w:rFonts w:asciiTheme="minorHAnsi" w:hAnsiTheme="minorHAnsi" w:cstheme="minorHAnsi"/>
                <w:color w:val="000000"/>
                <w:szCs w:val="18"/>
              </w:rPr>
            </w:pPr>
            <w:r w:rsidRPr="000D643E">
              <w:rPr>
                <w:rFonts w:asciiTheme="minorHAnsi" w:hAnsiTheme="minorHAnsi" w:cstheme="minorHAnsi"/>
                <w:szCs w:val="18"/>
              </w:rPr>
              <w:t>SF</w:t>
            </w:r>
            <w:r w:rsidRPr="000D643E">
              <w:rPr>
                <w:rFonts w:asciiTheme="minorHAnsi" w:hAnsiTheme="minorHAnsi" w:cstheme="minorHAnsi"/>
                <w:szCs w:val="18"/>
                <w:vertAlign w:val="subscript"/>
              </w:rPr>
              <w:t>6</w:t>
            </w:r>
          </w:p>
        </w:tc>
        <w:tc>
          <w:tcPr>
            <w:tcW w:w="629" w:type="dxa"/>
            <w:shd w:val="clear" w:color="auto" w:fill="auto"/>
            <w:vAlign w:val="bottom"/>
          </w:tcPr>
          <w:p w14:paraId="76CFFAAE"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auto"/>
            <w:vAlign w:val="bottom"/>
          </w:tcPr>
          <w:p w14:paraId="23D0EB8F"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auto"/>
            <w:vAlign w:val="bottom"/>
          </w:tcPr>
          <w:p w14:paraId="20E99AA7"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auto"/>
            <w:vAlign w:val="bottom"/>
          </w:tcPr>
          <w:p w14:paraId="3CDEBA02"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auto"/>
            <w:vAlign w:val="bottom"/>
          </w:tcPr>
          <w:p w14:paraId="4792A130"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auto"/>
            <w:vAlign w:val="bottom"/>
          </w:tcPr>
          <w:p w14:paraId="5F3E8CB2"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auto"/>
            <w:vAlign w:val="bottom"/>
          </w:tcPr>
          <w:p w14:paraId="7DA875D5"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D2DDE1" w:themeFill="background2"/>
            <w:vAlign w:val="bottom"/>
          </w:tcPr>
          <w:p w14:paraId="42BD5F2B"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D2DDE1" w:themeFill="background2"/>
            <w:vAlign w:val="bottom"/>
          </w:tcPr>
          <w:p w14:paraId="75F8D8F2"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D2DDE1" w:themeFill="background2"/>
            <w:vAlign w:val="bottom"/>
          </w:tcPr>
          <w:p w14:paraId="66A7C46E"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D2DDE1" w:themeFill="background2"/>
            <w:vAlign w:val="bottom"/>
          </w:tcPr>
          <w:p w14:paraId="4D27AE5D"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D2DDE1" w:themeFill="background2"/>
            <w:vAlign w:val="bottom"/>
          </w:tcPr>
          <w:p w14:paraId="0659100A"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c>
          <w:tcPr>
            <w:tcW w:w="629" w:type="dxa"/>
            <w:shd w:val="clear" w:color="auto" w:fill="D2DDE1" w:themeFill="background2"/>
            <w:vAlign w:val="bottom"/>
          </w:tcPr>
          <w:p w14:paraId="21C8F27A" w14:textId="77777777" w:rsidR="00F51113" w:rsidRPr="000D643E" w:rsidRDefault="00F51113">
            <w:pPr>
              <w:pStyle w:val="TableText"/>
              <w:spacing w:before="40" w:after="40"/>
              <w:jc w:val="center"/>
              <w:rPr>
                <w:rFonts w:asciiTheme="minorHAnsi" w:hAnsiTheme="minorHAnsi" w:cstheme="minorHAnsi"/>
                <w:color w:val="000000"/>
                <w:szCs w:val="18"/>
              </w:rPr>
            </w:pPr>
            <w:r w:rsidRPr="000D643E">
              <w:rPr>
                <w:rFonts w:asciiTheme="minorHAnsi" w:hAnsiTheme="minorHAnsi" w:cstheme="minorHAnsi"/>
                <w:color w:val="000000" w:themeColor="text1"/>
                <w:szCs w:val="18"/>
              </w:rPr>
              <w:t>NO</w:t>
            </w:r>
          </w:p>
        </w:tc>
      </w:tr>
      <w:tr w:rsidR="00F51113" w:rsidRPr="000D643E" w14:paraId="6464D552" w14:textId="77777777">
        <w:trPr>
          <w:trHeight w:val="315"/>
        </w:trPr>
        <w:tc>
          <w:tcPr>
            <w:tcW w:w="629" w:type="dxa"/>
            <w:shd w:val="clear" w:color="auto" w:fill="auto"/>
            <w:vAlign w:val="center"/>
            <w:hideMark/>
          </w:tcPr>
          <w:p w14:paraId="00C7D623" w14:textId="77777777" w:rsidR="00F51113" w:rsidRPr="000D643E" w:rsidRDefault="00F51113">
            <w:pPr>
              <w:pStyle w:val="TableTextbold"/>
              <w:spacing w:before="40" w:after="40"/>
              <w:rPr>
                <w:rFonts w:asciiTheme="minorHAnsi" w:hAnsiTheme="minorHAnsi" w:cstheme="minorHAnsi"/>
                <w:szCs w:val="18"/>
              </w:rPr>
            </w:pPr>
            <w:r w:rsidRPr="000D643E">
              <w:rPr>
                <w:rFonts w:asciiTheme="minorHAnsi" w:hAnsiTheme="minorHAnsi" w:cstheme="minorHAnsi"/>
                <w:szCs w:val="18"/>
              </w:rPr>
              <w:t>Total</w:t>
            </w:r>
          </w:p>
        </w:tc>
        <w:tc>
          <w:tcPr>
            <w:tcW w:w="629" w:type="dxa"/>
            <w:shd w:val="clear" w:color="auto" w:fill="auto"/>
            <w:vAlign w:val="bottom"/>
          </w:tcPr>
          <w:p w14:paraId="0D6E9E23"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3.4</w:t>
            </w:r>
          </w:p>
        </w:tc>
        <w:tc>
          <w:tcPr>
            <w:tcW w:w="629" w:type="dxa"/>
            <w:shd w:val="clear" w:color="auto" w:fill="auto"/>
            <w:vAlign w:val="bottom"/>
          </w:tcPr>
          <w:p w14:paraId="67B558A4"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3.3</w:t>
            </w:r>
          </w:p>
        </w:tc>
        <w:tc>
          <w:tcPr>
            <w:tcW w:w="629" w:type="dxa"/>
            <w:shd w:val="clear" w:color="auto" w:fill="auto"/>
            <w:vAlign w:val="bottom"/>
          </w:tcPr>
          <w:p w14:paraId="33166C33"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3.7</w:t>
            </w:r>
          </w:p>
        </w:tc>
        <w:tc>
          <w:tcPr>
            <w:tcW w:w="629" w:type="dxa"/>
            <w:shd w:val="clear" w:color="auto" w:fill="auto"/>
            <w:vAlign w:val="bottom"/>
          </w:tcPr>
          <w:p w14:paraId="7E41AFCC"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4.7</w:t>
            </w:r>
          </w:p>
        </w:tc>
        <w:tc>
          <w:tcPr>
            <w:tcW w:w="629" w:type="dxa"/>
            <w:shd w:val="clear" w:color="auto" w:fill="auto"/>
            <w:vAlign w:val="bottom"/>
          </w:tcPr>
          <w:p w14:paraId="39022C0E"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4.7</w:t>
            </w:r>
          </w:p>
        </w:tc>
        <w:tc>
          <w:tcPr>
            <w:tcW w:w="629" w:type="dxa"/>
            <w:shd w:val="clear" w:color="auto" w:fill="auto"/>
            <w:vAlign w:val="bottom"/>
          </w:tcPr>
          <w:p w14:paraId="2360F42C"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3.6</w:t>
            </w:r>
          </w:p>
        </w:tc>
        <w:tc>
          <w:tcPr>
            <w:tcW w:w="629" w:type="dxa"/>
            <w:shd w:val="clear" w:color="auto" w:fill="auto"/>
            <w:vAlign w:val="bottom"/>
          </w:tcPr>
          <w:p w14:paraId="598402B7"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4.3</w:t>
            </w:r>
          </w:p>
        </w:tc>
        <w:tc>
          <w:tcPr>
            <w:tcW w:w="629" w:type="dxa"/>
            <w:shd w:val="clear" w:color="auto" w:fill="D2DDE1" w:themeFill="background2"/>
            <w:vAlign w:val="bottom"/>
          </w:tcPr>
          <w:p w14:paraId="3869124E"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4.7</w:t>
            </w:r>
          </w:p>
        </w:tc>
        <w:tc>
          <w:tcPr>
            <w:tcW w:w="629" w:type="dxa"/>
            <w:shd w:val="clear" w:color="auto" w:fill="D2DDE1" w:themeFill="background2"/>
            <w:vAlign w:val="bottom"/>
          </w:tcPr>
          <w:p w14:paraId="31EFFC6D"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4.7</w:t>
            </w:r>
          </w:p>
        </w:tc>
        <w:tc>
          <w:tcPr>
            <w:tcW w:w="629" w:type="dxa"/>
            <w:shd w:val="clear" w:color="auto" w:fill="D2DDE1" w:themeFill="background2"/>
            <w:vAlign w:val="bottom"/>
          </w:tcPr>
          <w:p w14:paraId="5EB39D04"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4.8</w:t>
            </w:r>
          </w:p>
        </w:tc>
        <w:tc>
          <w:tcPr>
            <w:tcW w:w="629" w:type="dxa"/>
            <w:shd w:val="clear" w:color="auto" w:fill="D2DDE1" w:themeFill="background2"/>
            <w:vAlign w:val="bottom"/>
          </w:tcPr>
          <w:p w14:paraId="2B9B7DDE"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3.9</w:t>
            </w:r>
          </w:p>
        </w:tc>
        <w:tc>
          <w:tcPr>
            <w:tcW w:w="629" w:type="dxa"/>
            <w:shd w:val="clear" w:color="auto" w:fill="D2DDE1" w:themeFill="background2"/>
            <w:vAlign w:val="bottom"/>
          </w:tcPr>
          <w:p w14:paraId="07387835"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4.0</w:t>
            </w:r>
          </w:p>
        </w:tc>
        <w:tc>
          <w:tcPr>
            <w:tcW w:w="629" w:type="dxa"/>
            <w:shd w:val="clear" w:color="auto" w:fill="D2DDE1" w:themeFill="background2"/>
            <w:vAlign w:val="bottom"/>
          </w:tcPr>
          <w:p w14:paraId="1C683278" w14:textId="77777777" w:rsidR="00F51113" w:rsidRPr="000D643E" w:rsidRDefault="00F51113">
            <w:pPr>
              <w:pStyle w:val="TableTextbold"/>
              <w:spacing w:before="40" w:after="40"/>
              <w:jc w:val="center"/>
              <w:rPr>
                <w:rFonts w:asciiTheme="minorHAnsi" w:hAnsiTheme="minorHAnsi" w:cstheme="minorHAnsi"/>
                <w:szCs w:val="18"/>
              </w:rPr>
            </w:pPr>
            <w:r w:rsidRPr="000D643E">
              <w:rPr>
                <w:rFonts w:asciiTheme="minorHAnsi" w:hAnsiTheme="minorHAnsi" w:cstheme="minorHAnsi"/>
                <w:color w:val="000000" w:themeColor="text1"/>
                <w:szCs w:val="18"/>
              </w:rPr>
              <w:t>4.0</w:t>
            </w:r>
          </w:p>
        </w:tc>
      </w:tr>
    </w:tbl>
    <w:p w14:paraId="0B589FAE" w14:textId="77777777" w:rsidR="00F51113" w:rsidRPr="004C2DCD" w:rsidRDefault="00F51113" w:rsidP="00F51113">
      <w:pPr>
        <w:pStyle w:val="Note"/>
      </w:pPr>
      <w:r w:rsidRPr="004C2DCD">
        <w:rPr>
          <w:b/>
          <w:bCs/>
          <w:spacing w:val="-2"/>
        </w:rPr>
        <w:t>Note:</w:t>
      </w:r>
      <w:r w:rsidRPr="004C2DCD">
        <w:rPr>
          <w:spacing w:val="-2"/>
        </w:rPr>
        <w:t xml:space="preserve"> CH</w:t>
      </w:r>
      <w:r w:rsidRPr="004C2DCD">
        <w:rPr>
          <w:spacing w:val="-2"/>
          <w:vertAlign w:val="subscript"/>
        </w:rPr>
        <w:t>4</w:t>
      </w:r>
      <w:r w:rsidRPr="004C2DCD">
        <w:rPr>
          <w:spacing w:val="-2"/>
        </w:rPr>
        <w:t xml:space="preserve"> = methane; CO</w:t>
      </w:r>
      <w:r w:rsidRPr="004C2DCD">
        <w:rPr>
          <w:spacing w:val="-2"/>
          <w:vertAlign w:val="subscript"/>
        </w:rPr>
        <w:t>2</w:t>
      </w:r>
      <w:r w:rsidRPr="004C2DCD">
        <w:rPr>
          <w:spacing w:val="-2"/>
        </w:rPr>
        <w:t xml:space="preserve"> = carbon dioxide; </w:t>
      </w:r>
      <w:r w:rsidRPr="004C2DCD">
        <w:rPr>
          <w:rFonts w:eastAsia="Times New Roman"/>
          <w:spacing w:val="-2"/>
        </w:rPr>
        <w:t xml:space="preserve">HFCs = hydrofluorocarbons; </w:t>
      </w:r>
      <w:r w:rsidRPr="004C2DCD">
        <w:rPr>
          <w:spacing w:val="-2"/>
        </w:rPr>
        <w:t>N</w:t>
      </w:r>
      <w:r w:rsidRPr="004C2DCD">
        <w:rPr>
          <w:spacing w:val="-2"/>
          <w:vertAlign w:val="subscript"/>
        </w:rPr>
        <w:t>2</w:t>
      </w:r>
      <w:r w:rsidRPr="004C2DCD">
        <w:rPr>
          <w:spacing w:val="-2"/>
        </w:rPr>
        <w:t xml:space="preserve">O = nitrous oxide; </w:t>
      </w:r>
      <w:r w:rsidRPr="004C2DCD">
        <w:rPr>
          <w:rFonts w:eastAsia="Times New Roman"/>
          <w:spacing w:val="-2"/>
        </w:rPr>
        <w:t>PFCs = perfluorocarbons;</w:t>
      </w:r>
      <w:r w:rsidRPr="004C2DCD">
        <w:rPr>
          <w:rFonts w:eastAsia="Times New Roman"/>
        </w:rPr>
        <w:t xml:space="preserve"> SF</w:t>
      </w:r>
      <w:r w:rsidRPr="004C2DCD">
        <w:rPr>
          <w:rFonts w:eastAsia="Times New Roman"/>
          <w:sz w:val="14"/>
          <w:szCs w:val="14"/>
          <w:vertAlign w:val="subscript"/>
        </w:rPr>
        <w:t>6</w:t>
      </w:r>
      <w:r w:rsidRPr="004C2DCD">
        <w:rPr>
          <w:rFonts w:eastAsia="Times New Roman"/>
          <w:sz w:val="14"/>
          <w:szCs w:val="14"/>
        </w:rPr>
        <w:t xml:space="preserve"> </w:t>
      </w:r>
      <w:r w:rsidRPr="004C2DCD">
        <w:t>= sulphur hexafluoride.</w:t>
      </w:r>
    </w:p>
    <w:p w14:paraId="61F29779" w14:textId="1246C6B4" w:rsidR="00F51113" w:rsidRPr="004C2DCD" w:rsidRDefault="006D759F" w:rsidP="003A0C20">
      <w:pPr>
        <w:pStyle w:val="Heading4"/>
        <w:ind w:left="1134" w:hanging="1134"/>
      </w:pPr>
      <w:r>
        <w:t>2.5.7.2.7</w:t>
      </w:r>
      <w:r>
        <w:tab/>
      </w:r>
      <w:r w:rsidR="00B67BC9">
        <w:t>Land Use, Land-Use Change and Forestry</w:t>
      </w:r>
      <w:r w:rsidR="00F51113" w:rsidRPr="004C2DCD">
        <w:t xml:space="preserve"> (LULUCF</w:t>
      </w:r>
      <w:r w:rsidR="21E8D980">
        <w:t>)</w:t>
      </w:r>
      <w:r w:rsidR="00F51113" w:rsidRPr="004C2DCD">
        <w:t xml:space="preserve"> reporting </w:t>
      </w:r>
    </w:p>
    <w:p w14:paraId="32A9DED1" w14:textId="732C5C21" w:rsidR="00F51113" w:rsidRPr="004C2DCD" w:rsidRDefault="00F51113" w:rsidP="00F51113">
      <w:pPr>
        <w:pStyle w:val="BodyText"/>
      </w:pPr>
      <w:r w:rsidRPr="004C2DCD">
        <w:t>Emissions from the LULUCF reporting sector under the WOM scenario are projected to decrease to –2.3 Mt CO</w:t>
      </w:r>
      <w:r w:rsidRPr="004C2DCD">
        <w:rPr>
          <w:vertAlign w:val="subscript"/>
        </w:rPr>
        <w:t>2</w:t>
      </w:r>
      <w:r w:rsidRPr="004C2DCD">
        <w:t>e by 2030 (90.5 per cent below 1990 levels and 82.0 per cent below 2022 levels) and to –10.6 kt CO</w:t>
      </w:r>
      <w:r w:rsidRPr="004C2DCD">
        <w:rPr>
          <w:vertAlign w:val="subscript"/>
        </w:rPr>
        <w:t>2</w:t>
      </w:r>
      <w:r w:rsidRPr="004C2DCD">
        <w:t xml:space="preserve">e by 2050 (56.3 per cent below 1990 levels and 17.3 per cent below 2022 levels). </w:t>
      </w:r>
      <w:hyperlink w:anchor="figure2529" w:history="1">
        <w:r w:rsidRPr="00716372">
          <w:rPr>
            <w:rStyle w:val="Hyperlink"/>
          </w:rPr>
          <w:t>Figure 2.5.29</w:t>
        </w:r>
      </w:hyperlink>
      <w:r w:rsidRPr="004C2DCD">
        <w:t xml:space="preserve"> presents historical GHG emissions from 1990 to 2022 and projected WOM GHG emissions out to 2050 for the LULUCF reporting sector. </w:t>
      </w:r>
      <w:hyperlink w:anchor="table2531" w:history="1">
        <w:r w:rsidRPr="00716372">
          <w:rPr>
            <w:rStyle w:val="Hyperlink"/>
          </w:rPr>
          <w:t>Table 2.5.31</w:t>
        </w:r>
      </w:hyperlink>
      <w:r w:rsidRPr="004C2DCD">
        <w:t xml:space="preserve"> presents the WOM scenario by CO</w:t>
      </w:r>
      <w:r w:rsidRPr="004C2DCD">
        <w:rPr>
          <w:vertAlign w:val="subscript"/>
        </w:rPr>
        <w:t>2</w:t>
      </w:r>
      <w:r w:rsidRPr="004C2DCD">
        <w:t xml:space="preserve"> emissions in five-yearly increments.</w:t>
      </w:r>
    </w:p>
    <w:p w14:paraId="39D5B3F2" w14:textId="77777777" w:rsidR="00F51113" w:rsidRPr="004C2DCD" w:rsidRDefault="00F51113" w:rsidP="00A24A1B">
      <w:pPr>
        <w:pStyle w:val="Figureheading"/>
        <w:ind w:left="1276" w:hanging="1276"/>
      </w:pPr>
      <w:bookmarkStart w:id="701" w:name="figure2529"/>
      <w:bookmarkStart w:id="702" w:name="_Toc185347273"/>
      <w:r w:rsidRPr="004C2DCD">
        <w:t>Figure 2.5.29</w:t>
      </w:r>
      <w:bookmarkEnd w:id="701"/>
      <w:r w:rsidRPr="004C2DCD">
        <w:t xml:space="preserve">: </w:t>
      </w:r>
      <w:r w:rsidRPr="004C2DCD">
        <w:tab/>
        <w:t>Greenhouse gas emissions for the ‘without measures’ scenario in the LULUCF sector, 1990–2050</w:t>
      </w:r>
      <w:bookmarkEnd w:id="702"/>
      <w:r w:rsidRPr="004C2DCD">
        <w:t xml:space="preserve"> </w:t>
      </w:r>
    </w:p>
    <w:p w14:paraId="56651158" w14:textId="2720A33C" w:rsidR="00F51113" w:rsidRPr="004C2DCD" w:rsidRDefault="009445F2" w:rsidP="00642E32">
      <w:pPr>
        <w:pStyle w:val="BodyText"/>
        <w:spacing w:before="80" w:after="80"/>
        <w:jc w:val="center"/>
      </w:pPr>
      <w:r>
        <w:rPr>
          <w:noProof/>
        </w:rPr>
        <w:drawing>
          <wp:inline distT="0" distB="0" distL="0" distR="0" wp14:anchorId="263807A1" wp14:editId="4FDC829D">
            <wp:extent cx="5040000" cy="2682058"/>
            <wp:effectExtent l="0" t="0" r="8255" b="4445"/>
            <wp:docPr id="710132989" name="Picture 54" descr="A line graph showing greenhouse gas emissions in million tonnes carbon dioxide equivalent for the ‘without measures’ scenario in the Land-use, Land-use Change and Forestry sector for the period 1990 to 2050. It compares historical LULUCF emissions with projected emissions without mea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132989" name="Picture 54" descr="A line graph showing greenhouse gas emissions in million tonnes carbon dioxide equivalent for the ‘without measures’ scenario in the Land-use, Land-use Change and Forestry sector for the period 1990 to 2050. It compares historical LULUCF emissions with projected emissions without measure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40000" cy="2682058"/>
                    </a:xfrm>
                    <a:prstGeom prst="rect">
                      <a:avLst/>
                    </a:prstGeom>
                    <a:noFill/>
                  </pic:spPr>
                </pic:pic>
              </a:graphicData>
            </a:graphic>
          </wp:inline>
        </w:drawing>
      </w:r>
    </w:p>
    <w:p w14:paraId="7E575347" w14:textId="77777777" w:rsidR="00F51113" w:rsidRPr="004C2DCD" w:rsidRDefault="00F51113" w:rsidP="00F51113">
      <w:pPr>
        <w:pStyle w:val="Note"/>
      </w:pPr>
      <w:r w:rsidRPr="004C2DCD">
        <w:rPr>
          <w:b/>
          <w:bCs/>
        </w:rPr>
        <w:t>Note:</w:t>
      </w:r>
      <w:r w:rsidRPr="004C2DCD">
        <w:t xml:space="preserve"> LULUCF = Land Use, Land-Use Change and Forestry; Mt CO</w:t>
      </w:r>
      <w:r w:rsidRPr="004C2DCD">
        <w:rPr>
          <w:vertAlign w:val="subscript"/>
        </w:rPr>
        <w:t>2</w:t>
      </w:r>
      <w:r w:rsidRPr="004C2DCD">
        <w:t>e =</w:t>
      </w:r>
      <w:r w:rsidRPr="004C2DCD">
        <w:rPr>
          <w:b/>
          <w:bCs/>
        </w:rPr>
        <w:t xml:space="preserve"> </w:t>
      </w:r>
      <w:r w:rsidRPr="004C2DCD">
        <w:t>million tonnes of carbon dioxide equivalent.</w:t>
      </w:r>
    </w:p>
    <w:p w14:paraId="7722C3B9" w14:textId="77777777" w:rsidR="00F51113" w:rsidRPr="004C2DCD" w:rsidRDefault="00F51113" w:rsidP="00F51113">
      <w:pPr>
        <w:pStyle w:val="Tableheading"/>
        <w:ind w:left="1276" w:hanging="1276"/>
      </w:pPr>
      <w:bookmarkStart w:id="703" w:name="table2531"/>
      <w:bookmarkStart w:id="704" w:name="_Toc183789732"/>
      <w:bookmarkStart w:id="705" w:name="_Toc185407496"/>
      <w:bookmarkStart w:id="706" w:name="_Toc185427759"/>
      <w:r w:rsidRPr="004C2DCD">
        <w:t>Table 2.5.31</w:t>
      </w:r>
      <w:bookmarkEnd w:id="703"/>
      <w:r w:rsidRPr="004C2DCD">
        <w:t xml:space="preserve">: </w:t>
      </w:r>
      <w:r w:rsidRPr="004C2DCD">
        <w:tab/>
        <w:t>Historical and projected LULUCF sector emissions and removals by gas under the ‘without measures’ scenario, 1990–2050 (Mt CO</w:t>
      </w:r>
      <w:r w:rsidRPr="004C2DCD">
        <w:rPr>
          <w:vertAlign w:val="subscript"/>
        </w:rPr>
        <w:t>2</w:t>
      </w:r>
      <w:r w:rsidRPr="004C2DCD">
        <w:t>e)</w:t>
      </w:r>
      <w:bookmarkEnd w:id="704"/>
      <w:bookmarkEnd w:id="705"/>
      <w:bookmarkEnd w:id="706"/>
    </w:p>
    <w:tbl>
      <w:tblPr>
        <w:tblW w:w="8505" w:type="dxa"/>
        <w:tblBorders>
          <w:top w:val="single" w:sz="4" w:space="0" w:color="1B556B"/>
          <w:bottom w:val="single" w:sz="4" w:space="0" w:color="1B556B"/>
          <w:insideH w:val="single" w:sz="4" w:space="0" w:color="1B556B"/>
          <w:insideV w:val="single" w:sz="4" w:space="0" w:color="1B556B"/>
        </w:tblBorders>
        <w:tblLayout w:type="fixed"/>
        <w:tblCellMar>
          <w:left w:w="85" w:type="dxa"/>
          <w:right w:w="85" w:type="dxa"/>
        </w:tblCellMar>
        <w:tblLook w:val="04A0" w:firstRow="1" w:lastRow="0" w:firstColumn="1" w:lastColumn="0" w:noHBand="0" w:noVBand="1"/>
      </w:tblPr>
      <w:tblGrid>
        <w:gridCol w:w="647"/>
        <w:gridCol w:w="603"/>
        <w:gridCol w:w="604"/>
        <w:gridCol w:w="604"/>
        <w:gridCol w:w="604"/>
        <w:gridCol w:w="604"/>
        <w:gridCol w:w="609"/>
        <w:gridCol w:w="604"/>
        <w:gridCol w:w="604"/>
        <w:gridCol w:w="604"/>
        <w:gridCol w:w="604"/>
        <w:gridCol w:w="604"/>
        <w:gridCol w:w="604"/>
        <w:gridCol w:w="606"/>
      </w:tblGrid>
      <w:tr w:rsidR="00F51113" w:rsidRPr="000D643E" w14:paraId="1CB61163" w14:textId="77777777">
        <w:trPr>
          <w:trHeight w:val="300"/>
        </w:trPr>
        <w:tc>
          <w:tcPr>
            <w:tcW w:w="381" w:type="pct"/>
            <w:tcBorders>
              <w:top w:val="nil"/>
              <w:bottom w:val="single" w:sz="4" w:space="0" w:color="1B556B"/>
            </w:tcBorders>
            <w:shd w:val="clear" w:color="000000" w:fill="1B556B"/>
            <w:vAlign w:val="center"/>
            <w:hideMark/>
          </w:tcPr>
          <w:p w14:paraId="0BBB9702" w14:textId="77777777" w:rsidR="00F51113" w:rsidRPr="000D643E" w:rsidRDefault="00F51113">
            <w:pPr>
              <w:pStyle w:val="TableTextbold"/>
              <w:spacing w:after="0"/>
              <w:jc w:val="center"/>
              <w:rPr>
                <w:color w:val="FFFFFF" w:themeColor="background1"/>
                <w:szCs w:val="18"/>
              </w:rPr>
            </w:pPr>
          </w:p>
        </w:tc>
        <w:tc>
          <w:tcPr>
            <w:tcW w:w="2133" w:type="pct"/>
            <w:gridSpan w:val="6"/>
            <w:tcBorders>
              <w:top w:val="nil"/>
              <w:bottom w:val="single" w:sz="4" w:space="0" w:color="1B556B"/>
            </w:tcBorders>
            <w:shd w:val="clear" w:color="000000" w:fill="1B556B"/>
            <w:vAlign w:val="center"/>
            <w:hideMark/>
          </w:tcPr>
          <w:p w14:paraId="369CD283" w14:textId="77777777" w:rsidR="00F51113" w:rsidRPr="000D643E" w:rsidRDefault="00F51113">
            <w:pPr>
              <w:pStyle w:val="TableTextbold"/>
              <w:spacing w:after="0"/>
              <w:jc w:val="center"/>
              <w:rPr>
                <w:bCs/>
                <w:color w:val="FFFFFF" w:themeColor="background1"/>
                <w:szCs w:val="18"/>
              </w:rPr>
            </w:pPr>
            <w:r w:rsidRPr="000D643E">
              <w:rPr>
                <w:bCs/>
                <w:color w:val="FFFFFF" w:themeColor="background1"/>
                <w:szCs w:val="18"/>
              </w:rPr>
              <w:t>Historical</w:t>
            </w:r>
          </w:p>
        </w:tc>
        <w:tc>
          <w:tcPr>
            <w:tcW w:w="2485" w:type="pct"/>
            <w:gridSpan w:val="7"/>
            <w:tcBorders>
              <w:top w:val="nil"/>
              <w:bottom w:val="single" w:sz="4" w:space="0" w:color="1B556B"/>
            </w:tcBorders>
            <w:shd w:val="clear" w:color="000000" w:fill="1B556B"/>
            <w:vAlign w:val="center"/>
            <w:hideMark/>
          </w:tcPr>
          <w:p w14:paraId="3944BA91" w14:textId="77777777" w:rsidR="00F51113" w:rsidRPr="000D643E" w:rsidRDefault="00F51113">
            <w:pPr>
              <w:pStyle w:val="TableTextbold"/>
              <w:spacing w:after="0"/>
              <w:jc w:val="center"/>
              <w:rPr>
                <w:bCs/>
                <w:color w:val="FFFFFF" w:themeColor="background1"/>
                <w:szCs w:val="18"/>
              </w:rPr>
            </w:pPr>
            <w:r w:rsidRPr="000D643E">
              <w:rPr>
                <w:bCs/>
                <w:color w:val="FFFFFF" w:themeColor="background1"/>
                <w:szCs w:val="18"/>
              </w:rPr>
              <w:t>Projected</w:t>
            </w:r>
          </w:p>
        </w:tc>
      </w:tr>
      <w:tr w:rsidR="00F51113" w:rsidRPr="000D643E" w14:paraId="021B4498" w14:textId="77777777">
        <w:trPr>
          <w:trHeight w:val="315"/>
        </w:trPr>
        <w:tc>
          <w:tcPr>
            <w:tcW w:w="381" w:type="pct"/>
            <w:tcBorders>
              <w:right w:val="nil"/>
            </w:tcBorders>
            <w:shd w:val="clear" w:color="000000" w:fill="1B556B"/>
            <w:vAlign w:val="center"/>
            <w:hideMark/>
          </w:tcPr>
          <w:p w14:paraId="0FC5CC19" w14:textId="77777777" w:rsidR="00F51113" w:rsidRPr="000D643E" w:rsidRDefault="00F51113">
            <w:pPr>
              <w:pStyle w:val="TableTextbold"/>
              <w:spacing w:before="0" w:after="40"/>
              <w:rPr>
                <w:bCs/>
                <w:color w:val="FFFFFF" w:themeColor="background1"/>
                <w:szCs w:val="18"/>
              </w:rPr>
            </w:pPr>
            <w:r w:rsidRPr="000D643E">
              <w:rPr>
                <w:bCs/>
                <w:color w:val="FFFFFF" w:themeColor="background1"/>
                <w:szCs w:val="18"/>
              </w:rPr>
              <w:t>Gas</w:t>
            </w:r>
          </w:p>
        </w:tc>
        <w:tc>
          <w:tcPr>
            <w:tcW w:w="355" w:type="pct"/>
            <w:tcBorders>
              <w:left w:val="nil"/>
              <w:right w:val="nil"/>
            </w:tcBorders>
            <w:shd w:val="clear" w:color="000000" w:fill="1B556B"/>
            <w:vAlign w:val="center"/>
            <w:hideMark/>
          </w:tcPr>
          <w:p w14:paraId="32339959" w14:textId="77777777" w:rsidR="00F51113" w:rsidRPr="000D643E" w:rsidRDefault="00F51113">
            <w:pPr>
              <w:pStyle w:val="TableTextbold"/>
              <w:spacing w:before="0" w:after="40"/>
              <w:jc w:val="center"/>
              <w:rPr>
                <w:bCs/>
                <w:color w:val="FFFFFF" w:themeColor="background1"/>
                <w:szCs w:val="18"/>
              </w:rPr>
            </w:pPr>
            <w:r w:rsidRPr="000D643E">
              <w:rPr>
                <w:bCs/>
                <w:color w:val="FFFFFF" w:themeColor="background1"/>
                <w:szCs w:val="18"/>
              </w:rPr>
              <w:t>1990</w:t>
            </w:r>
          </w:p>
        </w:tc>
        <w:tc>
          <w:tcPr>
            <w:tcW w:w="355" w:type="pct"/>
            <w:tcBorders>
              <w:left w:val="nil"/>
              <w:right w:val="nil"/>
            </w:tcBorders>
            <w:shd w:val="clear" w:color="000000" w:fill="1B556B"/>
            <w:vAlign w:val="center"/>
            <w:hideMark/>
          </w:tcPr>
          <w:p w14:paraId="008EC301" w14:textId="77777777" w:rsidR="00F51113" w:rsidRPr="000D643E" w:rsidRDefault="00F51113">
            <w:pPr>
              <w:pStyle w:val="TableTextbold"/>
              <w:spacing w:before="0" w:after="40"/>
              <w:jc w:val="center"/>
              <w:rPr>
                <w:bCs/>
                <w:color w:val="FFFFFF" w:themeColor="background1"/>
                <w:szCs w:val="18"/>
              </w:rPr>
            </w:pPr>
            <w:r w:rsidRPr="000D643E">
              <w:rPr>
                <w:bCs/>
                <w:color w:val="FFFFFF" w:themeColor="background1"/>
                <w:szCs w:val="18"/>
              </w:rPr>
              <w:t>1995</w:t>
            </w:r>
          </w:p>
        </w:tc>
        <w:tc>
          <w:tcPr>
            <w:tcW w:w="355" w:type="pct"/>
            <w:tcBorders>
              <w:left w:val="nil"/>
              <w:right w:val="nil"/>
            </w:tcBorders>
            <w:shd w:val="clear" w:color="000000" w:fill="1B556B"/>
            <w:vAlign w:val="center"/>
            <w:hideMark/>
          </w:tcPr>
          <w:p w14:paraId="7FDB9E67" w14:textId="77777777" w:rsidR="00F51113" w:rsidRPr="000D643E" w:rsidRDefault="00F51113">
            <w:pPr>
              <w:pStyle w:val="TableTextbold"/>
              <w:spacing w:before="0" w:after="40"/>
              <w:jc w:val="center"/>
              <w:rPr>
                <w:bCs/>
                <w:color w:val="FFFFFF" w:themeColor="background1"/>
                <w:szCs w:val="18"/>
              </w:rPr>
            </w:pPr>
            <w:r w:rsidRPr="000D643E">
              <w:rPr>
                <w:bCs/>
                <w:color w:val="FFFFFF" w:themeColor="background1"/>
                <w:szCs w:val="18"/>
              </w:rPr>
              <w:t>2000</w:t>
            </w:r>
          </w:p>
        </w:tc>
        <w:tc>
          <w:tcPr>
            <w:tcW w:w="355" w:type="pct"/>
            <w:tcBorders>
              <w:left w:val="nil"/>
              <w:right w:val="nil"/>
            </w:tcBorders>
            <w:shd w:val="clear" w:color="000000" w:fill="1B556B"/>
            <w:vAlign w:val="center"/>
            <w:hideMark/>
          </w:tcPr>
          <w:p w14:paraId="2758D998" w14:textId="77777777" w:rsidR="00F51113" w:rsidRPr="000D643E" w:rsidRDefault="00F51113">
            <w:pPr>
              <w:pStyle w:val="TableTextbold"/>
              <w:spacing w:before="0" w:after="40"/>
              <w:jc w:val="center"/>
              <w:rPr>
                <w:bCs/>
                <w:color w:val="FFFFFF" w:themeColor="background1"/>
                <w:szCs w:val="18"/>
              </w:rPr>
            </w:pPr>
            <w:r w:rsidRPr="000D643E">
              <w:rPr>
                <w:bCs/>
                <w:color w:val="FFFFFF" w:themeColor="background1"/>
                <w:szCs w:val="18"/>
              </w:rPr>
              <w:t>2005</w:t>
            </w:r>
          </w:p>
        </w:tc>
        <w:tc>
          <w:tcPr>
            <w:tcW w:w="355" w:type="pct"/>
            <w:tcBorders>
              <w:left w:val="nil"/>
              <w:right w:val="nil"/>
            </w:tcBorders>
            <w:shd w:val="clear" w:color="000000" w:fill="1B556B"/>
            <w:vAlign w:val="center"/>
            <w:hideMark/>
          </w:tcPr>
          <w:p w14:paraId="16A06B1F" w14:textId="77777777" w:rsidR="00F51113" w:rsidRPr="000D643E" w:rsidRDefault="00F51113">
            <w:pPr>
              <w:pStyle w:val="TableTextbold"/>
              <w:spacing w:before="0" w:after="40"/>
              <w:jc w:val="center"/>
              <w:rPr>
                <w:bCs/>
                <w:color w:val="FFFFFF" w:themeColor="background1"/>
                <w:szCs w:val="18"/>
              </w:rPr>
            </w:pPr>
            <w:r w:rsidRPr="000D643E">
              <w:rPr>
                <w:bCs/>
                <w:color w:val="FFFFFF" w:themeColor="background1"/>
                <w:szCs w:val="18"/>
              </w:rPr>
              <w:t>2010</w:t>
            </w:r>
          </w:p>
        </w:tc>
        <w:tc>
          <w:tcPr>
            <w:tcW w:w="358" w:type="pct"/>
            <w:tcBorders>
              <w:left w:val="nil"/>
              <w:right w:val="nil"/>
            </w:tcBorders>
            <w:shd w:val="clear" w:color="000000" w:fill="1B556B"/>
            <w:vAlign w:val="center"/>
            <w:hideMark/>
          </w:tcPr>
          <w:p w14:paraId="233A4201" w14:textId="77777777" w:rsidR="00F51113" w:rsidRPr="000D643E" w:rsidRDefault="00F51113">
            <w:pPr>
              <w:pStyle w:val="TableTextbold"/>
              <w:spacing w:before="0" w:after="40"/>
              <w:jc w:val="center"/>
              <w:rPr>
                <w:bCs/>
                <w:color w:val="FFFFFF" w:themeColor="background1"/>
                <w:szCs w:val="18"/>
              </w:rPr>
            </w:pPr>
            <w:r w:rsidRPr="000D643E">
              <w:rPr>
                <w:bCs/>
                <w:color w:val="FFFFFF" w:themeColor="background1"/>
                <w:szCs w:val="18"/>
              </w:rPr>
              <w:t>2015</w:t>
            </w:r>
          </w:p>
        </w:tc>
        <w:tc>
          <w:tcPr>
            <w:tcW w:w="355" w:type="pct"/>
            <w:tcBorders>
              <w:left w:val="nil"/>
              <w:right w:val="nil"/>
            </w:tcBorders>
            <w:shd w:val="clear" w:color="000000" w:fill="1B556B"/>
            <w:vAlign w:val="center"/>
            <w:hideMark/>
          </w:tcPr>
          <w:p w14:paraId="0D02ED9E" w14:textId="77777777" w:rsidR="00F51113" w:rsidRPr="000D643E" w:rsidRDefault="00F51113">
            <w:pPr>
              <w:pStyle w:val="TableTextbold"/>
              <w:spacing w:before="0" w:after="40"/>
              <w:jc w:val="center"/>
              <w:rPr>
                <w:bCs/>
                <w:color w:val="FFFFFF" w:themeColor="background1"/>
                <w:szCs w:val="18"/>
              </w:rPr>
            </w:pPr>
            <w:r w:rsidRPr="000D643E">
              <w:rPr>
                <w:bCs/>
                <w:color w:val="FFFFFF" w:themeColor="background1"/>
                <w:szCs w:val="18"/>
              </w:rPr>
              <w:t>2020</w:t>
            </w:r>
          </w:p>
        </w:tc>
        <w:tc>
          <w:tcPr>
            <w:tcW w:w="355" w:type="pct"/>
            <w:tcBorders>
              <w:left w:val="nil"/>
              <w:right w:val="nil"/>
            </w:tcBorders>
            <w:shd w:val="clear" w:color="000000" w:fill="1B556B"/>
            <w:vAlign w:val="center"/>
            <w:hideMark/>
          </w:tcPr>
          <w:p w14:paraId="4462844A" w14:textId="77777777" w:rsidR="00F51113" w:rsidRPr="000D643E" w:rsidRDefault="00F51113">
            <w:pPr>
              <w:pStyle w:val="TableTextbold"/>
              <w:spacing w:before="0" w:after="40"/>
              <w:jc w:val="center"/>
              <w:rPr>
                <w:bCs/>
                <w:color w:val="FFFFFF" w:themeColor="background1"/>
                <w:szCs w:val="18"/>
              </w:rPr>
            </w:pPr>
            <w:r w:rsidRPr="000D643E">
              <w:rPr>
                <w:bCs/>
                <w:color w:val="FFFFFF" w:themeColor="background1"/>
                <w:szCs w:val="18"/>
              </w:rPr>
              <w:t>2025</w:t>
            </w:r>
          </w:p>
        </w:tc>
        <w:tc>
          <w:tcPr>
            <w:tcW w:w="355" w:type="pct"/>
            <w:tcBorders>
              <w:left w:val="nil"/>
              <w:right w:val="nil"/>
            </w:tcBorders>
            <w:shd w:val="clear" w:color="000000" w:fill="1B556B"/>
            <w:vAlign w:val="center"/>
            <w:hideMark/>
          </w:tcPr>
          <w:p w14:paraId="1279E613" w14:textId="77777777" w:rsidR="00F51113" w:rsidRPr="000D643E" w:rsidRDefault="00F51113">
            <w:pPr>
              <w:pStyle w:val="TableTextbold"/>
              <w:spacing w:before="0" w:after="40"/>
              <w:jc w:val="center"/>
              <w:rPr>
                <w:bCs/>
                <w:color w:val="FFFFFF" w:themeColor="background1"/>
                <w:szCs w:val="18"/>
              </w:rPr>
            </w:pPr>
            <w:r w:rsidRPr="000D643E">
              <w:rPr>
                <w:bCs/>
                <w:color w:val="FFFFFF" w:themeColor="background1"/>
                <w:szCs w:val="18"/>
              </w:rPr>
              <w:t>2030</w:t>
            </w:r>
          </w:p>
        </w:tc>
        <w:tc>
          <w:tcPr>
            <w:tcW w:w="355" w:type="pct"/>
            <w:tcBorders>
              <w:left w:val="nil"/>
              <w:right w:val="nil"/>
            </w:tcBorders>
            <w:shd w:val="clear" w:color="000000" w:fill="1B556B"/>
            <w:vAlign w:val="center"/>
            <w:hideMark/>
          </w:tcPr>
          <w:p w14:paraId="697C1C8C" w14:textId="77777777" w:rsidR="00F51113" w:rsidRPr="000D643E" w:rsidRDefault="00F51113">
            <w:pPr>
              <w:pStyle w:val="TableTextbold"/>
              <w:spacing w:before="0" w:after="40"/>
              <w:jc w:val="center"/>
              <w:rPr>
                <w:bCs/>
                <w:color w:val="FFFFFF" w:themeColor="background1"/>
                <w:szCs w:val="18"/>
              </w:rPr>
            </w:pPr>
            <w:r w:rsidRPr="000D643E">
              <w:rPr>
                <w:bCs/>
                <w:color w:val="FFFFFF" w:themeColor="background1"/>
                <w:szCs w:val="18"/>
              </w:rPr>
              <w:t>2035</w:t>
            </w:r>
          </w:p>
        </w:tc>
        <w:tc>
          <w:tcPr>
            <w:tcW w:w="355" w:type="pct"/>
            <w:tcBorders>
              <w:left w:val="nil"/>
              <w:right w:val="nil"/>
            </w:tcBorders>
            <w:shd w:val="clear" w:color="000000" w:fill="1B556B"/>
            <w:vAlign w:val="center"/>
            <w:hideMark/>
          </w:tcPr>
          <w:p w14:paraId="59602929" w14:textId="77777777" w:rsidR="00F51113" w:rsidRPr="000D643E" w:rsidRDefault="00F51113">
            <w:pPr>
              <w:pStyle w:val="TableTextbold"/>
              <w:spacing w:before="0" w:after="40"/>
              <w:jc w:val="center"/>
              <w:rPr>
                <w:bCs/>
                <w:color w:val="FFFFFF" w:themeColor="background1"/>
                <w:szCs w:val="18"/>
              </w:rPr>
            </w:pPr>
            <w:r w:rsidRPr="000D643E">
              <w:rPr>
                <w:bCs/>
                <w:color w:val="FFFFFF" w:themeColor="background1"/>
                <w:szCs w:val="18"/>
              </w:rPr>
              <w:t>2040</w:t>
            </w:r>
          </w:p>
        </w:tc>
        <w:tc>
          <w:tcPr>
            <w:tcW w:w="355" w:type="pct"/>
            <w:tcBorders>
              <w:left w:val="nil"/>
              <w:right w:val="nil"/>
            </w:tcBorders>
            <w:shd w:val="clear" w:color="000000" w:fill="1B556B"/>
            <w:vAlign w:val="center"/>
            <w:hideMark/>
          </w:tcPr>
          <w:p w14:paraId="5917DEDD" w14:textId="77777777" w:rsidR="00F51113" w:rsidRPr="000D643E" w:rsidRDefault="00F51113">
            <w:pPr>
              <w:pStyle w:val="TableTextbold"/>
              <w:spacing w:before="0" w:after="40"/>
              <w:jc w:val="center"/>
              <w:rPr>
                <w:bCs/>
                <w:color w:val="FFFFFF" w:themeColor="background1"/>
                <w:szCs w:val="18"/>
              </w:rPr>
            </w:pPr>
            <w:r w:rsidRPr="000D643E">
              <w:rPr>
                <w:bCs/>
                <w:color w:val="FFFFFF" w:themeColor="background1"/>
                <w:szCs w:val="18"/>
              </w:rPr>
              <w:t>2045</w:t>
            </w:r>
          </w:p>
        </w:tc>
        <w:tc>
          <w:tcPr>
            <w:tcW w:w="356" w:type="pct"/>
            <w:tcBorders>
              <w:left w:val="nil"/>
            </w:tcBorders>
            <w:shd w:val="clear" w:color="000000" w:fill="1B556B"/>
            <w:vAlign w:val="center"/>
            <w:hideMark/>
          </w:tcPr>
          <w:p w14:paraId="03CD9D61" w14:textId="77777777" w:rsidR="00F51113" w:rsidRPr="000D643E" w:rsidRDefault="00F51113">
            <w:pPr>
              <w:pStyle w:val="TableTextbold"/>
              <w:spacing w:before="0" w:after="40"/>
              <w:jc w:val="center"/>
              <w:rPr>
                <w:bCs/>
                <w:color w:val="FFFFFF" w:themeColor="background1"/>
                <w:szCs w:val="18"/>
              </w:rPr>
            </w:pPr>
            <w:r w:rsidRPr="000D643E">
              <w:rPr>
                <w:bCs/>
                <w:color w:val="FFFFFF" w:themeColor="background1"/>
                <w:szCs w:val="18"/>
              </w:rPr>
              <w:t>2050</w:t>
            </w:r>
          </w:p>
        </w:tc>
      </w:tr>
      <w:tr w:rsidR="00F51113" w:rsidRPr="000D643E" w14:paraId="37A3BDF7" w14:textId="77777777">
        <w:trPr>
          <w:trHeight w:val="315"/>
        </w:trPr>
        <w:tc>
          <w:tcPr>
            <w:tcW w:w="381" w:type="pct"/>
            <w:shd w:val="clear" w:color="auto" w:fill="auto"/>
            <w:vAlign w:val="center"/>
            <w:hideMark/>
          </w:tcPr>
          <w:p w14:paraId="6B233117" w14:textId="77777777" w:rsidR="00F51113" w:rsidRPr="000D643E" w:rsidRDefault="00F51113">
            <w:pPr>
              <w:pStyle w:val="TableText"/>
              <w:spacing w:before="40" w:after="40"/>
              <w:rPr>
                <w:szCs w:val="18"/>
              </w:rPr>
            </w:pPr>
            <w:r w:rsidRPr="000D643E">
              <w:rPr>
                <w:szCs w:val="18"/>
              </w:rPr>
              <w:t>CO</w:t>
            </w:r>
            <w:r w:rsidRPr="000D643E">
              <w:rPr>
                <w:szCs w:val="18"/>
                <w:vertAlign w:val="subscript"/>
              </w:rPr>
              <w:t>2</w:t>
            </w:r>
          </w:p>
        </w:tc>
        <w:tc>
          <w:tcPr>
            <w:tcW w:w="355" w:type="pct"/>
            <w:shd w:val="clear" w:color="auto" w:fill="auto"/>
            <w:vAlign w:val="center"/>
          </w:tcPr>
          <w:p w14:paraId="401F3033" w14:textId="77777777" w:rsidR="00F51113" w:rsidRPr="000D643E" w:rsidRDefault="00F51113">
            <w:pPr>
              <w:pStyle w:val="TableText"/>
              <w:spacing w:before="40" w:after="40"/>
              <w:jc w:val="center"/>
              <w:rPr>
                <w:szCs w:val="18"/>
              </w:rPr>
            </w:pPr>
            <w:r w:rsidRPr="000D643E">
              <w:rPr>
                <w:szCs w:val="18"/>
              </w:rPr>
              <w:t>–24.3</w:t>
            </w:r>
          </w:p>
        </w:tc>
        <w:tc>
          <w:tcPr>
            <w:tcW w:w="355" w:type="pct"/>
            <w:shd w:val="clear" w:color="auto" w:fill="auto"/>
            <w:vAlign w:val="center"/>
          </w:tcPr>
          <w:p w14:paraId="0788F437" w14:textId="77777777" w:rsidR="00F51113" w:rsidRPr="000D643E" w:rsidRDefault="00F51113">
            <w:pPr>
              <w:pStyle w:val="TableText"/>
              <w:spacing w:before="40" w:after="40"/>
              <w:jc w:val="center"/>
              <w:rPr>
                <w:szCs w:val="18"/>
              </w:rPr>
            </w:pPr>
            <w:r w:rsidRPr="000D643E">
              <w:rPr>
                <w:szCs w:val="18"/>
              </w:rPr>
              <w:t>–23.8</w:t>
            </w:r>
          </w:p>
        </w:tc>
        <w:tc>
          <w:tcPr>
            <w:tcW w:w="355" w:type="pct"/>
            <w:shd w:val="clear" w:color="auto" w:fill="auto"/>
            <w:vAlign w:val="center"/>
          </w:tcPr>
          <w:p w14:paraId="2C0D93BC" w14:textId="77777777" w:rsidR="00F51113" w:rsidRPr="000D643E" w:rsidRDefault="00F51113">
            <w:pPr>
              <w:pStyle w:val="TableText"/>
              <w:spacing w:before="40" w:after="40"/>
              <w:jc w:val="center"/>
              <w:rPr>
                <w:szCs w:val="18"/>
              </w:rPr>
            </w:pPr>
            <w:r w:rsidRPr="000D643E">
              <w:rPr>
                <w:szCs w:val="18"/>
              </w:rPr>
              <w:t>–27.1</w:t>
            </w:r>
          </w:p>
        </w:tc>
        <w:tc>
          <w:tcPr>
            <w:tcW w:w="355" w:type="pct"/>
            <w:shd w:val="clear" w:color="auto" w:fill="auto"/>
            <w:vAlign w:val="center"/>
          </w:tcPr>
          <w:p w14:paraId="1FE95E27" w14:textId="77777777" w:rsidR="00F51113" w:rsidRPr="000D643E" w:rsidRDefault="00F51113">
            <w:pPr>
              <w:pStyle w:val="TableText"/>
              <w:spacing w:before="40" w:after="40"/>
              <w:jc w:val="center"/>
              <w:rPr>
                <w:szCs w:val="18"/>
              </w:rPr>
            </w:pPr>
            <w:r w:rsidRPr="000D643E">
              <w:rPr>
                <w:szCs w:val="18"/>
              </w:rPr>
              <w:t>–27.1</w:t>
            </w:r>
          </w:p>
        </w:tc>
        <w:tc>
          <w:tcPr>
            <w:tcW w:w="355" w:type="pct"/>
            <w:shd w:val="clear" w:color="auto" w:fill="auto"/>
            <w:vAlign w:val="center"/>
          </w:tcPr>
          <w:p w14:paraId="56CDC340" w14:textId="77777777" w:rsidR="00F51113" w:rsidRPr="000D643E" w:rsidRDefault="00F51113">
            <w:pPr>
              <w:pStyle w:val="TableText"/>
              <w:spacing w:before="40" w:after="40"/>
              <w:jc w:val="center"/>
              <w:rPr>
                <w:szCs w:val="18"/>
              </w:rPr>
            </w:pPr>
            <w:r w:rsidRPr="000D643E">
              <w:rPr>
                <w:szCs w:val="18"/>
              </w:rPr>
              <w:t>–27.5</w:t>
            </w:r>
          </w:p>
        </w:tc>
        <w:tc>
          <w:tcPr>
            <w:tcW w:w="358" w:type="pct"/>
            <w:shd w:val="clear" w:color="auto" w:fill="auto"/>
            <w:vAlign w:val="center"/>
          </w:tcPr>
          <w:p w14:paraId="2EC85A39" w14:textId="77777777" w:rsidR="00F51113" w:rsidRPr="000D643E" w:rsidRDefault="00F51113">
            <w:pPr>
              <w:pStyle w:val="TableText"/>
              <w:spacing w:before="40" w:after="40"/>
              <w:jc w:val="center"/>
              <w:rPr>
                <w:szCs w:val="18"/>
              </w:rPr>
            </w:pPr>
            <w:r w:rsidRPr="000D643E">
              <w:rPr>
                <w:szCs w:val="18"/>
              </w:rPr>
              <w:t>–23.8</w:t>
            </w:r>
          </w:p>
        </w:tc>
        <w:tc>
          <w:tcPr>
            <w:tcW w:w="355" w:type="pct"/>
            <w:shd w:val="clear" w:color="auto" w:fill="auto"/>
            <w:vAlign w:val="center"/>
          </w:tcPr>
          <w:p w14:paraId="573A0CBB" w14:textId="77777777" w:rsidR="00F51113" w:rsidRPr="000D643E" w:rsidRDefault="00F51113">
            <w:pPr>
              <w:pStyle w:val="TableText"/>
              <w:spacing w:before="40" w:after="40"/>
              <w:jc w:val="center"/>
              <w:rPr>
                <w:szCs w:val="18"/>
              </w:rPr>
            </w:pPr>
            <w:r w:rsidRPr="000D643E">
              <w:rPr>
                <w:szCs w:val="18"/>
              </w:rPr>
              <w:t>–15.0</w:t>
            </w:r>
          </w:p>
        </w:tc>
        <w:tc>
          <w:tcPr>
            <w:tcW w:w="355" w:type="pct"/>
            <w:shd w:val="clear" w:color="000000" w:fill="D2DDE1"/>
            <w:vAlign w:val="center"/>
          </w:tcPr>
          <w:p w14:paraId="69073B79" w14:textId="77777777" w:rsidR="00F51113" w:rsidRPr="000D643E" w:rsidRDefault="00F51113">
            <w:pPr>
              <w:pStyle w:val="TableText"/>
              <w:spacing w:before="40" w:after="40"/>
              <w:jc w:val="center"/>
              <w:rPr>
                <w:szCs w:val="18"/>
              </w:rPr>
            </w:pPr>
            <w:r w:rsidRPr="000D643E">
              <w:rPr>
                <w:szCs w:val="18"/>
              </w:rPr>
              <w:t>–5.4</w:t>
            </w:r>
          </w:p>
        </w:tc>
        <w:tc>
          <w:tcPr>
            <w:tcW w:w="355" w:type="pct"/>
            <w:shd w:val="clear" w:color="000000" w:fill="D2DDE1"/>
            <w:vAlign w:val="center"/>
          </w:tcPr>
          <w:p w14:paraId="55816D1E" w14:textId="77777777" w:rsidR="00F51113" w:rsidRPr="000D643E" w:rsidRDefault="00F51113">
            <w:pPr>
              <w:pStyle w:val="TableText"/>
              <w:spacing w:before="40" w:after="40"/>
              <w:jc w:val="center"/>
              <w:rPr>
                <w:szCs w:val="18"/>
              </w:rPr>
            </w:pPr>
            <w:r w:rsidRPr="000D643E">
              <w:rPr>
                <w:szCs w:val="18"/>
              </w:rPr>
              <w:t>–2.3</w:t>
            </w:r>
          </w:p>
        </w:tc>
        <w:tc>
          <w:tcPr>
            <w:tcW w:w="355" w:type="pct"/>
            <w:shd w:val="clear" w:color="000000" w:fill="D2DDE1"/>
            <w:vAlign w:val="center"/>
          </w:tcPr>
          <w:p w14:paraId="614401C5" w14:textId="77777777" w:rsidR="00F51113" w:rsidRPr="000D643E" w:rsidRDefault="00F51113">
            <w:pPr>
              <w:pStyle w:val="TableText"/>
              <w:spacing w:before="40" w:after="40"/>
              <w:jc w:val="center"/>
              <w:rPr>
                <w:szCs w:val="18"/>
              </w:rPr>
            </w:pPr>
            <w:r w:rsidRPr="000D643E">
              <w:rPr>
                <w:szCs w:val="18"/>
              </w:rPr>
              <w:t>–7.2</w:t>
            </w:r>
          </w:p>
        </w:tc>
        <w:tc>
          <w:tcPr>
            <w:tcW w:w="355" w:type="pct"/>
            <w:shd w:val="clear" w:color="000000" w:fill="D2DDE1"/>
            <w:vAlign w:val="center"/>
          </w:tcPr>
          <w:p w14:paraId="0904D5A9" w14:textId="77777777" w:rsidR="00F51113" w:rsidRPr="000D643E" w:rsidRDefault="00F51113">
            <w:pPr>
              <w:pStyle w:val="TableText"/>
              <w:spacing w:before="40" w:after="40"/>
              <w:jc w:val="center"/>
              <w:rPr>
                <w:szCs w:val="18"/>
              </w:rPr>
            </w:pPr>
            <w:r w:rsidRPr="000D643E">
              <w:rPr>
                <w:szCs w:val="18"/>
              </w:rPr>
              <w:t>0.6</w:t>
            </w:r>
          </w:p>
        </w:tc>
        <w:tc>
          <w:tcPr>
            <w:tcW w:w="355" w:type="pct"/>
            <w:shd w:val="clear" w:color="000000" w:fill="D2DDE1"/>
            <w:vAlign w:val="center"/>
          </w:tcPr>
          <w:p w14:paraId="198567DF" w14:textId="77777777" w:rsidR="00F51113" w:rsidRPr="000D643E" w:rsidRDefault="00F51113">
            <w:pPr>
              <w:pStyle w:val="TableText"/>
              <w:spacing w:before="40" w:after="40"/>
              <w:jc w:val="center"/>
              <w:rPr>
                <w:szCs w:val="18"/>
              </w:rPr>
            </w:pPr>
            <w:r w:rsidRPr="000D643E">
              <w:rPr>
                <w:szCs w:val="18"/>
              </w:rPr>
              <w:t>–0.6</w:t>
            </w:r>
          </w:p>
        </w:tc>
        <w:tc>
          <w:tcPr>
            <w:tcW w:w="356" w:type="pct"/>
            <w:shd w:val="clear" w:color="000000" w:fill="D2DDE1"/>
            <w:vAlign w:val="center"/>
          </w:tcPr>
          <w:p w14:paraId="2DEEA7AF" w14:textId="77777777" w:rsidR="00F51113" w:rsidRPr="000D643E" w:rsidRDefault="00F51113">
            <w:pPr>
              <w:pStyle w:val="TableText"/>
              <w:spacing w:before="40" w:after="40"/>
              <w:jc w:val="center"/>
              <w:rPr>
                <w:szCs w:val="18"/>
              </w:rPr>
            </w:pPr>
            <w:r w:rsidRPr="000D643E">
              <w:rPr>
                <w:szCs w:val="18"/>
              </w:rPr>
              <w:t>–10.6</w:t>
            </w:r>
          </w:p>
        </w:tc>
      </w:tr>
      <w:tr w:rsidR="00F51113" w:rsidRPr="000D643E" w14:paraId="2EFE5808" w14:textId="77777777">
        <w:trPr>
          <w:trHeight w:val="315"/>
        </w:trPr>
        <w:tc>
          <w:tcPr>
            <w:tcW w:w="381" w:type="pct"/>
            <w:shd w:val="clear" w:color="auto" w:fill="auto"/>
            <w:vAlign w:val="center"/>
            <w:hideMark/>
          </w:tcPr>
          <w:p w14:paraId="1FBB7AF5" w14:textId="77777777" w:rsidR="00F51113" w:rsidRPr="000D643E" w:rsidRDefault="00F51113">
            <w:pPr>
              <w:pStyle w:val="TableTextbold"/>
              <w:spacing w:before="40" w:after="40"/>
              <w:rPr>
                <w:szCs w:val="18"/>
              </w:rPr>
            </w:pPr>
            <w:r w:rsidRPr="000D643E">
              <w:rPr>
                <w:szCs w:val="18"/>
              </w:rPr>
              <w:t>Total</w:t>
            </w:r>
          </w:p>
        </w:tc>
        <w:tc>
          <w:tcPr>
            <w:tcW w:w="355" w:type="pct"/>
            <w:shd w:val="clear" w:color="auto" w:fill="auto"/>
            <w:vAlign w:val="center"/>
          </w:tcPr>
          <w:p w14:paraId="7668D4C1" w14:textId="77777777" w:rsidR="00F51113" w:rsidRPr="000D643E" w:rsidRDefault="00F51113">
            <w:pPr>
              <w:pStyle w:val="TableTextbold"/>
              <w:spacing w:before="40" w:after="40"/>
              <w:jc w:val="center"/>
              <w:rPr>
                <w:szCs w:val="18"/>
              </w:rPr>
            </w:pPr>
            <w:r w:rsidRPr="000D643E">
              <w:rPr>
                <w:szCs w:val="18"/>
              </w:rPr>
              <w:t>–24.3</w:t>
            </w:r>
          </w:p>
        </w:tc>
        <w:tc>
          <w:tcPr>
            <w:tcW w:w="355" w:type="pct"/>
            <w:shd w:val="clear" w:color="auto" w:fill="auto"/>
            <w:vAlign w:val="center"/>
          </w:tcPr>
          <w:p w14:paraId="2EB6E275" w14:textId="77777777" w:rsidR="00F51113" w:rsidRPr="000D643E" w:rsidRDefault="00F51113">
            <w:pPr>
              <w:pStyle w:val="TableTextbold"/>
              <w:spacing w:before="40" w:after="40"/>
              <w:jc w:val="center"/>
              <w:rPr>
                <w:szCs w:val="18"/>
              </w:rPr>
            </w:pPr>
            <w:r w:rsidRPr="000D643E">
              <w:rPr>
                <w:szCs w:val="18"/>
              </w:rPr>
              <w:t>–23.8</w:t>
            </w:r>
          </w:p>
        </w:tc>
        <w:tc>
          <w:tcPr>
            <w:tcW w:w="355" w:type="pct"/>
            <w:shd w:val="clear" w:color="auto" w:fill="auto"/>
            <w:vAlign w:val="center"/>
          </w:tcPr>
          <w:p w14:paraId="391A5D2C" w14:textId="77777777" w:rsidR="00F51113" w:rsidRPr="000D643E" w:rsidRDefault="00F51113">
            <w:pPr>
              <w:pStyle w:val="TableTextbold"/>
              <w:spacing w:before="40" w:after="40"/>
              <w:jc w:val="center"/>
              <w:rPr>
                <w:szCs w:val="18"/>
              </w:rPr>
            </w:pPr>
            <w:r w:rsidRPr="000D643E">
              <w:rPr>
                <w:szCs w:val="18"/>
              </w:rPr>
              <w:t>–27.1</w:t>
            </w:r>
          </w:p>
        </w:tc>
        <w:tc>
          <w:tcPr>
            <w:tcW w:w="355" w:type="pct"/>
            <w:shd w:val="clear" w:color="auto" w:fill="auto"/>
            <w:vAlign w:val="center"/>
          </w:tcPr>
          <w:p w14:paraId="43754371" w14:textId="77777777" w:rsidR="00F51113" w:rsidRPr="000D643E" w:rsidRDefault="00F51113">
            <w:pPr>
              <w:pStyle w:val="TableTextbold"/>
              <w:spacing w:before="40" w:after="40"/>
              <w:jc w:val="center"/>
              <w:rPr>
                <w:szCs w:val="18"/>
              </w:rPr>
            </w:pPr>
            <w:r w:rsidRPr="000D643E">
              <w:rPr>
                <w:szCs w:val="18"/>
              </w:rPr>
              <w:t>–27.1</w:t>
            </w:r>
          </w:p>
        </w:tc>
        <w:tc>
          <w:tcPr>
            <w:tcW w:w="355" w:type="pct"/>
            <w:shd w:val="clear" w:color="auto" w:fill="auto"/>
            <w:vAlign w:val="center"/>
          </w:tcPr>
          <w:p w14:paraId="04A91375" w14:textId="77777777" w:rsidR="00F51113" w:rsidRPr="000D643E" w:rsidRDefault="00F51113">
            <w:pPr>
              <w:pStyle w:val="TableTextbold"/>
              <w:spacing w:before="40" w:after="40"/>
              <w:jc w:val="center"/>
              <w:rPr>
                <w:szCs w:val="18"/>
              </w:rPr>
            </w:pPr>
            <w:r w:rsidRPr="000D643E">
              <w:rPr>
                <w:szCs w:val="18"/>
              </w:rPr>
              <w:t>–27.5</w:t>
            </w:r>
          </w:p>
        </w:tc>
        <w:tc>
          <w:tcPr>
            <w:tcW w:w="358" w:type="pct"/>
            <w:shd w:val="clear" w:color="auto" w:fill="auto"/>
            <w:vAlign w:val="center"/>
          </w:tcPr>
          <w:p w14:paraId="655C14F7" w14:textId="77777777" w:rsidR="00F51113" w:rsidRPr="000D643E" w:rsidRDefault="00F51113">
            <w:pPr>
              <w:pStyle w:val="TableTextbold"/>
              <w:spacing w:before="40" w:after="40"/>
              <w:jc w:val="center"/>
              <w:rPr>
                <w:szCs w:val="18"/>
              </w:rPr>
            </w:pPr>
            <w:r w:rsidRPr="000D643E">
              <w:rPr>
                <w:szCs w:val="18"/>
              </w:rPr>
              <w:t>–23.8</w:t>
            </w:r>
          </w:p>
        </w:tc>
        <w:tc>
          <w:tcPr>
            <w:tcW w:w="355" w:type="pct"/>
            <w:shd w:val="clear" w:color="auto" w:fill="auto"/>
            <w:vAlign w:val="center"/>
          </w:tcPr>
          <w:p w14:paraId="189D410B" w14:textId="77777777" w:rsidR="00F51113" w:rsidRPr="000D643E" w:rsidRDefault="00F51113">
            <w:pPr>
              <w:pStyle w:val="TableTextbold"/>
              <w:spacing w:before="40" w:after="40"/>
              <w:jc w:val="center"/>
              <w:rPr>
                <w:szCs w:val="18"/>
              </w:rPr>
            </w:pPr>
            <w:r w:rsidRPr="000D643E">
              <w:rPr>
                <w:szCs w:val="18"/>
              </w:rPr>
              <w:t>–15.0</w:t>
            </w:r>
          </w:p>
        </w:tc>
        <w:tc>
          <w:tcPr>
            <w:tcW w:w="355" w:type="pct"/>
            <w:shd w:val="clear" w:color="000000" w:fill="D2DDE1"/>
            <w:vAlign w:val="center"/>
          </w:tcPr>
          <w:p w14:paraId="63D4F964" w14:textId="77777777" w:rsidR="00F51113" w:rsidRPr="000D643E" w:rsidRDefault="00F51113">
            <w:pPr>
              <w:pStyle w:val="TableTextbold"/>
              <w:spacing w:before="40" w:after="40"/>
              <w:jc w:val="center"/>
              <w:rPr>
                <w:szCs w:val="18"/>
              </w:rPr>
            </w:pPr>
            <w:r w:rsidRPr="000D643E">
              <w:rPr>
                <w:szCs w:val="18"/>
              </w:rPr>
              <w:t>–5.4</w:t>
            </w:r>
          </w:p>
        </w:tc>
        <w:tc>
          <w:tcPr>
            <w:tcW w:w="355" w:type="pct"/>
            <w:shd w:val="clear" w:color="000000" w:fill="D2DDE1"/>
            <w:vAlign w:val="center"/>
          </w:tcPr>
          <w:p w14:paraId="7C706C95" w14:textId="77777777" w:rsidR="00F51113" w:rsidRPr="000D643E" w:rsidRDefault="00F51113">
            <w:pPr>
              <w:pStyle w:val="TableTextbold"/>
              <w:spacing w:before="40" w:after="40"/>
              <w:jc w:val="center"/>
              <w:rPr>
                <w:szCs w:val="18"/>
              </w:rPr>
            </w:pPr>
            <w:r w:rsidRPr="000D643E">
              <w:rPr>
                <w:szCs w:val="18"/>
              </w:rPr>
              <w:t>–2.3</w:t>
            </w:r>
          </w:p>
        </w:tc>
        <w:tc>
          <w:tcPr>
            <w:tcW w:w="355" w:type="pct"/>
            <w:shd w:val="clear" w:color="000000" w:fill="D2DDE1"/>
            <w:vAlign w:val="center"/>
          </w:tcPr>
          <w:p w14:paraId="0002889E" w14:textId="77777777" w:rsidR="00F51113" w:rsidRPr="000D643E" w:rsidRDefault="00F51113">
            <w:pPr>
              <w:pStyle w:val="TableTextbold"/>
              <w:spacing w:before="40" w:after="40"/>
              <w:jc w:val="center"/>
              <w:rPr>
                <w:szCs w:val="18"/>
              </w:rPr>
            </w:pPr>
            <w:r w:rsidRPr="000D643E">
              <w:rPr>
                <w:szCs w:val="18"/>
              </w:rPr>
              <w:t>–7.2</w:t>
            </w:r>
          </w:p>
        </w:tc>
        <w:tc>
          <w:tcPr>
            <w:tcW w:w="355" w:type="pct"/>
            <w:shd w:val="clear" w:color="000000" w:fill="D2DDE1"/>
            <w:vAlign w:val="center"/>
          </w:tcPr>
          <w:p w14:paraId="7C3FCBDE" w14:textId="77777777" w:rsidR="00F51113" w:rsidRPr="000D643E" w:rsidRDefault="00F51113">
            <w:pPr>
              <w:pStyle w:val="TableTextbold"/>
              <w:spacing w:before="40" w:after="40"/>
              <w:jc w:val="center"/>
              <w:rPr>
                <w:szCs w:val="18"/>
              </w:rPr>
            </w:pPr>
            <w:r w:rsidRPr="000D643E">
              <w:rPr>
                <w:szCs w:val="18"/>
              </w:rPr>
              <w:t>0.6</w:t>
            </w:r>
          </w:p>
        </w:tc>
        <w:tc>
          <w:tcPr>
            <w:tcW w:w="355" w:type="pct"/>
            <w:shd w:val="clear" w:color="000000" w:fill="D2DDE1"/>
            <w:vAlign w:val="center"/>
          </w:tcPr>
          <w:p w14:paraId="367D05E0" w14:textId="77777777" w:rsidR="00F51113" w:rsidRPr="000D643E" w:rsidRDefault="00F51113">
            <w:pPr>
              <w:pStyle w:val="TableTextbold"/>
              <w:spacing w:before="40" w:after="40"/>
              <w:jc w:val="center"/>
              <w:rPr>
                <w:szCs w:val="18"/>
              </w:rPr>
            </w:pPr>
            <w:r w:rsidRPr="000D643E">
              <w:rPr>
                <w:szCs w:val="18"/>
              </w:rPr>
              <w:t>–0.6</w:t>
            </w:r>
          </w:p>
        </w:tc>
        <w:tc>
          <w:tcPr>
            <w:tcW w:w="356" w:type="pct"/>
            <w:shd w:val="clear" w:color="000000" w:fill="D2DDE1"/>
            <w:vAlign w:val="center"/>
          </w:tcPr>
          <w:p w14:paraId="75573E4F" w14:textId="77777777" w:rsidR="00F51113" w:rsidRPr="000D643E" w:rsidRDefault="00F51113">
            <w:pPr>
              <w:pStyle w:val="TableTextbold"/>
              <w:spacing w:before="40" w:after="40"/>
              <w:jc w:val="center"/>
              <w:rPr>
                <w:szCs w:val="18"/>
              </w:rPr>
            </w:pPr>
            <w:r w:rsidRPr="000D643E">
              <w:rPr>
                <w:szCs w:val="18"/>
              </w:rPr>
              <w:t>–10.6</w:t>
            </w:r>
          </w:p>
        </w:tc>
      </w:tr>
    </w:tbl>
    <w:p w14:paraId="6E840425" w14:textId="77777777" w:rsidR="00F51113" w:rsidRPr="004C2DCD" w:rsidRDefault="00F51113" w:rsidP="00F51113">
      <w:pPr>
        <w:pStyle w:val="Note"/>
      </w:pPr>
      <w:r w:rsidRPr="004C2DCD">
        <w:rPr>
          <w:b/>
          <w:bCs/>
        </w:rPr>
        <w:t>Note:</w:t>
      </w:r>
      <w:r w:rsidRPr="004C2DCD">
        <w:t xml:space="preserve"> CO</w:t>
      </w:r>
      <w:r w:rsidRPr="004C2DCD">
        <w:rPr>
          <w:vertAlign w:val="subscript"/>
        </w:rPr>
        <w:t>2</w:t>
      </w:r>
      <w:r w:rsidRPr="004C2DCD">
        <w:t xml:space="preserve"> = carbon dioxide.</w:t>
      </w:r>
    </w:p>
    <w:p w14:paraId="599FE618" w14:textId="77777777" w:rsidR="00F51113" w:rsidRPr="004C2DCD" w:rsidRDefault="00F51113" w:rsidP="009B131C">
      <w:pPr>
        <w:pStyle w:val="Heading3"/>
        <w:numPr>
          <w:ilvl w:val="0"/>
          <w:numId w:val="170"/>
        </w:numPr>
        <w:ind w:left="1134" w:hanging="1134"/>
      </w:pPr>
      <w:r w:rsidRPr="004C2DCD">
        <w:t>Methodologies for the ‘without measures’ scenario</w:t>
      </w:r>
    </w:p>
    <w:p w14:paraId="664AFADC" w14:textId="17945F46" w:rsidR="00F51113" w:rsidRPr="004C2DCD" w:rsidRDefault="00F51113" w:rsidP="00F51113">
      <w:pPr>
        <w:pStyle w:val="BodyText"/>
      </w:pPr>
      <w:r w:rsidRPr="004C2DCD">
        <w:t xml:space="preserve">The WOM scenario for all sectors is calculated using the same sector-based models described in </w:t>
      </w:r>
      <w:hyperlink w:anchor="section2553" w:history="1">
        <w:r w:rsidRPr="00297925">
          <w:rPr>
            <w:rStyle w:val="Hyperlink"/>
          </w:rPr>
          <w:t>section 2.5.5.3</w:t>
        </w:r>
      </w:hyperlink>
      <w:r w:rsidRPr="004C2DCD">
        <w:t xml:space="preserve"> and does not apply the ENZ model.</w:t>
      </w:r>
    </w:p>
    <w:p w14:paraId="6586C973" w14:textId="19917D87" w:rsidR="00F51113" w:rsidRPr="004C2DCD" w:rsidRDefault="00994FB5" w:rsidP="00F51113">
      <w:pPr>
        <w:pStyle w:val="Heading4"/>
      </w:pPr>
      <w:r>
        <w:t>2.5.7.3.1</w:t>
      </w:r>
      <w:r>
        <w:tab/>
      </w:r>
      <w:r w:rsidR="00F51113" w:rsidRPr="004C2DCD">
        <w:t xml:space="preserve">Energy </w:t>
      </w:r>
    </w:p>
    <w:p w14:paraId="7EEB2075" w14:textId="77777777" w:rsidR="00F51113" w:rsidRPr="004C2DCD" w:rsidRDefault="00F51113" w:rsidP="00F51113">
      <w:pPr>
        <w:pStyle w:val="BodyText"/>
      </w:pPr>
      <w:r w:rsidRPr="004C2DCD">
        <w:rPr>
          <w:spacing w:val="-2"/>
        </w:rPr>
        <w:t>The WOM scenario for the Energy sector is calculated by removing modifications made to reflec</w:t>
      </w:r>
      <w:r w:rsidRPr="004C2DCD">
        <w:t xml:space="preserve">t emissions mitigation policy impacts. The NZ ETS carbon price is set to $0, fuel switching assumptions associated with policies are reduced, and specific industry and capital expenditure adjustments are reversed. </w:t>
      </w:r>
    </w:p>
    <w:p w14:paraId="1D4926FC" w14:textId="0D95E7EE" w:rsidR="00F51113" w:rsidRPr="004C2DCD" w:rsidRDefault="00994FB5" w:rsidP="00F51113">
      <w:pPr>
        <w:pStyle w:val="Heading4"/>
      </w:pPr>
      <w:r>
        <w:t>2.5.7.3.2</w:t>
      </w:r>
      <w:r>
        <w:tab/>
      </w:r>
      <w:r w:rsidR="00F51113" w:rsidRPr="004C2DCD">
        <w:t xml:space="preserve">Transport </w:t>
      </w:r>
    </w:p>
    <w:p w14:paraId="1A695C67" w14:textId="3312B57C" w:rsidR="00F51113" w:rsidRPr="004C2DCD" w:rsidRDefault="00F51113" w:rsidP="00F51113">
      <w:pPr>
        <w:pStyle w:val="BodyText"/>
      </w:pPr>
      <w:r w:rsidRPr="004C2DCD">
        <w:t xml:space="preserve">The WOM projections start from 2021 for the Transport sector because the main transport policies, such as the Clean Car Discount Scheme and public transport bus decarbonisation, were introduced in 2021, and the Clean Car Standard in 2023. The NZ ETS price was very low and the impact of the </w:t>
      </w:r>
      <w:r w:rsidR="00C01C07">
        <w:t>road user charges</w:t>
      </w:r>
      <w:r w:rsidRPr="004C2DCD">
        <w:t xml:space="preserve"> exemption for EVs is considered very small before 2021. In addition, going back further would introduce extra uncertainty due to simulation of road vehicle scrappage and registration patterns. </w:t>
      </w:r>
    </w:p>
    <w:p w14:paraId="570AA080" w14:textId="1624AEF1" w:rsidR="00F51113" w:rsidRPr="004C2DCD" w:rsidRDefault="00994FB5" w:rsidP="00F51113">
      <w:pPr>
        <w:pStyle w:val="Heading4"/>
      </w:pPr>
      <w:r>
        <w:t>2.5.7.3.3</w:t>
      </w:r>
      <w:r>
        <w:tab/>
      </w:r>
      <w:r w:rsidR="00F51113" w:rsidRPr="004C2DCD">
        <w:t>Industrial Processes and Product Use</w:t>
      </w:r>
    </w:p>
    <w:p w14:paraId="4DBC3A79" w14:textId="77777777" w:rsidR="00F51113" w:rsidRPr="004C2DCD" w:rsidRDefault="00F51113" w:rsidP="00F51113">
      <w:pPr>
        <w:pStyle w:val="BodyText"/>
      </w:pPr>
      <w:r w:rsidRPr="004C2DCD">
        <w:t xml:space="preserve">The WOM scenario for the IPPU sector is calculated by modifying impacts to HFC emissions from policy settings. For HFC emissions, the WOM scenario does not include impacts from the Kigali Amendment phase-down and assumes no NZ ETS price, as well as negligible recycled imports, and only includes internationally driven technology shifts. </w:t>
      </w:r>
    </w:p>
    <w:p w14:paraId="491C03FB" w14:textId="2F6DE2A7" w:rsidR="00F51113" w:rsidRPr="004C2DCD" w:rsidRDefault="00994FB5" w:rsidP="00F51113">
      <w:pPr>
        <w:pStyle w:val="Heading4"/>
      </w:pPr>
      <w:r>
        <w:t>2.5.7.3.4</w:t>
      </w:r>
      <w:r>
        <w:tab/>
      </w:r>
      <w:r w:rsidR="00F51113" w:rsidRPr="004C2DCD">
        <w:t>Agriculture</w:t>
      </w:r>
    </w:p>
    <w:p w14:paraId="52D18DB9" w14:textId="6FC915CF" w:rsidR="00F51113" w:rsidRPr="004C2DCD" w:rsidRDefault="00F51113" w:rsidP="00F51113">
      <w:pPr>
        <w:pStyle w:val="BodyText"/>
      </w:pPr>
      <w:r w:rsidRPr="004C2DCD">
        <w:t>The WOM scenario for the Agriculture sector adjusts population and productivity estimates in both historical and projected years, to remove the estimated impact of NZ ETS-driven afforestation and other afforestation schemes. Sheep, beef cattle and deer populations were calculated using a percentage change in stock based on the forestry</w:t>
      </w:r>
      <w:r w:rsidR="009A3509">
        <w:t>-</w:t>
      </w:r>
      <w:r w:rsidRPr="004C2DCD">
        <w:t>driven</w:t>
      </w:r>
      <w:r w:rsidR="009A3509">
        <w:t>,</w:t>
      </w:r>
      <w:r w:rsidRPr="004C2DCD">
        <w:t xml:space="preserve"> stock change analysis.</w:t>
      </w:r>
    </w:p>
    <w:p w14:paraId="4C36CE5E" w14:textId="77777777" w:rsidR="00F51113" w:rsidRPr="004C2DCD" w:rsidRDefault="00F51113" w:rsidP="00F51113">
      <w:pPr>
        <w:pStyle w:val="BodyText"/>
      </w:pPr>
      <w:r w:rsidRPr="004C2DCD">
        <w:t>The impact of the Essential Freshwater package and nitrogen fertiliser cap was removed by adjusting relevant livestock, production and fertiliser use data.</w:t>
      </w:r>
    </w:p>
    <w:p w14:paraId="6D97D605" w14:textId="53CD36EF" w:rsidR="00F51113" w:rsidRPr="004C2DCD" w:rsidRDefault="00994FB5" w:rsidP="00F51113">
      <w:pPr>
        <w:pStyle w:val="Heading4"/>
      </w:pPr>
      <w:r>
        <w:t>2.5.7.3.5</w:t>
      </w:r>
      <w:r>
        <w:tab/>
      </w:r>
      <w:r w:rsidR="00F51113" w:rsidRPr="004C2DCD">
        <w:t>Waste</w:t>
      </w:r>
    </w:p>
    <w:p w14:paraId="74FA70E7" w14:textId="77777777" w:rsidR="00F51113" w:rsidRPr="004C2DCD" w:rsidRDefault="00F51113" w:rsidP="00F51113">
      <w:pPr>
        <w:pStyle w:val="BodyText"/>
      </w:pPr>
      <w:r w:rsidRPr="004C2DCD">
        <w:t xml:space="preserve">The WOM scenario for the Waste sector is calculated by establishing a central WEM emissions pathway and then estimating the annual emissions reductions achieved by each policy influencing it. These reductions are then added back to the WEM pathway to generate the WOM pathway. </w:t>
      </w:r>
    </w:p>
    <w:p w14:paraId="46CA4E1F" w14:textId="75C3B4BC" w:rsidR="00F51113" w:rsidRPr="004C2DCD" w:rsidRDefault="00994FB5" w:rsidP="00F51113">
      <w:pPr>
        <w:pStyle w:val="Heading4"/>
      </w:pPr>
      <w:r>
        <w:t>2.5.7.3.6</w:t>
      </w:r>
      <w:r>
        <w:tab/>
      </w:r>
      <w:r w:rsidR="00F51113" w:rsidRPr="004C2DCD">
        <w:t>Tokelau</w:t>
      </w:r>
    </w:p>
    <w:p w14:paraId="5A23CD02" w14:textId="77777777" w:rsidR="00F51113" w:rsidRPr="004C2DCD" w:rsidRDefault="00F51113" w:rsidP="00F51113">
      <w:pPr>
        <w:pStyle w:val="BodyText"/>
      </w:pPr>
      <w:r w:rsidRPr="004C2DCD">
        <w:t xml:space="preserve">Tokelau’s emissions were projected using a hybrid of a top-down and bottom-up approach. The model used is an extension of the Inventory model and assumptions on future emissions trends were made. The same methodology was used in the Fifth Biennial Report. However, assumptions have been updated and the projections are based off Inventory 2024 data. </w:t>
      </w:r>
    </w:p>
    <w:p w14:paraId="2A7CA616" w14:textId="1D8FB498" w:rsidR="00F51113" w:rsidRPr="004C2DCD" w:rsidRDefault="0042096C" w:rsidP="003A0C20">
      <w:pPr>
        <w:pStyle w:val="Heading4"/>
        <w:tabs>
          <w:tab w:val="clear" w:pos="1134"/>
          <w:tab w:val="left" w:pos="851"/>
        </w:tabs>
        <w:ind w:left="1134" w:hanging="1134"/>
      </w:pPr>
      <w:r>
        <w:t>2.5.7.3.7</w:t>
      </w:r>
      <w:r>
        <w:tab/>
      </w:r>
      <w:r w:rsidR="00B67BC9">
        <w:t>Land Use, Land-Use Change and Forestry</w:t>
      </w:r>
      <w:r w:rsidR="00F51113" w:rsidRPr="004C2DCD">
        <w:t xml:space="preserve"> (LULUCF reporting) </w:t>
      </w:r>
    </w:p>
    <w:p w14:paraId="0AFC641A" w14:textId="0997301B" w:rsidR="00F51113" w:rsidRPr="004C2DCD" w:rsidRDefault="00F51113" w:rsidP="00F51113">
      <w:pPr>
        <w:pStyle w:val="BodyText"/>
      </w:pPr>
      <w:r w:rsidRPr="004C2DCD">
        <w:t xml:space="preserve">An accurate estimate of the WOM scenario is developed by subtracting each LULUCF policy and measure from the WEM scenario. Each LULUCF policy and measure is calculated on an individual basis using a bottom-up approach and the methods for determining the impact of each policy and measure are described in </w:t>
      </w:r>
      <w:hyperlink w:anchor="section2553" w:history="1">
        <w:r w:rsidRPr="00E7298D">
          <w:rPr>
            <w:rStyle w:val="Hyperlink"/>
          </w:rPr>
          <w:t>section 2.5.5.3</w:t>
        </w:r>
      </w:hyperlink>
      <w:r w:rsidRPr="004C2DCD">
        <w:t xml:space="preserve">. Specific policy and measure exclusions are: </w:t>
      </w:r>
    </w:p>
    <w:p w14:paraId="0F98DF36" w14:textId="77777777" w:rsidR="00F51113" w:rsidRPr="004C2DCD" w:rsidRDefault="00F51113" w:rsidP="00F51113">
      <w:pPr>
        <w:pStyle w:val="Bullet"/>
      </w:pPr>
      <w:r w:rsidRPr="004C2DCD">
        <w:t>the WOM scenario excludes the estimated historical and projected effects of the NZ ETS and government forestry initiatives on net LULUCF removals</w:t>
      </w:r>
    </w:p>
    <w:p w14:paraId="76B7E312" w14:textId="77777777" w:rsidR="00F51113" w:rsidRPr="004C2DCD" w:rsidRDefault="00F51113" w:rsidP="00F51113">
      <w:pPr>
        <w:pStyle w:val="Bullet"/>
      </w:pPr>
      <w:r w:rsidRPr="004C2DCD">
        <w:t xml:space="preserve">the WOM scenario excludes the estimated impact of the NZ ETS on levels of afforestation and on pre-1990 planted forest deforestation </w:t>
      </w:r>
    </w:p>
    <w:p w14:paraId="078F1C2F" w14:textId="77777777" w:rsidR="00F51113" w:rsidRDefault="00F51113" w:rsidP="00F51113">
      <w:pPr>
        <w:pStyle w:val="Bullet"/>
      </w:pPr>
      <w:r w:rsidRPr="004C2DCD">
        <w:t>the WOM scenario also assumes the exclusion of afforestation as a direct result of government forestry initiatives, such as the Afforestation Grant Scheme, Permanent Forest Sink Initiative, Sustainable Land Management Hill Country Erosion Programme, Erosion Control Funding Programme and the One Billion Trees Programme.</w:t>
      </w:r>
    </w:p>
    <w:p w14:paraId="2A6D8024" w14:textId="77777777" w:rsidR="00921D1F" w:rsidRPr="004C2DCD" w:rsidRDefault="00921D1F" w:rsidP="00921D1F">
      <w:pPr>
        <w:pStyle w:val="BodyText"/>
      </w:pPr>
    </w:p>
    <w:bookmarkEnd w:id="605"/>
    <w:bookmarkEnd w:id="606"/>
    <w:bookmarkEnd w:id="607"/>
    <w:bookmarkEnd w:id="608"/>
    <w:bookmarkEnd w:id="609"/>
    <w:p w14:paraId="5883F498" w14:textId="77777777" w:rsidR="00E84FAC" w:rsidRDefault="00E84FAC" w:rsidP="003A0C20">
      <w:pPr>
        <w:tabs>
          <w:tab w:val="left" w:pos="851"/>
        </w:tabs>
        <w:ind w:left="1134" w:hanging="1134"/>
        <w:sectPr w:rsidR="00E84FAC" w:rsidSect="004710FB">
          <w:headerReference w:type="even" r:id="rId126"/>
          <w:headerReference w:type="default" r:id="rId127"/>
          <w:footerReference w:type="default" r:id="rId128"/>
          <w:headerReference w:type="first" r:id="rId129"/>
          <w:pgSz w:w="11907" w:h="16840" w:code="9"/>
          <w:pgMar w:top="1134" w:right="1701" w:bottom="1134" w:left="1701" w:header="567" w:footer="567" w:gutter="0"/>
          <w:cols w:space="720"/>
          <w:docGrid w:linePitch="299"/>
        </w:sectPr>
      </w:pPr>
    </w:p>
    <w:p w14:paraId="235CF69A" w14:textId="77777777" w:rsidR="00921D1F" w:rsidRPr="00DA3DD4" w:rsidRDefault="00921D1F" w:rsidP="003A0C20">
      <w:pPr>
        <w:pStyle w:val="Heading1"/>
        <w:numPr>
          <w:ilvl w:val="0"/>
          <w:numId w:val="119"/>
        </w:numPr>
        <w:tabs>
          <w:tab w:val="clear" w:pos="851"/>
          <w:tab w:val="left" w:pos="1134"/>
        </w:tabs>
        <w:ind w:left="1134" w:hanging="1134"/>
      </w:pPr>
      <w:bookmarkStart w:id="707" w:name="_Hlk184151515"/>
      <w:bookmarkStart w:id="708" w:name="section26"/>
      <w:bookmarkStart w:id="709" w:name="_Toc184825530"/>
      <w:bookmarkEnd w:id="707"/>
      <w:bookmarkEnd w:id="708"/>
      <w:r w:rsidRPr="00DA3DD4">
        <w:t>Projections of indicators necessary to track progress made in implementing and achieving Nationally Determined Contributions</w:t>
      </w:r>
      <w:bookmarkEnd w:id="709"/>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8505"/>
      </w:tblGrid>
      <w:tr w:rsidR="00921D1F" w:rsidRPr="00DA3DD4" w14:paraId="3B3968AE" w14:textId="77777777">
        <w:tc>
          <w:tcPr>
            <w:tcW w:w="8505" w:type="dxa"/>
            <w:tcBorders>
              <w:bottom w:val="single" w:sz="4" w:space="0" w:color="2C9986" w:themeColor="accent4"/>
            </w:tcBorders>
            <w:shd w:val="clear" w:color="auto" w:fill="2C9986" w:themeFill="accent4"/>
          </w:tcPr>
          <w:p w14:paraId="406D4694" w14:textId="77777777" w:rsidR="00921D1F" w:rsidRPr="00DA3DD4" w:rsidRDefault="00921D1F">
            <w:pPr>
              <w:pStyle w:val="Heading2"/>
              <w:spacing w:before="120" w:after="120"/>
              <w:rPr>
                <w:color w:val="FFFFFF" w:themeColor="background1"/>
              </w:rPr>
            </w:pPr>
            <w:bookmarkStart w:id="710" w:name="_Toc184825531"/>
            <w:r w:rsidRPr="00DA3DD4">
              <w:rPr>
                <w:color w:val="FFFFFF" w:themeColor="background1"/>
              </w:rPr>
              <w:t>Key messages</w:t>
            </w:r>
            <w:bookmarkEnd w:id="710"/>
          </w:p>
        </w:tc>
      </w:tr>
      <w:tr w:rsidR="00921D1F" w:rsidRPr="00DA3DD4" w14:paraId="38F9685F" w14:textId="77777777">
        <w:tc>
          <w:tcPr>
            <w:tcW w:w="8505" w:type="dxa"/>
            <w:tcBorders>
              <w:top w:val="single" w:sz="4" w:space="0" w:color="2C9986" w:themeColor="accent4"/>
              <w:bottom w:val="single" w:sz="4" w:space="0" w:color="2C9986" w:themeColor="accent4"/>
            </w:tcBorders>
            <w:shd w:val="clear" w:color="auto" w:fill="FFFFFF" w:themeFill="background1"/>
          </w:tcPr>
          <w:p w14:paraId="2471B354" w14:textId="19D8E2B2" w:rsidR="00921D1F" w:rsidRPr="00DA3DD4" w:rsidRDefault="00921D1F" w:rsidP="00315403">
            <w:pPr>
              <w:pStyle w:val="BodyText"/>
              <w:spacing w:before="100" w:after="100" w:line="260" w:lineRule="atLeast"/>
            </w:pPr>
            <w:r w:rsidRPr="00DA3DD4">
              <w:t>New Zealand’s first Nationally Determined Contribution (NDC1) is a point year target to reduce net greenhouse gas emissions to 50 per cent below gross 2005 levels by 2030, managed as a multi-year emissions budget. The budget provisionally equates to 579 million tonnes of carbon dioxide equivalent (Mt CO</w:t>
            </w:r>
            <w:r w:rsidRPr="00DA3DD4">
              <w:rPr>
                <w:vertAlign w:val="subscript"/>
              </w:rPr>
              <w:t>2</w:t>
            </w:r>
            <w:r w:rsidRPr="00DA3DD4">
              <w:t>e) over 2021 to 2030.</w:t>
            </w:r>
          </w:p>
        </w:tc>
      </w:tr>
      <w:tr w:rsidR="00921D1F" w:rsidRPr="00DA3DD4" w14:paraId="6BB3B830" w14:textId="77777777">
        <w:tc>
          <w:tcPr>
            <w:tcW w:w="8505" w:type="dxa"/>
            <w:tcBorders>
              <w:top w:val="single" w:sz="4" w:space="0" w:color="2C9986" w:themeColor="accent4"/>
              <w:bottom w:val="single" w:sz="4" w:space="0" w:color="2C9986" w:themeColor="accent4"/>
            </w:tcBorders>
            <w:shd w:val="clear" w:color="auto" w:fill="FFFFFF" w:themeFill="background1"/>
          </w:tcPr>
          <w:p w14:paraId="5325C998" w14:textId="77777777" w:rsidR="00921D1F" w:rsidRPr="00DA3DD4" w:rsidRDefault="00921D1F" w:rsidP="00315403">
            <w:pPr>
              <w:pStyle w:val="BodyText"/>
              <w:spacing w:before="100" w:after="100" w:line="260" w:lineRule="atLeast"/>
            </w:pPr>
            <w:r w:rsidRPr="00DA3DD4">
              <w:t>Progress made in implementing and achieving New Zealand’s NDC1 is measured using a net target accounting approach.</w:t>
            </w:r>
          </w:p>
        </w:tc>
      </w:tr>
      <w:tr w:rsidR="00921D1F" w:rsidRPr="00DA3DD4" w14:paraId="763C1B30" w14:textId="77777777">
        <w:tc>
          <w:tcPr>
            <w:tcW w:w="8505" w:type="dxa"/>
            <w:tcBorders>
              <w:top w:val="single" w:sz="4" w:space="0" w:color="2C9986" w:themeColor="accent4"/>
              <w:bottom w:val="single" w:sz="4" w:space="0" w:color="2C9986" w:themeColor="accent4"/>
            </w:tcBorders>
            <w:shd w:val="clear" w:color="auto" w:fill="FFFFFF" w:themeFill="background1"/>
          </w:tcPr>
          <w:p w14:paraId="68ADFFD2" w14:textId="77777777" w:rsidR="00921D1F" w:rsidRPr="00DA3DD4" w:rsidRDefault="00921D1F" w:rsidP="00315403">
            <w:pPr>
              <w:pStyle w:val="BodyText"/>
              <w:spacing w:before="100" w:after="100" w:line="260" w:lineRule="atLeast"/>
              <w:rPr>
                <w:spacing w:val="-2"/>
              </w:rPr>
            </w:pPr>
            <w:r w:rsidRPr="00DA3DD4">
              <w:rPr>
                <w:spacing w:val="-2"/>
              </w:rPr>
              <w:t>New Zealand monitors its NDC1 progress using an indicator of annual net target accounting emissions.</w:t>
            </w:r>
          </w:p>
        </w:tc>
      </w:tr>
      <w:tr w:rsidR="00921D1F" w:rsidRPr="00DA3DD4" w14:paraId="4B3A8164" w14:textId="77777777">
        <w:tc>
          <w:tcPr>
            <w:tcW w:w="8505" w:type="dxa"/>
            <w:tcBorders>
              <w:top w:val="single" w:sz="4" w:space="0" w:color="2C9986" w:themeColor="accent4"/>
              <w:bottom w:val="single" w:sz="4" w:space="0" w:color="2C9986" w:themeColor="accent4"/>
            </w:tcBorders>
            <w:shd w:val="clear" w:color="auto" w:fill="FFFFFF" w:themeFill="background1"/>
          </w:tcPr>
          <w:p w14:paraId="7AEC02F6" w14:textId="219C7293" w:rsidR="00921D1F" w:rsidRPr="00DA3DD4" w:rsidRDefault="00921D1F" w:rsidP="00315403">
            <w:pPr>
              <w:pStyle w:val="BodyText"/>
              <w:spacing w:before="100" w:after="100" w:line="260" w:lineRule="atLeast"/>
            </w:pPr>
            <w:r w:rsidRPr="00DA3DD4">
              <w:t>New Zealand’s net target accounting emissions are projected to be 668.2 Mt CO</w:t>
            </w:r>
            <w:r w:rsidRPr="00DA3DD4">
              <w:rPr>
                <w:vertAlign w:val="subscript"/>
              </w:rPr>
              <w:t>2</w:t>
            </w:r>
            <w:r w:rsidRPr="00DA3DD4">
              <w:t>e across 2021 to 2030, 89.2 Mt CO</w:t>
            </w:r>
            <w:r w:rsidRPr="00DA3DD4">
              <w:rPr>
                <w:vertAlign w:val="subscript"/>
              </w:rPr>
              <w:t>2</w:t>
            </w:r>
            <w:r w:rsidRPr="00DA3DD4">
              <w:t>e higher than the NDC1 provisional budget of 579 Mt CO</w:t>
            </w:r>
            <w:r w:rsidRPr="00DA3DD4">
              <w:rPr>
                <w:vertAlign w:val="subscript"/>
              </w:rPr>
              <w:t>2</w:t>
            </w:r>
            <w:r w:rsidRPr="00DA3DD4">
              <w:t xml:space="preserve">e. </w:t>
            </w:r>
            <w:r w:rsidR="00B24345">
              <w:t>This does not include the impact of second emissions reduction plan policies and updated data, which are projected to reduce this gap further to 84.0 Mt CO</w:t>
            </w:r>
            <w:r w:rsidR="00B24345" w:rsidRPr="009C3805">
              <w:rPr>
                <w:vertAlign w:val="subscript"/>
              </w:rPr>
              <w:t>2</w:t>
            </w:r>
            <w:r w:rsidR="00B24345">
              <w:t xml:space="preserve">e. </w:t>
            </w:r>
            <w:r w:rsidR="00B24345" w:rsidRPr="00BF2F63">
              <w:t xml:space="preserve">These updates were unable to be included as the Biennial Transparency Report applied an earlier </w:t>
            </w:r>
            <w:r w:rsidR="00D0465C" w:rsidRPr="00D91F34">
              <w:t>cut-off</w:t>
            </w:r>
            <w:r w:rsidR="00B24345" w:rsidRPr="00BF2F63">
              <w:t xml:space="preserve"> date for modelling assumptions compared </w:t>
            </w:r>
            <w:r w:rsidR="00E21E24">
              <w:t>with</w:t>
            </w:r>
            <w:r w:rsidR="00E21E24" w:rsidRPr="00BF2F63">
              <w:t xml:space="preserve"> the second emissions reduction plan. </w:t>
            </w:r>
          </w:p>
        </w:tc>
      </w:tr>
      <w:tr w:rsidR="00921D1F" w:rsidRPr="00DA3DD4" w14:paraId="1742C8BE" w14:textId="77777777">
        <w:tc>
          <w:tcPr>
            <w:tcW w:w="8505" w:type="dxa"/>
            <w:tcBorders>
              <w:top w:val="single" w:sz="4" w:space="0" w:color="2C9986" w:themeColor="accent4"/>
              <w:bottom w:val="single" w:sz="4" w:space="0" w:color="2C9986" w:themeColor="accent4"/>
            </w:tcBorders>
            <w:shd w:val="clear" w:color="auto" w:fill="FFFFFF" w:themeFill="background1"/>
          </w:tcPr>
          <w:p w14:paraId="1E82B412" w14:textId="401348DC" w:rsidR="00921D1F" w:rsidRPr="00DA3DD4" w:rsidRDefault="00921D1F" w:rsidP="00315403">
            <w:pPr>
              <w:pStyle w:val="BodyText"/>
              <w:spacing w:before="100" w:after="100" w:line="260" w:lineRule="atLeast"/>
            </w:pPr>
            <w:r w:rsidRPr="00DA3DD4">
              <w:t xml:space="preserve">New Zealand is making progress toward achieving NDC1 through domestic action and is also exploring cooperation opportunities under Article 6 of the Paris Agreement. Although </w:t>
            </w:r>
            <w:r w:rsidR="001C598A">
              <w:t>New Zealand does</w:t>
            </w:r>
            <w:r w:rsidRPr="00DA3DD4">
              <w:t xml:space="preserve"> not have agreements to purchase internationally transferred mitigation outcomes, </w:t>
            </w:r>
            <w:r w:rsidR="001C598A">
              <w:t xml:space="preserve">New Zealand is </w:t>
            </w:r>
            <w:r w:rsidRPr="00DA3DD4">
              <w:t xml:space="preserve">progressing partnerships that could enable the future use of international carbon markets. </w:t>
            </w:r>
          </w:p>
        </w:tc>
      </w:tr>
    </w:tbl>
    <w:p w14:paraId="781BEF52" w14:textId="534D33F1" w:rsidR="00921D1F" w:rsidRPr="00DA3DD4" w:rsidDel="0048559B" w:rsidRDefault="00921D1F" w:rsidP="00784F5F">
      <w:pPr>
        <w:pStyle w:val="Heading2"/>
        <w:numPr>
          <w:ilvl w:val="0"/>
          <w:numId w:val="120"/>
        </w:numPr>
        <w:tabs>
          <w:tab w:val="left" w:pos="1134"/>
        </w:tabs>
        <w:spacing w:before="440"/>
      </w:pPr>
      <w:bookmarkStart w:id="711" w:name="_Toc184825532"/>
      <w:r w:rsidRPr="00DA3DD4" w:rsidDel="0048559B">
        <w:t>Introduction</w:t>
      </w:r>
      <w:bookmarkEnd w:id="711"/>
    </w:p>
    <w:p w14:paraId="62B915DF" w14:textId="59FB04DF" w:rsidR="00921D1F" w:rsidRPr="00DA3DD4" w:rsidDel="0048559B" w:rsidRDefault="00921D1F" w:rsidP="00921D1F">
      <w:pPr>
        <w:pStyle w:val="BodyText"/>
      </w:pPr>
      <w:r w:rsidRPr="00DA3DD4" w:rsidDel="0048559B">
        <w:t xml:space="preserve">Under the Paris Agreement, progress in implementing and achieving Nationally Determined </w:t>
      </w:r>
      <w:r w:rsidRPr="00DA3DD4" w:rsidDel="0048559B">
        <w:rPr>
          <w:spacing w:val="-2"/>
        </w:rPr>
        <w:t xml:space="preserve">Contributions (NDCs) is based on self-determined indicators. New Zealand’s indicator of annual net target accounting emissions is applied to monitor NDC progress (see </w:t>
      </w:r>
      <w:hyperlink w:anchor="section232" w:history="1">
        <w:r w:rsidRPr="005351FC" w:rsidDel="0048559B">
          <w:rPr>
            <w:rStyle w:val="Hyperlink"/>
            <w:spacing w:val="-2"/>
          </w:rPr>
          <w:t>section 2.3.2</w:t>
        </w:r>
      </w:hyperlink>
      <w:r w:rsidRPr="00DA3DD4" w:rsidDel="0048559B">
        <w:rPr>
          <w:spacing w:val="-2"/>
        </w:rPr>
        <w:t xml:space="preserve"> and methodology in </w:t>
      </w:r>
      <w:hyperlink w:anchor="section234" w:history="1">
        <w:r w:rsidRPr="005351FC" w:rsidDel="0048559B">
          <w:rPr>
            <w:rStyle w:val="Hyperlink"/>
            <w:spacing w:val="-2"/>
          </w:rPr>
          <w:t>section 2.3.4</w:t>
        </w:r>
      </w:hyperlink>
      <w:r w:rsidRPr="00DA3DD4" w:rsidDel="0048559B">
        <w:rPr>
          <w:spacing w:val="-2"/>
        </w:rPr>
        <w:t>). This section describes New Zealand’s projections of that indicator.</w:t>
      </w:r>
    </w:p>
    <w:p w14:paraId="7188FA3B" w14:textId="00EFF374" w:rsidR="00921D1F" w:rsidRPr="00DA3DD4" w:rsidDel="0048559B" w:rsidRDefault="00921D1F" w:rsidP="00921D1F">
      <w:pPr>
        <w:pStyle w:val="BodyText"/>
      </w:pPr>
      <w:r w:rsidRPr="00DA3DD4" w:rsidDel="0048559B">
        <w:t xml:space="preserve">New Zealand’s definition of net target accounting emissions includes all gross emissions as reported in New Zealand’s Greenhouse Gas Inventory (the Inventory), a subset of </w:t>
      </w:r>
      <w:r w:rsidR="00B67BC9">
        <w:t>Land Use, Land-Use Change and Forestry</w:t>
      </w:r>
      <w:r w:rsidRPr="00DA3DD4" w:rsidDel="0048559B">
        <w:t xml:space="preserve"> (LULUCF) emissions and removals that are derived from eligible activities, known as LULUCF target accounting quantities. It may also include cooperative approaches that involve the use of internationally transferred mitigation outcomes. Net target accounting emissions are designed to be compatible with New Zealand’s international net emissions targets under which only additional action is accounted for.</w:t>
      </w:r>
    </w:p>
    <w:p w14:paraId="2EF48AB1" w14:textId="2A5E13B4" w:rsidR="00921D1F" w:rsidRPr="00DA3DD4" w:rsidDel="0048559B" w:rsidRDefault="00921D1F" w:rsidP="00921D1F">
      <w:pPr>
        <w:pStyle w:val="BodyText"/>
        <w:spacing w:after="100"/>
      </w:pPr>
      <w:r w:rsidRPr="00DA3DD4" w:rsidDel="0048559B">
        <w:t xml:space="preserve">Projections of gross emissions are covered in detail in </w:t>
      </w:r>
      <w:hyperlink w:anchor="section25" w:history="1">
        <w:r w:rsidRPr="009C0173" w:rsidDel="0048559B">
          <w:rPr>
            <w:rStyle w:val="Hyperlink"/>
          </w:rPr>
          <w:t>section 2.5</w:t>
        </w:r>
      </w:hyperlink>
      <w:r w:rsidRPr="00DA3DD4" w:rsidDel="0048559B">
        <w:t xml:space="preserve">, with a summary in </w:t>
      </w:r>
      <w:hyperlink w:anchor="section2631" w:history="1">
        <w:r w:rsidRPr="008E6D4D" w:rsidDel="0048559B">
          <w:rPr>
            <w:rStyle w:val="Hyperlink"/>
          </w:rPr>
          <w:t>section 2.6.3.1</w:t>
        </w:r>
      </w:hyperlink>
      <w:r w:rsidRPr="00DA3DD4" w:rsidDel="0048559B">
        <w:t xml:space="preserve">. The trends in projections and methodology for projections of LULUCF target accounting quantities are described in </w:t>
      </w:r>
      <w:hyperlink w:anchor="section2632" w:history="1">
        <w:r w:rsidRPr="00F41AB5" w:rsidDel="0048559B">
          <w:rPr>
            <w:rStyle w:val="Hyperlink"/>
          </w:rPr>
          <w:t>section 2.6.3.2</w:t>
        </w:r>
      </w:hyperlink>
      <w:r w:rsidRPr="00DA3DD4" w:rsidDel="0048559B">
        <w:t xml:space="preserve">. </w:t>
      </w:r>
    </w:p>
    <w:p w14:paraId="76797972" w14:textId="77777777" w:rsidR="00921D1F" w:rsidRPr="00DA3DD4" w:rsidRDefault="00921D1F" w:rsidP="00784F5F">
      <w:pPr>
        <w:pStyle w:val="Heading2"/>
        <w:numPr>
          <w:ilvl w:val="0"/>
          <w:numId w:val="120"/>
        </w:numPr>
        <w:tabs>
          <w:tab w:val="left" w:pos="1134"/>
        </w:tabs>
      </w:pPr>
      <w:bookmarkStart w:id="712" w:name="_Toc184825533"/>
      <w:r w:rsidRPr="00DA3DD4">
        <w:t>Summary of projections and indicator</w:t>
      </w:r>
      <w:bookmarkEnd w:id="712"/>
    </w:p>
    <w:p w14:paraId="2D34FFC1" w14:textId="1646B408" w:rsidR="00921D1F" w:rsidRPr="00DA3DD4" w:rsidRDefault="00921D1F" w:rsidP="00921D1F">
      <w:pPr>
        <w:pStyle w:val="BodyText"/>
      </w:pPr>
      <w:r w:rsidRPr="00DA3DD4">
        <w:t xml:space="preserve">The projections of gross emissions are described in </w:t>
      </w:r>
      <w:hyperlink w:anchor="section25" w:history="1">
        <w:r w:rsidRPr="008E6D4D">
          <w:rPr>
            <w:rStyle w:val="Hyperlink"/>
          </w:rPr>
          <w:t>section 2.5</w:t>
        </w:r>
      </w:hyperlink>
      <w:r w:rsidRPr="00DA3DD4">
        <w:t xml:space="preserve"> for the ‘with existing measures’ (WEM)</w:t>
      </w:r>
      <w:r w:rsidRPr="00DA3DD4" w:rsidDel="00516651">
        <w:t xml:space="preserve"> </w:t>
      </w:r>
      <w:r w:rsidRPr="00DA3DD4">
        <w:t>and ‘without measures’ scenarios. For New Zealand’s indicator of annual net target accounting emissions, only the WEM scenario is projected.</w:t>
      </w:r>
    </w:p>
    <w:p w14:paraId="654453F8" w14:textId="77777777" w:rsidR="00921D1F" w:rsidRPr="00DA3DD4" w:rsidRDefault="00921D1F" w:rsidP="00921D1F">
      <w:pPr>
        <w:pStyle w:val="BodyText"/>
      </w:pPr>
      <w:r w:rsidRPr="00DA3DD4">
        <w:t xml:space="preserve">Figure 2.6.1 shows annual net target accounting emissions and the two components, namely gross emissions from 1990 and LULUCF target accounting quantities from 2021 onwards, using the WEM scenario. Gross emissions are shown over the historical period (1990 to 2022), with projections from 2023 to 2050, in line with the presentation of projections in section 2.5. LULUCF target accounting quantities and net target accounting emissions are shown for the historical period (2021 to 2022) and for the projected period (2023 to 2050). </w:t>
      </w:r>
    </w:p>
    <w:p w14:paraId="09564E87" w14:textId="77777777" w:rsidR="00921D1F" w:rsidRPr="00DA3DD4" w:rsidRDefault="00921D1F" w:rsidP="00921D1F">
      <w:pPr>
        <w:pStyle w:val="Figureheading"/>
        <w:spacing w:after="0"/>
        <w:ind w:left="1276" w:hanging="1276"/>
      </w:pPr>
      <w:bookmarkStart w:id="713" w:name="_Toc185347274"/>
      <w:r w:rsidRPr="00DA3DD4">
        <w:t xml:space="preserve">Figure 2.6.1: </w:t>
      </w:r>
      <w:r w:rsidRPr="00DA3DD4">
        <w:tab/>
        <w:t>Annual net target accounting emissions and components, ‘with existing measures’ scenario, 1990–2050</w:t>
      </w:r>
      <w:bookmarkEnd w:id="713"/>
    </w:p>
    <w:p w14:paraId="4F0F4711" w14:textId="723208CC" w:rsidR="00921D1F" w:rsidRPr="00DA3DD4" w:rsidRDefault="005668A6" w:rsidP="00642E32">
      <w:pPr>
        <w:pStyle w:val="BodyText"/>
        <w:jc w:val="center"/>
      </w:pPr>
      <w:r>
        <w:rPr>
          <w:noProof/>
        </w:rPr>
        <w:drawing>
          <wp:inline distT="0" distB="0" distL="0" distR="0" wp14:anchorId="7D56630B" wp14:editId="4CDB82B2">
            <wp:extent cx="5040000" cy="2793759"/>
            <wp:effectExtent l="0" t="0" r="8255" b="6985"/>
            <wp:docPr id="2019813115" name="Picture 23" descr="A bar and line graph snowing the annual net target accounting emissions and components in million tonnes carbon dioxide equivalent for the ‘with existing measures’ scenario for the period 1990 to 2050. It also compares gross emissions with projected LULUCF target accounting, projected net target accounting, historical LULUCF target accounting and historical net target accou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813115" name="Picture 23" descr="A bar and line graph snowing the annual net target accounting emissions and components in million tonnes carbon dioxide equivalent for the ‘with existing measures’ scenario for the period 1990 to 2050. It also compares gross emissions with projected LULUCF target accounting, projected net target accounting, historical LULUCF target accounting and historical net target accounti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040000" cy="2793759"/>
                    </a:xfrm>
                    <a:prstGeom prst="rect">
                      <a:avLst/>
                    </a:prstGeom>
                    <a:noFill/>
                  </pic:spPr>
                </pic:pic>
              </a:graphicData>
            </a:graphic>
          </wp:inline>
        </w:drawing>
      </w:r>
    </w:p>
    <w:p w14:paraId="18262F98" w14:textId="105B55F3" w:rsidR="00921D1F" w:rsidRPr="00DA3DD4" w:rsidRDefault="00921D1F" w:rsidP="00921D1F">
      <w:pPr>
        <w:pStyle w:val="Note"/>
        <w:spacing w:before="0"/>
      </w:pPr>
      <w:r w:rsidRPr="00DA3DD4">
        <w:rPr>
          <w:b/>
          <w:bCs/>
        </w:rPr>
        <w:t>Note:</w:t>
      </w:r>
      <w:r w:rsidRPr="00DA3DD4">
        <w:t xml:space="preserve"> LULUCF = </w:t>
      </w:r>
      <w:r w:rsidR="00B67BC9">
        <w:t>Land Use, Land-Use Change and Forestry</w:t>
      </w:r>
      <w:r w:rsidRPr="00DA3DD4">
        <w:t>; Mt CO</w:t>
      </w:r>
      <w:r w:rsidRPr="00DA3DD4">
        <w:rPr>
          <w:vertAlign w:val="subscript"/>
        </w:rPr>
        <w:t>2</w:t>
      </w:r>
      <w:r w:rsidRPr="00DA3DD4">
        <w:t xml:space="preserve">e = </w:t>
      </w:r>
      <w:r w:rsidRPr="00DA3DD4">
        <w:rPr>
          <w:rFonts w:eastAsia="Calibri" w:cs="Calibri"/>
        </w:rPr>
        <w:t xml:space="preserve">million tonnes of </w:t>
      </w:r>
      <w:r w:rsidRPr="00DA3DD4">
        <w:t>carbon dioxide equivalent.</w:t>
      </w:r>
    </w:p>
    <w:p w14:paraId="0BFC9A96" w14:textId="1D76D86F" w:rsidR="00921D1F" w:rsidRPr="00DA3DD4" w:rsidRDefault="00F25AE8" w:rsidP="00921D1F">
      <w:pPr>
        <w:pStyle w:val="BodyText"/>
      </w:pPr>
      <w:hyperlink w:anchor="table261" w:history="1">
        <w:r w:rsidR="00921D1F" w:rsidRPr="00F25AE8">
          <w:rPr>
            <w:rStyle w:val="Hyperlink"/>
          </w:rPr>
          <w:t>Table 2.6.1</w:t>
        </w:r>
      </w:hyperlink>
      <w:r w:rsidR="00921D1F" w:rsidRPr="00DA3DD4">
        <w:t xml:space="preserve"> summarises annual net target accounting </w:t>
      </w:r>
      <w:r w:rsidR="00921D1F" w:rsidRPr="00DA3DD4" w:rsidDel="00D54B0C">
        <w:t xml:space="preserve">emissions </w:t>
      </w:r>
      <w:r w:rsidR="00921D1F" w:rsidRPr="00DA3DD4">
        <w:t>from 2020 to 2030 and on a five-yearly basis for 2035 and 2040. Emissions and accounting quantities are provided for the 2020 year, to provide transparency of the emissions budget calculation.</w:t>
      </w:r>
    </w:p>
    <w:p w14:paraId="74C32117" w14:textId="16676E65" w:rsidR="00921D1F" w:rsidRPr="00DA3DD4" w:rsidRDefault="00921D1F" w:rsidP="00921D1F">
      <w:pPr>
        <w:pStyle w:val="Tableheading"/>
      </w:pPr>
      <w:bookmarkStart w:id="714" w:name="table261"/>
      <w:bookmarkStart w:id="715" w:name="_Toc185407497"/>
      <w:bookmarkStart w:id="716" w:name="_Toc185427760"/>
      <w:r w:rsidRPr="00DA3DD4">
        <w:t>Table 2.6.1</w:t>
      </w:r>
      <w:bookmarkEnd w:id="714"/>
      <w:r w:rsidRPr="00DA3DD4">
        <w:t xml:space="preserve">: </w:t>
      </w:r>
      <w:r w:rsidRPr="00DA3DD4">
        <w:tab/>
        <w:t>New Zealand net target accounting emissions, ‘with existing measures’ scenario,</w:t>
      </w:r>
      <w:r w:rsidRPr="00DA3DD4">
        <w:br/>
        <w:t>2020–</w:t>
      </w:r>
      <w:r w:rsidRPr="00DA3DD4" w:rsidDel="009549BE">
        <w:t>20</w:t>
      </w:r>
      <w:r w:rsidR="00B72BC6">
        <w:t>5</w:t>
      </w:r>
      <w:r w:rsidRPr="00DA3DD4">
        <w:t>0 (Mt CO</w:t>
      </w:r>
      <w:r w:rsidRPr="00DA3DD4">
        <w:rPr>
          <w:vertAlign w:val="subscript"/>
        </w:rPr>
        <w:t>2</w:t>
      </w:r>
      <w:r w:rsidRPr="00DA3DD4">
        <w:t>e)</w:t>
      </w:r>
      <w:bookmarkEnd w:id="715"/>
      <w:bookmarkEnd w:id="716"/>
      <w:r w:rsidRPr="00DA3DD4">
        <w:t xml:space="preserve"> </w:t>
      </w:r>
      <w:bookmarkStart w:id="717" w:name="_1792308289"/>
      <w:bookmarkStart w:id="718" w:name="_1792308241"/>
      <w:bookmarkEnd w:id="717"/>
      <w:bookmarkEnd w:id="718"/>
    </w:p>
    <w:tbl>
      <w:tblPr>
        <w:tblW w:w="5000" w:type="pct"/>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57" w:type="dxa"/>
          <w:right w:w="57" w:type="dxa"/>
        </w:tblCellMar>
        <w:tblLook w:val="04A0" w:firstRow="1" w:lastRow="0" w:firstColumn="1" w:lastColumn="0" w:noHBand="0" w:noVBand="1"/>
      </w:tblPr>
      <w:tblGrid>
        <w:gridCol w:w="899"/>
        <w:gridCol w:w="505"/>
        <w:gridCol w:w="507"/>
        <w:gridCol w:w="507"/>
        <w:gridCol w:w="507"/>
        <w:gridCol w:w="507"/>
        <w:gridCol w:w="507"/>
        <w:gridCol w:w="507"/>
        <w:gridCol w:w="507"/>
        <w:gridCol w:w="507"/>
        <w:gridCol w:w="507"/>
        <w:gridCol w:w="507"/>
        <w:gridCol w:w="507"/>
        <w:gridCol w:w="507"/>
        <w:gridCol w:w="507"/>
        <w:gridCol w:w="510"/>
      </w:tblGrid>
      <w:tr w:rsidR="002078FB" w:rsidRPr="00D8284F" w14:paraId="02341878" w14:textId="5590B225" w:rsidTr="00B6738A">
        <w:trPr>
          <w:tblHeader/>
        </w:trPr>
        <w:tc>
          <w:tcPr>
            <w:tcW w:w="529" w:type="pct"/>
            <w:shd w:val="clear" w:color="000000" w:fill="1B556B"/>
            <w:vAlign w:val="bottom"/>
            <w:hideMark/>
          </w:tcPr>
          <w:p w14:paraId="7CD95CD3" w14:textId="77777777" w:rsidR="00921D1F" w:rsidRPr="00D8284F" w:rsidRDefault="00921D1F">
            <w:pPr>
              <w:pStyle w:val="TableTextbold"/>
              <w:keepNext/>
              <w:spacing w:before="40" w:after="0"/>
              <w:jc w:val="center"/>
              <w:rPr>
                <w:rFonts w:asciiTheme="minorHAnsi" w:hAnsiTheme="minorHAnsi" w:cstheme="minorHAnsi"/>
                <w:color w:val="FFFFFF" w:themeColor="background1"/>
                <w:sz w:val="17"/>
                <w:szCs w:val="17"/>
              </w:rPr>
            </w:pPr>
          </w:p>
        </w:tc>
        <w:tc>
          <w:tcPr>
            <w:tcW w:w="888" w:type="pct"/>
            <w:gridSpan w:val="3"/>
            <w:shd w:val="clear" w:color="000000" w:fill="1B556B"/>
            <w:vAlign w:val="bottom"/>
            <w:hideMark/>
          </w:tcPr>
          <w:p w14:paraId="39CAF307" w14:textId="77777777" w:rsidR="00921D1F" w:rsidRPr="00D8284F" w:rsidRDefault="00921D1F">
            <w:pPr>
              <w:pStyle w:val="TableTextbold"/>
              <w:keepNext/>
              <w:spacing w:before="40" w:after="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Historical</w:t>
            </w:r>
          </w:p>
        </w:tc>
        <w:tc>
          <w:tcPr>
            <w:tcW w:w="3584" w:type="pct"/>
            <w:gridSpan w:val="12"/>
            <w:shd w:val="clear" w:color="000000" w:fill="1B556B"/>
            <w:vAlign w:val="bottom"/>
            <w:hideMark/>
          </w:tcPr>
          <w:p w14:paraId="371C2C6F" w14:textId="30081C56" w:rsidR="00BD51DC" w:rsidRPr="00D8284F" w:rsidRDefault="00B72BC6">
            <w:pPr>
              <w:pStyle w:val="TableTextbold"/>
              <w:keepNext/>
              <w:spacing w:before="40" w:after="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Projected</w:t>
            </w:r>
          </w:p>
        </w:tc>
      </w:tr>
      <w:tr w:rsidR="009337CD" w:rsidRPr="00D8284F" w14:paraId="7D8B76C7" w14:textId="007E37F1" w:rsidTr="00B72BC6">
        <w:trPr>
          <w:tblHeader/>
        </w:trPr>
        <w:tc>
          <w:tcPr>
            <w:tcW w:w="529" w:type="pct"/>
            <w:shd w:val="clear" w:color="000000" w:fill="1B556B"/>
            <w:vAlign w:val="bottom"/>
            <w:hideMark/>
          </w:tcPr>
          <w:p w14:paraId="239B534A" w14:textId="77777777" w:rsidR="00921D1F" w:rsidRPr="00D8284F" w:rsidRDefault="00921D1F">
            <w:pPr>
              <w:pStyle w:val="TableTextbold"/>
              <w:keepNext/>
              <w:spacing w:before="0"/>
              <w:jc w:val="center"/>
              <w:rPr>
                <w:rFonts w:asciiTheme="minorHAnsi" w:hAnsiTheme="minorHAnsi" w:cstheme="minorHAnsi"/>
                <w:bCs/>
                <w:color w:val="FFFFFF" w:themeColor="background1"/>
                <w:sz w:val="17"/>
                <w:szCs w:val="17"/>
              </w:rPr>
            </w:pPr>
          </w:p>
        </w:tc>
        <w:tc>
          <w:tcPr>
            <w:tcW w:w="297" w:type="pct"/>
            <w:shd w:val="clear" w:color="000000" w:fill="1B556B"/>
            <w:vAlign w:val="bottom"/>
            <w:hideMark/>
          </w:tcPr>
          <w:p w14:paraId="18D7115C" w14:textId="77777777" w:rsidR="00921D1F" w:rsidRPr="00D8284F" w:rsidRDefault="00921D1F">
            <w:pPr>
              <w:pStyle w:val="TableTextbold"/>
              <w:keepNext/>
              <w:spacing w:before="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2020</w:t>
            </w:r>
          </w:p>
        </w:tc>
        <w:tc>
          <w:tcPr>
            <w:tcW w:w="298" w:type="pct"/>
            <w:shd w:val="clear" w:color="000000" w:fill="1B556B"/>
            <w:vAlign w:val="bottom"/>
            <w:hideMark/>
          </w:tcPr>
          <w:p w14:paraId="0DC1A7E1" w14:textId="77777777" w:rsidR="00921D1F" w:rsidRPr="00D8284F" w:rsidRDefault="00921D1F">
            <w:pPr>
              <w:pStyle w:val="TableTextbold"/>
              <w:keepNext/>
              <w:spacing w:before="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2021</w:t>
            </w:r>
          </w:p>
        </w:tc>
        <w:tc>
          <w:tcPr>
            <w:tcW w:w="298" w:type="pct"/>
            <w:shd w:val="clear" w:color="000000" w:fill="1B556B"/>
            <w:vAlign w:val="bottom"/>
            <w:hideMark/>
          </w:tcPr>
          <w:p w14:paraId="595211B8" w14:textId="77777777" w:rsidR="00921D1F" w:rsidRPr="00D8284F" w:rsidRDefault="00921D1F">
            <w:pPr>
              <w:pStyle w:val="TableTextbold"/>
              <w:keepNext/>
              <w:spacing w:before="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2022</w:t>
            </w:r>
          </w:p>
        </w:tc>
        <w:tc>
          <w:tcPr>
            <w:tcW w:w="298" w:type="pct"/>
            <w:shd w:val="clear" w:color="000000" w:fill="1B556B"/>
            <w:vAlign w:val="bottom"/>
            <w:hideMark/>
          </w:tcPr>
          <w:p w14:paraId="3C7E956A" w14:textId="77777777" w:rsidR="00921D1F" w:rsidRPr="00D8284F" w:rsidRDefault="00921D1F">
            <w:pPr>
              <w:pStyle w:val="TableTextbold"/>
              <w:keepNext/>
              <w:spacing w:before="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2023</w:t>
            </w:r>
          </w:p>
        </w:tc>
        <w:tc>
          <w:tcPr>
            <w:tcW w:w="298" w:type="pct"/>
            <w:shd w:val="clear" w:color="000000" w:fill="1B556B"/>
            <w:vAlign w:val="bottom"/>
            <w:hideMark/>
          </w:tcPr>
          <w:p w14:paraId="5F36C79E" w14:textId="77777777" w:rsidR="00921D1F" w:rsidRPr="00D8284F" w:rsidRDefault="00921D1F">
            <w:pPr>
              <w:pStyle w:val="TableTextbold"/>
              <w:keepNext/>
              <w:spacing w:before="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2024</w:t>
            </w:r>
          </w:p>
        </w:tc>
        <w:tc>
          <w:tcPr>
            <w:tcW w:w="298" w:type="pct"/>
            <w:shd w:val="clear" w:color="000000" w:fill="1B556B"/>
            <w:vAlign w:val="bottom"/>
            <w:hideMark/>
          </w:tcPr>
          <w:p w14:paraId="5394D682" w14:textId="77777777" w:rsidR="00921D1F" w:rsidRPr="00D8284F" w:rsidRDefault="00921D1F">
            <w:pPr>
              <w:pStyle w:val="TableTextbold"/>
              <w:keepNext/>
              <w:spacing w:before="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2025</w:t>
            </w:r>
          </w:p>
        </w:tc>
        <w:tc>
          <w:tcPr>
            <w:tcW w:w="298" w:type="pct"/>
            <w:shd w:val="clear" w:color="000000" w:fill="1B556B"/>
            <w:vAlign w:val="bottom"/>
            <w:hideMark/>
          </w:tcPr>
          <w:p w14:paraId="0FF61877" w14:textId="77777777" w:rsidR="00921D1F" w:rsidRPr="00D8284F" w:rsidRDefault="00921D1F">
            <w:pPr>
              <w:pStyle w:val="TableTextbold"/>
              <w:keepNext/>
              <w:spacing w:before="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2026</w:t>
            </w:r>
          </w:p>
        </w:tc>
        <w:tc>
          <w:tcPr>
            <w:tcW w:w="298" w:type="pct"/>
            <w:shd w:val="clear" w:color="000000" w:fill="1B556B"/>
            <w:vAlign w:val="bottom"/>
            <w:hideMark/>
          </w:tcPr>
          <w:p w14:paraId="6F153B89" w14:textId="77777777" w:rsidR="00921D1F" w:rsidRPr="00D8284F" w:rsidRDefault="00921D1F">
            <w:pPr>
              <w:pStyle w:val="TableTextbold"/>
              <w:keepNext/>
              <w:spacing w:before="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2027</w:t>
            </w:r>
          </w:p>
        </w:tc>
        <w:tc>
          <w:tcPr>
            <w:tcW w:w="298" w:type="pct"/>
            <w:shd w:val="clear" w:color="000000" w:fill="1B556B"/>
            <w:vAlign w:val="bottom"/>
            <w:hideMark/>
          </w:tcPr>
          <w:p w14:paraId="1C99DA5A" w14:textId="77777777" w:rsidR="00921D1F" w:rsidRPr="00D8284F" w:rsidRDefault="00921D1F">
            <w:pPr>
              <w:pStyle w:val="TableTextbold"/>
              <w:keepNext/>
              <w:spacing w:before="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2028</w:t>
            </w:r>
          </w:p>
        </w:tc>
        <w:tc>
          <w:tcPr>
            <w:tcW w:w="298" w:type="pct"/>
            <w:shd w:val="clear" w:color="000000" w:fill="1B556B"/>
            <w:vAlign w:val="bottom"/>
            <w:hideMark/>
          </w:tcPr>
          <w:p w14:paraId="555A719B" w14:textId="77777777" w:rsidR="00921D1F" w:rsidRPr="00D8284F" w:rsidRDefault="00921D1F">
            <w:pPr>
              <w:pStyle w:val="TableTextbold"/>
              <w:keepNext/>
              <w:spacing w:before="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2029</w:t>
            </w:r>
          </w:p>
        </w:tc>
        <w:tc>
          <w:tcPr>
            <w:tcW w:w="298" w:type="pct"/>
            <w:shd w:val="clear" w:color="000000" w:fill="1B556B"/>
            <w:vAlign w:val="bottom"/>
            <w:hideMark/>
          </w:tcPr>
          <w:p w14:paraId="09C52905" w14:textId="77777777" w:rsidR="00921D1F" w:rsidRPr="00D8284F" w:rsidRDefault="00921D1F">
            <w:pPr>
              <w:pStyle w:val="TableTextbold"/>
              <w:keepNext/>
              <w:spacing w:before="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2030</w:t>
            </w:r>
          </w:p>
        </w:tc>
        <w:tc>
          <w:tcPr>
            <w:tcW w:w="298" w:type="pct"/>
            <w:shd w:val="clear" w:color="000000" w:fill="1B556B"/>
            <w:vAlign w:val="bottom"/>
            <w:hideMark/>
          </w:tcPr>
          <w:p w14:paraId="6BC352E5" w14:textId="77777777" w:rsidR="00921D1F" w:rsidRPr="00D8284F" w:rsidRDefault="00921D1F">
            <w:pPr>
              <w:pStyle w:val="TableTextbold"/>
              <w:keepNext/>
              <w:spacing w:before="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2035</w:t>
            </w:r>
          </w:p>
        </w:tc>
        <w:tc>
          <w:tcPr>
            <w:tcW w:w="298" w:type="pct"/>
            <w:shd w:val="clear" w:color="000000" w:fill="1B556B"/>
            <w:vAlign w:val="bottom"/>
            <w:hideMark/>
          </w:tcPr>
          <w:p w14:paraId="3F50103B" w14:textId="77777777" w:rsidR="00921D1F" w:rsidRPr="00D8284F" w:rsidRDefault="00921D1F">
            <w:pPr>
              <w:pStyle w:val="TableTextbold"/>
              <w:keepNext/>
              <w:spacing w:before="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2040</w:t>
            </w:r>
          </w:p>
        </w:tc>
        <w:tc>
          <w:tcPr>
            <w:tcW w:w="298" w:type="pct"/>
            <w:shd w:val="clear" w:color="000000" w:fill="1B556B"/>
          </w:tcPr>
          <w:p w14:paraId="0880288C" w14:textId="3B1B91B7" w:rsidR="00BD51DC" w:rsidRPr="00D8284F" w:rsidRDefault="00BD51DC">
            <w:pPr>
              <w:pStyle w:val="TableTextbold"/>
              <w:keepNext/>
              <w:spacing w:before="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2045</w:t>
            </w:r>
          </w:p>
        </w:tc>
        <w:tc>
          <w:tcPr>
            <w:tcW w:w="300" w:type="pct"/>
            <w:shd w:val="clear" w:color="000000" w:fill="1B556B"/>
          </w:tcPr>
          <w:p w14:paraId="16E4DD24" w14:textId="42DD048D" w:rsidR="00BD51DC" w:rsidRPr="00D8284F" w:rsidRDefault="00BD51DC">
            <w:pPr>
              <w:pStyle w:val="TableTextbold"/>
              <w:keepNext/>
              <w:spacing w:before="0"/>
              <w:jc w:val="center"/>
              <w:rPr>
                <w:rFonts w:asciiTheme="minorHAnsi" w:hAnsiTheme="minorHAnsi" w:cstheme="minorHAnsi"/>
                <w:bCs/>
                <w:color w:val="FFFFFF" w:themeColor="background1"/>
                <w:sz w:val="17"/>
                <w:szCs w:val="17"/>
              </w:rPr>
            </w:pPr>
            <w:r w:rsidRPr="00D8284F">
              <w:rPr>
                <w:rFonts w:asciiTheme="minorHAnsi" w:hAnsiTheme="minorHAnsi" w:cstheme="minorHAnsi"/>
                <w:bCs/>
                <w:color w:val="FFFFFF" w:themeColor="background1"/>
                <w:sz w:val="17"/>
                <w:szCs w:val="17"/>
              </w:rPr>
              <w:t>2050</w:t>
            </w:r>
          </w:p>
        </w:tc>
      </w:tr>
      <w:tr w:rsidR="002078FB" w:rsidRPr="00D8284F" w14:paraId="094FD0FF" w14:textId="55815DDF" w:rsidTr="00B72BC6">
        <w:trPr>
          <w:trHeight w:val="495"/>
        </w:trPr>
        <w:tc>
          <w:tcPr>
            <w:tcW w:w="529" w:type="pct"/>
            <w:shd w:val="clear" w:color="auto" w:fill="auto"/>
            <w:vAlign w:val="bottom"/>
            <w:hideMark/>
          </w:tcPr>
          <w:p w14:paraId="6A58BE34" w14:textId="77777777" w:rsidR="00921D1F" w:rsidRPr="00D8284F" w:rsidRDefault="00921D1F">
            <w:pPr>
              <w:pStyle w:val="TableText"/>
              <w:keepNext/>
              <w:spacing w:before="40" w:after="40" w:line="240" w:lineRule="auto"/>
              <w:rPr>
                <w:rFonts w:asciiTheme="minorHAnsi" w:hAnsiTheme="minorHAnsi" w:cstheme="minorHAnsi"/>
                <w:sz w:val="17"/>
                <w:szCs w:val="17"/>
              </w:rPr>
            </w:pPr>
            <w:r w:rsidRPr="00D8284F">
              <w:rPr>
                <w:rFonts w:asciiTheme="minorHAnsi" w:hAnsiTheme="minorHAnsi" w:cstheme="minorHAnsi"/>
                <w:sz w:val="17"/>
                <w:szCs w:val="17"/>
              </w:rPr>
              <w:t>Gross emissions</w:t>
            </w:r>
          </w:p>
        </w:tc>
        <w:tc>
          <w:tcPr>
            <w:tcW w:w="297" w:type="pct"/>
            <w:shd w:val="clear" w:color="auto" w:fill="auto"/>
            <w:vAlign w:val="bottom"/>
            <w:hideMark/>
          </w:tcPr>
          <w:p w14:paraId="6985D24A"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81.9</w:t>
            </w:r>
          </w:p>
        </w:tc>
        <w:tc>
          <w:tcPr>
            <w:tcW w:w="298" w:type="pct"/>
            <w:shd w:val="clear" w:color="auto" w:fill="auto"/>
            <w:vAlign w:val="bottom"/>
            <w:hideMark/>
          </w:tcPr>
          <w:p w14:paraId="4DE15552"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81.8</w:t>
            </w:r>
          </w:p>
        </w:tc>
        <w:tc>
          <w:tcPr>
            <w:tcW w:w="298" w:type="pct"/>
            <w:shd w:val="clear" w:color="auto" w:fill="auto"/>
            <w:vAlign w:val="bottom"/>
            <w:hideMark/>
          </w:tcPr>
          <w:p w14:paraId="58930EF8"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78.4</w:t>
            </w:r>
          </w:p>
        </w:tc>
        <w:tc>
          <w:tcPr>
            <w:tcW w:w="298" w:type="pct"/>
            <w:shd w:val="clear" w:color="000000" w:fill="D2DDE1"/>
            <w:vAlign w:val="bottom"/>
            <w:hideMark/>
          </w:tcPr>
          <w:p w14:paraId="1CB21451"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77.4</w:t>
            </w:r>
          </w:p>
        </w:tc>
        <w:tc>
          <w:tcPr>
            <w:tcW w:w="298" w:type="pct"/>
            <w:shd w:val="clear" w:color="000000" w:fill="D2DDE1"/>
            <w:vAlign w:val="bottom"/>
            <w:hideMark/>
          </w:tcPr>
          <w:p w14:paraId="76C22131"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77.9</w:t>
            </w:r>
          </w:p>
        </w:tc>
        <w:tc>
          <w:tcPr>
            <w:tcW w:w="298" w:type="pct"/>
            <w:shd w:val="clear" w:color="000000" w:fill="D2DDE1"/>
            <w:vAlign w:val="bottom"/>
            <w:hideMark/>
          </w:tcPr>
          <w:p w14:paraId="108056BB"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76.5</w:t>
            </w:r>
          </w:p>
        </w:tc>
        <w:tc>
          <w:tcPr>
            <w:tcW w:w="298" w:type="pct"/>
            <w:shd w:val="clear" w:color="000000" w:fill="D2DDE1"/>
            <w:vAlign w:val="bottom"/>
            <w:hideMark/>
          </w:tcPr>
          <w:p w14:paraId="268BF636"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75.1</w:t>
            </w:r>
          </w:p>
        </w:tc>
        <w:tc>
          <w:tcPr>
            <w:tcW w:w="298" w:type="pct"/>
            <w:shd w:val="clear" w:color="000000" w:fill="D2DDE1"/>
            <w:vAlign w:val="bottom"/>
            <w:hideMark/>
          </w:tcPr>
          <w:p w14:paraId="62714AE2"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74.7</w:t>
            </w:r>
          </w:p>
        </w:tc>
        <w:tc>
          <w:tcPr>
            <w:tcW w:w="298" w:type="pct"/>
            <w:shd w:val="clear" w:color="000000" w:fill="D2DDE1"/>
            <w:vAlign w:val="bottom"/>
            <w:hideMark/>
          </w:tcPr>
          <w:p w14:paraId="2F52B511"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73.5</w:t>
            </w:r>
          </w:p>
        </w:tc>
        <w:tc>
          <w:tcPr>
            <w:tcW w:w="298" w:type="pct"/>
            <w:shd w:val="clear" w:color="000000" w:fill="D2DDE1"/>
            <w:vAlign w:val="bottom"/>
            <w:hideMark/>
          </w:tcPr>
          <w:p w14:paraId="12F91569"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73.2</w:t>
            </w:r>
          </w:p>
        </w:tc>
        <w:tc>
          <w:tcPr>
            <w:tcW w:w="298" w:type="pct"/>
            <w:shd w:val="clear" w:color="000000" w:fill="D2DDE1"/>
            <w:vAlign w:val="bottom"/>
            <w:hideMark/>
          </w:tcPr>
          <w:p w14:paraId="78B71483"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71.7</w:t>
            </w:r>
          </w:p>
        </w:tc>
        <w:tc>
          <w:tcPr>
            <w:tcW w:w="298" w:type="pct"/>
            <w:shd w:val="clear" w:color="000000" w:fill="D2DDE1"/>
            <w:vAlign w:val="bottom"/>
            <w:hideMark/>
          </w:tcPr>
          <w:p w14:paraId="229AEEB6"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68.6</w:t>
            </w:r>
          </w:p>
        </w:tc>
        <w:tc>
          <w:tcPr>
            <w:tcW w:w="298" w:type="pct"/>
            <w:shd w:val="clear" w:color="000000" w:fill="D2DDE1"/>
            <w:vAlign w:val="bottom"/>
            <w:hideMark/>
          </w:tcPr>
          <w:p w14:paraId="2CC47F2E"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66.1</w:t>
            </w:r>
          </w:p>
        </w:tc>
        <w:tc>
          <w:tcPr>
            <w:tcW w:w="298" w:type="pct"/>
            <w:shd w:val="clear" w:color="000000" w:fill="D2DDE1"/>
            <w:vAlign w:val="bottom"/>
          </w:tcPr>
          <w:p w14:paraId="4AC01A07" w14:textId="46E5F04C" w:rsidR="00BD51DC" w:rsidRPr="00D8284F" w:rsidRDefault="000445E5">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64.4</w:t>
            </w:r>
          </w:p>
        </w:tc>
        <w:tc>
          <w:tcPr>
            <w:tcW w:w="300" w:type="pct"/>
            <w:shd w:val="clear" w:color="000000" w:fill="D2DDE1"/>
            <w:vAlign w:val="bottom"/>
          </w:tcPr>
          <w:p w14:paraId="51260A8B" w14:textId="7E406FB1" w:rsidR="00BD51DC" w:rsidRPr="00D8284F" w:rsidRDefault="000445E5">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62.9</w:t>
            </w:r>
          </w:p>
        </w:tc>
      </w:tr>
      <w:tr w:rsidR="002078FB" w:rsidRPr="00D8284F" w14:paraId="5674012A" w14:textId="45FCC35A" w:rsidTr="00B72BC6">
        <w:tc>
          <w:tcPr>
            <w:tcW w:w="529" w:type="pct"/>
            <w:shd w:val="clear" w:color="auto" w:fill="auto"/>
            <w:vAlign w:val="bottom"/>
            <w:hideMark/>
          </w:tcPr>
          <w:p w14:paraId="56116C79" w14:textId="77777777" w:rsidR="00921D1F" w:rsidRPr="00D8284F" w:rsidRDefault="00921D1F">
            <w:pPr>
              <w:pStyle w:val="TableText"/>
              <w:keepNext/>
              <w:spacing w:before="40" w:after="40" w:line="240" w:lineRule="auto"/>
              <w:rPr>
                <w:rFonts w:asciiTheme="minorHAnsi" w:hAnsiTheme="minorHAnsi" w:cstheme="minorHAnsi"/>
                <w:sz w:val="17"/>
                <w:szCs w:val="17"/>
              </w:rPr>
            </w:pPr>
            <w:r w:rsidRPr="00D8284F">
              <w:rPr>
                <w:rFonts w:asciiTheme="minorHAnsi" w:hAnsiTheme="minorHAnsi" w:cstheme="minorHAnsi"/>
                <w:sz w:val="17"/>
                <w:szCs w:val="17"/>
              </w:rPr>
              <w:t>LULUCF </w:t>
            </w:r>
            <w:r w:rsidRPr="00D8284F">
              <w:rPr>
                <w:rFonts w:asciiTheme="minorHAnsi" w:hAnsiTheme="minorHAnsi" w:cstheme="minorHAnsi"/>
                <w:sz w:val="17"/>
                <w:szCs w:val="17"/>
              </w:rPr>
              <w:br/>
              <w:t xml:space="preserve">target accounting quantities </w:t>
            </w:r>
          </w:p>
        </w:tc>
        <w:tc>
          <w:tcPr>
            <w:tcW w:w="297" w:type="pct"/>
            <w:shd w:val="clear" w:color="auto" w:fill="auto"/>
            <w:vAlign w:val="bottom"/>
            <w:hideMark/>
          </w:tcPr>
          <w:p w14:paraId="757B53BE"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–6.2</w:t>
            </w:r>
          </w:p>
        </w:tc>
        <w:tc>
          <w:tcPr>
            <w:tcW w:w="298" w:type="pct"/>
            <w:shd w:val="clear" w:color="auto" w:fill="auto"/>
            <w:vAlign w:val="bottom"/>
            <w:hideMark/>
          </w:tcPr>
          <w:p w14:paraId="17488E8C"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–6.1</w:t>
            </w:r>
          </w:p>
        </w:tc>
        <w:tc>
          <w:tcPr>
            <w:tcW w:w="298" w:type="pct"/>
            <w:shd w:val="clear" w:color="auto" w:fill="auto"/>
            <w:vAlign w:val="bottom"/>
            <w:hideMark/>
          </w:tcPr>
          <w:p w14:paraId="55914156"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–5.3</w:t>
            </w:r>
          </w:p>
        </w:tc>
        <w:tc>
          <w:tcPr>
            <w:tcW w:w="298" w:type="pct"/>
            <w:shd w:val="clear" w:color="000000" w:fill="D2DDE1"/>
            <w:vAlign w:val="bottom"/>
            <w:hideMark/>
          </w:tcPr>
          <w:p w14:paraId="40846E16"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–6.2</w:t>
            </w:r>
          </w:p>
        </w:tc>
        <w:tc>
          <w:tcPr>
            <w:tcW w:w="298" w:type="pct"/>
            <w:shd w:val="clear" w:color="000000" w:fill="D2DDE1"/>
            <w:vAlign w:val="bottom"/>
            <w:hideMark/>
          </w:tcPr>
          <w:p w14:paraId="338026C6"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–6.3</w:t>
            </w:r>
          </w:p>
        </w:tc>
        <w:tc>
          <w:tcPr>
            <w:tcW w:w="298" w:type="pct"/>
            <w:shd w:val="clear" w:color="000000" w:fill="D2DDE1"/>
            <w:vAlign w:val="bottom"/>
            <w:hideMark/>
          </w:tcPr>
          <w:p w14:paraId="565C392B"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–7.4</w:t>
            </w:r>
          </w:p>
        </w:tc>
        <w:tc>
          <w:tcPr>
            <w:tcW w:w="298" w:type="pct"/>
            <w:shd w:val="clear" w:color="000000" w:fill="D2DDE1"/>
            <w:vAlign w:val="bottom"/>
            <w:hideMark/>
          </w:tcPr>
          <w:p w14:paraId="2B0A0C27"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–8.8</w:t>
            </w:r>
          </w:p>
        </w:tc>
        <w:tc>
          <w:tcPr>
            <w:tcW w:w="298" w:type="pct"/>
            <w:shd w:val="clear" w:color="000000" w:fill="D2DDE1"/>
            <w:vAlign w:val="bottom"/>
            <w:hideMark/>
          </w:tcPr>
          <w:p w14:paraId="3B80EC5D"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–10.5</w:t>
            </w:r>
          </w:p>
        </w:tc>
        <w:tc>
          <w:tcPr>
            <w:tcW w:w="298" w:type="pct"/>
            <w:shd w:val="clear" w:color="000000" w:fill="D2DDE1"/>
            <w:vAlign w:val="bottom"/>
            <w:hideMark/>
          </w:tcPr>
          <w:p w14:paraId="5BF88E77"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–12.4</w:t>
            </w:r>
          </w:p>
        </w:tc>
        <w:tc>
          <w:tcPr>
            <w:tcW w:w="298" w:type="pct"/>
            <w:shd w:val="clear" w:color="000000" w:fill="D2DDE1"/>
            <w:vAlign w:val="bottom"/>
            <w:hideMark/>
          </w:tcPr>
          <w:p w14:paraId="697E4D89"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–14.0</w:t>
            </w:r>
          </w:p>
        </w:tc>
        <w:tc>
          <w:tcPr>
            <w:tcW w:w="298" w:type="pct"/>
            <w:shd w:val="clear" w:color="000000" w:fill="D2DDE1"/>
            <w:vAlign w:val="bottom"/>
            <w:hideMark/>
          </w:tcPr>
          <w:p w14:paraId="2D716699"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–15.0</w:t>
            </w:r>
          </w:p>
        </w:tc>
        <w:tc>
          <w:tcPr>
            <w:tcW w:w="298" w:type="pct"/>
            <w:shd w:val="clear" w:color="000000" w:fill="D2DDE1"/>
            <w:vAlign w:val="bottom"/>
            <w:hideMark/>
          </w:tcPr>
          <w:p w14:paraId="7279CFA6"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–17.4</w:t>
            </w:r>
          </w:p>
        </w:tc>
        <w:tc>
          <w:tcPr>
            <w:tcW w:w="298" w:type="pct"/>
            <w:shd w:val="clear" w:color="000000" w:fill="D2DDE1"/>
            <w:vAlign w:val="bottom"/>
            <w:hideMark/>
          </w:tcPr>
          <w:p w14:paraId="46200BDD" w14:textId="77777777" w:rsidR="00921D1F" w:rsidRPr="00D8284F" w:rsidRDefault="00921D1F">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–22.9</w:t>
            </w:r>
          </w:p>
        </w:tc>
        <w:tc>
          <w:tcPr>
            <w:tcW w:w="298" w:type="pct"/>
            <w:shd w:val="clear" w:color="000000" w:fill="D2DDE1"/>
            <w:vAlign w:val="bottom"/>
          </w:tcPr>
          <w:p w14:paraId="35CE6513" w14:textId="356108FC" w:rsidR="00BD51DC" w:rsidRPr="00D8284F" w:rsidRDefault="000445E5">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w:t>
            </w:r>
            <w:r w:rsidR="00C007C0" w:rsidRPr="00D8284F">
              <w:rPr>
                <w:rFonts w:asciiTheme="minorHAnsi" w:hAnsiTheme="minorHAnsi" w:cstheme="minorHAnsi"/>
                <w:sz w:val="17"/>
                <w:szCs w:val="17"/>
              </w:rPr>
              <w:t>24.7</w:t>
            </w:r>
          </w:p>
        </w:tc>
        <w:tc>
          <w:tcPr>
            <w:tcW w:w="300" w:type="pct"/>
            <w:shd w:val="clear" w:color="000000" w:fill="D2DDE1"/>
            <w:vAlign w:val="bottom"/>
          </w:tcPr>
          <w:p w14:paraId="6CE51810" w14:textId="402502E6" w:rsidR="00BD51DC" w:rsidRPr="00D8284F" w:rsidRDefault="000445E5">
            <w:pPr>
              <w:pStyle w:val="TableText"/>
              <w:keepNext/>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w:t>
            </w:r>
            <w:r w:rsidR="008E2E9A" w:rsidRPr="00D8284F">
              <w:rPr>
                <w:rFonts w:asciiTheme="minorHAnsi" w:hAnsiTheme="minorHAnsi" w:cstheme="minorHAnsi"/>
                <w:sz w:val="17"/>
                <w:szCs w:val="17"/>
              </w:rPr>
              <w:t>21.8</w:t>
            </w:r>
          </w:p>
        </w:tc>
      </w:tr>
      <w:tr w:rsidR="002078FB" w:rsidRPr="00D8284F" w14:paraId="181AD4F2" w14:textId="2C8D295F" w:rsidTr="00B72BC6">
        <w:trPr>
          <w:trHeight w:val="975"/>
        </w:trPr>
        <w:tc>
          <w:tcPr>
            <w:tcW w:w="529" w:type="pct"/>
            <w:shd w:val="clear" w:color="auto" w:fill="auto"/>
            <w:vAlign w:val="bottom"/>
            <w:hideMark/>
          </w:tcPr>
          <w:p w14:paraId="3B5D86F8" w14:textId="77777777" w:rsidR="00921D1F" w:rsidRPr="00D8284F" w:rsidRDefault="00921D1F">
            <w:pPr>
              <w:pStyle w:val="TableTextbold"/>
              <w:spacing w:before="40" w:after="40" w:line="240" w:lineRule="auto"/>
              <w:rPr>
                <w:rFonts w:asciiTheme="minorHAnsi" w:hAnsiTheme="minorHAnsi" w:cstheme="minorHAnsi"/>
                <w:sz w:val="17"/>
                <w:szCs w:val="17"/>
              </w:rPr>
            </w:pPr>
            <w:r w:rsidRPr="00D8284F">
              <w:rPr>
                <w:rFonts w:asciiTheme="minorHAnsi" w:hAnsiTheme="minorHAnsi" w:cstheme="minorHAnsi"/>
                <w:sz w:val="17"/>
                <w:szCs w:val="17"/>
              </w:rPr>
              <w:t>Annual net target accounting emissions  </w:t>
            </w:r>
          </w:p>
        </w:tc>
        <w:tc>
          <w:tcPr>
            <w:tcW w:w="297" w:type="pct"/>
            <w:shd w:val="clear" w:color="auto" w:fill="auto"/>
            <w:vAlign w:val="bottom"/>
            <w:hideMark/>
          </w:tcPr>
          <w:p w14:paraId="0E0FA25A" w14:textId="77777777" w:rsidR="00921D1F" w:rsidRPr="00D8284F" w:rsidRDefault="00921D1F">
            <w:pPr>
              <w:pStyle w:val="TableTextbold"/>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75.7</w:t>
            </w:r>
          </w:p>
        </w:tc>
        <w:tc>
          <w:tcPr>
            <w:tcW w:w="298" w:type="pct"/>
            <w:shd w:val="clear" w:color="auto" w:fill="auto"/>
            <w:vAlign w:val="bottom"/>
            <w:hideMark/>
          </w:tcPr>
          <w:p w14:paraId="08D40A66" w14:textId="77777777" w:rsidR="00921D1F" w:rsidRPr="00D8284F" w:rsidRDefault="00921D1F">
            <w:pPr>
              <w:pStyle w:val="TableTextbold"/>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75.7</w:t>
            </w:r>
          </w:p>
        </w:tc>
        <w:tc>
          <w:tcPr>
            <w:tcW w:w="298" w:type="pct"/>
            <w:shd w:val="clear" w:color="auto" w:fill="auto"/>
            <w:vAlign w:val="bottom"/>
            <w:hideMark/>
          </w:tcPr>
          <w:p w14:paraId="499FAB45" w14:textId="77777777" w:rsidR="00921D1F" w:rsidRPr="00D8284F" w:rsidRDefault="00921D1F">
            <w:pPr>
              <w:pStyle w:val="TableTextbold"/>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73.1</w:t>
            </w:r>
          </w:p>
        </w:tc>
        <w:tc>
          <w:tcPr>
            <w:tcW w:w="298" w:type="pct"/>
            <w:shd w:val="clear" w:color="000000" w:fill="D2DDE1"/>
            <w:vAlign w:val="bottom"/>
            <w:hideMark/>
          </w:tcPr>
          <w:p w14:paraId="0D7A4319" w14:textId="77777777" w:rsidR="00921D1F" w:rsidRPr="00D8284F" w:rsidRDefault="00921D1F">
            <w:pPr>
              <w:pStyle w:val="TableTextbold"/>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71.3</w:t>
            </w:r>
          </w:p>
        </w:tc>
        <w:tc>
          <w:tcPr>
            <w:tcW w:w="298" w:type="pct"/>
            <w:shd w:val="clear" w:color="000000" w:fill="D2DDE1"/>
            <w:vAlign w:val="bottom"/>
            <w:hideMark/>
          </w:tcPr>
          <w:p w14:paraId="266CBF12" w14:textId="77777777" w:rsidR="00921D1F" w:rsidRPr="00D8284F" w:rsidRDefault="00921D1F">
            <w:pPr>
              <w:pStyle w:val="TableTextbold"/>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71.5</w:t>
            </w:r>
          </w:p>
        </w:tc>
        <w:tc>
          <w:tcPr>
            <w:tcW w:w="298" w:type="pct"/>
            <w:shd w:val="clear" w:color="000000" w:fill="D2DDE1"/>
            <w:vAlign w:val="bottom"/>
            <w:hideMark/>
          </w:tcPr>
          <w:p w14:paraId="34EAD6BA" w14:textId="77777777" w:rsidR="00921D1F" w:rsidRPr="00D8284F" w:rsidRDefault="00921D1F">
            <w:pPr>
              <w:pStyle w:val="TableTextbold"/>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69.1</w:t>
            </w:r>
          </w:p>
        </w:tc>
        <w:tc>
          <w:tcPr>
            <w:tcW w:w="298" w:type="pct"/>
            <w:shd w:val="clear" w:color="000000" w:fill="D2DDE1"/>
            <w:vAlign w:val="bottom"/>
            <w:hideMark/>
          </w:tcPr>
          <w:p w14:paraId="303C7876" w14:textId="77777777" w:rsidR="00921D1F" w:rsidRPr="00D8284F" w:rsidRDefault="00921D1F">
            <w:pPr>
              <w:pStyle w:val="TableTextbold"/>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66.3</w:t>
            </w:r>
          </w:p>
        </w:tc>
        <w:tc>
          <w:tcPr>
            <w:tcW w:w="298" w:type="pct"/>
            <w:shd w:val="clear" w:color="000000" w:fill="D2DDE1"/>
            <w:vAlign w:val="bottom"/>
            <w:hideMark/>
          </w:tcPr>
          <w:p w14:paraId="1AE60702" w14:textId="77777777" w:rsidR="00921D1F" w:rsidRPr="00D8284F" w:rsidRDefault="00921D1F">
            <w:pPr>
              <w:pStyle w:val="TableTextbold"/>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64.2</w:t>
            </w:r>
          </w:p>
        </w:tc>
        <w:tc>
          <w:tcPr>
            <w:tcW w:w="298" w:type="pct"/>
            <w:shd w:val="clear" w:color="000000" w:fill="D2DDE1"/>
            <w:vAlign w:val="bottom"/>
            <w:hideMark/>
          </w:tcPr>
          <w:p w14:paraId="05A79DCA" w14:textId="77777777" w:rsidR="00921D1F" w:rsidRPr="00D8284F" w:rsidRDefault="00921D1F">
            <w:pPr>
              <w:pStyle w:val="TableTextbold"/>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61.1</w:t>
            </w:r>
          </w:p>
        </w:tc>
        <w:tc>
          <w:tcPr>
            <w:tcW w:w="298" w:type="pct"/>
            <w:shd w:val="clear" w:color="000000" w:fill="D2DDE1"/>
            <w:vAlign w:val="bottom"/>
            <w:hideMark/>
          </w:tcPr>
          <w:p w14:paraId="0A5CFB7E" w14:textId="77777777" w:rsidR="00921D1F" w:rsidRPr="00D8284F" w:rsidRDefault="00921D1F">
            <w:pPr>
              <w:pStyle w:val="TableTextbold"/>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59.1</w:t>
            </w:r>
          </w:p>
        </w:tc>
        <w:tc>
          <w:tcPr>
            <w:tcW w:w="298" w:type="pct"/>
            <w:shd w:val="clear" w:color="000000" w:fill="D2DDE1"/>
            <w:vAlign w:val="bottom"/>
            <w:hideMark/>
          </w:tcPr>
          <w:p w14:paraId="2C28D197" w14:textId="77777777" w:rsidR="00921D1F" w:rsidRPr="00D8284F" w:rsidRDefault="00921D1F">
            <w:pPr>
              <w:pStyle w:val="TableTextbold"/>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56.7</w:t>
            </w:r>
          </w:p>
        </w:tc>
        <w:tc>
          <w:tcPr>
            <w:tcW w:w="298" w:type="pct"/>
            <w:shd w:val="clear" w:color="000000" w:fill="D2DDE1"/>
            <w:vAlign w:val="bottom"/>
            <w:hideMark/>
          </w:tcPr>
          <w:p w14:paraId="34FD45E7" w14:textId="77777777" w:rsidR="00921D1F" w:rsidRPr="00D8284F" w:rsidRDefault="00921D1F">
            <w:pPr>
              <w:pStyle w:val="TableTextbold"/>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51.2</w:t>
            </w:r>
          </w:p>
        </w:tc>
        <w:tc>
          <w:tcPr>
            <w:tcW w:w="298" w:type="pct"/>
            <w:shd w:val="clear" w:color="000000" w:fill="D2DDE1"/>
            <w:vAlign w:val="bottom"/>
            <w:hideMark/>
          </w:tcPr>
          <w:p w14:paraId="736F83A9" w14:textId="77777777" w:rsidR="00921D1F" w:rsidRPr="00D8284F" w:rsidRDefault="00921D1F">
            <w:pPr>
              <w:pStyle w:val="TableTextbold"/>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43.2</w:t>
            </w:r>
          </w:p>
        </w:tc>
        <w:tc>
          <w:tcPr>
            <w:tcW w:w="298" w:type="pct"/>
            <w:shd w:val="clear" w:color="000000" w:fill="D2DDE1"/>
            <w:vAlign w:val="bottom"/>
          </w:tcPr>
          <w:p w14:paraId="782097BF" w14:textId="05501B34" w:rsidR="00BD51DC" w:rsidRPr="00D8284F" w:rsidRDefault="000445E5">
            <w:pPr>
              <w:pStyle w:val="TableTextbold"/>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39.7</w:t>
            </w:r>
          </w:p>
        </w:tc>
        <w:tc>
          <w:tcPr>
            <w:tcW w:w="300" w:type="pct"/>
            <w:shd w:val="clear" w:color="000000" w:fill="D2DDE1"/>
            <w:vAlign w:val="bottom"/>
          </w:tcPr>
          <w:p w14:paraId="3F54A904" w14:textId="6D3050BC" w:rsidR="00BD51DC" w:rsidRPr="00D8284F" w:rsidRDefault="000445E5">
            <w:pPr>
              <w:pStyle w:val="TableTextbold"/>
              <w:spacing w:before="40" w:after="40" w:line="240" w:lineRule="auto"/>
              <w:jc w:val="center"/>
              <w:rPr>
                <w:rFonts w:asciiTheme="minorHAnsi" w:hAnsiTheme="minorHAnsi" w:cstheme="minorHAnsi"/>
                <w:sz w:val="17"/>
                <w:szCs w:val="17"/>
              </w:rPr>
            </w:pPr>
            <w:r w:rsidRPr="00D8284F">
              <w:rPr>
                <w:rFonts w:asciiTheme="minorHAnsi" w:hAnsiTheme="minorHAnsi" w:cstheme="minorHAnsi"/>
                <w:sz w:val="17"/>
                <w:szCs w:val="17"/>
              </w:rPr>
              <w:t>41.2</w:t>
            </w:r>
          </w:p>
        </w:tc>
      </w:tr>
    </w:tbl>
    <w:p w14:paraId="586806C7" w14:textId="3F075DDD" w:rsidR="00921D1F" w:rsidRPr="00DA3DD4" w:rsidRDefault="00921D1F" w:rsidP="00921D1F">
      <w:pPr>
        <w:pStyle w:val="Note"/>
      </w:pPr>
      <w:r w:rsidRPr="00DA3DD4">
        <w:rPr>
          <w:b/>
          <w:bCs/>
        </w:rPr>
        <w:t>Note:</w:t>
      </w:r>
      <w:r w:rsidRPr="00DA3DD4">
        <w:t xml:space="preserve"> Columns may not total due to rounding. LULUCF = Land Use, Land-Use Change and Forestry.</w:t>
      </w:r>
    </w:p>
    <w:p w14:paraId="29D8E958" w14:textId="6C1A6FD2" w:rsidR="00921D1F" w:rsidRDefault="00921D1F" w:rsidP="00921D1F">
      <w:pPr>
        <w:pStyle w:val="BodyText"/>
      </w:pPr>
      <w:r w:rsidRPr="00DA3DD4" w:rsidDel="005047C8">
        <w:t xml:space="preserve">Under the </w:t>
      </w:r>
      <w:r w:rsidRPr="00DA3DD4">
        <w:t>WEM</w:t>
      </w:r>
      <w:r w:rsidRPr="00DA3DD4" w:rsidDel="005047C8">
        <w:t xml:space="preserve"> scenario</w:t>
      </w:r>
      <w:r w:rsidRPr="00DA3DD4">
        <w:t>, New Zealand’s net target accounting estimates are projected to be 69.1 million tonnes of carbon dioxide equivalent (Mt CO</w:t>
      </w:r>
      <w:r w:rsidRPr="00DA3DD4">
        <w:rPr>
          <w:vertAlign w:val="subscript"/>
        </w:rPr>
        <w:t>2</w:t>
      </w:r>
      <w:r w:rsidRPr="00DA3DD4">
        <w:t>e) in 2025, 56.7</w:t>
      </w:r>
      <w:r w:rsidRPr="00DA3DD4" w:rsidDel="008A00FE">
        <w:t xml:space="preserve"> Mt CO</w:t>
      </w:r>
      <w:r w:rsidRPr="00DA3DD4" w:rsidDel="008A00FE">
        <w:rPr>
          <w:vertAlign w:val="subscript"/>
        </w:rPr>
        <w:t>2</w:t>
      </w:r>
      <w:r w:rsidRPr="00DA3DD4" w:rsidDel="008A00FE">
        <w:t xml:space="preserve">e </w:t>
      </w:r>
      <w:r w:rsidRPr="00DA3DD4">
        <w:t>in 2030, 51.2 Mt CO</w:t>
      </w:r>
      <w:r w:rsidRPr="00DA3DD4">
        <w:rPr>
          <w:vertAlign w:val="subscript"/>
        </w:rPr>
        <w:t>2</w:t>
      </w:r>
      <w:r w:rsidRPr="00DA3DD4">
        <w:t>e in 2035, 43.2 Mt CO</w:t>
      </w:r>
      <w:r w:rsidRPr="00DA3DD4">
        <w:rPr>
          <w:vertAlign w:val="subscript"/>
        </w:rPr>
        <w:t>2</w:t>
      </w:r>
      <w:r w:rsidRPr="00DA3DD4">
        <w:t>e in 2040, 39.7 Mt CO</w:t>
      </w:r>
      <w:r w:rsidRPr="00DA3DD4">
        <w:rPr>
          <w:vertAlign w:val="subscript"/>
        </w:rPr>
        <w:t>2</w:t>
      </w:r>
      <w:r w:rsidRPr="00DA3DD4">
        <w:t>e in 2045 and 41.2 Mt CO</w:t>
      </w:r>
      <w:r w:rsidRPr="00DA3DD4">
        <w:rPr>
          <w:vertAlign w:val="subscript"/>
        </w:rPr>
        <w:t>2</w:t>
      </w:r>
      <w:r w:rsidRPr="00DA3DD4">
        <w:t xml:space="preserve">e in 2050. </w:t>
      </w:r>
    </w:p>
    <w:p w14:paraId="21F9A28E" w14:textId="0613AF3B" w:rsidR="00E21E24" w:rsidRDefault="00497F5B" w:rsidP="00921D1F">
      <w:pPr>
        <w:pStyle w:val="BodyText"/>
      </w:pPr>
      <w:r w:rsidRPr="00DA3DD4">
        <w:t>New Zealand’s net target accounting emissions are projected to be 668.2 Mt CO</w:t>
      </w:r>
      <w:r w:rsidRPr="00DA3DD4">
        <w:rPr>
          <w:vertAlign w:val="subscript"/>
        </w:rPr>
        <w:t>2</w:t>
      </w:r>
      <w:r w:rsidRPr="00DA3DD4">
        <w:t>e across 2021 to 2030, 89.2 Mt CO</w:t>
      </w:r>
      <w:r w:rsidRPr="00DA3DD4">
        <w:rPr>
          <w:vertAlign w:val="subscript"/>
        </w:rPr>
        <w:t>2</w:t>
      </w:r>
      <w:r w:rsidRPr="00DA3DD4">
        <w:t>e higher than the NDC1 provisional budget of 579 Mt CO</w:t>
      </w:r>
      <w:r w:rsidRPr="00DA3DD4">
        <w:rPr>
          <w:vertAlign w:val="subscript"/>
        </w:rPr>
        <w:t>2</w:t>
      </w:r>
      <w:r w:rsidRPr="00DA3DD4">
        <w:t>e</w:t>
      </w:r>
      <w:r w:rsidR="00E21E24">
        <w:t>.</w:t>
      </w:r>
      <w:r w:rsidR="00B24345">
        <w:t xml:space="preserve"> This does not include the impact of second emissions reduction plan policies and updated data, which are projected to reduce this gap further to 84.0 Mt CO</w:t>
      </w:r>
      <w:r w:rsidR="00B24345" w:rsidRPr="009C3805">
        <w:rPr>
          <w:vertAlign w:val="subscript"/>
        </w:rPr>
        <w:t>2</w:t>
      </w:r>
      <w:r w:rsidR="00B24345">
        <w:t xml:space="preserve">e. </w:t>
      </w:r>
      <w:r w:rsidR="00B24345" w:rsidRPr="00BF2F63">
        <w:t xml:space="preserve">These updates were unable to be included as the Biennial Transparency Report applied an earlier </w:t>
      </w:r>
      <w:r w:rsidR="00D0465C" w:rsidRPr="00D0465C">
        <w:t>cut-off</w:t>
      </w:r>
      <w:r w:rsidR="00B24345" w:rsidRPr="00BF2F63">
        <w:t xml:space="preserve"> date for modelling assumptions compared </w:t>
      </w:r>
      <w:r w:rsidR="00E21E24">
        <w:t>with</w:t>
      </w:r>
      <w:r w:rsidR="00B24345" w:rsidRPr="00BF2F63">
        <w:t xml:space="preserve"> the second emissions reduction plan.</w:t>
      </w:r>
    </w:p>
    <w:p w14:paraId="017CA1C6" w14:textId="77777777" w:rsidR="00921D1F" w:rsidRPr="00DA3DD4" w:rsidRDefault="00921D1F" w:rsidP="00921D1F">
      <w:pPr>
        <w:pStyle w:val="BodyText"/>
      </w:pPr>
      <w:r w:rsidRPr="00DA3DD4">
        <w:t xml:space="preserve">The projections of gross and net emissions (including LULUCF target accounting quantities) are summarised by sector and by gas in table 2.6.2 for the WEM scenario. </w:t>
      </w:r>
    </w:p>
    <w:p w14:paraId="2556E360" w14:textId="3BA392B4" w:rsidR="00921D1F" w:rsidRPr="00DA3DD4" w:rsidRDefault="00921D1F" w:rsidP="00921D1F">
      <w:pPr>
        <w:pStyle w:val="Tableheading"/>
        <w:spacing w:line="260" w:lineRule="atLeast"/>
        <w:rPr>
          <w:rFonts w:asciiTheme="minorHAnsi" w:eastAsiaTheme="minorHAnsi" w:hAnsiTheme="minorHAnsi"/>
          <w:lang w:eastAsia="en-US"/>
        </w:rPr>
      </w:pPr>
      <w:bookmarkStart w:id="719" w:name="_Toc185407498"/>
      <w:bookmarkStart w:id="720" w:name="_Toc185427761"/>
      <w:r w:rsidRPr="00DA3DD4">
        <w:t xml:space="preserve">Table 2.6.2: </w:t>
      </w:r>
      <w:r w:rsidRPr="00DA3DD4">
        <w:tab/>
        <w:t>New Zealand’s net target accounting emissions by sector under the ‘with existing measures’ scenario 2005–</w:t>
      </w:r>
      <w:r w:rsidRPr="00DA3DD4" w:rsidDel="009549BE">
        <w:t>20</w:t>
      </w:r>
      <w:r w:rsidRPr="00DA3DD4">
        <w:t>50 (Mt CO</w:t>
      </w:r>
      <w:r w:rsidRPr="00DA3DD4">
        <w:rPr>
          <w:vertAlign w:val="subscript"/>
        </w:rPr>
        <w:t>2</w:t>
      </w:r>
      <w:r w:rsidRPr="00DA3DD4">
        <w:t>e)</w:t>
      </w:r>
      <w:bookmarkEnd w:id="719"/>
      <w:bookmarkEnd w:id="720"/>
      <w:r w:rsidRPr="00DA3DD4">
        <w:t xml:space="preserve"> </w:t>
      </w:r>
      <w:bookmarkStart w:id="721" w:name="_1792308296"/>
      <w:bookmarkStart w:id="722" w:name="_1792308251"/>
      <w:bookmarkEnd w:id="721"/>
      <w:bookmarkEnd w:id="722"/>
    </w:p>
    <w:tbl>
      <w:tblPr>
        <w:tblW w:w="8505" w:type="dxa"/>
        <w:tblLayout w:type="fixed"/>
        <w:tblCellMar>
          <w:left w:w="85" w:type="dxa"/>
          <w:right w:w="85" w:type="dxa"/>
        </w:tblCellMar>
        <w:tblLook w:val="04A0" w:firstRow="1" w:lastRow="0" w:firstColumn="1" w:lastColumn="0" w:noHBand="0" w:noVBand="1"/>
      </w:tblPr>
      <w:tblGrid>
        <w:gridCol w:w="1134"/>
        <w:gridCol w:w="666"/>
        <w:gridCol w:w="745"/>
        <w:gridCol w:w="745"/>
        <w:gridCol w:w="745"/>
        <w:gridCol w:w="745"/>
        <w:gridCol w:w="745"/>
        <w:gridCol w:w="745"/>
        <w:gridCol w:w="745"/>
        <w:gridCol w:w="745"/>
        <w:gridCol w:w="745"/>
      </w:tblGrid>
      <w:tr w:rsidR="00921D1F" w:rsidRPr="00D8284F" w14:paraId="1792D32D" w14:textId="77777777">
        <w:trPr>
          <w:tblHeader/>
        </w:trPr>
        <w:tc>
          <w:tcPr>
            <w:tcW w:w="1134" w:type="dxa"/>
            <w:tcBorders>
              <w:top w:val="single" w:sz="8" w:space="0" w:color="1B556B"/>
              <w:left w:val="nil"/>
              <w:bottom w:val="nil"/>
              <w:right w:val="nil"/>
            </w:tcBorders>
            <w:shd w:val="clear" w:color="000000" w:fill="1B556B"/>
            <w:vAlign w:val="bottom"/>
            <w:hideMark/>
          </w:tcPr>
          <w:p w14:paraId="115DA76E" w14:textId="77777777" w:rsidR="00921D1F" w:rsidRPr="00D8284F" w:rsidRDefault="00921D1F">
            <w:pPr>
              <w:pStyle w:val="TableTextbold"/>
              <w:spacing w:before="40" w:after="0" w:line="240" w:lineRule="auto"/>
              <w:jc w:val="center"/>
              <w:rPr>
                <w:rFonts w:asciiTheme="minorHAnsi" w:hAnsiTheme="minorHAnsi" w:cstheme="minorHAnsi"/>
                <w:color w:val="FFFFFF" w:themeColor="background1"/>
                <w:szCs w:val="18"/>
              </w:rPr>
            </w:pPr>
          </w:p>
        </w:tc>
        <w:tc>
          <w:tcPr>
            <w:tcW w:w="3646" w:type="dxa"/>
            <w:gridSpan w:val="5"/>
            <w:tcBorders>
              <w:top w:val="single" w:sz="8" w:space="0" w:color="1B556B"/>
              <w:left w:val="nil"/>
              <w:bottom w:val="nil"/>
              <w:right w:val="nil"/>
            </w:tcBorders>
            <w:shd w:val="clear" w:color="000000" w:fill="1B556B"/>
            <w:vAlign w:val="bottom"/>
            <w:hideMark/>
          </w:tcPr>
          <w:p w14:paraId="50ECE5DD" w14:textId="77777777" w:rsidR="00921D1F" w:rsidRPr="00D8284F" w:rsidRDefault="00921D1F">
            <w:pPr>
              <w:pStyle w:val="TableTextbold"/>
              <w:spacing w:before="40" w:after="0" w:line="240" w:lineRule="auto"/>
              <w:jc w:val="center"/>
              <w:rPr>
                <w:rFonts w:asciiTheme="minorHAnsi" w:hAnsiTheme="minorHAnsi" w:cstheme="minorHAnsi"/>
                <w:bCs/>
                <w:color w:val="FFFFFF" w:themeColor="background1"/>
                <w:szCs w:val="18"/>
              </w:rPr>
            </w:pPr>
            <w:r w:rsidRPr="00D8284F">
              <w:rPr>
                <w:rFonts w:asciiTheme="minorHAnsi" w:hAnsiTheme="minorHAnsi" w:cstheme="minorHAnsi"/>
                <w:bCs/>
                <w:color w:val="FFFFFF" w:themeColor="background1"/>
                <w:szCs w:val="18"/>
              </w:rPr>
              <w:t>Historical</w:t>
            </w:r>
          </w:p>
        </w:tc>
        <w:tc>
          <w:tcPr>
            <w:tcW w:w="3725" w:type="dxa"/>
            <w:gridSpan w:val="5"/>
            <w:tcBorders>
              <w:top w:val="single" w:sz="8" w:space="0" w:color="1B556B"/>
              <w:left w:val="nil"/>
              <w:bottom w:val="nil"/>
              <w:right w:val="nil"/>
            </w:tcBorders>
            <w:shd w:val="clear" w:color="000000" w:fill="1B556B"/>
            <w:vAlign w:val="bottom"/>
            <w:hideMark/>
          </w:tcPr>
          <w:p w14:paraId="2B3B28A4" w14:textId="77777777" w:rsidR="00921D1F" w:rsidRPr="00D8284F" w:rsidRDefault="00921D1F">
            <w:pPr>
              <w:pStyle w:val="TableTextbold"/>
              <w:spacing w:before="40" w:after="0" w:line="240" w:lineRule="auto"/>
              <w:jc w:val="center"/>
              <w:rPr>
                <w:rFonts w:asciiTheme="minorHAnsi" w:hAnsiTheme="minorHAnsi" w:cstheme="minorHAnsi"/>
                <w:bCs/>
                <w:color w:val="FFFFFF" w:themeColor="background1"/>
                <w:szCs w:val="18"/>
              </w:rPr>
            </w:pPr>
            <w:r w:rsidRPr="00D8284F">
              <w:rPr>
                <w:rFonts w:asciiTheme="minorHAnsi" w:hAnsiTheme="minorHAnsi" w:cstheme="minorHAnsi"/>
                <w:bCs/>
                <w:color w:val="FFFFFF" w:themeColor="background1"/>
                <w:szCs w:val="18"/>
              </w:rPr>
              <w:t>Projected</w:t>
            </w:r>
          </w:p>
        </w:tc>
      </w:tr>
      <w:tr w:rsidR="00921D1F" w:rsidRPr="00D8284F" w14:paraId="1C0FF6B2" w14:textId="77777777">
        <w:trPr>
          <w:tblHeader/>
        </w:trPr>
        <w:tc>
          <w:tcPr>
            <w:tcW w:w="1134" w:type="dxa"/>
            <w:tcBorders>
              <w:top w:val="nil"/>
              <w:left w:val="nil"/>
              <w:bottom w:val="single" w:sz="8" w:space="0" w:color="1B556B"/>
              <w:right w:val="nil"/>
            </w:tcBorders>
            <w:shd w:val="clear" w:color="000000" w:fill="1B556B"/>
            <w:vAlign w:val="bottom"/>
            <w:hideMark/>
          </w:tcPr>
          <w:p w14:paraId="76BC36A4" w14:textId="77777777" w:rsidR="00921D1F" w:rsidRPr="00D8284F" w:rsidRDefault="00921D1F">
            <w:pPr>
              <w:pStyle w:val="TableTextbold"/>
              <w:spacing w:before="0" w:after="40" w:line="240" w:lineRule="auto"/>
              <w:jc w:val="center"/>
              <w:rPr>
                <w:rFonts w:asciiTheme="minorHAnsi" w:hAnsiTheme="minorHAnsi" w:cstheme="minorHAnsi"/>
                <w:color w:val="FFFFFF" w:themeColor="background1"/>
                <w:szCs w:val="18"/>
              </w:rPr>
            </w:pPr>
          </w:p>
        </w:tc>
        <w:tc>
          <w:tcPr>
            <w:tcW w:w="666" w:type="dxa"/>
            <w:tcBorders>
              <w:top w:val="nil"/>
              <w:left w:val="nil"/>
              <w:bottom w:val="single" w:sz="8" w:space="0" w:color="1B556B"/>
              <w:right w:val="nil"/>
            </w:tcBorders>
            <w:shd w:val="clear" w:color="000000" w:fill="1B556B"/>
            <w:vAlign w:val="bottom"/>
            <w:hideMark/>
          </w:tcPr>
          <w:p w14:paraId="2D8934DB" w14:textId="77777777" w:rsidR="00921D1F" w:rsidRPr="00D8284F" w:rsidRDefault="00921D1F">
            <w:pPr>
              <w:pStyle w:val="TableTextbold"/>
              <w:spacing w:before="0" w:after="40" w:line="240" w:lineRule="auto"/>
              <w:jc w:val="center"/>
              <w:rPr>
                <w:rFonts w:asciiTheme="minorHAnsi" w:hAnsiTheme="minorHAnsi" w:cstheme="minorHAnsi"/>
                <w:bCs/>
                <w:color w:val="FFFFFF" w:themeColor="background1"/>
                <w:szCs w:val="18"/>
              </w:rPr>
            </w:pPr>
            <w:r w:rsidRPr="00D8284F">
              <w:rPr>
                <w:rFonts w:asciiTheme="minorHAnsi" w:hAnsiTheme="minorHAnsi" w:cstheme="minorHAnsi"/>
                <w:bCs/>
                <w:color w:val="FFFFFF" w:themeColor="background1"/>
                <w:szCs w:val="18"/>
              </w:rPr>
              <w:t>2005</w:t>
            </w:r>
          </w:p>
        </w:tc>
        <w:tc>
          <w:tcPr>
            <w:tcW w:w="745" w:type="dxa"/>
            <w:tcBorders>
              <w:top w:val="nil"/>
              <w:left w:val="nil"/>
              <w:bottom w:val="single" w:sz="8" w:space="0" w:color="1B556B"/>
              <w:right w:val="nil"/>
            </w:tcBorders>
            <w:shd w:val="clear" w:color="000000" w:fill="1B556B"/>
            <w:vAlign w:val="bottom"/>
            <w:hideMark/>
          </w:tcPr>
          <w:p w14:paraId="03BD7208" w14:textId="77777777" w:rsidR="00921D1F" w:rsidRPr="00D8284F" w:rsidRDefault="00921D1F">
            <w:pPr>
              <w:pStyle w:val="TableTextbold"/>
              <w:spacing w:before="0" w:after="40" w:line="240" w:lineRule="auto"/>
              <w:jc w:val="center"/>
              <w:rPr>
                <w:rFonts w:asciiTheme="minorHAnsi" w:hAnsiTheme="minorHAnsi" w:cstheme="minorHAnsi"/>
                <w:bCs/>
                <w:color w:val="FFFFFF" w:themeColor="background1"/>
                <w:szCs w:val="18"/>
              </w:rPr>
            </w:pPr>
            <w:r w:rsidRPr="00D8284F">
              <w:rPr>
                <w:rFonts w:asciiTheme="minorHAnsi" w:hAnsiTheme="minorHAnsi" w:cstheme="minorHAnsi"/>
                <w:bCs/>
                <w:color w:val="FFFFFF" w:themeColor="background1"/>
                <w:szCs w:val="18"/>
              </w:rPr>
              <w:t>2010</w:t>
            </w:r>
          </w:p>
        </w:tc>
        <w:tc>
          <w:tcPr>
            <w:tcW w:w="745" w:type="dxa"/>
            <w:tcBorders>
              <w:top w:val="nil"/>
              <w:left w:val="nil"/>
              <w:bottom w:val="single" w:sz="8" w:space="0" w:color="1B556B"/>
              <w:right w:val="nil"/>
            </w:tcBorders>
            <w:shd w:val="clear" w:color="000000" w:fill="1B556B"/>
            <w:vAlign w:val="bottom"/>
            <w:hideMark/>
          </w:tcPr>
          <w:p w14:paraId="15CC406D" w14:textId="77777777" w:rsidR="00921D1F" w:rsidRPr="00D8284F" w:rsidRDefault="00921D1F">
            <w:pPr>
              <w:pStyle w:val="TableTextbold"/>
              <w:spacing w:before="0" w:after="40" w:line="240" w:lineRule="auto"/>
              <w:jc w:val="center"/>
              <w:rPr>
                <w:rFonts w:asciiTheme="minorHAnsi" w:hAnsiTheme="minorHAnsi" w:cstheme="minorHAnsi"/>
                <w:bCs/>
                <w:color w:val="FFFFFF" w:themeColor="background1"/>
                <w:szCs w:val="18"/>
              </w:rPr>
            </w:pPr>
            <w:r w:rsidRPr="00D8284F">
              <w:rPr>
                <w:rFonts w:asciiTheme="minorHAnsi" w:hAnsiTheme="minorHAnsi" w:cstheme="minorHAnsi"/>
                <w:bCs/>
                <w:color w:val="FFFFFF" w:themeColor="background1"/>
                <w:szCs w:val="18"/>
              </w:rPr>
              <w:t>2015</w:t>
            </w:r>
          </w:p>
        </w:tc>
        <w:tc>
          <w:tcPr>
            <w:tcW w:w="745" w:type="dxa"/>
            <w:tcBorders>
              <w:top w:val="nil"/>
              <w:left w:val="nil"/>
              <w:bottom w:val="single" w:sz="8" w:space="0" w:color="1B556B"/>
              <w:right w:val="nil"/>
            </w:tcBorders>
            <w:shd w:val="clear" w:color="000000" w:fill="1B556B"/>
            <w:vAlign w:val="bottom"/>
            <w:hideMark/>
          </w:tcPr>
          <w:p w14:paraId="57D04CD2" w14:textId="77777777" w:rsidR="00921D1F" w:rsidRPr="00D8284F" w:rsidRDefault="00921D1F">
            <w:pPr>
              <w:pStyle w:val="TableTextbold"/>
              <w:spacing w:before="0" w:after="40" w:line="240" w:lineRule="auto"/>
              <w:jc w:val="center"/>
              <w:rPr>
                <w:rFonts w:asciiTheme="minorHAnsi" w:hAnsiTheme="minorHAnsi" w:cstheme="minorHAnsi"/>
                <w:bCs/>
                <w:color w:val="FFFFFF" w:themeColor="background1"/>
                <w:szCs w:val="18"/>
              </w:rPr>
            </w:pPr>
            <w:r w:rsidRPr="00D8284F">
              <w:rPr>
                <w:rFonts w:asciiTheme="minorHAnsi" w:hAnsiTheme="minorHAnsi" w:cstheme="minorHAnsi"/>
                <w:bCs/>
                <w:color w:val="FFFFFF" w:themeColor="background1"/>
                <w:szCs w:val="18"/>
              </w:rPr>
              <w:t>2020</w:t>
            </w:r>
          </w:p>
        </w:tc>
        <w:tc>
          <w:tcPr>
            <w:tcW w:w="745" w:type="dxa"/>
            <w:tcBorders>
              <w:top w:val="nil"/>
              <w:left w:val="nil"/>
              <w:bottom w:val="single" w:sz="8" w:space="0" w:color="1B556B"/>
              <w:right w:val="nil"/>
            </w:tcBorders>
            <w:shd w:val="clear" w:color="000000" w:fill="1B556B"/>
            <w:vAlign w:val="bottom"/>
            <w:hideMark/>
          </w:tcPr>
          <w:p w14:paraId="6D1FE91B" w14:textId="77777777" w:rsidR="00921D1F" w:rsidRPr="00D8284F" w:rsidRDefault="00921D1F">
            <w:pPr>
              <w:pStyle w:val="TableTextbold"/>
              <w:spacing w:before="0" w:after="40" w:line="240" w:lineRule="auto"/>
              <w:jc w:val="center"/>
              <w:rPr>
                <w:rFonts w:asciiTheme="minorHAnsi" w:hAnsiTheme="minorHAnsi" w:cstheme="minorHAnsi"/>
                <w:bCs/>
                <w:color w:val="FFFFFF" w:themeColor="background1"/>
                <w:szCs w:val="18"/>
              </w:rPr>
            </w:pPr>
            <w:r w:rsidRPr="00D8284F">
              <w:rPr>
                <w:rFonts w:asciiTheme="minorHAnsi" w:hAnsiTheme="minorHAnsi" w:cstheme="minorHAnsi"/>
                <w:bCs/>
                <w:color w:val="FFFFFF" w:themeColor="background1"/>
                <w:szCs w:val="18"/>
              </w:rPr>
              <w:t>2025</w:t>
            </w:r>
          </w:p>
        </w:tc>
        <w:tc>
          <w:tcPr>
            <w:tcW w:w="745" w:type="dxa"/>
            <w:tcBorders>
              <w:top w:val="nil"/>
              <w:left w:val="nil"/>
              <w:bottom w:val="single" w:sz="8" w:space="0" w:color="1B556B"/>
              <w:right w:val="nil"/>
            </w:tcBorders>
            <w:shd w:val="clear" w:color="000000" w:fill="1B556B"/>
            <w:vAlign w:val="bottom"/>
            <w:hideMark/>
          </w:tcPr>
          <w:p w14:paraId="7C3EA252" w14:textId="77777777" w:rsidR="00921D1F" w:rsidRPr="00D8284F" w:rsidRDefault="00921D1F">
            <w:pPr>
              <w:pStyle w:val="TableTextbold"/>
              <w:spacing w:before="0" w:after="40" w:line="240" w:lineRule="auto"/>
              <w:jc w:val="center"/>
              <w:rPr>
                <w:rFonts w:asciiTheme="minorHAnsi" w:hAnsiTheme="minorHAnsi" w:cstheme="minorHAnsi"/>
                <w:bCs/>
                <w:color w:val="FFFFFF" w:themeColor="background1"/>
                <w:szCs w:val="18"/>
              </w:rPr>
            </w:pPr>
            <w:r w:rsidRPr="00D8284F">
              <w:rPr>
                <w:rFonts w:asciiTheme="minorHAnsi" w:hAnsiTheme="minorHAnsi" w:cstheme="minorHAnsi"/>
                <w:bCs/>
                <w:color w:val="FFFFFF" w:themeColor="background1"/>
                <w:szCs w:val="18"/>
              </w:rPr>
              <w:t>2030</w:t>
            </w:r>
          </w:p>
        </w:tc>
        <w:tc>
          <w:tcPr>
            <w:tcW w:w="745" w:type="dxa"/>
            <w:tcBorders>
              <w:top w:val="nil"/>
              <w:left w:val="nil"/>
              <w:bottom w:val="single" w:sz="8" w:space="0" w:color="1B556B"/>
              <w:right w:val="single" w:sz="8" w:space="0" w:color="1B556B"/>
            </w:tcBorders>
            <w:shd w:val="clear" w:color="000000" w:fill="1B556B"/>
            <w:vAlign w:val="bottom"/>
            <w:hideMark/>
          </w:tcPr>
          <w:p w14:paraId="09E62B30" w14:textId="77777777" w:rsidR="00921D1F" w:rsidRPr="00D8284F" w:rsidRDefault="00921D1F">
            <w:pPr>
              <w:pStyle w:val="TableTextbold"/>
              <w:spacing w:before="0" w:after="40" w:line="240" w:lineRule="auto"/>
              <w:jc w:val="center"/>
              <w:rPr>
                <w:rFonts w:asciiTheme="minorHAnsi" w:hAnsiTheme="minorHAnsi" w:cstheme="minorHAnsi"/>
                <w:bCs/>
                <w:color w:val="FFFFFF" w:themeColor="background1"/>
                <w:szCs w:val="18"/>
              </w:rPr>
            </w:pPr>
            <w:r w:rsidRPr="00D8284F">
              <w:rPr>
                <w:rFonts w:asciiTheme="minorHAnsi" w:hAnsiTheme="minorHAnsi" w:cstheme="minorHAnsi"/>
                <w:bCs/>
                <w:color w:val="FFFFFF" w:themeColor="background1"/>
                <w:szCs w:val="18"/>
              </w:rPr>
              <w:t>2035</w:t>
            </w:r>
          </w:p>
        </w:tc>
        <w:tc>
          <w:tcPr>
            <w:tcW w:w="745" w:type="dxa"/>
            <w:tcBorders>
              <w:top w:val="nil"/>
              <w:left w:val="nil"/>
              <w:bottom w:val="single" w:sz="8" w:space="0" w:color="1B556B"/>
              <w:right w:val="single" w:sz="8" w:space="0" w:color="1B556B"/>
            </w:tcBorders>
            <w:shd w:val="clear" w:color="000000" w:fill="1B556B"/>
            <w:vAlign w:val="bottom"/>
            <w:hideMark/>
          </w:tcPr>
          <w:p w14:paraId="5E138C9A" w14:textId="77777777" w:rsidR="00921D1F" w:rsidRPr="00D8284F" w:rsidRDefault="00921D1F">
            <w:pPr>
              <w:pStyle w:val="TableTextbold"/>
              <w:spacing w:before="0" w:after="40" w:line="240" w:lineRule="auto"/>
              <w:jc w:val="center"/>
              <w:rPr>
                <w:rFonts w:asciiTheme="minorHAnsi" w:hAnsiTheme="minorHAnsi" w:cstheme="minorHAnsi"/>
                <w:bCs/>
                <w:color w:val="FFFFFF" w:themeColor="background1"/>
                <w:szCs w:val="18"/>
              </w:rPr>
            </w:pPr>
            <w:r w:rsidRPr="00D8284F">
              <w:rPr>
                <w:rFonts w:asciiTheme="minorHAnsi" w:hAnsiTheme="minorHAnsi" w:cstheme="minorHAnsi"/>
                <w:bCs/>
                <w:color w:val="FFFFFF" w:themeColor="background1"/>
                <w:szCs w:val="18"/>
              </w:rPr>
              <w:t>2040</w:t>
            </w:r>
          </w:p>
        </w:tc>
        <w:tc>
          <w:tcPr>
            <w:tcW w:w="745" w:type="dxa"/>
            <w:tcBorders>
              <w:top w:val="nil"/>
              <w:left w:val="nil"/>
              <w:bottom w:val="single" w:sz="8" w:space="0" w:color="1B556B"/>
              <w:right w:val="nil"/>
            </w:tcBorders>
            <w:shd w:val="clear" w:color="000000" w:fill="1B556B"/>
            <w:vAlign w:val="bottom"/>
            <w:hideMark/>
          </w:tcPr>
          <w:p w14:paraId="2F05EAAE" w14:textId="77777777" w:rsidR="00921D1F" w:rsidRPr="00D8284F" w:rsidRDefault="00921D1F">
            <w:pPr>
              <w:pStyle w:val="TableTextbold"/>
              <w:spacing w:before="0" w:after="40" w:line="240" w:lineRule="auto"/>
              <w:jc w:val="center"/>
              <w:rPr>
                <w:rFonts w:asciiTheme="minorHAnsi" w:hAnsiTheme="minorHAnsi" w:cstheme="minorHAnsi"/>
                <w:bCs/>
                <w:color w:val="FFFFFF" w:themeColor="background1"/>
                <w:szCs w:val="18"/>
              </w:rPr>
            </w:pPr>
            <w:r w:rsidRPr="00D8284F">
              <w:rPr>
                <w:rFonts w:asciiTheme="minorHAnsi" w:hAnsiTheme="minorHAnsi" w:cstheme="minorHAnsi"/>
                <w:bCs/>
                <w:color w:val="FFFFFF" w:themeColor="background1"/>
                <w:szCs w:val="18"/>
              </w:rPr>
              <w:t>2045</w:t>
            </w:r>
          </w:p>
        </w:tc>
        <w:tc>
          <w:tcPr>
            <w:tcW w:w="745" w:type="dxa"/>
            <w:tcBorders>
              <w:top w:val="nil"/>
              <w:left w:val="nil"/>
              <w:bottom w:val="single" w:sz="8" w:space="0" w:color="1B556B"/>
              <w:right w:val="nil"/>
            </w:tcBorders>
            <w:shd w:val="clear" w:color="000000" w:fill="1B556B"/>
            <w:vAlign w:val="bottom"/>
            <w:hideMark/>
          </w:tcPr>
          <w:p w14:paraId="1108DCEC" w14:textId="77777777" w:rsidR="00921D1F" w:rsidRPr="00D8284F" w:rsidRDefault="00921D1F">
            <w:pPr>
              <w:pStyle w:val="TableTextbold"/>
              <w:spacing w:before="0" w:after="40" w:line="240" w:lineRule="auto"/>
              <w:jc w:val="center"/>
              <w:rPr>
                <w:rFonts w:asciiTheme="minorHAnsi" w:hAnsiTheme="minorHAnsi" w:cstheme="minorHAnsi"/>
                <w:bCs/>
                <w:color w:val="FFFFFF" w:themeColor="background1"/>
                <w:szCs w:val="18"/>
              </w:rPr>
            </w:pPr>
            <w:r w:rsidRPr="00D8284F">
              <w:rPr>
                <w:rFonts w:asciiTheme="minorHAnsi" w:hAnsiTheme="minorHAnsi" w:cstheme="minorHAnsi"/>
                <w:bCs/>
                <w:color w:val="FFFFFF" w:themeColor="background1"/>
                <w:szCs w:val="18"/>
              </w:rPr>
              <w:t>2050</w:t>
            </w:r>
          </w:p>
        </w:tc>
      </w:tr>
      <w:tr w:rsidR="00921D1F" w:rsidRPr="00D8284F" w14:paraId="2BAF3DC9" w14:textId="77777777">
        <w:tc>
          <w:tcPr>
            <w:tcW w:w="8505" w:type="dxa"/>
            <w:gridSpan w:val="11"/>
            <w:tcBorders>
              <w:top w:val="single" w:sz="8" w:space="0" w:color="1B556B"/>
              <w:left w:val="nil"/>
              <w:bottom w:val="single" w:sz="8" w:space="0" w:color="1B556B"/>
              <w:right w:val="nil"/>
            </w:tcBorders>
            <w:shd w:val="clear" w:color="auto" w:fill="auto"/>
            <w:vAlign w:val="bottom"/>
            <w:hideMark/>
          </w:tcPr>
          <w:p w14:paraId="2B77BD8B" w14:textId="77777777" w:rsidR="00921D1F" w:rsidRPr="00D8284F" w:rsidRDefault="00921D1F">
            <w:pPr>
              <w:pStyle w:val="TableTextbold"/>
              <w:spacing w:before="50" w:after="50" w:line="240" w:lineRule="auto"/>
              <w:rPr>
                <w:rFonts w:asciiTheme="minorHAnsi" w:hAnsiTheme="minorHAnsi" w:cstheme="minorHAnsi"/>
                <w:szCs w:val="18"/>
              </w:rPr>
            </w:pPr>
            <w:r w:rsidRPr="00D8284F">
              <w:rPr>
                <w:rFonts w:asciiTheme="minorHAnsi" w:hAnsiTheme="minorHAnsi" w:cstheme="minorHAnsi"/>
                <w:szCs w:val="18"/>
              </w:rPr>
              <w:t>Sector</w:t>
            </w:r>
          </w:p>
        </w:tc>
      </w:tr>
      <w:tr w:rsidR="00921D1F" w:rsidRPr="00D8284F" w14:paraId="4ED47068" w14:textId="77777777">
        <w:tc>
          <w:tcPr>
            <w:tcW w:w="1134" w:type="dxa"/>
            <w:tcBorders>
              <w:top w:val="nil"/>
              <w:left w:val="nil"/>
              <w:bottom w:val="single" w:sz="8" w:space="0" w:color="1B556B"/>
              <w:right w:val="single" w:sz="8" w:space="0" w:color="1B556B"/>
            </w:tcBorders>
            <w:shd w:val="clear" w:color="auto" w:fill="auto"/>
            <w:vAlign w:val="bottom"/>
            <w:hideMark/>
          </w:tcPr>
          <w:p w14:paraId="7CE21C03" w14:textId="77777777" w:rsidR="00921D1F" w:rsidRPr="00D8284F" w:rsidRDefault="00921D1F">
            <w:pPr>
              <w:pStyle w:val="TableText"/>
              <w:spacing w:before="50" w:after="50" w:line="240" w:lineRule="auto"/>
              <w:rPr>
                <w:rFonts w:asciiTheme="minorHAnsi" w:hAnsiTheme="minorHAnsi" w:cstheme="minorHAnsi"/>
                <w:szCs w:val="18"/>
              </w:rPr>
            </w:pPr>
            <w:r w:rsidRPr="00D8284F">
              <w:rPr>
                <w:rFonts w:asciiTheme="minorHAnsi" w:hAnsiTheme="minorHAnsi" w:cstheme="minorHAnsi"/>
                <w:szCs w:val="18"/>
              </w:rPr>
              <w:t>Energy  </w:t>
            </w:r>
          </w:p>
        </w:tc>
        <w:tc>
          <w:tcPr>
            <w:tcW w:w="666" w:type="dxa"/>
            <w:tcBorders>
              <w:top w:val="nil"/>
              <w:left w:val="nil"/>
              <w:bottom w:val="single" w:sz="8" w:space="0" w:color="1B556B"/>
              <w:right w:val="single" w:sz="8" w:space="0" w:color="1B556B"/>
            </w:tcBorders>
            <w:shd w:val="clear" w:color="auto" w:fill="auto"/>
            <w:vAlign w:val="bottom"/>
            <w:hideMark/>
          </w:tcPr>
          <w:p w14:paraId="095990AF"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21.6</w:t>
            </w:r>
          </w:p>
        </w:tc>
        <w:tc>
          <w:tcPr>
            <w:tcW w:w="745" w:type="dxa"/>
            <w:tcBorders>
              <w:top w:val="nil"/>
              <w:left w:val="nil"/>
              <w:bottom w:val="single" w:sz="8" w:space="0" w:color="1B556B"/>
              <w:right w:val="single" w:sz="8" w:space="0" w:color="1B556B"/>
            </w:tcBorders>
            <w:shd w:val="clear" w:color="auto" w:fill="auto"/>
            <w:vAlign w:val="bottom"/>
            <w:hideMark/>
          </w:tcPr>
          <w:p w14:paraId="4C104B23"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18.9</w:t>
            </w:r>
          </w:p>
        </w:tc>
        <w:tc>
          <w:tcPr>
            <w:tcW w:w="745" w:type="dxa"/>
            <w:tcBorders>
              <w:top w:val="nil"/>
              <w:left w:val="nil"/>
              <w:bottom w:val="single" w:sz="8" w:space="0" w:color="1B556B"/>
              <w:right w:val="single" w:sz="8" w:space="0" w:color="1B556B"/>
            </w:tcBorders>
            <w:shd w:val="clear" w:color="auto" w:fill="auto"/>
            <w:vAlign w:val="bottom"/>
            <w:hideMark/>
          </w:tcPr>
          <w:p w14:paraId="281F5515"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18.5</w:t>
            </w:r>
          </w:p>
        </w:tc>
        <w:tc>
          <w:tcPr>
            <w:tcW w:w="745" w:type="dxa"/>
            <w:tcBorders>
              <w:top w:val="nil"/>
              <w:left w:val="nil"/>
              <w:bottom w:val="single" w:sz="8" w:space="0" w:color="1B556B"/>
              <w:right w:val="single" w:sz="8" w:space="0" w:color="1B556B"/>
            </w:tcBorders>
            <w:shd w:val="clear" w:color="auto" w:fill="auto"/>
            <w:vAlign w:val="bottom"/>
            <w:hideMark/>
          </w:tcPr>
          <w:p w14:paraId="550FD886"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17.7</w:t>
            </w:r>
          </w:p>
        </w:tc>
        <w:tc>
          <w:tcPr>
            <w:tcW w:w="745" w:type="dxa"/>
            <w:tcBorders>
              <w:top w:val="nil"/>
              <w:left w:val="nil"/>
              <w:bottom w:val="single" w:sz="8" w:space="0" w:color="1B556B"/>
              <w:right w:val="single" w:sz="8" w:space="0" w:color="1B556B"/>
            </w:tcBorders>
            <w:shd w:val="clear" w:color="000000" w:fill="D2DDE1"/>
            <w:vAlign w:val="bottom"/>
            <w:hideMark/>
          </w:tcPr>
          <w:p w14:paraId="5BF27AF9"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14.9</w:t>
            </w:r>
          </w:p>
        </w:tc>
        <w:tc>
          <w:tcPr>
            <w:tcW w:w="745" w:type="dxa"/>
            <w:tcBorders>
              <w:top w:val="nil"/>
              <w:left w:val="nil"/>
              <w:bottom w:val="single" w:sz="8" w:space="0" w:color="1B556B"/>
              <w:right w:val="single" w:sz="8" w:space="0" w:color="1B556B"/>
            </w:tcBorders>
            <w:shd w:val="clear" w:color="000000" w:fill="D2DDE1"/>
            <w:vAlign w:val="bottom"/>
            <w:hideMark/>
          </w:tcPr>
          <w:p w14:paraId="00648AB0"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12.4</w:t>
            </w:r>
          </w:p>
        </w:tc>
        <w:tc>
          <w:tcPr>
            <w:tcW w:w="745" w:type="dxa"/>
            <w:tcBorders>
              <w:top w:val="nil"/>
              <w:left w:val="nil"/>
              <w:bottom w:val="single" w:sz="8" w:space="0" w:color="1B556B"/>
              <w:right w:val="single" w:sz="8" w:space="0" w:color="1B556B"/>
            </w:tcBorders>
            <w:shd w:val="clear" w:color="000000" w:fill="D2DDE1"/>
            <w:vAlign w:val="bottom"/>
            <w:hideMark/>
          </w:tcPr>
          <w:p w14:paraId="2C292874"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11.0</w:t>
            </w:r>
          </w:p>
        </w:tc>
        <w:tc>
          <w:tcPr>
            <w:tcW w:w="745" w:type="dxa"/>
            <w:tcBorders>
              <w:top w:val="nil"/>
              <w:left w:val="nil"/>
              <w:bottom w:val="single" w:sz="8" w:space="0" w:color="1B556B"/>
              <w:right w:val="single" w:sz="8" w:space="0" w:color="1B556B"/>
            </w:tcBorders>
            <w:shd w:val="clear" w:color="000000" w:fill="D2DDE1"/>
            <w:vAlign w:val="bottom"/>
            <w:hideMark/>
          </w:tcPr>
          <w:p w14:paraId="4201AB8E"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10.5</w:t>
            </w:r>
          </w:p>
        </w:tc>
        <w:tc>
          <w:tcPr>
            <w:tcW w:w="745" w:type="dxa"/>
            <w:tcBorders>
              <w:top w:val="nil"/>
              <w:left w:val="nil"/>
              <w:bottom w:val="single" w:sz="8" w:space="0" w:color="1B556B"/>
              <w:right w:val="single" w:sz="8" w:space="0" w:color="1B556B"/>
            </w:tcBorders>
            <w:shd w:val="clear" w:color="000000" w:fill="D2DDE1"/>
            <w:vAlign w:val="bottom"/>
            <w:hideMark/>
          </w:tcPr>
          <w:p w14:paraId="551F3E67"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10.7</w:t>
            </w:r>
          </w:p>
        </w:tc>
        <w:tc>
          <w:tcPr>
            <w:tcW w:w="745" w:type="dxa"/>
            <w:tcBorders>
              <w:top w:val="nil"/>
              <w:left w:val="nil"/>
              <w:bottom w:val="single" w:sz="8" w:space="0" w:color="1B556B"/>
              <w:right w:val="nil"/>
            </w:tcBorders>
            <w:shd w:val="clear" w:color="000000" w:fill="D2DDE1"/>
            <w:vAlign w:val="bottom"/>
            <w:hideMark/>
          </w:tcPr>
          <w:p w14:paraId="2AA9CAC3"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10.7</w:t>
            </w:r>
          </w:p>
        </w:tc>
      </w:tr>
      <w:tr w:rsidR="00921D1F" w:rsidRPr="00D8284F" w14:paraId="3CA9D97C" w14:textId="77777777">
        <w:tc>
          <w:tcPr>
            <w:tcW w:w="1134" w:type="dxa"/>
            <w:tcBorders>
              <w:top w:val="nil"/>
              <w:left w:val="nil"/>
              <w:bottom w:val="single" w:sz="8" w:space="0" w:color="1B556B"/>
              <w:right w:val="single" w:sz="8" w:space="0" w:color="1B556B"/>
            </w:tcBorders>
            <w:shd w:val="clear" w:color="auto" w:fill="auto"/>
            <w:vAlign w:val="bottom"/>
            <w:hideMark/>
          </w:tcPr>
          <w:p w14:paraId="46E93041" w14:textId="77777777" w:rsidR="00921D1F" w:rsidRPr="00D8284F" w:rsidRDefault="00921D1F">
            <w:pPr>
              <w:pStyle w:val="TableText"/>
              <w:spacing w:before="50" w:after="50" w:line="240" w:lineRule="auto"/>
              <w:rPr>
                <w:rFonts w:asciiTheme="minorHAnsi" w:hAnsiTheme="minorHAnsi" w:cstheme="minorHAnsi"/>
                <w:szCs w:val="18"/>
              </w:rPr>
            </w:pPr>
            <w:r w:rsidRPr="00D8284F">
              <w:rPr>
                <w:rFonts w:asciiTheme="minorHAnsi" w:hAnsiTheme="minorHAnsi" w:cstheme="minorHAnsi"/>
                <w:szCs w:val="18"/>
              </w:rPr>
              <w:t>Transport</w:t>
            </w:r>
          </w:p>
        </w:tc>
        <w:tc>
          <w:tcPr>
            <w:tcW w:w="666" w:type="dxa"/>
            <w:tcBorders>
              <w:top w:val="nil"/>
              <w:left w:val="nil"/>
              <w:bottom w:val="single" w:sz="8" w:space="0" w:color="1B556B"/>
              <w:right w:val="single" w:sz="8" w:space="0" w:color="1B556B"/>
            </w:tcBorders>
            <w:shd w:val="clear" w:color="auto" w:fill="auto"/>
            <w:vAlign w:val="bottom"/>
            <w:hideMark/>
          </w:tcPr>
          <w:p w14:paraId="7AED0BB8"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13.0</w:t>
            </w:r>
          </w:p>
        </w:tc>
        <w:tc>
          <w:tcPr>
            <w:tcW w:w="745" w:type="dxa"/>
            <w:tcBorders>
              <w:top w:val="nil"/>
              <w:left w:val="nil"/>
              <w:bottom w:val="single" w:sz="8" w:space="0" w:color="1B556B"/>
              <w:right w:val="single" w:sz="8" w:space="0" w:color="1B556B"/>
            </w:tcBorders>
            <w:shd w:val="clear" w:color="auto" w:fill="auto"/>
            <w:vAlign w:val="bottom"/>
            <w:hideMark/>
          </w:tcPr>
          <w:p w14:paraId="72E79770"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13.3</w:t>
            </w:r>
          </w:p>
        </w:tc>
        <w:tc>
          <w:tcPr>
            <w:tcW w:w="745" w:type="dxa"/>
            <w:tcBorders>
              <w:top w:val="nil"/>
              <w:left w:val="nil"/>
              <w:bottom w:val="single" w:sz="8" w:space="0" w:color="1B556B"/>
              <w:right w:val="single" w:sz="8" w:space="0" w:color="1B556B"/>
            </w:tcBorders>
            <w:shd w:val="clear" w:color="auto" w:fill="auto"/>
            <w:vAlign w:val="bottom"/>
            <w:hideMark/>
          </w:tcPr>
          <w:p w14:paraId="39A99ECC"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13.8</w:t>
            </w:r>
          </w:p>
        </w:tc>
        <w:tc>
          <w:tcPr>
            <w:tcW w:w="745" w:type="dxa"/>
            <w:tcBorders>
              <w:top w:val="nil"/>
              <w:left w:val="nil"/>
              <w:bottom w:val="single" w:sz="8" w:space="0" w:color="1B556B"/>
              <w:right w:val="single" w:sz="8" w:space="0" w:color="1B556B"/>
            </w:tcBorders>
            <w:shd w:val="clear" w:color="auto" w:fill="auto"/>
            <w:vAlign w:val="bottom"/>
            <w:hideMark/>
          </w:tcPr>
          <w:p w14:paraId="3B3DBC5F"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13.2</w:t>
            </w:r>
          </w:p>
        </w:tc>
        <w:tc>
          <w:tcPr>
            <w:tcW w:w="745" w:type="dxa"/>
            <w:tcBorders>
              <w:top w:val="nil"/>
              <w:left w:val="nil"/>
              <w:bottom w:val="single" w:sz="8" w:space="0" w:color="1B556B"/>
              <w:right w:val="single" w:sz="8" w:space="0" w:color="1B556B"/>
            </w:tcBorders>
            <w:shd w:val="clear" w:color="000000" w:fill="D2DDE1"/>
            <w:vAlign w:val="bottom"/>
            <w:hideMark/>
          </w:tcPr>
          <w:p w14:paraId="4A704E32"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14.3</w:t>
            </w:r>
          </w:p>
        </w:tc>
        <w:tc>
          <w:tcPr>
            <w:tcW w:w="745" w:type="dxa"/>
            <w:tcBorders>
              <w:top w:val="nil"/>
              <w:left w:val="nil"/>
              <w:bottom w:val="single" w:sz="8" w:space="0" w:color="1B556B"/>
              <w:right w:val="single" w:sz="8" w:space="0" w:color="1B556B"/>
            </w:tcBorders>
            <w:shd w:val="clear" w:color="000000" w:fill="D2DDE1"/>
            <w:vAlign w:val="bottom"/>
            <w:hideMark/>
          </w:tcPr>
          <w:p w14:paraId="5174AB28"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13.7</w:t>
            </w:r>
          </w:p>
        </w:tc>
        <w:tc>
          <w:tcPr>
            <w:tcW w:w="745" w:type="dxa"/>
            <w:tcBorders>
              <w:top w:val="nil"/>
              <w:left w:val="nil"/>
              <w:bottom w:val="single" w:sz="8" w:space="0" w:color="1B556B"/>
              <w:right w:val="single" w:sz="8" w:space="0" w:color="1B556B"/>
            </w:tcBorders>
            <w:shd w:val="clear" w:color="000000" w:fill="D2DDE1"/>
            <w:vAlign w:val="bottom"/>
            <w:hideMark/>
          </w:tcPr>
          <w:p w14:paraId="03D6F2F4"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12.6</w:t>
            </w:r>
          </w:p>
        </w:tc>
        <w:tc>
          <w:tcPr>
            <w:tcW w:w="745" w:type="dxa"/>
            <w:tcBorders>
              <w:top w:val="nil"/>
              <w:left w:val="nil"/>
              <w:bottom w:val="single" w:sz="8" w:space="0" w:color="1B556B"/>
              <w:right w:val="single" w:sz="8" w:space="0" w:color="1B556B"/>
            </w:tcBorders>
            <w:shd w:val="clear" w:color="000000" w:fill="D2DDE1"/>
            <w:vAlign w:val="bottom"/>
            <w:hideMark/>
          </w:tcPr>
          <w:p w14:paraId="683330D0"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10.8</w:t>
            </w:r>
          </w:p>
        </w:tc>
        <w:tc>
          <w:tcPr>
            <w:tcW w:w="745" w:type="dxa"/>
            <w:tcBorders>
              <w:top w:val="nil"/>
              <w:left w:val="nil"/>
              <w:bottom w:val="single" w:sz="8" w:space="0" w:color="1B556B"/>
              <w:right w:val="single" w:sz="8" w:space="0" w:color="1B556B"/>
            </w:tcBorders>
            <w:shd w:val="clear" w:color="000000" w:fill="D2DDE1"/>
            <w:vAlign w:val="bottom"/>
            <w:hideMark/>
          </w:tcPr>
          <w:p w14:paraId="0EE481EB"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8.9</w:t>
            </w:r>
          </w:p>
        </w:tc>
        <w:tc>
          <w:tcPr>
            <w:tcW w:w="745" w:type="dxa"/>
            <w:tcBorders>
              <w:top w:val="nil"/>
              <w:left w:val="nil"/>
              <w:bottom w:val="single" w:sz="8" w:space="0" w:color="1B556B"/>
              <w:right w:val="nil"/>
            </w:tcBorders>
            <w:shd w:val="clear" w:color="000000" w:fill="D2DDE1"/>
            <w:vAlign w:val="bottom"/>
            <w:hideMark/>
          </w:tcPr>
          <w:p w14:paraId="6F58CC7D"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7.4</w:t>
            </w:r>
          </w:p>
        </w:tc>
      </w:tr>
      <w:tr w:rsidR="00921D1F" w:rsidRPr="00D8284F" w14:paraId="5ADAA976" w14:textId="77777777">
        <w:tc>
          <w:tcPr>
            <w:tcW w:w="1134" w:type="dxa"/>
            <w:tcBorders>
              <w:top w:val="nil"/>
              <w:left w:val="nil"/>
              <w:bottom w:val="single" w:sz="8" w:space="0" w:color="1B556B"/>
              <w:right w:val="single" w:sz="8" w:space="0" w:color="1B556B"/>
            </w:tcBorders>
            <w:shd w:val="clear" w:color="auto" w:fill="auto"/>
            <w:vAlign w:val="bottom"/>
            <w:hideMark/>
          </w:tcPr>
          <w:p w14:paraId="5B095079" w14:textId="77777777" w:rsidR="00921D1F" w:rsidRPr="00D8284F" w:rsidRDefault="00921D1F">
            <w:pPr>
              <w:pStyle w:val="TableText"/>
              <w:spacing w:before="50" w:after="50" w:line="240" w:lineRule="auto"/>
              <w:rPr>
                <w:rFonts w:asciiTheme="minorHAnsi" w:hAnsiTheme="minorHAnsi" w:cstheme="minorHAnsi"/>
                <w:szCs w:val="18"/>
              </w:rPr>
            </w:pPr>
            <w:r w:rsidRPr="00D8284F">
              <w:rPr>
                <w:rFonts w:asciiTheme="minorHAnsi" w:hAnsiTheme="minorHAnsi" w:cstheme="minorHAnsi"/>
                <w:szCs w:val="18"/>
              </w:rPr>
              <w:t>IPPU  </w:t>
            </w:r>
          </w:p>
        </w:tc>
        <w:tc>
          <w:tcPr>
            <w:tcW w:w="666" w:type="dxa"/>
            <w:tcBorders>
              <w:top w:val="nil"/>
              <w:left w:val="nil"/>
              <w:bottom w:val="single" w:sz="8" w:space="0" w:color="1B556B"/>
              <w:right w:val="single" w:sz="8" w:space="0" w:color="1B556B"/>
            </w:tcBorders>
            <w:shd w:val="clear" w:color="auto" w:fill="auto"/>
            <w:vAlign w:val="bottom"/>
            <w:hideMark/>
          </w:tcPr>
          <w:p w14:paraId="0F61176A"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4.01</w:t>
            </w:r>
          </w:p>
        </w:tc>
        <w:tc>
          <w:tcPr>
            <w:tcW w:w="745" w:type="dxa"/>
            <w:tcBorders>
              <w:top w:val="nil"/>
              <w:left w:val="nil"/>
              <w:bottom w:val="single" w:sz="8" w:space="0" w:color="1B556B"/>
              <w:right w:val="single" w:sz="8" w:space="0" w:color="1B556B"/>
            </w:tcBorders>
            <w:shd w:val="clear" w:color="auto" w:fill="auto"/>
            <w:vAlign w:val="bottom"/>
            <w:hideMark/>
          </w:tcPr>
          <w:p w14:paraId="1ACBEEBD"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4.50</w:t>
            </w:r>
          </w:p>
        </w:tc>
        <w:tc>
          <w:tcPr>
            <w:tcW w:w="745" w:type="dxa"/>
            <w:tcBorders>
              <w:top w:val="nil"/>
              <w:left w:val="nil"/>
              <w:bottom w:val="single" w:sz="8" w:space="0" w:color="1B556B"/>
              <w:right w:val="single" w:sz="8" w:space="0" w:color="1B556B"/>
            </w:tcBorders>
            <w:shd w:val="clear" w:color="auto" w:fill="auto"/>
            <w:vAlign w:val="bottom"/>
            <w:hideMark/>
          </w:tcPr>
          <w:p w14:paraId="1C92891A"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4.94</w:t>
            </w:r>
          </w:p>
        </w:tc>
        <w:tc>
          <w:tcPr>
            <w:tcW w:w="745" w:type="dxa"/>
            <w:tcBorders>
              <w:top w:val="nil"/>
              <w:left w:val="nil"/>
              <w:bottom w:val="single" w:sz="8" w:space="0" w:color="1B556B"/>
              <w:right w:val="single" w:sz="8" w:space="0" w:color="1B556B"/>
            </w:tcBorders>
            <w:shd w:val="clear" w:color="auto" w:fill="auto"/>
            <w:vAlign w:val="bottom"/>
            <w:hideMark/>
          </w:tcPr>
          <w:p w14:paraId="3CA26604"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4.48</w:t>
            </w:r>
          </w:p>
        </w:tc>
        <w:tc>
          <w:tcPr>
            <w:tcW w:w="745" w:type="dxa"/>
            <w:tcBorders>
              <w:top w:val="nil"/>
              <w:left w:val="nil"/>
              <w:bottom w:val="single" w:sz="8" w:space="0" w:color="1B556B"/>
              <w:right w:val="single" w:sz="8" w:space="0" w:color="1B556B"/>
            </w:tcBorders>
            <w:shd w:val="clear" w:color="000000" w:fill="D2DDE1"/>
            <w:vAlign w:val="bottom"/>
            <w:hideMark/>
          </w:tcPr>
          <w:p w14:paraId="3D306A71"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4.23</w:t>
            </w:r>
          </w:p>
        </w:tc>
        <w:tc>
          <w:tcPr>
            <w:tcW w:w="745" w:type="dxa"/>
            <w:tcBorders>
              <w:top w:val="nil"/>
              <w:left w:val="nil"/>
              <w:bottom w:val="single" w:sz="8" w:space="0" w:color="1B556B"/>
              <w:right w:val="single" w:sz="8" w:space="0" w:color="1B556B"/>
            </w:tcBorders>
            <w:shd w:val="clear" w:color="000000" w:fill="D2DDE1"/>
            <w:vAlign w:val="bottom"/>
            <w:hideMark/>
          </w:tcPr>
          <w:p w14:paraId="0570335E"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3.11</w:t>
            </w:r>
          </w:p>
        </w:tc>
        <w:tc>
          <w:tcPr>
            <w:tcW w:w="745" w:type="dxa"/>
            <w:tcBorders>
              <w:top w:val="nil"/>
              <w:left w:val="nil"/>
              <w:bottom w:val="single" w:sz="8" w:space="0" w:color="1B556B"/>
              <w:right w:val="single" w:sz="8" w:space="0" w:color="1B556B"/>
            </w:tcBorders>
            <w:shd w:val="clear" w:color="000000" w:fill="D2DDE1"/>
            <w:vAlign w:val="bottom"/>
            <w:hideMark/>
          </w:tcPr>
          <w:p w14:paraId="3C6F471C"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3.03</w:t>
            </w:r>
          </w:p>
        </w:tc>
        <w:tc>
          <w:tcPr>
            <w:tcW w:w="745" w:type="dxa"/>
            <w:tcBorders>
              <w:top w:val="nil"/>
              <w:left w:val="nil"/>
              <w:bottom w:val="single" w:sz="8" w:space="0" w:color="1B556B"/>
              <w:right w:val="single" w:sz="8" w:space="0" w:color="1B556B"/>
            </w:tcBorders>
            <w:shd w:val="clear" w:color="000000" w:fill="D2DDE1"/>
            <w:vAlign w:val="bottom"/>
            <w:hideMark/>
          </w:tcPr>
          <w:p w14:paraId="1407CC39"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2.91</w:t>
            </w:r>
          </w:p>
        </w:tc>
        <w:tc>
          <w:tcPr>
            <w:tcW w:w="745" w:type="dxa"/>
            <w:tcBorders>
              <w:top w:val="nil"/>
              <w:left w:val="nil"/>
              <w:bottom w:val="single" w:sz="8" w:space="0" w:color="1B556B"/>
              <w:right w:val="single" w:sz="8" w:space="0" w:color="1B556B"/>
            </w:tcBorders>
            <w:shd w:val="clear" w:color="000000" w:fill="D2DDE1"/>
            <w:vAlign w:val="bottom"/>
            <w:hideMark/>
          </w:tcPr>
          <w:p w14:paraId="0A327263"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2.92</w:t>
            </w:r>
          </w:p>
        </w:tc>
        <w:tc>
          <w:tcPr>
            <w:tcW w:w="745" w:type="dxa"/>
            <w:tcBorders>
              <w:top w:val="nil"/>
              <w:left w:val="nil"/>
              <w:bottom w:val="single" w:sz="8" w:space="0" w:color="1B556B"/>
              <w:right w:val="nil"/>
            </w:tcBorders>
            <w:shd w:val="clear" w:color="000000" w:fill="D2DDE1"/>
            <w:vAlign w:val="bottom"/>
            <w:hideMark/>
          </w:tcPr>
          <w:p w14:paraId="4C5B04F9"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2.83</w:t>
            </w:r>
          </w:p>
        </w:tc>
      </w:tr>
      <w:tr w:rsidR="00921D1F" w:rsidRPr="00D8284F" w14:paraId="3A4E934A" w14:textId="77777777">
        <w:tc>
          <w:tcPr>
            <w:tcW w:w="1134" w:type="dxa"/>
            <w:tcBorders>
              <w:top w:val="nil"/>
              <w:left w:val="nil"/>
              <w:bottom w:val="single" w:sz="8" w:space="0" w:color="1B556B"/>
              <w:right w:val="single" w:sz="8" w:space="0" w:color="1B556B"/>
            </w:tcBorders>
            <w:shd w:val="clear" w:color="auto" w:fill="auto"/>
            <w:vAlign w:val="bottom"/>
            <w:hideMark/>
          </w:tcPr>
          <w:p w14:paraId="11A3E804" w14:textId="77777777" w:rsidR="00921D1F" w:rsidRPr="00D8284F" w:rsidRDefault="00921D1F">
            <w:pPr>
              <w:pStyle w:val="TableText"/>
              <w:spacing w:before="50" w:after="50" w:line="240" w:lineRule="auto"/>
              <w:rPr>
                <w:rFonts w:asciiTheme="minorHAnsi" w:hAnsiTheme="minorHAnsi" w:cstheme="minorHAnsi"/>
                <w:szCs w:val="18"/>
              </w:rPr>
            </w:pPr>
            <w:r w:rsidRPr="00D8284F">
              <w:rPr>
                <w:rFonts w:asciiTheme="minorHAnsi" w:hAnsiTheme="minorHAnsi" w:cstheme="minorHAnsi"/>
                <w:szCs w:val="18"/>
              </w:rPr>
              <w:t>Agriculture</w:t>
            </w:r>
          </w:p>
        </w:tc>
        <w:tc>
          <w:tcPr>
            <w:tcW w:w="666" w:type="dxa"/>
            <w:tcBorders>
              <w:top w:val="nil"/>
              <w:left w:val="nil"/>
              <w:bottom w:val="single" w:sz="8" w:space="0" w:color="1B556B"/>
              <w:right w:val="single" w:sz="8" w:space="0" w:color="1B556B"/>
            </w:tcBorders>
            <w:shd w:val="clear" w:color="auto" w:fill="auto"/>
            <w:vAlign w:val="bottom"/>
            <w:hideMark/>
          </w:tcPr>
          <w:p w14:paraId="58089441"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43.1</w:t>
            </w:r>
          </w:p>
        </w:tc>
        <w:tc>
          <w:tcPr>
            <w:tcW w:w="745" w:type="dxa"/>
            <w:tcBorders>
              <w:top w:val="nil"/>
              <w:left w:val="nil"/>
              <w:bottom w:val="single" w:sz="8" w:space="0" w:color="1B556B"/>
              <w:right w:val="single" w:sz="8" w:space="0" w:color="1B556B"/>
            </w:tcBorders>
            <w:shd w:val="clear" w:color="auto" w:fill="auto"/>
            <w:vAlign w:val="bottom"/>
            <w:hideMark/>
          </w:tcPr>
          <w:p w14:paraId="5C2C614C"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41.0</w:t>
            </w:r>
          </w:p>
        </w:tc>
        <w:tc>
          <w:tcPr>
            <w:tcW w:w="745" w:type="dxa"/>
            <w:tcBorders>
              <w:top w:val="nil"/>
              <w:left w:val="nil"/>
              <w:bottom w:val="single" w:sz="8" w:space="0" w:color="1B556B"/>
              <w:right w:val="single" w:sz="8" w:space="0" w:color="1B556B"/>
            </w:tcBorders>
            <w:shd w:val="clear" w:color="auto" w:fill="auto"/>
            <w:vAlign w:val="bottom"/>
            <w:hideMark/>
          </w:tcPr>
          <w:p w14:paraId="2D9D78BA"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42.8</w:t>
            </w:r>
          </w:p>
        </w:tc>
        <w:tc>
          <w:tcPr>
            <w:tcW w:w="745" w:type="dxa"/>
            <w:tcBorders>
              <w:top w:val="nil"/>
              <w:left w:val="nil"/>
              <w:bottom w:val="single" w:sz="8" w:space="0" w:color="1B556B"/>
              <w:right w:val="single" w:sz="8" w:space="0" w:color="1B556B"/>
            </w:tcBorders>
            <w:shd w:val="clear" w:color="auto" w:fill="auto"/>
            <w:vAlign w:val="bottom"/>
            <w:hideMark/>
          </w:tcPr>
          <w:p w14:paraId="0D2D426D"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42.9</w:t>
            </w:r>
          </w:p>
        </w:tc>
        <w:tc>
          <w:tcPr>
            <w:tcW w:w="745" w:type="dxa"/>
            <w:tcBorders>
              <w:top w:val="nil"/>
              <w:left w:val="nil"/>
              <w:bottom w:val="single" w:sz="8" w:space="0" w:color="1B556B"/>
              <w:right w:val="single" w:sz="8" w:space="0" w:color="1B556B"/>
            </w:tcBorders>
            <w:shd w:val="clear" w:color="000000" w:fill="D2DDE1"/>
            <w:vAlign w:val="bottom"/>
            <w:hideMark/>
          </w:tcPr>
          <w:p w14:paraId="1C5A14AF"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39.6</w:t>
            </w:r>
          </w:p>
        </w:tc>
        <w:tc>
          <w:tcPr>
            <w:tcW w:w="745" w:type="dxa"/>
            <w:tcBorders>
              <w:top w:val="nil"/>
              <w:left w:val="nil"/>
              <w:bottom w:val="single" w:sz="8" w:space="0" w:color="1B556B"/>
              <w:right w:val="single" w:sz="8" w:space="0" w:color="1B556B"/>
            </w:tcBorders>
            <w:shd w:val="clear" w:color="000000" w:fill="D2DDE1"/>
            <w:vAlign w:val="bottom"/>
            <w:hideMark/>
          </w:tcPr>
          <w:p w14:paraId="46D8432F"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39.1</w:t>
            </w:r>
          </w:p>
        </w:tc>
        <w:tc>
          <w:tcPr>
            <w:tcW w:w="745" w:type="dxa"/>
            <w:tcBorders>
              <w:top w:val="nil"/>
              <w:left w:val="nil"/>
              <w:bottom w:val="single" w:sz="8" w:space="0" w:color="1B556B"/>
              <w:right w:val="single" w:sz="8" w:space="0" w:color="1B556B"/>
            </w:tcBorders>
            <w:shd w:val="clear" w:color="000000" w:fill="D2DDE1"/>
            <w:vAlign w:val="bottom"/>
            <w:hideMark/>
          </w:tcPr>
          <w:p w14:paraId="71963218"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38.8</w:t>
            </w:r>
          </w:p>
        </w:tc>
        <w:tc>
          <w:tcPr>
            <w:tcW w:w="745" w:type="dxa"/>
            <w:tcBorders>
              <w:top w:val="nil"/>
              <w:left w:val="nil"/>
              <w:bottom w:val="single" w:sz="8" w:space="0" w:color="1B556B"/>
              <w:right w:val="single" w:sz="8" w:space="0" w:color="1B556B"/>
            </w:tcBorders>
            <w:shd w:val="clear" w:color="000000" w:fill="D2DDE1"/>
            <w:vAlign w:val="bottom"/>
            <w:hideMark/>
          </w:tcPr>
          <w:p w14:paraId="2A0CC29F"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38.7</w:t>
            </w:r>
          </w:p>
        </w:tc>
        <w:tc>
          <w:tcPr>
            <w:tcW w:w="745" w:type="dxa"/>
            <w:tcBorders>
              <w:top w:val="nil"/>
              <w:left w:val="nil"/>
              <w:bottom w:val="single" w:sz="8" w:space="0" w:color="1B556B"/>
              <w:right w:val="single" w:sz="8" w:space="0" w:color="1B556B"/>
            </w:tcBorders>
            <w:shd w:val="clear" w:color="000000" w:fill="D2DDE1"/>
            <w:vAlign w:val="bottom"/>
            <w:hideMark/>
          </w:tcPr>
          <w:p w14:paraId="46932A00"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38.8</w:t>
            </w:r>
          </w:p>
        </w:tc>
        <w:tc>
          <w:tcPr>
            <w:tcW w:w="745" w:type="dxa"/>
            <w:tcBorders>
              <w:top w:val="nil"/>
              <w:left w:val="nil"/>
              <w:bottom w:val="single" w:sz="8" w:space="0" w:color="1B556B"/>
              <w:right w:val="nil"/>
            </w:tcBorders>
            <w:shd w:val="clear" w:color="000000" w:fill="D2DDE1"/>
            <w:vAlign w:val="bottom"/>
            <w:hideMark/>
          </w:tcPr>
          <w:p w14:paraId="16BF0C7B"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38.8</w:t>
            </w:r>
          </w:p>
        </w:tc>
      </w:tr>
      <w:tr w:rsidR="00921D1F" w:rsidRPr="00D8284F" w14:paraId="50A634F3" w14:textId="77777777">
        <w:tc>
          <w:tcPr>
            <w:tcW w:w="1134" w:type="dxa"/>
            <w:tcBorders>
              <w:top w:val="nil"/>
              <w:left w:val="nil"/>
              <w:bottom w:val="single" w:sz="8" w:space="0" w:color="1B556B"/>
              <w:right w:val="single" w:sz="8" w:space="0" w:color="1B556B"/>
            </w:tcBorders>
            <w:shd w:val="clear" w:color="auto" w:fill="auto"/>
            <w:vAlign w:val="bottom"/>
            <w:hideMark/>
          </w:tcPr>
          <w:p w14:paraId="73755818" w14:textId="77777777" w:rsidR="00921D1F" w:rsidRPr="00D8284F" w:rsidRDefault="00921D1F">
            <w:pPr>
              <w:pStyle w:val="TableText"/>
              <w:spacing w:before="50" w:after="50" w:line="240" w:lineRule="auto"/>
              <w:rPr>
                <w:rFonts w:asciiTheme="minorHAnsi" w:hAnsiTheme="minorHAnsi" w:cstheme="minorHAnsi"/>
                <w:szCs w:val="18"/>
              </w:rPr>
            </w:pPr>
            <w:r w:rsidRPr="00D8284F">
              <w:rPr>
                <w:rFonts w:asciiTheme="minorHAnsi" w:hAnsiTheme="minorHAnsi" w:cstheme="minorHAnsi"/>
                <w:szCs w:val="18"/>
              </w:rPr>
              <w:t>LULUCF Target Accounting</w:t>
            </w:r>
          </w:p>
        </w:tc>
        <w:tc>
          <w:tcPr>
            <w:tcW w:w="666" w:type="dxa"/>
            <w:tcBorders>
              <w:top w:val="nil"/>
              <w:left w:val="nil"/>
              <w:bottom w:val="single" w:sz="8" w:space="0" w:color="1B556B"/>
              <w:right w:val="single" w:sz="8" w:space="0" w:color="1B556B"/>
            </w:tcBorders>
            <w:shd w:val="clear" w:color="auto" w:fill="auto"/>
            <w:vAlign w:val="bottom"/>
            <w:hideMark/>
          </w:tcPr>
          <w:p w14:paraId="77C1853B"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w:t>
            </w:r>
          </w:p>
        </w:tc>
        <w:tc>
          <w:tcPr>
            <w:tcW w:w="745" w:type="dxa"/>
            <w:tcBorders>
              <w:top w:val="nil"/>
              <w:left w:val="nil"/>
              <w:bottom w:val="single" w:sz="8" w:space="0" w:color="1B556B"/>
              <w:right w:val="single" w:sz="8" w:space="0" w:color="1B556B"/>
            </w:tcBorders>
            <w:shd w:val="clear" w:color="auto" w:fill="auto"/>
            <w:vAlign w:val="bottom"/>
            <w:hideMark/>
          </w:tcPr>
          <w:p w14:paraId="562113A8"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w:t>
            </w:r>
          </w:p>
        </w:tc>
        <w:tc>
          <w:tcPr>
            <w:tcW w:w="745" w:type="dxa"/>
            <w:tcBorders>
              <w:top w:val="nil"/>
              <w:left w:val="nil"/>
              <w:bottom w:val="single" w:sz="8" w:space="0" w:color="1B556B"/>
              <w:right w:val="single" w:sz="8" w:space="0" w:color="1B556B"/>
            </w:tcBorders>
            <w:shd w:val="clear" w:color="auto" w:fill="auto"/>
            <w:vAlign w:val="bottom"/>
            <w:hideMark/>
          </w:tcPr>
          <w:p w14:paraId="4DFBEB2C"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w:t>
            </w:r>
          </w:p>
        </w:tc>
        <w:tc>
          <w:tcPr>
            <w:tcW w:w="745" w:type="dxa"/>
            <w:tcBorders>
              <w:top w:val="nil"/>
              <w:left w:val="nil"/>
              <w:bottom w:val="single" w:sz="8" w:space="0" w:color="1B556B"/>
              <w:right w:val="single" w:sz="8" w:space="0" w:color="1B556B"/>
            </w:tcBorders>
            <w:shd w:val="clear" w:color="auto" w:fill="auto"/>
            <w:vAlign w:val="bottom"/>
            <w:hideMark/>
          </w:tcPr>
          <w:p w14:paraId="5479DA57"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–6.2</w:t>
            </w:r>
          </w:p>
        </w:tc>
        <w:tc>
          <w:tcPr>
            <w:tcW w:w="745" w:type="dxa"/>
            <w:tcBorders>
              <w:top w:val="nil"/>
              <w:left w:val="nil"/>
              <w:bottom w:val="single" w:sz="8" w:space="0" w:color="1B556B"/>
              <w:right w:val="single" w:sz="8" w:space="0" w:color="1B556B"/>
            </w:tcBorders>
            <w:shd w:val="clear" w:color="000000" w:fill="D2DDE1"/>
            <w:vAlign w:val="bottom"/>
            <w:hideMark/>
          </w:tcPr>
          <w:p w14:paraId="61BA0FE6"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–7.4</w:t>
            </w:r>
          </w:p>
        </w:tc>
        <w:tc>
          <w:tcPr>
            <w:tcW w:w="745" w:type="dxa"/>
            <w:tcBorders>
              <w:top w:val="nil"/>
              <w:left w:val="nil"/>
              <w:bottom w:val="single" w:sz="8" w:space="0" w:color="1B556B"/>
              <w:right w:val="single" w:sz="8" w:space="0" w:color="1B556B"/>
            </w:tcBorders>
            <w:shd w:val="clear" w:color="000000" w:fill="D2DDE1"/>
            <w:vAlign w:val="bottom"/>
            <w:hideMark/>
          </w:tcPr>
          <w:p w14:paraId="3A00D1A8"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–15.0</w:t>
            </w:r>
          </w:p>
        </w:tc>
        <w:tc>
          <w:tcPr>
            <w:tcW w:w="745" w:type="dxa"/>
            <w:tcBorders>
              <w:top w:val="nil"/>
              <w:left w:val="nil"/>
              <w:bottom w:val="single" w:sz="8" w:space="0" w:color="1B556B"/>
              <w:right w:val="single" w:sz="8" w:space="0" w:color="1B556B"/>
            </w:tcBorders>
            <w:shd w:val="clear" w:color="000000" w:fill="D2DDE1"/>
            <w:vAlign w:val="bottom"/>
            <w:hideMark/>
          </w:tcPr>
          <w:p w14:paraId="4C77F179"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–17.4</w:t>
            </w:r>
          </w:p>
        </w:tc>
        <w:tc>
          <w:tcPr>
            <w:tcW w:w="745" w:type="dxa"/>
            <w:tcBorders>
              <w:top w:val="nil"/>
              <w:left w:val="nil"/>
              <w:bottom w:val="single" w:sz="8" w:space="0" w:color="1B556B"/>
              <w:right w:val="single" w:sz="8" w:space="0" w:color="1B556B"/>
            </w:tcBorders>
            <w:shd w:val="clear" w:color="000000" w:fill="D2DDE1"/>
            <w:vAlign w:val="bottom"/>
            <w:hideMark/>
          </w:tcPr>
          <w:p w14:paraId="307787D3"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–22.9</w:t>
            </w:r>
          </w:p>
        </w:tc>
        <w:tc>
          <w:tcPr>
            <w:tcW w:w="745" w:type="dxa"/>
            <w:tcBorders>
              <w:top w:val="nil"/>
              <w:left w:val="nil"/>
              <w:bottom w:val="single" w:sz="8" w:space="0" w:color="1B556B"/>
              <w:right w:val="single" w:sz="8" w:space="0" w:color="1B556B"/>
            </w:tcBorders>
            <w:shd w:val="clear" w:color="000000" w:fill="D2DDE1"/>
            <w:vAlign w:val="bottom"/>
            <w:hideMark/>
          </w:tcPr>
          <w:p w14:paraId="74A26D76"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–24.7</w:t>
            </w:r>
          </w:p>
        </w:tc>
        <w:tc>
          <w:tcPr>
            <w:tcW w:w="745" w:type="dxa"/>
            <w:tcBorders>
              <w:top w:val="nil"/>
              <w:left w:val="nil"/>
              <w:bottom w:val="single" w:sz="8" w:space="0" w:color="1B556B"/>
              <w:right w:val="nil"/>
            </w:tcBorders>
            <w:shd w:val="clear" w:color="000000" w:fill="D2DDE1"/>
            <w:vAlign w:val="bottom"/>
            <w:hideMark/>
          </w:tcPr>
          <w:p w14:paraId="164E3078"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–21.8</w:t>
            </w:r>
          </w:p>
        </w:tc>
      </w:tr>
      <w:tr w:rsidR="00921D1F" w:rsidRPr="00D8284F" w14:paraId="2DA8F4C3" w14:textId="77777777">
        <w:tc>
          <w:tcPr>
            <w:tcW w:w="1134" w:type="dxa"/>
            <w:tcBorders>
              <w:top w:val="nil"/>
              <w:left w:val="nil"/>
              <w:bottom w:val="single" w:sz="8" w:space="0" w:color="1B556B"/>
              <w:right w:val="single" w:sz="8" w:space="0" w:color="1B556B"/>
            </w:tcBorders>
            <w:shd w:val="clear" w:color="auto" w:fill="auto"/>
            <w:vAlign w:val="bottom"/>
            <w:hideMark/>
          </w:tcPr>
          <w:p w14:paraId="134A2173" w14:textId="77777777" w:rsidR="00921D1F" w:rsidRPr="00D8284F" w:rsidRDefault="00921D1F">
            <w:pPr>
              <w:pStyle w:val="TableText"/>
              <w:spacing w:before="50" w:after="50" w:line="240" w:lineRule="auto"/>
              <w:rPr>
                <w:rFonts w:asciiTheme="minorHAnsi" w:hAnsiTheme="minorHAnsi" w:cstheme="minorHAnsi"/>
                <w:szCs w:val="18"/>
              </w:rPr>
            </w:pPr>
            <w:r w:rsidRPr="00D8284F">
              <w:rPr>
                <w:rFonts w:asciiTheme="minorHAnsi" w:hAnsiTheme="minorHAnsi" w:cstheme="minorHAnsi"/>
                <w:szCs w:val="18"/>
              </w:rPr>
              <w:t>Waste  </w:t>
            </w:r>
          </w:p>
        </w:tc>
        <w:tc>
          <w:tcPr>
            <w:tcW w:w="666" w:type="dxa"/>
            <w:tcBorders>
              <w:top w:val="nil"/>
              <w:left w:val="nil"/>
              <w:bottom w:val="single" w:sz="8" w:space="0" w:color="1B556B"/>
              <w:right w:val="single" w:sz="8" w:space="0" w:color="1B556B"/>
            </w:tcBorders>
            <w:shd w:val="clear" w:color="auto" w:fill="auto"/>
            <w:vAlign w:val="bottom"/>
            <w:hideMark/>
          </w:tcPr>
          <w:p w14:paraId="1DF20415"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4.85</w:t>
            </w:r>
          </w:p>
        </w:tc>
        <w:tc>
          <w:tcPr>
            <w:tcW w:w="745" w:type="dxa"/>
            <w:tcBorders>
              <w:top w:val="nil"/>
              <w:left w:val="nil"/>
              <w:bottom w:val="single" w:sz="8" w:space="0" w:color="1B556B"/>
              <w:right w:val="single" w:sz="8" w:space="0" w:color="1B556B"/>
            </w:tcBorders>
            <w:shd w:val="clear" w:color="auto" w:fill="auto"/>
            <w:vAlign w:val="bottom"/>
            <w:hideMark/>
          </w:tcPr>
          <w:p w14:paraId="68936228"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4.28</w:t>
            </w:r>
          </w:p>
        </w:tc>
        <w:tc>
          <w:tcPr>
            <w:tcW w:w="745" w:type="dxa"/>
            <w:tcBorders>
              <w:top w:val="nil"/>
              <w:left w:val="nil"/>
              <w:bottom w:val="single" w:sz="8" w:space="0" w:color="1B556B"/>
              <w:right w:val="single" w:sz="8" w:space="0" w:color="1B556B"/>
            </w:tcBorders>
            <w:shd w:val="clear" w:color="auto" w:fill="auto"/>
            <w:vAlign w:val="bottom"/>
            <w:hideMark/>
          </w:tcPr>
          <w:p w14:paraId="79299223"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3.86</w:t>
            </w:r>
          </w:p>
        </w:tc>
        <w:tc>
          <w:tcPr>
            <w:tcW w:w="745" w:type="dxa"/>
            <w:tcBorders>
              <w:top w:val="nil"/>
              <w:left w:val="nil"/>
              <w:bottom w:val="single" w:sz="8" w:space="0" w:color="1B556B"/>
              <w:right w:val="single" w:sz="8" w:space="0" w:color="1B556B"/>
            </w:tcBorders>
            <w:shd w:val="clear" w:color="auto" w:fill="auto"/>
            <w:vAlign w:val="bottom"/>
            <w:hideMark/>
          </w:tcPr>
          <w:p w14:paraId="4AD84159"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3.60</w:t>
            </w:r>
          </w:p>
        </w:tc>
        <w:tc>
          <w:tcPr>
            <w:tcW w:w="745" w:type="dxa"/>
            <w:tcBorders>
              <w:top w:val="nil"/>
              <w:left w:val="nil"/>
              <w:bottom w:val="single" w:sz="8" w:space="0" w:color="1B556B"/>
              <w:right w:val="single" w:sz="8" w:space="0" w:color="1B556B"/>
            </w:tcBorders>
            <w:shd w:val="clear" w:color="000000" w:fill="D2DDE1"/>
            <w:vAlign w:val="bottom"/>
            <w:hideMark/>
          </w:tcPr>
          <w:p w14:paraId="654FDE41"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3.40</w:t>
            </w:r>
          </w:p>
        </w:tc>
        <w:tc>
          <w:tcPr>
            <w:tcW w:w="745" w:type="dxa"/>
            <w:tcBorders>
              <w:top w:val="nil"/>
              <w:left w:val="nil"/>
              <w:bottom w:val="single" w:sz="8" w:space="0" w:color="1B556B"/>
              <w:right w:val="single" w:sz="8" w:space="0" w:color="1B556B"/>
            </w:tcBorders>
            <w:shd w:val="clear" w:color="000000" w:fill="D2DDE1"/>
            <w:vAlign w:val="bottom"/>
            <w:hideMark/>
          </w:tcPr>
          <w:p w14:paraId="440E452C"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3.27</w:t>
            </w:r>
          </w:p>
        </w:tc>
        <w:tc>
          <w:tcPr>
            <w:tcW w:w="745" w:type="dxa"/>
            <w:tcBorders>
              <w:top w:val="nil"/>
              <w:left w:val="nil"/>
              <w:bottom w:val="single" w:sz="8" w:space="0" w:color="1B556B"/>
              <w:right w:val="single" w:sz="8" w:space="0" w:color="1B556B"/>
            </w:tcBorders>
            <w:shd w:val="clear" w:color="000000" w:fill="D2DDE1"/>
            <w:vAlign w:val="bottom"/>
            <w:hideMark/>
          </w:tcPr>
          <w:p w14:paraId="72806F7D"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3.21</w:t>
            </w:r>
          </w:p>
        </w:tc>
        <w:tc>
          <w:tcPr>
            <w:tcW w:w="745" w:type="dxa"/>
            <w:tcBorders>
              <w:top w:val="nil"/>
              <w:left w:val="nil"/>
              <w:bottom w:val="single" w:sz="8" w:space="0" w:color="1B556B"/>
              <w:right w:val="single" w:sz="8" w:space="0" w:color="1B556B"/>
            </w:tcBorders>
            <w:shd w:val="clear" w:color="000000" w:fill="D2DDE1"/>
            <w:vAlign w:val="bottom"/>
            <w:hideMark/>
          </w:tcPr>
          <w:p w14:paraId="44420BB1"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3.16</w:t>
            </w:r>
          </w:p>
        </w:tc>
        <w:tc>
          <w:tcPr>
            <w:tcW w:w="745" w:type="dxa"/>
            <w:tcBorders>
              <w:top w:val="nil"/>
              <w:left w:val="nil"/>
              <w:bottom w:val="single" w:sz="8" w:space="0" w:color="1B556B"/>
              <w:right w:val="single" w:sz="8" w:space="0" w:color="1B556B"/>
            </w:tcBorders>
            <w:shd w:val="clear" w:color="000000" w:fill="D2DDE1"/>
            <w:vAlign w:val="bottom"/>
            <w:hideMark/>
          </w:tcPr>
          <w:p w14:paraId="34C753C0"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3.14</w:t>
            </w:r>
          </w:p>
        </w:tc>
        <w:tc>
          <w:tcPr>
            <w:tcW w:w="745" w:type="dxa"/>
            <w:tcBorders>
              <w:top w:val="nil"/>
              <w:left w:val="nil"/>
              <w:bottom w:val="single" w:sz="8" w:space="0" w:color="1B556B"/>
              <w:right w:val="nil"/>
            </w:tcBorders>
            <w:shd w:val="clear" w:color="000000" w:fill="D2DDE1"/>
            <w:vAlign w:val="bottom"/>
            <w:hideMark/>
          </w:tcPr>
          <w:p w14:paraId="5DE4CD68"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3.12</w:t>
            </w:r>
          </w:p>
        </w:tc>
      </w:tr>
      <w:tr w:rsidR="00921D1F" w:rsidRPr="00D8284F" w14:paraId="569BCEF8" w14:textId="77777777">
        <w:tc>
          <w:tcPr>
            <w:tcW w:w="1134" w:type="dxa"/>
            <w:tcBorders>
              <w:top w:val="nil"/>
              <w:left w:val="nil"/>
              <w:bottom w:val="single" w:sz="8" w:space="0" w:color="1B556B"/>
              <w:right w:val="single" w:sz="8" w:space="0" w:color="1B556B"/>
            </w:tcBorders>
            <w:shd w:val="clear" w:color="auto" w:fill="auto"/>
            <w:vAlign w:val="bottom"/>
            <w:hideMark/>
          </w:tcPr>
          <w:p w14:paraId="45C2987C" w14:textId="77777777" w:rsidR="00921D1F" w:rsidRPr="00D8284F" w:rsidRDefault="00921D1F">
            <w:pPr>
              <w:pStyle w:val="TableText"/>
              <w:spacing w:before="50" w:after="50" w:line="240" w:lineRule="auto"/>
              <w:rPr>
                <w:rFonts w:asciiTheme="minorHAnsi" w:hAnsiTheme="minorHAnsi" w:cstheme="minorHAnsi"/>
                <w:szCs w:val="18"/>
              </w:rPr>
            </w:pPr>
            <w:r w:rsidRPr="00D8284F">
              <w:rPr>
                <w:rFonts w:asciiTheme="minorHAnsi" w:hAnsiTheme="minorHAnsi" w:cstheme="minorHAnsi"/>
                <w:szCs w:val="18"/>
              </w:rPr>
              <w:t>Tokelau  </w:t>
            </w:r>
          </w:p>
        </w:tc>
        <w:tc>
          <w:tcPr>
            <w:tcW w:w="666" w:type="dxa"/>
            <w:tcBorders>
              <w:top w:val="nil"/>
              <w:left w:val="nil"/>
              <w:bottom w:val="single" w:sz="8" w:space="0" w:color="1B556B"/>
              <w:right w:val="single" w:sz="8" w:space="0" w:color="1B556B"/>
            </w:tcBorders>
            <w:shd w:val="clear" w:color="auto" w:fill="auto"/>
            <w:vAlign w:val="bottom"/>
            <w:hideMark/>
          </w:tcPr>
          <w:p w14:paraId="55609700"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0.005</w:t>
            </w:r>
          </w:p>
        </w:tc>
        <w:tc>
          <w:tcPr>
            <w:tcW w:w="745" w:type="dxa"/>
            <w:tcBorders>
              <w:top w:val="nil"/>
              <w:left w:val="nil"/>
              <w:bottom w:val="single" w:sz="8" w:space="0" w:color="1B556B"/>
              <w:right w:val="single" w:sz="8" w:space="0" w:color="1B556B"/>
            </w:tcBorders>
            <w:shd w:val="clear" w:color="auto" w:fill="auto"/>
            <w:vAlign w:val="bottom"/>
            <w:hideMark/>
          </w:tcPr>
          <w:p w14:paraId="758DBF8D"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0.005</w:t>
            </w:r>
          </w:p>
        </w:tc>
        <w:tc>
          <w:tcPr>
            <w:tcW w:w="745" w:type="dxa"/>
            <w:tcBorders>
              <w:top w:val="nil"/>
              <w:left w:val="nil"/>
              <w:bottom w:val="single" w:sz="8" w:space="0" w:color="1B556B"/>
              <w:right w:val="single" w:sz="8" w:space="0" w:color="1B556B"/>
            </w:tcBorders>
            <w:shd w:val="clear" w:color="auto" w:fill="auto"/>
            <w:vAlign w:val="bottom"/>
            <w:hideMark/>
          </w:tcPr>
          <w:p w14:paraId="59FA7B48"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0.004</w:t>
            </w:r>
          </w:p>
        </w:tc>
        <w:tc>
          <w:tcPr>
            <w:tcW w:w="745" w:type="dxa"/>
            <w:tcBorders>
              <w:top w:val="nil"/>
              <w:left w:val="nil"/>
              <w:bottom w:val="single" w:sz="8" w:space="0" w:color="1B556B"/>
              <w:right w:val="single" w:sz="8" w:space="0" w:color="1B556B"/>
            </w:tcBorders>
            <w:shd w:val="clear" w:color="auto" w:fill="auto"/>
            <w:vAlign w:val="bottom"/>
            <w:hideMark/>
          </w:tcPr>
          <w:p w14:paraId="79586B1E"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0.004</w:t>
            </w:r>
          </w:p>
        </w:tc>
        <w:tc>
          <w:tcPr>
            <w:tcW w:w="745" w:type="dxa"/>
            <w:tcBorders>
              <w:top w:val="nil"/>
              <w:left w:val="nil"/>
              <w:bottom w:val="single" w:sz="8" w:space="0" w:color="1B556B"/>
              <w:right w:val="single" w:sz="8" w:space="0" w:color="1B556B"/>
            </w:tcBorders>
            <w:shd w:val="clear" w:color="000000" w:fill="D2DDE1"/>
            <w:vAlign w:val="bottom"/>
            <w:hideMark/>
          </w:tcPr>
          <w:p w14:paraId="501268AA"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0.005</w:t>
            </w:r>
          </w:p>
        </w:tc>
        <w:tc>
          <w:tcPr>
            <w:tcW w:w="745" w:type="dxa"/>
            <w:tcBorders>
              <w:top w:val="nil"/>
              <w:left w:val="nil"/>
              <w:bottom w:val="single" w:sz="8" w:space="0" w:color="1B556B"/>
              <w:right w:val="single" w:sz="8" w:space="0" w:color="1B556B"/>
            </w:tcBorders>
            <w:shd w:val="clear" w:color="000000" w:fill="D2DDE1"/>
            <w:vAlign w:val="bottom"/>
            <w:hideMark/>
          </w:tcPr>
          <w:p w14:paraId="6D462AE1"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0.005</w:t>
            </w:r>
          </w:p>
        </w:tc>
        <w:tc>
          <w:tcPr>
            <w:tcW w:w="745" w:type="dxa"/>
            <w:tcBorders>
              <w:top w:val="nil"/>
              <w:left w:val="nil"/>
              <w:bottom w:val="single" w:sz="8" w:space="0" w:color="1B556B"/>
              <w:right w:val="single" w:sz="8" w:space="0" w:color="1B556B"/>
            </w:tcBorders>
            <w:shd w:val="clear" w:color="000000" w:fill="D2DDE1"/>
            <w:vAlign w:val="bottom"/>
            <w:hideMark/>
          </w:tcPr>
          <w:p w14:paraId="37E7F3DF"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0.004</w:t>
            </w:r>
          </w:p>
        </w:tc>
        <w:tc>
          <w:tcPr>
            <w:tcW w:w="745" w:type="dxa"/>
            <w:tcBorders>
              <w:top w:val="nil"/>
              <w:left w:val="nil"/>
              <w:bottom w:val="single" w:sz="8" w:space="0" w:color="1B556B"/>
              <w:right w:val="single" w:sz="8" w:space="0" w:color="1B556B"/>
            </w:tcBorders>
            <w:shd w:val="clear" w:color="000000" w:fill="D2DDE1"/>
            <w:vAlign w:val="bottom"/>
            <w:hideMark/>
          </w:tcPr>
          <w:p w14:paraId="58838ED9"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0.004</w:t>
            </w:r>
          </w:p>
        </w:tc>
        <w:tc>
          <w:tcPr>
            <w:tcW w:w="745" w:type="dxa"/>
            <w:tcBorders>
              <w:top w:val="nil"/>
              <w:left w:val="nil"/>
              <w:bottom w:val="single" w:sz="8" w:space="0" w:color="1B556B"/>
              <w:right w:val="single" w:sz="8" w:space="0" w:color="1B556B"/>
            </w:tcBorders>
            <w:shd w:val="clear" w:color="000000" w:fill="D2DDE1"/>
            <w:vAlign w:val="bottom"/>
            <w:hideMark/>
          </w:tcPr>
          <w:p w14:paraId="4A0BF6B2"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0.004</w:t>
            </w:r>
          </w:p>
        </w:tc>
        <w:tc>
          <w:tcPr>
            <w:tcW w:w="745" w:type="dxa"/>
            <w:tcBorders>
              <w:top w:val="nil"/>
              <w:left w:val="nil"/>
              <w:bottom w:val="single" w:sz="8" w:space="0" w:color="1B556B"/>
              <w:right w:val="nil"/>
            </w:tcBorders>
            <w:shd w:val="clear" w:color="000000" w:fill="D2DDE1"/>
            <w:vAlign w:val="bottom"/>
            <w:hideMark/>
          </w:tcPr>
          <w:p w14:paraId="4803D8AA"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0.004</w:t>
            </w:r>
          </w:p>
        </w:tc>
      </w:tr>
      <w:tr w:rsidR="00921D1F" w:rsidRPr="00D8284F" w14:paraId="21FEFA16" w14:textId="77777777">
        <w:tc>
          <w:tcPr>
            <w:tcW w:w="8505" w:type="dxa"/>
            <w:gridSpan w:val="11"/>
            <w:tcBorders>
              <w:top w:val="single" w:sz="8" w:space="0" w:color="1B556B"/>
              <w:left w:val="nil"/>
              <w:bottom w:val="single" w:sz="8" w:space="0" w:color="1B556B"/>
              <w:right w:val="nil"/>
            </w:tcBorders>
            <w:shd w:val="clear" w:color="auto" w:fill="auto"/>
            <w:vAlign w:val="bottom"/>
            <w:hideMark/>
          </w:tcPr>
          <w:p w14:paraId="325FD86F" w14:textId="77777777" w:rsidR="00921D1F" w:rsidRPr="00D8284F" w:rsidRDefault="00921D1F">
            <w:pPr>
              <w:pStyle w:val="TableTextbold"/>
              <w:spacing w:before="50" w:after="50" w:line="240" w:lineRule="auto"/>
              <w:rPr>
                <w:rFonts w:asciiTheme="minorHAnsi" w:hAnsiTheme="minorHAnsi" w:cstheme="minorHAnsi"/>
                <w:szCs w:val="18"/>
              </w:rPr>
            </w:pPr>
            <w:r w:rsidRPr="00D8284F">
              <w:rPr>
                <w:rFonts w:asciiTheme="minorHAnsi" w:hAnsiTheme="minorHAnsi" w:cstheme="minorHAnsi"/>
                <w:szCs w:val="18"/>
              </w:rPr>
              <w:t>Gas, excluding net emissions from LULUCF target accounting pre-2020</w:t>
            </w:r>
          </w:p>
        </w:tc>
      </w:tr>
      <w:tr w:rsidR="00921D1F" w:rsidRPr="00D8284F" w14:paraId="05301547" w14:textId="77777777">
        <w:tc>
          <w:tcPr>
            <w:tcW w:w="1134" w:type="dxa"/>
            <w:tcBorders>
              <w:top w:val="nil"/>
              <w:left w:val="nil"/>
              <w:bottom w:val="single" w:sz="8" w:space="0" w:color="1B556B"/>
              <w:right w:val="single" w:sz="8" w:space="0" w:color="1B556B"/>
            </w:tcBorders>
            <w:shd w:val="clear" w:color="auto" w:fill="auto"/>
            <w:vAlign w:val="bottom"/>
            <w:hideMark/>
          </w:tcPr>
          <w:p w14:paraId="4DCCD6B6" w14:textId="77777777" w:rsidR="00921D1F" w:rsidRPr="00D8284F" w:rsidRDefault="00921D1F">
            <w:pPr>
              <w:pStyle w:val="TableText"/>
              <w:spacing w:before="50" w:after="50" w:line="240" w:lineRule="auto"/>
              <w:rPr>
                <w:rFonts w:asciiTheme="minorHAnsi" w:hAnsiTheme="minorHAnsi" w:cstheme="minorHAnsi"/>
                <w:szCs w:val="18"/>
              </w:rPr>
            </w:pPr>
            <w:r w:rsidRPr="00D8284F">
              <w:rPr>
                <w:rFonts w:asciiTheme="minorHAnsi" w:hAnsiTheme="minorHAnsi" w:cstheme="minorHAnsi"/>
                <w:szCs w:val="18"/>
              </w:rPr>
              <w:t>CO</w:t>
            </w:r>
            <w:r w:rsidRPr="00D8284F">
              <w:rPr>
                <w:rFonts w:asciiTheme="minorHAnsi" w:hAnsiTheme="minorHAnsi" w:cstheme="minorHAnsi"/>
                <w:szCs w:val="18"/>
                <w:vertAlign w:val="subscript"/>
              </w:rPr>
              <w:t>2</w:t>
            </w:r>
          </w:p>
        </w:tc>
        <w:tc>
          <w:tcPr>
            <w:tcW w:w="666" w:type="dxa"/>
            <w:tcBorders>
              <w:top w:val="nil"/>
              <w:left w:val="nil"/>
              <w:bottom w:val="single" w:sz="8" w:space="0" w:color="1B556B"/>
              <w:right w:val="single" w:sz="8" w:space="0" w:color="1B556B"/>
            </w:tcBorders>
            <w:shd w:val="clear" w:color="auto" w:fill="auto"/>
            <w:vAlign w:val="bottom"/>
            <w:hideMark/>
          </w:tcPr>
          <w:p w14:paraId="4655F136"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37.4</w:t>
            </w:r>
          </w:p>
        </w:tc>
        <w:tc>
          <w:tcPr>
            <w:tcW w:w="745" w:type="dxa"/>
            <w:tcBorders>
              <w:top w:val="nil"/>
              <w:left w:val="nil"/>
              <w:bottom w:val="single" w:sz="8" w:space="0" w:color="1B556B"/>
              <w:right w:val="single" w:sz="8" w:space="0" w:color="1B556B"/>
            </w:tcBorders>
            <w:shd w:val="clear" w:color="auto" w:fill="auto"/>
            <w:vAlign w:val="bottom"/>
            <w:hideMark/>
          </w:tcPr>
          <w:p w14:paraId="6A139070"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34.8</w:t>
            </w:r>
          </w:p>
        </w:tc>
        <w:tc>
          <w:tcPr>
            <w:tcW w:w="745" w:type="dxa"/>
            <w:tcBorders>
              <w:top w:val="nil"/>
              <w:left w:val="nil"/>
              <w:bottom w:val="single" w:sz="8" w:space="0" w:color="1B556B"/>
              <w:right w:val="single" w:sz="8" w:space="0" w:color="1B556B"/>
            </w:tcBorders>
            <w:shd w:val="clear" w:color="auto" w:fill="auto"/>
            <w:vAlign w:val="bottom"/>
            <w:hideMark/>
          </w:tcPr>
          <w:p w14:paraId="0B990124"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35.8</w:t>
            </w:r>
          </w:p>
        </w:tc>
        <w:tc>
          <w:tcPr>
            <w:tcW w:w="745" w:type="dxa"/>
            <w:tcBorders>
              <w:top w:val="nil"/>
              <w:left w:val="nil"/>
              <w:bottom w:val="single" w:sz="8" w:space="0" w:color="1B556B"/>
              <w:right w:val="single" w:sz="8" w:space="0" w:color="1B556B"/>
            </w:tcBorders>
            <w:shd w:val="clear" w:color="auto" w:fill="auto"/>
            <w:vAlign w:val="bottom"/>
            <w:hideMark/>
          </w:tcPr>
          <w:p w14:paraId="07CD7D80"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34.0</w:t>
            </w:r>
          </w:p>
        </w:tc>
        <w:tc>
          <w:tcPr>
            <w:tcW w:w="745" w:type="dxa"/>
            <w:tcBorders>
              <w:top w:val="nil"/>
              <w:left w:val="nil"/>
              <w:bottom w:val="single" w:sz="8" w:space="0" w:color="1B556B"/>
              <w:right w:val="single" w:sz="8" w:space="0" w:color="1B556B"/>
            </w:tcBorders>
            <w:shd w:val="clear" w:color="000000" w:fill="D2DDE1"/>
            <w:vAlign w:val="bottom"/>
            <w:hideMark/>
          </w:tcPr>
          <w:p w14:paraId="71544C8C"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24.4</w:t>
            </w:r>
          </w:p>
        </w:tc>
        <w:tc>
          <w:tcPr>
            <w:tcW w:w="745" w:type="dxa"/>
            <w:tcBorders>
              <w:top w:val="nil"/>
              <w:left w:val="nil"/>
              <w:bottom w:val="single" w:sz="8" w:space="0" w:color="1B556B"/>
              <w:right w:val="single" w:sz="8" w:space="0" w:color="1B556B"/>
            </w:tcBorders>
            <w:shd w:val="clear" w:color="000000" w:fill="D2DDE1"/>
            <w:vAlign w:val="bottom"/>
            <w:hideMark/>
          </w:tcPr>
          <w:p w14:paraId="4A0987C7"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13.0</w:t>
            </w:r>
          </w:p>
        </w:tc>
        <w:tc>
          <w:tcPr>
            <w:tcW w:w="745" w:type="dxa"/>
            <w:tcBorders>
              <w:top w:val="nil"/>
              <w:left w:val="nil"/>
              <w:bottom w:val="single" w:sz="8" w:space="0" w:color="1B556B"/>
              <w:right w:val="single" w:sz="8" w:space="0" w:color="1B556B"/>
            </w:tcBorders>
            <w:shd w:val="clear" w:color="000000" w:fill="D2DDE1"/>
            <w:vAlign w:val="bottom"/>
            <w:hideMark/>
          </w:tcPr>
          <w:p w14:paraId="6AAAACF1"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8.0</w:t>
            </w:r>
          </w:p>
        </w:tc>
        <w:tc>
          <w:tcPr>
            <w:tcW w:w="745" w:type="dxa"/>
            <w:tcBorders>
              <w:top w:val="nil"/>
              <w:left w:val="nil"/>
              <w:bottom w:val="single" w:sz="8" w:space="0" w:color="1B556B"/>
              <w:right w:val="single" w:sz="8" w:space="0" w:color="1B556B"/>
            </w:tcBorders>
            <w:shd w:val="clear" w:color="000000" w:fill="D2DDE1"/>
            <w:vAlign w:val="bottom"/>
            <w:hideMark/>
          </w:tcPr>
          <w:p w14:paraId="30B9769D"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0.1</w:t>
            </w:r>
          </w:p>
        </w:tc>
        <w:tc>
          <w:tcPr>
            <w:tcW w:w="745" w:type="dxa"/>
            <w:tcBorders>
              <w:top w:val="nil"/>
              <w:left w:val="nil"/>
              <w:bottom w:val="single" w:sz="8" w:space="0" w:color="1B556B"/>
              <w:right w:val="single" w:sz="8" w:space="0" w:color="1B556B"/>
            </w:tcBorders>
            <w:shd w:val="clear" w:color="000000" w:fill="D2DDE1"/>
            <w:vAlign w:val="bottom"/>
            <w:hideMark/>
          </w:tcPr>
          <w:p w14:paraId="56082F70"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-3.3</w:t>
            </w:r>
          </w:p>
        </w:tc>
        <w:tc>
          <w:tcPr>
            <w:tcW w:w="745" w:type="dxa"/>
            <w:tcBorders>
              <w:top w:val="nil"/>
              <w:left w:val="nil"/>
              <w:bottom w:val="single" w:sz="8" w:space="0" w:color="1B556B"/>
              <w:right w:val="nil"/>
            </w:tcBorders>
            <w:shd w:val="clear" w:color="000000" w:fill="D2DDE1"/>
            <w:vAlign w:val="bottom"/>
            <w:hideMark/>
          </w:tcPr>
          <w:p w14:paraId="1310C3B1"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-1.8</w:t>
            </w:r>
          </w:p>
        </w:tc>
      </w:tr>
      <w:tr w:rsidR="00921D1F" w:rsidRPr="00D8284F" w14:paraId="4114CD2B" w14:textId="77777777">
        <w:tc>
          <w:tcPr>
            <w:tcW w:w="1134" w:type="dxa"/>
            <w:tcBorders>
              <w:top w:val="nil"/>
              <w:left w:val="nil"/>
              <w:bottom w:val="single" w:sz="8" w:space="0" w:color="1B556B"/>
              <w:right w:val="single" w:sz="8" w:space="0" w:color="1B556B"/>
            </w:tcBorders>
            <w:shd w:val="clear" w:color="auto" w:fill="auto"/>
            <w:vAlign w:val="bottom"/>
            <w:hideMark/>
          </w:tcPr>
          <w:p w14:paraId="20ACEC35" w14:textId="77777777" w:rsidR="00921D1F" w:rsidRPr="00D8284F" w:rsidRDefault="00921D1F">
            <w:pPr>
              <w:pStyle w:val="TableText"/>
              <w:spacing w:before="50" w:after="50" w:line="240" w:lineRule="auto"/>
              <w:rPr>
                <w:rFonts w:asciiTheme="minorHAnsi" w:hAnsiTheme="minorHAnsi" w:cstheme="minorHAnsi"/>
                <w:szCs w:val="18"/>
              </w:rPr>
            </w:pPr>
            <w:r w:rsidRPr="00D8284F">
              <w:rPr>
                <w:rFonts w:asciiTheme="minorHAnsi" w:hAnsiTheme="minorHAnsi" w:cstheme="minorHAnsi"/>
                <w:szCs w:val="18"/>
              </w:rPr>
              <w:t>CH</w:t>
            </w:r>
            <w:r w:rsidRPr="00D8284F">
              <w:rPr>
                <w:rFonts w:asciiTheme="minorHAnsi" w:hAnsiTheme="minorHAnsi" w:cstheme="minorHAnsi"/>
                <w:szCs w:val="18"/>
                <w:vertAlign w:val="subscript"/>
              </w:rPr>
              <w:t>4</w:t>
            </w:r>
          </w:p>
        </w:tc>
        <w:tc>
          <w:tcPr>
            <w:tcW w:w="666" w:type="dxa"/>
            <w:tcBorders>
              <w:top w:val="nil"/>
              <w:left w:val="nil"/>
              <w:bottom w:val="single" w:sz="8" w:space="0" w:color="1B556B"/>
              <w:right w:val="single" w:sz="8" w:space="0" w:color="1B556B"/>
            </w:tcBorders>
            <w:shd w:val="clear" w:color="auto" w:fill="auto"/>
            <w:vAlign w:val="bottom"/>
            <w:hideMark/>
          </w:tcPr>
          <w:p w14:paraId="24EE7590"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41.5</w:t>
            </w:r>
          </w:p>
        </w:tc>
        <w:tc>
          <w:tcPr>
            <w:tcW w:w="745" w:type="dxa"/>
            <w:tcBorders>
              <w:top w:val="nil"/>
              <w:left w:val="nil"/>
              <w:bottom w:val="single" w:sz="8" w:space="0" w:color="1B556B"/>
              <w:right w:val="single" w:sz="8" w:space="0" w:color="1B556B"/>
            </w:tcBorders>
            <w:shd w:val="clear" w:color="auto" w:fill="auto"/>
            <w:vAlign w:val="bottom"/>
            <w:hideMark/>
          </w:tcPr>
          <w:p w14:paraId="6B20D3A7"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39.5</w:t>
            </w:r>
          </w:p>
        </w:tc>
        <w:tc>
          <w:tcPr>
            <w:tcW w:w="745" w:type="dxa"/>
            <w:tcBorders>
              <w:top w:val="nil"/>
              <w:left w:val="nil"/>
              <w:bottom w:val="single" w:sz="8" w:space="0" w:color="1B556B"/>
              <w:right w:val="single" w:sz="8" w:space="0" w:color="1B556B"/>
            </w:tcBorders>
            <w:shd w:val="clear" w:color="auto" w:fill="auto"/>
            <w:vAlign w:val="bottom"/>
            <w:hideMark/>
          </w:tcPr>
          <w:p w14:paraId="65648C4D"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39.7</w:t>
            </w:r>
          </w:p>
        </w:tc>
        <w:tc>
          <w:tcPr>
            <w:tcW w:w="745" w:type="dxa"/>
            <w:tcBorders>
              <w:top w:val="nil"/>
              <w:left w:val="nil"/>
              <w:bottom w:val="single" w:sz="8" w:space="0" w:color="1B556B"/>
              <w:right w:val="single" w:sz="8" w:space="0" w:color="1B556B"/>
            </w:tcBorders>
            <w:shd w:val="clear" w:color="auto" w:fill="auto"/>
            <w:vAlign w:val="bottom"/>
            <w:hideMark/>
          </w:tcPr>
          <w:p w14:paraId="5D674FB2"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39.0</w:t>
            </w:r>
          </w:p>
        </w:tc>
        <w:tc>
          <w:tcPr>
            <w:tcW w:w="745" w:type="dxa"/>
            <w:tcBorders>
              <w:top w:val="nil"/>
              <w:left w:val="nil"/>
              <w:bottom w:val="single" w:sz="8" w:space="0" w:color="1B556B"/>
              <w:right w:val="single" w:sz="8" w:space="0" w:color="1B556B"/>
            </w:tcBorders>
            <w:shd w:val="clear" w:color="000000" w:fill="D2DDE1"/>
            <w:vAlign w:val="bottom"/>
            <w:hideMark/>
          </w:tcPr>
          <w:p w14:paraId="5F6944D1"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36.3</w:t>
            </w:r>
          </w:p>
        </w:tc>
        <w:tc>
          <w:tcPr>
            <w:tcW w:w="745" w:type="dxa"/>
            <w:tcBorders>
              <w:top w:val="nil"/>
              <w:left w:val="nil"/>
              <w:bottom w:val="single" w:sz="8" w:space="0" w:color="1B556B"/>
              <w:right w:val="single" w:sz="8" w:space="0" w:color="1B556B"/>
            </w:tcBorders>
            <w:shd w:val="clear" w:color="000000" w:fill="D2DDE1"/>
            <w:vAlign w:val="bottom"/>
            <w:hideMark/>
          </w:tcPr>
          <w:p w14:paraId="6481E801"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35.4</w:t>
            </w:r>
          </w:p>
        </w:tc>
        <w:tc>
          <w:tcPr>
            <w:tcW w:w="745" w:type="dxa"/>
            <w:tcBorders>
              <w:top w:val="nil"/>
              <w:left w:val="nil"/>
              <w:bottom w:val="single" w:sz="8" w:space="0" w:color="1B556B"/>
              <w:right w:val="single" w:sz="8" w:space="0" w:color="1B556B"/>
            </w:tcBorders>
            <w:shd w:val="clear" w:color="000000" w:fill="D2DDE1"/>
            <w:vAlign w:val="bottom"/>
            <w:hideMark/>
          </w:tcPr>
          <w:p w14:paraId="66AE65A6"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35.1</w:t>
            </w:r>
          </w:p>
        </w:tc>
        <w:tc>
          <w:tcPr>
            <w:tcW w:w="745" w:type="dxa"/>
            <w:tcBorders>
              <w:top w:val="nil"/>
              <w:left w:val="nil"/>
              <w:bottom w:val="single" w:sz="8" w:space="0" w:color="1B556B"/>
              <w:right w:val="single" w:sz="8" w:space="0" w:color="1B556B"/>
            </w:tcBorders>
            <w:shd w:val="clear" w:color="000000" w:fill="D2DDE1"/>
            <w:vAlign w:val="bottom"/>
            <w:hideMark/>
          </w:tcPr>
          <w:p w14:paraId="4B7E71BD"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35.1</w:t>
            </w:r>
          </w:p>
        </w:tc>
        <w:tc>
          <w:tcPr>
            <w:tcW w:w="745" w:type="dxa"/>
            <w:tcBorders>
              <w:top w:val="nil"/>
              <w:left w:val="nil"/>
              <w:bottom w:val="single" w:sz="8" w:space="0" w:color="1B556B"/>
              <w:right w:val="single" w:sz="8" w:space="0" w:color="1B556B"/>
            </w:tcBorders>
            <w:shd w:val="clear" w:color="000000" w:fill="D2DDE1"/>
            <w:vAlign w:val="bottom"/>
            <w:hideMark/>
          </w:tcPr>
          <w:p w14:paraId="4CDE30BB"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35.1</w:t>
            </w:r>
          </w:p>
        </w:tc>
        <w:tc>
          <w:tcPr>
            <w:tcW w:w="745" w:type="dxa"/>
            <w:tcBorders>
              <w:top w:val="nil"/>
              <w:left w:val="nil"/>
              <w:bottom w:val="single" w:sz="8" w:space="0" w:color="1B556B"/>
              <w:right w:val="nil"/>
            </w:tcBorders>
            <w:shd w:val="clear" w:color="000000" w:fill="D2DDE1"/>
            <w:vAlign w:val="bottom"/>
            <w:hideMark/>
          </w:tcPr>
          <w:p w14:paraId="0300644F"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35.1</w:t>
            </w:r>
          </w:p>
        </w:tc>
      </w:tr>
      <w:tr w:rsidR="00921D1F" w:rsidRPr="00D8284F" w14:paraId="0A59EAF5" w14:textId="77777777">
        <w:tc>
          <w:tcPr>
            <w:tcW w:w="1134" w:type="dxa"/>
            <w:tcBorders>
              <w:top w:val="nil"/>
              <w:left w:val="nil"/>
              <w:bottom w:val="single" w:sz="8" w:space="0" w:color="1B556B"/>
              <w:right w:val="single" w:sz="8" w:space="0" w:color="1B556B"/>
            </w:tcBorders>
            <w:shd w:val="clear" w:color="auto" w:fill="auto"/>
            <w:vAlign w:val="bottom"/>
            <w:hideMark/>
          </w:tcPr>
          <w:p w14:paraId="560FB361" w14:textId="77777777" w:rsidR="00921D1F" w:rsidRPr="00D8284F" w:rsidRDefault="00921D1F">
            <w:pPr>
              <w:pStyle w:val="TableText"/>
              <w:spacing w:before="50" w:after="50" w:line="240" w:lineRule="auto"/>
              <w:rPr>
                <w:rFonts w:asciiTheme="minorHAnsi" w:hAnsiTheme="minorHAnsi" w:cstheme="minorHAnsi"/>
                <w:szCs w:val="18"/>
              </w:rPr>
            </w:pPr>
            <w:r w:rsidRPr="00D8284F">
              <w:rPr>
                <w:rFonts w:asciiTheme="minorHAnsi" w:hAnsiTheme="minorHAnsi" w:cstheme="minorHAnsi"/>
                <w:szCs w:val="18"/>
              </w:rPr>
              <w:t>N</w:t>
            </w:r>
            <w:r w:rsidRPr="00D8284F">
              <w:rPr>
                <w:rFonts w:asciiTheme="minorHAnsi" w:hAnsiTheme="minorHAnsi" w:cstheme="minorHAnsi"/>
                <w:szCs w:val="18"/>
                <w:vertAlign w:val="subscript"/>
              </w:rPr>
              <w:t>2</w:t>
            </w:r>
            <w:r w:rsidRPr="00D8284F">
              <w:rPr>
                <w:rFonts w:asciiTheme="minorHAnsi" w:hAnsiTheme="minorHAnsi" w:cstheme="minorHAnsi"/>
                <w:szCs w:val="18"/>
              </w:rPr>
              <w:t>O</w:t>
            </w:r>
          </w:p>
        </w:tc>
        <w:tc>
          <w:tcPr>
            <w:tcW w:w="666" w:type="dxa"/>
            <w:tcBorders>
              <w:top w:val="nil"/>
              <w:left w:val="nil"/>
              <w:bottom w:val="single" w:sz="8" w:space="0" w:color="1B556B"/>
              <w:right w:val="single" w:sz="8" w:space="0" w:color="1B556B"/>
            </w:tcBorders>
            <w:shd w:val="clear" w:color="auto" w:fill="auto"/>
            <w:vAlign w:val="bottom"/>
            <w:hideMark/>
          </w:tcPr>
          <w:p w14:paraId="33616908"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6.9</w:t>
            </w:r>
          </w:p>
        </w:tc>
        <w:tc>
          <w:tcPr>
            <w:tcW w:w="745" w:type="dxa"/>
            <w:tcBorders>
              <w:top w:val="nil"/>
              <w:left w:val="nil"/>
              <w:bottom w:val="single" w:sz="8" w:space="0" w:color="1B556B"/>
              <w:right w:val="single" w:sz="8" w:space="0" w:color="1B556B"/>
            </w:tcBorders>
            <w:shd w:val="clear" w:color="auto" w:fill="auto"/>
            <w:vAlign w:val="bottom"/>
            <w:hideMark/>
          </w:tcPr>
          <w:p w14:paraId="3B0714C0"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6.7</w:t>
            </w:r>
          </w:p>
        </w:tc>
        <w:tc>
          <w:tcPr>
            <w:tcW w:w="745" w:type="dxa"/>
            <w:tcBorders>
              <w:top w:val="nil"/>
              <w:left w:val="nil"/>
              <w:bottom w:val="single" w:sz="8" w:space="0" w:color="1B556B"/>
              <w:right w:val="single" w:sz="8" w:space="0" w:color="1B556B"/>
            </w:tcBorders>
            <w:shd w:val="clear" w:color="auto" w:fill="auto"/>
            <w:vAlign w:val="bottom"/>
            <w:hideMark/>
          </w:tcPr>
          <w:p w14:paraId="19B3D01C"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7.1</w:t>
            </w:r>
          </w:p>
        </w:tc>
        <w:tc>
          <w:tcPr>
            <w:tcW w:w="745" w:type="dxa"/>
            <w:tcBorders>
              <w:top w:val="nil"/>
              <w:left w:val="nil"/>
              <w:bottom w:val="single" w:sz="8" w:space="0" w:color="1B556B"/>
              <w:right w:val="single" w:sz="8" w:space="0" w:color="1B556B"/>
            </w:tcBorders>
            <w:shd w:val="clear" w:color="auto" w:fill="auto"/>
            <w:vAlign w:val="bottom"/>
            <w:hideMark/>
          </w:tcPr>
          <w:p w14:paraId="22438B27"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7.4</w:t>
            </w:r>
          </w:p>
        </w:tc>
        <w:tc>
          <w:tcPr>
            <w:tcW w:w="745" w:type="dxa"/>
            <w:tcBorders>
              <w:top w:val="nil"/>
              <w:left w:val="nil"/>
              <w:bottom w:val="single" w:sz="8" w:space="0" w:color="1B556B"/>
              <w:right w:val="single" w:sz="8" w:space="0" w:color="1B556B"/>
            </w:tcBorders>
            <w:shd w:val="clear" w:color="000000" w:fill="D2DDE1"/>
            <w:vAlign w:val="bottom"/>
            <w:hideMark/>
          </w:tcPr>
          <w:p w14:paraId="143E2DDD"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7.2</w:t>
            </w:r>
          </w:p>
        </w:tc>
        <w:tc>
          <w:tcPr>
            <w:tcW w:w="745" w:type="dxa"/>
            <w:tcBorders>
              <w:top w:val="nil"/>
              <w:left w:val="nil"/>
              <w:bottom w:val="single" w:sz="8" w:space="0" w:color="1B556B"/>
              <w:right w:val="single" w:sz="8" w:space="0" w:color="1B556B"/>
            </w:tcBorders>
            <w:shd w:val="clear" w:color="000000" w:fill="D2DDE1"/>
            <w:vAlign w:val="bottom"/>
            <w:hideMark/>
          </w:tcPr>
          <w:p w14:paraId="307230D5"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7.1</w:t>
            </w:r>
          </w:p>
        </w:tc>
        <w:tc>
          <w:tcPr>
            <w:tcW w:w="745" w:type="dxa"/>
            <w:tcBorders>
              <w:top w:val="nil"/>
              <w:left w:val="nil"/>
              <w:bottom w:val="single" w:sz="8" w:space="0" w:color="1B556B"/>
              <w:right w:val="single" w:sz="8" w:space="0" w:color="1B556B"/>
            </w:tcBorders>
            <w:shd w:val="clear" w:color="000000" w:fill="D2DDE1"/>
            <w:vAlign w:val="bottom"/>
            <w:hideMark/>
          </w:tcPr>
          <w:p w14:paraId="27C8220A"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7.1</w:t>
            </w:r>
          </w:p>
        </w:tc>
        <w:tc>
          <w:tcPr>
            <w:tcW w:w="745" w:type="dxa"/>
            <w:tcBorders>
              <w:top w:val="nil"/>
              <w:left w:val="nil"/>
              <w:bottom w:val="single" w:sz="8" w:space="0" w:color="1B556B"/>
              <w:right w:val="single" w:sz="8" w:space="0" w:color="1B556B"/>
            </w:tcBorders>
            <w:shd w:val="clear" w:color="000000" w:fill="D2DDE1"/>
            <w:vAlign w:val="bottom"/>
            <w:hideMark/>
          </w:tcPr>
          <w:p w14:paraId="43CE9820"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7.0</w:t>
            </w:r>
          </w:p>
        </w:tc>
        <w:tc>
          <w:tcPr>
            <w:tcW w:w="745" w:type="dxa"/>
            <w:tcBorders>
              <w:top w:val="nil"/>
              <w:left w:val="nil"/>
              <w:bottom w:val="single" w:sz="8" w:space="0" w:color="1B556B"/>
              <w:right w:val="single" w:sz="8" w:space="0" w:color="1B556B"/>
            </w:tcBorders>
            <w:shd w:val="clear" w:color="000000" w:fill="D2DDE1"/>
            <w:vAlign w:val="bottom"/>
            <w:hideMark/>
          </w:tcPr>
          <w:p w14:paraId="67AEC9D5"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7.0</w:t>
            </w:r>
          </w:p>
        </w:tc>
        <w:tc>
          <w:tcPr>
            <w:tcW w:w="745" w:type="dxa"/>
            <w:tcBorders>
              <w:top w:val="nil"/>
              <w:left w:val="nil"/>
              <w:bottom w:val="single" w:sz="8" w:space="0" w:color="1B556B"/>
              <w:right w:val="nil"/>
            </w:tcBorders>
            <w:shd w:val="clear" w:color="000000" w:fill="D2DDE1"/>
            <w:vAlign w:val="bottom"/>
            <w:hideMark/>
          </w:tcPr>
          <w:p w14:paraId="3781D1C9"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7.0</w:t>
            </w:r>
          </w:p>
        </w:tc>
      </w:tr>
      <w:tr w:rsidR="00921D1F" w:rsidRPr="00D8284F" w14:paraId="5A9C3FA7" w14:textId="77777777">
        <w:tc>
          <w:tcPr>
            <w:tcW w:w="1134" w:type="dxa"/>
            <w:tcBorders>
              <w:top w:val="nil"/>
              <w:left w:val="nil"/>
              <w:bottom w:val="single" w:sz="8" w:space="0" w:color="1B556B"/>
              <w:right w:val="single" w:sz="8" w:space="0" w:color="1B556B"/>
            </w:tcBorders>
            <w:shd w:val="clear" w:color="auto" w:fill="auto"/>
            <w:vAlign w:val="bottom"/>
            <w:hideMark/>
          </w:tcPr>
          <w:p w14:paraId="369771CD" w14:textId="77777777" w:rsidR="00921D1F" w:rsidRPr="00D8284F" w:rsidRDefault="00921D1F">
            <w:pPr>
              <w:pStyle w:val="TableText"/>
              <w:spacing w:before="50" w:after="50" w:line="240" w:lineRule="auto"/>
              <w:rPr>
                <w:rFonts w:asciiTheme="minorHAnsi" w:hAnsiTheme="minorHAnsi" w:cstheme="minorHAnsi"/>
                <w:szCs w:val="18"/>
              </w:rPr>
            </w:pPr>
            <w:r w:rsidRPr="00D8284F">
              <w:rPr>
                <w:rFonts w:asciiTheme="minorHAnsi" w:hAnsiTheme="minorHAnsi" w:cstheme="minorHAnsi"/>
                <w:szCs w:val="18"/>
              </w:rPr>
              <w:t>HFCs </w:t>
            </w:r>
          </w:p>
        </w:tc>
        <w:tc>
          <w:tcPr>
            <w:tcW w:w="666" w:type="dxa"/>
            <w:tcBorders>
              <w:top w:val="nil"/>
              <w:left w:val="nil"/>
              <w:bottom w:val="single" w:sz="8" w:space="0" w:color="1B556B"/>
              <w:right w:val="single" w:sz="8" w:space="0" w:color="1B556B"/>
            </w:tcBorders>
            <w:shd w:val="clear" w:color="auto" w:fill="auto"/>
            <w:vAlign w:val="bottom"/>
            <w:hideMark/>
          </w:tcPr>
          <w:p w14:paraId="6AF5932C"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0.65</w:t>
            </w:r>
          </w:p>
        </w:tc>
        <w:tc>
          <w:tcPr>
            <w:tcW w:w="745" w:type="dxa"/>
            <w:tcBorders>
              <w:top w:val="nil"/>
              <w:left w:val="nil"/>
              <w:bottom w:val="single" w:sz="8" w:space="0" w:color="1B556B"/>
              <w:right w:val="single" w:sz="8" w:space="0" w:color="1B556B"/>
            </w:tcBorders>
            <w:shd w:val="clear" w:color="auto" w:fill="auto"/>
            <w:vAlign w:val="bottom"/>
            <w:hideMark/>
          </w:tcPr>
          <w:p w14:paraId="6A1BE6AF"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1.01</w:t>
            </w:r>
          </w:p>
        </w:tc>
        <w:tc>
          <w:tcPr>
            <w:tcW w:w="745" w:type="dxa"/>
            <w:tcBorders>
              <w:top w:val="nil"/>
              <w:left w:val="nil"/>
              <w:bottom w:val="single" w:sz="8" w:space="0" w:color="1B556B"/>
              <w:right w:val="single" w:sz="8" w:space="0" w:color="1B556B"/>
            </w:tcBorders>
            <w:shd w:val="clear" w:color="auto" w:fill="auto"/>
            <w:vAlign w:val="bottom"/>
            <w:hideMark/>
          </w:tcPr>
          <w:p w14:paraId="4B6DB066"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1.20</w:t>
            </w:r>
          </w:p>
        </w:tc>
        <w:tc>
          <w:tcPr>
            <w:tcW w:w="745" w:type="dxa"/>
            <w:tcBorders>
              <w:top w:val="nil"/>
              <w:left w:val="nil"/>
              <w:bottom w:val="single" w:sz="8" w:space="0" w:color="1B556B"/>
              <w:right w:val="single" w:sz="8" w:space="0" w:color="1B556B"/>
            </w:tcBorders>
            <w:shd w:val="clear" w:color="auto" w:fill="auto"/>
            <w:vAlign w:val="bottom"/>
            <w:hideMark/>
          </w:tcPr>
          <w:p w14:paraId="4A151750"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1.34</w:t>
            </w:r>
          </w:p>
        </w:tc>
        <w:tc>
          <w:tcPr>
            <w:tcW w:w="745" w:type="dxa"/>
            <w:tcBorders>
              <w:top w:val="nil"/>
              <w:left w:val="nil"/>
              <w:bottom w:val="single" w:sz="8" w:space="0" w:color="1B556B"/>
              <w:right w:val="single" w:sz="8" w:space="0" w:color="1B556B"/>
            </w:tcBorders>
            <w:shd w:val="clear" w:color="000000" w:fill="D2DDE1"/>
            <w:vAlign w:val="bottom"/>
            <w:hideMark/>
          </w:tcPr>
          <w:p w14:paraId="262C453C"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1.13</w:t>
            </w:r>
          </w:p>
        </w:tc>
        <w:tc>
          <w:tcPr>
            <w:tcW w:w="745" w:type="dxa"/>
            <w:tcBorders>
              <w:top w:val="nil"/>
              <w:left w:val="nil"/>
              <w:bottom w:val="single" w:sz="8" w:space="0" w:color="1B556B"/>
              <w:right w:val="single" w:sz="8" w:space="0" w:color="1B556B"/>
            </w:tcBorders>
            <w:shd w:val="clear" w:color="000000" w:fill="D2DDE1"/>
            <w:vAlign w:val="bottom"/>
            <w:hideMark/>
          </w:tcPr>
          <w:p w14:paraId="0B68DB3A"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1.04</w:t>
            </w:r>
          </w:p>
        </w:tc>
        <w:tc>
          <w:tcPr>
            <w:tcW w:w="745" w:type="dxa"/>
            <w:tcBorders>
              <w:top w:val="nil"/>
              <w:left w:val="nil"/>
              <w:bottom w:val="single" w:sz="8" w:space="0" w:color="1B556B"/>
              <w:right w:val="single" w:sz="8" w:space="0" w:color="1B556B"/>
            </w:tcBorders>
            <w:shd w:val="clear" w:color="000000" w:fill="D2DDE1"/>
            <w:vAlign w:val="bottom"/>
            <w:hideMark/>
          </w:tcPr>
          <w:p w14:paraId="50AEFE09"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0.96</w:t>
            </w:r>
          </w:p>
        </w:tc>
        <w:tc>
          <w:tcPr>
            <w:tcW w:w="745" w:type="dxa"/>
            <w:tcBorders>
              <w:top w:val="nil"/>
              <w:left w:val="nil"/>
              <w:bottom w:val="single" w:sz="8" w:space="0" w:color="1B556B"/>
              <w:right w:val="single" w:sz="8" w:space="0" w:color="1B556B"/>
            </w:tcBorders>
            <w:shd w:val="clear" w:color="000000" w:fill="D2DDE1"/>
            <w:vAlign w:val="bottom"/>
            <w:hideMark/>
          </w:tcPr>
          <w:p w14:paraId="6454816C"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0.83</w:t>
            </w:r>
          </w:p>
        </w:tc>
        <w:tc>
          <w:tcPr>
            <w:tcW w:w="745" w:type="dxa"/>
            <w:tcBorders>
              <w:top w:val="nil"/>
              <w:left w:val="nil"/>
              <w:bottom w:val="single" w:sz="8" w:space="0" w:color="1B556B"/>
              <w:right w:val="single" w:sz="8" w:space="0" w:color="1B556B"/>
            </w:tcBorders>
            <w:shd w:val="clear" w:color="000000" w:fill="D2DDE1"/>
            <w:vAlign w:val="bottom"/>
            <w:hideMark/>
          </w:tcPr>
          <w:p w14:paraId="18F60A7E"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0.84</w:t>
            </w:r>
          </w:p>
        </w:tc>
        <w:tc>
          <w:tcPr>
            <w:tcW w:w="745" w:type="dxa"/>
            <w:tcBorders>
              <w:top w:val="nil"/>
              <w:left w:val="nil"/>
              <w:bottom w:val="single" w:sz="8" w:space="0" w:color="1B556B"/>
              <w:right w:val="nil"/>
            </w:tcBorders>
            <w:shd w:val="clear" w:color="000000" w:fill="D2DDE1"/>
            <w:vAlign w:val="bottom"/>
            <w:hideMark/>
          </w:tcPr>
          <w:p w14:paraId="31FD39B9"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0.75</w:t>
            </w:r>
          </w:p>
        </w:tc>
      </w:tr>
      <w:tr w:rsidR="00921D1F" w:rsidRPr="00D8284F" w14:paraId="59477629" w14:textId="77777777">
        <w:tc>
          <w:tcPr>
            <w:tcW w:w="1134" w:type="dxa"/>
            <w:tcBorders>
              <w:top w:val="nil"/>
              <w:left w:val="nil"/>
              <w:bottom w:val="single" w:sz="8" w:space="0" w:color="1B556B"/>
              <w:right w:val="single" w:sz="8" w:space="0" w:color="1B556B"/>
            </w:tcBorders>
            <w:shd w:val="clear" w:color="auto" w:fill="auto"/>
            <w:vAlign w:val="bottom"/>
            <w:hideMark/>
          </w:tcPr>
          <w:p w14:paraId="3742D484" w14:textId="77777777" w:rsidR="00921D1F" w:rsidRPr="00D8284F" w:rsidRDefault="00921D1F">
            <w:pPr>
              <w:pStyle w:val="TableText"/>
              <w:spacing w:before="50" w:after="50" w:line="240" w:lineRule="auto"/>
              <w:rPr>
                <w:rFonts w:asciiTheme="minorHAnsi" w:hAnsiTheme="minorHAnsi" w:cstheme="minorHAnsi"/>
                <w:szCs w:val="18"/>
              </w:rPr>
            </w:pPr>
            <w:r w:rsidRPr="00D8284F">
              <w:rPr>
                <w:rFonts w:asciiTheme="minorHAnsi" w:hAnsiTheme="minorHAnsi" w:cstheme="minorHAnsi"/>
                <w:szCs w:val="18"/>
              </w:rPr>
              <w:t>PFCs </w:t>
            </w:r>
          </w:p>
        </w:tc>
        <w:tc>
          <w:tcPr>
            <w:tcW w:w="666" w:type="dxa"/>
            <w:tcBorders>
              <w:top w:val="nil"/>
              <w:left w:val="nil"/>
              <w:bottom w:val="single" w:sz="8" w:space="0" w:color="1B556B"/>
              <w:right w:val="single" w:sz="8" w:space="0" w:color="1B556B"/>
            </w:tcBorders>
            <w:shd w:val="clear" w:color="auto" w:fill="auto"/>
            <w:vAlign w:val="bottom"/>
            <w:hideMark/>
          </w:tcPr>
          <w:p w14:paraId="19DFA68B"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0.06</w:t>
            </w:r>
          </w:p>
        </w:tc>
        <w:tc>
          <w:tcPr>
            <w:tcW w:w="745" w:type="dxa"/>
            <w:tcBorders>
              <w:top w:val="nil"/>
              <w:left w:val="nil"/>
              <w:bottom w:val="single" w:sz="8" w:space="0" w:color="1B556B"/>
              <w:right w:val="single" w:sz="8" w:space="0" w:color="1B556B"/>
            </w:tcBorders>
            <w:shd w:val="clear" w:color="auto" w:fill="auto"/>
            <w:vAlign w:val="bottom"/>
            <w:hideMark/>
          </w:tcPr>
          <w:p w14:paraId="3404ED20"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0.04</w:t>
            </w:r>
          </w:p>
        </w:tc>
        <w:tc>
          <w:tcPr>
            <w:tcW w:w="745" w:type="dxa"/>
            <w:tcBorders>
              <w:top w:val="nil"/>
              <w:left w:val="nil"/>
              <w:bottom w:val="single" w:sz="8" w:space="0" w:color="1B556B"/>
              <w:right w:val="single" w:sz="8" w:space="0" w:color="1B556B"/>
            </w:tcBorders>
            <w:shd w:val="clear" w:color="auto" w:fill="auto"/>
            <w:vAlign w:val="bottom"/>
            <w:hideMark/>
          </w:tcPr>
          <w:p w14:paraId="3C09BB2B"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0.05</w:t>
            </w:r>
          </w:p>
        </w:tc>
        <w:tc>
          <w:tcPr>
            <w:tcW w:w="745" w:type="dxa"/>
            <w:tcBorders>
              <w:top w:val="nil"/>
              <w:left w:val="nil"/>
              <w:bottom w:val="single" w:sz="8" w:space="0" w:color="1B556B"/>
              <w:right w:val="single" w:sz="8" w:space="0" w:color="1B556B"/>
            </w:tcBorders>
            <w:shd w:val="clear" w:color="auto" w:fill="auto"/>
            <w:vAlign w:val="bottom"/>
            <w:hideMark/>
          </w:tcPr>
          <w:p w14:paraId="5C5E3297"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0.08</w:t>
            </w:r>
          </w:p>
        </w:tc>
        <w:tc>
          <w:tcPr>
            <w:tcW w:w="745" w:type="dxa"/>
            <w:tcBorders>
              <w:top w:val="nil"/>
              <w:left w:val="nil"/>
              <w:bottom w:val="single" w:sz="8" w:space="0" w:color="1B556B"/>
              <w:right w:val="single" w:sz="8" w:space="0" w:color="1B556B"/>
            </w:tcBorders>
            <w:shd w:val="clear" w:color="000000" w:fill="D2DDE1"/>
            <w:vAlign w:val="bottom"/>
            <w:hideMark/>
          </w:tcPr>
          <w:p w14:paraId="24C7C01F"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0.05</w:t>
            </w:r>
          </w:p>
        </w:tc>
        <w:tc>
          <w:tcPr>
            <w:tcW w:w="745" w:type="dxa"/>
            <w:tcBorders>
              <w:top w:val="nil"/>
              <w:left w:val="nil"/>
              <w:bottom w:val="single" w:sz="8" w:space="0" w:color="1B556B"/>
              <w:right w:val="single" w:sz="8" w:space="0" w:color="1B556B"/>
            </w:tcBorders>
            <w:shd w:val="clear" w:color="000000" w:fill="D2DDE1"/>
            <w:vAlign w:val="bottom"/>
            <w:hideMark/>
          </w:tcPr>
          <w:p w14:paraId="1E222301"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0.05</w:t>
            </w:r>
          </w:p>
        </w:tc>
        <w:tc>
          <w:tcPr>
            <w:tcW w:w="745" w:type="dxa"/>
            <w:tcBorders>
              <w:top w:val="nil"/>
              <w:left w:val="nil"/>
              <w:bottom w:val="single" w:sz="8" w:space="0" w:color="1B556B"/>
              <w:right w:val="single" w:sz="8" w:space="0" w:color="1B556B"/>
            </w:tcBorders>
            <w:shd w:val="clear" w:color="000000" w:fill="D2DDE1"/>
            <w:vAlign w:val="bottom"/>
            <w:hideMark/>
          </w:tcPr>
          <w:p w14:paraId="1EA5AA9E"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0.05</w:t>
            </w:r>
          </w:p>
        </w:tc>
        <w:tc>
          <w:tcPr>
            <w:tcW w:w="745" w:type="dxa"/>
            <w:tcBorders>
              <w:top w:val="nil"/>
              <w:left w:val="nil"/>
              <w:bottom w:val="single" w:sz="8" w:space="0" w:color="1B556B"/>
              <w:right w:val="single" w:sz="8" w:space="0" w:color="1B556B"/>
            </w:tcBorders>
            <w:shd w:val="clear" w:color="000000" w:fill="D2DDE1"/>
            <w:vAlign w:val="bottom"/>
            <w:hideMark/>
          </w:tcPr>
          <w:p w14:paraId="548F2D4A"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0.05</w:t>
            </w:r>
          </w:p>
        </w:tc>
        <w:tc>
          <w:tcPr>
            <w:tcW w:w="745" w:type="dxa"/>
            <w:tcBorders>
              <w:top w:val="nil"/>
              <w:left w:val="nil"/>
              <w:bottom w:val="single" w:sz="8" w:space="0" w:color="1B556B"/>
              <w:right w:val="single" w:sz="8" w:space="0" w:color="1B556B"/>
            </w:tcBorders>
            <w:shd w:val="clear" w:color="000000" w:fill="D2DDE1"/>
            <w:vAlign w:val="bottom"/>
            <w:hideMark/>
          </w:tcPr>
          <w:p w14:paraId="13C94B13"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0.05</w:t>
            </w:r>
          </w:p>
        </w:tc>
        <w:tc>
          <w:tcPr>
            <w:tcW w:w="745" w:type="dxa"/>
            <w:tcBorders>
              <w:top w:val="nil"/>
              <w:left w:val="nil"/>
              <w:bottom w:val="single" w:sz="8" w:space="0" w:color="1B556B"/>
              <w:right w:val="nil"/>
            </w:tcBorders>
            <w:shd w:val="clear" w:color="000000" w:fill="D2DDE1"/>
            <w:vAlign w:val="bottom"/>
            <w:hideMark/>
          </w:tcPr>
          <w:p w14:paraId="2C51CD8D"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0.05</w:t>
            </w:r>
          </w:p>
        </w:tc>
      </w:tr>
      <w:tr w:rsidR="00921D1F" w:rsidRPr="00D8284F" w14:paraId="61E308E6" w14:textId="77777777">
        <w:tc>
          <w:tcPr>
            <w:tcW w:w="1134" w:type="dxa"/>
            <w:tcBorders>
              <w:top w:val="nil"/>
              <w:left w:val="nil"/>
              <w:bottom w:val="single" w:sz="8" w:space="0" w:color="1B556B"/>
              <w:right w:val="single" w:sz="8" w:space="0" w:color="1B556B"/>
            </w:tcBorders>
            <w:shd w:val="clear" w:color="auto" w:fill="auto"/>
            <w:vAlign w:val="bottom"/>
            <w:hideMark/>
          </w:tcPr>
          <w:p w14:paraId="258CD7DD" w14:textId="77777777" w:rsidR="00921D1F" w:rsidRPr="00D8284F" w:rsidRDefault="00921D1F">
            <w:pPr>
              <w:pStyle w:val="TableText"/>
              <w:spacing w:before="50" w:after="50" w:line="240" w:lineRule="auto"/>
              <w:rPr>
                <w:rFonts w:asciiTheme="minorHAnsi" w:hAnsiTheme="minorHAnsi" w:cstheme="minorHAnsi"/>
                <w:szCs w:val="18"/>
              </w:rPr>
            </w:pPr>
            <w:r w:rsidRPr="00D8284F">
              <w:rPr>
                <w:rFonts w:asciiTheme="minorHAnsi" w:hAnsiTheme="minorHAnsi" w:cstheme="minorHAnsi"/>
                <w:szCs w:val="18"/>
              </w:rPr>
              <w:t>SF</w:t>
            </w:r>
            <w:r w:rsidRPr="00D8284F">
              <w:rPr>
                <w:rFonts w:asciiTheme="minorHAnsi" w:hAnsiTheme="minorHAnsi" w:cstheme="minorHAnsi"/>
                <w:szCs w:val="18"/>
                <w:vertAlign w:val="subscript"/>
              </w:rPr>
              <w:t>6</w:t>
            </w:r>
            <w:r w:rsidRPr="00D8284F">
              <w:rPr>
                <w:rFonts w:asciiTheme="minorHAnsi" w:hAnsiTheme="minorHAnsi" w:cstheme="minorHAnsi"/>
                <w:szCs w:val="18"/>
              </w:rPr>
              <w:t> </w:t>
            </w:r>
          </w:p>
        </w:tc>
        <w:tc>
          <w:tcPr>
            <w:tcW w:w="666" w:type="dxa"/>
            <w:tcBorders>
              <w:top w:val="nil"/>
              <w:left w:val="nil"/>
              <w:bottom w:val="single" w:sz="8" w:space="0" w:color="1B556B"/>
              <w:right w:val="single" w:sz="8" w:space="0" w:color="1B556B"/>
            </w:tcBorders>
            <w:shd w:val="clear" w:color="auto" w:fill="auto"/>
            <w:vAlign w:val="bottom"/>
            <w:hideMark/>
          </w:tcPr>
          <w:p w14:paraId="27421260"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0.03</w:t>
            </w:r>
          </w:p>
        </w:tc>
        <w:tc>
          <w:tcPr>
            <w:tcW w:w="745" w:type="dxa"/>
            <w:tcBorders>
              <w:top w:val="nil"/>
              <w:left w:val="nil"/>
              <w:bottom w:val="single" w:sz="8" w:space="0" w:color="1B556B"/>
              <w:right w:val="single" w:sz="8" w:space="0" w:color="1B556B"/>
            </w:tcBorders>
            <w:shd w:val="clear" w:color="auto" w:fill="auto"/>
            <w:vAlign w:val="bottom"/>
            <w:hideMark/>
          </w:tcPr>
          <w:p w14:paraId="2CC7C597"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0.02</w:t>
            </w:r>
          </w:p>
        </w:tc>
        <w:tc>
          <w:tcPr>
            <w:tcW w:w="745" w:type="dxa"/>
            <w:tcBorders>
              <w:top w:val="nil"/>
              <w:left w:val="nil"/>
              <w:bottom w:val="single" w:sz="8" w:space="0" w:color="1B556B"/>
              <w:right w:val="single" w:sz="8" w:space="0" w:color="1B556B"/>
            </w:tcBorders>
            <w:shd w:val="clear" w:color="auto" w:fill="auto"/>
            <w:vAlign w:val="bottom"/>
            <w:hideMark/>
          </w:tcPr>
          <w:p w14:paraId="06F40E19"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0.02</w:t>
            </w:r>
          </w:p>
        </w:tc>
        <w:tc>
          <w:tcPr>
            <w:tcW w:w="745" w:type="dxa"/>
            <w:tcBorders>
              <w:top w:val="nil"/>
              <w:left w:val="nil"/>
              <w:bottom w:val="single" w:sz="8" w:space="0" w:color="1B556B"/>
              <w:right w:val="single" w:sz="8" w:space="0" w:color="1B556B"/>
            </w:tcBorders>
            <w:shd w:val="clear" w:color="auto" w:fill="auto"/>
            <w:vAlign w:val="bottom"/>
            <w:hideMark/>
          </w:tcPr>
          <w:p w14:paraId="5BCD7932"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0.02</w:t>
            </w:r>
          </w:p>
        </w:tc>
        <w:tc>
          <w:tcPr>
            <w:tcW w:w="745" w:type="dxa"/>
            <w:tcBorders>
              <w:top w:val="nil"/>
              <w:left w:val="nil"/>
              <w:bottom w:val="single" w:sz="8" w:space="0" w:color="1B556B"/>
              <w:right w:val="single" w:sz="8" w:space="0" w:color="1B556B"/>
            </w:tcBorders>
            <w:shd w:val="clear" w:color="000000" w:fill="D2DDE1"/>
            <w:vAlign w:val="bottom"/>
            <w:hideMark/>
          </w:tcPr>
          <w:p w14:paraId="74AF6221"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0.02</w:t>
            </w:r>
          </w:p>
        </w:tc>
        <w:tc>
          <w:tcPr>
            <w:tcW w:w="745" w:type="dxa"/>
            <w:tcBorders>
              <w:top w:val="nil"/>
              <w:left w:val="nil"/>
              <w:bottom w:val="single" w:sz="8" w:space="0" w:color="1B556B"/>
              <w:right w:val="single" w:sz="8" w:space="0" w:color="1B556B"/>
            </w:tcBorders>
            <w:shd w:val="clear" w:color="000000" w:fill="D2DDE1"/>
            <w:vAlign w:val="bottom"/>
            <w:hideMark/>
          </w:tcPr>
          <w:p w14:paraId="07548C92"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0.02</w:t>
            </w:r>
          </w:p>
        </w:tc>
        <w:tc>
          <w:tcPr>
            <w:tcW w:w="745" w:type="dxa"/>
            <w:tcBorders>
              <w:top w:val="nil"/>
              <w:left w:val="nil"/>
              <w:bottom w:val="single" w:sz="8" w:space="0" w:color="1B556B"/>
              <w:right w:val="single" w:sz="8" w:space="0" w:color="1B556B"/>
            </w:tcBorders>
            <w:shd w:val="clear" w:color="000000" w:fill="D2DDE1"/>
            <w:vAlign w:val="bottom"/>
            <w:hideMark/>
          </w:tcPr>
          <w:p w14:paraId="51A164D3"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0.02</w:t>
            </w:r>
          </w:p>
        </w:tc>
        <w:tc>
          <w:tcPr>
            <w:tcW w:w="745" w:type="dxa"/>
            <w:tcBorders>
              <w:top w:val="nil"/>
              <w:left w:val="nil"/>
              <w:bottom w:val="single" w:sz="8" w:space="0" w:color="1B556B"/>
              <w:right w:val="single" w:sz="8" w:space="0" w:color="1B556B"/>
            </w:tcBorders>
            <w:shd w:val="clear" w:color="000000" w:fill="D2DDE1"/>
            <w:vAlign w:val="bottom"/>
            <w:hideMark/>
          </w:tcPr>
          <w:p w14:paraId="37A5DDCD"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0.02</w:t>
            </w:r>
          </w:p>
        </w:tc>
        <w:tc>
          <w:tcPr>
            <w:tcW w:w="745" w:type="dxa"/>
            <w:tcBorders>
              <w:top w:val="nil"/>
              <w:left w:val="nil"/>
              <w:bottom w:val="single" w:sz="8" w:space="0" w:color="1B556B"/>
              <w:right w:val="single" w:sz="8" w:space="0" w:color="1B556B"/>
            </w:tcBorders>
            <w:shd w:val="clear" w:color="000000" w:fill="D2DDE1"/>
            <w:vAlign w:val="bottom"/>
            <w:hideMark/>
          </w:tcPr>
          <w:p w14:paraId="713AD191"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0.02</w:t>
            </w:r>
          </w:p>
        </w:tc>
        <w:tc>
          <w:tcPr>
            <w:tcW w:w="745" w:type="dxa"/>
            <w:tcBorders>
              <w:top w:val="nil"/>
              <w:left w:val="nil"/>
              <w:bottom w:val="single" w:sz="8" w:space="0" w:color="1B556B"/>
              <w:right w:val="nil"/>
            </w:tcBorders>
            <w:shd w:val="clear" w:color="000000" w:fill="D2DDE1"/>
            <w:vAlign w:val="bottom"/>
            <w:hideMark/>
          </w:tcPr>
          <w:p w14:paraId="7886AE8B" w14:textId="77777777" w:rsidR="00921D1F" w:rsidRPr="00D8284F" w:rsidRDefault="00921D1F">
            <w:pPr>
              <w:pStyle w:val="TableText"/>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0.02</w:t>
            </w:r>
          </w:p>
        </w:tc>
      </w:tr>
      <w:tr w:rsidR="00921D1F" w:rsidRPr="00D8284F" w14:paraId="75C3A9A3" w14:textId="77777777">
        <w:tc>
          <w:tcPr>
            <w:tcW w:w="1134" w:type="dxa"/>
            <w:tcBorders>
              <w:top w:val="nil"/>
              <w:left w:val="nil"/>
              <w:bottom w:val="single" w:sz="8" w:space="0" w:color="1B556B"/>
              <w:right w:val="single" w:sz="8" w:space="0" w:color="1B556B"/>
            </w:tcBorders>
            <w:shd w:val="clear" w:color="auto" w:fill="auto"/>
            <w:vAlign w:val="bottom"/>
            <w:hideMark/>
          </w:tcPr>
          <w:p w14:paraId="5DD949E0" w14:textId="77777777" w:rsidR="00921D1F" w:rsidRPr="00D8284F" w:rsidRDefault="00921D1F">
            <w:pPr>
              <w:pStyle w:val="TableTextbold"/>
              <w:keepNext/>
              <w:spacing w:before="50" w:after="50" w:line="240" w:lineRule="auto"/>
              <w:rPr>
                <w:rFonts w:asciiTheme="minorHAnsi" w:hAnsiTheme="minorHAnsi" w:cstheme="minorHAnsi"/>
                <w:szCs w:val="18"/>
              </w:rPr>
            </w:pPr>
            <w:r w:rsidRPr="00D8284F">
              <w:rPr>
                <w:rFonts w:asciiTheme="minorHAnsi" w:hAnsiTheme="minorHAnsi" w:cstheme="minorHAnsi"/>
                <w:szCs w:val="18"/>
              </w:rPr>
              <w:t>Total excl LULUCF target accounting</w:t>
            </w:r>
          </w:p>
        </w:tc>
        <w:tc>
          <w:tcPr>
            <w:tcW w:w="666" w:type="dxa"/>
            <w:tcBorders>
              <w:top w:val="nil"/>
              <w:left w:val="nil"/>
              <w:bottom w:val="single" w:sz="8" w:space="0" w:color="1B556B"/>
              <w:right w:val="single" w:sz="8" w:space="0" w:color="1B556B"/>
            </w:tcBorders>
            <w:shd w:val="clear" w:color="auto" w:fill="auto"/>
            <w:vAlign w:val="bottom"/>
            <w:hideMark/>
          </w:tcPr>
          <w:p w14:paraId="73F40CE9"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86.6</w:t>
            </w:r>
          </w:p>
        </w:tc>
        <w:tc>
          <w:tcPr>
            <w:tcW w:w="745" w:type="dxa"/>
            <w:tcBorders>
              <w:top w:val="nil"/>
              <w:left w:val="nil"/>
              <w:bottom w:val="single" w:sz="8" w:space="0" w:color="1B556B"/>
              <w:right w:val="single" w:sz="8" w:space="0" w:color="1B556B"/>
            </w:tcBorders>
            <w:shd w:val="clear" w:color="auto" w:fill="auto"/>
            <w:vAlign w:val="bottom"/>
            <w:hideMark/>
          </w:tcPr>
          <w:p w14:paraId="74A02E1E"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82.1</w:t>
            </w:r>
          </w:p>
        </w:tc>
        <w:tc>
          <w:tcPr>
            <w:tcW w:w="745" w:type="dxa"/>
            <w:tcBorders>
              <w:top w:val="nil"/>
              <w:left w:val="nil"/>
              <w:bottom w:val="single" w:sz="8" w:space="0" w:color="1B556B"/>
              <w:right w:val="single" w:sz="8" w:space="0" w:color="1B556B"/>
            </w:tcBorders>
            <w:shd w:val="clear" w:color="auto" w:fill="auto"/>
            <w:vAlign w:val="bottom"/>
            <w:hideMark/>
          </w:tcPr>
          <w:p w14:paraId="40162F42"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83.9</w:t>
            </w:r>
          </w:p>
        </w:tc>
        <w:tc>
          <w:tcPr>
            <w:tcW w:w="745" w:type="dxa"/>
            <w:tcBorders>
              <w:top w:val="nil"/>
              <w:left w:val="nil"/>
              <w:bottom w:val="single" w:sz="8" w:space="0" w:color="1B556B"/>
              <w:right w:val="single" w:sz="8" w:space="0" w:color="1B556B"/>
            </w:tcBorders>
            <w:shd w:val="clear" w:color="auto" w:fill="auto"/>
            <w:vAlign w:val="bottom"/>
            <w:hideMark/>
          </w:tcPr>
          <w:p w14:paraId="2E1FC248"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81.9</w:t>
            </w:r>
          </w:p>
        </w:tc>
        <w:tc>
          <w:tcPr>
            <w:tcW w:w="745" w:type="dxa"/>
            <w:tcBorders>
              <w:top w:val="nil"/>
              <w:left w:val="nil"/>
              <w:bottom w:val="single" w:sz="8" w:space="0" w:color="1B556B"/>
              <w:right w:val="single" w:sz="8" w:space="0" w:color="1B556B"/>
            </w:tcBorders>
            <w:shd w:val="clear" w:color="000000" w:fill="D2DDE1"/>
            <w:vAlign w:val="bottom"/>
            <w:hideMark/>
          </w:tcPr>
          <w:p w14:paraId="136D0CB1"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76.5</w:t>
            </w:r>
          </w:p>
        </w:tc>
        <w:tc>
          <w:tcPr>
            <w:tcW w:w="745" w:type="dxa"/>
            <w:tcBorders>
              <w:top w:val="nil"/>
              <w:left w:val="nil"/>
              <w:bottom w:val="single" w:sz="8" w:space="0" w:color="1B556B"/>
              <w:right w:val="single" w:sz="8" w:space="0" w:color="1B556B"/>
            </w:tcBorders>
            <w:shd w:val="clear" w:color="000000" w:fill="D2DDE1"/>
            <w:vAlign w:val="bottom"/>
            <w:hideMark/>
          </w:tcPr>
          <w:p w14:paraId="598C8F2E"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71.7</w:t>
            </w:r>
          </w:p>
        </w:tc>
        <w:tc>
          <w:tcPr>
            <w:tcW w:w="745" w:type="dxa"/>
            <w:tcBorders>
              <w:top w:val="nil"/>
              <w:left w:val="nil"/>
              <w:bottom w:val="single" w:sz="8" w:space="0" w:color="1B556B"/>
              <w:right w:val="single" w:sz="8" w:space="0" w:color="1B556B"/>
            </w:tcBorders>
            <w:shd w:val="clear" w:color="000000" w:fill="D2DDE1"/>
            <w:vAlign w:val="bottom"/>
            <w:hideMark/>
          </w:tcPr>
          <w:p w14:paraId="005DD05A"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68.6</w:t>
            </w:r>
          </w:p>
        </w:tc>
        <w:tc>
          <w:tcPr>
            <w:tcW w:w="745" w:type="dxa"/>
            <w:tcBorders>
              <w:top w:val="nil"/>
              <w:left w:val="nil"/>
              <w:bottom w:val="single" w:sz="8" w:space="0" w:color="1B556B"/>
              <w:right w:val="single" w:sz="8" w:space="0" w:color="1B556B"/>
            </w:tcBorders>
            <w:shd w:val="clear" w:color="000000" w:fill="D2DDE1"/>
            <w:vAlign w:val="bottom"/>
            <w:hideMark/>
          </w:tcPr>
          <w:p w14:paraId="2A0EAABE"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66.1</w:t>
            </w:r>
          </w:p>
        </w:tc>
        <w:tc>
          <w:tcPr>
            <w:tcW w:w="745" w:type="dxa"/>
            <w:tcBorders>
              <w:top w:val="nil"/>
              <w:left w:val="nil"/>
              <w:bottom w:val="single" w:sz="8" w:space="0" w:color="1B556B"/>
              <w:right w:val="single" w:sz="8" w:space="0" w:color="1B556B"/>
            </w:tcBorders>
            <w:shd w:val="clear" w:color="000000" w:fill="D2DDE1"/>
            <w:vAlign w:val="bottom"/>
            <w:hideMark/>
          </w:tcPr>
          <w:p w14:paraId="0FB90EA6"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64.4</w:t>
            </w:r>
          </w:p>
        </w:tc>
        <w:tc>
          <w:tcPr>
            <w:tcW w:w="745" w:type="dxa"/>
            <w:tcBorders>
              <w:top w:val="nil"/>
              <w:left w:val="nil"/>
              <w:bottom w:val="single" w:sz="8" w:space="0" w:color="1B556B"/>
              <w:right w:val="nil"/>
            </w:tcBorders>
            <w:shd w:val="clear" w:color="000000" w:fill="D2DDE1"/>
            <w:vAlign w:val="bottom"/>
            <w:hideMark/>
          </w:tcPr>
          <w:p w14:paraId="4973AD14"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62.9</w:t>
            </w:r>
          </w:p>
        </w:tc>
      </w:tr>
      <w:tr w:rsidR="00921D1F" w:rsidRPr="00D8284F" w14:paraId="7935F79B" w14:textId="77777777">
        <w:tc>
          <w:tcPr>
            <w:tcW w:w="1134" w:type="dxa"/>
            <w:tcBorders>
              <w:top w:val="nil"/>
              <w:left w:val="nil"/>
              <w:bottom w:val="single" w:sz="8" w:space="0" w:color="1B556B"/>
              <w:right w:val="single" w:sz="8" w:space="0" w:color="1B556B"/>
            </w:tcBorders>
            <w:shd w:val="clear" w:color="auto" w:fill="auto"/>
            <w:vAlign w:val="bottom"/>
            <w:hideMark/>
          </w:tcPr>
          <w:p w14:paraId="6E4FB617" w14:textId="77777777" w:rsidR="00921D1F" w:rsidRPr="00D8284F" w:rsidRDefault="00921D1F">
            <w:pPr>
              <w:pStyle w:val="TableTextbold"/>
              <w:spacing w:before="50" w:after="50" w:line="240" w:lineRule="auto"/>
              <w:rPr>
                <w:rFonts w:asciiTheme="minorHAnsi" w:hAnsiTheme="minorHAnsi" w:cstheme="minorHAnsi"/>
                <w:szCs w:val="18"/>
              </w:rPr>
            </w:pPr>
            <w:r w:rsidRPr="00D8284F">
              <w:rPr>
                <w:rFonts w:asciiTheme="minorHAnsi" w:hAnsiTheme="minorHAnsi" w:cstheme="minorHAnsi"/>
                <w:szCs w:val="18"/>
              </w:rPr>
              <w:t>Total incl LULUCF target accounting</w:t>
            </w:r>
          </w:p>
        </w:tc>
        <w:tc>
          <w:tcPr>
            <w:tcW w:w="666" w:type="dxa"/>
            <w:tcBorders>
              <w:top w:val="nil"/>
              <w:left w:val="nil"/>
              <w:bottom w:val="single" w:sz="8" w:space="0" w:color="1B556B"/>
              <w:right w:val="single" w:sz="8" w:space="0" w:color="1B556B"/>
            </w:tcBorders>
            <w:shd w:val="clear" w:color="auto" w:fill="auto"/>
            <w:vAlign w:val="bottom"/>
            <w:hideMark/>
          </w:tcPr>
          <w:p w14:paraId="03099582"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w:t>
            </w:r>
          </w:p>
        </w:tc>
        <w:tc>
          <w:tcPr>
            <w:tcW w:w="745" w:type="dxa"/>
            <w:tcBorders>
              <w:top w:val="nil"/>
              <w:left w:val="nil"/>
              <w:bottom w:val="single" w:sz="8" w:space="0" w:color="1B556B"/>
              <w:right w:val="single" w:sz="8" w:space="0" w:color="1B556B"/>
            </w:tcBorders>
            <w:shd w:val="clear" w:color="auto" w:fill="auto"/>
            <w:vAlign w:val="bottom"/>
            <w:hideMark/>
          </w:tcPr>
          <w:p w14:paraId="21B9472A"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w:t>
            </w:r>
          </w:p>
        </w:tc>
        <w:tc>
          <w:tcPr>
            <w:tcW w:w="745" w:type="dxa"/>
            <w:tcBorders>
              <w:top w:val="nil"/>
              <w:left w:val="nil"/>
              <w:bottom w:val="single" w:sz="8" w:space="0" w:color="1B556B"/>
              <w:right w:val="single" w:sz="8" w:space="0" w:color="1B556B"/>
            </w:tcBorders>
            <w:shd w:val="clear" w:color="auto" w:fill="auto"/>
            <w:vAlign w:val="bottom"/>
            <w:hideMark/>
          </w:tcPr>
          <w:p w14:paraId="5BEBCCCE"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w:t>
            </w:r>
          </w:p>
        </w:tc>
        <w:tc>
          <w:tcPr>
            <w:tcW w:w="745" w:type="dxa"/>
            <w:tcBorders>
              <w:top w:val="nil"/>
              <w:left w:val="nil"/>
              <w:bottom w:val="single" w:sz="8" w:space="0" w:color="1B556B"/>
              <w:right w:val="single" w:sz="8" w:space="0" w:color="1B556B"/>
            </w:tcBorders>
            <w:shd w:val="clear" w:color="auto" w:fill="auto"/>
            <w:vAlign w:val="bottom"/>
            <w:hideMark/>
          </w:tcPr>
          <w:p w14:paraId="001CF4AC"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75.7</w:t>
            </w:r>
          </w:p>
        </w:tc>
        <w:tc>
          <w:tcPr>
            <w:tcW w:w="745" w:type="dxa"/>
            <w:tcBorders>
              <w:top w:val="nil"/>
              <w:left w:val="nil"/>
              <w:bottom w:val="single" w:sz="8" w:space="0" w:color="1B556B"/>
              <w:right w:val="single" w:sz="8" w:space="0" w:color="1B556B"/>
            </w:tcBorders>
            <w:shd w:val="clear" w:color="000000" w:fill="D2DDE1"/>
            <w:vAlign w:val="bottom"/>
            <w:hideMark/>
          </w:tcPr>
          <w:p w14:paraId="71E32B4B"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69.1</w:t>
            </w:r>
          </w:p>
        </w:tc>
        <w:tc>
          <w:tcPr>
            <w:tcW w:w="745" w:type="dxa"/>
            <w:tcBorders>
              <w:top w:val="nil"/>
              <w:left w:val="nil"/>
              <w:bottom w:val="single" w:sz="8" w:space="0" w:color="1B556B"/>
              <w:right w:val="single" w:sz="8" w:space="0" w:color="1B556B"/>
            </w:tcBorders>
            <w:shd w:val="clear" w:color="000000" w:fill="D2DDE1"/>
            <w:vAlign w:val="bottom"/>
            <w:hideMark/>
          </w:tcPr>
          <w:p w14:paraId="3300E106"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56.7</w:t>
            </w:r>
          </w:p>
        </w:tc>
        <w:tc>
          <w:tcPr>
            <w:tcW w:w="745" w:type="dxa"/>
            <w:tcBorders>
              <w:top w:val="nil"/>
              <w:left w:val="nil"/>
              <w:bottom w:val="single" w:sz="8" w:space="0" w:color="1B556B"/>
              <w:right w:val="single" w:sz="8" w:space="0" w:color="1B556B"/>
            </w:tcBorders>
            <w:shd w:val="clear" w:color="000000" w:fill="D2DDE1"/>
            <w:vAlign w:val="bottom"/>
            <w:hideMark/>
          </w:tcPr>
          <w:p w14:paraId="43C55FF2"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51.2</w:t>
            </w:r>
          </w:p>
        </w:tc>
        <w:tc>
          <w:tcPr>
            <w:tcW w:w="745" w:type="dxa"/>
            <w:tcBorders>
              <w:top w:val="nil"/>
              <w:left w:val="nil"/>
              <w:bottom w:val="single" w:sz="8" w:space="0" w:color="1B556B"/>
              <w:right w:val="single" w:sz="8" w:space="0" w:color="1B556B"/>
            </w:tcBorders>
            <w:shd w:val="clear" w:color="000000" w:fill="D2DDE1"/>
            <w:vAlign w:val="bottom"/>
            <w:hideMark/>
          </w:tcPr>
          <w:p w14:paraId="05FEACAC"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43.2</w:t>
            </w:r>
          </w:p>
        </w:tc>
        <w:tc>
          <w:tcPr>
            <w:tcW w:w="745" w:type="dxa"/>
            <w:tcBorders>
              <w:top w:val="nil"/>
              <w:left w:val="nil"/>
              <w:bottom w:val="single" w:sz="8" w:space="0" w:color="1B556B"/>
              <w:right w:val="single" w:sz="8" w:space="0" w:color="1B556B"/>
            </w:tcBorders>
            <w:shd w:val="clear" w:color="000000" w:fill="D2DDE1"/>
            <w:vAlign w:val="bottom"/>
            <w:hideMark/>
          </w:tcPr>
          <w:p w14:paraId="1632E93A"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39.7</w:t>
            </w:r>
          </w:p>
        </w:tc>
        <w:tc>
          <w:tcPr>
            <w:tcW w:w="745" w:type="dxa"/>
            <w:tcBorders>
              <w:top w:val="nil"/>
              <w:left w:val="nil"/>
              <w:bottom w:val="single" w:sz="8" w:space="0" w:color="1B556B"/>
              <w:right w:val="nil"/>
            </w:tcBorders>
            <w:shd w:val="clear" w:color="000000" w:fill="D2DDE1"/>
            <w:vAlign w:val="bottom"/>
            <w:hideMark/>
          </w:tcPr>
          <w:p w14:paraId="3A2A0606" w14:textId="77777777" w:rsidR="00921D1F" w:rsidRPr="00D8284F" w:rsidRDefault="00921D1F">
            <w:pPr>
              <w:pStyle w:val="TableTextbold"/>
              <w:spacing w:before="50" w:after="50" w:line="240" w:lineRule="auto"/>
              <w:jc w:val="center"/>
              <w:rPr>
                <w:rFonts w:asciiTheme="minorHAnsi" w:hAnsiTheme="minorHAnsi" w:cstheme="minorHAnsi"/>
                <w:szCs w:val="18"/>
              </w:rPr>
            </w:pPr>
            <w:r w:rsidRPr="00D8284F">
              <w:rPr>
                <w:rFonts w:asciiTheme="minorHAnsi" w:hAnsiTheme="minorHAnsi" w:cstheme="minorHAnsi"/>
                <w:szCs w:val="18"/>
              </w:rPr>
              <w:t>41.2</w:t>
            </w:r>
          </w:p>
        </w:tc>
      </w:tr>
    </w:tbl>
    <w:p w14:paraId="2668F6F0" w14:textId="763CB965" w:rsidR="00921D1F" w:rsidRPr="00DA3DD4" w:rsidRDefault="00921D1F" w:rsidP="00921D1F">
      <w:pPr>
        <w:pStyle w:val="Note"/>
      </w:pPr>
      <w:r w:rsidRPr="00DA3DD4">
        <w:rPr>
          <w:b/>
          <w:bCs/>
        </w:rPr>
        <w:t>Note:</w:t>
      </w:r>
      <w:r w:rsidRPr="00DA3DD4">
        <w:t xml:space="preserve"> CH</w:t>
      </w:r>
      <w:r w:rsidRPr="00DA3DD4">
        <w:rPr>
          <w:vertAlign w:val="subscript"/>
        </w:rPr>
        <w:t>4</w:t>
      </w:r>
      <w:r w:rsidRPr="00DA3DD4">
        <w:t xml:space="preserve"> = methane; CO</w:t>
      </w:r>
      <w:r w:rsidRPr="00DA3DD4">
        <w:rPr>
          <w:vertAlign w:val="subscript"/>
        </w:rPr>
        <w:t>2</w:t>
      </w:r>
      <w:r w:rsidRPr="00DA3DD4">
        <w:t xml:space="preserve"> = carbon dioxide; HFCs = hydrofluorocarbons; IPPU = </w:t>
      </w:r>
      <w:r w:rsidR="000373F5" w:rsidRPr="004C2DCD">
        <w:t>Industrial Processes and Product Use</w:t>
      </w:r>
      <w:r w:rsidRPr="00DA3DD4">
        <w:t>; LULUCF = Land Use, Land-Use Change and Forestry; N</w:t>
      </w:r>
      <w:r w:rsidRPr="00DA3DD4">
        <w:rPr>
          <w:vertAlign w:val="subscript"/>
        </w:rPr>
        <w:t>2</w:t>
      </w:r>
      <w:r w:rsidRPr="00DA3DD4">
        <w:t>O = nitrous oxide; PFCs = perfluorocarbons; SF</w:t>
      </w:r>
      <w:r w:rsidRPr="00DA3DD4">
        <w:rPr>
          <w:sz w:val="14"/>
          <w:szCs w:val="14"/>
          <w:vertAlign w:val="subscript"/>
        </w:rPr>
        <w:t>6</w:t>
      </w:r>
      <w:r w:rsidRPr="00DA3DD4">
        <w:rPr>
          <w:sz w:val="14"/>
          <w:szCs w:val="14"/>
        </w:rPr>
        <w:t xml:space="preserve"> </w:t>
      </w:r>
      <w:r w:rsidRPr="00DA3DD4">
        <w:t>= sulphur hexafluoride.</w:t>
      </w:r>
    </w:p>
    <w:p w14:paraId="23D611F5" w14:textId="77777777" w:rsidR="00921D1F" w:rsidRPr="00DA3DD4" w:rsidRDefault="00921D1F" w:rsidP="003A2FC7">
      <w:pPr>
        <w:pStyle w:val="Heading2"/>
        <w:numPr>
          <w:ilvl w:val="0"/>
          <w:numId w:val="120"/>
        </w:numPr>
        <w:tabs>
          <w:tab w:val="left" w:pos="1134"/>
        </w:tabs>
        <w:ind w:left="1134" w:hanging="1134"/>
      </w:pPr>
      <w:bookmarkStart w:id="723" w:name="_Toc184825534"/>
      <w:r w:rsidRPr="00DA3DD4">
        <w:t>Projections of components of the indicator</w:t>
      </w:r>
      <w:bookmarkEnd w:id="723"/>
      <w:r w:rsidRPr="00DA3DD4">
        <w:t xml:space="preserve"> </w:t>
      </w:r>
    </w:p>
    <w:p w14:paraId="667BA364" w14:textId="77777777" w:rsidR="00921D1F" w:rsidRPr="00DA3DD4" w:rsidRDefault="00921D1F" w:rsidP="00921D1F">
      <w:pPr>
        <w:pStyle w:val="BodyText"/>
        <w:spacing w:after="100"/>
      </w:pPr>
      <w:r w:rsidRPr="00DA3DD4">
        <w:t xml:space="preserve">The indicator, annual net target accounting emissions, is made up of three components: </w:t>
      </w:r>
    </w:p>
    <w:p w14:paraId="303826CB" w14:textId="77777777" w:rsidR="00921D1F" w:rsidRPr="00DA3DD4" w:rsidRDefault="00921D1F" w:rsidP="00B4724C">
      <w:pPr>
        <w:pStyle w:val="Numberedparagraph"/>
        <w:numPr>
          <w:ilvl w:val="0"/>
          <w:numId w:val="138"/>
        </w:numPr>
        <w:spacing w:after="100"/>
      </w:pPr>
      <w:r w:rsidRPr="00DA3DD4">
        <w:t>gross emissions</w:t>
      </w:r>
    </w:p>
    <w:p w14:paraId="75351010" w14:textId="1AFD1696" w:rsidR="00921D1F" w:rsidRPr="00DA3DD4" w:rsidRDefault="00921D1F" w:rsidP="00921D1F">
      <w:pPr>
        <w:pStyle w:val="Numberedparagraph"/>
        <w:spacing w:after="100"/>
      </w:pPr>
      <w:r w:rsidRPr="00DA3DD4">
        <w:t xml:space="preserve">LULUCF target accounting quantities (a subset of </w:t>
      </w:r>
      <w:r w:rsidR="00B67BC9">
        <w:t>Land Use, Land-Use Change and Forestry</w:t>
      </w:r>
      <w:r w:rsidRPr="00DA3DD4">
        <w:t xml:space="preserve"> emissions and removals)</w:t>
      </w:r>
    </w:p>
    <w:p w14:paraId="0FB6193F" w14:textId="77777777" w:rsidR="00921D1F" w:rsidRPr="00DA3DD4" w:rsidRDefault="00921D1F" w:rsidP="00921D1F">
      <w:pPr>
        <w:pStyle w:val="Numberedparagraph"/>
        <w:spacing w:after="100"/>
      </w:pPr>
      <w:r w:rsidRPr="00DA3DD4">
        <w:t xml:space="preserve">may include cooperative approaches that involve the use of internationally transferred mitigation outcomes. </w:t>
      </w:r>
    </w:p>
    <w:p w14:paraId="57F33ADC" w14:textId="77777777" w:rsidR="00921D1F" w:rsidRPr="00DA3DD4" w:rsidRDefault="00921D1F" w:rsidP="00921D1F">
      <w:pPr>
        <w:pStyle w:val="BodyText"/>
      </w:pPr>
      <w:r w:rsidRPr="00DA3DD4">
        <w:t xml:space="preserve">This section provides details of the trends and methodology for projections of each component. </w:t>
      </w:r>
    </w:p>
    <w:p w14:paraId="2925F3DF" w14:textId="77777777" w:rsidR="00921D1F" w:rsidRPr="00DA3DD4" w:rsidRDefault="00921D1F" w:rsidP="00784F5F">
      <w:pPr>
        <w:pStyle w:val="Heading3"/>
        <w:numPr>
          <w:ilvl w:val="0"/>
          <w:numId w:val="121"/>
        </w:numPr>
        <w:tabs>
          <w:tab w:val="left" w:pos="1134"/>
        </w:tabs>
      </w:pPr>
      <w:bookmarkStart w:id="724" w:name="section2631"/>
      <w:bookmarkEnd w:id="724"/>
      <w:r w:rsidRPr="00DA3DD4">
        <w:t>Gross emissions</w:t>
      </w:r>
    </w:p>
    <w:p w14:paraId="300985B5" w14:textId="265F58A6" w:rsidR="00921D1F" w:rsidRPr="00DA3DD4" w:rsidRDefault="003A2FC7" w:rsidP="00921D1F">
      <w:pPr>
        <w:pStyle w:val="Heading4"/>
        <w:spacing w:before="180"/>
      </w:pPr>
      <w:r>
        <w:t>2.6.3.1.1.</w:t>
      </w:r>
      <w:r>
        <w:tab/>
      </w:r>
      <w:r w:rsidR="00921D1F" w:rsidRPr="00DA3DD4">
        <w:t>Trends</w:t>
      </w:r>
    </w:p>
    <w:p w14:paraId="785B4678" w14:textId="367B1BAB" w:rsidR="00921D1F" w:rsidRPr="00DA3DD4" w:rsidRDefault="00921D1F" w:rsidP="00921D1F">
      <w:pPr>
        <w:pStyle w:val="BodyText"/>
        <w:spacing w:before="100" w:after="100"/>
      </w:pPr>
      <w:r w:rsidRPr="00DA3DD4">
        <w:t xml:space="preserve">Trends in New Zealand’s historical gross emissions are described in </w:t>
      </w:r>
      <w:hyperlink w:anchor="section252" w:history="1">
        <w:r w:rsidRPr="001A5934">
          <w:rPr>
            <w:rStyle w:val="Hyperlink"/>
          </w:rPr>
          <w:t>section 2.5.2</w:t>
        </w:r>
      </w:hyperlink>
      <w:r w:rsidRPr="00DA3DD4">
        <w:t>.</w:t>
      </w:r>
    </w:p>
    <w:p w14:paraId="60AB6200" w14:textId="77777777" w:rsidR="00921D1F" w:rsidRPr="00DA3DD4" w:rsidRDefault="00921D1F" w:rsidP="00921D1F">
      <w:pPr>
        <w:pStyle w:val="BodyText"/>
        <w:spacing w:before="100" w:after="100"/>
      </w:pPr>
      <w:r w:rsidRPr="00DA3DD4">
        <w:t xml:space="preserve">Details of the historical trends by sector in New Zealand’s gross emissions are provided in sections 2.5.4.1 (Energy), 2.5.4.2 (Transport), 2.5.4.3 (Industrial Processes and Product Use), 2.5.4.4 (Agriculture), 2.5.4.5 (Waste) and 2.5.4.6 (Tokelau). </w:t>
      </w:r>
    </w:p>
    <w:p w14:paraId="29DB964F" w14:textId="17E2E2A5" w:rsidR="00921D1F" w:rsidRPr="00DA3DD4" w:rsidRDefault="003A2FC7" w:rsidP="00921D1F">
      <w:pPr>
        <w:pStyle w:val="Heading4"/>
      </w:pPr>
      <w:r>
        <w:t>2.6.3.1.2</w:t>
      </w:r>
      <w:r>
        <w:tab/>
      </w:r>
      <w:r w:rsidR="00921D1F" w:rsidRPr="00DA3DD4">
        <w:t>Methodology</w:t>
      </w:r>
    </w:p>
    <w:p w14:paraId="68221549" w14:textId="50275B72" w:rsidR="00921D1F" w:rsidRPr="00DA3DD4" w:rsidRDefault="00921D1F" w:rsidP="00921D1F">
      <w:pPr>
        <w:pStyle w:val="BodyText"/>
        <w:spacing w:before="100" w:after="100"/>
      </w:pPr>
      <w:r w:rsidRPr="00DA3DD4">
        <w:t xml:space="preserve">The methodology for projections of emissions sources of New Zealand’s gross emissions is provided by sector in </w:t>
      </w:r>
      <w:hyperlink w:anchor="section2553" w:history="1">
        <w:r w:rsidRPr="00C5122E">
          <w:rPr>
            <w:rStyle w:val="Hyperlink"/>
          </w:rPr>
          <w:t>section 2.5.5.3</w:t>
        </w:r>
      </w:hyperlink>
      <w:r w:rsidRPr="00DA3DD4">
        <w:t xml:space="preserve"> for Energy, Transport, Industrial Processes and Product Use, Agriculture, Waste and Tokelau. </w:t>
      </w:r>
    </w:p>
    <w:p w14:paraId="7E978162" w14:textId="7A582628" w:rsidR="00921D1F" w:rsidRPr="00DA3DD4" w:rsidRDefault="00B67BC9" w:rsidP="00A3676B">
      <w:pPr>
        <w:pStyle w:val="Heading3"/>
        <w:numPr>
          <w:ilvl w:val="0"/>
          <w:numId w:val="121"/>
        </w:numPr>
        <w:tabs>
          <w:tab w:val="left" w:pos="1134"/>
        </w:tabs>
        <w:ind w:left="1134" w:hanging="1134"/>
      </w:pPr>
      <w:bookmarkStart w:id="725" w:name="section2632"/>
      <w:bookmarkStart w:id="726" w:name="_Hlk175726743"/>
      <w:bookmarkEnd w:id="725"/>
      <w:r>
        <w:t>Land Use, Land-Use Change and Forestry</w:t>
      </w:r>
      <w:r w:rsidR="00921D1F" w:rsidRPr="00DA3DD4">
        <w:t xml:space="preserve"> target accounting quantities </w:t>
      </w:r>
    </w:p>
    <w:p w14:paraId="154B9413" w14:textId="77777777" w:rsidR="00921D1F" w:rsidRPr="00DA3DD4" w:rsidRDefault="00921D1F" w:rsidP="00921D1F">
      <w:pPr>
        <w:pStyle w:val="BodyText"/>
        <w:spacing w:before="100" w:after="100"/>
      </w:pPr>
      <w:r w:rsidRPr="00DA3DD4">
        <w:t xml:space="preserve">The projections for LULUCF target accounting quantities differ from the LULUCF sector emissions covered in section 2.5. This is because New Zealand is applying accounting rules to the LULUCF sector. </w:t>
      </w:r>
    </w:p>
    <w:p w14:paraId="0F7C5FF7" w14:textId="77777777" w:rsidR="00921D1F" w:rsidRPr="00DA3DD4" w:rsidRDefault="00921D1F" w:rsidP="00921D1F">
      <w:pPr>
        <w:pStyle w:val="BodyText"/>
        <w:spacing w:before="100" w:after="100"/>
      </w:pPr>
      <w:r w:rsidRPr="00DA3DD4">
        <w:t>LULUCF target accounting projections are used to assess the net additional impact on the atmosphere of carbon fluxes from eligible activities</w:t>
      </w:r>
      <w:r w:rsidRPr="00DA3DD4">
        <w:rPr>
          <w:rStyle w:val="FootnoteReference"/>
        </w:rPr>
        <w:footnoteReference w:id="202"/>
      </w:r>
      <w:r w:rsidRPr="00DA3DD4">
        <w:t xml:space="preserve"> that occur during the period covered by the emissions reduction commitment. Similar LULUCF target accounting rules were</w:t>
      </w:r>
      <w:r w:rsidRPr="00DA3DD4" w:rsidDel="002E75CD">
        <w:t xml:space="preserve"> </w:t>
      </w:r>
      <w:r w:rsidRPr="00DA3DD4">
        <w:t>applied for measuring progress towards New Zealand’s previous Kyoto Protocol targets, and a modified version of the Kyoto Protocol accounting rules is being applied for tracking progress towards the first Nationally Determined Contribution (NDC1). It is also used for reporting against New Zealand’s domestic net zero target by 2050 and tracking progress to meet domestic emissions budgets.</w:t>
      </w:r>
    </w:p>
    <w:p w14:paraId="317A5003" w14:textId="70A6BC2F" w:rsidR="00921D1F" w:rsidRPr="00DA3DD4" w:rsidRDefault="00921D1F" w:rsidP="00921D1F">
      <w:pPr>
        <w:pStyle w:val="BodyText"/>
        <w:spacing w:before="100" w:after="100"/>
        <w:rPr>
          <w:rFonts w:eastAsia="Times New Roman"/>
        </w:rPr>
      </w:pPr>
      <w:r w:rsidRPr="00DA3DD4">
        <w:t xml:space="preserve">The methodology being applied to obtain New Zealand’s LULUCF target accounting quantities is set out in sections 2.3.4.2, 2.3.4.3, 2.3.4.4 and 2.3.4.5. </w:t>
      </w:r>
      <w:r w:rsidRPr="00DA3DD4">
        <w:rPr>
          <w:rFonts w:eastAsia="Times New Roman"/>
        </w:rPr>
        <w:t xml:space="preserve">The LULUCF target accounting projections presented here only include emissions and removals from the following eligible activities: </w:t>
      </w:r>
      <w:r w:rsidRPr="00DA3DD4">
        <w:rPr>
          <w:rFonts w:eastAsia="Times New Roman"/>
          <w:i/>
          <w:iCs/>
        </w:rPr>
        <w:t>Afforestation</w:t>
      </w:r>
      <w:r w:rsidRPr="00DA3DD4">
        <w:rPr>
          <w:rFonts w:eastAsia="Times New Roman"/>
          <w:i/>
        </w:rPr>
        <w:t xml:space="preserve"> and reforestation</w:t>
      </w:r>
      <w:r w:rsidRPr="00DA3DD4">
        <w:rPr>
          <w:rFonts w:eastAsia="Times New Roman"/>
        </w:rPr>
        <w:t xml:space="preserve"> and </w:t>
      </w:r>
      <w:r w:rsidRPr="00DA3DD4">
        <w:rPr>
          <w:rFonts w:eastAsia="Times New Roman"/>
          <w:i/>
          <w:iCs/>
        </w:rPr>
        <w:t>D</w:t>
      </w:r>
      <w:r w:rsidRPr="00DA3DD4">
        <w:rPr>
          <w:rFonts w:eastAsia="Times New Roman"/>
          <w:i/>
        </w:rPr>
        <w:t>eforestation</w:t>
      </w:r>
      <w:r w:rsidRPr="00DA3DD4">
        <w:rPr>
          <w:rFonts w:eastAsia="Times New Roman"/>
        </w:rPr>
        <w:t xml:space="preserve">. While we are also accounting for </w:t>
      </w:r>
      <w:r w:rsidRPr="00DA3DD4">
        <w:rPr>
          <w:rFonts w:eastAsia="Times New Roman"/>
          <w:i/>
        </w:rPr>
        <w:t>Forest management</w:t>
      </w:r>
      <w:r w:rsidRPr="00DA3DD4" w:rsidDel="00616C8C">
        <w:rPr>
          <w:rFonts w:eastAsia="Times New Roman"/>
        </w:rPr>
        <w:t xml:space="preserve"> </w:t>
      </w:r>
      <w:r w:rsidRPr="00DA3DD4">
        <w:rPr>
          <w:rFonts w:eastAsia="Times New Roman"/>
        </w:rPr>
        <w:t xml:space="preserve">activities, net emissions from these activities are expected to be as projected in the Forest Reference Level, against which these activities are accounted for. </w:t>
      </w:r>
      <w:r w:rsidRPr="00DA3DD4">
        <w:t>More detail on the accounting methodology for LULUCF target accounting projections can be found later in this section</w:t>
      </w:r>
      <w:r w:rsidRPr="00DA3DD4">
        <w:rPr>
          <w:rFonts w:eastAsia="Times New Roman"/>
        </w:rPr>
        <w:t xml:space="preserve"> and </w:t>
      </w:r>
      <w:hyperlink w:anchor="annex2" w:history="1">
        <w:r w:rsidRPr="00AA7CD5">
          <w:rPr>
            <w:rStyle w:val="Hyperlink"/>
            <w:rFonts w:eastAsia="Times New Roman"/>
          </w:rPr>
          <w:t>annex 2</w:t>
        </w:r>
      </w:hyperlink>
      <w:r w:rsidRPr="00DA3DD4">
        <w:rPr>
          <w:rFonts w:eastAsia="Times New Roman"/>
        </w:rPr>
        <w:t>.</w:t>
      </w:r>
    </w:p>
    <w:p w14:paraId="3C5C4F4B" w14:textId="64AA0B71" w:rsidR="00921D1F" w:rsidRPr="00DA3DD4" w:rsidRDefault="000501F2" w:rsidP="00921D1F">
      <w:pPr>
        <w:pStyle w:val="Heading4"/>
      </w:pPr>
      <w:r>
        <w:t>2.6.3.2.1</w:t>
      </w:r>
      <w:r>
        <w:tab/>
      </w:r>
      <w:r w:rsidR="00921D1F" w:rsidRPr="00DA3DD4">
        <w:t xml:space="preserve">Trends </w:t>
      </w:r>
    </w:p>
    <w:p w14:paraId="3C5ABFAC" w14:textId="77777777" w:rsidR="00921D1F" w:rsidRPr="00DA3DD4" w:rsidRDefault="00921D1F" w:rsidP="00921D1F">
      <w:pPr>
        <w:pStyle w:val="BodyText"/>
        <w:spacing w:before="100" w:after="100"/>
        <w:rPr>
          <w:rFonts w:asciiTheme="minorHAnsi" w:hAnsiTheme="minorHAnsi"/>
        </w:rPr>
      </w:pPr>
      <w:r w:rsidRPr="00DA3DD4">
        <w:t xml:space="preserve">Historical and projected net LULUCF target accounting quantities are shown in figure 2.6.2. The decrease from around 2023 can be attributed to total projected </w:t>
      </w:r>
      <w:r w:rsidRPr="00DA3DD4">
        <w:rPr>
          <w:rFonts w:asciiTheme="minorHAnsi" w:hAnsiTheme="minorHAnsi"/>
        </w:rPr>
        <w:t xml:space="preserve">afforestation of around 851,500 hectares over 2023 to 2050 and around 1,822 hectares per year of projected deforestation from 2023. The projected increase in the 2040s can largely be attributed to production forests first planted in the early 2020s reaching their long-term average carbon stock and no longer contributing removals under </w:t>
      </w:r>
      <w:r w:rsidRPr="00DA3DD4">
        <w:rPr>
          <w:rFonts w:asciiTheme="minorHAnsi" w:hAnsiTheme="minorHAnsi"/>
          <w:i/>
        </w:rPr>
        <w:t xml:space="preserve">Afforestation and </w:t>
      </w:r>
      <w:r w:rsidRPr="00DA3DD4">
        <w:rPr>
          <w:rFonts w:asciiTheme="minorHAnsi" w:hAnsiTheme="minorHAnsi"/>
          <w:i/>
          <w:iCs/>
        </w:rPr>
        <w:t>reforestation</w:t>
      </w:r>
      <w:r w:rsidRPr="00DA3DD4">
        <w:rPr>
          <w:rFonts w:asciiTheme="minorHAnsi" w:hAnsiTheme="minorHAnsi"/>
        </w:rPr>
        <w:t>.</w:t>
      </w:r>
    </w:p>
    <w:p w14:paraId="0077F1A5" w14:textId="4D9209B1" w:rsidR="00921D1F" w:rsidRPr="00DA3DD4" w:rsidRDefault="00921D1F" w:rsidP="00921D1F">
      <w:pPr>
        <w:pStyle w:val="Figureheading"/>
        <w:spacing w:after="40"/>
        <w:ind w:left="1276" w:hanging="1276"/>
      </w:pPr>
      <w:bookmarkStart w:id="727" w:name="_Toc185347275"/>
      <w:r w:rsidRPr="00DA3DD4">
        <w:t xml:space="preserve">Figure 2.6.2: </w:t>
      </w:r>
      <w:r w:rsidRPr="00DA3DD4">
        <w:tab/>
        <w:t>Historical and projected net LULUCF target accounting quantities (‘with existing measures’ scenario), 2020–2050</w:t>
      </w:r>
      <w:bookmarkEnd w:id="727"/>
    </w:p>
    <w:p w14:paraId="147DF759" w14:textId="72F2EF2B" w:rsidR="00921D1F" w:rsidRPr="00DA3DD4" w:rsidRDefault="00D428D4" w:rsidP="00642E32">
      <w:pPr>
        <w:pStyle w:val="BodyText"/>
        <w:jc w:val="center"/>
        <w:rPr>
          <w:rFonts w:eastAsia="Times New Roman" w:cs="Calibri"/>
          <w:sz w:val="24"/>
          <w:szCs w:val="24"/>
        </w:rPr>
      </w:pPr>
      <w:r>
        <w:rPr>
          <w:noProof/>
        </w:rPr>
        <w:drawing>
          <wp:inline distT="0" distB="0" distL="0" distR="0" wp14:anchorId="35290774" wp14:editId="485155F3">
            <wp:extent cx="4940968" cy="2743200"/>
            <wp:effectExtent l="0" t="0" r="0" b="0"/>
            <wp:docPr id="1490070205" name="Picture 24" descr="A line graph showing historical and projected net the Land-use, Land-use Change and Forestry sector target accounting quantities (‘with existing measures’ scenario) for the period 2020 to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70205" name="Picture 24" descr="A line graph showing historical and projected net the Land-use, Land-use Change and Forestry sector target accounting quantities (‘with existing measures’ scenario) for the period 2020 to 205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965671" cy="2756915"/>
                    </a:xfrm>
                    <a:prstGeom prst="rect">
                      <a:avLst/>
                    </a:prstGeom>
                    <a:noFill/>
                  </pic:spPr>
                </pic:pic>
              </a:graphicData>
            </a:graphic>
          </wp:inline>
        </w:drawing>
      </w:r>
    </w:p>
    <w:p w14:paraId="3F86D1D9" w14:textId="77777777" w:rsidR="00921D1F" w:rsidRPr="00DA3DD4" w:rsidRDefault="00921D1F" w:rsidP="00921D1F">
      <w:pPr>
        <w:pStyle w:val="Note"/>
        <w:spacing w:before="0"/>
        <w:rPr>
          <w:rFonts w:eastAsia="Times New Roman" w:cs="Calibri"/>
          <w:b/>
          <w:bCs/>
          <w:sz w:val="20"/>
          <w:szCs w:val="20"/>
        </w:rPr>
      </w:pPr>
      <w:r w:rsidRPr="00DA3DD4">
        <w:rPr>
          <w:rFonts w:eastAsia="Times New Roman" w:cs="Times New Roman"/>
          <w:b/>
          <w:bCs/>
        </w:rPr>
        <w:t>Note:</w:t>
      </w:r>
      <w:r w:rsidRPr="00DA3DD4">
        <w:t xml:space="preserve"> LULUCF = Land Use, Land-Use Change and Forestry; Mt CO</w:t>
      </w:r>
      <w:r w:rsidRPr="00DA3DD4">
        <w:rPr>
          <w:rFonts w:eastAsia="Times New Roman" w:cs="Times New Roman"/>
          <w:vertAlign w:val="subscript"/>
        </w:rPr>
        <w:t>2</w:t>
      </w:r>
      <w:r w:rsidRPr="00DA3DD4">
        <w:t xml:space="preserve">e = </w:t>
      </w:r>
      <w:r w:rsidRPr="00DA3DD4">
        <w:rPr>
          <w:rFonts w:eastAsia="Calibri" w:cs="Calibri"/>
        </w:rPr>
        <w:t xml:space="preserve">million tonnes of </w:t>
      </w:r>
      <w:r w:rsidRPr="00DA3DD4">
        <w:t>carbon dioxide equivalent.</w:t>
      </w:r>
    </w:p>
    <w:p w14:paraId="322D3FDF" w14:textId="6973FAA0" w:rsidR="00921D1F" w:rsidRPr="00DA3DD4" w:rsidRDefault="00921D1F" w:rsidP="00921D1F">
      <w:pPr>
        <w:pStyle w:val="BodyText"/>
      </w:pPr>
      <w:r w:rsidRPr="00DA3DD4">
        <w:t>Projections for carbon dioxide, methane and nitrous oxide are provided in table 2.6.3. The trend in historical and projected net LULUCF target accounting quantities is predomina</w:t>
      </w:r>
      <w:r w:rsidR="00261ED1">
        <w:t>ntly</w:t>
      </w:r>
      <w:r w:rsidRPr="00DA3DD4">
        <w:t xml:space="preserve"> driven by net removals of carbon dioxide. The emissions of methane and nitrous oxide have a small effect on the net total. </w:t>
      </w:r>
    </w:p>
    <w:p w14:paraId="0CF81B7E" w14:textId="1C2C6AED" w:rsidR="00921D1F" w:rsidRPr="00DA3DD4" w:rsidRDefault="00921D1F" w:rsidP="00921D1F">
      <w:pPr>
        <w:pStyle w:val="Tableheading"/>
      </w:pPr>
      <w:bookmarkStart w:id="728" w:name="_Toc185407499"/>
      <w:bookmarkStart w:id="729" w:name="_Toc185427762"/>
      <w:r w:rsidRPr="00DA3DD4">
        <w:t xml:space="preserve">Table 2.6.3: </w:t>
      </w:r>
      <w:r w:rsidRPr="00DA3DD4">
        <w:tab/>
      </w:r>
      <w:r w:rsidRPr="00DA3DD4" w:rsidDel="00C304A6">
        <w:t xml:space="preserve">Historical and </w:t>
      </w:r>
      <w:r w:rsidRPr="00DA3DD4">
        <w:t>projected LULUCF target accounting quantities by gas under the ‘with existing measures’ scenario, 2020–</w:t>
      </w:r>
      <w:r w:rsidRPr="00DA3DD4" w:rsidDel="009549BE">
        <w:t>20</w:t>
      </w:r>
      <w:r w:rsidRPr="00DA3DD4">
        <w:t>50 (Mt CO</w:t>
      </w:r>
      <w:r w:rsidRPr="00DA3DD4">
        <w:rPr>
          <w:sz w:val="16"/>
          <w:szCs w:val="16"/>
          <w:vertAlign w:val="subscript"/>
        </w:rPr>
        <w:t>2</w:t>
      </w:r>
      <w:r w:rsidRPr="00DA3DD4">
        <w:t>e)</w:t>
      </w:r>
      <w:bookmarkEnd w:id="728"/>
      <w:bookmarkEnd w:id="729"/>
      <w:r w:rsidRPr="00DA3DD4">
        <w:t> </w:t>
      </w:r>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85" w:type="dxa"/>
          <w:right w:w="85" w:type="dxa"/>
        </w:tblCellMar>
        <w:tblLook w:val="04A0" w:firstRow="1" w:lastRow="0" w:firstColumn="1" w:lastColumn="0" w:noHBand="0" w:noVBand="1"/>
      </w:tblPr>
      <w:tblGrid>
        <w:gridCol w:w="1261"/>
        <w:gridCol w:w="1035"/>
        <w:gridCol w:w="1036"/>
        <w:gridCol w:w="1034"/>
        <w:gridCol w:w="1035"/>
        <w:gridCol w:w="1034"/>
        <w:gridCol w:w="1035"/>
        <w:gridCol w:w="1035"/>
      </w:tblGrid>
      <w:tr w:rsidR="00921D1F" w:rsidRPr="00D8284F" w14:paraId="218ABDCB" w14:textId="77777777">
        <w:tc>
          <w:tcPr>
            <w:tcW w:w="1218" w:type="dxa"/>
            <w:shd w:val="clear" w:color="000000" w:fill="1B556B"/>
            <w:vAlign w:val="center"/>
            <w:hideMark/>
          </w:tcPr>
          <w:p w14:paraId="25435D35" w14:textId="77777777" w:rsidR="00921D1F" w:rsidRPr="00D8284F" w:rsidRDefault="00921D1F">
            <w:pPr>
              <w:pStyle w:val="TableTextbold"/>
              <w:keepNext/>
              <w:spacing w:before="40" w:after="0"/>
              <w:rPr>
                <w:color w:val="FFFFFF" w:themeColor="background1"/>
                <w:szCs w:val="18"/>
              </w:rPr>
            </w:pPr>
            <w:r w:rsidRPr="00D8284F">
              <w:rPr>
                <w:color w:val="FFFFFF" w:themeColor="background1"/>
                <w:szCs w:val="18"/>
              </w:rPr>
              <w:t> </w:t>
            </w:r>
          </w:p>
        </w:tc>
        <w:tc>
          <w:tcPr>
            <w:tcW w:w="1000" w:type="dxa"/>
            <w:shd w:val="clear" w:color="000000" w:fill="1B556B"/>
            <w:vAlign w:val="center"/>
            <w:hideMark/>
          </w:tcPr>
          <w:p w14:paraId="245B8915" w14:textId="77777777" w:rsidR="00921D1F" w:rsidRPr="00D8284F" w:rsidRDefault="00921D1F">
            <w:pPr>
              <w:pStyle w:val="TableTextbold"/>
              <w:keepNext/>
              <w:spacing w:before="40" w:after="0"/>
              <w:jc w:val="center"/>
              <w:rPr>
                <w:bCs/>
                <w:color w:val="FFFFFF" w:themeColor="background1"/>
                <w:szCs w:val="18"/>
              </w:rPr>
            </w:pPr>
            <w:r w:rsidRPr="00D8284F">
              <w:rPr>
                <w:bCs/>
                <w:color w:val="FFFFFF" w:themeColor="background1"/>
                <w:szCs w:val="18"/>
              </w:rPr>
              <w:t>Historical</w:t>
            </w:r>
          </w:p>
        </w:tc>
        <w:tc>
          <w:tcPr>
            <w:tcW w:w="6004" w:type="dxa"/>
            <w:gridSpan w:val="6"/>
            <w:shd w:val="clear" w:color="000000" w:fill="1B556B"/>
            <w:vAlign w:val="center"/>
            <w:hideMark/>
          </w:tcPr>
          <w:p w14:paraId="66A6A166" w14:textId="77777777" w:rsidR="00921D1F" w:rsidRPr="00D8284F" w:rsidRDefault="00921D1F">
            <w:pPr>
              <w:pStyle w:val="TableTextbold"/>
              <w:keepNext/>
              <w:spacing w:before="40" w:after="0"/>
              <w:jc w:val="center"/>
              <w:rPr>
                <w:bCs/>
                <w:color w:val="FFFFFF" w:themeColor="background1"/>
                <w:szCs w:val="18"/>
              </w:rPr>
            </w:pPr>
            <w:r w:rsidRPr="00D8284F">
              <w:rPr>
                <w:bCs/>
                <w:color w:val="FFFFFF" w:themeColor="background1"/>
                <w:szCs w:val="18"/>
              </w:rPr>
              <w:t>Projected</w:t>
            </w:r>
          </w:p>
        </w:tc>
      </w:tr>
      <w:tr w:rsidR="00921D1F" w:rsidRPr="00D8284F" w14:paraId="162D9FCB" w14:textId="77777777">
        <w:tc>
          <w:tcPr>
            <w:tcW w:w="1218" w:type="dxa"/>
            <w:shd w:val="clear" w:color="000000" w:fill="1B556B"/>
            <w:vAlign w:val="center"/>
            <w:hideMark/>
          </w:tcPr>
          <w:p w14:paraId="629FD243" w14:textId="77777777" w:rsidR="00921D1F" w:rsidRPr="00D8284F" w:rsidRDefault="00921D1F">
            <w:pPr>
              <w:pStyle w:val="TableTextbold"/>
              <w:keepNext/>
              <w:spacing w:before="0" w:after="40"/>
              <w:rPr>
                <w:bCs/>
                <w:color w:val="FFFFFF" w:themeColor="background1"/>
                <w:szCs w:val="18"/>
              </w:rPr>
            </w:pPr>
            <w:r w:rsidRPr="00D8284F">
              <w:rPr>
                <w:bCs/>
                <w:color w:val="FFFFFF" w:themeColor="background1"/>
                <w:szCs w:val="18"/>
              </w:rPr>
              <w:t>Gas</w:t>
            </w:r>
          </w:p>
        </w:tc>
        <w:tc>
          <w:tcPr>
            <w:tcW w:w="1000" w:type="dxa"/>
            <w:shd w:val="clear" w:color="000000" w:fill="1B556B"/>
            <w:vAlign w:val="center"/>
            <w:hideMark/>
          </w:tcPr>
          <w:p w14:paraId="2852330D" w14:textId="77777777" w:rsidR="00921D1F" w:rsidRPr="00D8284F" w:rsidRDefault="00921D1F">
            <w:pPr>
              <w:pStyle w:val="TableTextbold"/>
              <w:keepNext/>
              <w:spacing w:before="0" w:after="40"/>
              <w:jc w:val="center"/>
              <w:rPr>
                <w:bCs/>
                <w:color w:val="FFFFFF" w:themeColor="background1"/>
                <w:szCs w:val="18"/>
              </w:rPr>
            </w:pPr>
            <w:r w:rsidRPr="00D8284F">
              <w:rPr>
                <w:bCs/>
                <w:color w:val="FFFFFF" w:themeColor="background1"/>
                <w:szCs w:val="18"/>
              </w:rPr>
              <w:t>2020</w:t>
            </w:r>
          </w:p>
        </w:tc>
        <w:tc>
          <w:tcPr>
            <w:tcW w:w="1001" w:type="dxa"/>
            <w:shd w:val="clear" w:color="000000" w:fill="1B556B"/>
            <w:vAlign w:val="center"/>
            <w:hideMark/>
          </w:tcPr>
          <w:p w14:paraId="747D43F9" w14:textId="77777777" w:rsidR="00921D1F" w:rsidRPr="00D8284F" w:rsidRDefault="00921D1F">
            <w:pPr>
              <w:pStyle w:val="TableTextbold"/>
              <w:keepNext/>
              <w:spacing w:before="0" w:after="40"/>
              <w:jc w:val="center"/>
              <w:rPr>
                <w:bCs/>
                <w:color w:val="FFFFFF" w:themeColor="background1"/>
                <w:szCs w:val="18"/>
              </w:rPr>
            </w:pPr>
            <w:r w:rsidRPr="00D8284F">
              <w:rPr>
                <w:bCs/>
                <w:color w:val="FFFFFF" w:themeColor="background1"/>
                <w:szCs w:val="18"/>
              </w:rPr>
              <w:t>2025</w:t>
            </w:r>
          </w:p>
        </w:tc>
        <w:tc>
          <w:tcPr>
            <w:tcW w:w="1000" w:type="dxa"/>
            <w:shd w:val="clear" w:color="000000" w:fill="1B556B"/>
            <w:vAlign w:val="center"/>
            <w:hideMark/>
          </w:tcPr>
          <w:p w14:paraId="04A5A7E3" w14:textId="77777777" w:rsidR="00921D1F" w:rsidRPr="00D8284F" w:rsidRDefault="00921D1F">
            <w:pPr>
              <w:pStyle w:val="TableTextbold"/>
              <w:keepNext/>
              <w:spacing w:before="0" w:after="40"/>
              <w:jc w:val="center"/>
              <w:rPr>
                <w:bCs/>
                <w:color w:val="FFFFFF" w:themeColor="background1"/>
                <w:szCs w:val="18"/>
              </w:rPr>
            </w:pPr>
            <w:r w:rsidRPr="00D8284F">
              <w:rPr>
                <w:bCs/>
                <w:color w:val="FFFFFF" w:themeColor="background1"/>
                <w:szCs w:val="18"/>
              </w:rPr>
              <w:t>2030</w:t>
            </w:r>
          </w:p>
        </w:tc>
        <w:tc>
          <w:tcPr>
            <w:tcW w:w="1001" w:type="dxa"/>
            <w:shd w:val="clear" w:color="000000" w:fill="1B556B"/>
            <w:vAlign w:val="center"/>
            <w:hideMark/>
          </w:tcPr>
          <w:p w14:paraId="62266FD4" w14:textId="77777777" w:rsidR="00921D1F" w:rsidRPr="00D8284F" w:rsidRDefault="00921D1F">
            <w:pPr>
              <w:pStyle w:val="TableTextbold"/>
              <w:keepNext/>
              <w:spacing w:before="0" w:after="40"/>
              <w:jc w:val="center"/>
              <w:rPr>
                <w:bCs/>
                <w:color w:val="FFFFFF" w:themeColor="background1"/>
                <w:szCs w:val="18"/>
              </w:rPr>
            </w:pPr>
            <w:r w:rsidRPr="00D8284F">
              <w:rPr>
                <w:bCs/>
                <w:color w:val="FFFFFF" w:themeColor="background1"/>
                <w:szCs w:val="18"/>
              </w:rPr>
              <w:t>2035</w:t>
            </w:r>
          </w:p>
        </w:tc>
        <w:tc>
          <w:tcPr>
            <w:tcW w:w="1000" w:type="dxa"/>
            <w:shd w:val="clear" w:color="000000" w:fill="1B556B"/>
            <w:vAlign w:val="center"/>
            <w:hideMark/>
          </w:tcPr>
          <w:p w14:paraId="779CF2FA" w14:textId="77777777" w:rsidR="00921D1F" w:rsidRPr="00D8284F" w:rsidRDefault="00921D1F">
            <w:pPr>
              <w:pStyle w:val="TableTextbold"/>
              <w:keepNext/>
              <w:spacing w:before="0" w:after="40"/>
              <w:jc w:val="center"/>
              <w:rPr>
                <w:bCs/>
                <w:color w:val="FFFFFF" w:themeColor="background1"/>
                <w:szCs w:val="18"/>
              </w:rPr>
            </w:pPr>
            <w:r w:rsidRPr="00D8284F">
              <w:rPr>
                <w:bCs/>
                <w:color w:val="FFFFFF" w:themeColor="background1"/>
                <w:szCs w:val="18"/>
              </w:rPr>
              <w:t>2040</w:t>
            </w:r>
          </w:p>
        </w:tc>
        <w:tc>
          <w:tcPr>
            <w:tcW w:w="1001" w:type="dxa"/>
            <w:shd w:val="clear" w:color="000000" w:fill="1B556B"/>
            <w:vAlign w:val="center"/>
            <w:hideMark/>
          </w:tcPr>
          <w:p w14:paraId="5B224E4A" w14:textId="77777777" w:rsidR="00921D1F" w:rsidRPr="00D8284F" w:rsidRDefault="00921D1F">
            <w:pPr>
              <w:pStyle w:val="TableTextbold"/>
              <w:keepNext/>
              <w:spacing w:before="0" w:after="40"/>
              <w:jc w:val="center"/>
              <w:rPr>
                <w:bCs/>
                <w:color w:val="FFFFFF" w:themeColor="background1"/>
                <w:szCs w:val="18"/>
              </w:rPr>
            </w:pPr>
            <w:r w:rsidRPr="00D8284F">
              <w:rPr>
                <w:bCs/>
                <w:color w:val="FFFFFF" w:themeColor="background1"/>
                <w:szCs w:val="18"/>
              </w:rPr>
              <w:t>2045</w:t>
            </w:r>
          </w:p>
        </w:tc>
        <w:tc>
          <w:tcPr>
            <w:tcW w:w="1001" w:type="dxa"/>
            <w:shd w:val="clear" w:color="000000" w:fill="1B556B"/>
            <w:vAlign w:val="center"/>
            <w:hideMark/>
          </w:tcPr>
          <w:p w14:paraId="4E225542" w14:textId="77777777" w:rsidR="00921D1F" w:rsidRPr="00D8284F" w:rsidRDefault="00921D1F">
            <w:pPr>
              <w:pStyle w:val="TableTextbold"/>
              <w:keepNext/>
              <w:spacing w:before="0" w:after="40"/>
              <w:jc w:val="center"/>
              <w:rPr>
                <w:bCs/>
                <w:color w:val="FFFFFF" w:themeColor="background1"/>
                <w:szCs w:val="18"/>
              </w:rPr>
            </w:pPr>
            <w:r w:rsidRPr="00D8284F">
              <w:rPr>
                <w:bCs/>
                <w:color w:val="FFFFFF" w:themeColor="background1"/>
                <w:szCs w:val="18"/>
              </w:rPr>
              <w:t>2050</w:t>
            </w:r>
          </w:p>
        </w:tc>
      </w:tr>
      <w:tr w:rsidR="00921D1F" w:rsidRPr="00D8284F" w14:paraId="59BEDB5D" w14:textId="77777777">
        <w:tc>
          <w:tcPr>
            <w:tcW w:w="1218" w:type="dxa"/>
            <w:shd w:val="clear" w:color="auto" w:fill="auto"/>
            <w:vAlign w:val="center"/>
            <w:hideMark/>
          </w:tcPr>
          <w:p w14:paraId="6F57E7EA" w14:textId="77777777" w:rsidR="00921D1F" w:rsidRPr="00D8284F" w:rsidRDefault="00921D1F">
            <w:pPr>
              <w:pStyle w:val="TableText"/>
              <w:keepNext/>
              <w:spacing w:before="40" w:after="40"/>
              <w:rPr>
                <w:szCs w:val="18"/>
              </w:rPr>
            </w:pPr>
            <w:r w:rsidRPr="00D8284F">
              <w:rPr>
                <w:szCs w:val="18"/>
              </w:rPr>
              <w:t>CO</w:t>
            </w:r>
            <w:r w:rsidRPr="00D8284F">
              <w:rPr>
                <w:szCs w:val="18"/>
                <w:vertAlign w:val="subscript"/>
              </w:rPr>
              <w:t>2</w:t>
            </w:r>
          </w:p>
        </w:tc>
        <w:tc>
          <w:tcPr>
            <w:tcW w:w="1000" w:type="dxa"/>
            <w:shd w:val="clear" w:color="auto" w:fill="auto"/>
            <w:vAlign w:val="center"/>
            <w:hideMark/>
          </w:tcPr>
          <w:p w14:paraId="1A68EC8E" w14:textId="77777777" w:rsidR="00921D1F" w:rsidRPr="00D8284F" w:rsidRDefault="00921D1F">
            <w:pPr>
              <w:pStyle w:val="TableText"/>
              <w:keepNext/>
              <w:spacing w:before="40" w:after="40"/>
              <w:jc w:val="center"/>
              <w:rPr>
                <w:szCs w:val="18"/>
              </w:rPr>
            </w:pPr>
            <w:r w:rsidRPr="00D8284F">
              <w:rPr>
                <w:szCs w:val="18"/>
              </w:rPr>
              <w:t>–6.3</w:t>
            </w:r>
          </w:p>
        </w:tc>
        <w:tc>
          <w:tcPr>
            <w:tcW w:w="1001" w:type="dxa"/>
            <w:shd w:val="clear" w:color="000000" w:fill="D2DDE1"/>
            <w:vAlign w:val="center"/>
            <w:hideMark/>
          </w:tcPr>
          <w:p w14:paraId="4647B078" w14:textId="77777777" w:rsidR="00921D1F" w:rsidRPr="00D8284F" w:rsidRDefault="00921D1F">
            <w:pPr>
              <w:pStyle w:val="TableText"/>
              <w:keepNext/>
              <w:spacing w:before="40" w:after="40"/>
              <w:jc w:val="center"/>
              <w:rPr>
                <w:szCs w:val="18"/>
              </w:rPr>
            </w:pPr>
            <w:r w:rsidRPr="00D8284F">
              <w:rPr>
                <w:szCs w:val="18"/>
              </w:rPr>
              <w:t>–7.5</w:t>
            </w:r>
          </w:p>
        </w:tc>
        <w:tc>
          <w:tcPr>
            <w:tcW w:w="1000" w:type="dxa"/>
            <w:shd w:val="clear" w:color="000000" w:fill="D2DDE1"/>
            <w:vAlign w:val="center"/>
            <w:hideMark/>
          </w:tcPr>
          <w:p w14:paraId="4749BDDD" w14:textId="77777777" w:rsidR="00921D1F" w:rsidRPr="00D8284F" w:rsidRDefault="00921D1F">
            <w:pPr>
              <w:pStyle w:val="TableText"/>
              <w:keepNext/>
              <w:spacing w:before="40" w:after="40"/>
              <w:jc w:val="center"/>
              <w:rPr>
                <w:szCs w:val="18"/>
              </w:rPr>
            </w:pPr>
            <w:r w:rsidRPr="00D8284F">
              <w:rPr>
                <w:szCs w:val="18"/>
              </w:rPr>
              <w:t>–15.1</w:t>
            </w:r>
          </w:p>
        </w:tc>
        <w:tc>
          <w:tcPr>
            <w:tcW w:w="1001" w:type="dxa"/>
            <w:shd w:val="clear" w:color="000000" w:fill="D2DDE1"/>
            <w:vAlign w:val="center"/>
            <w:hideMark/>
          </w:tcPr>
          <w:p w14:paraId="7305B20E" w14:textId="77777777" w:rsidR="00921D1F" w:rsidRPr="00D8284F" w:rsidRDefault="00921D1F">
            <w:pPr>
              <w:pStyle w:val="TableText"/>
              <w:keepNext/>
              <w:spacing w:before="40" w:after="40"/>
              <w:jc w:val="center"/>
              <w:rPr>
                <w:szCs w:val="18"/>
              </w:rPr>
            </w:pPr>
            <w:r w:rsidRPr="00D8284F">
              <w:rPr>
                <w:szCs w:val="18"/>
              </w:rPr>
              <w:t>–17.6</w:t>
            </w:r>
          </w:p>
        </w:tc>
        <w:tc>
          <w:tcPr>
            <w:tcW w:w="1000" w:type="dxa"/>
            <w:shd w:val="clear" w:color="000000" w:fill="D2DDE1"/>
            <w:vAlign w:val="center"/>
            <w:hideMark/>
          </w:tcPr>
          <w:p w14:paraId="3C8CBD12" w14:textId="77777777" w:rsidR="00921D1F" w:rsidRPr="00D8284F" w:rsidRDefault="00921D1F">
            <w:pPr>
              <w:pStyle w:val="TableText"/>
              <w:keepNext/>
              <w:spacing w:before="40" w:after="40"/>
              <w:jc w:val="center"/>
              <w:rPr>
                <w:szCs w:val="18"/>
              </w:rPr>
            </w:pPr>
            <w:r w:rsidRPr="00D8284F">
              <w:rPr>
                <w:szCs w:val="18"/>
              </w:rPr>
              <w:t>–23.1</w:t>
            </w:r>
          </w:p>
        </w:tc>
        <w:tc>
          <w:tcPr>
            <w:tcW w:w="1001" w:type="dxa"/>
            <w:shd w:val="clear" w:color="000000" w:fill="D2DDE1"/>
            <w:vAlign w:val="center"/>
            <w:hideMark/>
          </w:tcPr>
          <w:p w14:paraId="7E3E2A49" w14:textId="77777777" w:rsidR="00921D1F" w:rsidRPr="00D8284F" w:rsidRDefault="00921D1F">
            <w:pPr>
              <w:pStyle w:val="TableText"/>
              <w:keepNext/>
              <w:spacing w:before="40" w:after="40"/>
              <w:jc w:val="center"/>
              <w:rPr>
                <w:szCs w:val="18"/>
              </w:rPr>
            </w:pPr>
            <w:r w:rsidRPr="00D8284F">
              <w:rPr>
                <w:szCs w:val="18"/>
              </w:rPr>
              <w:t>–24.8</w:t>
            </w:r>
          </w:p>
        </w:tc>
        <w:tc>
          <w:tcPr>
            <w:tcW w:w="1001" w:type="dxa"/>
            <w:shd w:val="clear" w:color="000000" w:fill="D2DDE1"/>
            <w:vAlign w:val="center"/>
            <w:hideMark/>
          </w:tcPr>
          <w:p w14:paraId="31E92F0D" w14:textId="77777777" w:rsidR="00921D1F" w:rsidRPr="00D8284F" w:rsidRDefault="00921D1F">
            <w:pPr>
              <w:pStyle w:val="TableText"/>
              <w:keepNext/>
              <w:spacing w:before="40" w:after="40"/>
              <w:jc w:val="center"/>
              <w:rPr>
                <w:szCs w:val="18"/>
              </w:rPr>
            </w:pPr>
            <w:r w:rsidRPr="00D8284F">
              <w:rPr>
                <w:szCs w:val="18"/>
              </w:rPr>
              <w:t>–21.9</w:t>
            </w:r>
          </w:p>
        </w:tc>
      </w:tr>
      <w:tr w:rsidR="00921D1F" w:rsidRPr="00D8284F" w14:paraId="50184255" w14:textId="77777777">
        <w:tc>
          <w:tcPr>
            <w:tcW w:w="1218" w:type="dxa"/>
            <w:shd w:val="clear" w:color="auto" w:fill="auto"/>
            <w:vAlign w:val="center"/>
            <w:hideMark/>
          </w:tcPr>
          <w:p w14:paraId="09F2703B" w14:textId="77777777" w:rsidR="00921D1F" w:rsidRPr="00D8284F" w:rsidRDefault="00921D1F">
            <w:pPr>
              <w:pStyle w:val="TableText"/>
              <w:keepNext/>
              <w:spacing w:before="40" w:after="40"/>
              <w:rPr>
                <w:szCs w:val="18"/>
              </w:rPr>
            </w:pPr>
            <w:r w:rsidRPr="00D8284F">
              <w:rPr>
                <w:szCs w:val="18"/>
              </w:rPr>
              <w:t>CH</w:t>
            </w:r>
            <w:r w:rsidRPr="00D8284F">
              <w:rPr>
                <w:szCs w:val="18"/>
                <w:vertAlign w:val="subscript"/>
              </w:rPr>
              <w:t>4</w:t>
            </w:r>
          </w:p>
        </w:tc>
        <w:tc>
          <w:tcPr>
            <w:tcW w:w="1000" w:type="dxa"/>
            <w:shd w:val="clear" w:color="auto" w:fill="auto"/>
            <w:vAlign w:val="center"/>
            <w:hideMark/>
          </w:tcPr>
          <w:p w14:paraId="34C83B0F" w14:textId="77777777" w:rsidR="00921D1F" w:rsidRPr="00D8284F" w:rsidRDefault="00921D1F">
            <w:pPr>
              <w:pStyle w:val="TableText"/>
              <w:keepNext/>
              <w:spacing w:before="40" w:after="40"/>
              <w:jc w:val="center"/>
              <w:rPr>
                <w:szCs w:val="18"/>
              </w:rPr>
            </w:pPr>
            <w:r w:rsidRPr="00D8284F">
              <w:rPr>
                <w:szCs w:val="18"/>
              </w:rPr>
              <w:t>0.02</w:t>
            </w:r>
          </w:p>
        </w:tc>
        <w:tc>
          <w:tcPr>
            <w:tcW w:w="1001" w:type="dxa"/>
            <w:shd w:val="clear" w:color="000000" w:fill="D2DDE1"/>
            <w:vAlign w:val="center"/>
            <w:hideMark/>
          </w:tcPr>
          <w:p w14:paraId="008E8E10" w14:textId="77777777" w:rsidR="00921D1F" w:rsidRPr="00D8284F" w:rsidRDefault="00921D1F">
            <w:pPr>
              <w:pStyle w:val="TableText"/>
              <w:keepNext/>
              <w:spacing w:before="40" w:after="40"/>
              <w:jc w:val="center"/>
              <w:rPr>
                <w:szCs w:val="18"/>
              </w:rPr>
            </w:pPr>
            <w:r w:rsidRPr="00D8284F">
              <w:rPr>
                <w:szCs w:val="18"/>
              </w:rPr>
              <w:t>0.02</w:t>
            </w:r>
          </w:p>
        </w:tc>
        <w:tc>
          <w:tcPr>
            <w:tcW w:w="1000" w:type="dxa"/>
            <w:shd w:val="clear" w:color="000000" w:fill="D2DDE1"/>
            <w:vAlign w:val="center"/>
            <w:hideMark/>
          </w:tcPr>
          <w:p w14:paraId="77ECA698" w14:textId="77777777" w:rsidR="00921D1F" w:rsidRPr="00D8284F" w:rsidRDefault="00921D1F">
            <w:pPr>
              <w:pStyle w:val="TableText"/>
              <w:keepNext/>
              <w:spacing w:before="40" w:after="40"/>
              <w:jc w:val="center"/>
              <w:rPr>
                <w:szCs w:val="18"/>
              </w:rPr>
            </w:pPr>
            <w:r w:rsidRPr="00D8284F">
              <w:rPr>
                <w:szCs w:val="18"/>
              </w:rPr>
              <w:t>0.02</w:t>
            </w:r>
          </w:p>
        </w:tc>
        <w:tc>
          <w:tcPr>
            <w:tcW w:w="1001" w:type="dxa"/>
            <w:shd w:val="clear" w:color="000000" w:fill="D2DDE1"/>
            <w:vAlign w:val="center"/>
            <w:hideMark/>
          </w:tcPr>
          <w:p w14:paraId="4CC00A8F" w14:textId="77777777" w:rsidR="00921D1F" w:rsidRPr="00D8284F" w:rsidRDefault="00921D1F">
            <w:pPr>
              <w:pStyle w:val="TableText"/>
              <w:keepNext/>
              <w:spacing w:before="40" w:after="40"/>
              <w:jc w:val="center"/>
              <w:rPr>
                <w:szCs w:val="18"/>
              </w:rPr>
            </w:pPr>
            <w:r w:rsidRPr="00D8284F">
              <w:rPr>
                <w:szCs w:val="18"/>
              </w:rPr>
              <w:t>0.02</w:t>
            </w:r>
          </w:p>
        </w:tc>
        <w:tc>
          <w:tcPr>
            <w:tcW w:w="1000" w:type="dxa"/>
            <w:shd w:val="clear" w:color="000000" w:fill="D2DDE1"/>
            <w:vAlign w:val="center"/>
            <w:hideMark/>
          </w:tcPr>
          <w:p w14:paraId="7E61E032" w14:textId="77777777" w:rsidR="00921D1F" w:rsidRPr="00D8284F" w:rsidRDefault="00921D1F">
            <w:pPr>
              <w:pStyle w:val="TableText"/>
              <w:keepNext/>
              <w:spacing w:before="40" w:after="40"/>
              <w:jc w:val="center"/>
              <w:rPr>
                <w:szCs w:val="18"/>
              </w:rPr>
            </w:pPr>
            <w:r w:rsidRPr="00D8284F">
              <w:rPr>
                <w:szCs w:val="18"/>
              </w:rPr>
              <w:t>0.02</w:t>
            </w:r>
          </w:p>
        </w:tc>
        <w:tc>
          <w:tcPr>
            <w:tcW w:w="1001" w:type="dxa"/>
            <w:shd w:val="clear" w:color="000000" w:fill="D2DDE1"/>
            <w:vAlign w:val="center"/>
            <w:hideMark/>
          </w:tcPr>
          <w:p w14:paraId="0BE2CC9D" w14:textId="77777777" w:rsidR="00921D1F" w:rsidRPr="00D8284F" w:rsidRDefault="00921D1F">
            <w:pPr>
              <w:pStyle w:val="TableText"/>
              <w:keepNext/>
              <w:spacing w:before="40" w:after="40"/>
              <w:jc w:val="center"/>
              <w:rPr>
                <w:szCs w:val="18"/>
              </w:rPr>
            </w:pPr>
            <w:r w:rsidRPr="00D8284F">
              <w:rPr>
                <w:szCs w:val="18"/>
              </w:rPr>
              <w:t>0.02</w:t>
            </w:r>
          </w:p>
        </w:tc>
        <w:tc>
          <w:tcPr>
            <w:tcW w:w="1001" w:type="dxa"/>
            <w:shd w:val="clear" w:color="000000" w:fill="D2DDE1"/>
            <w:vAlign w:val="center"/>
            <w:hideMark/>
          </w:tcPr>
          <w:p w14:paraId="16D04CA0" w14:textId="77777777" w:rsidR="00921D1F" w:rsidRPr="00D8284F" w:rsidRDefault="00921D1F">
            <w:pPr>
              <w:pStyle w:val="TableText"/>
              <w:keepNext/>
              <w:spacing w:before="40" w:after="40"/>
              <w:jc w:val="center"/>
              <w:rPr>
                <w:szCs w:val="18"/>
              </w:rPr>
            </w:pPr>
            <w:r w:rsidRPr="00D8284F">
              <w:rPr>
                <w:szCs w:val="18"/>
              </w:rPr>
              <w:t>0.02</w:t>
            </w:r>
          </w:p>
        </w:tc>
      </w:tr>
      <w:tr w:rsidR="00921D1F" w:rsidRPr="00D8284F" w14:paraId="3B076915" w14:textId="77777777">
        <w:tc>
          <w:tcPr>
            <w:tcW w:w="1218" w:type="dxa"/>
            <w:shd w:val="clear" w:color="auto" w:fill="auto"/>
            <w:vAlign w:val="center"/>
            <w:hideMark/>
          </w:tcPr>
          <w:p w14:paraId="4DB59729" w14:textId="77777777" w:rsidR="00921D1F" w:rsidRPr="00D8284F" w:rsidRDefault="00921D1F">
            <w:pPr>
              <w:pStyle w:val="TableText"/>
              <w:keepNext/>
              <w:spacing w:before="40" w:after="40"/>
              <w:rPr>
                <w:szCs w:val="18"/>
              </w:rPr>
            </w:pPr>
            <w:r w:rsidRPr="00D8284F">
              <w:rPr>
                <w:szCs w:val="18"/>
              </w:rPr>
              <w:t>N</w:t>
            </w:r>
            <w:r w:rsidRPr="00D8284F">
              <w:rPr>
                <w:szCs w:val="18"/>
                <w:vertAlign w:val="subscript"/>
              </w:rPr>
              <w:t>2</w:t>
            </w:r>
            <w:r w:rsidRPr="00D8284F">
              <w:rPr>
                <w:szCs w:val="18"/>
              </w:rPr>
              <w:t>O</w:t>
            </w:r>
          </w:p>
        </w:tc>
        <w:tc>
          <w:tcPr>
            <w:tcW w:w="1000" w:type="dxa"/>
            <w:shd w:val="clear" w:color="auto" w:fill="auto"/>
            <w:vAlign w:val="center"/>
            <w:hideMark/>
          </w:tcPr>
          <w:p w14:paraId="4A74E965" w14:textId="77777777" w:rsidR="00921D1F" w:rsidRPr="00D8284F" w:rsidRDefault="00921D1F">
            <w:pPr>
              <w:pStyle w:val="TableText"/>
              <w:keepNext/>
              <w:spacing w:before="40" w:after="40"/>
              <w:jc w:val="center"/>
              <w:rPr>
                <w:szCs w:val="18"/>
              </w:rPr>
            </w:pPr>
            <w:r w:rsidRPr="00D8284F">
              <w:rPr>
                <w:szCs w:val="18"/>
              </w:rPr>
              <w:t>0.11</w:t>
            </w:r>
          </w:p>
        </w:tc>
        <w:tc>
          <w:tcPr>
            <w:tcW w:w="1001" w:type="dxa"/>
            <w:shd w:val="clear" w:color="000000" w:fill="D2DDE1"/>
            <w:vAlign w:val="center"/>
            <w:hideMark/>
          </w:tcPr>
          <w:p w14:paraId="022A97F2" w14:textId="77777777" w:rsidR="00921D1F" w:rsidRPr="00D8284F" w:rsidRDefault="00921D1F">
            <w:pPr>
              <w:pStyle w:val="TableText"/>
              <w:keepNext/>
              <w:spacing w:before="40" w:after="40"/>
              <w:jc w:val="center"/>
              <w:rPr>
                <w:szCs w:val="18"/>
              </w:rPr>
            </w:pPr>
            <w:r w:rsidRPr="00D8284F">
              <w:rPr>
                <w:szCs w:val="18"/>
              </w:rPr>
              <w:t>0.11</w:t>
            </w:r>
          </w:p>
        </w:tc>
        <w:tc>
          <w:tcPr>
            <w:tcW w:w="1000" w:type="dxa"/>
            <w:shd w:val="clear" w:color="000000" w:fill="D2DDE1"/>
            <w:vAlign w:val="center"/>
            <w:hideMark/>
          </w:tcPr>
          <w:p w14:paraId="3713C0A2" w14:textId="77777777" w:rsidR="00921D1F" w:rsidRPr="00D8284F" w:rsidRDefault="00921D1F">
            <w:pPr>
              <w:pStyle w:val="TableText"/>
              <w:keepNext/>
              <w:spacing w:before="40" w:after="40"/>
              <w:jc w:val="center"/>
              <w:rPr>
                <w:szCs w:val="18"/>
              </w:rPr>
            </w:pPr>
            <w:r w:rsidRPr="00D8284F">
              <w:rPr>
                <w:szCs w:val="18"/>
              </w:rPr>
              <w:t>0.11</w:t>
            </w:r>
          </w:p>
        </w:tc>
        <w:tc>
          <w:tcPr>
            <w:tcW w:w="1001" w:type="dxa"/>
            <w:shd w:val="clear" w:color="000000" w:fill="D2DDE1"/>
            <w:vAlign w:val="center"/>
            <w:hideMark/>
          </w:tcPr>
          <w:p w14:paraId="0BD1D6A8" w14:textId="77777777" w:rsidR="00921D1F" w:rsidRPr="00D8284F" w:rsidRDefault="00921D1F">
            <w:pPr>
              <w:pStyle w:val="TableText"/>
              <w:keepNext/>
              <w:spacing w:before="40" w:after="40"/>
              <w:jc w:val="center"/>
              <w:rPr>
                <w:szCs w:val="18"/>
              </w:rPr>
            </w:pPr>
            <w:r w:rsidRPr="00D8284F">
              <w:rPr>
                <w:szCs w:val="18"/>
              </w:rPr>
              <w:t>0.11</w:t>
            </w:r>
          </w:p>
        </w:tc>
        <w:tc>
          <w:tcPr>
            <w:tcW w:w="1000" w:type="dxa"/>
            <w:shd w:val="clear" w:color="000000" w:fill="D2DDE1"/>
            <w:vAlign w:val="center"/>
            <w:hideMark/>
          </w:tcPr>
          <w:p w14:paraId="0C24A04F" w14:textId="77777777" w:rsidR="00921D1F" w:rsidRPr="00D8284F" w:rsidRDefault="00921D1F">
            <w:pPr>
              <w:pStyle w:val="TableText"/>
              <w:keepNext/>
              <w:spacing w:before="40" w:after="40"/>
              <w:jc w:val="center"/>
              <w:rPr>
                <w:szCs w:val="18"/>
              </w:rPr>
            </w:pPr>
            <w:r w:rsidRPr="00D8284F">
              <w:rPr>
                <w:szCs w:val="18"/>
              </w:rPr>
              <w:t>0.11</w:t>
            </w:r>
          </w:p>
        </w:tc>
        <w:tc>
          <w:tcPr>
            <w:tcW w:w="1001" w:type="dxa"/>
            <w:shd w:val="clear" w:color="000000" w:fill="D2DDE1"/>
            <w:vAlign w:val="center"/>
            <w:hideMark/>
          </w:tcPr>
          <w:p w14:paraId="7426AFCB" w14:textId="77777777" w:rsidR="00921D1F" w:rsidRPr="00D8284F" w:rsidRDefault="00921D1F">
            <w:pPr>
              <w:pStyle w:val="TableText"/>
              <w:keepNext/>
              <w:spacing w:before="40" w:after="40"/>
              <w:jc w:val="center"/>
              <w:rPr>
                <w:szCs w:val="18"/>
              </w:rPr>
            </w:pPr>
            <w:r w:rsidRPr="00D8284F">
              <w:rPr>
                <w:szCs w:val="18"/>
              </w:rPr>
              <w:t>0.11</w:t>
            </w:r>
          </w:p>
        </w:tc>
        <w:tc>
          <w:tcPr>
            <w:tcW w:w="1001" w:type="dxa"/>
            <w:shd w:val="clear" w:color="000000" w:fill="D2DDE1"/>
            <w:vAlign w:val="center"/>
            <w:hideMark/>
          </w:tcPr>
          <w:p w14:paraId="0B32E853" w14:textId="77777777" w:rsidR="00921D1F" w:rsidRPr="00D8284F" w:rsidRDefault="00921D1F">
            <w:pPr>
              <w:pStyle w:val="TableText"/>
              <w:keepNext/>
              <w:spacing w:before="40" w:after="40"/>
              <w:jc w:val="center"/>
              <w:rPr>
                <w:szCs w:val="18"/>
              </w:rPr>
            </w:pPr>
            <w:r w:rsidRPr="00D8284F">
              <w:rPr>
                <w:szCs w:val="18"/>
              </w:rPr>
              <w:t>0.11</w:t>
            </w:r>
          </w:p>
        </w:tc>
      </w:tr>
      <w:tr w:rsidR="00921D1F" w:rsidRPr="00D8284F" w14:paraId="67EBD7F0" w14:textId="77777777">
        <w:tc>
          <w:tcPr>
            <w:tcW w:w="1218" w:type="dxa"/>
            <w:shd w:val="clear" w:color="auto" w:fill="auto"/>
            <w:vAlign w:val="center"/>
            <w:hideMark/>
          </w:tcPr>
          <w:p w14:paraId="2657158F" w14:textId="77777777" w:rsidR="00921D1F" w:rsidRPr="00D8284F" w:rsidRDefault="00921D1F">
            <w:pPr>
              <w:pStyle w:val="TableTextbold"/>
              <w:keepNext/>
              <w:spacing w:before="40" w:after="40"/>
              <w:rPr>
                <w:szCs w:val="18"/>
              </w:rPr>
            </w:pPr>
            <w:r w:rsidRPr="00D8284F">
              <w:rPr>
                <w:szCs w:val="18"/>
              </w:rPr>
              <w:t>Total</w:t>
            </w:r>
          </w:p>
        </w:tc>
        <w:tc>
          <w:tcPr>
            <w:tcW w:w="1000" w:type="dxa"/>
            <w:shd w:val="clear" w:color="auto" w:fill="auto"/>
            <w:vAlign w:val="center"/>
            <w:hideMark/>
          </w:tcPr>
          <w:p w14:paraId="75E2DB00" w14:textId="77777777" w:rsidR="00921D1F" w:rsidRPr="00D8284F" w:rsidRDefault="00921D1F">
            <w:pPr>
              <w:pStyle w:val="TableTextbold"/>
              <w:keepNext/>
              <w:spacing w:before="40" w:after="40"/>
              <w:jc w:val="center"/>
              <w:rPr>
                <w:szCs w:val="18"/>
              </w:rPr>
            </w:pPr>
            <w:r w:rsidRPr="00D8284F">
              <w:rPr>
                <w:szCs w:val="18"/>
              </w:rPr>
              <w:t>–6.2</w:t>
            </w:r>
          </w:p>
        </w:tc>
        <w:tc>
          <w:tcPr>
            <w:tcW w:w="1001" w:type="dxa"/>
            <w:shd w:val="clear" w:color="000000" w:fill="D2DDE1"/>
            <w:vAlign w:val="center"/>
            <w:hideMark/>
          </w:tcPr>
          <w:p w14:paraId="1AF876DA" w14:textId="77777777" w:rsidR="00921D1F" w:rsidRPr="00D8284F" w:rsidRDefault="00921D1F">
            <w:pPr>
              <w:pStyle w:val="TableTextbold"/>
              <w:keepNext/>
              <w:spacing w:before="40" w:after="40"/>
              <w:jc w:val="center"/>
              <w:rPr>
                <w:szCs w:val="18"/>
              </w:rPr>
            </w:pPr>
            <w:r w:rsidRPr="00D8284F">
              <w:rPr>
                <w:szCs w:val="18"/>
              </w:rPr>
              <w:t>–7.4</w:t>
            </w:r>
          </w:p>
        </w:tc>
        <w:tc>
          <w:tcPr>
            <w:tcW w:w="1000" w:type="dxa"/>
            <w:shd w:val="clear" w:color="000000" w:fill="D2DDE1"/>
            <w:vAlign w:val="center"/>
            <w:hideMark/>
          </w:tcPr>
          <w:p w14:paraId="48F459BE" w14:textId="77777777" w:rsidR="00921D1F" w:rsidRPr="00D8284F" w:rsidRDefault="00921D1F">
            <w:pPr>
              <w:pStyle w:val="TableTextbold"/>
              <w:keepNext/>
              <w:spacing w:before="40" w:after="40"/>
              <w:jc w:val="center"/>
              <w:rPr>
                <w:szCs w:val="18"/>
              </w:rPr>
            </w:pPr>
            <w:r w:rsidRPr="00D8284F">
              <w:rPr>
                <w:szCs w:val="18"/>
              </w:rPr>
              <w:t>–15.0</w:t>
            </w:r>
          </w:p>
        </w:tc>
        <w:tc>
          <w:tcPr>
            <w:tcW w:w="1001" w:type="dxa"/>
            <w:shd w:val="clear" w:color="000000" w:fill="D2DDE1"/>
            <w:vAlign w:val="center"/>
            <w:hideMark/>
          </w:tcPr>
          <w:p w14:paraId="6123B1FA" w14:textId="77777777" w:rsidR="00921D1F" w:rsidRPr="00D8284F" w:rsidRDefault="00921D1F">
            <w:pPr>
              <w:pStyle w:val="TableTextbold"/>
              <w:keepNext/>
              <w:spacing w:before="40" w:after="40"/>
              <w:jc w:val="center"/>
              <w:rPr>
                <w:szCs w:val="18"/>
              </w:rPr>
            </w:pPr>
            <w:r w:rsidRPr="00D8284F">
              <w:rPr>
                <w:szCs w:val="18"/>
              </w:rPr>
              <w:t>–17.4</w:t>
            </w:r>
          </w:p>
        </w:tc>
        <w:tc>
          <w:tcPr>
            <w:tcW w:w="1000" w:type="dxa"/>
            <w:shd w:val="clear" w:color="000000" w:fill="D2DDE1"/>
            <w:vAlign w:val="center"/>
            <w:hideMark/>
          </w:tcPr>
          <w:p w14:paraId="316FA980" w14:textId="77777777" w:rsidR="00921D1F" w:rsidRPr="00D8284F" w:rsidRDefault="00921D1F">
            <w:pPr>
              <w:pStyle w:val="TableTextbold"/>
              <w:keepNext/>
              <w:spacing w:before="40" w:after="40"/>
              <w:jc w:val="center"/>
              <w:rPr>
                <w:szCs w:val="18"/>
              </w:rPr>
            </w:pPr>
            <w:r w:rsidRPr="00D8284F">
              <w:rPr>
                <w:szCs w:val="18"/>
              </w:rPr>
              <w:t>–22.9</w:t>
            </w:r>
          </w:p>
        </w:tc>
        <w:tc>
          <w:tcPr>
            <w:tcW w:w="1001" w:type="dxa"/>
            <w:shd w:val="clear" w:color="000000" w:fill="D2DDE1"/>
            <w:vAlign w:val="center"/>
            <w:hideMark/>
          </w:tcPr>
          <w:p w14:paraId="23C659A3" w14:textId="77777777" w:rsidR="00921D1F" w:rsidRPr="00D8284F" w:rsidRDefault="00921D1F">
            <w:pPr>
              <w:pStyle w:val="TableTextbold"/>
              <w:keepNext/>
              <w:spacing w:before="40" w:after="40"/>
              <w:jc w:val="center"/>
              <w:rPr>
                <w:szCs w:val="18"/>
              </w:rPr>
            </w:pPr>
            <w:r w:rsidRPr="00D8284F">
              <w:rPr>
                <w:szCs w:val="18"/>
              </w:rPr>
              <w:t>–24.7</w:t>
            </w:r>
          </w:p>
        </w:tc>
        <w:tc>
          <w:tcPr>
            <w:tcW w:w="1001" w:type="dxa"/>
            <w:shd w:val="clear" w:color="000000" w:fill="D2DDE1"/>
            <w:vAlign w:val="center"/>
            <w:hideMark/>
          </w:tcPr>
          <w:p w14:paraId="0B69764B" w14:textId="77777777" w:rsidR="00921D1F" w:rsidRPr="00D8284F" w:rsidRDefault="00921D1F">
            <w:pPr>
              <w:pStyle w:val="TableTextbold"/>
              <w:keepNext/>
              <w:spacing w:before="40" w:after="40"/>
              <w:jc w:val="center"/>
              <w:rPr>
                <w:szCs w:val="18"/>
              </w:rPr>
            </w:pPr>
            <w:r w:rsidRPr="00D8284F">
              <w:rPr>
                <w:szCs w:val="18"/>
              </w:rPr>
              <w:t>–21.8</w:t>
            </w:r>
          </w:p>
        </w:tc>
      </w:tr>
    </w:tbl>
    <w:p w14:paraId="5DC7F0F8" w14:textId="77777777" w:rsidR="00921D1F" w:rsidRPr="00DA3DD4" w:rsidRDefault="00921D1F" w:rsidP="00921D1F">
      <w:pPr>
        <w:pStyle w:val="Note"/>
      </w:pPr>
      <w:r w:rsidRPr="00DA3DD4">
        <w:rPr>
          <w:rFonts w:eastAsia="Times New Roman" w:cs="Calibri"/>
          <w:b/>
          <w:bCs/>
        </w:rPr>
        <w:t>Note:</w:t>
      </w:r>
      <w:r w:rsidRPr="00DA3DD4">
        <w:rPr>
          <w:rFonts w:eastAsia="Times New Roman" w:cs="Calibri"/>
        </w:rPr>
        <w:t xml:space="preserve"> LULUCF target </w:t>
      </w:r>
      <w:r w:rsidRPr="00DA3DD4">
        <w:t>accounting quantities are provided for the 2020 year for transparency of the emissions budget calculation. CH</w:t>
      </w:r>
      <w:r w:rsidRPr="00DA3DD4">
        <w:rPr>
          <w:vertAlign w:val="subscript"/>
        </w:rPr>
        <w:t>4</w:t>
      </w:r>
      <w:r w:rsidRPr="00DA3DD4">
        <w:t xml:space="preserve"> = methane; CO</w:t>
      </w:r>
      <w:r w:rsidRPr="00DA3DD4">
        <w:rPr>
          <w:vertAlign w:val="subscript"/>
        </w:rPr>
        <w:t>2</w:t>
      </w:r>
      <w:r w:rsidRPr="00DA3DD4">
        <w:t xml:space="preserve"> = carbon dioxide; N</w:t>
      </w:r>
      <w:r w:rsidRPr="00DA3DD4">
        <w:rPr>
          <w:vertAlign w:val="subscript"/>
        </w:rPr>
        <w:t>2</w:t>
      </w:r>
      <w:r w:rsidRPr="00DA3DD4">
        <w:t>O = nitrous oxide.</w:t>
      </w:r>
    </w:p>
    <w:p w14:paraId="5A7451AE" w14:textId="58FC21A6" w:rsidR="00921D1F" w:rsidRPr="00DA3DD4" w:rsidRDefault="000501F2" w:rsidP="00921D1F">
      <w:pPr>
        <w:pStyle w:val="Heading4"/>
      </w:pPr>
      <w:r>
        <w:t>2.6.3.2.2</w:t>
      </w:r>
      <w:r>
        <w:tab/>
      </w:r>
      <w:r w:rsidR="00921D1F" w:rsidRPr="00DA3DD4">
        <w:t>Methodology</w:t>
      </w:r>
    </w:p>
    <w:p w14:paraId="3B6E5627" w14:textId="77777777" w:rsidR="00921D1F" w:rsidRPr="00DA3DD4" w:rsidRDefault="00921D1F" w:rsidP="00921D1F">
      <w:pPr>
        <w:pStyle w:val="BodyText"/>
        <w:spacing w:before="100" w:after="100"/>
      </w:pPr>
      <w:r w:rsidRPr="00DA3DD4">
        <w:t>The forest carbon model, long-term carbon stock averages, deforestation and afforestation data sources, assumptions and results that, together, produce</w:t>
      </w:r>
      <w:r w:rsidRPr="00DA3DD4" w:rsidDel="00B56BF6">
        <w:t xml:space="preserve"> </w:t>
      </w:r>
      <w:r w:rsidRPr="00DA3DD4">
        <w:t>LULUCF target accounting projections are described here and in the following sections.</w:t>
      </w:r>
    </w:p>
    <w:p w14:paraId="12EBFD1F" w14:textId="77777777" w:rsidR="00921D1F" w:rsidRPr="00DA3DD4" w:rsidRDefault="00921D1F" w:rsidP="00921D1F">
      <w:pPr>
        <w:pStyle w:val="BodyText"/>
        <w:spacing w:before="100" w:after="100"/>
      </w:pPr>
      <w:r w:rsidRPr="00DA3DD4">
        <w:t xml:space="preserve">The method for developing LULUCF target accounting projections applies a forest carbon model based on a forest growth simulation. The growth simulation models how much carbon will be sequestered in a forest over its lifetime and takes account of established forests plus projected afforestation. The growth simulation for post-1989 forests begins at 1990 and applies national carbon yield tables that provide carbon stock and change estimates by age on a per-hectare basis. </w:t>
      </w:r>
    </w:p>
    <w:p w14:paraId="025A57C5" w14:textId="77777777" w:rsidR="00921D1F" w:rsidRPr="00DA3DD4" w:rsidRDefault="00921D1F" w:rsidP="00921D1F">
      <w:pPr>
        <w:pStyle w:val="BodyText"/>
        <w:spacing w:before="100" w:after="100"/>
      </w:pPr>
      <w:r w:rsidRPr="00DA3DD4">
        <w:t>The LULUCF target accounting projections model for post-1989 forests tracks the area planted and deforested over time. It</w:t>
      </w:r>
      <w:r w:rsidRPr="00DA3DD4" w:rsidDel="00794B29">
        <w:t xml:space="preserve"> </w:t>
      </w:r>
      <w:r w:rsidRPr="00DA3DD4">
        <w:t>generates annual estimates of carbon stock and carbon stock change (change in stored carbon within a forest as the forest grows) by multiplying the area planted by the carbon yield per hectare. This method</w:t>
      </w:r>
      <w:r w:rsidRPr="00DA3DD4" w:rsidDel="00EB7944">
        <w:t xml:space="preserve"> </w:t>
      </w:r>
      <w:r w:rsidRPr="00DA3DD4">
        <w:t>estimates post-1989 forest net emissions from growth and forest management practices, including pruning and harvest, and net emissions from all deforestation activities.</w:t>
      </w:r>
    </w:p>
    <w:p w14:paraId="5EE5DB4F" w14:textId="77777777" w:rsidR="00921D1F" w:rsidRPr="00DA3DD4" w:rsidRDefault="00921D1F" w:rsidP="00921D1F">
      <w:pPr>
        <w:pStyle w:val="BodyText"/>
        <w:spacing w:before="100" w:after="100"/>
      </w:pPr>
      <w:r w:rsidRPr="00DA3DD4">
        <w:t xml:space="preserve">The growth simulation for post-1989 forest starts at 1990, which allows for legacy carbon emissions and removals from land-use changes that have occurred between 1990 and 2022 to be included in the projections from 2023 to 2050. Starting the growth simulation in 1990 also allows for the long-term average carbon stock to be tracked for production forests (see ‘Long-term average carbon stock’ below). </w:t>
      </w:r>
    </w:p>
    <w:p w14:paraId="331B4F20" w14:textId="77777777" w:rsidR="00921D1F" w:rsidRPr="00DA3DD4" w:rsidRDefault="00921D1F" w:rsidP="00921D1F">
      <w:pPr>
        <w:pStyle w:val="BodyText"/>
        <w:spacing w:before="100" w:after="100"/>
      </w:pPr>
      <w:r w:rsidRPr="00DA3DD4">
        <w:t xml:space="preserve">The modelling also includes non-carbon dioxide emissions, soil carbon stock changes, all vegetation and biomass change due to </w:t>
      </w:r>
      <w:r w:rsidRPr="00DA3DD4">
        <w:rPr>
          <w:i/>
          <w:iCs/>
        </w:rPr>
        <w:t>A</w:t>
      </w:r>
      <w:r w:rsidRPr="00DA3DD4">
        <w:rPr>
          <w:i/>
        </w:rPr>
        <w:t>fforestation and reforestation</w:t>
      </w:r>
      <w:r w:rsidRPr="00DA3DD4">
        <w:t xml:space="preserve"> and </w:t>
      </w:r>
      <w:r w:rsidRPr="00DA3DD4">
        <w:rPr>
          <w:i/>
          <w:iCs/>
        </w:rPr>
        <w:t>D</w:t>
      </w:r>
      <w:r w:rsidRPr="00DA3DD4">
        <w:rPr>
          <w:i/>
        </w:rPr>
        <w:t>eforestation</w:t>
      </w:r>
      <w:r w:rsidRPr="00DA3DD4">
        <w:t xml:space="preserve"> activities. This is consistent with the 2006 Intergovernmental Panel on Climate Change</w:t>
      </w:r>
      <w:r w:rsidRPr="00DA3DD4" w:rsidDel="002E61DD">
        <w:t xml:space="preserve"> </w:t>
      </w:r>
      <w:r w:rsidRPr="00DA3DD4">
        <w:t>Guidelines for LULUCF sector reporting.</w:t>
      </w:r>
      <w:r w:rsidRPr="00DA3DD4">
        <w:rPr>
          <w:rStyle w:val="FootnoteReference"/>
        </w:rPr>
        <w:footnoteReference w:id="203"/>
      </w:r>
    </w:p>
    <w:p w14:paraId="39B75EE9" w14:textId="77777777" w:rsidR="00921D1F" w:rsidRPr="00DA3DD4" w:rsidRDefault="00921D1F" w:rsidP="00921D1F">
      <w:pPr>
        <w:pStyle w:val="BodyText"/>
        <w:spacing w:before="100"/>
      </w:pPr>
      <w:r w:rsidRPr="00DA3DD4">
        <w:t xml:space="preserve">Projections of emissions from </w:t>
      </w:r>
      <w:r w:rsidRPr="00DA3DD4">
        <w:rPr>
          <w:i/>
          <w:iCs/>
        </w:rPr>
        <w:t>F</w:t>
      </w:r>
      <w:r w:rsidRPr="00DA3DD4">
        <w:rPr>
          <w:i/>
        </w:rPr>
        <w:t>orest management</w:t>
      </w:r>
      <w:r w:rsidRPr="00DA3DD4">
        <w:t xml:space="preserve"> activities in pre-1990 forests have not been modelled. Their contribution to the LULUCF target accounting quantities is assumed to be zero at this stage because they are expected to be consistent with the Forest Reference Level that has been calculated for NDC1. </w:t>
      </w:r>
      <w:r w:rsidRPr="00DA3DD4">
        <w:rPr>
          <w:i/>
        </w:rPr>
        <w:t>Forest management</w:t>
      </w:r>
      <w:r w:rsidRPr="00DA3DD4">
        <w:t xml:space="preserve"> activities will be accounted for against the Forest Reference Level at the end of the NDC1 period.</w:t>
      </w:r>
    </w:p>
    <w:p w14:paraId="4AC0D3C8" w14:textId="10A8CA49" w:rsidR="00921D1F" w:rsidRPr="00DA3DD4" w:rsidRDefault="000501F2" w:rsidP="00921D1F">
      <w:pPr>
        <w:pStyle w:val="Heading4"/>
      </w:pPr>
      <w:r>
        <w:t>2.6.3.2.3</w:t>
      </w:r>
      <w:r>
        <w:tab/>
      </w:r>
      <w:r w:rsidR="00921D1F" w:rsidRPr="00DA3DD4">
        <w:t>Main assumptions</w:t>
      </w:r>
    </w:p>
    <w:p w14:paraId="62896FE7" w14:textId="77777777" w:rsidR="00921D1F" w:rsidRPr="00DA3DD4" w:rsidRDefault="00921D1F" w:rsidP="00921D1F">
      <w:pPr>
        <w:pStyle w:val="Heading5"/>
        <w:spacing w:before="180"/>
      </w:pPr>
      <w:r w:rsidRPr="00DA3DD4">
        <w:t>Long-term average carbon stock</w:t>
      </w:r>
    </w:p>
    <w:p w14:paraId="4D96DF5D" w14:textId="6FE2CEBE" w:rsidR="00921D1F" w:rsidRPr="00DA3DD4" w:rsidRDefault="00921D1F" w:rsidP="00921D1F">
      <w:pPr>
        <w:pStyle w:val="BodyText"/>
        <w:spacing w:before="100" w:after="100"/>
      </w:pPr>
      <w:r w:rsidRPr="00DA3DD4">
        <w:t>The long-term average carbon stocks and transition ages for post-1989 forests are based on research completed by Scion in 2024.</w:t>
      </w:r>
      <w:r w:rsidRPr="00DA3DD4">
        <w:rPr>
          <w:vertAlign w:val="superscript"/>
        </w:rPr>
        <w:footnoteReference w:id="204"/>
      </w:r>
      <w:r w:rsidRPr="00DA3DD4">
        <w:t xml:space="preserve"> The long-term average carbon stock is calculated by averaging the overall contribution that a newly established forest will contribute towards removing carbon dioxide from the atmosphere over </w:t>
      </w:r>
      <w:r w:rsidR="6ED438F5" w:rsidRPr="00DA3DD4">
        <w:t>multiple</w:t>
      </w:r>
      <w:r w:rsidRPr="00DA3DD4">
        <w:t xml:space="preserve"> rotations, that is, after harvest residues and harvested wood products from previous rotations have stabilised. The long-term </w:t>
      </w:r>
      <w:r w:rsidR="1795C046" w:rsidRPr="00DA3DD4">
        <w:t>average</w:t>
      </w:r>
      <w:r w:rsidRPr="00DA3DD4">
        <w:t xml:space="preserve"> carbon stock used in the projections </w:t>
      </w:r>
      <w:r w:rsidR="70576631" w:rsidRPr="00DA3DD4">
        <w:t xml:space="preserve">is 206.7 tonnes </w:t>
      </w:r>
      <w:r w:rsidR="00112AF9" w:rsidRPr="00DA3DD4">
        <w:t>carbon</w:t>
      </w:r>
      <w:r w:rsidR="70576631" w:rsidRPr="00DA3DD4">
        <w:t xml:space="preserve"> per hectare reached at 23 years. </w:t>
      </w:r>
      <w:r w:rsidR="2066AB80" w:rsidRPr="00DA3DD4">
        <w:t xml:space="preserve">For more information on the calculation of the long-term average carbon stock refer to </w:t>
      </w:r>
      <w:hyperlink w:anchor="sectionA232" w:history="1">
        <w:r w:rsidR="2066AB80" w:rsidRPr="00C60B0F">
          <w:rPr>
            <w:rStyle w:val="Hyperlink"/>
          </w:rPr>
          <w:t>section A2.3.2</w:t>
        </w:r>
      </w:hyperlink>
      <w:r w:rsidR="2066AB80" w:rsidRPr="00DA3DD4">
        <w:t>.</w:t>
      </w:r>
    </w:p>
    <w:p w14:paraId="3003C296" w14:textId="77777777" w:rsidR="00921D1F" w:rsidRPr="00DA3DD4" w:rsidRDefault="00921D1F" w:rsidP="00921D1F">
      <w:pPr>
        <w:pStyle w:val="Heading5"/>
      </w:pPr>
      <w:r w:rsidRPr="00DA3DD4">
        <w:t>Deforestation</w:t>
      </w:r>
    </w:p>
    <w:p w14:paraId="1B4CB921" w14:textId="77777777" w:rsidR="00921D1F" w:rsidRPr="00DA3DD4" w:rsidRDefault="00921D1F" w:rsidP="00921D1F">
      <w:pPr>
        <w:pStyle w:val="BodyText"/>
      </w:pPr>
      <w:r w:rsidRPr="00DA3DD4">
        <w:t xml:space="preserve">Deforestation emissions are accounted for in full. </w:t>
      </w:r>
    </w:p>
    <w:p w14:paraId="6966E926" w14:textId="77777777" w:rsidR="00921D1F" w:rsidRPr="00DA3DD4" w:rsidRDefault="00921D1F" w:rsidP="00921D1F">
      <w:pPr>
        <w:pStyle w:val="BodyText"/>
      </w:pPr>
      <w:r w:rsidRPr="00DA3DD4">
        <w:t xml:space="preserve">Based on the 2023 </w:t>
      </w:r>
      <w:r w:rsidRPr="00DA3DD4">
        <w:rPr>
          <w:i/>
        </w:rPr>
        <w:t>Afforestation and Deforestation Intentions Survey Report</w:t>
      </w:r>
      <w:r w:rsidRPr="00DA3DD4">
        <w:t>,</w:t>
      </w:r>
      <w:r w:rsidRPr="00DA3DD4">
        <w:rPr>
          <w:rStyle w:val="FootnoteReference"/>
        </w:rPr>
        <w:footnoteReference w:id="205"/>
      </w:r>
      <w:r w:rsidRPr="00DA3DD4">
        <w:t xml:space="preserve"> it is projected that between 90 hectares and 225 hectares of pre-1990 planted forest could be deforested each year from 2023.</w:t>
      </w:r>
    </w:p>
    <w:p w14:paraId="2C0B3F8E" w14:textId="7B545497" w:rsidR="00921D1F" w:rsidRPr="00DA3DD4" w:rsidRDefault="00921D1F" w:rsidP="00921D1F">
      <w:pPr>
        <w:pStyle w:val="BodyText"/>
        <w:spacing w:before="100" w:after="100"/>
      </w:pPr>
      <w:r w:rsidRPr="00DA3DD4">
        <w:t xml:space="preserve">Pre-1990 natural forest deforestation estimates assume natural forest deforestation continues based on historical rates of deforestation. Pre-1990 natural forest deforestation is projected to occur based on the average of the last four years reported in </w:t>
      </w:r>
      <w:r w:rsidRPr="00DA3DD4">
        <w:rPr>
          <w:i/>
          <w:iCs/>
        </w:rPr>
        <w:t xml:space="preserve">New Zealand’s Greenhouse Gas </w:t>
      </w:r>
      <w:r w:rsidRPr="00DA3DD4">
        <w:rPr>
          <w:i/>
          <w:iCs/>
          <w:spacing w:val="-2"/>
        </w:rPr>
        <w:t>Inventory 1990–2022</w:t>
      </w:r>
      <w:r w:rsidRPr="00DA3DD4">
        <w:rPr>
          <w:spacing w:val="-2"/>
        </w:rPr>
        <w:t xml:space="preserve"> (Inventory 2024).</w:t>
      </w:r>
      <w:r w:rsidRPr="00DA3DD4">
        <w:rPr>
          <w:rStyle w:val="FootnoteReference"/>
          <w:spacing w:val="-2"/>
        </w:rPr>
        <w:footnoteReference w:id="206"/>
      </w:r>
      <w:r w:rsidRPr="00DA3DD4">
        <w:rPr>
          <w:spacing w:val="-2"/>
        </w:rPr>
        <w:t xml:space="preserve"> Lower and upper pre-1990 natural forest deforestation</w:t>
      </w:r>
      <w:r w:rsidRPr="00DA3DD4">
        <w:t xml:space="preserve"> scenarios assume a +/–50 per cent variation from the WEM</w:t>
      </w:r>
      <w:r w:rsidRPr="00DA3DD4" w:rsidDel="009E102F">
        <w:t xml:space="preserve"> </w:t>
      </w:r>
      <w:r w:rsidRPr="00DA3DD4">
        <w:t>scenario (</w:t>
      </w:r>
      <w:hyperlink w:anchor="table264" w:history="1">
        <w:r w:rsidRPr="00885508">
          <w:rPr>
            <w:rStyle w:val="Hyperlink"/>
          </w:rPr>
          <w:t>table 2.6.4</w:t>
        </w:r>
      </w:hyperlink>
      <w:r w:rsidRPr="00DA3DD4">
        <w:t>) and are used for sensitivity analysis purposes.</w:t>
      </w:r>
    </w:p>
    <w:p w14:paraId="469201E1" w14:textId="0E5E8002" w:rsidR="00921D1F" w:rsidRPr="00DA3DD4" w:rsidRDefault="00921D1F" w:rsidP="00921D1F">
      <w:pPr>
        <w:pStyle w:val="BodyText"/>
      </w:pPr>
      <w:r w:rsidRPr="00DA3DD4">
        <w:t xml:space="preserve">Post-1989 forest deforestation projections are based on owners’ intentions and the research </w:t>
      </w:r>
      <w:r w:rsidRPr="00560031">
        <w:rPr>
          <w:spacing w:val="-2"/>
        </w:rPr>
        <w:t>completed by the University of Canterbury in 2018.</w:t>
      </w:r>
      <w:r w:rsidRPr="00560031">
        <w:rPr>
          <w:spacing w:val="-2"/>
          <w:vertAlign w:val="superscript"/>
        </w:rPr>
        <w:footnoteReference w:id="207"/>
      </w:r>
      <w:r w:rsidRPr="00560031">
        <w:rPr>
          <w:spacing w:val="-2"/>
        </w:rPr>
        <w:t xml:space="preserve"> Post-1989 forest deforestation is assumed</w:t>
      </w:r>
      <w:r w:rsidRPr="00DA3DD4">
        <w:t xml:space="preserve"> to be limited to production forests and forests planted between 1990 and 2007, because more recent plantings (from 2008 onwards) that include carbon revenue (New Zealand Units issued</w:t>
      </w:r>
      <w:r w:rsidRPr="00DA3DD4" w:rsidDel="00533556">
        <w:t xml:space="preserve"> </w:t>
      </w:r>
      <w:r w:rsidRPr="00DA3DD4">
        <w:rPr>
          <w:spacing w:val="-2"/>
        </w:rPr>
        <w:t>for carbon sequestration from forests registered in the New Zealand Emissions Trading Scheme</w:t>
      </w:r>
      <w:r w:rsidR="0020114D">
        <w:rPr>
          <w:spacing w:val="-2"/>
        </w:rPr>
        <w:t xml:space="preserve"> (NZ ETS</w:t>
      </w:r>
      <w:r w:rsidRPr="00DA3DD4">
        <w:t>) are assumed to have a more permanent management plan. No post-1989 forest deforestation is assumed to occur after 2036. The</w:t>
      </w:r>
      <w:r w:rsidRPr="00DA3DD4" w:rsidDel="009E102F">
        <w:t xml:space="preserve"> </w:t>
      </w:r>
      <w:r w:rsidRPr="00DA3DD4">
        <w:t>WEM scenario assumes 3.8 per cent of post-1989 production forest planted between 1990 and 2007 could be deforested. Post-1989 forest deforestation is assumed to occur at the normal clear-fell optimal age of 28 years. All carbon in</w:t>
      </w:r>
      <w:r w:rsidR="00E47333">
        <w:t> </w:t>
      </w:r>
      <w:r w:rsidRPr="00DA3DD4">
        <w:t>biomass is accounted for as</w:t>
      </w:r>
      <w:r w:rsidRPr="00DA3DD4" w:rsidDel="00AB0012">
        <w:t xml:space="preserve"> </w:t>
      </w:r>
      <w:r w:rsidRPr="00DA3DD4">
        <w:t>an instantaneous emission at the time of deforestation.</w:t>
      </w:r>
    </w:p>
    <w:p w14:paraId="6A5EDFAA" w14:textId="77777777" w:rsidR="00921D1F" w:rsidRPr="00DA3DD4" w:rsidRDefault="00921D1F" w:rsidP="00921D1F">
      <w:pPr>
        <w:pStyle w:val="Tableheading"/>
      </w:pPr>
      <w:bookmarkStart w:id="730" w:name="table264"/>
      <w:bookmarkStart w:id="731" w:name="_Toc185407500"/>
      <w:bookmarkStart w:id="732" w:name="_Toc185427763"/>
      <w:r w:rsidRPr="00DA3DD4">
        <w:t>Table 2.6.4</w:t>
      </w:r>
      <w:bookmarkEnd w:id="730"/>
      <w:r w:rsidRPr="00DA3DD4">
        <w:t xml:space="preserve">: </w:t>
      </w:r>
      <w:r w:rsidRPr="00DA3DD4">
        <w:tab/>
        <w:t>Projected deforestation scenarios from 2023 onwards (hectares per year)</w:t>
      </w:r>
      <w:bookmarkEnd w:id="731"/>
      <w:bookmarkEnd w:id="732"/>
    </w:p>
    <w:tbl>
      <w:tblPr>
        <w:tblStyle w:val="MinistryfortheEnvironment"/>
        <w:tblW w:w="8505" w:type="dxa"/>
        <w:tblLayout w:type="fixed"/>
        <w:tblCellMar>
          <w:left w:w="85" w:type="dxa"/>
          <w:right w:w="85" w:type="dxa"/>
        </w:tblCellMar>
        <w:tblLook w:val="04A0" w:firstRow="1" w:lastRow="0" w:firstColumn="1" w:lastColumn="0" w:noHBand="0" w:noVBand="1"/>
      </w:tblPr>
      <w:tblGrid>
        <w:gridCol w:w="2502"/>
        <w:gridCol w:w="1472"/>
        <w:gridCol w:w="2680"/>
        <w:gridCol w:w="1851"/>
      </w:tblGrid>
      <w:tr w:rsidR="00921D1F" w:rsidRPr="00D8284F" w14:paraId="038D81A4" w14:textId="77777777">
        <w:trPr>
          <w:cnfStyle w:val="100000000000" w:firstRow="1" w:lastRow="0" w:firstColumn="0" w:lastColumn="0" w:oddVBand="0" w:evenVBand="0" w:oddHBand="0" w:evenHBand="0" w:firstRowFirstColumn="0" w:firstRowLastColumn="0" w:lastRowFirstColumn="0" w:lastRowLastColumn="0"/>
        </w:trPr>
        <w:tc>
          <w:tcPr>
            <w:tcW w:w="2660" w:type="dxa"/>
            <w:shd w:val="clear" w:color="auto" w:fill="1B556B"/>
            <w:noWrap/>
            <w:tcMar>
              <w:bottom w:w="0" w:type="dxa"/>
            </w:tcMar>
          </w:tcPr>
          <w:p w14:paraId="54B76F2C" w14:textId="77777777" w:rsidR="00921D1F" w:rsidRPr="00D8284F" w:rsidRDefault="00921D1F">
            <w:pPr>
              <w:pStyle w:val="TableTextbold"/>
              <w:keepNext/>
              <w:spacing w:before="40" w:after="40"/>
              <w:rPr>
                <w:b/>
                <w:szCs w:val="18"/>
              </w:rPr>
            </w:pPr>
            <w:r w:rsidRPr="00D8284F">
              <w:rPr>
                <w:b/>
                <w:szCs w:val="18"/>
              </w:rPr>
              <w:t>Forest type</w:t>
            </w:r>
          </w:p>
        </w:tc>
        <w:tc>
          <w:tcPr>
            <w:tcW w:w="1559" w:type="dxa"/>
            <w:shd w:val="clear" w:color="auto" w:fill="1B556B"/>
            <w:noWrap/>
            <w:tcMar>
              <w:bottom w:w="0" w:type="dxa"/>
            </w:tcMar>
          </w:tcPr>
          <w:p w14:paraId="1C30D2D6" w14:textId="77777777" w:rsidR="00921D1F" w:rsidRPr="00D8284F" w:rsidRDefault="00921D1F">
            <w:pPr>
              <w:pStyle w:val="TableText"/>
              <w:keepNext/>
              <w:spacing w:before="40" w:after="40"/>
              <w:jc w:val="right"/>
              <w:rPr>
                <w:szCs w:val="18"/>
              </w:rPr>
            </w:pPr>
            <w:r w:rsidRPr="00D8284F">
              <w:rPr>
                <w:szCs w:val="18"/>
              </w:rPr>
              <w:t>Upper removals</w:t>
            </w:r>
          </w:p>
        </w:tc>
        <w:tc>
          <w:tcPr>
            <w:tcW w:w="2850" w:type="dxa"/>
            <w:shd w:val="clear" w:color="auto" w:fill="1B556B"/>
            <w:noWrap/>
            <w:tcMar>
              <w:bottom w:w="0" w:type="dxa"/>
            </w:tcMar>
          </w:tcPr>
          <w:p w14:paraId="18152C25" w14:textId="77777777" w:rsidR="00921D1F" w:rsidRPr="00D8284F" w:rsidRDefault="00921D1F">
            <w:pPr>
              <w:pStyle w:val="TableText"/>
              <w:keepNext/>
              <w:spacing w:before="40" w:after="40"/>
              <w:jc w:val="right"/>
              <w:rPr>
                <w:szCs w:val="18"/>
              </w:rPr>
            </w:pPr>
            <w:r w:rsidRPr="00D8284F">
              <w:rPr>
                <w:szCs w:val="18"/>
              </w:rPr>
              <w:t>‘With existing measures’ scenario</w:t>
            </w:r>
          </w:p>
        </w:tc>
        <w:tc>
          <w:tcPr>
            <w:tcW w:w="1964" w:type="dxa"/>
            <w:shd w:val="clear" w:color="auto" w:fill="1B556B"/>
            <w:noWrap/>
            <w:tcMar>
              <w:bottom w:w="0" w:type="dxa"/>
            </w:tcMar>
          </w:tcPr>
          <w:p w14:paraId="7F4B3718" w14:textId="77777777" w:rsidR="00921D1F" w:rsidRPr="00D8284F" w:rsidRDefault="00921D1F">
            <w:pPr>
              <w:pStyle w:val="TableText"/>
              <w:keepNext/>
              <w:spacing w:before="40" w:after="40"/>
              <w:jc w:val="right"/>
              <w:rPr>
                <w:szCs w:val="18"/>
              </w:rPr>
            </w:pPr>
            <w:r w:rsidRPr="00D8284F">
              <w:rPr>
                <w:szCs w:val="18"/>
              </w:rPr>
              <w:t>Lower removals</w:t>
            </w:r>
          </w:p>
        </w:tc>
      </w:tr>
      <w:tr w:rsidR="00921D1F" w:rsidRPr="00D8284F" w14:paraId="1BA048B0" w14:textId="77777777">
        <w:tc>
          <w:tcPr>
            <w:tcW w:w="2660" w:type="dxa"/>
            <w:noWrap/>
            <w:tcMar>
              <w:bottom w:w="0" w:type="dxa"/>
            </w:tcMar>
            <w:hideMark/>
          </w:tcPr>
          <w:p w14:paraId="66B33609" w14:textId="77777777" w:rsidR="00921D1F" w:rsidRPr="00D8284F" w:rsidRDefault="00921D1F">
            <w:pPr>
              <w:pStyle w:val="TableText"/>
              <w:keepNext/>
              <w:spacing w:before="40" w:after="40"/>
              <w:rPr>
                <w:szCs w:val="18"/>
              </w:rPr>
            </w:pPr>
            <w:r w:rsidRPr="00D8284F">
              <w:rPr>
                <w:szCs w:val="18"/>
              </w:rPr>
              <w:t>Pre-1990 planted forest</w:t>
            </w:r>
          </w:p>
        </w:tc>
        <w:tc>
          <w:tcPr>
            <w:tcW w:w="1559" w:type="dxa"/>
            <w:noWrap/>
            <w:tcMar>
              <w:bottom w:w="0" w:type="dxa"/>
            </w:tcMar>
          </w:tcPr>
          <w:p w14:paraId="042CDFB9" w14:textId="77777777" w:rsidR="00921D1F" w:rsidRPr="00D8284F" w:rsidRDefault="00921D1F">
            <w:pPr>
              <w:pStyle w:val="TableText"/>
              <w:keepNext/>
              <w:spacing w:before="40" w:after="40"/>
              <w:jc w:val="right"/>
              <w:rPr>
                <w:szCs w:val="18"/>
              </w:rPr>
            </w:pPr>
            <w:r w:rsidRPr="00D8284F">
              <w:rPr>
                <w:szCs w:val="18"/>
              </w:rPr>
              <w:t>90</w:t>
            </w:r>
          </w:p>
        </w:tc>
        <w:tc>
          <w:tcPr>
            <w:tcW w:w="2850" w:type="dxa"/>
            <w:noWrap/>
            <w:tcMar>
              <w:bottom w:w="0" w:type="dxa"/>
            </w:tcMar>
          </w:tcPr>
          <w:p w14:paraId="488F77A0" w14:textId="77777777" w:rsidR="00921D1F" w:rsidRPr="00D8284F" w:rsidRDefault="00921D1F">
            <w:pPr>
              <w:pStyle w:val="TableText"/>
              <w:keepNext/>
              <w:spacing w:before="40" w:after="40"/>
              <w:jc w:val="right"/>
              <w:rPr>
                <w:szCs w:val="18"/>
              </w:rPr>
            </w:pPr>
            <w:r w:rsidRPr="00D8284F">
              <w:rPr>
                <w:szCs w:val="18"/>
              </w:rPr>
              <w:t>120</w:t>
            </w:r>
          </w:p>
        </w:tc>
        <w:tc>
          <w:tcPr>
            <w:tcW w:w="1964" w:type="dxa"/>
            <w:noWrap/>
            <w:tcMar>
              <w:bottom w:w="0" w:type="dxa"/>
            </w:tcMar>
          </w:tcPr>
          <w:p w14:paraId="42ED108A" w14:textId="77777777" w:rsidR="00921D1F" w:rsidRPr="00D8284F" w:rsidRDefault="00921D1F">
            <w:pPr>
              <w:pStyle w:val="TableText"/>
              <w:keepNext/>
              <w:spacing w:before="40" w:after="40"/>
              <w:jc w:val="right"/>
              <w:rPr>
                <w:szCs w:val="18"/>
              </w:rPr>
            </w:pPr>
            <w:r w:rsidRPr="00D8284F">
              <w:rPr>
                <w:szCs w:val="18"/>
              </w:rPr>
              <w:t>225</w:t>
            </w:r>
          </w:p>
        </w:tc>
      </w:tr>
      <w:tr w:rsidR="00921D1F" w:rsidRPr="00D8284F" w14:paraId="726F5B80" w14:textId="77777777">
        <w:tc>
          <w:tcPr>
            <w:tcW w:w="2660" w:type="dxa"/>
            <w:noWrap/>
            <w:tcMar>
              <w:bottom w:w="0" w:type="dxa"/>
            </w:tcMar>
            <w:hideMark/>
          </w:tcPr>
          <w:p w14:paraId="6F115782" w14:textId="77777777" w:rsidR="00921D1F" w:rsidRPr="00D8284F" w:rsidRDefault="00921D1F">
            <w:pPr>
              <w:pStyle w:val="TableText"/>
              <w:spacing w:before="40" w:after="40"/>
              <w:rPr>
                <w:szCs w:val="18"/>
              </w:rPr>
            </w:pPr>
            <w:r w:rsidRPr="00D8284F">
              <w:rPr>
                <w:szCs w:val="18"/>
              </w:rPr>
              <w:t>Post-1989 planted forest</w:t>
            </w:r>
          </w:p>
        </w:tc>
        <w:tc>
          <w:tcPr>
            <w:tcW w:w="1559" w:type="dxa"/>
            <w:noWrap/>
            <w:tcMar>
              <w:bottom w:w="0" w:type="dxa"/>
            </w:tcMar>
          </w:tcPr>
          <w:p w14:paraId="075712B0" w14:textId="77777777" w:rsidR="00921D1F" w:rsidRPr="00D8284F" w:rsidRDefault="00921D1F">
            <w:pPr>
              <w:pStyle w:val="TableText"/>
              <w:spacing w:before="40" w:after="40"/>
              <w:jc w:val="right"/>
              <w:rPr>
                <w:szCs w:val="18"/>
              </w:rPr>
            </w:pPr>
            <w:r w:rsidRPr="00D8284F">
              <w:rPr>
                <w:szCs w:val="18"/>
              </w:rPr>
              <w:t>690</w:t>
            </w:r>
          </w:p>
        </w:tc>
        <w:tc>
          <w:tcPr>
            <w:tcW w:w="2850" w:type="dxa"/>
            <w:noWrap/>
            <w:tcMar>
              <w:bottom w:w="0" w:type="dxa"/>
            </w:tcMar>
          </w:tcPr>
          <w:p w14:paraId="3274922D" w14:textId="77777777" w:rsidR="00921D1F" w:rsidRPr="00D8284F" w:rsidRDefault="00921D1F">
            <w:pPr>
              <w:pStyle w:val="TableText"/>
              <w:spacing w:before="40" w:after="40"/>
              <w:jc w:val="right"/>
              <w:rPr>
                <w:szCs w:val="18"/>
              </w:rPr>
            </w:pPr>
            <w:r w:rsidRPr="00D8284F">
              <w:rPr>
                <w:szCs w:val="18"/>
              </w:rPr>
              <w:t>1,010</w:t>
            </w:r>
          </w:p>
        </w:tc>
        <w:tc>
          <w:tcPr>
            <w:tcW w:w="1964" w:type="dxa"/>
            <w:noWrap/>
            <w:tcMar>
              <w:bottom w:w="0" w:type="dxa"/>
            </w:tcMar>
          </w:tcPr>
          <w:p w14:paraId="3D189094" w14:textId="77777777" w:rsidR="00921D1F" w:rsidRPr="00D8284F" w:rsidRDefault="00921D1F">
            <w:pPr>
              <w:pStyle w:val="TableText"/>
              <w:spacing w:before="40" w:after="40"/>
              <w:jc w:val="right"/>
              <w:rPr>
                <w:szCs w:val="18"/>
              </w:rPr>
            </w:pPr>
            <w:r w:rsidRPr="00D8284F">
              <w:rPr>
                <w:szCs w:val="18"/>
              </w:rPr>
              <w:t>2,380</w:t>
            </w:r>
          </w:p>
        </w:tc>
      </w:tr>
      <w:tr w:rsidR="00921D1F" w:rsidRPr="00D8284F" w14:paraId="347E1B0B" w14:textId="77777777">
        <w:tc>
          <w:tcPr>
            <w:tcW w:w="2660" w:type="dxa"/>
            <w:noWrap/>
            <w:tcMar>
              <w:bottom w:w="0" w:type="dxa"/>
            </w:tcMar>
            <w:hideMark/>
          </w:tcPr>
          <w:p w14:paraId="35162042" w14:textId="77777777" w:rsidR="00921D1F" w:rsidRPr="00D8284F" w:rsidRDefault="00921D1F">
            <w:pPr>
              <w:pStyle w:val="TableText"/>
              <w:spacing w:before="40" w:after="40"/>
              <w:rPr>
                <w:szCs w:val="18"/>
              </w:rPr>
            </w:pPr>
            <w:r w:rsidRPr="00D8284F">
              <w:rPr>
                <w:szCs w:val="18"/>
              </w:rPr>
              <w:t>Post-1989 native forest</w:t>
            </w:r>
          </w:p>
        </w:tc>
        <w:tc>
          <w:tcPr>
            <w:tcW w:w="1559" w:type="dxa"/>
            <w:noWrap/>
            <w:tcMar>
              <w:bottom w:w="0" w:type="dxa"/>
            </w:tcMar>
          </w:tcPr>
          <w:p w14:paraId="2CE0470A" w14:textId="77777777" w:rsidR="00921D1F" w:rsidRPr="00D8284F" w:rsidRDefault="00921D1F">
            <w:pPr>
              <w:pStyle w:val="TableText"/>
              <w:spacing w:before="40" w:after="40"/>
              <w:jc w:val="right"/>
              <w:rPr>
                <w:szCs w:val="18"/>
              </w:rPr>
            </w:pPr>
            <w:r w:rsidRPr="00D8284F">
              <w:rPr>
                <w:szCs w:val="18"/>
              </w:rPr>
              <w:t>59</w:t>
            </w:r>
          </w:p>
        </w:tc>
        <w:tc>
          <w:tcPr>
            <w:tcW w:w="2850" w:type="dxa"/>
            <w:noWrap/>
            <w:tcMar>
              <w:bottom w:w="0" w:type="dxa"/>
            </w:tcMar>
          </w:tcPr>
          <w:p w14:paraId="331213EA" w14:textId="77777777" w:rsidR="00921D1F" w:rsidRPr="00D8284F" w:rsidRDefault="00921D1F">
            <w:pPr>
              <w:pStyle w:val="TableText"/>
              <w:spacing w:before="40" w:after="40"/>
              <w:jc w:val="right"/>
              <w:rPr>
                <w:szCs w:val="18"/>
              </w:rPr>
            </w:pPr>
            <w:r w:rsidRPr="00D8284F">
              <w:rPr>
                <w:szCs w:val="18"/>
              </w:rPr>
              <w:t>117</w:t>
            </w:r>
          </w:p>
        </w:tc>
        <w:tc>
          <w:tcPr>
            <w:tcW w:w="1964" w:type="dxa"/>
            <w:noWrap/>
            <w:tcMar>
              <w:bottom w:w="0" w:type="dxa"/>
            </w:tcMar>
          </w:tcPr>
          <w:p w14:paraId="5792C435" w14:textId="77777777" w:rsidR="00921D1F" w:rsidRPr="00D8284F" w:rsidRDefault="00921D1F">
            <w:pPr>
              <w:pStyle w:val="TableText"/>
              <w:spacing w:before="40" w:after="40"/>
              <w:jc w:val="right"/>
              <w:rPr>
                <w:szCs w:val="18"/>
              </w:rPr>
            </w:pPr>
            <w:r w:rsidRPr="00D8284F">
              <w:rPr>
                <w:szCs w:val="18"/>
              </w:rPr>
              <w:t>176</w:t>
            </w:r>
          </w:p>
        </w:tc>
      </w:tr>
      <w:tr w:rsidR="00921D1F" w:rsidRPr="00D8284F" w14:paraId="74A63A53" w14:textId="77777777">
        <w:tc>
          <w:tcPr>
            <w:tcW w:w="2660" w:type="dxa"/>
            <w:noWrap/>
            <w:tcMar>
              <w:bottom w:w="0" w:type="dxa"/>
            </w:tcMar>
            <w:hideMark/>
          </w:tcPr>
          <w:p w14:paraId="64E03D26" w14:textId="77777777" w:rsidR="00921D1F" w:rsidRPr="00D8284F" w:rsidRDefault="00921D1F">
            <w:pPr>
              <w:pStyle w:val="TableText"/>
              <w:spacing w:before="40" w:after="40"/>
              <w:rPr>
                <w:szCs w:val="18"/>
              </w:rPr>
            </w:pPr>
            <w:r w:rsidRPr="00D8284F">
              <w:rPr>
                <w:szCs w:val="18"/>
              </w:rPr>
              <w:t>Pre-1990 native forest</w:t>
            </w:r>
          </w:p>
        </w:tc>
        <w:tc>
          <w:tcPr>
            <w:tcW w:w="1559" w:type="dxa"/>
            <w:noWrap/>
            <w:tcMar>
              <w:bottom w:w="0" w:type="dxa"/>
            </w:tcMar>
          </w:tcPr>
          <w:p w14:paraId="0996D7F0" w14:textId="77777777" w:rsidR="00921D1F" w:rsidRPr="00D8284F" w:rsidRDefault="00921D1F">
            <w:pPr>
              <w:pStyle w:val="TableText"/>
              <w:spacing w:before="40" w:after="40"/>
              <w:jc w:val="right"/>
              <w:rPr>
                <w:szCs w:val="18"/>
              </w:rPr>
            </w:pPr>
            <w:r w:rsidRPr="00D8284F">
              <w:rPr>
                <w:szCs w:val="18"/>
              </w:rPr>
              <w:t>287</w:t>
            </w:r>
          </w:p>
        </w:tc>
        <w:tc>
          <w:tcPr>
            <w:tcW w:w="2850" w:type="dxa"/>
            <w:noWrap/>
            <w:tcMar>
              <w:bottom w:w="0" w:type="dxa"/>
            </w:tcMar>
          </w:tcPr>
          <w:p w14:paraId="7AE6D2B3" w14:textId="77777777" w:rsidR="00921D1F" w:rsidRPr="00D8284F" w:rsidRDefault="00921D1F">
            <w:pPr>
              <w:pStyle w:val="TableText"/>
              <w:spacing w:before="40" w:after="40"/>
              <w:jc w:val="right"/>
              <w:rPr>
                <w:szCs w:val="18"/>
              </w:rPr>
            </w:pPr>
            <w:r w:rsidRPr="00D8284F">
              <w:rPr>
                <w:szCs w:val="18"/>
              </w:rPr>
              <w:t>575</w:t>
            </w:r>
          </w:p>
        </w:tc>
        <w:tc>
          <w:tcPr>
            <w:tcW w:w="1964" w:type="dxa"/>
            <w:noWrap/>
            <w:tcMar>
              <w:bottom w:w="0" w:type="dxa"/>
            </w:tcMar>
          </w:tcPr>
          <w:p w14:paraId="042E05EE" w14:textId="77777777" w:rsidR="00921D1F" w:rsidRPr="00D8284F" w:rsidRDefault="00921D1F">
            <w:pPr>
              <w:pStyle w:val="TableText"/>
              <w:spacing w:before="40" w:after="40"/>
              <w:jc w:val="right"/>
              <w:rPr>
                <w:szCs w:val="18"/>
              </w:rPr>
            </w:pPr>
            <w:r w:rsidRPr="00D8284F">
              <w:rPr>
                <w:szCs w:val="18"/>
              </w:rPr>
              <w:t>862</w:t>
            </w:r>
          </w:p>
        </w:tc>
      </w:tr>
      <w:tr w:rsidR="00921D1F" w:rsidRPr="00D8284F" w14:paraId="401E0361" w14:textId="77777777">
        <w:tc>
          <w:tcPr>
            <w:tcW w:w="2660" w:type="dxa"/>
            <w:noWrap/>
            <w:tcMar>
              <w:bottom w:w="0" w:type="dxa"/>
            </w:tcMar>
            <w:hideMark/>
          </w:tcPr>
          <w:p w14:paraId="28186B34" w14:textId="77777777" w:rsidR="00921D1F" w:rsidRPr="00D8284F" w:rsidRDefault="00921D1F">
            <w:pPr>
              <w:pStyle w:val="TableText"/>
              <w:spacing w:before="40" w:after="40"/>
              <w:rPr>
                <w:b/>
                <w:bCs/>
                <w:szCs w:val="18"/>
              </w:rPr>
            </w:pPr>
            <w:r w:rsidRPr="00D8284F">
              <w:rPr>
                <w:b/>
                <w:bCs/>
                <w:szCs w:val="18"/>
              </w:rPr>
              <w:t>Total deforestation</w:t>
            </w:r>
          </w:p>
        </w:tc>
        <w:tc>
          <w:tcPr>
            <w:tcW w:w="1559" w:type="dxa"/>
            <w:noWrap/>
            <w:tcMar>
              <w:bottom w:w="0" w:type="dxa"/>
            </w:tcMar>
            <w:vAlign w:val="center"/>
          </w:tcPr>
          <w:p w14:paraId="4BD576D7" w14:textId="77777777" w:rsidR="00921D1F" w:rsidRPr="00D8284F" w:rsidRDefault="00921D1F">
            <w:pPr>
              <w:pStyle w:val="TableText"/>
              <w:spacing w:before="40" w:after="40"/>
              <w:jc w:val="right"/>
              <w:rPr>
                <w:b/>
                <w:bCs/>
                <w:szCs w:val="18"/>
              </w:rPr>
            </w:pPr>
            <w:r w:rsidRPr="00D8284F">
              <w:rPr>
                <w:b/>
                <w:bCs/>
                <w:szCs w:val="18"/>
              </w:rPr>
              <w:t>1,126</w:t>
            </w:r>
          </w:p>
        </w:tc>
        <w:tc>
          <w:tcPr>
            <w:tcW w:w="2850" w:type="dxa"/>
            <w:noWrap/>
            <w:tcMar>
              <w:bottom w:w="0" w:type="dxa"/>
            </w:tcMar>
          </w:tcPr>
          <w:p w14:paraId="573D04D9" w14:textId="77777777" w:rsidR="00921D1F" w:rsidRPr="00D8284F" w:rsidRDefault="00921D1F">
            <w:pPr>
              <w:pStyle w:val="TableText"/>
              <w:spacing w:before="40" w:after="40"/>
              <w:jc w:val="right"/>
              <w:rPr>
                <w:b/>
                <w:bCs/>
                <w:szCs w:val="18"/>
              </w:rPr>
            </w:pPr>
            <w:r w:rsidRPr="00D8284F">
              <w:rPr>
                <w:b/>
                <w:bCs/>
                <w:szCs w:val="18"/>
              </w:rPr>
              <w:t>1,822</w:t>
            </w:r>
          </w:p>
        </w:tc>
        <w:tc>
          <w:tcPr>
            <w:tcW w:w="1964" w:type="dxa"/>
            <w:noWrap/>
            <w:tcMar>
              <w:bottom w:w="0" w:type="dxa"/>
            </w:tcMar>
          </w:tcPr>
          <w:p w14:paraId="5AEFE481" w14:textId="77777777" w:rsidR="00921D1F" w:rsidRPr="00D8284F" w:rsidRDefault="00921D1F">
            <w:pPr>
              <w:pStyle w:val="TableText"/>
              <w:spacing w:before="40" w:after="40"/>
              <w:jc w:val="right"/>
              <w:rPr>
                <w:b/>
                <w:bCs/>
                <w:szCs w:val="18"/>
              </w:rPr>
            </w:pPr>
            <w:r w:rsidRPr="00D8284F">
              <w:rPr>
                <w:b/>
                <w:bCs/>
                <w:szCs w:val="18"/>
              </w:rPr>
              <w:t>3,644</w:t>
            </w:r>
          </w:p>
        </w:tc>
      </w:tr>
    </w:tbl>
    <w:p w14:paraId="5A7463E6" w14:textId="77777777" w:rsidR="00921D1F" w:rsidRPr="00DA3DD4" w:rsidRDefault="00921D1F" w:rsidP="00921D1F">
      <w:pPr>
        <w:pStyle w:val="Heading5"/>
        <w:spacing w:before="360"/>
      </w:pPr>
      <w:r w:rsidRPr="00DA3DD4">
        <w:t>Permanent forests</w:t>
      </w:r>
    </w:p>
    <w:p w14:paraId="3E294938" w14:textId="77777777" w:rsidR="00921D1F" w:rsidRPr="00DA3DD4" w:rsidRDefault="00921D1F" w:rsidP="00921D1F">
      <w:pPr>
        <w:pStyle w:val="BodyText"/>
      </w:pPr>
      <w:r w:rsidRPr="00DA3DD4">
        <w:t>The WEM projections in section 2.5 factor in that some post-1989 production forests will not be harvested at the optimal harvest age and, instead, will have extended rotations or will be managed as permanent forests. The LULUCF target accounting projections presented in this section factor in that a proportion of the smaller-sized post-1989 forests planted between 1990 and 2018 will grow on beyond the optimal harvest age. This is based on Ministry for Primary Industries-funded research of owners’ intentions completed by the University of Canterbury in 2018.</w:t>
      </w:r>
      <w:r w:rsidRPr="00DA3DD4">
        <w:rPr>
          <w:vertAlign w:val="superscript"/>
        </w:rPr>
        <w:t>3</w:t>
      </w:r>
    </w:p>
    <w:p w14:paraId="50EABAF1" w14:textId="77777777" w:rsidR="00921D1F" w:rsidRPr="00DA3DD4" w:rsidRDefault="00921D1F" w:rsidP="00921D1F">
      <w:pPr>
        <w:pStyle w:val="BodyText"/>
        <w:rPr>
          <w:rFonts w:cstheme="minorHAnsi"/>
        </w:rPr>
      </w:pPr>
      <w:r w:rsidRPr="00DA3DD4">
        <w:t>The research found around 6.1 per cent of the post-1989 forest estate established between 1990 and 2018 is either unlikely to be harvested in the future or the forest will be managed for other purposes. In the LULUCF target accounting projections, these post-1989 forests are not treated under the long-term average carbon stock accounting approach but, rather, under a stock change</w:t>
      </w:r>
      <w:r w:rsidRPr="00DA3DD4">
        <w:rPr>
          <w:rStyle w:val="FootnoteReference"/>
          <w:rFonts w:asciiTheme="minorHAnsi" w:hAnsiTheme="minorHAnsi"/>
        </w:rPr>
        <w:footnoteReference w:id="208"/>
      </w:r>
      <w:r w:rsidRPr="00DA3DD4">
        <w:t xml:space="preserve"> accounting approach. Estimates of permanent afforestation from 2019 to 2050 are based on the </w:t>
      </w:r>
      <w:r w:rsidRPr="00DA3DD4">
        <w:rPr>
          <w:i/>
          <w:iCs/>
        </w:rPr>
        <w:t xml:space="preserve">Afforestation and Deforestation Intentions Survey </w:t>
      </w:r>
      <w:r w:rsidRPr="00DA3DD4">
        <w:t>reports.</w:t>
      </w:r>
      <w:r w:rsidRPr="00DA3DD4">
        <w:rPr>
          <w:vertAlign w:val="superscript"/>
        </w:rPr>
        <w:footnoteReference w:id="209"/>
      </w:r>
    </w:p>
    <w:p w14:paraId="581281F9" w14:textId="77777777" w:rsidR="00921D1F" w:rsidRPr="00DA3DD4" w:rsidRDefault="00921D1F" w:rsidP="00921D1F">
      <w:pPr>
        <w:pStyle w:val="Heading5"/>
      </w:pPr>
      <w:r w:rsidRPr="00DA3DD4">
        <w:t>Afforestation</w:t>
      </w:r>
    </w:p>
    <w:p w14:paraId="5910FFCD" w14:textId="77777777" w:rsidR="00921D1F" w:rsidRPr="00DA3DD4" w:rsidRDefault="00921D1F" w:rsidP="00921D1F">
      <w:pPr>
        <w:pStyle w:val="BodyText"/>
        <w:rPr>
          <w:rFonts w:cstheme="minorHAnsi"/>
        </w:rPr>
      </w:pPr>
      <w:r w:rsidRPr="00DA3DD4">
        <w:t xml:space="preserve">Historical estimates from 1990 to 2022 are sourced from Inventory 2024, while projections from 2023 are based on the annual </w:t>
      </w:r>
      <w:r w:rsidRPr="00DA3DD4">
        <w:rPr>
          <w:i/>
        </w:rPr>
        <w:t>Afforestation and Deforestation Intentions Survey</w:t>
      </w:r>
      <w:r w:rsidRPr="00DA3DD4">
        <w:t xml:space="preserve"> reports.</w:t>
      </w:r>
      <w:r w:rsidRPr="00DA3DD4">
        <w:rPr>
          <w:rStyle w:val="FootnoteReference"/>
          <w:rFonts w:asciiTheme="minorHAnsi" w:hAnsiTheme="minorHAnsi"/>
        </w:rPr>
        <w:footnoteReference w:id="210"/>
      </w:r>
    </w:p>
    <w:p w14:paraId="7C324D36" w14:textId="7C70D052" w:rsidR="00921D1F" w:rsidRPr="00DA3DD4" w:rsidRDefault="00921D1F" w:rsidP="00E47333">
      <w:pPr>
        <w:pStyle w:val="BodyText"/>
        <w:keepLines/>
      </w:pPr>
      <w:r w:rsidRPr="00DA3DD4">
        <w:t xml:space="preserve">Afforestation projections from 2023 to 2030 are based on a combination of the 2021 and 2023 </w:t>
      </w:r>
      <w:r w:rsidRPr="00DA3DD4">
        <w:rPr>
          <w:i/>
        </w:rPr>
        <w:t>Afforestation and Deforestation Intentions Survey</w:t>
      </w:r>
      <w:r w:rsidRPr="00DA3DD4">
        <w:t xml:space="preserve"> reports and then extrapolated to 2050 assuming similar policies and measures apply.</w:t>
      </w:r>
      <w:r w:rsidRPr="75ADBAC8">
        <w:rPr>
          <w:rStyle w:val="FootnoteReference"/>
        </w:rPr>
        <w:footnoteReference w:id="211"/>
      </w:r>
      <w:r w:rsidRPr="00DA3DD4">
        <w:t xml:space="preserve"> The 2021 </w:t>
      </w:r>
      <w:r w:rsidRPr="00DA3DD4">
        <w:rPr>
          <w:i/>
        </w:rPr>
        <w:t>Afforestation and Deforestation Intentions Survey</w:t>
      </w:r>
      <w:r w:rsidRPr="00DA3DD4">
        <w:t xml:space="preserve"> findings are used to estimate the upper afforestation scenario from 2027, while the 2023 survey is used to estimate afforestation from 2023 to 2026 and the lower projection scenario. This approach factors in recent carbon price fluctuations in </w:t>
      </w:r>
      <w:r w:rsidR="0020114D">
        <w:t>the NZ ETS</w:t>
      </w:r>
      <w:r w:rsidRPr="00DA3DD4">
        <w:t xml:space="preserve"> and market uncertainty.</w:t>
      </w:r>
    </w:p>
    <w:p w14:paraId="30C9067B" w14:textId="77777777" w:rsidR="00921D1F" w:rsidRPr="00DA3DD4" w:rsidRDefault="00921D1F" w:rsidP="00921D1F">
      <w:pPr>
        <w:pStyle w:val="Heading5"/>
      </w:pPr>
      <w:r w:rsidRPr="00DA3DD4">
        <w:t xml:space="preserve">Limitations </w:t>
      </w:r>
    </w:p>
    <w:p w14:paraId="2B0A6BE2" w14:textId="77777777" w:rsidR="00921D1F" w:rsidRPr="00DA3DD4" w:rsidRDefault="00921D1F" w:rsidP="00921D1F">
      <w:pPr>
        <w:pStyle w:val="BodyText"/>
      </w:pPr>
      <w:r w:rsidRPr="00DA3DD4">
        <w:t>These afforestation, reforestation and deforestation projections should only be used to estimate the amount that LULUCF could contribute towards New Zealand’s NDC1 target and are based on policy settings as of May 2024. These projections exclude the impact of forest management, because its contribution towards NDC1 is assumed to be zero at this stage.</w:t>
      </w:r>
    </w:p>
    <w:p w14:paraId="49D996B7" w14:textId="77777777" w:rsidR="00921D1F" w:rsidRPr="00DA3DD4" w:rsidRDefault="00921D1F" w:rsidP="00921D1F">
      <w:pPr>
        <w:pStyle w:val="Heading5"/>
      </w:pPr>
      <w:r w:rsidRPr="00DA3DD4">
        <w:t>Sensitivity analysis</w:t>
      </w:r>
    </w:p>
    <w:p w14:paraId="3B77CD9C" w14:textId="5ED23FAE" w:rsidR="00921D1F" w:rsidRPr="00DA3DD4" w:rsidRDefault="00921D1F" w:rsidP="00921D1F">
      <w:pPr>
        <w:pStyle w:val="BodyText"/>
        <w:rPr>
          <w:rFonts w:cstheme="minorHAnsi"/>
        </w:rPr>
      </w:pPr>
      <w:r w:rsidRPr="00DA3DD4">
        <w:t>The LULUCF target accounting projections are based on land</w:t>
      </w:r>
      <w:r w:rsidR="00CC04A7">
        <w:t>-</w:t>
      </w:r>
      <w:r w:rsidRPr="00DA3DD4">
        <w:t>use statistics, scientific knowledge, policies that influence land</w:t>
      </w:r>
      <w:r w:rsidR="00CC04A7">
        <w:t>-</w:t>
      </w:r>
      <w:r w:rsidRPr="00DA3DD4">
        <w:t>use decision-making, as well as external</w:t>
      </w:r>
      <w:r w:rsidRPr="00DA3DD4" w:rsidDel="00D96B0B">
        <w:t xml:space="preserve"> </w:t>
      </w:r>
      <w:r w:rsidRPr="00DA3DD4">
        <w:t>research and evidence. However, projections are by their nature uncertain. The main areas of uncertainty within the LULUCF target accounting projections are in predicting future levels and timing of harvest, which is essential for determining the long-term average carbon stock and projecting future levels of afforestation and deforestation.</w:t>
      </w:r>
      <w:r w:rsidRPr="00DA3DD4">
        <w:rPr>
          <w:rStyle w:val="FootnoteReference"/>
          <w:rFonts w:asciiTheme="minorHAnsi" w:hAnsiTheme="minorHAnsi"/>
        </w:rPr>
        <w:footnoteReference w:id="212"/>
      </w:r>
      <w:r w:rsidRPr="00DA3DD4">
        <w:t xml:space="preserve"> </w:t>
      </w:r>
    </w:p>
    <w:p w14:paraId="7E17BF6C" w14:textId="77777777" w:rsidR="00921D1F" w:rsidRPr="00DA3DD4" w:rsidRDefault="00921D1F" w:rsidP="00921D1F">
      <w:pPr>
        <w:pStyle w:val="BodyText"/>
        <w:rPr>
          <w:highlight w:val="yellow"/>
        </w:rPr>
      </w:pPr>
      <w:r w:rsidRPr="00DA3DD4">
        <w:t xml:space="preserve">Three sensitivity scenarios are modelled to help illustrate the impacts of this uncertainty. Upper and lower scenarios are modelled around a central WEM scenario. </w:t>
      </w:r>
    </w:p>
    <w:p w14:paraId="701785B2" w14:textId="77777777" w:rsidR="00921D1F" w:rsidRPr="00DA3DD4" w:rsidRDefault="00921D1F" w:rsidP="00921D1F">
      <w:pPr>
        <w:pStyle w:val="Sub-lista"/>
        <w:ind w:left="397"/>
      </w:pPr>
      <w:r w:rsidRPr="00DA3DD4">
        <w:rPr>
          <w:b/>
          <w:bCs/>
        </w:rPr>
        <w:t>Upper removals:</w:t>
      </w:r>
      <w:r w:rsidRPr="00DA3DD4">
        <w:t xml:space="preserve"> This scenario assumes total afforestation of around 1,062,000 hectares over 2023 to 2050. This scenario assumes around 1,126 hectares of deforestation per year from 2023.</w:t>
      </w:r>
    </w:p>
    <w:p w14:paraId="5170FA6B" w14:textId="77777777" w:rsidR="00921D1F" w:rsidRPr="00DA3DD4" w:rsidRDefault="00921D1F" w:rsidP="00921D1F">
      <w:pPr>
        <w:pStyle w:val="Sub-lista"/>
        <w:ind w:left="397"/>
      </w:pPr>
      <w:r w:rsidRPr="00DA3DD4">
        <w:rPr>
          <w:b/>
          <w:bCs/>
        </w:rPr>
        <w:t>WEM:</w:t>
      </w:r>
      <w:r w:rsidRPr="00DA3DD4">
        <w:t xml:space="preserve"> This scenario assumes total afforestation of around 851,500 hectares of forest establishment over 2023 to 2050. This scenario assumes around 1,822 hectares of deforestation per year from 2023.</w:t>
      </w:r>
    </w:p>
    <w:p w14:paraId="7643C557" w14:textId="77777777" w:rsidR="00921D1F" w:rsidRPr="00DA3DD4" w:rsidRDefault="00921D1F" w:rsidP="00921D1F">
      <w:pPr>
        <w:pStyle w:val="Sub-lista"/>
        <w:ind w:left="397"/>
      </w:pPr>
      <w:r w:rsidRPr="00DA3DD4">
        <w:rPr>
          <w:b/>
        </w:rPr>
        <w:t>Lower removals:</w:t>
      </w:r>
      <w:r w:rsidRPr="00DA3DD4">
        <w:t xml:space="preserve"> This scenario assumes total afforestation of around 640,700 hectares of forest establishment over 2023 to 2050. This scenario assumes around 3,644 hectares of deforestation per year from 2023.</w:t>
      </w:r>
    </w:p>
    <w:p w14:paraId="20F69F15" w14:textId="263C563A" w:rsidR="00921D1F" w:rsidRPr="00DA3DD4" w:rsidRDefault="00921D1F" w:rsidP="00921D1F">
      <w:pPr>
        <w:pStyle w:val="BodyText"/>
        <w:rPr>
          <w:lang w:eastAsia="en-US"/>
        </w:rPr>
      </w:pPr>
      <w:hyperlink w:anchor="figure263" w:history="1">
        <w:r w:rsidRPr="002B0550">
          <w:rPr>
            <w:rStyle w:val="Hyperlink"/>
            <w:lang w:eastAsia="en-US"/>
          </w:rPr>
          <w:t>Figure 2.6.3</w:t>
        </w:r>
      </w:hyperlink>
      <w:r w:rsidRPr="00DA3DD4">
        <w:rPr>
          <w:lang w:eastAsia="en-US"/>
        </w:rPr>
        <w:t xml:space="preserve"> and </w:t>
      </w:r>
      <w:hyperlink w:anchor="table265" w:history="1">
        <w:r w:rsidRPr="002B0550">
          <w:rPr>
            <w:rStyle w:val="Hyperlink"/>
            <w:lang w:eastAsia="en-US"/>
          </w:rPr>
          <w:t>table 2.6</w:t>
        </w:r>
        <w:r w:rsidR="002B0550">
          <w:rPr>
            <w:rStyle w:val="Hyperlink"/>
            <w:lang w:eastAsia="en-US"/>
          </w:rPr>
          <w:t xml:space="preserve">.5 </w:t>
        </w:r>
      </w:hyperlink>
      <w:r w:rsidRPr="00DA3DD4">
        <w:rPr>
          <w:lang w:eastAsia="en-US"/>
        </w:rPr>
        <w:t xml:space="preserve"> show historical and projected LULUCF target accounting quantities from 2020 to 2050. Historical estimates are provided for 2020 to 2022.</w:t>
      </w:r>
      <w:r w:rsidRPr="00DA3DD4" w:rsidDel="00526066">
        <w:rPr>
          <w:lang w:eastAsia="en-US"/>
        </w:rPr>
        <w:t xml:space="preserve"> </w:t>
      </w:r>
      <w:r w:rsidRPr="00DA3DD4">
        <w:rPr>
          <w:lang w:eastAsia="en-US"/>
        </w:rPr>
        <w:t>The lower and upper projection scenarios reflect the sensitivity in projecting future rates of afforestation and deforestation.</w:t>
      </w:r>
    </w:p>
    <w:p w14:paraId="3041A180" w14:textId="2B308C6B" w:rsidR="00921D1F" w:rsidRPr="00DA3DD4" w:rsidRDefault="00921D1F" w:rsidP="00921D1F">
      <w:pPr>
        <w:pStyle w:val="Figureheading"/>
        <w:ind w:left="1276" w:hanging="1276"/>
      </w:pPr>
      <w:bookmarkStart w:id="733" w:name="figure263"/>
      <w:bookmarkStart w:id="734" w:name="_Toc185347276"/>
      <w:r w:rsidRPr="00DA3DD4">
        <w:t>Figure 2.6.3</w:t>
      </w:r>
      <w:bookmarkEnd w:id="733"/>
      <w:r w:rsidRPr="00DA3DD4">
        <w:t xml:space="preserve">: </w:t>
      </w:r>
      <w:r w:rsidRPr="00DA3DD4">
        <w:tab/>
        <w:t>Historical and projected LULUCF target accounting quantities under ‘with existing measures’, lower and upper removals scenarios, 2020–2050</w:t>
      </w:r>
      <w:bookmarkEnd w:id="734"/>
      <w:r w:rsidRPr="00DA3DD4">
        <w:t xml:space="preserve"> </w:t>
      </w:r>
    </w:p>
    <w:p w14:paraId="60DD802B" w14:textId="051CFD92" w:rsidR="00921D1F" w:rsidRPr="00DA3DD4" w:rsidRDefault="003E4E73" w:rsidP="00921D1F">
      <w:pPr>
        <w:pStyle w:val="BodyText"/>
        <w:spacing w:before="80" w:after="80"/>
      </w:pPr>
      <w:r>
        <w:rPr>
          <w:noProof/>
        </w:rPr>
        <w:drawing>
          <wp:inline distT="0" distB="0" distL="0" distR="0" wp14:anchorId="40B7FAE4" wp14:editId="4A4ABAB4">
            <wp:extent cx="5209865" cy="2892490"/>
            <wp:effectExtent l="0" t="0" r="0" b="3175"/>
            <wp:docPr id="445951439" name="Picture 25" descr="A line graph showing historical and projected Land-use, Land-use Change and Forestry sector target accounting quantities ‘with existing measures’ for lower and upper removals scenarios for the period 2020 to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951439" name="Picture 25" descr="A line graph showing historical and projected Land-use, Land-use Change and Forestry sector target accounting quantities ‘with existing measures’ for lower and upper removals scenarios for the period 2020 to 205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26637" cy="2901802"/>
                    </a:xfrm>
                    <a:prstGeom prst="rect">
                      <a:avLst/>
                    </a:prstGeom>
                    <a:noFill/>
                  </pic:spPr>
                </pic:pic>
              </a:graphicData>
            </a:graphic>
          </wp:inline>
        </w:drawing>
      </w:r>
    </w:p>
    <w:p w14:paraId="2C8AD534" w14:textId="77777777" w:rsidR="00921D1F" w:rsidRPr="00DA3DD4" w:rsidRDefault="00921D1F" w:rsidP="00921D1F">
      <w:pPr>
        <w:pStyle w:val="Note"/>
        <w:spacing w:after="240"/>
      </w:pPr>
      <w:r w:rsidRPr="00DA3DD4">
        <w:rPr>
          <w:rFonts w:eastAsia="Times New Roman" w:cs="Times New Roman"/>
          <w:b/>
          <w:bCs/>
        </w:rPr>
        <w:t>Note:</w:t>
      </w:r>
      <w:r w:rsidRPr="00DA3DD4">
        <w:t xml:space="preserve"> LULUCF = Land Use, Land-Use Change and Forestry; Mt CO</w:t>
      </w:r>
      <w:r w:rsidRPr="00DA3DD4">
        <w:rPr>
          <w:rFonts w:eastAsia="Times New Roman" w:cs="Times New Roman"/>
          <w:vertAlign w:val="subscript"/>
        </w:rPr>
        <w:t>2</w:t>
      </w:r>
      <w:r w:rsidRPr="00DA3DD4">
        <w:t xml:space="preserve">e = </w:t>
      </w:r>
      <w:r w:rsidRPr="00DA3DD4">
        <w:rPr>
          <w:rFonts w:eastAsia="Calibri" w:cs="Calibri"/>
        </w:rPr>
        <w:t xml:space="preserve">million tonnes of </w:t>
      </w:r>
      <w:r w:rsidRPr="00DA3DD4">
        <w:t xml:space="preserve">carbon dioxide equivalent. </w:t>
      </w:r>
    </w:p>
    <w:p w14:paraId="6521EEBA" w14:textId="766CE70F" w:rsidR="00921D1F" w:rsidRPr="00DA3DD4" w:rsidRDefault="00921D1F" w:rsidP="00921D1F">
      <w:pPr>
        <w:pStyle w:val="Tableheading"/>
        <w:ind w:left="1276" w:hanging="1276"/>
        <w:rPr>
          <w:rFonts w:ascii="Segoe UI" w:hAnsi="Segoe UI" w:cs="Segoe UI"/>
          <w:sz w:val="18"/>
          <w:szCs w:val="18"/>
        </w:rPr>
      </w:pPr>
      <w:bookmarkStart w:id="735" w:name="table265"/>
      <w:bookmarkStart w:id="736" w:name="_Toc185407501"/>
      <w:bookmarkStart w:id="737" w:name="_Toc185427764"/>
      <w:r w:rsidRPr="00DA3DD4">
        <w:t>Table 2.6.5</w:t>
      </w:r>
      <w:bookmarkEnd w:id="735"/>
      <w:r w:rsidRPr="00DA3DD4">
        <w:t xml:space="preserve">: </w:t>
      </w:r>
      <w:r w:rsidRPr="00DA3DD4">
        <w:tab/>
        <w:t xml:space="preserve">Historical and </w:t>
      </w:r>
      <w:r w:rsidRPr="00DA3DD4">
        <w:rPr>
          <w:sz w:val="18"/>
          <w:szCs w:val="18"/>
        </w:rPr>
        <w:t>p</w:t>
      </w:r>
      <w:r w:rsidRPr="00DA3DD4">
        <w:t>rojected LULUCF target accounting quantities under ‘with existing measures’, lower and upper removals scenarios, 2020–</w:t>
      </w:r>
      <w:r w:rsidRPr="00DA3DD4" w:rsidDel="009549BE">
        <w:t>20</w:t>
      </w:r>
      <w:r w:rsidRPr="00DA3DD4">
        <w:t>30 (Mt CO</w:t>
      </w:r>
      <w:r w:rsidRPr="00DA3DD4">
        <w:rPr>
          <w:sz w:val="16"/>
          <w:szCs w:val="16"/>
          <w:vertAlign w:val="subscript"/>
        </w:rPr>
        <w:t>2</w:t>
      </w:r>
      <w:r w:rsidRPr="00DA3DD4">
        <w:t>e)</w:t>
      </w:r>
      <w:bookmarkEnd w:id="736"/>
      <w:bookmarkEnd w:id="737"/>
      <w:r w:rsidRPr="00DA3DD4">
        <w:t> </w:t>
      </w:r>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85" w:type="dxa"/>
          <w:right w:w="85" w:type="dxa"/>
        </w:tblCellMar>
        <w:tblLook w:val="04A0" w:firstRow="1" w:lastRow="0" w:firstColumn="1" w:lastColumn="0" w:noHBand="0" w:noVBand="1"/>
      </w:tblPr>
      <w:tblGrid>
        <w:gridCol w:w="2694"/>
        <w:gridCol w:w="850"/>
        <w:gridCol w:w="851"/>
        <w:gridCol w:w="850"/>
        <w:gridCol w:w="709"/>
        <w:gridCol w:w="850"/>
        <w:gridCol w:w="851"/>
        <w:gridCol w:w="850"/>
      </w:tblGrid>
      <w:tr w:rsidR="00921D1F" w:rsidRPr="00D8284F" w14:paraId="6CEE4200" w14:textId="77777777">
        <w:tc>
          <w:tcPr>
            <w:tcW w:w="3544" w:type="dxa"/>
            <w:gridSpan w:val="2"/>
            <w:tcBorders>
              <w:bottom w:val="nil"/>
              <w:right w:val="nil"/>
            </w:tcBorders>
            <w:shd w:val="clear" w:color="000000" w:fill="1B556B"/>
            <w:vAlign w:val="center"/>
            <w:hideMark/>
          </w:tcPr>
          <w:p w14:paraId="61D0304F" w14:textId="77777777" w:rsidR="00921D1F" w:rsidRPr="00D8284F" w:rsidRDefault="00921D1F">
            <w:pPr>
              <w:pStyle w:val="TableTextbold"/>
              <w:spacing w:after="0"/>
              <w:jc w:val="right"/>
              <w:rPr>
                <w:bCs/>
                <w:color w:val="FFFFFF" w:themeColor="background1"/>
                <w:szCs w:val="18"/>
              </w:rPr>
            </w:pPr>
            <w:r w:rsidRPr="00D8284F">
              <w:rPr>
                <w:bCs/>
                <w:color w:val="FFFFFF" w:themeColor="background1"/>
                <w:szCs w:val="18"/>
              </w:rPr>
              <w:t>Historical</w:t>
            </w:r>
          </w:p>
        </w:tc>
        <w:tc>
          <w:tcPr>
            <w:tcW w:w="4961" w:type="dxa"/>
            <w:gridSpan w:val="6"/>
            <w:tcBorders>
              <w:left w:val="nil"/>
              <w:bottom w:val="nil"/>
            </w:tcBorders>
            <w:shd w:val="clear" w:color="000000" w:fill="1B556B"/>
            <w:vAlign w:val="center"/>
            <w:hideMark/>
          </w:tcPr>
          <w:p w14:paraId="0ADA1F45" w14:textId="77777777" w:rsidR="00921D1F" w:rsidRPr="00D8284F" w:rsidRDefault="00921D1F">
            <w:pPr>
              <w:pStyle w:val="TableTextbold"/>
              <w:spacing w:after="0"/>
              <w:jc w:val="center"/>
              <w:rPr>
                <w:bCs/>
                <w:color w:val="FFFFFF" w:themeColor="background1"/>
                <w:szCs w:val="18"/>
              </w:rPr>
            </w:pPr>
            <w:r w:rsidRPr="00D8284F">
              <w:rPr>
                <w:bCs/>
                <w:color w:val="FFFFFF" w:themeColor="background1"/>
                <w:szCs w:val="18"/>
              </w:rPr>
              <w:t>Projected</w:t>
            </w:r>
          </w:p>
        </w:tc>
      </w:tr>
      <w:tr w:rsidR="00921D1F" w:rsidRPr="00D8284F" w14:paraId="3A8A7813" w14:textId="77777777">
        <w:trPr>
          <w:trHeight w:val="315"/>
        </w:trPr>
        <w:tc>
          <w:tcPr>
            <w:tcW w:w="2694" w:type="dxa"/>
            <w:tcBorders>
              <w:top w:val="nil"/>
              <w:right w:val="nil"/>
            </w:tcBorders>
            <w:shd w:val="clear" w:color="000000" w:fill="1B556B"/>
            <w:vAlign w:val="center"/>
            <w:hideMark/>
          </w:tcPr>
          <w:p w14:paraId="0B66F316" w14:textId="77777777" w:rsidR="00921D1F" w:rsidRPr="00D8284F" w:rsidRDefault="00921D1F">
            <w:pPr>
              <w:pStyle w:val="TableTextbold"/>
              <w:spacing w:before="0"/>
              <w:rPr>
                <w:color w:val="FFFFFF" w:themeColor="background1"/>
                <w:szCs w:val="18"/>
              </w:rPr>
            </w:pPr>
            <w:r w:rsidRPr="00D8284F">
              <w:rPr>
                <w:color w:val="FFFFFF" w:themeColor="background1"/>
                <w:szCs w:val="18"/>
              </w:rPr>
              <w:t>Scenario</w:t>
            </w:r>
          </w:p>
        </w:tc>
        <w:tc>
          <w:tcPr>
            <w:tcW w:w="850" w:type="dxa"/>
            <w:tcBorders>
              <w:top w:val="nil"/>
              <w:left w:val="nil"/>
              <w:right w:val="nil"/>
            </w:tcBorders>
            <w:shd w:val="clear" w:color="000000" w:fill="1B556B"/>
            <w:vAlign w:val="center"/>
            <w:hideMark/>
          </w:tcPr>
          <w:p w14:paraId="07885ADA" w14:textId="77777777" w:rsidR="00921D1F" w:rsidRPr="00D8284F" w:rsidRDefault="00921D1F">
            <w:pPr>
              <w:pStyle w:val="TableTextbold"/>
              <w:spacing w:before="0"/>
              <w:jc w:val="center"/>
              <w:rPr>
                <w:bCs/>
                <w:color w:val="FFFFFF" w:themeColor="background1"/>
                <w:szCs w:val="18"/>
              </w:rPr>
            </w:pPr>
            <w:r w:rsidRPr="00D8284F">
              <w:rPr>
                <w:bCs/>
                <w:color w:val="FFFFFF" w:themeColor="background1"/>
                <w:szCs w:val="18"/>
              </w:rPr>
              <w:t>2020</w:t>
            </w:r>
          </w:p>
        </w:tc>
        <w:tc>
          <w:tcPr>
            <w:tcW w:w="851" w:type="dxa"/>
            <w:tcBorders>
              <w:top w:val="nil"/>
              <w:left w:val="nil"/>
              <w:right w:val="nil"/>
            </w:tcBorders>
            <w:shd w:val="clear" w:color="000000" w:fill="1B556B"/>
            <w:vAlign w:val="center"/>
            <w:hideMark/>
          </w:tcPr>
          <w:p w14:paraId="15121818" w14:textId="77777777" w:rsidR="00921D1F" w:rsidRPr="00D8284F" w:rsidRDefault="00921D1F">
            <w:pPr>
              <w:pStyle w:val="TableTextbold"/>
              <w:spacing w:before="0"/>
              <w:jc w:val="center"/>
              <w:rPr>
                <w:bCs/>
                <w:color w:val="FFFFFF" w:themeColor="background1"/>
                <w:szCs w:val="18"/>
              </w:rPr>
            </w:pPr>
            <w:r w:rsidRPr="00D8284F">
              <w:rPr>
                <w:bCs/>
                <w:color w:val="FFFFFF" w:themeColor="background1"/>
                <w:szCs w:val="18"/>
              </w:rPr>
              <w:t>2025</w:t>
            </w:r>
          </w:p>
        </w:tc>
        <w:tc>
          <w:tcPr>
            <w:tcW w:w="850" w:type="dxa"/>
            <w:tcBorders>
              <w:top w:val="nil"/>
              <w:left w:val="nil"/>
              <w:right w:val="nil"/>
            </w:tcBorders>
            <w:shd w:val="clear" w:color="000000" w:fill="1B556B"/>
            <w:vAlign w:val="center"/>
            <w:hideMark/>
          </w:tcPr>
          <w:p w14:paraId="7232FB5A" w14:textId="77777777" w:rsidR="00921D1F" w:rsidRPr="00D8284F" w:rsidRDefault="00921D1F">
            <w:pPr>
              <w:pStyle w:val="TableTextbold"/>
              <w:spacing w:before="0"/>
              <w:jc w:val="center"/>
              <w:rPr>
                <w:bCs/>
                <w:color w:val="FFFFFF" w:themeColor="background1"/>
                <w:szCs w:val="18"/>
              </w:rPr>
            </w:pPr>
            <w:r w:rsidRPr="00D8284F">
              <w:rPr>
                <w:bCs/>
                <w:color w:val="FFFFFF" w:themeColor="background1"/>
                <w:szCs w:val="18"/>
              </w:rPr>
              <w:t>2030</w:t>
            </w:r>
          </w:p>
        </w:tc>
        <w:tc>
          <w:tcPr>
            <w:tcW w:w="709" w:type="dxa"/>
            <w:tcBorders>
              <w:top w:val="nil"/>
              <w:left w:val="nil"/>
              <w:right w:val="nil"/>
            </w:tcBorders>
            <w:shd w:val="clear" w:color="000000" w:fill="1B556B"/>
            <w:vAlign w:val="center"/>
            <w:hideMark/>
          </w:tcPr>
          <w:p w14:paraId="28E19319" w14:textId="77777777" w:rsidR="00921D1F" w:rsidRPr="00D8284F" w:rsidRDefault="00921D1F">
            <w:pPr>
              <w:pStyle w:val="TableTextbold"/>
              <w:spacing w:before="0"/>
              <w:jc w:val="center"/>
              <w:rPr>
                <w:bCs/>
                <w:color w:val="FFFFFF" w:themeColor="background1"/>
                <w:szCs w:val="18"/>
              </w:rPr>
            </w:pPr>
            <w:r w:rsidRPr="00D8284F">
              <w:rPr>
                <w:bCs/>
                <w:color w:val="FFFFFF" w:themeColor="background1"/>
                <w:szCs w:val="18"/>
              </w:rPr>
              <w:t>2035</w:t>
            </w:r>
          </w:p>
        </w:tc>
        <w:tc>
          <w:tcPr>
            <w:tcW w:w="850" w:type="dxa"/>
            <w:tcBorders>
              <w:top w:val="nil"/>
              <w:left w:val="nil"/>
              <w:right w:val="nil"/>
            </w:tcBorders>
            <w:shd w:val="clear" w:color="000000" w:fill="1B556B"/>
            <w:vAlign w:val="center"/>
            <w:hideMark/>
          </w:tcPr>
          <w:p w14:paraId="70D4F308" w14:textId="77777777" w:rsidR="00921D1F" w:rsidRPr="00D8284F" w:rsidRDefault="00921D1F">
            <w:pPr>
              <w:pStyle w:val="TableTextbold"/>
              <w:spacing w:before="0"/>
              <w:jc w:val="center"/>
              <w:rPr>
                <w:bCs/>
                <w:color w:val="FFFFFF" w:themeColor="background1"/>
                <w:szCs w:val="18"/>
              </w:rPr>
            </w:pPr>
            <w:r w:rsidRPr="00D8284F">
              <w:rPr>
                <w:bCs/>
                <w:color w:val="FFFFFF" w:themeColor="background1"/>
                <w:szCs w:val="18"/>
              </w:rPr>
              <w:t>2040</w:t>
            </w:r>
          </w:p>
        </w:tc>
        <w:tc>
          <w:tcPr>
            <w:tcW w:w="851" w:type="dxa"/>
            <w:tcBorders>
              <w:top w:val="nil"/>
              <w:left w:val="nil"/>
              <w:right w:val="nil"/>
            </w:tcBorders>
            <w:shd w:val="clear" w:color="000000" w:fill="1B556B"/>
            <w:vAlign w:val="center"/>
            <w:hideMark/>
          </w:tcPr>
          <w:p w14:paraId="347C68A7" w14:textId="77777777" w:rsidR="00921D1F" w:rsidRPr="00D8284F" w:rsidRDefault="00921D1F">
            <w:pPr>
              <w:pStyle w:val="TableTextbold"/>
              <w:spacing w:before="0"/>
              <w:jc w:val="center"/>
              <w:rPr>
                <w:bCs/>
                <w:color w:val="FFFFFF" w:themeColor="background1"/>
                <w:szCs w:val="18"/>
              </w:rPr>
            </w:pPr>
            <w:r w:rsidRPr="00D8284F">
              <w:rPr>
                <w:bCs/>
                <w:color w:val="FFFFFF" w:themeColor="background1"/>
                <w:szCs w:val="18"/>
              </w:rPr>
              <w:t>2045</w:t>
            </w:r>
          </w:p>
        </w:tc>
        <w:tc>
          <w:tcPr>
            <w:tcW w:w="850" w:type="dxa"/>
            <w:tcBorders>
              <w:top w:val="nil"/>
              <w:left w:val="nil"/>
            </w:tcBorders>
            <w:shd w:val="clear" w:color="000000" w:fill="1B556B"/>
            <w:vAlign w:val="center"/>
            <w:hideMark/>
          </w:tcPr>
          <w:p w14:paraId="23C79421" w14:textId="77777777" w:rsidR="00921D1F" w:rsidRPr="00D8284F" w:rsidRDefault="00921D1F">
            <w:pPr>
              <w:pStyle w:val="TableTextbold"/>
              <w:spacing w:before="0"/>
              <w:jc w:val="center"/>
              <w:rPr>
                <w:bCs/>
                <w:color w:val="FFFFFF" w:themeColor="background1"/>
                <w:szCs w:val="18"/>
              </w:rPr>
            </w:pPr>
            <w:r w:rsidRPr="00D8284F">
              <w:rPr>
                <w:bCs/>
                <w:color w:val="FFFFFF" w:themeColor="background1"/>
                <w:szCs w:val="18"/>
              </w:rPr>
              <w:t>2050</w:t>
            </w:r>
          </w:p>
        </w:tc>
      </w:tr>
      <w:tr w:rsidR="00921D1F" w:rsidRPr="00D8284F" w14:paraId="2B827F65" w14:textId="77777777">
        <w:tc>
          <w:tcPr>
            <w:tcW w:w="2694" w:type="dxa"/>
            <w:shd w:val="clear" w:color="auto" w:fill="auto"/>
            <w:vAlign w:val="center"/>
            <w:hideMark/>
          </w:tcPr>
          <w:p w14:paraId="6D2D52AE" w14:textId="77777777" w:rsidR="00921D1F" w:rsidRPr="00D8284F" w:rsidRDefault="00921D1F">
            <w:pPr>
              <w:pStyle w:val="TableText"/>
              <w:spacing w:before="40" w:after="40"/>
              <w:rPr>
                <w:szCs w:val="18"/>
              </w:rPr>
            </w:pPr>
            <w:r w:rsidRPr="00D8284F">
              <w:rPr>
                <w:szCs w:val="18"/>
              </w:rPr>
              <w:t xml:space="preserve">Lower removals </w:t>
            </w:r>
            <w:r w:rsidRPr="00D8284F">
              <w:rPr>
                <w:szCs w:val="18"/>
              </w:rPr>
              <w:br/>
              <w:t>(high-emissions scenario)</w:t>
            </w:r>
            <w:r w:rsidRPr="00D8284F">
              <w:rPr>
                <w:b/>
                <w:bCs/>
                <w:szCs w:val="18"/>
              </w:rPr>
              <w:t> </w:t>
            </w:r>
          </w:p>
        </w:tc>
        <w:tc>
          <w:tcPr>
            <w:tcW w:w="850" w:type="dxa"/>
            <w:shd w:val="clear" w:color="auto" w:fill="auto"/>
            <w:vAlign w:val="center"/>
            <w:hideMark/>
          </w:tcPr>
          <w:p w14:paraId="7EC9DEFC" w14:textId="77777777" w:rsidR="00921D1F" w:rsidRPr="00D8284F" w:rsidRDefault="00921D1F">
            <w:pPr>
              <w:pStyle w:val="TableText"/>
              <w:spacing w:before="40" w:after="40"/>
              <w:jc w:val="center"/>
              <w:rPr>
                <w:szCs w:val="18"/>
              </w:rPr>
            </w:pPr>
            <w:r w:rsidRPr="00D8284F">
              <w:rPr>
                <w:szCs w:val="18"/>
              </w:rPr>
              <w:t>–</w:t>
            </w:r>
          </w:p>
        </w:tc>
        <w:tc>
          <w:tcPr>
            <w:tcW w:w="851" w:type="dxa"/>
            <w:shd w:val="clear" w:color="000000" w:fill="D2DDE1"/>
            <w:vAlign w:val="center"/>
            <w:hideMark/>
          </w:tcPr>
          <w:p w14:paraId="217C5A77" w14:textId="77777777" w:rsidR="00921D1F" w:rsidRPr="00D8284F" w:rsidRDefault="00921D1F">
            <w:pPr>
              <w:pStyle w:val="TableText"/>
              <w:spacing w:before="40" w:after="40"/>
              <w:jc w:val="center"/>
              <w:rPr>
                <w:szCs w:val="18"/>
              </w:rPr>
            </w:pPr>
            <w:r w:rsidRPr="00D8284F">
              <w:rPr>
                <w:szCs w:val="18"/>
              </w:rPr>
              <w:t>–6.0</w:t>
            </w:r>
          </w:p>
        </w:tc>
        <w:tc>
          <w:tcPr>
            <w:tcW w:w="850" w:type="dxa"/>
            <w:shd w:val="clear" w:color="000000" w:fill="D2DDE1"/>
            <w:vAlign w:val="center"/>
            <w:hideMark/>
          </w:tcPr>
          <w:p w14:paraId="3AA756E1" w14:textId="77777777" w:rsidR="00921D1F" w:rsidRPr="00D8284F" w:rsidRDefault="00921D1F">
            <w:pPr>
              <w:pStyle w:val="TableText"/>
              <w:spacing w:before="40" w:after="40"/>
              <w:jc w:val="center"/>
              <w:rPr>
                <w:szCs w:val="18"/>
              </w:rPr>
            </w:pPr>
            <w:r w:rsidRPr="00D8284F">
              <w:rPr>
                <w:szCs w:val="18"/>
              </w:rPr>
              <w:t>–12.9</w:t>
            </w:r>
          </w:p>
        </w:tc>
        <w:tc>
          <w:tcPr>
            <w:tcW w:w="709" w:type="dxa"/>
            <w:shd w:val="clear" w:color="000000" w:fill="D2DDE1"/>
            <w:vAlign w:val="center"/>
            <w:hideMark/>
          </w:tcPr>
          <w:p w14:paraId="40BCD2CD" w14:textId="77777777" w:rsidR="00921D1F" w:rsidRPr="00D8284F" w:rsidRDefault="00921D1F">
            <w:pPr>
              <w:pStyle w:val="TableText"/>
              <w:spacing w:before="40" w:after="40"/>
              <w:jc w:val="center"/>
              <w:rPr>
                <w:szCs w:val="18"/>
              </w:rPr>
            </w:pPr>
            <w:r w:rsidRPr="00D8284F">
              <w:rPr>
                <w:szCs w:val="18"/>
              </w:rPr>
              <w:t>–13.7</w:t>
            </w:r>
          </w:p>
        </w:tc>
        <w:tc>
          <w:tcPr>
            <w:tcW w:w="850" w:type="dxa"/>
            <w:shd w:val="clear" w:color="000000" w:fill="D2DDE1"/>
            <w:vAlign w:val="center"/>
            <w:hideMark/>
          </w:tcPr>
          <w:p w14:paraId="26EFCCE1" w14:textId="77777777" w:rsidR="00921D1F" w:rsidRPr="00D8284F" w:rsidRDefault="00921D1F">
            <w:pPr>
              <w:pStyle w:val="TableText"/>
              <w:spacing w:before="40" w:after="40"/>
              <w:jc w:val="center"/>
              <w:rPr>
                <w:szCs w:val="18"/>
              </w:rPr>
            </w:pPr>
            <w:r w:rsidRPr="00D8284F">
              <w:rPr>
                <w:szCs w:val="18"/>
              </w:rPr>
              <w:t>–18.9</w:t>
            </w:r>
          </w:p>
        </w:tc>
        <w:tc>
          <w:tcPr>
            <w:tcW w:w="851" w:type="dxa"/>
            <w:shd w:val="clear" w:color="000000" w:fill="D2DDE1"/>
            <w:vAlign w:val="center"/>
            <w:hideMark/>
          </w:tcPr>
          <w:p w14:paraId="58939560" w14:textId="77777777" w:rsidR="00921D1F" w:rsidRPr="00D8284F" w:rsidRDefault="00921D1F">
            <w:pPr>
              <w:pStyle w:val="TableText"/>
              <w:spacing w:before="40" w:after="40"/>
              <w:jc w:val="center"/>
              <w:rPr>
                <w:szCs w:val="18"/>
              </w:rPr>
            </w:pPr>
            <w:r w:rsidRPr="00D8284F">
              <w:rPr>
                <w:szCs w:val="18"/>
              </w:rPr>
              <w:t>–18.9</w:t>
            </w:r>
          </w:p>
        </w:tc>
        <w:tc>
          <w:tcPr>
            <w:tcW w:w="850" w:type="dxa"/>
            <w:shd w:val="clear" w:color="000000" w:fill="D2DDE1"/>
            <w:vAlign w:val="center"/>
            <w:hideMark/>
          </w:tcPr>
          <w:p w14:paraId="30D66236" w14:textId="77777777" w:rsidR="00921D1F" w:rsidRPr="00D8284F" w:rsidRDefault="00921D1F">
            <w:pPr>
              <w:pStyle w:val="TableText"/>
              <w:spacing w:before="40" w:after="40"/>
              <w:jc w:val="center"/>
              <w:rPr>
                <w:szCs w:val="18"/>
              </w:rPr>
            </w:pPr>
            <w:r w:rsidRPr="00D8284F">
              <w:rPr>
                <w:szCs w:val="18"/>
              </w:rPr>
              <w:t>–15.1</w:t>
            </w:r>
          </w:p>
        </w:tc>
      </w:tr>
      <w:tr w:rsidR="00921D1F" w:rsidRPr="00D8284F" w14:paraId="05354C6B" w14:textId="77777777">
        <w:tc>
          <w:tcPr>
            <w:tcW w:w="2694" w:type="dxa"/>
            <w:shd w:val="clear" w:color="auto" w:fill="auto"/>
            <w:vAlign w:val="center"/>
            <w:hideMark/>
          </w:tcPr>
          <w:p w14:paraId="485E0DFF" w14:textId="77777777" w:rsidR="00921D1F" w:rsidRPr="00D8284F" w:rsidRDefault="00921D1F">
            <w:pPr>
              <w:pStyle w:val="TableText"/>
              <w:spacing w:before="40" w:after="40"/>
              <w:rPr>
                <w:szCs w:val="18"/>
              </w:rPr>
            </w:pPr>
            <w:r w:rsidRPr="00D8284F">
              <w:rPr>
                <w:szCs w:val="18"/>
              </w:rPr>
              <w:t>With existing measures</w:t>
            </w:r>
            <w:r w:rsidRPr="00D8284F">
              <w:rPr>
                <w:b/>
                <w:bCs/>
                <w:szCs w:val="18"/>
              </w:rPr>
              <w:t> </w:t>
            </w:r>
          </w:p>
        </w:tc>
        <w:tc>
          <w:tcPr>
            <w:tcW w:w="850" w:type="dxa"/>
            <w:shd w:val="clear" w:color="auto" w:fill="auto"/>
            <w:vAlign w:val="center"/>
            <w:hideMark/>
          </w:tcPr>
          <w:p w14:paraId="5B4BD457" w14:textId="77777777" w:rsidR="00921D1F" w:rsidRPr="00D8284F" w:rsidRDefault="00921D1F">
            <w:pPr>
              <w:pStyle w:val="TableText"/>
              <w:spacing w:before="40" w:after="40"/>
              <w:jc w:val="center"/>
              <w:rPr>
                <w:szCs w:val="18"/>
              </w:rPr>
            </w:pPr>
            <w:r w:rsidRPr="00D8284F">
              <w:rPr>
                <w:szCs w:val="18"/>
              </w:rPr>
              <w:t>–6.2</w:t>
            </w:r>
          </w:p>
        </w:tc>
        <w:tc>
          <w:tcPr>
            <w:tcW w:w="851" w:type="dxa"/>
            <w:shd w:val="clear" w:color="000000" w:fill="D2DDE1"/>
            <w:vAlign w:val="center"/>
            <w:hideMark/>
          </w:tcPr>
          <w:p w14:paraId="071DEC3E" w14:textId="77777777" w:rsidR="00921D1F" w:rsidRPr="00D8284F" w:rsidRDefault="00921D1F">
            <w:pPr>
              <w:pStyle w:val="TableText"/>
              <w:spacing w:before="40" w:after="40"/>
              <w:jc w:val="center"/>
              <w:rPr>
                <w:szCs w:val="18"/>
              </w:rPr>
            </w:pPr>
            <w:r w:rsidRPr="00D8284F">
              <w:rPr>
                <w:szCs w:val="18"/>
              </w:rPr>
              <w:t>–7.4</w:t>
            </w:r>
          </w:p>
        </w:tc>
        <w:tc>
          <w:tcPr>
            <w:tcW w:w="850" w:type="dxa"/>
            <w:shd w:val="clear" w:color="000000" w:fill="D2DDE1"/>
            <w:vAlign w:val="center"/>
            <w:hideMark/>
          </w:tcPr>
          <w:p w14:paraId="21FCC9D0" w14:textId="77777777" w:rsidR="00921D1F" w:rsidRPr="00D8284F" w:rsidRDefault="00921D1F">
            <w:pPr>
              <w:pStyle w:val="TableText"/>
              <w:spacing w:before="40" w:after="40"/>
              <w:jc w:val="center"/>
              <w:rPr>
                <w:szCs w:val="18"/>
              </w:rPr>
            </w:pPr>
            <w:r w:rsidRPr="00D8284F">
              <w:rPr>
                <w:szCs w:val="18"/>
              </w:rPr>
              <w:t>–15</w:t>
            </w:r>
          </w:p>
        </w:tc>
        <w:tc>
          <w:tcPr>
            <w:tcW w:w="709" w:type="dxa"/>
            <w:shd w:val="clear" w:color="000000" w:fill="D2DDE1"/>
            <w:vAlign w:val="center"/>
            <w:hideMark/>
          </w:tcPr>
          <w:p w14:paraId="79D6E862" w14:textId="77777777" w:rsidR="00921D1F" w:rsidRPr="00D8284F" w:rsidRDefault="00921D1F">
            <w:pPr>
              <w:pStyle w:val="TableText"/>
              <w:spacing w:before="40" w:after="40"/>
              <w:jc w:val="center"/>
              <w:rPr>
                <w:szCs w:val="18"/>
              </w:rPr>
            </w:pPr>
            <w:r w:rsidRPr="00D8284F">
              <w:rPr>
                <w:szCs w:val="18"/>
              </w:rPr>
              <w:t>–17.4</w:t>
            </w:r>
          </w:p>
        </w:tc>
        <w:tc>
          <w:tcPr>
            <w:tcW w:w="850" w:type="dxa"/>
            <w:shd w:val="clear" w:color="000000" w:fill="D2DDE1"/>
            <w:vAlign w:val="center"/>
            <w:hideMark/>
          </w:tcPr>
          <w:p w14:paraId="449DDDCE" w14:textId="77777777" w:rsidR="00921D1F" w:rsidRPr="00D8284F" w:rsidRDefault="00921D1F">
            <w:pPr>
              <w:pStyle w:val="TableText"/>
              <w:spacing w:before="40" w:after="40"/>
              <w:jc w:val="center"/>
              <w:rPr>
                <w:szCs w:val="18"/>
              </w:rPr>
            </w:pPr>
            <w:r w:rsidRPr="00D8284F">
              <w:rPr>
                <w:szCs w:val="18"/>
              </w:rPr>
              <w:t>–22.9</w:t>
            </w:r>
          </w:p>
        </w:tc>
        <w:tc>
          <w:tcPr>
            <w:tcW w:w="851" w:type="dxa"/>
            <w:shd w:val="clear" w:color="000000" w:fill="D2DDE1"/>
            <w:vAlign w:val="center"/>
            <w:hideMark/>
          </w:tcPr>
          <w:p w14:paraId="7752F861" w14:textId="77777777" w:rsidR="00921D1F" w:rsidRPr="00D8284F" w:rsidRDefault="00921D1F">
            <w:pPr>
              <w:pStyle w:val="TableText"/>
              <w:spacing w:before="40" w:after="40"/>
              <w:jc w:val="center"/>
              <w:rPr>
                <w:szCs w:val="18"/>
              </w:rPr>
            </w:pPr>
            <w:r w:rsidRPr="00D8284F">
              <w:rPr>
                <w:szCs w:val="18"/>
              </w:rPr>
              <w:t>–24.7</w:t>
            </w:r>
          </w:p>
        </w:tc>
        <w:tc>
          <w:tcPr>
            <w:tcW w:w="850" w:type="dxa"/>
            <w:shd w:val="clear" w:color="000000" w:fill="D2DDE1"/>
            <w:vAlign w:val="center"/>
            <w:hideMark/>
          </w:tcPr>
          <w:p w14:paraId="450FAB8E" w14:textId="77777777" w:rsidR="00921D1F" w:rsidRPr="00D8284F" w:rsidRDefault="00921D1F">
            <w:pPr>
              <w:pStyle w:val="TableText"/>
              <w:spacing w:before="40" w:after="40"/>
              <w:jc w:val="center"/>
              <w:rPr>
                <w:szCs w:val="18"/>
              </w:rPr>
            </w:pPr>
            <w:r w:rsidRPr="00D8284F">
              <w:rPr>
                <w:szCs w:val="18"/>
              </w:rPr>
              <w:t>–21.8</w:t>
            </w:r>
          </w:p>
        </w:tc>
      </w:tr>
      <w:tr w:rsidR="00921D1F" w:rsidRPr="00D8284F" w14:paraId="263966AB" w14:textId="77777777">
        <w:tc>
          <w:tcPr>
            <w:tcW w:w="2694" w:type="dxa"/>
            <w:shd w:val="clear" w:color="auto" w:fill="auto"/>
            <w:vAlign w:val="center"/>
            <w:hideMark/>
          </w:tcPr>
          <w:p w14:paraId="68C15293" w14:textId="77777777" w:rsidR="00921D1F" w:rsidRPr="00D8284F" w:rsidRDefault="00921D1F">
            <w:pPr>
              <w:pStyle w:val="TableText"/>
              <w:spacing w:before="40" w:after="40"/>
              <w:rPr>
                <w:szCs w:val="18"/>
              </w:rPr>
            </w:pPr>
            <w:r w:rsidRPr="00D8284F">
              <w:rPr>
                <w:szCs w:val="18"/>
              </w:rPr>
              <w:t xml:space="preserve">Upper removals </w:t>
            </w:r>
            <w:r w:rsidRPr="00D8284F">
              <w:rPr>
                <w:szCs w:val="18"/>
              </w:rPr>
              <w:br/>
              <w:t>(low-emissions scenario)</w:t>
            </w:r>
            <w:r w:rsidRPr="00D8284F">
              <w:rPr>
                <w:b/>
                <w:bCs/>
                <w:szCs w:val="18"/>
              </w:rPr>
              <w:t> </w:t>
            </w:r>
          </w:p>
        </w:tc>
        <w:tc>
          <w:tcPr>
            <w:tcW w:w="850" w:type="dxa"/>
            <w:shd w:val="clear" w:color="auto" w:fill="auto"/>
            <w:vAlign w:val="center"/>
            <w:hideMark/>
          </w:tcPr>
          <w:p w14:paraId="5B89C9F6" w14:textId="77777777" w:rsidR="00921D1F" w:rsidRPr="00D8284F" w:rsidRDefault="00921D1F">
            <w:pPr>
              <w:pStyle w:val="TableText"/>
              <w:spacing w:before="40" w:after="40"/>
              <w:jc w:val="center"/>
              <w:rPr>
                <w:szCs w:val="18"/>
              </w:rPr>
            </w:pPr>
            <w:r w:rsidRPr="00D8284F">
              <w:rPr>
                <w:szCs w:val="18"/>
              </w:rPr>
              <w:t>–</w:t>
            </w:r>
          </w:p>
        </w:tc>
        <w:tc>
          <w:tcPr>
            <w:tcW w:w="851" w:type="dxa"/>
            <w:shd w:val="clear" w:color="000000" w:fill="D2DDE1"/>
            <w:vAlign w:val="center"/>
            <w:hideMark/>
          </w:tcPr>
          <w:p w14:paraId="5015C62C" w14:textId="77777777" w:rsidR="00921D1F" w:rsidRPr="00D8284F" w:rsidRDefault="00921D1F">
            <w:pPr>
              <w:pStyle w:val="TableText"/>
              <w:spacing w:before="40" w:after="40"/>
              <w:jc w:val="center"/>
              <w:rPr>
                <w:szCs w:val="18"/>
              </w:rPr>
            </w:pPr>
            <w:r w:rsidRPr="00D8284F">
              <w:rPr>
                <w:szCs w:val="18"/>
              </w:rPr>
              <w:t>–7.8</w:t>
            </w:r>
          </w:p>
        </w:tc>
        <w:tc>
          <w:tcPr>
            <w:tcW w:w="850" w:type="dxa"/>
            <w:shd w:val="clear" w:color="000000" w:fill="D2DDE1"/>
            <w:vAlign w:val="center"/>
            <w:hideMark/>
          </w:tcPr>
          <w:p w14:paraId="6E605DB9" w14:textId="77777777" w:rsidR="00921D1F" w:rsidRPr="00D8284F" w:rsidRDefault="00921D1F">
            <w:pPr>
              <w:pStyle w:val="TableText"/>
              <w:spacing w:before="40" w:after="40"/>
              <w:jc w:val="center"/>
              <w:rPr>
                <w:szCs w:val="18"/>
              </w:rPr>
            </w:pPr>
            <w:r w:rsidRPr="00D8284F">
              <w:rPr>
                <w:szCs w:val="18"/>
              </w:rPr>
              <w:t>–15.3</w:t>
            </w:r>
          </w:p>
        </w:tc>
        <w:tc>
          <w:tcPr>
            <w:tcW w:w="709" w:type="dxa"/>
            <w:shd w:val="clear" w:color="000000" w:fill="D2DDE1"/>
            <w:vAlign w:val="center"/>
            <w:hideMark/>
          </w:tcPr>
          <w:p w14:paraId="01F876F3" w14:textId="77777777" w:rsidR="00921D1F" w:rsidRPr="00D8284F" w:rsidRDefault="00921D1F">
            <w:pPr>
              <w:pStyle w:val="TableText"/>
              <w:spacing w:before="40" w:after="40"/>
              <w:jc w:val="center"/>
              <w:rPr>
                <w:szCs w:val="18"/>
              </w:rPr>
            </w:pPr>
            <w:r w:rsidRPr="00D8284F">
              <w:rPr>
                <w:szCs w:val="18"/>
              </w:rPr>
              <w:t>–19</w:t>
            </w:r>
          </w:p>
        </w:tc>
        <w:tc>
          <w:tcPr>
            <w:tcW w:w="850" w:type="dxa"/>
            <w:shd w:val="clear" w:color="000000" w:fill="D2DDE1"/>
            <w:vAlign w:val="center"/>
            <w:hideMark/>
          </w:tcPr>
          <w:p w14:paraId="33F7FBC1" w14:textId="77777777" w:rsidR="00921D1F" w:rsidRPr="00D8284F" w:rsidRDefault="00921D1F">
            <w:pPr>
              <w:pStyle w:val="TableText"/>
              <w:spacing w:before="40" w:after="40"/>
              <w:jc w:val="center"/>
              <w:rPr>
                <w:szCs w:val="18"/>
              </w:rPr>
            </w:pPr>
            <w:r w:rsidRPr="00D8284F">
              <w:rPr>
                <w:szCs w:val="18"/>
              </w:rPr>
              <w:t>–25.7</w:t>
            </w:r>
          </w:p>
        </w:tc>
        <w:tc>
          <w:tcPr>
            <w:tcW w:w="851" w:type="dxa"/>
            <w:shd w:val="clear" w:color="000000" w:fill="D2DDE1"/>
            <w:vAlign w:val="center"/>
            <w:hideMark/>
          </w:tcPr>
          <w:p w14:paraId="4B81ECC9" w14:textId="77777777" w:rsidR="00921D1F" w:rsidRPr="00D8284F" w:rsidRDefault="00921D1F">
            <w:pPr>
              <w:pStyle w:val="TableText"/>
              <w:spacing w:before="40" w:after="40"/>
              <w:jc w:val="center"/>
              <w:rPr>
                <w:szCs w:val="18"/>
              </w:rPr>
            </w:pPr>
            <w:r w:rsidRPr="00D8284F">
              <w:rPr>
                <w:szCs w:val="18"/>
              </w:rPr>
              <w:t>–29.1</w:t>
            </w:r>
          </w:p>
        </w:tc>
        <w:tc>
          <w:tcPr>
            <w:tcW w:w="850" w:type="dxa"/>
            <w:shd w:val="clear" w:color="000000" w:fill="D2DDE1"/>
            <w:vAlign w:val="center"/>
            <w:hideMark/>
          </w:tcPr>
          <w:p w14:paraId="5265CB69" w14:textId="77777777" w:rsidR="00921D1F" w:rsidRPr="00D8284F" w:rsidRDefault="00921D1F">
            <w:pPr>
              <w:pStyle w:val="TableText"/>
              <w:spacing w:before="40" w:after="40"/>
              <w:jc w:val="center"/>
              <w:rPr>
                <w:szCs w:val="18"/>
              </w:rPr>
            </w:pPr>
            <w:r w:rsidRPr="00D8284F">
              <w:rPr>
                <w:szCs w:val="18"/>
              </w:rPr>
              <w:t>–27.9</w:t>
            </w:r>
          </w:p>
        </w:tc>
      </w:tr>
    </w:tbl>
    <w:p w14:paraId="0876B6FB" w14:textId="77777777" w:rsidR="00921D1F" w:rsidRPr="00DA3DD4" w:rsidRDefault="00921D1F" w:rsidP="00E55918">
      <w:pPr>
        <w:pStyle w:val="Heading3"/>
        <w:numPr>
          <w:ilvl w:val="0"/>
          <w:numId w:val="121"/>
        </w:numPr>
        <w:tabs>
          <w:tab w:val="left" w:pos="1134"/>
        </w:tabs>
        <w:spacing w:before="440"/>
        <w:ind w:left="1134" w:hanging="1134"/>
      </w:pPr>
      <w:r w:rsidRPr="00DA3DD4">
        <w:t>Cooperative approaches that involve the use of Internationally Transferred Mitigation Outcomes</w:t>
      </w:r>
    </w:p>
    <w:bookmarkEnd w:id="726"/>
    <w:p w14:paraId="2983F0EE" w14:textId="18071E8A" w:rsidR="00921D1F" w:rsidRPr="00DA3DD4" w:rsidRDefault="00921D1F" w:rsidP="00921D1F">
      <w:pPr>
        <w:pStyle w:val="BodyText"/>
        <w:rPr>
          <w:rFonts w:asciiTheme="minorHAnsi" w:eastAsia="Times New Roman" w:hAnsiTheme="minorHAnsi" w:cstheme="minorHAnsi"/>
          <w:lang w:eastAsia="en-US"/>
        </w:rPr>
      </w:pPr>
      <w:r w:rsidRPr="006C0F68">
        <w:rPr>
          <w:spacing w:val="-2"/>
        </w:rPr>
        <w:t xml:space="preserve">New Zealand is actively exploring cooperation opportunities under Article 6 of the Paris Agreement, </w:t>
      </w:r>
      <w:r w:rsidR="00420DFD">
        <w:rPr>
          <w:spacing w:val="-2"/>
        </w:rPr>
        <w:t>al</w:t>
      </w:r>
      <w:r w:rsidRPr="006C0F68">
        <w:rPr>
          <w:spacing w:val="-2"/>
        </w:rPr>
        <w:t>though no agreements are currently in place to purchase internationally transferred mitigation outcomes for NDC1. New Zealand’s focus is on establishing partnerships that foster capacity building and lay the groundwork for potential future access to international carbon markets. Updates on progress will be included in upcoming biennial transparency reports</w:t>
      </w:r>
      <w:r w:rsidRPr="00DA3DD4">
        <w:t>.</w:t>
      </w:r>
    </w:p>
    <w:p w14:paraId="39A4CB1A" w14:textId="77777777" w:rsidR="00E84FAC" w:rsidRPr="00657D21" w:rsidRDefault="00E84FAC" w:rsidP="00200D72"/>
    <w:p w14:paraId="29EFEC8F" w14:textId="77777777" w:rsidR="00200D72" w:rsidRPr="00657D21" w:rsidRDefault="00200D72" w:rsidP="00B71790">
      <w:pPr>
        <w:pStyle w:val="Heading5"/>
        <w:sectPr w:rsidR="00200D72" w:rsidRPr="00657D21" w:rsidSect="004710FB">
          <w:headerReference w:type="even" r:id="rId133"/>
          <w:headerReference w:type="default" r:id="rId134"/>
          <w:footerReference w:type="default" r:id="rId135"/>
          <w:headerReference w:type="first" r:id="rId136"/>
          <w:pgSz w:w="11907" w:h="16840" w:code="9"/>
          <w:pgMar w:top="1134" w:right="1701" w:bottom="1134" w:left="1701" w:header="567" w:footer="567" w:gutter="0"/>
          <w:cols w:space="720"/>
          <w:docGrid w:linePitch="299"/>
        </w:sectPr>
      </w:pPr>
    </w:p>
    <w:p w14:paraId="2A5153A8" w14:textId="6EDC9103" w:rsidR="00B73EEC" w:rsidRDefault="002A4917" w:rsidP="00B73EEC">
      <w:pPr>
        <w:pStyle w:val="BodyText"/>
      </w:pPr>
      <w:r>
        <w:rPr>
          <w:noProof/>
        </w:rPr>
        <w:drawing>
          <wp:anchor distT="0" distB="0" distL="114300" distR="114300" simplePos="0" relativeHeight="251658245" behindDoc="1" locked="0" layoutInCell="1" allowOverlap="1" wp14:anchorId="287F8C90" wp14:editId="70EE9A22">
            <wp:simplePos x="0" y="0"/>
            <wp:positionH relativeFrom="page">
              <wp:align>left</wp:align>
            </wp:positionH>
            <wp:positionV relativeFrom="paragraph">
              <wp:posOffset>-720091</wp:posOffset>
            </wp:positionV>
            <wp:extent cx="7620000" cy="10778201"/>
            <wp:effectExtent l="0" t="0" r="0" b="4445"/>
            <wp:wrapNone/>
            <wp:docPr id="14801817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181786" name="Picture 1480181786"/>
                    <pic:cNvPicPr/>
                  </pic:nvPicPr>
                  <pic:blipFill>
                    <a:blip r:embed="rId42"/>
                    <a:stretch>
                      <a:fillRect/>
                    </a:stretch>
                  </pic:blipFill>
                  <pic:spPr>
                    <a:xfrm>
                      <a:off x="0" y="0"/>
                      <a:ext cx="7628550" cy="10790294"/>
                    </a:xfrm>
                    <a:prstGeom prst="rect">
                      <a:avLst/>
                    </a:prstGeom>
                  </pic:spPr>
                </pic:pic>
              </a:graphicData>
            </a:graphic>
            <wp14:sizeRelH relativeFrom="page">
              <wp14:pctWidth>0</wp14:pctWidth>
            </wp14:sizeRelH>
            <wp14:sizeRelV relativeFrom="page">
              <wp14:pctHeight>0</wp14:pctHeight>
            </wp14:sizeRelV>
          </wp:anchor>
        </w:drawing>
      </w:r>
    </w:p>
    <w:p w14:paraId="45CF59FE" w14:textId="77777777" w:rsidR="002A4917" w:rsidRDefault="002A4917" w:rsidP="00B73EEC">
      <w:pPr>
        <w:pStyle w:val="BodyText"/>
      </w:pPr>
    </w:p>
    <w:p w14:paraId="55557E26" w14:textId="77777777" w:rsidR="002A4917" w:rsidRDefault="002A4917" w:rsidP="00B73EEC">
      <w:pPr>
        <w:pStyle w:val="BodyText"/>
      </w:pPr>
    </w:p>
    <w:p w14:paraId="5203149A" w14:textId="5B3A4B09" w:rsidR="002A4917" w:rsidRDefault="002A4917" w:rsidP="00B73EEC">
      <w:pPr>
        <w:pStyle w:val="BodyText"/>
      </w:pPr>
      <w:r>
        <w:t xml:space="preserve"> </w:t>
      </w:r>
    </w:p>
    <w:p w14:paraId="29EF6DD8" w14:textId="7407F44D" w:rsidR="002A4917" w:rsidRDefault="002A4917" w:rsidP="002A4917">
      <w:pPr>
        <w:pStyle w:val="Heading1"/>
        <w:rPr>
          <w:color w:val="FFFFFF" w:themeColor="background1"/>
        </w:rPr>
      </w:pPr>
      <w:bookmarkStart w:id="738" w:name="_Toc184825535"/>
      <w:r w:rsidRPr="002A4917">
        <w:rPr>
          <w:color w:val="FFFFFF" w:themeColor="background1"/>
        </w:rPr>
        <w:t>Chapter 3</w:t>
      </w:r>
      <w:r w:rsidRPr="002A4917">
        <w:rPr>
          <w:color w:val="FFFFFF" w:themeColor="background1"/>
        </w:rPr>
        <w:br/>
      </w:r>
      <w:r w:rsidRPr="002A4917">
        <w:rPr>
          <w:color w:val="FFFFFF" w:themeColor="background1"/>
        </w:rPr>
        <w:br/>
        <w:t>Information related to climate</w:t>
      </w:r>
      <w:r w:rsidR="003E2FF9">
        <w:rPr>
          <w:color w:val="FFFFFF" w:themeColor="background1"/>
        </w:rPr>
        <w:t> </w:t>
      </w:r>
      <w:r w:rsidRPr="002A4917">
        <w:rPr>
          <w:color w:val="FFFFFF" w:themeColor="background1"/>
        </w:rPr>
        <w:t>change impacts and adaptation under Article 7</w:t>
      </w:r>
      <w:r w:rsidR="003E2FF9">
        <w:rPr>
          <w:color w:val="FFFFFF" w:themeColor="background1"/>
        </w:rPr>
        <w:br/>
      </w:r>
      <w:r w:rsidRPr="002A4917">
        <w:rPr>
          <w:color w:val="FFFFFF" w:themeColor="background1"/>
        </w:rPr>
        <w:t>of the Paris Agreement</w:t>
      </w:r>
      <w:bookmarkEnd w:id="738"/>
    </w:p>
    <w:p w14:paraId="1D1C9A0B" w14:textId="77777777" w:rsidR="002A4917" w:rsidRDefault="002A4917" w:rsidP="002A4917">
      <w:pPr>
        <w:pStyle w:val="BodyText"/>
      </w:pPr>
    </w:p>
    <w:p w14:paraId="3A6BB019" w14:textId="77777777" w:rsidR="002A4917" w:rsidRDefault="002A4917" w:rsidP="002A4917">
      <w:pPr>
        <w:pStyle w:val="BodyText"/>
        <w:sectPr w:rsidR="002A4917" w:rsidSect="008A7498">
          <w:pgSz w:w="11907" w:h="16840" w:code="9"/>
          <w:pgMar w:top="1134" w:right="1701" w:bottom="1134" w:left="1701" w:header="567" w:footer="567" w:gutter="0"/>
          <w:cols w:space="720"/>
          <w:docGrid w:linePitch="299"/>
        </w:sectPr>
      </w:pPr>
      <w:r>
        <w:t xml:space="preserve"> </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ayout w:type="fixed"/>
        <w:tblCellMar>
          <w:right w:w="85" w:type="dxa"/>
        </w:tblCellMar>
        <w:tblLook w:val="04A0" w:firstRow="1" w:lastRow="0" w:firstColumn="1" w:lastColumn="0" w:noHBand="0" w:noVBand="1"/>
      </w:tblPr>
      <w:tblGrid>
        <w:gridCol w:w="8505"/>
      </w:tblGrid>
      <w:tr w:rsidR="00697651" w:rsidRPr="00722EC0" w14:paraId="45B6AF4D" w14:textId="77777777" w:rsidTr="003C2440">
        <w:tc>
          <w:tcPr>
            <w:tcW w:w="8505" w:type="dxa"/>
            <w:tcBorders>
              <w:bottom w:val="single" w:sz="4" w:space="0" w:color="2C9986" w:themeColor="accent4"/>
            </w:tcBorders>
            <w:shd w:val="clear" w:color="auto" w:fill="2C9986" w:themeFill="accent4"/>
          </w:tcPr>
          <w:p w14:paraId="4D8A178F" w14:textId="77777777" w:rsidR="00697651" w:rsidRPr="00722EC0" w:rsidRDefault="00697651">
            <w:pPr>
              <w:pStyle w:val="Heading2"/>
              <w:spacing w:before="120" w:after="120"/>
              <w:rPr>
                <w:color w:val="FFFFFF" w:themeColor="background1"/>
              </w:rPr>
            </w:pPr>
            <w:bookmarkStart w:id="739" w:name="_Toc184825536"/>
            <w:r w:rsidRPr="00722EC0">
              <w:rPr>
                <w:color w:val="FFFFFF" w:themeColor="background1"/>
              </w:rPr>
              <w:t xml:space="preserve">Key </w:t>
            </w:r>
            <w:r>
              <w:rPr>
                <w:color w:val="FFFFFF" w:themeColor="background1"/>
              </w:rPr>
              <w:t>messages</w:t>
            </w:r>
            <w:bookmarkEnd w:id="739"/>
          </w:p>
        </w:tc>
      </w:tr>
      <w:tr w:rsidR="00697651" w:rsidRPr="00722EC0" w14:paraId="3F0E9337" w14:textId="77777777" w:rsidTr="003C2440">
        <w:tc>
          <w:tcPr>
            <w:tcW w:w="8505" w:type="dxa"/>
            <w:tcBorders>
              <w:top w:val="single" w:sz="4" w:space="0" w:color="2C9986" w:themeColor="accent4"/>
              <w:bottom w:val="single" w:sz="4" w:space="0" w:color="2C9986" w:themeColor="accent4"/>
            </w:tcBorders>
            <w:shd w:val="clear" w:color="auto" w:fill="FFFFFF" w:themeFill="background1"/>
          </w:tcPr>
          <w:p w14:paraId="0C6FFB76" w14:textId="77777777" w:rsidR="00697651" w:rsidRPr="00722EC0" w:rsidRDefault="00697651" w:rsidP="00D3652E">
            <w:pPr>
              <w:pStyle w:val="BodyText"/>
              <w:spacing w:line="260" w:lineRule="atLeast"/>
            </w:pPr>
            <w:r w:rsidRPr="00DA2EBD">
              <w:t>The Climate Change Response Act 2002 sets out New Zealand’s process for assessing climate risk, developing action plans and monitoring the implementation and effectiveness of those plans.</w:t>
            </w:r>
          </w:p>
        </w:tc>
      </w:tr>
      <w:tr w:rsidR="00697651" w:rsidRPr="00722EC0" w14:paraId="071AFA3D" w14:textId="77777777" w:rsidTr="003C2440">
        <w:tc>
          <w:tcPr>
            <w:tcW w:w="8505" w:type="dxa"/>
            <w:tcBorders>
              <w:top w:val="single" w:sz="4" w:space="0" w:color="2C9986" w:themeColor="accent4"/>
              <w:bottom w:val="single" w:sz="4" w:space="0" w:color="2C9986" w:themeColor="accent4"/>
            </w:tcBorders>
            <w:shd w:val="clear" w:color="auto" w:fill="FFFFFF" w:themeFill="background1"/>
          </w:tcPr>
          <w:p w14:paraId="2D328B69" w14:textId="77777777" w:rsidR="00697651" w:rsidRPr="000F5EDD" w:rsidRDefault="00697651" w:rsidP="00D3652E">
            <w:pPr>
              <w:pStyle w:val="BodyText"/>
              <w:spacing w:line="260" w:lineRule="atLeast"/>
            </w:pPr>
            <w:r w:rsidRPr="00F566B6">
              <w:t>The Government’s current priorities are to strengthen New Zealand’s preparation for the impacts of climate change and to clarify the roles and responsibilities involved in adapting to climate change as well as the response to the costs of adaptation.</w:t>
            </w:r>
          </w:p>
        </w:tc>
      </w:tr>
      <w:tr w:rsidR="00697651" w:rsidRPr="00722EC0" w14:paraId="346867C4" w14:textId="77777777" w:rsidTr="003C2440">
        <w:tc>
          <w:tcPr>
            <w:tcW w:w="8505" w:type="dxa"/>
            <w:tcBorders>
              <w:top w:val="single" w:sz="4" w:space="0" w:color="2C9986" w:themeColor="accent4"/>
              <w:bottom w:val="single" w:sz="4" w:space="0" w:color="2C9986" w:themeColor="accent4"/>
            </w:tcBorders>
            <w:shd w:val="clear" w:color="auto" w:fill="FFFFFF" w:themeFill="background1"/>
          </w:tcPr>
          <w:p w14:paraId="30FEA764" w14:textId="77777777" w:rsidR="00697651" w:rsidRPr="000F5EDD" w:rsidRDefault="00697651" w:rsidP="00D3652E">
            <w:pPr>
              <w:pStyle w:val="BodyText"/>
              <w:spacing w:line="260" w:lineRule="atLeast"/>
            </w:pPr>
            <w:r w:rsidRPr="00983B30">
              <w:t>New Zealand is projected to warm further by 2090, with more hot days and fewer cold days across the country over the next decades.</w:t>
            </w:r>
          </w:p>
        </w:tc>
      </w:tr>
      <w:tr w:rsidR="00697651" w:rsidRPr="00722EC0" w14:paraId="52157DB3" w14:textId="77777777" w:rsidTr="003C2440">
        <w:tc>
          <w:tcPr>
            <w:tcW w:w="8505" w:type="dxa"/>
            <w:tcBorders>
              <w:top w:val="single" w:sz="4" w:space="0" w:color="2C9986" w:themeColor="accent4"/>
              <w:bottom w:val="single" w:sz="4" w:space="0" w:color="2C9986" w:themeColor="accent4"/>
            </w:tcBorders>
            <w:shd w:val="clear" w:color="auto" w:fill="FFFFFF" w:themeFill="background1"/>
          </w:tcPr>
          <w:p w14:paraId="2461AC23" w14:textId="77777777" w:rsidR="00697651" w:rsidRPr="000F5EDD" w:rsidRDefault="00697651" w:rsidP="00D3652E">
            <w:pPr>
              <w:pStyle w:val="BodyText"/>
              <w:spacing w:line="260" w:lineRule="atLeast"/>
            </w:pPr>
            <w:r w:rsidRPr="001E1DB8">
              <w:t>The Climate Change Chief Executives Board monitors the progress of implementation of the first National Adaptation Plan. Its first progress report, covering January 2023 to June 2023, found that 66</w:t>
            </w:r>
            <w:r>
              <w:t> </w:t>
            </w:r>
            <w:r w:rsidRPr="001E1DB8">
              <w:t>per cent of actions actively being implemented were on track for delivery.</w:t>
            </w:r>
          </w:p>
        </w:tc>
      </w:tr>
      <w:tr w:rsidR="00697651" w:rsidRPr="00722EC0" w14:paraId="7180DDB6" w14:textId="77777777" w:rsidTr="003C2440">
        <w:tc>
          <w:tcPr>
            <w:tcW w:w="8505" w:type="dxa"/>
            <w:tcBorders>
              <w:top w:val="single" w:sz="4" w:space="0" w:color="2C9986" w:themeColor="accent4"/>
              <w:bottom w:val="single" w:sz="4" w:space="0" w:color="2C9986" w:themeColor="accent4"/>
            </w:tcBorders>
            <w:shd w:val="clear" w:color="auto" w:fill="FFFFFF" w:themeFill="background1"/>
          </w:tcPr>
          <w:p w14:paraId="1D8424B4" w14:textId="5A6AB9EE" w:rsidR="00697651" w:rsidRPr="000F5EDD" w:rsidRDefault="00697651" w:rsidP="00D3652E">
            <w:pPr>
              <w:pStyle w:val="BodyText"/>
              <w:spacing w:line="260" w:lineRule="atLeast"/>
            </w:pPr>
            <w:r w:rsidRPr="00803C2C">
              <w:t>In August 2024, the Climate Change Commission released a report on the implementation and effectiveness of the first National Adaptation Plan. The Government will respond to this report.</w:t>
            </w:r>
          </w:p>
        </w:tc>
      </w:tr>
      <w:tr w:rsidR="00697651" w:rsidRPr="00722EC0" w14:paraId="15D72129" w14:textId="77777777" w:rsidTr="003C2440">
        <w:tc>
          <w:tcPr>
            <w:tcW w:w="8505" w:type="dxa"/>
            <w:tcBorders>
              <w:top w:val="single" w:sz="4" w:space="0" w:color="2C9986" w:themeColor="accent4"/>
              <w:bottom w:val="single" w:sz="4" w:space="0" w:color="2C9986" w:themeColor="accent4"/>
            </w:tcBorders>
            <w:shd w:val="clear" w:color="auto" w:fill="FFFFFF" w:themeFill="background1"/>
          </w:tcPr>
          <w:p w14:paraId="77C68487" w14:textId="77777777" w:rsidR="00697651" w:rsidRPr="006965A3" w:rsidRDefault="00697651" w:rsidP="00D3652E">
            <w:pPr>
              <w:pStyle w:val="BodyText"/>
              <w:spacing w:line="260" w:lineRule="atLeast"/>
              <w:rPr>
                <w:spacing w:val="-2"/>
              </w:rPr>
            </w:pPr>
            <w:r w:rsidRPr="006965A3">
              <w:rPr>
                <w:spacing w:val="-2"/>
              </w:rPr>
              <w:t>This chapter also serves as New Zealand’s third Adaptation Communication under the Paris Agreement.</w:t>
            </w:r>
          </w:p>
        </w:tc>
      </w:tr>
    </w:tbl>
    <w:p w14:paraId="791FEDF2" w14:textId="77777777" w:rsidR="00697651" w:rsidRDefault="00697651" w:rsidP="00EA02DE">
      <w:pPr>
        <w:pStyle w:val="Heading2"/>
        <w:numPr>
          <w:ilvl w:val="0"/>
          <w:numId w:val="50"/>
        </w:numPr>
        <w:spacing w:before="440"/>
        <w:ind w:left="851" w:hanging="851"/>
      </w:pPr>
      <w:bookmarkStart w:id="740" w:name="_Toc184825537"/>
      <w:r>
        <w:t>Introduction</w:t>
      </w:r>
      <w:bookmarkEnd w:id="740"/>
    </w:p>
    <w:p w14:paraId="58F844C3" w14:textId="77777777" w:rsidR="00697651" w:rsidRPr="00936252" w:rsidRDefault="00697651" w:rsidP="00697651">
      <w:pPr>
        <w:pStyle w:val="BodyText"/>
      </w:pPr>
      <w:r>
        <w:t>This chapter provides information on New Zealand’s approach to adapting to the impacts of climate change. It covers institutional arrangements and adaptation strategies and policies. It also includes progress on implementation, monitoring and evaluation, and case study highlights. It also outlines projected impacts of climate change on New Zealand, alongside information on risks and vulnerability.</w:t>
      </w:r>
    </w:p>
    <w:p w14:paraId="4772E3C0" w14:textId="77777777" w:rsidR="00697651" w:rsidRPr="000F5EDD" w:rsidRDefault="00697651" w:rsidP="0044676F">
      <w:pPr>
        <w:pStyle w:val="Heading2"/>
        <w:numPr>
          <w:ilvl w:val="0"/>
          <w:numId w:val="50"/>
        </w:numPr>
        <w:ind w:left="1134" w:hanging="1134"/>
      </w:pPr>
      <w:bookmarkStart w:id="741" w:name="_Toc184825538"/>
      <w:r w:rsidRPr="000F5EDD">
        <w:t>National circumstances, institutional arrangements and legal frameworks</w:t>
      </w:r>
      <w:bookmarkEnd w:id="741"/>
      <w:r w:rsidRPr="000F5EDD">
        <w:t xml:space="preserve"> </w:t>
      </w:r>
    </w:p>
    <w:p w14:paraId="1D9820B5" w14:textId="77777777" w:rsidR="00697651" w:rsidRPr="000F5EDD" w:rsidRDefault="00697651" w:rsidP="00EA02DE">
      <w:pPr>
        <w:pStyle w:val="Heading3"/>
        <w:numPr>
          <w:ilvl w:val="0"/>
          <w:numId w:val="51"/>
        </w:numPr>
      </w:pPr>
      <w:r w:rsidRPr="000F5EDD">
        <w:t>National circumstances</w:t>
      </w:r>
    </w:p>
    <w:p w14:paraId="702B7F11" w14:textId="3784CC00" w:rsidR="00697651" w:rsidRPr="000F5EDD" w:rsidRDefault="00697651" w:rsidP="00697651">
      <w:pPr>
        <w:pStyle w:val="BodyText"/>
      </w:pPr>
      <w:r w:rsidRPr="000F5EDD">
        <w:t xml:space="preserve">See </w:t>
      </w:r>
      <w:hyperlink w:anchor="_National_circumstances_and" w:history="1">
        <w:r w:rsidRPr="0088250E">
          <w:rPr>
            <w:rStyle w:val="Hyperlink"/>
          </w:rPr>
          <w:t>section 2.1</w:t>
        </w:r>
      </w:hyperlink>
      <w:r w:rsidRPr="000F5EDD">
        <w:t xml:space="preserve"> for details on national circumstances that may affect New Zealand’s adaptive</w:t>
      </w:r>
      <w:r>
        <w:t> </w:t>
      </w:r>
      <w:r w:rsidRPr="000F5EDD">
        <w:t xml:space="preserve">capacity. </w:t>
      </w:r>
    </w:p>
    <w:p w14:paraId="4FB69BAC" w14:textId="77777777" w:rsidR="00697651" w:rsidRPr="000F5EDD" w:rsidRDefault="00697651" w:rsidP="00EA02DE">
      <w:pPr>
        <w:pStyle w:val="Heading3"/>
        <w:numPr>
          <w:ilvl w:val="0"/>
          <w:numId w:val="51"/>
        </w:numPr>
      </w:pPr>
      <w:bookmarkStart w:id="742" w:name="_Institutional_arrangements"/>
      <w:bookmarkStart w:id="743" w:name="section322"/>
      <w:bookmarkEnd w:id="742"/>
      <w:bookmarkEnd w:id="743"/>
      <w:r w:rsidRPr="000F5EDD">
        <w:t>Institutional arrangements</w:t>
      </w:r>
    </w:p>
    <w:p w14:paraId="2B7EEFED" w14:textId="77777777" w:rsidR="00697651" w:rsidRPr="000F5EDD" w:rsidRDefault="00697651" w:rsidP="00EA02DE">
      <w:pPr>
        <w:pStyle w:val="Heading4"/>
        <w:numPr>
          <w:ilvl w:val="0"/>
          <w:numId w:val="58"/>
        </w:numPr>
      </w:pPr>
      <w:r w:rsidRPr="000F5EDD">
        <w:t>Institutional framework</w:t>
      </w:r>
    </w:p>
    <w:p w14:paraId="3FC713CA" w14:textId="22EC27DE" w:rsidR="00697651" w:rsidRPr="000F5EDD" w:rsidRDefault="00697651" w:rsidP="00697651">
      <w:pPr>
        <w:pStyle w:val="BodyText"/>
      </w:pPr>
      <w:r w:rsidRPr="000F5EDD">
        <w:t xml:space="preserve">New Zealand is founded on a partnership between the Crown and indigenous New Zealanders, Māori, through te Tiriti o Waitangi (the Treaty of Waitangi) signed in 1840. See </w:t>
      </w:r>
      <w:hyperlink w:anchor="section218" w:history="1">
        <w:r w:rsidR="005B3295" w:rsidRPr="005B3295">
          <w:rPr>
            <w:rStyle w:val="Hyperlink"/>
          </w:rPr>
          <w:t xml:space="preserve">section 2.1.8 </w:t>
        </w:r>
      </w:hyperlink>
      <w:r w:rsidRPr="000F5EDD">
        <w:t xml:space="preserve"> for further detail on New Zealand’s institutional framework. </w:t>
      </w:r>
    </w:p>
    <w:p w14:paraId="534F0B2B" w14:textId="77777777" w:rsidR="00697651" w:rsidRPr="000F5EDD" w:rsidRDefault="00697651" w:rsidP="00EA02DE">
      <w:pPr>
        <w:pStyle w:val="Heading4"/>
        <w:numPr>
          <w:ilvl w:val="0"/>
          <w:numId w:val="58"/>
        </w:numPr>
      </w:pPr>
      <w:r w:rsidRPr="000F5EDD">
        <w:t xml:space="preserve">Institutional arrangements for adaptation </w:t>
      </w:r>
    </w:p>
    <w:p w14:paraId="1A6C41D9" w14:textId="77777777" w:rsidR="00697651" w:rsidRPr="000F5EDD" w:rsidRDefault="00697651" w:rsidP="007F118F">
      <w:pPr>
        <w:pStyle w:val="BodyText"/>
        <w:keepNext/>
      </w:pPr>
      <w:r w:rsidRPr="000F5EDD">
        <w:t>All New Zealanders have a role to play in adapting to the impacts of climate change.</w:t>
      </w:r>
    </w:p>
    <w:p w14:paraId="4626D169" w14:textId="7E6AD4A1" w:rsidR="00697651" w:rsidRPr="000F5EDD" w:rsidRDefault="00697651" w:rsidP="00697651">
      <w:pPr>
        <w:pStyle w:val="Bullet"/>
      </w:pPr>
      <w:r w:rsidRPr="000F5EDD">
        <w:t>Central government establishes regulatory and institutional settings that support effective</w:t>
      </w:r>
      <w:r w:rsidR="00231C51">
        <w:t> </w:t>
      </w:r>
      <w:r w:rsidRPr="000F5EDD">
        <w:t>adaptation. It also facilitates the availability of information and data, and central</w:t>
      </w:r>
      <w:r w:rsidR="00231C51">
        <w:t> </w:t>
      </w:r>
      <w:r w:rsidRPr="000F5EDD">
        <w:t>government agencies work together to drive sustainable and effective</w:t>
      </w:r>
      <w:r w:rsidRPr="000F5EDD" w:rsidDel="000115E0">
        <w:t xml:space="preserve"> </w:t>
      </w:r>
      <w:r w:rsidRPr="000F5EDD">
        <w:t>risk</w:t>
      </w:r>
      <w:r w:rsidR="00231C51">
        <w:noBreakHyphen/>
      </w:r>
      <w:r w:rsidRPr="000F5EDD">
        <w:t xml:space="preserve">informed decisions. </w:t>
      </w:r>
    </w:p>
    <w:p w14:paraId="5A3C9018" w14:textId="77777777" w:rsidR="00697651" w:rsidRPr="000F5EDD" w:rsidRDefault="00697651" w:rsidP="00697651">
      <w:pPr>
        <w:pStyle w:val="Bullet"/>
      </w:pPr>
      <w:r w:rsidRPr="000F5EDD">
        <w:t xml:space="preserve">Local government is at the centre of risk management planning and response because most hazard events occur at the local or regional scale. </w:t>
      </w:r>
    </w:p>
    <w:p w14:paraId="6070D896" w14:textId="77777777" w:rsidR="00697651" w:rsidRPr="000F5EDD" w:rsidRDefault="00697651" w:rsidP="00697651">
      <w:pPr>
        <w:pStyle w:val="Bullet"/>
      </w:pPr>
      <w:r w:rsidRPr="000F5EDD">
        <w:t>Māori play a unique role in adaptation as Tiriti partners, tangata whenua (people of the land) and kaitiaki (guardians).</w:t>
      </w:r>
    </w:p>
    <w:p w14:paraId="6431D399" w14:textId="77777777" w:rsidR="00697651" w:rsidRPr="000F5EDD" w:rsidRDefault="00697651" w:rsidP="00697651">
      <w:pPr>
        <w:pStyle w:val="Bullet"/>
      </w:pPr>
      <w:r w:rsidRPr="005F5A7A">
        <w:rPr>
          <w:spacing w:val="-2"/>
        </w:rPr>
        <w:t>Businesses need to strengthen their resilience to climate risks, including risks to their assets</w:t>
      </w:r>
      <w:r w:rsidRPr="000F5EDD">
        <w:t>.</w:t>
      </w:r>
    </w:p>
    <w:p w14:paraId="668F7E01" w14:textId="77777777" w:rsidR="00697651" w:rsidRPr="000F5EDD" w:rsidRDefault="00697651" w:rsidP="00697651">
      <w:pPr>
        <w:pStyle w:val="Bullet"/>
      </w:pPr>
      <w:r w:rsidRPr="000F5EDD">
        <w:t xml:space="preserve">The research and scientific community can contribute to adaptation because adaptation decisions must be based on the best available science. </w:t>
      </w:r>
    </w:p>
    <w:p w14:paraId="29E1DC02" w14:textId="77777777" w:rsidR="00697651" w:rsidRPr="000F5EDD" w:rsidRDefault="00697651" w:rsidP="00697651">
      <w:pPr>
        <w:pStyle w:val="BodyText"/>
      </w:pPr>
      <w:r w:rsidRPr="000F5EDD">
        <w:rPr>
          <w:highlight w:val="lightGray"/>
        </w:rPr>
        <w:t>Table 3.1</w:t>
      </w:r>
      <w:r w:rsidRPr="000F5EDD">
        <w:t xml:space="preserve"> outlines key examples of institutional arrangements in New Zealand that support adaptation.</w:t>
      </w:r>
    </w:p>
    <w:p w14:paraId="58C204ED" w14:textId="6D0B68F3" w:rsidR="00697651" w:rsidRPr="000F5EDD" w:rsidRDefault="00697651" w:rsidP="0069479C">
      <w:pPr>
        <w:pStyle w:val="Tableheading"/>
      </w:pPr>
      <w:bookmarkStart w:id="744" w:name="_Toc172716778"/>
      <w:bookmarkStart w:id="745" w:name="_Toc178603914"/>
      <w:bookmarkStart w:id="746" w:name="_Toc185407502"/>
      <w:bookmarkStart w:id="747" w:name="_Toc185427765"/>
      <w:r w:rsidRPr="000F5EDD">
        <w:t>Table 3.</w:t>
      </w:r>
      <w:r w:rsidR="000D7E1F">
        <w:t>1</w:t>
      </w:r>
      <w:r w:rsidRPr="000F5EDD">
        <w:t>:</w:t>
      </w:r>
      <w:r w:rsidRPr="000F5EDD">
        <w:tab/>
        <w:t>Key institutional arrangements for adaptation in New Zealand</w:t>
      </w:r>
      <w:bookmarkEnd w:id="744"/>
      <w:bookmarkEnd w:id="745"/>
      <w:bookmarkEnd w:id="746"/>
      <w:bookmarkEnd w:id="747"/>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1701"/>
        <w:gridCol w:w="6804"/>
      </w:tblGrid>
      <w:tr w:rsidR="00697651" w:rsidRPr="000F5EDD" w14:paraId="71BADB87" w14:textId="77777777">
        <w:trPr>
          <w:tblHeader/>
        </w:trPr>
        <w:tc>
          <w:tcPr>
            <w:tcW w:w="1701" w:type="dxa"/>
            <w:shd w:val="clear" w:color="auto" w:fill="1B556B" w:themeFill="text2"/>
          </w:tcPr>
          <w:p w14:paraId="2643EDE3" w14:textId="77777777" w:rsidR="00697651" w:rsidRPr="000F5EDD" w:rsidRDefault="00697651">
            <w:pPr>
              <w:pStyle w:val="TableText"/>
              <w:rPr>
                <w:rFonts w:eastAsia="Times New Roman"/>
                <w:b/>
                <w:bCs/>
                <w:color w:val="FFFFFF" w:themeColor="background1"/>
                <w:szCs w:val="18"/>
              </w:rPr>
            </w:pPr>
            <w:r w:rsidRPr="000F5EDD">
              <w:rPr>
                <w:rFonts w:eastAsia="Times New Roman"/>
                <w:b/>
                <w:bCs/>
                <w:color w:val="FFFFFF" w:themeColor="background1"/>
                <w:szCs w:val="18"/>
              </w:rPr>
              <w:t>Role</w:t>
            </w:r>
          </w:p>
        </w:tc>
        <w:tc>
          <w:tcPr>
            <w:tcW w:w="6804" w:type="dxa"/>
            <w:shd w:val="clear" w:color="auto" w:fill="1B556B" w:themeFill="text2"/>
          </w:tcPr>
          <w:p w14:paraId="1709E5A0" w14:textId="77777777" w:rsidR="00697651" w:rsidRPr="000F5EDD" w:rsidRDefault="00697651">
            <w:pPr>
              <w:pStyle w:val="TableText"/>
              <w:rPr>
                <w:rFonts w:eastAsia="Times New Roman"/>
                <w:b/>
                <w:bCs/>
                <w:color w:val="FFFFFF" w:themeColor="background1"/>
                <w:szCs w:val="18"/>
              </w:rPr>
            </w:pPr>
            <w:r w:rsidRPr="000F5EDD">
              <w:rPr>
                <w:rFonts w:eastAsia="Times New Roman"/>
                <w:b/>
                <w:bCs/>
                <w:color w:val="FFFFFF" w:themeColor="background1"/>
                <w:szCs w:val="18"/>
              </w:rPr>
              <w:t>Institutional arrangement</w:t>
            </w:r>
          </w:p>
        </w:tc>
      </w:tr>
      <w:tr w:rsidR="00697651" w:rsidRPr="000F5EDD" w14:paraId="3673EC2B" w14:textId="77777777">
        <w:tc>
          <w:tcPr>
            <w:tcW w:w="1701" w:type="dxa"/>
            <w:shd w:val="clear" w:color="auto" w:fill="auto"/>
          </w:tcPr>
          <w:p w14:paraId="2884B0EC" w14:textId="77777777" w:rsidR="00697651" w:rsidRPr="000F5EDD" w:rsidRDefault="00697651">
            <w:pPr>
              <w:pStyle w:val="TableText"/>
              <w:rPr>
                <w:b/>
                <w:bCs/>
                <w:szCs w:val="18"/>
              </w:rPr>
            </w:pPr>
            <w:r w:rsidRPr="000F5EDD">
              <w:rPr>
                <w:bCs/>
                <w:szCs w:val="18"/>
              </w:rPr>
              <w:t>Assessing climate impacts</w:t>
            </w:r>
          </w:p>
        </w:tc>
        <w:tc>
          <w:tcPr>
            <w:tcW w:w="6804" w:type="dxa"/>
            <w:shd w:val="clear" w:color="auto" w:fill="auto"/>
          </w:tcPr>
          <w:p w14:paraId="05841059" w14:textId="77777777" w:rsidR="00697651" w:rsidRPr="000F5EDD" w:rsidRDefault="00697651">
            <w:pPr>
              <w:pStyle w:val="TableText"/>
              <w:rPr>
                <w:szCs w:val="18"/>
              </w:rPr>
            </w:pPr>
            <w:r w:rsidRPr="000F5EDD">
              <w:rPr>
                <w:szCs w:val="18"/>
              </w:rPr>
              <w:t xml:space="preserve">Universities, consultancies and Crown research institutes, such as the National Institute of Water and Atmospheric Research (NIWA), Manaaki Whenua Landcare Research, Scion and GNS Science, have a role in assessing climate impacts. For example, NIWA monitors water and weather patterns. It provides climate services and resources for understanding climate and climate change, and conducts research on a range of climate variables. </w:t>
            </w:r>
          </w:p>
        </w:tc>
      </w:tr>
      <w:tr w:rsidR="00697651" w:rsidRPr="00D812CF" w14:paraId="4A3FF652" w14:textId="77777777">
        <w:tc>
          <w:tcPr>
            <w:tcW w:w="1701" w:type="dxa"/>
            <w:shd w:val="clear" w:color="auto" w:fill="auto"/>
          </w:tcPr>
          <w:p w14:paraId="1837EC30" w14:textId="77777777" w:rsidR="00697651" w:rsidRPr="00D812CF" w:rsidRDefault="00697651">
            <w:pPr>
              <w:pStyle w:val="TableText"/>
              <w:rPr>
                <w:b/>
                <w:bCs/>
                <w:szCs w:val="18"/>
              </w:rPr>
            </w:pPr>
            <w:r w:rsidRPr="00D812CF">
              <w:rPr>
                <w:bCs/>
                <w:szCs w:val="18"/>
              </w:rPr>
              <w:t>Climate change at sector level</w:t>
            </w:r>
          </w:p>
        </w:tc>
        <w:tc>
          <w:tcPr>
            <w:tcW w:w="6804" w:type="dxa"/>
            <w:shd w:val="clear" w:color="auto" w:fill="auto"/>
          </w:tcPr>
          <w:p w14:paraId="346CBA9D" w14:textId="12D6912F" w:rsidR="00697651" w:rsidRPr="00D812CF" w:rsidRDefault="00697651">
            <w:pPr>
              <w:pStyle w:val="TableText"/>
              <w:rPr>
                <w:szCs w:val="18"/>
              </w:rPr>
            </w:pPr>
            <w:r w:rsidRPr="75ADBAC8">
              <w:t>One of the four priority focus areas of the first national adaptation plan (NAP1)</w:t>
            </w:r>
            <w:r w:rsidRPr="00D812CF">
              <w:rPr>
                <w:rStyle w:val="FootnoteReference"/>
                <w:sz w:val="18"/>
                <w:szCs w:val="18"/>
              </w:rPr>
              <w:footnoteReference w:id="213"/>
            </w:r>
            <w:r w:rsidRPr="75ADBAC8">
              <w:t xml:space="preserve"> is to embed climate resilience in all government strategies and policies. Chapters 6–10 of NAP1 set out actions and future work programmes, which broadly align with the domains identified in the first National Climate Change Risk Assessment</w:t>
            </w:r>
            <w:r w:rsidRPr="00D812CF">
              <w:rPr>
                <w:szCs w:val="18"/>
              </w:rPr>
              <w:t>.</w:t>
            </w:r>
            <w:r w:rsidRPr="00D812CF">
              <w:rPr>
                <w:rStyle w:val="FootnoteReference"/>
                <w:sz w:val="18"/>
                <w:szCs w:val="18"/>
              </w:rPr>
              <w:footnoteReference w:id="214"/>
            </w:r>
          </w:p>
        </w:tc>
      </w:tr>
      <w:tr w:rsidR="00697651" w:rsidRPr="000F5EDD" w14:paraId="76286A8B" w14:textId="77777777">
        <w:tc>
          <w:tcPr>
            <w:tcW w:w="1701" w:type="dxa"/>
            <w:shd w:val="clear" w:color="auto" w:fill="auto"/>
          </w:tcPr>
          <w:p w14:paraId="12D9871A" w14:textId="77777777" w:rsidR="00697651" w:rsidRPr="000F5EDD" w:rsidRDefault="00697651">
            <w:pPr>
              <w:pStyle w:val="TableText"/>
              <w:rPr>
                <w:b/>
                <w:bCs/>
                <w:szCs w:val="18"/>
              </w:rPr>
            </w:pPr>
            <w:r w:rsidRPr="000F5EDD">
              <w:rPr>
                <w:bCs/>
                <w:szCs w:val="18"/>
              </w:rPr>
              <w:t>Decision-making</w:t>
            </w:r>
          </w:p>
        </w:tc>
        <w:tc>
          <w:tcPr>
            <w:tcW w:w="6804" w:type="dxa"/>
            <w:shd w:val="clear" w:color="auto" w:fill="auto"/>
          </w:tcPr>
          <w:p w14:paraId="3E20A5B8" w14:textId="77777777" w:rsidR="00697651" w:rsidRPr="000F5EDD" w:rsidRDefault="00697651">
            <w:pPr>
              <w:pStyle w:val="TableText"/>
              <w:rPr>
                <w:szCs w:val="18"/>
              </w:rPr>
            </w:pPr>
            <w:r w:rsidRPr="000F5EDD">
              <w:rPr>
                <w:szCs w:val="18"/>
              </w:rPr>
              <w:t>The Minister of Climate Change is responsible for setting the overall direction for climate change policy, including the adaptation response. The Ministry for the Environment provides the administrative support for this portfolio.</w:t>
            </w:r>
          </w:p>
          <w:p w14:paraId="0582634E" w14:textId="77777777" w:rsidR="00697651" w:rsidRPr="000F5EDD" w:rsidRDefault="00697651">
            <w:pPr>
              <w:pStyle w:val="TableText"/>
              <w:rPr>
                <w:szCs w:val="18"/>
                <w:highlight w:val="yellow"/>
              </w:rPr>
            </w:pPr>
            <w:r w:rsidRPr="000F5EDD">
              <w:rPr>
                <w:szCs w:val="18"/>
              </w:rPr>
              <w:t>Ministers across a number of portfolios are responsible for cross-sector matters relevant to climate change response. This includes the delivery of their actions in national adaptation plans (NAPs).</w:t>
            </w:r>
          </w:p>
        </w:tc>
      </w:tr>
      <w:tr w:rsidR="00697651" w:rsidRPr="000F5EDD" w14:paraId="05C0CE01" w14:textId="77777777">
        <w:tc>
          <w:tcPr>
            <w:tcW w:w="1701" w:type="dxa"/>
            <w:shd w:val="clear" w:color="auto" w:fill="auto"/>
          </w:tcPr>
          <w:p w14:paraId="078C5414" w14:textId="77777777" w:rsidR="00697651" w:rsidRPr="000F5EDD" w:rsidRDefault="00697651">
            <w:pPr>
              <w:pStyle w:val="TableText"/>
              <w:rPr>
                <w:b/>
                <w:bCs/>
                <w:szCs w:val="18"/>
              </w:rPr>
            </w:pPr>
            <w:r w:rsidRPr="000F5EDD">
              <w:rPr>
                <w:bCs/>
                <w:szCs w:val="18"/>
              </w:rPr>
              <w:t>Coordination, addressing cross-cutting issues, adjusting priorities and activities</w:t>
            </w:r>
          </w:p>
        </w:tc>
        <w:tc>
          <w:tcPr>
            <w:tcW w:w="6804" w:type="dxa"/>
            <w:shd w:val="clear" w:color="auto" w:fill="auto"/>
          </w:tcPr>
          <w:p w14:paraId="2D82473A" w14:textId="56120F23" w:rsidR="00697651" w:rsidRPr="000F5EDD" w:rsidRDefault="00697651">
            <w:pPr>
              <w:pStyle w:val="TableText"/>
              <w:rPr>
                <w:szCs w:val="18"/>
              </w:rPr>
            </w:pPr>
            <w:r w:rsidRPr="000F5EDD">
              <w:rPr>
                <w:szCs w:val="18"/>
              </w:rPr>
              <w:t xml:space="preserve">Climate change is a cross-cutting issue of relevance to almost all government agencies. The Climate Change Chief Executives Board (the Board) oversees the implementation of NAPs, supporting the Climate Priorities Ministerial Group </w:t>
            </w:r>
            <w:r w:rsidRPr="000F5EDD">
              <w:rPr>
                <w:szCs w:val="18"/>
                <w:highlight w:val="lightGray"/>
              </w:rPr>
              <w:t xml:space="preserve">(see </w:t>
            </w:r>
            <w:hyperlink w:anchor="_New_Zealand’s_adaptation" w:history="1">
              <w:r w:rsidRPr="00A007EB">
                <w:rPr>
                  <w:rStyle w:val="Hyperlink"/>
                  <w:rFonts w:cstheme="minorBidi"/>
                  <w:szCs w:val="18"/>
                  <w:highlight w:val="lightGray"/>
                </w:rPr>
                <w:t xml:space="preserve">section </w:t>
              </w:r>
              <w:r w:rsidRPr="00A007EB">
                <w:rPr>
                  <w:rStyle w:val="Hyperlink"/>
                  <w:szCs w:val="18"/>
                  <w:highlight w:val="lightGray"/>
                </w:rPr>
                <w:t>3.5.1</w:t>
              </w:r>
            </w:hyperlink>
            <w:r w:rsidRPr="000F5EDD">
              <w:rPr>
                <w:szCs w:val="18"/>
                <w:highlight w:val="lightGray"/>
              </w:rPr>
              <w:t>).</w:t>
            </w:r>
            <w:r w:rsidRPr="000F5EDD">
              <w:rPr>
                <w:szCs w:val="18"/>
              </w:rPr>
              <w:t xml:space="preserve"> </w:t>
            </w:r>
          </w:p>
          <w:p w14:paraId="79F34C3E" w14:textId="7EF394EA" w:rsidR="00697651" w:rsidRPr="000F5EDD" w:rsidRDefault="00697651">
            <w:pPr>
              <w:pStyle w:val="TableText"/>
              <w:rPr>
                <w:szCs w:val="18"/>
              </w:rPr>
            </w:pPr>
            <w:r w:rsidRPr="000F5EDD">
              <w:rPr>
                <w:szCs w:val="18"/>
              </w:rPr>
              <w:t>The Board is responsible for overseeing overall implementation of the NAP</w:t>
            </w:r>
            <w:r w:rsidR="00A5070F">
              <w:rPr>
                <w:szCs w:val="18"/>
              </w:rPr>
              <w:t>,</w:t>
            </w:r>
            <w:r w:rsidRPr="000F5EDD">
              <w:rPr>
                <w:szCs w:val="18"/>
              </w:rPr>
              <w:t xml:space="preserve"> periodically assessing its sufficiency and advising where course corrections are needed.</w:t>
            </w:r>
          </w:p>
        </w:tc>
      </w:tr>
      <w:tr w:rsidR="00697651" w:rsidRPr="000F5EDD" w14:paraId="0BDC32FD" w14:textId="77777777">
        <w:tc>
          <w:tcPr>
            <w:tcW w:w="1701" w:type="dxa"/>
            <w:shd w:val="clear" w:color="auto" w:fill="auto"/>
          </w:tcPr>
          <w:p w14:paraId="50ABA9FE" w14:textId="77777777" w:rsidR="00697651" w:rsidRPr="000F5EDD" w:rsidRDefault="00697651" w:rsidP="00CB21B9">
            <w:pPr>
              <w:pStyle w:val="TableText"/>
              <w:keepNext/>
              <w:rPr>
                <w:b/>
                <w:bCs/>
                <w:szCs w:val="18"/>
              </w:rPr>
            </w:pPr>
            <w:r w:rsidRPr="000F5EDD">
              <w:rPr>
                <w:bCs/>
                <w:szCs w:val="18"/>
              </w:rPr>
              <w:t>Planning and coordination</w:t>
            </w:r>
          </w:p>
        </w:tc>
        <w:tc>
          <w:tcPr>
            <w:tcW w:w="6804" w:type="dxa"/>
            <w:shd w:val="clear" w:color="auto" w:fill="auto"/>
          </w:tcPr>
          <w:p w14:paraId="64A566DD" w14:textId="77777777" w:rsidR="00697651" w:rsidRPr="000F5EDD" w:rsidRDefault="00697651">
            <w:pPr>
              <w:pStyle w:val="TableText"/>
              <w:rPr>
                <w:rFonts w:cstheme="minorHAnsi"/>
                <w:szCs w:val="18"/>
              </w:rPr>
            </w:pPr>
            <w:r w:rsidRPr="000F5EDD">
              <w:rPr>
                <w:szCs w:val="18"/>
              </w:rPr>
              <w:t xml:space="preserve">The Government directs adaptation work at the local and regional levels through the Resource Management Act 1991 and Local Government Act </w:t>
            </w:r>
            <w:r w:rsidRPr="000F5EDD">
              <w:rPr>
                <w:rFonts w:cstheme="minorHAnsi"/>
                <w:szCs w:val="18"/>
              </w:rPr>
              <w:t xml:space="preserve">2002. </w:t>
            </w:r>
          </w:p>
          <w:p w14:paraId="38681436" w14:textId="77777777" w:rsidR="00697651" w:rsidRPr="000F5EDD" w:rsidRDefault="00697651">
            <w:pPr>
              <w:pStyle w:val="TableText"/>
              <w:rPr>
                <w:szCs w:val="18"/>
              </w:rPr>
            </w:pPr>
            <w:r w:rsidRPr="000F5EDD">
              <w:rPr>
                <w:rFonts w:cstheme="minorHAnsi"/>
                <w:szCs w:val="18"/>
              </w:rPr>
              <w:t>Since November 2022, councils have been required to have regard to</w:t>
            </w:r>
            <w:r w:rsidRPr="000F5EDD" w:rsidDel="00CB3C04">
              <w:rPr>
                <w:rFonts w:cstheme="minorHAnsi"/>
                <w:szCs w:val="18"/>
              </w:rPr>
              <w:t xml:space="preserve"> </w:t>
            </w:r>
            <w:r w:rsidRPr="000F5EDD">
              <w:rPr>
                <w:rFonts w:cstheme="minorHAnsi"/>
                <w:szCs w:val="18"/>
              </w:rPr>
              <w:t>the NAP when making or changing policy statements or plans.</w:t>
            </w:r>
          </w:p>
        </w:tc>
      </w:tr>
      <w:tr w:rsidR="00697651" w:rsidRPr="000F5EDD" w14:paraId="39D65832" w14:textId="77777777">
        <w:tc>
          <w:tcPr>
            <w:tcW w:w="1701" w:type="dxa"/>
            <w:shd w:val="clear" w:color="auto" w:fill="auto"/>
          </w:tcPr>
          <w:p w14:paraId="199CBF72" w14:textId="77777777" w:rsidR="00697651" w:rsidRPr="000F5EDD" w:rsidRDefault="00697651">
            <w:pPr>
              <w:pStyle w:val="TableText"/>
              <w:rPr>
                <w:b/>
                <w:bCs/>
                <w:szCs w:val="18"/>
              </w:rPr>
            </w:pPr>
            <w:r w:rsidRPr="000F5EDD">
              <w:rPr>
                <w:bCs/>
                <w:szCs w:val="18"/>
              </w:rPr>
              <w:t>Data governance</w:t>
            </w:r>
          </w:p>
        </w:tc>
        <w:tc>
          <w:tcPr>
            <w:tcW w:w="6804" w:type="dxa"/>
            <w:shd w:val="clear" w:color="auto" w:fill="auto"/>
          </w:tcPr>
          <w:p w14:paraId="2D694059" w14:textId="77777777" w:rsidR="00697651" w:rsidRPr="000F5EDD" w:rsidRDefault="00697651">
            <w:pPr>
              <w:pStyle w:val="TableText"/>
              <w:rPr>
                <w:szCs w:val="18"/>
              </w:rPr>
            </w:pPr>
            <w:r w:rsidRPr="75ADBAC8">
              <w:t>Statistics about New Zealand’s atmosphere and climate come from the Environmental Reporting Series, which Stats NZ and the Ministry for the Environment produce. Twenty atmosphere and climate indicators support the series reports with technical information and interactive maps and graphs.</w:t>
            </w:r>
            <w:r w:rsidRPr="000F5EDD">
              <w:rPr>
                <w:rStyle w:val="FootnoteReference"/>
                <w:rFonts w:asciiTheme="minorHAnsi" w:hAnsiTheme="minorHAnsi" w:cstheme="minorBidi"/>
                <w:sz w:val="18"/>
                <w:szCs w:val="18"/>
              </w:rPr>
              <w:footnoteReference w:id="215"/>
            </w:r>
          </w:p>
        </w:tc>
      </w:tr>
      <w:tr w:rsidR="00697651" w:rsidRPr="00D812CF" w14:paraId="3B9CE592" w14:textId="77777777">
        <w:tc>
          <w:tcPr>
            <w:tcW w:w="1701" w:type="dxa"/>
            <w:shd w:val="clear" w:color="auto" w:fill="auto"/>
          </w:tcPr>
          <w:p w14:paraId="6F02430A" w14:textId="77777777" w:rsidR="00697651" w:rsidRPr="00D812CF" w:rsidRDefault="00697651">
            <w:pPr>
              <w:pStyle w:val="TableText"/>
              <w:rPr>
                <w:bCs/>
                <w:szCs w:val="18"/>
              </w:rPr>
            </w:pPr>
            <w:r w:rsidRPr="00D812CF">
              <w:rPr>
                <w:bCs/>
                <w:szCs w:val="18"/>
              </w:rPr>
              <w:t>Monitoring, reporting and evaluating</w:t>
            </w:r>
          </w:p>
        </w:tc>
        <w:tc>
          <w:tcPr>
            <w:tcW w:w="6804" w:type="dxa"/>
            <w:shd w:val="clear" w:color="auto" w:fill="auto"/>
          </w:tcPr>
          <w:p w14:paraId="44D2BE69" w14:textId="77777777" w:rsidR="00697651" w:rsidRPr="00D812CF" w:rsidRDefault="00697651">
            <w:pPr>
              <w:pStyle w:val="TableText"/>
              <w:rPr>
                <w:szCs w:val="18"/>
              </w:rPr>
            </w:pPr>
            <w:r w:rsidRPr="00D812CF">
              <w:rPr>
                <w:szCs w:val="18"/>
              </w:rPr>
              <w:t>The Board provides quarterly reporting to the cross-ministerial group on delivery of climate change work programmes. It also produces six-monthly updates on how the implementation of the NAP is progressing.</w:t>
            </w:r>
          </w:p>
          <w:p w14:paraId="63DF8BA6" w14:textId="77777777" w:rsidR="00697651" w:rsidRPr="00D812CF" w:rsidRDefault="00697651">
            <w:pPr>
              <w:pStyle w:val="TableText"/>
              <w:rPr>
                <w:szCs w:val="18"/>
              </w:rPr>
            </w:pPr>
            <w:r w:rsidRPr="75ADBAC8">
              <w:t>The Government and the Climate Change Commission (the Commission)</w:t>
            </w:r>
            <w:r w:rsidRPr="00D812CF">
              <w:rPr>
                <w:rStyle w:val="FootnoteReference"/>
                <w:sz w:val="18"/>
                <w:szCs w:val="18"/>
              </w:rPr>
              <w:footnoteReference w:id="216"/>
            </w:r>
            <w:r w:rsidRPr="75ADBAC8">
              <w:t xml:space="preserve"> have the power to request information on the adaptation preparedness of policy and service delivery organisations.</w:t>
            </w:r>
            <w:r w:rsidRPr="00D812CF">
              <w:rPr>
                <w:rStyle w:val="FootnoteReference"/>
                <w:sz w:val="18"/>
                <w:szCs w:val="18"/>
              </w:rPr>
              <w:footnoteReference w:id="217"/>
            </w:r>
            <w:r w:rsidRPr="75ADBAC8">
              <w:t xml:space="preserve"> The Minister of Climate Change has made two such requests, one in 2020 and one in 2024.</w:t>
            </w:r>
          </w:p>
          <w:p w14:paraId="5963C853" w14:textId="1D40CA7E" w:rsidR="00B11AEE" w:rsidRPr="00D812CF" w:rsidRDefault="00EC5C74">
            <w:pPr>
              <w:pStyle w:val="TableText"/>
              <w:rPr>
                <w:szCs w:val="18"/>
              </w:rPr>
            </w:pPr>
            <w:r>
              <w:rPr>
                <w:szCs w:val="18"/>
              </w:rPr>
              <w:t>Under the Climate Change Response Act 2002, t</w:t>
            </w:r>
            <w:r w:rsidR="00B11AEE">
              <w:rPr>
                <w:szCs w:val="18"/>
              </w:rPr>
              <w:t>he Commission</w:t>
            </w:r>
            <w:r>
              <w:rPr>
                <w:szCs w:val="18"/>
              </w:rPr>
              <w:t xml:space="preserve"> is responsible for delivering </w:t>
            </w:r>
            <w:r w:rsidR="00D67F91">
              <w:rPr>
                <w:szCs w:val="18"/>
              </w:rPr>
              <w:t xml:space="preserve">progress reports on the Government’s National Adaptation Plan every two years, and National Climate Change Risk Assessments every six </w:t>
            </w:r>
            <w:r w:rsidR="00243824">
              <w:rPr>
                <w:szCs w:val="18"/>
              </w:rPr>
              <w:t>years (starting in 2026).</w:t>
            </w:r>
          </w:p>
          <w:p w14:paraId="11FD406A" w14:textId="77777777" w:rsidR="00697651" w:rsidRPr="00D812CF" w:rsidRDefault="00697651">
            <w:pPr>
              <w:pStyle w:val="TableText"/>
              <w:rPr>
                <w:szCs w:val="18"/>
              </w:rPr>
            </w:pPr>
            <w:r w:rsidRPr="00D812CF">
              <w:rPr>
                <w:szCs w:val="18"/>
              </w:rPr>
              <w:t xml:space="preserve">Section 6.9.1 of the </w:t>
            </w:r>
            <w:hyperlink r:id="rId137" w:history="1">
              <w:r w:rsidRPr="00D812CF">
                <w:rPr>
                  <w:rStyle w:val="Hyperlink"/>
                  <w:szCs w:val="18"/>
                </w:rPr>
                <w:t>Eighth National Communication Report</w:t>
              </w:r>
            </w:hyperlink>
            <w:r w:rsidRPr="00D812CF">
              <w:rPr>
                <w:szCs w:val="18"/>
              </w:rPr>
              <w:t xml:space="preserve"> outlines the monitoring, reporting and evaluation mechanisms and the governance and oversight structures set out in the Climate Change Response Act 2002.</w:t>
            </w:r>
          </w:p>
        </w:tc>
      </w:tr>
    </w:tbl>
    <w:p w14:paraId="0D1FDB53" w14:textId="77777777" w:rsidR="00697651" w:rsidRPr="000F5EDD" w:rsidRDefault="00697651" w:rsidP="00697651">
      <w:pPr>
        <w:pStyle w:val="Source"/>
      </w:pPr>
      <w:r w:rsidRPr="000F5EDD">
        <w:t xml:space="preserve">Source: Updated based on Ministry for the Environment. 2022. </w:t>
      </w:r>
      <w:hyperlink r:id="rId138" w:history="1">
        <w:r w:rsidRPr="000F5EDD">
          <w:rPr>
            <w:rStyle w:val="Hyperlink"/>
            <w:i/>
          </w:rPr>
          <w:t>New Zealand's Eighth National Communication</w:t>
        </w:r>
      </w:hyperlink>
      <w:r w:rsidRPr="000F5EDD">
        <w:t>. Wellington: Ministry for the Environment.</w:t>
      </w:r>
    </w:p>
    <w:p w14:paraId="1A2DA4FE" w14:textId="77777777" w:rsidR="00697651" w:rsidRPr="000F5EDD" w:rsidRDefault="00697651" w:rsidP="00EA02DE">
      <w:pPr>
        <w:pStyle w:val="Heading3"/>
        <w:numPr>
          <w:ilvl w:val="0"/>
          <w:numId w:val="51"/>
        </w:numPr>
      </w:pPr>
      <w:bookmarkStart w:id="748" w:name="section323"/>
      <w:bookmarkEnd w:id="748"/>
      <w:r w:rsidRPr="000F5EDD">
        <w:t>Process for adaptation policies and strategies</w:t>
      </w:r>
    </w:p>
    <w:p w14:paraId="641F73B2" w14:textId="603F00BB" w:rsidR="00697651" w:rsidRPr="000F5EDD" w:rsidRDefault="00697651" w:rsidP="00697651">
      <w:pPr>
        <w:pStyle w:val="BodyText"/>
      </w:pPr>
      <w:r w:rsidRPr="000F5EDD">
        <w:t>In 2019, the amendments to the Climate Change Response Act 2002 set out the adaptation process for regularly assessing climate risks, planning to manage those risks, assessing implementation and evaluating the effectiveness of the actions in reducing risk and provision to adjust actions (</w:t>
      </w:r>
      <w:hyperlink w:anchor="figure31" w:history="1">
        <w:r w:rsidRPr="00C33A76">
          <w:rPr>
            <w:rStyle w:val="Hyperlink"/>
          </w:rPr>
          <w:t>figure 3.1</w:t>
        </w:r>
      </w:hyperlink>
      <w:r w:rsidRPr="000F5EDD">
        <w:t xml:space="preserve">). </w:t>
      </w:r>
    </w:p>
    <w:p w14:paraId="25A6622F" w14:textId="77777777" w:rsidR="00697651" w:rsidRPr="000F5EDD" w:rsidRDefault="00697651" w:rsidP="00697651">
      <w:pPr>
        <w:pStyle w:val="BodyText"/>
      </w:pPr>
      <w:r w:rsidRPr="000F5EDD">
        <w:t>The Act also sets out what must be included in National Climate Change Risk Assessments (NCCRAs), national adaptation plans (NAPs) and progress reports. It specifies the Climate Change Commission’s (the Commission’s) roles of providing independent expert advice on adaptation as well as producing progress reports on the implementation and effectiveness of the NAP.</w:t>
      </w:r>
      <w:r w:rsidRPr="000F5EDD">
        <w:rPr>
          <w:rStyle w:val="FootnoteReference"/>
        </w:rPr>
        <w:footnoteReference w:id="218"/>
      </w:r>
      <w:r w:rsidRPr="000F5EDD">
        <w:t xml:space="preserve"> These provisions determine the requirements for formulating, implementing, publishing and updating New Zealand’s adaptation policies and strategies.</w:t>
      </w:r>
    </w:p>
    <w:p w14:paraId="7B117BD7" w14:textId="76080C66" w:rsidR="00697651" w:rsidRPr="000F5EDD" w:rsidRDefault="00697651" w:rsidP="00201256">
      <w:pPr>
        <w:pStyle w:val="Figureheading"/>
      </w:pPr>
      <w:bookmarkStart w:id="749" w:name="_Ref179282105"/>
      <w:bookmarkStart w:id="750" w:name="figure31"/>
      <w:bookmarkStart w:id="751" w:name="_Toc172716779"/>
      <w:bookmarkStart w:id="752" w:name="_Toc178603944"/>
      <w:bookmarkStart w:id="753" w:name="_Toc185347277"/>
      <w:r w:rsidRPr="000F5EDD">
        <w:t>Figure 3.</w:t>
      </w:r>
      <w:bookmarkEnd w:id="749"/>
      <w:bookmarkEnd w:id="750"/>
      <w:r w:rsidR="002326F8">
        <w:t>1</w:t>
      </w:r>
      <w:r w:rsidRPr="000F5EDD">
        <w:t>:</w:t>
      </w:r>
      <w:r w:rsidRPr="000F5EDD">
        <w:tab/>
        <w:t>New Zealand’s adaptation process</w:t>
      </w:r>
      <w:bookmarkEnd w:id="751"/>
      <w:bookmarkEnd w:id="752"/>
      <w:bookmarkEnd w:id="753"/>
    </w:p>
    <w:p w14:paraId="68C8CDFB" w14:textId="77777777" w:rsidR="00697651" w:rsidRPr="000F5EDD" w:rsidRDefault="00697651" w:rsidP="00697651">
      <w:pPr>
        <w:pStyle w:val="BodyText"/>
        <w:spacing w:after="60"/>
        <w:jc w:val="center"/>
      </w:pPr>
      <w:r w:rsidRPr="000F5EDD">
        <w:rPr>
          <w:noProof/>
        </w:rPr>
        <w:drawing>
          <wp:inline distT="0" distB="0" distL="0" distR="0" wp14:anchorId="50BCC8D3" wp14:editId="505CEB91">
            <wp:extent cx="4615961" cy="4615961"/>
            <wp:effectExtent l="0" t="0" r="0" b="0"/>
            <wp:docPr id="727052814" name="Picture 2" descr="An infographic showing New Zealand’s adaptation process which includes undertaking regular risk assessments, developing NAPs and then implementing, independently monitoring and evaluating them, and adjusting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52814" name="Picture 2" descr="An infographic showing New Zealand’s adaptation process which includes undertaking regular risk assessments, developing NAPs and then implementing, independently monitoring and evaluating them, and adjusting actions."/>
                    <pic:cNvPicPr/>
                  </pic:nvPicPr>
                  <pic:blipFill>
                    <a:blip r:embed="rId139"/>
                    <a:stretch>
                      <a:fillRect/>
                    </a:stretch>
                  </pic:blipFill>
                  <pic:spPr>
                    <a:xfrm>
                      <a:off x="0" y="0"/>
                      <a:ext cx="4628906" cy="4628906"/>
                    </a:xfrm>
                    <a:prstGeom prst="rect">
                      <a:avLst/>
                    </a:prstGeom>
                  </pic:spPr>
                </pic:pic>
              </a:graphicData>
            </a:graphic>
          </wp:inline>
        </w:drawing>
      </w:r>
    </w:p>
    <w:p w14:paraId="7A92FF28" w14:textId="77777777" w:rsidR="00697651" w:rsidRPr="000F5EDD" w:rsidRDefault="00697651" w:rsidP="00697651">
      <w:pPr>
        <w:pStyle w:val="Source"/>
      </w:pPr>
      <w:r w:rsidRPr="000F5EDD">
        <w:rPr>
          <w:sz w:val="19"/>
          <w:szCs w:val="19"/>
        </w:rPr>
        <w:t xml:space="preserve">Source: </w:t>
      </w:r>
      <w:r w:rsidRPr="000F5EDD">
        <w:rPr>
          <w:rFonts w:cs="Calibri"/>
          <w:color w:val="000000"/>
          <w:sz w:val="19"/>
          <w:szCs w:val="19"/>
          <w:shd w:val="clear" w:color="auto" w:fill="FFFFFF"/>
        </w:rPr>
        <w:t>Ministry for the Environment. 2022. </w:t>
      </w:r>
      <w:hyperlink r:id="rId140" w:tgtFrame="_blank" w:history="1">
        <w:r w:rsidRPr="000F5EDD">
          <w:rPr>
            <w:rFonts w:cs="Calibri"/>
            <w:i/>
            <w:color w:val="32809C"/>
            <w:sz w:val="19"/>
            <w:szCs w:val="19"/>
            <w:shd w:val="clear" w:color="auto" w:fill="FFFFFF"/>
          </w:rPr>
          <w:t>Aotearoa New Zealand’s first national adaptation plan</w:t>
        </w:r>
        <w:r w:rsidRPr="000F5EDD">
          <w:rPr>
            <w:rFonts w:cs="Calibri"/>
            <w:color w:val="32809C"/>
            <w:sz w:val="19"/>
            <w:szCs w:val="19"/>
            <w:shd w:val="clear" w:color="auto" w:fill="FFFFFF"/>
          </w:rPr>
          <w:t>.</w:t>
        </w:r>
      </w:hyperlink>
      <w:r w:rsidRPr="000F5EDD">
        <w:rPr>
          <w:rFonts w:cs="Calibri"/>
          <w:color w:val="000000"/>
          <w:sz w:val="19"/>
          <w:szCs w:val="19"/>
          <w:shd w:val="clear" w:color="auto" w:fill="FFFFFF"/>
        </w:rPr>
        <w:t xml:space="preserve"> Wellington. Ministry for the Environment, p 24.</w:t>
      </w:r>
    </w:p>
    <w:p w14:paraId="74538DBA" w14:textId="77777777" w:rsidR="00697651" w:rsidRPr="000F5EDD" w:rsidRDefault="00697651" w:rsidP="00EA02DE">
      <w:pPr>
        <w:pStyle w:val="Heading3"/>
        <w:numPr>
          <w:ilvl w:val="0"/>
          <w:numId w:val="51"/>
        </w:numPr>
      </w:pPr>
      <w:r w:rsidRPr="000F5EDD">
        <w:t>Legal framework</w:t>
      </w:r>
    </w:p>
    <w:p w14:paraId="4470FD80" w14:textId="77777777" w:rsidR="00697651" w:rsidRPr="000F5EDD" w:rsidRDefault="00697651" w:rsidP="00EA02DE">
      <w:pPr>
        <w:pStyle w:val="Heading4"/>
        <w:numPr>
          <w:ilvl w:val="0"/>
          <w:numId w:val="59"/>
        </w:numPr>
      </w:pPr>
      <w:r w:rsidRPr="000F5EDD">
        <w:t>Climate adaptation legislation</w:t>
      </w:r>
    </w:p>
    <w:p w14:paraId="3DB9E4C0" w14:textId="7BB08B56" w:rsidR="00697651" w:rsidRPr="000F5EDD" w:rsidRDefault="00697651" w:rsidP="00697651">
      <w:pPr>
        <w:pStyle w:val="BodyText"/>
      </w:pPr>
      <w:r w:rsidRPr="000F5EDD">
        <w:t>The Climate Change Response Act 2002 is the key piece of climate change legislation in New Zealand. In 2019, the Climate Change Response (Zero Carbon) Amendment Act brought the need to prepare for, and adapt to, the effects of climate change into its purpose and included new provisions on the process for adaptation policies and strategies (</w:t>
      </w:r>
      <w:hyperlink w:anchor="figure31" w:history="1">
        <w:r w:rsidRPr="0009677C">
          <w:rPr>
            <w:rStyle w:val="Hyperlink"/>
          </w:rPr>
          <w:t>figure 3.1</w:t>
        </w:r>
      </w:hyperlink>
      <w:r w:rsidRPr="000F5EDD">
        <w:t xml:space="preserve">). </w:t>
      </w:r>
    </w:p>
    <w:p w14:paraId="1F897E02" w14:textId="77777777" w:rsidR="00697651" w:rsidRPr="000F5EDD" w:rsidRDefault="00697651" w:rsidP="00697651">
      <w:pPr>
        <w:pStyle w:val="BodyText"/>
      </w:pPr>
      <w:r w:rsidRPr="000F5EDD">
        <w:t>The adaptation process includes undertaking regular risk assessments, developing NAPs and then implementing, independently monitoring and evaluating them, and adjusting actions. This process aligns with the adaptation policy cycle set out in the framework for the global goal</w:t>
      </w:r>
      <w:r>
        <w:t> </w:t>
      </w:r>
      <w:r w:rsidRPr="000F5EDD">
        <w:t>on adaptation.</w:t>
      </w:r>
      <w:r w:rsidRPr="000F5EDD">
        <w:rPr>
          <w:rStyle w:val="FootnoteReference"/>
        </w:rPr>
        <w:footnoteReference w:id="219"/>
      </w:r>
    </w:p>
    <w:p w14:paraId="78B3C78C" w14:textId="77777777" w:rsidR="00697651" w:rsidRPr="000F5EDD" w:rsidRDefault="00697651" w:rsidP="00697651">
      <w:pPr>
        <w:pStyle w:val="BodyText"/>
      </w:pPr>
      <w:r w:rsidRPr="000F5EDD">
        <w:t xml:space="preserve">The Climate Change Response Act 2002 also requires New Zealand’s emissions reduction plans to include a multi-sector strategy to meet </w:t>
      </w:r>
      <w:r w:rsidRPr="00D36E8B">
        <w:t>emissions</w:t>
      </w:r>
      <w:r w:rsidRPr="000F5EDD">
        <w:t xml:space="preserve"> budgets and improve the ability of those sectors to adapt to the effects of climate change. </w:t>
      </w:r>
    </w:p>
    <w:p w14:paraId="23FB483D" w14:textId="77777777" w:rsidR="00697651" w:rsidRPr="000F5EDD" w:rsidRDefault="00697651" w:rsidP="00EA02DE">
      <w:pPr>
        <w:pStyle w:val="Heading4"/>
        <w:numPr>
          <w:ilvl w:val="0"/>
          <w:numId w:val="59"/>
        </w:numPr>
      </w:pPr>
      <w:r w:rsidRPr="000F5EDD">
        <w:t>Other legislation and instruments</w:t>
      </w:r>
    </w:p>
    <w:p w14:paraId="7A0F01BB" w14:textId="77777777" w:rsidR="00697651" w:rsidRPr="000F5EDD" w:rsidRDefault="00697651" w:rsidP="00697651">
      <w:pPr>
        <w:pStyle w:val="BodyText"/>
      </w:pPr>
      <w:r w:rsidRPr="000F5EDD" w:rsidDel="000068E4">
        <w:t>New Zealand</w:t>
      </w:r>
      <w:r w:rsidRPr="000F5EDD">
        <w:t xml:space="preserve"> has</w:t>
      </w:r>
      <w:r w:rsidRPr="000F5EDD" w:rsidDel="00CC2C04">
        <w:t xml:space="preserve"> </w:t>
      </w:r>
      <w:r w:rsidRPr="000F5EDD">
        <w:t>other pieces of legislation that are relevant to adaptation at national and sub-national levels. They involve statutory responsibilities, including local government functions and duties, relating to natural hazards and climate risks. Specifically, they cover:</w:t>
      </w:r>
    </w:p>
    <w:p w14:paraId="2CC25E44" w14:textId="77777777" w:rsidR="00697651" w:rsidRPr="000F5EDD" w:rsidRDefault="00697651" w:rsidP="00697651">
      <w:pPr>
        <w:pStyle w:val="Bullet"/>
        <w:rPr>
          <w:rFonts w:eastAsia="Calibri"/>
        </w:rPr>
      </w:pPr>
      <w:r w:rsidRPr="000F5EDD">
        <w:rPr>
          <w:rFonts w:eastAsia="Calibri"/>
        </w:rPr>
        <w:t xml:space="preserve">land-use planning under the </w:t>
      </w:r>
      <w:hyperlink r:id="rId141" w:history="1">
        <w:r w:rsidRPr="000F5EDD">
          <w:rPr>
            <w:rStyle w:val="Hyperlink"/>
            <w:rFonts w:eastAsia="Calibri"/>
          </w:rPr>
          <w:t>Resource Management Act 1991</w:t>
        </w:r>
      </w:hyperlink>
      <w:r w:rsidRPr="000F5EDD">
        <w:rPr>
          <w:rFonts w:eastAsia="Calibri"/>
        </w:rPr>
        <w:t>, including national direction and the national monitoring system</w:t>
      </w:r>
    </w:p>
    <w:p w14:paraId="37A72FF2" w14:textId="77777777" w:rsidR="00697651" w:rsidRPr="000F5EDD" w:rsidRDefault="00697651" w:rsidP="00697651">
      <w:pPr>
        <w:pStyle w:val="Bullet"/>
        <w:rPr>
          <w:rFonts w:eastAsia="Calibri"/>
        </w:rPr>
      </w:pPr>
      <w:r w:rsidRPr="000F5EDD">
        <w:rPr>
          <w:rFonts w:eastAsia="Calibri"/>
        </w:rPr>
        <w:t xml:space="preserve">civil defence, as outlined in the </w:t>
      </w:r>
      <w:hyperlink r:id="rId142" w:history="1">
        <w:r w:rsidRPr="000F5EDD">
          <w:rPr>
            <w:rStyle w:val="Hyperlink"/>
            <w:rFonts w:eastAsia="Calibri"/>
          </w:rPr>
          <w:t>Civil Defence Emergency Management Act 2002</w:t>
        </w:r>
      </w:hyperlink>
      <w:r w:rsidRPr="000F5EDD">
        <w:rPr>
          <w:rFonts w:eastAsia="Calibri"/>
        </w:rPr>
        <w:t xml:space="preserve"> and civil defence emergency management group plans </w:t>
      </w:r>
    </w:p>
    <w:p w14:paraId="23E71734" w14:textId="77777777" w:rsidR="00697651" w:rsidRPr="000F5EDD" w:rsidRDefault="00697651" w:rsidP="00697651">
      <w:pPr>
        <w:pStyle w:val="Bullet"/>
        <w:rPr>
          <w:rFonts w:eastAsia="Calibri"/>
        </w:rPr>
      </w:pPr>
      <w:r w:rsidRPr="00467000">
        <w:rPr>
          <w:rFonts w:eastAsia="Calibri"/>
          <w:spacing w:val="-2"/>
        </w:rPr>
        <w:t xml:space="preserve">flood control and river management, and asset management based on the </w:t>
      </w:r>
      <w:hyperlink r:id="rId143" w:history="1">
        <w:r w:rsidRPr="00467000">
          <w:rPr>
            <w:rStyle w:val="Hyperlink"/>
            <w:rFonts w:eastAsia="Calibri"/>
            <w:spacing w:val="-2"/>
          </w:rPr>
          <w:t>Soil Conservation and Rivers Control Act 1941</w:t>
        </w:r>
      </w:hyperlink>
      <w:r w:rsidRPr="000F5EDD">
        <w:rPr>
          <w:rFonts w:eastAsia="Calibri"/>
        </w:rPr>
        <w:t xml:space="preserve"> and councils’ long-term plans and infrastructure strategies developed under the </w:t>
      </w:r>
      <w:hyperlink r:id="rId144" w:history="1">
        <w:r w:rsidRPr="000F5EDD">
          <w:rPr>
            <w:rStyle w:val="Hyperlink"/>
            <w:rFonts w:eastAsia="Calibri"/>
          </w:rPr>
          <w:t>Local Government Act 2002</w:t>
        </w:r>
      </w:hyperlink>
      <w:r w:rsidRPr="000F5EDD">
        <w:rPr>
          <w:rFonts w:eastAsia="Calibri"/>
        </w:rPr>
        <w:t xml:space="preserve"> </w:t>
      </w:r>
    </w:p>
    <w:p w14:paraId="7371F9E2" w14:textId="77777777" w:rsidR="00697651" w:rsidRPr="000F5EDD" w:rsidRDefault="00697651" w:rsidP="00697651">
      <w:pPr>
        <w:pStyle w:val="Bullet"/>
        <w:rPr>
          <w:rFonts w:eastAsia="Calibri"/>
        </w:rPr>
      </w:pPr>
      <w:r w:rsidRPr="000F5EDD">
        <w:rPr>
          <w:rFonts w:eastAsia="Calibri"/>
        </w:rPr>
        <w:t xml:space="preserve">building regulation based on the </w:t>
      </w:r>
      <w:hyperlink r:id="rId145" w:history="1">
        <w:r w:rsidRPr="000F5EDD">
          <w:rPr>
            <w:rStyle w:val="Hyperlink"/>
            <w:rFonts w:eastAsia="Calibri"/>
          </w:rPr>
          <w:t>Building Act 2004</w:t>
        </w:r>
      </w:hyperlink>
      <w:r w:rsidRPr="000F5EDD">
        <w:rPr>
          <w:rFonts w:eastAsia="Calibri"/>
        </w:rPr>
        <w:t xml:space="preserve"> </w:t>
      </w:r>
    </w:p>
    <w:p w14:paraId="768C44B1" w14:textId="77777777" w:rsidR="00697651" w:rsidRPr="000F5EDD" w:rsidRDefault="00697651" w:rsidP="00697651">
      <w:pPr>
        <w:pStyle w:val="Bullet"/>
        <w:rPr>
          <w:rFonts w:eastAsia="Calibri"/>
        </w:rPr>
      </w:pPr>
      <w:r w:rsidRPr="000F5EDD">
        <w:rPr>
          <w:rFonts w:eastAsia="Calibri"/>
        </w:rPr>
        <w:t xml:space="preserve">disclosure of hazard information, as required by the </w:t>
      </w:r>
      <w:hyperlink r:id="rId146" w:history="1">
        <w:r w:rsidRPr="000F5EDD">
          <w:rPr>
            <w:rStyle w:val="Hyperlink"/>
            <w:rFonts w:eastAsia="Calibri"/>
          </w:rPr>
          <w:t>Local Government Official Information and Meetings Act 1987</w:t>
        </w:r>
      </w:hyperlink>
      <w:r w:rsidRPr="000F5EDD">
        <w:rPr>
          <w:rFonts w:eastAsia="Calibri"/>
        </w:rPr>
        <w:t xml:space="preserve"> </w:t>
      </w:r>
    </w:p>
    <w:p w14:paraId="49F407F5" w14:textId="77777777" w:rsidR="001A4EDA" w:rsidRDefault="00697651" w:rsidP="00697651">
      <w:pPr>
        <w:pStyle w:val="Bullet"/>
        <w:rPr>
          <w:rFonts w:eastAsia="Calibri"/>
        </w:rPr>
      </w:pPr>
      <w:r w:rsidRPr="000F5EDD">
        <w:rPr>
          <w:rFonts w:eastAsia="Calibri"/>
        </w:rPr>
        <w:t xml:space="preserve">management of the coastal environment under the </w:t>
      </w:r>
      <w:hyperlink r:id="rId147" w:history="1">
        <w:r w:rsidRPr="000F5EDD">
          <w:rPr>
            <w:rStyle w:val="Hyperlink"/>
            <w:rFonts w:eastAsia="Calibri"/>
          </w:rPr>
          <w:t>New Zealand Coastal Policy Statement 2010</w:t>
        </w:r>
      </w:hyperlink>
      <w:r w:rsidRPr="000F5EDD">
        <w:rPr>
          <w:rFonts w:eastAsia="Calibri"/>
        </w:rPr>
        <w:t>, a national policy statement made under the Resource Management Act 1991</w:t>
      </w:r>
    </w:p>
    <w:p w14:paraId="7E342239" w14:textId="7C57C8A8" w:rsidR="00697651" w:rsidRPr="000F5EDD" w:rsidRDefault="00621178" w:rsidP="00697651">
      <w:pPr>
        <w:pStyle w:val="Bullet"/>
        <w:rPr>
          <w:rFonts w:eastAsia="Calibri"/>
        </w:rPr>
      </w:pPr>
      <w:r>
        <w:rPr>
          <w:rFonts w:eastAsia="Calibri"/>
        </w:rPr>
        <w:t>reducing the impact of natural hazards on people, property, and the community</w:t>
      </w:r>
      <w:r w:rsidR="00557004">
        <w:rPr>
          <w:rFonts w:eastAsia="Calibri"/>
        </w:rPr>
        <w:t xml:space="preserve"> </w:t>
      </w:r>
      <w:r w:rsidR="007722C5">
        <w:rPr>
          <w:rFonts w:eastAsia="Calibri"/>
        </w:rPr>
        <w:t xml:space="preserve">under the </w:t>
      </w:r>
      <w:hyperlink r:id="rId148" w:anchor="LMS509585" w:history="1">
        <w:r w:rsidR="007722C5" w:rsidRPr="005D2EBD">
          <w:rPr>
            <w:rStyle w:val="Hyperlink"/>
            <w:rFonts w:eastAsia="Calibri"/>
          </w:rPr>
          <w:t>Natural Hazards Insurance Act 2023</w:t>
        </w:r>
      </w:hyperlink>
      <w:r w:rsidR="007722C5">
        <w:rPr>
          <w:rFonts w:eastAsia="Calibri"/>
        </w:rPr>
        <w:t xml:space="preserve">, </w:t>
      </w:r>
      <w:r w:rsidR="00AE78F0">
        <w:rPr>
          <w:rFonts w:eastAsia="Calibri"/>
        </w:rPr>
        <w:t xml:space="preserve">as well as </w:t>
      </w:r>
      <w:r w:rsidR="001813B3">
        <w:rPr>
          <w:rFonts w:eastAsia="Calibri"/>
        </w:rPr>
        <w:t>contributing to the</w:t>
      </w:r>
      <w:r w:rsidR="00557004">
        <w:rPr>
          <w:rFonts w:eastAsia="Calibri"/>
        </w:rPr>
        <w:t xml:space="preserve"> management of the financial risk</w:t>
      </w:r>
      <w:r w:rsidR="001813B3">
        <w:rPr>
          <w:rFonts w:eastAsia="Calibri"/>
        </w:rPr>
        <w:t xml:space="preserve"> to the Crown of providing natural hazard c</w:t>
      </w:r>
      <w:r w:rsidR="00203DF3">
        <w:rPr>
          <w:rFonts w:eastAsia="Calibri"/>
        </w:rPr>
        <w:t>o</w:t>
      </w:r>
      <w:r w:rsidR="00444C4B">
        <w:rPr>
          <w:rFonts w:eastAsia="Calibri"/>
        </w:rPr>
        <w:t xml:space="preserve">ver. </w:t>
      </w:r>
      <w:r w:rsidR="00970BB2">
        <w:rPr>
          <w:rFonts w:eastAsia="Calibri"/>
        </w:rPr>
        <w:t xml:space="preserve">The </w:t>
      </w:r>
      <w:r w:rsidR="0065099A">
        <w:rPr>
          <w:rFonts w:eastAsia="Calibri"/>
        </w:rPr>
        <w:t xml:space="preserve">Natural Hazards Commission, </w:t>
      </w:r>
      <w:r w:rsidR="00444C4B">
        <w:rPr>
          <w:rFonts w:eastAsia="Calibri"/>
        </w:rPr>
        <w:t>Toka Tū Ake</w:t>
      </w:r>
      <w:r w:rsidR="0065099A">
        <w:rPr>
          <w:rFonts w:eastAsia="Calibri"/>
        </w:rPr>
        <w:t xml:space="preserve">, </w:t>
      </w:r>
      <w:r w:rsidR="008335A9">
        <w:rPr>
          <w:rFonts w:eastAsia="Calibri"/>
        </w:rPr>
        <w:t xml:space="preserve">is the Crown </w:t>
      </w:r>
      <w:r w:rsidR="008441CE">
        <w:rPr>
          <w:rFonts w:eastAsia="Calibri"/>
        </w:rPr>
        <w:t>entity responsible for this objective</w:t>
      </w:r>
      <w:r w:rsidR="00697651" w:rsidRPr="000F5EDD">
        <w:rPr>
          <w:rFonts w:eastAsia="Calibri"/>
        </w:rPr>
        <w:t>.</w:t>
      </w:r>
    </w:p>
    <w:p w14:paraId="3111E283" w14:textId="0C0A9005" w:rsidR="00697651" w:rsidRPr="000F5EDD" w:rsidRDefault="00697651" w:rsidP="00697651">
      <w:pPr>
        <w:pStyle w:val="BodyText"/>
      </w:pPr>
      <w:r w:rsidRPr="000F5EDD">
        <w:t xml:space="preserve">For more information on government functions and responsibilities, see </w:t>
      </w:r>
      <w:hyperlink w:anchor="_Government_structure" w:history="1">
        <w:r w:rsidRPr="007A41E8">
          <w:rPr>
            <w:rStyle w:val="Hyperlink"/>
          </w:rPr>
          <w:t>section 2.1.1</w:t>
        </w:r>
      </w:hyperlink>
      <w:r w:rsidRPr="000F5EDD">
        <w:t>.</w:t>
      </w:r>
    </w:p>
    <w:p w14:paraId="162B9488" w14:textId="77777777" w:rsidR="00697651" w:rsidRPr="000F5EDD" w:rsidRDefault="00697651" w:rsidP="00697651">
      <w:pPr>
        <w:pStyle w:val="BodyText"/>
      </w:pPr>
      <w:r w:rsidRPr="000F5EDD">
        <w:t xml:space="preserve">The </w:t>
      </w:r>
      <w:hyperlink r:id="rId149" w:history="1">
        <w:r w:rsidRPr="000F5EDD">
          <w:rPr>
            <w:rStyle w:val="Hyperlink"/>
          </w:rPr>
          <w:t>Severe Weather Emergency Legislation Act</w:t>
        </w:r>
      </w:hyperlink>
      <w:r w:rsidRPr="000F5EDD">
        <w:t xml:space="preserve"> (SWELA) and the </w:t>
      </w:r>
      <w:hyperlink r:id="rId150" w:history="1">
        <w:r w:rsidRPr="000F5EDD">
          <w:rPr>
            <w:rStyle w:val="Hyperlink"/>
          </w:rPr>
          <w:t>Severe Weather Emergency Recovery Legislation Act</w:t>
        </w:r>
      </w:hyperlink>
      <w:r w:rsidRPr="000F5EDD">
        <w:t xml:space="preserve"> (SWERLA) were passed into law on 20 March 2023 to support the response and recovery after Cyclone Gabrielle, Cyclone Hale and the Auckland Anniversary floodings in January and early February 2023. SWERLA enables secondary legislation called Orders in Council (OICs) to grant exemptions from, modify or extend any legislation or provisions of specific legislation. The Ministry for the Environment has developed several OICs in response to requests from the community and local government.</w:t>
      </w:r>
    </w:p>
    <w:p w14:paraId="20EDF030" w14:textId="77777777" w:rsidR="00697651" w:rsidRPr="000F5EDD" w:rsidRDefault="00697651" w:rsidP="00EA02DE">
      <w:pPr>
        <w:pStyle w:val="Heading2"/>
        <w:numPr>
          <w:ilvl w:val="0"/>
          <w:numId w:val="50"/>
        </w:numPr>
      </w:pPr>
      <w:bookmarkStart w:id="754" w:name="_Impacts,_risks_and"/>
      <w:bookmarkStart w:id="755" w:name="_Toc184825539"/>
      <w:bookmarkEnd w:id="754"/>
      <w:r w:rsidRPr="000F5EDD">
        <w:t>Impacts, risks and vulnerabilities</w:t>
      </w:r>
      <w:bookmarkEnd w:id="755"/>
      <w:r w:rsidRPr="000F5EDD">
        <w:t xml:space="preserve"> </w:t>
      </w:r>
    </w:p>
    <w:p w14:paraId="63241F8D" w14:textId="77777777" w:rsidR="00697651" w:rsidRPr="000F5EDD" w:rsidRDefault="00697651" w:rsidP="00EA02DE">
      <w:pPr>
        <w:pStyle w:val="Heading3"/>
        <w:numPr>
          <w:ilvl w:val="0"/>
          <w:numId w:val="52"/>
        </w:numPr>
        <w:tabs>
          <w:tab w:val="num" w:pos="360"/>
        </w:tabs>
        <w:ind w:left="360" w:hanging="360"/>
      </w:pPr>
      <w:r w:rsidRPr="000F5EDD">
        <w:t>Climate modelling, projections and scenarios</w:t>
      </w:r>
    </w:p>
    <w:p w14:paraId="7BDB5450" w14:textId="77777777" w:rsidR="00697651" w:rsidRPr="000F5EDD" w:rsidRDefault="00697651" w:rsidP="00EA02DE">
      <w:pPr>
        <w:pStyle w:val="Heading4"/>
        <w:numPr>
          <w:ilvl w:val="0"/>
          <w:numId w:val="60"/>
        </w:numPr>
      </w:pPr>
      <w:r w:rsidRPr="000F5EDD">
        <w:t>Current climate</w:t>
      </w:r>
    </w:p>
    <w:p w14:paraId="283E7714" w14:textId="77777777" w:rsidR="00697651" w:rsidRPr="000F5EDD" w:rsidRDefault="00697651" w:rsidP="00697651">
      <w:pPr>
        <w:pStyle w:val="BodyText"/>
        <w:rPr>
          <w:rFonts w:cs="Calibri"/>
          <w:color w:val="000000"/>
          <w:shd w:val="clear" w:color="auto" w:fill="FFFFFF"/>
        </w:rPr>
      </w:pPr>
      <w:r w:rsidRPr="000F5EDD">
        <w:rPr>
          <w:rFonts w:eastAsia="Calibri"/>
        </w:rPr>
        <w:t>In the past 100 years, New Zealand’s climate has warmed by 1.1</w:t>
      </w:r>
      <w:r w:rsidRPr="000F5EDD">
        <w:rPr>
          <w:rFonts w:asciiTheme="minorHAnsi" w:hAnsiTheme="minorHAnsi"/>
          <w:color w:val="000000" w:themeColor="text1"/>
        </w:rPr>
        <w:t xml:space="preserve"> degrees Celsius</w:t>
      </w:r>
      <w:r w:rsidRPr="000F5EDD">
        <w:rPr>
          <w:rFonts w:eastAsia="Calibri"/>
        </w:rPr>
        <w:t xml:space="preserve">. New Zealand is experiencing more hot days and fewer cold days: </w:t>
      </w:r>
      <w:r w:rsidRPr="000F5EDD">
        <w:rPr>
          <w:rFonts w:cs="Calibri"/>
          <w:color w:val="000000"/>
          <w:shd w:val="clear" w:color="auto" w:fill="FFFFFF"/>
        </w:rPr>
        <w:t>2022 was the warmest year on record, surpassing previous records set in 2021 and 2016</w:t>
      </w:r>
      <w:r w:rsidRPr="000F5EDD">
        <w:rPr>
          <w:rFonts w:cs="Calibri"/>
          <w:shd w:val="clear" w:color="auto" w:fill="FFFFFF"/>
        </w:rPr>
        <w:t>, while 2023 is now the second-warmest year on record</w:t>
      </w:r>
      <w:r w:rsidRPr="000F5EDD">
        <w:rPr>
          <w:rFonts w:cs="Calibri"/>
          <w:color w:val="000000"/>
          <w:shd w:val="clear" w:color="auto" w:fill="FFFFFF"/>
        </w:rPr>
        <w:t>.</w:t>
      </w:r>
      <w:r w:rsidRPr="000F5EDD">
        <w:rPr>
          <w:rStyle w:val="FootnoteReference"/>
          <w:rFonts w:cs="Calibri"/>
          <w:shd w:val="clear" w:color="auto" w:fill="FFFFFF"/>
        </w:rPr>
        <w:footnoteReference w:id="220"/>
      </w:r>
      <w:r w:rsidRPr="000F5EDD">
        <w:rPr>
          <w:rFonts w:cs="Calibri"/>
          <w:color w:val="000000"/>
          <w:shd w:val="clear" w:color="auto" w:fill="FFFFFF"/>
        </w:rPr>
        <w:t xml:space="preserve"> </w:t>
      </w:r>
    </w:p>
    <w:p w14:paraId="7F6AF109" w14:textId="1FB8F9A2" w:rsidR="00697651" w:rsidRPr="000F5EDD" w:rsidRDefault="00697651" w:rsidP="00697651">
      <w:pPr>
        <w:pStyle w:val="BodyText"/>
      </w:pPr>
      <w:r w:rsidRPr="000F5EDD">
        <w:t>Higher temperatures change aspects of the physical environment and weather patterns, presenting new and greater risks to the wellbeing of people and communities and their ways of life, buildings and infrastructure, the natural environment and economy. Since 1960, rainfall has mostly increased in the south and decreased in the north of New Zealand while changes in extreme rainfall are mixed.</w:t>
      </w:r>
      <w:r w:rsidRPr="000F5EDD">
        <w:rPr>
          <w:rStyle w:val="FootnoteReference"/>
          <w:rFonts w:eastAsia="Calibri" w:cs="Calibri"/>
        </w:rPr>
        <w:footnoteReference w:id="221"/>
      </w:r>
      <w:r w:rsidRPr="000F5EDD">
        <w:t xml:space="preserve"> Globally, sea-level rise is accelerating, with an average rise rate</w:t>
      </w:r>
      <w:r w:rsidR="007A41E8">
        <w:t> </w:t>
      </w:r>
      <w:r w:rsidRPr="000F5EDD">
        <w:t>of 3.7 millimetres per year between 2006 and 2018.</w:t>
      </w:r>
      <w:r w:rsidRPr="000F5EDD">
        <w:rPr>
          <w:rStyle w:val="FootnoteReference"/>
          <w:rFonts w:eastAsia="Calibri" w:cs="Calibri"/>
        </w:rPr>
        <w:footnoteReference w:id="222"/>
      </w:r>
      <w:r w:rsidRPr="000F5EDD">
        <w:rPr>
          <w:rStyle w:val="FootnoteReference"/>
          <w:rFonts w:eastAsia="Calibri" w:cs="Calibri"/>
        </w:rPr>
        <w:t xml:space="preserve"> </w:t>
      </w:r>
      <w:r w:rsidRPr="000F5EDD">
        <w:rPr>
          <w:rFonts w:cs="Calibri"/>
        </w:rPr>
        <w:t>The s</w:t>
      </w:r>
      <w:r w:rsidRPr="000F5EDD">
        <w:t>ea level rose 0.2 metres on average around New Zealand between 1901 and 2020.</w:t>
      </w:r>
      <w:r w:rsidRPr="000F5EDD">
        <w:rPr>
          <w:rStyle w:val="FootnoteReference"/>
        </w:rPr>
        <w:footnoteReference w:id="223"/>
      </w:r>
    </w:p>
    <w:p w14:paraId="44ADDE01" w14:textId="77777777" w:rsidR="00697651" w:rsidRPr="000F5EDD" w:rsidRDefault="00697651" w:rsidP="00EA02DE">
      <w:pPr>
        <w:pStyle w:val="Heading4"/>
        <w:numPr>
          <w:ilvl w:val="0"/>
          <w:numId w:val="60"/>
        </w:numPr>
      </w:pPr>
      <w:bookmarkStart w:id="756" w:name="section3312"/>
      <w:bookmarkEnd w:id="756"/>
      <w:r w:rsidRPr="000F5EDD">
        <w:t>Future climate change</w:t>
      </w:r>
    </w:p>
    <w:p w14:paraId="5D2AB064" w14:textId="77777777" w:rsidR="00697651" w:rsidRPr="000F5EDD" w:rsidRDefault="00697651" w:rsidP="007A41E8">
      <w:pPr>
        <w:pStyle w:val="BodyText"/>
        <w:rPr>
          <w:shd w:val="clear" w:color="auto" w:fill="FFFFFF"/>
        </w:rPr>
      </w:pPr>
      <w:r w:rsidRPr="000F5EDD">
        <w:rPr>
          <w:shd w:val="clear" w:color="auto" w:fill="FFFFFF"/>
        </w:rPr>
        <w:t xml:space="preserve">The latest climate change projections for New Zealand are based on the Intergovernmental Panel on Climate Change’s (IPCC’s) Sixth Assessment Report (AR6). </w:t>
      </w:r>
      <w:r w:rsidRPr="000F5EDD">
        <w:t>The National Institute of Water and Atmospheric Research (</w:t>
      </w:r>
      <w:r w:rsidRPr="000F5EDD">
        <w:rPr>
          <w:shd w:val="clear" w:color="auto" w:fill="FFFFFF"/>
        </w:rPr>
        <w:t>NIWA</w:t>
      </w:r>
      <w:r w:rsidRPr="000F5EDD">
        <w:t>)</w:t>
      </w:r>
      <w:r w:rsidRPr="000F5EDD">
        <w:rPr>
          <w:shd w:val="clear" w:color="auto" w:fill="FFFFFF"/>
        </w:rPr>
        <w:t xml:space="preserve"> and the Ministry for the Environment published these climate projections</w:t>
      </w:r>
      <w:r w:rsidRPr="000F5EDD">
        <w:rPr>
          <w:rStyle w:val="FootnoteReference"/>
          <w:rFonts w:asciiTheme="minorHAnsi" w:hAnsiTheme="minorHAnsi"/>
          <w:shd w:val="clear" w:color="auto" w:fill="FFFFFF"/>
        </w:rPr>
        <w:footnoteReference w:id="224"/>
      </w:r>
      <w:r w:rsidRPr="000F5EDD">
        <w:rPr>
          <w:shd w:val="clear" w:color="auto" w:fill="FFFFFF"/>
        </w:rPr>
        <w:t xml:space="preserve"> in June 2024, which have been updated since New Zealand’s Eighth National Communication. In summary, projected changes are as follows.</w:t>
      </w:r>
    </w:p>
    <w:p w14:paraId="49BDD8F9" w14:textId="77777777" w:rsidR="00697651" w:rsidRPr="000F5EDD" w:rsidRDefault="00697651" w:rsidP="007A41E8">
      <w:pPr>
        <w:pStyle w:val="Bullet"/>
        <w:rPr>
          <w:rFonts w:eastAsiaTheme="minorEastAsia"/>
          <w:sz w:val="18"/>
          <w:szCs w:val="18"/>
        </w:rPr>
      </w:pPr>
      <w:r w:rsidRPr="000F5EDD">
        <w:rPr>
          <w:rFonts w:eastAsiaTheme="minorEastAsia"/>
          <w:spacing w:val="-2"/>
        </w:rPr>
        <w:t>The average annual temperature in New Zealand was 10.5 degrees Celsius in the 1995–2014</w:t>
      </w:r>
      <w:r w:rsidRPr="000F5EDD">
        <w:rPr>
          <w:rFonts w:eastAsiaTheme="minorEastAsia"/>
        </w:rPr>
        <w:t xml:space="preserve"> period. Annual average temperatures across the country are projected to range between 0.3 degrees Celsius (shared socio-economic pathway</w:t>
      </w:r>
      <w:r w:rsidRPr="000F5EDD">
        <w:rPr>
          <w:rStyle w:val="FootnoteReference"/>
          <w:rFonts w:eastAsiaTheme="minorEastAsia" w:cstheme="minorBidi"/>
        </w:rPr>
        <w:footnoteReference w:id="225"/>
      </w:r>
      <w:r w:rsidRPr="000F5EDD">
        <w:rPr>
          <w:rFonts w:eastAsiaTheme="minorEastAsia"/>
        </w:rPr>
        <w:t xml:space="preserve"> (SSP) 1-2.6) and 1.2 degrees Celsius (SSP3-7.0) warmer by 2030, between 0.6 and 2.2 degrees Celsius warmer by 2050, and between 0.7 and 4.7 degrees Celsius warmer by 2090. </w:t>
      </w:r>
    </w:p>
    <w:p w14:paraId="1339B0D6" w14:textId="77777777" w:rsidR="00697651" w:rsidRPr="007A41E8" w:rsidRDefault="00697651" w:rsidP="007A41E8">
      <w:pPr>
        <w:pStyle w:val="Bullet"/>
        <w:rPr>
          <w:rFonts w:eastAsiaTheme="minorEastAsia"/>
        </w:rPr>
      </w:pPr>
      <w:r w:rsidRPr="000F5EDD">
        <w:rPr>
          <w:rFonts w:eastAsiaTheme="minorEastAsia"/>
          <w:spacing w:val="-2"/>
        </w:rPr>
        <w:t>More hot days – days when maximum daily temperatures are over 25 degrees Celsius – are</w:t>
      </w:r>
      <w:r w:rsidRPr="000F5EDD">
        <w:rPr>
          <w:rFonts w:eastAsiaTheme="minorEastAsia"/>
        </w:rPr>
        <w:t xml:space="preserve"> projected for most of New Zealand. Projected changes are greatest for the north and east North Island. For example, the</w:t>
      </w:r>
      <w:r w:rsidRPr="007A41E8">
        <w:rPr>
          <w:rFonts w:eastAsiaTheme="minorEastAsia"/>
        </w:rPr>
        <w:t xml:space="preserve"> Far North District (the northernmost part of the North Island) is projected to experience between 21 and 87 more hot days on average each year by 2090. </w:t>
      </w:r>
    </w:p>
    <w:p w14:paraId="2741B632" w14:textId="77777777" w:rsidR="00697651" w:rsidRPr="007A41E8" w:rsidRDefault="00697651" w:rsidP="007A41E8">
      <w:pPr>
        <w:pStyle w:val="Bullet"/>
        <w:rPr>
          <w:rFonts w:eastAsiaTheme="minorEastAsia"/>
        </w:rPr>
      </w:pPr>
      <w:r w:rsidRPr="007A41E8">
        <w:rPr>
          <w:rFonts w:eastAsiaTheme="minorEastAsia"/>
        </w:rPr>
        <w:t xml:space="preserve">Fewer frost days – where minimum daily temperatures are below 0 degrees Celsius – are projected in the west and south of the South Island. For example, the Mackenzie District (central South Island) is projected to experience the greatest decline in frost days per year, with an average of between 15 and 54 fewer frost days each year by 2090. </w:t>
      </w:r>
    </w:p>
    <w:p w14:paraId="1EF75556" w14:textId="77777777" w:rsidR="00697651" w:rsidRPr="000F5EDD" w:rsidRDefault="00697651" w:rsidP="007A41E8">
      <w:pPr>
        <w:pStyle w:val="Bullet"/>
        <w:rPr>
          <w:rFonts w:eastAsiaTheme="minorEastAsia"/>
          <w:sz w:val="18"/>
          <w:szCs w:val="18"/>
        </w:rPr>
      </w:pPr>
      <w:r w:rsidRPr="000F5EDD">
        <w:rPr>
          <w:rFonts w:eastAsiaTheme="minorEastAsia"/>
        </w:rPr>
        <w:t>The North Island, particularly in the north and the east, is projected to have less annual rainfall by 2090, as are the north and the east of the South Island. However, the west and south of the South Island are projected to have more annual rainfall by 2090. For example, the Southland District (the southernmost part of the South Island) is projected to receive on average between 5 and 8 per cent more annual rainfall by 2090. </w:t>
      </w:r>
    </w:p>
    <w:p w14:paraId="11918E6D" w14:textId="381461BC" w:rsidR="00697651" w:rsidRPr="000F5EDD" w:rsidRDefault="00697651" w:rsidP="007A41E8">
      <w:pPr>
        <w:pStyle w:val="Bullet"/>
        <w:rPr>
          <w:rFonts w:eastAsiaTheme="minorEastAsia"/>
          <w:sz w:val="18"/>
          <w:szCs w:val="18"/>
        </w:rPr>
      </w:pPr>
      <w:r w:rsidRPr="000F5EDD">
        <w:rPr>
          <w:rFonts w:eastAsiaTheme="minorEastAsia"/>
        </w:rPr>
        <w:t>More very rainy days – where daily rainfall exceeds 25 millimetres – are expected for many regions, especially in the Westland District (on the west coast of the South Island), which is projected to experience between 3 and 5 more very rainy days on average by 2090. However, the Gisborne District (in the northeastern North Island) is projected to experience between 0 and 2 fewer very rainy days on average by 2090. </w:t>
      </w:r>
    </w:p>
    <w:p w14:paraId="18119855" w14:textId="00F649A9" w:rsidR="00697651" w:rsidRPr="000F5EDD" w:rsidRDefault="00697651" w:rsidP="007A41E8">
      <w:pPr>
        <w:pStyle w:val="Bullet"/>
        <w:rPr>
          <w:rFonts w:eastAsiaTheme="minorEastAsia"/>
          <w:sz w:val="18"/>
          <w:szCs w:val="18"/>
        </w:rPr>
      </w:pPr>
      <w:r w:rsidRPr="000F5EDD">
        <w:rPr>
          <w:rFonts w:eastAsiaTheme="minorEastAsia"/>
        </w:rPr>
        <w:t>Drought exposure is projected to increase over the east and decrease in the west of the North and South Islands. For example, the Kaikōura District (in the northeastern South Island) is projected to experience an increase in drought exposure by 2090. </w:t>
      </w:r>
    </w:p>
    <w:p w14:paraId="760DB936" w14:textId="03747C24" w:rsidR="00697651" w:rsidRPr="000F5EDD" w:rsidRDefault="00697651" w:rsidP="007A41E8">
      <w:pPr>
        <w:pStyle w:val="Bullet"/>
        <w:rPr>
          <w:rFonts w:eastAsiaTheme="minorEastAsia"/>
          <w:sz w:val="18"/>
          <w:szCs w:val="18"/>
        </w:rPr>
      </w:pPr>
      <w:r w:rsidRPr="000F5EDD">
        <w:rPr>
          <w:rFonts w:eastAsiaTheme="minorEastAsia"/>
        </w:rPr>
        <w:t>Windy days – days when maximum wind speed is more than 10 metres per second – are expected to decrease per year for much of the North Island and increase per year in most of the South Island by 2090. For example, Dunedin City (in the southeastern South Island) is projected to experience between 5 and 6 more windy days per year on average by 2090. Wellington City (on the southwestern tip of the North Island) is projected to experience between 2 more and 5 fewer windy days per year on average by 2090.</w:t>
      </w:r>
      <w:r w:rsidRPr="000F5EDD">
        <w:rPr>
          <w:rStyle w:val="FootnoteReference"/>
          <w:rFonts w:asciiTheme="minorHAnsi" w:eastAsiaTheme="minorEastAsia" w:hAnsiTheme="minorHAnsi" w:cstheme="minorBidi"/>
        </w:rPr>
        <w:footnoteReference w:id="226"/>
      </w:r>
      <w:r w:rsidRPr="000F5EDD">
        <w:rPr>
          <w:rFonts w:eastAsiaTheme="minorEastAsia"/>
        </w:rPr>
        <w:t> </w:t>
      </w:r>
    </w:p>
    <w:p w14:paraId="07873FA3" w14:textId="77777777" w:rsidR="00697651" w:rsidRPr="000F5EDD" w:rsidRDefault="00697651" w:rsidP="00EA02DE">
      <w:pPr>
        <w:pStyle w:val="Heading3"/>
        <w:numPr>
          <w:ilvl w:val="0"/>
          <w:numId w:val="52"/>
        </w:numPr>
        <w:tabs>
          <w:tab w:val="num" w:pos="360"/>
        </w:tabs>
        <w:ind w:left="360" w:hanging="360"/>
      </w:pPr>
      <w:r w:rsidRPr="000F5EDD">
        <w:t>Climate change impacts</w:t>
      </w:r>
    </w:p>
    <w:p w14:paraId="6AA0FCCB" w14:textId="77777777" w:rsidR="00697651" w:rsidRPr="000F5EDD" w:rsidRDefault="00697651" w:rsidP="00697651">
      <w:pPr>
        <w:pStyle w:val="BodyText"/>
      </w:pPr>
      <w:r w:rsidRPr="000F5EDD">
        <w:t xml:space="preserve">This section summarises the observed and potential future impacts of climate change in New Zealand. </w:t>
      </w:r>
    </w:p>
    <w:p w14:paraId="3D0EFADF" w14:textId="12D03523" w:rsidR="00697651" w:rsidRPr="000F5EDD" w:rsidRDefault="00697651" w:rsidP="00697651">
      <w:pPr>
        <w:pStyle w:val="BodyText"/>
      </w:pPr>
      <w:r w:rsidRPr="000F5EDD">
        <w:t xml:space="preserve">The climate impacts of the latest climate change projections for New Zealand are consistent with previous projections. </w:t>
      </w:r>
      <w:hyperlink w:anchor="figure32" w:history="1">
        <w:r w:rsidR="0009677C" w:rsidRPr="00451AB8">
          <w:rPr>
            <w:rStyle w:val="Hyperlink"/>
          </w:rPr>
          <w:t>Figure 3.2</w:t>
        </w:r>
      </w:hyperlink>
      <w:r w:rsidR="0009677C">
        <w:t xml:space="preserve"> </w:t>
      </w:r>
      <w:r w:rsidRPr="000F5EDD">
        <w:t>illustrates the projected impacts.</w:t>
      </w:r>
    </w:p>
    <w:p w14:paraId="02BB11E9" w14:textId="77777777" w:rsidR="00697651" w:rsidRPr="000F5EDD" w:rsidRDefault="00697651" w:rsidP="00697651">
      <w:pPr>
        <w:pStyle w:val="BodyText"/>
      </w:pPr>
      <w:r w:rsidRPr="000F5EDD">
        <w:t>The</w:t>
      </w:r>
      <w:r w:rsidRPr="000F5EDD">
        <w:rPr>
          <w:rFonts w:eastAsia="Calibri" w:cs="Calibri"/>
        </w:rPr>
        <w:t xml:space="preserve"> </w:t>
      </w:r>
      <w:r w:rsidRPr="000F5EDD">
        <w:t xml:space="preserve">IPCC report </w:t>
      </w:r>
      <w:r w:rsidRPr="000F5EDD">
        <w:rPr>
          <w:i/>
          <w:iCs/>
        </w:rPr>
        <w:t>Climate Change 2022: Impacts, Adaptation and Vulnerability</w:t>
      </w:r>
      <w:r w:rsidRPr="000F5EDD">
        <w:rPr>
          <w:rStyle w:val="FootnoteReference"/>
          <w:iCs/>
        </w:rPr>
        <w:footnoteReference w:id="227"/>
      </w:r>
      <w:r w:rsidRPr="000F5EDD">
        <w:rPr>
          <w:i/>
          <w:iCs/>
        </w:rPr>
        <w:t xml:space="preserve"> </w:t>
      </w:r>
      <w:r w:rsidRPr="000F5EDD">
        <w:t>identified key climate risks that have the potential to be severe, such as the loss of kelp forests in southeast New Zealand due to ocean warming, marine heatwaves and overgrazing by climate-driven range extensions of herbivore fish and urchins, and the loss of natural and human systems in low-lying coastal areas due to sea-level rise.</w:t>
      </w:r>
    </w:p>
    <w:p w14:paraId="5DAAC367" w14:textId="3976C1AD" w:rsidR="00697651" w:rsidRPr="000F5EDD" w:rsidRDefault="00697651" w:rsidP="00201256">
      <w:pPr>
        <w:pStyle w:val="Figureheading"/>
      </w:pPr>
      <w:bookmarkStart w:id="757" w:name="_Ref179287938"/>
      <w:bookmarkStart w:id="758" w:name="figure32"/>
      <w:bookmarkStart w:id="759" w:name="_Toc178603945"/>
      <w:bookmarkStart w:id="760" w:name="_Toc185347278"/>
      <w:r w:rsidRPr="000F5EDD">
        <w:t>Figure 3.</w:t>
      </w:r>
      <w:bookmarkEnd w:id="757"/>
      <w:r w:rsidR="00E23A30">
        <w:t>2</w:t>
      </w:r>
      <w:bookmarkEnd w:id="758"/>
      <w:r w:rsidRPr="000F5EDD">
        <w:t>:</w:t>
      </w:r>
      <w:r w:rsidRPr="000F5EDD">
        <w:tab/>
        <w:t>Summary of projected impacts of climate change on New Zealand</w:t>
      </w:r>
      <w:bookmarkEnd w:id="759"/>
      <w:bookmarkEnd w:id="760"/>
    </w:p>
    <w:p w14:paraId="7B172341" w14:textId="77777777" w:rsidR="00697651" w:rsidRPr="00054073" w:rsidRDefault="00697651" w:rsidP="00054073">
      <w:pPr>
        <w:pStyle w:val="BodyText"/>
      </w:pPr>
      <w:r w:rsidRPr="000F5EDD">
        <w:rPr>
          <w:noProof/>
        </w:rPr>
        <w:drawing>
          <wp:inline distT="0" distB="0" distL="0" distR="0" wp14:anchorId="10A4CBB0" wp14:editId="736A6795">
            <wp:extent cx="5314731" cy="3757492"/>
            <wp:effectExtent l="0" t="0" r="635" b="0"/>
            <wp:docPr id="465026001" name="Picture 3" descr="An illustration providing a summary of projected impacts of climate change on New Zealand including rising sea levels, warmer oceans, changing rain and snow patter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026001" name="Picture 3" descr="An illustration providing a summary of projected impacts of climate change on New Zealand including rising sea levels, warmer oceans, changing rain and snow patterns. "/>
                    <pic:cNvPicPr/>
                  </pic:nvPicPr>
                  <pic:blipFill>
                    <a:blip r:embed="rId151"/>
                    <a:stretch>
                      <a:fillRect/>
                    </a:stretch>
                  </pic:blipFill>
                  <pic:spPr>
                    <a:xfrm>
                      <a:off x="0" y="0"/>
                      <a:ext cx="5314731" cy="3757492"/>
                    </a:xfrm>
                    <a:prstGeom prst="rect">
                      <a:avLst/>
                    </a:prstGeom>
                  </pic:spPr>
                </pic:pic>
              </a:graphicData>
            </a:graphic>
          </wp:inline>
        </w:drawing>
      </w:r>
    </w:p>
    <w:p w14:paraId="41B0677B" w14:textId="77777777" w:rsidR="00697651" w:rsidRPr="000F5EDD" w:rsidRDefault="00697651" w:rsidP="00697651">
      <w:pPr>
        <w:pStyle w:val="Note"/>
        <w:spacing w:before="0"/>
      </w:pPr>
      <w:r w:rsidRPr="000F5EDD">
        <w:rPr>
          <w:rFonts w:cs="Calibri"/>
          <w:shd w:val="clear" w:color="auto" w:fill="FFFFFF"/>
        </w:rPr>
        <w:t>Source:</w:t>
      </w:r>
      <w:r w:rsidRPr="000F5EDD">
        <w:rPr>
          <w:rFonts w:cs="Calibri"/>
          <w:color w:val="881798"/>
          <w:shd w:val="clear" w:color="auto" w:fill="FFFFFF"/>
        </w:rPr>
        <w:t xml:space="preserve"> </w:t>
      </w:r>
      <w:r w:rsidRPr="000F5EDD" w:rsidDel="00237225">
        <w:t xml:space="preserve">Ministry for the Environment. </w:t>
      </w:r>
      <w:r w:rsidRPr="000F5EDD">
        <w:t>2022. </w:t>
      </w:r>
      <w:hyperlink r:id="rId152" w:tgtFrame="_blank" w:history="1">
        <w:r w:rsidRPr="000F5EDD">
          <w:rPr>
            <w:rStyle w:val="Hyperlink"/>
            <w:i/>
            <w:iCs/>
          </w:rPr>
          <w:t>Aotearoa New Zealand’s first national adaptation plan</w:t>
        </w:r>
        <w:r w:rsidRPr="000F5EDD">
          <w:rPr>
            <w:rStyle w:val="Hyperlink"/>
          </w:rPr>
          <w:t>.</w:t>
        </w:r>
      </w:hyperlink>
      <w:r w:rsidRPr="000F5EDD">
        <w:t xml:space="preserve"> Wellington: </w:t>
      </w:r>
      <w:r w:rsidRPr="000F5EDD" w:rsidDel="00237225">
        <w:t>Ministry for the Environment</w:t>
      </w:r>
      <w:r w:rsidRPr="000F5EDD">
        <w:t>. p 22.</w:t>
      </w:r>
    </w:p>
    <w:p w14:paraId="277E9EB2" w14:textId="77777777" w:rsidR="00697651" w:rsidRPr="000F5EDD" w:rsidRDefault="00697651" w:rsidP="002F7BF8">
      <w:pPr>
        <w:pStyle w:val="BodyText"/>
        <w:rPr>
          <w:rFonts w:ascii="Aptos" w:eastAsia="Aptos" w:hAnsi="Aptos" w:cs="Aptos"/>
        </w:rPr>
      </w:pPr>
      <w:r w:rsidRPr="000F5EDD">
        <w:t>By 2100, absolute sea level in New Zealand is projected to increase on average by 0.44 metres under SSP1-2.6 and by 0.83 metres under SSP5-8.5. Under SSP5-8.5H+ (the upper bound of the likely range, 83rd percentile of SSP5-8.5), sea level in New Zealand is projected to increase on average by 1.09 metres by 2100</w:t>
      </w:r>
      <w:r w:rsidRPr="000F5EDD">
        <w:rPr>
          <w:rFonts w:ascii="Aptos" w:eastAsia="Aptos" w:hAnsi="Aptos" w:cs="Aptos"/>
        </w:rPr>
        <w:t>.</w:t>
      </w:r>
      <w:r w:rsidRPr="000F5EDD">
        <w:rPr>
          <w:rStyle w:val="FootnoteReference"/>
        </w:rPr>
        <w:footnoteReference w:id="228"/>
      </w:r>
    </w:p>
    <w:p w14:paraId="3F9AD14E" w14:textId="77777777" w:rsidR="00697651" w:rsidRPr="000F5EDD" w:rsidRDefault="00697651" w:rsidP="00697651">
      <w:pPr>
        <w:pStyle w:val="BodyText"/>
      </w:pPr>
      <w:r w:rsidRPr="000F5EDD">
        <w:rPr>
          <w:rFonts w:eastAsia="Calibri" w:cs="Calibri"/>
        </w:rPr>
        <w:t xml:space="preserve">New Zealand lies on a dynamic plate boundary. For this reason, it is vital to provide projections that </w:t>
      </w:r>
      <w:r w:rsidRPr="000F5EDD">
        <w:t xml:space="preserve">combine subsidence and uplift rates at the coast (vertical land movement) with the climatic drivers of sea-level rise, which either amplify or reduce the rate and magnitude of that movement. </w:t>
      </w:r>
    </w:p>
    <w:p w14:paraId="315C717B" w14:textId="77777777" w:rsidR="00697651" w:rsidRPr="000F5EDD" w:rsidRDefault="00697651" w:rsidP="00697651">
      <w:pPr>
        <w:pStyle w:val="Bullet"/>
        <w:numPr>
          <w:ilvl w:val="0"/>
          <w:numId w:val="0"/>
        </w:numPr>
        <w:ind w:right="425"/>
        <w:rPr>
          <w:rFonts w:asciiTheme="minorHAnsi" w:eastAsiaTheme="minorEastAsia" w:hAnsiTheme="minorHAnsi" w:cstheme="minorBidi"/>
        </w:rPr>
      </w:pPr>
      <w:r w:rsidRPr="000F5EDD">
        <w:rPr>
          <w:rFonts w:asciiTheme="minorHAnsi" w:eastAsiaTheme="minorEastAsia" w:hAnsiTheme="minorHAnsi" w:cstheme="minorBidi"/>
        </w:rPr>
        <w:t>The NZ SeaRise programme published updated, down-scaled projections for sea-level rise in New Zealand at 2-kilometre resolution.</w:t>
      </w:r>
      <w:r w:rsidRPr="000F5EDD">
        <w:rPr>
          <w:rStyle w:val="FootnoteReference"/>
          <w:rFonts w:asciiTheme="minorHAnsi" w:eastAsiaTheme="minorEastAsia" w:hAnsiTheme="minorHAnsi" w:cstheme="minorBidi"/>
        </w:rPr>
        <w:footnoteReference w:id="229"/>
      </w:r>
      <w:r w:rsidRPr="000F5EDD">
        <w:rPr>
          <w:rFonts w:asciiTheme="minorHAnsi" w:eastAsiaTheme="minorEastAsia" w:hAnsiTheme="minorHAnsi" w:cstheme="minorBidi"/>
        </w:rPr>
        <w:t xml:space="preserve"> These projections incorporate vertical land movement rates, which have a direct impact on local sea-level projections along New Zealand’s coastlines. These projections show ongoing land subsidence will bring forward the timing of when a specific sea-level threshold is reached locally, compared with stable or uplifting areas. </w:t>
      </w:r>
    </w:p>
    <w:p w14:paraId="427A54D9" w14:textId="77777777" w:rsidR="00697651" w:rsidRPr="000F5EDD" w:rsidRDefault="00697651" w:rsidP="00697651">
      <w:pPr>
        <w:pStyle w:val="BodyText"/>
        <w:keepNext/>
        <w:keepLines/>
        <w:spacing w:after="100"/>
      </w:pPr>
      <w:r w:rsidRPr="000F5EDD">
        <w:t xml:space="preserve">Land that is uplifting locally or regionally will experience a slower rise in the sea level relative to the rising land. The Ministry for the Environment’s 2024 report </w:t>
      </w:r>
      <w:r w:rsidRPr="000F5EDD">
        <w:rPr>
          <w:i/>
        </w:rPr>
        <w:t>Coastal hazards and climate change guidance</w:t>
      </w:r>
      <w:r w:rsidRPr="000F5EDD">
        <w:t xml:space="preserve"> provides national guidance for planners and decision-makers on the use of sea-level rise projections and on how to adapt to climate change in the coastal environment</w:t>
      </w:r>
      <w:r w:rsidRPr="000F5EDD">
        <w:rPr>
          <w:i/>
        </w:rPr>
        <w:t>.</w:t>
      </w:r>
      <w:r w:rsidRPr="000F5EDD">
        <w:rPr>
          <w:rStyle w:val="FootnoteReference"/>
          <w:rFonts w:asciiTheme="minorHAnsi" w:hAnsiTheme="minorHAnsi"/>
        </w:rPr>
        <w:footnoteReference w:id="230"/>
      </w:r>
      <w:r w:rsidRPr="000F5EDD">
        <w:t xml:space="preserve"> </w:t>
      </w:r>
    </w:p>
    <w:p w14:paraId="6A15E883" w14:textId="072169B8" w:rsidR="00697651" w:rsidRPr="000F5EDD" w:rsidRDefault="00697651" w:rsidP="00697651">
      <w:pPr>
        <w:pStyle w:val="BodyText"/>
        <w:spacing w:after="100"/>
      </w:pPr>
      <w:r w:rsidRPr="000F5EDD">
        <w:t xml:space="preserve">Major climate impacts are already occurring throughout New Zealand. These were detailed in Chapter 11: Australasia in the </w:t>
      </w:r>
      <w:r w:rsidRPr="000F5EDD">
        <w:rPr>
          <w:rFonts w:eastAsia="Calibri" w:cs="Calibri"/>
        </w:rPr>
        <w:t>IPCC</w:t>
      </w:r>
      <w:r w:rsidRPr="000F5EDD">
        <w:t xml:space="preserve"> report </w:t>
      </w:r>
      <w:r w:rsidRPr="000F5EDD">
        <w:rPr>
          <w:i/>
          <w:iCs/>
        </w:rPr>
        <w:t>Climate Change 2022: Impacts, Adaptation and Vulnerability.</w:t>
      </w:r>
      <w:r w:rsidRPr="000F5EDD" w:rsidDel="009478A1">
        <w:rPr>
          <w:rStyle w:val="FootnoteReference"/>
        </w:rPr>
        <w:footnoteReference w:id="231"/>
      </w:r>
      <w:r w:rsidRPr="000F5EDD">
        <w:rPr>
          <w:iCs/>
        </w:rPr>
        <w:t xml:space="preserve"> </w:t>
      </w:r>
      <w:hyperlink w:anchor="table32" w:history="1">
        <w:r w:rsidR="00B7052A" w:rsidRPr="00B7052A">
          <w:rPr>
            <w:rStyle w:val="Hyperlink"/>
          </w:rPr>
          <w:t>Table 3.2</w:t>
        </w:r>
      </w:hyperlink>
      <w:r w:rsidR="00B7052A">
        <w:t xml:space="preserve"> </w:t>
      </w:r>
      <w:r w:rsidRPr="000F5EDD">
        <w:t>also provides an overview of these observed climate impacts. The following are some examples.</w:t>
      </w:r>
    </w:p>
    <w:p w14:paraId="6585E811" w14:textId="77777777" w:rsidR="00697651" w:rsidRPr="000F5EDD" w:rsidRDefault="00697651" w:rsidP="00697651">
      <w:pPr>
        <w:pStyle w:val="Bullet"/>
        <w:spacing w:after="100"/>
        <w:rPr>
          <w:szCs w:val="22"/>
        </w:rPr>
      </w:pPr>
      <w:r w:rsidRPr="000F5EDD">
        <w:rPr>
          <w:szCs w:val="22"/>
        </w:rPr>
        <w:t>The frequency, severity and duration of extreme weather events are increasing, which impacts many aspects of society. For example, Cyclone Gabrielle, Cyclone Hale and Auckland Anniversary floodings in January and early February 2023 caused widespread devastation to communities, land and infrastructure in the North Island.</w:t>
      </w:r>
    </w:p>
    <w:p w14:paraId="5D24C564" w14:textId="43DEC023" w:rsidR="00697651" w:rsidRPr="000F5EDD" w:rsidRDefault="00697651" w:rsidP="00697651">
      <w:pPr>
        <w:pStyle w:val="Bullet"/>
        <w:spacing w:after="100"/>
        <w:rPr>
          <w:rFonts w:eastAsia="Calibri"/>
          <w:szCs w:val="22"/>
        </w:rPr>
      </w:pPr>
      <w:r w:rsidRPr="000F5EDD">
        <w:rPr>
          <w:rFonts w:eastAsia="Calibri"/>
          <w:szCs w:val="22"/>
        </w:rPr>
        <w:t xml:space="preserve">The frequency, severity and duration of extreme wildfire weather conditions are mixed but have increased in the northeast. </w:t>
      </w:r>
    </w:p>
    <w:p w14:paraId="66B578C6" w14:textId="77777777" w:rsidR="00697651" w:rsidRPr="000F5EDD" w:rsidRDefault="00697651" w:rsidP="00697651">
      <w:pPr>
        <w:pStyle w:val="Bullet"/>
        <w:spacing w:after="100"/>
        <w:rPr>
          <w:rFonts w:asciiTheme="minorHAnsi" w:eastAsiaTheme="minorEastAsia" w:hAnsiTheme="minorHAnsi"/>
          <w:szCs w:val="22"/>
        </w:rPr>
      </w:pPr>
      <w:r w:rsidRPr="000F5EDD">
        <w:rPr>
          <w:rFonts w:asciiTheme="minorHAnsi" w:eastAsiaTheme="minorEastAsia" w:hAnsiTheme="minorHAnsi"/>
          <w:szCs w:val="22"/>
        </w:rPr>
        <w:t>Sea surface temperatures</w:t>
      </w:r>
      <w:r w:rsidRPr="000F5EDD" w:rsidDel="00612B04">
        <w:rPr>
          <w:rFonts w:asciiTheme="minorHAnsi" w:eastAsiaTheme="minorEastAsia" w:hAnsiTheme="minorHAnsi"/>
          <w:szCs w:val="22"/>
        </w:rPr>
        <w:t xml:space="preserve"> </w:t>
      </w:r>
      <w:r w:rsidRPr="000F5EDD">
        <w:rPr>
          <w:rFonts w:asciiTheme="minorHAnsi" w:eastAsiaTheme="minorEastAsia" w:hAnsiTheme="minorHAnsi"/>
          <w:szCs w:val="22"/>
        </w:rPr>
        <w:t>increased by 0.2</w:t>
      </w:r>
      <w:r w:rsidRPr="000F5EDD">
        <w:rPr>
          <w:rFonts w:asciiTheme="minorHAnsi" w:eastAsiaTheme="minorEastAsia" w:hAnsiTheme="minorHAnsi" w:cstheme="minorBidi"/>
          <w:color w:val="000000" w:themeColor="text1"/>
          <w:szCs w:val="22"/>
        </w:rPr>
        <w:t xml:space="preserve"> degrees Celsius</w:t>
      </w:r>
      <w:r w:rsidRPr="000F5EDD">
        <w:rPr>
          <w:rFonts w:asciiTheme="minorHAnsi" w:eastAsiaTheme="minorEastAsia" w:hAnsiTheme="minorHAnsi"/>
          <w:szCs w:val="22"/>
        </w:rPr>
        <w:t xml:space="preserve"> per decade from 1981 to 2018.</w:t>
      </w:r>
    </w:p>
    <w:p w14:paraId="5AE72FE6" w14:textId="77777777" w:rsidR="00697651" w:rsidRPr="000F5EDD" w:rsidRDefault="00697651" w:rsidP="00697651">
      <w:pPr>
        <w:pStyle w:val="Bullet"/>
        <w:spacing w:after="100"/>
        <w:rPr>
          <w:rFonts w:eastAsia="Calibri"/>
          <w:szCs w:val="22"/>
        </w:rPr>
      </w:pPr>
      <w:r w:rsidRPr="000F5EDD">
        <w:rPr>
          <w:rFonts w:asciiTheme="minorHAnsi" w:eastAsiaTheme="minorEastAsia" w:hAnsiTheme="minorHAnsi"/>
          <w:szCs w:val="22"/>
        </w:rPr>
        <w:t xml:space="preserve">Among the 30 sites monitored across New Zealand, the number of frost days decreased at </w:t>
      </w:r>
      <w:r w:rsidRPr="003E73E9">
        <w:rPr>
          <w:rFonts w:asciiTheme="minorHAnsi" w:eastAsiaTheme="minorEastAsia" w:hAnsiTheme="minorHAnsi"/>
          <w:spacing w:val="-2"/>
          <w:szCs w:val="22"/>
        </w:rPr>
        <w:t xml:space="preserve">12 sites, while the </w:t>
      </w:r>
      <w:r w:rsidRPr="003E73E9">
        <w:rPr>
          <w:rFonts w:asciiTheme="minorHAnsi" w:eastAsia="Calibri" w:hAnsiTheme="minorHAnsi"/>
          <w:spacing w:val="-2"/>
          <w:szCs w:val="22"/>
        </w:rPr>
        <w:t>number of warm days increased at 19 sites and the number of heatwave</w:t>
      </w:r>
      <w:r w:rsidRPr="000F5EDD">
        <w:rPr>
          <w:rFonts w:eastAsia="Calibri"/>
          <w:szCs w:val="22"/>
        </w:rPr>
        <w:t xml:space="preserve"> days increased at 18 sites between 1972 and 2019. </w:t>
      </w:r>
    </w:p>
    <w:p w14:paraId="722580F0" w14:textId="77777777" w:rsidR="00697651" w:rsidRPr="000F5EDD" w:rsidRDefault="00697651" w:rsidP="00697651">
      <w:pPr>
        <w:pStyle w:val="Bullet"/>
        <w:spacing w:after="100"/>
        <w:rPr>
          <w:rFonts w:eastAsia="Calibri"/>
        </w:rPr>
      </w:pPr>
      <w:r w:rsidRPr="000F5EDD">
        <w:rPr>
          <w:rFonts w:eastAsia="Calibri"/>
          <w:szCs w:val="22"/>
        </w:rPr>
        <w:t>Glacier volume has decreased</w:t>
      </w:r>
      <w:r w:rsidRPr="000F5EDD">
        <w:rPr>
          <w:rFonts w:eastAsia="Calibri"/>
        </w:rPr>
        <w:t xml:space="preserve"> 33 per cent since 1977.</w:t>
      </w:r>
    </w:p>
    <w:p w14:paraId="23D07718" w14:textId="1869EF4C" w:rsidR="00697651" w:rsidRPr="000F5EDD" w:rsidRDefault="00697651" w:rsidP="00697651">
      <w:pPr>
        <w:pStyle w:val="Bullet"/>
        <w:spacing w:after="100"/>
        <w:rPr>
          <w:rFonts w:asciiTheme="minorHAnsi" w:eastAsiaTheme="minorEastAsia" w:hAnsiTheme="minorHAnsi"/>
        </w:rPr>
      </w:pPr>
      <w:r w:rsidRPr="000F5EDD">
        <w:rPr>
          <w:rFonts w:eastAsia="Calibri"/>
        </w:rPr>
        <w:t>Marine species populations have shifted towards the South Pole in terms of both their numbers and distribution, and extensive coral bleaching events and loss of</w:t>
      </w:r>
      <w:r w:rsidRPr="000F5EDD">
        <w:rPr>
          <w:rFonts w:asciiTheme="minorHAnsi" w:eastAsiaTheme="minorEastAsia" w:hAnsiTheme="minorHAnsi"/>
        </w:rPr>
        <w:t xml:space="preserve"> temperate kelp</w:t>
      </w:r>
      <w:r w:rsidR="00CE1463">
        <w:rPr>
          <w:rFonts w:asciiTheme="minorHAnsi" w:eastAsiaTheme="minorEastAsia" w:hAnsiTheme="minorHAnsi"/>
        </w:rPr>
        <w:t> </w:t>
      </w:r>
      <w:r w:rsidRPr="000F5EDD">
        <w:rPr>
          <w:rFonts w:asciiTheme="minorHAnsi" w:eastAsiaTheme="minorEastAsia" w:hAnsiTheme="minorHAnsi"/>
        </w:rPr>
        <w:t>forests have occurred. All of these impacts are due to ocean warming and marine heatwaves across the region.</w:t>
      </w:r>
    </w:p>
    <w:p w14:paraId="0F758998" w14:textId="77777777" w:rsidR="00697651" w:rsidRPr="000F5EDD" w:rsidRDefault="00697651" w:rsidP="00697651">
      <w:pPr>
        <w:pStyle w:val="BodyText"/>
        <w:spacing w:after="100"/>
        <w:rPr>
          <w:rFonts w:eastAsia="Calibri" w:cs="Calibri"/>
        </w:rPr>
      </w:pPr>
      <w:r w:rsidRPr="000F5EDD">
        <w:rPr>
          <w:rFonts w:eastAsia="Calibri" w:cs="Calibri"/>
        </w:rPr>
        <w:t xml:space="preserve">Sea-level rise presents a significant concern for </w:t>
      </w:r>
      <w:r w:rsidRPr="000F5EDD">
        <w:t>hapori Māori (Māori communities), particularly those living in coastal areas. Approximately 14 per cent of Māori households are in areas highly susceptible to coastal inundation due to projected sea-level rise.</w:t>
      </w:r>
      <w:r w:rsidRPr="000F5EDD">
        <w:rPr>
          <w:rStyle w:val="FootnoteReference"/>
          <w:rFonts w:eastAsia="Aptos"/>
        </w:rPr>
        <w:footnoteReference w:id="232"/>
      </w:r>
      <w:r w:rsidRPr="000F5EDD">
        <w:rPr>
          <w:rFonts w:eastAsia="Calibri" w:cs="Calibri"/>
        </w:rPr>
        <w:t xml:space="preserve"> </w:t>
      </w:r>
    </w:p>
    <w:p w14:paraId="2B2C56B3" w14:textId="77777777" w:rsidR="00697651" w:rsidRPr="000F5EDD" w:rsidRDefault="00697651" w:rsidP="00697651">
      <w:pPr>
        <w:pStyle w:val="BodyText"/>
        <w:spacing w:after="100"/>
        <w:rPr>
          <w:rFonts w:eastAsia="Calibri"/>
          <w:highlight w:val="yellow"/>
        </w:rPr>
      </w:pPr>
      <w:r w:rsidRPr="000F5EDD">
        <w:rPr>
          <w:rFonts w:eastAsia="Calibri" w:cs="Calibri"/>
        </w:rPr>
        <w:t>R</w:t>
      </w:r>
      <w:r w:rsidRPr="000F5EDD">
        <w:t>esearch for the Deep South Science Challenge in 2020 projected that around 10,000 houses in Auckland, Wellington, Christchurch and Dunedin could become uninsurable by 2050 because of coastal flooding from sea-level rise.</w:t>
      </w:r>
      <w:r w:rsidRPr="000F5EDD">
        <w:rPr>
          <w:rStyle w:val="FootnoteReference"/>
          <w:rFonts w:eastAsia="Aptos"/>
        </w:rPr>
        <w:footnoteReference w:id="233"/>
      </w:r>
      <w:r w:rsidRPr="000F5EDD">
        <w:t xml:space="preserve"> New Zealand has considerable residential building exposure to fluvial or pluvial flood hazards, with an estimated NZ$218 billion total replacement value for 441,384 buildings identified in flood hazard areas.</w:t>
      </w:r>
      <w:r w:rsidRPr="000F5EDD">
        <w:rPr>
          <w:rStyle w:val="FootnoteReference"/>
          <w:rFonts w:eastAsia="Aptos"/>
        </w:rPr>
        <w:footnoteReference w:id="234"/>
      </w:r>
      <w:r w:rsidRPr="000F5EDD">
        <w:t xml:space="preserve"> </w:t>
      </w:r>
    </w:p>
    <w:p w14:paraId="5F06D9A2" w14:textId="14B9CC18" w:rsidR="00697651" w:rsidRPr="000F5EDD" w:rsidRDefault="00344118" w:rsidP="00697651">
      <w:pPr>
        <w:pStyle w:val="BodyText"/>
      </w:pPr>
      <w:hyperlink w:anchor="figure33" w:history="1">
        <w:r w:rsidRPr="00344118">
          <w:rPr>
            <w:rStyle w:val="Hyperlink"/>
            <w:rFonts w:eastAsia="Calibri"/>
          </w:rPr>
          <w:t>Figure 3.3</w:t>
        </w:r>
      </w:hyperlink>
      <w:r w:rsidR="00697651" w:rsidRPr="000F5EDD">
        <w:rPr>
          <w:rFonts w:eastAsia="Calibri"/>
        </w:rPr>
        <w:t xml:space="preserve"> provides a timeline of some of the extreme weather events Aotearoa New Zealand has experienced since 2018. These events include storms, flooding, severe droughts, wildfires, landslides and marine heatwaves. They are becoming more frequent and more severe due to climate change.</w:t>
      </w:r>
    </w:p>
    <w:p w14:paraId="24D7F611" w14:textId="2A42720E" w:rsidR="00697651" w:rsidRPr="000F5EDD" w:rsidRDefault="00697651" w:rsidP="00201256">
      <w:pPr>
        <w:pStyle w:val="Figureheading"/>
        <w:rPr>
          <w:sz w:val="19"/>
          <w:szCs w:val="19"/>
        </w:rPr>
      </w:pPr>
      <w:bookmarkStart w:id="761" w:name="_Ref179352219"/>
      <w:bookmarkStart w:id="762" w:name="figure33"/>
      <w:bookmarkStart w:id="763" w:name="_Toc178603946"/>
      <w:bookmarkStart w:id="764" w:name="_Toc185347279"/>
      <w:r w:rsidRPr="000F5EDD">
        <w:t>Figure 3.</w:t>
      </w:r>
      <w:r w:rsidR="000D741C">
        <w:t>3</w:t>
      </w:r>
      <w:bookmarkEnd w:id="761"/>
      <w:bookmarkEnd w:id="762"/>
      <w:r w:rsidRPr="000F5EDD">
        <w:t>:</w:t>
      </w:r>
      <w:r w:rsidRPr="000F5EDD">
        <w:tab/>
        <w:t>Timeline of some of the extreme weather events New Zealand has experienced since 2018</w:t>
      </w:r>
      <w:bookmarkEnd w:id="763"/>
      <w:bookmarkEnd w:id="764"/>
      <w:r w:rsidRPr="000F5EDD">
        <w:t xml:space="preserve"> </w:t>
      </w:r>
    </w:p>
    <w:p w14:paraId="0C07B854" w14:textId="77777777" w:rsidR="00697651" w:rsidRPr="000F5EDD" w:rsidRDefault="00697651" w:rsidP="00697651">
      <w:pPr>
        <w:pStyle w:val="BodyText"/>
        <w:rPr>
          <w:sz w:val="19"/>
          <w:szCs w:val="19"/>
        </w:rPr>
      </w:pPr>
      <w:r w:rsidRPr="000F5EDD">
        <w:rPr>
          <w:noProof/>
        </w:rPr>
        <w:drawing>
          <wp:inline distT="0" distB="0" distL="0" distR="0" wp14:anchorId="7887D9F7" wp14:editId="01ED2165">
            <wp:extent cx="5400516" cy="6479735"/>
            <wp:effectExtent l="0" t="0" r="0" b="0"/>
            <wp:docPr id="1310050612" name="Picture 1" descr="A graphic showing the timelines of some of the extreme weather events New Zealand has experienced sinc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050612" name="Picture 1" descr="A graphic showing the timelines of some of the extreme weather events New Zealand has experienced since 2018."/>
                    <pic:cNvPicPr/>
                  </pic:nvPicPr>
                  <pic:blipFill rotWithShape="1">
                    <a:blip r:embed="rId153">
                      <a:extLst>
                        <a:ext uri="{28A0092B-C50C-407E-A947-70E740481C1C}">
                          <a14:useLocalDpi xmlns:a14="http://schemas.microsoft.com/office/drawing/2010/main" val="0"/>
                        </a:ext>
                      </a:extLst>
                    </a:blip>
                    <a:srcRect t="1970" b="1211"/>
                    <a:stretch/>
                  </pic:blipFill>
                  <pic:spPr bwMode="auto">
                    <a:xfrm>
                      <a:off x="0" y="0"/>
                      <a:ext cx="5400516" cy="6479735"/>
                    </a:xfrm>
                    <a:prstGeom prst="rect">
                      <a:avLst/>
                    </a:prstGeom>
                    <a:ln>
                      <a:noFill/>
                    </a:ln>
                    <a:extLst>
                      <a:ext uri="{53640926-AAD7-44D8-BBD7-CCE9431645EC}">
                        <a14:shadowObscured xmlns:a14="http://schemas.microsoft.com/office/drawing/2010/main"/>
                      </a:ext>
                    </a:extLst>
                  </pic:spPr>
                </pic:pic>
              </a:graphicData>
            </a:graphic>
          </wp:inline>
        </w:drawing>
      </w:r>
    </w:p>
    <w:p w14:paraId="1F37334D" w14:textId="77777777" w:rsidR="00697651" w:rsidRPr="000F5EDD" w:rsidRDefault="00697651" w:rsidP="00697651">
      <w:pPr>
        <w:pStyle w:val="Source"/>
      </w:pPr>
      <w:r w:rsidRPr="000F5EDD">
        <w:t>Source: Climate Change Commission. 2024.</w:t>
      </w:r>
      <w:r w:rsidRPr="000F5EDD">
        <w:rPr>
          <w:i/>
          <w:iCs/>
        </w:rPr>
        <w:t xml:space="preserve"> </w:t>
      </w:r>
      <w:hyperlink r:id="rId154">
        <w:r w:rsidRPr="000F5EDD">
          <w:rPr>
            <w:rStyle w:val="Hyperlink"/>
            <w:i/>
            <w:iCs/>
            <w:sz w:val="19"/>
            <w:szCs w:val="19"/>
          </w:rPr>
          <w:t>Progress Report: National Adaptation Plan: Assessing Progress on the Implementation and Effectiveness of the Government’s First National Adaptation Plan</w:t>
        </w:r>
      </w:hyperlink>
      <w:r w:rsidRPr="000F5EDD">
        <w:t>, p 26.</w:t>
      </w:r>
    </w:p>
    <w:p w14:paraId="23B7E113" w14:textId="77777777" w:rsidR="00697651" w:rsidRPr="000F5EDD" w:rsidRDefault="00697651" w:rsidP="00697651">
      <w:pPr>
        <w:sectPr w:rsidR="00697651" w:rsidRPr="000F5EDD" w:rsidSect="00697651">
          <w:headerReference w:type="even" r:id="rId155"/>
          <w:headerReference w:type="default" r:id="rId156"/>
          <w:footerReference w:type="even" r:id="rId157"/>
          <w:footerReference w:type="default" r:id="rId158"/>
          <w:headerReference w:type="first" r:id="rId159"/>
          <w:pgSz w:w="11907" w:h="16840" w:code="9"/>
          <w:pgMar w:top="1134" w:right="1701" w:bottom="1134" w:left="1701" w:header="567" w:footer="567" w:gutter="0"/>
          <w:cols w:space="720"/>
          <w:docGrid w:linePitch="299"/>
        </w:sectPr>
      </w:pPr>
    </w:p>
    <w:p w14:paraId="6042500C" w14:textId="32B50119" w:rsidR="00697651" w:rsidRPr="000F5EDD" w:rsidRDefault="00697651" w:rsidP="00697651">
      <w:pPr>
        <w:pStyle w:val="Tableheading"/>
        <w:spacing w:before="0"/>
        <w:ind w:right="113"/>
      </w:pPr>
      <w:bookmarkStart w:id="765" w:name="_Ref179341844"/>
      <w:bookmarkStart w:id="766" w:name="table32"/>
      <w:bookmarkStart w:id="767" w:name="_Toc172716717"/>
      <w:bookmarkStart w:id="768" w:name="_Toc178603915"/>
      <w:bookmarkStart w:id="769" w:name="_Toc185407503"/>
      <w:bookmarkStart w:id="770" w:name="_Toc185427766"/>
      <w:r w:rsidRPr="000F5EDD">
        <w:t>Table 3.</w:t>
      </w:r>
      <w:r w:rsidR="008B5621">
        <w:t>2</w:t>
      </w:r>
      <w:bookmarkEnd w:id="765"/>
      <w:bookmarkEnd w:id="766"/>
      <w:r w:rsidRPr="000F5EDD">
        <w:t>:</w:t>
      </w:r>
      <w:r w:rsidRPr="000F5EDD">
        <w:tab/>
        <w:t>The observed and projected climate change impacts on domains in New</w:t>
      </w:r>
      <w:r w:rsidR="00663B3E">
        <w:t> </w:t>
      </w:r>
      <w:r w:rsidRPr="000F5EDD">
        <w:t>Zealand</w:t>
      </w:r>
      <w:bookmarkEnd w:id="767"/>
      <w:bookmarkEnd w:id="768"/>
      <w:bookmarkEnd w:id="769"/>
      <w:bookmarkEnd w:id="770"/>
    </w:p>
    <w:tbl>
      <w:tblPr>
        <w:tblStyle w:val="LightList-Accent11"/>
        <w:tblW w:w="14515" w:type="dxa"/>
        <w:tblInd w:w="5" w:type="dxa"/>
        <w:tblBorders>
          <w:top w:val="single" w:sz="4" w:space="0" w:color="1C556C" w:themeColor="accent1"/>
          <w:left w:val="none" w:sz="0" w:space="0" w:color="auto"/>
          <w:bottom w:val="single" w:sz="4" w:space="0" w:color="1C556C" w:themeColor="accent1"/>
          <w:right w:val="none" w:sz="0" w:space="0" w:color="auto"/>
          <w:insideH w:val="single" w:sz="4" w:space="0" w:color="1C556C" w:themeColor="accent1"/>
          <w:insideV w:val="single" w:sz="4" w:space="0" w:color="1C556C" w:themeColor="accent1"/>
        </w:tblBorders>
        <w:tblLayout w:type="fixed"/>
        <w:tblCellMar>
          <w:left w:w="85" w:type="dxa"/>
          <w:right w:w="85" w:type="dxa"/>
        </w:tblCellMar>
        <w:tblLook w:val="04A0" w:firstRow="1" w:lastRow="0" w:firstColumn="1" w:lastColumn="0" w:noHBand="0" w:noVBand="1"/>
      </w:tblPr>
      <w:tblGrid>
        <w:gridCol w:w="1690"/>
        <w:gridCol w:w="6356"/>
        <w:gridCol w:w="6469"/>
      </w:tblGrid>
      <w:tr w:rsidR="00697651" w:rsidRPr="000F5EDD" w14:paraId="2488DD79"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96" w:type="dxa"/>
          </w:tcPr>
          <w:p w14:paraId="6B05B466" w14:textId="77777777" w:rsidR="00697651" w:rsidRPr="000F5EDD" w:rsidRDefault="00697651">
            <w:pPr>
              <w:pStyle w:val="TableTextBold0"/>
              <w:rPr>
                <w:szCs w:val="18"/>
              </w:rPr>
            </w:pPr>
            <w:r w:rsidRPr="000F5EDD">
              <w:rPr>
                <w:b/>
                <w:szCs w:val="18"/>
              </w:rPr>
              <w:t>Domain</w:t>
            </w:r>
          </w:p>
        </w:tc>
        <w:tc>
          <w:tcPr>
            <w:tcW w:w="6379" w:type="dxa"/>
          </w:tcPr>
          <w:p w14:paraId="54E6974D" w14:textId="77777777" w:rsidR="00697651" w:rsidRPr="000F5EDD" w:rsidRDefault="00697651">
            <w:pPr>
              <w:pStyle w:val="TableTextBold0"/>
              <w:cnfStyle w:val="100000000000" w:firstRow="1" w:lastRow="0" w:firstColumn="0" w:lastColumn="0" w:oddVBand="0" w:evenVBand="0" w:oddHBand="0" w:evenHBand="0" w:firstRowFirstColumn="0" w:firstRowLastColumn="0" w:lastRowFirstColumn="0" w:lastRowLastColumn="0"/>
              <w:rPr>
                <w:szCs w:val="18"/>
              </w:rPr>
            </w:pPr>
            <w:r w:rsidRPr="000F5EDD">
              <w:rPr>
                <w:b/>
                <w:szCs w:val="18"/>
              </w:rPr>
              <w:t>Observed impacts</w:t>
            </w:r>
          </w:p>
        </w:tc>
        <w:tc>
          <w:tcPr>
            <w:tcW w:w="6492" w:type="dxa"/>
          </w:tcPr>
          <w:p w14:paraId="2D4754B1" w14:textId="77777777" w:rsidR="00697651" w:rsidRPr="000F5EDD" w:rsidRDefault="00697651">
            <w:pPr>
              <w:pStyle w:val="TableTextBold0"/>
              <w:cnfStyle w:val="100000000000" w:firstRow="1" w:lastRow="0" w:firstColumn="0" w:lastColumn="0" w:oddVBand="0" w:evenVBand="0" w:oddHBand="0" w:evenHBand="0" w:firstRowFirstColumn="0" w:firstRowLastColumn="0" w:lastRowFirstColumn="0" w:lastRowLastColumn="0"/>
              <w:rPr>
                <w:szCs w:val="18"/>
              </w:rPr>
            </w:pPr>
            <w:r w:rsidRPr="000F5EDD">
              <w:rPr>
                <w:b/>
                <w:szCs w:val="18"/>
              </w:rPr>
              <w:t>Projected impacts</w:t>
            </w:r>
          </w:p>
        </w:tc>
      </w:tr>
      <w:tr w:rsidR="00697651" w:rsidRPr="000F5EDD" w14:paraId="30762C4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top w:val="none" w:sz="0" w:space="0" w:color="auto"/>
              <w:left w:val="none" w:sz="0" w:space="0" w:color="auto"/>
              <w:bottom w:val="none" w:sz="0" w:space="0" w:color="auto"/>
            </w:tcBorders>
          </w:tcPr>
          <w:p w14:paraId="31A53643" w14:textId="77777777" w:rsidR="00697651" w:rsidRPr="000F5EDD" w:rsidRDefault="00697651">
            <w:pPr>
              <w:pStyle w:val="TableText"/>
              <w:rPr>
                <w:szCs w:val="18"/>
              </w:rPr>
            </w:pPr>
            <w:r w:rsidRPr="000F5EDD">
              <w:rPr>
                <w:szCs w:val="18"/>
              </w:rPr>
              <w:t>Natural environment</w:t>
            </w:r>
          </w:p>
        </w:tc>
        <w:tc>
          <w:tcPr>
            <w:tcW w:w="6379" w:type="dxa"/>
            <w:tcBorders>
              <w:top w:val="none" w:sz="0" w:space="0" w:color="auto"/>
              <w:bottom w:val="none" w:sz="0" w:space="0" w:color="auto"/>
            </w:tcBorders>
          </w:tcPr>
          <w:p w14:paraId="2A1F70DF" w14:textId="1BAE5140" w:rsidR="00697651" w:rsidRPr="000F5EDD" w:rsidRDefault="00697651">
            <w:pPr>
              <w:pStyle w:val="TableText"/>
              <w:cnfStyle w:val="000000100000" w:firstRow="0" w:lastRow="0" w:firstColumn="0" w:lastColumn="0" w:oddVBand="0" w:evenVBand="0" w:oddHBand="1" w:evenHBand="0" w:firstRowFirstColumn="0" w:firstRowLastColumn="0" w:lastRowFirstColumn="0" w:lastRowLastColumn="0"/>
              <w:rPr>
                <w:szCs w:val="18"/>
              </w:rPr>
            </w:pPr>
            <w:r w:rsidRPr="000F5EDD">
              <w:rPr>
                <w:szCs w:val="18"/>
              </w:rPr>
              <w:t>Climate change has significantly impacted New Zealand’s ecosystems. Introduced mammalian predator numbers have increased due to greater food availability, putting pressure on native ecosystems. Coastal species’ distribution and fish lifecycles have altered due to warming waters and ocean acidification. Rainfall patterns have shifted, with precipitation decreasing in the north but increasing in the southwest, while extreme rainfall events have intensified. Notably, southern glaciers have shrunk by one-third since 1977, underscoring the substantial impacts on the country’s environments.</w:t>
            </w:r>
          </w:p>
        </w:tc>
        <w:tc>
          <w:tcPr>
            <w:tcW w:w="6492" w:type="dxa"/>
            <w:tcBorders>
              <w:top w:val="none" w:sz="0" w:space="0" w:color="auto"/>
              <w:bottom w:val="none" w:sz="0" w:space="0" w:color="auto"/>
              <w:right w:val="none" w:sz="0" w:space="0" w:color="auto"/>
            </w:tcBorders>
          </w:tcPr>
          <w:p w14:paraId="1339EE43" w14:textId="77777777" w:rsidR="00697651" w:rsidRPr="000F5EDD" w:rsidRDefault="00697651">
            <w:pPr>
              <w:pStyle w:val="TableText"/>
              <w:cnfStyle w:val="000000100000" w:firstRow="0" w:lastRow="0" w:firstColumn="0" w:lastColumn="0" w:oddVBand="0" w:evenVBand="0" w:oddHBand="1" w:evenHBand="0" w:firstRowFirstColumn="0" w:firstRowLastColumn="0" w:lastRowFirstColumn="0" w:lastRowLastColumn="0"/>
              <w:rPr>
                <w:szCs w:val="18"/>
              </w:rPr>
            </w:pPr>
            <w:r w:rsidRPr="000F5EDD">
              <w:rPr>
                <w:szCs w:val="18"/>
              </w:rPr>
              <w:t xml:space="preserve">Due to warming, invasive terrestrial species will likely continue to increase in numbers, range and predation on native species. Native forest carbon storage will initially improve but later decrease due to drought. Wildfires may enable fire-resistant introduced plants to replace non-fire-resistant natives. Increased rainfall, drought and temperatures will negatively impact freshwater wetlands and species, while saltwater may intrude into coastal wetlands. River flows will reduce in the north but increase in the south, potentially enabling increased movement of invasives, sediments and pollutants. Rising seas, warming and extreme weather will further alter marine species’ distribution and abundance, along with ecosystem services, as intertidal zones shrink. </w:t>
            </w:r>
          </w:p>
        </w:tc>
      </w:tr>
      <w:tr w:rsidR="00697651" w:rsidRPr="000F5EDD" w14:paraId="11F0B352" w14:textId="77777777">
        <w:tc>
          <w:tcPr>
            <w:cnfStyle w:val="001000000000" w:firstRow="0" w:lastRow="0" w:firstColumn="1" w:lastColumn="0" w:oddVBand="0" w:evenVBand="0" w:oddHBand="0" w:evenHBand="0" w:firstRowFirstColumn="0" w:firstRowLastColumn="0" w:lastRowFirstColumn="0" w:lastRowLastColumn="0"/>
            <w:tcW w:w="1696" w:type="dxa"/>
          </w:tcPr>
          <w:p w14:paraId="408C57A9" w14:textId="77777777" w:rsidR="00697651" w:rsidRPr="000F5EDD" w:rsidRDefault="00697651">
            <w:pPr>
              <w:pStyle w:val="TableText"/>
              <w:rPr>
                <w:szCs w:val="18"/>
              </w:rPr>
            </w:pPr>
            <w:r w:rsidRPr="000F5EDD">
              <w:rPr>
                <w:szCs w:val="18"/>
              </w:rPr>
              <w:t>Primary industries</w:t>
            </w:r>
          </w:p>
        </w:tc>
        <w:tc>
          <w:tcPr>
            <w:tcW w:w="6379" w:type="dxa"/>
          </w:tcPr>
          <w:p w14:paraId="630BC203" w14:textId="77777777" w:rsidR="00697651" w:rsidRPr="000F5EDD" w:rsidRDefault="00697651">
            <w:pPr>
              <w:pStyle w:val="TableText"/>
              <w:cnfStyle w:val="000000000000" w:firstRow="0" w:lastRow="0" w:firstColumn="0" w:lastColumn="0" w:oddVBand="0" w:evenVBand="0" w:oddHBand="0" w:evenHBand="0" w:firstRowFirstColumn="0" w:firstRowLastColumn="0" w:lastRowFirstColumn="0" w:lastRowLastColumn="0"/>
              <w:rPr>
                <w:szCs w:val="18"/>
              </w:rPr>
            </w:pPr>
            <w:r w:rsidRPr="000F5EDD">
              <w:rPr>
                <w:szCs w:val="18"/>
              </w:rPr>
              <w:t>Droughts have had negative impacts across agricultural sectors. For example, extreme heat is detrimental to livestock welfare and can reduce growth and reproduction rates, as well as causing death. Pasture production is changing in response to climate-related factors. Heavy rain events may result in slips, pasture inundation, destruction of on-farm infrastructure and loss of stock.</w:t>
            </w:r>
          </w:p>
          <w:p w14:paraId="551EE234" w14:textId="77777777" w:rsidR="00697651" w:rsidRPr="000F5EDD" w:rsidRDefault="00697651">
            <w:pPr>
              <w:pStyle w:val="TableText"/>
              <w:cnfStyle w:val="000000000000" w:firstRow="0" w:lastRow="0" w:firstColumn="0" w:lastColumn="0" w:oddVBand="0" w:evenVBand="0" w:oddHBand="0" w:evenHBand="0" w:firstRowFirstColumn="0" w:firstRowLastColumn="0" w:lastRowFirstColumn="0" w:lastRowLastColumn="0"/>
              <w:rPr>
                <w:szCs w:val="18"/>
              </w:rPr>
            </w:pPr>
            <w:r w:rsidRPr="000F5EDD">
              <w:rPr>
                <w:szCs w:val="18"/>
              </w:rPr>
              <w:t xml:space="preserve">Although evidence of climate change impacts on crops and forest growth patterns remains limited, some impacts have been noted. For example, a decreased winter chill has contributed to both an early harvest for the kiwifruit industry and elevated energy (refrigeration) demands. </w:t>
            </w:r>
          </w:p>
          <w:p w14:paraId="1CD8BB10" w14:textId="77777777" w:rsidR="00697651" w:rsidRPr="000F5EDD" w:rsidRDefault="00697651">
            <w:pPr>
              <w:pStyle w:val="TableText"/>
              <w:cnfStyle w:val="000000000000" w:firstRow="0" w:lastRow="0" w:firstColumn="0" w:lastColumn="0" w:oddVBand="0" w:evenVBand="0" w:oddHBand="0" w:evenHBand="0" w:firstRowFirstColumn="0" w:firstRowLastColumn="0" w:lastRowFirstColumn="0" w:lastRowLastColumn="0"/>
              <w:rPr>
                <w:szCs w:val="18"/>
              </w:rPr>
            </w:pPr>
            <w:r w:rsidRPr="000F5EDD">
              <w:rPr>
                <w:szCs w:val="18"/>
              </w:rPr>
              <w:t>Climate change has resulted in habitat loss and distribution shifts for fisheries species. Aquaculture (eg, farmed salmon) experienced significant losses during a heatwave.</w:t>
            </w:r>
          </w:p>
        </w:tc>
        <w:tc>
          <w:tcPr>
            <w:tcW w:w="6492" w:type="dxa"/>
          </w:tcPr>
          <w:p w14:paraId="418D03F1" w14:textId="77777777" w:rsidR="00697651" w:rsidRPr="000F5EDD" w:rsidRDefault="00697651">
            <w:pPr>
              <w:pStyle w:val="TableText"/>
              <w:cnfStyle w:val="000000000000" w:firstRow="0" w:lastRow="0" w:firstColumn="0" w:lastColumn="0" w:oddVBand="0" w:evenVBand="0" w:oddHBand="0" w:evenHBand="0" w:firstRowFirstColumn="0" w:firstRowLastColumn="0" w:lastRowFirstColumn="0" w:lastRowLastColumn="0"/>
              <w:rPr>
                <w:szCs w:val="18"/>
              </w:rPr>
            </w:pPr>
            <w:r w:rsidRPr="000F5EDD">
              <w:rPr>
                <w:szCs w:val="18"/>
              </w:rPr>
              <w:t>The seasonality of pasture growth rates may be affected more than their yield. Changing temperature and rainfall patterns may increase winter yields of some crops but reduce the yield of others that rely on winter chill. An overall decline in crop yield and quality is expected with rising temperatures. Land and on-farm infrastructure may suffer increased damage due to heavy precipitation events. Higher carbon dioxide is anticipated to contribute to increased productivity of pine (</w:t>
            </w:r>
            <w:r w:rsidRPr="000F5EDD">
              <w:rPr>
                <w:i/>
                <w:szCs w:val="18"/>
              </w:rPr>
              <w:t>Pinus radiata</w:t>
            </w:r>
            <w:r w:rsidRPr="000F5EDD">
              <w:rPr>
                <w:szCs w:val="18"/>
              </w:rPr>
              <w:t xml:space="preserve">) plantations. </w:t>
            </w:r>
          </w:p>
          <w:p w14:paraId="59DD180E" w14:textId="77777777" w:rsidR="00697651" w:rsidRPr="000F5EDD" w:rsidRDefault="00697651">
            <w:pPr>
              <w:pStyle w:val="TableText"/>
              <w:cnfStyle w:val="000000000000" w:firstRow="0" w:lastRow="0" w:firstColumn="0" w:lastColumn="0" w:oddVBand="0" w:evenVBand="0" w:oddHBand="0" w:evenHBand="0" w:firstRowFirstColumn="0" w:firstRowLastColumn="0" w:lastRowFirstColumn="0" w:lastRowLastColumn="0"/>
              <w:rPr>
                <w:szCs w:val="18"/>
              </w:rPr>
            </w:pPr>
            <w:r w:rsidRPr="000F5EDD">
              <w:rPr>
                <w:szCs w:val="18"/>
              </w:rPr>
              <w:t>Warmer temperatures and extreme weather events will negatively impact livestock productivity and welfare. Distributions of invasive pests and diseases will change and new incursions will occur. Climate change may negatively affect beneficial insects. The aquaculture industry will likely be able to reduce exposure to changing climatic conditions more easily than wild fisheries; however, a decline in shellfish yields is expected as these are vulnerable to ocean acidification.</w:t>
            </w:r>
          </w:p>
        </w:tc>
      </w:tr>
      <w:tr w:rsidR="00697651" w:rsidRPr="00BB785B" w14:paraId="3055057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top w:val="none" w:sz="0" w:space="0" w:color="auto"/>
              <w:left w:val="none" w:sz="0" w:space="0" w:color="auto"/>
              <w:bottom w:val="none" w:sz="0" w:space="0" w:color="auto"/>
            </w:tcBorders>
          </w:tcPr>
          <w:p w14:paraId="5A1C0949" w14:textId="77777777" w:rsidR="00697651" w:rsidRPr="00BB785B" w:rsidRDefault="00697651">
            <w:pPr>
              <w:pStyle w:val="TableText"/>
              <w:rPr>
                <w:szCs w:val="18"/>
              </w:rPr>
            </w:pPr>
            <w:r w:rsidRPr="00BB785B">
              <w:rPr>
                <w:szCs w:val="18"/>
              </w:rPr>
              <w:t>Built environment</w:t>
            </w:r>
          </w:p>
        </w:tc>
        <w:tc>
          <w:tcPr>
            <w:tcW w:w="6379" w:type="dxa"/>
            <w:tcBorders>
              <w:top w:val="none" w:sz="0" w:space="0" w:color="auto"/>
              <w:bottom w:val="none" w:sz="0" w:space="0" w:color="auto"/>
            </w:tcBorders>
          </w:tcPr>
          <w:p w14:paraId="009D0DB7" w14:textId="77777777" w:rsidR="00697651" w:rsidRPr="00BB785B" w:rsidRDefault="00697651">
            <w:pPr>
              <w:pStyle w:val="TableText"/>
              <w:cnfStyle w:val="000000100000" w:firstRow="0" w:lastRow="0" w:firstColumn="0" w:lastColumn="0" w:oddVBand="0" w:evenVBand="0" w:oddHBand="1" w:evenHBand="0" w:firstRowFirstColumn="0" w:firstRowLastColumn="0" w:lastRowFirstColumn="0" w:lastRowLastColumn="0"/>
              <w:rPr>
                <w:szCs w:val="18"/>
              </w:rPr>
            </w:pPr>
            <w:r w:rsidRPr="00BB785B">
              <w:rPr>
                <w:szCs w:val="18"/>
              </w:rPr>
              <w:t>Gradual changes to the climate and extreme weather events are having increasing effects on human settlements and the infrastructure that provides the essential services underpinning New Zealand’s economy and society. For example:</w:t>
            </w:r>
          </w:p>
          <w:p w14:paraId="2423D0F1" w14:textId="77777777" w:rsidR="00697651" w:rsidRPr="00BB785B" w:rsidRDefault="00697651">
            <w:pPr>
              <w:pStyle w:val="TableBullet"/>
              <w:cnfStyle w:val="000000100000" w:firstRow="0" w:lastRow="0" w:firstColumn="0" w:lastColumn="0" w:oddVBand="0" w:evenVBand="0" w:oddHBand="1" w:evenHBand="0" w:firstRowFirstColumn="0" w:firstRowLastColumn="0" w:lastRowFirstColumn="0" w:lastRowLastColumn="0"/>
              <w:rPr>
                <w:szCs w:val="18"/>
              </w:rPr>
            </w:pPr>
            <w:r w:rsidRPr="00BB785B">
              <w:rPr>
                <w:szCs w:val="18"/>
              </w:rPr>
              <w:t>sea-level rise is a risk to many urban centres and critical infrastructure, including transport and water networks, and major ports and airports</w:t>
            </w:r>
          </w:p>
          <w:p w14:paraId="0D136E85" w14:textId="77777777" w:rsidR="00697651" w:rsidRPr="00BB785B" w:rsidRDefault="00697651">
            <w:pPr>
              <w:pStyle w:val="TableBullet"/>
              <w:spacing w:after="40"/>
              <w:cnfStyle w:val="000000100000" w:firstRow="0" w:lastRow="0" w:firstColumn="0" w:lastColumn="0" w:oddVBand="0" w:evenVBand="0" w:oddHBand="1" w:evenHBand="0" w:firstRowFirstColumn="0" w:firstRowLastColumn="0" w:lastRowFirstColumn="0" w:lastRowLastColumn="0"/>
              <w:rPr>
                <w:szCs w:val="18"/>
              </w:rPr>
            </w:pPr>
            <w:r w:rsidRPr="00BB785B">
              <w:rPr>
                <w:szCs w:val="18"/>
              </w:rPr>
              <w:t>changing rainfall patterns impact dam levels and, in turn, electricity generation and potable water supply</w:t>
            </w:r>
          </w:p>
          <w:p w14:paraId="3D838F70" w14:textId="77777777" w:rsidR="00697651" w:rsidRPr="00BB785B" w:rsidRDefault="00697651">
            <w:pPr>
              <w:pStyle w:val="TableBullet"/>
              <w:spacing w:after="40"/>
              <w:cnfStyle w:val="000000100000" w:firstRow="0" w:lastRow="0" w:firstColumn="0" w:lastColumn="0" w:oddVBand="0" w:evenVBand="0" w:oddHBand="1" w:evenHBand="0" w:firstRowFirstColumn="0" w:firstRowLastColumn="0" w:lastRowFirstColumn="0" w:lastRowLastColumn="0"/>
              <w:rPr>
                <w:szCs w:val="18"/>
              </w:rPr>
            </w:pPr>
            <w:r w:rsidRPr="00BB785B">
              <w:rPr>
                <w:szCs w:val="18"/>
              </w:rPr>
              <w:t xml:space="preserve">extreme weather is more frequently disrupting energy transmission and distribution, telecommunications and transport networks. </w:t>
            </w:r>
          </w:p>
          <w:p w14:paraId="7B2296D6" w14:textId="77777777" w:rsidR="00697651" w:rsidRPr="00BB785B" w:rsidRDefault="00697651">
            <w:pPr>
              <w:pStyle w:val="TableText"/>
              <w:spacing w:after="40"/>
              <w:cnfStyle w:val="000000100000" w:firstRow="0" w:lastRow="0" w:firstColumn="0" w:lastColumn="0" w:oddVBand="0" w:evenVBand="0" w:oddHBand="1" w:evenHBand="0" w:firstRowFirstColumn="0" w:firstRowLastColumn="0" w:lastRowFirstColumn="0" w:lastRowLastColumn="0"/>
              <w:rPr>
                <w:szCs w:val="18"/>
              </w:rPr>
            </w:pPr>
            <w:r w:rsidRPr="00BB785B">
              <w:rPr>
                <w:szCs w:val="18"/>
              </w:rPr>
              <w:t>Because of the interdependencies between different parts of New Zealand’s infrastructure, an outage in one sector or region has cascading impacts across the rest of the infrastructure system – disrupting services like payment systems and health services. Impacts are often disproportionate, felt in particular by those least able to adapt. The result is to exacerbate existing inequities and in turn increase pressure on health and social support services.</w:t>
            </w:r>
          </w:p>
          <w:p w14:paraId="79017B7C" w14:textId="77777777" w:rsidR="00697651" w:rsidRPr="00BB785B" w:rsidRDefault="00697651">
            <w:pPr>
              <w:pStyle w:val="TableText"/>
              <w:spacing w:after="40"/>
              <w:cnfStyle w:val="000000100000" w:firstRow="0" w:lastRow="0" w:firstColumn="0" w:lastColumn="0" w:oddVBand="0" w:evenVBand="0" w:oddHBand="1" w:evenHBand="0" w:firstRowFirstColumn="0" w:firstRowLastColumn="0" w:lastRowFirstColumn="0" w:lastRowLastColumn="0"/>
              <w:rPr>
                <w:szCs w:val="18"/>
              </w:rPr>
            </w:pPr>
            <w:r w:rsidRPr="00BB785B">
              <w:rPr>
                <w:szCs w:val="18"/>
              </w:rPr>
              <w:t>The 12 costliest floods in the decade to 2017 led to costs for damage related to climate change that amounted to almost 30 per cent (NZ$140.48 million) of total insured losses.</w:t>
            </w:r>
          </w:p>
          <w:p w14:paraId="48EB4C0B" w14:textId="77777777" w:rsidR="00697651" w:rsidRPr="00BB785B" w:rsidRDefault="00697651">
            <w:pPr>
              <w:pStyle w:val="TableText"/>
              <w:cnfStyle w:val="000000100000" w:firstRow="0" w:lastRow="0" w:firstColumn="0" w:lastColumn="0" w:oddVBand="0" w:evenVBand="0" w:oddHBand="1" w:evenHBand="0" w:firstRowFirstColumn="0" w:firstRowLastColumn="0" w:lastRowFirstColumn="0" w:lastRowLastColumn="0"/>
              <w:rPr>
                <w:szCs w:val="18"/>
              </w:rPr>
            </w:pPr>
            <w:r w:rsidRPr="75ADBAC8">
              <w:t>Around 750,000 New Zealanders live near rivers and in coastal areas already exposed to extreme flooding. These areas include major urban centres and in total contain 500,000 buildings worth more than NZ$145 billion.</w:t>
            </w:r>
            <w:r w:rsidRPr="00BB785B">
              <w:rPr>
                <w:rStyle w:val="FootnoteReference"/>
                <w:sz w:val="18"/>
                <w:szCs w:val="18"/>
              </w:rPr>
              <w:footnoteReference w:id="235"/>
            </w:r>
          </w:p>
        </w:tc>
        <w:tc>
          <w:tcPr>
            <w:tcW w:w="6492" w:type="dxa"/>
            <w:tcBorders>
              <w:top w:val="none" w:sz="0" w:space="0" w:color="auto"/>
              <w:bottom w:val="none" w:sz="0" w:space="0" w:color="auto"/>
              <w:right w:val="none" w:sz="0" w:space="0" w:color="auto"/>
            </w:tcBorders>
          </w:tcPr>
          <w:p w14:paraId="05D10F8D" w14:textId="77777777" w:rsidR="00697651" w:rsidRPr="00BB785B" w:rsidRDefault="00697651">
            <w:pPr>
              <w:pStyle w:val="TableText"/>
              <w:cnfStyle w:val="000000100000" w:firstRow="0" w:lastRow="0" w:firstColumn="0" w:lastColumn="0" w:oddVBand="0" w:evenVBand="0" w:oddHBand="1" w:evenHBand="0" w:firstRowFirstColumn="0" w:firstRowLastColumn="0" w:lastRowFirstColumn="0" w:lastRowLastColumn="0"/>
              <w:rPr>
                <w:szCs w:val="18"/>
              </w:rPr>
            </w:pPr>
            <w:r w:rsidRPr="00BB785B">
              <w:rPr>
                <w:szCs w:val="18"/>
              </w:rPr>
              <w:t>Urban centres, other settlements and infrastructure are expected to experience more detrimental effects due to climate change.</w:t>
            </w:r>
          </w:p>
          <w:p w14:paraId="404E47A0" w14:textId="77777777" w:rsidR="00697651" w:rsidRPr="00BB785B" w:rsidRDefault="00697651">
            <w:pPr>
              <w:pStyle w:val="TableBullet"/>
              <w:cnfStyle w:val="000000100000" w:firstRow="0" w:lastRow="0" w:firstColumn="0" w:lastColumn="0" w:oddVBand="0" w:evenVBand="0" w:oddHBand="1" w:evenHBand="0" w:firstRowFirstColumn="0" w:firstRowLastColumn="0" w:lastRowFirstColumn="0" w:lastRowLastColumn="0"/>
              <w:rPr>
                <w:szCs w:val="18"/>
              </w:rPr>
            </w:pPr>
            <w:r w:rsidRPr="00BB785B">
              <w:rPr>
                <w:szCs w:val="18"/>
              </w:rPr>
              <w:t>An estimated NZ$25.5 billion of assets will be exposed to a 1-metre sea-level rise. By 2050, infrastructure (eg, transport, water, electricity and telecommunication networks, ports, airports and landfills) close to the coast or rivers will be at increased risk.</w:t>
            </w:r>
          </w:p>
          <w:p w14:paraId="161E8FD5" w14:textId="4A735E53" w:rsidR="00697651" w:rsidRPr="00BB785B" w:rsidRDefault="00697651">
            <w:pPr>
              <w:pStyle w:val="TableBullet"/>
              <w:spacing w:after="40"/>
              <w:cnfStyle w:val="000000100000" w:firstRow="0" w:lastRow="0" w:firstColumn="0" w:lastColumn="0" w:oddVBand="0" w:evenVBand="0" w:oddHBand="1" w:evenHBand="0" w:firstRowFirstColumn="0" w:firstRowLastColumn="0" w:lastRowFirstColumn="0" w:lastRowLastColumn="0"/>
              <w:rPr>
                <w:szCs w:val="18"/>
              </w:rPr>
            </w:pPr>
            <w:r w:rsidRPr="00BB785B">
              <w:rPr>
                <w:szCs w:val="18"/>
              </w:rPr>
              <w:t xml:space="preserve">Extreme weather events will become increasingly frequent, impacting homes, buildings and infrastructure directly. They will also impact supply chains, making it more difficult for New Zealand to access the goods and services needed to build, maintain and repair the </w:t>
            </w:r>
            <w:r w:rsidR="00E3661A" w:rsidRPr="00BB785B">
              <w:rPr>
                <w:szCs w:val="18"/>
              </w:rPr>
              <w:t>built environment</w:t>
            </w:r>
            <w:r w:rsidRPr="00BB785B">
              <w:rPr>
                <w:szCs w:val="18"/>
              </w:rPr>
              <w:t>.</w:t>
            </w:r>
          </w:p>
          <w:p w14:paraId="2D809587" w14:textId="77777777" w:rsidR="00697651" w:rsidRPr="00BB785B" w:rsidRDefault="00697651">
            <w:pPr>
              <w:pStyle w:val="TableBullet"/>
              <w:spacing w:after="40"/>
              <w:cnfStyle w:val="000000100000" w:firstRow="0" w:lastRow="0" w:firstColumn="0" w:lastColumn="0" w:oddVBand="0" w:evenVBand="0" w:oddHBand="1" w:evenHBand="0" w:firstRowFirstColumn="0" w:firstRowLastColumn="0" w:lastRowFirstColumn="0" w:lastRowLastColumn="0"/>
              <w:rPr>
                <w:szCs w:val="18"/>
              </w:rPr>
            </w:pPr>
            <w:r w:rsidRPr="75ADBAC8">
              <w:t>Electricity heating demands are predicted to decrease slightly, due to higher temperatures and improved energy efficiency.</w:t>
            </w:r>
            <w:r w:rsidRPr="75ADBAC8">
              <w:rPr>
                <w:rFonts w:cs="Calibri"/>
                <w:lang w:eastAsia="en-US" w:bidi="th-TH"/>
              </w:rPr>
              <w:t xml:space="preserve"> </w:t>
            </w:r>
            <w:r w:rsidRPr="75ADBAC8">
              <w:t>Changes in rainfall patterns and snow cover will make hydro-generation less reliable. When that reduced reliability is coupled with a predicted net increase in electricity demand, significant additional generation capacity will be required.</w:t>
            </w:r>
            <w:r w:rsidRPr="00BB785B">
              <w:rPr>
                <w:rStyle w:val="FootnoteReference"/>
                <w:sz w:val="18"/>
                <w:szCs w:val="18"/>
              </w:rPr>
              <w:footnoteReference w:id="236"/>
            </w:r>
            <w:r w:rsidRPr="75ADBAC8">
              <w:t xml:space="preserve"> New Zealand has renewable generation potential (particularly wind and geothermal resources) to meet the majority of this demand in a way that is consistent with emissions reduction targets.</w:t>
            </w:r>
            <w:r w:rsidRPr="00BB785B">
              <w:rPr>
                <w:rStyle w:val="FootnoteReference"/>
                <w:sz w:val="18"/>
                <w:szCs w:val="18"/>
              </w:rPr>
              <w:footnoteReference w:id="237"/>
            </w:r>
          </w:p>
          <w:p w14:paraId="38F529E5" w14:textId="77777777" w:rsidR="00697651" w:rsidRPr="00BB785B" w:rsidRDefault="00697651">
            <w:pPr>
              <w:pStyle w:val="TableText"/>
              <w:cnfStyle w:val="000000100000" w:firstRow="0" w:lastRow="0" w:firstColumn="0" w:lastColumn="0" w:oddVBand="0" w:evenVBand="0" w:oddHBand="1" w:evenHBand="0" w:firstRowFirstColumn="0" w:firstRowLastColumn="0" w:lastRowFirstColumn="0" w:lastRowLastColumn="0"/>
              <w:rPr>
                <w:szCs w:val="18"/>
              </w:rPr>
            </w:pPr>
            <w:r w:rsidRPr="00BB785B">
              <w:rPr>
                <w:szCs w:val="18"/>
              </w:rPr>
              <w:t>These disruptions may increase the risk of lower productivity and less social cohesion, making New Zealand less attractive to investors, as well as impacting lives and livelihoods.</w:t>
            </w:r>
          </w:p>
        </w:tc>
      </w:tr>
      <w:tr w:rsidR="00697651" w:rsidRPr="000F5EDD" w14:paraId="47AB0AE8" w14:textId="77777777">
        <w:tc>
          <w:tcPr>
            <w:cnfStyle w:val="001000000000" w:firstRow="0" w:lastRow="0" w:firstColumn="1" w:lastColumn="0" w:oddVBand="0" w:evenVBand="0" w:oddHBand="0" w:evenHBand="0" w:firstRowFirstColumn="0" w:firstRowLastColumn="0" w:lastRowFirstColumn="0" w:lastRowLastColumn="0"/>
            <w:tcW w:w="1696" w:type="dxa"/>
          </w:tcPr>
          <w:p w14:paraId="48BF86D0" w14:textId="77777777" w:rsidR="00697651" w:rsidRPr="000F5EDD" w:rsidRDefault="00697651">
            <w:pPr>
              <w:pStyle w:val="TableText"/>
              <w:rPr>
                <w:szCs w:val="18"/>
              </w:rPr>
            </w:pPr>
            <w:r w:rsidRPr="000F5EDD">
              <w:rPr>
                <w:szCs w:val="18"/>
              </w:rPr>
              <w:t>Economic sector</w:t>
            </w:r>
          </w:p>
        </w:tc>
        <w:tc>
          <w:tcPr>
            <w:tcW w:w="6379" w:type="dxa"/>
          </w:tcPr>
          <w:p w14:paraId="76A3B892" w14:textId="77777777" w:rsidR="00697651" w:rsidRPr="000F5EDD" w:rsidRDefault="00697651">
            <w:pPr>
              <w:pStyle w:val="TableText"/>
              <w:spacing w:after="40"/>
              <w:cnfStyle w:val="000000000000" w:firstRow="0" w:lastRow="0" w:firstColumn="0" w:lastColumn="0" w:oddVBand="0" w:evenVBand="0" w:oddHBand="0" w:evenHBand="0" w:firstRowFirstColumn="0" w:firstRowLastColumn="0" w:lastRowFirstColumn="0" w:lastRowLastColumn="0"/>
              <w:rPr>
                <w:szCs w:val="18"/>
              </w:rPr>
            </w:pPr>
            <w:r w:rsidRPr="000F5EDD">
              <w:rPr>
                <w:szCs w:val="18"/>
              </w:rPr>
              <w:t xml:space="preserve">Because New Zealand’s tourism sector relies on natural attractions and outdoor activities, climate change is already affecting tourism. For example, the Fox Glacier and Franz Josef Glacier have retreated (around 700 metres since 2008) and heavy rainfall has damaged the Great Walks, closing some. </w:t>
            </w:r>
          </w:p>
          <w:p w14:paraId="01EC9F2C" w14:textId="77777777" w:rsidR="00697651" w:rsidRPr="000F5EDD" w:rsidRDefault="00697651">
            <w:pPr>
              <w:pStyle w:val="TableText"/>
              <w:cnfStyle w:val="000000000000" w:firstRow="0" w:lastRow="0" w:firstColumn="0" w:lastColumn="0" w:oddVBand="0" w:evenVBand="0" w:oddHBand="0" w:evenHBand="0" w:firstRowFirstColumn="0" w:firstRowLastColumn="0" w:lastRowFirstColumn="0" w:lastRowLastColumn="0"/>
              <w:rPr>
                <w:szCs w:val="18"/>
              </w:rPr>
            </w:pPr>
            <w:r w:rsidRPr="000F5EDD">
              <w:rPr>
                <w:szCs w:val="18"/>
              </w:rPr>
              <w:t xml:space="preserve">Climate change poses significant risks to the financial sector. For example, insured losses due to extreme weather events amounted to almost NZ$1 billion between 2013 and 2020, which was 0.4 per cent of gross domestic product. </w:t>
            </w:r>
          </w:p>
          <w:p w14:paraId="6DA2FE46" w14:textId="77777777" w:rsidR="00697651" w:rsidRPr="000F5EDD" w:rsidRDefault="00697651">
            <w:pPr>
              <w:pStyle w:val="TableText"/>
              <w:cnfStyle w:val="000000000000" w:firstRow="0" w:lastRow="0" w:firstColumn="0" w:lastColumn="0" w:oddVBand="0" w:evenVBand="0" w:oddHBand="0" w:evenHBand="0" w:firstRowFirstColumn="0" w:firstRowLastColumn="0" w:lastRowFirstColumn="0" w:lastRowLastColumn="0"/>
              <w:rPr>
                <w:szCs w:val="18"/>
              </w:rPr>
            </w:pPr>
            <w:r w:rsidRPr="75ADBAC8">
              <w:t>Adverse weather and transport network disruption are already increasingly cited as reasons for supply chain disruption.</w:t>
            </w:r>
            <w:r w:rsidRPr="000F5EDD">
              <w:rPr>
                <w:rStyle w:val="FootnoteReference"/>
                <w:sz w:val="18"/>
                <w:szCs w:val="18"/>
              </w:rPr>
              <w:footnoteReference w:id="238"/>
            </w:r>
          </w:p>
          <w:p w14:paraId="2101B27A" w14:textId="77777777" w:rsidR="00697651" w:rsidRPr="000F5EDD" w:rsidRDefault="00697651">
            <w:pPr>
              <w:pStyle w:val="TableText"/>
              <w:cnfStyle w:val="000000000000" w:firstRow="0" w:lastRow="0" w:firstColumn="0" w:lastColumn="0" w:oddVBand="0" w:evenVBand="0" w:oddHBand="0" w:evenHBand="0" w:firstRowFirstColumn="0" w:firstRowLastColumn="0" w:lastRowFirstColumn="0" w:lastRowLastColumn="0"/>
              <w:rPr>
                <w:szCs w:val="18"/>
              </w:rPr>
            </w:pPr>
            <w:r w:rsidRPr="75ADBAC8">
              <w:t>As a result of Cyclone Gabrielle, Cyclone Hale and the Auckland Anniversary floodings, primary industries experienced an estimated loss of output of NZ$400 million to NZ$600 million over the first half of 2023. An average of NZ$100 million loss per year is also anticipated in future due to loss of capital assets.</w:t>
            </w:r>
            <w:r w:rsidRPr="000F5EDD">
              <w:rPr>
                <w:rStyle w:val="FootnoteReference"/>
                <w:sz w:val="18"/>
                <w:szCs w:val="18"/>
              </w:rPr>
              <w:footnoteReference w:id="239"/>
            </w:r>
            <w:r w:rsidRPr="000F5EDD">
              <w:rPr>
                <w:szCs w:val="18"/>
              </w:rPr>
              <w:t xml:space="preserve"> </w:t>
            </w:r>
          </w:p>
        </w:tc>
        <w:tc>
          <w:tcPr>
            <w:tcW w:w="6492" w:type="dxa"/>
          </w:tcPr>
          <w:p w14:paraId="5928C437" w14:textId="77777777" w:rsidR="00697651" w:rsidRPr="000F5EDD" w:rsidRDefault="00697651">
            <w:pPr>
              <w:pStyle w:val="TableText"/>
              <w:spacing w:after="40"/>
              <w:cnfStyle w:val="000000000000" w:firstRow="0" w:lastRow="0" w:firstColumn="0" w:lastColumn="0" w:oddVBand="0" w:evenVBand="0" w:oddHBand="0" w:evenHBand="0" w:firstRowFirstColumn="0" w:firstRowLastColumn="0" w:lastRowFirstColumn="0" w:lastRowLastColumn="0"/>
              <w:rPr>
                <w:szCs w:val="18"/>
              </w:rPr>
            </w:pPr>
            <w:r w:rsidRPr="000F5EDD">
              <w:rPr>
                <w:szCs w:val="18"/>
              </w:rPr>
              <w:t>Climate change is likely to have continued widespread negative effects on tourism. For example, the volume of the South Island glaciers is expected to reduce further and snow skiing will be negatively affected.</w:t>
            </w:r>
          </w:p>
          <w:p w14:paraId="0BFC6047" w14:textId="77777777" w:rsidR="00697651" w:rsidRPr="000F5EDD" w:rsidRDefault="00697651">
            <w:pPr>
              <w:pStyle w:val="TableText"/>
              <w:cnfStyle w:val="000000000000" w:firstRow="0" w:lastRow="0" w:firstColumn="0" w:lastColumn="0" w:oddVBand="0" w:evenVBand="0" w:oddHBand="0" w:evenHBand="0" w:firstRowFirstColumn="0" w:firstRowLastColumn="0" w:lastRowFirstColumn="0" w:lastRowLastColumn="0"/>
              <w:rPr>
                <w:szCs w:val="18"/>
              </w:rPr>
            </w:pPr>
            <w:r w:rsidRPr="75ADBAC8">
              <w:t>The finance sector will also be exposed to greater risks. The Reserve Bank of New Zealand found that modelled dividends were projected to be nearly 40% lower and profits 25% lower by 2050. However, the modelled scenario did not threaten bank solvency or financial stability, with banks able to maintain their capital ratios.</w:t>
            </w:r>
            <w:r w:rsidRPr="000F5EDD">
              <w:rPr>
                <w:rStyle w:val="FootnoteReference"/>
                <w:sz w:val="18"/>
                <w:szCs w:val="18"/>
              </w:rPr>
              <w:footnoteReference w:id="240"/>
            </w:r>
          </w:p>
          <w:p w14:paraId="6C0645A7" w14:textId="77777777" w:rsidR="00697651" w:rsidRPr="000F5EDD" w:rsidRDefault="00697651">
            <w:pPr>
              <w:pStyle w:val="TableText"/>
              <w:cnfStyle w:val="000000000000" w:firstRow="0" w:lastRow="0" w:firstColumn="0" w:lastColumn="0" w:oddVBand="0" w:evenVBand="0" w:oddHBand="0" w:evenHBand="0" w:firstRowFirstColumn="0" w:firstRowLastColumn="0" w:lastRowFirstColumn="0" w:lastRowLastColumn="0"/>
              <w:rPr>
                <w:szCs w:val="18"/>
              </w:rPr>
            </w:pPr>
            <w:r w:rsidRPr="75ADBAC8">
              <w:t>Factors such as flooding, fire and soil damage will contribute to lower property values, higher insurance costs and challenges in servicing loans. Supply chains are likely to be disrupted by acute hazards such as flooding, fire and landslides, or gradual changes such as sea-level rise, changes in seasonality, drought and erosion.</w:t>
            </w:r>
            <w:r w:rsidRPr="000F5EDD">
              <w:rPr>
                <w:rStyle w:val="FootnoteReference"/>
                <w:sz w:val="18"/>
                <w:szCs w:val="18"/>
              </w:rPr>
              <w:footnoteReference w:id="241"/>
            </w:r>
            <w:r w:rsidRPr="75ADBAC8">
              <w:t xml:space="preserve"> The value of buildings exposed to coastal inundation could increase by NZ$2.55 billion for every 0.1-metre increment in sea level. More information is needed on distributional impacts, the rate of change of costs over time, and the economic implications of delayed action.</w:t>
            </w:r>
          </w:p>
        </w:tc>
      </w:tr>
      <w:tr w:rsidR="00697651" w:rsidRPr="000F5EDD" w14:paraId="6A68984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top w:val="none" w:sz="0" w:space="0" w:color="auto"/>
              <w:left w:val="none" w:sz="0" w:space="0" w:color="auto"/>
              <w:bottom w:val="none" w:sz="0" w:space="0" w:color="auto"/>
            </w:tcBorders>
          </w:tcPr>
          <w:p w14:paraId="07CE4E36" w14:textId="77777777" w:rsidR="00697651" w:rsidRPr="000F5EDD" w:rsidRDefault="00697651">
            <w:pPr>
              <w:pStyle w:val="TableText"/>
              <w:rPr>
                <w:szCs w:val="18"/>
              </w:rPr>
            </w:pPr>
            <w:r w:rsidRPr="000F5EDD">
              <w:rPr>
                <w:szCs w:val="18"/>
              </w:rPr>
              <w:t>Health and communities</w:t>
            </w:r>
          </w:p>
        </w:tc>
        <w:tc>
          <w:tcPr>
            <w:tcW w:w="6379" w:type="dxa"/>
            <w:tcBorders>
              <w:top w:val="none" w:sz="0" w:space="0" w:color="auto"/>
              <w:bottom w:val="none" w:sz="0" w:space="0" w:color="auto"/>
            </w:tcBorders>
          </w:tcPr>
          <w:p w14:paraId="109B1EA0" w14:textId="77777777" w:rsidR="00697651" w:rsidRPr="000F5EDD" w:rsidRDefault="00697651">
            <w:pPr>
              <w:pStyle w:val="TableText"/>
              <w:cnfStyle w:val="000000100000" w:firstRow="0" w:lastRow="0" w:firstColumn="0" w:lastColumn="0" w:oddVBand="0" w:evenVBand="0" w:oddHBand="1" w:evenHBand="0" w:firstRowFirstColumn="0" w:firstRowLastColumn="0" w:lastRowFirstColumn="0" w:lastRowLastColumn="0"/>
              <w:rPr>
                <w:szCs w:val="18"/>
              </w:rPr>
            </w:pPr>
            <w:r w:rsidRPr="000F5EDD">
              <w:rPr>
                <w:szCs w:val="18"/>
              </w:rPr>
              <w:t>Severe weather events and increasing temperatures are linked to negative health impacts. New Zealand has experienced an increasing incidence of introduced diseases, such as dengue fever.</w:t>
            </w:r>
          </w:p>
          <w:p w14:paraId="29F28BA9" w14:textId="77777777" w:rsidR="00697651" w:rsidRPr="000F5EDD" w:rsidRDefault="00697651">
            <w:pPr>
              <w:pStyle w:val="TableText"/>
              <w:cnfStyle w:val="000000100000" w:firstRow="0" w:lastRow="0" w:firstColumn="0" w:lastColumn="0" w:oddVBand="0" w:evenVBand="0" w:oddHBand="1" w:evenHBand="0" w:firstRowFirstColumn="0" w:firstRowLastColumn="0" w:lastRowFirstColumn="0" w:lastRowLastColumn="0"/>
              <w:rPr>
                <w:szCs w:val="18"/>
              </w:rPr>
            </w:pPr>
            <w:r w:rsidRPr="000F5EDD">
              <w:rPr>
                <w:szCs w:val="18"/>
              </w:rPr>
              <w:t xml:space="preserve">Rural communities, including many Māori communities living in rural and remote locations, are particularly vulnerable to the impacts of climate change due to road closures and power cuts. Sites of cultural significance, including marae (meeting houses) and urupā (burial grounds), are vulnerable and have been affected. Rural communities have experienced cumulative impacts of climate change – particularly where they rely on one sector, for example, tourism or agriculture, as their main economic activity. </w:t>
            </w:r>
          </w:p>
          <w:p w14:paraId="58E49A53" w14:textId="77777777" w:rsidR="00697651" w:rsidRPr="000F5EDD" w:rsidRDefault="00697651">
            <w:pPr>
              <w:pStyle w:val="TableText"/>
              <w:cnfStyle w:val="000000100000" w:firstRow="0" w:lastRow="0" w:firstColumn="0" w:lastColumn="0" w:oddVBand="0" w:evenVBand="0" w:oddHBand="1" w:evenHBand="0" w:firstRowFirstColumn="0" w:firstRowLastColumn="0" w:lastRowFirstColumn="0" w:lastRowLastColumn="0"/>
              <w:rPr>
                <w:szCs w:val="18"/>
              </w:rPr>
            </w:pPr>
            <w:r w:rsidRPr="000F5EDD">
              <w:rPr>
                <w:szCs w:val="18"/>
              </w:rPr>
              <w:t>Droughts, flooding events and extreme wind conditions can threaten animal welfare and cause financial and emotional stress for rural communities and households.</w:t>
            </w:r>
          </w:p>
        </w:tc>
        <w:tc>
          <w:tcPr>
            <w:tcW w:w="6492" w:type="dxa"/>
            <w:tcBorders>
              <w:top w:val="none" w:sz="0" w:space="0" w:color="auto"/>
              <w:bottom w:val="none" w:sz="0" w:space="0" w:color="auto"/>
              <w:right w:val="none" w:sz="0" w:space="0" w:color="auto"/>
            </w:tcBorders>
          </w:tcPr>
          <w:p w14:paraId="55014A60" w14:textId="77777777" w:rsidR="00697651" w:rsidRPr="000F5EDD" w:rsidRDefault="00697651">
            <w:pPr>
              <w:pStyle w:val="TableText"/>
              <w:cnfStyle w:val="000000100000" w:firstRow="0" w:lastRow="0" w:firstColumn="0" w:lastColumn="0" w:oddVBand="0" w:evenVBand="0" w:oddHBand="1" w:evenHBand="0" w:firstRowFirstColumn="0" w:firstRowLastColumn="0" w:lastRowFirstColumn="0" w:lastRowLastColumn="0"/>
              <w:rPr>
                <w:szCs w:val="18"/>
              </w:rPr>
            </w:pPr>
            <w:r w:rsidRPr="000F5EDD">
              <w:rPr>
                <w:szCs w:val="18"/>
              </w:rPr>
              <w:t>Altered rainfall, floods, heat stress, air pollution and diseases are expected to have negative effects on human health. For example, allergies, drinking water contamination and toxic freshwater blooms may become more common. Socio</w:t>
            </w:r>
            <w:r w:rsidRPr="000F5EDD">
              <w:rPr>
                <w:szCs w:val="18"/>
              </w:rPr>
              <w:noBreakHyphen/>
              <w:t>economic status will influence the extent to which people are vulnerable to these effects.</w:t>
            </w:r>
          </w:p>
          <w:p w14:paraId="2D8F381E" w14:textId="77777777" w:rsidR="00697651" w:rsidRPr="000F5EDD" w:rsidRDefault="00697651">
            <w:pPr>
              <w:pStyle w:val="TableText"/>
              <w:cnfStyle w:val="000000100000" w:firstRow="0" w:lastRow="0" w:firstColumn="0" w:lastColumn="0" w:oddVBand="0" w:evenVBand="0" w:oddHBand="1" w:evenHBand="0" w:firstRowFirstColumn="0" w:firstRowLastColumn="0" w:lastRowFirstColumn="0" w:lastRowLastColumn="0"/>
              <w:rPr>
                <w:szCs w:val="18"/>
              </w:rPr>
            </w:pPr>
            <w:r w:rsidRPr="000F5EDD">
              <w:rPr>
                <w:szCs w:val="18"/>
              </w:rPr>
              <w:t xml:space="preserve">Health inequities are projected to increase due to climate change. Negative impacts on culturally significant sites, fauna and flora increase the risks to Māori wellbeing and cultural identity. Sea-level rise will affect coastal and low-lying Māori land, in turn putting marae and urupā at risk. </w:t>
            </w:r>
          </w:p>
        </w:tc>
      </w:tr>
    </w:tbl>
    <w:p w14:paraId="49A7FE7E" w14:textId="77777777" w:rsidR="00697651" w:rsidRPr="000F5EDD" w:rsidRDefault="00697651" w:rsidP="00697651">
      <w:pPr>
        <w:pStyle w:val="Source"/>
        <w:rPr>
          <w:sz w:val="19"/>
        </w:rPr>
      </w:pPr>
      <w:r w:rsidRPr="000F5EDD">
        <w:rPr>
          <w:shd w:val="clear" w:color="auto" w:fill="FFFFFF"/>
        </w:rPr>
        <w:t>Source (unless otherwise stated): Intergovernmental Panel on Climate Change. 2022. </w:t>
      </w:r>
      <w:hyperlink r:id="rId160" w:tgtFrame="_blank" w:history="1">
        <w:r w:rsidRPr="000F5EDD">
          <w:rPr>
            <w:i/>
            <w:iCs/>
            <w:color w:val="32809C"/>
            <w:shd w:val="clear" w:color="auto" w:fill="FFFFFF"/>
          </w:rPr>
          <w:t>Climate Change 2022: Impacts, Adaptation and Vulnerability</w:t>
        </w:r>
      </w:hyperlink>
      <w:r w:rsidRPr="000F5EDD">
        <w:rPr>
          <w:i/>
          <w:iCs/>
          <w:shd w:val="clear" w:color="auto" w:fill="FFFFFF"/>
        </w:rPr>
        <w:t>.</w:t>
      </w:r>
      <w:r w:rsidRPr="000F5EDD">
        <w:rPr>
          <w:i/>
          <w:shd w:val="clear" w:color="auto" w:fill="FFFFFF"/>
        </w:rPr>
        <w:t xml:space="preserve"> Contribution of Working Group II to the Sixth Assessment Report of the Intergovernmental Panel on Climate Change</w:t>
      </w:r>
      <w:r w:rsidRPr="000F5EDD">
        <w:rPr>
          <w:shd w:val="clear" w:color="auto" w:fill="FFFFFF"/>
        </w:rPr>
        <w:t>. Cambridge: Intergovernmental Panel on Climate Change.</w:t>
      </w:r>
    </w:p>
    <w:p w14:paraId="4CDB01E9" w14:textId="77777777" w:rsidR="00697651" w:rsidRPr="000F5EDD" w:rsidRDefault="00697651" w:rsidP="00697651">
      <w:pPr>
        <w:sectPr w:rsidR="00697651" w:rsidRPr="000F5EDD" w:rsidSect="00697651">
          <w:headerReference w:type="even" r:id="rId161"/>
          <w:headerReference w:type="default" r:id="rId162"/>
          <w:footerReference w:type="default" r:id="rId163"/>
          <w:headerReference w:type="first" r:id="rId164"/>
          <w:pgSz w:w="16840" w:h="11907" w:orient="landscape" w:code="9"/>
          <w:pgMar w:top="1701" w:right="1134" w:bottom="1701" w:left="1134" w:header="567" w:footer="567" w:gutter="0"/>
          <w:cols w:space="720"/>
          <w:docGrid w:linePitch="299"/>
        </w:sectPr>
      </w:pPr>
    </w:p>
    <w:p w14:paraId="08E53532" w14:textId="22E2ABB1" w:rsidR="00697651" w:rsidRPr="000F5EDD" w:rsidRDefault="00697651" w:rsidP="00240F43">
      <w:pPr>
        <w:pStyle w:val="Heading3"/>
        <w:numPr>
          <w:ilvl w:val="0"/>
          <w:numId w:val="52"/>
        </w:numPr>
        <w:ind w:left="993" w:hanging="993"/>
      </w:pPr>
      <w:r w:rsidRPr="000F5EDD">
        <w:t>Assessment of risks and vulnerability to</w:t>
      </w:r>
      <w:r w:rsidR="001075F9">
        <w:t> </w:t>
      </w:r>
      <w:r w:rsidRPr="000F5EDD">
        <w:t>climate change</w:t>
      </w:r>
    </w:p>
    <w:p w14:paraId="5C3661B4" w14:textId="77777777" w:rsidR="00697651" w:rsidRPr="000F5EDD" w:rsidRDefault="00697651" w:rsidP="00697651">
      <w:pPr>
        <w:pStyle w:val="BodyText"/>
        <w:spacing w:after="100"/>
      </w:pPr>
      <w:r w:rsidRPr="000F5EDD">
        <w:t xml:space="preserve">In 2019, the Government published </w:t>
      </w:r>
      <w:r w:rsidRPr="000F5EDD">
        <w:rPr>
          <w:i/>
          <w:iCs/>
        </w:rPr>
        <w:t>Arotakenga Huringa Āhuarangi: A Framework for the National Climate Change Risk Assessment</w:t>
      </w:r>
      <w:r w:rsidRPr="000F5EDD">
        <w:t xml:space="preserve"> </w:t>
      </w:r>
      <w:r w:rsidRPr="000F5EDD">
        <w:rPr>
          <w:i/>
          <w:iCs/>
        </w:rPr>
        <w:t xml:space="preserve">for Aotearoa New Zealand </w:t>
      </w:r>
      <w:r w:rsidRPr="000F5EDD">
        <w:t>to support a consistent approach to defining and assessing risks from climate change at local, regional and national levels.</w:t>
      </w:r>
      <w:r w:rsidRPr="000F5EDD">
        <w:rPr>
          <w:rStyle w:val="FootnoteReference"/>
        </w:rPr>
        <w:footnoteReference w:id="242"/>
      </w:r>
      <w:r w:rsidRPr="000F5EDD">
        <w:t xml:space="preserve"> </w:t>
      </w:r>
    </w:p>
    <w:p w14:paraId="2D4F2C7B" w14:textId="77777777" w:rsidR="00697651" w:rsidRPr="000F5EDD" w:rsidRDefault="00697651" w:rsidP="00697651">
      <w:pPr>
        <w:pStyle w:val="BodyText"/>
        <w:spacing w:after="100"/>
      </w:pPr>
      <w:r w:rsidRPr="000F5EDD">
        <w:t>The framework provides the means to evaluate risks and opportunities from climate change in terms of their nature, severity and urgency using a variety of information sources. It includes a three-stage approach to assessing and comparing risks with templates and guidance materials to help users in following the methodology. The framework was applied in the first National Climate Change Risk Assessment (NCCRA1) in 2020, which provides a national overview of how New Zealand may be affected by climate-related hazards.</w:t>
      </w:r>
      <w:r w:rsidRPr="000F5EDD">
        <w:rPr>
          <w:rStyle w:val="FootnoteReference"/>
        </w:rPr>
        <w:footnoteReference w:id="243"/>
      </w:r>
      <w:r w:rsidRPr="000F5EDD">
        <w:rPr>
          <w:rStyle w:val="FootnoteReference"/>
        </w:rPr>
        <w:t xml:space="preserve"> </w:t>
      </w:r>
    </w:p>
    <w:p w14:paraId="516A2859" w14:textId="77777777" w:rsidR="00697651" w:rsidRPr="000F5EDD" w:rsidRDefault="00697651" w:rsidP="00697651">
      <w:pPr>
        <w:pStyle w:val="BodyText"/>
      </w:pPr>
      <w:r w:rsidRPr="000F5EDD">
        <w:t>The risk assessment was undertaken over three stages, as table 3.3 summarises.</w:t>
      </w:r>
    </w:p>
    <w:p w14:paraId="709ACAFA" w14:textId="0B852551" w:rsidR="00697651" w:rsidRPr="000F5EDD" w:rsidRDefault="00697651" w:rsidP="00697651">
      <w:pPr>
        <w:pStyle w:val="Tableheading"/>
      </w:pPr>
      <w:bookmarkStart w:id="771" w:name="_Ref179360410"/>
      <w:bookmarkStart w:id="772" w:name="_Toc172716718"/>
      <w:bookmarkStart w:id="773" w:name="_Toc178603916"/>
      <w:bookmarkStart w:id="774" w:name="_Toc185407504"/>
      <w:bookmarkStart w:id="775" w:name="_Toc185427767"/>
      <w:r w:rsidRPr="000F5EDD">
        <w:t>Table 3.</w:t>
      </w:r>
      <w:bookmarkEnd w:id="771"/>
      <w:r w:rsidR="00956F93">
        <w:t>3</w:t>
      </w:r>
      <w:r w:rsidRPr="000F5EDD">
        <w:t>:</w:t>
      </w:r>
      <w:r w:rsidRPr="000F5EDD">
        <w:tab/>
        <w:t>Three stages of the first National Climate Change Risk Assessment, 2020</w:t>
      </w:r>
      <w:bookmarkEnd w:id="772"/>
      <w:bookmarkEnd w:id="773"/>
      <w:bookmarkEnd w:id="774"/>
      <w:bookmarkEnd w:id="775"/>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CellMar>
          <w:left w:w="85" w:type="dxa"/>
          <w:right w:w="57" w:type="dxa"/>
        </w:tblCellMar>
        <w:tblLook w:val="04A0" w:firstRow="1" w:lastRow="0" w:firstColumn="1" w:lastColumn="0" w:noHBand="0" w:noVBand="1"/>
      </w:tblPr>
      <w:tblGrid>
        <w:gridCol w:w="1418"/>
        <w:gridCol w:w="2410"/>
        <w:gridCol w:w="2409"/>
        <w:gridCol w:w="2268"/>
      </w:tblGrid>
      <w:tr w:rsidR="00697651" w:rsidRPr="000F5EDD" w14:paraId="0397195B" w14:textId="77777777" w:rsidTr="002636A9">
        <w:trPr>
          <w:tblHeader/>
        </w:trPr>
        <w:tc>
          <w:tcPr>
            <w:tcW w:w="1418" w:type="dxa"/>
            <w:tcBorders>
              <w:top w:val="single" w:sz="4" w:space="0" w:color="1B556B" w:themeColor="text2"/>
              <w:left w:val="nil"/>
              <w:bottom w:val="single" w:sz="4" w:space="0" w:color="1B556B" w:themeColor="text2"/>
              <w:right w:val="single" w:sz="4" w:space="0" w:color="1B556B" w:themeColor="text2"/>
            </w:tcBorders>
            <w:shd w:val="clear" w:color="auto" w:fill="1B556B" w:themeFill="text2"/>
            <w:hideMark/>
          </w:tcPr>
          <w:p w14:paraId="7D69C131" w14:textId="77777777" w:rsidR="00697651" w:rsidRPr="000F5EDD" w:rsidRDefault="00697651">
            <w:pPr>
              <w:pStyle w:val="TableText"/>
              <w:spacing w:before="40" w:after="40"/>
              <w:jc w:val="both"/>
              <w:rPr>
                <w:b/>
                <w:bCs/>
                <w:color w:val="FFFFFF" w:themeColor="background1"/>
                <w:szCs w:val="18"/>
              </w:rPr>
            </w:pPr>
            <w:r w:rsidRPr="000F5EDD">
              <w:rPr>
                <w:b/>
                <w:bCs/>
                <w:color w:val="FFFFFF" w:themeColor="background1"/>
                <w:szCs w:val="18"/>
              </w:rPr>
              <w:t>Stage</w:t>
            </w:r>
          </w:p>
        </w:tc>
        <w:tc>
          <w:tcPr>
            <w:tcW w:w="2410"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1B556B" w:themeFill="text2"/>
            <w:hideMark/>
          </w:tcPr>
          <w:p w14:paraId="5D25760D" w14:textId="77777777" w:rsidR="00697651" w:rsidRPr="000F5EDD" w:rsidRDefault="00697651">
            <w:pPr>
              <w:pStyle w:val="TableText"/>
              <w:spacing w:before="40" w:after="40"/>
              <w:jc w:val="both"/>
              <w:rPr>
                <w:b/>
                <w:bCs/>
                <w:color w:val="FFFFFF" w:themeColor="background1"/>
                <w:szCs w:val="18"/>
              </w:rPr>
            </w:pPr>
            <w:r w:rsidRPr="000F5EDD">
              <w:rPr>
                <w:b/>
                <w:bCs/>
                <w:color w:val="FFFFFF" w:themeColor="background1"/>
                <w:szCs w:val="18"/>
              </w:rPr>
              <w:t>Objectives</w:t>
            </w:r>
          </w:p>
        </w:tc>
        <w:tc>
          <w:tcPr>
            <w:tcW w:w="2409"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1B556B" w:themeFill="text2"/>
          </w:tcPr>
          <w:p w14:paraId="012EB74E" w14:textId="77777777" w:rsidR="00697651" w:rsidRPr="000F5EDD" w:rsidRDefault="00697651">
            <w:pPr>
              <w:pStyle w:val="TableText"/>
              <w:spacing w:before="40" w:after="40"/>
              <w:jc w:val="both"/>
              <w:rPr>
                <w:b/>
                <w:bCs/>
                <w:color w:val="FFFFFF" w:themeColor="background1"/>
                <w:szCs w:val="18"/>
              </w:rPr>
            </w:pPr>
            <w:r w:rsidRPr="000F5EDD">
              <w:rPr>
                <w:b/>
                <w:bCs/>
                <w:color w:val="FFFFFF" w:themeColor="background1"/>
                <w:szCs w:val="18"/>
              </w:rPr>
              <w:t>Method</w:t>
            </w:r>
          </w:p>
        </w:tc>
        <w:tc>
          <w:tcPr>
            <w:tcW w:w="2268" w:type="dxa"/>
            <w:tcBorders>
              <w:top w:val="single" w:sz="4" w:space="0" w:color="1B556B" w:themeColor="text2"/>
              <w:left w:val="single" w:sz="4" w:space="0" w:color="1B556B" w:themeColor="text2"/>
              <w:bottom w:val="single" w:sz="4" w:space="0" w:color="1B556B" w:themeColor="text2"/>
              <w:right w:val="nil"/>
            </w:tcBorders>
            <w:shd w:val="clear" w:color="auto" w:fill="1B556B" w:themeFill="text2"/>
            <w:hideMark/>
          </w:tcPr>
          <w:p w14:paraId="783AD1FF" w14:textId="77777777" w:rsidR="00697651" w:rsidRPr="000F5EDD" w:rsidRDefault="00697651">
            <w:pPr>
              <w:pStyle w:val="TableText"/>
              <w:spacing w:before="40" w:after="40"/>
              <w:jc w:val="both"/>
              <w:rPr>
                <w:b/>
                <w:bCs/>
                <w:color w:val="FFFFFF" w:themeColor="background1"/>
                <w:szCs w:val="18"/>
              </w:rPr>
            </w:pPr>
            <w:r w:rsidRPr="000F5EDD">
              <w:rPr>
                <w:b/>
                <w:bCs/>
                <w:color w:val="FFFFFF" w:themeColor="background1"/>
                <w:szCs w:val="18"/>
              </w:rPr>
              <w:t xml:space="preserve">Output </w:t>
            </w:r>
          </w:p>
        </w:tc>
      </w:tr>
      <w:tr w:rsidR="00697651" w:rsidRPr="002636A9" w14:paraId="54C4BE06" w14:textId="77777777" w:rsidTr="002636A9">
        <w:tc>
          <w:tcPr>
            <w:tcW w:w="1418" w:type="dxa"/>
            <w:tcBorders>
              <w:top w:val="single" w:sz="4" w:space="0" w:color="1B556B" w:themeColor="text2"/>
              <w:left w:val="nil"/>
              <w:bottom w:val="single" w:sz="4" w:space="0" w:color="1B556B" w:themeColor="text2"/>
              <w:right w:val="single" w:sz="4" w:space="0" w:color="1B556B" w:themeColor="text2"/>
            </w:tcBorders>
            <w:hideMark/>
          </w:tcPr>
          <w:p w14:paraId="56B45E7F" w14:textId="77777777" w:rsidR="00697651" w:rsidRPr="002636A9" w:rsidRDefault="00697651">
            <w:pPr>
              <w:pStyle w:val="TableText"/>
              <w:rPr>
                <w:szCs w:val="18"/>
              </w:rPr>
            </w:pPr>
            <w:r w:rsidRPr="002636A9">
              <w:rPr>
                <w:szCs w:val="18"/>
              </w:rPr>
              <w:t>Stage 1: First-pass risk screen</w:t>
            </w:r>
          </w:p>
        </w:tc>
        <w:tc>
          <w:tcPr>
            <w:tcW w:w="2410" w:type="dxa"/>
            <w:tcBorders>
              <w:top w:val="single" w:sz="4" w:space="0" w:color="1B556B" w:themeColor="text2"/>
              <w:left w:val="single" w:sz="4" w:space="0" w:color="1B556B" w:themeColor="text2"/>
              <w:bottom w:val="single" w:sz="4" w:space="0" w:color="1B556B" w:themeColor="text2"/>
              <w:right w:val="single" w:sz="4" w:space="0" w:color="1B556B" w:themeColor="text2"/>
            </w:tcBorders>
            <w:hideMark/>
          </w:tcPr>
          <w:p w14:paraId="609A0EF1" w14:textId="77777777" w:rsidR="00697651" w:rsidRPr="002636A9" w:rsidRDefault="00697651">
            <w:pPr>
              <w:pStyle w:val="TableText"/>
              <w:rPr>
                <w:szCs w:val="18"/>
              </w:rPr>
            </w:pPr>
            <w:r w:rsidRPr="002636A9">
              <w:rPr>
                <w:szCs w:val="18"/>
              </w:rPr>
              <w:t xml:space="preserve">Consider high-level climate change risks and opportunities for New Zealand. </w:t>
            </w:r>
          </w:p>
          <w:p w14:paraId="113C2778" w14:textId="77777777" w:rsidR="00697651" w:rsidRPr="002636A9" w:rsidRDefault="00697651">
            <w:pPr>
              <w:pStyle w:val="TableText"/>
              <w:rPr>
                <w:szCs w:val="18"/>
              </w:rPr>
            </w:pPr>
            <w:r w:rsidRPr="002636A9">
              <w:rPr>
                <w:szCs w:val="18"/>
              </w:rPr>
              <w:t>Evaluate risks and opportunities to prioritise for more detailed assessment in stage 2.</w:t>
            </w:r>
          </w:p>
        </w:tc>
        <w:tc>
          <w:tcPr>
            <w:tcW w:w="2409"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4BC2D9FF" w14:textId="77777777" w:rsidR="00697651" w:rsidRPr="002636A9" w:rsidRDefault="00697651">
            <w:pPr>
              <w:pStyle w:val="TableText"/>
              <w:rPr>
                <w:szCs w:val="18"/>
              </w:rPr>
            </w:pPr>
            <w:r w:rsidRPr="002636A9">
              <w:rPr>
                <w:szCs w:val="18"/>
              </w:rPr>
              <w:t>Identify risks across five value domains: human, natural environment, economy, built environment and governance; and opportunities.</w:t>
            </w:r>
          </w:p>
          <w:p w14:paraId="0D31D658" w14:textId="77777777" w:rsidR="00697651" w:rsidRPr="002636A9" w:rsidDel="000B3845" w:rsidRDefault="00697651">
            <w:pPr>
              <w:pStyle w:val="TableText"/>
              <w:rPr>
                <w:szCs w:val="18"/>
              </w:rPr>
            </w:pPr>
            <w:r w:rsidRPr="75ADBAC8">
              <w:t>For each risk, define the consequence, urgency ratings</w:t>
            </w:r>
            <w:r w:rsidRPr="002636A9">
              <w:rPr>
                <w:rStyle w:val="FootnoteReference"/>
                <w:sz w:val="18"/>
                <w:szCs w:val="18"/>
              </w:rPr>
              <w:footnoteReference w:id="244"/>
            </w:r>
            <w:r w:rsidRPr="75ADBAC8">
              <w:t xml:space="preserve"> and research priorities.</w:t>
            </w:r>
            <w:r w:rsidRPr="002636A9">
              <w:rPr>
                <w:rStyle w:val="FootnoteReference"/>
                <w:sz w:val="18"/>
                <w:szCs w:val="18"/>
              </w:rPr>
              <w:footnoteReference w:id="245"/>
            </w:r>
            <w:r w:rsidRPr="002636A9">
              <w:rPr>
                <w:szCs w:val="18"/>
              </w:rPr>
              <w:t xml:space="preserve"> </w:t>
            </w:r>
          </w:p>
        </w:tc>
        <w:tc>
          <w:tcPr>
            <w:tcW w:w="2268" w:type="dxa"/>
            <w:tcBorders>
              <w:top w:val="single" w:sz="4" w:space="0" w:color="1B556B" w:themeColor="text2"/>
              <w:left w:val="single" w:sz="4" w:space="0" w:color="1B556B" w:themeColor="text2"/>
              <w:bottom w:val="single" w:sz="4" w:space="0" w:color="1B556B" w:themeColor="text2"/>
              <w:right w:val="nil"/>
            </w:tcBorders>
            <w:hideMark/>
          </w:tcPr>
          <w:p w14:paraId="4BF8A51E" w14:textId="77777777" w:rsidR="00697651" w:rsidRPr="002636A9" w:rsidRDefault="00697651">
            <w:pPr>
              <w:pStyle w:val="TableText"/>
              <w:rPr>
                <w:szCs w:val="18"/>
              </w:rPr>
            </w:pPr>
            <w:r w:rsidRPr="002636A9">
              <w:rPr>
                <w:szCs w:val="18"/>
              </w:rPr>
              <w:t xml:space="preserve">48 priority risks (rated extreme and major) and four opportunities were identified at the end of stage 1. These were taken for detailed assessment in stage 2 and consideration of adaptation and decision urgency in stage 3. </w:t>
            </w:r>
          </w:p>
          <w:p w14:paraId="1CE33DC0" w14:textId="77777777" w:rsidR="00697651" w:rsidRPr="002636A9" w:rsidRDefault="00697651">
            <w:pPr>
              <w:pStyle w:val="TableText"/>
              <w:rPr>
                <w:szCs w:val="18"/>
              </w:rPr>
            </w:pPr>
            <w:r w:rsidRPr="002636A9">
              <w:rPr>
                <w:szCs w:val="18"/>
              </w:rPr>
              <w:t>Documented in the interim report.</w:t>
            </w:r>
          </w:p>
        </w:tc>
      </w:tr>
      <w:tr w:rsidR="00697651" w:rsidRPr="002636A9" w14:paraId="57FB4F5F" w14:textId="77777777" w:rsidTr="002636A9">
        <w:tc>
          <w:tcPr>
            <w:tcW w:w="1418" w:type="dxa"/>
            <w:tcBorders>
              <w:top w:val="single" w:sz="4" w:space="0" w:color="1B556B" w:themeColor="text2"/>
              <w:left w:val="nil"/>
              <w:bottom w:val="single" w:sz="4" w:space="0" w:color="1B556B" w:themeColor="text2"/>
              <w:right w:val="single" w:sz="4" w:space="0" w:color="1B556B" w:themeColor="text2"/>
            </w:tcBorders>
            <w:hideMark/>
          </w:tcPr>
          <w:p w14:paraId="1ABACCC4" w14:textId="77777777" w:rsidR="00697651" w:rsidRPr="002636A9" w:rsidRDefault="00697651">
            <w:pPr>
              <w:pStyle w:val="TableText"/>
              <w:rPr>
                <w:szCs w:val="18"/>
              </w:rPr>
            </w:pPr>
            <w:r w:rsidRPr="002636A9">
              <w:rPr>
                <w:szCs w:val="18"/>
              </w:rPr>
              <w:t>Stage 2: Detailed risk assessment</w:t>
            </w:r>
          </w:p>
        </w:tc>
        <w:tc>
          <w:tcPr>
            <w:tcW w:w="2410" w:type="dxa"/>
            <w:tcBorders>
              <w:top w:val="single" w:sz="4" w:space="0" w:color="1B556B" w:themeColor="text2"/>
              <w:left w:val="single" w:sz="4" w:space="0" w:color="1B556B" w:themeColor="text2"/>
              <w:bottom w:val="single" w:sz="4" w:space="0" w:color="1B556B" w:themeColor="text2"/>
              <w:right w:val="single" w:sz="4" w:space="0" w:color="1B556B" w:themeColor="text2"/>
            </w:tcBorders>
            <w:hideMark/>
          </w:tcPr>
          <w:p w14:paraId="0B4E33DA" w14:textId="77777777" w:rsidR="00697651" w:rsidRPr="002636A9" w:rsidRDefault="00697651">
            <w:pPr>
              <w:pStyle w:val="TableText"/>
              <w:rPr>
                <w:szCs w:val="18"/>
              </w:rPr>
            </w:pPr>
            <w:r w:rsidRPr="002636A9">
              <w:rPr>
                <w:szCs w:val="18"/>
              </w:rPr>
              <w:t xml:space="preserve">Further examine risks rated extreme and major. </w:t>
            </w:r>
          </w:p>
          <w:p w14:paraId="5227F1F5" w14:textId="77777777" w:rsidR="00697651" w:rsidRPr="002636A9" w:rsidRDefault="00697651">
            <w:pPr>
              <w:pStyle w:val="TableText"/>
              <w:rPr>
                <w:szCs w:val="18"/>
              </w:rPr>
            </w:pPr>
            <w:r w:rsidRPr="002636A9">
              <w:rPr>
                <w:szCs w:val="18"/>
              </w:rPr>
              <w:t>Refined risks and opportunities for adaptation and decision urgency ratings in stage 3.</w:t>
            </w:r>
          </w:p>
        </w:tc>
        <w:tc>
          <w:tcPr>
            <w:tcW w:w="2409"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617A33F2" w14:textId="77777777" w:rsidR="00697651" w:rsidRPr="002636A9" w:rsidRDefault="00697651">
            <w:pPr>
              <w:pStyle w:val="TableText"/>
              <w:rPr>
                <w:szCs w:val="18"/>
              </w:rPr>
            </w:pPr>
            <w:r w:rsidRPr="75ADBAC8">
              <w:t>Assess exposure, vulnerability and consequence of risks rated extreme and major at the end of stage 1.</w:t>
            </w:r>
            <w:r w:rsidRPr="002636A9">
              <w:rPr>
                <w:rStyle w:val="FootnoteReference"/>
                <w:sz w:val="18"/>
                <w:szCs w:val="18"/>
              </w:rPr>
              <w:footnoteReference w:id="246"/>
            </w:r>
          </w:p>
          <w:p w14:paraId="2827B2FE" w14:textId="77777777" w:rsidR="00697651" w:rsidRPr="002636A9" w:rsidRDefault="00697651">
            <w:pPr>
              <w:pStyle w:val="TableText"/>
              <w:rPr>
                <w:szCs w:val="18"/>
              </w:rPr>
            </w:pPr>
            <w:r w:rsidRPr="002636A9">
              <w:rPr>
                <w:szCs w:val="18"/>
              </w:rPr>
              <w:t>Review and adjust preliminary findings and scoring.</w:t>
            </w:r>
          </w:p>
        </w:tc>
        <w:tc>
          <w:tcPr>
            <w:tcW w:w="2268" w:type="dxa"/>
            <w:tcBorders>
              <w:top w:val="single" w:sz="4" w:space="0" w:color="1B556B" w:themeColor="text2"/>
              <w:left w:val="single" w:sz="4" w:space="0" w:color="1B556B" w:themeColor="text2"/>
              <w:bottom w:val="single" w:sz="4" w:space="0" w:color="1B556B" w:themeColor="text2"/>
              <w:right w:val="nil"/>
            </w:tcBorders>
            <w:hideMark/>
          </w:tcPr>
          <w:p w14:paraId="160A7937" w14:textId="77777777" w:rsidR="00697651" w:rsidRPr="002636A9" w:rsidRDefault="00697651">
            <w:pPr>
              <w:pStyle w:val="TableText"/>
              <w:rPr>
                <w:szCs w:val="18"/>
              </w:rPr>
            </w:pPr>
            <w:r w:rsidRPr="002636A9">
              <w:rPr>
                <w:szCs w:val="18"/>
              </w:rPr>
              <w:t>43 priority risks and four opportunities refined at the end of stage 2. This was mainly as a result of merging similar risks.</w:t>
            </w:r>
          </w:p>
          <w:p w14:paraId="2AD8FCA3" w14:textId="77777777" w:rsidR="00697651" w:rsidRPr="002636A9" w:rsidRDefault="00697651">
            <w:pPr>
              <w:pStyle w:val="TableText"/>
              <w:rPr>
                <w:szCs w:val="18"/>
              </w:rPr>
            </w:pPr>
            <w:r w:rsidRPr="002636A9">
              <w:rPr>
                <w:szCs w:val="18"/>
              </w:rPr>
              <w:t>10 most significant risks were identified from the two most urgent risks in each domain.</w:t>
            </w:r>
          </w:p>
          <w:p w14:paraId="6160C1E5" w14:textId="77777777" w:rsidR="00697651" w:rsidRPr="002636A9" w:rsidRDefault="00697651">
            <w:pPr>
              <w:pStyle w:val="TableText"/>
              <w:rPr>
                <w:szCs w:val="18"/>
              </w:rPr>
            </w:pPr>
            <w:r w:rsidRPr="002636A9">
              <w:rPr>
                <w:szCs w:val="18"/>
              </w:rPr>
              <w:t>Documented in the main report.</w:t>
            </w:r>
          </w:p>
        </w:tc>
      </w:tr>
      <w:tr w:rsidR="00697651" w:rsidRPr="002636A9" w14:paraId="767B80B7" w14:textId="77777777" w:rsidTr="002636A9">
        <w:tc>
          <w:tcPr>
            <w:tcW w:w="1418" w:type="dxa"/>
            <w:tcBorders>
              <w:top w:val="single" w:sz="4" w:space="0" w:color="1B556B" w:themeColor="text2"/>
              <w:left w:val="nil"/>
              <w:bottom w:val="single" w:sz="4" w:space="0" w:color="1B556B" w:themeColor="text2"/>
              <w:right w:val="single" w:sz="4" w:space="0" w:color="1B556B" w:themeColor="text2"/>
            </w:tcBorders>
          </w:tcPr>
          <w:p w14:paraId="5F20DFE7" w14:textId="77777777" w:rsidR="00697651" w:rsidRPr="002636A9" w:rsidRDefault="00697651">
            <w:pPr>
              <w:pStyle w:val="TableText"/>
              <w:rPr>
                <w:szCs w:val="18"/>
              </w:rPr>
            </w:pPr>
            <w:r w:rsidRPr="002636A9">
              <w:rPr>
                <w:szCs w:val="18"/>
              </w:rPr>
              <w:t>Stage 3: Adaptation and decision urgency</w:t>
            </w:r>
          </w:p>
        </w:tc>
        <w:tc>
          <w:tcPr>
            <w:tcW w:w="2410"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0B3A8C72" w14:textId="77777777" w:rsidR="00697651" w:rsidRPr="002636A9" w:rsidRDefault="00697651">
            <w:pPr>
              <w:pStyle w:val="TableText"/>
              <w:rPr>
                <w:szCs w:val="18"/>
              </w:rPr>
            </w:pPr>
            <w:r w:rsidRPr="002636A9">
              <w:rPr>
                <w:szCs w:val="18"/>
              </w:rPr>
              <w:t>Assess existing and planned adaptation actions to identify risks needing the most urgent action.</w:t>
            </w:r>
          </w:p>
          <w:p w14:paraId="602A97A0" w14:textId="77777777" w:rsidR="00697651" w:rsidRPr="002636A9" w:rsidRDefault="00697651">
            <w:pPr>
              <w:pStyle w:val="TableText"/>
              <w:rPr>
                <w:szCs w:val="18"/>
              </w:rPr>
            </w:pPr>
            <w:r w:rsidRPr="002636A9">
              <w:rPr>
                <w:szCs w:val="18"/>
              </w:rPr>
              <w:t>Finalise scoring and priority risks and opportunities.</w:t>
            </w:r>
          </w:p>
        </w:tc>
        <w:tc>
          <w:tcPr>
            <w:tcW w:w="2409" w:type="dxa"/>
            <w:tcBorders>
              <w:top w:val="single" w:sz="4" w:space="0" w:color="1B556B" w:themeColor="text2"/>
              <w:left w:val="single" w:sz="4" w:space="0" w:color="1B556B" w:themeColor="text2"/>
              <w:bottom w:val="single" w:sz="4" w:space="0" w:color="1B556B" w:themeColor="text2"/>
              <w:right w:val="single" w:sz="4" w:space="0" w:color="1B556B" w:themeColor="text2"/>
            </w:tcBorders>
          </w:tcPr>
          <w:p w14:paraId="5D07C764" w14:textId="77777777" w:rsidR="00697651" w:rsidRPr="002636A9" w:rsidRDefault="00697651">
            <w:pPr>
              <w:pStyle w:val="TableText"/>
              <w:rPr>
                <w:szCs w:val="18"/>
              </w:rPr>
            </w:pPr>
            <w:r w:rsidRPr="002636A9">
              <w:rPr>
                <w:szCs w:val="18"/>
              </w:rPr>
              <w:t>Review existing and planned adaptation actions and the extent to which risks and opportunities are being addressed at a high level.</w:t>
            </w:r>
          </w:p>
          <w:p w14:paraId="0E79213F" w14:textId="49C4FF33" w:rsidR="00697651" w:rsidRPr="002636A9" w:rsidRDefault="00697651">
            <w:pPr>
              <w:pStyle w:val="TableText"/>
              <w:rPr>
                <w:szCs w:val="18"/>
              </w:rPr>
            </w:pPr>
            <w:r w:rsidRPr="002636A9">
              <w:rPr>
                <w:szCs w:val="18"/>
              </w:rPr>
              <w:t xml:space="preserve">Generate adaptation and urgency ratings for each priority risk and </w:t>
            </w:r>
            <w:r w:rsidR="00C26C86">
              <w:rPr>
                <w:szCs w:val="18"/>
              </w:rPr>
              <w:t>opportunity</w:t>
            </w:r>
            <w:r w:rsidRPr="002636A9">
              <w:rPr>
                <w:szCs w:val="18"/>
              </w:rPr>
              <w:t>.</w:t>
            </w:r>
          </w:p>
          <w:p w14:paraId="57FD202A" w14:textId="77777777" w:rsidR="00697651" w:rsidRPr="002636A9" w:rsidRDefault="00697651">
            <w:pPr>
              <w:pStyle w:val="TableText"/>
              <w:rPr>
                <w:szCs w:val="18"/>
              </w:rPr>
            </w:pPr>
            <w:r w:rsidRPr="002636A9">
              <w:rPr>
                <w:szCs w:val="18"/>
              </w:rPr>
              <w:t>Highlight where more action is needed or where there is a research priority.</w:t>
            </w:r>
          </w:p>
        </w:tc>
        <w:tc>
          <w:tcPr>
            <w:tcW w:w="2268" w:type="dxa"/>
            <w:tcBorders>
              <w:top w:val="single" w:sz="4" w:space="0" w:color="1B556B" w:themeColor="text2"/>
              <w:left w:val="single" w:sz="4" w:space="0" w:color="1B556B" w:themeColor="text2"/>
              <w:bottom w:val="single" w:sz="4" w:space="0" w:color="1B556B" w:themeColor="text2"/>
              <w:right w:val="nil"/>
            </w:tcBorders>
          </w:tcPr>
          <w:p w14:paraId="24C7C087" w14:textId="77777777" w:rsidR="00697651" w:rsidRPr="002636A9" w:rsidRDefault="00697651">
            <w:pPr>
              <w:pStyle w:val="TableText"/>
              <w:rPr>
                <w:szCs w:val="18"/>
              </w:rPr>
            </w:pPr>
            <w:r w:rsidRPr="002636A9">
              <w:rPr>
                <w:szCs w:val="18"/>
              </w:rPr>
              <w:t>43 priority risks (rated extreme and major) and four opportunities were finalised at the end of stage 3.</w:t>
            </w:r>
          </w:p>
          <w:p w14:paraId="1E31C9A5" w14:textId="77777777" w:rsidR="00697651" w:rsidRPr="002636A9" w:rsidRDefault="00697651">
            <w:pPr>
              <w:pStyle w:val="TableText"/>
              <w:rPr>
                <w:szCs w:val="18"/>
              </w:rPr>
            </w:pPr>
            <w:r w:rsidRPr="002636A9">
              <w:rPr>
                <w:szCs w:val="18"/>
              </w:rPr>
              <w:t>10 most significant risks were finalised from the two most urgent risks in each domain.</w:t>
            </w:r>
          </w:p>
          <w:p w14:paraId="7711872B" w14:textId="77777777" w:rsidR="00697651" w:rsidRPr="002636A9" w:rsidRDefault="00697651">
            <w:pPr>
              <w:pStyle w:val="TableText"/>
              <w:rPr>
                <w:szCs w:val="18"/>
              </w:rPr>
            </w:pPr>
            <w:r w:rsidRPr="75ADBAC8">
              <w:t>Documented in the main report and supplementary technical report.</w:t>
            </w:r>
            <w:r w:rsidRPr="002636A9">
              <w:rPr>
                <w:rStyle w:val="FootnoteReference"/>
                <w:sz w:val="18"/>
                <w:szCs w:val="18"/>
              </w:rPr>
              <w:footnoteReference w:id="247"/>
            </w:r>
            <w:r w:rsidRPr="002636A9">
              <w:rPr>
                <w:szCs w:val="18"/>
              </w:rPr>
              <w:t xml:space="preserve"> </w:t>
            </w:r>
          </w:p>
        </w:tc>
      </w:tr>
    </w:tbl>
    <w:p w14:paraId="7B05F5AC" w14:textId="77777777" w:rsidR="00697651" w:rsidRPr="000F5EDD" w:rsidRDefault="00697651" w:rsidP="00697651">
      <w:pPr>
        <w:pStyle w:val="BodyText"/>
        <w:spacing w:before="240"/>
      </w:pPr>
      <w:r w:rsidRPr="000F5EDD">
        <w:t xml:space="preserve">At the end of stage 3, the NCCRA1 identified 43 priority risks and four opportunities New Zealand will face from climate change to 2026. </w:t>
      </w:r>
    </w:p>
    <w:p w14:paraId="2EAEB7CE" w14:textId="22F1F827" w:rsidR="00697651" w:rsidRPr="000F5EDD" w:rsidRDefault="00697651" w:rsidP="00697651">
      <w:pPr>
        <w:pStyle w:val="BodyText"/>
      </w:pPr>
      <w:r w:rsidRPr="000F5EDD">
        <w:t>The 43 risks and opportunities were grouped according to five value domains: human, natural environment, economy, built environment and governance. The 10 most significant risks were identified from the two most urgent risks in each domain (</w:t>
      </w:r>
      <w:hyperlink w:anchor="figure34" w:history="1">
        <w:r w:rsidRPr="009033F7">
          <w:rPr>
            <w:rStyle w:val="Hyperlink"/>
          </w:rPr>
          <w:t>figure 3.4</w:t>
        </w:r>
      </w:hyperlink>
      <w:r w:rsidRPr="000F5EDD">
        <w:t xml:space="preserve">). </w:t>
      </w:r>
    </w:p>
    <w:p w14:paraId="7FCE1819" w14:textId="77777777" w:rsidR="00697651" w:rsidRPr="000F5EDD" w:rsidRDefault="00697651" w:rsidP="00697651">
      <w:pPr>
        <w:pStyle w:val="BodyText"/>
      </w:pPr>
      <w:r w:rsidRPr="000F5EDD">
        <w:t xml:space="preserve">The </w:t>
      </w:r>
      <w:r w:rsidRPr="000F5EDD">
        <w:rPr>
          <w:i/>
          <w:iCs/>
        </w:rPr>
        <w:t>National Climate Change Risk Assessment: Arotakenga Tūraru mō te Huringa Āhuarangi o</w:t>
      </w:r>
      <w:r>
        <w:rPr>
          <w:i/>
          <w:iCs/>
        </w:rPr>
        <w:t> </w:t>
      </w:r>
      <w:r w:rsidRPr="000F5EDD">
        <w:rPr>
          <w:i/>
          <w:iCs/>
        </w:rPr>
        <w:t>Āotearoa – Method report</w:t>
      </w:r>
      <w:r w:rsidRPr="000F5EDD">
        <w:t xml:space="preserve"> provides further details of three stages of NCCRA1.</w:t>
      </w:r>
      <w:r w:rsidRPr="000F5EDD">
        <w:rPr>
          <w:rStyle w:val="FootnoteReference"/>
        </w:rPr>
        <w:footnoteReference w:id="248"/>
      </w:r>
    </w:p>
    <w:p w14:paraId="207F751D" w14:textId="48975370" w:rsidR="00697651" w:rsidRPr="000F5EDD" w:rsidRDefault="00697651" w:rsidP="00201256">
      <w:pPr>
        <w:pStyle w:val="Figureheading"/>
      </w:pPr>
      <w:bookmarkStart w:id="776" w:name="_Ref179361563"/>
      <w:bookmarkStart w:id="777" w:name="figure34"/>
      <w:bookmarkStart w:id="778" w:name="_Toc172716782"/>
      <w:bookmarkStart w:id="779" w:name="_Toc178603947"/>
      <w:bookmarkStart w:id="780" w:name="_Toc185347280"/>
      <w:r w:rsidRPr="000F5EDD">
        <w:t>Figure 3.</w:t>
      </w:r>
      <w:bookmarkEnd w:id="776"/>
      <w:r w:rsidR="00D96B12">
        <w:t>4</w:t>
      </w:r>
      <w:bookmarkEnd w:id="777"/>
      <w:r w:rsidRPr="000F5EDD">
        <w:t>:</w:t>
      </w:r>
      <w:r w:rsidRPr="000F5EDD">
        <w:tab/>
        <w:t>The 10 most significant risks New Zealand will face from climate change, 2020–26</w:t>
      </w:r>
      <w:bookmarkEnd w:id="778"/>
      <w:bookmarkEnd w:id="779"/>
      <w:bookmarkEnd w:id="780"/>
    </w:p>
    <w:p w14:paraId="54BCA117" w14:textId="77777777" w:rsidR="00697651" w:rsidRPr="000F5EDD" w:rsidRDefault="00697651" w:rsidP="00697651">
      <w:pPr>
        <w:pStyle w:val="BodyText"/>
        <w:jc w:val="center"/>
      </w:pPr>
      <w:r w:rsidRPr="000F5EDD">
        <w:rPr>
          <w:noProof/>
        </w:rPr>
        <w:drawing>
          <wp:inline distT="0" distB="0" distL="0" distR="0" wp14:anchorId="3D27E085" wp14:editId="19FF8E0B">
            <wp:extent cx="4361815" cy="5899120"/>
            <wp:effectExtent l="0" t="0" r="635" b="6985"/>
            <wp:docPr id="2083651649" name="Picture 1" descr="An illustration setting out the 10 most significant risks New Zealand will face from climate change between 2020 and 2026. There are two risks identified within the five value domains: Natural, Human, Economy, Built and Gover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651649" name="Picture 1" descr="An illustration setting out the 10 most significant risks New Zealand will face from climate change between 2020 and 2026. There are two risks identified within the five value domains: Natural, Human, Economy, Built and Governance."/>
                    <pic:cNvPicPr/>
                  </pic:nvPicPr>
                  <pic:blipFill rotWithShape="1">
                    <a:blip r:embed="rId165"/>
                    <a:srcRect t="1888" b="14586"/>
                    <a:stretch/>
                  </pic:blipFill>
                  <pic:spPr bwMode="auto">
                    <a:xfrm>
                      <a:off x="0" y="0"/>
                      <a:ext cx="4383232" cy="5928085"/>
                    </a:xfrm>
                    <a:prstGeom prst="rect">
                      <a:avLst/>
                    </a:prstGeom>
                    <a:ln>
                      <a:noFill/>
                    </a:ln>
                    <a:extLst>
                      <a:ext uri="{53640926-AAD7-44D8-BBD7-CCE9431645EC}">
                        <a14:shadowObscured xmlns:a14="http://schemas.microsoft.com/office/drawing/2010/main"/>
                      </a:ext>
                    </a:extLst>
                  </pic:spPr>
                </pic:pic>
              </a:graphicData>
            </a:graphic>
          </wp:inline>
        </w:drawing>
      </w:r>
    </w:p>
    <w:p w14:paraId="637CDB1A" w14:textId="65CD24DA" w:rsidR="00697651" w:rsidRPr="000F5EDD" w:rsidRDefault="00697651" w:rsidP="00697651">
      <w:pPr>
        <w:pStyle w:val="Source"/>
        <w:spacing w:before="60"/>
      </w:pPr>
      <w:r w:rsidRPr="000F5EDD">
        <w:t xml:space="preserve">Source: </w:t>
      </w:r>
      <w:r w:rsidRPr="000F5EDD">
        <w:rPr>
          <w:rFonts w:cs="Calibri"/>
          <w:color w:val="000000"/>
          <w:szCs w:val="18"/>
          <w:shd w:val="clear" w:color="auto" w:fill="FFFFFF"/>
        </w:rPr>
        <w:t>Ministry for the Environment. 2022. </w:t>
      </w:r>
      <w:hyperlink r:id="rId166" w:tgtFrame="_blank" w:history="1">
        <w:r w:rsidRPr="000F5EDD">
          <w:rPr>
            <w:rFonts w:cs="Calibri"/>
            <w:i/>
            <w:color w:val="32809C"/>
            <w:szCs w:val="18"/>
            <w:shd w:val="clear" w:color="auto" w:fill="FFFFFF"/>
          </w:rPr>
          <w:t>Aotearoa New Zealand’s first national adaptation plan</w:t>
        </w:r>
        <w:r w:rsidRPr="000F5EDD">
          <w:rPr>
            <w:rFonts w:cs="Calibri"/>
            <w:color w:val="32809C"/>
            <w:szCs w:val="18"/>
            <w:shd w:val="clear" w:color="auto" w:fill="FFFFFF"/>
          </w:rPr>
          <w:t>.</w:t>
        </w:r>
      </w:hyperlink>
      <w:r w:rsidR="00675AEA">
        <w:rPr>
          <w:rFonts w:cs="Calibri"/>
          <w:color w:val="000000"/>
          <w:szCs w:val="18"/>
          <w:shd w:val="clear" w:color="auto" w:fill="FFFFFF"/>
        </w:rPr>
        <w:t xml:space="preserve"> </w:t>
      </w:r>
      <w:r w:rsidRPr="000F5EDD">
        <w:rPr>
          <w:rFonts w:cs="Calibri"/>
          <w:color w:val="000000"/>
          <w:szCs w:val="18"/>
          <w:shd w:val="clear" w:color="auto" w:fill="FFFFFF"/>
        </w:rPr>
        <w:t>Wellington. Ministry for the Environment, p 37.</w:t>
      </w:r>
    </w:p>
    <w:p w14:paraId="47EE55ED" w14:textId="77777777" w:rsidR="00697651" w:rsidRPr="000F5EDD" w:rsidRDefault="00697651" w:rsidP="00697651">
      <w:pPr>
        <w:pStyle w:val="BodyText"/>
        <w:keepNext/>
      </w:pPr>
      <w:r w:rsidRPr="000F5EDD">
        <w:t>Other risk assessments include the following.</w:t>
      </w:r>
    </w:p>
    <w:p w14:paraId="1D634B01" w14:textId="77777777" w:rsidR="00697651" w:rsidRPr="000F5EDD" w:rsidRDefault="00697651" w:rsidP="00697651">
      <w:pPr>
        <w:pStyle w:val="Bullet"/>
      </w:pPr>
      <w:r w:rsidRPr="000F5EDD">
        <w:rPr>
          <w:b/>
          <w:bCs/>
        </w:rPr>
        <w:t>Local government risk assessments</w:t>
      </w:r>
      <w:r w:rsidRPr="000F5EDD">
        <w:t>. The Government produced guidance for local government organisations to follow when conducting their own local climate risk assessments.</w:t>
      </w:r>
      <w:r w:rsidRPr="000F5EDD">
        <w:rPr>
          <w:rStyle w:val="FootnoteReference"/>
        </w:rPr>
        <w:footnoteReference w:id="249"/>
      </w:r>
      <w:r w:rsidRPr="000F5EDD">
        <w:rPr>
          <w:rStyle w:val="BodyTextChar"/>
        </w:rPr>
        <w:t xml:space="preserve"> </w:t>
      </w:r>
      <w:r w:rsidRPr="000F5EDD">
        <w:t>It sets out a step-by-step process to carry out local risk assessments and provides resources and sample templates. This complements guidance for local government on managing coastal hazards and climate change,</w:t>
      </w:r>
      <w:r w:rsidRPr="000F5EDD">
        <w:rPr>
          <w:rStyle w:val="FootnoteReference"/>
        </w:rPr>
        <w:footnoteReference w:id="250"/>
      </w:r>
      <w:r w:rsidRPr="000F5EDD">
        <w:t xml:space="preserve"> which has been updated in 2024 to reflect the latest science.</w:t>
      </w:r>
    </w:p>
    <w:p w14:paraId="05411A0B" w14:textId="7866BBF1" w:rsidR="00697651" w:rsidRPr="000F5EDD" w:rsidRDefault="00697651" w:rsidP="00697651">
      <w:pPr>
        <w:pStyle w:val="Bullet"/>
      </w:pPr>
      <w:r w:rsidRPr="000F5EDD">
        <w:rPr>
          <w:b/>
          <w:bCs/>
        </w:rPr>
        <w:t>Sector-level risk assessments</w:t>
      </w:r>
      <w:r w:rsidRPr="000F5EDD">
        <w:t xml:space="preserve">. The Government </w:t>
      </w:r>
      <w:r w:rsidRPr="000F5EDD" w:rsidDel="00BC0E7C">
        <w:t xml:space="preserve">has </w:t>
      </w:r>
      <w:r w:rsidRPr="000F5EDD">
        <w:t>a public–private partnership to develop sector climate change scenarios and roadmaps for key sectors. The Aotearoa Circle is undertaking a collaboration involving major sector leaders, Government, environmental non-government organisations, iwi representatives and the research community. So far, the partners have developed climate change scenarios and roadmaps for sectors such as transport, energy, agriculture, tourism, seafood and marine.</w:t>
      </w:r>
      <w:r w:rsidRPr="000F5EDD">
        <w:rPr>
          <w:rStyle w:val="FootnoteReference"/>
        </w:rPr>
        <w:footnoteReference w:id="251"/>
      </w:r>
      <w:r w:rsidRPr="000F5EDD">
        <w:t xml:space="preserve"> </w:t>
      </w:r>
    </w:p>
    <w:p w14:paraId="2D90BFB6" w14:textId="77777777" w:rsidR="00697651" w:rsidRPr="000F5EDD" w:rsidRDefault="00697651" w:rsidP="00697651">
      <w:pPr>
        <w:pStyle w:val="Bullet"/>
        <w:numPr>
          <w:ilvl w:val="0"/>
          <w:numId w:val="0"/>
        </w:numPr>
      </w:pPr>
      <w:r w:rsidRPr="000F5EDD">
        <w:t>Legal mechanisms are another way of obtaining information from organisations on climate risk.</w:t>
      </w:r>
    </w:p>
    <w:p w14:paraId="251766EF" w14:textId="77777777" w:rsidR="00697651" w:rsidRPr="000F5EDD" w:rsidRDefault="00697651" w:rsidP="00697651">
      <w:pPr>
        <w:pStyle w:val="Bullet"/>
      </w:pPr>
      <w:r w:rsidRPr="000F5EDD">
        <w:rPr>
          <w:b/>
          <w:bCs/>
        </w:rPr>
        <w:t>Climate-related disclosures.</w:t>
      </w:r>
      <w:r w:rsidRPr="000F5EDD">
        <w:t xml:space="preserve"> The Government passed legislation in 2023 that made climate-related disclosures mandatory for around 200 financial institutions in New Zealand, which involves analysing and publicly disclosing their climate-related risks and opportunities each year. New Zealand was the first in the world to implement such legislation. Improving transparency and revealing climate-related information within financial markets will help the country’s financial system to become more resilient.</w:t>
      </w:r>
    </w:p>
    <w:p w14:paraId="0DD4B30C" w14:textId="77777777" w:rsidR="00697651" w:rsidRPr="000F5EDD" w:rsidRDefault="00697651" w:rsidP="00697651">
      <w:pPr>
        <w:pStyle w:val="Bullet"/>
      </w:pPr>
      <w:r w:rsidRPr="000F5EDD">
        <w:rPr>
          <w:b/>
          <w:bCs/>
        </w:rPr>
        <w:t>Power to request adaptation information.</w:t>
      </w:r>
      <w:r w:rsidRPr="000F5EDD">
        <w:t xml:space="preserve"> The Government in 2020 and 2024 has requested information on adaptation preparedness from organisations with policy or service delivery functions under the Climate Change Response Act 2002. The information provides an indication of the effectiveness of actions to reduce climate risks.</w:t>
      </w:r>
    </w:p>
    <w:p w14:paraId="33E58D21" w14:textId="77777777" w:rsidR="00697651" w:rsidRPr="000F5EDD" w:rsidRDefault="00697651" w:rsidP="00EA02DE">
      <w:pPr>
        <w:pStyle w:val="Heading2"/>
        <w:numPr>
          <w:ilvl w:val="0"/>
          <w:numId w:val="50"/>
        </w:numPr>
      </w:pPr>
      <w:bookmarkStart w:id="781" w:name="_Toc184825540"/>
      <w:r w:rsidRPr="000F5EDD">
        <w:t>Adaptation priorities and barriers</w:t>
      </w:r>
      <w:bookmarkEnd w:id="781"/>
      <w:r w:rsidRPr="000F5EDD">
        <w:t xml:space="preserve"> </w:t>
      </w:r>
    </w:p>
    <w:p w14:paraId="0864068E" w14:textId="77777777" w:rsidR="00697651" w:rsidRPr="000F5EDD" w:rsidRDefault="00697651" w:rsidP="00974B4D">
      <w:pPr>
        <w:pStyle w:val="Heading3"/>
        <w:numPr>
          <w:ilvl w:val="0"/>
          <w:numId w:val="53"/>
        </w:numPr>
        <w:ind w:left="1134" w:hanging="1134"/>
      </w:pPr>
      <w:r w:rsidRPr="000F5EDD">
        <w:t>Domestic priorities and progress towards those priorities</w:t>
      </w:r>
    </w:p>
    <w:p w14:paraId="005C27B8" w14:textId="77777777" w:rsidR="00697651" w:rsidRPr="000F5EDD" w:rsidRDefault="00697651" w:rsidP="00697651">
      <w:pPr>
        <w:pStyle w:val="BodyText"/>
      </w:pPr>
      <w:r w:rsidRPr="000F5EDD">
        <w:t>In August 2022, New Zealand released the NAP1 in response to the risks identified in the NCCRA1.</w:t>
      </w:r>
      <w:r w:rsidRPr="000F5EDD">
        <w:rPr>
          <w:lang w:eastAsia="en-US"/>
        </w:rPr>
        <w:t xml:space="preserve"> </w:t>
      </w:r>
      <w:r w:rsidRPr="000F5EDD">
        <w:t xml:space="preserve">This was the first step towards meeting the Government’s long-term vision and goals for a climate-resilient New Zealand. The plan was built on recommendations of the Climate Change Adaptation Technical Working Group report from 2018 and drew on the latest science from the IPCC (AR6 WGI and WGII reports). </w:t>
      </w:r>
    </w:p>
    <w:p w14:paraId="6A6C5ECF" w14:textId="77777777" w:rsidR="00697651" w:rsidRPr="000F5EDD" w:rsidRDefault="00697651" w:rsidP="00697651">
      <w:pPr>
        <w:pStyle w:val="BodyText"/>
      </w:pPr>
      <w:r w:rsidRPr="000F5EDD">
        <w:t>Four priority areas underpin NAP1.</w:t>
      </w:r>
    </w:p>
    <w:p w14:paraId="5A7E2868" w14:textId="77777777" w:rsidR="00697651" w:rsidRPr="000F5EDD" w:rsidRDefault="00697651" w:rsidP="00697651">
      <w:pPr>
        <w:pStyle w:val="Bullet"/>
      </w:pPr>
      <w:r w:rsidRPr="000F5EDD">
        <w:rPr>
          <w:b/>
        </w:rPr>
        <w:t xml:space="preserve">Priority 1: </w:t>
      </w:r>
      <w:r w:rsidRPr="000F5EDD">
        <w:rPr>
          <w:b/>
          <w:bCs/>
        </w:rPr>
        <w:t>Enabling better risk-informed decisions</w:t>
      </w:r>
      <w:r w:rsidRPr="000F5EDD">
        <w:rPr>
          <w:b/>
        </w:rPr>
        <w:t>.</w:t>
      </w:r>
      <w:r w:rsidRPr="000F5EDD">
        <w:t xml:space="preserve"> Information, guidance, tools and methodologies are needed to enable good decisions. All New Zealanders need to be making decisions that take into account climate change across all aspects of their lives. This priority area is focused on actions to provide information, scenarios and guidance to help New Zealanders assess the exposure and vulnerability of their homes, businesses and communities to current and future climate hazards. Some actions apply to all New Zealanders while others are targeted at specific sectors and groups.</w:t>
      </w:r>
    </w:p>
    <w:p w14:paraId="34E0F3A6" w14:textId="77777777" w:rsidR="00697651" w:rsidRPr="000F5EDD" w:rsidRDefault="00697651" w:rsidP="00697651">
      <w:pPr>
        <w:pStyle w:val="Bullet"/>
      </w:pPr>
      <w:r w:rsidRPr="000F5EDD">
        <w:rPr>
          <w:b/>
        </w:rPr>
        <w:t>Priority 2: Driving climate-resilient development in the right locations.</w:t>
      </w:r>
      <w:r w:rsidRPr="000F5EDD">
        <w:t xml:space="preserve"> During the transition to new systems, councils need to avoid locking in inappropriate land use or closing off adaptation pathways. This priority area is focused on ensuring decision-making frameworks for planning and infrastructure investment guide climate-resilient development in the right locations and account for changing risks.</w:t>
      </w:r>
    </w:p>
    <w:p w14:paraId="34F0074A" w14:textId="77777777" w:rsidR="00697651" w:rsidRPr="000F5EDD" w:rsidRDefault="00697651" w:rsidP="00697651">
      <w:pPr>
        <w:pStyle w:val="Bullet"/>
        <w:spacing w:after="100"/>
        <w:rPr>
          <w:b/>
        </w:rPr>
      </w:pPr>
      <w:r w:rsidRPr="000F5EDD">
        <w:rPr>
          <w:b/>
        </w:rPr>
        <w:t>Priority 3: Adaptation options including managed retreat.</w:t>
      </w:r>
      <w:r w:rsidRPr="000F5EDD">
        <w:t xml:space="preserve"> Many communities are already under threat from natural hazard events in New Zealand, and this threat will increase over time due to climate change. This priority area is focused on councils and communities working together to reduce risk through social networks and nature-based and hard-engineering solutions; through upgrades to existing buildings and infrastructure to withstand more extreme climatic conditions; through managed retreat (when necessary); and by being better prepared.</w:t>
      </w:r>
    </w:p>
    <w:p w14:paraId="77546F81" w14:textId="77777777" w:rsidR="00697651" w:rsidRPr="000F5EDD" w:rsidRDefault="00697651" w:rsidP="00697651">
      <w:pPr>
        <w:pStyle w:val="Bullet"/>
        <w:spacing w:after="100"/>
        <w:rPr>
          <w:b/>
        </w:rPr>
      </w:pPr>
      <w:r w:rsidRPr="000F5EDD">
        <w:rPr>
          <w:b/>
        </w:rPr>
        <w:t xml:space="preserve">Priority 4: Embedding climate resilience in all government strategies and policies. </w:t>
      </w:r>
      <w:r w:rsidRPr="000F5EDD">
        <w:t>To embed climate resilience in all government strategies, this priority area is focused on five outcome areas: natural environment, homes, buildings and places, infrastructure, communities, and economy and finance. These areas are broadly consistent with those identified in the NCCRA.</w:t>
      </w:r>
    </w:p>
    <w:p w14:paraId="7D46AEF5" w14:textId="7C9276F9" w:rsidR="00697651" w:rsidRPr="000F5EDD" w:rsidRDefault="00697651" w:rsidP="00697651">
      <w:pPr>
        <w:pStyle w:val="BodyText"/>
        <w:spacing w:after="100"/>
      </w:pPr>
      <w:r w:rsidRPr="000F5EDD">
        <w:rPr>
          <w:lang w:eastAsia="en-US"/>
        </w:rPr>
        <w:t xml:space="preserve">In August 2024, the </w:t>
      </w:r>
      <w:r w:rsidR="00944020">
        <w:rPr>
          <w:lang w:eastAsia="en-US"/>
        </w:rPr>
        <w:t xml:space="preserve">Climate Change </w:t>
      </w:r>
      <w:r w:rsidRPr="000F5EDD">
        <w:rPr>
          <w:lang w:eastAsia="en-US"/>
        </w:rPr>
        <w:t>Commission released a report</w:t>
      </w:r>
      <w:r w:rsidRPr="000F5EDD">
        <w:rPr>
          <w:rStyle w:val="FootnoteReference"/>
          <w:lang w:eastAsia="en-US"/>
        </w:rPr>
        <w:footnoteReference w:id="252"/>
      </w:r>
      <w:r w:rsidRPr="000F5EDD">
        <w:rPr>
          <w:lang w:eastAsia="en-US"/>
        </w:rPr>
        <w:t xml:space="preserve"> on the implementation and effectiveness of NAP1 (see</w:t>
      </w:r>
      <w:hyperlink w:anchor="_Monitoring_and_evaluation" w:history="1">
        <w:r w:rsidRPr="00890B56">
          <w:rPr>
            <w:rStyle w:val="Hyperlink"/>
            <w:lang w:eastAsia="en-US"/>
          </w:rPr>
          <w:t xml:space="preserve"> section</w:t>
        </w:r>
        <w:r w:rsidRPr="00890B56">
          <w:rPr>
            <w:rStyle w:val="Hyperlink"/>
          </w:rPr>
          <w:t xml:space="preserve"> 3.</w:t>
        </w:r>
        <w:r w:rsidR="00170768" w:rsidRPr="00890B56">
          <w:rPr>
            <w:rStyle w:val="Hyperlink"/>
          </w:rPr>
          <w:t>7</w:t>
        </w:r>
      </w:hyperlink>
      <w:r w:rsidRPr="000F5EDD">
        <w:t>).</w:t>
      </w:r>
      <w:r w:rsidRPr="000F5EDD">
        <w:rPr>
          <w:lang w:eastAsia="en-US"/>
        </w:rPr>
        <w:t xml:space="preserve"> The Government </w:t>
      </w:r>
      <w:r w:rsidR="002E6362">
        <w:rPr>
          <w:lang w:eastAsia="en-US"/>
        </w:rPr>
        <w:t>is required</w:t>
      </w:r>
      <w:r w:rsidRPr="000F5EDD">
        <w:rPr>
          <w:lang w:eastAsia="en-US"/>
        </w:rPr>
        <w:t xml:space="preserve"> to publish a response to the Commission’s report. </w:t>
      </w:r>
    </w:p>
    <w:p w14:paraId="1BB2DA07" w14:textId="77777777" w:rsidR="00697651" w:rsidRPr="000F5EDD" w:rsidRDefault="00697651" w:rsidP="00EA02DE">
      <w:pPr>
        <w:pStyle w:val="Heading4"/>
        <w:numPr>
          <w:ilvl w:val="0"/>
          <w:numId w:val="61"/>
        </w:numPr>
      </w:pPr>
      <w:r w:rsidRPr="000F5EDD">
        <w:t>The adaptation framework</w:t>
      </w:r>
    </w:p>
    <w:p w14:paraId="2A12302C" w14:textId="3A49E76C" w:rsidR="007E1E65" w:rsidRPr="000F5EDD" w:rsidRDefault="007E1E65" w:rsidP="00DA411F">
      <w:pPr>
        <w:pStyle w:val="BodyText"/>
        <w:spacing w:after="100"/>
      </w:pPr>
      <w:r w:rsidRPr="77EBAE1E">
        <w:rPr>
          <w:lang w:eastAsia="en-US"/>
        </w:rPr>
        <w:t>The Government is developing an adaptation framework to strengthen how New Zealand prepares for the effects of climate change.</w:t>
      </w:r>
      <w:r>
        <w:t xml:space="preserve"> The adaptation framework is expected to</w:t>
      </w:r>
      <w:r w:rsidR="000F07C5">
        <w:t xml:space="preserve"> cover ways to</w:t>
      </w:r>
      <w:r>
        <w:t>:</w:t>
      </w:r>
    </w:p>
    <w:p w14:paraId="6B94E858" w14:textId="77777777" w:rsidR="00697651" w:rsidRPr="000F5EDD" w:rsidRDefault="00697651" w:rsidP="00DA411F">
      <w:pPr>
        <w:pStyle w:val="Bullet"/>
      </w:pPr>
      <w:r w:rsidRPr="000F5EDD">
        <w:t>minimise expected long-term costs</w:t>
      </w:r>
    </w:p>
    <w:p w14:paraId="4AA27B9E" w14:textId="77777777" w:rsidR="00697651" w:rsidRPr="000F5EDD" w:rsidRDefault="00697651" w:rsidP="00697651">
      <w:pPr>
        <w:pStyle w:val="Bullet"/>
        <w:spacing w:after="100"/>
      </w:pPr>
      <w:r w:rsidRPr="000F5EDD">
        <w:t xml:space="preserve">wherever possible, provide predictable, principled and rules-based responses and funding support, if any, to property owners </w:t>
      </w:r>
    </w:p>
    <w:p w14:paraId="566D3BC8" w14:textId="77777777" w:rsidR="00697651" w:rsidRPr="000F5EDD" w:rsidRDefault="00697651" w:rsidP="00697651">
      <w:pPr>
        <w:pStyle w:val="Bullet"/>
        <w:spacing w:after="100"/>
      </w:pPr>
      <w:r w:rsidRPr="000F5EDD">
        <w:t>improve climate risk and response information flows</w:t>
      </w:r>
    </w:p>
    <w:p w14:paraId="379B4A43" w14:textId="77777777" w:rsidR="00697651" w:rsidRPr="000F5EDD" w:rsidRDefault="00697651" w:rsidP="00697651">
      <w:pPr>
        <w:pStyle w:val="Bullet"/>
        <w:spacing w:after="100"/>
      </w:pPr>
      <w:r w:rsidRPr="000F5EDD">
        <w:t>address market failures and support market efficiency</w:t>
      </w:r>
    </w:p>
    <w:p w14:paraId="5B7CC7AD" w14:textId="77777777" w:rsidR="00697651" w:rsidRPr="000F5EDD" w:rsidRDefault="00697651" w:rsidP="00697651">
      <w:pPr>
        <w:pStyle w:val="Bullet"/>
        <w:spacing w:after="100"/>
      </w:pPr>
      <w:r w:rsidRPr="000F5EDD">
        <w:t>give people the incentive and the ability to manage risk.</w:t>
      </w:r>
    </w:p>
    <w:p w14:paraId="5D0521CB" w14:textId="77777777" w:rsidR="00697651" w:rsidRPr="000F5EDD" w:rsidRDefault="00697651" w:rsidP="00697651">
      <w:pPr>
        <w:pStyle w:val="BodyText"/>
        <w:spacing w:after="100"/>
        <w:rPr>
          <w:lang w:eastAsia="en-US"/>
        </w:rPr>
      </w:pPr>
      <w:r w:rsidRPr="000F5EDD">
        <w:t>It aims to help New Zealand prepare for the impacts of climate change and to clarify both the Government’s response to adaptation challenges and the roles of insurers, local government and other groups.</w:t>
      </w:r>
      <w:r w:rsidRPr="000F5EDD">
        <w:rPr>
          <w:lang w:eastAsia="en-US"/>
        </w:rPr>
        <w:t xml:space="preserve"> </w:t>
      </w:r>
    </w:p>
    <w:p w14:paraId="28EE62CE" w14:textId="128EA583" w:rsidR="00697651" w:rsidRPr="000F5EDD" w:rsidRDefault="00697651" w:rsidP="00697651">
      <w:pPr>
        <w:pStyle w:val="BodyText"/>
        <w:spacing w:after="100"/>
        <w:rPr>
          <w:lang w:eastAsia="en-US"/>
        </w:rPr>
      </w:pPr>
      <w:r w:rsidRPr="000F5EDD">
        <w:rPr>
          <w:lang w:eastAsia="en-US"/>
        </w:rPr>
        <w:t xml:space="preserve">The </w:t>
      </w:r>
      <w:r w:rsidR="00747FA2">
        <w:rPr>
          <w:lang w:eastAsia="en-US"/>
        </w:rPr>
        <w:t xml:space="preserve">current scope of the </w:t>
      </w:r>
      <w:r w:rsidRPr="000F5EDD">
        <w:rPr>
          <w:lang w:eastAsia="en-US"/>
        </w:rPr>
        <w:t>adaptation framework is aligned with the first three priority areas in NAP1 as it is focused on:</w:t>
      </w:r>
    </w:p>
    <w:p w14:paraId="5C514E8D" w14:textId="77777777" w:rsidR="00697651" w:rsidRPr="000F5EDD" w:rsidRDefault="00697651" w:rsidP="00697651">
      <w:pPr>
        <w:pStyle w:val="Bullet"/>
        <w:spacing w:after="100"/>
        <w:rPr>
          <w:lang w:eastAsia="en-US"/>
        </w:rPr>
      </w:pPr>
      <w:r w:rsidRPr="000F5EDD">
        <w:t>improving</w:t>
      </w:r>
      <w:r w:rsidRPr="000F5EDD">
        <w:rPr>
          <w:lang w:eastAsia="en-US"/>
        </w:rPr>
        <w:t xml:space="preserve"> the way information is shared, so all actors in the system can make informed decisions about how they manage climate risks</w:t>
      </w:r>
    </w:p>
    <w:p w14:paraId="363F6FA2" w14:textId="77777777" w:rsidR="00697651" w:rsidRPr="000F5EDD" w:rsidRDefault="00697651" w:rsidP="00697651">
      <w:pPr>
        <w:pStyle w:val="Bullet"/>
        <w:spacing w:after="100"/>
      </w:pPr>
      <w:r w:rsidRPr="000F5EDD">
        <w:rPr>
          <w:rFonts w:eastAsiaTheme="majorEastAsia"/>
        </w:rPr>
        <w:t>set</w:t>
      </w:r>
      <w:r w:rsidRPr="000F5EDD">
        <w:rPr>
          <w:lang w:eastAsia="en-US"/>
        </w:rPr>
        <w:t>ting</w:t>
      </w:r>
      <w:r w:rsidRPr="000F5EDD">
        <w:rPr>
          <w:rFonts w:eastAsiaTheme="majorEastAsia"/>
        </w:rPr>
        <w:t xml:space="preserve"> out the Government’s approach to sharing </w:t>
      </w:r>
      <w:r w:rsidRPr="000F5EDD">
        <w:rPr>
          <w:lang w:eastAsia="en-US"/>
        </w:rPr>
        <w:t>adaptation costs</w:t>
      </w:r>
    </w:p>
    <w:p w14:paraId="3AAA6FB8" w14:textId="77777777" w:rsidR="00697651" w:rsidRPr="000F5EDD" w:rsidRDefault="00697651" w:rsidP="00697651">
      <w:pPr>
        <w:pStyle w:val="Bullet"/>
        <w:spacing w:after="100"/>
      </w:pPr>
      <w:r w:rsidRPr="000F5EDD">
        <w:t>clarifying what</w:t>
      </w:r>
      <w:r w:rsidRPr="000F5EDD">
        <w:rPr>
          <w:lang w:eastAsia="en-US"/>
        </w:rPr>
        <w:t xml:space="preserve"> investment is available both for managing climate risks and during recovery from events </w:t>
      </w:r>
    </w:p>
    <w:p w14:paraId="378CC5D4" w14:textId="77777777" w:rsidR="00697651" w:rsidRPr="000F5EDD" w:rsidRDefault="00697651" w:rsidP="00697651">
      <w:pPr>
        <w:pStyle w:val="Bullet"/>
        <w:spacing w:after="100"/>
      </w:pPr>
      <w:r w:rsidRPr="000F5EDD">
        <w:t>making roles and responsibilities clear.</w:t>
      </w:r>
    </w:p>
    <w:p w14:paraId="2E8E23A5" w14:textId="77777777" w:rsidR="00697651" w:rsidRPr="000F5EDD" w:rsidRDefault="00697651" w:rsidP="00697651">
      <w:pPr>
        <w:pStyle w:val="BodyText"/>
        <w:rPr>
          <w:shd w:val="clear" w:color="auto" w:fill="FFFFFF"/>
        </w:rPr>
      </w:pPr>
      <w:r w:rsidRPr="000F5EDD">
        <w:rPr>
          <w:lang w:eastAsia="en-US"/>
        </w:rPr>
        <w:t>This work will help deliver on a number of current actions in NAP1</w:t>
      </w:r>
      <w:r w:rsidRPr="000F5EDD">
        <w:rPr>
          <w:shd w:val="clear" w:color="auto" w:fill="FFFFFF"/>
        </w:rPr>
        <w:t>. The Government will also consider if new legislation is required.</w:t>
      </w:r>
    </w:p>
    <w:p w14:paraId="1DFA2B50" w14:textId="4360C5F9" w:rsidR="00697651" w:rsidRPr="000F5EDD" w:rsidRDefault="00697651" w:rsidP="00697651">
      <w:pPr>
        <w:pStyle w:val="BodyText"/>
        <w:keepNext/>
        <w:keepLines/>
        <w:rPr>
          <w:color w:val="000000" w:themeColor="text1"/>
        </w:rPr>
      </w:pPr>
      <w:r w:rsidRPr="000F5EDD">
        <w:rPr>
          <w:shd w:val="clear" w:color="auto" w:fill="FFFFFF"/>
        </w:rPr>
        <w:t>As part of the work on the adaptation framework, Parliament’s Finance and Expenditure Committee has conducted an inquiry into climate adaptation and has provided recommendations for guiding objectives and principles for the adaptation framework.</w:t>
      </w:r>
      <w:r w:rsidRPr="000F5EDD">
        <w:rPr>
          <w:rStyle w:val="FootnoteReference"/>
          <w:rFonts w:eastAsiaTheme="majorEastAsia" w:cs="Calibri"/>
          <w:shd w:val="clear" w:color="auto" w:fill="FFFFFF"/>
        </w:rPr>
        <w:footnoteReference w:id="253"/>
      </w:r>
      <w:r w:rsidRPr="000F5EDD">
        <w:rPr>
          <w:shd w:val="clear" w:color="auto" w:fill="FFFFFF"/>
        </w:rPr>
        <w:t xml:space="preserve"> This</w:t>
      </w:r>
      <w:r w:rsidR="00912BB5">
        <w:rPr>
          <w:shd w:val="clear" w:color="auto" w:fill="FFFFFF"/>
        </w:rPr>
        <w:t> </w:t>
      </w:r>
      <w:r w:rsidRPr="000F5EDD">
        <w:rPr>
          <w:shd w:val="clear" w:color="auto" w:fill="FFFFFF"/>
        </w:rPr>
        <w:t xml:space="preserve">inquiry builds on </w:t>
      </w:r>
      <w:r w:rsidRPr="000F5EDD">
        <w:rPr>
          <w:color w:val="000000" w:themeColor="text1"/>
        </w:rPr>
        <w:t xml:space="preserve">the </w:t>
      </w:r>
      <w:r w:rsidRPr="000F5EDD">
        <w:rPr>
          <w:shd w:val="clear" w:color="auto" w:fill="FFFFFF"/>
        </w:rPr>
        <w:t>Environment Committee’s previous inquiry into climate adaptation</w:t>
      </w:r>
      <w:r w:rsidRPr="000F5EDD">
        <w:rPr>
          <w:color w:val="000000" w:themeColor="text1"/>
        </w:rPr>
        <w:t>.</w:t>
      </w:r>
    </w:p>
    <w:p w14:paraId="215C62A6" w14:textId="77777777" w:rsidR="00697651" w:rsidRPr="000F5EDD" w:rsidRDefault="00697651" w:rsidP="00D612B5">
      <w:pPr>
        <w:pStyle w:val="Heading3"/>
        <w:numPr>
          <w:ilvl w:val="0"/>
          <w:numId w:val="53"/>
        </w:numPr>
        <w:ind w:left="1134" w:hanging="1134"/>
      </w:pPr>
      <w:r w:rsidRPr="000F5EDD">
        <w:t>Adaptation challenges and gaps, and barriers to adaptation</w:t>
      </w:r>
    </w:p>
    <w:p w14:paraId="704131D3" w14:textId="77777777" w:rsidR="00697651" w:rsidRPr="000F5EDD" w:rsidRDefault="00697651" w:rsidP="00EA02DE">
      <w:pPr>
        <w:pStyle w:val="Heading4"/>
        <w:numPr>
          <w:ilvl w:val="0"/>
          <w:numId w:val="65"/>
        </w:numPr>
      </w:pPr>
      <w:r w:rsidRPr="000F5EDD">
        <w:t>Challenges and gaps in adaptation</w:t>
      </w:r>
    </w:p>
    <w:p w14:paraId="10215C59" w14:textId="729C2204" w:rsidR="00697651" w:rsidRPr="000F5EDD" w:rsidRDefault="00697651" w:rsidP="00697651">
      <w:pPr>
        <w:pStyle w:val="BodyText"/>
        <w:rPr>
          <w:rFonts w:asciiTheme="minorHAnsi" w:hAnsiTheme="minorHAnsi"/>
        </w:rPr>
      </w:pPr>
      <w:r w:rsidRPr="000F5EDD">
        <w:t>The Commission recognises a number of challenges for adaptation in New Zealand in its</w:t>
      </w:r>
      <w:r w:rsidR="00C22428">
        <w:t> </w:t>
      </w:r>
      <w:r w:rsidRPr="000F5EDD">
        <w:t>August 2024 progress report on the implementation and effectiveness of the NAP</w:t>
      </w:r>
      <w:r w:rsidRPr="000F5EDD">
        <w:rPr>
          <w:rStyle w:val="FootnoteReference"/>
        </w:rPr>
        <w:footnoteReference w:id="254"/>
      </w:r>
      <w:r w:rsidRPr="000F5EDD">
        <w:t xml:space="preserve"> (see</w:t>
      </w:r>
      <w:r w:rsidR="00C22428">
        <w:t> </w:t>
      </w:r>
      <w:hyperlink w:anchor="_Progress_on_implementing" w:history="1">
        <w:r w:rsidRPr="00C22428">
          <w:rPr>
            <w:rStyle w:val="Hyperlink"/>
          </w:rPr>
          <w:t>section 3.6.1</w:t>
        </w:r>
      </w:hyperlink>
      <w:r w:rsidRPr="000F5EDD">
        <w:t xml:space="preserve">). </w:t>
      </w:r>
    </w:p>
    <w:p w14:paraId="6AE07D00" w14:textId="77777777" w:rsidR="00697651" w:rsidRPr="000F5EDD" w:rsidRDefault="00697651" w:rsidP="00EA02DE">
      <w:pPr>
        <w:pStyle w:val="Heading4"/>
        <w:numPr>
          <w:ilvl w:val="0"/>
          <w:numId w:val="65"/>
        </w:numPr>
      </w:pPr>
      <w:bookmarkStart w:id="782" w:name="section3422"/>
      <w:bookmarkEnd w:id="782"/>
      <w:r w:rsidRPr="000F5EDD">
        <w:t>Knowledge, information and data gaps</w:t>
      </w:r>
    </w:p>
    <w:p w14:paraId="41284B75" w14:textId="2E6DD395" w:rsidR="00697651" w:rsidRPr="000F5EDD" w:rsidRDefault="00697651" w:rsidP="00697651">
      <w:pPr>
        <w:pStyle w:val="BodyText"/>
      </w:pPr>
      <w:r w:rsidRPr="000F5EDD">
        <w:t>The NCCRA1 identified knowledge, information and data gaps. To address these gaps, NAP1 prioritised research themes out to 2028.</w:t>
      </w:r>
      <w:r w:rsidRPr="000F5EDD">
        <w:rPr>
          <w:rStyle w:val="FootnoteReference"/>
        </w:rPr>
        <w:footnoteReference w:id="255"/>
      </w:r>
      <w:r w:rsidRPr="000F5EDD">
        <w:t xml:space="preserve"> </w:t>
      </w:r>
      <w:r w:rsidR="005F5579">
        <w:t xml:space="preserve">Table 3.4 </w:t>
      </w:r>
      <w:r w:rsidRPr="000F5EDD">
        <w:t>outlines these gaps and associated actions. The prioritised research themes, however, will not close all the identified gaps and additional actions will be required beyond 2028.</w:t>
      </w:r>
    </w:p>
    <w:p w14:paraId="41E3950E" w14:textId="73DB88C0" w:rsidR="00697651" w:rsidRPr="000F5EDD" w:rsidRDefault="00697651" w:rsidP="00697651">
      <w:pPr>
        <w:pStyle w:val="Tableheading"/>
      </w:pPr>
      <w:bookmarkStart w:id="783" w:name="_Ref179365468"/>
      <w:bookmarkStart w:id="784" w:name="_Toc178603917"/>
      <w:bookmarkStart w:id="785" w:name="_Toc185407505"/>
      <w:bookmarkStart w:id="786" w:name="_Toc185427768"/>
      <w:r w:rsidRPr="000F5EDD">
        <w:t>Table 3.</w:t>
      </w:r>
      <w:bookmarkEnd w:id="783"/>
      <w:r w:rsidR="00C54C0F">
        <w:t>4</w:t>
      </w:r>
      <w:r w:rsidRPr="000F5EDD">
        <w:t>:</w:t>
      </w:r>
      <w:r w:rsidRPr="000F5EDD">
        <w:tab/>
        <w:t>Gaps in adaptation and actions to address them</w:t>
      </w:r>
      <w:bookmarkEnd w:id="784"/>
      <w:bookmarkEnd w:id="785"/>
      <w:bookmarkEnd w:id="786"/>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4398"/>
        <w:gridCol w:w="4107"/>
      </w:tblGrid>
      <w:tr w:rsidR="00697651" w:rsidRPr="000F5EDD" w14:paraId="7450C110" w14:textId="77777777">
        <w:trPr>
          <w:trHeight w:val="319"/>
        </w:trPr>
        <w:tc>
          <w:tcPr>
            <w:tcW w:w="4395" w:type="dxa"/>
            <w:tcBorders>
              <w:top w:val="single" w:sz="4" w:space="0" w:color="1B556B"/>
              <w:left w:val="nil"/>
              <w:bottom w:val="single" w:sz="4" w:space="0" w:color="1B556B"/>
              <w:right w:val="single" w:sz="4" w:space="0" w:color="1B556B"/>
            </w:tcBorders>
            <w:shd w:val="clear" w:color="auto" w:fill="1B556B"/>
            <w:hideMark/>
          </w:tcPr>
          <w:p w14:paraId="52DA13D9" w14:textId="77777777" w:rsidR="00697651" w:rsidRPr="000F5EDD" w:rsidRDefault="00697651">
            <w:pPr>
              <w:pStyle w:val="TableText"/>
              <w:spacing w:before="40" w:after="40"/>
              <w:jc w:val="both"/>
              <w:rPr>
                <w:b/>
                <w:bCs/>
                <w:color w:val="FFFFFF" w:themeColor="background1"/>
                <w:szCs w:val="18"/>
              </w:rPr>
            </w:pPr>
            <w:r w:rsidRPr="000F5EDD">
              <w:rPr>
                <w:b/>
                <w:bCs/>
                <w:color w:val="FFFFFF" w:themeColor="background1"/>
                <w:szCs w:val="18"/>
              </w:rPr>
              <w:t>Identified gaps</w:t>
            </w:r>
          </w:p>
        </w:tc>
        <w:tc>
          <w:tcPr>
            <w:tcW w:w="4105" w:type="dxa"/>
            <w:tcBorders>
              <w:top w:val="single" w:sz="4" w:space="0" w:color="1B556B"/>
              <w:left w:val="single" w:sz="4" w:space="0" w:color="1B556B"/>
              <w:bottom w:val="single" w:sz="4" w:space="0" w:color="1B556B"/>
              <w:right w:val="single" w:sz="4" w:space="0" w:color="1B556B"/>
            </w:tcBorders>
            <w:shd w:val="clear" w:color="auto" w:fill="1B556B"/>
          </w:tcPr>
          <w:p w14:paraId="13385CE7" w14:textId="77777777" w:rsidR="00697651" w:rsidRPr="000F5EDD" w:rsidRDefault="00697651">
            <w:pPr>
              <w:pStyle w:val="TableText"/>
              <w:spacing w:before="40" w:after="40"/>
              <w:jc w:val="both"/>
              <w:rPr>
                <w:b/>
                <w:bCs/>
                <w:color w:val="FFFFFF" w:themeColor="background1"/>
                <w:szCs w:val="18"/>
              </w:rPr>
            </w:pPr>
            <w:r w:rsidRPr="000F5EDD">
              <w:rPr>
                <w:b/>
                <w:bCs/>
                <w:color w:val="FFFFFF" w:themeColor="background1"/>
                <w:szCs w:val="18"/>
              </w:rPr>
              <w:t>Research themes prioritised to address gaps</w:t>
            </w:r>
          </w:p>
        </w:tc>
      </w:tr>
      <w:tr w:rsidR="00697651" w:rsidRPr="000F5EDD" w14:paraId="20BDB3E9" w14:textId="77777777">
        <w:trPr>
          <w:trHeight w:val="1073"/>
        </w:trPr>
        <w:tc>
          <w:tcPr>
            <w:tcW w:w="4395" w:type="dxa"/>
            <w:tcBorders>
              <w:top w:val="single" w:sz="4" w:space="0" w:color="1B556B"/>
              <w:left w:val="nil"/>
              <w:right w:val="single" w:sz="4" w:space="0" w:color="1B556B"/>
            </w:tcBorders>
          </w:tcPr>
          <w:p w14:paraId="590B7706" w14:textId="77777777" w:rsidR="00697651" w:rsidRPr="000F5EDD" w:rsidRDefault="00697651">
            <w:pPr>
              <w:pStyle w:val="TableBullet"/>
              <w:rPr>
                <w:szCs w:val="18"/>
              </w:rPr>
            </w:pPr>
            <w:r w:rsidRPr="000F5EDD">
              <w:rPr>
                <w:szCs w:val="18"/>
              </w:rPr>
              <w:t>Coordinated and readily accessible biological inventories and datasets describing the distribution and status of ecosystems and species</w:t>
            </w:r>
          </w:p>
          <w:p w14:paraId="27E216E5" w14:textId="77777777" w:rsidR="00697651" w:rsidRPr="000F5EDD" w:rsidRDefault="00697651">
            <w:pPr>
              <w:pStyle w:val="TableBullet"/>
              <w:rPr>
                <w:szCs w:val="18"/>
              </w:rPr>
            </w:pPr>
            <w:r w:rsidRPr="000F5EDD">
              <w:rPr>
                <w:szCs w:val="18"/>
              </w:rPr>
              <w:t>The relationship between social vulnerabilities, cultural heritage and climate change, along with impacts on Māori social, cultural, spiritual and economic wellbeing</w:t>
            </w:r>
          </w:p>
          <w:p w14:paraId="27951061" w14:textId="77777777" w:rsidR="00697651" w:rsidRPr="000F5EDD" w:rsidRDefault="00697651">
            <w:pPr>
              <w:pStyle w:val="TableBullet"/>
              <w:rPr>
                <w:szCs w:val="18"/>
              </w:rPr>
            </w:pPr>
            <w:r w:rsidRPr="000F5EDD">
              <w:rPr>
                <w:szCs w:val="18"/>
              </w:rPr>
              <w:t>How climate change will affect the banking and insurance sectors, and the flow-on effects on the financial system</w:t>
            </w:r>
          </w:p>
          <w:p w14:paraId="1CA23421" w14:textId="77777777" w:rsidR="00697651" w:rsidRPr="000F5EDD" w:rsidRDefault="00697651">
            <w:pPr>
              <w:pStyle w:val="TableBullet"/>
              <w:rPr>
                <w:szCs w:val="18"/>
              </w:rPr>
            </w:pPr>
            <w:r w:rsidRPr="000F5EDD">
              <w:rPr>
                <w:szCs w:val="18"/>
              </w:rPr>
              <w:t>Consistent hazard information for assessing the exposure of the built environment at a national scale</w:t>
            </w:r>
          </w:p>
          <w:p w14:paraId="15B69621" w14:textId="77777777" w:rsidR="00697651" w:rsidRPr="000F5EDD" w:rsidRDefault="00697651">
            <w:pPr>
              <w:pStyle w:val="TableBullet"/>
              <w:rPr>
                <w:szCs w:val="18"/>
              </w:rPr>
            </w:pPr>
            <w:r w:rsidRPr="000F5EDD">
              <w:rPr>
                <w:szCs w:val="18"/>
              </w:rPr>
              <w:t>The interdependencies and shared risks between infrastructure sectors</w:t>
            </w:r>
          </w:p>
          <w:p w14:paraId="18AA360D" w14:textId="77777777" w:rsidR="00697651" w:rsidRPr="000F5EDD" w:rsidRDefault="00697651">
            <w:pPr>
              <w:pStyle w:val="TableBullet"/>
              <w:rPr>
                <w:szCs w:val="18"/>
              </w:rPr>
            </w:pPr>
            <w:r w:rsidRPr="000F5EDD">
              <w:rPr>
                <w:szCs w:val="18"/>
              </w:rPr>
              <w:t>A coordinated, comprehensive research platform, to ensure research is available to inform effective adaptation</w:t>
            </w:r>
          </w:p>
          <w:p w14:paraId="54E83DD4" w14:textId="77777777" w:rsidR="00697651" w:rsidRPr="000F5EDD" w:rsidRDefault="00697651">
            <w:pPr>
              <w:pStyle w:val="TableBullet"/>
              <w:rPr>
                <w:szCs w:val="18"/>
              </w:rPr>
            </w:pPr>
            <w:r w:rsidRPr="000F5EDD">
              <w:rPr>
                <w:szCs w:val="18"/>
              </w:rPr>
              <w:t>The full range of opportunities and better understanding of those already identified</w:t>
            </w:r>
          </w:p>
          <w:p w14:paraId="6C98D531" w14:textId="77777777" w:rsidR="00697651" w:rsidRPr="000F5EDD" w:rsidRDefault="00697651">
            <w:pPr>
              <w:pStyle w:val="TableBullet"/>
              <w:rPr>
                <w:szCs w:val="18"/>
              </w:rPr>
            </w:pPr>
            <w:r w:rsidRPr="000F5EDD">
              <w:rPr>
                <w:szCs w:val="18"/>
              </w:rPr>
              <w:t>The current and future barriers to adaptation</w:t>
            </w:r>
          </w:p>
        </w:tc>
        <w:tc>
          <w:tcPr>
            <w:tcW w:w="4105" w:type="dxa"/>
            <w:tcBorders>
              <w:top w:val="single" w:sz="4" w:space="0" w:color="1B556B"/>
              <w:left w:val="single" w:sz="4" w:space="0" w:color="1B556B"/>
              <w:right w:val="nil"/>
            </w:tcBorders>
          </w:tcPr>
          <w:p w14:paraId="3E379736" w14:textId="77777777" w:rsidR="00697651" w:rsidRPr="000F5EDD" w:rsidRDefault="00697651">
            <w:pPr>
              <w:pStyle w:val="TableBullet"/>
              <w:rPr>
                <w:szCs w:val="18"/>
              </w:rPr>
            </w:pPr>
            <w:r w:rsidRPr="000F5EDD">
              <w:rPr>
                <w:szCs w:val="18"/>
              </w:rPr>
              <w:t>Collate and complete priority data on risk (vulnerability, hazards, exposure)</w:t>
            </w:r>
          </w:p>
          <w:p w14:paraId="75B0C75C" w14:textId="77777777" w:rsidR="00697651" w:rsidRPr="000F5EDD" w:rsidDel="000B3845" w:rsidRDefault="00697651">
            <w:pPr>
              <w:pStyle w:val="TableBullet"/>
              <w:rPr>
                <w:szCs w:val="18"/>
              </w:rPr>
            </w:pPr>
            <w:r w:rsidRPr="000F5EDD">
              <w:rPr>
                <w:szCs w:val="18"/>
              </w:rPr>
              <w:t>Provide open-access data, accessible to a variety of audiences</w:t>
            </w:r>
          </w:p>
          <w:p w14:paraId="19DCFEF9" w14:textId="77777777" w:rsidR="00697651" w:rsidRPr="000F5EDD" w:rsidRDefault="00697651">
            <w:pPr>
              <w:pStyle w:val="TableBullet"/>
              <w:rPr>
                <w:szCs w:val="18"/>
              </w:rPr>
            </w:pPr>
            <w:r w:rsidRPr="000F5EDD">
              <w:rPr>
                <w:szCs w:val="18"/>
              </w:rPr>
              <w:t>Design, implement and share research platforms</w:t>
            </w:r>
          </w:p>
          <w:p w14:paraId="4E2E5552" w14:textId="77777777" w:rsidR="00697651" w:rsidRPr="000F5EDD" w:rsidRDefault="00697651">
            <w:pPr>
              <w:pStyle w:val="TableBullet"/>
              <w:rPr>
                <w:szCs w:val="18"/>
              </w:rPr>
            </w:pPr>
            <w:r w:rsidRPr="000F5EDD">
              <w:rPr>
                <w:szCs w:val="18"/>
              </w:rPr>
              <w:t xml:space="preserve">Transform data into knowledge about ecosystems and community vulnerability to changing conditions and extreme events </w:t>
            </w:r>
          </w:p>
          <w:p w14:paraId="628C13D6" w14:textId="77777777" w:rsidR="00697651" w:rsidRPr="000F5EDD" w:rsidRDefault="00697651">
            <w:pPr>
              <w:pStyle w:val="TableBullet"/>
              <w:rPr>
                <w:szCs w:val="18"/>
              </w:rPr>
            </w:pPr>
            <w:r w:rsidRPr="000F5EDD">
              <w:rPr>
                <w:szCs w:val="18"/>
              </w:rPr>
              <w:t>Support mātauranga Māori and kaupapa Māori research, including the development of iwi and Māori climate data and information</w:t>
            </w:r>
          </w:p>
          <w:p w14:paraId="32E1EBE8" w14:textId="77777777" w:rsidR="00697651" w:rsidRPr="000F5EDD" w:rsidDel="000B3845" w:rsidRDefault="00697651">
            <w:pPr>
              <w:pStyle w:val="TableBullet"/>
              <w:rPr>
                <w:szCs w:val="18"/>
              </w:rPr>
            </w:pPr>
            <w:r w:rsidRPr="000F5EDD">
              <w:rPr>
                <w:szCs w:val="18"/>
              </w:rPr>
              <w:t>Monitor and evaluate the effects of policy and interventions</w:t>
            </w:r>
          </w:p>
          <w:p w14:paraId="20240417" w14:textId="77777777" w:rsidR="00697651" w:rsidRPr="000F5EDD" w:rsidDel="000B3845" w:rsidRDefault="00697651">
            <w:pPr>
              <w:pStyle w:val="TableBullet"/>
              <w:rPr>
                <w:szCs w:val="18"/>
              </w:rPr>
            </w:pPr>
            <w:r w:rsidRPr="000F5EDD">
              <w:rPr>
                <w:szCs w:val="18"/>
              </w:rPr>
              <w:t>Monitor and evaluate ecosystems, sensitivity and adaptive capacity</w:t>
            </w:r>
            <w:r w:rsidRPr="000F5EDD" w:rsidDel="007252CE">
              <w:rPr>
                <w:szCs w:val="18"/>
              </w:rPr>
              <w:t xml:space="preserve"> </w:t>
            </w:r>
          </w:p>
        </w:tc>
      </w:tr>
    </w:tbl>
    <w:p w14:paraId="28ABA50C" w14:textId="77777777" w:rsidR="00697651" w:rsidRPr="000F5EDD" w:rsidRDefault="00697651" w:rsidP="00697651">
      <w:pPr>
        <w:pStyle w:val="Source"/>
      </w:pPr>
      <w:r w:rsidRPr="000F5EDD">
        <w:t xml:space="preserve">Source: Updated based on Ministry for the Environment. 2022. </w:t>
      </w:r>
      <w:hyperlink r:id="rId167" w:history="1">
        <w:r w:rsidRPr="000F5EDD">
          <w:rPr>
            <w:rStyle w:val="Hyperlink"/>
            <w:i/>
            <w:sz w:val="19"/>
            <w:szCs w:val="19"/>
          </w:rPr>
          <w:t>New Zealand's Eighth National Communication</w:t>
        </w:r>
      </w:hyperlink>
      <w:r w:rsidRPr="000F5EDD">
        <w:rPr>
          <w:rStyle w:val="Hyperlink"/>
          <w:color w:val="auto"/>
          <w:sz w:val="19"/>
          <w:szCs w:val="19"/>
        </w:rPr>
        <w:t xml:space="preserve">. </w:t>
      </w:r>
      <w:r w:rsidRPr="000F5EDD">
        <w:rPr>
          <w:rFonts w:cs="Calibri"/>
          <w:color w:val="000000"/>
          <w:shd w:val="clear" w:color="auto" w:fill="FFFFFF"/>
        </w:rPr>
        <w:t>Wellington: Ministry for the Environment.</w:t>
      </w:r>
    </w:p>
    <w:p w14:paraId="5BE78810" w14:textId="77777777" w:rsidR="00697651" w:rsidRPr="000F5EDD" w:rsidRDefault="00697651" w:rsidP="00EA02DE">
      <w:pPr>
        <w:pStyle w:val="Heading4"/>
        <w:numPr>
          <w:ilvl w:val="0"/>
          <w:numId w:val="65"/>
        </w:numPr>
      </w:pPr>
      <w:r w:rsidRPr="000F5EDD">
        <w:t>Barriers to adaptation</w:t>
      </w:r>
    </w:p>
    <w:p w14:paraId="5C5BAB52" w14:textId="44A68638" w:rsidR="00697651" w:rsidRPr="000F5EDD" w:rsidRDefault="00B3325F" w:rsidP="00697651">
      <w:pPr>
        <w:pStyle w:val="BodyText"/>
        <w:rPr>
          <w:sz w:val="20"/>
        </w:rPr>
      </w:pPr>
      <w:bookmarkStart w:id="787" w:name="_Mātauranga_Māori-based_gaps"/>
      <w:bookmarkEnd w:id="787"/>
      <w:r w:rsidRPr="000F5EDD" w:rsidDel="0001623B">
        <w:t>Table 3.</w:t>
      </w:r>
      <w:r w:rsidDel="0001623B">
        <w:t>5</w:t>
      </w:r>
      <w:r w:rsidR="005C0678">
        <w:t xml:space="preserve"> </w:t>
      </w:r>
      <w:r w:rsidR="00697651" w:rsidRPr="000F5EDD">
        <w:t>outlines barriers to adaptation from a range of key sources. These include the report</w:t>
      </w:r>
      <w:r w:rsidR="009E71BE">
        <w:rPr>
          <w:i/>
        </w:rPr>
        <w:t> </w:t>
      </w:r>
      <w:r w:rsidR="00697651" w:rsidRPr="000F5EDD">
        <w:rPr>
          <w:i/>
        </w:rPr>
        <w:t>Adaptation Preparedness: 2024 Update</w:t>
      </w:r>
      <w:r w:rsidR="00697651" w:rsidRPr="000F5EDD">
        <w:t>,</w:t>
      </w:r>
      <w:r w:rsidR="00697651" w:rsidRPr="000F5EDD">
        <w:rPr>
          <w:rStyle w:val="FootnoteReference"/>
        </w:rPr>
        <w:footnoteReference w:id="256"/>
      </w:r>
      <w:r w:rsidR="00697651" w:rsidRPr="000F5EDD">
        <w:t xml:space="preserve"> submissions to the climate adaptation inquiries,</w:t>
      </w:r>
      <w:r w:rsidR="00697651" w:rsidRPr="000F5EDD">
        <w:rPr>
          <w:rStyle w:val="FootnoteReference"/>
        </w:rPr>
        <w:footnoteReference w:id="257"/>
      </w:r>
      <w:r w:rsidR="00697651" w:rsidRPr="000F5EDD">
        <w:rPr>
          <w:vertAlign w:val="superscript"/>
        </w:rPr>
        <w:t xml:space="preserve">, </w:t>
      </w:r>
      <w:r w:rsidR="00697651" w:rsidRPr="000F5EDD">
        <w:rPr>
          <w:rStyle w:val="FootnoteReference"/>
        </w:rPr>
        <w:footnoteReference w:id="258"/>
      </w:r>
      <w:r w:rsidR="00697651" w:rsidRPr="000F5EDD">
        <w:t xml:space="preserve"> </w:t>
      </w:r>
      <w:r w:rsidR="00697651" w:rsidRPr="000F5EDD">
        <w:rPr>
          <w:i/>
        </w:rPr>
        <w:t>Community-led Retreat and Adaptation Funding: Issues and Options</w:t>
      </w:r>
      <w:r w:rsidR="00697651" w:rsidRPr="000F5EDD">
        <w:rPr>
          <w:iCs/>
        </w:rPr>
        <w:t>,</w:t>
      </w:r>
      <w:r w:rsidR="00697651" w:rsidRPr="000F5EDD">
        <w:rPr>
          <w:rStyle w:val="FootnoteReference"/>
        </w:rPr>
        <w:footnoteReference w:id="259"/>
      </w:r>
      <w:r w:rsidR="00697651" w:rsidRPr="000F5EDD">
        <w:t xml:space="preserve"> </w:t>
      </w:r>
      <w:r w:rsidR="00697651" w:rsidRPr="000F5EDD">
        <w:rPr>
          <w:i/>
        </w:rPr>
        <w:t>Report</w:t>
      </w:r>
      <w:r w:rsidR="009E71BE">
        <w:rPr>
          <w:i/>
        </w:rPr>
        <w:t> </w:t>
      </w:r>
      <w:r w:rsidR="00697651" w:rsidRPr="000F5EDD">
        <w:rPr>
          <w:i/>
        </w:rPr>
        <w:t>of the Expert Working Group on Managed Retreat</w:t>
      </w:r>
      <w:r w:rsidR="00697651" w:rsidRPr="000F5EDD">
        <w:rPr>
          <w:iCs/>
        </w:rPr>
        <w:t>,</w:t>
      </w:r>
      <w:r w:rsidR="00697651" w:rsidRPr="000F5EDD">
        <w:rPr>
          <w:rStyle w:val="FootnoteReference"/>
        </w:rPr>
        <w:footnoteReference w:id="260"/>
      </w:r>
      <w:r w:rsidR="00697651" w:rsidRPr="000F5EDD">
        <w:t xml:space="preserve"> NAP1</w:t>
      </w:r>
      <w:r w:rsidR="00697651" w:rsidRPr="000F5EDD">
        <w:rPr>
          <w:rStyle w:val="FootnoteReference"/>
        </w:rPr>
        <w:footnoteReference w:id="261"/>
      </w:r>
      <w:r w:rsidR="00697651" w:rsidRPr="000F5EDD">
        <w:t xml:space="preserve"> and NCCRA1.</w:t>
      </w:r>
      <w:r w:rsidR="00697651" w:rsidRPr="000F5EDD">
        <w:rPr>
          <w:rStyle w:val="FootnoteReference"/>
        </w:rPr>
        <w:footnoteReference w:id="262"/>
      </w:r>
      <w:bookmarkStart w:id="788" w:name="_Toc172716720"/>
    </w:p>
    <w:p w14:paraId="43C85D01" w14:textId="1331BA6D" w:rsidR="00697651" w:rsidRPr="000F5EDD" w:rsidRDefault="00697651" w:rsidP="00697651">
      <w:pPr>
        <w:pStyle w:val="Tableheading"/>
        <w:ind w:left="0" w:firstLine="0"/>
      </w:pPr>
      <w:bookmarkStart w:id="789" w:name="_Ref179365716"/>
      <w:bookmarkStart w:id="790" w:name="_Toc178603918"/>
      <w:bookmarkStart w:id="791" w:name="_Toc185407506"/>
      <w:bookmarkStart w:id="792" w:name="_Toc185427769"/>
      <w:r w:rsidRPr="000F5EDD">
        <w:t>Table 3.</w:t>
      </w:r>
      <w:r w:rsidR="00F708A9">
        <w:t>5</w:t>
      </w:r>
      <w:bookmarkEnd w:id="789"/>
      <w:r w:rsidRPr="000F5EDD">
        <w:t>:</w:t>
      </w:r>
      <w:r w:rsidRPr="000F5EDD">
        <w:tab/>
        <w:t>Barriers to adaptation</w:t>
      </w:r>
      <w:bookmarkEnd w:id="788"/>
      <w:bookmarkEnd w:id="790"/>
      <w:bookmarkEnd w:id="791"/>
      <w:bookmarkEnd w:id="792"/>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1985"/>
        <w:gridCol w:w="6520"/>
      </w:tblGrid>
      <w:tr w:rsidR="00697651" w:rsidRPr="000F5EDD" w14:paraId="1CC59832" w14:textId="77777777" w:rsidTr="0044676F">
        <w:trPr>
          <w:tblHeader/>
        </w:trPr>
        <w:tc>
          <w:tcPr>
            <w:tcW w:w="1985" w:type="dxa"/>
            <w:tcBorders>
              <w:top w:val="single" w:sz="4" w:space="0" w:color="1B556B"/>
              <w:left w:val="nil"/>
              <w:bottom w:val="single" w:sz="4" w:space="0" w:color="1B556B"/>
              <w:right w:val="single" w:sz="4" w:space="0" w:color="1B556B"/>
            </w:tcBorders>
            <w:shd w:val="clear" w:color="auto" w:fill="1B556B"/>
          </w:tcPr>
          <w:p w14:paraId="78A4BEA2" w14:textId="77777777" w:rsidR="00697651" w:rsidRPr="000F5EDD" w:rsidRDefault="00697651">
            <w:pPr>
              <w:pStyle w:val="TableText"/>
              <w:spacing w:before="40" w:after="40"/>
              <w:jc w:val="both"/>
              <w:rPr>
                <w:b/>
                <w:bCs/>
                <w:color w:val="FFFFFF" w:themeColor="background1"/>
              </w:rPr>
            </w:pPr>
            <w:r w:rsidRPr="000F5EDD">
              <w:rPr>
                <w:b/>
                <w:bCs/>
                <w:color w:val="FFFFFF" w:themeColor="background1"/>
              </w:rPr>
              <w:t>Source</w:t>
            </w:r>
          </w:p>
        </w:tc>
        <w:tc>
          <w:tcPr>
            <w:tcW w:w="6520" w:type="dxa"/>
            <w:tcBorders>
              <w:top w:val="single" w:sz="4" w:space="0" w:color="1B556B"/>
              <w:left w:val="single" w:sz="4" w:space="0" w:color="1B556B"/>
              <w:bottom w:val="single" w:sz="4" w:space="0" w:color="1B556B"/>
              <w:right w:val="single" w:sz="4" w:space="0" w:color="1B556B"/>
            </w:tcBorders>
            <w:shd w:val="clear" w:color="auto" w:fill="1B556B"/>
          </w:tcPr>
          <w:p w14:paraId="633253CC" w14:textId="77777777" w:rsidR="00697651" w:rsidRPr="000F5EDD" w:rsidRDefault="00697651">
            <w:pPr>
              <w:pStyle w:val="TableText"/>
              <w:spacing w:before="40" w:after="40"/>
              <w:jc w:val="both"/>
              <w:rPr>
                <w:b/>
                <w:bCs/>
                <w:color w:val="FFFFFF" w:themeColor="background1"/>
              </w:rPr>
            </w:pPr>
            <w:r w:rsidRPr="000F5EDD">
              <w:rPr>
                <w:b/>
                <w:bCs/>
                <w:color w:val="FFFFFF" w:themeColor="background1"/>
              </w:rPr>
              <w:t>Specific barriers</w:t>
            </w:r>
          </w:p>
        </w:tc>
      </w:tr>
      <w:tr w:rsidR="00697651" w:rsidRPr="000F5EDD" w:rsidDel="000B3845" w14:paraId="784FBF6B" w14:textId="77777777" w:rsidTr="0044676F">
        <w:trPr>
          <w:trHeight w:val="491"/>
        </w:trPr>
        <w:tc>
          <w:tcPr>
            <w:tcW w:w="1985" w:type="dxa"/>
            <w:tcBorders>
              <w:top w:val="single" w:sz="4" w:space="0" w:color="1B556B"/>
              <w:left w:val="nil"/>
              <w:bottom w:val="single" w:sz="4" w:space="0" w:color="1B556B"/>
              <w:right w:val="single" w:sz="4" w:space="0" w:color="1B556B"/>
            </w:tcBorders>
          </w:tcPr>
          <w:p w14:paraId="636C7CE5" w14:textId="77777777" w:rsidR="00697651" w:rsidRPr="000F5EDD" w:rsidRDefault="00697651">
            <w:pPr>
              <w:pStyle w:val="TableText"/>
            </w:pPr>
            <w:r w:rsidRPr="000F5EDD">
              <w:t>Risk</w:t>
            </w:r>
          </w:p>
        </w:tc>
        <w:tc>
          <w:tcPr>
            <w:tcW w:w="6520" w:type="dxa"/>
            <w:tcBorders>
              <w:top w:val="single" w:sz="4" w:space="0" w:color="1B556B"/>
              <w:left w:val="single" w:sz="4" w:space="0" w:color="1B556B"/>
              <w:bottom w:val="single" w:sz="4" w:space="0" w:color="1B556B"/>
              <w:right w:val="nil"/>
            </w:tcBorders>
          </w:tcPr>
          <w:p w14:paraId="54004903" w14:textId="77777777" w:rsidR="00697651" w:rsidRPr="000F5EDD" w:rsidRDefault="00697651">
            <w:pPr>
              <w:pStyle w:val="TableBullet"/>
              <w:spacing w:before="60"/>
            </w:pPr>
            <w:r w:rsidRPr="000F5EDD">
              <w:t>Increasing risk from natural hazards</w:t>
            </w:r>
          </w:p>
          <w:p w14:paraId="29FDE08B" w14:textId="77777777" w:rsidR="00697651" w:rsidRPr="000F5EDD" w:rsidRDefault="00697651">
            <w:pPr>
              <w:pStyle w:val="TableBullet"/>
            </w:pPr>
            <w:r w:rsidRPr="000F5EDD">
              <w:t>Risks to wellbeing and increased marginalisation within communities</w:t>
            </w:r>
          </w:p>
          <w:p w14:paraId="0B9BEFEB" w14:textId="77777777" w:rsidR="00697651" w:rsidRPr="000F5EDD" w:rsidRDefault="00697651">
            <w:pPr>
              <w:pStyle w:val="TableBullet"/>
            </w:pPr>
            <w:r w:rsidRPr="000F5EDD">
              <w:t xml:space="preserve">Strong incentive for development in at-risk area </w:t>
            </w:r>
          </w:p>
        </w:tc>
      </w:tr>
      <w:tr w:rsidR="00697651" w:rsidRPr="000F5EDD" w:rsidDel="000B3845" w14:paraId="62EE7D0C" w14:textId="77777777" w:rsidTr="0044676F">
        <w:trPr>
          <w:trHeight w:val="491"/>
        </w:trPr>
        <w:tc>
          <w:tcPr>
            <w:tcW w:w="1985" w:type="dxa"/>
            <w:tcBorders>
              <w:top w:val="single" w:sz="4" w:space="0" w:color="1B556B"/>
              <w:left w:val="nil"/>
              <w:bottom w:val="single" w:sz="4" w:space="0" w:color="1B556B"/>
              <w:right w:val="single" w:sz="4" w:space="0" w:color="1B556B"/>
            </w:tcBorders>
          </w:tcPr>
          <w:p w14:paraId="266F5CCA" w14:textId="77777777" w:rsidR="00697651" w:rsidRPr="000F5EDD" w:rsidRDefault="00697651">
            <w:pPr>
              <w:pStyle w:val="TableText"/>
            </w:pPr>
            <w:r w:rsidRPr="000F5EDD">
              <w:t>Information, data, tools and expertise</w:t>
            </w:r>
          </w:p>
        </w:tc>
        <w:tc>
          <w:tcPr>
            <w:tcW w:w="6520" w:type="dxa"/>
            <w:tcBorders>
              <w:top w:val="single" w:sz="4" w:space="0" w:color="1B556B"/>
              <w:left w:val="single" w:sz="4" w:space="0" w:color="1B556B"/>
              <w:bottom w:val="single" w:sz="4" w:space="0" w:color="1B556B"/>
              <w:right w:val="nil"/>
            </w:tcBorders>
          </w:tcPr>
          <w:p w14:paraId="19478109" w14:textId="77777777" w:rsidR="00697651" w:rsidRPr="000F5EDD" w:rsidRDefault="00697651">
            <w:pPr>
              <w:pStyle w:val="TableBullet"/>
              <w:spacing w:before="60"/>
            </w:pPr>
            <w:r w:rsidRPr="000F5EDD">
              <w:t>Lack of consistent, coordinated and accessible data and information</w:t>
            </w:r>
          </w:p>
          <w:p w14:paraId="672DECF7" w14:textId="77777777" w:rsidR="00697651" w:rsidRPr="000F5EDD" w:rsidRDefault="00697651">
            <w:pPr>
              <w:pStyle w:val="TableBullet"/>
            </w:pPr>
            <w:r w:rsidRPr="000F5EDD">
              <w:t>Lack of awareness of impacts and efforts to adapt within communities</w:t>
            </w:r>
          </w:p>
          <w:p w14:paraId="67E8B07F" w14:textId="77777777" w:rsidR="00697651" w:rsidRPr="000F5EDD" w:rsidRDefault="00697651">
            <w:pPr>
              <w:pStyle w:val="TableBullet"/>
            </w:pPr>
            <w:r w:rsidRPr="000F5EDD">
              <w:t>Limited</w:t>
            </w:r>
            <w:r w:rsidRPr="000F5EDD" w:rsidDel="00EF1F92">
              <w:t xml:space="preserve"> </w:t>
            </w:r>
            <w:r w:rsidRPr="000F5EDD">
              <w:t>tools or methods for engaging decision-makers and communities</w:t>
            </w:r>
          </w:p>
          <w:p w14:paraId="64C7E023" w14:textId="77777777" w:rsidR="00697651" w:rsidRPr="000F5EDD" w:rsidDel="000B3845" w:rsidRDefault="00697651">
            <w:pPr>
              <w:pStyle w:val="TableBullet"/>
            </w:pPr>
            <w:r w:rsidRPr="000F5EDD">
              <w:t>Limited resources, expertise or staff to undertake adaptation planning</w:t>
            </w:r>
          </w:p>
        </w:tc>
      </w:tr>
      <w:tr w:rsidR="00697651" w:rsidRPr="000F5EDD" w:rsidDel="000B3845" w14:paraId="320141F6" w14:textId="77777777" w:rsidTr="0044676F">
        <w:trPr>
          <w:trHeight w:val="1048"/>
        </w:trPr>
        <w:tc>
          <w:tcPr>
            <w:tcW w:w="1985" w:type="dxa"/>
            <w:tcBorders>
              <w:top w:val="single" w:sz="4" w:space="0" w:color="1B556B"/>
              <w:left w:val="nil"/>
              <w:bottom w:val="single" w:sz="4" w:space="0" w:color="1B556B"/>
              <w:right w:val="single" w:sz="4" w:space="0" w:color="1B556B"/>
            </w:tcBorders>
          </w:tcPr>
          <w:p w14:paraId="7240297F" w14:textId="77777777" w:rsidR="00697651" w:rsidRPr="000F5EDD" w:rsidRDefault="00697651">
            <w:pPr>
              <w:pStyle w:val="TableText"/>
            </w:pPr>
            <w:r w:rsidRPr="000F5EDD">
              <w:t>Legislation and regulation</w:t>
            </w:r>
          </w:p>
        </w:tc>
        <w:tc>
          <w:tcPr>
            <w:tcW w:w="6520" w:type="dxa"/>
            <w:tcBorders>
              <w:top w:val="single" w:sz="4" w:space="0" w:color="1B556B"/>
              <w:left w:val="single" w:sz="4" w:space="0" w:color="1B556B"/>
              <w:bottom w:val="single" w:sz="4" w:space="0" w:color="1B556B"/>
              <w:right w:val="nil"/>
            </w:tcBorders>
          </w:tcPr>
          <w:p w14:paraId="2284DBCF" w14:textId="77777777" w:rsidR="00697651" w:rsidRPr="000F5EDD" w:rsidRDefault="00697651">
            <w:pPr>
              <w:pStyle w:val="TableBullet"/>
              <w:spacing w:before="60"/>
            </w:pPr>
            <w:r w:rsidRPr="000F5EDD">
              <w:t>Adaptation system not well integrated with other legislative structures</w:t>
            </w:r>
          </w:p>
          <w:p w14:paraId="5DF1529D" w14:textId="77777777" w:rsidR="00697651" w:rsidRPr="00C30212" w:rsidRDefault="00697651">
            <w:pPr>
              <w:pStyle w:val="TableBullet"/>
            </w:pPr>
            <w:r w:rsidRPr="00C30212">
              <w:t>The resource management system inhibits the ability to enable adaptation actions</w:t>
            </w:r>
          </w:p>
          <w:p w14:paraId="0DFB36A4" w14:textId="77777777" w:rsidR="00697651" w:rsidRPr="00C30212" w:rsidRDefault="00697651">
            <w:pPr>
              <w:pStyle w:val="TableBullet"/>
            </w:pPr>
            <w:r w:rsidRPr="00C30212">
              <w:t>Challenges that limit the ability to retreat pre-event and a lack of an enduring system</w:t>
            </w:r>
          </w:p>
          <w:p w14:paraId="796BF0BD" w14:textId="77777777" w:rsidR="00697651" w:rsidRPr="000F5EDD" w:rsidRDefault="00697651">
            <w:pPr>
              <w:pStyle w:val="TableBullet"/>
            </w:pPr>
            <w:r w:rsidRPr="000F5EDD">
              <w:t>No government oversight of how adaptation policies are integrated into local adaptation planning</w:t>
            </w:r>
          </w:p>
          <w:p w14:paraId="3CFF8795" w14:textId="77777777" w:rsidR="00697651" w:rsidRPr="000F5EDD" w:rsidRDefault="00697651">
            <w:pPr>
              <w:pStyle w:val="TableBullet"/>
            </w:pPr>
            <w:r w:rsidRPr="000F5EDD">
              <w:t>Local government faces risk of liability for planning decisions</w:t>
            </w:r>
          </w:p>
        </w:tc>
      </w:tr>
      <w:tr w:rsidR="00697651" w:rsidRPr="000F5EDD" w:rsidDel="000B3845" w14:paraId="67A76D51" w14:textId="77777777" w:rsidTr="0044676F">
        <w:trPr>
          <w:trHeight w:val="1048"/>
        </w:trPr>
        <w:tc>
          <w:tcPr>
            <w:tcW w:w="1985" w:type="dxa"/>
            <w:tcBorders>
              <w:top w:val="single" w:sz="4" w:space="0" w:color="1B556B"/>
              <w:left w:val="nil"/>
              <w:bottom w:val="single" w:sz="4" w:space="0" w:color="1B556B"/>
              <w:right w:val="single" w:sz="4" w:space="0" w:color="1B556B"/>
            </w:tcBorders>
          </w:tcPr>
          <w:p w14:paraId="754C443E" w14:textId="77777777" w:rsidR="00697651" w:rsidRPr="000F5EDD" w:rsidRDefault="00697651">
            <w:pPr>
              <w:pStyle w:val="TableText"/>
            </w:pPr>
            <w:r w:rsidRPr="000F5EDD">
              <w:t>Costs</w:t>
            </w:r>
          </w:p>
        </w:tc>
        <w:tc>
          <w:tcPr>
            <w:tcW w:w="6520" w:type="dxa"/>
            <w:tcBorders>
              <w:top w:val="single" w:sz="4" w:space="0" w:color="1B556B"/>
              <w:left w:val="single" w:sz="4" w:space="0" w:color="1B556B"/>
              <w:bottom w:val="single" w:sz="4" w:space="0" w:color="1B556B"/>
              <w:right w:val="nil"/>
            </w:tcBorders>
          </w:tcPr>
          <w:p w14:paraId="09E3027A" w14:textId="2D008D8D" w:rsidR="00697651" w:rsidRPr="000F5EDD" w:rsidRDefault="00697651">
            <w:pPr>
              <w:pStyle w:val="TableBullet"/>
              <w:spacing w:before="60"/>
            </w:pPr>
            <w:r w:rsidRPr="000F5EDD">
              <w:t>No clear national direction on the process for</w:t>
            </w:r>
            <w:r w:rsidR="00D33B1E">
              <w:t>,</w:t>
            </w:r>
            <w:r w:rsidRPr="000F5EDD">
              <w:t xml:space="preserve"> and sharing the cost of carrying out local adaptation planning</w:t>
            </w:r>
          </w:p>
          <w:p w14:paraId="64E2B0D9" w14:textId="77777777" w:rsidR="00697651" w:rsidRPr="000F5EDD" w:rsidRDefault="00697651">
            <w:pPr>
              <w:pStyle w:val="TableBullet"/>
            </w:pPr>
            <w:r w:rsidRPr="000F5EDD">
              <w:t>Significant costs and outdated measures for acquiring land or purchasing hazardous properties that are at risk of climate change</w:t>
            </w:r>
          </w:p>
        </w:tc>
      </w:tr>
      <w:tr w:rsidR="00697651" w:rsidRPr="000F5EDD" w:rsidDel="000B3845" w14:paraId="0151DED9" w14:textId="77777777" w:rsidTr="0044676F">
        <w:trPr>
          <w:trHeight w:val="603"/>
        </w:trPr>
        <w:tc>
          <w:tcPr>
            <w:tcW w:w="1985" w:type="dxa"/>
            <w:tcBorders>
              <w:top w:val="single" w:sz="4" w:space="0" w:color="1B556B"/>
              <w:left w:val="nil"/>
              <w:bottom w:val="single" w:sz="4" w:space="0" w:color="1B556B"/>
              <w:right w:val="single" w:sz="4" w:space="0" w:color="1B556B"/>
            </w:tcBorders>
          </w:tcPr>
          <w:p w14:paraId="1D199944" w14:textId="77777777" w:rsidR="00697651" w:rsidRPr="000F5EDD" w:rsidRDefault="00697651">
            <w:pPr>
              <w:pStyle w:val="TableText"/>
            </w:pPr>
            <w:r w:rsidRPr="000F5EDD">
              <w:t>Investment</w:t>
            </w:r>
          </w:p>
        </w:tc>
        <w:tc>
          <w:tcPr>
            <w:tcW w:w="6520" w:type="dxa"/>
            <w:tcBorders>
              <w:top w:val="single" w:sz="4" w:space="0" w:color="1B556B"/>
              <w:left w:val="single" w:sz="4" w:space="0" w:color="1B556B"/>
              <w:bottom w:val="single" w:sz="4" w:space="0" w:color="1B556B"/>
              <w:right w:val="nil"/>
            </w:tcBorders>
          </w:tcPr>
          <w:p w14:paraId="7A197B33" w14:textId="77777777" w:rsidR="00697651" w:rsidRPr="000F5EDD" w:rsidRDefault="00697651">
            <w:pPr>
              <w:pStyle w:val="TableBullet"/>
              <w:spacing w:before="60"/>
            </w:pPr>
            <w:r w:rsidRPr="000F5EDD">
              <w:t xml:space="preserve">Reactive and ad hoc approach to funding adaptation focuses on short-term adaptation needs and reduces incentives for long-term adaptation </w:t>
            </w:r>
          </w:p>
          <w:p w14:paraId="3E9847E4" w14:textId="77777777" w:rsidR="00697651" w:rsidRPr="000F5EDD" w:rsidRDefault="00697651">
            <w:pPr>
              <w:pStyle w:val="TableBullet"/>
            </w:pPr>
            <w:r w:rsidRPr="000F5EDD">
              <w:t>Lack of funding, resourcing and capacity to carry out adaptation activities</w:t>
            </w:r>
          </w:p>
          <w:p w14:paraId="730AD31C" w14:textId="77777777" w:rsidR="00697651" w:rsidRPr="000F5EDD" w:rsidRDefault="00697651">
            <w:pPr>
              <w:pStyle w:val="TableBullet"/>
            </w:pPr>
            <w:r w:rsidRPr="000F5EDD">
              <w:t>Local government lacks the resources to tackle adaptation on its own</w:t>
            </w:r>
          </w:p>
        </w:tc>
      </w:tr>
      <w:tr w:rsidR="00697651" w:rsidRPr="000F5EDD" w:rsidDel="000B3845" w14:paraId="64319C39" w14:textId="77777777" w:rsidTr="0044676F">
        <w:trPr>
          <w:trHeight w:val="318"/>
        </w:trPr>
        <w:tc>
          <w:tcPr>
            <w:tcW w:w="1985" w:type="dxa"/>
            <w:tcBorders>
              <w:top w:val="single" w:sz="4" w:space="0" w:color="1B556B"/>
              <w:left w:val="nil"/>
              <w:bottom w:val="single" w:sz="4" w:space="0" w:color="1B556B"/>
              <w:right w:val="single" w:sz="4" w:space="0" w:color="1B556B"/>
            </w:tcBorders>
          </w:tcPr>
          <w:p w14:paraId="3CDEE01B" w14:textId="77777777" w:rsidR="00697651" w:rsidRPr="000F5EDD" w:rsidRDefault="00697651">
            <w:pPr>
              <w:pStyle w:val="TableText"/>
              <w:keepNext/>
            </w:pPr>
            <w:r w:rsidRPr="000F5EDD">
              <w:t>Roles and responsibilities</w:t>
            </w:r>
          </w:p>
        </w:tc>
        <w:tc>
          <w:tcPr>
            <w:tcW w:w="6520" w:type="dxa"/>
            <w:tcBorders>
              <w:top w:val="single" w:sz="4" w:space="0" w:color="1B556B"/>
              <w:left w:val="single" w:sz="4" w:space="0" w:color="1B556B"/>
              <w:bottom w:val="single" w:sz="4" w:space="0" w:color="1B556B"/>
              <w:right w:val="nil"/>
            </w:tcBorders>
          </w:tcPr>
          <w:p w14:paraId="4D484B45" w14:textId="77777777" w:rsidR="00697651" w:rsidRPr="000F5EDD" w:rsidRDefault="00697651">
            <w:pPr>
              <w:pStyle w:val="TableBullet"/>
              <w:spacing w:before="60"/>
            </w:pPr>
            <w:r w:rsidRPr="000F5EDD">
              <w:t>Lack of clarity on institutional roles and response mechanisms</w:t>
            </w:r>
          </w:p>
          <w:p w14:paraId="697C64BD" w14:textId="77777777" w:rsidR="00697651" w:rsidRPr="000F5EDD" w:rsidRDefault="00697651">
            <w:pPr>
              <w:pStyle w:val="TableBullet"/>
            </w:pPr>
            <w:r w:rsidRPr="000F5EDD">
              <w:t>Challenge of balancing adaptation work with other priorities, including business-as-usual work</w:t>
            </w:r>
          </w:p>
        </w:tc>
      </w:tr>
      <w:tr w:rsidR="00697651" w:rsidRPr="000F5EDD" w:rsidDel="000B3845" w14:paraId="185F95FF" w14:textId="77777777" w:rsidTr="0044676F">
        <w:trPr>
          <w:trHeight w:val="318"/>
        </w:trPr>
        <w:tc>
          <w:tcPr>
            <w:tcW w:w="1985" w:type="dxa"/>
            <w:tcBorders>
              <w:top w:val="single" w:sz="4" w:space="0" w:color="1B556B"/>
              <w:left w:val="nil"/>
              <w:bottom w:val="single" w:sz="4" w:space="0" w:color="1B556B"/>
              <w:right w:val="single" w:sz="4" w:space="0" w:color="1B556B"/>
            </w:tcBorders>
          </w:tcPr>
          <w:p w14:paraId="5E431052" w14:textId="77777777" w:rsidR="00697651" w:rsidRPr="000F5EDD" w:rsidRDefault="00697651">
            <w:pPr>
              <w:pStyle w:val="TableText"/>
            </w:pPr>
            <w:r w:rsidRPr="000F5EDD">
              <w:t>Complexity</w:t>
            </w:r>
          </w:p>
        </w:tc>
        <w:tc>
          <w:tcPr>
            <w:tcW w:w="6520" w:type="dxa"/>
            <w:tcBorders>
              <w:top w:val="single" w:sz="4" w:space="0" w:color="1B556B"/>
              <w:left w:val="single" w:sz="4" w:space="0" w:color="1B556B"/>
              <w:bottom w:val="single" w:sz="4" w:space="0" w:color="1B556B"/>
              <w:right w:val="nil"/>
            </w:tcBorders>
          </w:tcPr>
          <w:p w14:paraId="4DD5FCEB" w14:textId="77777777" w:rsidR="00697651" w:rsidRPr="000F5EDD" w:rsidRDefault="00697651">
            <w:pPr>
              <w:pStyle w:val="TableBullet"/>
              <w:spacing w:before="60"/>
            </w:pPr>
            <w:r w:rsidRPr="000F5EDD">
              <w:t>Multiple adaptation actions may be needed at any one time</w:t>
            </w:r>
          </w:p>
          <w:p w14:paraId="2554A920" w14:textId="77777777" w:rsidR="00697651" w:rsidRPr="000F5EDD" w:rsidRDefault="00697651">
            <w:pPr>
              <w:pStyle w:val="TableBullet"/>
            </w:pPr>
            <w:r w:rsidRPr="000F5EDD">
              <w:t>Multiple circumstances need to be considered</w:t>
            </w:r>
          </w:p>
          <w:p w14:paraId="3BE8FDBA" w14:textId="77777777" w:rsidR="00697651" w:rsidRPr="000F5EDD" w:rsidRDefault="00697651" w:rsidP="00697651">
            <w:pPr>
              <w:pStyle w:val="TableDash"/>
              <w:ind w:left="567" w:hanging="283"/>
            </w:pPr>
            <w:r w:rsidRPr="000F5EDD">
              <w:t>Disproportionate impacts on communities (eg, iwi/Māori, women and children, elderly, disabled and lower socio-economic communities)</w:t>
            </w:r>
          </w:p>
          <w:p w14:paraId="745A9EE3" w14:textId="77777777" w:rsidR="00697651" w:rsidRPr="000F5EDD" w:rsidRDefault="00697651" w:rsidP="00697651">
            <w:pPr>
              <w:pStyle w:val="TableDash"/>
              <w:ind w:left="567" w:hanging="283"/>
            </w:pPr>
            <w:r w:rsidRPr="000F5EDD">
              <w:t>Types of property (eg, private homes, second homes, rental property, commercial and industrial property)</w:t>
            </w:r>
          </w:p>
          <w:p w14:paraId="538E4DE5" w14:textId="77777777" w:rsidR="00697651" w:rsidRPr="000F5EDD" w:rsidRDefault="00697651" w:rsidP="00697651">
            <w:pPr>
              <w:pStyle w:val="TableDash"/>
              <w:ind w:left="567" w:hanging="283"/>
            </w:pPr>
            <w:r w:rsidRPr="000F5EDD">
              <w:t>Ownership arrangements (eg, Māori land, Crown land, those who do not own property)</w:t>
            </w:r>
          </w:p>
          <w:p w14:paraId="154F2588" w14:textId="77777777" w:rsidR="00697651" w:rsidRPr="000F5EDD" w:rsidRDefault="00697651" w:rsidP="00697651">
            <w:pPr>
              <w:pStyle w:val="TableDash"/>
              <w:ind w:left="567" w:hanging="283"/>
            </w:pPr>
            <w:r w:rsidRPr="000F5EDD">
              <w:t>Impacts on critical infrastructure (eg, water, wastewater, telecommunications, energy, transportation and health)</w:t>
            </w:r>
          </w:p>
        </w:tc>
      </w:tr>
    </w:tbl>
    <w:p w14:paraId="260A04F8" w14:textId="77777777" w:rsidR="00697651" w:rsidRPr="000F5EDD" w:rsidRDefault="00697651" w:rsidP="00697651">
      <w:pPr>
        <w:pStyle w:val="BodyText"/>
        <w:rPr>
          <w:highlight w:val="yellow"/>
        </w:rPr>
      </w:pPr>
    </w:p>
    <w:p w14:paraId="1E5E8037" w14:textId="77777777" w:rsidR="001D01E0" w:rsidRDefault="001D01E0">
      <w:pPr>
        <w:pStyle w:val="Boxheading"/>
        <w:keepNext w:val="0"/>
        <w:sectPr w:rsidR="001D01E0" w:rsidSect="008A7498">
          <w:headerReference w:type="even" r:id="rId168"/>
          <w:headerReference w:type="default" r:id="rId169"/>
          <w:footerReference w:type="default" r:id="rId170"/>
          <w:headerReference w:type="first" r:id="rId171"/>
          <w:pgSz w:w="11907" w:h="16840" w:code="9"/>
          <w:pgMar w:top="1134" w:right="1701" w:bottom="1134" w:left="1701" w:header="567" w:footer="567" w:gutter="0"/>
          <w:cols w:space="720"/>
          <w:docGrid w:linePitch="299"/>
        </w:sectPr>
      </w:pPr>
    </w:p>
    <w:tbl>
      <w:tblPr>
        <w:tblStyle w:val="TableGrid"/>
        <w:tblW w:w="0" w:type="auto"/>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495"/>
      </w:tblGrid>
      <w:tr w:rsidR="00697651" w:rsidRPr="000F5EDD" w14:paraId="0141216B" w14:textId="77777777" w:rsidTr="00D612B5">
        <w:trPr>
          <w:trHeight w:val="5313"/>
        </w:trPr>
        <w:tc>
          <w:tcPr>
            <w:tcW w:w="8495" w:type="dxa"/>
            <w:shd w:val="clear" w:color="auto" w:fill="D5EBE8" w:themeFill="accent3"/>
          </w:tcPr>
          <w:p w14:paraId="696D73CF" w14:textId="77777777" w:rsidR="00697651" w:rsidRPr="000F5EDD" w:rsidRDefault="00697651">
            <w:pPr>
              <w:pStyle w:val="Boxheading"/>
              <w:keepNext w:val="0"/>
            </w:pPr>
            <w:r w:rsidRPr="000F5EDD">
              <w:t xml:space="preserve">Barriers to climate adaptation specific to Māori </w:t>
            </w:r>
          </w:p>
          <w:p w14:paraId="2700C49C" w14:textId="77777777" w:rsidR="00697651" w:rsidRPr="000F5EDD" w:rsidRDefault="00697651">
            <w:pPr>
              <w:pStyle w:val="Boxtext"/>
              <w:spacing w:after="80"/>
            </w:pPr>
            <w:r w:rsidRPr="000F5EDD">
              <w:t>Climate change will disproportionately impact on Māori interests, values, practices and wellbeing</w:t>
            </w:r>
            <w:r w:rsidRPr="000F5EDD">
              <w:rPr>
                <w:color w:val="1B556B" w:themeColor="text2"/>
              </w:rPr>
              <w:t>.</w:t>
            </w:r>
            <w:r w:rsidRPr="000F5EDD">
              <w:rPr>
                <w:rStyle w:val="FootnoteReference"/>
                <w:color w:val="1B556B" w:themeColor="text2"/>
                <w:sz w:val="20"/>
              </w:rPr>
              <w:footnoteReference w:id="263"/>
            </w:r>
            <w:r w:rsidRPr="000F5EDD">
              <w:rPr>
                <w:color w:val="1B556B" w:themeColor="text2"/>
              </w:rPr>
              <w:t xml:space="preserve"> Māori social, </w:t>
            </w:r>
            <w:r w:rsidRPr="000F5EDD">
              <w:t>cultural, spiritual and economic wellbeing faces risks from loss and degradation of lands and waters, and from loss of species and biodiversity. Other risks include those to social cohesion and community wellbeing from displacement, and risks of creating or exacerbating inequities due to the unequal impacts of climate change.</w:t>
            </w:r>
          </w:p>
          <w:p w14:paraId="63836A8A" w14:textId="77777777" w:rsidR="00697651" w:rsidRPr="000F5EDD" w:rsidRDefault="00697651">
            <w:pPr>
              <w:pStyle w:val="Boxtext"/>
              <w:spacing w:after="80"/>
            </w:pPr>
            <w:r w:rsidRPr="000F5EDD">
              <w:t>The following are key barriers for Māori.</w:t>
            </w:r>
          </w:p>
          <w:p w14:paraId="439B101E" w14:textId="77777777" w:rsidR="00697651" w:rsidRPr="000F5EDD" w:rsidRDefault="00697651" w:rsidP="001D01E0">
            <w:pPr>
              <w:pStyle w:val="Boxbullet"/>
              <w:spacing w:before="120"/>
              <w:ind w:left="644" w:hanging="360"/>
              <w:rPr>
                <w:color w:val="1B556B" w:themeColor="text2"/>
              </w:rPr>
            </w:pPr>
            <w:r w:rsidRPr="000F5EDD">
              <w:t>A significant amount of whenua Māori (land) and many significant cultural sites, such as marae, urupā, ancient gardens and healing places, are on coastlines and in lowland areas exposed to flooding, erosion and sedimentation. As a result, hap</w:t>
            </w:r>
            <w:r w:rsidRPr="000F5EDD">
              <w:rPr>
                <w:rFonts w:cs="Calibri"/>
              </w:rPr>
              <w:t>ū</w:t>
            </w:r>
            <w:r w:rsidRPr="000F5EDD">
              <w:t xml:space="preserve"> and iwi in some areas have a higher degree of exposure to climate hazards, while they vary in their capacity to adapt</w:t>
            </w:r>
            <w:r w:rsidRPr="000F5EDD">
              <w:rPr>
                <w:color w:val="1B556B" w:themeColor="text2"/>
              </w:rPr>
              <w:t>.</w:t>
            </w:r>
            <w:r w:rsidRPr="000F5EDD">
              <w:rPr>
                <w:rStyle w:val="FootnoteReference"/>
                <w:color w:val="1B556B" w:themeColor="text2"/>
                <w:sz w:val="20"/>
              </w:rPr>
              <w:footnoteReference w:id="264"/>
            </w:r>
          </w:p>
          <w:p w14:paraId="41E36219" w14:textId="3A6BC271" w:rsidR="00564A88" w:rsidRPr="00564A88" w:rsidRDefault="00697651" w:rsidP="001D01E0">
            <w:pPr>
              <w:pStyle w:val="Boxbullet"/>
              <w:spacing w:before="120"/>
            </w:pPr>
            <w:r w:rsidRPr="00564A88">
              <w:t>Hapū and iwi have strong connections to their traditional rohe. A considerable amount of Māori land is under collective ownership. For this reason, it is necessary to ensure land is not inappropriately gifted or exchanged in areas where Māori have no rights, interests or whakapapa.</w:t>
            </w:r>
            <w:r w:rsidRPr="001D01E0">
              <w:rPr>
                <w:rStyle w:val="FootnoteReference"/>
                <w:color w:val="1B556B"/>
                <w:sz w:val="20"/>
              </w:rPr>
              <w:footnoteReference w:id="265"/>
            </w:r>
            <w:r w:rsidRPr="00564A88">
              <w:t xml:space="preserve"> </w:t>
            </w:r>
          </w:p>
          <w:p w14:paraId="2EC61C87" w14:textId="2C8DA036" w:rsidR="00697651" w:rsidRPr="000F5EDD" w:rsidRDefault="00697651" w:rsidP="00564A88">
            <w:pPr>
              <w:pStyle w:val="Boxbullet"/>
              <w:numPr>
                <w:ilvl w:val="0"/>
                <w:numId w:val="0"/>
              </w:numPr>
              <w:spacing w:after="240"/>
              <w:ind w:left="681" w:hanging="397"/>
              <w:rPr>
                <w:lang w:bidi="th-TH"/>
              </w:rPr>
            </w:pPr>
          </w:p>
        </w:tc>
      </w:tr>
    </w:tbl>
    <w:p w14:paraId="3EC9F5E9" w14:textId="77777777" w:rsidR="00C30212" w:rsidRDefault="00C30212" w:rsidP="0044676F">
      <w:pPr>
        <w:pStyle w:val="BodyText"/>
      </w:pPr>
      <w:bookmarkStart w:id="793" w:name="_Toc184825541"/>
    </w:p>
    <w:p w14:paraId="44C76EED" w14:textId="77777777" w:rsidR="00C30212" w:rsidRDefault="00C30212">
      <w:pPr>
        <w:spacing w:before="0" w:after="200" w:line="276" w:lineRule="auto"/>
        <w:jc w:val="left"/>
        <w:rPr>
          <w:rFonts w:ascii="Georgia" w:eastAsiaTheme="majorEastAsia" w:hAnsi="Georgia" w:cstheme="majorBidi"/>
          <w:b/>
          <w:bCs/>
          <w:color w:val="1B556B"/>
          <w:sz w:val="36"/>
          <w:szCs w:val="26"/>
        </w:rPr>
      </w:pPr>
      <w:r>
        <w:br w:type="page"/>
      </w:r>
    </w:p>
    <w:p w14:paraId="3AABA617" w14:textId="64EBCA94" w:rsidR="00697651" w:rsidRPr="000F5EDD" w:rsidRDefault="00697651" w:rsidP="00564A88">
      <w:pPr>
        <w:pStyle w:val="Heading2"/>
        <w:numPr>
          <w:ilvl w:val="0"/>
          <w:numId w:val="50"/>
        </w:numPr>
        <w:ind w:left="1134" w:hanging="1134"/>
      </w:pPr>
      <w:r w:rsidRPr="000F5EDD">
        <w:t>Adaptation strategies, policies, plans, goals and actions to integrate adaptation into</w:t>
      </w:r>
      <w:r>
        <w:t> </w:t>
      </w:r>
      <w:r w:rsidRPr="000F5EDD">
        <w:t>national policies and strategies</w:t>
      </w:r>
      <w:bookmarkEnd w:id="793"/>
      <w:r w:rsidRPr="000F5EDD">
        <w:t xml:space="preserve"> </w:t>
      </w:r>
    </w:p>
    <w:p w14:paraId="660F9E3D" w14:textId="77777777" w:rsidR="00697651" w:rsidRPr="000F5EDD" w:rsidRDefault="00697651" w:rsidP="00EA02DE">
      <w:pPr>
        <w:pStyle w:val="Heading3"/>
        <w:numPr>
          <w:ilvl w:val="0"/>
          <w:numId w:val="54"/>
        </w:numPr>
      </w:pPr>
      <w:bookmarkStart w:id="794" w:name="_New_Zealand’s_adaptation"/>
      <w:bookmarkEnd w:id="794"/>
      <w:r w:rsidRPr="000F5EDD">
        <w:t xml:space="preserve">New Zealand’s adaptation strategies and policies </w:t>
      </w:r>
    </w:p>
    <w:p w14:paraId="00368652" w14:textId="77777777" w:rsidR="00697651" w:rsidRPr="000F5EDD" w:rsidRDefault="00697651" w:rsidP="00697651">
      <w:pPr>
        <w:pStyle w:val="BodyText"/>
      </w:pPr>
      <w:r w:rsidRPr="000F5EDD">
        <w:t xml:space="preserve">New Zealand is committed to achieving its adaptation goals to reduce its vulnerability to the impacts of climate change, enhance adaptive capacity and consider climate change at all levels, and to strengthen its resilience. </w:t>
      </w:r>
    </w:p>
    <w:p w14:paraId="46CBAA71" w14:textId="77777777" w:rsidR="00697651" w:rsidRPr="000F5EDD" w:rsidRDefault="00697651" w:rsidP="00EA02DE">
      <w:pPr>
        <w:pStyle w:val="Heading4"/>
        <w:numPr>
          <w:ilvl w:val="0"/>
          <w:numId w:val="62"/>
        </w:numPr>
      </w:pPr>
      <w:r w:rsidRPr="000F5EDD">
        <w:t>National strategies and policies</w:t>
      </w:r>
    </w:p>
    <w:p w14:paraId="0E5682CD" w14:textId="3F3C7A62" w:rsidR="00697651" w:rsidRPr="000F5EDD" w:rsidRDefault="005C0678" w:rsidP="00697651">
      <w:pPr>
        <w:pStyle w:val="BodyText"/>
      </w:pPr>
      <w:r>
        <w:t xml:space="preserve">Table 3.6 </w:t>
      </w:r>
      <w:r w:rsidR="00697651" w:rsidRPr="000F5EDD">
        <w:t>gives an overview of New Zealand’s national adaptation strategies and policies.</w:t>
      </w:r>
    </w:p>
    <w:p w14:paraId="27E4BADB" w14:textId="487C0FBF" w:rsidR="00697651" w:rsidRPr="000F5EDD" w:rsidRDefault="00697651" w:rsidP="0069479C">
      <w:pPr>
        <w:pStyle w:val="Tableheading"/>
      </w:pPr>
      <w:bookmarkStart w:id="795" w:name="_Ref179428541"/>
      <w:bookmarkStart w:id="796" w:name="_Toc172716783"/>
      <w:bookmarkStart w:id="797" w:name="_Toc174951369"/>
      <w:bookmarkStart w:id="798" w:name="_Toc178603919"/>
      <w:bookmarkStart w:id="799" w:name="_Toc185407507"/>
      <w:bookmarkStart w:id="800" w:name="_Toc185427770"/>
      <w:r w:rsidRPr="000F5EDD">
        <w:t>Table 3.</w:t>
      </w:r>
      <w:bookmarkEnd w:id="795"/>
      <w:r w:rsidR="008A636D">
        <w:t>6</w:t>
      </w:r>
      <w:r w:rsidRPr="000F5EDD">
        <w:t>:</w:t>
      </w:r>
      <w:r w:rsidRPr="000F5EDD">
        <w:tab/>
        <w:t>National adaptation strategies and policies</w:t>
      </w:r>
      <w:bookmarkEnd w:id="796"/>
      <w:bookmarkEnd w:id="797"/>
      <w:bookmarkEnd w:id="798"/>
      <w:bookmarkEnd w:id="799"/>
      <w:bookmarkEnd w:id="800"/>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1641"/>
        <w:gridCol w:w="6864"/>
      </w:tblGrid>
      <w:tr w:rsidR="00697651" w:rsidRPr="000F5EDD" w14:paraId="02BEB9EC" w14:textId="77777777">
        <w:trPr>
          <w:tblHeader/>
        </w:trPr>
        <w:tc>
          <w:tcPr>
            <w:tcW w:w="0" w:type="auto"/>
            <w:shd w:val="clear" w:color="auto" w:fill="1B556B" w:themeFill="text2"/>
          </w:tcPr>
          <w:p w14:paraId="0CE128DF" w14:textId="77777777" w:rsidR="00697651" w:rsidRPr="000F5EDD" w:rsidRDefault="00697651">
            <w:pPr>
              <w:pStyle w:val="TableText"/>
              <w:spacing w:before="40" w:after="40"/>
              <w:rPr>
                <w:b/>
                <w:bCs/>
                <w:color w:val="FFFFFF" w:themeColor="background1"/>
                <w:szCs w:val="18"/>
              </w:rPr>
            </w:pPr>
            <w:r w:rsidRPr="000F5EDD">
              <w:rPr>
                <w:b/>
                <w:bCs/>
                <w:color w:val="FFFFFF" w:themeColor="background1"/>
                <w:szCs w:val="18"/>
              </w:rPr>
              <w:t>Strategy or policy</w:t>
            </w:r>
            <w:r w:rsidRPr="000F5EDD" w:rsidDel="00BA14E4">
              <w:rPr>
                <w:b/>
                <w:bCs/>
                <w:color w:val="FFFFFF" w:themeColor="background1"/>
                <w:szCs w:val="18"/>
              </w:rPr>
              <w:t xml:space="preserve"> </w:t>
            </w:r>
          </w:p>
        </w:tc>
        <w:tc>
          <w:tcPr>
            <w:tcW w:w="0" w:type="auto"/>
            <w:shd w:val="clear" w:color="auto" w:fill="1B556B" w:themeFill="text2"/>
          </w:tcPr>
          <w:p w14:paraId="34E9A72A" w14:textId="77777777" w:rsidR="00697651" w:rsidRPr="000F5EDD" w:rsidRDefault="00697651">
            <w:pPr>
              <w:pStyle w:val="TableText"/>
              <w:spacing w:before="40" w:after="40"/>
              <w:jc w:val="both"/>
              <w:rPr>
                <w:b/>
                <w:bCs/>
                <w:color w:val="FFFFFF" w:themeColor="background1"/>
                <w:szCs w:val="18"/>
              </w:rPr>
            </w:pPr>
            <w:r w:rsidRPr="000F5EDD">
              <w:rPr>
                <w:b/>
                <w:bCs/>
                <w:color w:val="FFFFFF" w:themeColor="background1"/>
                <w:szCs w:val="18"/>
              </w:rPr>
              <w:t>Description</w:t>
            </w:r>
          </w:p>
        </w:tc>
      </w:tr>
      <w:tr w:rsidR="00697651" w:rsidRPr="000F5EDD" w14:paraId="5B069846" w14:textId="77777777">
        <w:tc>
          <w:tcPr>
            <w:tcW w:w="0" w:type="auto"/>
          </w:tcPr>
          <w:p w14:paraId="69EF4708" w14:textId="731354BD" w:rsidR="00697651" w:rsidRPr="000F5EDD" w:rsidRDefault="00697651">
            <w:pPr>
              <w:pStyle w:val="TableText"/>
              <w:rPr>
                <w:szCs w:val="18"/>
              </w:rPr>
            </w:pPr>
            <w:r w:rsidRPr="000F5EDD">
              <w:rPr>
                <w:szCs w:val="18"/>
              </w:rPr>
              <w:t xml:space="preserve">Climate </w:t>
            </w:r>
            <w:r w:rsidR="00B75947">
              <w:rPr>
                <w:szCs w:val="18"/>
              </w:rPr>
              <w:t>S</w:t>
            </w:r>
            <w:r w:rsidRPr="000F5EDD">
              <w:rPr>
                <w:szCs w:val="18"/>
              </w:rPr>
              <w:t>trategy</w:t>
            </w:r>
          </w:p>
        </w:tc>
        <w:tc>
          <w:tcPr>
            <w:tcW w:w="0" w:type="auto"/>
          </w:tcPr>
          <w:p w14:paraId="1B84F5DF" w14:textId="72AA0268" w:rsidR="00697651" w:rsidRPr="000F5EDD" w:rsidRDefault="00697651">
            <w:pPr>
              <w:pStyle w:val="TableText"/>
              <w:rPr>
                <w:szCs w:val="18"/>
              </w:rPr>
            </w:pPr>
            <w:r w:rsidRPr="75ADBAC8">
              <w:t xml:space="preserve">The </w:t>
            </w:r>
            <w:r w:rsidR="00B75947">
              <w:t>C</w:t>
            </w:r>
            <w:r w:rsidRPr="75ADBAC8">
              <w:t>limate</w:t>
            </w:r>
            <w:r>
              <w:t xml:space="preserve"> </w:t>
            </w:r>
            <w:r w:rsidR="00B75947">
              <w:t>S</w:t>
            </w:r>
            <w:r w:rsidRPr="75ADBAC8">
              <w:t xml:space="preserve">trategy sets out the Government’s approach to how it will deliver on New Zealand’s climate goals. The </w:t>
            </w:r>
            <w:r w:rsidR="00B75947">
              <w:t>S</w:t>
            </w:r>
            <w:r w:rsidRPr="75ADBAC8">
              <w:t>trategy is focused on five pillars to reduce the impacts of climate change and prepare for its future effects.</w:t>
            </w:r>
            <w:r w:rsidR="00D1319F">
              <w:rPr>
                <w:rStyle w:val="FootnoteReference"/>
                <w:szCs w:val="18"/>
              </w:rPr>
              <w:footnoteReference w:id="266"/>
            </w:r>
          </w:p>
          <w:p w14:paraId="56D92F12" w14:textId="77777777" w:rsidR="00697651" w:rsidRPr="000F5EDD" w:rsidRDefault="00697651">
            <w:pPr>
              <w:pStyle w:val="TableText"/>
              <w:rPr>
                <w:szCs w:val="18"/>
              </w:rPr>
            </w:pPr>
            <w:r w:rsidRPr="000F5EDD">
              <w:rPr>
                <w:szCs w:val="18"/>
              </w:rPr>
              <w:t>These pillars are: infrastructure is resilient and communities are well prepared; credible markets support the climate transition; clean energy is abundant and affordable; world-leading climate innovation boosts the economy; and nature-based solutions address climate change.</w:t>
            </w:r>
          </w:p>
          <w:p w14:paraId="64EFB52E" w14:textId="77777777" w:rsidR="00697651" w:rsidRPr="000F5EDD" w:rsidRDefault="00697651">
            <w:pPr>
              <w:pStyle w:val="TableText"/>
              <w:rPr>
                <w:szCs w:val="18"/>
              </w:rPr>
            </w:pPr>
            <w:r w:rsidRPr="000F5EDD">
              <w:rPr>
                <w:szCs w:val="18"/>
              </w:rPr>
              <w:t>While adaptation is important across all pillars, the main focus is on these three pillars: infrastructure is resilient and communities are well prepared; world-leading climate innovation boosts the economy; and nature-based solutions address climate change.</w:t>
            </w:r>
          </w:p>
        </w:tc>
      </w:tr>
      <w:tr w:rsidR="00697651" w:rsidRPr="000F5EDD" w14:paraId="3F2AE97C" w14:textId="77777777">
        <w:tc>
          <w:tcPr>
            <w:tcW w:w="0" w:type="auto"/>
          </w:tcPr>
          <w:p w14:paraId="270CAB38" w14:textId="77777777" w:rsidR="00697651" w:rsidRPr="000F5EDD" w:rsidRDefault="00697651">
            <w:pPr>
              <w:pStyle w:val="TableText"/>
              <w:rPr>
                <w:szCs w:val="18"/>
              </w:rPr>
            </w:pPr>
            <w:r w:rsidRPr="000F5EDD">
              <w:rPr>
                <w:szCs w:val="18"/>
              </w:rPr>
              <w:t>Long-term adaptation strategy</w:t>
            </w:r>
          </w:p>
        </w:tc>
        <w:tc>
          <w:tcPr>
            <w:tcW w:w="0" w:type="auto"/>
          </w:tcPr>
          <w:p w14:paraId="2C114B80" w14:textId="77777777" w:rsidR="00697651" w:rsidRPr="000F5EDD" w:rsidRDefault="00697651">
            <w:pPr>
              <w:pStyle w:val="TableText"/>
              <w:rPr>
                <w:szCs w:val="18"/>
              </w:rPr>
            </w:pPr>
            <w:r w:rsidRPr="000F5EDD">
              <w:rPr>
                <w:szCs w:val="18"/>
              </w:rPr>
              <w:t xml:space="preserve">The long-term adaptation strategy encourages all New Zealanders to work together now to understand climate risks and take action to manage them. Adaptation will also bring new opportunities. </w:t>
            </w:r>
          </w:p>
          <w:p w14:paraId="2E8A4445" w14:textId="7881E046" w:rsidR="00697651" w:rsidRPr="000F5EDD" w:rsidRDefault="00697651">
            <w:pPr>
              <w:pStyle w:val="TableText"/>
              <w:rPr>
                <w:szCs w:val="18"/>
              </w:rPr>
            </w:pPr>
            <w:r w:rsidRPr="75ADBAC8">
              <w:t>The strategy’s vision is that people, places and systems are resilient and able to adapt to the effects of unavoidable climate change in a fair, low-cost and ordered manner.</w:t>
            </w:r>
            <w:r w:rsidR="00C573C1">
              <w:rPr>
                <w:rStyle w:val="FootnoteReference"/>
                <w:szCs w:val="18"/>
              </w:rPr>
              <w:footnoteReference w:id="267"/>
            </w:r>
            <w:r w:rsidRPr="000F5EDD">
              <w:rPr>
                <w:szCs w:val="18"/>
              </w:rPr>
              <w:t xml:space="preserve"> </w:t>
            </w:r>
          </w:p>
          <w:p w14:paraId="0969CB95" w14:textId="77777777" w:rsidR="00697651" w:rsidRPr="000F5EDD" w:rsidRDefault="00697651">
            <w:pPr>
              <w:pStyle w:val="TableText"/>
              <w:rPr>
                <w:szCs w:val="18"/>
              </w:rPr>
            </w:pPr>
            <w:r w:rsidRPr="000F5EDD">
              <w:rPr>
                <w:szCs w:val="18"/>
              </w:rPr>
              <w:t>The goals that underpin New Zealand’s long-term adaptation strategy are to:</w:t>
            </w:r>
          </w:p>
          <w:p w14:paraId="3AB3D5AA" w14:textId="77777777" w:rsidR="00697651" w:rsidRPr="000F5EDD" w:rsidRDefault="00697651">
            <w:pPr>
              <w:pStyle w:val="TableBullet"/>
              <w:rPr>
                <w:szCs w:val="18"/>
              </w:rPr>
            </w:pPr>
            <w:r w:rsidRPr="000F5EDD">
              <w:rPr>
                <w:szCs w:val="18"/>
              </w:rPr>
              <w:t>reduce vulnerability to the impacts of climate change</w:t>
            </w:r>
          </w:p>
          <w:p w14:paraId="2018BFFD" w14:textId="77777777" w:rsidR="00697651" w:rsidRPr="000F5EDD" w:rsidRDefault="00697651">
            <w:pPr>
              <w:pStyle w:val="TableBullet"/>
              <w:rPr>
                <w:szCs w:val="18"/>
              </w:rPr>
            </w:pPr>
            <w:r w:rsidRPr="000F5EDD">
              <w:rPr>
                <w:szCs w:val="18"/>
              </w:rPr>
              <w:t>enhance adaptive capacity and consider climate change in decisions at all levels</w:t>
            </w:r>
          </w:p>
          <w:p w14:paraId="708A0F98" w14:textId="77777777" w:rsidR="00697651" w:rsidRPr="000F5EDD" w:rsidRDefault="00697651">
            <w:pPr>
              <w:pStyle w:val="TableBullet"/>
              <w:rPr>
                <w:szCs w:val="18"/>
              </w:rPr>
            </w:pPr>
            <w:r w:rsidRPr="000F5EDD">
              <w:rPr>
                <w:szCs w:val="18"/>
              </w:rPr>
              <w:t>strengthen resilience to climate change.</w:t>
            </w:r>
          </w:p>
          <w:p w14:paraId="7B852D61" w14:textId="77777777" w:rsidR="00697651" w:rsidRPr="000F5EDD" w:rsidRDefault="00697651">
            <w:pPr>
              <w:pStyle w:val="TableText"/>
              <w:rPr>
                <w:szCs w:val="18"/>
              </w:rPr>
            </w:pPr>
            <w:r w:rsidRPr="75ADBAC8">
              <w:t>These goals are aligned with the Global Goal on Adaptation under Article 7 of the Paris</w:t>
            </w:r>
            <w:r>
              <w:rPr>
                <w:szCs w:val="18"/>
              </w:rPr>
              <w:t> </w:t>
            </w:r>
            <w:r w:rsidRPr="75ADBAC8">
              <w:t>Agreement.</w:t>
            </w:r>
            <w:r w:rsidRPr="000F5EDD">
              <w:rPr>
                <w:rStyle w:val="FootnoteReference"/>
                <w:sz w:val="18"/>
                <w:szCs w:val="18"/>
              </w:rPr>
              <w:footnoteReference w:id="268"/>
            </w:r>
            <w:r w:rsidRPr="000F5EDD">
              <w:rPr>
                <w:szCs w:val="18"/>
              </w:rPr>
              <w:t xml:space="preserve"> </w:t>
            </w:r>
          </w:p>
        </w:tc>
      </w:tr>
      <w:tr w:rsidR="00697651" w:rsidRPr="000F5EDD" w14:paraId="0C55FC32" w14:textId="77777777">
        <w:tc>
          <w:tcPr>
            <w:tcW w:w="0" w:type="auto"/>
          </w:tcPr>
          <w:p w14:paraId="6C4C0EA3" w14:textId="45FF17B6" w:rsidR="00697651" w:rsidRPr="000F5EDD" w:rsidRDefault="00697651">
            <w:pPr>
              <w:pStyle w:val="TableText"/>
              <w:rPr>
                <w:szCs w:val="18"/>
              </w:rPr>
            </w:pPr>
            <w:r w:rsidRPr="000F5EDD">
              <w:rPr>
                <w:szCs w:val="18"/>
              </w:rPr>
              <w:t xml:space="preserve">First </w:t>
            </w:r>
            <w:r w:rsidR="00B75947" w:rsidRPr="000F5EDD">
              <w:rPr>
                <w:szCs w:val="18"/>
              </w:rPr>
              <w:t>National Adaptation Plan</w:t>
            </w:r>
            <w:r w:rsidRPr="000F5EDD">
              <w:rPr>
                <w:szCs w:val="18"/>
              </w:rPr>
              <w:t xml:space="preserve"> (2022–28) (NAP1)</w:t>
            </w:r>
          </w:p>
        </w:tc>
        <w:tc>
          <w:tcPr>
            <w:tcW w:w="0" w:type="auto"/>
          </w:tcPr>
          <w:p w14:paraId="3CDA8631" w14:textId="2EBCB36A" w:rsidR="00697651" w:rsidRPr="000F5EDD" w:rsidRDefault="00697651">
            <w:pPr>
              <w:pStyle w:val="TableText"/>
              <w:rPr>
                <w:szCs w:val="18"/>
              </w:rPr>
            </w:pPr>
            <w:r w:rsidRPr="000F5EDD">
              <w:rPr>
                <w:szCs w:val="18"/>
              </w:rPr>
              <w:t>NAP1 is the first step towards meeting the Government’s long-term vision and goals for a</w:t>
            </w:r>
            <w:r>
              <w:rPr>
                <w:szCs w:val="18"/>
              </w:rPr>
              <w:t> </w:t>
            </w:r>
            <w:r w:rsidRPr="000F5EDD">
              <w:rPr>
                <w:szCs w:val="18"/>
              </w:rPr>
              <w:t xml:space="preserve">climate-resilient New Zealand. This plan is consistent with and more detailed than the </w:t>
            </w:r>
            <w:r w:rsidR="00B75947" w:rsidRPr="000F5EDD">
              <w:rPr>
                <w:szCs w:val="18"/>
              </w:rPr>
              <w:t>Climate Change Strategy</w:t>
            </w:r>
            <w:r w:rsidRPr="000F5EDD">
              <w:rPr>
                <w:szCs w:val="18"/>
              </w:rPr>
              <w:t>.</w:t>
            </w:r>
          </w:p>
          <w:p w14:paraId="265ACCC3" w14:textId="77777777" w:rsidR="00697651" w:rsidRPr="000F5EDD" w:rsidRDefault="00697651">
            <w:pPr>
              <w:pStyle w:val="TableText"/>
              <w:rPr>
                <w:szCs w:val="18"/>
              </w:rPr>
            </w:pPr>
            <w:r w:rsidRPr="75ADBAC8">
              <w:t>NAP1 contains 127 actions</w:t>
            </w:r>
            <w:r w:rsidRPr="75ADBAC8">
              <w:rPr>
                <w:vertAlign w:val="superscript"/>
              </w:rPr>
              <w:footnoteReference w:id="269"/>
            </w:r>
            <w:r w:rsidRPr="75ADBAC8">
              <w:t xml:space="preserve"> across 30 government agencies and responds to the risks identified in the first National Climate Change Risk Assessment (NCCRA). Actions in the plan</w:t>
            </w:r>
            <w:r>
              <w:rPr>
                <w:szCs w:val="18"/>
              </w:rPr>
              <w:t> </w:t>
            </w:r>
            <w:r w:rsidRPr="75ADBAC8">
              <w:t>are identified as critical, supporting or proposed.</w:t>
            </w:r>
          </w:p>
          <w:p w14:paraId="046E08D8" w14:textId="77777777" w:rsidR="00697651" w:rsidRPr="000F5EDD" w:rsidRDefault="00697651">
            <w:pPr>
              <w:pStyle w:val="TableText"/>
              <w:rPr>
                <w:szCs w:val="18"/>
              </w:rPr>
            </w:pPr>
            <w:r w:rsidRPr="000F5EDD">
              <w:rPr>
                <w:szCs w:val="18"/>
              </w:rPr>
              <w:t xml:space="preserve">The plan sets out four priorities for action across five outcome areas where targeted action is needed. These broadly align with the domains identified in the NCCRA1. </w:t>
            </w:r>
          </w:p>
        </w:tc>
      </w:tr>
      <w:tr w:rsidR="00697651" w:rsidRPr="000F5EDD" w14:paraId="7C879368" w14:textId="77777777">
        <w:tc>
          <w:tcPr>
            <w:tcW w:w="0" w:type="auto"/>
          </w:tcPr>
          <w:p w14:paraId="59B8C6B4" w14:textId="77777777" w:rsidR="00697651" w:rsidRPr="000F5EDD" w:rsidRDefault="00697651">
            <w:pPr>
              <w:pStyle w:val="TableText"/>
              <w:rPr>
                <w:szCs w:val="18"/>
              </w:rPr>
            </w:pPr>
            <w:r w:rsidRPr="000F5EDD">
              <w:rPr>
                <w:szCs w:val="18"/>
              </w:rPr>
              <w:t>Adaptation framework</w:t>
            </w:r>
          </w:p>
        </w:tc>
        <w:tc>
          <w:tcPr>
            <w:tcW w:w="0" w:type="auto"/>
          </w:tcPr>
          <w:p w14:paraId="20ABDE9B" w14:textId="54B61BC0" w:rsidR="00697651" w:rsidRPr="000F5EDD" w:rsidRDefault="00697651">
            <w:pPr>
              <w:pStyle w:val="TableText"/>
              <w:rPr>
                <w:szCs w:val="18"/>
              </w:rPr>
            </w:pPr>
            <w:r w:rsidRPr="75ADBAC8">
              <w:t>Work is underway to develop an enduring and fair adaptation framework to help New Zealand prepare for the impacts of climate change and clarify both the Government’s response to adaptation challenges and the roles of insurers, local government and other groups. The Government will consider whether new legislation is required.</w:t>
            </w:r>
            <w:r w:rsidR="00450E2C">
              <w:rPr>
                <w:rStyle w:val="FootnoteReference"/>
                <w:szCs w:val="18"/>
              </w:rPr>
              <w:footnoteReference w:id="270"/>
            </w:r>
          </w:p>
        </w:tc>
      </w:tr>
    </w:tbl>
    <w:p w14:paraId="782EF856" w14:textId="77777777" w:rsidR="00697651" w:rsidRPr="000F5EDD" w:rsidRDefault="00697651" w:rsidP="00EA02DE">
      <w:pPr>
        <w:pStyle w:val="Heading4"/>
        <w:numPr>
          <w:ilvl w:val="0"/>
          <w:numId w:val="62"/>
        </w:numPr>
        <w:spacing w:before="360"/>
      </w:pPr>
      <w:r w:rsidRPr="000F5EDD">
        <w:t>Regional and local adaptation strategies and policies</w:t>
      </w:r>
    </w:p>
    <w:p w14:paraId="3CF9E950" w14:textId="77777777" w:rsidR="00697651" w:rsidRPr="000F5EDD" w:rsidRDefault="00697651" w:rsidP="00697651">
      <w:pPr>
        <w:pStyle w:val="BodyText"/>
      </w:pPr>
      <w:r w:rsidRPr="000F5EDD">
        <w:t xml:space="preserve">Local government is already working with communities and iwi/Māori to address the climate change impacts. Some councils are developing plans and long-term adaptive pathways to proactively manage future risks. However, the level of climate preparedness varies from region to region. The </w:t>
      </w:r>
      <w:r w:rsidRPr="000F5EDD">
        <w:rPr>
          <w:i/>
        </w:rPr>
        <w:t>Adaptation preparedness 2024 information request</w:t>
      </w:r>
      <w:r w:rsidRPr="000F5EDD">
        <w:t xml:space="preserve"> showed that:</w:t>
      </w:r>
    </w:p>
    <w:p w14:paraId="5A787575" w14:textId="77777777" w:rsidR="00697651" w:rsidRPr="000F5EDD" w:rsidRDefault="00697651" w:rsidP="00697651">
      <w:pPr>
        <w:pStyle w:val="Bullet"/>
      </w:pPr>
      <w:r w:rsidRPr="000F5EDD">
        <w:t>46 per cent of councils (32 of 70 councils that responded) have some sort of plan or strategy to increase resilience to climate impacts</w:t>
      </w:r>
      <w:r w:rsidRPr="000F5EDD">
        <w:rPr>
          <w:vertAlign w:val="superscript"/>
        </w:rPr>
        <w:footnoteReference w:id="271"/>
      </w:r>
      <w:r w:rsidRPr="000F5EDD">
        <w:t xml:space="preserve"> </w:t>
      </w:r>
    </w:p>
    <w:p w14:paraId="5A3EE9B6" w14:textId="77777777" w:rsidR="00697651" w:rsidRPr="000F5EDD" w:rsidRDefault="00697651" w:rsidP="00697651">
      <w:pPr>
        <w:pStyle w:val="Bullet"/>
      </w:pPr>
      <w:r w:rsidRPr="000F5EDD">
        <w:t xml:space="preserve">49 per cent of councils (34 out of 70) have a plan in development </w:t>
      </w:r>
    </w:p>
    <w:p w14:paraId="3A98CDA6" w14:textId="77777777" w:rsidR="00697651" w:rsidRPr="000F5EDD" w:rsidRDefault="00697651" w:rsidP="00697651">
      <w:pPr>
        <w:pStyle w:val="Bullet"/>
      </w:pPr>
      <w:r w:rsidRPr="000F5EDD">
        <w:t xml:space="preserve">5 per cent (4 out of 70) do not have a plan or are unsure. </w:t>
      </w:r>
    </w:p>
    <w:p w14:paraId="13162DAD" w14:textId="77777777" w:rsidR="00697651" w:rsidRPr="000F5EDD" w:rsidRDefault="00697651" w:rsidP="00697651">
      <w:pPr>
        <w:pStyle w:val="BodyText"/>
      </w:pPr>
      <w:r w:rsidRPr="000F5EDD">
        <w:t>Out of New Zealand’s 15 regional and unitary councils surveyed, 7 have some sort of climate adaptation strategy in place and 8 have a plan in development.</w:t>
      </w:r>
      <w:r w:rsidRPr="000F5EDD" w:rsidDel="000B4666">
        <w:t xml:space="preserve"> </w:t>
      </w:r>
    </w:p>
    <w:p w14:paraId="54E30D8E" w14:textId="77777777" w:rsidR="00697651" w:rsidRPr="000F5EDD" w:rsidRDefault="00697651" w:rsidP="00EA02DE">
      <w:pPr>
        <w:pStyle w:val="Heading4"/>
        <w:numPr>
          <w:ilvl w:val="0"/>
          <w:numId w:val="62"/>
        </w:numPr>
      </w:pPr>
      <w:r w:rsidRPr="000F5EDD">
        <w:t>Sector</w:t>
      </w:r>
      <w:r w:rsidRPr="000F5EDD" w:rsidDel="001456DF">
        <w:t xml:space="preserve"> adaptation strategies</w:t>
      </w:r>
      <w:r w:rsidRPr="000F5EDD" w:rsidDel="00BA14E4">
        <w:t xml:space="preserve"> and policies</w:t>
      </w:r>
    </w:p>
    <w:p w14:paraId="258BD3E8" w14:textId="77777777" w:rsidR="00697651" w:rsidRPr="000F5EDD" w:rsidRDefault="00697651" w:rsidP="00697651">
      <w:pPr>
        <w:pStyle w:val="BodyText"/>
      </w:pPr>
      <w:r w:rsidRPr="000F5EDD">
        <w:t>Several sectors are already:</w:t>
      </w:r>
    </w:p>
    <w:p w14:paraId="004D4486" w14:textId="77777777" w:rsidR="00697651" w:rsidRPr="000F5EDD" w:rsidRDefault="00697651" w:rsidP="00697651">
      <w:pPr>
        <w:pStyle w:val="Bullet"/>
      </w:pPr>
      <w:r w:rsidRPr="000F5EDD">
        <w:t xml:space="preserve">developing or implementing their own adaptation strategies and plans (eg, the Department of Conservation’s </w:t>
      </w:r>
      <w:hyperlink r:id="rId172" w:history="1">
        <w:r w:rsidRPr="000F5EDD">
          <w:rPr>
            <w:rStyle w:val="Hyperlink"/>
            <w:i/>
            <w:iCs/>
          </w:rPr>
          <w:t>Climate Change Adaptation Action Plan</w:t>
        </w:r>
      </w:hyperlink>
      <w:r w:rsidRPr="000F5EDD">
        <w:t xml:space="preserve"> and Aotearoa Circle’s </w:t>
      </w:r>
      <w:hyperlink r:id="rId173" w:history="1">
        <w:r w:rsidRPr="000F5EDD">
          <w:rPr>
            <w:rStyle w:val="Hyperlink"/>
            <w:i/>
            <w:iCs/>
          </w:rPr>
          <w:t>Tourism Adaptation Roadmap</w:t>
        </w:r>
      </w:hyperlink>
      <w:r w:rsidRPr="000F5EDD">
        <w:t>)</w:t>
      </w:r>
    </w:p>
    <w:p w14:paraId="2F4A88F8" w14:textId="77777777" w:rsidR="00697651" w:rsidRPr="000F5EDD" w:rsidRDefault="00697651" w:rsidP="00697651">
      <w:pPr>
        <w:pStyle w:val="Bullet"/>
      </w:pPr>
      <w:r w:rsidRPr="000F5EDD">
        <w:t>investing in climate change or adaptation programmes (eg,</w:t>
      </w:r>
      <w:r w:rsidRPr="000F5EDD">
        <w:rPr>
          <w:lang w:eastAsia="ja-JP" w:bidi="th-TH"/>
        </w:rPr>
        <w:t xml:space="preserve"> </w:t>
      </w:r>
      <w:hyperlink r:id="rId174" w:history="1">
        <w:r w:rsidRPr="000F5EDD">
          <w:rPr>
            <w:rStyle w:val="Hyperlink"/>
            <w:i/>
            <w:iCs/>
          </w:rPr>
          <w:t>Sustainable Land Management and Climate Change Adaptation Programme</w:t>
        </w:r>
      </w:hyperlink>
      <w:r w:rsidRPr="000F5EDD">
        <w:t>)</w:t>
      </w:r>
    </w:p>
    <w:p w14:paraId="59756617" w14:textId="77777777" w:rsidR="00697651" w:rsidRPr="000F5EDD" w:rsidRDefault="00697651" w:rsidP="00697651">
      <w:pPr>
        <w:pStyle w:val="Bullet"/>
      </w:pPr>
      <w:r w:rsidRPr="000F5EDD">
        <w:t xml:space="preserve">considering climate risks in their wider strategies and policies (eg, the Ministry of Civil Defence and Emergency Management’s </w:t>
      </w:r>
      <w:hyperlink r:id="rId175" w:history="1">
        <w:r w:rsidRPr="000F5EDD">
          <w:rPr>
            <w:rStyle w:val="Hyperlink"/>
            <w:i/>
            <w:iCs/>
          </w:rPr>
          <w:t>National Disaster Resilience Strategy</w:t>
        </w:r>
      </w:hyperlink>
      <w:r w:rsidRPr="000F5EDD">
        <w:t>).</w:t>
      </w:r>
      <w:r w:rsidRPr="000F5EDD">
        <w:rPr>
          <w:rStyle w:val="FootnoteReference"/>
        </w:rPr>
        <w:footnoteReference w:id="272"/>
      </w:r>
    </w:p>
    <w:p w14:paraId="07DA59F9" w14:textId="77777777" w:rsidR="00697651" w:rsidRPr="000F5EDD" w:rsidRDefault="00697651" w:rsidP="00170768">
      <w:pPr>
        <w:pStyle w:val="Heading3"/>
        <w:numPr>
          <w:ilvl w:val="0"/>
          <w:numId w:val="54"/>
        </w:numPr>
        <w:ind w:left="1134" w:hanging="1134"/>
      </w:pPr>
      <w:r w:rsidRPr="000F5EDD">
        <w:t>Best available knowledge, science and indigenous knowledge</w:t>
      </w:r>
      <w:r w:rsidRPr="000F5EDD" w:rsidDel="0070236B">
        <w:t xml:space="preserve"> </w:t>
      </w:r>
      <w:r w:rsidRPr="000F5EDD">
        <w:t>integrated into adaptation</w:t>
      </w:r>
    </w:p>
    <w:p w14:paraId="5EBA6239" w14:textId="77777777" w:rsidR="00697651" w:rsidRPr="000F5EDD" w:rsidRDefault="00697651" w:rsidP="00EA02DE">
      <w:pPr>
        <w:pStyle w:val="Heading4"/>
        <w:numPr>
          <w:ilvl w:val="0"/>
          <w:numId w:val="63"/>
        </w:numPr>
      </w:pPr>
      <w:r w:rsidRPr="000F5EDD">
        <w:t>Science and local knowledge</w:t>
      </w:r>
    </w:p>
    <w:p w14:paraId="2F570A76" w14:textId="721DF360" w:rsidR="00697651" w:rsidRPr="000F5EDD" w:rsidRDefault="00697651" w:rsidP="00697651">
      <w:pPr>
        <w:pStyle w:val="BodyText"/>
        <w:spacing w:after="100"/>
      </w:pPr>
      <w:r w:rsidRPr="000F5EDD">
        <w:t xml:space="preserve">NAP1 incorporates the use of science through actions that deliver scientific information to people, along with actions that use and develop science and knowledge to deliver adaptation. For example, the plan details the research needed to close the adaptation knowledge gaps noted in NCCRA1, over the short and long term, as identified in </w:t>
      </w:r>
      <w:hyperlink w:anchor="section3422" w:history="1">
        <w:r w:rsidR="00876CFF">
          <w:rPr>
            <w:rStyle w:val="Hyperlink"/>
          </w:rPr>
          <w:t>section 3</w:t>
        </w:r>
        <w:r w:rsidR="00876CFF" w:rsidRPr="00876CFF">
          <w:rPr>
            <w:rStyle w:val="Hyperlink"/>
          </w:rPr>
          <w:t>.4.2.2</w:t>
        </w:r>
      </w:hyperlink>
      <w:r w:rsidRPr="000F5EDD">
        <w:t>. Up to 2025, research priorities identified in NAP1 are to:</w:t>
      </w:r>
    </w:p>
    <w:p w14:paraId="39391DF8" w14:textId="77777777" w:rsidR="00697651" w:rsidRPr="000F5EDD" w:rsidRDefault="00697651" w:rsidP="00697651">
      <w:pPr>
        <w:pStyle w:val="Bullet"/>
        <w:keepNext/>
        <w:spacing w:after="100"/>
        <w:rPr>
          <w:szCs w:val="22"/>
        </w:rPr>
      </w:pPr>
      <w:r w:rsidRPr="000F5EDD">
        <w:t xml:space="preserve">consolidate </w:t>
      </w:r>
      <w:r w:rsidRPr="000F5EDD">
        <w:rPr>
          <w:szCs w:val="22"/>
        </w:rPr>
        <w:t xml:space="preserve">existing data and make them open access </w:t>
      </w:r>
    </w:p>
    <w:p w14:paraId="5F3F8969" w14:textId="77777777" w:rsidR="00697651" w:rsidRPr="000F5EDD" w:rsidRDefault="00697651" w:rsidP="00697651">
      <w:pPr>
        <w:pStyle w:val="Bullet"/>
        <w:spacing w:after="100"/>
        <w:rPr>
          <w:szCs w:val="22"/>
        </w:rPr>
      </w:pPr>
      <w:r w:rsidRPr="000F5EDD">
        <w:rPr>
          <w:szCs w:val="22"/>
        </w:rPr>
        <w:t xml:space="preserve">complete priority datasets </w:t>
      </w:r>
    </w:p>
    <w:p w14:paraId="23876494" w14:textId="77777777" w:rsidR="00697651" w:rsidRPr="000F5EDD" w:rsidRDefault="00697651" w:rsidP="00697651">
      <w:pPr>
        <w:pStyle w:val="Bullet"/>
        <w:spacing w:after="100"/>
        <w:rPr>
          <w:szCs w:val="22"/>
        </w:rPr>
      </w:pPr>
      <w:r w:rsidRPr="000F5EDD">
        <w:rPr>
          <w:szCs w:val="22"/>
        </w:rPr>
        <w:t xml:space="preserve">start national networks of long-term monitoring of natural environments </w:t>
      </w:r>
    </w:p>
    <w:p w14:paraId="1C2A36AB" w14:textId="77777777" w:rsidR="00697651" w:rsidRPr="000F5EDD" w:rsidRDefault="00697651" w:rsidP="00697651">
      <w:pPr>
        <w:pStyle w:val="Bullet"/>
        <w:rPr>
          <w:szCs w:val="22"/>
        </w:rPr>
      </w:pPr>
      <w:r w:rsidRPr="000F5EDD">
        <w:rPr>
          <w:szCs w:val="22"/>
        </w:rPr>
        <w:t xml:space="preserve">start and complete vulnerability studies. </w:t>
      </w:r>
    </w:p>
    <w:p w14:paraId="1A7FFABE" w14:textId="77777777" w:rsidR="00697651" w:rsidRPr="000F5EDD" w:rsidRDefault="00697651" w:rsidP="00697651">
      <w:pPr>
        <w:pStyle w:val="BodyText"/>
        <w:spacing w:after="100"/>
        <w:rPr>
          <w:rFonts w:eastAsia="Lato"/>
        </w:rPr>
      </w:pPr>
      <w:r w:rsidRPr="000F5EDD">
        <w:rPr>
          <w:rFonts w:eastAsia="Lato"/>
        </w:rPr>
        <w:t xml:space="preserve">To support these research priorities, some actions in NAP1 develop and fund science and knowledge programmes </w:t>
      </w:r>
      <w:r w:rsidRPr="000F5EDD">
        <w:t>to support innovative adaptation.</w:t>
      </w:r>
      <w:r w:rsidRPr="000F5EDD">
        <w:rPr>
          <w:rFonts w:eastAsia="Lato"/>
        </w:rPr>
        <w:t xml:space="preserve"> Examples of these actions include the following.</w:t>
      </w:r>
    </w:p>
    <w:p w14:paraId="3AC2FC7A" w14:textId="6AEA9BCB" w:rsidR="00697651" w:rsidRPr="000F5EDD" w:rsidRDefault="00697651" w:rsidP="00697651">
      <w:pPr>
        <w:pStyle w:val="Bullet"/>
        <w:spacing w:before="100"/>
        <w:rPr>
          <w:rFonts w:eastAsia="Lato"/>
          <w:szCs w:val="22"/>
        </w:rPr>
      </w:pPr>
      <w:r w:rsidRPr="000F5EDD">
        <w:rPr>
          <w:b/>
          <w:bCs/>
          <w:szCs w:val="22"/>
        </w:rPr>
        <w:t>Sustainable Land Management and Climate Change (SLMACC) Programme.</w:t>
      </w:r>
      <w:r w:rsidRPr="000F5EDD">
        <w:rPr>
          <w:szCs w:val="22"/>
        </w:rPr>
        <w:t xml:space="preserve"> The aim of this programme is to help the agriculture and forestry sectors to address challenges arising from climate change. Within the SLMACC Programme, the SLMACC Adaptation Programme focuses on social impacts, policy research and the science around adaptation. </w:t>
      </w:r>
      <w:r w:rsidRPr="000F5EDD">
        <w:rPr>
          <w:rFonts w:eastAsia="Calibri" w:cs="Calibri"/>
          <w:szCs w:val="22"/>
        </w:rPr>
        <w:t xml:space="preserve">No further funding rounds are currently proposed for the SLMACC Programme. Funding continues for those projects already approved from previous rounds. The Ministry for Primary Industries is continuing to fund research through other funds, such as the Sustainable Food and Fibre Futures Fund. </w:t>
      </w:r>
    </w:p>
    <w:p w14:paraId="655CA9A9" w14:textId="77777777" w:rsidR="00697651" w:rsidRPr="000F5EDD" w:rsidRDefault="00697651" w:rsidP="00697651">
      <w:pPr>
        <w:pStyle w:val="Bullet"/>
      </w:pPr>
      <w:r w:rsidRPr="75ADBAC8">
        <w:rPr>
          <w:b/>
        </w:rPr>
        <w:t>Climate Data Infrastruct</w:t>
      </w:r>
      <w:r w:rsidRPr="000F5EDD">
        <w:rPr>
          <w:b/>
          <w:bCs/>
        </w:rPr>
        <w:t>ure initiative.</w:t>
      </w:r>
      <w:r w:rsidRPr="000F5EDD">
        <w:t xml:space="preserve"> The aim of this initiative is to collate and integrate New Zealand’s climate change data so that it is easier to find, access and use. It will help standardise modelling and reporting systems, build an evidence base for policy development, and centralise and improve core climate change data sets. Tailored tools will be developed to make the data and insights easier to understand and use.</w:t>
      </w:r>
      <w:r w:rsidRPr="000F5EDD">
        <w:rPr>
          <w:rStyle w:val="FootnoteReference"/>
        </w:rPr>
        <w:footnoteReference w:id="273"/>
      </w:r>
      <w:r w:rsidRPr="000F5EDD">
        <w:t xml:space="preserve"> </w:t>
      </w:r>
    </w:p>
    <w:p w14:paraId="2EE5B454" w14:textId="77777777" w:rsidR="00697651" w:rsidRPr="000F5EDD" w:rsidRDefault="00697651" w:rsidP="00EA02DE">
      <w:pPr>
        <w:pStyle w:val="Heading4"/>
        <w:numPr>
          <w:ilvl w:val="0"/>
          <w:numId w:val="63"/>
        </w:numPr>
      </w:pPr>
      <w:r w:rsidRPr="000F5EDD">
        <w:t>Nature-based solutions</w:t>
      </w:r>
    </w:p>
    <w:p w14:paraId="3D43BEA0" w14:textId="77777777" w:rsidR="00697651" w:rsidRPr="000F5EDD" w:rsidRDefault="00697651" w:rsidP="00697651">
      <w:pPr>
        <w:pStyle w:val="BodyText"/>
        <w:spacing w:before="100" w:after="100"/>
      </w:pPr>
      <w:r w:rsidRPr="000F5EDD">
        <w:t xml:space="preserve">Nature-based solutions involve using sustainable management and natural features and processes to tackle socio-environmental challenges such as climate change. </w:t>
      </w:r>
    </w:p>
    <w:p w14:paraId="6AF4DE3C" w14:textId="77777777" w:rsidR="00697651" w:rsidRPr="000F5EDD" w:rsidRDefault="00697651" w:rsidP="00697651">
      <w:pPr>
        <w:pStyle w:val="BodyText"/>
        <w:spacing w:before="100" w:after="100"/>
      </w:pPr>
      <w:r w:rsidRPr="000F5EDD">
        <w:t>The Government prioritises nature-based solutions for addressing climate change through restoring biodiversity, while investigating new ways of harnessing nature to remove emissions from the atmosphere.</w:t>
      </w:r>
    </w:p>
    <w:p w14:paraId="4EFE8308" w14:textId="77777777" w:rsidR="00697651" w:rsidRPr="000F5EDD" w:rsidRDefault="00697651" w:rsidP="00EA02DE">
      <w:pPr>
        <w:pStyle w:val="Heading4"/>
        <w:numPr>
          <w:ilvl w:val="0"/>
          <w:numId w:val="63"/>
        </w:numPr>
      </w:pPr>
      <w:r w:rsidRPr="000F5EDD">
        <w:t>Mātauranga Māori</w:t>
      </w:r>
    </w:p>
    <w:p w14:paraId="14F59EA7" w14:textId="77777777" w:rsidR="00697651" w:rsidRPr="000F5EDD" w:rsidRDefault="00697651" w:rsidP="00697651">
      <w:pPr>
        <w:pStyle w:val="BodyText"/>
        <w:spacing w:before="100" w:after="100"/>
      </w:pPr>
      <w:r w:rsidRPr="000F5EDD">
        <w:t>Mātauranga Māori is the modern term for traditional Māori knowledge. It provides a valuable lens for identifying current and future climate impacts on natural and human systems, as well as for planning and developing solutions. Changes in the usual seasonal patterns affect mātauranga Māori and many important Māori practices, including the transfer of mātauranga Māori across generations. Climate change and biodiversity loss may make already vulnerable people more so and reinforce inequities, meaning that harm falls disproportionately on minorities and indigenous peoples.</w:t>
      </w:r>
    </w:p>
    <w:p w14:paraId="2DD430DB" w14:textId="77777777" w:rsidR="00697651" w:rsidRPr="000F5EDD" w:rsidRDefault="00697651" w:rsidP="00697651">
      <w:pPr>
        <w:pStyle w:val="BodyText"/>
        <w:spacing w:after="100"/>
      </w:pPr>
      <w:r w:rsidRPr="000F5EDD">
        <w:t>Climate change endangers the existence of culturally significant land and taonga species.</w:t>
      </w:r>
      <w:r w:rsidRPr="000F5EDD">
        <w:rPr>
          <w:rStyle w:val="FootnoteReference"/>
        </w:rPr>
        <w:footnoteReference w:id="274"/>
      </w:r>
      <w:r w:rsidRPr="000F5EDD">
        <w:t xml:space="preserve"> Māori treasure these species because they are significant historically, culturally, spiritually and ecologically. The particular species that are taonga vary among whānau, hapū and iwi, which can be due to whakapapa (genealogy) connection, identified kaitiaki (guardian) responsibilities and geographical distribution. </w:t>
      </w:r>
      <w:r w:rsidRPr="00CA0BFB">
        <w:t>Many taonga species</w:t>
      </w:r>
      <w:r w:rsidRPr="000F5EDD">
        <w:t xml:space="preserve"> have been gathered over generations and are connected to traditional Māori practices, such as mahinga kai (places to obtain traditional food or resources) and rongoā (healing). They are central to the intergenerational transmission of knowledge, including knowledge on the sustainable use and protection of these taonga species and their associated ecosystems.</w:t>
      </w:r>
      <w:r w:rsidRPr="000F5EDD">
        <w:rPr>
          <w:rStyle w:val="FootnoteReference"/>
        </w:rPr>
        <w:footnoteReference w:id="275"/>
      </w:r>
      <w:r w:rsidRPr="000F5EDD">
        <w:rPr>
          <w:vertAlign w:val="superscript"/>
        </w:rPr>
        <w:t>,</w:t>
      </w:r>
      <w:r w:rsidRPr="000F5EDD">
        <w:t xml:space="preserve"> </w:t>
      </w:r>
      <w:r w:rsidRPr="000F5EDD">
        <w:rPr>
          <w:rStyle w:val="FootnoteReference"/>
        </w:rPr>
        <w:footnoteReference w:id="276"/>
      </w:r>
      <w:r w:rsidRPr="000F5EDD">
        <w:rPr>
          <w:vertAlign w:val="superscript"/>
        </w:rPr>
        <w:t>,</w:t>
      </w:r>
      <w:r w:rsidRPr="000F5EDD">
        <w:t xml:space="preserve"> </w:t>
      </w:r>
      <w:r w:rsidRPr="000F5EDD">
        <w:rPr>
          <w:rStyle w:val="FootnoteReference"/>
        </w:rPr>
        <w:footnoteReference w:id="277"/>
      </w:r>
      <w:r w:rsidRPr="000F5EDD">
        <w:t xml:space="preserve"> Particular taonga species can also be symbols of status or associated with death, serve as tohu (environmental indicators) or to predict the weather, and feature in metaphors and stories.</w:t>
      </w:r>
      <w:r w:rsidRPr="000F5EDD">
        <w:rPr>
          <w:rStyle w:val="FootnoteReference"/>
        </w:rPr>
        <w:footnoteReference w:id="278"/>
      </w:r>
    </w:p>
    <w:p w14:paraId="40630046" w14:textId="7601A5D2" w:rsidR="00697651" w:rsidRPr="000F5EDD" w:rsidRDefault="00697651" w:rsidP="00697651">
      <w:pPr>
        <w:pStyle w:val="BodyText"/>
      </w:pPr>
      <w:r w:rsidRPr="000F5EDD">
        <w:t>Māori adaptation plans form the basis of Māori resilience and have potential as a significant way of supporting Māori-led action on climate change.</w:t>
      </w:r>
      <w:r w:rsidRPr="000F5EDD">
        <w:rPr>
          <w:rStyle w:val="FootnoteReference"/>
        </w:rPr>
        <w:footnoteReference w:id="279"/>
      </w:r>
      <w:r w:rsidRPr="000F5EDD">
        <w:t xml:space="preserve"> Some iwi have developed their own adaptation strategies or plans: these iwi include Ngāi Tahu,</w:t>
      </w:r>
      <w:r w:rsidRPr="000F5EDD">
        <w:rPr>
          <w:rStyle w:val="FootnoteReference"/>
        </w:rPr>
        <w:footnoteReference w:id="280"/>
      </w:r>
      <w:r w:rsidRPr="000F5EDD">
        <w:rPr>
          <w:vertAlign w:val="superscript"/>
        </w:rPr>
        <w:t>,</w:t>
      </w:r>
      <w:r w:rsidRPr="00825E0D">
        <w:rPr>
          <w:vertAlign w:val="superscript"/>
        </w:rPr>
        <w:t xml:space="preserve"> </w:t>
      </w:r>
      <w:r w:rsidRPr="000F5EDD">
        <w:rPr>
          <w:rStyle w:val="FootnoteReference"/>
        </w:rPr>
        <w:footnoteReference w:id="281"/>
      </w:r>
      <w:r w:rsidRPr="000F5EDD">
        <w:t xml:space="preserve"> Te Arawa</w:t>
      </w:r>
      <w:r w:rsidRPr="000F5EDD">
        <w:rPr>
          <w:rStyle w:val="FootnoteReference"/>
        </w:rPr>
        <w:footnoteReference w:id="282"/>
      </w:r>
      <w:r w:rsidRPr="000F5EDD">
        <w:t xml:space="preserve"> and Nā Ngā Iwi Ō</w:t>
      </w:r>
      <w:r w:rsidR="008E3B40">
        <w:t> </w:t>
      </w:r>
      <w:r w:rsidRPr="000F5EDD">
        <w:t>Maketu (Te Rūnanga o Ngāti Whakaue ki Maketū, Whakaue Marae Trustees and Ngāti Pikiao Noho Ki Tai).</w:t>
      </w:r>
      <w:r w:rsidRPr="000F5EDD">
        <w:rPr>
          <w:rStyle w:val="FootnoteReference"/>
        </w:rPr>
        <w:footnoteReference w:id="283"/>
      </w:r>
      <w:r w:rsidRPr="000F5EDD">
        <w:t xml:space="preserve"> </w:t>
      </w:r>
    </w:p>
    <w:p w14:paraId="310E588B" w14:textId="4FC4F1C7" w:rsidR="00697651" w:rsidRPr="000F5EDD" w:rsidRDefault="00697651" w:rsidP="00697651">
      <w:pPr>
        <w:pStyle w:val="BodyText"/>
      </w:pPr>
      <w:r w:rsidRPr="000F5EDD">
        <w:t xml:space="preserve">In addition, the Government has already been collaborating with iwi on adaptation initiatives informed by mātauranga Māori. For example, </w:t>
      </w:r>
      <w:r w:rsidRPr="000F5EDD">
        <w:rPr>
          <w:i/>
          <w:iCs/>
        </w:rPr>
        <w:t>Navigating our freshwater environment</w:t>
      </w:r>
      <w:r w:rsidRPr="000F5EDD">
        <w:t xml:space="preserve"> is a storymap about the significance of tuna (longfin eels) to the people of New Zealand.</w:t>
      </w:r>
      <w:r w:rsidRPr="000F5EDD">
        <w:rPr>
          <w:rStyle w:val="FootnoteReference"/>
        </w:rPr>
        <w:footnoteReference w:id="284"/>
      </w:r>
      <w:r w:rsidRPr="000F5EDD">
        <w:t xml:space="preserve"> Tuna are a taonga species of cultural significance to Māori. Climate change could alter ocean currents, in turn affecting how many tuna make it to New Zealand to continue the lifecycle of</w:t>
      </w:r>
      <w:r w:rsidR="008E3B40">
        <w:t> </w:t>
      </w:r>
      <w:r w:rsidRPr="000F5EDD">
        <w:t>this species.</w:t>
      </w:r>
    </w:p>
    <w:p w14:paraId="0E67A18B" w14:textId="0B793A08" w:rsidR="00697651" w:rsidRPr="000F5EDD" w:rsidRDefault="00697651" w:rsidP="00697651">
      <w:pPr>
        <w:pStyle w:val="BodyText"/>
      </w:pPr>
      <w:r w:rsidRPr="000F5EDD">
        <w:rPr>
          <w:spacing w:val="-2"/>
        </w:rPr>
        <w:t xml:space="preserve">Another example of an existing collaboration is </w:t>
      </w:r>
      <w:r w:rsidRPr="000F5EDD">
        <w:rPr>
          <w:i/>
          <w:iCs/>
          <w:spacing w:val="-2"/>
        </w:rPr>
        <w:t>The Ngaa Rauru Kiitahi Climate Change Strategy</w:t>
      </w:r>
      <w:r w:rsidRPr="000F5EDD">
        <w:t xml:space="preserve"> produced in a partnership involving representatives of Te Kaahui Ngaa Rauru and the Ministry for the Environment.</w:t>
      </w:r>
      <w:r w:rsidRPr="000F5EDD">
        <w:rPr>
          <w:rStyle w:val="FootnoteReference"/>
        </w:rPr>
        <w:footnoteReference w:id="285"/>
      </w:r>
      <w:r w:rsidRPr="000F5EDD">
        <w:t xml:space="preserve"> It is grounded in the framework of Te Kawa Ora | the Sacred Tree of Creation and in cultural understandings of balance, whakapapa</w:t>
      </w:r>
      <w:r w:rsidR="002605A4">
        <w:t xml:space="preserve"> (genealogy)</w:t>
      </w:r>
      <w:r w:rsidRPr="000F5EDD">
        <w:t>, relativity, interconnectedness and collectivism.</w:t>
      </w:r>
      <w:r w:rsidRPr="000F5EDD">
        <w:rPr>
          <w:rFonts w:cs="Calibri"/>
          <w:color w:val="000000"/>
          <w:shd w:val="clear" w:color="auto" w:fill="C0E6F5"/>
        </w:rPr>
        <w:t xml:space="preserve"> </w:t>
      </w:r>
    </w:p>
    <w:p w14:paraId="38AD0B31" w14:textId="77777777" w:rsidR="00697651" w:rsidRPr="000F5EDD" w:rsidRDefault="00697651" w:rsidP="005B32FE">
      <w:pPr>
        <w:pStyle w:val="Heading2"/>
        <w:numPr>
          <w:ilvl w:val="0"/>
          <w:numId w:val="50"/>
        </w:numPr>
        <w:ind w:left="1134" w:hanging="1134"/>
      </w:pPr>
      <w:bookmarkStart w:id="801" w:name="_Progress_on_implementation"/>
      <w:bookmarkStart w:id="802" w:name="_Toc184825542"/>
      <w:bookmarkEnd w:id="801"/>
      <w:r w:rsidRPr="000F5EDD">
        <w:t>Progress on implementation of adaptation</w:t>
      </w:r>
      <w:bookmarkEnd w:id="802"/>
    </w:p>
    <w:p w14:paraId="61932B65" w14:textId="77777777" w:rsidR="00697651" w:rsidRPr="000F5EDD" w:rsidRDefault="00697651" w:rsidP="005B32FE">
      <w:pPr>
        <w:pStyle w:val="Heading3"/>
        <w:numPr>
          <w:ilvl w:val="0"/>
          <w:numId w:val="55"/>
        </w:numPr>
        <w:ind w:left="1134" w:hanging="1134"/>
      </w:pPr>
      <w:bookmarkStart w:id="803" w:name="_Progress_on_implementing"/>
      <w:bookmarkEnd w:id="803"/>
      <w:r w:rsidRPr="000F5EDD">
        <w:t>Progress on implementing adaptation policies and strategies</w:t>
      </w:r>
    </w:p>
    <w:p w14:paraId="65F49E4D" w14:textId="77777777" w:rsidR="00697651" w:rsidRPr="000F5EDD" w:rsidRDefault="00697651" w:rsidP="00697651">
      <w:pPr>
        <w:pStyle w:val="BodyText"/>
      </w:pPr>
      <w:r w:rsidRPr="000F5EDD">
        <w:t xml:space="preserve">New Zealand is two years into the implementation of its first NAP. </w:t>
      </w:r>
    </w:p>
    <w:p w14:paraId="7469DD4A" w14:textId="257F26B0" w:rsidR="00697651" w:rsidRPr="000F5EDD" w:rsidRDefault="00697651" w:rsidP="00697651">
      <w:pPr>
        <w:pStyle w:val="BodyText"/>
      </w:pPr>
      <w:r w:rsidRPr="000F5EDD" w:rsidDel="77387A0E">
        <w:t xml:space="preserve">The Climate Change Chief </w:t>
      </w:r>
      <w:r w:rsidRPr="000F5EDD" w:rsidDel="00D71A6A">
        <w:t>Executive</w:t>
      </w:r>
      <w:r w:rsidRPr="000F5EDD">
        <w:t>s</w:t>
      </w:r>
      <w:r w:rsidRPr="000F5EDD" w:rsidDel="00D71A6A">
        <w:t xml:space="preserve"> Board </w:t>
      </w:r>
      <w:r w:rsidRPr="000F5EDD">
        <w:t>(the Board) monitors implementation progress</w:t>
      </w:r>
      <w:r w:rsidRPr="000F5EDD">
        <w:rPr>
          <w:spacing w:val="-3"/>
        </w:rPr>
        <w:t xml:space="preserve"> </w:t>
      </w:r>
      <w:r w:rsidRPr="000F5EDD">
        <w:rPr>
          <w:spacing w:val="-2"/>
        </w:rPr>
        <w:t>of</w:t>
      </w:r>
      <w:r w:rsidRPr="000F5EDD">
        <w:rPr>
          <w:spacing w:val="-4"/>
        </w:rPr>
        <w:t> </w:t>
      </w:r>
      <w:r w:rsidRPr="000F5EDD">
        <w:t xml:space="preserve">NAP1. The Board provided its first progress report on NAP1 implementation to </w:t>
      </w:r>
      <w:r w:rsidR="00324944">
        <w:t>m</w:t>
      </w:r>
      <w:r w:rsidRPr="000F5EDD">
        <w:t xml:space="preserve">inisters in August 2023, covering the implementation period January to June 2023. </w:t>
      </w:r>
    </w:p>
    <w:p w14:paraId="1C5B609D" w14:textId="77777777" w:rsidR="00697651" w:rsidRPr="000F5EDD" w:rsidRDefault="00697651" w:rsidP="00697651">
      <w:pPr>
        <w:pStyle w:val="BodyText"/>
      </w:pPr>
      <w:r w:rsidRPr="000F5EDD">
        <w:t xml:space="preserve">The Board’s progress reports on NAP1 actions are informed by baseline data collected from implementation agencies. Monitoring data from agencies include: an action status; a Red, Amber or Green rating for progress over the reporting period; key milestones for the next six months; and a Red, Amber or Green rating for confidence in delivery. </w:t>
      </w:r>
    </w:p>
    <w:p w14:paraId="78961CE8" w14:textId="77777777" w:rsidR="00697651" w:rsidRPr="000F5EDD" w:rsidRDefault="00697651" w:rsidP="00697651">
      <w:pPr>
        <w:pStyle w:val="BodyText"/>
      </w:pPr>
      <w:r w:rsidRPr="000F5EDD">
        <w:t>The Board’s most recent publicly available report (covering the period July to December 2023) was published in March 2024.</w:t>
      </w:r>
      <w:r w:rsidRPr="000F5EDD">
        <w:rPr>
          <w:rStyle w:val="FootnoteReference"/>
        </w:rPr>
        <w:footnoteReference w:id="286"/>
      </w:r>
      <w:r w:rsidRPr="000F5EDD">
        <w:t xml:space="preserve"> In this report, the Board noted that: </w:t>
      </w:r>
    </w:p>
    <w:p w14:paraId="31DFE120" w14:textId="77777777" w:rsidR="00697651" w:rsidRPr="000F5EDD" w:rsidRDefault="00697651" w:rsidP="00697651">
      <w:pPr>
        <w:pStyle w:val="Bullet"/>
      </w:pPr>
      <w:r w:rsidRPr="000F5EDD">
        <w:t xml:space="preserve">95 NAP1 actions are actively being implemented, 9 are completed, 4 have been discontinued, 15 have not started and 4 are on hold </w:t>
      </w:r>
    </w:p>
    <w:p w14:paraId="74CC5161" w14:textId="77777777" w:rsidR="00697651" w:rsidRPr="000F5EDD" w:rsidRDefault="00697651" w:rsidP="00697651">
      <w:pPr>
        <w:pStyle w:val="Bullet"/>
      </w:pPr>
      <w:r w:rsidRPr="000F5EDD">
        <w:t>agencies rated 66 per cent of active actions as Green</w:t>
      </w:r>
      <w:r w:rsidRPr="000F5EDD">
        <w:rPr>
          <w:rStyle w:val="FootnoteReference"/>
        </w:rPr>
        <w:footnoteReference w:id="287"/>
      </w:r>
      <w:r w:rsidRPr="000F5EDD">
        <w:t xml:space="preserve"> and on track for delivery in the short term </w:t>
      </w:r>
    </w:p>
    <w:p w14:paraId="5D5ADE63" w14:textId="77777777" w:rsidR="00697651" w:rsidRPr="000F5EDD" w:rsidRDefault="00697651" w:rsidP="00697651">
      <w:pPr>
        <w:pStyle w:val="Bullet"/>
      </w:pPr>
      <w:r w:rsidRPr="000F5EDD">
        <w:t>a range of reasons account for why an action is not active. For example, it may be because of ministerial decisions pending or taken, internal funding and/or resourcing constraints, or external Budget constraints, or because the action is due to start later in the NAP1 implementation period.</w:t>
      </w:r>
      <w:r w:rsidRPr="000F5EDD">
        <w:rPr>
          <w:rStyle w:val="FootnoteReference"/>
        </w:rPr>
        <w:footnoteReference w:id="288"/>
      </w:r>
      <w:r w:rsidRPr="000F5EDD">
        <w:t xml:space="preserve"> </w:t>
      </w:r>
    </w:p>
    <w:p w14:paraId="02126864" w14:textId="59F38860" w:rsidR="00697651" w:rsidRPr="000F5EDD" w:rsidRDefault="00697651" w:rsidP="00697651">
      <w:pPr>
        <w:pStyle w:val="BodyText"/>
      </w:pPr>
      <w:r w:rsidRPr="000F5EDD">
        <w:t>The Commission’s first report on the implementation and effectiveness of NAP1 provides further review on the progress on implementation of adaptation policies and strategies. See </w:t>
      </w:r>
      <w:hyperlink w:anchor="section37" w:history="1">
        <w:r w:rsidRPr="0000713D">
          <w:rPr>
            <w:rStyle w:val="Hyperlink"/>
          </w:rPr>
          <w:t>section 3.</w:t>
        </w:r>
        <w:r w:rsidR="0000713D" w:rsidRPr="0000713D">
          <w:rPr>
            <w:rStyle w:val="Hyperlink"/>
          </w:rPr>
          <w:t>7</w:t>
        </w:r>
      </w:hyperlink>
      <w:r w:rsidR="00B67987" w:rsidRPr="0000713D">
        <w:t>,</w:t>
      </w:r>
      <w:r w:rsidRPr="0000713D">
        <w:t xml:space="preserve"> for more information.</w:t>
      </w:r>
    </w:p>
    <w:p w14:paraId="173B7170" w14:textId="5D96F08C" w:rsidR="00697651" w:rsidRPr="000F5EDD" w:rsidRDefault="00697651" w:rsidP="00114C56">
      <w:pPr>
        <w:pStyle w:val="Heading3"/>
        <w:numPr>
          <w:ilvl w:val="0"/>
          <w:numId w:val="55"/>
        </w:numPr>
        <w:ind w:left="1134" w:hanging="1134"/>
      </w:pPr>
      <w:r w:rsidRPr="000F5EDD">
        <w:t xml:space="preserve">Implementing the adaptation component of </w:t>
      </w:r>
      <w:r w:rsidR="008F5E86">
        <w:t xml:space="preserve">the </w:t>
      </w:r>
      <w:r w:rsidRPr="000F5EDD">
        <w:t>Nationally Determined Contribution</w:t>
      </w:r>
    </w:p>
    <w:p w14:paraId="5E7B9680" w14:textId="77777777" w:rsidR="00697651" w:rsidRPr="000F5EDD" w:rsidRDefault="00697651" w:rsidP="00697651">
      <w:pPr>
        <w:pStyle w:val="BodyText"/>
      </w:pPr>
      <w:r w:rsidRPr="000F5EDD">
        <w:t>Adaptation is not included as a component of New Zealand’s Nationally Determined Contribution.</w:t>
      </w:r>
    </w:p>
    <w:p w14:paraId="4649A1EA" w14:textId="77777777" w:rsidR="00697651" w:rsidRPr="000F5EDD" w:rsidRDefault="00697651" w:rsidP="00EA02DE">
      <w:pPr>
        <w:pStyle w:val="Heading3"/>
        <w:numPr>
          <w:ilvl w:val="0"/>
          <w:numId w:val="55"/>
        </w:numPr>
      </w:pPr>
      <w:r w:rsidRPr="000F5EDD">
        <w:t>Coordinating adaptation policies and strategies</w:t>
      </w:r>
    </w:p>
    <w:p w14:paraId="11D559B0" w14:textId="77777777" w:rsidR="00697651" w:rsidRPr="000F5EDD" w:rsidRDefault="00697651" w:rsidP="00697651">
      <w:pPr>
        <w:pStyle w:val="BodyText"/>
      </w:pPr>
      <w:r w:rsidRPr="000F5EDD">
        <w:t>New Zealand is taking an all-of-government approach to its climate change response. The Ministry for the Environment is responsible for coordinating central government adaptation policies and strategies as set out in the NAP.</w:t>
      </w:r>
    </w:p>
    <w:p w14:paraId="40DE79F2" w14:textId="26091C77" w:rsidR="00697651" w:rsidRPr="000F5EDD" w:rsidRDefault="00697651" w:rsidP="00697651">
      <w:pPr>
        <w:pStyle w:val="BodyText"/>
      </w:pPr>
      <w:r w:rsidRPr="000F5EDD">
        <w:t xml:space="preserve">For a description of the institutional arrangements for adaptation policies and strategies, see </w:t>
      </w:r>
      <w:hyperlink w:anchor="section322" w:history="1">
        <w:r w:rsidRPr="000B3707">
          <w:rPr>
            <w:rStyle w:val="Hyperlink"/>
          </w:rPr>
          <w:t xml:space="preserve">section </w:t>
        </w:r>
        <w:r w:rsidR="00605BD5" w:rsidRPr="000B3707">
          <w:rPr>
            <w:rStyle w:val="Hyperlink"/>
          </w:rPr>
          <w:t>3.2.2</w:t>
        </w:r>
      </w:hyperlink>
      <w:r w:rsidRPr="000B3707">
        <w:t>.</w:t>
      </w:r>
    </w:p>
    <w:p w14:paraId="31F91DEB" w14:textId="77777777" w:rsidR="00697651" w:rsidRPr="000F5EDD" w:rsidRDefault="00697651" w:rsidP="00CB4B6E">
      <w:pPr>
        <w:pStyle w:val="Heading2"/>
        <w:numPr>
          <w:ilvl w:val="0"/>
          <w:numId w:val="50"/>
        </w:numPr>
        <w:ind w:left="1134" w:hanging="1134"/>
      </w:pPr>
      <w:bookmarkStart w:id="804" w:name="section37"/>
      <w:bookmarkStart w:id="805" w:name="_Toc184825543"/>
      <w:bookmarkStart w:id="806" w:name="_Monitoring_and_evaluation"/>
      <w:bookmarkEnd w:id="804"/>
      <w:bookmarkEnd w:id="806"/>
      <w:r w:rsidRPr="000F5EDD">
        <w:t>Monitoring and evaluation of adaptation actions and processes</w:t>
      </w:r>
      <w:bookmarkEnd w:id="805"/>
      <w:r w:rsidRPr="000F5EDD">
        <w:t xml:space="preserve"> </w:t>
      </w:r>
    </w:p>
    <w:p w14:paraId="3CFD9484" w14:textId="5461F70A" w:rsidR="00697651" w:rsidRPr="000F5EDD" w:rsidRDefault="00697651" w:rsidP="00CB4B6E">
      <w:pPr>
        <w:pStyle w:val="Heading3"/>
        <w:numPr>
          <w:ilvl w:val="0"/>
          <w:numId w:val="56"/>
        </w:numPr>
        <w:ind w:left="1134" w:hanging="1134"/>
      </w:pPr>
      <w:r w:rsidRPr="000F5EDD">
        <w:t>Effectiveness and sustainability of adaptation</w:t>
      </w:r>
      <w:r w:rsidR="00A77F08">
        <w:t> </w:t>
      </w:r>
      <w:r w:rsidRPr="000F5EDD">
        <w:t>actions</w:t>
      </w:r>
    </w:p>
    <w:p w14:paraId="6737651E" w14:textId="23642AF8" w:rsidR="00697651" w:rsidRPr="000F5EDD" w:rsidRDefault="00697651" w:rsidP="00697651">
      <w:pPr>
        <w:pStyle w:val="BodyText"/>
      </w:pPr>
      <w:r w:rsidRPr="000F5EDD">
        <w:t>In August 2024, the Commission provided its first report on the implementation and effectiveness of NAP1.</w:t>
      </w:r>
      <w:r w:rsidRPr="000F5EDD">
        <w:rPr>
          <w:rStyle w:val="FootnoteReference"/>
        </w:rPr>
        <w:footnoteReference w:id="289"/>
      </w:r>
      <w:r w:rsidRPr="000F5EDD">
        <w:t xml:space="preserve"> In this report, the Commission focused on assessing the quality of NAP1, including gaps and opportunities. In future reports, the Commission will assess the overall effectiveness of the NAP, but such an assessment has not been possible this early in the six-year delivery cycle. </w:t>
      </w:r>
    </w:p>
    <w:p w14:paraId="532F0F95" w14:textId="6C2E3423" w:rsidR="00697651" w:rsidRPr="000F5EDD" w:rsidRDefault="00697651" w:rsidP="00697651">
      <w:pPr>
        <w:pStyle w:val="BodyText"/>
        <w:spacing w:after="240"/>
      </w:pPr>
      <w:r w:rsidRPr="000F5EDD">
        <w:t>The following box sets out the recommendations and challenges that the report identifies. The Government will provide a response to this report.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EBE8" w:themeFill="accent3"/>
        <w:tblLook w:val="04A0" w:firstRow="1" w:lastRow="0" w:firstColumn="1" w:lastColumn="0" w:noHBand="0" w:noVBand="1"/>
      </w:tblPr>
      <w:tblGrid>
        <w:gridCol w:w="8495"/>
      </w:tblGrid>
      <w:tr w:rsidR="00697651" w:rsidRPr="000F5EDD" w14:paraId="07701344" w14:textId="77777777">
        <w:tc>
          <w:tcPr>
            <w:tcW w:w="8495" w:type="dxa"/>
            <w:shd w:val="clear" w:color="auto" w:fill="D5EBE8" w:themeFill="accent3"/>
          </w:tcPr>
          <w:p w14:paraId="4F759F3E" w14:textId="77777777" w:rsidR="00697651" w:rsidRPr="000F5EDD" w:rsidRDefault="00697651">
            <w:pPr>
              <w:pStyle w:val="Boxheading"/>
              <w:keepNext w:val="0"/>
            </w:pPr>
            <w:r w:rsidRPr="000F5EDD">
              <w:t>Climate Change Commission recommendations on the implementation and effectiveness of the first national adaptation plan (NAP1)</w:t>
            </w:r>
          </w:p>
          <w:p w14:paraId="6E6AFEBD" w14:textId="77777777" w:rsidR="00697651" w:rsidRPr="000F5EDD" w:rsidRDefault="00697651">
            <w:pPr>
              <w:pStyle w:val="Boxtext"/>
              <w:spacing w:after="0"/>
            </w:pPr>
            <w:r w:rsidRPr="000F5EDD">
              <w:t>Rec 1: Enable effective local adaptation planning and action.</w:t>
            </w:r>
          </w:p>
          <w:p w14:paraId="19BB841C" w14:textId="77777777" w:rsidR="00697651" w:rsidRPr="000F5EDD" w:rsidRDefault="00697651">
            <w:pPr>
              <w:pStyle w:val="Boxtext"/>
              <w:spacing w:after="0"/>
            </w:pPr>
            <w:r w:rsidRPr="000F5EDD">
              <w:t>Rec 2: Provide clarity on how adaptation costs will be shared and met.</w:t>
            </w:r>
          </w:p>
          <w:p w14:paraId="49C7EBEE" w14:textId="77777777" w:rsidR="00697651" w:rsidRPr="000F5EDD" w:rsidRDefault="00697651">
            <w:pPr>
              <w:pStyle w:val="Boxtext"/>
              <w:spacing w:after="0"/>
            </w:pPr>
            <w:r w:rsidRPr="000F5EDD">
              <w:t>Rec 3: Ensure iwi/Māori can plan for and carry out adaptation action.</w:t>
            </w:r>
          </w:p>
          <w:p w14:paraId="15B2E76D" w14:textId="77777777" w:rsidR="00697651" w:rsidRPr="000F5EDD" w:rsidRDefault="00697651">
            <w:pPr>
              <w:pStyle w:val="Boxtext"/>
              <w:spacing w:after="0"/>
            </w:pPr>
            <w:r w:rsidRPr="000F5EDD">
              <w:t>Rec 4: Improve the science and research system to support good adaptation outcomes.</w:t>
            </w:r>
          </w:p>
          <w:p w14:paraId="0B64EB89" w14:textId="77777777" w:rsidR="00697651" w:rsidRPr="000F5EDD" w:rsidRDefault="00697651">
            <w:pPr>
              <w:pStyle w:val="Boxtext"/>
              <w:spacing w:after="0"/>
            </w:pPr>
            <w:r w:rsidRPr="000F5EDD">
              <w:t>Rec 5: Consider and address the distributional costs and impacts of climate change so that they do not fall unfairly on particular communities and groups.</w:t>
            </w:r>
          </w:p>
          <w:p w14:paraId="39AC9D51" w14:textId="77777777" w:rsidR="00697651" w:rsidRPr="000F5EDD" w:rsidRDefault="00697651">
            <w:pPr>
              <w:pStyle w:val="Boxtext"/>
              <w:spacing w:after="0"/>
            </w:pPr>
            <w:r w:rsidRPr="000F5EDD">
              <w:t>Rec 6: Prepare a strategy and plan to develop the climate adaptation workforce.</w:t>
            </w:r>
          </w:p>
          <w:p w14:paraId="2E1C0F42" w14:textId="77777777" w:rsidR="00697651" w:rsidRPr="000F5EDD" w:rsidRDefault="00697651">
            <w:pPr>
              <w:pStyle w:val="Boxtext"/>
              <w:spacing w:after="0"/>
            </w:pPr>
            <w:r w:rsidRPr="000F5EDD">
              <w:t>Rec 7: Facilitate access, availability and sharing of resources, expertise and information.</w:t>
            </w:r>
          </w:p>
          <w:p w14:paraId="058220DC" w14:textId="77777777" w:rsidR="00697651" w:rsidRPr="000F5EDD" w:rsidRDefault="00697651">
            <w:pPr>
              <w:pStyle w:val="Boxtext"/>
              <w:spacing w:after="0"/>
            </w:pPr>
            <w:r w:rsidRPr="000F5EDD">
              <w:t>Rec 8: Make the direction, scale and pace of change required clear.</w:t>
            </w:r>
          </w:p>
          <w:p w14:paraId="6C334F24" w14:textId="77777777" w:rsidR="00697651" w:rsidRPr="000F5EDD" w:rsidRDefault="00697651">
            <w:pPr>
              <w:pStyle w:val="Boxtext"/>
              <w:spacing w:after="240"/>
            </w:pPr>
            <w:r w:rsidRPr="000F5EDD">
              <w:t>Rec 9: Make improvements to support monitoring, and continual learning and improvement within a dynamic environment.</w:t>
            </w:r>
          </w:p>
        </w:tc>
      </w:tr>
    </w:tbl>
    <w:p w14:paraId="719FBC7D" w14:textId="77777777" w:rsidR="00697651" w:rsidRPr="000F5EDD" w:rsidRDefault="00697651" w:rsidP="00AE7BC5">
      <w:pPr>
        <w:pStyle w:val="Heading3"/>
        <w:numPr>
          <w:ilvl w:val="0"/>
          <w:numId w:val="56"/>
        </w:numPr>
        <w:ind w:left="1134" w:hanging="1134"/>
      </w:pPr>
      <w:r w:rsidRPr="000F5EDD">
        <w:t>Process for updating adaptation policies and strategies</w:t>
      </w:r>
    </w:p>
    <w:p w14:paraId="180F0EBC" w14:textId="77777777" w:rsidR="00697651" w:rsidRPr="000F5EDD" w:rsidRDefault="00697651" w:rsidP="00697651">
      <w:pPr>
        <w:pStyle w:val="BodyText"/>
      </w:pPr>
      <w:r w:rsidRPr="000F5EDD">
        <w:t>Of the nine recommendations in the Commission’s report, seven were for an additional policy,</w:t>
      </w:r>
      <w:r>
        <w:t> </w:t>
      </w:r>
      <w:r w:rsidRPr="000F5EDD">
        <w:t>one was on the structure of the next NAP and one was on monitoring, specifically in</w:t>
      </w:r>
      <w:r>
        <w:t> </w:t>
      </w:r>
      <w:r w:rsidRPr="000F5EDD">
        <w:t>establishing a transparent process and updating the table of actions from NAP1.</w:t>
      </w:r>
    </w:p>
    <w:p w14:paraId="14B4F793" w14:textId="2526363D" w:rsidR="00697651" w:rsidRPr="000F5EDD" w:rsidRDefault="00697651" w:rsidP="00697651">
      <w:pPr>
        <w:pStyle w:val="BodyText"/>
      </w:pPr>
      <w:r w:rsidRPr="000F5EDD">
        <w:t>The next progress report from the Commission is due in 2026 alongside the second NCCRA. This next NCCRA will review the</w:t>
      </w:r>
      <w:r w:rsidRPr="000F5EDD" w:rsidDel="00C41226">
        <w:t xml:space="preserve"> </w:t>
      </w:r>
      <w:r w:rsidRPr="000F5EDD">
        <w:t xml:space="preserve">most significant climate risks New Zealand will face from 2026 to 2032. The second NAP will be published within two years to set out how the Government plans to address those risks. These next stages demonstrate the cycle in New Zealand’s adaptation process, as discussed in </w:t>
      </w:r>
      <w:hyperlink w:anchor="section323" w:history="1">
        <w:r w:rsidRPr="000254B9">
          <w:rPr>
            <w:rStyle w:val="Hyperlink"/>
          </w:rPr>
          <w:t xml:space="preserve">section </w:t>
        </w:r>
        <w:r w:rsidR="000254B9" w:rsidRPr="000254B9">
          <w:rPr>
            <w:rStyle w:val="Hyperlink"/>
          </w:rPr>
          <w:t>3.2.3</w:t>
        </w:r>
      </w:hyperlink>
      <w:r w:rsidRPr="000254B9">
        <w:t xml:space="preserve"> </w:t>
      </w:r>
      <w:r w:rsidRPr="000F5EDD">
        <w:t xml:space="preserve">and shown in </w:t>
      </w:r>
      <w:hyperlink w:anchor="figure31" w:history="1">
        <w:r w:rsidRPr="00846243">
          <w:rPr>
            <w:rStyle w:val="Hyperlink"/>
          </w:rPr>
          <w:t>figure 3.1</w:t>
        </w:r>
      </w:hyperlink>
      <w:r w:rsidRPr="000F5EDD">
        <w:t>.</w:t>
      </w:r>
    </w:p>
    <w:p w14:paraId="7D8A7B7F" w14:textId="77777777" w:rsidR="00697651" w:rsidRPr="000F5EDD" w:rsidRDefault="00697651" w:rsidP="00AE7BC5">
      <w:pPr>
        <w:pStyle w:val="Heading2"/>
        <w:numPr>
          <w:ilvl w:val="0"/>
          <w:numId w:val="50"/>
        </w:numPr>
        <w:ind w:left="1134" w:hanging="1134"/>
      </w:pPr>
      <w:bookmarkStart w:id="807" w:name="_Toc184825544"/>
      <w:r w:rsidRPr="000F5EDD">
        <w:t>Cooperation, good practices, experience and lessons learned</w:t>
      </w:r>
      <w:bookmarkEnd w:id="807"/>
      <w:r w:rsidRPr="000F5EDD">
        <w:t xml:space="preserve"> </w:t>
      </w:r>
    </w:p>
    <w:p w14:paraId="44B0A0B6" w14:textId="77777777" w:rsidR="00697651" w:rsidRPr="000F5EDD" w:rsidRDefault="00697651" w:rsidP="005B32FE">
      <w:pPr>
        <w:pStyle w:val="Heading3"/>
        <w:numPr>
          <w:ilvl w:val="0"/>
          <w:numId w:val="57"/>
        </w:numPr>
        <w:ind w:left="1134" w:hanging="1134"/>
      </w:pPr>
      <w:r w:rsidRPr="000F5EDD">
        <w:t>Efforts to share information, good practices, experience and lessons learned</w:t>
      </w:r>
    </w:p>
    <w:p w14:paraId="47123D69" w14:textId="77777777" w:rsidR="00697651" w:rsidRPr="000F5EDD" w:rsidRDefault="00697651" w:rsidP="005B32FE">
      <w:pPr>
        <w:pStyle w:val="Heading4"/>
        <w:numPr>
          <w:ilvl w:val="0"/>
          <w:numId w:val="64"/>
        </w:numPr>
        <w:ind w:left="1134" w:hanging="1134"/>
      </w:pPr>
      <w:r w:rsidRPr="000F5EDD">
        <w:t>Integrating adaptation actions into planning at different levels</w:t>
      </w:r>
    </w:p>
    <w:p w14:paraId="21CAB013" w14:textId="77777777" w:rsidR="00697651" w:rsidRPr="000F5EDD" w:rsidRDefault="00697651" w:rsidP="00697651">
      <w:pPr>
        <w:pStyle w:val="BodyText"/>
      </w:pPr>
      <w:r w:rsidRPr="000F5EDD">
        <w:t>Several local government case studies focus on coastal hazards as many coastal communities across New Zealand are already experiencing the effects of climate change through sea-level rise, flooding, erosion and rising groundwater (table 3.7). Local government case studies are being shared across councils and other authorities as lessons learned and options for adapting to climate change.</w:t>
      </w:r>
    </w:p>
    <w:p w14:paraId="77D194F4" w14:textId="5049F941" w:rsidR="00697651" w:rsidRPr="000F5EDD" w:rsidRDefault="00697651" w:rsidP="00697651">
      <w:pPr>
        <w:pStyle w:val="Tableheading"/>
      </w:pPr>
      <w:bookmarkStart w:id="808" w:name="_Ref179449558"/>
      <w:bookmarkStart w:id="809" w:name="_Toc172716721"/>
      <w:bookmarkStart w:id="810" w:name="_Toc178603920"/>
      <w:bookmarkStart w:id="811" w:name="_Toc185407508"/>
      <w:bookmarkStart w:id="812" w:name="_Toc185427771"/>
      <w:r w:rsidRPr="000F5EDD">
        <w:t>Table 3.</w:t>
      </w:r>
      <w:r w:rsidR="008A636D">
        <w:t>7</w:t>
      </w:r>
      <w:bookmarkEnd w:id="808"/>
      <w:r w:rsidRPr="000F5EDD">
        <w:t>:</w:t>
      </w:r>
      <w:r w:rsidRPr="000F5EDD">
        <w:tab/>
        <w:t>Strategies, policies or programmes within local government</w:t>
      </w:r>
      <w:bookmarkEnd w:id="809"/>
      <w:bookmarkEnd w:id="810"/>
      <w:bookmarkEnd w:id="811"/>
      <w:bookmarkEnd w:id="812"/>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CellMar>
          <w:left w:w="85" w:type="dxa"/>
          <w:right w:w="85" w:type="dxa"/>
        </w:tblCellMar>
        <w:tblLook w:val="04A0" w:firstRow="1" w:lastRow="0" w:firstColumn="1" w:lastColumn="0" w:noHBand="0" w:noVBand="1"/>
      </w:tblPr>
      <w:tblGrid>
        <w:gridCol w:w="2269"/>
        <w:gridCol w:w="2409"/>
        <w:gridCol w:w="3827"/>
      </w:tblGrid>
      <w:tr w:rsidR="00697651" w:rsidRPr="000F5EDD" w14:paraId="6AA6A5B3" w14:textId="77777777">
        <w:trPr>
          <w:tblHeader/>
        </w:trPr>
        <w:tc>
          <w:tcPr>
            <w:tcW w:w="2269" w:type="dxa"/>
            <w:shd w:val="clear" w:color="auto" w:fill="1B556B" w:themeFill="text2"/>
            <w:vAlign w:val="bottom"/>
          </w:tcPr>
          <w:p w14:paraId="3E4C3C7E" w14:textId="77777777" w:rsidR="00697651" w:rsidRPr="000F5EDD" w:rsidRDefault="00697651">
            <w:pPr>
              <w:pStyle w:val="TableText"/>
              <w:spacing w:before="40" w:after="40"/>
              <w:rPr>
                <w:b/>
                <w:bCs/>
                <w:color w:val="FFFFFF" w:themeColor="background1"/>
                <w:szCs w:val="18"/>
              </w:rPr>
            </w:pPr>
            <w:r w:rsidRPr="000F5EDD">
              <w:rPr>
                <w:b/>
                <w:bCs/>
                <w:color w:val="FFFFFF" w:themeColor="background1"/>
                <w:szCs w:val="18"/>
              </w:rPr>
              <w:t>Strategy, policy or programme</w:t>
            </w:r>
          </w:p>
        </w:tc>
        <w:tc>
          <w:tcPr>
            <w:tcW w:w="2409" w:type="dxa"/>
            <w:shd w:val="clear" w:color="auto" w:fill="1B556B" w:themeFill="text2"/>
            <w:vAlign w:val="bottom"/>
          </w:tcPr>
          <w:p w14:paraId="0DB97E53" w14:textId="77777777" w:rsidR="00697651" w:rsidRPr="000F5EDD" w:rsidRDefault="00697651">
            <w:pPr>
              <w:pStyle w:val="TableText"/>
              <w:spacing w:before="40" w:after="40"/>
              <w:jc w:val="both"/>
              <w:rPr>
                <w:b/>
                <w:bCs/>
                <w:color w:val="FFFFFF" w:themeColor="background1"/>
                <w:szCs w:val="18"/>
              </w:rPr>
            </w:pPr>
            <w:r w:rsidRPr="000F5EDD">
              <w:rPr>
                <w:b/>
                <w:bCs/>
                <w:color w:val="FFFFFF" w:themeColor="background1"/>
                <w:szCs w:val="18"/>
              </w:rPr>
              <w:t>Council</w:t>
            </w:r>
          </w:p>
        </w:tc>
        <w:tc>
          <w:tcPr>
            <w:tcW w:w="3827" w:type="dxa"/>
            <w:shd w:val="clear" w:color="auto" w:fill="1B556B" w:themeFill="text2"/>
            <w:vAlign w:val="bottom"/>
          </w:tcPr>
          <w:p w14:paraId="202FF3BF" w14:textId="77777777" w:rsidR="00697651" w:rsidRPr="000F5EDD" w:rsidRDefault="00697651">
            <w:pPr>
              <w:pStyle w:val="TableText"/>
              <w:spacing w:before="40" w:after="40"/>
              <w:jc w:val="both"/>
              <w:rPr>
                <w:b/>
                <w:bCs/>
                <w:color w:val="FFFFFF" w:themeColor="background1"/>
                <w:szCs w:val="18"/>
              </w:rPr>
            </w:pPr>
            <w:r w:rsidRPr="000F5EDD">
              <w:rPr>
                <w:b/>
                <w:bCs/>
                <w:color w:val="FFFFFF" w:themeColor="background1"/>
                <w:szCs w:val="18"/>
              </w:rPr>
              <w:t>Description</w:t>
            </w:r>
          </w:p>
        </w:tc>
      </w:tr>
      <w:tr w:rsidR="00697651" w:rsidRPr="000F5EDD" w14:paraId="33A4C36D" w14:textId="77777777">
        <w:tc>
          <w:tcPr>
            <w:tcW w:w="2269" w:type="dxa"/>
          </w:tcPr>
          <w:p w14:paraId="162FB087" w14:textId="6C926DC8" w:rsidR="00697651" w:rsidRPr="000F5EDD" w:rsidRDefault="00697651">
            <w:pPr>
              <w:pStyle w:val="TableText"/>
              <w:rPr>
                <w:b/>
                <w:bCs/>
                <w:szCs w:val="18"/>
              </w:rPr>
            </w:pPr>
            <w:r w:rsidRPr="75ADBAC8">
              <w:rPr>
                <w:b/>
              </w:rPr>
              <w:t>Clifton to Tangoio Coastal Hazards Strategy 2120</w:t>
            </w:r>
            <w:r w:rsidR="00EA0769">
              <w:rPr>
                <w:b/>
              </w:rPr>
              <w:t xml:space="preserve"> </w:t>
            </w:r>
            <w:r w:rsidRPr="000F5EDD">
              <w:rPr>
                <w:rStyle w:val="FootnoteReference"/>
                <w:bCs/>
                <w:sz w:val="18"/>
                <w:szCs w:val="18"/>
              </w:rPr>
              <w:footnoteReference w:id="290"/>
            </w:r>
          </w:p>
        </w:tc>
        <w:tc>
          <w:tcPr>
            <w:tcW w:w="2409" w:type="dxa"/>
          </w:tcPr>
          <w:p w14:paraId="3E93DF1E" w14:textId="77777777" w:rsidR="00697651" w:rsidRPr="000F5EDD" w:rsidRDefault="00697651">
            <w:pPr>
              <w:pStyle w:val="TableText"/>
              <w:rPr>
                <w:szCs w:val="18"/>
              </w:rPr>
            </w:pPr>
            <w:r w:rsidRPr="000F5EDD">
              <w:rPr>
                <w:szCs w:val="18"/>
              </w:rPr>
              <w:t>Hawke’s Bay Regional Council, Hastings District Council and Napier City Council</w:t>
            </w:r>
          </w:p>
        </w:tc>
        <w:tc>
          <w:tcPr>
            <w:tcW w:w="3827" w:type="dxa"/>
          </w:tcPr>
          <w:p w14:paraId="49E364F4" w14:textId="77777777" w:rsidR="00697651" w:rsidRPr="000F5EDD" w:rsidRDefault="00697651">
            <w:pPr>
              <w:pStyle w:val="TableText"/>
              <w:rPr>
                <w:szCs w:val="18"/>
              </w:rPr>
            </w:pPr>
            <w:r w:rsidRPr="000F5EDD">
              <w:rPr>
                <w:szCs w:val="18"/>
              </w:rPr>
              <w:t>The Hawke’s Bay Regional Council, Hastings District Council and Napier City Council have worked with local iwi and coastal community representatives to take a proactive, locally led approach to identifying and responding to coastal hazards over the next 100 years. The Joint Committee has adopted the strategy and agreed that the regional council is the responsible entity for implementation. Decisions are yet to be made on timing and the rating model (funding) for implementation.</w:t>
            </w:r>
          </w:p>
        </w:tc>
      </w:tr>
      <w:tr w:rsidR="00697651" w:rsidRPr="000F5EDD" w14:paraId="5CCED49E" w14:textId="77777777">
        <w:tc>
          <w:tcPr>
            <w:tcW w:w="2269" w:type="dxa"/>
          </w:tcPr>
          <w:p w14:paraId="52E9FDD2" w14:textId="76E22210" w:rsidR="00697651" w:rsidRPr="000F5EDD" w:rsidRDefault="00697651">
            <w:pPr>
              <w:pStyle w:val="TableText"/>
              <w:rPr>
                <w:szCs w:val="18"/>
              </w:rPr>
            </w:pPr>
            <w:r w:rsidRPr="75ADBAC8">
              <w:rPr>
                <w:b/>
              </w:rPr>
              <w:t>The Head of Lake Wakatipu Natural Hazards Adaptation programme</w:t>
            </w:r>
            <w:r w:rsidR="00EA0769">
              <w:rPr>
                <w:b/>
              </w:rPr>
              <w:t xml:space="preserve"> </w:t>
            </w:r>
            <w:r w:rsidRPr="000F5EDD">
              <w:rPr>
                <w:rStyle w:val="FootnoteReference"/>
                <w:sz w:val="18"/>
                <w:szCs w:val="18"/>
              </w:rPr>
              <w:footnoteReference w:id="291"/>
            </w:r>
          </w:p>
        </w:tc>
        <w:tc>
          <w:tcPr>
            <w:tcW w:w="2409" w:type="dxa"/>
          </w:tcPr>
          <w:p w14:paraId="75BB373B" w14:textId="77777777" w:rsidR="00697651" w:rsidRPr="000F5EDD" w:rsidRDefault="00697651">
            <w:pPr>
              <w:pStyle w:val="TableText"/>
              <w:rPr>
                <w:szCs w:val="18"/>
              </w:rPr>
            </w:pPr>
            <w:r w:rsidRPr="000F5EDD">
              <w:rPr>
                <w:szCs w:val="18"/>
              </w:rPr>
              <w:t>Otago Regional Council</w:t>
            </w:r>
          </w:p>
        </w:tc>
        <w:tc>
          <w:tcPr>
            <w:tcW w:w="3827" w:type="dxa"/>
          </w:tcPr>
          <w:p w14:paraId="2A42B963" w14:textId="77777777" w:rsidR="00697651" w:rsidRPr="000F5EDD" w:rsidRDefault="00697651">
            <w:pPr>
              <w:pStyle w:val="TableText"/>
              <w:rPr>
                <w:szCs w:val="18"/>
              </w:rPr>
            </w:pPr>
            <w:r w:rsidRPr="000F5EDD">
              <w:rPr>
                <w:szCs w:val="18"/>
              </w:rPr>
              <w:t>The Otago Regional Council is using ‘adaptation pathways’ to develop long-term solutions to natural hazards. The Ministry for the Environment developed this approach to support community-centred projects. The pathways approach is relatively new and has mostly been used for coastal hazards rather than in an alpine area or place with many hazards. Based on this approach, the Otago Regional Council is working with the Queenstown Lakes District Council, the local community, iwi and stakeholders on the Head of Lake Wakatipu Natural Hazards Adaptation Strategy.</w:t>
            </w:r>
          </w:p>
        </w:tc>
      </w:tr>
      <w:tr w:rsidR="00697651" w:rsidRPr="000F5EDD" w14:paraId="5C56452C" w14:textId="77777777">
        <w:tc>
          <w:tcPr>
            <w:tcW w:w="2269" w:type="dxa"/>
          </w:tcPr>
          <w:p w14:paraId="05BFA072" w14:textId="4D9E2368" w:rsidR="00697651" w:rsidRPr="000F5EDD" w:rsidRDefault="00697651">
            <w:pPr>
              <w:pStyle w:val="TableTextBold0"/>
              <w:rPr>
                <w:szCs w:val="18"/>
              </w:rPr>
            </w:pPr>
            <w:r w:rsidRPr="75ADBAC8">
              <w:t>South Dunedin Future</w:t>
            </w:r>
            <w:r w:rsidR="00EA0769">
              <w:t xml:space="preserve"> </w:t>
            </w:r>
            <w:r w:rsidRPr="000F5EDD">
              <w:rPr>
                <w:rStyle w:val="FootnoteReference"/>
                <w:b w:val="0"/>
                <w:bCs/>
                <w:sz w:val="18"/>
                <w:szCs w:val="18"/>
              </w:rPr>
              <w:footnoteReference w:id="292"/>
            </w:r>
          </w:p>
        </w:tc>
        <w:tc>
          <w:tcPr>
            <w:tcW w:w="2409" w:type="dxa"/>
          </w:tcPr>
          <w:p w14:paraId="237AF03C" w14:textId="77777777" w:rsidR="00697651" w:rsidRPr="000F5EDD" w:rsidRDefault="00697651">
            <w:pPr>
              <w:pStyle w:val="TableText"/>
              <w:rPr>
                <w:szCs w:val="18"/>
              </w:rPr>
            </w:pPr>
            <w:r w:rsidRPr="000F5EDD">
              <w:rPr>
                <w:szCs w:val="18"/>
              </w:rPr>
              <w:t>Dunedin City Council and Otago Regional Council</w:t>
            </w:r>
          </w:p>
        </w:tc>
        <w:tc>
          <w:tcPr>
            <w:tcW w:w="3827" w:type="dxa"/>
          </w:tcPr>
          <w:p w14:paraId="3E5EF7D4" w14:textId="77777777" w:rsidR="00697651" w:rsidRPr="000F5EDD" w:rsidRDefault="00697651">
            <w:pPr>
              <w:pStyle w:val="TableText"/>
              <w:rPr>
                <w:szCs w:val="18"/>
              </w:rPr>
            </w:pPr>
            <w:r w:rsidRPr="000F5EDD">
              <w:rPr>
                <w:szCs w:val="18"/>
              </w:rPr>
              <w:t>Dunedin City Council and Otago Regional Council have a joint programme to find ways to respond to climate change and flooding problems in the area. The vision is for improved community wellbeing and resilience through sustainable urban regeneration. The councils intend to develop an adaptation strategy for South Dunedin by the end of 2026.</w:t>
            </w:r>
          </w:p>
        </w:tc>
      </w:tr>
      <w:tr w:rsidR="00697651" w:rsidRPr="000F5EDD" w14:paraId="4C757585" w14:textId="77777777">
        <w:tc>
          <w:tcPr>
            <w:tcW w:w="2269" w:type="dxa"/>
          </w:tcPr>
          <w:p w14:paraId="74A89BEC" w14:textId="058D4833" w:rsidR="00697651" w:rsidRPr="000F5EDD" w:rsidRDefault="00697651">
            <w:pPr>
              <w:pStyle w:val="TableTextBold0"/>
              <w:rPr>
                <w:szCs w:val="18"/>
              </w:rPr>
            </w:pPr>
            <w:r w:rsidRPr="75ADBAC8">
              <w:t>Thames-Coromandel District Council Coastal Management Strategy</w:t>
            </w:r>
            <w:r w:rsidR="00EA0769">
              <w:t xml:space="preserve"> </w:t>
            </w:r>
            <w:r w:rsidRPr="000F5EDD">
              <w:rPr>
                <w:rStyle w:val="FootnoteReference"/>
                <w:b w:val="0"/>
                <w:sz w:val="18"/>
                <w:szCs w:val="18"/>
              </w:rPr>
              <w:footnoteReference w:id="293"/>
            </w:r>
          </w:p>
        </w:tc>
        <w:tc>
          <w:tcPr>
            <w:tcW w:w="2409" w:type="dxa"/>
          </w:tcPr>
          <w:p w14:paraId="03729F01" w14:textId="77777777" w:rsidR="00697651" w:rsidRPr="000F5EDD" w:rsidRDefault="00697651">
            <w:pPr>
              <w:pStyle w:val="TableText"/>
              <w:rPr>
                <w:szCs w:val="18"/>
              </w:rPr>
            </w:pPr>
            <w:r w:rsidRPr="000F5EDD">
              <w:rPr>
                <w:szCs w:val="18"/>
              </w:rPr>
              <w:t>Thames-Coromandel District Council</w:t>
            </w:r>
          </w:p>
        </w:tc>
        <w:tc>
          <w:tcPr>
            <w:tcW w:w="3827" w:type="dxa"/>
          </w:tcPr>
          <w:p w14:paraId="5F4A9CFD" w14:textId="77777777" w:rsidR="00697651" w:rsidRPr="000F5EDD" w:rsidRDefault="00697651">
            <w:pPr>
              <w:pStyle w:val="TableText"/>
              <w:rPr>
                <w:szCs w:val="18"/>
              </w:rPr>
            </w:pPr>
            <w:r w:rsidRPr="75ADBAC8">
              <w:t>Thames-Coromandel District Council has a Coastal Management Strategy that sets out a range of initiatives to better manage coastal assets and understand the risk of erosion and coastal inundation. In 2022, the council adopted the project outputs from the Shoreline Management Pathways, including 138 adaptation pathways for each stretch of shoreline specific to each community.</w:t>
            </w:r>
            <w:r w:rsidRPr="000F5EDD">
              <w:rPr>
                <w:rStyle w:val="FootnoteReference"/>
                <w:sz w:val="18"/>
                <w:szCs w:val="18"/>
              </w:rPr>
              <w:footnoteReference w:id="294"/>
            </w:r>
            <w:r w:rsidRPr="75ADBAC8">
              <w:t xml:space="preserve"> The council has worked with public and private organisations such as the Waikato Regional Council, New Zealand Transport Agency, the Department of Conservation, iwi and community groups with an interest in coastal protection.</w:t>
            </w:r>
          </w:p>
        </w:tc>
      </w:tr>
      <w:tr w:rsidR="00697651" w:rsidRPr="000F5EDD" w14:paraId="228B91DD" w14:textId="77777777">
        <w:tc>
          <w:tcPr>
            <w:tcW w:w="2269" w:type="dxa"/>
          </w:tcPr>
          <w:p w14:paraId="512A4077" w14:textId="03655ED2" w:rsidR="00697651" w:rsidRPr="000F5EDD" w:rsidRDefault="00697651">
            <w:pPr>
              <w:pStyle w:val="TableTextBold0"/>
              <w:rPr>
                <w:bCs/>
                <w:szCs w:val="18"/>
              </w:rPr>
            </w:pPr>
            <w:r w:rsidRPr="75ADBAC8">
              <w:t>Awatarariki Managed Retreat Programme</w:t>
            </w:r>
            <w:r w:rsidR="00EA0769">
              <w:t xml:space="preserve"> </w:t>
            </w:r>
            <w:r w:rsidRPr="75ADBAC8">
              <w:rPr>
                <w:b w:val="0"/>
                <w:vertAlign w:val="superscript"/>
              </w:rPr>
              <w:footnoteReference w:id="295"/>
            </w:r>
          </w:p>
        </w:tc>
        <w:tc>
          <w:tcPr>
            <w:tcW w:w="2409" w:type="dxa"/>
          </w:tcPr>
          <w:p w14:paraId="5CF7E434" w14:textId="77777777" w:rsidR="00697651" w:rsidRPr="000F5EDD" w:rsidRDefault="00697651">
            <w:pPr>
              <w:pStyle w:val="TableText"/>
              <w:rPr>
                <w:szCs w:val="18"/>
              </w:rPr>
            </w:pPr>
            <w:r w:rsidRPr="000F5EDD">
              <w:rPr>
                <w:szCs w:val="18"/>
              </w:rPr>
              <w:t>Whakatāne District Council and Bay of Plenty Regional Council</w:t>
            </w:r>
          </w:p>
        </w:tc>
        <w:tc>
          <w:tcPr>
            <w:tcW w:w="3827" w:type="dxa"/>
          </w:tcPr>
          <w:p w14:paraId="2CFA89F7" w14:textId="77777777" w:rsidR="00697651" w:rsidRPr="000F5EDD" w:rsidRDefault="00697651">
            <w:pPr>
              <w:pStyle w:val="TableText"/>
              <w:rPr>
                <w:szCs w:val="18"/>
              </w:rPr>
            </w:pPr>
            <w:r w:rsidRPr="75ADBAC8">
              <w:t>Whakatāne District Council, Bay of Plenty Regional Council and the New Zealand Government have funded the Awatarariki Managed Retreat Programme to mitigate the risk to life and property from any future debris flow events and to build disaster resilience for the Matatā community. Whakatāne District Council offered property owners the opportunity to sell their property at market value with contributions towards legal expenses, relocation costs and mortgage break fees. It also introduced provisions in its district plan to prevent future residential development in the Awatarariki fanhead in areas of high natural hazard risk.</w:t>
            </w:r>
            <w:r w:rsidRPr="000F5EDD">
              <w:rPr>
                <w:rStyle w:val="FootnoteReference"/>
                <w:sz w:val="18"/>
                <w:szCs w:val="18"/>
              </w:rPr>
              <w:footnoteReference w:id="296"/>
            </w:r>
          </w:p>
        </w:tc>
      </w:tr>
    </w:tbl>
    <w:p w14:paraId="5F67898D" w14:textId="77777777" w:rsidR="00697651" w:rsidRPr="000F5EDD" w:rsidRDefault="00697651" w:rsidP="00697651">
      <w:pPr>
        <w:pStyle w:val="BodyText"/>
        <w:keepNext/>
        <w:keepLines/>
        <w:spacing w:before="240"/>
      </w:pPr>
      <w:r w:rsidRPr="000F5EDD">
        <w:t xml:space="preserve">Iwi across the country are developing their own climate change strategies and adaptation plans (table 3.8). Iwi case studies focus on indigenous, community-led, proactive and collective approaches to adapting to climate change and are developing or sharing those approaches at all levels, from whānau (family) to the rest of New Zealand. </w:t>
      </w:r>
    </w:p>
    <w:p w14:paraId="2214BDE4" w14:textId="3AB4EF2B" w:rsidR="00697651" w:rsidRPr="000F5EDD" w:rsidRDefault="00697651" w:rsidP="00697651">
      <w:pPr>
        <w:pStyle w:val="Tableheading"/>
      </w:pPr>
      <w:bookmarkStart w:id="813" w:name="_Ref179450172"/>
      <w:bookmarkStart w:id="814" w:name="_Toc172716722"/>
      <w:bookmarkStart w:id="815" w:name="_Toc178603921"/>
      <w:bookmarkStart w:id="816" w:name="_Toc185407509"/>
      <w:bookmarkStart w:id="817" w:name="_Toc185427772"/>
      <w:r w:rsidRPr="000F5EDD">
        <w:t>Table 3.</w:t>
      </w:r>
      <w:bookmarkEnd w:id="813"/>
      <w:r w:rsidR="008A636D">
        <w:t>8</w:t>
      </w:r>
      <w:r w:rsidRPr="000F5EDD">
        <w:t>:</w:t>
      </w:r>
      <w:r w:rsidRPr="000F5EDD">
        <w:tab/>
        <w:t>Strategies, policies and programmes from iwi</w:t>
      </w:r>
      <w:bookmarkEnd w:id="814"/>
      <w:r w:rsidRPr="000F5EDD">
        <w:t xml:space="preserve"> and hap</w:t>
      </w:r>
      <w:bookmarkEnd w:id="815"/>
      <w:r w:rsidRPr="000F5EDD">
        <w:rPr>
          <w:rFonts w:cs="Calibri"/>
        </w:rPr>
        <w:t>ū</w:t>
      </w:r>
      <w:bookmarkEnd w:id="816"/>
      <w:bookmarkEnd w:id="817"/>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CellMar>
          <w:left w:w="85" w:type="dxa"/>
          <w:right w:w="85" w:type="dxa"/>
        </w:tblCellMar>
        <w:tblLook w:val="04A0" w:firstRow="1" w:lastRow="0" w:firstColumn="1" w:lastColumn="0" w:noHBand="0" w:noVBand="1"/>
      </w:tblPr>
      <w:tblGrid>
        <w:gridCol w:w="2269"/>
        <w:gridCol w:w="1844"/>
        <w:gridCol w:w="4392"/>
      </w:tblGrid>
      <w:tr w:rsidR="00697651" w:rsidRPr="000F5EDD" w14:paraId="16532610" w14:textId="77777777">
        <w:trPr>
          <w:tblHeader/>
        </w:trPr>
        <w:tc>
          <w:tcPr>
            <w:tcW w:w="2268" w:type="dxa"/>
            <w:shd w:val="clear" w:color="auto" w:fill="1B556B" w:themeFill="text2"/>
            <w:vAlign w:val="bottom"/>
          </w:tcPr>
          <w:p w14:paraId="10C59B3D" w14:textId="77777777" w:rsidR="00697651" w:rsidRPr="000F5EDD" w:rsidRDefault="00697651">
            <w:pPr>
              <w:pStyle w:val="TableText"/>
              <w:keepNext/>
              <w:spacing w:before="40" w:after="40"/>
              <w:rPr>
                <w:b/>
                <w:bCs/>
                <w:color w:val="FFFFFF" w:themeColor="background1"/>
                <w:szCs w:val="18"/>
              </w:rPr>
            </w:pPr>
            <w:r w:rsidRPr="000F5EDD">
              <w:rPr>
                <w:b/>
                <w:bCs/>
                <w:color w:val="FFFFFF" w:themeColor="background1"/>
                <w:szCs w:val="18"/>
              </w:rPr>
              <w:t>Strategy, policy or programme</w:t>
            </w:r>
          </w:p>
        </w:tc>
        <w:tc>
          <w:tcPr>
            <w:tcW w:w="1843" w:type="dxa"/>
            <w:shd w:val="clear" w:color="auto" w:fill="1B556B" w:themeFill="text2"/>
            <w:vAlign w:val="bottom"/>
          </w:tcPr>
          <w:p w14:paraId="07E12A9C" w14:textId="77777777" w:rsidR="00697651" w:rsidRPr="000F5EDD" w:rsidRDefault="00697651">
            <w:pPr>
              <w:pStyle w:val="TableText"/>
              <w:keepNext/>
              <w:spacing w:before="40" w:after="40"/>
              <w:jc w:val="both"/>
              <w:rPr>
                <w:b/>
                <w:bCs/>
                <w:color w:val="FFFFFF" w:themeColor="background1"/>
                <w:szCs w:val="18"/>
              </w:rPr>
            </w:pPr>
            <w:r w:rsidRPr="000F5EDD">
              <w:rPr>
                <w:b/>
                <w:bCs/>
                <w:color w:val="FFFFFF" w:themeColor="background1"/>
                <w:szCs w:val="18"/>
              </w:rPr>
              <w:t>Iwi or hapū</w:t>
            </w:r>
          </w:p>
        </w:tc>
        <w:tc>
          <w:tcPr>
            <w:tcW w:w="4389" w:type="dxa"/>
            <w:shd w:val="clear" w:color="auto" w:fill="1B556B" w:themeFill="text2"/>
            <w:vAlign w:val="bottom"/>
          </w:tcPr>
          <w:p w14:paraId="642C6608" w14:textId="77777777" w:rsidR="00697651" w:rsidRPr="000F5EDD" w:rsidRDefault="00697651">
            <w:pPr>
              <w:pStyle w:val="TableText"/>
              <w:keepNext/>
              <w:spacing w:before="40" w:after="40"/>
              <w:jc w:val="both"/>
              <w:rPr>
                <w:b/>
                <w:bCs/>
                <w:color w:val="FFFFFF" w:themeColor="background1"/>
                <w:szCs w:val="18"/>
              </w:rPr>
            </w:pPr>
            <w:r w:rsidRPr="000F5EDD">
              <w:rPr>
                <w:b/>
                <w:bCs/>
                <w:color w:val="FFFFFF" w:themeColor="background1"/>
                <w:szCs w:val="18"/>
              </w:rPr>
              <w:t>Description</w:t>
            </w:r>
          </w:p>
        </w:tc>
      </w:tr>
      <w:tr w:rsidR="00697651" w:rsidRPr="000F5EDD" w14:paraId="522F066D" w14:textId="77777777">
        <w:tc>
          <w:tcPr>
            <w:tcW w:w="2268" w:type="dxa"/>
          </w:tcPr>
          <w:p w14:paraId="0EE7EF89" w14:textId="77777777" w:rsidR="00697651" w:rsidRPr="000F5EDD" w:rsidRDefault="00697651">
            <w:pPr>
              <w:pStyle w:val="TableText"/>
              <w:keepNext/>
              <w:rPr>
                <w:b/>
                <w:bCs/>
                <w:szCs w:val="18"/>
              </w:rPr>
            </w:pPr>
            <w:r w:rsidRPr="75ADBAC8">
              <w:rPr>
                <w:b/>
              </w:rPr>
              <w:t>Ka Mate Kaainga Tahi, Ka Ora Kaainga Rua – Ngaa Rauru Kiitahi Climate Change Strategy</w:t>
            </w:r>
            <w:r w:rsidRPr="000F5EDD">
              <w:rPr>
                <w:rStyle w:val="FootnoteReference"/>
                <w:sz w:val="18"/>
                <w:szCs w:val="18"/>
              </w:rPr>
              <w:footnoteReference w:id="297"/>
            </w:r>
          </w:p>
        </w:tc>
        <w:tc>
          <w:tcPr>
            <w:tcW w:w="1843" w:type="dxa"/>
          </w:tcPr>
          <w:p w14:paraId="72DD0553" w14:textId="77777777" w:rsidR="00697651" w:rsidRPr="000F5EDD" w:rsidRDefault="00697651">
            <w:pPr>
              <w:pStyle w:val="TableText"/>
              <w:keepNext/>
              <w:rPr>
                <w:szCs w:val="18"/>
              </w:rPr>
            </w:pPr>
            <w:r w:rsidRPr="000F5EDD">
              <w:rPr>
                <w:szCs w:val="18"/>
              </w:rPr>
              <w:t>Ngaa Rauru Kiitahi</w:t>
            </w:r>
          </w:p>
        </w:tc>
        <w:tc>
          <w:tcPr>
            <w:tcW w:w="4389" w:type="dxa"/>
          </w:tcPr>
          <w:p w14:paraId="242247F3" w14:textId="77777777" w:rsidR="00697651" w:rsidRPr="000F5EDD" w:rsidRDefault="00697651">
            <w:pPr>
              <w:pStyle w:val="TableText"/>
              <w:keepNext/>
              <w:rPr>
                <w:szCs w:val="18"/>
              </w:rPr>
            </w:pPr>
            <w:r w:rsidRPr="000F5EDD">
              <w:rPr>
                <w:szCs w:val="18"/>
              </w:rPr>
              <w:t xml:space="preserve">Te Kaahui o Rauru representatives from </w:t>
            </w:r>
            <w:r w:rsidRPr="000F5EDD">
              <w:rPr>
                <w:rStyle w:val="Hyperlink"/>
                <w:color w:val="auto"/>
                <w:szCs w:val="18"/>
              </w:rPr>
              <w:t>Ngaa Rauru Kiitahi, a small iwi in south Taranaki, and the Ministry for</w:t>
            </w:r>
            <w:r>
              <w:rPr>
                <w:rStyle w:val="Hyperlink"/>
                <w:color w:val="auto"/>
                <w:szCs w:val="18"/>
              </w:rPr>
              <w:t> </w:t>
            </w:r>
            <w:r w:rsidRPr="000F5EDD">
              <w:rPr>
                <w:rStyle w:val="Hyperlink"/>
                <w:color w:val="auto"/>
                <w:szCs w:val="18"/>
              </w:rPr>
              <w:t>the Environment co-developed the Ngaa Rauru Kiitahi Climate Change Strategy as a case study in understanding the complexities of climate change for small post-settlement governance entities. The strategy outlines how the iwi will work with others in the community to better adapt to the impacts of climate change and reduce</w:t>
            </w:r>
            <w:r>
              <w:rPr>
                <w:rStyle w:val="Hyperlink"/>
                <w:color w:val="auto"/>
                <w:szCs w:val="18"/>
              </w:rPr>
              <w:t> </w:t>
            </w:r>
            <w:r w:rsidRPr="000F5EDD">
              <w:rPr>
                <w:rStyle w:val="Hyperlink"/>
                <w:color w:val="auto"/>
                <w:szCs w:val="18"/>
              </w:rPr>
              <w:t>emissions.</w:t>
            </w:r>
          </w:p>
        </w:tc>
      </w:tr>
      <w:tr w:rsidR="00697651" w:rsidRPr="000F5EDD" w14:paraId="065B2007" w14:textId="77777777">
        <w:tc>
          <w:tcPr>
            <w:tcW w:w="2268" w:type="dxa"/>
          </w:tcPr>
          <w:p w14:paraId="71165292" w14:textId="77777777" w:rsidR="00697651" w:rsidRPr="000F5EDD" w:rsidRDefault="00697651">
            <w:pPr>
              <w:pStyle w:val="TableText"/>
              <w:rPr>
                <w:b/>
                <w:szCs w:val="18"/>
              </w:rPr>
            </w:pPr>
            <w:r w:rsidRPr="75ADBAC8">
              <w:rPr>
                <w:b/>
              </w:rPr>
              <w:t>Te Tāhū o te Whāriki (Anchoring the Foundations) Climate Change Strategy</w:t>
            </w:r>
            <w:r w:rsidRPr="000F5EDD">
              <w:rPr>
                <w:rStyle w:val="FootnoteReference"/>
                <w:bCs/>
                <w:sz w:val="18"/>
                <w:szCs w:val="18"/>
              </w:rPr>
              <w:footnoteReference w:id="298"/>
            </w:r>
          </w:p>
          <w:p w14:paraId="006A961E" w14:textId="77777777" w:rsidR="00697651" w:rsidRPr="000F5EDD" w:rsidRDefault="00697651">
            <w:pPr>
              <w:pStyle w:val="TableText"/>
              <w:rPr>
                <w:b/>
                <w:szCs w:val="18"/>
              </w:rPr>
            </w:pPr>
            <w:r w:rsidRPr="75ADBAC8">
              <w:rPr>
                <w:b/>
              </w:rPr>
              <w:t>Te Kounga Paparangi – Ngāi Tahu Climate Change Action Plan</w:t>
            </w:r>
            <w:r w:rsidRPr="000F5EDD">
              <w:rPr>
                <w:rStyle w:val="FootnoteReference"/>
                <w:bCs/>
                <w:sz w:val="18"/>
                <w:szCs w:val="18"/>
              </w:rPr>
              <w:footnoteReference w:id="299"/>
            </w:r>
          </w:p>
        </w:tc>
        <w:tc>
          <w:tcPr>
            <w:tcW w:w="1843" w:type="dxa"/>
          </w:tcPr>
          <w:p w14:paraId="140D9FBE" w14:textId="77777777" w:rsidR="00697651" w:rsidRPr="000F5EDD" w:rsidRDefault="00697651">
            <w:pPr>
              <w:pStyle w:val="TableText"/>
              <w:rPr>
                <w:szCs w:val="18"/>
              </w:rPr>
            </w:pPr>
            <w:r w:rsidRPr="000F5EDD">
              <w:rPr>
                <w:szCs w:val="18"/>
              </w:rPr>
              <w:t>Ngāi Tahu</w:t>
            </w:r>
          </w:p>
        </w:tc>
        <w:tc>
          <w:tcPr>
            <w:tcW w:w="4389" w:type="dxa"/>
          </w:tcPr>
          <w:p w14:paraId="69B60142" w14:textId="77777777" w:rsidR="00697651" w:rsidRPr="000F5EDD" w:rsidRDefault="00697651">
            <w:pPr>
              <w:pStyle w:val="TableText"/>
              <w:rPr>
                <w:rStyle w:val="Hyperlink"/>
                <w:color w:val="auto"/>
                <w:szCs w:val="18"/>
              </w:rPr>
            </w:pPr>
            <w:r w:rsidRPr="000F5EDD">
              <w:rPr>
                <w:rStyle w:val="Hyperlink"/>
                <w:color w:val="auto"/>
                <w:szCs w:val="18"/>
              </w:rPr>
              <w:t>Te Rūnanga o Ngāi Tahu released a climate change strategy,</w:t>
            </w:r>
            <w:r w:rsidRPr="000F5EDD">
              <w:rPr>
                <w:rStyle w:val="Hyperlink"/>
                <w:i/>
                <w:iCs/>
                <w:color w:val="auto"/>
                <w:szCs w:val="18"/>
              </w:rPr>
              <w:t xml:space="preserve"> Te Tāhū o te Whāriki</w:t>
            </w:r>
            <w:r w:rsidRPr="000F5EDD">
              <w:rPr>
                <w:rStyle w:val="Hyperlink"/>
                <w:color w:val="auto"/>
                <w:szCs w:val="18"/>
              </w:rPr>
              <w:t xml:space="preserve">, in 2018. It was one of the first iwi to release such a strategy. Development of the strategy included a NIWA report on projected climate change impacts, whānau surveys, hui, wānanga and a rangatahi symposium. The strategy is supported by a climate change action plan, </w:t>
            </w:r>
            <w:r w:rsidRPr="000F5EDD">
              <w:rPr>
                <w:rStyle w:val="Hyperlink"/>
                <w:i/>
                <w:iCs/>
                <w:color w:val="auto"/>
                <w:szCs w:val="18"/>
              </w:rPr>
              <w:t>Te Kounga Paparangi</w:t>
            </w:r>
            <w:r w:rsidRPr="000F5EDD">
              <w:rPr>
                <w:rStyle w:val="Hyperlink"/>
                <w:color w:val="auto"/>
                <w:szCs w:val="18"/>
              </w:rPr>
              <w:t>.</w:t>
            </w:r>
          </w:p>
        </w:tc>
      </w:tr>
      <w:tr w:rsidR="00697651" w:rsidRPr="000F5EDD" w14:paraId="6172CA71" w14:textId="77777777">
        <w:tc>
          <w:tcPr>
            <w:tcW w:w="2268" w:type="dxa"/>
          </w:tcPr>
          <w:p w14:paraId="70E85CA5" w14:textId="77777777" w:rsidR="00697651" w:rsidRPr="000F5EDD" w:rsidRDefault="00697651">
            <w:pPr>
              <w:pStyle w:val="TableText"/>
              <w:rPr>
                <w:b/>
                <w:szCs w:val="18"/>
              </w:rPr>
            </w:pPr>
            <w:r w:rsidRPr="75ADBAC8">
              <w:rPr>
                <w:b/>
              </w:rPr>
              <w:t>Te Ara ki Kōpū – Te Arawa Climate Change Strategy</w:t>
            </w:r>
            <w:r w:rsidRPr="000F5EDD">
              <w:rPr>
                <w:rStyle w:val="FootnoteReference"/>
                <w:bCs/>
                <w:sz w:val="18"/>
                <w:szCs w:val="18"/>
              </w:rPr>
              <w:footnoteReference w:id="300"/>
            </w:r>
          </w:p>
        </w:tc>
        <w:tc>
          <w:tcPr>
            <w:tcW w:w="1843" w:type="dxa"/>
          </w:tcPr>
          <w:p w14:paraId="1D37174F" w14:textId="77777777" w:rsidR="00697651" w:rsidRPr="000F5EDD" w:rsidRDefault="00697651">
            <w:pPr>
              <w:pStyle w:val="TableText"/>
              <w:rPr>
                <w:szCs w:val="18"/>
              </w:rPr>
            </w:pPr>
            <w:r w:rsidRPr="000F5EDD">
              <w:rPr>
                <w:szCs w:val="18"/>
              </w:rPr>
              <w:t>Te Arawa</w:t>
            </w:r>
          </w:p>
        </w:tc>
        <w:tc>
          <w:tcPr>
            <w:tcW w:w="4389" w:type="dxa"/>
          </w:tcPr>
          <w:p w14:paraId="658604CB" w14:textId="77777777" w:rsidR="00697651" w:rsidRPr="000F5EDD" w:rsidRDefault="00697651">
            <w:pPr>
              <w:pStyle w:val="TableText"/>
              <w:rPr>
                <w:rStyle w:val="Hyperlink"/>
                <w:color w:val="auto"/>
                <w:szCs w:val="18"/>
              </w:rPr>
            </w:pPr>
            <w:r w:rsidRPr="000F5EDD">
              <w:rPr>
                <w:rStyle w:val="Hyperlink"/>
                <w:color w:val="auto"/>
                <w:szCs w:val="18"/>
              </w:rPr>
              <w:t xml:space="preserve">Te Urunga o Kea: Te Arawa Climate Change Working Group, Te Arawa Lakes Trust and Scion released </w:t>
            </w:r>
            <w:r w:rsidRPr="000F5EDD">
              <w:rPr>
                <w:rStyle w:val="Hyperlink"/>
                <w:i/>
                <w:iCs/>
                <w:color w:val="auto"/>
                <w:szCs w:val="18"/>
              </w:rPr>
              <w:t>Te Ara ki Kōpū – Te Arawa Climate Change Strategy</w:t>
            </w:r>
            <w:r w:rsidRPr="000F5EDD">
              <w:rPr>
                <w:rStyle w:val="Hyperlink"/>
                <w:color w:val="auto"/>
                <w:szCs w:val="18"/>
              </w:rPr>
              <w:t xml:space="preserve">. The strategy will help guide decision-making, and support adaptation and mitigation planning for whānau, hapū and iwi. </w:t>
            </w:r>
          </w:p>
        </w:tc>
      </w:tr>
      <w:tr w:rsidR="00697651" w:rsidRPr="000F5EDD" w14:paraId="38C6762F" w14:textId="77777777">
        <w:tc>
          <w:tcPr>
            <w:tcW w:w="2268" w:type="dxa"/>
          </w:tcPr>
          <w:p w14:paraId="0BCD4412" w14:textId="77777777" w:rsidR="00697651" w:rsidRPr="000F5EDD" w:rsidRDefault="00697651">
            <w:pPr>
              <w:pStyle w:val="TableText"/>
              <w:rPr>
                <w:b/>
                <w:szCs w:val="18"/>
              </w:rPr>
            </w:pPr>
            <w:r w:rsidRPr="75ADBAC8">
              <w:rPr>
                <w:b/>
              </w:rPr>
              <w:t>He Toka Tū Moana Mō Maketu: Maketu Climate Change Adaptation Plan</w:t>
            </w:r>
            <w:r w:rsidRPr="000F5EDD">
              <w:rPr>
                <w:rStyle w:val="FootnoteReference"/>
                <w:bCs/>
                <w:sz w:val="18"/>
                <w:szCs w:val="18"/>
              </w:rPr>
              <w:footnoteReference w:id="301"/>
            </w:r>
          </w:p>
        </w:tc>
        <w:tc>
          <w:tcPr>
            <w:tcW w:w="1843" w:type="dxa"/>
          </w:tcPr>
          <w:p w14:paraId="5CB9130C" w14:textId="77777777" w:rsidR="00697651" w:rsidRPr="000F5EDD" w:rsidRDefault="00697651">
            <w:pPr>
              <w:pStyle w:val="TableText"/>
              <w:rPr>
                <w:szCs w:val="18"/>
              </w:rPr>
            </w:pPr>
            <w:r w:rsidRPr="000F5EDD">
              <w:rPr>
                <w:szCs w:val="18"/>
              </w:rPr>
              <w:t>Nā Ngā Iwi Ō Maketu (Te Rūnanga o Ngāti Whakaue ki Maketū, Whakaue Marae Trustees and Ngāti Pikiao Noho Ki Tai)</w:t>
            </w:r>
          </w:p>
        </w:tc>
        <w:tc>
          <w:tcPr>
            <w:tcW w:w="4389" w:type="dxa"/>
          </w:tcPr>
          <w:p w14:paraId="431C8927" w14:textId="77777777" w:rsidR="00697651" w:rsidRPr="000F5EDD" w:rsidRDefault="00697651">
            <w:pPr>
              <w:pStyle w:val="TableText"/>
              <w:rPr>
                <w:rStyle w:val="Hyperlink"/>
                <w:color w:val="auto"/>
                <w:szCs w:val="18"/>
              </w:rPr>
            </w:pPr>
            <w:r w:rsidRPr="000F5EDD">
              <w:rPr>
                <w:rStyle w:val="Hyperlink"/>
                <w:color w:val="auto"/>
                <w:szCs w:val="18"/>
              </w:rPr>
              <w:t xml:space="preserve">The Maketu community developed </w:t>
            </w:r>
            <w:r w:rsidRPr="000F5EDD">
              <w:rPr>
                <w:rStyle w:val="Hyperlink"/>
                <w:i/>
                <w:iCs/>
                <w:color w:val="auto"/>
                <w:szCs w:val="18"/>
              </w:rPr>
              <w:t>He Toka Tū Moana Mō Maketu: Maketu Climate Change Adaptation Plan</w:t>
            </w:r>
            <w:r w:rsidRPr="000F5EDD">
              <w:rPr>
                <w:rStyle w:val="Hyperlink"/>
                <w:color w:val="auto"/>
                <w:szCs w:val="18"/>
              </w:rPr>
              <w:t xml:space="preserve">. This was in response to more frequent coastal flooding. The </w:t>
            </w:r>
            <w:r w:rsidRPr="000F5EDD">
              <w:rPr>
                <w:szCs w:val="18"/>
              </w:rPr>
              <w:t xml:space="preserve">community will use the </w:t>
            </w:r>
            <w:r w:rsidRPr="000F5EDD">
              <w:rPr>
                <w:rStyle w:val="Hyperlink"/>
                <w:color w:val="auto"/>
                <w:szCs w:val="18"/>
              </w:rPr>
              <w:t>plan to proactively work together to take practical actions and modify ways to reduce the impacts of climate change on their people, environment and special places.</w:t>
            </w:r>
          </w:p>
        </w:tc>
      </w:tr>
    </w:tbl>
    <w:p w14:paraId="30B0BAD2" w14:textId="77777777" w:rsidR="00697651" w:rsidRPr="000F5EDD" w:rsidRDefault="00697651" w:rsidP="00697651">
      <w:pPr>
        <w:pStyle w:val="BodyText"/>
        <w:keepNext/>
        <w:keepLines/>
        <w:spacing w:before="240"/>
      </w:pPr>
      <w:r w:rsidRPr="000F5EDD">
        <w:rPr>
          <w:bCs/>
        </w:rPr>
        <w:t>The private sector is</w:t>
      </w:r>
      <w:r w:rsidRPr="000F5EDD">
        <w:t xml:space="preserve"> working with government, Māori and scientists to plan for the future and build long-term resilience (table 3.9).</w:t>
      </w:r>
    </w:p>
    <w:p w14:paraId="06FBEAA7" w14:textId="489DAAE1" w:rsidR="00697651" w:rsidRPr="000F5EDD" w:rsidRDefault="00697651" w:rsidP="0069479C">
      <w:pPr>
        <w:pStyle w:val="Tableheading"/>
      </w:pPr>
      <w:bookmarkStart w:id="818" w:name="_Ref179450685"/>
      <w:bookmarkStart w:id="819" w:name="_Toc172716784"/>
      <w:bookmarkStart w:id="820" w:name="_Toc174951370"/>
      <w:bookmarkStart w:id="821" w:name="_Toc178603922"/>
      <w:bookmarkStart w:id="822" w:name="_Toc185407510"/>
      <w:bookmarkStart w:id="823" w:name="_Toc185427773"/>
      <w:r w:rsidRPr="000F5EDD">
        <w:t>Table 3.</w:t>
      </w:r>
      <w:bookmarkEnd w:id="818"/>
      <w:r w:rsidR="008A636D">
        <w:t>9</w:t>
      </w:r>
      <w:r w:rsidRPr="000F5EDD">
        <w:t>:</w:t>
      </w:r>
      <w:r w:rsidRPr="000F5EDD">
        <w:tab/>
        <w:t>Strategies, policies or programmes within private sectors</w:t>
      </w:r>
      <w:bookmarkEnd w:id="819"/>
      <w:bookmarkEnd w:id="820"/>
      <w:bookmarkEnd w:id="821"/>
      <w:bookmarkEnd w:id="822"/>
      <w:bookmarkEnd w:id="823"/>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CellMar>
          <w:left w:w="85" w:type="dxa"/>
          <w:right w:w="85" w:type="dxa"/>
        </w:tblCellMar>
        <w:tblLook w:val="04A0" w:firstRow="1" w:lastRow="0" w:firstColumn="1" w:lastColumn="0" w:noHBand="0" w:noVBand="1"/>
      </w:tblPr>
      <w:tblGrid>
        <w:gridCol w:w="2269"/>
        <w:gridCol w:w="2693"/>
        <w:gridCol w:w="3543"/>
      </w:tblGrid>
      <w:tr w:rsidR="00697651" w:rsidRPr="000F5EDD" w14:paraId="1A0C05BF" w14:textId="77777777">
        <w:tc>
          <w:tcPr>
            <w:tcW w:w="2269" w:type="dxa"/>
            <w:shd w:val="clear" w:color="auto" w:fill="1B556B" w:themeFill="text2"/>
            <w:vAlign w:val="bottom"/>
          </w:tcPr>
          <w:p w14:paraId="0965AC6A" w14:textId="77777777" w:rsidR="00697651" w:rsidRPr="000F5EDD" w:rsidRDefault="00697651">
            <w:pPr>
              <w:pStyle w:val="TableText"/>
              <w:keepNext/>
              <w:spacing w:before="40" w:after="40"/>
              <w:rPr>
                <w:b/>
                <w:bCs/>
                <w:color w:val="FFFFFF" w:themeColor="background1"/>
                <w:szCs w:val="18"/>
              </w:rPr>
            </w:pPr>
            <w:r w:rsidRPr="000F5EDD">
              <w:rPr>
                <w:b/>
                <w:bCs/>
                <w:color w:val="FFFFFF" w:themeColor="background1"/>
                <w:szCs w:val="18"/>
              </w:rPr>
              <w:t>Strategy, policy or programme</w:t>
            </w:r>
          </w:p>
        </w:tc>
        <w:tc>
          <w:tcPr>
            <w:tcW w:w="2693" w:type="dxa"/>
            <w:shd w:val="clear" w:color="auto" w:fill="1B556B" w:themeFill="text2"/>
            <w:vAlign w:val="bottom"/>
          </w:tcPr>
          <w:p w14:paraId="1C940446" w14:textId="77777777" w:rsidR="00697651" w:rsidRPr="000F5EDD" w:rsidRDefault="00697651">
            <w:pPr>
              <w:pStyle w:val="TableText"/>
              <w:keepNext/>
              <w:spacing w:before="40" w:after="40"/>
              <w:jc w:val="both"/>
              <w:rPr>
                <w:b/>
                <w:bCs/>
                <w:color w:val="FFFFFF" w:themeColor="background1"/>
                <w:szCs w:val="18"/>
              </w:rPr>
            </w:pPr>
            <w:r w:rsidRPr="000F5EDD" w:rsidDel="00402A32">
              <w:rPr>
                <w:b/>
                <w:bCs/>
                <w:color w:val="FFFFFF" w:themeColor="background1"/>
                <w:szCs w:val="18"/>
              </w:rPr>
              <w:t>S</w:t>
            </w:r>
            <w:r w:rsidRPr="000F5EDD">
              <w:rPr>
                <w:b/>
                <w:bCs/>
                <w:color w:val="FFFFFF" w:themeColor="background1"/>
                <w:szCs w:val="18"/>
              </w:rPr>
              <w:t>ector</w:t>
            </w:r>
          </w:p>
        </w:tc>
        <w:tc>
          <w:tcPr>
            <w:tcW w:w="3543" w:type="dxa"/>
            <w:shd w:val="clear" w:color="auto" w:fill="1B556B" w:themeFill="text2"/>
            <w:vAlign w:val="bottom"/>
          </w:tcPr>
          <w:p w14:paraId="7574B9E2" w14:textId="77777777" w:rsidR="00697651" w:rsidRPr="000F5EDD" w:rsidRDefault="00697651">
            <w:pPr>
              <w:pStyle w:val="TableText"/>
              <w:keepNext/>
              <w:spacing w:before="40" w:after="40"/>
              <w:jc w:val="both"/>
              <w:rPr>
                <w:b/>
                <w:bCs/>
                <w:color w:val="FFFFFF" w:themeColor="background1"/>
                <w:szCs w:val="18"/>
              </w:rPr>
            </w:pPr>
            <w:r w:rsidRPr="000F5EDD">
              <w:rPr>
                <w:b/>
                <w:bCs/>
                <w:color w:val="FFFFFF" w:themeColor="background1"/>
                <w:szCs w:val="18"/>
              </w:rPr>
              <w:t>Description</w:t>
            </w:r>
          </w:p>
        </w:tc>
      </w:tr>
      <w:tr w:rsidR="00697651" w:rsidRPr="000F5EDD" w14:paraId="22AF7CE4" w14:textId="77777777">
        <w:tc>
          <w:tcPr>
            <w:tcW w:w="2269" w:type="dxa"/>
          </w:tcPr>
          <w:p w14:paraId="5A452090" w14:textId="77777777" w:rsidR="00697651" w:rsidRPr="000F5EDD" w:rsidRDefault="00697651">
            <w:pPr>
              <w:pStyle w:val="TableText"/>
              <w:rPr>
                <w:b/>
                <w:bCs/>
                <w:szCs w:val="18"/>
              </w:rPr>
            </w:pPr>
            <w:r w:rsidRPr="75ADBAC8">
              <w:rPr>
                <w:b/>
              </w:rPr>
              <w:t>Climate change scenarios and roadmaps</w:t>
            </w:r>
            <w:r w:rsidRPr="000F5EDD">
              <w:rPr>
                <w:rStyle w:val="FootnoteReference"/>
                <w:bCs/>
                <w:sz w:val="18"/>
                <w:szCs w:val="18"/>
              </w:rPr>
              <w:footnoteReference w:id="302"/>
            </w:r>
          </w:p>
          <w:p w14:paraId="28FF2CA6" w14:textId="77777777" w:rsidR="00697651" w:rsidRPr="000F5EDD" w:rsidRDefault="00697651">
            <w:pPr>
              <w:pStyle w:val="TableText"/>
              <w:rPr>
                <w:i/>
                <w:szCs w:val="18"/>
              </w:rPr>
            </w:pPr>
            <w:r w:rsidRPr="000F5EDD">
              <w:rPr>
                <w:i/>
                <w:szCs w:val="18"/>
              </w:rPr>
              <w:t>The Aotearoa Circle</w:t>
            </w:r>
          </w:p>
        </w:tc>
        <w:tc>
          <w:tcPr>
            <w:tcW w:w="2693" w:type="dxa"/>
          </w:tcPr>
          <w:p w14:paraId="6060AB34" w14:textId="77777777" w:rsidR="00697651" w:rsidRPr="000F5EDD" w:rsidRDefault="00697651">
            <w:pPr>
              <w:pStyle w:val="TableText"/>
              <w:rPr>
                <w:szCs w:val="18"/>
              </w:rPr>
            </w:pPr>
            <w:r w:rsidRPr="000F5EDD">
              <w:rPr>
                <w:szCs w:val="18"/>
              </w:rPr>
              <w:t xml:space="preserve">Agriculture, energy, marine, seafood, transport, tourism </w:t>
            </w:r>
          </w:p>
        </w:tc>
        <w:tc>
          <w:tcPr>
            <w:tcW w:w="3543" w:type="dxa"/>
          </w:tcPr>
          <w:p w14:paraId="7794CDFE" w14:textId="77777777" w:rsidR="00697651" w:rsidRPr="000F5EDD" w:rsidRDefault="00697651">
            <w:pPr>
              <w:pStyle w:val="TableText"/>
            </w:pPr>
            <w:r w:rsidRPr="000F5EDD">
              <w:t>Tapping into the expertise of the</w:t>
            </w:r>
            <w:r w:rsidRPr="000F5EDD" w:rsidDel="002E6BC0">
              <w:t xml:space="preserve"> </w:t>
            </w:r>
            <w:r w:rsidRPr="000F5EDD">
              <w:t>industry, growers, government, iwi Māori</w:t>
            </w:r>
            <w:r w:rsidRPr="000F5EDD" w:rsidDel="002E6BC0">
              <w:t xml:space="preserve"> </w:t>
            </w:r>
            <w:r w:rsidRPr="000F5EDD">
              <w:t>and scientists, The Aotearoa Circle has worked collectively to develop climate change scenarios and roadmaps of actions to create sectors that are proactively planning for the future and building long-term resilience.</w:t>
            </w:r>
          </w:p>
        </w:tc>
      </w:tr>
      <w:tr w:rsidR="00697651" w:rsidRPr="000F5EDD" w14:paraId="5D8E5F7C" w14:textId="77777777">
        <w:tc>
          <w:tcPr>
            <w:tcW w:w="2269" w:type="dxa"/>
          </w:tcPr>
          <w:p w14:paraId="4156F4CB" w14:textId="77777777" w:rsidR="00697651" w:rsidRPr="000F5EDD" w:rsidRDefault="00697651">
            <w:pPr>
              <w:pStyle w:val="TableText"/>
              <w:rPr>
                <w:b/>
                <w:szCs w:val="18"/>
              </w:rPr>
            </w:pPr>
            <w:r w:rsidRPr="75ADBAC8">
              <w:rPr>
                <w:b/>
              </w:rPr>
              <w:t>Sector-level scenario analysis</w:t>
            </w:r>
            <w:r w:rsidRPr="000F5EDD">
              <w:rPr>
                <w:rStyle w:val="FootnoteReference"/>
                <w:bCs/>
                <w:sz w:val="18"/>
                <w:szCs w:val="18"/>
              </w:rPr>
              <w:footnoteReference w:id="303"/>
            </w:r>
          </w:p>
          <w:p w14:paraId="3FF9F1E7" w14:textId="77777777" w:rsidR="00697651" w:rsidRPr="000F5EDD" w:rsidRDefault="00697651">
            <w:pPr>
              <w:pStyle w:val="TableText"/>
              <w:rPr>
                <w:bCs/>
                <w:i/>
                <w:iCs/>
                <w:szCs w:val="18"/>
              </w:rPr>
            </w:pPr>
            <w:r w:rsidRPr="000F5EDD">
              <w:rPr>
                <w:bCs/>
                <w:i/>
                <w:iCs/>
                <w:szCs w:val="18"/>
              </w:rPr>
              <w:t>External Reporting Board</w:t>
            </w:r>
          </w:p>
        </w:tc>
        <w:tc>
          <w:tcPr>
            <w:tcW w:w="2693" w:type="dxa"/>
          </w:tcPr>
          <w:p w14:paraId="72C202CE" w14:textId="77777777" w:rsidR="00697651" w:rsidRPr="000F5EDD" w:rsidRDefault="00697651">
            <w:pPr>
              <w:pStyle w:val="TableText"/>
              <w:rPr>
                <w:szCs w:val="18"/>
              </w:rPr>
            </w:pPr>
            <w:r w:rsidRPr="75ADBAC8">
              <w:t>Banking, fund managers, KiwiSaver providers, health and life insurance, general insurance</w:t>
            </w:r>
            <w:r w:rsidRPr="000F5EDD">
              <w:rPr>
                <w:rStyle w:val="FootnoteReference"/>
                <w:sz w:val="18"/>
                <w:szCs w:val="18"/>
              </w:rPr>
              <w:footnoteReference w:id="304"/>
            </w:r>
            <w:r w:rsidRPr="000F5EDD">
              <w:rPr>
                <w:szCs w:val="18"/>
              </w:rPr>
              <w:t xml:space="preserve"> </w:t>
            </w:r>
          </w:p>
          <w:p w14:paraId="17F29B83" w14:textId="77777777" w:rsidR="00697651" w:rsidRPr="000F5EDD" w:rsidRDefault="00697651">
            <w:pPr>
              <w:pStyle w:val="TableText"/>
              <w:rPr>
                <w:szCs w:val="18"/>
              </w:rPr>
            </w:pPr>
            <w:r w:rsidRPr="75ADBAC8">
              <w:t>Agriculture, energy, health, tertiary education, marine, media, retail, property and construction, telecommunications, tourism, transport</w:t>
            </w:r>
            <w:r w:rsidRPr="000F5EDD">
              <w:rPr>
                <w:rStyle w:val="FootnoteReference"/>
                <w:sz w:val="18"/>
                <w:szCs w:val="18"/>
              </w:rPr>
              <w:footnoteReference w:id="305"/>
            </w:r>
          </w:p>
        </w:tc>
        <w:tc>
          <w:tcPr>
            <w:tcW w:w="3543" w:type="dxa"/>
          </w:tcPr>
          <w:p w14:paraId="5144C209" w14:textId="77777777" w:rsidR="00697651" w:rsidRPr="000F5EDD" w:rsidRDefault="00697651">
            <w:pPr>
              <w:pStyle w:val="TableText"/>
            </w:pPr>
            <w:r w:rsidRPr="000F5EDD">
              <w:t>The External Reporting Board has developed guidance on scenario analysis at entity level (ie, financial institutions) and sector level (ie, corporate sector). Aotearoa New Zealand Climate Standard 1 (NZ CS 1) requires entities to disclose details of how they have undertaken climate-related scenario analysis.</w:t>
            </w:r>
          </w:p>
          <w:p w14:paraId="55D4BE1E" w14:textId="77777777" w:rsidR="00697651" w:rsidRPr="000F5EDD" w:rsidRDefault="00697651">
            <w:pPr>
              <w:pStyle w:val="TableText"/>
            </w:pPr>
            <w:r w:rsidRPr="000F5EDD">
              <w:t>The purpose of sector-level scenario analysis is to support high-quality, consistent and comparable entity- and sector-level scenario analysis. Sectors may choose to collectively develop sectoral climate-related disclosures that can support entity-level disclosure. The Aotearoa Circle hosts many of these sector-level scenarios.</w:t>
            </w:r>
          </w:p>
        </w:tc>
      </w:tr>
      <w:tr w:rsidR="00697651" w:rsidRPr="000F5EDD" w14:paraId="7A161BAF" w14:textId="77777777">
        <w:tc>
          <w:tcPr>
            <w:tcW w:w="2269" w:type="dxa"/>
          </w:tcPr>
          <w:p w14:paraId="39F2090A" w14:textId="77777777" w:rsidR="00697651" w:rsidRPr="000F5EDD" w:rsidRDefault="00697651">
            <w:pPr>
              <w:pStyle w:val="TableText"/>
              <w:rPr>
                <w:b/>
                <w:szCs w:val="18"/>
              </w:rPr>
            </w:pPr>
            <w:r w:rsidRPr="75ADBAC8">
              <w:rPr>
                <w:b/>
              </w:rPr>
              <w:t>Risk-based pricing</w:t>
            </w:r>
            <w:r w:rsidRPr="000F5EDD">
              <w:rPr>
                <w:rStyle w:val="FootnoteReference"/>
                <w:bCs/>
                <w:sz w:val="18"/>
                <w:szCs w:val="18"/>
              </w:rPr>
              <w:footnoteReference w:id="306"/>
            </w:r>
          </w:p>
        </w:tc>
        <w:tc>
          <w:tcPr>
            <w:tcW w:w="2693" w:type="dxa"/>
          </w:tcPr>
          <w:p w14:paraId="15519B2E" w14:textId="77777777" w:rsidR="00697651" w:rsidRPr="000F5EDD" w:rsidRDefault="00697651">
            <w:pPr>
              <w:pStyle w:val="TableText"/>
              <w:rPr>
                <w:szCs w:val="18"/>
              </w:rPr>
            </w:pPr>
            <w:r w:rsidRPr="000F5EDD">
              <w:rPr>
                <w:szCs w:val="18"/>
              </w:rPr>
              <w:t>Insurance</w:t>
            </w:r>
          </w:p>
        </w:tc>
        <w:tc>
          <w:tcPr>
            <w:tcW w:w="3543" w:type="dxa"/>
          </w:tcPr>
          <w:p w14:paraId="76BADF51" w14:textId="77777777" w:rsidR="00697651" w:rsidRPr="000F5EDD" w:rsidRDefault="00697651">
            <w:pPr>
              <w:pStyle w:val="TableText"/>
            </w:pPr>
            <w:r w:rsidRPr="000F5EDD">
              <w:t>Insurance premiums are increasingly reflecting detailed assessments of a property’s flood and earthquake risk as climate change has increased the underlying risks of flood, storm and other weather events in many areas of the country.</w:t>
            </w:r>
          </w:p>
        </w:tc>
      </w:tr>
    </w:tbl>
    <w:p w14:paraId="3D31131E" w14:textId="10EFEA66" w:rsidR="00697651" w:rsidRPr="000F5EDD" w:rsidRDefault="00697651" w:rsidP="00EA02DE">
      <w:pPr>
        <w:pStyle w:val="Heading4"/>
        <w:numPr>
          <w:ilvl w:val="0"/>
          <w:numId w:val="64"/>
        </w:numPr>
        <w:spacing w:before="360" w:line="300" w:lineRule="atLeast"/>
      </w:pPr>
      <w:r w:rsidRPr="000F5EDD">
        <w:t>Improving effectiveness of adaptation actions</w:t>
      </w:r>
    </w:p>
    <w:p w14:paraId="1EB73A32" w14:textId="77777777" w:rsidR="00697651" w:rsidRPr="000F5EDD" w:rsidRDefault="00697651" w:rsidP="00697651">
      <w:pPr>
        <w:pStyle w:val="BodyText"/>
      </w:pPr>
      <w:r w:rsidRPr="000F5EDD">
        <w:t>Central government agencies, councils, iwi and communities are looking at ways to better adapt to the changing climate and build more resilience. The following are some examples.</w:t>
      </w:r>
    </w:p>
    <w:p w14:paraId="764050E6" w14:textId="77777777" w:rsidR="00697651" w:rsidRPr="000F5EDD" w:rsidRDefault="00697651" w:rsidP="00697651">
      <w:pPr>
        <w:pStyle w:val="Bullet"/>
        <w:rPr>
          <w:b/>
          <w:bCs/>
        </w:rPr>
      </w:pPr>
      <w:r w:rsidRPr="005F5A7A">
        <w:rPr>
          <w:b/>
          <w:bCs/>
          <w:spacing w:val="-2"/>
        </w:rPr>
        <w:t xml:space="preserve">Adapting to flood risk in Westport. </w:t>
      </w:r>
      <w:r w:rsidRPr="005F5A7A">
        <w:rPr>
          <w:spacing w:val="-2"/>
        </w:rPr>
        <w:t>The Westport community is facing significant challenges</w:t>
      </w:r>
      <w:r w:rsidRPr="000F5EDD">
        <w:t xml:space="preserve"> in adapting to the effects of flooding and climate change. Severe floods in July 2021 and February 2022 caused widespread damage to homes and infrastructure, and the Buller District Council required central government funding to help with the recovery. A number of risk reduction initiatives are underway locally. Central government is partnering with local councils and iwi to explore new funding and financing models for co</w:t>
      </w:r>
      <w:r w:rsidRPr="000F5EDD">
        <w:noBreakHyphen/>
        <w:t>investing in flood risk reduction and climate adaptation for Westport.</w:t>
      </w:r>
    </w:p>
    <w:p w14:paraId="1C6C855D" w14:textId="77777777" w:rsidR="00697651" w:rsidRPr="000F5EDD" w:rsidRDefault="00697651" w:rsidP="00697651">
      <w:pPr>
        <w:pStyle w:val="Bullet"/>
      </w:pPr>
      <w:r w:rsidRPr="003A3509">
        <w:rPr>
          <w:b/>
        </w:rPr>
        <w:t>Upgrading flood protection through the RiverLink project in Lower Hutt</w:t>
      </w:r>
      <w:r w:rsidRPr="003A3509">
        <w:t>.</w:t>
      </w:r>
      <w:r w:rsidRPr="000F5EDD">
        <w:t xml:space="preserve"> The project is a partnership between Waka Kotahi NZ Transport Agency, Greater Wellington Regional Council, Hutt City Council and Ngāti Toa Rangatira and Taranaki Whānui ki Te Upoko o Te Ika. The flood protection upgrades will allow more water to pass down the river during floods, as well as enabling more fish to be established. </w:t>
      </w:r>
    </w:p>
    <w:p w14:paraId="0A44F35E" w14:textId="77777777" w:rsidR="00697651" w:rsidRPr="000F5EDD" w:rsidRDefault="00697651" w:rsidP="00697651">
      <w:pPr>
        <w:pStyle w:val="Bullet"/>
      </w:pPr>
      <w:r w:rsidRPr="000F5EDD">
        <w:rPr>
          <w:b/>
        </w:rPr>
        <w:t>Wellington’s digital twin</w:t>
      </w:r>
      <w:r w:rsidRPr="000F5EDD">
        <w:t>. Wellington City Council has developed a digital twin that functions as an interactive, virtual model of the capital city. The council is using this digital twin to communicate the complexities of climate impacts and adaptation planning in an accessible way. The approach encourages participation and empowers communities, businesses and organisations to adapt together.</w:t>
      </w:r>
    </w:p>
    <w:p w14:paraId="12390191" w14:textId="77777777" w:rsidR="00697651" w:rsidRPr="000F5EDD" w:rsidRDefault="00697651" w:rsidP="00697651">
      <w:pPr>
        <w:pStyle w:val="BodyText"/>
      </w:pPr>
      <w:r w:rsidRPr="000F5EDD">
        <w:t>Chapter 4 provides an overview of the capacity building supported through the New Zealand International Development Cooperation Programme. This includes New Zealand’s capacity-building support in the context of adaptation provided to one or more recipient countries.</w:t>
      </w:r>
      <w:r w:rsidRPr="000F5EDD">
        <w:rPr>
          <w:rFonts w:eastAsiaTheme="majorEastAsia" w:cs="Times New Roman"/>
          <w:szCs w:val="20"/>
        </w:rPr>
        <w:t xml:space="preserve"> </w:t>
      </w:r>
    </w:p>
    <w:p w14:paraId="2FFDD5CB" w14:textId="77777777" w:rsidR="00697651" w:rsidRPr="000F5EDD" w:rsidRDefault="00697651" w:rsidP="00EA02DE">
      <w:pPr>
        <w:pStyle w:val="Heading3"/>
        <w:numPr>
          <w:ilvl w:val="0"/>
          <w:numId w:val="57"/>
        </w:numPr>
      </w:pPr>
      <w:r w:rsidRPr="000F5EDD">
        <w:t xml:space="preserve">Strengthening scientific research and knowledge </w:t>
      </w:r>
    </w:p>
    <w:p w14:paraId="37FF967A" w14:textId="77777777" w:rsidR="00697651" w:rsidRPr="000F5EDD" w:rsidRDefault="00697651" w:rsidP="00697651">
      <w:pPr>
        <w:pStyle w:val="BodyText"/>
        <w:rPr>
          <w:lang w:eastAsia="en-GB"/>
        </w:rPr>
      </w:pPr>
      <w:r w:rsidRPr="000F5EDD">
        <w:rPr>
          <w:lang w:eastAsia="en-GB"/>
        </w:rPr>
        <w:t xml:space="preserve">New Zealand has a strong network of Crown research institutes, which are Crown-owned companies that carry out scientific research for the benefit of New Zealand. The Crown research institutes with research portfolios most closely related to climate are NIWA, AgResearch, Manaaki Whenua Landcare Research, Plant &amp; Food Research, the Institute of Geological and Nuclear Sciences and the New Zealand Forest Research Institute. </w:t>
      </w:r>
    </w:p>
    <w:p w14:paraId="633C95F8" w14:textId="77777777" w:rsidR="00697651" w:rsidRPr="000F5EDD" w:rsidRDefault="00697651" w:rsidP="00697651">
      <w:pPr>
        <w:pStyle w:val="BodyText"/>
        <w:rPr>
          <w:lang w:eastAsia="en-GB"/>
        </w:rPr>
      </w:pPr>
      <w:r w:rsidRPr="000F5EDD">
        <w:rPr>
          <w:lang w:eastAsia="en-GB"/>
        </w:rPr>
        <w:t>A significant 10-year research programme, the National Science Challenges, has just been completed in June 2024. The aim of these challenges was to tackle the biggest science-based issues and opportunities facing New Zealand. The challenges brought together the country’s top scientists to work collaboratively across disciplines, institutions and regional borders to achieve their objectives. Some of the challenges related to climate research included The Deep South, Resilience to Nature’s Challenges, Our Land and Water, and Building Better Homes, Towns and Cities. For the final report on each Challenge, visit the Ministry of Business, Innovation and Employment website.</w:t>
      </w:r>
      <w:r w:rsidRPr="000F5EDD">
        <w:rPr>
          <w:rStyle w:val="FootnoteReference"/>
          <w:lang w:eastAsia="en-GB"/>
        </w:rPr>
        <w:footnoteReference w:id="307"/>
      </w:r>
      <w:r w:rsidRPr="000F5EDD">
        <w:rPr>
          <w:lang w:eastAsia="en-GB"/>
        </w:rPr>
        <w:t xml:space="preserve"> The Natural Hazards and Resilience Platform is a new collaborative natural hazards resilience research programme, with NZ$70 million in funding over seven years from 2024 to 2030. The platform is funded by the Ministry of Business, Innovation and Employment through the Strategic Science Investment Fund and will be hosted by GNS Science.</w:t>
      </w:r>
      <w:r w:rsidRPr="000F5EDD">
        <w:rPr>
          <w:rStyle w:val="FootnoteReference"/>
          <w:lang w:eastAsia="en-GB"/>
        </w:rPr>
        <w:footnoteReference w:id="308"/>
      </w:r>
      <w:r w:rsidRPr="000F5EDD">
        <w:rPr>
          <w:lang w:eastAsia="en-GB"/>
        </w:rPr>
        <w:t xml:space="preserve"> </w:t>
      </w:r>
    </w:p>
    <w:p w14:paraId="26522828" w14:textId="77777777" w:rsidR="00697651" w:rsidRPr="000F5EDD" w:rsidRDefault="00697651" w:rsidP="00697651">
      <w:pPr>
        <w:pStyle w:val="BodyText"/>
        <w:rPr>
          <w:lang w:eastAsia="en-GB"/>
        </w:rPr>
      </w:pPr>
      <w:r w:rsidRPr="000F5EDD">
        <w:rPr>
          <w:lang w:eastAsia="en-GB"/>
        </w:rPr>
        <w:t>The New Zealand Government has continued to support and promote collaboration in research and systematic observations on climate change, as required by Articles 4 and 5 of the </w:t>
      </w:r>
      <w:r w:rsidRPr="000F5EDD">
        <w:t>United Nations Framework Convention on Climate Change</w:t>
      </w:r>
      <w:r w:rsidRPr="000F5EDD">
        <w:rPr>
          <w:lang w:eastAsia="en-GB"/>
        </w:rPr>
        <w:t xml:space="preserve">. </w:t>
      </w:r>
      <w:r w:rsidRPr="000F5EDD">
        <w:t>C</w:t>
      </w:r>
      <w:r w:rsidRPr="000F5EDD">
        <w:rPr>
          <w:lang w:eastAsia="en-GB"/>
        </w:rPr>
        <w:t xml:space="preserve">omplementing the central government’s contribution, the private sector is providing substantial expenditure, which matches government funding in some research consortia, and local government is also supporting research, particularly in relation to climate impacts. </w:t>
      </w:r>
    </w:p>
    <w:p w14:paraId="38DB50F0" w14:textId="77777777" w:rsidR="00697651" w:rsidRPr="000F5EDD" w:rsidRDefault="00697651" w:rsidP="00697651">
      <w:pPr>
        <w:pStyle w:val="BodyText"/>
        <w:keepNext/>
        <w:keepLines/>
      </w:pPr>
      <w:r w:rsidRPr="000F5EDD">
        <w:rPr>
          <w:lang w:eastAsia="en-GB"/>
        </w:rPr>
        <w:t xml:space="preserve">New Zealand continues to collaborate internationally on scientific research. It contributes personnel and funding to support the work of the </w:t>
      </w:r>
      <w:r w:rsidRPr="000F5EDD">
        <w:rPr>
          <w:rFonts w:eastAsia="Calibri"/>
        </w:rPr>
        <w:t>IPCC.</w:t>
      </w:r>
      <w:r w:rsidRPr="000F5EDD">
        <w:rPr>
          <w:lang w:eastAsia="en-GB"/>
        </w:rPr>
        <w:t xml:space="preserve"> This support includes participating in the production of IPCC’s reports and in updating methodologies for estimating emissions and removals of greenhouse gases and other climate forcers. New Zealand researchers participate in international research and observation programmes of the World Meteorological Organization; the World Climate Research Programme; the </w:t>
      </w:r>
      <w:r w:rsidRPr="000F5EDD">
        <w:rPr>
          <w:rFonts w:cs="Calibri"/>
        </w:rPr>
        <w:t>Global Climate Observing System</w:t>
      </w:r>
      <w:r w:rsidRPr="000F5EDD">
        <w:rPr>
          <w:lang w:eastAsia="en-GB"/>
        </w:rPr>
        <w:t xml:space="preserve"> (GCOS) and its Pacific component (PI-GCOS); the Integrated Marine Observing System; the Southern Ocean Observing System; the Scientific Committee on Antarctic Research; Future Earth; and the Asia–Pacific Network for Global Change Research. </w:t>
      </w:r>
    </w:p>
    <w:p w14:paraId="1755AB20" w14:textId="6785E657" w:rsidR="002A4917" w:rsidRDefault="002A4917" w:rsidP="002A4917">
      <w:pPr>
        <w:pStyle w:val="BodyText"/>
      </w:pPr>
    </w:p>
    <w:p w14:paraId="2E890B79" w14:textId="77777777" w:rsidR="002A4917" w:rsidRDefault="002A4917" w:rsidP="002A4917">
      <w:pPr>
        <w:pStyle w:val="BodyText"/>
      </w:pPr>
    </w:p>
    <w:p w14:paraId="2582778F" w14:textId="77777777" w:rsidR="00012EF0" w:rsidRDefault="00012EF0" w:rsidP="002A4917">
      <w:pPr>
        <w:pStyle w:val="BodyText"/>
        <w:sectPr w:rsidR="00012EF0" w:rsidSect="001D01E0">
          <w:type w:val="continuous"/>
          <w:pgSz w:w="11907" w:h="16840" w:code="9"/>
          <w:pgMar w:top="1134" w:right="1701" w:bottom="1134" w:left="1701" w:header="567" w:footer="567" w:gutter="0"/>
          <w:cols w:space="720"/>
          <w:docGrid w:linePitch="299"/>
        </w:sectPr>
      </w:pPr>
    </w:p>
    <w:p w14:paraId="79E5DB99" w14:textId="04D770F9" w:rsidR="002A4917" w:rsidRDefault="001B311C" w:rsidP="002A4917">
      <w:pPr>
        <w:pStyle w:val="BodyText"/>
      </w:pPr>
      <w:r>
        <w:rPr>
          <w:noProof/>
        </w:rPr>
        <w:drawing>
          <wp:anchor distT="0" distB="0" distL="114300" distR="114300" simplePos="0" relativeHeight="251658246" behindDoc="1" locked="0" layoutInCell="1" allowOverlap="1" wp14:anchorId="20F7DA56" wp14:editId="513CD9EB">
            <wp:simplePos x="0" y="0"/>
            <wp:positionH relativeFrom="margin">
              <wp:posOffset>-1080770</wp:posOffset>
            </wp:positionH>
            <wp:positionV relativeFrom="paragraph">
              <wp:posOffset>-709295</wp:posOffset>
            </wp:positionV>
            <wp:extent cx="7560000" cy="10693333"/>
            <wp:effectExtent l="0" t="0" r="3175" b="0"/>
            <wp:wrapNone/>
            <wp:docPr id="4149295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29556" name="Picture 414929556"/>
                    <pic:cNvPicPr/>
                  </pic:nvPicPr>
                  <pic:blipFill>
                    <a:blip r:embed="rId51"/>
                    <a:stretch>
                      <a:fillRect/>
                    </a:stretch>
                  </pic:blipFill>
                  <pic:spPr>
                    <a:xfrm>
                      <a:off x="0" y="0"/>
                      <a:ext cx="7560000" cy="10693333"/>
                    </a:xfrm>
                    <a:prstGeom prst="rect">
                      <a:avLst/>
                    </a:prstGeom>
                  </pic:spPr>
                </pic:pic>
              </a:graphicData>
            </a:graphic>
            <wp14:sizeRelH relativeFrom="page">
              <wp14:pctWidth>0</wp14:pctWidth>
            </wp14:sizeRelH>
            <wp14:sizeRelV relativeFrom="page">
              <wp14:pctHeight>0</wp14:pctHeight>
            </wp14:sizeRelV>
          </wp:anchor>
        </w:drawing>
      </w:r>
    </w:p>
    <w:p w14:paraId="15DBD176" w14:textId="7517A930" w:rsidR="00012EF0" w:rsidRDefault="00012EF0" w:rsidP="002A4917">
      <w:pPr>
        <w:pStyle w:val="BodyText"/>
      </w:pPr>
    </w:p>
    <w:p w14:paraId="5C5C9491" w14:textId="159513D4" w:rsidR="00012EF0" w:rsidRDefault="00012EF0" w:rsidP="002A4917">
      <w:pPr>
        <w:pStyle w:val="BodyText"/>
      </w:pPr>
    </w:p>
    <w:p w14:paraId="6CDDDA45" w14:textId="2A7688B8" w:rsidR="00012EF0" w:rsidRDefault="00012EF0" w:rsidP="002A4917">
      <w:pPr>
        <w:pStyle w:val="BodyText"/>
      </w:pPr>
      <w:r>
        <w:t xml:space="preserve"> </w:t>
      </w:r>
    </w:p>
    <w:p w14:paraId="3D0B9B31" w14:textId="7C74C743" w:rsidR="002A4917" w:rsidRPr="00740967" w:rsidRDefault="002A4917" w:rsidP="00740967">
      <w:pPr>
        <w:pStyle w:val="Heading1"/>
        <w:rPr>
          <w:color w:val="FFFFFF" w:themeColor="background1"/>
        </w:rPr>
      </w:pPr>
      <w:bookmarkStart w:id="824" w:name="_Toc184825545"/>
      <w:r w:rsidRPr="00740967">
        <w:rPr>
          <w:color w:val="FFFFFF" w:themeColor="background1"/>
        </w:rPr>
        <w:t>Chapter 4</w:t>
      </w:r>
      <w:r w:rsidR="00740967">
        <w:rPr>
          <w:color w:val="FFFFFF" w:themeColor="background1"/>
        </w:rPr>
        <w:br/>
      </w:r>
      <w:bookmarkStart w:id="825" w:name="_Toc181791320"/>
      <w:r w:rsidR="00740967">
        <w:rPr>
          <w:color w:val="FFFFFF" w:themeColor="background1"/>
        </w:rPr>
        <w:br/>
      </w:r>
      <w:r w:rsidR="00740967" w:rsidRPr="00740967">
        <w:rPr>
          <w:color w:val="FFFFFF" w:themeColor="background1"/>
        </w:rPr>
        <w:t>Financial, technological and capacity-building support</w:t>
      </w:r>
      <w:bookmarkEnd w:id="824"/>
      <w:bookmarkEnd w:id="825"/>
    </w:p>
    <w:p w14:paraId="2AF5E7BC" w14:textId="1D6D4AB3" w:rsidR="00012EF0" w:rsidRDefault="00012EF0">
      <w:pPr>
        <w:spacing w:before="0" w:after="200" w:line="276" w:lineRule="auto"/>
        <w:jc w:val="left"/>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8504"/>
      </w:tblGrid>
      <w:tr w:rsidR="00182E8E" w:rsidRPr="00722EC0" w14:paraId="7DD126B2" w14:textId="77777777" w:rsidTr="005440BB">
        <w:tc>
          <w:tcPr>
            <w:tcW w:w="8504" w:type="dxa"/>
            <w:tcBorders>
              <w:top w:val="single" w:sz="4" w:space="0" w:color="32809C" w:themeColor="accent2"/>
              <w:bottom w:val="single" w:sz="4" w:space="0" w:color="32809C" w:themeColor="accent2"/>
            </w:tcBorders>
            <w:shd w:val="clear" w:color="auto" w:fill="32809C" w:themeFill="accent2"/>
          </w:tcPr>
          <w:p w14:paraId="6E7AF335" w14:textId="0BE0C35E" w:rsidR="00182E8E" w:rsidRPr="00722EC0" w:rsidRDefault="00182E8E">
            <w:pPr>
              <w:pStyle w:val="Heading2"/>
              <w:spacing w:before="120" w:after="120"/>
              <w:rPr>
                <w:color w:val="FFFFFF" w:themeColor="background1"/>
              </w:rPr>
            </w:pPr>
            <w:bookmarkStart w:id="826" w:name="_Toc184825546"/>
            <w:r w:rsidRPr="00722EC0">
              <w:rPr>
                <w:color w:val="FFFFFF" w:themeColor="background1"/>
              </w:rPr>
              <w:t xml:space="preserve">Key </w:t>
            </w:r>
            <w:r w:rsidR="00FC4710">
              <w:rPr>
                <w:color w:val="FFFFFF" w:themeColor="background1"/>
              </w:rPr>
              <w:t>messages</w:t>
            </w:r>
            <w:bookmarkEnd w:id="826"/>
          </w:p>
        </w:tc>
      </w:tr>
      <w:tr w:rsidR="00182E8E" w:rsidRPr="00722EC0" w14:paraId="66E8F977" w14:textId="77777777" w:rsidTr="005440BB">
        <w:tc>
          <w:tcPr>
            <w:tcW w:w="8504" w:type="dxa"/>
            <w:tcBorders>
              <w:top w:val="single" w:sz="4" w:space="0" w:color="32809C" w:themeColor="accent2"/>
              <w:bottom w:val="single" w:sz="4" w:space="0" w:color="32809C" w:themeColor="accent2"/>
            </w:tcBorders>
            <w:shd w:val="clear" w:color="auto" w:fill="FFFFFF" w:themeFill="background1"/>
          </w:tcPr>
          <w:p w14:paraId="5BC670F9" w14:textId="365E90D5" w:rsidR="00182E8E" w:rsidRPr="00722EC0" w:rsidRDefault="00182E8E" w:rsidP="00D3652E">
            <w:pPr>
              <w:pStyle w:val="BodyText"/>
              <w:spacing w:line="260" w:lineRule="atLeast"/>
            </w:pPr>
            <w:r w:rsidRPr="00722EC0">
              <w:t>New Zealand has contributed NZ$2</w:t>
            </w:r>
            <w:r w:rsidR="000F78B0">
              <w:t>35</w:t>
            </w:r>
            <w:r w:rsidRPr="00722EC0">
              <w:t>.</w:t>
            </w:r>
            <w:r w:rsidR="000F78B0">
              <w:t>69</w:t>
            </w:r>
            <w:r w:rsidRPr="00722EC0">
              <w:t xml:space="preserve"> million in climate-specific support for developing countries during 2021 and 2022. </w:t>
            </w:r>
          </w:p>
        </w:tc>
      </w:tr>
      <w:tr w:rsidR="00182E8E" w:rsidRPr="00722EC0" w14:paraId="18F22110" w14:textId="77777777" w:rsidTr="005440BB">
        <w:tc>
          <w:tcPr>
            <w:tcW w:w="8504" w:type="dxa"/>
            <w:tcBorders>
              <w:top w:val="single" w:sz="4" w:space="0" w:color="32809C" w:themeColor="accent2"/>
              <w:bottom w:val="single" w:sz="4" w:space="0" w:color="32809C" w:themeColor="accent2"/>
            </w:tcBorders>
            <w:shd w:val="clear" w:color="auto" w:fill="FFFFFF" w:themeFill="background1"/>
          </w:tcPr>
          <w:p w14:paraId="12B7317C" w14:textId="77777777" w:rsidR="00182E8E" w:rsidRPr="00722EC0" w:rsidRDefault="00182E8E" w:rsidP="00D3652E">
            <w:pPr>
              <w:pStyle w:val="BodyText"/>
              <w:spacing w:line="260" w:lineRule="atLeast"/>
            </w:pPr>
            <w:r w:rsidRPr="00722EC0">
              <w:t>In 2018, New Zealand committed NZ$300 million in climate finance for 2019–22. In 2021, New Zealand made a NZ$1.3 billion commitment for 2022–25. The 2021 and 2022 climate finance figures in the first Biennial Transparency Report do not yet reflect the significant scale-up of New Zealand’s international climate finance commitment. We expect this to be reflected in the second Biennial Transparency Report.</w:t>
            </w:r>
          </w:p>
        </w:tc>
      </w:tr>
      <w:tr w:rsidR="00182E8E" w:rsidRPr="00722EC0" w14:paraId="29211440" w14:textId="77777777" w:rsidTr="005440BB">
        <w:tc>
          <w:tcPr>
            <w:tcW w:w="8504" w:type="dxa"/>
            <w:tcBorders>
              <w:top w:val="single" w:sz="4" w:space="0" w:color="32809C" w:themeColor="accent2"/>
              <w:bottom w:val="single" w:sz="4" w:space="0" w:color="32809C" w:themeColor="accent2"/>
            </w:tcBorders>
            <w:shd w:val="clear" w:color="auto" w:fill="FFFFFF" w:themeFill="background1"/>
          </w:tcPr>
          <w:p w14:paraId="1BEB3370" w14:textId="6450FD39" w:rsidR="00182E8E" w:rsidRPr="00722EC0" w:rsidRDefault="00182E8E" w:rsidP="00D3652E">
            <w:pPr>
              <w:pStyle w:val="BodyText"/>
              <w:spacing w:line="260" w:lineRule="atLeast"/>
            </w:pPr>
            <w:r w:rsidRPr="00722EC0">
              <w:t xml:space="preserve">New Zealand delivers its international climate finance through activities in its international development cooperation programme, focusing on agriculture, food security, disaster prevention and preparedness, ecosystem strengthening, renewable energy, infrastructure and water security. </w:t>
            </w:r>
          </w:p>
        </w:tc>
      </w:tr>
      <w:tr w:rsidR="00182E8E" w:rsidRPr="00722EC0" w14:paraId="652259EB" w14:textId="77777777" w:rsidTr="005440BB">
        <w:tc>
          <w:tcPr>
            <w:tcW w:w="8504" w:type="dxa"/>
            <w:tcBorders>
              <w:top w:val="single" w:sz="4" w:space="0" w:color="32809C" w:themeColor="accent2"/>
              <w:bottom w:val="single" w:sz="4" w:space="0" w:color="32809C" w:themeColor="accent2"/>
            </w:tcBorders>
            <w:shd w:val="clear" w:color="auto" w:fill="FFFFFF" w:themeFill="background1"/>
          </w:tcPr>
          <w:p w14:paraId="75129671" w14:textId="77777777" w:rsidR="00182E8E" w:rsidRPr="00722EC0" w:rsidRDefault="00182E8E" w:rsidP="00D3652E">
            <w:pPr>
              <w:pStyle w:val="BodyText"/>
              <w:spacing w:line="260" w:lineRule="atLeast"/>
            </w:pPr>
            <w:r w:rsidRPr="00722EC0">
              <w:t>New Zealand continues to support various multilateral financial institutions, including regional development banks, contributing NZ$11.77 million in 2021–22.</w:t>
            </w:r>
          </w:p>
        </w:tc>
      </w:tr>
      <w:tr w:rsidR="00182E8E" w:rsidRPr="00722EC0" w14:paraId="4E1079FD" w14:textId="77777777" w:rsidTr="005440BB">
        <w:tc>
          <w:tcPr>
            <w:tcW w:w="8504" w:type="dxa"/>
            <w:tcBorders>
              <w:top w:val="single" w:sz="4" w:space="0" w:color="32809C" w:themeColor="accent2"/>
              <w:bottom w:val="single" w:sz="4" w:space="0" w:color="32809C" w:themeColor="accent2"/>
            </w:tcBorders>
            <w:shd w:val="clear" w:color="auto" w:fill="FFFFFF" w:themeFill="background1"/>
          </w:tcPr>
          <w:p w14:paraId="71E089B9" w14:textId="77777777" w:rsidR="00182E8E" w:rsidRPr="00722EC0" w:rsidRDefault="00182E8E" w:rsidP="00D3652E">
            <w:pPr>
              <w:pStyle w:val="BodyText"/>
              <w:spacing w:line="260" w:lineRule="atLeast"/>
            </w:pPr>
            <w:r w:rsidRPr="00722EC0">
              <w:t>New Zealand has also undertaken dedicated capacity-building and technology transfer activities. These aim to strengthen the capability and capacity of Pacific Island countries to respond to the impacts of climate change.</w:t>
            </w:r>
          </w:p>
        </w:tc>
      </w:tr>
    </w:tbl>
    <w:p w14:paraId="6924BB72" w14:textId="77777777" w:rsidR="00182E8E" w:rsidRPr="00722EC0" w:rsidRDefault="00182E8E" w:rsidP="00EA02DE">
      <w:pPr>
        <w:pStyle w:val="Heading2"/>
        <w:numPr>
          <w:ilvl w:val="0"/>
          <w:numId w:val="67"/>
        </w:numPr>
        <w:tabs>
          <w:tab w:val="num" w:pos="1077"/>
        </w:tabs>
        <w:spacing w:before="440"/>
      </w:pPr>
      <w:bookmarkStart w:id="827" w:name="_Toc497740295"/>
      <w:bookmarkStart w:id="828" w:name="_Toc497740397"/>
      <w:bookmarkStart w:id="829" w:name="_Toc500796164"/>
      <w:bookmarkStart w:id="830" w:name="_Toc121774657"/>
      <w:bookmarkStart w:id="831" w:name="_Toc184825547"/>
      <w:r w:rsidRPr="00722EC0">
        <w:t>Introduction</w:t>
      </w:r>
      <w:bookmarkEnd w:id="827"/>
      <w:bookmarkEnd w:id="828"/>
      <w:bookmarkEnd w:id="829"/>
      <w:bookmarkEnd w:id="830"/>
      <w:bookmarkEnd w:id="831"/>
    </w:p>
    <w:p w14:paraId="4137EAC4" w14:textId="77777777" w:rsidR="00182E8E" w:rsidRPr="00722EC0" w:rsidRDefault="00182E8E" w:rsidP="00182E8E">
      <w:pPr>
        <w:pStyle w:val="BodyText"/>
      </w:pPr>
      <w:r w:rsidRPr="00722EC0">
        <w:t xml:space="preserve">New Zealand is committed to delivering on its climate finance obligations and contributing to the global goal of jointly mobilising US$100 billion per year from various sources through to 2025. This is in the context of developing countries taking meaningful mitigation actions and transparency on implementation. </w:t>
      </w:r>
    </w:p>
    <w:p w14:paraId="19363FB1" w14:textId="77777777" w:rsidR="00182E8E" w:rsidRPr="00722EC0" w:rsidRDefault="00182E8E" w:rsidP="00182E8E">
      <w:pPr>
        <w:pStyle w:val="BodyText"/>
      </w:pPr>
      <w:r w:rsidRPr="00722EC0">
        <w:t>This chapter reports on the financial, capacity building and technological support New Zealand has provided to developing countries for climate change action for 2021 and 2022. This is in line with the modalities, procedures and guidelines agreed in the Conference of the Parties serving as the meeting of the Parties to the Paris Agreement (CMA) decision 18/CMA.1 for the Enhanced Transparency Framework referred to in Article 13 of the Paris Agreement. The chapter covers support provided through multilateral, regional and bilateral channels for mitigation and adaptation.</w:t>
      </w:r>
    </w:p>
    <w:p w14:paraId="51361EA6" w14:textId="77777777" w:rsidR="00182E8E" w:rsidRPr="00722EC0" w:rsidRDefault="00182E8E" w:rsidP="00182E8E">
      <w:pPr>
        <w:pStyle w:val="BodyText"/>
      </w:pPr>
      <w:r w:rsidRPr="00722EC0">
        <w:t>This reporting covers two climate finance commitment periods. In 2018, New Zealand</w:t>
      </w:r>
      <w:r w:rsidRPr="00722EC0" w:rsidDel="007F7C7C">
        <w:t xml:space="preserve"> </w:t>
      </w:r>
      <w:r w:rsidRPr="00722EC0">
        <w:t>committed NZ$300 million for 2019–22 and, in 2021, made a NZ$1.3 billion commitment for 2022–25. These commitments demonstrate the importance New Zealand places on supporting developing countries to reduce emissions and adapt to the impacts of climate change.</w:t>
      </w:r>
    </w:p>
    <w:p w14:paraId="2442ACBC" w14:textId="77777777" w:rsidR="00182E8E" w:rsidRPr="00722EC0" w:rsidRDefault="00182E8E" w:rsidP="00182E8E">
      <w:pPr>
        <w:pStyle w:val="BodyText"/>
        <w:spacing w:after="100"/>
        <w:rPr>
          <w:rFonts w:asciiTheme="minorHAnsi" w:hAnsiTheme="minorHAnsi" w:cstheme="minorHAnsi"/>
        </w:rPr>
      </w:pPr>
      <w:r w:rsidRPr="00722EC0">
        <w:t>Delivery of the 2022–25 commitment is guided</w:t>
      </w:r>
      <w:r w:rsidRPr="75ADBAC8">
        <w:rPr>
          <w:rFonts w:asciiTheme="minorHAnsi" w:hAnsiTheme="minorHAnsi"/>
        </w:rPr>
        <w:t xml:space="preserve"> by the </w:t>
      </w:r>
      <w:hyperlink r:id="rId176" w:history="1">
        <w:r w:rsidRPr="75ADBAC8">
          <w:rPr>
            <w:rFonts w:asciiTheme="minorHAnsi" w:hAnsiTheme="minorHAnsi"/>
            <w:i/>
          </w:rPr>
          <w:t>Aotearoa New Zealand International Climate Finance Strategy – Tuia te Waka a Kiwa</w:t>
        </w:r>
      </w:hyperlink>
      <w:r w:rsidRPr="75ADBAC8">
        <w:rPr>
          <w:rFonts w:asciiTheme="minorHAnsi" w:hAnsiTheme="minorHAnsi"/>
        </w:rPr>
        <w:t>.</w:t>
      </w:r>
      <w:r w:rsidRPr="75ADBAC8">
        <w:rPr>
          <w:rStyle w:val="FootnoteReference"/>
        </w:rPr>
        <w:footnoteReference w:id="309"/>
      </w:r>
      <w:r w:rsidRPr="75ADBAC8">
        <w:rPr>
          <w:rFonts w:asciiTheme="minorHAnsi" w:hAnsiTheme="minorHAnsi"/>
        </w:rPr>
        <w:t xml:space="preserve"> The strategy aims to ensure New Zealand’s climate finance supports developing countries and communities to build resilience in a world on a pathway to keeping global warming within 1.5 degrees Celsius. To do this, the strategy is working towards four main goals: </w:t>
      </w:r>
    </w:p>
    <w:p w14:paraId="2CE96763" w14:textId="77777777" w:rsidR="00182E8E" w:rsidRPr="00722EC0" w:rsidRDefault="00182E8E" w:rsidP="00780EE2">
      <w:pPr>
        <w:pStyle w:val="Numberedparagraph"/>
        <w:keepNext/>
        <w:numPr>
          <w:ilvl w:val="0"/>
          <w:numId w:val="169"/>
        </w:numPr>
        <w:spacing w:after="100"/>
        <w:ind w:left="426" w:hanging="426"/>
      </w:pPr>
      <w:r w:rsidRPr="00722EC0">
        <w:t>enhance resilience and adaptation</w:t>
      </w:r>
    </w:p>
    <w:p w14:paraId="1130188F" w14:textId="77777777" w:rsidR="00182E8E" w:rsidRPr="00722EC0" w:rsidRDefault="00182E8E" w:rsidP="00780EE2">
      <w:pPr>
        <w:pStyle w:val="Numberedparagraph"/>
        <w:numPr>
          <w:ilvl w:val="0"/>
          <w:numId w:val="169"/>
        </w:numPr>
        <w:spacing w:after="100"/>
        <w:ind w:left="426" w:hanging="426"/>
      </w:pPr>
      <w:r w:rsidRPr="00722EC0">
        <w:t>promote quicker action on mitigation</w:t>
      </w:r>
    </w:p>
    <w:p w14:paraId="7D2AE662" w14:textId="77777777" w:rsidR="00182E8E" w:rsidRPr="00722EC0" w:rsidRDefault="00182E8E" w:rsidP="00780EE2">
      <w:pPr>
        <w:pStyle w:val="Numberedparagraph"/>
        <w:numPr>
          <w:ilvl w:val="0"/>
          <w:numId w:val="169"/>
        </w:numPr>
        <w:spacing w:after="100"/>
        <w:ind w:left="426" w:hanging="426"/>
      </w:pPr>
      <w:r w:rsidRPr="00722EC0">
        <w:t xml:space="preserve">improve information to allow evidence-based decisions </w:t>
      </w:r>
    </w:p>
    <w:p w14:paraId="71D545E5" w14:textId="77777777" w:rsidR="00182E8E" w:rsidRPr="00722EC0" w:rsidRDefault="00182E8E" w:rsidP="00780EE2">
      <w:pPr>
        <w:pStyle w:val="Numberedparagraph"/>
        <w:numPr>
          <w:ilvl w:val="0"/>
          <w:numId w:val="169"/>
        </w:numPr>
        <w:spacing w:after="100"/>
        <w:ind w:left="426" w:hanging="426"/>
      </w:pPr>
      <w:r w:rsidRPr="00722EC0">
        <w:t xml:space="preserve">leverage our investments to make a greater impact. </w:t>
      </w:r>
    </w:p>
    <w:p w14:paraId="1DE74B9E" w14:textId="10D24F42" w:rsidR="00182E8E" w:rsidRPr="00722EC0" w:rsidRDefault="00182E8E" w:rsidP="00182E8E">
      <w:pPr>
        <w:pStyle w:val="BodyText"/>
        <w:spacing w:after="100"/>
      </w:pPr>
      <w:r w:rsidRPr="00722EC0">
        <w:t>During the reporting period, New Zealand contributed NZ$2</w:t>
      </w:r>
      <w:r w:rsidR="000F78B0">
        <w:t>35</w:t>
      </w:r>
      <w:r w:rsidRPr="00722EC0">
        <w:t>.</w:t>
      </w:r>
      <w:r w:rsidR="000F78B0">
        <w:t>69</w:t>
      </w:r>
      <w:r w:rsidRPr="00722EC0">
        <w:t xml:space="preserve"> million in climate-specific support for climate change outcomes including across:</w:t>
      </w:r>
      <w:r w:rsidRPr="00722EC0">
        <w:rPr>
          <w:vertAlign w:val="superscript"/>
        </w:rPr>
        <w:footnoteReference w:id="310"/>
      </w:r>
      <w:r w:rsidRPr="00722EC0">
        <w:t xml:space="preserve"> </w:t>
      </w:r>
    </w:p>
    <w:p w14:paraId="4D4CB5C1" w14:textId="77777777" w:rsidR="00182E8E" w:rsidRPr="00722EC0" w:rsidRDefault="00182E8E" w:rsidP="00182E8E">
      <w:pPr>
        <w:pStyle w:val="Bullet"/>
        <w:spacing w:after="100"/>
      </w:pPr>
      <w:r w:rsidRPr="00722EC0">
        <w:t>various specialised United Nations bodies: total funding of NZ$14.25 million</w:t>
      </w:r>
    </w:p>
    <w:p w14:paraId="12E58049" w14:textId="77777777" w:rsidR="00182E8E" w:rsidRPr="00722EC0" w:rsidRDefault="00182E8E" w:rsidP="00182E8E">
      <w:pPr>
        <w:pStyle w:val="Bullet"/>
        <w:spacing w:after="100"/>
      </w:pPr>
      <w:r w:rsidRPr="00722EC0">
        <w:t>various multilateral financial institutions including regional development banks: total funding of NZ$11.77 million</w:t>
      </w:r>
    </w:p>
    <w:p w14:paraId="09773BD3" w14:textId="77777777" w:rsidR="00182E8E" w:rsidRPr="00722EC0" w:rsidRDefault="00182E8E" w:rsidP="00182E8E">
      <w:pPr>
        <w:pStyle w:val="Bullet"/>
        <w:spacing w:after="100"/>
      </w:pPr>
      <w:r w:rsidRPr="00722EC0">
        <w:t>other multilateral organisations: total funding of NZ$6.43 million</w:t>
      </w:r>
    </w:p>
    <w:p w14:paraId="3E3ED62F" w14:textId="3A4F31DC" w:rsidR="00182E8E" w:rsidRPr="00722EC0" w:rsidRDefault="00182E8E" w:rsidP="00182E8E">
      <w:pPr>
        <w:pStyle w:val="Bullet"/>
        <w:spacing w:after="100"/>
        <w:rPr>
          <w:rFonts w:cstheme="minorBidi"/>
        </w:rPr>
      </w:pPr>
      <w:r w:rsidRPr="00722EC0">
        <w:t>bilat</w:t>
      </w:r>
      <w:r w:rsidRPr="00722EC0">
        <w:rPr>
          <w:rFonts w:cstheme="minorBidi"/>
        </w:rPr>
        <w:t>eral, regional and other channels: total funding of NZ$2</w:t>
      </w:r>
      <w:r w:rsidR="00CA6FE3">
        <w:rPr>
          <w:rFonts w:cstheme="minorBidi"/>
        </w:rPr>
        <w:t>03</w:t>
      </w:r>
      <w:r w:rsidRPr="00722EC0">
        <w:rPr>
          <w:rFonts w:cstheme="minorBidi"/>
        </w:rPr>
        <w:t>.</w:t>
      </w:r>
      <w:r w:rsidR="00CA6FE3">
        <w:rPr>
          <w:rFonts w:cstheme="minorBidi"/>
        </w:rPr>
        <w:t>25</w:t>
      </w:r>
      <w:r w:rsidRPr="00722EC0">
        <w:rPr>
          <w:rFonts w:cstheme="minorBidi"/>
        </w:rPr>
        <w:t xml:space="preserve"> million. </w:t>
      </w:r>
    </w:p>
    <w:p w14:paraId="0BAB9C53" w14:textId="548831FB" w:rsidR="00182E8E" w:rsidRPr="00722EC0" w:rsidRDefault="00182E8E" w:rsidP="00182E8E">
      <w:pPr>
        <w:pStyle w:val="BodyText"/>
        <w:spacing w:after="100"/>
      </w:pPr>
      <w:r w:rsidRPr="00722EC0">
        <w:t>As of December 2024, New Zealand’s increased climate finance is almost fully programmed, this includes funds being held for activities still in development, and the focus is on implementation. New Zealand looks forward to further reporting on this significant increase in</w:t>
      </w:r>
      <w:r w:rsidR="000A35AB">
        <w:t> </w:t>
      </w:r>
      <w:r w:rsidRPr="00722EC0">
        <w:t xml:space="preserve">its climate finance as part of its second </w:t>
      </w:r>
      <w:r w:rsidR="00D21994">
        <w:t>Biennial Transparency Report</w:t>
      </w:r>
      <w:r w:rsidRPr="00722EC0">
        <w:t xml:space="preserve"> in December 2026.</w:t>
      </w:r>
    </w:p>
    <w:p w14:paraId="5198C80F" w14:textId="77777777" w:rsidR="00182E8E" w:rsidRPr="00722EC0" w:rsidRDefault="00182E8E" w:rsidP="00182E8E">
      <w:pPr>
        <w:pStyle w:val="BodyText"/>
        <w:spacing w:after="100"/>
        <w:rPr>
          <w:highlight w:val="yellow"/>
        </w:rPr>
      </w:pPr>
      <w:r w:rsidRPr="00722EC0">
        <w:t xml:space="preserve">Over the 2021–22 reporting period, New Zealand’s climate-related support focused on the following areas: </w:t>
      </w:r>
    </w:p>
    <w:p w14:paraId="6D3FD238" w14:textId="77777777" w:rsidR="00182E8E" w:rsidRPr="00722EC0" w:rsidRDefault="00182E8E" w:rsidP="00182E8E">
      <w:pPr>
        <w:pStyle w:val="Bullet"/>
        <w:spacing w:after="100"/>
      </w:pPr>
      <w:r w:rsidRPr="00722EC0">
        <w:t>strengthening capacity for effective low-emissions, climate-resilient planning</w:t>
      </w:r>
    </w:p>
    <w:p w14:paraId="4470A854" w14:textId="77777777" w:rsidR="00182E8E" w:rsidRPr="00722EC0" w:rsidRDefault="00182E8E" w:rsidP="00182E8E">
      <w:pPr>
        <w:pStyle w:val="Bullet"/>
        <w:spacing w:after="100"/>
      </w:pPr>
      <w:r w:rsidRPr="00722EC0">
        <w:t>supporting low-carbon economic growth, including through a significant contribution to improving access to renewable energy</w:t>
      </w:r>
    </w:p>
    <w:p w14:paraId="30F66D44" w14:textId="77777777" w:rsidR="00182E8E" w:rsidRPr="00722EC0" w:rsidRDefault="00182E8E" w:rsidP="00182E8E">
      <w:pPr>
        <w:pStyle w:val="Bullet"/>
        <w:spacing w:after="100"/>
      </w:pPr>
      <w:r w:rsidRPr="00722EC0">
        <w:t>supporting Pacific countries to access the climate-related support they need from regional and multilateral agencies</w:t>
      </w:r>
    </w:p>
    <w:p w14:paraId="78CA9FDE" w14:textId="77777777" w:rsidR="00182E8E" w:rsidRPr="00722EC0" w:rsidRDefault="00182E8E" w:rsidP="00182E8E">
      <w:pPr>
        <w:pStyle w:val="Bullet"/>
        <w:spacing w:after="100"/>
      </w:pPr>
      <w:r w:rsidRPr="00722EC0">
        <w:t>ensuring decision-makers have access to the science and information they need and use it to make informed decisions</w:t>
      </w:r>
    </w:p>
    <w:p w14:paraId="10640382" w14:textId="77777777" w:rsidR="00182E8E" w:rsidRPr="00722EC0" w:rsidRDefault="00182E8E" w:rsidP="00182E8E">
      <w:pPr>
        <w:pStyle w:val="Bullet"/>
        <w:spacing w:after="100"/>
      </w:pPr>
      <w:r w:rsidRPr="00722EC0">
        <w:t>supporting greater global action to reduce greenhouse gas emissions</w:t>
      </w:r>
    </w:p>
    <w:p w14:paraId="67E74F71" w14:textId="77777777" w:rsidR="00182E8E" w:rsidRPr="00722EC0" w:rsidRDefault="00182E8E" w:rsidP="00182E8E">
      <w:pPr>
        <w:pStyle w:val="Bullet"/>
        <w:spacing w:after="100"/>
      </w:pPr>
      <w:r w:rsidRPr="00722EC0">
        <w:t>strengthening disaster prevention and preparedness</w:t>
      </w:r>
    </w:p>
    <w:p w14:paraId="2FDF8B40" w14:textId="77777777" w:rsidR="00182E8E" w:rsidRPr="00722EC0" w:rsidRDefault="00182E8E" w:rsidP="00182E8E">
      <w:pPr>
        <w:pStyle w:val="Bullet"/>
        <w:spacing w:after="100"/>
      </w:pPr>
      <w:r w:rsidRPr="00722EC0">
        <w:t xml:space="preserve">improving Pacific resilience through on-the-ground adaptation activities, including in areas such as agriculture, ecosystem strengthening, infrastructure and water security </w:t>
      </w:r>
    </w:p>
    <w:p w14:paraId="2DEDF0FD" w14:textId="77777777" w:rsidR="00182E8E" w:rsidRPr="00722EC0" w:rsidRDefault="00182E8E" w:rsidP="00182E8E">
      <w:pPr>
        <w:pStyle w:val="Bullet"/>
      </w:pPr>
      <w:r w:rsidRPr="00722EC0">
        <w:t xml:space="preserve">supporting low-emissions agricultural development, through support for, and participation in, the </w:t>
      </w:r>
      <w:bookmarkStart w:id="834" w:name="_Hlk115435433"/>
      <w:r w:rsidRPr="00722EC0">
        <w:t>Global Research Alliance on Agricultural Greenhouse Gases (GRA</w:t>
      </w:r>
      <w:bookmarkEnd w:id="834"/>
      <w:r w:rsidRPr="00722EC0">
        <w:t>), which was founded in late 2009.</w:t>
      </w:r>
    </w:p>
    <w:p w14:paraId="1C42F27A" w14:textId="77777777" w:rsidR="00182E8E" w:rsidRPr="00722EC0" w:rsidRDefault="00182E8E" w:rsidP="005B32FE">
      <w:pPr>
        <w:pStyle w:val="Heading2"/>
        <w:numPr>
          <w:ilvl w:val="0"/>
          <w:numId w:val="67"/>
        </w:numPr>
        <w:ind w:left="1134" w:hanging="1134"/>
      </w:pPr>
      <w:bookmarkStart w:id="835" w:name="_Toc184825548"/>
      <w:r w:rsidRPr="00722EC0">
        <w:t>National circumstances and institutional arrangements</w:t>
      </w:r>
      <w:bookmarkEnd w:id="835"/>
      <w:r w:rsidRPr="00722EC0">
        <w:t xml:space="preserve"> </w:t>
      </w:r>
    </w:p>
    <w:p w14:paraId="4F5D009F" w14:textId="77777777" w:rsidR="00182E8E" w:rsidRPr="00722EC0" w:rsidRDefault="00182E8E" w:rsidP="005B32FE">
      <w:pPr>
        <w:pStyle w:val="Heading3"/>
        <w:numPr>
          <w:ilvl w:val="0"/>
          <w:numId w:val="68"/>
        </w:numPr>
        <w:ind w:left="1134" w:hanging="1134"/>
      </w:pPr>
      <w:bookmarkStart w:id="836" w:name="_Hlk174999602"/>
      <w:r w:rsidRPr="00722EC0">
        <w:t xml:space="preserve">Description of the systems and processes used to identify, track and report on support provided and mobilised through public interventions </w:t>
      </w:r>
    </w:p>
    <w:p w14:paraId="3DEDA67C" w14:textId="77777777" w:rsidR="00182E8E" w:rsidRPr="00722EC0" w:rsidRDefault="00182E8E" w:rsidP="00182E8E">
      <w:pPr>
        <w:pStyle w:val="BodyText"/>
      </w:pPr>
      <w:r w:rsidRPr="00722EC0">
        <w:t>New Zealand is committed to regular and transparent reporting of its climate-related support and improving the tracking of its climate-related financial flows. Tracking and monitoring of climate finance allows both donor and recipient countries to direct support to areas or sectors that offer the greatest mitigation and adaptation potential. This achieves the most effective outcomes and facilitates further climate finance and investment flows.</w:t>
      </w:r>
    </w:p>
    <w:p w14:paraId="6118AAE7" w14:textId="503E5AA1" w:rsidR="00182E8E" w:rsidRPr="00722EC0" w:rsidRDefault="00182E8E" w:rsidP="00182E8E">
      <w:pPr>
        <w:pStyle w:val="BodyText"/>
      </w:pPr>
      <w:r w:rsidRPr="00C90A3E">
        <w:rPr>
          <w:spacing w:val="-2"/>
        </w:rPr>
        <w:t>The climate-related support provided by New Zealand is delivered mainly through New Zealand’s</w:t>
      </w:r>
      <w:r w:rsidRPr="00722EC0">
        <w:t xml:space="preserve"> International Development Cooperation (IDC) Programme, managed by the Ministry of Foreign Affairs and Trade (MFAT). New Zealand’s IDC Programme pursues impactful development </w:t>
      </w:r>
      <w:r w:rsidRPr="00A216F4">
        <w:rPr>
          <w:spacing w:val="-2"/>
        </w:rPr>
        <w:t>outcomes through four principles when providing climate-related support. These are as outlined</w:t>
      </w:r>
      <w:r w:rsidRPr="00722EC0">
        <w:t xml:space="preserve"> in </w:t>
      </w:r>
      <w:r w:rsidRPr="00722EC0">
        <w:rPr>
          <w:i/>
        </w:rPr>
        <w:t>New Zealand’s International Cooperation for Effective Sustainable Development (ICESD)</w:t>
      </w:r>
      <w:r w:rsidRPr="00722EC0">
        <w:rPr>
          <w:iCs/>
        </w:rPr>
        <w:t>:</w:t>
      </w:r>
      <w:r w:rsidRPr="00722EC0">
        <w:rPr>
          <w:vertAlign w:val="superscript"/>
        </w:rPr>
        <w:footnoteReference w:id="311"/>
      </w:r>
    </w:p>
    <w:p w14:paraId="0A61412E" w14:textId="77777777" w:rsidR="00182E8E" w:rsidRPr="00722EC0" w:rsidRDefault="00182E8E" w:rsidP="00182E8E">
      <w:pPr>
        <w:pStyle w:val="Bullet"/>
      </w:pPr>
      <w:r w:rsidRPr="00722EC0">
        <w:rPr>
          <w:b/>
        </w:rPr>
        <w:t>effective development</w:t>
      </w:r>
      <w:r w:rsidRPr="00722EC0">
        <w:t xml:space="preserve"> is values driven, partnership focused, adaptive, outcomes focused and evidence based</w:t>
      </w:r>
    </w:p>
    <w:p w14:paraId="500E2C58" w14:textId="77777777" w:rsidR="00182E8E" w:rsidRPr="00722EC0" w:rsidRDefault="00182E8E" w:rsidP="00182E8E">
      <w:pPr>
        <w:pStyle w:val="Bullet"/>
      </w:pPr>
      <w:r w:rsidRPr="00722EC0">
        <w:rPr>
          <w:b/>
        </w:rPr>
        <w:t xml:space="preserve">inclusive development </w:t>
      </w:r>
      <w:r w:rsidRPr="00722EC0">
        <w:t>addresses exclusions and inequality created across all dimensions of social identity while promoting human rights and equitable participation in the benefits of development</w:t>
      </w:r>
    </w:p>
    <w:p w14:paraId="4AC8135F" w14:textId="0B38A38F" w:rsidR="00182E8E" w:rsidRPr="00722EC0" w:rsidRDefault="00182E8E" w:rsidP="00182E8E">
      <w:pPr>
        <w:pStyle w:val="Bullet"/>
      </w:pPr>
      <w:r w:rsidRPr="00722EC0">
        <w:rPr>
          <w:b/>
        </w:rPr>
        <w:t xml:space="preserve">resilient development </w:t>
      </w:r>
      <w:r w:rsidRPr="00722EC0">
        <w:t xml:space="preserve">strengthens the environment, economy and societies to withstand shocks and manage crises while protecting future wellbeing </w:t>
      </w:r>
    </w:p>
    <w:p w14:paraId="789BF076" w14:textId="77777777" w:rsidR="00182E8E" w:rsidRPr="00722EC0" w:rsidRDefault="00182E8E" w:rsidP="00182E8E">
      <w:pPr>
        <w:pStyle w:val="Bullet"/>
      </w:pPr>
      <w:r w:rsidRPr="00722EC0">
        <w:rPr>
          <w:b/>
        </w:rPr>
        <w:t xml:space="preserve">sustained development </w:t>
      </w:r>
      <w:r w:rsidRPr="00722EC0">
        <w:t>enables lasting progress and is locally owned to uphold results in the long term.</w:t>
      </w:r>
    </w:p>
    <w:p w14:paraId="1164CD9D" w14:textId="77777777" w:rsidR="00182E8E" w:rsidRPr="00722EC0" w:rsidRDefault="00182E8E" w:rsidP="00182E8E">
      <w:pPr>
        <w:pStyle w:val="BodyText"/>
      </w:pPr>
      <w:r w:rsidRPr="00722EC0">
        <w:t>New Zealand aims, where appropriate, to integrate environment and climate change objectives as cross-cutting issues in all activities managed by</w:t>
      </w:r>
      <w:r w:rsidRPr="00722EC0" w:rsidDel="00934890">
        <w:t xml:space="preserve"> </w:t>
      </w:r>
      <w:r w:rsidRPr="00722EC0">
        <w:t xml:space="preserve">its IDC Programme. This is in </w:t>
      </w:r>
      <w:r w:rsidRPr="00722EC0">
        <w:rPr>
          <w:spacing w:val="-2"/>
        </w:rPr>
        <w:t>keeping with international best practice and reduces the reporting burden for partner countries</w:t>
      </w:r>
      <w:r w:rsidRPr="00722EC0">
        <w:t xml:space="preserve">. Designing development assistance with environment and climate change co-benefits in mind ensures the development initiatives funded by the IDC Programme support sustainable management of natural assets and address climate change. </w:t>
      </w:r>
    </w:p>
    <w:p w14:paraId="6330C57E" w14:textId="77777777" w:rsidR="00182E8E" w:rsidRPr="00722EC0" w:rsidRDefault="00182E8E" w:rsidP="00182E8E">
      <w:pPr>
        <w:pStyle w:val="BodyText"/>
      </w:pPr>
      <w:r w:rsidRPr="00722EC0">
        <w:t xml:space="preserve">To identify, track and report on this support, New Zealand uses the Rio Markers of the Organisation for Economic Co-operation and Development’s (OECD’s) Development Assistance Committee (DAC). Staff who are managing the provision of support use the DAC Rio Markers to capture the thematic objectives of each activity, including climate change mitigation and adaptation. New Zealand then uses a system to quantify the climate-related support for each activity tagged with the climate-related DAC Rio Markers. This system is described in </w:t>
      </w:r>
      <w:hyperlink w:anchor="_Support_as_being" w:history="1">
        <w:r w:rsidRPr="00722EC0">
          <w:rPr>
            <w:rStyle w:val="Hyperlink"/>
          </w:rPr>
          <w:t>section 4.</w:t>
        </w:r>
        <w:bookmarkStart w:id="837" w:name="_Hlt184387328"/>
        <w:r w:rsidRPr="00722EC0">
          <w:rPr>
            <w:rStyle w:val="Hyperlink"/>
          </w:rPr>
          <w:t>3</w:t>
        </w:r>
        <w:bookmarkEnd w:id="837"/>
        <w:r w:rsidRPr="00722EC0">
          <w:rPr>
            <w:rStyle w:val="Hyperlink"/>
          </w:rPr>
          <w:t>.12</w:t>
        </w:r>
      </w:hyperlink>
      <w:r w:rsidRPr="00722EC0">
        <w:t xml:space="preserve"> in relation to underlying assumptions, definitions and methodologies.</w:t>
      </w:r>
    </w:p>
    <w:p w14:paraId="61155B39" w14:textId="77777777" w:rsidR="00182E8E" w:rsidRPr="00722EC0" w:rsidRDefault="00182E8E" w:rsidP="00EA02DE">
      <w:pPr>
        <w:pStyle w:val="Heading3"/>
        <w:numPr>
          <w:ilvl w:val="0"/>
          <w:numId w:val="68"/>
        </w:numPr>
      </w:pPr>
      <w:r w:rsidRPr="00722EC0">
        <w:t>Description of challenges and limitations</w:t>
      </w:r>
    </w:p>
    <w:p w14:paraId="0B597B7E" w14:textId="77777777" w:rsidR="00182E8E" w:rsidRPr="00722EC0" w:rsidRDefault="00182E8E" w:rsidP="00EA02DE">
      <w:pPr>
        <w:pStyle w:val="Heading4"/>
        <w:numPr>
          <w:ilvl w:val="0"/>
          <w:numId w:val="70"/>
        </w:numPr>
        <w:tabs>
          <w:tab w:val="num" w:pos="1134"/>
        </w:tabs>
      </w:pPr>
      <w:r w:rsidRPr="00722EC0">
        <w:t>Challenges</w:t>
      </w:r>
    </w:p>
    <w:p w14:paraId="02E345D4" w14:textId="77777777" w:rsidR="00182E8E" w:rsidRPr="00722EC0" w:rsidRDefault="00182E8E" w:rsidP="00182E8E">
      <w:pPr>
        <w:pStyle w:val="BodyText"/>
      </w:pPr>
      <w:r w:rsidRPr="00722EC0">
        <w:t xml:space="preserve">Climate change and development interventions are becoming increasingly interwoven. Most official development assistance- (ODA-) eligible activities can contribute to climate resilience in some form, but accurately accounting for the specific ‘climate finance’ contribution can be challenging. Accurate monitoring frameworks that incorporate specific climate indicators are one way to improve the accuracy of this assessment. </w:t>
      </w:r>
    </w:p>
    <w:p w14:paraId="63FA7A34" w14:textId="77777777" w:rsidR="00182E8E" w:rsidRPr="00722EC0" w:rsidRDefault="00182E8E" w:rsidP="00182E8E">
      <w:pPr>
        <w:pStyle w:val="BodyText"/>
      </w:pPr>
      <w:r w:rsidRPr="00722EC0">
        <w:t xml:space="preserve">We are working to improve these monitoring frameworks. We are doing this as we increase the proportion of activities funded through the IDC Programme that seek to build partner resilience to the impacts of climate change and/or reduce emissions. </w:t>
      </w:r>
    </w:p>
    <w:p w14:paraId="1B2F12D5" w14:textId="77777777" w:rsidR="00182E8E" w:rsidRPr="00722EC0" w:rsidRDefault="00182E8E" w:rsidP="00182E8E">
      <w:pPr>
        <w:pStyle w:val="BodyText"/>
        <w:rPr>
          <w:rFonts w:asciiTheme="minorHAnsi" w:hAnsiTheme="minorHAnsi"/>
        </w:rPr>
      </w:pPr>
      <w:r w:rsidRPr="00722EC0">
        <w:t>Another challenge has been accurately reporting activities that support technology transfer to developing countries. New Zealand’s internal systems do not yet have the ability to specifically tag activities as supporting climate-related technology transfer. This report has therefore required a separate analysis of individual activities to ascertain whether they contribute to technology transfer.</w:t>
      </w:r>
    </w:p>
    <w:p w14:paraId="77F23C1C" w14:textId="77777777" w:rsidR="00182E8E" w:rsidRPr="00722EC0" w:rsidRDefault="00182E8E" w:rsidP="00EA02DE">
      <w:pPr>
        <w:pStyle w:val="Heading4"/>
        <w:numPr>
          <w:ilvl w:val="0"/>
          <w:numId w:val="70"/>
        </w:numPr>
        <w:tabs>
          <w:tab w:val="num" w:pos="1134"/>
        </w:tabs>
      </w:pPr>
      <w:r w:rsidRPr="00722EC0">
        <w:t>Limitations</w:t>
      </w:r>
    </w:p>
    <w:p w14:paraId="22F8E9FF" w14:textId="77B7EB9D" w:rsidR="00182E8E" w:rsidRPr="00722EC0" w:rsidRDefault="00182E8E" w:rsidP="00182E8E">
      <w:pPr>
        <w:pStyle w:val="BodyText"/>
      </w:pPr>
      <w:r w:rsidRPr="00722EC0">
        <w:t xml:space="preserve">New Zealand does not have systems in place to track mobilised private finance, nor other official flows. As such, these are not reported on in this report. However, New Zealand is developing a portfolio of activities that specifically focus on mobilising private finance and looks forward to being able to report on this in future </w:t>
      </w:r>
      <w:r w:rsidR="00D21994">
        <w:t>Biennial Transparency Report</w:t>
      </w:r>
      <w:r w:rsidRPr="00722EC0">
        <w:t>s (BTRs).</w:t>
      </w:r>
    </w:p>
    <w:p w14:paraId="42359DCC" w14:textId="77777777" w:rsidR="00182E8E" w:rsidRPr="00722EC0" w:rsidRDefault="00182E8E" w:rsidP="00AE7BC5">
      <w:pPr>
        <w:pStyle w:val="Heading3"/>
        <w:numPr>
          <w:ilvl w:val="0"/>
          <w:numId w:val="68"/>
        </w:numPr>
        <w:ind w:left="1134" w:hanging="1134"/>
      </w:pPr>
      <w:bookmarkStart w:id="838" w:name="_Hlk174999690"/>
      <w:bookmarkEnd w:id="836"/>
      <w:r w:rsidRPr="00722EC0">
        <w:t>Information on experience and good practices in relation to public policy and regulatory frameworks to incentivise further private climate financing and investment</w:t>
      </w:r>
    </w:p>
    <w:p w14:paraId="1DF383DD" w14:textId="16E7683D" w:rsidR="00182E8E" w:rsidRPr="00722EC0" w:rsidRDefault="00182E8E" w:rsidP="00182E8E">
      <w:pPr>
        <w:pStyle w:val="BodyText"/>
      </w:pPr>
      <w:r w:rsidRPr="00722EC0">
        <w:t xml:space="preserve">New Zealand has not reported or specifically focused on mobilising further private climate finance in this reporting period. We expect to report on this in the second </w:t>
      </w:r>
      <w:r w:rsidR="00BA6812">
        <w:t>Biennial Transparency Report</w:t>
      </w:r>
      <w:r w:rsidRPr="00722EC0">
        <w:t>.</w:t>
      </w:r>
    </w:p>
    <w:p w14:paraId="22166637" w14:textId="77777777" w:rsidR="00182E8E" w:rsidRPr="00722EC0" w:rsidRDefault="00182E8E" w:rsidP="00AE7BC5">
      <w:pPr>
        <w:pStyle w:val="Heading3"/>
        <w:numPr>
          <w:ilvl w:val="0"/>
          <w:numId w:val="68"/>
        </w:numPr>
        <w:ind w:left="1134" w:hanging="1134"/>
      </w:pPr>
      <w:r w:rsidRPr="00722EC0">
        <w:t>Efforts taken to enhance comparability and accuracy of information reported on financial support provided and mobilised through public interventions</w:t>
      </w:r>
    </w:p>
    <w:bookmarkEnd w:id="838"/>
    <w:p w14:paraId="505C16E8" w14:textId="77777777" w:rsidR="00182E8E" w:rsidRPr="00722EC0" w:rsidRDefault="00182E8E" w:rsidP="00182E8E">
      <w:pPr>
        <w:pStyle w:val="BodyText"/>
      </w:pPr>
      <w:r w:rsidRPr="00722EC0">
        <w:t>New Zealand’s use of the DAC Rio Markers, which are widely used by other Parties, intends to enhance the comparability of the information it reports on financial support provided and mobilised through public interventions. Similarly, New Zealand bases its definition of technology transfer and capacity building on the United Nations Framework Convention on Climate Change definition, to ensure comparability and accuracy of the information provided.</w:t>
      </w:r>
    </w:p>
    <w:p w14:paraId="77E7B4B2" w14:textId="77777777" w:rsidR="00182E8E" w:rsidRPr="00722EC0" w:rsidRDefault="00182E8E" w:rsidP="00182E8E">
      <w:pPr>
        <w:pStyle w:val="BodyText"/>
      </w:pPr>
      <w:r w:rsidRPr="00722EC0">
        <w:t>Each activity identified as contributing to mitigation and adaptation outcomes is reviewed against the DAC Rio Markers and MFAT’s internal guidance, to ensure the accuracy of the information provided in New Zealand’s reporting.</w:t>
      </w:r>
    </w:p>
    <w:p w14:paraId="0F0BF885" w14:textId="77777777" w:rsidR="00182E8E" w:rsidRPr="00722EC0" w:rsidRDefault="00182E8E" w:rsidP="005B32FE">
      <w:pPr>
        <w:pStyle w:val="Heading2"/>
        <w:numPr>
          <w:ilvl w:val="0"/>
          <w:numId w:val="67"/>
        </w:numPr>
        <w:ind w:left="1134" w:hanging="1134"/>
      </w:pPr>
      <w:bookmarkStart w:id="839" w:name="_Toc184825549"/>
      <w:r w:rsidRPr="00722EC0">
        <w:t xml:space="preserve">Underlying </w:t>
      </w:r>
      <w:bookmarkStart w:id="840" w:name="_Hlk174973326"/>
      <w:r w:rsidRPr="00722EC0">
        <w:t>assumptions, definitions and methodologies</w:t>
      </w:r>
      <w:bookmarkEnd w:id="839"/>
      <w:bookmarkEnd w:id="840"/>
    </w:p>
    <w:p w14:paraId="5949B080" w14:textId="77777777" w:rsidR="00182E8E" w:rsidRPr="00722EC0" w:rsidRDefault="00182E8E" w:rsidP="00182E8E">
      <w:pPr>
        <w:pStyle w:val="BodyText"/>
        <w:spacing w:before="100" w:after="100"/>
      </w:pPr>
      <w:r w:rsidRPr="00722EC0">
        <w:t>To enhance transparency of reporting, the following underlying assumptions, methodologies and definitions, as applicable, are used to identify and/or report, in line with CMA decision 18/CMA.1.</w:t>
      </w:r>
    </w:p>
    <w:p w14:paraId="7B050273" w14:textId="77777777" w:rsidR="00182E8E" w:rsidRPr="00722EC0" w:rsidRDefault="00182E8E" w:rsidP="00EA02DE">
      <w:pPr>
        <w:pStyle w:val="Heading3"/>
        <w:numPr>
          <w:ilvl w:val="0"/>
          <w:numId w:val="69"/>
        </w:numPr>
        <w:tabs>
          <w:tab w:val="num" w:pos="1134"/>
        </w:tabs>
      </w:pPr>
      <w:r w:rsidRPr="00722EC0">
        <w:t xml:space="preserve">Chosen reporting year (calendar year, fiscal year) </w:t>
      </w:r>
    </w:p>
    <w:p w14:paraId="0A3C01D2" w14:textId="77777777" w:rsidR="00182E8E" w:rsidRPr="00722EC0" w:rsidRDefault="00182E8E" w:rsidP="00182E8E">
      <w:pPr>
        <w:pStyle w:val="BodyText"/>
        <w:spacing w:before="100" w:after="100"/>
      </w:pPr>
      <w:r w:rsidRPr="00722EC0">
        <w:t>This report covers calendar years 2021 and 2022</w:t>
      </w:r>
      <w:r w:rsidRPr="00722EC0" w:rsidDel="007F7C7C">
        <w:t>.</w:t>
      </w:r>
    </w:p>
    <w:p w14:paraId="3B1E9B7F" w14:textId="77777777" w:rsidR="00182E8E" w:rsidRPr="00722EC0" w:rsidRDefault="00182E8E" w:rsidP="00AE7BC5">
      <w:pPr>
        <w:pStyle w:val="Heading3"/>
        <w:numPr>
          <w:ilvl w:val="0"/>
          <w:numId w:val="69"/>
        </w:numPr>
        <w:tabs>
          <w:tab w:val="num" w:pos="1134"/>
        </w:tabs>
        <w:ind w:left="1134" w:hanging="1134"/>
      </w:pPr>
      <w:r w:rsidRPr="00722EC0">
        <w:t>Conversion between domestic currency and United States dollars</w:t>
      </w:r>
    </w:p>
    <w:p w14:paraId="2040388C" w14:textId="77777777" w:rsidR="00182E8E" w:rsidRPr="00722EC0" w:rsidRDefault="00182E8E" w:rsidP="00182E8E">
      <w:pPr>
        <w:pStyle w:val="BodyText"/>
        <w:spacing w:before="100" w:after="100"/>
      </w:pPr>
      <w:r w:rsidRPr="00722EC0">
        <w:t>New Zealand’s reporting period includes two calendar years, 2021 and 2022. Funds are reported in New Zealand dollars (NZ$). The methodology used for calculating currency exchange is the annual average exchange rates, as used by the OECD. The rates used are:</w:t>
      </w:r>
    </w:p>
    <w:p w14:paraId="5AC60B6E" w14:textId="77777777" w:rsidR="00182E8E" w:rsidRPr="00722EC0" w:rsidRDefault="00182E8E" w:rsidP="00182E8E">
      <w:pPr>
        <w:pStyle w:val="Bullet"/>
      </w:pPr>
      <w:r w:rsidRPr="00722EC0">
        <w:t>2021: US$ 1 = NZ$1.4140</w:t>
      </w:r>
    </w:p>
    <w:p w14:paraId="7AB15A1E" w14:textId="77777777" w:rsidR="00182E8E" w:rsidRPr="00722EC0" w:rsidRDefault="00182E8E" w:rsidP="00182E8E">
      <w:pPr>
        <w:pStyle w:val="Bullet"/>
      </w:pPr>
      <w:r w:rsidRPr="00722EC0">
        <w:t>2022: US$ 1 = NZ$1.5771.</w:t>
      </w:r>
    </w:p>
    <w:p w14:paraId="00DB24F7" w14:textId="77777777" w:rsidR="00182E8E" w:rsidRPr="00722EC0" w:rsidRDefault="00182E8E" w:rsidP="00EA02DE">
      <w:pPr>
        <w:pStyle w:val="Heading3"/>
        <w:numPr>
          <w:ilvl w:val="0"/>
          <w:numId w:val="69"/>
        </w:numPr>
        <w:tabs>
          <w:tab w:val="num" w:pos="1134"/>
        </w:tabs>
      </w:pPr>
      <w:r w:rsidRPr="00722EC0">
        <w:t xml:space="preserve">Status (committed, disbursed) </w:t>
      </w:r>
    </w:p>
    <w:p w14:paraId="7225D924" w14:textId="7DEE4022" w:rsidR="00182E8E" w:rsidRPr="00722EC0" w:rsidRDefault="00182E8E" w:rsidP="00182E8E">
      <w:pPr>
        <w:pStyle w:val="BodyText"/>
        <w:spacing w:before="100" w:after="100"/>
      </w:pPr>
      <w:r w:rsidRPr="00722EC0">
        <w:t>New Zealand only reports on the climate finance that has been disbursed. For this report, ‘provided’ means funds that have been transferred from the New Zealand Government to a</w:t>
      </w:r>
      <w:r w:rsidR="00293351">
        <w:t> </w:t>
      </w:r>
      <w:r w:rsidRPr="00722EC0">
        <w:t xml:space="preserve">recipient, including multilateral or regional organisations. </w:t>
      </w:r>
    </w:p>
    <w:p w14:paraId="310829E0" w14:textId="77777777" w:rsidR="00182E8E" w:rsidRPr="00722EC0" w:rsidRDefault="00182E8E" w:rsidP="00AE7BC5">
      <w:pPr>
        <w:pStyle w:val="Heading3"/>
        <w:numPr>
          <w:ilvl w:val="0"/>
          <w:numId w:val="69"/>
        </w:numPr>
        <w:tabs>
          <w:tab w:val="num" w:pos="1134"/>
        </w:tabs>
        <w:ind w:left="1134" w:hanging="1134"/>
      </w:pPr>
      <w:r w:rsidRPr="00722EC0">
        <w:t xml:space="preserve">Channel (bilateral, regional, multi-bilateral, multilateral) </w:t>
      </w:r>
    </w:p>
    <w:p w14:paraId="213B35B1" w14:textId="77777777" w:rsidR="00182E8E" w:rsidRPr="00722EC0" w:rsidRDefault="00182E8E" w:rsidP="00182E8E">
      <w:pPr>
        <w:pStyle w:val="BodyText"/>
        <w:spacing w:before="100" w:after="100"/>
      </w:pPr>
      <w:r w:rsidRPr="00722EC0">
        <w:t xml:space="preserve">New Zealand provides and reports on support delivered through bilateral, regional, multi-bilateral and multilateral channels. Bilateral support refers to the disbursement of climate finance to a specific country. Regional support refers to the disbursement of climate finance to programmes that target specific region(s) but that is not tagged to a particular country or group of countries. This is often delivered through a regional agency. Multilateral support refers to the disbursement of climate finance through an international organisation. Multi-bilateral support refers to support provided to more than one country through a single activity. </w:t>
      </w:r>
    </w:p>
    <w:p w14:paraId="77878D6E" w14:textId="77777777" w:rsidR="00182E8E" w:rsidRPr="00722EC0" w:rsidRDefault="00182E8E" w:rsidP="005B32FE">
      <w:pPr>
        <w:pStyle w:val="Heading3"/>
        <w:numPr>
          <w:ilvl w:val="0"/>
          <w:numId w:val="69"/>
        </w:numPr>
        <w:tabs>
          <w:tab w:val="num" w:pos="1134"/>
        </w:tabs>
        <w:ind w:left="1134" w:hanging="1134"/>
      </w:pPr>
      <w:bookmarkStart w:id="841" w:name="_Hlk175577721"/>
      <w:r w:rsidRPr="00722EC0">
        <w:t>Funding source (official development assistance, other official flows, other)</w:t>
      </w:r>
    </w:p>
    <w:p w14:paraId="2649B5C4" w14:textId="17958DB6" w:rsidR="00182E8E" w:rsidRPr="00722EC0" w:rsidRDefault="00182E8E" w:rsidP="00182E8E">
      <w:pPr>
        <w:pStyle w:val="BodyText"/>
        <w:spacing w:before="100" w:after="100"/>
        <w:rPr>
          <w:lang w:eastAsia="en-GB"/>
        </w:rPr>
      </w:pPr>
      <w:bookmarkStart w:id="842" w:name="_Hlk175577634"/>
      <w:bookmarkEnd w:id="841"/>
      <w:r w:rsidRPr="00722EC0">
        <w:t xml:space="preserve">All of the financial support reported in this </w:t>
      </w:r>
      <w:r w:rsidR="0090353B">
        <w:t>Biennial Transparency Report</w:t>
      </w:r>
      <w:r w:rsidR="005D4575" w:rsidRPr="00722EC0">
        <w:t xml:space="preserve"> </w:t>
      </w:r>
      <w:r w:rsidRPr="00722EC0">
        <w:t xml:space="preserve">comes from New Zealand’s IDC Programme. Most of this is ODA, based on </w:t>
      </w:r>
      <w:r w:rsidRPr="00722EC0">
        <w:rPr>
          <w:lang w:eastAsia="en-GB"/>
        </w:rPr>
        <w:t xml:space="preserve">the OECD DAC definitions. That is, it is support that has as its main purpose the economic development and welfare of developing countries and is provided on concessional terms that can be counted. However, New Zealand’s IDC appropriation and total climate finance are more expansive than ODA. They include the Cook Islands, which despite being a high-income country, is still highly vulnerable to the impacts of climate change, and has unique constitutional arrangements with the New Zealand Government. These transactions are recorded as ‘other’ because they do not meet official development assistance criteria. </w:t>
      </w:r>
    </w:p>
    <w:bookmarkEnd w:id="842"/>
    <w:p w14:paraId="74CEDCF8" w14:textId="47DAE024" w:rsidR="00182E8E" w:rsidRPr="00722EC0" w:rsidRDefault="00182E8E" w:rsidP="00AE7BC5">
      <w:pPr>
        <w:pStyle w:val="Heading3"/>
        <w:numPr>
          <w:ilvl w:val="0"/>
          <w:numId w:val="69"/>
        </w:numPr>
        <w:tabs>
          <w:tab w:val="num" w:pos="1134"/>
        </w:tabs>
        <w:spacing w:line="340" w:lineRule="atLeast"/>
        <w:ind w:left="1134" w:hanging="1134"/>
      </w:pPr>
      <w:r w:rsidRPr="00722EC0">
        <w:t>Financial instrument (eg, grant, concessional loan,</w:t>
      </w:r>
      <w:r w:rsidR="00450244">
        <w:t> </w:t>
      </w:r>
      <w:r w:rsidRPr="00722EC0">
        <w:t>non-concessional loan, equity, guarantee, insurance,</w:t>
      </w:r>
      <w:r w:rsidR="001B10B6">
        <w:t> </w:t>
      </w:r>
      <w:r w:rsidRPr="00722EC0">
        <w:t xml:space="preserve">other (specify)) </w:t>
      </w:r>
    </w:p>
    <w:p w14:paraId="3EFFFBD9" w14:textId="77777777" w:rsidR="00182E8E" w:rsidRPr="00722EC0" w:rsidRDefault="00182E8E" w:rsidP="00182E8E">
      <w:pPr>
        <w:pStyle w:val="BodyText"/>
        <w:spacing w:before="100" w:after="100"/>
      </w:pPr>
      <w:r w:rsidRPr="00722EC0">
        <w:t xml:space="preserve">All of the financial support provided by New Zealand is in the form of grants. New Zealand does not provide climate finance through loans, equities or guarantees although provides funding to organisations that do so. </w:t>
      </w:r>
    </w:p>
    <w:p w14:paraId="14C2B040" w14:textId="77777777" w:rsidR="00182E8E" w:rsidRPr="00722EC0" w:rsidRDefault="00182E8E" w:rsidP="00AE7BC5">
      <w:pPr>
        <w:pStyle w:val="Heading3"/>
        <w:numPr>
          <w:ilvl w:val="0"/>
          <w:numId w:val="69"/>
        </w:numPr>
        <w:tabs>
          <w:tab w:val="num" w:pos="1134"/>
        </w:tabs>
        <w:spacing w:line="340" w:lineRule="atLeast"/>
        <w:ind w:left="1134" w:hanging="1134"/>
      </w:pPr>
      <w:r w:rsidRPr="00722EC0">
        <w:t>Information on instruments and funding sources reported, including how a Party has determined finance to be concessional and/or ODA</w:t>
      </w:r>
    </w:p>
    <w:p w14:paraId="6CFDE6E1" w14:textId="77777777" w:rsidR="00182E8E" w:rsidRPr="00722EC0" w:rsidRDefault="00182E8E" w:rsidP="00182E8E">
      <w:pPr>
        <w:pStyle w:val="BodyText"/>
        <w:spacing w:before="100" w:after="100"/>
      </w:pPr>
      <w:r w:rsidRPr="00722EC0">
        <w:t xml:space="preserve">This report includes any climate-related support provided over the reporting period that meets </w:t>
      </w:r>
      <w:r w:rsidRPr="00722EC0">
        <w:rPr>
          <w:spacing w:val="-2"/>
        </w:rPr>
        <w:t>agreed ODA definitions (ie, with a strong concessional element and with economic developmen</w:t>
      </w:r>
      <w:r w:rsidRPr="00722EC0">
        <w:t>t and the welfare of developing countries as its main objective). All of New Zealand’s climate-related support is delivered through its IDC Programme as grant funding.</w:t>
      </w:r>
    </w:p>
    <w:p w14:paraId="638F4770" w14:textId="77777777" w:rsidR="00182E8E" w:rsidRPr="00722EC0" w:rsidRDefault="00182E8E" w:rsidP="005B32FE">
      <w:pPr>
        <w:pStyle w:val="Heading3"/>
        <w:numPr>
          <w:ilvl w:val="0"/>
          <w:numId w:val="69"/>
        </w:numPr>
        <w:tabs>
          <w:tab w:val="num" w:pos="1134"/>
        </w:tabs>
        <w:spacing w:line="340" w:lineRule="atLeast"/>
        <w:ind w:left="1134" w:hanging="1134"/>
      </w:pPr>
      <w:r w:rsidRPr="00722EC0">
        <w:t>Type of support (eg, adaptation, mitigation, cross</w:t>
      </w:r>
      <w:r w:rsidRPr="00722EC0">
        <w:noBreakHyphen/>
        <w:t>cutting)</w:t>
      </w:r>
    </w:p>
    <w:p w14:paraId="0AB47DB7" w14:textId="77777777" w:rsidR="00182E8E" w:rsidRPr="00722EC0" w:rsidRDefault="00182E8E" w:rsidP="00182E8E">
      <w:pPr>
        <w:pStyle w:val="BodyText"/>
        <w:spacing w:before="100" w:after="100"/>
      </w:pPr>
      <w:r w:rsidRPr="00722EC0">
        <w:t>Activities reported as ‘adaptation’ are those tagged with the climate change adaptation DAC Rio Marker but not the mitigation marker. Activities reported as ‘mitigation’ are those tagged with the climate change mitigation DAC Rio Marker but not the adaptation marker. Activities reported as ‘cross-cutting’ are those tagged with both a climate change adaptation and mitigation DAC Rio Marker.</w:t>
      </w:r>
    </w:p>
    <w:p w14:paraId="494789C8" w14:textId="77777777" w:rsidR="00182E8E" w:rsidRPr="00722EC0" w:rsidRDefault="00182E8E" w:rsidP="00EA02DE">
      <w:pPr>
        <w:pStyle w:val="Heading3"/>
        <w:numPr>
          <w:ilvl w:val="0"/>
          <w:numId w:val="69"/>
        </w:numPr>
        <w:tabs>
          <w:tab w:val="num" w:pos="1134"/>
        </w:tabs>
      </w:pPr>
      <w:r w:rsidRPr="00722EC0">
        <w:t xml:space="preserve">Sector </w:t>
      </w:r>
    </w:p>
    <w:p w14:paraId="587D8F41" w14:textId="79D0A4BC" w:rsidR="00182E8E" w:rsidRPr="00722EC0" w:rsidRDefault="00182E8E" w:rsidP="00182E8E">
      <w:pPr>
        <w:pStyle w:val="BodyText"/>
        <w:spacing w:before="100" w:after="100"/>
        <w:rPr>
          <w:b/>
          <w:bCs/>
        </w:rPr>
      </w:pPr>
      <w:r w:rsidRPr="00722EC0">
        <w:t xml:space="preserve">New Zealand codes sectors for activities using the DAC’s statistical sector creditor reporting system purpose codes and their standard methodology and agreed definitions. These purpose codes are closely aligned with the sectors in the relevant </w:t>
      </w:r>
      <w:r w:rsidR="0033644E">
        <w:t>Biennial Transparency Report</w:t>
      </w:r>
      <w:r w:rsidR="0033644E" w:rsidRPr="00722EC0">
        <w:t xml:space="preserve"> </w:t>
      </w:r>
      <w:r w:rsidRPr="00722EC0">
        <w:t>tables and adjusted to the corresponding sector for this report.</w:t>
      </w:r>
    </w:p>
    <w:p w14:paraId="63ED8308" w14:textId="77777777" w:rsidR="00182E8E" w:rsidRPr="00722EC0" w:rsidRDefault="00182E8E" w:rsidP="00EA02DE">
      <w:pPr>
        <w:pStyle w:val="Heading3"/>
        <w:numPr>
          <w:ilvl w:val="0"/>
          <w:numId w:val="69"/>
        </w:numPr>
        <w:tabs>
          <w:tab w:val="num" w:pos="1134"/>
        </w:tabs>
      </w:pPr>
      <w:r w:rsidRPr="00722EC0">
        <w:t>Subsector</w:t>
      </w:r>
    </w:p>
    <w:p w14:paraId="29C8C29E" w14:textId="77777777" w:rsidR="00182E8E" w:rsidRPr="00722EC0" w:rsidRDefault="00182E8E" w:rsidP="00182E8E">
      <w:pPr>
        <w:pStyle w:val="BodyText"/>
        <w:spacing w:before="100" w:after="100"/>
      </w:pPr>
      <w:r w:rsidRPr="00722EC0">
        <w:t>New Zealand only reports on the primary sector for its climate finance activities.</w:t>
      </w:r>
    </w:p>
    <w:p w14:paraId="15DEF2C7" w14:textId="77777777" w:rsidR="00182E8E" w:rsidRPr="00722EC0" w:rsidRDefault="00182E8E" w:rsidP="00EA02DE">
      <w:pPr>
        <w:pStyle w:val="Heading3"/>
        <w:numPr>
          <w:ilvl w:val="0"/>
          <w:numId w:val="69"/>
        </w:numPr>
        <w:tabs>
          <w:tab w:val="num" w:pos="1134"/>
        </w:tabs>
      </w:pPr>
      <w:r w:rsidRPr="00722EC0">
        <w:t>Capacity building and technology transfer</w:t>
      </w:r>
    </w:p>
    <w:p w14:paraId="25148BCB" w14:textId="77777777" w:rsidR="00182E8E" w:rsidRPr="00722EC0" w:rsidRDefault="00182E8E" w:rsidP="00EA02DE">
      <w:pPr>
        <w:pStyle w:val="Heading4"/>
        <w:numPr>
          <w:ilvl w:val="0"/>
          <w:numId w:val="71"/>
        </w:numPr>
        <w:tabs>
          <w:tab w:val="num" w:pos="1134"/>
        </w:tabs>
        <w:spacing w:before="120"/>
      </w:pPr>
      <w:r w:rsidRPr="00722EC0">
        <w:t>Capacity building</w:t>
      </w:r>
    </w:p>
    <w:p w14:paraId="2043B9DF" w14:textId="77777777" w:rsidR="00182E8E" w:rsidRPr="00722EC0" w:rsidRDefault="00182E8E" w:rsidP="00182E8E">
      <w:pPr>
        <w:pStyle w:val="BodyText"/>
        <w:spacing w:after="100"/>
      </w:pPr>
      <w:r w:rsidRPr="00722EC0">
        <w:t>In 2018, MFAT added a marker for capacity building to its internal reporting systems. This marker provides a binary indication of whether projects support climate change capacity building. New Zealand does not track financial support provided to capacity building.</w:t>
      </w:r>
    </w:p>
    <w:p w14:paraId="613E72A8" w14:textId="77777777" w:rsidR="00182E8E" w:rsidRPr="00722EC0" w:rsidRDefault="00182E8E" w:rsidP="00182E8E">
      <w:pPr>
        <w:pStyle w:val="BodyText"/>
        <w:spacing w:after="100"/>
      </w:pPr>
      <w:r w:rsidRPr="00722EC0">
        <w:t>Activities are tagged as including capacity-building elements, if financing contributes to one or more of the following:</w:t>
      </w:r>
    </w:p>
    <w:p w14:paraId="33C17E49" w14:textId="77777777" w:rsidR="00182E8E" w:rsidRPr="00722EC0" w:rsidRDefault="00182E8E" w:rsidP="00182E8E">
      <w:pPr>
        <w:pStyle w:val="Bullet"/>
        <w:keepNext/>
        <w:spacing w:after="100"/>
      </w:pPr>
      <w:r w:rsidRPr="00722EC0">
        <w:t>enhancing coherence and coordination of capacity building</w:t>
      </w:r>
    </w:p>
    <w:p w14:paraId="21167589" w14:textId="77777777" w:rsidR="00182E8E" w:rsidRPr="00722EC0" w:rsidRDefault="00182E8E" w:rsidP="00182E8E">
      <w:pPr>
        <w:pStyle w:val="Bullet"/>
        <w:keepNext/>
        <w:spacing w:after="100"/>
      </w:pPr>
      <w:r w:rsidRPr="00722EC0">
        <w:t>addressing capacity-building gaps and needs</w:t>
      </w:r>
    </w:p>
    <w:p w14:paraId="75A7D964" w14:textId="77777777" w:rsidR="00182E8E" w:rsidRPr="00722EC0" w:rsidRDefault="00182E8E" w:rsidP="00182E8E">
      <w:pPr>
        <w:pStyle w:val="Bullet"/>
      </w:pPr>
      <w:r w:rsidRPr="00722EC0">
        <w:t>awareness-raising, knowledge and information sharing and stakeholder engagement.</w:t>
      </w:r>
    </w:p>
    <w:p w14:paraId="434BBC40" w14:textId="77777777" w:rsidR="00182E8E" w:rsidRPr="00722EC0" w:rsidRDefault="00182E8E" w:rsidP="00EA02DE">
      <w:pPr>
        <w:pStyle w:val="Heading4"/>
        <w:numPr>
          <w:ilvl w:val="0"/>
          <w:numId w:val="71"/>
        </w:numPr>
      </w:pPr>
      <w:r w:rsidRPr="00722EC0">
        <w:t>Technology development and transfer</w:t>
      </w:r>
    </w:p>
    <w:p w14:paraId="4B81C4E2" w14:textId="77777777" w:rsidR="00182E8E" w:rsidRPr="00722EC0" w:rsidRDefault="00182E8E" w:rsidP="00182E8E">
      <w:pPr>
        <w:pStyle w:val="BodyText"/>
      </w:pPr>
      <w:r w:rsidRPr="00722EC0">
        <w:t xml:space="preserve">New Zealand uses the United Nations Framework Convention on Climate Change definition of ‘technology transfer’. Activities are tagged as including ‘technology transfers’ when they can demonstrate that a new ‘tangible technological component’ has been introduced (defined as </w:t>
      </w:r>
      <w:r w:rsidRPr="00722EC0">
        <w:rPr>
          <w:spacing w:val="-2"/>
        </w:rPr>
        <w:t>‘hard technology’) or if an activity includes information, knowledge sharing, training or research</w:t>
      </w:r>
      <w:r w:rsidRPr="00722EC0">
        <w:t xml:space="preserve"> (defined as ‘soft technology’).</w:t>
      </w:r>
    </w:p>
    <w:p w14:paraId="4C6ADF94" w14:textId="544CB15D" w:rsidR="00182E8E" w:rsidRPr="00722EC0" w:rsidRDefault="00182E8E" w:rsidP="00182E8E">
      <w:pPr>
        <w:pStyle w:val="BodyText"/>
      </w:pPr>
      <w:r w:rsidRPr="00722EC0">
        <w:t xml:space="preserve">Much of New Zealand’s support is a combination of endogenous and non-endogenous technology transfers. This helps ensure that technology transfer is implemented in country-specific ways, building on existing knowledge and practices, and using local governance structures. In recognition of this dual approach, this </w:t>
      </w:r>
      <w:r w:rsidR="009A3E49">
        <w:t>Biennial Transparency Report</w:t>
      </w:r>
      <w:r w:rsidR="009A3E49" w:rsidRPr="00722EC0">
        <w:t xml:space="preserve"> </w:t>
      </w:r>
      <w:r w:rsidRPr="00722EC0">
        <w:t xml:space="preserve">does not differentiate between endogenous and non-endogenous technology transfer. </w:t>
      </w:r>
    </w:p>
    <w:p w14:paraId="3B100390" w14:textId="77777777" w:rsidR="00182E8E" w:rsidRPr="00722EC0" w:rsidRDefault="00182E8E" w:rsidP="00EA02DE">
      <w:pPr>
        <w:pStyle w:val="Heading3"/>
        <w:numPr>
          <w:ilvl w:val="0"/>
          <w:numId w:val="69"/>
        </w:numPr>
        <w:tabs>
          <w:tab w:val="num" w:pos="1134"/>
        </w:tabs>
      </w:pPr>
      <w:bookmarkStart w:id="843" w:name="_Support_as_being"/>
      <w:bookmarkEnd w:id="843"/>
      <w:r w:rsidRPr="00722EC0">
        <w:t>Support as being climate-specific</w:t>
      </w:r>
    </w:p>
    <w:p w14:paraId="70657A22" w14:textId="77777777" w:rsidR="00182E8E" w:rsidRPr="00722EC0" w:rsidRDefault="00182E8E" w:rsidP="00182E8E">
      <w:pPr>
        <w:pStyle w:val="BodyText"/>
      </w:pPr>
      <w:bookmarkStart w:id="844" w:name="_Hlk175125089"/>
      <w:r w:rsidRPr="00722EC0">
        <w:t xml:space="preserve">New Zealand is committed to regular and transparent reporting of its climate-related support and to improving the tracking of its climate-related financial flows. Tracking and monitoring climate finance enables both donor and recipient countries to direct support to areas or sectors that offer the greatest mitigation and adaptation potential. This achieves the most effective outcomes and facilitates further climate finance and investment flows. </w:t>
      </w:r>
    </w:p>
    <w:p w14:paraId="000B6DDB" w14:textId="7D3AE7FE" w:rsidR="00182E8E" w:rsidRPr="00722EC0" w:rsidRDefault="00182E8E" w:rsidP="00182E8E">
      <w:pPr>
        <w:pStyle w:val="BodyText"/>
      </w:pPr>
      <w:r w:rsidRPr="00722EC0">
        <w:t xml:space="preserve">MFAT uses the DAC Rio Markers for tracking development assistance with climate change adaptation and mitigation outcomes. While the DAC Rio Markers capture the thematic objectives of each activity, they do </w:t>
      </w:r>
      <w:r w:rsidRPr="00722EC0">
        <w:rPr>
          <w:spacing w:val="-2"/>
        </w:rPr>
        <w:t>not quantify expenditure towards these objectives. New Zealand has built on the DAC Rio Markers</w:t>
      </w:r>
      <w:r w:rsidRPr="00722EC0">
        <w:t xml:space="preserve"> to create a system to quantify the climate-related support provided by the IDC Programme. This involves applying a nationally determined co-efficient and weighting for the proportion of the total cost that is considered climate-specific (see </w:t>
      </w:r>
      <w:hyperlink w:anchor="table41" w:history="1">
        <w:r w:rsidRPr="006B2D07">
          <w:rPr>
            <w:rStyle w:val="Hyperlink"/>
          </w:rPr>
          <w:t>table 4.1</w:t>
        </w:r>
      </w:hyperlink>
      <w:r w:rsidRPr="00722EC0">
        <w:t>).</w:t>
      </w:r>
    </w:p>
    <w:p w14:paraId="518215A4" w14:textId="2B8E46A0" w:rsidR="00182E8E" w:rsidRPr="00722EC0" w:rsidRDefault="00182E8E" w:rsidP="00182E8E">
      <w:pPr>
        <w:pStyle w:val="BodyText"/>
      </w:pPr>
      <w:r w:rsidRPr="00722EC0">
        <w:t>To qualify for scoring against a DAC Rio Marker as a ‘</w:t>
      </w:r>
      <w:r w:rsidRPr="00722EC0">
        <w:rPr>
          <w:rStyle w:val="Emphasis"/>
          <w:rFonts w:asciiTheme="minorHAnsi" w:hAnsiTheme="minorHAnsi" w:cstheme="minorHAnsi"/>
          <w:color w:val="212529"/>
        </w:rPr>
        <w:t>principal objective’</w:t>
      </w:r>
      <w:r w:rsidRPr="00722EC0">
        <w:t>, the objective (climate change mitigation, climate change adaptation) must be explicitly stated as fundamental in the design of, or motivation for, the action. Promoting the objective will thus be stated in the activity documentation to be one of the principal reasons for undertaking the action. In other words, the activity would not have been funded (or designed that way) but for that</w:t>
      </w:r>
      <w:r w:rsidR="00C77E06">
        <w:t> </w:t>
      </w:r>
      <w:r w:rsidRPr="00722EC0">
        <w:t>objective. Climate ‘principal’ activities have 100 per cent of their activity value reported as</w:t>
      </w:r>
      <w:r w:rsidR="00C77E06">
        <w:t> </w:t>
      </w:r>
      <w:r w:rsidRPr="00722EC0">
        <w:t>climate</w:t>
      </w:r>
      <w:r w:rsidR="00CE4681">
        <w:t xml:space="preserve"> </w:t>
      </w:r>
      <w:r w:rsidRPr="00722EC0">
        <w:t>specific.</w:t>
      </w:r>
    </w:p>
    <w:p w14:paraId="06851F6E" w14:textId="0C382E7C" w:rsidR="00182E8E" w:rsidRPr="00722EC0" w:rsidRDefault="00182E8E" w:rsidP="00182E8E">
      <w:pPr>
        <w:pStyle w:val="BodyText"/>
      </w:pPr>
      <w:r w:rsidRPr="00722EC0">
        <w:t>To qualify for scoring against a DAC Rio Marker as a </w:t>
      </w:r>
      <w:r w:rsidRPr="00722EC0">
        <w:rPr>
          <w:rStyle w:val="Emphasis"/>
          <w:rFonts w:asciiTheme="minorHAnsi" w:hAnsiTheme="minorHAnsi" w:cstheme="minorHAnsi"/>
          <w:color w:val="212529"/>
        </w:rPr>
        <w:t>‘significant objective’</w:t>
      </w:r>
      <w:r w:rsidRPr="00722EC0">
        <w:t>, the objective must also be explicitly stated but is not the fundamental driver or motivation for undertaking and designing the activity. The activity has other prime objectives but has been formulated or adjusted to help meet the relevant environmental concerns. Climate ‘significant’ activities generally have 30 per cent of the activity value reported as climate</w:t>
      </w:r>
      <w:r w:rsidR="00CE4681">
        <w:t xml:space="preserve"> </w:t>
      </w:r>
      <w:r w:rsidRPr="00722EC0">
        <w:t>specific. Disaster risk reduction and management activities also coded as adaptation ‘significant’ are reported with 50 per cent of the activity value as climate-specific due to their particularly strong climate adaptation connection.</w:t>
      </w:r>
    </w:p>
    <w:p w14:paraId="3C1380D3" w14:textId="1A35BE7B" w:rsidR="00182E8E" w:rsidRPr="00722EC0" w:rsidRDefault="00182E8E" w:rsidP="00182E8E">
      <w:pPr>
        <w:pStyle w:val="Tableheading"/>
        <w:spacing w:line="260" w:lineRule="atLeast"/>
      </w:pPr>
      <w:bookmarkStart w:id="845" w:name="table41"/>
      <w:bookmarkStart w:id="846" w:name="_Toc185407511"/>
      <w:bookmarkStart w:id="847" w:name="_Toc185427774"/>
      <w:r w:rsidRPr="00722EC0">
        <w:t>Table 4.1</w:t>
      </w:r>
      <w:bookmarkEnd w:id="845"/>
      <w:r w:rsidRPr="00722EC0">
        <w:t>:</w:t>
      </w:r>
      <w:r w:rsidRPr="00722EC0">
        <w:tab/>
        <w:t>Classifications and coefficients for quantifying and recording climate</w:t>
      </w:r>
      <w:r w:rsidR="00663B3E">
        <w:noBreakHyphen/>
      </w:r>
      <w:r w:rsidRPr="00722EC0">
        <w:t>related expenditure</w:t>
      </w:r>
      <w:bookmarkEnd w:id="846"/>
      <w:bookmarkEnd w:id="847"/>
    </w:p>
    <w:tbl>
      <w:tblPr>
        <w:tblW w:w="8505" w:type="dxa"/>
        <w:tblBorders>
          <w:top w:val="single" w:sz="4" w:space="0" w:color="1C556C"/>
          <w:bottom w:val="single" w:sz="4" w:space="0" w:color="1C556C"/>
          <w:insideH w:val="single" w:sz="4" w:space="0" w:color="1C556C"/>
          <w:insideV w:val="single" w:sz="4" w:space="0" w:color="1C556C"/>
        </w:tblBorders>
        <w:tblLayout w:type="fixed"/>
        <w:tblCellMar>
          <w:left w:w="85" w:type="dxa"/>
          <w:right w:w="85" w:type="dxa"/>
        </w:tblCellMar>
        <w:tblLook w:val="04A0" w:firstRow="1" w:lastRow="0" w:firstColumn="1" w:lastColumn="0" w:noHBand="0" w:noVBand="1"/>
      </w:tblPr>
      <w:tblGrid>
        <w:gridCol w:w="1184"/>
        <w:gridCol w:w="3999"/>
        <w:gridCol w:w="3322"/>
      </w:tblGrid>
      <w:tr w:rsidR="00182E8E" w:rsidRPr="00722EC0" w14:paraId="7DE152FB" w14:textId="77777777">
        <w:trPr>
          <w:tblHeader/>
        </w:trPr>
        <w:tc>
          <w:tcPr>
            <w:tcW w:w="1191" w:type="dxa"/>
            <w:tcBorders>
              <w:right w:val="single" w:sz="4" w:space="0" w:color="1C556C"/>
            </w:tcBorders>
            <w:shd w:val="clear" w:color="auto" w:fill="1C556C"/>
            <w:vAlign w:val="bottom"/>
          </w:tcPr>
          <w:p w14:paraId="5341EB87" w14:textId="77777777" w:rsidR="00182E8E" w:rsidRPr="00722EC0" w:rsidRDefault="00182E8E">
            <w:pPr>
              <w:pStyle w:val="TableTextbold"/>
              <w:rPr>
                <w:color w:val="FFFFFF" w:themeColor="background1"/>
              </w:rPr>
            </w:pPr>
            <w:r w:rsidRPr="00722EC0">
              <w:rPr>
                <w:color w:val="FFFFFF" w:themeColor="background1"/>
              </w:rPr>
              <w:t>Classification</w:t>
            </w:r>
          </w:p>
        </w:tc>
        <w:tc>
          <w:tcPr>
            <w:tcW w:w="4026" w:type="dxa"/>
            <w:tcBorders>
              <w:left w:val="single" w:sz="4" w:space="0" w:color="1C556C"/>
              <w:right w:val="single" w:sz="4" w:space="0" w:color="1C556C"/>
            </w:tcBorders>
            <w:shd w:val="clear" w:color="auto" w:fill="1C556C"/>
            <w:vAlign w:val="bottom"/>
          </w:tcPr>
          <w:p w14:paraId="22F581D2" w14:textId="77777777" w:rsidR="00182E8E" w:rsidRPr="00722EC0" w:rsidRDefault="00182E8E">
            <w:pPr>
              <w:pStyle w:val="TableTextbold"/>
              <w:rPr>
                <w:color w:val="FFFFFF" w:themeColor="background1"/>
              </w:rPr>
            </w:pPr>
            <w:r w:rsidRPr="00722EC0">
              <w:rPr>
                <w:color w:val="FFFFFF" w:themeColor="background1"/>
              </w:rPr>
              <w:t>Where addressing climate change is…</w:t>
            </w:r>
          </w:p>
        </w:tc>
        <w:tc>
          <w:tcPr>
            <w:tcW w:w="3345" w:type="dxa"/>
            <w:tcBorders>
              <w:left w:val="single" w:sz="4" w:space="0" w:color="1C556C"/>
            </w:tcBorders>
            <w:shd w:val="clear" w:color="auto" w:fill="1C556C"/>
            <w:vAlign w:val="bottom"/>
          </w:tcPr>
          <w:p w14:paraId="3F821EB8" w14:textId="77777777" w:rsidR="00182E8E" w:rsidRPr="00722EC0" w:rsidRDefault="00182E8E">
            <w:pPr>
              <w:pStyle w:val="TableTextbold"/>
              <w:rPr>
                <w:color w:val="FFFFFF" w:themeColor="background1"/>
              </w:rPr>
            </w:pPr>
            <w:r w:rsidRPr="00722EC0">
              <w:rPr>
                <w:color w:val="FFFFFF" w:themeColor="background1"/>
              </w:rPr>
              <w:t>Financial information recorded in the climate change inventory</w:t>
            </w:r>
          </w:p>
        </w:tc>
      </w:tr>
      <w:tr w:rsidR="00182E8E" w:rsidRPr="00722EC0" w14:paraId="29D1B10D" w14:textId="77777777">
        <w:tc>
          <w:tcPr>
            <w:tcW w:w="1191" w:type="dxa"/>
          </w:tcPr>
          <w:p w14:paraId="483954BB" w14:textId="77777777" w:rsidR="00182E8E" w:rsidRPr="00722EC0" w:rsidRDefault="00182E8E">
            <w:pPr>
              <w:pStyle w:val="TableText"/>
            </w:pPr>
            <w:r w:rsidRPr="00722EC0">
              <w:t>Principal</w:t>
            </w:r>
          </w:p>
        </w:tc>
        <w:tc>
          <w:tcPr>
            <w:tcW w:w="4026" w:type="dxa"/>
          </w:tcPr>
          <w:p w14:paraId="5A7452FD" w14:textId="77777777" w:rsidR="00182E8E" w:rsidRPr="00722EC0" w:rsidRDefault="00182E8E">
            <w:pPr>
              <w:pStyle w:val="TableText"/>
            </w:pPr>
            <w:r w:rsidRPr="00722EC0">
              <w:t>…one of the main outcomes of the activity</w:t>
            </w:r>
          </w:p>
          <w:p w14:paraId="3BA09192" w14:textId="77777777" w:rsidR="00182E8E" w:rsidRPr="00722EC0" w:rsidRDefault="00182E8E">
            <w:pPr>
              <w:pStyle w:val="TableText"/>
            </w:pPr>
            <w:r w:rsidRPr="00722EC0">
              <w:t>Addressing climate change risks or opportunities is fundamental to the design of the activity. The activity includes climate change as an important outcome. Climate change is explicitly addressed through specific outputs</w:t>
            </w:r>
          </w:p>
        </w:tc>
        <w:tc>
          <w:tcPr>
            <w:tcW w:w="3345" w:type="dxa"/>
          </w:tcPr>
          <w:p w14:paraId="19FD69D4" w14:textId="77777777" w:rsidR="00182E8E" w:rsidRPr="00722EC0" w:rsidRDefault="00182E8E">
            <w:pPr>
              <w:pStyle w:val="TableText"/>
            </w:pPr>
            <w:r w:rsidRPr="00722EC0">
              <w:t>100% of the activity value for the financial year</w:t>
            </w:r>
          </w:p>
        </w:tc>
      </w:tr>
      <w:tr w:rsidR="00182E8E" w:rsidRPr="00722EC0" w14:paraId="5585CA31" w14:textId="77777777">
        <w:tc>
          <w:tcPr>
            <w:tcW w:w="1191" w:type="dxa"/>
          </w:tcPr>
          <w:p w14:paraId="6C81FAB0" w14:textId="77777777" w:rsidR="00182E8E" w:rsidRPr="00722EC0" w:rsidRDefault="00182E8E">
            <w:pPr>
              <w:pStyle w:val="TableText"/>
            </w:pPr>
            <w:r w:rsidRPr="00722EC0">
              <w:t>Significant</w:t>
            </w:r>
          </w:p>
        </w:tc>
        <w:tc>
          <w:tcPr>
            <w:tcW w:w="4026" w:type="dxa"/>
          </w:tcPr>
          <w:p w14:paraId="517B3044" w14:textId="77777777" w:rsidR="00182E8E" w:rsidRPr="00722EC0" w:rsidRDefault="00182E8E">
            <w:pPr>
              <w:pStyle w:val="TableText"/>
            </w:pPr>
            <w:r w:rsidRPr="00722EC0">
              <w:t>…one of the outcomes of the activity</w:t>
            </w:r>
          </w:p>
          <w:p w14:paraId="7DF78421" w14:textId="77777777" w:rsidR="00182E8E" w:rsidRPr="00722EC0" w:rsidRDefault="00182E8E">
            <w:pPr>
              <w:pStyle w:val="TableText"/>
            </w:pPr>
            <w:r w:rsidRPr="00722EC0">
              <w:t>Addressing climate change risks or opportunities is an important but not the principal reason for undertaking the activity. Climate change is explicitly addressed as part of the outputs in the activity design, these do more than simply avoid a potential negative impact</w:t>
            </w:r>
          </w:p>
        </w:tc>
        <w:tc>
          <w:tcPr>
            <w:tcW w:w="3345" w:type="dxa"/>
          </w:tcPr>
          <w:p w14:paraId="1B94E79E" w14:textId="77777777" w:rsidR="00182E8E" w:rsidRPr="00722EC0" w:rsidRDefault="00182E8E">
            <w:pPr>
              <w:pStyle w:val="TableText"/>
            </w:pPr>
            <w:r w:rsidRPr="00722EC0">
              <w:t>30% of the activity value for the financial year unless either:</w:t>
            </w:r>
          </w:p>
          <w:p w14:paraId="3A86552A" w14:textId="77777777" w:rsidR="00182E8E" w:rsidRPr="00722EC0" w:rsidRDefault="00182E8E">
            <w:pPr>
              <w:pStyle w:val="TableText"/>
              <w:spacing w:before="0"/>
              <w:ind w:left="284" w:hanging="284"/>
            </w:pPr>
            <w:r w:rsidRPr="00722EC0">
              <w:t>1.</w:t>
            </w:r>
            <w:r w:rsidRPr="00722EC0">
              <w:tab/>
              <w:t>a more accurate figure is known, or</w:t>
            </w:r>
          </w:p>
          <w:p w14:paraId="4E7E1203" w14:textId="77777777" w:rsidR="00182E8E" w:rsidRPr="00722EC0" w:rsidRDefault="00182E8E">
            <w:pPr>
              <w:pStyle w:val="TableText"/>
              <w:spacing w:before="0"/>
              <w:ind w:left="284" w:hanging="284"/>
            </w:pPr>
            <w:r w:rsidRPr="00722EC0">
              <w:t>2.</w:t>
            </w:r>
            <w:r w:rsidRPr="00722EC0">
              <w:tab/>
              <w:t xml:space="preserve">a different default figure is specified for the particular activity type. This is applicable for activities that contribute to disaster risk reduction and management, to which 50% of the activity value is attributed </w:t>
            </w:r>
          </w:p>
        </w:tc>
      </w:tr>
      <w:tr w:rsidR="00182E8E" w:rsidRPr="00722EC0" w14:paraId="43F6493F" w14:textId="77777777">
        <w:tc>
          <w:tcPr>
            <w:tcW w:w="1191" w:type="dxa"/>
          </w:tcPr>
          <w:p w14:paraId="08AA901F" w14:textId="77777777" w:rsidR="00182E8E" w:rsidRPr="00722EC0" w:rsidRDefault="00182E8E">
            <w:pPr>
              <w:pStyle w:val="TableText"/>
            </w:pPr>
            <w:r w:rsidRPr="00722EC0">
              <w:t>Not targeted</w:t>
            </w:r>
          </w:p>
        </w:tc>
        <w:tc>
          <w:tcPr>
            <w:tcW w:w="4026" w:type="dxa"/>
          </w:tcPr>
          <w:p w14:paraId="1267B255" w14:textId="77777777" w:rsidR="00182E8E" w:rsidRPr="00722EC0" w:rsidRDefault="00182E8E">
            <w:pPr>
              <w:pStyle w:val="TableText"/>
            </w:pPr>
            <w:r w:rsidRPr="00722EC0">
              <w:t>…not an outcome of the activity</w:t>
            </w:r>
          </w:p>
          <w:p w14:paraId="2F311BC8" w14:textId="77777777" w:rsidR="00182E8E" w:rsidRPr="00722EC0" w:rsidRDefault="00182E8E">
            <w:pPr>
              <w:pStyle w:val="TableText"/>
            </w:pPr>
            <w:r w:rsidRPr="00722EC0">
              <w:t>Climate change opportunities and risks have been assessed but will not be significantly addressed through any of the outputs in the Results Framework</w:t>
            </w:r>
          </w:p>
        </w:tc>
        <w:tc>
          <w:tcPr>
            <w:tcW w:w="3345" w:type="dxa"/>
          </w:tcPr>
          <w:p w14:paraId="0A038447" w14:textId="77777777" w:rsidR="00182E8E" w:rsidRPr="00722EC0" w:rsidRDefault="00182E8E">
            <w:pPr>
              <w:pStyle w:val="TableText"/>
            </w:pPr>
            <w:r w:rsidRPr="00722EC0">
              <w:t>0% of the activity value for the financial year</w:t>
            </w:r>
          </w:p>
        </w:tc>
      </w:tr>
    </w:tbl>
    <w:p w14:paraId="5A64CB3B" w14:textId="77777777" w:rsidR="00182E8E" w:rsidRPr="00722EC0" w:rsidRDefault="00182E8E" w:rsidP="00182E8E">
      <w:pPr>
        <w:pStyle w:val="BodyText"/>
        <w:spacing w:before="240"/>
        <w:rPr>
          <w:caps/>
        </w:rPr>
      </w:pPr>
      <w:r w:rsidRPr="00722EC0">
        <w:t xml:space="preserve">Along with the criteria in table 4.1, specific types of activities supported by the IDC Programme have specific weightings. </w:t>
      </w:r>
    </w:p>
    <w:bookmarkEnd w:id="844"/>
    <w:p w14:paraId="67D56C00" w14:textId="77777777" w:rsidR="00182E8E" w:rsidRPr="00722EC0" w:rsidRDefault="00182E8E" w:rsidP="00AE7BC5">
      <w:pPr>
        <w:pStyle w:val="Heading3"/>
        <w:numPr>
          <w:ilvl w:val="0"/>
          <w:numId w:val="69"/>
        </w:numPr>
        <w:tabs>
          <w:tab w:val="num" w:pos="1134"/>
        </w:tabs>
        <w:ind w:left="1134" w:hanging="1134"/>
      </w:pPr>
      <w:r w:rsidRPr="00722EC0">
        <w:t>Information on the efforts taken to avoid double counting</w:t>
      </w:r>
    </w:p>
    <w:p w14:paraId="019D267A" w14:textId="77777777" w:rsidR="00182E8E" w:rsidRPr="00722EC0" w:rsidRDefault="00182E8E" w:rsidP="00182E8E">
      <w:pPr>
        <w:pStyle w:val="BodyText"/>
      </w:pPr>
      <w:r w:rsidRPr="00722EC0">
        <w:t>New Zealand endeavours to ensure no double counting occurs of the financial support it provides. By only reporting the resources disbursed through the IDC Programme, we ensure we are not double-counting resources of other Parties, including when multiple Parties are providing support for the same activity.</w:t>
      </w:r>
    </w:p>
    <w:p w14:paraId="04D9CE12" w14:textId="77777777" w:rsidR="00182E8E" w:rsidRPr="00722EC0" w:rsidRDefault="00182E8E" w:rsidP="00182E8E">
      <w:pPr>
        <w:pStyle w:val="BodyText"/>
      </w:pPr>
      <w:r w:rsidRPr="00722EC0">
        <w:t>For support provided to activities involving multiple recipient countries, New Zealand reports this at a regional or multi-country level, as appropriate, to avoid double-counting risks associated with reporting at a country-by-country level.</w:t>
      </w:r>
    </w:p>
    <w:p w14:paraId="32C34169" w14:textId="77777777" w:rsidR="00182E8E" w:rsidRPr="00722EC0" w:rsidRDefault="00182E8E" w:rsidP="00182E8E">
      <w:pPr>
        <w:pStyle w:val="BodyText"/>
      </w:pPr>
      <w:r w:rsidRPr="00722EC0">
        <w:t>We have not reported any mobilisation of private finance or resources used under Article 6 of the Paris Agreement. As such, no risk of double counting exists in this regard.</w:t>
      </w:r>
    </w:p>
    <w:p w14:paraId="07B13950" w14:textId="2558B420" w:rsidR="00182E8E" w:rsidRPr="00722EC0" w:rsidRDefault="00182E8E" w:rsidP="005B32FE">
      <w:pPr>
        <w:pStyle w:val="Heading3"/>
        <w:numPr>
          <w:ilvl w:val="0"/>
          <w:numId w:val="69"/>
        </w:numPr>
        <w:tabs>
          <w:tab w:val="num" w:pos="1134"/>
        </w:tabs>
        <w:ind w:left="1134" w:hanging="1134"/>
      </w:pPr>
      <w:r w:rsidRPr="00722EC0">
        <w:t>Definition of public and private finance, in</w:t>
      </w:r>
      <w:r w:rsidR="00293351">
        <w:t> </w:t>
      </w:r>
      <w:r w:rsidRPr="00722EC0">
        <w:t>particular where entities or funds are mixed</w:t>
      </w:r>
    </w:p>
    <w:p w14:paraId="34F07649" w14:textId="220F8A50" w:rsidR="00182E8E" w:rsidRPr="00722EC0" w:rsidRDefault="00182E8E" w:rsidP="00182E8E">
      <w:pPr>
        <w:pStyle w:val="BodyText"/>
      </w:pPr>
      <w:r w:rsidRPr="00722EC0">
        <w:t>New Zealand is only reporting public grant-based finance during this reporting period. This</w:t>
      </w:r>
      <w:r w:rsidR="00DB5F50">
        <w:t> </w:t>
      </w:r>
      <w:r w:rsidRPr="00722EC0">
        <w:t>is</w:t>
      </w:r>
      <w:r w:rsidR="00DB5F50">
        <w:t> </w:t>
      </w:r>
      <w:r w:rsidRPr="00722EC0">
        <w:t>defined as financial resources provided by the Government of New Zealand.</w:t>
      </w:r>
    </w:p>
    <w:p w14:paraId="07F6A3E7" w14:textId="77777777" w:rsidR="00182E8E" w:rsidRPr="00722EC0" w:rsidRDefault="00182E8E" w:rsidP="00AE7BC5">
      <w:pPr>
        <w:pStyle w:val="Heading3"/>
        <w:numPr>
          <w:ilvl w:val="0"/>
          <w:numId w:val="69"/>
        </w:numPr>
        <w:tabs>
          <w:tab w:val="num" w:pos="1134"/>
        </w:tabs>
        <w:ind w:left="1134" w:hanging="1134"/>
      </w:pPr>
      <w:r w:rsidRPr="00722EC0">
        <w:t xml:space="preserve">How private finance was assessed as mobilised through public interventions </w:t>
      </w:r>
    </w:p>
    <w:p w14:paraId="1BFA9ACB" w14:textId="10333082" w:rsidR="00182E8E" w:rsidRPr="00722EC0" w:rsidRDefault="00182E8E" w:rsidP="00182E8E">
      <w:pPr>
        <w:pStyle w:val="BodyText"/>
      </w:pPr>
      <w:r w:rsidRPr="00722EC0">
        <w:t>New Zealand has not tracked, and is not reporting, the quantum of private finance mobilised</w:t>
      </w:r>
      <w:r w:rsidR="00CF5132">
        <w:t> </w:t>
      </w:r>
      <w:r w:rsidRPr="00722EC0">
        <w:t>by its public interventions in this reporting period. However, New Zealand’s IDC Programme supports the private sector to transition to a green economy by strengthening the</w:t>
      </w:r>
      <w:r w:rsidR="00CF5132">
        <w:t> </w:t>
      </w:r>
      <w:r w:rsidRPr="00722EC0">
        <w:t xml:space="preserve">enabling policy environment, catalysing investment and providing technical assistance across industry sectors. </w:t>
      </w:r>
    </w:p>
    <w:p w14:paraId="78110C9C" w14:textId="77777777" w:rsidR="00182E8E" w:rsidRPr="00722EC0" w:rsidRDefault="00182E8E" w:rsidP="00182E8E">
      <w:pPr>
        <w:pStyle w:val="BodyText"/>
      </w:pPr>
      <w:r w:rsidRPr="00722EC0">
        <w:t xml:space="preserve">For the 2022–25 commitment period, New Zealand is taking deliberate steps to mobilise private climate finance through several activities. We expect to start reporting on these efforts in the second BTR. </w:t>
      </w:r>
    </w:p>
    <w:p w14:paraId="411DC155" w14:textId="35F04E36" w:rsidR="00182E8E" w:rsidRPr="00722EC0" w:rsidRDefault="00182E8E" w:rsidP="005B32FE">
      <w:pPr>
        <w:pStyle w:val="Heading3"/>
        <w:numPr>
          <w:ilvl w:val="0"/>
          <w:numId w:val="69"/>
        </w:numPr>
        <w:tabs>
          <w:tab w:val="num" w:pos="1134"/>
        </w:tabs>
        <w:ind w:left="1134" w:hanging="1134"/>
      </w:pPr>
      <w:r w:rsidRPr="00722EC0">
        <w:t>How New Zealand seeks to ensure that support provided and mobilised through public interventions effectively addresses the needs and priorities of developing country Parties for the implementation</w:t>
      </w:r>
      <w:r w:rsidR="00394972">
        <w:t xml:space="preserve"> </w:t>
      </w:r>
      <w:r w:rsidRPr="00722EC0">
        <w:t>of the Paris Agreement</w:t>
      </w:r>
    </w:p>
    <w:p w14:paraId="2D8EB777" w14:textId="77777777" w:rsidR="00182E8E" w:rsidRPr="00722EC0" w:rsidRDefault="00182E8E" w:rsidP="00182E8E">
      <w:pPr>
        <w:pStyle w:val="BodyText"/>
        <w:spacing w:before="100" w:after="100"/>
      </w:pPr>
      <w:bookmarkStart w:id="848" w:name="_Hlk174537979"/>
      <w:r w:rsidRPr="00722EC0">
        <w:t xml:space="preserve">New Zealand delivered its climate-related support as part of activities designed to achieve sustainable, inclusive and resilient development outcomes that meet the aspirations and needs that partner countries identified, consistent with international best practice. </w:t>
      </w:r>
    </w:p>
    <w:p w14:paraId="5721250C" w14:textId="77777777" w:rsidR="00182E8E" w:rsidRPr="00722EC0" w:rsidRDefault="00182E8E" w:rsidP="00182E8E">
      <w:pPr>
        <w:pStyle w:val="BodyText"/>
        <w:spacing w:before="100" w:after="100"/>
      </w:pPr>
      <w:r w:rsidRPr="00722EC0">
        <w:t xml:space="preserve">At the heart of this approach are country partnerships. New Zealand develops bilateral statements of partnership, and four-year plans are based on partner countries’ national plans and self-identified needs and priorities. These then guide the provision of support to partner countries. New Zealand also conducts regular monitoring of its climate-related support to assess each activity’s effectiveness in addressing the needs and priorities of developing country Parties. </w:t>
      </w:r>
    </w:p>
    <w:bookmarkEnd w:id="848"/>
    <w:p w14:paraId="2D972EE1" w14:textId="1D3D1A5F" w:rsidR="00182E8E" w:rsidRPr="00722EC0" w:rsidRDefault="00182E8E" w:rsidP="00182E8E">
      <w:pPr>
        <w:pStyle w:val="BodyText"/>
        <w:spacing w:before="100" w:after="100"/>
      </w:pPr>
      <w:r w:rsidRPr="00722EC0">
        <w:t>New Zealand has also heard the calls from partners, including in the Pacific, for more flexible</w:t>
      </w:r>
      <w:r w:rsidR="00CF5132">
        <w:t xml:space="preserve"> </w:t>
      </w:r>
      <w:r w:rsidRPr="00722EC0">
        <w:t xml:space="preserve">financing arrangements that allow them to take ownership of their climate response. In response, New Zealand has initiated a flexible finance programme that provides untagged climate finance to selected countries in the Pacific to enable them to deliver on their climate priorities. We expect to report further on this initiative in the second </w:t>
      </w:r>
      <w:r w:rsidR="00611C38">
        <w:t>Biennial Transparency Report</w:t>
      </w:r>
      <w:r w:rsidRPr="00722EC0">
        <w:t>.</w:t>
      </w:r>
    </w:p>
    <w:p w14:paraId="1BEE2856" w14:textId="77777777" w:rsidR="00182E8E" w:rsidRPr="00722EC0" w:rsidRDefault="00182E8E" w:rsidP="00182E8E">
      <w:pPr>
        <w:pStyle w:val="BodyText"/>
        <w:spacing w:before="100" w:after="100"/>
        <w:rPr>
          <w:highlight w:val="yellow"/>
        </w:rPr>
      </w:pPr>
      <w:r w:rsidRPr="00722EC0">
        <w:t>Further information is given below on how New Zealand’s support during the reporting period addressed the specific needs and priorities of developing countries in relation to adaptation, climate mobility, and loss and damage.</w:t>
      </w:r>
    </w:p>
    <w:p w14:paraId="1A8E205E" w14:textId="77777777" w:rsidR="00182E8E" w:rsidRPr="00722EC0" w:rsidRDefault="00182E8E" w:rsidP="00EA02DE">
      <w:pPr>
        <w:pStyle w:val="Heading4"/>
        <w:numPr>
          <w:ilvl w:val="0"/>
          <w:numId w:val="72"/>
        </w:numPr>
      </w:pPr>
      <w:r w:rsidRPr="00722EC0">
        <w:t>Adaptation</w:t>
      </w:r>
    </w:p>
    <w:p w14:paraId="597C87AB" w14:textId="6CD356DC" w:rsidR="00182E8E" w:rsidRPr="00722EC0" w:rsidRDefault="00182E8E" w:rsidP="00182E8E">
      <w:pPr>
        <w:pStyle w:val="BodyText"/>
        <w:spacing w:before="100" w:after="100"/>
      </w:pPr>
      <w:r w:rsidRPr="00722EC0">
        <w:t xml:space="preserve">New Zealand recognises adaptation as one of the pressing needs and priorities of developing countries vulnerable to the impacts of climate change, particularly small island developing states and least developed countries. New Zealand spent </w:t>
      </w:r>
      <w:r w:rsidR="001778E3" w:rsidRPr="001778E3">
        <w:t>NZ$124,881,101</w:t>
      </w:r>
      <w:r w:rsidRPr="00722EC0">
        <w:t xml:space="preserve"> on climate adaptation, and an additional NZ$</w:t>
      </w:r>
      <w:r w:rsidR="00D56473" w:rsidRPr="00D56473">
        <w:t xml:space="preserve">94,661,193 </w:t>
      </w:r>
      <w:r w:rsidRPr="00722EC0">
        <w:t>on cross-cutting activities, over the 2021 and 2022 reporting period. New Zealand works with partner countries, regional agencies and multilateral funds to shape and deliver activities that reduce the vulnerability of human or natural systems to the impacts of climate change and increase community resilience and adaptive capacity. Activities are designed in response to the priorities of individual countries, within the context of their national and regional plans, strategies and frameworks.</w:t>
      </w:r>
    </w:p>
    <w:p w14:paraId="196D9CF1" w14:textId="77777777" w:rsidR="00182E8E" w:rsidRPr="00722EC0" w:rsidRDefault="00182E8E" w:rsidP="00182E8E">
      <w:pPr>
        <w:pStyle w:val="BodyText"/>
      </w:pPr>
      <w:r w:rsidRPr="00722EC0">
        <w:t>Significant initiatives supported for climate change adaptation, disaster risk management and resilience building during 2021–22 included:</w:t>
      </w:r>
    </w:p>
    <w:p w14:paraId="1D2A79A8" w14:textId="77777777" w:rsidR="00182E8E" w:rsidRPr="00722EC0" w:rsidRDefault="00182E8E" w:rsidP="00182E8E">
      <w:pPr>
        <w:pStyle w:val="Bullet"/>
      </w:pPr>
      <w:r w:rsidRPr="00722EC0">
        <w:t>reducing the risk of water scarcity in atoll countries by enabling water-scarce communities to actively manage resources to improve resilience</w:t>
      </w:r>
    </w:p>
    <w:p w14:paraId="0189ED0A" w14:textId="77777777" w:rsidR="00182E8E" w:rsidRPr="00722EC0" w:rsidRDefault="00182E8E" w:rsidP="00182E8E">
      <w:pPr>
        <w:pStyle w:val="Bullet"/>
      </w:pPr>
      <w:r w:rsidRPr="00722EC0">
        <w:t xml:space="preserve">mainstreaming risk-based analysis of government planning by incorporating climate change into governance systems for planning, budgeting and programme management purposes. Interventions are targeted at national and subnational levels in several Pacific Island countries </w:t>
      </w:r>
    </w:p>
    <w:p w14:paraId="2357454B" w14:textId="77777777" w:rsidR="00182E8E" w:rsidRPr="00722EC0" w:rsidRDefault="00182E8E" w:rsidP="00182E8E">
      <w:pPr>
        <w:pStyle w:val="Bullet"/>
      </w:pPr>
      <w:r w:rsidRPr="00722EC0">
        <w:t>improving ecosystem resilience, through contributions to the Pacific Regional ‘Kiwa Initiative: Nature-based Solutions for Climate Resilience’. This initiative aims to strengthen Pacific Island ecosystems, economies and communities to become more resilient to the impacts of climate change.</w:t>
      </w:r>
    </w:p>
    <w:p w14:paraId="660A0B9D" w14:textId="77777777" w:rsidR="00182E8E" w:rsidRPr="00722EC0" w:rsidRDefault="00182E8E" w:rsidP="00182E8E">
      <w:pPr>
        <w:pStyle w:val="BodyText"/>
        <w:spacing w:before="100"/>
      </w:pPr>
      <w:r w:rsidRPr="00722EC0">
        <w:t xml:space="preserve">In supporting the needs and priorities of developing countries, New Zealand recognises how adaptation and disaster risk reduction are closely related processes because both aim to </w:t>
      </w:r>
      <w:r w:rsidRPr="00722EC0">
        <w:rPr>
          <w:spacing w:val="-2"/>
        </w:rPr>
        <w:t>reduce vulnerability to short-term acute hazards and longer-term chronic hazards. For example</w:t>
      </w:r>
      <w:r w:rsidRPr="00722EC0">
        <w:t>, New Zealand supports the Pacific’s approach, as stated in the Framework for Resilient Development in the Pacific, of integrating disaster risk reduction and climate adaptation.</w:t>
      </w:r>
      <w:r w:rsidRPr="00722EC0">
        <w:rPr>
          <w:rStyle w:val="FootnoteReference"/>
        </w:rPr>
        <w:footnoteReference w:id="312"/>
      </w:r>
      <w:r w:rsidRPr="00722EC0">
        <w:t xml:space="preserve"> </w:t>
      </w:r>
    </w:p>
    <w:p w14:paraId="2A6C6250" w14:textId="77777777" w:rsidR="00182E8E" w:rsidRPr="00722EC0" w:rsidRDefault="00182E8E" w:rsidP="00EA02DE">
      <w:pPr>
        <w:pStyle w:val="Heading4"/>
        <w:numPr>
          <w:ilvl w:val="0"/>
          <w:numId w:val="72"/>
        </w:numPr>
      </w:pPr>
      <w:r w:rsidRPr="00722EC0">
        <w:t>Loss and damage</w:t>
      </w:r>
    </w:p>
    <w:p w14:paraId="1B0451CF" w14:textId="77777777" w:rsidR="00182E8E" w:rsidRPr="00722EC0" w:rsidRDefault="00182E8E" w:rsidP="00182E8E">
      <w:pPr>
        <w:pStyle w:val="BodyText"/>
        <w:spacing w:before="100"/>
      </w:pPr>
      <w:r w:rsidRPr="00722EC0">
        <w:t>New Zealand also recognises that the continuum of needs of developing countries extends beyond adaptation and to responding to loss and damage. This is evident in the Pacific, where the island countries are some of the most exposed in the world to the impacts of climate change. The indications are that some locations have exceeded their adaptation limits already and economic and non-economic losses and damages are becoming increasingly apparent.</w:t>
      </w:r>
    </w:p>
    <w:p w14:paraId="0FC33543" w14:textId="77777777" w:rsidR="00182E8E" w:rsidRPr="00722EC0" w:rsidRDefault="00182E8E" w:rsidP="00182E8E">
      <w:pPr>
        <w:pStyle w:val="BodyText"/>
        <w:spacing w:before="100"/>
      </w:pPr>
      <w:r w:rsidRPr="00722EC0">
        <w:t>Most of New Zealand’s adaptation work supports the Pacific to build the resilience of its communities, livelihoods and ecosystems and helps to minimise the loss and damage associated with climate change. It also supports work on early warning systems to prepare for hazards, and financial preparedness and resilience, such as in the following examples.</w:t>
      </w:r>
    </w:p>
    <w:p w14:paraId="4EDF149E" w14:textId="77777777" w:rsidR="00182E8E" w:rsidRPr="00722EC0" w:rsidRDefault="00182E8E" w:rsidP="00182E8E">
      <w:pPr>
        <w:pStyle w:val="Bullet"/>
      </w:pPr>
      <w:r w:rsidRPr="00722EC0">
        <w:t>The Averting Water-related Emergencies activity, which creates effective early warning systems by supporting Pacific Island countries to anticipate and prepare for water-related emergencies through understanding their vulnerability.</w:t>
      </w:r>
    </w:p>
    <w:p w14:paraId="5F26E3F6" w14:textId="02B837ED" w:rsidR="00182E8E" w:rsidRPr="00722EC0" w:rsidRDefault="00182E8E" w:rsidP="00182E8E">
      <w:pPr>
        <w:pStyle w:val="Bullet"/>
      </w:pPr>
      <w:r w:rsidRPr="00722EC0">
        <w:t>Support to the Pacific Community (SPC) to establish the Pacific Community Centre for Ocean Science. The centre brings together scientific data and expertise and makes them more readily available to decision-makers in the region. This provides a platform to coordinate and integrate ocean science activities with international and regional partners to understand and respond to loss and damage occurring in marine environments, such as the migration of fish stocks and sea</w:t>
      </w:r>
      <w:r w:rsidR="009C0662">
        <w:t>-</w:t>
      </w:r>
      <w:r w:rsidRPr="00722EC0">
        <w:t xml:space="preserve">level rise. </w:t>
      </w:r>
    </w:p>
    <w:p w14:paraId="72044A27" w14:textId="77777777" w:rsidR="00182E8E" w:rsidRPr="00722EC0" w:rsidRDefault="00182E8E" w:rsidP="00182E8E">
      <w:pPr>
        <w:pStyle w:val="Bullet"/>
      </w:pPr>
      <w:r w:rsidRPr="00722EC0">
        <w:t>Support to the Pacific Insurance and Climate Adaptation Programme, which improves the financial preparedness and resilience of Pacific peoples to respond to economic loss and damage resulting from climate change and natural hazards.</w:t>
      </w:r>
    </w:p>
    <w:p w14:paraId="299DA8B0" w14:textId="70463844" w:rsidR="00182E8E" w:rsidRPr="00722EC0" w:rsidRDefault="00182E8E" w:rsidP="00182E8E">
      <w:pPr>
        <w:pStyle w:val="BodyText"/>
      </w:pPr>
      <w:r w:rsidRPr="00722EC0">
        <w:t xml:space="preserve">New Zealand has also started designing and implementing activities specifically aimed at addressing loss and damage. This includes the commitment of NZ$20 million made at the 27th Conference of the Parties (COP27) in 2022. An internal system for tagging and tracking climate finance related to loss and damage is under development and we expect to begin reporting on support for responding to loss and damage more systematically in the second </w:t>
      </w:r>
      <w:r w:rsidR="00CB31CD">
        <w:t>Biennial Transparency Report</w:t>
      </w:r>
      <w:r w:rsidRPr="00722EC0">
        <w:t xml:space="preserve">. </w:t>
      </w:r>
    </w:p>
    <w:p w14:paraId="205D3EC8" w14:textId="77777777" w:rsidR="00182E8E" w:rsidRPr="00722EC0" w:rsidRDefault="00182E8E" w:rsidP="00EA02DE">
      <w:pPr>
        <w:pStyle w:val="Heading4"/>
        <w:numPr>
          <w:ilvl w:val="0"/>
          <w:numId w:val="72"/>
        </w:numPr>
      </w:pPr>
      <w:r w:rsidRPr="00722EC0">
        <w:t>Climate mobility</w:t>
      </w:r>
    </w:p>
    <w:p w14:paraId="343E4624" w14:textId="77777777" w:rsidR="00182E8E" w:rsidRPr="00722EC0" w:rsidRDefault="00182E8E" w:rsidP="00182E8E">
      <w:pPr>
        <w:pStyle w:val="BodyText"/>
      </w:pPr>
      <w:r w:rsidRPr="00722EC0">
        <w:t xml:space="preserve">Another specific need and priority expressed by developing countries that relates to both </w:t>
      </w:r>
      <w:r w:rsidRPr="00722EC0">
        <w:rPr>
          <w:spacing w:val="-2"/>
        </w:rPr>
        <w:t>adaptation and loss and damage is climate mobility and displacement. This is already a pressing</w:t>
      </w:r>
      <w:r w:rsidRPr="00722EC0">
        <w:t xml:space="preserve"> concern in the Pacific. In 2018, New Zealand developed a plan to take early and collaborative action on climate mobility. This plan recognises the importance of the perspectives of Pacific peoples, including their desire to live in their own country, where possible. </w:t>
      </w:r>
    </w:p>
    <w:p w14:paraId="5415917E" w14:textId="77777777" w:rsidR="00182E8E" w:rsidRPr="00722EC0" w:rsidRDefault="00182E8E" w:rsidP="00182E8E">
      <w:pPr>
        <w:pStyle w:val="BodyText"/>
      </w:pPr>
      <w:r w:rsidRPr="00722EC0">
        <w:t>As part of that plan, New Zealand supported activities during 2021 and 2022 to avert and delay climate-related displacement and prepare people for climate migration where that may be necessary. This included:</w:t>
      </w:r>
    </w:p>
    <w:p w14:paraId="5A7B7460" w14:textId="77777777" w:rsidR="00182E8E" w:rsidRPr="00722EC0" w:rsidRDefault="00182E8E" w:rsidP="00182E8E">
      <w:pPr>
        <w:pStyle w:val="Bullet"/>
      </w:pPr>
      <w:r w:rsidRPr="00722EC0">
        <w:t>conducting a comprehensive scoping study to inform the procurement of research to better understand future climate migration trends and the social and economic impacts on New Zealand and Pacific Island countries</w:t>
      </w:r>
    </w:p>
    <w:p w14:paraId="4D2C6C67" w14:textId="515736AE" w:rsidR="00182E8E" w:rsidRPr="00722EC0" w:rsidRDefault="00182E8E" w:rsidP="00182E8E">
      <w:pPr>
        <w:pStyle w:val="Bullet"/>
      </w:pPr>
      <w:r w:rsidRPr="00722EC0">
        <w:t>supporting a peace-building</w:t>
      </w:r>
      <w:r w:rsidR="00B016E7">
        <w:t>,</w:t>
      </w:r>
      <w:r w:rsidRPr="00722EC0">
        <w:t xml:space="preserve"> non-governmental organisation to help communities in Fiji to prevent and manage conflicts that may result from displacement and relocations related to climate change</w:t>
      </w:r>
    </w:p>
    <w:p w14:paraId="3C4789FA" w14:textId="77777777" w:rsidR="00182E8E" w:rsidRPr="00722EC0" w:rsidRDefault="00182E8E" w:rsidP="00182E8E">
      <w:pPr>
        <w:pStyle w:val="Bullet"/>
      </w:pPr>
      <w:r w:rsidRPr="00722EC0">
        <w:t>supporting the Government of Fiji to establish the Fiji Relocation Trust Fund to provide internal relocation assistance to Fijian communities</w:t>
      </w:r>
    </w:p>
    <w:p w14:paraId="1F851E81" w14:textId="77777777" w:rsidR="00182E8E" w:rsidRPr="00722EC0" w:rsidRDefault="00182E8E" w:rsidP="00182E8E">
      <w:pPr>
        <w:pStyle w:val="Bullet"/>
      </w:pPr>
      <w:r w:rsidRPr="00722EC0">
        <w:t>funding a consortium of United Nations and international organisations, led by the International Organization for Migration, to strengthen the capacity and coordination of Pacific governments and non-government actors in their approach to climate mobility.</w:t>
      </w:r>
    </w:p>
    <w:p w14:paraId="50EFF6CE" w14:textId="2D96546E" w:rsidR="00182E8E" w:rsidRPr="00722EC0" w:rsidRDefault="00182E8E" w:rsidP="005B32FE">
      <w:pPr>
        <w:pStyle w:val="Heading3"/>
        <w:numPr>
          <w:ilvl w:val="0"/>
          <w:numId w:val="69"/>
        </w:numPr>
        <w:tabs>
          <w:tab w:val="num" w:pos="1134"/>
        </w:tabs>
        <w:ind w:left="1134" w:hanging="1134"/>
      </w:pPr>
      <w:r w:rsidRPr="00722EC0">
        <w:t>How New Zealand seeks to ensure support provided and mobilised through public interventions is in</w:t>
      </w:r>
      <w:r w:rsidR="00E1656C">
        <w:t> </w:t>
      </w:r>
      <w:r w:rsidRPr="00722EC0">
        <w:t xml:space="preserve">line with the long-term goals of the Paris Agreement </w:t>
      </w:r>
    </w:p>
    <w:p w14:paraId="20DC22AA" w14:textId="2A5D2457" w:rsidR="00182E8E" w:rsidRPr="00722EC0" w:rsidRDefault="00182E8E" w:rsidP="00182E8E">
      <w:pPr>
        <w:pStyle w:val="BodyText"/>
      </w:pPr>
      <w:r w:rsidRPr="00722EC0">
        <w:t>New Zealand’s climate finance is carefully programmed to ensure it aligns with the three long</w:t>
      </w:r>
      <w:r w:rsidR="005E5CA9">
        <w:noBreakHyphen/>
      </w:r>
      <w:r w:rsidRPr="00722EC0">
        <w:t>term goals of the Paris Agreement. This is done in several ways.</w:t>
      </w:r>
    </w:p>
    <w:p w14:paraId="382AA7D4" w14:textId="77777777" w:rsidR="00182E8E" w:rsidRPr="00722EC0" w:rsidRDefault="00182E8E" w:rsidP="00182E8E">
      <w:pPr>
        <w:pStyle w:val="BodyText"/>
      </w:pPr>
      <w:r w:rsidRPr="00722EC0">
        <w:t>First, a country-partnership approach, including supporting programmes aligned to partners’ Nationally Determined Contributions and national adaptation plans, helps ensure support flows to those countries’ national efforts towards delivering on the Paris Agreement.</w:t>
      </w:r>
    </w:p>
    <w:p w14:paraId="57754236" w14:textId="77777777" w:rsidR="00182E8E" w:rsidRPr="00722EC0" w:rsidRDefault="00182E8E" w:rsidP="00182E8E">
      <w:pPr>
        <w:pStyle w:val="BodyText"/>
      </w:pPr>
      <w:r w:rsidRPr="00722EC0">
        <w:t xml:space="preserve">Second, efforts are made to ensure finance flows from New Zealand’s IDC Programme are aligned with low greenhouse gas emissions and climate-resilient development, as per Article </w:t>
      </w:r>
      <w:r w:rsidRPr="00722EC0">
        <w:rPr>
          <w:spacing w:val="-2"/>
        </w:rPr>
        <w:t>2.1(c) of the Paris Agreement. An example of this was New Zealand’s support for the Statement</w:t>
      </w:r>
      <w:r w:rsidRPr="00722EC0">
        <w:t xml:space="preserve"> on International Public Support for the Clean Energy Transition at the 26th Conference of the Parties (COP26). This included a commitment to transition our international public support towards the clean energy transition and out of unabated fossil fuels. This includes ending direct public support for the international unabated fossil fuel energy sector.</w:t>
      </w:r>
    </w:p>
    <w:p w14:paraId="4879F56C" w14:textId="77777777" w:rsidR="00182E8E" w:rsidRPr="00722EC0" w:rsidRDefault="00182E8E" w:rsidP="00182E8E">
      <w:pPr>
        <w:pStyle w:val="BodyText"/>
        <w:keepLines/>
      </w:pPr>
      <w:r w:rsidRPr="00722EC0">
        <w:t xml:space="preserve">New Zealand has implemented this commitment and does not support fossil fuel assets </w:t>
      </w:r>
      <w:r w:rsidRPr="00722EC0">
        <w:rPr>
          <w:spacing w:val="-2"/>
        </w:rPr>
        <w:t>through its IDC Programme. In December 2022, the New Zealand Export Credit Office announced</w:t>
      </w:r>
      <w:r w:rsidRPr="00722EC0">
        <w:t xml:space="preserve"> it would also no longer provide support for the fossil fuel energy sector, in line with the Clean Energy Transition statement. </w:t>
      </w:r>
    </w:p>
    <w:p w14:paraId="09C907FB" w14:textId="77777777" w:rsidR="00182E8E" w:rsidRPr="00722EC0" w:rsidRDefault="00182E8E" w:rsidP="00182E8E">
      <w:pPr>
        <w:pStyle w:val="BodyText"/>
        <w:rPr>
          <w:rFonts w:eastAsiaTheme="minorHAnsi" w:cs="Calibri"/>
        </w:rPr>
      </w:pPr>
      <w:r w:rsidRPr="00722EC0">
        <w:t>The Clean Energy Transition statement provides for exceptions in limited and clearly defined circumstances that are consistent with a 1.5 degree Celsius warming limit and the goals of the Paris Agreement. For New Zealand, any IDC support for fossil fuels would be exclusively limited to diesel electricity generation in the Pacific and, where necessary, to:</w:t>
      </w:r>
    </w:p>
    <w:p w14:paraId="0043D033" w14:textId="77777777" w:rsidR="00182E8E" w:rsidRPr="00722EC0" w:rsidRDefault="00182E8E" w:rsidP="00182E8E">
      <w:pPr>
        <w:pStyle w:val="Bullet"/>
      </w:pPr>
      <w:r w:rsidRPr="00722EC0">
        <w:t>ensure electricity supply as part of a humanitarian or emergency response</w:t>
      </w:r>
    </w:p>
    <w:p w14:paraId="4496E7DA" w14:textId="77777777" w:rsidR="00182E8E" w:rsidRPr="00722EC0" w:rsidRDefault="00182E8E" w:rsidP="00182E8E">
      <w:pPr>
        <w:pStyle w:val="Bullet"/>
      </w:pPr>
      <w:r w:rsidRPr="00722EC0">
        <w:t>back-up or supplement renewable energy systems in rural or remote locations, and where there is no access to an established electricity grid</w:t>
      </w:r>
    </w:p>
    <w:p w14:paraId="6C49804B" w14:textId="77777777" w:rsidR="00182E8E" w:rsidRPr="00722EC0" w:rsidRDefault="00182E8E" w:rsidP="00182E8E">
      <w:pPr>
        <w:pStyle w:val="Bullet"/>
      </w:pPr>
      <w:r w:rsidRPr="00722EC0">
        <w:t>maintain security and stability of supply on fragile electricity grids and enable increased renewable energy generation.</w:t>
      </w:r>
    </w:p>
    <w:p w14:paraId="5ACBAD43" w14:textId="77777777" w:rsidR="00182E8E" w:rsidRPr="00722EC0" w:rsidRDefault="00182E8E" w:rsidP="00182E8E">
      <w:pPr>
        <w:pStyle w:val="BodyText"/>
      </w:pPr>
      <w:r w:rsidRPr="00722EC0">
        <w:t>New Zealand’s climate finance also supports developing countries to align finance flows with climate action in their own countries.</w:t>
      </w:r>
    </w:p>
    <w:p w14:paraId="52C2D275" w14:textId="77777777" w:rsidR="00182E8E" w:rsidRPr="00722EC0" w:rsidRDefault="00182E8E" w:rsidP="00182E8E">
      <w:pPr>
        <w:pStyle w:val="BodyText"/>
      </w:pPr>
      <w:r w:rsidRPr="00722EC0">
        <w:t>Third, New Zealand ensures the activities it supports with climate finance are genuinely supporting climate action that advances the goals of the Paris Agreement. The use of DAC Rio Markers as guidance for tagging climate change adaptation and mitigation activities, for example, requires activity managers to ensure activities are genuinely supporting climate action in these areas.</w:t>
      </w:r>
    </w:p>
    <w:p w14:paraId="1710BAA8" w14:textId="77777777" w:rsidR="00182E8E" w:rsidRPr="00722EC0" w:rsidRDefault="00182E8E" w:rsidP="00AE7BC5">
      <w:pPr>
        <w:pStyle w:val="Heading3"/>
        <w:numPr>
          <w:ilvl w:val="0"/>
          <w:numId w:val="69"/>
        </w:numPr>
        <w:tabs>
          <w:tab w:val="num" w:pos="1134"/>
        </w:tabs>
        <w:ind w:left="1134" w:hanging="1134"/>
      </w:pPr>
      <w:r w:rsidRPr="00722EC0">
        <w:t xml:space="preserve">An indication of what new and additional financial resources have been provided, and how it has been determined that such resources are new and additional </w:t>
      </w:r>
    </w:p>
    <w:p w14:paraId="77D584F0" w14:textId="77777777" w:rsidR="00182E8E" w:rsidRPr="00722EC0" w:rsidRDefault="00182E8E" w:rsidP="00182E8E">
      <w:pPr>
        <w:pStyle w:val="BodyText"/>
      </w:pPr>
      <w:r w:rsidRPr="00722EC0">
        <w:t>New Zealand’s approach to determining new and additional financial resources for 2021–22 has been to report all climate-related assistance provided during the reporting period. This is the most transparent and appropriate way of communicating new resources provided. Because climate change is a cross-cutting development issue, this support frequently has co</w:t>
      </w:r>
      <w:r w:rsidRPr="00722EC0">
        <w:noBreakHyphen/>
        <w:t>benefits across various development outcomes. This is reflected in the integrated approach to climate change and development in the Pacific region.</w:t>
      </w:r>
      <w:r w:rsidRPr="75ADBAC8">
        <w:rPr>
          <w:rFonts w:asciiTheme="minorHAnsi" w:hAnsiTheme="minorHAnsi"/>
          <w:vertAlign w:val="superscript"/>
        </w:rPr>
        <w:footnoteReference w:id="313"/>
      </w:r>
      <w:r w:rsidRPr="00722EC0">
        <w:t xml:space="preserve"> </w:t>
      </w:r>
    </w:p>
    <w:p w14:paraId="5559D715" w14:textId="77777777" w:rsidR="00182E8E" w:rsidRPr="00722EC0" w:rsidRDefault="00182E8E" w:rsidP="00182E8E">
      <w:pPr>
        <w:pStyle w:val="BodyText"/>
      </w:pPr>
      <w:r w:rsidRPr="00722EC0">
        <w:t xml:space="preserve">New Zealand’s 2019–22 climate finance commitment drew on new finance from an increased IDC budget for that period. For the 2022–25 commitment period, New Zealand’s NZ$1.3 billion climate finance commitment draws from new finance provided from New Zealand’s Climate </w:t>
      </w:r>
      <w:r w:rsidRPr="00722EC0">
        <w:rPr>
          <w:spacing w:val="-2"/>
        </w:rPr>
        <w:t>Emergency Response Fund, established in 2021 with proceeds from the New Zealand Emissions</w:t>
      </w:r>
      <w:r w:rsidRPr="00722EC0">
        <w:t xml:space="preserve"> Trading Scheme. Of this commitment, $800 million is ‘new and additional’ in the sense it is new money that is in addition to the $500 million of our IDC budget already targeted towards climate outcomes. The $800 million is appropriated from New Zealand’s Climate Emergency Response Fund, and activities from this component must be tagged as ‘principal’ (DAC Rio Marker Two) for climate outcomes whereas those in the $500 million component can be ‘principal’ (DAC Rio Marker Two) or ‘significant’ (DAC Rio Marker One).</w:t>
      </w:r>
    </w:p>
    <w:p w14:paraId="729D300B" w14:textId="77777777" w:rsidR="00182E8E" w:rsidRPr="00722EC0" w:rsidRDefault="00182E8E" w:rsidP="005B32FE">
      <w:pPr>
        <w:pStyle w:val="Heading3"/>
        <w:numPr>
          <w:ilvl w:val="0"/>
          <w:numId w:val="69"/>
        </w:numPr>
        <w:tabs>
          <w:tab w:val="num" w:pos="1134"/>
        </w:tabs>
        <w:ind w:left="1134" w:hanging="1134"/>
      </w:pPr>
      <w:r w:rsidRPr="00722EC0">
        <w:t xml:space="preserve">How the information provided reflects a progression from previous levels in the provision and mobilisation of finance under the Paris Agreement </w:t>
      </w:r>
    </w:p>
    <w:p w14:paraId="13491A06" w14:textId="7055380C" w:rsidR="00182E8E" w:rsidRPr="00722EC0" w:rsidRDefault="00182E8E" w:rsidP="00182E8E">
      <w:pPr>
        <w:pStyle w:val="BodyText"/>
      </w:pPr>
      <w:r w:rsidRPr="00722EC0">
        <w:t>The financial support provided and mobilised by New Zealand for 2020–21 is lower than for the Fifth Biennial Report. The total reported for 2021 and 2022 is NZ$2</w:t>
      </w:r>
      <w:r w:rsidR="00E82E26">
        <w:t>3</w:t>
      </w:r>
      <w:r w:rsidRPr="00722EC0">
        <w:t>5.</w:t>
      </w:r>
      <w:r w:rsidR="00E82E26">
        <w:t>69</w:t>
      </w:r>
      <w:r w:rsidRPr="00722EC0">
        <w:t xml:space="preserve"> million, compared with NZ$285.70 million for 2019–20 reported in New Zealand’s Fifth Biennial Report. This is due to normal variabilities in programming and payment cycles. Further, the data do not yet reflect the significant increase in New Zealand’s climate finance commitment for 2022–25 because it takes time for delivery to be scaled up. Growth in the provision of New Zealand’s climate finance for the next </w:t>
      </w:r>
      <w:r w:rsidR="00180E89">
        <w:t>Biennial Transparency Report</w:t>
      </w:r>
      <w:r w:rsidR="00180E89" w:rsidRPr="00722EC0">
        <w:t xml:space="preserve"> </w:t>
      </w:r>
      <w:r w:rsidRPr="00722EC0">
        <w:t>period will be bolstered by:</w:t>
      </w:r>
    </w:p>
    <w:p w14:paraId="76780DC0" w14:textId="77777777" w:rsidR="00182E8E" w:rsidRPr="00722EC0" w:rsidRDefault="00182E8E" w:rsidP="00182E8E">
      <w:pPr>
        <w:pStyle w:val="Bullet"/>
      </w:pPr>
      <w:r w:rsidRPr="00722EC0">
        <w:t>New Zealand’s increased climate finance commitment of NZ$1.3 billion for 2022–25 (a quadrupling of its previous commitment)</w:t>
      </w:r>
    </w:p>
    <w:p w14:paraId="76B47A14" w14:textId="77777777" w:rsidR="00182E8E" w:rsidRPr="00722EC0" w:rsidRDefault="00182E8E" w:rsidP="00182E8E">
      <w:pPr>
        <w:pStyle w:val="Bullet"/>
      </w:pPr>
      <w:r w:rsidRPr="00722EC0">
        <w:t>increased efforts to mobilise private finance</w:t>
      </w:r>
    </w:p>
    <w:p w14:paraId="04BC50DF" w14:textId="77777777" w:rsidR="00182E8E" w:rsidRPr="00722EC0" w:rsidRDefault="00182E8E" w:rsidP="00182E8E">
      <w:pPr>
        <w:pStyle w:val="Bullet"/>
      </w:pPr>
      <w:r w:rsidRPr="00722EC0">
        <w:t xml:space="preserve">continued efforts to mainstream climate change across New Zealand’s IDC Programme. </w:t>
      </w:r>
    </w:p>
    <w:p w14:paraId="47773B60" w14:textId="77777777" w:rsidR="00182E8E" w:rsidRPr="00722EC0" w:rsidRDefault="00182E8E" w:rsidP="005B32FE">
      <w:pPr>
        <w:pStyle w:val="Heading3"/>
        <w:numPr>
          <w:ilvl w:val="0"/>
          <w:numId w:val="69"/>
        </w:numPr>
        <w:ind w:left="1134" w:hanging="1134"/>
      </w:pPr>
      <w:r w:rsidRPr="00722EC0">
        <w:t>Information on reporting on multilateral finance, including inflow/outflow reporting, climate specificity, core/general reporting and Party attribution</w:t>
      </w:r>
    </w:p>
    <w:p w14:paraId="442DACD7" w14:textId="77777777" w:rsidR="00182E8E" w:rsidRPr="00722EC0" w:rsidRDefault="00182E8E" w:rsidP="00182E8E">
      <w:pPr>
        <w:pStyle w:val="BodyText"/>
      </w:pPr>
      <w:r w:rsidRPr="00722EC0">
        <w:t>New Zealand’s multilateral finance that is reported is mainly based on the Party’s inflow contribution to the relevant multilateral institution. For some institutions, an imputed share relating to outflows is available from the OECD DAC, which we then apply as a co-efficient to adjust our inflows for climate specificity.</w:t>
      </w:r>
    </w:p>
    <w:p w14:paraId="274C7B37" w14:textId="77777777" w:rsidR="00182E8E" w:rsidRPr="00722EC0" w:rsidRDefault="00182E8E" w:rsidP="00182E8E">
      <w:pPr>
        <w:pStyle w:val="BodyText"/>
      </w:pPr>
      <w:r w:rsidRPr="00722EC0">
        <w:t xml:space="preserve">New Zealand does not monitor its core funding to regional and multilateral organisations to the level of specific climate change allocations and actions. </w:t>
      </w:r>
    </w:p>
    <w:p w14:paraId="3C1FAEEB" w14:textId="482C259D" w:rsidR="00182E8E" w:rsidRPr="00722EC0" w:rsidRDefault="00182E8E" w:rsidP="00182E8E">
      <w:pPr>
        <w:pStyle w:val="BodyText"/>
        <w:rPr>
          <w:b/>
          <w:bCs/>
        </w:rPr>
      </w:pPr>
      <w:r w:rsidRPr="00722EC0">
        <w:t xml:space="preserve">In this report, New Zealand only reports on the climate-specific amounts of support. This is done either through its use of DAC Rio Markers and nationally determined coefficients described in </w:t>
      </w:r>
      <w:hyperlink w:anchor="table41" w:history="1">
        <w:r w:rsidRPr="004622B3">
          <w:rPr>
            <w:rStyle w:val="Hyperlink"/>
          </w:rPr>
          <w:t>table 4.1</w:t>
        </w:r>
      </w:hyperlink>
      <w:r w:rsidRPr="00722EC0">
        <w:t xml:space="preserve">, or OECD DAC imputed shares as described above. </w:t>
      </w:r>
    </w:p>
    <w:p w14:paraId="26864138" w14:textId="77777777" w:rsidR="00182E8E" w:rsidRPr="00722EC0" w:rsidRDefault="00182E8E" w:rsidP="00182E8E">
      <w:pPr>
        <w:pStyle w:val="BodyText"/>
      </w:pPr>
      <w:r w:rsidRPr="00722EC0">
        <w:t>The general contributions New Zealand makes to multilateral institutions are pooled with others and not directly attributed to specific expenditures by the institution. The reported multilateral finance is attributed to New Zealand based on its inflow contributions, mediated by the climate-specific amount based on a determination of the institution as being climate ‘principal’ or ‘significant’, or as imputed shares provided by the institution.</w:t>
      </w:r>
    </w:p>
    <w:p w14:paraId="0780BEA4" w14:textId="77777777" w:rsidR="00182E8E" w:rsidRPr="00722EC0" w:rsidRDefault="00182E8E" w:rsidP="005B32FE">
      <w:pPr>
        <w:pStyle w:val="Heading4"/>
        <w:numPr>
          <w:ilvl w:val="0"/>
          <w:numId w:val="73"/>
        </w:numPr>
        <w:ind w:left="1134" w:hanging="1134"/>
      </w:pPr>
      <w:r w:rsidRPr="00722EC0">
        <w:t>Global Research Alliance on Agricultural Greenhouse Gases</w:t>
      </w:r>
    </w:p>
    <w:p w14:paraId="711E3D04" w14:textId="10541415" w:rsidR="00182E8E" w:rsidRPr="00722EC0" w:rsidRDefault="00182E8E" w:rsidP="00182E8E">
      <w:pPr>
        <w:pStyle w:val="BodyText"/>
      </w:pPr>
      <w:r w:rsidRPr="00722EC0">
        <w:t xml:space="preserve">The </w:t>
      </w:r>
      <w:r w:rsidR="00A9699A">
        <w:t>Global Research Alliance on Agricultural Greenhouse Gases (</w:t>
      </w:r>
      <w:r w:rsidRPr="00722EC0">
        <w:t>GRA</w:t>
      </w:r>
      <w:r w:rsidR="00A9699A">
        <w:t>)</w:t>
      </w:r>
      <w:r w:rsidRPr="00722EC0">
        <w:t xml:space="preserve"> is a multilateral institution established by New Zealand in late 2009 that seeks to increase global cooperation and investment to reduce the emissions intensity of agricultural production systems. The GRA encompasses the voluntary, collaborative efforts of its 68 member countries and 27 partner organisations spread across the globe. The GRA’s work is conducted through its four research groups, </w:t>
      </w:r>
      <w:r w:rsidR="000C2CA8">
        <w:t xml:space="preserve">which are </w:t>
      </w:r>
      <w:r w:rsidRPr="00722EC0">
        <w:t>focused on significant agricultural subsectors (livestock, croplands, paddy rice)</w:t>
      </w:r>
      <w:r w:rsidR="000C2CA8">
        <w:t>,</w:t>
      </w:r>
      <w:r w:rsidRPr="00722EC0">
        <w:t xml:space="preserve"> and an integrative research group</w:t>
      </w:r>
      <w:r w:rsidR="000C2CA8">
        <w:t>, which</w:t>
      </w:r>
      <w:r w:rsidRPr="00722EC0">
        <w:t xml:space="preserve"> addresses cross-cutting issues, including soil carbon sequestration and greenhouse gas inventories. </w:t>
      </w:r>
    </w:p>
    <w:p w14:paraId="3017BF6F" w14:textId="14512CD2" w:rsidR="00182E8E" w:rsidRPr="00722EC0" w:rsidRDefault="00182E8E" w:rsidP="00182E8E">
      <w:pPr>
        <w:pStyle w:val="BodyText"/>
        <w:keepLines/>
      </w:pPr>
      <w:r w:rsidRPr="00722EC0">
        <w:t xml:space="preserve">New Zealand plays an active role in supporting the GRA through funding and delivery of education, training and public awareness, funding of mitigation research projects and funding of regional and international collaboration. This is in addition to co-chairing the GRA’s Livestock Research Group and hosting the GRA Secretariat and Special Representative. Through the GRA, New Zealand provided significant technology transfer and capacity-building support to developing countries in 2021–22 (see </w:t>
      </w:r>
      <w:hyperlink w:anchor="table42" w:history="1">
        <w:r w:rsidRPr="0058091B">
          <w:rPr>
            <w:rStyle w:val="Hyperlink"/>
          </w:rPr>
          <w:t>table 4.2</w:t>
        </w:r>
      </w:hyperlink>
      <w:r w:rsidRPr="00722EC0">
        <w:t xml:space="preserve">). </w:t>
      </w:r>
    </w:p>
    <w:p w14:paraId="1A17DE44" w14:textId="77777777" w:rsidR="00182E8E" w:rsidRPr="00722EC0" w:rsidRDefault="00182E8E" w:rsidP="00182E8E">
      <w:pPr>
        <w:pStyle w:val="BodyText"/>
      </w:pPr>
    </w:p>
    <w:p w14:paraId="20B6A17C" w14:textId="77777777" w:rsidR="00182E8E" w:rsidRPr="00722EC0" w:rsidRDefault="00182E8E" w:rsidP="00182E8E">
      <w:pPr>
        <w:pStyle w:val="BodyText"/>
        <w:sectPr w:rsidR="00182E8E" w:rsidRPr="00722EC0" w:rsidSect="00E1656C">
          <w:headerReference w:type="even" r:id="rId177"/>
          <w:headerReference w:type="default" r:id="rId178"/>
          <w:footerReference w:type="even" r:id="rId179"/>
          <w:footerReference w:type="default" r:id="rId180"/>
          <w:headerReference w:type="first" r:id="rId181"/>
          <w:footerReference w:type="first" r:id="rId182"/>
          <w:pgSz w:w="11906" w:h="16838" w:code="9"/>
          <w:pgMar w:top="1134" w:right="1701" w:bottom="1134" w:left="1701" w:header="567" w:footer="567" w:gutter="0"/>
          <w:cols w:space="708"/>
          <w:docGrid w:linePitch="360"/>
        </w:sectPr>
      </w:pPr>
    </w:p>
    <w:p w14:paraId="195DD02A" w14:textId="30A0D624" w:rsidR="00182E8E" w:rsidRPr="00722EC0" w:rsidRDefault="00182E8E" w:rsidP="00182E8E">
      <w:pPr>
        <w:pStyle w:val="Tableheading"/>
        <w:spacing w:before="0"/>
      </w:pPr>
      <w:bookmarkStart w:id="849" w:name="table42"/>
      <w:bookmarkStart w:id="850" w:name="_Toc185407512"/>
      <w:bookmarkStart w:id="851" w:name="_Toc185427775"/>
      <w:r w:rsidRPr="00722EC0">
        <w:t>Table 4.2</w:t>
      </w:r>
      <w:bookmarkEnd w:id="849"/>
      <w:r w:rsidRPr="00722EC0">
        <w:t xml:space="preserve">: </w:t>
      </w:r>
      <w:r w:rsidRPr="00722EC0">
        <w:tab/>
        <w:t>Technology transfer and capacity-building support delivered through the Global Research Alliance on Agricultural Greenhouse Gases</w:t>
      </w:r>
      <w:bookmarkEnd w:id="850"/>
      <w:bookmarkEnd w:id="851"/>
      <w:r w:rsidRPr="00722EC0">
        <w:t xml:space="preserve"> </w:t>
      </w:r>
    </w:p>
    <w:tbl>
      <w:tblPr>
        <w:tblW w:w="14459"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85" w:type="dxa"/>
          <w:right w:w="85" w:type="dxa"/>
        </w:tblCellMar>
        <w:tblLook w:val="04A0" w:firstRow="1" w:lastRow="0" w:firstColumn="1" w:lastColumn="0" w:noHBand="0" w:noVBand="1"/>
      </w:tblPr>
      <w:tblGrid>
        <w:gridCol w:w="2552"/>
        <w:gridCol w:w="4111"/>
        <w:gridCol w:w="992"/>
        <w:gridCol w:w="850"/>
        <w:gridCol w:w="2410"/>
        <w:gridCol w:w="1418"/>
        <w:gridCol w:w="969"/>
        <w:gridCol w:w="1157"/>
      </w:tblGrid>
      <w:tr w:rsidR="00182E8E" w:rsidRPr="004E7B64" w14:paraId="11F8C8A5" w14:textId="77777777">
        <w:tc>
          <w:tcPr>
            <w:tcW w:w="2552" w:type="dxa"/>
            <w:shd w:val="clear" w:color="auto" w:fill="1B556B"/>
            <w:vAlign w:val="bottom"/>
            <w:hideMark/>
          </w:tcPr>
          <w:p w14:paraId="3F07A4FD" w14:textId="77777777" w:rsidR="00182E8E" w:rsidRPr="004E7B64" w:rsidRDefault="00182E8E">
            <w:pPr>
              <w:pStyle w:val="TableTextbold"/>
              <w:rPr>
                <w:color w:val="FFFFFF" w:themeColor="background1"/>
                <w:szCs w:val="18"/>
              </w:rPr>
            </w:pPr>
            <w:r w:rsidRPr="004E7B64">
              <w:rPr>
                <w:color w:val="FFFFFF" w:themeColor="background1"/>
                <w:szCs w:val="18"/>
              </w:rPr>
              <w:t>Recipient country or region</w:t>
            </w:r>
          </w:p>
        </w:tc>
        <w:tc>
          <w:tcPr>
            <w:tcW w:w="4111" w:type="dxa"/>
            <w:shd w:val="clear" w:color="auto" w:fill="1B556B"/>
            <w:vAlign w:val="bottom"/>
            <w:hideMark/>
          </w:tcPr>
          <w:p w14:paraId="23514D90" w14:textId="77777777" w:rsidR="00182E8E" w:rsidRPr="004E7B64" w:rsidRDefault="00182E8E">
            <w:pPr>
              <w:pStyle w:val="TableTextbold"/>
              <w:rPr>
                <w:color w:val="FFFFFF" w:themeColor="background1"/>
                <w:szCs w:val="18"/>
              </w:rPr>
            </w:pPr>
            <w:r w:rsidRPr="004E7B64">
              <w:rPr>
                <w:color w:val="FFFFFF" w:themeColor="background1"/>
                <w:szCs w:val="18"/>
              </w:rPr>
              <w:t>Title of the project programme, activity or other</w:t>
            </w:r>
          </w:p>
        </w:tc>
        <w:tc>
          <w:tcPr>
            <w:tcW w:w="992" w:type="dxa"/>
            <w:shd w:val="clear" w:color="auto" w:fill="1B556B"/>
            <w:noWrap/>
            <w:vAlign w:val="bottom"/>
            <w:hideMark/>
          </w:tcPr>
          <w:p w14:paraId="01194404" w14:textId="77777777" w:rsidR="00182E8E" w:rsidRPr="004E7B64" w:rsidRDefault="00182E8E">
            <w:pPr>
              <w:pStyle w:val="TableTextbold"/>
              <w:rPr>
                <w:color w:val="FFFFFF" w:themeColor="background1"/>
                <w:szCs w:val="18"/>
              </w:rPr>
            </w:pPr>
            <w:r w:rsidRPr="004E7B64">
              <w:rPr>
                <w:color w:val="FFFFFF" w:themeColor="background1"/>
                <w:szCs w:val="18"/>
              </w:rPr>
              <w:t>Status</w:t>
            </w:r>
          </w:p>
        </w:tc>
        <w:tc>
          <w:tcPr>
            <w:tcW w:w="850" w:type="dxa"/>
            <w:shd w:val="clear" w:color="auto" w:fill="1B556B"/>
            <w:vAlign w:val="bottom"/>
            <w:hideMark/>
          </w:tcPr>
          <w:p w14:paraId="4152F17E" w14:textId="77777777" w:rsidR="00182E8E" w:rsidRPr="004E7B64" w:rsidRDefault="00182E8E">
            <w:pPr>
              <w:pStyle w:val="TableTextbold"/>
              <w:rPr>
                <w:color w:val="FFFFFF" w:themeColor="background1"/>
                <w:szCs w:val="18"/>
              </w:rPr>
            </w:pPr>
            <w:r w:rsidRPr="004E7B64">
              <w:rPr>
                <w:color w:val="FFFFFF" w:themeColor="background1"/>
                <w:szCs w:val="18"/>
              </w:rPr>
              <w:t>Channel</w:t>
            </w:r>
          </w:p>
        </w:tc>
        <w:tc>
          <w:tcPr>
            <w:tcW w:w="2410" w:type="dxa"/>
            <w:shd w:val="clear" w:color="auto" w:fill="1B556B"/>
            <w:noWrap/>
            <w:vAlign w:val="bottom"/>
            <w:hideMark/>
          </w:tcPr>
          <w:p w14:paraId="260756C7" w14:textId="77777777" w:rsidR="00182E8E" w:rsidRPr="004E7B64" w:rsidRDefault="00182E8E">
            <w:pPr>
              <w:pStyle w:val="TableTextbold"/>
              <w:rPr>
                <w:color w:val="FFFFFF" w:themeColor="background1"/>
                <w:szCs w:val="18"/>
              </w:rPr>
            </w:pPr>
            <w:r w:rsidRPr="004E7B64">
              <w:rPr>
                <w:color w:val="FFFFFF" w:themeColor="background1"/>
                <w:szCs w:val="18"/>
              </w:rPr>
              <w:t>Funding source</w:t>
            </w:r>
          </w:p>
        </w:tc>
        <w:tc>
          <w:tcPr>
            <w:tcW w:w="1418" w:type="dxa"/>
            <w:shd w:val="clear" w:color="auto" w:fill="1B556B"/>
            <w:vAlign w:val="bottom"/>
            <w:hideMark/>
          </w:tcPr>
          <w:p w14:paraId="0298D3BC" w14:textId="77777777" w:rsidR="00182E8E" w:rsidRPr="004E7B64" w:rsidRDefault="00182E8E">
            <w:pPr>
              <w:pStyle w:val="TableTextbold"/>
              <w:rPr>
                <w:color w:val="FFFFFF" w:themeColor="background1"/>
                <w:szCs w:val="18"/>
              </w:rPr>
            </w:pPr>
            <w:r w:rsidRPr="004E7B64">
              <w:rPr>
                <w:color w:val="FFFFFF" w:themeColor="background1"/>
                <w:szCs w:val="18"/>
              </w:rPr>
              <w:t>Type of support</w:t>
            </w:r>
          </w:p>
        </w:tc>
        <w:tc>
          <w:tcPr>
            <w:tcW w:w="969" w:type="dxa"/>
            <w:shd w:val="clear" w:color="auto" w:fill="1B556B"/>
            <w:vAlign w:val="bottom"/>
          </w:tcPr>
          <w:p w14:paraId="3BFF72B1" w14:textId="77777777" w:rsidR="00182E8E" w:rsidRPr="004E7B64" w:rsidRDefault="00182E8E">
            <w:pPr>
              <w:pStyle w:val="TableTextbold"/>
              <w:rPr>
                <w:color w:val="FFFFFF" w:themeColor="background1"/>
                <w:szCs w:val="18"/>
              </w:rPr>
            </w:pPr>
            <w:r w:rsidRPr="004E7B64">
              <w:rPr>
                <w:color w:val="FFFFFF" w:themeColor="background1"/>
                <w:szCs w:val="18"/>
              </w:rPr>
              <w:t>Capacity building</w:t>
            </w:r>
          </w:p>
        </w:tc>
        <w:tc>
          <w:tcPr>
            <w:tcW w:w="1157" w:type="dxa"/>
            <w:shd w:val="clear" w:color="auto" w:fill="1B556B"/>
            <w:vAlign w:val="bottom"/>
            <w:hideMark/>
          </w:tcPr>
          <w:p w14:paraId="51DFCE43" w14:textId="77777777" w:rsidR="00182E8E" w:rsidRPr="004E7B64" w:rsidRDefault="00182E8E">
            <w:pPr>
              <w:pStyle w:val="TableTextbold"/>
              <w:rPr>
                <w:color w:val="FFFFFF" w:themeColor="background1"/>
                <w:szCs w:val="18"/>
              </w:rPr>
            </w:pPr>
            <w:r w:rsidRPr="004E7B64">
              <w:rPr>
                <w:color w:val="FFFFFF" w:themeColor="background1"/>
                <w:szCs w:val="18"/>
              </w:rPr>
              <w:t>Technology transfer</w:t>
            </w:r>
          </w:p>
        </w:tc>
      </w:tr>
      <w:tr w:rsidR="00182E8E" w:rsidRPr="004E7B64" w14:paraId="68D888AC" w14:textId="77777777">
        <w:trPr>
          <w:trHeight w:val="290"/>
        </w:trPr>
        <w:tc>
          <w:tcPr>
            <w:tcW w:w="2552" w:type="dxa"/>
            <w:shd w:val="clear" w:color="auto" w:fill="auto"/>
            <w:hideMark/>
          </w:tcPr>
          <w:p w14:paraId="10360F6D"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Uruguay</w:t>
            </w:r>
          </w:p>
        </w:tc>
        <w:tc>
          <w:tcPr>
            <w:tcW w:w="4111" w:type="dxa"/>
            <w:shd w:val="clear" w:color="auto" w:fill="auto"/>
            <w:noWrap/>
            <w:hideMark/>
          </w:tcPr>
          <w:p w14:paraId="04FA85E5"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2020-LEARN-TECH</w:t>
            </w:r>
          </w:p>
        </w:tc>
        <w:tc>
          <w:tcPr>
            <w:tcW w:w="992" w:type="dxa"/>
            <w:shd w:val="clear" w:color="auto" w:fill="auto"/>
            <w:noWrap/>
            <w:hideMark/>
          </w:tcPr>
          <w:p w14:paraId="19EF45A3"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disbursed</w:t>
            </w:r>
          </w:p>
        </w:tc>
        <w:tc>
          <w:tcPr>
            <w:tcW w:w="850" w:type="dxa"/>
            <w:shd w:val="clear" w:color="auto" w:fill="auto"/>
            <w:noWrap/>
            <w:hideMark/>
          </w:tcPr>
          <w:p w14:paraId="0B4F2E79"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bilateral</w:t>
            </w:r>
          </w:p>
        </w:tc>
        <w:tc>
          <w:tcPr>
            <w:tcW w:w="2410" w:type="dxa"/>
            <w:shd w:val="clear" w:color="000000" w:fill="FFFFFF"/>
            <w:noWrap/>
            <w:hideMark/>
          </w:tcPr>
          <w:p w14:paraId="77B68A88"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Ministry for Primary Industries</w:t>
            </w:r>
          </w:p>
        </w:tc>
        <w:tc>
          <w:tcPr>
            <w:tcW w:w="1418" w:type="dxa"/>
            <w:shd w:val="clear" w:color="auto" w:fill="auto"/>
            <w:noWrap/>
            <w:hideMark/>
          </w:tcPr>
          <w:p w14:paraId="30ED748D"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cross-cutting</w:t>
            </w:r>
          </w:p>
        </w:tc>
        <w:tc>
          <w:tcPr>
            <w:tcW w:w="969" w:type="dxa"/>
          </w:tcPr>
          <w:p w14:paraId="209D037E"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c>
          <w:tcPr>
            <w:tcW w:w="1157" w:type="dxa"/>
            <w:shd w:val="clear" w:color="auto" w:fill="auto"/>
            <w:noWrap/>
            <w:hideMark/>
          </w:tcPr>
          <w:p w14:paraId="429BAA14"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r>
      <w:tr w:rsidR="00182E8E" w:rsidRPr="004E7B64" w14:paraId="082C9BEA" w14:textId="77777777">
        <w:trPr>
          <w:trHeight w:val="290"/>
        </w:trPr>
        <w:tc>
          <w:tcPr>
            <w:tcW w:w="2552" w:type="dxa"/>
            <w:shd w:val="clear" w:color="auto" w:fill="auto"/>
            <w:hideMark/>
          </w:tcPr>
          <w:p w14:paraId="56000C4B"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China</w:t>
            </w:r>
          </w:p>
        </w:tc>
        <w:tc>
          <w:tcPr>
            <w:tcW w:w="4111" w:type="dxa"/>
            <w:shd w:val="clear" w:color="auto" w:fill="auto"/>
            <w:noWrap/>
            <w:hideMark/>
          </w:tcPr>
          <w:p w14:paraId="5AE482F8"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2017-LEARN-PhD</w:t>
            </w:r>
          </w:p>
        </w:tc>
        <w:tc>
          <w:tcPr>
            <w:tcW w:w="992" w:type="dxa"/>
            <w:shd w:val="clear" w:color="auto" w:fill="auto"/>
            <w:noWrap/>
            <w:hideMark/>
          </w:tcPr>
          <w:p w14:paraId="0B814940"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disbursed</w:t>
            </w:r>
          </w:p>
        </w:tc>
        <w:tc>
          <w:tcPr>
            <w:tcW w:w="850" w:type="dxa"/>
            <w:shd w:val="clear" w:color="auto" w:fill="auto"/>
            <w:noWrap/>
            <w:hideMark/>
          </w:tcPr>
          <w:p w14:paraId="79E3D7F7"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bilateral</w:t>
            </w:r>
          </w:p>
        </w:tc>
        <w:tc>
          <w:tcPr>
            <w:tcW w:w="2410" w:type="dxa"/>
            <w:shd w:val="clear" w:color="000000" w:fill="FFFFFF"/>
            <w:noWrap/>
            <w:hideMark/>
          </w:tcPr>
          <w:p w14:paraId="34E11604"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Ministry for Primary Industries</w:t>
            </w:r>
          </w:p>
        </w:tc>
        <w:tc>
          <w:tcPr>
            <w:tcW w:w="1418" w:type="dxa"/>
            <w:shd w:val="clear" w:color="auto" w:fill="auto"/>
            <w:noWrap/>
            <w:hideMark/>
          </w:tcPr>
          <w:p w14:paraId="3A1677E3"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 xml:space="preserve">mitigation </w:t>
            </w:r>
          </w:p>
        </w:tc>
        <w:tc>
          <w:tcPr>
            <w:tcW w:w="969" w:type="dxa"/>
          </w:tcPr>
          <w:p w14:paraId="0B02108A"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c>
          <w:tcPr>
            <w:tcW w:w="1157" w:type="dxa"/>
            <w:shd w:val="clear" w:color="auto" w:fill="auto"/>
            <w:noWrap/>
            <w:hideMark/>
          </w:tcPr>
          <w:p w14:paraId="69414623"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No</w:t>
            </w:r>
          </w:p>
        </w:tc>
      </w:tr>
      <w:tr w:rsidR="00182E8E" w:rsidRPr="004E7B64" w14:paraId="6799E79D" w14:textId="77777777">
        <w:trPr>
          <w:trHeight w:val="290"/>
        </w:trPr>
        <w:tc>
          <w:tcPr>
            <w:tcW w:w="2552" w:type="dxa"/>
            <w:shd w:val="clear" w:color="auto" w:fill="auto"/>
            <w:hideMark/>
          </w:tcPr>
          <w:p w14:paraId="32660267"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 xml:space="preserve">Indonesia </w:t>
            </w:r>
          </w:p>
        </w:tc>
        <w:tc>
          <w:tcPr>
            <w:tcW w:w="4111" w:type="dxa"/>
            <w:shd w:val="clear" w:color="auto" w:fill="auto"/>
            <w:noWrap/>
            <w:hideMark/>
          </w:tcPr>
          <w:p w14:paraId="0E76EB35"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2018-CH4 Measurement Indonesia</w:t>
            </w:r>
          </w:p>
        </w:tc>
        <w:tc>
          <w:tcPr>
            <w:tcW w:w="992" w:type="dxa"/>
            <w:shd w:val="clear" w:color="auto" w:fill="auto"/>
            <w:noWrap/>
            <w:hideMark/>
          </w:tcPr>
          <w:p w14:paraId="032A162B"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disbursed</w:t>
            </w:r>
          </w:p>
        </w:tc>
        <w:tc>
          <w:tcPr>
            <w:tcW w:w="850" w:type="dxa"/>
            <w:shd w:val="clear" w:color="auto" w:fill="auto"/>
            <w:noWrap/>
            <w:hideMark/>
          </w:tcPr>
          <w:p w14:paraId="00A10ECC"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bilateral</w:t>
            </w:r>
          </w:p>
        </w:tc>
        <w:tc>
          <w:tcPr>
            <w:tcW w:w="2410" w:type="dxa"/>
            <w:shd w:val="clear" w:color="000000" w:fill="FFFFFF"/>
            <w:noWrap/>
            <w:hideMark/>
          </w:tcPr>
          <w:p w14:paraId="3DC14ACE"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Ministry for Primary Industries</w:t>
            </w:r>
          </w:p>
        </w:tc>
        <w:tc>
          <w:tcPr>
            <w:tcW w:w="1418" w:type="dxa"/>
            <w:shd w:val="clear" w:color="auto" w:fill="auto"/>
            <w:noWrap/>
            <w:hideMark/>
          </w:tcPr>
          <w:p w14:paraId="3B5F8F21"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cross-cutting</w:t>
            </w:r>
          </w:p>
        </w:tc>
        <w:tc>
          <w:tcPr>
            <w:tcW w:w="969" w:type="dxa"/>
          </w:tcPr>
          <w:p w14:paraId="5C02CAF7"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c>
          <w:tcPr>
            <w:tcW w:w="1157" w:type="dxa"/>
            <w:shd w:val="clear" w:color="auto" w:fill="auto"/>
            <w:noWrap/>
            <w:hideMark/>
          </w:tcPr>
          <w:p w14:paraId="723147BC"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r>
      <w:tr w:rsidR="00182E8E" w:rsidRPr="004E7B64" w14:paraId="5817BF2F" w14:textId="77777777">
        <w:trPr>
          <w:trHeight w:val="290"/>
        </w:trPr>
        <w:tc>
          <w:tcPr>
            <w:tcW w:w="2552" w:type="dxa"/>
            <w:shd w:val="clear" w:color="auto" w:fill="auto"/>
            <w:hideMark/>
          </w:tcPr>
          <w:p w14:paraId="165756AB"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Global</w:t>
            </w:r>
          </w:p>
        </w:tc>
        <w:tc>
          <w:tcPr>
            <w:tcW w:w="4111" w:type="dxa"/>
            <w:shd w:val="clear" w:color="auto" w:fill="auto"/>
            <w:noWrap/>
            <w:hideMark/>
          </w:tcPr>
          <w:p w14:paraId="2FA48F6D"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2020-GHGMI Online Resource</w:t>
            </w:r>
          </w:p>
        </w:tc>
        <w:tc>
          <w:tcPr>
            <w:tcW w:w="992" w:type="dxa"/>
            <w:shd w:val="clear" w:color="auto" w:fill="auto"/>
            <w:noWrap/>
            <w:hideMark/>
          </w:tcPr>
          <w:p w14:paraId="571F1001"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disbursed</w:t>
            </w:r>
          </w:p>
        </w:tc>
        <w:tc>
          <w:tcPr>
            <w:tcW w:w="850" w:type="dxa"/>
            <w:shd w:val="clear" w:color="auto" w:fill="auto"/>
            <w:noWrap/>
            <w:hideMark/>
          </w:tcPr>
          <w:p w14:paraId="5DB5D42C"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bilateral</w:t>
            </w:r>
          </w:p>
        </w:tc>
        <w:tc>
          <w:tcPr>
            <w:tcW w:w="2410" w:type="dxa"/>
            <w:shd w:val="clear" w:color="000000" w:fill="FFFFFF"/>
            <w:noWrap/>
            <w:hideMark/>
          </w:tcPr>
          <w:p w14:paraId="239985B6"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Ministry for Primary Industries</w:t>
            </w:r>
          </w:p>
        </w:tc>
        <w:tc>
          <w:tcPr>
            <w:tcW w:w="1418" w:type="dxa"/>
            <w:shd w:val="clear" w:color="auto" w:fill="auto"/>
            <w:noWrap/>
            <w:hideMark/>
          </w:tcPr>
          <w:p w14:paraId="53AB55E8"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cross-cutting</w:t>
            </w:r>
          </w:p>
        </w:tc>
        <w:tc>
          <w:tcPr>
            <w:tcW w:w="969" w:type="dxa"/>
          </w:tcPr>
          <w:p w14:paraId="6F0B875C"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c>
          <w:tcPr>
            <w:tcW w:w="1157" w:type="dxa"/>
            <w:shd w:val="clear" w:color="auto" w:fill="auto"/>
            <w:noWrap/>
            <w:hideMark/>
          </w:tcPr>
          <w:p w14:paraId="2854CBB6"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No</w:t>
            </w:r>
          </w:p>
        </w:tc>
      </w:tr>
      <w:tr w:rsidR="00182E8E" w:rsidRPr="004E7B64" w14:paraId="5D51284D" w14:textId="77777777">
        <w:trPr>
          <w:trHeight w:val="290"/>
        </w:trPr>
        <w:tc>
          <w:tcPr>
            <w:tcW w:w="2552" w:type="dxa"/>
            <w:shd w:val="clear" w:color="auto" w:fill="auto"/>
            <w:hideMark/>
          </w:tcPr>
          <w:p w14:paraId="220E6583"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Sri Lanka</w:t>
            </w:r>
          </w:p>
        </w:tc>
        <w:tc>
          <w:tcPr>
            <w:tcW w:w="4111" w:type="dxa"/>
            <w:shd w:val="clear" w:color="auto" w:fill="auto"/>
            <w:noWrap/>
            <w:hideMark/>
          </w:tcPr>
          <w:p w14:paraId="1D591A99"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2020-Sri Lanka Postharvest Losses</w:t>
            </w:r>
          </w:p>
        </w:tc>
        <w:tc>
          <w:tcPr>
            <w:tcW w:w="992" w:type="dxa"/>
            <w:shd w:val="clear" w:color="auto" w:fill="auto"/>
            <w:noWrap/>
            <w:hideMark/>
          </w:tcPr>
          <w:p w14:paraId="7E5E2869"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disbursed</w:t>
            </w:r>
          </w:p>
        </w:tc>
        <w:tc>
          <w:tcPr>
            <w:tcW w:w="850" w:type="dxa"/>
            <w:shd w:val="clear" w:color="auto" w:fill="auto"/>
            <w:noWrap/>
            <w:hideMark/>
          </w:tcPr>
          <w:p w14:paraId="7D413343"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bilateral</w:t>
            </w:r>
          </w:p>
        </w:tc>
        <w:tc>
          <w:tcPr>
            <w:tcW w:w="2410" w:type="dxa"/>
            <w:shd w:val="clear" w:color="000000" w:fill="FFFFFF"/>
            <w:noWrap/>
            <w:hideMark/>
          </w:tcPr>
          <w:p w14:paraId="49587991"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Ministry for Primary Industries</w:t>
            </w:r>
          </w:p>
        </w:tc>
        <w:tc>
          <w:tcPr>
            <w:tcW w:w="1418" w:type="dxa"/>
            <w:shd w:val="clear" w:color="auto" w:fill="auto"/>
            <w:noWrap/>
            <w:hideMark/>
          </w:tcPr>
          <w:p w14:paraId="623C7CA0"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cross-cutting</w:t>
            </w:r>
          </w:p>
        </w:tc>
        <w:tc>
          <w:tcPr>
            <w:tcW w:w="969" w:type="dxa"/>
          </w:tcPr>
          <w:p w14:paraId="4585F4DE"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c>
          <w:tcPr>
            <w:tcW w:w="1157" w:type="dxa"/>
            <w:shd w:val="clear" w:color="auto" w:fill="auto"/>
            <w:noWrap/>
            <w:hideMark/>
          </w:tcPr>
          <w:p w14:paraId="3F0FD452"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No</w:t>
            </w:r>
          </w:p>
        </w:tc>
      </w:tr>
      <w:tr w:rsidR="00182E8E" w:rsidRPr="004E7B64" w14:paraId="76AE566F" w14:textId="77777777">
        <w:trPr>
          <w:trHeight w:val="290"/>
        </w:trPr>
        <w:tc>
          <w:tcPr>
            <w:tcW w:w="2552" w:type="dxa"/>
            <w:shd w:val="clear" w:color="auto" w:fill="auto"/>
            <w:hideMark/>
          </w:tcPr>
          <w:p w14:paraId="0D83FC00"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Latin America</w:t>
            </w:r>
          </w:p>
        </w:tc>
        <w:tc>
          <w:tcPr>
            <w:tcW w:w="4111" w:type="dxa"/>
            <w:shd w:val="clear" w:color="auto" w:fill="auto"/>
            <w:noWrap/>
            <w:hideMark/>
          </w:tcPr>
          <w:p w14:paraId="1B67404D"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2021-FONTAGRO-Soil Carbon Monitoring System</w:t>
            </w:r>
          </w:p>
        </w:tc>
        <w:tc>
          <w:tcPr>
            <w:tcW w:w="992" w:type="dxa"/>
            <w:shd w:val="clear" w:color="auto" w:fill="auto"/>
            <w:noWrap/>
            <w:hideMark/>
          </w:tcPr>
          <w:p w14:paraId="631A9B91"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disbursed</w:t>
            </w:r>
          </w:p>
        </w:tc>
        <w:tc>
          <w:tcPr>
            <w:tcW w:w="850" w:type="dxa"/>
            <w:shd w:val="clear" w:color="auto" w:fill="auto"/>
            <w:noWrap/>
            <w:hideMark/>
          </w:tcPr>
          <w:p w14:paraId="0ECF0277"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regional</w:t>
            </w:r>
          </w:p>
        </w:tc>
        <w:tc>
          <w:tcPr>
            <w:tcW w:w="2410" w:type="dxa"/>
            <w:shd w:val="clear" w:color="000000" w:fill="FFFFFF"/>
            <w:noWrap/>
            <w:hideMark/>
          </w:tcPr>
          <w:p w14:paraId="369E3B37"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Ministry for Primary Industries</w:t>
            </w:r>
          </w:p>
        </w:tc>
        <w:tc>
          <w:tcPr>
            <w:tcW w:w="1418" w:type="dxa"/>
            <w:shd w:val="clear" w:color="auto" w:fill="auto"/>
            <w:noWrap/>
            <w:hideMark/>
          </w:tcPr>
          <w:p w14:paraId="6F52785B"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cross-cutting</w:t>
            </w:r>
          </w:p>
        </w:tc>
        <w:tc>
          <w:tcPr>
            <w:tcW w:w="969" w:type="dxa"/>
          </w:tcPr>
          <w:p w14:paraId="49E030EC"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c>
          <w:tcPr>
            <w:tcW w:w="1157" w:type="dxa"/>
            <w:shd w:val="clear" w:color="auto" w:fill="auto"/>
            <w:noWrap/>
            <w:hideMark/>
          </w:tcPr>
          <w:p w14:paraId="38C19CEF"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r>
      <w:tr w:rsidR="00182E8E" w:rsidRPr="004E7B64" w14:paraId="190EC563" w14:textId="77777777">
        <w:trPr>
          <w:trHeight w:val="290"/>
        </w:trPr>
        <w:tc>
          <w:tcPr>
            <w:tcW w:w="2552" w:type="dxa"/>
            <w:shd w:val="clear" w:color="auto" w:fill="auto"/>
            <w:hideMark/>
          </w:tcPr>
          <w:p w14:paraId="1936E9D2"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Global</w:t>
            </w:r>
          </w:p>
        </w:tc>
        <w:tc>
          <w:tcPr>
            <w:tcW w:w="4111" w:type="dxa"/>
            <w:shd w:val="clear" w:color="auto" w:fill="auto"/>
            <w:noWrap/>
            <w:hideMark/>
          </w:tcPr>
          <w:p w14:paraId="6AB4DCC0"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Greener Cattle Initiative</w:t>
            </w:r>
          </w:p>
        </w:tc>
        <w:tc>
          <w:tcPr>
            <w:tcW w:w="992" w:type="dxa"/>
            <w:shd w:val="clear" w:color="auto" w:fill="auto"/>
            <w:noWrap/>
            <w:hideMark/>
          </w:tcPr>
          <w:p w14:paraId="3785AC2F"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disbursed</w:t>
            </w:r>
          </w:p>
        </w:tc>
        <w:tc>
          <w:tcPr>
            <w:tcW w:w="850" w:type="dxa"/>
            <w:shd w:val="clear" w:color="auto" w:fill="auto"/>
            <w:noWrap/>
            <w:hideMark/>
          </w:tcPr>
          <w:p w14:paraId="1E2B5946"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regional</w:t>
            </w:r>
          </w:p>
        </w:tc>
        <w:tc>
          <w:tcPr>
            <w:tcW w:w="2410" w:type="dxa"/>
            <w:shd w:val="clear" w:color="000000" w:fill="FFFFFF"/>
            <w:noWrap/>
            <w:hideMark/>
          </w:tcPr>
          <w:p w14:paraId="000C8FE0"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Ministry for Primary Industries</w:t>
            </w:r>
          </w:p>
        </w:tc>
        <w:tc>
          <w:tcPr>
            <w:tcW w:w="1418" w:type="dxa"/>
            <w:shd w:val="clear" w:color="auto" w:fill="auto"/>
            <w:noWrap/>
            <w:hideMark/>
          </w:tcPr>
          <w:p w14:paraId="7CF835C0"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cross-cutting</w:t>
            </w:r>
          </w:p>
        </w:tc>
        <w:tc>
          <w:tcPr>
            <w:tcW w:w="969" w:type="dxa"/>
          </w:tcPr>
          <w:p w14:paraId="5932FB7D"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c>
          <w:tcPr>
            <w:tcW w:w="1157" w:type="dxa"/>
            <w:shd w:val="clear" w:color="auto" w:fill="auto"/>
            <w:noWrap/>
            <w:hideMark/>
          </w:tcPr>
          <w:p w14:paraId="13E6D1E4"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r>
      <w:tr w:rsidR="00182E8E" w:rsidRPr="004E7B64" w14:paraId="3716B027" w14:textId="77777777">
        <w:trPr>
          <w:trHeight w:val="290"/>
        </w:trPr>
        <w:tc>
          <w:tcPr>
            <w:tcW w:w="2552" w:type="dxa"/>
            <w:shd w:val="clear" w:color="auto" w:fill="auto"/>
            <w:hideMark/>
          </w:tcPr>
          <w:p w14:paraId="66B72B39"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Global</w:t>
            </w:r>
          </w:p>
        </w:tc>
        <w:tc>
          <w:tcPr>
            <w:tcW w:w="4111" w:type="dxa"/>
            <w:shd w:val="clear" w:color="auto" w:fill="auto"/>
            <w:noWrap/>
            <w:hideMark/>
          </w:tcPr>
          <w:p w14:paraId="1C0215C2"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GGAA-sponsorship</w:t>
            </w:r>
          </w:p>
        </w:tc>
        <w:tc>
          <w:tcPr>
            <w:tcW w:w="992" w:type="dxa"/>
            <w:shd w:val="clear" w:color="auto" w:fill="auto"/>
            <w:noWrap/>
            <w:hideMark/>
          </w:tcPr>
          <w:p w14:paraId="1709641C"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disbursed</w:t>
            </w:r>
          </w:p>
        </w:tc>
        <w:tc>
          <w:tcPr>
            <w:tcW w:w="850" w:type="dxa"/>
            <w:shd w:val="clear" w:color="auto" w:fill="auto"/>
            <w:noWrap/>
            <w:hideMark/>
          </w:tcPr>
          <w:p w14:paraId="5E52353A"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bilateral</w:t>
            </w:r>
          </w:p>
        </w:tc>
        <w:tc>
          <w:tcPr>
            <w:tcW w:w="2410" w:type="dxa"/>
            <w:shd w:val="clear" w:color="000000" w:fill="FFFFFF"/>
            <w:noWrap/>
            <w:hideMark/>
          </w:tcPr>
          <w:p w14:paraId="12D0CE9C"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Ministry for Primary Industries</w:t>
            </w:r>
          </w:p>
        </w:tc>
        <w:tc>
          <w:tcPr>
            <w:tcW w:w="1418" w:type="dxa"/>
            <w:shd w:val="clear" w:color="auto" w:fill="auto"/>
            <w:noWrap/>
            <w:hideMark/>
          </w:tcPr>
          <w:p w14:paraId="6F92F6A8"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cross-cutting</w:t>
            </w:r>
          </w:p>
        </w:tc>
        <w:tc>
          <w:tcPr>
            <w:tcW w:w="969" w:type="dxa"/>
          </w:tcPr>
          <w:p w14:paraId="740D8FE0"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c>
          <w:tcPr>
            <w:tcW w:w="1157" w:type="dxa"/>
            <w:shd w:val="clear" w:color="auto" w:fill="auto"/>
            <w:noWrap/>
            <w:hideMark/>
          </w:tcPr>
          <w:p w14:paraId="47558686"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No</w:t>
            </w:r>
          </w:p>
        </w:tc>
      </w:tr>
      <w:tr w:rsidR="00182E8E" w:rsidRPr="004E7B64" w14:paraId="6996BE54" w14:textId="77777777">
        <w:trPr>
          <w:trHeight w:val="290"/>
        </w:trPr>
        <w:tc>
          <w:tcPr>
            <w:tcW w:w="2552" w:type="dxa"/>
            <w:shd w:val="clear" w:color="auto" w:fill="auto"/>
            <w:hideMark/>
          </w:tcPr>
          <w:p w14:paraId="7C708A1A"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Chile, Ethiopia and Indonesia</w:t>
            </w:r>
          </w:p>
        </w:tc>
        <w:tc>
          <w:tcPr>
            <w:tcW w:w="4111" w:type="dxa"/>
            <w:shd w:val="clear" w:color="auto" w:fill="auto"/>
            <w:noWrap/>
            <w:hideMark/>
          </w:tcPr>
          <w:p w14:paraId="046F01A8"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2022-EJPSOILS-Truesoil</w:t>
            </w:r>
          </w:p>
        </w:tc>
        <w:tc>
          <w:tcPr>
            <w:tcW w:w="992" w:type="dxa"/>
            <w:shd w:val="clear" w:color="auto" w:fill="auto"/>
            <w:noWrap/>
            <w:hideMark/>
          </w:tcPr>
          <w:p w14:paraId="319F4766"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disbursed</w:t>
            </w:r>
          </w:p>
        </w:tc>
        <w:tc>
          <w:tcPr>
            <w:tcW w:w="850" w:type="dxa"/>
            <w:shd w:val="clear" w:color="auto" w:fill="auto"/>
            <w:noWrap/>
            <w:hideMark/>
          </w:tcPr>
          <w:p w14:paraId="4682E4D4"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bilateral</w:t>
            </w:r>
          </w:p>
        </w:tc>
        <w:tc>
          <w:tcPr>
            <w:tcW w:w="2410" w:type="dxa"/>
            <w:shd w:val="clear" w:color="000000" w:fill="FFFFFF"/>
            <w:noWrap/>
            <w:hideMark/>
          </w:tcPr>
          <w:p w14:paraId="26916B83"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Ministry for Primary Industries</w:t>
            </w:r>
          </w:p>
        </w:tc>
        <w:tc>
          <w:tcPr>
            <w:tcW w:w="1418" w:type="dxa"/>
            <w:shd w:val="clear" w:color="auto" w:fill="auto"/>
            <w:noWrap/>
            <w:hideMark/>
          </w:tcPr>
          <w:p w14:paraId="33D659E8"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 xml:space="preserve">mitigation </w:t>
            </w:r>
          </w:p>
        </w:tc>
        <w:tc>
          <w:tcPr>
            <w:tcW w:w="969" w:type="dxa"/>
          </w:tcPr>
          <w:p w14:paraId="4143E08A"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c>
          <w:tcPr>
            <w:tcW w:w="1157" w:type="dxa"/>
            <w:shd w:val="clear" w:color="auto" w:fill="auto"/>
            <w:noWrap/>
            <w:hideMark/>
          </w:tcPr>
          <w:p w14:paraId="6409DE01"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No</w:t>
            </w:r>
          </w:p>
        </w:tc>
      </w:tr>
      <w:tr w:rsidR="00182E8E" w:rsidRPr="004E7B64" w14:paraId="1758D6EA" w14:textId="77777777">
        <w:trPr>
          <w:trHeight w:val="290"/>
        </w:trPr>
        <w:tc>
          <w:tcPr>
            <w:tcW w:w="2552" w:type="dxa"/>
            <w:shd w:val="clear" w:color="auto" w:fill="auto"/>
            <w:hideMark/>
          </w:tcPr>
          <w:p w14:paraId="571080EB"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South Africa, China</w:t>
            </w:r>
          </w:p>
        </w:tc>
        <w:tc>
          <w:tcPr>
            <w:tcW w:w="4111" w:type="dxa"/>
            <w:shd w:val="clear" w:color="auto" w:fill="auto"/>
            <w:noWrap/>
            <w:hideMark/>
          </w:tcPr>
          <w:p w14:paraId="2F2EA07F"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2022-EJPSOILS-WISHROOTS</w:t>
            </w:r>
          </w:p>
        </w:tc>
        <w:tc>
          <w:tcPr>
            <w:tcW w:w="992" w:type="dxa"/>
            <w:shd w:val="clear" w:color="auto" w:fill="auto"/>
            <w:noWrap/>
            <w:hideMark/>
          </w:tcPr>
          <w:p w14:paraId="2ACFFBE8"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disbursed</w:t>
            </w:r>
          </w:p>
        </w:tc>
        <w:tc>
          <w:tcPr>
            <w:tcW w:w="850" w:type="dxa"/>
            <w:shd w:val="clear" w:color="auto" w:fill="auto"/>
            <w:noWrap/>
            <w:hideMark/>
          </w:tcPr>
          <w:p w14:paraId="07FFCFF9"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bilateral</w:t>
            </w:r>
          </w:p>
        </w:tc>
        <w:tc>
          <w:tcPr>
            <w:tcW w:w="2410" w:type="dxa"/>
            <w:shd w:val="clear" w:color="000000" w:fill="FFFFFF"/>
            <w:noWrap/>
            <w:hideMark/>
          </w:tcPr>
          <w:p w14:paraId="7BDA2B04"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Ministry for Primary Industries</w:t>
            </w:r>
          </w:p>
        </w:tc>
        <w:tc>
          <w:tcPr>
            <w:tcW w:w="1418" w:type="dxa"/>
            <w:shd w:val="clear" w:color="auto" w:fill="auto"/>
            <w:noWrap/>
            <w:hideMark/>
          </w:tcPr>
          <w:p w14:paraId="7BB1350E"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 xml:space="preserve">mitigation </w:t>
            </w:r>
          </w:p>
        </w:tc>
        <w:tc>
          <w:tcPr>
            <w:tcW w:w="969" w:type="dxa"/>
          </w:tcPr>
          <w:p w14:paraId="584D5CFC"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c>
          <w:tcPr>
            <w:tcW w:w="1157" w:type="dxa"/>
            <w:shd w:val="clear" w:color="auto" w:fill="auto"/>
            <w:noWrap/>
            <w:hideMark/>
          </w:tcPr>
          <w:p w14:paraId="2AF515FA"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No</w:t>
            </w:r>
          </w:p>
        </w:tc>
      </w:tr>
      <w:tr w:rsidR="00182E8E" w:rsidRPr="004E7B64" w14:paraId="248786A0" w14:textId="77777777">
        <w:trPr>
          <w:trHeight w:val="290"/>
        </w:trPr>
        <w:tc>
          <w:tcPr>
            <w:tcW w:w="2552" w:type="dxa"/>
            <w:shd w:val="clear" w:color="auto" w:fill="auto"/>
            <w:hideMark/>
          </w:tcPr>
          <w:p w14:paraId="4639803C"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South Africa</w:t>
            </w:r>
          </w:p>
        </w:tc>
        <w:tc>
          <w:tcPr>
            <w:tcW w:w="4111" w:type="dxa"/>
            <w:shd w:val="clear" w:color="auto" w:fill="auto"/>
            <w:noWrap/>
            <w:hideMark/>
          </w:tcPr>
          <w:p w14:paraId="26F9649A" w14:textId="2FC25766"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2021-ERANET-CircAgricGHG</w:t>
            </w:r>
          </w:p>
        </w:tc>
        <w:tc>
          <w:tcPr>
            <w:tcW w:w="992" w:type="dxa"/>
            <w:shd w:val="clear" w:color="auto" w:fill="auto"/>
            <w:noWrap/>
            <w:hideMark/>
          </w:tcPr>
          <w:p w14:paraId="48952383"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disbursed</w:t>
            </w:r>
          </w:p>
        </w:tc>
        <w:tc>
          <w:tcPr>
            <w:tcW w:w="850" w:type="dxa"/>
            <w:shd w:val="clear" w:color="auto" w:fill="auto"/>
            <w:noWrap/>
            <w:hideMark/>
          </w:tcPr>
          <w:p w14:paraId="1C8041F1"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bilateral</w:t>
            </w:r>
          </w:p>
        </w:tc>
        <w:tc>
          <w:tcPr>
            <w:tcW w:w="2410" w:type="dxa"/>
            <w:shd w:val="clear" w:color="000000" w:fill="FFFFFF"/>
            <w:noWrap/>
            <w:hideMark/>
          </w:tcPr>
          <w:p w14:paraId="7F6E7CDC"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Ministry for Primary Industries</w:t>
            </w:r>
          </w:p>
        </w:tc>
        <w:tc>
          <w:tcPr>
            <w:tcW w:w="1418" w:type="dxa"/>
            <w:shd w:val="clear" w:color="auto" w:fill="auto"/>
            <w:noWrap/>
            <w:hideMark/>
          </w:tcPr>
          <w:p w14:paraId="4CB8FA9C"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cross-cutting</w:t>
            </w:r>
          </w:p>
        </w:tc>
        <w:tc>
          <w:tcPr>
            <w:tcW w:w="969" w:type="dxa"/>
          </w:tcPr>
          <w:p w14:paraId="6F7301B8"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c>
          <w:tcPr>
            <w:tcW w:w="1157" w:type="dxa"/>
            <w:shd w:val="clear" w:color="auto" w:fill="auto"/>
            <w:noWrap/>
            <w:hideMark/>
          </w:tcPr>
          <w:p w14:paraId="2A15E1E3"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No</w:t>
            </w:r>
          </w:p>
        </w:tc>
      </w:tr>
      <w:tr w:rsidR="00182E8E" w:rsidRPr="004E7B64" w14:paraId="62F43F13" w14:textId="77777777">
        <w:trPr>
          <w:trHeight w:val="290"/>
        </w:trPr>
        <w:tc>
          <w:tcPr>
            <w:tcW w:w="2552" w:type="dxa"/>
            <w:shd w:val="clear" w:color="auto" w:fill="auto"/>
            <w:hideMark/>
          </w:tcPr>
          <w:p w14:paraId="7E4474B3"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Argentina, Uruguay and Peru</w:t>
            </w:r>
          </w:p>
        </w:tc>
        <w:tc>
          <w:tcPr>
            <w:tcW w:w="4111" w:type="dxa"/>
            <w:shd w:val="clear" w:color="auto" w:fill="auto"/>
            <w:noWrap/>
            <w:hideMark/>
          </w:tcPr>
          <w:p w14:paraId="233DE94C"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2021-ERANET-Integrity</w:t>
            </w:r>
          </w:p>
        </w:tc>
        <w:tc>
          <w:tcPr>
            <w:tcW w:w="992" w:type="dxa"/>
            <w:shd w:val="clear" w:color="auto" w:fill="auto"/>
            <w:noWrap/>
            <w:hideMark/>
          </w:tcPr>
          <w:p w14:paraId="192BBC3D"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disbursed</w:t>
            </w:r>
          </w:p>
        </w:tc>
        <w:tc>
          <w:tcPr>
            <w:tcW w:w="850" w:type="dxa"/>
            <w:shd w:val="clear" w:color="auto" w:fill="auto"/>
            <w:noWrap/>
            <w:hideMark/>
          </w:tcPr>
          <w:p w14:paraId="3DE12968"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bilateral</w:t>
            </w:r>
          </w:p>
        </w:tc>
        <w:tc>
          <w:tcPr>
            <w:tcW w:w="2410" w:type="dxa"/>
            <w:shd w:val="clear" w:color="000000" w:fill="FFFFFF"/>
            <w:noWrap/>
            <w:hideMark/>
          </w:tcPr>
          <w:p w14:paraId="01FE4BEF"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Ministry for Primary Industries</w:t>
            </w:r>
          </w:p>
        </w:tc>
        <w:tc>
          <w:tcPr>
            <w:tcW w:w="1418" w:type="dxa"/>
            <w:shd w:val="clear" w:color="auto" w:fill="auto"/>
            <w:noWrap/>
            <w:hideMark/>
          </w:tcPr>
          <w:p w14:paraId="13B3B870"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cross-cutting</w:t>
            </w:r>
          </w:p>
        </w:tc>
        <w:tc>
          <w:tcPr>
            <w:tcW w:w="969" w:type="dxa"/>
          </w:tcPr>
          <w:p w14:paraId="70B76565"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c>
          <w:tcPr>
            <w:tcW w:w="1157" w:type="dxa"/>
            <w:shd w:val="clear" w:color="auto" w:fill="auto"/>
            <w:noWrap/>
            <w:hideMark/>
          </w:tcPr>
          <w:p w14:paraId="46B9DA30"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No</w:t>
            </w:r>
          </w:p>
        </w:tc>
      </w:tr>
      <w:tr w:rsidR="00182E8E" w:rsidRPr="004E7B64" w14:paraId="46AA93C1" w14:textId="77777777">
        <w:trPr>
          <w:trHeight w:val="290"/>
        </w:trPr>
        <w:tc>
          <w:tcPr>
            <w:tcW w:w="2552" w:type="dxa"/>
            <w:shd w:val="clear" w:color="auto" w:fill="auto"/>
            <w:hideMark/>
          </w:tcPr>
          <w:p w14:paraId="4F249B5C"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Chile</w:t>
            </w:r>
          </w:p>
        </w:tc>
        <w:tc>
          <w:tcPr>
            <w:tcW w:w="4111" w:type="dxa"/>
            <w:shd w:val="clear" w:color="auto" w:fill="auto"/>
            <w:noWrap/>
            <w:hideMark/>
          </w:tcPr>
          <w:p w14:paraId="4A6901FF"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2021-ERANET-ReLive</w:t>
            </w:r>
          </w:p>
        </w:tc>
        <w:tc>
          <w:tcPr>
            <w:tcW w:w="992" w:type="dxa"/>
            <w:shd w:val="clear" w:color="auto" w:fill="auto"/>
            <w:noWrap/>
            <w:hideMark/>
          </w:tcPr>
          <w:p w14:paraId="397E6ADB"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disbursed</w:t>
            </w:r>
          </w:p>
        </w:tc>
        <w:tc>
          <w:tcPr>
            <w:tcW w:w="850" w:type="dxa"/>
            <w:shd w:val="clear" w:color="auto" w:fill="auto"/>
            <w:noWrap/>
            <w:hideMark/>
          </w:tcPr>
          <w:p w14:paraId="41D61785"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bilateral</w:t>
            </w:r>
          </w:p>
        </w:tc>
        <w:tc>
          <w:tcPr>
            <w:tcW w:w="2410" w:type="dxa"/>
            <w:shd w:val="clear" w:color="000000" w:fill="FFFFFF"/>
            <w:noWrap/>
            <w:hideMark/>
          </w:tcPr>
          <w:p w14:paraId="4D51197D"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Ministry for Primary Industries</w:t>
            </w:r>
          </w:p>
        </w:tc>
        <w:tc>
          <w:tcPr>
            <w:tcW w:w="1418" w:type="dxa"/>
            <w:shd w:val="clear" w:color="auto" w:fill="auto"/>
            <w:noWrap/>
            <w:hideMark/>
          </w:tcPr>
          <w:p w14:paraId="3B4BB7E3"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cross-cutting</w:t>
            </w:r>
          </w:p>
        </w:tc>
        <w:tc>
          <w:tcPr>
            <w:tcW w:w="969" w:type="dxa"/>
          </w:tcPr>
          <w:p w14:paraId="62DA5362"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c>
          <w:tcPr>
            <w:tcW w:w="1157" w:type="dxa"/>
            <w:shd w:val="clear" w:color="auto" w:fill="auto"/>
            <w:noWrap/>
            <w:hideMark/>
          </w:tcPr>
          <w:p w14:paraId="6CBDC139"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No</w:t>
            </w:r>
          </w:p>
        </w:tc>
      </w:tr>
      <w:tr w:rsidR="00182E8E" w:rsidRPr="004E7B64" w14:paraId="0CAB9929" w14:textId="77777777">
        <w:trPr>
          <w:trHeight w:val="290"/>
        </w:trPr>
        <w:tc>
          <w:tcPr>
            <w:tcW w:w="2552" w:type="dxa"/>
            <w:shd w:val="clear" w:color="auto" w:fill="auto"/>
            <w:hideMark/>
          </w:tcPr>
          <w:p w14:paraId="18F32A42"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Brazil and Uruguay</w:t>
            </w:r>
          </w:p>
        </w:tc>
        <w:tc>
          <w:tcPr>
            <w:tcW w:w="4111" w:type="dxa"/>
            <w:shd w:val="clear" w:color="auto" w:fill="auto"/>
            <w:noWrap/>
            <w:hideMark/>
          </w:tcPr>
          <w:p w14:paraId="43A8E2F8"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2021-ERANET-Sense</w:t>
            </w:r>
          </w:p>
        </w:tc>
        <w:tc>
          <w:tcPr>
            <w:tcW w:w="992" w:type="dxa"/>
            <w:shd w:val="clear" w:color="auto" w:fill="auto"/>
            <w:noWrap/>
            <w:hideMark/>
          </w:tcPr>
          <w:p w14:paraId="41181863"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disbursed</w:t>
            </w:r>
          </w:p>
        </w:tc>
        <w:tc>
          <w:tcPr>
            <w:tcW w:w="850" w:type="dxa"/>
            <w:shd w:val="clear" w:color="auto" w:fill="auto"/>
            <w:noWrap/>
            <w:hideMark/>
          </w:tcPr>
          <w:p w14:paraId="546C7511"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bilateral</w:t>
            </w:r>
          </w:p>
        </w:tc>
        <w:tc>
          <w:tcPr>
            <w:tcW w:w="2410" w:type="dxa"/>
            <w:shd w:val="clear" w:color="000000" w:fill="FFFFFF"/>
            <w:noWrap/>
            <w:hideMark/>
          </w:tcPr>
          <w:p w14:paraId="5FD3E49E"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Ministry for Primary Industries</w:t>
            </w:r>
          </w:p>
        </w:tc>
        <w:tc>
          <w:tcPr>
            <w:tcW w:w="1418" w:type="dxa"/>
            <w:shd w:val="clear" w:color="auto" w:fill="auto"/>
            <w:noWrap/>
            <w:hideMark/>
          </w:tcPr>
          <w:p w14:paraId="5EF65A43"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cross-cutting</w:t>
            </w:r>
          </w:p>
        </w:tc>
        <w:tc>
          <w:tcPr>
            <w:tcW w:w="969" w:type="dxa"/>
          </w:tcPr>
          <w:p w14:paraId="2BF1A684"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c>
          <w:tcPr>
            <w:tcW w:w="1157" w:type="dxa"/>
            <w:shd w:val="clear" w:color="auto" w:fill="auto"/>
            <w:noWrap/>
            <w:hideMark/>
          </w:tcPr>
          <w:p w14:paraId="708DD830" w14:textId="77777777" w:rsidR="00182E8E" w:rsidRPr="004E7B64" w:rsidRDefault="00182E8E">
            <w:pPr>
              <w:pStyle w:val="TableText"/>
              <w:rPr>
                <w:rFonts w:asciiTheme="minorHAnsi" w:hAnsiTheme="minorHAnsi" w:cstheme="minorHAnsi"/>
                <w:szCs w:val="18"/>
              </w:rPr>
            </w:pPr>
            <w:r w:rsidRPr="004E7B64">
              <w:rPr>
                <w:rFonts w:asciiTheme="minorHAnsi" w:hAnsiTheme="minorHAnsi" w:cstheme="minorHAnsi"/>
                <w:szCs w:val="18"/>
              </w:rPr>
              <w:t>Yes</w:t>
            </w:r>
          </w:p>
        </w:tc>
      </w:tr>
    </w:tbl>
    <w:p w14:paraId="2E1F66C7" w14:textId="77777777" w:rsidR="00182E8E" w:rsidRPr="00722EC0" w:rsidRDefault="00182E8E" w:rsidP="00182E8E">
      <w:pPr>
        <w:pStyle w:val="BodyText"/>
      </w:pPr>
    </w:p>
    <w:p w14:paraId="05B6B291" w14:textId="77777777" w:rsidR="00182E8E" w:rsidRPr="00722EC0" w:rsidRDefault="00182E8E" w:rsidP="00182E8E">
      <w:pPr>
        <w:pStyle w:val="Heading1"/>
        <w:spacing w:before="120" w:line="276" w:lineRule="auto"/>
        <w:rPr>
          <w:b w:val="0"/>
          <w:bCs w:val="0"/>
        </w:rPr>
        <w:sectPr w:rsidR="00182E8E" w:rsidRPr="00722EC0" w:rsidSect="008A5092">
          <w:headerReference w:type="even" r:id="rId183"/>
          <w:headerReference w:type="default" r:id="rId184"/>
          <w:footerReference w:type="even" r:id="rId185"/>
          <w:footerReference w:type="default" r:id="rId186"/>
          <w:headerReference w:type="first" r:id="rId187"/>
          <w:footerReference w:type="first" r:id="rId188"/>
          <w:pgSz w:w="16838" w:h="11906" w:orient="landscape" w:code="9"/>
          <w:pgMar w:top="1701" w:right="1134" w:bottom="1701" w:left="1134" w:header="567" w:footer="567" w:gutter="0"/>
          <w:cols w:space="708"/>
          <w:docGrid w:linePitch="360"/>
        </w:sectPr>
      </w:pPr>
    </w:p>
    <w:p w14:paraId="4CED2916" w14:textId="77777777" w:rsidR="00182E8E" w:rsidRPr="00722EC0" w:rsidRDefault="00182E8E" w:rsidP="00F03E0B">
      <w:pPr>
        <w:pStyle w:val="Heading2"/>
        <w:numPr>
          <w:ilvl w:val="0"/>
          <w:numId w:val="67"/>
        </w:numPr>
        <w:spacing w:before="0"/>
        <w:ind w:left="1134" w:hanging="1134"/>
      </w:pPr>
      <w:bookmarkStart w:id="852" w:name="_Toc184825550"/>
      <w:r w:rsidRPr="00722EC0">
        <w:t>Information on financial support provided and mobilised under Article 9</w:t>
      </w:r>
      <w:r w:rsidRPr="00722EC0">
        <w:br/>
        <w:t>of the Paris Agreement</w:t>
      </w:r>
      <w:bookmarkEnd w:id="852"/>
    </w:p>
    <w:p w14:paraId="414E049D" w14:textId="1A425FA4" w:rsidR="00182E8E" w:rsidRPr="00722EC0" w:rsidRDefault="00182E8E" w:rsidP="00605A99">
      <w:pPr>
        <w:pStyle w:val="BodyText"/>
        <w:spacing w:after="100"/>
      </w:pPr>
      <w:r w:rsidRPr="00722EC0">
        <w:t xml:space="preserve">See annex </w:t>
      </w:r>
      <w:r w:rsidR="00737543">
        <w:t>1</w:t>
      </w:r>
      <w:r w:rsidRPr="00722EC0">
        <w:t xml:space="preserve"> for common tabular format (CTF) tables:</w:t>
      </w:r>
    </w:p>
    <w:p w14:paraId="6913C9C8" w14:textId="5B1D6D7D" w:rsidR="00182E8E" w:rsidRPr="00722EC0" w:rsidRDefault="00182E8E" w:rsidP="00605A99">
      <w:pPr>
        <w:pStyle w:val="Bullet"/>
        <w:spacing w:after="100"/>
      </w:pPr>
      <w:hyperlink w:anchor="ctftable111" w:history="1">
        <w:r w:rsidRPr="00AE09D4">
          <w:rPr>
            <w:rStyle w:val="Hyperlink"/>
          </w:rPr>
          <w:t>CTF table III.1</w:t>
        </w:r>
      </w:hyperlink>
      <w:r w:rsidRPr="00722EC0">
        <w:t xml:space="preserve"> for financial support provided and mobilised through bilateral, regional and other channels</w:t>
      </w:r>
    </w:p>
    <w:p w14:paraId="3730FA30" w14:textId="3D3D5AC9" w:rsidR="00182E8E" w:rsidRPr="00722EC0" w:rsidRDefault="00182E8E" w:rsidP="00605A99">
      <w:pPr>
        <w:pStyle w:val="Bullet"/>
        <w:spacing w:after="100"/>
      </w:pPr>
      <w:hyperlink w:anchor="ctftable112" w:history="1">
        <w:r w:rsidRPr="00AE09D4">
          <w:rPr>
            <w:rStyle w:val="Hyperlink"/>
          </w:rPr>
          <w:t>CTF table III.2</w:t>
        </w:r>
      </w:hyperlink>
      <w:r w:rsidRPr="00722EC0">
        <w:t xml:space="preserve"> for financial support provided through multilateral channels.</w:t>
      </w:r>
    </w:p>
    <w:p w14:paraId="6CFAD8EE" w14:textId="77777777" w:rsidR="00182E8E" w:rsidRPr="00722EC0" w:rsidRDefault="00182E8E" w:rsidP="005B32FE">
      <w:pPr>
        <w:pStyle w:val="Heading2"/>
        <w:numPr>
          <w:ilvl w:val="0"/>
          <w:numId w:val="67"/>
        </w:numPr>
        <w:spacing w:before="280"/>
        <w:ind w:left="993" w:hanging="993"/>
      </w:pPr>
      <w:bookmarkStart w:id="853" w:name="_Toc184825551"/>
      <w:r w:rsidRPr="00722EC0">
        <w:t>Information on support for technology development and transfer provided under Article 10 of the Paris Agreement</w:t>
      </w:r>
      <w:bookmarkEnd w:id="853"/>
    </w:p>
    <w:p w14:paraId="6E6105F7" w14:textId="41A33C46" w:rsidR="00182E8E" w:rsidRPr="00722EC0" w:rsidRDefault="00182E8E" w:rsidP="00605A99">
      <w:pPr>
        <w:pStyle w:val="BodyText"/>
        <w:spacing w:before="100" w:after="100"/>
        <w:rPr>
          <w:color w:val="000000"/>
          <w:lang w:eastAsia="en-US"/>
        </w:rPr>
      </w:pPr>
      <w:r w:rsidRPr="00722EC0">
        <w:rPr>
          <w:lang w:eastAsia="en-US"/>
        </w:rPr>
        <w:t>The development and transfer of climate-friendly technologies are critical for reducing greenhouse gas emissions and adapting to the impacts of climate change. New Zealand is committed to promoting, facilitating and financing the transfer of, access to</w:t>
      </w:r>
      <w:r w:rsidR="00BF132C">
        <w:rPr>
          <w:lang w:eastAsia="en-US"/>
        </w:rPr>
        <w:t>,</w:t>
      </w:r>
      <w:r w:rsidRPr="00722EC0">
        <w:rPr>
          <w:lang w:eastAsia="en-US"/>
        </w:rPr>
        <w:t xml:space="preserve"> and deployment of climate-friendly technologies for the benefit of developing countries. </w:t>
      </w:r>
    </w:p>
    <w:p w14:paraId="1B2EB6F7" w14:textId="77777777" w:rsidR="00182E8E" w:rsidRPr="00722EC0" w:rsidRDefault="00182E8E" w:rsidP="00605A99">
      <w:pPr>
        <w:pStyle w:val="BodyText"/>
        <w:spacing w:before="100" w:after="100"/>
        <w:rPr>
          <w:color w:val="000000"/>
          <w:lang w:eastAsia="en-US"/>
        </w:rPr>
      </w:pPr>
      <w:r w:rsidRPr="00722EC0">
        <w:rPr>
          <w:color w:val="000000"/>
          <w:lang w:eastAsia="en-US"/>
        </w:rPr>
        <w:t>Technology transfer helps both developed and developing countries reduce the cost of tackling climate change, while also stimulating opportunities for sustainable development. Practical assistance and cooperative action to accelerate technology development and transfer to help developing country Parties are, therefore, priorities for New Zealand. During the reporting period, New Zealand delivered on these commitments through the IDC Programme and the GRA. This section reports on these commitments.</w:t>
      </w:r>
    </w:p>
    <w:p w14:paraId="6A2DDA4D" w14:textId="2D9C25B5" w:rsidR="00182E8E" w:rsidRPr="00722EC0" w:rsidRDefault="00182E8E" w:rsidP="00605A99">
      <w:pPr>
        <w:pStyle w:val="BodyText"/>
        <w:spacing w:before="100" w:after="100"/>
        <w:rPr>
          <w:color w:val="000000"/>
          <w:lang w:eastAsia="en-US"/>
        </w:rPr>
      </w:pPr>
      <w:r w:rsidRPr="00722EC0">
        <w:rPr>
          <w:lang w:eastAsia="en-US"/>
        </w:rPr>
        <w:t>One particular priority for the IDC Programme has been supporting energy initiatives to enable access to affordable, reliable and clean energy technologies, reducing carbon emissions, improving energy efficiency, and creating low-carbon development pathways. One example that provides endogenous technology transfers is the Renewable Energy Initiative in Nauru. This activity constructed a 1.15-megawatt solar photo-voltaic generation system in Nauru and</w:t>
      </w:r>
      <w:r w:rsidR="005E5CA9">
        <w:rPr>
          <w:lang w:eastAsia="en-US"/>
        </w:rPr>
        <w:t> </w:t>
      </w:r>
      <w:r w:rsidRPr="00722EC0">
        <w:rPr>
          <w:lang w:eastAsia="en-US"/>
        </w:rPr>
        <w:t>built a connection to the existing power network. In addition, this activity also provides exogenous technology to Nauru through technical assistance and training to operate the new generation system.</w:t>
      </w:r>
    </w:p>
    <w:p w14:paraId="7C1C9B21" w14:textId="77777777" w:rsidR="00182E8E" w:rsidRPr="00722EC0" w:rsidRDefault="00182E8E" w:rsidP="00605A99">
      <w:pPr>
        <w:pStyle w:val="BodyText"/>
        <w:spacing w:before="100" w:after="100"/>
        <w:rPr>
          <w:lang w:eastAsia="en-US"/>
        </w:rPr>
      </w:pPr>
      <w:r w:rsidRPr="00722EC0">
        <w:rPr>
          <w:lang w:eastAsia="en-US"/>
        </w:rPr>
        <w:t>The</w:t>
      </w:r>
      <w:r w:rsidRPr="00722EC0">
        <w:t xml:space="preserve"> </w:t>
      </w:r>
      <w:r w:rsidRPr="00722EC0">
        <w:rPr>
          <w:lang w:eastAsia="en-US"/>
        </w:rPr>
        <w:t xml:space="preserve">Association of Southeast Asian Nations (ASEAN) Climate Smart Agricultural Initiative is an example of New Zealand’s commitment to the reduction of global agricultural greenhouse gas emissions. This activity enables ASEAN member states to increase engagement with the GRA to develop technologies to mitigate greenhouse gas emissions and build regional capability in agricultural emissions measurement. </w:t>
      </w:r>
    </w:p>
    <w:p w14:paraId="7078350D" w14:textId="04931684" w:rsidR="00182E8E" w:rsidRPr="00605A99" w:rsidRDefault="00182E8E" w:rsidP="00605A99">
      <w:pPr>
        <w:pStyle w:val="BodyText"/>
        <w:spacing w:before="100" w:after="100"/>
        <w:rPr>
          <w:spacing w:val="-2"/>
          <w:sz w:val="20"/>
          <w:szCs w:val="20"/>
        </w:rPr>
      </w:pPr>
      <w:r w:rsidRPr="00605A99">
        <w:rPr>
          <w:spacing w:val="-2"/>
        </w:rPr>
        <w:t>Another priority for New Zealand’s support of technology transfer has been to help communities better meet the challenges of more extreme weather events, the increasing risk of drought, sea</w:t>
      </w:r>
      <w:r w:rsidR="00BF132C">
        <w:rPr>
          <w:spacing w:val="-2"/>
        </w:rPr>
        <w:t>-</w:t>
      </w:r>
      <w:r w:rsidRPr="00605A99">
        <w:rPr>
          <w:spacing w:val="-2"/>
        </w:rPr>
        <w:t>level rise and changes in fisheries resources. For example, the Activity Information for Decision Making, an activity financed by New Zealand, supports technology transfers used to enhance collaborative approaches to research and development to reduce vulnerability to climate change. It does this by bringing together datasets and systems from across the Pacific region that</w:t>
      </w:r>
      <w:r w:rsidR="00A11A6F">
        <w:rPr>
          <w:spacing w:val="-2"/>
        </w:rPr>
        <w:t> </w:t>
      </w:r>
      <w:r w:rsidRPr="00605A99">
        <w:rPr>
          <w:spacing w:val="-2"/>
        </w:rPr>
        <w:t xml:space="preserve">support a connected and usable platform of climate data, hazard and risk analysis. </w:t>
      </w:r>
    </w:p>
    <w:p w14:paraId="4E981B7F" w14:textId="53C1F2BB" w:rsidR="00182E8E" w:rsidRPr="00722EC0" w:rsidRDefault="00182E8E" w:rsidP="00605A99">
      <w:pPr>
        <w:pStyle w:val="BodyText"/>
        <w:spacing w:before="100" w:after="100"/>
        <w:rPr>
          <w:b/>
          <w:bCs/>
          <w:sz w:val="23"/>
          <w:szCs w:val="23"/>
        </w:rPr>
      </w:pPr>
      <w:r w:rsidRPr="00722EC0">
        <w:t xml:space="preserve">See annex </w:t>
      </w:r>
      <w:r w:rsidR="00FF0117">
        <w:t>1</w:t>
      </w:r>
      <w:r w:rsidR="00FF0117" w:rsidRPr="00722EC0">
        <w:t xml:space="preserve"> </w:t>
      </w:r>
      <w:r w:rsidRPr="00722EC0">
        <w:t xml:space="preserve">for </w:t>
      </w:r>
      <w:bookmarkStart w:id="854" w:name="ctftable114"/>
      <w:r w:rsidR="00211314">
        <w:fldChar w:fldCharType="begin"/>
      </w:r>
      <w:r w:rsidR="00211314">
        <w:instrText>HYPERLINK  \l "ctftable114"</w:instrText>
      </w:r>
      <w:r w:rsidR="00211314">
        <w:fldChar w:fldCharType="separate"/>
      </w:r>
      <w:r w:rsidRPr="00211314">
        <w:rPr>
          <w:rStyle w:val="Hyperlink"/>
        </w:rPr>
        <w:t>CTF table III.</w:t>
      </w:r>
      <w:bookmarkEnd w:id="854"/>
      <w:r w:rsidRPr="00211314">
        <w:rPr>
          <w:rStyle w:val="Hyperlink"/>
        </w:rPr>
        <w:t>4</w:t>
      </w:r>
      <w:r w:rsidR="00211314">
        <w:fldChar w:fldCharType="end"/>
      </w:r>
      <w:r w:rsidRPr="00722EC0">
        <w:t xml:space="preserve">, for information on support for technology development and transfer provided under Article 10 of the Paris Agreement. </w:t>
      </w:r>
    </w:p>
    <w:p w14:paraId="3C63C701" w14:textId="77777777" w:rsidR="00182E8E" w:rsidRPr="00722EC0" w:rsidRDefault="00182E8E" w:rsidP="005B32FE">
      <w:pPr>
        <w:pStyle w:val="Heading2"/>
        <w:numPr>
          <w:ilvl w:val="0"/>
          <w:numId w:val="67"/>
        </w:numPr>
        <w:ind w:left="1134" w:hanging="1134"/>
      </w:pPr>
      <w:bookmarkStart w:id="855" w:name="_Toc184825552"/>
      <w:r w:rsidRPr="00722EC0">
        <w:t>Information on capacity-building support provided under Article 11 of the Paris Agreement</w:t>
      </w:r>
      <w:bookmarkEnd w:id="855"/>
    </w:p>
    <w:p w14:paraId="5AD65278" w14:textId="77777777" w:rsidR="00182E8E" w:rsidRPr="00722EC0" w:rsidRDefault="00182E8E" w:rsidP="00182E8E">
      <w:pPr>
        <w:pStyle w:val="BodyText"/>
      </w:pPr>
      <w:r w:rsidRPr="00722EC0">
        <w:rPr>
          <w:lang w:eastAsia="en-US"/>
        </w:rPr>
        <w:t xml:space="preserve">Capacity building is an integral part of many activities in the New Zealand IDC Programme. New Zealand introduced a climate change capacity-building marker into its reporting system in 2018. This is allowing us to better track the support we provide for climate change capacity building and will let us provide more detailed reporting in the future. </w:t>
      </w:r>
    </w:p>
    <w:p w14:paraId="6B26AF04" w14:textId="77777777" w:rsidR="00182E8E" w:rsidRPr="00722EC0" w:rsidRDefault="00182E8E" w:rsidP="00182E8E">
      <w:pPr>
        <w:pStyle w:val="BodyText"/>
        <w:rPr>
          <w:lang w:eastAsia="en-US"/>
        </w:rPr>
      </w:pPr>
      <w:r w:rsidRPr="00722EC0">
        <w:rPr>
          <w:lang w:eastAsia="en-US"/>
        </w:rPr>
        <w:t>The following examples show the range of areas to which this support has contributed.</w:t>
      </w:r>
    </w:p>
    <w:p w14:paraId="46151C19" w14:textId="77777777" w:rsidR="00182E8E" w:rsidRPr="00722EC0" w:rsidRDefault="00182E8E" w:rsidP="00182E8E">
      <w:pPr>
        <w:pStyle w:val="Bullet"/>
        <w:rPr>
          <w:rFonts w:asciiTheme="minorHAnsi" w:hAnsiTheme="minorHAnsi" w:cstheme="minorHAnsi"/>
        </w:rPr>
      </w:pPr>
      <w:r w:rsidRPr="00722EC0">
        <w:rPr>
          <w:b/>
          <w:bCs/>
          <w:lang w:eastAsia="en-US"/>
        </w:rPr>
        <w:t xml:space="preserve">Renewable energy: </w:t>
      </w:r>
      <w:r w:rsidRPr="00722EC0">
        <w:rPr>
          <w:lang w:eastAsia="en-US"/>
        </w:rPr>
        <w:t xml:space="preserve">Alongside the many renewable energy activities aimed at technology transfer for climate mitigation, New Zealand aims to strengthen these with capacity-building support. This will ensure countries and communities have the ability to operate and maintain these technologies into the future, especially in the face of the impacts of climate change. The Indonesia Renewable Energy Programme </w:t>
      </w:r>
      <w:r w:rsidRPr="00722EC0">
        <w:rPr>
          <w:rFonts w:asciiTheme="minorHAnsi" w:hAnsiTheme="minorHAnsi" w:cstheme="minorHAnsi"/>
        </w:rPr>
        <w:t>provides expert advice to ensure New Zealand’s renewable energy activities are targeted and relevant and continue to contribute to increased access to renewable energy across Indonesia.</w:t>
      </w:r>
    </w:p>
    <w:p w14:paraId="32E3B76F" w14:textId="77777777" w:rsidR="00182E8E" w:rsidRPr="00722EC0" w:rsidRDefault="00182E8E" w:rsidP="00182E8E">
      <w:pPr>
        <w:pStyle w:val="Bullet"/>
        <w:rPr>
          <w:lang w:eastAsia="en-US"/>
        </w:rPr>
      </w:pPr>
      <w:r w:rsidRPr="00722EC0">
        <w:rPr>
          <w:b/>
          <w:bCs/>
          <w:lang w:eastAsia="en-US"/>
        </w:rPr>
        <w:t xml:space="preserve">Improving climate research, data and analysis to support better evidence-based decision-making: </w:t>
      </w:r>
      <w:r w:rsidRPr="00722EC0">
        <w:rPr>
          <w:lang w:eastAsia="en-US"/>
        </w:rPr>
        <w:t xml:space="preserve">New Zealand provided funding to establish a Pacific Community Centre </w:t>
      </w:r>
      <w:r w:rsidRPr="00722EC0">
        <w:rPr>
          <w:spacing w:val="-2"/>
          <w:lang w:eastAsia="en-US"/>
        </w:rPr>
        <w:t>for Ocean Science. The Japan International Cooperation Agency is funding the construction</w:t>
      </w:r>
      <w:r w:rsidRPr="00722EC0">
        <w:rPr>
          <w:lang w:eastAsia="en-US"/>
        </w:rPr>
        <w:t xml:space="preserve"> of the centre. New Zealand’s support will focus on human resources and capacity development support. </w:t>
      </w:r>
    </w:p>
    <w:p w14:paraId="6500FAAF" w14:textId="77777777" w:rsidR="00182E8E" w:rsidRPr="00722EC0" w:rsidRDefault="00182E8E" w:rsidP="00182E8E">
      <w:pPr>
        <w:pStyle w:val="Bullet"/>
        <w:rPr>
          <w:lang w:eastAsia="en-US"/>
        </w:rPr>
      </w:pPr>
      <w:r w:rsidRPr="00722EC0">
        <w:rPr>
          <w:b/>
          <w:bCs/>
          <w:lang w:eastAsia="en-US"/>
        </w:rPr>
        <w:t xml:space="preserve">Ocean acidification: </w:t>
      </w:r>
      <w:r w:rsidRPr="00722EC0">
        <w:rPr>
          <w:lang w:eastAsia="en-US"/>
        </w:rPr>
        <w:t xml:space="preserve">The New Zealand Pacific Partnership on Ocean Acidification activity supported communities in Fiji, Kiribati and Tokelau to better adapt to the impacts of ocean acidification through support for research and community-based adaptation and awareness-raising actions. </w:t>
      </w:r>
    </w:p>
    <w:p w14:paraId="719DF1D9" w14:textId="77777777" w:rsidR="00182E8E" w:rsidRPr="00722EC0" w:rsidRDefault="00182E8E" w:rsidP="00182E8E">
      <w:pPr>
        <w:pStyle w:val="Bullet"/>
      </w:pPr>
      <w:r w:rsidRPr="00722EC0">
        <w:rPr>
          <w:b/>
          <w:bCs/>
          <w:lang w:eastAsia="en-US"/>
        </w:rPr>
        <w:t xml:space="preserve">Drought resilience: </w:t>
      </w:r>
      <w:r w:rsidRPr="00722EC0">
        <w:rPr>
          <w:lang w:eastAsia="en-US"/>
        </w:rPr>
        <w:t>The Integrated Water Resource Management activity supports Tuvalu’s climate change adaptation efforts through the implementation of drought management plans, water and sanitation policy development and drought modelling.</w:t>
      </w:r>
    </w:p>
    <w:p w14:paraId="53540FB6" w14:textId="3D3A0B7C" w:rsidR="00182E8E" w:rsidRPr="00722EC0" w:rsidRDefault="00182E8E" w:rsidP="00182E8E">
      <w:pPr>
        <w:pStyle w:val="BodyText"/>
        <w:rPr>
          <w:spacing w:val="-2"/>
        </w:rPr>
      </w:pPr>
      <w:r w:rsidRPr="00722EC0">
        <w:t xml:space="preserve">See annex </w:t>
      </w:r>
      <w:r w:rsidR="00FF0117">
        <w:t>1</w:t>
      </w:r>
      <w:r w:rsidR="00FF0117" w:rsidRPr="00722EC0">
        <w:t xml:space="preserve"> </w:t>
      </w:r>
      <w:r w:rsidRPr="00722EC0">
        <w:t xml:space="preserve">for </w:t>
      </w:r>
      <w:hyperlink w:anchor="ctftable1115" w:history="1">
        <w:r w:rsidRPr="00211314">
          <w:rPr>
            <w:rStyle w:val="Hyperlink"/>
          </w:rPr>
          <w:t>CTF table III</w:t>
        </w:r>
        <w:r w:rsidR="00211314">
          <w:rPr>
            <w:rStyle w:val="Hyperlink"/>
          </w:rPr>
          <w:t>.5</w:t>
        </w:r>
      </w:hyperlink>
      <w:r w:rsidRPr="00722EC0">
        <w:t xml:space="preserve"> for information on </w:t>
      </w:r>
      <w:r w:rsidRPr="00722EC0">
        <w:rPr>
          <w:rFonts w:eastAsia="Times New Roman" w:cs="Calibri"/>
          <w:color w:val="000000"/>
          <w:lang w:eastAsia="en-US"/>
        </w:rPr>
        <w:t xml:space="preserve">New Zealand’s capacity-building support in </w:t>
      </w:r>
      <w:r w:rsidRPr="00722EC0">
        <w:rPr>
          <w:rFonts w:eastAsia="Times New Roman" w:cs="Calibri"/>
          <w:color w:val="000000"/>
          <w:spacing w:val="-2"/>
          <w:lang w:eastAsia="en-US"/>
        </w:rPr>
        <w:t xml:space="preserve">the context of climate change during 2021–22, </w:t>
      </w:r>
      <w:r w:rsidRPr="00722EC0">
        <w:rPr>
          <w:spacing w:val="-2"/>
        </w:rPr>
        <w:t>provided under Article 11 of the Paris Agreement.</w:t>
      </w:r>
    </w:p>
    <w:p w14:paraId="16CDF9A4" w14:textId="76EEC917" w:rsidR="00012EF0" w:rsidRDefault="00012EF0" w:rsidP="002A4917">
      <w:pPr>
        <w:pStyle w:val="BodyText"/>
      </w:pPr>
      <w:r>
        <w:t xml:space="preserve"> </w:t>
      </w:r>
    </w:p>
    <w:p w14:paraId="1E3CB9AF" w14:textId="1AAC43FF" w:rsidR="00012EF0" w:rsidRDefault="00012EF0" w:rsidP="002A4917">
      <w:pPr>
        <w:pStyle w:val="BodyText"/>
        <w:sectPr w:rsidR="00012EF0" w:rsidSect="005E5CA9">
          <w:headerReference w:type="even" r:id="rId189"/>
          <w:headerReference w:type="default" r:id="rId190"/>
          <w:footerReference w:type="even" r:id="rId191"/>
          <w:footerReference w:type="default" r:id="rId192"/>
          <w:headerReference w:type="first" r:id="rId193"/>
          <w:pgSz w:w="11907" w:h="16840" w:code="9"/>
          <w:pgMar w:top="1134" w:right="1701" w:bottom="1134" w:left="1701" w:header="567" w:footer="567" w:gutter="0"/>
          <w:cols w:space="720"/>
          <w:docGrid w:linePitch="299"/>
        </w:sectPr>
      </w:pPr>
      <w:r>
        <w:t xml:space="preserve"> </w:t>
      </w:r>
    </w:p>
    <w:p w14:paraId="13091C8C" w14:textId="5089E651" w:rsidR="00321F6F" w:rsidRDefault="00E87202" w:rsidP="002A4917">
      <w:pPr>
        <w:pStyle w:val="BodyText"/>
      </w:pPr>
      <w:r>
        <w:rPr>
          <w:noProof/>
        </w:rPr>
        <w:drawing>
          <wp:anchor distT="0" distB="0" distL="114300" distR="114300" simplePos="0" relativeHeight="251658247" behindDoc="1" locked="0" layoutInCell="1" allowOverlap="1" wp14:anchorId="744D9832" wp14:editId="0AD08006">
            <wp:simplePos x="0" y="0"/>
            <wp:positionH relativeFrom="column">
              <wp:posOffset>-1090930</wp:posOffset>
            </wp:positionH>
            <wp:positionV relativeFrom="paragraph">
              <wp:posOffset>-720090</wp:posOffset>
            </wp:positionV>
            <wp:extent cx="7560000" cy="10693333"/>
            <wp:effectExtent l="0" t="0" r="3175" b="0"/>
            <wp:wrapNone/>
            <wp:docPr id="12423154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315471" name="Picture 1242315471"/>
                    <pic:cNvPicPr/>
                  </pic:nvPicPr>
                  <pic:blipFill>
                    <a:blip r:embed="rId194"/>
                    <a:stretch>
                      <a:fillRect/>
                    </a:stretch>
                  </pic:blipFill>
                  <pic:spPr>
                    <a:xfrm>
                      <a:off x="0" y="0"/>
                      <a:ext cx="7560000" cy="10693333"/>
                    </a:xfrm>
                    <a:prstGeom prst="rect">
                      <a:avLst/>
                    </a:prstGeom>
                  </pic:spPr>
                </pic:pic>
              </a:graphicData>
            </a:graphic>
            <wp14:sizeRelH relativeFrom="page">
              <wp14:pctWidth>0</wp14:pctWidth>
            </wp14:sizeRelH>
            <wp14:sizeRelV relativeFrom="page">
              <wp14:pctHeight>0</wp14:pctHeight>
            </wp14:sizeRelV>
          </wp:anchor>
        </w:drawing>
      </w:r>
      <w:r>
        <w:t xml:space="preserve"> </w:t>
      </w:r>
    </w:p>
    <w:p w14:paraId="047318A3" w14:textId="77777777" w:rsidR="00321F6F" w:rsidRDefault="00321F6F" w:rsidP="002A4917">
      <w:pPr>
        <w:pStyle w:val="BodyText"/>
      </w:pPr>
    </w:p>
    <w:p w14:paraId="57C7C380" w14:textId="77777777" w:rsidR="00321F6F" w:rsidRDefault="00321F6F" w:rsidP="002A4917">
      <w:pPr>
        <w:pStyle w:val="BodyText"/>
      </w:pPr>
    </w:p>
    <w:p w14:paraId="1BEF7071" w14:textId="77777777" w:rsidR="00321F6F" w:rsidRDefault="00321F6F" w:rsidP="002A4917">
      <w:pPr>
        <w:pStyle w:val="BodyText"/>
      </w:pPr>
    </w:p>
    <w:p w14:paraId="435D0DF4" w14:textId="25A3E75C" w:rsidR="00321F6F" w:rsidRPr="005106AF" w:rsidRDefault="00321F6F" w:rsidP="00CC57B1">
      <w:pPr>
        <w:rPr>
          <w:rFonts w:ascii="Georgia" w:hAnsi="Georgia"/>
          <w:b/>
          <w:color w:val="FFFFFF" w:themeColor="background1"/>
          <w:sz w:val="48"/>
          <w:szCs w:val="48"/>
        </w:rPr>
      </w:pPr>
      <w:r w:rsidRPr="005106AF">
        <w:rPr>
          <w:rFonts w:ascii="Georgia" w:hAnsi="Georgia"/>
          <w:b/>
          <w:color w:val="FFFFFF" w:themeColor="background1"/>
          <w:sz w:val="48"/>
          <w:szCs w:val="48"/>
        </w:rPr>
        <w:t>Annexes</w:t>
      </w:r>
    </w:p>
    <w:p w14:paraId="1DA77E24" w14:textId="77777777" w:rsidR="00321F6F" w:rsidRDefault="00321F6F" w:rsidP="002A4917">
      <w:pPr>
        <w:pStyle w:val="BodyText"/>
      </w:pPr>
    </w:p>
    <w:p w14:paraId="7CF8B90D" w14:textId="77777777" w:rsidR="00E87202" w:rsidRDefault="00E87202">
      <w:pPr>
        <w:spacing w:before="0" w:after="200" w:line="276" w:lineRule="auto"/>
        <w:jc w:val="left"/>
      </w:pPr>
      <w:r>
        <w:br w:type="page"/>
      </w:r>
    </w:p>
    <w:p w14:paraId="091C0A65" w14:textId="2A4450A5" w:rsidR="009B2872" w:rsidRPr="009B2872" w:rsidRDefault="009B2872" w:rsidP="00F00850">
      <w:pPr>
        <w:pStyle w:val="Heading1"/>
        <w:rPr>
          <w:b w:val="0"/>
          <w:bCs w:val="0"/>
        </w:rPr>
      </w:pPr>
      <w:bookmarkStart w:id="856" w:name="_Toc169616472"/>
      <w:bookmarkStart w:id="857" w:name="_Toc169616513"/>
      <w:bookmarkStart w:id="858" w:name="_Toc169620179"/>
      <w:bookmarkStart w:id="859" w:name="_Toc172794089"/>
      <w:bookmarkStart w:id="860" w:name="_Toc183678475"/>
      <w:bookmarkStart w:id="861" w:name="_Toc184825553"/>
      <w:r w:rsidRPr="009B2872">
        <w:t xml:space="preserve">Annex I: </w:t>
      </w:r>
      <w:bookmarkStart w:id="862" w:name="_Toc169616473"/>
      <w:bookmarkStart w:id="863" w:name="_Toc169616514"/>
      <w:bookmarkStart w:id="864" w:name="_Toc169620180"/>
      <w:bookmarkStart w:id="865" w:name="_Toc172794090"/>
      <w:bookmarkEnd w:id="856"/>
      <w:bookmarkEnd w:id="857"/>
      <w:bookmarkEnd w:id="858"/>
      <w:bookmarkEnd w:id="859"/>
      <w:r w:rsidRPr="009B2872">
        <w:t>Common tabular formats for</w:t>
      </w:r>
      <w:r w:rsidRPr="009B2872">
        <w:rPr>
          <w:b w:val="0"/>
        </w:rPr>
        <w:t xml:space="preserve"> </w:t>
      </w:r>
      <w:r w:rsidRPr="003E7F6C">
        <w:t>electronic reporting</w:t>
      </w:r>
      <w:bookmarkEnd w:id="860"/>
      <w:bookmarkEnd w:id="861"/>
      <w:bookmarkEnd w:id="862"/>
      <w:bookmarkEnd w:id="863"/>
      <w:bookmarkEnd w:id="864"/>
      <w:bookmarkEnd w:id="865"/>
      <w:r w:rsidRPr="009B2872">
        <w:rPr>
          <w:b w:val="0"/>
        </w:rPr>
        <w:t xml:space="preserve"> </w:t>
      </w:r>
    </w:p>
    <w:p w14:paraId="13C784A5" w14:textId="77777777" w:rsidR="009B2872" w:rsidRPr="009B2872" w:rsidRDefault="009B2872" w:rsidP="006829BF">
      <w:pPr>
        <w:pStyle w:val="Heading2notforTOC"/>
      </w:pPr>
      <w:bookmarkStart w:id="866" w:name="_Toc169616474"/>
      <w:bookmarkStart w:id="867" w:name="_Toc169616515"/>
      <w:bookmarkStart w:id="868" w:name="_Toc169620181"/>
      <w:bookmarkStart w:id="869" w:name="_Toc172794091"/>
      <w:bookmarkStart w:id="870" w:name="_Toc183678476"/>
      <w:r w:rsidRPr="009B2872">
        <w:t>Common tabular formats for the electronic reporting of information necessary to track progress in implementing and achieving nationally determined contributions under Article 4 of the Paris Agreement</w:t>
      </w:r>
      <w:bookmarkEnd w:id="866"/>
      <w:bookmarkEnd w:id="867"/>
      <w:bookmarkEnd w:id="868"/>
      <w:bookmarkEnd w:id="869"/>
      <w:bookmarkEnd w:id="870"/>
    </w:p>
    <w:p w14:paraId="683875C2" w14:textId="77777777" w:rsidR="009B2872" w:rsidRPr="009B2872" w:rsidRDefault="009B2872" w:rsidP="004522CA">
      <w:pPr>
        <w:pStyle w:val="Tableheading"/>
      </w:pPr>
      <w:bookmarkStart w:id="871" w:name="_Toc185407513"/>
      <w:bookmarkStart w:id="872" w:name="_Toc185427776"/>
      <w:r w:rsidRPr="009B2872">
        <w:t xml:space="preserve">CTF table 1: </w:t>
      </w:r>
      <w:r w:rsidRPr="009B2872">
        <w:tab/>
        <w:t>Structured summary: Description of selected indicators</w:t>
      </w:r>
      <w:bookmarkEnd w:id="871"/>
      <w:bookmarkEnd w:id="872"/>
    </w:p>
    <w:tbl>
      <w:tblPr>
        <w:tblStyle w:val="TableGrid"/>
        <w:tblW w:w="8497" w:type="dxa"/>
        <w:tblBorders>
          <w:top w:val="single" w:sz="6" w:space="0" w:color="1C556C" w:themeColor="accent1"/>
          <w:left w:val="none" w:sz="0" w:space="0" w:color="auto"/>
          <w:bottom w:val="single" w:sz="6" w:space="0" w:color="1C556C" w:themeColor="accent1"/>
          <w:right w:val="none" w:sz="0" w:space="0" w:color="auto"/>
          <w:insideH w:val="single" w:sz="6" w:space="0" w:color="1C556C" w:themeColor="accent1"/>
          <w:insideV w:val="single" w:sz="6" w:space="0" w:color="1C556C" w:themeColor="accent1"/>
        </w:tblBorders>
        <w:tblLayout w:type="fixed"/>
        <w:tblLook w:val="0000" w:firstRow="0" w:lastRow="0" w:firstColumn="0" w:lastColumn="0" w:noHBand="0" w:noVBand="0"/>
      </w:tblPr>
      <w:tblGrid>
        <w:gridCol w:w="2535"/>
        <w:gridCol w:w="5962"/>
      </w:tblGrid>
      <w:tr w:rsidR="009B2872" w:rsidRPr="009B2872" w14:paraId="7A0159CD" w14:textId="77777777" w:rsidTr="00A0632D">
        <w:trPr>
          <w:trHeight w:val="300"/>
        </w:trPr>
        <w:tc>
          <w:tcPr>
            <w:tcW w:w="2535" w:type="dxa"/>
            <w:shd w:val="clear" w:color="auto" w:fill="1C556C" w:themeFill="accent1"/>
            <w:tcMar>
              <w:left w:w="105" w:type="dxa"/>
              <w:right w:w="105" w:type="dxa"/>
            </w:tcMar>
          </w:tcPr>
          <w:p w14:paraId="590A846E" w14:textId="77777777" w:rsidR="009B2872" w:rsidRPr="009B2872" w:rsidRDefault="009B2872" w:rsidP="009B2872">
            <w:pPr>
              <w:spacing w:before="60" w:after="60" w:line="240" w:lineRule="atLeast"/>
              <w:jc w:val="left"/>
              <w:rPr>
                <w:rFonts w:cstheme="minorBidi"/>
                <w:b/>
                <w:color w:val="FFFFFF" w:themeColor="background1"/>
                <w:sz w:val="18"/>
                <w:szCs w:val="22"/>
              </w:rPr>
            </w:pPr>
            <w:r w:rsidRPr="009B2872">
              <w:rPr>
                <w:rFonts w:cstheme="minorBidi"/>
                <w:b/>
                <w:color w:val="FFFFFF" w:themeColor="background1"/>
                <w:sz w:val="18"/>
                <w:szCs w:val="22"/>
              </w:rPr>
              <w:t xml:space="preserve">Indicator(s) selected to track progress </w:t>
            </w:r>
            <w:r w:rsidRPr="00A0632D">
              <w:rPr>
                <w:rFonts w:cstheme="minorBidi"/>
                <w:b/>
                <w:color w:val="FFFFFF" w:themeColor="background1"/>
                <w:sz w:val="22"/>
                <w:szCs w:val="22"/>
                <w:vertAlign w:val="superscript"/>
              </w:rPr>
              <w:t>a</w:t>
            </w:r>
            <w:r w:rsidRPr="009B2872">
              <w:rPr>
                <w:rFonts w:cstheme="minorBidi"/>
                <w:b/>
                <w:color w:val="FFFFFF" w:themeColor="background1"/>
                <w:sz w:val="18"/>
                <w:szCs w:val="22"/>
              </w:rPr>
              <w:t xml:space="preserve"> </w:t>
            </w:r>
          </w:p>
        </w:tc>
        <w:tc>
          <w:tcPr>
            <w:tcW w:w="5962" w:type="dxa"/>
            <w:shd w:val="clear" w:color="auto" w:fill="1C556C" w:themeFill="accent1"/>
            <w:tcMar>
              <w:left w:w="105" w:type="dxa"/>
              <w:right w:w="105" w:type="dxa"/>
            </w:tcMar>
          </w:tcPr>
          <w:p w14:paraId="0387562B" w14:textId="77777777" w:rsidR="009B2872" w:rsidRPr="009B2872" w:rsidRDefault="009B2872" w:rsidP="009B2872">
            <w:pPr>
              <w:spacing w:before="60" w:after="60" w:line="240" w:lineRule="atLeast"/>
              <w:jc w:val="left"/>
              <w:rPr>
                <w:rFonts w:cstheme="minorBidi"/>
                <w:b/>
                <w:color w:val="FFFFFF" w:themeColor="background1"/>
                <w:sz w:val="18"/>
                <w:szCs w:val="22"/>
              </w:rPr>
            </w:pPr>
            <w:r w:rsidRPr="009B2872">
              <w:rPr>
                <w:rFonts w:cstheme="minorBidi"/>
                <w:b/>
                <w:color w:val="FFFFFF" w:themeColor="background1"/>
                <w:sz w:val="18"/>
                <w:szCs w:val="22"/>
              </w:rPr>
              <w:t>Description</w:t>
            </w:r>
          </w:p>
        </w:tc>
      </w:tr>
      <w:tr w:rsidR="009B2872" w:rsidRPr="009B2872" w14:paraId="0E4999B1" w14:textId="77777777" w:rsidTr="00A0632D">
        <w:trPr>
          <w:trHeight w:val="300"/>
        </w:trPr>
        <w:tc>
          <w:tcPr>
            <w:tcW w:w="2535" w:type="dxa"/>
            <w:tcMar>
              <w:left w:w="105" w:type="dxa"/>
              <w:right w:w="105" w:type="dxa"/>
            </w:tcMar>
          </w:tcPr>
          <w:p w14:paraId="20DF17CB" w14:textId="77777777" w:rsidR="009B2872" w:rsidRPr="009B2872" w:rsidRDefault="009B2872" w:rsidP="009B2872">
            <w:pPr>
              <w:spacing w:before="60" w:after="60" w:line="240" w:lineRule="atLeast"/>
              <w:jc w:val="left"/>
              <w:rPr>
                <w:rFonts w:eastAsia="Calibri" w:cs="Calibri"/>
                <w:b/>
                <w:sz w:val="18"/>
                <w:szCs w:val="22"/>
              </w:rPr>
            </w:pPr>
            <w:r w:rsidRPr="009B2872">
              <w:rPr>
                <w:rFonts w:cstheme="minorBidi"/>
                <w:b/>
                <w:sz w:val="18"/>
                <w:szCs w:val="22"/>
              </w:rPr>
              <w:t>Annual net target accounting emissions</w:t>
            </w:r>
          </w:p>
        </w:tc>
        <w:tc>
          <w:tcPr>
            <w:tcW w:w="5962" w:type="dxa"/>
            <w:tcMar>
              <w:left w:w="105" w:type="dxa"/>
              <w:right w:w="105" w:type="dxa"/>
            </w:tcMar>
          </w:tcPr>
          <w:p w14:paraId="29A08636" w14:textId="09BCE6A9" w:rsidR="009B2872" w:rsidRPr="009B2872" w:rsidRDefault="009B2872" w:rsidP="009B2872">
            <w:pPr>
              <w:spacing w:before="60" w:after="60" w:line="240" w:lineRule="atLeast"/>
              <w:jc w:val="left"/>
              <w:rPr>
                <w:rFonts w:cstheme="minorBidi"/>
                <w:sz w:val="18"/>
                <w:szCs w:val="22"/>
              </w:rPr>
            </w:pPr>
            <w:r w:rsidRPr="009B2872">
              <w:rPr>
                <w:rFonts w:cstheme="minorBidi"/>
                <w:sz w:val="18"/>
                <w:szCs w:val="22"/>
              </w:rPr>
              <w:t>Annual net target accounting emissions between 2021 and 2030 in kt CO</w:t>
            </w:r>
            <w:r w:rsidRPr="009B2872">
              <w:rPr>
                <w:rFonts w:cstheme="minorBidi"/>
                <w:sz w:val="18"/>
                <w:szCs w:val="22"/>
                <w:vertAlign w:val="subscript"/>
              </w:rPr>
              <w:t>2</w:t>
            </w:r>
            <w:r w:rsidRPr="009B2872">
              <w:rPr>
                <w:rFonts w:cstheme="minorBidi"/>
                <w:sz w:val="18"/>
                <w:szCs w:val="22"/>
              </w:rPr>
              <w:t>e</w:t>
            </w:r>
          </w:p>
        </w:tc>
      </w:tr>
      <w:tr w:rsidR="009B2872" w:rsidRPr="009B2872" w14:paraId="2544AA34" w14:textId="77777777" w:rsidTr="00A0632D">
        <w:trPr>
          <w:trHeight w:val="300"/>
        </w:trPr>
        <w:tc>
          <w:tcPr>
            <w:tcW w:w="2535" w:type="dxa"/>
            <w:tcMar>
              <w:left w:w="105" w:type="dxa"/>
              <w:right w:w="105" w:type="dxa"/>
            </w:tcMar>
          </w:tcPr>
          <w:p w14:paraId="3899C722" w14:textId="77777777" w:rsidR="009B2872" w:rsidRPr="009B2872" w:rsidRDefault="009B2872" w:rsidP="009B2872">
            <w:pPr>
              <w:spacing w:before="60" w:after="60" w:line="240" w:lineRule="atLeast"/>
              <w:jc w:val="left"/>
              <w:rPr>
                <w:rFonts w:eastAsia="Calibri" w:cs="Calibri"/>
                <w:b/>
                <w:sz w:val="18"/>
                <w:szCs w:val="22"/>
              </w:rPr>
            </w:pPr>
            <w:r w:rsidRPr="009B2872">
              <w:rPr>
                <w:rFonts w:eastAsia="Calibri" w:cs="Calibri"/>
                <w:b/>
                <w:sz w:val="18"/>
                <w:szCs w:val="22"/>
              </w:rPr>
              <w:t>Information for the reference point(s), level(s), baseline(s), base year(s) or starting point(s), as appropriate</w:t>
            </w:r>
          </w:p>
        </w:tc>
        <w:tc>
          <w:tcPr>
            <w:tcW w:w="5962" w:type="dxa"/>
            <w:tcMar>
              <w:left w:w="105" w:type="dxa"/>
              <w:right w:w="105" w:type="dxa"/>
            </w:tcMar>
          </w:tcPr>
          <w:p w14:paraId="7E794727" w14:textId="77777777" w:rsidR="009B2872" w:rsidRPr="009B2872" w:rsidRDefault="009B2872" w:rsidP="009B2872">
            <w:pPr>
              <w:spacing w:before="60" w:after="60" w:line="240" w:lineRule="atLeast"/>
              <w:jc w:val="left"/>
              <w:rPr>
                <w:rFonts w:cstheme="minorBidi"/>
                <w:sz w:val="18"/>
                <w:szCs w:val="22"/>
              </w:rPr>
            </w:pPr>
            <w:r w:rsidRPr="009B2872">
              <w:rPr>
                <w:rFonts w:cstheme="minorBidi"/>
                <w:sz w:val="18"/>
                <w:szCs w:val="22"/>
              </w:rPr>
              <w:t>Target reference year: 2005</w:t>
            </w:r>
          </w:p>
          <w:p w14:paraId="0DABA147" w14:textId="77777777" w:rsidR="009B2872" w:rsidRPr="009B2872" w:rsidRDefault="009B2872" w:rsidP="009B2872">
            <w:pPr>
              <w:spacing w:before="0" w:after="60" w:line="240" w:lineRule="atLeast"/>
              <w:jc w:val="left"/>
              <w:rPr>
                <w:rFonts w:cstheme="minorBidi"/>
                <w:sz w:val="18"/>
                <w:szCs w:val="22"/>
              </w:rPr>
            </w:pPr>
            <w:r w:rsidRPr="009B2872">
              <w:rPr>
                <w:rFonts w:cstheme="minorBidi"/>
                <w:sz w:val="18"/>
                <w:szCs w:val="22"/>
              </w:rPr>
              <w:t>LULUCF activity start year: 1990</w:t>
            </w:r>
          </w:p>
          <w:p w14:paraId="0C56C8E2" w14:textId="2EE998EB" w:rsidR="009B2872" w:rsidRPr="009B2872" w:rsidRDefault="009B2872" w:rsidP="009B2872">
            <w:pPr>
              <w:spacing w:before="0" w:after="60" w:line="240" w:lineRule="atLeast"/>
              <w:jc w:val="left"/>
              <w:rPr>
                <w:rFonts w:cstheme="minorBidi"/>
                <w:sz w:val="18"/>
                <w:szCs w:val="22"/>
              </w:rPr>
            </w:pPr>
            <w:r w:rsidRPr="009B2872">
              <w:rPr>
                <w:rFonts w:cstheme="minorBidi"/>
                <w:sz w:val="18"/>
                <w:szCs w:val="22"/>
              </w:rPr>
              <w:t>Total emissions in base year (2005): provisional estimate 86.6 (Mt CO</w:t>
            </w:r>
            <w:r w:rsidRPr="009B2872">
              <w:rPr>
                <w:rFonts w:cstheme="minorBidi"/>
                <w:sz w:val="18"/>
                <w:szCs w:val="22"/>
                <w:vertAlign w:val="subscript"/>
              </w:rPr>
              <w:t>2</w:t>
            </w:r>
            <w:r w:rsidRPr="009B2872">
              <w:rPr>
                <w:rFonts w:cstheme="minorBidi"/>
                <w:sz w:val="18"/>
                <w:szCs w:val="22"/>
              </w:rPr>
              <w:t>e)</w:t>
            </w:r>
          </w:p>
          <w:p w14:paraId="78654065" w14:textId="77777777" w:rsidR="009B2872" w:rsidRPr="009B2872" w:rsidRDefault="009B2872" w:rsidP="009B2872">
            <w:pPr>
              <w:spacing w:before="0" w:after="60" w:line="240" w:lineRule="atLeast"/>
              <w:jc w:val="left"/>
              <w:rPr>
                <w:rFonts w:cstheme="minorBidi"/>
                <w:sz w:val="18"/>
                <w:szCs w:val="22"/>
              </w:rPr>
            </w:pPr>
            <w:r w:rsidRPr="009B2872">
              <w:rPr>
                <w:rFonts w:cstheme="minorBidi"/>
                <w:sz w:val="18"/>
                <w:szCs w:val="22"/>
              </w:rPr>
              <w:t>Base year emissions are as reported in the most recently published national greenhouse gas inventory report.</w:t>
            </w:r>
          </w:p>
          <w:p w14:paraId="5F6448AB" w14:textId="77777777" w:rsidR="009B2872" w:rsidRPr="009B2872" w:rsidRDefault="009B2872" w:rsidP="009B2872">
            <w:pPr>
              <w:spacing w:before="0" w:after="60" w:line="240" w:lineRule="atLeast"/>
              <w:jc w:val="left"/>
              <w:rPr>
                <w:rFonts w:cstheme="minorBidi"/>
                <w:sz w:val="18"/>
                <w:szCs w:val="22"/>
              </w:rPr>
            </w:pPr>
            <w:r w:rsidRPr="009B2872">
              <w:rPr>
                <w:rFonts w:cstheme="minorBidi"/>
                <w:sz w:val="18"/>
                <w:szCs w:val="22"/>
              </w:rPr>
              <w:t>Common metric: AR5 GWP100</w:t>
            </w:r>
          </w:p>
        </w:tc>
      </w:tr>
      <w:tr w:rsidR="009B2872" w:rsidRPr="009B2872" w14:paraId="1F990BB6" w14:textId="77777777" w:rsidTr="00A0632D">
        <w:trPr>
          <w:trHeight w:val="330"/>
        </w:trPr>
        <w:tc>
          <w:tcPr>
            <w:tcW w:w="2535" w:type="dxa"/>
            <w:tcMar>
              <w:left w:w="105" w:type="dxa"/>
              <w:right w:w="105" w:type="dxa"/>
            </w:tcMar>
          </w:tcPr>
          <w:p w14:paraId="56425DD0" w14:textId="77777777" w:rsidR="009B2872" w:rsidRPr="009B2872" w:rsidRDefault="009B2872" w:rsidP="009B2872">
            <w:pPr>
              <w:spacing w:before="60" w:after="60" w:line="240" w:lineRule="atLeast"/>
              <w:jc w:val="left"/>
              <w:rPr>
                <w:rFonts w:eastAsia="Calibri" w:cs="Calibri"/>
                <w:b/>
                <w:sz w:val="18"/>
                <w:szCs w:val="22"/>
              </w:rPr>
            </w:pPr>
            <w:r w:rsidRPr="009B2872">
              <w:rPr>
                <w:rFonts w:cstheme="minorBidi"/>
                <w:b/>
                <w:sz w:val="18"/>
                <w:szCs w:val="22"/>
              </w:rPr>
              <w:t xml:space="preserve">Updates in accordance with any recalculation of the GHG inventory, as appropriate </w:t>
            </w:r>
            <w:r w:rsidRPr="00A0632D">
              <w:rPr>
                <w:rFonts w:cstheme="minorBidi"/>
                <w:b/>
                <w:sz w:val="22"/>
                <w:szCs w:val="22"/>
                <w:vertAlign w:val="superscript"/>
              </w:rPr>
              <w:t>b</w:t>
            </w:r>
          </w:p>
        </w:tc>
        <w:tc>
          <w:tcPr>
            <w:tcW w:w="5962" w:type="dxa"/>
            <w:tcMar>
              <w:left w:w="105" w:type="dxa"/>
              <w:right w:w="105" w:type="dxa"/>
            </w:tcMar>
          </w:tcPr>
          <w:p w14:paraId="4B15D4FF" w14:textId="77777777" w:rsidR="009B2872" w:rsidRPr="009B2872" w:rsidRDefault="009B2872" w:rsidP="009B2872">
            <w:pPr>
              <w:spacing w:before="60" w:after="60" w:line="240" w:lineRule="atLeast"/>
              <w:jc w:val="left"/>
              <w:rPr>
                <w:rFonts w:cstheme="minorBidi"/>
                <w:sz w:val="18"/>
                <w:szCs w:val="22"/>
              </w:rPr>
            </w:pPr>
            <w:r w:rsidRPr="009B2872">
              <w:rPr>
                <w:rFonts w:cstheme="minorBidi"/>
                <w:sz w:val="18"/>
                <w:szCs w:val="22"/>
              </w:rPr>
              <w:t>Base year and indicator values are consistent with the most recently published national greenhouse gas inventory report and therefore include category-specific GHG inventory recalculations for all sectors.</w:t>
            </w:r>
          </w:p>
        </w:tc>
      </w:tr>
      <w:tr w:rsidR="009B2872" w:rsidRPr="009B2872" w14:paraId="22D74A43" w14:textId="77777777" w:rsidTr="00A0632D">
        <w:trPr>
          <w:trHeight w:val="300"/>
        </w:trPr>
        <w:tc>
          <w:tcPr>
            <w:tcW w:w="2535" w:type="dxa"/>
            <w:tcMar>
              <w:left w:w="105" w:type="dxa"/>
              <w:right w:w="105" w:type="dxa"/>
            </w:tcMar>
          </w:tcPr>
          <w:p w14:paraId="4D630D1F" w14:textId="77777777" w:rsidR="009B2872" w:rsidRPr="009B2872" w:rsidRDefault="009B2872" w:rsidP="009B2872">
            <w:pPr>
              <w:spacing w:before="60" w:after="60" w:line="240" w:lineRule="atLeast"/>
              <w:jc w:val="left"/>
              <w:rPr>
                <w:rFonts w:eastAsia="Calibri" w:cs="Calibri"/>
                <w:b/>
                <w:sz w:val="18"/>
                <w:szCs w:val="22"/>
              </w:rPr>
            </w:pPr>
            <w:r w:rsidRPr="009B2872">
              <w:rPr>
                <w:rFonts w:eastAsia="Calibri" w:cs="Calibri"/>
                <w:b/>
                <w:sz w:val="18"/>
                <w:szCs w:val="22"/>
              </w:rPr>
              <w:t xml:space="preserve">Relation to NDC </w:t>
            </w:r>
            <w:r w:rsidRPr="00A0632D">
              <w:rPr>
                <w:rFonts w:eastAsia="Calibri" w:cs="Calibri"/>
                <w:b/>
                <w:sz w:val="22"/>
                <w:szCs w:val="22"/>
                <w:vertAlign w:val="superscript"/>
              </w:rPr>
              <w:t>c</w:t>
            </w:r>
          </w:p>
        </w:tc>
        <w:tc>
          <w:tcPr>
            <w:tcW w:w="5962" w:type="dxa"/>
            <w:tcMar>
              <w:left w:w="105" w:type="dxa"/>
              <w:right w:w="105" w:type="dxa"/>
            </w:tcMar>
          </w:tcPr>
          <w:p w14:paraId="6BFB4D74" w14:textId="77777777" w:rsidR="009B2872" w:rsidRPr="009B2872" w:rsidRDefault="009B2872" w:rsidP="009B2872">
            <w:pPr>
              <w:spacing w:before="60" w:after="60" w:line="240" w:lineRule="atLeast"/>
              <w:jc w:val="left"/>
              <w:rPr>
                <w:rFonts w:cstheme="minorBidi"/>
                <w:sz w:val="18"/>
                <w:szCs w:val="22"/>
              </w:rPr>
            </w:pPr>
            <w:r w:rsidRPr="009B2872">
              <w:rPr>
                <w:rFonts w:cstheme="minorBidi"/>
                <w:sz w:val="18"/>
                <w:szCs w:val="22"/>
              </w:rPr>
              <w:t>This indicator allows us to quantitatively assess how New Zealand is tracking towards reducing net greenhouse gas emissions to 50 per cent below gross 2005 levels by 2030.</w:t>
            </w:r>
          </w:p>
        </w:tc>
      </w:tr>
    </w:tbl>
    <w:p w14:paraId="3848AE34" w14:textId="77777777" w:rsidR="009B2872" w:rsidRPr="009B2872" w:rsidRDefault="009B2872" w:rsidP="009B2872">
      <w:pPr>
        <w:spacing w:line="240" w:lineRule="atLeast"/>
        <w:jc w:val="left"/>
        <w:rPr>
          <w:rFonts w:eastAsia="Calibri" w:cs="Calibri"/>
          <w:color w:val="000000" w:themeColor="text1"/>
          <w:sz w:val="18"/>
          <w:szCs w:val="18"/>
        </w:rPr>
      </w:pPr>
      <w:r w:rsidRPr="005B32FE">
        <w:rPr>
          <w:b/>
          <w:sz w:val="18"/>
          <w:szCs w:val="18"/>
        </w:rPr>
        <w:t>Note</w:t>
      </w:r>
      <w:r w:rsidRPr="75ADBAC8">
        <w:rPr>
          <w:sz w:val="18"/>
          <w:szCs w:val="18"/>
        </w:rPr>
        <w:t>: AR5 GWP100 = the 100-year time horizon global warming potential values from the IPCC Fifth Assessment Report (IPCC, 2013</w:t>
      </w:r>
      <w:r w:rsidRPr="009B2872">
        <w:rPr>
          <w:vertAlign w:val="superscript"/>
        </w:rPr>
        <w:footnoteReference w:id="314"/>
      </w:r>
      <w:r w:rsidRPr="75ADBAC8">
        <w:rPr>
          <w:sz w:val="18"/>
          <w:szCs w:val="18"/>
        </w:rPr>
        <w:t>); GHG = greenhouse gas; LULUCF = Land Use, Land-Use Change and Forestry; NDC = Nationally Determined Contribution.</w:t>
      </w:r>
    </w:p>
    <w:p w14:paraId="574FCDC4" w14:textId="77777777" w:rsidR="009B2872" w:rsidRPr="009B2872" w:rsidRDefault="009B2872" w:rsidP="009B2872">
      <w:pPr>
        <w:widowControl w:val="0"/>
        <w:adjustRightInd w:val="0"/>
        <w:spacing w:before="0" w:after="60" w:line="240" w:lineRule="auto"/>
        <w:ind w:left="397" w:hanging="397"/>
        <w:jc w:val="left"/>
        <w:textAlignment w:val="baseline"/>
        <w:rPr>
          <w:rFonts w:eastAsia="Times New Roman" w:cs="Times New Roman"/>
          <w:sz w:val="18"/>
        </w:rPr>
      </w:pPr>
      <w:r w:rsidRPr="00A0632D">
        <w:rPr>
          <w:rFonts w:eastAsia="Times New Roman" w:cs="Times New Roman"/>
          <w:vertAlign w:val="superscript"/>
        </w:rPr>
        <w:t>a</w:t>
      </w:r>
      <w:r w:rsidRPr="009B2872">
        <w:rPr>
          <w:rFonts w:eastAsia="Times New Roman" w:cs="Times New Roman"/>
          <w:sz w:val="18"/>
        </w:rPr>
        <w:tab/>
        <w:t>Each Party shall identify the indicator(s) that it has selected to track progress of its NDC (para. 65 of the MPGs).</w:t>
      </w:r>
    </w:p>
    <w:p w14:paraId="2B95BFFB" w14:textId="77777777" w:rsidR="009B2872" w:rsidRPr="009B2872" w:rsidRDefault="009B2872" w:rsidP="009B2872">
      <w:pPr>
        <w:widowControl w:val="0"/>
        <w:adjustRightInd w:val="0"/>
        <w:spacing w:before="0" w:after="60" w:line="240" w:lineRule="auto"/>
        <w:ind w:left="397" w:hanging="397"/>
        <w:jc w:val="left"/>
        <w:textAlignment w:val="baseline"/>
        <w:rPr>
          <w:rFonts w:eastAsia="Times New Roman" w:cs="Times New Roman"/>
          <w:sz w:val="18"/>
        </w:rPr>
      </w:pPr>
      <w:r w:rsidRPr="00A0632D">
        <w:rPr>
          <w:rFonts w:eastAsia="Times New Roman" w:cs="Times New Roman"/>
          <w:vertAlign w:val="superscript"/>
        </w:rPr>
        <w:t>b</w:t>
      </w:r>
      <w:r w:rsidRPr="009B2872">
        <w:rPr>
          <w:rFonts w:eastAsia="Times New Roman" w:cs="Times New Roman"/>
          <w:sz w:val="18"/>
        </w:rPr>
        <w:tab/>
        <w:t>Each Party shall provide the information for each selected indicator for the reference point(s), level(s), baseline(s), base year(s) or starting point(s), and shall update the information in accordance with any recalculation of the GHG inventory, as appropriate (para. 67 of the MPGs).</w:t>
      </w:r>
    </w:p>
    <w:p w14:paraId="2AF2C99D" w14:textId="77777777" w:rsidR="009B2872" w:rsidRPr="009B2872" w:rsidRDefault="009B2872" w:rsidP="009B2872">
      <w:pPr>
        <w:widowControl w:val="0"/>
        <w:adjustRightInd w:val="0"/>
        <w:spacing w:before="0" w:line="240" w:lineRule="auto"/>
        <w:ind w:left="397" w:hanging="397"/>
        <w:jc w:val="left"/>
        <w:textAlignment w:val="baseline"/>
        <w:rPr>
          <w:rFonts w:eastAsia="Times New Roman" w:cs="Times New Roman"/>
          <w:sz w:val="18"/>
        </w:rPr>
      </w:pPr>
      <w:r w:rsidRPr="00A0632D">
        <w:rPr>
          <w:rFonts w:cs="Times New Roman"/>
          <w:vertAlign w:val="superscript"/>
        </w:rPr>
        <w:t>c</w:t>
      </w:r>
      <w:r w:rsidRPr="009B2872">
        <w:rPr>
          <w:rFonts w:cs="Times New Roman"/>
          <w:sz w:val="18"/>
        </w:rPr>
        <w:t xml:space="preserve"> </w:t>
      </w:r>
      <w:r w:rsidRPr="009B2872">
        <w:rPr>
          <w:rFonts w:eastAsia="Times New Roman" w:cs="Times New Roman"/>
          <w:sz w:val="18"/>
        </w:rPr>
        <w:tab/>
      </w:r>
      <w:r w:rsidRPr="009B2872">
        <w:rPr>
          <w:rFonts w:cs="Times New Roman"/>
          <w:sz w:val="18"/>
        </w:rPr>
        <w:t>Each Party shall describe for each indicator identified how it is related to its NDC (para. 76(a) of the MPGs).</w:t>
      </w:r>
    </w:p>
    <w:p w14:paraId="3F2D662D" w14:textId="4EA5726F" w:rsidR="009B2872" w:rsidRPr="009B2872" w:rsidRDefault="009B2872" w:rsidP="004522CA">
      <w:pPr>
        <w:pStyle w:val="Tableheading"/>
      </w:pPr>
      <w:bookmarkStart w:id="873" w:name="_Toc185407514"/>
      <w:bookmarkStart w:id="874" w:name="_Toc185427777"/>
      <w:r w:rsidRPr="009B2872">
        <w:t xml:space="preserve">CTF </w:t>
      </w:r>
      <w:r w:rsidR="007E289C">
        <w:t>t</w:t>
      </w:r>
      <w:r w:rsidRPr="009B2872">
        <w:t xml:space="preserve">able 2: </w:t>
      </w:r>
      <w:r w:rsidRPr="009B2872">
        <w:tab/>
        <w:t>Structured summary: Definitions needed to understand the Nationally Determined Contribution</w:t>
      </w:r>
      <w:bookmarkEnd w:id="873"/>
      <w:bookmarkEnd w:id="874"/>
    </w:p>
    <w:tbl>
      <w:tblPr>
        <w:tblStyle w:val="TableGrid"/>
        <w:tblW w:w="8497" w:type="dxa"/>
        <w:tblBorders>
          <w:left w:val="none" w:sz="0" w:space="0" w:color="auto"/>
          <w:right w:val="none" w:sz="0" w:space="0" w:color="auto"/>
        </w:tblBorders>
        <w:tblLayout w:type="fixed"/>
        <w:tblCellMar>
          <w:left w:w="85" w:type="dxa"/>
          <w:right w:w="85" w:type="dxa"/>
        </w:tblCellMar>
        <w:tblLook w:val="0000" w:firstRow="0" w:lastRow="0" w:firstColumn="0" w:lastColumn="0" w:noHBand="0" w:noVBand="0"/>
      </w:tblPr>
      <w:tblGrid>
        <w:gridCol w:w="2820"/>
        <w:gridCol w:w="5677"/>
      </w:tblGrid>
      <w:tr w:rsidR="009B2872" w:rsidRPr="009B2872" w14:paraId="0E7879CA" w14:textId="77777777" w:rsidTr="005B32FE">
        <w:trPr>
          <w:trHeight w:val="285"/>
        </w:trPr>
        <w:tc>
          <w:tcPr>
            <w:tcW w:w="2820" w:type="dxa"/>
            <w:shd w:val="clear" w:color="auto" w:fill="1C556C" w:themeFill="accent1"/>
            <w:tcMar>
              <w:left w:w="105" w:type="dxa"/>
              <w:right w:w="105" w:type="dxa"/>
            </w:tcMar>
          </w:tcPr>
          <w:p w14:paraId="4BB59387" w14:textId="77777777" w:rsidR="009B2872" w:rsidRPr="009B2872" w:rsidRDefault="009B2872" w:rsidP="009B2872">
            <w:pPr>
              <w:keepNext/>
              <w:spacing w:before="40" w:after="40" w:line="240" w:lineRule="atLeast"/>
              <w:jc w:val="left"/>
              <w:rPr>
                <w:rFonts w:cstheme="minorBidi"/>
                <w:b/>
                <w:color w:val="FFFFFF" w:themeColor="background1"/>
                <w:sz w:val="18"/>
                <w:szCs w:val="22"/>
              </w:rPr>
            </w:pPr>
          </w:p>
        </w:tc>
        <w:tc>
          <w:tcPr>
            <w:tcW w:w="5677" w:type="dxa"/>
            <w:shd w:val="clear" w:color="auto" w:fill="1C556C" w:themeFill="accent1"/>
            <w:tcMar>
              <w:left w:w="105" w:type="dxa"/>
              <w:right w:w="105" w:type="dxa"/>
            </w:tcMar>
          </w:tcPr>
          <w:p w14:paraId="0FE99151" w14:textId="77777777" w:rsidR="009B2872" w:rsidRPr="009B2872" w:rsidRDefault="009B2872" w:rsidP="009B2872">
            <w:pPr>
              <w:keepNext/>
              <w:spacing w:before="40" w:after="40" w:line="240" w:lineRule="atLeast"/>
              <w:jc w:val="left"/>
              <w:rPr>
                <w:rFonts w:cstheme="minorBidi"/>
                <w:b/>
                <w:color w:val="FFFFFF" w:themeColor="background1"/>
                <w:sz w:val="18"/>
                <w:szCs w:val="22"/>
              </w:rPr>
            </w:pPr>
            <w:r w:rsidRPr="009B2872">
              <w:rPr>
                <w:rFonts w:cstheme="minorBidi"/>
                <w:b/>
                <w:color w:val="FFFFFF" w:themeColor="background1"/>
                <w:sz w:val="18"/>
                <w:szCs w:val="22"/>
              </w:rPr>
              <w:t xml:space="preserve">Definitions </w:t>
            </w:r>
            <w:r w:rsidRPr="009B2872">
              <w:rPr>
                <w:rFonts w:cstheme="minorBidi"/>
                <w:b/>
                <w:color w:val="FFFFFF" w:themeColor="background1"/>
                <w:sz w:val="18"/>
                <w:szCs w:val="22"/>
                <w:vertAlign w:val="superscript"/>
              </w:rPr>
              <w:t>a</w:t>
            </w:r>
          </w:p>
        </w:tc>
      </w:tr>
      <w:tr w:rsidR="009B2872" w:rsidRPr="009B2872" w14:paraId="13BAFBBE" w14:textId="77777777" w:rsidTr="005B32FE">
        <w:trPr>
          <w:trHeight w:val="285"/>
        </w:trPr>
        <w:tc>
          <w:tcPr>
            <w:tcW w:w="2820" w:type="dxa"/>
            <w:shd w:val="clear" w:color="auto" w:fill="D2DDE1" w:themeFill="background2"/>
            <w:tcMar>
              <w:left w:w="105" w:type="dxa"/>
              <w:right w:w="105" w:type="dxa"/>
            </w:tcMar>
          </w:tcPr>
          <w:p w14:paraId="3EE4F80D" w14:textId="77777777" w:rsidR="009B2872" w:rsidRPr="009B2872" w:rsidRDefault="009B2872" w:rsidP="009B2872">
            <w:pPr>
              <w:keepNext/>
              <w:spacing w:before="40" w:after="40" w:line="240" w:lineRule="atLeast"/>
              <w:jc w:val="left"/>
              <w:rPr>
                <w:rFonts w:cstheme="minorBidi"/>
                <w:b/>
                <w:sz w:val="18"/>
                <w:szCs w:val="22"/>
              </w:rPr>
            </w:pPr>
            <w:r w:rsidRPr="009B2872">
              <w:rPr>
                <w:rFonts w:cstheme="minorBidi"/>
                <w:b/>
                <w:sz w:val="18"/>
                <w:szCs w:val="22"/>
              </w:rPr>
              <w:t xml:space="preserve">Definition needed to understand each indicator: </w:t>
            </w:r>
          </w:p>
        </w:tc>
        <w:tc>
          <w:tcPr>
            <w:tcW w:w="5677" w:type="dxa"/>
            <w:shd w:val="clear" w:color="auto" w:fill="D2DDE1" w:themeFill="background2"/>
            <w:tcMar>
              <w:left w:w="105" w:type="dxa"/>
              <w:right w:w="105" w:type="dxa"/>
            </w:tcMar>
          </w:tcPr>
          <w:p w14:paraId="710CD101" w14:textId="77777777" w:rsidR="009B2872" w:rsidRPr="009B2872" w:rsidRDefault="009B2872" w:rsidP="009B2872">
            <w:pPr>
              <w:spacing w:before="40" w:after="40" w:line="240" w:lineRule="atLeast"/>
              <w:jc w:val="left"/>
              <w:rPr>
                <w:rFonts w:cstheme="minorBidi"/>
                <w:sz w:val="18"/>
                <w:szCs w:val="22"/>
              </w:rPr>
            </w:pPr>
          </w:p>
        </w:tc>
      </w:tr>
      <w:tr w:rsidR="009B2872" w:rsidRPr="009B2872" w14:paraId="33F25332" w14:textId="77777777" w:rsidTr="005B32FE">
        <w:trPr>
          <w:trHeight w:val="285"/>
        </w:trPr>
        <w:tc>
          <w:tcPr>
            <w:tcW w:w="2820" w:type="dxa"/>
            <w:tcMar>
              <w:left w:w="105" w:type="dxa"/>
              <w:right w:w="105" w:type="dxa"/>
            </w:tcMar>
          </w:tcPr>
          <w:p w14:paraId="07585C8D" w14:textId="77777777" w:rsidR="009B2872" w:rsidRPr="009B2872" w:rsidRDefault="009B2872" w:rsidP="009B2872">
            <w:pPr>
              <w:spacing w:before="40" w:after="60" w:line="240" w:lineRule="atLeast"/>
              <w:jc w:val="left"/>
              <w:rPr>
                <w:rFonts w:cstheme="minorBidi"/>
                <w:b/>
                <w:sz w:val="18"/>
                <w:szCs w:val="22"/>
              </w:rPr>
            </w:pPr>
            <w:r w:rsidRPr="009B2872">
              <w:rPr>
                <w:rFonts w:cstheme="minorBidi"/>
                <w:b/>
                <w:i/>
                <w:iCs/>
                <w:sz w:val="18"/>
                <w:szCs w:val="22"/>
              </w:rPr>
              <w:t>Annual net target accounting emissions in kt CO</w:t>
            </w:r>
            <w:r w:rsidRPr="009B2872">
              <w:rPr>
                <w:rFonts w:cstheme="minorBidi"/>
                <w:b/>
                <w:i/>
                <w:iCs/>
                <w:sz w:val="18"/>
                <w:szCs w:val="22"/>
                <w:vertAlign w:val="subscript"/>
              </w:rPr>
              <w:t>2</w:t>
            </w:r>
            <w:r w:rsidRPr="009B2872">
              <w:rPr>
                <w:rFonts w:cstheme="minorBidi"/>
                <w:b/>
                <w:i/>
                <w:iCs/>
                <w:sz w:val="18"/>
                <w:szCs w:val="22"/>
              </w:rPr>
              <w:t>e</w:t>
            </w:r>
          </w:p>
          <w:p w14:paraId="63E34D5C" w14:textId="77777777" w:rsidR="009B2872" w:rsidRPr="009B2872" w:rsidRDefault="009B2872" w:rsidP="009B2872">
            <w:pPr>
              <w:spacing w:before="0" w:after="60" w:line="240" w:lineRule="atLeast"/>
              <w:jc w:val="left"/>
              <w:rPr>
                <w:rFonts w:cstheme="minorBidi"/>
                <w:b/>
                <w:sz w:val="18"/>
                <w:szCs w:val="22"/>
              </w:rPr>
            </w:pPr>
          </w:p>
        </w:tc>
        <w:tc>
          <w:tcPr>
            <w:tcW w:w="5677" w:type="dxa"/>
            <w:tcMar>
              <w:left w:w="105" w:type="dxa"/>
              <w:right w:w="105" w:type="dxa"/>
            </w:tcMar>
          </w:tcPr>
          <w:p w14:paraId="221BAED8" w14:textId="77777777" w:rsidR="009B2872" w:rsidRPr="009B2872" w:rsidRDefault="009B2872" w:rsidP="009B2872">
            <w:pPr>
              <w:spacing w:before="40" w:after="60" w:line="240" w:lineRule="atLeast"/>
              <w:jc w:val="left"/>
              <w:rPr>
                <w:rFonts w:cstheme="minorBidi"/>
                <w:sz w:val="18"/>
                <w:szCs w:val="22"/>
              </w:rPr>
            </w:pPr>
            <w:r w:rsidRPr="009B2872">
              <w:rPr>
                <w:rFonts w:cstheme="minorBidi"/>
                <w:sz w:val="18"/>
                <w:szCs w:val="22"/>
              </w:rPr>
              <w:t xml:space="preserve">Annual net target accounting quantities comprise: </w:t>
            </w:r>
          </w:p>
          <w:p w14:paraId="1B0F67F1" w14:textId="77777777" w:rsidR="009B2872" w:rsidRPr="009B2872" w:rsidRDefault="009B2872" w:rsidP="000B256D">
            <w:pPr>
              <w:pStyle w:val="TableBullet"/>
            </w:pPr>
            <w:r w:rsidRPr="009B2872">
              <w:t xml:space="preserve">all gross emissions </w:t>
            </w:r>
          </w:p>
          <w:p w14:paraId="3913495D" w14:textId="77777777" w:rsidR="009B2872" w:rsidRPr="009B2872" w:rsidRDefault="009B2872" w:rsidP="000B256D">
            <w:pPr>
              <w:pStyle w:val="TableBullet"/>
            </w:pPr>
            <w:r w:rsidRPr="009B2872">
              <w:t xml:space="preserve">emissions from the following LULUCF activities: </w:t>
            </w:r>
            <w:r w:rsidRPr="00C10139">
              <w:rPr>
                <w:i/>
              </w:rPr>
              <w:t xml:space="preserve">Afforestation and reforestation, Forest management </w:t>
            </w:r>
            <w:r w:rsidRPr="009B2872">
              <w:t xml:space="preserve">and </w:t>
            </w:r>
            <w:r w:rsidRPr="00C10139">
              <w:rPr>
                <w:i/>
              </w:rPr>
              <w:t>Deforestation</w:t>
            </w:r>
            <w:r w:rsidRPr="009B2872">
              <w:t xml:space="preserve">. A country-specific approach to account for emissions from </w:t>
            </w:r>
            <w:r w:rsidRPr="00C10139">
              <w:rPr>
                <w:i/>
              </w:rPr>
              <w:t>Afforestation and reforestation</w:t>
            </w:r>
            <w:r w:rsidRPr="009B2872">
              <w:t xml:space="preserve"> is applied.</w:t>
            </w:r>
          </w:p>
        </w:tc>
      </w:tr>
      <w:tr w:rsidR="009B2872" w:rsidRPr="009B2872" w14:paraId="3E64E13F" w14:textId="77777777" w:rsidTr="005B32FE">
        <w:trPr>
          <w:trHeight w:val="285"/>
        </w:trPr>
        <w:tc>
          <w:tcPr>
            <w:tcW w:w="2820" w:type="dxa"/>
            <w:shd w:val="clear" w:color="auto" w:fill="D2DDE1" w:themeFill="background2"/>
            <w:tcMar>
              <w:left w:w="105" w:type="dxa"/>
              <w:right w:w="105" w:type="dxa"/>
            </w:tcMar>
          </w:tcPr>
          <w:p w14:paraId="726E79E8" w14:textId="77777777" w:rsidR="009B2872" w:rsidRPr="009B2872" w:rsidRDefault="009B2872" w:rsidP="009B2872">
            <w:pPr>
              <w:spacing w:before="40" w:after="40" w:line="240" w:lineRule="atLeast"/>
              <w:jc w:val="left"/>
              <w:rPr>
                <w:rFonts w:cstheme="minorBidi"/>
                <w:b/>
                <w:sz w:val="18"/>
                <w:szCs w:val="22"/>
              </w:rPr>
            </w:pPr>
            <w:r w:rsidRPr="009B2872">
              <w:rPr>
                <w:rFonts w:cstheme="minorBidi"/>
                <w:b/>
                <w:sz w:val="18"/>
                <w:szCs w:val="22"/>
              </w:rPr>
              <w:t xml:space="preserve">Any sector or category defined differently than in the national inventory report: </w:t>
            </w:r>
          </w:p>
        </w:tc>
        <w:tc>
          <w:tcPr>
            <w:tcW w:w="5677" w:type="dxa"/>
            <w:shd w:val="clear" w:color="auto" w:fill="D2DDE1" w:themeFill="background2"/>
            <w:tcMar>
              <w:left w:w="105" w:type="dxa"/>
              <w:right w:w="105" w:type="dxa"/>
            </w:tcMar>
          </w:tcPr>
          <w:p w14:paraId="1347A3D5" w14:textId="77777777" w:rsidR="009B2872" w:rsidRPr="009B2872" w:rsidRDefault="009B2872" w:rsidP="009B2872">
            <w:pPr>
              <w:spacing w:before="40" w:after="40" w:line="240" w:lineRule="auto"/>
              <w:jc w:val="left"/>
              <w:rPr>
                <w:rFonts w:eastAsia="Calibri" w:cs="Calibri"/>
                <w:color w:val="000000" w:themeColor="text1"/>
                <w:sz w:val="18"/>
                <w:szCs w:val="18"/>
              </w:rPr>
            </w:pPr>
          </w:p>
        </w:tc>
      </w:tr>
      <w:tr w:rsidR="009B2872" w:rsidRPr="009B2872" w14:paraId="15317C6D" w14:textId="77777777" w:rsidTr="005B32FE">
        <w:trPr>
          <w:trHeight w:val="285"/>
        </w:trPr>
        <w:tc>
          <w:tcPr>
            <w:tcW w:w="2820" w:type="dxa"/>
            <w:tcMar>
              <w:left w:w="105" w:type="dxa"/>
              <w:right w:w="105" w:type="dxa"/>
            </w:tcMar>
          </w:tcPr>
          <w:p w14:paraId="3F21F093" w14:textId="413A0A8F" w:rsidR="009B2872" w:rsidRPr="009B2872" w:rsidRDefault="00B67BC9" w:rsidP="00200231">
            <w:pPr>
              <w:spacing w:before="40" w:after="60" w:line="200" w:lineRule="atLeast"/>
              <w:jc w:val="left"/>
              <w:rPr>
                <w:rFonts w:cstheme="minorBidi"/>
                <w:b/>
                <w:sz w:val="18"/>
                <w:szCs w:val="22"/>
              </w:rPr>
            </w:pPr>
            <w:r>
              <w:rPr>
                <w:rFonts w:cstheme="minorBidi"/>
                <w:b/>
                <w:i/>
                <w:iCs/>
                <w:sz w:val="18"/>
                <w:szCs w:val="22"/>
              </w:rPr>
              <w:t>Land Use, Land-Use Change and Forestry</w:t>
            </w:r>
          </w:p>
        </w:tc>
        <w:tc>
          <w:tcPr>
            <w:tcW w:w="5677" w:type="dxa"/>
            <w:tcMar>
              <w:left w:w="105" w:type="dxa"/>
              <w:right w:w="105" w:type="dxa"/>
            </w:tcMar>
          </w:tcPr>
          <w:p w14:paraId="14170435" w14:textId="77777777" w:rsidR="009B2872" w:rsidRPr="009B2872" w:rsidRDefault="009B2872" w:rsidP="00200231">
            <w:pPr>
              <w:spacing w:before="40" w:after="40" w:line="200" w:lineRule="atLeast"/>
              <w:jc w:val="left"/>
              <w:rPr>
                <w:rFonts w:cstheme="minorBidi"/>
                <w:sz w:val="18"/>
                <w:szCs w:val="22"/>
              </w:rPr>
            </w:pPr>
            <w:r w:rsidRPr="009B2872">
              <w:rPr>
                <w:rFonts w:cstheme="minorBidi"/>
                <w:sz w:val="18"/>
                <w:szCs w:val="22"/>
              </w:rPr>
              <w:t xml:space="preserve">New Zealand’s accounting approach to the LULUCF sector is activity based and applies existing IPCC methodologies to distinguish areas subject to direct human-induced change that has occurred since 1990 from those under pre-existing management as at 1990, as follows. </w:t>
            </w:r>
          </w:p>
          <w:p w14:paraId="52091FB2" w14:textId="77777777" w:rsidR="009B2872" w:rsidRPr="009B2872" w:rsidRDefault="009B2872" w:rsidP="00200231">
            <w:pPr>
              <w:pStyle w:val="TableBullet"/>
              <w:spacing w:line="200" w:lineRule="atLeast"/>
            </w:pPr>
            <w:r w:rsidRPr="009B2872">
              <w:t xml:space="preserve">Emissions and removals from </w:t>
            </w:r>
            <w:r w:rsidRPr="009B2872">
              <w:rPr>
                <w:i/>
                <w:iCs/>
              </w:rPr>
              <w:t>Afforestation and reforestation</w:t>
            </w:r>
            <w:r w:rsidRPr="009B2872">
              <w:t xml:space="preserve"> activities are accounted for until the forests attain their long-term average carbon stock, taking into account all carbon pools. Thereafter, emissions and removals from these activities are tracked to ensure they are consistent with attaining the long-term average carbon stock over the long term under business-as-usual management. </w:t>
            </w:r>
          </w:p>
          <w:p w14:paraId="4311E394" w14:textId="77777777" w:rsidR="009B2872" w:rsidRPr="009B2872" w:rsidRDefault="009B2872" w:rsidP="00200231">
            <w:pPr>
              <w:pStyle w:val="TableBullet"/>
              <w:spacing w:line="200" w:lineRule="atLeast"/>
            </w:pPr>
            <w:r w:rsidRPr="009B2872">
              <w:t xml:space="preserve">Emissions and removals from </w:t>
            </w:r>
            <w:r w:rsidRPr="009B2872">
              <w:rPr>
                <w:i/>
                <w:iCs/>
              </w:rPr>
              <w:t>Deforestation</w:t>
            </w:r>
            <w:r w:rsidRPr="009B2872">
              <w:t xml:space="preserve"> activities are fully accounted for.</w:t>
            </w:r>
          </w:p>
          <w:p w14:paraId="20547E88" w14:textId="77777777" w:rsidR="009B2872" w:rsidRPr="009B2872" w:rsidRDefault="009B2872" w:rsidP="00200231">
            <w:pPr>
              <w:pStyle w:val="TableBullet"/>
              <w:spacing w:line="200" w:lineRule="atLeast"/>
            </w:pPr>
            <w:r w:rsidRPr="009B2872">
              <w:t xml:space="preserve">Emissions and removals from </w:t>
            </w:r>
            <w:r w:rsidRPr="009B2872">
              <w:rPr>
                <w:i/>
                <w:iCs/>
              </w:rPr>
              <w:t>Forest management</w:t>
            </w:r>
            <w:r w:rsidRPr="009B2872">
              <w:t xml:space="preserve"> activities are accounted for under a business-as-usual reference level, to address the dynamic effects of age structure resulting from activities and practices occurring before the start year, and the ongoing cycles of forest harvest and regrowth that occur as part of normal, sustainable forest management in production forests. </w:t>
            </w:r>
          </w:p>
          <w:p w14:paraId="6486F21C" w14:textId="77777777" w:rsidR="009B2872" w:rsidRPr="009B2872" w:rsidRDefault="009B2872" w:rsidP="00200231">
            <w:pPr>
              <w:pStyle w:val="TableBullet"/>
              <w:spacing w:line="200" w:lineRule="atLeast"/>
            </w:pPr>
            <w:r w:rsidRPr="009B2872">
              <w:t xml:space="preserve">Accounting provisions to address natural disturbances on managed lands, non-anthropogenic effects and additionality since the activity start year also apply, building on existing guidance. </w:t>
            </w:r>
          </w:p>
          <w:p w14:paraId="2802F9AF" w14:textId="77777777" w:rsidR="009B2872" w:rsidRPr="009B2872" w:rsidRDefault="009B2872" w:rsidP="00200231">
            <w:pPr>
              <w:pStyle w:val="TableBullet"/>
              <w:spacing w:line="200" w:lineRule="atLeast"/>
            </w:pPr>
            <w:r w:rsidRPr="009B2872">
              <w:t>Accounting for harvested wood products is based on the production approach.</w:t>
            </w:r>
          </w:p>
        </w:tc>
      </w:tr>
      <w:tr w:rsidR="009B2872" w:rsidRPr="009B2872" w14:paraId="4A63953A" w14:textId="77777777" w:rsidTr="005B32FE">
        <w:trPr>
          <w:trHeight w:val="285"/>
        </w:trPr>
        <w:tc>
          <w:tcPr>
            <w:tcW w:w="2820" w:type="dxa"/>
            <w:shd w:val="clear" w:color="auto" w:fill="D2DDE1" w:themeFill="background2"/>
            <w:tcMar>
              <w:left w:w="105" w:type="dxa"/>
              <w:right w:w="105" w:type="dxa"/>
            </w:tcMar>
          </w:tcPr>
          <w:p w14:paraId="267F30E0" w14:textId="0CB65AA5" w:rsidR="009B2872" w:rsidRPr="009B2872" w:rsidRDefault="009B2872" w:rsidP="009B2872">
            <w:pPr>
              <w:spacing w:before="40" w:after="40" w:line="240" w:lineRule="atLeast"/>
              <w:jc w:val="left"/>
              <w:rPr>
                <w:rFonts w:cstheme="minorBidi"/>
                <w:b/>
                <w:sz w:val="18"/>
                <w:szCs w:val="22"/>
              </w:rPr>
            </w:pPr>
            <w:r w:rsidRPr="009B2872">
              <w:rPr>
                <w:rFonts w:cstheme="minorBidi"/>
                <w:b/>
                <w:sz w:val="18"/>
                <w:szCs w:val="22"/>
              </w:rPr>
              <w:t xml:space="preserve">Definition needed </w:t>
            </w:r>
            <w:r w:rsidR="00C10139">
              <w:rPr>
                <w:rFonts w:cstheme="minorBidi"/>
                <w:b/>
                <w:sz w:val="18"/>
                <w:szCs w:val="22"/>
              </w:rPr>
              <w:t xml:space="preserve">to </w:t>
            </w:r>
            <w:r w:rsidRPr="009B2872">
              <w:rPr>
                <w:rFonts w:cstheme="minorBidi"/>
                <w:b/>
                <w:sz w:val="18"/>
                <w:szCs w:val="22"/>
              </w:rPr>
              <w:t>understand mitigation co-benefits of adaptation actions and/or economic diversification plans:</w:t>
            </w:r>
          </w:p>
        </w:tc>
        <w:tc>
          <w:tcPr>
            <w:tcW w:w="5677" w:type="dxa"/>
            <w:shd w:val="clear" w:color="auto" w:fill="D2DDE1" w:themeFill="background2"/>
            <w:tcMar>
              <w:left w:w="105" w:type="dxa"/>
              <w:right w:w="105" w:type="dxa"/>
            </w:tcMar>
          </w:tcPr>
          <w:p w14:paraId="7882BB97" w14:textId="77777777" w:rsidR="009B2872" w:rsidRPr="009B2872" w:rsidRDefault="009B2872" w:rsidP="009B2872">
            <w:pPr>
              <w:spacing w:before="40" w:after="40" w:line="240" w:lineRule="atLeast"/>
              <w:jc w:val="left"/>
              <w:rPr>
                <w:rFonts w:cstheme="minorBidi"/>
                <w:sz w:val="18"/>
                <w:szCs w:val="22"/>
              </w:rPr>
            </w:pPr>
          </w:p>
        </w:tc>
      </w:tr>
      <w:tr w:rsidR="009B2872" w:rsidRPr="009B2872" w14:paraId="669961E2" w14:textId="77777777" w:rsidTr="005B32FE">
        <w:trPr>
          <w:trHeight w:val="285"/>
        </w:trPr>
        <w:tc>
          <w:tcPr>
            <w:tcW w:w="2820" w:type="dxa"/>
            <w:tcMar>
              <w:left w:w="105" w:type="dxa"/>
              <w:right w:w="105" w:type="dxa"/>
            </w:tcMar>
          </w:tcPr>
          <w:p w14:paraId="6960B832" w14:textId="77777777" w:rsidR="009B2872" w:rsidRPr="009B2872" w:rsidRDefault="009B2872" w:rsidP="009B2872">
            <w:pPr>
              <w:spacing w:before="40" w:after="40" w:line="240" w:lineRule="atLeast"/>
              <w:jc w:val="left"/>
              <w:rPr>
                <w:rFonts w:cstheme="minorBidi"/>
                <w:b/>
                <w:i/>
                <w:iCs/>
                <w:sz w:val="18"/>
                <w:szCs w:val="22"/>
              </w:rPr>
            </w:pPr>
            <w:r w:rsidRPr="009B2872">
              <w:rPr>
                <w:rFonts w:cstheme="minorBidi"/>
                <w:b/>
                <w:i/>
                <w:iCs/>
                <w:sz w:val="18"/>
                <w:szCs w:val="22"/>
              </w:rPr>
              <w:t>Adaptation actions</w:t>
            </w:r>
          </w:p>
        </w:tc>
        <w:tc>
          <w:tcPr>
            <w:tcW w:w="5677" w:type="dxa"/>
            <w:tcMar>
              <w:left w:w="105" w:type="dxa"/>
              <w:right w:w="105" w:type="dxa"/>
            </w:tcMar>
          </w:tcPr>
          <w:p w14:paraId="3E87461B" w14:textId="77777777" w:rsidR="009B2872" w:rsidRPr="009B2872" w:rsidRDefault="009B2872" w:rsidP="009B2872">
            <w:pPr>
              <w:spacing w:before="40" w:after="40" w:line="240" w:lineRule="atLeast"/>
              <w:jc w:val="left"/>
              <w:rPr>
                <w:rFonts w:cstheme="minorBidi"/>
                <w:color w:val="000000" w:themeColor="text1"/>
                <w:sz w:val="18"/>
                <w:szCs w:val="22"/>
              </w:rPr>
            </w:pPr>
            <w:r w:rsidRPr="009B2872">
              <w:rPr>
                <w:rFonts w:cstheme="minorBidi"/>
                <w:color w:val="000000" w:themeColor="text1"/>
                <w:sz w:val="18"/>
                <w:szCs w:val="22"/>
              </w:rPr>
              <w:t>Not applicable.</w:t>
            </w:r>
          </w:p>
        </w:tc>
      </w:tr>
      <w:tr w:rsidR="009B2872" w:rsidRPr="009B2872" w14:paraId="4CFB145E" w14:textId="77777777" w:rsidTr="005B32FE">
        <w:trPr>
          <w:trHeight w:val="285"/>
        </w:trPr>
        <w:tc>
          <w:tcPr>
            <w:tcW w:w="2820" w:type="dxa"/>
            <w:tcMar>
              <w:left w:w="105" w:type="dxa"/>
              <w:right w:w="105" w:type="dxa"/>
            </w:tcMar>
          </w:tcPr>
          <w:p w14:paraId="254D0068" w14:textId="77777777" w:rsidR="009B2872" w:rsidRPr="009B2872" w:rsidRDefault="009B2872" w:rsidP="009B2872">
            <w:pPr>
              <w:spacing w:before="40" w:after="40" w:line="240" w:lineRule="atLeast"/>
              <w:jc w:val="left"/>
              <w:rPr>
                <w:rFonts w:cstheme="minorBidi"/>
                <w:b/>
                <w:i/>
                <w:iCs/>
                <w:sz w:val="18"/>
                <w:szCs w:val="22"/>
              </w:rPr>
            </w:pPr>
            <w:r w:rsidRPr="009B2872">
              <w:rPr>
                <w:rFonts w:cstheme="minorBidi"/>
                <w:b/>
                <w:i/>
                <w:iCs/>
                <w:sz w:val="18"/>
                <w:szCs w:val="22"/>
              </w:rPr>
              <w:t>Economic diversification plans</w:t>
            </w:r>
          </w:p>
        </w:tc>
        <w:tc>
          <w:tcPr>
            <w:tcW w:w="5677" w:type="dxa"/>
            <w:tcMar>
              <w:left w:w="105" w:type="dxa"/>
              <w:right w:w="105" w:type="dxa"/>
            </w:tcMar>
          </w:tcPr>
          <w:p w14:paraId="16155F70" w14:textId="77777777" w:rsidR="009B2872" w:rsidRPr="009B2872" w:rsidRDefault="009B2872" w:rsidP="009B2872">
            <w:pPr>
              <w:spacing w:before="40" w:after="40" w:line="240" w:lineRule="atLeast"/>
              <w:jc w:val="left"/>
              <w:rPr>
                <w:rFonts w:cstheme="minorBidi"/>
                <w:color w:val="000000" w:themeColor="text1"/>
                <w:sz w:val="18"/>
                <w:szCs w:val="22"/>
              </w:rPr>
            </w:pPr>
            <w:r w:rsidRPr="009B2872">
              <w:rPr>
                <w:rFonts w:cstheme="minorBidi"/>
                <w:color w:val="000000" w:themeColor="text1"/>
                <w:sz w:val="18"/>
                <w:szCs w:val="22"/>
              </w:rPr>
              <w:t>Not applicable.</w:t>
            </w:r>
          </w:p>
        </w:tc>
      </w:tr>
      <w:tr w:rsidR="009B2872" w:rsidRPr="009B2872" w14:paraId="5B67B0CD" w14:textId="77777777" w:rsidTr="005B32FE">
        <w:trPr>
          <w:trHeight w:val="268"/>
        </w:trPr>
        <w:tc>
          <w:tcPr>
            <w:tcW w:w="2820" w:type="dxa"/>
            <w:shd w:val="clear" w:color="auto" w:fill="D2DDE1" w:themeFill="background2"/>
            <w:tcMar>
              <w:left w:w="105" w:type="dxa"/>
              <w:right w:w="105" w:type="dxa"/>
            </w:tcMar>
          </w:tcPr>
          <w:p w14:paraId="57493B54" w14:textId="77777777" w:rsidR="009B2872" w:rsidRPr="009B2872" w:rsidRDefault="009B2872" w:rsidP="009B2872">
            <w:pPr>
              <w:spacing w:before="40" w:after="40" w:line="240" w:lineRule="atLeast"/>
              <w:jc w:val="left"/>
              <w:rPr>
                <w:rFonts w:cstheme="minorBidi"/>
                <w:b/>
                <w:sz w:val="18"/>
                <w:szCs w:val="22"/>
              </w:rPr>
            </w:pPr>
            <w:r w:rsidRPr="009B2872">
              <w:rPr>
                <w:rFonts w:cstheme="minorBidi"/>
                <w:b/>
                <w:sz w:val="18"/>
                <w:szCs w:val="22"/>
              </w:rPr>
              <w:t>Any other relevant definitions</w:t>
            </w:r>
          </w:p>
        </w:tc>
        <w:tc>
          <w:tcPr>
            <w:tcW w:w="5677" w:type="dxa"/>
            <w:shd w:val="clear" w:color="auto" w:fill="D2DDE1" w:themeFill="background2"/>
            <w:tcMar>
              <w:left w:w="105" w:type="dxa"/>
              <w:right w:w="105" w:type="dxa"/>
            </w:tcMar>
          </w:tcPr>
          <w:p w14:paraId="2F75F5E9" w14:textId="77777777" w:rsidR="009B2872" w:rsidRPr="009B2872" w:rsidRDefault="009B2872" w:rsidP="009B2872">
            <w:pPr>
              <w:spacing w:before="40" w:after="40" w:line="240" w:lineRule="atLeast"/>
              <w:jc w:val="left"/>
              <w:rPr>
                <w:rFonts w:cstheme="minorBidi"/>
                <w:b/>
                <w:bCs/>
                <w:color w:val="000000" w:themeColor="text1"/>
                <w:sz w:val="18"/>
                <w:szCs w:val="22"/>
              </w:rPr>
            </w:pPr>
          </w:p>
        </w:tc>
      </w:tr>
    </w:tbl>
    <w:p w14:paraId="712CEEE0" w14:textId="5D351E2E" w:rsidR="0078082B" w:rsidRDefault="0078082B" w:rsidP="00200231">
      <w:pPr>
        <w:pStyle w:val="Noteundertable"/>
      </w:pPr>
      <w:r w:rsidRPr="00681371">
        <w:rPr>
          <w:b/>
        </w:rPr>
        <w:t>Note</w:t>
      </w:r>
      <w:r w:rsidRPr="0078082B">
        <w:t xml:space="preserve">: </w:t>
      </w:r>
      <w:r>
        <w:tab/>
      </w:r>
      <w:r w:rsidRPr="0078082B">
        <w:t>IPCC = Intergovernmental Panel on Climate Change; LULUCF = Land Use, Land-Use Change and Forestry.</w:t>
      </w:r>
    </w:p>
    <w:p w14:paraId="33F69B6A" w14:textId="02DFBBB5" w:rsidR="009B2872" w:rsidRPr="009B2872" w:rsidRDefault="009B2872" w:rsidP="00200231">
      <w:pPr>
        <w:pStyle w:val="Noteundertable"/>
        <w:spacing w:before="0" w:after="60"/>
      </w:pPr>
      <w:r w:rsidRPr="009B2872">
        <w:t xml:space="preserve">Notes: </w:t>
      </w:r>
      <w:r w:rsidR="0078082B">
        <w:tab/>
      </w:r>
      <w:r w:rsidRPr="009B2872">
        <w:t>(1) Pursuant to para. 79 of the MPGs, each Party shall report the information referred to in paras. 65–78 of the MPGs in a narrative and common tabular format, as applicable. (2) A Party may amend the reporting format (e.g. Excel file) to remove specific rows in this table if the information to be provided in those rows is not applicable to the Party’s NDC under Article 4 of the Paris Agreement, in accordance with the MPGs. (3) The Party could add rows for each additional sector, category, mitigation co-benefits of adaptation actions and/or economic diversification plans, indicator and any other relevant definitions.</w:t>
      </w:r>
    </w:p>
    <w:p w14:paraId="16B4FD6A" w14:textId="77777777" w:rsidR="009B2872" w:rsidRPr="009B2872" w:rsidRDefault="009B2872" w:rsidP="00200231">
      <w:pPr>
        <w:pStyle w:val="Noteundertable"/>
        <w:spacing w:before="0" w:after="60"/>
      </w:pPr>
      <w:r w:rsidRPr="009B2872">
        <w:rPr>
          <w:vertAlign w:val="superscript"/>
        </w:rPr>
        <w:t>a</w:t>
      </w:r>
      <w:r w:rsidRPr="009B2872">
        <w:t xml:space="preserve"> </w:t>
      </w:r>
      <w:r w:rsidRPr="009B2872">
        <w:tab/>
        <w:t>Each Party shall provide any definitions needed to understand its NDC under Article 4, including those related to each indicator identified in para. 65 of the MPGs, those related to any sectors or categories defined differently than in the national inventory report, or the mitigation co-benefits of adaptation actions and/or economic diversification plans (para. 73 of the MPGs).</w:t>
      </w:r>
    </w:p>
    <w:p w14:paraId="386A7F0F" w14:textId="0583959A" w:rsidR="009B2872" w:rsidRPr="009B2872" w:rsidRDefault="009B2872" w:rsidP="004522CA">
      <w:pPr>
        <w:pStyle w:val="Tableheading"/>
      </w:pPr>
      <w:bookmarkStart w:id="875" w:name="_Toc185407515"/>
      <w:bookmarkStart w:id="876" w:name="_Toc185427778"/>
      <w:r w:rsidRPr="009B2872">
        <w:t>CTF table 3</w:t>
      </w:r>
      <w:r w:rsidR="00E836AB">
        <w:t>:</w:t>
      </w:r>
      <w:r w:rsidRPr="009B2872">
        <w:t xml:space="preserve"> </w:t>
      </w:r>
      <w:r w:rsidRPr="009B2872">
        <w:tab/>
        <w:t>Structured summary: Methodologies and accounting approaches – consistency with Article 4, paragraphs 13 and 14, of the Paris Agreement and with decision 4/CMA.1</w:t>
      </w:r>
      <w:bookmarkEnd w:id="875"/>
      <w:bookmarkEnd w:id="876"/>
    </w:p>
    <w:tbl>
      <w:tblPr>
        <w:tblStyle w:val="LightList-Accent11"/>
        <w:tblW w:w="8505" w:type="dxa"/>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4075"/>
        <w:gridCol w:w="4430"/>
      </w:tblGrid>
      <w:tr w:rsidR="008E5DFB" w:rsidRPr="009B2872" w14:paraId="2076E6BA" w14:textId="77777777" w:rsidTr="00AA786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shd w:val="clear" w:color="auto" w:fill="1B556B"/>
            <w:hideMark/>
          </w:tcPr>
          <w:p w14:paraId="68993B16" w14:textId="77777777" w:rsidR="009B2872" w:rsidRPr="00DA0F8E" w:rsidRDefault="009B2872" w:rsidP="003C1BBA">
            <w:pPr>
              <w:pStyle w:val="TableText"/>
              <w:rPr>
                <w:b w:val="0"/>
              </w:rPr>
            </w:pPr>
            <w:r w:rsidRPr="009B2872">
              <w:t>Reporting requirement</w:t>
            </w:r>
          </w:p>
        </w:tc>
        <w:tc>
          <w:tcPr>
            <w:tcW w:w="0" w:type="dxa"/>
            <w:shd w:val="clear" w:color="auto" w:fill="1B556B"/>
            <w:hideMark/>
          </w:tcPr>
          <w:p w14:paraId="597CB69F" w14:textId="77777777" w:rsidR="009B2872" w:rsidRPr="00DA0F8E" w:rsidRDefault="009B2872" w:rsidP="003C1BBA">
            <w:pPr>
              <w:pStyle w:val="TableText"/>
              <w:cnfStyle w:val="100000000000" w:firstRow="1" w:lastRow="0" w:firstColumn="0" w:lastColumn="0" w:oddVBand="0" w:evenVBand="0" w:oddHBand="0" w:evenHBand="0" w:firstRowFirstColumn="0" w:firstRowLastColumn="0" w:lastRowFirstColumn="0" w:lastRowLastColumn="0"/>
              <w:rPr>
                <w:b w:val="0"/>
              </w:rPr>
            </w:pPr>
            <w:r w:rsidRPr="009B2872">
              <w:t>Description or reference to the relevant section of the BTR</w:t>
            </w:r>
          </w:p>
        </w:tc>
      </w:tr>
      <w:tr w:rsidR="008E5DFB" w:rsidRPr="009B2872" w14:paraId="60E2D735"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Borders>
              <w:top w:val="none" w:sz="0" w:space="0" w:color="auto"/>
              <w:left w:val="none" w:sz="0" w:space="0" w:color="auto"/>
              <w:bottom w:val="none" w:sz="0" w:space="0" w:color="auto"/>
              <w:right w:val="none" w:sz="0" w:space="0" w:color="auto"/>
            </w:tcBorders>
            <w:shd w:val="clear" w:color="auto" w:fill="D2DDE1" w:themeFill="background2"/>
            <w:hideMark/>
          </w:tcPr>
          <w:p w14:paraId="0C7E35CE" w14:textId="272DCDD3" w:rsidR="009B2872" w:rsidRPr="009B2872" w:rsidRDefault="009B2872" w:rsidP="003C1BBA">
            <w:pPr>
              <w:pStyle w:val="TableText"/>
            </w:pPr>
            <w:r w:rsidRPr="006530EF">
              <w:t>For the first NDC under Article 4:</w:t>
            </w:r>
            <w:r w:rsidRPr="006530EF">
              <w:rPr>
                <w:rFonts w:eastAsia="Calibri" w:cs="Calibri"/>
                <w:color w:val="000000" w:themeColor="text1"/>
                <w:szCs w:val="18"/>
                <w:vertAlign w:val="superscript"/>
              </w:rPr>
              <w:t xml:space="preserve"> a</w:t>
            </w:r>
          </w:p>
        </w:tc>
      </w:tr>
      <w:tr w:rsidR="009B2872" w:rsidRPr="009B2872" w14:paraId="062226C9" w14:textId="77777777" w:rsidTr="00AA7864">
        <w:tc>
          <w:tcPr>
            <w:cnfStyle w:val="001000000000" w:firstRow="0" w:lastRow="0" w:firstColumn="1" w:lastColumn="0" w:oddVBand="0" w:evenVBand="0" w:oddHBand="0" w:evenHBand="0" w:firstRowFirstColumn="0" w:firstRowLastColumn="0" w:lastRowFirstColumn="0" w:lastRowLastColumn="0"/>
            <w:tcW w:w="0" w:type="dxa"/>
            <w:hideMark/>
          </w:tcPr>
          <w:p w14:paraId="7966EF02" w14:textId="77777777" w:rsidR="009B2872" w:rsidRPr="006530EF" w:rsidRDefault="009B2872" w:rsidP="003C1BBA">
            <w:pPr>
              <w:pStyle w:val="TableText"/>
              <w:rPr>
                <w:color w:val="000000"/>
              </w:rPr>
            </w:pPr>
            <w:r w:rsidRPr="006530EF">
              <w:t>Accounting approach, including how it is consistent with Article 4, paras 13–14, of the Paris Agreement (para 71 of the MPGs)</w:t>
            </w:r>
          </w:p>
        </w:tc>
        <w:tc>
          <w:tcPr>
            <w:tcW w:w="0" w:type="dxa"/>
            <w:hideMark/>
          </w:tcPr>
          <w:p w14:paraId="7CEC08FF" w14:textId="21C8BDEE"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pPr>
            <w:r w:rsidRPr="009B2872">
              <w:rPr>
                <w:rFonts w:cs="Calibri"/>
              </w:rPr>
              <w:t>N</w:t>
            </w:r>
            <w:r w:rsidRPr="009B2872">
              <w:t>ew Zealand’s accounting approach is described in section 2.3.</w:t>
            </w:r>
            <w:r w:rsidR="00D2288B">
              <w:t>4</w:t>
            </w:r>
            <w:r w:rsidRPr="009B2872">
              <w:t xml:space="preserve">. New Zealand’s accounting approach is a gross:net point-year target for 2030, managed as an emissions budget across the period from 2021 to 2030; economy-wide, all sectors, all gases; modified Kyoto Protocol accounting rules are applied to the LULUCF sector. Because the accounting approach is an absolute reduction in greenhouse gas emissions as reported annually in New Zealand’s Greenhouse Gas Inventory, it is consistent with Article 4, paragraphs 13–14 of the Paris Agreement and paragraph 71 of the MPGs. </w:t>
            </w:r>
          </w:p>
        </w:tc>
      </w:tr>
      <w:tr w:rsidR="008E5DFB" w:rsidRPr="009B2872" w14:paraId="35F736F7"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Borders>
              <w:top w:val="none" w:sz="0" w:space="0" w:color="auto"/>
              <w:left w:val="none" w:sz="0" w:space="0" w:color="auto"/>
              <w:bottom w:val="none" w:sz="0" w:space="0" w:color="auto"/>
              <w:right w:val="none" w:sz="0" w:space="0" w:color="auto"/>
            </w:tcBorders>
            <w:shd w:val="clear" w:color="auto" w:fill="D2DDE1" w:themeFill="background2"/>
          </w:tcPr>
          <w:p w14:paraId="6736A224" w14:textId="77777777" w:rsidR="009B2872" w:rsidRPr="006530EF" w:rsidRDefault="009B2872" w:rsidP="003C1BBA">
            <w:pPr>
              <w:pStyle w:val="TableText"/>
              <w:rPr>
                <w:color w:val="000000"/>
              </w:rPr>
            </w:pPr>
            <w:r w:rsidRPr="006530EF">
              <w:t>For the second and subsequent NDC under Article 4, and optionally for the first NDC under Article 4:</w:t>
            </w:r>
            <w:r w:rsidRPr="006530EF">
              <w:rPr>
                <w:rFonts w:eastAsia="Calibri" w:cs="Calibri"/>
                <w:color w:val="000000" w:themeColor="text1"/>
                <w:szCs w:val="18"/>
                <w:vertAlign w:val="superscript"/>
              </w:rPr>
              <w:t xml:space="preserve"> b</w:t>
            </w:r>
          </w:p>
        </w:tc>
      </w:tr>
      <w:tr w:rsidR="009B2872" w:rsidRPr="009B2872" w14:paraId="27B2F180" w14:textId="77777777" w:rsidTr="00AA7864">
        <w:tc>
          <w:tcPr>
            <w:cnfStyle w:val="001000000000" w:firstRow="0" w:lastRow="0" w:firstColumn="1" w:lastColumn="0" w:oddVBand="0" w:evenVBand="0" w:oddHBand="0" w:evenHBand="0" w:firstRowFirstColumn="0" w:firstRowLastColumn="0" w:lastRowFirstColumn="0" w:lastRowLastColumn="0"/>
            <w:tcW w:w="0" w:type="dxa"/>
          </w:tcPr>
          <w:p w14:paraId="68046D2E" w14:textId="77777777" w:rsidR="009B2872" w:rsidRPr="006530EF" w:rsidRDefault="009B2872" w:rsidP="003C1BBA">
            <w:pPr>
              <w:pStyle w:val="TableText"/>
            </w:pPr>
            <w:r w:rsidRPr="006530EF">
              <w:t>Information on how the accounting approach used is consistent with paragraphs 13–17 and annex II of decision 4/CMA.1 (para. 72 of the MPGs)</w:t>
            </w:r>
          </w:p>
        </w:tc>
        <w:tc>
          <w:tcPr>
            <w:tcW w:w="0" w:type="dxa"/>
          </w:tcPr>
          <w:p w14:paraId="0CDD7A8B" w14:textId="77777777"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rPr>
                <w:color w:val="000000"/>
              </w:rPr>
            </w:pPr>
            <w:r w:rsidRPr="009B2872">
              <w:t>Not applicable.</w:t>
            </w:r>
          </w:p>
        </w:tc>
      </w:tr>
      <w:tr w:rsidR="002B223D" w:rsidRPr="009B2872" w14:paraId="36CB6522"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tcPr>
          <w:p w14:paraId="16E78E86" w14:textId="77777777" w:rsidR="009B2872" w:rsidRPr="006530EF" w:rsidRDefault="009B2872" w:rsidP="003C1BBA">
            <w:pPr>
              <w:pStyle w:val="TableText"/>
            </w:pPr>
            <w:r w:rsidRPr="006530EF">
              <w:t>Explain how the accounting for anthropogenic emissions and removals is in accordance with methodologies and common metrics assessed by the IPCC and in accordance with decision 18/CMA.1 (para. 1(a) of annex II to decision 4/CMA.1)</w:t>
            </w:r>
          </w:p>
        </w:tc>
        <w:tc>
          <w:tcPr>
            <w:tcW w:w="0" w:type="dxa"/>
            <w:tcBorders>
              <w:top w:val="none" w:sz="0" w:space="0" w:color="auto"/>
              <w:bottom w:val="none" w:sz="0" w:space="0" w:color="auto"/>
              <w:right w:val="none" w:sz="0" w:space="0" w:color="auto"/>
            </w:tcBorders>
          </w:tcPr>
          <w:p w14:paraId="4C53680C" w14:textId="77777777"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rPr>
                <w:color w:val="000000"/>
              </w:rPr>
            </w:pPr>
            <w:r w:rsidRPr="009B2872">
              <w:t>Not applicable.</w:t>
            </w:r>
          </w:p>
        </w:tc>
      </w:tr>
      <w:tr w:rsidR="009B2872" w:rsidRPr="009B2872" w14:paraId="7F35520F" w14:textId="77777777" w:rsidTr="00AA7864">
        <w:tc>
          <w:tcPr>
            <w:cnfStyle w:val="001000000000" w:firstRow="0" w:lastRow="0" w:firstColumn="1" w:lastColumn="0" w:oddVBand="0" w:evenVBand="0" w:oddHBand="0" w:evenHBand="0" w:firstRowFirstColumn="0" w:firstRowLastColumn="0" w:lastRowFirstColumn="0" w:lastRowLastColumn="0"/>
            <w:tcW w:w="0" w:type="dxa"/>
          </w:tcPr>
          <w:p w14:paraId="33F39BD9" w14:textId="77777777" w:rsidR="009B2872" w:rsidRPr="006530EF" w:rsidRDefault="009B2872" w:rsidP="003C1BBA">
            <w:pPr>
              <w:pStyle w:val="TableText"/>
            </w:pPr>
            <w:r w:rsidRPr="006530EF">
              <w:t>Explain how consistency has been maintained between any GHG data and estimation methodologies used for accounting and the Party’s GHG inventory, pursuant to Article 13, paragraph 7(a), of the Paris Agreement, if applicable (para. 2(b) of annex II to decision 4/CMA.1)</w:t>
            </w:r>
          </w:p>
        </w:tc>
        <w:tc>
          <w:tcPr>
            <w:tcW w:w="0" w:type="dxa"/>
          </w:tcPr>
          <w:p w14:paraId="23AEAD26" w14:textId="77777777"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rPr>
                <w:color w:val="000000"/>
              </w:rPr>
            </w:pPr>
            <w:r w:rsidRPr="009B2872">
              <w:t>Not applicable.</w:t>
            </w:r>
          </w:p>
        </w:tc>
      </w:tr>
      <w:tr w:rsidR="002B223D" w:rsidRPr="009B2872" w14:paraId="06F02848"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tcPr>
          <w:p w14:paraId="3B99FFB0" w14:textId="77777777" w:rsidR="009B2872" w:rsidRPr="006530EF" w:rsidRDefault="009B2872" w:rsidP="003C1BBA">
            <w:pPr>
              <w:pStyle w:val="TableText"/>
            </w:pPr>
            <w:r w:rsidRPr="006530EF">
              <w:t>Explain how overestimation or underestimation has been avoided for any projected emissions and removals used for accounting (para. 2(c) of annex II to decision 4/CMA.1)</w:t>
            </w:r>
          </w:p>
        </w:tc>
        <w:tc>
          <w:tcPr>
            <w:tcW w:w="0" w:type="dxa"/>
            <w:tcBorders>
              <w:top w:val="none" w:sz="0" w:space="0" w:color="auto"/>
              <w:bottom w:val="none" w:sz="0" w:space="0" w:color="auto"/>
              <w:right w:val="none" w:sz="0" w:space="0" w:color="auto"/>
            </w:tcBorders>
          </w:tcPr>
          <w:p w14:paraId="1DF2CEB1" w14:textId="77777777"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rPr>
                <w:color w:val="000000"/>
              </w:rPr>
            </w:pPr>
            <w:r w:rsidRPr="009B2872">
              <w:t>Not applicable.</w:t>
            </w:r>
          </w:p>
        </w:tc>
      </w:tr>
      <w:tr w:rsidR="009B2872" w:rsidRPr="009B2872" w14:paraId="08611D5F" w14:textId="77777777" w:rsidTr="00AA7864">
        <w:tc>
          <w:tcPr>
            <w:cnfStyle w:val="001000000000" w:firstRow="0" w:lastRow="0" w:firstColumn="1" w:lastColumn="0" w:oddVBand="0" w:evenVBand="0" w:oddHBand="0" w:evenHBand="0" w:firstRowFirstColumn="0" w:firstRowLastColumn="0" w:lastRowFirstColumn="0" w:lastRowLastColumn="0"/>
            <w:tcW w:w="0" w:type="dxa"/>
            <w:gridSpan w:val="2"/>
            <w:shd w:val="clear" w:color="auto" w:fill="D2DDE1" w:themeFill="background2"/>
            <w:hideMark/>
          </w:tcPr>
          <w:p w14:paraId="46460CAD" w14:textId="77777777" w:rsidR="009B2872" w:rsidRPr="009B2872" w:rsidRDefault="009B2872" w:rsidP="003C1BBA">
            <w:pPr>
              <w:pStyle w:val="TableText"/>
            </w:pPr>
            <w:r w:rsidRPr="006530EF">
              <w:t>For each NDC under Article 4:</w:t>
            </w:r>
            <w:r w:rsidRPr="006530EF">
              <w:rPr>
                <w:rFonts w:eastAsia="Calibri" w:cs="Calibri"/>
                <w:color w:val="000000" w:themeColor="text1"/>
                <w:szCs w:val="18"/>
                <w:vertAlign w:val="superscript"/>
              </w:rPr>
              <w:t xml:space="preserve"> b</w:t>
            </w:r>
          </w:p>
        </w:tc>
      </w:tr>
      <w:tr w:rsidR="008E5DFB" w:rsidRPr="009B2872" w14:paraId="5C7D5AD3"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Borders>
              <w:top w:val="none" w:sz="0" w:space="0" w:color="auto"/>
              <w:left w:val="none" w:sz="0" w:space="0" w:color="auto"/>
              <w:bottom w:val="none" w:sz="0" w:space="0" w:color="auto"/>
              <w:right w:val="none" w:sz="0" w:space="0" w:color="auto"/>
            </w:tcBorders>
            <w:shd w:val="clear" w:color="auto" w:fill="D2DDE1" w:themeFill="background2"/>
            <w:hideMark/>
          </w:tcPr>
          <w:p w14:paraId="10B074CB" w14:textId="77777777" w:rsidR="009B2872" w:rsidRPr="006530EF" w:rsidRDefault="009B2872" w:rsidP="003C1BBA">
            <w:pPr>
              <w:pStyle w:val="TableText"/>
            </w:pPr>
            <w:r w:rsidRPr="006530EF">
              <w:rPr>
                <w:color w:val="000000" w:themeColor="text1"/>
              </w:rPr>
              <w:t>Accounting for anthropogenic emissions and removals in accordance with methodologies and common metrics assessed by the IPCC and adopted by the Conference of the Parties serving as the meeting of the Parties to the Paris Agreement (para. 12(a) of decision 4/CMA.1 and para 1 of its annex II):</w:t>
            </w:r>
          </w:p>
        </w:tc>
      </w:tr>
      <w:tr w:rsidR="009B2872" w:rsidRPr="009B2872" w14:paraId="2405C396" w14:textId="77777777" w:rsidTr="00AA7864">
        <w:tc>
          <w:tcPr>
            <w:cnfStyle w:val="001000000000" w:firstRow="0" w:lastRow="0" w:firstColumn="1" w:lastColumn="0" w:oddVBand="0" w:evenVBand="0" w:oddHBand="0" w:evenHBand="0" w:firstRowFirstColumn="0" w:firstRowLastColumn="0" w:lastRowFirstColumn="0" w:lastRowLastColumn="0"/>
            <w:tcW w:w="0" w:type="dxa"/>
            <w:hideMark/>
          </w:tcPr>
          <w:p w14:paraId="50122AA4" w14:textId="77777777" w:rsidR="009B2872" w:rsidRPr="006530EF" w:rsidRDefault="009B2872" w:rsidP="003C1BBA">
            <w:pPr>
              <w:pStyle w:val="TableText"/>
            </w:pPr>
            <w:r w:rsidRPr="006530EF">
              <w:t>Each methodology and/or accounting approach used to assess the implementation and achievement of the target(s) as applicable (para 74(a) of the MPGs)</w:t>
            </w:r>
          </w:p>
        </w:tc>
        <w:tc>
          <w:tcPr>
            <w:tcW w:w="0" w:type="dxa"/>
            <w:hideMark/>
          </w:tcPr>
          <w:p w14:paraId="63FAB52F" w14:textId="5BED34B8"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pPr>
            <w:r w:rsidRPr="009B2872">
              <w:t>Net target accounting quantities are used to assess the implementation, progress and achievement of the target for NDC1. See section 2.3.4 for details.</w:t>
            </w:r>
          </w:p>
        </w:tc>
      </w:tr>
      <w:tr w:rsidR="002B223D" w:rsidRPr="009B2872" w14:paraId="31BF0EDC"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0C2D2078" w14:textId="77777777" w:rsidR="009B2872" w:rsidRPr="006530EF" w:rsidRDefault="009B2872" w:rsidP="003C1BBA">
            <w:pPr>
              <w:pStyle w:val="TableText"/>
            </w:pPr>
            <w:r w:rsidRPr="006530EF">
              <w:t>Methodology and/or accounting approach used for the construction of any baseline to the extent possible (para 74(b) of the MPGs)</w:t>
            </w:r>
          </w:p>
        </w:tc>
        <w:tc>
          <w:tcPr>
            <w:tcW w:w="0" w:type="dxa"/>
            <w:tcBorders>
              <w:top w:val="none" w:sz="0" w:space="0" w:color="auto"/>
              <w:bottom w:val="none" w:sz="0" w:space="0" w:color="auto"/>
              <w:right w:val="none" w:sz="0" w:space="0" w:color="auto"/>
            </w:tcBorders>
            <w:hideMark/>
          </w:tcPr>
          <w:p w14:paraId="3A43604E" w14:textId="77777777"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pPr>
            <w:r w:rsidRPr="009B2872">
              <w:t xml:space="preserve">Base year emissions are 2005 total (gross) emissions as reported in New Zealand’s Greenhouse Gas Inventory. </w:t>
            </w:r>
          </w:p>
          <w:p w14:paraId="45D25977" w14:textId="77777777"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pPr>
            <w:r w:rsidRPr="009B2872">
              <w:t xml:space="preserve">A forest reference level is used to account for </w:t>
            </w:r>
            <w:r w:rsidRPr="00FB5C29">
              <w:t>Forest management</w:t>
            </w:r>
            <w:r w:rsidRPr="009B2872">
              <w:t xml:space="preserve"> activities. See annex 2, including section A.2.4.1 for details. </w:t>
            </w:r>
          </w:p>
        </w:tc>
      </w:tr>
      <w:tr w:rsidR="009B2872" w:rsidRPr="009B2872" w14:paraId="17D97D27" w14:textId="77777777" w:rsidTr="00AA7864">
        <w:tc>
          <w:tcPr>
            <w:cnfStyle w:val="001000000000" w:firstRow="0" w:lastRow="0" w:firstColumn="1" w:lastColumn="0" w:oddVBand="0" w:evenVBand="0" w:oddHBand="0" w:evenHBand="0" w:firstRowFirstColumn="0" w:firstRowLastColumn="0" w:lastRowFirstColumn="0" w:lastRowLastColumn="0"/>
            <w:tcW w:w="0" w:type="dxa"/>
            <w:hideMark/>
          </w:tcPr>
          <w:p w14:paraId="09A9E597" w14:textId="77777777" w:rsidR="009B2872" w:rsidRPr="006530EF" w:rsidRDefault="009B2872" w:rsidP="003C1BBA">
            <w:pPr>
              <w:pStyle w:val="TableText"/>
            </w:pPr>
            <w:r w:rsidRPr="006530EF">
              <w:t xml:space="preserve">If the methodology or accounting approach used for the indicator(s) in table 1 differ from those used to assess the implementation and achievement of the target, describe each methodology or accounting approach used to generate the information generated for each indicator in table 4 </w:t>
            </w:r>
          </w:p>
        </w:tc>
        <w:tc>
          <w:tcPr>
            <w:tcW w:w="0" w:type="dxa"/>
            <w:hideMark/>
          </w:tcPr>
          <w:p w14:paraId="55D99943" w14:textId="77777777"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pPr>
            <w:r w:rsidRPr="009B2872">
              <w:t>Not applicable.</w:t>
            </w:r>
          </w:p>
        </w:tc>
      </w:tr>
      <w:tr w:rsidR="002B223D" w:rsidRPr="009B2872" w14:paraId="6BCF243E"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0DA30488" w14:textId="77777777" w:rsidR="009B2872" w:rsidRPr="006530EF" w:rsidRDefault="009B2872" w:rsidP="003C1BBA">
            <w:pPr>
              <w:pStyle w:val="TableText"/>
            </w:pPr>
            <w:r w:rsidRPr="006530EF">
              <w:t>Assumptions relevant to the achievement of the NDC under Article 4, as applicable and available (para 75(i) of the MPGs) (para 74(c) of the MPGs)</w:t>
            </w:r>
          </w:p>
        </w:tc>
        <w:tc>
          <w:tcPr>
            <w:tcW w:w="0" w:type="dxa"/>
            <w:tcBorders>
              <w:top w:val="none" w:sz="0" w:space="0" w:color="auto"/>
              <w:bottom w:val="none" w:sz="0" w:space="0" w:color="auto"/>
              <w:right w:val="none" w:sz="0" w:space="0" w:color="auto"/>
            </w:tcBorders>
            <w:noWrap/>
            <w:hideMark/>
          </w:tcPr>
          <w:p w14:paraId="41F19432" w14:textId="77777777"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pPr>
            <w:r w:rsidRPr="009B2872">
              <w:t>Not applicable.</w:t>
            </w:r>
          </w:p>
        </w:tc>
      </w:tr>
      <w:tr w:rsidR="009B2872" w:rsidRPr="009B2872" w14:paraId="4AB705EC" w14:textId="77777777" w:rsidTr="00AA7864">
        <w:tc>
          <w:tcPr>
            <w:cnfStyle w:val="001000000000" w:firstRow="0" w:lastRow="0" w:firstColumn="1" w:lastColumn="0" w:oddVBand="0" w:evenVBand="0" w:oddHBand="0" w:evenHBand="0" w:firstRowFirstColumn="0" w:firstRowLastColumn="0" w:lastRowFirstColumn="0" w:lastRowLastColumn="0"/>
            <w:tcW w:w="0" w:type="dxa"/>
            <w:hideMark/>
          </w:tcPr>
          <w:p w14:paraId="04AE55D0" w14:textId="77777777" w:rsidR="009B2872" w:rsidRPr="006530EF" w:rsidRDefault="009B2872" w:rsidP="003C1BBA">
            <w:pPr>
              <w:pStyle w:val="TableText"/>
            </w:pPr>
            <w:r w:rsidRPr="006530EF">
              <w:rPr>
                <w:color w:val="000000" w:themeColor="text1"/>
              </w:rPr>
              <w:t>Key parameters, assumptions, definitions, data sources and models used, as applicable and available (para 75(a) of the MPGs)</w:t>
            </w:r>
          </w:p>
        </w:tc>
        <w:tc>
          <w:tcPr>
            <w:tcW w:w="0" w:type="dxa"/>
            <w:noWrap/>
            <w:hideMark/>
          </w:tcPr>
          <w:p w14:paraId="2F1EC6A2" w14:textId="77777777"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pPr>
            <w:r w:rsidRPr="009B2872">
              <w:t>Information on parameters, assumptions, data sources and models used to calculate New Zealand’s target, forest reference level and indicator is provided in sections 2.3, 2.5, 2.6 and annex 2 of New Zealand’s first Biennial Transparency Report.</w:t>
            </w:r>
          </w:p>
        </w:tc>
      </w:tr>
      <w:tr w:rsidR="002B223D" w:rsidRPr="009B2872" w14:paraId="05CE1608"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6A6B1D1A" w14:textId="77777777" w:rsidR="009B2872" w:rsidRPr="006530EF" w:rsidRDefault="009B2872" w:rsidP="003C1BBA">
            <w:pPr>
              <w:pStyle w:val="TableText"/>
            </w:pPr>
            <w:r w:rsidRPr="006530EF">
              <w:t>IPCC Guidelines used, as applicable and available (para 75(b) of the MPGs)</w:t>
            </w:r>
          </w:p>
        </w:tc>
        <w:tc>
          <w:tcPr>
            <w:tcW w:w="0" w:type="dxa"/>
            <w:tcBorders>
              <w:top w:val="none" w:sz="0" w:space="0" w:color="auto"/>
              <w:bottom w:val="none" w:sz="0" w:space="0" w:color="auto"/>
              <w:right w:val="none" w:sz="0" w:space="0" w:color="auto"/>
            </w:tcBorders>
            <w:hideMark/>
          </w:tcPr>
          <w:p w14:paraId="2A485DA4" w14:textId="77777777"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pPr>
            <w:r w:rsidRPr="75ADBAC8">
              <w:rPr>
                <w:szCs w:val="18"/>
              </w:rPr>
              <w:t>2006 IPCC Guidelines for National Greenhouse Gas Inventories (2006 IPCC Guidelines).</w:t>
            </w:r>
            <w:r w:rsidRPr="75ADBAC8">
              <w:rPr>
                <w:szCs w:val="18"/>
                <w:vertAlign w:val="superscript"/>
              </w:rPr>
              <w:footnoteReference w:id="315"/>
            </w:r>
          </w:p>
          <w:p w14:paraId="353D2556" w14:textId="77777777"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pPr>
            <w:r w:rsidRPr="75ADBAC8">
              <w:rPr>
                <w:szCs w:val="18"/>
              </w:rPr>
              <w:t>2013 Revised Supplementary Methods and Good Practice Guidance Arising from the Kyoto Protocol (2013 KP Supplement).</w:t>
            </w:r>
            <w:r w:rsidRPr="75ADBAC8">
              <w:rPr>
                <w:szCs w:val="18"/>
                <w:vertAlign w:val="superscript"/>
              </w:rPr>
              <w:footnoteReference w:id="316"/>
            </w:r>
          </w:p>
        </w:tc>
      </w:tr>
      <w:tr w:rsidR="009B2872" w:rsidRPr="009B2872" w14:paraId="5BD2F8EC" w14:textId="77777777" w:rsidTr="00AA7864">
        <w:tc>
          <w:tcPr>
            <w:cnfStyle w:val="001000000000" w:firstRow="0" w:lastRow="0" w:firstColumn="1" w:lastColumn="0" w:oddVBand="0" w:evenVBand="0" w:oddHBand="0" w:evenHBand="0" w:firstRowFirstColumn="0" w:firstRowLastColumn="0" w:lastRowFirstColumn="0" w:lastRowLastColumn="0"/>
            <w:tcW w:w="0" w:type="dxa"/>
            <w:hideMark/>
          </w:tcPr>
          <w:p w14:paraId="4E2FF6D0" w14:textId="77777777" w:rsidR="009B2872" w:rsidRPr="006530EF" w:rsidRDefault="009B2872" w:rsidP="003C1BBA">
            <w:pPr>
              <w:pStyle w:val="TableText"/>
            </w:pPr>
            <w:r w:rsidRPr="006530EF">
              <w:t>Report the metrics used, as applicable and available (para 75(c) of the MPGs)</w:t>
            </w:r>
          </w:p>
        </w:tc>
        <w:tc>
          <w:tcPr>
            <w:tcW w:w="0" w:type="dxa"/>
            <w:noWrap/>
            <w:hideMark/>
          </w:tcPr>
          <w:p w14:paraId="211C7576" w14:textId="77777777"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pPr>
            <w:r w:rsidRPr="75ADBAC8">
              <w:rPr>
                <w:szCs w:val="18"/>
              </w:rPr>
              <w:t>100-year time horizon global warming potential values used are those listed in table 8.A.1 of the Fifth Assessment Report of the Intergovernmental Panel on Climate Change,</w:t>
            </w:r>
            <w:r w:rsidRPr="75ADBAC8">
              <w:rPr>
                <w:szCs w:val="18"/>
                <w:vertAlign w:val="superscript"/>
              </w:rPr>
              <w:footnoteReference w:id="317"/>
            </w:r>
            <w:r w:rsidRPr="75ADBAC8">
              <w:rPr>
                <w:szCs w:val="18"/>
              </w:rPr>
              <w:t xml:space="preserve"> excluding the value for fossil methane (AR5 GWP100).</w:t>
            </w:r>
          </w:p>
        </w:tc>
      </w:tr>
      <w:tr w:rsidR="002B223D" w:rsidRPr="009B2872" w14:paraId="1A4AA6B8"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47A45365" w14:textId="77777777" w:rsidR="009B2872" w:rsidRPr="006530EF" w:rsidRDefault="009B2872" w:rsidP="003C1BBA">
            <w:pPr>
              <w:pStyle w:val="TableText"/>
            </w:pPr>
            <w:r w:rsidRPr="006530EF">
              <w:t>For Parties whose NDC cannot be accounted for using methodologies covered by IPCC guidelines, provide information on their own methodology used, including for NDCs, pursuant to Article 4, paragraph 6, of the Paris Agreement, if applicable (para 1(b) of annex II to decision 4/CMA.1)</w:t>
            </w:r>
          </w:p>
        </w:tc>
        <w:tc>
          <w:tcPr>
            <w:tcW w:w="0" w:type="dxa"/>
            <w:tcBorders>
              <w:top w:val="none" w:sz="0" w:space="0" w:color="auto"/>
              <w:bottom w:val="none" w:sz="0" w:space="0" w:color="auto"/>
              <w:right w:val="none" w:sz="0" w:space="0" w:color="auto"/>
            </w:tcBorders>
            <w:noWrap/>
            <w:hideMark/>
          </w:tcPr>
          <w:p w14:paraId="0620257B" w14:textId="77777777"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pPr>
            <w:r w:rsidRPr="009B2872">
              <w:t xml:space="preserve">New Zealand is applying an activity-based accounting approach to the net emissions it accounts for from the LULUCF sector. The methods applied to estimate accounting quantities adhere to the 2006 IPCC Guidelines and the 2013 KP Supplement while taking a country-specific approach to account for emissions from </w:t>
            </w:r>
            <w:r w:rsidRPr="00FB5C29">
              <w:t>Afforestation and reforestation activities</w:t>
            </w:r>
            <w:r w:rsidRPr="009B2872">
              <w:t xml:space="preserve">. See annex 2, section A2.3.2 for a full description of the country-specific approach New Zealand applies to </w:t>
            </w:r>
            <w:r w:rsidRPr="00FB5C29">
              <w:t>Afforestation and reforestation activities</w:t>
            </w:r>
            <w:r w:rsidRPr="009B2872">
              <w:t>.</w:t>
            </w:r>
          </w:p>
        </w:tc>
      </w:tr>
      <w:tr w:rsidR="009B2872" w:rsidRPr="009B2872" w14:paraId="3032E853" w14:textId="77777777" w:rsidTr="00AA7864">
        <w:tc>
          <w:tcPr>
            <w:cnfStyle w:val="001000000000" w:firstRow="0" w:lastRow="0" w:firstColumn="1" w:lastColumn="0" w:oddVBand="0" w:evenVBand="0" w:oddHBand="0" w:evenHBand="0" w:firstRowFirstColumn="0" w:firstRowLastColumn="0" w:lastRowFirstColumn="0" w:lastRowLastColumn="0"/>
            <w:tcW w:w="0" w:type="dxa"/>
            <w:hideMark/>
          </w:tcPr>
          <w:p w14:paraId="3CEA9BD0" w14:textId="77777777" w:rsidR="009B2872" w:rsidRPr="006530EF" w:rsidRDefault="009B2872" w:rsidP="003C1BBA">
            <w:pPr>
              <w:pStyle w:val="TableText"/>
            </w:pPr>
            <w:r w:rsidRPr="006530EF">
              <w:t>Provide information on methodologies used to track progress arising from the implementation of policies and measures, as appropriate (para 1(d) of annex II to decision 4/CMA.1)</w:t>
            </w:r>
          </w:p>
        </w:tc>
        <w:tc>
          <w:tcPr>
            <w:tcW w:w="0" w:type="dxa"/>
            <w:noWrap/>
            <w:hideMark/>
          </w:tcPr>
          <w:p w14:paraId="0F685288" w14:textId="77777777"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pPr>
            <w:r w:rsidRPr="009B2872">
              <w:t>Not applicable.</w:t>
            </w:r>
          </w:p>
        </w:tc>
      </w:tr>
      <w:tr w:rsidR="008E5DFB" w:rsidRPr="009B2872" w14:paraId="3798848B"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Borders>
              <w:top w:val="none" w:sz="0" w:space="0" w:color="auto"/>
              <w:left w:val="none" w:sz="0" w:space="0" w:color="auto"/>
              <w:bottom w:val="none" w:sz="0" w:space="0" w:color="auto"/>
              <w:right w:val="none" w:sz="0" w:space="0" w:color="auto"/>
            </w:tcBorders>
            <w:shd w:val="clear" w:color="auto" w:fill="D2DDE1" w:themeFill="background2"/>
            <w:hideMark/>
          </w:tcPr>
          <w:p w14:paraId="2C07857B" w14:textId="77777777" w:rsidR="009B2872" w:rsidRPr="006530EF" w:rsidRDefault="009B2872" w:rsidP="003C1BBA">
            <w:pPr>
              <w:pStyle w:val="TableText"/>
              <w:rPr>
                <w:color w:val="000000"/>
              </w:rPr>
            </w:pPr>
            <w:r w:rsidRPr="006530EF">
              <w:t>Where applicable to its NDC, any sector-, category- or activity-specific assumptions, methodologies and approaches consistent with IPCC guidance, taking into account any relevant decision under the Convention, as applicable (para 75(d) of the MPGs):</w:t>
            </w:r>
          </w:p>
        </w:tc>
      </w:tr>
      <w:tr w:rsidR="009B2872" w:rsidRPr="009B2872" w14:paraId="44B7F625" w14:textId="77777777" w:rsidTr="00AA7864">
        <w:tc>
          <w:tcPr>
            <w:cnfStyle w:val="001000000000" w:firstRow="0" w:lastRow="0" w:firstColumn="1" w:lastColumn="0" w:oddVBand="0" w:evenVBand="0" w:oddHBand="0" w:evenHBand="0" w:firstRowFirstColumn="0" w:firstRowLastColumn="0" w:lastRowFirstColumn="0" w:lastRowLastColumn="0"/>
            <w:tcW w:w="0" w:type="dxa"/>
            <w:hideMark/>
          </w:tcPr>
          <w:p w14:paraId="71219F8F" w14:textId="77777777" w:rsidR="009B2872" w:rsidRPr="006530EF" w:rsidRDefault="009B2872" w:rsidP="003C1BBA">
            <w:pPr>
              <w:pStyle w:val="TableText"/>
            </w:pPr>
            <w:r w:rsidRPr="006530EF">
              <w:t>For Parties that address emissions and subsequent removals from natural disturbances on managed lands, provide detailed information on the approach used and how it is consistent with relevant IPCC guidance, as appropriate, or indicate the relevant section of the national GHG inventory report containing that information (para 1(e) of annex II to decision 4/CMA.1, para 75(d)(i) of the MPGs)</w:t>
            </w:r>
          </w:p>
        </w:tc>
        <w:tc>
          <w:tcPr>
            <w:tcW w:w="0" w:type="dxa"/>
            <w:hideMark/>
          </w:tcPr>
          <w:p w14:paraId="31F333B3" w14:textId="6394A99C" w:rsidR="009B2872" w:rsidRPr="009B2872" w:rsidRDefault="009B2872" w:rsidP="00642E32">
            <w:pPr>
              <w:pStyle w:val="TableText"/>
              <w:cnfStyle w:val="000000000000" w:firstRow="0" w:lastRow="0" w:firstColumn="0" w:lastColumn="0" w:oddVBand="0" w:evenVBand="0" w:oddHBand="0" w:evenHBand="0" w:firstRowFirstColumn="0" w:firstRowLastColumn="0" w:lastRowFirstColumn="0" w:lastRowLastColumn="0"/>
            </w:pPr>
            <w:r w:rsidRPr="009B2872">
              <w:t xml:space="preserve">In the event of a significant non-anthropogenic event or circumstance, New Zealand retains the option to invoke the natural disturbance accounting provision. The following types of natural disturbances are captured: </w:t>
            </w:r>
            <w:r w:rsidR="00BE086F" w:rsidRPr="00BE086F">
              <w:t>wildfires</w:t>
            </w:r>
            <w:r w:rsidR="00BE086F">
              <w:t xml:space="preserve">; </w:t>
            </w:r>
            <w:r w:rsidR="00BE086F" w:rsidRPr="00BE086F">
              <w:t>invertebrate and vertebrate pests and diseases</w:t>
            </w:r>
            <w:r w:rsidR="00BE086F">
              <w:t xml:space="preserve">; </w:t>
            </w:r>
            <w:r w:rsidR="00BE086F" w:rsidRPr="00BE086F">
              <w:t>extreme weather events</w:t>
            </w:r>
            <w:r w:rsidR="00BE086F">
              <w:t xml:space="preserve">; </w:t>
            </w:r>
            <w:r w:rsidR="00D7627D" w:rsidRPr="00C6617F">
              <w:t>geological disturbances.</w:t>
            </w:r>
          </w:p>
          <w:p w14:paraId="2750D44D" w14:textId="77777777"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pPr>
            <w:r w:rsidRPr="009B2872">
              <w:t xml:space="preserve">For planted forests, salvage logging is considered to take place in all </w:t>
            </w:r>
            <w:r w:rsidRPr="009B2872">
              <w:rPr>
                <w:iCs/>
              </w:rPr>
              <w:t xml:space="preserve">disturbed forests. </w:t>
            </w:r>
            <w:r w:rsidRPr="009B2872">
              <w:t xml:space="preserve">In the case of pre-1990 natural forests, the ground plot measurement programme captures emissions from natural disturbances implicitly, and the emissions from natural disturbance events, apart from wildfires, cannot be separated from other disturbance events. </w:t>
            </w:r>
          </w:p>
          <w:p w14:paraId="62ED4D36" w14:textId="737384B4"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rPr>
                <w:i/>
              </w:rPr>
            </w:pPr>
            <w:r w:rsidRPr="009B2872">
              <w:t xml:space="preserve">New Zealand assumes a zero baseline for all types of natural disturbance except wildfires. The background level has been defined for wildfire emissions using the default methodology described in section 2.3.9.6 of the 2013 KP Supplement. This is described in annex 2, </w:t>
            </w:r>
            <w:hyperlink w:anchor="sectionA237" w:history="1">
              <w:r w:rsidRPr="00E04EB1">
                <w:rPr>
                  <w:rStyle w:val="Hyperlink"/>
                </w:rPr>
                <w:t>section A2.3.7.</w:t>
              </w:r>
            </w:hyperlink>
          </w:p>
        </w:tc>
      </w:tr>
      <w:tr w:rsidR="002B223D" w:rsidRPr="009B2872" w14:paraId="19E01785"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606AC800" w14:textId="77777777" w:rsidR="009B2872" w:rsidRPr="007222E8" w:rsidRDefault="009B2872" w:rsidP="003C1BBA">
            <w:pPr>
              <w:pStyle w:val="TableText"/>
            </w:pPr>
            <w:r w:rsidRPr="007222E8">
              <w:t>For Parties that account for emissions and removals from harvested wood products, provide detailed information on which IPCC approach has been used to estimate emissions and removals (para 1(f) of annex II to decision 4/CMA.1, para 75(d)(ii) of the MPGs)</w:t>
            </w:r>
          </w:p>
        </w:tc>
        <w:tc>
          <w:tcPr>
            <w:tcW w:w="0" w:type="dxa"/>
            <w:tcBorders>
              <w:top w:val="none" w:sz="0" w:space="0" w:color="auto"/>
              <w:bottom w:val="none" w:sz="0" w:space="0" w:color="auto"/>
              <w:right w:val="none" w:sz="0" w:space="0" w:color="auto"/>
            </w:tcBorders>
          </w:tcPr>
          <w:p w14:paraId="7B878AAD" w14:textId="526152A2"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pPr>
            <w:r w:rsidRPr="009B2872">
              <w:t xml:space="preserve">New Zealand accounts for the changes in the harvested wood products pool by using the production approach. Annex 2, </w:t>
            </w:r>
            <w:hyperlink w:anchor="sectionA235" w:history="1">
              <w:r w:rsidRPr="00E04EB1">
                <w:rPr>
                  <w:rStyle w:val="Hyperlink"/>
                </w:rPr>
                <w:t>section A2.3.5</w:t>
              </w:r>
            </w:hyperlink>
            <w:r w:rsidRPr="009B2872">
              <w:t xml:space="preserve"> further describes the methods used for accounting for emissions and removals from harvested wood products.</w:t>
            </w:r>
          </w:p>
        </w:tc>
      </w:tr>
      <w:tr w:rsidR="009B2872" w:rsidRPr="009B2872" w14:paraId="736DE401" w14:textId="77777777" w:rsidTr="00AA7864">
        <w:tc>
          <w:tcPr>
            <w:cnfStyle w:val="001000000000" w:firstRow="0" w:lastRow="0" w:firstColumn="1" w:lastColumn="0" w:oddVBand="0" w:evenVBand="0" w:oddHBand="0" w:evenHBand="0" w:firstRowFirstColumn="0" w:firstRowLastColumn="0" w:lastRowFirstColumn="0" w:lastRowLastColumn="0"/>
            <w:tcW w:w="0" w:type="dxa"/>
            <w:hideMark/>
          </w:tcPr>
          <w:p w14:paraId="44F308C8" w14:textId="77777777" w:rsidR="009B2872" w:rsidRPr="007222E8" w:rsidRDefault="009B2872" w:rsidP="003C1BBA">
            <w:pPr>
              <w:pStyle w:val="TableText"/>
            </w:pPr>
            <w:r w:rsidRPr="007222E8">
              <w:t>For Parties that address the effects of age-class structure in forests, provide detailed information on the approach used and how this is consistent with relevant IPCC guidance, as appropriate (para 1(g) of annex II to decision 4/CMA.1, para 75(d)(iii) of the MPGs)</w:t>
            </w:r>
          </w:p>
        </w:tc>
        <w:tc>
          <w:tcPr>
            <w:tcW w:w="0" w:type="dxa"/>
          </w:tcPr>
          <w:p w14:paraId="3AA4B4BA" w14:textId="3CB26773"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pPr>
            <w:r w:rsidRPr="009B2872">
              <w:t xml:space="preserve">Forests established before the activity start year (1990) are accounted for under a business-as-usual reference level. For planted forests, the reference level addresses the dynamic effects of age-class structure resulting from activities and practices before the reference year, and the ongoing cycles of forest harvest and regrowth that occur as part of normal forest management in production forests. See annex 2, sections </w:t>
            </w:r>
            <w:hyperlink w:anchor="sectionA211" w:history="1">
              <w:r w:rsidRPr="00DC4A56">
                <w:rPr>
                  <w:rStyle w:val="Hyperlink"/>
                </w:rPr>
                <w:t>A2.1.1</w:t>
              </w:r>
            </w:hyperlink>
            <w:r w:rsidRPr="009B2872">
              <w:t xml:space="preserve"> and </w:t>
            </w:r>
            <w:hyperlink w:anchor="sectionA234" w:history="1">
              <w:r w:rsidRPr="00DC4A56">
                <w:rPr>
                  <w:rStyle w:val="Hyperlink"/>
                </w:rPr>
                <w:t>A2.3.4</w:t>
              </w:r>
            </w:hyperlink>
            <w:r w:rsidRPr="009B2872">
              <w:t xml:space="preserve">. </w:t>
            </w:r>
          </w:p>
          <w:p w14:paraId="5BB615C4" w14:textId="76E27C39"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pPr>
            <w:r w:rsidRPr="009B2872">
              <w:t xml:space="preserve">Forests established after the activity start year (1990) are accounted for up until they attain their long-term average (LTA) carbon stock. Once they reach their LTA carbon stock, taking into account all carbon pools and activities, no further carbon gains or losses are accounted for. This is done to address the effects of age-class structure, and to only account for the long-term additional carbon sequestered in forests. This is further described in annex 2, sections </w:t>
            </w:r>
            <w:hyperlink w:anchor="sectionA211" w:history="1">
              <w:r w:rsidRPr="00DC4A56">
                <w:rPr>
                  <w:rStyle w:val="Hyperlink"/>
                </w:rPr>
                <w:t>A2.1.1</w:t>
              </w:r>
            </w:hyperlink>
            <w:r w:rsidRPr="009B2872">
              <w:t xml:space="preserve"> and </w:t>
            </w:r>
            <w:hyperlink w:anchor="sectionA232" w:history="1">
              <w:r w:rsidRPr="00DC4A56">
                <w:rPr>
                  <w:rStyle w:val="Hyperlink"/>
                </w:rPr>
                <w:t>A2.3.2</w:t>
              </w:r>
            </w:hyperlink>
            <w:r w:rsidRPr="009B2872">
              <w:t>.</w:t>
            </w:r>
          </w:p>
        </w:tc>
      </w:tr>
      <w:tr w:rsidR="002B223D" w:rsidRPr="009B2872" w14:paraId="5B64A0A7"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59D0F877" w14:textId="77777777" w:rsidR="009B2872" w:rsidRPr="007222E8" w:rsidRDefault="009B2872" w:rsidP="003C1BBA">
            <w:pPr>
              <w:pStyle w:val="TableText"/>
            </w:pPr>
            <w:r w:rsidRPr="007222E8">
              <w:t>How the Party has drawn on existing methods and guidance established under the Convention and its related legal instruments, as appropriate, if applicable (para 1(c) of annex II to decision 4/CMA.1)</w:t>
            </w:r>
          </w:p>
        </w:tc>
        <w:tc>
          <w:tcPr>
            <w:tcW w:w="0" w:type="dxa"/>
            <w:tcBorders>
              <w:top w:val="none" w:sz="0" w:space="0" w:color="auto"/>
              <w:bottom w:val="none" w:sz="0" w:space="0" w:color="auto"/>
              <w:right w:val="none" w:sz="0" w:space="0" w:color="auto"/>
            </w:tcBorders>
            <w:hideMark/>
          </w:tcPr>
          <w:p w14:paraId="40D8E20B" w14:textId="77777777"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pPr>
            <w:r w:rsidRPr="75ADBAC8">
              <w:rPr>
                <w:szCs w:val="18"/>
              </w:rPr>
              <w:t>New Zealand is applying an activity-based accounting approach to the net emissions it accounts for from the LULUCF sector. The methods applied to estimate accounting quantities adhere to the 2006 IPCC Guidelines</w:t>
            </w:r>
            <w:r w:rsidRPr="75ADBAC8">
              <w:rPr>
                <w:szCs w:val="18"/>
                <w:vertAlign w:val="superscript"/>
              </w:rPr>
              <w:footnoteReference w:id="318"/>
            </w:r>
            <w:r w:rsidRPr="75ADBAC8">
              <w:rPr>
                <w:szCs w:val="18"/>
              </w:rPr>
              <w:t xml:space="preserve"> and the 2013 KP Supplement</w:t>
            </w:r>
            <w:r w:rsidRPr="75ADBAC8">
              <w:rPr>
                <w:szCs w:val="18"/>
                <w:vertAlign w:val="superscript"/>
              </w:rPr>
              <w:footnoteReference w:id="319"/>
            </w:r>
            <w:r w:rsidRPr="75ADBAC8">
              <w:rPr>
                <w:szCs w:val="18"/>
              </w:rPr>
              <w:t xml:space="preserve"> while taking a country-specific approach to account for emissions from </w:t>
            </w:r>
            <w:r w:rsidRPr="75ADBAC8">
              <w:rPr>
                <w:i/>
                <w:szCs w:val="18"/>
              </w:rPr>
              <w:t>Afforestation and reforestation</w:t>
            </w:r>
            <w:r w:rsidRPr="75ADBAC8">
              <w:rPr>
                <w:szCs w:val="18"/>
              </w:rPr>
              <w:t xml:space="preserve"> activities.</w:t>
            </w:r>
          </w:p>
        </w:tc>
      </w:tr>
      <w:tr w:rsidR="009B2872" w:rsidRPr="009B2872" w14:paraId="36D5EF3C" w14:textId="77777777" w:rsidTr="00AA7864">
        <w:tc>
          <w:tcPr>
            <w:cnfStyle w:val="001000000000" w:firstRow="0" w:lastRow="0" w:firstColumn="1" w:lastColumn="0" w:oddVBand="0" w:evenVBand="0" w:oddHBand="0" w:evenHBand="0" w:firstRowFirstColumn="0" w:firstRowLastColumn="0" w:lastRowFirstColumn="0" w:lastRowLastColumn="0"/>
            <w:tcW w:w="0" w:type="dxa"/>
            <w:hideMark/>
          </w:tcPr>
          <w:p w14:paraId="3E740CA5" w14:textId="77777777" w:rsidR="009B2872" w:rsidRPr="007222E8" w:rsidRDefault="009B2872" w:rsidP="003C1BBA">
            <w:pPr>
              <w:pStyle w:val="TableText"/>
            </w:pPr>
            <w:r w:rsidRPr="007222E8">
              <w:t>Any methodologies used to account for mitigation benefits of adaptation actions and/or economic diversification plans (para 75(e) of the MPGs)</w:t>
            </w:r>
          </w:p>
        </w:tc>
        <w:tc>
          <w:tcPr>
            <w:tcW w:w="0" w:type="dxa"/>
            <w:hideMark/>
          </w:tcPr>
          <w:p w14:paraId="0515F7F4" w14:textId="77777777"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pPr>
            <w:r w:rsidRPr="009B2872">
              <w:t>Not applicable.</w:t>
            </w:r>
          </w:p>
        </w:tc>
      </w:tr>
      <w:tr w:rsidR="002B223D" w:rsidRPr="009B2872" w14:paraId="0A323C34"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48478EFD" w14:textId="77777777" w:rsidR="009B2872" w:rsidRPr="007222E8" w:rsidRDefault="009B2872" w:rsidP="003C1BBA">
            <w:pPr>
              <w:pStyle w:val="TableText"/>
            </w:pPr>
            <w:r w:rsidRPr="007222E8">
              <w:t>Describe how double counting of net GHG emission reductions has been avoided, including in accordance with guidance developed related to Article 6 if relevant (para 76(d) of the MPGs)</w:t>
            </w:r>
          </w:p>
        </w:tc>
        <w:tc>
          <w:tcPr>
            <w:tcW w:w="0" w:type="dxa"/>
            <w:tcBorders>
              <w:top w:val="none" w:sz="0" w:space="0" w:color="auto"/>
              <w:bottom w:val="none" w:sz="0" w:space="0" w:color="auto"/>
              <w:right w:val="none" w:sz="0" w:space="0" w:color="auto"/>
            </w:tcBorders>
            <w:hideMark/>
          </w:tcPr>
          <w:p w14:paraId="7C45509B" w14:textId="4D1508DC"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pPr>
            <w:r w:rsidRPr="009B2872">
              <w:t>New Zealand uses wall-to-wall land</w:t>
            </w:r>
            <w:r w:rsidR="0035701B">
              <w:t>-</w:t>
            </w:r>
            <w:r w:rsidRPr="009B2872">
              <w:t>use mapping, completed every five years; deforestation mapping completed every two years; and national statistics to estimate change areas in intervening years, to estimate afforested, reforested and deforested land areas. This spatially explicit approach ensures that no double counting of activity areas occurs.</w:t>
            </w:r>
          </w:p>
        </w:tc>
      </w:tr>
      <w:tr w:rsidR="009B2872" w:rsidRPr="009B2872" w14:paraId="6B68316E" w14:textId="77777777" w:rsidTr="00AA7864">
        <w:tc>
          <w:tcPr>
            <w:cnfStyle w:val="001000000000" w:firstRow="0" w:lastRow="0" w:firstColumn="1" w:lastColumn="0" w:oddVBand="0" w:evenVBand="0" w:oddHBand="0" w:evenHBand="0" w:firstRowFirstColumn="0" w:firstRowLastColumn="0" w:lastRowFirstColumn="0" w:lastRowLastColumn="0"/>
            <w:tcW w:w="0" w:type="dxa"/>
            <w:hideMark/>
          </w:tcPr>
          <w:p w14:paraId="443C4DF7" w14:textId="77777777" w:rsidR="009B2872" w:rsidRPr="007222E8" w:rsidRDefault="009B2872" w:rsidP="003C1BBA">
            <w:pPr>
              <w:pStyle w:val="TableText"/>
            </w:pPr>
            <w:r w:rsidRPr="007222E8">
              <w:t>Any other methodologies related to the NDC under Article 4 (para 75(h) of the MPGs)</w:t>
            </w:r>
          </w:p>
        </w:tc>
        <w:tc>
          <w:tcPr>
            <w:tcW w:w="0" w:type="dxa"/>
            <w:hideMark/>
          </w:tcPr>
          <w:p w14:paraId="5887C39D" w14:textId="77777777"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pPr>
            <w:r w:rsidRPr="009B2872">
              <w:t>Not applicable.</w:t>
            </w:r>
          </w:p>
        </w:tc>
      </w:tr>
      <w:tr w:rsidR="008E5DFB" w:rsidRPr="009B2872" w14:paraId="20613927"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Borders>
              <w:top w:val="none" w:sz="0" w:space="0" w:color="auto"/>
              <w:left w:val="none" w:sz="0" w:space="0" w:color="auto"/>
              <w:bottom w:val="none" w:sz="0" w:space="0" w:color="auto"/>
              <w:right w:val="none" w:sz="0" w:space="0" w:color="auto"/>
            </w:tcBorders>
            <w:shd w:val="clear" w:color="auto" w:fill="D2DDE1" w:themeFill="background2"/>
            <w:hideMark/>
          </w:tcPr>
          <w:p w14:paraId="173D292C" w14:textId="77777777" w:rsidR="009B2872" w:rsidRPr="007222E8" w:rsidRDefault="009B2872" w:rsidP="003C1BBA">
            <w:pPr>
              <w:pStyle w:val="TableText"/>
              <w:rPr>
                <w:color w:val="000000"/>
              </w:rPr>
            </w:pPr>
            <w:r w:rsidRPr="007222E8">
              <w:t>Ensuring methodological consistency, including on baselines, between the communication and implementation of NDCs (para 12(b) of the decision 4/CMA.1 and para 1 of its annex II)):</w:t>
            </w:r>
          </w:p>
        </w:tc>
      </w:tr>
      <w:tr w:rsidR="009B2872" w:rsidRPr="009B2872" w14:paraId="5DC5B56D" w14:textId="77777777" w:rsidTr="00AA7864">
        <w:tc>
          <w:tcPr>
            <w:cnfStyle w:val="001000000000" w:firstRow="0" w:lastRow="0" w:firstColumn="1" w:lastColumn="0" w:oddVBand="0" w:evenVBand="0" w:oddHBand="0" w:evenHBand="0" w:firstRowFirstColumn="0" w:firstRowLastColumn="0" w:lastRowFirstColumn="0" w:lastRowLastColumn="0"/>
            <w:tcW w:w="0" w:type="dxa"/>
            <w:hideMark/>
          </w:tcPr>
          <w:p w14:paraId="4CDA6189" w14:textId="77777777" w:rsidR="009B2872" w:rsidRPr="007222E8" w:rsidRDefault="009B2872" w:rsidP="003C1BBA">
            <w:pPr>
              <w:pStyle w:val="TableText"/>
            </w:pPr>
            <w:r w:rsidRPr="007222E8">
              <w:t>Explain how consistency has been maintained in scope and coverage, definitions, data sources, metrics, assumptions and methodological approaches including on baselines, between the communication and implementation of NDCs (para 2(a) of annex II to decision 4/CMA.1)</w:t>
            </w:r>
          </w:p>
        </w:tc>
        <w:tc>
          <w:tcPr>
            <w:tcW w:w="0" w:type="dxa"/>
            <w:hideMark/>
          </w:tcPr>
          <w:p w14:paraId="70DCB2D6" w14:textId="77777777"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pPr>
            <w:r w:rsidRPr="009B2872">
              <w:t>New Zealand has implemented its NDC consistent with its NDC communication.</w:t>
            </w:r>
          </w:p>
        </w:tc>
      </w:tr>
      <w:tr w:rsidR="002B223D" w:rsidRPr="009B2872" w14:paraId="4765B5B0"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04CDEFD7" w14:textId="77777777" w:rsidR="009B2872" w:rsidRPr="007222E8" w:rsidRDefault="009B2872" w:rsidP="003C1BBA">
            <w:pPr>
              <w:pStyle w:val="TableText"/>
            </w:pPr>
            <w:r w:rsidRPr="007222E8">
              <w:t>Explain how consistency has been maintained between any GHG data and estimation methodologies used for accounting and the Party’s GHG inventory, pursuant to Article 13, paragraph 7(a), of the Paris Agreement, if applicable (para 2(b) of annex II to decision 4/CMA.1) and explain methodological inconsistencies with the Party’s most recent national inventory report, if applicable (para 76(c) of the MPGs)</w:t>
            </w:r>
          </w:p>
        </w:tc>
        <w:tc>
          <w:tcPr>
            <w:tcW w:w="0" w:type="dxa"/>
            <w:tcBorders>
              <w:top w:val="none" w:sz="0" w:space="0" w:color="auto"/>
              <w:bottom w:val="none" w:sz="0" w:space="0" w:color="auto"/>
              <w:right w:val="none" w:sz="0" w:space="0" w:color="auto"/>
            </w:tcBorders>
            <w:hideMark/>
          </w:tcPr>
          <w:p w14:paraId="6B76CB64" w14:textId="77777777"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pPr>
            <w:r w:rsidRPr="75ADBAC8">
              <w:rPr>
                <w:szCs w:val="18"/>
              </w:rPr>
              <w:t>New Zealand has maintained consistency between its accounting quantities and the GHG data reported in its national GHG inventory by accounting for all gross emissions as reported in New Zealand’s Greenhouse Gas Inventory 1990–2022 and, for LULUCF target accounting estimates, deriving the accounting quantities from the estimates reported in the latest GHG Inventory.</w:t>
            </w:r>
            <w:r w:rsidRPr="75ADBAC8">
              <w:rPr>
                <w:szCs w:val="18"/>
                <w:vertAlign w:val="superscript"/>
              </w:rPr>
              <w:footnoteReference w:id="320"/>
            </w:r>
            <w:r w:rsidRPr="75ADBAC8">
              <w:rPr>
                <w:szCs w:val="18"/>
              </w:rPr>
              <w:t xml:space="preserve"> </w:t>
            </w:r>
          </w:p>
        </w:tc>
      </w:tr>
      <w:tr w:rsidR="009B2872" w:rsidRPr="009B2872" w14:paraId="792ECF0D" w14:textId="77777777" w:rsidTr="00AA7864">
        <w:tc>
          <w:tcPr>
            <w:cnfStyle w:val="001000000000" w:firstRow="0" w:lastRow="0" w:firstColumn="1" w:lastColumn="0" w:oddVBand="0" w:evenVBand="0" w:oddHBand="0" w:evenHBand="0" w:firstRowFirstColumn="0" w:firstRowLastColumn="0" w:lastRowFirstColumn="0" w:lastRowLastColumn="0"/>
            <w:tcW w:w="0" w:type="dxa"/>
            <w:gridSpan w:val="2"/>
            <w:shd w:val="clear" w:color="auto" w:fill="D2DDE1" w:themeFill="background2"/>
            <w:hideMark/>
          </w:tcPr>
          <w:p w14:paraId="23F7EC3E" w14:textId="77777777" w:rsidR="009B2872" w:rsidRPr="007222E8" w:rsidRDefault="009B2872" w:rsidP="003C1BBA">
            <w:pPr>
              <w:pStyle w:val="TableText"/>
              <w:rPr>
                <w:i/>
              </w:rPr>
            </w:pPr>
            <w:r w:rsidRPr="007222E8">
              <w:t>For Parties that apply technical changes to update reference points, reference levels or projections, the changes should reflect either of the following (para 2(d) of annex II to decision 4/CMA.1):</w:t>
            </w:r>
            <w:r w:rsidRPr="007222E8">
              <w:rPr>
                <w:i/>
              </w:rPr>
              <w:t> </w:t>
            </w:r>
          </w:p>
        </w:tc>
      </w:tr>
      <w:tr w:rsidR="002B223D" w:rsidRPr="009B2872" w14:paraId="222DC673"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13CA1F56" w14:textId="77777777" w:rsidR="009B2872" w:rsidRPr="007222E8" w:rsidRDefault="009B2872" w:rsidP="003C1BBA">
            <w:pPr>
              <w:pStyle w:val="TableText"/>
            </w:pPr>
            <w:r w:rsidRPr="007222E8">
              <w:t>Technical changes related to improvements in accuracy that maintain methodological consistency (para 2(d)(ii) of annex II to decision 4/CMA.1)</w:t>
            </w:r>
          </w:p>
        </w:tc>
        <w:tc>
          <w:tcPr>
            <w:tcW w:w="0" w:type="dxa"/>
            <w:tcBorders>
              <w:top w:val="none" w:sz="0" w:space="0" w:color="auto"/>
              <w:bottom w:val="none" w:sz="0" w:space="0" w:color="auto"/>
              <w:right w:val="none" w:sz="0" w:space="0" w:color="auto"/>
            </w:tcBorders>
            <w:hideMark/>
          </w:tcPr>
          <w:p w14:paraId="4C20D23A" w14:textId="77777777"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rPr>
                <w:color w:val="000000"/>
              </w:rPr>
            </w:pPr>
            <w:r w:rsidRPr="009B2872">
              <w:t>Not applicable because this is New Zealand’s first BTR.</w:t>
            </w:r>
          </w:p>
        </w:tc>
      </w:tr>
      <w:tr w:rsidR="009B2872" w:rsidRPr="009B2872" w14:paraId="3AEAF505" w14:textId="77777777" w:rsidTr="00AA7864">
        <w:tc>
          <w:tcPr>
            <w:cnfStyle w:val="001000000000" w:firstRow="0" w:lastRow="0" w:firstColumn="1" w:lastColumn="0" w:oddVBand="0" w:evenVBand="0" w:oddHBand="0" w:evenHBand="0" w:firstRowFirstColumn="0" w:firstRowLastColumn="0" w:lastRowFirstColumn="0" w:lastRowLastColumn="0"/>
            <w:tcW w:w="0" w:type="dxa"/>
            <w:hideMark/>
          </w:tcPr>
          <w:p w14:paraId="5122F947" w14:textId="77777777" w:rsidR="009B2872" w:rsidRPr="007222E8" w:rsidRDefault="009B2872" w:rsidP="003C1BBA">
            <w:pPr>
              <w:pStyle w:val="TableText"/>
            </w:pPr>
            <w:r w:rsidRPr="007222E8">
              <w:t>Explain how any methodological changes and technical updates made during the implementation of their NDC were transparently reported (para 2(e) of annex II to decision 4/CMA.1)</w:t>
            </w:r>
          </w:p>
        </w:tc>
        <w:tc>
          <w:tcPr>
            <w:tcW w:w="0" w:type="dxa"/>
            <w:hideMark/>
          </w:tcPr>
          <w:p w14:paraId="45C1E7EB" w14:textId="77777777"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rPr>
                <w:color w:val="000000"/>
              </w:rPr>
            </w:pPr>
            <w:r w:rsidRPr="009B2872">
              <w:t>Not applicable because this is New Zealand’s first BTR.</w:t>
            </w:r>
          </w:p>
        </w:tc>
      </w:tr>
      <w:tr w:rsidR="008E5DFB" w:rsidRPr="009B2872" w14:paraId="746ABBC4"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Borders>
              <w:top w:val="none" w:sz="0" w:space="0" w:color="auto"/>
              <w:left w:val="none" w:sz="0" w:space="0" w:color="auto"/>
              <w:bottom w:val="none" w:sz="0" w:space="0" w:color="auto"/>
              <w:right w:val="none" w:sz="0" w:space="0" w:color="auto"/>
            </w:tcBorders>
            <w:shd w:val="clear" w:color="auto" w:fill="D2DDE1" w:themeFill="background2"/>
            <w:hideMark/>
          </w:tcPr>
          <w:p w14:paraId="62C681B4" w14:textId="77777777" w:rsidR="009B2872" w:rsidRPr="007222E8" w:rsidRDefault="009B2872" w:rsidP="003C1BBA">
            <w:pPr>
              <w:pStyle w:val="TableText"/>
            </w:pPr>
            <w:r w:rsidRPr="007222E8">
              <w:t>Striving to include all categories of anthropogenic emissions or removals in the NDC and, once a source, sink or activity is included, continuing to include it (para 12 (c) of decision 4/CMA.1 and para 3 of annex II to decision 4/CMA.1):</w:t>
            </w:r>
          </w:p>
        </w:tc>
      </w:tr>
      <w:tr w:rsidR="009B2872" w:rsidRPr="009B2872" w14:paraId="767A03FA" w14:textId="77777777" w:rsidTr="00AA7864">
        <w:tc>
          <w:tcPr>
            <w:cnfStyle w:val="001000000000" w:firstRow="0" w:lastRow="0" w:firstColumn="1" w:lastColumn="0" w:oddVBand="0" w:evenVBand="0" w:oddHBand="0" w:evenHBand="0" w:firstRowFirstColumn="0" w:firstRowLastColumn="0" w:lastRowFirstColumn="0" w:lastRowLastColumn="0"/>
            <w:tcW w:w="0" w:type="dxa"/>
            <w:hideMark/>
          </w:tcPr>
          <w:p w14:paraId="3DB24531" w14:textId="77777777" w:rsidR="009B2872" w:rsidRPr="007222E8" w:rsidRDefault="009B2872" w:rsidP="003C1BBA">
            <w:pPr>
              <w:pStyle w:val="TableText"/>
            </w:pPr>
            <w:r w:rsidRPr="007222E8">
              <w:t>Explain how all categories of anthropogenic emissions and removals corresponding to their NDC were accounted for (para 3(a) of annex II to decision 4/CMA.1)</w:t>
            </w:r>
          </w:p>
        </w:tc>
        <w:tc>
          <w:tcPr>
            <w:tcW w:w="0" w:type="dxa"/>
            <w:hideMark/>
          </w:tcPr>
          <w:p w14:paraId="7B152D5B" w14:textId="77777777"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rPr>
                <w:color w:val="000000"/>
              </w:rPr>
            </w:pPr>
            <w:r w:rsidRPr="009B2872">
              <w:t xml:space="preserve">All categories of anthropogenic emissions and removals as communicated in New Zealand’s NDC have been included in the accounting quantities reported for the 2021 and 2022 years. </w:t>
            </w:r>
          </w:p>
        </w:tc>
      </w:tr>
      <w:tr w:rsidR="002B223D" w:rsidRPr="009B2872" w14:paraId="33207972"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41F77AD7" w14:textId="77777777" w:rsidR="009B2872" w:rsidRPr="007222E8" w:rsidRDefault="009B2872" w:rsidP="003C1BBA">
            <w:pPr>
              <w:pStyle w:val="TableText"/>
            </w:pPr>
            <w:r w:rsidRPr="007222E8">
              <w:t>Explain how Party is striving to include all categories of anthropogenic emissions and removals in its NDC, and, once a source, sink or activity is included, continue to include it (para 3(b) of annex II to decision 4/CMA.1)</w:t>
            </w:r>
          </w:p>
        </w:tc>
        <w:tc>
          <w:tcPr>
            <w:tcW w:w="0" w:type="dxa"/>
            <w:tcBorders>
              <w:top w:val="none" w:sz="0" w:space="0" w:color="auto"/>
              <w:bottom w:val="none" w:sz="0" w:space="0" w:color="auto"/>
              <w:right w:val="none" w:sz="0" w:space="0" w:color="auto"/>
            </w:tcBorders>
            <w:hideMark/>
          </w:tcPr>
          <w:p w14:paraId="4E306F09" w14:textId="77777777"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rPr>
                <w:color w:val="000000"/>
              </w:rPr>
            </w:pPr>
            <w:r w:rsidRPr="009B2872">
              <w:rPr>
                <w:color w:val="000000"/>
              </w:rPr>
              <w:t xml:space="preserve">New Zealand is not yet able to include sufficiently robust emission and removals estimates from non-forest activities when accounting for its NDC. Improvements are being undertaken to develop a better understanding of the carbon fluxes occurring from non-forest activities. </w:t>
            </w:r>
          </w:p>
        </w:tc>
      </w:tr>
      <w:tr w:rsidR="009B2872" w:rsidRPr="009B2872" w14:paraId="6A48C7E1" w14:textId="77777777" w:rsidTr="00AA7864">
        <w:tc>
          <w:tcPr>
            <w:cnfStyle w:val="001000000000" w:firstRow="0" w:lastRow="0" w:firstColumn="1" w:lastColumn="0" w:oddVBand="0" w:evenVBand="0" w:oddHBand="0" w:evenHBand="0" w:firstRowFirstColumn="0" w:firstRowLastColumn="0" w:lastRowFirstColumn="0" w:lastRowLastColumn="0"/>
            <w:tcW w:w="0" w:type="dxa"/>
            <w:hideMark/>
          </w:tcPr>
          <w:p w14:paraId="7FDFE7B2" w14:textId="77777777" w:rsidR="009B2872" w:rsidRPr="007222E8" w:rsidRDefault="009B2872" w:rsidP="003C1BBA">
            <w:pPr>
              <w:pStyle w:val="TableText"/>
            </w:pPr>
            <w:r w:rsidRPr="007222E8">
              <w:t>Provide an explanation of why any categories of anthropogenic emissions or removals are excluded (para 12 (c) of decision 4/CMA.1 and para 4 of annex II to decision 4/CMA.1)</w:t>
            </w:r>
          </w:p>
        </w:tc>
        <w:tc>
          <w:tcPr>
            <w:tcW w:w="0" w:type="dxa"/>
            <w:hideMark/>
          </w:tcPr>
          <w:p w14:paraId="4BC89D56" w14:textId="77777777"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pPr>
            <w:r w:rsidRPr="009B2872">
              <w:t xml:space="preserve">New Zealand has focused resources on improving its understanding of forest carbon fluxes because these provide a larger contribution to the LULUCF sector. </w:t>
            </w:r>
          </w:p>
        </w:tc>
      </w:tr>
      <w:tr w:rsidR="008E5DFB" w:rsidRPr="009B2872" w14:paraId="0C7A81BE"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Borders>
              <w:top w:val="none" w:sz="0" w:space="0" w:color="auto"/>
              <w:left w:val="none" w:sz="0" w:space="0" w:color="auto"/>
              <w:bottom w:val="none" w:sz="0" w:space="0" w:color="auto"/>
              <w:right w:val="none" w:sz="0" w:space="0" w:color="auto"/>
            </w:tcBorders>
            <w:shd w:val="clear" w:color="auto" w:fill="D2DDE1" w:themeFill="background2"/>
            <w:hideMark/>
          </w:tcPr>
          <w:p w14:paraId="0528E233" w14:textId="77777777" w:rsidR="009B2872" w:rsidRPr="007222E8" w:rsidRDefault="009B2872" w:rsidP="003C1BBA">
            <w:pPr>
              <w:pStyle w:val="TableText"/>
            </w:pPr>
            <w:r w:rsidRPr="007222E8">
              <w:t>Each Party that participates in cooperative approaches that involve the use of ITMOs towards an NDC under Article 4, or authorizes the use of mitigation outcomes for international mitigation purposes other than achievement of its NDC</w:t>
            </w:r>
          </w:p>
        </w:tc>
      </w:tr>
      <w:tr w:rsidR="009B2872" w:rsidRPr="009B2872" w14:paraId="750F0833" w14:textId="77777777" w:rsidTr="00AA7864">
        <w:tc>
          <w:tcPr>
            <w:cnfStyle w:val="001000000000" w:firstRow="0" w:lastRow="0" w:firstColumn="1" w:lastColumn="0" w:oddVBand="0" w:evenVBand="0" w:oddHBand="0" w:evenHBand="0" w:firstRowFirstColumn="0" w:firstRowLastColumn="0" w:lastRowFirstColumn="0" w:lastRowLastColumn="0"/>
            <w:tcW w:w="0" w:type="dxa"/>
            <w:hideMark/>
          </w:tcPr>
          <w:p w14:paraId="52D006E0" w14:textId="77777777" w:rsidR="009B2872" w:rsidRPr="007222E8" w:rsidRDefault="009B2872" w:rsidP="003C1BBA">
            <w:pPr>
              <w:pStyle w:val="TableText"/>
            </w:pPr>
            <w:r w:rsidRPr="007222E8">
              <w:t>Provide information on any methodologies associated with any cooperative approaches that involve the use of ITMOs towards an NDC under Article 4 (para. 75(f) of the MPGs)</w:t>
            </w:r>
          </w:p>
        </w:tc>
        <w:tc>
          <w:tcPr>
            <w:tcW w:w="0" w:type="dxa"/>
          </w:tcPr>
          <w:p w14:paraId="11A4A9B4" w14:textId="77777777"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pPr>
            <w:r w:rsidRPr="009B2872">
              <w:t>Not applicable.</w:t>
            </w:r>
          </w:p>
        </w:tc>
      </w:tr>
      <w:tr w:rsidR="002B223D" w:rsidRPr="009B2872" w14:paraId="5DF67AA6"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5CBA7400" w14:textId="77777777" w:rsidR="009B2872" w:rsidRPr="007222E8" w:rsidRDefault="009B2872" w:rsidP="003C1BBA">
            <w:pPr>
              <w:pStyle w:val="TableText"/>
            </w:pPr>
            <w:r w:rsidRPr="007222E8">
              <w:t>Provide information on how each cooperative approach promotes sustainable development, consistent with decisions adopted by the CMA on Article 6 (para. 77(d)(iv) of the MPGs)</w:t>
            </w:r>
          </w:p>
        </w:tc>
        <w:tc>
          <w:tcPr>
            <w:tcW w:w="0" w:type="dxa"/>
            <w:tcBorders>
              <w:top w:val="none" w:sz="0" w:space="0" w:color="auto"/>
              <w:bottom w:val="none" w:sz="0" w:space="0" w:color="auto"/>
              <w:right w:val="none" w:sz="0" w:space="0" w:color="auto"/>
            </w:tcBorders>
          </w:tcPr>
          <w:p w14:paraId="78011E5B" w14:textId="77777777"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pPr>
            <w:r w:rsidRPr="009B2872">
              <w:t>Not applicable.</w:t>
            </w:r>
          </w:p>
        </w:tc>
      </w:tr>
      <w:tr w:rsidR="009B2872" w:rsidRPr="009B2872" w14:paraId="0A522A5F" w14:textId="77777777" w:rsidTr="00AA7864">
        <w:tc>
          <w:tcPr>
            <w:cnfStyle w:val="001000000000" w:firstRow="0" w:lastRow="0" w:firstColumn="1" w:lastColumn="0" w:oddVBand="0" w:evenVBand="0" w:oddHBand="0" w:evenHBand="0" w:firstRowFirstColumn="0" w:firstRowLastColumn="0" w:lastRowFirstColumn="0" w:lastRowLastColumn="0"/>
            <w:tcW w:w="0" w:type="dxa"/>
            <w:hideMark/>
          </w:tcPr>
          <w:p w14:paraId="53CC1A3B" w14:textId="77777777" w:rsidR="009B2872" w:rsidRPr="007222E8" w:rsidRDefault="009B2872" w:rsidP="003C1BBA">
            <w:pPr>
              <w:pStyle w:val="TableText"/>
            </w:pPr>
            <w:r w:rsidRPr="007222E8">
              <w:t>Provide information on how each cooperative approach ensures environmental integrity consistent with decisions adopted by the CMA on Article 6 (para. 77(d)(iv) of the MPGs)</w:t>
            </w:r>
          </w:p>
        </w:tc>
        <w:tc>
          <w:tcPr>
            <w:tcW w:w="0" w:type="dxa"/>
          </w:tcPr>
          <w:p w14:paraId="581720CD" w14:textId="77777777"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pPr>
            <w:r w:rsidRPr="009B2872">
              <w:t>Not applicable.</w:t>
            </w:r>
          </w:p>
        </w:tc>
      </w:tr>
      <w:tr w:rsidR="002B223D" w:rsidRPr="009B2872" w14:paraId="1B6D81AC"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hideMark/>
          </w:tcPr>
          <w:p w14:paraId="0D304672" w14:textId="77777777" w:rsidR="009B2872" w:rsidRPr="007222E8" w:rsidRDefault="009B2872" w:rsidP="003C1BBA">
            <w:pPr>
              <w:pStyle w:val="TableText"/>
            </w:pPr>
            <w:r w:rsidRPr="007222E8">
              <w:t>Provide information on how each cooperative approach ensures transparency, including in governance, consistent with decisions adopted by the CMA on Article 6 (para. 77(d)(iv) of the MPGs)</w:t>
            </w:r>
          </w:p>
        </w:tc>
        <w:tc>
          <w:tcPr>
            <w:tcW w:w="0" w:type="dxa"/>
            <w:tcBorders>
              <w:top w:val="none" w:sz="0" w:space="0" w:color="auto"/>
              <w:bottom w:val="none" w:sz="0" w:space="0" w:color="auto"/>
              <w:right w:val="none" w:sz="0" w:space="0" w:color="auto"/>
            </w:tcBorders>
          </w:tcPr>
          <w:p w14:paraId="100B4547" w14:textId="77777777"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pPr>
            <w:r w:rsidRPr="009B2872">
              <w:t>Not applicable.</w:t>
            </w:r>
          </w:p>
        </w:tc>
      </w:tr>
      <w:tr w:rsidR="009B2872" w:rsidRPr="009B2872" w14:paraId="63B361AF" w14:textId="77777777" w:rsidTr="00AA7864">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hideMark/>
          </w:tcPr>
          <w:p w14:paraId="531464E5" w14:textId="77777777" w:rsidR="009B2872" w:rsidRPr="007222E8" w:rsidRDefault="009B2872" w:rsidP="003C1BBA">
            <w:pPr>
              <w:pStyle w:val="TableText"/>
            </w:pPr>
            <w:r w:rsidRPr="007222E8">
              <w:t>Provide information on how each cooperative approach ensures transparency, including in governance, consistent with decisions adopted by the CMA on Article 6 (para. 77(d)(iv) of the MPGs)</w:t>
            </w:r>
          </w:p>
        </w:tc>
        <w:tc>
          <w:tcPr>
            <w:tcW w:w="0" w:type="dxa"/>
            <w:tcBorders>
              <w:bottom w:val="single" w:sz="4" w:space="0" w:color="auto"/>
            </w:tcBorders>
          </w:tcPr>
          <w:p w14:paraId="506F94FC" w14:textId="77777777" w:rsidR="009B2872" w:rsidRPr="009B2872" w:rsidRDefault="009B2872" w:rsidP="003C1BBA">
            <w:pPr>
              <w:pStyle w:val="TableText"/>
              <w:cnfStyle w:val="000000000000" w:firstRow="0" w:lastRow="0" w:firstColumn="0" w:lastColumn="0" w:oddVBand="0" w:evenVBand="0" w:oddHBand="0" w:evenHBand="0" w:firstRowFirstColumn="0" w:firstRowLastColumn="0" w:lastRowFirstColumn="0" w:lastRowLastColumn="0"/>
            </w:pPr>
            <w:r w:rsidRPr="009B2872">
              <w:t>Not applicable.</w:t>
            </w:r>
          </w:p>
        </w:tc>
      </w:tr>
      <w:tr w:rsidR="002B223D" w:rsidRPr="009B2872" w14:paraId="628DBB6B" w14:textId="77777777" w:rsidTr="00AA78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none" w:sz="0" w:space="0" w:color="auto"/>
              <w:bottom w:val="single" w:sz="4" w:space="0" w:color="auto"/>
            </w:tcBorders>
            <w:hideMark/>
          </w:tcPr>
          <w:p w14:paraId="73B7641E" w14:textId="77777777" w:rsidR="009B2872" w:rsidRPr="007222E8" w:rsidRDefault="009B2872" w:rsidP="003C1BBA">
            <w:pPr>
              <w:pStyle w:val="TableText"/>
            </w:pPr>
            <w:r w:rsidRPr="007222E8">
              <w:t>Any other information consistent with decisions adopted by the CMA on reporting under Article 6 (para. 77(d)(iii) of the MPGs)</w:t>
            </w:r>
          </w:p>
        </w:tc>
        <w:tc>
          <w:tcPr>
            <w:tcW w:w="0" w:type="dxa"/>
            <w:tcBorders>
              <w:top w:val="single" w:sz="4" w:space="0" w:color="auto"/>
              <w:bottom w:val="single" w:sz="4" w:space="0" w:color="auto"/>
              <w:right w:val="none" w:sz="0" w:space="0" w:color="auto"/>
            </w:tcBorders>
          </w:tcPr>
          <w:p w14:paraId="5D88C22A" w14:textId="77777777" w:rsidR="009B2872" w:rsidRPr="009B2872" w:rsidRDefault="009B2872" w:rsidP="003C1BBA">
            <w:pPr>
              <w:pStyle w:val="TableText"/>
              <w:cnfStyle w:val="000000100000" w:firstRow="0" w:lastRow="0" w:firstColumn="0" w:lastColumn="0" w:oddVBand="0" w:evenVBand="0" w:oddHBand="1" w:evenHBand="0" w:firstRowFirstColumn="0" w:firstRowLastColumn="0" w:lastRowFirstColumn="0" w:lastRowLastColumn="0"/>
            </w:pPr>
            <w:r w:rsidRPr="009B2872">
              <w:t>Not applicable.</w:t>
            </w:r>
          </w:p>
        </w:tc>
      </w:tr>
    </w:tbl>
    <w:p w14:paraId="725BE2DE" w14:textId="628DC48E" w:rsidR="009B2872" w:rsidRPr="009B2872" w:rsidRDefault="009B2872" w:rsidP="009B2872">
      <w:pPr>
        <w:spacing w:line="240" w:lineRule="atLeast"/>
        <w:jc w:val="left"/>
        <w:rPr>
          <w:b/>
          <w:sz w:val="18"/>
        </w:rPr>
      </w:pPr>
      <w:r w:rsidRPr="009B2872">
        <w:rPr>
          <w:sz w:val="18"/>
        </w:rPr>
        <w:t xml:space="preserve">Note: BTR = </w:t>
      </w:r>
      <w:r w:rsidR="00D21994">
        <w:rPr>
          <w:sz w:val="18"/>
        </w:rPr>
        <w:t>Biennial Transparency Report</w:t>
      </w:r>
      <w:r w:rsidRPr="009B2872">
        <w:rPr>
          <w:sz w:val="18"/>
        </w:rPr>
        <w:t>; GHG = greenhouse gas; IPCC = Intergovernmental Panel on Climate Change; KP = Kyoto Protocol; LULUCF = Land Use, Land-Use Change and Forestry; MPGs = modalities, procedures and guidelines; NDC = Nationally Determined Contribution; NDC1 = first Nationally Determined Contribution.</w:t>
      </w:r>
    </w:p>
    <w:p w14:paraId="4A1B472C" w14:textId="38C5BD37" w:rsidR="009B2872" w:rsidRPr="009B2872" w:rsidRDefault="009B2872" w:rsidP="009B2872">
      <w:pPr>
        <w:spacing w:before="0" w:line="240" w:lineRule="atLeast"/>
        <w:jc w:val="left"/>
        <w:rPr>
          <w:sz w:val="18"/>
        </w:rPr>
      </w:pPr>
      <w:r w:rsidRPr="009B2872">
        <w:rPr>
          <w:sz w:val="18"/>
        </w:rPr>
        <w:t>Notes: (1) Pursuant to para. 79 of the MPGs, each Party shall report the information referred to in paras. 65–78 of the MPGs in a narrative and common tabular format, as applicable. (2) A Party may amend the reporting format (</w:t>
      </w:r>
      <w:r w:rsidR="00422E23">
        <w:rPr>
          <w:sz w:val="18"/>
        </w:rPr>
        <w:t>eg,</w:t>
      </w:r>
      <w:r w:rsidRPr="009B2872">
        <w:rPr>
          <w:sz w:val="18"/>
        </w:rPr>
        <w:t xml:space="preserve"> Excel file) to remove specific rows in this table if the information to be provided in those rows is not applicable to the Party’s NDC under Article 4 of the Paris Agreement, in accordance with the MPGs.</w:t>
      </w:r>
    </w:p>
    <w:p w14:paraId="13864BD0" w14:textId="77777777" w:rsidR="009B2872" w:rsidRPr="009B2872" w:rsidRDefault="009B2872" w:rsidP="009B2872">
      <w:pPr>
        <w:widowControl w:val="0"/>
        <w:adjustRightInd w:val="0"/>
        <w:spacing w:before="0" w:line="240" w:lineRule="auto"/>
        <w:ind w:left="397" w:hanging="397"/>
        <w:jc w:val="left"/>
        <w:textAlignment w:val="baseline"/>
        <w:rPr>
          <w:rFonts w:eastAsia="Times New Roman" w:cs="Times New Roman"/>
          <w:sz w:val="18"/>
        </w:rPr>
      </w:pPr>
      <w:r w:rsidRPr="009B2872">
        <w:rPr>
          <w:rFonts w:eastAsia="Times New Roman" w:cs="Times New Roman"/>
          <w:sz w:val="18"/>
          <w:vertAlign w:val="superscript"/>
        </w:rPr>
        <w:t xml:space="preserve">a </w:t>
      </w:r>
      <w:r w:rsidRPr="009B2872">
        <w:rPr>
          <w:rFonts w:eastAsia="Times New Roman" w:cs="Times New Roman"/>
          <w:sz w:val="18"/>
        </w:rPr>
        <w:tab/>
        <w:t>For the first NDC under Article 4, each Party shall clearly indicate and report its accounting approach, including how it is consistent with Article 4, paras. 13–14, of the Paris Agreement (para. 71 of the MPGs)</w:t>
      </w:r>
    </w:p>
    <w:p w14:paraId="22172276" w14:textId="77777777" w:rsidR="009B2872" w:rsidRPr="009B2872" w:rsidRDefault="009B2872" w:rsidP="009B2872">
      <w:pPr>
        <w:widowControl w:val="0"/>
        <w:adjustRightInd w:val="0"/>
        <w:spacing w:before="0" w:line="240" w:lineRule="auto"/>
        <w:ind w:left="397" w:hanging="397"/>
        <w:jc w:val="left"/>
        <w:textAlignment w:val="baseline"/>
        <w:rPr>
          <w:rFonts w:eastAsia="Times New Roman" w:cs="Times New Roman"/>
          <w:sz w:val="18"/>
        </w:rPr>
      </w:pPr>
      <w:r w:rsidRPr="009B2872">
        <w:rPr>
          <w:rFonts w:eastAsia="Times New Roman" w:cs="Times New Roman"/>
          <w:sz w:val="18"/>
          <w:vertAlign w:val="superscript"/>
        </w:rPr>
        <w:t xml:space="preserve">b </w:t>
      </w:r>
      <w:r w:rsidRPr="009B2872">
        <w:rPr>
          <w:rFonts w:eastAsia="Times New Roman" w:cs="Times New Roman"/>
          <w:sz w:val="18"/>
        </w:rPr>
        <w:tab/>
        <w:t>For the second and subsequent NDC under Article 4, each Party shall provide information referred to in chapter III.B and C of the MPGs consistent with decision 4/CMA.1. Each Party shall clearly indicate how its reporting is consistent with decision 4/CMA.1 (para. 72 of the MPGs). Each Party may choose to provide information on accounting of its first NDC consistent with decision 4/CMA.1 (para. 71 of the MPGs).</w:t>
      </w:r>
    </w:p>
    <w:p w14:paraId="6C91CFAC" w14:textId="77777777" w:rsidR="009B2872" w:rsidRPr="009B2872" w:rsidRDefault="009B2872" w:rsidP="009B2872"/>
    <w:p w14:paraId="30D8EC47" w14:textId="77777777" w:rsidR="009B2872" w:rsidRPr="009B2872" w:rsidRDefault="009B2872" w:rsidP="009B2872">
      <w:pPr>
        <w:sectPr w:rsidR="009B2872" w:rsidRPr="009B2872" w:rsidSect="009B2872">
          <w:headerReference w:type="even" r:id="rId195"/>
          <w:headerReference w:type="default" r:id="rId196"/>
          <w:footerReference w:type="even" r:id="rId197"/>
          <w:footerReference w:type="default" r:id="rId198"/>
          <w:headerReference w:type="first" r:id="rId199"/>
          <w:pgSz w:w="11907" w:h="16840" w:code="9"/>
          <w:pgMar w:top="1134" w:right="1701" w:bottom="1134" w:left="1701" w:header="567" w:footer="567" w:gutter="0"/>
          <w:cols w:space="720"/>
          <w:docGrid w:linePitch="299"/>
        </w:sectPr>
      </w:pPr>
    </w:p>
    <w:p w14:paraId="0CED1DC3" w14:textId="777D1B54" w:rsidR="009B2872" w:rsidRPr="009B2872" w:rsidRDefault="009B2872" w:rsidP="004522CA">
      <w:pPr>
        <w:pStyle w:val="Tableheading"/>
      </w:pPr>
      <w:bookmarkStart w:id="877" w:name="_Toc185407516"/>
      <w:bookmarkStart w:id="878" w:name="_Toc185427779"/>
      <w:r w:rsidRPr="009B2872">
        <w:t xml:space="preserve">CTF </w:t>
      </w:r>
      <w:r w:rsidR="007E289C">
        <w:t>t</w:t>
      </w:r>
      <w:r w:rsidRPr="009B2872">
        <w:t>able 4:</w:t>
      </w:r>
      <w:r w:rsidR="00B86B19">
        <w:tab/>
      </w:r>
      <w:r w:rsidRPr="009B2872">
        <w:t xml:space="preserve">Structured summary: Tracking progress made in implementing and achieving the NDC under Article 4 of the Paris Agreement </w:t>
      </w:r>
      <w:r w:rsidRPr="009B2872">
        <w:rPr>
          <w:vertAlign w:val="superscript"/>
        </w:rPr>
        <w:t>a</w:t>
      </w:r>
      <w:bookmarkEnd w:id="877"/>
      <w:bookmarkEnd w:id="878"/>
    </w:p>
    <w:tbl>
      <w:tblPr>
        <w:tblW w:w="14515" w:type="dxa"/>
        <w:tblInd w:w="57" w:type="dxa"/>
        <w:tblBorders>
          <w:top w:val="outset" w:sz="6" w:space="0" w:color="auto"/>
          <w:left w:val="outset" w:sz="6" w:space="0" w:color="auto"/>
          <w:bottom w:val="outset" w:sz="6" w:space="0" w:color="auto"/>
          <w:right w:val="outset" w:sz="6" w:space="0" w:color="auto"/>
        </w:tblBorders>
        <w:tblLayout w:type="fixed"/>
        <w:tblCellMar>
          <w:left w:w="57" w:type="dxa"/>
          <w:right w:w="57" w:type="dxa"/>
        </w:tblCellMar>
        <w:tblLook w:val="04A0" w:firstRow="1" w:lastRow="0" w:firstColumn="1" w:lastColumn="0" w:noHBand="0" w:noVBand="1"/>
      </w:tblPr>
      <w:tblGrid>
        <w:gridCol w:w="3022"/>
        <w:gridCol w:w="1008"/>
        <w:gridCol w:w="2016"/>
        <w:gridCol w:w="1294"/>
        <w:gridCol w:w="1143"/>
        <w:gridCol w:w="1143"/>
        <w:gridCol w:w="1008"/>
        <w:gridCol w:w="3881"/>
      </w:tblGrid>
      <w:tr w:rsidR="00003FCA" w:rsidRPr="00464830" w14:paraId="4097096C" w14:textId="77777777" w:rsidTr="006D5046">
        <w:tc>
          <w:tcPr>
            <w:tcW w:w="3015" w:type="dxa"/>
            <w:tcBorders>
              <w:top w:val="single" w:sz="6" w:space="0" w:color="D9D9D9" w:themeColor="background1" w:themeShade="D9"/>
              <w:left w:val="nil"/>
              <w:bottom w:val="single" w:sz="6" w:space="0" w:color="1C556C" w:themeColor="accent1"/>
              <w:right w:val="nil"/>
            </w:tcBorders>
            <w:shd w:val="clear" w:color="auto" w:fill="1C556C"/>
            <w:vAlign w:val="bottom"/>
            <w:hideMark/>
          </w:tcPr>
          <w:p w14:paraId="7F9B7DA1" w14:textId="77777777" w:rsidR="009B2872" w:rsidRPr="00464830" w:rsidRDefault="009B2872" w:rsidP="00642E32">
            <w:pPr>
              <w:spacing w:before="60" w:after="60" w:line="240" w:lineRule="atLeast"/>
              <w:jc w:val="left"/>
              <w:rPr>
                <w:b/>
                <w:color w:val="FFFFFF" w:themeColor="background1"/>
                <w:sz w:val="18"/>
                <w:szCs w:val="18"/>
              </w:rPr>
            </w:pPr>
          </w:p>
        </w:tc>
        <w:tc>
          <w:tcPr>
            <w:tcW w:w="1005" w:type="dxa"/>
            <w:vMerge w:val="restart"/>
            <w:tcBorders>
              <w:top w:val="single" w:sz="6" w:space="0" w:color="D9D9D9" w:themeColor="background1" w:themeShade="D9"/>
              <w:left w:val="nil"/>
              <w:bottom w:val="single" w:sz="6" w:space="0" w:color="1C556C"/>
              <w:right w:val="nil"/>
            </w:tcBorders>
            <w:shd w:val="clear" w:color="auto" w:fill="1C556C"/>
            <w:vAlign w:val="bottom"/>
            <w:hideMark/>
          </w:tcPr>
          <w:p w14:paraId="0B2F87BF" w14:textId="77777777" w:rsidR="009B2872" w:rsidRPr="00464830" w:rsidRDefault="009B2872" w:rsidP="00642E32">
            <w:pPr>
              <w:spacing w:before="60" w:after="60" w:line="240" w:lineRule="atLeast"/>
              <w:jc w:val="left"/>
              <w:rPr>
                <w:b/>
                <w:color w:val="FFFFFF" w:themeColor="background1"/>
                <w:sz w:val="18"/>
                <w:szCs w:val="18"/>
              </w:rPr>
            </w:pPr>
            <w:r w:rsidRPr="00464830">
              <w:rPr>
                <w:b/>
                <w:color w:val="FFFFFF" w:themeColor="background1"/>
                <w:sz w:val="18"/>
                <w:szCs w:val="18"/>
              </w:rPr>
              <w:t>Unit, as applicable</w:t>
            </w:r>
          </w:p>
        </w:tc>
        <w:tc>
          <w:tcPr>
            <w:tcW w:w="2010" w:type="dxa"/>
            <w:tcBorders>
              <w:top w:val="single" w:sz="6" w:space="0" w:color="D9D9D9" w:themeColor="background1" w:themeShade="D9"/>
              <w:left w:val="nil"/>
              <w:bottom w:val="nil"/>
              <w:right w:val="nil"/>
            </w:tcBorders>
            <w:shd w:val="clear" w:color="auto" w:fill="1C556C"/>
            <w:vAlign w:val="bottom"/>
            <w:hideMark/>
          </w:tcPr>
          <w:p w14:paraId="39776069" w14:textId="77777777" w:rsidR="009B2872" w:rsidRPr="00464830" w:rsidRDefault="009B2872" w:rsidP="00642E32">
            <w:pPr>
              <w:spacing w:before="60" w:after="60" w:line="240" w:lineRule="atLeast"/>
              <w:jc w:val="left"/>
              <w:rPr>
                <w:b/>
                <w:color w:val="FFFFFF" w:themeColor="background1"/>
                <w:sz w:val="18"/>
                <w:szCs w:val="18"/>
              </w:rPr>
            </w:pPr>
            <w:r w:rsidRPr="00464830">
              <w:rPr>
                <w:b/>
                <w:color w:val="FFFFFF" w:themeColor="background1"/>
                <w:sz w:val="18"/>
                <w:szCs w:val="18"/>
              </w:rPr>
              <w:t>Reference point(s), level(s), baseline(s), base year(s) or starting point(s), as appropriate (paras 67 and 77(a)(i) of the MPGs)</w:t>
            </w:r>
          </w:p>
        </w:tc>
        <w:tc>
          <w:tcPr>
            <w:tcW w:w="2430" w:type="dxa"/>
            <w:gridSpan w:val="2"/>
            <w:tcBorders>
              <w:top w:val="single" w:sz="6" w:space="0" w:color="D9D9D9" w:themeColor="background1" w:themeShade="D9"/>
              <w:left w:val="nil"/>
              <w:bottom w:val="nil"/>
              <w:right w:val="nil"/>
            </w:tcBorders>
            <w:shd w:val="clear" w:color="auto" w:fill="1C556C"/>
            <w:vAlign w:val="bottom"/>
            <w:hideMark/>
          </w:tcPr>
          <w:p w14:paraId="33BA7490" w14:textId="77777777" w:rsidR="009B2872" w:rsidRPr="00464830" w:rsidRDefault="009B2872" w:rsidP="00642E32">
            <w:pPr>
              <w:spacing w:before="60" w:after="60" w:line="240" w:lineRule="atLeast"/>
              <w:jc w:val="left"/>
              <w:rPr>
                <w:b/>
                <w:color w:val="FFFFFF" w:themeColor="background1"/>
                <w:sz w:val="18"/>
                <w:szCs w:val="18"/>
              </w:rPr>
            </w:pPr>
            <w:r w:rsidRPr="00464830">
              <w:rPr>
                <w:b/>
                <w:color w:val="FFFFFF" w:themeColor="background1"/>
                <w:sz w:val="18"/>
                <w:szCs w:val="18"/>
              </w:rPr>
              <w:t>Implementation period of the NDC covering information for previous reporting years, as applicable, and the most recent year, including the end year or end of period (paras 68 and 77(a)(ii–iii) of the MPGs)</w:t>
            </w:r>
          </w:p>
        </w:tc>
        <w:tc>
          <w:tcPr>
            <w:tcW w:w="1140" w:type="dxa"/>
            <w:tcBorders>
              <w:top w:val="single" w:sz="6" w:space="0" w:color="D9D9D9" w:themeColor="background1" w:themeShade="D9"/>
              <w:left w:val="nil"/>
              <w:bottom w:val="single" w:sz="6" w:space="0" w:color="1C556C" w:themeColor="accent1"/>
              <w:right w:val="nil"/>
            </w:tcBorders>
            <w:shd w:val="clear" w:color="auto" w:fill="1C556C"/>
            <w:vAlign w:val="bottom"/>
            <w:hideMark/>
          </w:tcPr>
          <w:p w14:paraId="131678AE" w14:textId="77777777" w:rsidR="009B2872" w:rsidRPr="00464830" w:rsidRDefault="009B2872" w:rsidP="00642E32">
            <w:pPr>
              <w:spacing w:before="60" w:after="60" w:line="240" w:lineRule="atLeast"/>
              <w:jc w:val="left"/>
              <w:rPr>
                <w:b/>
                <w:color w:val="FFFFFF" w:themeColor="background1"/>
                <w:sz w:val="18"/>
                <w:szCs w:val="18"/>
              </w:rPr>
            </w:pPr>
            <w:r w:rsidRPr="00464830">
              <w:rPr>
                <w:b/>
                <w:color w:val="FFFFFF" w:themeColor="background1"/>
                <w:sz w:val="18"/>
                <w:szCs w:val="18"/>
              </w:rPr>
              <w:t xml:space="preserve">Target level </w:t>
            </w:r>
            <w:r w:rsidRPr="00464830">
              <w:rPr>
                <w:b/>
                <w:color w:val="FFFFFF" w:themeColor="background1"/>
                <w:sz w:val="18"/>
                <w:szCs w:val="18"/>
                <w:vertAlign w:val="superscript"/>
              </w:rPr>
              <w:t>b</w:t>
            </w:r>
          </w:p>
        </w:tc>
        <w:tc>
          <w:tcPr>
            <w:tcW w:w="1005" w:type="dxa"/>
            <w:tcBorders>
              <w:top w:val="single" w:sz="6" w:space="0" w:color="D9D9D9" w:themeColor="background1" w:themeShade="D9"/>
              <w:left w:val="nil"/>
              <w:bottom w:val="single" w:sz="6" w:space="0" w:color="1C556C" w:themeColor="accent1"/>
              <w:right w:val="nil"/>
            </w:tcBorders>
            <w:shd w:val="clear" w:color="auto" w:fill="1C556C"/>
            <w:vAlign w:val="bottom"/>
            <w:hideMark/>
          </w:tcPr>
          <w:p w14:paraId="60205FCF" w14:textId="77777777" w:rsidR="009B2872" w:rsidRPr="00464830" w:rsidRDefault="009B2872" w:rsidP="00642E32">
            <w:pPr>
              <w:spacing w:before="60" w:after="60" w:line="240" w:lineRule="atLeast"/>
              <w:jc w:val="left"/>
              <w:rPr>
                <w:b/>
                <w:color w:val="FFFFFF" w:themeColor="background1"/>
                <w:sz w:val="18"/>
                <w:szCs w:val="18"/>
              </w:rPr>
            </w:pPr>
            <w:r w:rsidRPr="00464830">
              <w:rPr>
                <w:b/>
                <w:color w:val="FFFFFF" w:themeColor="background1"/>
                <w:sz w:val="18"/>
                <w:szCs w:val="18"/>
              </w:rPr>
              <w:t>Target year or period</w:t>
            </w:r>
          </w:p>
        </w:tc>
        <w:tc>
          <w:tcPr>
            <w:tcW w:w="3870" w:type="dxa"/>
            <w:tcBorders>
              <w:top w:val="single" w:sz="6" w:space="0" w:color="D9D9D9" w:themeColor="background1" w:themeShade="D9"/>
              <w:left w:val="nil"/>
              <w:bottom w:val="single" w:sz="6" w:space="0" w:color="1C556C" w:themeColor="accent1"/>
              <w:right w:val="nil"/>
            </w:tcBorders>
            <w:shd w:val="clear" w:color="auto" w:fill="1C556C"/>
            <w:vAlign w:val="bottom"/>
            <w:hideMark/>
          </w:tcPr>
          <w:p w14:paraId="550875AB" w14:textId="77777777" w:rsidR="009B2872" w:rsidRPr="00464830" w:rsidRDefault="009B2872" w:rsidP="00642E32">
            <w:pPr>
              <w:spacing w:before="60" w:after="60" w:line="240" w:lineRule="atLeast"/>
              <w:jc w:val="left"/>
              <w:rPr>
                <w:b/>
                <w:color w:val="FFFFFF" w:themeColor="background1"/>
                <w:sz w:val="18"/>
                <w:szCs w:val="18"/>
              </w:rPr>
            </w:pPr>
            <w:r w:rsidRPr="00464830">
              <w:rPr>
                <w:b/>
                <w:color w:val="FFFFFF" w:themeColor="background1"/>
                <w:sz w:val="18"/>
                <w:szCs w:val="18"/>
              </w:rPr>
              <w:t>Progress made towards the NDC, as determined by comparing the most recent information for each selected indicator, including for the end year or end of period, with the reference point(s), level(s), baseline(s), base year(s) or starting point(s) (paras 69–70 of the MPGs)</w:t>
            </w:r>
          </w:p>
        </w:tc>
      </w:tr>
      <w:tr w:rsidR="00003FCA" w:rsidRPr="00464830" w14:paraId="22C996DC" w14:textId="77777777" w:rsidTr="006D5046">
        <w:tc>
          <w:tcPr>
            <w:tcW w:w="3015" w:type="dxa"/>
            <w:tcBorders>
              <w:top w:val="single" w:sz="6" w:space="0" w:color="1C556C" w:themeColor="accent1"/>
              <w:left w:val="nil"/>
              <w:bottom w:val="single" w:sz="6" w:space="0" w:color="1C556C" w:themeColor="accent1"/>
              <w:right w:val="nil"/>
            </w:tcBorders>
            <w:shd w:val="clear" w:color="auto" w:fill="1B556B" w:themeFill="text2"/>
            <w:vAlign w:val="bottom"/>
            <w:hideMark/>
          </w:tcPr>
          <w:p w14:paraId="7D514813" w14:textId="77777777" w:rsidR="009B2872" w:rsidRPr="00464830" w:rsidRDefault="009B2872" w:rsidP="009B2872">
            <w:pPr>
              <w:spacing w:before="60" w:after="60" w:line="240" w:lineRule="atLeast"/>
              <w:jc w:val="center"/>
              <w:rPr>
                <w:b/>
                <w:color w:val="FFFFFF" w:themeColor="background1"/>
                <w:sz w:val="18"/>
                <w:szCs w:val="18"/>
              </w:rPr>
            </w:pPr>
          </w:p>
        </w:tc>
        <w:tc>
          <w:tcPr>
            <w:tcW w:w="1008" w:type="dxa"/>
            <w:vMerge/>
            <w:tcBorders>
              <w:top w:val="single" w:sz="6" w:space="0" w:color="1C556C" w:themeColor="accent1"/>
              <w:left w:val="nil"/>
              <w:bottom w:val="single" w:sz="6" w:space="0" w:color="1C556C"/>
              <w:right w:val="nil"/>
            </w:tcBorders>
            <w:vAlign w:val="bottom"/>
            <w:hideMark/>
          </w:tcPr>
          <w:p w14:paraId="32470AEC" w14:textId="77777777" w:rsidR="009B2872" w:rsidRPr="00464830" w:rsidRDefault="009B2872" w:rsidP="009B2872">
            <w:pPr>
              <w:spacing w:before="60" w:after="60" w:line="240" w:lineRule="atLeast"/>
              <w:jc w:val="center"/>
              <w:rPr>
                <w:b/>
                <w:color w:val="FFFFFF" w:themeColor="background1"/>
                <w:sz w:val="18"/>
                <w:szCs w:val="18"/>
              </w:rPr>
            </w:pPr>
          </w:p>
        </w:tc>
        <w:tc>
          <w:tcPr>
            <w:tcW w:w="2010" w:type="dxa"/>
            <w:tcBorders>
              <w:top w:val="nil"/>
              <w:left w:val="nil"/>
              <w:bottom w:val="single" w:sz="6" w:space="0" w:color="1C556C" w:themeColor="accent1"/>
              <w:right w:val="nil"/>
            </w:tcBorders>
            <w:shd w:val="clear" w:color="auto" w:fill="1B556B" w:themeFill="text2"/>
            <w:vAlign w:val="bottom"/>
            <w:hideMark/>
          </w:tcPr>
          <w:p w14:paraId="6A7AC9B0" w14:textId="77777777" w:rsidR="009B2872" w:rsidRPr="00464830" w:rsidRDefault="009B2872" w:rsidP="009B2872">
            <w:pPr>
              <w:spacing w:before="60" w:after="60" w:line="240" w:lineRule="atLeast"/>
              <w:jc w:val="center"/>
              <w:rPr>
                <w:b/>
                <w:color w:val="FFFFFF" w:themeColor="background1"/>
                <w:sz w:val="18"/>
                <w:szCs w:val="18"/>
              </w:rPr>
            </w:pPr>
            <w:r w:rsidRPr="00464830">
              <w:rPr>
                <w:b/>
                <w:color w:val="FFFFFF" w:themeColor="background1"/>
                <w:sz w:val="18"/>
                <w:szCs w:val="18"/>
              </w:rPr>
              <w:t>2005</w:t>
            </w:r>
          </w:p>
        </w:tc>
        <w:tc>
          <w:tcPr>
            <w:tcW w:w="1290" w:type="dxa"/>
            <w:tcBorders>
              <w:top w:val="nil"/>
              <w:left w:val="nil"/>
              <w:bottom w:val="single" w:sz="6" w:space="0" w:color="1C556C" w:themeColor="accent1"/>
              <w:right w:val="nil"/>
            </w:tcBorders>
            <w:shd w:val="clear" w:color="auto" w:fill="1B556B" w:themeFill="text2"/>
            <w:vAlign w:val="bottom"/>
            <w:hideMark/>
          </w:tcPr>
          <w:p w14:paraId="0398497F" w14:textId="77777777" w:rsidR="009B2872" w:rsidRPr="00464830" w:rsidRDefault="009B2872" w:rsidP="009B2872">
            <w:pPr>
              <w:spacing w:before="60" w:after="60" w:line="240" w:lineRule="atLeast"/>
              <w:jc w:val="center"/>
              <w:rPr>
                <w:b/>
                <w:color w:val="FFFFFF" w:themeColor="background1"/>
                <w:sz w:val="18"/>
                <w:szCs w:val="18"/>
              </w:rPr>
            </w:pPr>
            <w:r w:rsidRPr="00464830">
              <w:rPr>
                <w:b/>
                <w:color w:val="FFFFFF" w:themeColor="background1"/>
                <w:sz w:val="18"/>
                <w:szCs w:val="18"/>
              </w:rPr>
              <w:t>2021</w:t>
            </w:r>
          </w:p>
        </w:tc>
        <w:tc>
          <w:tcPr>
            <w:tcW w:w="1140" w:type="dxa"/>
            <w:tcBorders>
              <w:top w:val="nil"/>
              <w:left w:val="nil"/>
              <w:bottom w:val="single" w:sz="6" w:space="0" w:color="1C556C" w:themeColor="accent1"/>
              <w:right w:val="nil"/>
            </w:tcBorders>
            <w:shd w:val="clear" w:color="auto" w:fill="1B556B" w:themeFill="text2"/>
            <w:vAlign w:val="bottom"/>
            <w:hideMark/>
          </w:tcPr>
          <w:p w14:paraId="0448377A" w14:textId="77777777" w:rsidR="009B2872" w:rsidRPr="00464830" w:rsidRDefault="009B2872" w:rsidP="009B2872">
            <w:pPr>
              <w:spacing w:before="60" w:after="60" w:line="240" w:lineRule="atLeast"/>
              <w:jc w:val="center"/>
              <w:rPr>
                <w:b/>
                <w:color w:val="FFFFFF" w:themeColor="background1"/>
                <w:sz w:val="18"/>
                <w:szCs w:val="18"/>
              </w:rPr>
            </w:pPr>
            <w:r w:rsidRPr="00464830">
              <w:rPr>
                <w:b/>
                <w:color w:val="FFFFFF" w:themeColor="background1"/>
                <w:sz w:val="18"/>
                <w:szCs w:val="18"/>
              </w:rPr>
              <w:t>2022</w:t>
            </w:r>
          </w:p>
        </w:tc>
        <w:tc>
          <w:tcPr>
            <w:tcW w:w="1140" w:type="dxa"/>
            <w:tcBorders>
              <w:top w:val="single" w:sz="6" w:space="0" w:color="1C556C" w:themeColor="accent1"/>
              <w:left w:val="nil"/>
              <w:bottom w:val="single" w:sz="6" w:space="0" w:color="1C556C" w:themeColor="accent1"/>
              <w:right w:val="nil"/>
            </w:tcBorders>
            <w:shd w:val="clear" w:color="auto" w:fill="1B556B" w:themeFill="text2"/>
            <w:vAlign w:val="bottom"/>
            <w:hideMark/>
          </w:tcPr>
          <w:p w14:paraId="6184E87C" w14:textId="77777777" w:rsidR="009B2872" w:rsidRPr="00464830" w:rsidRDefault="009B2872" w:rsidP="009B2872">
            <w:pPr>
              <w:spacing w:before="60" w:after="60" w:line="240" w:lineRule="atLeast"/>
              <w:jc w:val="center"/>
              <w:rPr>
                <w:b/>
                <w:color w:val="FFFFFF" w:themeColor="background1"/>
                <w:sz w:val="18"/>
                <w:szCs w:val="18"/>
              </w:rPr>
            </w:pPr>
          </w:p>
        </w:tc>
        <w:tc>
          <w:tcPr>
            <w:tcW w:w="1005" w:type="dxa"/>
            <w:tcBorders>
              <w:top w:val="single" w:sz="6" w:space="0" w:color="1C556C" w:themeColor="accent1"/>
              <w:left w:val="nil"/>
              <w:bottom w:val="single" w:sz="6" w:space="0" w:color="1C556C" w:themeColor="accent1"/>
              <w:right w:val="nil"/>
            </w:tcBorders>
            <w:shd w:val="clear" w:color="auto" w:fill="1B556B" w:themeFill="text2"/>
            <w:vAlign w:val="bottom"/>
            <w:hideMark/>
          </w:tcPr>
          <w:p w14:paraId="42D7BA7C" w14:textId="77777777" w:rsidR="009B2872" w:rsidRPr="00464830" w:rsidRDefault="009B2872" w:rsidP="009B2872">
            <w:pPr>
              <w:spacing w:before="60" w:after="60" w:line="240" w:lineRule="atLeast"/>
              <w:jc w:val="center"/>
              <w:rPr>
                <w:b/>
                <w:color w:val="FFFFFF" w:themeColor="background1"/>
                <w:sz w:val="18"/>
                <w:szCs w:val="18"/>
              </w:rPr>
            </w:pPr>
          </w:p>
        </w:tc>
        <w:tc>
          <w:tcPr>
            <w:tcW w:w="3870" w:type="dxa"/>
            <w:tcBorders>
              <w:top w:val="single" w:sz="6" w:space="0" w:color="1C556C" w:themeColor="accent1"/>
              <w:left w:val="nil"/>
              <w:bottom w:val="single" w:sz="6" w:space="0" w:color="1C556C" w:themeColor="accent1"/>
              <w:right w:val="nil"/>
            </w:tcBorders>
            <w:shd w:val="clear" w:color="auto" w:fill="1B556B" w:themeFill="text2"/>
            <w:vAlign w:val="bottom"/>
            <w:hideMark/>
          </w:tcPr>
          <w:p w14:paraId="6919EDED" w14:textId="77777777" w:rsidR="009B2872" w:rsidRPr="00464830" w:rsidRDefault="009B2872" w:rsidP="009B2872">
            <w:pPr>
              <w:spacing w:before="60" w:after="60" w:line="240" w:lineRule="atLeast"/>
              <w:jc w:val="center"/>
              <w:rPr>
                <w:b/>
                <w:color w:val="FFFFFF" w:themeColor="background1"/>
                <w:sz w:val="18"/>
                <w:szCs w:val="18"/>
              </w:rPr>
            </w:pPr>
          </w:p>
        </w:tc>
      </w:tr>
      <w:tr w:rsidR="009B2872" w:rsidRPr="00464830" w14:paraId="352E2A64" w14:textId="77777777" w:rsidTr="00642E32">
        <w:tc>
          <w:tcPr>
            <w:tcW w:w="3015" w:type="dxa"/>
            <w:tcBorders>
              <w:top w:val="single" w:sz="6" w:space="0" w:color="D9D9D9" w:themeColor="background1" w:themeShade="D9"/>
              <w:left w:val="single" w:sz="6" w:space="0" w:color="D9D9D9" w:themeColor="background1" w:themeShade="D9"/>
              <w:bottom w:val="single" w:sz="6" w:space="0" w:color="1C556C" w:themeColor="accent1"/>
              <w:right w:val="single" w:sz="6" w:space="0" w:color="D9D9D9" w:themeColor="background1" w:themeShade="D9"/>
            </w:tcBorders>
            <w:shd w:val="clear" w:color="auto" w:fill="D2DDE1" w:themeFill="background2"/>
            <w:hideMark/>
          </w:tcPr>
          <w:p w14:paraId="2AAD2FC5" w14:textId="77777777" w:rsidR="009B2872" w:rsidRPr="00464830" w:rsidRDefault="009B2872" w:rsidP="009B2872">
            <w:pPr>
              <w:spacing w:before="0" w:after="0" w:line="240" w:lineRule="auto"/>
              <w:jc w:val="left"/>
              <w:rPr>
                <w:rFonts w:eastAsia="Calibri" w:cs="Calibri"/>
                <w:b/>
                <w:bCs/>
                <w:color w:val="000000" w:themeColor="text1"/>
                <w:sz w:val="18"/>
                <w:szCs w:val="18"/>
              </w:rPr>
            </w:pPr>
            <w:r w:rsidRPr="00464830">
              <w:rPr>
                <w:rFonts w:eastAsia="Calibri" w:cs="Calibri"/>
                <w:b/>
                <w:bCs/>
                <w:color w:val="000000" w:themeColor="text1"/>
                <w:sz w:val="18"/>
                <w:szCs w:val="18"/>
              </w:rPr>
              <w:t>Indicator(s) selected to track progress of the NDC or portion of NDC under Article 4 of the Paris Agreement (paras 65 and 77(a) of the MPGs): </w:t>
            </w:r>
          </w:p>
        </w:tc>
        <w:tc>
          <w:tcPr>
            <w:tcW w:w="1005" w:type="dxa"/>
            <w:tcBorders>
              <w:top w:val="single" w:sz="6" w:space="0" w:color="1C556C"/>
              <w:left w:val="single" w:sz="6" w:space="0" w:color="D9D9D9" w:themeColor="background1" w:themeShade="D9"/>
              <w:bottom w:val="single" w:sz="6" w:space="0" w:color="1C556C" w:themeColor="accent1"/>
              <w:right w:val="single" w:sz="6" w:space="0" w:color="D9D9D9" w:themeColor="background1" w:themeShade="D9"/>
            </w:tcBorders>
            <w:shd w:val="clear" w:color="auto" w:fill="D2DDE1" w:themeFill="background2"/>
            <w:hideMark/>
          </w:tcPr>
          <w:p w14:paraId="510E54BC" w14:textId="77777777" w:rsidR="009B2872" w:rsidRPr="00464830" w:rsidRDefault="009B2872" w:rsidP="009B2872">
            <w:pPr>
              <w:spacing w:before="0" w:after="0" w:line="240" w:lineRule="auto"/>
              <w:jc w:val="left"/>
              <w:rPr>
                <w:rFonts w:eastAsia="Calibri" w:cs="Calibri"/>
                <w:b/>
                <w:bCs/>
                <w:color w:val="000000" w:themeColor="text1"/>
                <w:sz w:val="18"/>
                <w:szCs w:val="18"/>
              </w:rPr>
            </w:pPr>
            <w:r w:rsidRPr="00464830">
              <w:rPr>
                <w:rFonts w:eastAsia="Calibri" w:cs="Calibri"/>
                <w:b/>
                <w:bCs/>
                <w:color w:val="000000" w:themeColor="text1"/>
                <w:sz w:val="18"/>
                <w:szCs w:val="18"/>
              </w:rPr>
              <w:t> </w:t>
            </w:r>
          </w:p>
        </w:tc>
        <w:tc>
          <w:tcPr>
            <w:tcW w:w="2010" w:type="dxa"/>
            <w:tcBorders>
              <w:top w:val="single" w:sz="6" w:space="0" w:color="D9D9D9" w:themeColor="background1" w:themeShade="D9"/>
              <w:left w:val="single" w:sz="6" w:space="0" w:color="D9D9D9" w:themeColor="background1" w:themeShade="D9"/>
              <w:bottom w:val="single" w:sz="6" w:space="0" w:color="1C556C" w:themeColor="accent1"/>
              <w:right w:val="single" w:sz="6" w:space="0" w:color="D9D9D9" w:themeColor="background1" w:themeShade="D9"/>
            </w:tcBorders>
            <w:shd w:val="clear" w:color="auto" w:fill="D2DDE1" w:themeFill="background2"/>
            <w:hideMark/>
          </w:tcPr>
          <w:p w14:paraId="2DD584AB" w14:textId="77777777" w:rsidR="009B2872" w:rsidRPr="00464830" w:rsidRDefault="009B2872" w:rsidP="009B2872">
            <w:pPr>
              <w:spacing w:before="0" w:after="0" w:line="240" w:lineRule="auto"/>
              <w:jc w:val="left"/>
              <w:rPr>
                <w:rFonts w:eastAsia="Calibri" w:cs="Calibri"/>
                <w:b/>
                <w:bCs/>
                <w:color w:val="000000" w:themeColor="text1"/>
                <w:sz w:val="18"/>
                <w:szCs w:val="18"/>
              </w:rPr>
            </w:pPr>
            <w:r w:rsidRPr="00464830">
              <w:rPr>
                <w:rFonts w:eastAsia="Calibri" w:cs="Calibri"/>
                <w:b/>
                <w:bCs/>
                <w:color w:val="000000" w:themeColor="text1"/>
                <w:sz w:val="18"/>
                <w:szCs w:val="18"/>
              </w:rPr>
              <w:t> </w:t>
            </w:r>
          </w:p>
        </w:tc>
        <w:tc>
          <w:tcPr>
            <w:tcW w:w="1290" w:type="dxa"/>
            <w:tcBorders>
              <w:top w:val="single" w:sz="6" w:space="0" w:color="D9D9D9" w:themeColor="background1" w:themeShade="D9"/>
              <w:left w:val="single" w:sz="6" w:space="0" w:color="D9D9D9" w:themeColor="background1" w:themeShade="D9"/>
              <w:bottom w:val="single" w:sz="6" w:space="0" w:color="1C556C" w:themeColor="accent1"/>
              <w:right w:val="single" w:sz="6" w:space="0" w:color="D9D9D9" w:themeColor="background1" w:themeShade="D9"/>
            </w:tcBorders>
            <w:shd w:val="clear" w:color="auto" w:fill="D2DDE1" w:themeFill="background2"/>
            <w:hideMark/>
          </w:tcPr>
          <w:p w14:paraId="734F5BD3" w14:textId="77777777" w:rsidR="009B2872" w:rsidRPr="00464830" w:rsidRDefault="009B2872" w:rsidP="009B2872">
            <w:pPr>
              <w:spacing w:before="0" w:after="0" w:line="240" w:lineRule="auto"/>
              <w:jc w:val="left"/>
              <w:rPr>
                <w:rFonts w:eastAsia="Calibri" w:cs="Calibri"/>
                <w:b/>
                <w:bCs/>
                <w:color w:val="000000" w:themeColor="text1"/>
                <w:sz w:val="18"/>
                <w:szCs w:val="18"/>
              </w:rPr>
            </w:pPr>
            <w:r w:rsidRPr="00464830">
              <w:rPr>
                <w:rFonts w:eastAsia="Calibri" w:cs="Calibri"/>
                <w:b/>
                <w:bCs/>
                <w:color w:val="000000" w:themeColor="text1"/>
                <w:sz w:val="18"/>
                <w:szCs w:val="18"/>
              </w:rPr>
              <w:t> </w:t>
            </w:r>
          </w:p>
        </w:tc>
        <w:tc>
          <w:tcPr>
            <w:tcW w:w="1140" w:type="dxa"/>
            <w:tcBorders>
              <w:top w:val="single" w:sz="6" w:space="0" w:color="D9D9D9" w:themeColor="background1" w:themeShade="D9"/>
              <w:left w:val="single" w:sz="6" w:space="0" w:color="D9D9D9" w:themeColor="background1" w:themeShade="D9"/>
              <w:bottom w:val="single" w:sz="6" w:space="0" w:color="1C556C" w:themeColor="accent1"/>
              <w:right w:val="single" w:sz="6" w:space="0" w:color="D9D9D9" w:themeColor="background1" w:themeShade="D9"/>
            </w:tcBorders>
            <w:shd w:val="clear" w:color="auto" w:fill="D2DDE1" w:themeFill="background2"/>
            <w:hideMark/>
          </w:tcPr>
          <w:p w14:paraId="4682A756" w14:textId="77777777" w:rsidR="009B2872" w:rsidRPr="00464830" w:rsidRDefault="009B2872" w:rsidP="009B2872">
            <w:pPr>
              <w:spacing w:before="0" w:after="0" w:line="240" w:lineRule="auto"/>
              <w:jc w:val="left"/>
              <w:rPr>
                <w:rFonts w:eastAsia="Calibri" w:cs="Calibri"/>
                <w:b/>
                <w:bCs/>
                <w:color w:val="000000" w:themeColor="text1"/>
                <w:sz w:val="18"/>
                <w:szCs w:val="18"/>
              </w:rPr>
            </w:pPr>
            <w:r w:rsidRPr="00464830">
              <w:rPr>
                <w:rFonts w:eastAsia="Calibri" w:cs="Calibri"/>
                <w:b/>
                <w:bCs/>
                <w:color w:val="000000" w:themeColor="text1"/>
                <w:sz w:val="18"/>
                <w:szCs w:val="18"/>
              </w:rPr>
              <w:t> </w:t>
            </w:r>
          </w:p>
        </w:tc>
        <w:tc>
          <w:tcPr>
            <w:tcW w:w="1140" w:type="dxa"/>
            <w:tcBorders>
              <w:top w:val="single" w:sz="6" w:space="0" w:color="D9D9D9" w:themeColor="background1" w:themeShade="D9"/>
              <w:left w:val="single" w:sz="6" w:space="0" w:color="D9D9D9" w:themeColor="background1" w:themeShade="D9"/>
              <w:bottom w:val="single" w:sz="6" w:space="0" w:color="1C556C" w:themeColor="accent1"/>
              <w:right w:val="single" w:sz="6" w:space="0" w:color="D9D9D9" w:themeColor="background1" w:themeShade="D9"/>
            </w:tcBorders>
            <w:shd w:val="clear" w:color="auto" w:fill="D2DDE1" w:themeFill="background2"/>
            <w:hideMark/>
          </w:tcPr>
          <w:p w14:paraId="1D5A677C" w14:textId="77777777" w:rsidR="009B2872" w:rsidRPr="00464830" w:rsidRDefault="009B2872" w:rsidP="009B2872">
            <w:pPr>
              <w:spacing w:before="0" w:after="0" w:line="240" w:lineRule="auto"/>
              <w:jc w:val="left"/>
              <w:rPr>
                <w:rFonts w:eastAsia="Calibri" w:cs="Calibri"/>
                <w:b/>
                <w:bCs/>
                <w:color w:val="000000" w:themeColor="text1"/>
                <w:sz w:val="18"/>
                <w:szCs w:val="18"/>
              </w:rPr>
            </w:pPr>
            <w:r w:rsidRPr="00464830">
              <w:rPr>
                <w:rFonts w:eastAsia="Calibri" w:cs="Calibri"/>
                <w:b/>
                <w:bCs/>
                <w:color w:val="000000" w:themeColor="text1"/>
                <w:sz w:val="18"/>
                <w:szCs w:val="18"/>
              </w:rPr>
              <w:t> </w:t>
            </w:r>
          </w:p>
        </w:tc>
        <w:tc>
          <w:tcPr>
            <w:tcW w:w="1005" w:type="dxa"/>
            <w:tcBorders>
              <w:top w:val="single" w:sz="6" w:space="0" w:color="D9D9D9" w:themeColor="background1" w:themeShade="D9"/>
              <w:left w:val="single" w:sz="6" w:space="0" w:color="D9D9D9" w:themeColor="background1" w:themeShade="D9"/>
              <w:bottom w:val="single" w:sz="6" w:space="0" w:color="1C556C" w:themeColor="accent1"/>
              <w:right w:val="single" w:sz="6" w:space="0" w:color="D9D9D9" w:themeColor="background1" w:themeShade="D9"/>
            </w:tcBorders>
            <w:shd w:val="clear" w:color="auto" w:fill="D2DDE1" w:themeFill="background2"/>
            <w:hideMark/>
          </w:tcPr>
          <w:p w14:paraId="76D7C8F3" w14:textId="77777777" w:rsidR="009B2872" w:rsidRPr="00464830" w:rsidRDefault="009B2872" w:rsidP="009B2872">
            <w:pPr>
              <w:spacing w:before="0" w:after="0" w:line="240" w:lineRule="auto"/>
              <w:jc w:val="left"/>
              <w:rPr>
                <w:rFonts w:eastAsia="Calibri" w:cs="Calibri"/>
                <w:b/>
                <w:bCs/>
                <w:color w:val="000000" w:themeColor="text1"/>
                <w:sz w:val="18"/>
                <w:szCs w:val="18"/>
              </w:rPr>
            </w:pPr>
            <w:r w:rsidRPr="00464830">
              <w:rPr>
                <w:rFonts w:eastAsia="Calibri" w:cs="Calibri"/>
                <w:b/>
                <w:bCs/>
                <w:color w:val="000000" w:themeColor="text1"/>
                <w:sz w:val="18"/>
                <w:szCs w:val="18"/>
              </w:rPr>
              <w:t> </w:t>
            </w:r>
          </w:p>
          <w:p w14:paraId="3040C056" w14:textId="569F247B" w:rsidR="0057387B" w:rsidRPr="00464830" w:rsidRDefault="0057387B" w:rsidP="00681371">
            <w:pPr>
              <w:rPr>
                <w:rFonts w:eastAsia="Calibri" w:cs="Calibri"/>
                <w:sz w:val="18"/>
                <w:szCs w:val="18"/>
              </w:rPr>
            </w:pPr>
          </w:p>
        </w:tc>
        <w:tc>
          <w:tcPr>
            <w:tcW w:w="3870" w:type="dxa"/>
            <w:tcBorders>
              <w:top w:val="single" w:sz="6" w:space="0" w:color="D9D9D9" w:themeColor="background1" w:themeShade="D9"/>
              <w:left w:val="single" w:sz="6" w:space="0" w:color="D9D9D9" w:themeColor="background1" w:themeShade="D9"/>
              <w:bottom w:val="single" w:sz="6" w:space="0" w:color="1C556C" w:themeColor="accent1"/>
              <w:right w:val="single" w:sz="6" w:space="0" w:color="D9D9D9" w:themeColor="background1" w:themeShade="D9"/>
            </w:tcBorders>
            <w:shd w:val="clear" w:color="auto" w:fill="D2DDE1" w:themeFill="background2"/>
            <w:hideMark/>
          </w:tcPr>
          <w:p w14:paraId="3F1F773D" w14:textId="77777777" w:rsidR="009B2872" w:rsidRPr="00464830" w:rsidRDefault="009B2872" w:rsidP="009B2872">
            <w:pPr>
              <w:spacing w:before="0" w:after="0" w:line="240" w:lineRule="auto"/>
              <w:jc w:val="left"/>
              <w:rPr>
                <w:rFonts w:eastAsia="Calibri" w:cs="Calibri"/>
                <w:b/>
                <w:bCs/>
                <w:color w:val="000000" w:themeColor="text1"/>
                <w:sz w:val="18"/>
                <w:szCs w:val="18"/>
              </w:rPr>
            </w:pPr>
            <w:r w:rsidRPr="00464830">
              <w:rPr>
                <w:rFonts w:eastAsia="Calibri" w:cs="Calibri"/>
                <w:b/>
                <w:bCs/>
                <w:color w:val="000000" w:themeColor="text1"/>
                <w:sz w:val="18"/>
                <w:szCs w:val="18"/>
              </w:rPr>
              <w:t> </w:t>
            </w:r>
          </w:p>
        </w:tc>
      </w:tr>
      <w:tr w:rsidR="009B2872" w:rsidRPr="00464830" w14:paraId="5A622860" w14:textId="77777777" w:rsidTr="00642E32">
        <w:tc>
          <w:tcPr>
            <w:tcW w:w="3015" w:type="dxa"/>
            <w:tcBorders>
              <w:top w:val="single" w:sz="6" w:space="0" w:color="1C556C" w:themeColor="accent1"/>
              <w:left w:val="nil"/>
              <w:bottom w:val="single" w:sz="6" w:space="0" w:color="1C556C" w:themeColor="accent1"/>
              <w:right w:val="single" w:sz="6" w:space="0" w:color="1C556C" w:themeColor="accent1"/>
            </w:tcBorders>
            <w:shd w:val="clear" w:color="auto" w:fill="auto"/>
            <w:hideMark/>
          </w:tcPr>
          <w:p w14:paraId="471CFFE4" w14:textId="44A5D579" w:rsidR="009B2872" w:rsidRPr="00464830" w:rsidRDefault="009B2872" w:rsidP="009B2872">
            <w:pPr>
              <w:spacing w:before="60" w:after="60" w:line="240" w:lineRule="atLeast"/>
              <w:jc w:val="left"/>
              <w:rPr>
                <w:b/>
                <w:sz w:val="18"/>
                <w:szCs w:val="18"/>
              </w:rPr>
            </w:pPr>
            <w:r w:rsidRPr="00464830">
              <w:rPr>
                <w:b/>
                <w:sz w:val="18"/>
                <w:szCs w:val="18"/>
              </w:rPr>
              <w:t>Annual net target accounting emissions</w:t>
            </w:r>
            <w:r w:rsidR="00D926E9" w:rsidRPr="00464830">
              <w:rPr>
                <w:b/>
                <w:i/>
                <w:iCs/>
                <w:sz w:val="18"/>
                <w:szCs w:val="18"/>
              </w:rPr>
              <w:t xml:space="preserve"> </w:t>
            </w:r>
          </w:p>
        </w:tc>
        <w:tc>
          <w:tcPr>
            <w:tcW w:w="1005" w:type="dxa"/>
            <w:tcBorders>
              <w:top w:val="single" w:sz="6" w:space="0" w:color="1C556C" w:themeColor="accent1"/>
              <w:left w:val="single" w:sz="6" w:space="0" w:color="1C556C" w:themeColor="accent1"/>
              <w:bottom w:val="single" w:sz="6" w:space="0" w:color="1C556C" w:themeColor="accent1"/>
              <w:right w:val="single" w:sz="6" w:space="0" w:color="1C556C" w:themeColor="accent1"/>
            </w:tcBorders>
            <w:shd w:val="clear" w:color="auto" w:fill="auto"/>
            <w:hideMark/>
          </w:tcPr>
          <w:p w14:paraId="3E91A532" w14:textId="77777777" w:rsidR="009B2872" w:rsidRPr="00464830" w:rsidRDefault="009B2872" w:rsidP="0044676F">
            <w:pPr>
              <w:spacing w:before="60" w:after="60" w:line="240" w:lineRule="atLeast"/>
              <w:jc w:val="right"/>
              <w:rPr>
                <w:sz w:val="18"/>
                <w:szCs w:val="18"/>
              </w:rPr>
            </w:pPr>
            <w:r w:rsidRPr="00464830">
              <w:rPr>
                <w:sz w:val="18"/>
                <w:szCs w:val="18"/>
              </w:rPr>
              <w:t>kt CO</w:t>
            </w:r>
            <w:r w:rsidRPr="00464830">
              <w:rPr>
                <w:sz w:val="18"/>
                <w:szCs w:val="18"/>
                <w:vertAlign w:val="subscript"/>
              </w:rPr>
              <w:t>2</w:t>
            </w:r>
            <w:r w:rsidRPr="00464830">
              <w:rPr>
                <w:sz w:val="18"/>
                <w:szCs w:val="18"/>
              </w:rPr>
              <w:t xml:space="preserve"> equivalent </w:t>
            </w:r>
          </w:p>
        </w:tc>
        <w:tc>
          <w:tcPr>
            <w:tcW w:w="2010" w:type="dxa"/>
            <w:tcBorders>
              <w:top w:val="single" w:sz="6" w:space="0" w:color="1C556C" w:themeColor="accent1"/>
              <w:left w:val="single" w:sz="6" w:space="0" w:color="1C556C" w:themeColor="accent1"/>
              <w:bottom w:val="single" w:sz="6" w:space="0" w:color="1C556C" w:themeColor="accent1"/>
              <w:right w:val="single" w:sz="6" w:space="0" w:color="1C556C" w:themeColor="accent1"/>
            </w:tcBorders>
            <w:shd w:val="clear" w:color="auto" w:fill="auto"/>
            <w:hideMark/>
          </w:tcPr>
          <w:p w14:paraId="747B410F" w14:textId="77777777" w:rsidR="009B2872" w:rsidRPr="00464830" w:rsidRDefault="009B2872" w:rsidP="0044676F">
            <w:pPr>
              <w:spacing w:before="60" w:after="60" w:line="240" w:lineRule="atLeast"/>
              <w:jc w:val="right"/>
              <w:rPr>
                <w:sz w:val="18"/>
                <w:szCs w:val="18"/>
              </w:rPr>
            </w:pPr>
            <w:r w:rsidRPr="00464830">
              <w:rPr>
                <w:sz w:val="18"/>
                <w:szCs w:val="18"/>
              </w:rPr>
              <w:t>86,615.38 </w:t>
            </w:r>
          </w:p>
        </w:tc>
        <w:tc>
          <w:tcPr>
            <w:tcW w:w="1290" w:type="dxa"/>
            <w:tcBorders>
              <w:top w:val="single" w:sz="6" w:space="0" w:color="1C556C" w:themeColor="accent1"/>
              <w:left w:val="single" w:sz="6" w:space="0" w:color="1C556C" w:themeColor="accent1"/>
              <w:bottom w:val="single" w:sz="6" w:space="0" w:color="1C556C" w:themeColor="accent1"/>
              <w:right w:val="single" w:sz="6" w:space="0" w:color="1C556C" w:themeColor="accent1"/>
            </w:tcBorders>
            <w:shd w:val="clear" w:color="auto" w:fill="auto"/>
            <w:hideMark/>
          </w:tcPr>
          <w:p w14:paraId="377BCABF" w14:textId="77777777" w:rsidR="009B2872" w:rsidRPr="00464830" w:rsidRDefault="009B2872" w:rsidP="0044676F">
            <w:pPr>
              <w:spacing w:before="60" w:after="60" w:line="240" w:lineRule="atLeast"/>
              <w:jc w:val="right"/>
              <w:rPr>
                <w:sz w:val="18"/>
                <w:szCs w:val="18"/>
              </w:rPr>
            </w:pPr>
            <w:r w:rsidRPr="00464830">
              <w:rPr>
                <w:sz w:val="18"/>
                <w:szCs w:val="18"/>
              </w:rPr>
              <w:t>75,741.67</w:t>
            </w:r>
          </w:p>
          <w:p w14:paraId="231DC340" w14:textId="77777777" w:rsidR="009B2872" w:rsidRPr="00464830" w:rsidRDefault="009B2872" w:rsidP="0044676F">
            <w:pPr>
              <w:spacing w:before="60" w:after="60" w:line="240" w:lineRule="atLeast"/>
              <w:jc w:val="right"/>
              <w:rPr>
                <w:sz w:val="18"/>
                <w:szCs w:val="18"/>
              </w:rPr>
            </w:pPr>
            <w:r w:rsidRPr="00464830">
              <w:rPr>
                <w:sz w:val="18"/>
                <w:szCs w:val="18"/>
              </w:rPr>
              <w:t> </w:t>
            </w:r>
          </w:p>
        </w:tc>
        <w:tc>
          <w:tcPr>
            <w:tcW w:w="1140" w:type="dxa"/>
            <w:tcBorders>
              <w:top w:val="single" w:sz="6" w:space="0" w:color="1C556C" w:themeColor="accent1"/>
              <w:left w:val="single" w:sz="6" w:space="0" w:color="1C556C" w:themeColor="accent1"/>
              <w:bottom w:val="single" w:sz="6" w:space="0" w:color="1C556C" w:themeColor="accent1"/>
              <w:right w:val="single" w:sz="6" w:space="0" w:color="1C556C" w:themeColor="accent1"/>
            </w:tcBorders>
            <w:shd w:val="clear" w:color="auto" w:fill="FFFFFF" w:themeFill="background1"/>
            <w:hideMark/>
          </w:tcPr>
          <w:p w14:paraId="47D83B20" w14:textId="77777777" w:rsidR="009B2872" w:rsidRPr="00464830" w:rsidRDefault="009B2872" w:rsidP="0044676F">
            <w:pPr>
              <w:spacing w:before="60" w:after="60" w:line="240" w:lineRule="atLeast"/>
              <w:jc w:val="right"/>
              <w:rPr>
                <w:sz w:val="18"/>
                <w:szCs w:val="18"/>
              </w:rPr>
            </w:pPr>
            <w:r w:rsidRPr="00464830">
              <w:rPr>
                <w:sz w:val="18"/>
                <w:szCs w:val="18"/>
              </w:rPr>
              <w:t>73,115.79</w:t>
            </w:r>
          </w:p>
          <w:p w14:paraId="4D612266" w14:textId="77777777" w:rsidR="009B2872" w:rsidRPr="00464830" w:rsidRDefault="009B2872" w:rsidP="0044676F">
            <w:pPr>
              <w:spacing w:before="60" w:after="60" w:line="240" w:lineRule="atLeast"/>
              <w:jc w:val="right"/>
              <w:rPr>
                <w:sz w:val="18"/>
                <w:szCs w:val="18"/>
              </w:rPr>
            </w:pPr>
            <w:r w:rsidRPr="00464830">
              <w:rPr>
                <w:sz w:val="18"/>
                <w:szCs w:val="18"/>
              </w:rPr>
              <w:t> </w:t>
            </w:r>
          </w:p>
        </w:tc>
        <w:tc>
          <w:tcPr>
            <w:tcW w:w="1140" w:type="dxa"/>
            <w:tcBorders>
              <w:top w:val="single" w:sz="6" w:space="0" w:color="1C556C" w:themeColor="accent1"/>
              <w:left w:val="single" w:sz="6" w:space="0" w:color="1C556C" w:themeColor="accent1"/>
              <w:bottom w:val="single" w:sz="4" w:space="0" w:color="auto"/>
              <w:right w:val="single" w:sz="4" w:space="0" w:color="auto"/>
            </w:tcBorders>
            <w:shd w:val="clear" w:color="auto" w:fill="FFFFFF" w:themeFill="background1"/>
            <w:hideMark/>
          </w:tcPr>
          <w:p w14:paraId="227192DA" w14:textId="77777777" w:rsidR="009B2872" w:rsidRPr="00464830" w:rsidRDefault="009B2872" w:rsidP="0044676F">
            <w:pPr>
              <w:spacing w:before="60" w:after="60" w:line="240" w:lineRule="atLeast"/>
              <w:jc w:val="right"/>
              <w:rPr>
                <w:sz w:val="18"/>
                <w:szCs w:val="18"/>
              </w:rPr>
            </w:pPr>
            <w:r w:rsidRPr="00464830">
              <w:rPr>
                <w:sz w:val="18"/>
                <w:szCs w:val="18"/>
              </w:rPr>
              <w:t>43307.69 </w:t>
            </w:r>
          </w:p>
          <w:p w14:paraId="7A1B68F8" w14:textId="77777777" w:rsidR="009B2872" w:rsidRPr="00464830" w:rsidRDefault="009B2872" w:rsidP="0044676F">
            <w:pPr>
              <w:spacing w:before="60" w:after="60" w:line="240" w:lineRule="atLeast"/>
              <w:jc w:val="right"/>
              <w:rPr>
                <w:sz w:val="18"/>
                <w:szCs w:val="18"/>
              </w:rPr>
            </w:pPr>
            <w:r w:rsidRPr="00464830">
              <w:rPr>
                <w:sz w:val="18"/>
                <w:szCs w:val="18"/>
              </w:rPr>
              <w:t> </w:t>
            </w:r>
          </w:p>
        </w:tc>
        <w:tc>
          <w:tcPr>
            <w:tcW w:w="1005" w:type="dxa"/>
            <w:tcBorders>
              <w:top w:val="single" w:sz="6" w:space="0" w:color="1C556C" w:themeColor="accent1"/>
              <w:left w:val="single" w:sz="4" w:space="0" w:color="auto"/>
              <w:bottom w:val="single" w:sz="4" w:space="0" w:color="auto"/>
              <w:right w:val="single" w:sz="6" w:space="0" w:color="1C556C" w:themeColor="accent1"/>
            </w:tcBorders>
            <w:shd w:val="clear" w:color="auto" w:fill="FFFFFF" w:themeFill="background1"/>
            <w:hideMark/>
          </w:tcPr>
          <w:p w14:paraId="0896DFA5" w14:textId="76751F1B" w:rsidR="009B2872" w:rsidRPr="00464830" w:rsidRDefault="009B2872" w:rsidP="0044676F">
            <w:pPr>
              <w:spacing w:before="60" w:after="60" w:line="240" w:lineRule="atLeast"/>
              <w:jc w:val="right"/>
              <w:rPr>
                <w:sz w:val="18"/>
                <w:szCs w:val="18"/>
              </w:rPr>
            </w:pPr>
            <w:r w:rsidRPr="00464830">
              <w:rPr>
                <w:sz w:val="18"/>
                <w:szCs w:val="18"/>
              </w:rPr>
              <w:t>2030 </w:t>
            </w:r>
          </w:p>
        </w:tc>
        <w:tc>
          <w:tcPr>
            <w:tcW w:w="3870" w:type="dxa"/>
            <w:tcBorders>
              <w:top w:val="single" w:sz="6" w:space="0" w:color="1C556C" w:themeColor="accent1"/>
              <w:left w:val="single" w:sz="6" w:space="0" w:color="1C556C" w:themeColor="accent1"/>
              <w:bottom w:val="single" w:sz="6" w:space="0" w:color="1C556C" w:themeColor="accent1"/>
              <w:right w:val="nil"/>
            </w:tcBorders>
            <w:shd w:val="clear" w:color="auto" w:fill="FFFFFF" w:themeFill="background1"/>
            <w:hideMark/>
          </w:tcPr>
          <w:p w14:paraId="1F0E5FA3" w14:textId="4F1993F6" w:rsidR="009B2872" w:rsidRPr="00464830" w:rsidRDefault="009B2872" w:rsidP="009B2872">
            <w:pPr>
              <w:spacing w:before="60" w:after="60" w:line="240" w:lineRule="atLeast"/>
              <w:jc w:val="left"/>
              <w:rPr>
                <w:sz w:val="18"/>
                <w:szCs w:val="18"/>
              </w:rPr>
            </w:pPr>
            <w:r w:rsidRPr="00464830">
              <w:rPr>
                <w:sz w:val="18"/>
                <w:szCs w:val="18"/>
              </w:rPr>
              <w:t>In 2022, net target accounting emissions were 15.6 per cent below total gross emissions in the base year (2005).</w:t>
            </w:r>
            <w:r w:rsidR="00D926E9" w:rsidRPr="00464830">
              <w:rPr>
                <w:sz w:val="18"/>
                <w:szCs w:val="18"/>
              </w:rPr>
              <w:t xml:space="preserve"> </w:t>
            </w:r>
          </w:p>
          <w:p w14:paraId="0577A784" w14:textId="33186ABD" w:rsidR="009B2872" w:rsidRPr="00464830" w:rsidRDefault="009B2872" w:rsidP="009B2872">
            <w:pPr>
              <w:spacing w:before="60" w:after="60" w:line="240" w:lineRule="atLeast"/>
              <w:jc w:val="left"/>
              <w:rPr>
                <w:sz w:val="18"/>
                <w:szCs w:val="18"/>
              </w:rPr>
            </w:pPr>
            <w:r w:rsidRPr="00464830">
              <w:rPr>
                <w:sz w:val="18"/>
                <w:szCs w:val="18"/>
              </w:rPr>
              <w:t>New Zealand’s net target accounting emissions in 2021 and 2022 were 75,742 kt CO</w:t>
            </w:r>
            <w:r w:rsidRPr="00464830">
              <w:rPr>
                <w:sz w:val="18"/>
                <w:szCs w:val="18"/>
                <w:vertAlign w:val="subscript"/>
              </w:rPr>
              <w:t>2</w:t>
            </w:r>
            <w:r w:rsidRPr="00464830">
              <w:rPr>
                <w:sz w:val="18"/>
                <w:szCs w:val="18"/>
              </w:rPr>
              <w:t>e and 73,116 kt CO</w:t>
            </w:r>
            <w:r w:rsidRPr="00464830">
              <w:rPr>
                <w:sz w:val="18"/>
                <w:szCs w:val="18"/>
                <w:vertAlign w:val="subscript"/>
              </w:rPr>
              <w:t>2</w:t>
            </w:r>
            <w:r w:rsidRPr="00464830">
              <w:rPr>
                <w:sz w:val="18"/>
                <w:szCs w:val="18"/>
              </w:rPr>
              <w:t>e. This leaves an emissions budget of 430,143 kt CO</w:t>
            </w:r>
            <w:r w:rsidRPr="00464830">
              <w:rPr>
                <w:sz w:val="18"/>
                <w:szCs w:val="18"/>
                <w:vertAlign w:val="subscript"/>
              </w:rPr>
              <w:t>2</w:t>
            </w:r>
            <w:r w:rsidRPr="00464830">
              <w:rPr>
                <w:sz w:val="18"/>
                <w:szCs w:val="18"/>
              </w:rPr>
              <w:t>e for the remaining budget period until 2030.</w:t>
            </w:r>
            <w:r w:rsidR="00D926E9" w:rsidRPr="00464830">
              <w:rPr>
                <w:sz w:val="18"/>
                <w:szCs w:val="18"/>
              </w:rPr>
              <w:t xml:space="preserve"> </w:t>
            </w:r>
          </w:p>
        </w:tc>
      </w:tr>
      <w:tr w:rsidR="009B2872" w:rsidRPr="00464830" w14:paraId="34E6CCE4" w14:textId="77777777" w:rsidTr="00642E32">
        <w:tc>
          <w:tcPr>
            <w:tcW w:w="3015" w:type="dxa"/>
            <w:tcBorders>
              <w:top w:val="single" w:sz="6" w:space="0" w:color="1C556C" w:themeColor="accent1"/>
              <w:left w:val="nil"/>
              <w:bottom w:val="single" w:sz="6" w:space="0" w:color="1C556C" w:themeColor="accent1"/>
              <w:right w:val="single" w:sz="6" w:space="0" w:color="1C556C" w:themeColor="accent1"/>
            </w:tcBorders>
            <w:shd w:val="clear" w:color="auto" w:fill="auto"/>
            <w:hideMark/>
          </w:tcPr>
          <w:p w14:paraId="02B3D846" w14:textId="77777777" w:rsidR="009B2872" w:rsidRPr="00464830" w:rsidRDefault="009B2872" w:rsidP="009B2872">
            <w:pPr>
              <w:spacing w:before="60" w:after="60" w:line="240" w:lineRule="atLeast"/>
              <w:jc w:val="left"/>
              <w:rPr>
                <w:b/>
                <w:sz w:val="18"/>
                <w:szCs w:val="18"/>
              </w:rPr>
            </w:pPr>
            <w:r w:rsidRPr="00464830">
              <w:rPr>
                <w:b/>
                <w:sz w:val="18"/>
                <w:szCs w:val="18"/>
              </w:rPr>
              <w:t>Where applicable, total GHG emissions and removals consistent with the coverage of the NDC (para 77(b) of the MPGs) </w:t>
            </w:r>
          </w:p>
        </w:tc>
        <w:tc>
          <w:tcPr>
            <w:tcW w:w="1005" w:type="dxa"/>
            <w:tcBorders>
              <w:top w:val="single" w:sz="6" w:space="0" w:color="1C556C" w:themeColor="accent1"/>
              <w:left w:val="single" w:sz="6" w:space="0" w:color="1C556C" w:themeColor="accent1"/>
              <w:bottom w:val="single" w:sz="6" w:space="0" w:color="1C556C" w:themeColor="accent1"/>
              <w:right w:val="single" w:sz="6" w:space="0" w:color="1C556C" w:themeColor="accent1"/>
            </w:tcBorders>
            <w:shd w:val="clear" w:color="auto" w:fill="auto"/>
            <w:hideMark/>
          </w:tcPr>
          <w:p w14:paraId="487CB066" w14:textId="426E1FD0" w:rsidR="009B2872" w:rsidRPr="00464830" w:rsidRDefault="009B2872" w:rsidP="0044676F">
            <w:pPr>
              <w:spacing w:before="60" w:after="60" w:line="240" w:lineRule="atLeast"/>
              <w:jc w:val="right"/>
              <w:rPr>
                <w:sz w:val="18"/>
                <w:szCs w:val="18"/>
              </w:rPr>
            </w:pPr>
            <w:r w:rsidRPr="00464830">
              <w:rPr>
                <w:sz w:val="18"/>
                <w:szCs w:val="18"/>
              </w:rPr>
              <w:t>kt CO</w:t>
            </w:r>
            <w:r w:rsidRPr="00464830">
              <w:rPr>
                <w:sz w:val="18"/>
                <w:szCs w:val="18"/>
                <w:vertAlign w:val="subscript"/>
              </w:rPr>
              <w:t>2</w:t>
            </w:r>
            <w:r w:rsidRPr="00464830">
              <w:rPr>
                <w:sz w:val="18"/>
                <w:szCs w:val="18"/>
              </w:rPr>
              <w:t xml:space="preserve"> equivalent</w:t>
            </w:r>
            <w:r w:rsidR="00D926E9" w:rsidRPr="00464830">
              <w:rPr>
                <w:sz w:val="18"/>
                <w:szCs w:val="18"/>
              </w:rPr>
              <w:t xml:space="preserve"> </w:t>
            </w:r>
          </w:p>
        </w:tc>
        <w:tc>
          <w:tcPr>
            <w:tcW w:w="2010" w:type="dxa"/>
            <w:tcBorders>
              <w:top w:val="single" w:sz="6" w:space="0" w:color="1C556C" w:themeColor="accent1"/>
              <w:left w:val="single" w:sz="6" w:space="0" w:color="1C556C" w:themeColor="accent1"/>
              <w:bottom w:val="single" w:sz="6" w:space="0" w:color="1C556C" w:themeColor="accent1"/>
              <w:right w:val="single" w:sz="6" w:space="0" w:color="1C556C" w:themeColor="accent1"/>
            </w:tcBorders>
            <w:shd w:val="clear" w:color="auto" w:fill="D2DDE1" w:themeFill="background2"/>
            <w:hideMark/>
          </w:tcPr>
          <w:p w14:paraId="72881105" w14:textId="77777777" w:rsidR="009B2872" w:rsidRPr="00464830" w:rsidRDefault="009B2872" w:rsidP="0044676F">
            <w:pPr>
              <w:spacing w:before="60" w:after="60" w:line="240" w:lineRule="atLeast"/>
              <w:jc w:val="right"/>
              <w:rPr>
                <w:sz w:val="18"/>
                <w:szCs w:val="18"/>
              </w:rPr>
            </w:pPr>
            <w:r w:rsidRPr="00464830">
              <w:rPr>
                <w:sz w:val="18"/>
                <w:szCs w:val="18"/>
              </w:rPr>
              <w:t> </w:t>
            </w:r>
          </w:p>
        </w:tc>
        <w:tc>
          <w:tcPr>
            <w:tcW w:w="1290" w:type="dxa"/>
            <w:tcBorders>
              <w:top w:val="single" w:sz="6" w:space="0" w:color="1C556C" w:themeColor="accent1"/>
              <w:left w:val="single" w:sz="6" w:space="0" w:color="1C556C" w:themeColor="accent1"/>
              <w:bottom w:val="single" w:sz="6" w:space="0" w:color="1C556C" w:themeColor="accent1"/>
              <w:right w:val="single" w:sz="6" w:space="0" w:color="1C556C" w:themeColor="accent1"/>
            </w:tcBorders>
            <w:shd w:val="clear" w:color="auto" w:fill="auto"/>
            <w:hideMark/>
          </w:tcPr>
          <w:p w14:paraId="6901E719" w14:textId="77777777" w:rsidR="009B2872" w:rsidRPr="00464830" w:rsidRDefault="009B2872" w:rsidP="0044676F">
            <w:pPr>
              <w:spacing w:before="60" w:after="60" w:line="240" w:lineRule="atLeast"/>
              <w:jc w:val="right"/>
              <w:rPr>
                <w:sz w:val="18"/>
                <w:szCs w:val="18"/>
              </w:rPr>
            </w:pPr>
            <w:r w:rsidRPr="00464830">
              <w:rPr>
                <w:sz w:val="18"/>
                <w:szCs w:val="18"/>
              </w:rPr>
              <w:t>81,808.92</w:t>
            </w:r>
          </w:p>
          <w:p w14:paraId="090B94B5" w14:textId="77777777" w:rsidR="009B2872" w:rsidRPr="00464830" w:rsidRDefault="009B2872" w:rsidP="0044676F">
            <w:pPr>
              <w:spacing w:before="60" w:after="60" w:line="240" w:lineRule="atLeast"/>
              <w:jc w:val="right"/>
              <w:rPr>
                <w:sz w:val="18"/>
                <w:szCs w:val="18"/>
              </w:rPr>
            </w:pPr>
            <w:r w:rsidRPr="00464830">
              <w:rPr>
                <w:sz w:val="18"/>
                <w:szCs w:val="18"/>
              </w:rPr>
              <w:t> </w:t>
            </w:r>
          </w:p>
        </w:tc>
        <w:tc>
          <w:tcPr>
            <w:tcW w:w="1140" w:type="dxa"/>
            <w:tcBorders>
              <w:top w:val="single" w:sz="6" w:space="0" w:color="1C556C" w:themeColor="accent1"/>
              <w:left w:val="single" w:sz="6" w:space="0" w:color="1C556C" w:themeColor="accent1"/>
              <w:bottom w:val="single" w:sz="6" w:space="0" w:color="1C556C" w:themeColor="accent1"/>
              <w:right w:val="single" w:sz="6" w:space="0" w:color="1C556C" w:themeColor="accent1"/>
            </w:tcBorders>
            <w:shd w:val="clear" w:color="auto" w:fill="auto"/>
            <w:hideMark/>
          </w:tcPr>
          <w:p w14:paraId="1C54A971" w14:textId="77777777" w:rsidR="009B2872" w:rsidRPr="00464830" w:rsidRDefault="009B2872" w:rsidP="0044676F">
            <w:pPr>
              <w:spacing w:before="60" w:after="60" w:line="240" w:lineRule="atLeast"/>
              <w:jc w:val="right"/>
              <w:rPr>
                <w:sz w:val="18"/>
                <w:szCs w:val="18"/>
              </w:rPr>
            </w:pPr>
            <w:r w:rsidRPr="00464830">
              <w:rPr>
                <w:sz w:val="18"/>
                <w:szCs w:val="18"/>
              </w:rPr>
              <w:t>78,395.36</w:t>
            </w:r>
          </w:p>
          <w:p w14:paraId="76F504AD" w14:textId="77777777" w:rsidR="009B2872" w:rsidRPr="00464830" w:rsidRDefault="009B2872" w:rsidP="0044676F">
            <w:pPr>
              <w:spacing w:before="60" w:after="60" w:line="240" w:lineRule="atLeast"/>
              <w:jc w:val="right"/>
              <w:rPr>
                <w:sz w:val="18"/>
                <w:szCs w:val="18"/>
              </w:rPr>
            </w:pPr>
            <w:r w:rsidRPr="00464830">
              <w:rPr>
                <w:sz w:val="18"/>
                <w:szCs w:val="18"/>
              </w:rPr>
              <w:t> </w:t>
            </w:r>
          </w:p>
        </w:tc>
        <w:tc>
          <w:tcPr>
            <w:tcW w:w="1140" w:type="dxa"/>
            <w:tcBorders>
              <w:top w:val="single" w:sz="4" w:space="0" w:color="auto"/>
              <w:left w:val="single" w:sz="6" w:space="0" w:color="1C556C" w:themeColor="accent1"/>
              <w:bottom w:val="single" w:sz="4" w:space="0" w:color="auto"/>
              <w:right w:val="single" w:sz="4" w:space="0" w:color="auto"/>
            </w:tcBorders>
            <w:shd w:val="clear" w:color="auto" w:fill="D2DDE1" w:themeFill="background2"/>
            <w:hideMark/>
          </w:tcPr>
          <w:p w14:paraId="30C15CA1" w14:textId="77777777" w:rsidR="009B2872" w:rsidRPr="00464830" w:rsidRDefault="009B2872" w:rsidP="009B2872">
            <w:pPr>
              <w:spacing w:before="60" w:after="60" w:line="240" w:lineRule="atLeast"/>
              <w:jc w:val="left"/>
              <w:rPr>
                <w:sz w:val="18"/>
                <w:szCs w:val="18"/>
              </w:rPr>
            </w:pPr>
            <w:r w:rsidRPr="00464830">
              <w:rPr>
                <w:sz w:val="18"/>
                <w:szCs w:val="18"/>
              </w:rPr>
              <w:t> </w:t>
            </w:r>
          </w:p>
        </w:tc>
        <w:tc>
          <w:tcPr>
            <w:tcW w:w="1005" w:type="dxa"/>
            <w:tcBorders>
              <w:top w:val="single" w:sz="4" w:space="0" w:color="auto"/>
              <w:left w:val="single" w:sz="4" w:space="0" w:color="auto"/>
              <w:bottom w:val="single" w:sz="4" w:space="0" w:color="auto"/>
              <w:right w:val="single" w:sz="6" w:space="0" w:color="1C556C" w:themeColor="accent1"/>
            </w:tcBorders>
            <w:shd w:val="clear" w:color="auto" w:fill="D2DDE1" w:themeFill="background2"/>
            <w:hideMark/>
          </w:tcPr>
          <w:p w14:paraId="050B6907" w14:textId="77777777" w:rsidR="009B2872" w:rsidRPr="00464830" w:rsidRDefault="009B2872" w:rsidP="009B2872">
            <w:pPr>
              <w:spacing w:before="60" w:after="60" w:line="240" w:lineRule="atLeast"/>
              <w:jc w:val="left"/>
              <w:rPr>
                <w:sz w:val="18"/>
                <w:szCs w:val="18"/>
              </w:rPr>
            </w:pPr>
            <w:r w:rsidRPr="00464830">
              <w:rPr>
                <w:sz w:val="18"/>
                <w:szCs w:val="18"/>
              </w:rPr>
              <w:t> </w:t>
            </w:r>
          </w:p>
        </w:tc>
        <w:tc>
          <w:tcPr>
            <w:tcW w:w="3870" w:type="dxa"/>
            <w:tcBorders>
              <w:top w:val="single" w:sz="6" w:space="0" w:color="1C556C" w:themeColor="accent1"/>
              <w:left w:val="single" w:sz="6" w:space="0" w:color="1C556C" w:themeColor="accent1"/>
              <w:bottom w:val="single" w:sz="6" w:space="0" w:color="1C556C" w:themeColor="accent1"/>
              <w:right w:val="nil"/>
            </w:tcBorders>
            <w:shd w:val="clear" w:color="auto" w:fill="D2DDE1" w:themeFill="background2"/>
            <w:hideMark/>
          </w:tcPr>
          <w:p w14:paraId="21C8F189" w14:textId="77777777" w:rsidR="009B2872" w:rsidRPr="00464830" w:rsidRDefault="009B2872" w:rsidP="009B2872">
            <w:pPr>
              <w:spacing w:before="60" w:after="60" w:line="240" w:lineRule="atLeast"/>
              <w:jc w:val="left"/>
              <w:rPr>
                <w:sz w:val="18"/>
                <w:szCs w:val="18"/>
              </w:rPr>
            </w:pPr>
            <w:r w:rsidRPr="00464830">
              <w:rPr>
                <w:sz w:val="18"/>
                <w:szCs w:val="18"/>
              </w:rPr>
              <w:t> </w:t>
            </w:r>
          </w:p>
        </w:tc>
      </w:tr>
      <w:tr w:rsidR="009B2872" w:rsidRPr="00464830" w14:paraId="1084E049" w14:textId="77777777" w:rsidTr="00642E32">
        <w:tc>
          <w:tcPr>
            <w:tcW w:w="3015" w:type="dxa"/>
            <w:tcBorders>
              <w:top w:val="single" w:sz="6" w:space="0" w:color="1C556C" w:themeColor="accent1"/>
              <w:left w:val="nil"/>
              <w:bottom w:val="single" w:sz="6" w:space="0" w:color="1C556C" w:themeColor="accent1"/>
              <w:right w:val="single" w:sz="6" w:space="0" w:color="1C556C" w:themeColor="accent1"/>
            </w:tcBorders>
            <w:shd w:val="clear" w:color="auto" w:fill="auto"/>
            <w:hideMark/>
          </w:tcPr>
          <w:p w14:paraId="154F228B" w14:textId="77777777" w:rsidR="009B2872" w:rsidRPr="00464830" w:rsidRDefault="009B2872" w:rsidP="009B2872">
            <w:pPr>
              <w:spacing w:before="60" w:after="60" w:line="240" w:lineRule="atLeast"/>
              <w:jc w:val="left"/>
              <w:rPr>
                <w:b/>
                <w:sz w:val="18"/>
                <w:szCs w:val="18"/>
              </w:rPr>
            </w:pPr>
            <w:r w:rsidRPr="00464830">
              <w:rPr>
                <w:b/>
                <w:sz w:val="18"/>
                <w:szCs w:val="18"/>
              </w:rPr>
              <w:t>Contribution from the LULUCF sector for each year of the target period or target year, if not included in the inventory time series of total net GHG emissions and removals, as applicable (para 77(c) of the MPGs) </w:t>
            </w:r>
          </w:p>
        </w:tc>
        <w:tc>
          <w:tcPr>
            <w:tcW w:w="1005" w:type="dxa"/>
            <w:tcBorders>
              <w:top w:val="single" w:sz="6" w:space="0" w:color="1C556C" w:themeColor="accent1"/>
              <w:left w:val="single" w:sz="6" w:space="0" w:color="1C556C" w:themeColor="accent1"/>
              <w:bottom w:val="single" w:sz="6" w:space="0" w:color="1C556C" w:themeColor="accent1"/>
              <w:right w:val="single" w:sz="6" w:space="0" w:color="1C556C" w:themeColor="accent1"/>
            </w:tcBorders>
            <w:shd w:val="clear" w:color="auto" w:fill="auto"/>
            <w:hideMark/>
          </w:tcPr>
          <w:p w14:paraId="17ECEE90" w14:textId="06C606A6" w:rsidR="009B2872" w:rsidRPr="00464830" w:rsidRDefault="009B2872" w:rsidP="0044676F">
            <w:pPr>
              <w:spacing w:before="60" w:after="60" w:line="240" w:lineRule="atLeast"/>
              <w:jc w:val="right"/>
              <w:rPr>
                <w:sz w:val="18"/>
                <w:szCs w:val="18"/>
              </w:rPr>
            </w:pPr>
            <w:r w:rsidRPr="00464830">
              <w:rPr>
                <w:sz w:val="18"/>
                <w:szCs w:val="18"/>
              </w:rPr>
              <w:t>kt CO</w:t>
            </w:r>
            <w:r w:rsidRPr="00464830">
              <w:rPr>
                <w:sz w:val="18"/>
                <w:szCs w:val="18"/>
                <w:vertAlign w:val="subscript"/>
              </w:rPr>
              <w:t xml:space="preserve">2 </w:t>
            </w:r>
            <w:r w:rsidRPr="00464830">
              <w:rPr>
                <w:sz w:val="18"/>
                <w:szCs w:val="18"/>
              </w:rPr>
              <w:t>equivalent</w:t>
            </w:r>
            <w:r w:rsidR="00D926E9" w:rsidRPr="00464830">
              <w:rPr>
                <w:sz w:val="18"/>
                <w:szCs w:val="18"/>
              </w:rPr>
              <w:t xml:space="preserve"> </w:t>
            </w:r>
          </w:p>
        </w:tc>
        <w:tc>
          <w:tcPr>
            <w:tcW w:w="2010" w:type="dxa"/>
            <w:tcBorders>
              <w:top w:val="single" w:sz="6" w:space="0" w:color="1C556C" w:themeColor="accent1"/>
              <w:left w:val="single" w:sz="6" w:space="0" w:color="1C556C" w:themeColor="accent1"/>
              <w:bottom w:val="single" w:sz="6" w:space="0" w:color="1C556C" w:themeColor="accent1"/>
              <w:right w:val="single" w:sz="6" w:space="0" w:color="1C556C" w:themeColor="accent1"/>
            </w:tcBorders>
            <w:shd w:val="clear" w:color="auto" w:fill="D2DDE1" w:themeFill="background2"/>
            <w:hideMark/>
          </w:tcPr>
          <w:p w14:paraId="7788C966" w14:textId="77777777" w:rsidR="009B2872" w:rsidRPr="00464830" w:rsidRDefault="009B2872" w:rsidP="0044676F">
            <w:pPr>
              <w:spacing w:before="60" w:after="60" w:line="240" w:lineRule="atLeast"/>
              <w:jc w:val="right"/>
              <w:rPr>
                <w:sz w:val="18"/>
                <w:szCs w:val="18"/>
              </w:rPr>
            </w:pPr>
            <w:r w:rsidRPr="00464830">
              <w:rPr>
                <w:sz w:val="18"/>
                <w:szCs w:val="18"/>
              </w:rPr>
              <w:t> </w:t>
            </w:r>
          </w:p>
        </w:tc>
        <w:tc>
          <w:tcPr>
            <w:tcW w:w="1290" w:type="dxa"/>
            <w:tcBorders>
              <w:top w:val="single" w:sz="6" w:space="0" w:color="1C556C" w:themeColor="accent1"/>
              <w:left w:val="single" w:sz="6" w:space="0" w:color="1C556C" w:themeColor="accent1"/>
              <w:bottom w:val="single" w:sz="6" w:space="0" w:color="1C556C" w:themeColor="accent1"/>
              <w:right w:val="single" w:sz="6" w:space="0" w:color="1C556C" w:themeColor="accent1"/>
            </w:tcBorders>
            <w:shd w:val="clear" w:color="auto" w:fill="auto"/>
            <w:hideMark/>
          </w:tcPr>
          <w:p w14:paraId="55A34C02" w14:textId="4D3DA099" w:rsidR="009B2872" w:rsidRPr="00464830" w:rsidRDefault="00624CA8" w:rsidP="0044676F">
            <w:pPr>
              <w:spacing w:before="60" w:after="60" w:line="240" w:lineRule="atLeast"/>
              <w:jc w:val="right"/>
              <w:rPr>
                <w:sz w:val="18"/>
                <w:szCs w:val="18"/>
              </w:rPr>
            </w:pPr>
            <w:r>
              <w:rPr>
                <w:sz w:val="18"/>
                <w:szCs w:val="18"/>
              </w:rPr>
              <w:t>–</w:t>
            </w:r>
            <w:r w:rsidR="009B2872" w:rsidRPr="00464830">
              <w:rPr>
                <w:sz w:val="18"/>
                <w:szCs w:val="18"/>
              </w:rPr>
              <w:t>6,067.25 </w:t>
            </w:r>
          </w:p>
        </w:tc>
        <w:tc>
          <w:tcPr>
            <w:tcW w:w="1140" w:type="dxa"/>
            <w:tcBorders>
              <w:top w:val="single" w:sz="6" w:space="0" w:color="1C556C" w:themeColor="accent1"/>
              <w:left w:val="single" w:sz="6" w:space="0" w:color="1C556C" w:themeColor="accent1"/>
              <w:bottom w:val="single" w:sz="6" w:space="0" w:color="1C556C" w:themeColor="accent1"/>
              <w:right w:val="single" w:sz="6" w:space="0" w:color="1C556C" w:themeColor="accent1"/>
            </w:tcBorders>
            <w:shd w:val="clear" w:color="auto" w:fill="auto"/>
            <w:hideMark/>
          </w:tcPr>
          <w:p w14:paraId="74A7CF9A" w14:textId="5046E420" w:rsidR="009B2872" w:rsidRPr="00464830" w:rsidRDefault="00624CA8" w:rsidP="0044676F">
            <w:pPr>
              <w:spacing w:before="60" w:after="60" w:line="240" w:lineRule="atLeast"/>
              <w:jc w:val="right"/>
              <w:rPr>
                <w:sz w:val="18"/>
                <w:szCs w:val="18"/>
              </w:rPr>
            </w:pPr>
            <w:r>
              <w:rPr>
                <w:sz w:val="18"/>
                <w:szCs w:val="18"/>
              </w:rPr>
              <w:t>–</w:t>
            </w:r>
            <w:r w:rsidR="009B2872" w:rsidRPr="00464830">
              <w:rPr>
                <w:sz w:val="18"/>
                <w:szCs w:val="18"/>
              </w:rPr>
              <w:t>5,279.57 </w:t>
            </w:r>
          </w:p>
        </w:tc>
        <w:tc>
          <w:tcPr>
            <w:tcW w:w="1140" w:type="dxa"/>
            <w:tcBorders>
              <w:top w:val="single" w:sz="4" w:space="0" w:color="auto"/>
              <w:left w:val="single" w:sz="6" w:space="0" w:color="1C556C" w:themeColor="accent1"/>
              <w:bottom w:val="single" w:sz="4" w:space="0" w:color="auto"/>
              <w:right w:val="single" w:sz="4" w:space="0" w:color="auto"/>
            </w:tcBorders>
            <w:shd w:val="clear" w:color="auto" w:fill="D2DDE1" w:themeFill="background2"/>
            <w:hideMark/>
          </w:tcPr>
          <w:p w14:paraId="64D42FD8" w14:textId="77777777" w:rsidR="009B2872" w:rsidRPr="00464830" w:rsidRDefault="009B2872" w:rsidP="009B2872">
            <w:pPr>
              <w:spacing w:before="60" w:after="60" w:line="240" w:lineRule="atLeast"/>
              <w:jc w:val="left"/>
              <w:rPr>
                <w:sz w:val="18"/>
                <w:szCs w:val="18"/>
              </w:rPr>
            </w:pPr>
            <w:r w:rsidRPr="00464830">
              <w:rPr>
                <w:sz w:val="18"/>
                <w:szCs w:val="18"/>
              </w:rPr>
              <w:t> </w:t>
            </w:r>
          </w:p>
        </w:tc>
        <w:tc>
          <w:tcPr>
            <w:tcW w:w="1005" w:type="dxa"/>
            <w:tcBorders>
              <w:top w:val="single" w:sz="4" w:space="0" w:color="auto"/>
              <w:left w:val="single" w:sz="4" w:space="0" w:color="auto"/>
              <w:bottom w:val="single" w:sz="4" w:space="0" w:color="auto"/>
              <w:right w:val="single" w:sz="6" w:space="0" w:color="1C556C" w:themeColor="accent1"/>
            </w:tcBorders>
            <w:shd w:val="clear" w:color="auto" w:fill="D2DDE1" w:themeFill="background2"/>
            <w:hideMark/>
          </w:tcPr>
          <w:p w14:paraId="3B3C56B3" w14:textId="77777777" w:rsidR="009B2872" w:rsidRPr="00464830" w:rsidRDefault="009B2872" w:rsidP="009B2872">
            <w:pPr>
              <w:spacing w:before="60" w:after="60" w:line="240" w:lineRule="atLeast"/>
              <w:jc w:val="left"/>
              <w:rPr>
                <w:sz w:val="18"/>
                <w:szCs w:val="18"/>
              </w:rPr>
            </w:pPr>
            <w:r w:rsidRPr="00464830">
              <w:rPr>
                <w:sz w:val="18"/>
                <w:szCs w:val="18"/>
              </w:rPr>
              <w:t> </w:t>
            </w:r>
          </w:p>
        </w:tc>
        <w:tc>
          <w:tcPr>
            <w:tcW w:w="3870" w:type="dxa"/>
            <w:tcBorders>
              <w:top w:val="single" w:sz="6" w:space="0" w:color="1C556C" w:themeColor="accent1"/>
              <w:left w:val="single" w:sz="6" w:space="0" w:color="1C556C" w:themeColor="accent1"/>
              <w:bottom w:val="single" w:sz="6" w:space="0" w:color="1C556C" w:themeColor="accent1"/>
              <w:right w:val="nil"/>
            </w:tcBorders>
            <w:shd w:val="clear" w:color="auto" w:fill="D2DDE1" w:themeFill="background2"/>
            <w:hideMark/>
          </w:tcPr>
          <w:p w14:paraId="14D6D3B7" w14:textId="77777777" w:rsidR="009B2872" w:rsidRPr="00464830" w:rsidRDefault="009B2872" w:rsidP="009B2872">
            <w:pPr>
              <w:spacing w:before="60" w:after="60" w:line="240" w:lineRule="atLeast"/>
              <w:jc w:val="left"/>
              <w:rPr>
                <w:sz w:val="18"/>
                <w:szCs w:val="18"/>
              </w:rPr>
            </w:pPr>
            <w:r w:rsidRPr="00464830">
              <w:rPr>
                <w:sz w:val="18"/>
                <w:szCs w:val="18"/>
              </w:rPr>
              <w:t> </w:t>
            </w:r>
          </w:p>
        </w:tc>
      </w:tr>
      <w:tr w:rsidR="00965501" w:rsidRPr="00464830" w14:paraId="3E8FEAFF" w14:textId="77777777" w:rsidTr="00642E32">
        <w:tc>
          <w:tcPr>
            <w:tcW w:w="3015" w:type="dxa"/>
            <w:tcBorders>
              <w:top w:val="single" w:sz="6" w:space="0" w:color="1C556C" w:themeColor="accent1"/>
              <w:left w:val="nil"/>
              <w:bottom w:val="single" w:sz="6" w:space="0" w:color="1B556B"/>
              <w:right w:val="single" w:sz="6" w:space="0" w:color="1C556C" w:themeColor="accent1"/>
            </w:tcBorders>
            <w:shd w:val="clear" w:color="auto" w:fill="D2DDE1" w:themeFill="background2"/>
            <w:hideMark/>
          </w:tcPr>
          <w:p w14:paraId="549D0AF6" w14:textId="77777777" w:rsidR="009B2872" w:rsidRPr="00464830" w:rsidRDefault="009B2872" w:rsidP="009B2872">
            <w:pPr>
              <w:spacing w:before="0" w:after="0" w:line="240" w:lineRule="auto"/>
              <w:jc w:val="left"/>
              <w:rPr>
                <w:b/>
                <w:bCs/>
                <w:sz w:val="18"/>
                <w:szCs w:val="18"/>
              </w:rPr>
            </w:pPr>
            <w:r w:rsidRPr="00464830">
              <w:rPr>
                <w:rFonts w:eastAsia="Calibri" w:cs="Calibri"/>
                <w:b/>
                <w:bCs/>
                <w:color w:val="000000" w:themeColor="text1"/>
                <w:sz w:val="18"/>
                <w:szCs w:val="18"/>
              </w:rPr>
              <w:t>Each Party that participates in cooperative approaches that involve the use of ITMOs towards an NDC under Article 4 of the Paris Agreement, or authorizes the use of mitigation outcomes for international mitigation purposes other than achievement of the NDC, shall provide (para. 77(d) of the MPGs):</w:t>
            </w:r>
            <w:r w:rsidRPr="00464830">
              <w:rPr>
                <w:b/>
                <w:bCs/>
                <w:sz w:val="18"/>
                <w:szCs w:val="18"/>
              </w:rPr>
              <w:t> </w:t>
            </w:r>
          </w:p>
        </w:tc>
        <w:tc>
          <w:tcPr>
            <w:tcW w:w="1005" w:type="dxa"/>
            <w:tcBorders>
              <w:top w:val="single" w:sz="6" w:space="0" w:color="1C556C" w:themeColor="accent1"/>
              <w:left w:val="single" w:sz="6" w:space="0" w:color="1C556C" w:themeColor="accent1"/>
              <w:bottom w:val="single" w:sz="6" w:space="0" w:color="1B556B"/>
              <w:right w:val="single" w:sz="6" w:space="0" w:color="1C556C" w:themeColor="accent1"/>
            </w:tcBorders>
            <w:shd w:val="clear" w:color="auto" w:fill="D2DDE1" w:themeFill="background2"/>
            <w:hideMark/>
          </w:tcPr>
          <w:p w14:paraId="27BA7348" w14:textId="77777777" w:rsidR="009B2872" w:rsidRPr="00464830" w:rsidRDefault="009B2872" w:rsidP="009B2872">
            <w:pPr>
              <w:rPr>
                <w:sz w:val="18"/>
                <w:szCs w:val="18"/>
              </w:rPr>
            </w:pPr>
            <w:r w:rsidRPr="00464830">
              <w:rPr>
                <w:sz w:val="18"/>
                <w:szCs w:val="18"/>
              </w:rPr>
              <w:t> </w:t>
            </w:r>
          </w:p>
        </w:tc>
        <w:tc>
          <w:tcPr>
            <w:tcW w:w="2010" w:type="dxa"/>
            <w:tcBorders>
              <w:top w:val="single" w:sz="6" w:space="0" w:color="1C556C" w:themeColor="accent1"/>
              <w:left w:val="single" w:sz="6" w:space="0" w:color="1C556C" w:themeColor="accent1"/>
              <w:bottom w:val="single" w:sz="6" w:space="0" w:color="1B556B"/>
              <w:right w:val="single" w:sz="6" w:space="0" w:color="1C556C" w:themeColor="accent1"/>
            </w:tcBorders>
            <w:shd w:val="clear" w:color="auto" w:fill="D2DDE1" w:themeFill="background2"/>
            <w:hideMark/>
          </w:tcPr>
          <w:p w14:paraId="36E56AEC" w14:textId="77777777" w:rsidR="009B2872" w:rsidRPr="00464830" w:rsidRDefault="009B2872" w:rsidP="009B2872">
            <w:pPr>
              <w:rPr>
                <w:sz w:val="18"/>
                <w:szCs w:val="18"/>
              </w:rPr>
            </w:pPr>
            <w:r w:rsidRPr="00464830">
              <w:rPr>
                <w:sz w:val="18"/>
                <w:szCs w:val="18"/>
              </w:rPr>
              <w:t> </w:t>
            </w:r>
          </w:p>
        </w:tc>
        <w:tc>
          <w:tcPr>
            <w:tcW w:w="1290" w:type="dxa"/>
            <w:tcBorders>
              <w:top w:val="single" w:sz="6" w:space="0" w:color="1C556C" w:themeColor="accent1"/>
              <w:left w:val="single" w:sz="6" w:space="0" w:color="1C556C" w:themeColor="accent1"/>
              <w:bottom w:val="single" w:sz="6" w:space="0" w:color="1B556B"/>
              <w:right w:val="single" w:sz="6" w:space="0" w:color="1C556C" w:themeColor="accent1"/>
            </w:tcBorders>
            <w:shd w:val="clear" w:color="auto" w:fill="D2DDE1" w:themeFill="background2"/>
            <w:hideMark/>
          </w:tcPr>
          <w:p w14:paraId="1A43AA71" w14:textId="77777777" w:rsidR="009B2872" w:rsidRPr="00464830" w:rsidRDefault="009B2872" w:rsidP="009B2872">
            <w:pPr>
              <w:rPr>
                <w:sz w:val="18"/>
                <w:szCs w:val="18"/>
              </w:rPr>
            </w:pPr>
            <w:r w:rsidRPr="00464830">
              <w:rPr>
                <w:sz w:val="18"/>
                <w:szCs w:val="18"/>
              </w:rPr>
              <w:t>NA </w:t>
            </w:r>
          </w:p>
        </w:tc>
        <w:tc>
          <w:tcPr>
            <w:tcW w:w="1140" w:type="dxa"/>
            <w:tcBorders>
              <w:top w:val="single" w:sz="6" w:space="0" w:color="1C556C" w:themeColor="accent1"/>
              <w:left w:val="single" w:sz="6" w:space="0" w:color="1C556C" w:themeColor="accent1"/>
              <w:bottom w:val="single" w:sz="6" w:space="0" w:color="1B556B"/>
              <w:right w:val="single" w:sz="6" w:space="0" w:color="1C556C" w:themeColor="accent1"/>
            </w:tcBorders>
            <w:shd w:val="clear" w:color="auto" w:fill="D2DDE1" w:themeFill="background2"/>
            <w:hideMark/>
          </w:tcPr>
          <w:p w14:paraId="30EE6833" w14:textId="77777777" w:rsidR="009B2872" w:rsidRPr="00464830" w:rsidRDefault="009B2872" w:rsidP="009B2872">
            <w:pPr>
              <w:rPr>
                <w:sz w:val="18"/>
                <w:szCs w:val="18"/>
              </w:rPr>
            </w:pPr>
            <w:r w:rsidRPr="00464830">
              <w:rPr>
                <w:sz w:val="18"/>
                <w:szCs w:val="18"/>
              </w:rPr>
              <w:t>NA </w:t>
            </w:r>
          </w:p>
        </w:tc>
        <w:tc>
          <w:tcPr>
            <w:tcW w:w="1140" w:type="dxa"/>
            <w:tcBorders>
              <w:top w:val="single" w:sz="4" w:space="0" w:color="auto"/>
              <w:left w:val="single" w:sz="6" w:space="0" w:color="1C556C" w:themeColor="accent1"/>
              <w:bottom w:val="single" w:sz="6" w:space="0" w:color="1B556B"/>
              <w:right w:val="single" w:sz="4" w:space="0" w:color="auto"/>
            </w:tcBorders>
            <w:shd w:val="clear" w:color="auto" w:fill="D2DDE1" w:themeFill="background2"/>
            <w:hideMark/>
          </w:tcPr>
          <w:p w14:paraId="45203A61" w14:textId="77777777" w:rsidR="009B2872" w:rsidRPr="00464830" w:rsidRDefault="009B2872" w:rsidP="009B2872">
            <w:pPr>
              <w:rPr>
                <w:sz w:val="18"/>
                <w:szCs w:val="18"/>
              </w:rPr>
            </w:pPr>
            <w:r w:rsidRPr="00464830">
              <w:rPr>
                <w:sz w:val="18"/>
                <w:szCs w:val="18"/>
              </w:rPr>
              <w:t> </w:t>
            </w:r>
          </w:p>
        </w:tc>
        <w:tc>
          <w:tcPr>
            <w:tcW w:w="1005" w:type="dxa"/>
            <w:tcBorders>
              <w:top w:val="single" w:sz="4" w:space="0" w:color="auto"/>
              <w:left w:val="single" w:sz="4" w:space="0" w:color="auto"/>
              <w:bottom w:val="single" w:sz="6" w:space="0" w:color="1B556B"/>
              <w:right w:val="single" w:sz="6" w:space="0" w:color="1C556C" w:themeColor="accent1"/>
            </w:tcBorders>
            <w:shd w:val="clear" w:color="auto" w:fill="D2DDE1" w:themeFill="background2"/>
            <w:hideMark/>
          </w:tcPr>
          <w:p w14:paraId="006C6A84" w14:textId="77777777" w:rsidR="009B2872" w:rsidRPr="00464830" w:rsidRDefault="009B2872" w:rsidP="009B2872">
            <w:pPr>
              <w:rPr>
                <w:sz w:val="18"/>
                <w:szCs w:val="18"/>
              </w:rPr>
            </w:pPr>
            <w:r w:rsidRPr="00464830">
              <w:rPr>
                <w:sz w:val="18"/>
                <w:szCs w:val="18"/>
              </w:rPr>
              <w:t> </w:t>
            </w:r>
          </w:p>
        </w:tc>
        <w:tc>
          <w:tcPr>
            <w:tcW w:w="3870" w:type="dxa"/>
            <w:tcBorders>
              <w:top w:val="single" w:sz="6" w:space="0" w:color="1C556C" w:themeColor="accent1"/>
              <w:left w:val="single" w:sz="6" w:space="0" w:color="1C556C" w:themeColor="accent1"/>
              <w:bottom w:val="single" w:sz="6" w:space="0" w:color="1B556B"/>
              <w:right w:val="nil"/>
            </w:tcBorders>
            <w:shd w:val="clear" w:color="auto" w:fill="D2DDE1" w:themeFill="background2"/>
            <w:hideMark/>
          </w:tcPr>
          <w:p w14:paraId="5A3F042C" w14:textId="77777777" w:rsidR="009B2872" w:rsidRPr="00464830" w:rsidRDefault="009B2872" w:rsidP="009B2872">
            <w:pPr>
              <w:rPr>
                <w:sz w:val="18"/>
                <w:szCs w:val="18"/>
              </w:rPr>
            </w:pPr>
            <w:r w:rsidRPr="00464830">
              <w:rPr>
                <w:sz w:val="18"/>
                <w:szCs w:val="18"/>
              </w:rPr>
              <w:t> </w:t>
            </w:r>
          </w:p>
        </w:tc>
      </w:tr>
    </w:tbl>
    <w:p w14:paraId="323703DE" w14:textId="7ACF5348" w:rsidR="009B2872" w:rsidRPr="009B2872" w:rsidRDefault="009B2872" w:rsidP="00624CA8">
      <w:pPr>
        <w:spacing w:line="240" w:lineRule="atLeast"/>
        <w:jc w:val="left"/>
        <w:rPr>
          <w:sz w:val="18"/>
        </w:rPr>
      </w:pPr>
      <w:r w:rsidRPr="009B2872">
        <w:rPr>
          <w:b/>
          <w:bCs/>
          <w:sz w:val="18"/>
        </w:rPr>
        <w:t>Note</w:t>
      </w:r>
      <w:r w:rsidRPr="009B2872">
        <w:rPr>
          <w:sz w:val="18"/>
        </w:rPr>
        <w:t>: GHG = greenhouse gas; LULUCF = Land Use, Land-Use Change and Forestry; MPGs = modalities, procedures and guidelines; NDC = Nationally Determined Contribution. </w:t>
      </w:r>
    </w:p>
    <w:p w14:paraId="039C1D37" w14:textId="7D6A3014" w:rsidR="009B2872" w:rsidRPr="009B2872" w:rsidRDefault="009B2872" w:rsidP="00037D90">
      <w:pPr>
        <w:spacing w:line="240" w:lineRule="atLeast"/>
        <w:jc w:val="left"/>
        <w:rPr>
          <w:sz w:val="18"/>
        </w:rPr>
      </w:pPr>
      <w:r w:rsidRPr="009B2872">
        <w:rPr>
          <w:sz w:val="18"/>
        </w:rPr>
        <w:t>(1) Pursuant to para. 79 of the MPGs, each Party shall report the information referred to in paras. 65–78 of the MPGs in a narrative and common tabular format, as applicable. (2) A Party may amend the reporting format (</w:t>
      </w:r>
      <w:r w:rsidR="00624CA8">
        <w:rPr>
          <w:sz w:val="18"/>
        </w:rPr>
        <w:t>eg,</w:t>
      </w:r>
      <w:r w:rsidRPr="009B2872">
        <w:rPr>
          <w:sz w:val="18"/>
        </w:rPr>
        <w:t xml:space="preserve"> Excel file) to remove specific rows in this table if the information to be provided in those rows is not applicable to the Party’s NDC under Article 4 of the Paris Agreement, in accordance with the MPGs. (3) The Party could add rows for each additional selected indicator.</w:t>
      </w:r>
    </w:p>
    <w:p w14:paraId="171977FD" w14:textId="77777777" w:rsidR="009B2872" w:rsidRPr="009B2872" w:rsidRDefault="009B2872" w:rsidP="00037D90">
      <w:pPr>
        <w:widowControl w:val="0"/>
        <w:adjustRightInd w:val="0"/>
        <w:spacing w:line="240" w:lineRule="auto"/>
        <w:ind w:left="397" w:hanging="397"/>
        <w:jc w:val="left"/>
        <w:textAlignment w:val="baseline"/>
        <w:rPr>
          <w:rFonts w:eastAsia="Times New Roman" w:cs="Times New Roman"/>
          <w:sz w:val="18"/>
        </w:rPr>
      </w:pPr>
      <w:r w:rsidRPr="009B2872">
        <w:rPr>
          <w:rFonts w:eastAsia="Times New Roman" w:cs="Times New Roman"/>
          <w:sz w:val="18"/>
          <w:vertAlign w:val="superscript"/>
        </w:rPr>
        <w:t xml:space="preserve">a </w:t>
      </w:r>
      <w:r w:rsidRPr="009B2872">
        <w:rPr>
          <w:rFonts w:eastAsia="Times New Roman" w:cs="Times New Roman"/>
          <w:sz w:val="18"/>
        </w:rPr>
        <w:tab/>
        <w:t>This table could be used for each NDC target in case Party’s NDC has multiple targets.</w:t>
      </w:r>
    </w:p>
    <w:p w14:paraId="471CD072" w14:textId="77777777" w:rsidR="009B2872" w:rsidRPr="009B2872" w:rsidRDefault="009B2872" w:rsidP="00037D90">
      <w:pPr>
        <w:widowControl w:val="0"/>
        <w:adjustRightInd w:val="0"/>
        <w:spacing w:line="240" w:lineRule="auto"/>
        <w:ind w:left="397" w:hanging="397"/>
        <w:jc w:val="left"/>
        <w:textAlignment w:val="baseline"/>
        <w:rPr>
          <w:rFonts w:eastAsia="Times New Roman" w:cs="Times New Roman"/>
          <w:sz w:val="18"/>
        </w:rPr>
      </w:pPr>
      <w:r w:rsidRPr="009B2872">
        <w:rPr>
          <w:rFonts w:eastAsia="Times New Roman" w:cs="Times New Roman"/>
          <w:sz w:val="18"/>
          <w:vertAlign w:val="superscript"/>
        </w:rPr>
        <w:t>b</w:t>
      </w:r>
      <w:r w:rsidRPr="009B2872">
        <w:rPr>
          <w:rFonts w:eastAsia="Times New Roman" w:cs="Times New Roman"/>
          <w:sz w:val="18"/>
        </w:rPr>
        <w:tab/>
        <w:t>Parties may provide information on conditional targets in a documentation box with references to the relevant page in their biennial transparency report.</w:t>
      </w:r>
    </w:p>
    <w:p w14:paraId="37756D59" w14:textId="77777777" w:rsidR="009B2872" w:rsidRPr="009B2872" w:rsidRDefault="009B2872" w:rsidP="009B2872">
      <w:pPr>
        <w:jc w:val="left"/>
      </w:pPr>
    </w:p>
    <w:p w14:paraId="2EF0B132" w14:textId="77777777" w:rsidR="009B2872" w:rsidRPr="009B2872" w:rsidRDefault="009B2872" w:rsidP="009B2872"/>
    <w:p w14:paraId="62CA980A" w14:textId="77777777" w:rsidR="009B2872" w:rsidRPr="009B2872" w:rsidRDefault="009B2872" w:rsidP="009B2872">
      <w:pPr>
        <w:spacing w:before="0" w:after="200" w:line="276" w:lineRule="auto"/>
        <w:jc w:val="left"/>
        <w:rPr>
          <w:b/>
          <w:sz w:val="20"/>
        </w:rPr>
      </w:pPr>
      <w:r w:rsidRPr="009B2872">
        <w:br w:type="page"/>
      </w:r>
    </w:p>
    <w:p w14:paraId="11379F69" w14:textId="47E09353" w:rsidR="009B2872" w:rsidRDefault="009B2872" w:rsidP="004522CA">
      <w:pPr>
        <w:pStyle w:val="Tableheading"/>
      </w:pPr>
      <w:bookmarkStart w:id="879" w:name="_Toc185407517"/>
      <w:bookmarkStart w:id="880" w:name="_Toc185427780"/>
      <w:r w:rsidRPr="009B2872">
        <w:t xml:space="preserve">CTF </w:t>
      </w:r>
      <w:r w:rsidR="007E289C">
        <w:t>t</w:t>
      </w:r>
      <w:r w:rsidRPr="009B2872">
        <w:t xml:space="preserve">able 5: </w:t>
      </w:r>
      <w:r w:rsidRPr="009B2872">
        <w:tab/>
        <w:t xml:space="preserve">Mitigation policies and measures, actions and plans, including those with mitigation co-benefits resulting from adaptation actions and economic diversification plans, related to implementing and achieving a nationally </w:t>
      </w:r>
      <w:r w:rsidRPr="004522CA">
        <w:t>determined</w:t>
      </w:r>
      <w:r w:rsidRPr="009B2872">
        <w:t xml:space="preserve"> contribution under Article 4 of the Paris Agreement </w:t>
      </w:r>
      <w:r w:rsidRPr="009B2872">
        <w:rPr>
          <w:vertAlign w:val="superscript"/>
        </w:rPr>
        <w:t>a, b</w:t>
      </w:r>
      <w:bookmarkEnd w:id="879"/>
      <w:bookmarkEnd w:id="880"/>
      <w:r w:rsidR="00042101">
        <w:rPr>
          <w:vertAlign w:val="superscript"/>
        </w:rPr>
        <w:t xml:space="preserve"> </w:t>
      </w:r>
    </w:p>
    <w:p w14:paraId="256D098E" w14:textId="45495C4B" w:rsidR="008C6D33" w:rsidRPr="00A90789" w:rsidRDefault="008C6D33" w:rsidP="00A90789">
      <w:pPr>
        <w:pStyle w:val="BodyText"/>
        <w:spacing w:line="240" w:lineRule="atLeast"/>
        <w:rPr>
          <w:sz w:val="18"/>
          <w:szCs w:val="18"/>
        </w:rPr>
      </w:pPr>
      <w:r w:rsidRPr="00A90789">
        <w:rPr>
          <w:b/>
          <w:sz w:val="18"/>
          <w:szCs w:val="18"/>
        </w:rPr>
        <w:t>Note:</w:t>
      </w:r>
      <w:r w:rsidRPr="00A90789">
        <w:rPr>
          <w:sz w:val="18"/>
          <w:szCs w:val="18"/>
        </w:rPr>
        <w:t xml:space="preserve"> CCRA = Climate Change Response Act 2002; CH</w:t>
      </w:r>
      <w:r w:rsidRPr="00A90789">
        <w:rPr>
          <w:sz w:val="18"/>
          <w:szCs w:val="18"/>
          <w:vertAlign w:val="subscript"/>
        </w:rPr>
        <w:t>4</w:t>
      </w:r>
      <w:r w:rsidRPr="00A90789">
        <w:rPr>
          <w:sz w:val="18"/>
          <w:szCs w:val="18"/>
        </w:rPr>
        <w:t xml:space="preserve"> = methane; CO</w:t>
      </w:r>
      <w:r w:rsidRPr="00A90789">
        <w:rPr>
          <w:sz w:val="18"/>
          <w:szCs w:val="18"/>
          <w:vertAlign w:val="subscript"/>
        </w:rPr>
        <w:t>2</w:t>
      </w:r>
      <w:r w:rsidRPr="00A90789">
        <w:rPr>
          <w:sz w:val="18"/>
          <w:szCs w:val="18"/>
        </w:rPr>
        <w:t xml:space="preserve"> = carbon dioxide; CO</w:t>
      </w:r>
      <w:r w:rsidRPr="00A90789">
        <w:rPr>
          <w:sz w:val="18"/>
          <w:szCs w:val="18"/>
          <w:vertAlign w:val="subscript"/>
        </w:rPr>
        <w:t>2</w:t>
      </w:r>
      <w:r w:rsidRPr="00A90789">
        <w:rPr>
          <w:sz w:val="18"/>
          <w:szCs w:val="18"/>
        </w:rPr>
        <w:t>e = carbon dioxide equivalent; GHGs = greenhouse gases; HFCs = hydrofluorocarbons; IPPU = Industrial Processes and Product Use; kt = kilotonnes; LULUCF = Land Use, Land-use Change and Forestry; N</w:t>
      </w:r>
      <w:r w:rsidRPr="00A90789">
        <w:rPr>
          <w:sz w:val="18"/>
          <w:szCs w:val="18"/>
          <w:vertAlign w:val="subscript"/>
        </w:rPr>
        <w:t>2</w:t>
      </w:r>
      <w:r w:rsidRPr="00A90789">
        <w:rPr>
          <w:sz w:val="18"/>
          <w:szCs w:val="18"/>
        </w:rPr>
        <w:t xml:space="preserve">O = nitrous oxide; NE = not estimated; </w:t>
      </w:r>
      <w:r w:rsidR="00B65567">
        <w:rPr>
          <w:sz w:val="18"/>
          <w:szCs w:val="18"/>
        </w:rPr>
        <w:t xml:space="preserve">IE = included elsewhere; </w:t>
      </w:r>
      <w:r w:rsidRPr="00A90789">
        <w:rPr>
          <w:sz w:val="18"/>
          <w:szCs w:val="18"/>
        </w:rPr>
        <w:t>NZU = New Zealand Unit; PFCs = perfluorocarbons; SF</w:t>
      </w:r>
      <w:r w:rsidRPr="00A90789">
        <w:rPr>
          <w:sz w:val="18"/>
          <w:szCs w:val="18"/>
          <w:vertAlign w:val="subscript"/>
        </w:rPr>
        <w:t>6</w:t>
      </w:r>
      <w:r w:rsidRPr="00A90789">
        <w:rPr>
          <w:sz w:val="18"/>
          <w:szCs w:val="18"/>
        </w:rPr>
        <w:t xml:space="preserve"> = sulphur hexafluoride; </w:t>
      </w:r>
    </w:p>
    <w:p w14:paraId="7EB17B59" w14:textId="01799DB4" w:rsidR="00042101" w:rsidRPr="00A90789" w:rsidRDefault="008C6D33" w:rsidP="00A90789">
      <w:pPr>
        <w:pStyle w:val="BodyText"/>
        <w:spacing w:line="240" w:lineRule="atLeast"/>
        <w:rPr>
          <w:sz w:val="18"/>
          <w:szCs w:val="18"/>
        </w:rPr>
      </w:pPr>
      <w:r w:rsidRPr="00A90789">
        <w:rPr>
          <w:sz w:val="18"/>
          <w:szCs w:val="18"/>
        </w:rPr>
        <w:t xml:space="preserve">Estimates are produced using sector-based emissions projections models. Methodologies used are described in Annex 3. A negative estimate of mitigation impact indicates additional GHG emissions resulting from this policy or measure for this particular year. Under LULUCF, only forests established as a direct result of the initiative are included. A negative value is reported in 2022. This is due to vegetation clearance and soil carbon emissions upon conversion to a forest exceeding removals in that year. The impact the NZ ETS has in reducing (avoided) deforestation is excluded from CTF table 5. LULUCF removal estimates are based on New Zealand’s first </w:t>
      </w:r>
      <w:r w:rsidR="00573942" w:rsidRPr="00A90789">
        <w:rPr>
          <w:sz w:val="18"/>
          <w:szCs w:val="18"/>
        </w:rPr>
        <w:t>Nationally Determined Contribution</w:t>
      </w:r>
      <w:r w:rsidRPr="00A90789">
        <w:rPr>
          <w:sz w:val="18"/>
          <w:szCs w:val="18"/>
        </w:rPr>
        <w:t xml:space="preserve"> accounting methodology, rather than the full LULUCF sector as reported in New Zealand’s Greenhouse Gas Inventory.</w:t>
      </w:r>
    </w:p>
    <w:tbl>
      <w:tblPr>
        <w:tblpPr w:leftFromText="180" w:rightFromText="180" w:vertAnchor="text" w:tblpY="1"/>
        <w:tblOverlap w:val="never"/>
        <w:tblW w:w="14596"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57" w:type="dxa"/>
          <w:right w:w="57" w:type="dxa"/>
        </w:tblCellMar>
        <w:tblLook w:val="04A0" w:firstRow="1" w:lastRow="0" w:firstColumn="1" w:lastColumn="0" w:noHBand="0" w:noVBand="1"/>
      </w:tblPr>
      <w:tblGrid>
        <w:gridCol w:w="1276"/>
        <w:gridCol w:w="1559"/>
        <w:gridCol w:w="1418"/>
        <w:gridCol w:w="992"/>
        <w:gridCol w:w="1129"/>
        <w:gridCol w:w="1281"/>
        <w:gridCol w:w="1276"/>
        <w:gridCol w:w="1275"/>
        <w:gridCol w:w="1418"/>
        <w:gridCol w:w="992"/>
        <w:gridCol w:w="992"/>
        <w:gridCol w:w="964"/>
        <w:gridCol w:w="24"/>
      </w:tblGrid>
      <w:tr w:rsidR="008C018E" w:rsidRPr="00037D90" w14:paraId="7EED7A54" w14:textId="77777777" w:rsidTr="00271C02">
        <w:trPr>
          <w:gridAfter w:val="1"/>
          <w:wAfter w:w="24" w:type="dxa"/>
          <w:cantSplit/>
          <w:trHeight w:val="1169"/>
          <w:tblHeader/>
        </w:trPr>
        <w:tc>
          <w:tcPr>
            <w:tcW w:w="1276" w:type="dxa"/>
            <w:vMerge w:val="restart"/>
            <w:tcBorders>
              <w:top w:val="single" w:sz="4" w:space="0" w:color="FFFFFF" w:themeColor="background1"/>
              <w:left w:val="single" w:sz="4" w:space="0" w:color="FFFFFF" w:themeColor="background1"/>
              <w:bottom w:val="single" w:sz="4" w:space="0" w:color="1B556B" w:themeColor="text2"/>
              <w:right w:val="single" w:sz="4" w:space="0" w:color="1B556B" w:themeColor="text2"/>
            </w:tcBorders>
            <w:shd w:val="clear" w:color="auto" w:fill="1B556B" w:themeFill="text2"/>
            <w:noWrap/>
            <w:vAlign w:val="bottom"/>
            <w:hideMark/>
          </w:tcPr>
          <w:p w14:paraId="1DEB4894" w14:textId="77777777" w:rsidR="009B2872" w:rsidRPr="00037D90" w:rsidRDefault="009B2872" w:rsidP="004C6219">
            <w:pPr>
              <w:spacing w:before="40" w:after="40" w:line="240" w:lineRule="auto"/>
              <w:jc w:val="left"/>
              <w:rPr>
                <w:rFonts w:eastAsia="Calibri" w:cs="Calibri"/>
                <w:b/>
                <w:color w:val="FFFFFF" w:themeColor="background1"/>
                <w:sz w:val="18"/>
                <w:szCs w:val="18"/>
              </w:rPr>
            </w:pPr>
            <w:r w:rsidRPr="00037D90">
              <w:rPr>
                <w:rFonts w:eastAsia="Calibri" w:cs="Calibri"/>
                <w:b/>
                <w:color w:val="FFFFFF" w:themeColor="background1"/>
                <w:sz w:val="18"/>
                <w:szCs w:val="18"/>
              </w:rPr>
              <w:t>Name </w:t>
            </w:r>
            <w:r w:rsidRPr="00037D90">
              <w:rPr>
                <w:rFonts w:eastAsia="Calibri" w:cs="Calibri"/>
                <w:b/>
                <w:color w:val="FFFFFF" w:themeColor="background1"/>
                <w:sz w:val="18"/>
                <w:szCs w:val="18"/>
                <w:vertAlign w:val="superscript"/>
              </w:rPr>
              <w:t>c</w:t>
            </w:r>
          </w:p>
        </w:tc>
        <w:tc>
          <w:tcPr>
            <w:tcW w:w="1559" w:type="dxa"/>
            <w:vMerge w:val="restart"/>
            <w:tcBorders>
              <w:top w:val="single" w:sz="4" w:space="0" w:color="FFFFFF" w:themeColor="background1"/>
              <w:left w:val="single" w:sz="4" w:space="0" w:color="1B556B" w:themeColor="text2"/>
              <w:bottom w:val="single" w:sz="4" w:space="0" w:color="1B556B" w:themeColor="text2"/>
              <w:right w:val="single" w:sz="4" w:space="0" w:color="1B556B" w:themeColor="text2"/>
            </w:tcBorders>
            <w:shd w:val="clear" w:color="auto" w:fill="1B556B" w:themeFill="text2"/>
            <w:vAlign w:val="bottom"/>
          </w:tcPr>
          <w:p w14:paraId="664C098A" w14:textId="77777777" w:rsidR="009B2872" w:rsidRPr="00037D90" w:rsidRDefault="009B2872" w:rsidP="004C6219">
            <w:pPr>
              <w:spacing w:before="40" w:after="40" w:line="240" w:lineRule="auto"/>
              <w:jc w:val="left"/>
              <w:rPr>
                <w:rFonts w:cs="Calibri"/>
                <w:b/>
                <w:color w:val="FFFFFF" w:themeColor="background1"/>
                <w:sz w:val="18"/>
                <w:szCs w:val="18"/>
              </w:rPr>
            </w:pPr>
            <w:r w:rsidRPr="00037D90">
              <w:rPr>
                <w:rFonts w:eastAsia="Calibri" w:cs="Calibri"/>
                <w:b/>
                <w:color w:val="FFFFFF" w:themeColor="background1"/>
                <w:sz w:val="18"/>
                <w:szCs w:val="18"/>
              </w:rPr>
              <w:t>Description </w:t>
            </w:r>
            <w:r w:rsidRPr="00037D90">
              <w:rPr>
                <w:rFonts w:eastAsia="Calibri" w:cs="Calibri"/>
                <w:b/>
                <w:color w:val="FFFFFF" w:themeColor="background1"/>
                <w:sz w:val="18"/>
                <w:szCs w:val="18"/>
                <w:vertAlign w:val="superscript"/>
              </w:rPr>
              <w:t>d, e, f</w:t>
            </w:r>
          </w:p>
        </w:tc>
        <w:tc>
          <w:tcPr>
            <w:tcW w:w="1418" w:type="dxa"/>
            <w:vMerge w:val="restart"/>
            <w:tcBorders>
              <w:top w:val="single" w:sz="4" w:space="0" w:color="FFFFFF" w:themeColor="background1"/>
              <w:left w:val="single" w:sz="4" w:space="0" w:color="1B556B" w:themeColor="text2"/>
              <w:bottom w:val="single" w:sz="4" w:space="0" w:color="1B556B" w:themeColor="text2"/>
              <w:right w:val="single" w:sz="4" w:space="0" w:color="1B556B" w:themeColor="text2"/>
            </w:tcBorders>
            <w:shd w:val="clear" w:color="auto" w:fill="1B556B" w:themeFill="text2"/>
            <w:vAlign w:val="bottom"/>
          </w:tcPr>
          <w:p w14:paraId="0E16E0AE" w14:textId="77777777" w:rsidR="009B2872" w:rsidRPr="00037D90" w:rsidRDefault="009B2872" w:rsidP="004C6219">
            <w:pPr>
              <w:spacing w:before="40" w:after="40" w:line="240" w:lineRule="auto"/>
              <w:jc w:val="left"/>
              <w:rPr>
                <w:rFonts w:cs="Calibri"/>
                <w:b/>
                <w:color w:val="FFFFFF" w:themeColor="background1"/>
                <w:sz w:val="18"/>
                <w:szCs w:val="18"/>
              </w:rPr>
            </w:pPr>
            <w:r w:rsidRPr="00037D90">
              <w:rPr>
                <w:rFonts w:eastAsia="Calibri" w:cs="Calibri"/>
                <w:b/>
                <w:color w:val="FFFFFF" w:themeColor="background1"/>
                <w:sz w:val="18"/>
                <w:szCs w:val="18"/>
              </w:rPr>
              <w:t>Objectives </w:t>
            </w:r>
          </w:p>
        </w:tc>
        <w:tc>
          <w:tcPr>
            <w:tcW w:w="992" w:type="dxa"/>
            <w:vMerge w:val="restart"/>
            <w:tcBorders>
              <w:top w:val="single" w:sz="4" w:space="0" w:color="FFFFFF" w:themeColor="background1"/>
              <w:left w:val="single" w:sz="4" w:space="0" w:color="1B556B" w:themeColor="text2"/>
              <w:bottom w:val="single" w:sz="4" w:space="0" w:color="1B556B" w:themeColor="text2"/>
              <w:right w:val="single" w:sz="4" w:space="0" w:color="1B556B" w:themeColor="text2"/>
            </w:tcBorders>
            <w:shd w:val="clear" w:color="auto" w:fill="1B556B" w:themeFill="text2"/>
            <w:vAlign w:val="bottom"/>
          </w:tcPr>
          <w:p w14:paraId="1EB63C1E" w14:textId="77777777" w:rsidR="009B2872" w:rsidRPr="00037D90" w:rsidRDefault="009B2872" w:rsidP="004C6219">
            <w:pPr>
              <w:spacing w:before="40" w:after="40" w:line="240" w:lineRule="auto"/>
              <w:jc w:val="left"/>
              <w:rPr>
                <w:rFonts w:cs="Calibri"/>
                <w:b/>
                <w:color w:val="FFFFFF" w:themeColor="background1"/>
                <w:sz w:val="18"/>
                <w:szCs w:val="18"/>
              </w:rPr>
            </w:pPr>
            <w:r w:rsidRPr="00037D90">
              <w:rPr>
                <w:rFonts w:ascii="Aptos Narrow" w:eastAsia="Calibri" w:hAnsi="Aptos Narrow" w:cs="Calibri"/>
                <w:b/>
                <w:color w:val="FFFFFF" w:themeColor="background1"/>
                <w:sz w:val="18"/>
                <w:szCs w:val="18"/>
              </w:rPr>
              <w:t>Type of instrument</w:t>
            </w:r>
            <w:r w:rsidRPr="00037D90">
              <w:rPr>
                <w:rFonts w:eastAsia="Calibri" w:cs="Calibri"/>
                <w:b/>
                <w:color w:val="FFFFFF" w:themeColor="background1"/>
                <w:sz w:val="18"/>
                <w:szCs w:val="18"/>
              </w:rPr>
              <w:t xml:space="preserve"> </w:t>
            </w:r>
            <w:r w:rsidRPr="00037D90">
              <w:rPr>
                <w:rFonts w:eastAsia="Calibri" w:cs="Calibri"/>
                <w:b/>
                <w:color w:val="FFFFFF" w:themeColor="background1"/>
                <w:sz w:val="18"/>
                <w:szCs w:val="18"/>
                <w:vertAlign w:val="superscript"/>
              </w:rPr>
              <w:t>g</w:t>
            </w:r>
            <w:r w:rsidRPr="00037D90">
              <w:rPr>
                <w:rFonts w:eastAsia="Calibri" w:cs="Calibri"/>
                <w:b/>
                <w:color w:val="FFFFFF" w:themeColor="background1"/>
                <w:sz w:val="18"/>
                <w:szCs w:val="18"/>
              </w:rPr>
              <w:t> </w:t>
            </w:r>
          </w:p>
        </w:tc>
        <w:tc>
          <w:tcPr>
            <w:tcW w:w="1129" w:type="dxa"/>
            <w:vMerge w:val="restart"/>
            <w:tcBorders>
              <w:top w:val="single" w:sz="4" w:space="0" w:color="FFFFFF" w:themeColor="background1"/>
              <w:left w:val="single" w:sz="4" w:space="0" w:color="1B556B" w:themeColor="text2"/>
              <w:bottom w:val="single" w:sz="4" w:space="0" w:color="1B556B" w:themeColor="text2"/>
              <w:right w:val="single" w:sz="4" w:space="0" w:color="1B556B" w:themeColor="text2"/>
            </w:tcBorders>
            <w:shd w:val="clear" w:color="auto" w:fill="1B556B" w:themeFill="text2"/>
            <w:vAlign w:val="bottom"/>
          </w:tcPr>
          <w:p w14:paraId="502D1A9F" w14:textId="77777777" w:rsidR="009B2872" w:rsidRPr="003D5E37" w:rsidRDefault="009B2872" w:rsidP="004C6219">
            <w:pPr>
              <w:spacing w:before="40" w:after="40" w:line="240" w:lineRule="auto"/>
              <w:jc w:val="left"/>
              <w:rPr>
                <w:rFonts w:cs="Calibri"/>
                <w:b/>
                <w:color w:val="FFFFFF" w:themeColor="background1"/>
                <w:sz w:val="18"/>
                <w:szCs w:val="18"/>
              </w:rPr>
            </w:pPr>
            <w:r w:rsidRPr="003D5E37">
              <w:rPr>
                <w:rFonts w:eastAsia="Calibri" w:cs="Calibri"/>
                <w:b/>
                <w:color w:val="FFFFFF" w:themeColor="background1"/>
                <w:sz w:val="18"/>
                <w:szCs w:val="18"/>
              </w:rPr>
              <w:t>Status </w:t>
            </w:r>
            <w:r w:rsidRPr="003D5E37">
              <w:rPr>
                <w:rFonts w:eastAsia="Calibri" w:cs="Calibri"/>
                <w:b/>
                <w:color w:val="FFFFFF" w:themeColor="background1"/>
                <w:sz w:val="18"/>
                <w:szCs w:val="18"/>
                <w:vertAlign w:val="superscript"/>
              </w:rPr>
              <w:t>h</w:t>
            </w:r>
          </w:p>
        </w:tc>
        <w:tc>
          <w:tcPr>
            <w:tcW w:w="1281" w:type="dxa"/>
            <w:vMerge w:val="restart"/>
            <w:tcBorders>
              <w:top w:val="single" w:sz="4" w:space="0" w:color="FFFFFF" w:themeColor="background1"/>
              <w:left w:val="single" w:sz="4" w:space="0" w:color="1B556B" w:themeColor="text2"/>
              <w:bottom w:val="single" w:sz="4" w:space="0" w:color="1B556B" w:themeColor="text2"/>
              <w:right w:val="single" w:sz="4" w:space="0" w:color="1B556B" w:themeColor="text2"/>
            </w:tcBorders>
            <w:shd w:val="clear" w:color="auto" w:fill="1B556B" w:themeFill="text2"/>
            <w:noWrap/>
            <w:vAlign w:val="bottom"/>
            <w:hideMark/>
          </w:tcPr>
          <w:p w14:paraId="6D6329CA" w14:textId="77777777" w:rsidR="009B2872" w:rsidRPr="00037D90" w:rsidRDefault="009B2872" w:rsidP="00FC2247">
            <w:pPr>
              <w:spacing w:before="40" w:after="40" w:line="240" w:lineRule="auto"/>
              <w:jc w:val="left"/>
              <w:rPr>
                <w:rFonts w:eastAsia="Calibri" w:cs="Calibri"/>
                <w:b/>
                <w:color w:val="FFFFFF" w:themeColor="background1"/>
                <w:sz w:val="18"/>
                <w:szCs w:val="18"/>
              </w:rPr>
            </w:pPr>
            <w:r w:rsidRPr="00037D90">
              <w:rPr>
                <w:rFonts w:eastAsia="Calibri" w:cs="Calibri"/>
                <w:b/>
                <w:color w:val="FFFFFF" w:themeColor="background1"/>
                <w:sz w:val="18"/>
                <w:szCs w:val="18"/>
              </w:rPr>
              <w:t>Sector(s) affected </w:t>
            </w:r>
            <w:r w:rsidRPr="00037D90">
              <w:rPr>
                <w:rFonts w:eastAsia="Calibri" w:cs="Calibri"/>
                <w:b/>
                <w:color w:val="FFFFFF" w:themeColor="background1"/>
                <w:sz w:val="18"/>
                <w:szCs w:val="18"/>
                <w:vertAlign w:val="superscript"/>
              </w:rPr>
              <w:t>i</w:t>
            </w:r>
          </w:p>
        </w:tc>
        <w:tc>
          <w:tcPr>
            <w:tcW w:w="1276" w:type="dxa"/>
            <w:vMerge w:val="restart"/>
            <w:tcBorders>
              <w:top w:val="single" w:sz="4" w:space="0" w:color="FFFFFF" w:themeColor="background1"/>
              <w:left w:val="single" w:sz="4" w:space="0" w:color="1B556B" w:themeColor="text2"/>
              <w:bottom w:val="single" w:sz="4" w:space="0" w:color="1B556B" w:themeColor="text2"/>
              <w:right w:val="single" w:sz="4" w:space="0" w:color="1B556B" w:themeColor="text2"/>
            </w:tcBorders>
            <w:shd w:val="clear" w:color="auto" w:fill="1B556B" w:themeFill="text2"/>
            <w:noWrap/>
            <w:vAlign w:val="bottom"/>
            <w:hideMark/>
          </w:tcPr>
          <w:p w14:paraId="10471708" w14:textId="77777777" w:rsidR="009B2872" w:rsidRPr="00037D90" w:rsidRDefault="009B2872" w:rsidP="004C6219">
            <w:pPr>
              <w:spacing w:before="40" w:after="40" w:line="240" w:lineRule="auto"/>
              <w:jc w:val="left"/>
              <w:rPr>
                <w:rFonts w:eastAsia="Calibri" w:cs="Calibri"/>
                <w:b/>
                <w:color w:val="FFFFFF" w:themeColor="background1"/>
                <w:sz w:val="18"/>
                <w:szCs w:val="18"/>
              </w:rPr>
            </w:pPr>
            <w:r w:rsidRPr="00037D90">
              <w:rPr>
                <w:rFonts w:cs="Calibri"/>
                <w:b/>
                <w:color w:val="FFFFFF" w:themeColor="background1"/>
                <w:sz w:val="18"/>
                <w:szCs w:val="18"/>
              </w:rPr>
              <w:t>Gases affected</w:t>
            </w:r>
          </w:p>
        </w:tc>
        <w:tc>
          <w:tcPr>
            <w:tcW w:w="1275" w:type="dxa"/>
            <w:vMerge w:val="restart"/>
            <w:tcBorders>
              <w:top w:val="single" w:sz="4" w:space="0" w:color="FFFFFF" w:themeColor="background1"/>
              <w:left w:val="single" w:sz="4" w:space="0" w:color="1B556B" w:themeColor="text2"/>
              <w:bottom w:val="single" w:sz="4" w:space="0" w:color="1B556B" w:themeColor="text2"/>
              <w:right w:val="single" w:sz="4" w:space="0" w:color="1B556B" w:themeColor="text2"/>
            </w:tcBorders>
            <w:shd w:val="clear" w:color="auto" w:fill="1B556B" w:themeFill="text2"/>
            <w:noWrap/>
            <w:vAlign w:val="bottom"/>
            <w:hideMark/>
          </w:tcPr>
          <w:p w14:paraId="124B5012" w14:textId="0D5A11BD" w:rsidR="009B2872" w:rsidRPr="004B5023" w:rsidRDefault="00BA4F3D" w:rsidP="004C6219">
            <w:pPr>
              <w:spacing w:before="40" w:after="40" w:line="240" w:lineRule="auto"/>
              <w:jc w:val="left"/>
              <w:rPr>
                <w:rFonts w:ascii="Aptos Narrow" w:eastAsia="Calibri" w:hAnsi="Aptos Narrow" w:cs="Calibri"/>
                <w:b/>
                <w:color w:val="FFFFFF" w:themeColor="background1"/>
                <w:spacing w:val="-6"/>
                <w:sz w:val="18"/>
                <w:szCs w:val="18"/>
              </w:rPr>
            </w:pPr>
            <w:r w:rsidRPr="004B5023">
              <w:rPr>
                <w:rFonts w:ascii="Aptos Narrow" w:hAnsi="Aptos Narrow" w:cs="Calibri"/>
                <w:b/>
                <w:color w:val="FFFFFF" w:themeColor="background1"/>
                <w:spacing w:val="-6"/>
                <w:sz w:val="18"/>
                <w:szCs w:val="18"/>
              </w:rPr>
              <w:t>Start year of implementation</w:t>
            </w:r>
            <w:r w:rsidR="00A62DD8" w:rsidRPr="004B5023" w:rsidDel="00A62DD8">
              <w:rPr>
                <w:rFonts w:ascii="Aptos Narrow" w:hAnsi="Aptos Narrow" w:cs="Calibri"/>
                <w:b/>
                <w:color w:val="FFFFFF" w:themeColor="background1"/>
                <w:spacing w:val="-6"/>
                <w:sz w:val="18"/>
                <w:szCs w:val="18"/>
              </w:rPr>
              <w:t xml:space="preserve"> </w:t>
            </w:r>
          </w:p>
        </w:tc>
        <w:tc>
          <w:tcPr>
            <w:tcW w:w="1418" w:type="dxa"/>
            <w:vMerge w:val="restart"/>
            <w:tcBorders>
              <w:top w:val="single" w:sz="4" w:space="0" w:color="FFFFFF" w:themeColor="background1"/>
              <w:left w:val="single" w:sz="4" w:space="0" w:color="1B556B" w:themeColor="text2"/>
              <w:bottom w:val="single" w:sz="4" w:space="0" w:color="1B556B" w:themeColor="text2"/>
              <w:right w:val="single" w:sz="4" w:space="0" w:color="1B556B" w:themeColor="text2"/>
            </w:tcBorders>
            <w:shd w:val="clear" w:color="auto" w:fill="1B556B" w:themeFill="text2"/>
            <w:noWrap/>
            <w:vAlign w:val="bottom"/>
            <w:hideMark/>
          </w:tcPr>
          <w:p w14:paraId="6E4B84EC" w14:textId="77777777" w:rsidR="009B2872" w:rsidRPr="00037D90" w:rsidRDefault="009B2872" w:rsidP="004C6219">
            <w:pPr>
              <w:spacing w:before="40" w:after="40" w:line="240" w:lineRule="auto"/>
              <w:jc w:val="left"/>
              <w:rPr>
                <w:rFonts w:eastAsia="Calibri" w:cs="Calibri"/>
                <w:b/>
                <w:color w:val="FFFFFF" w:themeColor="background1"/>
                <w:sz w:val="18"/>
                <w:szCs w:val="18"/>
              </w:rPr>
            </w:pPr>
            <w:r w:rsidRPr="00037D90">
              <w:rPr>
                <w:rFonts w:cs="Calibri"/>
                <w:b/>
                <w:color w:val="FFFFFF" w:themeColor="background1"/>
                <w:sz w:val="18"/>
                <w:szCs w:val="18"/>
              </w:rPr>
              <w:t>Implementing entity or entities</w:t>
            </w:r>
          </w:p>
        </w:tc>
        <w:tc>
          <w:tcPr>
            <w:tcW w:w="2948" w:type="dxa"/>
            <w:gridSpan w:val="3"/>
            <w:tcBorders>
              <w:top w:val="single" w:sz="4" w:space="0" w:color="FFFFFF" w:themeColor="background1"/>
              <w:left w:val="single" w:sz="4" w:space="0" w:color="1B556B" w:themeColor="text2"/>
              <w:bottom w:val="single" w:sz="4" w:space="0" w:color="1B556B" w:themeColor="text2"/>
              <w:right w:val="single" w:sz="4" w:space="0" w:color="FFFFFF" w:themeColor="background1"/>
            </w:tcBorders>
            <w:shd w:val="clear" w:color="auto" w:fill="1B556B" w:themeFill="text2"/>
            <w:vAlign w:val="bottom"/>
          </w:tcPr>
          <w:p w14:paraId="62374F63" w14:textId="53672B7E" w:rsidR="009B2872" w:rsidRPr="00037D90" w:rsidRDefault="009B2872" w:rsidP="004C6219">
            <w:pPr>
              <w:spacing w:before="40" w:after="40" w:line="240" w:lineRule="auto"/>
              <w:jc w:val="left"/>
              <w:rPr>
                <w:rFonts w:cs="Calibri"/>
                <w:b/>
                <w:color w:val="FFFFFF" w:themeColor="background1"/>
                <w:sz w:val="18"/>
                <w:szCs w:val="18"/>
              </w:rPr>
            </w:pPr>
            <w:r w:rsidRPr="00037D90">
              <w:rPr>
                <w:rFonts w:cs="Calibri"/>
                <w:b/>
                <w:color w:val="FFFFFF" w:themeColor="background1"/>
                <w:sz w:val="18"/>
                <w:szCs w:val="18"/>
              </w:rPr>
              <w:t xml:space="preserve">Estimate of GHG emissions reductions </w:t>
            </w:r>
            <w:r w:rsidR="00BA4F3D" w:rsidRPr="00037D90">
              <w:rPr>
                <w:rFonts w:cs="Calibri"/>
                <w:b/>
                <w:bCs/>
                <w:color w:val="FFFFFF" w:themeColor="background1"/>
                <w:sz w:val="18"/>
                <w:szCs w:val="18"/>
              </w:rPr>
              <w:br/>
            </w:r>
            <w:r w:rsidRPr="00037D90">
              <w:rPr>
                <w:rFonts w:cs="Calibri"/>
                <w:b/>
                <w:color w:val="FFFFFF" w:themeColor="background1"/>
                <w:sz w:val="18"/>
                <w:szCs w:val="18"/>
              </w:rPr>
              <w:t>(kt CO</w:t>
            </w:r>
            <w:r w:rsidRPr="00037D90">
              <w:rPr>
                <w:rFonts w:cs="Calibri"/>
                <w:b/>
                <w:color w:val="FFFFFF" w:themeColor="background1"/>
                <w:sz w:val="18"/>
                <w:szCs w:val="18"/>
                <w:vertAlign w:val="subscript"/>
              </w:rPr>
              <w:t>2</w:t>
            </w:r>
            <w:r w:rsidRPr="00037D90">
              <w:rPr>
                <w:rFonts w:cs="Calibri"/>
                <w:b/>
                <w:color w:val="FFFFFF" w:themeColor="background1"/>
                <w:sz w:val="18"/>
                <w:szCs w:val="18"/>
              </w:rPr>
              <w:t>e)</w:t>
            </w:r>
          </w:p>
        </w:tc>
      </w:tr>
      <w:tr w:rsidR="008C5832" w:rsidRPr="00037D90" w14:paraId="7F718935" w14:textId="77777777" w:rsidTr="00271C02">
        <w:trPr>
          <w:gridAfter w:val="1"/>
          <w:wAfter w:w="24" w:type="dxa"/>
          <w:cantSplit/>
          <w:tblHeader/>
        </w:trPr>
        <w:tc>
          <w:tcPr>
            <w:tcW w:w="1276" w:type="dxa"/>
            <w:vMerge/>
            <w:noWrap/>
            <w:vAlign w:val="bottom"/>
          </w:tcPr>
          <w:p w14:paraId="777AE1E5" w14:textId="77777777" w:rsidR="009B2872" w:rsidRPr="00037D90" w:rsidRDefault="009B2872" w:rsidP="004C6219">
            <w:pPr>
              <w:spacing w:before="40" w:after="40" w:line="240" w:lineRule="auto"/>
              <w:jc w:val="left"/>
              <w:rPr>
                <w:rFonts w:cs="Calibri"/>
                <w:b/>
                <w:color w:val="FFFFFF" w:themeColor="background1"/>
                <w:sz w:val="18"/>
                <w:szCs w:val="18"/>
              </w:rPr>
            </w:pPr>
          </w:p>
        </w:tc>
        <w:tc>
          <w:tcPr>
            <w:tcW w:w="1559" w:type="dxa"/>
            <w:vMerge/>
            <w:vAlign w:val="bottom"/>
          </w:tcPr>
          <w:p w14:paraId="40391849" w14:textId="77777777" w:rsidR="009B2872" w:rsidRPr="00037D90" w:rsidRDefault="009B2872" w:rsidP="004C6219">
            <w:pPr>
              <w:spacing w:before="40" w:after="40" w:line="240" w:lineRule="auto"/>
              <w:jc w:val="left"/>
              <w:rPr>
                <w:rFonts w:cs="Calibri"/>
                <w:b/>
                <w:color w:val="FFFFFF" w:themeColor="background1"/>
                <w:sz w:val="18"/>
                <w:szCs w:val="18"/>
              </w:rPr>
            </w:pPr>
          </w:p>
        </w:tc>
        <w:tc>
          <w:tcPr>
            <w:tcW w:w="1418" w:type="dxa"/>
            <w:vMerge/>
            <w:vAlign w:val="bottom"/>
          </w:tcPr>
          <w:p w14:paraId="6965795D" w14:textId="77777777" w:rsidR="009B2872" w:rsidRPr="00037D90" w:rsidRDefault="009B2872" w:rsidP="004C6219">
            <w:pPr>
              <w:spacing w:before="40" w:after="40" w:line="240" w:lineRule="auto"/>
              <w:jc w:val="left"/>
              <w:rPr>
                <w:rFonts w:cs="Calibri"/>
                <w:b/>
                <w:color w:val="FFFFFF" w:themeColor="background1"/>
                <w:sz w:val="18"/>
                <w:szCs w:val="18"/>
              </w:rPr>
            </w:pPr>
          </w:p>
        </w:tc>
        <w:tc>
          <w:tcPr>
            <w:tcW w:w="992" w:type="dxa"/>
            <w:vMerge/>
            <w:vAlign w:val="bottom"/>
          </w:tcPr>
          <w:p w14:paraId="74EDE49C" w14:textId="77777777" w:rsidR="009B2872" w:rsidRPr="00037D90" w:rsidRDefault="009B2872" w:rsidP="004C6219">
            <w:pPr>
              <w:spacing w:before="40" w:after="40" w:line="240" w:lineRule="auto"/>
              <w:jc w:val="left"/>
              <w:rPr>
                <w:rFonts w:cs="Calibri"/>
                <w:b/>
                <w:color w:val="FFFFFF" w:themeColor="background1"/>
                <w:sz w:val="18"/>
                <w:szCs w:val="18"/>
              </w:rPr>
            </w:pPr>
          </w:p>
        </w:tc>
        <w:tc>
          <w:tcPr>
            <w:tcW w:w="1129" w:type="dxa"/>
            <w:vMerge/>
            <w:vAlign w:val="bottom"/>
          </w:tcPr>
          <w:p w14:paraId="6568303A" w14:textId="77777777" w:rsidR="009B2872" w:rsidRPr="003D5E37" w:rsidRDefault="009B2872" w:rsidP="004C6219">
            <w:pPr>
              <w:spacing w:before="40" w:after="40" w:line="240" w:lineRule="auto"/>
              <w:jc w:val="left"/>
              <w:rPr>
                <w:rFonts w:cs="Calibri"/>
                <w:b/>
                <w:color w:val="FFFFFF" w:themeColor="background1"/>
                <w:sz w:val="18"/>
                <w:szCs w:val="18"/>
              </w:rPr>
            </w:pPr>
          </w:p>
        </w:tc>
        <w:tc>
          <w:tcPr>
            <w:tcW w:w="1281" w:type="dxa"/>
            <w:vMerge/>
            <w:noWrap/>
            <w:vAlign w:val="bottom"/>
          </w:tcPr>
          <w:p w14:paraId="690F0F23" w14:textId="77777777" w:rsidR="009B2872" w:rsidRPr="00037D90" w:rsidRDefault="009B2872" w:rsidP="004C6219">
            <w:pPr>
              <w:spacing w:before="40" w:after="40" w:line="240" w:lineRule="auto"/>
              <w:jc w:val="left"/>
              <w:rPr>
                <w:rFonts w:cs="Calibri"/>
                <w:b/>
                <w:color w:val="FFFFFF" w:themeColor="background1"/>
                <w:sz w:val="18"/>
                <w:szCs w:val="18"/>
              </w:rPr>
            </w:pPr>
          </w:p>
        </w:tc>
        <w:tc>
          <w:tcPr>
            <w:tcW w:w="1276" w:type="dxa"/>
            <w:vMerge/>
            <w:noWrap/>
            <w:vAlign w:val="bottom"/>
          </w:tcPr>
          <w:p w14:paraId="01C4AB67" w14:textId="77777777" w:rsidR="009B2872" w:rsidRPr="00037D90" w:rsidRDefault="009B2872" w:rsidP="004C6219">
            <w:pPr>
              <w:spacing w:before="40" w:after="40" w:line="240" w:lineRule="auto"/>
              <w:jc w:val="left"/>
              <w:rPr>
                <w:rFonts w:cs="Calibri"/>
                <w:b/>
                <w:color w:val="FFFFFF" w:themeColor="background1"/>
                <w:sz w:val="18"/>
                <w:szCs w:val="18"/>
              </w:rPr>
            </w:pPr>
          </w:p>
        </w:tc>
        <w:tc>
          <w:tcPr>
            <w:tcW w:w="1275" w:type="dxa"/>
            <w:vMerge/>
            <w:noWrap/>
            <w:textDirection w:val="btLr"/>
            <w:vAlign w:val="bottom"/>
          </w:tcPr>
          <w:p w14:paraId="70F0414B" w14:textId="77777777" w:rsidR="009B2872" w:rsidRPr="00037D90" w:rsidRDefault="009B2872" w:rsidP="004C6219">
            <w:pPr>
              <w:spacing w:before="40" w:after="40" w:line="240" w:lineRule="auto"/>
              <w:ind w:left="113" w:right="113"/>
              <w:jc w:val="left"/>
              <w:rPr>
                <w:rFonts w:cs="Calibri"/>
                <w:b/>
                <w:color w:val="FFFFFF" w:themeColor="background1"/>
                <w:sz w:val="18"/>
                <w:szCs w:val="18"/>
              </w:rPr>
            </w:pPr>
          </w:p>
        </w:tc>
        <w:tc>
          <w:tcPr>
            <w:tcW w:w="1418" w:type="dxa"/>
            <w:vMerge/>
            <w:noWrap/>
            <w:vAlign w:val="bottom"/>
          </w:tcPr>
          <w:p w14:paraId="4C05C0E6" w14:textId="77777777" w:rsidR="009B2872" w:rsidRPr="00037D90" w:rsidRDefault="009B2872" w:rsidP="004C6219">
            <w:pPr>
              <w:spacing w:before="40" w:after="40" w:line="240" w:lineRule="auto"/>
              <w:jc w:val="left"/>
              <w:rPr>
                <w:rFonts w:cs="Calibri"/>
                <w:b/>
                <w:color w:val="FFFFFF" w:themeColor="background1"/>
                <w:sz w:val="18"/>
                <w:szCs w:val="18"/>
              </w:rPr>
            </w:pPr>
          </w:p>
        </w:tc>
        <w:tc>
          <w:tcPr>
            <w:tcW w:w="992" w:type="dxa"/>
            <w:tcBorders>
              <w:top w:val="single" w:sz="4" w:space="0" w:color="1B556B" w:themeColor="text2"/>
              <w:left w:val="nil"/>
              <w:bottom w:val="nil"/>
              <w:right w:val="nil"/>
            </w:tcBorders>
            <w:shd w:val="clear" w:color="auto" w:fill="1B556B" w:themeFill="text2"/>
            <w:vAlign w:val="bottom"/>
          </w:tcPr>
          <w:p w14:paraId="13C622A1" w14:textId="28858404" w:rsidR="009B2872" w:rsidRPr="00037D90" w:rsidRDefault="009B2872" w:rsidP="004C6219">
            <w:pPr>
              <w:spacing w:before="40" w:after="40" w:line="240" w:lineRule="auto"/>
              <w:jc w:val="left"/>
              <w:rPr>
                <w:rFonts w:cs="Calibri"/>
                <w:b/>
                <w:color w:val="FFFFFF" w:themeColor="background1"/>
                <w:sz w:val="18"/>
                <w:szCs w:val="18"/>
              </w:rPr>
            </w:pPr>
            <w:r w:rsidRPr="00037D90">
              <w:rPr>
                <w:rFonts w:cs="Calibri"/>
                <w:b/>
                <w:color w:val="FFFFFF" w:themeColor="background1"/>
                <w:sz w:val="18"/>
                <w:szCs w:val="18"/>
              </w:rPr>
              <w:t xml:space="preserve">2021 </w:t>
            </w:r>
            <w:r w:rsidR="007B0A36" w:rsidRPr="00037D90">
              <w:rPr>
                <w:rFonts w:cs="Calibri"/>
                <w:b/>
                <w:color w:val="FFFFFF" w:themeColor="background1"/>
                <w:sz w:val="18"/>
                <w:szCs w:val="18"/>
              </w:rPr>
              <w:br/>
            </w:r>
            <w:r w:rsidRPr="00037D90">
              <w:rPr>
                <w:rFonts w:cs="Calibri"/>
                <w:b/>
                <w:color w:val="FFFFFF" w:themeColor="background1"/>
                <w:sz w:val="18"/>
                <w:szCs w:val="18"/>
              </w:rPr>
              <w:t>Achieved</w:t>
            </w:r>
          </w:p>
        </w:tc>
        <w:tc>
          <w:tcPr>
            <w:tcW w:w="992" w:type="dxa"/>
            <w:tcBorders>
              <w:top w:val="single" w:sz="4" w:space="0" w:color="1B556B" w:themeColor="text2"/>
              <w:left w:val="nil"/>
              <w:bottom w:val="nil"/>
              <w:right w:val="nil"/>
            </w:tcBorders>
            <w:shd w:val="clear" w:color="auto" w:fill="1B556B" w:themeFill="text2"/>
            <w:vAlign w:val="bottom"/>
          </w:tcPr>
          <w:p w14:paraId="332B439F" w14:textId="4130751E" w:rsidR="009B2872" w:rsidRPr="00037D90" w:rsidRDefault="009B2872" w:rsidP="004C6219">
            <w:pPr>
              <w:spacing w:before="40" w:after="40" w:line="240" w:lineRule="auto"/>
              <w:jc w:val="left"/>
              <w:rPr>
                <w:rFonts w:cs="Calibri"/>
                <w:b/>
                <w:color w:val="FFFFFF" w:themeColor="background1"/>
                <w:sz w:val="18"/>
                <w:szCs w:val="18"/>
              </w:rPr>
            </w:pPr>
            <w:r w:rsidRPr="00037D90">
              <w:rPr>
                <w:rFonts w:cs="Calibri"/>
                <w:b/>
                <w:color w:val="FFFFFF" w:themeColor="background1"/>
                <w:sz w:val="18"/>
                <w:szCs w:val="18"/>
              </w:rPr>
              <w:t xml:space="preserve">2022 </w:t>
            </w:r>
            <w:r w:rsidR="007B0A36" w:rsidRPr="00037D90">
              <w:rPr>
                <w:rFonts w:cs="Calibri"/>
                <w:b/>
                <w:color w:val="FFFFFF" w:themeColor="background1"/>
                <w:sz w:val="18"/>
                <w:szCs w:val="18"/>
              </w:rPr>
              <w:br/>
            </w:r>
            <w:r w:rsidRPr="00037D90">
              <w:rPr>
                <w:rFonts w:cs="Calibri"/>
                <w:b/>
                <w:color w:val="FFFFFF" w:themeColor="background1"/>
                <w:sz w:val="18"/>
                <w:szCs w:val="18"/>
              </w:rPr>
              <w:t>Achieved</w:t>
            </w:r>
          </w:p>
        </w:tc>
        <w:tc>
          <w:tcPr>
            <w:tcW w:w="964" w:type="dxa"/>
            <w:tcBorders>
              <w:top w:val="single" w:sz="4" w:space="0" w:color="1B556B" w:themeColor="text2"/>
              <w:left w:val="nil"/>
              <w:bottom w:val="nil"/>
              <w:right w:val="nil"/>
            </w:tcBorders>
            <w:shd w:val="clear" w:color="auto" w:fill="1B556B" w:themeFill="text2"/>
            <w:vAlign w:val="bottom"/>
          </w:tcPr>
          <w:p w14:paraId="1DCDE908" w14:textId="5B1E70FE" w:rsidR="009B2872" w:rsidRPr="00037D90" w:rsidRDefault="009B2872" w:rsidP="004C6219">
            <w:pPr>
              <w:spacing w:before="40" w:after="40" w:line="240" w:lineRule="auto"/>
              <w:jc w:val="left"/>
              <w:rPr>
                <w:rFonts w:cs="Calibri"/>
                <w:b/>
                <w:color w:val="FFFFFF" w:themeColor="background1"/>
                <w:sz w:val="18"/>
                <w:szCs w:val="18"/>
              </w:rPr>
            </w:pPr>
            <w:r w:rsidRPr="00037D90">
              <w:rPr>
                <w:rFonts w:cs="Calibri"/>
                <w:b/>
                <w:color w:val="FFFFFF" w:themeColor="background1"/>
                <w:sz w:val="18"/>
                <w:szCs w:val="18"/>
              </w:rPr>
              <w:t xml:space="preserve">2030 </w:t>
            </w:r>
            <w:r w:rsidR="007B0A36" w:rsidRPr="00037D90">
              <w:rPr>
                <w:rFonts w:cs="Calibri"/>
                <w:b/>
                <w:color w:val="FFFFFF" w:themeColor="background1"/>
                <w:sz w:val="18"/>
                <w:szCs w:val="18"/>
              </w:rPr>
              <w:br/>
            </w:r>
            <w:r w:rsidRPr="00037D90">
              <w:rPr>
                <w:rFonts w:cs="Calibri"/>
                <w:b/>
                <w:color w:val="FFFFFF" w:themeColor="background1"/>
                <w:sz w:val="18"/>
                <w:szCs w:val="18"/>
              </w:rPr>
              <w:t>Expected</w:t>
            </w:r>
          </w:p>
        </w:tc>
      </w:tr>
      <w:tr w:rsidR="009B2872" w:rsidRPr="00037D90" w14:paraId="24065811" w14:textId="77777777" w:rsidTr="004C6219">
        <w:trPr>
          <w:gridAfter w:val="1"/>
          <w:wAfter w:w="24" w:type="dxa"/>
        </w:trPr>
        <w:tc>
          <w:tcPr>
            <w:tcW w:w="14572" w:type="dxa"/>
            <w:gridSpan w:val="12"/>
            <w:shd w:val="clear" w:color="auto" w:fill="D2DDE1" w:themeFill="background2"/>
          </w:tcPr>
          <w:p w14:paraId="41A9A406" w14:textId="77777777" w:rsidR="009B2872" w:rsidRPr="003D5E37" w:rsidRDefault="009B2872" w:rsidP="004C6219">
            <w:pPr>
              <w:spacing w:before="40" w:after="40" w:line="240" w:lineRule="auto"/>
              <w:rPr>
                <w:rFonts w:cs="Calibri"/>
                <w:b/>
                <w:sz w:val="18"/>
                <w:szCs w:val="18"/>
              </w:rPr>
            </w:pPr>
            <w:r w:rsidRPr="003D5E37">
              <w:rPr>
                <w:rFonts w:cs="Calibri"/>
                <w:b/>
                <w:sz w:val="18"/>
                <w:szCs w:val="18"/>
              </w:rPr>
              <w:t>Overarching policies</w:t>
            </w:r>
          </w:p>
        </w:tc>
      </w:tr>
      <w:tr w:rsidR="00361478" w:rsidRPr="00037D90" w14:paraId="24901B03" w14:textId="77777777" w:rsidTr="00271C02">
        <w:trPr>
          <w:gridAfter w:val="1"/>
          <w:wAfter w:w="24" w:type="dxa"/>
        </w:trPr>
        <w:tc>
          <w:tcPr>
            <w:tcW w:w="1276" w:type="dxa"/>
            <w:shd w:val="clear" w:color="auto" w:fill="auto"/>
          </w:tcPr>
          <w:p w14:paraId="226D4E82" w14:textId="5ED8C4DB" w:rsidR="009B2872" w:rsidRPr="00037D90" w:rsidDel="00DC2F68" w:rsidRDefault="009B2872" w:rsidP="004C6219">
            <w:pPr>
              <w:spacing w:before="40" w:after="40" w:line="240" w:lineRule="auto"/>
              <w:jc w:val="left"/>
              <w:rPr>
                <w:rFonts w:cs="Calibri"/>
                <w:color w:val="000000"/>
                <w:sz w:val="18"/>
                <w:szCs w:val="18"/>
              </w:rPr>
            </w:pPr>
            <w:r w:rsidRPr="00037D90">
              <w:rPr>
                <w:rFonts w:cs="Calibri"/>
                <w:color w:val="000000"/>
                <w:sz w:val="18"/>
                <w:szCs w:val="18"/>
              </w:rPr>
              <w:t xml:space="preserve">Climate </w:t>
            </w:r>
            <w:r w:rsidRPr="00037D90" w:rsidDel="00D83655">
              <w:rPr>
                <w:rFonts w:cs="Calibri"/>
                <w:color w:val="000000"/>
                <w:sz w:val="18"/>
                <w:szCs w:val="18"/>
              </w:rPr>
              <w:t>S</w:t>
            </w:r>
            <w:r w:rsidRPr="00037D90">
              <w:rPr>
                <w:rFonts w:cs="Calibri"/>
                <w:color w:val="000000"/>
                <w:sz w:val="18"/>
                <w:szCs w:val="18"/>
              </w:rPr>
              <w:t>trategy</w:t>
            </w:r>
          </w:p>
        </w:tc>
        <w:tc>
          <w:tcPr>
            <w:tcW w:w="1559" w:type="dxa"/>
          </w:tcPr>
          <w:p w14:paraId="56698BE5" w14:textId="6F10D5AD" w:rsidR="009B2872" w:rsidRPr="00037D90" w:rsidDel="00DC2F68" w:rsidRDefault="009B2872" w:rsidP="004C6219">
            <w:pPr>
              <w:spacing w:before="40" w:after="40" w:line="240" w:lineRule="auto"/>
              <w:jc w:val="left"/>
              <w:rPr>
                <w:rFonts w:cs="Calibri"/>
                <w:color w:val="000000"/>
                <w:sz w:val="18"/>
                <w:szCs w:val="18"/>
              </w:rPr>
            </w:pPr>
            <w:r w:rsidRPr="00037D90">
              <w:rPr>
                <w:rFonts w:cs="Calibri"/>
                <w:color w:val="000000"/>
                <w:sz w:val="18"/>
                <w:szCs w:val="18"/>
              </w:rPr>
              <w:t xml:space="preserve">The </w:t>
            </w:r>
            <w:r w:rsidRPr="00037D90" w:rsidDel="00D83655">
              <w:rPr>
                <w:rFonts w:cs="Calibri"/>
                <w:color w:val="000000"/>
                <w:sz w:val="18"/>
                <w:szCs w:val="18"/>
              </w:rPr>
              <w:t>Climate Strategy</w:t>
            </w:r>
            <w:r w:rsidRPr="00037D90">
              <w:rPr>
                <w:rFonts w:cs="Calibri"/>
                <w:color w:val="000000"/>
                <w:sz w:val="18"/>
                <w:szCs w:val="18"/>
              </w:rPr>
              <w:t xml:space="preserve"> sets out five pillars that guide New Zealand’s approach for reducing emissions and managing the impacts of climate change. </w:t>
            </w:r>
          </w:p>
        </w:tc>
        <w:tc>
          <w:tcPr>
            <w:tcW w:w="1418" w:type="dxa"/>
          </w:tcPr>
          <w:p w14:paraId="2A28B2A6" w14:textId="77777777" w:rsidR="009B2872" w:rsidRPr="00037D90" w:rsidDel="00DC2F68" w:rsidRDefault="009B2872" w:rsidP="004C6219">
            <w:pPr>
              <w:spacing w:before="40" w:after="40" w:line="240" w:lineRule="auto"/>
              <w:jc w:val="left"/>
              <w:rPr>
                <w:rFonts w:cs="Calibri"/>
                <w:color w:val="000000"/>
                <w:sz w:val="18"/>
                <w:szCs w:val="18"/>
              </w:rPr>
            </w:pPr>
            <w:r w:rsidRPr="00037D90">
              <w:rPr>
                <w:rFonts w:cs="Calibri"/>
                <w:color w:val="000000"/>
                <w:sz w:val="18"/>
                <w:szCs w:val="18"/>
              </w:rPr>
              <w:t>Sets out the approach to how the Government will deliver on New Zealand’s climate goals</w:t>
            </w:r>
          </w:p>
        </w:tc>
        <w:tc>
          <w:tcPr>
            <w:tcW w:w="992" w:type="dxa"/>
          </w:tcPr>
          <w:p w14:paraId="765A57B4" w14:textId="77777777" w:rsidR="009B2872" w:rsidRPr="00037D90" w:rsidDel="00DC2F68"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Other</w:t>
            </w:r>
          </w:p>
        </w:tc>
        <w:tc>
          <w:tcPr>
            <w:tcW w:w="1129" w:type="dxa"/>
          </w:tcPr>
          <w:p w14:paraId="02E38696" w14:textId="77777777" w:rsidR="009B2872" w:rsidRPr="003D5E37" w:rsidDel="00DC2F68" w:rsidRDefault="009B2872" w:rsidP="004C6219">
            <w:pPr>
              <w:spacing w:before="40" w:after="40" w:line="240" w:lineRule="auto"/>
              <w:jc w:val="left"/>
              <w:rPr>
                <w:rFonts w:cs="Calibri"/>
                <w:color w:val="000000"/>
                <w:sz w:val="18"/>
                <w:szCs w:val="18"/>
              </w:rPr>
            </w:pPr>
            <w:r w:rsidRPr="003D5E37">
              <w:rPr>
                <w:rFonts w:cs="Calibri"/>
                <w:color w:val="000000"/>
                <w:sz w:val="18"/>
                <w:szCs w:val="18"/>
              </w:rPr>
              <w:t>Implemented</w:t>
            </w:r>
          </w:p>
        </w:tc>
        <w:tc>
          <w:tcPr>
            <w:tcW w:w="1281" w:type="dxa"/>
            <w:shd w:val="clear" w:color="auto" w:fill="auto"/>
          </w:tcPr>
          <w:p w14:paraId="6DAED512" w14:textId="77777777" w:rsidR="009B2872" w:rsidRPr="00037D90" w:rsidDel="00DC2F68"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Energy, Transport, IPPU, Agriculture, LULUCF, Waste management</w:t>
            </w:r>
          </w:p>
        </w:tc>
        <w:tc>
          <w:tcPr>
            <w:tcW w:w="1276" w:type="dxa"/>
            <w:shd w:val="clear" w:color="auto" w:fill="auto"/>
          </w:tcPr>
          <w:p w14:paraId="673116AA" w14:textId="77777777" w:rsidR="009B2872" w:rsidRPr="00037D90" w:rsidDel="00DC2F68" w:rsidRDefault="009B2872" w:rsidP="004C6219">
            <w:pPr>
              <w:spacing w:before="40" w:after="40" w:line="240" w:lineRule="auto"/>
              <w:jc w:val="left"/>
              <w:rPr>
                <w:rFonts w:cs="Calibri"/>
                <w:color w:val="000000"/>
                <w:sz w:val="18"/>
                <w:szCs w:val="18"/>
              </w:rPr>
            </w:pPr>
            <w:r w:rsidRPr="00037D90">
              <w:rPr>
                <w:rFonts w:cs="Calibri"/>
                <w:color w:val="000000"/>
                <w:sz w:val="18"/>
                <w:szCs w:val="18"/>
              </w:rPr>
              <w:t>CO</w:t>
            </w:r>
            <w:r w:rsidRPr="00037D90">
              <w:rPr>
                <w:rFonts w:cs="Calibri"/>
                <w:color w:val="000000"/>
                <w:sz w:val="18"/>
                <w:szCs w:val="18"/>
                <w:vertAlign w:val="subscript"/>
              </w:rPr>
              <w:t>2</w:t>
            </w:r>
            <w:r w:rsidRPr="00037D90">
              <w:rPr>
                <w:rFonts w:cs="Calibri"/>
                <w:color w:val="000000"/>
                <w:sz w:val="18"/>
                <w:szCs w:val="18"/>
              </w:rPr>
              <w:t>, CH</w:t>
            </w:r>
            <w:r w:rsidRPr="00037D90">
              <w:rPr>
                <w:rFonts w:cs="Calibri"/>
                <w:color w:val="000000"/>
                <w:sz w:val="18"/>
                <w:szCs w:val="18"/>
                <w:vertAlign w:val="subscript"/>
              </w:rPr>
              <w:t>4</w:t>
            </w:r>
            <w:r w:rsidRPr="00037D90">
              <w:rPr>
                <w:rFonts w:cs="Calibri"/>
                <w:color w:val="000000"/>
                <w:sz w:val="18"/>
                <w:szCs w:val="18"/>
              </w:rPr>
              <w:t>, N</w:t>
            </w:r>
            <w:r w:rsidRPr="00037D90">
              <w:rPr>
                <w:rFonts w:cs="Calibri"/>
                <w:color w:val="000000"/>
                <w:sz w:val="18"/>
                <w:szCs w:val="18"/>
                <w:vertAlign w:val="subscript"/>
              </w:rPr>
              <w:t>2</w:t>
            </w:r>
            <w:r w:rsidRPr="00037D90">
              <w:rPr>
                <w:rFonts w:cs="Calibri"/>
                <w:color w:val="000000"/>
                <w:sz w:val="18"/>
                <w:szCs w:val="18"/>
              </w:rPr>
              <w:t>O, PFCs, HFCs, SF</w:t>
            </w:r>
            <w:r w:rsidRPr="00037D90">
              <w:rPr>
                <w:rFonts w:cs="Calibri"/>
                <w:color w:val="000000"/>
                <w:sz w:val="18"/>
                <w:szCs w:val="18"/>
                <w:vertAlign w:val="subscript"/>
              </w:rPr>
              <w:t>6</w:t>
            </w:r>
          </w:p>
        </w:tc>
        <w:tc>
          <w:tcPr>
            <w:tcW w:w="1275" w:type="dxa"/>
            <w:shd w:val="clear" w:color="auto" w:fill="auto"/>
          </w:tcPr>
          <w:p w14:paraId="613F63BA" w14:textId="77777777" w:rsidR="009B2872" w:rsidRPr="00037D90" w:rsidDel="00DC2F68" w:rsidRDefault="009B2872" w:rsidP="004C6219">
            <w:pPr>
              <w:spacing w:before="40" w:after="40" w:line="240" w:lineRule="auto"/>
              <w:jc w:val="left"/>
              <w:rPr>
                <w:rFonts w:cs="Calibri"/>
                <w:color w:val="000000"/>
                <w:sz w:val="18"/>
                <w:szCs w:val="18"/>
              </w:rPr>
            </w:pPr>
            <w:r w:rsidRPr="00037D90">
              <w:rPr>
                <w:rFonts w:cs="Calibri"/>
                <w:color w:val="000000"/>
                <w:sz w:val="18"/>
                <w:szCs w:val="18"/>
              </w:rPr>
              <w:t>2024</w:t>
            </w:r>
          </w:p>
        </w:tc>
        <w:tc>
          <w:tcPr>
            <w:tcW w:w="1418" w:type="dxa"/>
            <w:shd w:val="clear" w:color="auto" w:fill="auto"/>
          </w:tcPr>
          <w:p w14:paraId="57E1CCF5" w14:textId="77777777" w:rsidR="009B2872" w:rsidRPr="00037D90" w:rsidDel="00DC2F68" w:rsidRDefault="009B2872" w:rsidP="004C6219">
            <w:pPr>
              <w:spacing w:before="40" w:after="40" w:line="240" w:lineRule="auto"/>
              <w:jc w:val="left"/>
              <w:rPr>
                <w:rFonts w:cs="Calibri"/>
                <w:color w:val="000000"/>
                <w:sz w:val="18"/>
                <w:szCs w:val="18"/>
              </w:rPr>
            </w:pPr>
            <w:r w:rsidRPr="00037D90">
              <w:rPr>
                <w:rFonts w:cs="Calibri"/>
                <w:color w:val="000000"/>
                <w:sz w:val="18"/>
                <w:szCs w:val="18"/>
              </w:rPr>
              <w:t>Ministry for the Environment</w:t>
            </w:r>
          </w:p>
        </w:tc>
        <w:tc>
          <w:tcPr>
            <w:tcW w:w="992" w:type="dxa"/>
          </w:tcPr>
          <w:p w14:paraId="0C80AC8C" w14:textId="77777777" w:rsidR="009B2872" w:rsidRPr="00037D90" w:rsidDel="00DC2F68"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3F682CA9" w14:textId="77777777" w:rsidR="009B2872" w:rsidRPr="00037D90" w:rsidDel="00DC2F68"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1A8612E8" w14:textId="77777777" w:rsidR="009B2872" w:rsidRPr="00037D90" w:rsidDel="00DC2F68"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0721089C" w14:textId="77777777" w:rsidTr="00271C02">
        <w:trPr>
          <w:gridAfter w:val="1"/>
          <w:wAfter w:w="24" w:type="dxa"/>
        </w:trPr>
        <w:tc>
          <w:tcPr>
            <w:tcW w:w="1276" w:type="dxa"/>
          </w:tcPr>
          <w:p w14:paraId="4768F591"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color w:val="000000"/>
                <w:sz w:val="18"/>
                <w:szCs w:val="18"/>
              </w:rPr>
              <w:t xml:space="preserve">New Zealand Emissions Trading Scheme (NZ ETS) </w:t>
            </w:r>
          </w:p>
        </w:tc>
        <w:tc>
          <w:tcPr>
            <w:tcW w:w="1559" w:type="dxa"/>
          </w:tcPr>
          <w:p w14:paraId="20A18D5A" w14:textId="6C570C63"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 xml:space="preserve">The NZ ETS requires upstream entities, such as fuel suppliers and large emitters, to surrender emissions units (NZUs) to the Government for their activities that result in emissions. It also rewards entities that remove carbon dioxide from the atmosphere, which for New Zealand is predominantly through forestry sequestration. </w:t>
            </w:r>
          </w:p>
          <w:p w14:paraId="70B868B8" w14:textId="5AE404FE"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 xml:space="preserve">Estimate of GHG </w:t>
            </w:r>
            <w:r w:rsidR="00D05A18" w:rsidRPr="00037D90">
              <w:rPr>
                <w:rFonts w:cs="Calibri"/>
                <w:color w:val="000000"/>
                <w:sz w:val="18"/>
                <w:szCs w:val="18"/>
              </w:rPr>
              <w:t>e</w:t>
            </w:r>
            <w:r w:rsidRPr="00037D90">
              <w:rPr>
                <w:rFonts w:cs="Calibri"/>
                <w:color w:val="000000"/>
                <w:sz w:val="18"/>
                <w:szCs w:val="18"/>
              </w:rPr>
              <w:t xml:space="preserve">missions reductions by sector are detailed in individual rows, below. </w:t>
            </w:r>
          </w:p>
        </w:tc>
        <w:tc>
          <w:tcPr>
            <w:tcW w:w="1418" w:type="dxa"/>
          </w:tcPr>
          <w:p w14:paraId="6D964F6E"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Reduce emissions by creating a market through which emitters pay for emissions covered by the scheme.</w:t>
            </w:r>
          </w:p>
        </w:tc>
        <w:tc>
          <w:tcPr>
            <w:tcW w:w="992" w:type="dxa"/>
          </w:tcPr>
          <w:p w14:paraId="3A722114"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Regulatory, economic instrument</w:t>
            </w:r>
          </w:p>
        </w:tc>
        <w:tc>
          <w:tcPr>
            <w:tcW w:w="1129" w:type="dxa"/>
          </w:tcPr>
          <w:p w14:paraId="476BC851" w14:textId="77777777" w:rsidR="009B2872" w:rsidRPr="003D5E37" w:rsidRDefault="009B2872" w:rsidP="004C6219">
            <w:pPr>
              <w:spacing w:before="40" w:after="40" w:line="240" w:lineRule="auto"/>
              <w:jc w:val="left"/>
              <w:rPr>
                <w:rFonts w:cs="Calibri"/>
                <w:color w:val="000000"/>
                <w:sz w:val="18"/>
                <w:szCs w:val="18"/>
              </w:rPr>
            </w:pPr>
            <w:r w:rsidRPr="003D5E37">
              <w:rPr>
                <w:rFonts w:cs="Calibri"/>
                <w:color w:val="000000" w:themeColor="text1"/>
                <w:sz w:val="18"/>
                <w:szCs w:val="18"/>
              </w:rPr>
              <w:t xml:space="preserve">Implemented </w:t>
            </w:r>
          </w:p>
        </w:tc>
        <w:tc>
          <w:tcPr>
            <w:tcW w:w="1281" w:type="dxa"/>
          </w:tcPr>
          <w:p w14:paraId="0CF0B348"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color w:val="000000" w:themeColor="text1"/>
                <w:sz w:val="18"/>
                <w:szCs w:val="18"/>
              </w:rPr>
              <w:t xml:space="preserve">Energy, Transport, IPPU, Agriculture, LULUCF, Waste management </w:t>
            </w:r>
          </w:p>
        </w:tc>
        <w:tc>
          <w:tcPr>
            <w:tcW w:w="1276" w:type="dxa"/>
          </w:tcPr>
          <w:p w14:paraId="091A7B32"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color w:val="000000"/>
                <w:sz w:val="18"/>
                <w:szCs w:val="18"/>
              </w:rPr>
              <w:t>CO</w:t>
            </w:r>
            <w:r w:rsidRPr="00037D90">
              <w:rPr>
                <w:rFonts w:cs="Calibri"/>
                <w:color w:val="000000"/>
                <w:sz w:val="18"/>
                <w:szCs w:val="18"/>
                <w:vertAlign w:val="subscript"/>
              </w:rPr>
              <w:t>2</w:t>
            </w:r>
            <w:r w:rsidRPr="00037D90">
              <w:rPr>
                <w:rFonts w:cs="Calibri"/>
                <w:color w:val="000000"/>
                <w:sz w:val="18"/>
                <w:szCs w:val="18"/>
              </w:rPr>
              <w:t>, CH</w:t>
            </w:r>
            <w:r w:rsidRPr="00037D90">
              <w:rPr>
                <w:rFonts w:cs="Calibri"/>
                <w:color w:val="000000"/>
                <w:sz w:val="18"/>
                <w:szCs w:val="18"/>
                <w:vertAlign w:val="subscript"/>
              </w:rPr>
              <w:t>4</w:t>
            </w:r>
            <w:r w:rsidRPr="00037D90">
              <w:rPr>
                <w:rFonts w:cs="Calibri"/>
                <w:color w:val="000000"/>
                <w:sz w:val="18"/>
                <w:szCs w:val="18"/>
              </w:rPr>
              <w:t>, N</w:t>
            </w:r>
            <w:r w:rsidRPr="00037D90">
              <w:rPr>
                <w:rFonts w:cs="Calibri"/>
                <w:color w:val="000000"/>
                <w:sz w:val="18"/>
                <w:szCs w:val="18"/>
                <w:vertAlign w:val="subscript"/>
              </w:rPr>
              <w:t>2</w:t>
            </w:r>
            <w:r w:rsidRPr="00037D90">
              <w:rPr>
                <w:rFonts w:cs="Calibri"/>
                <w:color w:val="000000"/>
                <w:sz w:val="18"/>
                <w:szCs w:val="18"/>
              </w:rPr>
              <w:t>O, PFCs, HFCs, SF</w:t>
            </w:r>
            <w:r w:rsidRPr="00037D90">
              <w:rPr>
                <w:rFonts w:cs="Calibri"/>
                <w:color w:val="000000"/>
                <w:sz w:val="18"/>
                <w:szCs w:val="18"/>
                <w:vertAlign w:val="subscript"/>
              </w:rPr>
              <w:t>6</w:t>
            </w:r>
          </w:p>
        </w:tc>
        <w:tc>
          <w:tcPr>
            <w:tcW w:w="1275" w:type="dxa"/>
          </w:tcPr>
          <w:p w14:paraId="57F4DCD1"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color w:val="000000"/>
                <w:sz w:val="18"/>
                <w:szCs w:val="18"/>
              </w:rPr>
              <w:t>2008</w:t>
            </w:r>
          </w:p>
        </w:tc>
        <w:tc>
          <w:tcPr>
            <w:tcW w:w="1418" w:type="dxa"/>
          </w:tcPr>
          <w:p w14:paraId="67C82BD8"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color w:val="000000"/>
                <w:sz w:val="18"/>
                <w:szCs w:val="18"/>
              </w:rPr>
              <w:t>Environmental Protection Authority, Ministry for the Environment, Ministry for Primary Industries</w:t>
            </w:r>
          </w:p>
        </w:tc>
        <w:tc>
          <w:tcPr>
            <w:tcW w:w="992" w:type="dxa"/>
          </w:tcPr>
          <w:p w14:paraId="0546E93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IE</w:t>
            </w:r>
          </w:p>
        </w:tc>
        <w:tc>
          <w:tcPr>
            <w:tcW w:w="992" w:type="dxa"/>
          </w:tcPr>
          <w:p w14:paraId="0C6DC47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IE</w:t>
            </w:r>
          </w:p>
        </w:tc>
        <w:tc>
          <w:tcPr>
            <w:tcW w:w="964" w:type="dxa"/>
          </w:tcPr>
          <w:p w14:paraId="6A16C8C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IE</w:t>
            </w:r>
          </w:p>
        </w:tc>
      </w:tr>
      <w:tr w:rsidR="00A52B57" w:rsidRPr="00037D90" w14:paraId="2AAA7F78" w14:textId="77777777" w:rsidTr="00271C02">
        <w:trPr>
          <w:gridAfter w:val="1"/>
          <w:wAfter w:w="24" w:type="dxa"/>
        </w:trPr>
        <w:tc>
          <w:tcPr>
            <w:tcW w:w="1276" w:type="dxa"/>
          </w:tcPr>
          <w:p w14:paraId="1953F063" w14:textId="30918902"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 xml:space="preserve">New Zealand Emissions Trading Scheme (NZ ETS) – Impact on </w:t>
            </w:r>
            <w:r w:rsidR="0085507B">
              <w:rPr>
                <w:rFonts w:cs="Calibri"/>
                <w:color w:val="000000"/>
                <w:sz w:val="18"/>
                <w:szCs w:val="18"/>
              </w:rPr>
              <w:t>E</w:t>
            </w:r>
            <w:r w:rsidRPr="00037D90">
              <w:rPr>
                <w:rFonts w:cs="Calibri"/>
                <w:color w:val="000000"/>
                <w:sz w:val="18"/>
                <w:szCs w:val="18"/>
              </w:rPr>
              <w:t>nergy sector emissions</w:t>
            </w:r>
          </w:p>
        </w:tc>
        <w:tc>
          <w:tcPr>
            <w:tcW w:w="1559" w:type="dxa"/>
          </w:tcPr>
          <w:p w14:paraId="4439C3C8" w14:textId="77777777" w:rsidR="009B2872" w:rsidRPr="00037D90"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 xml:space="preserve">See row ‘New Zealand Emissions Trading Scheme (NZ ETS)’ for a description of this policy. </w:t>
            </w:r>
          </w:p>
        </w:tc>
        <w:tc>
          <w:tcPr>
            <w:tcW w:w="1418" w:type="dxa"/>
          </w:tcPr>
          <w:p w14:paraId="7718A3DF"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See row ‘New Zealand Emissions Trading Scheme (NZ ETS)’ for the objectives of this policy.</w:t>
            </w:r>
          </w:p>
        </w:tc>
        <w:tc>
          <w:tcPr>
            <w:tcW w:w="992" w:type="dxa"/>
          </w:tcPr>
          <w:p w14:paraId="0753A883"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Regulatory, economic instrument</w:t>
            </w:r>
          </w:p>
        </w:tc>
        <w:tc>
          <w:tcPr>
            <w:tcW w:w="1129" w:type="dxa"/>
          </w:tcPr>
          <w:p w14:paraId="2F745EDD" w14:textId="77777777" w:rsidR="009B2872" w:rsidRPr="003D5E37" w:rsidRDefault="009B2872" w:rsidP="004C6219">
            <w:pPr>
              <w:spacing w:before="40" w:after="40" w:line="240" w:lineRule="auto"/>
              <w:jc w:val="left"/>
              <w:rPr>
                <w:rFonts w:cs="Calibri"/>
                <w:color w:val="000000" w:themeColor="text1"/>
                <w:sz w:val="18"/>
                <w:szCs w:val="18"/>
              </w:rPr>
            </w:pPr>
            <w:r w:rsidRPr="003D5E37">
              <w:rPr>
                <w:rFonts w:cs="Calibri"/>
                <w:color w:val="000000" w:themeColor="text1"/>
                <w:sz w:val="18"/>
                <w:szCs w:val="18"/>
              </w:rPr>
              <w:t xml:space="preserve">Implemented </w:t>
            </w:r>
          </w:p>
        </w:tc>
        <w:tc>
          <w:tcPr>
            <w:tcW w:w="1281" w:type="dxa"/>
          </w:tcPr>
          <w:p w14:paraId="1E6823BF" w14:textId="68AB5981" w:rsidR="009B2872" w:rsidRPr="00037D90"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Energy, Transport, Agriculture, IPPU, LULUCF, Waste management</w:t>
            </w:r>
          </w:p>
        </w:tc>
        <w:tc>
          <w:tcPr>
            <w:tcW w:w="1276" w:type="dxa"/>
          </w:tcPr>
          <w:p w14:paraId="1C30199A"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CO</w:t>
            </w:r>
            <w:r w:rsidRPr="00037D90">
              <w:rPr>
                <w:rFonts w:cs="Calibri"/>
                <w:color w:val="000000"/>
                <w:sz w:val="18"/>
                <w:szCs w:val="18"/>
                <w:vertAlign w:val="subscript"/>
              </w:rPr>
              <w:t>2</w:t>
            </w:r>
            <w:r w:rsidRPr="00037D90">
              <w:rPr>
                <w:rFonts w:cs="Calibri"/>
                <w:color w:val="000000"/>
                <w:sz w:val="18"/>
                <w:szCs w:val="18"/>
              </w:rPr>
              <w:t>, CH</w:t>
            </w:r>
            <w:r w:rsidRPr="00037D90">
              <w:rPr>
                <w:rFonts w:cs="Calibri"/>
                <w:color w:val="000000"/>
                <w:sz w:val="18"/>
                <w:szCs w:val="18"/>
                <w:vertAlign w:val="subscript"/>
              </w:rPr>
              <w:t>4</w:t>
            </w:r>
            <w:r w:rsidRPr="00037D90">
              <w:rPr>
                <w:rFonts w:cs="Calibri"/>
                <w:color w:val="000000"/>
                <w:sz w:val="18"/>
                <w:szCs w:val="18"/>
              </w:rPr>
              <w:t>, N</w:t>
            </w:r>
            <w:r w:rsidRPr="00037D90">
              <w:rPr>
                <w:rFonts w:cs="Calibri"/>
                <w:color w:val="000000"/>
                <w:sz w:val="18"/>
                <w:szCs w:val="18"/>
                <w:vertAlign w:val="subscript"/>
              </w:rPr>
              <w:t>2</w:t>
            </w:r>
            <w:r w:rsidRPr="00037D90">
              <w:rPr>
                <w:rFonts w:cs="Calibri"/>
                <w:color w:val="000000"/>
                <w:sz w:val="18"/>
                <w:szCs w:val="18"/>
              </w:rPr>
              <w:t>O, PFCs, HFCs, SF</w:t>
            </w:r>
            <w:r w:rsidRPr="00037D90">
              <w:rPr>
                <w:rFonts w:cs="Calibri"/>
                <w:color w:val="000000"/>
                <w:sz w:val="18"/>
                <w:szCs w:val="18"/>
                <w:vertAlign w:val="subscript"/>
              </w:rPr>
              <w:t>6</w:t>
            </w:r>
          </w:p>
        </w:tc>
        <w:tc>
          <w:tcPr>
            <w:tcW w:w="1275" w:type="dxa"/>
          </w:tcPr>
          <w:p w14:paraId="7C52D9CC"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2008</w:t>
            </w:r>
          </w:p>
        </w:tc>
        <w:tc>
          <w:tcPr>
            <w:tcW w:w="1418" w:type="dxa"/>
          </w:tcPr>
          <w:p w14:paraId="117A5170"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Environmental Protection Authority, Ministry for the Environment, Ministry for Primary Industries</w:t>
            </w:r>
          </w:p>
        </w:tc>
        <w:tc>
          <w:tcPr>
            <w:tcW w:w="992" w:type="dxa"/>
          </w:tcPr>
          <w:p w14:paraId="1C92DF9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4997D27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6072AED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519</w:t>
            </w:r>
          </w:p>
        </w:tc>
      </w:tr>
      <w:tr w:rsidR="00A52B57" w:rsidRPr="00037D90" w14:paraId="534521C0" w14:textId="77777777" w:rsidTr="00271C02">
        <w:trPr>
          <w:gridAfter w:val="1"/>
          <w:wAfter w:w="24" w:type="dxa"/>
        </w:trPr>
        <w:tc>
          <w:tcPr>
            <w:tcW w:w="1276" w:type="dxa"/>
          </w:tcPr>
          <w:p w14:paraId="69E8E0C1" w14:textId="1E9CBB74"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 xml:space="preserve">New Zealand Emissions Trading Scheme (NZ ETS) – Impact on </w:t>
            </w:r>
            <w:r w:rsidR="0085507B">
              <w:rPr>
                <w:rFonts w:cs="Calibri"/>
                <w:color w:val="000000"/>
                <w:sz w:val="18"/>
                <w:szCs w:val="18"/>
              </w:rPr>
              <w:t>T</w:t>
            </w:r>
            <w:r w:rsidRPr="00037D90">
              <w:rPr>
                <w:rFonts w:cs="Calibri"/>
                <w:color w:val="000000"/>
                <w:sz w:val="18"/>
                <w:szCs w:val="18"/>
              </w:rPr>
              <w:t>ransport sector emissions</w:t>
            </w:r>
          </w:p>
        </w:tc>
        <w:tc>
          <w:tcPr>
            <w:tcW w:w="1559" w:type="dxa"/>
          </w:tcPr>
          <w:p w14:paraId="260334DD" w14:textId="77777777" w:rsidR="009B2872" w:rsidRPr="00037D90"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See row ‘New Zealand Emissions Trading Scheme (NZ ETS)’ for a description of this policy.</w:t>
            </w:r>
          </w:p>
        </w:tc>
        <w:tc>
          <w:tcPr>
            <w:tcW w:w="1418" w:type="dxa"/>
          </w:tcPr>
          <w:p w14:paraId="640FD993"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See row ‘New Zealand Emissions Trading Scheme (NZ ETS)’ for the objectives of this policy.</w:t>
            </w:r>
          </w:p>
        </w:tc>
        <w:tc>
          <w:tcPr>
            <w:tcW w:w="992" w:type="dxa"/>
          </w:tcPr>
          <w:p w14:paraId="4F1ACDB1"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Regulatory, economic instrument</w:t>
            </w:r>
          </w:p>
        </w:tc>
        <w:tc>
          <w:tcPr>
            <w:tcW w:w="1129" w:type="dxa"/>
          </w:tcPr>
          <w:p w14:paraId="5251F1B7" w14:textId="77777777" w:rsidR="009B2872" w:rsidRPr="003D5E37" w:rsidRDefault="009B2872" w:rsidP="004C6219">
            <w:pPr>
              <w:spacing w:before="40" w:after="40" w:line="240" w:lineRule="auto"/>
              <w:jc w:val="left"/>
              <w:rPr>
                <w:rFonts w:cs="Calibri"/>
                <w:color w:val="000000" w:themeColor="text1"/>
                <w:sz w:val="18"/>
                <w:szCs w:val="18"/>
              </w:rPr>
            </w:pPr>
            <w:r w:rsidRPr="003D5E37">
              <w:rPr>
                <w:rFonts w:cs="Calibri"/>
                <w:color w:val="000000" w:themeColor="text1"/>
                <w:sz w:val="18"/>
                <w:szCs w:val="18"/>
              </w:rPr>
              <w:t xml:space="preserve">Implemented </w:t>
            </w:r>
          </w:p>
        </w:tc>
        <w:tc>
          <w:tcPr>
            <w:tcW w:w="1281" w:type="dxa"/>
          </w:tcPr>
          <w:p w14:paraId="2CB2E155" w14:textId="10959E9B" w:rsidR="009B2872" w:rsidRPr="00037D90"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Energy, Transport, Agriculture, IPPU, LULUCF, Waste management</w:t>
            </w:r>
          </w:p>
        </w:tc>
        <w:tc>
          <w:tcPr>
            <w:tcW w:w="1276" w:type="dxa"/>
          </w:tcPr>
          <w:p w14:paraId="657B4A46"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CO</w:t>
            </w:r>
            <w:r w:rsidRPr="00037D90">
              <w:rPr>
                <w:rFonts w:cs="Calibri"/>
                <w:color w:val="000000"/>
                <w:sz w:val="18"/>
                <w:szCs w:val="18"/>
                <w:vertAlign w:val="subscript"/>
              </w:rPr>
              <w:t>2</w:t>
            </w:r>
            <w:r w:rsidRPr="00037D90">
              <w:rPr>
                <w:rFonts w:cs="Calibri"/>
                <w:color w:val="000000"/>
                <w:sz w:val="18"/>
                <w:szCs w:val="18"/>
              </w:rPr>
              <w:t>, CH</w:t>
            </w:r>
            <w:r w:rsidRPr="00037D90">
              <w:rPr>
                <w:rFonts w:cs="Calibri"/>
                <w:color w:val="000000"/>
                <w:sz w:val="18"/>
                <w:szCs w:val="18"/>
                <w:vertAlign w:val="subscript"/>
              </w:rPr>
              <w:t>4</w:t>
            </w:r>
            <w:r w:rsidRPr="00037D90">
              <w:rPr>
                <w:rFonts w:cs="Calibri"/>
                <w:color w:val="000000"/>
                <w:sz w:val="18"/>
                <w:szCs w:val="18"/>
              </w:rPr>
              <w:t>, N</w:t>
            </w:r>
            <w:r w:rsidRPr="00037D90">
              <w:rPr>
                <w:rFonts w:cs="Calibri"/>
                <w:color w:val="000000"/>
                <w:sz w:val="18"/>
                <w:szCs w:val="18"/>
                <w:vertAlign w:val="subscript"/>
              </w:rPr>
              <w:t>2</w:t>
            </w:r>
            <w:r w:rsidRPr="00037D90">
              <w:rPr>
                <w:rFonts w:cs="Calibri"/>
                <w:color w:val="000000"/>
                <w:sz w:val="18"/>
                <w:szCs w:val="18"/>
              </w:rPr>
              <w:t>O, PFCs, HFCs, SF</w:t>
            </w:r>
            <w:r w:rsidRPr="00037D90">
              <w:rPr>
                <w:rFonts w:cs="Calibri"/>
                <w:color w:val="000000"/>
                <w:sz w:val="18"/>
                <w:szCs w:val="18"/>
                <w:vertAlign w:val="subscript"/>
              </w:rPr>
              <w:t>6</w:t>
            </w:r>
          </w:p>
        </w:tc>
        <w:tc>
          <w:tcPr>
            <w:tcW w:w="1275" w:type="dxa"/>
          </w:tcPr>
          <w:p w14:paraId="45DD5BD0"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2008</w:t>
            </w:r>
          </w:p>
        </w:tc>
        <w:tc>
          <w:tcPr>
            <w:tcW w:w="1418" w:type="dxa"/>
          </w:tcPr>
          <w:p w14:paraId="5818021E"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Environmental Protection Authority, Ministry for the Environment, Ministry for Primary Industries</w:t>
            </w:r>
          </w:p>
        </w:tc>
        <w:tc>
          <w:tcPr>
            <w:tcW w:w="992" w:type="dxa"/>
          </w:tcPr>
          <w:p w14:paraId="2C1624A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119</w:t>
            </w:r>
          </w:p>
        </w:tc>
        <w:tc>
          <w:tcPr>
            <w:tcW w:w="992" w:type="dxa"/>
          </w:tcPr>
          <w:p w14:paraId="6888AF6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169</w:t>
            </w:r>
          </w:p>
        </w:tc>
        <w:tc>
          <w:tcPr>
            <w:tcW w:w="964" w:type="dxa"/>
          </w:tcPr>
          <w:p w14:paraId="5EBEA82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194</w:t>
            </w:r>
          </w:p>
        </w:tc>
      </w:tr>
      <w:tr w:rsidR="00A52B57" w:rsidRPr="00037D90" w14:paraId="53126057" w14:textId="77777777" w:rsidTr="00271C02">
        <w:trPr>
          <w:gridAfter w:val="1"/>
          <w:wAfter w:w="24" w:type="dxa"/>
        </w:trPr>
        <w:tc>
          <w:tcPr>
            <w:tcW w:w="1276" w:type="dxa"/>
          </w:tcPr>
          <w:p w14:paraId="1E2CB731" w14:textId="36C55E36"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 xml:space="preserve">New Zealand Emissions Trading Scheme (NZ ETS) - Impact on </w:t>
            </w:r>
            <w:r w:rsidR="009571FF">
              <w:rPr>
                <w:rFonts w:cs="Calibri"/>
                <w:color w:val="000000"/>
                <w:sz w:val="18"/>
                <w:szCs w:val="18"/>
              </w:rPr>
              <w:t>Agriculture sector</w:t>
            </w:r>
            <w:r w:rsidRPr="00037D90">
              <w:rPr>
                <w:rFonts w:cs="Calibri"/>
                <w:color w:val="000000"/>
                <w:sz w:val="18"/>
                <w:szCs w:val="18"/>
              </w:rPr>
              <w:t xml:space="preserve"> emissions</w:t>
            </w:r>
          </w:p>
        </w:tc>
        <w:tc>
          <w:tcPr>
            <w:tcW w:w="1559" w:type="dxa"/>
          </w:tcPr>
          <w:p w14:paraId="347C909E" w14:textId="77777777" w:rsidR="009B2872" w:rsidRPr="00037D90"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See row ‘New Zealand Emissions Trading Scheme (NZ ETS)’ for a description of this policy.</w:t>
            </w:r>
          </w:p>
        </w:tc>
        <w:tc>
          <w:tcPr>
            <w:tcW w:w="1418" w:type="dxa"/>
          </w:tcPr>
          <w:p w14:paraId="29C4D19F"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See row ‘New Zealand Emissions Trading Scheme (NZ ETS)’ for the objectives of this policy.</w:t>
            </w:r>
          </w:p>
        </w:tc>
        <w:tc>
          <w:tcPr>
            <w:tcW w:w="992" w:type="dxa"/>
          </w:tcPr>
          <w:p w14:paraId="7EAA7A87"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Regulatory, economic instrument</w:t>
            </w:r>
          </w:p>
        </w:tc>
        <w:tc>
          <w:tcPr>
            <w:tcW w:w="1129" w:type="dxa"/>
          </w:tcPr>
          <w:p w14:paraId="6D2B8EF7" w14:textId="77777777" w:rsidR="009B2872" w:rsidRPr="003D5E37" w:rsidRDefault="009B2872" w:rsidP="004C6219">
            <w:pPr>
              <w:spacing w:before="40" w:after="40" w:line="240" w:lineRule="auto"/>
              <w:jc w:val="left"/>
              <w:rPr>
                <w:rFonts w:cs="Calibri"/>
                <w:color w:val="000000" w:themeColor="text1"/>
                <w:sz w:val="18"/>
                <w:szCs w:val="18"/>
              </w:rPr>
            </w:pPr>
            <w:r w:rsidRPr="003D5E37">
              <w:rPr>
                <w:rFonts w:cs="Calibri"/>
                <w:color w:val="000000" w:themeColor="text1"/>
                <w:sz w:val="18"/>
                <w:szCs w:val="18"/>
              </w:rPr>
              <w:t xml:space="preserve">Implemented </w:t>
            </w:r>
          </w:p>
        </w:tc>
        <w:tc>
          <w:tcPr>
            <w:tcW w:w="1281" w:type="dxa"/>
          </w:tcPr>
          <w:p w14:paraId="3B1898BC" w14:textId="56F253A2" w:rsidR="009B2872" w:rsidRPr="00037D90"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Energy, Transport, Agriculture, IPPU, LULUCF, Waste management</w:t>
            </w:r>
          </w:p>
        </w:tc>
        <w:tc>
          <w:tcPr>
            <w:tcW w:w="1276" w:type="dxa"/>
          </w:tcPr>
          <w:p w14:paraId="39A839A4"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CO</w:t>
            </w:r>
            <w:r w:rsidRPr="00037D90">
              <w:rPr>
                <w:rFonts w:cs="Calibri"/>
                <w:color w:val="000000"/>
                <w:sz w:val="18"/>
                <w:szCs w:val="18"/>
                <w:vertAlign w:val="subscript"/>
              </w:rPr>
              <w:t>2</w:t>
            </w:r>
            <w:r w:rsidRPr="00037D90">
              <w:rPr>
                <w:rFonts w:cs="Calibri"/>
                <w:color w:val="000000"/>
                <w:sz w:val="18"/>
                <w:szCs w:val="18"/>
              </w:rPr>
              <w:t>, CH</w:t>
            </w:r>
            <w:r w:rsidRPr="00037D90">
              <w:rPr>
                <w:rFonts w:cs="Calibri"/>
                <w:color w:val="000000"/>
                <w:sz w:val="18"/>
                <w:szCs w:val="18"/>
                <w:vertAlign w:val="subscript"/>
              </w:rPr>
              <w:t>4</w:t>
            </w:r>
            <w:r w:rsidRPr="00037D90">
              <w:rPr>
                <w:rFonts w:cs="Calibri"/>
                <w:color w:val="000000"/>
                <w:sz w:val="18"/>
                <w:szCs w:val="18"/>
              </w:rPr>
              <w:t>, N</w:t>
            </w:r>
            <w:r w:rsidRPr="00037D90">
              <w:rPr>
                <w:rFonts w:cs="Calibri"/>
                <w:color w:val="000000"/>
                <w:sz w:val="18"/>
                <w:szCs w:val="18"/>
                <w:vertAlign w:val="subscript"/>
              </w:rPr>
              <w:t>2</w:t>
            </w:r>
            <w:r w:rsidRPr="00037D90">
              <w:rPr>
                <w:rFonts w:cs="Calibri"/>
                <w:color w:val="000000"/>
                <w:sz w:val="18"/>
                <w:szCs w:val="18"/>
              </w:rPr>
              <w:t>O, PFCs, HFCs, SF</w:t>
            </w:r>
            <w:r w:rsidRPr="00037D90">
              <w:rPr>
                <w:rFonts w:cs="Calibri"/>
                <w:color w:val="000000"/>
                <w:sz w:val="18"/>
                <w:szCs w:val="18"/>
                <w:vertAlign w:val="subscript"/>
              </w:rPr>
              <w:t>6</w:t>
            </w:r>
          </w:p>
        </w:tc>
        <w:tc>
          <w:tcPr>
            <w:tcW w:w="1275" w:type="dxa"/>
          </w:tcPr>
          <w:p w14:paraId="05B81E26"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2008</w:t>
            </w:r>
          </w:p>
        </w:tc>
        <w:tc>
          <w:tcPr>
            <w:tcW w:w="1418" w:type="dxa"/>
          </w:tcPr>
          <w:p w14:paraId="03695BEB"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Environmental Protection Authority, Ministry for the Environment, Ministry for Primary Industries</w:t>
            </w:r>
          </w:p>
        </w:tc>
        <w:tc>
          <w:tcPr>
            <w:tcW w:w="992" w:type="dxa"/>
          </w:tcPr>
          <w:p w14:paraId="7BF7FE1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304</w:t>
            </w:r>
          </w:p>
        </w:tc>
        <w:tc>
          <w:tcPr>
            <w:tcW w:w="992" w:type="dxa"/>
          </w:tcPr>
          <w:p w14:paraId="73DCA42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485</w:t>
            </w:r>
          </w:p>
        </w:tc>
        <w:tc>
          <w:tcPr>
            <w:tcW w:w="964" w:type="dxa"/>
          </w:tcPr>
          <w:p w14:paraId="7291811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1,125</w:t>
            </w:r>
          </w:p>
        </w:tc>
      </w:tr>
      <w:tr w:rsidR="00A52B57" w:rsidRPr="00037D90" w14:paraId="099F0E16" w14:textId="77777777" w:rsidTr="00271C02">
        <w:trPr>
          <w:gridAfter w:val="1"/>
          <w:wAfter w:w="24" w:type="dxa"/>
        </w:trPr>
        <w:tc>
          <w:tcPr>
            <w:tcW w:w="1276" w:type="dxa"/>
          </w:tcPr>
          <w:p w14:paraId="0306D5BB"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New Zealand Emissions Trading Scheme (NZ ETS) – Impact on IPPU sector emissions</w:t>
            </w:r>
          </w:p>
        </w:tc>
        <w:tc>
          <w:tcPr>
            <w:tcW w:w="1559" w:type="dxa"/>
          </w:tcPr>
          <w:p w14:paraId="38421E88" w14:textId="77777777" w:rsidR="009B2872" w:rsidRPr="00037D90"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See row ‘New Zealand Emissions Trading Scheme (NZ ETS)’ for a description of this policy.</w:t>
            </w:r>
          </w:p>
        </w:tc>
        <w:tc>
          <w:tcPr>
            <w:tcW w:w="1418" w:type="dxa"/>
          </w:tcPr>
          <w:p w14:paraId="5B9A18B4"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See row ‘New Zealand Emissions Trading Scheme (NZ ETS)’ for the objectives of this policy.</w:t>
            </w:r>
          </w:p>
        </w:tc>
        <w:tc>
          <w:tcPr>
            <w:tcW w:w="992" w:type="dxa"/>
          </w:tcPr>
          <w:p w14:paraId="41B2A54E"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Regulatory, economic instrument</w:t>
            </w:r>
          </w:p>
        </w:tc>
        <w:tc>
          <w:tcPr>
            <w:tcW w:w="1129" w:type="dxa"/>
          </w:tcPr>
          <w:p w14:paraId="7D7C7B19" w14:textId="77777777" w:rsidR="009B2872" w:rsidRPr="003D5E37" w:rsidRDefault="009B2872" w:rsidP="004C6219">
            <w:pPr>
              <w:spacing w:before="40" w:after="40" w:line="240" w:lineRule="auto"/>
              <w:jc w:val="left"/>
              <w:rPr>
                <w:rFonts w:cs="Calibri"/>
                <w:color w:val="000000" w:themeColor="text1"/>
                <w:sz w:val="18"/>
                <w:szCs w:val="18"/>
              </w:rPr>
            </w:pPr>
            <w:r w:rsidRPr="003D5E37">
              <w:rPr>
                <w:rFonts w:cs="Calibri"/>
                <w:color w:val="000000" w:themeColor="text1"/>
                <w:sz w:val="18"/>
                <w:szCs w:val="18"/>
              </w:rPr>
              <w:t xml:space="preserve">Implemented </w:t>
            </w:r>
          </w:p>
        </w:tc>
        <w:tc>
          <w:tcPr>
            <w:tcW w:w="1281" w:type="dxa"/>
          </w:tcPr>
          <w:p w14:paraId="2B8B5F27" w14:textId="297F57F4" w:rsidR="009B2872" w:rsidRPr="00037D90"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Energy, Transport, Agriculture, IPPU, LULUCF, Waste management</w:t>
            </w:r>
          </w:p>
        </w:tc>
        <w:tc>
          <w:tcPr>
            <w:tcW w:w="1276" w:type="dxa"/>
          </w:tcPr>
          <w:p w14:paraId="1CCE1265"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CO</w:t>
            </w:r>
            <w:r w:rsidRPr="00037D90">
              <w:rPr>
                <w:rFonts w:cs="Calibri"/>
                <w:color w:val="000000"/>
                <w:sz w:val="18"/>
                <w:szCs w:val="18"/>
                <w:vertAlign w:val="subscript"/>
              </w:rPr>
              <w:t>2</w:t>
            </w:r>
            <w:r w:rsidRPr="00037D90">
              <w:rPr>
                <w:rFonts w:cs="Calibri"/>
                <w:color w:val="000000"/>
                <w:sz w:val="18"/>
                <w:szCs w:val="18"/>
              </w:rPr>
              <w:t>, CH</w:t>
            </w:r>
            <w:r w:rsidRPr="00037D90">
              <w:rPr>
                <w:rFonts w:cs="Calibri"/>
                <w:color w:val="000000"/>
                <w:sz w:val="18"/>
                <w:szCs w:val="18"/>
                <w:vertAlign w:val="subscript"/>
              </w:rPr>
              <w:t>4</w:t>
            </w:r>
            <w:r w:rsidRPr="00037D90">
              <w:rPr>
                <w:rFonts w:cs="Calibri"/>
                <w:color w:val="000000"/>
                <w:sz w:val="18"/>
                <w:szCs w:val="18"/>
              </w:rPr>
              <w:t>, N</w:t>
            </w:r>
            <w:r w:rsidRPr="00037D90">
              <w:rPr>
                <w:rFonts w:cs="Calibri"/>
                <w:color w:val="000000"/>
                <w:sz w:val="18"/>
                <w:szCs w:val="18"/>
                <w:vertAlign w:val="subscript"/>
              </w:rPr>
              <w:t>2</w:t>
            </w:r>
            <w:r w:rsidRPr="00037D90">
              <w:rPr>
                <w:rFonts w:cs="Calibri"/>
                <w:color w:val="000000"/>
                <w:sz w:val="18"/>
                <w:szCs w:val="18"/>
              </w:rPr>
              <w:t>O, PFCs, HFCs, SF</w:t>
            </w:r>
            <w:r w:rsidRPr="00037D90">
              <w:rPr>
                <w:rFonts w:cs="Calibri"/>
                <w:color w:val="000000"/>
                <w:sz w:val="18"/>
                <w:szCs w:val="18"/>
                <w:vertAlign w:val="subscript"/>
              </w:rPr>
              <w:t>6</w:t>
            </w:r>
          </w:p>
        </w:tc>
        <w:tc>
          <w:tcPr>
            <w:tcW w:w="1275" w:type="dxa"/>
          </w:tcPr>
          <w:p w14:paraId="28A45B26"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2008</w:t>
            </w:r>
          </w:p>
        </w:tc>
        <w:tc>
          <w:tcPr>
            <w:tcW w:w="1418" w:type="dxa"/>
          </w:tcPr>
          <w:p w14:paraId="44498BF5"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Environmental Protection Authority, Ministry for the Environment, Ministry for Primary Industries</w:t>
            </w:r>
          </w:p>
        </w:tc>
        <w:tc>
          <w:tcPr>
            <w:tcW w:w="992" w:type="dxa"/>
          </w:tcPr>
          <w:p w14:paraId="548B16F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163</w:t>
            </w:r>
          </w:p>
        </w:tc>
        <w:tc>
          <w:tcPr>
            <w:tcW w:w="992" w:type="dxa"/>
          </w:tcPr>
          <w:p w14:paraId="76FCB6D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215</w:t>
            </w:r>
          </w:p>
        </w:tc>
        <w:tc>
          <w:tcPr>
            <w:tcW w:w="964" w:type="dxa"/>
          </w:tcPr>
          <w:p w14:paraId="57FFC11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358</w:t>
            </w:r>
          </w:p>
        </w:tc>
      </w:tr>
      <w:tr w:rsidR="00A52B57" w:rsidRPr="00037D90" w14:paraId="18C06759" w14:textId="77777777" w:rsidTr="00271C02">
        <w:trPr>
          <w:gridAfter w:val="1"/>
          <w:wAfter w:w="24" w:type="dxa"/>
        </w:trPr>
        <w:tc>
          <w:tcPr>
            <w:tcW w:w="1276" w:type="dxa"/>
          </w:tcPr>
          <w:p w14:paraId="35EC1219" w14:textId="6DE82F35"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 xml:space="preserve">New Zealand Emissions Trading Scheme (NZ ETS) – Impact on </w:t>
            </w:r>
            <w:r w:rsidR="006666C6">
              <w:rPr>
                <w:rFonts w:cs="Calibri"/>
                <w:color w:val="000000"/>
                <w:sz w:val="18"/>
                <w:szCs w:val="18"/>
              </w:rPr>
              <w:t>W</w:t>
            </w:r>
            <w:r w:rsidRPr="00037D90">
              <w:rPr>
                <w:rFonts w:cs="Calibri"/>
                <w:color w:val="000000"/>
                <w:sz w:val="18"/>
                <w:szCs w:val="18"/>
              </w:rPr>
              <w:t>aste sector emissions</w:t>
            </w:r>
          </w:p>
        </w:tc>
        <w:tc>
          <w:tcPr>
            <w:tcW w:w="1559" w:type="dxa"/>
          </w:tcPr>
          <w:p w14:paraId="4DDCBC1B" w14:textId="77777777" w:rsidR="009B2872"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See row ‘New Zealand Emissions Trading Scheme (NZ ETS)’ for a description of this policy.</w:t>
            </w:r>
          </w:p>
          <w:p w14:paraId="3C7F1416" w14:textId="6A01B48F" w:rsidR="009B2872" w:rsidRPr="00037D90" w:rsidRDefault="00BF332D" w:rsidP="004C6219">
            <w:pPr>
              <w:spacing w:before="40" w:after="40" w:line="240" w:lineRule="auto"/>
              <w:jc w:val="left"/>
              <w:rPr>
                <w:rFonts w:cs="Calibri"/>
                <w:color w:val="000000" w:themeColor="text1"/>
                <w:sz w:val="18"/>
                <w:szCs w:val="18"/>
              </w:rPr>
            </w:pPr>
            <w:r w:rsidRPr="00011DC1">
              <w:rPr>
                <w:rFonts w:cs="Calibri"/>
                <w:color w:val="000000" w:themeColor="text1"/>
                <w:sz w:val="18"/>
                <w:szCs w:val="18"/>
              </w:rPr>
              <w:t>The estimates of GHG emissions reductions for this policy also include those from the National Environmental Standard for Air Quality.</w:t>
            </w:r>
          </w:p>
        </w:tc>
        <w:tc>
          <w:tcPr>
            <w:tcW w:w="1418" w:type="dxa"/>
          </w:tcPr>
          <w:p w14:paraId="72326303"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See row ‘New Zealand Emissions Trading Scheme (NZ ETS)’ for the objectives of this policy.</w:t>
            </w:r>
          </w:p>
        </w:tc>
        <w:tc>
          <w:tcPr>
            <w:tcW w:w="992" w:type="dxa"/>
          </w:tcPr>
          <w:p w14:paraId="120D4DD3"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Regulatory, economic instrument</w:t>
            </w:r>
          </w:p>
        </w:tc>
        <w:tc>
          <w:tcPr>
            <w:tcW w:w="1129" w:type="dxa"/>
          </w:tcPr>
          <w:p w14:paraId="236F4224" w14:textId="77777777" w:rsidR="009B2872" w:rsidRPr="003D5E37" w:rsidRDefault="009B2872" w:rsidP="004C6219">
            <w:pPr>
              <w:spacing w:before="40" w:after="40" w:line="240" w:lineRule="auto"/>
              <w:jc w:val="left"/>
              <w:rPr>
                <w:rFonts w:cs="Calibri"/>
                <w:color w:val="000000" w:themeColor="text1"/>
                <w:sz w:val="18"/>
                <w:szCs w:val="18"/>
              </w:rPr>
            </w:pPr>
            <w:r w:rsidRPr="003D5E37">
              <w:rPr>
                <w:rFonts w:cs="Calibri"/>
                <w:color w:val="000000" w:themeColor="text1"/>
                <w:sz w:val="18"/>
                <w:szCs w:val="18"/>
              </w:rPr>
              <w:t xml:space="preserve">Implemented </w:t>
            </w:r>
          </w:p>
        </w:tc>
        <w:tc>
          <w:tcPr>
            <w:tcW w:w="1281" w:type="dxa"/>
          </w:tcPr>
          <w:p w14:paraId="7E49122D" w14:textId="155DE6E9" w:rsidR="009B2872" w:rsidRPr="00037D90"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Energy, Transport, Agriculture, IPPU, LULUCF, Waste management</w:t>
            </w:r>
          </w:p>
        </w:tc>
        <w:tc>
          <w:tcPr>
            <w:tcW w:w="1276" w:type="dxa"/>
          </w:tcPr>
          <w:p w14:paraId="544B43E7"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CO</w:t>
            </w:r>
            <w:r w:rsidRPr="00037D90">
              <w:rPr>
                <w:rFonts w:cs="Calibri"/>
                <w:color w:val="000000"/>
                <w:sz w:val="18"/>
                <w:szCs w:val="18"/>
                <w:vertAlign w:val="subscript"/>
              </w:rPr>
              <w:t>2</w:t>
            </w:r>
            <w:r w:rsidRPr="00037D90">
              <w:rPr>
                <w:rFonts w:cs="Calibri"/>
                <w:color w:val="000000"/>
                <w:sz w:val="18"/>
                <w:szCs w:val="18"/>
              </w:rPr>
              <w:t>, CH</w:t>
            </w:r>
            <w:r w:rsidRPr="00037D90">
              <w:rPr>
                <w:rFonts w:cs="Calibri"/>
                <w:color w:val="000000"/>
                <w:sz w:val="18"/>
                <w:szCs w:val="18"/>
                <w:vertAlign w:val="subscript"/>
              </w:rPr>
              <w:t>4</w:t>
            </w:r>
            <w:r w:rsidRPr="00037D90">
              <w:rPr>
                <w:rFonts w:cs="Calibri"/>
                <w:color w:val="000000"/>
                <w:sz w:val="18"/>
                <w:szCs w:val="18"/>
              </w:rPr>
              <w:t>, N</w:t>
            </w:r>
            <w:r w:rsidRPr="00037D90">
              <w:rPr>
                <w:rFonts w:cs="Calibri"/>
                <w:color w:val="000000"/>
                <w:sz w:val="18"/>
                <w:szCs w:val="18"/>
                <w:vertAlign w:val="subscript"/>
              </w:rPr>
              <w:t>2</w:t>
            </w:r>
            <w:r w:rsidRPr="00037D90">
              <w:rPr>
                <w:rFonts w:cs="Calibri"/>
                <w:color w:val="000000"/>
                <w:sz w:val="18"/>
                <w:szCs w:val="18"/>
              </w:rPr>
              <w:t>O, PFCs, HFCs, SF</w:t>
            </w:r>
            <w:r w:rsidRPr="00037D90">
              <w:rPr>
                <w:rFonts w:cs="Calibri"/>
                <w:color w:val="000000"/>
                <w:sz w:val="18"/>
                <w:szCs w:val="18"/>
                <w:vertAlign w:val="subscript"/>
              </w:rPr>
              <w:t>6</w:t>
            </w:r>
          </w:p>
        </w:tc>
        <w:tc>
          <w:tcPr>
            <w:tcW w:w="1275" w:type="dxa"/>
          </w:tcPr>
          <w:p w14:paraId="6678E2FC"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2008</w:t>
            </w:r>
          </w:p>
        </w:tc>
        <w:tc>
          <w:tcPr>
            <w:tcW w:w="1418" w:type="dxa"/>
          </w:tcPr>
          <w:p w14:paraId="46A8D73B"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Environmental Protection Authority, Ministry for the Environment, Ministry for Primary Industries</w:t>
            </w:r>
          </w:p>
        </w:tc>
        <w:tc>
          <w:tcPr>
            <w:tcW w:w="992" w:type="dxa"/>
          </w:tcPr>
          <w:p w14:paraId="5655CBA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669</w:t>
            </w:r>
          </w:p>
        </w:tc>
        <w:tc>
          <w:tcPr>
            <w:tcW w:w="992" w:type="dxa"/>
          </w:tcPr>
          <w:p w14:paraId="34736C2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629</w:t>
            </w:r>
          </w:p>
        </w:tc>
        <w:tc>
          <w:tcPr>
            <w:tcW w:w="964" w:type="dxa"/>
          </w:tcPr>
          <w:p w14:paraId="4B084EB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706</w:t>
            </w:r>
          </w:p>
        </w:tc>
      </w:tr>
      <w:tr w:rsidR="00A52B57" w:rsidRPr="00037D90" w14:paraId="16991350" w14:textId="77777777" w:rsidTr="00271C02">
        <w:trPr>
          <w:gridAfter w:val="1"/>
          <w:wAfter w:w="24" w:type="dxa"/>
        </w:trPr>
        <w:tc>
          <w:tcPr>
            <w:tcW w:w="1276" w:type="dxa"/>
          </w:tcPr>
          <w:p w14:paraId="284982E5"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New Zealand Emissions Trading Scheme (NZ ETS) - LULUCF</w:t>
            </w:r>
          </w:p>
        </w:tc>
        <w:tc>
          <w:tcPr>
            <w:tcW w:w="1559" w:type="dxa"/>
          </w:tcPr>
          <w:p w14:paraId="272F628F" w14:textId="77777777" w:rsidR="009B2872" w:rsidRPr="00037D90" w:rsidRDefault="009B2872" w:rsidP="004C6219">
            <w:pPr>
              <w:spacing w:before="40" w:after="40" w:line="240" w:lineRule="auto"/>
              <w:jc w:val="left"/>
              <w:rPr>
                <w:rFonts w:cs="Calibri"/>
                <w:color w:val="000000" w:themeColor="text1"/>
                <w:sz w:val="18"/>
                <w:szCs w:val="18"/>
              </w:rPr>
            </w:pPr>
            <w:r w:rsidRPr="00037D90">
              <w:rPr>
                <w:rFonts w:cs="Calibri"/>
                <w:sz w:val="18"/>
                <w:szCs w:val="18"/>
              </w:rPr>
              <w:t>The NZ ETS is an important tool for meeting domestic and international climate change targets. Owners of post-1989 eligible forest can earn NZUs for carbon sequestered. There are also liabilities for forest carbon loss, via harvesting or deforestation.</w:t>
            </w:r>
          </w:p>
        </w:tc>
        <w:tc>
          <w:tcPr>
            <w:tcW w:w="1418" w:type="dxa"/>
          </w:tcPr>
          <w:p w14:paraId="5FE4D9D8"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Promote afforestation and disincentivise planted forest deforestation.</w:t>
            </w:r>
          </w:p>
        </w:tc>
        <w:tc>
          <w:tcPr>
            <w:tcW w:w="992" w:type="dxa"/>
          </w:tcPr>
          <w:p w14:paraId="698621C3"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Economic instrument</w:t>
            </w:r>
          </w:p>
        </w:tc>
        <w:tc>
          <w:tcPr>
            <w:tcW w:w="1129" w:type="dxa"/>
          </w:tcPr>
          <w:p w14:paraId="59CA1E10" w14:textId="77777777" w:rsidR="009B2872" w:rsidRPr="003D5E37" w:rsidRDefault="009B2872" w:rsidP="004C6219">
            <w:pPr>
              <w:spacing w:before="40" w:after="40" w:line="240" w:lineRule="auto"/>
              <w:jc w:val="left"/>
              <w:rPr>
                <w:rFonts w:cs="Calibri"/>
                <w:color w:val="000000" w:themeColor="text1"/>
                <w:sz w:val="18"/>
                <w:szCs w:val="18"/>
              </w:rPr>
            </w:pPr>
            <w:r w:rsidRPr="003D5E37">
              <w:rPr>
                <w:rFonts w:cs="Calibri"/>
                <w:sz w:val="18"/>
                <w:szCs w:val="18"/>
              </w:rPr>
              <w:t xml:space="preserve">Implemented </w:t>
            </w:r>
          </w:p>
        </w:tc>
        <w:tc>
          <w:tcPr>
            <w:tcW w:w="1281" w:type="dxa"/>
          </w:tcPr>
          <w:p w14:paraId="39F03F0E" w14:textId="77777777" w:rsidR="009B2872" w:rsidRPr="00037D90" w:rsidRDefault="009B2872" w:rsidP="004C6219">
            <w:pPr>
              <w:spacing w:before="40" w:after="40" w:line="240" w:lineRule="auto"/>
              <w:jc w:val="left"/>
              <w:rPr>
                <w:rFonts w:cs="Calibri"/>
                <w:color w:val="000000" w:themeColor="text1"/>
                <w:sz w:val="18"/>
                <w:szCs w:val="18"/>
              </w:rPr>
            </w:pPr>
            <w:r w:rsidRPr="00037D90">
              <w:rPr>
                <w:rFonts w:cs="Calibri"/>
                <w:sz w:val="18"/>
                <w:szCs w:val="18"/>
              </w:rPr>
              <w:t>LULUCF</w:t>
            </w:r>
          </w:p>
        </w:tc>
        <w:tc>
          <w:tcPr>
            <w:tcW w:w="1276" w:type="dxa"/>
          </w:tcPr>
          <w:p w14:paraId="50AFBD7F"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0105A0EF"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2008</w:t>
            </w:r>
          </w:p>
        </w:tc>
        <w:tc>
          <w:tcPr>
            <w:tcW w:w="1418" w:type="dxa"/>
          </w:tcPr>
          <w:p w14:paraId="4FFBA499"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Ministry for Primary Industries</w:t>
            </w:r>
          </w:p>
        </w:tc>
        <w:tc>
          <w:tcPr>
            <w:tcW w:w="992" w:type="dxa"/>
          </w:tcPr>
          <w:p w14:paraId="03E66F2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299</w:t>
            </w:r>
          </w:p>
        </w:tc>
        <w:tc>
          <w:tcPr>
            <w:tcW w:w="992" w:type="dxa"/>
          </w:tcPr>
          <w:p w14:paraId="3A42195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–104</w:t>
            </w:r>
          </w:p>
        </w:tc>
        <w:tc>
          <w:tcPr>
            <w:tcW w:w="964" w:type="dxa"/>
          </w:tcPr>
          <w:p w14:paraId="14D3A62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10,440</w:t>
            </w:r>
          </w:p>
        </w:tc>
      </w:tr>
      <w:tr w:rsidR="008C018E" w:rsidRPr="00037D90" w14:paraId="3A52D2B2" w14:textId="77777777" w:rsidTr="00271C02">
        <w:trPr>
          <w:gridAfter w:val="1"/>
          <w:wAfter w:w="24" w:type="dxa"/>
        </w:trPr>
        <w:tc>
          <w:tcPr>
            <w:tcW w:w="1276" w:type="dxa"/>
          </w:tcPr>
          <w:p w14:paraId="098696F1"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First emissions reduction plan</w:t>
            </w:r>
          </w:p>
        </w:tc>
        <w:tc>
          <w:tcPr>
            <w:tcW w:w="1559" w:type="dxa"/>
          </w:tcPr>
          <w:p w14:paraId="0B595BD8" w14:textId="6FD08DE8" w:rsidR="009B2872" w:rsidRPr="00037D90" w:rsidRDefault="009B2872" w:rsidP="004C6219">
            <w:pPr>
              <w:spacing w:before="40" w:after="40" w:line="240" w:lineRule="auto"/>
              <w:jc w:val="left"/>
              <w:rPr>
                <w:rFonts w:cs="Calibri"/>
                <w:sz w:val="18"/>
                <w:szCs w:val="18"/>
              </w:rPr>
            </w:pPr>
            <w:r w:rsidRPr="00037D90">
              <w:rPr>
                <w:rFonts w:cs="Calibri"/>
                <w:color w:val="000000"/>
                <w:sz w:val="18"/>
                <w:szCs w:val="18"/>
              </w:rPr>
              <w:t xml:space="preserve">The policies and strategies in the </w:t>
            </w:r>
            <w:r w:rsidR="00393248">
              <w:rPr>
                <w:rFonts w:cs="Calibri"/>
                <w:color w:val="000000"/>
                <w:sz w:val="18"/>
                <w:szCs w:val="18"/>
              </w:rPr>
              <w:t xml:space="preserve">first </w:t>
            </w:r>
            <w:r w:rsidRPr="00037D90">
              <w:rPr>
                <w:rFonts w:cs="Calibri"/>
                <w:color w:val="000000"/>
                <w:sz w:val="18"/>
                <w:szCs w:val="18"/>
              </w:rPr>
              <w:t>emissions reduction plan form a package with an aim to reduce emissions in key sectors of the economy, including sector-specific policies.</w:t>
            </w:r>
          </w:p>
        </w:tc>
        <w:tc>
          <w:tcPr>
            <w:tcW w:w="1418" w:type="dxa"/>
          </w:tcPr>
          <w:p w14:paraId="7E251B19" w14:textId="77777777" w:rsidR="009B2872" w:rsidRPr="00037D90" w:rsidRDefault="009B2872" w:rsidP="004C6219">
            <w:pPr>
              <w:spacing w:before="40" w:after="40" w:line="240" w:lineRule="auto"/>
              <w:jc w:val="left"/>
              <w:rPr>
                <w:rFonts w:cs="Calibri"/>
                <w:sz w:val="18"/>
                <w:szCs w:val="18"/>
              </w:rPr>
            </w:pPr>
            <w:r w:rsidRPr="00037D90">
              <w:rPr>
                <w:rFonts w:cs="Calibri"/>
                <w:color w:val="000000"/>
                <w:sz w:val="18"/>
                <w:szCs w:val="18"/>
              </w:rPr>
              <w:t xml:space="preserve">Sets out over 300 actions, policies and strategies for meeting New Zealand’s first emissions budget. </w:t>
            </w:r>
          </w:p>
        </w:tc>
        <w:tc>
          <w:tcPr>
            <w:tcW w:w="992" w:type="dxa"/>
          </w:tcPr>
          <w:p w14:paraId="708D7FAC" w14:textId="77777777" w:rsidR="009B2872" w:rsidRPr="00037D90" w:rsidRDefault="009B2872" w:rsidP="004C6219">
            <w:pPr>
              <w:spacing w:before="40" w:after="40" w:line="240" w:lineRule="auto"/>
              <w:jc w:val="left"/>
              <w:rPr>
                <w:rFonts w:cs="Calibri"/>
                <w:sz w:val="18"/>
                <w:szCs w:val="18"/>
              </w:rPr>
            </w:pPr>
            <w:r w:rsidRPr="00037D90">
              <w:rPr>
                <w:rFonts w:cs="Calibri"/>
                <w:color w:val="000000" w:themeColor="text1"/>
                <w:sz w:val="18"/>
                <w:szCs w:val="18"/>
              </w:rPr>
              <w:t>Regulatory, economic instrument, other</w:t>
            </w:r>
          </w:p>
        </w:tc>
        <w:tc>
          <w:tcPr>
            <w:tcW w:w="1129" w:type="dxa"/>
          </w:tcPr>
          <w:p w14:paraId="7F67D168" w14:textId="77777777" w:rsidR="009B2872" w:rsidRPr="003D5E37" w:rsidRDefault="009B2872" w:rsidP="004C6219">
            <w:pPr>
              <w:spacing w:before="40" w:after="40" w:line="240" w:lineRule="auto"/>
              <w:jc w:val="left"/>
              <w:rPr>
                <w:rFonts w:cs="Calibri"/>
                <w:sz w:val="18"/>
                <w:szCs w:val="18"/>
              </w:rPr>
            </w:pPr>
            <w:r w:rsidRPr="003D5E37">
              <w:rPr>
                <w:rFonts w:cs="Calibri"/>
                <w:color w:val="000000"/>
                <w:sz w:val="18"/>
                <w:szCs w:val="18"/>
              </w:rPr>
              <w:t>Implemented</w:t>
            </w:r>
          </w:p>
        </w:tc>
        <w:tc>
          <w:tcPr>
            <w:tcW w:w="1281" w:type="dxa"/>
          </w:tcPr>
          <w:p w14:paraId="4CD98096" w14:textId="77777777" w:rsidR="009B2872" w:rsidRPr="00037D90" w:rsidRDefault="009B2872" w:rsidP="004C6219">
            <w:pPr>
              <w:spacing w:before="40" w:after="40" w:line="240" w:lineRule="auto"/>
              <w:jc w:val="left"/>
              <w:rPr>
                <w:rFonts w:cs="Calibri"/>
                <w:sz w:val="18"/>
                <w:szCs w:val="18"/>
              </w:rPr>
            </w:pPr>
            <w:r w:rsidRPr="00037D90">
              <w:rPr>
                <w:rFonts w:cs="Calibri"/>
                <w:color w:val="000000"/>
                <w:sz w:val="18"/>
                <w:szCs w:val="18"/>
              </w:rPr>
              <w:t>Energy, Transport, Agriculture, Waste, IPPU, LULUCF</w:t>
            </w:r>
          </w:p>
        </w:tc>
        <w:tc>
          <w:tcPr>
            <w:tcW w:w="1276" w:type="dxa"/>
          </w:tcPr>
          <w:p w14:paraId="4F26D36E" w14:textId="77777777" w:rsidR="009B2872" w:rsidRPr="00037D90" w:rsidRDefault="009B2872" w:rsidP="004C6219">
            <w:pPr>
              <w:spacing w:before="40" w:after="40" w:line="240" w:lineRule="auto"/>
              <w:jc w:val="left"/>
              <w:rPr>
                <w:rFonts w:cs="Calibri"/>
                <w:sz w:val="18"/>
                <w:szCs w:val="18"/>
              </w:rPr>
            </w:pPr>
            <w:r w:rsidRPr="00037D90">
              <w:rPr>
                <w:rFonts w:cs="Calibri"/>
                <w:color w:val="000000"/>
                <w:sz w:val="18"/>
                <w:szCs w:val="18"/>
              </w:rPr>
              <w:t>CO</w:t>
            </w:r>
            <w:r w:rsidRPr="00037D90">
              <w:rPr>
                <w:rFonts w:cs="Calibri"/>
                <w:color w:val="000000"/>
                <w:sz w:val="18"/>
                <w:szCs w:val="18"/>
                <w:vertAlign w:val="subscript"/>
              </w:rPr>
              <w:t>2</w:t>
            </w:r>
            <w:r w:rsidRPr="00037D90">
              <w:rPr>
                <w:rFonts w:cs="Calibri"/>
                <w:color w:val="000000"/>
                <w:sz w:val="18"/>
                <w:szCs w:val="18"/>
              </w:rPr>
              <w:t>, CH</w:t>
            </w:r>
            <w:r w:rsidRPr="00037D90">
              <w:rPr>
                <w:rFonts w:cs="Calibri"/>
                <w:color w:val="000000"/>
                <w:sz w:val="18"/>
                <w:szCs w:val="18"/>
                <w:vertAlign w:val="subscript"/>
              </w:rPr>
              <w:t>4</w:t>
            </w:r>
            <w:r w:rsidRPr="00037D90">
              <w:rPr>
                <w:rFonts w:cs="Calibri"/>
                <w:color w:val="000000"/>
                <w:sz w:val="18"/>
                <w:szCs w:val="18"/>
              </w:rPr>
              <w:t>, N</w:t>
            </w:r>
            <w:r w:rsidRPr="00037D90">
              <w:rPr>
                <w:rFonts w:cs="Calibri"/>
                <w:color w:val="000000"/>
                <w:sz w:val="18"/>
                <w:szCs w:val="18"/>
                <w:vertAlign w:val="subscript"/>
              </w:rPr>
              <w:t>2</w:t>
            </w:r>
            <w:r w:rsidRPr="00037D90">
              <w:rPr>
                <w:rFonts w:cs="Calibri"/>
                <w:color w:val="000000"/>
                <w:sz w:val="18"/>
                <w:szCs w:val="18"/>
              </w:rPr>
              <w:t>O, PFCs, HFCs, SF</w:t>
            </w:r>
            <w:r w:rsidRPr="00037D90">
              <w:rPr>
                <w:rFonts w:cs="Calibri"/>
                <w:color w:val="000000"/>
                <w:sz w:val="18"/>
                <w:szCs w:val="18"/>
                <w:vertAlign w:val="subscript"/>
              </w:rPr>
              <w:t>6</w:t>
            </w:r>
          </w:p>
        </w:tc>
        <w:tc>
          <w:tcPr>
            <w:tcW w:w="1275" w:type="dxa"/>
          </w:tcPr>
          <w:p w14:paraId="1F8A141B" w14:textId="77777777" w:rsidR="009B2872" w:rsidRPr="00037D90" w:rsidRDefault="009B2872" w:rsidP="004C6219">
            <w:pPr>
              <w:spacing w:before="40" w:after="40" w:line="240" w:lineRule="auto"/>
              <w:jc w:val="left"/>
              <w:rPr>
                <w:rFonts w:cs="Calibri"/>
                <w:sz w:val="18"/>
                <w:szCs w:val="18"/>
              </w:rPr>
            </w:pPr>
            <w:r w:rsidRPr="00037D90">
              <w:rPr>
                <w:rFonts w:cs="Calibri"/>
                <w:color w:val="000000"/>
                <w:sz w:val="18"/>
                <w:szCs w:val="18"/>
              </w:rPr>
              <w:t>2022</w:t>
            </w:r>
          </w:p>
        </w:tc>
        <w:tc>
          <w:tcPr>
            <w:tcW w:w="1418" w:type="dxa"/>
          </w:tcPr>
          <w:p w14:paraId="0F320DED" w14:textId="2C8E2096" w:rsidR="009B2872" w:rsidRPr="00037D90" w:rsidRDefault="009B2872" w:rsidP="004C6219">
            <w:pPr>
              <w:spacing w:before="40" w:after="40" w:line="240" w:lineRule="auto"/>
              <w:jc w:val="left"/>
              <w:rPr>
                <w:rFonts w:cs="Calibri"/>
                <w:sz w:val="18"/>
                <w:szCs w:val="18"/>
              </w:rPr>
            </w:pPr>
            <w:r w:rsidRPr="00037D90">
              <w:rPr>
                <w:rFonts w:cs="Calibri"/>
                <w:color w:val="000000"/>
                <w:sz w:val="18"/>
                <w:szCs w:val="18"/>
              </w:rPr>
              <w:t>Ministry for the Environment, Ministry for Primary Industries, Ministry of Transport, Ministry of Business, Innovation and Employment, The New Zealand Treasury, Ministry of Foreign Affairs and Trade, Ministry of Social Development, Ministry of Housing and Urban Development, Department of Conservation, Energy Efficiency and Conversation Authority, NZ Transport Agency, Kāinga Ora, Te Arawhiti, Te Puni Kōkiri, the New Zealand Infrastructure Commission, Department of Internal Affairs</w:t>
            </w:r>
          </w:p>
        </w:tc>
        <w:tc>
          <w:tcPr>
            <w:tcW w:w="992" w:type="dxa"/>
          </w:tcPr>
          <w:p w14:paraId="0E4D06D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 NE</w:t>
            </w:r>
          </w:p>
        </w:tc>
        <w:tc>
          <w:tcPr>
            <w:tcW w:w="992" w:type="dxa"/>
          </w:tcPr>
          <w:p w14:paraId="3C0BC2A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2A37D0D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9B2872" w:rsidRPr="00037D90" w14:paraId="70D0404E" w14:textId="77777777" w:rsidTr="004C6219">
        <w:trPr>
          <w:gridAfter w:val="1"/>
          <w:wAfter w:w="24" w:type="dxa"/>
        </w:trPr>
        <w:tc>
          <w:tcPr>
            <w:tcW w:w="14572" w:type="dxa"/>
            <w:gridSpan w:val="12"/>
            <w:shd w:val="clear" w:color="auto" w:fill="D2DDE1" w:themeFill="background2"/>
          </w:tcPr>
          <w:p w14:paraId="1669B84E" w14:textId="77777777" w:rsidR="009B2872" w:rsidRPr="003D5E37" w:rsidRDefault="009B2872" w:rsidP="004C6219">
            <w:pPr>
              <w:spacing w:before="40" w:after="40" w:line="240" w:lineRule="auto"/>
              <w:jc w:val="left"/>
              <w:rPr>
                <w:rFonts w:cs="Calibri"/>
                <w:b/>
                <w:sz w:val="18"/>
                <w:szCs w:val="18"/>
              </w:rPr>
            </w:pPr>
            <w:r w:rsidRPr="003D5E37">
              <w:rPr>
                <w:rFonts w:cs="Calibri"/>
                <w:b/>
                <w:sz w:val="18"/>
                <w:szCs w:val="18"/>
              </w:rPr>
              <w:t>Funding and finance initiatives</w:t>
            </w:r>
          </w:p>
        </w:tc>
      </w:tr>
      <w:tr w:rsidR="008C018E" w:rsidRPr="00037D90" w14:paraId="5BB2F5D7" w14:textId="77777777" w:rsidTr="00271C02">
        <w:trPr>
          <w:gridAfter w:val="1"/>
          <w:wAfter w:w="24" w:type="dxa"/>
        </w:trPr>
        <w:tc>
          <w:tcPr>
            <w:tcW w:w="1276" w:type="dxa"/>
          </w:tcPr>
          <w:p w14:paraId="003FE47B"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New Zealand’s Sovereign Green Bond Programme</w:t>
            </w:r>
          </w:p>
        </w:tc>
        <w:tc>
          <w:tcPr>
            <w:tcW w:w="1559" w:type="dxa"/>
          </w:tcPr>
          <w:p w14:paraId="2E2CE4C7"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lang w:eastAsia="en-US"/>
              </w:rPr>
              <w:t>Green Bonds provide financing for government expenditure with positive climate and environmental outcomes. Design of the Green Bond Programme has been informed by international best practice and incorporates New Zealand-specific elements.</w:t>
            </w:r>
          </w:p>
        </w:tc>
        <w:tc>
          <w:tcPr>
            <w:tcW w:w="1418" w:type="dxa"/>
          </w:tcPr>
          <w:p w14:paraId="0B517293"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lang w:eastAsia="en-US"/>
              </w:rPr>
              <w:t xml:space="preserve">Finance or refinance specific government projects with positive climate and environmental government impacts. </w:t>
            </w:r>
          </w:p>
        </w:tc>
        <w:tc>
          <w:tcPr>
            <w:tcW w:w="992" w:type="dxa"/>
          </w:tcPr>
          <w:p w14:paraId="4EA52FD1"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lang w:eastAsia="en-US"/>
              </w:rPr>
              <w:t>Economic instrument</w:t>
            </w:r>
          </w:p>
        </w:tc>
        <w:tc>
          <w:tcPr>
            <w:tcW w:w="1129" w:type="dxa"/>
          </w:tcPr>
          <w:p w14:paraId="32284A88" w14:textId="77777777" w:rsidR="009B2872" w:rsidRPr="003D5E37" w:rsidRDefault="009B2872" w:rsidP="004C6219">
            <w:pPr>
              <w:spacing w:before="40" w:after="40" w:line="240" w:lineRule="auto"/>
              <w:jc w:val="left"/>
              <w:rPr>
                <w:rFonts w:cs="Calibri"/>
                <w:sz w:val="18"/>
                <w:szCs w:val="18"/>
                <w:lang w:eastAsia="en-US"/>
              </w:rPr>
            </w:pPr>
            <w:r w:rsidRPr="003D5E37">
              <w:rPr>
                <w:rFonts w:cs="Calibri"/>
                <w:sz w:val="18"/>
                <w:szCs w:val="18"/>
                <w:lang w:eastAsia="en-US"/>
              </w:rPr>
              <w:t>Implemented</w:t>
            </w:r>
          </w:p>
        </w:tc>
        <w:tc>
          <w:tcPr>
            <w:tcW w:w="1281" w:type="dxa"/>
          </w:tcPr>
          <w:p w14:paraId="4EC00292"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lang w:eastAsia="en-US"/>
              </w:rPr>
              <w:t>Energy, Transport, Agriculture, LULUCF, Waste management</w:t>
            </w:r>
          </w:p>
        </w:tc>
        <w:tc>
          <w:tcPr>
            <w:tcW w:w="1276" w:type="dxa"/>
          </w:tcPr>
          <w:p w14:paraId="372F7999"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color w:val="000000"/>
                <w:sz w:val="18"/>
                <w:szCs w:val="18"/>
              </w:rPr>
              <w:t>CO</w:t>
            </w:r>
            <w:r w:rsidRPr="00037D90">
              <w:rPr>
                <w:rFonts w:cs="Calibri"/>
                <w:color w:val="000000"/>
                <w:sz w:val="18"/>
                <w:szCs w:val="18"/>
                <w:vertAlign w:val="subscript"/>
              </w:rPr>
              <w:t>2</w:t>
            </w:r>
            <w:r w:rsidRPr="00037D90">
              <w:rPr>
                <w:rFonts w:cs="Calibri"/>
                <w:color w:val="000000"/>
                <w:sz w:val="18"/>
                <w:szCs w:val="18"/>
              </w:rPr>
              <w:t>, CH</w:t>
            </w:r>
            <w:r w:rsidRPr="00037D90">
              <w:rPr>
                <w:rFonts w:cs="Calibri"/>
                <w:color w:val="000000"/>
                <w:sz w:val="18"/>
                <w:szCs w:val="18"/>
                <w:vertAlign w:val="subscript"/>
              </w:rPr>
              <w:t>4</w:t>
            </w:r>
            <w:r w:rsidRPr="00037D90">
              <w:rPr>
                <w:rFonts w:cs="Calibri"/>
                <w:color w:val="000000"/>
                <w:sz w:val="18"/>
                <w:szCs w:val="18"/>
              </w:rPr>
              <w:t>, N</w:t>
            </w:r>
            <w:r w:rsidRPr="00037D90">
              <w:rPr>
                <w:rFonts w:cs="Calibri"/>
                <w:color w:val="000000"/>
                <w:sz w:val="18"/>
                <w:szCs w:val="18"/>
                <w:vertAlign w:val="subscript"/>
              </w:rPr>
              <w:t>2</w:t>
            </w:r>
            <w:r w:rsidRPr="00037D90">
              <w:rPr>
                <w:rFonts w:cs="Calibri"/>
                <w:color w:val="000000"/>
                <w:sz w:val="18"/>
                <w:szCs w:val="18"/>
              </w:rPr>
              <w:t>O, PFCs, HFCs, SF</w:t>
            </w:r>
            <w:r w:rsidRPr="00037D90">
              <w:rPr>
                <w:rFonts w:cs="Calibri"/>
                <w:color w:val="000000"/>
                <w:sz w:val="18"/>
                <w:szCs w:val="18"/>
                <w:vertAlign w:val="subscript"/>
              </w:rPr>
              <w:t>6</w:t>
            </w:r>
          </w:p>
        </w:tc>
        <w:tc>
          <w:tcPr>
            <w:tcW w:w="1275" w:type="dxa"/>
          </w:tcPr>
          <w:p w14:paraId="3358C544"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lang w:eastAsia="en-US"/>
              </w:rPr>
              <w:t>2022</w:t>
            </w:r>
          </w:p>
        </w:tc>
        <w:tc>
          <w:tcPr>
            <w:tcW w:w="1418" w:type="dxa"/>
          </w:tcPr>
          <w:p w14:paraId="6F947DA5"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lang w:eastAsia="en-US"/>
              </w:rPr>
              <w:t>The New Zealand Treasury</w:t>
            </w:r>
          </w:p>
        </w:tc>
        <w:tc>
          <w:tcPr>
            <w:tcW w:w="992" w:type="dxa"/>
          </w:tcPr>
          <w:p w14:paraId="2EA508C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0C4E41B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313BBC4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361478" w:rsidRPr="00037D90" w14:paraId="25C0EA6C" w14:textId="77777777" w:rsidTr="00271C02">
        <w:trPr>
          <w:gridAfter w:val="1"/>
          <w:wAfter w:w="24" w:type="dxa"/>
        </w:trPr>
        <w:tc>
          <w:tcPr>
            <w:tcW w:w="1276" w:type="dxa"/>
          </w:tcPr>
          <w:p w14:paraId="7B8E1138"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lang w:eastAsia="en-US"/>
              </w:rPr>
              <w:t xml:space="preserve">New Zealand Green Investment Finance Limited </w:t>
            </w:r>
          </w:p>
        </w:tc>
        <w:tc>
          <w:tcPr>
            <w:tcW w:w="1559" w:type="dxa"/>
          </w:tcPr>
          <w:p w14:paraId="14378290"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 xml:space="preserve">This government-owned entity has the objective of accelerating emissions reduction in New Zealand by investing in climate-mitigating technologies. </w:t>
            </w:r>
          </w:p>
        </w:tc>
        <w:tc>
          <w:tcPr>
            <w:tcW w:w="1418" w:type="dxa"/>
          </w:tcPr>
          <w:p w14:paraId="30989379"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lang w:eastAsia="en-US"/>
              </w:rPr>
              <w:t>Invest in climate-mitigating technologies.</w:t>
            </w:r>
          </w:p>
          <w:p w14:paraId="685E5588" w14:textId="77777777" w:rsidR="009B2872" w:rsidRPr="00037D90" w:rsidRDefault="009B2872" w:rsidP="004C6219">
            <w:pPr>
              <w:spacing w:before="40" w:after="40" w:line="240" w:lineRule="auto"/>
              <w:jc w:val="left"/>
              <w:rPr>
                <w:rFonts w:cs="Calibri"/>
                <w:color w:val="000000"/>
                <w:sz w:val="18"/>
                <w:szCs w:val="18"/>
              </w:rPr>
            </w:pPr>
          </w:p>
        </w:tc>
        <w:tc>
          <w:tcPr>
            <w:tcW w:w="992" w:type="dxa"/>
          </w:tcPr>
          <w:p w14:paraId="3AC8348A" w14:textId="77777777" w:rsidR="009B2872" w:rsidRDefault="009B2872" w:rsidP="004C6219">
            <w:pPr>
              <w:spacing w:before="40" w:after="40" w:line="240" w:lineRule="auto"/>
              <w:jc w:val="left"/>
              <w:rPr>
                <w:rFonts w:cs="Calibri"/>
                <w:sz w:val="18"/>
                <w:szCs w:val="18"/>
                <w:lang w:eastAsia="en-US"/>
              </w:rPr>
            </w:pPr>
            <w:r w:rsidRPr="00037D90">
              <w:rPr>
                <w:rFonts w:cs="Calibri"/>
                <w:sz w:val="18"/>
                <w:szCs w:val="18"/>
                <w:lang w:eastAsia="en-US"/>
              </w:rPr>
              <w:t>Economic instrument</w:t>
            </w:r>
          </w:p>
          <w:p w14:paraId="330A551A" w14:textId="77777777" w:rsidR="0002236F" w:rsidRPr="00E81F20" w:rsidRDefault="0002236F" w:rsidP="00E81F20">
            <w:pPr>
              <w:rPr>
                <w:rFonts w:cs="Calibri"/>
                <w:sz w:val="18"/>
                <w:szCs w:val="18"/>
              </w:rPr>
            </w:pPr>
          </w:p>
          <w:p w14:paraId="060434AD" w14:textId="7BD046E2" w:rsidR="0002236F" w:rsidRPr="00E81F20" w:rsidRDefault="0002236F" w:rsidP="00E81F20">
            <w:pPr>
              <w:rPr>
                <w:rFonts w:cs="Calibri"/>
                <w:sz w:val="18"/>
                <w:szCs w:val="18"/>
              </w:rPr>
            </w:pPr>
          </w:p>
        </w:tc>
        <w:tc>
          <w:tcPr>
            <w:tcW w:w="1129" w:type="dxa"/>
          </w:tcPr>
          <w:p w14:paraId="6A658465" w14:textId="77777777" w:rsidR="009B2872" w:rsidRPr="003D5E37" w:rsidRDefault="009B2872" w:rsidP="004C6219">
            <w:pPr>
              <w:spacing w:before="40" w:after="40" w:line="240" w:lineRule="auto"/>
              <w:jc w:val="left"/>
              <w:rPr>
                <w:rFonts w:cs="Calibri"/>
                <w:color w:val="000000"/>
                <w:sz w:val="18"/>
                <w:szCs w:val="18"/>
              </w:rPr>
            </w:pPr>
            <w:r w:rsidRPr="003D5E37">
              <w:rPr>
                <w:rFonts w:cs="Calibri"/>
                <w:sz w:val="18"/>
                <w:szCs w:val="18"/>
                <w:lang w:eastAsia="en-US"/>
              </w:rPr>
              <w:t>Implemented</w:t>
            </w:r>
          </w:p>
        </w:tc>
        <w:tc>
          <w:tcPr>
            <w:tcW w:w="1281" w:type="dxa"/>
            <w:shd w:val="clear" w:color="auto" w:fill="auto"/>
          </w:tcPr>
          <w:p w14:paraId="539515B2"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color w:val="000000" w:themeColor="text1"/>
                <w:sz w:val="18"/>
                <w:szCs w:val="18"/>
              </w:rPr>
              <w:t>Energy, Transport, IPPU, Agriculture, Waste management</w:t>
            </w:r>
          </w:p>
        </w:tc>
        <w:tc>
          <w:tcPr>
            <w:tcW w:w="1276" w:type="dxa"/>
          </w:tcPr>
          <w:p w14:paraId="196E22EF"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color w:val="000000"/>
                <w:sz w:val="18"/>
                <w:szCs w:val="18"/>
              </w:rPr>
              <w:t>CO</w:t>
            </w:r>
            <w:r w:rsidRPr="00037D90">
              <w:rPr>
                <w:rFonts w:cs="Calibri"/>
                <w:color w:val="000000"/>
                <w:sz w:val="18"/>
                <w:szCs w:val="18"/>
                <w:vertAlign w:val="subscript"/>
              </w:rPr>
              <w:t>2</w:t>
            </w:r>
            <w:r w:rsidRPr="00037D90">
              <w:rPr>
                <w:rFonts w:cs="Calibri"/>
                <w:color w:val="000000"/>
                <w:sz w:val="18"/>
                <w:szCs w:val="18"/>
              </w:rPr>
              <w:t>, CH</w:t>
            </w:r>
            <w:r w:rsidRPr="00037D90">
              <w:rPr>
                <w:rFonts w:cs="Calibri"/>
                <w:color w:val="000000"/>
                <w:sz w:val="18"/>
                <w:szCs w:val="18"/>
                <w:vertAlign w:val="subscript"/>
              </w:rPr>
              <w:t>4</w:t>
            </w:r>
            <w:r w:rsidRPr="00037D90">
              <w:rPr>
                <w:rFonts w:cs="Calibri"/>
                <w:color w:val="000000"/>
                <w:sz w:val="18"/>
                <w:szCs w:val="18"/>
              </w:rPr>
              <w:t>, N</w:t>
            </w:r>
            <w:r w:rsidRPr="00037D90">
              <w:rPr>
                <w:rFonts w:cs="Calibri"/>
                <w:color w:val="000000"/>
                <w:sz w:val="18"/>
                <w:szCs w:val="18"/>
                <w:vertAlign w:val="subscript"/>
              </w:rPr>
              <w:t>2</w:t>
            </w:r>
            <w:r w:rsidRPr="00037D90">
              <w:rPr>
                <w:rFonts w:cs="Calibri"/>
                <w:color w:val="000000"/>
                <w:sz w:val="18"/>
                <w:szCs w:val="18"/>
              </w:rPr>
              <w:t>O, PFCs, HFCs, SF</w:t>
            </w:r>
            <w:r w:rsidRPr="00037D90">
              <w:rPr>
                <w:rFonts w:cs="Calibri"/>
                <w:color w:val="000000"/>
                <w:sz w:val="18"/>
                <w:szCs w:val="18"/>
                <w:vertAlign w:val="subscript"/>
              </w:rPr>
              <w:t>6</w:t>
            </w:r>
            <w:r w:rsidRPr="00037D90">
              <w:rPr>
                <w:rFonts w:cs="Calibri"/>
                <w:sz w:val="18"/>
                <w:szCs w:val="18"/>
                <w:lang w:eastAsia="en-US"/>
              </w:rPr>
              <w:t xml:space="preserve"> </w:t>
            </w:r>
          </w:p>
        </w:tc>
        <w:tc>
          <w:tcPr>
            <w:tcW w:w="1275" w:type="dxa"/>
          </w:tcPr>
          <w:p w14:paraId="313EF96D"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lang w:eastAsia="en-US"/>
              </w:rPr>
              <w:t>2019</w:t>
            </w:r>
          </w:p>
        </w:tc>
        <w:tc>
          <w:tcPr>
            <w:tcW w:w="1418" w:type="dxa"/>
          </w:tcPr>
          <w:p w14:paraId="57F392D4" w14:textId="77777777" w:rsidR="009B2872" w:rsidRPr="00037D90" w:rsidRDefault="009B2872" w:rsidP="004C6219">
            <w:pPr>
              <w:spacing w:before="40" w:after="60" w:line="240" w:lineRule="auto"/>
              <w:jc w:val="left"/>
              <w:rPr>
                <w:rFonts w:cs="Calibri"/>
                <w:sz w:val="18"/>
                <w:szCs w:val="18"/>
              </w:rPr>
            </w:pPr>
            <w:r w:rsidRPr="00037D90">
              <w:rPr>
                <w:rFonts w:cs="Calibri"/>
                <w:sz w:val="18"/>
                <w:szCs w:val="18"/>
                <w:lang w:eastAsia="en-US"/>
              </w:rPr>
              <w:t>New Zealand Green Investment Finance Limited</w:t>
            </w:r>
          </w:p>
        </w:tc>
        <w:tc>
          <w:tcPr>
            <w:tcW w:w="992" w:type="dxa"/>
          </w:tcPr>
          <w:p w14:paraId="3654ACC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6974248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NE </w:t>
            </w:r>
          </w:p>
        </w:tc>
        <w:tc>
          <w:tcPr>
            <w:tcW w:w="964" w:type="dxa"/>
          </w:tcPr>
          <w:p w14:paraId="27A9522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361478" w:rsidRPr="00037D90" w14:paraId="6ACDE267" w14:textId="77777777" w:rsidTr="00271C02">
        <w:trPr>
          <w:gridAfter w:val="1"/>
          <w:wAfter w:w="24" w:type="dxa"/>
        </w:trPr>
        <w:tc>
          <w:tcPr>
            <w:tcW w:w="1276" w:type="dxa"/>
          </w:tcPr>
          <w:p w14:paraId="74EE05AD" w14:textId="77777777" w:rsidR="009B2872" w:rsidRPr="00037D90" w:rsidRDefault="009B2872" w:rsidP="004C6219">
            <w:pPr>
              <w:spacing w:before="40" w:after="40" w:line="240" w:lineRule="auto"/>
              <w:jc w:val="left"/>
              <w:rPr>
                <w:rFonts w:cs="Calibri"/>
                <w:color w:val="000000"/>
                <w:sz w:val="18"/>
                <w:szCs w:val="18"/>
                <w:highlight w:val="yellow"/>
                <w:lang w:eastAsia="en-US"/>
              </w:rPr>
            </w:pPr>
            <w:r w:rsidRPr="00037D90">
              <w:rPr>
                <w:rFonts w:cs="Calibri"/>
                <w:color w:val="000000"/>
                <w:sz w:val="18"/>
                <w:szCs w:val="18"/>
                <w:lang w:eastAsia="en-US"/>
              </w:rPr>
              <w:t>Climate-related disclosures</w:t>
            </w:r>
          </w:p>
        </w:tc>
        <w:tc>
          <w:tcPr>
            <w:tcW w:w="1559" w:type="dxa"/>
          </w:tcPr>
          <w:p w14:paraId="6A5CB2E2" w14:textId="77777777" w:rsidR="009B2872" w:rsidRPr="00037D90" w:rsidRDefault="009B2872" w:rsidP="004C6219">
            <w:pPr>
              <w:spacing w:before="40" w:after="40" w:line="240" w:lineRule="auto"/>
              <w:jc w:val="left"/>
              <w:rPr>
                <w:rFonts w:cs="Calibri"/>
                <w:color w:val="000000"/>
                <w:sz w:val="18"/>
                <w:szCs w:val="18"/>
                <w:highlight w:val="yellow"/>
              </w:rPr>
            </w:pPr>
            <w:r w:rsidRPr="00037D90">
              <w:rPr>
                <w:rFonts w:cs="Calibri"/>
                <w:color w:val="000000"/>
                <w:sz w:val="18"/>
                <w:szCs w:val="18"/>
              </w:rPr>
              <w:t>Climate reporting entities are required to publish disclosures from financial years starting on or after 1 January 2023, in accordance with climate standards published by the External Reporting Board.</w:t>
            </w:r>
          </w:p>
        </w:tc>
        <w:tc>
          <w:tcPr>
            <w:tcW w:w="1418" w:type="dxa"/>
          </w:tcPr>
          <w:p w14:paraId="01477DD1" w14:textId="77777777" w:rsidR="009B2872" w:rsidRPr="00037D90" w:rsidRDefault="009B2872" w:rsidP="004C6219">
            <w:pPr>
              <w:spacing w:before="40" w:after="40" w:line="240" w:lineRule="auto"/>
              <w:jc w:val="left"/>
              <w:rPr>
                <w:rFonts w:cs="Calibri"/>
                <w:color w:val="000000"/>
                <w:sz w:val="18"/>
                <w:szCs w:val="18"/>
                <w:highlight w:val="yellow"/>
              </w:rPr>
            </w:pPr>
            <w:r w:rsidRPr="00037D90">
              <w:rPr>
                <w:rFonts w:cs="Calibri"/>
                <w:sz w:val="18"/>
                <w:szCs w:val="18"/>
                <w:lang w:eastAsia="en-US"/>
              </w:rPr>
              <w:t>Ensure that the effects of climate change are routinely considered in business, investment, lending and insurance decisions.</w:t>
            </w:r>
          </w:p>
        </w:tc>
        <w:tc>
          <w:tcPr>
            <w:tcW w:w="992" w:type="dxa"/>
          </w:tcPr>
          <w:p w14:paraId="2EB27C1D"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Regulatory</w:t>
            </w:r>
          </w:p>
        </w:tc>
        <w:tc>
          <w:tcPr>
            <w:tcW w:w="1129" w:type="dxa"/>
          </w:tcPr>
          <w:p w14:paraId="10503F6D" w14:textId="77777777" w:rsidR="009B2872" w:rsidRPr="003D5E37" w:rsidRDefault="009B2872" w:rsidP="004C6219">
            <w:pPr>
              <w:spacing w:before="40" w:after="40" w:line="240" w:lineRule="auto"/>
              <w:jc w:val="left"/>
              <w:rPr>
                <w:rFonts w:cs="Calibri"/>
                <w:color w:val="000000"/>
                <w:sz w:val="18"/>
                <w:szCs w:val="18"/>
              </w:rPr>
            </w:pPr>
            <w:r w:rsidRPr="003D5E37">
              <w:rPr>
                <w:rFonts w:cs="Calibri"/>
                <w:sz w:val="18"/>
                <w:szCs w:val="18"/>
                <w:lang w:eastAsia="en-US"/>
              </w:rPr>
              <w:t>Implemented</w:t>
            </w:r>
          </w:p>
        </w:tc>
        <w:tc>
          <w:tcPr>
            <w:tcW w:w="1281" w:type="dxa"/>
            <w:shd w:val="clear" w:color="auto" w:fill="auto"/>
          </w:tcPr>
          <w:p w14:paraId="719E043C" w14:textId="77777777" w:rsidR="009B2872" w:rsidRPr="00037D90" w:rsidRDefault="009B2872" w:rsidP="004C6219">
            <w:pPr>
              <w:spacing w:before="40" w:after="40" w:line="240" w:lineRule="auto"/>
              <w:jc w:val="left"/>
              <w:rPr>
                <w:rFonts w:cs="Calibri"/>
                <w:color w:val="000000"/>
                <w:sz w:val="18"/>
                <w:szCs w:val="18"/>
                <w:highlight w:val="yellow"/>
              </w:rPr>
            </w:pPr>
            <w:r w:rsidRPr="00037D90">
              <w:rPr>
                <w:rFonts w:cs="Calibri"/>
                <w:color w:val="000000" w:themeColor="text1"/>
                <w:sz w:val="18"/>
                <w:szCs w:val="18"/>
              </w:rPr>
              <w:t>Energy, Transport, IPPU, Agriculture, Waste management</w:t>
            </w:r>
          </w:p>
        </w:tc>
        <w:tc>
          <w:tcPr>
            <w:tcW w:w="1276" w:type="dxa"/>
          </w:tcPr>
          <w:p w14:paraId="56156CDE" w14:textId="77777777" w:rsidR="009B2872" w:rsidRPr="00037D90" w:rsidRDefault="009B2872" w:rsidP="004C6219">
            <w:pPr>
              <w:spacing w:before="40" w:after="40" w:line="240" w:lineRule="auto"/>
              <w:jc w:val="left"/>
              <w:rPr>
                <w:rFonts w:cs="Calibri"/>
                <w:color w:val="000000"/>
                <w:sz w:val="18"/>
                <w:szCs w:val="18"/>
                <w:highlight w:val="yellow"/>
              </w:rPr>
            </w:pPr>
            <w:r w:rsidRPr="00037D90">
              <w:rPr>
                <w:rFonts w:cs="Calibri"/>
                <w:color w:val="000000"/>
                <w:sz w:val="18"/>
                <w:szCs w:val="18"/>
              </w:rPr>
              <w:t>CO</w:t>
            </w:r>
            <w:r w:rsidRPr="00037D90">
              <w:rPr>
                <w:rFonts w:cs="Calibri"/>
                <w:color w:val="000000"/>
                <w:sz w:val="18"/>
                <w:szCs w:val="18"/>
                <w:vertAlign w:val="subscript"/>
              </w:rPr>
              <w:t>2</w:t>
            </w:r>
            <w:r w:rsidRPr="00037D90">
              <w:rPr>
                <w:rFonts w:cs="Calibri"/>
                <w:color w:val="000000"/>
                <w:sz w:val="18"/>
                <w:szCs w:val="18"/>
              </w:rPr>
              <w:t>, CH</w:t>
            </w:r>
            <w:r w:rsidRPr="00037D90">
              <w:rPr>
                <w:rFonts w:cs="Calibri"/>
                <w:color w:val="000000"/>
                <w:sz w:val="18"/>
                <w:szCs w:val="18"/>
                <w:vertAlign w:val="subscript"/>
              </w:rPr>
              <w:t>4</w:t>
            </w:r>
            <w:r w:rsidRPr="00037D90">
              <w:rPr>
                <w:rFonts w:cs="Calibri"/>
                <w:color w:val="000000"/>
                <w:sz w:val="18"/>
                <w:szCs w:val="18"/>
              </w:rPr>
              <w:t>, N</w:t>
            </w:r>
            <w:r w:rsidRPr="00037D90">
              <w:rPr>
                <w:rFonts w:cs="Calibri"/>
                <w:color w:val="000000"/>
                <w:sz w:val="18"/>
                <w:szCs w:val="18"/>
                <w:vertAlign w:val="subscript"/>
              </w:rPr>
              <w:t>2</w:t>
            </w:r>
            <w:r w:rsidRPr="00037D90">
              <w:rPr>
                <w:rFonts w:cs="Calibri"/>
                <w:color w:val="000000"/>
                <w:sz w:val="18"/>
                <w:szCs w:val="18"/>
              </w:rPr>
              <w:t>O, PFCs, HFCs, SF</w:t>
            </w:r>
            <w:r w:rsidRPr="00037D90">
              <w:rPr>
                <w:rFonts w:cs="Calibri"/>
                <w:color w:val="000000"/>
                <w:sz w:val="18"/>
                <w:szCs w:val="18"/>
                <w:vertAlign w:val="subscript"/>
              </w:rPr>
              <w:t>6</w:t>
            </w:r>
            <w:r w:rsidRPr="00037D90">
              <w:rPr>
                <w:rFonts w:cs="Calibri"/>
                <w:sz w:val="18"/>
                <w:szCs w:val="18"/>
                <w:lang w:eastAsia="en-US"/>
              </w:rPr>
              <w:t xml:space="preserve"> </w:t>
            </w:r>
          </w:p>
        </w:tc>
        <w:tc>
          <w:tcPr>
            <w:tcW w:w="1275" w:type="dxa"/>
          </w:tcPr>
          <w:p w14:paraId="0EFE54A5" w14:textId="77777777" w:rsidR="009B2872" w:rsidRPr="00037D90"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2023</w:t>
            </w:r>
          </w:p>
          <w:p w14:paraId="4E02092B" w14:textId="77777777" w:rsidR="009B2872" w:rsidRPr="00037D90" w:rsidRDefault="009B2872" w:rsidP="004C6219">
            <w:pPr>
              <w:spacing w:before="40" w:after="40" w:line="240" w:lineRule="auto"/>
              <w:jc w:val="left"/>
              <w:rPr>
                <w:rFonts w:cs="Calibri"/>
                <w:sz w:val="18"/>
                <w:szCs w:val="18"/>
                <w:highlight w:val="yellow"/>
                <w:lang w:eastAsia="en-US"/>
              </w:rPr>
            </w:pPr>
          </w:p>
        </w:tc>
        <w:tc>
          <w:tcPr>
            <w:tcW w:w="1418" w:type="dxa"/>
          </w:tcPr>
          <w:p w14:paraId="3F269E8C" w14:textId="77777777" w:rsidR="009B2872" w:rsidRPr="00037D90" w:rsidRDefault="009B2872" w:rsidP="004C6219">
            <w:pPr>
              <w:spacing w:before="40" w:after="60" w:line="240" w:lineRule="auto"/>
              <w:jc w:val="left"/>
              <w:rPr>
                <w:rFonts w:cs="Calibri"/>
                <w:sz w:val="18"/>
                <w:szCs w:val="18"/>
                <w:lang w:eastAsia="en-US"/>
              </w:rPr>
            </w:pPr>
            <w:r w:rsidRPr="00037D90">
              <w:rPr>
                <w:rFonts w:cs="Calibri"/>
                <w:sz w:val="18"/>
                <w:szCs w:val="18"/>
                <w:lang w:eastAsia="en-US"/>
              </w:rPr>
              <w:t>Ministry for the Environment, Ministry of Business, Innovation and Employment</w:t>
            </w:r>
          </w:p>
        </w:tc>
        <w:tc>
          <w:tcPr>
            <w:tcW w:w="992" w:type="dxa"/>
          </w:tcPr>
          <w:p w14:paraId="479D383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7582DAF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3817240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361478" w:rsidRPr="00037D90" w14:paraId="6A87E828" w14:textId="77777777" w:rsidTr="00271C02">
        <w:trPr>
          <w:gridAfter w:val="1"/>
          <w:wAfter w:w="24" w:type="dxa"/>
        </w:trPr>
        <w:tc>
          <w:tcPr>
            <w:tcW w:w="1276" w:type="dxa"/>
            <w:shd w:val="clear" w:color="auto" w:fill="auto"/>
          </w:tcPr>
          <w:p w14:paraId="77737CA8" w14:textId="003C573F" w:rsidR="009B2872" w:rsidRPr="00037D90" w:rsidRDefault="009B2872" w:rsidP="004C6219">
            <w:pPr>
              <w:spacing w:before="20" w:after="20" w:line="240" w:lineRule="auto"/>
              <w:jc w:val="left"/>
              <w:rPr>
                <w:rFonts w:cs="Calibri"/>
                <w:sz w:val="18"/>
                <w:szCs w:val="18"/>
              </w:rPr>
            </w:pPr>
            <w:r w:rsidRPr="00037D90">
              <w:rPr>
                <w:rFonts w:cs="Calibri"/>
                <w:sz w:val="18"/>
                <w:szCs w:val="18"/>
              </w:rPr>
              <w:t xml:space="preserve">State Sector </w:t>
            </w:r>
            <w:r w:rsidRPr="00E81F20">
              <w:rPr>
                <w:rFonts w:cs="Calibri"/>
                <w:w w:val="97"/>
                <w:sz w:val="18"/>
                <w:szCs w:val="18"/>
              </w:rPr>
              <w:t>Decarbonisation</w:t>
            </w:r>
            <w:r w:rsidRPr="00037D90">
              <w:rPr>
                <w:rFonts w:cs="Calibri"/>
                <w:sz w:val="18"/>
                <w:szCs w:val="18"/>
              </w:rPr>
              <w:t xml:space="preserve"> Fund </w:t>
            </w:r>
          </w:p>
        </w:tc>
        <w:tc>
          <w:tcPr>
            <w:tcW w:w="1559" w:type="dxa"/>
          </w:tcPr>
          <w:p w14:paraId="248220F5" w14:textId="762A2544" w:rsidR="0016645C" w:rsidRPr="00037D90" w:rsidRDefault="009B2872" w:rsidP="004C6219">
            <w:pPr>
              <w:spacing w:before="20" w:after="20" w:line="240" w:lineRule="auto"/>
              <w:jc w:val="left"/>
              <w:rPr>
                <w:rFonts w:cs="Calibri"/>
                <w:sz w:val="18"/>
                <w:szCs w:val="18"/>
              </w:rPr>
            </w:pPr>
            <w:r w:rsidRPr="00037D90">
              <w:rPr>
                <w:rFonts w:cs="Calibri"/>
                <w:sz w:val="18"/>
                <w:szCs w:val="18"/>
              </w:rPr>
              <w:t>The NZ$219.437 million State Sector Decarbonisation Fund provides co-funding to state sector agencies to replace coal boilers with low-emissions alternatives and for other energy efficiency or renewable energy projects, including efficient lighting and electric vehicles. Three-quarters of the funding is targeted for hospitals, schools and universities, which are the biggest emitters.</w:t>
            </w:r>
          </w:p>
        </w:tc>
        <w:tc>
          <w:tcPr>
            <w:tcW w:w="1418" w:type="dxa"/>
          </w:tcPr>
          <w:p w14:paraId="2F372E72"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Government agencies demonstrate the action required to decarbonise.</w:t>
            </w:r>
          </w:p>
        </w:tc>
        <w:tc>
          <w:tcPr>
            <w:tcW w:w="992" w:type="dxa"/>
          </w:tcPr>
          <w:p w14:paraId="72FDA447"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Economic instrument</w:t>
            </w:r>
          </w:p>
        </w:tc>
        <w:tc>
          <w:tcPr>
            <w:tcW w:w="1129" w:type="dxa"/>
          </w:tcPr>
          <w:p w14:paraId="079421F8" w14:textId="77777777" w:rsidR="009B2872" w:rsidRPr="003D5E37" w:rsidRDefault="009B2872" w:rsidP="004C6219">
            <w:pPr>
              <w:spacing w:before="20" w:after="20" w:line="240" w:lineRule="auto"/>
              <w:jc w:val="left"/>
              <w:rPr>
                <w:rFonts w:cs="Calibri"/>
                <w:sz w:val="18"/>
                <w:szCs w:val="18"/>
              </w:rPr>
            </w:pPr>
            <w:r w:rsidRPr="003D5E37">
              <w:rPr>
                <w:rFonts w:cs="Calibri"/>
                <w:sz w:val="18"/>
                <w:szCs w:val="18"/>
              </w:rPr>
              <w:t>Implemented</w:t>
            </w:r>
          </w:p>
        </w:tc>
        <w:tc>
          <w:tcPr>
            <w:tcW w:w="1281" w:type="dxa"/>
            <w:shd w:val="clear" w:color="auto" w:fill="auto"/>
          </w:tcPr>
          <w:p w14:paraId="58E7E967"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Energy, Transport</w:t>
            </w:r>
          </w:p>
        </w:tc>
        <w:tc>
          <w:tcPr>
            <w:tcW w:w="1276" w:type="dxa"/>
            <w:shd w:val="clear" w:color="auto" w:fill="auto"/>
          </w:tcPr>
          <w:p w14:paraId="53F20B1A"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shd w:val="clear" w:color="auto" w:fill="auto"/>
          </w:tcPr>
          <w:p w14:paraId="07A0D9DD"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2020</w:t>
            </w:r>
          </w:p>
        </w:tc>
        <w:tc>
          <w:tcPr>
            <w:tcW w:w="1418" w:type="dxa"/>
            <w:shd w:val="clear" w:color="auto" w:fill="auto"/>
          </w:tcPr>
          <w:p w14:paraId="40D2989A"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Energy Efficiency and Conservation Authority, Ministry of Business, Innovation and Employment, The New Zealand Treasury</w:t>
            </w:r>
          </w:p>
        </w:tc>
        <w:tc>
          <w:tcPr>
            <w:tcW w:w="992" w:type="dxa"/>
          </w:tcPr>
          <w:p w14:paraId="6A3510F4"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NE</w:t>
            </w:r>
          </w:p>
        </w:tc>
        <w:tc>
          <w:tcPr>
            <w:tcW w:w="992" w:type="dxa"/>
            <w:shd w:val="clear" w:color="auto" w:fill="auto"/>
          </w:tcPr>
          <w:p w14:paraId="10D845A6"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NE</w:t>
            </w:r>
          </w:p>
        </w:tc>
        <w:tc>
          <w:tcPr>
            <w:tcW w:w="964" w:type="dxa"/>
            <w:shd w:val="clear" w:color="auto" w:fill="auto"/>
          </w:tcPr>
          <w:p w14:paraId="53F49F16"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96</w:t>
            </w:r>
          </w:p>
        </w:tc>
      </w:tr>
      <w:tr w:rsidR="009B2872" w:rsidRPr="00037D90" w14:paraId="50E0E418" w14:textId="77777777" w:rsidTr="004C6219">
        <w:trPr>
          <w:gridAfter w:val="1"/>
          <w:wAfter w:w="24" w:type="dxa"/>
        </w:trPr>
        <w:tc>
          <w:tcPr>
            <w:tcW w:w="14572" w:type="dxa"/>
            <w:gridSpan w:val="12"/>
            <w:shd w:val="clear" w:color="auto" w:fill="D2DDE1" w:themeFill="background2"/>
          </w:tcPr>
          <w:p w14:paraId="7AE22636" w14:textId="77777777" w:rsidR="009B2872" w:rsidRPr="003D5E37" w:rsidRDefault="009B2872" w:rsidP="004C6219">
            <w:pPr>
              <w:spacing w:before="20" w:after="20" w:line="240" w:lineRule="auto"/>
              <w:jc w:val="left"/>
              <w:rPr>
                <w:rFonts w:cs="Calibri"/>
                <w:b/>
                <w:sz w:val="18"/>
                <w:szCs w:val="18"/>
              </w:rPr>
            </w:pPr>
            <w:r w:rsidRPr="003D5E37">
              <w:rPr>
                <w:rFonts w:cs="Calibri"/>
                <w:b/>
                <w:sz w:val="18"/>
                <w:szCs w:val="18"/>
              </w:rPr>
              <w:t>Energy: Strategies</w:t>
            </w:r>
          </w:p>
        </w:tc>
      </w:tr>
      <w:tr w:rsidR="00A52B57" w:rsidRPr="00037D90" w14:paraId="50B14593" w14:textId="77777777" w:rsidTr="00271C02">
        <w:trPr>
          <w:gridAfter w:val="1"/>
          <w:wAfter w:w="24" w:type="dxa"/>
        </w:trPr>
        <w:tc>
          <w:tcPr>
            <w:tcW w:w="1276" w:type="dxa"/>
            <w:shd w:val="clear" w:color="auto" w:fill="auto"/>
          </w:tcPr>
          <w:p w14:paraId="6BBD0B0F"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Electrify NZ</w:t>
            </w:r>
          </w:p>
        </w:tc>
        <w:tc>
          <w:tcPr>
            <w:tcW w:w="1559" w:type="dxa"/>
          </w:tcPr>
          <w:p w14:paraId="4E5E2D3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The Government is committed to doubling renewable energy by 2050. Electrify NZ includes a range of initiatives designed to support achievement of this goal. </w:t>
            </w:r>
          </w:p>
        </w:tc>
        <w:tc>
          <w:tcPr>
            <w:tcW w:w="1418" w:type="dxa"/>
            <w:shd w:val="clear" w:color="auto" w:fill="FFFFFF" w:themeFill="background1"/>
          </w:tcPr>
          <w:p w14:paraId="0DF89CA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Enable investment by removing barriers and resolving market failures that prevent or slow investment in infrastructure for electrification.</w:t>
            </w:r>
          </w:p>
        </w:tc>
        <w:tc>
          <w:tcPr>
            <w:tcW w:w="992" w:type="dxa"/>
            <w:shd w:val="clear" w:color="auto" w:fill="FFFFFF" w:themeFill="background1"/>
          </w:tcPr>
          <w:p w14:paraId="159D683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w:t>
            </w:r>
          </w:p>
        </w:tc>
        <w:tc>
          <w:tcPr>
            <w:tcW w:w="1129" w:type="dxa"/>
            <w:shd w:val="clear" w:color="auto" w:fill="FFFFFF" w:themeFill="background1"/>
          </w:tcPr>
          <w:p w14:paraId="52B3C166" w14:textId="29D74C22" w:rsidR="009B2872" w:rsidRPr="003D5E37" w:rsidRDefault="00E44939" w:rsidP="004C6219">
            <w:pPr>
              <w:spacing w:before="40" w:after="40" w:line="240" w:lineRule="auto"/>
              <w:jc w:val="left"/>
              <w:rPr>
                <w:rFonts w:cs="Calibri"/>
                <w:sz w:val="18"/>
                <w:szCs w:val="18"/>
              </w:rPr>
            </w:pPr>
            <w:r w:rsidRPr="003D5E37">
              <w:rPr>
                <w:rFonts w:cs="Calibri"/>
                <w:sz w:val="18"/>
                <w:szCs w:val="18"/>
              </w:rPr>
              <w:t>Adopted</w:t>
            </w:r>
          </w:p>
        </w:tc>
        <w:tc>
          <w:tcPr>
            <w:tcW w:w="1281" w:type="dxa"/>
            <w:shd w:val="clear" w:color="auto" w:fill="FFFFFF" w:themeFill="background1"/>
          </w:tcPr>
          <w:p w14:paraId="550F4177"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Energy</w:t>
            </w:r>
          </w:p>
        </w:tc>
        <w:tc>
          <w:tcPr>
            <w:tcW w:w="1276" w:type="dxa"/>
            <w:shd w:val="clear" w:color="auto" w:fill="FFFFFF" w:themeFill="background1"/>
          </w:tcPr>
          <w:p w14:paraId="454F6326"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CO</w:t>
            </w:r>
            <w:r w:rsidRPr="00037D90">
              <w:rPr>
                <w:rFonts w:cs="Calibri"/>
                <w:sz w:val="18"/>
                <w:szCs w:val="18"/>
                <w:vertAlign w:val="subscript"/>
              </w:rPr>
              <w:t>2</w:t>
            </w:r>
          </w:p>
        </w:tc>
        <w:tc>
          <w:tcPr>
            <w:tcW w:w="1275" w:type="dxa"/>
            <w:shd w:val="clear" w:color="auto" w:fill="FFFFFF" w:themeFill="background1"/>
          </w:tcPr>
          <w:p w14:paraId="119B786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2025</w:t>
            </w:r>
          </w:p>
        </w:tc>
        <w:tc>
          <w:tcPr>
            <w:tcW w:w="1418" w:type="dxa"/>
            <w:shd w:val="clear" w:color="auto" w:fill="FFFFFF" w:themeFill="background1"/>
          </w:tcPr>
          <w:p w14:paraId="1465F755"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Ministry of Business, Innovation and Employment</w:t>
            </w:r>
          </w:p>
        </w:tc>
        <w:tc>
          <w:tcPr>
            <w:tcW w:w="992" w:type="dxa"/>
            <w:shd w:val="clear" w:color="auto" w:fill="FFFFFF" w:themeFill="background1"/>
          </w:tcPr>
          <w:p w14:paraId="26CE466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92" w:type="dxa"/>
            <w:shd w:val="clear" w:color="auto" w:fill="FFFFFF" w:themeFill="background1"/>
          </w:tcPr>
          <w:p w14:paraId="526FC50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64" w:type="dxa"/>
            <w:shd w:val="clear" w:color="auto" w:fill="FFFFFF" w:themeFill="background1"/>
          </w:tcPr>
          <w:p w14:paraId="24E718D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42</w:t>
            </w:r>
          </w:p>
        </w:tc>
      </w:tr>
      <w:tr w:rsidR="00A52B57" w:rsidRPr="00037D90" w14:paraId="140C780F" w14:textId="77777777" w:rsidTr="00271C02">
        <w:trPr>
          <w:gridAfter w:val="1"/>
          <w:wAfter w:w="24" w:type="dxa"/>
        </w:trPr>
        <w:tc>
          <w:tcPr>
            <w:tcW w:w="1276" w:type="dxa"/>
            <w:shd w:val="clear" w:color="auto" w:fill="auto"/>
          </w:tcPr>
          <w:p w14:paraId="3BC70533" w14:textId="1E548CF4"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Hydrogen </w:t>
            </w:r>
            <w:r w:rsidR="001B7CEF" w:rsidRPr="00037D90">
              <w:rPr>
                <w:rFonts w:cs="Calibri"/>
                <w:sz w:val="18"/>
                <w:szCs w:val="18"/>
              </w:rPr>
              <w:t>Action Plan</w:t>
            </w:r>
          </w:p>
        </w:tc>
        <w:tc>
          <w:tcPr>
            <w:tcW w:w="1559" w:type="dxa"/>
          </w:tcPr>
          <w:p w14:paraId="5D1F4579" w14:textId="7B34976C" w:rsidR="009B2872" w:rsidRPr="00037D90" w:rsidRDefault="001B7CEF" w:rsidP="004C6219">
            <w:pPr>
              <w:spacing w:before="40" w:after="40" w:line="240" w:lineRule="auto"/>
              <w:jc w:val="left"/>
              <w:rPr>
                <w:rFonts w:cs="Calibri"/>
                <w:sz w:val="18"/>
                <w:szCs w:val="18"/>
              </w:rPr>
            </w:pPr>
            <w:r w:rsidRPr="00037D90">
              <w:rPr>
                <w:rFonts w:cs="Calibri"/>
                <w:sz w:val="18"/>
                <w:szCs w:val="18"/>
              </w:rPr>
              <w:t xml:space="preserve">Development of a </w:t>
            </w:r>
            <w:r w:rsidR="000E39D7" w:rsidRPr="00037D90">
              <w:rPr>
                <w:rFonts w:cs="Calibri"/>
                <w:sz w:val="18"/>
                <w:szCs w:val="18"/>
              </w:rPr>
              <w:t>H</w:t>
            </w:r>
            <w:r w:rsidRPr="00037D90">
              <w:rPr>
                <w:rFonts w:cs="Calibri"/>
                <w:sz w:val="18"/>
                <w:szCs w:val="18"/>
              </w:rPr>
              <w:t>ydrogen Action Plan</w:t>
            </w:r>
          </w:p>
        </w:tc>
        <w:tc>
          <w:tcPr>
            <w:tcW w:w="1418" w:type="dxa"/>
            <w:shd w:val="clear" w:color="auto" w:fill="FFFFFF" w:themeFill="background1"/>
          </w:tcPr>
          <w:p w14:paraId="13B92BE5" w14:textId="7C7E02A1"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Support </w:t>
            </w:r>
            <w:r w:rsidR="001B7CEF" w:rsidRPr="00037D90">
              <w:rPr>
                <w:rFonts w:cs="Calibri"/>
                <w:sz w:val="18"/>
                <w:szCs w:val="18"/>
              </w:rPr>
              <w:t>private investment in</w:t>
            </w:r>
            <w:r w:rsidR="006D1E06" w:rsidRPr="00037D90">
              <w:rPr>
                <w:rFonts w:cs="Calibri"/>
                <w:sz w:val="18"/>
                <w:szCs w:val="18"/>
              </w:rPr>
              <w:t xml:space="preserve"> hydrogen</w:t>
            </w:r>
          </w:p>
        </w:tc>
        <w:tc>
          <w:tcPr>
            <w:tcW w:w="992" w:type="dxa"/>
            <w:shd w:val="clear" w:color="auto" w:fill="FFFFFF" w:themeFill="background1"/>
          </w:tcPr>
          <w:p w14:paraId="41D5AA1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 other</w:t>
            </w:r>
          </w:p>
        </w:tc>
        <w:tc>
          <w:tcPr>
            <w:tcW w:w="1129" w:type="dxa"/>
            <w:shd w:val="clear" w:color="auto" w:fill="FFFFFF" w:themeFill="background1"/>
          </w:tcPr>
          <w:p w14:paraId="3CEBDDAC"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Planned</w:t>
            </w:r>
          </w:p>
        </w:tc>
        <w:tc>
          <w:tcPr>
            <w:tcW w:w="1281" w:type="dxa"/>
            <w:shd w:val="clear" w:color="auto" w:fill="FFFFFF" w:themeFill="background1"/>
          </w:tcPr>
          <w:p w14:paraId="3FA3DFB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Energy, Transport, IPPU </w:t>
            </w:r>
          </w:p>
        </w:tc>
        <w:tc>
          <w:tcPr>
            <w:tcW w:w="1276" w:type="dxa"/>
            <w:shd w:val="clear" w:color="auto" w:fill="FFFFFF" w:themeFill="background1"/>
          </w:tcPr>
          <w:p w14:paraId="0CCAF76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shd w:val="clear" w:color="auto" w:fill="FFFFFF" w:themeFill="background1"/>
          </w:tcPr>
          <w:p w14:paraId="6181140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2024</w:t>
            </w:r>
          </w:p>
        </w:tc>
        <w:tc>
          <w:tcPr>
            <w:tcW w:w="1418" w:type="dxa"/>
            <w:shd w:val="clear" w:color="auto" w:fill="FFFFFF" w:themeFill="background1"/>
          </w:tcPr>
          <w:p w14:paraId="2FEA8845" w14:textId="77777777" w:rsidR="009B2872" w:rsidRPr="00037D90" w:rsidDel="00873F63" w:rsidRDefault="009B2872" w:rsidP="004C6219">
            <w:pPr>
              <w:spacing w:before="40" w:after="40" w:line="240" w:lineRule="auto"/>
              <w:jc w:val="left"/>
              <w:rPr>
                <w:rFonts w:cs="Calibri"/>
                <w:sz w:val="18"/>
                <w:szCs w:val="18"/>
              </w:rPr>
            </w:pPr>
            <w:r w:rsidRPr="00037D90">
              <w:rPr>
                <w:rFonts w:cs="Calibri"/>
                <w:sz w:val="18"/>
                <w:szCs w:val="18"/>
              </w:rPr>
              <w:t>Ministry of Business, Innovation and Employment</w:t>
            </w:r>
          </w:p>
        </w:tc>
        <w:tc>
          <w:tcPr>
            <w:tcW w:w="992" w:type="dxa"/>
            <w:shd w:val="clear" w:color="auto" w:fill="FFFFFF" w:themeFill="background1"/>
          </w:tcPr>
          <w:p w14:paraId="537A813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shd w:val="clear" w:color="auto" w:fill="FFFFFF" w:themeFill="background1"/>
          </w:tcPr>
          <w:p w14:paraId="1DBC76D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shd w:val="clear" w:color="auto" w:fill="FFFFFF" w:themeFill="background1"/>
          </w:tcPr>
          <w:p w14:paraId="62272D9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A52B57" w:rsidRPr="00037D90" w14:paraId="161592EC" w14:textId="77777777" w:rsidTr="00271C02">
        <w:tc>
          <w:tcPr>
            <w:tcW w:w="1276" w:type="dxa"/>
            <w:shd w:val="clear" w:color="auto" w:fill="auto"/>
          </w:tcPr>
          <w:p w14:paraId="3D66A380" w14:textId="056A9C47" w:rsidR="009B2872" w:rsidRPr="00037D90" w:rsidRDefault="009B2872" w:rsidP="004C6219">
            <w:pPr>
              <w:spacing w:before="40" w:after="40" w:line="240" w:lineRule="auto"/>
              <w:jc w:val="left"/>
              <w:rPr>
                <w:rFonts w:cs="Calibri"/>
                <w:sz w:val="18"/>
                <w:szCs w:val="18"/>
              </w:rPr>
            </w:pPr>
            <w:r w:rsidRPr="00037D90">
              <w:rPr>
                <w:rFonts w:cs="Calibri"/>
                <w:sz w:val="18"/>
                <w:szCs w:val="18"/>
              </w:rPr>
              <w:t>Carbon capture</w:t>
            </w:r>
            <w:r w:rsidR="1F07A576" w:rsidRPr="00037D90">
              <w:rPr>
                <w:rFonts w:cs="Calibri"/>
                <w:sz w:val="18"/>
                <w:szCs w:val="18"/>
              </w:rPr>
              <w:t>,</w:t>
            </w:r>
            <w:r w:rsidRPr="00037D90">
              <w:rPr>
                <w:rFonts w:cs="Calibri"/>
                <w:sz w:val="18"/>
                <w:szCs w:val="18"/>
              </w:rPr>
              <w:t xml:space="preserve"> utilisation and storage</w:t>
            </w:r>
          </w:p>
        </w:tc>
        <w:tc>
          <w:tcPr>
            <w:tcW w:w="1559" w:type="dxa"/>
          </w:tcPr>
          <w:p w14:paraId="259B4D5A" w14:textId="2E9B8701" w:rsidR="009B2872" w:rsidRPr="00037D90" w:rsidRDefault="009B2872" w:rsidP="004C6219">
            <w:pPr>
              <w:spacing w:before="40" w:after="40" w:line="240" w:lineRule="auto"/>
              <w:jc w:val="left"/>
              <w:rPr>
                <w:rFonts w:cs="Calibri"/>
                <w:sz w:val="18"/>
                <w:szCs w:val="18"/>
              </w:rPr>
            </w:pPr>
            <w:r w:rsidRPr="00037D90">
              <w:rPr>
                <w:rFonts w:cs="Calibri"/>
                <w:sz w:val="18"/>
                <w:szCs w:val="18"/>
              </w:rPr>
              <w:t>The Government has agreed to create an enabling regime for carbon capture</w:t>
            </w:r>
            <w:r w:rsidR="4A4BF095" w:rsidRPr="00037D90">
              <w:rPr>
                <w:rFonts w:cs="Calibri"/>
                <w:sz w:val="18"/>
                <w:szCs w:val="18"/>
              </w:rPr>
              <w:t>,</w:t>
            </w:r>
            <w:r w:rsidRPr="00037D90">
              <w:rPr>
                <w:rFonts w:cs="Calibri"/>
                <w:sz w:val="18"/>
                <w:szCs w:val="18"/>
              </w:rPr>
              <w:t xml:space="preserve"> utilisation and storage. </w:t>
            </w:r>
          </w:p>
        </w:tc>
        <w:tc>
          <w:tcPr>
            <w:tcW w:w="1418" w:type="dxa"/>
            <w:shd w:val="clear" w:color="auto" w:fill="FFFFFF" w:themeFill="background1"/>
          </w:tcPr>
          <w:p w14:paraId="51F34618" w14:textId="0937DEBE" w:rsidR="009B2872" w:rsidRPr="00037D90" w:rsidRDefault="009B2872" w:rsidP="004C6219">
            <w:pPr>
              <w:spacing w:before="40" w:after="40" w:line="240" w:lineRule="auto"/>
              <w:jc w:val="left"/>
              <w:rPr>
                <w:rFonts w:cs="Calibri"/>
                <w:sz w:val="18"/>
                <w:szCs w:val="18"/>
              </w:rPr>
            </w:pPr>
            <w:r w:rsidRPr="00037D90">
              <w:rPr>
                <w:rFonts w:cs="Calibri"/>
                <w:sz w:val="18"/>
                <w:szCs w:val="18"/>
              </w:rPr>
              <w:t>Allow New Zealand’s industries to access carbon capture</w:t>
            </w:r>
            <w:r w:rsidR="6A95B282" w:rsidRPr="00037D90">
              <w:rPr>
                <w:rFonts w:cs="Calibri"/>
                <w:sz w:val="18"/>
                <w:szCs w:val="18"/>
              </w:rPr>
              <w:t>,</w:t>
            </w:r>
            <w:r w:rsidRPr="00037D90">
              <w:rPr>
                <w:rFonts w:cs="Calibri"/>
                <w:sz w:val="18"/>
                <w:szCs w:val="18"/>
              </w:rPr>
              <w:t xml:space="preserve"> utilisation and storage technology on a level playing field with other emissions reduction and removal tools</w:t>
            </w:r>
            <w:r w:rsidR="00400253" w:rsidRPr="00037D90">
              <w:rPr>
                <w:rFonts w:cs="Calibri"/>
                <w:sz w:val="18"/>
                <w:szCs w:val="18"/>
              </w:rPr>
              <w:t>.</w:t>
            </w:r>
          </w:p>
        </w:tc>
        <w:tc>
          <w:tcPr>
            <w:tcW w:w="992" w:type="dxa"/>
            <w:shd w:val="clear" w:color="auto" w:fill="FFFFFF" w:themeFill="background1"/>
          </w:tcPr>
          <w:p w14:paraId="7CD4DCB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w:t>
            </w:r>
          </w:p>
        </w:tc>
        <w:tc>
          <w:tcPr>
            <w:tcW w:w="1129" w:type="dxa"/>
            <w:shd w:val="clear" w:color="auto" w:fill="FFFFFF" w:themeFill="background1"/>
          </w:tcPr>
          <w:p w14:paraId="0D250638" w14:textId="0CB1F088" w:rsidR="009B2872" w:rsidRPr="003D5E37" w:rsidRDefault="00E44939" w:rsidP="004C6219">
            <w:pPr>
              <w:spacing w:before="40" w:after="40" w:line="240" w:lineRule="auto"/>
              <w:jc w:val="left"/>
              <w:rPr>
                <w:rFonts w:cs="Calibri"/>
                <w:sz w:val="18"/>
                <w:szCs w:val="18"/>
              </w:rPr>
            </w:pPr>
            <w:r w:rsidRPr="003D5E37">
              <w:rPr>
                <w:rFonts w:cs="Calibri"/>
                <w:sz w:val="18"/>
                <w:szCs w:val="18"/>
              </w:rPr>
              <w:t>Adopted</w:t>
            </w:r>
          </w:p>
        </w:tc>
        <w:tc>
          <w:tcPr>
            <w:tcW w:w="1281" w:type="dxa"/>
            <w:shd w:val="clear" w:color="auto" w:fill="FFFFFF" w:themeFill="background1"/>
          </w:tcPr>
          <w:p w14:paraId="606C57C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Energy</w:t>
            </w:r>
          </w:p>
        </w:tc>
        <w:tc>
          <w:tcPr>
            <w:tcW w:w="1276" w:type="dxa"/>
            <w:shd w:val="clear" w:color="auto" w:fill="FFFFFF" w:themeFill="background1"/>
          </w:tcPr>
          <w:p w14:paraId="37713BE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shd w:val="clear" w:color="auto" w:fill="FFFFFF" w:themeFill="background1"/>
          </w:tcPr>
          <w:p w14:paraId="0E14AE8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2025</w:t>
            </w:r>
          </w:p>
        </w:tc>
        <w:tc>
          <w:tcPr>
            <w:tcW w:w="1418" w:type="dxa"/>
            <w:shd w:val="clear" w:color="auto" w:fill="FFFFFF" w:themeFill="background1"/>
          </w:tcPr>
          <w:p w14:paraId="4A77D95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of Business, Innovation and Employment</w:t>
            </w:r>
          </w:p>
        </w:tc>
        <w:tc>
          <w:tcPr>
            <w:tcW w:w="992" w:type="dxa"/>
            <w:shd w:val="clear" w:color="auto" w:fill="FFFFFF" w:themeFill="background1"/>
          </w:tcPr>
          <w:p w14:paraId="72DAB5B3" w14:textId="3F68CE9A" w:rsidR="009B2872" w:rsidRPr="00037D90" w:rsidRDefault="00B8593D" w:rsidP="004C6219">
            <w:pPr>
              <w:spacing w:before="40" w:after="40" w:line="240" w:lineRule="auto"/>
              <w:jc w:val="left"/>
              <w:rPr>
                <w:rFonts w:cs="Calibri"/>
                <w:sz w:val="18"/>
                <w:szCs w:val="18"/>
              </w:rPr>
            </w:pPr>
            <w:r w:rsidRPr="00037D90">
              <w:rPr>
                <w:rFonts w:cs="Calibri"/>
                <w:sz w:val="18"/>
                <w:szCs w:val="18"/>
              </w:rPr>
              <w:t>NE</w:t>
            </w:r>
          </w:p>
        </w:tc>
        <w:tc>
          <w:tcPr>
            <w:tcW w:w="992" w:type="dxa"/>
            <w:shd w:val="clear" w:color="auto" w:fill="FFFFFF" w:themeFill="background1"/>
          </w:tcPr>
          <w:p w14:paraId="4B7989F7" w14:textId="32CAD0E6" w:rsidR="009B2872" w:rsidRPr="00037D90" w:rsidRDefault="00B8593D" w:rsidP="004C6219">
            <w:pPr>
              <w:spacing w:before="40" w:after="40" w:line="240" w:lineRule="auto"/>
              <w:jc w:val="left"/>
              <w:rPr>
                <w:rFonts w:cs="Calibri"/>
                <w:sz w:val="18"/>
                <w:szCs w:val="18"/>
              </w:rPr>
            </w:pPr>
            <w:r w:rsidRPr="00037D90">
              <w:rPr>
                <w:rFonts w:cs="Calibri"/>
                <w:sz w:val="18"/>
                <w:szCs w:val="18"/>
              </w:rPr>
              <w:t>NE</w:t>
            </w:r>
          </w:p>
        </w:tc>
        <w:tc>
          <w:tcPr>
            <w:tcW w:w="988" w:type="dxa"/>
            <w:gridSpan w:val="2"/>
            <w:shd w:val="clear" w:color="auto" w:fill="FFFFFF" w:themeFill="background1"/>
          </w:tcPr>
          <w:p w14:paraId="10AE9EFA" w14:textId="29BCD110" w:rsidR="009B2872" w:rsidRPr="00037D90" w:rsidRDefault="00B8593D" w:rsidP="004C6219">
            <w:pPr>
              <w:spacing w:before="40" w:after="40" w:line="240" w:lineRule="auto"/>
              <w:jc w:val="left"/>
              <w:rPr>
                <w:rFonts w:cs="Calibri"/>
                <w:sz w:val="18"/>
                <w:szCs w:val="18"/>
              </w:rPr>
            </w:pPr>
            <w:r w:rsidRPr="00037D90">
              <w:rPr>
                <w:rFonts w:cs="Calibri"/>
                <w:sz w:val="18"/>
                <w:szCs w:val="18"/>
              </w:rPr>
              <w:t>NE</w:t>
            </w:r>
          </w:p>
        </w:tc>
      </w:tr>
      <w:tr w:rsidR="009B2872" w:rsidRPr="00037D90" w14:paraId="509F6EB8" w14:textId="77777777" w:rsidTr="004C6219">
        <w:trPr>
          <w:gridAfter w:val="1"/>
          <w:wAfter w:w="24" w:type="dxa"/>
        </w:trPr>
        <w:tc>
          <w:tcPr>
            <w:tcW w:w="14572" w:type="dxa"/>
            <w:gridSpan w:val="12"/>
            <w:shd w:val="clear" w:color="auto" w:fill="D2DDE1" w:themeFill="background2"/>
          </w:tcPr>
          <w:p w14:paraId="54B220C1" w14:textId="77777777" w:rsidR="009B2872" w:rsidRPr="003D5E37" w:rsidRDefault="009B2872" w:rsidP="004C6219">
            <w:pPr>
              <w:spacing w:before="40" w:after="40" w:line="240" w:lineRule="auto"/>
              <w:jc w:val="left"/>
              <w:rPr>
                <w:rFonts w:cs="Calibri"/>
                <w:b/>
                <w:sz w:val="18"/>
                <w:szCs w:val="18"/>
              </w:rPr>
            </w:pPr>
            <w:r w:rsidRPr="003D5E37">
              <w:rPr>
                <w:rFonts w:cs="Calibri"/>
                <w:b/>
                <w:sz w:val="18"/>
                <w:szCs w:val="18"/>
              </w:rPr>
              <w:t>Energy: energy efficiency</w:t>
            </w:r>
          </w:p>
        </w:tc>
      </w:tr>
      <w:tr w:rsidR="00361478" w:rsidRPr="00037D90" w14:paraId="509B33F1" w14:textId="77777777" w:rsidTr="00271C02">
        <w:trPr>
          <w:gridAfter w:val="1"/>
          <w:wAfter w:w="24" w:type="dxa"/>
        </w:trPr>
        <w:tc>
          <w:tcPr>
            <w:tcW w:w="1276" w:type="dxa"/>
            <w:shd w:val="clear" w:color="auto" w:fill="auto"/>
          </w:tcPr>
          <w:p w14:paraId="0F67642F"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rPr>
              <w:t>Equipment Energy Efficiency programme</w:t>
            </w:r>
          </w:p>
        </w:tc>
        <w:tc>
          <w:tcPr>
            <w:tcW w:w="1559" w:type="dxa"/>
          </w:tcPr>
          <w:p w14:paraId="0C7B22A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The joint Equipment Energy Efficiency Programme has been developed with Australia. Energy efficiency measures, including energy rating labelling for a range of residential, commercial and industrial products, along with mandatory performance standards, allow both countries to set consistent standards and measures for energy efficiency.</w:t>
            </w:r>
          </w:p>
        </w:tc>
        <w:tc>
          <w:tcPr>
            <w:tcW w:w="1418" w:type="dxa"/>
          </w:tcPr>
          <w:p w14:paraId="6AED811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Help households and businesses to purchase and use products that use less energy and save money.</w:t>
            </w:r>
          </w:p>
        </w:tc>
        <w:tc>
          <w:tcPr>
            <w:tcW w:w="992" w:type="dxa"/>
          </w:tcPr>
          <w:p w14:paraId="347E251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 other</w:t>
            </w:r>
          </w:p>
        </w:tc>
        <w:tc>
          <w:tcPr>
            <w:tcW w:w="1129" w:type="dxa"/>
          </w:tcPr>
          <w:p w14:paraId="66611BF2"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shd w:val="clear" w:color="auto" w:fill="auto"/>
          </w:tcPr>
          <w:p w14:paraId="367A0F25"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rPr>
              <w:t>Energy</w:t>
            </w:r>
          </w:p>
        </w:tc>
        <w:tc>
          <w:tcPr>
            <w:tcW w:w="1276" w:type="dxa"/>
            <w:shd w:val="clear" w:color="auto" w:fill="auto"/>
          </w:tcPr>
          <w:p w14:paraId="03A3DE6E"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rPr>
              <w:t>CO</w:t>
            </w:r>
            <w:r w:rsidRPr="00037D90">
              <w:rPr>
                <w:rFonts w:cs="Calibri"/>
                <w:sz w:val="18"/>
                <w:szCs w:val="18"/>
                <w:vertAlign w:val="subscript"/>
              </w:rPr>
              <w:t>2</w:t>
            </w:r>
          </w:p>
        </w:tc>
        <w:tc>
          <w:tcPr>
            <w:tcW w:w="1275" w:type="dxa"/>
            <w:shd w:val="clear" w:color="auto" w:fill="auto"/>
          </w:tcPr>
          <w:p w14:paraId="4098C939"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rPr>
              <w:t>2002</w:t>
            </w:r>
          </w:p>
        </w:tc>
        <w:tc>
          <w:tcPr>
            <w:tcW w:w="1418" w:type="dxa"/>
            <w:shd w:val="clear" w:color="auto" w:fill="auto"/>
          </w:tcPr>
          <w:p w14:paraId="406C7071"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rPr>
              <w:t>Energy Efficiency and Conservation Authority</w:t>
            </w:r>
          </w:p>
        </w:tc>
        <w:tc>
          <w:tcPr>
            <w:tcW w:w="992" w:type="dxa"/>
          </w:tcPr>
          <w:p w14:paraId="1B2265A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shd w:val="clear" w:color="auto" w:fill="auto"/>
          </w:tcPr>
          <w:p w14:paraId="11A1D5B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shd w:val="clear" w:color="auto" w:fill="auto"/>
          </w:tcPr>
          <w:p w14:paraId="08917DF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361478" w:rsidRPr="00037D90" w14:paraId="4EBBCEA6" w14:textId="77777777" w:rsidTr="00271C02">
        <w:trPr>
          <w:gridAfter w:val="1"/>
          <w:wAfter w:w="24" w:type="dxa"/>
        </w:trPr>
        <w:tc>
          <w:tcPr>
            <w:tcW w:w="1276" w:type="dxa"/>
            <w:shd w:val="clear" w:color="auto" w:fill="auto"/>
          </w:tcPr>
          <w:p w14:paraId="6D248701"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rPr>
              <w:t xml:space="preserve">Publicly Available Specifications </w:t>
            </w:r>
          </w:p>
        </w:tc>
        <w:tc>
          <w:tcPr>
            <w:tcW w:w="1559" w:type="dxa"/>
          </w:tcPr>
          <w:p w14:paraId="2D5C252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The Energy Efficiency and Conservation Authority has worked with Standards New Zealand since 2020 to develop five Publicly Available Specifications. This includes guidance for biomass boilers, high-temperature heat pumps, and residential and commercial electric vehicle chargers.</w:t>
            </w:r>
          </w:p>
        </w:tc>
        <w:tc>
          <w:tcPr>
            <w:tcW w:w="1418" w:type="dxa"/>
          </w:tcPr>
          <w:p w14:paraId="43092EE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Provide best-practice specifications for non-regulated products.</w:t>
            </w:r>
          </w:p>
        </w:tc>
        <w:tc>
          <w:tcPr>
            <w:tcW w:w="992" w:type="dxa"/>
          </w:tcPr>
          <w:p w14:paraId="5258BAB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Other</w:t>
            </w:r>
          </w:p>
        </w:tc>
        <w:tc>
          <w:tcPr>
            <w:tcW w:w="1129" w:type="dxa"/>
          </w:tcPr>
          <w:p w14:paraId="3100E3AA"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shd w:val="clear" w:color="auto" w:fill="auto"/>
          </w:tcPr>
          <w:p w14:paraId="0A2AC608"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rPr>
              <w:t>Energy</w:t>
            </w:r>
          </w:p>
        </w:tc>
        <w:tc>
          <w:tcPr>
            <w:tcW w:w="1276" w:type="dxa"/>
            <w:shd w:val="clear" w:color="auto" w:fill="auto"/>
          </w:tcPr>
          <w:p w14:paraId="25FBC925"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rPr>
              <w:t>CO</w:t>
            </w:r>
            <w:r w:rsidRPr="00037D90">
              <w:rPr>
                <w:rFonts w:cs="Calibri"/>
                <w:sz w:val="18"/>
                <w:szCs w:val="18"/>
                <w:vertAlign w:val="subscript"/>
              </w:rPr>
              <w:t>2</w:t>
            </w:r>
          </w:p>
        </w:tc>
        <w:tc>
          <w:tcPr>
            <w:tcW w:w="1275" w:type="dxa"/>
            <w:shd w:val="clear" w:color="auto" w:fill="auto"/>
          </w:tcPr>
          <w:p w14:paraId="476058AC"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rPr>
              <w:t>2020</w:t>
            </w:r>
          </w:p>
        </w:tc>
        <w:tc>
          <w:tcPr>
            <w:tcW w:w="1418" w:type="dxa"/>
            <w:shd w:val="clear" w:color="auto" w:fill="auto"/>
          </w:tcPr>
          <w:p w14:paraId="56369C38" w14:textId="77777777" w:rsidR="009B2872" w:rsidRPr="00037D90" w:rsidRDefault="009B2872" w:rsidP="004C6219">
            <w:pPr>
              <w:spacing w:before="40" w:after="40" w:line="240" w:lineRule="auto"/>
              <w:jc w:val="left"/>
              <w:rPr>
                <w:rFonts w:cs="Calibri"/>
                <w:sz w:val="18"/>
                <w:szCs w:val="18"/>
                <w:lang w:eastAsia="en-US"/>
              </w:rPr>
            </w:pPr>
            <w:r w:rsidRPr="00037D90">
              <w:rPr>
                <w:rFonts w:cs="Calibri"/>
                <w:sz w:val="18"/>
                <w:szCs w:val="18"/>
              </w:rPr>
              <w:t>Energy Efficiency and Conservation Authority</w:t>
            </w:r>
          </w:p>
        </w:tc>
        <w:tc>
          <w:tcPr>
            <w:tcW w:w="992" w:type="dxa"/>
          </w:tcPr>
          <w:p w14:paraId="0813F31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shd w:val="clear" w:color="auto" w:fill="auto"/>
          </w:tcPr>
          <w:p w14:paraId="0061EF5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shd w:val="clear" w:color="auto" w:fill="auto"/>
          </w:tcPr>
          <w:p w14:paraId="482857C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361478" w:rsidRPr="00037D90" w14:paraId="7B3777DA" w14:textId="77777777" w:rsidTr="00271C02">
        <w:trPr>
          <w:gridAfter w:val="1"/>
          <w:wAfter w:w="24" w:type="dxa"/>
        </w:trPr>
        <w:tc>
          <w:tcPr>
            <w:tcW w:w="1276" w:type="dxa"/>
            <w:shd w:val="clear" w:color="auto" w:fill="auto"/>
          </w:tcPr>
          <w:p w14:paraId="15F3935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Gen Less</w:t>
            </w:r>
          </w:p>
        </w:tc>
        <w:tc>
          <w:tcPr>
            <w:tcW w:w="1559" w:type="dxa"/>
          </w:tcPr>
          <w:p w14:paraId="3C69478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The Gen Less website, social media channels and direct mailing lists provide information about climate change and how to reduce energy-related emissions at household, business and national levels.</w:t>
            </w:r>
          </w:p>
        </w:tc>
        <w:tc>
          <w:tcPr>
            <w:tcW w:w="1418" w:type="dxa"/>
          </w:tcPr>
          <w:p w14:paraId="2DEAD43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Educate people and businesses about their energy choices.</w:t>
            </w:r>
          </w:p>
        </w:tc>
        <w:tc>
          <w:tcPr>
            <w:tcW w:w="992" w:type="dxa"/>
          </w:tcPr>
          <w:p w14:paraId="24DC6D0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Other</w:t>
            </w:r>
          </w:p>
        </w:tc>
        <w:tc>
          <w:tcPr>
            <w:tcW w:w="1129" w:type="dxa"/>
          </w:tcPr>
          <w:p w14:paraId="37500CC6"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shd w:val="clear" w:color="auto" w:fill="auto"/>
          </w:tcPr>
          <w:p w14:paraId="1506D03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Energy</w:t>
            </w:r>
          </w:p>
        </w:tc>
        <w:tc>
          <w:tcPr>
            <w:tcW w:w="1276" w:type="dxa"/>
            <w:shd w:val="clear" w:color="auto" w:fill="auto"/>
          </w:tcPr>
          <w:p w14:paraId="416F728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shd w:val="clear" w:color="auto" w:fill="auto"/>
          </w:tcPr>
          <w:p w14:paraId="6B88772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2019</w:t>
            </w:r>
          </w:p>
        </w:tc>
        <w:tc>
          <w:tcPr>
            <w:tcW w:w="1418" w:type="dxa"/>
            <w:shd w:val="clear" w:color="auto" w:fill="auto"/>
          </w:tcPr>
          <w:p w14:paraId="6D4F3CF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Energy Efficiency and Conservation Authority</w:t>
            </w:r>
          </w:p>
        </w:tc>
        <w:tc>
          <w:tcPr>
            <w:tcW w:w="992" w:type="dxa"/>
          </w:tcPr>
          <w:p w14:paraId="13E4075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shd w:val="clear" w:color="auto" w:fill="auto"/>
          </w:tcPr>
          <w:p w14:paraId="2DFA3C1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shd w:val="clear" w:color="auto" w:fill="auto"/>
          </w:tcPr>
          <w:p w14:paraId="73E033F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361478" w:rsidRPr="00037D90" w14:paraId="0E4CCAEA" w14:textId="77777777" w:rsidTr="00271C02">
        <w:trPr>
          <w:gridAfter w:val="1"/>
          <w:wAfter w:w="24" w:type="dxa"/>
        </w:trPr>
        <w:tc>
          <w:tcPr>
            <w:tcW w:w="1276" w:type="dxa"/>
            <w:shd w:val="clear" w:color="auto" w:fill="auto"/>
          </w:tcPr>
          <w:p w14:paraId="19FDEBA5"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 xml:space="preserve">Support for Energy Education in Communities Programme </w:t>
            </w:r>
          </w:p>
        </w:tc>
        <w:tc>
          <w:tcPr>
            <w:tcW w:w="1559" w:type="dxa"/>
          </w:tcPr>
          <w:p w14:paraId="3D45DFC0"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The Support for Energy Education in Communities Programme funds New Zealand organisations to deliver personalised, specialist advice and education to struggling households in their communities. Organisations can also supply low-cost, energy-saving items, such as LED light bulbs, low-flow showerheads, heaters and devices to monitor temperature and humidity.</w:t>
            </w:r>
          </w:p>
        </w:tc>
        <w:tc>
          <w:tcPr>
            <w:tcW w:w="1418" w:type="dxa"/>
          </w:tcPr>
          <w:p w14:paraId="3CA5952D"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 xml:space="preserve">Lift people out of energy hardship. </w:t>
            </w:r>
          </w:p>
        </w:tc>
        <w:tc>
          <w:tcPr>
            <w:tcW w:w="992" w:type="dxa"/>
          </w:tcPr>
          <w:p w14:paraId="3758C3AD"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Economic instrument</w:t>
            </w:r>
          </w:p>
        </w:tc>
        <w:tc>
          <w:tcPr>
            <w:tcW w:w="1129" w:type="dxa"/>
          </w:tcPr>
          <w:p w14:paraId="6357A600" w14:textId="77777777" w:rsidR="009B2872" w:rsidRPr="003D5E37" w:rsidRDefault="009B2872" w:rsidP="004C6219">
            <w:pPr>
              <w:spacing w:before="40" w:after="40" w:line="240" w:lineRule="auto"/>
              <w:jc w:val="left"/>
              <w:rPr>
                <w:rFonts w:cs="Calibri"/>
                <w:color w:val="000000"/>
                <w:sz w:val="18"/>
                <w:szCs w:val="18"/>
              </w:rPr>
            </w:pPr>
            <w:r w:rsidRPr="003D5E37">
              <w:rPr>
                <w:rFonts w:cs="Calibri"/>
                <w:color w:val="000000"/>
                <w:sz w:val="18"/>
                <w:szCs w:val="18"/>
              </w:rPr>
              <w:t>Implemented</w:t>
            </w:r>
          </w:p>
        </w:tc>
        <w:tc>
          <w:tcPr>
            <w:tcW w:w="1281" w:type="dxa"/>
            <w:shd w:val="clear" w:color="auto" w:fill="auto"/>
          </w:tcPr>
          <w:p w14:paraId="34884C41"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Energy</w:t>
            </w:r>
          </w:p>
        </w:tc>
        <w:tc>
          <w:tcPr>
            <w:tcW w:w="1276" w:type="dxa"/>
            <w:shd w:val="clear" w:color="auto" w:fill="auto"/>
          </w:tcPr>
          <w:p w14:paraId="6BE235EC"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CO</w:t>
            </w:r>
            <w:r w:rsidRPr="00037D90">
              <w:rPr>
                <w:rFonts w:cs="Calibri"/>
                <w:color w:val="000000"/>
                <w:sz w:val="18"/>
                <w:szCs w:val="18"/>
                <w:vertAlign w:val="subscript"/>
              </w:rPr>
              <w:t>2</w:t>
            </w:r>
          </w:p>
        </w:tc>
        <w:tc>
          <w:tcPr>
            <w:tcW w:w="1275" w:type="dxa"/>
            <w:shd w:val="clear" w:color="auto" w:fill="auto"/>
          </w:tcPr>
          <w:p w14:paraId="603B968B"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2020</w:t>
            </w:r>
          </w:p>
        </w:tc>
        <w:tc>
          <w:tcPr>
            <w:tcW w:w="1418" w:type="dxa"/>
            <w:shd w:val="clear" w:color="auto" w:fill="auto"/>
          </w:tcPr>
          <w:p w14:paraId="690B3D6B"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Ministry of Business, Innovation and Employment</w:t>
            </w:r>
          </w:p>
        </w:tc>
        <w:tc>
          <w:tcPr>
            <w:tcW w:w="992" w:type="dxa"/>
          </w:tcPr>
          <w:p w14:paraId="6F40136D"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NE</w:t>
            </w:r>
          </w:p>
        </w:tc>
        <w:tc>
          <w:tcPr>
            <w:tcW w:w="992" w:type="dxa"/>
            <w:shd w:val="clear" w:color="auto" w:fill="auto"/>
          </w:tcPr>
          <w:p w14:paraId="08362979"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NE</w:t>
            </w:r>
          </w:p>
        </w:tc>
        <w:tc>
          <w:tcPr>
            <w:tcW w:w="964" w:type="dxa"/>
            <w:shd w:val="clear" w:color="auto" w:fill="auto"/>
          </w:tcPr>
          <w:p w14:paraId="20E1B796"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NE</w:t>
            </w:r>
          </w:p>
        </w:tc>
      </w:tr>
      <w:tr w:rsidR="009B2872" w:rsidRPr="00037D90" w14:paraId="3465B010" w14:textId="77777777" w:rsidTr="004C6219">
        <w:trPr>
          <w:gridAfter w:val="1"/>
          <w:wAfter w:w="24" w:type="dxa"/>
        </w:trPr>
        <w:tc>
          <w:tcPr>
            <w:tcW w:w="14572" w:type="dxa"/>
            <w:gridSpan w:val="12"/>
            <w:shd w:val="clear" w:color="auto" w:fill="D2DDE1" w:themeFill="background2"/>
          </w:tcPr>
          <w:p w14:paraId="3311292F" w14:textId="77777777" w:rsidR="009B2872" w:rsidRPr="003D5E37" w:rsidRDefault="009B2872" w:rsidP="004C6219">
            <w:pPr>
              <w:spacing w:before="40" w:after="40" w:line="240" w:lineRule="auto"/>
              <w:jc w:val="left"/>
              <w:rPr>
                <w:rFonts w:cs="Calibri"/>
                <w:sz w:val="18"/>
                <w:szCs w:val="18"/>
              </w:rPr>
            </w:pPr>
            <w:r w:rsidRPr="003D5E37">
              <w:rPr>
                <w:rFonts w:cs="Calibri"/>
                <w:b/>
                <w:color w:val="000000"/>
                <w:sz w:val="18"/>
                <w:szCs w:val="18"/>
              </w:rPr>
              <w:t>Energy: Business decarbonisation</w:t>
            </w:r>
          </w:p>
        </w:tc>
      </w:tr>
      <w:tr w:rsidR="00361478" w:rsidRPr="00037D90" w14:paraId="07AF32D1" w14:textId="77777777" w:rsidTr="00271C02">
        <w:trPr>
          <w:gridAfter w:val="1"/>
          <w:wAfter w:w="24" w:type="dxa"/>
        </w:trPr>
        <w:tc>
          <w:tcPr>
            <w:tcW w:w="1276" w:type="dxa"/>
            <w:shd w:val="clear" w:color="auto" w:fill="auto"/>
          </w:tcPr>
          <w:p w14:paraId="3C20344C" w14:textId="25EBCB34"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 xml:space="preserve">Business </w:t>
            </w:r>
            <w:r w:rsidRPr="00E81F20">
              <w:rPr>
                <w:rFonts w:cs="Calibri"/>
                <w:color w:val="000000"/>
                <w:w w:val="97"/>
                <w:sz w:val="18"/>
                <w:szCs w:val="18"/>
              </w:rPr>
              <w:t>decarbonisation</w:t>
            </w:r>
            <w:r w:rsidRPr="00037D90">
              <w:rPr>
                <w:rFonts w:cs="Calibri"/>
                <w:color w:val="000000"/>
                <w:sz w:val="18"/>
                <w:szCs w:val="18"/>
              </w:rPr>
              <w:t xml:space="preserve"> programmes</w:t>
            </w:r>
          </w:p>
        </w:tc>
        <w:tc>
          <w:tcPr>
            <w:tcW w:w="1559" w:type="dxa"/>
          </w:tcPr>
          <w:p w14:paraId="3A83235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The Government’s business decarbonisation programmes help businesses reduce emissions and improve energy productivity. Support is provided through the programmes included below, as well as via energy audits and feasibility studies. It includes the Energy Transition Accelerator programme, Regional Energy Transition Accelerator programme, Technology Demonstration programme and </w:t>
            </w:r>
            <w:r w:rsidRPr="00037D90">
              <w:rPr>
                <w:rFonts w:eastAsia="Calibri" w:cs="Calibri"/>
                <w:sz w:val="18"/>
                <w:szCs w:val="18"/>
              </w:rPr>
              <w:t xml:space="preserve">the Sector Decarbonisation Programme. </w:t>
            </w:r>
          </w:p>
        </w:tc>
        <w:tc>
          <w:tcPr>
            <w:tcW w:w="1418" w:type="dxa"/>
          </w:tcPr>
          <w:p w14:paraId="53EEE737"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Support businesses to decarbonise process heat.</w:t>
            </w:r>
          </w:p>
        </w:tc>
        <w:tc>
          <w:tcPr>
            <w:tcW w:w="992" w:type="dxa"/>
          </w:tcPr>
          <w:p w14:paraId="0F290E70"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Other</w:t>
            </w:r>
          </w:p>
        </w:tc>
        <w:tc>
          <w:tcPr>
            <w:tcW w:w="1129" w:type="dxa"/>
          </w:tcPr>
          <w:p w14:paraId="351B8FEB" w14:textId="77777777" w:rsidR="009B2872" w:rsidRPr="003D5E37" w:rsidRDefault="009B2872" w:rsidP="004C6219">
            <w:pPr>
              <w:spacing w:before="40" w:after="40" w:line="240" w:lineRule="auto"/>
              <w:jc w:val="left"/>
              <w:rPr>
                <w:rFonts w:cs="Calibri"/>
                <w:color w:val="000000" w:themeColor="text1"/>
                <w:sz w:val="18"/>
                <w:szCs w:val="18"/>
              </w:rPr>
            </w:pPr>
            <w:r w:rsidRPr="003D5E37">
              <w:rPr>
                <w:rFonts w:cs="Calibri"/>
                <w:sz w:val="18"/>
                <w:szCs w:val="18"/>
              </w:rPr>
              <w:t>Implemented</w:t>
            </w:r>
          </w:p>
          <w:p w14:paraId="7D6CEACE" w14:textId="77777777" w:rsidR="009B2872" w:rsidRPr="003D5E37" w:rsidRDefault="009B2872" w:rsidP="004C6219">
            <w:pPr>
              <w:spacing w:before="40" w:after="40" w:line="240" w:lineRule="auto"/>
              <w:jc w:val="left"/>
              <w:rPr>
                <w:rFonts w:cs="Calibri"/>
                <w:color w:val="000000"/>
                <w:sz w:val="18"/>
                <w:szCs w:val="18"/>
              </w:rPr>
            </w:pPr>
          </w:p>
        </w:tc>
        <w:tc>
          <w:tcPr>
            <w:tcW w:w="1281" w:type="dxa"/>
            <w:shd w:val="clear" w:color="auto" w:fill="auto"/>
          </w:tcPr>
          <w:p w14:paraId="5678E921" w14:textId="77777777" w:rsidR="009B2872" w:rsidRPr="00037D90"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Energy</w:t>
            </w:r>
          </w:p>
          <w:p w14:paraId="77948069" w14:textId="77777777" w:rsidR="009B2872" w:rsidRPr="00037D90" w:rsidRDefault="009B2872" w:rsidP="004C6219">
            <w:pPr>
              <w:spacing w:before="40" w:after="40" w:line="240" w:lineRule="auto"/>
              <w:jc w:val="left"/>
              <w:rPr>
                <w:rFonts w:cs="Calibri"/>
                <w:color w:val="000000"/>
                <w:sz w:val="18"/>
                <w:szCs w:val="18"/>
              </w:rPr>
            </w:pPr>
          </w:p>
        </w:tc>
        <w:tc>
          <w:tcPr>
            <w:tcW w:w="1276" w:type="dxa"/>
            <w:shd w:val="clear" w:color="auto" w:fill="auto"/>
          </w:tcPr>
          <w:p w14:paraId="170F2BCA" w14:textId="77777777" w:rsidR="009B2872" w:rsidRPr="00037D90"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CO</w:t>
            </w:r>
            <w:r w:rsidRPr="00037D90">
              <w:rPr>
                <w:rFonts w:cs="Calibri"/>
                <w:color w:val="000000" w:themeColor="text1"/>
                <w:sz w:val="18"/>
                <w:szCs w:val="18"/>
                <w:vertAlign w:val="subscript"/>
              </w:rPr>
              <w:t>2</w:t>
            </w:r>
          </w:p>
          <w:p w14:paraId="3C0FB0BC" w14:textId="77777777" w:rsidR="009B2872" w:rsidRPr="00037D90" w:rsidRDefault="009B2872" w:rsidP="004C6219">
            <w:pPr>
              <w:spacing w:before="40" w:after="40" w:line="240" w:lineRule="auto"/>
              <w:jc w:val="left"/>
              <w:rPr>
                <w:rFonts w:cs="Calibri"/>
                <w:color w:val="000000"/>
                <w:sz w:val="18"/>
                <w:szCs w:val="18"/>
              </w:rPr>
            </w:pPr>
          </w:p>
        </w:tc>
        <w:tc>
          <w:tcPr>
            <w:tcW w:w="1275" w:type="dxa"/>
            <w:shd w:val="clear" w:color="auto" w:fill="auto"/>
          </w:tcPr>
          <w:p w14:paraId="40FBF9A8"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2013</w:t>
            </w:r>
          </w:p>
        </w:tc>
        <w:tc>
          <w:tcPr>
            <w:tcW w:w="1418" w:type="dxa"/>
            <w:shd w:val="clear" w:color="auto" w:fill="auto"/>
          </w:tcPr>
          <w:p w14:paraId="1DA58850" w14:textId="77777777" w:rsidR="009B2872" w:rsidRPr="00037D90" w:rsidRDefault="009B2872" w:rsidP="004C6219">
            <w:pPr>
              <w:spacing w:before="40" w:after="40" w:line="240" w:lineRule="auto"/>
              <w:jc w:val="left"/>
              <w:rPr>
                <w:rFonts w:cs="Calibri"/>
                <w:color w:val="000000" w:themeColor="text1"/>
                <w:sz w:val="18"/>
                <w:szCs w:val="18"/>
              </w:rPr>
            </w:pPr>
            <w:r w:rsidRPr="00037D90">
              <w:rPr>
                <w:rFonts w:cs="Calibri"/>
                <w:sz w:val="18"/>
                <w:szCs w:val="18"/>
              </w:rPr>
              <w:t>Energy Efficiency and Conservation Authority</w:t>
            </w:r>
          </w:p>
          <w:p w14:paraId="726B1636" w14:textId="77777777" w:rsidR="009B2872" w:rsidRPr="00037D90" w:rsidRDefault="009B2872" w:rsidP="004C6219">
            <w:pPr>
              <w:spacing w:before="40" w:after="40" w:line="240" w:lineRule="auto"/>
              <w:jc w:val="left"/>
              <w:rPr>
                <w:rFonts w:cs="Calibri"/>
                <w:color w:val="000000"/>
                <w:sz w:val="18"/>
                <w:szCs w:val="18"/>
              </w:rPr>
            </w:pPr>
          </w:p>
        </w:tc>
        <w:tc>
          <w:tcPr>
            <w:tcW w:w="992" w:type="dxa"/>
          </w:tcPr>
          <w:p w14:paraId="11401BD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277</w:t>
            </w:r>
          </w:p>
        </w:tc>
        <w:tc>
          <w:tcPr>
            <w:tcW w:w="992" w:type="dxa"/>
            <w:shd w:val="clear" w:color="auto" w:fill="auto"/>
          </w:tcPr>
          <w:p w14:paraId="6377E0B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332</w:t>
            </w:r>
          </w:p>
        </w:tc>
        <w:tc>
          <w:tcPr>
            <w:tcW w:w="964" w:type="dxa"/>
            <w:shd w:val="clear" w:color="auto" w:fill="auto"/>
          </w:tcPr>
          <w:p w14:paraId="08F3AFE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646</w:t>
            </w:r>
          </w:p>
        </w:tc>
      </w:tr>
      <w:tr w:rsidR="00361478" w:rsidRPr="00037D90" w14:paraId="107919EE" w14:textId="77777777" w:rsidTr="00271C02">
        <w:trPr>
          <w:gridAfter w:val="1"/>
          <w:wAfter w:w="24" w:type="dxa"/>
        </w:trPr>
        <w:tc>
          <w:tcPr>
            <w:tcW w:w="1276" w:type="dxa"/>
            <w:shd w:val="clear" w:color="auto" w:fill="auto"/>
          </w:tcPr>
          <w:p w14:paraId="673D3ADD" w14:textId="2561349F"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Energy Transition Accelerator Programme</w:t>
            </w:r>
          </w:p>
        </w:tc>
        <w:tc>
          <w:tcPr>
            <w:tcW w:w="1559" w:type="dxa"/>
          </w:tcPr>
          <w:p w14:paraId="099699B9" w14:textId="77777777" w:rsidR="009B2872" w:rsidRDefault="009B2872" w:rsidP="004C6219">
            <w:pPr>
              <w:spacing w:before="40" w:after="40" w:line="240" w:lineRule="auto"/>
              <w:jc w:val="left"/>
              <w:rPr>
                <w:rFonts w:cs="Calibri"/>
                <w:sz w:val="18"/>
                <w:szCs w:val="18"/>
              </w:rPr>
            </w:pPr>
            <w:r w:rsidRPr="00037D90">
              <w:rPr>
                <w:rFonts w:cs="Calibri"/>
                <w:sz w:val="18"/>
                <w:szCs w:val="18"/>
              </w:rPr>
              <w:t>The Energy Efficiency and Conservation Authority works with large energy users to help them develop tailored and practical low-carbon transition pathways. The goal is to facilitate long-term thinking by drafting a practical map for transition, showing what the technically and economically feasible opportunities are, including innovative technologies, energy efficiency and fuel switching.</w:t>
            </w:r>
          </w:p>
          <w:p w14:paraId="3308204E" w14:textId="4CF7F587" w:rsidR="009B2872" w:rsidRPr="00037D90" w:rsidRDefault="004053F4" w:rsidP="004C6219">
            <w:pPr>
              <w:spacing w:before="40" w:after="40" w:line="240" w:lineRule="auto"/>
              <w:jc w:val="left"/>
              <w:rPr>
                <w:rFonts w:cs="Calibri"/>
                <w:color w:val="000000"/>
                <w:sz w:val="18"/>
                <w:szCs w:val="18"/>
              </w:rPr>
            </w:pPr>
            <w:r w:rsidRPr="004053F4">
              <w:rPr>
                <w:rFonts w:cs="Calibri"/>
                <w:color w:val="000000"/>
                <w:sz w:val="18"/>
                <w:szCs w:val="18"/>
              </w:rPr>
              <w:t>The estimates of GHG emissions reductions from this policy are included within Business decarbonisation programmes</w:t>
            </w:r>
            <w:r w:rsidR="007669B8">
              <w:rPr>
                <w:rFonts w:cs="Calibri"/>
                <w:color w:val="000000"/>
                <w:sz w:val="18"/>
                <w:szCs w:val="18"/>
              </w:rPr>
              <w:t>.</w:t>
            </w:r>
          </w:p>
        </w:tc>
        <w:tc>
          <w:tcPr>
            <w:tcW w:w="1418" w:type="dxa"/>
          </w:tcPr>
          <w:p w14:paraId="59CC1904"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Develop long-term plans for businesses to transition to lowering emissions as much as possible.</w:t>
            </w:r>
          </w:p>
        </w:tc>
        <w:tc>
          <w:tcPr>
            <w:tcW w:w="992" w:type="dxa"/>
          </w:tcPr>
          <w:p w14:paraId="05E88FA4"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Economic instrument, other</w:t>
            </w:r>
          </w:p>
        </w:tc>
        <w:tc>
          <w:tcPr>
            <w:tcW w:w="1129" w:type="dxa"/>
          </w:tcPr>
          <w:p w14:paraId="45DB2A3E" w14:textId="77777777" w:rsidR="009B2872" w:rsidRPr="003D5E37" w:rsidRDefault="009B2872" w:rsidP="004C6219">
            <w:pPr>
              <w:spacing w:before="40" w:after="40" w:line="240" w:lineRule="auto"/>
              <w:jc w:val="left"/>
              <w:rPr>
                <w:rFonts w:cs="Calibri"/>
                <w:color w:val="000000"/>
                <w:sz w:val="18"/>
                <w:szCs w:val="18"/>
              </w:rPr>
            </w:pPr>
            <w:r w:rsidRPr="003D5E37">
              <w:rPr>
                <w:rFonts w:cs="Calibri"/>
                <w:sz w:val="18"/>
                <w:szCs w:val="18"/>
              </w:rPr>
              <w:t>Implemented</w:t>
            </w:r>
          </w:p>
        </w:tc>
        <w:tc>
          <w:tcPr>
            <w:tcW w:w="1281" w:type="dxa"/>
            <w:shd w:val="clear" w:color="auto" w:fill="auto"/>
          </w:tcPr>
          <w:p w14:paraId="03F0780D"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Energy</w:t>
            </w:r>
          </w:p>
        </w:tc>
        <w:tc>
          <w:tcPr>
            <w:tcW w:w="1276" w:type="dxa"/>
            <w:shd w:val="clear" w:color="auto" w:fill="auto"/>
          </w:tcPr>
          <w:p w14:paraId="3B3A30F0"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CO</w:t>
            </w:r>
            <w:r w:rsidRPr="00037D90">
              <w:rPr>
                <w:rFonts w:cs="Calibri"/>
                <w:sz w:val="18"/>
                <w:szCs w:val="18"/>
                <w:vertAlign w:val="subscript"/>
              </w:rPr>
              <w:t>2</w:t>
            </w:r>
          </w:p>
        </w:tc>
        <w:tc>
          <w:tcPr>
            <w:tcW w:w="1275" w:type="dxa"/>
            <w:shd w:val="clear" w:color="auto" w:fill="auto"/>
          </w:tcPr>
          <w:p w14:paraId="42743317"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2019</w:t>
            </w:r>
          </w:p>
        </w:tc>
        <w:tc>
          <w:tcPr>
            <w:tcW w:w="1418" w:type="dxa"/>
            <w:shd w:val="clear" w:color="auto" w:fill="auto"/>
          </w:tcPr>
          <w:p w14:paraId="7ED8D344"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Energy Efficiency and Conservation Authority</w:t>
            </w:r>
          </w:p>
        </w:tc>
        <w:tc>
          <w:tcPr>
            <w:tcW w:w="992" w:type="dxa"/>
          </w:tcPr>
          <w:p w14:paraId="5F2DD6B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IE</w:t>
            </w:r>
          </w:p>
        </w:tc>
        <w:tc>
          <w:tcPr>
            <w:tcW w:w="992" w:type="dxa"/>
            <w:shd w:val="clear" w:color="auto" w:fill="auto"/>
          </w:tcPr>
          <w:p w14:paraId="7C92B31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IE</w:t>
            </w:r>
          </w:p>
        </w:tc>
        <w:tc>
          <w:tcPr>
            <w:tcW w:w="964" w:type="dxa"/>
            <w:shd w:val="clear" w:color="auto" w:fill="auto"/>
          </w:tcPr>
          <w:p w14:paraId="22ED9BA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IE</w:t>
            </w:r>
          </w:p>
        </w:tc>
      </w:tr>
      <w:tr w:rsidR="00361478" w:rsidRPr="00037D90" w14:paraId="0E8E75A1" w14:textId="77777777" w:rsidTr="00271C02">
        <w:trPr>
          <w:gridAfter w:val="1"/>
          <w:wAfter w:w="24" w:type="dxa"/>
        </w:trPr>
        <w:tc>
          <w:tcPr>
            <w:tcW w:w="1276" w:type="dxa"/>
            <w:shd w:val="clear" w:color="auto" w:fill="auto"/>
          </w:tcPr>
          <w:p w14:paraId="10E48526" w14:textId="5A3CE743"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Regional Energy Transition Accelerator programme</w:t>
            </w:r>
          </w:p>
        </w:tc>
        <w:tc>
          <w:tcPr>
            <w:tcW w:w="1559" w:type="dxa"/>
          </w:tcPr>
          <w:p w14:paraId="1E04A75C" w14:textId="77777777" w:rsidR="009B2872" w:rsidRDefault="009B2872" w:rsidP="004C6219">
            <w:pPr>
              <w:spacing w:before="40" w:after="40" w:line="240" w:lineRule="auto"/>
              <w:jc w:val="left"/>
              <w:rPr>
                <w:rFonts w:cs="Calibri"/>
                <w:sz w:val="18"/>
                <w:szCs w:val="18"/>
              </w:rPr>
            </w:pPr>
            <w:r w:rsidRPr="00037D90">
              <w:rPr>
                <w:rFonts w:cs="Calibri"/>
                <w:sz w:val="18"/>
                <w:szCs w:val="18"/>
              </w:rPr>
              <w:t>The Regional Energy Transition Accelerator programme’s focus is on understanding localised opportunities and barriers faced by medium and large energy users when seeking to reduce emissions from process heat.</w:t>
            </w:r>
            <w:r w:rsidR="004053F4">
              <w:rPr>
                <w:rFonts w:cs="Calibri"/>
                <w:sz w:val="18"/>
                <w:szCs w:val="18"/>
              </w:rPr>
              <w:t xml:space="preserve"> </w:t>
            </w:r>
          </w:p>
          <w:p w14:paraId="29D4B36F" w14:textId="041D700D" w:rsidR="009B2872" w:rsidRPr="00037D90" w:rsidRDefault="004053F4" w:rsidP="004C6219">
            <w:pPr>
              <w:spacing w:before="40" w:after="40" w:line="240" w:lineRule="auto"/>
              <w:jc w:val="left"/>
              <w:rPr>
                <w:rFonts w:cs="Calibri"/>
                <w:sz w:val="18"/>
                <w:szCs w:val="18"/>
              </w:rPr>
            </w:pPr>
            <w:r w:rsidRPr="004053F4">
              <w:rPr>
                <w:rFonts w:cs="Calibri"/>
                <w:sz w:val="18"/>
                <w:szCs w:val="18"/>
              </w:rPr>
              <w:t>The estimates of GHG emissions reductions from this policy are included within Business decarbonisation programmes</w:t>
            </w:r>
            <w:r w:rsidR="007669B8">
              <w:rPr>
                <w:rFonts w:cs="Calibri"/>
                <w:sz w:val="18"/>
                <w:szCs w:val="18"/>
              </w:rPr>
              <w:t>.</w:t>
            </w:r>
          </w:p>
        </w:tc>
        <w:tc>
          <w:tcPr>
            <w:tcW w:w="1418" w:type="dxa"/>
          </w:tcPr>
          <w:p w14:paraId="5FF47EBE"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Develop and share a well-informed and coordinated approach for regional decarbonisation.</w:t>
            </w:r>
          </w:p>
        </w:tc>
        <w:tc>
          <w:tcPr>
            <w:tcW w:w="992" w:type="dxa"/>
          </w:tcPr>
          <w:p w14:paraId="41AF1B8F"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Other</w:t>
            </w:r>
          </w:p>
        </w:tc>
        <w:tc>
          <w:tcPr>
            <w:tcW w:w="1129" w:type="dxa"/>
          </w:tcPr>
          <w:p w14:paraId="75C1234C"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shd w:val="clear" w:color="auto" w:fill="auto"/>
          </w:tcPr>
          <w:p w14:paraId="0D741F7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Energy</w:t>
            </w:r>
          </w:p>
        </w:tc>
        <w:tc>
          <w:tcPr>
            <w:tcW w:w="1276" w:type="dxa"/>
            <w:shd w:val="clear" w:color="auto" w:fill="auto"/>
          </w:tcPr>
          <w:p w14:paraId="3AE7A74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shd w:val="clear" w:color="auto" w:fill="auto"/>
          </w:tcPr>
          <w:p w14:paraId="6409AF47"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2022</w:t>
            </w:r>
          </w:p>
        </w:tc>
        <w:tc>
          <w:tcPr>
            <w:tcW w:w="1418" w:type="dxa"/>
            <w:shd w:val="clear" w:color="auto" w:fill="auto"/>
          </w:tcPr>
          <w:p w14:paraId="6296181F" w14:textId="77777777" w:rsidR="009B2872" w:rsidRPr="00037D90" w:rsidRDefault="009B2872" w:rsidP="004C6219">
            <w:pPr>
              <w:spacing w:before="40" w:after="40" w:line="240" w:lineRule="auto"/>
              <w:jc w:val="left"/>
              <w:rPr>
                <w:rFonts w:cs="Calibri"/>
                <w:color w:val="000000" w:themeColor="text1"/>
                <w:sz w:val="18"/>
                <w:szCs w:val="18"/>
              </w:rPr>
            </w:pPr>
            <w:r w:rsidRPr="00037D90">
              <w:rPr>
                <w:rFonts w:cs="Calibri"/>
                <w:sz w:val="18"/>
                <w:szCs w:val="18"/>
              </w:rPr>
              <w:t>Energy Efficiency and Conservation Authority</w:t>
            </w:r>
          </w:p>
          <w:p w14:paraId="33285B98" w14:textId="77777777" w:rsidR="009B2872" w:rsidRPr="00037D90" w:rsidRDefault="009B2872" w:rsidP="004C6219">
            <w:pPr>
              <w:spacing w:before="40" w:after="40" w:line="240" w:lineRule="auto"/>
              <w:jc w:val="left"/>
              <w:rPr>
                <w:rFonts w:cs="Calibri"/>
                <w:color w:val="000000"/>
                <w:sz w:val="18"/>
                <w:szCs w:val="18"/>
              </w:rPr>
            </w:pPr>
          </w:p>
        </w:tc>
        <w:tc>
          <w:tcPr>
            <w:tcW w:w="992" w:type="dxa"/>
          </w:tcPr>
          <w:p w14:paraId="2E4E932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IE</w:t>
            </w:r>
          </w:p>
        </w:tc>
        <w:tc>
          <w:tcPr>
            <w:tcW w:w="992" w:type="dxa"/>
            <w:shd w:val="clear" w:color="auto" w:fill="auto"/>
          </w:tcPr>
          <w:p w14:paraId="176F730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IE</w:t>
            </w:r>
          </w:p>
        </w:tc>
        <w:tc>
          <w:tcPr>
            <w:tcW w:w="964" w:type="dxa"/>
            <w:shd w:val="clear" w:color="auto" w:fill="auto"/>
          </w:tcPr>
          <w:p w14:paraId="299D31D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IE</w:t>
            </w:r>
          </w:p>
        </w:tc>
      </w:tr>
      <w:tr w:rsidR="00361478" w:rsidRPr="00037D90" w14:paraId="1EE1C425" w14:textId="77777777" w:rsidTr="00271C02">
        <w:trPr>
          <w:gridAfter w:val="1"/>
          <w:wAfter w:w="24" w:type="dxa"/>
        </w:trPr>
        <w:tc>
          <w:tcPr>
            <w:tcW w:w="1276" w:type="dxa"/>
            <w:shd w:val="clear" w:color="auto" w:fill="auto"/>
          </w:tcPr>
          <w:p w14:paraId="0A435784" w14:textId="1115FCB4"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Technology Demonstration Fund</w:t>
            </w:r>
          </w:p>
        </w:tc>
        <w:tc>
          <w:tcPr>
            <w:tcW w:w="1559" w:type="dxa"/>
          </w:tcPr>
          <w:p w14:paraId="63B9B8D9" w14:textId="77777777" w:rsidR="009B2872" w:rsidRDefault="009B2872" w:rsidP="004C6219">
            <w:pPr>
              <w:spacing w:before="40" w:after="40" w:line="240" w:lineRule="auto"/>
              <w:jc w:val="left"/>
              <w:rPr>
                <w:rFonts w:cs="Calibri"/>
                <w:sz w:val="18"/>
                <w:szCs w:val="18"/>
              </w:rPr>
            </w:pPr>
            <w:r w:rsidRPr="00037D90">
              <w:rPr>
                <w:rFonts w:cs="Calibri"/>
                <w:sz w:val="18"/>
                <w:szCs w:val="18"/>
              </w:rPr>
              <w:t>The Technology Demonstration Fund co-funds and reduces risks for underused energy-saving technology for wider market deployment. Since 2018/19, the programme has included a specific investment focus to demonstrate innovative electric heat pump technologies.</w:t>
            </w:r>
          </w:p>
          <w:p w14:paraId="54811501" w14:textId="5127BF8B" w:rsidR="009B2872" w:rsidRPr="00037D90" w:rsidRDefault="004053F4" w:rsidP="004C6219">
            <w:pPr>
              <w:spacing w:before="40" w:after="40" w:line="240" w:lineRule="auto"/>
              <w:jc w:val="left"/>
              <w:rPr>
                <w:rFonts w:cs="Calibri"/>
                <w:color w:val="000000"/>
                <w:sz w:val="18"/>
                <w:szCs w:val="18"/>
              </w:rPr>
            </w:pPr>
            <w:r w:rsidRPr="004053F4">
              <w:rPr>
                <w:rFonts w:cs="Calibri"/>
                <w:color w:val="000000"/>
                <w:sz w:val="18"/>
                <w:szCs w:val="18"/>
              </w:rPr>
              <w:t>The estimates of GHG emissions reductions from this policy are included within Business decarbonisation programmes</w:t>
            </w:r>
            <w:r w:rsidR="007669B8">
              <w:rPr>
                <w:rFonts w:cs="Calibri"/>
                <w:color w:val="000000"/>
                <w:sz w:val="18"/>
                <w:szCs w:val="18"/>
              </w:rPr>
              <w:t>.</w:t>
            </w:r>
          </w:p>
        </w:tc>
        <w:tc>
          <w:tcPr>
            <w:tcW w:w="1418" w:type="dxa"/>
          </w:tcPr>
          <w:p w14:paraId="770FAE16"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Promote technology that is commercially proven but underused in New Zealand.</w:t>
            </w:r>
          </w:p>
        </w:tc>
        <w:tc>
          <w:tcPr>
            <w:tcW w:w="992" w:type="dxa"/>
          </w:tcPr>
          <w:p w14:paraId="2F968352"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Other</w:t>
            </w:r>
          </w:p>
        </w:tc>
        <w:tc>
          <w:tcPr>
            <w:tcW w:w="1129" w:type="dxa"/>
          </w:tcPr>
          <w:p w14:paraId="3C38A80C" w14:textId="77777777" w:rsidR="009B2872" w:rsidRPr="003D5E37" w:rsidRDefault="009B2872" w:rsidP="004C6219">
            <w:pPr>
              <w:spacing w:before="40" w:after="40" w:line="240" w:lineRule="auto"/>
              <w:jc w:val="left"/>
              <w:rPr>
                <w:rFonts w:cs="Calibri"/>
                <w:color w:val="000000"/>
                <w:sz w:val="18"/>
                <w:szCs w:val="18"/>
              </w:rPr>
            </w:pPr>
            <w:r w:rsidRPr="003D5E37">
              <w:rPr>
                <w:rFonts w:cs="Calibri"/>
                <w:sz w:val="18"/>
                <w:szCs w:val="18"/>
              </w:rPr>
              <w:t>Implemented</w:t>
            </w:r>
          </w:p>
        </w:tc>
        <w:tc>
          <w:tcPr>
            <w:tcW w:w="1281" w:type="dxa"/>
            <w:shd w:val="clear" w:color="auto" w:fill="auto"/>
          </w:tcPr>
          <w:p w14:paraId="6493A43B"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Energy</w:t>
            </w:r>
          </w:p>
        </w:tc>
        <w:tc>
          <w:tcPr>
            <w:tcW w:w="1276" w:type="dxa"/>
            <w:shd w:val="clear" w:color="auto" w:fill="auto"/>
          </w:tcPr>
          <w:p w14:paraId="0F105D67"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CO</w:t>
            </w:r>
            <w:r w:rsidRPr="00037D90">
              <w:rPr>
                <w:rFonts w:cs="Calibri"/>
                <w:sz w:val="18"/>
                <w:szCs w:val="18"/>
                <w:vertAlign w:val="subscript"/>
              </w:rPr>
              <w:t>2</w:t>
            </w:r>
          </w:p>
        </w:tc>
        <w:tc>
          <w:tcPr>
            <w:tcW w:w="1275" w:type="dxa"/>
            <w:shd w:val="clear" w:color="auto" w:fill="auto"/>
          </w:tcPr>
          <w:p w14:paraId="01DBF676"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2013</w:t>
            </w:r>
          </w:p>
        </w:tc>
        <w:tc>
          <w:tcPr>
            <w:tcW w:w="1418" w:type="dxa"/>
            <w:shd w:val="clear" w:color="auto" w:fill="auto"/>
          </w:tcPr>
          <w:p w14:paraId="6E8ACFA0"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Energy Efficiency and Conservation Authority</w:t>
            </w:r>
          </w:p>
        </w:tc>
        <w:tc>
          <w:tcPr>
            <w:tcW w:w="992" w:type="dxa"/>
          </w:tcPr>
          <w:p w14:paraId="5E4C274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IE</w:t>
            </w:r>
          </w:p>
        </w:tc>
        <w:tc>
          <w:tcPr>
            <w:tcW w:w="992" w:type="dxa"/>
            <w:shd w:val="clear" w:color="auto" w:fill="auto"/>
          </w:tcPr>
          <w:p w14:paraId="2A8B02B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IE</w:t>
            </w:r>
          </w:p>
        </w:tc>
        <w:tc>
          <w:tcPr>
            <w:tcW w:w="964" w:type="dxa"/>
            <w:shd w:val="clear" w:color="auto" w:fill="auto"/>
          </w:tcPr>
          <w:p w14:paraId="31F4FED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IE</w:t>
            </w:r>
          </w:p>
        </w:tc>
      </w:tr>
      <w:tr w:rsidR="00361478" w:rsidRPr="00037D90" w14:paraId="780C3771" w14:textId="77777777" w:rsidTr="00271C02">
        <w:trPr>
          <w:gridAfter w:val="1"/>
          <w:wAfter w:w="24" w:type="dxa"/>
        </w:trPr>
        <w:tc>
          <w:tcPr>
            <w:tcW w:w="1276" w:type="dxa"/>
            <w:shd w:val="clear" w:color="auto" w:fill="auto"/>
          </w:tcPr>
          <w:p w14:paraId="562E75D7" w14:textId="644B7A98" w:rsidR="009B2872" w:rsidRPr="000D6665" w:rsidRDefault="009B2872" w:rsidP="004C6219">
            <w:pPr>
              <w:spacing w:before="40" w:after="40" w:line="240" w:lineRule="auto"/>
              <w:jc w:val="left"/>
              <w:rPr>
                <w:rFonts w:cs="Calibri"/>
                <w:color w:val="000000"/>
                <w:spacing w:val="-4"/>
                <w:sz w:val="18"/>
                <w:szCs w:val="18"/>
              </w:rPr>
            </w:pPr>
            <w:r w:rsidRPr="000D6665">
              <w:rPr>
                <w:rFonts w:cs="Calibri"/>
                <w:spacing w:val="-4"/>
                <w:sz w:val="18"/>
                <w:szCs w:val="18"/>
              </w:rPr>
              <w:t>Sector Decarbonisation Programme</w:t>
            </w:r>
          </w:p>
        </w:tc>
        <w:tc>
          <w:tcPr>
            <w:tcW w:w="1559" w:type="dxa"/>
          </w:tcPr>
          <w:p w14:paraId="7DE4B6A9" w14:textId="77777777" w:rsidR="009B2872" w:rsidRDefault="009B2872" w:rsidP="004C6219">
            <w:pPr>
              <w:spacing w:before="40" w:after="40" w:line="240" w:lineRule="auto"/>
              <w:jc w:val="left"/>
              <w:rPr>
                <w:rFonts w:eastAsia="Calibri" w:cs="Calibri"/>
                <w:sz w:val="18"/>
                <w:szCs w:val="18"/>
              </w:rPr>
            </w:pPr>
            <w:r w:rsidRPr="00037D90">
              <w:rPr>
                <w:rFonts w:eastAsia="Calibri" w:cs="Calibri"/>
                <w:sz w:val="18"/>
                <w:szCs w:val="18"/>
              </w:rPr>
              <w:t>The Sector Decarbonisation Programme provides easy-to-follow pathways for businesses across a range of sectors to understand how to use existing equipment and processes as efficiently as possible. It provides businesses with resources and tools to reduce reliance on fossil fuels.</w:t>
            </w:r>
          </w:p>
          <w:p w14:paraId="4F6B8E00" w14:textId="74705FE6" w:rsidR="009B2872" w:rsidRPr="00037D90" w:rsidRDefault="004053F4" w:rsidP="004C6219">
            <w:pPr>
              <w:spacing w:before="40" w:after="40" w:line="240" w:lineRule="auto"/>
              <w:jc w:val="left"/>
              <w:rPr>
                <w:rFonts w:cs="Calibri"/>
                <w:color w:val="000000"/>
                <w:sz w:val="18"/>
                <w:szCs w:val="18"/>
              </w:rPr>
            </w:pPr>
            <w:r w:rsidRPr="004053F4">
              <w:rPr>
                <w:rFonts w:cs="Calibri"/>
                <w:color w:val="000000"/>
                <w:sz w:val="18"/>
                <w:szCs w:val="18"/>
              </w:rPr>
              <w:t>The estimates of GHG emissions reductions from this policy are included within Business decarbonisation programmes</w:t>
            </w:r>
            <w:r w:rsidR="007669B8">
              <w:rPr>
                <w:rFonts w:cs="Calibri"/>
                <w:color w:val="000000"/>
                <w:sz w:val="18"/>
                <w:szCs w:val="18"/>
              </w:rPr>
              <w:t>.</w:t>
            </w:r>
          </w:p>
        </w:tc>
        <w:tc>
          <w:tcPr>
            <w:tcW w:w="1418" w:type="dxa"/>
          </w:tcPr>
          <w:p w14:paraId="6C33681E" w14:textId="77777777" w:rsidR="009B2872" w:rsidRPr="00037D90" w:rsidRDefault="009B2872" w:rsidP="004C6219">
            <w:pPr>
              <w:spacing w:before="40" w:after="40" w:line="240" w:lineRule="auto"/>
              <w:jc w:val="left"/>
              <w:rPr>
                <w:rFonts w:cs="Calibri"/>
                <w:color w:val="000000"/>
                <w:sz w:val="18"/>
                <w:szCs w:val="18"/>
              </w:rPr>
            </w:pPr>
            <w:r w:rsidRPr="00037D90">
              <w:rPr>
                <w:rFonts w:eastAsia="Calibri" w:cs="Calibri"/>
                <w:sz w:val="18"/>
                <w:szCs w:val="18"/>
              </w:rPr>
              <w:t>Energy efficiency pathways for businesses.</w:t>
            </w:r>
          </w:p>
        </w:tc>
        <w:tc>
          <w:tcPr>
            <w:tcW w:w="992" w:type="dxa"/>
          </w:tcPr>
          <w:p w14:paraId="0B2E4A1A"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Other</w:t>
            </w:r>
          </w:p>
        </w:tc>
        <w:tc>
          <w:tcPr>
            <w:tcW w:w="1129" w:type="dxa"/>
          </w:tcPr>
          <w:p w14:paraId="09DD7D06" w14:textId="77777777" w:rsidR="009B2872" w:rsidRPr="003D5E37" w:rsidRDefault="009B2872" w:rsidP="004C6219">
            <w:pPr>
              <w:spacing w:before="40" w:after="40" w:line="240" w:lineRule="auto"/>
              <w:jc w:val="left"/>
              <w:rPr>
                <w:rFonts w:cs="Calibri"/>
                <w:color w:val="000000"/>
                <w:sz w:val="18"/>
                <w:szCs w:val="18"/>
              </w:rPr>
            </w:pPr>
            <w:r w:rsidRPr="003D5E37">
              <w:rPr>
                <w:rFonts w:cs="Calibri"/>
                <w:sz w:val="18"/>
                <w:szCs w:val="18"/>
              </w:rPr>
              <w:t>Implemented</w:t>
            </w:r>
          </w:p>
        </w:tc>
        <w:tc>
          <w:tcPr>
            <w:tcW w:w="1281" w:type="dxa"/>
            <w:shd w:val="clear" w:color="auto" w:fill="auto"/>
          </w:tcPr>
          <w:p w14:paraId="1111FDCA"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Energy</w:t>
            </w:r>
          </w:p>
        </w:tc>
        <w:tc>
          <w:tcPr>
            <w:tcW w:w="1276" w:type="dxa"/>
            <w:shd w:val="clear" w:color="auto" w:fill="auto"/>
          </w:tcPr>
          <w:p w14:paraId="7A41E11B"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CO</w:t>
            </w:r>
            <w:r w:rsidRPr="00037D90">
              <w:rPr>
                <w:rFonts w:cs="Calibri"/>
                <w:sz w:val="18"/>
                <w:szCs w:val="18"/>
                <w:vertAlign w:val="subscript"/>
              </w:rPr>
              <w:t>2</w:t>
            </w:r>
          </w:p>
        </w:tc>
        <w:tc>
          <w:tcPr>
            <w:tcW w:w="1275" w:type="dxa"/>
            <w:shd w:val="clear" w:color="auto" w:fill="auto"/>
          </w:tcPr>
          <w:p w14:paraId="4C65C7E3"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2019</w:t>
            </w:r>
          </w:p>
        </w:tc>
        <w:tc>
          <w:tcPr>
            <w:tcW w:w="1418" w:type="dxa"/>
            <w:shd w:val="clear" w:color="auto" w:fill="auto"/>
          </w:tcPr>
          <w:p w14:paraId="77B22BB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Energy Efficiency and Conservation Authority</w:t>
            </w:r>
          </w:p>
          <w:p w14:paraId="094362DF" w14:textId="77777777" w:rsidR="009B2872" w:rsidRPr="00037D90" w:rsidRDefault="009B2872" w:rsidP="004C6219">
            <w:pPr>
              <w:spacing w:before="40" w:after="40" w:line="240" w:lineRule="auto"/>
              <w:jc w:val="left"/>
              <w:rPr>
                <w:rFonts w:cs="Calibri"/>
                <w:color w:val="000000"/>
                <w:sz w:val="18"/>
                <w:szCs w:val="18"/>
              </w:rPr>
            </w:pPr>
          </w:p>
        </w:tc>
        <w:tc>
          <w:tcPr>
            <w:tcW w:w="992" w:type="dxa"/>
          </w:tcPr>
          <w:p w14:paraId="7934CDC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IE</w:t>
            </w:r>
          </w:p>
        </w:tc>
        <w:tc>
          <w:tcPr>
            <w:tcW w:w="992" w:type="dxa"/>
            <w:shd w:val="clear" w:color="auto" w:fill="auto"/>
          </w:tcPr>
          <w:p w14:paraId="79C6C05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IE</w:t>
            </w:r>
          </w:p>
        </w:tc>
        <w:tc>
          <w:tcPr>
            <w:tcW w:w="964" w:type="dxa"/>
            <w:shd w:val="clear" w:color="auto" w:fill="auto"/>
          </w:tcPr>
          <w:p w14:paraId="58CE291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IE</w:t>
            </w:r>
          </w:p>
        </w:tc>
      </w:tr>
      <w:tr w:rsidR="00361478" w:rsidRPr="00037D90" w14:paraId="012EDAEE" w14:textId="77777777" w:rsidTr="00271C02">
        <w:trPr>
          <w:gridAfter w:val="1"/>
          <w:wAfter w:w="24" w:type="dxa"/>
        </w:trPr>
        <w:tc>
          <w:tcPr>
            <w:tcW w:w="1276" w:type="dxa"/>
            <w:shd w:val="clear" w:color="auto" w:fill="auto"/>
          </w:tcPr>
          <w:p w14:paraId="07B7D833"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Government Investment in Decarbonising Industry Fund</w:t>
            </w:r>
          </w:p>
        </w:tc>
        <w:tc>
          <w:tcPr>
            <w:tcW w:w="1559" w:type="dxa"/>
          </w:tcPr>
          <w:p w14:paraId="32EDD09B" w14:textId="77777777" w:rsidR="009B2872" w:rsidRPr="00037D90" w:rsidRDefault="009B2872" w:rsidP="004C6219">
            <w:pPr>
              <w:spacing w:before="40" w:after="40" w:line="240" w:lineRule="auto"/>
              <w:jc w:val="left"/>
              <w:rPr>
                <w:rFonts w:cs="Calibri"/>
                <w:sz w:val="18"/>
                <w:szCs w:val="18"/>
              </w:rPr>
            </w:pPr>
            <w:r w:rsidRPr="00037D90">
              <w:rPr>
                <w:rFonts w:eastAsia="Calibri" w:cs="Calibri"/>
                <w:sz w:val="18"/>
                <w:szCs w:val="18"/>
              </w:rPr>
              <w:t xml:space="preserve">The </w:t>
            </w:r>
            <w:r w:rsidRPr="00037D90">
              <w:rPr>
                <w:rFonts w:cs="Calibri"/>
                <w:sz w:val="18"/>
                <w:szCs w:val="18"/>
              </w:rPr>
              <w:t>Government Investment in Decarbonising Industry Fund</w:t>
            </w:r>
            <w:r w:rsidRPr="00037D90">
              <w:rPr>
                <w:rFonts w:eastAsia="Calibri" w:cs="Calibri"/>
                <w:sz w:val="18"/>
                <w:szCs w:val="18"/>
              </w:rPr>
              <w:t xml:space="preserve"> provided co-funding for private sector businesses to help with energy efficiency initiatives and the decarbonisation of process heat. The original fund was expanded in 2022 with a significant increase in funding. This included funding to help large energy users with decarbonising, to provide energy-efficient equipment subsidies and develop enabling infrastructure.</w:t>
            </w:r>
          </w:p>
        </w:tc>
        <w:tc>
          <w:tcPr>
            <w:tcW w:w="1418" w:type="dxa"/>
          </w:tcPr>
          <w:p w14:paraId="6868870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Decarbonise businesses through several workstreams, including industrial process heat, commercial space and water heating, and efficient industrial equipment replacements.</w:t>
            </w:r>
          </w:p>
        </w:tc>
        <w:tc>
          <w:tcPr>
            <w:tcW w:w="992" w:type="dxa"/>
          </w:tcPr>
          <w:p w14:paraId="0D0FE9C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Economic instrument</w:t>
            </w:r>
          </w:p>
        </w:tc>
        <w:tc>
          <w:tcPr>
            <w:tcW w:w="1129" w:type="dxa"/>
          </w:tcPr>
          <w:p w14:paraId="3688953E"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shd w:val="clear" w:color="auto" w:fill="auto"/>
          </w:tcPr>
          <w:p w14:paraId="30D24178"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Energy</w:t>
            </w:r>
          </w:p>
        </w:tc>
        <w:tc>
          <w:tcPr>
            <w:tcW w:w="1276" w:type="dxa"/>
            <w:shd w:val="clear" w:color="auto" w:fill="auto"/>
          </w:tcPr>
          <w:p w14:paraId="0D26592F"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CO</w:t>
            </w:r>
            <w:r w:rsidRPr="00037D90">
              <w:rPr>
                <w:rFonts w:cs="Calibri"/>
                <w:sz w:val="18"/>
                <w:szCs w:val="18"/>
                <w:vertAlign w:val="subscript"/>
              </w:rPr>
              <w:t>2</w:t>
            </w:r>
          </w:p>
        </w:tc>
        <w:tc>
          <w:tcPr>
            <w:tcW w:w="1275" w:type="dxa"/>
            <w:shd w:val="clear" w:color="auto" w:fill="auto"/>
          </w:tcPr>
          <w:p w14:paraId="13382995"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2020</w:t>
            </w:r>
          </w:p>
        </w:tc>
        <w:tc>
          <w:tcPr>
            <w:tcW w:w="1418" w:type="dxa"/>
            <w:shd w:val="clear" w:color="auto" w:fill="auto"/>
          </w:tcPr>
          <w:p w14:paraId="6C9FF3DF" w14:textId="77777777" w:rsidR="009B2872" w:rsidRPr="00037D90" w:rsidRDefault="009B2872" w:rsidP="004C6219">
            <w:pPr>
              <w:spacing w:before="40" w:after="40" w:line="240" w:lineRule="auto"/>
              <w:jc w:val="left"/>
              <w:rPr>
                <w:rFonts w:cs="Calibri"/>
                <w:color w:val="000000"/>
                <w:sz w:val="18"/>
                <w:szCs w:val="18"/>
              </w:rPr>
            </w:pPr>
            <w:r w:rsidRPr="00037D90">
              <w:rPr>
                <w:rFonts w:cs="Calibri"/>
                <w:sz w:val="18"/>
                <w:szCs w:val="18"/>
              </w:rPr>
              <w:t>Energy Efficiency and Conservation Authority</w:t>
            </w:r>
          </w:p>
        </w:tc>
        <w:tc>
          <w:tcPr>
            <w:tcW w:w="992" w:type="dxa"/>
          </w:tcPr>
          <w:p w14:paraId="4F5B9B6F"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NE</w:t>
            </w:r>
          </w:p>
        </w:tc>
        <w:tc>
          <w:tcPr>
            <w:tcW w:w="992" w:type="dxa"/>
            <w:shd w:val="clear" w:color="auto" w:fill="auto"/>
          </w:tcPr>
          <w:p w14:paraId="0866E10C"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NE</w:t>
            </w:r>
          </w:p>
        </w:tc>
        <w:tc>
          <w:tcPr>
            <w:tcW w:w="964" w:type="dxa"/>
            <w:shd w:val="clear" w:color="auto" w:fill="auto"/>
          </w:tcPr>
          <w:p w14:paraId="6DD4362A"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1,549</w:t>
            </w:r>
          </w:p>
        </w:tc>
      </w:tr>
      <w:tr w:rsidR="009B2872" w:rsidRPr="00037D90" w14:paraId="51B6999B" w14:textId="77777777" w:rsidTr="004C6219">
        <w:trPr>
          <w:gridAfter w:val="1"/>
          <w:wAfter w:w="24" w:type="dxa"/>
        </w:trPr>
        <w:tc>
          <w:tcPr>
            <w:tcW w:w="14572" w:type="dxa"/>
            <w:gridSpan w:val="12"/>
            <w:shd w:val="clear" w:color="auto" w:fill="D2DDE1" w:themeFill="background2"/>
          </w:tcPr>
          <w:p w14:paraId="7D917EB3" w14:textId="77777777" w:rsidR="009B2872" w:rsidRPr="003D5E37" w:rsidRDefault="009B2872" w:rsidP="004C6219">
            <w:pPr>
              <w:keepNext/>
              <w:spacing w:before="40" w:after="40" w:line="240" w:lineRule="auto"/>
              <w:jc w:val="left"/>
              <w:rPr>
                <w:rFonts w:cs="Calibri"/>
                <w:b/>
                <w:sz w:val="18"/>
                <w:szCs w:val="18"/>
              </w:rPr>
            </w:pPr>
            <w:r w:rsidRPr="003D5E37">
              <w:rPr>
                <w:rFonts w:cs="Calibri"/>
                <w:b/>
                <w:sz w:val="18"/>
                <w:szCs w:val="18"/>
              </w:rPr>
              <w:t>Energy: Other energy policies</w:t>
            </w:r>
          </w:p>
        </w:tc>
      </w:tr>
      <w:tr w:rsidR="008C018E" w:rsidRPr="00037D90" w14:paraId="203343B0" w14:textId="77777777" w:rsidTr="00271C02">
        <w:trPr>
          <w:gridAfter w:val="1"/>
          <w:wAfter w:w="24" w:type="dxa"/>
        </w:trPr>
        <w:tc>
          <w:tcPr>
            <w:tcW w:w="1276" w:type="dxa"/>
          </w:tcPr>
          <w:p w14:paraId="652FA8FF"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 xml:space="preserve">Māori and Public Housing Renewable Energy Fund </w:t>
            </w:r>
          </w:p>
        </w:tc>
        <w:tc>
          <w:tcPr>
            <w:tcW w:w="1559" w:type="dxa"/>
          </w:tcPr>
          <w:p w14:paraId="707328BC" w14:textId="77777777" w:rsidR="009B2872" w:rsidRPr="00037D90" w:rsidRDefault="009B2872" w:rsidP="004C6219">
            <w:pPr>
              <w:keepNext/>
              <w:spacing w:before="40" w:after="40" w:line="240" w:lineRule="auto"/>
              <w:jc w:val="left"/>
              <w:rPr>
                <w:rFonts w:cs="Calibri"/>
                <w:color w:val="000000"/>
                <w:sz w:val="18"/>
                <w:szCs w:val="18"/>
              </w:rPr>
            </w:pPr>
            <w:r w:rsidRPr="00037D90">
              <w:rPr>
                <w:rFonts w:cs="Calibri"/>
                <w:color w:val="000000" w:themeColor="text1"/>
                <w:sz w:val="18"/>
                <w:szCs w:val="18"/>
              </w:rPr>
              <w:t xml:space="preserve">This fund trials community-scale renewable technologies for Māori and public housing. These include technologies such as modern geothermal, solar panels and batteries. The final round made funding available for larger, more complex, renewable energy projects, such as small-scale hydro and solar photovoltaic projects integrating remote distribution and retail solutions. </w:t>
            </w:r>
          </w:p>
          <w:p w14:paraId="0CEE95EF" w14:textId="77777777" w:rsidR="009B2872" w:rsidRPr="00037D90" w:rsidRDefault="009B2872" w:rsidP="004C6219">
            <w:pPr>
              <w:keepNext/>
              <w:spacing w:before="40" w:after="40" w:line="240" w:lineRule="auto"/>
              <w:jc w:val="left"/>
              <w:rPr>
                <w:rFonts w:cs="Calibri"/>
                <w:color w:val="000000"/>
                <w:sz w:val="18"/>
                <w:szCs w:val="18"/>
              </w:rPr>
            </w:pPr>
            <w:r w:rsidRPr="00037D90">
              <w:rPr>
                <w:rFonts w:cs="Calibri"/>
                <w:color w:val="000000"/>
                <w:sz w:val="18"/>
                <w:szCs w:val="18"/>
              </w:rPr>
              <w:t>The $28 million Community Renewable Energy Fund builds on and expands this.</w:t>
            </w:r>
          </w:p>
        </w:tc>
        <w:tc>
          <w:tcPr>
            <w:tcW w:w="1418" w:type="dxa"/>
          </w:tcPr>
          <w:p w14:paraId="37FA9903" w14:textId="77777777" w:rsidR="009B2872" w:rsidRPr="00037D90" w:rsidRDefault="009B2872" w:rsidP="004C6219">
            <w:pPr>
              <w:keepNext/>
              <w:spacing w:before="40" w:after="40" w:line="240" w:lineRule="auto"/>
              <w:jc w:val="left"/>
              <w:rPr>
                <w:rFonts w:cs="Calibri"/>
                <w:color w:val="000000"/>
                <w:sz w:val="18"/>
                <w:szCs w:val="18"/>
              </w:rPr>
            </w:pPr>
            <w:r w:rsidRPr="00037D90">
              <w:rPr>
                <w:rFonts w:cs="Calibri"/>
                <w:color w:val="000000"/>
                <w:sz w:val="18"/>
                <w:szCs w:val="18"/>
              </w:rPr>
              <w:t>Support renewable and affordable energy in communities.</w:t>
            </w:r>
          </w:p>
        </w:tc>
        <w:tc>
          <w:tcPr>
            <w:tcW w:w="992" w:type="dxa"/>
          </w:tcPr>
          <w:p w14:paraId="23CCE1DB" w14:textId="77777777" w:rsidR="009B2872" w:rsidRPr="00037D90" w:rsidRDefault="009B2872" w:rsidP="004C6219">
            <w:pPr>
              <w:keepNext/>
              <w:spacing w:before="40" w:after="40" w:line="240" w:lineRule="auto"/>
              <w:jc w:val="left"/>
              <w:rPr>
                <w:rFonts w:cs="Calibri"/>
                <w:color w:val="000000"/>
                <w:sz w:val="18"/>
                <w:szCs w:val="18"/>
              </w:rPr>
            </w:pPr>
            <w:r w:rsidRPr="00037D90">
              <w:rPr>
                <w:rFonts w:cs="Calibri"/>
                <w:color w:val="000000"/>
                <w:sz w:val="18"/>
                <w:szCs w:val="18"/>
              </w:rPr>
              <w:t>Economic instrument</w:t>
            </w:r>
          </w:p>
        </w:tc>
        <w:tc>
          <w:tcPr>
            <w:tcW w:w="1129" w:type="dxa"/>
          </w:tcPr>
          <w:p w14:paraId="06015944" w14:textId="77777777" w:rsidR="009B2872" w:rsidRPr="003D5E37" w:rsidRDefault="009B2872" w:rsidP="004C6219">
            <w:pPr>
              <w:keepNext/>
              <w:spacing w:before="40" w:after="40" w:line="240" w:lineRule="auto"/>
              <w:jc w:val="left"/>
              <w:rPr>
                <w:rFonts w:cs="Calibri"/>
                <w:color w:val="000000"/>
                <w:sz w:val="18"/>
                <w:szCs w:val="18"/>
              </w:rPr>
            </w:pPr>
            <w:r w:rsidRPr="003D5E37">
              <w:rPr>
                <w:rFonts w:cs="Calibri"/>
                <w:sz w:val="18"/>
                <w:szCs w:val="18"/>
              </w:rPr>
              <w:t>Implemented</w:t>
            </w:r>
          </w:p>
        </w:tc>
        <w:tc>
          <w:tcPr>
            <w:tcW w:w="1281" w:type="dxa"/>
          </w:tcPr>
          <w:p w14:paraId="7CCA3CD9" w14:textId="77777777" w:rsidR="009B2872" w:rsidRPr="00037D90" w:rsidRDefault="009B2872" w:rsidP="004C6219">
            <w:pPr>
              <w:keepNext/>
              <w:spacing w:before="40" w:after="40" w:line="240" w:lineRule="auto"/>
              <w:jc w:val="left"/>
              <w:rPr>
                <w:rFonts w:cs="Calibri"/>
                <w:color w:val="000000"/>
                <w:sz w:val="18"/>
                <w:szCs w:val="18"/>
              </w:rPr>
            </w:pPr>
            <w:r w:rsidRPr="00037D90">
              <w:rPr>
                <w:rFonts w:cs="Calibri"/>
                <w:color w:val="000000"/>
                <w:sz w:val="18"/>
                <w:szCs w:val="18"/>
              </w:rPr>
              <w:t>Energy</w:t>
            </w:r>
          </w:p>
        </w:tc>
        <w:tc>
          <w:tcPr>
            <w:tcW w:w="1276" w:type="dxa"/>
          </w:tcPr>
          <w:p w14:paraId="758D450B" w14:textId="77777777" w:rsidR="009B2872" w:rsidRPr="00037D90" w:rsidRDefault="009B2872" w:rsidP="004C6219">
            <w:pPr>
              <w:keepNext/>
              <w:spacing w:before="40" w:after="40" w:line="240" w:lineRule="auto"/>
              <w:jc w:val="left"/>
              <w:rPr>
                <w:rFonts w:cs="Calibri"/>
                <w:color w:val="000000"/>
                <w:sz w:val="18"/>
                <w:szCs w:val="18"/>
              </w:rPr>
            </w:pPr>
            <w:r w:rsidRPr="00037D90">
              <w:rPr>
                <w:rFonts w:cs="Calibri"/>
                <w:color w:val="000000"/>
                <w:sz w:val="18"/>
                <w:szCs w:val="18"/>
              </w:rPr>
              <w:t>CO</w:t>
            </w:r>
            <w:r w:rsidRPr="00037D90">
              <w:rPr>
                <w:rFonts w:cs="Calibri"/>
                <w:color w:val="000000"/>
                <w:sz w:val="18"/>
                <w:szCs w:val="18"/>
                <w:vertAlign w:val="subscript"/>
              </w:rPr>
              <w:t>2</w:t>
            </w:r>
          </w:p>
        </w:tc>
        <w:tc>
          <w:tcPr>
            <w:tcW w:w="1275" w:type="dxa"/>
          </w:tcPr>
          <w:p w14:paraId="479EACB5" w14:textId="77777777" w:rsidR="009B2872" w:rsidRPr="00037D90" w:rsidRDefault="009B2872" w:rsidP="004C6219">
            <w:pPr>
              <w:keepNext/>
              <w:spacing w:before="40" w:after="40" w:line="240" w:lineRule="auto"/>
              <w:jc w:val="left"/>
              <w:rPr>
                <w:rFonts w:cs="Calibri"/>
                <w:sz w:val="18"/>
                <w:szCs w:val="18"/>
              </w:rPr>
            </w:pPr>
            <w:r w:rsidRPr="00037D90">
              <w:rPr>
                <w:rFonts w:cs="Calibri"/>
                <w:color w:val="000000"/>
                <w:sz w:val="18"/>
                <w:szCs w:val="18"/>
              </w:rPr>
              <w:t>2020</w:t>
            </w:r>
          </w:p>
        </w:tc>
        <w:tc>
          <w:tcPr>
            <w:tcW w:w="1418" w:type="dxa"/>
          </w:tcPr>
          <w:p w14:paraId="2D548362" w14:textId="77777777" w:rsidR="009B2872" w:rsidRPr="00037D90" w:rsidRDefault="009B2872" w:rsidP="004C6219">
            <w:pPr>
              <w:keepNext/>
              <w:spacing w:before="40" w:after="40" w:line="240" w:lineRule="auto"/>
              <w:jc w:val="left"/>
              <w:rPr>
                <w:rFonts w:cs="Calibri"/>
                <w:color w:val="000000"/>
                <w:sz w:val="18"/>
                <w:szCs w:val="18"/>
              </w:rPr>
            </w:pPr>
            <w:r w:rsidRPr="00037D90">
              <w:rPr>
                <w:rFonts w:cs="Calibri"/>
                <w:color w:val="000000"/>
                <w:sz w:val="18"/>
                <w:szCs w:val="18"/>
              </w:rPr>
              <w:t>Ministry of Business, Innovation and Employment</w:t>
            </w:r>
          </w:p>
        </w:tc>
        <w:tc>
          <w:tcPr>
            <w:tcW w:w="992" w:type="dxa"/>
          </w:tcPr>
          <w:p w14:paraId="1E410219" w14:textId="77777777" w:rsidR="009B2872" w:rsidRPr="00037D90" w:rsidRDefault="009B2872" w:rsidP="004C6219">
            <w:pPr>
              <w:keepNext/>
              <w:spacing w:before="40" w:after="40" w:line="240" w:lineRule="auto"/>
              <w:jc w:val="left"/>
              <w:rPr>
                <w:rFonts w:cs="Calibri"/>
                <w:sz w:val="18"/>
                <w:szCs w:val="18"/>
              </w:rPr>
            </w:pPr>
            <w:r w:rsidRPr="00037D90">
              <w:rPr>
                <w:rFonts w:cs="Calibri"/>
                <w:sz w:val="18"/>
                <w:szCs w:val="18"/>
              </w:rPr>
              <w:t>NE</w:t>
            </w:r>
          </w:p>
        </w:tc>
        <w:tc>
          <w:tcPr>
            <w:tcW w:w="992" w:type="dxa"/>
          </w:tcPr>
          <w:p w14:paraId="3EFA351A" w14:textId="77777777" w:rsidR="009B2872" w:rsidRPr="00037D90" w:rsidRDefault="009B2872" w:rsidP="004C6219">
            <w:pPr>
              <w:keepNext/>
              <w:spacing w:before="40" w:after="40" w:line="240" w:lineRule="auto"/>
              <w:jc w:val="left"/>
              <w:rPr>
                <w:rFonts w:cs="Calibri"/>
                <w:sz w:val="18"/>
                <w:szCs w:val="18"/>
              </w:rPr>
            </w:pPr>
            <w:r w:rsidRPr="00037D90">
              <w:rPr>
                <w:rFonts w:cs="Calibri"/>
                <w:sz w:val="18"/>
                <w:szCs w:val="18"/>
              </w:rPr>
              <w:t>NE</w:t>
            </w:r>
          </w:p>
        </w:tc>
        <w:tc>
          <w:tcPr>
            <w:tcW w:w="964" w:type="dxa"/>
          </w:tcPr>
          <w:p w14:paraId="1FD3ECE1" w14:textId="77777777" w:rsidR="009B2872" w:rsidRPr="00037D90" w:rsidRDefault="009B2872" w:rsidP="004C6219">
            <w:pPr>
              <w:keepNext/>
              <w:spacing w:before="40" w:after="40" w:line="240" w:lineRule="auto"/>
              <w:jc w:val="left"/>
              <w:rPr>
                <w:rFonts w:cs="Calibri"/>
                <w:sz w:val="18"/>
                <w:szCs w:val="18"/>
              </w:rPr>
            </w:pPr>
            <w:r w:rsidRPr="00037D90">
              <w:rPr>
                <w:rFonts w:cs="Calibri"/>
                <w:sz w:val="18"/>
                <w:szCs w:val="18"/>
              </w:rPr>
              <w:t>NE</w:t>
            </w:r>
          </w:p>
        </w:tc>
      </w:tr>
      <w:tr w:rsidR="008C018E" w:rsidRPr="00037D90" w14:paraId="19F0B47F" w14:textId="77777777" w:rsidTr="00271C02">
        <w:trPr>
          <w:gridAfter w:val="1"/>
          <w:wAfter w:w="24" w:type="dxa"/>
        </w:trPr>
        <w:tc>
          <w:tcPr>
            <w:tcW w:w="1276" w:type="dxa"/>
          </w:tcPr>
          <w:p w14:paraId="69B88982"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lang w:eastAsia="en-US"/>
              </w:rPr>
              <w:t>Community Renewable Energy Fund</w:t>
            </w:r>
          </w:p>
        </w:tc>
        <w:tc>
          <w:tcPr>
            <w:tcW w:w="1559" w:type="dxa"/>
          </w:tcPr>
          <w:p w14:paraId="67802082" w14:textId="77777777" w:rsidR="009B2872" w:rsidRPr="00037D90" w:rsidRDefault="009B2872" w:rsidP="004C6219">
            <w:pPr>
              <w:spacing w:before="40" w:after="40" w:line="240" w:lineRule="auto"/>
              <w:jc w:val="left"/>
              <w:rPr>
                <w:rFonts w:cs="Calibri"/>
                <w:color w:val="000000"/>
                <w:sz w:val="18"/>
                <w:szCs w:val="18"/>
                <w:lang w:eastAsia="en-US"/>
              </w:rPr>
            </w:pPr>
            <w:r w:rsidRPr="00037D90">
              <w:rPr>
                <w:rFonts w:cs="Calibri"/>
                <w:color w:val="000000"/>
                <w:sz w:val="18"/>
                <w:szCs w:val="18"/>
                <w:lang w:eastAsia="en-US"/>
              </w:rPr>
              <w:t>The fund supports renewable energy projects that help communities access secure, renewable and more affordable energy.</w:t>
            </w:r>
          </w:p>
          <w:p w14:paraId="396C04BA" w14:textId="77777777" w:rsidR="009B2872" w:rsidRPr="00037D90" w:rsidRDefault="009B2872" w:rsidP="004C6219">
            <w:pPr>
              <w:spacing w:before="40" w:after="40" w:line="240" w:lineRule="auto"/>
              <w:jc w:val="left"/>
              <w:rPr>
                <w:rFonts w:cs="Calibri"/>
                <w:color w:val="000000"/>
                <w:sz w:val="18"/>
                <w:szCs w:val="18"/>
                <w:lang w:eastAsia="en-US"/>
              </w:rPr>
            </w:pPr>
            <w:r w:rsidRPr="00037D90">
              <w:rPr>
                <w:rFonts w:cs="Calibri"/>
                <w:color w:val="000000"/>
                <w:sz w:val="18"/>
                <w:szCs w:val="18"/>
                <w:lang w:eastAsia="en-US"/>
              </w:rPr>
              <w:t>Funded projects are providing valuable insight into the operational, economic, environmental and wellbeing effects of introducing renewable energy systems. This information will help inform future projects on a larger scale, as well as the overall future of the New Zealand energy system.</w:t>
            </w:r>
          </w:p>
        </w:tc>
        <w:tc>
          <w:tcPr>
            <w:tcW w:w="1418" w:type="dxa"/>
          </w:tcPr>
          <w:p w14:paraId="7FFE23D1" w14:textId="77777777" w:rsidR="009B2872" w:rsidRPr="00037D90" w:rsidRDefault="009B2872" w:rsidP="004C6219">
            <w:pPr>
              <w:spacing w:before="40" w:after="40" w:line="240" w:lineRule="auto"/>
              <w:jc w:val="left"/>
              <w:rPr>
                <w:rFonts w:cs="Calibri"/>
                <w:color w:val="000000"/>
                <w:sz w:val="18"/>
                <w:szCs w:val="18"/>
                <w:lang w:eastAsia="en-US"/>
              </w:rPr>
            </w:pPr>
            <w:r w:rsidRPr="00037D90">
              <w:rPr>
                <w:rFonts w:cs="Calibri"/>
                <w:color w:val="000000"/>
                <w:sz w:val="18"/>
                <w:szCs w:val="18"/>
                <w:lang w:eastAsia="en-US"/>
              </w:rPr>
              <w:t>Support renewable and affordable energy in communities.</w:t>
            </w:r>
          </w:p>
        </w:tc>
        <w:tc>
          <w:tcPr>
            <w:tcW w:w="992" w:type="dxa"/>
          </w:tcPr>
          <w:p w14:paraId="53B0F75F" w14:textId="77777777" w:rsidR="009B2872" w:rsidRPr="00037D90" w:rsidRDefault="009B2872" w:rsidP="004C6219">
            <w:pPr>
              <w:spacing w:before="40" w:after="40" w:line="240" w:lineRule="auto"/>
              <w:jc w:val="left"/>
              <w:rPr>
                <w:rFonts w:cs="Calibri"/>
                <w:color w:val="000000"/>
                <w:sz w:val="18"/>
                <w:szCs w:val="18"/>
                <w:lang w:eastAsia="en-US"/>
              </w:rPr>
            </w:pPr>
            <w:r w:rsidRPr="00037D90">
              <w:rPr>
                <w:rFonts w:cs="Calibri"/>
                <w:color w:val="000000"/>
                <w:sz w:val="18"/>
                <w:szCs w:val="18"/>
              </w:rPr>
              <w:t>Economic instrument</w:t>
            </w:r>
          </w:p>
        </w:tc>
        <w:tc>
          <w:tcPr>
            <w:tcW w:w="1129" w:type="dxa"/>
          </w:tcPr>
          <w:p w14:paraId="470EC776" w14:textId="77777777" w:rsidR="009B2872" w:rsidRPr="003D5E37" w:rsidRDefault="009B2872" w:rsidP="004C6219">
            <w:pPr>
              <w:spacing w:before="40" w:after="40" w:line="240" w:lineRule="auto"/>
              <w:jc w:val="left"/>
              <w:rPr>
                <w:rFonts w:cs="Calibri"/>
                <w:color w:val="000000"/>
                <w:sz w:val="18"/>
                <w:szCs w:val="18"/>
                <w:lang w:eastAsia="en-US"/>
              </w:rPr>
            </w:pPr>
            <w:r w:rsidRPr="003D5E37">
              <w:rPr>
                <w:rFonts w:cs="Calibri"/>
                <w:sz w:val="18"/>
                <w:szCs w:val="18"/>
                <w:lang w:eastAsia="en-US"/>
              </w:rPr>
              <w:t>Implemented</w:t>
            </w:r>
          </w:p>
        </w:tc>
        <w:tc>
          <w:tcPr>
            <w:tcW w:w="1281" w:type="dxa"/>
          </w:tcPr>
          <w:p w14:paraId="1D06CC71"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lang w:eastAsia="en-US"/>
              </w:rPr>
              <w:t>Energy</w:t>
            </w:r>
          </w:p>
        </w:tc>
        <w:tc>
          <w:tcPr>
            <w:tcW w:w="1276" w:type="dxa"/>
          </w:tcPr>
          <w:p w14:paraId="28DDC4F9"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lang w:eastAsia="en-US"/>
              </w:rPr>
              <w:t>CO</w:t>
            </w:r>
            <w:r w:rsidRPr="00037D90">
              <w:rPr>
                <w:rFonts w:cs="Calibri"/>
                <w:color w:val="000000"/>
                <w:sz w:val="18"/>
                <w:szCs w:val="18"/>
                <w:vertAlign w:val="subscript"/>
                <w:lang w:eastAsia="en-US"/>
              </w:rPr>
              <w:t>2</w:t>
            </w:r>
          </w:p>
        </w:tc>
        <w:tc>
          <w:tcPr>
            <w:tcW w:w="1275" w:type="dxa"/>
          </w:tcPr>
          <w:p w14:paraId="5EDA4797"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lang w:eastAsia="en-US"/>
              </w:rPr>
              <w:t>2022</w:t>
            </w:r>
          </w:p>
        </w:tc>
        <w:tc>
          <w:tcPr>
            <w:tcW w:w="1418" w:type="dxa"/>
          </w:tcPr>
          <w:p w14:paraId="76F96277"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lang w:eastAsia="en-US"/>
              </w:rPr>
              <w:t>Ministry of Business, Innovation and Employment</w:t>
            </w:r>
          </w:p>
        </w:tc>
        <w:tc>
          <w:tcPr>
            <w:tcW w:w="992" w:type="dxa"/>
          </w:tcPr>
          <w:p w14:paraId="58435DA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2B6D85C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23B2B5A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2970F4E9" w14:textId="77777777" w:rsidTr="00271C02">
        <w:trPr>
          <w:gridAfter w:val="1"/>
          <w:wAfter w:w="24" w:type="dxa"/>
        </w:trPr>
        <w:tc>
          <w:tcPr>
            <w:tcW w:w="1276" w:type="dxa"/>
          </w:tcPr>
          <w:p w14:paraId="42492F46"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National Direction for Greenhouse Gas Emissions from Industrial Process Heat</w:t>
            </w:r>
          </w:p>
        </w:tc>
        <w:tc>
          <w:tcPr>
            <w:tcW w:w="1559" w:type="dxa"/>
          </w:tcPr>
          <w:p w14:paraId="0CA760AE"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Industries using process heat are required to consider greenhouse gas emissions for their operations when applying to local councils for a discharge to air consent. Guidance has been published to help local councils and industry understand the requirements.</w:t>
            </w:r>
          </w:p>
        </w:tc>
        <w:tc>
          <w:tcPr>
            <w:tcW w:w="1418" w:type="dxa"/>
          </w:tcPr>
          <w:p w14:paraId="0C34BB4C"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Requires local councils to consider greenhouse gas emissions for resource consent applications.</w:t>
            </w:r>
          </w:p>
        </w:tc>
        <w:tc>
          <w:tcPr>
            <w:tcW w:w="992" w:type="dxa"/>
          </w:tcPr>
          <w:p w14:paraId="5E01FC0B"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Regulation, other</w:t>
            </w:r>
          </w:p>
        </w:tc>
        <w:tc>
          <w:tcPr>
            <w:tcW w:w="1129" w:type="dxa"/>
          </w:tcPr>
          <w:p w14:paraId="0D2F1CFF" w14:textId="77777777" w:rsidR="009B2872" w:rsidRPr="003D5E37" w:rsidRDefault="009B2872" w:rsidP="004C6219">
            <w:pPr>
              <w:spacing w:before="40" w:after="40" w:line="240" w:lineRule="auto"/>
              <w:jc w:val="left"/>
              <w:rPr>
                <w:rFonts w:cs="Calibri"/>
                <w:color w:val="000000"/>
                <w:sz w:val="18"/>
                <w:szCs w:val="18"/>
              </w:rPr>
            </w:pPr>
            <w:r w:rsidRPr="003D5E37">
              <w:rPr>
                <w:rFonts w:cs="Calibri"/>
                <w:sz w:val="18"/>
                <w:szCs w:val="18"/>
              </w:rPr>
              <w:t>Implemented</w:t>
            </w:r>
          </w:p>
        </w:tc>
        <w:tc>
          <w:tcPr>
            <w:tcW w:w="1281" w:type="dxa"/>
          </w:tcPr>
          <w:p w14:paraId="637824CC"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Energy</w:t>
            </w:r>
          </w:p>
        </w:tc>
        <w:tc>
          <w:tcPr>
            <w:tcW w:w="1276" w:type="dxa"/>
          </w:tcPr>
          <w:p w14:paraId="13288EDD" w14:textId="77777777" w:rsidR="009B2872" w:rsidRPr="00037D90"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CO</w:t>
            </w:r>
            <w:r w:rsidRPr="00037D90">
              <w:rPr>
                <w:rFonts w:cs="Calibri"/>
                <w:color w:val="000000" w:themeColor="text1"/>
                <w:sz w:val="18"/>
                <w:szCs w:val="18"/>
                <w:vertAlign w:val="subscript"/>
              </w:rPr>
              <w:t>2</w:t>
            </w:r>
          </w:p>
          <w:p w14:paraId="15FD6537" w14:textId="77777777" w:rsidR="009B2872" w:rsidRPr="00037D90" w:rsidRDefault="009B2872" w:rsidP="004C6219">
            <w:pPr>
              <w:spacing w:before="40" w:after="40" w:line="240" w:lineRule="auto"/>
              <w:jc w:val="left"/>
              <w:rPr>
                <w:rFonts w:cs="Calibri"/>
                <w:color w:val="000000"/>
                <w:sz w:val="18"/>
                <w:szCs w:val="18"/>
              </w:rPr>
            </w:pPr>
          </w:p>
        </w:tc>
        <w:tc>
          <w:tcPr>
            <w:tcW w:w="1275" w:type="dxa"/>
          </w:tcPr>
          <w:p w14:paraId="3520B9E9"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2023</w:t>
            </w:r>
          </w:p>
        </w:tc>
        <w:tc>
          <w:tcPr>
            <w:tcW w:w="1418" w:type="dxa"/>
          </w:tcPr>
          <w:p w14:paraId="4388EBB2" w14:textId="77777777" w:rsidR="009B2872" w:rsidRPr="00037D90"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 xml:space="preserve">Ministry for the Environment, Ministry of Business, Innovation and Employment, </w:t>
            </w:r>
            <w:r w:rsidRPr="00037D90">
              <w:rPr>
                <w:rFonts w:cs="Calibri"/>
                <w:sz w:val="18"/>
                <w:szCs w:val="18"/>
              </w:rPr>
              <w:t>Energy Efficiency and Conservation Authority</w:t>
            </w:r>
          </w:p>
        </w:tc>
        <w:tc>
          <w:tcPr>
            <w:tcW w:w="992" w:type="dxa"/>
          </w:tcPr>
          <w:p w14:paraId="76C6F38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92" w:type="dxa"/>
          </w:tcPr>
          <w:p w14:paraId="4978DF5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64" w:type="dxa"/>
          </w:tcPr>
          <w:p w14:paraId="3D1D55C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579</w:t>
            </w:r>
          </w:p>
        </w:tc>
      </w:tr>
      <w:tr w:rsidR="009B2872" w:rsidRPr="00037D90" w14:paraId="08B65924" w14:textId="77777777" w:rsidTr="004C6219">
        <w:trPr>
          <w:gridAfter w:val="1"/>
          <w:wAfter w:w="24" w:type="dxa"/>
        </w:trPr>
        <w:tc>
          <w:tcPr>
            <w:tcW w:w="14572" w:type="dxa"/>
            <w:gridSpan w:val="12"/>
            <w:shd w:val="clear" w:color="auto" w:fill="D2DDE1" w:themeFill="background2"/>
          </w:tcPr>
          <w:p w14:paraId="6D704FE8" w14:textId="77777777" w:rsidR="009B2872" w:rsidRPr="003D5E37" w:rsidRDefault="009B2872" w:rsidP="004C6219">
            <w:pPr>
              <w:spacing w:before="40" w:after="40" w:line="240" w:lineRule="auto"/>
              <w:jc w:val="left"/>
              <w:rPr>
                <w:rFonts w:cs="Calibri"/>
                <w:b/>
                <w:sz w:val="18"/>
                <w:szCs w:val="18"/>
              </w:rPr>
            </w:pPr>
            <w:r w:rsidRPr="003D5E37">
              <w:rPr>
                <w:rFonts w:cs="Calibri"/>
                <w:b/>
                <w:sz w:val="18"/>
                <w:szCs w:val="18"/>
              </w:rPr>
              <w:t>Energy: Building and construction</w:t>
            </w:r>
          </w:p>
        </w:tc>
      </w:tr>
      <w:tr w:rsidR="008C018E" w:rsidRPr="00037D90" w14:paraId="5A8283CB" w14:textId="77777777" w:rsidTr="00271C02">
        <w:trPr>
          <w:gridAfter w:val="1"/>
          <w:wAfter w:w="24" w:type="dxa"/>
        </w:trPr>
        <w:tc>
          <w:tcPr>
            <w:tcW w:w="1276" w:type="dxa"/>
          </w:tcPr>
          <w:p w14:paraId="5686763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Improvements to the energy efficiency requirements in the New Zealand Building Code </w:t>
            </w:r>
          </w:p>
        </w:tc>
        <w:tc>
          <w:tcPr>
            <w:tcW w:w="1559" w:type="dxa"/>
          </w:tcPr>
          <w:p w14:paraId="7F73234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The </w:t>
            </w:r>
            <w:r w:rsidRPr="00037D90">
              <w:rPr>
                <w:rFonts w:cs="Calibri"/>
                <w:color w:val="000000" w:themeColor="text1"/>
                <w:sz w:val="18"/>
                <w:szCs w:val="18"/>
              </w:rPr>
              <w:t>Ministry of Business, Innovation and Employment</w:t>
            </w:r>
            <w:r w:rsidRPr="00037D90">
              <w:rPr>
                <w:rFonts w:cs="Calibri"/>
                <w:sz w:val="18"/>
                <w:szCs w:val="18"/>
              </w:rPr>
              <w:t xml:space="preserve"> increased the minimum energy efficiency standards for new buildings through changes to the compliance requirements in Clause H1 of the New Zealand Building Code. </w:t>
            </w:r>
          </w:p>
        </w:tc>
        <w:tc>
          <w:tcPr>
            <w:tcW w:w="1418" w:type="dxa"/>
          </w:tcPr>
          <w:p w14:paraId="7F1C62A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Improve the energy efficiency of new buildings. </w:t>
            </w:r>
          </w:p>
        </w:tc>
        <w:tc>
          <w:tcPr>
            <w:tcW w:w="992" w:type="dxa"/>
          </w:tcPr>
          <w:p w14:paraId="7F02A6F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Regulatory </w:t>
            </w:r>
          </w:p>
        </w:tc>
        <w:tc>
          <w:tcPr>
            <w:tcW w:w="1129" w:type="dxa"/>
          </w:tcPr>
          <w:p w14:paraId="23CC5861"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 xml:space="preserve">Implemented </w:t>
            </w:r>
          </w:p>
        </w:tc>
        <w:tc>
          <w:tcPr>
            <w:tcW w:w="1281" w:type="dxa"/>
          </w:tcPr>
          <w:p w14:paraId="7167447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Energy </w:t>
            </w:r>
          </w:p>
        </w:tc>
        <w:tc>
          <w:tcPr>
            <w:tcW w:w="1276" w:type="dxa"/>
          </w:tcPr>
          <w:p w14:paraId="21B9C6F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p w14:paraId="6F13E898" w14:textId="77777777" w:rsidR="009B2872" w:rsidRPr="00037D90" w:rsidRDefault="009B2872" w:rsidP="004C6219">
            <w:pPr>
              <w:spacing w:before="40" w:after="40" w:line="240" w:lineRule="auto"/>
              <w:jc w:val="left"/>
              <w:rPr>
                <w:rFonts w:cs="Calibri"/>
                <w:sz w:val="18"/>
                <w:szCs w:val="18"/>
              </w:rPr>
            </w:pPr>
          </w:p>
        </w:tc>
        <w:tc>
          <w:tcPr>
            <w:tcW w:w="1275" w:type="dxa"/>
          </w:tcPr>
          <w:p w14:paraId="69CF05C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2023</w:t>
            </w:r>
          </w:p>
        </w:tc>
        <w:tc>
          <w:tcPr>
            <w:tcW w:w="1418" w:type="dxa"/>
          </w:tcPr>
          <w:p w14:paraId="461CA4B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of Business, Innovation and Employment</w:t>
            </w:r>
          </w:p>
        </w:tc>
        <w:tc>
          <w:tcPr>
            <w:tcW w:w="992" w:type="dxa"/>
          </w:tcPr>
          <w:p w14:paraId="53E8C88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92" w:type="dxa"/>
          </w:tcPr>
          <w:p w14:paraId="2461525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64" w:type="dxa"/>
          </w:tcPr>
          <w:p w14:paraId="44A073A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154</w:t>
            </w:r>
          </w:p>
        </w:tc>
      </w:tr>
      <w:tr w:rsidR="008C018E" w:rsidRPr="00037D90" w14:paraId="434F6C1C" w14:textId="77777777" w:rsidTr="00271C02">
        <w:trPr>
          <w:gridAfter w:val="1"/>
          <w:wAfter w:w="24" w:type="dxa"/>
        </w:trPr>
        <w:tc>
          <w:tcPr>
            <w:tcW w:w="1276" w:type="dxa"/>
          </w:tcPr>
          <w:p w14:paraId="5C06FBA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Technical methodologies to measure embodied carbon and operational carbon </w:t>
            </w:r>
          </w:p>
        </w:tc>
        <w:tc>
          <w:tcPr>
            <w:tcW w:w="1559" w:type="dxa"/>
          </w:tcPr>
          <w:p w14:paraId="12F2227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The </w:t>
            </w:r>
            <w:r w:rsidRPr="00037D90">
              <w:rPr>
                <w:rFonts w:cs="Calibri"/>
                <w:color w:val="000000" w:themeColor="text1"/>
                <w:sz w:val="18"/>
                <w:szCs w:val="18"/>
              </w:rPr>
              <w:t>Ministry of Business, Innovation and Employment</w:t>
            </w:r>
            <w:r w:rsidRPr="00037D90">
              <w:rPr>
                <w:rFonts w:cs="Calibri"/>
                <w:sz w:val="18"/>
                <w:szCs w:val="18"/>
              </w:rPr>
              <w:t xml:space="preserve"> has developed two technical methodologies to enable the building and construction sector to measure embodied and operational carbon from new buildings in a consistent and credible way.</w:t>
            </w:r>
          </w:p>
        </w:tc>
        <w:tc>
          <w:tcPr>
            <w:tcW w:w="1418" w:type="dxa"/>
          </w:tcPr>
          <w:p w14:paraId="6E22254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Reduce embodied and operational emissions from new buildings. </w:t>
            </w:r>
          </w:p>
        </w:tc>
        <w:tc>
          <w:tcPr>
            <w:tcW w:w="992" w:type="dxa"/>
          </w:tcPr>
          <w:p w14:paraId="2EFCBEA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Other </w:t>
            </w:r>
          </w:p>
        </w:tc>
        <w:tc>
          <w:tcPr>
            <w:tcW w:w="1129" w:type="dxa"/>
          </w:tcPr>
          <w:p w14:paraId="312BE15E"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 xml:space="preserve">Implemented </w:t>
            </w:r>
          </w:p>
        </w:tc>
        <w:tc>
          <w:tcPr>
            <w:tcW w:w="1281" w:type="dxa"/>
          </w:tcPr>
          <w:p w14:paraId="7B71A9E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Energy </w:t>
            </w:r>
          </w:p>
        </w:tc>
        <w:tc>
          <w:tcPr>
            <w:tcW w:w="1276" w:type="dxa"/>
          </w:tcPr>
          <w:p w14:paraId="52905CE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0748331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2022 </w:t>
            </w:r>
          </w:p>
        </w:tc>
        <w:tc>
          <w:tcPr>
            <w:tcW w:w="1418" w:type="dxa"/>
          </w:tcPr>
          <w:p w14:paraId="77DC4C19" w14:textId="77777777" w:rsidR="009B2872" w:rsidRPr="00037D90" w:rsidRDefault="009B2872" w:rsidP="004C6219">
            <w:pPr>
              <w:spacing w:before="60" w:after="60" w:line="240" w:lineRule="auto"/>
              <w:jc w:val="left"/>
              <w:rPr>
                <w:rFonts w:cs="Calibri"/>
                <w:sz w:val="18"/>
                <w:szCs w:val="18"/>
              </w:rPr>
            </w:pPr>
            <w:r w:rsidRPr="00037D90">
              <w:rPr>
                <w:rFonts w:cs="Calibri"/>
                <w:sz w:val="18"/>
                <w:szCs w:val="18"/>
              </w:rPr>
              <w:t>Ministry of Business, Innovation and Employment</w:t>
            </w:r>
          </w:p>
        </w:tc>
        <w:tc>
          <w:tcPr>
            <w:tcW w:w="992" w:type="dxa"/>
          </w:tcPr>
          <w:p w14:paraId="5960400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5C84805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623C6DD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457C2017" w14:textId="77777777" w:rsidTr="00271C02">
        <w:trPr>
          <w:gridAfter w:val="1"/>
          <w:wAfter w:w="24" w:type="dxa"/>
        </w:trPr>
        <w:tc>
          <w:tcPr>
            <w:tcW w:w="1276" w:type="dxa"/>
          </w:tcPr>
          <w:p w14:paraId="58F34A2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Energy performance ratings: National Australian Built Environment Rating System – New Zealand (NABERSNZ</w:t>
            </w:r>
            <w:r w:rsidRPr="00037D90">
              <w:rPr>
                <w:rFonts w:cs="Calibri"/>
                <w:sz w:val="18"/>
                <w:szCs w:val="18"/>
                <w:vertAlign w:val="superscript"/>
              </w:rPr>
              <w:t>TM</w:t>
            </w:r>
            <w:r w:rsidRPr="00037D90">
              <w:rPr>
                <w:rFonts w:cs="Calibri"/>
                <w:sz w:val="18"/>
                <w:szCs w:val="18"/>
              </w:rPr>
              <w:t>)</w:t>
            </w:r>
          </w:p>
        </w:tc>
        <w:tc>
          <w:tcPr>
            <w:tcW w:w="1559" w:type="dxa"/>
          </w:tcPr>
          <w:p w14:paraId="0871C90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NABERSNZ</w:t>
            </w:r>
            <w:r w:rsidRPr="00037D90">
              <w:rPr>
                <w:rFonts w:cs="Calibri"/>
                <w:sz w:val="18"/>
                <w:szCs w:val="18"/>
                <w:vertAlign w:val="superscript"/>
              </w:rPr>
              <w:t>TM</w:t>
            </w:r>
            <w:r w:rsidRPr="00037D90">
              <w:rPr>
                <w:rFonts w:cs="Calibri"/>
                <w:sz w:val="18"/>
                <w:szCs w:val="18"/>
              </w:rPr>
              <w:t xml:space="preserve"> is a system for rating the energy efficiency of existing office buildings and identifies opportunities for implementing building energy performance improvements. Other work includes financial grants and loans for energy audits; energy plans; monitoring and verification systems; systems optimisation; and new and emerging technologies.</w:t>
            </w:r>
          </w:p>
        </w:tc>
        <w:tc>
          <w:tcPr>
            <w:tcW w:w="1418" w:type="dxa"/>
          </w:tcPr>
          <w:p w14:paraId="10394D1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Improve the energy performance of new and existing commercial buildings.</w:t>
            </w:r>
          </w:p>
        </w:tc>
        <w:tc>
          <w:tcPr>
            <w:tcW w:w="992" w:type="dxa"/>
          </w:tcPr>
          <w:p w14:paraId="014E118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Other</w:t>
            </w:r>
          </w:p>
        </w:tc>
        <w:tc>
          <w:tcPr>
            <w:tcW w:w="1129" w:type="dxa"/>
          </w:tcPr>
          <w:p w14:paraId="2B03B3D9"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Pr>
          <w:p w14:paraId="4817681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Energy</w:t>
            </w:r>
          </w:p>
        </w:tc>
        <w:tc>
          <w:tcPr>
            <w:tcW w:w="1276" w:type="dxa"/>
          </w:tcPr>
          <w:p w14:paraId="4500508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381DD58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2013</w:t>
            </w:r>
          </w:p>
        </w:tc>
        <w:tc>
          <w:tcPr>
            <w:tcW w:w="1418" w:type="dxa"/>
          </w:tcPr>
          <w:p w14:paraId="6B95ACBA" w14:textId="77777777" w:rsidR="009B2872" w:rsidRPr="00037D90" w:rsidRDefault="009B2872" w:rsidP="004C6219">
            <w:pPr>
              <w:spacing w:before="60" w:after="60" w:line="240" w:lineRule="auto"/>
              <w:jc w:val="left"/>
              <w:rPr>
                <w:rFonts w:cs="Calibri"/>
                <w:sz w:val="18"/>
                <w:szCs w:val="18"/>
              </w:rPr>
            </w:pPr>
            <w:r w:rsidRPr="00037D90">
              <w:rPr>
                <w:rFonts w:cs="Calibri"/>
                <w:sz w:val="18"/>
                <w:szCs w:val="18"/>
              </w:rPr>
              <w:t>Energy Efficiency and Conservation Authority</w:t>
            </w:r>
          </w:p>
        </w:tc>
        <w:tc>
          <w:tcPr>
            <w:tcW w:w="992" w:type="dxa"/>
          </w:tcPr>
          <w:p w14:paraId="6810521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552ABD6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63B22D2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277F6E32" w14:textId="77777777" w:rsidTr="00271C02">
        <w:trPr>
          <w:gridAfter w:val="1"/>
          <w:wAfter w:w="24" w:type="dxa"/>
        </w:trPr>
        <w:tc>
          <w:tcPr>
            <w:tcW w:w="1276" w:type="dxa"/>
          </w:tcPr>
          <w:p w14:paraId="45E7FF2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Insulation and heating grants: Warmer Kiwi Homes Programme</w:t>
            </w:r>
          </w:p>
        </w:tc>
        <w:tc>
          <w:tcPr>
            <w:tcW w:w="1559" w:type="dxa"/>
          </w:tcPr>
          <w:p w14:paraId="70344B1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Warmer Kiwi Homes offers insulation and heating grants to low-income households to make their homes warmer, drier and more energy efficient.</w:t>
            </w:r>
          </w:p>
        </w:tc>
        <w:tc>
          <w:tcPr>
            <w:tcW w:w="1418" w:type="dxa"/>
          </w:tcPr>
          <w:p w14:paraId="2132907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Provide warmer, drier homes through improved thermal performance.</w:t>
            </w:r>
          </w:p>
        </w:tc>
        <w:tc>
          <w:tcPr>
            <w:tcW w:w="992" w:type="dxa"/>
          </w:tcPr>
          <w:p w14:paraId="2BDD2C0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Economic instrument</w:t>
            </w:r>
          </w:p>
        </w:tc>
        <w:tc>
          <w:tcPr>
            <w:tcW w:w="1129" w:type="dxa"/>
          </w:tcPr>
          <w:p w14:paraId="5EEED99D"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Pr>
          <w:p w14:paraId="0C1F4A6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Energy</w:t>
            </w:r>
          </w:p>
        </w:tc>
        <w:tc>
          <w:tcPr>
            <w:tcW w:w="1276" w:type="dxa"/>
          </w:tcPr>
          <w:p w14:paraId="2776409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7E998FC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2018</w:t>
            </w:r>
          </w:p>
        </w:tc>
        <w:tc>
          <w:tcPr>
            <w:tcW w:w="1418" w:type="dxa"/>
          </w:tcPr>
          <w:p w14:paraId="642E208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Energy Efficiency and Conservation Authority</w:t>
            </w:r>
          </w:p>
        </w:tc>
        <w:tc>
          <w:tcPr>
            <w:tcW w:w="992" w:type="dxa"/>
          </w:tcPr>
          <w:p w14:paraId="58A2EDD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92" w:type="dxa"/>
          </w:tcPr>
          <w:p w14:paraId="7D8AB17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1</w:t>
            </w:r>
          </w:p>
        </w:tc>
        <w:tc>
          <w:tcPr>
            <w:tcW w:w="964" w:type="dxa"/>
          </w:tcPr>
          <w:p w14:paraId="4CC7C93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4</w:t>
            </w:r>
          </w:p>
        </w:tc>
      </w:tr>
      <w:tr w:rsidR="009B2872" w:rsidRPr="00037D90" w14:paraId="1A4C6D05" w14:textId="77777777" w:rsidTr="004C6219">
        <w:trPr>
          <w:gridAfter w:val="1"/>
          <w:wAfter w:w="24" w:type="dxa"/>
        </w:trPr>
        <w:tc>
          <w:tcPr>
            <w:tcW w:w="14572" w:type="dxa"/>
            <w:gridSpan w:val="12"/>
            <w:shd w:val="clear" w:color="auto" w:fill="D2DDE1" w:themeFill="background2"/>
          </w:tcPr>
          <w:p w14:paraId="5EB32983" w14:textId="77777777" w:rsidR="009B2872" w:rsidRPr="003D5E37" w:rsidRDefault="009B2872" w:rsidP="004C6219">
            <w:pPr>
              <w:spacing w:before="40" w:after="40" w:line="240" w:lineRule="auto"/>
              <w:jc w:val="left"/>
              <w:rPr>
                <w:rFonts w:cs="Calibri"/>
                <w:b/>
                <w:sz w:val="18"/>
                <w:szCs w:val="18"/>
              </w:rPr>
            </w:pPr>
            <w:r w:rsidRPr="003D5E37">
              <w:rPr>
                <w:rFonts w:cs="Calibri"/>
                <w:b/>
                <w:sz w:val="18"/>
                <w:szCs w:val="18"/>
              </w:rPr>
              <w:t>Transport</w:t>
            </w:r>
          </w:p>
        </w:tc>
      </w:tr>
      <w:tr w:rsidR="008C018E" w:rsidRPr="00037D90" w14:paraId="561550AF" w14:textId="77777777" w:rsidTr="00271C02">
        <w:trPr>
          <w:gridAfter w:val="1"/>
          <w:wAfter w:w="24" w:type="dxa"/>
        </w:trPr>
        <w:tc>
          <w:tcPr>
            <w:tcW w:w="1276" w:type="dxa"/>
          </w:tcPr>
          <w:p w14:paraId="00FF17E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Electric vehicle charging infrastructure</w:t>
            </w:r>
          </w:p>
        </w:tc>
        <w:tc>
          <w:tcPr>
            <w:tcW w:w="1559" w:type="dxa"/>
          </w:tcPr>
          <w:p w14:paraId="5544F6D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The Government is taking steps to enable the delivery of a network of 10,000 public electric vehicle charging points by 2030. It will support the transition to and use of low-emissions transport by giving users the confidence that they can charge their vehicle on the public network when and where they need to.</w:t>
            </w:r>
          </w:p>
        </w:tc>
        <w:tc>
          <w:tcPr>
            <w:tcW w:w="1418" w:type="dxa"/>
          </w:tcPr>
          <w:p w14:paraId="51BFAFD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Provide a long-term strategic direction as New Zealand’s electric vehicle infrastructure expands. </w:t>
            </w:r>
          </w:p>
        </w:tc>
        <w:tc>
          <w:tcPr>
            <w:tcW w:w="992" w:type="dxa"/>
          </w:tcPr>
          <w:p w14:paraId="41C8ABF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Other</w:t>
            </w:r>
          </w:p>
        </w:tc>
        <w:tc>
          <w:tcPr>
            <w:tcW w:w="1129" w:type="dxa"/>
          </w:tcPr>
          <w:p w14:paraId="4A79B756"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Planned</w:t>
            </w:r>
          </w:p>
        </w:tc>
        <w:tc>
          <w:tcPr>
            <w:tcW w:w="1281" w:type="dxa"/>
          </w:tcPr>
          <w:p w14:paraId="3A7B363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Transport</w:t>
            </w:r>
          </w:p>
        </w:tc>
        <w:tc>
          <w:tcPr>
            <w:tcW w:w="1276" w:type="dxa"/>
          </w:tcPr>
          <w:p w14:paraId="23DB728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34C5BF1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2024</w:t>
            </w:r>
          </w:p>
        </w:tc>
        <w:tc>
          <w:tcPr>
            <w:tcW w:w="1418" w:type="dxa"/>
          </w:tcPr>
          <w:p w14:paraId="2140E6F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Ministry of Transport, </w:t>
            </w:r>
            <w:r w:rsidRPr="00037D90">
              <w:rPr>
                <w:rFonts w:cs="Calibri"/>
                <w:color w:val="000000" w:themeColor="text1"/>
                <w:sz w:val="18"/>
                <w:szCs w:val="18"/>
              </w:rPr>
              <w:t xml:space="preserve">Ministry of Business, Innovation and Employment, </w:t>
            </w:r>
            <w:r w:rsidRPr="00037D90">
              <w:rPr>
                <w:rFonts w:cs="Calibri"/>
                <w:sz w:val="18"/>
                <w:szCs w:val="18"/>
              </w:rPr>
              <w:t>Energy Efficiency and Conservation Authority</w:t>
            </w:r>
          </w:p>
          <w:p w14:paraId="51E8829E" w14:textId="77777777" w:rsidR="009B2872" w:rsidRPr="00037D90" w:rsidRDefault="009B2872" w:rsidP="004C6219">
            <w:pPr>
              <w:spacing w:before="40" w:after="40" w:line="240" w:lineRule="auto"/>
              <w:jc w:val="left"/>
              <w:rPr>
                <w:rFonts w:cs="Calibri"/>
                <w:color w:val="000000" w:themeColor="text1"/>
                <w:sz w:val="18"/>
                <w:szCs w:val="18"/>
              </w:rPr>
            </w:pPr>
          </w:p>
        </w:tc>
        <w:tc>
          <w:tcPr>
            <w:tcW w:w="992" w:type="dxa"/>
          </w:tcPr>
          <w:p w14:paraId="5FE7C3C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594ECE6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3F525F0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19C4A484" w14:textId="77777777" w:rsidTr="00271C02">
        <w:trPr>
          <w:gridAfter w:val="1"/>
          <w:wAfter w:w="24" w:type="dxa"/>
        </w:trPr>
        <w:tc>
          <w:tcPr>
            <w:tcW w:w="1276" w:type="dxa"/>
          </w:tcPr>
          <w:p w14:paraId="0AC5370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Clean Vehicle Standard and Clean Vehicle Discount Scheme</w:t>
            </w:r>
          </w:p>
        </w:tc>
        <w:tc>
          <w:tcPr>
            <w:tcW w:w="1559" w:type="dxa"/>
          </w:tcPr>
          <w:p w14:paraId="4ADD894C" w14:textId="11E8226D"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The Clean Vehicle Standard requires vehicle importers to achieve annually stricter carbon dioxide targets from 2023 or otherwise face financial charges. The Clean Vehicle Discount encouraged buyer demand for low-emission vehicles by providing rebates for zero- and low-emission light vehicles, and requiring a fee be paid for high-emission vehicles registered in New Zealand for the first time. </w:t>
            </w:r>
          </w:p>
        </w:tc>
        <w:tc>
          <w:tcPr>
            <w:tcW w:w="1418" w:type="dxa"/>
          </w:tcPr>
          <w:p w14:paraId="2FE8FC7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Address both the supply of and the demand for low-emissions vehicles in New Zealand.</w:t>
            </w:r>
          </w:p>
        </w:tc>
        <w:tc>
          <w:tcPr>
            <w:tcW w:w="992" w:type="dxa"/>
          </w:tcPr>
          <w:p w14:paraId="1829D1C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 e</w:t>
            </w:r>
            <w:r w:rsidRPr="00037D90">
              <w:rPr>
                <w:rFonts w:cs="Calibri"/>
                <w:color w:val="000000"/>
                <w:sz w:val="18"/>
                <w:szCs w:val="18"/>
              </w:rPr>
              <w:t>conomic instrument</w:t>
            </w:r>
          </w:p>
        </w:tc>
        <w:tc>
          <w:tcPr>
            <w:tcW w:w="1129" w:type="dxa"/>
          </w:tcPr>
          <w:p w14:paraId="176248EB"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 xml:space="preserve">Implemented </w:t>
            </w:r>
          </w:p>
        </w:tc>
        <w:tc>
          <w:tcPr>
            <w:tcW w:w="1281" w:type="dxa"/>
          </w:tcPr>
          <w:p w14:paraId="30940FA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Transport</w:t>
            </w:r>
          </w:p>
        </w:tc>
        <w:tc>
          <w:tcPr>
            <w:tcW w:w="1276" w:type="dxa"/>
          </w:tcPr>
          <w:p w14:paraId="3B28461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1314C4F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2021</w:t>
            </w:r>
          </w:p>
        </w:tc>
        <w:tc>
          <w:tcPr>
            <w:tcW w:w="1418" w:type="dxa"/>
          </w:tcPr>
          <w:p w14:paraId="1ED4A91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of Transport, NZ Transport Agency</w:t>
            </w:r>
          </w:p>
        </w:tc>
        <w:tc>
          <w:tcPr>
            <w:tcW w:w="992" w:type="dxa"/>
          </w:tcPr>
          <w:p w14:paraId="5F68D3F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6</w:t>
            </w:r>
          </w:p>
        </w:tc>
        <w:tc>
          <w:tcPr>
            <w:tcW w:w="992" w:type="dxa"/>
          </w:tcPr>
          <w:p w14:paraId="539986E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30</w:t>
            </w:r>
          </w:p>
        </w:tc>
        <w:tc>
          <w:tcPr>
            <w:tcW w:w="964" w:type="dxa"/>
          </w:tcPr>
          <w:p w14:paraId="43D9E8C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364</w:t>
            </w:r>
          </w:p>
        </w:tc>
      </w:tr>
      <w:tr w:rsidR="008C018E" w:rsidRPr="00037D90" w14:paraId="1C33FB5D" w14:textId="77777777" w:rsidTr="00271C02">
        <w:trPr>
          <w:gridAfter w:val="1"/>
          <w:wAfter w:w="24" w:type="dxa"/>
        </w:trPr>
        <w:tc>
          <w:tcPr>
            <w:tcW w:w="1276" w:type="dxa"/>
          </w:tcPr>
          <w:p w14:paraId="27E81D98" w14:textId="375BB06A"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Road </w:t>
            </w:r>
            <w:r w:rsidR="00C01C07">
              <w:rPr>
                <w:rFonts w:cs="Calibri"/>
                <w:sz w:val="18"/>
                <w:szCs w:val="18"/>
              </w:rPr>
              <w:t>user charges</w:t>
            </w:r>
            <w:r w:rsidRPr="00037D90">
              <w:rPr>
                <w:rFonts w:cs="Calibri"/>
                <w:sz w:val="18"/>
                <w:szCs w:val="18"/>
              </w:rPr>
              <w:t xml:space="preserve"> exemptions for electric vehicles</w:t>
            </w:r>
          </w:p>
        </w:tc>
        <w:tc>
          <w:tcPr>
            <w:tcW w:w="1559" w:type="dxa"/>
          </w:tcPr>
          <w:p w14:paraId="0EC40832" w14:textId="56E658EC"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A </w:t>
            </w:r>
            <w:r w:rsidR="00C01C07">
              <w:rPr>
                <w:rFonts w:cs="Calibri"/>
                <w:sz w:val="18"/>
                <w:szCs w:val="18"/>
              </w:rPr>
              <w:t>road user charges</w:t>
            </w:r>
            <w:r w:rsidRPr="00037D90">
              <w:rPr>
                <w:rFonts w:cs="Calibri"/>
                <w:sz w:val="18"/>
                <w:szCs w:val="18"/>
              </w:rPr>
              <w:t xml:space="preserve"> exemption on light electric vehicles started in 2009 and ran until 1 April 2024. A </w:t>
            </w:r>
            <w:r w:rsidR="00C01C07">
              <w:rPr>
                <w:rFonts w:cs="Calibri"/>
                <w:sz w:val="18"/>
                <w:szCs w:val="18"/>
              </w:rPr>
              <w:t>road user charges</w:t>
            </w:r>
            <w:r w:rsidRPr="00037D90">
              <w:rPr>
                <w:rFonts w:cs="Calibri"/>
                <w:sz w:val="18"/>
                <w:szCs w:val="18"/>
              </w:rPr>
              <w:t xml:space="preserve"> exemption for heavy electric vehicles was introduced in 2017 and will run until 1 January 2026.</w:t>
            </w:r>
          </w:p>
        </w:tc>
        <w:tc>
          <w:tcPr>
            <w:tcW w:w="1418" w:type="dxa"/>
          </w:tcPr>
          <w:p w14:paraId="117B0D9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Encourage electric vehicle uptake in both the light and heavy fleets.</w:t>
            </w:r>
          </w:p>
        </w:tc>
        <w:tc>
          <w:tcPr>
            <w:tcW w:w="992" w:type="dxa"/>
          </w:tcPr>
          <w:p w14:paraId="38C4AF12" w14:textId="77777777" w:rsidR="009B2872" w:rsidRPr="00037D90" w:rsidRDefault="009B2872" w:rsidP="004C6219">
            <w:pPr>
              <w:spacing w:before="40" w:after="40" w:line="240" w:lineRule="auto"/>
              <w:jc w:val="left"/>
              <w:rPr>
                <w:rFonts w:cs="Calibri"/>
                <w:sz w:val="18"/>
                <w:szCs w:val="18"/>
              </w:rPr>
            </w:pPr>
            <w:r w:rsidRPr="00037D90">
              <w:rPr>
                <w:rFonts w:cs="Calibri"/>
                <w:color w:val="000000"/>
                <w:sz w:val="18"/>
                <w:szCs w:val="18"/>
              </w:rPr>
              <w:t>Economic instrument</w:t>
            </w:r>
          </w:p>
        </w:tc>
        <w:tc>
          <w:tcPr>
            <w:tcW w:w="1129" w:type="dxa"/>
          </w:tcPr>
          <w:p w14:paraId="6C7D2A3E"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 xml:space="preserve">Implemented </w:t>
            </w:r>
          </w:p>
        </w:tc>
        <w:tc>
          <w:tcPr>
            <w:tcW w:w="1281" w:type="dxa"/>
          </w:tcPr>
          <w:p w14:paraId="18CA6B2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Transport</w:t>
            </w:r>
          </w:p>
        </w:tc>
        <w:tc>
          <w:tcPr>
            <w:tcW w:w="1276" w:type="dxa"/>
          </w:tcPr>
          <w:p w14:paraId="287DC74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7C51EDC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2009 </w:t>
            </w:r>
          </w:p>
        </w:tc>
        <w:tc>
          <w:tcPr>
            <w:tcW w:w="1418" w:type="dxa"/>
          </w:tcPr>
          <w:p w14:paraId="6E1B5A4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of Transport, NZ Transport Agency</w:t>
            </w:r>
          </w:p>
        </w:tc>
        <w:tc>
          <w:tcPr>
            <w:tcW w:w="992" w:type="dxa"/>
          </w:tcPr>
          <w:p w14:paraId="2A63738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w:t>
            </w:r>
          </w:p>
        </w:tc>
        <w:tc>
          <w:tcPr>
            <w:tcW w:w="992" w:type="dxa"/>
          </w:tcPr>
          <w:p w14:paraId="4453766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5</w:t>
            </w:r>
          </w:p>
        </w:tc>
        <w:tc>
          <w:tcPr>
            <w:tcW w:w="964" w:type="dxa"/>
          </w:tcPr>
          <w:p w14:paraId="50F32DE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6</w:t>
            </w:r>
          </w:p>
        </w:tc>
      </w:tr>
      <w:tr w:rsidR="008C018E" w:rsidRPr="00037D90" w14:paraId="4BD9CB7E" w14:textId="77777777" w:rsidTr="00271C02">
        <w:trPr>
          <w:gridAfter w:val="1"/>
          <w:wAfter w:w="24" w:type="dxa"/>
        </w:trPr>
        <w:tc>
          <w:tcPr>
            <w:tcW w:w="1276" w:type="dxa"/>
          </w:tcPr>
          <w:p w14:paraId="113EE47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Freight and Supply Chain Strategy</w:t>
            </w:r>
          </w:p>
        </w:tc>
        <w:tc>
          <w:tcPr>
            <w:tcW w:w="1559" w:type="dxa"/>
          </w:tcPr>
          <w:p w14:paraId="34CFA69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The Government released the Freight and Supply Chain Strategy in August 2023, informed by extensive stakeholder engagement.</w:t>
            </w:r>
          </w:p>
        </w:tc>
        <w:tc>
          <w:tcPr>
            <w:tcW w:w="1418" w:type="dxa"/>
          </w:tcPr>
          <w:p w14:paraId="1D369DE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Reduce emissions from heavy road freight.</w:t>
            </w:r>
          </w:p>
        </w:tc>
        <w:tc>
          <w:tcPr>
            <w:tcW w:w="992" w:type="dxa"/>
          </w:tcPr>
          <w:p w14:paraId="5354D02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Other</w:t>
            </w:r>
          </w:p>
        </w:tc>
        <w:tc>
          <w:tcPr>
            <w:tcW w:w="1129" w:type="dxa"/>
          </w:tcPr>
          <w:p w14:paraId="77C35B0F"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Pr>
          <w:p w14:paraId="1C89534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Transport </w:t>
            </w:r>
          </w:p>
        </w:tc>
        <w:tc>
          <w:tcPr>
            <w:tcW w:w="1276" w:type="dxa"/>
          </w:tcPr>
          <w:p w14:paraId="5B4D666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435E1E1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2023</w:t>
            </w:r>
          </w:p>
        </w:tc>
        <w:tc>
          <w:tcPr>
            <w:tcW w:w="1418" w:type="dxa"/>
          </w:tcPr>
          <w:p w14:paraId="0CB5135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of Transport</w:t>
            </w:r>
          </w:p>
        </w:tc>
        <w:tc>
          <w:tcPr>
            <w:tcW w:w="992" w:type="dxa"/>
          </w:tcPr>
          <w:p w14:paraId="19B32F1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0A23752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0D53330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711948CB" w14:textId="77777777" w:rsidTr="00271C02">
        <w:trPr>
          <w:gridAfter w:val="1"/>
          <w:wAfter w:w="24" w:type="dxa"/>
        </w:trPr>
        <w:tc>
          <w:tcPr>
            <w:tcW w:w="1276" w:type="dxa"/>
          </w:tcPr>
          <w:p w14:paraId="7D6077D6" w14:textId="77777777" w:rsidR="009B2872" w:rsidRPr="00642E32" w:rsidRDefault="009B2872" w:rsidP="004C6219">
            <w:pPr>
              <w:spacing w:before="40" w:after="40" w:line="240" w:lineRule="auto"/>
              <w:jc w:val="left"/>
              <w:rPr>
                <w:rFonts w:cs="Calibri"/>
                <w:spacing w:val="-4"/>
                <w:sz w:val="18"/>
                <w:szCs w:val="18"/>
              </w:rPr>
            </w:pPr>
            <w:r w:rsidRPr="00642E32">
              <w:rPr>
                <w:rFonts w:cs="Calibri"/>
                <w:spacing w:val="-4"/>
                <w:sz w:val="18"/>
                <w:szCs w:val="18"/>
              </w:rPr>
              <w:t>Public transport bus decarbonisation</w:t>
            </w:r>
          </w:p>
        </w:tc>
        <w:tc>
          <w:tcPr>
            <w:tcW w:w="1559" w:type="dxa"/>
          </w:tcPr>
          <w:p w14:paraId="78E24F7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The Government will require only zero-emission public transport buses to be purchased by 1 July 2025 and is targeting full decarbonisation of the bus fleet by 2035. The Government is providing $44.7 million over four years to support bus decarbonisation initiatives. </w:t>
            </w:r>
          </w:p>
        </w:tc>
        <w:tc>
          <w:tcPr>
            <w:tcW w:w="1418" w:type="dxa"/>
          </w:tcPr>
          <w:p w14:paraId="1D106D4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Accelerate decarbonisation of the public transport bus fleet.</w:t>
            </w:r>
          </w:p>
        </w:tc>
        <w:tc>
          <w:tcPr>
            <w:tcW w:w="992" w:type="dxa"/>
          </w:tcPr>
          <w:p w14:paraId="1A3C911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Regulatory, </w:t>
            </w:r>
            <w:r w:rsidRPr="00037D90">
              <w:rPr>
                <w:rFonts w:cs="Calibri"/>
                <w:color w:val="000000"/>
                <w:sz w:val="18"/>
                <w:szCs w:val="18"/>
              </w:rPr>
              <w:t>economic instrument</w:t>
            </w:r>
          </w:p>
        </w:tc>
        <w:tc>
          <w:tcPr>
            <w:tcW w:w="1129" w:type="dxa"/>
          </w:tcPr>
          <w:p w14:paraId="2097BCFC"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 xml:space="preserve">Implemented </w:t>
            </w:r>
          </w:p>
        </w:tc>
        <w:tc>
          <w:tcPr>
            <w:tcW w:w="1281" w:type="dxa"/>
          </w:tcPr>
          <w:p w14:paraId="7839D2E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Transport</w:t>
            </w:r>
          </w:p>
        </w:tc>
        <w:tc>
          <w:tcPr>
            <w:tcW w:w="1276" w:type="dxa"/>
          </w:tcPr>
          <w:p w14:paraId="5D5CF36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51F3CB8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2023</w:t>
            </w:r>
          </w:p>
        </w:tc>
        <w:tc>
          <w:tcPr>
            <w:tcW w:w="1418" w:type="dxa"/>
          </w:tcPr>
          <w:p w14:paraId="10D4E57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of Transport, NZ Transport Agency, Energy Efficiency and Conservation Authority</w:t>
            </w:r>
          </w:p>
          <w:p w14:paraId="52731E9B" w14:textId="77777777" w:rsidR="009B2872" w:rsidRPr="00037D90" w:rsidRDefault="009B2872" w:rsidP="004C6219">
            <w:pPr>
              <w:spacing w:before="40" w:after="40" w:line="240" w:lineRule="auto"/>
              <w:jc w:val="left"/>
              <w:rPr>
                <w:rFonts w:cs="Calibri"/>
                <w:sz w:val="18"/>
                <w:szCs w:val="18"/>
              </w:rPr>
            </w:pPr>
          </w:p>
        </w:tc>
        <w:tc>
          <w:tcPr>
            <w:tcW w:w="992" w:type="dxa"/>
          </w:tcPr>
          <w:p w14:paraId="2569F22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1</w:t>
            </w:r>
          </w:p>
        </w:tc>
        <w:tc>
          <w:tcPr>
            <w:tcW w:w="992" w:type="dxa"/>
          </w:tcPr>
          <w:p w14:paraId="6C7AC35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3</w:t>
            </w:r>
          </w:p>
        </w:tc>
        <w:tc>
          <w:tcPr>
            <w:tcW w:w="964" w:type="dxa"/>
          </w:tcPr>
          <w:p w14:paraId="3CA3C06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37</w:t>
            </w:r>
          </w:p>
        </w:tc>
      </w:tr>
      <w:tr w:rsidR="008C018E" w:rsidRPr="00037D90" w14:paraId="7F89E963" w14:textId="77777777" w:rsidTr="00271C02">
        <w:trPr>
          <w:gridAfter w:val="1"/>
          <w:wAfter w:w="24" w:type="dxa"/>
        </w:trPr>
        <w:tc>
          <w:tcPr>
            <w:tcW w:w="1276" w:type="dxa"/>
          </w:tcPr>
          <w:p w14:paraId="720A8CFA" w14:textId="77777777" w:rsidR="009B2872" w:rsidRPr="00037D90" w:rsidRDefault="009B2872" w:rsidP="004C6219">
            <w:pPr>
              <w:keepNext/>
              <w:spacing w:before="40" w:after="40" w:line="240" w:lineRule="auto"/>
              <w:jc w:val="left"/>
              <w:rPr>
                <w:rFonts w:cs="Calibri"/>
                <w:sz w:val="18"/>
                <w:szCs w:val="18"/>
              </w:rPr>
            </w:pPr>
            <w:r w:rsidRPr="00037D90">
              <w:rPr>
                <w:rFonts w:cs="Calibri"/>
                <w:sz w:val="18"/>
                <w:szCs w:val="18"/>
              </w:rPr>
              <w:t>Zero-emissions trucks and buses</w:t>
            </w:r>
          </w:p>
        </w:tc>
        <w:tc>
          <w:tcPr>
            <w:tcW w:w="1559" w:type="dxa"/>
          </w:tcPr>
          <w:p w14:paraId="19CF4F2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The Government has committed $30 million for a grant scheme to reduce the upfront capital cost of low-emissions heavy vehicles. </w:t>
            </w:r>
          </w:p>
        </w:tc>
        <w:tc>
          <w:tcPr>
            <w:tcW w:w="1418" w:type="dxa"/>
          </w:tcPr>
          <w:p w14:paraId="411B65A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Reduce emissions from heavy vehicles.</w:t>
            </w:r>
          </w:p>
        </w:tc>
        <w:tc>
          <w:tcPr>
            <w:tcW w:w="992" w:type="dxa"/>
          </w:tcPr>
          <w:p w14:paraId="53178824" w14:textId="77777777" w:rsidR="009B2872" w:rsidRPr="00037D90" w:rsidRDefault="009B2872" w:rsidP="004C6219">
            <w:pPr>
              <w:spacing w:before="40" w:after="40" w:line="240" w:lineRule="auto"/>
              <w:jc w:val="left"/>
              <w:rPr>
                <w:rFonts w:cs="Calibri"/>
                <w:sz w:val="18"/>
                <w:szCs w:val="18"/>
              </w:rPr>
            </w:pPr>
            <w:r w:rsidRPr="00037D90">
              <w:rPr>
                <w:rFonts w:cs="Calibri"/>
                <w:color w:val="000000"/>
                <w:sz w:val="18"/>
                <w:szCs w:val="18"/>
              </w:rPr>
              <w:t>Economic instrument</w:t>
            </w:r>
          </w:p>
        </w:tc>
        <w:tc>
          <w:tcPr>
            <w:tcW w:w="1129" w:type="dxa"/>
          </w:tcPr>
          <w:p w14:paraId="48CEAA10"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Planned</w:t>
            </w:r>
          </w:p>
        </w:tc>
        <w:tc>
          <w:tcPr>
            <w:tcW w:w="1281" w:type="dxa"/>
          </w:tcPr>
          <w:p w14:paraId="3B5F119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Transport</w:t>
            </w:r>
          </w:p>
        </w:tc>
        <w:tc>
          <w:tcPr>
            <w:tcW w:w="1276" w:type="dxa"/>
          </w:tcPr>
          <w:p w14:paraId="493379C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56D43EB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2024</w:t>
            </w:r>
          </w:p>
        </w:tc>
        <w:tc>
          <w:tcPr>
            <w:tcW w:w="1418" w:type="dxa"/>
          </w:tcPr>
          <w:p w14:paraId="2776770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Energy Efficiency and Conservation Authority</w:t>
            </w:r>
          </w:p>
          <w:p w14:paraId="06C20AA3" w14:textId="77777777" w:rsidR="009B2872" w:rsidRPr="00037D90" w:rsidRDefault="009B2872" w:rsidP="004C6219">
            <w:pPr>
              <w:spacing w:before="40" w:after="40" w:line="240" w:lineRule="auto"/>
              <w:jc w:val="left"/>
              <w:rPr>
                <w:rFonts w:cs="Calibri"/>
                <w:sz w:val="18"/>
                <w:szCs w:val="18"/>
              </w:rPr>
            </w:pPr>
          </w:p>
        </w:tc>
        <w:tc>
          <w:tcPr>
            <w:tcW w:w="992" w:type="dxa"/>
          </w:tcPr>
          <w:p w14:paraId="5D1ECBA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0178C27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10C8B9B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009BBE0C" w14:textId="77777777" w:rsidTr="00271C02">
        <w:trPr>
          <w:gridAfter w:val="1"/>
          <w:wAfter w:w="24" w:type="dxa"/>
        </w:trPr>
        <w:tc>
          <w:tcPr>
            <w:tcW w:w="1276" w:type="dxa"/>
          </w:tcPr>
          <w:p w14:paraId="68CB77F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Low Emissions Transport Fund</w:t>
            </w:r>
          </w:p>
        </w:tc>
        <w:tc>
          <w:tcPr>
            <w:tcW w:w="1559" w:type="dxa"/>
          </w:tcPr>
          <w:p w14:paraId="60C6C7E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The Government increased the funding contribution from $6 million–$7 million per year to $25 million per year by 2023/24.</w:t>
            </w:r>
          </w:p>
        </w:tc>
        <w:tc>
          <w:tcPr>
            <w:tcW w:w="1418" w:type="dxa"/>
          </w:tcPr>
          <w:p w14:paraId="44EFBC1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Support the demonstration and adoption of low-emissions transport technology, innovation and infrastructure to accelerate the decarbonisation of New Zealand’s transport sector. </w:t>
            </w:r>
          </w:p>
        </w:tc>
        <w:tc>
          <w:tcPr>
            <w:tcW w:w="992" w:type="dxa"/>
          </w:tcPr>
          <w:p w14:paraId="3C0F89A9" w14:textId="77777777" w:rsidR="009B2872" w:rsidRPr="00037D90" w:rsidRDefault="009B2872" w:rsidP="004C6219">
            <w:pPr>
              <w:spacing w:before="40" w:after="40" w:line="240" w:lineRule="auto"/>
              <w:jc w:val="left"/>
              <w:rPr>
                <w:rFonts w:cs="Calibri"/>
                <w:sz w:val="18"/>
                <w:szCs w:val="18"/>
              </w:rPr>
            </w:pPr>
            <w:r w:rsidRPr="00037D90">
              <w:rPr>
                <w:rFonts w:cs="Calibri"/>
                <w:color w:val="000000"/>
                <w:sz w:val="18"/>
                <w:szCs w:val="18"/>
              </w:rPr>
              <w:t>Economic instrument</w:t>
            </w:r>
          </w:p>
        </w:tc>
        <w:tc>
          <w:tcPr>
            <w:tcW w:w="1129" w:type="dxa"/>
          </w:tcPr>
          <w:p w14:paraId="3B20E0ED"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Pr>
          <w:p w14:paraId="7761B75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Transport</w:t>
            </w:r>
          </w:p>
        </w:tc>
        <w:tc>
          <w:tcPr>
            <w:tcW w:w="1276" w:type="dxa"/>
          </w:tcPr>
          <w:p w14:paraId="7AC37D3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38A8781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2021</w:t>
            </w:r>
          </w:p>
        </w:tc>
        <w:tc>
          <w:tcPr>
            <w:tcW w:w="1418" w:type="dxa"/>
          </w:tcPr>
          <w:p w14:paraId="32139F4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Energy Efficiency and Conservation Authority</w:t>
            </w:r>
          </w:p>
        </w:tc>
        <w:tc>
          <w:tcPr>
            <w:tcW w:w="992" w:type="dxa"/>
          </w:tcPr>
          <w:p w14:paraId="35D19AD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452D16B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6DCD860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4CCE1B45" w14:textId="77777777" w:rsidTr="00271C02">
        <w:trPr>
          <w:gridAfter w:val="1"/>
          <w:wAfter w:w="24" w:type="dxa"/>
        </w:trPr>
        <w:tc>
          <w:tcPr>
            <w:tcW w:w="1276" w:type="dxa"/>
          </w:tcPr>
          <w:p w14:paraId="71D67D7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Vehicle Fuel Economy Labelling</w:t>
            </w:r>
          </w:p>
        </w:tc>
        <w:tc>
          <w:tcPr>
            <w:tcW w:w="1559" w:type="dxa"/>
          </w:tcPr>
          <w:p w14:paraId="276A1CEF" w14:textId="77777777" w:rsidR="009B2872" w:rsidRDefault="009B2872" w:rsidP="004C6219">
            <w:pPr>
              <w:spacing w:before="40" w:after="40" w:line="240" w:lineRule="auto"/>
              <w:jc w:val="left"/>
              <w:rPr>
                <w:rFonts w:cs="Calibri"/>
                <w:sz w:val="18"/>
                <w:szCs w:val="18"/>
              </w:rPr>
            </w:pPr>
            <w:r w:rsidRPr="00037D90">
              <w:rPr>
                <w:rFonts w:cs="Calibri"/>
                <w:sz w:val="18"/>
                <w:szCs w:val="18"/>
              </w:rPr>
              <w:t xml:space="preserve">This compulsory programme requires vehicle traders and online vendors to display information relating to fuel economy. </w:t>
            </w:r>
          </w:p>
          <w:p w14:paraId="4C9742E6" w14:textId="7AD7F572" w:rsidR="009B2872" w:rsidRPr="00037D90" w:rsidRDefault="009B2872" w:rsidP="004C6219">
            <w:pPr>
              <w:spacing w:before="40" w:after="40" w:line="240" w:lineRule="auto"/>
              <w:jc w:val="left"/>
              <w:rPr>
                <w:rFonts w:cs="Calibri"/>
                <w:sz w:val="18"/>
                <w:szCs w:val="18"/>
              </w:rPr>
            </w:pPr>
          </w:p>
        </w:tc>
        <w:tc>
          <w:tcPr>
            <w:tcW w:w="1418" w:type="dxa"/>
          </w:tcPr>
          <w:p w14:paraId="61EE57A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Allow consumers to make more informed vehicle purchase choices, and to place an appropriate value on fuel economy. </w:t>
            </w:r>
          </w:p>
        </w:tc>
        <w:tc>
          <w:tcPr>
            <w:tcW w:w="992" w:type="dxa"/>
          </w:tcPr>
          <w:p w14:paraId="0FA69E2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 other</w:t>
            </w:r>
          </w:p>
        </w:tc>
        <w:tc>
          <w:tcPr>
            <w:tcW w:w="1129" w:type="dxa"/>
          </w:tcPr>
          <w:p w14:paraId="060E263F"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Pr>
          <w:p w14:paraId="67DDFDD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Transport</w:t>
            </w:r>
          </w:p>
        </w:tc>
        <w:tc>
          <w:tcPr>
            <w:tcW w:w="1276" w:type="dxa"/>
          </w:tcPr>
          <w:p w14:paraId="4A5F77A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4B7ECA2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2008</w:t>
            </w:r>
          </w:p>
        </w:tc>
        <w:tc>
          <w:tcPr>
            <w:tcW w:w="1418" w:type="dxa"/>
          </w:tcPr>
          <w:p w14:paraId="5A1E8E7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Energy Efficiency and Conservation Authority</w:t>
            </w:r>
          </w:p>
        </w:tc>
        <w:tc>
          <w:tcPr>
            <w:tcW w:w="992" w:type="dxa"/>
          </w:tcPr>
          <w:p w14:paraId="614B4F1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21259DC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3B231AF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9B2872" w:rsidRPr="00037D90" w14:paraId="008118D4" w14:textId="77777777" w:rsidTr="004C6219">
        <w:trPr>
          <w:gridAfter w:val="1"/>
          <w:wAfter w:w="24" w:type="dxa"/>
        </w:trPr>
        <w:tc>
          <w:tcPr>
            <w:tcW w:w="14572" w:type="dxa"/>
            <w:gridSpan w:val="12"/>
            <w:shd w:val="clear" w:color="auto" w:fill="D2DDE1" w:themeFill="background2"/>
          </w:tcPr>
          <w:p w14:paraId="19F8FFFC" w14:textId="77777777" w:rsidR="009B2872" w:rsidRPr="003D5E37" w:rsidRDefault="009B2872" w:rsidP="004C6219">
            <w:pPr>
              <w:spacing w:before="40" w:after="40" w:line="240" w:lineRule="auto"/>
              <w:jc w:val="left"/>
              <w:rPr>
                <w:rFonts w:cs="Calibri"/>
                <w:b/>
                <w:sz w:val="18"/>
                <w:szCs w:val="18"/>
              </w:rPr>
            </w:pPr>
            <w:r w:rsidRPr="003D5E37">
              <w:rPr>
                <w:rFonts w:cs="Calibri"/>
                <w:b/>
                <w:sz w:val="18"/>
                <w:szCs w:val="18"/>
              </w:rPr>
              <w:t xml:space="preserve">Industrial Processes and Product Use </w:t>
            </w:r>
          </w:p>
        </w:tc>
      </w:tr>
      <w:tr w:rsidR="008C018E" w:rsidRPr="00037D90" w14:paraId="665E4DF5" w14:textId="77777777" w:rsidTr="00271C02">
        <w:trPr>
          <w:gridAfter w:val="1"/>
          <w:wAfter w:w="24" w:type="dxa"/>
        </w:trPr>
        <w:tc>
          <w:tcPr>
            <w:tcW w:w="1276" w:type="dxa"/>
          </w:tcPr>
          <w:p w14:paraId="73A22BE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Synthetic greenhouse gas levy</w:t>
            </w:r>
          </w:p>
        </w:tc>
        <w:tc>
          <w:tcPr>
            <w:tcW w:w="1559" w:type="dxa"/>
          </w:tcPr>
          <w:p w14:paraId="2F7BCB5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A levy is applied to imported goods containing certain HFCs and PFCs, based on the global warming potential and quantity of HFCs or PFCs they contain.</w:t>
            </w:r>
          </w:p>
        </w:tc>
        <w:tc>
          <w:tcPr>
            <w:tcW w:w="1418" w:type="dxa"/>
          </w:tcPr>
          <w:p w14:paraId="3B34761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Encourage the use of lower global warming potential gases.</w:t>
            </w:r>
          </w:p>
        </w:tc>
        <w:tc>
          <w:tcPr>
            <w:tcW w:w="992" w:type="dxa"/>
          </w:tcPr>
          <w:p w14:paraId="66A30DA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w:t>
            </w:r>
          </w:p>
        </w:tc>
        <w:tc>
          <w:tcPr>
            <w:tcW w:w="1129" w:type="dxa"/>
          </w:tcPr>
          <w:p w14:paraId="184F631D"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Pr>
          <w:p w14:paraId="3899FFC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IPPU</w:t>
            </w:r>
          </w:p>
        </w:tc>
        <w:tc>
          <w:tcPr>
            <w:tcW w:w="1276" w:type="dxa"/>
          </w:tcPr>
          <w:p w14:paraId="06F6C15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HFCs, PFCs</w:t>
            </w:r>
          </w:p>
        </w:tc>
        <w:tc>
          <w:tcPr>
            <w:tcW w:w="1275" w:type="dxa"/>
          </w:tcPr>
          <w:p w14:paraId="436357E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2013</w:t>
            </w:r>
          </w:p>
        </w:tc>
        <w:tc>
          <w:tcPr>
            <w:tcW w:w="1418" w:type="dxa"/>
          </w:tcPr>
          <w:p w14:paraId="553129F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Environmental Protection Authority</w:t>
            </w:r>
          </w:p>
        </w:tc>
        <w:tc>
          <w:tcPr>
            <w:tcW w:w="992" w:type="dxa"/>
          </w:tcPr>
          <w:p w14:paraId="5A22CC4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0403B5C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1D627CE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2F369DE7" w14:textId="77777777" w:rsidTr="00271C02">
        <w:trPr>
          <w:gridAfter w:val="1"/>
          <w:wAfter w:w="24" w:type="dxa"/>
        </w:trPr>
        <w:tc>
          <w:tcPr>
            <w:tcW w:w="1276" w:type="dxa"/>
          </w:tcPr>
          <w:p w14:paraId="4AE1980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Permitting scheme for imports and exports of bulk HFCs</w:t>
            </w:r>
          </w:p>
        </w:tc>
        <w:tc>
          <w:tcPr>
            <w:tcW w:w="1559" w:type="dxa"/>
          </w:tcPr>
          <w:p w14:paraId="4B913CB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Staged phase-down on consumption (production, importation and exportation) of bulk HFCs.</w:t>
            </w:r>
          </w:p>
        </w:tc>
        <w:tc>
          <w:tcPr>
            <w:tcW w:w="1418" w:type="dxa"/>
          </w:tcPr>
          <w:p w14:paraId="1DD26CC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Phase-down of consumption of HFC gases.</w:t>
            </w:r>
          </w:p>
        </w:tc>
        <w:tc>
          <w:tcPr>
            <w:tcW w:w="992" w:type="dxa"/>
          </w:tcPr>
          <w:p w14:paraId="2CA4E32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w:t>
            </w:r>
          </w:p>
        </w:tc>
        <w:tc>
          <w:tcPr>
            <w:tcW w:w="1129" w:type="dxa"/>
          </w:tcPr>
          <w:p w14:paraId="4CAAC0C8"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 xml:space="preserve">Implemented </w:t>
            </w:r>
          </w:p>
        </w:tc>
        <w:tc>
          <w:tcPr>
            <w:tcW w:w="1281" w:type="dxa"/>
          </w:tcPr>
          <w:p w14:paraId="4DB2974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IPPU</w:t>
            </w:r>
          </w:p>
        </w:tc>
        <w:tc>
          <w:tcPr>
            <w:tcW w:w="1276" w:type="dxa"/>
          </w:tcPr>
          <w:p w14:paraId="5762DB8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HFCs</w:t>
            </w:r>
          </w:p>
        </w:tc>
        <w:tc>
          <w:tcPr>
            <w:tcW w:w="1275" w:type="dxa"/>
          </w:tcPr>
          <w:p w14:paraId="068CCE9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2020</w:t>
            </w:r>
          </w:p>
        </w:tc>
        <w:tc>
          <w:tcPr>
            <w:tcW w:w="1418" w:type="dxa"/>
          </w:tcPr>
          <w:p w14:paraId="62DE5D0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the Environment</w:t>
            </w:r>
          </w:p>
        </w:tc>
        <w:tc>
          <w:tcPr>
            <w:tcW w:w="992" w:type="dxa"/>
          </w:tcPr>
          <w:p w14:paraId="07A4D90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92" w:type="dxa"/>
          </w:tcPr>
          <w:p w14:paraId="5A25929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64" w:type="dxa"/>
          </w:tcPr>
          <w:p w14:paraId="6E75908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102</w:t>
            </w:r>
          </w:p>
        </w:tc>
      </w:tr>
      <w:tr w:rsidR="008C018E" w:rsidRPr="00037D90" w14:paraId="5B6B6C94" w14:textId="77777777" w:rsidTr="00271C02">
        <w:trPr>
          <w:gridAfter w:val="1"/>
          <w:wAfter w:w="24" w:type="dxa"/>
        </w:trPr>
        <w:tc>
          <w:tcPr>
            <w:tcW w:w="1276" w:type="dxa"/>
          </w:tcPr>
          <w:p w14:paraId="5D54815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Voluntary product stewardship scheme for refrigerants</w:t>
            </w:r>
          </w:p>
        </w:tc>
        <w:tc>
          <w:tcPr>
            <w:tcW w:w="1559" w:type="dxa"/>
          </w:tcPr>
          <w:p w14:paraId="034DD167" w14:textId="77777777" w:rsidR="009B2872" w:rsidRDefault="009B2872" w:rsidP="004C6219">
            <w:pPr>
              <w:spacing w:before="40" w:after="40" w:line="240" w:lineRule="auto"/>
              <w:jc w:val="left"/>
              <w:rPr>
                <w:rFonts w:cs="Calibri"/>
                <w:sz w:val="18"/>
                <w:szCs w:val="18"/>
              </w:rPr>
            </w:pPr>
            <w:r w:rsidRPr="00037D90">
              <w:rPr>
                <w:rFonts w:cs="Calibri"/>
                <w:sz w:val="18"/>
                <w:szCs w:val="18"/>
              </w:rPr>
              <w:t>A government-accredited organisation facilitates the collection and export of refrigerant gases for destruction overseas.</w:t>
            </w:r>
          </w:p>
          <w:p w14:paraId="047F89DF" w14:textId="77777777" w:rsidR="00667454" w:rsidRDefault="00667454" w:rsidP="004C6219">
            <w:pPr>
              <w:spacing w:before="40" w:after="40" w:line="240" w:lineRule="auto"/>
              <w:jc w:val="left"/>
              <w:rPr>
                <w:rFonts w:cs="Calibri"/>
                <w:sz w:val="18"/>
                <w:szCs w:val="18"/>
              </w:rPr>
            </w:pPr>
          </w:p>
          <w:p w14:paraId="3279D482" w14:textId="77777777" w:rsidR="00667454" w:rsidRDefault="00667454" w:rsidP="004C6219">
            <w:pPr>
              <w:spacing w:before="40" w:after="40" w:line="240" w:lineRule="auto"/>
              <w:jc w:val="left"/>
              <w:rPr>
                <w:rFonts w:cs="Calibri"/>
                <w:sz w:val="18"/>
                <w:szCs w:val="18"/>
              </w:rPr>
            </w:pPr>
          </w:p>
          <w:p w14:paraId="0DF3631E" w14:textId="49F00109" w:rsidR="009B2872" w:rsidRPr="00037D90" w:rsidRDefault="009B2872" w:rsidP="004C6219">
            <w:pPr>
              <w:spacing w:before="40" w:after="40" w:line="240" w:lineRule="auto"/>
              <w:jc w:val="left"/>
              <w:rPr>
                <w:rFonts w:cs="Calibri"/>
                <w:sz w:val="18"/>
                <w:szCs w:val="18"/>
              </w:rPr>
            </w:pPr>
          </w:p>
        </w:tc>
        <w:tc>
          <w:tcPr>
            <w:tcW w:w="1418" w:type="dxa"/>
          </w:tcPr>
          <w:p w14:paraId="4D2E2E5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Export for destruction of refrigerant gases.</w:t>
            </w:r>
          </w:p>
        </w:tc>
        <w:tc>
          <w:tcPr>
            <w:tcW w:w="992" w:type="dxa"/>
          </w:tcPr>
          <w:p w14:paraId="7FB3D10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Other</w:t>
            </w:r>
          </w:p>
        </w:tc>
        <w:tc>
          <w:tcPr>
            <w:tcW w:w="1129" w:type="dxa"/>
          </w:tcPr>
          <w:p w14:paraId="30663609"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Pr>
          <w:p w14:paraId="5C33B7E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IPPU</w:t>
            </w:r>
          </w:p>
        </w:tc>
        <w:tc>
          <w:tcPr>
            <w:tcW w:w="1276" w:type="dxa"/>
          </w:tcPr>
          <w:p w14:paraId="47241C4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HFCs, PFCs, SF6</w:t>
            </w:r>
          </w:p>
        </w:tc>
        <w:tc>
          <w:tcPr>
            <w:tcW w:w="1275" w:type="dxa"/>
          </w:tcPr>
          <w:p w14:paraId="4F5E6C9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2010</w:t>
            </w:r>
          </w:p>
        </w:tc>
        <w:tc>
          <w:tcPr>
            <w:tcW w:w="1418" w:type="dxa"/>
          </w:tcPr>
          <w:p w14:paraId="7478ED0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the Environment</w:t>
            </w:r>
          </w:p>
        </w:tc>
        <w:tc>
          <w:tcPr>
            <w:tcW w:w="992" w:type="dxa"/>
          </w:tcPr>
          <w:p w14:paraId="5E299E9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92" w:type="dxa"/>
          </w:tcPr>
          <w:p w14:paraId="7DB54B6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64" w:type="dxa"/>
          </w:tcPr>
          <w:p w14:paraId="2F1BDFF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51</w:t>
            </w:r>
          </w:p>
        </w:tc>
      </w:tr>
      <w:tr w:rsidR="009B2872" w:rsidRPr="00037D90" w14:paraId="57795AC2" w14:textId="77777777" w:rsidTr="004C6219">
        <w:trPr>
          <w:gridAfter w:val="1"/>
          <w:wAfter w:w="24" w:type="dxa"/>
        </w:trPr>
        <w:tc>
          <w:tcPr>
            <w:tcW w:w="14572" w:type="dxa"/>
            <w:gridSpan w:val="12"/>
            <w:shd w:val="clear" w:color="auto" w:fill="D2DDE1" w:themeFill="background2"/>
          </w:tcPr>
          <w:p w14:paraId="43315AE8" w14:textId="77777777" w:rsidR="009B2872" w:rsidRPr="003D5E37" w:rsidRDefault="009B2872" w:rsidP="004C6219">
            <w:pPr>
              <w:spacing w:before="40" w:after="40" w:line="240" w:lineRule="auto"/>
              <w:jc w:val="left"/>
              <w:rPr>
                <w:rFonts w:cs="Calibri"/>
                <w:b/>
                <w:sz w:val="18"/>
                <w:szCs w:val="18"/>
              </w:rPr>
            </w:pPr>
            <w:r w:rsidRPr="003D5E37">
              <w:rPr>
                <w:rFonts w:cs="Calibri"/>
                <w:b/>
                <w:sz w:val="18"/>
                <w:szCs w:val="18"/>
              </w:rPr>
              <w:t>Agriculture</w:t>
            </w:r>
          </w:p>
        </w:tc>
      </w:tr>
      <w:tr w:rsidR="008C018E" w:rsidRPr="00037D90" w14:paraId="6984E33B" w14:textId="77777777" w:rsidTr="00271C02">
        <w:trPr>
          <w:gridAfter w:val="1"/>
          <w:wAfter w:w="24" w:type="dxa"/>
        </w:trPr>
        <w:tc>
          <w:tcPr>
            <w:tcW w:w="1276" w:type="dxa"/>
          </w:tcPr>
          <w:p w14:paraId="659BB49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A fair and sustainable pricing system for on-farm agricultural </w:t>
            </w:r>
            <w:r w:rsidRPr="00037D90" w:rsidDel="00DC2EB9">
              <w:rPr>
                <w:rFonts w:cs="Calibri"/>
                <w:sz w:val="18"/>
                <w:szCs w:val="18"/>
              </w:rPr>
              <w:t>emissions</w:t>
            </w:r>
          </w:p>
        </w:tc>
        <w:tc>
          <w:tcPr>
            <w:tcW w:w="1559" w:type="dxa"/>
          </w:tcPr>
          <w:p w14:paraId="216B14B1" w14:textId="77777777" w:rsidR="009B2872" w:rsidRPr="00037D90" w:rsidRDefault="009B2872" w:rsidP="004C6219">
            <w:pPr>
              <w:spacing w:before="40" w:after="40" w:line="240" w:lineRule="auto"/>
              <w:jc w:val="left"/>
              <w:rPr>
                <w:rFonts w:cs="Calibri"/>
                <w:sz w:val="18"/>
                <w:szCs w:val="18"/>
              </w:rPr>
            </w:pPr>
            <w:r w:rsidRPr="00037D90">
              <w:rPr>
                <w:rFonts w:cs="Calibri"/>
                <w:color w:val="000000" w:themeColor="text1"/>
                <w:sz w:val="18"/>
                <w:szCs w:val="18"/>
              </w:rPr>
              <w:t>The Government has committed to a fair and sustainable pricing system for agricultural emissions no later than 2030, with on-farm emissions measurement by 2025.</w:t>
            </w:r>
          </w:p>
        </w:tc>
        <w:tc>
          <w:tcPr>
            <w:tcW w:w="1418" w:type="dxa"/>
          </w:tcPr>
          <w:p w14:paraId="2405810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Encourage reduction in agricultural emissions.</w:t>
            </w:r>
          </w:p>
        </w:tc>
        <w:tc>
          <w:tcPr>
            <w:tcW w:w="992" w:type="dxa"/>
          </w:tcPr>
          <w:p w14:paraId="0232A76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 economic instrument</w:t>
            </w:r>
          </w:p>
        </w:tc>
        <w:tc>
          <w:tcPr>
            <w:tcW w:w="1129" w:type="dxa"/>
          </w:tcPr>
          <w:p w14:paraId="6C4D026B"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 xml:space="preserve">Planned </w:t>
            </w:r>
          </w:p>
        </w:tc>
        <w:tc>
          <w:tcPr>
            <w:tcW w:w="1281" w:type="dxa"/>
          </w:tcPr>
          <w:p w14:paraId="6162A13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Agriculture</w:t>
            </w:r>
          </w:p>
        </w:tc>
        <w:tc>
          <w:tcPr>
            <w:tcW w:w="1276" w:type="dxa"/>
          </w:tcPr>
          <w:p w14:paraId="1FCF530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CH</w:t>
            </w:r>
            <w:r w:rsidRPr="00037D90">
              <w:rPr>
                <w:rFonts w:cs="Calibri"/>
                <w:sz w:val="18"/>
                <w:szCs w:val="18"/>
                <w:vertAlign w:val="subscript"/>
              </w:rPr>
              <w:t>4</w:t>
            </w:r>
            <w:r w:rsidRPr="00037D90">
              <w:rPr>
                <w:rFonts w:cs="Calibri"/>
                <w:sz w:val="18"/>
                <w:szCs w:val="18"/>
              </w:rPr>
              <w:t>,</w:t>
            </w:r>
            <w:r w:rsidRPr="00037D90">
              <w:rPr>
                <w:rFonts w:cs="Calibri"/>
                <w:sz w:val="18"/>
                <w:szCs w:val="18"/>
                <w:vertAlign w:val="subscript"/>
              </w:rPr>
              <w:t xml:space="preserve"> </w:t>
            </w:r>
            <w:r w:rsidRPr="00037D90">
              <w:rPr>
                <w:rFonts w:cs="Calibri"/>
                <w:sz w:val="18"/>
                <w:szCs w:val="18"/>
              </w:rPr>
              <w:t>N</w:t>
            </w:r>
            <w:r w:rsidRPr="00037D90">
              <w:rPr>
                <w:rFonts w:cs="Calibri"/>
                <w:sz w:val="18"/>
                <w:szCs w:val="18"/>
                <w:vertAlign w:val="subscript"/>
              </w:rPr>
              <w:t>2</w:t>
            </w:r>
            <w:r w:rsidRPr="00037D90">
              <w:rPr>
                <w:rFonts w:cs="Calibri"/>
                <w:sz w:val="18"/>
                <w:szCs w:val="18"/>
              </w:rPr>
              <w:t>O, CO</w:t>
            </w:r>
            <w:r w:rsidRPr="00037D90">
              <w:rPr>
                <w:rFonts w:cs="Calibri"/>
                <w:sz w:val="18"/>
                <w:szCs w:val="18"/>
                <w:vertAlign w:val="subscript"/>
              </w:rPr>
              <w:t>2</w:t>
            </w:r>
          </w:p>
        </w:tc>
        <w:tc>
          <w:tcPr>
            <w:tcW w:w="1275" w:type="dxa"/>
          </w:tcPr>
          <w:p w14:paraId="6FB13F8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2030</w:t>
            </w:r>
          </w:p>
        </w:tc>
        <w:tc>
          <w:tcPr>
            <w:tcW w:w="1418" w:type="dxa"/>
          </w:tcPr>
          <w:p w14:paraId="7DDE43C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Primary Industries</w:t>
            </w:r>
          </w:p>
        </w:tc>
        <w:tc>
          <w:tcPr>
            <w:tcW w:w="992" w:type="dxa"/>
          </w:tcPr>
          <w:p w14:paraId="52DA21BF" w14:textId="2E019351"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154D861D" w14:textId="01F78A30"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5A1EC553" w14:textId="6B43C652"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2DF574C2" w14:textId="77777777" w:rsidTr="00271C02">
        <w:trPr>
          <w:gridAfter w:val="1"/>
          <w:wAfter w:w="24" w:type="dxa"/>
        </w:trPr>
        <w:tc>
          <w:tcPr>
            <w:tcW w:w="1276" w:type="dxa"/>
          </w:tcPr>
          <w:p w14:paraId="2A0E45B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Centre for Climate Action on Agricultural Emissions</w:t>
            </w:r>
          </w:p>
        </w:tc>
        <w:tc>
          <w:tcPr>
            <w:tcW w:w="1559" w:type="dxa"/>
          </w:tcPr>
          <w:p w14:paraId="0095844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The Centre for Climate Action on Agricultural Emissions accelerates the commercialisation of new mitigation technologies. </w:t>
            </w:r>
          </w:p>
          <w:p w14:paraId="030068D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The Centre has two components: AgriZero</w:t>
            </w:r>
            <w:r w:rsidRPr="00037D90">
              <w:rPr>
                <w:rFonts w:cs="Calibri"/>
                <w:sz w:val="18"/>
                <w:szCs w:val="18"/>
                <w:vertAlign w:val="superscript"/>
              </w:rPr>
              <w:t>NZ</w:t>
            </w:r>
            <w:r w:rsidRPr="00037D90">
              <w:rPr>
                <w:rFonts w:cs="Calibri"/>
                <w:sz w:val="18"/>
                <w:szCs w:val="18"/>
              </w:rPr>
              <w:t>, a catalyst and investment industry–Crown joint venture company, and the New Zealand Agricultural Greenhouse Gas Research Centre.</w:t>
            </w:r>
          </w:p>
        </w:tc>
        <w:tc>
          <w:tcPr>
            <w:tcW w:w="1418" w:type="dxa"/>
          </w:tcPr>
          <w:p w14:paraId="41C3D4A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Accelerate the development of greenhouse gas mitigations.</w:t>
            </w:r>
          </w:p>
        </w:tc>
        <w:tc>
          <w:tcPr>
            <w:tcW w:w="992" w:type="dxa"/>
          </w:tcPr>
          <w:p w14:paraId="10C2055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Other</w:t>
            </w:r>
          </w:p>
        </w:tc>
        <w:tc>
          <w:tcPr>
            <w:tcW w:w="1129" w:type="dxa"/>
          </w:tcPr>
          <w:p w14:paraId="7E548138"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Pr>
          <w:p w14:paraId="0AEE49A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Agriculture</w:t>
            </w:r>
          </w:p>
        </w:tc>
        <w:tc>
          <w:tcPr>
            <w:tcW w:w="1276" w:type="dxa"/>
          </w:tcPr>
          <w:p w14:paraId="728BDBA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CH</w:t>
            </w:r>
            <w:r w:rsidRPr="00037D90">
              <w:rPr>
                <w:rFonts w:cs="Calibri"/>
                <w:sz w:val="18"/>
                <w:szCs w:val="18"/>
                <w:vertAlign w:val="subscript"/>
              </w:rPr>
              <w:t>4</w:t>
            </w:r>
            <w:r w:rsidRPr="00037D90">
              <w:rPr>
                <w:rFonts w:cs="Calibri"/>
                <w:sz w:val="18"/>
                <w:szCs w:val="18"/>
              </w:rPr>
              <w:t>, N</w:t>
            </w:r>
            <w:r w:rsidRPr="00037D90">
              <w:rPr>
                <w:rFonts w:cs="Calibri"/>
                <w:sz w:val="18"/>
                <w:szCs w:val="18"/>
                <w:vertAlign w:val="subscript"/>
              </w:rPr>
              <w:t>2</w:t>
            </w:r>
            <w:r w:rsidRPr="00037D90">
              <w:rPr>
                <w:rFonts w:cs="Calibri"/>
                <w:sz w:val="18"/>
                <w:szCs w:val="18"/>
              </w:rPr>
              <w:t>O, CO</w:t>
            </w:r>
            <w:r w:rsidRPr="00037D90">
              <w:rPr>
                <w:rFonts w:cs="Calibri"/>
                <w:sz w:val="18"/>
                <w:szCs w:val="18"/>
                <w:vertAlign w:val="subscript"/>
              </w:rPr>
              <w:t>2</w:t>
            </w:r>
          </w:p>
        </w:tc>
        <w:tc>
          <w:tcPr>
            <w:tcW w:w="1275" w:type="dxa"/>
          </w:tcPr>
          <w:p w14:paraId="7A75EBD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2022</w:t>
            </w:r>
          </w:p>
        </w:tc>
        <w:tc>
          <w:tcPr>
            <w:tcW w:w="1418" w:type="dxa"/>
          </w:tcPr>
          <w:p w14:paraId="18E6234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Primary Industries</w:t>
            </w:r>
          </w:p>
        </w:tc>
        <w:tc>
          <w:tcPr>
            <w:tcW w:w="992" w:type="dxa"/>
          </w:tcPr>
          <w:p w14:paraId="4FE411D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7B8E388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1A1B8CC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186F39EE" w14:textId="77777777" w:rsidTr="00271C02">
        <w:trPr>
          <w:gridAfter w:val="1"/>
          <w:wAfter w:w="24" w:type="dxa"/>
        </w:trPr>
        <w:tc>
          <w:tcPr>
            <w:tcW w:w="1276" w:type="dxa"/>
          </w:tcPr>
          <w:p w14:paraId="3C8CF99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 Zealand Agricultural Greenhouse Gas Research Centre</w:t>
            </w:r>
          </w:p>
        </w:tc>
        <w:tc>
          <w:tcPr>
            <w:tcW w:w="1559" w:type="dxa"/>
          </w:tcPr>
          <w:p w14:paraId="0750CC4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Brings together nine primary sector research organisations.</w:t>
            </w:r>
          </w:p>
        </w:tc>
        <w:tc>
          <w:tcPr>
            <w:tcW w:w="1418" w:type="dxa"/>
          </w:tcPr>
          <w:p w14:paraId="41B9D49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Focus on ways to reduce on-farm CH</w:t>
            </w:r>
            <w:r w:rsidRPr="00037D90">
              <w:rPr>
                <w:rFonts w:cs="Calibri"/>
                <w:sz w:val="18"/>
                <w:szCs w:val="18"/>
                <w:vertAlign w:val="subscript"/>
              </w:rPr>
              <w:t>4</w:t>
            </w:r>
            <w:r w:rsidRPr="00037D90">
              <w:rPr>
                <w:rFonts w:cs="Calibri"/>
                <w:sz w:val="18"/>
                <w:szCs w:val="18"/>
              </w:rPr>
              <w:t xml:space="preserve"> and N</w:t>
            </w:r>
            <w:r w:rsidRPr="00037D90">
              <w:rPr>
                <w:rFonts w:cs="Calibri"/>
                <w:sz w:val="18"/>
                <w:szCs w:val="18"/>
                <w:vertAlign w:val="subscript"/>
              </w:rPr>
              <w:t>2</w:t>
            </w:r>
            <w:r w:rsidRPr="00037D90">
              <w:rPr>
                <w:rFonts w:cs="Calibri"/>
                <w:sz w:val="18"/>
                <w:szCs w:val="18"/>
              </w:rPr>
              <w:t>O emissions and enhance soil carbon.</w:t>
            </w:r>
          </w:p>
        </w:tc>
        <w:tc>
          <w:tcPr>
            <w:tcW w:w="992" w:type="dxa"/>
          </w:tcPr>
          <w:p w14:paraId="111DE7B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Other</w:t>
            </w:r>
          </w:p>
        </w:tc>
        <w:tc>
          <w:tcPr>
            <w:tcW w:w="1129" w:type="dxa"/>
          </w:tcPr>
          <w:p w14:paraId="43504F05"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Pr>
          <w:p w14:paraId="7AF45B5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Agriculture</w:t>
            </w:r>
          </w:p>
        </w:tc>
        <w:tc>
          <w:tcPr>
            <w:tcW w:w="1276" w:type="dxa"/>
          </w:tcPr>
          <w:p w14:paraId="0B61015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CH</w:t>
            </w:r>
            <w:r w:rsidRPr="00037D90">
              <w:rPr>
                <w:rFonts w:cs="Calibri"/>
                <w:sz w:val="18"/>
                <w:szCs w:val="18"/>
                <w:vertAlign w:val="subscript"/>
              </w:rPr>
              <w:t>4</w:t>
            </w:r>
            <w:r w:rsidRPr="00037D90">
              <w:rPr>
                <w:rFonts w:cs="Calibri"/>
                <w:sz w:val="18"/>
                <w:szCs w:val="18"/>
              </w:rPr>
              <w:t>, N</w:t>
            </w:r>
            <w:r w:rsidRPr="00037D90">
              <w:rPr>
                <w:rFonts w:cs="Calibri"/>
                <w:sz w:val="18"/>
                <w:szCs w:val="18"/>
                <w:vertAlign w:val="subscript"/>
              </w:rPr>
              <w:t>2</w:t>
            </w:r>
            <w:r w:rsidRPr="00037D90">
              <w:rPr>
                <w:rFonts w:cs="Calibri"/>
                <w:sz w:val="18"/>
                <w:szCs w:val="18"/>
              </w:rPr>
              <w:t>O, CO</w:t>
            </w:r>
            <w:r w:rsidRPr="00037D90">
              <w:rPr>
                <w:rFonts w:cs="Calibri"/>
                <w:sz w:val="18"/>
                <w:szCs w:val="18"/>
                <w:vertAlign w:val="subscript"/>
              </w:rPr>
              <w:t>2</w:t>
            </w:r>
          </w:p>
        </w:tc>
        <w:tc>
          <w:tcPr>
            <w:tcW w:w="1275" w:type="dxa"/>
          </w:tcPr>
          <w:p w14:paraId="237DD78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2009</w:t>
            </w:r>
          </w:p>
        </w:tc>
        <w:tc>
          <w:tcPr>
            <w:tcW w:w="1418" w:type="dxa"/>
          </w:tcPr>
          <w:p w14:paraId="2DC1225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Primary Industries</w:t>
            </w:r>
          </w:p>
        </w:tc>
        <w:tc>
          <w:tcPr>
            <w:tcW w:w="992" w:type="dxa"/>
          </w:tcPr>
          <w:p w14:paraId="655033F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50E6269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2863D1A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3279E5DA" w14:textId="77777777" w:rsidTr="00271C02">
        <w:trPr>
          <w:gridAfter w:val="1"/>
          <w:wAfter w:w="24" w:type="dxa"/>
        </w:trPr>
        <w:tc>
          <w:tcPr>
            <w:tcW w:w="1276" w:type="dxa"/>
          </w:tcPr>
          <w:p w14:paraId="7E0E2AC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Global Research Alliance on Agricultural Greenhouse Gases (GRA)</w:t>
            </w:r>
          </w:p>
        </w:tc>
        <w:tc>
          <w:tcPr>
            <w:tcW w:w="1559" w:type="dxa"/>
          </w:tcPr>
          <w:p w14:paraId="008B69B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New Zealand plays an active role in supporting the GRA through funding and delivery of education, training and public awareness, funding of mitigation research projects and funding of regional and international collaboration in addition to co-chairing the GRA’s Livestock Research Group and hosting the GRA Secretariat and Special Representative. </w:t>
            </w:r>
          </w:p>
        </w:tc>
        <w:tc>
          <w:tcPr>
            <w:tcW w:w="1418" w:type="dxa"/>
          </w:tcPr>
          <w:p w14:paraId="7F64248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Increase international collaboration on and investment in research on increasing agricultural and food production, without increasing greenhouse gas emissions.</w:t>
            </w:r>
          </w:p>
        </w:tc>
        <w:tc>
          <w:tcPr>
            <w:tcW w:w="992" w:type="dxa"/>
          </w:tcPr>
          <w:p w14:paraId="3FDABAC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Other</w:t>
            </w:r>
          </w:p>
        </w:tc>
        <w:tc>
          <w:tcPr>
            <w:tcW w:w="1129" w:type="dxa"/>
          </w:tcPr>
          <w:p w14:paraId="453BE784"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Pr>
          <w:p w14:paraId="262D858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Agriculture</w:t>
            </w:r>
          </w:p>
        </w:tc>
        <w:tc>
          <w:tcPr>
            <w:tcW w:w="1276" w:type="dxa"/>
          </w:tcPr>
          <w:p w14:paraId="3B6845F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CH</w:t>
            </w:r>
            <w:r w:rsidRPr="00037D90">
              <w:rPr>
                <w:rFonts w:cs="Calibri"/>
                <w:sz w:val="18"/>
                <w:szCs w:val="18"/>
                <w:vertAlign w:val="subscript"/>
              </w:rPr>
              <w:t>4</w:t>
            </w:r>
            <w:r w:rsidRPr="00037D90">
              <w:rPr>
                <w:rFonts w:cs="Calibri"/>
                <w:sz w:val="18"/>
                <w:szCs w:val="18"/>
              </w:rPr>
              <w:t>, N</w:t>
            </w:r>
            <w:r w:rsidRPr="00037D90">
              <w:rPr>
                <w:rFonts w:cs="Calibri"/>
                <w:sz w:val="18"/>
                <w:szCs w:val="18"/>
                <w:vertAlign w:val="subscript"/>
              </w:rPr>
              <w:t>2</w:t>
            </w:r>
            <w:r w:rsidRPr="00037D90">
              <w:rPr>
                <w:rFonts w:cs="Calibri"/>
                <w:sz w:val="18"/>
                <w:szCs w:val="18"/>
              </w:rPr>
              <w:t>O, CO</w:t>
            </w:r>
            <w:r w:rsidRPr="00037D90">
              <w:rPr>
                <w:rFonts w:cs="Calibri"/>
                <w:sz w:val="18"/>
                <w:szCs w:val="18"/>
                <w:vertAlign w:val="subscript"/>
              </w:rPr>
              <w:t>2</w:t>
            </w:r>
          </w:p>
        </w:tc>
        <w:tc>
          <w:tcPr>
            <w:tcW w:w="1275" w:type="dxa"/>
          </w:tcPr>
          <w:p w14:paraId="2A50D7D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2009</w:t>
            </w:r>
          </w:p>
        </w:tc>
        <w:tc>
          <w:tcPr>
            <w:tcW w:w="1418" w:type="dxa"/>
          </w:tcPr>
          <w:p w14:paraId="7A762FE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Secretariat support and co-Chair of the Livestock Research Group provided by New Zealand </w:t>
            </w:r>
          </w:p>
          <w:p w14:paraId="231852A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Primary Industries</w:t>
            </w:r>
          </w:p>
        </w:tc>
        <w:tc>
          <w:tcPr>
            <w:tcW w:w="992" w:type="dxa"/>
          </w:tcPr>
          <w:p w14:paraId="7727072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2F4AA8D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5E3BAD7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48790788" w14:textId="77777777" w:rsidTr="00271C02">
        <w:trPr>
          <w:gridAfter w:val="1"/>
          <w:wAfter w:w="24" w:type="dxa"/>
        </w:trPr>
        <w:tc>
          <w:tcPr>
            <w:tcW w:w="1276" w:type="dxa"/>
          </w:tcPr>
          <w:p w14:paraId="0973A43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Sustainable Food and Fibre Futures</w:t>
            </w:r>
          </w:p>
        </w:tc>
        <w:tc>
          <w:tcPr>
            <w:tcW w:w="1559" w:type="dxa"/>
          </w:tcPr>
          <w:p w14:paraId="346F27B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Provides co-funding for programmes driving sustainable impact for the food and fibre sectors.</w:t>
            </w:r>
          </w:p>
        </w:tc>
        <w:tc>
          <w:tcPr>
            <w:tcW w:w="1418" w:type="dxa"/>
          </w:tcPr>
          <w:p w14:paraId="2753ACF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Co-invest in innovative projects to grow New Zealand's food and fibre industries sustainably.</w:t>
            </w:r>
          </w:p>
        </w:tc>
        <w:tc>
          <w:tcPr>
            <w:tcW w:w="992" w:type="dxa"/>
          </w:tcPr>
          <w:p w14:paraId="501F418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Other</w:t>
            </w:r>
          </w:p>
        </w:tc>
        <w:tc>
          <w:tcPr>
            <w:tcW w:w="1129" w:type="dxa"/>
          </w:tcPr>
          <w:p w14:paraId="5A215139"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Pr>
          <w:p w14:paraId="4B35E39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Agriculture</w:t>
            </w:r>
          </w:p>
        </w:tc>
        <w:tc>
          <w:tcPr>
            <w:tcW w:w="1276" w:type="dxa"/>
          </w:tcPr>
          <w:p w14:paraId="6D697A5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CH</w:t>
            </w:r>
            <w:r w:rsidRPr="00037D90">
              <w:rPr>
                <w:rFonts w:cs="Calibri"/>
                <w:sz w:val="18"/>
                <w:szCs w:val="18"/>
                <w:vertAlign w:val="subscript"/>
              </w:rPr>
              <w:t>4</w:t>
            </w:r>
            <w:r w:rsidRPr="00037D90">
              <w:rPr>
                <w:rFonts w:cs="Calibri"/>
                <w:sz w:val="18"/>
                <w:szCs w:val="18"/>
              </w:rPr>
              <w:t>, N</w:t>
            </w:r>
            <w:r w:rsidRPr="00037D90">
              <w:rPr>
                <w:rFonts w:cs="Calibri"/>
                <w:sz w:val="18"/>
                <w:szCs w:val="18"/>
                <w:vertAlign w:val="subscript"/>
              </w:rPr>
              <w:t>2</w:t>
            </w:r>
            <w:r w:rsidRPr="00037D90">
              <w:rPr>
                <w:rFonts w:cs="Calibri"/>
                <w:sz w:val="18"/>
                <w:szCs w:val="18"/>
              </w:rPr>
              <w:t>O, CO</w:t>
            </w:r>
            <w:r w:rsidRPr="00037D90">
              <w:rPr>
                <w:rFonts w:cs="Calibri"/>
                <w:sz w:val="18"/>
                <w:szCs w:val="18"/>
                <w:vertAlign w:val="subscript"/>
              </w:rPr>
              <w:t>2</w:t>
            </w:r>
          </w:p>
        </w:tc>
        <w:tc>
          <w:tcPr>
            <w:tcW w:w="1275" w:type="dxa"/>
          </w:tcPr>
          <w:p w14:paraId="02881F7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2018</w:t>
            </w:r>
          </w:p>
        </w:tc>
        <w:tc>
          <w:tcPr>
            <w:tcW w:w="1418" w:type="dxa"/>
          </w:tcPr>
          <w:p w14:paraId="3B2B345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Primary Industries</w:t>
            </w:r>
          </w:p>
        </w:tc>
        <w:tc>
          <w:tcPr>
            <w:tcW w:w="992" w:type="dxa"/>
          </w:tcPr>
          <w:p w14:paraId="038435A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020BAAD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14A63CD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378BA71E" w14:textId="77777777" w:rsidTr="00271C02">
        <w:trPr>
          <w:gridAfter w:val="1"/>
          <w:wAfter w:w="24" w:type="dxa"/>
        </w:trPr>
        <w:tc>
          <w:tcPr>
            <w:tcW w:w="1276" w:type="dxa"/>
          </w:tcPr>
          <w:p w14:paraId="6622CDD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Sustainable Land Management and Climate Change Research Programme</w:t>
            </w:r>
          </w:p>
        </w:tc>
        <w:tc>
          <w:tcPr>
            <w:tcW w:w="1559" w:type="dxa"/>
          </w:tcPr>
          <w:p w14:paraId="603E837F" w14:textId="4CF677E6" w:rsidR="009B2872" w:rsidRPr="00037D90" w:rsidRDefault="009B2872" w:rsidP="004C6219">
            <w:pPr>
              <w:spacing w:before="40" w:after="40" w:line="240" w:lineRule="auto"/>
              <w:jc w:val="left"/>
              <w:rPr>
                <w:rFonts w:cs="Calibri"/>
                <w:sz w:val="18"/>
                <w:szCs w:val="18"/>
              </w:rPr>
            </w:pPr>
            <w:r w:rsidRPr="00037D90">
              <w:rPr>
                <w:rFonts w:cs="Calibri"/>
                <w:sz w:val="18"/>
                <w:szCs w:val="18"/>
              </w:rPr>
              <w:t>Initiatives and programmes in the agricultur</w:t>
            </w:r>
            <w:r w:rsidR="006A0764">
              <w:rPr>
                <w:rFonts w:cs="Calibri"/>
                <w:sz w:val="18"/>
                <w:szCs w:val="18"/>
              </w:rPr>
              <w:t>e</w:t>
            </w:r>
            <w:r w:rsidRPr="00037D90">
              <w:rPr>
                <w:rFonts w:cs="Calibri"/>
                <w:sz w:val="18"/>
                <w:szCs w:val="18"/>
              </w:rPr>
              <w:t xml:space="preserve"> and forestry sectors that focus on adaptation to climate change.</w:t>
            </w:r>
          </w:p>
        </w:tc>
        <w:tc>
          <w:tcPr>
            <w:tcW w:w="1418" w:type="dxa"/>
          </w:tcPr>
          <w:p w14:paraId="59477E4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Research programmes in agriculture and forestry sectors. </w:t>
            </w:r>
          </w:p>
        </w:tc>
        <w:tc>
          <w:tcPr>
            <w:tcW w:w="992" w:type="dxa"/>
          </w:tcPr>
          <w:p w14:paraId="26C4F75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Other</w:t>
            </w:r>
          </w:p>
        </w:tc>
        <w:tc>
          <w:tcPr>
            <w:tcW w:w="1129" w:type="dxa"/>
          </w:tcPr>
          <w:p w14:paraId="6D507966"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Pr>
          <w:p w14:paraId="434E26E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Agriculture, LULUCF</w:t>
            </w:r>
          </w:p>
        </w:tc>
        <w:tc>
          <w:tcPr>
            <w:tcW w:w="1276" w:type="dxa"/>
          </w:tcPr>
          <w:p w14:paraId="2836641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CH</w:t>
            </w:r>
            <w:r w:rsidRPr="00037D90">
              <w:rPr>
                <w:rFonts w:cs="Calibri"/>
                <w:sz w:val="18"/>
                <w:szCs w:val="18"/>
                <w:vertAlign w:val="subscript"/>
              </w:rPr>
              <w:t>4</w:t>
            </w:r>
            <w:r w:rsidRPr="00037D90">
              <w:rPr>
                <w:rFonts w:cs="Calibri"/>
                <w:sz w:val="18"/>
                <w:szCs w:val="18"/>
              </w:rPr>
              <w:t>, N</w:t>
            </w:r>
            <w:r w:rsidRPr="00037D90">
              <w:rPr>
                <w:rFonts w:cs="Calibri"/>
                <w:sz w:val="18"/>
                <w:szCs w:val="18"/>
                <w:vertAlign w:val="subscript"/>
              </w:rPr>
              <w:t>2</w:t>
            </w:r>
            <w:r w:rsidRPr="00037D90">
              <w:rPr>
                <w:rFonts w:cs="Calibri"/>
                <w:sz w:val="18"/>
                <w:szCs w:val="18"/>
              </w:rPr>
              <w:t>O, CO</w:t>
            </w:r>
            <w:r w:rsidRPr="00037D90">
              <w:rPr>
                <w:rFonts w:cs="Calibri"/>
                <w:sz w:val="18"/>
                <w:szCs w:val="18"/>
                <w:vertAlign w:val="subscript"/>
              </w:rPr>
              <w:t>2</w:t>
            </w:r>
          </w:p>
        </w:tc>
        <w:tc>
          <w:tcPr>
            <w:tcW w:w="1275" w:type="dxa"/>
          </w:tcPr>
          <w:p w14:paraId="49A9FAA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2007</w:t>
            </w:r>
          </w:p>
        </w:tc>
        <w:tc>
          <w:tcPr>
            <w:tcW w:w="1418" w:type="dxa"/>
          </w:tcPr>
          <w:p w14:paraId="1902AD8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Primary Industries</w:t>
            </w:r>
          </w:p>
        </w:tc>
        <w:tc>
          <w:tcPr>
            <w:tcW w:w="992" w:type="dxa"/>
          </w:tcPr>
          <w:p w14:paraId="16C785A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7F5F5CA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0872CF6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1E7A3771" w14:textId="77777777" w:rsidTr="00271C02">
        <w:trPr>
          <w:gridAfter w:val="1"/>
          <w:wAfter w:w="24" w:type="dxa"/>
        </w:trPr>
        <w:tc>
          <w:tcPr>
            <w:tcW w:w="1276" w:type="dxa"/>
          </w:tcPr>
          <w:p w14:paraId="0396F7A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Synthetic nitrogen fertiliser cap </w:t>
            </w:r>
          </w:p>
        </w:tc>
        <w:tc>
          <w:tcPr>
            <w:tcW w:w="1559" w:type="dxa"/>
          </w:tcPr>
          <w:p w14:paraId="51A8702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From 1 July 2021, a cap on the use of synthetic nitrogen fertiliser applies on any contiguous parcel of pastoral land. The cap has been set at 190 kilograms per hectare per year. </w:t>
            </w:r>
          </w:p>
        </w:tc>
        <w:tc>
          <w:tcPr>
            <w:tcW w:w="1418" w:type="dxa"/>
          </w:tcPr>
          <w:p w14:paraId="45E36CD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Limit the impacts of synthetic nitrogen fertiliser on freshwater ecosystems following application to land. Has a co-benefit of reducing synthetic nitrogen fertiliser applied to land.</w:t>
            </w:r>
          </w:p>
        </w:tc>
        <w:tc>
          <w:tcPr>
            <w:tcW w:w="992" w:type="dxa"/>
          </w:tcPr>
          <w:p w14:paraId="40D485A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w:t>
            </w:r>
          </w:p>
        </w:tc>
        <w:tc>
          <w:tcPr>
            <w:tcW w:w="1129" w:type="dxa"/>
          </w:tcPr>
          <w:p w14:paraId="3417F497"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 xml:space="preserve">Implemented </w:t>
            </w:r>
          </w:p>
        </w:tc>
        <w:tc>
          <w:tcPr>
            <w:tcW w:w="1281" w:type="dxa"/>
          </w:tcPr>
          <w:p w14:paraId="160F230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Agriculture</w:t>
            </w:r>
          </w:p>
        </w:tc>
        <w:tc>
          <w:tcPr>
            <w:tcW w:w="1276" w:type="dxa"/>
          </w:tcPr>
          <w:p w14:paraId="5DC01CD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w:t>
            </w:r>
            <w:r w:rsidRPr="00037D90">
              <w:rPr>
                <w:rFonts w:cs="Calibri"/>
                <w:sz w:val="18"/>
                <w:szCs w:val="18"/>
                <w:vertAlign w:val="subscript"/>
              </w:rPr>
              <w:t>2</w:t>
            </w:r>
            <w:r w:rsidRPr="00037D90">
              <w:rPr>
                <w:rFonts w:cs="Calibri"/>
                <w:sz w:val="18"/>
                <w:szCs w:val="18"/>
              </w:rPr>
              <w:t>O</w:t>
            </w:r>
          </w:p>
        </w:tc>
        <w:tc>
          <w:tcPr>
            <w:tcW w:w="1275" w:type="dxa"/>
          </w:tcPr>
          <w:p w14:paraId="2E1F0E4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2021</w:t>
            </w:r>
          </w:p>
        </w:tc>
        <w:tc>
          <w:tcPr>
            <w:tcW w:w="1418" w:type="dxa"/>
          </w:tcPr>
          <w:p w14:paraId="787410D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the Environment, regional and local councils</w:t>
            </w:r>
          </w:p>
        </w:tc>
        <w:tc>
          <w:tcPr>
            <w:tcW w:w="992" w:type="dxa"/>
          </w:tcPr>
          <w:p w14:paraId="17B6C76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92" w:type="dxa"/>
          </w:tcPr>
          <w:p w14:paraId="5A0D407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64" w:type="dxa"/>
          </w:tcPr>
          <w:p w14:paraId="496E107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50</w:t>
            </w:r>
          </w:p>
        </w:tc>
      </w:tr>
      <w:tr w:rsidR="008C018E" w:rsidRPr="00037D90" w14:paraId="7EB012CF" w14:textId="77777777" w:rsidTr="00271C02">
        <w:trPr>
          <w:gridAfter w:val="1"/>
          <w:wAfter w:w="24" w:type="dxa"/>
        </w:trPr>
        <w:tc>
          <w:tcPr>
            <w:tcW w:w="1276" w:type="dxa"/>
          </w:tcPr>
          <w:p w14:paraId="51ADA2D8" w14:textId="2BE5B5DA" w:rsidR="009B2872" w:rsidRPr="00037D90" w:rsidRDefault="00332AFD" w:rsidP="004C6219">
            <w:pPr>
              <w:spacing w:before="40" w:after="40" w:line="240" w:lineRule="auto"/>
              <w:jc w:val="left"/>
              <w:rPr>
                <w:rFonts w:cs="Calibri"/>
                <w:sz w:val="18"/>
                <w:szCs w:val="18"/>
              </w:rPr>
            </w:pPr>
            <w:r>
              <w:rPr>
                <w:rFonts w:cs="Calibri"/>
                <w:sz w:val="18"/>
                <w:szCs w:val="18"/>
              </w:rPr>
              <w:t xml:space="preserve">Regulations </w:t>
            </w:r>
            <w:r w:rsidR="005C69D8">
              <w:rPr>
                <w:rFonts w:cs="Calibri"/>
                <w:sz w:val="18"/>
                <w:szCs w:val="18"/>
              </w:rPr>
              <w:t xml:space="preserve">to </w:t>
            </w:r>
            <w:r>
              <w:rPr>
                <w:rFonts w:cs="Calibri"/>
                <w:sz w:val="18"/>
                <w:szCs w:val="18"/>
              </w:rPr>
              <w:t>manage freshwater introduced under the Essential Freshwater package</w:t>
            </w:r>
          </w:p>
        </w:tc>
        <w:tc>
          <w:tcPr>
            <w:tcW w:w="1559" w:type="dxa"/>
          </w:tcPr>
          <w:p w14:paraId="40CCC0EC" w14:textId="0AD430D5" w:rsidR="009B2872" w:rsidRPr="00037D90" w:rsidRDefault="009B2872" w:rsidP="004C6219">
            <w:pPr>
              <w:spacing w:before="40" w:after="40" w:line="240" w:lineRule="auto"/>
              <w:jc w:val="left"/>
              <w:rPr>
                <w:rFonts w:cs="Calibri"/>
                <w:sz w:val="18"/>
                <w:szCs w:val="18"/>
              </w:rPr>
            </w:pPr>
            <w:r w:rsidRPr="00037D90">
              <w:rPr>
                <w:rFonts w:cs="Calibri"/>
                <w:sz w:val="18"/>
                <w:szCs w:val="18"/>
              </w:rPr>
              <w:t>The National Policy Statement for Freshwater Management provides national policy direction to regional councils on freshwater management</w:t>
            </w:r>
            <w:r w:rsidR="005C69D8">
              <w:rPr>
                <w:rFonts w:cs="Calibri"/>
                <w:sz w:val="18"/>
                <w:szCs w:val="18"/>
              </w:rPr>
              <w:t xml:space="preserve"> (excluding the impact of the nitrogen fertiliser cap)</w:t>
            </w:r>
            <w:r w:rsidRPr="00037D90">
              <w:rPr>
                <w:rFonts w:cs="Calibri"/>
                <w:sz w:val="18"/>
                <w:szCs w:val="18"/>
              </w:rPr>
              <w:t>. These measures will impact emissions from agriculture through their influence on animal numbers.</w:t>
            </w:r>
          </w:p>
          <w:p w14:paraId="0D4D2C89" w14:textId="77777777" w:rsidR="00A021D8" w:rsidRPr="00037D90" w:rsidRDefault="00A021D8" w:rsidP="004C6219">
            <w:pPr>
              <w:spacing w:before="40" w:after="40" w:line="240" w:lineRule="auto"/>
              <w:jc w:val="left"/>
              <w:rPr>
                <w:rFonts w:cs="Calibri"/>
                <w:sz w:val="18"/>
                <w:szCs w:val="18"/>
              </w:rPr>
            </w:pPr>
          </w:p>
        </w:tc>
        <w:tc>
          <w:tcPr>
            <w:tcW w:w="1418" w:type="dxa"/>
          </w:tcPr>
          <w:p w14:paraId="64B2451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Improve the quality of freshwater in New Zealand. Has co-benefits of more streamside planting (to reduce rural runoff), retention of more natural wetlands, and potentially less intensive stocking. </w:t>
            </w:r>
          </w:p>
        </w:tc>
        <w:tc>
          <w:tcPr>
            <w:tcW w:w="992" w:type="dxa"/>
          </w:tcPr>
          <w:p w14:paraId="261205A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w:t>
            </w:r>
          </w:p>
        </w:tc>
        <w:tc>
          <w:tcPr>
            <w:tcW w:w="1129" w:type="dxa"/>
          </w:tcPr>
          <w:p w14:paraId="1C6EF61D"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 xml:space="preserve">Implemented </w:t>
            </w:r>
          </w:p>
        </w:tc>
        <w:tc>
          <w:tcPr>
            <w:tcW w:w="1281" w:type="dxa"/>
          </w:tcPr>
          <w:p w14:paraId="67E47D5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Agriculture</w:t>
            </w:r>
          </w:p>
        </w:tc>
        <w:tc>
          <w:tcPr>
            <w:tcW w:w="1276" w:type="dxa"/>
          </w:tcPr>
          <w:p w14:paraId="43A9656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CH</w:t>
            </w:r>
            <w:r w:rsidRPr="00037D90">
              <w:rPr>
                <w:rFonts w:cs="Calibri"/>
                <w:sz w:val="18"/>
                <w:szCs w:val="18"/>
                <w:vertAlign w:val="subscript"/>
              </w:rPr>
              <w:t>4</w:t>
            </w:r>
            <w:r w:rsidRPr="00037D90">
              <w:rPr>
                <w:rFonts w:cs="Calibri"/>
                <w:sz w:val="18"/>
                <w:szCs w:val="18"/>
              </w:rPr>
              <w:t>, N</w:t>
            </w:r>
            <w:r w:rsidRPr="00037D90">
              <w:rPr>
                <w:rFonts w:cs="Calibri"/>
                <w:sz w:val="18"/>
                <w:szCs w:val="18"/>
                <w:vertAlign w:val="subscript"/>
              </w:rPr>
              <w:t>2</w:t>
            </w:r>
            <w:r w:rsidRPr="00037D90">
              <w:rPr>
                <w:rFonts w:cs="Calibri"/>
                <w:sz w:val="18"/>
                <w:szCs w:val="18"/>
              </w:rPr>
              <w:t>O</w:t>
            </w:r>
          </w:p>
        </w:tc>
        <w:tc>
          <w:tcPr>
            <w:tcW w:w="1275" w:type="dxa"/>
          </w:tcPr>
          <w:p w14:paraId="54A3B80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2020</w:t>
            </w:r>
          </w:p>
        </w:tc>
        <w:tc>
          <w:tcPr>
            <w:tcW w:w="1418" w:type="dxa"/>
          </w:tcPr>
          <w:p w14:paraId="27D779F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Regional and local councils</w:t>
            </w:r>
          </w:p>
        </w:tc>
        <w:tc>
          <w:tcPr>
            <w:tcW w:w="992" w:type="dxa"/>
          </w:tcPr>
          <w:p w14:paraId="106F1D5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92" w:type="dxa"/>
          </w:tcPr>
          <w:p w14:paraId="11C5BBA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64" w:type="dxa"/>
          </w:tcPr>
          <w:p w14:paraId="69BC7A6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200</w:t>
            </w:r>
          </w:p>
        </w:tc>
      </w:tr>
      <w:tr w:rsidR="009B2872" w:rsidRPr="00037D90" w14:paraId="667CF2DF" w14:textId="77777777" w:rsidTr="004C6219">
        <w:trPr>
          <w:gridAfter w:val="1"/>
          <w:wAfter w:w="24" w:type="dxa"/>
        </w:trPr>
        <w:tc>
          <w:tcPr>
            <w:tcW w:w="14572" w:type="dxa"/>
            <w:gridSpan w:val="12"/>
            <w:shd w:val="clear" w:color="auto" w:fill="D2DDE1" w:themeFill="background2"/>
          </w:tcPr>
          <w:p w14:paraId="43CE9027" w14:textId="77777777" w:rsidR="009B2872" w:rsidRPr="003D5E37" w:rsidRDefault="009B2872" w:rsidP="004C6219">
            <w:pPr>
              <w:tabs>
                <w:tab w:val="left" w:pos="1060"/>
              </w:tabs>
              <w:spacing w:before="40" w:after="40" w:line="240" w:lineRule="auto"/>
              <w:jc w:val="left"/>
              <w:rPr>
                <w:rFonts w:cs="Calibri"/>
                <w:b/>
                <w:sz w:val="18"/>
                <w:szCs w:val="18"/>
              </w:rPr>
            </w:pPr>
            <w:r w:rsidRPr="003D5E37">
              <w:rPr>
                <w:rFonts w:cs="Calibri"/>
                <w:b/>
                <w:sz w:val="18"/>
                <w:szCs w:val="18"/>
              </w:rPr>
              <w:t xml:space="preserve">Land Use, Land-use Change and Forestry </w:t>
            </w:r>
          </w:p>
        </w:tc>
      </w:tr>
      <w:tr w:rsidR="008C018E" w:rsidRPr="00037D90" w14:paraId="1A00F22F" w14:textId="77777777" w:rsidTr="00271C02">
        <w:trPr>
          <w:gridAfter w:val="1"/>
          <w:wAfter w:w="24" w:type="dxa"/>
        </w:trPr>
        <w:tc>
          <w:tcPr>
            <w:tcW w:w="1276" w:type="dxa"/>
          </w:tcPr>
          <w:p w14:paraId="627E328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Afforestation Grant Scheme</w:t>
            </w:r>
          </w:p>
        </w:tc>
        <w:tc>
          <w:tcPr>
            <w:tcW w:w="1559" w:type="dxa"/>
          </w:tcPr>
          <w:p w14:paraId="1E650C8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Under the Afforestation Grant Scheme, land owners who have received a grant have ongoing obligations to maintain their grant forests for a minimum 10-year period.</w:t>
            </w:r>
          </w:p>
        </w:tc>
        <w:tc>
          <w:tcPr>
            <w:tcW w:w="1418" w:type="dxa"/>
          </w:tcPr>
          <w:p w14:paraId="259E8CA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Promote the establishment of production and permanent forests on previously unforested land. Reduce erosion by encouraging tree planting on erosion-prone land. Enhance the sequestration of carbon in forest sinks. Increase the area of new forests that meet the afforestation and reforestation definition under the Kyoto Protocol in New Zealand.</w:t>
            </w:r>
          </w:p>
        </w:tc>
        <w:tc>
          <w:tcPr>
            <w:tcW w:w="992" w:type="dxa"/>
          </w:tcPr>
          <w:p w14:paraId="4E87CFC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Economic instrument</w:t>
            </w:r>
          </w:p>
        </w:tc>
        <w:tc>
          <w:tcPr>
            <w:tcW w:w="1129" w:type="dxa"/>
          </w:tcPr>
          <w:p w14:paraId="4B3B7DC1"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 xml:space="preserve">Implemented </w:t>
            </w:r>
          </w:p>
        </w:tc>
        <w:tc>
          <w:tcPr>
            <w:tcW w:w="1281" w:type="dxa"/>
          </w:tcPr>
          <w:p w14:paraId="44543B3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LULUCF</w:t>
            </w:r>
          </w:p>
        </w:tc>
        <w:tc>
          <w:tcPr>
            <w:tcW w:w="1276" w:type="dxa"/>
          </w:tcPr>
          <w:p w14:paraId="6E71831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13BF648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2008</w:t>
            </w:r>
          </w:p>
        </w:tc>
        <w:tc>
          <w:tcPr>
            <w:tcW w:w="1418" w:type="dxa"/>
          </w:tcPr>
          <w:p w14:paraId="308027B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Primary Industries</w:t>
            </w:r>
          </w:p>
        </w:tc>
        <w:tc>
          <w:tcPr>
            <w:tcW w:w="992" w:type="dxa"/>
          </w:tcPr>
          <w:p w14:paraId="3F7FA84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447</w:t>
            </w:r>
          </w:p>
        </w:tc>
        <w:tc>
          <w:tcPr>
            <w:tcW w:w="992" w:type="dxa"/>
          </w:tcPr>
          <w:p w14:paraId="1F67E37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502</w:t>
            </w:r>
          </w:p>
        </w:tc>
        <w:tc>
          <w:tcPr>
            <w:tcW w:w="964" w:type="dxa"/>
          </w:tcPr>
          <w:p w14:paraId="6F8D479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698</w:t>
            </w:r>
          </w:p>
        </w:tc>
      </w:tr>
      <w:tr w:rsidR="008C018E" w:rsidRPr="00037D90" w14:paraId="367F2EC1" w14:textId="77777777" w:rsidTr="00271C02">
        <w:trPr>
          <w:gridAfter w:val="1"/>
          <w:wAfter w:w="24" w:type="dxa"/>
        </w:trPr>
        <w:tc>
          <w:tcPr>
            <w:tcW w:w="1276" w:type="dxa"/>
          </w:tcPr>
          <w:p w14:paraId="3157A5B4" w14:textId="77777777" w:rsidR="009B2872" w:rsidRPr="00037D90" w:rsidRDefault="009B2872" w:rsidP="004C6219">
            <w:pPr>
              <w:spacing w:before="30" w:after="30" w:line="240" w:lineRule="auto"/>
              <w:jc w:val="left"/>
              <w:rPr>
                <w:rFonts w:cs="Calibri"/>
                <w:sz w:val="18"/>
                <w:szCs w:val="18"/>
              </w:rPr>
            </w:pPr>
            <w:r w:rsidRPr="00037D90">
              <w:rPr>
                <w:rFonts w:cs="Calibri"/>
                <w:sz w:val="18"/>
                <w:szCs w:val="18"/>
              </w:rPr>
              <w:t xml:space="preserve">One Billion Trees </w:t>
            </w:r>
          </w:p>
        </w:tc>
        <w:tc>
          <w:tcPr>
            <w:tcW w:w="1559" w:type="dxa"/>
          </w:tcPr>
          <w:p w14:paraId="0A7CBFD0" w14:textId="77777777" w:rsidR="009B2872" w:rsidRPr="00037D90" w:rsidRDefault="009B2872" w:rsidP="004C6219">
            <w:pPr>
              <w:spacing w:before="30" w:after="30" w:line="240" w:lineRule="auto"/>
              <w:jc w:val="left"/>
              <w:rPr>
                <w:rFonts w:cs="Calibri"/>
                <w:sz w:val="18"/>
                <w:szCs w:val="18"/>
              </w:rPr>
            </w:pPr>
            <w:r w:rsidRPr="00037D90">
              <w:rPr>
                <w:rFonts w:cs="Calibri"/>
                <w:sz w:val="18"/>
                <w:szCs w:val="18"/>
              </w:rPr>
              <w:t>This $176.8 million fund ran for three years from August 2018 until its closure on 30 June 2021. Existing funding agreements extend into the future and will receive continued support and relationship management as these projects progress to completion.</w:t>
            </w:r>
          </w:p>
        </w:tc>
        <w:tc>
          <w:tcPr>
            <w:tcW w:w="1418" w:type="dxa"/>
          </w:tcPr>
          <w:p w14:paraId="6ED744BC" w14:textId="77777777" w:rsidR="009B2872" w:rsidRPr="00037D90" w:rsidRDefault="009B2872" w:rsidP="004C6219">
            <w:pPr>
              <w:spacing w:before="30" w:after="30" w:line="240" w:lineRule="auto"/>
              <w:jc w:val="left"/>
              <w:rPr>
                <w:rFonts w:cs="Calibri"/>
                <w:sz w:val="18"/>
                <w:szCs w:val="18"/>
              </w:rPr>
            </w:pPr>
            <w:r w:rsidRPr="00037D90">
              <w:rPr>
                <w:rFonts w:cs="Calibri"/>
                <w:sz w:val="18"/>
                <w:szCs w:val="18"/>
              </w:rPr>
              <w:t>Increase tree planting across New Zealand to contribute to the wider programme’s goal of reaching 1 billion trees planted by 2028.</w:t>
            </w:r>
          </w:p>
        </w:tc>
        <w:tc>
          <w:tcPr>
            <w:tcW w:w="992" w:type="dxa"/>
          </w:tcPr>
          <w:p w14:paraId="5374C6A6" w14:textId="77777777" w:rsidR="009B2872" w:rsidRPr="00037D90" w:rsidRDefault="009B2872" w:rsidP="004C6219">
            <w:pPr>
              <w:spacing w:before="30" w:after="30" w:line="240" w:lineRule="auto"/>
              <w:jc w:val="left"/>
              <w:rPr>
                <w:rFonts w:cs="Calibri"/>
                <w:sz w:val="18"/>
                <w:szCs w:val="18"/>
              </w:rPr>
            </w:pPr>
            <w:r w:rsidRPr="00037D90">
              <w:rPr>
                <w:rFonts w:cs="Calibri"/>
                <w:sz w:val="18"/>
                <w:szCs w:val="18"/>
              </w:rPr>
              <w:t>Economic instrument</w:t>
            </w:r>
          </w:p>
        </w:tc>
        <w:tc>
          <w:tcPr>
            <w:tcW w:w="1129" w:type="dxa"/>
          </w:tcPr>
          <w:p w14:paraId="41F5ACF0" w14:textId="77777777" w:rsidR="009B2872" w:rsidRPr="003D5E37" w:rsidRDefault="009B2872" w:rsidP="004C6219">
            <w:pPr>
              <w:spacing w:before="30" w:after="30" w:line="240" w:lineRule="auto"/>
              <w:jc w:val="left"/>
              <w:rPr>
                <w:rFonts w:cs="Calibri"/>
                <w:sz w:val="18"/>
                <w:szCs w:val="18"/>
              </w:rPr>
            </w:pPr>
            <w:r w:rsidRPr="003D5E37">
              <w:rPr>
                <w:rFonts w:cs="Calibri"/>
                <w:sz w:val="18"/>
                <w:szCs w:val="18"/>
              </w:rPr>
              <w:t>Implemented</w:t>
            </w:r>
          </w:p>
        </w:tc>
        <w:tc>
          <w:tcPr>
            <w:tcW w:w="1281" w:type="dxa"/>
          </w:tcPr>
          <w:p w14:paraId="08F85CD7" w14:textId="77777777" w:rsidR="009B2872" w:rsidRPr="00037D90" w:rsidRDefault="009B2872" w:rsidP="004C6219">
            <w:pPr>
              <w:spacing w:before="30" w:after="30" w:line="240" w:lineRule="auto"/>
              <w:jc w:val="left"/>
              <w:rPr>
                <w:rFonts w:cs="Calibri"/>
                <w:sz w:val="18"/>
                <w:szCs w:val="18"/>
              </w:rPr>
            </w:pPr>
            <w:r w:rsidRPr="00037D90">
              <w:rPr>
                <w:rFonts w:cs="Calibri"/>
                <w:sz w:val="18"/>
                <w:szCs w:val="18"/>
              </w:rPr>
              <w:t>LULUCF</w:t>
            </w:r>
          </w:p>
        </w:tc>
        <w:tc>
          <w:tcPr>
            <w:tcW w:w="1276" w:type="dxa"/>
          </w:tcPr>
          <w:p w14:paraId="3B0E5BED" w14:textId="77777777" w:rsidR="009B2872" w:rsidRPr="00037D90" w:rsidRDefault="009B2872" w:rsidP="004C6219">
            <w:pPr>
              <w:spacing w:before="30" w:after="3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30E9794D" w14:textId="77777777" w:rsidR="009B2872" w:rsidRPr="00037D90" w:rsidRDefault="009B2872" w:rsidP="004C6219">
            <w:pPr>
              <w:spacing w:before="30" w:after="30" w:line="240" w:lineRule="auto"/>
              <w:jc w:val="left"/>
              <w:rPr>
                <w:rFonts w:cs="Calibri"/>
                <w:sz w:val="18"/>
                <w:szCs w:val="18"/>
              </w:rPr>
            </w:pPr>
            <w:r w:rsidRPr="00037D90">
              <w:rPr>
                <w:rFonts w:cs="Calibri"/>
                <w:sz w:val="18"/>
                <w:szCs w:val="18"/>
              </w:rPr>
              <w:t>2018</w:t>
            </w:r>
          </w:p>
        </w:tc>
        <w:tc>
          <w:tcPr>
            <w:tcW w:w="1418" w:type="dxa"/>
          </w:tcPr>
          <w:p w14:paraId="07DF4F86" w14:textId="77777777" w:rsidR="009B2872" w:rsidRPr="00037D90" w:rsidRDefault="009B2872" w:rsidP="004C6219">
            <w:pPr>
              <w:spacing w:before="30" w:after="30" w:line="240" w:lineRule="auto"/>
              <w:jc w:val="left"/>
              <w:rPr>
                <w:rFonts w:cs="Calibri"/>
                <w:sz w:val="18"/>
                <w:szCs w:val="18"/>
              </w:rPr>
            </w:pPr>
            <w:r w:rsidRPr="00037D90">
              <w:rPr>
                <w:rFonts w:cs="Calibri"/>
                <w:sz w:val="18"/>
                <w:szCs w:val="18"/>
              </w:rPr>
              <w:t>Ministry for Primary Industries</w:t>
            </w:r>
          </w:p>
        </w:tc>
        <w:tc>
          <w:tcPr>
            <w:tcW w:w="992" w:type="dxa"/>
          </w:tcPr>
          <w:p w14:paraId="1CFA8546" w14:textId="77777777" w:rsidR="009B2872" w:rsidRPr="00037D90" w:rsidRDefault="009B2872" w:rsidP="004C6219">
            <w:pPr>
              <w:spacing w:before="30" w:after="30" w:line="240" w:lineRule="auto"/>
              <w:jc w:val="left"/>
              <w:rPr>
                <w:rFonts w:cs="Calibri"/>
                <w:sz w:val="18"/>
                <w:szCs w:val="18"/>
              </w:rPr>
            </w:pPr>
            <w:r w:rsidRPr="00037D90">
              <w:rPr>
                <w:rFonts w:cs="Calibri"/>
                <w:sz w:val="18"/>
                <w:szCs w:val="18"/>
              </w:rPr>
              <w:t>NE</w:t>
            </w:r>
          </w:p>
        </w:tc>
        <w:tc>
          <w:tcPr>
            <w:tcW w:w="992" w:type="dxa"/>
          </w:tcPr>
          <w:p w14:paraId="51D78DBE" w14:textId="77777777" w:rsidR="009B2872" w:rsidRPr="00037D90" w:rsidRDefault="009B2872" w:rsidP="004C6219">
            <w:pPr>
              <w:spacing w:before="30" w:after="30" w:line="240" w:lineRule="auto"/>
              <w:jc w:val="left"/>
              <w:rPr>
                <w:rFonts w:cs="Calibri"/>
                <w:sz w:val="18"/>
                <w:szCs w:val="18"/>
              </w:rPr>
            </w:pPr>
            <w:r w:rsidRPr="00037D90">
              <w:rPr>
                <w:rFonts w:cs="Calibri"/>
                <w:sz w:val="18"/>
                <w:szCs w:val="18"/>
              </w:rPr>
              <w:t>NE</w:t>
            </w:r>
          </w:p>
        </w:tc>
        <w:tc>
          <w:tcPr>
            <w:tcW w:w="964" w:type="dxa"/>
          </w:tcPr>
          <w:p w14:paraId="55659E85" w14:textId="77777777" w:rsidR="009B2872" w:rsidRPr="00037D90" w:rsidRDefault="009B2872" w:rsidP="004C6219">
            <w:pPr>
              <w:spacing w:before="30" w:after="30" w:line="240" w:lineRule="auto"/>
              <w:jc w:val="left"/>
              <w:rPr>
                <w:rFonts w:cs="Calibri"/>
                <w:sz w:val="18"/>
                <w:szCs w:val="18"/>
              </w:rPr>
            </w:pPr>
            <w:r w:rsidRPr="00037D90">
              <w:rPr>
                <w:rFonts w:cs="Calibri"/>
                <w:sz w:val="18"/>
                <w:szCs w:val="18"/>
              </w:rPr>
              <w:t>NE</w:t>
            </w:r>
          </w:p>
        </w:tc>
      </w:tr>
      <w:tr w:rsidR="008C018E" w:rsidRPr="00037D90" w14:paraId="49403D0F" w14:textId="77777777" w:rsidTr="00271C02">
        <w:trPr>
          <w:gridAfter w:val="1"/>
          <w:wAfter w:w="24" w:type="dxa"/>
        </w:trPr>
        <w:tc>
          <w:tcPr>
            <w:tcW w:w="1276" w:type="dxa"/>
          </w:tcPr>
          <w:p w14:paraId="4831852B"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Sustainable Land Management Hill Country Erosion Programme</w:t>
            </w:r>
          </w:p>
        </w:tc>
        <w:tc>
          <w:tcPr>
            <w:tcW w:w="1559" w:type="dxa"/>
          </w:tcPr>
          <w:p w14:paraId="2ECEA168"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The programme currently provides up to NZ$6.3 million of targeted funding support annually to regional and unitary councils. The purpose of the programme is to speed up the rate of treatment of erosion-prone land.</w:t>
            </w:r>
          </w:p>
        </w:tc>
        <w:tc>
          <w:tcPr>
            <w:tcW w:w="1418" w:type="dxa"/>
          </w:tcPr>
          <w:p w14:paraId="4812E401"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Protect New Zealand’s estimated 1.4 million hectares of pastoral hill country that is classified as erosion prone.</w:t>
            </w:r>
          </w:p>
        </w:tc>
        <w:tc>
          <w:tcPr>
            <w:tcW w:w="992" w:type="dxa"/>
          </w:tcPr>
          <w:p w14:paraId="17C1D04F"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Economic instrument</w:t>
            </w:r>
          </w:p>
        </w:tc>
        <w:tc>
          <w:tcPr>
            <w:tcW w:w="1129" w:type="dxa"/>
          </w:tcPr>
          <w:p w14:paraId="0161274B" w14:textId="77777777" w:rsidR="009B2872" w:rsidRPr="003D5E37" w:rsidRDefault="009B2872" w:rsidP="004C6219">
            <w:pPr>
              <w:spacing w:before="20" w:after="20" w:line="240" w:lineRule="auto"/>
              <w:jc w:val="left"/>
              <w:rPr>
                <w:rFonts w:cs="Calibri"/>
                <w:sz w:val="18"/>
                <w:szCs w:val="18"/>
              </w:rPr>
            </w:pPr>
            <w:r w:rsidRPr="003D5E37">
              <w:rPr>
                <w:rFonts w:cs="Calibri"/>
                <w:sz w:val="18"/>
                <w:szCs w:val="18"/>
              </w:rPr>
              <w:t>Implemented</w:t>
            </w:r>
          </w:p>
        </w:tc>
        <w:tc>
          <w:tcPr>
            <w:tcW w:w="1281" w:type="dxa"/>
          </w:tcPr>
          <w:p w14:paraId="072D0B64"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LULUCF</w:t>
            </w:r>
          </w:p>
        </w:tc>
        <w:tc>
          <w:tcPr>
            <w:tcW w:w="1276" w:type="dxa"/>
          </w:tcPr>
          <w:p w14:paraId="661AB612"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29C7C577"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2007</w:t>
            </w:r>
          </w:p>
        </w:tc>
        <w:tc>
          <w:tcPr>
            <w:tcW w:w="1418" w:type="dxa"/>
          </w:tcPr>
          <w:p w14:paraId="6FEF3E32"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Ministry for Primary Industries</w:t>
            </w:r>
          </w:p>
        </w:tc>
        <w:tc>
          <w:tcPr>
            <w:tcW w:w="992" w:type="dxa"/>
          </w:tcPr>
          <w:p w14:paraId="4831E772"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180</w:t>
            </w:r>
          </w:p>
        </w:tc>
        <w:tc>
          <w:tcPr>
            <w:tcW w:w="992" w:type="dxa"/>
          </w:tcPr>
          <w:p w14:paraId="3D88CDD1"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211</w:t>
            </w:r>
          </w:p>
        </w:tc>
        <w:tc>
          <w:tcPr>
            <w:tcW w:w="964" w:type="dxa"/>
          </w:tcPr>
          <w:p w14:paraId="444C96C1"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871</w:t>
            </w:r>
          </w:p>
        </w:tc>
      </w:tr>
      <w:tr w:rsidR="008C018E" w:rsidRPr="00037D90" w14:paraId="4230D67A" w14:textId="77777777" w:rsidTr="00271C02">
        <w:trPr>
          <w:gridAfter w:val="1"/>
          <w:wAfter w:w="24" w:type="dxa"/>
        </w:trPr>
        <w:tc>
          <w:tcPr>
            <w:tcW w:w="1276" w:type="dxa"/>
          </w:tcPr>
          <w:p w14:paraId="40734536"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Erosion Control Funding Programme</w:t>
            </w:r>
          </w:p>
        </w:tc>
        <w:tc>
          <w:tcPr>
            <w:tcW w:w="1559" w:type="dxa"/>
          </w:tcPr>
          <w:p w14:paraId="2132FD83"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 xml:space="preserve">Land owner grants can be used to control erosion on erosion-prone land in the Tairāwhiti district, by providing effective tree cover through planting or encouraging natural reversion to native bush. </w:t>
            </w:r>
          </w:p>
        </w:tc>
        <w:tc>
          <w:tcPr>
            <w:tcW w:w="1418" w:type="dxa"/>
          </w:tcPr>
          <w:p w14:paraId="3C345CB6"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Provide funding to land owners to prevent and control erosion.</w:t>
            </w:r>
          </w:p>
        </w:tc>
        <w:tc>
          <w:tcPr>
            <w:tcW w:w="992" w:type="dxa"/>
          </w:tcPr>
          <w:p w14:paraId="3FD58EF4"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Economic instrument</w:t>
            </w:r>
          </w:p>
        </w:tc>
        <w:tc>
          <w:tcPr>
            <w:tcW w:w="1129" w:type="dxa"/>
          </w:tcPr>
          <w:p w14:paraId="7EDA0280" w14:textId="77777777" w:rsidR="009B2872" w:rsidRPr="003D5E37" w:rsidRDefault="009B2872" w:rsidP="004C6219">
            <w:pPr>
              <w:spacing w:before="20" w:after="20" w:line="240" w:lineRule="auto"/>
              <w:jc w:val="left"/>
              <w:rPr>
                <w:rFonts w:cs="Calibri"/>
                <w:sz w:val="18"/>
                <w:szCs w:val="18"/>
              </w:rPr>
            </w:pPr>
            <w:r w:rsidRPr="003D5E37">
              <w:rPr>
                <w:rFonts w:cs="Calibri"/>
                <w:sz w:val="18"/>
                <w:szCs w:val="18"/>
              </w:rPr>
              <w:t>Implemented</w:t>
            </w:r>
          </w:p>
        </w:tc>
        <w:tc>
          <w:tcPr>
            <w:tcW w:w="1281" w:type="dxa"/>
          </w:tcPr>
          <w:p w14:paraId="0C9EDCDE"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LULUCF</w:t>
            </w:r>
          </w:p>
        </w:tc>
        <w:tc>
          <w:tcPr>
            <w:tcW w:w="1276" w:type="dxa"/>
          </w:tcPr>
          <w:p w14:paraId="458BE792"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233FAB5A" w14:textId="77777777" w:rsidR="009B2872" w:rsidRPr="00037D90" w:rsidRDefault="009B2872" w:rsidP="004C6219">
            <w:pPr>
              <w:spacing w:before="20" w:after="20" w:line="240" w:lineRule="auto"/>
              <w:jc w:val="left"/>
              <w:rPr>
                <w:rFonts w:cs="Calibri"/>
                <w:spacing w:val="-2"/>
                <w:sz w:val="18"/>
                <w:szCs w:val="18"/>
              </w:rPr>
            </w:pPr>
            <w:r w:rsidRPr="00037D90">
              <w:rPr>
                <w:rFonts w:cs="Calibri"/>
                <w:spacing w:val="-2"/>
                <w:sz w:val="18"/>
                <w:szCs w:val="18"/>
              </w:rPr>
              <w:t>1993</w:t>
            </w:r>
          </w:p>
        </w:tc>
        <w:tc>
          <w:tcPr>
            <w:tcW w:w="1418" w:type="dxa"/>
          </w:tcPr>
          <w:p w14:paraId="5C9D50F8"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Ministry for Primary Industries</w:t>
            </w:r>
          </w:p>
        </w:tc>
        <w:tc>
          <w:tcPr>
            <w:tcW w:w="992" w:type="dxa"/>
          </w:tcPr>
          <w:p w14:paraId="1A38198E"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1,200</w:t>
            </w:r>
          </w:p>
        </w:tc>
        <w:tc>
          <w:tcPr>
            <w:tcW w:w="992" w:type="dxa"/>
          </w:tcPr>
          <w:p w14:paraId="75391FCB"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1,152</w:t>
            </w:r>
          </w:p>
        </w:tc>
        <w:tc>
          <w:tcPr>
            <w:tcW w:w="964" w:type="dxa"/>
          </w:tcPr>
          <w:p w14:paraId="2B85AC54"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1,065</w:t>
            </w:r>
          </w:p>
        </w:tc>
      </w:tr>
      <w:tr w:rsidR="00A52B57" w:rsidRPr="00037D90" w14:paraId="515D8DC9" w14:textId="77777777" w:rsidTr="00271C02">
        <w:trPr>
          <w:gridAfter w:val="1"/>
          <w:wAfter w:w="24" w:type="dxa"/>
        </w:trPr>
        <w:tc>
          <w:tcPr>
            <w:tcW w:w="1276" w:type="dxa"/>
            <w:tcBorders>
              <w:bottom w:val="single" w:sz="4" w:space="0" w:color="1B556B" w:themeColor="text2"/>
            </w:tcBorders>
          </w:tcPr>
          <w:p w14:paraId="66A0D67E"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 xml:space="preserve">Permanent Forest Sink Initiative </w:t>
            </w:r>
          </w:p>
        </w:tc>
        <w:tc>
          <w:tcPr>
            <w:tcW w:w="1559" w:type="dxa"/>
            <w:tcBorders>
              <w:bottom w:val="single" w:sz="4" w:space="0" w:color="1B556B" w:themeColor="text2"/>
            </w:tcBorders>
          </w:tcPr>
          <w:p w14:paraId="43518740" w14:textId="400E23A8" w:rsidR="009B2872" w:rsidRPr="00037D90" w:rsidRDefault="009B2872" w:rsidP="004C6219">
            <w:pPr>
              <w:spacing w:before="20" w:after="20" w:line="240" w:lineRule="auto"/>
              <w:jc w:val="left"/>
              <w:rPr>
                <w:rFonts w:cs="Calibri"/>
                <w:sz w:val="18"/>
                <w:szCs w:val="18"/>
              </w:rPr>
            </w:pPr>
            <w:r w:rsidRPr="00037D90">
              <w:rPr>
                <w:rFonts w:cs="Calibri"/>
                <w:sz w:val="18"/>
                <w:szCs w:val="18"/>
              </w:rPr>
              <w:t>Enable land owners to receive New Zealand Units for permanent forest sinks. It closed in 2023 and was replaced by ‘permanent forestry’ in the ETS.</w:t>
            </w:r>
          </w:p>
        </w:tc>
        <w:tc>
          <w:tcPr>
            <w:tcW w:w="1418" w:type="dxa"/>
            <w:tcBorders>
              <w:bottom w:val="single" w:sz="4" w:space="0" w:color="1B556B" w:themeColor="text2"/>
            </w:tcBorders>
          </w:tcPr>
          <w:p w14:paraId="29BE762C" w14:textId="77777777" w:rsidR="009B2872" w:rsidRPr="00037D90" w:rsidRDefault="009B2872" w:rsidP="004C6219">
            <w:pPr>
              <w:spacing w:before="20" w:after="20" w:line="240" w:lineRule="auto"/>
              <w:jc w:val="left"/>
              <w:rPr>
                <w:rFonts w:cs="Calibri"/>
                <w:sz w:val="18"/>
                <w:szCs w:val="18"/>
                <w:highlight w:val="yellow"/>
              </w:rPr>
            </w:pPr>
            <w:r w:rsidRPr="00037D90">
              <w:rPr>
                <w:rFonts w:cs="Calibri"/>
                <w:sz w:val="18"/>
                <w:szCs w:val="18"/>
              </w:rPr>
              <w:t>Incentivise land owners for the creation of permanent forests.</w:t>
            </w:r>
          </w:p>
        </w:tc>
        <w:tc>
          <w:tcPr>
            <w:tcW w:w="992" w:type="dxa"/>
            <w:tcBorders>
              <w:bottom w:val="single" w:sz="4" w:space="0" w:color="1B556B" w:themeColor="text2"/>
            </w:tcBorders>
          </w:tcPr>
          <w:p w14:paraId="0AC83A3F"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Economic instrument</w:t>
            </w:r>
          </w:p>
        </w:tc>
        <w:tc>
          <w:tcPr>
            <w:tcW w:w="1129" w:type="dxa"/>
            <w:tcBorders>
              <w:bottom w:val="single" w:sz="4" w:space="0" w:color="1B556B" w:themeColor="text2"/>
            </w:tcBorders>
          </w:tcPr>
          <w:p w14:paraId="3E6F4892" w14:textId="77777777" w:rsidR="009B2872" w:rsidRPr="003D5E37" w:rsidRDefault="009B2872" w:rsidP="004C6219">
            <w:pPr>
              <w:spacing w:before="20" w:after="20" w:line="240" w:lineRule="auto"/>
              <w:jc w:val="left"/>
              <w:rPr>
                <w:rFonts w:cs="Calibri"/>
                <w:sz w:val="18"/>
                <w:szCs w:val="18"/>
              </w:rPr>
            </w:pPr>
            <w:r w:rsidRPr="003D5E37">
              <w:rPr>
                <w:rFonts w:cs="Calibri"/>
                <w:sz w:val="18"/>
                <w:szCs w:val="18"/>
              </w:rPr>
              <w:t>Implemented</w:t>
            </w:r>
          </w:p>
        </w:tc>
        <w:tc>
          <w:tcPr>
            <w:tcW w:w="1281" w:type="dxa"/>
            <w:tcBorders>
              <w:bottom w:val="single" w:sz="4" w:space="0" w:color="1B556B" w:themeColor="text2"/>
            </w:tcBorders>
          </w:tcPr>
          <w:p w14:paraId="4E3FE008"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LULUCF</w:t>
            </w:r>
          </w:p>
        </w:tc>
        <w:tc>
          <w:tcPr>
            <w:tcW w:w="1276" w:type="dxa"/>
            <w:tcBorders>
              <w:bottom w:val="single" w:sz="4" w:space="0" w:color="1B556B" w:themeColor="text2"/>
            </w:tcBorders>
          </w:tcPr>
          <w:p w14:paraId="03826854"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Borders>
              <w:bottom w:val="single" w:sz="4" w:space="0" w:color="1B556B" w:themeColor="text2"/>
            </w:tcBorders>
          </w:tcPr>
          <w:p w14:paraId="3CE914B0"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2008</w:t>
            </w:r>
          </w:p>
        </w:tc>
        <w:tc>
          <w:tcPr>
            <w:tcW w:w="1418" w:type="dxa"/>
            <w:tcBorders>
              <w:bottom w:val="single" w:sz="4" w:space="0" w:color="1B556B" w:themeColor="text2"/>
            </w:tcBorders>
          </w:tcPr>
          <w:p w14:paraId="54CB8A4A"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Ministry for Primary Industries</w:t>
            </w:r>
          </w:p>
        </w:tc>
        <w:tc>
          <w:tcPr>
            <w:tcW w:w="992" w:type="dxa"/>
            <w:tcBorders>
              <w:bottom w:val="single" w:sz="4" w:space="0" w:color="1B556B" w:themeColor="text2"/>
            </w:tcBorders>
          </w:tcPr>
          <w:p w14:paraId="1F85175F"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229</w:t>
            </w:r>
          </w:p>
        </w:tc>
        <w:tc>
          <w:tcPr>
            <w:tcW w:w="992" w:type="dxa"/>
            <w:tcBorders>
              <w:bottom w:val="single" w:sz="4" w:space="0" w:color="1B556B" w:themeColor="text2"/>
            </w:tcBorders>
          </w:tcPr>
          <w:p w14:paraId="4FDE4CDC"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223</w:t>
            </w:r>
          </w:p>
        </w:tc>
        <w:tc>
          <w:tcPr>
            <w:tcW w:w="964" w:type="dxa"/>
            <w:tcBorders>
              <w:bottom w:val="single" w:sz="4" w:space="0" w:color="1B556B" w:themeColor="text2"/>
            </w:tcBorders>
          </w:tcPr>
          <w:p w14:paraId="1E377A5A"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156</w:t>
            </w:r>
          </w:p>
        </w:tc>
      </w:tr>
      <w:tr w:rsidR="00A52B57" w:rsidRPr="00037D90" w14:paraId="76D51B3D" w14:textId="77777777" w:rsidTr="00271C02">
        <w:trPr>
          <w:gridAfter w:val="1"/>
          <w:wAfter w:w="24" w:type="dxa"/>
        </w:trPr>
        <w:tc>
          <w:tcPr>
            <w:tcW w:w="1276" w:type="dxa"/>
            <w:tcBorders>
              <w:bottom w:val="single" w:sz="4" w:space="0" w:color="1B556B" w:themeColor="text2"/>
            </w:tcBorders>
          </w:tcPr>
          <w:p w14:paraId="0D152F9D"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Afforestation on Crown-owned land</w:t>
            </w:r>
          </w:p>
        </w:tc>
        <w:tc>
          <w:tcPr>
            <w:tcW w:w="1559" w:type="dxa"/>
            <w:tcBorders>
              <w:bottom w:val="single" w:sz="4" w:space="0" w:color="1B556B" w:themeColor="text2"/>
            </w:tcBorders>
            <w:shd w:val="clear" w:color="auto" w:fill="auto"/>
          </w:tcPr>
          <w:p w14:paraId="00D05A7A" w14:textId="4E70461F" w:rsidR="009B2872" w:rsidRPr="00037D90" w:rsidRDefault="009B2872" w:rsidP="004C6219">
            <w:pPr>
              <w:spacing w:before="20" w:after="20" w:line="240" w:lineRule="auto"/>
              <w:jc w:val="left"/>
              <w:rPr>
                <w:rFonts w:cs="Calibri"/>
                <w:sz w:val="18"/>
                <w:szCs w:val="18"/>
              </w:rPr>
            </w:pPr>
            <w:r w:rsidRPr="00037D90">
              <w:rPr>
                <w:rFonts w:cs="Calibri"/>
                <w:sz w:val="18"/>
                <w:szCs w:val="18"/>
              </w:rPr>
              <w:t xml:space="preserve">The Government is exploring opportunities to partner with the private sector to plant trees on Crown-owned land (excluding national parks) that is of low conservation value and low farming value. </w:t>
            </w:r>
          </w:p>
        </w:tc>
        <w:tc>
          <w:tcPr>
            <w:tcW w:w="1418" w:type="dxa"/>
            <w:tcBorders>
              <w:bottom w:val="single" w:sz="4" w:space="0" w:color="1B556B" w:themeColor="text2"/>
            </w:tcBorders>
          </w:tcPr>
          <w:p w14:paraId="542BB5E3"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Secure additional net emissions reductions that contribute towards our climate change targets, boost forestry and wood processing, and provide other environmental benefits.</w:t>
            </w:r>
          </w:p>
        </w:tc>
        <w:tc>
          <w:tcPr>
            <w:tcW w:w="992" w:type="dxa"/>
            <w:tcBorders>
              <w:bottom w:val="single" w:sz="4" w:space="0" w:color="1B556B" w:themeColor="text2"/>
            </w:tcBorders>
          </w:tcPr>
          <w:p w14:paraId="2BEDAED1"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Economic instrument</w:t>
            </w:r>
          </w:p>
        </w:tc>
        <w:tc>
          <w:tcPr>
            <w:tcW w:w="1129" w:type="dxa"/>
            <w:tcBorders>
              <w:bottom w:val="single" w:sz="4" w:space="0" w:color="1B556B" w:themeColor="text2"/>
            </w:tcBorders>
          </w:tcPr>
          <w:p w14:paraId="585855B3" w14:textId="77777777" w:rsidR="009B2872" w:rsidRPr="003D5E37" w:rsidRDefault="009B2872" w:rsidP="004C6219">
            <w:pPr>
              <w:spacing w:before="20" w:after="20" w:line="240" w:lineRule="auto"/>
              <w:jc w:val="left"/>
              <w:rPr>
                <w:rFonts w:cs="Calibri"/>
                <w:sz w:val="18"/>
                <w:szCs w:val="18"/>
              </w:rPr>
            </w:pPr>
            <w:r w:rsidRPr="003D5E37">
              <w:rPr>
                <w:rFonts w:cs="Calibri"/>
                <w:sz w:val="18"/>
                <w:szCs w:val="18"/>
              </w:rPr>
              <w:t>Planned</w:t>
            </w:r>
          </w:p>
        </w:tc>
        <w:tc>
          <w:tcPr>
            <w:tcW w:w="1281" w:type="dxa"/>
            <w:tcBorders>
              <w:bottom w:val="single" w:sz="4" w:space="0" w:color="1B556B" w:themeColor="text2"/>
            </w:tcBorders>
          </w:tcPr>
          <w:p w14:paraId="4FDCA2B2"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LULUCF</w:t>
            </w:r>
          </w:p>
        </w:tc>
        <w:tc>
          <w:tcPr>
            <w:tcW w:w="1276" w:type="dxa"/>
            <w:tcBorders>
              <w:bottom w:val="single" w:sz="4" w:space="0" w:color="1B556B" w:themeColor="text2"/>
            </w:tcBorders>
          </w:tcPr>
          <w:p w14:paraId="5E5A6B5E"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Borders>
              <w:bottom w:val="single" w:sz="4" w:space="0" w:color="1B556B" w:themeColor="text2"/>
            </w:tcBorders>
          </w:tcPr>
          <w:p w14:paraId="4DD5D3C8"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2025</w:t>
            </w:r>
          </w:p>
        </w:tc>
        <w:tc>
          <w:tcPr>
            <w:tcW w:w="1418" w:type="dxa"/>
            <w:tcBorders>
              <w:bottom w:val="single" w:sz="4" w:space="0" w:color="1B556B" w:themeColor="text2"/>
            </w:tcBorders>
          </w:tcPr>
          <w:p w14:paraId="1F2A894F"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Ministry for Primary Industries</w:t>
            </w:r>
          </w:p>
        </w:tc>
        <w:tc>
          <w:tcPr>
            <w:tcW w:w="992" w:type="dxa"/>
            <w:tcBorders>
              <w:bottom w:val="single" w:sz="4" w:space="0" w:color="1B556B" w:themeColor="text2"/>
            </w:tcBorders>
          </w:tcPr>
          <w:p w14:paraId="3DE25385"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NE</w:t>
            </w:r>
          </w:p>
        </w:tc>
        <w:tc>
          <w:tcPr>
            <w:tcW w:w="992" w:type="dxa"/>
            <w:tcBorders>
              <w:bottom w:val="single" w:sz="4" w:space="0" w:color="1B556B" w:themeColor="text2"/>
            </w:tcBorders>
          </w:tcPr>
          <w:p w14:paraId="2EAAFB85"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NE</w:t>
            </w:r>
          </w:p>
        </w:tc>
        <w:tc>
          <w:tcPr>
            <w:tcW w:w="964" w:type="dxa"/>
            <w:tcBorders>
              <w:bottom w:val="single" w:sz="4" w:space="0" w:color="1B556B" w:themeColor="text2"/>
            </w:tcBorders>
          </w:tcPr>
          <w:p w14:paraId="707FEDDD"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NE</w:t>
            </w:r>
          </w:p>
        </w:tc>
      </w:tr>
      <w:tr w:rsidR="008C018E" w:rsidRPr="00037D90" w14:paraId="32C222C3" w14:textId="77777777" w:rsidTr="00271C02">
        <w:trPr>
          <w:gridAfter w:val="1"/>
          <w:wAfter w:w="24" w:type="dxa"/>
        </w:trPr>
        <w:tc>
          <w:tcPr>
            <w:tcW w:w="1276" w:type="dxa"/>
          </w:tcPr>
          <w:p w14:paraId="6882D8FC"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Woody biomass for bioenergy</w:t>
            </w:r>
          </w:p>
        </w:tc>
        <w:tc>
          <w:tcPr>
            <w:tcW w:w="1559" w:type="dxa"/>
          </w:tcPr>
          <w:p w14:paraId="7ECB360D"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Investment in commercial planting to increase the supply of biomass, research into alternative biomass crops and effective forest waste recovery for biomass.</w:t>
            </w:r>
          </w:p>
        </w:tc>
        <w:tc>
          <w:tcPr>
            <w:tcW w:w="1418" w:type="dxa"/>
          </w:tcPr>
          <w:p w14:paraId="54E59040"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Directly increase biomass supply and stimulate private sector investment to create further supply.</w:t>
            </w:r>
          </w:p>
        </w:tc>
        <w:tc>
          <w:tcPr>
            <w:tcW w:w="992" w:type="dxa"/>
          </w:tcPr>
          <w:p w14:paraId="05DBC716"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Economic instrument</w:t>
            </w:r>
          </w:p>
        </w:tc>
        <w:tc>
          <w:tcPr>
            <w:tcW w:w="1129" w:type="dxa"/>
          </w:tcPr>
          <w:p w14:paraId="5B7156AE" w14:textId="77777777" w:rsidR="009B2872" w:rsidRPr="003D5E37" w:rsidRDefault="009B2872" w:rsidP="004C6219">
            <w:pPr>
              <w:spacing w:before="20" w:after="20" w:line="240" w:lineRule="auto"/>
              <w:jc w:val="left"/>
              <w:rPr>
                <w:rFonts w:cs="Calibri"/>
                <w:sz w:val="18"/>
                <w:szCs w:val="18"/>
              </w:rPr>
            </w:pPr>
            <w:r w:rsidRPr="003D5E37">
              <w:rPr>
                <w:rFonts w:cs="Calibri"/>
                <w:sz w:val="18"/>
                <w:szCs w:val="18"/>
              </w:rPr>
              <w:t>Implemented</w:t>
            </w:r>
          </w:p>
        </w:tc>
        <w:tc>
          <w:tcPr>
            <w:tcW w:w="1281" w:type="dxa"/>
          </w:tcPr>
          <w:p w14:paraId="26173A30"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LULUCF</w:t>
            </w:r>
          </w:p>
        </w:tc>
        <w:tc>
          <w:tcPr>
            <w:tcW w:w="1276" w:type="dxa"/>
          </w:tcPr>
          <w:p w14:paraId="64200945"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3C1080FF" w14:textId="77777777" w:rsidR="009B2872" w:rsidRPr="00037D90" w:rsidRDefault="009B2872" w:rsidP="004C6219">
            <w:pPr>
              <w:spacing w:before="20" w:after="20" w:line="240" w:lineRule="atLeast"/>
              <w:jc w:val="left"/>
              <w:rPr>
                <w:rFonts w:cs="Calibri"/>
                <w:sz w:val="18"/>
                <w:szCs w:val="18"/>
              </w:rPr>
            </w:pPr>
            <w:r w:rsidRPr="00037D90">
              <w:rPr>
                <w:rFonts w:cs="Calibri"/>
                <w:sz w:val="18"/>
                <w:szCs w:val="18"/>
              </w:rPr>
              <w:t xml:space="preserve">2023 </w:t>
            </w:r>
          </w:p>
          <w:p w14:paraId="603183D0" w14:textId="77777777" w:rsidR="009B2872" w:rsidRPr="00037D90" w:rsidRDefault="009B2872" w:rsidP="004C6219">
            <w:pPr>
              <w:spacing w:before="20" w:after="20" w:line="240" w:lineRule="auto"/>
              <w:jc w:val="left"/>
              <w:rPr>
                <w:rFonts w:cs="Calibri"/>
                <w:sz w:val="18"/>
                <w:szCs w:val="18"/>
              </w:rPr>
            </w:pPr>
          </w:p>
        </w:tc>
        <w:tc>
          <w:tcPr>
            <w:tcW w:w="1418" w:type="dxa"/>
          </w:tcPr>
          <w:p w14:paraId="669A9FD9"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Ministry for Primary Industries</w:t>
            </w:r>
          </w:p>
        </w:tc>
        <w:tc>
          <w:tcPr>
            <w:tcW w:w="992" w:type="dxa"/>
          </w:tcPr>
          <w:p w14:paraId="54F32724"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NE</w:t>
            </w:r>
          </w:p>
        </w:tc>
        <w:tc>
          <w:tcPr>
            <w:tcW w:w="992" w:type="dxa"/>
          </w:tcPr>
          <w:p w14:paraId="0F316BB8"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NE</w:t>
            </w:r>
          </w:p>
        </w:tc>
        <w:tc>
          <w:tcPr>
            <w:tcW w:w="964" w:type="dxa"/>
          </w:tcPr>
          <w:p w14:paraId="75FE2AF0"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NE</w:t>
            </w:r>
          </w:p>
        </w:tc>
      </w:tr>
      <w:tr w:rsidR="008C018E" w:rsidRPr="00037D90" w14:paraId="7F0616C3" w14:textId="77777777" w:rsidTr="00271C02">
        <w:trPr>
          <w:gridAfter w:val="1"/>
          <w:wAfter w:w="24" w:type="dxa"/>
        </w:trPr>
        <w:tc>
          <w:tcPr>
            <w:tcW w:w="1276" w:type="dxa"/>
          </w:tcPr>
          <w:p w14:paraId="5CBC6A2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Maximising forest carbon programme</w:t>
            </w:r>
          </w:p>
        </w:tc>
        <w:tc>
          <w:tcPr>
            <w:tcW w:w="1559" w:type="dxa"/>
          </w:tcPr>
          <w:p w14:paraId="4340654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lang w:eastAsia="en-US"/>
              </w:rPr>
              <w:t>Maximise carbon stored in new and existing forests. Expand NZ ETS look-up tables to more accurately reflect carbon stock changes and explore the feasibility of measuring carbon with remote-sensing tools.</w:t>
            </w:r>
          </w:p>
        </w:tc>
        <w:tc>
          <w:tcPr>
            <w:tcW w:w="1418" w:type="dxa"/>
          </w:tcPr>
          <w:p w14:paraId="187A473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lang w:eastAsia="en-US"/>
              </w:rPr>
              <w:t xml:space="preserve">Support the increased sequestration of forest carbon. </w:t>
            </w:r>
          </w:p>
        </w:tc>
        <w:tc>
          <w:tcPr>
            <w:tcW w:w="992" w:type="dxa"/>
          </w:tcPr>
          <w:p w14:paraId="260AA41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Economic instrument</w:t>
            </w:r>
          </w:p>
        </w:tc>
        <w:tc>
          <w:tcPr>
            <w:tcW w:w="1129" w:type="dxa"/>
          </w:tcPr>
          <w:p w14:paraId="01467036"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Planned</w:t>
            </w:r>
          </w:p>
        </w:tc>
        <w:tc>
          <w:tcPr>
            <w:tcW w:w="1281" w:type="dxa"/>
          </w:tcPr>
          <w:p w14:paraId="064B774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LULUCF</w:t>
            </w:r>
          </w:p>
        </w:tc>
        <w:tc>
          <w:tcPr>
            <w:tcW w:w="1276" w:type="dxa"/>
          </w:tcPr>
          <w:p w14:paraId="182B7FF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57D9DDC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2022</w:t>
            </w:r>
          </w:p>
        </w:tc>
        <w:tc>
          <w:tcPr>
            <w:tcW w:w="1418" w:type="dxa"/>
          </w:tcPr>
          <w:p w14:paraId="5C1E76E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Primary Industries</w:t>
            </w:r>
          </w:p>
        </w:tc>
        <w:tc>
          <w:tcPr>
            <w:tcW w:w="992" w:type="dxa"/>
          </w:tcPr>
          <w:p w14:paraId="17C3D31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4E85A6B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7858BAE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463AE9" w:rsidRPr="00037D90" w14:paraId="3D052B0B" w14:textId="77777777" w:rsidTr="00271C02">
        <w:trPr>
          <w:gridAfter w:val="1"/>
          <w:wAfter w:w="24" w:type="dxa"/>
        </w:trPr>
        <w:tc>
          <w:tcPr>
            <w:tcW w:w="1276" w:type="dxa"/>
            <w:tcBorders>
              <w:bottom w:val="single" w:sz="4" w:space="0" w:color="1B556B" w:themeColor="text2"/>
            </w:tcBorders>
            <w:shd w:val="clear" w:color="auto" w:fill="auto"/>
          </w:tcPr>
          <w:p w14:paraId="27A42C8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National Environmental Standards for Commercial Forestry</w:t>
            </w:r>
          </w:p>
        </w:tc>
        <w:tc>
          <w:tcPr>
            <w:tcW w:w="1559" w:type="dxa"/>
            <w:tcBorders>
              <w:bottom w:val="single" w:sz="4" w:space="0" w:color="1B556B" w:themeColor="text2"/>
            </w:tcBorders>
          </w:tcPr>
          <w:p w14:paraId="604E04D9" w14:textId="2162BE27" w:rsidR="009B2872" w:rsidRPr="00037D90" w:rsidRDefault="009B2872" w:rsidP="004C6219">
            <w:pPr>
              <w:spacing w:before="40" w:after="40" w:line="240" w:lineRule="auto"/>
              <w:jc w:val="left"/>
              <w:rPr>
                <w:rFonts w:cs="Calibri"/>
                <w:sz w:val="18"/>
                <w:szCs w:val="18"/>
              </w:rPr>
            </w:pPr>
            <w:r w:rsidRPr="00037D90">
              <w:rPr>
                <w:rFonts w:cs="Calibri"/>
                <w:sz w:val="18"/>
                <w:szCs w:val="18"/>
              </w:rPr>
              <w:t>These regulations under the Resource Management Act 1991 are the main forestry management rules for commercial forestry activities in New Zealand, including afforestation and harvesting. Changes to the National Environmental Standards for Commercial Forestry were completed in November 2023.</w:t>
            </w:r>
          </w:p>
        </w:tc>
        <w:tc>
          <w:tcPr>
            <w:tcW w:w="1418" w:type="dxa"/>
            <w:tcBorders>
              <w:bottom w:val="single" w:sz="4" w:space="0" w:color="1B556B" w:themeColor="text2"/>
            </w:tcBorders>
          </w:tcPr>
          <w:p w14:paraId="2C1CDAB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Ensure the environmental effects of commercial forestry are managed.</w:t>
            </w:r>
          </w:p>
        </w:tc>
        <w:tc>
          <w:tcPr>
            <w:tcW w:w="992" w:type="dxa"/>
            <w:tcBorders>
              <w:bottom w:val="single" w:sz="4" w:space="0" w:color="1B556B" w:themeColor="text2"/>
            </w:tcBorders>
          </w:tcPr>
          <w:p w14:paraId="69FE745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w:t>
            </w:r>
          </w:p>
        </w:tc>
        <w:tc>
          <w:tcPr>
            <w:tcW w:w="1129" w:type="dxa"/>
            <w:tcBorders>
              <w:bottom w:val="single" w:sz="4" w:space="0" w:color="1B556B" w:themeColor="text2"/>
            </w:tcBorders>
          </w:tcPr>
          <w:p w14:paraId="61C13438"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Borders>
              <w:bottom w:val="single" w:sz="4" w:space="0" w:color="1B556B" w:themeColor="text2"/>
            </w:tcBorders>
            <w:shd w:val="clear" w:color="auto" w:fill="auto"/>
          </w:tcPr>
          <w:p w14:paraId="4BFD3EA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LULUCF</w:t>
            </w:r>
          </w:p>
        </w:tc>
        <w:tc>
          <w:tcPr>
            <w:tcW w:w="1276" w:type="dxa"/>
            <w:tcBorders>
              <w:bottom w:val="single" w:sz="4" w:space="0" w:color="1B556B" w:themeColor="text2"/>
            </w:tcBorders>
            <w:shd w:val="clear" w:color="auto" w:fill="auto"/>
          </w:tcPr>
          <w:p w14:paraId="4D59859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Borders>
              <w:bottom w:val="single" w:sz="4" w:space="0" w:color="1B556B" w:themeColor="text2"/>
            </w:tcBorders>
            <w:shd w:val="clear" w:color="auto" w:fill="auto"/>
          </w:tcPr>
          <w:p w14:paraId="7E67453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2023</w:t>
            </w:r>
          </w:p>
        </w:tc>
        <w:tc>
          <w:tcPr>
            <w:tcW w:w="1418" w:type="dxa"/>
            <w:tcBorders>
              <w:bottom w:val="single" w:sz="4" w:space="0" w:color="1B556B" w:themeColor="text2"/>
            </w:tcBorders>
            <w:shd w:val="clear" w:color="auto" w:fill="auto"/>
          </w:tcPr>
          <w:p w14:paraId="5AD7AB9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the Environment, Ministry for Primary Industries</w:t>
            </w:r>
          </w:p>
        </w:tc>
        <w:tc>
          <w:tcPr>
            <w:tcW w:w="992" w:type="dxa"/>
            <w:tcBorders>
              <w:bottom w:val="single" w:sz="4" w:space="0" w:color="1B556B" w:themeColor="text2"/>
            </w:tcBorders>
          </w:tcPr>
          <w:p w14:paraId="1EDDD04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Borders>
              <w:bottom w:val="single" w:sz="4" w:space="0" w:color="1B556B" w:themeColor="text2"/>
            </w:tcBorders>
            <w:shd w:val="clear" w:color="auto" w:fill="auto"/>
          </w:tcPr>
          <w:p w14:paraId="3E8C6EF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Borders>
              <w:bottom w:val="single" w:sz="4" w:space="0" w:color="1B556B" w:themeColor="text2"/>
            </w:tcBorders>
            <w:shd w:val="clear" w:color="auto" w:fill="auto"/>
          </w:tcPr>
          <w:p w14:paraId="2C89C98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C93ACB" w:rsidRPr="00037D90" w14:paraId="03E329C5" w14:textId="77777777" w:rsidTr="00271C02">
        <w:trPr>
          <w:gridAfter w:val="1"/>
          <w:wAfter w:w="24" w:type="dxa"/>
        </w:trPr>
        <w:tc>
          <w:tcPr>
            <w:tcW w:w="2835" w:type="dxa"/>
            <w:gridSpan w:val="2"/>
            <w:tcBorders>
              <w:right w:val="nil"/>
            </w:tcBorders>
            <w:shd w:val="clear" w:color="auto" w:fill="D2DDE1" w:themeFill="background2"/>
          </w:tcPr>
          <w:p w14:paraId="0A510729" w14:textId="77777777" w:rsidR="009B2872" w:rsidRPr="00037D90" w:rsidRDefault="009B2872" w:rsidP="004C6219">
            <w:pPr>
              <w:keepNext/>
              <w:tabs>
                <w:tab w:val="left" w:pos="1060"/>
              </w:tabs>
              <w:spacing w:before="40" w:after="40" w:line="240" w:lineRule="auto"/>
              <w:jc w:val="left"/>
              <w:rPr>
                <w:rFonts w:cs="Calibri"/>
                <w:b/>
                <w:sz w:val="18"/>
                <w:szCs w:val="18"/>
              </w:rPr>
            </w:pPr>
            <w:r w:rsidRPr="00037D90">
              <w:rPr>
                <w:rFonts w:cs="Calibri"/>
                <w:b/>
                <w:sz w:val="18"/>
                <w:szCs w:val="18"/>
              </w:rPr>
              <w:t>Waste</w:t>
            </w:r>
          </w:p>
        </w:tc>
        <w:tc>
          <w:tcPr>
            <w:tcW w:w="1418" w:type="dxa"/>
            <w:tcBorders>
              <w:left w:val="nil"/>
              <w:right w:val="nil"/>
            </w:tcBorders>
            <w:shd w:val="clear" w:color="auto" w:fill="D2DDE1" w:themeFill="background2"/>
          </w:tcPr>
          <w:p w14:paraId="618C7247" w14:textId="77777777" w:rsidR="009B2872" w:rsidRPr="00037D90" w:rsidRDefault="009B2872" w:rsidP="004C6219">
            <w:pPr>
              <w:tabs>
                <w:tab w:val="left" w:pos="1060"/>
              </w:tabs>
              <w:spacing w:before="40" w:after="40" w:line="240" w:lineRule="auto"/>
              <w:jc w:val="left"/>
              <w:rPr>
                <w:rFonts w:cs="Calibri"/>
                <w:b/>
                <w:sz w:val="18"/>
                <w:szCs w:val="18"/>
              </w:rPr>
            </w:pPr>
          </w:p>
        </w:tc>
        <w:tc>
          <w:tcPr>
            <w:tcW w:w="992" w:type="dxa"/>
            <w:tcBorders>
              <w:left w:val="nil"/>
              <w:right w:val="nil"/>
            </w:tcBorders>
            <w:shd w:val="clear" w:color="auto" w:fill="D2DDE1" w:themeFill="background2"/>
          </w:tcPr>
          <w:p w14:paraId="64090B72" w14:textId="77777777" w:rsidR="009B2872" w:rsidRPr="00037D90" w:rsidRDefault="009B2872" w:rsidP="004C6219">
            <w:pPr>
              <w:tabs>
                <w:tab w:val="left" w:pos="1060"/>
              </w:tabs>
              <w:spacing w:before="40" w:after="40" w:line="240" w:lineRule="auto"/>
              <w:jc w:val="left"/>
              <w:rPr>
                <w:rFonts w:cs="Calibri"/>
                <w:b/>
                <w:sz w:val="18"/>
                <w:szCs w:val="18"/>
              </w:rPr>
            </w:pPr>
          </w:p>
        </w:tc>
        <w:tc>
          <w:tcPr>
            <w:tcW w:w="1129" w:type="dxa"/>
            <w:tcBorders>
              <w:left w:val="nil"/>
              <w:right w:val="nil"/>
            </w:tcBorders>
            <w:shd w:val="clear" w:color="auto" w:fill="D2DDE1" w:themeFill="background2"/>
          </w:tcPr>
          <w:p w14:paraId="4A0905B5" w14:textId="77777777" w:rsidR="009B2872" w:rsidRPr="003D5E37" w:rsidRDefault="009B2872" w:rsidP="004C6219">
            <w:pPr>
              <w:tabs>
                <w:tab w:val="left" w:pos="1060"/>
              </w:tabs>
              <w:spacing w:before="40" w:after="40" w:line="240" w:lineRule="auto"/>
              <w:jc w:val="left"/>
              <w:rPr>
                <w:rFonts w:cs="Calibri"/>
                <w:b/>
                <w:sz w:val="18"/>
                <w:szCs w:val="18"/>
              </w:rPr>
            </w:pPr>
          </w:p>
        </w:tc>
        <w:tc>
          <w:tcPr>
            <w:tcW w:w="1281" w:type="dxa"/>
            <w:tcBorders>
              <w:left w:val="nil"/>
              <w:right w:val="nil"/>
            </w:tcBorders>
            <w:shd w:val="clear" w:color="auto" w:fill="D2DDE1" w:themeFill="background2"/>
          </w:tcPr>
          <w:p w14:paraId="572CBCCE" w14:textId="77777777" w:rsidR="009B2872" w:rsidRPr="00037D90" w:rsidRDefault="009B2872" w:rsidP="004C6219">
            <w:pPr>
              <w:tabs>
                <w:tab w:val="left" w:pos="1060"/>
              </w:tabs>
              <w:spacing w:before="40" w:after="40" w:line="240" w:lineRule="auto"/>
              <w:jc w:val="left"/>
              <w:rPr>
                <w:rFonts w:cs="Calibri"/>
                <w:b/>
                <w:sz w:val="18"/>
                <w:szCs w:val="18"/>
              </w:rPr>
            </w:pPr>
          </w:p>
        </w:tc>
        <w:tc>
          <w:tcPr>
            <w:tcW w:w="1276" w:type="dxa"/>
            <w:tcBorders>
              <w:left w:val="nil"/>
              <w:right w:val="nil"/>
            </w:tcBorders>
            <w:shd w:val="clear" w:color="auto" w:fill="D2DDE1" w:themeFill="background2"/>
          </w:tcPr>
          <w:p w14:paraId="6A5412AF" w14:textId="77777777" w:rsidR="009B2872" w:rsidRPr="00037D90" w:rsidRDefault="009B2872" w:rsidP="004C6219">
            <w:pPr>
              <w:tabs>
                <w:tab w:val="left" w:pos="1060"/>
              </w:tabs>
              <w:spacing w:before="40" w:after="40" w:line="240" w:lineRule="auto"/>
              <w:jc w:val="left"/>
              <w:rPr>
                <w:rFonts w:cs="Calibri"/>
                <w:b/>
                <w:sz w:val="18"/>
                <w:szCs w:val="18"/>
              </w:rPr>
            </w:pPr>
          </w:p>
        </w:tc>
        <w:tc>
          <w:tcPr>
            <w:tcW w:w="1275" w:type="dxa"/>
            <w:tcBorders>
              <w:left w:val="nil"/>
              <w:right w:val="nil"/>
            </w:tcBorders>
            <w:shd w:val="clear" w:color="auto" w:fill="D2DDE1" w:themeFill="background2"/>
          </w:tcPr>
          <w:p w14:paraId="365DBA56" w14:textId="77777777" w:rsidR="009B2872" w:rsidRPr="00037D90" w:rsidRDefault="009B2872" w:rsidP="004C6219">
            <w:pPr>
              <w:tabs>
                <w:tab w:val="left" w:pos="1060"/>
              </w:tabs>
              <w:spacing w:before="40" w:after="40" w:line="240" w:lineRule="auto"/>
              <w:jc w:val="left"/>
              <w:rPr>
                <w:rFonts w:cs="Calibri"/>
                <w:b/>
                <w:sz w:val="18"/>
                <w:szCs w:val="18"/>
              </w:rPr>
            </w:pPr>
          </w:p>
        </w:tc>
        <w:tc>
          <w:tcPr>
            <w:tcW w:w="1418" w:type="dxa"/>
            <w:tcBorders>
              <w:left w:val="nil"/>
              <w:right w:val="nil"/>
            </w:tcBorders>
            <w:shd w:val="clear" w:color="auto" w:fill="D2DDE1" w:themeFill="background2"/>
          </w:tcPr>
          <w:p w14:paraId="44C24B43" w14:textId="77777777" w:rsidR="009B2872" w:rsidRPr="00037D90" w:rsidRDefault="009B2872" w:rsidP="004C6219">
            <w:pPr>
              <w:tabs>
                <w:tab w:val="left" w:pos="1060"/>
              </w:tabs>
              <w:spacing w:before="40" w:after="40" w:line="240" w:lineRule="auto"/>
              <w:jc w:val="left"/>
              <w:rPr>
                <w:rFonts w:cs="Calibri"/>
                <w:b/>
                <w:sz w:val="18"/>
                <w:szCs w:val="18"/>
              </w:rPr>
            </w:pPr>
          </w:p>
        </w:tc>
        <w:tc>
          <w:tcPr>
            <w:tcW w:w="992" w:type="dxa"/>
            <w:tcBorders>
              <w:left w:val="nil"/>
              <w:right w:val="nil"/>
            </w:tcBorders>
            <w:shd w:val="clear" w:color="auto" w:fill="D2DDE1" w:themeFill="background2"/>
          </w:tcPr>
          <w:p w14:paraId="6CCE10E5" w14:textId="77777777" w:rsidR="009B2872" w:rsidRPr="00037D90" w:rsidRDefault="009B2872" w:rsidP="004C6219">
            <w:pPr>
              <w:tabs>
                <w:tab w:val="left" w:pos="1060"/>
              </w:tabs>
              <w:spacing w:before="40" w:after="40" w:line="240" w:lineRule="auto"/>
              <w:jc w:val="left"/>
              <w:rPr>
                <w:rFonts w:cs="Calibri"/>
                <w:b/>
                <w:sz w:val="18"/>
                <w:szCs w:val="18"/>
              </w:rPr>
            </w:pPr>
          </w:p>
        </w:tc>
        <w:tc>
          <w:tcPr>
            <w:tcW w:w="992" w:type="dxa"/>
            <w:tcBorders>
              <w:left w:val="nil"/>
              <w:right w:val="nil"/>
            </w:tcBorders>
            <w:shd w:val="clear" w:color="auto" w:fill="D2DDE1" w:themeFill="background2"/>
          </w:tcPr>
          <w:p w14:paraId="386B0CF0" w14:textId="77777777" w:rsidR="009B2872" w:rsidRPr="00037D90" w:rsidRDefault="009B2872" w:rsidP="004C6219">
            <w:pPr>
              <w:tabs>
                <w:tab w:val="left" w:pos="1060"/>
              </w:tabs>
              <w:spacing w:before="40" w:after="40" w:line="240" w:lineRule="auto"/>
              <w:jc w:val="left"/>
              <w:rPr>
                <w:rFonts w:cs="Calibri"/>
                <w:b/>
                <w:sz w:val="18"/>
                <w:szCs w:val="18"/>
              </w:rPr>
            </w:pPr>
          </w:p>
        </w:tc>
        <w:tc>
          <w:tcPr>
            <w:tcW w:w="964" w:type="dxa"/>
            <w:tcBorders>
              <w:left w:val="nil"/>
            </w:tcBorders>
            <w:shd w:val="clear" w:color="auto" w:fill="D2DDE1" w:themeFill="background2"/>
          </w:tcPr>
          <w:p w14:paraId="7DDC34D1" w14:textId="77777777" w:rsidR="009B2872" w:rsidRPr="00037D90" w:rsidRDefault="009B2872" w:rsidP="004C6219">
            <w:pPr>
              <w:tabs>
                <w:tab w:val="left" w:pos="1060"/>
              </w:tabs>
              <w:spacing w:before="40" w:after="40" w:line="240" w:lineRule="auto"/>
              <w:jc w:val="left"/>
              <w:rPr>
                <w:rFonts w:cs="Calibri"/>
                <w:b/>
                <w:sz w:val="18"/>
                <w:szCs w:val="18"/>
              </w:rPr>
            </w:pPr>
          </w:p>
        </w:tc>
      </w:tr>
      <w:tr w:rsidR="00361478" w:rsidRPr="00037D90" w14:paraId="59453B92" w14:textId="77777777" w:rsidTr="00271C02">
        <w:trPr>
          <w:gridAfter w:val="1"/>
          <w:wAfter w:w="24" w:type="dxa"/>
        </w:trPr>
        <w:tc>
          <w:tcPr>
            <w:tcW w:w="1276" w:type="dxa"/>
            <w:shd w:val="clear" w:color="auto" w:fill="auto"/>
          </w:tcPr>
          <w:p w14:paraId="3CC6172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Food waste reduction (behaviour change)</w:t>
            </w:r>
          </w:p>
        </w:tc>
        <w:tc>
          <w:tcPr>
            <w:tcW w:w="1559" w:type="dxa"/>
          </w:tcPr>
          <w:p w14:paraId="1672E99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Encourage behaviour to prevent waste at home.</w:t>
            </w:r>
          </w:p>
        </w:tc>
        <w:tc>
          <w:tcPr>
            <w:tcW w:w="1418" w:type="dxa"/>
          </w:tcPr>
          <w:p w14:paraId="5177349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Enable households and businesses to reduce organic waste.</w:t>
            </w:r>
          </w:p>
        </w:tc>
        <w:tc>
          <w:tcPr>
            <w:tcW w:w="992" w:type="dxa"/>
          </w:tcPr>
          <w:p w14:paraId="6528972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Regulatory, economic instrument </w:t>
            </w:r>
          </w:p>
        </w:tc>
        <w:tc>
          <w:tcPr>
            <w:tcW w:w="1129" w:type="dxa"/>
          </w:tcPr>
          <w:p w14:paraId="613BDCBB"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shd w:val="clear" w:color="auto" w:fill="auto"/>
          </w:tcPr>
          <w:p w14:paraId="508FCDC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Waste management</w:t>
            </w:r>
          </w:p>
        </w:tc>
        <w:tc>
          <w:tcPr>
            <w:tcW w:w="1276" w:type="dxa"/>
            <w:shd w:val="clear" w:color="auto" w:fill="auto"/>
          </w:tcPr>
          <w:p w14:paraId="37D6D91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CH</w:t>
            </w:r>
            <w:r w:rsidRPr="00037D90">
              <w:rPr>
                <w:rFonts w:cs="Calibri"/>
                <w:sz w:val="18"/>
                <w:szCs w:val="18"/>
                <w:vertAlign w:val="subscript"/>
              </w:rPr>
              <w:t>4</w:t>
            </w:r>
          </w:p>
        </w:tc>
        <w:tc>
          <w:tcPr>
            <w:tcW w:w="1275" w:type="dxa"/>
            <w:shd w:val="clear" w:color="auto" w:fill="auto"/>
          </w:tcPr>
          <w:p w14:paraId="4853E46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2023</w:t>
            </w:r>
          </w:p>
        </w:tc>
        <w:tc>
          <w:tcPr>
            <w:tcW w:w="1418" w:type="dxa"/>
            <w:shd w:val="clear" w:color="auto" w:fill="auto"/>
          </w:tcPr>
          <w:p w14:paraId="556D5BF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the Environment, regional and local councils</w:t>
            </w:r>
            <w:r w:rsidRPr="00037D90" w:rsidDel="00340C19">
              <w:rPr>
                <w:rFonts w:cs="Calibri"/>
                <w:sz w:val="18"/>
                <w:szCs w:val="18"/>
              </w:rPr>
              <w:t xml:space="preserve"> </w:t>
            </w:r>
          </w:p>
        </w:tc>
        <w:tc>
          <w:tcPr>
            <w:tcW w:w="992" w:type="dxa"/>
          </w:tcPr>
          <w:p w14:paraId="5F6D0C4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92" w:type="dxa"/>
            <w:shd w:val="clear" w:color="auto" w:fill="auto"/>
          </w:tcPr>
          <w:p w14:paraId="757E11C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64" w:type="dxa"/>
            <w:shd w:val="clear" w:color="auto" w:fill="auto"/>
          </w:tcPr>
          <w:p w14:paraId="007D12C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8</w:t>
            </w:r>
          </w:p>
        </w:tc>
      </w:tr>
      <w:tr w:rsidR="00361478" w:rsidRPr="00037D90" w14:paraId="62D8E2C5" w14:textId="77777777" w:rsidTr="00271C02">
        <w:trPr>
          <w:gridAfter w:val="1"/>
          <w:wAfter w:w="24" w:type="dxa"/>
        </w:trPr>
        <w:tc>
          <w:tcPr>
            <w:tcW w:w="1276" w:type="dxa"/>
            <w:shd w:val="clear" w:color="auto" w:fill="auto"/>
          </w:tcPr>
          <w:p w14:paraId="500B387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Limits on organic waste disposal</w:t>
            </w:r>
          </w:p>
        </w:tc>
        <w:tc>
          <w:tcPr>
            <w:tcW w:w="1559" w:type="dxa"/>
          </w:tcPr>
          <w:p w14:paraId="598300A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Banning organic materials from a range of landfill types to incentivise businesses and households to look for ways to reduce, recycle or compost their organic waste.</w:t>
            </w:r>
          </w:p>
        </w:tc>
        <w:tc>
          <w:tcPr>
            <w:tcW w:w="1418" w:type="dxa"/>
          </w:tcPr>
          <w:p w14:paraId="11BD006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Explore bans or limits to divert more organic waste from landfill.</w:t>
            </w:r>
          </w:p>
        </w:tc>
        <w:tc>
          <w:tcPr>
            <w:tcW w:w="992" w:type="dxa"/>
          </w:tcPr>
          <w:p w14:paraId="1AC635C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 economic instrument</w:t>
            </w:r>
          </w:p>
        </w:tc>
        <w:tc>
          <w:tcPr>
            <w:tcW w:w="1129" w:type="dxa"/>
          </w:tcPr>
          <w:p w14:paraId="410B025E"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Planned</w:t>
            </w:r>
          </w:p>
        </w:tc>
        <w:tc>
          <w:tcPr>
            <w:tcW w:w="1281" w:type="dxa"/>
            <w:shd w:val="clear" w:color="auto" w:fill="auto"/>
          </w:tcPr>
          <w:p w14:paraId="5E66A48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Waste management</w:t>
            </w:r>
          </w:p>
        </w:tc>
        <w:tc>
          <w:tcPr>
            <w:tcW w:w="1276" w:type="dxa"/>
            <w:shd w:val="clear" w:color="auto" w:fill="auto"/>
          </w:tcPr>
          <w:p w14:paraId="22C24A0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CH</w:t>
            </w:r>
            <w:r w:rsidRPr="00037D90">
              <w:rPr>
                <w:rFonts w:cs="Calibri"/>
                <w:sz w:val="18"/>
                <w:szCs w:val="18"/>
                <w:vertAlign w:val="subscript"/>
              </w:rPr>
              <w:t>4</w:t>
            </w:r>
          </w:p>
        </w:tc>
        <w:tc>
          <w:tcPr>
            <w:tcW w:w="1275" w:type="dxa"/>
            <w:shd w:val="clear" w:color="auto" w:fill="auto"/>
          </w:tcPr>
          <w:p w14:paraId="129E9B8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2030</w:t>
            </w:r>
          </w:p>
        </w:tc>
        <w:tc>
          <w:tcPr>
            <w:tcW w:w="1418" w:type="dxa"/>
            <w:shd w:val="clear" w:color="auto" w:fill="auto"/>
          </w:tcPr>
          <w:p w14:paraId="69C056B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the Environment, regional and local councils</w:t>
            </w:r>
          </w:p>
        </w:tc>
        <w:tc>
          <w:tcPr>
            <w:tcW w:w="992" w:type="dxa"/>
          </w:tcPr>
          <w:p w14:paraId="12CC775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shd w:val="clear" w:color="auto" w:fill="auto"/>
          </w:tcPr>
          <w:p w14:paraId="490A0C0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shd w:val="clear" w:color="auto" w:fill="auto"/>
          </w:tcPr>
          <w:p w14:paraId="217D66A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361478" w:rsidRPr="00037D90" w14:paraId="260B2F58" w14:textId="77777777" w:rsidTr="00271C02">
        <w:trPr>
          <w:gridAfter w:val="1"/>
          <w:wAfter w:w="24" w:type="dxa"/>
        </w:trPr>
        <w:tc>
          <w:tcPr>
            <w:tcW w:w="1276" w:type="dxa"/>
            <w:shd w:val="clear" w:color="auto" w:fill="auto"/>
          </w:tcPr>
          <w:p w14:paraId="35809D4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Kerbside expansion</w:t>
            </w:r>
          </w:p>
        </w:tc>
        <w:tc>
          <w:tcPr>
            <w:tcW w:w="1559" w:type="dxa"/>
          </w:tcPr>
          <w:p w14:paraId="221F3E8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Provide services and infrastructure for kerbside organic collections to make it easier for households and businesses to manage their organic waste.</w:t>
            </w:r>
          </w:p>
        </w:tc>
        <w:tc>
          <w:tcPr>
            <w:tcW w:w="1418" w:type="dxa"/>
          </w:tcPr>
          <w:p w14:paraId="23ADC92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Enable households and businesses to reduce food and garden waste.</w:t>
            </w:r>
          </w:p>
        </w:tc>
        <w:tc>
          <w:tcPr>
            <w:tcW w:w="992" w:type="dxa"/>
          </w:tcPr>
          <w:p w14:paraId="5D0AEBC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 economic instrument</w:t>
            </w:r>
          </w:p>
        </w:tc>
        <w:tc>
          <w:tcPr>
            <w:tcW w:w="1129" w:type="dxa"/>
          </w:tcPr>
          <w:p w14:paraId="07033E5B"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 xml:space="preserve">Planned </w:t>
            </w:r>
          </w:p>
        </w:tc>
        <w:tc>
          <w:tcPr>
            <w:tcW w:w="1281" w:type="dxa"/>
            <w:shd w:val="clear" w:color="auto" w:fill="auto"/>
          </w:tcPr>
          <w:p w14:paraId="227BEA7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Waste management</w:t>
            </w:r>
          </w:p>
        </w:tc>
        <w:tc>
          <w:tcPr>
            <w:tcW w:w="1276" w:type="dxa"/>
            <w:shd w:val="clear" w:color="auto" w:fill="auto"/>
          </w:tcPr>
          <w:p w14:paraId="06DEED6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CH</w:t>
            </w:r>
            <w:r w:rsidRPr="00037D90">
              <w:rPr>
                <w:rFonts w:cs="Calibri"/>
                <w:sz w:val="18"/>
                <w:szCs w:val="18"/>
                <w:vertAlign w:val="subscript"/>
              </w:rPr>
              <w:t>4</w:t>
            </w:r>
          </w:p>
        </w:tc>
        <w:tc>
          <w:tcPr>
            <w:tcW w:w="1275" w:type="dxa"/>
            <w:shd w:val="clear" w:color="auto" w:fill="auto"/>
          </w:tcPr>
          <w:p w14:paraId="3145C91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2030</w:t>
            </w:r>
          </w:p>
        </w:tc>
        <w:tc>
          <w:tcPr>
            <w:tcW w:w="1418" w:type="dxa"/>
            <w:shd w:val="clear" w:color="auto" w:fill="auto"/>
          </w:tcPr>
          <w:p w14:paraId="5D40D7F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the Environment, regional and local councils</w:t>
            </w:r>
          </w:p>
        </w:tc>
        <w:tc>
          <w:tcPr>
            <w:tcW w:w="992" w:type="dxa"/>
          </w:tcPr>
          <w:p w14:paraId="1BAAF42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shd w:val="clear" w:color="auto" w:fill="auto"/>
          </w:tcPr>
          <w:p w14:paraId="0866587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shd w:val="clear" w:color="auto" w:fill="auto"/>
          </w:tcPr>
          <w:p w14:paraId="595B7E5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361478" w:rsidRPr="00037D90" w14:paraId="13CAC466" w14:textId="77777777" w:rsidTr="00271C02">
        <w:trPr>
          <w:gridAfter w:val="1"/>
          <w:wAfter w:w="24" w:type="dxa"/>
        </w:trPr>
        <w:tc>
          <w:tcPr>
            <w:tcW w:w="1276" w:type="dxa"/>
            <w:shd w:val="clear" w:color="auto" w:fill="auto"/>
          </w:tcPr>
          <w:p w14:paraId="162404F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Paper waste diversion (business)</w:t>
            </w:r>
          </w:p>
        </w:tc>
        <w:tc>
          <w:tcPr>
            <w:tcW w:w="1559" w:type="dxa"/>
          </w:tcPr>
          <w:p w14:paraId="7EDFEBF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Investigate whether to require paper and cardboard to be collected separately from other recyclables.</w:t>
            </w:r>
          </w:p>
        </w:tc>
        <w:tc>
          <w:tcPr>
            <w:tcW w:w="1418" w:type="dxa"/>
          </w:tcPr>
          <w:p w14:paraId="6F6D752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Require the separation of paper and cardboard.</w:t>
            </w:r>
          </w:p>
        </w:tc>
        <w:tc>
          <w:tcPr>
            <w:tcW w:w="992" w:type="dxa"/>
          </w:tcPr>
          <w:p w14:paraId="5534E33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 economic instrument</w:t>
            </w:r>
          </w:p>
        </w:tc>
        <w:tc>
          <w:tcPr>
            <w:tcW w:w="1129" w:type="dxa"/>
          </w:tcPr>
          <w:p w14:paraId="68FE754C"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Planned</w:t>
            </w:r>
          </w:p>
        </w:tc>
        <w:tc>
          <w:tcPr>
            <w:tcW w:w="1281" w:type="dxa"/>
            <w:shd w:val="clear" w:color="auto" w:fill="auto"/>
          </w:tcPr>
          <w:p w14:paraId="04E6D22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Waste management</w:t>
            </w:r>
          </w:p>
        </w:tc>
        <w:tc>
          <w:tcPr>
            <w:tcW w:w="1276" w:type="dxa"/>
            <w:shd w:val="clear" w:color="auto" w:fill="auto"/>
          </w:tcPr>
          <w:p w14:paraId="2619117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CH</w:t>
            </w:r>
            <w:r w:rsidRPr="00037D90">
              <w:rPr>
                <w:rFonts w:cs="Calibri"/>
                <w:sz w:val="18"/>
                <w:szCs w:val="18"/>
                <w:vertAlign w:val="subscript"/>
              </w:rPr>
              <w:t>4</w:t>
            </w:r>
          </w:p>
        </w:tc>
        <w:tc>
          <w:tcPr>
            <w:tcW w:w="1275" w:type="dxa"/>
            <w:shd w:val="clear" w:color="auto" w:fill="auto"/>
          </w:tcPr>
          <w:p w14:paraId="2ABEC56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2026</w:t>
            </w:r>
          </w:p>
        </w:tc>
        <w:tc>
          <w:tcPr>
            <w:tcW w:w="1418" w:type="dxa"/>
            <w:shd w:val="clear" w:color="auto" w:fill="auto"/>
          </w:tcPr>
          <w:p w14:paraId="73A8312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the Environment, regional and local councils</w:t>
            </w:r>
          </w:p>
        </w:tc>
        <w:tc>
          <w:tcPr>
            <w:tcW w:w="992" w:type="dxa"/>
          </w:tcPr>
          <w:p w14:paraId="167351A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shd w:val="clear" w:color="auto" w:fill="auto"/>
          </w:tcPr>
          <w:p w14:paraId="610F760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shd w:val="clear" w:color="auto" w:fill="auto"/>
          </w:tcPr>
          <w:p w14:paraId="292F39D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361478" w:rsidRPr="00037D90" w14:paraId="21D3A049" w14:textId="77777777" w:rsidTr="00271C02">
        <w:trPr>
          <w:gridAfter w:val="1"/>
          <w:wAfter w:w="24" w:type="dxa"/>
        </w:trPr>
        <w:tc>
          <w:tcPr>
            <w:tcW w:w="1276" w:type="dxa"/>
            <w:shd w:val="clear" w:color="auto" w:fill="auto"/>
          </w:tcPr>
          <w:p w14:paraId="64DD47F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Wood waste reduction and diversion</w:t>
            </w:r>
          </w:p>
        </w:tc>
        <w:tc>
          <w:tcPr>
            <w:tcW w:w="1559" w:type="dxa"/>
          </w:tcPr>
          <w:p w14:paraId="181F5A9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Invest in organic waste processing and resource recovery infrastructure and support the building and construction sector to minimise waste through research and improved capability.</w:t>
            </w:r>
          </w:p>
        </w:tc>
        <w:tc>
          <w:tcPr>
            <w:tcW w:w="1418" w:type="dxa"/>
          </w:tcPr>
          <w:p w14:paraId="05E3877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Increase the amount of organic waste diverted from landfill.</w:t>
            </w:r>
            <w:r w:rsidRPr="00037D90" w:rsidDel="00E34E00">
              <w:rPr>
                <w:rFonts w:cs="Calibri"/>
                <w:sz w:val="18"/>
                <w:szCs w:val="18"/>
              </w:rPr>
              <w:t xml:space="preserve"> </w:t>
            </w:r>
          </w:p>
        </w:tc>
        <w:tc>
          <w:tcPr>
            <w:tcW w:w="992" w:type="dxa"/>
          </w:tcPr>
          <w:p w14:paraId="04CF7DB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 economic instrument</w:t>
            </w:r>
          </w:p>
        </w:tc>
        <w:tc>
          <w:tcPr>
            <w:tcW w:w="1129" w:type="dxa"/>
          </w:tcPr>
          <w:p w14:paraId="2716F83A"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shd w:val="clear" w:color="auto" w:fill="auto"/>
          </w:tcPr>
          <w:p w14:paraId="373D90A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Waste management</w:t>
            </w:r>
          </w:p>
        </w:tc>
        <w:tc>
          <w:tcPr>
            <w:tcW w:w="1276" w:type="dxa"/>
            <w:shd w:val="clear" w:color="auto" w:fill="auto"/>
          </w:tcPr>
          <w:p w14:paraId="4FE235D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CH</w:t>
            </w:r>
            <w:r w:rsidRPr="00037D90">
              <w:rPr>
                <w:rFonts w:cs="Calibri"/>
                <w:sz w:val="18"/>
                <w:szCs w:val="18"/>
                <w:vertAlign w:val="subscript"/>
              </w:rPr>
              <w:t>4</w:t>
            </w:r>
          </w:p>
        </w:tc>
        <w:tc>
          <w:tcPr>
            <w:tcW w:w="1275" w:type="dxa"/>
            <w:shd w:val="clear" w:color="auto" w:fill="auto"/>
          </w:tcPr>
          <w:p w14:paraId="34398D7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2023</w:t>
            </w:r>
          </w:p>
        </w:tc>
        <w:tc>
          <w:tcPr>
            <w:tcW w:w="1418" w:type="dxa"/>
            <w:shd w:val="clear" w:color="auto" w:fill="auto"/>
          </w:tcPr>
          <w:p w14:paraId="1EF600A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the Environment, regional and local councils</w:t>
            </w:r>
          </w:p>
        </w:tc>
        <w:tc>
          <w:tcPr>
            <w:tcW w:w="992" w:type="dxa"/>
          </w:tcPr>
          <w:p w14:paraId="5E84C7E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92" w:type="dxa"/>
            <w:shd w:val="clear" w:color="auto" w:fill="auto"/>
          </w:tcPr>
          <w:p w14:paraId="26F51D8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0</w:t>
            </w:r>
          </w:p>
        </w:tc>
        <w:tc>
          <w:tcPr>
            <w:tcW w:w="964" w:type="dxa"/>
            <w:shd w:val="clear" w:color="auto" w:fill="auto"/>
          </w:tcPr>
          <w:p w14:paraId="247B1B5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1</w:t>
            </w:r>
          </w:p>
        </w:tc>
      </w:tr>
      <w:tr w:rsidR="00361478" w:rsidRPr="00037D90" w14:paraId="23B20163" w14:textId="77777777" w:rsidTr="00271C02">
        <w:trPr>
          <w:gridAfter w:val="1"/>
          <w:wAfter w:w="24" w:type="dxa"/>
        </w:trPr>
        <w:tc>
          <w:tcPr>
            <w:tcW w:w="1276" w:type="dxa"/>
            <w:shd w:val="clear" w:color="auto" w:fill="auto"/>
          </w:tcPr>
          <w:p w14:paraId="4EB8CA4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Landfill gas capture expansion</w:t>
            </w:r>
          </w:p>
        </w:tc>
        <w:tc>
          <w:tcPr>
            <w:tcW w:w="1559" w:type="dxa"/>
          </w:tcPr>
          <w:p w14:paraId="2235547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Regulations will require landfill gas capture at municipal landfills. Feasibility studies will determine the need for additional landfill gas capture requirements. This could include expanding landfill gas capture systems to smaller class 1 (municipal waste) facilities, for example, facilities that receive over 10,000 Tonnes of waste per year.</w:t>
            </w:r>
          </w:p>
        </w:tc>
        <w:tc>
          <w:tcPr>
            <w:tcW w:w="1418" w:type="dxa"/>
          </w:tcPr>
          <w:p w14:paraId="72F571E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Increase the capture of gas from landfills.</w:t>
            </w:r>
          </w:p>
        </w:tc>
        <w:tc>
          <w:tcPr>
            <w:tcW w:w="992" w:type="dxa"/>
          </w:tcPr>
          <w:p w14:paraId="4D1F989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 economic instrument</w:t>
            </w:r>
          </w:p>
        </w:tc>
        <w:tc>
          <w:tcPr>
            <w:tcW w:w="1129" w:type="dxa"/>
          </w:tcPr>
          <w:p w14:paraId="502E95E0"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Planned</w:t>
            </w:r>
          </w:p>
        </w:tc>
        <w:tc>
          <w:tcPr>
            <w:tcW w:w="1281" w:type="dxa"/>
            <w:shd w:val="clear" w:color="auto" w:fill="auto"/>
          </w:tcPr>
          <w:p w14:paraId="2638A03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Waste management</w:t>
            </w:r>
          </w:p>
        </w:tc>
        <w:tc>
          <w:tcPr>
            <w:tcW w:w="1276" w:type="dxa"/>
            <w:shd w:val="clear" w:color="auto" w:fill="auto"/>
          </w:tcPr>
          <w:p w14:paraId="6567691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CH</w:t>
            </w:r>
            <w:r w:rsidRPr="00037D90">
              <w:rPr>
                <w:rFonts w:cs="Calibri"/>
                <w:sz w:val="18"/>
                <w:szCs w:val="18"/>
                <w:vertAlign w:val="subscript"/>
              </w:rPr>
              <w:t>4</w:t>
            </w:r>
          </w:p>
        </w:tc>
        <w:tc>
          <w:tcPr>
            <w:tcW w:w="1275" w:type="dxa"/>
            <w:shd w:val="clear" w:color="auto" w:fill="auto"/>
          </w:tcPr>
          <w:p w14:paraId="4B38AFD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2026</w:t>
            </w:r>
          </w:p>
        </w:tc>
        <w:tc>
          <w:tcPr>
            <w:tcW w:w="1418" w:type="dxa"/>
            <w:shd w:val="clear" w:color="auto" w:fill="auto"/>
          </w:tcPr>
          <w:p w14:paraId="58BF96D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the Environment, regional and local councils</w:t>
            </w:r>
          </w:p>
        </w:tc>
        <w:tc>
          <w:tcPr>
            <w:tcW w:w="992" w:type="dxa"/>
          </w:tcPr>
          <w:p w14:paraId="4909881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shd w:val="clear" w:color="auto" w:fill="auto"/>
          </w:tcPr>
          <w:p w14:paraId="0DB7EFF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shd w:val="clear" w:color="auto" w:fill="auto"/>
          </w:tcPr>
          <w:p w14:paraId="647CD2D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4AACC41A" w14:textId="77777777" w:rsidTr="00271C02">
        <w:trPr>
          <w:gridAfter w:val="1"/>
          <w:wAfter w:w="24" w:type="dxa"/>
        </w:trPr>
        <w:tc>
          <w:tcPr>
            <w:tcW w:w="1276" w:type="dxa"/>
          </w:tcPr>
          <w:p w14:paraId="7EEC0708" w14:textId="6D4F2B19" w:rsidR="009B2872" w:rsidRPr="00037D90" w:rsidRDefault="00611D1F" w:rsidP="004C6219">
            <w:pPr>
              <w:spacing w:before="40" w:after="40" w:line="240" w:lineRule="auto"/>
              <w:jc w:val="left"/>
              <w:rPr>
                <w:rFonts w:cs="Calibri"/>
                <w:sz w:val="18"/>
                <w:szCs w:val="18"/>
              </w:rPr>
            </w:pPr>
            <w:r w:rsidRPr="00037D90">
              <w:rPr>
                <w:rFonts w:cs="Calibri"/>
                <w:sz w:val="18"/>
                <w:szCs w:val="18"/>
              </w:rPr>
              <w:t>Waste disposal levy</w:t>
            </w:r>
            <w:r w:rsidR="009B2872" w:rsidRPr="00037D90">
              <w:rPr>
                <w:rFonts w:cs="Calibri"/>
                <w:sz w:val="18"/>
                <w:szCs w:val="18"/>
              </w:rPr>
              <w:t xml:space="preserve"> under the Waste Minimisation Act 2008</w:t>
            </w:r>
          </w:p>
        </w:tc>
        <w:tc>
          <w:tcPr>
            <w:tcW w:w="1559" w:type="dxa"/>
          </w:tcPr>
          <w:p w14:paraId="3FD6B677" w14:textId="1135494F"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The </w:t>
            </w:r>
            <w:r w:rsidR="00611D1F" w:rsidRPr="00037D90">
              <w:rPr>
                <w:rFonts w:cs="Calibri"/>
                <w:sz w:val="18"/>
                <w:szCs w:val="18"/>
              </w:rPr>
              <w:t>waste disposal levy</w:t>
            </w:r>
            <w:r w:rsidRPr="00037D90">
              <w:rPr>
                <w:rFonts w:cs="Calibri"/>
                <w:sz w:val="18"/>
                <w:szCs w:val="18"/>
              </w:rPr>
              <w:t xml:space="preserve"> rate for landfills has progressively increased and expanded. From $10 per tonne for landfills that receive household waste, set in 2009, to $60 per tonne as of July 2024, further increasing to $75 in 2027 as a result of additional changes to the Waste Minimisation Act 2008 in July 2024. The levy was also expanded from July 2021 to cover additional landfill types.</w:t>
            </w:r>
          </w:p>
        </w:tc>
        <w:tc>
          <w:tcPr>
            <w:tcW w:w="1418" w:type="dxa"/>
          </w:tcPr>
          <w:p w14:paraId="2B22D71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Achieve a range of waste and environmental objectives, including encouraging waste minimisation and decreasing waste disposal to protect the environment from harm and provide environmental, social, economic and cultural benefits.</w:t>
            </w:r>
          </w:p>
        </w:tc>
        <w:tc>
          <w:tcPr>
            <w:tcW w:w="992" w:type="dxa"/>
          </w:tcPr>
          <w:p w14:paraId="72A32BE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w:t>
            </w:r>
          </w:p>
        </w:tc>
        <w:tc>
          <w:tcPr>
            <w:tcW w:w="1129" w:type="dxa"/>
          </w:tcPr>
          <w:p w14:paraId="78D7475A"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Pr>
          <w:p w14:paraId="75D9483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Waste management</w:t>
            </w:r>
          </w:p>
        </w:tc>
        <w:tc>
          <w:tcPr>
            <w:tcW w:w="1276" w:type="dxa"/>
          </w:tcPr>
          <w:p w14:paraId="2BB393C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r w:rsidRPr="00037D90">
              <w:rPr>
                <w:rFonts w:cs="Calibri"/>
                <w:sz w:val="18"/>
                <w:szCs w:val="18"/>
              </w:rPr>
              <w:t>, CH</w:t>
            </w:r>
            <w:r w:rsidRPr="00037D90">
              <w:rPr>
                <w:rFonts w:cs="Calibri"/>
                <w:sz w:val="18"/>
                <w:szCs w:val="18"/>
                <w:vertAlign w:val="subscript"/>
              </w:rPr>
              <w:t>4</w:t>
            </w:r>
            <w:r w:rsidRPr="00037D90">
              <w:rPr>
                <w:rFonts w:cs="Calibri"/>
                <w:sz w:val="18"/>
                <w:szCs w:val="18"/>
              </w:rPr>
              <w:t>, N</w:t>
            </w:r>
            <w:r w:rsidRPr="00037D90">
              <w:rPr>
                <w:rFonts w:cs="Calibri"/>
                <w:sz w:val="18"/>
                <w:szCs w:val="18"/>
                <w:vertAlign w:val="subscript"/>
              </w:rPr>
              <w:t>2</w:t>
            </w:r>
            <w:r w:rsidRPr="00037D90">
              <w:rPr>
                <w:rFonts w:cs="Calibri"/>
                <w:sz w:val="18"/>
                <w:szCs w:val="18"/>
              </w:rPr>
              <w:t>O</w:t>
            </w:r>
          </w:p>
        </w:tc>
        <w:tc>
          <w:tcPr>
            <w:tcW w:w="1275" w:type="dxa"/>
          </w:tcPr>
          <w:p w14:paraId="233955F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2010</w:t>
            </w:r>
          </w:p>
        </w:tc>
        <w:tc>
          <w:tcPr>
            <w:tcW w:w="1418" w:type="dxa"/>
          </w:tcPr>
          <w:p w14:paraId="69A3DDA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the Environment</w:t>
            </w:r>
          </w:p>
        </w:tc>
        <w:tc>
          <w:tcPr>
            <w:tcW w:w="992" w:type="dxa"/>
          </w:tcPr>
          <w:p w14:paraId="4E7BA30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13</w:t>
            </w:r>
          </w:p>
        </w:tc>
        <w:tc>
          <w:tcPr>
            <w:tcW w:w="992" w:type="dxa"/>
          </w:tcPr>
          <w:p w14:paraId="782AA02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15</w:t>
            </w:r>
          </w:p>
        </w:tc>
        <w:tc>
          <w:tcPr>
            <w:tcW w:w="964" w:type="dxa"/>
          </w:tcPr>
          <w:p w14:paraId="164E089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97</w:t>
            </w:r>
          </w:p>
        </w:tc>
      </w:tr>
      <w:tr w:rsidR="008C018E" w:rsidRPr="00037D90" w14:paraId="57DF9F9C" w14:textId="77777777" w:rsidTr="00271C02">
        <w:trPr>
          <w:gridAfter w:val="1"/>
          <w:wAfter w:w="24" w:type="dxa"/>
        </w:trPr>
        <w:tc>
          <w:tcPr>
            <w:tcW w:w="1276" w:type="dxa"/>
          </w:tcPr>
          <w:p w14:paraId="60EBF03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Waste Minimisation Fund </w:t>
            </w:r>
          </w:p>
        </w:tc>
        <w:tc>
          <w:tcPr>
            <w:tcW w:w="1559" w:type="dxa"/>
          </w:tcPr>
          <w:p w14:paraId="566B2E7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A levy is imposed on waste disposed to landfill and generates funds for waste minimisation activities. These funds are distributed to territorial authorities and waste minimisation projects (via the Waste Minimisation Fund). Additional funding from the Climate Emergency Response Fund is available for infrastructure projects to reduce emissions from waste over 2022 to 2024.</w:t>
            </w:r>
          </w:p>
        </w:tc>
        <w:tc>
          <w:tcPr>
            <w:tcW w:w="1418" w:type="dxa"/>
          </w:tcPr>
          <w:p w14:paraId="68E380A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Increase resource efficiency, increase reuse, recovery and recycling, and decrease waste to landfill.</w:t>
            </w:r>
          </w:p>
        </w:tc>
        <w:tc>
          <w:tcPr>
            <w:tcW w:w="992" w:type="dxa"/>
          </w:tcPr>
          <w:p w14:paraId="7ACC2BB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Economic instrument</w:t>
            </w:r>
          </w:p>
        </w:tc>
        <w:tc>
          <w:tcPr>
            <w:tcW w:w="1129" w:type="dxa"/>
          </w:tcPr>
          <w:p w14:paraId="05B5CE2C"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Adopted</w:t>
            </w:r>
          </w:p>
        </w:tc>
        <w:tc>
          <w:tcPr>
            <w:tcW w:w="1281" w:type="dxa"/>
          </w:tcPr>
          <w:p w14:paraId="2AB3149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Waste management</w:t>
            </w:r>
          </w:p>
        </w:tc>
        <w:tc>
          <w:tcPr>
            <w:tcW w:w="1276" w:type="dxa"/>
          </w:tcPr>
          <w:p w14:paraId="332913C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r w:rsidRPr="00037D90">
              <w:rPr>
                <w:rFonts w:cs="Calibri"/>
                <w:sz w:val="18"/>
                <w:szCs w:val="18"/>
              </w:rPr>
              <w:t>, CH</w:t>
            </w:r>
            <w:r w:rsidRPr="00037D90">
              <w:rPr>
                <w:rFonts w:cs="Calibri"/>
                <w:sz w:val="18"/>
                <w:szCs w:val="18"/>
                <w:vertAlign w:val="subscript"/>
              </w:rPr>
              <w:t>4</w:t>
            </w:r>
            <w:r w:rsidRPr="00037D90">
              <w:rPr>
                <w:rFonts w:cs="Calibri"/>
                <w:sz w:val="18"/>
                <w:szCs w:val="18"/>
              </w:rPr>
              <w:t>, N</w:t>
            </w:r>
            <w:r w:rsidRPr="00037D90">
              <w:rPr>
                <w:rFonts w:cs="Calibri"/>
                <w:sz w:val="18"/>
                <w:szCs w:val="18"/>
                <w:vertAlign w:val="subscript"/>
              </w:rPr>
              <w:t>2</w:t>
            </w:r>
            <w:r w:rsidRPr="00037D90">
              <w:rPr>
                <w:rFonts w:cs="Calibri"/>
                <w:sz w:val="18"/>
                <w:szCs w:val="18"/>
              </w:rPr>
              <w:t>O, HFCs, PFCs, SF</w:t>
            </w:r>
            <w:r w:rsidRPr="00037D90">
              <w:rPr>
                <w:rFonts w:cs="Calibri"/>
                <w:sz w:val="18"/>
                <w:szCs w:val="18"/>
                <w:vertAlign w:val="subscript"/>
              </w:rPr>
              <w:t>6</w:t>
            </w:r>
          </w:p>
        </w:tc>
        <w:tc>
          <w:tcPr>
            <w:tcW w:w="1275" w:type="dxa"/>
          </w:tcPr>
          <w:p w14:paraId="49E8CB5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2010</w:t>
            </w:r>
          </w:p>
        </w:tc>
        <w:tc>
          <w:tcPr>
            <w:tcW w:w="1418" w:type="dxa"/>
          </w:tcPr>
          <w:p w14:paraId="02CD300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the Environment</w:t>
            </w:r>
          </w:p>
        </w:tc>
        <w:tc>
          <w:tcPr>
            <w:tcW w:w="992" w:type="dxa"/>
          </w:tcPr>
          <w:p w14:paraId="14B8669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0143A35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1ADE293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2CFCFFC7" w14:textId="77777777" w:rsidTr="00271C02">
        <w:trPr>
          <w:gridAfter w:val="1"/>
          <w:wAfter w:w="24" w:type="dxa"/>
        </w:trPr>
        <w:tc>
          <w:tcPr>
            <w:tcW w:w="1276" w:type="dxa"/>
          </w:tcPr>
          <w:p w14:paraId="38FB025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Product stewardship </w:t>
            </w:r>
          </w:p>
        </w:tc>
        <w:tc>
          <w:tcPr>
            <w:tcW w:w="1559" w:type="dxa"/>
          </w:tcPr>
          <w:p w14:paraId="1095C3E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Co-designing product stewardship for six priority products. The first regulatory framework to be implemented addresses end-of-life tyres and has been designed by industry-led working groups.</w:t>
            </w:r>
          </w:p>
          <w:p w14:paraId="5C888DB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The other priority product schemes and proposed regulations are in various stages of development. </w:t>
            </w:r>
          </w:p>
        </w:tc>
        <w:tc>
          <w:tcPr>
            <w:tcW w:w="1418" w:type="dxa"/>
          </w:tcPr>
          <w:p w14:paraId="7DB2874A"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Implement regulations to increase circular economy and place responsibilities for managing end-of-life products on producers, importers and retailers rather than on communities, councils, neighbours and nature.</w:t>
            </w:r>
          </w:p>
        </w:tc>
        <w:tc>
          <w:tcPr>
            <w:tcW w:w="992" w:type="dxa"/>
          </w:tcPr>
          <w:p w14:paraId="44FD16D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w:t>
            </w:r>
          </w:p>
        </w:tc>
        <w:tc>
          <w:tcPr>
            <w:tcW w:w="1129" w:type="dxa"/>
          </w:tcPr>
          <w:p w14:paraId="3C624B23"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Adopted</w:t>
            </w:r>
          </w:p>
        </w:tc>
        <w:tc>
          <w:tcPr>
            <w:tcW w:w="1281" w:type="dxa"/>
          </w:tcPr>
          <w:p w14:paraId="21E9626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IPPU, Waste management</w:t>
            </w:r>
          </w:p>
        </w:tc>
        <w:tc>
          <w:tcPr>
            <w:tcW w:w="1276" w:type="dxa"/>
          </w:tcPr>
          <w:p w14:paraId="1171818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r w:rsidRPr="00037D90">
              <w:rPr>
                <w:rFonts w:cs="Calibri"/>
                <w:sz w:val="18"/>
                <w:szCs w:val="18"/>
              </w:rPr>
              <w:t>, CH</w:t>
            </w:r>
            <w:r w:rsidRPr="00037D90">
              <w:rPr>
                <w:rFonts w:cs="Calibri"/>
                <w:sz w:val="18"/>
                <w:szCs w:val="18"/>
                <w:vertAlign w:val="subscript"/>
              </w:rPr>
              <w:t>4</w:t>
            </w:r>
            <w:r w:rsidRPr="00037D90">
              <w:rPr>
                <w:rFonts w:cs="Calibri"/>
                <w:sz w:val="18"/>
                <w:szCs w:val="18"/>
              </w:rPr>
              <w:t>, HFCs, SF</w:t>
            </w:r>
            <w:r w:rsidRPr="00037D90">
              <w:rPr>
                <w:rFonts w:cs="Calibri"/>
                <w:sz w:val="18"/>
                <w:szCs w:val="18"/>
                <w:vertAlign w:val="subscript"/>
              </w:rPr>
              <w:t>6</w:t>
            </w:r>
          </w:p>
        </w:tc>
        <w:tc>
          <w:tcPr>
            <w:tcW w:w="1275" w:type="dxa"/>
          </w:tcPr>
          <w:p w14:paraId="4A821B8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2020</w:t>
            </w:r>
          </w:p>
        </w:tc>
        <w:tc>
          <w:tcPr>
            <w:tcW w:w="1418" w:type="dxa"/>
          </w:tcPr>
          <w:p w14:paraId="7C664EC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the Environment</w:t>
            </w:r>
          </w:p>
        </w:tc>
        <w:tc>
          <w:tcPr>
            <w:tcW w:w="992" w:type="dxa"/>
          </w:tcPr>
          <w:p w14:paraId="7BE8E82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311E30E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6E46CB9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4A0EAEC3" w14:textId="77777777" w:rsidTr="00271C02">
        <w:trPr>
          <w:gridAfter w:val="1"/>
          <w:wAfter w:w="24" w:type="dxa"/>
        </w:trPr>
        <w:tc>
          <w:tcPr>
            <w:tcW w:w="1276" w:type="dxa"/>
          </w:tcPr>
          <w:p w14:paraId="00ED3775" w14:textId="62FC0711" w:rsidR="009B2872" w:rsidRPr="00037D90" w:rsidRDefault="009B2872" w:rsidP="004C6219">
            <w:pPr>
              <w:spacing w:before="40" w:after="40" w:line="240" w:lineRule="auto"/>
              <w:jc w:val="left"/>
              <w:rPr>
                <w:rFonts w:cs="Calibri"/>
                <w:sz w:val="18"/>
                <w:szCs w:val="18"/>
              </w:rPr>
            </w:pPr>
            <w:r w:rsidRPr="00037D90">
              <w:rPr>
                <w:rFonts w:cs="Calibri"/>
                <w:sz w:val="18"/>
                <w:szCs w:val="18"/>
              </w:rPr>
              <w:t xml:space="preserve">National Environmental Standard for Air Quality </w:t>
            </w:r>
          </w:p>
        </w:tc>
        <w:tc>
          <w:tcPr>
            <w:tcW w:w="1559" w:type="dxa"/>
          </w:tcPr>
          <w:p w14:paraId="3F1332C4" w14:textId="77777777" w:rsidR="009B2872" w:rsidRDefault="009B2872" w:rsidP="004C6219">
            <w:pPr>
              <w:spacing w:before="40" w:after="40" w:line="240" w:lineRule="auto"/>
              <w:jc w:val="left"/>
              <w:rPr>
                <w:rFonts w:cs="Calibri"/>
                <w:sz w:val="18"/>
                <w:szCs w:val="18"/>
              </w:rPr>
            </w:pPr>
            <w:r w:rsidRPr="00037D90">
              <w:rPr>
                <w:rFonts w:cs="Calibri"/>
                <w:sz w:val="18"/>
                <w:szCs w:val="18"/>
              </w:rPr>
              <w:t xml:space="preserve">Amendments proposed under the </w:t>
            </w:r>
            <w:r w:rsidR="00091192" w:rsidRPr="00037D90">
              <w:rPr>
                <w:rFonts w:cs="Calibri"/>
                <w:sz w:val="18"/>
                <w:szCs w:val="18"/>
              </w:rPr>
              <w:t xml:space="preserve">first </w:t>
            </w:r>
            <w:r w:rsidRPr="00037D90">
              <w:rPr>
                <w:rFonts w:cs="Calibri"/>
                <w:sz w:val="18"/>
                <w:szCs w:val="18"/>
              </w:rPr>
              <w:t>emissions reduction plan will require all municipal landfills to capture gas, including sites with less than 1 million tonnes capacity.</w:t>
            </w:r>
          </w:p>
          <w:p w14:paraId="277545E4" w14:textId="4C2F6083" w:rsidR="009B2872" w:rsidRPr="00037D90" w:rsidRDefault="007A2D8A" w:rsidP="004C6219">
            <w:pPr>
              <w:spacing w:before="40" w:after="40" w:line="240" w:lineRule="auto"/>
              <w:jc w:val="left"/>
              <w:rPr>
                <w:rFonts w:cs="Calibri"/>
                <w:sz w:val="18"/>
                <w:szCs w:val="18"/>
              </w:rPr>
            </w:pPr>
            <w:r>
              <w:rPr>
                <w:rFonts w:cs="Calibri"/>
                <w:sz w:val="18"/>
                <w:szCs w:val="18"/>
              </w:rPr>
              <w:t>The estimates of GHG emissions reductions from this policy are included within NZ ETS – Impact on Waste sector emissions.</w:t>
            </w:r>
          </w:p>
        </w:tc>
        <w:tc>
          <w:tcPr>
            <w:tcW w:w="1418" w:type="dxa"/>
          </w:tcPr>
          <w:p w14:paraId="5907131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Effectively manage discharges to air of greenhouse gases (mainly CH</w:t>
            </w:r>
            <w:r w:rsidRPr="00037D90">
              <w:rPr>
                <w:rFonts w:cs="Calibri"/>
                <w:sz w:val="18"/>
                <w:szCs w:val="18"/>
                <w:vertAlign w:val="subscript"/>
              </w:rPr>
              <w:t>4</w:t>
            </w:r>
            <w:r w:rsidRPr="00037D90">
              <w:rPr>
                <w:rFonts w:cs="Calibri"/>
                <w:sz w:val="18"/>
                <w:szCs w:val="18"/>
              </w:rPr>
              <w:t>) generated from large landfills.</w:t>
            </w:r>
          </w:p>
        </w:tc>
        <w:tc>
          <w:tcPr>
            <w:tcW w:w="992" w:type="dxa"/>
          </w:tcPr>
          <w:p w14:paraId="7F7562B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Regulatory</w:t>
            </w:r>
          </w:p>
        </w:tc>
        <w:tc>
          <w:tcPr>
            <w:tcW w:w="1129" w:type="dxa"/>
          </w:tcPr>
          <w:p w14:paraId="5557FAF7"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Pr>
          <w:p w14:paraId="2B43A77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Waste management</w:t>
            </w:r>
          </w:p>
        </w:tc>
        <w:tc>
          <w:tcPr>
            <w:tcW w:w="1276" w:type="dxa"/>
          </w:tcPr>
          <w:p w14:paraId="5D7CD3AD"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CH</w:t>
            </w:r>
            <w:r w:rsidRPr="00037D90">
              <w:rPr>
                <w:rFonts w:cs="Calibri"/>
                <w:sz w:val="18"/>
                <w:szCs w:val="18"/>
                <w:vertAlign w:val="subscript"/>
              </w:rPr>
              <w:t>4</w:t>
            </w:r>
          </w:p>
        </w:tc>
        <w:tc>
          <w:tcPr>
            <w:tcW w:w="1275" w:type="dxa"/>
          </w:tcPr>
          <w:p w14:paraId="18D18451"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2004</w:t>
            </w:r>
          </w:p>
        </w:tc>
        <w:tc>
          <w:tcPr>
            <w:tcW w:w="1418" w:type="dxa"/>
          </w:tcPr>
          <w:p w14:paraId="38CDE38E"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the Environment, regional and local councils</w:t>
            </w:r>
          </w:p>
        </w:tc>
        <w:tc>
          <w:tcPr>
            <w:tcW w:w="992" w:type="dxa"/>
          </w:tcPr>
          <w:p w14:paraId="4D9F870B" w14:textId="44ADA504" w:rsidR="009B2872" w:rsidRPr="00037D90" w:rsidRDefault="00EC4F0C" w:rsidP="004C6219">
            <w:pPr>
              <w:spacing w:before="40" w:after="40" w:line="240" w:lineRule="auto"/>
              <w:jc w:val="left"/>
              <w:rPr>
                <w:rFonts w:cs="Calibri"/>
                <w:sz w:val="18"/>
                <w:szCs w:val="18"/>
              </w:rPr>
            </w:pPr>
            <w:r>
              <w:rPr>
                <w:rFonts w:cs="Calibri"/>
                <w:sz w:val="18"/>
                <w:szCs w:val="18"/>
              </w:rPr>
              <w:t>IE</w:t>
            </w:r>
          </w:p>
        </w:tc>
        <w:tc>
          <w:tcPr>
            <w:tcW w:w="992" w:type="dxa"/>
          </w:tcPr>
          <w:p w14:paraId="7C0C7D45" w14:textId="1A6EA895" w:rsidR="009B2872" w:rsidRPr="00037D90" w:rsidRDefault="00EC4F0C" w:rsidP="004C6219">
            <w:pPr>
              <w:spacing w:before="40" w:after="40" w:line="240" w:lineRule="auto"/>
              <w:jc w:val="left"/>
              <w:rPr>
                <w:rFonts w:cs="Calibri"/>
                <w:sz w:val="18"/>
                <w:szCs w:val="18"/>
              </w:rPr>
            </w:pPr>
            <w:r>
              <w:rPr>
                <w:rFonts w:cs="Calibri"/>
                <w:sz w:val="18"/>
                <w:szCs w:val="18"/>
              </w:rPr>
              <w:t>IE</w:t>
            </w:r>
          </w:p>
        </w:tc>
        <w:tc>
          <w:tcPr>
            <w:tcW w:w="964" w:type="dxa"/>
          </w:tcPr>
          <w:p w14:paraId="062EBCD3" w14:textId="6626BF27" w:rsidR="009B2872" w:rsidRPr="00037D90" w:rsidRDefault="00EC4F0C" w:rsidP="004C6219">
            <w:pPr>
              <w:spacing w:before="40" w:after="40" w:line="240" w:lineRule="auto"/>
              <w:jc w:val="left"/>
              <w:rPr>
                <w:rFonts w:cs="Calibri"/>
                <w:sz w:val="18"/>
                <w:szCs w:val="18"/>
              </w:rPr>
            </w:pPr>
            <w:r>
              <w:rPr>
                <w:rFonts w:cs="Calibri"/>
                <w:sz w:val="18"/>
                <w:szCs w:val="18"/>
              </w:rPr>
              <w:t>IE</w:t>
            </w:r>
          </w:p>
        </w:tc>
      </w:tr>
      <w:tr w:rsidR="009B2872" w:rsidRPr="00037D90" w14:paraId="06BBE584" w14:textId="77777777" w:rsidTr="004C6219">
        <w:trPr>
          <w:gridAfter w:val="1"/>
          <w:wAfter w:w="24" w:type="dxa"/>
        </w:trPr>
        <w:tc>
          <w:tcPr>
            <w:tcW w:w="14572" w:type="dxa"/>
            <w:gridSpan w:val="12"/>
            <w:shd w:val="clear" w:color="auto" w:fill="D2DDE1" w:themeFill="background2"/>
          </w:tcPr>
          <w:p w14:paraId="30534CF3" w14:textId="77777777" w:rsidR="009B2872" w:rsidRPr="003D5E37" w:rsidRDefault="009B2872" w:rsidP="004C6219">
            <w:pPr>
              <w:spacing w:before="40" w:after="40" w:line="240" w:lineRule="auto"/>
              <w:jc w:val="left"/>
              <w:rPr>
                <w:rFonts w:cs="Calibri"/>
                <w:b/>
                <w:sz w:val="18"/>
                <w:szCs w:val="18"/>
              </w:rPr>
            </w:pPr>
            <w:r w:rsidRPr="003D5E37">
              <w:rPr>
                <w:rFonts w:cs="Calibri"/>
                <w:b/>
                <w:sz w:val="18"/>
                <w:szCs w:val="18"/>
              </w:rPr>
              <w:t>Public sector policies</w:t>
            </w:r>
          </w:p>
        </w:tc>
      </w:tr>
      <w:tr w:rsidR="008C018E" w:rsidRPr="00037D90" w14:paraId="7A79FFAF" w14:textId="77777777" w:rsidTr="00271C02">
        <w:trPr>
          <w:gridAfter w:val="1"/>
          <w:wAfter w:w="24" w:type="dxa"/>
        </w:trPr>
        <w:tc>
          <w:tcPr>
            <w:tcW w:w="1276" w:type="dxa"/>
          </w:tcPr>
          <w:p w14:paraId="7160A74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Carbon Neutral Government Programme</w:t>
            </w:r>
          </w:p>
        </w:tc>
        <w:tc>
          <w:tcPr>
            <w:tcW w:w="1559" w:type="dxa"/>
          </w:tcPr>
          <w:p w14:paraId="23FD728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Support public sector organisations</w:t>
            </w:r>
            <w:r w:rsidRPr="00037D90" w:rsidDel="00576C33">
              <w:rPr>
                <w:rFonts w:cs="Calibri"/>
                <w:sz w:val="18"/>
                <w:szCs w:val="18"/>
              </w:rPr>
              <w:t xml:space="preserve"> </w:t>
            </w:r>
            <w:r w:rsidRPr="00037D90">
              <w:rPr>
                <w:rFonts w:cs="Calibri"/>
                <w:sz w:val="18"/>
                <w:szCs w:val="18"/>
              </w:rPr>
              <w:t>to measure, report and reduce their emissions to achieve a 20% reduction by 2025 and 42% by 2030. Agencies should offset remaining emissions to achieve a future neutrality date.</w:t>
            </w:r>
          </w:p>
        </w:tc>
        <w:tc>
          <w:tcPr>
            <w:tcW w:w="1418" w:type="dxa"/>
          </w:tcPr>
          <w:p w14:paraId="4D209ADC" w14:textId="77777777" w:rsidR="009B2872" w:rsidRPr="00037D90" w:rsidRDefault="009B2872" w:rsidP="004C6219">
            <w:pPr>
              <w:spacing w:before="40" w:after="40" w:line="240" w:lineRule="auto"/>
              <w:jc w:val="left"/>
              <w:rPr>
                <w:rFonts w:cs="Calibri"/>
                <w:color w:val="000000"/>
                <w:sz w:val="18"/>
                <w:szCs w:val="18"/>
                <w:lang w:eastAsia="en-US"/>
              </w:rPr>
            </w:pPr>
            <w:r w:rsidRPr="00037D90">
              <w:rPr>
                <w:rFonts w:cs="Calibri"/>
                <w:color w:val="000000" w:themeColor="text1"/>
                <w:sz w:val="18"/>
                <w:szCs w:val="18"/>
                <w:lang w:eastAsia="en-US"/>
              </w:rPr>
              <w:t>Understand and accelerate the reduction of emissions within the public sector.</w:t>
            </w:r>
          </w:p>
          <w:p w14:paraId="76E1CBA0" w14:textId="77777777" w:rsidR="009B2872" w:rsidRPr="00037D90" w:rsidRDefault="009B2872" w:rsidP="004C6219">
            <w:pPr>
              <w:spacing w:before="40" w:after="40" w:line="240" w:lineRule="auto"/>
              <w:jc w:val="left"/>
              <w:rPr>
                <w:rFonts w:cs="Calibri"/>
                <w:sz w:val="18"/>
                <w:szCs w:val="18"/>
              </w:rPr>
            </w:pPr>
          </w:p>
        </w:tc>
        <w:tc>
          <w:tcPr>
            <w:tcW w:w="992" w:type="dxa"/>
          </w:tcPr>
          <w:p w14:paraId="4F4DB3E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Other</w:t>
            </w:r>
          </w:p>
        </w:tc>
        <w:tc>
          <w:tcPr>
            <w:tcW w:w="1129" w:type="dxa"/>
          </w:tcPr>
          <w:p w14:paraId="72FCA692"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Pr>
          <w:p w14:paraId="618F2B91" w14:textId="77777777" w:rsidR="009B2872" w:rsidRPr="00037D90" w:rsidRDefault="009B2872" w:rsidP="004C6219">
            <w:pPr>
              <w:spacing w:before="40" w:after="40" w:line="240" w:lineRule="auto"/>
              <w:jc w:val="left"/>
              <w:rPr>
                <w:rFonts w:cs="Calibri"/>
                <w:color w:val="000000" w:themeColor="text1"/>
                <w:sz w:val="18"/>
                <w:szCs w:val="18"/>
              </w:rPr>
            </w:pPr>
            <w:r w:rsidRPr="00037D90">
              <w:rPr>
                <w:rFonts w:cs="Calibri"/>
                <w:color w:val="000000" w:themeColor="text1"/>
                <w:sz w:val="18"/>
                <w:szCs w:val="18"/>
              </w:rPr>
              <w:t>Energy, Transport, IPPU, Agriculture, LULUCF, Waste management</w:t>
            </w:r>
          </w:p>
        </w:tc>
        <w:tc>
          <w:tcPr>
            <w:tcW w:w="1276" w:type="dxa"/>
          </w:tcPr>
          <w:p w14:paraId="4C8755A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r w:rsidRPr="00037D90">
              <w:rPr>
                <w:rFonts w:cs="Calibri"/>
                <w:sz w:val="18"/>
                <w:szCs w:val="18"/>
              </w:rPr>
              <w:t>, CH</w:t>
            </w:r>
            <w:r w:rsidRPr="00037D90">
              <w:rPr>
                <w:rFonts w:cs="Calibri"/>
                <w:sz w:val="18"/>
                <w:szCs w:val="18"/>
                <w:vertAlign w:val="subscript"/>
              </w:rPr>
              <w:t>4</w:t>
            </w:r>
            <w:r w:rsidRPr="00037D90">
              <w:rPr>
                <w:rFonts w:cs="Calibri"/>
                <w:sz w:val="18"/>
                <w:szCs w:val="18"/>
              </w:rPr>
              <w:t>, N</w:t>
            </w:r>
            <w:r w:rsidRPr="00037D90">
              <w:rPr>
                <w:rFonts w:cs="Calibri"/>
                <w:sz w:val="18"/>
                <w:szCs w:val="18"/>
                <w:vertAlign w:val="subscript"/>
              </w:rPr>
              <w:t>2</w:t>
            </w:r>
            <w:r w:rsidRPr="00037D90">
              <w:rPr>
                <w:rFonts w:cs="Calibri"/>
                <w:sz w:val="18"/>
                <w:szCs w:val="18"/>
              </w:rPr>
              <w:t>O, HFCs, PFCs, SF</w:t>
            </w:r>
            <w:r w:rsidRPr="00037D90">
              <w:rPr>
                <w:rFonts w:cs="Calibri"/>
                <w:sz w:val="18"/>
                <w:szCs w:val="18"/>
                <w:vertAlign w:val="subscript"/>
              </w:rPr>
              <w:t>6</w:t>
            </w:r>
          </w:p>
          <w:p w14:paraId="7EEEE5A6" w14:textId="77777777" w:rsidR="009B2872" w:rsidRPr="00037D90" w:rsidRDefault="009B2872" w:rsidP="004C6219">
            <w:pPr>
              <w:spacing w:before="40" w:after="40" w:line="240" w:lineRule="auto"/>
              <w:jc w:val="left"/>
              <w:rPr>
                <w:rFonts w:cs="Calibri"/>
                <w:sz w:val="18"/>
                <w:szCs w:val="18"/>
              </w:rPr>
            </w:pPr>
          </w:p>
        </w:tc>
        <w:tc>
          <w:tcPr>
            <w:tcW w:w="1275" w:type="dxa"/>
          </w:tcPr>
          <w:p w14:paraId="2DED11A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2022</w:t>
            </w:r>
          </w:p>
        </w:tc>
        <w:tc>
          <w:tcPr>
            <w:tcW w:w="1418" w:type="dxa"/>
          </w:tcPr>
          <w:p w14:paraId="7ACB39B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for the Environment, Ministry of Business, Innovation and Employment, Energy Efficiency and Conservation Authority</w:t>
            </w:r>
          </w:p>
        </w:tc>
        <w:tc>
          <w:tcPr>
            <w:tcW w:w="992" w:type="dxa"/>
          </w:tcPr>
          <w:p w14:paraId="6171F998"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6C812D6F"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32B8E6C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7285E9C8" w14:textId="77777777" w:rsidTr="00271C02">
        <w:trPr>
          <w:gridAfter w:val="1"/>
          <w:wAfter w:w="24" w:type="dxa"/>
        </w:trPr>
        <w:tc>
          <w:tcPr>
            <w:tcW w:w="1276" w:type="dxa"/>
          </w:tcPr>
          <w:p w14:paraId="3552E0E6"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Sustainable Government Procurement</w:t>
            </w:r>
          </w:p>
        </w:tc>
        <w:tc>
          <w:tcPr>
            <w:tcW w:w="1559" w:type="dxa"/>
          </w:tcPr>
          <w:p w14:paraId="478AA900" w14:textId="77777777" w:rsidR="009B2872" w:rsidRPr="00037D90" w:rsidRDefault="009B2872" w:rsidP="004C6219">
            <w:pPr>
              <w:spacing w:before="20" w:after="20" w:line="240" w:lineRule="auto"/>
              <w:jc w:val="left"/>
              <w:rPr>
                <w:rFonts w:cs="Calibri"/>
                <w:sz w:val="18"/>
                <w:szCs w:val="18"/>
              </w:rPr>
            </w:pPr>
            <w:r w:rsidRPr="00037D90">
              <w:rPr>
                <w:rFonts w:cs="Calibri"/>
                <w:sz w:val="18"/>
                <w:szCs w:val="18"/>
              </w:rPr>
              <w:t>The Government Procurement Rules were updated in 2019 to include a focus on the achievement of wider social, economic, cultural and environmental outcomes that go beyond the immediate purchase of goods and services. A new Government Procurement Rule was introduced. Rule 20: Transitioning to a net zero emissions economy and designing waste out of the system.</w:t>
            </w:r>
          </w:p>
        </w:tc>
        <w:tc>
          <w:tcPr>
            <w:tcW w:w="1418" w:type="dxa"/>
          </w:tcPr>
          <w:p w14:paraId="2D824FD9"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Make sustainable procurement part of government procurement practice.</w:t>
            </w:r>
          </w:p>
        </w:tc>
        <w:tc>
          <w:tcPr>
            <w:tcW w:w="992" w:type="dxa"/>
          </w:tcPr>
          <w:p w14:paraId="7B3E126B"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Other</w:t>
            </w:r>
          </w:p>
        </w:tc>
        <w:tc>
          <w:tcPr>
            <w:tcW w:w="1129" w:type="dxa"/>
          </w:tcPr>
          <w:p w14:paraId="175583DE" w14:textId="77777777" w:rsidR="009B2872" w:rsidRPr="003D5E37" w:rsidRDefault="009B2872" w:rsidP="004C6219">
            <w:pPr>
              <w:spacing w:before="40" w:after="40" w:line="240" w:lineRule="auto"/>
              <w:jc w:val="left"/>
              <w:rPr>
                <w:rFonts w:cs="Calibri"/>
                <w:sz w:val="18"/>
                <w:szCs w:val="18"/>
              </w:rPr>
            </w:pPr>
            <w:r w:rsidRPr="003D5E37">
              <w:rPr>
                <w:rFonts w:cs="Calibri"/>
                <w:sz w:val="18"/>
                <w:szCs w:val="18"/>
              </w:rPr>
              <w:t>Implemented</w:t>
            </w:r>
          </w:p>
        </w:tc>
        <w:tc>
          <w:tcPr>
            <w:tcW w:w="1281" w:type="dxa"/>
          </w:tcPr>
          <w:p w14:paraId="46B08BD4"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Energy</w:t>
            </w:r>
          </w:p>
        </w:tc>
        <w:tc>
          <w:tcPr>
            <w:tcW w:w="1276" w:type="dxa"/>
          </w:tcPr>
          <w:p w14:paraId="7DF115F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CO</w:t>
            </w:r>
            <w:r w:rsidRPr="00037D90">
              <w:rPr>
                <w:rFonts w:cs="Calibri"/>
                <w:sz w:val="18"/>
                <w:szCs w:val="18"/>
                <w:vertAlign w:val="subscript"/>
              </w:rPr>
              <w:t>2</w:t>
            </w:r>
          </w:p>
        </w:tc>
        <w:tc>
          <w:tcPr>
            <w:tcW w:w="1275" w:type="dxa"/>
          </w:tcPr>
          <w:p w14:paraId="24E559D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2019</w:t>
            </w:r>
          </w:p>
        </w:tc>
        <w:tc>
          <w:tcPr>
            <w:tcW w:w="1418" w:type="dxa"/>
          </w:tcPr>
          <w:p w14:paraId="0DB33E62"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Ministry of Business, Innovation and Employment</w:t>
            </w:r>
          </w:p>
        </w:tc>
        <w:tc>
          <w:tcPr>
            <w:tcW w:w="992" w:type="dxa"/>
          </w:tcPr>
          <w:p w14:paraId="306CE375"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5C5EDFA3"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3EB64BC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r w:rsidR="008C018E" w:rsidRPr="00037D90" w14:paraId="7CE12F68" w14:textId="77777777" w:rsidTr="00271C02">
        <w:trPr>
          <w:gridAfter w:val="1"/>
          <w:wAfter w:w="24" w:type="dxa"/>
        </w:trPr>
        <w:tc>
          <w:tcPr>
            <w:tcW w:w="1276" w:type="dxa"/>
          </w:tcPr>
          <w:p w14:paraId="16668B5B" w14:textId="77777777" w:rsidR="009B2872" w:rsidRPr="00037D90" w:rsidRDefault="009B2872" w:rsidP="004C6219">
            <w:pPr>
              <w:spacing w:before="40" w:after="40" w:line="240" w:lineRule="auto"/>
              <w:jc w:val="left"/>
              <w:rPr>
                <w:rFonts w:cs="Calibri"/>
                <w:sz w:val="18"/>
                <w:szCs w:val="18"/>
              </w:rPr>
            </w:pPr>
            <w:r w:rsidRPr="00037D90">
              <w:rPr>
                <w:rFonts w:cs="Calibri"/>
                <w:color w:val="000000"/>
                <w:sz w:val="18"/>
                <w:szCs w:val="18"/>
              </w:rPr>
              <w:t>Climate implications of policy assessment</w:t>
            </w:r>
          </w:p>
        </w:tc>
        <w:tc>
          <w:tcPr>
            <w:tcW w:w="1559" w:type="dxa"/>
          </w:tcPr>
          <w:p w14:paraId="76FCD289"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themeColor="text1"/>
                <w:sz w:val="18"/>
                <w:szCs w:val="18"/>
              </w:rPr>
              <w:t xml:space="preserve">Government agencies must do a greenhouse gas emissions analysis on certain policy proposals that go to Cabinet, so that Cabinet can make decisions informed of the impact on greenhouse gas emissions. </w:t>
            </w:r>
          </w:p>
        </w:tc>
        <w:tc>
          <w:tcPr>
            <w:tcW w:w="1418" w:type="dxa"/>
          </w:tcPr>
          <w:p w14:paraId="5C25BF9D"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Measure, monitor and report on policy decisions that will impact New Zealand’s greenhouse gas emissions.</w:t>
            </w:r>
          </w:p>
        </w:tc>
        <w:tc>
          <w:tcPr>
            <w:tcW w:w="992" w:type="dxa"/>
          </w:tcPr>
          <w:p w14:paraId="2F34CEF7" w14:textId="77777777" w:rsidR="009B2872" w:rsidRPr="00037D90" w:rsidRDefault="009B2872" w:rsidP="004C6219">
            <w:pPr>
              <w:spacing w:before="40" w:after="40" w:line="240" w:lineRule="auto"/>
              <w:jc w:val="left"/>
              <w:rPr>
                <w:rFonts w:cs="Calibri"/>
                <w:color w:val="000000"/>
                <w:sz w:val="18"/>
                <w:szCs w:val="18"/>
              </w:rPr>
            </w:pPr>
            <w:r w:rsidRPr="00037D90">
              <w:rPr>
                <w:rFonts w:cs="Calibri"/>
                <w:color w:val="000000"/>
                <w:sz w:val="18"/>
                <w:szCs w:val="18"/>
              </w:rPr>
              <w:t>Regulatory</w:t>
            </w:r>
          </w:p>
        </w:tc>
        <w:tc>
          <w:tcPr>
            <w:tcW w:w="1129" w:type="dxa"/>
          </w:tcPr>
          <w:p w14:paraId="17F4A6E9" w14:textId="77777777" w:rsidR="009B2872" w:rsidRPr="003D5E37" w:rsidRDefault="009B2872" w:rsidP="004C6219">
            <w:pPr>
              <w:spacing w:before="40" w:after="40" w:line="240" w:lineRule="auto"/>
              <w:jc w:val="left"/>
              <w:rPr>
                <w:rFonts w:cs="Calibri"/>
                <w:color w:val="000000"/>
                <w:sz w:val="18"/>
                <w:szCs w:val="18"/>
              </w:rPr>
            </w:pPr>
            <w:r w:rsidRPr="003D5E37">
              <w:rPr>
                <w:rFonts w:cs="Calibri"/>
                <w:color w:val="000000"/>
                <w:sz w:val="18"/>
                <w:szCs w:val="18"/>
              </w:rPr>
              <w:t>Implemented</w:t>
            </w:r>
          </w:p>
        </w:tc>
        <w:tc>
          <w:tcPr>
            <w:tcW w:w="1281" w:type="dxa"/>
          </w:tcPr>
          <w:p w14:paraId="1FB3EF92" w14:textId="77777777" w:rsidR="009B2872" w:rsidRPr="00037D90" w:rsidRDefault="009B2872" w:rsidP="004C6219">
            <w:pPr>
              <w:spacing w:before="40" w:after="40" w:line="240" w:lineRule="auto"/>
              <w:jc w:val="left"/>
              <w:rPr>
                <w:rFonts w:cs="Calibri"/>
                <w:sz w:val="18"/>
                <w:szCs w:val="18"/>
              </w:rPr>
            </w:pPr>
            <w:r w:rsidRPr="00037D90">
              <w:rPr>
                <w:rFonts w:cs="Calibri"/>
                <w:color w:val="000000"/>
                <w:sz w:val="18"/>
                <w:szCs w:val="18"/>
              </w:rPr>
              <w:t>Energy, Transport, IPPU, Agriculture, LULUCF, Waste management</w:t>
            </w:r>
          </w:p>
        </w:tc>
        <w:tc>
          <w:tcPr>
            <w:tcW w:w="1276" w:type="dxa"/>
          </w:tcPr>
          <w:p w14:paraId="54FA6CFC" w14:textId="77777777" w:rsidR="009B2872" w:rsidRPr="00037D90" w:rsidRDefault="009B2872" w:rsidP="004C6219">
            <w:pPr>
              <w:spacing w:before="40" w:after="40" w:line="240" w:lineRule="auto"/>
              <w:jc w:val="left"/>
              <w:rPr>
                <w:rFonts w:cs="Calibri"/>
                <w:sz w:val="18"/>
                <w:szCs w:val="18"/>
              </w:rPr>
            </w:pPr>
            <w:r w:rsidRPr="00037D90">
              <w:rPr>
                <w:rFonts w:cs="Calibri"/>
                <w:color w:val="000000"/>
                <w:sz w:val="18"/>
                <w:szCs w:val="18"/>
              </w:rPr>
              <w:t>CO</w:t>
            </w:r>
            <w:r w:rsidRPr="00037D90">
              <w:rPr>
                <w:rFonts w:cs="Calibri"/>
                <w:color w:val="000000"/>
                <w:sz w:val="18"/>
                <w:szCs w:val="18"/>
                <w:vertAlign w:val="subscript"/>
              </w:rPr>
              <w:t>2</w:t>
            </w:r>
            <w:r w:rsidRPr="00037D90">
              <w:rPr>
                <w:rFonts w:cs="Calibri"/>
                <w:color w:val="000000"/>
                <w:sz w:val="18"/>
                <w:szCs w:val="18"/>
              </w:rPr>
              <w:t>, CH</w:t>
            </w:r>
            <w:r w:rsidRPr="00037D90">
              <w:rPr>
                <w:rFonts w:cs="Calibri"/>
                <w:color w:val="000000"/>
                <w:sz w:val="18"/>
                <w:szCs w:val="18"/>
                <w:vertAlign w:val="subscript"/>
              </w:rPr>
              <w:t>4</w:t>
            </w:r>
            <w:r w:rsidRPr="00037D90">
              <w:rPr>
                <w:rFonts w:cs="Calibri"/>
                <w:color w:val="000000"/>
                <w:sz w:val="18"/>
                <w:szCs w:val="18"/>
              </w:rPr>
              <w:t>, N</w:t>
            </w:r>
            <w:r w:rsidRPr="00037D90">
              <w:rPr>
                <w:rFonts w:cs="Calibri"/>
                <w:color w:val="000000"/>
                <w:sz w:val="18"/>
                <w:szCs w:val="18"/>
                <w:vertAlign w:val="subscript"/>
              </w:rPr>
              <w:t>2</w:t>
            </w:r>
            <w:r w:rsidRPr="00037D90">
              <w:rPr>
                <w:rFonts w:cs="Calibri"/>
                <w:color w:val="000000"/>
                <w:sz w:val="18"/>
                <w:szCs w:val="18"/>
              </w:rPr>
              <w:t>O, PFCs, HFCs, SF</w:t>
            </w:r>
            <w:r w:rsidRPr="00037D90">
              <w:rPr>
                <w:rFonts w:cs="Calibri"/>
                <w:color w:val="000000"/>
                <w:sz w:val="18"/>
                <w:szCs w:val="18"/>
                <w:vertAlign w:val="subscript"/>
              </w:rPr>
              <w:t>6</w:t>
            </w:r>
          </w:p>
        </w:tc>
        <w:tc>
          <w:tcPr>
            <w:tcW w:w="1275" w:type="dxa"/>
          </w:tcPr>
          <w:p w14:paraId="2633DB30" w14:textId="77777777" w:rsidR="009B2872" w:rsidRPr="00037D90" w:rsidRDefault="009B2872" w:rsidP="004C6219">
            <w:pPr>
              <w:spacing w:before="40" w:after="40" w:line="240" w:lineRule="auto"/>
              <w:jc w:val="left"/>
              <w:rPr>
                <w:rFonts w:cs="Calibri"/>
                <w:sz w:val="18"/>
                <w:szCs w:val="18"/>
              </w:rPr>
            </w:pPr>
            <w:r w:rsidRPr="00037D90">
              <w:rPr>
                <w:rFonts w:cs="Calibri"/>
                <w:color w:val="000000"/>
                <w:sz w:val="18"/>
                <w:szCs w:val="18"/>
              </w:rPr>
              <w:t>2019</w:t>
            </w:r>
          </w:p>
        </w:tc>
        <w:tc>
          <w:tcPr>
            <w:tcW w:w="1418" w:type="dxa"/>
          </w:tcPr>
          <w:p w14:paraId="2E6C7989" w14:textId="77777777" w:rsidR="009B2872" w:rsidRPr="00037D90" w:rsidRDefault="009B2872" w:rsidP="004C6219">
            <w:pPr>
              <w:spacing w:before="40" w:after="40" w:line="240" w:lineRule="auto"/>
              <w:jc w:val="left"/>
              <w:rPr>
                <w:rFonts w:cs="Calibri"/>
                <w:sz w:val="18"/>
                <w:szCs w:val="18"/>
              </w:rPr>
            </w:pPr>
            <w:r w:rsidRPr="00037D90">
              <w:rPr>
                <w:rFonts w:cs="Calibri"/>
                <w:color w:val="000000"/>
                <w:sz w:val="18"/>
                <w:szCs w:val="18"/>
              </w:rPr>
              <w:t>Ministry for the Environment</w:t>
            </w:r>
          </w:p>
        </w:tc>
        <w:tc>
          <w:tcPr>
            <w:tcW w:w="992" w:type="dxa"/>
          </w:tcPr>
          <w:p w14:paraId="127F3FFC"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92" w:type="dxa"/>
          </w:tcPr>
          <w:p w14:paraId="36C65767"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c>
          <w:tcPr>
            <w:tcW w:w="964" w:type="dxa"/>
          </w:tcPr>
          <w:p w14:paraId="7213CE60" w14:textId="77777777" w:rsidR="009B2872" w:rsidRPr="00037D90" w:rsidRDefault="009B2872" w:rsidP="004C6219">
            <w:pPr>
              <w:spacing w:before="40" w:after="40" w:line="240" w:lineRule="auto"/>
              <w:jc w:val="left"/>
              <w:rPr>
                <w:rFonts w:cs="Calibri"/>
                <w:sz w:val="18"/>
                <w:szCs w:val="18"/>
              </w:rPr>
            </w:pPr>
            <w:r w:rsidRPr="00037D90">
              <w:rPr>
                <w:rFonts w:cs="Calibri"/>
                <w:sz w:val="18"/>
                <w:szCs w:val="18"/>
              </w:rPr>
              <w:t>NE</w:t>
            </w:r>
          </w:p>
        </w:tc>
      </w:tr>
    </w:tbl>
    <w:p w14:paraId="65E4B6C5" w14:textId="57F0BEED" w:rsidR="009B2872" w:rsidRPr="009B2872" w:rsidRDefault="009B2872" w:rsidP="00642E32">
      <w:pPr>
        <w:widowControl w:val="0"/>
        <w:tabs>
          <w:tab w:val="left" w:pos="284"/>
        </w:tabs>
        <w:adjustRightInd w:val="0"/>
        <w:spacing w:after="40" w:line="240" w:lineRule="auto"/>
        <w:ind w:left="284" w:hanging="284"/>
        <w:jc w:val="left"/>
        <w:textAlignment w:val="baseline"/>
        <w:rPr>
          <w:rFonts w:eastAsia="Times New Roman" w:cs="Times New Roman"/>
          <w:sz w:val="16"/>
          <w:szCs w:val="20"/>
        </w:rPr>
      </w:pPr>
      <w:r w:rsidRPr="008517DB">
        <w:rPr>
          <w:rFonts w:eastAsia="Times New Roman" w:cs="Times New Roman"/>
          <w:sz w:val="16"/>
          <w:szCs w:val="20"/>
          <w:vertAlign w:val="superscript"/>
        </w:rPr>
        <w:t>a</w:t>
      </w:r>
      <w:r w:rsidRPr="009B2872">
        <w:rPr>
          <w:rFonts w:eastAsia="Times New Roman" w:cs="Times New Roman"/>
          <w:sz w:val="16"/>
          <w:szCs w:val="20"/>
        </w:rPr>
        <w:t xml:space="preserve"> </w:t>
      </w:r>
      <w:r w:rsidRPr="009B2872">
        <w:rPr>
          <w:rFonts w:eastAsia="Times New Roman" w:cs="Times New Roman"/>
          <w:sz w:val="16"/>
          <w:szCs w:val="20"/>
        </w:rPr>
        <w:tab/>
        <w:t>Each Party shall provide information on actions, policies and measures that support the implementation and achievement of its NDC under Article 4 of the Paris Agreement, focusing on those that have the most significant impact on GHG emissions or removals and those impacting key categories in the national GHG inventory. This information shall be presented in narrative and tabular format (para. 80 of the MPGs).</w:t>
      </w:r>
    </w:p>
    <w:p w14:paraId="12448580" w14:textId="77777777" w:rsidR="009B2872" w:rsidRPr="009B2872" w:rsidRDefault="009B2872" w:rsidP="00E90366">
      <w:pPr>
        <w:widowControl w:val="0"/>
        <w:adjustRightInd w:val="0"/>
        <w:spacing w:after="40" w:line="240" w:lineRule="auto"/>
        <w:ind w:left="284" w:hanging="284"/>
        <w:jc w:val="left"/>
        <w:textAlignment w:val="baseline"/>
        <w:rPr>
          <w:rFonts w:eastAsia="Times New Roman" w:cs="Times New Roman"/>
          <w:sz w:val="16"/>
          <w:szCs w:val="20"/>
        </w:rPr>
      </w:pPr>
      <w:r w:rsidRPr="009B2872">
        <w:rPr>
          <w:rFonts w:eastAsia="Times New Roman" w:cs="Times New Roman"/>
          <w:sz w:val="16"/>
          <w:szCs w:val="20"/>
          <w:vertAlign w:val="superscript"/>
        </w:rPr>
        <w:t>b</w:t>
      </w:r>
      <w:r w:rsidRPr="009B2872">
        <w:rPr>
          <w:rFonts w:eastAsia="Times New Roman" w:cs="Times New Roman"/>
          <w:sz w:val="16"/>
          <w:szCs w:val="20"/>
        </w:rPr>
        <w:t xml:space="preserve"> </w:t>
      </w:r>
      <w:r w:rsidRPr="009B2872">
        <w:rPr>
          <w:rFonts w:eastAsia="Times New Roman" w:cs="Times New Roman"/>
          <w:sz w:val="16"/>
          <w:szCs w:val="20"/>
        </w:rPr>
        <w:tab/>
        <w:t>For each Party with an NDC under Article 4 of the Paris Agreement that consists of mitigation co-benefits resulting from Parties’ adaptation actions and/or economic diversification plans consistent with Article 4, para. 7, information to be reported under paras. 80, 82 and 83 of the MPGs includes relevant information on policies and measures contributing to mitigation co-benefits resulting from adaptation actions or economic diversification plans (para. 84 of the MPGs).</w:t>
      </w:r>
    </w:p>
    <w:p w14:paraId="69C2427C" w14:textId="3218B012" w:rsidR="009B2872" w:rsidRPr="009B2872" w:rsidRDefault="009B2872" w:rsidP="00E90366">
      <w:pPr>
        <w:widowControl w:val="0"/>
        <w:adjustRightInd w:val="0"/>
        <w:spacing w:after="40" w:line="240" w:lineRule="auto"/>
        <w:ind w:left="284" w:hanging="284"/>
        <w:jc w:val="left"/>
        <w:textAlignment w:val="baseline"/>
        <w:rPr>
          <w:rFonts w:eastAsia="Times New Roman" w:cs="Times New Roman"/>
          <w:sz w:val="16"/>
          <w:szCs w:val="20"/>
        </w:rPr>
      </w:pPr>
      <w:r w:rsidRPr="009B2872">
        <w:rPr>
          <w:rFonts w:eastAsia="Times New Roman" w:cs="Times New Roman"/>
          <w:sz w:val="16"/>
          <w:szCs w:val="20"/>
          <w:vertAlign w:val="superscript"/>
        </w:rPr>
        <w:t>c</w:t>
      </w:r>
      <w:r w:rsidRPr="009B2872">
        <w:rPr>
          <w:rFonts w:eastAsia="Times New Roman" w:cs="Times New Roman"/>
          <w:sz w:val="16"/>
          <w:szCs w:val="20"/>
        </w:rPr>
        <w:t xml:space="preserve">  </w:t>
      </w:r>
      <w:r w:rsidRPr="009B2872">
        <w:rPr>
          <w:rFonts w:eastAsia="Times New Roman" w:cs="Times New Roman"/>
          <w:sz w:val="16"/>
          <w:szCs w:val="20"/>
        </w:rPr>
        <w:tab/>
        <w:t xml:space="preserve">Parties may indicate whether a measure is included in the ‘with measures’ projections. </w:t>
      </w:r>
    </w:p>
    <w:p w14:paraId="5C7D77B8" w14:textId="1D710BB3" w:rsidR="009B2872" w:rsidRPr="009B2872" w:rsidRDefault="009B2872" w:rsidP="00E90366">
      <w:pPr>
        <w:widowControl w:val="0"/>
        <w:adjustRightInd w:val="0"/>
        <w:spacing w:after="40" w:line="240" w:lineRule="auto"/>
        <w:ind w:left="284" w:hanging="284"/>
        <w:jc w:val="left"/>
        <w:textAlignment w:val="baseline"/>
        <w:rPr>
          <w:rFonts w:eastAsia="Times New Roman" w:cs="Times New Roman"/>
          <w:sz w:val="16"/>
          <w:szCs w:val="20"/>
        </w:rPr>
      </w:pPr>
      <w:r w:rsidRPr="009B2872">
        <w:rPr>
          <w:rFonts w:eastAsia="Times New Roman" w:cs="Times New Roman"/>
          <w:sz w:val="16"/>
          <w:szCs w:val="20"/>
          <w:vertAlign w:val="superscript"/>
        </w:rPr>
        <w:t>d</w:t>
      </w:r>
      <w:r w:rsidRPr="009B2872">
        <w:rPr>
          <w:rFonts w:eastAsia="Times New Roman" w:cs="Times New Roman"/>
          <w:sz w:val="16"/>
          <w:szCs w:val="20"/>
        </w:rPr>
        <w:t xml:space="preserve">  </w:t>
      </w:r>
      <w:r w:rsidRPr="009B2872">
        <w:rPr>
          <w:rFonts w:eastAsia="Times New Roman" w:cs="Times New Roman"/>
          <w:sz w:val="16"/>
          <w:szCs w:val="20"/>
        </w:rPr>
        <w:tab/>
        <w:t>Additional information may also be provided on the cost of the mitigation actions, non-GHG mitigation benefits, and how the mitigation action interacts with other mitigation actions, as appropriate (para. 83(a–c) of the MPGs).</w:t>
      </w:r>
    </w:p>
    <w:p w14:paraId="5466C487" w14:textId="1E0CB9DE" w:rsidR="009B2872" w:rsidRPr="009B2872" w:rsidRDefault="009B2872" w:rsidP="00E90366">
      <w:pPr>
        <w:widowControl w:val="0"/>
        <w:adjustRightInd w:val="0"/>
        <w:spacing w:after="40" w:line="240" w:lineRule="auto"/>
        <w:ind w:left="284" w:hanging="284"/>
        <w:jc w:val="left"/>
        <w:textAlignment w:val="baseline"/>
        <w:rPr>
          <w:rFonts w:eastAsia="Times New Roman" w:cs="Times New Roman"/>
          <w:sz w:val="16"/>
          <w:szCs w:val="20"/>
        </w:rPr>
      </w:pPr>
      <w:r w:rsidRPr="009B2872">
        <w:rPr>
          <w:rFonts w:eastAsia="Times New Roman" w:cs="Times New Roman"/>
          <w:sz w:val="16"/>
          <w:szCs w:val="20"/>
          <w:vertAlign w:val="superscript"/>
        </w:rPr>
        <w:t>e</w:t>
      </w:r>
      <w:r w:rsidRPr="009B2872">
        <w:rPr>
          <w:rFonts w:eastAsia="Times New Roman" w:cs="Times New Roman"/>
          <w:sz w:val="16"/>
          <w:szCs w:val="20"/>
        </w:rPr>
        <w:t xml:space="preserve">  </w:t>
      </w:r>
      <w:r w:rsidRPr="009B2872">
        <w:rPr>
          <w:rFonts w:eastAsia="Times New Roman" w:cs="Times New Roman"/>
          <w:sz w:val="16"/>
          <w:szCs w:val="20"/>
        </w:rPr>
        <w:tab/>
        <w:t>Parties should identify actions, policies and measures that influence GHG emissions from international transport (para. 88 of the MPGs).</w:t>
      </w:r>
    </w:p>
    <w:p w14:paraId="058E6476" w14:textId="50B3FB78" w:rsidR="009B2872" w:rsidRPr="009B2872" w:rsidRDefault="009B2872" w:rsidP="00E90366">
      <w:pPr>
        <w:widowControl w:val="0"/>
        <w:adjustRightInd w:val="0"/>
        <w:spacing w:after="40" w:line="240" w:lineRule="auto"/>
        <w:ind w:left="284" w:hanging="284"/>
        <w:jc w:val="left"/>
        <w:textAlignment w:val="baseline"/>
        <w:rPr>
          <w:rFonts w:eastAsia="Times New Roman" w:cs="Times New Roman"/>
          <w:sz w:val="16"/>
          <w:szCs w:val="20"/>
        </w:rPr>
      </w:pPr>
      <w:r w:rsidRPr="009B2872">
        <w:rPr>
          <w:rFonts w:eastAsia="Times New Roman" w:cs="Times New Roman"/>
          <w:sz w:val="16"/>
          <w:szCs w:val="20"/>
          <w:vertAlign w:val="superscript"/>
        </w:rPr>
        <w:t>f</w:t>
      </w:r>
      <w:r w:rsidRPr="009B2872">
        <w:rPr>
          <w:rFonts w:eastAsia="Times New Roman" w:cs="Times New Roman"/>
          <w:sz w:val="16"/>
          <w:szCs w:val="20"/>
        </w:rPr>
        <w:t xml:space="preserve">  </w:t>
      </w:r>
      <w:r w:rsidRPr="009B2872">
        <w:rPr>
          <w:rFonts w:eastAsia="Times New Roman" w:cs="Times New Roman"/>
          <w:sz w:val="16"/>
          <w:szCs w:val="20"/>
        </w:rPr>
        <w:tab/>
        <w:t>Parties should, to the extent possible, provide information about how actions, policies and measures are modifying longer-term trends in GHG emissions and removals (para. 89 of the MPGs).</w:t>
      </w:r>
    </w:p>
    <w:p w14:paraId="42B0A82F" w14:textId="0D31951E" w:rsidR="009B2872" w:rsidRPr="009B2872" w:rsidRDefault="009B2872" w:rsidP="00E90366">
      <w:pPr>
        <w:widowControl w:val="0"/>
        <w:adjustRightInd w:val="0"/>
        <w:spacing w:after="40" w:line="240" w:lineRule="auto"/>
        <w:ind w:left="284" w:hanging="284"/>
        <w:jc w:val="left"/>
        <w:textAlignment w:val="baseline"/>
        <w:rPr>
          <w:rFonts w:eastAsia="Times New Roman" w:cs="Times New Roman"/>
          <w:sz w:val="16"/>
          <w:szCs w:val="20"/>
        </w:rPr>
      </w:pPr>
      <w:r w:rsidRPr="009B2872">
        <w:rPr>
          <w:rFonts w:eastAsia="Times New Roman" w:cs="Times New Roman"/>
          <w:sz w:val="16"/>
          <w:szCs w:val="20"/>
          <w:vertAlign w:val="superscript"/>
        </w:rPr>
        <w:t>g</w:t>
      </w:r>
      <w:r w:rsidRPr="009B2872">
        <w:rPr>
          <w:rFonts w:eastAsia="Times New Roman" w:cs="Times New Roman"/>
          <w:sz w:val="16"/>
          <w:szCs w:val="20"/>
        </w:rPr>
        <w:t xml:space="preserve">  </w:t>
      </w:r>
      <w:r w:rsidRPr="009B2872">
        <w:rPr>
          <w:rFonts w:eastAsia="Times New Roman" w:cs="Times New Roman"/>
          <w:sz w:val="16"/>
          <w:szCs w:val="20"/>
        </w:rPr>
        <w:tab/>
        <w:t>Parties shall, to the extent possible, provide information on the types of instrument: regulatory, economic instrument or other (para. 82(d) of the MPGs).</w:t>
      </w:r>
    </w:p>
    <w:p w14:paraId="0E30D816" w14:textId="2175C760" w:rsidR="009B2872" w:rsidRPr="009B2872" w:rsidRDefault="009B2872" w:rsidP="00E90366">
      <w:pPr>
        <w:widowControl w:val="0"/>
        <w:adjustRightInd w:val="0"/>
        <w:spacing w:after="40" w:line="240" w:lineRule="auto"/>
        <w:ind w:left="284" w:hanging="284"/>
        <w:jc w:val="left"/>
        <w:textAlignment w:val="baseline"/>
        <w:rPr>
          <w:rFonts w:eastAsia="Times New Roman" w:cs="Times New Roman"/>
          <w:sz w:val="16"/>
          <w:szCs w:val="20"/>
        </w:rPr>
      </w:pPr>
      <w:r w:rsidRPr="009B2872">
        <w:rPr>
          <w:rFonts w:eastAsia="Times New Roman" w:cs="Times New Roman"/>
          <w:sz w:val="16"/>
          <w:szCs w:val="20"/>
          <w:vertAlign w:val="superscript"/>
        </w:rPr>
        <w:t>h</w:t>
      </w:r>
      <w:r w:rsidRPr="009B2872">
        <w:rPr>
          <w:rFonts w:eastAsia="Times New Roman" w:cs="Times New Roman"/>
          <w:sz w:val="16"/>
          <w:szCs w:val="20"/>
        </w:rPr>
        <w:t xml:space="preserve">  </w:t>
      </w:r>
      <w:r w:rsidRPr="009B2872">
        <w:rPr>
          <w:rFonts w:eastAsia="Times New Roman" w:cs="Times New Roman"/>
          <w:sz w:val="16"/>
          <w:szCs w:val="20"/>
        </w:rPr>
        <w:tab/>
        <w:t>Parties shall, to the extent possible, use the following descriptive terms to report on status of implementation: planned, adopted or implemented (para. 82(e) of the MPGs).</w:t>
      </w:r>
    </w:p>
    <w:p w14:paraId="02DE82A3" w14:textId="2CECBC1C" w:rsidR="009B2872" w:rsidRPr="009B2872" w:rsidRDefault="009B2872" w:rsidP="00E90366">
      <w:pPr>
        <w:widowControl w:val="0"/>
        <w:adjustRightInd w:val="0"/>
        <w:spacing w:after="40" w:line="240" w:lineRule="auto"/>
        <w:ind w:left="284" w:hanging="284"/>
        <w:jc w:val="left"/>
        <w:textAlignment w:val="baseline"/>
        <w:rPr>
          <w:rFonts w:eastAsia="Times New Roman" w:cs="Times New Roman"/>
          <w:sz w:val="16"/>
          <w:szCs w:val="20"/>
        </w:rPr>
      </w:pPr>
      <w:r w:rsidRPr="009B2872">
        <w:rPr>
          <w:rFonts w:eastAsia="Times New Roman" w:cs="Times New Roman"/>
          <w:sz w:val="16"/>
          <w:szCs w:val="20"/>
          <w:vertAlign w:val="superscript"/>
        </w:rPr>
        <w:t>i</w:t>
      </w:r>
      <w:r w:rsidRPr="009B2872">
        <w:rPr>
          <w:rFonts w:eastAsia="Times New Roman" w:cs="Times New Roman"/>
          <w:sz w:val="16"/>
          <w:szCs w:val="20"/>
        </w:rPr>
        <w:t xml:space="preserve">  </w:t>
      </w:r>
      <w:r w:rsidRPr="009B2872">
        <w:rPr>
          <w:rFonts w:eastAsia="Times New Roman" w:cs="Times New Roman"/>
          <w:sz w:val="16"/>
          <w:szCs w:val="20"/>
        </w:rPr>
        <w:tab/>
        <w:t>Parties shall, to the extent possible, provide information on sector(s) affected: energy, transport, industrial processes and product use, agriculture, LULUCF, waste management or other (paras. 81 and 82(f) of the MPGs).</w:t>
      </w:r>
    </w:p>
    <w:p w14:paraId="2D4654FF" w14:textId="44BE6A49" w:rsidR="009B2872" w:rsidRPr="009B2872" w:rsidRDefault="009B2872" w:rsidP="00E90366">
      <w:pPr>
        <w:widowControl w:val="0"/>
        <w:adjustRightInd w:val="0"/>
        <w:spacing w:after="40" w:line="240" w:lineRule="auto"/>
        <w:ind w:left="284" w:hanging="284"/>
        <w:jc w:val="left"/>
        <w:textAlignment w:val="baseline"/>
        <w:rPr>
          <w:rFonts w:eastAsia="Times New Roman" w:cs="Times New Roman"/>
          <w:sz w:val="16"/>
          <w:szCs w:val="20"/>
        </w:rPr>
      </w:pPr>
      <w:r w:rsidRPr="009B2872">
        <w:rPr>
          <w:rFonts w:eastAsia="Times New Roman" w:cs="Times New Roman"/>
          <w:sz w:val="16"/>
          <w:szCs w:val="20"/>
          <w:vertAlign w:val="superscript"/>
        </w:rPr>
        <w:t>j</w:t>
      </w:r>
      <w:r w:rsidRPr="009B2872">
        <w:rPr>
          <w:rFonts w:eastAsia="Times New Roman" w:cs="Times New Roman"/>
          <w:sz w:val="16"/>
          <w:szCs w:val="20"/>
        </w:rPr>
        <w:t xml:space="preserve">  </w:t>
      </w:r>
      <w:r w:rsidRPr="009B2872">
        <w:rPr>
          <w:rFonts w:eastAsia="Times New Roman" w:cs="Times New Roman"/>
          <w:sz w:val="16"/>
          <w:szCs w:val="20"/>
        </w:rPr>
        <w:tab/>
        <w:t>Each Party shall provide, to the extent possible, estimates of expected and achieved GHG emission reductions for its actions, policies and measures in the tabular format; those developing country Parties that need flexibility in the light of their capacities with respect to this provision are instead encouraged to report this information (para. 85 of the MPGs).</w:t>
      </w:r>
    </w:p>
    <w:p w14:paraId="7E3793CD" w14:textId="34864E75" w:rsidR="009B2872" w:rsidRPr="009B2872" w:rsidRDefault="009B2872" w:rsidP="00E90366">
      <w:pPr>
        <w:widowControl w:val="0"/>
        <w:adjustRightInd w:val="0"/>
        <w:spacing w:after="40" w:line="240" w:lineRule="auto"/>
        <w:ind w:left="284" w:hanging="284"/>
        <w:jc w:val="left"/>
        <w:textAlignment w:val="baseline"/>
        <w:rPr>
          <w:rFonts w:eastAsia="Times New Roman" w:cs="Times New Roman"/>
          <w:sz w:val="16"/>
          <w:szCs w:val="20"/>
        </w:rPr>
      </w:pPr>
      <w:r w:rsidRPr="009B2872">
        <w:rPr>
          <w:rFonts w:eastAsia="Times New Roman" w:cs="Times New Roman"/>
          <w:sz w:val="16"/>
          <w:szCs w:val="20"/>
          <w:vertAlign w:val="superscript"/>
        </w:rPr>
        <w:t>k</w:t>
      </w:r>
      <w:r w:rsidRPr="009B2872">
        <w:rPr>
          <w:rFonts w:eastAsia="Times New Roman" w:cs="Times New Roman"/>
          <w:sz w:val="16"/>
          <w:szCs w:val="20"/>
        </w:rPr>
        <w:t xml:space="preserve"> </w:t>
      </w:r>
      <w:r w:rsidRPr="009B2872">
        <w:rPr>
          <w:rFonts w:eastAsia="Times New Roman" w:cs="Times New Roman"/>
          <w:sz w:val="16"/>
          <w:szCs w:val="20"/>
        </w:rPr>
        <w:tab/>
        <w:t xml:space="preserve">To the extent available, each Party shall describe the methodologies and assumptions used to estimate the GHG emission reductions or removals due to each action, policy and measure. This information may be presented in an annex to the </w:t>
      </w:r>
      <w:r w:rsidR="00D21994">
        <w:rPr>
          <w:rFonts w:eastAsia="Times New Roman" w:cs="Times New Roman"/>
          <w:sz w:val="16"/>
          <w:szCs w:val="20"/>
        </w:rPr>
        <w:t>Biennial Transparency Report</w:t>
      </w:r>
      <w:r w:rsidRPr="009B2872">
        <w:rPr>
          <w:rFonts w:eastAsia="Times New Roman" w:cs="Times New Roman"/>
          <w:sz w:val="16"/>
          <w:szCs w:val="20"/>
        </w:rPr>
        <w:t xml:space="preserve"> (para. 86 of the MPGs). </w:t>
      </w:r>
      <w:r w:rsidRPr="009B2872">
        <w:rPr>
          <w:rFonts w:eastAsia="Times New Roman" w:cs="Times New Roman"/>
          <w:sz w:val="16"/>
          <w:szCs w:val="20"/>
        </w:rPr>
        <w:br w:type="page"/>
      </w:r>
    </w:p>
    <w:p w14:paraId="352E1629" w14:textId="1C2FBC2A" w:rsidR="009B2872" w:rsidRPr="009B2872" w:rsidRDefault="009B2872" w:rsidP="004522CA">
      <w:pPr>
        <w:pStyle w:val="Tableheading"/>
      </w:pPr>
      <w:bookmarkStart w:id="881" w:name="_Toc185407518"/>
      <w:bookmarkStart w:id="882" w:name="_Toc185427781"/>
      <w:r w:rsidRPr="009B2872">
        <w:t xml:space="preserve">CTF </w:t>
      </w:r>
      <w:r w:rsidR="007E289C">
        <w:t>t</w:t>
      </w:r>
      <w:r w:rsidRPr="009B2872">
        <w:t xml:space="preserve">able 6: </w:t>
      </w:r>
      <w:r w:rsidRPr="009B2872">
        <w:tab/>
        <w:t>Summary of greenhouse gas emissions and removals in accordance with the common reporting table 10 emission trends – summary</w:t>
      </w:r>
      <w:bookmarkEnd w:id="881"/>
      <w:bookmarkEnd w:id="882"/>
    </w:p>
    <w:tbl>
      <w:tblPr>
        <w:tblW w:w="14345" w:type="dxa"/>
        <w:tblBorders>
          <w:top w:val="single" w:sz="4" w:space="0" w:color="1B556B" w:themeColor="text2"/>
          <w:left w:val="single" w:sz="4" w:space="0" w:color="1B556B" w:themeColor="text2"/>
          <w:bottom w:val="single" w:sz="4" w:space="0" w:color="1B556B" w:themeColor="text2"/>
          <w:right w:val="single" w:sz="4" w:space="0" w:color="1B556B" w:themeColor="text2"/>
          <w:insideH w:val="single" w:sz="4" w:space="0" w:color="1B556B" w:themeColor="text2"/>
          <w:insideV w:val="single" w:sz="4" w:space="0" w:color="1B556B" w:themeColor="text2"/>
        </w:tblBorders>
        <w:tblCellMar>
          <w:top w:w="15" w:type="dxa"/>
          <w:bottom w:w="15" w:type="dxa"/>
        </w:tblCellMar>
        <w:tblLook w:val="04A0" w:firstRow="1" w:lastRow="0" w:firstColumn="1" w:lastColumn="0" w:noHBand="0" w:noVBand="1"/>
      </w:tblPr>
      <w:tblGrid>
        <w:gridCol w:w="3823"/>
        <w:gridCol w:w="1275"/>
        <w:gridCol w:w="993"/>
        <w:gridCol w:w="992"/>
        <w:gridCol w:w="992"/>
        <w:gridCol w:w="1134"/>
        <w:gridCol w:w="992"/>
        <w:gridCol w:w="993"/>
        <w:gridCol w:w="1131"/>
        <w:gridCol w:w="1010"/>
        <w:gridCol w:w="1010"/>
      </w:tblGrid>
      <w:tr w:rsidR="009B2872" w:rsidRPr="008517DB" w14:paraId="4174190E" w14:textId="77777777">
        <w:tc>
          <w:tcPr>
            <w:tcW w:w="3823" w:type="dxa"/>
            <w:shd w:val="clear" w:color="auto" w:fill="1B556B"/>
            <w:vAlign w:val="bottom"/>
            <w:hideMark/>
          </w:tcPr>
          <w:p w14:paraId="4414F1F2" w14:textId="04FC0F0E" w:rsidR="009B2872" w:rsidRPr="008517DB" w:rsidRDefault="00247657" w:rsidP="009B2872">
            <w:pPr>
              <w:spacing w:before="0" w:after="0" w:line="240" w:lineRule="atLeast"/>
              <w:jc w:val="left"/>
              <w:rPr>
                <w:rFonts w:asciiTheme="minorHAnsi" w:hAnsiTheme="minorHAnsi" w:cstheme="minorHAnsi"/>
                <w:b/>
                <w:color w:val="FFFFFF" w:themeColor="background1"/>
                <w:sz w:val="18"/>
                <w:szCs w:val="18"/>
              </w:rPr>
            </w:pPr>
            <w:r w:rsidRPr="008517DB">
              <w:rPr>
                <w:rFonts w:asciiTheme="minorHAnsi" w:hAnsiTheme="minorHAnsi" w:cstheme="minorHAnsi"/>
                <w:b/>
                <w:color w:val="FFFFFF" w:themeColor="background1"/>
                <w:sz w:val="18"/>
                <w:szCs w:val="18"/>
              </w:rPr>
              <w:t>Greenhouse gas emissions and removals</w:t>
            </w:r>
          </w:p>
        </w:tc>
        <w:tc>
          <w:tcPr>
            <w:tcW w:w="1275" w:type="dxa"/>
            <w:shd w:val="clear" w:color="auto" w:fill="1B556B"/>
            <w:vAlign w:val="bottom"/>
            <w:hideMark/>
          </w:tcPr>
          <w:p w14:paraId="72929C97" w14:textId="77777777" w:rsidR="009B2872" w:rsidRPr="008517DB" w:rsidRDefault="009B2872" w:rsidP="009B2872">
            <w:pPr>
              <w:spacing w:before="0" w:after="0" w:line="240" w:lineRule="atLeast"/>
              <w:jc w:val="center"/>
              <w:rPr>
                <w:rFonts w:asciiTheme="minorHAnsi" w:hAnsiTheme="minorHAnsi" w:cstheme="minorHAnsi"/>
                <w:b/>
                <w:color w:val="FFFFFF" w:themeColor="background1"/>
                <w:sz w:val="18"/>
                <w:szCs w:val="18"/>
              </w:rPr>
            </w:pPr>
            <w:r w:rsidRPr="008517DB">
              <w:rPr>
                <w:rFonts w:asciiTheme="minorHAnsi" w:hAnsiTheme="minorHAnsi" w:cstheme="minorHAnsi"/>
                <w:b/>
                <w:color w:val="FFFFFF" w:themeColor="background1"/>
                <w:sz w:val="18"/>
                <w:szCs w:val="18"/>
              </w:rPr>
              <w:t xml:space="preserve">Reference year/period for NDC </w:t>
            </w:r>
            <w:r w:rsidRPr="008517DB">
              <w:rPr>
                <w:rFonts w:asciiTheme="minorHAnsi" w:hAnsiTheme="minorHAnsi" w:cstheme="minorHAnsi"/>
                <w:b/>
                <w:color w:val="FFFFFF" w:themeColor="background1"/>
                <w:sz w:val="18"/>
                <w:szCs w:val="18"/>
                <w:vertAlign w:val="superscript"/>
              </w:rPr>
              <w:t>(1)</w:t>
            </w:r>
          </w:p>
        </w:tc>
        <w:tc>
          <w:tcPr>
            <w:tcW w:w="993" w:type="dxa"/>
            <w:shd w:val="clear" w:color="auto" w:fill="1B556B"/>
            <w:vAlign w:val="bottom"/>
            <w:hideMark/>
          </w:tcPr>
          <w:p w14:paraId="7D8E3839" w14:textId="77777777" w:rsidR="009B2872" w:rsidRPr="008517DB" w:rsidRDefault="009B2872" w:rsidP="009B2872">
            <w:pPr>
              <w:spacing w:before="0" w:after="0" w:line="240" w:lineRule="atLeast"/>
              <w:jc w:val="center"/>
              <w:rPr>
                <w:rFonts w:asciiTheme="minorHAnsi" w:hAnsiTheme="minorHAnsi" w:cstheme="minorHAnsi"/>
                <w:b/>
                <w:color w:val="FFFFFF" w:themeColor="background1"/>
                <w:sz w:val="18"/>
                <w:szCs w:val="18"/>
              </w:rPr>
            </w:pPr>
            <w:r w:rsidRPr="008517DB">
              <w:rPr>
                <w:rFonts w:asciiTheme="minorHAnsi" w:hAnsiTheme="minorHAnsi" w:cstheme="minorHAnsi"/>
                <w:b/>
                <w:color w:val="FFFFFF" w:themeColor="background1"/>
                <w:sz w:val="18"/>
                <w:szCs w:val="18"/>
              </w:rPr>
              <w:t xml:space="preserve">Base year </w:t>
            </w:r>
            <w:r w:rsidRPr="008517DB">
              <w:rPr>
                <w:rFonts w:asciiTheme="minorHAnsi" w:hAnsiTheme="minorHAnsi" w:cstheme="minorHAnsi"/>
                <w:b/>
                <w:color w:val="FFFFFF" w:themeColor="background1"/>
                <w:sz w:val="18"/>
                <w:szCs w:val="18"/>
                <w:vertAlign w:val="superscript"/>
              </w:rPr>
              <w:t>(2)</w:t>
            </w:r>
          </w:p>
        </w:tc>
        <w:tc>
          <w:tcPr>
            <w:tcW w:w="992" w:type="dxa"/>
            <w:shd w:val="clear" w:color="auto" w:fill="1B556B"/>
            <w:noWrap/>
            <w:vAlign w:val="bottom"/>
            <w:hideMark/>
          </w:tcPr>
          <w:p w14:paraId="540FEE26" w14:textId="77777777" w:rsidR="009B2872" w:rsidRPr="008517DB" w:rsidRDefault="009B2872" w:rsidP="009B2872">
            <w:pPr>
              <w:spacing w:before="0" w:after="0" w:line="240" w:lineRule="atLeast"/>
              <w:jc w:val="center"/>
              <w:rPr>
                <w:rFonts w:asciiTheme="minorHAnsi" w:hAnsiTheme="minorHAnsi" w:cstheme="minorHAnsi"/>
                <w:b/>
                <w:color w:val="FFFFFF" w:themeColor="background1"/>
                <w:sz w:val="18"/>
                <w:szCs w:val="18"/>
              </w:rPr>
            </w:pPr>
            <w:r w:rsidRPr="008517DB">
              <w:rPr>
                <w:rFonts w:asciiTheme="minorHAnsi" w:hAnsiTheme="minorHAnsi" w:cstheme="minorHAnsi"/>
                <w:b/>
                <w:color w:val="FFFFFF" w:themeColor="background1"/>
                <w:sz w:val="18"/>
                <w:szCs w:val="18"/>
              </w:rPr>
              <w:t>1990</w:t>
            </w:r>
          </w:p>
        </w:tc>
        <w:tc>
          <w:tcPr>
            <w:tcW w:w="992" w:type="dxa"/>
            <w:shd w:val="clear" w:color="auto" w:fill="1B556B"/>
            <w:noWrap/>
            <w:vAlign w:val="bottom"/>
            <w:hideMark/>
          </w:tcPr>
          <w:p w14:paraId="023002FF" w14:textId="77777777" w:rsidR="009B2872" w:rsidRPr="008517DB" w:rsidRDefault="009B2872" w:rsidP="009B2872">
            <w:pPr>
              <w:spacing w:before="0" w:after="0" w:line="240" w:lineRule="atLeast"/>
              <w:jc w:val="center"/>
              <w:rPr>
                <w:rFonts w:asciiTheme="minorHAnsi" w:hAnsiTheme="minorHAnsi" w:cstheme="minorHAnsi"/>
                <w:b/>
                <w:color w:val="FFFFFF" w:themeColor="background1"/>
                <w:sz w:val="18"/>
                <w:szCs w:val="18"/>
              </w:rPr>
            </w:pPr>
            <w:r w:rsidRPr="008517DB">
              <w:rPr>
                <w:rFonts w:asciiTheme="minorHAnsi" w:hAnsiTheme="minorHAnsi" w:cstheme="minorHAnsi"/>
                <w:b/>
                <w:color w:val="FFFFFF" w:themeColor="background1"/>
                <w:sz w:val="18"/>
                <w:szCs w:val="18"/>
              </w:rPr>
              <w:t>1991</w:t>
            </w:r>
          </w:p>
        </w:tc>
        <w:tc>
          <w:tcPr>
            <w:tcW w:w="1134" w:type="dxa"/>
            <w:shd w:val="clear" w:color="auto" w:fill="1B556B"/>
            <w:noWrap/>
            <w:vAlign w:val="bottom"/>
            <w:hideMark/>
          </w:tcPr>
          <w:p w14:paraId="06EFA64A" w14:textId="77777777" w:rsidR="009B2872" w:rsidRPr="008517DB" w:rsidRDefault="009B2872" w:rsidP="009B2872">
            <w:pPr>
              <w:spacing w:before="0" w:after="0" w:line="240" w:lineRule="atLeast"/>
              <w:jc w:val="center"/>
              <w:rPr>
                <w:rFonts w:asciiTheme="minorHAnsi" w:hAnsiTheme="minorHAnsi" w:cstheme="minorHAnsi"/>
                <w:b/>
                <w:color w:val="FFFFFF" w:themeColor="background1"/>
                <w:sz w:val="18"/>
                <w:szCs w:val="18"/>
              </w:rPr>
            </w:pPr>
            <w:r w:rsidRPr="008517DB">
              <w:rPr>
                <w:rFonts w:asciiTheme="minorHAnsi" w:hAnsiTheme="minorHAnsi" w:cstheme="minorHAnsi"/>
                <w:b/>
                <w:color w:val="FFFFFF" w:themeColor="background1"/>
                <w:sz w:val="18"/>
                <w:szCs w:val="18"/>
              </w:rPr>
              <w:t>1992</w:t>
            </w:r>
          </w:p>
        </w:tc>
        <w:tc>
          <w:tcPr>
            <w:tcW w:w="992" w:type="dxa"/>
            <w:shd w:val="clear" w:color="auto" w:fill="1B556B"/>
            <w:noWrap/>
            <w:vAlign w:val="bottom"/>
            <w:hideMark/>
          </w:tcPr>
          <w:p w14:paraId="32CB1A76" w14:textId="77777777" w:rsidR="009B2872" w:rsidRPr="008517DB" w:rsidRDefault="009B2872" w:rsidP="009B2872">
            <w:pPr>
              <w:spacing w:before="0" w:after="0" w:line="240" w:lineRule="atLeast"/>
              <w:jc w:val="center"/>
              <w:rPr>
                <w:rFonts w:asciiTheme="minorHAnsi" w:hAnsiTheme="minorHAnsi" w:cstheme="minorHAnsi"/>
                <w:b/>
                <w:color w:val="FFFFFF" w:themeColor="background1"/>
                <w:sz w:val="18"/>
                <w:szCs w:val="18"/>
              </w:rPr>
            </w:pPr>
            <w:r w:rsidRPr="008517DB">
              <w:rPr>
                <w:rFonts w:asciiTheme="minorHAnsi" w:hAnsiTheme="minorHAnsi" w:cstheme="minorHAnsi"/>
                <w:b/>
                <w:color w:val="FFFFFF" w:themeColor="background1"/>
                <w:sz w:val="18"/>
                <w:szCs w:val="18"/>
              </w:rPr>
              <w:t>1993</w:t>
            </w:r>
          </w:p>
        </w:tc>
        <w:tc>
          <w:tcPr>
            <w:tcW w:w="993" w:type="dxa"/>
            <w:shd w:val="clear" w:color="auto" w:fill="1B556B"/>
            <w:noWrap/>
            <w:vAlign w:val="bottom"/>
            <w:hideMark/>
          </w:tcPr>
          <w:p w14:paraId="34C2E678" w14:textId="77777777" w:rsidR="009B2872" w:rsidRPr="008517DB" w:rsidRDefault="009B2872" w:rsidP="009B2872">
            <w:pPr>
              <w:spacing w:before="0" w:after="0" w:line="240" w:lineRule="atLeast"/>
              <w:jc w:val="center"/>
              <w:rPr>
                <w:rFonts w:asciiTheme="minorHAnsi" w:hAnsiTheme="minorHAnsi" w:cstheme="minorHAnsi"/>
                <w:b/>
                <w:color w:val="FFFFFF" w:themeColor="background1"/>
                <w:sz w:val="18"/>
                <w:szCs w:val="18"/>
              </w:rPr>
            </w:pPr>
            <w:r w:rsidRPr="008517DB">
              <w:rPr>
                <w:rFonts w:asciiTheme="minorHAnsi" w:hAnsiTheme="minorHAnsi" w:cstheme="minorHAnsi"/>
                <w:b/>
                <w:color w:val="FFFFFF" w:themeColor="background1"/>
                <w:sz w:val="18"/>
                <w:szCs w:val="18"/>
              </w:rPr>
              <w:t>1994</w:t>
            </w:r>
          </w:p>
        </w:tc>
        <w:tc>
          <w:tcPr>
            <w:tcW w:w="1131" w:type="dxa"/>
            <w:shd w:val="clear" w:color="auto" w:fill="1B556B"/>
            <w:noWrap/>
            <w:vAlign w:val="bottom"/>
            <w:hideMark/>
          </w:tcPr>
          <w:p w14:paraId="34104A5F" w14:textId="77777777" w:rsidR="009B2872" w:rsidRPr="008517DB" w:rsidRDefault="009B2872" w:rsidP="009B2872">
            <w:pPr>
              <w:spacing w:before="0" w:after="0" w:line="240" w:lineRule="atLeast"/>
              <w:jc w:val="center"/>
              <w:rPr>
                <w:rFonts w:asciiTheme="minorHAnsi" w:hAnsiTheme="minorHAnsi" w:cstheme="minorHAnsi"/>
                <w:b/>
                <w:color w:val="FFFFFF" w:themeColor="background1"/>
                <w:sz w:val="18"/>
                <w:szCs w:val="18"/>
              </w:rPr>
            </w:pPr>
            <w:r w:rsidRPr="008517DB">
              <w:rPr>
                <w:rFonts w:asciiTheme="minorHAnsi" w:hAnsiTheme="minorHAnsi" w:cstheme="minorHAnsi"/>
                <w:b/>
                <w:color w:val="FFFFFF" w:themeColor="background1"/>
                <w:sz w:val="18"/>
                <w:szCs w:val="18"/>
              </w:rPr>
              <w:t>1995</w:t>
            </w:r>
          </w:p>
        </w:tc>
        <w:tc>
          <w:tcPr>
            <w:tcW w:w="1010" w:type="dxa"/>
            <w:shd w:val="clear" w:color="auto" w:fill="1B556B"/>
            <w:noWrap/>
            <w:vAlign w:val="bottom"/>
            <w:hideMark/>
          </w:tcPr>
          <w:p w14:paraId="7001E641" w14:textId="77777777" w:rsidR="009B2872" w:rsidRPr="008517DB" w:rsidRDefault="009B2872" w:rsidP="009B2872">
            <w:pPr>
              <w:spacing w:before="0" w:after="0" w:line="240" w:lineRule="atLeast"/>
              <w:jc w:val="center"/>
              <w:rPr>
                <w:rFonts w:asciiTheme="minorHAnsi" w:hAnsiTheme="minorHAnsi" w:cstheme="minorHAnsi"/>
                <w:b/>
                <w:color w:val="FFFFFF" w:themeColor="background1"/>
                <w:sz w:val="18"/>
                <w:szCs w:val="18"/>
              </w:rPr>
            </w:pPr>
            <w:r w:rsidRPr="008517DB">
              <w:rPr>
                <w:rFonts w:asciiTheme="minorHAnsi" w:hAnsiTheme="minorHAnsi" w:cstheme="minorHAnsi"/>
                <w:b/>
                <w:color w:val="FFFFFF" w:themeColor="background1"/>
                <w:sz w:val="18"/>
                <w:szCs w:val="18"/>
              </w:rPr>
              <w:t>1996</w:t>
            </w:r>
          </w:p>
        </w:tc>
        <w:tc>
          <w:tcPr>
            <w:tcW w:w="1010" w:type="dxa"/>
            <w:shd w:val="clear" w:color="auto" w:fill="1B556B"/>
            <w:noWrap/>
            <w:vAlign w:val="bottom"/>
            <w:hideMark/>
          </w:tcPr>
          <w:p w14:paraId="13EB359A" w14:textId="77777777" w:rsidR="009B2872" w:rsidRPr="008517DB" w:rsidRDefault="009B2872" w:rsidP="009B2872">
            <w:pPr>
              <w:spacing w:before="0" w:after="0" w:line="240" w:lineRule="atLeast"/>
              <w:jc w:val="center"/>
              <w:rPr>
                <w:rFonts w:asciiTheme="minorHAnsi" w:hAnsiTheme="minorHAnsi" w:cstheme="minorHAnsi"/>
                <w:b/>
                <w:color w:val="FFFFFF" w:themeColor="background1"/>
                <w:sz w:val="18"/>
                <w:szCs w:val="18"/>
              </w:rPr>
            </w:pPr>
            <w:r w:rsidRPr="008517DB">
              <w:rPr>
                <w:rFonts w:asciiTheme="minorHAnsi" w:hAnsiTheme="minorHAnsi" w:cstheme="minorHAnsi"/>
                <w:b/>
                <w:color w:val="FFFFFF" w:themeColor="background1"/>
                <w:sz w:val="18"/>
                <w:szCs w:val="18"/>
              </w:rPr>
              <w:t>1997</w:t>
            </w:r>
          </w:p>
        </w:tc>
      </w:tr>
      <w:tr w:rsidR="009B2872" w:rsidRPr="008517DB" w14:paraId="213752BA" w14:textId="77777777" w:rsidTr="0056107B">
        <w:tc>
          <w:tcPr>
            <w:tcW w:w="3823" w:type="dxa"/>
            <w:tcBorders>
              <w:bottom w:val="single" w:sz="4" w:space="0" w:color="1B556B" w:themeColor="text2"/>
            </w:tcBorders>
            <w:shd w:val="clear" w:color="auto" w:fill="1B556B"/>
            <w:vAlign w:val="center"/>
            <w:hideMark/>
          </w:tcPr>
          <w:p w14:paraId="1DF20C33" w14:textId="77777777" w:rsidR="009B2872" w:rsidRPr="008517DB" w:rsidRDefault="009B2872" w:rsidP="009B2872">
            <w:pPr>
              <w:spacing w:before="0" w:after="0" w:line="240" w:lineRule="atLeast"/>
              <w:jc w:val="center"/>
              <w:rPr>
                <w:rFonts w:asciiTheme="minorHAnsi" w:hAnsiTheme="minorHAnsi" w:cstheme="minorHAnsi"/>
                <w:b/>
                <w:color w:val="FFFFFF" w:themeColor="background1"/>
                <w:sz w:val="18"/>
                <w:szCs w:val="18"/>
              </w:rPr>
            </w:pPr>
          </w:p>
        </w:tc>
        <w:tc>
          <w:tcPr>
            <w:tcW w:w="10522" w:type="dxa"/>
            <w:gridSpan w:val="10"/>
            <w:tcBorders>
              <w:bottom w:val="single" w:sz="4" w:space="0" w:color="1B556B" w:themeColor="text2"/>
            </w:tcBorders>
            <w:shd w:val="clear" w:color="auto" w:fill="1B556B"/>
            <w:vAlign w:val="center"/>
            <w:hideMark/>
          </w:tcPr>
          <w:p w14:paraId="69CAB965" w14:textId="77777777" w:rsidR="009B2872" w:rsidRPr="008517DB" w:rsidRDefault="009B2872" w:rsidP="009B2872">
            <w:pPr>
              <w:spacing w:before="0" w:after="0" w:line="240" w:lineRule="atLeast"/>
              <w:jc w:val="center"/>
              <w:rPr>
                <w:rFonts w:asciiTheme="minorHAnsi" w:hAnsiTheme="minorHAnsi" w:cstheme="minorHAnsi"/>
                <w:b/>
                <w:color w:val="FFFFFF" w:themeColor="background1"/>
                <w:sz w:val="18"/>
                <w:szCs w:val="18"/>
              </w:rPr>
            </w:pPr>
            <w:r w:rsidRPr="008517DB">
              <w:rPr>
                <w:rFonts w:asciiTheme="minorHAnsi" w:hAnsiTheme="minorHAnsi" w:cstheme="minorHAnsi"/>
                <w:b/>
                <w:color w:val="FFFFFF" w:themeColor="background1"/>
                <w:sz w:val="18"/>
                <w:szCs w:val="18"/>
              </w:rPr>
              <w:t>CO</w:t>
            </w:r>
            <w:r w:rsidRPr="008517DB">
              <w:rPr>
                <w:rFonts w:asciiTheme="minorHAnsi" w:hAnsiTheme="minorHAnsi" w:cstheme="minorHAnsi"/>
                <w:b/>
                <w:color w:val="FFFFFF" w:themeColor="background1"/>
                <w:sz w:val="18"/>
                <w:szCs w:val="18"/>
                <w:vertAlign w:val="subscript"/>
              </w:rPr>
              <w:t>2</w:t>
            </w:r>
            <w:r w:rsidRPr="008517DB">
              <w:rPr>
                <w:rFonts w:asciiTheme="minorHAnsi" w:hAnsiTheme="minorHAnsi" w:cstheme="minorHAnsi"/>
                <w:b/>
                <w:color w:val="FFFFFF" w:themeColor="background1"/>
                <w:sz w:val="18"/>
                <w:szCs w:val="18"/>
              </w:rPr>
              <w:t xml:space="preserve"> equivalents (kt) </w:t>
            </w:r>
            <w:r w:rsidRPr="008517DB">
              <w:rPr>
                <w:rFonts w:asciiTheme="minorHAnsi" w:hAnsiTheme="minorHAnsi" w:cstheme="minorHAnsi"/>
                <w:b/>
                <w:color w:val="FFFFFF" w:themeColor="background1"/>
                <w:sz w:val="18"/>
                <w:szCs w:val="18"/>
                <w:vertAlign w:val="superscript"/>
              </w:rPr>
              <w:t>(3)</w:t>
            </w:r>
          </w:p>
        </w:tc>
      </w:tr>
      <w:tr w:rsidR="009B2872" w:rsidRPr="008517DB" w14:paraId="3E1EA4C0" w14:textId="77777777" w:rsidTr="0056107B">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vAlign w:val="center"/>
            <w:hideMark/>
          </w:tcPr>
          <w:p w14:paraId="626D66C9"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sz w:val="18"/>
                <w:szCs w:val="18"/>
              </w:rPr>
              <w:t>CO</w:t>
            </w:r>
            <w:r w:rsidRPr="008517DB">
              <w:rPr>
                <w:rFonts w:asciiTheme="minorHAnsi" w:eastAsia="Times New Roman" w:hAnsiTheme="minorHAnsi" w:cstheme="minorHAnsi"/>
                <w:sz w:val="18"/>
                <w:szCs w:val="18"/>
                <w:vertAlign w:val="subscript"/>
              </w:rPr>
              <w:t>2</w:t>
            </w:r>
            <w:r w:rsidRPr="008517DB">
              <w:rPr>
                <w:rFonts w:asciiTheme="minorHAnsi" w:eastAsia="Times New Roman" w:hAnsiTheme="minorHAnsi" w:cstheme="minorHAnsi"/>
                <w:sz w:val="18"/>
                <w:szCs w:val="18"/>
              </w:rPr>
              <w:t xml:space="preserve"> emissions without net CO</w:t>
            </w:r>
            <w:r w:rsidRPr="008517DB">
              <w:rPr>
                <w:rFonts w:asciiTheme="minorHAnsi" w:eastAsia="Times New Roman" w:hAnsiTheme="minorHAnsi" w:cstheme="minorHAnsi"/>
                <w:sz w:val="18"/>
                <w:szCs w:val="18"/>
                <w:vertAlign w:val="subscript"/>
              </w:rPr>
              <w:t>2</w:t>
            </w:r>
            <w:r w:rsidRPr="008517DB">
              <w:rPr>
                <w:rFonts w:asciiTheme="minorHAnsi" w:eastAsia="Times New Roman" w:hAnsiTheme="minorHAnsi" w:cstheme="minorHAnsi"/>
                <w:sz w:val="18"/>
                <w:szCs w:val="18"/>
              </w:rPr>
              <w:t xml:space="preserve"> from LULUCF</w:t>
            </w:r>
          </w:p>
        </w:tc>
        <w:tc>
          <w:tcPr>
            <w:tcW w:w="127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A0D1639"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31A3D16"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0A62732"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25,497.22</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13A7778"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26,175.92</w:t>
            </w:r>
          </w:p>
        </w:tc>
        <w:tc>
          <w:tcPr>
            <w:tcW w:w="1134"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B05F9F4"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28,162.45</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F52EACC"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27,754.74</w:t>
            </w: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B064FD3"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27,895.36</w:t>
            </w:r>
          </w:p>
        </w:tc>
        <w:tc>
          <w:tcPr>
            <w:tcW w:w="1131"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C3148F0"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28,000.62</w:t>
            </w:r>
          </w:p>
        </w:tc>
        <w:tc>
          <w:tcPr>
            <w:tcW w:w="1010"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9C7FF9F"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29,300.68</w:t>
            </w:r>
          </w:p>
        </w:tc>
        <w:tc>
          <w:tcPr>
            <w:tcW w:w="1010"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18A647D6"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31,274.49</w:t>
            </w:r>
          </w:p>
        </w:tc>
      </w:tr>
      <w:tr w:rsidR="009B2872" w:rsidRPr="008517DB" w14:paraId="1441DF15" w14:textId="77777777" w:rsidTr="0056107B">
        <w:trPr>
          <w:trHeight w:val="224"/>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vAlign w:val="center"/>
            <w:hideMark/>
          </w:tcPr>
          <w:p w14:paraId="38A32295"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sz w:val="18"/>
                <w:szCs w:val="18"/>
              </w:rPr>
              <w:t>CO</w:t>
            </w:r>
            <w:r w:rsidRPr="008517DB">
              <w:rPr>
                <w:rFonts w:asciiTheme="minorHAnsi" w:eastAsia="Times New Roman" w:hAnsiTheme="minorHAnsi" w:cstheme="minorHAnsi"/>
                <w:sz w:val="18"/>
                <w:szCs w:val="18"/>
                <w:vertAlign w:val="subscript"/>
              </w:rPr>
              <w:t>2</w:t>
            </w:r>
            <w:r w:rsidRPr="008517DB">
              <w:rPr>
                <w:rFonts w:asciiTheme="minorHAnsi" w:eastAsia="Times New Roman" w:hAnsiTheme="minorHAnsi" w:cstheme="minorHAnsi"/>
                <w:sz w:val="18"/>
                <w:szCs w:val="18"/>
              </w:rPr>
              <w:t xml:space="preserve"> emissions with net CO</w:t>
            </w:r>
            <w:r w:rsidRPr="008517DB">
              <w:rPr>
                <w:rFonts w:asciiTheme="minorHAnsi" w:eastAsia="Times New Roman" w:hAnsiTheme="minorHAnsi" w:cstheme="minorHAnsi"/>
                <w:sz w:val="18"/>
                <w:szCs w:val="18"/>
                <w:vertAlign w:val="subscript"/>
              </w:rPr>
              <w:t>2</w:t>
            </w:r>
            <w:r w:rsidRPr="008517DB">
              <w:rPr>
                <w:rFonts w:asciiTheme="minorHAnsi" w:eastAsia="Times New Roman" w:hAnsiTheme="minorHAnsi" w:cstheme="minorHAnsi"/>
                <w:sz w:val="18"/>
                <w:szCs w:val="18"/>
              </w:rPr>
              <w:t xml:space="preserve"> from LULUCF</w:t>
            </w:r>
          </w:p>
        </w:tc>
        <w:tc>
          <w:tcPr>
            <w:tcW w:w="127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57276E2"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347A440"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E751786"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804.19</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D14354B"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-378.37</w:t>
            </w:r>
          </w:p>
        </w:tc>
        <w:tc>
          <w:tcPr>
            <w:tcW w:w="1134"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B4D27E8"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2,344.33</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A00C8D2"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1,506.96</w:t>
            </w: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B24FC73"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2,319.73</w:t>
            </w:r>
          </w:p>
        </w:tc>
        <w:tc>
          <w:tcPr>
            <w:tcW w:w="1131"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4F5B1A6"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3,848.13</w:t>
            </w:r>
          </w:p>
        </w:tc>
        <w:tc>
          <w:tcPr>
            <w:tcW w:w="1010"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0AD2065"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5,894.08</w:t>
            </w:r>
          </w:p>
        </w:tc>
        <w:tc>
          <w:tcPr>
            <w:tcW w:w="1010"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4CC09C88"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7,205.78</w:t>
            </w:r>
          </w:p>
        </w:tc>
      </w:tr>
      <w:tr w:rsidR="009B2872" w:rsidRPr="008517DB" w14:paraId="4E5CF63D" w14:textId="77777777" w:rsidTr="0056107B">
        <w:trPr>
          <w:trHeight w:val="224"/>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vAlign w:val="center"/>
            <w:hideMark/>
          </w:tcPr>
          <w:p w14:paraId="3E17DBA8"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sz w:val="18"/>
                <w:szCs w:val="18"/>
              </w:rPr>
              <w:t>CH</w:t>
            </w:r>
            <w:r w:rsidRPr="008517DB">
              <w:rPr>
                <w:rFonts w:asciiTheme="minorHAnsi" w:eastAsia="Times New Roman" w:hAnsiTheme="minorHAnsi" w:cstheme="minorHAnsi"/>
                <w:sz w:val="18"/>
                <w:szCs w:val="18"/>
                <w:vertAlign w:val="subscript"/>
              </w:rPr>
              <w:t>4</w:t>
            </w:r>
            <w:r w:rsidRPr="008517DB">
              <w:rPr>
                <w:rFonts w:asciiTheme="minorHAnsi" w:eastAsia="Times New Roman" w:hAnsiTheme="minorHAnsi" w:cstheme="minorHAnsi"/>
                <w:sz w:val="18"/>
                <w:szCs w:val="18"/>
              </w:rPr>
              <w:t xml:space="preserve"> emissions without CH</w:t>
            </w:r>
            <w:r w:rsidRPr="008517DB">
              <w:rPr>
                <w:rFonts w:asciiTheme="minorHAnsi" w:eastAsia="Times New Roman" w:hAnsiTheme="minorHAnsi" w:cstheme="minorHAnsi"/>
                <w:sz w:val="18"/>
                <w:szCs w:val="18"/>
                <w:vertAlign w:val="subscript"/>
              </w:rPr>
              <w:t>4</w:t>
            </w:r>
            <w:r w:rsidRPr="008517DB">
              <w:rPr>
                <w:rFonts w:asciiTheme="minorHAnsi" w:eastAsia="Times New Roman" w:hAnsiTheme="minorHAnsi" w:cstheme="minorHAnsi"/>
                <w:sz w:val="18"/>
                <w:szCs w:val="18"/>
              </w:rPr>
              <w:t xml:space="preserve"> from LULUCF</w:t>
            </w:r>
          </w:p>
        </w:tc>
        <w:tc>
          <w:tcPr>
            <w:tcW w:w="127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4528A42"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D8ED1BA"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B10BEE9"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37,519.68</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C78D187"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37,735.48</w:t>
            </w:r>
          </w:p>
        </w:tc>
        <w:tc>
          <w:tcPr>
            <w:tcW w:w="1134"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20AFC90"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37,360.14</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A87F5F5"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37,650.75</w:t>
            </w: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CF38314"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38,697.95</w:t>
            </w:r>
          </w:p>
        </w:tc>
        <w:tc>
          <w:tcPr>
            <w:tcW w:w="1131"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4F8969E"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38,979.68</w:t>
            </w:r>
          </w:p>
        </w:tc>
        <w:tc>
          <w:tcPr>
            <w:tcW w:w="1010"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FB70B15"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39,989.01</w:t>
            </w:r>
          </w:p>
        </w:tc>
        <w:tc>
          <w:tcPr>
            <w:tcW w:w="1010"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0C30FCC0"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40,608.17</w:t>
            </w:r>
          </w:p>
        </w:tc>
      </w:tr>
      <w:tr w:rsidR="009B2872" w:rsidRPr="008517DB" w14:paraId="7997B7A4" w14:textId="77777777" w:rsidTr="0056107B">
        <w:trPr>
          <w:trHeight w:val="224"/>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noWrap/>
            <w:vAlign w:val="center"/>
            <w:hideMark/>
          </w:tcPr>
          <w:p w14:paraId="5F5F6D9B"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sz w:val="18"/>
                <w:szCs w:val="18"/>
              </w:rPr>
              <w:t>CH</w:t>
            </w:r>
            <w:r w:rsidRPr="008517DB">
              <w:rPr>
                <w:rFonts w:asciiTheme="minorHAnsi" w:eastAsia="Times New Roman" w:hAnsiTheme="minorHAnsi" w:cstheme="minorHAnsi"/>
                <w:sz w:val="18"/>
                <w:szCs w:val="18"/>
                <w:vertAlign w:val="subscript"/>
              </w:rPr>
              <w:t>4</w:t>
            </w:r>
            <w:r w:rsidRPr="008517DB">
              <w:rPr>
                <w:rFonts w:asciiTheme="minorHAnsi" w:eastAsia="Times New Roman" w:hAnsiTheme="minorHAnsi" w:cstheme="minorHAnsi"/>
                <w:sz w:val="18"/>
                <w:szCs w:val="18"/>
              </w:rPr>
              <w:t xml:space="preserve"> emissions with CH</w:t>
            </w:r>
            <w:r w:rsidRPr="008517DB">
              <w:rPr>
                <w:rFonts w:asciiTheme="minorHAnsi" w:eastAsia="Times New Roman" w:hAnsiTheme="minorHAnsi" w:cstheme="minorHAnsi"/>
                <w:sz w:val="18"/>
                <w:szCs w:val="18"/>
                <w:vertAlign w:val="subscript"/>
              </w:rPr>
              <w:t>4</w:t>
            </w:r>
            <w:r w:rsidRPr="008517DB">
              <w:rPr>
                <w:rFonts w:asciiTheme="minorHAnsi" w:eastAsia="Times New Roman" w:hAnsiTheme="minorHAnsi" w:cstheme="minorHAnsi"/>
                <w:sz w:val="18"/>
                <w:szCs w:val="18"/>
              </w:rPr>
              <w:t xml:space="preserve"> from LULUCF</w:t>
            </w:r>
          </w:p>
        </w:tc>
        <w:tc>
          <w:tcPr>
            <w:tcW w:w="127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AFCBF47"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D42FD2D"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DF7A741"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37,596.24</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0D81E7C"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37,789.26</w:t>
            </w:r>
          </w:p>
        </w:tc>
        <w:tc>
          <w:tcPr>
            <w:tcW w:w="1134"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E166BE4"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37,423.91</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D35D296"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37,732.91</w:t>
            </w: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4DC8648"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38,787.37</w:t>
            </w:r>
          </w:p>
        </w:tc>
        <w:tc>
          <w:tcPr>
            <w:tcW w:w="1131"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B183E11"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39,065.37</w:t>
            </w:r>
          </w:p>
        </w:tc>
        <w:tc>
          <w:tcPr>
            <w:tcW w:w="1010"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C11D7B6"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40,087.29</w:t>
            </w:r>
          </w:p>
        </w:tc>
        <w:tc>
          <w:tcPr>
            <w:tcW w:w="1010"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238D2A2D"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40,704.24</w:t>
            </w:r>
          </w:p>
        </w:tc>
      </w:tr>
      <w:tr w:rsidR="009B2872" w:rsidRPr="008517DB" w14:paraId="68AF12DE" w14:textId="77777777" w:rsidTr="0056107B">
        <w:trPr>
          <w:trHeight w:val="224"/>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noWrap/>
            <w:vAlign w:val="center"/>
            <w:hideMark/>
          </w:tcPr>
          <w:p w14:paraId="4C6D10BA"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sz w:val="18"/>
                <w:szCs w:val="18"/>
              </w:rPr>
              <w:t>N</w:t>
            </w:r>
            <w:r w:rsidRPr="008517DB">
              <w:rPr>
                <w:rFonts w:asciiTheme="minorHAnsi" w:eastAsia="Times New Roman" w:hAnsiTheme="minorHAnsi" w:cstheme="minorHAnsi"/>
                <w:sz w:val="18"/>
                <w:szCs w:val="18"/>
                <w:vertAlign w:val="subscript"/>
              </w:rPr>
              <w:t>2</w:t>
            </w:r>
            <w:r w:rsidRPr="008517DB">
              <w:rPr>
                <w:rFonts w:asciiTheme="minorHAnsi" w:eastAsia="Times New Roman" w:hAnsiTheme="minorHAnsi" w:cstheme="minorHAnsi"/>
                <w:sz w:val="18"/>
                <w:szCs w:val="18"/>
              </w:rPr>
              <w:t>O emissions without N</w:t>
            </w:r>
            <w:r w:rsidRPr="008517DB">
              <w:rPr>
                <w:rFonts w:asciiTheme="minorHAnsi" w:eastAsia="Times New Roman" w:hAnsiTheme="minorHAnsi" w:cstheme="minorHAnsi"/>
                <w:sz w:val="18"/>
                <w:szCs w:val="18"/>
                <w:vertAlign w:val="subscript"/>
              </w:rPr>
              <w:t>2</w:t>
            </w:r>
            <w:r w:rsidRPr="008517DB">
              <w:rPr>
                <w:rFonts w:asciiTheme="minorHAnsi" w:eastAsia="Times New Roman" w:hAnsiTheme="minorHAnsi" w:cstheme="minorHAnsi"/>
                <w:sz w:val="18"/>
                <w:szCs w:val="18"/>
              </w:rPr>
              <w:t>O from LULUCF</w:t>
            </w:r>
          </w:p>
        </w:tc>
        <w:tc>
          <w:tcPr>
            <w:tcW w:w="127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F279D0B"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DC070EE"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AB954AB"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5,102.69</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2F207DB"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5,173.25</w:t>
            </w:r>
          </w:p>
        </w:tc>
        <w:tc>
          <w:tcPr>
            <w:tcW w:w="1134"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A2406F7"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5,202.26</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32C2A98"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5,399.72</w:t>
            </w: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06ABC2B"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5,601.74</w:t>
            </w:r>
          </w:p>
        </w:tc>
        <w:tc>
          <w:tcPr>
            <w:tcW w:w="1131"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9C1AB3F"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5,814.81</w:t>
            </w:r>
          </w:p>
        </w:tc>
        <w:tc>
          <w:tcPr>
            <w:tcW w:w="1010"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5D35067"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5,917.67</w:t>
            </w:r>
          </w:p>
        </w:tc>
        <w:tc>
          <w:tcPr>
            <w:tcW w:w="1010"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16C041F5"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5,945.81</w:t>
            </w:r>
          </w:p>
        </w:tc>
      </w:tr>
      <w:tr w:rsidR="009B2872" w:rsidRPr="008517DB" w14:paraId="1F42EFA6" w14:textId="77777777" w:rsidTr="0056107B">
        <w:trPr>
          <w:trHeight w:val="224"/>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noWrap/>
            <w:vAlign w:val="center"/>
            <w:hideMark/>
          </w:tcPr>
          <w:p w14:paraId="1F73B7B3"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sz w:val="18"/>
                <w:szCs w:val="18"/>
              </w:rPr>
              <w:t>N</w:t>
            </w:r>
            <w:r w:rsidRPr="008517DB">
              <w:rPr>
                <w:rFonts w:asciiTheme="minorHAnsi" w:eastAsia="Times New Roman" w:hAnsiTheme="minorHAnsi" w:cstheme="minorHAnsi"/>
                <w:sz w:val="18"/>
                <w:szCs w:val="18"/>
                <w:vertAlign w:val="subscript"/>
              </w:rPr>
              <w:t>2</w:t>
            </w:r>
            <w:r w:rsidRPr="008517DB">
              <w:rPr>
                <w:rFonts w:asciiTheme="minorHAnsi" w:eastAsia="Times New Roman" w:hAnsiTheme="minorHAnsi" w:cstheme="minorHAnsi"/>
                <w:sz w:val="18"/>
                <w:szCs w:val="18"/>
              </w:rPr>
              <w:t>O emissions with N</w:t>
            </w:r>
            <w:r w:rsidRPr="008517DB">
              <w:rPr>
                <w:rFonts w:asciiTheme="minorHAnsi" w:eastAsia="Times New Roman" w:hAnsiTheme="minorHAnsi" w:cstheme="minorHAnsi"/>
                <w:sz w:val="18"/>
                <w:szCs w:val="18"/>
                <w:vertAlign w:val="subscript"/>
              </w:rPr>
              <w:t>2</w:t>
            </w:r>
            <w:r w:rsidRPr="008517DB">
              <w:rPr>
                <w:rFonts w:asciiTheme="minorHAnsi" w:eastAsia="Times New Roman" w:hAnsiTheme="minorHAnsi" w:cstheme="minorHAnsi"/>
                <w:sz w:val="18"/>
                <w:szCs w:val="18"/>
              </w:rPr>
              <w:t>O from LULUCF</w:t>
            </w:r>
          </w:p>
        </w:tc>
        <w:tc>
          <w:tcPr>
            <w:tcW w:w="127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55B1AD4"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32117D4"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79BC734"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5,394.53</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E35EFA9"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5,459.63</w:t>
            </w:r>
          </w:p>
        </w:tc>
        <w:tc>
          <w:tcPr>
            <w:tcW w:w="1134"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637E1BE"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5,496.69</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8DBE41A"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5,705.68</w:t>
            </w: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6CAAE7C"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5,929.19</w:t>
            </w:r>
          </w:p>
        </w:tc>
        <w:tc>
          <w:tcPr>
            <w:tcW w:w="1131"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8949A65"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6,151.56</w:t>
            </w:r>
          </w:p>
        </w:tc>
        <w:tc>
          <w:tcPr>
            <w:tcW w:w="1010"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7F3FC3F"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6,269.83</w:t>
            </w:r>
          </w:p>
        </w:tc>
        <w:tc>
          <w:tcPr>
            <w:tcW w:w="1010"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3620B16A"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6,308.33</w:t>
            </w:r>
          </w:p>
        </w:tc>
      </w:tr>
      <w:tr w:rsidR="009B2872" w:rsidRPr="008517DB" w14:paraId="627CDA4C" w14:textId="77777777" w:rsidTr="0056107B">
        <w:trPr>
          <w:trHeight w:val="224"/>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noWrap/>
            <w:vAlign w:val="center"/>
            <w:hideMark/>
          </w:tcPr>
          <w:p w14:paraId="65F0795C"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HFCs</w:t>
            </w:r>
          </w:p>
        </w:tc>
        <w:tc>
          <w:tcPr>
            <w:tcW w:w="127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56CB841"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6E57CCA"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CF12FCA" w14:textId="3417A604"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NA,</w:t>
            </w:r>
            <w:r w:rsidR="00C804F2" w:rsidRPr="008517DB">
              <w:rPr>
                <w:rFonts w:asciiTheme="minorHAnsi" w:eastAsia="Calibri" w:hAnsiTheme="minorHAnsi" w:cstheme="minorHAnsi"/>
                <w:color w:val="000000" w:themeColor="text1"/>
                <w:sz w:val="18"/>
                <w:szCs w:val="18"/>
              </w:rPr>
              <w:t xml:space="preserve"> </w:t>
            </w:r>
            <w:r w:rsidRPr="008517DB">
              <w:rPr>
                <w:rFonts w:asciiTheme="minorHAnsi" w:eastAsia="Calibri" w:hAnsiTheme="minorHAnsi" w:cstheme="minorHAnsi"/>
                <w:color w:val="000000" w:themeColor="text1"/>
                <w:sz w:val="18"/>
                <w:szCs w:val="18"/>
              </w:rPr>
              <w:t>NO</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BC3537D" w14:textId="52DF0D40"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NA,</w:t>
            </w:r>
            <w:r w:rsidR="00C804F2" w:rsidRPr="008517DB">
              <w:rPr>
                <w:rFonts w:asciiTheme="minorHAnsi" w:eastAsia="Calibri" w:hAnsiTheme="minorHAnsi" w:cstheme="minorHAnsi"/>
                <w:color w:val="000000" w:themeColor="text1"/>
                <w:sz w:val="18"/>
                <w:szCs w:val="18"/>
              </w:rPr>
              <w:t xml:space="preserve"> </w:t>
            </w:r>
            <w:r w:rsidRPr="008517DB">
              <w:rPr>
                <w:rFonts w:asciiTheme="minorHAnsi" w:eastAsia="Calibri" w:hAnsiTheme="minorHAnsi" w:cstheme="minorHAnsi"/>
                <w:color w:val="000000" w:themeColor="text1"/>
                <w:sz w:val="18"/>
                <w:szCs w:val="18"/>
              </w:rPr>
              <w:t>NO</w:t>
            </w:r>
          </w:p>
        </w:tc>
        <w:tc>
          <w:tcPr>
            <w:tcW w:w="1134"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F66CD09"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0.26</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5D49806"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0.39</w:t>
            </w: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7D92280"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11.82</w:t>
            </w:r>
          </w:p>
        </w:tc>
        <w:tc>
          <w:tcPr>
            <w:tcW w:w="1131"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00D804F"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29.47</w:t>
            </w:r>
          </w:p>
        </w:tc>
        <w:tc>
          <w:tcPr>
            <w:tcW w:w="1010"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10041A0"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66.80</w:t>
            </w:r>
          </w:p>
        </w:tc>
        <w:tc>
          <w:tcPr>
            <w:tcW w:w="1010"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01E25253"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113.37</w:t>
            </w:r>
          </w:p>
        </w:tc>
      </w:tr>
      <w:tr w:rsidR="009B2872" w:rsidRPr="008517DB" w14:paraId="51F590D9" w14:textId="77777777" w:rsidTr="0056107B">
        <w:trPr>
          <w:trHeight w:val="224"/>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noWrap/>
            <w:vAlign w:val="center"/>
            <w:hideMark/>
          </w:tcPr>
          <w:p w14:paraId="6ACF7806"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PFCs</w:t>
            </w:r>
          </w:p>
        </w:tc>
        <w:tc>
          <w:tcPr>
            <w:tcW w:w="127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43C6AAD"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CD5494A"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D695893"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818.01</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D77DE2F"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812.47</w:t>
            </w:r>
          </w:p>
        </w:tc>
        <w:tc>
          <w:tcPr>
            <w:tcW w:w="1134"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A93A8BB"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415.35</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DBD1149"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188.99</w:t>
            </w: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94CE108"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167.42</w:t>
            </w:r>
          </w:p>
        </w:tc>
        <w:tc>
          <w:tcPr>
            <w:tcW w:w="1131"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561BCA3"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138.60</w:t>
            </w:r>
          </w:p>
        </w:tc>
        <w:tc>
          <w:tcPr>
            <w:tcW w:w="1010"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18E6CB2"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227.00</w:t>
            </w:r>
          </w:p>
        </w:tc>
        <w:tc>
          <w:tcPr>
            <w:tcW w:w="1010"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1FEC93FA"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195.36</w:t>
            </w:r>
          </w:p>
        </w:tc>
      </w:tr>
      <w:tr w:rsidR="009B2872" w:rsidRPr="008517DB" w14:paraId="11815CF1" w14:textId="77777777" w:rsidTr="0056107B">
        <w:trPr>
          <w:trHeight w:val="224"/>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noWrap/>
            <w:vAlign w:val="center"/>
            <w:hideMark/>
          </w:tcPr>
          <w:p w14:paraId="54C2A30E"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Unspecified mix of HFCs and PFCs</w:t>
            </w:r>
          </w:p>
        </w:tc>
        <w:tc>
          <w:tcPr>
            <w:tcW w:w="127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9F64234"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75690DF"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F007588" w14:textId="4844410E"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NA,</w:t>
            </w:r>
            <w:r w:rsidR="00C804F2" w:rsidRPr="008517DB">
              <w:rPr>
                <w:rFonts w:asciiTheme="minorHAnsi" w:eastAsia="Calibri" w:hAnsiTheme="minorHAnsi" w:cstheme="minorHAnsi"/>
                <w:color w:val="000000" w:themeColor="text1"/>
                <w:sz w:val="18"/>
                <w:szCs w:val="18"/>
              </w:rPr>
              <w:t xml:space="preserve"> </w:t>
            </w:r>
            <w:r w:rsidRPr="008517DB">
              <w:rPr>
                <w:rFonts w:asciiTheme="minorHAnsi" w:eastAsia="Calibri" w:hAnsiTheme="minorHAnsi" w:cstheme="minorHAnsi"/>
                <w:color w:val="000000" w:themeColor="text1"/>
                <w:sz w:val="18"/>
                <w:szCs w:val="18"/>
              </w:rPr>
              <w:t>NO</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FA9B6EC" w14:textId="69BC3538"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NA,</w:t>
            </w:r>
            <w:r w:rsidR="00C804F2" w:rsidRPr="008517DB">
              <w:rPr>
                <w:rFonts w:asciiTheme="minorHAnsi" w:eastAsia="Calibri" w:hAnsiTheme="minorHAnsi" w:cstheme="minorHAnsi"/>
                <w:color w:val="000000" w:themeColor="text1"/>
                <w:sz w:val="18"/>
                <w:szCs w:val="18"/>
              </w:rPr>
              <w:t xml:space="preserve"> </w:t>
            </w:r>
            <w:r w:rsidRPr="008517DB">
              <w:rPr>
                <w:rFonts w:asciiTheme="minorHAnsi" w:eastAsia="Calibri" w:hAnsiTheme="minorHAnsi" w:cstheme="minorHAnsi"/>
                <w:color w:val="000000" w:themeColor="text1"/>
                <w:sz w:val="18"/>
                <w:szCs w:val="18"/>
              </w:rPr>
              <w:t>NO</w:t>
            </w:r>
          </w:p>
        </w:tc>
        <w:tc>
          <w:tcPr>
            <w:tcW w:w="1134"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CDB77BD" w14:textId="4025164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NA,</w:t>
            </w:r>
            <w:r w:rsidR="00C804F2" w:rsidRPr="008517DB">
              <w:rPr>
                <w:rFonts w:asciiTheme="minorHAnsi" w:eastAsia="Calibri" w:hAnsiTheme="minorHAnsi" w:cstheme="minorHAnsi"/>
                <w:color w:val="000000" w:themeColor="text1"/>
                <w:sz w:val="18"/>
                <w:szCs w:val="18"/>
              </w:rPr>
              <w:t xml:space="preserve"> </w:t>
            </w:r>
            <w:r w:rsidRPr="008517DB">
              <w:rPr>
                <w:rFonts w:asciiTheme="minorHAnsi" w:eastAsia="Calibri" w:hAnsiTheme="minorHAnsi" w:cstheme="minorHAnsi"/>
                <w:color w:val="000000" w:themeColor="text1"/>
                <w:sz w:val="18"/>
                <w:szCs w:val="18"/>
              </w:rPr>
              <w:t>NO</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A8D7F2D" w14:textId="614E9A0C"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NA,</w:t>
            </w:r>
            <w:r w:rsidR="00C804F2" w:rsidRPr="008517DB">
              <w:rPr>
                <w:rFonts w:asciiTheme="minorHAnsi" w:eastAsia="Calibri" w:hAnsiTheme="minorHAnsi" w:cstheme="minorHAnsi"/>
                <w:color w:val="000000" w:themeColor="text1"/>
                <w:sz w:val="18"/>
                <w:szCs w:val="18"/>
              </w:rPr>
              <w:t xml:space="preserve"> </w:t>
            </w:r>
            <w:r w:rsidRPr="008517DB">
              <w:rPr>
                <w:rFonts w:asciiTheme="minorHAnsi" w:eastAsia="Calibri" w:hAnsiTheme="minorHAnsi" w:cstheme="minorHAnsi"/>
                <w:color w:val="000000" w:themeColor="text1"/>
                <w:sz w:val="18"/>
                <w:szCs w:val="18"/>
              </w:rPr>
              <w:t>NO</w:t>
            </w: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154C24E" w14:textId="025707F9"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NA,</w:t>
            </w:r>
            <w:r w:rsidR="00C804F2" w:rsidRPr="008517DB">
              <w:rPr>
                <w:rFonts w:asciiTheme="minorHAnsi" w:eastAsia="Calibri" w:hAnsiTheme="minorHAnsi" w:cstheme="minorHAnsi"/>
                <w:color w:val="000000" w:themeColor="text1"/>
                <w:sz w:val="18"/>
                <w:szCs w:val="18"/>
              </w:rPr>
              <w:t xml:space="preserve"> </w:t>
            </w:r>
            <w:r w:rsidRPr="008517DB">
              <w:rPr>
                <w:rFonts w:asciiTheme="minorHAnsi" w:eastAsia="Calibri" w:hAnsiTheme="minorHAnsi" w:cstheme="minorHAnsi"/>
                <w:color w:val="000000" w:themeColor="text1"/>
                <w:sz w:val="18"/>
                <w:szCs w:val="18"/>
              </w:rPr>
              <w:t>NO</w:t>
            </w:r>
          </w:p>
        </w:tc>
        <w:tc>
          <w:tcPr>
            <w:tcW w:w="1131"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BAF05D3" w14:textId="2EDFB9ED"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NA,</w:t>
            </w:r>
            <w:r w:rsidR="00C804F2" w:rsidRPr="008517DB">
              <w:rPr>
                <w:rFonts w:asciiTheme="minorHAnsi" w:eastAsia="Calibri" w:hAnsiTheme="minorHAnsi" w:cstheme="minorHAnsi"/>
                <w:color w:val="000000" w:themeColor="text1"/>
                <w:sz w:val="18"/>
                <w:szCs w:val="18"/>
              </w:rPr>
              <w:t xml:space="preserve"> </w:t>
            </w:r>
            <w:r w:rsidRPr="008517DB">
              <w:rPr>
                <w:rFonts w:asciiTheme="minorHAnsi" w:eastAsia="Calibri" w:hAnsiTheme="minorHAnsi" w:cstheme="minorHAnsi"/>
                <w:color w:val="000000" w:themeColor="text1"/>
                <w:sz w:val="18"/>
                <w:szCs w:val="18"/>
              </w:rPr>
              <w:t>NO</w:t>
            </w:r>
          </w:p>
        </w:tc>
        <w:tc>
          <w:tcPr>
            <w:tcW w:w="1010"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47F412D" w14:textId="68B0AC8E"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NA,</w:t>
            </w:r>
            <w:r w:rsidR="00C804F2" w:rsidRPr="008517DB">
              <w:rPr>
                <w:rFonts w:asciiTheme="minorHAnsi" w:eastAsia="Calibri" w:hAnsiTheme="minorHAnsi" w:cstheme="minorHAnsi"/>
                <w:color w:val="000000" w:themeColor="text1"/>
                <w:sz w:val="18"/>
                <w:szCs w:val="18"/>
              </w:rPr>
              <w:t xml:space="preserve"> </w:t>
            </w:r>
            <w:r w:rsidRPr="008517DB">
              <w:rPr>
                <w:rFonts w:asciiTheme="minorHAnsi" w:eastAsia="Calibri" w:hAnsiTheme="minorHAnsi" w:cstheme="minorHAnsi"/>
                <w:color w:val="000000" w:themeColor="text1"/>
                <w:sz w:val="18"/>
                <w:szCs w:val="18"/>
              </w:rPr>
              <w:t>NO</w:t>
            </w:r>
          </w:p>
        </w:tc>
        <w:tc>
          <w:tcPr>
            <w:tcW w:w="1010"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60F426CC" w14:textId="68B5CCE9"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NA,</w:t>
            </w:r>
            <w:r w:rsidR="00C804F2" w:rsidRPr="008517DB">
              <w:rPr>
                <w:rFonts w:asciiTheme="minorHAnsi" w:eastAsia="Calibri" w:hAnsiTheme="minorHAnsi" w:cstheme="minorHAnsi"/>
                <w:color w:val="000000" w:themeColor="text1"/>
                <w:sz w:val="18"/>
                <w:szCs w:val="18"/>
              </w:rPr>
              <w:t xml:space="preserve"> </w:t>
            </w:r>
            <w:r w:rsidRPr="008517DB">
              <w:rPr>
                <w:rFonts w:asciiTheme="minorHAnsi" w:eastAsia="Calibri" w:hAnsiTheme="minorHAnsi" w:cstheme="minorHAnsi"/>
                <w:color w:val="000000" w:themeColor="text1"/>
                <w:sz w:val="18"/>
                <w:szCs w:val="18"/>
              </w:rPr>
              <w:t>NO</w:t>
            </w:r>
          </w:p>
        </w:tc>
      </w:tr>
      <w:tr w:rsidR="009B2872" w:rsidRPr="008517DB" w14:paraId="702DA81D" w14:textId="77777777" w:rsidTr="0056107B">
        <w:trPr>
          <w:trHeight w:val="224"/>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noWrap/>
            <w:vAlign w:val="center"/>
            <w:hideMark/>
          </w:tcPr>
          <w:p w14:paraId="2AD7548E"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sz w:val="18"/>
                <w:szCs w:val="18"/>
              </w:rPr>
              <w:t>SF</w:t>
            </w:r>
            <w:r w:rsidRPr="008517DB">
              <w:rPr>
                <w:rFonts w:asciiTheme="minorHAnsi" w:eastAsia="Times New Roman" w:hAnsiTheme="minorHAnsi" w:cstheme="minorHAnsi"/>
                <w:sz w:val="18"/>
                <w:szCs w:val="18"/>
                <w:vertAlign w:val="subscript"/>
              </w:rPr>
              <w:t>6</w:t>
            </w:r>
          </w:p>
        </w:tc>
        <w:tc>
          <w:tcPr>
            <w:tcW w:w="127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1D39E9C"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E78840A"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06E4469"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20.59</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1431C48"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21.50</w:t>
            </w:r>
          </w:p>
        </w:tc>
        <w:tc>
          <w:tcPr>
            <w:tcW w:w="1134"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6A0A91C"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22.58</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C8469ED"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23.39</w:t>
            </w: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EE0ADFB"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24.15</w:t>
            </w:r>
          </w:p>
        </w:tc>
        <w:tc>
          <w:tcPr>
            <w:tcW w:w="1131"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C7F689A"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25.17</w:t>
            </w:r>
          </w:p>
        </w:tc>
        <w:tc>
          <w:tcPr>
            <w:tcW w:w="1010"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EDC9D83"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25.40</w:t>
            </w:r>
          </w:p>
        </w:tc>
        <w:tc>
          <w:tcPr>
            <w:tcW w:w="1010"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40935B98"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26.37</w:t>
            </w:r>
          </w:p>
        </w:tc>
      </w:tr>
      <w:tr w:rsidR="009B2872" w:rsidRPr="008517DB" w14:paraId="7A690E00" w14:textId="77777777" w:rsidTr="0056107B">
        <w:trPr>
          <w:trHeight w:val="35"/>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noWrap/>
            <w:vAlign w:val="center"/>
            <w:hideMark/>
          </w:tcPr>
          <w:p w14:paraId="22974ED5"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sz w:val="18"/>
                <w:szCs w:val="18"/>
              </w:rPr>
              <w:t>NF</w:t>
            </w:r>
            <w:r w:rsidRPr="008517DB">
              <w:rPr>
                <w:rFonts w:asciiTheme="minorHAnsi" w:eastAsia="Times New Roman" w:hAnsiTheme="minorHAnsi" w:cstheme="minorHAnsi"/>
                <w:sz w:val="18"/>
                <w:szCs w:val="18"/>
                <w:vertAlign w:val="subscript"/>
              </w:rPr>
              <w:t>3</w:t>
            </w:r>
          </w:p>
        </w:tc>
        <w:tc>
          <w:tcPr>
            <w:tcW w:w="127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1B8033E"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B612E67"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A3DE6D4"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NO</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3CD42CF"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NO</w:t>
            </w:r>
          </w:p>
        </w:tc>
        <w:tc>
          <w:tcPr>
            <w:tcW w:w="1134"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488D957"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NO</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106A5CB"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NO</w:t>
            </w: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712FF49"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NO</w:t>
            </w:r>
          </w:p>
        </w:tc>
        <w:tc>
          <w:tcPr>
            <w:tcW w:w="1131"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ED8899C"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NO</w:t>
            </w:r>
          </w:p>
        </w:tc>
        <w:tc>
          <w:tcPr>
            <w:tcW w:w="1010"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423EEE0"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NO</w:t>
            </w:r>
          </w:p>
        </w:tc>
        <w:tc>
          <w:tcPr>
            <w:tcW w:w="1010"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318FF2F9" w14:textId="77777777" w:rsidR="009B2872" w:rsidRPr="008517DB" w:rsidRDefault="009B2872" w:rsidP="0085416A">
            <w:pPr>
              <w:spacing w:before="0" w:after="0" w:line="240" w:lineRule="auto"/>
              <w:jc w:val="right"/>
              <w:rPr>
                <w:rFonts w:asciiTheme="minorHAnsi" w:eastAsia="Calibri" w:hAnsiTheme="minorHAnsi" w:cstheme="minorHAnsi"/>
                <w:color w:val="000000" w:themeColor="text1"/>
                <w:sz w:val="18"/>
                <w:szCs w:val="18"/>
              </w:rPr>
            </w:pPr>
            <w:r w:rsidRPr="008517DB">
              <w:rPr>
                <w:rFonts w:asciiTheme="minorHAnsi" w:eastAsia="Calibri" w:hAnsiTheme="minorHAnsi" w:cstheme="minorHAnsi"/>
                <w:color w:val="000000" w:themeColor="text1"/>
                <w:sz w:val="18"/>
                <w:szCs w:val="18"/>
              </w:rPr>
              <w:t>NO</w:t>
            </w:r>
          </w:p>
        </w:tc>
      </w:tr>
      <w:tr w:rsidR="009B2872" w:rsidRPr="008517DB" w14:paraId="5D4A5503" w14:textId="77777777" w:rsidTr="0056107B">
        <w:trPr>
          <w:trHeight w:val="224"/>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vAlign w:val="center"/>
            <w:hideMark/>
          </w:tcPr>
          <w:p w14:paraId="2B4B0425" w14:textId="77777777" w:rsidR="009B2872" w:rsidRPr="008517DB" w:rsidRDefault="009B2872" w:rsidP="009B2872">
            <w:pPr>
              <w:spacing w:before="0" w:after="0" w:line="240" w:lineRule="auto"/>
              <w:jc w:val="left"/>
              <w:rPr>
                <w:rFonts w:asciiTheme="minorHAnsi" w:eastAsia="Times New Roman" w:hAnsiTheme="minorHAnsi" w:cstheme="minorHAnsi"/>
                <w:b/>
                <w:bCs/>
                <w:color w:val="000000"/>
                <w:sz w:val="18"/>
                <w:szCs w:val="18"/>
              </w:rPr>
            </w:pPr>
            <w:r w:rsidRPr="008517DB">
              <w:rPr>
                <w:rFonts w:asciiTheme="minorHAnsi" w:eastAsia="Times New Roman" w:hAnsiTheme="minorHAnsi" w:cstheme="minorHAnsi"/>
                <w:b/>
                <w:bCs/>
                <w:color w:val="000000"/>
                <w:sz w:val="18"/>
                <w:szCs w:val="18"/>
              </w:rPr>
              <w:t>Total (without LULUCF)</w:t>
            </w:r>
          </w:p>
        </w:tc>
        <w:tc>
          <w:tcPr>
            <w:tcW w:w="127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7EAD9E0" w14:textId="77777777" w:rsidR="009B2872" w:rsidRPr="008517DB" w:rsidRDefault="009B2872" w:rsidP="009B2872">
            <w:pPr>
              <w:spacing w:before="0" w:after="0" w:line="240" w:lineRule="auto"/>
              <w:jc w:val="left"/>
              <w:rPr>
                <w:rFonts w:asciiTheme="minorHAnsi" w:eastAsia="Times New Roman" w:hAnsiTheme="minorHAnsi" w:cstheme="minorHAnsi"/>
                <w:b/>
                <w:bCs/>
                <w:color w:val="000000"/>
                <w:sz w:val="18"/>
                <w:szCs w:val="18"/>
              </w:rPr>
            </w:pP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7B56FCC"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68E9DAE"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68,958.18</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843FB5F"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69,918.61</w:t>
            </w:r>
          </w:p>
        </w:tc>
        <w:tc>
          <w:tcPr>
            <w:tcW w:w="1134"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30F3937"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71,163.04</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A12B452"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71,017.98</w:t>
            </w: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A9C7040"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72,398.45</w:t>
            </w:r>
          </w:p>
        </w:tc>
        <w:tc>
          <w:tcPr>
            <w:tcW w:w="1131"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E8B2583"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72,988.35</w:t>
            </w:r>
          </w:p>
        </w:tc>
        <w:tc>
          <w:tcPr>
            <w:tcW w:w="1010"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B2AD965"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75,526.57</w:t>
            </w:r>
          </w:p>
        </w:tc>
        <w:tc>
          <w:tcPr>
            <w:tcW w:w="1010"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35E2EA7C"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78,163.57</w:t>
            </w:r>
          </w:p>
        </w:tc>
      </w:tr>
      <w:tr w:rsidR="009B2872" w:rsidRPr="008517DB" w14:paraId="2AE07204" w14:textId="77777777" w:rsidTr="0056107B">
        <w:trPr>
          <w:trHeight w:val="224"/>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vAlign w:val="center"/>
            <w:hideMark/>
          </w:tcPr>
          <w:p w14:paraId="07AC3640" w14:textId="77777777" w:rsidR="009B2872" w:rsidRPr="008517DB" w:rsidRDefault="009B2872" w:rsidP="009B2872">
            <w:pPr>
              <w:spacing w:before="0" w:after="0" w:line="240" w:lineRule="auto"/>
              <w:jc w:val="left"/>
              <w:rPr>
                <w:rFonts w:asciiTheme="minorHAnsi" w:eastAsia="Times New Roman" w:hAnsiTheme="minorHAnsi" w:cstheme="minorHAnsi"/>
                <w:b/>
                <w:bCs/>
                <w:color w:val="000000"/>
                <w:sz w:val="18"/>
                <w:szCs w:val="18"/>
              </w:rPr>
            </w:pPr>
            <w:r w:rsidRPr="008517DB">
              <w:rPr>
                <w:rFonts w:asciiTheme="minorHAnsi" w:eastAsia="Times New Roman" w:hAnsiTheme="minorHAnsi" w:cstheme="minorHAnsi"/>
                <w:b/>
                <w:bCs/>
                <w:color w:val="000000"/>
                <w:sz w:val="18"/>
                <w:szCs w:val="18"/>
              </w:rPr>
              <w:t>Total (with LULUCF)</w:t>
            </w:r>
          </w:p>
        </w:tc>
        <w:tc>
          <w:tcPr>
            <w:tcW w:w="127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4A9E6C6" w14:textId="77777777" w:rsidR="009B2872" w:rsidRPr="008517DB" w:rsidRDefault="009B2872" w:rsidP="009B2872">
            <w:pPr>
              <w:spacing w:before="0" w:after="0" w:line="240" w:lineRule="auto"/>
              <w:jc w:val="left"/>
              <w:rPr>
                <w:rFonts w:asciiTheme="minorHAnsi" w:eastAsia="Times New Roman" w:hAnsiTheme="minorHAnsi" w:cstheme="minorHAnsi"/>
                <w:b/>
                <w:bCs/>
                <w:color w:val="000000"/>
                <w:sz w:val="18"/>
                <w:szCs w:val="18"/>
              </w:rPr>
            </w:pP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5073C9B"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1ACD7C1"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44,633.56</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EDDF1F7"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43,704.49</w:t>
            </w:r>
          </w:p>
        </w:tc>
        <w:tc>
          <w:tcPr>
            <w:tcW w:w="1134"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398451A"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45,703.11</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39FF560"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45,158.32</w:t>
            </w: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A953254"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47,239.69</w:t>
            </w:r>
          </w:p>
        </w:tc>
        <w:tc>
          <w:tcPr>
            <w:tcW w:w="1131"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8B87ACF"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49,258.30</w:t>
            </w:r>
          </w:p>
        </w:tc>
        <w:tc>
          <w:tcPr>
            <w:tcW w:w="1010"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84C3D2E"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52,570.42</w:t>
            </w:r>
          </w:p>
        </w:tc>
        <w:tc>
          <w:tcPr>
            <w:tcW w:w="1010"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6FD3C95A"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54,553.45</w:t>
            </w:r>
          </w:p>
        </w:tc>
      </w:tr>
      <w:tr w:rsidR="009B2872" w:rsidRPr="008517DB" w14:paraId="05FD1BA1" w14:textId="77777777" w:rsidTr="0056107B">
        <w:trPr>
          <w:trHeight w:val="224"/>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vAlign w:val="center"/>
            <w:hideMark/>
          </w:tcPr>
          <w:p w14:paraId="7F82C1B7" w14:textId="77777777" w:rsidR="009B2872" w:rsidRPr="008517DB" w:rsidRDefault="009B2872" w:rsidP="009B2872">
            <w:pPr>
              <w:spacing w:before="0" w:after="0" w:line="240" w:lineRule="auto"/>
              <w:jc w:val="left"/>
              <w:rPr>
                <w:rFonts w:asciiTheme="minorHAnsi" w:eastAsia="Times New Roman" w:hAnsiTheme="minorHAnsi" w:cstheme="minorHAnsi"/>
                <w:b/>
                <w:bCs/>
                <w:color w:val="000000"/>
                <w:sz w:val="18"/>
                <w:szCs w:val="18"/>
              </w:rPr>
            </w:pPr>
            <w:r w:rsidRPr="008517DB">
              <w:rPr>
                <w:rFonts w:asciiTheme="minorHAnsi" w:eastAsia="Times New Roman" w:hAnsiTheme="minorHAnsi" w:cstheme="minorHAnsi"/>
                <w:b/>
                <w:bCs/>
                <w:color w:val="000000"/>
                <w:sz w:val="18"/>
                <w:szCs w:val="18"/>
              </w:rPr>
              <w:t>Total (without LULUCF, with indirect)</w:t>
            </w:r>
          </w:p>
        </w:tc>
        <w:tc>
          <w:tcPr>
            <w:tcW w:w="127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64E8782" w14:textId="77777777" w:rsidR="009B2872" w:rsidRPr="008517DB" w:rsidRDefault="009B2872" w:rsidP="009B2872">
            <w:pPr>
              <w:spacing w:before="0" w:after="0" w:line="240" w:lineRule="auto"/>
              <w:jc w:val="left"/>
              <w:rPr>
                <w:rFonts w:asciiTheme="minorHAnsi" w:eastAsia="Times New Roman" w:hAnsiTheme="minorHAnsi" w:cstheme="minorHAnsi"/>
                <w:b/>
                <w:bCs/>
                <w:color w:val="000000"/>
                <w:sz w:val="18"/>
                <w:szCs w:val="18"/>
              </w:rPr>
            </w:pP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DB17426"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BC19B30"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68,958.18</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D6B61EC"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69,918.61</w:t>
            </w:r>
          </w:p>
        </w:tc>
        <w:tc>
          <w:tcPr>
            <w:tcW w:w="1134"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B985A45"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71,163.04</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ECC0A78"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71,017.98</w:t>
            </w: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4BA6BBF"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72,398.45</w:t>
            </w:r>
          </w:p>
        </w:tc>
        <w:tc>
          <w:tcPr>
            <w:tcW w:w="1131"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EC4432B"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72,988.35</w:t>
            </w:r>
          </w:p>
        </w:tc>
        <w:tc>
          <w:tcPr>
            <w:tcW w:w="1010"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A51BF15"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75,526.57</w:t>
            </w:r>
          </w:p>
        </w:tc>
        <w:tc>
          <w:tcPr>
            <w:tcW w:w="1010"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3D1C6936"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78,163.57</w:t>
            </w:r>
          </w:p>
        </w:tc>
      </w:tr>
      <w:tr w:rsidR="009B2872" w:rsidRPr="008517DB" w14:paraId="10683574" w14:textId="77777777" w:rsidTr="0056107B">
        <w:trPr>
          <w:trHeight w:val="35"/>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vAlign w:val="center"/>
            <w:hideMark/>
          </w:tcPr>
          <w:p w14:paraId="5A19AF40" w14:textId="77777777" w:rsidR="009B2872" w:rsidRPr="008517DB" w:rsidRDefault="009B2872" w:rsidP="009B2872">
            <w:pPr>
              <w:spacing w:before="0" w:after="0" w:line="240" w:lineRule="auto"/>
              <w:jc w:val="left"/>
              <w:rPr>
                <w:rFonts w:asciiTheme="minorHAnsi" w:eastAsia="Times New Roman" w:hAnsiTheme="minorHAnsi" w:cstheme="minorHAnsi"/>
                <w:b/>
                <w:bCs/>
                <w:color w:val="000000"/>
                <w:sz w:val="18"/>
                <w:szCs w:val="18"/>
              </w:rPr>
            </w:pPr>
            <w:r w:rsidRPr="008517DB">
              <w:rPr>
                <w:rFonts w:asciiTheme="minorHAnsi" w:eastAsia="Times New Roman" w:hAnsiTheme="minorHAnsi" w:cstheme="minorHAnsi"/>
                <w:b/>
                <w:bCs/>
                <w:color w:val="000000"/>
                <w:sz w:val="18"/>
                <w:szCs w:val="18"/>
              </w:rPr>
              <w:t>Total (with LULUCF, with indirect)</w:t>
            </w:r>
          </w:p>
        </w:tc>
        <w:tc>
          <w:tcPr>
            <w:tcW w:w="1275"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6651A32" w14:textId="77777777" w:rsidR="009B2872" w:rsidRPr="008517DB" w:rsidRDefault="009B2872" w:rsidP="009B2872">
            <w:pPr>
              <w:spacing w:before="0" w:after="0" w:line="240" w:lineRule="auto"/>
              <w:jc w:val="left"/>
              <w:rPr>
                <w:rFonts w:asciiTheme="minorHAnsi" w:eastAsia="Times New Roman" w:hAnsiTheme="minorHAnsi" w:cstheme="minorHAnsi"/>
                <w:b/>
                <w:bCs/>
                <w:color w:val="000000"/>
                <w:sz w:val="18"/>
                <w:szCs w:val="18"/>
              </w:rPr>
            </w:pP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FAAB1E1"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276C3AE"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44,633.56</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13DB3DE"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43,704.49</w:t>
            </w:r>
          </w:p>
        </w:tc>
        <w:tc>
          <w:tcPr>
            <w:tcW w:w="1134"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72A1453"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45,703.11</w:t>
            </w:r>
          </w:p>
        </w:tc>
        <w:tc>
          <w:tcPr>
            <w:tcW w:w="992"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45ABBB3"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45,158.32</w:t>
            </w:r>
          </w:p>
        </w:tc>
        <w:tc>
          <w:tcPr>
            <w:tcW w:w="993"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7DF8C22"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47,239.69</w:t>
            </w:r>
          </w:p>
        </w:tc>
        <w:tc>
          <w:tcPr>
            <w:tcW w:w="1131"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60FC07A"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49,258.30</w:t>
            </w:r>
          </w:p>
        </w:tc>
        <w:tc>
          <w:tcPr>
            <w:tcW w:w="1010" w:type="dxa"/>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557F725"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52,570.42</w:t>
            </w:r>
          </w:p>
        </w:tc>
        <w:tc>
          <w:tcPr>
            <w:tcW w:w="1010"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1AB0EC5C" w14:textId="77777777" w:rsidR="009B2872" w:rsidRPr="008517DB" w:rsidRDefault="009B2872" w:rsidP="0085416A">
            <w:pPr>
              <w:spacing w:before="0" w:after="0" w:line="240" w:lineRule="auto"/>
              <w:jc w:val="right"/>
              <w:rPr>
                <w:rFonts w:asciiTheme="minorHAnsi" w:eastAsia="Calibri" w:hAnsiTheme="minorHAnsi" w:cstheme="minorHAnsi"/>
                <w:b/>
                <w:bCs/>
                <w:color w:val="000000" w:themeColor="text1"/>
                <w:sz w:val="18"/>
                <w:szCs w:val="18"/>
              </w:rPr>
            </w:pPr>
            <w:r w:rsidRPr="008517DB">
              <w:rPr>
                <w:rFonts w:asciiTheme="minorHAnsi" w:eastAsia="Calibri" w:hAnsiTheme="minorHAnsi" w:cstheme="minorHAnsi"/>
                <w:b/>
                <w:bCs/>
                <w:color w:val="000000" w:themeColor="text1"/>
                <w:sz w:val="18"/>
                <w:szCs w:val="18"/>
              </w:rPr>
              <w:t>54,553.45</w:t>
            </w:r>
          </w:p>
        </w:tc>
      </w:tr>
    </w:tbl>
    <w:p w14:paraId="08D7672E" w14:textId="77777777" w:rsidR="009B2872" w:rsidRPr="009B2872" w:rsidRDefault="009B2872" w:rsidP="009B2872">
      <w:pPr>
        <w:widowControl w:val="0"/>
        <w:adjustRightInd w:val="0"/>
        <w:spacing w:before="0" w:after="0" w:line="240" w:lineRule="auto"/>
        <w:ind w:left="397" w:hanging="397"/>
        <w:jc w:val="left"/>
        <w:textAlignment w:val="baseline"/>
        <w:rPr>
          <w:rFonts w:eastAsia="Times New Roman" w:cs="Times New Roman"/>
          <w:sz w:val="18"/>
        </w:rPr>
      </w:pPr>
    </w:p>
    <w:tbl>
      <w:tblPr>
        <w:tblW w:w="14515" w:type="dxa"/>
        <w:tblInd w:w="-5" w:type="dxa"/>
        <w:tblBorders>
          <w:top w:val="single" w:sz="4" w:space="0" w:color="1B556B" w:themeColor="text2"/>
          <w:left w:val="single" w:sz="4" w:space="0" w:color="1B556B" w:themeColor="text2"/>
          <w:bottom w:val="single" w:sz="4" w:space="0" w:color="1B556B" w:themeColor="text2"/>
          <w:right w:val="single" w:sz="4" w:space="0" w:color="1B556B" w:themeColor="text2"/>
          <w:insideH w:val="single" w:sz="4" w:space="0" w:color="1B556B" w:themeColor="text2"/>
          <w:insideV w:val="single" w:sz="4" w:space="0" w:color="1B556B" w:themeColor="text2"/>
        </w:tblBorders>
        <w:tblCellMar>
          <w:top w:w="15" w:type="dxa"/>
          <w:bottom w:w="15" w:type="dxa"/>
        </w:tblCellMar>
        <w:tblLook w:val="04A0" w:firstRow="1" w:lastRow="0" w:firstColumn="1" w:lastColumn="0" w:noHBand="0" w:noVBand="1"/>
      </w:tblPr>
      <w:tblGrid>
        <w:gridCol w:w="3823"/>
        <w:gridCol w:w="164"/>
        <w:gridCol w:w="1042"/>
        <w:gridCol w:w="95"/>
        <w:gridCol w:w="973"/>
        <w:gridCol w:w="226"/>
        <w:gridCol w:w="796"/>
        <w:gridCol w:w="404"/>
        <w:gridCol w:w="618"/>
        <w:gridCol w:w="535"/>
        <w:gridCol w:w="487"/>
        <w:gridCol w:w="712"/>
        <w:gridCol w:w="341"/>
        <w:gridCol w:w="706"/>
        <w:gridCol w:w="316"/>
        <w:gridCol w:w="882"/>
        <w:gridCol w:w="140"/>
        <w:gridCol w:w="1009"/>
        <w:gridCol w:w="13"/>
        <w:gridCol w:w="1052"/>
        <w:gridCol w:w="181"/>
      </w:tblGrid>
      <w:tr w:rsidR="009B2872" w:rsidRPr="008517DB" w14:paraId="58D8D3C2" w14:textId="77777777" w:rsidTr="00DB1A89">
        <w:trPr>
          <w:gridAfter w:val="1"/>
          <w:wAfter w:w="176" w:type="dxa"/>
        </w:trPr>
        <w:tc>
          <w:tcPr>
            <w:tcW w:w="3823" w:type="dxa"/>
            <w:shd w:val="clear" w:color="auto" w:fill="1B556B"/>
            <w:vAlign w:val="center"/>
            <w:hideMark/>
          </w:tcPr>
          <w:p w14:paraId="4A9E007D" w14:textId="5359F556" w:rsidR="009B2872" w:rsidRPr="008517DB" w:rsidRDefault="00247657" w:rsidP="009B2872">
            <w:pPr>
              <w:spacing w:before="0" w:after="0" w:line="240" w:lineRule="auto"/>
              <w:jc w:val="left"/>
              <w:rPr>
                <w:rFonts w:asciiTheme="minorHAnsi" w:eastAsia="Times New Roman" w:hAnsiTheme="minorHAnsi" w:cstheme="minorHAnsi"/>
                <w:b/>
                <w:bCs/>
                <w:color w:val="FFFFFF" w:themeColor="background1"/>
                <w:sz w:val="18"/>
                <w:szCs w:val="18"/>
              </w:rPr>
            </w:pPr>
            <w:r w:rsidRPr="008517DB">
              <w:rPr>
                <w:rFonts w:asciiTheme="minorHAnsi" w:eastAsia="Times New Roman" w:hAnsiTheme="minorHAnsi" w:cstheme="minorHAnsi"/>
                <w:b/>
                <w:bCs/>
                <w:color w:val="FFFFFF" w:themeColor="background1"/>
                <w:sz w:val="18"/>
                <w:szCs w:val="18"/>
              </w:rPr>
              <w:t>Greenhouse gas source and sink categories</w:t>
            </w:r>
          </w:p>
        </w:tc>
        <w:tc>
          <w:tcPr>
            <w:tcW w:w="1206" w:type="dxa"/>
            <w:gridSpan w:val="2"/>
            <w:shd w:val="clear" w:color="auto" w:fill="1B556B"/>
            <w:vAlign w:val="center"/>
            <w:hideMark/>
          </w:tcPr>
          <w:p w14:paraId="2A859EC4" w14:textId="77777777" w:rsidR="009B2872" w:rsidRPr="008517DB"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8517DB">
              <w:rPr>
                <w:rFonts w:asciiTheme="minorHAnsi" w:eastAsia="Times New Roman" w:hAnsiTheme="minorHAnsi" w:cstheme="minorHAnsi"/>
                <w:b/>
                <w:bCs/>
                <w:color w:val="FFFFFF" w:themeColor="background1"/>
                <w:sz w:val="18"/>
                <w:szCs w:val="18"/>
              </w:rPr>
              <w:t xml:space="preserve">Reference year/period for NDC </w:t>
            </w:r>
            <w:r w:rsidRPr="008517DB">
              <w:rPr>
                <w:rFonts w:asciiTheme="minorHAnsi" w:eastAsia="Times New Roman" w:hAnsiTheme="minorHAnsi" w:cstheme="minorHAnsi"/>
                <w:b/>
                <w:bCs/>
                <w:color w:val="FFFFFF" w:themeColor="background1"/>
                <w:sz w:val="18"/>
                <w:szCs w:val="18"/>
                <w:vertAlign w:val="superscript"/>
              </w:rPr>
              <w:t>(1)</w:t>
            </w:r>
          </w:p>
        </w:tc>
        <w:tc>
          <w:tcPr>
            <w:tcW w:w="1068" w:type="dxa"/>
            <w:gridSpan w:val="2"/>
            <w:shd w:val="clear" w:color="auto" w:fill="1B556B"/>
            <w:vAlign w:val="center"/>
            <w:hideMark/>
          </w:tcPr>
          <w:p w14:paraId="6328997F" w14:textId="77777777" w:rsidR="009B2872" w:rsidRPr="008517DB"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8517DB">
              <w:rPr>
                <w:rFonts w:asciiTheme="minorHAnsi" w:eastAsia="Times New Roman" w:hAnsiTheme="minorHAnsi" w:cstheme="minorHAnsi"/>
                <w:b/>
                <w:bCs/>
                <w:color w:val="FFFFFF" w:themeColor="background1"/>
                <w:sz w:val="18"/>
                <w:szCs w:val="18"/>
              </w:rPr>
              <w:t xml:space="preserve">Base year </w:t>
            </w:r>
            <w:r w:rsidRPr="008517DB">
              <w:rPr>
                <w:rFonts w:asciiTheme="minorHAnsi" w:eastAsia="Times New Roman" w:hAnsiTheme="minorHAnsi" w:cstheme="minorHAnsi"/>
                <w:color w:val="FFFFFF" w:themeColor="background1"/>
                <w:sz w:val="18"/>
                <w:szCs w:val="18"/>
                <w:vertAlign w:val="superscript"/>
              </w:rPr>
              <w:t>(2)</w:t>
            </w:r>
          </w:p>
        </w:tc>
        <w:tc>
          <w:tcPr>
            <w:tcW w:w="1022" w:type="dxa"/>
            <w:gridSpan w:val="2"/>
            <w:shd w:val="clear" w:color="auto" w:fill="1B556B"/>
            <w:noWrap/>
            <w:vAlign w:val="center"/>
            <w:hideMark/>
          </w:tcPr>
          <w:p w14:paraId="2795843D" w14:textId="77777777" w:rsidR="009B2872" w:rsidRPr="008517DB"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8517DB">
              <w:rPr>
                <w:rFonts w:asciiTheme="minorHAnsi" w:eastAsia="Times New Roman" w:hAnsiTheme="minorHAnsi" w:cstheme="minorHAnsi"/>
                <w:b/>
                <w:bCs/>
                <w:color w:val="FFFFFF" w:themeColor="background1"/>
                <w:sz w:val="18"/>
                <w:szCs w:val="18"/>
              </w:rPr>
              <w:t>1990</w:t>
            </w:r>
          </w:p>
        </w:tc>
        <w:tc>
          <w:tcPr>
            <w:tcW w:w="1022" w:type="dxa"/>
            <w:gridSpan w:val="2"/>
            <w:shd w:val="clear" w:color="auto" w:fill="1B556B"/>
            <w:noWrap/>
            <w:vAlign w:val="center"/>
            <w:hideMark/>
          </w:tcPr>
          <w:p w14:paraId="2DFEEF9A" w14:textId="77777777" w:rsidR="009B2872" w:rsidRPr="008517DB"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8517DB">
              <w:rPr>
                <w:rFonts w:asciiTheme="minorHAnsi" w:eastAsia="Times New Roman" w:hAnsiTheme="minorHAnsi" w:cstheme="minorHAnsi"/>
                <w:b/>
                <w:bCs/>
                <w:color w:val="FFFFFF" w:themeColor="background1"/>
                <w:sz w:val="18"/>
                <w:szCs w:val="18"/>
              </w:rPr>
              <w:t>1991</w:t>
            </w:r>
          </w:p>
        </w:tc>
        <w:tc>
          <w:tcPr>
            <w:tcW w:w="1022" w:type="dxa"/>
            <w:gridSpan w:val="2"/>
            <w:shd w:val="clear" w:color="auto" w:fill="1B556B"/>
            <w:noWrap/>
            <w:vAlign w:val="center"/>
            <w:hideMark/>
          </w:tcPr>
          <w:p w14:paraId="283ABFD0" w14:textId="77777777" w:rsidR="009B2872" w:rsidRPr="008517DB"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8517DB">
              <w:rPr>
                <w:rFonts w:asciiTheme="minorHAnsi" w:eastAsia="Times New Roman" w:hAnsiTheme="minorHAnsi" w:cstheme="minorHAnsi"/>
                <w:b/>
                <w:bCs/>
                <w:color w:val="FFFFFF" w:themeColor="background1"/>
                <w:sz w:val="18"/>
                <w:szCs w:val="18"/>
              </w:rPr>
              <w:t>1992</w:t>
            </w:r>
          </w:p>
        </w:tc>
        <w:tc>
          <w:tcPr>
            <w:tcW w:w="1053" w:type="dxa"/>
            <w:gridSpan w:val="2"/>
            <w:shd w:val="clear" w:color="auto" w:fill="1B556B"/>
            <w:noWrap/>
            <w:vAlign w:val="center"/>
            <w:hideMark/>
          </w:tcPr>
          <w:p w14:paraId="70DD525F" w14:textId="77777777" w:rsidR="009B2872" w:rsidRPr="008517DB"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8517DB">
              <w:rPr>
                <w:rFonts w:asciiTheme="minorHAnsi" w:eastAsia="Times New Roman" w:hAnsiTheme="minorHAnsi" w:cstheme="minorHAnsi"/>
                <w:b/>
                <w:bCs/>
                <w:color w:val="FFFFFF" w:themeColor="background1"/>
                <w:sz w:val="18"/>
                <w:szCs w:val="18"/>
              </w:rPr>
              <w:t>1993</w:t>
            </w:r>
          </w:p>
        </w:tc>
        <w:tc>
          <w:tcPr>
            <w:tcW w:w="1022" w:type="dxa"/>
            <w:gridSpan w:val="2"/>
            <w:shd w:val="clear" w:color="auto" w:fill="1B556B"/>
            <w:noWrap/>
            <w:vAlign w:val="center"/>
            <w:hideMark/>
          </w:tcPr>
          <w:p w14:paraId="75ADEF1C" w14:textId="77777777" w:rsidR="009B2872" w:rsidRPr="008517DB"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8517DB">
              <w:rPr>
                <w:rFonts w:asciiTheme="minorHAnsi" w:eastAsia="Times New Roman" w:hAnsiTheme="minorHAnsi" w:cstheme="minorHAnsi"/>
                <w:b/>
                <w:bCs/>
                <w:color w:val="FFFFFF" w:themeColor="background1"/>
                <w:sz w:val="18"/>
                <w:szCs w:val="18"/>
              </w:rPr>
              <w:t>1994</w:t>
            </w:r>
          </w:p>
        </w:tc>
        <w:tc>
          <w:tcPr>
            <w:tcW w:w="1022" w:type="dxa"/>
            <w:gridSpan w:val="2"/>
            <w:shd w:val="clear" w:color="auto" w:fill="1B556B"/>
            <w:noWrap/>
            <w:vAlign w:val="center"/>
            <w:hideMark/>
          </w:tcPr>
          <w:p w14:paraId="2CBAF4E4" w14:textId="77777777" w:rsidR="009B2872" w:rsidRPr="008517DB"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8517DB">
              <w:rPr>
                <w:rFonts w:asciiTheme="minorHAnsi" w:eastAsia="Times New Roman" w:hAnsiTheme="minorHAnsi" w:cstheme="minorHAnsi"/>
                <w:b/>
                <w:bCs/>
                <w:color w:val="FFFFFF" w:themeColor="background1"/>
                <w:sz w:val="18"/>
                <w:szCs w:val="18"/>
              </w:rPr>
              <w:t>1995</w:t>
            </w:r>
          </w:p>
        </w:tc>
        <w:tc>
          <w:tcPr>
            <w:tcW w:w="1022" w:type="dxa"/>
            <w:gridSpan w:val="2"/>
            <w:shd w:val="clear" w:color="auto" w:fill="1B556B"/>
            <w:noWrap/>
            <w:vAlign w:val="center"/>
            <w:hideMark/>
          </w:tcPr>
          <w:p w14:paraId="1B51A213" w14:textId="77777777" w:rsidR="009B2872" w:rsidRPr="008517DB"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8517DB">
              <w:rPr>
                <w:rFonts w:asciiTheme="minorHAnsi" w:eastAsia="Times New Roman" w:hAnsiTheme="minorHAnsi" w:cstheme="minorHAnsi"/>
                <w:b/>
                <w:bCs/>
                <w:color w:val="FFFFFF" w:themeColor="background1"/>
                <w:sz w:val="18"/>
                <w:szCs w:val="18"/>
              </w:rPr>
              <w:t>1996</w:t>
            </w:r>
          </w:p>
        </w:tc>
        <w:tc>
          <w:tcPr>
            <w:tcW w:w="1052" w:type="dxa"/>
            <w:shd w:val="clear" w:color="auto" w:fill="1B556B"/>
            <w:noWrap/>
            <w:vAlign w:val="center"/>
            <w:hideMark/>
          </w:tcPr>
          <w:p w14:paraId="25C3852D" w14:textId="77777777" w:rsidR="009B2872" w:rsidRPr="008517DB"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8517DB">
              <w:rPr>
                <w:rFonts w:asciiTheme="minorHAnsi" w:eastAsia="Times New Roman" w:hAnsiTheme="minorHAnsi" w:cstheme="minorHAnsi"/>
                <w:b/>
                <w:bCs/>
                <w:color w:val="FFFFFF" w:themeColor="background1"/>
                <w:sz w:val="18"/>
                <w:szCs w:val="18"/>
              </w:rPr>
              <w:t>1997</w:t>
            </w:r>
          </w:p>
        </w:tc>
      </w:tr>
      <w:tr w:rsidR="009B2872" w:rsidRPr="008517DB" w14:paraId="4BE5AF8C" w14:textId="77777777" w:rsidTr="007D572D">
        <w:trPr>
          <w:gridAfter w:val="1"/>
          <w:wAfter w:w="176" w:type="dxa"/>
        </w:trPr>
        <w:tc>
          <w:tcPr>
            <w:tcW w:w="3823" w:type="dxa"/>
            <w:tcBorders>
              <w:bottom w:val="single" w:sz="4" w:space="0" w:color="1B556B" w:themeColor="text2"/>
            </w:tcBorders>
            <w:shd w:val="clear" w:color="auto" w:fill="1B556B"/>
            <w:vAlign w:val="center"/>
            <w:hideMark/>
          </w:tcPr>
          <w:p w14:paraId="11408D1A" w14:textId="77777777" w:rsidR="009B2872" w:rsidRPr="008517DB"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p>
        </w:tc>
        <w:tc>
          <w:tcPr>
            <w:tcW w:w="10511" w:type="dxa"/>
            <w:gridSpan w:val="19"/>
            <w:tcBorders>
              <w:bottom w:val="single" w:sz="4" w:space="0" w:color="1B556B" w:themeColor="text2"/>
            </w:tcBorders>
            <w:shd w:val="clear" w:color="auto" w:fill="1B556B"/>
            <w:vAlign w:val="center"/>
            <w:hideMark/>
          </w:tcPr>
          <w:p w14:paraId="7471C6D4" w14:textId="77777777" w:rsidR="009B2872" w:rsidRPr="008517DB" w:rsidRDefault="009B2872" w:rsidP="009B2872">
            <w:pPr>
              <w:spacing w:before="0" w:after="0" w:line="240" w:lineRule="auto"/>
              <w:jc w:val="left"/>
              <w:rPr>
                <w:rFonts w:asciiTheme="minorHAnsi" w:eastAsia="Times New Roman" w:hAnsiTheme="minorHAnsi" w:cstheme="minorHAnsi"/>
                <w:color w:val="FFFFFF" w:themeColor="background1"/>
                <w:sz w:val="18"/>
                <w:szCs w:val="18"/>
              </w:rPr>
            </w:pPr>
            <w:r w:rsidRPr="008517DB">
              <w:rPr>
                <w:rFonts w:asciiTheme="minorHAnsi" w:eastAsia="Times New Roman" w:hAnsiTheme="minorHAnsi" w:cstheme="minorHAnsi"/>
                <w:b/>
                <w:bCs/>
                <w:color w:val="FFFFFF" w:themeColor="background1"/>
                <w:sz w:val="18"/>
                <w:szCs w:val="18"/>
              </w:rPr>
              <w:t>CO</w:t>
            </w:r>
            <w:r w:rsidRPr="008517DB">
              <w:rPr>
                <w:rFonts w:asciiTheme="minorHAnsi" w:eastAsia="Times New Roman" w:hAnsiTheme="minorHAnsi" w:cstheme="minorHAnsi"/>
                <w:b/>
                <w:bCs/>
                <w:color w:val="FFFFFF" w:themeColor="background1"/>
                <w:sz w:val="18"/>
                <w:szCs w:val="18"/>
                <w:vertAlign w:val="subscript"/>
              </w:rPr>
              <w:t>2</w:t>
            </w:r>
            <w:r w:rsidRPr="008517DB">
              <w:rPr>
                <w:rFonts w:asciiTheme="minorHAnsi" w:eastAsia="Times New Roman" w:hAnsiTheme="minorHAnsi" w:cstheme="minorHAnsi"/>
                <w:b/>
                <w:bCs/>
                <w:color w:val="FFFFFF" w:themeColor="background1"/>
                <w:sz w:val="18"/>
                <w:szCs w:val="18"/>
              </w:rPr>
              <w:t xml:space="preserve"> equivalents (kt) </w:t>
            </w:r>
            <w:r w:rsidRPr="008517DB">
              <w:rPr>
                <w:rFonts w:asciiTheme="minorHAnsi" w:eastAsia="Times New Roman" w:hAnsiTheme="minorHAnsi" w:cstheme="minorHAnsi"/>
                <w:color w:val="FFFFFF" w:themeColor="background1"/>
                <w:sz w:val="18"/>
                <w:szCs w:val="18"/>
                <w:vertAlign w:val="superscript"/>
              </w:rPr>
              <w:t>(3)</w:t>
            </w:r>
          </w:p>
        </w:tc>
      </w:tr>
      <w:tr w:rsidR="009B2872" w:rsidRPr="008517DB" w14:paraId="549BF6D3" w14:textId="77777777" w:rsidTr="007D572D">
        <w:trPr>
          <w:gridAfter w:val="1"/>
          <w:wAfter w:w="176" w:type="dxa"/>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noWrap/>
            <w:vAlign w:val="center"/>
            <w:hideMark/>
          </w:tcPr>
          <w:p w14:paraId="458C6381" w14:textId="57812758"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 xml:space="preserve">1. Energy </w:t>
            </w:r>
          </w:p>
        </w:tc>
        <w:tc>
          <w:tcPr>
            <w:tcW w:w="1206"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5D216F1"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1068"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7C6F58A"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6C68EBF"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23,998.31</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A5EE02D"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24,458.23</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4CAC6F5"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26,297.47</w:t>
            </w:r>
          </w:p>
        </w:tc>
        <w:tc>
          <w:tcPr>
            <w:tcW w:w="1053"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23F9014"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25,823.09</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B871878"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26,139.62</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8C29F32"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25,898.65</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D61EE59"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27,502.26</w:t>
            </w:r>
          </w:p>
        </w:tc>
        <w:tc>
          <w:tcPr>
            <w:tcW w:w="1052"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2101941E"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29,513.99</w:t>
            </w:r>
          </w:p>
        </w:tc>
      </w:tr>
      <w:tr w:rsidR="009B2872" w:rsidRPr="008517DB" w14:paraId="03E5B0E6" w14:textId="77777777" w:rsidTr="007D572D">
        <w:trPr>
          <w:gridAfter w:val="1"/>
          <w:wAfter w:w="176" w:type="dxa"/>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noWrap/>
            <w:vAlign w:val="center"/>
            <w:hideMark/>
          </w:tcPr>
          <w:p w14:paraId="7E58D1C4" w14:textId="32C319AC"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 xml:space="preserve">2. Industrial </w:t>
            </w:r>
            <w:r w:rsidR="000A6316" w:rsidRPr="008517DB">
              <w:rPr>
                <w:rFonts w:asciiTheme="minorHAnsi" w:eastAsia="Times New Roman" w:hAnsiTheme="minorHAnsi" w:cstheme="minorHAnsi"/>
                <w:color w:val="000000"/>
                <w:sz w:val="18"/>
                <w:szCs w:val="18"/>
              </w:rPr>
              <w:t>P</w:t>
            </w:r>
            <w:r w:rsidRPr="008517DB">
              <w:rPr>
                <w:rFonts w:asciiTheme="minorHAnsi" w:eastAsia="Times New Roman" w:hAnsiTheme="minorHAnsi" w:cstheme="minorHAnsi"/>
                <w:color w:val="000000"/>
                <w:sz w:val="18"/>
                <w:szCs w:val="18"/>
              </w:rPr>
              <w:t xml:space="preserve">rocesses and </w:t>
            </w:r>
            <w:r w:rsidR="000A6316" w:rsidRPr="008517DB">
              <w:rPr>
                <w:rFonts w:asciiTheme="minorHAnsi" w:eastAsia="Times New Roman" w:hAnsiTheme="minorHAnsi" w:cstheme="minorHAnsi"/>
                <w:color w:val="000000"/>
                <w:sz w:val="18"/>
                <w:szCs w:val="18"/>
              </w:rPr>
              <w:t>P</w:t>
            </w:r>
            <w:r w:rsidRPr="008517DB">
              <w:rPr>
                <w:rFonts w:asciiTheme="minorHAnsi" w:eastAsia="Times New Roman" w:hAnsiTheme="minorHAnsi" w:cstheme="minorHAnsi"/>
                <w:color w:val="000000"/>
                <w:sz w:val="18"/>
                <w:szCs w:val="18"/>
              </w:rPr>
              <w:t xml:space="preserve">roduct </w:t>
            </w:r>
            <w:r w:rsidR="000A6316" w:rsidRPr="008517DB">
              <w:rPr>
                <w:rFonts w:asciiTheme="minorHAnsi" w:eastAsia="Times New Roman" w:hAnsiTheme="minorHAnsi" w:cstheme="minorHAnsi"/>
                <w:color w:val="000000"/>
                <w:sz w:val="18"/>
                <w:szCs w:val="18"/>
              </w:rPr>
              <w:t>U</w:t>
            </w:r>
            <w:r w:rsidRPr="008517DB">
              <w:rPr>
                <w:rFonts w:asciiTheme="minorHAnsi" w:eastAsia="Times New Roman" w:hAnsiTheme="minorHAnsi" w:cstheme="minorHAnsi"/>
                <w:color w:val="000000"/>
                <w:sz w:val="18"/>
                <w:szCs w:val="18"/>
              </w:rPr>
              <w:t>se</w:t>
            </w:r>
          </w:p>
        </w:tc>
        <w:tc>
          <w:tcPr>
            <w:tcW w:w="1206"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0745998"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1068"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A9DECC3"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790FF29"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3,478.23</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099875C"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3,632.81</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CEAA87F"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3,322.77</w:t>
            </w:r>
          </w:p>
        </w:tc>
        <w:tc>
          <w:tcPr>
            <w:tcW w:w="1053"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14EBBF9"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3,188.68</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48DFCE5"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3,066.20</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62BDB4C"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3,166.18</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B88C0FC"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3,331.17</w:t>
            </w:r>
          </w:p>
        </w:tc>
        <w:tc>
          <w:tcPr>
            <w:tcW w:w="1052"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58605D3C"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3,253.57</w:t>
            </w:r>
          </w:p>
        </w:tc>
      </w:tr>
      <w:tr w:rsidR="009B2872" w:rsidRPr="008517DB" w14:paraId="5A7FC24D" w14:textId="77777777" w:rsidTr="007D572D">
        <w:trPr>
          <w:gridAfter w:val="1"/>
          <w:wAfter w:w="176" w:type="dxa"/>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noWrap/>
            <w:vAlign w:val="center"/>
            <w:hideMark/>
          </w:tcPr>
          <w:p w14:paraId="1DC022D3" w14:textId="01BCAD76"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 xml:space="preserve">3. Agriculture </w:t>
            </w:r>
          </w:p>
        </w:tc>
        <w:tc>
          <w:tcPr>
            <w:tcW w:w="1206"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F04C620"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1068"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531B2C9"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EA497EA"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37,121.53</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B64F67B"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37,346.78</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B507392"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36,948.73</w:t>
            </w:r>
          </w:p>
        </w:tc>
        <w:tc>
          <w:tcPr>
            <w:tcW w:w="1053"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86E8C4C"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37,294.86</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408F46F"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38,607.77</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6962256"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39,235.02</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8B0192F"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39,907.26</w:t>
            </w:r>
          </w:p>
        </w:tc>
        <w:tc>
          <w:tcPr>
            <w:tcW w:w="1052"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66C2CEAD"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40,542.01</w:t>
            </w:r>
          </w:p>
        </w:tc>
      </w:tr>
      <w:tr w:rsidR="009B2872" w:rsidRPr="008517DB" w14:paraId="3BD59B21" w14:textId="77777777" w:rsidTr="007D572D">
        <w:trPr>
          <w:gridAfter w:val="1"/>
          <w:wAfter w:w="176" w:type="dxa"/>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noWrap/>
            <w:vAlign w:val="center"/>
            <w:hideMark/>
          </w:tcPr>
          <w:p w14:paraId="724DDCAF" w14:textId="268F11D9"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sz w:val="18"/>
                <w:szCs w:val="18"/>
              </w:rPr>
              <w:t>4.</w:t>
            </w:r>
            <w:r w:rsidRPr="008517DB" w:rsidDel="00D926E9">
              <w:rPr>
                <w:rFonts w:asciiTheme="minorHAnsi" w:eastAsia="Times New Roman" w:hAnsiTheme="minorHAnsi" w:cstheme="minorHAnsi"/>
                <w:sz w:val="18"/>
                <w:szCs w:val="18"/>
              </w:rPr>
              <w:t xml:space="preserve"> </w:t>
            </w:r>
            <w:r w:rsidR="00B67BC9" w:rsidRPr="008517DB">
              <w:rPr>
                <w:rFonts w:asciiTheme="minorHAnsi" w:eastAsia="Times New Roman" w:hAnsiTheme="minorHAnsi" w:cstheme="minorHAnsi"/>
                <w:sz w:val="18"/>
                <w:szCs w:val="18"/>
              </w:rPr>
              <w:t>Land Use, Land-Use Change and Forestry</w:t>
            </w:r>
            <w:r w:rsidRPr="008517DB">
              <w:rPr>
                <w:rFonts w:asciiTheme="minorHAnsi" w:eastAsia="Times New Roman" w:hAnsiTheme="minorHAnsi" w:cstheme="minorHAnsi"/>
                <w:sz w:val="18"/>
                <w:szCs w:val="18"/>
              </w:rPr>
              <w:t xml:space="preserve"> </w:t>
            </w:r>
            <w:r w:rsidRPr="008517DB">
              <w:rPr>
                <w:rFonts w:asciiTheme="minorHAnsi" w:eastAsia="Times New Roman" w:hAnsiTheme="minorHAnsi" w:cstheme="minorHAnsi"/>
                <w:sz w:val="18"/>
                <w:szCs w:val="18"/>
                <w:vertAlign w:val="superscript"/>
              </w:rPr>
              <w:t>(4)</w:t>
            </w:r>
            <w:r w:rsidRPr="008517DB">
              <w:rPr>
                <w:rFonts w:asciiTheme="minorHAnsi" w:eastAsia="Times New Roman" w:hAnsiTheme="minorHAnsi" w:cstheme="minorHAnsi"/>
                <w:sz w:val="18"/>
                <w:szCs w:val="18"/>
              </w:rPr>
              <w:t xml:space="preserve"> </w:t>
            </w:r>
          </w:p>
        </w:tc>
        <w:tc>
          <w:tcPr>
            <w:tcW w:w="1206"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018282D"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1068"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9CA10E7"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7F73D7E"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-24,324.62</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2FEE0DD"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-26,214.13</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705732D"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-25,459.93</w:t>
            </w:r>
          </w:p>
        </w:tc>
        <w:tc>
          <w:tcPr>
            <w:tcW w:w="1053"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720469C"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-25,859.66</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C41B087"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-25,158.76</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F1E0D6C"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-23,730.05</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EF5D508"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-22,956.16</w:t>
            </w:r>
          </w:p>
        </w:tc>
        <w:tc>
          <w:tcPr>
            <w:tcW w:w="1052"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57FA63DB"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-23,610.12</w:t>
            </w:r>
          </w:p>
        </w:tc>
      </w:tr>
      <w:tr w:rsidR="009B2872" w:rsidRPr="008517DB" w14:paraId="71220456" w14:textId="77777777" w:rsidTr="007D572D">
        <w:trPr>
          <w:gridAfter w:val="1"/>
          <w:wAfter w:w="176" w:type="dxa"/>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noWrap/>
            <w:vAlign w:val="center"/>
            <w:hideMark/>
          </w:tcPr>
          <w:p w14:paraId="0CAD2146" w14:textId="7BB48B61"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 xml:space="preserve">5. Waste </w:t>
            </w:r>
          </w:p>
        </w:tc>
        <w:tc>
          <w:tcPr>
            <w:tcW w:w="1206"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8E23D90"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1068"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A60B3EC"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AE3532D"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4,356.74</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DFADB82"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4,477.30</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BC3F54D"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4,590.62</w:t>
            </w:r>
          </w:p>
        </w:tc>
        <w:tc>
          <w:tcPr>
            <w:tcW w:w="1053"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7A6542D"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4,707.94</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2F82DF2"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4,581.49</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6077076"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4,685.17</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67226A6"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4,782.58</w:t>
            </w:r>
          </w:p>
        </w:tc>
        <w:tc>
          <w:tcPr>
            <w:tcW w:w="1052"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54418898"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4,850.60</w:t>
            </w:r>
          </w:p>
        </w:tc>
      </w:tr>
      <w:tr w:rsidR="009B2872" w:rsidRPr="008517DB" w14:paraId="57271827" w14:textId="77777777" w:rsidTr="007D572D">
        <w:trPr>
          <w:gridAfter w:val="1"/>
          <w:wAfter w:w="176" w:type="dxa"/>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noWrap/>
            <w:vAlign w:val="center"/>
            <w:hideMark/>
          </w:tcPr>
          <w:p w14:paraId="410D3E45" w14:textId="585403A5"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6. Other</w:t>
            </w:r>
          </w:p>
        </w:tc>
        <w:tc>
          <w:tcPr>
            <w:tcW w:w="1206"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341AAD9E" w14:textId="77777777" w:rsidR="009B2872" w:rsidRPr="008517DB"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1068"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E8343FC"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CD42697"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3.37</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1D93510"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3.50</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4D58838"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3.45</w:t>
            </w:r>
          </w:p>
        </w:tc>
        <w:tc>
          <w:tcPr>
            <w:tcW w:w="1053"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ED7AB47"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3.41</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2D2A1F4"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3.37</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259BDB58"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3.33</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73A804E"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3.30</w:t>
            </w:r>
          </w:p>
        </w:tc>
        <w:tc>
          <w:tcPr>
            <w:tcW w:w="1052"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4A591929" w14:textId="77777777" w:rsidR="009B2872" w:rsidRPr="008517DB" w:rsidRDefault="009B2872" w:rsidP="009B2872">
            <w:pPr>
              <w:spacing w:before="0" w:after="0" w:line="240" w:lineRule="auto"/>
              <w:jc w:val="right"/>
              <w:rPr>
                <w:rFonts w:asciiTheme="minorHAnsi" w:eastAsia="Times New Roman" w:hAnsiTheme="minorHAnsi" w:cstheme="minorHAnsi"/>
                <w:color w:val="000000"/>
                <w:sz w:val="18"/>
                <w:szCs w:val="18"/>
              </w:rPr>
            </w:pPr>
            <w:r w:rsidRPr="008517DB">
              <w:rPr>
                <w:rFonts w:asciiTheme="minorHAnsi" w:eastAsia="Times New Roman" w:hAnsiTheme="minorHAnsi" w:cstheme="minorHAnsi"/>
                <w:color w:val="000000"/>
                <w:sz w:val="18"/>
                <w:szCs w:val="18"/>
              </w:rPr>
              <w:t>3.40</w:t>
            </w:r>
          </w:p>
        </w:tc>
      </w:tr>
      <w:tr w:rsidR="009B2872" w:rsidRPr="008517DB" w14:paraId="3DED059A" w14:textId="77777777" w:rsidTr="007D572D">
        <w:trPr>
          <w:gridAfter w:val="1"/>
          <w:wAfter w:w="176" w:type="dxa"/>
        </w:trPr>
        <w:tc>
          <w:tcPr>
            <w:tcW w:w="3823" w:type="dxa"/>
            <w:tcBorders>
              <w:top w:val="single" w:sz="4" w:space="0" w:color="1B556B" w:themeColor="text2"/>
              <w:left w:val="nil"/>
              <w:bottom w:val="single" w:sz="4" w:space="0" w:color="1B556B" w:themeColor="text2"/>
              <w:right w:val="single" w:sz="4" w:space="0" w:color="1B556B" w:themeColor="text2"/>
            </w:tcBorders>
            <w:shd w:val="clear" w:color="auto" w:fill="auto"/>
            <w:vAlign w:val="center"/>
            <w:hideMark/>
          </w:tcPr>
          <w:p w14:paraId="11D67D57" w14:textId="77777777" w:rsidR="009B2872" w:rsidRPr="008517DB" w:rsidRDefault="009B2872" w:rsidP="009B2872">
            <w:pPr>
              <w:spacing w:before="0" w:after="0" w:line="240" w:lineRule="auto"/>
              <w:jc w:val="left"/>
              <w:rPr>
                <w:rFonts w:asciiTheme="minorHAnsi" w:eastAsia="Times New Roman" w:hAnsiTheme="minorHAnsi" w:cstheme="minorHAnsi"/>
                <w:b/>
                <w:bCs/>
                <w:color w:val="000000"/>
                <w:sz w:val="18"/>
                <w:szCs w:val="18"/>
              </w:rPr>
            </w:pPr>
            <w:r w:rsidRPr="008517DB">
              <w:rPr>
                <w:rFonts w:asciiTheme="minorHAnsi" w:eastAsia="Times New Roman" w:hAnsiTheme="minorHAnsi" w:cstheme="minorHAnsi"/>
                <w:b/>
                <w:bCs/>
                <w:sz w:val="18"/>
                <w:szCs w:val="18"/>
              </w:rPr>
              <w:t xml:space="preserve">Total (with LULUCF) </w:t>
            </w:r>
            <w:r w:rsidRPr="008517DB">
              <w:rPr>
                <w:rFonts w:asciiTheme="minorHAnsi" w:eastAsia="Times New Roman" w:hAnsiTheme="minorHAnsi" w:cstheme="minorHAnsi"/>
                <w:sz w:val="18"/>
                <w:szCs w:val="18"/>
                <w:vertAlign w:val="superscript"/>
              </w:rPr>
              <w:t>(8)</w:t>
            </w:r>
          </w:p>
        </w:tc>
        <w:tc>
          <w:tcPr>
            <w:tcW w:w="1206"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C933F08" w14:textId="77777777" w:rsidR="009B2872" w:rsidRPr="008517DB" w:rsidRDefault="009B2872" w:rsidP="009B2872">
            <w:pPr>
              <w:spacing w:before="0" w:after="0" w:line="240" w:lineRule="auto"/>
              <w:jc w:val="left"/>
              <w:rPr>
                <w:rFonts w:asciiTheme="minorHAnsi" w:eastAsia="Times New Roman" w:hAnsiTheme="minorHAnsi" w:cstheme="minorHAnsi"/>
                <w:b/>
                <w:bCs/>
                <w:color w:val="000000"/>
                <w:sz w:val="18"/>
                <w:szCs w:val="18"/>
              </w:rPr>
            </w:pPr>
          </w:p>
        </w:tc>
        <w:tc>
          <w:tcPr>
            <w:tcW w:w="1068"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7E5FA3C" w14:textId="77777777" w:rsidR="009B2872" w:rsidRPr="008517DB" w:rsidRDefault="009B2872" w:rsidP="009B2872">
            <w:pPr>
              <w:spacing w:before="0" w:after="0" w:line="240" w:lineRule="auto"/>
              <w:jc w:val="right"/>
              <w:rPr>
                <w:rFonts w:asciiTheme="minorHAnsi" w:eastAsia="Times New Roman" w:hAnsiTheme="minorHAnsi" w:cstheme="minorHAnsi"/>
                <w:sz w:val="18"/>
                <w:szCs w:val="18"/>
              </w:rPr>
            </w:pP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7CBDB206" w14:textId="77777777" w:rsidR="009B2872" w:rsidRPr="008517DB"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8517DB">
              <w:rPr>
                <w:rFonts w:asciiTheme="minorHAnsi" w:eastAsia="Times New Roman" w:hAnsiTheme="minorHAnsi" w:cstheme="minorHAnsi"/>
                <w:b/>
                <w:bCs/>
                <w:color w:val="000000"/>
                <w:sz w:val="18"/>
                <w:szCs w:val="18"/>
              </w:rPr>
              <w:t>44,633.56</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14639568" w14:textId="77777777" w:rsidR="009B2872" w:rsidRPr="008517DB"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8517DB">
              <w:rPr>
                <w:rFonts w:asciiTheme="minorHAnsi" w:eastAsia="Times New Roman" w:hAnsiTheme="minorHAnsi" w:cstheme="minorHAnsi"/>
                <w:b/>
                <w:bCs/>
                <w:color w:val="000000"/>
                <w:sz w:val="18"/>
                <w:szCs w:val="18"/>
              </w:rPr>
              <w:t>43,704.49</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4B6768C2" w14:textId="77777777" w:rsidR="009B2872" w:rsidRPr="008517DB"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8517DB">
              <w:rPr>
                <w:rFonts w:asciiTheme="minorHAnsi" w:eastAsia="Times New Roman" w:hAnsiTheme="minorHAnsi" w:cstheme="minorHAnsi"/>
                <w:b/>
                <w:bCs/>
                <w:color w:val="000000"/>
                <w:sz w:val="18"/>
                <w:szCs w:val="18"/>
              </w:rPr>
              <w:t>45,703.11</w:t>
            </w:r>
          </w:p>
        </w:tc>
        <w:tc>
          <w:tcPr>
            <w:tcW w:w="1053"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92ABA3C" w14:textId="77777777" w:rsidR="009B2872" w:rsidRPr="008517DB"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8517DB">
              <w:rPr>
                <w:rFonts w:asciiTheme="minorHAnsi" w:eastAsia="Times New Roman" w:hAnsiTheme="minorHAnsi" w:cstheme="minorHAnsi"/>
                <w:b/>
                <w:bCs/>
                <w:color w:val="000000"/>
                <w:sz w:val="18"/>
                <w:szCs w:val="18"/>
              </w:rPr>
              <w:t>45,158.32</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57376EE1" w14:textId="77777777" w:rsidR="009B2872" w:rsidRPr="008517DB"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8517DB">
              <w:rPr>
                <w:rFonts w:asciiTheme="minorHAnsi" w:eastAsia="Times New Roman" w:hAnsiTheme="minorHAnsi" w:cstheme="minorHAnsi"/>
                <w:b/>
                <w:bCs/>
                <w:color w:val="000000"/>
                <w:sz w:val="18"/>
                <w:szCs w:val="18"/>
              </w:rPr>
              <w:t>47,239.69</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04A59AD6" w14:textId="77777777" w:rsidR="009B2872" w:rsidRPr="008517DB"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8517DB">
              <w:rPr>
                <w:rFonts w:asciiTheme="minorHAnsi" w:eastAsia="Times New Roman" w:hAnsiTheme="minorHAnsi" w:cstheme="minorHAnsi"/>
                <w:b/>
                <w:bCs/>
                <w:color w:val="000000"/>
                <w:sz w:val="18"/>
                <w:szCs w:val="18"/>
              </w:rPr>
              <w:t>49,258.30</w:t>
            </w:r>
          </w:p>
        </w:tc>
        <w:tc>
          <w:tcPr>
            <w:tcW w:w="1022" w:type="dxa"/>
            <w:gridSpan w:val="2"/>
            <w:tcBorders>
              <w:top w:val="single" w:sz="4" w:space="0" w:color="1B556B" w:themeColor="text2"/>
              <w:left w:val="single" w:sz="4" w:space="0" w:color="1B556B" w:themeColor="text2"/>
              <w:bottom w:val="single" w:sz="4" w:space="0" w:color="1B556B" w:themeColor="text2"/>
              <w:right w:val="single" w:sz="4" w:space="0" w:color="1B556B" w:themeColor="text2"/>
            </w:tcBorders>
            <w:shd w:val="clear" w:color="auto" w:fill="auto"/>
            <w:noWrap/>
            <w:vAlign w:val="center"/>
            <w:hideMark/>
          </w:tcPr>
          <w:p w14:paraId="6031C933" w14:textId="77777777" w:rsidR="009B2872" w:rsidRPr="008517DB"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8517DB">
              <w:rPr>
                <w:rFonts w:asciiTheme="minorHAnsi" w:eastAsia="Times New Roman" w:hAnsiTheme="minorHAnsi" w:cstheme="minorHAnsi"/>
                <w:b/>
                <w:bCs/>
                <w:color w:val="000000"/>
                <w:sz w:val="18"/>
                <w:szCs w:val="18"/>
              </w:rPr>
              <w:t>52,570.42</w:t>
            </w:r>
          </w:p>
        </w:tc>
        <w:tc>
          <w:tcPr>
            <w:tcW w:w="1052" w:type="dxa"/>
            <w:tcBorders>
              <w:top w:val="single" w:sz="4" w:space="0" w:color="1B556B" w:themeColor="text2"/>
              <w:left w:val="single" w:sz="4" w:space="0" w:color="1B556B" w:themeColor="text2"/>
              <w:bottom w:val="single" w:sz="4" w:space="0" w:color="1B556B" w:themeColor="text2"/>
              <w:right w:val="nil"/>
            </w:tcBorders>
            <w:shd w:val="clear" w:color="auto" w:fill="auto"/>
            <w:noWrap/>
            <w:vAlign w:val="center"/>
            <w:hideMark/>
          </w:tcPr>
          <w:p w14:paraId="710091FA" w14:textId="77777777" w:rsidR="009B2872" w:rsidRPr="008517DB"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8517DB">
              <w:rPr>
                <w:rFonts w:asciiTheme="minorHAnsi" w:eastAsia="Times New Roman" w:hAnsiTheme="minorHAnsi" w:cstheme="minorHAnsi"/>
                <w:b/>
                <w:bCs/>
                <w:color w:val="000000"/>
                <w:sz w:val="18"/>
                <w:szCs w:val="18"/>
              </w:rPr>
              <w:t>54,553.45</w:t>
            </w:r>
          </w:p>
        </w:tc>
      </w:tr>
      <w:tr w:rsidR="009B2872" w:rsidRPr="00401061" w14:paraId="57CB6F99" w14:textId="77777777" w:rsidTr="00DB1A89">
        <w:tblPrEx>
          <w:tblBorders>
            <w:left w:val="none" w:sz="0" w:space="0" w:color="auto"/>
            <w:right w:val="none" w:sz="0" w:space="0" w:color="auto"/>
          </w:tblBorders>
        </w:tblPrEx>
        <w:trPr>
          <w:trHeight w:val="285"/>
        </w:trPr>
        <w:tc>
          <w:tcPr>
            <w:tcW w:w="3987" w:type="dxa"/>
            <w:gridSpan w:val="2"/>
            <w:shd w:val="clear" w:color="auto" w:fill="1B556B"/>
            <w:vAlign w:val="center"/>
          </w:tcPr>
          <w:p w14:paraId="236F33D9" w14:textId="1819022A" w:rsidR="009B2872" w:rsidRPr="00401061" w:rsidRDefault="00247657" w:rsidP="009B2872">
            <w:pPr>
              <w:spacing w:before="0" w:after="0" w:line="240" w:lineRule="auto"/>
              <w:jc w:val="left"/>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Greenhouse gas emissions and removals</w:t>
            </w:r>
          </w:p>
        </w:tc>
        <w:tc>
          <w:tcPr>
            <w:tcW w:w="1137" w:type="dxa"/>
            <w:gridSpan w:val="2"/>
            <w:shd w:val="clear" w:color="auto" w:fill="1B556B"/>
          </w:tcPr>
          <w:p w14:paraId="7C24D748"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1998</w:t>
            </w:r>
          </w:p>
        </w:tc>
        <w:tc>
          <w:tcPr>
            <w:tcW w:w="1199" w:type="dxa"/>
            <w:gridSpan w:val="2"/>
            <w:shd w:val="clear" w:color="auto" w:fill="1B556B"/>
            <w:noWrap/>
            <w:vAlign w:val="center"/>
            <w:hideMark/>
          </w:tcPr>
          <w:p w14:paraId="2C63E1FD"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1999</w:t>
            </w:r>
          </w:p>
        </w:tc>
        <w:tc>
          <w:tcPr>
            <w:tcW w:w="1200" w:type="dxa"/>
            <w:gridSpan w:val="2"/>
            <w:shd w:val="clear" w:color="auto" w:fill="1B556B"/>
            <w:noWrap/>
            <w:vAlign w:val="center"/>
            <w:hideMark/>
          </w:tcPr>
          <w:p w14:paraId="0EE17211"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2000</w:t>
            </w:r>
          </w:p>
        </w:tc>
        <w:tc>
          <w:tcPr>
            <w:tcW w:w="1153" w:type="dxa"/>
            <w:gridSpan w:val="2"/>
            <w:shd w:val="clear" w:color="auto" w:fill="1B556B"/>
            <w:noWrap/>
            <w:vAlign w:val="center"/>
            <w:hideMark/>
          </w:tcPr>
          <w:p w14:paraId="79E1B0C4"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2001</w:t>
            </w:r>
          </w:p>
        </w:tc>
        <w:tc>
          <w:tcPr>
            <w:tcW w:w="1199" w:type="dxa"/>
            <w:gridSpan w:val="2"/>
            <w:shd w:val="clear" w:color="auto" w:fill="1B556B"/>
            <w:noWrap/>
            <w:vAlign w:val="center"/>
            <w:hideMark/>
          </w:tcPr>
          <w:p w14:paraId="6247510D"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2002</w:t>
            </w:r>
          </w:p>
        </w:tc>
        <w:tc>
          <w:tcPr>
            <w:tcW w:w="1047" w:type="dxa"/>
            <w:gridSpan w:val="2"/>
            <w:shd w:val="clear" w:color="auto" w:fill="1B556B"/>
            <w:noWrap/>
            <w:vAlign w:val="center"/>
            <w:hideMark/>
          </w:tcPr>
          <w:p w14:paraId="64FD57AE"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2003</w:t>
            </w:r>
          </w:p>
        </w:tc>
        <w:tc>
          <w:tcPr>
            <w:tcW w:w="1198" w:type="dxa"/>
            <w:gridSpan w:val="2"/>
            <w:shd w:val="clear" w:color="auto" w:fill="1B556B"/>
            <w:noWrap/>
            <w:vAlign w:val="center"/>
            <w:hideMark/>
          </w:tcPr>
          <w:p w14:paraId="6619A6FE"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2004</w:t>
            </w:r>
          </w:p>
        </w:tc>
        <w:tc>
          <w:tcPr>
            <w:tcW w:w="1149" w:type="dxa"/>
            <w:gridSpan w:val="2"/>
            <w:shd w:val="clear" w:color="auto" w:fill="1B556B"/>
            <w:noWrap/>
            <w:vAlign w:val="center"/>
            <w:hideMark/>
          </w:tcPr>
          <w:p w14:paraId="012856FD"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2005</w:t>
            </w:r>
          </w:p>
        </w:tc>
        <w:tc>
          <w:tcPr>
            <w:tcW w:w="1246" w:type="dxa"/>
            <w:gridSpan w:val="3"/>
            <w:shd w:val="clear" w:color="auto" w:fill="1B556B"/>
            <w:noWrap/>
            <w:vAlign w:val="center"/>
            <w:hideMark/>
          </w:tcPr>
          <w:p w14:paraId="039DCCEE"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2006</w:t>
            </w:r>
          </w:p>
        </w:tc>
      </w:tr>
      <w:tr w:rsidR="009B2872" w:rsidRPr="00401061" w14:paraId="166BDEDE" w14:textId="77777777" w:rsidTr="00DB1A89">
        <w:tblPrEx>
          <w:tblBorders>
            <w:left w:val="none" w:sz="0" w:space="0" w:color="auto"/>
            <w:right w:val="none" w:sz="0" w:space="0" w:color="auto"/>
          </w:tblBorders>
        </w:tblPrEx>
        <w:trPr>
          <w:trHeight w:val="285"/>
        </w:trPr>
        <w:tc>
          <w:tcPr>
            <w:tcW w:w="3987" w:type="dxa"/>
            <w:gridSpan w:val="2"/>
            <w:shd w:val="clear" w:color="auto" w:fill="1B556B"/>
            <w:vAlign w:val="center"/>
          </w:tcPr>
          <w:p w14:paraId="32851B34" w14:textId="77777777" w:rsidR="009B2872" w:rsidRPr="00401061" w:rsidRDefault="009B2872" w:rsidP="009B2872">
            <w:pPr>
              <w:spacing w:before="0" w:after="0" w:line="240" w:lineRule="auto"/>
              <w:jc w:val="left"/>
              <w:rPr>
                <w:rFonts w:asciiTheme="minorHAnsi" w:eastAsia="Times New Roman" w:hAnsiTheme="minorHAnsi" w:cstheme="minorHAnsi"/>
                <w:b/>
                <w:bCs/>
                <w:color w:val="FFFFFF" w:themeColor="background1"/>
                <w:sz w:val="18"/>
                <w:szCs w:val="18"/>
              </w:rPr>
            </w:pPr>
          </w:p>
        </w:tc>
        <w:tc>
          <w:tcPr>
            <w:tcW w:w="10528" w:type="dxa"/>
            <w:gridSpan w:val="19"/>
            <w:shd w:val="clear" w:color="auto" w:fill="1B556B"/>
          </w:tcPr>
          <w:p w14:paraId="37717395" w14:textId="77777777" w:rsidR="009B2872" w:rsidRPr="00401061" w:rsidRDefault="009B2872" w:rsidP="009B2872">
            <w:pPr>
              <w:spacing w:before="0" w:after="0" w:line="240" w:lineRule="auto"/>
              <w:jc w:val="left"/>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CO</w:t>
            </w:r>
            <w:r w:rsidRPr="00401061">
              <w:rPr>
                <w:rFonts w:asciiTheme="minorHAnsi" w:eastAsia="Times New Roman" w:hAnsiTheme="minorHAnsi" w:cstheme="minorHAnsi"/>
                <w:b/>
                <w:bCs/>
                <w:color w:val="FFFFFF" w:themeColor="background1"/>
                <w:sz w:val="18"/>
                <w:szCs w:val="18"/>
                <w:vertAlign w:val="subscript"/>
              </w:rPr>
              <w:t>2</w:t>
            </w:r>
            <w:r w:rsidRPr="00401061">
              <w:rPr>
                <w:rFonts w:asciiTheme="minorHAnsi" w:eastAsia="Times New Roman" w:hAnsiTheme="minorHAnsi" w:cstheme="minorHAnsi"/>
                <w:b/>
                <w:bCs/>
                <w:color w:val="FFFFFF" w:themeColor="background1"/>
                <w:sz w:val="18"/>
                <w:szCs w:val="18"/>
              </w:rPr>
              <w:t xml:space="preserve"> equivalents (kt) </w:t>
            </w:r>
            <w:r w:rsidRPr="00401061">
              <w:rPr>
                <w:rFonts w:asciiTheme="minorHAnsi" w:eastAsia="Times New Roman" w:hAnsiTheme="minorHAnsi" w:cstheme="minorHAnsi"/>
                <w:b/>
                <w:bCs/>
                <w:color w:val="FFFFFF" w:themeColor="background1"/>
                <w:sz w:val="18"/>
                <w:szCs w:val="18"/>
                <w:vertAlign w:val="superscript"/>
              </w:rPr>
              <w:t>(3)</w:t>
            </w:r>
            <w:r w:rsidRPr="00401061">
              <w:rPr>
                <w:rFonts w:asciiTheme="minorHAnsi" w:eastAsia="Times New Roman" w:hAnsiTheme="minorHAnsi" w:cstheme="minorHAnsi"/>
                <w:b/>
                <w:bCs/>
                <w:color w:val="FFFFFF" w:themeColor="background1"/>
                <w:sz w:val="18"/>
                <w:szCs w:val="18"/>
              </w:rPr>
              <w:t> </w:t>
            </w:r>
          </w:p>
        </w:tc>
      </w:tr>
      <w:tr w:rsidR="009B2872" w:rsidRPr="00401061" w14:paraId="2F535D57" w14:textId="77777777" w:rsidTr="00DB1A89">
        <w:tblPrEx>
          <w:tblBorders>
            <w:left w:val="none" w:sz="0" w:space="0" w:color="auto"/>
            <w:right w:val="none" w:sz="0" w:space="0" w:color="auto"/>
          </w:tblBorders>
        </w:tblPrEx>
        <w:trPr>
          <w:trHeight w:val="266"/>
        </w:trPr>
        <w:tc>
          <w:tcPr>
            <w:tcW w:w="3987" w:type="dxa"/>
            <w:gridSpan w:val="2"/>
            <w:shd w:val="clear" w:color="auto" w:fill="auto"/>
            <w:vAlign w:val="center"/>
          </w:tcPr>
          <w:p w14:paraId="4351A5EB"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sz w:val="18"/>
                <w:szCs w:val="18"/>
              </w:rPr>
              <w:t>CO</w:t>
            </w:r>
            <w:r w:rsidRPr="00401061">
              <w:rPr>
                <w:rFonts w:asciiTheme="minorHAnsi" w:eastAsia="Times New Roman" w:hAnsiTheme="minorHAnsi" w:cstheme="minorHAnsi"/>
                <w:sz w:val="18"/>
                <w:szCs w:val="18"/>
                <w:vertAlign w:val="subscript"/>
              </w:rPr>
              <w:t>2</w:t>
            </w:r>
            <w:r w:rsidRPr="00401061">
              <w:rPr>
                <w:rFonts w:asciiTheme="minorHAnsi" w:eastAsia="Times New Roman" w:hAnsiTheme="minorHAnsi" w:cstheme="minorHAnsi"/>
                <w:sz w:val="18"/>
                <w:szCs w:val="18"/>
              </w:rPr>
              <w:t xml:space="preserve"> emissions without net CO</w:t>
            </w:r>
            <w:r w:rsidRPr="00401061">
              <w:rPr>
                <w:rFonts w:asciiTheme="minorHAnsi" w:eastAsia="Times New Roman" w:hAnsiTheme="minorHAnsi" w:cstheme="minorHAnsi"/>
                <w:sz w:val="18"/>
                <w:szCs w:val="18"/>
                <w:vertAlign w:val="subscript"/>
              </w:rPr>
              <w:t>2</w:t>
            </w:r>
            <w:r w:rsidRPr="00401061">
              <w:rPr>
                <w:rFonts w:asciiTheme="minorHAnsi" w:eastAsia="Times New Roman" w:hAnsiTheme="minorHAnsi" w:cstheme="minorHAnsi"/>
                <w:sz w:val="18"/>
                <w:szCs w:val="18"/>
              </w:rPr>
              <w:t xml:space="preserve"> from LULUCF</w:t>
            </w:r>
          </w:p>
        </w:tc>
        <w:tc>
          <w:tcPr>
            <w:tcW w:w="1137" w:type="dxa"/>
            <w:gridSpan w:val="2"/>
            <w:vAlign w:val="center"/>
          </w:tcPr>
          <w:p w14:paraId="2E56F5D9"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Calibri" w:hAnsiTheme="minorHAnsi" w:cstheme="minorHAnsi"/>
                <w:color w:val="000000" w:themeColor="text1"/>
                <w:sz w:val="18"/>
                <w:szCs w:val="18"/>
              </w:rPr>
              <w:t>29,853.02</w:t>
            </w:r>
          </w:p>
        </w:tc>
        <w:tc>
          <w:tcPr>
            <w:tcW w:w="1199" w:type="dxa"/>
            <w:gridSpan w:val="2"/>
            <w:shd w:val="clear" w:color="auto" w:fill="auto"/>
            <w:noWrap/>
            <w:vAlign w:val="center"/>
            <w:hideMark/>
          </w:tcPr>
          <w:p w14:paraId="592258A0"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31,460.67</w:t>
            </w:r>
          </w:p>
        </w:tc>
        <w:tc>
          <w:tcPr>
            <w:tcW w:w="1200" w:type="dxa"/>
            <w:gridSpan w:val="2"/>
            <w:shd w:val="clear" w:color="auto" w:fill="auto"/>
            <w:noWrap/>
            <w:vAlign w:val="center"/>
            <w:hideMark/>
          </w:tcPr>
          <w:p w14:paraId="15AEE751"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32,241.04</w:t>
            </w:r>
          </w:p>
        </w:tc>
        <w:tc>
          <w:tcPr>
            <w:tcW w:w="1153" w:type="dxa"/>
            <w:gridSpan w:val="2"/>
            <w:shd w:val="clear" w:color="auto" w:fill="auto"/>
            <w:noWrap/>
            <w:vAlign w:val="center"/>
            <w:hideMark/>
          </w:tcPr>
          <w:p w14:paraId="71ECC532"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34,378.75</w:t>
            </w:r>
          </w:p>
        </w:tc>
        <w:tc>
          <w:tcPr>
            <w:tcW w:w="1199" w:type="dxa"/>
            <w:gridSpan w:val="2"/>
            <w:shd w:val="clear" w:color="auto" w:fill="auto"/>
            <w:noWrap/>
            <w:vAlign w:val="center"/>
            <w:hideMark/>
          </w:tcPr>
          <w:p w14:paraId="235606E7"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34,541.83</w:t>
            </w:r>
          </w:p>
        </w:tc>
        <w:tc>
          <w:tcPr>
            <w:tcW w:w="1047" w:type="dxa"/>
            <w:gridSpan w:val="2"/>
            <w:shd w:val="clear" w:color="auto" w:fill="auto"/>
            <w:noWrap/>
            <w:vAlign w:val="center"/>
            <w:hideMark/>
          </w:tcPr>
          <w:p w14:paraId="36538996"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36,243.23</w:t>
            </w:r>
          </w:p>
        </w:tc>
        <w:tc>
          <w:tcPr>
            <w:tcW w:w="1198" w:type="dxa"/>
            <w:gridSpan w:val="2"/>
            <w:shd w:val="clear" w:color="auto" w:fill="auto"/>
            <w:noWrap/>
            <w:vAlign w:val="center"/>
            <w:hideMark/>
          </w:tcPr>
          <w:p w14:paraId="3DD205C6"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35,836.71</w:t>
            </w:r>
          </w:p>
        </w:tc>
        <w:tc>
          <w:tcPr>
            <w:tcW w:w="1149" w:type="dxa"/>
            <w:gridSpan w:val="2"/>
            <w:shd w:val="clear" w:color="auto" w:fill="auto"/>
            <w:noWrap/>
            <w:vAlign w:val="center"/>
            <w:hideMark/>
          </w:tcPr>
          <w:p w14:paraId="3D34654E"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37,425.18</w:t>
            </w:r>
          </w:p>
        </w:tc>
        <w:tc>
          <w:tcPr>
            <w:tcW w:w="1246" w:type="dxa"/>
            <w:gridSpan w:val="3"/>
            <w:shd w:val="clear" w:color="auto" w:fill="auto"/>
            <w:noWrap/>
            <w:vAlign w:val="center"/>
            <w:hideMark/>
          </w:tcPr>
          <w:p w14:paraId="1E1F3C27"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37,329.75</w:t>
            </w:r>
          </w:p>
        </w:tc>
      </w:tr>
      <w:tr w:rsidR="009B2872" w:rsidRPr="00401061" w14:paraId="607DAB5F" w14:textId="77777777" w:rsidTr="00DB1A89">
        <w:tblPrEx>
          <w:tblBorders>
            <w:left w:val="none" w:sz="0" w:space="0" w:color="auto"/>
            <w:right w:val="none" w:sz="0" w:space="0" w:color="auto"/>
          </w:tblBorders>
        </w:tblPrEx>
        <w:trPr>
          <w:trHeight w:val="266"/>
        </w:trPr>
        <w:tc>
          <w:tcPr>
            <w:tcW w:w="3987" w:type="dxa"/>
            <w:gridSpan w:val="2"/>
            <w:shd w:val="clear" w:color="auto" w:fill="auto"/>
            <w:vAlign w:val="center"/>
          </w:tcPr>
          <w:p w14:paraId="2C309CC9"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sz w:val="18"/>
                <w:szCs w:val="18"/>
              </w:rPr>
              <w:t>CO</w:t>
            </w:r>
            <w:r w:rsidRPr="00401061">
              <w:rPr>
                <w:rFonts w:asciiTheme="minorHAnsi" w:eastAsia="Times New Roman" w:hAnsiTheme="minorHAnsi" w:cstheme="minorHAnsi"/>
                <w:sz w:val="18"/>
                <w:szCs w:val="18"/>
                <w:vertAlign w:val="subscript"/>
              </w:rPr>
              <w:t>2</w:t>
            </w:r>
            <w:r w:rsidRPr="00401061">
              <w:rPr>
                <w:rFonts w:asciiTheme="minorHAnsi" w:eastAsia="Times New Roman" w:hAnsiTheme="minorHAnsi" w:cstheme="minorHAnsi"/>
                <w:sz w:val="18"/>
                <w:szCs w:val="18"/>
              </w:rPr>
              <w:t xml:space="preserve"> emissions with net CO</w:t>
            </w:r>
            <w:r w:rsidRPr="00401061">
              <w:rPr>
                <w:rFonts w:asciiTheme="minorHAnsi" w:eastAsia="Times New Roman" w:hAnsiTheme="minorHAnsi" w:cstheme="minorHAnsi"/>
                <w:sz w:val="18"/>
                <w:szCs w:val="18"/>
                <w:vertAlign w:val="subscript"/>
              </w:rPr>
              <w:t>2</w:t>
            </w:r>
            <w:r w:rsidRPr="00401061">
              <w:rPr>
                <w:rFonts w:asciiTheme="minorHAnsi" w:eastAsia="Times New Roman" w:hAnsiTheme="minorHAnsi" w:cstheme="minorHAnsi"/>
                <w:sz w:val="18"/>
                <w:szCs w:val="18"/>
              </w:rPr>
              <w:t xml:space="preserve"> from LULUCF</w:t>
            </w:r>
          </w:p>
        </w:tc>
        <w:tc>
          <w:tcPr>
            <w:tcW w:w="1137" w:type="dxa"/>
            <w:gridSpan w:val="2"/>
            <w:vAlign w:val="center"/>
          </w:tcPr>
          <w:p w14:paraId="5FFB9E1D"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Calibri" w:hAnsiTheme="minorHAnsi" w:cstheme="minorHAnsi"/>
                <w:color w:val="000000" w:themeColor="text1"/>
                <w:sz w:val="18"/>
                <w:szCs w:val="18"/>
              </w:rPr>
              <w:t>5,145.84</w:t>
            </w:r>
          </w:p>
        </w:tc>
        <w:tc>
          <w:tcPr>
            <w:tcW w:w="1199" w:type="dxa"/>
            <w:gridSpan w:val="2"/>
            <w:shd w:val="clear" w:color="auto" w:fill="auto"/>
            <w:noWrap/>
            <w:vAlign w:val="center"/>
            <w:hideMark/>
          </w:tcPr>
          <w:p w14:paraId="52EDA93B"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4,345.40</w:t>
            </w:r>
          </w:p>
        </w:tc>
        <w:tc>
          <w:tcPr>
            <w:tcW w:w="1200" w:type="dxa"/>
            <w:gridSpan w:val="2"/>
            <w:shd w:val="clear" w:color="auto" w:fill="auto"/>
            <w:noWrap/>
            <w:vAlign w:val="center"/>
            <w:hideMark/>
          </w:tcPr>
          <w:p w14:paraId="02822F74"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4,446.75</w:t>
            </w:r>
          </w:p>
        </w:tc>
        <w:tc>
          <w:tcPr>
            <w:tcW w:w="1153" w:type="dxa"/>
            <w:gridSpan w:val="2"/>
            <w:shd w:val="clear" w:color="auto" w:fill="auto"/>
            <w:noWrap/>
            <w:vAlign w:val="center"/>
            <w:hideMark/>
          </w:tcPr>
          <w:p w14:paraId="576321A6"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6,316.32</w:t>
            </w:r>
          </w:p>
        </w:tc>
        <w:tc>
          <w:tcPr>
            <w:tcW w:w="1199" w:type="dxa"/>
            <w:gridSpan w:val="2"/>
            <w:shd w:val="clear" w:color="auto" w:fill="auto"/>
            <w:noWrap/>
            <w:vAlign w:val="center"/>
            <w:hideMark/>
          </w:tcPr>
          <w:p w14:paraId="110EB31A"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8,036.25</w:t>
            </w:r>
          </w:p>
        </w:tc>
        <w:tc>
          <w:tcPr>
            <w:tcW w:w="1047" w:type="dxa"/>
            <w:gridSpan w:val="2"/>
            <w:shd w:val="clear" w:color="auto" w:fill="auto"/>
            <w:noWrap/>
            <w:vAlign w:val="center"/>
            <w:hideMark/>
          </w:tcPr>
          <w:p w14:paraId="7BF9B619"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8,983.14</w:t>
            </w:r>
          </w:p>
        </w:tc>
        <w:tc>
          <w:tcPr>
            <w:tcW w:w="1198" w:type="dxa"/>
            <w:gridSpan w:val="2"/>
            <w:shd w:val="clear" w:color="auto" w:fill="auto"/>
            <w:noWrap/>
            <w:vAlign w:val="center"/>
            <w:hideMark/>
          </w:tcPr>
          <w:p w14:paraId="35CBCC20"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8,808.71</w:t>
            </w:r>
          </w:p>
        </w:tc>
        <w:tc>
          <w:tcPr>
            <w:tcW w:w="1149" w:type="dxa"/>
            <w:gridSpan w:val="2"/>
            <w:shd w:val="clear" w:color="auto" w:fill="auto"/>
            <w:noWrap/>
            <w:vAlign w:val="center"/>
            <w:hideMark/>
          </w:tcPr>
          <w:p w14:paraId="6662C8F4"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12,700.36</w:t>
            </w:r>
          </w:p>
        </w:tc>
        <w:tc>
          <w:tcPr>
            <w:tcW w:w="1246" w:type="dxa"/>
            <w:gridSpan w:val="3"/>
            <w:shd w:val="clear" w:color="auto" w:fill="auto"/>
            <w:noWrap/>
            <w:vAlign w:val="center"/>
            <w:hideMark/>
          </w:tcPr>
          <w:p w14:paraId="76C436F7"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14,712.28</w:t>
            </w:r>
          </w:p>
        </w:tc>
      </w:tr>
      <w:tr w:rsidR="009B2872" w:rsidRPr="00401061" w14:paraId="18F7E6E1" w14:textId="77777777" w:rsidTr="00DB1A89">
        <w:tblPrEx>
          <w:tblBorders>
            <w:left w:val="none" w:sz="0" w:space="0" w:color="auto"/>
            <w:right w:val="none" w:sz="0" w:space="0" w:color="auto"/>
          </w:tblBorders>
        </w:tblPrEx>
        <w:trPr>
          <w:trHeight w:val="266"/>
        </w:trPr>
        <w:tc>
          <w:tcPr>
            <w:tcW w:w="3987" w:type="dxa"/>
            <w:gridSpan w:val="2"/>
            <w:shd w:val="clear" w:color="auto" w:fill="auto"/>
            <w:vAlign w:val="center"/>
          </w:tcPr>
          <w:p w14:paraId="50244F46"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sz w:val="18"/>
                <w:szCs w:val="18"/>
              </w:rPr>
              <w:t>CH</w:t>
            </w:r>
            <w:r w:rsidRPr="00401061">
              <w:rPr>
                <w:rFonts w:asciiTheme="minorHAnsi" w:eastAsia="Times New Roman" w:hAnsiTheme="minorHAnsi" w:cstheme="minorHAnsi"/>
                <w:sz w:val="18"/>
                <w:szCs w:val="18"/>
                <w:vertAlign w:val="subscript"/>
              </w:rPr>
              <w:t>4</w:t>
            </w:r>
            <w:r w:rsidRPr="00401061">
              <w:rPr>
                <w:rFonts w:asciiTheme="minorHAnsi" w:eastAsia="Times New Roman" w:hAnsiTheme="minorHAnsi" w:cstheme="minorHAnsi"/>
                <w:sz w:val="18"/>
                <w:szCs w:val="18"/>
              </w:rPr>
              <w:t xml:space="preserve"> emissions without CH</w:t>
            </w:r>
            <w:r w:rsidRPr="00401061">
              <w:rPr>
                <w:rFonts w:asciiTheme="minorHAnsi" w:eastAsia="Times New Roman" w:hAnsiTheme="minorHAnsi" w:cstheme="minorHAnsi"/>
                <w:sz w:val="18"/>
                <w:szCs w:val="18"/>
                <w:vertAlign w:val="subscript"/>
              </w:rPr>
              <w:t>4</w:t>
            </w:r>
            <w:r w:rsidRPr="00401061">
              <w:rPr>
                <w:rFonts w:asciiTheme="minorHAnsi" w:eastAsia="Times New Roman" w:hAnsiTheme="minorHAnsi" w:cstheme="minorHAnsi"/>
                <w:sz w:val="18"/>
                <w:szCs w:val="18"/>
              </w:rPr>
              <w:t xml:space="preserve"> from LULUCF</w:t>
            </w:r>
          </w:p>
        </w:tc>
        <w:tc>
          <w:tcPr>
            <w:tcW w:w="1137" w:type="dxa"/>
            <w:gridSpan w:val="2"/>
            <w:vAlign w:val="center"/>
          </w:tcPr>
          <w:p w14:paraId="1C02229F"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Calibri" w:hAnsiTheme="minorHAnsi" w:cstheme="minorHAnsi"/>
                <w:color w:val="000000" w:themeColor="text1"/>
                <w:sz w:val="18"/>
                <w:szCs w:val="18"/>
              </w:rPr>
              <w:t>39,933.54</w:t>
            </w:r>
          </w:p>
        </w:tc>
        <w:tc>
          <w:tcPr>
            <w:tcW w:w="1199" w:type="dxa"/>
            <w:gridSpan w:val="2"/>
            <w:shd w:val="clear" w:color="auto" w:fill="auto"/>
            <w:noWrap/>
            <w:vAlign w:val="center"/>
            <w:hideMark/>
          </w:tcPr>
          <w:p w14:paraId="18F700B6"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39,842.56</w:t>
            </w:r>
          </w:p>
        </w:tc>
        <w:tc>
          <w:tcPr>
            <w:tcW w:w="1200" w:type="dxa"/>
            <w:gridSpan w:val="2"/>
            <w:shd w:val="clear" w:color="auto" w:fill="auto"/>
            <w:noWrap/>
            <w:vAlign w:val="center"/>
            <w:hideMark/>
          </w:tcPr>
          <w:p w14:paraId="56E2FC84"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40,791.21</w:t>
            </w:r>
          </w:p>
        </w:tc>
        <w:tc>
          <w:tcPr>
            <w:tcW w:w="1153" w:type="dxa"/>
            <w:gridSpan w:val="2"/>
            <w:shd w:val="clear" w:color="auto" w:fill="auto"/>
            <w:noWrap/>
            <w:vAlign w:val="center"/>
            <w:hideMark/>
          </w:tcPr>
          <w:p w14:paraId="5CFE28D8"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41,185.22</w:t>
            </w:r>
          </w:p>
        </w:tc>
        <w:tc>
          <w:tcPr>
            <w:tcW w:w="1199" w:type="dxa"/>
            <w:gridSpan w:val="2"/>
            <w:shd w:val="clear" w:color="auto" w:fill="auto"/>
            <w:noWrap/>
            <w:vAlign w:val="center"/>
            <w:hideMark/>
          </w:tcPr>
          <w:p w14:paraId="1D71DEF5"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40,806.80</w:t>
            </w:r>
          </w:p>
        </w:tc>
        <w:tc>
          <w:tcPr>
            <w:tcW w:w="1047" w:type="dxa"/>
            <w:gridSpan w:val="2"/>
            <w:shd w:val="clear" w:color="auto" w:fill="auto"/>
            <w:noWrap/>
            <w:vAlign w:val="center"/>
            <w:hideMark/>
          </w:tcPr>
          <w:p w14:paraId="3483137A"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41,048.47</w:t>
            </w:r>
          </w:p>
        </w:tc>
        <w:tc>
          <w:tcPr>
            <w:tcW w:w="1198" w:type="dxa"/>
            <w:gridSpan w:val="2"/>
            <w:shd w:val="clear" w:color="auto" w:fill="auto"/>
            <w:noWrap/>
            <w:vAlign w:val="center"/>
            <w:hideMark/>
          </w:tcPr>
          <w:p w14:paraId="238F0B2F"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41,296.65</w:t>
            </w:r>
          </w:p>
        </w:tc>
        <w:tc>
          <w:tcPr>
            <w:tcW w:w="1149" w:type="dxa"/>
            <w:gridSpan w:val="2"/>
            <w:shd w:val="clear" w:color="auto" w:fill="auto"/>
            <w:noWrap/>
            <w:vAlign w:val="center"/>
            <w:hideMark/>
          </w:tcPr>
          <w:p w14:paraId="41ACD813"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41,526.76</w:t>
            </w:r>
          </w:p>
        </w:tc>
        <w:tc>
          <w:tcPr>
            <w:tcW w:w="1246" w:type="dxa"/>
            <w:gridSpan w:val="3"/>
            <w:shd w:val="clear" w:color="auto" w:fill="auto"/>
            <w:noWrap/>
            <w:vAlign w:val="center"/>
            <w:hideMark/>
          </w:tcPr>
          <w:p w14:paraId="1EEA2E1E"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41,812.50</w:t>
            </w:r>
          </w:p>
        </w:tc>
      </w:tr>
      <w:tr w:rsidR="009B2872" w:rsidRPr="00401061" w14:paraId="753C5795" w14:textId="77777777" w:rsidTr="00DB1A89">
        <w:tblPrEx>
          <w:tblBorders>
            <w:left w:val="none" w:sz="0" w:space="0" w:color="auto"/>
            <w:right w:val="none" w:sz="0" w:space="0" w:color="auto"/>
          </w:tblBorders>
        </w:tblPrEx>
        <w:trPr>
          <w:trHeight w:val="266"/>
        </w:trPr>
        <w:tc>
          <w:tcPr>
            <w:tcW w:w="3987" w:type="dxa"/>
            <w:gridSpan w:val="2"/>
            <w:shd w:val="clear" w:color="auto" w:fill="auto"/>
            <w:vAlign w:val="center"/>
          </w:tcPr>
          <w:p w14:paraId="7960FF21"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sz w:val="18"/>
                <w:szCs w:val="18"/>
              </w:rPr>
              <w:t>CH</w:t>
            </w:r>
            <w:r w:rsidRPr="00401061">
              <w:rPr>
                <w:rFonts w:asciiTheme="minorHAnsi" w:eastAsia="Times New Roman" w:hAnsiTheme="minorHAnsi" w:cstheme="minorHAnsi"/>
                <w:sz w:val="18"/>
                <w:szCs w:val="18"/>
                <w:vertAlign w:val="subscript"/>
              </w:rPr>
              <w:t>4</w:t>
            </w:r>
            <w:r w:rsidRPr="00401061">
              <w:rPr>
                <w:rFonts w:asciiTheme="minorHAnsi" w:eastAsia="Times New Roman" w:hAnsiTheme="minorHAnsi" w:cstheme="minorHAnsi"/>
                <w:sz w:val="18"/>
                <w:szCs w:val="18"/>
              </w:rPr>
              <w:t xml:space="preserve"> emissions with CH</w:t>
            </w:r>
            <w:r w:rsidRPr="00401061">
              <w:rPr>
                <w:rFonts w:asciiTheme="minorHAnsi" w:eastAsia="Times New Roman" w:hAnsiTheme="minorHAnsi" w:cstheme="minorHAnsi"/>
                <w:sz w:val="18"/>
                <w:szCs w:val="18"/>
                <w:vertAlign w:val="subscript"/>
              </w:rPr>
              <w:t>4</w:t>
            </w:r>
            <w:r w:rsidRPr="00401061">
              <w:rPr>
                <w:rFonts w:asciiTheme="minorHAnsi" w:eastAsia="Times New Roman" w:hAnsiTheme="minorHAnsi" w:cstheme="minorHAnsi"/>
                <w:sz w:val="18"/>
                <w:szCs w:val="18"/>
              </w:rPr>
              <w:t xml:space="preserve"> from LULUCF</w:t>
            </w:r>
          </w:p>
        </w:tc>
        <w:tc>
          <w:tcPr>
            <w:tcW w:w="1137" w:type="dxa"/>
            <w:gridSpan w:val="2"/>
            <w:vAlign w:val="center"/>
          </w:tcPr>
          <w:p w14:paraId="19289A70"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Calibri" w:hAnsiTheme="minorHAnsi" w:cstheme="minorHAnsi"/>
                <w:color w:val="000000" w:themeColor="text1"/>
                <w:sz w:val="18"/>
                <w:szCs w:val="18"/>
              </w:rPr>
              <w:t>40,068.53</w:t>
            </w:r>
          </w:p>
        </w:tc>
        <w:tc>
          <w:tcPr>
            <w:tcW w:w="1199" w:type="dxa"/>
            <w:gridSpan w:val="2"/>
            <w:shd w:val="clear" w:color="auto" w:fill="auto"/>
            <w:noWrap/>
            <w:vAlign w:val="center"/>
            <w:hideMark/>
          </w:tcPr>
          <w:p w14:paraId="45B9817F"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39,930.89</w:t>
            </w:r>
          </w:p>
        </w:tc>
        <w:tc>
          <w:tcPr>
            <w:tcW w:w="1200" w:type="dxa"/>
            <w:gridSpan w:val="2"/>
            <w:shd w:val="clear" w:color="auto" w:fill="auto"/>
            <w:noWrap/>
            <w:vAlign w:val="center"/>
            <w:hideMark/>
          </w:tcPr>
          <w:p w14:paraId="78A9B18F"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40,868.13</w:t>
            </w:r>
          </w:p>
        </w:tc>
        <w:tc>
          <w:tcPr>
            <w:tcW w:w="1153" w:type="dxa"/>
            <w:gridSpan w:val="2"/>
            <w:shd w:val="clear" w:color="auto" w:fill="auto"/>
            <w:noWrap/>
            <w:vAlign w:val="center"/>
            <w:hideMark/>
          </w:tcPr>
          <w:p w14:paraId="210DC5A5"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41,266.94</w:t>
            </w:r>
          </w:p>
        </w:tc>
        <w:tc>
          <w:tcPr>
            <w:tcW w:w="1199" w:type="dxa"/>
            <w:gridSpan w:val="2"/>
            <w:shd w:val="clear" w:color="auto" w:fill="auto"/>
            <w:noWrap/>
            <w:vAlign w:val="center"/>
            <w:hideMark/>
          </w:tcPr>
          <w:p w14:paraId="286406D0"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40,891.54</w:t>
            </w:r>
          </w:p>
        </w:tc>
        <w:tc>
          <w:tcPr>
            <w:tcW w:w="1047" w:type="dxa"/>
            <w:gridSpan w:val="2"/>
            <w:shd w:val="clear" w:color="auto" w:fill="auto"/>
            <w:noWrap/>
            <w:vAlign w:val="center"/>
            <w:hideMark/>
          </w:tcPr>
          <w:p w14:paraId="20661210"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41,139.32</w:t>
            </w:r>
          </w:p>
        </w:tc>
        <w:tc>
          <w:tcPr>
            <w:tcW w:w="1198" w:type="dxa"/>
            <w:gridSpan w:val="2"/>
            <w:shd w:val="clear" w:color="auto" w:fill="auto"/>
            <w:noWrap/>
            <w:vAlign w:val="center"/>
            <w:hideMark/>
          </w:tcPr>
          <w:p w14:paraId="06CFA1A5"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41,379.36</w:t>
            </w:r>
          </w:p>
        </w:tc>
        <w:tc>
          <w:tcPr>
            <w:tcW w:w="1149" w:type="dxa"/>
            <w:gridSpan w:val="2"/>
            <w:shd w:val="clear" w:color="auto" w:fill="auto"/>
            <w:noWrap/>
            <w:vAlign w:val="center"/>
            <w:hideMark/>
          </w:tcPr>
          <w:p w14:paraId="6678E266"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41,647.47</w:t>
            </w:r>
          </w:p>
        </w:tc>
        <w:tc>
          <w:tcPr>
            <w:tcW w:w="1246" w:type="dxa"/>
            <w:gridSpan w:val="3"/>
            <w:shd w:val="clear" w:color="auto" w:fill="auto"/>
            <w:noWrap/>
            <w:vAlign w:val="center"/>
            <w:hideMark/>
          </w:tcPr>
          <w:p w14:paraId="46924A61"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41,935.31</w:t>
            </w:r>
          </w:p>
        </w:tc>
      </w:tr>
      <w:tr w:rsidR="009B2872" w:rsidRPr="00401061" w14:paraId="745792E4" w14:textId="77777777" w:rsidTr="00DB1A89">
        <w:tblPrEx>
          <w:tblBorders>
            <w:left w:val="none" w:sz="0" w:space="0" w:color="auto"/>
            <w:right w:val="none" w:sz="0" w:space="0" w:color="auto"/>
          </w:tblBorders>
        </w:tblPrEx>
        <w:trPr>
          <w:trHeight w:val="266"/>
        </w:trPr>
        <w:tc>
          <w:tcPr>
            <w:tcW w:w="3987" w:type="dxa"/>
            <w:gridSpan w:val="2"/>
            <w:shd w:val="clear" w:color="auto" w:fill="auto"/>
            <w:vAlign w:val="center"/>
          </w:tcPr>
          <w:p w14:paraId="26F8E1FF"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sz w:val="18"/>
                <w:szCs w:val="18"/>
              </w:rPr>
              <w:t>N</w:t>
            </w:r>
            <w:r w:rsidRPr="00401061">
              <w:rPr>
                <w:rFonts w:asciiTheme="minorHAnsi" w:eastAsia="Times New Roman" w:hAnsiTheme="minorHAnsi" w:cstheme="minorHAnsi"/>
                <w:sz w:val="18"/>
                <w:szCs w:val="18"/>
                <w:vertAlign w:val="subscript"/>
              </w:rPr>
              <w:t>2</w:t>
            </w:r>
            <w:r w:rsidRPr="00401061">
              <w:rPr>
                <w:rFonts w:asciiTheme="minorHAnsi" w:eastAsia="Times New Roman" w:hAnsiTheme="minorHAnsi" w:cstheme="minorHAnsi"/>
                <w:sz w:val="18"/>
                <w:szCs w:val="18"/>
              </w:rPr>
              <w:t>O emissions without N</w:t>
            </w:r>
            <w:r w:rsidRPr="00401061">
              <w:rPr>
                <w:rFonts w:asciiTheme="minorHAnsi" w:eastAsia="Times New Roman" w:hAnsiTheme="minorHAnsi" w:cstheme="minorHAnsi"/>
                <w:sz w:val="18"/>
                <w:szCs w:val="18"/>
                <w:vertAlign w:val="subscript"/>
              </w:rPr>
              <w:t>2</w:t>
            </w:r>
            <w:r w:rsidRPr="00401061">
              <w:rPr>
                <w:rFonts w:asciiTheme="minorHAnsi" w:eastAsia="Times New Roman" w:hAnsiTheme="minorHAnsi" w:cstheme="minorHAnsi"/>
                <w:sz w:val="18"/>
                <w:szCs w:val="18"/>
              </w:rPr>
              <w:t>O from LULUCF</w:t>
            </w:r>
          </w:p>
        </w:tc>
        <w:tc>
          <w:tcPr>
            <w:tcW w:w="1137" w:type="dxa"/>
            <w:gridSpan w:val="2"/>
            <w:vAlign w:val="center"/>
          </w:tcPr>
          <w:p w14:paraId="3502B8A6"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Calibri" w:hAnsiTheme="minorHAnsi" w:cstheme="minorHAnsi"/>
                <w:color w:val="000000" w:themeColor="text1"/>
                <w:sz w:val="18"/>
                <w:szCs w:val="18"/>
              </w:rPr>
              <w:t>5,904.82</w:t>
            </w:r>
          </w:p>
        </w:tc>
        <w:tc>
          <w:tcPr>
            <w:tcW w:w="1199" w:type="dxa"/>
            <w:gridSpan w:val="2"/>
            <w:shd w:val="clear" w:color="auto" w:fill="auto"/>
            <w:noWrap/>
            <w:vAlign w:val="center"/>
            <w:hideMark/>
          </w:tcPr>
          <w:p w14:paraId="447276F2"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5,908.56</w:t>
            </w:r>
          </w:p>
        </w:tc>
        <w:tc>
          <w:tcPr>
            <w:tcW w:w="1200" w:type="dxa"/>
            <w:gridSpan w:val="2"/>
            <w:shd w:val="clear" w:color="auto" w:fill="auto"/>
            <w:noWrap/>
            <w:vAlign w:val="center"/>
            <w:hideMark/>
          </w:tcPr>
          <w:p w14:paraId="7649F60E"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6,163.87</w:t>
            </w:r>
          </w:p>
        </w:tc>
        <w:tc>
          <w:tcPr>
            <w:tcW w:w="1153" w:type="dxa"/>
            <w:gridSpan w:val="2"/>
            <w:shd w:val="clear" w:color="auto" w:fill="auto"/>
            <w:noWrap/>
            <w:vAlign w:val="center"/>
            <w:hideMark/>
          </w:tcPr>
          <w:p w14:paraId="0E71769E"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6,481.80</w:t>
            </w:r>
          </w:p>
        </w:tc>
        <w:tc>
          <w:tcPr>
            <w:tcW w:w="1199" w:type="dxa"/>
            <w:gridSpan w:val="2"/>
            <w:shd w:val="clear" w:color="auto" w:fill="auto"/>
            <w:noWrap/>
            <w:vAlign w:val="center"/>
            <w:hideMark/>
          </w:tcPr>
          <w:p w14:paraId="31E044DF"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6,546.35</w:t>
            </w:r>
          </w:p>
        </w:tc>
        <w:tc>
          <w:tcPr>
            <w:tcW w:w="1047" w:type="dxa"/>
            <w:gridSpan w:val="2"/>
            <w:shd w:val="clear" w:color="auto" w:fill="auto"/>
            <w:noWrap/>
            <w:vAlign w:val="center"/>
            <w:hideMark/>
          </w:tcPr>
          <w:p w14:paraId="03BEDEB4"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6,791.13</w:t>
            </w:r>
          </w:p>
        </w:tc>
        <w:tc>
          <w:tcPr>
            <w:tcW w:w="1198" w:type="dxa"/>
            <w:gridSpan w:val="2"/>
            <w:shd w:val="clear" w:color="auto" w:fill="auto"/>
            <w:noWrap/>
            <w:vAlign w:val="center"/>
            <w:hideMark/>
          </w:tcPr>
          <w:p w14:paraId="4C726200"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6,905.91</w:t>
            </w:r>
          </w:p>
        </w:tc>
        <w:tc>
          <w:tcPr>
            <w:tcW w:w="1149" w:type="dxa"/>
            <w:gridSpan w:val="2"/>
            <w:shd w:val="clear" w:color="auto" w:fill="auto"/>
            <w:noWrap/>
            <w:vAlign w:val="center"/>
            <w:hideMark/>
          </w:tcPr>
          <w:p w14:paraId="5B268632"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6,925.98</w:t>
            </w:r>
          </w:p>
        </w:tc>
        <w:tc>
          <w:tcPr>
            <w:tcW w:w="1246" w:type="dxa"/>
            <w:gridSpan w:val="3"/>
            <w:shd w:val="clear" w:color="auto" w:fill="auto"/>
            <w:noWrap/>
            <w:vAlign w:val="center"/>
            <w:hideMark/>
          </w:tcPr>
          <w:p w14:paraId="6FF71117"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6,717.65</w:t>
            </w:r>
          </w:p>
        </w:tc>
      </w:tr>
      <w:tr w:rsidR="009B2872" w:rsidRPr="00401061" w14:paraId="6183E00A" w14:textId="77777777" w:rsidTr="00DB1A89">
        <w:tblPrEx>
          <w:tblBorders>
            <w:left w:val="none" w:sz="0" w:space="0" w:color="auto"/>
            <w:right w:val="none" w:sz="0" w:space="0" w:color="auto"/>
          </w:tblBorders>
        </w:tblPrEx>
        <w:trPr>
          <w:trHeight w:val="266"/>
        </w:trPr>
        <w:tc>
          <w:tcPr>
            <w:tcW w:w="3987" w:type="dxa"/>
            <w:gridSpan w:val="2"/>
            <w:shd w:val="clear" w:color="auto" w:fill="auto"/>
            <w:vAlign w:val="center"/>
          </w:tcPr>
          <w:p w14:paraId="5EAB38A0"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sz w:val="18"/>
                <w:szCs w:val="18"/>
              </w:rPr>
              <w:t>N</w:t>
            </w:r>
            <w:r w:rsidRPr="00401061">
              <w:rPr>
                <w:rFonts w:asciiTheme="minorHAnsi" w:eastAsia="Times New Roman" w:hAnsiTheme="minorHAnsi" w:cstheme="minorHAnsi"/>
                <w:sz w:val="18"/>
                <w:szCs w:val="18"/>
                <w:vertAlign w:val="subscript"/>
              </w:rPr>
              <w:t>2</w:t>
            </w:r>
            <w:r w:rsidRPr="00401061">
              <w:rPr>
                <w:rFonts w:asciiTheme="minorHAnsi" w:eastAsia="Times New Roman" w:hAnsiTheme="minorHAnsi" w:cstheme="minorHAnsi"/>
                <w:sz w:val="18"/>
                <w:szCs w:val="18"/>
              </w:rPr>
              <w:t>O emissions with N</w:t>
            </w:r>
            <w:r w:rsidRPr="00401061">
              <w:rPr>
                <w:rFonts w:asciiTheme="minorHAnsi" w:eastAsia="Times New Roman" w:hAnsiTheme="minorHAnsi" w:cstheme="minorHAnsi"/>
                <w:sz w:val="18"/>
                <w:szCs w:val="18"/>
                <w:vertAlign w:val="subscript"/>
              </w:rPr>
              <w:t>2</w:t>
            </w:r>
            <w:r w:rsidRPr="00401061">
              <w:rPr>
                <w:rFonts w:asciiTheme="minorHAnsi" w:eastAsia="Times New Roman" w:hAnsiTheme="minorHAnsi" w:cstheme="minorHAnsi"/>
                <w:sz w:val="18"/>
                <w:szCs w:val="18"/>
              </w:rPr>
              <w:t>O from LULUCF</w:t>
            </w:r>
          </w:p>
        </w:tc>
        <w:tc>
          <w:tcPr>
            <w:tcW w:w="1137" w:type="dxa"/>
            <w:gridSpan w:val="2"/>
            <w:vAlign w:val="center"/>
          </w:tcPr>
          <w:p w14:paraId="69A83F71"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Calibri" w:hAnsiTheme="minorHAnsi" w:cstheme="minorHAnsi"/>
                <w:color w:val="000000" w:themeColor="text1"/>
                <w:sz w:val="18"/>
                <w:szCs w:val="18"/>
              </w:rPr>
              <w:t>6,269.50</w:t>
            </w:r>
          </w:p>
        </w:tc>
        <w:tc>
          <w:tcPr>
            <w:tcW w:w="1199" w:type="dxa"/>
            <w:gridSpan w:val="2"/>
            <w:shd w:val="clear" w:color="auto" w:fill="auto"/>
            <w:noWrap/>
            <w:vAlign w:val="center"/>
            <w:hideMark/>
          </w:tcPr>
          <w:p w14:paraId="7696D2C6"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6,267.93</w:t>
            </w:r>
          </w:p>
        </w:tc>
        <w:tc>
          <w:tcPr>
            <w:tcW w:w="1200" w:type="dxa"/>
            <w:gridSpan w:val="2"/>
            <w:shd w:val="clear" w:color="auto" w:fill="auto"/>
            <w:noWrap/>
            <w:vAlign w:val="center"/>
            <w:hideMark/>
          </w:tcPr>
          <w:p w14:paraId="1320F862"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6,527.37</w:t>
            </w:r>
          </w:p>
        </w:tc>
        <w:tc>
          <w:tcPr>
            <w:tcW w:w="1153" w:type="dxa"/>
            <w:gridSpan w:val="2"/>
            <w:shd w:val="clear" w:color="auto" w:fill="auto"/>
            <w:noWrap/>
            <w:vAlign w:val="center"/>
            <w:hideMark/>
          </w:tcPr>
          <w:p w14:paraId="72E58437"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6,843.10</w:t>
            </w:r>
          </w:p>
        </w:tc>
        <w:tc>
          <w:tcPr>
            <w:tcW w:w="1199" w:type="dxa"/>
            <w:gridSpan w:val="2"/>
            <w:shd w:val="clear" w:color="auto" w:fill="auto"/>
            <w:noWrap/>
            <w:vAlign w:val="center"/>
            <w:hideMark/>
          </w:tcPr>
          <w:p w14:paraId="6A0E3028"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6,904.14</w:t>
            </w:r>
          </w:p>
        </w:tc>
        <w:tc>
          <w:tcPr>
            <w:tcW w:w="1047" w:type="dxa"/>
            <w:gridSpan w:val="2"/>
            <w:shd w:val="clear" w:color="auto" w:fill="auto"/>
            <w:noWrap/>
            <w:vAlign w:val="center"/>
            <w:hideMark/>
          </w:tcPr>
          <w:p w14:paraId="3D5A6A3D"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7,146.12</w:t>
            </w:r>
          </w:p>
        </w:tc>
        <w:tc>
          <w:tcPr>
            <w:tcW w:w="1198" w:type="dxa"/>
            <w:gridSpan w:val="2"/>
            <w:shd w:val="clear" w:color="auto" w:fill="auto"/>
            <w:noWrap/>
            <w:vAlign w:val="center"/>
            <w:hideMark/>
          </w:tcPr>
          <w:p w14:paraId="50AA7BBA"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7,257.38</w:t>
            </w:r>
          </w:p>
        </w:tc>
        <w:tc>
          <w:tcPr>
            <w:tcW w:w="1149" w:type="dxa"/>
            <w:gridSpan w:val="2"/>
            <w:shd w:val="clear" w:color="auto" w:fill="auto"/>
            <w:noWrap/>
            <w:vAlign w:val="center"/>
            <w:hideMark/>
          </w:tcPr>
          <w:p w14:paraId="3759790B"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7,279.16</w:t>
            </w:r>
          </w:p>
        </w:tc>
        <w:tc>
          <w:tcPr>
            <w:tcW w:w="1246" w:type="dxa"/>
            <w:gridSpan w:val="3"/>
            <w:shd w:val="clear" w:color="auto" w:fill="auto"/>
            <w:noWrap/>
            <w:vAlign w:val="center"/>
            <w:hideMark/>
          </w:tcPr>
          <w:p w14:paraId="7E85791A"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7,067.47</w:t>
            </w:r>
          </w:p>
        </w:tc>
      </w:tr>
      <w:tr w:rsidR="009B2872" w:rsidRPr="00401061" w14:paraId="14099732" w14:textId="77777777" w:rsidTr="00DB1A89">
        <w:tblPrEx>
          <w:tblBorders>
            <w:left w:val="none" w:sz="0" w:space="0" w:color="auto"/>
            <w:right w:val="none" w:sz="0" w:space="0" w:color="auto"/>
          </w:tblBorders>
        </w:tblPrEx>
        <w:trPr>
          <w:trHeight w:val="266"/>
        </w:trPr>
        <w:tc>
          <w:tcPr>
            <w:tcW w:w="3987" w:type="dxa"/>
            <w:gridSpan w:val="2"/>
            <w:shd w:val="clear" w:color="auto" w:fill="auto"/>
            <w:vAlign w:val="center"/>
          </w:tcPr>
          <w:p w14:paraId="1B36DABE"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HFCs</w:t>
            </w:r>
          </w:p>
        </w:tc>
        <w:tc>
          <w:tcPr>
            <w:tcW w:w="1137" w:type="dxa"/>
            <w:gridSpan w:val="2"/>
            <w:vAlign w:val="center"/>
          </w:tcPr>
          <w:p w14:paraId="22726F36"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Calibri" w:hAnsiTheme="minorHAnsi" w:cstheme="minorHAnsi"/>
                <w:color w:val="000000" w:themeColor="text1"/>
                <w:sz w:val="18"/>
                <w:szCs w:val="18"/>
              </w:rPr>
              <w:t>140.28</w:t>
            </w:r>
          </w:p>
        </w:tc>
        <w:tc>
          <w:tcPr>
            <w:tcW w:w="1199" w:type="dxa"/>
            <w:gridSpan w:val="2"/>
            <w:shd w:val="clear" w:color="auto" w:fill="auto"/>
            <w:noWrap/>
            <w:vAlign w:val="center"/>
            <w:hideMark/>
          </w:tcPr>
          <w:p w14:paraId="1B212956"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185.49</w:t>
            </w:r>
          </w:p>
        </w:tc>
        <w:tc>
          <w:tcPr>
            <w:tcW w:w="1200" w:type="dxa"/>
            <w:gridSpan w:val="2"/>
            <w:shd w:val="clear" w:color="auto" w:fill="auto"/>
            <w:noWrap/>
            <w:vAlign w:val="center"/>
            <w:hideMark/>
          </w:tcPr>
          <w:p w14:paraId="623B7CFD"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230.57</w:t>
            </w:r>
          </w:p>
        </w:tc>
        <w:tc>
          <w:tcPr>
            <w:tcW w:w="1153" w:type="dxa"/>
            <w:gridSpan w:val="2"/>
            <w:shd w:val="clear" w:color="auto" w:fill="auto"/>
            <w:noWrap/>
            <w:vAlign w:val="center"/>
            <w:hideMark/>
          </w:tcPr>
          <w:p w14:paraId="1F36F152"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311.88</w:t>
            </w:r>
          </w:p>
        </w:tc>
        <w:tc>
          <w:tcPr>
            <w:tcW w:w="1199" w:type="dxa"/>
            <w:gridSpan w:val="2"/>
            <w:shd w:val="clear" w:color="auto" w:fill="auto"/>
            <w:noWrap/>
            <w:vAlign w:val="center"/>
            <w:hideMark/>
          </w:tcPr>
          <w:p w14:paraId="19D4907D"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365.92</w:t>
            </w:r>
          </w:p>
        </w:tc>
        <w:tc>
          <w:tcPr>
            <w:tcW w:w="1047" w:type="dxa"/>
            <w:gridSpan w:val="2"/>
            <w:shd w:val="clear" w:color="auto" w:fill="auto"/>
            <w:noWrap/>
            <w:vAlign w:val="center"/>
            <w:hideMark/>
          </w:tcPr>
          <w:p w14:paraId="0AB7B9A5"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435.83</w:t>
            </w:r>
          </w:p>
        </w:tc>
        <w:tc>
          <w:tcPr>
            <w:tcW w:w="1198" w:type="dxa"/>
            <w:gridSpan w:val="2"/>
            <w:shd w:val="clear" w:color="auto" w:fill="auto"/>
            <w:noWrap/>
            <w:vAlign w:val="center"/>
            <w:hideMark/>
          </w:tcPr>
          <w:p w14:paraId="4559A531"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531.92</w:t>
            </w:r>
          </w:p>
        </w:tc>
        <w:tc>
          <w:tcPr>
            <w:tcW w:w="1149" w:type="dxa"/>
            <w:gridSpan w:val="2"/>
            <w:shd w:val="clear" w:color="auto" w:fill="auto"/>
            <w:noWrap/>
            <w:vAlign w:val="center"/>
            <w:hideMark/>
          </w:tcPr>
          <w:p w14:paraId="1B230FC3"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648.87</w:t>
            </w:r>
          </w:p>
        </w:tc>
        <w:tc>
          <w:tcPr>
            <w:tcW w:w="1246" w:type="dxa"/>
            <w:gridSpan w:val="3"/>
            <w:shd w:val="clear" w:color="auto" w:fill="auto"/>
            <w:noWrap/>
            <w:vAlign w:val="center"/>
            <w:hideMark/>
          </w:tcPr>
          <w:p w14:paraId="2B205FD7"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748.18</w:t>
            </w:r>
          </w:p>
        </w:tc>
      </w:tr>
      <w:tr w:rsidR="009B2872" w:rsidRPr="00401061" w14:paraId="77AFCDE0" w14:textId="77777777" w:rsidTr="00DB1A89">
        <w:tblPrEx>
          <w:tblBorders>
            <w:left w:val="none" w:sz="0" w:space="0" w:color="auto"/>
            <w:right w:val="none" w:sz="0" w:space="0" w:color="auto"/>
          </w:tblBorders>
        </w:tblPrEx>
        <w:trPr>
          <w:trHeight w:val="266"/>
        </w:trPr>
        <w:tc>
          <w:tcPr>
            <w:tcW w:w="3987" w:type="dxa"/>
            <w:gridSpan w:val="2"/>
            <w:shd w:val="clear" w:color="auto" w:fill="auto"/>
            <w:vAlign w:val="center"/>
          </w:tcPr>
          <w:p w14:paraId="4EFA15B5"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PFCs</w:t>
            </w:r>
          </w:p>
        </w:tc>
        <w:tc>
          <w:tcPr>
            <w:tcW w:w="1137" w:type="dxa"/>
            <w:gridSpan w:val="2"/>
            <w:vAlign w:val="center"/>
          </w:tcPr>
          <w:p w14:paraId="6B1F9199"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Calibri" w:hAnsiTheme="minorHAnsi" w:cstheme="minorHAnsi"/>
                <w:color w:val="000000" w:themeColor="text1"/>
                <w:sz w:val="18"/>
                <w:szCs w:val="18"/>
              </w:rPr>
              <w:t>110.58</w:t>
            </w:r>
          </w:p>
        </w:tc>
        <w:tc>
          <w:tcPr>
            <w:tcW w:w="1199" w:type="dxa"/>
            <w:gridSpan w:val="2"/>
            <w:shd w:val="clear" w:color="auto" w:fill="auto"/>
            <w:noWrap/>
            <w:vAlign w:val="center"/>
            <w:hideMark/>
          </w:tcPr>
          <w:p w14:paraId="35219A69"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85.48</w:t>
            </w:r>
          </w:p>
        </w:tc>
        <w:tc>
          <w:tcPr>
            <w:tcW w:w="1200" w:type="dxa"/>
            <w:gridSpan w:val="2"/>
            <w:shd w:val="clear" w:color="auto" w:fill="auto"/>
            <w:noWrap/>
            <w:vAlign w:val="center"/>
            <w:hideMark/>
          </w:tcPr>
          <w:p w14:paraId="652D837C"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84.53</w:t>
            </w:r>
          </w:p>
        </w:tc>
        <w:tc>
          <w:tcPr>
            <w:tcW w:w="1153" w:type="dxa"/>
            <w:gridSpan w:val="2"/>
            <w:shd w:val="clear" w:color="auto" w:fill="auto"/>
            <w:noWrap/>
            <w:vAlign w:val="center"/>
            <w:hideMark/>
          </w:tcPr>
          <w:p w14:paraId="1E1A27FB"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63.50</w:t>
            </w:r>
          </w:p>
        </w:tc>
        <w:tc>
          <w:tcPr>
            <w:tcW w:w="1199" w:type="dxa"/>
            <w:gridSpan w:val="2"/>
            <w:shd w:val="clear" w:color="auto" w:fill="auto"/>
            <w:noWrap/>
            <w:vAlign w:val="center"/>
            <w:hideMark/>
          </w:tcPr>
          <w:p w14:paraId="6C7C8C4B"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77.02</w:t>
            </w:r>
          </w:p>
        </w:tc>
        <w:tc>
          <w:tcPr>
            <w:tcW w:w="1047" w:type="dxa"/>
            <w:gridSpan w:val="2"/>
            <w:shd w:val="clear" w:color="auto" w:fill="auto"/>
            <w:noWrap/>
            <w:vAlign w:val="center"/>
            <w:hideMark/>
          </w:tcPr>
          <w:p w14:paraId="011EF75C"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115.77</w:t>
            </w:r>
          </w:p>
        </w:tc>
        <w:tc>
          <w:tcPr>
            <w:tcW w:w="1198" w:type="dxa"/>
            <w:gridSpan w:val="2"/>
            <w:shd w:val="clear" w:color="auto" w:fill="auto"/>
            <w:noWrap/>
            <w:vAlign w:val="center"/>
            <w:hideMark/>
          </w:tcPr>
          <w:p w14:paraId="1C043D4C"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90.07</w:t>
            </w:r>
          </w:p>
        </w:tc>
        <w:tc>
          <w:tcPr>
            <w:tcW w:w="1149" w:type="dxa"/>
            <w:gridSpan w:val="2"/>
            <w:shd w:val="clear" w:color="auto" w:fill="auto"/>
            <w:noWrap/>
            <w:vAlign w:val="center"/>
            <w:hideMark/>
          </w:tcPr>
          <w:p w14:paraId="69B03AEA"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62.39</w:t>
            </w:r>
          </w:p>
        </w:tc>
        <w:tc>
          <w:tcPr>
            <w:tcW w:w="1246" w:type="dxa"/>
            <w:gridSpan w:val="3"/>
            <w:shd w:val="clear" w:color="auto" w:fill="auto"/>
            <w:noWrap/>
            <w:vAlign w:val="center"/>
            <w:hideMark/>
          </w:tcPr>
          <w:p w14:paraId="28D11217"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97.09</w:t>
            </w:r>
          </w:p>
        </w:tc>
      </w:tr>
      <w:tr w:rsidR="009B2872" w:rsidRPr="00401061" w14:paraId="06940E8B" w14:textId="77777777" w:rsidTr="00DB1A89">
        <w:tblPrEx>
          <w:tblBorders>
            <w:left w:val="none" w:sz="0" w:space="0" w:color="auto"/>
            <w:right w:val="none" w:sz="0" w:space="0" w:color="auto"/>
          </w:tblBorders>
        </w:tblPrEx>
        <w:trPr>
          <w:trHeight w:val="266"/>
        </w:trPr>
        <w:tc>
          <w:tcPr>
            <w:tcW w:w="3987" w:type="dxa"/>
            <w:gridSpan w:val="2"/>
            <w:shd w:val="clear" w:color="auto" w:fill="auto"/>
            <w:vAlign w:val="center"/>
          </w:tcPr>
          <w:p w14:paraId="2E79FC31"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Unspecified mix of HFCs and PFCs</w:t>
            </w:r>
          </w:p>
        </w:tc>
        <w:tc>
          <w:tcPr>
            <w:tcW w:w="1137" w:type="dxa"/>
            <w:gridSpan w:val="2"/>
            <w:vAlign w:val="center"/>
          </w:tcPr>
          <w:p w14:paraId="18CCBA58" w14:textId="2634F49F"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Calibri" w:hAnsiTheme="minorHAnsi" w:cstheme="minorHAnsi"/>
                <w:color w:val="000000" w:themeColor="text1"/>
                <w:sz w:val="18"/>
                <w:szCs w:val="18"/>
              </w:rPr>
              <w:t>NA,</w:t>
            </w:r>
            <w:r w:rsidR="00294220" w:rsidRPr="00401061">
              <w:rPr>
                <w:rFonts w:asciiTheme="minorHAnsi" w:eastAsia="Calibri" w:hAnsiTheme="minorHAnsi" w:cstheme="minorHAnsi"/>
                <w:color w:val="000000" w:themeColor="text1"/>
                <w:sz w:val="18"/>
                <w:szCs w:val="18"/>
              </w:rPr>
              <w:t xml:space="preserve"> </w:t>
            </w:r>
            <w:r w:rsidRPr="00401061">
              <w:rPr>
                <w:rFonts w:asciiTheme="minorHAnsi" w:eastAsia="Calibri" w:hAnsiTheme="minorHAnsi" w:cstheme="minorHAnsi"/>
                <w:color w:val="000000" w:themeColor="text1"/>
                <w:sz w:val="18"/>
                <w:szCs w:val="18"/>
              </w:rPr>
              <w:t>NO</w:t>
            </w:r>
          </w:p>
        </w:tc>
        <w:tc>
          <w:tcPr>
            <w:tcW w:w="1199" w:type="dxa"/>
            <w:gridSpan w:val="2"/>
            <w:shd w:val="clear" w:color="auto" w:fill="auto"/>
            <w:noWrap/>
            <w:vAlign w:val="center"/>
            <w:hideMark/>
          </w:tcPr>
          <w:p w14:paraId="011593F2" w14:textId="49C8376F"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NA,</w:t>
            </w:r>
            <w:r w:rsidR="00294220" w:rsidRPr="00401061">
              <w:rPr>
                <w:rFonts w:asciiTheme="minorHAnsi" w:eastAsia="Times New Roman" w:hAnsiTheme="minorHAnsi" w:cstheme="minorHAnsi"/>
                <w:color w:val="000000"/>
                <w:sz w:val="18"/>
                <w:szCs w:val="18"/>
              </w:rPr>
              <w:t xml:space="preserve"> </w:t>
            </w:r>
            <w:r w:rsidRPr="00401061">
              <w:rPr>
                <w:rFonts w:asciiTheme="minorHAnsi" w:eastAsia="Times New Roman" w:hAnsiTheme="minorHAnsi" w:cstheme="minorHAnsi"/>
                <w:color w:val="000000"/>
                <w:sz w:val="18"/>
                <w:szCs w:val="18"/>
              </w:rPr>
              <w:t>NO</w:t>
            </w:r>
          </w:p>
        </w:tc>
        <w:tc>
          <w:tcPr>
            <w:tcW w:w="1200" w:type="dxa"/>
            <w:gridSpan w:val="2"/>
            <w:shd w:val="clear" w:color="auto" w:fill="auto"/>
            <w:noWrap/>
            <w:vAlign w:val="center"/>
            <w:hideMark/>
          </w:tcPr>
          <w:p w14:paraId="33D95374" w14:textId="7A4FE1B5"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NA,</w:t>
            </w:r>
            <w:r w:rsidR="00294220" w:rsidRPr="00401061">
              <w:rPr>
                <w:rFonts w:asciiTheme="minorHAnsi" w:eastAsia="Times New Roman" w:hAnsiTheme="minorHAnsi" w:cstheme="minorHAnsi"/>
                <w:color w:val="000000"/>
                <w:sz w:val="18"/>
                <w:szCs w:val="18"/>
              </w:rPr>
              <w:t xml:space="preserve"> </w:t>
            </w:r>
            <w:r w:rsidRPr="00401061">
              <w:rPr>
                <w:rFonts w:asciiTheme="minorHAnsi" w:eastAsia="Times New Roman" w:hAnsiTheme="minorHAnsi" w:cstheme="minorHAnsi"/>
                <w:color w:val="000000"/>
                <w:sz w:val="18"/>
                <w:szCs w:val="18"/>
              </w:rPr>
              <w:t>NO</w:t>
            </w:r>
          </w:p>
        </w:tc>
        <w:tc>
          <w:tcPr>
            <w:tcW w:w="1153" w:type="dxa"/>
            <w:gridSpan w:val="2"/>
            <w:shd w:val="clear" w:color="auto" w:fill="auto"/>
            <w:noWrap/>
            <w:vAlign w:val="center"/>
            <w:hideMark/>
          </w:tcPr>
          <w:p w14:paraId="336346E2" w14:textId="544B026C"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NA,</w:t>
            </w:r>
            <w:r w:rsidR="00294220" w:rsidRPr="00401061">
              <w:rPr>
                <w:rFonts w:asciiTheme="minorHAnsi" w:eastAsia="Times New Roman" w:hAnsiTheme="minorHAnsi" w:cstheme="minorHAnsi"/>
                <w:color w:val="000000"/>
                <w:sz w:val="18"/>
                <w:szCs w:val="18"/>
              </w:rPr>
              <w:t xml:space="preserve"> </w:t>
            </w:r>
            <w:r w:rsidRPr="00401061">
              <w:rPr>
                <w:rFonts w:asciiTheme="minorHAnsi" w:eastAsia="Times New Roman" w:hAnsiTheme="minorHAnsi" w:cstheme="minorHAnsi"/>
                <w:color w:val="000000"/>
                <w:sz w:val="18"/>
                <w:szCs w:val="18"/>
              </w:rPr>
              <w:t>NO</w:t>
            </w:r>
          </w:p>
        </w:tc>
        <w:tc>
          <w:tcPr>
            <w:tcW w:w="1199" w:type="dxa"/>
            <w:gridSpan w:val="2"/>
            <w:shd w:val="clear" w:color="auto" w:fill="auto"/>
            <w:noWrap/>
            <w:vAlign w:val="center"/>
            <w:hideMark/>
          </w:tcPr>
          <w:p w14:paraId="02A324DC" w14:textId="338DFF8A"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NA,</w:t>
            </w:r>
            <w:r w:rsidR="00294220" w:rsidRPr="00401061">
              <w:rPr>
                <w:rFonts w:asciiTheme="minorHAnsi" w:eastAsia="Times New Roman" w:hAnsiTheme="minorHAnsi" w:cstheme="minorHAnsi"/>
                <w:color w:val="000000"/>
                <w:sz w:val="18"/>
                <w:szCs w:val="18"/>
              </w:rPr>
              <w:t xml:space="preserve"> </w:t>
            </w:r>
            <w:r w:rsidRPr="00401061">
              <w:rPr>
                <w:rFonts w:asciiTheme="minorHAnsi" w:eastAsia="Times New Roman" w:hAnsiTheme="minorHAnsi" w:cstheme="minorHAnsi"/>
                <w:color w:val="000000"/>
                <w:sz w:val="18"/>
                <w:szCs w:val="18"/>
              </w:rPr>
              <w:t>NO</w:t>
            </w:r>
          </w:p>
        </w:tc>
        <w:tc>
          <w:tcPr>
            <w:tcW w:w="1047" w:type="dxa"/>
            <w:gridSpan w:val="2"/>
            <w:shd w:val="clear" w:color="auto" w:fill="auto"/>
            <w:noWrap/>
            <w:vAlign w:val="center"/>
            <w:hideMark/>
          </w:tcPr>
          <w:p w14:paraId="47C9B219" w14:textId="7FEE519B"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NA,</w:t>
            </w:r>
            <w:r w:rsidR="003F5083" w:rsidRPr="00401061">
              <w:rPr>
                <w:rFonts w:asciiTheme="minorHAnsi" w:eastAsia="Times New Roman" w:hAnsiTheme="minorHAnsi" w:cstheme="minorHAnsi"/>
                <w:color w:val="000000"/>
                <w:sz w:val="18"/>
                <w:szCs w:val="18"/>
              </w:rPr>
              <w:t xml:space="preserve"> </w:t>
            </w:r>
            <w:r w:rsidRPr="00401061">
              <w:rPr>
                <w:rFonts w:asciiTheme="minorHAnsi" w:eastAsia="Times New Roman" w:hAnsiTheme="minorHAnsi" w:cstheme="minorHAnsi"/>
                <w:color w:val="000000"/>
                <w:sz w:val="18"/>
                <w:szCs w:val="18"/>
              </w:rPr>
              <w:t>NO</w:t>
            </w:r>
          </w:p>
        </w:tc>
        <w:tc>
          <w:tcPr>
            <w:tcW w:w="1198" w:type="dxa"/>
            <w:gridSpan w:val="2"/>
            <w:shd w:val="clear" w:color="auto" w:fill="auto"/>
            <w:noWrap/>
            <w:vAlign w:val="center"/>
            <w:hideMark/>
          </w:tcPr>
          <w:p w14:paraId="1FC244B0" w14:textId="46C2DE82"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NA,</w:t>
            </w:r>
            <w:r w:rsidR="003F5083" w:rsidRPr="00401061">
              <w:rPr>
                <w:rFonts w:asciiTheme="minorHAnsi" w:eastAsia="Times New Roman" w:hAnsiTheme="minorHAnsi" w:cstheme="minorHAnsi"/>
                <w:color w:val="000000"/>
                <w:sz w:val="18"/>
                <w:szCs w:val="18"/>
              </w:rPr>
              <w:t xml:space="preserve"> </w:t>
            </w:r>
            <w:r w:rsidRPr="00401061">
              <w:rPr>
                <w:rFonts w:asciiTheme="minorHAnsi" w:eastAsia="Times New Roman" w:hAnsiTheme="minorHAnsi" w:cstheme="minorHAnsi"/>
                <w:color w:val="000000"/>
                <w:sz w:val="18"/>
                <w:szCs w:val="18"/>
              </w:rPr>
              <w:t>NO</w:t>
            </w:r>
          </w:p>
        </w:tc>
        <w:tc>
          <w:tcPr>
            <w:tcW w:w="1149" w:type="dxa"/>
            <w:gridSpan w:val="2"/>
            <w:shd w:val="clear" w:color="auto" w:fill="auto"/>
            <w:noWrap/>
            <w:vAlign w:val="center"/>
            <w:hideMark/>
          </w:tcPr>
          <w:p w14:paraId="7AD1CD54" w14:textId="47479396"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NA,</w:t>
            </w:r>
            <w:r w:rsidR="003F5083" w:rsidRPr="00401061">
              <w:rPr>
                <w:rFonts w:asciiTheme="minorHAnsi" w:eastAsia="Times New Roman" w:hAnsiTheme="minorHAnsi" w:cstheme="minorHAnsi"/>
                <w:color w:val="000000"/>
                <w:sz w:val="18"/>
                <w:szCs w:val="18"/>
              </w:rPr>
              <w:t xml:space="preserve"> </w:t>
            </w:r>
            <w:r w:rsidRPr="00401061">
              <w:rPr>
                <w:rFonts w:asciiTheme="minorHAnsi" w:eastAsia="Times New Roman" w:hAnsiTheme="minorHAnsi" w:cstheme="minorHAnsi"/>
                <w:color w:val="000000"/>
                <w:sz w:val="18"/>
                <w:szCs w:val="18"/>
              </w:rPr>
              <w:t>NO</w:t>
            </w:r>
          </w:p>
        </w:tc>
        <w:tc>
          <w:tcPr>
            <w:tcW w:w="1246" w:type="dxa"/>
            <w:gridSpan w:val="3"/>
            <w:shd w:val="clear" w:color="auto" w:fill="auto"/>
            <w:noWrap/>
            <w:vAlign w:val="center"/>
            <w:hideMark/>
          </w:tcPr>
          <w:p w14:paraId="5DBF14F6" w14:textId="3EA6B719"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NA,</w:t>
            </w:r>
            <w:r w:rsidR="003F5083" w:rsidRPr="00401061">
              <w:rPr>
                <w:rFonts w:asciiTheme="minorHAnsi" w:eastAsia="Times New Roman" w:hAnsiTheme="minorHAnsi" w:cstheme="minorHAnsi"/>
                <w:color w:val="000000"/>
                <w:sz w:val="18"/>
                <w:szCs w:val="18"/>
              </w:rPr>
              <w:t xml:space="preserve"> </w:t>
            </w:r>
            <w:r w:rsidRPr="00401061">
              <w:rPr>
                <w:rFonts w:asciiTheme="minorHAnsi" w:eastAsia="Times New Roman" w:hAnsiTheme="minorHAnsi" w:cstheme="minorHAnsi"/>
                <w:color w:val="000000"/>
                <w:sz w:val="18"/>
                <w:szCs w:val="18"/>
              </w:rPr>
              <w:t>NO</w:t>
            </w:r>
          </w:p>
        </w:tc>
      </w:tr>
      <w:tr w:rsidR="009B2872" w:rsidRPr="00401061" w14:paraId="1D7C9B20" w14:textId="77777777" w:rsidTr="00DB1A89">
        <w:tblPrEx>
          <w:tblBorders>
            <w:left w:val="none" w:sz="0" w:space="0" w:color="auto"/>
            <w:right w:val="none" w:sz="0" w:space="0" w:color="auto"/>
          </w:tblBorders>
        </w:tblPrEx>
        <w:trPr>
          <w:trHeight w:val="266"/>
        </w:trPr>
        <w:tc>
          <w:tcPr>
            <w:tcW w:w="3987" w:type="dxa"/>
            <w:gridSpan w:val="2"/>
            <w:shd w:val="clear" w:color="auto" w:fill="auto"/>
            <w:vAlign w:val="center"/>
          </w:tcPr>
          <w:p w14:paraId="78FE908E"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sz w:val="18"/>
                <w:szCs w:val="18"/>
              </w:rPr>
              <w:t>SF</w:t>
            </w:r>
            <w:r w:rsidRPr="00401061">
              <w:rPr>
                <w:rFonts w:asciiTheme="minorHAnsi" w:eastAsia="Times New Roman" w:hAnsiTheme="minorHAnsi" w:cstheme="minorHAnsi"/>
                <w:sz w:val="18"/>
                <w:szCs w:val="18"/>
                <w:vertAlign w:val="subscript"/>
              </w:rPr>
              <w:t>6</w:t>
            </w:r>
          </w:p>
        </w:tc>
        <w:tc>
          <w:tcPr>
            <w:tcW w:w="1137" w:type="dxa"/>
            <w:gridSpan w:val="2"/>
            <w:vAlign w:val="center"/>
          </w:tcPr>
          <w:p w14:paraId="58FCA247"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Calibri" w:hAnsiTheme="minorHAnsi" w:cstheme="minorHAnsi"/>
                <w:color w:val="000000" w:themeColor="text1"/>
                <w:sz w:val="18"/>
                <w:szCs w:val="18"/>
              </w:rPr>
              <w:t>25.62</w:t>
            </w:r>
          </w:p>
        </w:tc>
        <w:tc>
          <w:tcPr>
            <w:tcW w:w="1199" w:type="dxa"/>
            <w:gridSpan w:val="2"/>
            <w:shd w:val="clear" w:color="auto" w:fill="auto"/>
            <w:noWrap/>
            <w:vAlign w:val="center"/>
            <w:hideMark/>
          </w:tcPr>
          <w:p w14:paraId="6EEA6005"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25.32</w:t>
            </w:r>
          </w:p>
        </w:tc>
        <w:tc>
          <w:tcPr>
            <w:tcW w:w="1200" w:type="dxa"/>
            <w:gridSpan w:val="2"/>
            <w:shd w:val="clear" w:color="auto" w:fill="auto"/>
            <w:noWrap/>
            <w:vAlign w:val="center"/>
            <w:hideMark/>
          </w:tcPr>
          <w:p w14:paraId="3072A50A"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20.16</w:t>
            </w:r>
          </w:p>
        </w:tc>
        <w:tc>
          <w:tcPr>
            <w:tcW w:w="1153" w:type="dxa"/>
            <w:gridSpan w:val="2"/>
            <w:shd w:val="clear" w:color="auto" w:fill="auto"/>
            <w:noWrap/>
            <w:vAlign w:val="center"/>
            <w:hideMark/>
          </w:tcPr>
          <w:p w14:paraId="393248F9"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20.65</w:t>
            </w:r>
          </w:p>
        </w:tc>
        <w:tc>
          <w:tcPr>
            <w:tcW w:w="1199" w:type="dxa"/>
            <w:gridSpan w:val="2"/>
            <w:shd w:val="clear" w:color="auto" w:fill="auto"/>
            <w:noWrap/>
            <w:vAlign w:val="center"/>
            <w:hideMark/>
          </w:tcPr>
          <w:p w14:paraId="59265837"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24.03</w:t>
            </w:r>
          </w:p>
        </w:tc>
        <w:tc>
          <w:tcPr>
            <w:tcW w:w="1047" w:type="dxa"/>
            <w:gridSpan w:val="2"/>
            <w:shd w:val="clear" w:color="auto" w:fill="auto"/>
            <w:noWrap/>
            <w:vAlign w:val="center"/>
            <w:hideMark/>
          </w:tcPr>
          <w:p w14:paraId="2F131511"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25.96</w:t>
            </w:r>
          </w:p>
        </w:tc>
        <w:tc>
          <w:tcPr>
            <w:tcW w:w="1198" w:type="dxa"/>
            <w:gridSpan w:val="2"/>
            <w:shd w:val="clear" w:color="auto" w:fill="auto"/>
            <w:noWrap/>
            <w:vAlign w:val="center"/>
            <w:hideMark/>
          </w:tcPr>
          <w:p w14:paraId="0A1BF3E9"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29.80</w:t>
            </w:r>
          </w:p>
        </w:tc>
        <w:tc>
          <w:tcPr>
            <w:tcW w:w="1149" w:type="dxa"/>
            <w:gridSpan w:val="2"/>
            <w:shd w:val="clear" w:color="auto" w:fill="auto"/>
            <w:noWrap/>
            <w:vAlign w:val="center"/>
            <w:hideMark/>
          </w:tcPr>
          <w:p w14:paraId="6D68F71A"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26.19</w:t>
            </w:r>
          </w:p>
        </w:tc>
        <w:tc>
          <w:tcPr>
            <w:tcW w:w="1246" w:type="dxa"/>
            <w:gridSpan w:val="3"/>
            <w:shd w:val="clear" w:color="auto" w:fill="auto"/>
            <w:noWrap/>
            <w:vAlign w:val="center"/>
            <w:hideMark/>
          </w:tcPr>
          <w:p w14:paraId="6EDC88E5"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21.69</w:t>
            </w:r>
          </w:p>
        </w:tc>
      </w:tr>
      <w:tr w:rsidR="009B2872" w:rsidRPr="00401061" w14:paraId="7871D2C6" w14:textId="77777777" w:rsidTr="00DB1A89">
        <w:tblPrEx>
          <w:tblBorders>
            <w:left w:val="none" w:sz="0" w:space="0" w:color="auto"/>
            <w:right w:val="none" w:sz="0" w:space="0" w:color="auto"/>
          </w:tblBorders>
        </w:tblPrEx>
        <w:trPr>
          <w:trHeight w:val="319"/>
        </w:trPr>
        <w:tc>
          <w:tcPr>
            <w:tcW w:w="3987" w:type="dxa"/>
            <w:gridSpan w:val="2"/>
            <w:shd w:val="clear" w:color="auto" w:fill="auto"/>
            <w:vAlign w:val="center"/>
          </w:tcPr>
          <w:p w14:paraId="5057DDAF"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sz w:val="18"/>
                <w:szCs w:val="18"/>
              </w:rPr>
              <w:t>NF</w:t>
            </w:r>
            <w:r w:rsidRPr="00401061">
              <w:rPr>
                <w:rFonts w:asciiTheme="minorHAnsi" w:eastAsia="Times New Roman" w:hAnsiTheme="minorHAnsi" w:cstheme="minorHAnsi"/>
                <w:sz w:val="18"/>
                <w:szCs w:val="18"/>
                <w:vertAlign w:val="subscript"/>
              </w:rPr>
              <w:t>3</w:t>
            </w:r>
          </w:p>
        </w:tc>
        <w:tc>
          <w:tcPr>
            <w:tcW w:w="1137" w:type="dxa"/>
            <w:gridSpan w:val="2"/>
            <w:vAlign w:val="center"/>
          </w:tcPr>
          <w:p w14:paraId="55E07237"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Calibri" w:hAnsiTheme="minorHAnsi" w:cstheme="minorHAnsi"/>
                <w:color w:val="000000" w:themeColor="text1"/>
                <w:sz w:val="18"/>
                <w:szCs w:val="18"/>
              </w:rPr>
              <w:t>NO</w:t>
            </w:r>
          </w:p>
        </w:tc>
        <w:tc>
          <w:tcPr>
            <w:tcW w:w="1199" w:type="dxa"/>
            <w:gridSpan w:val="2"/>
            <w:shd w:val="clear" w:color="auto" w:fill="auto"/>
            <w:noWrap/>
            <w:vAlign w:val="center"/>
            <w:hideMark/>
          </w:tcPr>
          <w:p w14:paraId="1E8A9A8C"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NO</w:t>
            </w:r>
          </w:p>
        </w:tc>
        <w:tc>
          <w:tcPr>
            <w:tcW w:w="1200" w:type="dxa"/>
            <w:gridSpan w:val="2"/>
            <w:shd w:val="clear" w:color="auto" w:fill="auto"/>
            <w:noWrap/>
            <w:vAlign w:val="center"/>
            <w:hideMark/>
          </w:tcPr>
          <w:p w14:paraId="4657BC49"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NO</w:t>
            </w:r>
          </w:p>
        </w:tc>
        <w:tc>
          <w:tcPr>
            <w:tcW w:w="1153" w:type="dxa"/>
            <w:gridSpan w:val="2"/>
            <w:shd w:val="clear" w:color="auto" w:fill="auto"/>
            <w:noWrap/>
            <w:vAlign w:val="center"/>
            <w:hideMark/>
          </w:tcPr>
          <w:p w14:paraId="2EDF04AD"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NO</w:t>
            </w:r>
          </w:p>
        </w:tc>
        <w:tc>
          <w:tcPr>
            <w:tcW w:w="1199" w:type="dxa"/>
            <w:gridSpan w:val="2"/>
            <w:shd w:val="clear" w:color="auto" w:fill="auto"/>
            <w:noWrap/>
            <w:vAlign w:val="center"/>
            <w:hideMark/>
          </w:tcPr>
          <w:p w14:paraId="3CC3379D"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NO</w:t>
            </w:r>
          </w:p>
        </w:tc>
        <w:tc>
          <w:tcPr>
            <w:tcW w:w="1047" w:type="dxa"/>
            <w:gridSpan w:val="2"/>
            <w:shd w:val="clear" w:color="auto" w:fill="auto"/>
            <w:noWrap/>
            <w:vAlign w:val="center"/>
            <w:hideMark/>
          </w:tcPr>
          <w:p w14:paraId="283968EA"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NO</w:t>
            </w:r>
          </w:p>
        </w:tc>
        <w:tc>
          <w:tcPr>
            <w:tcW w:w="1198" w:type="dxa"/>
            <w:gridSpan w:val="2"/>
            <w:shd w:val="clear" w:color="auto" w:fill="auto"/>
            <w:noWrap/>
            <w:vAlign w:val="center"/>
            <w:hideMark/>
          </w:tcPr>
          <w:p w14:paraId="3D7A9B8B"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NO</w:t>
            </w:r>
          </w:p>
        </w:tc>
        <w:tc>
          <w:tcPr>
            <w:tcW w:w="1149" w:type="dxa"/>
            <w:gridSpan w:val="2"/>
            <w:shd w:val="clear" w:color="auto" w:fill="auto"/>
            <w:noWrap/>
            <w:vAlign w:val="center"/>
            <w:hideMark/>
          </w:tcPr>
          <w:p w14:paraId="23AE08BA"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NO</w:t>
            </w:r>
          </w:p>
        </w:tc>
        <w:tc>
          <w:tcPr>
            <w:tcW w:w="1246" w:type="dxa"/>
            <w:gridSpan w:val="3"/>
            <w:shd w:val="clear" w:color="auto" w:fill="auto"/>
            <w:noWrap/>
            <w:vAlign w:val="center"/>
            <w:hideMark/>
          </w:tcPr>
          <w:p w14:paraId="66918A41"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NO</w:t>
            </w:r>
          </w:p>
        </w:tc>
      </w:tr>
      <w:tr w:rsidR="009B2872" w:rsidRPr="00401061" w14:paraId="0AE9B1BA" w14:textId="77777777" w:rsidTr="00DB1A89">
        <w:tblPrEx>
          <w:tblBorders>
            <w:left w:val="none" w:sz="0" w:space="0" w:color="auto"/>
            <w:right w:val="none" w:sz="0" w:space="0" w:color="auto"/>
          </w:tblBorders>
        </w:tblPrEx>
        <w:trPr>
          <w:trHeight w:val="266"/>
        </w:trPr>
        <w:tc>
          <w:tcPr>
            <w:tcW w:w="3987" w:type="dxa"/>
            <w:gridSpan w:val="2"/>
            <w:shd w:val="clear" w:color="auto" w:fill="auto"/>
            <w:vAlign w:val="center"/>
          </w:tcPr>
          <w:p w14:paraId="41AFFD1A" w14:textId="77777777" w:rsidR="009B2872" w:rsidRPr="00401061" w:rsidRDefault="009B2872" w:rsidP="009B2872">
            <w:pPr>
              <w:spacing w:before="0" w:after="0" w:line="240" w:lineRule="auto"/>
              <w:jc w:val="lef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Total (without LULUCF)</w:t>
            </w:r>
          </w:p>
        </w:tc>
        <w:tc>
          <w:tcPr>
            <w:tcW w:w="1137" w:type="dxa"/>
            <w:gridSpan w:val="2"/>
            <w:vAlign w:val="center"/>
          </w:tcPr>
          <w:p w14:paraId="178D9C00"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Calibri" w:hAnsiTheme="minorHAnsi" w:cstheme="minorHAnsi"/>
                <w:b/>
                <w:bCs/>
                <w:color w:val="000000" w:themeColor="text1"/>
                <w:sz w:val="18"/>
                <w:szCs w:val="18"/>
              </w:rPr>
              <w:t>75,967.87</w:t>
            </w:r>
          </w:p>
        </w:tc>
        <w:tc>
          <w:tcPr>
            <w:tcW w:w="1199" w:type="dxa"/>
            <w:gridSpan w:val="2"/>
            <w:shd w:val="clear" w:color="auto" w:fill="auto"/>
            <w:noWrap/>
            <w:vAlign w:val="center"/>
            <w:hideMark/>
          </w:tcPr>
          <w:p w14:paraId="2EA65F67"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77,508.08</w:t>
            </w:r>
          </w:p>
        </w:tc>
        <w:tc>
          <w:tcPr>
            <w:tcW w:w="1200" w:type="dxa"/>
            <w:gridSpan w:val="2"/>
            <w:shd w:val="clear" w:color="auto" w:fill="auto"/>
            <w:noWrap/>
            <w:vAlign w:val="center"/>
            <w:hideMark/>
          </w:tcPr>
          <w:p w14:paraId="3FA6BD1F"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79,531.38</w:t>
            </w:r>
          </w:p>
        </w:tc>
        <w:tc>
          <w:tcPr>
            <w:tcW w:w="1153" w:type="dxa"/>
            <w:gridSpan w:val="2"/>
            <w:shd w:val="clear" w:color="auto" w:fill="auto"/>
            <w:noWrap/>
            <w:vAlign w:val="center"/>
            <w:hideMark/>
          </w:tcPr>
          <w:p w14:paraId="7AB22BC5"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82,441.80</w:t>
            </w:r>
          </w:p>
        </w:tc>
        <w:tc>
          <w:tcPr>
            <w:tcW w:w="1199" w:type="dxa"/>
            <w:gridSpan w:val="2"/>
            <w:shd w:val="clear" w:color="auto" w:fill="auto"/>
            <w:noWrap/>
            <w:vAlign w:val="center"/>
            <w:hideMark/>
          </w:tcPr>
          <w:p w14:paraId="204618C8"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82,361.96</w:t>
            </w:r>
          </w:p>
        </w:tc>
        <w:tc>
          <w:tcPr>
            <w:tcW w:w="1047" w:type="dxa"/>
            <w:gridSpan w:val="2"/>
            <w:shd w:val="clear" w:color="auto" w:fill="auto"/>
            <w:noWrap/>
            <w:vAlign w:val="center"/>
            <w:hideMark/>
          </w:tcPr>
          <w:p w14:paraId="3C318002"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84,660.38</w:t>
            </w:r>
          </w:p>
        </w:tc>
        <w:tc>
          <w:tcPr>
            <w:tcW w:w="1198" w:type="dxa"/>
            <w:gridSpan w:val="2"/>
            <w:shd w:val="clear" w:color="auto" w:fill="auto"/>
            <w:noWrap/>
            <w:vAlign w:val="center"/>
            <w:hideMark/>
          </w:tcPr>
          <w:p w14:paraId="52088DEA"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84,691.06</w:t>
            </w:r>
          </w:p>
        </w:tc>
        <w:tc>
          <w:tcPr>
            <w:tcW w:w="1149" w:type="dxa"/>
            <w:gridSpan w:val="2"/>
            <w:shd w:val="clear" w:color="auto" w:fill="auto"/>
            <w:noWrap/>
            <w:vAlign w:val="center"/>
            <w:hideMark/>
          </w:tcPr>
          <w:p w14:paraId="2D3924E6"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86,615.38</w:t>
            </w:r>
          </w:p>
        </w:tc>
        <w:tc>
          <w:tcPr>
            <w:tcW w:w="1246" w:type="dxa"/>
            <w:gridSpan w:val="3"/>
            <w:shd w:val="clear" w:color="auto" w:fill="auto"/>
            <w:noWrap/>
            <w:vAlign w:val="center"/>
            <w:hideMark/>
          </w:tcPr>
          <w:p w14:paraId="04494BB3"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86,726.86</w:t>
            </w:r>
          </w:p>
        </w:tc>
      </w:tr>
      <w:tr w:rsidR="009B2872" w:rsidRPr="00401061" w14:paraId="4C69DD9B" w14:textId="77777777" w:rsidTr="00DB1A89">
        <w:tblPrEx>
          <w:tblBorders>
            <w:left w:val="none" w:sz="0" w:space="0" w:color="auto"/>
            <w:right w:val="none" w:sz="0" w:space="0" w:color="auto"/>
          </w:tblBorders>
        </w:tblPrEx>
        <w:trPr>
          <w:trHeight w:val="266"/>
        </w:trPr>
        <w:tc>
          <w:tcPr>
            <w:tcW w:w="3987" w:type="dxa"/>
            <w:gridSpan w:val="2"/>
            <w:shd w:val="clear" w:color="auto" w:fill="auto"/>
            <w:vAlign w:val="center"/>
          </w:tcPr>
          <w:p w14:paraId="4253D9AD" w14:textId="77777777" w:rsidR="009B2872" w:rsidRPr="00401061" w:rsidRDefault="009B2872" w:rsidP="009B2872">
            <w:pPr>
              <w:spacing w:before="0" w:after="0" w:line="240" w:lineRule="auto"/>
              <w:jc w:val="lef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Total (with LULUCF)</w:t>
            </w:r>
          </w:p>
        </w:tc>
        <w:tc>
          <w:tcPr>
            <w:tcW w:w="1137" w:type="dxa"/>
            <w:gridSpan w:val="2"/>
            <w:vAlign w:val="center"/>
          </w:tcPr>
          <w:p w14:paraId="25D2A907"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Calibri" w:hAnsiTheme="minorHAnsi" w:cstheme="minorHAnsi"/>
                <w:b/>
                <w:bCs/>
                <w:color w:val="000000" w:themeColor="text1"/>
                <w:sz w:val="18"/>
                <w:szCs w:val="18"/>
              </w:rPr>
              <w:t>51,760.36</w:t>
            </w:r>
          </w:p>
        </w:tc>
        <w:tc>
          <w:tcPr>
            <w:tcW w:w="1199" w:type="dxa"/>
            <w:gridSpan w:val="2"/>
            <w:shd w:val="clear" w:color="auto" w:fill="auto"/>
            <w:noWrap/>
            <w:vAlign w:val="center"/>
            <w:hideMark/>
          </w:tcPr>
          <w:p w14:paraId="1DAB2997"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50,840.50</w:t>
            </w:r>
          </w:p>
        </w:tc>
        <w:tc>
          <w:tcPr>
            <w:tcW w:w="1200" w:type="dxa"/>
            <w:gridSpan w:val="2"/>
            <w:shd w:val="clear" w:color="auto" w:fill="auto"/>
            <w:noWrap/>
            <w:vAlign w:val="center"/>
            <w:hideMark/>
          </w:tcPr>
          <w:p w14:paraId="4A675A99"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52,177.52</w:t>
            </w:r>
          </w:p>
        </w:tc>
        <w:tc>
          <w:tcPr>
            <w:tcW w:w="1153" w:type="dxa"/>
            <w:gridSpan w:val="2"/>
            <w:shd w:val="clear" w:color="auto" w:fill="auto"/>
            <w:noWrap/>
            <w:vAlign w:val="center"/>
            <w:hideMark/>
          </w:tcPr>
          <w:p w14:paraId="7A0B8A20"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54,822.38</w:t>
            </w:r>
          </w:p>
        </w:tc>
        <w:tc>
          <w:tcPr>
            <w:tcW w:w="1199" w:type="dxa"/>
            <w:gridSpan w:val="2"/>
            <w:shd w:val="clear" w:color="auto" w:fill="auto"/>
            <w:noWrap/>
            <w:vAlign w:val="center"/>
            <w:hideMark/>
          </w:tcPr>
          <w:p w14:paraId="27BEF912"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56,298.90</w:t>
            </w:r>
          </w:p>
        </w:tc>
        <w:tc>
          <w:tcPr>
            <w:tcW w:w="1047" w:type="dxa"/>
            <w:gridSpan w:val="2"/>
            <w:shd w:val="clear" w:color="auto" w:fill="auto"/>
            <w:noWrap/>
            <w:vAlign w:val="center"/>
            <w:hideMark/>
          </w:tcPr>
          <w:p w14:paraId="6465DC5D"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57,846.13</w:t>
            </w:r>
          </w:p>
        </w:tc>
        <w:tc>
          <w:tcPr>
            <w:tcW w:w="1198" w:type="dxa"/>
            <w:gridSpan w:val="2"/>
            <w:shd w:val="clear" w:color="auto" w:fill="auto"/>
            <w:noWrap/>
            <w:vAlign w:val="center"/>
            <w:hideMark/>
          </w:tcPr>
          <w:p w14:paraId="32C3B7CC"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58,097.24</w:t>
            </w:r>
          </w:p>
        </w:tc>
        <w:tc>
          <w:tcPr>
            <w:tcW w:w="1149" w:type="dxa"/>
            <w:gridSpan w:val="2"/>
            <w:shd w:val="clear" w:color="auto" w:fill="auto"/>
            <w:noWrap/>
            <w:vAlign w:val="center"/>
            <w:hideMark/>
          </w:tcPr>
          <w:p w14:paraId="196EE90D"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62,364.44</w:t>
            </w:r>
          </w:p>
        </w:tc>
        <w:tc>
          <w:tcPr>
            <w:tcW w:w="1246" w:type="dxa"/>
            <w:gridSpan w:val="3"/>
            <w:shd w:val="clear" w:color="auto" w:fill="auto"/>
            <w:noWrap/>
            <w:vAlign w:val="center"/>
            <w:hideMark/>
          </w:tcPr>
          <w:p w14:paraId="4EEF4654"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64,582.02</w:t>
            </w:r>
          </w:p>
        </w:tc>
      </w:tr>
      <w:tr w:rsidR="009B2872" w:rsidRPr="00401061" w14:paraId="00161A7D" w14:textId="77777777" w:rsidTr="00DB1A89">
        <w:tblPrEx>
          <w:tblBorders>
            <w:left w:val="none" w:sz="0" w:space="0" w:color="auto"/>
            <w:right w:val="none" w:sz="0" w:space="0" w:color="auto"/>
          </w:tblBorders>
        </w:tblPrEx>
        <w:trPr>
          <w:trHeight w:val="266"/>
        </w:trPr>
        <w:tc>
          <w:tcPr>
            <w:tcW w:w="3987" w:type="dxa"/>
            <w:gridSpan w:val="2"/>
            <w:shd w:val="clear" w:color="auto" w:fill="auto"/>
            <w:vAlign w:val="center"/>
          </w:tcPr>
          <w:p w14:paraId="14675C07" w14:textId="77777777" w:rsidR="009B2872" w:rsidRPr="00401061" w:rsidRDefault="009B2872" w:rsidP="009B2872">
            <w:pPr>
              <w:spacing w:before="0" w:after="0" w:line="240" w:lineRule="auto"/>
              <w:jc w:val="lef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Total (without LULUCF, with indirect)</w:t>
            </w:r>
          </w:p>
        </w:tc>
        <w:tc>
          <w:tcPr>
            <w:tcW w:w="1137" w:type="dxa"/>
            <w:gridSpan w:val="2"/>
            <w:vAlign w:val="center"/>
          </w:tcPr>
          <w:p w14:paraId="5C422E6A"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Calibri" w:hAnsiTheme="minorHAnsi" w:cstheme="minorHAnsi"/>
                <w:b/>
                <w:bCs/>
                <w:color w:val="000000" w:themeColor="text1"/>
                <w:sz w:val="18"/>
                <w:szCs w:val="18"/>
              </w:rPr>
              <w:t>75,967.87</w:t>
            </w:r>
          </w:p>
        </w:tc>
        <w:tc>
          <w:tcPr>
            <w:tcW w:w="1199" w:type="dxa"/>
            <w:gridSpan w:val="2"/>
            <w:shd w:val="clear" w:color="auto" w:fill="auto"/>
            <w:noWrap/>
            <w:vAlign w:val="center"/>
            <w:hideMark/>
          </w:tcPr>
          <w:p w14:paraId="71FB8959"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77,508.08</w:t>
            </w:r>
          </w:p>
        </w:tc>
        <w:tc>
          <w:tcPr>
            <w:tcW w:w="1200" w:type="dxa"/>
            <w:gridSpan w:val="2"/>
            <w:shd w:val="clear" w:color="auto" w:fill="auto"/>
            <w:noWrap/>
            <w:vAlign w:val="center"/>
            <w:hideMark/>
          </w:tcPr>
          <w:p w14:paraId="59D10A4D"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79,531.38</w:t>
            </w:r>
          </w:p>
        </w:tc>
        <w:tc>
          <w:tcPr>
            <w:tcW w:w="1153" w:type="dxa"/>
            <w:gridSpan w:val="2"/>
            <w:shd w:val="clear" w:color="auto" w:fill="auto"/>
            <w:noWrap/>
            <w:vAlign w:val="center"/>
            <w:hideMark/>
          </w:tcPr>
          <w:p w14:paraId="43850643"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82,441.80</w:t>
            </w:r>
          </w:p>
        </w:tc>
        <w:tc>
          <w:tcPr>
            <w:tcW w:w="1199" w:type="dxa"/>
            <w:gridSpan w:val="2"/>
            <w:shd w:val="clear" w:color="auto" w:fill="auto"/>
            <w:noWrap/>
            <w:vAlign w:val="center"/>
            <w:hideMark/>
          </w:tcPr>
          <w:p w14:paraId="614E0D75"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82,361.96</w:t>
            </w:r>
          </w:p>
        </w:tc>
        <w:tc>
          <w:tcPr>
            <w:tcW w:w="1047" w:type="dxa"/>
            <w:gridSpan w:val="2"/>
            <w:shd w:val="clear" w:color="auto" w:fill="auto"/>
            <w:noWrap/>
            <w:vAlign w:val="center"/>
            <w:hideMark/>
          </w:tcPr>
          <w:p w14:paraId="0A672889"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84,660.38</w:t>
            </w:r>
          </w:p>
        </w:tc>
        <w:tc>
          <w:tcPr>
            <w:tcW w:w="1198" w:type="dxa"/>
            <w:gridSpan w:val="2"/>
            <w:shd w:val="clear" w:color="auto" w:fill="auto"/>
            <w:noWrap/>
            <w:vAlign w:val="center"/>
            <w:hideMark/>
          </w:tcPr>
          <w:p w14:paraId="328AB9E1"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84,691.06</w:t>
            </w:r>
          </w:p>
        </w:tc>
        <w:tc>
          <w:tcPr>
            <w:tcW w:w="1149" w:type="dxa"/>
            <w:gridSpan w:val="2"/>
            <w:shd w:val="clear" w:color="auto" w:fill="auto"/>
            <w:noWrap/>
            <w:vAlign w:val="center"/>
            <w:hideMark/>
          </w:tcPr>
          <w:p w14:paraId="0F09C9BA"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86,615.38</w:t>
            </w:r>
          </w:p>
        </w:tc>
        <w:tc>
          <w:tcPr>
            <w:tcW w:w="1246" w:type="dxa"/>
            <w:gridSpan w:val="3"/>
            <w:shd w:val="clear" w:color="auto" w:fill="auto"/>
            <w:noWrap/>
            <w:vAlign w:val="center"/>
            <w:hideMark/>
          </w:tcPr>
          <w:p w14:paraId="058CA802"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86,726.86</w:t>
            </w:r>
          </w:p>
        </w:tc>
      </w:tr>
      <w:tr w:rsidR="009B2872" w:rsidRPr="00401061" w14:paraId="21CDB57D" w14:textId="77777777" w:rsidTr="00DB1A89">
        <w:tblPrEx>
          <w:tblBorders>
            <w:left w:val="none" w:sz="0" w:space="0" w:color="auto"/>
            <w:right w:val="none" w:sz="0" w:space="0" w:color="auto"/>
          </w:tblBorders>
        </w:tblPrEx>
        <w:trPr>
          <w:trHeight w:val="266"/>
        </w:trPr>
        <w:tc>
          <w:tcPr>
            <w:tcW w:w="3987" w:type="dxa"/>
            <w:gridSpan w:val="2"/>
            <w:shd w:val="clear" w:color="auto" w:fill="auto"/>
            <w:vAlign w:val="center"/>
          </w:tcPr>
          <w:p w14:paraId="6B02E501" w14:textId="77777777" w:rsidR="009B2872" w:rsidRPr="00401061" w:rsidRDefault="009B2872" w:rsidP="009B2872">
            <w:pPr>
              <w:spacing w:before="0" w:after="0" w:line="240" w:lineRule="auto"/>
              <w:jc w:val="lef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Total (with LULUCF, with indirect)</w:t>
            </w:r>
          </w:p>
        </w:tc>
        <w:tc>
          <w:tcPr>
            <w:tcW w:w="1137" w:type="dxa"/>
            <w:gridSpan w:val="2"/>
            <w:vAlign w:val="center"/>
          </w:tcPr>
          <w:p w14:paraId="69184F06"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Calibri" w:hAnsiTheme="minorHAnsi" w:cstheme="minorHAnsi"/>
                <w:b/>
                <w:bCs/>
                <w:color w:val="000000" w:themeColor="text1"/>
                <w:sz w:val="18"/>
                <w:szCs w:val="18"/>
              </w:rPr>
              <w:t>51,760.36</w:t>
            </w:r>
          </w:p>
        </w:tc>
        <w:tc>
          <w:tcPr>
            <w:tcW w:w="1199" w:type="dxa"/>
            <w:gridSpan w:val="2"/>
            <w:shd w:val="clear" w:color="auto" w:fill="auto"/>
            <w:noWrap/>
            <w:vAlign w:val="center"/>
            <w:hideMark/>
          </w:tcPr>
          <w:p w14:paraId="649C83CD"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50,840.50</w:t>
            </w:r>
          </w:p>
        </w:tc>
        <w:tc>
          <w:tcPr>
            <w:tcW w:w="1200" w:type="dxa"/>
            <w:gridSpan w:val="2"/>
            <w:shd w:val="clear" w:color="auto" w:fill="auto"/>
            <w:noWrap/>
            <w:vAlign w:val="center"/>
            <w:hideMark/>
          </w:tcPr>
          <w:p w14:paraId="63793B84"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52,177.52</w:t>
            </w:r>
          </w:p>
        </w:tc>
        <w:tc>
          <w:tcPr>
            <w:tcW w:w="1153" w:type="dxa"/>
            <w:gridSpan w:val="2"/>
            <w:shd w:val="clear" w:color="auto" w:fill="auto"/>
            <w:noWrap/>
            <w:vAlign w:val="center"/>
            <w:hideMark/>
          </w:tcPr>
          <w:p w14:paraId="3CED344F"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54,822.38</w:t>
            </w:r>
          </w:p>
        </w:tc>
        <w:tc>
          <w:tcPr>
            <w:tcW w:w="1199" w:type="dxa"/>
            <w:gridSpan w:val="2"/>
            <w:shd w:val="clear" w:color="auto" w:fill="auto"/>
            <w:noWrap/>
            <w:vAlign w:val="center"/>
            <w:hideMark/>
          </w:tcPr>
          <w:p w14:paraId="72FC901D"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56,298.90</w:t>
            </w:r>
          </w:p>
        </w:tc>
        <w:tc>
          <w:tcPr>
            <w:tcW w:w="1047" w:type="dxa"/>
            <w:gridSpan w:val="2"/>
            <w:shd w:val="clear" w:color="auto" w:fill="auto"/>
            <w:noWrap/>
            <w:vAlign w:val="center"/>
            <w:hideMark/>
          </w:tcPr>
          <w:p w14:paraId="5E31AB6F"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57,846.13</w:t>
            </w:r>
          </w:p>
        </w:tc>
        <w:tc>
          <w:tcPr>
            <w:tcW w:w="1198" w:type="dxa"/>
            <w:gridSpan w:val="2"/>
            <w:shd w:val="clear" w:color="auto" w:fill="auto"/>
            <w:noWrap/>
            <w:vAlign w:val="center"/>
            <w:hideMark/>
          </w:tcPr>
          <w:p w14:paraId="328AA7C1"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58,097.24</w:t>
            </w:r>
          </w:p>
        </w:tc>
        <w:tc>
          <w:tcPr>
            <w:tcW w:w="1149" w:type="dxa"/>
            <w:gridSpan w:val="2"/>
            <w:shd w:val="clear" w:color="auto" w:fill="auto"/>
            <w:noWrap/>
            <w:vAlign w:val="center"/>
            <w:hideMark/>
          </w:tcPr>
          <w:p w14:paraId="0C525635"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62,364.44</w:t>
            </w:r>
          </w:p>
        </w:tc>
        <w:tc>
          <w:tcPr>
            <w:tcW w:w="1246" w:type="dxa"/>
            <w:gridSpan w:val="3"/>
            <w:shd w:val="clear" w:color="auto" w:fill="auto"/>
            <w:noWrap/>
            <w:vAlign w:val="center"/>
            <w:hideMark/>
          </w:tcPr>
          <w:p w14:paraId="4DC1E07B"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64,582.02</w:t>
            </w:r>
          </w:p>
        </w:tc>
      </w:tr>
    </w:tbl>
    <w:p w14:paraId="6BB837FA" w14:textId="77777777" w:rsidR="009B2872" w:rsidRPr="009B2872" w:rsidRDefault="009B2872" w:rsidP="009B2872">
      <w:pPr>
        <w:widowControl w:val="0"/>
        <w:adjustRightInd w:val="0"/>
        <w:spacing w:before="0" w:after="0" w:line="240" w:lineRule="auto"/>
        <w:ind w:left="397" w:hanging="397"/>
        <w:jc w:val="left"/>
        <w:textAlignment w:val="baseline"/>
        <w:rPr>
          <w:rFonts w:eastAsia="Times New Roman" w:cs="Times New Roman"/>
          <w:sz w:val="18"/>
        </w:rPr>
      </w:pPr>
    </w:p>
    <w:tbl>
      <w:tblPr>
        <w:tblW w:w="1451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CellMar>
          <w:top w:w="15" w:type="dxa"/>
          <w:bottom w:w="15" w:type="dxa"/>
        </w:tblCellMar>
        <w:tblLook w:val="04A0" w:firstRow="1" w:lastRow="0" w:firstColumn="1" w:lastColumn="0" w:noHBand="0" w:noVBand="1"/>
      </w:tblPr>
      <w:tblGrid>
        <w:gridCol w:w="4038"/>
        <w:gridCol w:w="1098"/>
        <w:gridCol w:w="1098"/>
        <w:gridCol w:w="1305"/>
        <w:gridCol w:w="1098"/>
        <w:gridCol w:w="1238"/>
        <w:gridCol w:w="1098"/>
        <w:gridCol w:w="1098"/>
        <w:gridCol w:w="1246"/>
        <w:gridCol w:w="1198"/>
      </w:tblGrid>
      <w:tr w:rsidR="009B2872" w:rsidRPr="00401061" w14:paraId="6CB04F5F" w14:textId="77777777" w:rsidTr="00804F0D">
        <w:trPr>
          <w:trHeight w:val="99"/>
        </w:trPr>
        <w:tc>
          <w:tcPr>
            <w:tcW w:w="3823" w:type="dxa"/>
            <w:shd w:val="clear" w:color="auto" w:fill="1B556B"/>
            <w:vAlign w:val="center"/>
            <w:hideMark/>
          </w:tcPr>
          <w:p w14:paraId="15485B2C" w14:textId="436BB222" w:rsidR="009B2872" w:rsidRPr="00401061" w:rsidRDefault="00247657" w:rsidP="009B2872">
            <w:pPr>
              <w:spacing w:before="0" w:after="0" w:line="240" w:lineRule="auto"/>
              <w:jc w:val="left"/>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Greenhouse gas source and sink categorie</w:t>
            </w:r>
            <w:r w:rsidR="00401061">
              <w:rPr>
                <w:rFonts w:asciiTheme="minorHAnsi" w:eastAsia="Times New Roman" w:hAnsiTheme="minorHAnsi" w:cstheme="minorHAnsi"/>
                <w:b/>
                <w:bCs/>
                <w:color w:val="FFFFFF" w:themeColor="background1"/>
                <w:sz w:val="18"/>
                <w:szCs w:val="18"/>
              </w:rPr>
              <w:t>s</w:t>
            </w:r>
          </w:p>
        </w:tc>
        <w:tc>
          <w:tcPr>
            <w:tcW w:w="1040" w:type="dxa"/>
            <w:shd w:val="clear" w:color="auto" w:fill="1B556B"/>
            <w:vAlign w:val="center"/>
          </w:tcPr>
          <w:p w14:paraId="13DE6973"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1998</w:t>
            </w:r>
          </w:p>
        </w:tc>
        <w:tc>
          <w:tcPr>
            <w:tcW w:w="1040" w:type="dxa"/>
            <w:shd w:val="clear" w:color="auto" w:fill="1B556B"/>
            <w:vAlign w:val="center"/>
          </w:tcPr>
          <w:p w14:paraId="568018AC"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1999</w:t>
            </w:r>
          </w:p>
        </w:tc>
        <w:tc>
          <w:tcPr>
            <w:tcW w:w="1236" w:type="dxa"/>
            <w:shd w:val="clear" w:color="auto" w:fill="1B556B"/>
            <w:vAlign w:val="center"/>
          </w:tcPr>
          <w:p w14:paraId="0B3F6BA9"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2000</w:t>
            </w:r>
          </w:p>
        </w:tc>
        <w:tc>
          <w:tcPr>
            <w:tcW w:w="1040" w:type="dxa"/>
            <w:shd w:val="clear" w:color="auto" w:fill="1B556B"/>
            <w:noWrap/>
            <w:vAlign w:val="center"/>
          </w:tcPr>
          <w:p w14:paraId="1B11D876"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2001</w:t>
            </w:r>
          </w:p>
        </w:tc>
        <w:tc>
          <w:tcPr>
            <w:tcW w:w="1172" w:type="dxa"/>
            <w:shd w:val="clear" w:color="auto" w:fill="1B556B"/>
            <w:noWrap/>
            <w:vAlign w:val="center"/>
          </w:tcPr>
          <w:p w14:paraId="16A9E4D6"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2002</w:t>
            </w:r>
          </w:p>
        </w:tc>
        <w:tc>
          <w:tcPr>
            <w:tcW w:w="1040" w:type="dxa"/>
            <w:shd w:val="clear" w:color="auto" w:fill="1B556B"/>
            <w:noWrap/>
            <w:vAlign w:val="center"/>
          </w:tcPr>
          <w:p w14:paraId="0EBCA18A"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2003</w:t>
            </w:r>
          </w:p>
        </w:tc>
        <w:tc>
          <w:tcPr>
            <w:tcW w:w="1040" w:type="dxa"/>
            <w:shd w:val="clear" w:color="auto" w:fill="1B556B"/>
            <w:noWrap/>
            <w:vAlign w:val="center"/>
          </w:tcPr>
          <w:p w14:paraId="758DDCA8"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2004</w:t>
            </w:r>
          </w:p>
        </w:tc>
        <w:tc>
          <w:tcPr>
            <w:tcW w:w="1180" w:type="dxa"/>
            <w:shd w:val="clear" w:color="auto" w:fill="1B556B"/>
            <w:noWrap/>
            <w:vAlign w:val="center"/>
          </w:tcPr>
          <w:p w14:paraId="5E571BB4"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2005</w:t>
            </w:r>
          </w:p>
        </w:tc>
        <w:tc>
          <w:tcPr>
            <w:tcW w:w="1134" w:type="dxa"/>
            <w:shd w:val="clear" w:color="auto" w:fill="1B556B"/>
            <w:noWrap/>
            <w:vAlign w:val="center"/>
          </w:tcPr>
          <w:p w14:paraId="4ECEC033" w14:textId="77777777" w:rsidR="009B2872" w:rsidRPr="00401061"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2006</w:t>
            </w:r>
          </w:p>
        </w:tc>
      </w:tr>
      <w:tr w:rsidR="009B2872" w:rsidRPr="00401061" w14:paraId="627FE155" w14:textId="77777777" w:rsidTr="00804F0D">
        <w:trPr>
          <w:trHeight w:val="99"/>
        </w:trPr>
        <w:tc>
          <w:tcPr>
            <w:tcW w:w="3823" w:type="dxa"/>
            <w:shd w:val="clear" w:color="auto" w:fill="1B556B"/>
            <w:vAlign w:val="center"/>
          </w:tcPr>
          <w:p w14:paraId="42E1F077" w14:textId="77777777" w:rsidR="009B2872" w:rsidRPr="00401061" w:rsidRDefault="009B2872" w:rsidP="009B2872">
            <w:pPr>
              <w:spacing w:before="0" w:after="0" w:line="240" w:lineRule="auto"/>
              <w:jc w:val="left"/>
              <w:rPr>
                <w:rFonts w:asciiTheme="minorHAnsi" w:eastAsia="Times New Roman" w:hAnsiTheme="minorHAnsi" w:cstheme="minorHAnsi"/>
                <w:b/>
                <w:bCs/>
                <w:color w:val="FFFFFF" w:themeColor="background1"/>
                <w:sz w:val="18"/>
                <w:szCs w:val="18"/>
              </w:rPr>
            </w:pPr>
          </w:p>
        </w:tc>
        <w:tc>
          <w:tcPr>
            <w:tcW w:w="9922" w:type="dxa"/>
            <w:gridSpan w:val="9"/>
            <w:shd w:val="clear" w:color="auto" w:fill="1B556B"/>
          </w:tcPr>
          <w:p w14:paraId="70D2CFEE" w14:textId="77777777" w:rsidR="009B2872" w:rsidRPr="00401061" w:rsidRDefault="009B2872" w:rsidP="009B2872">
            <w:pPr>
              <w:spacing w:before="0" w:after="0" w:line="240" w:lineRule="auto"/>
              <w:jc w:val="left"/>
              <w:rPr>
                <w:rFonts w:asciiTheme="minorHAnsi" w:eastAsia="Times New Roman" w:hAnsiTheme="minorHAnsi" w:cstheme="minorHAnsi"/>
                <w:b/>
                <w:bCs/>
                <w:color w:val="FFFFFF" w:themeColor="background1"/>
                <w:sz w:val="18"/>
                <w:szCs w:val="18"/>
              </w:rPr>
            </w:pPr>
            <w:r w:rsidRPr="00401061">
              <w:rPr>
                <w:rFonts w:asciiTheme="minorHAnsi" w:eastAsia="Times New Roman" w:hAnsiTheme="minorHAnsi" w:cstheme="minorHAnsi"/>
                <w:b/>
                <w:bCs/>
                <w:color w:val="FFFFFF" w:themeColor="background1"/>
                <w:sz w:val="18"/>
                <w:szCs w:val="18"/>
              </w:rPr>
              <w:t>CO</w:t>
            </w:r>
            <w:r w:rsidRPr="00401061">
              <w:rPr>
                <w:rFonts w:asciiTheme="minorHAnsi" w:eastAsia="Times New Roman" w:hAnsiTheme="minorHAnsi" w:cstheme="minorHAnsi"/>
                <w:b/>
                <w:bCs/>
                <w:color w:val="FFFFFF" w:themeColor="background1"/>
                <w:sz w:val="18"/>
                <w:szCs w:val="18"/>
                <w:vertAlign w:val="subscript"/>
              </w:rPr>
              <w:t>2</w:t>
            </w:r>
            <w:r w:rsidRPr="00401061">
              <w:rPr>
                <w:rFonts w:asciiTheme="minorHAnsi" w:eastAsia="Times New Roman" w:hAnsiTheme="minorHAnsi" w:cstheme="minorHAnsi"/>
                <w:b/>
                <w:bCs/>
                <w:color w:val="FFFFFF" w:themeColor="background1"/>
                <w:sz w:val="18"/>
                <w:szCs w:val="18"/>
              </w:rPr>
              <w:t xml:space="preserve"> equivalents (kt) </w:t>
            </w:r>
            <w:r w:rsidRPr="00401061">
              <w:rPr>
                <w:rFonts w:asciiTheme="minorHAnsi" w:eastAsia="Times New Roman" w:hAnsiTheme="minorHAnsi" w:cstheme="minorHAnsi"/>
                <w:b/>
                <w:bCs/>
                <w:color w:val="FFFFFF" w:themeColor="background1"/>
                <w:sz w:val="18"/>
                <w:szCs w:val="18"/>
                <w:vertAlign w:val="superscript"/>
              </w:rPr>
              <w:t>(3)</w:t>
            </w:r>
            <w:r w:rsidRPr="00401061">
              <w:rPr>
                <w:rFonts w:asciiTheme="minorHAnsi" w:eastAsia="Times New Roman" w:hAnsiTheme="minorHAnsi" w:cstheme="minorHAnsi"/>
                <w:b/>
                <w:bCs/>
                <w:color w:val="FFFFFF" w:themeColor="background1"/>
                <w:sz w:val="18"/>
                <w:szCs w:val="18"/>
              </w:rPr>
              <w:t> </w:t>
            </w:r>
          </w:p>
        </w:tc>
      </w:tr>
      <w:tr w:rsidR="009B2872" w:rsidRPr="00401061" w14:paraId="5E2BAB77" w14:textId="77777777" w:rsidTr="00804F0D">
        <w:trPr>
          <w:trHeight w:val="133"/>
        </w:trPr>
        <w:tc>
          <w:tcPr>
            <w:tcW w:w="3823" w:type="dxa"/>
            <w:shd w:val="clear" w:color="auto" w:fill="auto"/>
            <w:noWrap/>
            <w:vAlign w:val="center"/>
            <w:hideMark/>
          </w:tcPr>
          <w:p w14:paraId="5EF46E17" w14:textId="7FA87502"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 xml:space="preserve">1. Energy </w:t>
            </w:r>
          </w:p>
        </w:tc>
        <w:tc>
          <w:tcPr>
            <w:tcW w:w="1040" w:type="dxa"/>
            <w:vAlign w:val="center"/>
          </w:tcPr>
          <w:p w14:paraId="62305DFE"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27,928.77</w:t>
            </w:r>
          </w:p>
        </w:tc>
        <w:tc>
          <w:tcPr>
            <w:tcW w:w="1040" w:type="dxa"/>
            <w:shd w:val="clear" w:color="auto" w:fill="auto"/>
            <w:noWrap/>
            <w:vAlign w:val="center"/>
            <w:hideMark/>
          </w:tcPr>
          <w:p w14:paraId="7492B9DA"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29,267.01</w:t>
            </w:r>
          </w:p>
        </w:tc>
        <w:tc>
          <w:tcPr>
            <w:tcW w:w="1236" w:type="dxa"/>
            <w:shd w:val="clear" w:color="auto" w:fill="auto"/>
            <w:noWrap/>
            <w:vAlign w:val="center"/>
            <w:hideMark/>
          </w:tcPr>
          <w:p w14:paraId="3BF0E591" w14:textId="77777777" w:rsidR="009B2872" w:rsidRPr="00401061" w:rsidRDefault="009B2872" w:rsidP="009B2872">
            <w:pPr>
              <w:spacing w:before="0" w:after="0" w:line="240" w:lineRule="auto"/>
              <w:jc w:val="right"/>
              <w:rPr>
                <w:rFonts w:asciiTheme="minorHAnsi" w:eastAsia="Times New Roman" w:hAnsiTheme="minorHAnsi" w:cstheme="minorHAnsi"/>
                <w:sz w:val="18"/>
                <w:szCs w:val="18"/>
              </w:rPr>
            </w:pPr>
            <w:r w:rsidRPr="00401061">
              <w:rPr>
                <w:rFonts w:asciiTheme="minorHAnsi" w:eastAsia="Times New Roman" w:hAnsiTheme="minorHAnsi" w:cstheme="minorHAnsi"/>
                <w:color w:val="000000"/>
                <w:sz w:val="18"/>
                <w:szCs w:val="18"/>
              </w:rPr>
              <w:t>29,973.78</w:t>
            </w:r>
          </w:p>
        </w:tc>
        <w:tc>
          <w:tcPr>
            <w:tcW w:w="1040" w:type="dxa"/>
            <w:shd w:val="clear" w:color="auto" w:fill="auto"/>
            <w:noWrap/>
            <w:vAlign w:val="center"/>
          </w:tcPr>
          <w:p w14:paraId="23A3D1CE"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31,985.09</w:t>
            </w:r>
          </w:p>
        </w:tc>
        <w:tc>
          <w:tcPr>
            <w:tcW w:w="1172" w:type="dxa"/>
            <w:shd w:val="clear" w:color="auto" w:fill="auto"/>
            <w:noWrap/>
            <w:vAlign w:val="center"/>
          </w:tcPr>
          <w:p w14:paraId="5EB4956A"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31,918.98</w:t>
            </w:r>
          </w:p>
        </w:tc>
        <w:tc>
          <w:tcPr>
            <w:tcW w:w="1040" w:type="dxa"/>
            <w:shd w:val="clear" w:color="auto" w:fill="auto"/>
            <w:noWrap/>
            <w:vAlign w:val="center"/>
          </w:tcPr>
          <w:p w14:paraId="50D4EB95"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33,363.86</w:t>
            </w:r>
          </w:p>
        </w:tc>
        <w:tc>
          <w:tcPr>
            <w:tcW w:w="1040" w:type="dxa"/>
            <w:shd w:val="clear" w:color="auto" w:fill="auto"/>
            <w:noWrap/>
            <w:vAlign w:val="center"/>
          </w:tcPr>
          <w:p w14:paraId="135E986F"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33,015.86</w:t>
            </w:r>
          </w:p>
        </w:tc>
        <w:tc>
          <w:tcPr>
            <w:tcW w:w="1180" w:type="dxa"/>
            <w:shd w:val="clear" w:color="auto" w:fill="auto"/>
            <w:noWrap/>
            <w:vAlign w:val="center"/>
          </w:tcPr>
          <w:p w14:paraId="2F0AA3FB"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34,629.21</w:t>
            </w:r>
          </w:p>
        </w:tc>
        <w:tc>
          <w:tcPr>
            <w:tcW w:w="1134" w:type="dxa"/>
            <w:shd w:val="clear" w:color="auto" w:fill="auto"/>
            <w:noWrap/>
            <w:vAlign w:val="center"/>
          </w:tcPr>
          <w:p w14:paraId="46419CDD"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35,055.13</w:t>
            </w:r>
          </w:p>
        </w:tc>
      </w:tr>
      <w:tr w:rsidR="009B2872" w:rsidRPr="00401061" w14:paraId="6CF53838" w14:textId="77777777" w:rsidTr="00804F0D">
        <w:trPr>
          <w:trHeight w:val="167"/>
        </w:trPr>
        <w:tc>
          <w:tcPr>
            <w:tcW w:w="3823" w:type="dxa"/>
            <w:shd w:val="clear" w:color="auto" w:fill="auto"/>
            <w:noWrap/>
            <w:vAlign w:val="center"/>
            <w:hideMark/>
          </w:tcPr>
          <w:p w14:paraId="4C5DE49F" w14:textId="0D943A78"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 xml:space="preserve">2. Industrial </w:t>
            </w:r>
            <w:r w:rsidR="003F5083" w:rsidRPr="00401061">
              <w:rPr>
                <w:rFonts w:asciiTheme="minorHAnsi" w:eastAsia="Times New Roman" w:hAnsiTheme="minorHAnsi" w:cstheme="minorHAnsi"/>
                <w:color w:val="000000"/>
                <w:sz w:val="18"/>
                <w:szCs w:val="18"/>
              </w:rPr>
              <w:t>P</w:t>
            </w:r>
            <w:r w:rsidRPr="00401061">
              <w:rPr>
                <w:rFonts w:asciiTheme="minorHAnsi" w:eastAsia="Times New Roman" w:hAnsiTheme="minorHAnsi" w:cstheme="minorHAnsi"/>
                <w:color w:val="000000"/>
                <w:sz w:val="18"/>
                <w:szCs w:val="18"/>
              </w:rPr>
              <w:t xml:space="preserve">rocesses and </w:t>
            </w:r>
            <w:r w:rsidR="003F5083" w:rsidRPr="00401061">
              <w:rPr>
                <w:rFonts w:asciiTheme="minorHAnsi" w:eastAsia="Times New Roman" w:hAnsiTheme="minorHAnsi" w:cstheme="minorHAnsi"/>
                <w:color w:val="000000"/>
                <w:sz w:val="18"/>
                <w:szCs w:val="18"/>
              </w:rPr>
              <w:t>P</w:t>
            </w:r>
            <w:r w:rsidRPr="00401061">
              <w:rPr>
                <w:rFonts w:asciiTheme="minorHAnsi" w:eastAsia="Times New Roman" w:hAnsiTheme="minorHAnsi" w:cstheme="minorHAnsi"/>
                <w:color w:val="000000"/>
                <w:sz w:val="18"/>
                <w:szCs w:val="18"/>
              </w:rPr>
              <w:t xml:space="preserve">roduct </w:t>
            </w:r>
            <w:r w:rsidR="003F5083" w:rsidRPr="00401061">
              <w:rPr>
                <w:rFonts w:asciiTheme="minorHAnsi" w:eastAsia="Times New Roman" w:hAnsiTheme="minorHAnsi" w:cstheme="minorHAnsi"/>
                <w:color w:val="000000"/>
                <w:sz w:val="18"/>
                <w:szCs w:val="18"/>
              </w:rPr>
              <w:t>U</w:t>
            </w:r>
            <w:r w:rsidRPr="00401061">
              <w:rPr>
                <w:rFonts w:asciiTheme="minorHAnsi" w:eastAsia="Times New Roman" w:hAnsiTheme="minorHAnsi" w:cstheme="minorHAnsi"/>
                <w:color w:val="000000"/>
                <w:sz w:val="18"/>
                <w:szCs w:val="18"/>
              </w:rPr>
              <w:t>se</w:t>
            </w:r>
          </w:p>
        </w:tc>
        <w:tc>
          <w:tcPr>
            <w:tcW w:w="1040" w:type="dxa"/>
            <w:vAlign w:val="center"/>
          </w:tcPr>
          <w:p w14:paraId="49189349"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3,244.59</w:t>
            </w:r>
          </w:p>
        </w:tc>
        <w:tc>
          <w:tcPr>
            <w:tcW w:w="1040" w:type="dxa"/>
            <w:shd w:val="clear" w:color="auto" w:fill="auto"/>
            <w:noWrap/>
            <w:vAlign w:val="center"/>
            <w:hideMark/>
          </w:tcPr>
          <w:p w14:paraId="4ED72418"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3,430.80</w:t>
            </w:r>
          </w:p>
        </w:tc>
        <w:tc>
          <w:tcPr>
            <w:tcW w:w="1236" w:type="dxa"/>
            <w:shd w:val="clear" w:color="auto" w:fill="auto"/>
            <w:noWrap/>
            <w:vAlign w:val="center"/>
            <w:hideMark/>
          </w:tcPr>
          <w:p w14:paraId="2E909EFC" w14:textId="77777777" w:rsidR="009B2872" w:rsidRPr="00401061" w:rsidRDefault="009B2872" w:rsidP="009B2872">
            <w:pPr>
              <w:spacing w:before="0" w:after="0" w:line="240" w:lineRule="auto"/>
              <w:jc w:val="right"/>
              <w:rPr>
                <w:rFonts w:asciiTheme="minorHAnsi" w:eastAsia="Times New Roman" w:hAnsiTheme="minorHAnsi" w:cstheme="minorHAnsi"/>
                <w:sz w:val="18"/>
                <w:szCs w:val="18"/>
              </w:rPr>
            </w:pPr>
            <w:r w:rsidRPr="00401061">
              <w:rPr>
                <w:rFonts w:asciiTheme="minorHAnsi" w:eastAsia="Times New Roman" w:hAnsiTheme="minorHAnsi" w:cstheme="minorHAnsi"/>
                <w:color w:val="000000"/>
                <w:sz w:val="18"/>
                <w:szCs w:val="18"/>
              </w:rPr>
              <w:t>3,467.51</w:t>
            </w:r>
          </w:p>
        </w:tc>
        <w:tc>
          <w:tcPr>
            <w:tcW w:w="1040" w:type="dxa"/>
            <w:shd w:val="clear" w:color="auto" w:fill="auto"/>
            <w:noWrap/>
            <w:vAlign w:val="center"/>
          </w:tcPr>
          <w:p w14:paraId="7D300375"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3,572.03</w:t>
            </w:r>
          </w:p>
        </w:tc>
        <w:tc>
          <w:tcPr>
            <w:tcW w:w="1172" w:type="dxa"/>
            <w:shd w:val="clear" w:color="auto" w:fill="auto"/>
            <w:noWrap/>
            <w:vAlign w:val="center"/>
          </w:tcPr>
          <w:p w14:paraId="36019E82"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3,647.88</w:t>
            </w:r>
          </w:p>
        </w:tc>
        <w:tc>
          <w:tcPr>
            <w:tcW w:w="1040" w:type="dxa"/>
            <w:shd w:val="clear" w:color="auto" w:fill="auto"/>
            <w:noWrap/>
            <w:vAlign w:val="center"/>
          </w:tcPr>
          <w:p w14:paraId="772AB691"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3,839.15</w:t>
            </w:r>
          </w:p>
        </w:tc>
        <w:tc>
          <w:tcPr>
            <w:tcW w:w="1040" w:type="dxa"/>
            <w:shd w:val="clear" w:color="auto" w:fill="auto"/>
            <w:noWrap/>
            <w:vAlign w:val="center"/>
          </w:tcPr>
          <w:p w14:paraId="3CAAD49C"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3,896.33</w:t>
            </w:r>
          </w:p>
        </w:tc>
        <w:tc>
          <w:tcPr>
            <w:tcW w:w="1180" w:type="dxa"/>
            <w:shd w:val="clear" w:color="auto" w:fill="auto"/>
            <w:noWrap/>
            <w:vAlign w:val="center"/>
          </w:tcPr>
          <w:p w14:paraId="00AB28F0"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4,007.74</w:t>
            </w:r>
          </w:p>
        </w:tc>
        <w:tc>
          <w:tcPr>
            <w:tcW w:w="1134" w:type="dxa"/>
            <w:shd w:val="clear" w:color="auto" w:fill="auto"/>
            <w:noWrap/>
            <w:vAlign w:val="center"/>
          </w:tcPr>
          <w:p w14:paraId="414E1E82"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4,109.97</w:t>
            </w:r>
          </w:p>
        </w:tc>
      </w:tr>
      <w:tr w:rsidR="009B2872" w:rsidRPr="00401061" w14:paraId="3A2CBC52" w14:textId="77777777" w:rsidTr="00804F0D">
        <w:trPr>
          <w:trHeight w:val="227"/>
        </w:trPr>
        <w:tc>
          <w:tcPr>
            <w:tcW w:w="3823" w:type="dxa"/>
            <w:shd w:val="clear" w:color="auto" w:fill="auto"/>
            <w:noWrap/>
            <w:vAlign w:val="center"/>
            <w:hideMark/>
          </w:tcPr>
          <w:p w14:paraId="167A9D3B" w14:textId="0A93C305"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 xml:space="preserve">3. Agriculture </w:t>
            </w:r>
          </w:p>
        </w:tc>
        <w:tc>
          <w:tcPr>
            <w:tcW w:w="1040" w:type="dxa"/>
            <w:vAlign w:val="center"/>
          </w:tcPr>
          <w:p w14:paraId="78EE8EA9"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39,945.73</w:t>
            </w:r>
          </w:p>
        </w:tc>
        <w:tc>
          <w:tcPr>
            <w:tcW w:w="1040" w:type="dxa"/>
            <w:shd w:val="clear" w:color="auto" w:fill="auto"/>
            <w:noWrap/>
            <w:vAlign w:val="center"/>
            <w:hideMark/>
          </w:tcPr>
          <w:p w14:paraId="72E3EC5E"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39,933.23</w:t>
            </w:r>
          </w:p>
        </w:tc>
        <w:tc>
          <w:tcPr>
            <w:tcW w:w="1236" w:type="dxa"/>
            <w:shd w:val="clear" w:color="auto" w:fill="auto"/>
            <w:noWrap/>
            <w:vAlign w:val="center"/>
            <w:hideMark/>
          </w:tcPr>
          <w:p w14:paraId="2CEFBF78" w14:textId="77777777" w:rsidR="009B2872" w:rsidRPr="00401061" w:rsidRDefault="009B2872" w:rsidP="009B2872">
            <w:pPr>
              <w:spacing w:before="0" w:after="0" w:line="240" w:lineRule="auto"/>
              <w:jc w:val="right"/>
              <w:rPr>
                <w:rFonts w:asciiTheme="minorHAnsi" w:eastAsia="Times New Roman" w:hAnsiTheme="minorHAnsi" w:cstheme="minorHAnsi"/>
                <w:sz w:val="18"/>
                <w:szCs w:val="18"/>
              </w:rPr>
            </w:pPr>
            <w:r w:rsidRPr="00401061">
              <w:rPr>
                <w:rFonts w:asciiTheme="minorHAnsi" w:eastAsia="Times New Roman" w:hAnsiTheme="minorHAnsi" w:cstheme="minorHAnsi"/>
                <w:color w:val="000000"/>
                <w:sz w:val="18"/>
                <w:szCs w:val="18"/>
              </w:rPr>
              <w:t>41,181.52</w:t>
            </w:r>
          </w:p>
        </w:tc>
        <w:tc>
          <w:tcPr>
            <w:tcW w:w="1040" w:type="dxa"/>
            <w:shd w:val="clear" w:color="auto" w:fill="auto"/>
            <w:noWrap/>
            <w:vAlign w:val="center"/>
          </w:tcPr>
          <w:p w14:paraId="04913909"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41,951.28</w:t>
            </w:r>
          </w:p>
        </w:tc>
        <w:tc>
          <w:tcPr>
            <w:tcW w:w="1172" w:type="dxa"/>
            <w:shd w:val="clear" w:color="auto" w:fill="auto"/>
            <w:noWrap/>
            <w:vAlign w:val="center"/>
          </w:tcPr>
          <w:p w14:paraId="5245CAF6"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41,844.58</w:t>
            </w:r>
          </w:p>
        </w:tc>
        <w:tc>
          <w:tcPr>
            <w:tcW w:w="1040" w:type="dxa"/>
            <w:shd w:val="clear" w:color="auto" w:fill="auto"/>
            <w:noWrap/>
            <w:vAlign w:val="center"/>
          </w:tcPr>
          <w:p w14:paraId="5A881E26"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42,612.38</w:t>
            </w:r>
          </w:p>
        </w:tc>
        <w:tc>
          <w:tcPr>
            <w:tcW w:w="1040" w:type="dxa"/>
            <w:shd w:val="clear" w:color="auto" w:fill="auto"/>
            <w:noWrap/>
            <w:vAlign w:val="center"/>
          </w:tcPr>
          <w:p w14:paraId="32F98F64"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42,913.99</w:t>
            </w:r>
          </w:p>
        </w:tc>
        <w:tc>
          <w:tcPr>
            <w:tcW w:w="1180" w:type="dxa"/>
            <w:shd w:val="clear" w:color="auto" w:fill="auto"/>
            <w:noWrap/>
            <w:vAlign w:val="center"/>
          </w:tcPr>
          <w:p w14:paraId="2AFEC546"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43,125.88</w:t>
            </w:r>
          </w:p>
        </w:tc>
        <w:tc>
          <w:tcPr>
            <w:tcW w:w="1134" w:type="dxa"/>
            <w:shd w:val="clear" w:color="auto" w:fill="auto"/>
            <w:noWrap/>
            <w:vAlign w:val="center"/>
          </w:tcPr>
          <w:p w14:paraId="0AE2CF05"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42,930.88</w:t>
            </w:r>
          </w:p>
        </w:tc>
      </w:tr>
      <w:tr w:rsidR="009B2872" w:rsidRPr="00401061" w14:paraId="167CA078" w14:textId="77777777" w:rsidTr="00804F0D">
        <w:trPr>
          <w:trHeight w:val="92"/>
        </w:trPr>
        <w:tc>
          <w:tcPr>
            <w:tcW w:w="3823" w:type="dxa"/>
            <w:shd w:val="clear" w:color="auto" w:fill="auto"/>
            <w:noWrap/>
            <w:vAlign w:val="center"/>
            <w:hideMark/>
          </w:tcPr>
          <w:p w14:paraId="614176E5" w14:textId="42D0F6EE"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sz w:val="18"/>
                <w:szCs w:val="18"/>
              </w:rPr>
              <w:t>4.</w:t>
            </w:r>
            <w:r w:rsidRPr="00401061" w:rsidDel="00D926E9">
              <w:rPr>
                <w:rFonts w:asciiTheme="minorHAnsi" w:eastAsia="Times New Roman" w:hAnsiTheme="minorHAnsi" w:cstheme="minorHAnsi"/>
                <w:sz w:val="18"/>
                <w:szCs w:val="18"/>
              </w:rPr>
              <w:t xml:space="preserve"> </w:t>
            </w:r>
            <w:r w:rsidR="00B67BC9" w:rsidRPr="00401061">
              <w:rPr>
                <w:rFonts w:asciiTheme="minorHAnsi" w:eastAsia="Times New Roman" w:hAnsiTheme="minorHAnsi" w:cstheme="minorHAnsi"/>
                <w:sz w:val="18"/>
                <w:szCs w:val="18"/>
              </w:rPr>
              <w:t>Land Use, Land-Use Change and Forestry</w:t>
            </w:r>
            <w:r w:rsidRPr="00401061">
              <w:rPr>
                <w:rFonts w:asciiTheme="minorHAnsi" w:eastAsia="Times New Roman" w:hAnsiTheme="minorHAnsi" w:cstheme="minorHAnsi"/>
                <w:sz w:val="18"/>
                <w:szCs w:val="18"/>
              </w:rPr>
              <w:t xml:space="preserve"> </w:t>
            </w:r>
            <w:r w:rsidRPr="00401061">
              <w:rPr>
                <w:rFonts w:asciiTheme="minorHAnsi" w:eastAsia="Times New Roman" w:hAnsiTheme="minorHAnsi" w:cstheme="minorHAnsi"/>
                <w:sz w:val="18"/>
                <w:szCs w:val="18"/>
                <w:vertAlign w:val="superscript"/>
              </w:rPr>
              <w:t>(4)</w:t>
            </w:r>
            <w:r w:rsidRPr="00401061">
              <w:rPr>
                <w:rFonts w:asciiTheme="minorHAnsi" w:eastAsia="Times New Roman" w:hAnsiTheme="minorHAnsi" w:cstheme="minorHAnsi"/>
                <w:sz w:val="18"/>
                <w:szCs w:val="18"/>
              </w:rPr>
              <w:t xml:space="preserve"> </w:t>
            </w:r>
          </w:p>
        </w:tc>
        <w:tc>
          <w:tcPr>
            <w:tcW w:w="1040" w:type="dxa"/>
            <w:vAlign w:val="center"/>
          </w:tcPr>
          <w:p w14:paraId="277B189E"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-24,207.51</w:t>
            </w:r>
          </w:p>
        </w:tc>
        <w:tc>
          <w:tcPr>
            <w:tcW w:w="1040" w:type="dxa"/>
            <w:shd w:val="clear" w:color="auto" w:fill="auto"/>
            <w:noWrap/>
            <w:vAlign w:val="center"/>
            <w:hideMark/>
          </w:tcPr>
          <w:p w14:paraId="386C2EAE"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-26,667.58</w:t>
            </w:r>
          </w:p>
        </w:tc>
        <w:tc>
          <w:tcPr>
            <w:tcW w:w="1236" w:type="dxa"/>
            <w:shd w:val="clear" w:color="auto" w:fill="auto"/>
            <w:noWrap/>
            <w:vAlign w:val="center"/>
            <w:hideMark/>
          </w:tcPr>
          <w:p w14:paraId="2947956A" w14:textId="77777777" w:rsidR="009B2872" w:rsidRPr="00401061" w:rsidRDefault="009B2872" w:rsidP="009B2872">
            <w:pPr>
              <w:spacing w:before="0" w:after="0" w:line="240" w:lineRule="auto"/>
              <w:jc w:val="right"/>
              <w:rPr>
                <w:rFonts w:asciiTheme="minorHAnsi" w:eastAsia="Times New Roman" w:hAnsiTheme="minorHAnsi" w:cstheme="minorHAnsi"/>
                <w:sz w:val="18"/>
                <w:szCs w:val="18"/>
              </w:rPr>
            </w:pPr>
            <w:r w:rsidRPr="00401061">
              <w:rPr>
                <w:rFonts w:asciiTheme="minorHAnsi" w:eastAsia="Times New Roman" w:hAnsiTheme="minorHAnsi" w:cstheme="minorHAnsi"/>
                <w:color w:val="000000"/>
                <w:sz w:val="18"/>
                <w:szCs w:val="18"/>
              </w:rPr>
              <w:t>-27,353.85</w:t>
            </w:r>
          </w:p>
        </w:tc>
        <w:tc>
          <w:tcPr>
            <w:tcW w:w="1040" w:type="dxa"/>
            <w:shd w:val="clear" w:color="auto" w:fill="auto"/>
            <w:noWrap/>
            <w:vAlign w:val="center"/>
          </w:tcPr>
          <w:p w14:paraId="3A3BD2EF"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-27,619.41</w:t>
            </w:r>
          </w:p>
        </w:tc>
        <w:tc>
          <w:tcPr>
            <w:tcW w:w="1172" w:type="dxa"/>
            <w:shd w:val="clear" w:color="auto" w:fill="auto"/>
            <w:noWrap/>
            <w:vAlign w:val="center"/>
          </w:tcPr>
          <w:p w14:paraId="2417E2FB"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-26,063.06</w:t>
            </w:r>
          </w:p>
        </w:tc>
        <w:tc>
          <w:tcPr>
            <w:tcW w:w="1040" w:type="dxa"/>
            <w:shd w:val="clear" w:color="auto" w:fill="auto"/>
            <w:noWrap/>
            <w:vAlign w:val="center"/>
          </w:tcPr>
          <w:p w14:paraId="436B8DF3"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-26,814.25</w:t>
            </w:r>
          </w:p>
        </w:tc>
        <w:tc>
          <w:tcPr>
            <w:tcW w:w="1040" w:type="dxa"/>
            <w:shd w:val="clear" w:color="auto" w:fill="auto"/>
            <w:noWrap/>
            <w:vAlign w:val="center"/>
          </w:tcPr>
          <w:p w14:paraId="10318A28"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-26,593.82</w:t>
            </w:r>
          </w:p>
        </w:tc>
        <w:tc>
          <w:tcPr>
            <w:tcW w:w="1180" w:type="dxa"/>
            <w:shd w:val="clear" w:color="auto" w:fill="auto"/>
            <w:noWrap/>
            <w:vAlign w:val="center"/>
          </w:tcPr>
          <w:p w14:paraId="578DE311"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-24,250.93</w:t>
            </w:r>
          </w:p>
        </w:tc>
        <w:tc>
          <w:tcPr>
            <w:tcW w:w="1134" w:type="dxa"/>
            <w:shd w:val="clear" w:color="auto" w:fill="auto"/>
            <w:noWrap/>
            <w:vAlign w:val="center"/>
          </w:tcPr>
          <w:p w14:paraId="794CE867"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-22,144.84</w:t>
            </w:r>
          </w:p>
        </w:tc>
      </w:tr>
      <w:tr w:rsidR="009B2872" w:rsidRPr="00401061" w14:paraId="732C854E" w14:textId="77777777" w:rsidTr="00804F0D">
        <w:trPr>
          <w:trHeight w:val="167"/>
        </w:trPr>
        <w:tc>
          <w:tcPr>
            <w:tcW w:w="3823" w:type="dxa"/>
            <w:shd w:val="clear" w:color="auto" w:fill="auto"/>
            <w:noWrap/>
            <w:vAlign w:val="center"/>
            <w:hideMark/>
          </w:tcPr>
          <w:p w14:paraId="4624E88C" w14:textId="67950704"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 xml:space="preserve">5. Waste </w:t>
            </w:r>
          </w:p>
        </w:tc>
        <w:tc>
          <w:tcPr>
            <w:tcW w:w="1040" w:type="dxa"/>
            <w:vAlign w:val="center"/>
          </w:tcPr>
          <w:p w14:paraId="10FA0B3E"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4,845.27</w:t>
            </w:r>
          </w:p>
        </w:tc>
        <w:tc>
          <w:tcPr>
            <w:tcW w:w="1040" w:type="dxa"/>
            <w:shd w:val="clear" w:color="auto" w:fill="auto"/>
            <w:noWrap/>
            <w:vAlign w:val="center"/>
            <w:hideMark/>
          </w:tcPr>
          <w:p w14:paraId="638E0ED5"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4,873.43</w:t>
            </w:r>
          </w:p>
        </w:tc>
        <w:tc>
          <w:tcPr>
            <w:tcW w:w="1236" w:type="dxa"/>
            <w:shd w:val="clear" w:color="auto" w:fill="auto"/>
            <w:noWrap/>
            <w:vAlign w:val="center"/>
            <w:hideMark/>
          </w:tcPr>
          <w:p w14:paraId="5BDBDBE4" w14:textId="77777777" w:rsidR="009B2872" w:rsidRPr="00401061" w:rsidRDefault="009B2872" w:rsidP="009B2872">
            <w:pPr>
              <w:spacing w:before="0" w:after="0" w:line="240" w:lineRule="auto"/>
              <w:jc w:val="right"/>
              <w:rPr>
                <w:rFonts w:asciiTheme="minorHAnsi" w:eastAsia="Times New Roman" w:hAnsiTheme="minorHAnsi" w:cstheme="minorHAnsi"/>
                <w:sz w:val="18"/>
                <w:szCs w:val="18"/>
              </w:rPr>
            </w:pPr>
            <w:r w:rsidRPr="00401061">
              <w:rPr>
                <w:rFonts w:asciiTheme="minorHAnsi" w:eastAsia="Times New Roman" w:hAnsiTheme="minorHAnsi" w:cstheme="minorHAnsi"/>
                <w:color w:val="000000"/>
                <w:sz w:val="18"/>
                <w:szCs w:val="18"/>
              </w:rPr>
              <w:t>4,904.84</w:t>
            </w:r>
          </w:p>
        </w:tc>
        <w:tc>
          <w:tcPr>
            <w:tcW w:w="1040" w:type="dxa"/>
            <w:shd w:val="clear" w:color="auto" w:fill="auto"/>
            <w:noWrap/>
            <w:vAlign w:val="center"/>
          </w:tcPr>
          <w:p w14:paraId="1C8FA3DB"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4,929.58</w:t>
            </w:r>
          </w:p>
        </w:tc>
        <w:tc>
          <w:tcPr>
            <w:tcW w:w="1172" w:type="dxa"/>
            <w:shd w:val="clear" w:color="auto" w:fill="auto"/>
            <w:noWrap/>
            <w:vAlign w:val="center"/>
          </w:tcPr>
          <w:p w14:paraId="4D8DBCDC"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4,946.70</w:t>
            </w:r>
          </w:p>
        </w:tc>
        <w:tc>
          <w:tcPr>
            <w:tcW w:w="1040" w:type="dxa"/>
            <w:shd w:val="clear" w:color="auto" w:fill="auto"/>
            <w:noWrap/>
            <w:vAlign w:val="center"/>
          </w:tcPr>
          <w:p w14:paraId="51931585"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4,841.18</w:t>
            </w:r>
          </w:p>
        </w:tc>
        <w:tc>
          <w:tcPr>
            <w:tcW w:w="1040" w:type="dxa"/>
            <w:shd w:val="clear" w:color="auto" w:fill="auto"/>
            <w:noWrap/>
            <w:vAlign w:val="center"/>
          </w:tcPr>
          <w:p w14:paraId="12AD61BE"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4,860.62</w:t>
            </w:r>
          </w:p>
        </w:tc>
        <w:tc>
          <w:tcPr>
            <w:tcW w:w="1180" w:type="dxa"/>
            <w:shd w:val="clear" w:color="auto" w:fill="auto"/>
            <w:noWrap/>
            <w:vAlign w:val="center"/>
          </w:tcPr>
          <w:p w14:paraId="208B6202"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4,847.84</w:t>
            </w:r>
          </w:p>
        </w:tc>
        <w:tc>
          <w:tcPr>
            <w:tcW w:w="1134" w:type="dxa"/>
            <w:shd w:val="clear" w:color="auto" w:fill="auto"/>
            <w:noWrap/>
            <w:vAlign w:val="center"/>
          </w:tcPr>
          <w:p w14:paraId="1E3BB21B"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4,626.19</w:t>
            </w:r>
          </w:p>
        </w:tc>
      </w:tr>
      <w:tr w:rsidR="009B2872" w:rsidRPr="00401061" w14:paraId="03C3DDB7" w14:textId="77777777" w:rsidTr="00804F0D">
        <w:trPr>
          <w:trHeight w:val="92"/>
        </w:trPr>
        <w:tc>
          <w:tcPr>
            <w:tcW w:w="3823" w:type="dxa"/>
            <w:shd w:val="clear" w:color="auto" w:fill="auto"/>
            <w:noWrap/>
            <w:vAlign w:val="center"/>
            <w:hideMark/>
          </w:tcPr>
          <w:p w14:paraId="0E02F6D4" w14:textId="5B3B21E2"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6. Other</w:t>
            </w:r>
          </w:p>
        </w:tc>
        <w:tc>
          <w:tcPr>
            <w:tcW w:w="1040" w:type="dxa"/>
            <w:vAlign w:val="center"/>
          </w:tcPr>
          <w:p w14:paraId="22C3CF4D"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3.51</w:t>
            </w:r>
          </w:p>
        </w:tc>
        <w:tc>
          <w:tcPr>
            <w:tcW w:w="1040" w:type="dxa"/>
            <w:shd w:val="clear" w:color="auto" w:fill="auto"/>
            <w:noWrap/>
            <w:vAlign w:val="center"/>
            <w:hideMark/>
          </w:tcPr>
          <w:p w14:paraId="4CF47DDC" w14:textId="77777777" w:rsidR="009B2872" w:rsidRPr="00401061" w:rsidRDefault="009B2872" w:rsidP="009B2872">
            <w:pPr>
              <w:spacing w:before="0" w:after="0" w:line="240" w:lineRule="auto"/>
              <w:jc w:val="lef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3.61</w:t>
            </w:r>
          </w:p>
        </w:tc>
        <w:tc>
          <w:tcPr>
            <w:tcW w:w="1236" w:type="dxa"/>
            <w:shd w:val="clear" w:color="auto" w:fill="auto"/>
            <w:noWrap/>
            <w:vAlign w:val="center"/>
            <w:hideMark/>
          </w:tcPr>
          <w:p w14:paraId="5A8D464C" w14:textId="77777777" w:rsidR="009B2872" w:rsidRPr="00401061" w:rsidRDefault="009B2872" w:rsidP="009B2872">
            <w:pPr>
              <w:spacing w:before="0" w:after="0" w:line="240" w:lineRule="auto"/>
              <w:jc w:val="right"/>
              <w:rPr>
                <w:rFonts w:asciiTheme="minorHAnsi" w:eastAsia="Times New Roman" w:hAnsiTheme="minorHAnsi" w:cstheme="minorHAnsi"/>
                <w:sz w:val="18"/>
                <w:szCs w:val="18"/>
              </w:rPr>
            </w:pPr>
            <w:r w:rsidRPr="00401061">
              <w:rPr>
                <w:rFonts w:asciiTheme="minorHAnsi" w:eastAsia="Times New Roman" w:hAnsiTheme="minorHAnsi" w:cstheme="minorHAnsi"/>
                <w:color w:val="000000"/>
                <w:sz w:val="18"/>
                <w:szCs w:val="18"/>
              </w:rPr>
              <w:t>3.72</w:t>
            </w:r>
          </w:p>
        </w:tc>
        <w:tc>
          <w:tcPr>
            <w:tcW w:w="1040" w:type="dxa"/>
            <w:shd w:val="clear" w:color="auto" w:fill="auto"/>
            <w:noWrap/>
            <w:vAlign w:val="center"/>
          </w:tcPr>
          <w:p w14:paraId="78CEC898"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3.82</w:t>
            </w:r>
          </w:p>
        </w:tc>
        <w:tc>
          <w:tcPr>
            <w:tcW w:w="1172" w:type="dxa"/>
            <w:shd w:val="clear" w:color="auto" w:fill="auto"/>
            <w:noWrap/>
            <w:vAlign w:val="center"/>
          </w:tcPr>
          <w:p w14:paraId="2FF25A25"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3.82</w:t>
            </w:r>
          </w:p>
        </w:tc>
        <w:tc>
          <w:tcPr>
            <w:tcW w:w="1040" w:type="dxa"/>
            <w:shd w:val="clear" w:color="auto" w:fill="auto"/>
            <w:noWrap/>
            <w:vAlign w:val="center"/>
          </w:tcPr>
          <w:p w14:paraId="7F78F8B5"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3.82</w:t>
            </w:r>
          </w:p>
        </w:tc>
        <w:tc>
          <w:tcPr>
            <w:tcW w:w="1040" w:type="dxa"/>
            <w:shd w:val="clear" w:color="auto" w:fill="auto"/>
            <w:noWrap/>
            <w:vAlign w:val="center"/>
          </w:tcPr>
          <w:p w14:paraId="5EEA2B97"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4.26</w:t>
            </w:r>
          </w:p>
        </w:tc>
        <w:tc>
          <w:tcPr>
            <w:tcW w:w="1180" w:type="dxa"/>
            <w:shd w:val="clear" w:color="auto" w:fill="auto"/>
            <w:noWrap/>
            <w:vAlign w:val="center"/>
          </w:tcPr>
          <w:p w14:paraId="5897392A"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4.71</w:t>
            </w:r>
          </w:p>
        </w:tc>
        <w:tc>
          <w:tcPr>
            <w:tcW w:w="1134" w:type="dxa"/>
            <w:shd w:val="clear" w:color="auto" w:fill="auto"/>
            <w:noWrap/>
            <w:vAlign w:val="center"/>
          </w:tcPr>
          <w:p w14:paraId="3C78DD05" w14:textId="77777777" w:rsidR="009B2872" w:rsidRPr="00401061" w:rsidRDefault="009B2872" w:rsidP="009B2872">
            <w:pPr>
              <w:spacing w:before="0" w:after="0" w:line="240" w:lineRule="auto"/>
              <w:jc w:val="right"/>
              <w:rPr>
                <w:rFonts w:asciiTheme="minorHAnsi" w:eastAsia="Times New Roman" w:hAnsiTheme="minorHAnsi" w:cstheme="minorHAnsi"/>
                <w:color w:val="000000"/>
                <w:sz w:val="18"/>
                <w:szCs w:val="18"/>
              </w:rPr>
            </w:pPr>
            <w:r w:rsidRPr="00401061">
              <w:rPr>
                <w:rFonts w:asciiTheme="minorHAnsi" w:eastAsia="Times New Roman" w:hAnsiTheme="minorHAnsi" w:cstheme="minorHAnsi"/>
                <w:color w:val="000000"/>
                <w:sz w:val="18"/>
                <w:szCs w:val="18"/>
              </w:rPr>
              <w:t>4.69</w:t>
            </w:r>
          </w:p>
        </w:tc>
      </w:tr>
      <w:tr w:rsidR="009B2872" w:rsidRPr="00401061" w14:paraId="5C6C6074" w14:textId="77777777" w:rsidTr="00804F0D">
        <w:trPr>
          <w:trHeight w:val="92"/>
        </w:trPr>
        <w:tc>
          <w:tcPr>
            <w:tcW w:w="3823" w:type="dxa"/>
            <w:shd w:val="clear" w:color="auto" w:fill="auto"/>
            <w:vAlign w:val="center"/>
            <w:hideMark/>
          </w:tcPr>
          <w:p w14:paraId="0C1D613E" w14:textId="77777777" w:rsidR="009B2872" w:rsidRPr="00401061" w:rsidRDefault="009B2872" w:rsidP="009B2872">
            <w:pPr>
              <w:spacing w:before="0" w:after="0" w:line="240" w:lineRule="auto"/>
              <w:jc w:val="lef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sz w:val="18"/>
                <w:szCs w:val="18"/>
              </w:rPr>
              <w:t xml:space="preserve">Total (with LULUCF) </w:t>
            </w:r>
            <w:r w:rsidRPr="00401061">
              <w:rPr>
                <w:rFonts w:asciiTheme="minorHAnsi" w:eastAsia="Times New Roman" w:hAnsiTheme="minorHAnsi" w:cstheme="minorHAnsi"/>
                <w:sz w:val="18"/>
                <w:szCs w:val="18"/>
                <w:vertAlign w:val="superscript"/>
              </w:rPr>
              <w:t>(8)</w:t>
            </w:r>
          </w:p>
        </w:tc>
        <w:tc>
          <w:tcPr>
            <w:tcW w:w="1040" w:type="dxa"/>
            <w:vAlign w:val="center"/>
          </w:tcPr>
          <w:p w14:paraId="5E283DFF" w14:textId="77777777" w:rsidR="009B2872" w:rsidRPr="00401061" w:rsidRDefault="009B2872" w:rsidP="009B2872">
            <w:pPr>
              <w:spacing w:before="0" w:after="0" w:line="240" w:lineRule="auto"/>
              <w:jc w:val="lef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51,760.36</w:t>
            </w:r>
          </w:p>
        </w:tc>
        <w:tc>
          <w:tcPr>
            <w:tcW w:w="1040" w:type="dxa"/>
            <w:shd w:val="clear" w:color="auto" w:fill="auto"/>
            <w:noWrap/>
            <w:vAlign w:val="center"/>
            <w:hideMark/>
          </w:tcPr>
          <w:p w14:paraId="48DF3B80" w14:textId="77777777" w:rsidR="009B2872" w:rsidRPr="00401061" w:rsidRDefault="009B2872" w:rsidP="009B2872">
            <w:pPr>
              <w:spacing w:before="0" w:after="0" w:line="240" w:lineRule="auto"/>
              <w:jc w:val="lef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50,840.50</w:t>
            </w:r>
          </w:p>
        </w:tc>
        <w:tc>
          <w:tcPr>
            <w:tcW w:w="1236" w:type="dxa"/>
            <w:shd w:val="clear" w:color="auto" w:fill="auto"/>
            <w:noWrap/>
            <w:vAlign w:val="center"/>
            <w:hideMark/>
          </w:tcPr>
          <w:p w14:paraId="36FA6B80" w14:textId="77777777" w:rsidR="009B2872" w:rsidRPr="00401061" w:rsidRDefault="009B2872" w:rsidP="009B2872">
            <w:pPr>
              <w:spacing w:before="0" w:after="0" w:line="240" w:lineRule="auto"/>
              <w:jc w:val="right"/>
              <w:rPr>
                <w:rFonts w:asciiTheme="minorHAnsi" w:eastAsia="Times New Roman" w:hAnsiTheme="minorHAnsi" w:cstheme="minorHAnsi"/>
                <w:sz w:val="18"/>
                <w:szCs w:val="18"/>
              </w:rPr>
            </w:pPr>
            <w:r w:rsidRPr="00401061">
              <w:rPr>
                <w:rFonts w:asciiTheme="minorHAnsi" w:eastAsia="Times New Roman" w:hAnsiTheme="minorHAnsi" w:cstheme="minorHAnsi"/>
                <w:b/>
                <w:bCs/>
                <w:color w:val="000000"/>
                <w:sz w:val="18"/>
                <w:szCs w:val="18"/>
              </w:rPr>
              <w:t>52,177.52</w:t>
            </w:r>
          </w:p>
        </w:tc>
        <w:tc>
          <w:tcPr>
            <w:tcW w:w="1040" w:type="dxa"/>
            <w:shd w:val="clear" w:color="auto" w:fill="auto"/>
            <w:noWrap/>
            <w:vAlign w:val="center"/>
          </w:tcPr>
          <w:p w14:paraId="3FFAEAB6"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54,822.38</w:t>
            </w:r>
          </w:p>
        </w:tc>
        <w:tc>
          <w:tcPr>
            <w:tcW w:w="1172" w:type="dxa"/>
            <w:shd w:val="clear" w:color="auto" w:fill="auto"/>
            <w:noWrap/>
            <w:vAlign w:val="center"/>
          </w:tcPr>
          <w:p w14:paraId="180B2076"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56,298.90</w:t>
            </w:r>
          </w:p>
        </w:tc>
        <w:tc>
          <w:tcPr>
            <w:tcW w:w="1040" w:type="dxa"/>
            <w:shd w:val="clear" w:color="auto" w:fill="auto"/>
            <w:noWrap/>
            <w:vAlign w:val="center"/>
          </w:tcPr>
          <w:p w14:paraId="7DE90842"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57,846.13</w:t>
            </w:r>
          </w:p>
        </w:tc>
        <w:tc>
          <w:tcPr>
            <w:tcW w:w="1040" w:type="dxa"/>
            <w:shd w:val="clear" w:color="auto" w:fill="auto"/>
            <w:noWrap/>
            <w:vAlign w:val="center"/>
          </w:tcPr>
          <w:p w14:paraId="6FEED16C"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58,097.24</w:t>
            </w:r>
          </w:p>
        </w:tc>
        <w:tc>
          <w:tcPr>
            <w:tcW w:w="1180" w:type="dxa"/>
            <w:shd w:val="clear" w:color="auto" w:fill="auto"/>
            <w:noWrap/>
            <w:vAlign w:val="center"/>
          </w:tcPr>
          <w:p w14:paraId="37E50968"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62,364.44</w:t>
            </w:r>
          </w:p>
        </w:tc>
        <w:tc>
          <w:tcPr>
            <w:tcW w:w="1134" w:type="dxa"/>
            <w:shd w:val="clear" w:color="auto" w:fill="auto"/>
            <w:noWrap/>
            <w:vAlign w:val="center"/>
          </w:tcPr>
          <w:p w14:paraId="68A6A748" w14:textId="77777777" w:rsidR="009B2872" w:rsidRPr="00401061"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401061">
              <w:rPr>
                <w:rFonts w:asciiTheme="minorHAnsi" w:eastAsia="Times New Roman" w:hAnsiTheme="minorHAnsi" w:cstheme="minorHAnsi"/>
                <w:b/>
                <w:bCs/>
                <w:color w:val="000000"/>
                <w:sz w:val="18"/>
                <w:szCs w:val="18"/>
              </w:rPr>
              <w:t>64,582.02</w:t>
            </w:r>
          </w:p>
        </w:tc>
      </w:tr>
    </w:tbl>
    <w:p w14:paraId="44BD202D" w14:textId="6943B98E" w:rsidR="009B2872" w:rsidRPr="009B2872" w:rsidRDefault="009B2872" w:rsidP="00236377">
      <w:pPr>
        <w:keepNext/>
        <w:jc w:val="left"/>
        <w:rPr>
          <w:b/>
          <w:sz w:val="20"/>
        </w:rPr>
      </w:pPr>
    </w:p>
    <w:tbl>
      <w:tblPr>
        <w:tblW w:w="13948" w:type="dxa"/>
        <w:tblBorders>
          <w:top w:val="single" w:sz="4" w:space="0" w:color="1B556B" w:themeColor="text2"/>
          <w:left w:val="single" w:sz="4" w:space="0" w:color="1B556B" w:themeColor="text2"/>
          <w:bottom w:val="single" w:sz="4" w:space="0" w:color="1B556B" w:themeColor="text2"/>
          <w:right w:val="single" w:sz="4" w:space="0" w:color="1B556B" w:themeColor="text2"/>
          <w:insideH w:val="single" w:sz="4" w:space="0" w:color="1B556B" w:themeColor="text2"/>
          <w:insideV w:val="single" w:sz="4" w:space="0" w:color="1B556B" w:themeColor="text2"/>
        </w:tblBorders>
        <w:tblCellMar>
          <w:top w:w="15" w:type="dxa"/>
          <w:bottom w:w="15" w:type="dxa"/>
        </w:tblCellMar>
        <w:tblLook w:val="04A0" w:firstRow="1" w:lastRow="0" w:firstColumn="1" w:lastColumn="0" w:noHBand="0" w:noVBand="1"/>
      </w:tblPr>
      <w:tblGrid>
        <w:gridCol w:w="3878"/>
        <w:gridCol w:w="1014"/>
        <w:gridCol w:w="1157"/>
        <w:gridCol w:w="1143"/>
        <w:gridCol w:w="1150"/>
        <w:gridCol w:w="1157"/>
        <w:gridCol w:w="1013"/>
        <w:gridCol w:w="1136"/>
        <w:gridCol w:w="1150"/>
        <w:gridCol w:w="1150"/>
      </w:tblGrid>
      <w:tr w:rsidR="009B2872" w:rsidRPr="00182A8F" w14:paraId="33E904B9" w14:textId="77777777">
        <w:tc>
          <w:tcPr>
            <w:tcW w:w="3823" w:type="dxa"/>
            <w:shd w:val="clear" w:color="auto" w:fill="1B556B"/>
            <w:vAlign w:val="center"/>
          </w:tcPr>
          <w:p w14:paraId="2688369D" w14:textId="1F571D39" w:rsidR="009B2872" w:rsidRPr="00182A8F" w:rsidRDefault="00247657" w:rsidP="009B2872">
            <w:pPr>
              <w:spacing w:before="0" w:after="0" w:line="240" w:lineRule="auto"/>
              <w:jc w:val="left"/>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Greenhouse gas emissions and removals</w:t>
            </w:r>
          </w:p>
        </w:tc>
        <w:tc>
          <w:tcPr>
            <w:tcW w:w="999" w:type="dxa"/>
            <w:shd w:val="clear" w:color="auto" w:fill="1B556B"/>
            <w:vAlign w:val="center"/>
          </w:tcPr>
          <w:p w14:paraId="52A3FDD3"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2007</w:t>
            </w:r>
          </w:p>
        </w:tc>
        <w:tc>
          <w:tcPr>
            <w:tcW w:w="1141" w:type="dxa"/>
            <w:shd w:val="clear" w:color="auto" w:fill="1B556B"/>
            <w:vAlign w:val="center"/>
          </w:tcPr>
          <w:p w14:paraId="784D6ADB"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2008</w:t>
            </w:r>
          </w:p>
        </w:tc>
        <w:tc>
          <w:tcPr>
            <w:tcW w:w="1127" w:type="dxa"/>
            <w:shd w:val="clear" w:color="auto" w:fill="1B556B"/>
            <w:vAlign w:val="center"/>
          </w:tcPr>
          <w:p w14:paraId="4D094047"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2009</w:t>
            </w:r>
          </w:p>
        </w:tc>
        <w:tc>
          <w:tcPr>
            <w:tcW w:w="1134" w:type="dxa"/>
            <w:shd w:val="clear" w:color="auto" w:fill="1B556B"/>
            <w:vAlign w:val="center"/>
          </w:tcPr>
          <w:p w14:paraId="76F3D335"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2010</w:t>
            </w:r>
          </w:p>
        </w:tc>
        <w:tc>
          <w:tcPr>
            <w:tcW w:w="1141" w:type="dxa"/>
            <w:shd w:val="clear" w:color="auto" w:fill="1B556B"/>
            <w:vAlign w:val="center"/>
          </w:tcPr>
          <w:p w14:paraId="02FA9C48"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2011</w:t>
            </w:r>
          </w:p>
        </w:tc>
        <w:tc>
          <w:tcPr>
            <w:tcW w:w="999" w:type="dxa"/>
            <w:shd w:val="clear" w:color="auto" w:fill="1B556B"/>
            <w:vAlign w:val="center"/>
          </w:tcPr>
          <w:p w14:paraId="634A2BBA"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2012</w:t>
            </w:r>
          </w:p>
        </w:tc>
        <w:tc>
          <w:tcPr>
            <w:tcW w:w="1120" w:type="dxa"/>
            <w:shd w:val="clear" w:color="auto" w:fill="1B556B"/>
            <w:vAlign w:val="center"/>
          </w:tcPr>
          <w:p w14:paraId="2F7C79E8"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2013</w:t>
            </w:r>
          </w:p>
        </w:tc>
        <w:tc>
          <w:tcPr>
            <w:tcW w:w="1134" w:type="dxa"/>
            <w:shd w:val="clear" w:color="auto" w:fill="1B556B"/>
            <w:vAlign w:val="center"/>
          </w:tcPr>
          <w:p w14:paraId="555D8302"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2014</w:t>
            </w:r>
          </w:p>
        </w:tc>
        <w:tc>
          <w:tcPr>
            <w:tcW w:w="1134" w:type="dxa"/>
            <w:shd w:val="clear" w:color="auto" w:fill="1B556B"/>
            <w:vAlign w:val="center"/>
          </w:tcPr>
          <w:p w14:paraId="7F77D9BC"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2015</w:t>
            </w:r>
          </w:p>
        </w:tc>
      </w:tr>
      <w:tr w:rsidR="009B2872" w:rsidRPr="00182A8F" w14:paraId="09C48F9B" w14:textId="77777777" w:rsidTr="00804F0D">
        <w:tc>
          <w:tcPr>
            <w:tcW w:w="3823" w:type="dxa"/>
            <w:tcBorders>
              <w:bottom w:val="single" w:sz="4" w:space="0" w:color="1B556B" w:themeColor="text2"/>
            </w:tcBorders>
            <w:shd w:val="clear" w:color="auto" w:fill="1B556B"/>
            <w:vAlign w:val="center"/>
          </w:tcPr>
          <w:p w14:paraId="0D66F7C4" w14:textId="77777777" w:rsidR="009B2872" w:rsidRPr="00182A8F" w:rsidRDefault="009B2872" w:rsidP="009B2872">
            <w:pPr>
              <w:spacing w:before="0" w:after="0" w:line="240" w:lineRule="auto"/>
              <w:jc w:val="left"/>
              <w:rPr>
                <w:rFonts w:asciiTheme="minorHAnsi" w:eastAsia="Times New Roman" w:hAnsiTheme="minorHAnsi" w:cstheme="minorHAnsi"/>
                <w:b/>
                <w:bCs/>
                <w:color w:val="FFFFFF" w:themeColor="background1"/>
                <w:sz w:val="18"/>
                <w:szCs w:val="18"/>
              </w:rPr>
            </w:pPr>
          </w:p>
        </w:tc>
        <w:tc>
          <w:tcPr>
            <w:tcW w:w="9929" w:type="dxa"/>
            <w:gridSpan w:val="9"/>
            <w:tcBorders>
              <w:bottom w:val="single" w:sz="4" w:space="0" w:color="1B556B" w:themeColor="text2"/>
            </w:tcBorders>
            <w:shd w:val="clear" w:color="auto" w:fill="1B556B"/>
            <w:vAlign w:val="center"/>
          </w:tcPr>
          <w:p w14:paraId="423BC36A" w14:textId="77777777" w:rsidR="009B2872" w:rsidRPr="00182A8F" w:rsidRDefault="009B2872" w:rsidP="009B2872">
            <w:pPr>
              <w:spacing w:before="0" w:after="0" w:line="240" w:lineRule="auto"/>
              <w:jc w:val="left"/>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CO</w:t>
            </w:r>
            <w:r w:rsidRPr="00182A8F">
              <w:rPr>
                <w:rFonts w:asciiTheme="minorHAnsi" w:eastAsia="Times New Roman" w:hAnsiTheme="minorHAnsi" w:cstheme="minorHAnsi"/>
                <w:b/>
                <w:bCs/>
                <w:color w:val="FFFFFF" w:themeColor="background1"/>
                <w:sz w:val="18"/>
                <w:szCs w:val="18"/>
                <w:vertAlign w:val="subscript"/>
              </w:rPr>
              <w:t>2</w:t>
            </w:r>
            <w:r w:rsidRPr="00182A8F">
              <w:rPr>
                <w:rFonts w:asciiTheme="minorHAnsi" w:eastAsia="Times New Roman" w:hAnsiTheme="minorHAnsi" w:cstheme="minorHAnsi"/>
                <w:b/>
                <w:bCs/>
                <w:color w:val="FFFFFF" w:themeColor="background1"/>
                <w:sz w:val="18"/>
                <w:szCs w:val="18"/>
              </w:rPr>
              <w:t xml:space="preserve"> equivalents (kt) </w:t>
            </w:r>
            <w:r w:rsidRPr="00182A8F">
              <w:rPr>
                <w:rFonts w:asciiTheme="minorHAnsi" w:eastAsia="Times New Roman" w:hAnsiTheme="minorHAnsi" w:cstheme="minorHAnsi"/>
                <w:b/>
                <w:bCs/>
                <w:color w:val="FFFFFF" w:themeColor="background1"/>
                <w:sz w:val="18"/>
                <w:szCs w:val="18"/>
                <w:vertAlign w:val="superscript"/>
              </w:rPr>
              <w:t>(3)</w:t>
            </w:r>
            <w:r w:rsidRPr="00182A8F">
              <w:rPr>
                <w:rFonts w:asciiTheme="minorHAnsi" w:eastAsia="Times New Roman" w:hAnsiTheme="minorHAnsi" w:cstheme="minorHAnsi"/>
                <w:b/>
                <w:bCs/>
                <w:color w:val="FFFFFF" w:themeColor="background1"/>
                <w:sz w:val="18"/>
                <w:szCs w:val="18"/>
              </w:rPr>
              <w:t> </w:t>
            </w:r>
          </w:p>
        </w:tc>
      </w:tr>
      <w:tr w:rsidR="009B2872" w:rsidRPr="00182A8F" w14:paraId="7D39C859" w14:textId="77777777" w:rsidTr="00804F0D">
        <w:tc>
          <w:tcPr>
            <w:tcW w:w="3823" w:type="dxa"/>
            <w:tcBorders>
              <w:left w:val="nil"/>
            </w:tcBorders>
            <w:shd w:val="clear" w:color="auto" w:fill="auto"/>
            <w:vAlign w:val="center"/>
          </w:tcPr>
          <w:p w14:paraId="54C5D578"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CO</w:t>
            </w:r>
            <w:r w:rsidRPr="00182A8F">
              <w:rPr>
                <w:rFonts w:asciiTheme="minorHAnsi" w:eastAsia="Times New Roman" w:hAnsiTheme="minorHAnsi" w:cstheme="minorHAnsi"/>
                <w:sz w:val="18"/>
                <w:szCs w:val="18"/>
                <w:vertAlign w:val="subscript"/>
              </w:rPr>
              <w:t>2</w:t>
            </w:r>
            <w:r w:rsidRPr="00182A8F">
              <w:rPr>
                <w:rFonts w:asciiTheme="minorHAnsi" w:eastAsia="Times New Roman" w:hAnsiTheme="minorHAnsi" w:cstheme="minorHAnsi"/>
                <w:sz w:val="18"/>
                <w:szCs w:val="18"/>
              </w:rPr>
              <w:t xml:space="preserve"> emissions without net CO</w:t>
            </w:r>
            <w:r w:rsidRPr="00182A8F">
              <w:rPr>
                <w:rFonts w:asciiTheme="minorHAnsi" w:eastAsia="Times New Roman" w:hAnsiTheme="minorHAnsi" w:cstheme="minorHAnsi"/>
                <w:sz w:val="18"/>
                <w:szCs w:val="18"/>
                <w:vertAlign w:val="subscript"/>
              </w:rPr>
              <w:t>2</w:t>
            </w:r>
            <w:r w:rsidRPr="00182A8F">
              <w:rPr>
                <w:rFonts w:asciiTheme="minorHAnsi" w:eastAsia="Times New Roman" w:hAnsiTheme="minorHAnsi" w:cstheme="minorHAnsi"/>
                <w:sz w:val="18"/>
                <w:szCs w:val="18"/>
              </w:rPr>
              <w:t xml:space="preserve"> from LULUCF</w:t>
            </w:r>
          </w:p>
        </w:tc>
        <w:tc>
          <w:tcPr>
            <w:tcW w:w="999" w:type="dxa"/>
            <w:vAlign w:val="center"/>
          </w:tcPr>
          <w:p w14:paraId="449B4438"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36,408.52</w:t>
            </w:r>
          </w:p>
        </w:tc>
        <w:tc>
          <w:tcPr>
            <w:tcW w:w="1141" w:type="dxa"/>
            <w:vAlign w:val="center"/>
          </w:tcPr>
          <w:p w14:paraId="1394FA3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37,506.35</w:t>
            </w:r>
          </w:p>
        </w:tc>
        <w:tc>
          <w:tcPr>
            <w:tcW w:w="1127" w:type="dxa"/>
            <w:vAlign w:val="center"/>
          </w:tcPr>
          <w:p w14:paraId="554F58E8"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34,617.45</w:t>
            </w:r>
          </w:p>
        </w:tc>
        <w:tc>
          <w:tcPr>
            <w:tcW w:w="1134" w:type="dxa"/>
            <w:vAlign w:val="center"/>
          </w:tcPr>
          <w:p w14:paraId="6012A913"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34,807.76</w:t>
            </w:r>
          </w:p>
        </w:tc>
        <w:tc>
          <w:tcPr>
            <w:tcW w:w="1141" w:type="dxa"/>
            <w:vAlign w:val="center"/>
          </w:tcPr>
          <w:p w14:paraId="46ED3437"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34,262.13</w:t>
            </w:r>
          </w:p>
        </w:tc>
        <w:tc>
          <w:tcPr>
            <w:tcW w:w="999" w:type="dxa"/>
            <w:vAlign w:val="center"/>
          </w:tcPr>
          <w:p w14:paraId="14F8F48E"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35,941.32</w:t>
            </w:r>
          </w:p>
        </w:tc>
        <w:tc>
          <w:tcPr>
            <w:tcW w:w="1120" w:type="dxa"/>
            <w:vAlign w:val="center"/>
          </w:tcPr>
          <w:p w14:paraId="2DCAA582"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35,237.91</w:t>
            </w:r>
          </w:p>
        </w:tc>
        <w:tc>
          <w:tcPr>
            <w:tcW w:w="1134" w:type="dxa"/>
            <w:vAlign w:val="center"/>
          </w:tcPr>
          <w:p w14:paraId="523C2F5D"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35,435.07</w:t>
            </w:r>
          </w:p>
        </w:tc>
        <w:tc>
          <w:tcPr>
            <w:tcW w:w="1134" w:type="dxa"/>
            <w:tcBorders>
              <w:right w:val="nil"/>
            </w:tcBorders>
            <w:vAlign w:val="center"/>
          </w:tcPr>
          <w:p w14:paraId="69F1D308"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35,802.20</w:t>
            </w:r>
          </w:p>
        </w:tc>
      </w:tr>
      <w:tr w:rsidR="009B2872" w:rsidRPr="00182A8F" w14:paraId="133C2DF6" w14:textId="77777777" w:rsidTr="00804F0D">
        <w:tc>
          <w:tcPr>
            <w:tcW w:w="3823" w:type="dxa"/>
            <w:tcBorders>
              <w:left w:val="nil"/>
            </w:tcBorders>
            <w:shd w:val="clear" w:color="auto" w:fill="auto"/>
            <w:vAlign w:val="center"/>
          </w:tcPr>
          <w:p w14:paraId="2CC7F47F"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CO</w:t>
            </w:r>
            <w:r w:rsidRPr="00182A8F">
              <w:rPr>
                <w:rFonts w:asciiTheme="minorHAnsi" w:eastAsia="Times New Roman" w:hAnsiTheme="minorHAnsi" w:cstheme="minorHAnsi"/>
                <w:sz w:val="18"/>
                <w:szCs w:val="18"/>
                <w:vertAlign w:val="subscript"/>
              </w:rPr>
              <w:t>2</w:t>
            </w:r>
            <w:r w:rsidRPr="00182A8F">
              <w:rPr>
                <w:rFonts w:asciiTheme="minorHAnsi" w:eastAsia="Times New Roman" w:hAnsiTheme="minorHAnsi" w:cstheme="minorHAnsi"/>
                <w:sz w:val="18"/>
                <w:szCs w:val="18"/>
              </w:rPr>
              <w:t xml:space="preserve"> emissions with net CO</w:t>
            </w:r>
            <w:r w:rsidRPr="00182A8F">
              <w:rPr>
                <w:rFonts w:asciiTheme="minorHAnsi" w:eastAsia="Times New Roman" w:hAnsiTheme="minorHAnsi" w:cstheme="minorHAnsi"/>
                <w:sz w:val="18"/>
                <w:szCs w:val="18"/>
                <w:vertAlign w:val="subscript"/>
              </w:rPr>
              <w:t>2</w:t>
            </w:r>
            <w:r w:rsidRPr="00182A8F">
              <w:rPr>
                <w:rFonts w:asciiTheme="minorHAnsi" w:eastAsia="Times New Roman" w:hAnsiTheme="minorHAnsi" w:cstheme="minorHAnsi"/>
                <w:sz w:val="18"/>
                <w:szCs w:val="18"/>
              </w:rPr>
              <w:t xml:space="preserve"> from LULUCF</w:t>
            </w:r>
          </w:p>
        </w:tc>
        <w:tc>
          <w:tcPr>
            <w:tcW w:w="999" w:type="dxa"/>
            <w:vAlign w:val="center"/>
          </w:tcPr>
          <w:p w14:paraId="0DFB70D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15,839.39</w:t>
            </w:r>
          </w:p>
        </w:tc>
        <w:tc>
          <w:tcPr>
            <w:tcW w:w="1141" w:type="dxa"/>
            <w:vAlign w:val="center"/>
          </w:tcPr>
          <w:p w14:paraId="0224FDF7"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8,310.40</w:t>
            </w:r>
          </w:p>
        </w:tc>
        <w:tc>
          <w:tcPr>
            <w:tcW w:w="1127" w:type="dxa"/>
            <w:vAlign w:val="center"/>
          </w:tcPr>
          <w:p w14:paraId="602FAAFF"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6,556.82</w:t>
            </w:r>
          </w:p>
        </w:tc>
        <w:tc>
          <w:tcPr>
            <w:tcW w:w="1134" w:type="dxa"/>
            <w:vAlign w:val="center"/>
          </w:tcPr>
          <w:p w14:paraId="1FBFD04F"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5,820.69</w:t>
            </w:r>
          </w:p>
        </w:tc>
        <w:tc>
          <w:tcPr>
            <w:tcW w:w="1141" w:type="dxa"/>
            <w:vAlign w:val="center"/>
          </w:tcPr>
          <w:p w14:paraId="1CA71EC0"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5,147.17</w:t>
            </w:r>
          </w:p>
        </w:tc>
        <w:tc>
          <w:tcPr>
            <w:tcW w:w="999" w:type="dxa"/>
            <w:vAlign w:val="center"/>
          </w:tcPr>
          <w:p w14:paraId="52535A21"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10,049.85</w:t>
            </w:r>
          </w:p>
        </w:tc>
        <w:tc>
          <w:tcPr>
            <w:tcW w:w="1120" w:type="dxa"/>
            <w:vAlign w:val="center"/>
          </w:tcPr>
          <w:p w14:paraId="62B58E8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9,314.13</w:t>
            </w:r>
          </w:p>
        </w:tc>
        <w:tc>
          <w:tcPr>
            <w:tcW w:w="1134" w:type="dxa"/>
            <w:vAlign w:val="center"/>
          </w:tcPr>
          <w:p w14:paraId="6A2A02D8"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9,575.15</w:t>
            </w:r>
          </w:p>
        </w:tc>
        <w:tc>
          <w:tcPr>
            <w:tcW w:w="1134" w:type="dxa"/>
            <w:tcBorders>
              <w:right w:val="nil"/>
            </w:tcBorders>
            <w:vAlign w:val="center"/>
          </w:tcPr>
          <w:p w14:paraId="68BC19F1"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9,865.63</w:t>
            </w:r>
          </w:p>
        </w:tc>
      </w:tr>
      <w:tr w:rsidR="009B2872" w:rsidRPr="00182A8F" w14:paraId="749417F0" w14:textId="77777777" w:rsidTr="00804F0D">
        <w:tc>
          <w:tcPr>
            <w:tcW w:w="3823" w:type="dxa"/>
            <w:tcBorders>
              <w:left w:val="nil"/>
            </w:tcBorders>
            <w:shd w:val="clear" w:color="auto" w:fill="auto"/>
            <w:vAlign w:val="center"/>
          </w:tcPr>
          <w:p w14:paraId="06BBF011"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CH</w:t>
            </w:r>
            <w:r w:rsidRPr="00182A8F">
              <w:rPr>
                <w:rFonts w:asciiTheme="minorHAnsi" w:eastAsia="Times New Roman" w:hAnsiTheme="minorHAnsi" w:cstheme="minorHAnsi"/>
                <w:sz w:val="18"/>
                <w:szCs w:val="18"/>
                <w:vertAlign w:val="subscript"/>
              </w:rPr>
              <w:t>4</w:t>
            </w:r>
            <w:r w:rsidRPr="00182A8F">
              <w:rPr>
                <w:rFonts w:asciiTheme="minorHAnsi" w:eastAsia="Times New Roman" w:hAnsiTheme="minorHAnsi" w:cstheme="minorHAnsi"/>
                <w:sz w:val="18"/>
                <w:szCs w:val="18"/>
              </w:rPr>
              <w:t xml:space="preserve"> emissions without CH</w:t>
            </w:r>
            <w:r w:rsidRPr="00182A8F">
              <w:rPr>
                <w:rFonts w:asciiTheme="minorHAnsi" w:eastAsia="Times New Roman" w:hAnsiTheme="minorHAnsi" w:cstheme="minorHAnsi"/>
                <w:sz w:val="18"/>
                <w:szCs w:val="18"/>
                <w:vertAlign w:val="subscript"/>
              </w:rPr>
              <w:t>4</w:t>
            </w:r>
            <w:r w:rsidRPr="00182A8F">
              <w:rPr>
                <w:rFonts w:asciiTheme="minorHAnsi" w:eastAsia="Times New Roman" w:hAnsiTheme="minorHAnsi" w:cstheme="minorHAnsi"/>
                <w:sz w:val="18"/>
                <w:szCs w:val="18"/>
              </w:rPr>
              <w:t xml:space="preserve"> from LULUCF</w:t>
            </w:r>
          </w:p>
        </w:tc>
        <w:tc>
          <w:tcPr>
            <w:tcW w:w="999" w:type="dxa"/>
            <w:vAlign w:val="center"/>
          </w:tcPr>
          <w:p w14:paraId="72F56A67"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40,426.41</w:t>
            </w:r>
          </w:p>
        </w:tc>
        <w:tc>
          <w:tcPr>
            <w:tcW w:w="1141" w:type="dxa"/>
            <w:vAlign w:val="center"/>
          </w:tcPr>
          <w:p w14:paraId="4BFFF46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39,190.31</w:t>
            </w:r>
          </w:p>
        </w:tc>
        <w:tc>
          <w:tcPr>
            <w:tcW w:w="1127" w:type="dxa"/>
            <w:vAlign w:val="center"/>
          </w:tcPr>
          <w:p w14:paraId="354F8DA6"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39,181.00</w:t>
            </w:r>
          </w:p>
        </w:tc>
        <w:tc>
          <w:tcPr>
            <w:tcW w:w="1134" w:type="dxa"/>
            <w:vAlign w:val="center"/>
          </w:tcPr>
          <w:p w14:paraId="47F9F3AB"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39,520.64</w:t>
            </w:r>
          </w:p>
        </w:tc>
        <w:tc>
          <w:tcPr>
            <w:tcW w:w="1141" w:type="dxa"/>
            <w:vAlign w:val="center"/>
          </w:tcPr>
          <w:p w14:paraId="5B05C335"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39,558.37</w:t>
            </w:r>
          </w:p>
        </w:tc>
        <w:tc>
          <w:tcPr>
            <w:tcW w:w="999" w:type="dxa"/>
            <w:vAlign w:val="center"/>
          </w:tcPr>
          <w:p w14:paraId="071EAB2A"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40,050.89</w:t>
            </w:r>
          </w:p>
        </w:tc>
        <w:tc>
          <w:tcPr>
            <w:tcW w:w="1120" w:type="dxa"/>
            <w:vAlign w:val="center"/>
          </w:tcPr>
          <w:p w14:paraId="3E9914BE"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39,889.93</w:t>
            </w:r>
          </w:p>
        </w:tc>
        <w:tc>
          <w:tcPr>
            <w:tcW w:w="1134" w:type="dxa"/>
            <w:vAlign w:val="center"/>
          </w:tcPr>
          <w:p w14:paraId="11BD967E"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40,245.15</w:t>
            </w:r>
          </w:p>
        </w:tc>
        <w:tc>
          <w:tcPr>
            <w:tcW w:w="1134" w:type="dxa"/>
            <w:tcBorders>
              <w:right w:val="nil"/>
            </w:tcBorders>
            <w:vAlign w:val="center"/>
          </w:tcPr>
          <w:p w14:paraId="31430E9B"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39,715.18</w:t>
            </w:r>
          </w:p>
        </w:tc>
      </w:tr>
      <w:tr w:rsidR="009B2872" w:rsidRPr="00182A8F" w14:paraId="661D61ED" w14:textId="77777777" w:rsidTr="00804F0D">
        <w:tc>
          <w:tcPr>
            <w:tcW w:w="3823" w:type="dxa"/>
            <w:tcBorders>
              <w:left w:val="nil"/>
            </w:tcBorders>
            <w:shd w:val="clear" w:color="auto" w:fill="auto"/>
            <w:vAlign w:val="center"/>
          </w:tcPr>
          <w:p w14:paraId="706744E6"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CH</w:t>
            </w:r>
            <w:r w:rsidRPr="00182A8F">
              <w:rPr>
                <w:rFonts w:asciiTheme="minorHAnsi" w:eastAsia="Times New Roman" w:hAnsiTheme="minorHAnsi" w:cstheme="minorHAnsi"/>
                <w:sz w:val="18"/>
                <w:szCs w:val="18"/>
                <w:vertAlign w:val="subscript"/>
              </w:rPr>
              <w:t>4</w:t>
            </w:r>
            <w:r w:rsidRPr="00182A8F">
              <w:rPr>
                <w:rFonts w:asciiTheme="minorHAnsi" w:eastAsia="Times New Roman" w:hAnsiTheme="minorHAnsi" w:cstheme="minorHAnsi"/>
                <w:sz w:val="18"/>
                <w:szCs w:val="18"/>
              </w:rPr>
              <w:t xml:space="preserve"> emissions with CH</w:t>
            </w:r>
            <w:r w:rsidRPr="00182A8F">
              <w:rPr>
                <w:rFonts w:asciiTheme="minorHAnsi" w:eastAsia="Times New Roman" w:hAnsiTheme="minorHAnsi" w:cstheme="minorHAnsi"/>
                <w:sz w:val="18"/>
                <w:szCs w:val="18"/>
                <w:vertAlign w:val="subscript"/>
              </w:rPr>
              <w:t>4</w:t>
            </w:r>
            <w:r w:rsidRPr="00182A8F">
              <w:rPr>
                <w:rFonts w:asciiTheme="minorHAnsi" w:eastAsia="Times New Roman" w:hAnsiTheme="minorHAnsi" w:cstheme="minorHAnsi"/>
                <w:sz w:val="18"/>
                <w:szCs w:val="18"/>
              </w:rPr>
              <w:t xml:space="preserve"> from LULUCF</w:t>
            </w:r>
          </w:p>
        </w:tc>
        <w:tc>
          <w:tcPr>
            <w:tcW w:w="999" w:type="dxa"/>
            <w:vAlign w:val="center"/>
          </w:tcPr>
          <w:p w14:paraId="44CB2F5B"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40,589.84</w:t>
            </w:r>
          </w:p>
        </w:tc>
        <w:tc>
          <w:tcPr>
            <w:tcW w:w="1141" w:type="dxa"/>
            <w:vAlign w:val="center"/>
          </w:tcPr>
          <w:p w14:paraId="41E47D0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39,275.91</w:t>
            </w:r>
          </w:p>
        </w:tc>
        <w:tc>
          <w:tcPr>
            <w:tcW w:w="1127" w:type="dxa"/>
            <w:vAlign w:val="center"/>
          </w:tcPr>
          <w:p w14:paraId="759CDCD0"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39,289.74</w:t>
            </w:r>
          </w:p>
        </w:tc>
        <w:tc>
          <w:tcPr>
            <w:tcW w:w="1134" w:type="dxa"/>
            <w:vAlign w:val="center"/>
          </w:tcPr>
          <w:p w14:paraId="1DD01A0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39,622.84</w:t>
            </w:r>
          </w:p>
        </w:tc>
        <w:tc>
          <w:tcPr>
            <w:tcW w:w="1141" w:type="dxa"/>
            <w:vAlign w:val="center"/>
          </w:tcPr>
          <w:p w14:paraId="5382C812"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39,630.09</w:t>
            </w:r>
          </w:p>
        </w:tc>
        <w:tc>
          <w:tcPr>
            <w:tcW w:w="999" w:type="dxa"/>
            <w:vAlign w:val="center"/>
          </w:tcPr>
          <w:p w14:paraId="5B42325B"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40,134.95</w:t>
            </w:r>
          </w:p>
        </w:tc>
        <w:tc>
          <w:tcPr>
            <w:tcW w:w="1120" w:type="dxa"/>
            <w:vAlign w:val="center"/>
          </w:tcPr>
          <w:p w14:paraId="1592A268"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39,972.70</w:t>
            </w:r>
          </w:p>
        </w:tc>
        <w:tc>
          <w:tcPr>
            <w:tcW w:w="1134" w:type="dxa"/>
            <w:vAlign w:val="center"/>
          </w:tcPr>
          <w:p w14:paraId="356D1EFD"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40,322.29</w:t>
            </w:r>
          </w:p>
        </w:tc>
        <w:tc>
          <w:tcPr>
            <w:tcW w:w="1134" w:type="dxa"/>
            <w:tcBorders>
              <w:right w:val="nil"/>
            </w:tcBorders>
            <w:vAlign w:val="center"/>
          </w:tcPr>
          <w:p w14:paraId="364A9405"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39,801.79</w:t>
            </w:r>
          </w:p>
        </w:tc>
      </w:tr>
      <w:tr w:rsidR="009B2872" w:rsidRPr="00182A8F" w14:paraId="5943FFEB" w14:textId="77777777" w:rsidTr="00804F0D">
        <w:tc>
          <w:tcPr>
            <w:tcW w:w="3823" w:type="dxa"/>
            <w:tcBorders>
              <w:left w:val="nil"/>
            </w:tcBorders>
            <w:shd w:val="clear" w:color="auto" w:fill="auto"/>
            <w:vAlign w:val="center"/>
          </w:tcPr>
          <w:p w14:paraId="1042A056"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N</w:t>
            </w:r>
            <w:r w:rsidRPr="00182A8F">
              <w:rPr>
                <w:rFonts w:asciiTheme="minorHAnsi" w:eastAsia="Times New Roman" w:hAnsiTheme="minorHAnsi" w:cstheme="minorHAnsi"/>
                <w:sz w:val="18"/>
                <w:szCs w:val="18"/>
                <w:vertAlign w:val="subscript"/>
              </w:rPr>
              <w:t>2</w:t>
            </w:r>
            <w:r w:rsidRPr="00182A8F">
              <w:rPr>
                <w:rFonts w:asciiTheme="minorHAnsi" w:eastAsia="Times New Roman" w:hAnsiTheme="minorHAnsi" w:cstheme="minorHAnsi"/>
                <w:sz w:val="18"/>
                <w:szCs w:val="18"/>
              </w:rPr>
              <w:t>O emissions without N</w:t>
            </w:r>
            <w:r w:rsidRPr="00182A8F">
              <w:rPr>
                <w:rFonts w:asciiTheme="minorHAnsi" w:eastAsia="Times New Roman" w:hAnsiTheme="minorHAnsi" w:cstheme="minorHAnsi"/>
                <w:sz w:val="18"/>
                <w:szCs w:val="18"/>
                <w:vertAlign w:val="subscript"/>
              </w:rPr>
              <w:t>2</w:t>
            </w:r>
            <w:r w:rsidRPr="00182A8F">
              <w:rPr>
                <w:rFonts w:asciiTheme="minorHAnsi" w:eastAsia="Times New Roman" w:hAnsiTheme="minorHAnsi" w:cstheme="minorHAnsi"/>
                <w:sz w:val="18"/>
                <w:szCs w:val="18"/>
              </w:rPr>
              <w:t>O from LULUCF</w:t>
            </w:r>
          </w:p>
        </w:tc>
        <w:tc>
          <w:tcPr>
            <w:tcW w:w="999" w:type="dxa"/>
            <w:vAlign w:val="center"/>
          </w:tcPr>
          <w:p w14:paraId="670DB18C"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6,539.59</w:t>
            </w:r>
          </w:p>
        </w:tc>
        <w:tc>
          <w:tcPr>
            <w:tcW w:w="1141" w:type="dxa"/>
            <w:vAlign w:val="center"/>
          </w:tcPr>
          <w:p w14:paraId="13612B71"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6,600.34</w:t>
            </w:r>
          </w:p>
        </w:tc>
        <w:tc>
          <w:tcPr>
            <w:tcW w:w="1127" w:type="dxa"/>
            <w:vAlign w:val="center"/>
          </w:tcPr>
          <w:p w14:paraId="11CC50E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6,560.54</w:t>
            </w:r>
          </w:p>
        </w:tc>
        <w:tc>
          <w:tcPr>
            <w:tcW w:w="1134" w:type="dxa"/>
            <w:vAlign w:val="center"/>
          </w:tcPr>
          <w:p w14:paraId="6647EF33"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6,692.21</w:t>
            </w:r>
          </w:p>
        </w:tc>
        <w:tc>
          <w:tcPr>
            <w:tcW w:w="1141" w:type="dxa"/>
            <w:vAlign w:val="center"/>
          </w:tcPr>
          <w:p w14:paraId="70B0767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6,794.01</w:t>
            </w:r>
          </w:p>
        </w:tc>
        <w:tc>
          <w:tcPr>
            <w:tcW w:w="999" w:type="dxa"/>
            <w:vAlign w:val="center"/>
          </w:tcPr>
          <w:p w14:paraId="3CBD34CE"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6,905.95</w:t>
            </w:r>
          </w:p>
        </w:tc>
        <w:tc>
          <w:tcPr>
            <w:tcW w:w="1120" w:type="dxa"/>
            <w:vAlign w:val="center"/>
          </w:tcPr>
          <w:p w14:paraId="419F95A2"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6,921.50</w:t>
            </w:r>
          </w:p>
        </w:tc>
        <w:tc>
          <w:tcPr>
            <w:tcW w:w="1134" w:type="dxa"/>
            <w:vAlign w:val="center"/>
          </w:tcPr>
          <w:p w14:paraId="223C36AE"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7,167.77</w:t>
            </w:r>
          </w:p>
        </w:tc>
        <w:tc>
          <w:tcPr>
            <w:tcW w:w="1134" w:type="dxa"/>
            <w:tcBorders>
              <w:right w:val="nil"/>
            </w:tcBorders>
            <w:vAlign w:val="center"/>
          </w:tcPr>
          <w:p w14:paraId="7B0A67FB"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7,109.09</w:t>
            </w:r>
          </w:p>
        </w:tc>
      </w:tr>
      <w:tr w:rsidR="009B2872" w:rsidRPr="00182A8F" w14:paraId="123F02BB" w14:textId="77777777" w:rsidTr="00804F0D">
        <w:tc>
          <w:tcPr>
            <w:tcW w:w="3823" w:type="dxa"/>
            <w:tcBorders>
              <w:left w:val="nil"/>
            </w:tcBorders>
            <w:shd w:val="clear" w:color="auto" w:fill="auto"/>
            <w:vAlign w:val="center"/>
          </w:tcPr>
          <w:p w14:paraId="20BDBE67"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N</w:t>
            </w:r>
            <w:r w:rsidRPr="00182A8F">
              <w:rPr>
                <w:rFonts w:asciiTheme="minorHAnsi" w:eastAsia="Times New Roman" w:hAnsiTheme="minorHAnsi" w:cstheme="minorHAnsi"/>
                <w:sz w:val="18"/>
                <w:szCs w:val="18"/>
                <w:vertAlign w:val="subscript"/>
              </w:rPr>
              <w:t>2</w:t>
            </w:r>
            <w:r w:rsidRPr="00182A8F">
              <w:rPr>
                <w:rFonts w:asciiTheme="minorHAnsi" w:eastAsia="Times New Roman" w:hAnsiTheme="minorHAnsi" w:cstheme="minorHAnsi"/>
                <w:sz w:val="18"/>
                <w:szCs w:val="18"/>
              </w:rPr>
              <w:t>O emissions with N</w:t>
            </w:r>
            <w:r w:rsidRPr="00182A8F">
              <w:rPr>
                <w:rFonts w:asciiTheme="minorHAnsi" w:eastAsia="Times New Roman" w:hAnsiTheme="minorHAnsi" w:cstheme="minorHAnsi"/>
                <w:sz w:val="18"/>
                <w:szCs w:val="18"/>
                <w:vertAlign w:val="subscript"/>
              </w:rPr>
              <w:t>2</w:t>
            </w:r>
            <w:r w:rsidRPr="00182A8F">
              <w:rPr>
                <w:rFonts w:asciiTheme="minorHAnsi" w:eastAsia="Times New Roman" w:hAnsiTheme="minorHAnsi" w:cstheme="minorHAnsi"/>
                <w:sz w:val="18"/>
                <w:szCs w:val="18"/>
              </w:rPr>
              <w:t>O from LULUCF</w:t>
            </w:r>
          </w:p>
        </w:tc>
        <w:tc>
          <w:tcPr>
            <w:tcW w:w="999" w:type="dxa"/>
            <w:vAlign w:val="center"/>
          </w:tcPr>
          <w:p w14:paraId="2A3E3BB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6,899.83</w:t>
            </w:r>
          </w:p>
        </w:tc>
        <w:tc>
          <w:tcPr>
            <w:tcW w:w="1141" w:type="dxa"/>
            <w:vAlign w:val="center"/>
          </w:tcPr>
          <w:p w14:paraId="30852A67"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6,919.20</w:t>
            </w:r>
          </w:p>
        </w:tc>
        <w:tc>
          <w:tcPr>
            <w:tcW w:w="1127" w:type="dxa"/>
            <w:vAlign w:val="center"/>
          </w:tcPr>
          <w:p w14:paraId="7FB88C3A"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6,877.59</w:t>
            </w:r>
          </w:p>
        </w:tc>
        <w:tc>
          <w:tcPr>
            <w:tcW w:w="1134" w:type="dxa"/>
            <w:vAlign w:val="center"/>
          </w:tcPr>
          <w:p w14:paraId="65E892F7"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7,003.98</w:t>
            </w:r>
          </w:p>
        </w:tc>
        <w:tc>
          <w:tcPr>
            <w:tcW w:w="1141" w:type="dxa"/>
            <w:vAlign w:val="center"/>
          </w:tcPr>
          <w:p w14:paraId="265AFE5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7,102.51</w:t>
            </w:r>
          </w:p>
        </w:tc>
        <w:tc>
          <w:tcPr>
            <w:tcW w:w="999" w:type="dxa"/>
            <w:vAlign w:val="center"/>
          </w:tcPr>
          <w:p w14:paraId="0BDC7666"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7,212.82</w:t>
            </w:r>
          </w:p>
        </w:tc>
        <w:tc>
          <w:tcPr>
            <w:tcW w:w="1120" w:type="dxa"/>
            <w:vAlign w:val="center"/>
          </w:tcPr>
          <w:p w14:paraId="23B6E745"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7,216.92</w:t>
            </w:r>
          </w:p>
        </w:tc>
        <w:tc>
          <w:tcPr>
            <w:tcW w:w="1134" w:type="dxa"/>
            <w:vAlign w:val="center"/>
          </w:tcPr>
          <w:p w14:paraId="3AD30F18"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7,441.31</w:t>
            </w:r>
          </w:p>
        </w:tc>
        <w:tc>
          <w:tcPr>
            <w:tcW w:w="1134" w:type="dxa"/>
            <w:tcBorders>
              <w:right w:val="nil"/>
            </w:tcBorders>
            <w:vAlign w:val="center"/>
          </w:tcPr>
          <w:p w14:paraId="4DF6DB11"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7,371.97</w:t>
            </w:r>
          </w:p>
        </w:tc>
      </w:tr>
      <w:tr w:rsidR="009B2872" w:rsidRPr="00182A8F" w14:paraId="369E29FD" w14:textId="77777777" w:rsidTr="00804F0D">
        <w:tc>
          <w:tcPr>
            <w:tcW w:w="3823" w:type="dxa"/>
            <w:tcBorders>
              <w:left w:val="nil"/>
            </w:tcBorders>
            <w:shd w:val="clear" w:color="auto" w:fill="auto"/>
            <w:vAlign w:val="center"/>
          </w:tcPr>
          <w:p w14:paraId="16587476"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HFCs</w:t>
            </w:r>
          </w:p>
        </w:tc>
        <w:tc>
          <w:tcPr>
            <w:tcW w:w="999" w:type="dxa"/>
            <w:vAlign w:val="center"/>
          </w:tcPr>
          <w:p w14:paraId="5A789301"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822.25</w:t>
            </w:r>
          </w:p>
        </w:tc>
        <w:tc>
          <w:tcPr>
            <w:tcW w:w="1141" w:type="dxa"/>
            <w:vAlign w:val="center"/>
          </w:tcPr>
          <w:p w14:paraId="5EAC79C8"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910.20</w:t>
            </w:r>
          </w:p>
        </w:tc>
        <w:tc>
          <w:tcPr>
            <w:tcW w:w="1127" w:type="dxa"/>
            <w:vAlign w:val="center"/>
          </w:tcPr>
          <w:p w14:paraId="19C8E77E"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983.07</w:t>
            </w:r>
          </w:p>
        </w:tc>
        <w:tc>
          <w:tcPr>
            <w:tcW w:w="1134" w:type="dxa"/>
            <w:vAlign w:val="center"/>
          </w:tcPr>
          <w:p w14:paraId="4B658D96"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1,010.60</w:t>
            </w:r>
          </w:p>
        </w:tc>
        <w:tc>
          <w:tcPr>
            <w:tcW w:w="1141" w:type="dxa"/>
            <w:vAlign w:val="center"/>
          </w:tcPr>
          <w:p w14:paraId="11F591E8"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1,058.16</w:t>
            </w:r>
          </w:p>
        </w:tc>
        <w:tc>
          <w:tcPr>
            <w:tcW w:w="999" w:type="dxa"/>
            <w:vAlign w:val="center"/>
          </w:tcPr>
          <w:p w14:paraId="14EB1FAA"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1,103.29</w:t>
            </w:r>
          </w:p>
        </w:tc>
        <w:tc>
          <w:tcPr>
            <w:tcW w:w="1120" w:type="dxa"/>
            <w:vAlign w:val="center"/>
          </w:tcPr>
          <w:p w14:paraId="1B2A80F2"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1,136.72</w:t>
            </w:r>
          </w:p>
        </w:tc>
        <w:tc>
          <w:tcPr>
            <w:tcW w:w="1134" w:type="dxa"/>
            <w:vAlign w:val="center"/>
          </w:tcPr>
          <w:p w14:paraId="48A182A1"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1,176.10</w:t>
            </w:r>
          </w:p>
        </w:tc>
        <w:tc>
          <w:tcPr>
            <w:tcW w:w="1134" w:type="dxa"/>
            <w:tcBorders>
              <w:right w:val="nil"/>
            </w:tcBorders>
            <w:vAlign w:val="center"/>
          </w:tcPr>
          <w:p w14:paraId="771D359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1,198.51</w:t>
            </w:r>
          </w:p>
        </w:tc>
      </w:tr>
      <w:tr w:rsidR="009B2872" w:rsidRPr="00182A8F" w14:paraId="59BB957A" w14:textId="77777777" w:rsidTr="00804F0D">
        <w:tc>
          <w:tcPr>
            <w:tcW w:w="3823" w:type="dxa"/>
            <w:tcBorders>
              <w:left w:val="nil"/>
            </w:tcBorders>
            <w:shd w:val="clear" w:color="auto" w:fill="auto"/>
            <w:vAlign w:val="center"/>
          </w:tcPr>
          <w:p w14:paraId="6CBDAF0A"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PFCs</w:t>
            </w:r>
          </w:p>
        </w:tc>
        <w:tc>
          <w:tcPr>
            <w:tcW w:w="999" w:type="dxa"/>
            <w:vAlign w:val="center"/>
          </w:tcPr>
          <w:p w14:paraId="43F1148F"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43.68</w:t>
            </w:r>
          </w:p>
        </w:tc>
        <w:tc>
          <w:tcPr>
            <w:tcW w:w="1141" w:type="dxa"/>
            <w:vAlign w:val="center"/>
          </w:tcPr>
          <w:p w14:paraId="12AE8A98"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41.21</w:t>
            </w:r>
          </w:p>
        </w:tc>
        <w:tc>
          <w:tcPr>
            <w:tcW w:w="1127" w:type="dxa"/>
            <w:vAlign w:val="center"/>
          </w:tcPr>
          <w:p w14:paraId="4D079820"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48.61</w:t>
            </w:r>
          </w:p>
        </w:tc>
        <w:tc>
          <w:tcPr>
            <w:tcW w:w="1134" w:type="dxa"/>
            <w:vAlign w:val="center"/>
          </w:tcPr>
          <w:p w14:paraId="3763D23A"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42.77</w:t>
            </w:r>
          </w:p>
        </w:tc>
        <w:tc>
          <w:tcPr>
            <w:tcW w:w="1141" w:type="dxa"/>
            <w:vAlign w:val="center"/>
          </w:tcPr>
          <w:p w14:paraId="0B84C34E"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31.61</w:t>
            </w:r>
          </w:p>
        </w:tc>
        <w:tc>
          <w:tcPr>
            <w:tcW w:w="999" w:type="dxa"/>
            <w:vAlign w:val="center"/>
          </w:tcPr>
          <w:p w14:paraId="7F453EB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42.68</w:t>
            </w:r>
          </w:p>
        </w:tc>
        <w:tc>
          <w:tcPr>
            <w:tcW w:w="1120" w:type="dxa"/>
            <w:vAlign w:val="center"/>
          </w:tcPr>
          <w:p w14:paraId="1E838883"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43.28</w:t>
            </w:r>
          </w:p>
        </w:tc>
        <w:tc>
          <w:tcPr>
            <w:tcW w:w="1134" w:type="dxa"/>
            <w:vAlign w:val="center"/>
          </w:tcPr>
          <w:p w14:paraId="3718CCA7"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66.02</w:t>
            </w:r>
          </w:p>
        </w:tc>
        <w:tc>
          <w:tcPr>
            <w:tcW w:w="1134" w:type="dxa"/>
            <w:tcBorders>
              <w:right w:val="nil"/>
            </w:tcBorders>
            <w:vAlign w:val="center"/>
          </w:tcPr>
          <w:p w14:paraId="4D6FEBF3"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52.68</w:t>
            </w:r>
          </w:p>
        </w:tc>
      </w:tr>
      <w:tr w:rsidR="009B2872" w:rsidRPr="00182A8F" w14:paraId="03D97106" w14:textId="77777777" w:rsidTr="00804F0D">
        <w:tc>
          <w:tcPr>
            <w:tcW w:w="3823" w:type="dxa"/>
            <w:tcBorders>
              <w:left w:val="nil"/>
            </w:tcBorders>
            <w:shd w:val="clear" w:color="auto" w:fill="auto"/>
            <w:vAlign w:val="center"/>
          </w:tcPr>
          <w:p w14:paraId="0C625F1C"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Unspecified mix of HFCs and PFCs</w:t>
            </w:r>
          </w:p>
        </w:tc>
        <w:tc>
          <w:tcPr>
            <w:tcW w:w="999" w:type="dxa"/>
            <w:vAlign w:val="center"/>
          </w:tcPr>
          <w:p w14:paraId="34E77D54" w14:textId="17957F5B"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NA,</w:t>
            </w:r>
            <w:r w:rsidR="003F5083"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NO</w:t>
            </w:r>
          </w:p>
        </w:tc>
        <w:tc>
          <w:tcPr>
            <w:tcW w:w="1141" w:type="dxa"/>
            <w:vAlign w:val="center"/>
          </w:tcPr>
          <w:p w14:paraId="2FBFD649" w14:textId="2EF77F18"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NA,</w:t>
            </w:r>
            <w:r w:rsidR="003F5083"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NO</w:t>
            </w:r>
          </w:p>
        </w:tc>
        <w:tc>
          <w:tcPr>
            <w:tcW w:w="1127" w:type="dxa"/>
            <w:vAlign w:val="center"/>
          </w:tcPr>
          <w:p w14:paraId="6D8C6F08" w14:textId="40971353"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NA,</w:t>
            </w:r>
            <w:r w:rsidR="003F5083"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NO</w:t>
            </w:r>
          </w:p>
        </w:tc>
        <w:tc>
          <w:tcPr>
            <w:tcW w:w="1134" w:type="dxa"/>
            <w:vAlign w:val="center"/>
          </w:tcPr>
          <w:p w14:paraId="3F8C6ECE" w14:textId="65C7D983"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NA,</w:t>
            </w:r>
            <w:r w:rsidR="003F5083"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NO</w:t>
            </w:r>
          </w:p>
        </w:tc>
        <w:tc>
          <w:tcPr>
            <w:tcW w:w="1141" w:type="dxa"/>
            <w:vAlign w:val="center"/>
          </w:tcPr>
          <w:p w14:paraId="0983BA11" w14:textId="75D4579B"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NA,</w:t>
            </w:r>
            <w:r w:rsidR="003F5083"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NO</w:t>
            </w:r>
          </w:p>
        </w:tc>
        <w:tc>
          <w:tcPr>
            <w:tcW w:w="999" w:type="dxa"/>
            <w:vAlign w:val="center"/>
          </w:tcPr>
          <w:p w14:paraId="1D85E0DD" w14:textId="75068212"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NA,</w:t>
            </w:r>
            <w:r w:rsidR="003F5083"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NO</w:t>
            </w:r>
          </w:p>
        </w:tc>
        <w:tc>
          <w:tcPr>
            <w:tcW w:w="1120" w:type="dxa"/>
            <w:vAlign w:val="center"/>
          </w:tcPr>
          <w:p w14:paraId="34104B16" w14:textId="70CDC09D"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NA,</w:t>
            </w:r>
            <w:r w:rsidR="003F5083"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NO</w:t>
            </w:r>
          </w:p>
        </w:tc>
        <w:tc>
          <w:tcPr>
            <w:tcW w:w="1134" w:type="dxa"/>
            <w:vAlign w:val="center"/>
          </w:tcPr>
          <w:p w14:paraId="701D6BCC" w14:textId="3171B345"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NA,</w:t>
            </w:r>
            <w:r w:rsidR="003F5083"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NO</w:t>
            </w:r>
          </w:p>
        </w:tc>
        <w:tc>
          <w:tcPr>
            <w:tcW w:w="1134" w:type="dxa"/>
            <w:tcBorders>
              <w:right w:val="nil"/>
            </w:tcBorders>
            <w:vAlign w:val="center"/>
          </w:tcPr>
          <w:p w14:paraId="33BD6506" w14:textId="47A9526E"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NA,</w:t>
            </w:r>
            <w:r w:rsidR="003F5083"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NO</w:t>
            </w:r>
          </w:p>
        </w:tc>
      </w:tr>
      <w:tr w:rsidR="009B2872" w:rsidRPr="00182A8F" w14:paraId="2DB53813" w14:textId="77777777" w:rsidTr="00804F0D">
        <w:tc>
          <w:tcPr>
            <w:tcW w:w="3823" w:type="dxa"/>
            <w:tcBorders>
              <w:left w:val="nil"/>
            </w:tcBorders>
            <w:shd w:val="clear" w:color="auto" w:fill="auto"/>
            <w:vAlign w:val="center"/>
          </w:tcPr>
          <w:p w14:paraId="47D19E7D"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SF</w:t>
            </w:r>
            <w:r w:rsidRPr="00182A8F">
              <w:rPr>
                <w:rFonts w:asciiTheme="minorHAnsi" w:eastAsia="Times New Roman" w:hAnsiTheme="minorHAnsi" w:cstheme="minorHAnsi"/>
                <w:sz w:val="18"/>
                <w:szCs w:val="18"/>
                <w:vertAlign w:val="subscript"/>
              </w:rPr>
              <w:t>6</w:t>
            </w:r>
          </w:p>
        </w:tc>
        <w:tc>
          <w:tcPr>
            <w:tcW w:w="999" w:type="dxa"/>
            <w:vAlign w:val="center"/>
          </w:tcPr>
          <w:p w14:paraId="4FB9FACD"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20.48</w:t>
            </w:r>
          </w:p>
        </w:tc>
        <w:tc>
          <w:tcPr>
            <w:tcW w:w="1141" w:type="dxa"/>
            <w:vAlign w:val="center"/>
          </w:tcPr>
          <w:p w14:paraId="2CD758B3"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19.94</w:t>
            </w:r>
          </w:p>
        </w:tc>
        <w:tc>
          <w:tcPr>
            <w:tcW w:w="1127" w:type="dxa"/>
            <w:vAlign w:val="center"/>
          </w:tcPr>
          <w:p w14:paraId="5C7296C7"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23.23</w:t>
            </w:r>
          </w:p>
        </w:tc>
        <w:tc>
          <w:tcPr>
            <w:tcW w:w="1134" w:type="dxa"/>
            <w:vAlign w:val="center"/>
          </w:tcPr>
          <w:p w14:paraId="330F42A2"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23.54</w:t>
            </w:r>
          </w:p>
        </w:tc>
        <w:tc>
          <w:tcPr>
            <w:tcW w:w="1141" w:type="dxa"/>
            <w:vAlign w:val="center"/>
          </w:tcPr>
          <w:p w14:paraId="6B7C21BB"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19.52</w:t>
            </w:r>
          </w:p>
        </w:tc>
        <w:tc>
          <w:tcPr>
            <w:tcW w:w="999" w:type="dxa"/>
            <w:vAlign w:val="center"/>
          </w:tcPr>
          <w:p w14:paraId="1426FDD2"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21.54</w:t>
            </w:r>
          </w:p>
        </w:tc>
        <w:tc>
          <w:tcPr>
            <w:tcW w:w="1120" w:type="dxa"/>
            <w:vAlign w:val="center"/>
          </w:tcPr>
          <w:p w14:paraId="36E41092"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18.74</w:t>
            </w:r>
          </w:p>
        </w:tc>
        <w:tc>
          <w:tcPr>
            <w:tcW w:w="1134" w:type="dxa"/>
            <w:vAlign w:val="center"/>
          </w:tcPr>
          <w:p w14:paraId="665C7C1D"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17.32</w:t>
            </w:r>
          </w:p>
        </w:tc>
        <w:tc>
          <w:tcPr>
            <w:tcW w:w="1134" w:type="dxa"/>
            <w:tcBorders>
              <w:right w:val="nil"/>
            </w:tcBorders>
            <w:vAlign w:val="center"/>
          </w:tcPr>
          <w:p w14:paraId="051264E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16.97</w:t>
            </w:r>
          </w:p>
        </w:tc>
      </w:tr>
      <w:tr w:rsidR="009B2872" w:rsidRPr="00182A8F" w14:paraId="3722B80E" w14:textId="77777777" w:rsidTr="00804F0D">
        <w:tc>
          <w:tcPr>
            <w:tcW w:w="3823" w:type="dxa"/>
            <w:tcBorders>
              <w:left w:val="nil"/>
            </w:tcBorders>
            <w:shd w:val="clear" w:color="auto" w:fill="auto"/>
            <w:vAlign w:val="center"/>
          </w:tcPr>
          <w:p w14:paraId="1C35020D"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NF</w:t>
            </w:r>
            <w:r w:rsidRPr="00182A8F">
              <w:rPr>
                <w:rFonts w:asciiTheme="minorHAnsi" w:eastAsia="Times New Roman" w:hAnsiTheme="minorHAnsi" w:cstheme="minorHAnsi"/>
                <w:sz w:val="18"/>
                <w:szCs w:val="18"/>
                <w:vertAlign w:val="subscript"/>
              </w:rPr>
              <w:t>3</w:t>
            </w:r>
          </w:p>
        </w:tc>
        <w:tc>
          <w:tcPr>
            <w:tcW w:w="999" w:type="dxa"/>
            <w:vAlign w:val="center"/>
          </w:tcPr>
          <w:p w14:paraId="389C7BB3"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NO</w:t>
            </w:r>
          </w:p>
        </w:tc>
        <w:tc>
          <w:tcPr>
            <w:tcW w:w="1141" w:type="dxa"/>
            <w:vAlign w:val="center"/>
          </w:tcPr>
          <w:p w14:paraId="664246BC"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NO</w:t>
            </w:r>
          </w:p>
        </w:tc>
        <w:tc>
          <w:tcPr>
            <w:tcW w:w="1127" w:type="dxa"/>
            <w:vAlign w:val="center"/>
          </w:tcPr>
          <w:p w14:paraId="17A089CB"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NO</w:t>
            </w:r>
          </w:p>
        </w:tc>
        <w:tc>
          <w:tcPr>
            <w:tcW w:w="1134" w:type="dxa"/>
            <w:vAlign w:val="center"/>
          </w:tcPr>
          <w:p w14:paraId="04D2EF0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NO</w:t>
            </w:r>
          </w:p>
        </w:tc>
        <w:tc>
          <w:tcPr>
            <w:tcW w:w="1141" w:type="dxa"/>
            <w:vAlign w:val="center"/>
          </w:tcPr>
          <w:p w14:paraId="2B281DC2"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NO</w:t>
            </w:r>
          </w:p>
        </w:tc>
        <w:tc>
          <w:tcPr>
            <w:tcW w:w="999" w:type="dxa"/>
            <w:vAlign w:val="center"/>
          </w:tcPr>
          <w:p w14:paraId="3D0A62E2"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NO</w:t>
            </w:r>
          </w:p>
        </w:tc>
        <w:tc>
          <w:tcPr>
            <w:tcW w:w="1120" w:type="dxa"/>
            <w:vAlign w:val="center"/>
          </w:tcPr>
          <w:p w14:paraId="528055E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NO</w:t>
            </w:r>
          </w:p>
        </w:tc>
        <w:tc>
          <w:tcPr>
            <w:tcW w:w="1134" w:type="dxa"/>
            <w:vAlign w:val="center"/>
          </w:tcPr>
          <w:p w14:paraId="206CB55F"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NO</w:t>
            </w:r>
          </w:p>
        </w:tc>
        <w:tc>
          <w:tcPr>
            <w:tcW w:w="1134" w:type="dxa"/>
            <w:tcBorders>
              <w:right w:val="nil"/>
            </w:tcBorders>
            <w:vAlign w:val="center"/>
          </w:tcPr>
          <w:p w14:paraId="0576BC4E"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NO</w:t>
            </w:r>
          </w:p>
        </w:tc>
      </w:tr>
      <w:tr w:rsidR="009B2872" w:rsidRPr="00182A8F" w14:paraId="65621D50" w14:textId="77777777" w:rsidTr="00804F0D">
        <w:tc>
          <w:tcPr>
            <w:tcW w:w="3823" w:type="dxa"/>
            <w:tcBorders>
              <w:left w:val="nil"/>
            </w:tcBorders>
            <w:shd w:val="clear" w:color="auto" w:fill="auto"/>
            <w:vAlign w:val="center"/>
          </w:tcPr>
          <w:p w14:paraId="49FBC202" w14:textId="77777777" w:rsidR="009B2872" w:rsidRPr="00182A8F" w:rsidRDefault="009B2872" w:rsidP="009B2872">
            <w:pPr>
              <w:spacing w:before="0" w:after="0" w:line="240" w:lineRule="auto"/>
              <w:jc w:val="lef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Total (without LULUCF)</w:t>
            </w:r>
          </w:p>
        </w:tc>
        <w:tc>
          <w:tcPr>
            <w:tcW w:w="999" w:type="dxa"/>
            <w:vAlign w:val="center"/>
          </w:tcPr>
          <w:p w14:paraId="5A4EA728"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84,260.94</w:t>
            </w:r>
          </w:p>
        </w:tc>
        <w:tc>
          <w:tcPr>
            <w:tcW w:w="1141" w:type="dxa"/>
            <w:vAlign w:val="center"/>
          </w:tcPr>
          <w:p w14:paraId="166FA0F8"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84,268.35</w:t>
            </w:r>
          </w:p>
        </w:tc>
        <w:tc>
          <w:tcPr>
            <w:tcW w:w="1127" w:type="dxa"/>
            <w:vAlign w:val="center"/>
          </w:tcPr>
          <w:p w14:paraId="537F1219"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81,413.89</w:t>
            </w:r>
          </w:p>
        </w:tc>
        <w:tc>
          <w:tcPr>
            <w:tcW w:w="1134" w:type="dxa"/>
            <w:vAlign w:val="center"/>
          </w:tcPr>
          <w:p w14:paraId="4CE63846"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82,097.53</w:t>
            </w:r>
          </w:p>
        </w:tc>
        <w:tc>
          <w:tcPr>
            <w:tcW w:w="1141" w:type="dxa"/>
            <w:vAlign w:val="center"/>
          </w:tcPr>
          <w:p w14:paraId="3709C48D"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81,723.81</w:t>
            </w:r>
          </w:p>
        </w:tc>
        <w:tc>
          <w:tcPr>
            <w:tcW w:w="999" w:type="dxa"/>
            <w:vAlign w:val="center"/>
          </w:tcPr>
          <w:p w14:paraId="0CC61703"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84,065.67</w:t>
            </w:r>
          </w:p>
        </w:tc>
        <w:tc>
          <w:tcPr>
            <w:tcW w:w="1120" w:type="dxa"/>
            <w:vAlign w:val="center"/>
          </w:tcPr>
          <w:p w14:paraId="266D9400"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83,248.07</w:t>
            </w:r>
          </w:p>
        </w:tc>
        <w:tc>
          <w:tcPr>
            <w:tcW w:w="1134" w:type="dxa"/>
            <w:vAlign w:val="center"/>
          </w:tcPr>
          <w:p w14:paraId="54D38988"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84,107.42</w:t>
            </w:r>
          </w:p>
        </w:tc>
        <w:tc>
          <w:tcPr>
            <w:tcW w:w="1134" w:type="dxa"/>
            <w:tcBorders>
              <w:right w:val="nil"/>
            </w:tcBorders>
            <w:vAlign w:val="center"/>
          </w:tcPr>
          <w:p w14:paraId="525015D3"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83,894.63</w:t>
            </w:r>
          </w:p>
        </w:tc>
      </w:tr>
      <w:tr w:rsidR="009B2872" w:rsidRPr="00182A8F" w14:paraId="604022A7" w14:textId="77777777" w:rsidTr="00804F0D">
        <w:tc>
          <w:tcPr>
            <w:tcW w:w="3823" w:type="dxa"/>
            <w:tcBorders>
              <w:left w:val="nil"/>
            </w:tcBorders>
            <w:shd w:val="clear" w:color="auto" w:fill="auto"/>
            <w:vAlign w:val="center"/>
          </w:tcPr>
          <w:p w14:paraId="000B61DB" w14:textId="77777777" w:rsidR="009B2872" w:rsidRPr="00182A8F" w:rsidRDefault="009B2872" w:rsidP="009B2872">
            <w:pPr>
              <w:spacing w:before="0" w:after="0" w:line="240" w:lineRule="auto"/>
              <w:jc w:val="lef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Total (with LULUCF)</w:t>
            </w:r>
          </w:p>
        </w:tc>
        <w:tc>
          <w:tcPr>
            <w:tcW w:w="999" w:type="dxa"/>
            <w:vAlign w:val="center"/>
          </w:tcPr>
          <w:p w14:paraId="4FB5AF3A"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64,215.48</w:t>
            </w:r>
          </w:p>
        </w:tc>
        <w:tc>
          <w:tcPr>
            <w:tcW w:w="1141" w:type="dxa"/>
            <w:vAlign w:val="center"/>
          </w:tcPr>
          <w:p w14:paraId="08102568"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55,476.86</w:t>
            </w:r>
          </w:p>
        </w:tc>
        <w:tc>
          <w:tcPr>
            <w:tcW w:w="1127" w:type="dxa"/>
            <w:vAlign w:val="center"/>
          </w:tcPr>
          <w:p w14:paraId="6E77C605"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53,779.06</w:t>
            </w:r>
          </w:p>
        </w:tc>
        <w:tc>
          <w:tcPr>
            <w:tcW w:w="1134" w:type="dxa"/>
            <w:vAlign w:val="center"/>
          </w:tcPr>
          <w:p w14:paraId="03F49359"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53,524.42</w:t>
            </w:r>
          </w:p>
        </w:tc>
        <w:tc>
          <w:tcPr>
            <w:tcW w:w="1141" w:type="dxa"/>
            <w:vAlign w:val="center"/>
          </w:tcPr>
          <w:p w14:paraId="58C5759A"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52,989.07</w:t>
            </w:r>
          </w:p>
        </w:tc>
        <w:tc>
          <w:tcPr>
            <w:tcW w:w="999" w:type="dxa"/>
            <w:vAlign w:val="center"/>
          </w:tcPr>
          <w:p w14:paraId="2A3D7E99"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58,565.12</w:t>
            </w:r>
          </w:p>
        </w:tc>
        <w:tc>
          <w:tcPr>
            <w:tcW w:w="1120" w:type="dxa"/>
            <w:vAlign w:val="center"/>
          </w:tcPr>
          <w:p w14:paraId="142E6B68"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57,702.48</w:t>
            </w:r>
          </w:p>
        </w:tc>
        <w:tc>
          <w:tcPr>
            <w:tcW w:w="1134" w:type="dxa"/>
            <w:vAlign w:val="center"/>
          </w:tcPr>
          <w:p w14:paraId="53DB349F"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58,598.19</w:t>
            </w:r>
          </w:p>
        </w:tc>
        <w:tc>
          <w:tcPr>
            <w:tcW w:w="1134" w:type="dxa"/>
            <w:tcBorders>
              <w:right w:val="nil"/>
            </w:tcBorders>
            <w:vAlign w:val="center"/>
          </w:tcPr>
          <w:p w14:paraId="1B7E8850"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58,307.56</w:t>
            </w:r>
          </w:p>
        </w:tc>
      </w:tr>
      <w:tr w:rsidR="009B2872" w:rsidRPr="00182A8F" w14:paraId="0A6072EA" w14:textId="77777777" w:rsidTr="00804F0D">
        <w:tc>
          <w:tcPr>
            <w:tcW w:w="3823" w:type="dxa"/>
            <w:tcBorders>
              <w:left w:val="nil"/>
            </w:tcBorders>
            <w:shd w:val="clear" w:color="auto" w:fill="auto"/>
            <w:vAlign w:val="center"/>
          </w:tcPr>
          <w:p w14:paraId="177E4659" w14:textId="77777777" w:rsidR="009B2872" w:rsidRPr="00182A8F" w:rsidRDefault="009B2872" w:rsidP="009B2872">
            <w:pPr>
              <w:spacing w:before="0" w:after="0" w:line="240" w:lineRule="auto"/>
              <w:jc w:val="lef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Total (without LULUCF, with indirect)</w:t>
            </w:r>
          </w:p>
        </w:tc>
        <w:tc>
          <w:tcPr>
            <w:tcW w:w="999" w:type="dxa"/>
            <w:vAlign w:val="center"/>
          </w:tcPr>
          <w:p w14:paraId="625D8A77"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84,260.94</w:t>
            </w:r>
          </w:p>
        </w:tc>
        <w:tc>
          <w:tcPr>
            <w:tcW w:w="1141" w:type="dxa"/>
            <w:vAlign w:val="center"/>
          </w:tcPr>
          <w:p w14:paraId="3995D1AB"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84,268.35</w:t>
            </w:r>
          </w:p>
        </w:tc>
        <w:tc>
          <w:tcPr>
            <w:tcW w:w="1127" w:type="dxa"/>
            <w:vAlign w:val="center"/>
          </w:tcPr>
          <w:p w14:paraId="4399702D"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81,413.89</w:t>
            </w:r>
          </w:p>
        </w:tc>
        <w:tc>
          <w:tcPr>
            <w:tcW w:w="1134" w:type="dxa"/>
            <w:vAlign w:val="center"/>
          </w:tcPr>
          <w:p w14:paraId="70714D21"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82,097.53</w:t>
            </w:r>
          </w:p>
        </w:tc>
        <w:tc>
          <w:tcPr>
            <w:tcW w:w="1141" w:type="dxa"/>
            <w:vAlign w:val="center"/>
          </w:tcPr>
          <w:p w14:paraId="45A8E293"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81,723.81</w:t>
            </w:r>
          </w:p>
        </w:tc>
        <w:tc>
          <w:tcPr>
            <w:tcW w:w="999" w:type="dxa"/>
            <w:vAlign w:val="center"/>
          </w:tcPr>
          <w:p w14:paraId="7B08F758"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84,065.67</w:t>
            </w:r>
          </w:p>
        </w:tc>
        <w:tc>
          <w:tcPr>
            <w:tcW w:w="1120" w:type="dxa"/>
            <w:vAlign w:val="center"/>
          </w:tcPr>
          <w:p w14:paraId="2205D1EC"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83,248.07</w:t>
            </w:r>
          </w:p>
        </w:tc>
        <w:tc>
          <w:tcPr>
            <w:tcW w:w="1134" w:type="dxa"/>
            <w:vAlign w:val="center"/>
          </w:tcPr>
          <w:p w14:paraId="54531463"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84,107.42</w:t>
            </w:r>
          </w:p>
        </w:tc>
        <w:tc>
          <w:tcPr>
            <w:tcW w:w="1134" w:type="dxa"/>
            <w:tcBorders>
              <w:right w:val="nil"/>
            </w:tcBorders>
            <w:vAlign w:val="center"/>
          </w:tcPr>
          <w:p w14:paraId="12420903"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83,894.63</w:t>
            </w:r>
          </w:p>
        </w:tc>
      </w:tr>
      <w:tr w:rsidR="009B2872" w:rsidRPr="00182A8F" w14:paraId="5E5D34D1" w14:textId="77777777" w:rsidTr="00804F0D">
        <w:tc>
          <w:tcPr>
            <w:tcW w:w="3823" w:type="dxa"/>
            <w:tcBorders>
              <w:left w:val="nil"/>
            </w:tcBorders>
            <w:shd w:val="clear" w:color="auto" w:fill="auto"/>
            <w:vAlign w:val="center"/>
          </w:tcPr>
          <w:p w14:paraId="31251EAD" w14:textId="77777777" w:rsidR="009B2872" w:rsidRPr="00182A8F" w:rsidRDefault="009B2872" w:rsidP="009B2872">
            <w:pPr>
              <w:spacing w:before="0" w:after="0" w:line="240" w:lineRule="auto"/>
              <w:jc w:val="lef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Total (with LULUCF, with indirect)</w:t>
            </w:r>
          </w:p>
        </w:tc>
        <w:tc>
          <w:tcPr>
            <w:tcW w:w="999" w:type="dxa"/>
            <w:vAlign w:val="center"/>
          </w:tcPr>
          <w:p w14:paraId="78169801"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64,215.48</w:t>
            </w:r>
          </w:p>
        </w:tc>
        <w:tc>
          <w:tcPr>
            <w:tcW w:w="1141" w:type="dxa"/>
            <w:vAlign w:val="center"/>
          </w:tcPr>
          <w:p w14:paraId="15D2514E"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55,476.86</w:t>
            </w:r>
          </w:p>
        </w:tc>
        <w:tc>
          <w:tcPr>
            <w:tcW w:w="1127" w:type="dxa"/>
            <w:vAlign w:val="center"/>
          </w:tcPr>
          <w:p w14:paraId="4085E963"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53,779.06</w:t>
            </w:r>
          </w:p>
        </w:tc>
        <w:tc>
          <w:tcPr>
            <w:tcW w:w="1134" w:type="dxa"/>
            <w:vAlign w:val="center"/>
          </w:tcPr>
          <w:p w14:paraId="6C5762D0"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53,524.42</w:t>
            </w:r>
          </w:p>
        </w:tc>
        <w:tc>
          <w:tcPr>
            <w:tcW w:w="1141" w:type="dxa"/>
            <w:vAlign w:val="center"/>
          </w:tcPr>
          <w:p w14:paraId="6F76BC52"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52,989.07</w:t>
            </w:r>
          </w:p>
        </w:tc>
        <w:tc>
          <w:tcPr>
            <w:tcW w:w="999" w:type="dxa"/>
            <w:vAlign w:val="center"/>
          </w:tcPr>
          <w:p w14:paraId="3923923F"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58,565.12</w:t>
            </w:r>
          </w:p>
        </w:tc>
        <w:tc>
          <w:tcPr>
            <w:tcW w:w="1120" w:type="dxa"/>
            <w:vAlign w:val="center"/>
          </w:tcPr>
          <w:p w14:paraId="24AE497D"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57,702.48</w:t>
            </w:r>
          </w:p>
        </w:tc>
        <w:tc>
          <w:tcPr>
            <w:tcW w:w="1134" w:type="dxa"/>
            <w:vAlign w:val="center"/>
          </w:tcPr>
          <w:p w14:paraId="4D4608A4"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58,598.19</w:t>
            </w:r>
          </w:p>
        </w:tc>
        <w:tc>
          <w:tcPr>
            <w:tcW w:w="1134" w:type="dxa"/>
            <w:tcBorders>
              <w:right w:val="nil"/>
            </w:tcBorders>
            <w:vAlign w:val="center"/>
          </w:tcPr>
          <w:p w14:paraId="12C65951"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58,307.56</w:t>
            </w:r>
          </w:p>
        </w:tc>
      </w:tr>
    </w:tbl>
    <w:p w14:paraId="38C01F33" w14:textId="77777777" w:rsidR="009B2872" w:rsidRPr="009B2872" w:rsidRDefault="009B2872" w:rsidP="009B2872">
      <w:pPr>
        <w:widowControl w:val="0"/>
        <w:adjustRightInd w:val="0"/>
        <w:spacing w:before="0" w:line="240" w:lineRule="auto"/>
        <w:ind w:left="397" w:hanging="397"/>
        <w:jc w:val="left"/>
        <w:textAlignment w:val="baseline"/>
        <w:rPr>
          <w:rFonts w:eastAsia="Times New Roman" w:cs="Times New Roman"/>
          <w:sz w:val="18"/>
        </w:rPr>
      </w:pPr>
    </w:p>
    <w:tbl>
      <w:tblPr>
        <w:tblW w:w="13948"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top w:w="15" w:type="dxa"/>
          <w:left w:w="57" w:type="dxa"/>
          <w:bottom w:w="15" w:type="dxa"/>
          <w:right w:w="57" w:type="dxa"/>
        </w:tblCellMar>
        <w:tblLook w:val="04A0" w:firstRow="1" w:lastRow="0" w:firstColumn="1" w:lastColumn="0" w:noHBand="0" w:noVBand="1"/>
      </w:tblPr>
      <w:tblGrid>
        <w:gridCol w:w="3880"/>
        <w:gridCol w:w="971"/>
        <w:gridCol w:w="1115"/>
        <w:gridCol w:w="1186"/>
        <w:gridCol w:w="1151"/>
        <w:gridCol w:w="1115"/>
        <w:gridCol w:w="1042"/>
        <w:gridCol w:w="1151"/>
        <w:gridCol w:w="1151"/>
        <w:gridCol w:w="1186"/>
      </w:tblGrid>
      <w:tr w:rsidR="009B2872" w:rsidRPr="00182A8F" w14:paraId="2A489FE0" w14:textId="77777777" w:rsidTr="00804F0D">
        <w:tc>
          <w:tcPr>
            <w:tcW w:w="3823" w:type="dxa"/>
            <w:shd w:val="clear" w:color="auto" w:fill="1B556B"/>
            <w:vAlign w:val="center"/>
            <w:hideMark/>
          </w:tcPr>
          <w:p w14:paraId="3D79C93C" w14:textId="6B01B38E" w:rsidR="009B2872" w:rsidRPr="00182A8F" w:rsidRDefault="00247657" w:rsidP="009B2872">
            <w:pPr>
              <w:spacing w:before="0" w:after="0" w:line="240" w:lineRule="auto"/>
              <w:jc w:val="left"/>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Greenhouse gas source and sink categories</w:t>
            </w:r>
          </w:p>
        </w:tc>
        <w:tc>
          <w:tcPr>
            <w:tcW w:w="957" w:type="dxa"/>
            <w:shd w:val="clear" w:color="auto" w:fill="1B556B"/>
            <w:vAlign w:val="center"/>
          </w:tcPr>
          <w:p w14:paraId="0429D73F"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2007</w:t>
            </w:r>
          </w:p>
        </w:tc>
        <w:tc>
          <w:tcPr>
            <w:tcW w:w="1099" w:type="dxa"/>
            <w:shd w:val="clear" w:color="auto" w:fill="1B556B"/>
            <w:vAlign w:val="center"/>
          </w:tcPr>
          <w:p w14:paraId="54333432"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2008</w:t>
            </w:r>
          </w:p>
        </w:tc>
        <w:tc>
          <w:tcPr>
            <w:tcW w:w="1169" w:type="dxa"/>
            <w:shd w:val="clear" w:color="auto" w:fill="1B556B"/>
            <w:vAlign w:val="center"/>
          </w:tcPr>
          <w:p w14:paraId="4B6657BA"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2009</w:t>
            </w:r>
          </w:p>
        </w:tc>
        <w:tc>
          <w:tcPr>
            <w:tcW w:w="1134" w:type="dxa"/>
            <w:shd w:val="clear" w:color="auto" w:fill="1B556B"/>
            <w:vAlign w:val="center"/>
          </w:tcPr>
          <w:p w14:paraId="30405430"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2010</w:t>
            </w:r>
          </w:p>
        </w:tc>
        <w:tc>
          <w:tcPr>
            <w:tcW w:w="1099" w:type="dxa"/>
            <w:shd w:val="clear" w:color="auto" w:fill="1B556B"/>
            <w:vAlign w:val="center"/>
          </w:tcPr>
          <w:p w14:paraId="2EEA7235"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2011</w:t>
            </w:r>
          </w:p>
        </w:tc>
        <w:tc>
          <w:tcPr>
            <w:tcW w:w="1027" w:type="dxa"/>
            <w:shd w:val="clear" w:color="auto" w:fill="1B556B"/>
            <w:vAlign w:val="center"/>
          </w:tcPr>
          <w:p w14:paraId="732C1AA4"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2012</w:t>
            </w:r>
          </w:p>
        </w:tc>
        <w:tc>
          <w:tcPr>
            <w:tcW w:w="1134" w:type="dxa"/>
            <w:shd w:val="clear" w:color="auto" w:fill="1B556B"/>
            <w:vAlign w:val="center"/>
          </w:tcPr>
          <w:p w14:paraId="7E06F90A"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2013</w:t>
            </w:r>
          </w:p>
        </w:tc>
        <w:tc>
          <w:tcPr>
            <w:tcW w:w="1134" w:type="dxa"/>
            <w:shd w:val="clear" w:color="auto" w:fill="1B556B"/>
            <w:vAlign w:val="center"/>
          </w:tcPr>
          <w:p w14:paraId="6C8CF163"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2014</w:t>
            </w:r>
          </w:p>
        </w:tc>
        <w:tc>
          <w:tcPr>
            <w:tcW w:w="1169" w:type="dxa"/>
            <w:shd w:val="clear" w:color="auto" w:fill="1B556B"/>
            <w:vAlign w:val="center"/>
          </w:tcPr>
          <w:p w14:paraId="76154D6F"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2015</w:t>
            </w:r>
          </w:p>
        </w:tc>
      </w:tr>
      <w:tr w:rsidR="009B2872" w:rsidRPr="00182A8F" w14:paraId="14EF52E4" w14:textId="77777777" w:rsidTr="00804F0D">
        <w:tc>
          <w:tcPr>
            <w:tcW w:w="3823" w:type="dxa"/>
            <w:shd w:val="clear" w:color="auto" w:fill="1B556B"/>
            <w:vAlign w:val="center"/>
          </w:tcPr>
          <w:p w14:paraId="3F2A144A" w14:textId="77777777" w:rsidR="009B2872" w:rsidRPr="00182A8F" w:rsidRDefault="009B2872" w:rsidP="009B2872">
            <w:pPr>
              <w:spacing w:before="0" w:after="0" w:line="240" w:lineRule="auto"/>
              <w:jc w:val="left"/>
              <w:rPr>
                <w:rFonts w:asciiTheme="minorHAnsi" w:eastAsia="Times New Roman" w:hAnsiTheme="minorHAnsi" w:cstheme="minorHAnsi"/>
                <w:b/>
                <w:bCs/>
                <w:color w:val="FFFFFF" w:themeColor="background1"/>
                <w:sz w:val="18"/>
                <w:szCs w:val="18"/>
              </w:rPr>
            </w:pPr>
          </w:p>
        </w:tc>
        <w:tc>
          <w:tcPr>
            <w:tcW w:w="9922" w:type="dxa"/>
            <w:gridSpan w:val="9"/>
            <w:shd w:val="clear" w:color="auto" w:fill="1B556B"/>
            <w:vAlign w:val="center"/>
          </w:tcPr>
          <w:p w14:paraId="4C593266" w14:textId="77777777" w:rsidR="009B2872" w:rsidRPr="00182A8F" w:rsidRDefault="009B2872" w:rsidP="009B2872">
            <w:pPr>
              <w:spacing w:before="0" w:after="0" w:line="240" w:lineRule="auto"/>
              <w:jc w:val="left"/>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CO</w:t>
            </w:r>
            <w:r w:rsidRPr="00182A8F">
              <w:rPr>
                <w:rFonts w:asciiTheme="minorHAnsi" w:eastAsia="Times New Roman" w:hAnsiTheme="minorHAnsi" w:cstheme="minorHAnsi"/>
                <w:b/>
                <w:bCs/>
                <w:color w:val="FFFFFF" w:themeColor="background1"/>
                <w:sz w:val="18"/>
                <w:szCs w:val="18"/>
                <w:vertAlign w:val="subscript"/>
              </w:rPr>
              <w:t>2</w:t>
            </w:r>
            <w:r w:rsidRPr="00182A8F">
              <w:rPr>
                <w:rFonts w:asciiTheme="minorHAnsi" w:eastAsia="Times New Roman" w:hAnsiTheme="minorHAnsi" w:cstheme="minorHAnsi"/>
                <w:b/>
                <w:bCs/>
                <w:color w:val="FFFFFF" w:themeColor="background1"/>
                <w:sz w:val="18"/>
                <w:szCs w:val="18"/>
              </w:rPr>
              <w:t xml:space="preserve"> equivalents (kt) </w:t>
            </w:r>
            <w:r w:rsidRPr="00182A8F">
              <w:rPr>
                <w:rFonts w:asciiTheme="minorHAnsi" w:eastAsia="Times New Roman" w:hAnsiTheme="minorHAnsi" w:cstheme="minorHAnsi"/>
                <w:b/>
                <w:bCs/>
                <w:color w:val="FFFFFF" w:themeColor="background1"/>
                <w:sz w:val="18"/>
                <w:szCs w:val="18"/>
                <w:vertAlign w:val="superscript"/>
              </w:rPr>
              <w:t>(3)</w:t>
            </w:r>
            <w:r w:rsidRPr="00182A8F">
              <w:rPr>
                <w:rFonts w:asciiTheme="minorHAnsi" w:eastAsia="Times New Roman" w:hAnsiTheme="minorHAnsi" w:cstheme="minorHAnsi"/>
                <w:b/>
                <w:bCs/>
                <w:color w:val="FFFFFF" w:themeColor="background1"/>
                <w:sz w:val="18"/>
                <w:szCs w:val="18"/>
              </w:rPr>
              <w:t> </w:t>
            </w:r>
          </w:p>
        </w:tc>
      </w:tr>
      <w:tr w:rsidR="009B2872" w:rsidRPr="00182A8F" w14:paraId="7CB572B8" w14:textId="77777777" w:rsidTr="00804F0D">
        <w:tc>
          <w:tcPr>
            <w:tcW w:w="3823" w:type="dxa"/>
            <w:shd w:val="clear" w:color="auto" w:fill="auto"/>
            <w:noWrap/>
            <w:vAlign w:val="center"/>
            <w:hideMark/>
          </w:tcPr>
          <w:p w14:paraId="3C4BB485" w14:textId="05080434"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 xml:space="preserve">1. Energy </w:t>
            </w:r>
          </w:p>
        </w:tc>
        <w:tc>
          <w:tcPr>
            <w:tcW w:w="957" w:type="dxa"/>
            <w:vAlign w:val="center"/>
          </w:tcPr>
          <w:p w14:paraId="3F5914EE"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33,600.80</w:t>
            </w:r>
          </w:p>
        </w:tc>
        <w:tc>
          <w:tcPr>
            <w:tcW w:w="1099" w:type="dxa"/>
            <w:vAlign w:val="center"/>
          </w:tcPr>
          <w:p w14:paraId="5784B44B"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34,713.33</w:t>
            </w:r>
          </w:p>
        </w:tc>
        <w:tc>
          <w:tcPr>
            <w:tcW w:w="1169" w:type="dxa"/>
            <w:vAlign w:val="center"/>
          </w:tcPr>
          <w:p w14:paraId="1905862D"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32,072.88</w:t>
            </w:r>
          </w:p>
        </w:tc>
        <w:tc>
          <w:tcPr>
            <w:tcW w:w="1134" w:type="dxa"/>
            <w:vAlign w:val="center"/>
          </w:tcPr>
          <w:p w14:paraId="03F93987"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32,268.69</w:t>
            </w:r>
          </w:p>
        </w:tc>
        <w:tc>
          <w:tcPr>
            <w:tcW w:w="1099" w:type="dxa"/>
            <w:vAlign w:val="center"/>
          </w:tcPr>
          <w:p w14:paraId="0B20A6F8"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31,579.11</w:t>
            </w:r>
          </w:p>
        </w:tc>
        <w:tc>
          <w:tcPr>
            <w:tcW w:w="1027" w:type="dxa"/>
            <w:vAlign w:val="center"/>
          </w:tcPr>
          <w:p w14:paraId="7EB23109"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32,915.05</w:t>
            </w:r>
          </w:p>
        </w:tc>
        <w:tc>
          <w:tcPr>
            <w:tcW w:w="1134" w:type="dxa"/>
            <w:vAlign w:val="center"/>
          </w:tcPr>
          <w:p w14:paraId="15102846"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32,020.70</w:t>
            </w:r>
          </w:p>
        </w:tc>
        <w:tc>
          <w:tcPr>
            <w:tcW w:w="1134" w:type="dxa"/>
            <w:vAlign w:val="center"/>
          </w:tcPr>
          <w:p w14:paraId="27E5BE9A"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32,075.29</w:t>
            </w:r>
          </w:p>
        </w:tc>
        <w:tc>
          <w:tcPr>
            <w:tcW w:w="1169" w:type="dxa"/>
            <w:vAlign w:val="center"/>
          </w:tcPr>
          <w:p w14:paraId="33CDE420"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32,311.15</w:t>
            </w:r>
          </w:p>
        </w:tc>
      </w:tr>
      <w:tr w:rsidR="009B2872" w:rsidRPr="00182A8F" w14:paraId="53D9BA4B" w14:textId="77777777" w:rsidTr="00804F0D">
        <w:tc>
          <w:tcPr>
            <w:tcW w:w="3823" w:type="dxa"/>
            <w:shd w:val="clear" w:color="auto" w:fill="auto"/>
            <w:noWrap/>
            <w:vAlign w:val="center"/>
            <w:hideMark/>
          </w:tcPr>
          <w:p w14:paraId="57FEE78A" w14:textId="1F95E69B"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w:t>
            </w:r>
            <w:r w:rsidR="00D926E9"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Industrial processes and product use</w:t>
            </w:r>
          </w:p>
        </w:tc>
        <w:tc>
          <w:tcPr>
            <w:tcW w:w="957" w:type="dxa"/>
            <w:vAlign w:val="center"/>
          </w:tcPr>
          <w:p w14:paraId="69058C25"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4,330.37</w:t>
            </w:r>
          </w:p>
        </w:tc>
        <w:tc>
          <w:tcPr>
            <w:tcW w:w="1099" w:type="dxa"/>
            <w:vAlign w:val="center"/>
          </w:tcPr>
          <w:p w14:paraId="14DE60AE"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4,213.79</w:t>
            </w:r>
          </w:p>
        </w:tc>
        <w:tc>
          <w:tcPr>
            <w:tcW w:w="1169" w:type="dxa"/>
            <w:vAlign w:val="center"/>
          </w:tcPr>
          <w:p w14:paraId="322FA2A4"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4,177.31</w:t>
            </w:r>
          </w:p>
        </w:tc>
        <w:tc>
          <w:tcPr>
            <w:tcW w:w="1134" w:type="dxa"/>
            <w:vAlign w:val="center"/>
          </w:tcPr>
          <w:p w14:paraId="687F4697"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4,496.66</w:t>
            </w:r>
          </w:p>
        </w:tc>
        <w:tc>
          <w:tcPr>
            <w:tcW w:w="1099" w:type="dxa"/>
            <w:vAlign w:val="center"/>
          </w:tcPr>
          <w:p w14:paraId="75C406F6"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4,504.61</w:t>
            </w:r>
          </w:p>
        </w:tc>
        <w:tc>
          <w:tcPr>
            <w:tcW w:w="1027" w:type="dxa"/>
            <w:vAlign w:val="center"/>
          </w:tcPr>
          <w:p w14:paraId="7C4C1216"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4,541.66</w:t>
            </w:r>
          </w:p>
        </w:tc>
        <w:tc>
          <w:tcPr>
            <w:tcW w:w="1134" w:type="dxa"/>
            <w:vAlign w:val="center"/>
          </w:tcPr>
          <w:p w14:paraId="0D5EC69D"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4,661.10</w:t>
            </w:r>
          </w:p>
        </w:tc>
        <w:tc>
          <w:tcPr>
            <w:tcW w:w="1134" w:type="dxa"/>
            <w:vAlign w:val="center"/>
          </w:tcPr>
          <w:p w14:paraId="07F628D0"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4,849.17</w:t>
            </w:r>
          </w:p>
        </w:tc>
        <w:tc>
          <w:tcPr>
            <w:tcW w:w="1169" w:type="dxa"/>
            <w:vAlign w:val="center"/>
          </w:tcPr>
          <w:p w14:paraId="09887ABF"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4,943.45</w:t>
            </w:r>
          </w:p>
        </w:tc>
      </w:tr>
      <w:tr w:rsidR="009B2872" w:rsidRPr="00182A8F" w14:paraId="1BE41FB0" w14:textId="77777777" w:rsidTr="00804F0D">
        <w:tc>
          <w:tcPr>
            <w:tcW w:w="3823" w:type="dxa"/>
            <w:shd w:val="clear" w:color="auto" w:fill="auto"/>
            <w:noWrap/>
            <w:vAlign w:val="center"/>
            <w:hideMark/>
          </w:tcPr>
          <w:p w14:paraId="62CC9EF8" w14:textId="54BC8620"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 xml:space="preserve">3. Agriculture </w:t>
            </w:r>
          </w:p>
        </w:tc>
        <w:tc>
          <w:tcPr>
            <w:tcW w:w="957" w:type="dxa"/>
            <w:vAlign w:val="center"/>
          </w:tcPr>
          <w:p w14:paraId="5EFB741F"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41,739.43</w:t>
            </w:r>
          </w:p>
        </w:tc>
        <w:tc>
          <w:tcPr>
            <w:tcW w:w="1099" w:type="dxa"/>
            <w:vAlign w:val="center"/>
          </w:tcPr>
          <w:p w14:paraId="6FA2B5E8"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40,845.14</w:t>
            </w:r>
          </w:p>
        </w:tc>
        <w:tc>
          <w:tcPr>
            <w:tcW w:w="1169" w:type="dxa"/>
            <w:vAlign w:val="center"/>
          </w:tcPr>
          <w:p w14:paraId="50296DA8"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40,814.28</w:t>
            </w:r>
          </w:p>
        </w:tc>
        <w:tc>
          <w:tcPr>
            <w:tcW w:w="1134" w:type="dxa"/>
            <w:vAlign w:val="center"/>
          </w:tcPr>
          <w:p w14:paraId="6060A0EB"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41,045.48</w:t>
            </w:r>
          </w:p>
        </w:tc>
        <w:tc>
          <w:tcPr>
            <w:tcW w:w="1099" w:type="dxa"/>
            <w:vAlign w:val="center"/>
          </w:tcPr>
          <w:p w14:paraId="760A3DDF"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41,520.86</w:t>
            </w:r>
          </w:p>
        </w:tc>
        <w:tc>
          <w:tcPr>
            <w:tcW w:w="1027" w:type="dxa"/>
            <w:vAlign w:val="center"/>
          </w:tcPr>
          <w:p w14:paraId="01F48070"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42,602.94</w:t>
            </w:r>
          </w:p>
        </w:tc>
        <w:tc>
          <w:tcPr>
            <w:tcW w:w="1134" w:type="dxa"/>
            <w:vAlign w:val="center"/>
          </w:tcPr>
          <w:p w14:paraId="1BEFF5DF"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42,616.69</w:t>
            </w:r>
          </w:p>
        </w:tc>
        <w:tc>
          <w:tcPr>
            <w:tcW w:w="1134" w:type="dxa"/>
            <w:vAlign w:val="center"/>
          </w:tcPr>
          <w:p w14:paraId="5FB833CB"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43,281.95</w:t>
            </w:r>
          </w:p>
        </w:tc>
        <w:tc>
          <w:tcPr>
            <w:tcW w:w="1169" w:type="dxa"/>
            <w:vAlign w:val="center"/>
          </w:tcPr>
          <w:p w14:paraId="38A7E40A"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42,781.20</w:t>
            </w:r>
          </w:p>
        </w:tc>
      </w:tr>
      <w:tr w:rsidR="009B2872" w:rsidRPr="00182A8F" w14:paraId="43F6FE7D" w14:textId="77777777" w:rsidTr="00804F0D">
        <w:tc>
          <w:tcPr>
            <w:tcW w:w="3823" w:type="dxa"/>
            <w:shd w:val="clear" w:color="auto" w:fill="auto"/>
            <w:noWrap/>
            <w:vAlign w:val="center"/>
            <w:hideMark/>
          </w:tcPr>
          <w:p w14:paraId="19A0646D" w14:textId="0A5D4938"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 xml:space="preserve">4. </w:t>
            </w:r>
            <w:r w:rsidR="00B67BC9" w:rsidRPr="00182A8F">
              <w:rPr>
                <w:rFonts w:asciiTheme="minorHAnsi" w:eastAsia="Times New Roman" w:hAnsiTheme="minorHAnsi" w:cstheme="minorHAnsi"/>
                <w:sz w:val="18"/>
                <w:szCs w:val="18"/>
              </w:rPr>
              <w:t>Land Use, Land-Use Change and Forestry</w:t>
            </w:r>
            <w:r w:rsidRPr="00182A8F">
              <w:rPr>
                <w:rFonts w:asciiTheme="minorHAnsi" w:eastAsia="Times New Roman" w:hAnsiTheme="minorHAnsi" w:cstheme="minorHAnsi"/>
                <w:sz w:val="18"/>
                <w:szCs w:val="18"/>
              </w:rPr>
              <w:t xml:space="preserve"> </w:t>
            </w:r>
            <w:r w:rsidRPr="00182A8F">
              <w:rPr>
                <w:rFonts w:asciiTheme="minorHAnsi" w:eastAsia="Times New Roman" w:hAnsiTheme="minorHAnsi" w:cstheme="minorHAnsi"/>
                <w:sz w:val="18"/>
                <w:szCs w:val="18"/>
                <w:vertAlign w:val="superscript"/>
              </w:rPr>
              <w:t>(4)</w:t>
            </w:r>
            <w:r w:rsidRPr="00182A8F">
              <w:rPr>
                <w:rFonts w:asciiTheme="minorHAnsi" w:eastAsia="Times New Roman" w:hAnsiTheme="minorHAnsi" w:cstheme="minorHAnsi"/>
                <w:sz w:val="18"/>
                <w:szCs w:val="18"/>
              </w:rPr>
              <w:t xml:space="preserve"> </w:t>
            </w:r>
          </w:p>
        </w:tc>
        <w:tc>
          <w:tcPr>
            <w:tcW w:w="957" w:type="dxa"/>
            <w:vAlign w:val="center"/>
          </w:tcPr>
          <w:p w14:paraId="393979FF"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-20,045.46</w:t>
            </w:r>
          </w:p>
        </w:tc>
        <w:tc>
          <w:tcPr>
            <w:tcW w:w="1099" w:type="dxa"/>
            <w:vAlign w:val="center"/>
          </w:tcPr>
          <w:p w14:paraId="6D0A01A7"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-28,791.49</w:t>
            </w:r>
          </w:p>
        </w:tc>
        <w:tc>
          <w:tcPr>
            <w:tcW w:w="1169" w:type="dxa"/>
            <w:vAlign w:val="center"/>
          </w:tcPr>
          <w:p w14:paraId="33EE5197"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-27,634.83</w:t>
            </w:r>
          </w:p>
        </w:tc>
        <w:tc>
          <w:tcPr>
            <w:tcW w:w="1134" w:type="dxa"/>
            <w:vAlign w:val="center"/>
          </w:tcPr>
          <w:p w14:paraId="58BCD350"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-28,573.11</w:t>
            </w:r>
          </w:p>
        </w:tc>
        <w:tc>
          <w:tcPr>
            <w:tcW w:w="1099" w:type="dxa"/>
            <w:vAlign w:val="center"/>
          </w:tcPr>
          <w:p w14:paraId="5F038C83"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-28,734.74</w:t>
            </w:r>
          </w:p>
        </w:tc>
        <w:tc>
          <w:tcPr>
            <w:tcW w:w="1027" w:type="dxa"/>
            <w:vAlign w:val="center"/>
          </w:tcPr>
          <w:p w14:paraId="26325F60"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-25,500.54</w:t>
            </w:r>
          </w:p>
        </w:tc>
        <w:tc>
          <w:tcPr>
            <w:tcW w:w="1134" w:type="dxa"/>
            <w:vAlign w:val="center"/>
          </w:tcPr>
          <w:p w14:paraId="75819AEC"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-25,545.59</w:t>
            </w:r>
          </w:p>
        </w:tc>
        <w:tc>
          <w:tcPr>
            <w:tcW w:w="1134" w:type="dxa"/>
            <w:vAlign w:val="center"/>
          </w:tcPr>
          <w:p w14:paraId="082140A8"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-25,509.23</w:t>
            </w:r>
          </w:p>
        </w:tc>
        <w:tc>
          <w:tcPr>
            <w:tcW w:w="1169" w:type="dxa"/>
            <w:vAlign w:val="center"/>
          </w:tcPr>
          <w:p w14:paraId="7EBA1650"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-25,587.07</w:t>
            </w:r>
          </w:p>
        </w:tc>
      </w:tr>
      <w:tr w:rsidR="009B2872" w:rsidRPr="00182A8F" w14:paraId="200B26A2" w14:textId="77777777" w:rsidTr="00804F0D">
        <w:tc>
          <w:tcPr>
            <w:tcW w:w="3823" w:type="dxa"/>
            <w:shd w:val="clear" w:color="auto" w:fill="auto"/>
            <w:noWrap/>
            <w:vAlign w:val="center"/>
            <w:hideMark/>
          </w:tcPr>
          <w:p w14:paraId="758DCBF6" w14:textId="3F21379A"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 xml:space="preserve">5. Waste </w:t>
            </w:r>
          </w:p>
        </w:tc>
        <w:tc>
          <w:tcPr>
            <w:tcW w:w="957" w:type="dxa"/>
            <w:vAlign w:val="center"/>
          </w:tcPr>
          <w:p w14:paraId="5BD6924E"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4,585.65</w:t>
            </w:r>
          </w:p>
        </w:tc>
        <w:tc>
          <w:tcPr>
            <w:tcW w:w="1099" w:type="dxa"/>
            <w:vAlign w:val="center"/>
          </w:tcPr>
          <w:p w14:paraId="51B79094"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4,491.39</w:t>
            </w:r>
          </w:p>
        </w:tc>
        <w:tc>
          <w:tcPr>
            <w:tcW w:w="1169" w:type="dxa"/>
            <w:vAlign w:val="center"/>
          </w:tcPr>
          <w:p w14:paraId="0A325A3B"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4,344.71</w:t>
            </w:r>
          </w:p>
        </w:tc>
        <w:tc>
          <w:tcPr>
            <w:tcW w:w="1134" w:type="dxa"/>
            <w:vAlign w:val="center"/>
          </w:tcPr>
          <w:p w14:paraId="48BC4274"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4,281.98</w:t>
            </w:r>
          </w:p>
        </w:tc>
        <w:tc>
          <w:tcPr>
            <w:tcW w:w="1099" w:type="dxa"/>
            <w:vAlign w:val="center"/>
          </w:tcPr>
          <w:p w14:paraId="794E3EBE"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4,114.49</w:t>
            </w:r>
          </w:p>
        </w:tc>
        <w:tc>
          <w:tcPr>
            <w:tcW w:w="1027" w:type="dxa"/>
            <w:vAlign w:val="center"/>
          </w:tcPr>
          <w:p w14:paraId="49CA00B9"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4,001.55</w:t>
            </w:r>
          </w:p>
        </w:tc>
        <w:tc>
          <w:tcPr>
            <w:tcW w:w="1134" w:type="dxa"/>
            <w:vAlign w:val="center"/>
          </w:tcPr>
          <w:p w14:paraId="658AA33B"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3,945.90</w:t>
            </w:r>
          </w:p>
        </w:tc>
        <w:tc>
          <w:tcPr>
            <w:tcW w:w="1134" w:type="dxa"/>
            <w:vAlign w:val="center"/>
          </w:tcPr>
          <w:p w14:paraId="12A4E91A"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3,897.36</w:t>
            </w:r>
          </w:p>
        </w:tc>
        <w:tc>
          <w:tcPr>
            <w:tcW w:w="1169" w:type="dxa"/>
            <w:vAlign w:val="center"/>
          </w:tcPr>
          <w:p w14:paraId="5B8F35AD"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3,855.25</w:t>
            </w:r>
          </w:p>
        </w:tc>
      </w:tr>
      <w:tr w:rsidR="009B2872" w:rsidRPr="00182A8F" w14:paraId="0F6FE81F" w14:textId="77777777" w:rsidTr="00804F0D">
        <w:tc>
          <w:tcPr>
            <w:tcW w:w="3823" w:type="dxa"/>
            <w:shd w:val="clear" w:color="auto" w:fill="auto"/>
            <w:noWrap/>
            <w:vAlign w:val="center"/>
            <w:hideMark/>
          </w:tcPr>
          <w:p w14:paraId="66D5E732" w14:textId="785EEA81"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6. Other</w:t>
            </w:r>
          </w:p>
        </w:tc>
        <w:tc>
          <w:tcPr>
            <w:tcW w:w="957" w:type="dxa"/>
            <w:vAlign w:val="center"/>
          </w:tcPr>
          <w:p w14:paraId="37135AE8"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4.69</w:t>
            </w:r>
          </w:p>
        </w:tc>
        <w:tc>
          <w:tcPr>
            <w:tcW w:w="1099" w:type="dxa"/>
            <w:vAlign w:val="center"/>
          </w:tcPr>
          <w:p w14:paraId="7C9345C7"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4.70</w:t>
            </w:r>
          </w:p>
        </w:tc>
        <w:tc>
          <w:tcPr>
            <w:tcW w:w="1169" w:type="dxa"/>
            <w:vAlign w:val="center"/>
          </w:tcPr>
          <w:p w14:paraId="38E8D8C8"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4.71</w:t>
            </w:r>
          </w:p>
        </w:tc>
        <w:tc>
          <w:tcPr>
            <w:tcW w:w="1134" w:type="dxa"/>
            <w:vAlign w:val="center"/>
          </w:tcPr>
          <w:p w14:paraId="57D1434D"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4.72</w:t>
            </w:r>
          </w:p>
        </w:tc>
        <w:tc>
          <w:tcPr>
            <w:tcW w:w="1099" w:type="dxa"/>
            <w:vAlign w:val="center"/>
          </w:tcPr>
          <w:p w14:paraId="120FC83A"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4.74</w:t>
            </w:r>
          </w:p>
        </w:tc>
        <w:tc>
          <w:tcPr>
            <w:tcW w:w="1027" w:type="dxa"/>
            <w:vAlign w:val="center"/>
          </w:tcPr>
          <w:p w14:paraId="02811817"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4.45</w:t>
            </w:r>
          </w:p>
        </w:tc>
        <w:tc>
          <w:tcPr>
            <w:tcW w:w="1134" w:type="dxa"/>
            <w:vAlign w:val="center"/>
          </w:tcPr>
          <w:p w14:paraId="2D85D49E"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3.70</w:t>
            </w:r>
          </w:p>
        </w:tc>
        <w:tc>
          <w:tcPr>
            <w:tcW w:w="1134" w:type="dxa"/>
            <w:vAlign w:val="center"/>
          </w:tcPr>
          <w:p w14:paraId="023A75F7"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3.65</w:t>
            </w:r>
          </w:p>
        </w:tc>
        <w:tc>
          <w:tcPr>
            <w:tcW w:w="1169" w:type="dxa"/>
            <w:vAlign w:val="center"/>
          </w:tcPr>
          <w:p w14:paraId="17CC3091" w14:textId="77777777" w:rsidR="009B2872" w:rsidRPr="00182A8F" w:rsidRDefault="009B2872" w:rsidP="0085416A">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3.58</w:t>
            </w:r>
          </w:p>
        </w:tc>
      </w:tr>
      <w:tr w:rsidR="009B2872" w:rsidRPr="00182A8F" w14:paraId="48236039" w14:textId="77777777" w:rsidTr="00804F0D">
        <w:tc>
          <w:tcPr>
            <w:tcW w:w="3823" w:type="dxa"/>
            <w:shd w:val="clear" w:color="auto" w:fill="auto"/>
            <w:vAlign w:val="center"/>
            <w:hideMark/>
          </w:tcPr>
          <w:p w14:paraId="5328B5A4" w14:textId="77777777" w:rsidR="009B2872" w:rsidRPr="00182A8F" w:rsidRDefault="009B2872" w:rsidP="009B2872">
            <w:pPr>
              <w:spacing w:before="0" w:after="0" w:line="240" w:lineRule="auto"/>
              <w:jc w:val="lef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sz w:val="18"/>
                <w:szCs w:val="18"/>
              </w:rPr>
              <w:t xml:space="preserve">Total (with LULUCF) </w:t>
            </w:r>
            <w:r w:rsidRPr="00182A8F">
              <w:rPr>
                <w:rFonts w:asciiTheme="minorHAnsi" w:eastAsia="Times New Roman" w:hAnsiTheme="minorHAnsi" w:cstheme="minorHAnsi"/>
                <w:sz w:val="18"/>
                <w:szCs w:val="18"/>
                <w:vertAlign w:val="superscript"/>
              </w:rPr>
              <w:t>(8)</w:t>
            </w:r>
          </w:p>
        </w:tc>
        <w:tc>
          <w:tcPr>
            <w:tcW w:w="957" w:type="dxa"/>
            <w:vAlign w:val="center"/>
          </w:tcPr>
          <w:p w14:paraId="5BCD4040" w14:textId="77777777" w:rsidR="009B2872" w:rsidRPr="00182A8F" w:rsidRDefault="009B2872" w:rsidP="0085416A">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64,215.48</w:t>
            </w:r>
          </w:p>
        </w:tc>
        <w:tc>
          <w:tcPr>
            <w:tcW w:w="1099" w:type="dxa"/>
            <w:vAlign w:val="center"/>
          </w:tcPr>
          <w:p w14:paraId="6C26B1C3" w14:textId="77777777" w:rsidR="009B2872" w:rsidRPr="00182A8F" w:rsidRDefault="009B2872" w:rsidP="0085416A">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55,476.86</w:t>
            </w:r>
          </w:p>
        </w:tc>
        <w:tc>
          <w:tcPr>
            <w:tcW w:w="1169" w:type="dxa"/>
            <w:vAlign w:val="center"/>
          </w:tcPr>
          <w:p w14:paraId="237E6FDE" w14:textId="77777777" w:rsidR="009B2872" w:rsidRPr="00182A8F" w:rsidRDefault="009B2872" w:rsidP="0085416A">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53,779.06</w:t>
            </w:r>
          </w:p>
        </w:tc>
        <w:tc>
          <w:tcPr>
            <w:tcW w:w="1134" w:type="dxa"/>
            <w:vAlign w:val="center"/>
          </w:tcPr>
          <w:p w14:paraId="44964C06" w14:textId="77777777" w:rsidR="009B2872" w:rsidRPr="00182A8F" w:rsidRDefault="009B2872" w:rsidP="0085416A">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53,524.42</w:t>
            </w:r>
          </w:p>
        </w:tc>
        <w:tc>
          <w:tcPr>
            <w:tcW w:w="1099" w:type="dxa"/>
            <w:vAlign w:val="center"/>
          </w:tcPr>
          <w:p w14:paraId="54EF5ABE" w14:textId="77777777" w:rsidR="009B2872" w:rsidRPr="00182A8F" w:rsidRDefault="009B2872" w:rsidP="0085416A">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52,989.07</w:t>
            </w:r>
          </w:p>
        </w:tc>
        <w:tc>
          <w:tcPr>
            <w:tcW w:w="1027" w:type="dxa"/>
            <w:vAlign w:val="center"/>
          </w:tcPr>
          <w:p w14:paraId="7D791FAF" w14:textId="77777777" w:rsidR="009B2872" w:rsidRPr="00182A8F" w:rsidRDefault="009B2872" w:rsidP="0085416A">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58,565.12</w:t>
            </w:r>
          </w:p>
        </w:tc>
        <w:tc>
          <w:tcPr>
            <w:tcW w:w="1134" w:type="dxa"/>
            <w:vAlign w:val="center"/>
          </w:tcPr>
          <w:p w14:paraId="2AC175A9" w14:textId="77777777" w:rsidR="009B2872" w:rsidRPr="00182A8F" w:rsidRDefault="009B2872" w:rsidP="0085416A">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57,702.48</w:t>
            </w:r>
          </w:p>
        </w:tc>
        <w:tc>
          <w:tcPr>
            <w:tcW w:w="1134" w:type="dxa"/>
            <w:vAlign w:val="center"/>
          </w:tcPr>
          <w:p w14:paraId="5ACB9C40" w14:textId="77777777" w:rsidR="009B2872" w:rsidRPr="00182A8F" w:rsidRDefault="009B2872" w:rsidP="0085416A">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58,598.19</w:t>
            </w:r>
          </w:p>
        </w:tc>
        <w:tc>
          <w:tcPr>
            <w:tcW w:w="1169" w:type="dxa"/>
            <w:vAlign w:val="center"/>
          </w:tcPr>
          <w:p w14:paraId="50362482" w14:textId="77777777" w:rsidR="009B2872" w:rsidRPr="00182A8F" w:rsidRDefault="009B2872" w:rsidP="0085416A">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58,307.56</w:t>
            </w:r>
          </w:p>
        </w:tc>
      </w:tr>
    </w:tbl>
    <w:p w14:paraId="102F521C" w14:textId="77777777" w:rsidR="009B2872" w:rsidRPr="009B2872" w:rsidRDefault="009B2872" w:rsidP="009B2872">
      <w:pPr>
        <w:jc w:val="left"/>
        <w:rPr>
          <w:sz w:val="20"/>
        </w:rPr>
      </w:pPr>
      <w:r w:rsidRPr="009B2872">
        <w:br w:type="page"/>
      </w:r>
    </w:p>
    <w:tbl>
      <w:tblPr>
        <w:tblW w:w="1451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CellMar>
          <w:top w:w="15" w:type="dxa"/>
          <w:bottom w:w="15" w:type="dxa"/>
        </w:tblCellMar>
        <w:tblLook w:val="04A0" w:firstRow="1" w:lastRow="0" w:firstColumn="1" w:lastColumn="0" w:noHBand="0" w:noVBand="1"/>
      </w:tblPr>
      <w:tblGrid>
        <w:gridCol w:w="3931"/>
        <w:gridCol w:w="1218"/>
        <w:gridCol w:w="1219"/>
        <w:gridCol w:w="1219"/>
        <w:gridCol w:w="1204"/>
        <w:gridCol w:w="1211"/>
        <w:gridCol w:w="1219"/>
        <w:gridCol w:w="1189"/>
        <w:gridCol w:w="2105"/>
      </w:tblGrid>
      <w:tr w:rsidR="009B2872" w:rsidRPr="00182A8F" w14:paraId="5E29CD99" w14:textId="77777777" w:rsidTr="00DB1A89">
        <w:tc>
          <w:tcPr>
            <w:tcW w:w="3931" w:type="dxa"/>
            <w:shd w:val="clear" w:color="auto" w:fill="1B556B"/>
            <w:vAlign w:val="center"/>
          </w:tcPr>
          <w:p w14:paraId="48C99901" w14:textId="496067C7" w:rsidR="009B2872" w:rsidRPr="00182A8F" w:rsidRDefault="00BD046A" w:rsidP="009B2872">
            <w:pPr>
              <w:spacing w:before="0" w:after="0" w:line="240" w:lineRule="auto"/>
              <w:jc w:val="left"/>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Greenhouse gas emissions and removals</w:t>
            </w:r>
          </w:p>
        </w:tc>
        <w:tc>
          <w:tcPr>
            <w:tcW w:w="1218" w:type="dxa"/>
            <w:shd w:val="clear" w:color="auto" w:fill="1B556B"/>
            <w:vAlign w:val="center"/>
          </w:tcPr>
          <w:p w14:paraId="78FFA709"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2016</w:t>
            </w:r>
          </w:p>
        </w:tc>
        <w:tc>
          <w:tcPr>
            <w:tcW w:w="1219" w:type="dxa"/>
            <w:shd w:val="clear" w:color="auto" w:fill="1B556B"/>
            <w:vAlign w:val="center"/>
          </w:tcPr>
          <w:p w14:paraId="02B7F5CA"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2017</w:t>
            </w:r>
          </w:p>
        </w:tc>
        <w:tc>
          <w:tcPr>
            <w:tcW w:w="1219" w:type="dxa"/>
            <w:shd w:val="clear" w:color="auto" w:fill="1B556B"/>
            <w:vAlign w:val="center"/>
          </w:tcPr>
          <w:p w14:paraId="665D010D"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2018</w:t>
            </w:r>
          </w:p>
        </w:tc>
        <w:tc>
          <w:tcPr>
            <w:tcW w:w="1204" w:type="dxa"/>
            <w:shd w:val="clear" w:color="auto" w:fill="1B556B"/>
            <w:vAlign w:val="center"/>
          </w:tcPr>
          <w:p w14:paraId="18FE322F"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2019</w:t>
            </w:r>
          </w:p>
        </w:tc>
        <w:tc>
          <w:tcPr>
            <w:tcW w:w="1211" w:type="dxa"/>
            <w:shd w:val="clear" w:color="auto" w:fill="1B556B"/>
            <w:vAlign w:val="center"/>
          </w:tcPr>
          <w:p w14:paraId="6AD7F31D"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2020</w:t>
            </w:r>
          </w:p>
        </w:tc>
        <w:tc>
          <w:tcPr>
            <w:tcW w:w="1219" w:type="dxa"/>
            <w:shd w:val="clear" w:color="auto" w:fill="1B556B"/>
            <w:vAlign w:val="center"/>
          </w:tcPr>
          <w:p w14:paraId="799688A8"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2021</w:t>
            </w:r>
          </w:p>
        </w:tc>
        <w:tc>
          <w:tcPr>
            <w:tcW w:w="1189" w:type="dxa"/>
            <w:shd w:val="clear" w:color="auto" w:fill="1B556B"/>
            <w:vAlign w:val="center"/>
          </w:tcPr>
          <w:p w14:paraId="1F058F3E"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2022</w:t>
            </w:r>
          </w:p>
        </w:tc>
        <w:tc>
          <w:tcPr>
            <w:tcW w:w="2105" w:type="dxa"/>
            <w:shd w:val="clear" w:color="auto" w:fill="1B556B"/>
            <w:vAlign w:val="center"/>
          </w:tcPr>
          <w:p w14:paraId="3354FAE4"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Change from 1990 to latest reported year</w:t>
            </w:r>
          </w:p>
        </w:tc>
      </w:tr>
      <w:tr w:rsidR="009B2872" w:rsidRPr="00182A8F" w14:paraId="66B591A7" w14:textId="77777777" w:rsidTr="00DB1A89">
        <w:tc>
          <w:tcPr>
            <w:tcW w:w="3931" w:type="dxa"/>
            <w:shd w:val="clear" w:color="auto" w:fill="1B556B"/>
            <w:vAlign w:val="center"/>
          </w:tcPr>
          <w:p w14:paraId="04C15F72" w14:textId="77777777" w:rsidR="009B2872" w:rsidRPr="00182A8F" w:rsidRDefault="009B2872" w:rsidP="009B2872">
            <w:pPr>
              <w:spacing w:before="0" w:after="0" w:line="240" w:lineRule="auto"/>
              <w:jc w:val="left"/>
              <w:rPr>
                <w:rFonts w:asciiTheme="minorHAnsi" w:eastAsia="Times New Roman" w:hAnsiTheme="minorHAnsi" w:cstheme="minorHAnsi"/>
                <w:b/>
                <w:bCs/>
                <w:color w:val="FFFFFF" w:themeColor="background1"/>
                <w:sz w:val="18"/>
                <w:szCs w:val="18"/>
              </w:rPr>
            </w:pPr>
          </w:p>
        </w:tc>
        <w:tc>
          <w:tcPr>
            <w:tcW w:w="8479" w:type="dxa"/>
            <w:gridSpan w:val="7"/>
            <w:shd w:val="clear" w:color="auto" w:fill="1B556B"/>
            <w:vAlign w:val="center"/>
          </w:tcPr>
          <w:p w14:paraId="09774B5E" w14:textId="77777777" w:rsidR="009B2872" w:rsidRPr="00182A8F" w:rsidRDefault="009B2872" w:rsidP="009B2872">
            <w:pPr>
              <w:spacing w:before="0" w:after="0" w:line="240" w:lineRule="auto"/>
              <w:jc w:val="lef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FFFFFF" w:themeColor="background1"/>
                <w:sz w:val="18"/>
                <w:szCs w:val="18"/>
              </w:rPr>
              <w:t>CO</w:t>
            </w:r>
            <w:r w:rsidRPr="00182A8F">
              <w:rPr>
                <w:rFonts w:asciiTheme="minorHAnsi" w:eastAsia="Times New Roman" w:hAnsiTheme="minorHAnsi" w:cstheme="minorHAnsi"/>
                <w:b/>
                <w:bCs/>
                <w:color w:val="FFFFFF" w:themeColor="background1"/>
                <w:sz w:val="18"/>
                <w:szCs w:val="18"/>
                <w:vertAlign w:val="subscript"/>
              </w:rPr>
              <w:t>2</w:t>
            </w:r>
            <w:r w:rsidRPr="00182A8F">
              <w:rPr>
                <w:rFonts w:asciiTheme="minorHAnsi" w:eastAsia="Times New Roman" w:hAnsiTheme="minorHAnsi" w:cstheme="minorHAnsi"/>
                <w:b/>
                <w:bCs/>
                <w:color w:val="FFFFFF" w:themeColor="background1"/>
                <w:sz w:val="18"/>
                <w:szCs w:val="18"/>
              </w:rPr>
              <w:t xml:space="preserve"> equivalents (kt) </w:t>
            </w:r>
            <w:r w:rsidRPr="00182A8F">
              <w:rPr>
                <w:rFonts w:asciiTheme="minorHAnsi" w:eastAsia="Times New Roman" w:hAnsiTheme="minorHAnsi" w:cstheme="minorHAnsi"/>
                <w:b/>
                <w:bCs/>
                <w:color w:val="FFFFFF" w:themeColor="background1"/>
                <w:sz w:val="18"/>
                <w:szCs w:val="18"/>
                <w:vertAlign w:val="superscript"/>
              </w:rPr>
              <w:t>(3)</w:t>
            </w:r>
            <w:r w:rsidRPr="00182A8F">
              <w:rPr>
                <w:rFonts w:asciiTheme="minorHAnsi" w:eastAsia="Times New Roman" w:hAnsiTheme="minorHAnsi" w:cstheme="minorHAnsi"/>
                <w:b/>
                <w:bCs/>
                <w:color w:val="FFFFFF" w:themeColor="background1"/>
                <w:sz w:val="18"/>
                <w:szCs w:val="18"/>
              </w:rPr>
              <w:t> </w:t>
            </w:r>
          </w:p>
        </w:tc>
        <w:tc>
          <w:tcPr>
            <w:tcW w:w="2105" w:type="dxa"/>
            <w:shd w:val="clear" w:color="auto" w:fill="1B556B"/>
            <w:vAlign w:val="center"/>
          </w:tcPr>
          <w:p w14:paraId="40931C68" w14:textId="77777777" w:rsidR="009B2872" w:rsidRPr="00182A8F" w:rsidRDefault="009B2872" w:rsidP="009B2872">
            <w:pPr>
              <w:spacing w:before="0" w:after="0" w:line="240" w:lineRule="auto"/>
              <w:jc w:val="center"/>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FFFFFF" w:themeColor="background1"/>
                <w:sz w:val="18"/>
                <w:szCs w:val="18"/>
              </w:rPr>
              <w:t>(%)</w:t>
            </w:r>
          </w:p>
        </w:tc>
      </w:tr>
      <w:tr w:rsidR="009B2872" w:rsidRPr="00182A8F" w14:paraId="0CA78E8B" w14:textId="77777777" w:rsidTr="00DB1A89">
        <w:tc>
          <w:tcPr>
            <w:tcW w:w="3931" w:type="dxa"/>
            <w:shd w:val="clear" w:color="auto" w:fill="auto"/>
            <w:vAlign w:val="center"/>
          </w:tcPr>
          <w:p w14:paraId="5EA1A5A2"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CO</w:t>
            </w:r>
            <w:r w:rsidRPr="00182A8F">
              <w:rPr>
                <w:rFonts w:asciiTheme="minorHAnsi" w:eastAsia="Times New Roman" w:hAnsiTheme="minorHAnsi" w:cstheme="minorHAnsi"/>
                <w:sz w:val="18"/>
                <w:szCs w:val="18"/>
                <w:vertAlign w:val="subscript"/>
              </w:rPr>
              <w:t>2</w:t>
            </w:r>
            <w:r w:rsidRPr="00182A8F">
              <w:rPr>
                <w:rFonts w:asciiTheme="minorHAnsi" w:eastAsia="Times New Roman" w:hAnsiTheme="minorHAnsi" w:cstheme="minorHAnsi"/>
                <w:sz w:val="18"/>
                <w:szCs w:val="18"/>
              </w:rPr>
              <w:t xml:space="preserve"> emissions without net CO</w:t>
            </w:r>
            <w:r w:rsidRPr="00182A8F">
              <w:rPr>
                <w:rFonts w:asciiTheme="minorHAnsi" w:eastAsia="Times New Roman" w:hAnsiTheme="minorHAnsi" w:cstheme="minorHAnsi"/>
                <w:sz w:val="18"/>
                <w:szCs w:val="18"/>
                <w:vertAlign w:val="subscript"/>
              </w:rPr>
              <w:t>2</w:t>
            </w:r>
            <w:r w:rsidRPr="00182A8F">
              <w:rPr>
                <w:rFonts w:asciiTheme="minorHAnsi" w:eastAsia="Times New Roman" w:hAnsiTheme="minorHAnsi" w:cstheme="minorHAnsi"/>
                <w:sz w:val="18"/>
                <w:szCs w:val="18"/>
              </w:rPr>
              <w:t xml:space="preserve"> from LULUCF</w:t>
            </w:r>
          </w:p>
        </w:tc>
        <w:tc>
          <w:tcPr>
            <w:tcW w:w="1218" w:type="dxa"/>
            <w:vAlign w:val="center"/>
          </w:tcPr>
          <w:p w14:paraId="7A5C1C41"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34,145.53</w:t>
            </w:r>
          </w:p>
        </w:tc>
        <w:tc>
          <w:tcPr>
            <w:tcW w:w="1219" w:type="dxa"/>
            <w:vAlign w:val="center"/>
          </w:tcPr>
          <w:p w14:paraId="3AB4D2BD"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35,684.56</w:t>
            </w:r>
          </w:p>
        </w:tc>
        <w:tc>
          <w:tcPr>
            <w:tcW w:w="1219" w:type="dxa"/>
            <w:vAlign w:val="center"/>
          </w:tcPr>
          <w:p w14:paraId="46057081"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35,702.51</w:t>
            </w:r>
          </w:p>
        </w:tc>
        <w:tc>
          <w:tcPr>
            <w:tcW w:w="1204" w:type="dxa"/>
            <w:vAlign w:val="center"/>
          </w:tcPr>
          <w:p w14:paraId="59B9E88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36,731.82</w:t>
            </w:r>
          </w:p>
        </w:tc>
        <w:tc>
          <w:tcPr>
            <w:tcW w:w="1211" w:type="dxa"/>
            <w:vAlign w:val="center"/>
          </w:tcPr>
          <w:p w14:paraId="4C1A001F"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34,022.76</w:t>
            </w:r>
          </w:p>
        </w:tc>
        <w:tc>
          <w:tcPr>
            <w:tcW w:w="1219" w:type="dxa"/>
            <w:vAlign w:val="center"/>
          </w:tcPr>
          <w:p w14:paraId="1C837BE2"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34,322.61</w:t>
            </w:r>
          </w:p>
        </w:tc>
        <w:tc>
          <w:tcPr>
            <w:tcW w:w="1189" w:type="dxa"/>
            <w:vAlign w:val="center"/>
          </w:tcPr>
          <w:p w14:paraId="7B343FAD"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31,610.09</w:t>
            </w:r>
          </w:p>
        </w:tc>
        <w:tc>
          <w:tcPr>
            <w:tcW w:w="2105" w:type="dxa"/>
            <w:vAlign w:val="center"/>
          </w:tcPr>
          <w:p w14:paraId="1E7BC0FE"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23.97</w:t>
            </w:r>
          </w:p>
        </w:tc>
      </w:tr>
      <w:tr w:rsidR="009B2872" w:rsidRPr="00182A8F" w14:paraId="238E3415" w14:textId="77777777" w:rsidTr="00DB1A89">
        <w:tc>
          <w:tcPr>
            <w:tcW w:w="3931" w:type="dxa"/>
            <w:shd w:val="clear" w:color="auto" w:fill="auto"/>
            <w:vAlign w:val="center"/>
          </w:tcPr>
          <w:p w14:paraId="13141BCD"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CO</w:t>
            </w:r>
            <w:r w:rsidRPr="00182A8F">
              <w:rPr>
                <w:rFonts w:asciiTheme="minorHAnsi" w:eastAsia="Times New Roman" w:hAnsiTheme="minorHAnsi" w:cstheme="minorHAnsi"/>
                <w:sz w:val="18"/>
                <w:szCs w:val="18"/>
                <w:vertAlign w:val="subscript"/>
              </w:rPr>
              <w:t>2</w:t>
            </w:r>
            <w:r w:rsidRPr="00182A8F">
              <w:rPr>
                <w:rFonts w:asciiTheme="minorHAnsi" w:eastAsia="Times New Roman" w:hAnsiTheme="minorHAnsi" w:cstheme="minorHAnsi"/>
                <w:sz w:val="18"/>
                <w:szCs w:val="18"/>
              </w:rPr>
              <w:t xml:space="preserve"> emissions with net CO</w:t>
            </w:r>
            <w:r w:rsidRPr="00182A8F">
              <w:rPr>
                <w:rFonts w:asciiTheme="minorHAnsi" w:eastAsia="Times New Roman" w:hAnsiTheme="minorHAnsi" w:cstheme="minorHAnsi"/>
                <w:sz w:val="18"/>
                <w:szCs w:val="18"/>
                <w:vertAlign w:val="subscript"/>
              </w:rPr>
              <w:t>2</w:t>
            </w:r>
            <w:r w:rsidRPr="00182A8F">
              <w:rPr>
                <w:rFonts w:asciiTheme="minorHAnsi" w:eastAsia="Times New Roman" w:hAnsiTheme="minorHAnsi" w:cstheme="minorHAnsi"/>
                <w:sz w:val="18"/>
                <w:szCs w:val="18"/>
              </w:rPr>
              <w:t xml:space="preserve"> from LULUCF</w:t>
            </w:r>
          </w:p>
        </w:tc>
        <w:tc>
          <w:tcPr>
            <w:tcW w:w="1218" w:type="dxa"/>
            <w:vAlign w:val="center"/>
          </w:tcPr>
          <w:p w14:paraId="057B4EE2"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8,832.93</w:t>
            </w:r>
          </w:p>
        </w:tc>
        <w:tc>
          <w:tcPr>
            <w:tcW w:w="1219" w:type="dxa"/>
            <w:vAlign w:val="center"/>
          </w:tcPr>
          <w:p w14:paraId="668DEB8C"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11,889.49</w:t>
            </w:r>
          </w:p>
        </w:tc>
        <w:tc>
          <w:tcPr>
            <w:tcW w:w="1219" w:type="dxa"/>
            <w:vAlign w:val="center"/>
          </w:tcPr>
          <w:p w14:paraId="6D924395"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12,973.51</w:t>
            </w:r>
          </w:p>
        </w:tc>
        <w:tc>
          <w:tcPr>
            <w:tcW w:w="1204" w:type="dxa"/>
            <w:vAlign w:val="center"/>
          </w:tcPr>
          <w:p w14:paraId="1F37904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14,806.00</w:t>
            </w:r>
          </w:p>
        </w:tc>
        <w:tc>
          <w:tcPr>
            <w:tcW w:w="1211" w:type="dxa"/>
            <w:vAlign w:val="center"/>
          </w:tcPr>
          <w:p w14:paraId="31A6FC63"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12,618.07</w:t>
            </w:r>
          </w:p>
        </w:tc>
        <w:tc>
          <w:tcPr>
            <w:tcW w:w="1219" w:type="dxa"/>
            <w:vAlign w:val="center"/>
          </w:tcPr>
          <w:p w14:paraId="6E2D40D2"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13,551.36</w:t>
            </w:r>
          </w:p>
        </w:tc>
        <w:tc>
          <w:tcPr>
            <w:tcW w:w="1189" w:type="dxa"/>
            <w:vAlign w:val="center"/>
          </w:tcPr>
          <w:p w14:paraId="591CB6D7"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12,019.14</w:t>
            </w:r>
          </w:p>
        </w:tc>
        <w:tc>
          <w:tcPr>
            <w:tcW w:w="2105" w:type="dxa"/>
            <w:vAlign w:val="center"/>
          </w:tcPr>
          <w:p w14:paraId="3D9F4E5E"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1,394.56</w:t>
            </w:r>
          </w:p>
        </w:tc>
      </w:tr>
      <w:tr w:rsidR="009B2872" w:rsidRPr="00182A8F" w14:paraId="4D161E7F" w14:textId="77777777" w:rsidTr="00DB1A89">
        <w:tc>
          <w:tcPr>
            <w:tcW w:w="3931" w:type="dxa"/>
            <w:shd w:val="clear" w:color="auto" w:fill="auto"/>
            <w:vAlign w:val="center"/>
          </w:tcPr>
          <w:p w14:paraId="2170CB7E"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CH</w:t>
            </w:r>
            <w:r w:rsidRPr="00182A8F">
              <w:rPr>
                <w:rFonts w:asciiTheme="minorHAnsi" w:eastAsia="Times New Roman" w:hAnsiTheme="minorHAnsi" w:cstheme="minorHAnsi"/>
                <w:sz w:val="18"/>
                <w:szCs w:val="18"/>
                <w:vertAlign w:val="subscript"/>
              </w:rPr>
              <w:t>4</w:t>
            </w:r>
            <w:r w:rsidRPr="00182A8F">
              <w:rPr>
                <w:rFonts w:asciiTheme="minorHAnsi" w:eastAsia="Times New Roman" w:hAnsiTheme="minorHAnsi" w:cstheme="minorHAnsi"/>
                <w:sz w:val="18"/>
                <w:szCs w:val="18"/>
              </w:rPr>
              <w:t xml:space="preserve"> emissions without CH</w:t>
            </w:r>
            <w:r w:rsidRPr="00182A8F">
              <w:rPr>
                <w:rFonts w:asciiTheme="minorHAnsi" w:eastAsia="Times New Roman" w:hAnsiTheme="minorHAnsi" w:cstheme="minorHAnsi"/>
                <w:sz w:val="18"/>
                <w:szCs w:val="18"/>
                <w:vertAlign w:val="subscript"/>
              </w:rPr>
              <w:t>4</w:t>
            </w:r>
            <w:r w:rsidRPr="00182A8F">
              <w:rPr>
                <w:rFonts w:asciiTheme="minorHAnsi" w:eastAsia="Times New Roman" w:hAnsiTheme="minorHAnsi" w:cstheme="minorHAnsi"/>
                <w:sz w:val="18"/>
                <w:szCs w:val="18"/>
              </w:rPr>
              <w:t xml:space="preserve"> from LULUCF</w:t>
            </w:r>
          </w:p>
        </w:tc>
        <w:tc>
          <w:tcPr>
            <w:tcW w:w="1218" w:type="dxa"/>
            <w:vAlign w:val="center"/>
          </w:tcPr>
          <w:p w14:paraId="7F3B6DA5"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39,116.71</w:t>
            </w:r>
          </w:p>
        </w:tc>
        <w:tc>
          <w:tcPr>
            <w:tcW w:w="1219" w:type="dxa"/>
            <w:vAlign w:val="center"/>
          </w:tcPr>
          <w:p w14:paraId="25EA6115"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38,915.49</w:t>
            </w:r>
          </w:p>
        </w:tc>
        <w:tc>
          <w:tcPr>
            <w:tcW w:w="1219" w:type="dxa"/>
            <w:vAlign w:val="center"/>
          </w:tcPr>
          <w:p w14:paraId="2B9B2C23"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39,079.73</w:t>
            </w:r>
          </w:p>
        </w:tc>
        <w:tc>
          <w:tcPr>
            <w:tcW w:w="1204" w:type="dxa"/>
            <w:vAlign w:val="center"/>
          </w:tcPr>
          <w:p w14:paraId="7AF8F575"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39,147.54</w:t>
            </w:r>
          </w:p>
        </w:tc>
        <w:tc>
          <w:tcPr>
            <w:tcW w:w="1211" w:type="dxa"/>
            <w:vAlign w:val="center"/>
          </w:tcPr>
          <w:p w14:paraId="3BED72EE"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39,030.73</w:t>
            </w:r>
          </w:p>
        </w:tc>
        <w:tc>
          <w:tcPr>
            <w:tcW w:w="1219" w:type="dxa"/>
            <w:vAlign w:val="center"/>
          </w:tcPr>
          <w:p w14:paraId="1F5EDDD1"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38,618.24</w:t>
            </w:r>
          </w:p>
        </w:tc>
        <w:tc>
          <w:tcPr>
            <w:tcW w:w="1189" w:type="dxa"/>
            <w:vAlign w:val="center"/>
          </w:tcPr>
          <w:p w14:paraId="15706E1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38,339.31</w:t>
            </w:r>
          </w:p>
        </w:tc>
        <w:tc>
          <w:tcPr>
            <w:tcW w:w="2105" w:type="dxa"/>
            <w:vAlign w:val="center"/>
          </w:tcPr>
          <w:p w14:paraId="153C8063"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2.18</w:t>
            </w:r>
          </w:p>
        </w:tc>
      </w:tr>
      <w:tr w:rsidR="009B2872" w:rsidRPr="00182A8F" w14:paraId="4D793044" w14:textId="77777777" w:rsidTr="00DB1A89">
        <w:tc>
          <w:tcPr>
            <w:tcW w:w="3931" w:type="dxa"/>
            <w:shd w:val="clear" w:color="auto" w:fill="auto"/>
            <w:vAlign w:val="center"/>
          </w:tcPr>
          <w:p w14:paraId="649CC161"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CH</w:t>
            </w:r>
            <w:r w:rsidRPr="00182A8F">
              <w:rPr>
                <w:rFonts w:asciiTheme="minorHAnsi" w:eastAsia="Times New Roman" w:hAnsiTheme="minorHAnsi" w:cstheme="minorHAnsi"/>
                <w:sz w:val="18"/>
                <w:szCs w:val="18"/>
                <w:vertAlign w:val="subscript"/>
              </w:rPr>
              <w:t>4</w:t>
            </w:r>
            <w:r w:rsidRPr="00182A8F">
              <w:rPr>
                <w:rFonts w:asciiTheme="minorHAnsi" w:eastAsia="Times New Roman" w:hAnsiTheme="minorHAnsi" w:cstheme="minorHAnsi"/>
                <w:sz w:val="18"/>
                <w:szCs w:val="18"/>
              </w:rPr>
              <w:t xml:space="preserve"> emissions with CH</w:t>
            </w:r>
            <w:r w:rsidRPr="00182A8F">
              <w:rPr>
                <w:rFonts w:asciiTheme="minorHAnsi" w:eastAsia="Times New Roman" w:hAnsiTheme="minorHAnsi" w:cstheme="minorHAnsi"/>
                <w:sz w:val="18"/>
                <w:szCs w:val="18"/>
                <w:vertAlign w:val="subscript"/>
              </w:rPr>
              <w:t>4</w:t>
            </w:r>
            <w:r w:rsidRPr="00182A8F">
              <w:rPr>
                <w:rFonts w:asciiTheme="minorHAnsi" w:eastAsia="Times New Roman" w:hAnsiTheme="minorHAnsi" w:cstheme="minorHAnsi"/>
                <w:sz w:val="18"/>
                <w:szCs w:val="18"/>
              </w:rPr>
              <w:t xml:space="preserve"> from LULUCF</w:t>
            </w:r>
          </w:p>
        </w:tc>
        <w:tc>
          <w:tcPr>
            <w:tcW w:w="1218" w:type="dxa"/>
            <w:vAlign w:val="center"/>
          </w:tcPr>
          <w:p w14:paraId="6CB39EDF"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39,239.22</w:t>
            </w:r>
          </w:p>
        </w:tc>
        <w:tc>
          <w:tcPr>
            <w:tcW w:w="1219" w:type="dxa"/>
            <w:vAlign w:val="center"/>
          </w:tcPr>
          <w:p w14:paraId="41E2BBC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39,024.19</w:t>
            </w:r>
          </w:p>
        </w:tc>
        <w:tc>
          <w:tcPr>
            <w:tcW w:w="1219" w:type="dxa"/>
            <w:vAlign w:val="center"/>
          </w:tcPr>
          <w:p w14:paraId="324AE1B7"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39,161.08</w:t>
            </w:r>
          </w:p>
        </w:tc>
        <w:tc>
          <w:tcPr>
            <w:tcW w:w="1204" w:type="dxa"/>
            <w:vAlign w:val="center"/>
          </w:tcPr>
          <w:p w14:paraId="7DC1FF32"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39,239.79</w:t>
            </w:r>
          </w:p>
        </w:tc>
        <w:tc>
          <w:tcPr>
            <w:tcW w:w="1211" w:type="dxa"/>
            <w:vAlign w:val="center"/>
          </w:tcPr>
          <w:p w14:paraId="1668199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39,128.37</w:t>
            </w:r>
          </w:p>
        </w:tc>
        <w:tc>
          <w:tcPr>
            <w:tcW w:w="1219" w:type="dxa"/>
            <w:vAlign w:val="center"/>
          </w:tcPr>
          <w:p w14:paraId="32A9F25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38,654.80</w:t>
            </w:r>
          </w:p>
        </w:tc>
        <w:tc>
          <w:tcPr>
            <w:tcW w:w="1189" w:type="dxa"/>
            <w:vAlign w:val="center"/>
          </w:tcPr>
          <w:p w14:paraId="3CC300EC"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38,421.60</w:t>
            </w:r>
          </w:p>
        </w:tc>
        <w:tc>
          <w:tcPr>
            <w:tcW w:w="2105" w:type="dxa"/>
            <w:vAlign w:val="center"/>
          </w:tcPr>
          <w:p w14:paraId="2007273E"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2.20</w:t>
            </w:r>
          </w:p>
        </w:tc>
      </w:tr>
      <w:tr w:rsidR="009B2872" w:rsidRPr="00182A8F" w14:paraId="52C99596" w14:textId="77777777" w:rsidTr="00DB1A89">
        <w:tc>
          <w:tcPr>
            <w:tcW w:w="3931" w:type="dxa"/>
            <w:shd w:val="clear" w:color="auto" w:fill="auto"/>
            <w:vAlign w:val="center"/>
          </w:tcPr>
          <w:p w14:paraId="3D3D8A21"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N</w:t>
            </w:r>
            <w:r w:rsidRPr="00182A8F">
              <w:rPr>
                <w:rFonts w:asciiTheme="minorHAnsi" w:eastAsia="Times New Roman" w:hAnsiTheme="minorHAnsi" w:cstheme="minorHAnsi"/>
                <w:sz w:val="18"/>
                <w:szCs w:val="18"/>
                <w:vertAlign w:val="subscript"/>
              </w:rPr>
              <w:t>2</w:t>
            </w:r>
            <w:r w:rsidRPr="00182A8F">
              <w:rPr>
                <w:rFonts w:asciiTheme="minorHAnsi" w:eastAsia="Times New Roman" w:hAnsiTheme="minorHAnsi" w:cstheme="minorHAnsi"/>
                <w:sz w:val="18"/>
                <w:szCs w:val="18"/>
              </w:rPr>
              <w:t>O emissions without N</w:t>
            </w:r>
            <w:r w:rsidRPr="00182A8F">
              <w:rPr>
                <w:rFonts w:asciiTheme="minorHAnsi" w:eastAsia="Times New Roman" w:hAnsiTheme="minorHAnsi" w:cstheme="minorHAnsi"/>
                <w:sz w:val="18"/>
                <w:szCs w:val="18"/>
                <w:vertAlign w:val="subscript"/>
              </w:rPr>
              <w:t>2</w:t>
            </w:r>
            <w:r w:rsidRPr="00182A8F">
              <w:rPr>
                <w:rFonts w:asciiTheme="minorHAnsi" w:eastAsia="Times New Roman" w:hAnsiTheme="minorHAnsi" w:cstheme="minorHAnsi"/>
                <w:sz w:val="18"/>
                <w:szCs w:val="18"/>
              </w:rPr>
              <w:t>O from LULUCF</w:t>
            </w:r>
          </w:p>
        </w:tc>
        <w:tc>
          <w:tcPr>
            <w:tcW w:w="1218" w:type="dxa"/>
            <w:vAlign w:val="center"/>
          </w:tcPr>
          <w:p w14:paraId="7CE8DD4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7,114.91</w:t>
            </w:r>
          </w:p>
        </w:tc>
        <w:tc>
          <w:tcPr>
            <w:tcW w:w="1219" w:type="dxa"/>
            <w:vAlign w:val="center"/>
          </w:tcPr>
          <w:p w14:paraId="0C7D6C46"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7,151.00</w:t>
            </w:r>
          </w:p>
        </w:tc>
        <w:tc>
          <w:tcPr>
            <w:tcW w:w="1219" w:type="dxa"/>
            <w:vAlign w:val="center"/>
          </w:tcPr>
          <w:p w14:paraId="42AF6291"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7,272.57</w:t>
            </w:r>
          </w:p>
        </w:tc>
        <w:tc>
          <w:tcPr>
            <w:tcW w:w="1204" w:type="dxa"/>
            <w:vAlign w:val="center"/>
          </w:tcPr>
          <w:p w14:paraId="5D6523CC"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7,295.44</w:t>
            </w:r>
          </w:p>
        </w:tc>
        <w:tc>
          <w:tcPr>
            <w:tcW w:w="1211" w:type="dxa"/>
            <w:vAlign w:val="center"/>
          </w:tcPr>
          <w:p w14:paraId="0C1B421F"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7,389.14</w:t>
            </w:r>
          </w:p>
        </w:tc>
        <w:tc>
          <w:tcPr>
            <w:tcW w:w="1219" w:type="dxa"/>
            <w:vAlign w:val="center"/>
          </w:tcPr>
          <w:p w14:paraId="0CC46027"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7,221.25</w:t>
            </w:r>
          </w:p>
        </w:tc>
        <w:tc>
          <w:tcPr>
            <w:tcW w:w="1189" w:type="dxa"/>
            <w:vAlign w:val="center"/>
          </w:tcPr>
          <w:p w14:paraId="64A9772E"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6,877.13</w:t>
            </w:r>
          </w:p>
        </w:tc>
        <w:tc>
          <w:tcPr>
            <w:tcW w:w="2105" w:type="dxa"/>
            <w:vAlign w:val="center"/>
          </w:tcPr>
          <w:p w14:paraId="544E16B2"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34.77</w:t>
            </w:r>
          </w:p>
        </w:tc>
      </w:tr>
      <w:tr w:rsidR="009B2872" w:rsidRPr="00182A8F" w14:paraId="67645C25" w14:textId="77777777" w:rsidTr="00DB1A89">
        <w:tc>
          <w:tcPr>
            <w:tcW w:w="3931" w:type="dxa"/>
            <w:shd w:val="clear" w:color="auto" w:fill="auto"/>
            <w:vAlign w:val="center"/>
          </w:tcPr>
          <w:p w14:paraId="1A7C7D0D"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N</w:t>
            </w:r>
            <w:r w:rsidRPr="00182A8F">
              <w:rPr>
                <w:rFonts w:asciiTheme="minorHAnsi" w:eastAsia="Times New Roman" w:hAnsiTheme="minorHAnsi" w:cstheme="minorHAnsi"/>
                <w:sz w:val="18"/>
                <w:szCs w:val="18"/>
                <w:vertAlign w:val="subscript"/>
              </w:rPr>
              <w:t>2</w:t>
            </w:r>
            <w:r w:rsidRPr="00182A8F">
              <w:rPr>
                <w:rFonts w:asciiTheme="minorHAnsi" w:eastAsia="Times New Roman" w:hAnsiTheme="minorHAnsi" w:cstheme="minorHAnsi"/>
                <w:sz w:val="18"/>
                <w:szCs w:val="18"/>
              </w:rPr>
              <w:t>O emissions with N</w:t>
            </w:r>
            <w:r w:rsidRPr="00182A8F">
              <w:rPr>
                <w:rFonts w:asciiTheme="minorHAnsi" w:eastAsia="Times New Roman" w:hAnsiTheme="minorHAnsi" w:cstheme="minorHAnsi"/>
                <w:sz w:val="18"/>
                <w:szCs w:val="18"/>
                <w:vertAlign w:val="subscript"/>
              </w:rPr>
              <w:t>2</w:t>
            </w:r>
            <w:r w:rsidRPr="00182A8F">
              <w:rPr>
                <w:rFonts w:asciiTheme="minorHAnsi" w:eastAsia="Times New Roman" w:hAnsiTheme="minorHAnsi" w:cstheme="minorHAnsi"/>
                <w:sz w:val="18"/>
                <w:szCs w:val="18"/>
              </w:rPr>
              <w:t>O from LULUCF</w:t>
            </w:r>
          </w:p>
        </w:tc>
        <w:tc>
          <w:tcPr>
            <w:tcW w:w="1218" w:type="dxa"/>
            <w:vAlign w:val="center"/>
          </w:tcPr>
          <w:p w14:paraId="34D6223B"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7,361.94</w:t>
            </w:r>
          </w:p>
        </w:tc>
        <w:tc>
          <w:tcPr>
            <w:tcW w:w="1219" w:type="dxa"/>
            <w:vAlign w:val="center"/>
          </w:tcPr>
          <w:p w14:paraId="15EC085A"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7,380.31</w:t>
            </w:r>
          </w:p>
        </w:tc>
        <w:tc>
          <w:tcPr>
            <w:tcW w:w="1219" w:type="dxa"/>
            <w:vAlign w:val="center"/>
          </w:tcPr>
          <w:p w14:paraId="1B093326"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7,494.85</w:t>
            </w:r>
          </w:p>
        </w:tc>
        <w:tc>
          <w:tcPr>
            <w:tcW w:w="1204" w:type="dxa"/>
            <w:vAlign w:val="center"/>
          </w:tcPr>
          <w:p w14:paraId="4AFBF31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7,534.59</w:t>
            </w:r>
          </w:p>
        </w:tc>
        <w:tc>
          <w:tcPr>
            <w:tcW w:w="1211" w:type="dxa"/>
            <w:vAlign w:val="center"/>
          </w:tcPr>
          <w:p w14:paraId="3EA9EC0F"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7,635.63</w:t>
            </w:r>
          </w:p>
        </w:tc>
        <w:tc>
          <w:tcPr>
            <w:tcW w:w="1219" w:type="dxa"/>
            <w:vAlign w:val="center"/>
          </w:tcPr>
          <w:p w14:paraId="17D1DD75"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7,450.37</w:t>
            </w:r>
          </w:p>
        </w:tc>
        <w:tc>
          <w:tcPr>
            <w:tcW w:w="1189" w:type="dxa"/>
            <w:vAlign w:val="center"/>
          </w:tcPr>
          <w:p w14:paraId="69299B75"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7,146.99</w:t>
            </w:r>
          </w:p>
        </w:tc>
        <w:tc>
          <w:tcPr>
            <w:tcW w:w="2105" w:type="dxa"/>
            <w:vAlign w:val="center"/>
          </w:tcPr>
          <w:p w14:paraId="7C3DBC0E"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32.49</w:t>
            </w:r>
          </w:p>
        </w:tc>
      </w:tr>
      <w:tr w:rsidR="009B2872" w:rsidRPr="00182A8F" w14:paraId="104975EB" w14:textId="77777777" w:rsidTr="00DB1A89">
        <w:tc>
          <w:tcPr>
            <w:tcW w:w="3931" w:type="dxa"/>
            <w:shd w:val="clear" w:color="auto" w:fill="auto"/>
            <w:vAlign w:val="center"/>
          </w:tcPr>
          <w:p w14:paraId="102FE969"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HFCs</w:t>
            </w:r>
          </w:p>
        </w:tc>
        <w:tc>
          <w:tcPr>
            <w:tcW w:w="1218" w:type="dxa"/>
            <w:vAlign w:val="center"/>
          </w:tcPr>
          <w:p w14:paraId="191A1F30"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1,217.35</w:t>
            </w:r>
          </w:p>
        </w:tc>
        <w:tc>
          <w:tcPr>
            <w:tcW w:w="1219" w:type="dxa"/>
            <w:vAlign w:val="center"/>
          </w:tcPr>
          <w:p w14:paraId="1A2B373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1,252.42</w:t>
            </w:r>
          </w:p>
        </w:tc>
        <w:tc>
          <w:tcPr>
            <w:tcW w:w="1219" w:type="dxa"/>
            <w:vAlign w:val="center"/>
          </w:tcPr>
          <w:p w14:paraId="06F1734D"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1,299.52</w:t>
            </w:r>
          </w:p>
        </w:tc>
        <w:tc>
          <w:tcPr>
            <w:tcW w:w="1204" w:type="dxa"/>
            <w:vAlign w:val="center"/>
          </w:tcPr>
          <w:p w14:paraId="77E1074B"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1,314.81</w:t>
            </w:r>
          </w:p>
        </w:tc>
        <w:tc>
          <w:tcPr>
            <w:tcW w:w="1211" w:type="dxa"/>
            <w:vAlign w:val="center"/>
          </w:tcPr>
          <w:p w14:paraId="0EE1BC8A"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1,343.16</w:t>
            </w:r>
          </w:p>
        </w:tc>
        <w:tc>
          <w:tcPr>
            <w:tcW w:w="1219" w:type="dxa"/>
            <w:vAlign w:val="center"/>
          </w:tcPr>
          <w:p w14:paraId="050AAA0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1,585.20</w:t>
            </w:r>
          </w:p>
        </w:tc>
        <w:tc>
          <w:tcPr>
            <w:tcW w:w="1189" w:type="dxa"/>
            <w:vAlign w:val="center"/>
          </w:tcPr>
          <w:p w14:paraId="0529118E"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1,498.48</w:t>
            </w:r>
          </w:p>
        </w:tc>
        <w:tc>
          <w:tcPr>
            <w:tcW w:w="2105" w:type="dxa"/>
            <w:vAlign w:val="center"/>
          </w:tcPr>
          <w:p w14:paraId="13932D9C"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w:t>
            </w:r>
          </w:p>
        </w:tc>
      </w:tr>
      <w:tr w:rsidR="009B2872" w:rsidRPr="00182A8F" w14:paraId="368328FD" w14:textId="77777777" w:rsidTr="00DB1A89">
        <w:tc>
          <w:tcPr>
            <w:tcW w:w="3931" w:type="dxa"/>
            <w:shd w:val="clear" w:color="auto" w:fill="auto"/>
            <w:vAlign w:val="center"/>
          </w:tcPr>
          <w:p w14:paraId="6D3D6D58"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PFCs</w:t>
            </w:r>
          </w:p>
        </w:tc>
        <w:tc>
          <w:tcPr>
            <w:tcW w:w="1218" w:type="dxa"/>
            <w:vAlign w:val="center"/>
          </w:tcPr>
          <w:p w14:paraId="6898B2EA"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43.79</w:t>
            </w:r>
          </w:p>
        </w:tc>
        <w:tc>
          <w:tcPr>
            <w:tcW w:w="1219" w:type="dxa"/>
            <w:vAlign w:val="center"/>
          </w:tcPr>
          <w:p w14:paraId="4514B537"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54.37</w:t>
            </w:r>
          </w:p>
        </w:tc>
        <w:tc>
          <w:tcPr>
            <w:tcW w:w="1219" w:type="dxa"/>
            <w:vAlign w:val="center"/>
          </w:tcPr>
          <w:p w14:paraId="4678E2A3"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65.10</w:t>
            </w:r>
          </w:p>
        </w:tc>
        <w:tc>
          <w:tcPr>
            <w:tcW w:w="1204" w:type="dxa"/>
            <w:vAlign w:val="center"/>
          </w:tcPr>
          <w:p w14:paraId="269B5105"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80.15</w:t>
            </w:r>
          </w:p>
        </w:tc>
        <w:tc>
          <w:tcPr>
            <w:tcW w:w="1211" w:type="dxa"/>
            <w:vAlign w:val="center"/>
          </w:tcPr>
          <w:p w14:paraId="2F80036F"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79.06</w:t>
            </w:r>
          </w:p>
        </w:tc>
        <w:tc>
          <w:tcPr>
            <w:tcW w:w="1219" w:type="dxa"/>
            <w:vAlign w:val="center"/>
          </w:tcPr>
          <w:p w14:paraId="5D109243"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45.58</w:t>
            </w:r>
          </w:p>
        </w:tc>
        <w:tc>
          <w:tcPr>
            <w:tcW w:w="1189" w:type="dxa"/>
            <w:vAlign w:val="center"/>
          </w:tcPr>
          <w:p w14:paraId="5FC8057B"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50.93</w:t>
            </w:r>
          </w:p>
        </w:tc>
        <w:tc>
          <w:tcPr>
            <w:tcW w:w="2105" w:type="dxa"/>
            <w:vAlign w:val="center"/>
          </w:tcPr>
          <w:p w14:paraId="1787242A" w14:textId="1700AC37" w:rsidR="009B2872" w:rsidRPr="00182A8F" w:rsidRDefault="00182A8F" w:rsidP="009B2872">
            <w:pPr>
              <w:spacing w:before="0" w:after="0" w:line="240" w:lineRule="auto"/>
              <w:jc w:val="right"/>
              <w:rPr>
                <w:rFonts w:asciiTheme="minorHAnsi" w:eastAsia="Times New Roman" w:hAnsiTheme="minorHAnsi" w:cstheme="minorHAnsi"/>
                <w:color w:val="000000"/>
                <w:sz w:val="18"/>
                <w:szCs w:val="18"/>
              </w:rPr>
            </w:pPr>
            <w:r>
              <w:rPr>
                <w:rFonts w:asciiTheme="minorHAnsi" w:eastAsia="Times New Roman" w:hAnsiTheme="minorHAnsi" w:cstheme="minorHAnsi"/>
                <w:color w:val="000000"/>
                <w:sz w:val="18"/>
                <w:szCs w:val="18"/>
              </w:rPr>
              <w:t>–</w:t>
            </w:r>
            <w:r w:rsidR="009B2872" w:rsidRPr="00182A8F">
              <w:rPr>
                <w:rFonts w:asciiTheme="minorHAnsi" w:eastAsia="Times New Roman" w:hAnsiTheme="minorHAnsi" w:cstheme="minorHAnsi"/>
                <w:color w:val="000000"/>
                <w:sz w:val="18"/>
                <w:szCs w:val="18"/>
              </w:rPr>
              <w:t>93.77</w:t>
            </w:r>
          </w:p>
        </w:tc>
      </w:tr>
      <w:tr w:rsidR="009B2872" w:rsidRPr="00182A8F" w14:paraId="1C7570ED" w14:textId="77777777" w:rsidTr="00DB1A89">
        <w:tc>
          <w:tcPr>
            <w:tcW w:w="3931" w:type="dxa"/>
            <w:shd w:val="clear" w:color="auto" w:fill="auto"/>
            <w:vAlign w:val="center"/>
          </w:tcPr>
          <w:p w14:paraId="60C8418F"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Unspecified mix of HFCs and PFCs</w:t>
            </w:r>
          </w:p>
        </w:tc>
        <w:tc>
          <w:tcPr>
            <w:tcW w:w="1218" w:type="dxa"/>
            <w:vAlign w:val="center"/>
          </w:tcPr>
          <w:p w14:paraId="7D87E802" w14:textId="1E09BD44"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NA,</w:t>
            </w:r>
            <w:r w:rsidR="00901F23"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NO</w:t>
            </w:r>
          </w:p>
        </w:tc>
        <w:tc>
          <w:tcPr>
            <w:tcW w:w="1219" w:type="dxa"/>
            <w:vAlign w:val="center"/>
          </w:tcPr>
          <w:p w14:paraId="61DC857E" w14:textId="5231B5C6"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NA,</w:t>
            </w:r>
            <w:r w:rsidR="00901F23"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NO</w:t>
            </w:r>
          </w:p>
        </w:tc>
        <w:tc>
          <w:tcPr>
            <w:tcW w:w="1219" w:type="dxa"/>
            <w:vAlign w:val="center"/>
          </w:tcPr>
          <w:p w14:paraId="63FA1AD9" w14:textId="4864D891"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NA,</w:t>
            </w:r>
            <w:r w:rsidR="00901F23"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NO</w:t>
            </w:r>
          </w:p>
        </w:tc>
        <w:tc>
          <w:tcPr>
            <w:tcW w:w="1204" w:type="dxa"/>
            <w:vAlign w:val="center"/>
          </w:tcPr>
          <w:p w14:paraId="0CE4DC23" w14:textId="513C73A4"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NA,</w:t>
            </w:r>
            <w:r w:rsidR="00901F23"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NO</w:t>
            </w:r>
          </w:p>
        </w:tc>
        <w:tc>
          <w:tcPr>
            <w:tcW w:w="1211" w:type="dxa"/>
            <w:vAlign w:val="center"/>
          </w:tcPr>
          <w:p w14:paraId="42DDF45F" w14:textId="45AF1739"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NA,</w:t>
            </w:r>
            <w:r w:rsidR="00901F23"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NO</w:t>
            </w:r>
          </w:p>
        </w:tc>
        <w:tc>
          <w:tcPr>
            <w:tcW w:w="1219" w:type="dxa"/>
            <w:vAlign w:val="center"/>
          </w:tcPr>
          <w:p w14:paraId="57F4A931" w14:textId="5ECBF836"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NA,</w:t>
            </w:r>
            <w:r w:rsidR="00901F23"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NO</w:t>
            </w:r>
          </w:p>
        </w:tc>
        <w:tc>
          <w:tcPr>
            <w:tcW w:w="1189" w:type="dxa"/>
            <w:vAlign w:val="center"/>
          </w:tcPr>
          <w:p w14:paraId="600B9DFB" w14:textId="1CF329B1"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NA,</w:t>
            </w:r>
            <w:r w:rsidR="00901F23"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NO</w:t>
            </w:r>
          </w:p>
        </w:tc>
        <w:tc>
          <w:tcPr>
            <w:tcW w:w="2105" w:type="dxa"/>
            <w:vAlign w:val="center"/>
          </w:tcPr>
          <w:p w14:paraId="38B8969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w:t>
            </w:r>
          </w:p>
        </w:tc>
      </w:tr>
      <w:tr w:rsidR="009B2872" w:rsidRPr="00182A8F" w14:paraId="745542DD" w14:textId="77777777" w:rsidTr="00DB1A89">
        <w:tc>
          <w:tcPr>
            <w:tcW w:w="3931" w:type="dxa"/>
            <w:shd w:val="clear" w:color="auto" w:fill="auto"/>
            <w:vAlign w:val="center"/>
          </w:tcPr>
          <w:p w14:paraId="607A00AC"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SF</w:t>
            </w:r>
            <w:r w:rsidRPr="00182A8F">
              <w:rPr>
                <w:rFonts w:asciiTheme="minorHAnsi" w:eastAsia="Times New Roman" w:hAnsiTheme="minorHAnsi" w:cstheme="minorHAnsi"/>
                <w:sz w:val="18"/>
                <w:szCs w:val="18"/>
                <w:vertAlign w:val="subscript"/>
              </w:rPr>
              <w:t>6</w:t>
            </w:r>
          </w:p>
        </w:tc>
        <w:tc>
          <w:tcPr>
            <w:tcW w:w="1218" w:type="dxa"/>
            <w:vAlign w:val="center"/>
          </w:tcPr>
          <w:p w14:paraId="4378B8C0"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17.90</w:t>
            </w:r>
          </w:p>
        </w:tc>
        <w:tc>
          <w:tcPr>
            <w:tcW w:w="1219" w:type="dxa"/>
            <w:vAlign w:val="center"/>
          </w:tcPr>
          <w:p w14:paraId="095477AB"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15.24</w:t>
            </w:r>
          </w:p>
        </w:tc>
        <w:tc>
          <w:tcPr>
            <w:tcW w:w="1219" w:type="dxa"/>
            <w:vAlign w:val="center"/>
          </w:tcPr>
          <w:p w14:paraId="087F8D67"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15.16</w:t>
            </w:r>
          </w:p>
        </w:tc>
        <w:tc>
          <w:tcPr>
            <w:tcW w:w="1204" w:type="dxa"/>
            <w:vAlign w:val="center"/>
          </w:tcPr>
          <w:p w14:paraId="20605753"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16.48</w:t>
            </w:r>
          </w:p>
        </w:tc>
        <w:tc>
          <w:tcPr>
            <w:tcW w:w="1211" w:type="dxa"/>
            <w:vAlign w:val="center"/>
          </w:tcPr>
          <w:p w14:paraId="2B02D9C1"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17.01</w:t>
            </w:r>
          </w:p>
        </w:tc>
        <w:tc>
          <w:tcPr>
            <w:tcW w:w="1219" w:type="dxa"/>
            <w:vAlign w:val="center"/>
          </w:tcPr>
          <w:p w14:paraId="2768895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16.03</w:t>
            </w:r>
          </w:p>
        </w:tc>
        <w:tc>
          <w:tcPr>
            <w:tcW w:w="1189" w:type="dxa"/>
            <w:vAlign w:val="center"/>
          </w:tcPr>
          <w:p w14:paraId="7069D2B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19.42</w:t>
            </w:r>
          </w:p>
        </w:tc>
        <w:tc>
          <w:tcPr>
            <w:tcW w:w="2105" w:type="dxa"/>
            <w:vAlign w:val="center"/>
          </w:tcPr>
          <w:p w14:paraId="26C52626" w14:textId="7133A577" w:rsidR="009B2872" w:rsidRPr="00182A8F" w:rsidRDefault="00182A8F" w:rsidP="009B2872">
            <w:pPr>
              <w:spacing w:before="0" w:after="0" w:line="240" w:lineRule="auto"/>
              <w:jc w:val="right"/>
              <w:rPr>
                <w:rFonts w:asciiTheme="minorHAnsi" w:eastAsia="Times New Roman" w:hAnsiTheme="minorHAnsi" w:cstheme="minorHAnsi"/>
                <w:color w:val="000000"/>
                <w:sz w:val="18"/>
                <w:szCs w:val="18"/>
              </w:rPr>
            </w:pPr>
            <w:r>
              <w:rPr>
                <w:rFonts w:asciiTheme="minorHAnsi" w:eastAsia="Times New Roman" w:hAnsiTheme="minorHAnsi" w:cstheme="minorHAnsi"/>
                <w:color w:val="000000"/>
                <w:sz w:val="18"/>
                <w:szCs w:val="18"/>
              </w:rPr>
              <w:t>–</w:t>
            </w:r>
            <w:r w:rsidR="009B2872" w:rsidRPr="00182A8F">
              <w:rPr>
                <w:rFonts w:asciiTheme="minorHAnsi" w:eastAsia="Times New Roman" w:hAnsiTheme="minorHAnsi" w:cstheme="minorHAnsi"/>
                <w:color w:val="000000"/>
                <w:sz w:val="18"/>
                <w:szCs w:val="18"/>
              </w:rPr>
              <w:t>5.65</w:t>
            </w:r>
          </w:p>
        </w:tc>
      </w:tr>
      <w:tr w:rsidR="009B2872" w:rsidRPr="00182A8F" w14:paraId="377BE284" w14:textId="77777777" w:rsidTr="00DB1A89">
        <w:tc>
          <w:tcPr>
            <w:tcW w:w="3931" w:type="dxa"/>
            <w:shd w:val="clear" w:color="auto" w:fill="auto"/>
            <w:vAlign w:val="center"/>
          </w:tcPr>
          <w:p w14:paraId="05F307EF" w14:textId="7777777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NF</w:t>
            </w:r>
            <w:r w:rsidRPr="00182A8F">
              <w:rPr>
                <w:rFonts w:asciiTheme="minorHAnsi" w:eastAsia="Times New Roman" w:hAnsiTheme="minorHAnsi" w:cstheme="minorHAnsi"/>
                <w:sz w:val="18"/>
                <w:szCs w:val="18"/>
                <w:vertAlign w:val="subscript"/>
              </w:rPr>
              <w:t>3</w:t>
            </w:r>
          </w:p>
        </w:tc>
        <w:tc>
          <w:tcPr>
            <w:tcW w:w="1218" w:type="dxa"/>
            <w:vAlign w:val="center"/>
          </w:tcPr>
          <w:p w14:paraId="578401D0"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NO</w:t>
            </w:r>
          </w:p>
        </w:tc>
        <w:tc>
          <w:tcPr>
            <w:tcW w:w="1219" w:type="dxa"/>
            <w:vAlign w:val="center"/>
          </w:tcPr>
          <w:p w14:paraId="7E4665EB"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NO</w:t>
            </w:r>
          </w:p>
        </w:tc>
        <w:tc>
          <w:tcPr>
            <w:tcW w:w="1219" w:type="dxa"/>
            <w:vAlign w:val="center"/>
          </w:tcPr>
          <w:p w14:paraId="6DC0F502"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NO</w:t>
            </w:r>
          </w:p>
        </w:tc>
        <w:tc>
          <w:tcPr>
            <w:tcW w:w="1204" w:type="dxa"/>
            <w:vAlign w:val="center"/>
          </w:tcPr>
          <w:p w14:paraId="1E844BAF"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NO</w:t>
            </w:r>
          </w:p>
        </w:tc>
        <w:tc>
          <w:tcPr>
            <w:tcW w:w="1211" w:type="dxa"/>
            <w:vAlign w:val="center"/>
          </w:tcPr>
          <w:p w14:paraId="54583916"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NO</w:t>
            </w:r>
          </w:p>
        </w:tc>
        <w:tc>
          <w:tcPr>
            <w:tcW w:w="1219" w:type="dxa"/>
            <w:vAlign w:val="center"/>
          </w:tcPr>
          <w:p w14:paraId="5792E9E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NO</w:t>
            </w:r>
          </w:p>
        </w:tc>
        <w:tc>
          <w:tcPr>
            <w:tcW w:w="1189" w:type="dxa"/>
            <w:vAlign w:val="center"/>
          </w:tcPr>
          <w:p w14:paraId="3A23B50F"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NO</w:t>
            </w:r>
          </w:p>
        </w:tc>
        <w:tc>
          <w:tcPr>
            <w:tcW w:w="2105" w:type="dxa"/>
            <w:vAlign w:val="center"/>
          </w:tcPr>
          <w:p w14:paraId="06E5C32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w:t>
            </w:r>
          </w:p>
        </w:tc>
      </w:tr>
      <w:tr w:rsidR="009B2872" w:rsidRPr="00182A8F" w14:paraId="526F5751" w14:textId="77777777" w:rsidTr="00DB1A89">
        <w:tc>
          <w:tcPr>
            <w:tcW w:w="3931" w:type="dxa"/>
            <w:shd w:val="clear" w:color="auto" w:fill="auto"/>
            <w:vAlign w:val="center"/>
          </w:tcPr>
          <w:p w14:paraId="26ADC2C3" w14:textId="77777777" w:rsidR="009B2872" w:rsidRPr="00182A8F" w:rsidRDefault="009B2872" w:rsidP="009B2872">
            <w:pPr>
              <w:spacing w:before="0" w:after="0" w:line="240" w:lineRule="auto"/>
              <w:jc w:val="lef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Total (without LULUCF)</w:t>
            </w:r>
          </w:p>
        </w:tc>
        <w:tc>
          <w:tcPr>
            <w:tcW w:w="1218" w:type="dxa"/>
            <w:vAlign w:val="center"/>
          </w:tcPr>
          <w:p w14:paraId="73158063"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81,656.18</w:t>
            </w:r>
          </w:p>
        </w:tc>
        <w:tc>
          <w:tcPr>
            <w:tcW w:w="1219" w:type="dxa"/>
            <w:vAlign w:val="center"/>
          </w:tcPr>
          <w:p w14:paraId="1AEB5618"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83,073.08</w:t>
            </w:r>
          </w:p>
        </w:tc>
        <w:tc>
          <w:tcPr>
            <w:tcW w:w="1219" w:type="dxa"/>
            <w:vAlign w:val="center"/>
          </w:tcPr>
          <w:p w14:paraId="5152A192"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83,434.60</w:t>
            </w:r>
          </w:p>
        </w:tc>
        <w:tc>
          <w:tcPr>
            <w:tcW w:w="1204" w:type="dxa"/>
            <w:vAlign w:val="center"/>
          </w:tcPr>
          <w:p w14:paraId="6A0D497C"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84,586.24</w:t>
            </w:r>
          </w:p>
        </w:tc>
        <w:tc>
          <w:tcPr>
            <w:tcW w:w="1211" w:type="dxa"/>
            <w:vAlign w:val="center"/>
          </w:tcPr>
          <w:p w14:paraId="1AC90605"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81,881.85</w:t>
            </w:r>
          </w:p>
        </w:tc>
        <w:tc>
          <w:tcPr>
            <w:tcW w:w="1219" w:type="dxa"/>
            <w:vAlign w:val="center"/>
          </w:tcPr>
          <w:p w14:paraId="2CF8BDD7"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81,808.92</w:t>
            </w:r>
          </w:p>
        </w:tc>
        <w:tc>
          <w:tcPr>
            <w:tcW w:w="1189" w:type="dxa"/>
            <w:vAlign w:val="center"/>
          </w:tcPr>
          <w:p w14:paraId="5D97BAA5"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78,395.36</w:t>
            </w:r>
          </w:p>
        </w:tc>
        <w:tc>
          <w:tcPr>
            <w:tcW w:w="2105" w:type="dxa"/>
            <w:vAlign w:val="center"/>
          </w:tcPr>
          <w:p w14:paraId="20E0281B"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13.69</w:t>
            </w:r>
          </w:p>
        </w:tc>
      </w:tr>
      <w:tr w:rsidR="009B2872" w:rsidRPr="00182A8F" w14:paraId="66D8765E" w14:textId="77777777" w:rsidTr="00DB1A89">
        <w:tc>
          <w:tcPr>
            <w:tcW w:w="3931" w:type="dxa"/>
            <w:shd w:val="clear" w:color="auto" w:fill="auto"/>
            <w:vAlign w:val="center"/>
          </w:tcPr>
          <w:p w14:paraId="1475B185" w14:textId="77777777" w:rsidR="009B2872" w:rsidRPr="00182A8F" w:rsidRDefault="009B2872" w:rsidP="009B2872">
            <w:pPr>
              <w:spacing w:before="0" w:after="0" w:line="240" w:lineRule="auto"/>
              <w:jc w:val="lef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Total (with LULUCF)</w:t>
            </w:r>
          </w:p>
        </w:tc>
        <w:tc>
          <w:tcPr>
            <w:tcW w:w="1218" w:type="dxa"/>
            <w:vAlign w:val="center"/>
          </w:tcPr>
          <w:p w14:paraId="0227EECC"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56,713.13</w:t>
            </w:r>
          </w:p>
        </w:tc>
        <w:tc>
          <w:tcPr>
            <w:tcW w:w="1219" w:type="dxa"/>
            <w:vAlign w:val="center"/>
          </w:tcPr>
          <w:p w14:paraId="5100B36B"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59,616.02</w:t>
            </w:r>
          </w:p>
        </w:tc>
        <w:tc>
          <w:tcPr>
            <w:tcW w:w="1219" w:type="dxa"/>
            <w:vAlign w:val="center"/>
          </w:tcPr>
          <w:p w14:paraId="22EFE944"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61,009.23</w:t>
            </w:r>
          </w:p>
        </w:tc>
        <w:tc>
          <w:tcPr>
            <w:tcW w:w="1204" w:type="dxa"/>
            <w:vAlign w:val="center"/>
          </w:tcPr>
          <w:p w14:paraId="68D49491"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62,991.82</w:t>
            </w:r>
          </w:p>
        </w:tc>
        <w:tc>
          <w:tcPr>
            <w:tcW w:w="1211" w:type="dxa"/>
            <w:vAlign w:val="center"/>
          </w:tcPr>
          <w:p w14:paraId="3E5467BA"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60,821.29</w:t>
            </w:r>
          </w:p>
        </w:tc>
        <w:tc>
          <w:tcPr>
            <w:tcW w:w="1219" w:type="dxa"/>
            <w:vAlign w:val="center"/>
          </w:tcPr>
          <w:p w14:paraId="471C175F"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61,303.36</w:t>
            </w:r>
          </w:p>
        </w:tc>
        <w:tc>
          <w:tcPr>
            <w:tcW w:w="1189" w:type="dxa"/>
            <w:vAlign w:val="center"/>
          </w:tcPr>
          <w:p w14:paraId="1BB97852"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59,156.57</w:t>
            </w:r>
          </w:p>
        </w:tc>
        <w:tc>
          <w:tcPr>
            <w:tcW w:w="2105" w:type="dxa"/>
            <w:vAlign w:val="center"/>
          </w:tcPr>
          <w:p w14:paraId="3549AF57"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32.54</w:t>
            </w:r>
          </w:p>
        </w:tc>
      </w:tr>
      <w:tr w:rsidR="009B2872" w:rsidRPr="00182A8F" w14:paraId="1C9D267B" w14:textId="77777777" w:rsidTr="00DB1A89">
        <w:tc>
          <w:tcPr>
            <w:tcW w:w="3931" w:type="dxa"/>
            <w:shd w:val="clear" w:color="auto" w:fill="auto"/>
            <w:vAlign w:val="center"/>
          </w:tcPr>
          <w:p w14:paraId="1941E538" w14:textId="77777777" w:rsidR="009B2872" w:rsidRPr="00182A8F" w:rsidRDefault="009B2872" w:rsidP="009B2872">
            <w:pPr>
              <w:spacing w:before="0" w:after="0" w:line="240" w:lineRule="auto"/>
              <w:jc w:val="lef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Total (without LULUCF, with indirect)</w:t>
            </w:r>
          </w:p>
        </w:tc>
        <w:tc>
          <w:tcPr>
            <w:tcW w:w="1218" w:type="dxa"/>
            <w:vAlign w:val="center"/>
          </w:tcPr>
          <w:p w14:paraId="10034C7F"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81,656.18</w:t>
            </w:r>
          </w:p>
        </w:tc>
        <w:tc>
          <w:tcPr>
            <w:tcW w:w="1219" w:type="dxa"/>
            <w:vAlign w:val="center"/>
          </w:tcPr>
          <w:p w14:paraId="699A4B9F"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83,073.08</w:t>
            </w:r>
          </w:p>
        </w:tc>
        <w:tc>
          <w:tcPr>
            <w:tcW w:w="1219" w:type="dxa"/>
            <w:vAlign w:val="center"/>
          </w:tcPr>
          <w:p w14:paraId="5F540866"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83,434.60</w:t>
            </w:r>
          </w:p>
        </w:tc>
        <w:tc>
          <w:tcPr>
            <w:tcW w:w="1204" w:type="dxa"/>
            <w:vAlign w:val="center"/>
          </w:tcPr>
          <w:p w14:paraId="35D311A3"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84,586.24</w:t>
            </w:r>
          </w:p>
        </w:tc>
        <w:tc>
          <w:tcPr>
            <w:tcW w:w="1211" w:type="dxa"/>
            <w:vAlign w:val="center"/>
          </w:tcPr>
          <w:p w14:paraId="7D587938"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81,881.85</w:t>
            </w:r>
          </w:p>
        </w:tc>
        <w:tc>
          <w:tcPr>
            <w:tcW w:w="1219" w:type="dxa"/>
            <w:vAlign w:val="center"/>
          </w:tcPr>
          <w:p w14:paraId="462F65D6"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81,808.92</w:t>
            </w:r>
          </w:p>
        </w:tc>
        <w:tc>
          <w:tcPr>
            <w:tcW w:w="1189" w:type="dxa"/>
            <w:vAlign w:val="center"/>
          </w:tcPr>
          <w:p w14:paraId="23628C66"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78,395.36</w:t>
            </w:r>
          </w:p>
        </w:tc>
        <w:tc>
          <w:tcPr>
            <w:tcW w:w="2105" w:type="dxa"/>
            <w:vAlign w:val="center"/>
          </w:tcPr>
          <w:p w14:paraId="16B0EDBD"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13.69</w:t>
            </w:r>
          </w:p>
        </w:tc>
      </w:tr>
      <w:tr w:rsidR="009B2872" w:rsidRPr="00182A8F" w14:paraId="63B70905" w14:textId="77777777" w:rsidTr="00DB1A89">
        <w:tc>
          <w:tcPr>
            <w:tcW w:w="3931" w:type="dxa"/>
            <w:shd w:val="clear" w:color="auto" w:fill="auto"/>
            <w:vAlign w:val="center"/>
          </w:tcPr>
          <w:p w14:paraId="53DA06B6" w14:textId="77777777" w:rsidR="009B2872" w:rsidRPr="00182A8F" w:rsidRDefault="009B2872" w:rsidP="009B2872">
            <w:pPr>
              <w:spacing w:before="0" w:after="0" w:line="240" w:lineRule="auto"/>
              <w:jc w:val="lef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Total (with LULUCF, with indirect)</w:t>
            </w:r>
          </w:p>
        </w:tc>
        <w:tc>
          <w:tcPr>
            <w:tcW w:w="1218" w:type="dxa"/>
            <w:vAlign w:val="center"/>
          </w:tcPr>
          <w:p w14:paraId="6E405FA3"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56,713.13</w:t>
            </w:r>
          </w:p>
        </w:tc>
        <w:tc>
          <w:tcPr>
            <w:tcW w:w="1219" w:type="dxa"/>
            <w:vAlign w:val="center"/>
          </w:tcPr>
          <w:p w14:paraId="36A1E328"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59,616.02</w:t>
            </w:r>
          </w:p>
        </w:tc>
        <w:tc>
          <w:tcPr>
            <w:tcW w:w="1219" w:type="dxa"/>
            <w:vAlign w:val="center"/>
          </w:tcPr>
          <w:p w14:paraId="7B944195"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61,009.23</w:t>
            </w:r>
          </w:p>
        </w:tc>
        <w:tc>
          <w:tcPr>
            <w:tcW w:w="1204" w:type="dxa"/>
            <w:vAlign w:val="center"/>
          </w:tcPr>
          <w:p w14:paraId="01A4D8FC"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62,991.82</w:t>
            </w:r>
          </w:p>
        </w:tc>
        <w:tc>
          <w:tcPr>
            <w:tcW w:w="1211" w:type="dxa"/>
            <w:vAlign w:val="center"/>
          </w:tcPr>
          <w:p w14:paraId="2C24E5BC"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60,821.29</w:t>
            </w:r>
          </w:p>
        </w:tc>
        <w:tc>
          <w:tcPr>
            <w:tcW w:w="1219" w:type="dxa"/>
            <w:vAlign w:val="center"/>
          </w:tcPr>
          <w:p w14:paraId="1E8E1AE4"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61,303.36</w:t>
            </w:r>
          </w:p>
        </w:tc>
        <w:tc>
          <w:tcPr>
            <w:tcW w:w="1189" w:type="dxa"/>
            <w:vAlign w:val="center"/>
          </w:tcPr>
          <w:p w14:paraId="4CAA67A5"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59,156.57</w:t>
            </w:r>
          </w:p>
        </w:tc>
        <w:tc>
          <w:tcPr>
            <w:tcW w:w="2105" w:type="dxa"/>
            <w:vAlign w:val="center"/>
          </w:tcPr>
          <w:p w14:paraId="4056F9B9"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32.54</w:t>
            </w:r>
          </w:p>
        </w:tc>
      </w:tr>
    </w:tbl>
    <w:p w14:paraId="7FE1E459" w14:textId="77777777" w:rsidR="009B2872" w:rsidRPr="009B2872" w:rsidRDefault="009B2872" w:rsidP="009B2872">
      <w:pPr>
        <w:widowControl w:val="0"/>
        <w:adjustRightInd w:val="0"/>
        <w:spacing w:before="0" w:line="240" w:lineRule="auto"/>
        <w:ind w:left="397" w:hanging="397"/>
        <w:jc w:val="left"/>
        <w:textAlignment w:val="baseline"/>
        <w:rPr>
          <w:rFonts w:eastAsia="Times New Roman" w:cs="Times New Roman"/>
          <w:sz w:val="18"/>
        </w:rPr>
      </w:pPr>
    </w:p>
    <w:tbl>
      <w:tblPr>
        <w:tblW w:w="14515" w:type="dxa"/>
        <w:tblBorders>
          <w:top w:val="single" w:sz="4" w:space="0" w:color="1B556B" w:themeColor="text2"/>
          <w:left w:val="single" w:sz="4" w:space="0" w:color="1B556B" w:themeColor="text2"/>
          <w:bottom w:val="single" w:sz="4" w:space="0" w:color="1B556B" w:themeColor="text2"/>
          <w:right w:val="single" w:sz="4" w:space="0" w:color="1B556B" w:themeColor="text2"/>
          <w:insideH w:val="single" w:sz="4" w:space="0" w:color="1B556B" w:themeColor="text2"/>
          <w:insideV w:val="single" w:sz="4" w:space="0" w:color="1B556B" w:themeColor="text2"/>
        </w:tblBorders>
        <w:tblLayout w:type="fixed"/>
        <w:tblCellMar>
          <w:top w:w="15" w:type="dxa"/>
          <w:bottom w:w="15" w:type="dxa"/>
        </w:tblCellMar>
        <w:tblLook w:val="04A0" w:firstRow="1" w:lastRow="0" w:firstColumn="1" w:lastColumn="0" w:noHBand="0" w:noVBand="1"/>
      </w:tblPr>
      <w:tblGrid>
        <w:gridCol w:w="3929"/>
        <w:gridCol w:w="1210"/>
        <w:gridCol w:w="1210"/>
        <w:gridCol w:w="1210"/>
        <w:gridCol w:w="1210"/>
        <w:gridCol w:w="1210"/>
        <w:gridCol w:w="1210"/>
        <w:gridCol w:w="1173"/>
        <w:gridCol w:w="2153"/>
      </w:tblGrid>
      <w:tr w:rsidR="009B2872" w:rsidRPr="00182A8F" w14:paraId="56594DCE" w14:textId="77777777" w:rsidTr="00804F0D">
        <w:tc>
          <w:tcPr>
            <w:tcW w:w="3929" w:type="dxa"/>
            <w:shd w:val="clear" w:color="auto" w:fill="1B556B"/>
            <w:vAlign w:val="center"/>
            <w:hideMark/>
          </w:tcPr>
          <w:p w14:paraId="18021AE1" w14:textId="3C4769DA" w:rsidR="009B2872" w:rsidRPr="00182A8F" w:rsidRDefault="00247657" w:rsidP="009B2872">
            <w:pPr>
              <w:spacing w:before="0" w:after="0" w:line="240" w:lineRule="auto"/>
              <w:jc w:val="left"/>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Greenhouse gas source and sink categories</w:t>
            </w:r>
          </w:p>
        </w:tc>
        <w:tc>
          <w:tcPr>
            <w:tcW w:w="1210" w:type="dxa"/>
            <w:shd w:val="clear" w:color="auto" w:fill="1B556B"/>
            <w:vAlign w:val="center"/>
          </w:tcPr>
          <w:p w14:paraId="23CDD69F"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2016</w:t>
            </w:r>
          </w:p>
        </w:tc>
        <w:tc>
          <w:tcPr>
            <w:tcW w:w="1210" w:type="dxa"/>
            <w:shd w:val="clear" w:color="auto" w:fill="1B556B"/>
            <w:vAlign w:val="center"/>
          </w:tcPr>
          <w:p w14:paraId="2AAF6409"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2017</w:t>
            </w:r>
          </w:p>
        </w:tc>
        <w:tc>
          <w:tcPr>
            <w:tcW w:w="1210" w:type="dxa"/>
            <w:shd w:val="clear" w:color="auto" w:fill="1B556B"/>
            <w:vAlign w:val="center"/>
          </w:tcPr>
          <w:p w14:paraId="259D71AE"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2018</w:t>
            </w:r>
          </w:p>
        </w:tc>
        <w:tc>
          <w:tcPr>
            <w:tcW w:w="1210" w:type="dxa"/>
            <w:shd w:val="clear" w:color="auto" w:fill="1B556B"/>
            <w:vAlign w:val="center"/>
          </w:tcPr>
          <w:p w14:paraId="241EF3D5"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2019</w:t>
            </w:r>
          </w:p>
        </w:tc>
        <w:tc>
          <w:tcPr>
            <w:tcW w:w="1210" w:type="dxa"/>
            <w:shd w:val="clear" w:color="auto" w:fill="1B556B"/>
            <w:vAlign w:val="center"/>
          </w:tcPr>
          <w:p w14:paraId="527D0121"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2020</w:t>
            </w:r>
          </w:p>
        </w:tc>
        <w:tc>
          <w:tcPr>
            <w:tcW w:w="1210" w:type="dxa"/>
            <w:shd w:val="clear" w:color="auto" w:fill="1B556B"/>
            <w:vAlign w:val="center"/>
          </w:tcPr>
          <w:p w14:paraId="20A12528"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2021</w:t>
            </w:r>
          </w:p>
        </w:tc>
        <w:tc>
          <w:tcPr>
            <w:tcW w:w="1173" w:type="dxa"/>
            <w:shd w:val="clear" w:color="auto" w:fill="1B556B"/>
            <w:vAlign w:val="center"/>
          </w:tcPr>
          <w:p w14:paraId="611B4506"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2022</w:t>
            </w:r>
          </w:p>
        </w:tc>
        <w:tc>
          <w:tcPr>
            <w:tcW w:w="2153" w:type="dxa"/>
            <w:shd w:val="clear" w:color="auto" w:fill="1B556B"/>
            <w:vAlign w:val="center"/>
          </w:tcPr>
          <w:p w14:paraId="6E33DAAF" w14:textId="77777777" w:rsidR="009B2872" w:rsidRPr="00182A8F"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182A8F">
              <w:rPr>
                <w:rFonts w:asciiTheme="minorHAnsi" w:eastAsia="Times New Roman" w:hAnsiTheme="minorHAnsi" w:cstheme="minorHAnsi"/>
                <w:b/>
                <w:bCs/>
                <w:color w:val="FFFFFF" w:themeColor="background1"/>
                <w:sz w:val="18"/>
                <w:szCs w:val="18"/>
              </w:rPr>
              <w:t>Change from 1990 to latest reported year</w:t>
            </w:r>
          </w:p>
        </w:tc>
      </w:tr>
      <w:tr w:rsidR="009B2872" w:rsidRPr="00182A8F" w14:paraId="460E29C4" w14:textId="77777777" w:rsidTr="00804F0D">
        <w:tc>
          <w:tcPr>
            <w:tcW w:w="3929" w:type="dxa"/>
            <w:tcBorders>
              <w:bottom w:val="single" w:sz="4" w:space="0" w:color="1B556B" w:themeColor="text2"/>
            </w:tcBorders>
            <w:shd w:val="clear" w:color="auto" w:fill="1B556B"/>
            <w:vAlign w:val="center"/>
          </w:tcPr>
          <w:p w14:paraId="3B0AB6C5" w14:textId="77777777" w:rsidR="009B2872" w:rsidRPr="00182A8F" w:rsidRDefault="009B2872" w:rsidP="009B2872">
            <w:pPr>
              <w:spacing w:before="0" w:after="0" w:line="240" w:lineRule="auto"/>
              <w:jc w:val="left"/>
              <w:rPr>
                <w:rFonts w:asciiTheme="minorHAnsi" w:eastAsia="Times New Roman" w:hAnsiTheme="minorHAnsi" w:cstheme="minorHAnsi"/>
                <w:b/>
                <w:bCs/>
                <w:color w:val="FFFFFF" w:themeColor="background1"/>
                <w:sz w:val="18"/>
                <w:szCs w:val="18"/>
              </w:rPr>
            </w:pPr>
          </w:p>
        </w:tc>
        <w:tc>
          <w:tcPr>
            <w:tcW w:w="8433" w:type="dxa"/>
            <w:gridSpan w:val="7"/>
            <w:tcBorders>
              <w:bottom w:val="single" w:sz="4" w:space="0" w:color="1B556B" w:themeColor="text2"/>
            </w:tcBorders>
            <w:shd w:val="clear" w:color="auto" w:fill="1B556B"/>
            <w:vAlign w:val="center"/>
          </w:tcPr>
          <w:p w14:paraId="251282BA" w14:textId="77777777" w:rsidR="009B2872" w:rsidRPr="00182A8F" w:rsidRDefault="009B2872" w:rsidP="009B2872">
            <w:pPr>
              <w:spacing w:before="0" w:after="0" w:line="240" w:lineRule="auto"/>
              <w:jc w:val="lef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FFFFFF" w:themeColor="background1"/>
                <w:sz w:val="18"/>
                <w:szCs w:val="18"/>
              </w:rPr>
              <w:t>CO</w:t>
            </w:r>
            <w:r w:rsidRPr="00182A8F">
              <w:rPr>
                <w:rFonts w:asciiTheme="minorHAnsi" w:eastAsia="Times New Roman" w:hAnsiTheme="minorHAnsi" w:cstheme="minorHAnsi"/>
                <w:b/>
                <w:bCs/>
                <w:color w:val="FFFFFF" w:themeColor="background1"/>
                <w:sz w:val="18"/>
                <w:szCs w:val="18"/>
                <w:vertAlign w:val="subscript"/>
              </w:rPr>
              <w:t>2</w:t>
            </w:r>
            <w:r w:rsidRPr="00182A8F">
              <w:rPr>
                <w:rFonts w:asciiTheme="minorHAnsi" w:eastAsia="Times New Roman" w:hAnsiTheme="minorHAnsi" w:cstheme="minorHAnsi"/>
                <w:b/>
                <w:bCs/>
                <w:color w:val="FFFFFF" w:themeColor="background1"/>
                <w:sz w:val="18"/>
                <w:szCs w:val="18"/>
              </w:rPr>
              <w:t xml:space="preserve"> equivalents (kt) </w:t>
            </w:r>
            <w:r w:rsidRPr="00182A8F">
              <w:rPr>
                <w:rFonts w:asciiTheme="minorHAnsi" w:eastAsia="Times New Roman" w:hAnsiTheme="minorHAnsi" w:cstheme="minorHAnsi"/>
                <w:b/>
                <w:bCs/>
                <w:color w:val="FFFFFF" w:themeColor="background1"/>
                <w:sz w:val="18"/>
                <w:szCs w:val="18"/>
                <w:vertAlign w:val="superscript"/>
              </w:rPr>
              <w:t>(3)</w:t>
            </w:r>
            <w:r w:rsidRPr="00182A8F">
              <w:rPr>
                <w:rFonts w:asciiTheme="minorHAnsi" w:eastAsia="Times New Roman" w:hAnsiTheme="minorHAnsi" w:cstheme="minorHAnsi"/>
                <w:b/>
                <w:bCs/>
                <w:color w:val="FFFFFF" w:themeColor="background1"/>
                <w:sz w:val="18"/>
                <w:szCs w:val="18"/>
              </w:rPr>
              <w:t> </w:t>
            </w:r>
          </w:p>
        </w:tc>
        <w:tc>
          <w:tcPr>
            <w:tcW w:w="2153" w:type="dxa"/>
            <w:tcBorders>
              <w:bottom w:val="single" w:sz="4" w:space="0" w:color="1B556B" w:themeColor="text2"/>
            </w:tcBorders>
            <w:shd w:val="clear" w:color="auto" w:fill="1B556B"/>
            <w:vAlign w:val="center"/>
          </w:tcPr>
          <w:p w14:paraId="522DE745" w14:textId="77777777" w:rsidR="009B2872" w:rsidRPr="00182A8F" w:rsidRDefault="009B2872" w:rsidP="009B2872">
            <w:pPr>
              <w:spacing w:before="0" w:after="0" w:line="240" w:lineRule="auto"/>
              <w:jc w:val="center"/>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FFFFFF" w:themeColor="background1"/>
                <w:sz w:val="18"/>
                <w:szCs w:val="18"/>
              </w:rPr>
              <w:t>(%)</w:t>
            </w:r>
          </w:p>
        </w:tc>
      </w:tr>
      <w:tr w:rsidR="009B2872" w:rsidRPr="00182A8F" w14:paraId="41661E80" w14:textId="77777777" w:rsidTr="00804F0D">
        <w:tc>
          <w:tcPr>
            <w:tcW w:w="3929" w:type="dxa"/>
            <w:tcBorders>
              <w:left w:val="nil"/>
            </w:tcBorders>
            <w:shd w:val="clear" w:color="auto" w:fill="auto"/>
            <w:noWrap/>
            <w:vAlign w:val="center"/>
            <w:hideMark/>
          </w:tcPr>
          <w:p w14:paraId="28652D08" w14:textId="4DE50979"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 xml:space="preserve">1. Energy </w:t>
            </w:r>
          </w:p>
        </w:tc>
        <w:tc>
          <w:tcPr>
            <w:tcW w:w="1210" w:type="dxa"/>
            <w:vAlign w:val="center"/>
          </w:tcPr>
          <w:p w14:paraId="4C7D43CD"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30,901.97</w:t>
            </w:r>
          </w:p>
        </w:tc>
        <w:tc>
          <w:tcPr>
            <w:tcW w:w="1210" w:type="dxa"/>
            <w:vAlign w:val="center"/>
          </w:tcPr>
          <w:p w14:paraId="7C9EFCA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32,323.79</w:t>
            </w:r>
          </w:p>
        </w:tc>
        <w:tc>
          <w:tcPr>
            <w:tcW w:w="1210" w:type="dxa"/>
            <w:vAlign w:val="center"/>
          </w:tcPr>
          <w:p w14:paraId="7A4F125D"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32,413.25</w:t>
            </w:r>
          </w:p>
        </w:tc>
        <w:tc>
          <w:tcPr>
            <w:tcW w:w="1210" w:type="dxa"/>
            <w:vAlign w:val="center"/>
          </w:tcPr>
          <w:p w14:paraId="4680847A"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33,378.64</w:t>
            </w:r>
          </w:p>
        </w:tc>
        <w:tc>
          <w:tcPr>
            <w:tcW w:w="1210" w:type="dxa"/>
            <w:vAlign w:val="center"/>
          </w:tcPr>
          <w:p w14:paraId="4B671E8D"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30,925.12</w:t>
            </w:r>
          </w:p>
        </w:tc>
        <w:tc>
          <w:tcPr>
            <w:tcW w:w="1210" w:type="dxa"/>
            <w:vAlign w:val="center"/>
          </w:tcPr>
          <w:p w14:paraId="4E0BE615"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31,231.73</w:t>
            </w:r>
          </w:p>
        </w:tc>
        <w:tc>
          <w:tcPr>
            <w:tcW w:w="1173" w:type="dxa"/>
            <w:vAlign w:val="center"/>
          </w:tcPr>
          <w:p w14:paraId="39868BD2"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28,716.11</w:t>
            </w:r>
          </w:p>
        </w:tc>
        <w:tc>
          <w:tcPr>
            <w:tcW w:w="2153" w:type="dxa"/>
            <w:tcBorders>
              <w:right w:val="nil"/>
            </w:tcBorders>
            <w:vAlign w:val="center"/>
          </w:tcPr>
          <w:p w14:paraId="79AEC91C"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19.66</w:t>
            </w:r>
          </w:p>
        </w:tc>
      </w:tr>
      <w:tr w:rsidR="009B2872" w:rsidRPr="00182A8F" w14:paraId="04647FA7" w14:textId="77777777" w:rsidTr="00804F0D">
        <w:tc>
          <w:tcPr>
            <w:tcW w:w="3929" w:type="dxa"/>
            <w:tcBorders>
              <w:left w:val="nil"/>
            </w:tcBorders>
            <w:shd w:val="clear" w:color="auto" w:fill="auto"/>
            <w:noWrap/>
            <w:vAlign w:val="center"/>
            <w:hideMark/>
          </w:tcPr>
          <w:p w14:paraId="05ACDA90" w14:textId="6309FE90"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w:t>
            </w:r>
            <w:r w:rsidR="00D926E9" w:rsidRPr="00182A8F">
              <w:rPr>
                <w:rFonts w:asciiTheme="minorHAnsi" w:eastAsia="Times New Roman" w:hAnsiTheme="minorHAnsi" w:cstheme="minorHAnsi"/>
                <w:color w:val="000000"/>
                <w:sz w:val="18"/>
                <w:szCs w:val="18"/>
              </w:rPr>
              <w:t xml:space="preserve"> </w:t>
            </w:r>
            <w:r w:rsidRPr="00182A8F">
              <w:rPr>
                <w:rFonts w:asciiTheme="minorHAnsi" w:eastAsia="Times New Roman" w:hAnsiTheme="minorHAnsi" w:cstheme="minorHAnsi"/>
                <w:color w:val="000000"/>
                <w:sz w:val="18"/>
                <w:szCs w:val="18"/>
              </w:rPr>
              <w:t>Industrial processes and product use</w:t>
            </w:r>
          </w:p>
        </w:tc>
        <w:tc>
          <w:tcPr>
            <w:tcW w:w="1210" w:type="dxa"/>
            <w:vAlign w:val="center"/>
          </w:tcPr>
          <w:p w14:paraId="5349736B"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4,681.30</w:t>
            </w:r>
          </w:p>
        </w:tc>
        <w:tc>
          <w:tcPr>
            <w:tcW w:w="1210" w:type="dxa"/>
            <w:vAlign w:val="center"/>
          </w:tcPr>
          <w:p w14:paraId="43DDB70C"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4,715.89</w:t>
            </w:r>
          </w:p>
        </w:tc>
        <w:tc>
          <w:tcPr>
            <w:tcW w:w="1210" w:type="dxa"/>
            <w:vAlign w:val="center"/>
          </w:tcPr>
          <w:p w14:paraId="2BC425C5"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4,641.73</w:t>
            </w:r>
          </w:p>
        </w:tc>
        <w:tc>
          <w:tcPr>
            <w:tcW w:w="1210" w:type="dxa"/>
            <w:vAlign w:val="center"/>
          </w:tcPr>
          <w:p w14:paraId="1EE9CB50"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4,690.16</w:t>
            </w:r>
          </w:p>
        </w:tc>
        <w:tc>
          <w:tcPr>
            <w:tcW w:w="1210" w:type="dxa"/>
            <w:vAlign w:val="center"/>
          </w:tcPr>
          <w:p w14:paraId="0A298040"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4,479.95</w:t>
            </w:r>
          </w:p>
        </w:tc>
        <w:tc>
          <w:tcPr>
            <w:tcW w:w="1210" w:type="dxa"/>
            <w:vAlign w:val="center"/>
          </w:tcPr>
          <w:p w14:paraId="7529D5F6"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4,708.40</w:t>
            </w:r>
          </w:p>
        </w:tc>
        <w:tc>
          <w:tcPr>
            <w:tcW w:w="1173" w:type="dxa"/>
            <w:vAlign w:val="center"/>
          </w:tcPr>
          <w:p w14:paraId="61023FD7"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4,469.16</w:t>
            </w:r>
          </w:p>
        </w:tc>
        <w:tc>
          <w:tcPr>
            <w:tcW w:w="2153" w:type="dxa"/>
            <w:tcBorders>
              <w:right w:val="nil"/>
            </w:tcBorders>
            <w:vAlign w:val="center"/>
          </w:tcPr>
          <w:p w14:paraId="2E58168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28.49</w:t>
            </w:r>
          </w:p>
        </w:tc>
      </w:tr>
      <w:tr w:rsidR="009B2872" w:rsidRPr="00182A8F" w14:paraId="0268CD5C" w14:textId="77777777" w:rsidTr="00804F0D">
        <w:tc>
          <w:tcPr>
            <w:tcW w:w="3929" w:type="dxa"/>
            <w:tcBorders>
              <w:left w:val="nil"/>
            </w:tcBorders>
            <w:shd w:val="clear" w:color="auto" w:fill="auto"/>
            <w:noWrap/>
            <w:vAlign w:val="center"/>
            <w:hideMark/>
          </w:tcPr>
          <w:p w14:paraId="1E81D7E7" w14:textId="5933D7C7"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 xml:space="preserve">3. Agriculture </w:t>
            </w:r>
          </w:p>
        </w:tc>
        <w:tc>
          <w:tcPr>
            <w:tcW w:w="1210" w:type="dxa"/>
            <w:vAlign w:val="center"/>
          </w:tcPr>
          <w:p w14:paraId="76446F2A"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42,246.61</w:t>
            </w:r>
          </w:p>
        </w:tc>
        <w:tc>
          <w:tcPr>
            <w:tcW w:w="1210" w:type="dxa"/>
            <w:vAlign w:val="center"/>
          </w:tcPr>
          <w:p w14:paraId="3A698B9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42,249.44</w:t>
            </w:r>
          </w:p>
        </w:tc>
        <w:tc>
          <w:tcPr>
            <w:tcW w:w="1210" w:type="dxa"/>
            <w:vAlign w:val="center"/>
          </w:tcPr>
          <w:p w14:paraId="7E1C8733"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42,670.28</w:t>
            </w:r>
          </w:p>
        </w:tc>
        <w:tc>
          <w:tcPr>
            <w:tcW w:w="1210" w:type="dxa"/>
            <w:vAlign w:val="center"/>
          </w:tcPr>
          <w:p w14:paraId="277BB8F3"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42,858.81</w:t>
            </w:r>
          </w:p>
        </w:tc>
        <w:tc>
          <w:tcPr>
            <w:tcW w:w="1210" w:type="dxa"/>
            <w:vAlign w:val="center"/>
          </w:tcPr>
          <w:p w14:paraId="5072FAD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42,869.26</w:t>
            </w:r>
          </w:p>
        </w:tc>
        <w:tc>
          <w:tcPr>
            <w:tcW w:w="1210" w:type="dxa"/>
            <w:vAlign w:val="center"/>
          </w:tcPr>
          <w:p w14:paraId="660E35FD"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42,320.55</w:t>
            </w:r>
          </w:p>
        </w:tc>
        <w:tc>
          <w:tcPr>
            <w:tcW w:w="1173" w:type="dxa"/>
            <w:vAlign w:val="center"/>
          </w:tcPr>
          <w:p w14:paraId="4A3A1EF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41,712.69</w:t>
            </w:r>
          </w:p>
        </w:tc>
        <w:tc>
          <w:tcPr>
            <w:tcW w:w="2153" w:type="dxa"/>
            <w:tcBorders>
              <w:right w:val="nil"/>
            </w:tcBorders>
            <w:vAlign w:val="center"/>
          </w:tcPr>
          <w:p w14:paraId="32C31E2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12.37</w:t>
            </w:r>
          </w:p>
        </w:tc>
      </w:tr>
      <w:tr w:rsidR="009B2872" w:rsidRPr="00182A8F" w14:paraId="1C961609" w14:textId="77777777" w:rsidTr="00804F0D">
        <w:tc>
          <w:tcPr>
            <w:tcW w:w="3929" w:type="dxa"/>
            <w:tcBorders>
              <w:left w:val="nil"/>
            </w:tcBorders>
            <w:shd w:val="clear" w:color="auto" w:fill="auto"/>
            <w:noWrap/>
            <w:vAlign w:val="center"/>
            <w:hideMark/>
          </w:tcPr>
          <w:p w14:paraId="099AFA52" w14:textId="64C01225"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sz w:val="18"/>
                <w:szCs w:val="18"/>
              </w:rPr>
              <w:t xml:space="preserve">4. </w:t>
            </w:r>
            <w:r w:rsidR="00B67BC9" w:rsidRPr="00182A8F">
              <w:rPr>
                <w:rFonts w:asciiTheme="minorHAnsi" w:eastAsia="Times New Roman" w:hAnsiTheme="minorHAnsi" w:cstheme="minorHAnsi"/>
                <w:sz w:val="18"/>
                <w:szCs w:val="18"/>
              </w:rPr>
              <w:t>Land Use, Land-Use Change and Forestry</w:t>
            </w:r>
            <w:r w:rsidRPr="00182A8F">
              <w:rPr>
                <w:rFonts w:asciiTheme="minorHAnsi" w:eastAsia="Times New Roman" w:hAnsiTheme="minorHAnsi" w:cstheme="minorHAnsi"/>
                <w:sz w:val="18"/>
                <w:szCs w:val="18"/>
              </w:rPr>
              <w:t xml:space="preserve"> </w:t>
            </w:r>
            <w:r w:rsidRPr="00182A8F">
              <w:rPr>
                <w:rFonts w:asciiTheme="minorHAnsi" w:eastAsia="Times New Roman" w:hAnsiTheme="minorHAnsi" w:cstheme="minorHAnsi"/>
                <w:sz w:val="18"/>
                <w:szCs w:val="18"/>
                <w:vertAlign w:val="superscript"/>
              </w:rPr>
              <w:t>(4)</w:t>
            </w:r>
            <w:r w:rsidRPr="00182A8F">
              <w:rPr>
                <w:rFonts w:asciiTheme="minorHAnsi" w:eastAsia="Times New Roman" w:hAnsiTheme="minorHAnsi" w:cstheme="minorHAnsi"/>
                <w:sz w:val="18"/>
                <w:szCs w:val="18"/>
              </w:rPr>
              <w:t xml:space="preserve"> </w:t>
            </w:r>
          </w:p>
        </w:tc>
        <w:tc>
          <w:tcPr>
            <w:tcW w:w="1210" w:type="dxa"/>
            <w:vAlign w:val="center"/>
          </w:tcPr>
          <w:p w14:paraId="1981E29A" w14:textId="30211491" w:rsidR="009B2872" w:rsidRPr="00182A8F" w:rsidRDefault="00182A8F" w:rsidP="009B2872">
            <w:pPr>
              <w:spacing w:before="0" w:after="0" w:line="240" w:lineRule="auto"/>
              <w:jc w:val="right"/>
              <w:rPr>
                <w:rFonts w:asciiTheme="minorHAnsi" w:eastAsia="Times New Roman" w:hAnsiTheme="minorHAnsi" w:cstheme="minorHAnsi"/>
                <w:color w:val="000000"/>
                <w:sz w:val="18"/>
                <w:szCs w:val="18"/>
              </w:rPr>
            </w:pPr>
            <w:r>
              <w:rPr>
                <w:rFonts w:asciiTheme="minorHAnsi" w:eastAsia="Times New Roman" w:hAnsiTheme="minorHAnsi" w:cstheme="minorHAnsi"/>
                <w:color w:val="000000"/>
                <w:sz w:val="18"/>
                <w:szCs w:val="18"/>
              </w:rPr>
              <w:t>–</w:t>
            </w:r>
            <w:r w:rsidR="009B2872" w:rsidRPr="00182A8F">
              <w:rPr>
                <w:rFonts w:asciiTheme="minorHAnsi" w:eastAsia="Times New Roman" w:hAnsiTheme="minorHAnsi" w:cstheme="minorHAnsi"/>
                <w:color w:val="000000"/>
                <w:sz w:val="18"/>
                <w:szCs w:val="18"/>
              </w:rPr>
              <w:t>24,943.06</w:t>
            </w:r>
          </w:p>
        </w:tc>
        <w:tc>
          <w:tcPr>
            <w:tcW w:w="1210" w:type="dxa"/>
            <w:vAlign w:val="center"/>
          </w:tcPr>
          <w:p w14:paraId="26DEEB01" w14:textId="36CD3B03" w:rsidR="009B2872" w:rsidRPr="00182A8F" w:rsidRDefault="00182A8F" w:rsidP="009B2872">
            <w:pPr>
              <w:spacing w:before="0" w:after="0" w:line="240" w:lineRule="auto"/>
              <w:jc w:val="right"/>
              <w:rPr>
                <w:rFonts w:asciiTheme="minorHAnsi" w:eastAsia="Times New Roman" w:hAnsiTheme="minorHAnsi" w:cstheme="minorHAnsi"/>
                <w:color w:val="000000"/>
                <w:sz w:val="18"/>
                <w:szCs w:val="18"/>
              </w:rPr>
            </w:pPr>
            <w:r>
              <w:rPr>
                <w:rFonts w:asciiTheme="minorHAnsi" w:eastAsia="Times New Roman" w:hAnsiTheme="minorHAnsi" w:cstheme="minorHAnsi"/>
                <w:color w:val="000000"/>
                <w:sz w:val="18"/>
                <w:szCs w:val="18"/>
              </w:rPr>
              <w:t>–</w:t>
            </w:r>
            <w:r w:rsidR="009B2872" w:rsidRPr="00182A8F">
              <w:rPr>
                <w:rFonts w:asciiTheme="minorHAnsi" w:eastAsia="Times New Roman" w:hAnsiTheme="minorHAnsi" w:cstheme="minorHAnsi"/>
                <w:color w:val="000000"/>
                <w:sz w:val="18"/>
                <w:szCs w:val="18"/>
              </w:rPr>
              <w:t>23,457.07</w:t>
            </w:r>
          </w:p>
        </w:tc>
        <w:tc>
          <w:tcPr>
            <w:tcW w:w="1210" w:type="dxa"/>
            <w:vAlign w:val="center"/>
          </w:tcPr>
          <w:p w14:paraId="50EA5161" w14:textId="755663AD" w:rsidR="009B2872" w:rsidRPr="00182A8F" w:rsidRDefault="00182A8F" w:rsidP="009B2872">
            <w:pPr>
              <w:spacing w:before="0" w:after="0" w:line="240" w:lineRule="auto"/>
              <w:jc w:val="right"/>
              <w:rPr>
                <w:rFonts w:asciiTheme="minorHAnsi" w:eastAsia="Times New Roman" w:hAnsiTheme="minorHAnsi" w:cstheme="minorHAnsi"/>
                <w:color w:val="000000"/>
                <w:sz w:val="18"/>
                <w:szCs w:val="18"/>
              </w:rPr>
            </w:pPr>
            <w:r>
              <w:rPr>
                <w:rFonts w:asciiTheme="minorHAnsi" w:eastAsia="Times New Roman" w:hAnsiTheme="minorHAnsi" w:cstheme="minorHAnsi"/>
                <w:color w:val="000000"/>
                <w:sz w:val="18"/>
                <w:szCs w:val="18"/>
              </w:rPr>
              <w:t>–</w:t>
            </w:r>
            <w:r w:rsidR="009B2872" w:rsidRPr="00182A8F">
              <w:rPr>
                <w:rFonts w:asciiTheme="minorHAnsi" w:eastAsia="Times New Roman" w:hAnsiTheme="minorHAnsi" w:cstheme="minorHAnsi"/>
                <w:color w:val="000000"/>
                <w:sz w:val="18"/>
                <w:szCs w:val="18"/>
              </w:rPr>
              <w:t>22,425.38</w:t>
            </w:r>
          </w:p>
        </w:tc>
        <w:tc>
          <w:tcPr>
            <w:tcW w:w="1210" w:type="dxa"/>
            <w:vAlign w:val="center"/>
          </w:tcPr>
          <w:p w14:paraId="4840C76C" w14:textId="039F203C" w:rsidR="009B2872" w:rsidRPr="00182A8F" w:rsidRDefault="00182A8F" w:rsidP="009B2872">
            <w:pPr>
              <w:spacing w:before="0" w:after="0" w:line="240" w:lineRule="auto"/>
              <w:jc w:val="right"/>
              <w:rPr>
                <w:rFonts w:asciiTheme="minorHAnsi" w:eastAsia="Times New Roman" w:hAnsiTheme="minorHAnsi" w:cstheme="minorHAnsi"/>
                <w:color w:val="000000"/>
                <w:sz w:val="18"/>
                <w:szCs w:val="18"/>
              </w:rPr>
            </w:pPr>
            <w:r>
              <w:rPr>
                <w:rFonts w:asciiTheme="minorHAnsi" w:eastAsia="Times New Roman" w:hAnsiTheme="minorHAnsi" w:cstheme="minorHAnsi"/>
                <w:color w:val="000000"/>
                <w:sz w:val="18"/>
                <w:szCs w:val="18"/>
              </w:rPr>
              <w:t>–</w:t>
            </w:r>
            <w:r w:rsidR="009B2872" w:rsidRPr="00182A8F">
              <w:rPr>
                <w:rFonts w:asciiTheme="minorHAnsi" w:eastAsia="Times New Roman" w:hAnsiTheme="minorHAnsi" w:cstheme="minorHAnsi"/>
                <w:color w:val="000000"/>
                <w:sz w:val="18"/>
                <w:szCs w:val="18"/>
              </w:rPr>
              <w:t>21,594.41</w:t>
            </w:r>
          </w:p>
        </w:tc>
        <w:tc>
          <w:tcPr>
            <w:tcW w:w="1210" w:type="dxa"/>
            <w:vAlign w:val="center"/>
          </w:tcPr>
          <w:p w14:paraId="782F5FD6" w14:textId="5A987594" w:rsidR="009B2872" w:rsidRPr="00182A8F" w:rsidRDefault="00182A8F" w:rsidP="009B2872">
            <w:pPr>
              <w:spacing w:before="0" w:after="0" w:line="240" w:lineRule="auto"/>
              <w:jc w:val="right"/>
              <w:rPr>
                <w:rFonts w:asciiTheme="minorHAnsi" w:eastAsia="Times New Roman" w:hAnsiTheme="minorHAnsi" w:cstheme="minorHAnsi"/>
                <w:color w:val="000000"/>
                <w:sz w:val="18"/>
                <w:szCs w:val="18"/>
              </w:rPr>
            </w:pPr>
            <w:r>
              <w:rPr>
                <w:rFonts w:asciiTheme="minorHAnsi" w:eastAsia="Times New Roman" w:hAnsiTheme="minorHAnsi" w:cstheme="minorHAnsi"/>
                <w:color w:val="000000"/>
                <w:sz w:val="18"/>
                <w:szCs w:val="18"/>
              </w:rPr>
              <w:t>–</w:t>
            </w:r>
            <w:r w:rsidR="009B2872" w:rsidRPr="00182A8F">
              <w:rPr>
                <w:rFonts w:asciiTheme="minorHAnsi" w:eastAsia="Times New Roman" w:hAnsiTheme="minorHAnsi" w:cstheme="minorHAnsi"/>
                <w:color w:val="000000"/>
                <w:sz w:val="18"/>
                <w:szCs w:val="18"/>
              </w:rPr>
              <w:t>21,060.56</w:t>
            </w:r>
          </w:p>
        </w:tc>
        <w:tc>
          <w:tcPr>
            <w:tcW w:w="1210" w:type="dxa"/>
            <w:vAlign w:val="center"/>
          </w:tcPr>
          <w:p w14:paraId="4C7C7A45" w14:textId="25D9CA06" w:rsidR="009B2872" w:rsidRPr="00182A8F" w:rsidRDefault="00182A8F" w:rsidP="009B2872">
            <w:pPr>
              <w:spacing w:before="0" w:after="0" w:line="240" w:lineRule="auto"/>
              <w:jc w:val="right"/>
              <w:rPr>
                <w:rFonts w:asciiTheme="minorHAnsi" w:eastAsia="Times New Roman" w:hAnsiTheme="minorHAnsi" w:cstheme="minorHAnsi"/>
                <w:color w:val="000000"/>
                <w:sz w:val="18"/>
                <w:szCs w:val="18"/>
              </w:rPr>
            </w:pPr>
            <w:r>
              <w:rPr>
                <w:rFonts w:asciiTheme="minorHAnsi" w:eastAsia="Times New Roman" w:hAnsiTheme="minorHAnsi" w:cstheme="minorHAnsi"/>
                <w:color w:val="000000"/>
                <w:sz w:val="18"/>
                <w:szCs w:val="18"/>
              </w:rPr>
              <w:t>–</w:t>
            </w:r>
            <w:r w:rsidR="009B2872" w:rsidRPr="00182A8F">
              <w:rPr>
                <w:rFonts w:asciiTheme="minorHAnsi" w:eastAsia="Times New Roman" w:hAnsiTheme="minorHAnsi" w:cstheme="minorHAnsi"/>
                <w:color w:val="000000"/>
                <w:sz w:val="18"/>
                <w:szCs w:val="18"/>
              </w:rPr>
              <w:t>20,505.56</w:t>
            </w:r>
          </w:p>
        </w:tc>
        <w:tc>
          <w:tcPr>
            <w:tcW w:w="1173" w:type="dxa"/>
            <w:vAlign w:val="center"/>
          </w:tcPr>
          <w:p w14:paraId="5E6B87B3" w14:textId="300D1E3E" w:rsidR="009B2872" w:rsidRPr="00182A8F" w:rsidRDefault="00182A8F" w:rsidP="009B2872">
            <w:pPr>
              <w:spacing w:before="0" w:after="0" w:line="240" w:lineRule="auto"/>
              <w:jc w:val="right"/>
              <w:rPr>
                <w:rFonts w:asciiTheme="minorHAnsi" w:eastAsia="Times New Roman" w:hAnsiTheme="minorHAnsi" w:cstheme="minorHAnsi"/>
                <w:color w:val="000000"/>
                <w:sz w:val="18"/>
                <w:szCs w:val="18"/>
              </w:rPr>
            </w:pPr>
            <w:r>
              <w:rPr>
                <w:rFonts w:asciiTheme="minorHAnsi" w:eastAsia="Times New Roman" w:hAnsiTheme="minorHAnsi" w:cstheme="minorHAnsi"/>
                <w:color w:val="000000"/>
                <w:sz w:val="18"/>
                <w:szCs w:val="18"/>
              </w:rPr>
              <w:t>–</w:t>
            </w:r>
            <w:r w:rsidR="009B2872" w:rsidRPr="00182A8F">
              <w:rPr>
                <w:rFonts w:asciiTheme="minorHAnsi" w:eastAsia="Times New Roman" w:hAnsiTheme="minorHAnsi" w:cstheme="minorHAnsi"/>
                <w:color w:val="000000"/>
                <w:sz w:val="18"/>
                <w:szCs w:val="18"/>
              </w:rPr>
              <w:t>19,238.79</w:t>
            </w:r>
          </w:p>
        </w:tc>
        <w:tc>
          <w:tcPr>
            <w:tcW w:w="2153" w:type="dxa"/>
            <w:tcBorders>
              <w:right w:val="nil"/>
            </w:tcBorders>
            <w:vAlign w:val="center"/>
          </w:tcPr>
          <w:p w14:paraId="5E41C7AD" w14:textId="046F604D" w:rsidR="009B2872" w:rsidRPr="00182A8F" w:rsidRDefault="00182A8F" w:rsidP="009B2872">
            <w:pPr>
              <w:spacing w:before="0" w:after="0" w:line="240" w:lineRule="auto"/>
              <w:jc w:val="right"/>
              <w:rPr>
                <w:rFonts w:asciiTheme="minorHAnsi" w:eastAsia="Times New Roman" w:hAnsiTheme="minorHAnsi" w:cstheme="minorHAnsi"/>
                <w:color w:val="000000"/>
                <w:sz w:val="18"/>
                <w:szCs w:val="18"/>
              </w:rPr>
            </w:pPr>
            <w:r>
              <w:rPr>
                <w:rFonts w:asciiTheme="minorHAnsi" w:eastAsia="Times New Roman" w:hAnsiTheme="minorHAnsi" w:cstheme="minorHAnsi"/>
                <w:color w:val="000000"/>
                <w:sz w:val="18"/>
                <w:szCs w:val="18"/>
              </w:rPr>
              <w:t>–</w:t>
            </w:r>
            <w:r w:rsidR="009B2872" w:rsidRPr="00182A8F">
              <w:rPr>
                <w:rFonts w:asciiTheme="minorHAnsi" w:eastAsia="Times New Roman" w:hAnsiTheme="minorHAnsi" w:cstheme="minorHAnsi"/>
                <w:color w:val="000000"/>
                <w:sz w:val="18"/>
                <w:szCs w:val="18"/>
              </w:rPr>
              <w:t>20.91</w:t>
            </w:r>
          </w:p>
        </w:tc>
      </w:tr>
      <w:tr w:rsidR="009B2872" w:rsidRPr="00182A8F" w14:paraId="3B1CC662" w14:textId="77777777" w:rsidTr="00804F0D">
        <w:tc>
          <w:tcPr>
            <w:tcW w:w="3929" w:type="dxa"/>
            <w:tcBorders>
              <w:left w:val="nil"/>
            </w:tcBorders>
            <w:shd w:val="clear" w:color="auto" w:fill="auto"/>
            <w:noWrap/>
            <w:vAlign w:val="center"/>
            <w:hideMark/>
          </w:tcPr>
          <w:p w14:paraId="44D8171C" w14:textId="71DF4893"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 xml:space="preserve">5. Waste </w:t>
            </w:r>
          </w:p>
        </w:tc>
        <w:tc>
          <w:tcPr>
            <w:tcW w:w="1210" w:type="dxa"/>
            <w:vAlign w:val="center"/>
          </w:tcPr>
          <w:p w14:paraId="30FB5DB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3,822.70</w:t>
            </w:r>
          </w:p>
        </w:tc>
        <w:tc>
          <w:tcPr>
            <w:tcW w:w="1210" w:type="dxa"/>
            <w:vAlign w:val="center"/>
          </w:tcPr>
          <w:p w14:paraId="36473FCD"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3,780.27</w:t>
            </w:r>
          </w:p>
        </w:tc>
        <w:tc>
          <w:tcPr>
            <w:tcW w:w="1210" w:type="dxa"/>
            <w:vAlign w:val="center"/>
          </w:tcPr>
          <w:p w14:paraId="66675AC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3,705.56</w:t>
            </w:r>
          </w:p>
        </w:tc>
        <w:tc>
          <w:tcPr>
            <w:tcW w:w="1210" w:type="dxa"/>
            <w:vAlign w:val="center"/>
          </w:tcPr>
          <w:p w14:paraId="2612BD85"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3,654.18</w:t>
            </w:r>
          </w:p>
        </w:tc>
        <w:tc>
          <w:tcPr>
            <w:tcW w:w="1210" w:type="dxa"/>
            <w:vAlign w:val="center"/>
          </w:tcPr>
          <w:p w14:paraId="37FD4B6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3,603.19</w:t>
            </w:r>
          </w:p>
        </w:tc>
        <w:tc>
          <w:tcPr>
            <w:tcW w:w="1210" w:type="dxa"/>
            <w:vAlign w:val="center"/>
          </w:tcPr>
          <w:p w14:paraId="0B421E63"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3,544.31</w:t>
            </w:r>
          </w:p>
        </w:tc>
        <w:tc>
          <w:tcPr>
            <w:tcW w:w="1173" w:type="dxa"/>
            <w:vAlign w:val="center"/>
          </w:tcPr>
          <w:p w14:paraId="02947464"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3,492.72</w:t>
            </w:r>
          </w:p>
        </w:tc>
        <w:tc>
          <w:tcPr>
            <w:tcW w:w="2153" w:type="dxa"/>
            <w:tcBorders>
              <w:right w:val="nil"/>
            </w:tcBorders>
            <w:vAlign w:val="center"/>
          </w:tcPr>
          <w:p w14:paraId="1441CB31" w14:textId="60F95131" w:rsidR="009B2872" w:rsidRPr="00182A8F" w:rsidRDefault="00182A8F" w:rsidP="009B2872">
            <w:pPr>
              <w:spacing w:before="0" w:after="0" w:line="240" w:lineRule="auto"/>
              <w:jc w:val="right"/>
              <w:rPr>
                <w:rFonts w:asciiTheme="minorHAnsi" w:eastAsia="Times New Roman" w:hAnsiTheme="minorHAnsi" w:cstheme="minorHAnsi"/>
                <w:color w:val="000000"/>
                <w:sz w:val="18"/>
                <w:szCs w:val="18"/>
              </w:rPr>
            </w:pPr>
            <w:r>
              <w:rPr>
                <w:rFonts w:asciiTheme="minorHAnsi" w:eastAsia="Times New Roman" w:hAnsiTheme="minorHAnsi" w:cstheme="minorHAnsi"/>
                <w:color w:val="000000"/>
                <w:sz w:val="18"/>
                <w:szCs w:val="18"/>
              </w:rPr>
              <w:t>–</w:t>
            </w:r>
            <w:r w:rsidR="009B2872" w:rsidRPr="00182A8F">
              <w:rPr>
                <w:rFonts w:asciiTheme="minorHAnsi" w:eastAsia="Times New Roman" w:hAnsiTheme="minorHAnsi" w:cstheme="minorHAnsi"/>
                <w:color w:val="000000"/>
                <w:sz w:val="18"/>
                <w:szCs w:val="18"/>
              </w:rPr>
              <w:t>19.83</w:t>
            </w:r>
          </w:p>
        </w:tc>
      </w:tr>
      <w:tr w:rsidR="009B2872" w:rsidRPr="00182A8F" w14:paraId="5324D8F2" w14:textId="77777777" w:rsidTr="00804F0D">
        <w:tc>
          <w:tcPr>
            <w:tcW w:w="3929" w:type="dxa"/>
            <w:tcBorders>
              <w:left w:val="nil"/>
              <w:bottom w:val="single" w:sz="4" w:space="0" w:color="1B556B" w:themeColor="text2"/>
            </w:tcBorders>
            <w:shd w:val="clear" w:color="auto" w:fill="auto"/>
            <w:noWrap/>
            <w:vAlign w:val="center"/>
            <w:hideMark/>
          </w:tcPr>
          <w:p w14:paraId="59F37531" w14:textId="45EAD162" w:rsidR="009B2872" w:rsidRPr="00182A8F" w:rsidRDefault="009B2872" w:rsidP="009B2872">
            <w:pPr>
              <w:spacing w:before="0" w:after="0" w:line="240" w:lineRule="auto"/>
              <w:jc w:val="lef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6. Other</w:t>
            </w:r>
          </w:p>
        </w:tc>
        <w:tc>
          <w:tcPr>
            <w:tcW w:w="1210" w:type="dxa"/>
            <w:tcBorders>
              <w:bottom w:val="single" w:sz="4" w:space="0" w:color="1B556B" w:themeColor="text2"/>
            </w:tcBorders>
            <w:vAlign w:val="center"/>
          </w:tcPr>
          <w:p w14:paraId="6BE3BF9A"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3.60</w:t>
            </w:r>
          </w:p>
        </w:tc>
        <w:tc>
          <w:tcPr>
            <w:tcW w:w="1210" w:type="dxa"/>
            <w:tcBorders>
              <w:bottom w:val="single" w:sz="4" w:space="0" w:color="1B556B" w:themeColor="text2"/>
            </w:tcBorders>
            <w:vAlign w:val="center"/>
          </w:tcPr>
          <w:p w14:paraId="1B3A58E1"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3.69</w:t>
            </w:r>
          </w:p>
        </w:tc>
        <w:tc>
          <w:tcPr>
            <w:tcW w:w="1210" w:type="dxa"/>
            <w:tcBorders>
              <w:bottom w:val="single" w:sz="4" w:space="0" w:color="1B556B" w:themeColor="text2"/>
            </w:tcBorders>
            <w:vAlign w:val="center"/>
          </w:tcPr>
          <w:p w14:paraId="287072CD"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3.79</w:t>
            </w:r>
          </w:p>
        </w:tc>
        <w:tc>
          <w:tcPr>
            <w:tcW w:w="1210" w:type="dxa"/>
            <w:tcBorders>
              <w:bottom w:val="single" w:sz="4" w:space="0" w:color="1B556B" w:themeColor="text2"/>
            </w:tcBorders>
            <w:vAlign w:val="center"/>
          </w:tcPr>
          <w:p w14:paraId="7CF0EBC0"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4.45</w:t>
            </w:r>
          </w:p>
        </w:tc>
        <w:tc>
          <w:tcPr>
            <w:tcW w:w="1210" w:type="dxa"/>
            <w:tcBorders>
              <w:bottom w:val="single" w:sz="4" w:space="0" w:color="1B556B" w:themeColor="text2"/>
            </w:tcBorders>
            <w:vAlign w:val="center"/>
          </w:tcPr>
          <w:p w14:paraId="41911751"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4.33</w:t>
            </w:r>
          </w:p>
        </w:tc>
        <w:tc>
          <w:tcPr>
            <w:tcW w:w="1210" w:type="dxa"/>
            <w:tcBorders>
              <w:bottom w:val="single" w:sz="4" w:space="0" w:color="1B556B" w:themeColor="text2"/>
            </w:tcBorders>
            <w:vAlign w:val="center"/>
          </w:tcPr>
          <w:p w14:paraId="76384DEC"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3.93</w:t>
            </w:r>
          </w:p>
        </w:tc>
        <w:tc>
          <w:tcPr>
            <w:tcW w:w="1173" w:type="dxa"/>
            <w:tcBorders>
              <w:bottom w:val="single" w:sz="4" w:space="0" w:color="1B556B" w:themeColor="text2"/>
            </w:tcBorders>
            <w:vAlign w:val="center"/>
          </w:tcPr>
          <w:p w14:paraId="69124C38"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4.69</w:t>
            </w:r>
          </w:p>
        </w:tc>
        <w:tc>
          <w:tcPr>
            <w:tcW w:w="2153" w:type="dxa"/>
            <w:tcBorders>
              <w:bottom w:val="single" w:sz="4" w:space="0" w:color="1B556B" w:themeColor="text2"/>
              <w:right w:val="nil"/>
            </w:tcBorders>
            <w:vAlign w:val="center"/>
          </w:tcPr>
          <w:p w14:paraId="7E02F959" w14:textId="77777777" w:rsidR="009B2872" w:rsidRPr="00182A8F" w:rsidRDefault="009B2872" w:rsidP="009B2872">
            <w:pPr>
              <w:spacing w:before="0" w:after="0" w:line="240" w:lineRule="auto"/>
              <w:jc w:val="right"/>
              <w:rPr>
                <w:rFonts w:asciiTheme="minorHAnsi" w:eastAsia="Times New Roman" w:hAnsiTheme="minorHAnsi" w:cstheme="minorHAnsi"/>
                <w:color w:val="000000"/>
                <w:sz w:val="18"/>
                <w:szCs w:val="18"/>
              </w:rPr>
            </w:pPr>
            <w:r w:rsidRPr="00182A8F">
              <w:rPr>
                <w:rFonts w:asciiTheme="minorHAnsi" w:eastAsia="Times New Roman" w:hAnsiTheme="minorHAnsi" w:cstheme="minorHAnsi"/>
                <w:color w:val="000000"/>
                <w:sz w:val="18"/>
                <w:szCs w:val="18"/>
              </w:rPr>
              <w:t>38.94</w:t>
            </w:r>
          </w:p>
        </w:tc>
      </w:tr>
      <w:tr w:rsidR="009B2872" w:rsidRPr="00182A8F" w14:paraId="57F9663B" w14:textId="77777777" w:rsidTr="00804F0D">
        <w:tc>
          <w:tcPr>
            <w:tcW w:w="3929" w:type="dxa"/>
            <w:tcBorders>
              <w:left w:val="nil"/>
            </w:tcBorders>
            <w:shd w:val="clear" w:color="auto" w:fill="auto"/>
            <w:vAlign w:val="center"/>
            <w:hideMark/>
          </w:tcPr>
          <w:p w14:paraId="47A3A171" w14:textId="77777777" w:rsidR="009B2872" w:rsidRPr="00182A8F" w:rsidRDefault="009B2872" w:rsidP="009B2872">
            <w:pPr>
              <w:spacing w:before="0" w:after="0" w:line="240" w:lineRule="auto"/>
              <w:jc w:val="lef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sz w:val="18"/>
                <w:szCs w:val="18"/>
              </w:rPr>
              <w:t xml:space="preserve">Total (with LULUCF) </w:t>
            </w:r>
            <w:r w:rsidRPr="00182A8F">
              <w:rPr>
                <w:rFonts w:asciiTheme="minorHAnsi" w:eastAsia="Times New Roman" w:hAnsiTheme="minorHAnsi" w:cstheme="minorHAnsi"/>
                <w:sz w:val="18"/>
                <w:szCs w:val="18"/>
                <w:vertAlign w:val="superscript"/>
              </w:rPr>
              <w:t>(8)</w:t>
            </w:r>
          </w:p>
        </w:tc>
        <w:tc>
          <w:tcPr>
            <w:tcW w:w="1210" w:type="dxa"/>
            <w:vAlign w:val="center"/>
          </w:tcPr>
          <w:p w14:paraId="6B754A9C"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56,713.13</w:t>
            </w:r>
          </w:p>
        </w:tc>
        <w:tc>
          <w:tcPr>
            <w:tcW w:w="1210" w:type="dxa"/>
            <w:vAlign w:val="center"/>
          </w:tcPr>
          <w:p w14:paraId="0DBC255B"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59,616.02</w:t>
            </w:r>
          </w:p>
        </w:tc>
        <w:tc>
          <w:tcPr>
            <w:tcW w:w="1210" w:type="dxa"/>
            <w:vAlign w:val="center"/>
          </w:tcPr>
          <w:p w14:paraId="05F1D014"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61,009.23</w:t>
            </w:r>
          </w:p>
        </w:tc>
        <w:tc>
          <w:tcPr>
            <w:tcW w:w="1210" w:type="dxa"/>
            <w:vAlign w:val="center"/>
          </w:tcPr>
          <w:p w14:paraId="28C855B3"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62,991.82</w:t>
            </w:r>
          </w:p>
        </w:tc>
        <w:tc>
          <w:tcPr>
            <w:tcW w:w="1210" w:type="dxa"/>
            <w:vAlign w:val="center"/>
          </w:tcPr>
          <w:p w14:paraId="288C83FA"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60,821.29</w:t>
            </w:r>
          </w:p>
        </w:tc>
        <w:tc>
          <w:tcPr>
            <w:tcW w:w="1210" w:type="dxa"/>
            <w:vAlign w:val="center"/>
          </w:tcPr>
          <w:p w14:paraId="31AFE064"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61,303.36</w:t>
            </w:r>
          </w:p>
        </w:tc>
        <w:tc>
          <w:tcPr>
            <w:tcW w:w="1173" w:type="dxa"/>
            <w:vAlign w:val="center"/>
          </w:tcPr>
          <w:p w14:paraId="43403C9C"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59,156.57</w:t>
            </w:r>
          </w:p>
        </w:tc>
        <w:tc>
          <w:tcPr>
            <w:tcW w:w="2153" w:type="dxa"/>
            <w:tcBorders>
              <w:right w:val="nil"/>
            </w:tcBorders>
            <w:vAlign w:val="center"/>
          </w:tcPr>
          <w:p w14:paraId="1262162D" w14:textId="77777777" w:rsidR="009B2872" w:rsidRPr="00182A8F" w:rsidRDefault="009B2872" w:rsidP="009B2872">
            <w:pPr>
              <w:spacing w:before="0" w:after="0" w:line="240" w:lineRule="auto"/>
              <w:jc w:val="right"/>
              <w:rPr>
                <w:rFonts w:asciiTheme="minorHAnsi" w:eastAsia="Times New Roman" w:hAnsiTheme="minorHAnsi" w:cstheme="minorHAnsi"/>
                <w:b/>
                <w:bCs/>
                <w:color w:val="000000"/>
                <w:sz w:val="18"/>
                <w:szCs w:val="18"/>
              </w:rPr>
            </w:pPr>
            <w:r w:rsidRPr="00182A8F">
              <w:rPr>
                <w:rFonts w:asciiTheme="minorHAnsi" w:eastAsia="Times New Roman" w:hAnsiTheme="minorHAnsi" w:cstheme="minorHAnsi"/>
                <w:b/>
                <w:bCs/>
                <w:color w:val="000000"/>
                <w:sz w:val="18"/>
                <w:szCs w:val="18"/>
              </w:rPr>
              <w:t>32.54</w:t>
            </w:r>
          </w:p>
        </w:tc>
      </w:tr>
    </w:tbl>
    <w:p w14:paraId="15D3D3E1" w14:textId="1AAAE702" w:rsidR="009B2872" w:rsidRPr="009B2872" w:rsidRDefault="009B2872" w:rsidP="004B00ED">
      <w:pPr>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(1)</w:t>
      </w:r>
      <w:r w:rsidRPr="009B2872">
        <w:rPr>
          <w:rFonts w:eastAsia="Times New Roman" w:cs="Times New Roman"/>
          <w:sz w:val="18"/>
        </w:rPr>
        <w:t xml:space="preserve"> </w:t>
      </w:r>
      <w:r w:rsidRPr="009B2872">
        <w:rPr>
          <w:rFonts w:eastAsia="Times New Roman" w:cs="Times New Roman"/>
          <w:sz w:val="18"/>
        </w:rPr>
        <w:tab/>
        <w:t xml:space="preserve">In accordance with decision 18/CMA.1, annex, para. 57, Parties shall report a consistent annual time series starting from 1990; those developing country Parties that need flexibility in the light of their capacities with respect to this provision have the flexibility to instead report data covering, at a minimum, the reference year/period for its NDC under Article 4 of the Paris Agreement and, in addition, a consistent annual time series from at least 2020 onwards. </w:t>
      </w:r>
    </w:p>
    <w:p w14:paraId="7A742E89" w14:textId="6813A7AE" w:rsidR="009B2872" w:rsidRPr="009B2872" w:rsidRDefault="009B2872" w:rsidP="004B00ED">
      <w:pPr>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(2)</w:t>
      </w:r>
      <w:r w:rsidRPr="009B2872" w:rsidDel="00D926E9">
        <w:rPr>
          <w:rFonts w:eastAsia="Times New Roman" w:cs="Times New Roman"/>
          <w:sz w:val="18"/>
        </w:rPr>
        <w:t xml:space="preserve"> </w:t>
      </w:r>
      <w:r w:rsidR="00901F23">
        <w:rPr>
          <w:rFonts w:eastAsia="Times New Roman" w:cs="Times New Roman"/>
          <w:sz w:val="18"/>
        </w:rPr>
        <w:tab/>
      </w:r>
      <w:r w:rsidRPr="009B2872">
        <w:rPr>
          <w:rFonts w:eastAsia="Times New Roman" w:cs="Times New Roman"/>
          <w:sz w:val="18"/>
        </w:rPr>
        <w:t xml:space="preserve">The column "Base year" should be filled in only by those Parties with economies in transition that use a base year different from 1990 in accordance with the relevant decisions of the COP. For these Parties, this different base year is used to calculate the percentage change in the final column of this table. </w:t>
      </w:r>
    </w:p>
    <w:p w14:paraId="562A28C4" w14:textId="760237F4" w:rsidR="009B2872" w:rsidRPr="009B2872" w:rsidRDefault="009B2872" w:rsidP="004B00ED">
      <w:pPr>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(3)</w:t>
      </w:r>
      <w:r w:rsidRPr="009B2872">
        <w:rPr>
          <w:rFonts w:eastAsia="Times New Roman" w:cs="Times New Roman"/>
          <w:sz w:val="18"/>
        </w:rPr>
        <w:t xml:space="preserve"> </w:t>
      </w:r>
      <w:r w:rsidR="00901F23">
        <w:rPr>
          <w:rFonts w:eastAsia="Times New Roman" w:cs="Times New Roman"/>
          <w:sz w:val="18"/>
        </w:rPr>
        <w:tab/>
      </w:r>
      <w:r w:rsidRPr="009B2872">
        <w:rPr>
          <w:rFonts w:eastAsia="Times New Roman" w:cs="Times New Roman"/>
          <w:sz w:val="18"/>
        </w:rPr>
        <w:t>As per decision 18/CMA.1, annex, para. 37, Parties shall use the 100-year time-horizon GWP values from the IPCC Fifth Assessment Report, or 100-year time-horizon GWP values from a subsequent IPCC assessment report as agreed upon by the CMA, to report aggregate emissions and removals of GHGs, expressed in CO</w:t>
      </w:r>
      <w:r w:rsidRPr="009B2872">
        <w:rPr>
          <w:rFonts w:eastAsia="Times New Roman" w:cs="Times New Roman"/>
          <w:sz w:val="18"/>
          <w:vertAlign w:val="subscript"/>
        </w:rPr>
        <w:t>2</w:t>
      </w:r>
      <w:r w:rsidRPr="009B2872">
        <w:rPr>
          <w:rFonts w:eastAsia="Times New Roman" w:cs="Times New Roman"/>
          <w:sz w:val="18"/>
        </w:rPr>
        <w:t xml:space="preserve"> eq. Parties may also use other metrics (e.g. global temperature potential) to report supplemental information on aggregate emissions and removals of GHGs, expressed in CO</w:t>
      </w:r>
      <w:r w:rsidRPr="009B2872">
        <w:rPr>
          <w:rFonts w:eastAsia="Times New Roman" w:cs="Times New Roman"/>
          <w:sz w:val="18"/>
          <w:vertAlign w:val="subscript"/>
        </w:rPr>
        <w:t>2</w:t>
      </w:r>
      <w:r w:rsidRPr="009B2872">
        <w:rPr>
          <w:rFonts w:eastAsia="Times New Roman" w:cs="Times New Roman"/>
          <w:sz w:val="18"/>
        </w:rPr>
        <w:t xml:space="preserve"> eq. In such cases, Parties shall provide in the NID information on the values of the metrics used and the IPCC assessment report they were sourced from. </w:t>
      </w:r>
    </w:p>
    <w:p w14:paraId="2A6ACFBB" w14:textId="4B368E56" w:rsidR="009B2872" w:rsidRPr="009B2872" w:rsidRDefault="009B2872" w:rsidP="004B00ED">
      <w:pPr>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(4)</w:t>
      </w:r>
      <w:r w:rsidRPr="009B2872" w:rsidDel="00D926E9">
        <w:rPr>
          <w:rFonts w:eastAsia="Times New Roman" w:cs="Times New Roman"/>
          <w:sz w:val="18"/>
        </w:rPr>
        <w:t xml:space="preserve"> </w:t>
      </w:r>
      <w:r w:rsidRPr="009B2872">
        <w:rPr>
          <w:rFonts w:eastAsia="Times New Roman" w:cs="Times New Roman"/>
          <w:sz w:val="18"/>
        </w:rPr>
        <w:t xml:space="preserve"> </w:t>
      </w:r>
      <w:r w:rsidR="00901F23">
        <w:rPr>
          <w:rFonts w:eastAsia="Times New Roman" w:cs="Times New Roman"/>
          <w:sz w:val="18"/>
        </w:rPr>
        <w:tab/>
      </w:r>
      <w:r w:rsidRPr="009B2872">
        <w:rPr>
          <w:rFonts w:eastAsia="Times New Roman" w:cs="Times New Roman"/>
          <w:sz w:val="18"/>
        </w:rPr>
        <w:t xml:space="preserve">Fill in net emissions/removals as reported in table Summary 1. For the purposes of reporting, the signs for removals are always negative (–) and for emissions positive (+). </w:t>
      </w:r>
    </w:p>
    <w:p w14:paraId="5EAFFB52" w14:textId="170378AC" w:rsidR="009B2872" w:rsidRPr="009B2872" w:rsidRDefault="009B2872" w:rsidP="004B00ED">
      <w:pPr>
        <w:tabs>
          <w:tab w:val="left" w:pos="284"/>
        </w:tabs>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(5)</w:t>
      </w:r>
      <w:r w:rsidRPr="009B2872" w:rsidDel="00D926E9">
        <w:rPr>
          <w:rFonts w:eastAsia="Times New Roman" w:cs="Times New Roman"/>
          <w:sz w:val="18"/>
        </w:rPr>
        <w:t xml:space="preserve"> </w:t>
      </w:r>
      <w:r w:rsidRPr="009B2872">
        <w:rPr>
          <w:rFonts w:eastAsia="Times New Roman" w:cs="Times New Roman"/>
          <w:sz w:val="18"/>
        </w:rPr>
        <w:t xml:space="preserve"> </w:t>
      </w:r>
      <w:r w:rsidR="00901F23">
        <w:rPr>
          <w:rFonts w:eastAsia="Times New Roman" w:cs="Times New Roman"/>
          <w:sz w:val="18"/>
        </w:rPr>
        <w:tab/>
      </w:r>
      <w:r w:rsidRPr="009B2872">
        <w:rPr>
          <w:rFonts w:eastAsia="Times New Roman" w:cs="Times New Roman"/>
          <w:sz w:val="18"/>
        </w:rPr>
        <w:t>Parties are asked to report emissions from international aviation and international navigation and multilateral operations, as well as CO</w:t>
      </w:r>
      <w:r w:rsidRPr="009B2872">
        <w:rPr>
          <w:rFonts w:eastAsia="Times New Roman" w:cs="Times New Roman"/>
          <w:sz w:val="18"/>
          <w:vertAlign w:val="subscript"/>
        </w:rPr>
        <w:t>2</w:t>
      </w:r>
      <w:r w:rsidRPr="009B2872">
        <w:rPr>
          <w:rFonts w:eastAsia="Times New Roman" w:cs="Times New Roman"/>
          <w:sz w:val="18"/>
        </w:rPr>
        <w:t xml:space="preserve"> emissions from biomass and CO</w:t>
      </w:r>
      <w:r w:rsidRPr="009B2872">
        <w:rPr>
          <w:rFonts w:eastAsia="Times New Roman" w:cs="Times New Roman"/>
          <w:sz w:val="18"/>
          <w:vertAlign w:val="subscript"/>
        </w:rPr>
        <w:t>2</w:t>
      </w:r>
      <w:r w:rsidRPr="009B2872">
        <w:rPr>
          <w:rFonts w:eastAsia="Times New Roman" w:cs="Times New Roman"/>
          <w:sz w:val="18"/>
        </w:rPr>
        <w:t xml:space="preserve"> captured, under memo items. These emissions should not be included in the national total emissions from the energy sector. The Amounts of biomass used as fuel are included in the national energy consumption but the corresponding CO</w:t>
      </w:r>
      <w:r w:rsidRPr="009B2872">
        <w:rPr>
          <w:rFonts w:eastAsia="Times New Roman" w:cs="Times New Roman"/>
          <w:sz w:val="18"/>
          <w:vertAlign w:val="subscript"/>
        </w:rPr>
        <w:t>2</w:t>
      </w:r>
      <w:r w:rsidRPr="009B2872">
        <w:rPr>
          <w:rFonts w:eastAsia="Times New Roman" w:cs="Times New Roman"/>
          <w:sz w:val="18"/>
        </w:rPr>
        <w:t xml:space="preserve"> emissions are not included in the national total as it is assumed that the biomass is produced in a sustainable manner. If the biomass is harvested at an unsustainable rate, net CO</w:t>
      </w:r>
      <w:r w:rsidRPr="009B2872">
        <w:rPr>
          <w:rFonts w:eastAsia="Times New Roman" w:cs="Times New Roman"/>
          <w:sz w:val="18"/>
          <w:vertAlign w:val="subscript"/>
        </w:rPr>
        <w:t>2</w:t>
      </w:r>
      <w:r w:rsidRPr="009B2872">
        <w:rPr>
          <w:rFonts w:eastAsia="Times New Roman" w:cs="Times New Roman"/>
          <w:sz w:val="18"/>
        </w:rPr>
        <w:t xml:space="preserve"> emissions are accounted for as a loss of biomass stocks in the LULUCF sector. </w:t>
      </w:r>
    </w:p>
    <w:p w14:paraId="20495015" w14:textId="3644AA02" w:rsidR="009B2872" w:rsidRPr="009B2872" w:rsidRDefault="009B2872" w:rsidP="004B00ED">
      <w:pPr>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(6)</w:t>
      </w:r>
      <w:r w:rsidRPr="009B2872">
        <w:rPr>
          <w:rFonts w:eastAsia="Times New Roman" w:cs="Times New Roman"/>
          <w:sz w:val="18"/>
        </w:rPr>
        <w:t xml:space="preserve"> </w:t>
      </w:r>
      <w:r w:rsidR="00901F23">
        <w:rPr>
          <w:rFonts w:eastAsia="Times New Roman" w:cs="Times New Roman"/>
          <w:sz w:val="18"/>
        </w:rPr>
        <w:tab/>
      </w:r>
      <w:r w:rsidRPr="009B2872">
        <w:rPr>
          <w:rFonts w:eastAsia="Times New Roman" w:cs="Times New Roman"/>
          <w:sz w:val="18"/>
        </w:rPr>
        <w:t>In accordance with the MPGs (chapter II), for Parties that decide to report indirect CO</w:t>
      </w:r>
      <w:r w:rsidRPr="009B2872">
        <w:rPr>
          <w:rFonts w:eastAsia="Times New Roman" w:cs="Times New Roman"/>
          <w:sz w:val="18"/>
          <w:vertAlign w:val="subscript"/>
        </w:rPr>
        <w:t>2</w:t>
      </w:r>
      <w:r w:rsidRPr="009B2872">
        <w:rPr>
          <w:rFonts w:eastAsia="Times New Roman" w:cs="Times New Roman"/>
          <w:sz w:val="18"/>
        </w:rPr>
        <w:t xml:space="preserve"> emissions, the national totals shall be provided with and without indirect CO</w:t>
      </w:r>
      <w:r w:rsidRPr="009B2872">
        <w:rPr>
          <w:rFonts w:eastAsia="Times New Roman" w:cs="Times New Roman"/>
          <w:sz w:val="18"/>
          <w:vertAlign w:val="subscript"/>
        </w:rPr>
        <w:t>2</w:t>
      </w:r>
      <w:r w:rsidRPr="009B2872">
        <w:rPr>
          <w:rFonts w:eastAsia="Times New Roman" w:cs="Times New Roman"/>
          <w:sz w:val="18"/>
        </w:rPr>
        <w:t xml:space="preserve">. </w:t>
      </w:r>
    </w:p>
    <w:p w14:paraId="3792008F" w14:textId="2E9602C7" w:rsidR="009B2872" w:rsidRPr="009B2872" w:rsidRDefault="009B2872" w:rsidP="004B00ED">
      <w:pPr>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(7)</w:t>
      </w:r>
      <w:r w:rsidRPr="009B2872" w:rsidDel="00D926E9">
        <w:rPr>
          <w:rFonts w:eastAsia="Times New Roman" w:cs="Times New Roman"/>
          <w:sz w:val="18"/>
        </w:rPr>
        <w:t xml:space="preserve"> </w:t>
      </w:r>
      <w:r w:rsidR="00901F23">
        <w:rPr>
          <w:rFonts w:eastAsia="Times New Roman" w:cs="Times New Roman"/>
          <w:sz w:val="18"/>
        </w:rPr>
        <w:tab/>
      </w:r>
      <w:r w:rsidRPr="009B2872">
        <w:rPr>
          <w:rFonts w:eastAsia="Times New Roman" w:cs="Times New Roman"/>
          <w:sz w:val="18"/>
        </w:rPr>
        <w:t>In accordance with the MPGs (chapter II), HFC and PFC emissions should be reported for each relevant chemical. However, if it is not possible to report values for each chemical (i.e. mixtures, confidential data, lack of disaggregation), this row could be used for reporting aggregate figures for HFCs and PFCs. Note that the unit used for this row is kt CO</w:t>
      </w:r>
      <w:r w:rsidRPr="009B2872">
        <w:rPr>
          <w:rFonts w:eastAsia="Times New Roman" w:cs="Times New Roman"/>
          <w:sz w:val="18"/>
          <w:vertAlign w:val="subscript"/>
        </w:rPr>
        <w:t>2</w:t>
      </w:r>
      <w:r w:rsidRPr="009B2872">
        <w:rPr>
          <w:rFonts w:eastAsia="Times New Roman" w:cs="Times New Roman"/>
          <w:sz w:val="18"/>
        </w:rPr>
        <w:t xml:space="preserve"> eq. and that appropriate notation keys should be entered in the cells for the individual chemicals. </w:t>
      </w:r>
    </w:p>
    <w:p w14:paraId="772C3A00" w14:textId="60CED88B" w:rsidR="009B2872" w:rsidRPr="009B2872" w:rsidRDefault="009B2872" w:rsidP="004B00ED">
      <w:pPr>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(8)</w:t>
      </w:r>
      <w:r w:rsidRPr="009B2872">
        <w:rPr>
          <w:rFonts w:eastAsia="Times New Roman" w:cs="Times New Roman"/>
          <w:sz w:val="18"/>
        </w:rPr>
        <w:t xml:space="preserve"> </w:t>
      </w:r>
      <w:r w:rsidR="00901F23">
        <w:rPr>
          <w:rFonts w:eastAsia="Times New Roman" w:cs="Times New Roman"/>
          <w:sz w:val="18"/>
        </w:rPr>
        <w:tab/>
      </w:r>
      <w:r w:rsidRPr="009B2872">
        <w:rPr>
          <w:rFonts w:eastAsia="Times New Roman" w:cs="Times New Roman"/>
          <w:sz w:val="18"/>
        </w:rPr>
        <w:t>Includes net CO</w:t>
      </w:r>
      <w:r w:rsidRPr="009B2872">
        <w:rPr>
          <w:rFonts w:eastAsia="Times New Roman" w:cs="Times New Roman"/>
          <w:sz w:val="18"/>
          <w:vertAlign w:val="subscript"/>
        </w:rPr>
        <w:t>2</w:t>
      </w:r>
      <w:r w:rsidRPr="009B2872">
        <w:rPr>
          <w:rFonts w:eastAsia="Times New Roman" w:cs="Times New Roman"/>
          <w:sz w:val="18"/>
        </w:rPr>
        <w:t>, CH</w:t>
      </w:r>
      <w:r w:rsidRPr="009B2872">
        <w:rPr>
          <w:rFonts w:eastAsia="Times New Roman" w:cs="Times New Roman"/>
          <w:sz w:val="18"/>
          <w:vertAlign w:val="subscript"/>
        </w:rPr>
        <w:t>4</w:t>
      </w:r>
      <w:r w:rsidRPr="009B2872">
        <w:rPr>
          <w:rFonts w:eastAsia="Times New Roman" w:cs="Times New Roman"/>
          <w:sz w:val="18"/>
        </w:rPr>
        <w:t xml:space="preserve"> and N</w:t>
      </w:r>
      <w:r w:rsidRPr="009B2872">
        <w:rPr>
          <w:rFonts w:eastAsia="Times New Roman" w:cs="Times New Roman"/>
          <w:sz w:val="18"/>
          <w:vertAlign w:val="subscript"/>
        </w:rPr>
        <w:t>2</w:t>
      </w:r>
      <w:r w:rsidRPr="009B2872">
        <w:rPr>
          <w:rFonts w:eastAsia="Times New Roman" w:cs="Times New Roman"/>
          <w:sz w:val="18"/>
        </w:rPr>
        <w:t xml:space="preserve">O from LULUCF. </w:t>
      </w:r>
    </w:p>
    <w:p w14:paraId="76B9F9D9" w14:textId="77777777" w:rsidR="009B2872" w:rsidRPr="009B2872" w:rsidRDefault="009B2872" w:rsidP="004B00ED">
      <w:pPr>
        <w:widowControl w:val="0"/>
        <w:adjustRightInd w:val="0"/>
        <w:spacing w:line="240" w:lineRule="auto"/>
        <w:ind w:left="397" w:hanging="397"/>
        <w:jc w:val="left"/>
        <w:textAlignment w:val="baseline"/>
        <w:rPr>
          <w:rFonts w:eastAsia="Times New Roman" w:cs="Times New Roman"/>
          <w:sz w:val="18"/>
        </w:rPr>
      </w:pPr>
      <w:r w:rsidRPr="009B2872">
        <w:rPr>
          <w:rFonts w:eastAsia="Times New Roman" w:cs="Times New Roman"/>
          <w:sz w:val="18"/>
        </w:rPr>
        <w:t>Note: Minimum level of aggregation is needed to protect confidential business and military information, where it would identify particular entity's/entities' confidential data.</w:t>
      </w:r>
    </w:p>
    <w:p w14:paraId="57B2F0BE" w14:textId="77777777" w:rsidR="009B2872" w:rsidRPr="009B2872" w:rsidRDefault="009B2872" w:rsidP="009B2872">
      <w:pPr>
        <w:spacing w:before="0" w:after="200" w:line="276" w:lineRule="auto"/>
        <w:jc w:val="left"/>
        <w:rPr>
          <w:b/>
          <w:sz w:val="20"/>
        </w:rPr>
      </w:pPr>
      <w:r w:rsidRPr="009B2872">
        <w:br w:type="page"/>
      </w:r>
    </w:p>
    <w:p w14:paraId="06CA8D0E" w14:textId="358908F1" w:rsidR="009B2872" w:rsidRPr="009B2872" w:rsidRDefault="009B2872" w:rsidP="002C6658">
      <w:pPr>
        <w:pStyle w:val="Tableheading"/>
      </w:pPr>
      <w:bookmarkStart w:id="883" w:name="_Toc185407519"/>
      <w:bookmarkStart w:id="884" w:name="_Toc185427782"/>
      <w:r w:rsidRPr="009B2872">
        <w:t xml:space="preserve">CFT </w:t>
      </w:r>
      <w:r w:rsidR="00116A3C">
        <w:t>t</w:t>
      </w:r>
      <w:r w:rsidR="00116A3C" w:rsidRPr="009B2872">
        <w:t>able</w:t>
      </w:r>
      <w:r w:rsidRPr="009B2872">
        <w:t xml:space="preserve"> 7</w:t>
      </w:r>
      <w:r w:rsidR="003D7AAB">
        <w:t>:</w:t>
      </w:r>
      <w:r w:rsidR="00B86B19">
        <w:tab/>
      </w:r>
      <w:r w:rsidRPr="009B2872">
        <w:t>Information on projections of greenhouse gas emissions and removals under a ‘</w:t>
      </w:r>
      <w:r w:rsidRPr="002C6658">
        <w:t>with</w:t>
      </w:r>
      <w:r w:rsidRPr="009B2872">
        <w:t xml:space="preserve"> measures’ scenario </w:t>
      </w:r>
      <w:r w:rsidRPr="009B2872">
        <w:rPr>
          <w:vertAlign w:val="superscript"/>
        </w:rPr>
        <w:t>a, b</w:t>
      </w:r>
      <w:bookmarkEnd w:id="883"/>
      <w:bookmarkEnd w:id="884"/>
    </w:p>
    <w:tbl>
      <w:tblPr>
        <w:tblW w:w="145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85"/>
        <w:gridCol w:w="1612"/>
        <w:gridCol w:w="1583"/>
        <w:gridCol w:w="1583"/>
        <w:gridCol w:w="1583"/>
        <w:gridCol w:w="1583"/>
        <w:gridCol w:w="1583"/>
        <w:gridCol w:w="1603"/>
      </w:tblGrid>
      <w:tr w:rsidR="009B2872" w:rsidRPr="00182A8F" w14:paraId="2DE27A4F" w14:textId="77777777">
        <w:trPr>
          <w:trHeight w:val="196"/>
        </w:trPr>
        <w:tc>
          <w:tcPr>
            <w:tcW w:w="3418" w:type="dxa"/>
            <w:tcBorders>
              <w:top w:val="nil"/>
              <w:left w:val="nil"/>
              <w:bottom w:val="single" w:sz="6" w:space="0" w:color="1B556B"/>
              <w:right w:val="nil"/>
            </w:tcBorders>
            <w:shd w:val="clear" w:color="auto" w:fill="1B556B"/>
            <w:hideMark/>
          </w:tcPr>
          <w:p w14:paraId="2392185F"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 </w:t>
            </w:r>
          </w:p>
        </w:tc>
        <w:tc>
          <w:tcPr>
            <w:tcW w:w="1633" w:type="dxa"/>
            <w:tcBorders>
              <w:top w:val="nil"/>
              <w:left w:val="nil"/>
              <w:bottom w:val="single" w:sz="6" w:space="0" w:color="1B556B"/>
              <w:right w:val="nil"/>
            </w:tcBorders>
            <w:shd w:val="clear" w:color="auto" w:fill="1B556B"/>
            <w:hideMark/>
          </w:tcPr>
          <w:p w14:paraId="36BDB686" w14:textId="77777777" w:rsidR="009B2872" w:rsidRPr="00182A8F" w:rsidRDefault="009B2872" w:rsidP="00506788">
            <w:pPr>
              <w:spacing w:before="0" w:after="0" w:line="240" w:lineRule="auto"/>
              <w:jc w:val="left"/>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Most recent year in the Party’s national inventory report</w:t>
            </w:r>
          </w:p>
        </w:tc>
        <w:tc>
          <w:tcPr>
            <w:tcW w:w="9639" w:type="dxa"/>
            <w:gridSpan w:val="6"/>
            <w:tcBorders>
              <w:top w:val="nil"/>
              <w:left w:val="nil"/>
              <w:bottom w:val="single" w:sz="6" w:space="0" w:color="1B556B"/>
              <w:right w:val="nil"/>
            </w:tcBorders>
            <w:shd w:val="clear" w:color="auto" w:fill="1B556B"/>
            <w:hideMark/>
          </w:tcPr>
          <w:p w14:paraId="27100D7F" w14:textId="77777777" w:rsidR="009B2872" w:rsidRPr="00182A8F" w:rsidRDefault="009B2872" w:rsidP="009B2872">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Projections of GHG emissions and removals</w:t>
            </w:r>
          </w:p>
        </w:tc>
      </w:tr>
      <w:tr w:rsidR="009B2872" w:rsidRPr="00182A8F" w14:paraId="45009DEB" w14:textId="77777777">
        <w:trPr>
          <w:trHeight w:val="196"/>
        </w:trPr>
        <w:tc>
          <w:tcPr>
            <w:tcW w:w="3418" w:type="dxa"/>
            <w:tcBorders>
              <w:top w:val="nil"/>
              <w:left w:val="nil"/>
              <w:bottom w:val="single" w:sz="6" w:space="0" w:color="1B556B"/>
              <w:right w:val="nil"/>
            </w:tcBorders>
            <w:shd w:val="clear" w:color="auto" w:fill="1B556B"/>
            <w:hideMark/>
          </w:tcPr>
          <w:p w14:paraId="647AF2E0"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 </w:t>
            </w:r>
          </w:p>
        </w:tc>
        <w:tc>
          <w:tcPr>
            <w:tcW w:w="1633" w:type="dxa"/>
            <w:tcBorders>
              <w:top w:val="nil"/>
              <w:left w:val="nil"/>
              <w:bottom w:val="single" w:sz="6" w:space="0" w:color="1B556B"/>
              <w:right w:val="nil"/>
            </w:tcBorders>
            <w:shd w:val="clear" w:color="auto" w:fill="1B556B"/>
            <w:hideMark/>
          </w:tcPr>
          <w:p w14:paraId="5BC474D5" w14:textId="77777777" w:rsidR="009B2872" w:rsidRPr="00182A8F" w:rsidRDefault="009B2872" w:rsidP="00506788">
            <w:pPr>
              <w:spacing w:before="0" w:after="0" w:line="240" w:lineRule="auto"/>
              <w:jc w:val="left"/>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(kt CO</w:t>
            </w:r>
            <w:r w:rsidRPr="00182A8F">
              <w:rPr>
                <w:rFonts w:asciiTheme="minorHAnsi" w:eastAsia="Calibri" w:hAnsiTheme="minorHAnsi" w:cstheme="minorHAnsi"/>
                <w:b/>
                <w:bCs/>
                <w:color w:val="FFFFFF" w:themeColor="background1"/>
                <w:sz w:val="18"/>
                <w:szCs w:val="18"/>
                <w:vertAlign w:val="subscript"/>
              </w:rPr>
              <w:t>2</w:t>
            </w:r>
            <w:r w:rsidRPr="00182A8F">
              <w:rPr>
                <w:rFonts w:asciiTheme="minorHAnsi" w:eastAsia="Calibri" w:hAnsiTheme="minorHAnsi" w:cstheme="minorHAnsi"/>
                <w:b/>
                <w:bCs/>
                <w:color w:val="FFFFFF" w:themeColor="background1"/>
                <w:sz w:val="18"/>
                <w:szCs w:val="18"/>
              </w:rPr>
              <w:t xml:space="preserve"> eq) </w:t>
            </w:r>
            <w:r w:rsidRPr="00182A8F">
              <w:rPr>
                <w:rFonts w:asciiTheme="minorHAnsi" w:eastAsia="Calibri" w:hAnsiTheme="minorHAnsi" w:cstheme="minorHAnsi"/>
                <w:b/>
                <w:bCs/>
                <w:color w:val="FFFFFF" w:themeColor="background1"/>
                <w:sz w:val="18"/>
                <w:szCs w:val="18"/>
                <w:vertAlign w:val="superscript"/>
              </w:rPr>
              <w:t>c</w:t>
            </w:r>
          </w:p>
        </w:tc>
        <w:tc>
          <w:tcPr>
            <w:tcW w:w="9639" w:type="dxa"/>
            <w:gridSpan w:val="6"/>
            <w:tcBorders>
              <w:top w:val="nil"/>
              <w:left w:val="nil"/>
              <w:bottom w:val="single" w:sz="6" w:space="0" w:color="1B556B"/>
              <w:right w:val="nil"/>
            </w:tcBorders>
            <w:shd w:val="clear" w:color="auto" w:fill="1B556B"/>
            <w:hideMark/>
          </w:tcPr>
          <w:p w14:paraId="1AC2FA14" w14:textId="77777777" w:rsidR="009B2872" w:rsidRPr="00182A8F" w:rsidRDefault="009B2872" w:rsidP="009B2872">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(kt CO</w:t>
            </w:r>
            <w:r w:rsidRPr="00182A8F">
              <w:rPr>
                <w:rFonts w:asciiTheme="minorHAnsi" w:eastAsia="Calibri" w:hAnsiTheme="minorHAnsi" w:cstheme="minorHAnsi"/>
                <w:b/>
                <w:bCs/>
                <w:color w:val="FFFFFF" w:themeColor="background1"/>
                <w:sz w:val="18"/>
                <w:szCs w:val="18"/>
                <w:vertAlign w:val="subscript"/>
              </w:rPr>
              <w:t>2</w:t>
            </w:r>
            <w:r w:rsidRPr="00182A8F">
              <w:rPr>
                <w:rFonts w:asciiTheme="minorHAnsi" w:eastAsia="Calibri" w:hAnsiTheme="minorHAnsi" w:cstheme="minorHAnsi"/>
                <w:b/>
                <w:bCs/>
                <w:color w:val="FFFFFF" w:themeColor="background1"/>
                <w:sz w:val="18"/>
                <w:szCs w:val="18"/>
              </w:rPr>
              <w:t xml:space="preserve"> eq)</w:t>
            </w:r>
          </w:p>
        </w:tc>
      </w:tr>
      <w:tr w:rsidR="009B2872" w:rsidRPr="00182A8F" w14:paraId="4F565543" w14:textId="77777777">
        <w:trPr>
          <w:trHeight w:val="196"/>
        </w:trPr>
        <w:tc>
          <w:tcPr>
            <w:tcW w:w="3418" w:type="dxa"/>
            <w:tcBorders>
              <w:top w:val="nil"/>
              <w:left w:val="nil"/>
              <w:bottom w:val="single" w:sz="6" w:space="0" w:color="1B556B"/>
              <w:right w:val="nil"/>
            </w:tcBorders>
            <w:shd w:val="clear" w:color="auto" w:fill="1B556B"/>
            <w:hideMark/>
          </w:tcPr>
          <w:p w14:paraId="43B7133E"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  </w:t>
            </w:r>
          </w:p>
        </w:tc>
        <w:tc>
          <w:tcPr>
            <w:tcW w:w="1633" w:type="dxa"/>
            <w:tcBorders>
              <w:top w:val="nil"/>
              <w:left w:val="nil"/>
              <w:bottom w:val="single" w:sz="6" w:space="0" w:color="1B556B"/>
              <w:right w:val="nil"/>
            </w:tcBorders>
            <w:shd w:val="clear" w:color="auto" w:fill="1B556B"/>
            <w:hideMark/>
          </w:tcPr>
          <w:p w14:paraId="616A0751" w14:textId="77777777" w:rsidR="009B2872" w:rsidRPr="00182A8F" w:rsidRDefault="009B2872" w:rsidP="00506788">
            <w:pPr>
              <w:spacing w:before="0" w:after="0" w:line="240" w:lineRule="auto"/>
              <w:jc w:val="left"/>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2022 </w:t>
            </w:r>
          </w:p>
        </w:tc>
        <w:tc>
          <w:tcPr>
            <w:tcW w:w="1603" w:type="dxa"/>
            <w:tcBorders>
              <w:top w:val="nil"/>
              <w:left w:val="nil"/>
              <w:bottom w:val="single" w:sz="6" w:space="0" w:color="1B556B"/>
              <w:right w:val="nil"/>
            </w:tcBorders>
            <w:shd w:val="clear" w:color="auto" w:fill="1B556B"/>
            <w:hideMark/>
          </w:tcPr>
          <w:p w14:paraId="3BA78771" w14:textId="77777777" w:rsidR="009B2872" w:rsidRPr="00182A8F" w:rsidRDefault="009B2872" w:rsidP="009B2872">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2025 </w:t>
            </w:r>
          </w:p>
        </w:tc>
        <w:tc>
          <w:tcPr>
            <w:tcW w:w="1603" w:type="dxa"/>
            <w:tcBorders>
              <w:top w:val="nil"/>
              <w:left w:val="nil"/>
              <w:bottom w:val="single" w:sz="6" w:space="0" w:color="1B556B"/>
              <w:right w:val="nil"/>
            </w:tcBorders>
            <w:shd w:val="clear" w:color="auto" w:fill="1B556B"/>
            <w:hideMark/>
          </w:tcPr>
          <w:p w14:paraId="2503CBCD" w14:textId="77777777" w:rsidR="009B2872" w:rsidRPr="00182A8F" w:rsidRDefault="009B2872" w:rsidP="009B2872">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2030 </w:t>
            </w:r>
          </w:p>
        </w:tc>
        <w:tc>
          <w:tcPr>
            <w:tcW w:w="1603" w:type="dxa"/>
            <w:tcBorders>
              <w:top w:val="nil"/>
              <w:left w:val="nil"/>
              <w:bottom w:val="single" w:sz="6" w:space="0" w:color="1B556B"/>
              <w:right w:val="single" w:sz="6" w:space="0" w:color="1B556B"/>
            </w:tcBorders>
            <w:shd w:val="clear" w:color="auto" w:fill="1B556B"/>
            <w:hideMark/>
          </w:tcPr>
          <w:p w14:paraId="1DAE3178" w14:textId="77777777" w:rsidR="009B2872" w:rsidRPr="00182A8F" w:rsidRDefault="009B2872" w:rsidP="009B2872">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2035 </w:t>
            </w:r>
          </w:p>
        </w:tc>
        <w:tc>
          <w:tcPr>
            <w:tcW w:w="1603" w:type="dxa"/>
            <w:tcBorders>
              <w:top w:val="nil"/>
              <w:left w:val="nil"/>
              <w:bottom w:val="single" w:sz="6" w:space="0" w:color="1B556B"/>
              <w:right w:val="single" w:sz="6" w:space="0" w:color="1B556B"/>
            </w:tcBorders>
            <w:shd w:val="clear" w:color="auto" w:fill="1B556B"/>
            <w:hideMark/>
          </w:tcPr>
          <w:p w14:paraId="3EAC92B3" w14:textId="77777777" w:rsidR="009B2872" w:rsidRPr="00182A8F" w:rsidRDefault="009B2872" w:rsidP="009B2872">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2040 </w:t>
            </w:r>
          </w:p>
        </w:tc>
        <w:tc>
          <w:tcPr>
            <w:tcW w:w="1603" w:type="dxa"/>
            <w:tcBorders>
              <w:top w:val="nil"/>
              <w:left w:val="nil"/>
              <w:bottom w:val="single" w:sz="6" w:space="0" w:color="1B556B"/>
              <w:right w:val="single" w:sz="6" w:space="0" w:color="1B556B"/>
            </w:tcBorders>
            <w:shd w:val="clear" w:color="auto" w:fill="1B556B"/>
            <w:hideMark/>
          </w:tcPr>
          <w:p w14:paraId="7D84A927" w14:textId="77777777" w:rsidR="009B2872" w:rsidRPr="00182A8F" w:rsidRDefault="009B2872" w:rsidP="009B2872">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2045 </w:t>
            </w:r>
          </w:p>
        </w:tc>
        <w:tc>
          <w:tcPr>
            <w:tcW w:w="1624" w:type="dxa"/>
            <w:tcBorders>
              <w:top w:val="nil"/>
              <w:left w:val="nil"/>
              <w:bottom w:val="single" w:sz="6" w:space="0" w:color="1B556B"/>
              <w:right w:val="nil"/>
            </w:tcBorders>
            <w:shd w:val="clear" w:color="auto" w:fill="1B556B"/>
            <w:hideMark/>
          </w:tcPr>
          <w:p w14:paraId="655A2BFC" w14:textId="77777777" w:rsidR="009B2872" w:rsidRPr="00182A8F" w:rsidRDefault="009B2872" w:rsidP="009B2872">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2050 </w:t>
            </w:r>
          </w:p>
        </w:tc>
      </w:tr>
      <w:tr w:rsidR="009B2872" w:rsidRPr="00182A8F" w14:paraId="4B4D614E" w14:textId="77777777">
        <w:trPr>
          <w:trHeight w:val="196"/>
        </w:trPr>
        <w:tc>
          <w:tcPr>
            <w:tcW w:w="14690" w:type="dxa"/>
            <w:gridSpan w:val="8"/>
            <w:tcBorders>
              <w:top w:val="nil"/>
              <w:left w:val="nil"/>
              <w:bottom w:val="single" w:sz="6" w:space="0" w:color="1B556B"/>
              <w:right w:val="nil"/>
            </w:tcBorders>
            <w:shd w:val="clear" w:color="auto" w:fill="auto"/>
            <w:hideMark/>
          </w:tcPr>
          <w:p w14:paraId="3E11C8B3" w14:textId="77777777" w:rsidR="009B2872" w:rsidRPr="00182A8F" w:rsidRDefault="009B2872" w:rsidP="00AA71F4">
            <w:pPr>
              <w:spacing w:before="0" w:after="0" w:line="240" w:lineRule="auto"/>
              <w:jc w:val="left"/>
              <w:rPr>
                <w:rFonts w:asciiTheme="minorHAnsi" w:eastAsia="Calibri" w:hAnsiTheme="minorHAnsi" w:cstheme="minorHAnsi"/>
                <w:b/>
                <w:bCs/>
                <w:color w:val="000000" w:themeColor="text1"/>
                <w:sz w:val="18"/>
                <w:szCs w:val="18"/>
              </w:rPr>
            </w:pPr>
            <w:r w:rsidRPr="00182A8F">
              <w:rPr>
                <w:rFonts w:asciiTheme="minorHAnsi" w:eastAsia="Calibri" w:hAnsiTheme="minorHAnsi" w:cstheme="minorHAnsi"/>
                <w:b/>
                <w:bCs/>
                <w:color w:val="000000" w:themeColor="text1"/>
                <w:sz w:val="18"/>
                <w:szCs w:val="18"/>
              </w:rPr>
              <w:t xml:space="preserve">Sector </w:t>
            </w:r>
            <w:r w:rsidRPr="00182A8F">
              <w:rPr>
                <w:rFonts w:asciiTheme="minorHAnsi" w:eastAsia="Calibri" w:hAnsiTheme="minorHAnsi" w:cstheme="minorHAnsi"/>
                <w:b/>
                <w:bCs/>
                <w:color w:val="000000" w:themeColor="text1"/>
                <w:sz w:val="18"/>
                <w:szCs w:val="18"/>
                <w:vertAlign w:val="superscript"/>
              </w:rPr>
              <w:t>d</w:t>
            </w:r>
            <w:r w:rsidRPr="00182A8F">
              <w:rPr>
                <w:rFonts w:asciiTheme="minorHAnsi" w:eastAsia="Calibri" w:hAnsiTheme="minorHAnsi" w:cstheme="minorHAnsi"/>
                <w:b/>
                <w:bCs/>
                <w:color w:val="000000" w:themeColor="text1"/>
                <w:sz w:val="18"/>
                <w:szCs w:val="18"/>
              </w:rPr>
              <w:t> </w:t>
            </w:r>
          </w:p>
        </w:tc>
      </w:tr>
      <w:tr w:rsidR="009B2872" w:rsidRPr="00182A8F" w14:paraId="52E9EC25" w14:textId="77777777" w:rsidTr="00780765">
        <w:trPr>
          <w:trHeight w:val="199"/>
        </w:trPr>
        <w:tc>
          <w:tcPr>
            <w:tcW w:w="3418" w:type="dxa"/>
            <w:tcBorders>
              <w:top w:val="single" w:sz="6" w:space="0" w:color="1B556B"/>
              <w:left w:val="nil"/>
              <w:bottom w:val="single" w:sz="6" w:space="0" w:color="1B556B"/>
              <w:right w:val="single" w:sz="6" w:space="0" w:color="1B556B"/>
            </w:tcBorders>
            <w:shd w:val="clear" w:color="auto" w:fill="auto"/>
            <w:hideMark/>
          </w:tcPr>
          <w:p w14:paraId="729AC4D9" w14:textId="77777777" w:rsidR="009B2872" w:rsidRPr="00182A8F" w:rsidRDefault="009B2872" w:rsidP="00AA71F4">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Energy  </w:t>
            </w:r>
          </w:p>
        </w:tc>
        <w:tc>
          <w:tcPr>
            <w:tcW w:w="1633" w:type="dxa"/>
            <w:tcBorders>
              <w:top w:val="single" w:sz="6" w:space="0" w:color="1B556B"/>
              <w:left w:val="single" w:sz="6" w:space="0" w:color="1B556B"/>
              <w:bottom w:val="single" w:sz="6" w:space="0" w:color="1B556B"/>
              <w:right w:val="single" w:sz="6" w:space="0" w:color="1B556B"/>
            </w:tcBorders>
            <w:shd w:val="clear" w:color="auto" w:fill="auto"/>
            <w:hideMark/>
          </w:tcPr>
          <w:p w14:paraId="367EBF08"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15,031.68 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377355AC"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14,910.37 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5EAA7110"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12,427.87 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4BC05AE3"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10,970.97 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2D6B9BC5"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10,486.34 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14439E39"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10,680.91 </w:t>
            </w:r>
          </w:p>
        </w:tc>
        <w:tc>
          <w:tcPr>
            <w:tcW w:w="1624" w:type="dxa"/>
            <w:tcBorders>
              <w:top w:val="single" w:sz="6" w:space="0" w:color="1B556B"/>
              <w:left w:val="single" w:sz="6" w:space="0" w:color="1B556B"/>
              <w:bottom w:val="single" w:sz="6" w:space="0" w:color="1B556B"/>
              <w:right w:val="nil"/>
            </w:tcBorders>
            <w:shd w:val="clear" w:color="auto" w:fill="D2DDE1"/>
            <w:hideMark/>
          </w:tcPr>
          <w:p w14:paraId="0119B964"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10,746.68 </w:t>
            </w:r>
          </w:p>
        </w:tc>
      </w:tr>
      <w:tr w:rsidR="009B2872" w:rsidRPr="00182A8F" w14:paraId="6E09FD16" w14:textId="77777777">
        <w:trPr>
          <w:trHeight w:val="196"/>
        </w:trPr>
        <w:tc>
          <w:tcPr>
            <w:tcW w:w="3418" w:type="dxa"/>
            <w:tcBorders>
              <w:top w:val="single" w:sz="6" w:space="0" w:color="1B556B"/>
              <w:left w:val="nil"/>
              <w:bottom w:val="single" w:sz="6" w:space="0" w:color="1B556B"/>
              <w:right w:val="single" w:sz="6" w:space="0" w:color="1B556B"/>
            </w:tcBorders>
            <w:shd w:val="clear" w:color="auto" w:fill="auto"/>
            <w:hideMark/>
          </w:tcPr>
          <w:p w14:paraId="731537D5" w14:textId="77777777" w:rsidR="009B2872" w:rsidRPr="00182A8F" w:rsidRDefault="009B2872" w:rsidP="00AA71F4">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Transport  </w:t>
            </w:r>
          </w:p>
        </w:tc>
        <w:tc>
          <w:tcPr>
            <w:tcW w:w="1633" w:type="dxa"/>
            <w:tcBorders>
              <w:top w:val="single" w:sz="6" w:space="0" w:color="1B556B"/>
              <w:left w:val="single" w:sz="6" w:space="0" w:color="1B556B"/>
              <w:bottom w:val="single" w:sz="6" w:space="0" w:color="1B556B"/>
              <w:right w:val="single" w:sz="6" w:space="0" w:color="1B556B"/>
            </w:tcBorders>
            <w:shd w:val="clear" w:color="auto" w:fill="auto"/>
            <w:hideMark/>
          </w:tcPr>
          <w:p w14:paraId="100BDD5E"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13,684.43 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323823B6"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14,321.88 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2EBEB850"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13,716.23 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65B19B91"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12,576.88 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69AA06F4"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10,811.19 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3AD9B374"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8,927.79 </w:t>
            </w:r>
          </w:p>
        </w:tc>
        <w:tc>
          <w:tcPr>
            <w:tcW w:w="1624" w:type="dxa"/>
            <w:tcBorders>
              <w:top w:val="single" w:sz="6" w:space="0" w:color="1B556B"/>
              <w:left w:val="single" w:sz="6" w:space="0" w:color="1B556B"/>
              <w:bottom w:val="single" w:sz="6" w:space="0" w:color="1B556B"/>
              <w:right w:val="nil"/>
            </w:tcBorders>
            <w:shd w:val="clear" w:color="auto" w:fill="D2DDE1"/>
            <w:hideMark/>
          </w:tcPr>
          <w:p w14:paraId="4CC649CC"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7,446.42 </w:t>
            </w:r>
          </w:p>
        </w:tc>
      </w:tr>
      <w:tr w:rsidR="009B2872" w:rsidRPr="00182A8F" w14:paraId="2CD1A859" w14:textId="77777777" w:rsidTr="00780765">
        <w:trPr>
          <w:trHeight w:val="198"/>
        </w:trPr>
        <w:tc>
          <w:tcPr>
            <w:tcW w:w="3418" w:type="dxa"/>
            <w:tcBorders>
              <w:top w:val="single" w:sz="6" w:space="0" w:color="1B556B"/>
              <w:left w:val="nil"/>
              <w:bottom w:val="single" w:sz="6" w:space="0" w:color="1B556B"/>
              <w:right w:val="single" w:sz="6" w:space="0" w:color="1B556B"/>
            </w:tcBorders>
            <w:shd w:val="clear" w:color="auto" w:fill="auto"/>
            <w:hideMark/>
          </w:tcPr>
          <w:p w14:paraId="103F1700" w14:textId="77777777" w:rsidR="009B2872" w:rsidRPr="00182A8F" w:rsidRDefault="009B2872" w:rsidP="00AA71F4">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Industrial processes and product use </w:t>
            </w:r>
          </w:p>
        </w:tc>
        <w:tc>
          <w:tcPr>
            <w:tcW w:w="1633" w:type="dxa"/>
            <w:tcBorders>
              <w:top w:val="single" w:sz="6" w:space="0" w:color="1B556B"/>
              <w:left w:val="single" w:sz="6" w:space="0" w:color="1B556B"/>
              <w:bottom w:val="single" w:sz="6" w:space="0" w:color="1B556B"/>
              <w:right w:val="single" w:sz="6" w:space="0" w:color="1B556B"/>
            </w:tcBorders>
            <w:shd w:val="clear" w:color="auto" w:fill="auto"/>
            <w:hideMark/>
          </w:tcPr>
          <w:p w14:paraId="5F6224F4"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4,469.16 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53308932"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4,229.75 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080C13DE"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3,112.61 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5262D0D0"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3,032.42 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33F19900"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2,908.26 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56875BE2"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2,917.18 </w:t>
            </w:r>
          </w:p>
        </w:tc>
        <w:tc>
          <w:tcPr>
            <w:tcW w:w="1624" w:type="dxa"/>
            <w:tcBorders>
              <w:top w:val="single" w:sz="6" w:space="0" w:color="1B556B"/>
              <w:left w:val="single" w:sz="6" w:space="0" w:color="1B556B"/>
              <w:bottom w:val="single" w:sz="6" w:space="0" w:color="1B556B"/>
              <w:right w:val="nil"/>
            </w:tcBorders>
            <w:shd w:val="clear" w:color="auto" w:fill="D2DDE1"/>
            <w:hideMark/>
          </w:tcPr>
          <w:p w14:paraId="21DCC080" w14:textId="77777777" w:rsidR="009B2872" w:rsidRPr="00182A8F" w:rsidRDefault="009B2872" w:rsidP="00947C9F">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2,828.60 </w:t>
            </w:r>
          </w:p>
        </w:tc>
      </w:tr>
      <w:tr w:rsidR="009B2872" w:rsidRPr="00182A8F" w14:paraId="536106BB" w14:textId="77777777">
        <w:trPr>
          <w:trHeight w:val="196"/>
        </w:trPr>
        <w:tc>
          <w:tcPr>
            <w:tcW w:w="3418" w:type="dxa"/>
            <w:tcBorders>
              <w:top w:val="single" w:sz="6" w:space="0" w:color="1B556B"/>
              <w:left w:val="nil"/>
              <w:bottom w:val="single" w:sz="6" w:space="0" w:color="1B556B"/>
              <w:right w:val="single" w:sz="6" w:space="0" w:color="1B556B"/>
            </w:tcBorders>
            <w:shd w:val="clear" w:color="auto" w:fill="auto"/>
            <w:hideMark/>
          </w:tcPr>
          <w:p w14:paraId="02341A81" w14:textId="77777777" w:rsidR="009B2872" w:rsidRPr="00182A8F" w:rsidRDefault="009B2872" w:rsidP="00AA71F4">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Agriculture  </w:t>
            </w:r>
          </w:p>
        </w:tc>
        <w:tc>
          <w:tcPr>
            <w:tcW w:w="1633" w:type="dxa"/>
            <w:tcBorders>
              <w:top w:val="single" w:sz="6" w:space="0" w:color="1B556B"/>
              <w:left w:val="single" w:sz="6" w:space="0" w:color="1B556B"/>
              <w:bottom w:val="single" w:sz="6" w:space="0" w:color="1B556B"/>
              <w:right w:val="single" w:sz="6" w:space="0" w:color="1B556B"/>
            </w:tcBorders>
            <w:shd w:val="clear" w:color="auto" w:fill="auto"/>
            <w:hideMark/>
          </w:tcPr>
          <w:p w14:paraId="23E974DF"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41,712.69 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4E3556B8"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39,605.62 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6F4CBB2A"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39,148.87 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6DB530CB"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38,847.03 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5B1DC35F"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38,719.71 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1FDCF572"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38,752.29 </w:t>
            </w:r>
          </w:p>
        </w:tc>
        <w:tc>
          <w:tcPr>
            <w:tcW w:w="1624" w:type="dxa"/>
            <w:tcBorders>
              <w:top w:val="single" w:sz="6" w:space="0" w:color="1B556B"/>
              <w:left w:val="single" w:sz="6" w:space="0" w:color="1B556B"/>
              <w:bottom w:val="single" w:sz="6" w:space="0" w:color="1B556B"/>
              <w:right w:val="nil"/>
            </w:tcBorders>
            <w:shd w:val="clear" w:color="auto" w:fill="D2DDE1"/>
            <w:hideMark/>
          </w:tcPr>
          <w:p w14:paraId="7AC0D966"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38,764.31 </w:t>
            </w:r>
          </w:p>
        </w:tc>
      </w:tr>
      <w:tr w:rsidR="009B2872" w:rsidRPr="00182A8F" w14:paraId="5B9B636C" w14:textId="77777777">
        <w:trPr>
          <w:trHeight w:val="196"/>
        </w:trPr>
        <w:tc>
          <w:tcPr>
            <w:tcW w:w="3418" w:type="dxa"/>
            <w:tcBorders>
              <w:top w:val="single" w:sz="6" w:space="0" w:color="1B556B"/>
              <w:left w:val="nil"/>
              <w:bottom w:val="single" w:sz="6" w:space="0" w:color="1B556B"/>
              <w:right w:val="single" w:sz="6" w:space="0" w:color="1B556B"/>
            </w:tcBorders>
            <w:shd w:val="clear" w:color="auto" w:fill="auto"/>
            <w:hideMark/>
          </w:tcPr>
          <w:p w14:paraId="4C4C0455" w14:textId="77777777" w:rsidR="009B2872" w:rsidRPr="00182A8F" w:rsidRDefault="009B2872" w:rsidP="00AA71F4">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Forestry/LULUCF  </w:t>
            </w:r>
          </w:p>
        </w:tc>
        <w:tc>
          <w:tcPr>
            <w:tcW w:w="1633" w:type="dxa"/>
            <w:tcBorders>
              <w:top w:val="single" w:sz="6" w:space="0" w:color="1B556B"/>
              <w:left w:val="single" w:sz="6" w:space="0" w:color="1B556B"/>
              <w:bottom w:val="single" w:sz="6" w:space="0" w:color="1B556B"/>
              <w:right w:val="single" w:sz="6" w:space="0" w:color="1B556B"/>
            </w:tcBorders>
            <w:shd w:val="clear" w:color="auto" w:fill="auto"/>
            <w:hideMark/>
          </w:tcPr>
          <w:p w14:paraId="1B4F06E6" w14:textId="722FA36D" w:rsidR="009B2872" w:rsidRPr="00182A8F" w:rsidRDefault="00826E8C"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t>
            </w:r>
            <w:r w:rsidR="009B2872" w:rsidRPr="00182A8F">
              <w:rPr>
                <w:rFonts w:asciiTheme="minorHAnsi" w:eastAsia="Calibri" w:hAnsiTheme="minorHAnsi" w:cstheme="minorHAnsi"/>
                <w:color w:val="000000" w:themeColor="text1"/>
                <w:sz w:val="18"/>
                <w:szCs w:val="18"/>
              </w:rPr>
              <w:t>19,238.79 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41C86D1D" w14:textId="3F324604" w:rsidR="009B2872" w:rsidRPr="00182A8F" w:rsidRDefault="00826E8C"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t>
            </w:r>
            <w:r w:rsidR="009B2872" w:rsidRPr="00182A8F">
              <w:rPr>
                <w:rFonts w:asciiTheme="minorHAnsi" w:eastAsia="Calibri" w:hAnsiTheme="minorHAnsi" w:cstheme="minorHAnsi"/>
                <w:color w:val="000000" w:themeColor="text1"/>
                <w:sz w:val="18"/>
                <w:szCs w:val="18"/>
              </w:rPr>
              <w:t>12,160.48 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410EB6EB" w14:textId="638473CE" w:rsidR="009B2872" w:rsidRPr="00182A8F" w:rsidRDefault="00826E8C"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t>
            </w:r>
            <w:r w:rsidR="009B2872" w:rsidRPr="00182A8F">
              <w:rPr>
                <w:rFonts w:asciiTheme="minorHAnsi" w:eastAsia="Calibri" w:hAnsiTheme="minorHAnsi" w:cstheme="minorHAnsi"/>
                <w:color w:val="000000" w:themeColor="text1"/>
                <w:sz w:val="18"/>
                <w:szCs w:val="18"/>
              </w:rPr>
              <w:t>16,992.94 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6C8C36DA" w14:textId="335A1DB3" w:rsidR="009B2872" w:rsidRPr="00182A8F" w:rsidRDefault="00826E8C"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t>
            </w:r>
            <w:r w:rsidR="009B2872" w:rsidRPr="00182A8F">
              <w:rPr>
                <w:rFonts w:asciiTheme="minorHAnsi" w:eastAsia="Calibri" w:hAnsiTheme="minorHAnsi" w:cstheme="minorHAnsi"/>
                <w:color w:val="000000" w:themeColor="text1"/>
                <w:sz w:val="18"/>
                <w:szCs w:val="18"/>
              </w:rPr>
              <w:t>27,424.07 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5A212F19" w14:textId="53E28A04" w:rsidR="009B2872" w:rsidRPr="00182A8F" w:rsidRDefault="00826E8C"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t>
            </w:r>
            <w:r w:rsidR="009B2872" w:rsidRPr="00182A8F">
              <w:rPr>
                <w:rFonts w:asciiTheme="minorHAnsi" w:eastAsia="Calibri" w:hAnsiTheme="minorHAnsi" w:cstheme="minorHAnsi"/>
                <w:color w:val="000000" w:themeColor="text1"/>
                <w:sz w:val="18"/>
                <w:szCs w:val="18"/>
              </w:rPr>
              <w:t>20,411.17 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4618AD1F" w14:textId="015CE975" w:rsidR="009B2872" w:rsidRPr="00182A8F" w:rsidRDefault="00826E8C"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t>
            </w:r>
            <w:r w:rsidR="009B2872" w:rsidRPr="00182A8F">
              <w:rPr>
                <w:rFonts w:asciiTheme="minorHAnsi" w:eastAsia="Calibri" w:hAnsiTheme="minorHAnsi" w:cstheme="minorHAnsi"/>
                <w:color w:val="000000" w:themeColor="text1"/>
                <w:sz w:val="18"/>
                <w:szCs w:val="18"/>
              </w:rPr>
              <w:t>27,903.90 </w:t>
            </w:r>
          </w:p>
        </w:tc>
        <w:tc>
          <w:tcPr>
            <w:tcW w:w="1624" w:type="dxa"/>
            <w:tcBorders>
              <w:top w:val="single" w:sz="6" w:space="0" w:color="1B556B"/>
              <w:left w:val="single" w:sz="6" w:space="0" w:color="1B556B"/>
              <w:bottom w:val="single" w:sz="6" w:space="0" w:color="1B556B"/>
              <w:right w:val="nil"/>
            </w:tcBorders>
            <w:shd w:val="clear" w:color="auto" w:fill="D2DDE1"/>
            <w:hideMark/>
          </w:tcPr>
          <w:p w14:paraId="3BB64C56" w14:textId="70B46834" w:rsidR="009B2872" w:rsidRPr="00182A8F" w:rsidRDefault="00826E8C"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t>
            </w:r>
            <w:r w:rsidR="009B2872" w:rsidRPr="00182A8F">
              <w:rPr>
                <w:rFonts w:asciiTheme="minorHAnsi" w:eastAsia="Calibri" w:hAnsiTheme="minorHAnsi" w:cstheme="minorHAnsi"/>
                <w:color w:val="000000" w:themeColor="text1"/>
                <w:sz w:val="18"/>
                <w:szCs w:val="18"/>
              </w:rPr>
              <w:t>28,877.35 </w:t>
            </w:r>
          </w:p>
        </w:tc>
      </w:tr>
      <w:tr w:rsidR="009B2872" w:rsidRPr="00182A8F" w14:paraId="461545B1" w14:textId="77777777">
        <w:trPr>
          <w:trHeight w:val="196"/>
        </w:trPr>
        <w:tc>
          <w:tcPr>
            <w:tcW w:w="3418" w:type="dxa"/>
            <w:tcBorders>
              <w:top w:val="single" w:sz="6" w:space="0" w:color="1B556B"/>
              <w:left w:val="nil"/>
              <w:bottom w:val="single" w:sz="6" w:space="0" w:color="1B556B"/>
              <w:right w:val="single" w:sz="6" w:space="0" w:color="1B556B"/>
            </w:tcBorders>
            <w:shd w:val="clear" w:color="auto" w:fill="auto"/>
            <w:hideMark/>
          </w:tcPr>
          <w:p w14:paraId="7341FA73" w14:textId="77777777" w:rsidR="009B2872" w:rsidRPr="00182A8F" w:rsidRDefault="009B2872" w:rsidP="00AA71F4">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Waste management/waste </w:t>
            </w:r>
          </w:p>
        </w:tc>
        <w:tc>
          <w:tcPr>
            <w:tcW w:w="1633" w:type="dxa"/>
            <w:tcBorders>
              <w:top w:val="single" w:sz="6" w:space="0" w:color="1B556B"/>
              <w:left w:val="single" w:sz="6" w:space="0" w:color="1B556B"/>
              <w:bottom w:val="single" w:sz="6" w:space="0" w:color="1B556B"/>
              <w:right w:val="single" w:sz="6" w:space="0" w:color="1B556B"/>
            </w:tcBorders>
            <w:shd w:val="clear" w:color="auto" w:fill="auto"/>
            <w:hideMark/>
          </w:tcPr>
          <w:p w14:paraId="45321446"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3,492.72 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2D409D12"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3,403.35 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22D674A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3,266.15 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1845546E"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3,205.17 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36C4B0D1"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3,163.40 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32C005E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3,137.25 </w:t>
            </w:r>
          </w:p>
        </w:tc>
        <w:tc>
          <w:tcPr>
            <w:tcW w:w="1624" w:type="dxa"/>
            <w:tcBorders>
              <w:top w:val="single" w:sz="6" w:space="0" w:color="1B556B"/>
              <w:left w:val="single" w:sz="6" w:space="0" w:color="1B556B"/>
              <w:bottom w:val="single" w:sz="6" w:space="0" w:color="1B556B"/>
              <w:right w:val="nil"/>
            </w:tcBorders>
            <w:shd w:val="clear" w:color="auto" w:fill="D2DDE1"/>
            <w:hideMark/>
          </w:tcPr>
          <w:p w14:paraId="0BAEA5A4"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3,123.68 </w:t>
            </w:r>
          </w:p>
        </w:tc>
      </w:tr>
      <w:tr w:rsidR="009B2872" w:rsidRPr="00182A8F" w14:paraId="0753F381" w14:textId="77777777" w:rsidTr="0038335A">
        <w:trPr>
          <w:trHeight w:val="196"/>
        </w:trPr>
        <w:tc>
          <w:tcPr>
            <w:tcW w:w="3418" w:type="dxa"/>
            <w:tcBorders>
              <w:top w:val="single" w:sz="6" w:space="0" w:color="1B556B"/>
              <w:left w:val="nil"/>
              <w:bottom w:val="single" w:sz="4" w:space="0" w:color="auto"/>
              <w:right w:val="single" w:sz="6" w:space="0" w:color="1B556B"/>
            </w:tcBorders>
            <w:shd w:val="clear" w:color="auto" w:fill="auto"/>
            <w:hideMark/>
          </w:tcPr>
          <w:p w14:paraId="391F6B39" w14:textId="77777777" w:rsidR="009B2872" w:rsidRPr="00182A8F" w:rsidRDefault="009B2872" w:rsidP="00AA71F4">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Tokelau  </w:t>
            </w:r>
          </w:p>
        </w:tc>
        <w:tc>
          <w:tcPr>
            <w:tcW w:w="1633" w:type="dxa"/>
            <w:tcBorders>
              <w:top w:val="single" w:sz="6" w:space="0" w:color="1B556B"/>
              <w:left w:val="single" w:sz="6" w:space="0" w:color="1B556B"/>
              <w:bottom w:val="single" w:sz="4" w:space="0" w:color="auto"/>
              <w:right w:val="single" w:sz="6" w:space="0" w:color="1B556B"/>
            </w:tcBorders>
            <w:shd w:val="clear" w:color="auto" w:fill="auto"/>
            <w:hideMark/>
          </w:tcPr>
          <w:p w14:paraId="05612DF8"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4.69 </w:t>
            </w:r>
          </w:p>
        </w:tc>
        <w:tc>
          <w:tcPr>
            <w:tcW w:w="1603" w:type="dxa"/>
            <w:tcBorders>
              <w:top w:val="single" w:sz="6" w:space="0" w:color="1B556B"/>
              <w:left w:val="single" w:sz="6" w:space="0" w:color="1B556B"/>
              <w:bottom w:val="single" w:sz="4" w:space="0" w:color="auto"/>
              <w:right w:val="single" w:sz="6" w:space="0" w:color="1B556B"/>
            </w:tcBorders>
            <w:shd w:val="clear" w:color="auto" w:fill="D2DDE1"/>
            <w:hideMark/>
          </w:tcPr>
          <w:p w14:paraId="7C2D48C6"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4.74 </w:t>
            </w:r>
          </w:p>
        </w:tc>
        <w:tc>
          <w:tcPr>
            <w:tcW w:w="1603" w:type="dxa"/>
            <w:tcBorders>
              <w:top w:val="single" w:sz="6" w:space="0" w:color="1B556B"/>
              <w:left w:val="single" w:sz="6" w:space="0" w:color="1B556B"/>
              <w:bottom w:val="single" w:sz="4" w:space="0" w:color="auto"/>
              <w:right w:val="single" w:sz="6" w:space="0" w:color="1B556B"/>
            </w:tcBorders>
            <w:shd w:val="clear" w:color="auto" w:fill="D2DDE1"/>
            <w:hideMark/>
          </w:tcPr>
          <w:p w14:paraId="704DD148"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4.78 </w:t>
            </w:r>
          </w:p>
        </w:tc>
        <w:tc>
          <w:tcPr>
            <w:tcW w:w="1603" w:type="dxa"/>
            <w:tcBorders>
              <w:top w:val="single" w:sz="6" w:space="0" w:color="1B556B"/>
              <w:left w:val="single" w:sz="6" w:space="0" w:color="1B556B"/>
              <w:bottom w:val="single" w:sz="4" w:space="0" w:color="auto"/>
              <w:right w:val="single" w:sz="6" w:space="0" w:color="1B556B"/>
            </w:tcBorders>
            <w:shd w:val="clear" w:color="auto" w:fill="D2DDE1"/>
            <w:hideMark/>
          </w:tcPr>
          <w:p w14:paraId="7462B30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3.89 </w:t>
            </w:r>
          </w:p>
        </w:tc>
        <w:tc>
          <w:tcPr>
            <w:tcW w:w="1603" w:type="dxa"/>
            <w:tcBorders>
              <w:top w:val="single" w:sz="6" w:space="0" w:color="1B556B"/>
              <w:left w:val="single" w:sz="6" w:space="0" w:color="1B556B"/>
              <w:bottom w:val="single" w:sz="4" w:space="0" w:color="auto"/>
              <w:right w:val="single" w:sz="6" w:space="0" w:color="1B556B"/>
            </w:tcBorders>
            <w:shd w:val="clear" w:color="auto" w:fill="D2DDE1"/>
            <w:hideMark/>
          </w:tcPr>
          <w:p w14:paraId="097A5DAC"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3.95 </w:t>
            </w:r>
          </w:p>
        </w:tc>
        <w:tc>
          <w:tcPr>
            <w:tcW w:w="1603" w:type="dxa"/>
            <w:tcBorders>
              <w:top w:val="single" w:sz="6" w:space="0" w:color="1B556B"/>
              <w:left w:val="single" w:sz="6" w:space="0" w:color="1B556B"/>
              <w:bottom w:val="single" w:sz="4" w:space="0" w:color="auto"/>
              <w:right w:val="single" w:sz="6" w:space="0" w:color="1B556B"/>
            </w:tcBorders>
            <w:shd w:val="clear" w:color="auto" w:fill="D2DDE1"/>
            <w:hideMark/>
          </w:tcPr>
          <w:p w14:paraId="36685265"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4.02 </w:t>
            </w:r>
          </w:p>
        </w:tc>
        <w:tc>
          <w:tcPr>
            <w:tcW w:w="1624" w:type="dxa"/>
            <w:tcBorders>
              <w:top w:val="single" w:sz="6" w:space="0" w:color="1B556B"/>
              <w:left w:val="single" w:sz="6" w:space="0" w:color="1B556B"/>
              <w:bottom w:val="single" w:sz="4" w:space="0" w:color="auto"/>
              <w:right w:val="nil"/>
            </w:tcBorders>
            <w:shd w:val="clear" w:color="auto" w:fill="D2DDE1"/>
            <w:hideMark/>
          </w:tcPr>
          <w:p w14:paraId="5B2DCE66"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4.10 </w:t>
            </w:r>
          </w:p>
        </w:tc>
      </w:tr>
      <w:tr w:rsidR="009B2872" w:rsidRPr="00182A8F" w14:paraId="3D91418C" w14:textId="77777777" w:rsidTr="0038335A">
        <w:trPr>
          <w:trHeight w:val="196"/>
        </w:trPr>
        <w:tc>
          <w:tcPr>
            <w:tcW w:w="14690" w:type="dxa"/>
            <w:gridSpan w:val="8"/>
            <w:tcBorders>
              <w:top w:val="single" w:sz="4" w:space="0" w:color="auto"/>
              <w:left w:val="nil"/>
              <w:bottom w:val="single" w:sz="4" w:space="0" w:color="auto"/>
              <w:right w:val="nil"/>
            </w:tcBorders>
            <w:shd w:val="clear" w:color="auto" w:fill="auto"/>
            <w:hideMark/>
          </w:tcPr>
          <w:p w14:paraId="3AB1442D" w14:textId="77777777" w:rsidR="009B2872" w:rsidRPr="00182A8F" w:rsidRDefault="009B2872" w:rsidP="0044676F">
            <w:pPr>
              <w:spacing w:before="0" w:after="0" w:line="240" w:lineRule="auto"/>
              <w:jc w:val="left"/>
              <w:rPr>
                <w:rFonts w:asciiTheme="minorHAnsi" w:eastAsia="Calibri" w:hAnsiTheme="minorHAnsi" w:cstheme="minorHAnsi"/>
                <w:b/>
                <w:bCs/>
                <w:color w:val="000000" w:themeColor="text1"/>
                <w:sz w:val="18"/>
                <w:szCs w:val="18"/>
              </w:rPr>
            </w:pPr>
            <w:r w:rsidRPr="00182A8F">
              <w:rPr>
                <w:rFonts w:asciiTheme="minorHAnsi" w:eastAsia="Calibri" w:hAnsiTheme="minorHAnsi" w:cstheme="minorHAnsi"/>
                <w:b/>
                <w:bCs/>
                <w:color w:val="000000" w:themeColor="text1"/>
                <w:sz w:val="18"/>
                <w:szCs w:val="18"/>
              </w:rPr>
              <w:t>Gas </w:t>
            </w:r>
          </w:p>
        </w:tc>
      </w:tr>
      <w:tr w:rsidR="009B2872" w:rsidRPr="00182A8F" w14:paraId="39719C9B" w14:textId="77777777" w:rsidTr="0038335A">
        <w:trPr>
          <w:trHeight w:val="196"/>
        </w:trPr>
        <w:tc>
          <w:tcPr>
            <w:tcW w:w="3418" w:type="dxa"/>
            <w:tcBorders>
              <w:top w:val="single" w:sz="4" w:space="0" w:color="auto"/>
              <w:left w:val="nil"/>
              <w:bottom w:val="single" w:sz="6" w:space="0" w:color="1B556B"/>
              <w:right w:val="single" w:sz="6" w:space="0" w:color="1B556B"/>
            </w:tcBorders>
            <w:shd w:val="clear" w:color="auto" w:fill="auto"/>
            <w:hideMark/>
          </w:tcPr>
          <w:p w14:paraId="088C717A" w14:textId="77777777" w:rsidR="009B2872" w:rsidRPr="00182A8F" w:rsidRDefault="009B2872" w:rsidP="00AA71F4">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CO</w:t>
            </w:r>
            <w:r w:rsidRPr="00182A8F">
              <w:rPr>
                <w:rFonts w:asciiTheme="minorHAnsi" w:eastAsia="Calibri" w:hAnsiTheme="minorHAnsi" w:cstheme="minorHAnsi"/>
                <w:color w:val="000000" w:themeColor="text1"/>
                <w:sz w:val="18"/>
                <w:szCs w:val="18"/>
                <w:vertAlign w:val="subscript"/>
              </w:rPr>
              <w:t>2</w:t>
            </w:r>
            <w:r w:rsidRPr="00182A8F">
              <w:rPr>
                <w:rFonts w:asciiTheme="minorHAnsi" w:eastAsia="Calibri" w:hAnsiTheme="minorHAnsi" w:cstheme="minorHAnsi"/>
                <w:color w:val="000000" w:themeColor="text1"/>
                <w:sz w:val="18"/>
                <w:szCs w:val="18"/>
              </w:rPr>
              <w:t xml:space="preserve"> emissions including net CO</w:t>
            </w:r>
            <w:r w:rsidRPr="00182A8F">
              <w:rPr>
                <w:rFonts w:asciiTheme="minorHAnsi" w:eastAsia="Calibri" w:hAnsiTheme="minorHAnsi" w:cstheme="minorHAnsi"/>
                <w:color w:val="000000" w:themeColor="text1"/>
                <w:sz w:val="18"/>
                <w:szCs w:val="18"/>
                <w:vertAlign w:val="subscript"/>
              </w:rPr>
              <w:t>2</w:t>
            </w:r>
            <w:r w:rsidRPr="00182A8F">
              <w:rPr>
                <w:rFonts w:asciiTheme="minorHAnsi" w:eastAsia="Calibri" w:hAnsiTheme="minorHAnsi" w:cstheme="minorHAnsi"/>
                <w:color w:val="000000" w:themeColor="text1"/>
                <w:sz w:val="18"/>
                <w:szCs w:val="18"/>
              </w:rPr>
              <w:t xml:space="preserve"> from LULUCF </w:t>
            </w:r>
          </w:p>
        </w:tc>
        <w:tc>
          <w:tcPr>
            <w:tcW w:w="1633" w:type="dxa"/>
            <w:tcBorders>
              <w:top w:val="single" w:sz="4" w:space="0" w:color="auto"/>
              <w:left w:val="single" w:sz="6" w:space="0" w:color="1B556B"/>
              <w:bottom w:val="single" w:sz="6" w:space="0" w:color="1B556B"/>
              <w:right w:val="single" w:sz="6" w:space="0" w:color="1B556B"/>
            </w:tcBorders>
            <w:shd w:val="clear" w:color="auto" w:fill="auto"/>
            <w:hideMark/>
          </w:tcPr>
          <w:p w14:paraId="0EEA1217"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12,019.14 </w:t>
            </w:r>
          </w:p>
        </w:tc>
        <w:tc>
          <w:tcPr>
            <w:tcW w:w="1603" w:type="dxa"/>
            <w:tcBorders>
              <w:top w:val="single" w:sz="4" w:space="0" w:color="auto"/>
              <w:left w:val="single" w:sz="6" w:space="0" w:color="1B556B"/>
              <w:bottom w:val="single" w:sz="6" w:space="0" w:color="1B556B"/>
              <w:right w:val="single" w:sz="6" w:space="0" w:color="1B556B"/>
            </w:tcBorders>
            <w:shd w:val="clear" w:color="auto" w:fill="D2DDE1"/>
            <w:hideMark/>
          </w:tcPr>
          <w:p w14:paraId="44C4BBBF"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19,420.82 </w:t>
            </w:r>
          </w:p>
        </w:tc>
        <w:tc>
          <w:tcPr>
            <w:tcW w:w="1603" w:type="dxa"/>
            <w:tcBorders>
              <w:top w:val="single" w:sz="4" w:space="0" w:color="auto"/>
              <w:left w:val="single" w:sz="6" w:space="0" w:color="1B556B"/>
              <w:bottom w:val="single" w:sz="6" w:space="0" w:color="1B556B"/>
              <w:right w:val="single" w:sz="6" w:space="0" w:color="1B556B"/>
            </w:tcBorders>
            <w:shd w:val="clear" w:color="auto" w:fill="D2DDE1"/>
            <w:hideMark/>
          </w:tcPr>
          <w:p w14:paraId="4A635B7D"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10,830.12 </w:t>
            </w:r>
          </w:p>
        </w:tc>
        <w:tc>
          <w:tcPr>
            <w:tcW w:w="1603" w:type="dxa"/>
            <w:tcBorders>
              <w:top w:val="single" w:sz="4" w:space="0" w:color="auto"/>
              <w:left w:val="single" w:sz="6" w:space="0" w:color="1B556B"/>
              <w:bottom w:val="single" w:sz="6" w:space="0" w:color="1B556B"/>
              <w:right w:val="single" w:sz="6" w:space="0" w:color="1B556B"/>
            </w:tcBorders>
            <w:shd w:val="clear" w:color="auto" w:fill="D2DDE1"/>
            <w:hideMark/>
          </w:tcPr>
          <w:p w14:paraId="60B9A0BA" w14:textId="4A651D1F" w:rsidR="009B2872" w:rsidRPr="00182A8F" w:rsidRDefault="00826E8C"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t>
            </w:r>
            <w:r w:rsidR="009B2872" w:rsidRPr="00182A8F">
              <w:rPr>
                <w:rFonts w:asciiTheme="minorHAnsi" w:eastAsia="Calibri" w:hAnsiTheme="minorHAnsi" w:cstheme="minorHAnsi"/>
                <w:color w:val="000000" w:themeColor="text1"/>
                <w:sz w:val="18"/>
                <w:szCs w:val="18"/>
              </w:rPr>
              <w:t>2,167.49 </w:t>
            </w:r>
          </w:p>
        </w:tc>
        <w:tc>
          <w:tcPr>
            <w:tcW w:w="1603" w:type="dxa"/>
            <w:tcBorders>
              <w:top w:val="single" w:sz="4" w:space="0" w:color="auto"/>
              <w:left w:val="single" w:sz="6" w:space="0" w:color="1B556B"/>
              <w:bottom w:val="single" w:sz="6" w:space="0" w:color="1B556B"/>
              <w:right w:val="single" w:sz="6" w:space="0" w:color="1B556B"/>
            </w:tcBorders>
            <w:shd w:val="clear" w:color="auto" w:fill="D2DDE1"/>
            <w:hideMark/>
          </w:tcPr>
          <w:p w14:paraId="4C57E300"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2,451.36 </w:t>
            </w:r>
          </w:p>
        </w:tc>
        <w:tc>
          <w:tcPr>
            <w:tcW w:w="1603" w:type="dxa"/>
            <w:tcBorders>
              <w:top w:val="single" w:sz="4" w:space="0" w:color="auto"/>
              <w:left w:val="single" w:sz="6" w:space="0" w:color="1B556B"/>
              <w:bottom w:val="single" w:sz="6" w:space="0" w:color="1B556B"/>
              <w:right w:val="single" w:sz="6" w:space="0" w:color="1B556B"/>
            </w:tcBorders>
            <w:shd w:val="clear" w:color="auto" w:fill="D2DDE1"/>
            <w:hideMark/>
          </w:tcPr>
          <w:p w14:paraId="62AC5243" w14:textId="3F401A85" w:rsidR="009B2872" w:rsidRPr="00182A8F" w:rsidRDefault="00826E8C"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t>
            </w:r>
            <w:r w:rsidR="009B2872" w:rsidRPr="00182A8F">
              <w:rPr>
                <w:rFonts w:asciiTheme="minorHAnsi" w:eastAsia="Calibri" w:hAnsiTheme="minorHAnsi" w:cstheme="minorHAnsi"/>
                <w:color w:val="000000" w:themeColor="text1"/>
                <w:sz w:val="18"/>
                <w:szCs w:val="18"/>
              </w:rPr>
              <w:t>6,708.53 </w:t>
            </w:r>
          </w:p>
        </w:tc>
        <w:tc>
          <w:tcPr>
            <w:tcW w:w="1624" w:type="dxa"/>
            <w:tcBorders>
              <w:top w:val="single" w:sz="4" w:space="0" w:color="auto"/>
              <w:left w:val="single" w:sz="6" w:space="0" w:color="1B556B"/>
              <w:bottom w:val="single" w:sz="6" w:space="0" w:color="1B556B"/>
              <w:right w:val="nil"/>
            </w:tcBorders>
            <w:shd w:val="clear" w:color="auto" w:fill="D2DDE1"/>
            <w:hideMark/>
          </w:tcPr>
          <w:p w14:paraId="07DCB753" w14:textId="33D35D7E" w:rsidR="009B2872" w:rsidRPr="00182A8F" w:rsidRDefault="00826E8C"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t>
            </w:r>
            <w:r w:rsidR="009B2872" w:rsidRPr="00182A8F">
              <w:rPr>
                <w:rFonts w:asciiTheme="minorHAnsi" w:eastAsia="Calibri" w:hAnsiTheme="minorHAnsi" w:cstheme="minorHAnsi"/>
                <w:color w:val="000000" w:themeColor="text1"/>
                <w:sz w:val="18"/>
                <w:szCs w:val="18"/>
              </w:rPr>
              <w:t>9,081.49 </w:t>
            </w:r>
          </w:p>
        </w:tc>
      </w:tr>
      <w:tr w:rsidR="009B2872" w:rsidRPr="00182A8F" w14:paraId="0B44D075" w14:textId="77777777">
        <w:trPr>
          <w:trHeight w:val="196"/>
        </w:trPr>
        <w:tc>
          <w:tcPr>
            <w:tcW w:w="3418" w:type="dxa"/>
            <w:tcBorders>
              <w:top w:val="single" w:sz="6" w:space="0" w:color="1B556B"/>
              <w:left w:val="nil"/>
              <w:bottom w:val="single" w:sz="6" w:space="0" w:color="1B556B"/>
              <w:right w:val="single" w:sz="6" w:space="0" w:color="1B556B"/>
            </w:tcBorders>
            <w:shd w:val="clear" w:color="auto" w:fill="auto"/>
            <w:hideMark/>
          </w:tcPr>
          <w:p w14:paraId="5691BBA7" w14:textId="77777777" w:rsidR="009B2872" w:rsidRPr="00182A8F" w:rsidRDefault="009B2872" w:rsidP="00AA71F4">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CO</w:t>
            </w:r>
            <w:r w:rsidRPr="00182A8F">
              <w:rPr>
                <w:rFonts w:asciiTheme="minorHAnsi" w:eastAsia="Calibri" w:hAnsiTheme="minorHAnsi" w:cstheme="minorHAnsi"/>
                <w:color w:val="000000" w:themeColor="text1"/>
                <w:sz w:val="18"/>
                <w:szCs w:val="18"/>
                <w:vertAlign w:val="subscript"/>
              </w:rPr>
              <w:t>2</w:t>
            </w:r>
            <w:r w:rsidRPr="00182A8F">
              <w:rPr>
                <w:rFonts w:asciiTheme="minorHAnsi" w:eastAsia="Calibri" w:hAnsiTheme="minorHAnsi" w:cstheme="minorHAnsi"/>
                <w:color w:val="000000" w:themeColor="text1"/>
                <w:sz w:val="18"/>
                <w:szCs w:val="18"/>
              </w:rPr>
              <w:t xml:space="preserve"> emissions excluding net CO</w:t>
            </w:r>
            <w:r w:rsidRPr="00182A8F">
              <w:rPr>
                <w:rFonts w:asciiTheme="minorHAnsi" w:eastAsia="Calibri" w:hAnsiTheme="minorHAnsi" w:cstheme="minorHAnsi"/>
                <w:color w:val="000000" w:themeColor="text1"/>
                <w:sz w:val="18"/>
                <w:szCs w:val="18"/>
                <w:vertAlign w:val="subscript"/>
              </w:rPr>
              <w:t>2</w:t>
            </w:r>
            <w:r w:rsidRPr="00182A8F">
              <w:rPr>
                <w:rFonts w:asciiTheme="minorHAnsi" w:eastAsia="Calibri" w:hAnsiTheme="minorHAnsi" w:cstheme="minorHAnsi"/>
                <w:color w:val="000000" w:themeColor="text1"/>
                <w:sz w:val="18"/>
                <w:szCs w:val="18"/>
              </w:rPr>
              <w:t xml:space="preserve"> from LULUCF </w:t>
            </w:r>
          </w:p>
        </w:tc>
        <w:tc>
          <w:tcPr>
            <w:tcW w:w="1633" w:type="dxa"/>
            <w:tcBorders>
              <w:top w:val="single" w:sz="6" w:space="0" w:color="1B556B"/>
              <w:left w:val="single" w:sz="6" w:space="0" w:color="1B556B"/>
              <w:bottom w:val="single" w:sz="6" w:space="0" w:color="1B556B"/>
              <w:right w:val="single" w:sz="6" w:space="0" w:color="1B556B"/>
            </w:tcBorders>
            <w:shd w:val="clear" w:color="auto" w:fill="auto"/>
            <w:hideMark/>
          </w:tcPr>
          <w:p w14:paraId="2FD8CB3D"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31,610.09 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2AF9A746"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31,896.93 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4692E02D"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28,146.54 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0BAEFD96"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25,579.05 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534311CC"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23,185.06 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4F0EA2B0"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21,517.90 </w:t>
            </w:r>
          </w:p>
        </w:tc>
        <w:tc>
          <w:tcPr>
            <w:tcW w:w="1624" w:type="dxa"/>
            <w:tcBorders>
              <w:top w:val="single" w:sz="6" w:space="0" w:color="1B556B"/>
              <w:left w:val="single" w:sz="6" w:space="0" w:color="1B556B"/>
              <w:bottom w:val="single" w:sz="6" w:space="0" w:color="1B556B"/>
              <w:right w:val="nil"/>
            </w:tcBorders>
            <w:shd w:val="clear" w:color="auto" w:fill="D2DDE1"/>
            <w:hideMark/>
          </w:tcPr>
          <w:p w14:paraId="7F842322"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20,118.38 </w:t>
            </w:r>
          </w:p>
        </w:tc>
      </w:tr>
      <w:tr w:rsidR="009B2872" w:rsidRPr="00182A8F" w14:paraId="04387885" w14:textId="77777777">
        <w:trPr>
          <w:trHeight w:val="196"/>
        </w:trPr>
        <w:tc>
          <w:tcPr>
            <w:tcW w:w="3418" w:type="dxa"/>
            <w:tcBorders>
              <w:top w:val="single" w:sz="6" w:space="0" w:color="1B556B"/>
              <w:left w:val="nil"/>
              <w:bottom w:val="single" w:sz="6" w:space="0" w:color="1B556B"/>
              <w:right w:val="single" w:sz="6" w:space="0" w:color="1B556B"/>
            </w:tcBorders>
            <w:shd w:val="clear" w:color="auto" w:fill="auto"/>
            <w:hideMark/>
          </w:tcPr>
          <w:p w14:paraId="69FDCAC7" w14:textId="77777777" w:rsidR="009B2872" w:rsidRPr="00182A8F" w:rsidRDefault="009B2872" w:rsidP="00AA71F4">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CH</w:t>
            </w:r>
            <w:r w:rsidRPr="00182A8F">
              <w:rPr>
                <w:rFonts w:asciiTheme="minorHAnsi" w:eastAsia="Calibri" w:hAnsiTheme="minorHAnsi" w:cstheme="minorHAnsi"/>
                <w:color w:val="000000" w:themeColor="text1"/>
                <w:sz w:val="18"/>
                <w:szCs w:val="18"/>
                <w:vertAlign w:val="subscript"/>
              </w:rPr>
              <w:t>4</w:t>
            </w:r>
            <w:r w:rsidRPr="00182A8F">
              <w:rPr>
                <w:rFonts w:asciiTheme="minorHAnsi" w:eastAsia="Calibri" w:hAnsiTheme="minorHAnsi" w:cstheme="minorHAnsi"/>
                <w:color w:val="000000" w:themeColor="text1"/>
                <w:sz w:val="18"/>
                <w:szCs w:val="18"/>
              </w:rPr>
              <w:t xml:space="preserve"> emissions including net CH</w:t>
            </w:r>
            <w:r w:rsidRPr="00182A8F">
              <w:rPr>
                <w:rFonts w:asciiTheme="minorHAnsi" w:eastAsia="Calibri" w:hAnsiTheme="minorHAnsi" w:cstheme="minorHAnsi"/>
                <w:color w:val="000000" w:themeColor="text1"/>
                <w:sz w:val="18"/>
                <w:szCs w:val="18"/>
                <w:vertAlign w:val="subscript"/>
              </w:rPr>
              <w:t>4</w:t>
            </w:r>
            <w:r w:rsidRPr="00182A8F">
              <w:rPr>
                <w:rFonts w:asciiTheme="minorHAnsi" w:eastAsia="Calibri" w:hAnsiTheme="minorHAnsi" w:cstheme="minorHAnsi"/>
                <w:color w:val="000000" w:themeColor="text1"/>
                <w:sz w:val="18"/>
                <w:szCs w:val="18"/>
              </w:rPr>
              <w:t xml:space="preserve"> from LULUCF </w:t>
            </w:r>
          </w:p>
        </w:tc>
        <w:tc>
          <w:tcPr>
            <w:tcW w:w="1633" w:type="dxa"/>
            <w:tcBorders>
              <w:top w:val="single" w:sz="6" w:space="0" w:color="1B556B"/>
              <w:left w:val="single" w:sz="6" w:space="0" w:color="1B556B"/>
              <w:bottom w:val="single" w:sz="6" w:space="0" w:color="1B556B"/>
              <w:right w:val="single" w:sz="6" w:space="0" w:color="1B556B"/>
            </w:tcBorders>
            <w:shd w:val="clear" w:color="auto" w:fill="auto"/>
            <w:hideMark/>
          </w:tcPr>
          <w:p w14:paraId="48592FED"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38,421.60 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209065B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36,327.86 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5E9A4C42"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35,477.32 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606C5DB6"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35,164.88 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3853F1E0"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35,155.69 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0772E14A"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35,152.15 </w:t>
            </w:r>
          </w:p>
        </w:tc>
        <w:tc>
          <w:tcPr>
            <w:tcW w:w="1624" w:type="dxa"/>
            <w:tcBorders>
              <w:top w:val="single" w:sz="6" w:space="0" w:color="1B556B"/>
              <w:left w:val="single" w:sz="6" w:space="0" w:color="1B556B"/>
              <w:bottom w:val="single" w:sz="6" w:space="0" w:color="1B556B"/>
              <w:right w:val="nil"/>
            </w:tcBorders>
            <w:shd w:val="clear" w:color="auto" w:fill="D2DDE1"/>
            <w:hideMark/>
          </w:tcPr>
          <w:p w14:paraId="5D398F39"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35,147.20 </w:t>
            </w:r>
          </w:p>
        </w:tc>
      </w:tr>
      <w:tr w:rsidR="009B2872" w:rsidRPr="00182A8F" w14:paraId="7206055C" w14:textId="77777777">
        <w:trPr>
          <w:trHeight w:val="196"/>
        </w:trPr>
        <w:tc>
          <w:tcPr>
            <w:tcW w:w="3418" w:type="dxa"/>
            <w:tcBorders>
              <w:top w:val="single" w:sz="6" w:space="0" w:color="1B556B"/>
              <w:left w:val="nil"/>
              <w:bottom w:val="single" w:sz="6" w:space="0" w:color="1B556B"/>
              <w:right w:val="single" w:sz="6" w:space="0" w:color="1B556B"/>
            </w:tcBorders>
            <w:shd w:val="clear" w:color="auto" w:fill="auto"/>
            <w:hideMark/>
          </w:tcPr>
          <w:p w14:paraId="05742EA2" w14:textId="77777777" w:rsidR="009B2872" w:rsidRPr="00182A8F" w:rsidRDefault="009B2872" w:rsidP="00AA71F4">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CH</w:t>
            </w:r>
            <w:r w:rsidRPr="00182A8F">
              <w:rPr>
                <w:rFonts w:asciiTheme="minorHAnsi" w:eastAsia="Calibri" w:hAnsiTheme="minorHAnsi" w:cstheme="minorHAnsi"/>
                <w:color w:val="000000" w:themeColor="text1"/>
                <w:sz w:val="18"/>
                <w:szCs w:val="18"/>
                <w:vertAlign w:val="subscript"/>
              </w:rPr>
              <w:t>4</w:t>
            </w:r>
            <w:r w:rsidRPr="00182A8F">
              <w:rPr>
                <w:rFonts w:asciiTheme="minorHAnsi" w:eastAsia="Calibri" w:hAnsiTheme="minorHAnsi" w:cstheme="minorHAnsi"/>
                <w:color w:val="000000" w:themeColor="text1"/>
                <w:sz w:val="18"/>
                <w:szCs w:val="18"/>
              </w:rPr>
              <w:t xml:space="preserve"> emissions excluding net CH</w:t>
            </w:r>
            <w:r w:rsidRPr="00182A8F">
              <w:rPr>
                <w:rFonts w:asciiTheme="minorHAnsi" w:eastAsia="Calibri" w:hAnsiTheme="minorHAnsi" w:cstheme="minorHAnsi"/>
                <w:color w:val="000000" w:themeColor="text1"/>
                <w:sz w:val="18"/>
                <w:szCs w:val="18"/>
                <w:vertAlign w:val="subscript"/>
              </w:rPr>
              <w:t>4</w:t>
            </w:r>
            <w:r w:rsidRPr="00182A8F">
              <w:rPr>
                <w:rFonts w:asciiTheme="minorHAnsi" w:eastAsia="Calibri" w:hAnsiTheme="minorHAnsi" w:cstheme="minorHAnsi"/>
                <w:color w:val="000000" w:themeColor="text1"/>
                <w:sz w:val="18"/>
                <w:szCs w:val="18"/>
              </w:rPr>
              <w:t xml:space="preserve"> from LULUCF </w:t>
            </w:r>
          </w:p>
        </w:tc>
        <w:tc>
          <w:tcPr>
            <w:tcW w:w="1633" w:type="dxa"/>
            <w:tcBorders>
              <w:top w:val="single" w:sz="6" w:space="0" w:color="1B556B"/>
              <w:left w:val="single" w:sz="6" w:space="0" w:color="1B556B"/>
              <w:bottom w:val="single" w:sz="6" w:space="0" w:color="1B556B"/>
              <w:right w:val="single" w:sz="6" w:space="0" w:color="1B556B"/>
            </w:tcBorders>
            <w:shd w:val="clear" w:color="auto" w:fill="auto"/>
            <w:hideMark/>
          </w:tcPr>
          <w:p w14:paraId="552DA5B0"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38,339.31 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533A2A8D"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36,260.50 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797F4659"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35,404.17 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22BAD07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35,092.25 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73DB9907"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35,083.05 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4A8A85CC"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35,079.51 </w:t>
            </w:r>
          </w:p>
        </w:tc>
        <w:tc>
          <w:tcPr>
            <w:tcW w:w="1624" w:type="dxa"/>
            <w:tcBorders>
              <w:top w:val="single" w:sz="6" w:space="0" w:color="1B556B"/>
              <w:left w:val="single" w:sz="6" w:space="0" w:color="1B556B"/>
              <w:bottom w:val="single" w:sz="6" w:space="0" w:color="1B556B"/>
              <w:right w:val="nil"/>
            </w:tcBorders>
            <w:shd w:val="clear" w:color="auto" w:fill="D2DDE1"/>
            <w:hideMark/>
          </w:tcPr>
          <w:p w14:paraId="3F3BBE7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35,074.56 </w:t>
            </w:r>
          </w:p>
        </w:tc>
      </w:tr>
      <w:tr w:rsidR="009B2872" w:rsidRPr="00182A8F" w14:paraId="3F3A24FC" w14:textId="77777777">
        <w:trPr>
          <w:trHeight w:val="196"/>
        </w:trPr>
        <w:tc>
          <w:tcPr>
            <w:tcW w:w="3418" w:type="dxa"/>
            <w:tcBorders>
              <w:top w:val="single" w:sz="6" w:space="0" w:color="1B556B"/>
              <w:left w:val="nil"/>
              <w:bottom w:val="single" w:sz="6" w:space="0" w:color="1B556B"/>
              <w:right w:val="single" w:sz="6" w:space="0" w:color="1B556B"/>
            </w:tcBorders>
            <w:shd w:val="clear" w:color="auto" w:fill="auto"/>
            <w:hideMark/>
          </w:tcPr>
          <w:p w14:paraId="6C08947A" w14:textId="77777777" w:rsidR="009B2872" w:rsidRPr="00182A8F" w:rsidRDefault="009B2872" w:rsidP="00AA71F4">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N</w:t>
            </w:r>
            <w:r w:rsidRPr="00182A8F">
              <w:rPr>
                <w:rFonts w:asciiTheme="minorHAnsi" w:eastAsia="Calibri" w:hAnsiTheme="minorHAnsi" w:cstheme="minorHAnsi"/>
                <w:color w:val="000000" w:themeColor="text1"/>
                <w:sz w:val="18"/>
                <w:szCs w:val="18"/>
                <w:vertAlign w:val="subscript"/>
              </w:rPr>
              <w:t>2</w:t>
            </w:r>
            <w:r w:rsidRPr="00182A8F">
              <w:rPr>
                <w:rFonts w:asciiTheme="minorHAnsi" w:eastAsia="Calibri" w:hAnsiTheme="minorHAnsi" w:cstheme="minorHAnsi"/>
                <w:color w:val="000000" w:themeColor="text1"/>
                <w:sz w:val="18"/>
                <w:szCs w:val="18"/>
              </w:rPr>
              <w:t>O emissions including net N</w:t>
            </w:r>
            <w:r w:rsidRPr="00182A8F">
              <w:rPr>
                <w:rFonts w:asciiTheme="minorHAnsi" w:eastAsia="Calibri" w:hAnsiTheme="minorHAnsi" w:cstheme="minorHAnsi"/>
                <w:color w:val="000000" w:themeColor="text1"/>
                <w:sz w:val="18"/>
                <w:szCs w:val="18"/>
                <w:vertAlign w:val="subscript"/>
              </w:rPr>
              <w:t>2</w:t>
            </w:r>
            <w:r w:rsidRPr="00182A8F">
              <w:rPr>
                <w:rFonts w:asciiTheme="minorHAnsi" w:eastAsia="Calibri" w:hAnsiTheme="minorHAnsi" w:cstheme="minorHAnsi"/>
                <w:color w:val="000000" w:themeColor="text1"/>
                <w:sz w:val="18"/>
                <w:szCs w:val="18"/>
              </w:rPr>
              <w:t>O from LULUCF </w:t>
            </w:r>
          </w:p>
        </w:tc>
        <w:tc>
          <w:tcPr>
            <w:tcW w:w="1633" w:type="dxa"/>
            <w:tcBorders>
              <w:top w:val="single" w:sz="6" w:space="0" w:color="1B556B"/>
              <w:left w:val="single" w:sz="6" w:space="0" w:color="1B556B"/>
              <w:bottom w:val="single" w:sz="6" w:space="0" w:color="1B556B"/>
              <w:right w:val="single" w:sz="6" w:space="0" w:color="1B556B"/>
            </w:tcBorders>
            <w:shd w:val="clear" w:color="auto" w:fill="auto"/>
            <w:hideMark/>
          </w:tcPr>
          <w:p w14:paraId="2035087B"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7,146.99 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2D930969"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7,369.65 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7CDCD9DB"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7,267.89 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3F9EA929"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7,186.81 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44CC547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7,170.78 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6DD08F59"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7,159.30 </w:t>
            </w:r>
          </w:p>
        </w:tc>
        <w:tc>
          <w:tcPr>
            <w:tcW w:w="1624" w:type="dxa"/>
            <w:tcBorders>
              <w:top w:val="single" w:sz="6" w:space="0" w:color="1B556B"/>
              <w:left w:val="single" w:sz="6" w:space="0" w:color="1B556B"/>
              <w:bottom w:val="single" w:sz="6" w:space="0" w:color="1B556B"/>
              <w:right w:val="nil"/>
            </w:tcBorders>
            <w:shd w:val="clear" w:color="auto" w:fill="D2DDE1"/>
            <w:hideMark/>
          </w:tcPr>
          <w:p w14:paraId="751845C9"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7,146.92 </w:t>
            </w:r>
          </w:p>
        </w:tc>
      </w:tr>
      <w:tr w:rsidR="009B2872" w:rsidRPr="00182A8F" w14:paraId="07BE5184" w14:textId="77777777">
        <w:trPr>
          <w:trHeight w:val="196"/>
        </w:trPr>
        <w:tc>
          <w:tcPr>
            <w:tcW w:w="3418" w:type="dxa"/>
            <w:tcBorders>
              <w:top w:val="single" w:sz="6" w:space="0" w:color="1B556B"/>
              <w:left w:val="nil"/>
              <w:bottom w:val="single" w:sz="6" w:space="0" w:color="1B556B"/>
              <w:right w:val="single" w:sz="6" w:space="0" w:color="1B556B"/>
            </w:tcBorders>
            <w:shd w:val="clear" w:color="auto" w:fill="auto"/>
            <w:hideMark/>
          </w:tcPr>
          <w:p w14:paraId="34A99FDB" w14:textId="77777777" w:rsidR="009B2872" w:rsidRPr="00182A8F" w:rsidRDefault="009B2872" w:rsidP="00AA71F4">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N</w:t>
            </w:r>
            <w:r w:rsidRPr="00182A8F">
              <w:rPr>
                <w:rFonts w:asciiTheme="minorHAnsi" w:eastAsia="Calibri" w:hAnsiTheme="minorHAnsi" w:cstheme="minorHAnsi"/>
                <w:color w:val="000000" w:themeColor="text1"/>
                <w:sz w:val="18"/>
                <w:szCs w:val="18"/>
                <w:vertAlign w:val="subscript"/>
              </w:rPr>
              <w:t>2</w:t>
            </w:r>
            <w:r w:rsidRPr="00182A8F">
              <w:rPr>
                <w:rFonts w:asciiTheme="minorHAnsi" w:eastAsia="Calibri" w:hAnsiTheme="minorHAnsi" w:cstheme="minorHAnsi"/>
                <w:color w:val="000000" w:themeColor="text1"/>
                <w:sz w:val="18"/>
                <w:szCs w:val="18"/>
              </w:rPr>
              <w:t>O emissions excluding net N</w:t>
            </w:r>
            <w:r w:rsidRPr="00182A8F">
              <w:rPr>
                <w:rFonts w:asciiTheme="minorHAnsi" w:eastAsia="Calibri" w:hAnsiTheme="minorHAnsi" w:cstheme="minorHAnsi"/>
                <w:color w:val="000000" w:themeColor="text1"/>
                <w:sz w:val="18"/>
                <w:szCs w:val="18"/>
                <w:vertAlign w:val="subscript"/>
              </w:rPr>
              <w:t>2</w:t>
            </w:r>
            <w:r w:rsidRPr="00182A8F">
              <w:rPr>
                <w:rFonts w:asciiTheme="minorHAnsi" w:eastAsia="Calibri" w:hAnsiTheme="minorHAnsi" w:cstheme="minorHAnsi"/>
                <w:color w:val="000000" w:themeColor="text1"/>
                <w:sz w:val="18"/>
                <w:szCs w:val="18"/>
              </w:rPr>
              <w:t>O from LULUCF </w:t>
            </w:r>
          </w:p>
        </w:tc>
        <w:tc>
          <w:tcPr>
            <w:tcW w:w="1633" w:type="dxa"/>
            <w:tcBorders>
              <w:top w:val="single" w:sz="6" w:space="0" w:color="1B556B"/>
              <w:left w:val="single" w:sz="6" w:space="0" w:color="1B556B"/>
              <w:bottom w:val="single" w:sz="6" w:space="0" w:color="1B556B"/>
              <w:right w:val="single" w:sz="6" w:space="0" w:color="1B556B"/>
            </w:tcBorders>
            <w:shd w:val="clear" w:color="auto" w:fill="auto"/>
            <w:hideMark/>
          </w:tcPr>
          <w:p w14:paraId="6A6652E6"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6,877.13 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72872030"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7,121.39 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44EABB16"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7,017.56 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7C18195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6,936.97 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4390794B"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6,920.89 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1889FAB4"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6,909.41 </w:t>
            </w:r>
          </w:p>
        </w:tc>
        <w:tc>
          <w:tcPr>
            <w:tcW w:w="1624" w:type="dxa"/>
            <w:tcBorders>
              <w:top w:val="single" w:sz="6" w:space="0" w:color="1B556B"/>
              <w:left w:val="single" w:sz="6" w:space="0" w:color="1B556B"/>
              <w:bottom w:val="single" w:sz="6" w:space="0" w:color="1B556B"/>
              <w:right w:val="nil"/>
            </w:tcBorders>
            <w:shd w:val="clear" w:color="auto" w:fill="D2DDE1"/>
            <w:hideMark/>
          </w:tcPr>
          <w:p w14:paraId="006397AC"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6,897.03 </w:t>
            </w:r>
          </w:p>
        </w:tc>
      </w:tr>
      <w:tr w:rsidR="009B2872" w:rsidRPr="00182A8F" w14:paraId="72089804" w14:textId="77777777">
        <w:trPr>
          <w:trHeight w:val="196"/>
        </w:trPr>
        <w:tc>
          <w:tcPr>
            <w:tcW w:w="3418" w:type="dxa"/>
            <w:tcBorders>
              <w:top w:val="single" w:sz="6" w:space="0" w:color="1B556B"/>
              <w:left w:val="nil"/>
              <w:bottom w:val="single" w:sz="6" w:space="0" w:color="1B556B"/>
              <w:right w:val="single" w:sz="6" w:space="0" w:color="1B556B"/>
            </w:tcBorders>
            <w:shd w:val="clear" w:color="auto" w:fill="auto"/>
            <w:hideMark/>
          </w:tcPr>
          <w:p w14:paraId="2B49F8FE" w14:textId="77777777" w:rsidR="009B2872" w:rsidRPr="00182A8F" w:rsidRDefault="009B2872" w:rsidP="00AA71F4">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HFCs </w:t>
            </w:r>
          </w:p>
        </w:tc>
        <w:tc>
          <w:tcPr>
            <w:tcW w:w="1633" w:type="dxa"/>
            <w:tcBorders>
              <w:top w:val="single" w:sz="6" w:space="0" w:color="1B556B"/>
              <w:left w:val="single" w:sz="6" w:space="0" w:color="1B556B"/>
              <w:bottom w:val="single" w:sz="6" w:space="0" w:color="1B556B"/>
              <w:right w:val="single" w:sz="6" w:space="0" w:color="1B556B"/>
            </w:tcBorders>
            <w:shd w:val="clear" w:color="auto" w:fill="auto"/>
            <w:hideMark/>
          </w:tcPr>
          <w:p w14:paraId="4FE1E76E"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1,498.48 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28783646" w14:textId="1DCED8B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1,129.</w:t>
            </w:r>
            <w:r w:rsidR="004A360D">
              <w:rPr>
                <w:rFonts w:asciiTheme="minorHAnsi" w:eastAsia="Calibri" w:hAnsiTheme="minorHAnsi" w:cstheme="minorHAnsi"/>
                <w:color w:val="000000" w:themeColor="text1"/>
                <w:sz w:val="18"/>
                <w:szCs w:val="18"/>
              </w:rPr>
              <w:t>45</w:t>
            </w:r>
            <w:r w:rsidRPr="00182A8F">
              <w:rPr>
                <w:rFonts w:asciiTheme="minorHAnsi" w:eastAsia="Calibri" w:hAnsiTheme="minorHAnsi" w:cstheme="minorHAnsi"/>
                <w:color w:val="000000" w:themeColor="text1"/>
                <w:sz w:val="18"/>
                <w:szCs w:val="18"/>
              </w:rPr>
              <w:t>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26C6EC5B" w14:textId="2F3BF63D"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1,038.</w:t>
            </w:r>
            <w:r w:rsidR="009B48E8">
              <w:rPr>
                <w:rFonts w:asciiTheme="minorHAnsi" w:eastAsia="Calibri" w:hAnsiTheme="minorHAnsi" w:cstheme="minorHAnsi"/>
                <w:color w:val="000000" w:themeColor="text1"/>
                <w:sz w:val="18"/>
                <w:szCs w:val="18"/>
              </w:rPr>
              <w:t>59</w:t>
            </w:r>
            <w:r w:rsidRPr="00182A8F">
              <w:rPr>
                <w:rFonts w:asciiTheme="minorHAnsi" w:eastAsia="Calibri" w:hAnsiTheme="minorHAnsi" w:cstheme="minorHAnsi"/>
                <w:color w:val="000000" w:themeColor="text1"/>
                <w:sz w:val="18"/>
                <w:szCs w:val="18"/>
              </w:rPr>
              <w:t>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38661921" w14:textId="4C68DF64"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958.</w:t>
            </w:r>
            <w:r w:rsidR="00976D3F">
              <w:rPr>
                <w:rFonts w:asciiTheme="minorHAnsi" w:eastAsia="Calibri" w:hAnsiTheme="minorHAnsi" w:cstheme="minorHAnsi"/>
                <w:color w:val="000000" w:themeColor="text1"/>
                <w:sz w:val="18"/>
                <w:szCs w:val="18"/>
              </w:rPr>
              <w:t>43</w:t>
            </w:r>
            <w:r w:rsidRPr="00182A8F">
              <w:rPr>
                <w:rFonts w:asciiTheme="minorHAnsi" w:eastAsia="Calibri" w:hAnsiTheme="minorHAnsi" w:cstheme="minorHAnsi"/>
                <w:color w:val="000000" w:themeColor="text1"/>
                <w:sz w:val="18"/>
                <w:szCs w:val="18"/>
              </w:rPr>
              <w:t>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3FDED810" w14:textId="619D9BEA"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834.2</w:t>
            </w:r>
            <w:r w:rsidR="00976D3F">
              <w:rPr>
                <w:rFonts w:asciiTheme="minorHAnsi" w:eastAsia="Calibri" w:hAnsiTheme="minorHAnsi" w:cstheme="minorHAnsi"/>
                <w:color w:val="000000" w:themeColor="text1"/>
                <w:sz w:val="18"/>
                <w:szCs w:val="18"/>
              </w:rPr>
              <w:t>0</w:t>
            </w:r>
            <w:r w:rsidRPr="00182A8F">
              <w:rPr>
                <w:rFonts w:asciiTheme="minorHAnsi" w:eastAsia="Calibri" w:hAnsiTheme="minorHAnsi" w:cstheme="minorHAnsi"/>
                <w:color w:val="000000" w:themeColor="text1"/>
                <w:sz w:val="18"/>
                <w:szCs w:val="18"/>
              </w:rPr>
              <w:t>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6313A5D1" w14:textId="40DEA669"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842.9</w:t>
            </w:r>
            <w:r w:rsidR="004C621C">
              <w:rPr>
                <w:rFonts w:asciiTheme="minorHAnsi" w:eastAsia="Calibri" w:hAnsiTheme="minorHAnsi" w:cstheme="minorHAnsi"/>
                <w:color w:val="000000" w:themeColor="text1"/>
                <w:sz w:val="18"/>
                <w:szCs w:val="18"/>
              </w:rPr>
              <w:t>5</w:t>
            </w:r>
            <w:r w:rsidRPr="00182A8F">
              <w:rPr>
                <w:rFonts w:asciiTheme="minorHAnsi" w:eastAsia="Calibri" w:hAnsiTheme="minorHAnsi" w:cstheme="minorHAnsi"/>
                <w:color w:val="000000" w:themeColor="text1"/>
                <w:sz w:val="18"/>
                <w:szCs w:val="18"/>
              </w:rPr>
              <w:t> </w:t>
            </w:r>
          </w:p>
        </w:tc>
        <w:tc>
          <w:tcPr>
            <w:tcW w:w="1624" w:type="dxa"/>
            <w:tcBorders>
              <w:top w:val="single" w:sz="6" w:space="0" w:color="1B556B"/>
              <w:left w:val="single" w:sz="6" w:space="0" w:color="1B556B"/>
              <w:bottom w:val="single" w:sz="6" w:space="0" w:color="1B556B"/>
              <w:right w:val="nil"/>
            </w:tcBorders>
            <w:shd w:val="clear" w:color="auto" w:fill="D2DDE1"/>
            <w:hideMark/>
          </w:tcPr>
          <w:p w14:paraId="03CD3220" w14:textId="6D1C813F"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754.</w:t>
            </w:r>
            <w:r w:rsidR="004F0626">
              <w:rPr>
                <w:rFonts w:asciiTheme="minorHAnsi" w:eastAsia="Calibri" w:hAnsiTheme="minorHAnsi" w:cstheme="minorHAnsi"/>
                <w:color w:val="000000" w:themeColor="text1"/>
                <w:sz w:val="18"/>
                <w:szCs w:val="18"/>
              </w:rPr>
              <w:t>11</w:t>
            </w:r>
            <w:r w:rsidRPr="00182A8F">
              <w:rPr>
                <w:rFonts w:asciiTheme="minorHAnsi" w:eastAsia="Calibri" w:hAnsiTheme="minorHAnsi" w:cstheme="minorHAnsi"/>
                <w:color w:val="000000" w:themeColor="text1"/>
                <w:sz w:val="18"/>
                <w:szCs w:val="18"/>
              </w:rPr>
              <w:t> </w:t>
            </w:r>
          </w:p>
        </w:tc>
      </w:tr>
      <w:tr w:rsidR="009B2872" w:rsidRPr="00182A8F" w14:paraId="0F5C6B32" w14:textId="77777777">
        <w:trPr>
          <w:trHeight w:val="196"/>
        </w:trPr>
        <w:tc>
          <w:tcPr>
            <w:tcW w:w="3418" w:type="dxa"/>
            <w:tcBorders>
              <w:top w:val="single" w:sz="6" w:space="0" w:color="1B556B"/>
              <w:left w:val="nil"/>
              <w:bottom w:val="single" w:sz="6" w:space="0" w:color="1B556B"/>
              <w:right w:val="single" w:sz="6" w:space="0" w:color="1B556B"/>
            </w:tcBorders>
            <w:shd w:val="clear" w:color="auto" w:fill="auto"/>
            <w:hideMark/>
          </w:tcPr>
          <w:p w14:paraId="4EBCB99A" w14:textId="77777777" w:rsidR="009B2872" w:rsidRPr="00182A8F" w:rsidRDefault="009B2872" w:rsidP="00AA71F4">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PFCs </w:t>
            </w:r>
          </w:p>
        </w:tc>
        <w:tc>
          <w:tcPr>
            <w:tcW w:w="1633" w:type="dxa"/>
            <w:tcBorders>
              <w:top w:val="single" w:sz="6" w:space="0" w:color="1B556B"/>
              <w:left w:val="single" w:sz="6" w:space="0" w:color="1B556B"/>
              <w:bottom w:val="single" w:sz="6" w:space="0" w:color="1B556B"/>
              <w:right w:val="single" w:sz="6" w:space="0" w:color="1B556B"/>
            </w:tcBorders>
            <w:shd w:val="clear" w:color="auto" w:fill="auto"/>
            <w:hideMark/>
          </w:tcPr>
          <w:p w14:paraId="3929355E"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50.93 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7CF12A9D"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47.43 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4AFCD69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47.43 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60C0A3E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47.43 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595C172D"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47.43 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3CF1FFC6"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47.43 </w:t>
            </w:r>
          </w:p>
        </w:tc>
        <w:tc>
          <w:tcPr>
            <w:tcW w:w="1624" w:type="dxa"/>
            <w:tcBorders>
              <w:top w:val="single" w:sz="6" w:space="0" w:color="1B556B"/>
              <w:left w:val="single" w:sz="6" w:space="0" w:color="1B556B"/>
              <w:bottom w:val="single" w:sz="6" w:space="0" w:color="1B556B"/>
              <w:right w:val="nil"/>
            </w:tcBorders>
            <w:shd w:val="clear" w:color="auto" w:fill="D2DDE1"/>
            <w:hideMark/>
          </w:tcPr>
          <w:p w14:paraId="2AEE3462"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47.43 </w:t>
            </w:r>
          </w:p>
        </w:tc>
      </w:tr>
      <w:tr w:rsidR="009B2872" w:rsidRPr="00182A8F" w14:paraId="53B4BDF5" w14:textId="77777777">
        <w:trPr>
          <w:trHeight w:val="196"/>
        </w:trPr>
        <w:tc>
          <w:tcPr>
            <w:tcW w:w="3418" w:type="dxa"/>
            <w:tcBorders>
              <w:top w:val="single" w:sz="6" w:space="0" w:color="1B556B"/>
              <w:left w:val="nil"/>
              <w:bottom w:val="single" w:sz="6" w:space="0" w:color="1B556B"/>
              <w:right w:val="single" w:sz="6" w:space="0" w:color="1B556B"/>
            </w:tcBorders>
            <w:shd w:val="clear" w:color="auto" w:fill="auto"/>
            <w:hideMark/>
          </w:tcPr>
          <w:p w14:paraId="67891D9A" w14:textId="77777777" w:rsidR="009B2872" w:rsidRPr="00182A8F" w:rsidRDefault="009B2872" w:rsidP="00AA71F4">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SF</w:t>
            </w:r>
            <w:r w:rsidRPr="00182A8F">
              <w:rPr>
                <w:rFonts w:asciiTheme="minorHAnsi" w:eastAsia="Calibri" w:hAnsiTheme="minorHAnsi" w:cstheme="minorHAnsi"/>
                <w:color w:val="000000" w:themeColor="text1"/>
                <w:sz w:val="18"/>
                <w:szCs w:val="18"/>
                <w:vertAlign w:val="subscript"/>
              </w:rPr>
              <w:t>6 </w:t>
            </w:r>
          </w:p>
        </w:tc>
        <w:tc>
          <w:tcPr>
            <w:tcW w:w="1633" w:type="dxa"/>
            <w:tcBorders>
              <w:top w:val="single" w:sz="6" w:space="0" w:color="1B556B"/>
              <w:left w:val="single" w:sz="6" w:space="0" w:color="1B556B"/>
              <w:bottom w:val="single" w:sz="6" w:space="0" w:color="1B556B"/>
              <w:right w:val="single" w:sz="6" w:space="0" w:color="1B556B"/>
            </w:tcBorders>
            <w:shd w:val="clear" w:color="auto" w:fill="auto"/>
            <w:hideMark/>
          </w:tcPr>
          <w:p w14:paraId="12417EE1"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19.42 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75AD40B9"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20.02 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1298E1E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22.23 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0E1E6B81"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22.22 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400EE385"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22.23 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163B2CE0"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22.24 </w:t>
            </w:r>
          </w:p>
        </w:tc>
        <w:tc>
          <w:tcPr>
            <w:tcW w:w="1624" w:type="dxa"/>
            <w:tcBorders>
              <w:top w:val="single" w:sz="6" w:space="0" w:color="1B556B"/>
              <w:left w:val="single" w:sz="6" w:space="0" w:color="1B556B"/>
              <w:bottom w:val="single" w:sz="6" w:space="0" w:color="1B556B"/>
              <w:right w:val="nil"/>
            </w:tcBorders>
            <w:shd w:val="clear" w:color="auto" w:fill="D2DDE1"/>
            <w:hideMark/>
          </w:tcPr>
          <w:p w14:paraId="773552C1"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22.27 </w:t>
            </w:r>
          </w:p>
        </w:tc>
      </w:tr>
      <w:tr w:rsidR="009B2872" w:rsidRPr="00182A8F" w14:paraId="40955309" w14:textId="77777777">
        <w:trPr>
          <w:trHeight w:val="196"/>
        </w:trPr>
        <w:tc>
          <w:tcPr>
            <w:tcW w:w="3418" w:type="dxa"/>
            <w:tcBorders>
              <w:top w:val="single" w:sz="6" w:space="0" w:color="1B556B"/>
              <w:left w:val="nil"/>
              <w:bottom w:val="single" w:sz="6" w:space="0" w:color="1B556B"/>
              <w:right w:val="single" w:sz="6" w:space="0" w:color="1B556B"/>
            </w:tcBorders>
            <w:shd w:val="clear" w:color="auto" w:fill="auto"/>
            <w:hideMark/>
          </w:tcPr>
          <w:p w14:paraId="57E845FB" w14:textId="77777777" w:rsidR="009B2872" w:rsidRPr="00182A8F" w:rsidRDefault="009B2872" w:rsidP="00AA71F4">
            <w:pPr>
              <w:spacing w:before="0" w:after="0" w:line="240" w:lineRule="auto"/>
              <w:jc w:val="lef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Total with LULUCF  </w:t>
            </w:r>
          </w:p>
        </w:tc>
        <w:tc>
          <w:tcPr>
            <w:tcW w:w="1633" w:type="dxa"/>
            <w:tcBorders>
              <w:top w:val="single" w:sz="6" w:space="0" w:color="1B556B"/>
              <w:left w:val="single" w:sz="6" w:space="0" w:color="1B556B"/>
              <w:bottom w:val="single" w:sz="6" w:space="0" w:color="1B556B"/>
              <w:right w:val="single" w:sz="6" w:space="0" w:color="1B556B"/>
            </w:tcBorders>
            <w:shd w:val="clear" w:color="auto" w:fill="auto"/>
            <w:hideMark/>
          </w:tcPr>
          <w:p w14:paraId="04D19032"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59,156.57 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769571C1"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64,315.23 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5E39DDAA"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54,683.58 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6CF9B9F7"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41,212.28 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4360388F"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45,681.68 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5D669B4B"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36,515.55 </w:t>
            </w:r>
          </w:p>
        </w:tc>
        <w:tc>
          <w:tcPr>
            <w:tcW w:w="1624" w:type="dxa"/>
            <w:tcBorders>
              <w:top w:val="single" w:sz="6" w:space="0" w:color="1B556B"/>
              <w:left w:val="single" w:sz="6" w:space="0" w:color="1B556B"/>
              <w:bottom w:val="single" w:sz="6" w:space="0" w:color="1B556B"/>
              <w:right w:val="nil"/>
            </w:tcBorders>
            <w:shd w:val="clear" w:color="auto" w:fill="D2DDE1"/>
            <w:hideMark/>
          </w:tcPr>
          <w:p w14:paraId="446061D0"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34,036.44 </w:t>
            </w:r>
          </w:p>
        </w:tc>
      </w:tr>
      <w:tr w:rsidR="009B2872" w:rsidRPr="00182A8F" w14:paraId="1681C053" w14:textId="77777777">
        <w:trPr>
          <w:trHeight w:val="196"/>
        </w:trPr>
        <w:tc>
          <w:tcPr>
            <w:tcW w:w="3418" w:type="dxa"/>
            <w:tcBorders>
              <w:top w:val="single" w:sz="6" w:space="0" w:color="1B556B"/>
              <w:left w:val="nil"/>
              <w:bottom w:val="single" w:sz="6" w:space="0" w:color="1B556B"/>
              <w:right w:val="single" w:sz="6" w:space="0" w:color="1B556B"/>
            </w:tcBorders>
            <w:shd w:val="clear" w:color="auto" w:fill="auto"/>
            <w:hideMark/>
          </w:tcPr>
          <w:p w14:paraId="3B9F5E61" w14:textId="77777777" w:rsidR="009B2872" w:rsidRPr="00182A8F" w:rsidRDefault="009B2872" w:rsidP="00AA71F4">
            <w:pPr>
              <w:spacing w:before="0" w:after="0" w:line="240" w:lineRule="auto"/>
              <w:jc w:val="lef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Total without LULUCF  </w:t>
            </w:r>
          </w:p>
        </w:tc>
        <w:tc>
          <w:tcPr>
            <w:tcW w:w="1633" w:type="dxa"/>
            <w:tcBorders>
              <w:top w:val="single" w:sz="6" w:space="0" w:color="1B556B"/>
              <w:left w:val="single" w:sz="6" w:space="0" w:color="1B556B"/>
              <w:bottom w:val="single" w:sz="6" w:space="0" w:color="1B556B"/>
              <w:right w:val="single" w:sz="6" w:space="0" w:color="1B556B"/>
            </w:tcBorders>
            <w:shd w:val="clear" w:color="auto" w:fill="auto"/>
            <w:hideMark/>
          </w:tcPr>
          <w:p w14:paraId="6BF48E78"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78,395.36 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200A8CA1"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76,475.71 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4FC1B9DB"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71,676.52 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5603D755"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68,636.35 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6C68AA5F"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66,092.85 </w:t>
            </w:r>
          </w:p>
        </w:tc>
        <w:tc>
          <w:tcPr>
            <w:tcW w:w="1603" w:type="dxa"/>
            <w:tcBorders>
              <w:top w:val="single" w:sz="6" w:space="0" w:color="1B556B"/>
              <w:left w:val="single" w:sz="6" w:space="0" w:color="1B556B"/>
              <w:bottom w:val="single" w:sz="6" w:space="0" w:color="1B556B"/>
              <w:right w:val="single" w:sz="6" w:space="0" w:color="1B556B"/>
            </w:tcBorders>
            <w:shd w:val="clear" w:color="auto" w:fill="D2DDE1"/>
            <w:hideMark/>
          </w:tcPr>
          <w:p w14:paraId="065CFE32"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64,419.44 </w:t>
            </w:r>
          </w:p>
        </w:tc>
        <w:tc>
          <w:tcPr>
            <w:tcW w:w="1624" w:type="dxa"/>
            <w:tcBorders>
              <w:top w:val="single" w:sz="6" w:space="0" w:color="1B556B"/>
              <w:left w:val="single" w:sz="6" w:space="0" w:color="1B556B"/>
              <w:bottom w:val="single" w:sz="6" w:space="0" w:color="1B556B"/>
              <w:right w:val="nil"/>
            </w:tcBorders>
            <w:shd w:val="clear" w:color="auto" w:fill="D2DDE1"/>
            <w:hideMark/>
          </w:tcPr>
          <w:p w14:paraId="3890650F"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62,913.79 </w:t>
            </w:r>
          </w:p>
        </w:tc>
      </w:tr>
    </w:tbl>
    <w:p w14:paraId="0ABBFBC2" w14:textId="1B229844" w:rsidR="009B2872" w:rsidRPr="009B2872" w:rsidRDefault="009B2872" w:rsidP="009B2872">
      <w:pPr>
        <w:spacing w:after="60" w:line="240" w:lineRule="atLeast"/>
        <w:jc w:val="left"/>
        <w:rPr>
          <w:sz w:val="18"/>
          <w:szCs w:val="18"/>
        </w:rPr>
      </w:pPr>
      <w:r w:rsidRPr="01AC7B87">
        <w:rPr>
          <w:b/>
          <w:sz w:val="18"/>
          <w:szCs w:val="18"/>
        </w:rPr>
        <w:t>Note:</w:t>
      </w:r>
      <w:r w:rsidRPr="01AC7B87">
        <w:rPr>
          <w:sz w:val="18"/>
          <w:szCs w:val="18"/>
        </w:rPr>
        <w:t xml:space="preserve"> CH</w:t>
      </w:r>
      <w:r w:rsidRPr="01AC7B87">
        <w:rPr>
          <w:sz w:val="18"/>
          <w:szCs w:val="18"/>
          <w:vertAlign w:val="subscript"/>
        </w:rPr>
        <w:t>4</w:t>
      </w:r>
      <w:r w:rsidRPr="01AC7B87">
        <w:rPr>
          <w:sz w:val="18"/>
          <w:szCs w:val="18"/>
        </w:rPr>
        <w:t xml:space="preserve"> = methane; CO</w:t>
      </w:r>
      <w:r w:rsidRPr="01AC7B87">
        <w:rPr>
          <w:sz w:val="18"/>
          <w:szCs w:val="18"/>
          <w:vertAlign w:val="subscript"/>
        </w:rPr>
        <w:t>2</w:t>
      </w:r>
      <w:r w:rsidRPr="01AC7B87">
        <w:rPr>
          <w:sz w:val="18"/>
          <w:szCs w:val="18"/>
        </w:rPr>
        <w:t xml:space="preserve"> = carbon dioxide; HFCs = hydrofluorocarbons; LULUCF = Land Use, Land-Use Change and Forestry; N</w:t>
      </w:r>
      <w:r w:rsidRPr="01AC7B87">
        <w:rPr>
          <w:sz w:val="18"/>
          <w:szCs w:val="18"/>
          <w:vertAlign w:val="subscript"/>
        </w:rPr>
        <w:t>2</w:t>
      </w:r>
      <w:r w:rsidRPr="01AC7B87">
        <w:rPr>
          <w:sz w:val="18"/>
          <w:szCs w:val="18"/>
        </w:rPr>
        <w:t xml:space="preserve">O = nitrous oxide; PFCs = perfluorocarbons; </w:t>
      </w:r>
      <w:r w:rsidRPr="009B2872">
        <w:rPr>
          <w:rFonts w:eastAsia="Times New Roman" w:cs="Calibri"/>
          <w:sz w:val="18"/>
          <w:szCs w:val="18"/>
        </w:rPr>
        <w:t>SF</w:t>
      </w:r>
      <w:r w:rsidRPr="009B2872">
        <w:rPr>
          <w:rFonts w:eastAsia="Times New Roman" w:cs="Calibri"/>
          <w:sz w:val="18"/>
          <w:szCs w:val="18"/>
          <w:vertAlign w:val="subscript"/>
        </w:rPr>
        <w:t>6</w:t>
      </w:r>
      <w:r w:rsidRPr="01AC7B87">
        <w:rPr>
          <w:sz w:val="18"/>
          <w:szCs w:val="18"/>
        </w:rPr>
        <w:t xml:space="preserve"> = sulphur hexafluoride.</w:t>
      </w:r>
    </w:p>
    <w:p w14:paraId="68B5FF84" w14:textId="72A86C7A" w:rsidR="009B2872" w:rsidRPr="0044676F" w:rsidRDefault="009B2872" w:rsidP="00182A8F">
      <w:pPr>
        <w:widowControl w:val="0"/>
        <w:adjustRightInd w:val="0"/>
        <w:spacing w:after="60" w:line="240" w:lineRule="auto"/>
        <w:ind w:left="284" w:hanging="284"/>
        <w:jc w:val="left"/>
        <w:textAlignment w:val="baseline"/>
        <w:rPr>
          <w:rFonts w:eastAsia="Times New Roman" w:cs="Times New Roman"/>
          <w:sz w:val="16"/>
          <w:szCs w:val="16"/>
        </w:rPr>
      </w:pPr>
      <w:r w:rsidRPr="009B2872">
        <w:rPr>
          <w:rFonts w:eastAsia="Times New Roman" w:cs="Times New Roman"/>
          <w:sz w:val="18"/>
          <w:vertAlign w:val="superscript"/>
        </w:rPr>
        <w:t>a</w:t>
      </w:r>
      <w:r>
        <w:rPr>
          <w:rFonts w:eastAsia="Times New Roman" w:cs="Times New Roman"/>
          <w:sz w:val="18"/>
          <w:vertAlign w:val="superscript"/>
        </w:rPr>
        <w:t xml:space="preserve"> </w:t>
      </w:r>
      <w:r w:rsidRPr="009B2872">
        <w:rPr>
          <w:rFonts w:eastAsia="Times New Roman" w:cs="Times New Roman"/>
          <w:sz w:val="18"/>
        </w:rPr>
        <w:t xml:space="preserve"> </w:t>
      </w:r>
      <w:r w:rsidRPr="009B2872">
        <w:rPr>
          <w:rFonts w:eastAsia="Times New Roman" w:cs="Times New Roman"/>
          <w:sz w:val="18"/>
        </w:rPr>
        <w:tab/>
      </w:r>
      <w:r w:rsidRPr="0044676F">
        <w:rPr>
          <w:rFonts w:eastAsia="Times New Roman" w:cs="Times New Roman"/>
          <w:sz w:val="16"/>
          <w:szCs w:val="16"/>
        </w:rPr>
        <w:t>Each Party shall report projections pursuant to paras. 93–101 of the MPGs; those developing country Parties that need flexibility in the light of their capacities are instead encouraged to report such projections (para. 92 of the MPGs).</w:t>
      </w:r>
    </w:p>
    <w:p w14:paraId="29185414" w14:textId="5C0AC4F0" w:rsidR="009B2872" w:rsidRPr="0044676F" w:rsidRDefault="009B2872" w:rsidP="00182A8F">
      <w:pPr>
        <w:widowControl w:val="0"/>
        <w:adjustRightInd w:val="0"/>
        <w:spacing w:after="60" w:line="240" w:lineRule="auto"/>
        <w:ind w:left="284" w:hanging="284"/>
        <w:jc w:val="left"/>
        <w:textAlignment w:val="baseline"/>
        <w:rPr>
          <w:rFonts w:eastAsia="Times New Roman" w:cs="Times New Roman"/>
          <w:sz w:val="16"/>
          <w:szCs w:val="16"/>
        </w:rPr>
      </w:pPr>
      <w:r w:rsidRPr="0044676F">
        <w:rPr>
          <w:rFonts w:eastAsia="Times New Roman" w:cs="Times New Roman"/>
          <w:sz w:val="16"/>
          <w:szCs w:val="16"/>
          <w:vertAlign w:val="superscript"/>
        </w:rPr>
        <w:t>b</w:t>
      </w:r>
      <w:r w:rsidRPr="0044676F">
        <w:rPr>
          <w:rFonts w:eastAsia="Times New Roman" w:cs="Times New Roman"/>
          <w:sz w:val="16"/>
          <w:szCs w:val="16"/>
        </w:rPr>
        <w:t xml:space="preserve">  </w:t>
      </w:r>
      <w:r w:rsidRPr="0044676F">
        <w:rPr>
          <w:rFonts w:eastAsia="Times New Roman" w:cs="Times New Roman"/>
          <w:sz w:val="16"/>
          <w:szCs w:val="16"/>
        </w:rPr>
        <w:tab/>
        <w:t>Those developing country Parties that need flexibility in the light of their capacities with respect paras. 93–101 of the MPGs can instead report using a less detailed methodology or coverage (para. 102 of the MPGs).</w:t>
      </w:r>
    </w:p>
    <w:p w14:paraId="255E570A" w14:textId="7D56090D" w:rsidR="009B2872" w:rsidRPr="0044676F" w:rsidRDefault="009B2872" w:rsidP="00182A8F">
      <w:pPr>
        <w:widowControl w:val="0"/>
        <w:adjustRightInd w:val="0"/>
        <w:spacing w:after="60" w:line="240" w:lineRule="auto"/>
        <w:ind w:left="284" w:hanging="284"/>
        <w:jc w:val="left"/>
        <w:textAlignment w:val="baseline"/>
        <w:rPr>
          <w:rFonts w:eastAsia="Times New Roman" w:cs="Times New Roman"/>
          <w:sz w:val="16"/>
          <w:szCs w:val="16"/>
        </w:rPr>
      </w:pPr>
      <w:r w:rsidRPr="0044676F">
        <w:rPr>
          <w:rFonts w:eastAsia="Times New Roman" w:cs="Times New Roman"/>
          <w:sz w:val="16"/>
          <w:szCs w:val="16"/>
          <w:vertAlign w:val="superscript"/>
        </w:rPr>
        <w:t>c</w:t>
      </w:r>
      <w:r w:rsidRPr="0044676F">
        <w:rPr>
          <w:rFonts w:eastAsia="Times New Roman" w:cs="Times New Roman"/>
          <w:sz w:val="16"/>
          <w:szCs w:val="16"/>
        </w:rPr>
        <w:t xml:space="preserve">  </w:t>
      </w:r>
      <w:r w:rsidRPr="0044676F">
        <w:rPr>
          <w:rFonts w:eastAsia="Times New Roman" w:cs="Times New Roman"/>
          <w:sz w:val="16"/>
          <w:szCs w:val="16"/>
        </w:rPr>
        <w:tab/>
        <w:t>Projections shall begin from the most recent year in the Party’s national report and extend at least 15 years beyond the next year ending in zero or five; those developing country Parties that need flexibility in the light of their capacities with respect to this provision have the flexibility to instead extend their projections at least to the end point of their NDC under Article 4 of the Paris Agreement (para. 95 of the MPGs).</w:t>
      </w:r>
    </w:p>
    <w:p w14:paraId="2F3DD0F5" w14:textId="0BF620E5" w:rsidR="009B2872" w:rsidRPr="0044676F" w:rsidRDefault="009B2872" w:rsidP="00182A8F">
      <w:pPr>
        <w:widowControl w:val="0"/>
        <w:adjustRightInd w:val="0"/>
        <w:spacing w:line="240" w:lineRule="auto"/>
        <w:ind w:left="284" w:hanging="284"/>
        <w:jc w:val="left"/>
        <w:textAlignment w:val="baseline"/>
        <w:rPr>
          <w:rFonts w:eastAsia="Times New Roman" w:cs="Times New Roman"/>
          <w:sz w:val="16"/>
          <w:szCs w:val="16"/>
        </w:rPr>
      </w:pPr>
      <w:r w:rsidRPr="0044676F">
        <w:rPr>
          <w:rFonts w:eastAsia="Times New Roman" w:cs="Times New Roman"/>
          <w:sz w:val="16"/>
          <w:szCs w:val="16"/>
          <w:vertAlign w:val="superscript"/>
        </w:rPr>
        <w:t xml:space="preserve">d </w:t>
      </w:r>
      <w:r w:rsidRPr="0044676F">
        <w:rPr>
          <w:rFonts w:eastAsia="Times New Roman" w:cs="Times New Roman"/>
          <w:sz w:val="16"/>
          <w:szCs w:val="16"/>
        </w:rPr>
        <w:t xml:space="preserve"> </w:t>
      </w:r>
      <w:r w:rsidRPr="0044676F">
        <w:rPr>
          <w:rFonts w:eastAsia="Times New Roman" w:cs="Times New Roman"/>
          <w:sz w:val="16"/>
          <w:szCs w:val="16"/>
        </w:rPr>
        <w:tab/>
        <w:t>In accordance with para. 82(f) of the MPGs.</w:t>
      </w:r>
    </w:p>
    <w:p w14:paraId="718614ED" w14:textId="77777777" w:rsidR="009B2872" w:rsidRPr="009B2872" w:rsidRDefault="009B2872" w:rsidP="009B2872">
      <w:pPr>
        <w:keepNext/>
        <w:ind w:left="1134" w:hanging="1134"/>
        <w:jc w:val="left"/>
        <w:rPr>
          <w:b/>
          <w:sz w:val="20"/>
        </w:rPr>
        <w:sectPr w:rsidR="009B2872" w:rsidRPr="009B2872" w:rsidSect="009B2872">
          <w:headerReference w:type="even" r:id="rId200"/>
          <w:headerReference w:type="default" r:id="rId201"/>
          <w:footerReference w:type="even" r:id="rId202"/>
          <w:footerReference w:type="default" r:id="rId203"/>
          <w:headerReference w:type="first" r:id="rId204"/>
          <w:pgSz w:w="16840" w:h="11907" w:orient="landscape" w:code="9"/>
          <w:pgMar w:top="1701" w:right="1134" w:bottom="1701" w:left="1134" w:header="567" w:footer="567" w:gutter="0"/>
          <w:cols w:space="720"/>
          <w:docGrid w:linePitch="299"/>
        </w:sectPr>
      </w:pPr>
    </w:p>
    <w:p w14:paraId="3FDDC4B4" w14:textId="72730105" w:rsidR="009B2872" w:rsidRPr="009B2872" w:rsidRDefault="009B2872" w:rsidP="002C6658">
      <w:pPr>
        <w:pStyle w:val="Tableheading"/>
      </w:pPr>
      <w:bookmarkStart w:id="885" w:name="_Toc185407520"/>
      <w:bookmarkStart w:id="886" w:name="_Toc185427783"/>
      <w:r w:rsidRPr="009B2872">
        <w:t xml:space="preserve">CTF </w:t>
      </w:r>
      <w:r w:rsidR="007E289C">
        <w:t>t</w:t>
      </w:r>
      <w:r w:rsidRPr="009B2872">
        <w:t>able 9:</w:t>
      </w:r>
      <w:r w:rsidR="00B86B19">
        <w:tab/>
      </w:r>
      <w:r w:rsidRPr="009B2872">
        <w:t xml:space="preserve">Information on projections of greenhouse gas emissions and removals under a ‘without </w:t>
      </w:r>
      <w:r w:rsidRPr="002C6658">
        <w:t>measures’</w:t>
      </w:r>
      <w:r w:rsidRPr="009B2872">
        <w:t xml:space="preserve"> scenario </w:t>
      </w:r>
      <w:r w:rsidRPr="009B2872">
        <w:rPr>
          <w:vertAlign w:val="superscript"/>
        </w:rPr>
        <w:t>a, b</w:t>
      </w:r>
      <w:bookmarkEnd w:id="885"/>
      <w:bookmarkEnd w:id="886"/>
    </w:p>
    <w:tbl>
      <w:tblPr>
        <w:tblW w:w="1456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686"/>
        <w:gridCol w:w="1271"/>
        <w:gridCol w:w="1571"/>
        <w:gridCol w:w="1571"/>
        <w:gridCol w:w="1571"/>
        <w:gridCol w:w="1571"/>
        <w:gridCol w:w="1571"/>
        <w:gridCol w:w="1753"/>
      </w:tblGrid>
      <w:tr w:rsidR="009B2872" w:rsidRPr="00182A8F" w14:paraId="2D3FBF21" w14:textId="77777777" w:rsidTr="008E7E3B">
        <w:trPr>
          <w:trHeight w:val="285"/>
        </w:trPr>
        <w:tc>
          <w:tcPr>
            <w:tcW w:w="3686" w:type="dxa"/>
            <w:tcBorders>
              <w:top w:val="nil"/>
              <w:left w:val="nil"/>
              <w:bottom w:val="single" w:sz="6" w:space="0" w:color="1B556B"/>
              <w:right w:val="nil"/>
            </w:tcBorders>
            <w:shd w:val="clear" w:color="auto" w:fill="1B556B"/>
            <w:hideMark/>
          </w:tcPr>
          <w:p w14:paraId="39D009EE"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 </w:t>
            </w:r>
          </w:p>
        </w:tc>
        <w:tc>
          <w:tcPr>
            <w:tcW w:w="1271" w:type="dxa"/>
            <w:tcBorders>
              <w:top w:val="nil"/>
              <w:left w:val="nil"/>
              <w:bottom w:val="single" w:sz="6" w:space="0" w:color="1B556B"/>
              <w:right w:val="nil"/>
            </w:tcBorders>
            <w:shd w:val="clear" w:color="auto" w:fill="1B556B"/>
            <w:hideMark/>
          </w:tcPr>
          <w:p w14:paraId="7D19AF72" w14:textId="77777777" w:rsidR="009B2872" w:rsidRPr="00182A8F" w:rsidRDefault="009B2872" w:rsidP="009A7D77">
            <w:pPr>
              <w:spacing w:before="0" w:after="0" w:line="240" w:lineRule="auto"/>
              <w:jc w:val="left"/>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Most recent year in the Party’s national inventory report</w:t>
            </w:r>
          </w:p>
        </w:tc>
        <w:tc>
          <w:tcPr>
            <w:tcW w:w="9608" w:type="dxa"/>
            <w:gridSpan w:val="6"/>
            <w:tcBorders>
              <w:top w:val="nil"/>
              <w:left w:val="nil"/>
              <w:bottom w:val="single" w:sz="6" w:space="0" w:color="1B556B"/>
              <w:right w:val="nil"/>
            </w:tcBorders>
            <w:shd w:val="clear" w:color="auto" w:fill="1B556B"/>
            <w:hideMark/>
          </w:tcPr>
          <w:p w14:paraId="5D6CAD43" w14:textId="77777777" w:rsidR="009B2872" w:rsidRPr="00182A8F" w:rsidRDefault="009B2872" w:rsidP="009B2872">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Projections of GHG emissions and removals</w:t>
            </w:r>
          </w:p>
        </w:tc>
      </w:tr>
      <w:tr w:rsidR="009B2872" w:rsidRPr="00182A8F" w14:paraId="6F912E58" w14:textId="77777777" w:rsidTr="008E7E3B">
        <w:trPr>
          <w:trHeight w:val="285"/>
        </w:trPr>
        <w:tc>
          <w:tcPr>
            <w:tcW w:w="3686" w:type="dxa"/>
            <w:tcBorders>
              <w:top w:val="nil"/>
              <w:left w:val="nil"/>
              <w:bottom w:val="single" w:sz="6" w:space="0" w:color="1B556B"/>
              <w:right w:val="nil"/>
            </w:tcBorders>
            <w:shd w:val="clear" w:color="auto" w:fill="1B556B"/>
            <w:hideMark/>
          </w:tcPr>
          <w:p w14:paraId="01941C06"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 </w:t>
            </w:r>
          </w:p>
        </w:tc>
        <w:tc>
          <w:tcPr>
            <w:tcW w:w="1271" w:type="dxa"/>
            <w:tcBorders>
              <w:top w:val="nil"/>
              <w:left w:val="nil"/>
              <w:bottom w:val="single" w:sz="6" w:space="0" w:color="1B556B"/>
              <w:right w:val="nil"/>
            </w:tcBorders>
            <w:shd w:val="clear" w:color="auto" w:fill="1B556B"/>
            <w:hideMark/>
          </w:tcPr>
          <w:p w14:paraId="2A03CD26" w14:textId="77777777" w:rsidR="009B2872" w:rsidRPr="00182A8F" w:rsidRDefault="009B2872" w:rsidP="009A7D77">
            <w:pPr>
              <w:spacing w:before="0" w:after="0" w:line="240" w:lineRule="auto"/>
              <w:jc w:val="left"/>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(kt CO</w:t>
            </w:r>
            <w:r w:rsidRPr="00182A8F">
              <w:rPr>
                <w:rFonts w:asciiTheme="minorHAnsi" w:eastAsia="Calibri" w:hAnsiTheme="minorHAnsi" w:cstheme="minorHAnsi"/>
                <w:b/>
                <w:bCs/>
                <w:color w:val="FFFFFF" w:themeColor="background1"/>
                <w:sz w:val="18"/>
                <w:szCs w:val="18"/>
                <w:vertAlign w:val="subscript"/>
              </w:rPr>
              <w:t>2</w:t>
            </w:r>
            <w:r w:rsidRPr="00182A8F">
              <w:rPr>
                <w:rFonts w:asciiTheme="minorHAnsi" w:eastAsia="Calibri" w:hAnsiTheme="minorHAnsi" w:cstheme="minorHAnsi"/>
                <w:b/>
                <w:bCs/>
                <w:color w:val="FFFFFF" w:themeColor="background1"/>
                <w:sz w:val="18"/>
                <w:szCs w:val="18"/>
              </w:rPr>
              <w:t xml:space="preserve"> eq) </w:t>
            </w:r>
            <w:r w:rsidRPr="00182A8F">
              <w:rPr>
                <w:rFonts w:asciiTheme="minorHAnsi" w:eastAsia="Calibri" w:hAnsiTheme="minorHAnsi" w:cstheme="minorHAnsi"/>
                <w:b/>
                <w:bCs/>
                <w:color w:val="FFFFFF" w:themeColor="background1"/>
                <w:sz w:val="18"/>
                <w:szCs w:val="18"/>
                <w:vertAlign w:val="superscript"/>
              </w:rPr>
              <w:t>c</w:t>
            </w:r>
          </w:p>
        </w:tc>
        <w:tc>
          <w:tcPr>
            <w:tcW w:w="9608" w:type="dxa"/>
            <w:gridSpan w:val="6"/>
            <w:tcBorders>
              <w:top w:val="nil"/>
              <w:left w:val="nil"/>
              <w:bottom w:val="single" w:sz="6" w:space="0" w:color="1B556B"/>
              <w:right w:val="nil"/>
            </w:tcBorders>
            <w:shd w:val="clear" w:color="auto" w:fill="1B556B"/>
            <w:hideMark/>
          </w:tcPr>
          <w:p w14:paraId="6EE202C5" w14:textId="77777777" w:rsidR="009B2872" w:rsidRPr="00182A8F" w:rsidRDefault="009B2872" w:rsidP="009B2872">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(kt CO</w:t>
            </w:r>
            <w:r w:rsidRPr="00182A8F">
              <w:rPr>
                <w:rFonts w:asciiTheme="minorHAnsi" w:eastAsia="Calibri" w:hAnsiTheme="minorHAnsi" w:cstheme="minorHAnsi"/>
                <w:b/>
                <w:bCs/>
                <w:color w:val="FFFFFF" w:themeColor="background1"/>
                <w:sz w:val="18"/>
                <w:szCs w:val="18"/>
                <w:vertAlign w:val="subscript"/>
              </w:rPr>
              <w:t>2</w:t>
            </w:r>
            <w:r w:rsidRPr="00182A8F">
              <w:rPr>
                <w:rFonts w:asciiTheme="minorHAnsi" w:eastAsia="Calibri" w:hAnsiTheme="minorHAnsi" w:cstheme="minorHAnsi"/>
                <w:b/>
                <w:bCs/>
                <w:color w:val="FFFFFF" w:themeColor="background1"/>
                <w:sz w:val="18"/>
                <w:szCs w:val="18"/>
              </w:rPr>
              <w:t xml:space="preserve"> eq)</w:t>
            </w:r>
          </w:p>
        </w:tc>
      </w:tr>
      <w:tr w:rsidR="009B2872" w:rsidRPr="00182A8F" w14:paraId="60E0AAD8" w14:textId="77777777" w:rsidTr="008E7E3B">
        <w:trPr>
          <w:trHeight w:val="285"/>
        </w:trPr>
        <w:tc>
          <w:tcPr>
            <w:tcW w:w="3686" w:type="dxa"/>
            <w:tcBorders>
              <w:top w:val="nil"/>
              <w:left w:val="nil"/>
              <w:bottom w:val="single" w:sz="6" w:space="0" w:color="1B556B"/>
              <w:right w:val="nil"/>
            </w:tcBorders>
            <w:shd w:val="clear" w:color="auto" w:fill="1B556B"/>
            <w:hideMark/>
          </w:tcPr>
          <w:p w14:paraId="2FABE86C"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  </w:t>
            </w:r>
          </w:p>
        </w:tc>
        <w:tc>
          <w:tcPr>
            <w:tcW w:w="1271" w:type="dxa"/>
            <w:tcBorders>
              <w:top w:val="nil"/>
              <w:left w:val="nil"/>
              <w:bottom w:val="single" w:sz="6" w:space="0" w:color="1B556B"/>
              <w:right w:val="nil"/>
            </w:tcBorders>
            <w:shd w:val="clear" w:color="auto" w:fill="1B556B"/>
            <w:hideMark/>
          </w:tcPr>
          <w:p w14:paraId="710033D9" w14:textId="77777777" w:rsidR="009B2872" w:rsidRPr="00182A8F" w:rsidRDefault="009B2872" w:rsidP="009A7D77">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2022 </w:t>
            </w:r>
          </w:p>
        </w:tc>
        <w:tc>
          <w:tcPr>
            <w:tcW w:w="1571" w:type="dxa"/>
            <w:tcBorders>
              <w:top w:val="nil"/>
              <w:left w:val="nil"/>
              <w:bottom w:val="single" w:sz="6" w:space="0" w:color="1B556B"/>
              <w:right w:val="nil"/>
            </w:tcBorders>
            <w:shd w:val="clear" w:color="auto" w:fill="1B556B"/>
            <w:hideMark/>
          </w:tcPr>
          <w:p w14:paraId="2FD20A03" w14:textId="77777777" w:rsidR="009B2872" w:rsidRPr="00182A8F" w:rsidRDefault="009B2872" w:rsidP="009B2872">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2025 </w:t>
            </w:r>
          </w:p>
        </w:tc>
        <w:tc>
          <w:tcPr>
            <w:tcW w:w="1571" w:type="dxa"/>
            <w:tcBorders>
              <w:top w:val="nil"/>
              <w:left w:val="nil"/>
              <w:bottom w:val="single" w:sz="6" w:space="0" w:color="1B556B"/>
              <w:right w:val="nil"/>
            </w:tcBorders>
            <w:shd w:val="clear" w:color="auto" w:fill="1B556B"/>
            <w:hideMark/>
          </w:tcPr>
          <w:p w14:paraId="27D6EA6F" w14:textId="77777777" w:rsidR="009B2872" w:rsidRPr="00182A8F" w:rsidRDefault="009B2872" w:rsidP="009B2872">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2030 </w:t>
            </w:r>
          </w:p>
        </w:tc>
        <w:tc>
          <w:tcPr>
            <w:tcW w:w="1571" w:type="dxa"/>
            <w:tcBorders>
              <w:top w:val="nil"/>
              <w:left w:val="nil"/>
              <w:bottom w:val="single" w:sz="6" w:space="0" w:color="1B556B"/>
              <w:right w:val="single" w:sz="6" w:space="0" w:color="1B556B"/>
            </w:tcBorders>
            <w:shd w:val="clear" w:color="auto" w:fill="1B556B"/>
            <w:hideMark/>
          </w:tcPr>
          <w:p w14:paraId="7AEC79E4" w14:textId="77777777" w:rsidR="009B2872" w:rsidRPr="00182A8F" w:rsidRDefault="009B2872" w:rsidP="009B2872">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2035 </w:t>
            </w:r>
          </w:p>
        </w:tc>
        <w:tc>
          <w:tcPr>
            <w:tcW w:w="1571" w:type="dxa"/>
            <w:tcBorders>
              <w:top w:val="nil"/>
              <w:left w:val="nil"/>
              <w:bottom w:val="single" w:sz="6" w:space="0" w:color="1B556B"/>
              <w:right w:val="single" w:sz="6" w:space="0" w:color="1B556B"/>
            </w:tcBorders>
            <w:shd w:val="clear" w:color="auto" w:fill="1B556B"/>
            <w:hideMark/>
          </w:tcPr>
          <w:p w14:paraId="5D0D0A4D" w14:textId="77777777" w:rsidR="009B2872" w:rsidRPr="00182A8F" w:rsidRDefault="009B2872" w:rsidP="009B2872">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2040 </w:t>
            </w:r>
          </w:p>
        </w:tc>
        <w:tc>
          <w:tcPr>
            <w:tcW w:w="1571" w:type="dxa"/>
            <w:tcBorders>
              <w:top w:val="nil"/>
              <w:left w:val="nil"/>
              <w:bottom w:val="single" w:sz="6" w:space="0" w:color="1B556B"/>
              <w:right w:val="single" w:sz="6" w:space="0" w:color="1B556B"/>
            </w:tcBorders>
            <w:shd w:val="clear" w:color="auto" w:fill="1B556B"/>
            <w:hideMark/>
          </w:tcPr>
          <w:p w14:paraId="58510A28" w14:textId="77777777" w:rsidR="009B2872" w:rsidRPr="00182A8F" w:rsidRDefault="009B2872" w:rsidP="009B2872">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2045 </w:t>
            </w:r>
          </w:p>
        </w:tc>
        <w:tc>
          <w:tcPr>
            <w:tcW w:w="1753" w:type="dxa"/>
            <w:tcBorders>
              <w:top w:val="nil"/>
              <w:left w:val="nil"/>
              <w:bottom w:val="single" w:sz="6" w:space="0" w:color="1B556B"/>
              <w:right w:val="nil"/>
            </w:tcBorders>
            <w:shd w:val="clear" w:color="auto" w:fill="1B556B"/>
            <w:hideMark/>
          </w:tcPr>
          <w:p w14:paraId="37FF86BC" w14:textId="77777777" w:rsidR="009B2872" w:rsidRPr="00182A8F" w:rsidRDefault="009B2872" w:rsidP="009B2872">
            <w:pPr>
              <w:spacing w:before="0" w:after="0" w:line="240" w:lineRule="auto"/>
              <w:jc w:val="center"/>
              <w:rPr>
                <w:rFonts w:asciiTheme="minorHAnsi" w:eastAsia="Calibri" w:hAnsiTheme="minorHAnsi" w:cstheme="minorHAnsi"/>
                <w:b/>
                <w:bCs/>
                <w:color w:val="FFFFFF" w:themeColor="background1"/>
                <w:sz w:val="18"/>
                <w:szCs w:val="18"/>
              </w:rPr>
            </w:pPr>
            <w:r w:rsidRPr="00182A8F">
              <w:rPr>
                <w:rFonts w:asciiTheme="minorHAnsi" w:eastAsia="Calibri" w:hAnsiTheme="minorHAnsi" w:cstheme="minorHAnsi"/>
                <w:b/>
                <w:bCs/>
                <w:color w:val="FFFFFF" w:themeColor="background1"/>
                <w:sz w:val="18"/>
                <w:szCs w:val="18"/>
              </w:rPr>
              <w:t>2050 </w:t>
            </w:r>
          </w:p>
        </w:tc>
      </w:tr>
      <w:tr w:rsidR="009B2872" w:rsidRPr="00182A8F" w14:paraId="764188E9" w14:textId="77777777">
        <w:trPr>
          <w:trHeight w:val="285"/>
        </w:trPr>
        <w:tc>
          <w:tcPr>
            <w:tcW w:w="14565" w:type="dxa"/>
            <w:gridSpan w:val="8"/>
            <w:tcBorders>
              <w:top w:val="nil"/>
              <w:left w:val="nil"/>
              <w:bottom w:val="single" w:sz="6" w:space="0" w:color="1B556B"/>
              <w:right w:val="nil"/>
            </w:tcBorders>
            <w:shd w:val="clear" w:color="auto" w:fill="auto"/>
            <w:hideMark/>
          </w:tcPr>
          <w:p w14:paraId="2607046D" w14:textId="77777777" w:rsidR="009B2872" w:rsidRPr="00182A8F" w:rsidRDefault="009B2872" w:rsidP="009B2872">
            <w:pPr>
              <w:spacing w:before="0" w:after="0" w:line="240" w:lineRule="auto"/>
              <w:jc w:val="left"/>
              <w:rPr>
                <w:rFonts w:asciiTheme="minorHAnsi" w:eastAsia="Calibri" w:hAnsiTheme="minorHAnsi" w:cstheme="minorHAnsi"/>
                <w:b/>
                <w:bCs/>
                <w:color w:val="000000" w:themeColor="text1"/>
                <w:sz w:val="18"/>
                <w:szCs w:val="18"/>
              </w:rPr>
            </w:pPr>
            <w:r w:rsidRPr="00182A8F">
              <w:rPr>
                <w:rFonts w:asciiTheme="minorHAnsi" w:eastAsia="Calibri" w:hAnsiTheme="minorHAnsi" w:cstheme="minorHAnsi"/>
                <w:b/>
                <w:bCs/>
                <w:color w:val="000000" w:themeColor="text1"/>
                <w:sz w:val="18"/>
                <w:szCs w:val="18"/>
              </w:rPr>
              <w:t xml:space="preserve">Sector </w:t>
            </w:r>
            <w:r w:rsidRPr="00182A8F">
              <w:rPr>
                <w:rFonts w:asciiTheme="minorHAnsi" w:eastAsia="Calibri" w:hAnsiTheme="minorHAnsi" w:cstheme="minorHAnsi"/>
                <w:b/>
                <w:bCs/>
                <w:color w:val="000000" w:themeColor="text1"/>
                <w:sz w:val="18"/>
                <w:szCs w:val="18"/>
                <w:vertAlign w:val="superscript"/>
              </w:rPr>
              <w:t>d</w:t>
            </w:r>
            <w:r w:rsidRPr="00182A8F">
              <w:rPr>
                <w:rFonts w:asciiTheme="minorHAnsi" w:eastAsia="Calibri" w:hAnsiTheme="minorHAnsi" w:cstheme="minorHAnsi"/>
                <w:b/>
                <w:bCs/>
                <w:color w:val="000000" w:themeColor="text1"/>
                <w:sz w:val="18"/>
                <w:szCs w:val="18"/>
              </w:rPr>
              <w:t> </w:t>
            </w:r>
          </w:p>
        </w:tc>
      </w:tr>
      <w:tr w:rsidR="009B2872" w:rsidRPr="00182A8F" w14:paraId="475B4BF5"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4B2E3F24"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Energy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48392284"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15,031.68 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52EE0502"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15,518.98 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1042FC84"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14,199.16 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74DDFECF"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13,710.96 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03854782"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11,745.53 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2B1506E4"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11,364.43 </w:t>
            </w:r>
          </w:p>
        </w:tc>
        <w:tc>
          <w:tcPr>
            <w:tcW w:w="1753" w:type="dxa"/>
            <w:tcBorders>
              <w:top w:val="single" w:sz="6" w:space="0" w:color="1B556B"/>
              <w:left w:val="single" w:sz="6" w:space="0" w:color="1B556B"/>
              <w:bottom w:val="single" w:sz="6" w:space="0" w:color="1B556B"/>
              <w:right w:val="nil"/>
            </w:tcBorders>
            <w:shd w:val="clear" w:color="auto" w:fill="D2DDE1"/>
            <w:hideMark/>
          </w:tcPr>
          <w:p w14:paraId="60B6294D"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11,150.27 </w:t>
            </w:r>
          </w:p>
        </w:tc>
      </w:tr>
      <w:tr w:rsidR="009B2872" w:rsidRPr="00182A8F" w14:paraId="27EBEE35"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147DDFCE"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Transport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3BFFA798"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14,024.43 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59CD502D"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14,620.71 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3489C602"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14,283.89 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247E17A4"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13,274.27 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145DAB0C"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11,423.73 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6877B53D"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9,333.44 </w:t>
            </w:r>
          </w:p>
        </w:tc>
        <w:tc>
          <w:tcPr>
            <w:tcW w:w="1753" w:type="dxa"/>
            <w:tcBorders>
              <w:top w:val="single" w:sz="6" w:space="0" w:color="1B556B"/>
              <w:left w:val="single" w:sz="6" w:space="0" w:color="1B556B"/>
              <w:bottom w:val="single" w:sz="6" w:space="0" w:color="1B556B"/>
              <w:right w:val="nil"/>
            </w:tcBorders>
            <w:shd w:val="clear" w:color="auto" w:fill="D2DDE1"/>
            <w:hideMark/>
          </w:tcPr>
          <w:p w14:paraId="5370C2BF"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7,690.04 </w:t>
            </w:r>
          </w:p>
        </w:tc>
      </w:tr>
      <w:tr w:rsidR="009B2872" w:rsidRPr="00182A8F" w14:paraId="2B360425"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211E3269"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Industrial processes and product use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1E80A0BE"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4,698.51 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47A34E26"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4,918.63 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5EF9D95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4,699.18 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321336F8"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4,503.56 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26309E90"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4,317.20 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323FC551"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4,290.91 </w:t>
            </w:r>
          </w:p>
        </w:tc>
        <w:tc>
          <w:tcPr>
            <w:tcW w:w="1753" w:type="dxa"/>
            <w:tcBorders>
              <w:top w:val="single" w:sz="6" w:space="0" w:color="1B556B"/>
              <w:left w:val="single" w:sz="6" w:space="0" w:color="1B556B"/>
              <w:bottom w:val="single" w:sz="6" w:space="0" w:color="1B556B"/>
              <w:right w:val="nil"/>
            </w:tcBorders>
            <w:shd w:val="clear" w:color="auto" w:fill="D2DDE1"/>
            <w:hideMark/>
          </w:tcPr>
          <w:p w14:paraId="53818772"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4,225.61 </w:t>
            </w:r>
          </w:p>
        </w:tc>
      </w:tr>
      <w:tr w:rsidR="009B2872" w:rsidRPr="00182A8F" w14:paraId="2A36F710"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5249D037"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Agriculture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74C5A079"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42,423.53 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5CAA41A2"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40,789.75 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0AA4D17A"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40,750.94 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7004DED4"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40,955.29 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05E55CFC"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41,289.32 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4B2CEDA9"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41,520.28 </w:t>
            </w:r>
          </w:p>
        </w:tc>
        <w:tc>
          <w:tcPr>
            <w:tcW w:w="1753" w:type="dxa"/>
            <w:tcBorders>
              <w:top w:val="single" w:sz="6" w:space="0" w:color="1B556B"/>
              <w:left w:val="single" w:sz="6" w:space="0" w:color="1B556B"/>
              <w:bottom w:val="single" w:sz="6" w:space="0" w:color="1B556B"/>
              <w:right w:val="nil"/>
            </w:tcBorders>
            <w:shd w:val="clear" w:color="auto" w:fill="D2DDE1"/>
            <w:hideMark/>
          </w:tcPr>
          <w:p w14:paraId="15A65C7D"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41,788.60 </w:t>
            </w:r>
          </w:p>
        </w:tc>
      </w:tr>
      <w:tr w:rsidR="009B2872" w:rsidRPr="00182A8F" w14:paraId="19925A92"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19B0D783"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Forestry/LULUCF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304886FF" w14:textId="168D1FEA" w:rsidR="009B2872" w:rsidRPr="00182A8F" w:rsidRDefault="00826E8C"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t>
            </w:r>
            <w:r w:rsidR="009B2872" w:rsidRPr="00182A8F">
              <w:rPr>
                <w:rFonts w:asciiTheme="minorHAnsi" w:eastAsia="Calibri" w:hAnsiTheme="minorHAnsi" w:cstheme="minorHAnsi"/>
                <w:color w:val="000000" w:themeColor="text1"/>
                <w:sz w:val="18"/>
                <w:szCs w:val="18"/>
              </w:rPr>
              <w:t>12,860.23 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696FA646" w14:textId="490D8399" w:rsidR="009B2872" w:rsidRPr="00182A8F" w:rsidRDefault="00826E8C"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t>
            </w:r>
            <w:r w:rsidR="009B2872" w:rsidRPr="00182A8F">
              <w:rPr>
                <w:rFonts w:asciiTheme="minorHAnsi" w:eastAsia="Calibri" w:hAnsiTheme="minorHAnsi" w:cstheme="minorHAnsi"/>
                <w:color w:val="000000" w:themeColor="text1"/>
                <w:sz w:val="18"/>
                <w:szCs w:val="18"/>
              </w:rPr>
              <w:t>5,391.88 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7B4AA9C3" w14:textId="58FC06C7" w:rsidR="009B2872" w:rsidRPr="00182A8F" w:rsidRDefault="00826E8C"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t>
            </w:r>
            <w:r w:rsidR="009B2872" w:rsidRPr="00182A8F">
              <w:rPr>
                <w:rFonts w:asciiTheme="minorHAnsi" w:eastAsia="Calibri" w:hAnsiTheme="minorHAnsi" w:cstheme="minorHAnsi"/>
                <w:color w:val="000000" w:themeColor="text1"/>
                <w:sz w:val="18"/>
                <w:szCs w:val="18"/>
              </w:rPr>
              <w:t>2,316.28 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7A5F91FA" w14:textId="36B9C3EA" w:rsidR="009B2872" w:rsidRPr="00182A8F" w:rsidRDefault="00826E8C"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t>
            </w:r>
            <w:r w:rsidR="009B2872" w:rsidRPr="00182A8F">
              <w:rPr>
                <w:rFonts w:asciiTheme="minorHAnsi" w:eastAsia="Calibri" w:hAnsiTheme="minorHAnsi" w:cstheme="minorHAnsi"/>
                <w:color w:val="000000" w:themeColor="text1"/>
                <w:sz w:val="18"/>
                <w:szCs w:val="18"/>
              </w:rPr>
              <w:t>7,187.20 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3F7012A4"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636.56 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4987E9EE" w14:textId="2F7EF1E6" w:rsidR="009B2872" w:rsidRPr="00182A8F" w:rsidRDefault="00826E8C"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t>
            </w:r>
            <w:r w:rsidR="009B2872" w:rsidRPr="00182A8F">
              <w:rPr>
                <w:rFonts w:asciiTheme="minorHAnsi" w:eastAsia="Calibri" w:hAnsiTheme="minorHAnsi" w:cstheme="minorHAnsi"/>
                <w:color w:val="000000" w:themeColor="text1"/>
                <w:sz w:val="18"/>
                <w:szCs w:val="18"/>
              </w:rPr>
              <w:t>566.79 </w:t>
            </w:r>
          </w:p>
        </w:tc>
        <w:tc>
          <w:tcPr>
            <w:tcW w:w="1753" w:type="dxa"/>
            <w:tcBorders>
              <w:top w:val="single" w:sz="6" w:space="0" w:color="1B556B"/>
              <w:left w:val="single" w:sz="6" w:space="0" w:color="1B556B"/>
              <w:bottom w:val="single" w:sz="6" w:space="0" w:color="1B556B"/>
              <w:right w:val="nil"/>
            </w:tcBorders>
            <w:shd w:val="clear" w:color="auto" w:fill="D2DDE1"/>
            <w:hideMark/>
          </w:tcPr>
          <w:p w14:paraId="7E262CD1" w14:textId="4E80ED30" w:rsidR="009B2872" w:rsidRPr="00182A8F" w:rsidRDefault="00826E8C"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t>
            </w:r>
            <w:r w:rsidR="009B2872" w:rsidRPr="00182A8F">
              <w:rPr>
                <w:rFonts w:asciiTheme="minorHAnsi" w:eastAsia="Calibri" w:hAnsiTheme="minorHAnsi" w:cstheme="minorHAnsi"/>
                <w:color w:val="000000" w:themeColor="text1"/>
                <w:sz w:val="18"/>
                <w:szCs w:val="18"/>
              </w:rPr>
              <w:t>10,639.27 </w:t>
            </w:r>
          </w:p>
        </w:tc>
      </w:tr>
      <w:tr w:rsidR="009B2872" w:rsidRPr="00182A8F" w14:paraId="2F008F82"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1EA94445"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Waste management/waste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5EACCB81"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4,137.86 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2607F5CC"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4,111.84 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1A6D5619"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4,109.92 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6F8CBF64"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4,116.22 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05975605"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4,129.71 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19CBA681"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4,146.36 </w:t>
            </w:r>
          </w:p>
        </w:tc>
        <w:tc>
          <w:tcPr>
            <w:tcW w:w="1753" w:type="dxa"/>
            <w:tcBorders>
              <w:top w:val="single" w:sz="6" w:space="0" w:color="1B556B"/>
              <w:left w:val="single" w:sz="6" w:space="0" w:color="1B556B"/>
              <w:bottom w:val="single" w:sz="6" w:space="0" w:color="1B556B"/>
              <w:right w:val="nil"/>
            </w:tcBorders>
            <w:shd w:val="clear" w:color="auto" w:fill="D2DDE1"/>
            <w:hideMark/>
          </w:tcPr>
          <w:p w14:paraId="34BF6E8B"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4,164.84 </w:t>
            </w:r>
          </w:p>
        </w:tc>
      </w:tr>
      <w:tr w:rsidR="009B2872" w:rsidRPr="00182A8F" w14:paraId="08839682" w14:textId="77777777" w:rsidTr="00AE1CD0">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438E2CDE"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Tokelau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405C14CB"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4.69 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279688EA"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4.74 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550F3254"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4.78 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430A98A2"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3.89 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088E49B5"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3.95 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55AE69D6"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4.02 </w:t>
            </w:r>
          </w:p>
        </w:tc>
        <w:tc>
          <w:tcPr>
            <w:tcW w:w="1753" w:type="dxa"/>
            <w:tcBorders>
              <w:top w:val="single" w:sz="6" w:space="0" w:color="1B556B"/>
              <w:left w:val="single" w:sz="6" w:space="0" w:color="1B556B"/>
              <w:bottom w:val="single" w:sz="6" w:space="0" w:color="1B556B"/>
              <w:right w:val="nil"/>
            </w:tcBorders>
            <w:shd w:val="clear" w:color="auto" w:fill="D2DDE1"/>
            <w:hideMark/>
          </w:tcPr>
          <w:p w14:paraId="1F1F22B7"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4.10 </w:t>
            </w:r>
          </w:p>
        </w:tc>
      </w:tr>
      <w:tr w:rsidR="009B2872" w:rsidRPr="00182A8F" w14:paraId="7BAFC794" w14:textId="77777777" w:rsidTr="00AE1CD0">
        <w:trPr>
          <w:trHeight w:val="285"/>
        </w:trPr>
        <w:tc>
          <w:tcPr>
            <w:tcW w:w="14565" w:type="dxa"/>
            <w:gridSpan w:val="8"/>
            <w:tcBorders>
              <w:top w:val="single" w:sz="6" w:space="0" w:color="1B556B"/>
              <w:left w:val="nil"/>
              <w:bottom w:val="single" w:sz="6" w:space="0" w:color="1B556B"/>
              <w:right w:val="nil"/>
            </w:tcBorders>
            <w:shd w:val="clear" w:color="auto" w:fill="auto"/>
            <w:hideMark/>
          </w:tcPr>
          <w:p w14:paraId="3B31AC67" w14:textId="77777777" w:rsidR="009B2872" w:rsidRPr="00182A8F" w:rsidRDefault="009B2872" w:rsidP="00C80AEE">
            <w:pPr>
              <w:spacing w:before="0" w:after="0" w:line="240" w:lineRule="auto"/>
              <w:jc w:val="left"/>
              <w:rPr>
                <w:rFonts w:asciiTheme="minorHAnsi" w:eastAsia="Calibri" w:hAnsiTheme="minorHAnsi" w:cstheme="minorHAnsi"/>
                <w:b/>
                <w:bCs/>
                <w:color w:val="000000" w:themeColor="text1"/>
                <w:sz w:val="18"/>
                <w:szCs w:val="18"/>
              </w:rPr>
            </w:pPr>
            <w:r w:rsidRPr="00182A8F">
              <w:rPr>
                <w:rFonts w:asciiTheme="minorHAnsi" w:eastAsia="Calibri" w:hAnsiTheme="minorHAnsi" w:cstheme="minorHAnsi"/>
                <w:b/>
                <w:bCs/>
                <w:color w:val="000000" w:themeColor="text1"/>
                <w:sz w:val="18"/>
                <w:szCs w:val="18"/>
              </w:rPr>
              <w:t>Gas </w:t>
            </w:r>
          </w:p>
        </w:tc>
      </w:tr>
      <w:tr w:rsidR="009B2872" w:rsidRPr="00182A8F" w14:paraId="30144591"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218862A4"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CO</w:t>
            </w:r>
            <w:r w:rsidRPr="00182A8F">
              <w:rPr>
                <w:rFonts w:asciiTheme="minorHAnsi" w:eastAsia="Calibri" w:hAnsiTheme="minorHAnsi" w:cstheme="minorHAnsi"/>
                <w:color w:val="000000" w:themeColor="text1"/>
                <w:sz w:val="18"/>
                <w:szCs w:val="18"/>
                <w:vertAlign w:val="subscript"/>
              </w:rPr>
              <w:t>2</w:t>
            </w:r>
            <w:r w:rsidRPr="00182A8F">
              <w:rPr>
                <w:rFonts w:asciiTheme="minorHAnsi" w:eastAsia="Calibri" w:hAnsiTheme="minorHAnsi" w:cstheme="minorHAnsi"/>
                <w:color w:val="000000" w:themeColor="text1"/>
                <w:sz w:val="18"/>
                <w:szCs w:val="18"/>
              </w:rPr>
              <w:t xml:space="preserve"> emissions including net CO</w:t>
            </w:r>
            <w:r w:rsidRPr="00182A8F">
              <w:rPr>
                <w:rFonts w:asciiTheme="minorHAnsi" w:eastAsia="Calibri" w:hAnsiTheme="minorHAnsi" w:cstheme="minorHAnsi"/>
                <w:color w:val="000000" w:themeColor="text1"/>
                <w:sz w:val="18"/>
                <w:szCs w:val="18"/>
                <w:vertAlign w:val="subscript"/>
              </w:rPr>
              <w:t>2</w:t>
            </w:r>
            <w:r w:rsidRPr="00182A8F">
              <w:rPr>
                <w:rFonts w:asciiTheme="minorHAnsi" w:eastAsia="Calibri" w:hAnsiTheme="minorHAnsi" w:cstheme="minorHAnsi"/>
                <w:color w:val="000000" w:themeColor="text1"/>
                <w:sz w:val="18"/>
                <w:szCs w:val="18"/>
              </w:rPr>
              <w:t xml:space="preserve"> from LULUCF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083CFA62"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19,089.10 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265E3C0C"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27,903.58 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083265EA"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29,366.24 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107C7569"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23,003.67 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11B107DA"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26,991.53 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4F86ED58"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23,333.71 </w:t>
            </w:r>
          </w:p>
        </w:tc>
        <w:tc>
          <w:tcPr>
            <w:tcW w:w="1753" w:type="dxa"/>
            <w:tcBorders>
              <w:top w:val="single" w:sz="6" w:space="0" w:color="1B556B"/>
              <w:left w:val="single" w:sz="6" w:space="0" w:color="1B556B"/>
              <w:bottom w:val="single" w:sz="6" w:space="0" w:color="1B556B"/>
              <w:right w:val="nil"/>
            </w:tcBorders>
            <w:shd w:val="clear" w:color="auto" w:fill="D2DDE1"/>
            <w:hideMark/>
          </w:tcPr>
          <w:p w14:paraId="064C16D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11,411.14 </w:t>
            </w:r>
          </w:p>
        </w:tc>
      </w:tr>
      <w:tr w:rsidR="009B2872" w:rsidRPr="00182A8F" w14:paraId="67FA2808"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14BD85E6"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CO</w:t>
            </w:r>
            <w:r w:rsidRPr="00182A8F">
              <w:rPr>
                <w:rFonts w:asciiTheme="minorHAnsi" w:eastAsia="Calibri" w:hAnsiTheme="minorHAnsi" w:cstheme="minorHAnsi"/>
                <w:color w:val="000000" w:themeColor="text1"/>
                <w:sz w:val="18"/>
                <w:szCs w:val="18"/>
                <w:vertAlign w:val="subscript"/>
              </w:rPr>
              <w:t>2</w:t>
            </w:r>
            <w:r w:rsidRPr="00182A8F">
              <w:rPr>
                <w:rFonts w:asciiTheme="minorHAnsi" w:eastAsia="Calibri" w:hAnsiTheme="minorHAnsi" w:cstheme="minorHAnsi"/>
                <w:color w:val="000000" w:themeColor="text1"/>
                <w:sz w:val="18"/>
                <w:szCs w:val="18"/>
              </w:rPr>
              <w:t xml:space="preserve"> emissions excluding net CO</w:t>
            </w:r>
            <w:r w:rsidRPr="00182A8F">
              <w:rPr>
                <w:rFonts w:asciiTheme="minorHAnsi" w:eastAsia="Calibri" w:hAnsiTheme="minorHAnsi" w:cstheme="minorHAnsi"/>
                <w:color w:val="000000" w:themeColor="text1"/>
                <w:sz w:val="18"/>
                <w:szCs w:val="18"/>
                <w:vertAlign w:val="subscript"/>
              </w:rPr>
              <w:t>2</w:t>
            </w:r>
            <w:r w:rsidRPr="00182A8F">
              <w:rPr>
                <w:rFonts w:asciiTheme="minorHAnsi" w:eastAsia="Calibri" w:hAnsiTheme="minorHAnsi" w:cstheme="minorHAnsi"/>
                <w:color w:val="000000" w:themeColor="text1"/>
                <w:sz w:val="18"/>
                <w:szCs w:val="18"/>
              </w:rPr>
              <w:t xml:space="preserve"> from LULUCF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45C6813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31,949.33 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6B5767A7"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33,295.47 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1330619D"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31,682.52 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421D85E6"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30,190.87 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01A6956F"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26,354.97 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6EBF84BC"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23,900.50 </w:t>
            </w:r>
          </w:p>
        </w:tc>
        <w:tc>
          <w:tcPr>
            <w:tcW w:w="1753" w:type="dxa"/>
            <w:tcBorders>
              <w:top w:val="single" w:sz="6" w:space="0" w:color="1B556B"/>
              <w:left w:val="single" w:sz="6" w:space="0" w:color="1B556B"/>
              <w:bottom w:val="single" w:sz="6" w:space="0" w:color="1B556B"/>
              <w:right w:val="nil"/>
            </w:tcBorders>
            <w:shd w:val="clear" w:color="auto" w:fill="D2DDE1"/>
            <w:hideMark/>
          </w:tcPr>
          <w:p w14:paraId="44541017"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22,050.41 </w:t>
            </w:r>
          </w:p>
        </w:tc>
      </w:tr>
      <w:tr w:rsidR="009B2872" w:rsidRPr="00182A8F" w14:paraId="65EC387B"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02DEA768"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CH</w:t>
            </w:r>
            <w:r w:rsidRPr="00182A8F">
              <w:rPr>
                <w:rFonts w:asciiTheme="minorHAnsi" w:eastAsia="Calibri" w:hAnsiTheme="minorHAnsi" w:cstheme="minorHAnsi"/>
                <w:color w:val="000000" w:themeColor="text1"/>
                <w:sz w:val="18"/>
                <w:szCs w:val="18"/>
                <w:vertAlign w:val="subscript"/>
              </w:rPr>
              <w:t>4</w:t>
            </w:r>
            <w:r w:rsidRPr="00182A8F">
              <w:rPr>
                <w:rFonts w:asciiTheme="minorHAnsi" w:eastAsia="Calibri" w:hAnsiTheme="minorHAnsi" w:cstheme="minorHAnsi"/>
                <w:color w:val="000000" w:themeColor="text1"/>
                <w:sz w:val="18"/>
                <w:szCs w:val="18"/>
              </w:rPr>
              <w:t xml:space="preserve"> emissions including net CH</w:t>
            </w:r>
            <w:r w:rsidRPr="00182A8F">
              <w:rPr>
                <w:rFonts w:asciiTheme="minorHAnsi" w:eastAsia="Calibri" w:hAnsiTheme="minorHAnsi" w:cstheme="minorHAnsi"/>
                <w:color w:val="000000" w:themeColor="text1"/>
                <w:sz w:val="18"/>
                <w:szCs w:val="18"/>
                <w:vertAlign w:val="subscript"/>
              </w:rPr>
              <w:t>4</w:t>
            </w:r>
            <w:r w:rsidRPr="00182A8F">
              <w:rPr>
                <w:rFonts w:asciiTheme="minorHAnsi" w:eastAsia="Calibri" w:hAnsiTheme="minorHAnsi" w:cstheme="minorHAnsi"/>
                <w:color w:val="000000" w:themeColor="text1"/>
                <w:sz w:val="18"/>
                <w:szCs w:val="18"/>
              </w:rPr>
              <w:t xml:space="preserve"> from LULUCF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32C8F4DC"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39,627.74 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6266589D"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37,984.75 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0B6274D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37,728.02 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5B288ACF"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37,900.83 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3D61FDF7"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38,242.78 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7358D39B"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38,466.09 </w:t>
            </w:r>
          </w:p>
        </w:tc>
        <w:tc>
          <w:tcPr>
            <w:tcW w:w="1753" w:type="dxa"/>
            <w:tcBorders>
              <w:top w:val="single" w:sz="6" w:space="0" w:color="1B556B"/>
              <w:left w:val="single" w:sz="6" w:space="0" w:color="1B556B"/>
              <w:bottom w:val="single" w:sz="6" w:space="0" w:color="1B556B"/>
              <w:right w:val="nil"/>
            </w:tcBorders>
            <w:shd w:val="clear" w:color="auto" w:fill="D2DDE1"/>
            <w:hideMark/>
          </w:tcPr>
          <w:p w14:paraId="31BACA36"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38,732.97 </w:t>
            </w:r>
          </w:p>
        </w:tc>
      </w:tr>
      <w:tr w:rsidR="009B2872" w:rsidRPr="00182A8F" w14:paraId="11C001A9"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323FAFBC"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CH</w:t>
            </w:r>
            <w:r w:rsidRPr="00182A8F">
              <w:rPr>
                <w:rFonts w:asciiTheme="minorHAnsi" w:eastAsia="Calibri" w:hAnsiTheme="minorHAnsi" w:cstheme="minorHAnsi"/>
                <w:color w:val="000000" w:themeColor="text1"/>
                <w:sz w:val="18"/>
                <w:szCs w:val="18"/>
                <w:vertAlign w:val="subscript"/>
              </w:rPr>
              <w:t>4</w:t>
            </w:r>
            <w:r w:rsidRPr="00182A8F">
              <w:rPr>
                <w:rFonts w:asciiTheme="minorHAnsi" w:eastAsia="Calibri" w:hAnsiTheme="minorHAnsi" w:cstheme="minorHAnsi"/>
                <w:color w:val="000000" w:themeColor="text1"/>
                <w:sz w:val="18"/>
                <w:szCs w:val="18"/>
              </w:rPr>
              <w:t xml:space="preserve"> emissions excluding net CH</w:t>
            </w:r>
            <w:r w:rsidRPr="00182A8F">
              <w:rPr>
                <w:rFonts w:asciiTheme="minorHAnsi" w:eastAsia="Calibri" w:hAnsiTheme="minorHAnsi" w:cstheme="minorHAnsi"/>
                <w:color w:val="000000" w:themeColor="text1"/>
                <w:sz w:val="18"/>
                <w:szCs w:val="18"/>
                <w:vertAlign w:val="subscript"/>
              </w:rPr>
              <w:t>4</w:t>
            </w:r>
            <w:r w:rsidRPr="00182A8F">
              <w:rPr>
                <w:rFonts w:asciiTheme="minorHAnsi" w:eastAsia="Calibri" w:hAnsiTheme="minorHAnsi" w:cstheme="minorHAnsi"/>
                <w:color w:val="000000" w:themeColor="text1"/>
                <w:sz w:val="18"/>
                <w:szCs w:val="18"/>
              </w:rPr>
              <w:t xml:space="preserve"> from LULUCF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50458C19"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39,627.74 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171C7BE4"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37,984.75 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3AC9A761"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37,728.02 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65270E00"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37,900.83 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26510712"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38,242.78 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0D88F4B1"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38,466.09 </w:t>
            </w:r>
          </w:p>
        </w:tc>
        <w:tc>
          <w:tcPr>
            <w:tcW w:w="1753" w:type="dxa"/>
            <w:tcBorders>
              <w:top w:val="single" w:sz="6" w:space="0" w:color="1B556B"/>
              <w:left w:val="single" w:sz="6" w:space="0" w:color="1B556B"/>
              <w:bottom w:val="single" w:sz="6" w:space="0" w:color="1B556B"/>
              <w:right w:val="nil"/>
            </w:tcBorders>
            <w:shd w:val="clear" w:color="auto" w:fill="D2DDE1"/>
            <w:hideMark/>
          </w:tcPr>
          <w:p w14:paraId="5A1FD1C9"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38,732.97 </w:t>
            </w:r>
          </w:p>
        </w:tc>
      </w:tr>
      <w:tr w:rsidR="009B2872" w:rsidRPr="00182A8F" w14:paraId="024C656D"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0E0C6A9E"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N</w:t>
            </w:r>
            <w:r w:rsidRPr="00182A8F">
              <w:rPr>
                <w:rFonts w:asciiTheme="minorHAnsi" w:eastAsia="Calibri" w:hAnsiTheme="minorHAnsi" w:cstheme="minorHAnsi"/>
                <w:color w:val="000000" w:themeColor="text1"/>
                <w:sz w:val="18"/>
                <w:szCs w:val="18"/>
                <w:vertAlign w:val="subscript"/>
              </w:rPr>
              <w:t>2</w:t>
            </w:r>
            <w:r w:rsidRPr="00182A8F">
              <w:rPr>
                <w:rFonts w:asciiTheme="minorHAnsi" w:eastAsia="Calibri" w:hAnsiTheme="minorHAnsi" w:cstheme="minorHAnsi"/>
                <w:color w:val="000000" w:themeColor="text1"/>
                <w:sz w:val="18"/>
                <w:szCs w:val="18"/>
              </w:rPr>
              <w:t>O emissions including net N</w:t>
            </w:r>
            <w:r w:rsidRPr="00182A8F">
              <w:rPr>
                <w:rFonts w:asciiTheme="minorHAnsi" w:eastAsia="Calibri" w:hAnsiTheme="minorHAnsi" w:cstheme="minorHAnsi"/>
                <w:color w:val="000000" w:themeColor="text1"/>
                <w:sz w:val="18"/>
                <w:szCs w:val="18"/>
                <w:vertAlign w:val="subscript"/>
              </w:rPr>
              <w:t>2</w:t>
            </w:r>
            <w:r w:rsidRPr="00182A8F">
              <w:rPr>
                <w:rFonts w:asciiTheme="minorHAnsi" w:eastAsia="Calibri" w:hAnsiTheme="minorHAnsi" w:cstheme="minorHAnsi"/>
                <w:color w:val="000000" w:themeColor="text1"/>
                <w:sz w:val="18"/>
                <w:szCs w:val="18"/>
              </w:rPr>
              <w:t>O from LULUCF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0D62E80C"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6,945.56 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266CD420"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6,978.84 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38129935"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7,071.84 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3C8C47F7"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7,102.66 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6CB1B408"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7,128.25 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785486EC"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7,135.74 </w:t>
            </w:r>
          </w:p>
        </w:tc>
        <w:tc>
          <w:tcPr>
            <w:tcW w:w="1753" w:type="dxa"/>
            <w:tcBorders>
              <w:top w:val="single" w:sz="6" w:space="0" w:color="1B556B"/>
              <w:left w:val="single" w:sz="6" w:space="0" w:color="1B556B"/>
              <w:bottom w:val="single" w:sz="6" w:space="0" w:color="1B556B"/>
              <w:right w:val="nil"/>
            </w:tcBorders>
            <w:shd w:val="clear" w:color="auto" w:fill="D2DDE1"/>
            <w:hideMark/>
          </w:tcPr>
          <w:p w14:paraId="5DC8FADA"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7,148.30 </w:t>
            </w:r>
          </w:p>
        </w:tc>
      </w:tr>
      <w:tr w:rsidR="009B2872" w:rsidRPr="00182A8F" w14:paraId="283D46F9"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47DBAD1C"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N</w:t>
            </w:r>
            <w:r w:rsidRPr="00182A8F">
              <w:rPr>
                <w:rFonts w:asciiTheme="minorHAnsi" w:eastAsia="Calibri" w:hAnsiTheme="minorHAnsi" w:cstheme="minorHAnsi"/>
                <w:color w:val="000000" w:themeColor="text1"/>
                <w:sz w:val="18"/>
                <w:szCs w:val="18"/>
                <w:vertAlign w:val="subscript"/>
              </w:rPr>
              <w:t>2</w:t>
            </w:r>
            <w:r w:rsidRPr="00182A8F">
              <w:rPr>
                <w:rFonts w:asciiTheme="minorHAnsi" w:eastAsia="Calibri" w:hAnsiTheme="minorHAnsi" w:cstheme="minorHAnsi"/>
                <w:color w:val="000000" w:themeColor="text1"/>
                <w:sz w:val="18"/>
                <w:szCs w:val="18"/>
              </w:rPr>
              <w:t>O emissions excluding net N</w:t>
            </w:r>
            <w:r w:rsidRPr="00182A8F">
              <w:rPr>
                <w:rFonts w:asciiTheme="minorHAnsi" w:eastAsia="Calibri" w:hAnsiTheme="minorHAnsi" w:cstheme="minorHAnsi"/>
                <w:color w:val="000000" w:themeColor="text1"/>
                <w:sz w:val="18"/>
                <w:szCs w:val="18"/>
                <w:vertAlign w:val="subscript"/>
              </w:rPr>
              <w:t>2</w:t>
            </w:r>
            <w:r w:rsidRPr="00182A8F">
              <w:rPr>
                <w:rFonts w:asciiTheme="minorHAnsi" w:eastAsia="Calibri" w:hAnsiTheme="minorHAnsi" w:cstheme="minorHAnsi"/>
                <w:color w:val="000000" w:themeColor="text1"/>
                <w:sz w:val="18"/>
                <w:szCs w:val="18"/>
              </w:rPr>
              <w:t>O from LULUCF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518CF2F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6,945.56 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275134B6"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6,978.84 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715FFB30"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7,071.84 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0A344ECF"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7,102.66 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13C0241C"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7,128.25 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4D35EF88"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7,135.74 </w:t>
            </w:r>
          </w:p>
        </w:tc>
        <w:tc>
          <w:tcPr>
            <w:tcW w:w="1753" w:type="dxa"/>
            <w:tcBorders>
              <w:top w:val="single" w:sz="6" w:space="0" w:color="1B556B"/>
              <w:left w:val="single" w:sz="6" w:space="0" w:color="1B556B"/>
              <w:bottom w:val="single" w:sz="6" w:space="0" w:color="1B556B"/>
              <w:right w:val="nil"/>
            </w:tcBorders>
            <w:shd w:val="clear" w:color="auto" w:fill="D2DDE1"/>
            <w:hideMark/>
          </w:tcPr>
          <w:p w14:paraId="29331870"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7,148.30 </w:t>
            </w:r>
          </w:p>
        </w:tc>
      </w:tr>
      <w:tr w:rsidR="009B2872" w:rsidRPr="00182A8F" w14:paraId="532F8708"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51D88078"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HFCs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79C55667"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1,727.72 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2290B351"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1,638.20 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243BF4AF"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1,498.11 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2B269147"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1,302.45 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01A01103"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1,116.05 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74B946C0"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1,089.73 </w:t>
            </w:r>
          </w:p>
        </w:tc>
        <w:tc>
          <w:tcPr>
            <w:tcW w:w="1753" w:type="dxa"/>
            <w:tcBorders>
              <w:top w:val="single" w:sz="6" w:space="0" w:color="1B556B"/>
              <w:left w:val="single" w:sz="6" w:space="0" w:color="1B556B"/>
              <w:bottom w:val="single" w:sz="6" w:space="0" w:color="1B556B"/>
              <w:right w:val="nil"/>
            </w:tcBorders>
            <w:shd w:val="clear" w:color="auto" w:fill="D2DDE1"/>
            <w:hideMark/>
          </w:tcPr>
          <w:p w14:paraId="02DC2978"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1,024.40 </w:t>
            </w:r>
          </w:p>
        </w:tc>
      </w:tr>
      <w:tr w:rsidR="009B2872" w:rsidRPr="00182A8F" w14:paraId="1CF1B623"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615C1EB7"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PFCs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26133709"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50.93 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4A3324F8"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50.93 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271E09A0"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50.93 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4663F632"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50.93 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03E8C96A"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50.93 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1483948B"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50.93 </w:t>
            </w:r>
          </w:p>
        </w:tc>
        <w:tc>
          <w:tcPr>
            <w:tcW w:w="1753" w:type="dxa"/>
            <w:tcBorders>
              <w:top w:val="single" w:sz="6" w:space="0" w:color="1B556B"/>
              <w:left w:val="single" w:sz="6" w:space="0" w:color="1B556B"/>
              <w:bottom w:val="single" w:sz="6" w:space="0" w:color="1B556B"/>
              <w:right w:val="nil"/>
            </w:tcBorders>
            <w:shd w:val="clear" w:color="auto" w:fill="D2DDE1"/>
            <w:hideMark/>
          </w:tcPr>
          <w:p w14:paraId="16E65258"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50.93 </w:t>
            </w:r>
          </w:p>
        </w:tc>
      </w:tr>
      <w:tr w:rsidR="009B2872" w:rsidRPr="00182A8F" w14:paraId="69B34AE4"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7FE53115" w14:textId="77777777" w:rsidR="009B2872" w:rsidRPr="00182A8F" w:rsidRDefault="009B2872" w:rsidP="009B2872">
            <w:pPr>
              <w:spacing w:before="0" w:after="0" w:line="240" w:lineRule="auto"/>
              <w:jc w:val="lef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SF</w:t>
            </w:r>
            <w:r w:rsidRPr="00182A8F">
              <w:rPr>
                <w:rFonts w:asciiTheme="minorHAnsi" w:eastAsia="Calibri" w:hAnsiTheme="minorHAnsi" w:cstheme="minorHAnsi"/>
                <w:color w:val="000000" w:themeColor="text1"/>
                <w:sz w:val="18"/>
                <w:szCs w:val="18"/>
                <w:vertAlign w:val="subscript"/>
              </w:rPr>
              <w:t>6 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1698E0B4"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19.41 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01F1066D"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16.45 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16903D72"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16.45 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3691FA96"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16.45 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19471181"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16.45 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56774081"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16.45 </w:t>
            </w:r>
          </w:p>
        </w:tc>
        <w:tc>
          <w:tcPr>
            <w:tcW w:w="1753" w:type="dxa"/>
            <w:tcBorders>
              <w:top w:val="single" w:sz="6" w:space="0" w:color="1B556B"/>
              <w:left w:val="single" w:sz="6" w:space="0" w:color="1B556B"/>
              <w:bottom w:val="single" w:sz="6" w:space="0" w:color="1B556B"/>
              <w:right w:val="nil"/>
            </w:tcBorders>
            <w:shd w:val="clear" w:color="auto" w:fill="D2DDE1"/>
            <w:hideMark/>
          </w:tcPr>
          <w:p w14:paraId="37F26902" w14:textId="77777777" w:rsidR="009B2872" w:rsidRPr="00182A8F" w:rsidRDefault="009B2872" w:rsidP="00AA71F4">
            <w:pPr>
              <w:spacing w:before="0" w:after="0" w:line="240" w:lineRule="auto"/>
              <w:jc w:val="right"/>
              <w:rPr>
                <w:rFonts w:asciiTheme="minorHAnsi" w:eastAsia="Calibri" w:hAnsiTheme="minorHAnsi" w:cstheme="minorHAnsi"/>
                <w:color w:val="000000" w:themeColor="text1"/>
                <w:sz w:val="18"/>
                <w:szCs w:val="18"/>
              </w:rPr>
            </w:pPr>
            <w:r w:rsidRPr="00182A8F">
              <w:rPr>
                <w:rFonts w:asciiTheme="minorHAnsi" w:eastAsia="Calibri" w:hAnsiTheme="minorHAnsi" w:cstheme="minorHAnsi"/>
                <w:color w:val="000000" w:themeColor="text1"/>
                <w:sz w:val="18"/>
                <w:szCs w:val="18"/>
              </w:rPr>
              <w:t>16.45 </w:t>
            </w:r>
          </w:p>
        </w:tc>
      </w:tr>
      <w:tr w:rsidR="009B2872" w:rsidRPr="00182A8F" w14:paraId="3F0AD0F0"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1E4CEC84" w14:textId="77777777" w:rsidR="009B2872" w:rsidRPr="00182A8F" w:rsidRDefault="009B2872" w:rsidP="009B2872">
            <w:pPr>
              <w:spacing w:before="0" w:after="0" w:line="240" w:lineRule="auto"/>
              <w:jc w:val="lef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Total with LULUCF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081A35B6"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67,460.47 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708B2B9B"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74,572.76 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2614C4C2"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75,731.60 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05CD0C3D"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69,377.00 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265B37C2"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73,546.00 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1476DEC7"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70,092.65 </w:t>
            </w:r>
          </w:p>
        </w:tc>
        <w:tc>
          <w:tcPr>
            <w:tcW w:w="1753" w:type="dxa"/>
            <w:tcBorders>
              <w:top w:val="single" w:sz="6" w:space="0" w:color="1B556B"/>
              <w:left w:val="single" w:sz="6" w:space="0" w:color="1B556B"/>
              <w:bottom w:val="single" w:sz="6" w:space="0" w:color="1B556B"/>
              <w:right w:val="nil"/>
            </w:tcBorders>
            <w:shd w:val="clear" w:color="auto" w:fill="D2DDE1"/>
            <w:hideMark/>
          </w:tcPr>
          <w:p w14:paraId="2F4D2ED8"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58,384.19 </w:t>
            </w:r>
          </w:p>
        </w:tc>
      </w:tr>
      <w:tr w:rsidR="009B2872" w:rsidRPr="00182A8F" w14:paraId="094DF43F" w14:textId="77777777" w:rsidTr="008E7E3B">
        <w:trPr>
          <w:trHeight w:val="285"/>
        </w:trPr>
        <w:tc>
          <w:tcPr>
            <w:tcW w:w="3686" w:type="dxa"/>
            <w:tcBorders>
              <w:top w:val="single" w:sz="6" w:space="0" w:color="1B556B"/>
              <w:left w:val="nil"/>
              <w:bottom w:val="single" w:sz="6" w:space="0" w:color="1B556B"/>
              <w:right w:val="single" w:sz="6" w:space="0" w:color="1B556B"/>
            </w:tcBorders>
            <w:shd w:val="clear" w:color="auto" w:fill="auto"/>
            <w:hideMark/>
          </w:tcPr>
          <w:p w14:paraId="1CFE5112" w14:textId="77777777" w:rsidR="009B2872" w:rsidRPr="00182A8F" w:rsidRDefault="009B2872" w:rsidP="009B2872">
            <w:pPr>
              <w:spacing w:before="0" w:after="0" w:line="240" w:lineRule="auto"/>
              <w:jc w:val="lef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Total without LULUCF  </w:t>
            </w:r>
          </w:p>
        </w:tc>
        <w:tc>
          <w:tcPr>
            <w:tcW w:w="1271" w:type="dxa"/>
            <w:tcBorders>
              <w:top w:val="single" w:sz="6" w:space="0" w:color="1B556B"/>
              <w:left w:val="single" w:sz="6" w:space="0" w:color="1B556B"/>
              <w:bottom w:val="single" w:sz="6" w:space="0" w:color="1B556B"/>
              <w:right w:val="single" w:sz="6" w:space="0" w:color="1B556B"/>
            </w:tcBorders>
            <w:shd w:val="clear" w:color="auto" w:fill="auto"/>
            <w:hideMark/>
          </w:tcPr>
          <w:p w14:paraId="6378D6C2"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80,320.70 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2DD3CBA9"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79,964.64 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3138DD8D"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78,047.87 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6D9824D0"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76,564.19 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00C9416B"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72,909.44 </w:t>
            </w:r>
          </w:p>
        </w:tc>
        <w:tc>
          <w:tcPr>
            <w:tcW w:w="1571" w:type="dxa"/>
            <w:tcBorders>
              <w:top w:val="single" w:sz="6" w:space="0" w:color="1B556B"/>
              <w:left w:val="single" w:sz="6" w:space="0" w:color="1B556B"/>
              <w:bottom w:val="single" w:sz="6" w:space="0" w:color="1B556B"/>
              <w:right w:val="single" w:sz="6" w:space="0" w:color="1B556B"/>
            </w:tcBorders>
            <w:shd w:val="clear" w:color="auto" w:fill="D2DDE1"/>
            <w:hideMark/>
          </w:tcPr>
          <w:p w14:paraId="43DF511B"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70,659.44 </w:t>
            </w:r>
          </w:p>
        </w:tc>
        <w:tc>
          <w:tcPr>
            <w:tcW w:w="1753" w:type="dxa"/>
            <w:tcBorders>
              <w:top w:val="single" w:sz="6" w:space="0" w:color="1B556B"/>
              <w:left w:val="single" w:sz="6" w:space="0" w:color="1B556B"/>
              <w:bottom w:val="single" w:sz="6" w:space="0" w:color="1B556B"/>
              <w:right w:val="nil"/>
            </w:tcBorders>
            <w:shd w:val="clear" w:color="auto" w:fill="D2DDE1"/>
            <w:hideMark/>
          </w:tcPr>
          <w:p w14:paraId="69374B3B" w14:textId="77777777" w:rsidR="009B2872" w:rsidRPr="00182A8F" w:rsidRDefault="009B2872" w:rsidP="00AA71F4">
            <w:pPr>
              <w:spacing w:before="0" w:after="0" w:line="240" w:lineRule="auto"/>
              <w:jc w:val="right"/>
              <w:rPr>
                <w:rFonts w:asciiTheme="minorHAnsi" w:eastAsia="Calibri" w:hAnsiTheme="minorHAnsi" w:cstheme="minorHAnsi"/>
                <w:b/>
                <w:color w:val="000000" w:themeColor="text1"/>
                <w:sz w:val="18"/>
                <w:szCs w:val="18"/>
              </w:rPr>
            </w:pPr>
            <w:r w:rsidRPr="00182A8F">
              <w:rPr>
                <w:rFonts w:asciiTheme="minorHAnsi" w:eastAsia="Calibri" w:hAnsiTheme="minorHAnsi" w:cstheme="minorHAnsi"/>
                <w:b/>
                <w:color w:val="000000" w:themeColor="text1"/>
                <w:sz w:val="18"/>
                <w:szCs w:val="18"/>
              </w:rPr>
              <w:t>69,023.46 </w:t>
            </w:r>
          </w:p>
        </w:tc>
      </w:tr>
    </w:tbl>
    <w:p w14:paraId="200E2E1B" w14:textId="16CF4E48" w:rsidR="005869C4" w:rsidRPr="00B60669" w:rsidRDefault="005869C4" w:rsidP="00FC1F0B">
      <w:pPr>
        <w:spacing w:after="60" w:line="240" w:lineRule="atLeast"/>
        <w:jc w:val="left"/>
        <w:rPr>
          <w:sz w:val="18"/>
        </w:rPr>
      </w:pPr>
      <w:r w:rsidRPr="009B2872">
        <w:rPr>
          <w:b/>
          <w:sz w:val="18"/>
        </w:rPr>
        <w:t>Note:</w:t>
      </w:r>
      <w:r w:rsidRPr="009B2872">
        <w:rPr>
          <w:sz w:val="18"/>
        </w:rPr>
        <w:t xml:space="preserve"> CH</w:t>
      </w:r>
      <w:r w:rsidRPr="009B2872">
        <w:rPr>
          <w:sz w:val="18"/>
          <w:vertAlign w:val="subscript"/>
        </w:rPr>
        <w:t>4</w:t>
      </w:r>
      <w:r w:rsidRPr="009B2872">
        <w:rPr>
          <w:sz w:val="18"/>
        </w:rPr>
        <w:t xml:space="preserve"> = methane; CO</w:t>
      </w:r>
      <w:r w:rsidRPr="009B2872">
        <w:rPr>
          <w:sz w:val="18"/>
          <w:vertAlign w:val="subscript"/>
        </w:rPr>
        <w:t>2</w:t>
      </w:r>
      <w:r w:rsidRPr="009B2872">
        <w:rPr>
          <w:sz w:val="18"/>
        </w:rPr>
        <w:t xml:space="preserve"> = carbon dioxide; HFCs = hydrofluorocarbons; LULUCF = Land Use, Land</w:t>
      </w:r>
      <w:r w:rsidR="00826E8C">
        <w:rPr>
          <w:sz w:val="18"/>
        </w:rPr>
        <w:t>-</w:t>
      </w:r>
      <w:r w:rsidRPr="009B2872">
        <w:rPr>
          <w:sz w:val="18"/>
        </w:rPr>
        <w:t>Use Change and Forestry; N</w:t>
      </w:r>
      <w:r w:rsidRPr="009B2872">
        <w:rPr>
          <w:sz w:val="18"/>
          <w:vertAlign w:val="subscript"/>
        </w:rPr>
        <w:t>2</w:t>
      </w:r>
      <w:r w:rsidRPr="009B2872">
        <w:rPr>
          <w:sz w:val="18"/>
        </w:rPr>
        <w:t xml:space="preserve">O = nitrous oxide; PFCs = perfluorocarbons; </w:t>
      </w:r>
      <w:r w:rsidRPr="009B2872">
        <w:rPr>
          <w:rFonts w:eastAsia="Times New Roman" w:cs="Calibri"/>
          <w:sz w:val="18"/>
          <w:szCs w:val="18"/>
        </w:rPr>
        <w:t>SF</w:t>
      </w:r>
      <w:r w:rsidRPr="009B2872">
        <w:rPr>
          <w:rFonts w:eastAsia="Times New Roman" w:cs="Calibri"/>
          <w:sz w:val="18"/>
          <w:szCs w:val="18"/>
          <w:vertAlign w:val="subscript"/>
        </w:rPr>
        <w:t>6</w:t>
      </w:r>
      <w:r w:rsidRPr="009B2872">
        <w:rPr>
          <w:sz w:val="18"/>
        </w:rPr>
        <w:t xml:space="preserve"> = sulphur hexafluoride.</w:t>
      </w:r>
      <w:r w:rsidR="00271350">
        <w:rPr>
          <w:sz w:val="18"/>
        </w:rPr>
        <w:t xml:space="preserve"> </w:t>
      </w:r>
      <w:r w:rsidR="00271350" w:rsidRPr="00271350">
        <w:rPr>
          <w:sz w:val="18"/>
        </w:rPr>
        <w:t>Estimates for LULUCF for the WOM scenario only include CO</w:t>
      </w:r>
      <w:r w:rsidR="00271350" w:rsidRPr="005D3FFB">
        <w:rPr>
          <w:sz w:val="18"/>
          <w:vertAlign w:val="subscript"/>
        </w:rPr>
        <w:t>2</w:t>
      </w:r>
      <w:r w:rsidR="00271350" w:rsidRPr="00271350">
        <w:rPr>
          <w:sz w:val="18"/>
        </w:rPr>
        <w:t xml:space="preserve">.  </w:t>
      </w:r>
    </w:p>
    <w:p w14:paraId="0E9FD840" w14:textId="375A58D1" w:rsidR="009B2872" w:rsidRPr="009B2872" w:rsidRDefault="009B2872" w:rsidP="005D3FFB">
      <w:pPr>
        <w:widowControl w:val="0"/>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a</w:t>
      </w:r>
      <w:r>
        <w:rPr>
          <w:rFonts w:eastAsia="Times New Roman" w:cs="Times New Roman"/>
          <w:sz w:val="18"/>
          <w:vertAlign w:val="superscript"/>
        </w:rPr>
        <w:tab/>
      </w:r>
      <w:r w:rsidRPr="009B2872">
        <w:rPr>
          <w:rFonts w:eastAsia="Times New Roman" w:cs="Times New Roman"/>
          <w:sz w:val="18"/>
        </w:rPr>
        <w:t>Each Party shall report projections pursuant to paras. 93–101 of the MPGs; those developing country Parties that need flexibility in the light of their capacities are instead encouraged to report such projections (para. 92 of the MPGs).</w:t>
      </w:r>
    </w:p>
    <w:p w14:paraId="2537CE0B" w14:textId="7C118D04" w:rsidR="009B2872" w:rsidRPr="009B2872" w:rsidRDefault="009B2872" w:rsidP="005D3FFB">
      <w:pPr>
        <w:widowControl w:val="0"/>
        <w:tabs>
          <w:tab w:val="left" w:pos="284"/>
        </w:tabs>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b</w:t>
      </w:r>
      <w:r>
        <w:rPr>
          <w:rFonts w:eastAsia="Times New Roman" w:cs="Times New Roman"/>
          <w:sz w:val="18"/>
          <w:vertAlign w:val="superscript"/>
        </w:rPr>
        <w:tab/>
      </w:r>
      <w:r w:rsidRPr="009B2872">
        <w:rPr>
          <w:rFonts w:eastAsia="Times New Roman" w:cs="Times New Roman"/>
          <w:sz w:val="18"/>
        </w:rPr>
        <w:t>Those developing country Parties that need flexibility in the light of their capacities with respect paras. 93–101 of the MPGs can instead report using a less detailed methodology or coverage (para. 102 of the MPGs).</w:t>
      </w:r>
    </w:p>
    <w:p w14:paraId="68E837B6" w14:textId="5040D91D" w:rsidR="009B2872" w:rsidRPr="009B2872" w:rsidRDefault="009B2872" w:rsidP="005D3FFB">
      <w:pPr>
        <w:widowControl w:val="0"/>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c</w:t>
      </w:r>
      <w:r w:rsidRPr="009B2872" w:rsidDel="00D926E9">
        <w:rPr>
          <w:rFonts w:eastAsia="Times New Roman" w:cs="Times New Roman"/>
          <w:sz w:val="18"/>
        </w:rPr>
        <w:t xml:space="preserve"> </w:t>
      </w:r>
      <w:r w:rsidR="00F27195">
        <w:rPr>
          <w:rFonts w:eastAsia="Times New Roman" w:cs="Times New Roman"/>
          <w:sz w:val="18"/>
        </w:rPr>
        <w:tab/>
      </w:r>
      <w:r w:rsidR="00D926E9">
        <w:rPr>
          <w:rFonts w:eastAsia="Times New Roman" w:cs="Times New Roman"/>
          <w:sz w:val="18"/>
        </w:rPr>
        <w:t xml:space="preserve"> </w:t>
      </w:r>
      <w:r w:rsidRPr="009B2872">
        <w:rPr>
          <w:rFonts w:eastAsia="Times New Roman" w:cs="Times New Roman"/>
          <w:sz w:val="18"/>
        </w:rPr>
        <w:t>Projections shall begin from the most recent year in the Party’s national report and extend at least 15 years beyond the next year ending in zero or five; those developing country Parties that need flexibility in the light of their capacities with respect to this provision have the flexibility to instead extend their projections at least to the end point of their NDC under Article 4 of the Paris Agreement (para. 95 of the MPGs).</w:t>
      </w:r>
    </w:p>
    <w:p w14:paraId="2FAE3868" w14:textId="2A633C0B" w:rsidR="009B2872" w:rsidRPr="009B2872" w:rsidRDefault="009B2872" w:rsidP="005D3FFB">
      <w:pPr>
        <w:widowControl w:val="0"/>
        <w:adjustRightInd w:val="0"/>
        <w:spacing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d</w:t>
      </w:r>
      <w:r w:rsidR="00D926E9">
        <w:rPr>
          <w:rFonts w:eastAsia="Times New Roman" w:cs="Times New Roman"/>
          <w:sz w:val="18"/>
          <w:vertAlign w:val="superscript"/>
        </w:rPr>
        <w:t xml:space="preserve"> </w:t>
      </w:r>
      <w:r>
        <w:rPr>
          <w:rFonts w:eastAsia="Times New Roman" w:cs="Times New Roman"/>
          <w:sz w:val="18"/>
          <w:vertAlign w:val="superscript"/>
        </w:rPr>
        <w:tab/>
      </w:r>
      <w:r w:rsidRPr="009B2872">
        <w:rPr>
          <w:rFonts w:eastAsia="Times New Roman" w:cs="Times New Roman"/>
          <w:sz w:val="18"/>
        </w:rPr>
        <w:t>In accordance with para. 82(f) of the MPGs.</w:t>
      </w:r>
    </w:p>
    <w:p w14:paraId="49B6A7DA" w14:textId="77777777" w:rsidR="009B2872" w:rsidRPr="009B2872" w:rsidRDefault="009B2872" w:rsidP="009B2872">
      <w:pPr>
        <w:spacing w:before="0" w:after="0"/>
        <w:jc w:val="left"/>
      </w:pPr>
    </w:p>
    <w:p w14:paraId="27A3D86F" w14:textId="77777777" w:rsidR="00206169" w:rsidRDefault="00206169">
      <w:pPr>
        <w:spacing w:before="0" w:after="200" w:line="276" w:lineRule="auto"/>
        <w:jc w:val="left"/>
        <w:rPr>
          <w:b/>
          <w:sz w:val="20"/>
        </w:rPr>
      </w:pPr>
      <w:r>
        <w:rPr>
          <w:b/>
          <w:sz w:val="20"/>
        </w:rPr>
        <w:br w:type="page"/>
      </w:r>
    </w:p>
    <w:p w14:paraId="7F522744" w14:textId="7BBD842F" w:rsidR="009B2872" w:rsidRPr="009B2872" w:rsidRDefault="009B2872" w:rsidP="002C6658">
      <w:pPr>
        <w:pStyle w:val="Tableheading"/>
      </w:pPr>
      <w:bookmarkStart w:id="887" w:name="_Toc185407521"/>
      <w:bookmarkStart w:id="888" w:name="_Toc185427784"/>
      <w:r w:rsidRPr="009B2872">
        <w:t xml:space="preserve">CTF </w:t>
      </w:r>
      <w:r w:rsidR="007E289C">
        <w:t>t</w:t>
      </w:r>
      <w:r w:rsidRPr="009B2872">
        <w:t>able 10:</w:t>
      </w:r>
      <w:r w:rsidR="00B86B19">
        <w:tab/>
      </w:r>
      <w:r w:rsidRPr="002C6658">
        <w:t>Projections</w:t>
      </w:r>
      <w:r w:rsidRPr="009B2872">
        <w:t xml:space="preserve"> of key indicators </w:t>
      </w:r>
      <w:r w:rsidRPr="009B2872">
        <w:rPr>
          <w:vertAlign w:val="superscript"/>
        </w:rPr>
        <w:t>a, b</w:t>
      </w:r>
      <w:bookmarkEnd w:id="887"/>
      <w:bookmarkEnd w:id="888"/>
    </w:p>
    <w:tbl>
      <w:tblPr>
        <w:tblW w:w="14596" w:type="dxa"/>
        <w:tblBorders>
          <w:top w:val="single" w:sz="4" w:space="0" w:color="1B556B" w:themeColor="text2"/>
          <w:left w:val="single" w:sz="4" w:space="0" w:color="1B556B" w:themeColor="text2"/>
          <w:bottom w:val="single" w:sz="4" w:space="0" w:color="1B556B" w:themeColor="text2"/>
          <w:right w:val="single" w:sz="4" w:space="0" w:color="1B556B" w:themeColor="text2"/>
          <w:insideH w:val="single" w:sz="4" w:space="0" w:color="1B556B" w:themeColor="text2"/>
          <w:insideV w:val="single" w:sz="4" w:space="0" w:color="1B556B" w:themeColor="text2"/>
        </w:tblBorders>
        <w:tblCellMar>
          <w:top w:w="15" w:type="dxa"/>
          <w:bottom w:w="15" w:type="dxa"/>
        </w:tblCellMar>
        <w:tblLook w:val="04A0" w:firstRow="1" w:lastRow="0" w:firstColumn="1" w:lastColumn="0" w:noHBand="0" w:noVBand="1"/>
      </w:tblPr>
      <w:tblGrid>
        <w:gridCol w:w="2263"/>
        <w:gridCol w:w="2044"/>
        <w:gridCol w:w="2043"/>
        <w:gridCol w:w="1442"/>
        <w:gridCol w:w="1417"/>
        <w:gridCol w:w="1417"/>
        <w:gridCol w:w="1276"/>
        <w:gridCol w:w="1391"/>
        <w:gridCol w:w="1303"/>
      </w:tblGrid>
      <w:tr w:rsidR="009B2872" w:rsidRPr="009A14EC" w14:paraId="7366C57C" w14:textId="77777777">
        <w:trPr>
          <w:trHeight w:val="1140"/>
        </w:trPr>
        <w:tc>
          <w:tcPr>
            <w:tcW w:w="2263" w:type="dxa"/>
            <w:shd w:val="clear" w:color="auto" w:fill="1B556B" w:themeFill="text2"/>
            <w:vAlign w:val="center"/>
            <w:hideMark/>
          </w:tcPr>
          <w:p w14:paraId="0DB94A13" w14:textId="77777777" w:rsidR="009B2872" w:rsidRPr="009A14EC"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9A14EC">
              <w:rPr>
                <w:rFonts w:asciiTheme="minorHAnsi" w:eastAsia="Times New Roman" w:hAnsiTheme="minorHAnsi" w:cstheme="minorHAnsi"/>
                <w:b/>
                <w:bCs/>
                <w:color w:val="FFFFFF" w:themeColor="background1"/>
                <w:sz w:val="18"/>
                <w:szCs w:val="18"/>
              </w:rPr>
              <w:t>Key indicator(s)</w:t>
            </w:r>
            <w:r w:rsidRPr="009A14EC">
              <w:rPr>
                <w:rFonts w:asciiTheme="minorHAnsi" w:eastAsia="Times New Roman" w:hAnsiTheme="minorHAnsi" w:cstheme="minorHAnsi"/>
                <w:b/>
                <w:bCs/>
                <w:color w:val="FFFFFF" w:themeColor="background1"/>
                <w:sz w:val="18"/>
                <w:szCs w:val="18"/>
                <w:vertAlign w:val="superscript"/>
              </w:rPr>
              <w:t xml:space="preserve"> c</w:t>
            </w:r>
          </w:p>
        </w:tc>
        <w:tc>
          <w:tcPr>
            <w:tcW w:w="2044" w:type="dxa"/>
            <w:shd w:val="clear" w:color="auto" w:fill="1B556B" w:themeFill="text2"/>
            <w:vAlign w:val="center"/>
            <w:hideMark/>
          </w:tcPr>
          <w:p w14:paraId="185B83CF" w14:textId="77777777" w:rsidR="009B2872" w:rsidRPr="009A14EC"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9A14EC">
              <w:rPr>
                <w:rFonts w:asciiTheme="minorHAnsi" w:eastAsia="Times New Roman" w:hAnsiTheme="minorHAnsi" w:cstheme="minorHAnsi"/>
                <w:b/>
                <w:bCs/>
                <w:color w:val="FFFFFF" w:themeColor="background1"/>
                <w:sz w:val="18"/>
                <w:szCs w:val="18"/>
              </w:rPr>
              <w:t>Unit, as applicable</w:t>
            </w:r>
          </w:p>
        </w:tc>
        <w:tc>
          <w:tcPr>
            <w:tcW w:w="2043" w:type="dxa"/>
            <w:shd w:val="clear" w:color="auto" w:fill="1B556B" w:themeFill="text2"/>
            <w:vAlign w:val="center"/>
            <w:hideMark/>
          </w:tcPr>
          <w:p w14:paraId="09DC6BED" w14:textId="77777777" w:rsidR="009B2872" w:rsidRPr="009A14EC"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9A14EC">
              <w:rPr>
                <w:rFonts w:asciiTheme="minorHAnsi" w:eastAsia="Times New Roman" w:hAnsiTheme="minorHAnsi" w:cstheme="minorHAnsi"/>
                <w:b/>
                <w:bCs/>
                <w:color w:val="FFFFFF" w:themeColor="background1"/>
                <w:sz w:val="18"/>
                <w:szCs w:val="18"/>
              </w:rPr>
              <w:t>Most recent year in the Party's national inventory report, or the most recent year for which data are available</w:t>
            </w:r>
          </w:p>
        </w:tc>
        <w:tc>
          <w:tcPr>
            <w:tcW w:w="8246" w:type="dxa"/>
            <w:gridSpan w:val="6"/>
            <w:shd w:val="clear" w:color="auto" w:fill="1B556B" w:themeFill="text2"/>
            <w:noWrap/>
            <w:vAlign w:val="center"/>
            <w:hideMark/>
          </w:tcPr>
          <w:p w14:paraId="682520C3" w14:textId="77777777" w:rsidR="009B2872" w:rsidRPr="009A14EC" w:rsidRDefault="009B2872" w:rsidP="009B2872">
            <w:pPr>
              <w:spacing w:before="0" w:after="0" w:line="240" w:lineRule="auto"/>
              <w:jc w:val="left"/>
              <w:rPr>
                <w:rFonts w:asciiTheme="minorHAnsi" w:eastAsia="Times New Roman" w:hAnsiTheme="minorHAnsi" w:cstheme="minorHAnsi"/>
                <w:b/>
                <w:bCs/>
                <w:color w:val="FFFFFF" w:themeColor="background1"/>
                <w:sz w:val="18"/>
                <w:szCs w:val="18"/>
              </w:rPr>
            </w:pPr>
            <w:r w:rsidRPr="009A14EC">
              <w:rPr>
                <w:rFonts w:asciiTheme="minorHAnsi" w:eastAsia="Times New Roman" w:hAnsiTheme="minorHAnsi" w:cstheme="minorHAnsi"/>
                <w:b/>
                <w:bCs/>
                <w:color w:val="FFFFFF" w:themeColor="background1"/>
                <w:sz w:val="18"/>
                <w:szCs w:val="18"/>
              </w:rPr>
              <w:t xml:space="preserve">Projections of key indicators </w:t>
            </w:r>
            <w:r w:rsidRPr="009A14EC">
              <w:rPr>
                <w:rFonts w:asciiTheme="minorHAnsi" w:eastAsia="Times New Roman" w:hAnsiTheme="minorHAnsi" w:cstheme="minorHAnsi"/>
                <w:b/>
                <w:bCs/>
                <w:color w:val="FFFFFF" w:themeColor="background1"/>
                <w:sz w:val="18"/>
                <w:szCs w:val="18"/>
                <w:vertAlign w:val="superscript"/>
              </w:rPr>
              <w:t>d</w:t>
            </w:r>
          </w:p>
        </w:tc>
      </w:tr>
      <w:tr w:rsidR="009B2872" w:rsidRPr="009A14EC" w14:paraId="76C92B72" w14:textId="77777777" w:rsidTr="00206169">
        <w:trPr>
          <w:trHeight w:val="285"/>
        </w:trPr>
        <w:tc>
          <w:tcPr>
            <w:tcW w:w="2263" w:type="dxa"/>
            <w:tcBorders>
              <w:bottom w:val="single" w:sz="4" w:space="0" w:color="1B556B" w:themeColor="text2"/>
            </w:tcBorders>
            <w:shd w:val="clear" w:color="auto" w:fill="1B556B" w:themeFill="text2"/>
            <w:vAlign w:val="center"/>
            <w:hideMark/>
          </w:tcPr>
          <w:p w14:paraId="48B30E6C" w14:textId="77777777" w:rsidR="009B2872" w:rsidRPr="009A14EC" w:rsidRDefault="009B2872" w:rsidP="009B2872">
            <w:pPr>
              <w:spacing w:before="0" w:after="0" w:line="240" w:lineRule="auto"/>
              <w:jc w:val="left"/>
              <w:rPr>
                <w:rFonts w:asciiTheme="minorHAnsi" w:eastAsia="Times New Roman" w:hAnsiTheme="minorHAnsi" w:cstheme="minorHAnsi"/>
                <w:b/>
                <w:bCs/>
                <w:color w:val="FFFFFF" w:themeColor="background1"/>
                <w:sz w:val="18"/>
                <w:szCs w:val="18"/>
              </w:rPr>
            </w:pPr>
          </w:p>
        </w:tc>
        <w:tc>
          <w:tcPr>
            <w:tcW w:w="2044" w:type="dxa"/>
            <w:tcBorders>
              <w:bottom w:val="single" w:sz="4" w:space="0" w:color="1B556B" w:themeColor="text2"/>
            </w:tcBorders>
            <w:shd w:val="clear" w:color="auto" w:fill="1B556B" w:themeFill="text2"/>
            <w:vAlign w:val="center"/>
            <w:hideMark/>
          </w:tcPr>
          <w:p w14:paraId="183D2020" w14:textId="77777777" w:rsidR="009B2872" w:rsidRPr="009A14EC"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p>
        </w:tc>
        <w:tc>
          <w:tcPr>
            <w:tcW w:w="2043" w:type="dxa"/>
            <w:tcBorders>
              <w:bottom w:val="single" w:sz="4" w:space="0" w:color="1B556B" w:themeColor="text2"/>
            </w:tcBorders>
            <w:shd w:val="clear" w:color="auto" w:fill="1B556B" w:themeFill="text2"/>
            <w:noWrap/>
            <w:vAlign w:val="bottom"/>
            <w:hideMark/>
          </w:tcPr>
          <w:p w14:paraId="7C062BC3" w14:textId="77777777" w:rsidR="009B2872" w:rsidRPr="009A14EC"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9A14EC">
              <w:rPr>
                <w:rFonts w:asciiTheme="minorHAnsi" w:eastAsia="Times New Roman" w:hAnsiTheme="minorHAnsi" w:cstheme="minorHAnsi"/>
                <w:b/>
                <w:bCs/>
                <w:color w:val="FFFFFF" w:themeColor="background1"/>
                <w:sz w:val="18"/>
                <w:szCs w:val="18"/>
              </w:rPr>
              <w:t>2022</w:t>
            </w:r>
          </w:p>
        </w:tc>
        <w:tc>
          <w:tcPr>
            <w:tcW w:w="1442" w:type="dxa"/>
            <w:tcBorders>
              <w:bottom w:val="single" w:sz="4" w:space="0" w:color="1B556B" w:themeColor="text2"/>
            </w:tcBorders>
            <w:shd w:val="clear" w:color="auto" w:fill="1B556B" w:themeFill="text2"/>
            <w:vAlign w:val="center"/>
            <w:hideMark/>
          </w:tcPr>
          <w:p w14:paraId="13C9C444" w14:textId="77777777" w:rsidR="009B2872" w:rsidRPr="009A14EC"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9A14EC">
              <w:rPr>
                <w:rFonts w:asciiTheme="minorHAnsi" w:eastAsia="Times New Roman" w:hAnsiTheme="minorHAnsi" w:cstheme="minorHAnsi"/>
                <w:b/>
                <w:bCs/>
                <w:color w:val="FFFFFF" w:themeColor="background1"/>
                <w:sz w:val="18"/>
                <w:szCs w:val="18"/>
              </w:rPr>
              <w:t>2025</w:t>
            </w:r>
          </w:p>
        </w:tc>
        <w:tc>
          <w:tcPr>
            <w:tcW w:w="1417" w:type="dxa"/>
            <w:tcBorders>
              <w:bottom w:val="single" w:sz="4" w:space="0" w:color="1B556B" w:themeColor="text2"/>
            </w:tcBorders>
            <w:shd w:val="clear" w:color="auto" w:fill="1B556B" w:themeFill="text2"/>
            <w:vAlign w:val="center"/>
            <w:hideMark/>
          </w:tcPr>
          <w:p w14:paraId="3E7B11E3" w14:textId="77777777" w:rsidR="009B2872" w:rsidRPr="009A14EC"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9A14EC">
              <w:rPr>
                <w:rFonts w:asciiTheme="minorHAnsi" w:eastAsia="Times New Roman" w:hAnsiTheme="minorHAnsi" w:cstheme="minorHAnsi"/>
                <w:b/>
                <w:bCs/>
                <w:color w:val="FFFFFF" w:themeColor="background1"/>
                <w:sz w:val="18"/>
                <w:szCs w:val="18"/>
              </w:rPr>
              <w:t>2030</w:t>
            </w:r>
          </w:p>
        </w:tc>
        <w:tc>
          <w:tcPr>
            <w:tcW w:w="1417" w:type="dxa"/>
            <w:tcBorders>
              <w:bottom w:val="single" w:sz="4" w:space="0" w:color="1B556B" w:themeColor="text2"/>
            </w:tcBorders>
            <w:shd w:val="clear" w:color="auto" w:fill="1B556B" w:themeFill="text2"/>
            <w:vAlign w:val="center"/>
            <w:hideMark/>
          </w:tcPr>
          <w:p w14:paraId="1269F940" w14:textId="77777777" w:rsidR="009B2872" w:rsidRPr="009A14EC"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9A14EC">
              <w:rPr>
                <w:rFonts w:asciiTheme="minorHAnsi" w:eastAsia="Times New Roman" w:hAnsiTheme="minorHAnsi" w:cstheme="minorHAnsi"/>
                <w:b/>
                <w:bCs/>
                <w:color w:val="FFFFFF" w:themeColor="background1"/>
                <w:sz w:val="18"/>
                <w:szCs w:val="18"/>
              </w:rPr>
              <w:t>2035</w:t>
            </w:r>
          </w:p>
        </w:tc>
        <w:tc>
          <w:tcPr>
            <w:tcW w:w="1276" w:type="dxa"/>
            <w:tcBorders>
              <w:bottom w:val="single" w:sz="4" w:space="0" w:color="1B556B" w:themeColor="text2"/>
            </w:tcBorders>
            <w:shd w:val="clear" w:color="auto" w:fill="1B556B" w:themeFill="text2"/>
            <w:vAlign w:val="center"/>
            <w:hideMark/>
          </w:tcPr>
          <w:p w14:paraId="068BC02E" w14:textId="77777777" w:rsidR="009B2872" w:rsidRPr="009A14EC"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9A14EC">
              <w:rPr>
                <w:rFonts w:asciiTheme="minorHAnsi" w:eastAsia="Times New Roman" w:hAnsiTheme="minorHAnsi" w:cstheme="minorHAnsi"/>
                <w:b/>
                <w:bCs/>
                <w:color w:val="FFFFFF" w:themeColor="background1"/>
                <w:sz w:val="18"/>
                <w:szCs w:val="18"/>
              </w:rPr>
              <w:t>2040</w:t>
            </w:r>
          </w:p>
        </w:tc>
        <w:tc>
          <w:tcPr>
            <w:tcW w:w="1391" w:type="dxa"/>
            <w:tcBorders>
              <w:bottom w:val="single" w:sz="4" w:space="0" w:color="1B556B" w:themeColor="text2"/>
            </w:tcBorders>
            <w:shd w:val="clear" w:color="auto" w:fill="1B556B" w:themeFill="text2"/>
            <w:vAlign w:val="center"/>
            <w:hideMark/>
          </w:tcPr>
          <w:p w14:paraId="3A585378" w14:textId="77777777" w:rsidR="009B2872" w:rsidRPr="009A14EC"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9A14EC">
              <w:rPr>
                <w:rFonts w:asciiTheme="minorHAnsi" w:eastAsia="Times New Roman" w:hAnsiTheme="minorHAnsi" w:cstheme="minorHAnsi"/>
                <w:b/>
                <w:bCs/>
                <w:color w:val="FFFFFF" w:themeColor="background1"/>
                <w:sz w:val="18"/>
                <w:szCs w:val="18"/>
              </w:rPr>
              <w:t>2045</w:t>
            </w:r>
          </w:p>
        </w:tc>
        <w:tc>
          <w:tcPr>
            <w:tcW w:w="1303" w:type="dxa"/>
            <w:tcBorders>
              <w:bottom w:val="single" w:sz="4" w:space="0" w:color="1B556B" w:themeColor="text2"/>
            </w:tcBorders>
            <w:shd w:val="clear" w:color="auto" w:fill="1B556B" w:themeFill="text2"/>
            <w:vAlign w:val="center"/>
            <w:hideMark/>
          </w:tcPr>
          <w:p w14:paraId="6986E341" w14:textId="77777777" w:rsidR="009B2872" w:rsidRPr="009A14EC"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r w:rsidRPr="009A14EC">
              <w:rPr>
                <w:rFonts w:asciiTheme="minorHAnsi" w:eastAsia="Times New Roman" w:hAnsiTheme="minorHAnsi" w:cstheme="minorHAnsi"/>
                <w:b/>
                <w:bCs/>
                <w:color w:val="FFFFFF" w:themeColor="background1"/>
                <w:sz w:val="18"/>
                <w:szCs w:val="18"/>
              </w:rPr>
              <w:t>2050</w:t>
            </w:r>
          </w:p>
        </w:tc>
      </w:tr>
      <w:tr w:rsidR="009B2872" w:rsidRPr="009A14EC" w14:paraId="49AEC797" w14:textId="77777777" w:rsidTr="00206169">
        <w:trPr>
          <w:trHeight w:val="285"/>
        </w:trPr>
        <w:tc>
          <w:tcPr>
            <w:tcW w:w="2263" w:type="dxa"/>
            <w:tcBorders>
              <w:left w:val="nil"/>
            </w:tcBorders>
            <w:hideMark/>
          </w:tcPr>
          <w:p w14:paraId="1E94B7C4"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Annual net target accounting emissions</w:t>
            </w:r>
          </w:p>
        </w:tc>
        <w:tc>
          <w:tcPr>
            <w:tcW w:w="2044" w:type="dxa"/>
            <w:hideMark/>
          </w:tcPr>
          <w:p w14:paraId="4A5A9DB7" w14:textId="77777777" w:rsidR="009B2872" w:rsidRPr="009A14EC" w:rsidRDefault="009B2872" w:rsidP="0044676F">
            <w:pPr>
              <w:spacing w:before="0" w:after="0" w:line="240" w:lineRule="auto"/>
              <w:jc w:val="center"/>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kt CO₂ equivalent</w:t>
            </w:r>
          </w:p>
        </w:tc>
        <w:tc>
          <w:tcPr>
            <w:tcW w:w="2043" w:type="dxa"/>
            <w:hideMark/>
          </w:tcPr>
          <w:p w14:paraId="11614236" w14:textId="77777777" w:rsidR="009B2872" w:rsidRPr="009A14EC" w:rsidRDefault="009B2872" w:rsidP="0044676F">
            <w:pPr>
              <w:spacing w:before="0" w:after="0" w:line="240" w:lineRule="auto"/>
              <w:jc w:val="center"/>
              <w:rPr>
                <w:rFonts w:eastAsia="Times New Roman" w:cs="Calibri"/>
                <w:color w:val="000000"/>
                <w:sz w:val="18"/>
                <w:szCs w:val="18"/>
              </w:rPr>
            </w:pPr>
            <w:r w:rsidRPr="009A14EC">
              <w:rPr>
                <w:rFonts w:cs="Calibri"/>
                <w:color w:val="000000"/>
                <w:sz w:val="18"/>
                <w:szCs w:val="18"/>
              </w:rPr>
              <w:t>73,115.79</w:t>
            </w:r>
          </w:p>
        </w:tc>
        <w:tc>
          <w:tcPr>
            <w:tcW w:w="1442" w:type="dxa"/>
            <w:shd w:val="clear" w:color="auto" w:fill="D2DDE1" w:themeFill="background2"/>
            <w:hideMark/>
          </w:tcPr>
          <w:p w14:paraId="5B35C517" w14:textId="77777777" w:rsidR="009B2872" w:rsidRPr="009A14EC" w:rsidRDefault="009B2872" w:rsidP="0044676F">
            <w:pPr>
              <w:spacing w:before="0" w:after="0" w:line="240" w:lineRule="auto"/>
              <w:jc w:val="center"/>
              <w:rPr>
                <w:rFonts w:asciiTheme="minorHAnsi" w:eastAsia="Times New Roman" w:hAnsiTheme="minorHAnsi" w:cstheme="minorHAnsi"/>
                <w:sz w:val="18"/>
                <w:szCs w:val="18"/>
              </w:rPr>
            </w:pPr>
            <w:r w:rsidRPr="009A14EC">
              <w:rPr>
                <w:rFonts w:asciiTheme="minorHAnsi" w:eastAsia="Times New Roman" w:hAnsiTheme="minorHAnsi" w:cstheme="minorHAnsi"/>
                <w:sz w:val="18"/>
                <w:szCs w:val="18"/>
              </w:rPr>
              <w:t>69,104.</w:t>
            </w:r>
            <w:r w:rsidRPr="009A14EC">
              <w:rPr>
                <w:rFonts w:asciiTheme="minorHAnsi" w:eastAsia="Times New Roman" w:hAnsiTheme="minorHAnsi"/>
                <w:sz w:val="18"/>
                <w:szCs w:val="18"/>
              </w:rPr>
              <w:t>29</w:t>
            </w:r>
          </w:p>
        </w:tc>
        <w:tc>
          <w:tcPr>
            <w:tcW w:w="1417" w:type="dxa"/>
            <w:shd w:val="clear" w:color="auto" w:fill="D2DDE1" w:themeFill="background2"/>
            <w:hideMark/>
          </w:tcPr>
          <w:p w14:paraId="38D6FB64" w14:textId="77777777" w:rsidR="009B2872" w:rsidRPr="009A14EC" w:rsidRDefault="009B2872" w:rsidP="0044676F">
            <w:pPr>
              <w:spacing w:before="0" w:after="0" w:line="240" w:lineRule="auto"/>
              <w:jc w:val="center"/>
              <w:rPr>
                <w:rFonts w:asciiTheme="minorHAnsi" w:eastAsia="Times New Roman" w:hAnsiTheme="minorHAnsi" w:cstheme="minorHAnsi"/>
                <w:sz w:val="18"/>
                <w:szCs w:val="18"/>
              </w:rPr>
            </w:pPr>
            <w:r w:rsidRPr="009A14EC">
              <w:rPr>
                <w:rFonts w:asciiTheme="minorHAnsi" w:eastAsia="Times New Roman" w:hAnsiTheme="minorHAnsi" w:cstheme="minorHAnsi"/>
                <w:sz w:val="18"/>
                <w:szCs w:val="18"/>
              </w:rPr>
              <w:t>56,703.32</w:t>
            </w:r>
          </w:p>
        </w:tc>
        <w:tc>
          <w:tcPr>
            <w:tcW w:w="1417" w:type="dxa"/>
            <w:shd w:val="clear" w:color="auto" w:fill="D2DDE1" w:themeFill="background2"/>
            <w:hideMark/>
          </w:tcPr>
          <w:p w14:paraId="2A7704B8" w14:textId="77777777" w:rsidR="009B2872" w:rsidRPr="009A14EC" w:rsidRDefault="009B2872" w:rsidP="0044676F">
            <w:pPr>
              <w:spacing w:before="0" w:after="0" w:line="240" w:lineRule="auto"/>
              <w:jc w:val="center"/>
              <w:rPr>
                <w:rFonts w:asciiTheme="minorHAnsi" w:eastAsia="Times New Roman" w:hAnsiTheme="minorHAnsi" w:cstheme="minorHAnsi"/>
                <w:sz w:val="18"/>
                <w:szCs w:val="18"/>
              </w:rPr>
            </w:pPr>
            <w:r w:rsidRPr="009A14EC">
              <w:rPr>
                <w:rFonts w:asciiTheme="minorHAnsi" w:eastAsia="Times New Roman" w:hAnsiTheme="minorHAnsi" w:cstheme="minorHAnsi"/>
                <w:sz w:val="18"/>
                <w:szCs w:val="18"/>
              </w:rPr>
              <w:t>51,208.85</w:t>
            </w:r>
          </w:p>
        </w:tc>
        <w:tc>
          <w:tcPr>
            <w:tcW w:w="1276" w:type="dxa"/>
            <w:shd w:val="clear" w:color="auto" w:fill="D2DDE1" w:themeFill="background2"/>
            <w:hideMark/>
          </w:tcPr>
          <w:p w14:paraId="32FCD512" w14:textId="77777777" w:rsidR="009B2872" w:rsidRPr="009A14EC" w:rsidRDefault="009B2872" w:rsidP="0044676F">
            <w:pPr>
              <w:spacing w:before="0" w:after="0" w:line="240" w:lineRule="auto"/>
              <w:jc w:val="center"/>
              <w:rPr>
                <w:rFonts w:asciiTheme="minorHAnsi" w:eastAsia="Times New Roman" w:hAnsiTheme="minorHAnsi" w:cstheme="minorHAnsi"/>
                <w:sz w:val="18"/>
                <w:szCs w:val="18"/>
              </w:rPr>
            </w:pPr>
            <w:r w:rsidRPr="009A14EC">
              <w:rPr>
                <w:rFonts w:asciiTheme="minorHAnsi" w:eastAsia="Times New Roman" w:hAnsiTheme="minorHAnsi" w:cstheme="minorHAnsi"/>
                <w:sz w:val="18"/>
                <w:szCs w:val="18"/>
              </w:rPr>
              <w:t>43,174.</w:t>
            </w:r>
            <w:r w:rsidRPr="009A14EC">
              <w:rPr>
                <w:rFonts w:asciiTheme="minorHAnsi" w:eastAsia="Times New Roman" w:hAnsiTheme="minorHAnsi"/>
                <w:sz w:val="18"/>
                <w:szCs w:val="18"/>
              </w:rPr>
              <w:t>17</w:t>
            </w:r>
          </w:p>
        </w:tc>
        <w:tc>
          <w:tcPr>
            <w:tcW w:w="1391" w:type="dxa"/>
            <w:shd w:val="clear" w:color="auto" w:fill="D2DDE1" w:themeFill="background2"/>
            <w:hideMark/>
          </w:tcPr>
          <w:p w14:paraId="2886DF4B" w14:textId="77777777" w:rsidR="009B2872" w:rsidRPr="009A14EC" w:rsidRDefault="009B2872" w:rsidP="0044676F">
            <w:pPr>
              <w:spacing w:before="0" w:after="0" w:line="240" w:lineRule="auto"/>
              <w:jc w:val="center"/>
              <w:rPr>
                <w:rFonts w:asciiTheme="minorHAnsi" w:eastAsia="Times New Roman" w:hAnsiTheme="minorHAnsi" w:cstheme="minorHAnsi"/>
                <w:sz w:val="18"/>
                <w:szCs w:val="18"/>
              </w:rPr>
            </w:pPr>
            <w:r w:rsidRPr="009A14EC">
              <w:rPr>
                <w:rFonts w:asciiTheme="minorHAnsi" w:eastAsia="Times New Roman" w:hAnsiTheme="minorHAnsi" w:cstheme="minorHAnsi"/>
                <w:sz w:val="18"/>
                <w:szCs w:val="18"/>
              </w:rPr>
              <w:t>39,737.70</w:t>
            </w:r>
          </w:p>
        </w:tc>
        <w:tc>
          <w:tcPr>
            <w:tcW w:w="1303" w:type="dxa"/>
            <w:tcBorders>
              <w:right w:val="nil"/>
            </w:tcBorders>
            <w:shd w:val="clear" w:color="auto" w:fill="D2DDE1" w:themeFill="background2"/>
            <w:hideMark/>
          </w:tcPr>
          <w:p w14:paraId="59310C39" w14:textId="77777777" w:rsidR="009B2872" w:rsidRPr="009A14EC" w:rsidRDefault="009B2872" w:rsidP="0044676F">
            <w:pPr>
              <w:spacing w:before="0" w:after="0" w:line="240" w:lineRule="auto"/>
              <w:jc w:val="center"/>
              <w:rPr>
                <w:rFonts w:asciiTheme="minorHAnsi" w:eastAsia="Times New Roman" w:hAnsiTheme="minorHAnsi" w:cstheme="minorHAnsi"/>
                <w:sz w:val="18"/>
                <w:szCs w:val="18"/>
              </w:rPr>
            </w:pPr>
            <w:r w:rsidRPr="009A14EC">
              <w:rPr>
                <w:rFonts w:asciiTheme="minorHAnsi" w:eastAsia="Times New Roman" w:hAnsiTheme="minorHAnsi" w:cstheme="minorHAnsi"/>
                <w:sz w:val="18"/>
                <w:szCs w:val="18"/>
              </w:rPr>
              <w:t>41,160.81</w:t>
            </w:r>
          </w:p>
        </w:tc>
      </w:tr>
    </w:tbl>
    <w:p w14:paraId="512BC060" w14:textId="77777777" w:rsidR="009B2872" w:rsidRPr="009B2872" w:rsidRDefault="009B2872" w:rsidP="009B2872">
      <w:pPr>
        <w:widowControl w:val="0"/>
        <w:adjustRightInd w:val="0"/>
        <w:spacing w:after="60" w:line="240" w:lineRule="auto"/>
        <w:ind w:left="397" w:hanging="397"/>
        <w:jc w:val="left"/>
        <w:textAlignment w:val="baseline"/>
        <w:rPr>
          <w:rFonts w:eastAsia="Times New Roman" w:cs="Times New Roman"/>
          <w:sz w:val="18"/>
        </w:rPr>
      </w:pPr>
      <w:r w:rsidRPr="009B2872">
        <w:rPr>
          <w:rFonts w:eastAsia="Times New Roman" w:cs="Times New Roman"/>
          <w:sz w:val="18"/>
        </w:rPr>
        <w:t>Notes: The Party could add rows for each additional key indicator.</w:t>
      </w:r>
    </w:p>
    <w:p w14:paraId="167FF885" w14:textId="0D04A350" w:rsidR="009B2872" w:rsidRPr="009B2872" w:rsidRDefault="009B2872" w:rsidP="009A14EC">
      <w:pPr>
        <w:widowControl w:val="0"/>
        <w:tabs>
          <w:tab w:val="left" w:pos="284"/>
        </w:tabs>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a</w:t>
      </w:r>
      <w:r>
        <w:rPr>
          <w:rFonts w:eastAsia="Times New Roman" w:cs="Times New Roman"/>
          <w:sz w:val="18"/>
          <w:vertAlign w:val="superscript"/>
        </w:rPr>
        <w:tab/>
      </w:r>
      <w:r w:rsidRPr="009B2872">
        <w:rPr>
          <w:rFonts w:eastAsia="Times New Roman" w:cs="Times New Roman"/>
          <w:sz w:val="18"/>
        </w:rPr>
        <w:t>Each Party shall report projections pursuant to paras. 93–101 of the MPGs; those developing country Parties that need flexibility in the light of their capacities are instead encouraged to report such projections (para. 92 of the MPGs).</w:t>
      </w:r>
    </w:p>
    <w:p w14:paraId="466DD165" w14:textId="33C07DEE" w:rsidR="009B2872" w:rsidRPr="009B2872" w:rsidRDefault="009B2872" w:rsidP="009A14EC">
      <w:pPr>
        <w:widowControl w:val="0"/>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b</w:t>
      </w:r>
      <w:r>
        <w:rPr>
          <w:rFonts w:eastAsia="Times New Roman" w:cs="Times New Roman"/>
          <w:sz w:val="18"/>
          <w:vertAlign w:val="superscript"/>
        </w:rPr>
        <w:tab/>
      </w:r>
      <w:r w:rsidRPr="009B2872">
        <w:rPr>
          <w:rFonts w:eastAsia="Times New Roman" w:cs="Times New Roman"/>
          <w:sz w:val="18"/>
        </w:rPr>
        <w:t>Those developing country Parties that need flexibility in the light of their capacities with respect paras. 93–101 of the MPGs can instead report using a less detailed methodology or coverage (para. 102 of the MPGs).</w:t>
      </w:r>
    </w:p>
    <w:p w14:paraId="7E06E9AD" w14:textId="052F5422" w:rsidR="009B2872" w:rsidRPr="009B2872" w:rsidRDefault="009B2872" w:rsidP="009A14EC">
      <w:pPr>
        <w:widowControl w:val="0"/>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c</w:t>
      </w:r>
      <w:r>
        <w:rPr>
          <w:rFonts w:eastAsia="Times New Roman" w:cs="Times New Roman"/>
          <w:sz w:val="18"/>
          <w:vertAlign w:val="superscript"/>
        </w:rPr>
        <w:tab/>
      </w:r>
      <w:r w:rsidRPr="009B2872">
        <w:rPr>
          <w:rFonts w:eastAsia="Times New Roman" w:cs="Times New Roman"/>
          <w:sz w:val="18"/>
        </w:rPr>
        <w:t>Each Party shall also provide projections of key indicators to determine progress towards its NDC under Article 4 of the Paris Agreement (para. 97 of the MPGs).</w:t>
      </w:r>
    </w:p>
    <w:p w14:paraId="6A3F97D1" w14:textId="459E0D35" w:rsidR="009B2872" w:rsidRPr="009B2872" w:rsidRDefault="009B2872" w:rsidP="009A14EC">
      <w:pPr>
        <w:widowControl w:val="0"/>
        <w:adjustRightInd w:val="0"/>
        <w:spacing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d</w:t>
      </w:r>
      <w:r>
        <w:rPr>
          <w:rFonts w:eastAsia="Times New Roman" w:cs="Times New Roman"/>
          <w:sz w:val="18"/>
          <w:vertAlign w:val="superscript"/>
        </w:rPr>
        <w:tab/>
      </w:r>
      <w:r w:rsidRPr="009B2872">
        <w:rPr>
          <w:rFonts w:eastAsia="Times New Roman" w:cs="Times New Roman"/>
          <w:sz w:val="18"/>
        </w:rPr>
        <w:t>Future years extended to at least 15 years beyond the next year ending in zero or five; those developing country Parties that need flexibility in the light of their capacities with respect to this provision have the flexibility to instead extend their projections at least to the end point of their NDC under Article 4 of the Paris Agreement (para. 95 of the MPGs).</w:t>
      </w:r>
    </w:p>
    <w:p w14:paraId="4B87556F" w14:textId="77777777" w:rsidR="009D7060" w:rsidRDefault="009D7060">
      <w:pPr>
        <w:spacing w:before="0" w:after="200" w:line="276" w:lineRule="auto"/>
        <w:jc w:val="left"/>
        <w:rPr>
          <w:b/>
          <w:sz w:val="20"/>
        </w:rPr>
      </w:pPr>
      <w:r>
        <w:rPr>
          <w:b/>
          <w:sz w:val="20"/>
        </w:rPr>
        <w:br w:type="page"/>
      </w:r>
    </w:p>
    <w:p w14:paraId="1472ABAA" w14:textId="798435A3" w:rsidR="009B2872" w:rsidRPr="009B2872" w:rsidRDefault="009B2872" w:rsidP="002C6658">
      <w:pPr>
        <w:pStyle w:val="Tableheading"/>
      </w:pPr>
      <w:bookmarkStart w:id="889" w:name="_Toc185407522"/>
      <w:bookmarkStart w:id="890" w:name="_Toc185427785"/>
      <w:r w:rsidRPr="009B2872">
        <w:t xml:space="preserve">CTF </w:t>
      </w:r>
      <w:r w:rsidR="007E289C">
        <w:t>t</w:t>
      </w:r>
      <w:r w:rsidRPr="009B2872">
        <w:t>able 11:</w:t>
      </w:r>
      <w:r w:rsidR="00B86B19">
        <w:tab/>
      </w:r>
      <w:r w:rsidRPr="009B2872">
        <w:tab/>
        <w:t xml:space="preserve">Key underlying assumptions and parameters used for projections </w:t>
      </w:r>
      <w:r w:rsidRPr="009B2872">
        <w:rPr>
          <w:vertAlign w:val="superscript"/>
        </w:rPr>
        <w:t>a, b</w:t>
      </w:r>
      <w:bookmarkEnd w:id="889"/>
      <w:bookmarkEnd w:id="890"/>
    </w:p>
    <w:tbl>
      <w:tblPr>
        <w:tblW w:w="14488"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top w:w="15" w:type="dxa"/>
          <w:bottom w:w="15" w:type="dxa"/>
        </w:tblCellMar>
        <w:tblLook w:val="04A0" w:firstRow="1" w:lastRow="0" w:firstColumn="1" w:lastColumn="0" w:noHBand="0" w:noVBand="1"/>
      </w:tblPr>
      <w:tblGrid>
        <w:gridCol w:w="2037"/>
        <w:gridCol w:w="1360"/>
        <w:gridCol w:w="1980"/>
        <w:gridCol w:w="1701"/>
        <w:gridCol w:w="1559"/>
        <w:gridCol w:w="1417"/>
        <w:gridCol w:w="1458"/>
        <w:gridCol w:w="1559"/>
        <w:gridCol w:w="1417"/>
      </w:tblGrid>
      <w:tr w:rsidR="009B2872" w:rsidRPr="009A14EC" w14:paraId="5E730E6C" w14:textId="77777777" w:rsidTr="008E7E3B">
        <w:trPr>
          <w:tblHeader/>
        </w:trPr>
        <w:tc>
          <w:tcPr>
            <w:tcW w:w="2037" w:type="dxa"/>
            <w:shd w:val="clear" w:color="auto" w:fill="1B556B" w:themeFill="text2"/>
            <w:vAlign w:val="center"/>
            <w:hideMark/>
          </w:tcPr>
          <w:p w14:paraId="0E305D78" w14:textId="77777777" w:rsidR="009B2872" w:rsidRPr="009A14EC" w:rsidRDefault="009B2872" w:rsidP="009B2872">
            <w:pPr>
              <w:spacing w:before="0" w:after="0" w:line="240" w:lineRule="auto"/>
              <w:jc w:val="center"/>
              <w:rPr>
                <w:rFonts w:asciiTheme="minorHAnsi" w:eastAsia="Times New Roman" w:hAnsiTheme="minorHAnsi" w:cstheme="minorHAnsi"/>
                <w:b/>
                <w:color w:val="FFFFFF" w:themeColor="background1"/>
                <w:sz w:val="18"/>
                <w:szCs w:val="18"/>
              </w:rPr>
            </w:pPr>
            <w:r w:rsidRPr="009A14EC">
              <w:rPr>
                <w:rFonts w:asciiTheme="minorHAnsi" w:eastAsia="Times New Roman" w:hAnsiTheme="minorHAnsi" w:cstheme="minorHAnsi"/>
                <w:b/>
                <w:color w:val="FFFFFF" w:themeColor="background1"/>
                <w:sz w:val="18"/>
                <w:szCs w:val="18"/>
              </w:rPr>
              <w:t xml:space="preserve">Key underlying assumptions and parameters </w:t>
            </w:r>
            <w:r w:rsidRPr="009A14EC">
              <w:rPr>
                <w:rFonts w:asciiTheme="minorHAnsi" w:eastAsia="Times New Roman" w:hAnsiTheme="minorHAnsi" w:cstheme="minorHAnsi"/>
                <w:b/>
                <w:color w:val="FFFFFF" w:themeColor="background1"/>
                <w:sz w:val="18"/>
                <w:szCs w:val="18"/>
                <w:vertAlign w:val="superscript"/>
              </w:rPr>
              <w:t>c</w:t>
            </w:r>
          </w:p>
        </w:tc>
        <w:tc>
          <w:tcPr>
            <w:tcW w:w="1360" w:type="dxa"/>
            <w:shd w:val="clear" w:color="auto" w:fill="1B556B" w:themeFill="text2"/>
            <w:vAlign w:val="center"/>
            <w:hideMark/>
          </w:tcPr>
          <w:p w14:paraId="707E8DB9" w14:textId="77777777" w:rsidR="009B2872" w:rsidRPr="009A14EC" w:rsidRDefault="009B2872" w:rsidP="009B2872">
            <w:pPr>
              <w:spacing w:before="0" w:after="0" w:line="240" w:lineRule="auto"/>
              <w:jc w:val="center"/>
              <w:rPr>
                <w:rFonts w:asciiTheme="minorHAnsi" w:eastAsia="Times New Roman" w:hAnsiTheme="minorHAnsi" w:cstheme="minorHAnsi"/>
                <w:b/>
                <w:color w:val="FFFFFF" w:themeColor="background1"/>
                <w:sz w:val="18"/>
                <w:szCs w:val="18"/>
              </w:rPr>
            </w:pPr>
            <w:r w:rsidRPr="009A14EC">
              <w:rPr>
                <w:rFonts w:asciiTheme="minorHAnsi" w:eastAsia="Times New Roman" w:hAnsiTheme="minorHAnsi" w:cstheme="minorHAnsi"/>
                <w:b/>
                <w:color w:val="FFFFFF" w:themeColor="background1"/>
                <w:sz w:val="18"/>
                <w:szCs w:val="18"/>
              </w:rPr>
              <w:t>Unit, as applicable</w:t>
            </w:r>
          </w:p>
        </w:tc>
        <w:tc>
          <w:tcPr>
            <w:tcW w:w="1980" w:type="dxa"/>
            <w:shd w:val="clear" w:color="auto" w:fill="1B556B" w:themeFill="text2"/>
            <w:vAlign w:val="center"/>
            <w:hideMark/>
          </w:tcPr>
          <w:p w14:paraId="420FD6D6" w14:textId="77777777" w:rsidR="009B2872" w:rsidRPr="009A14EC" w:rsidRDefault="009B2872" w:rsidP="009B2872">
            <w:pPr>
              <w:spacing w:before="0" w:after="0" w:line="240" w:lineRule="auto"/>
              <w:jc w:val="center"/>
              <w:rPr>
                <w:rFonts w:asciiTheme="minorHAnsi" w:eastAsia="Times New Roman" w:hAnsiTheme="minorHAnsi" w:cstheme="minorHAnsi"/>
                <w:b/>
                <w:color w:val="FFFFFF" w:themeColor="background1"/>
                <w:sz w:val="18"/>
                <w:szCs w:val="18"/>
              </w:rPr>
            </w:pPr>
            <w:r w:rsidRPr="009A14EC">
              <w:rPr>
                <w:rFonts w:asciiTheme="minorHAnsi" w:eastAsia="Times New Roman" w:hAnsiTheme="minorHAnsi" w:cstheme="minorHAnsi"/>
                <w:b/>
                <w:color w:val="FFFFFF" w:themeColor="background1"/>
                <w:sz w:val="18"/>
                <w:szCs w:val="18"/>
              </w:rPr>
              <w:t>Most recent year in the Party's national inventory report, or the most recent year for which data are available</w:t>
            </w:r>
          </w:p>
        </w:tc>
        <w:tc>
          <w:tcPr>
            <w:tcW w:w="9111" w:type="dxa"/>
            <w:gridSpan w:val="6"/>
            <w:shd w:val="clear" w:color="auto" w:fill="1B556B" w:themeFill="text2"/>
            <w:vAlign w:val="center"/>
            <w:hideMark/>
          </w:tcPr>
          <w:p w14:paraId="74B1A77B" w14:textId="77777777" w:rsidR="009B2872" w:rsidRPr="009A14EC" w:rsidRDefault="009B2872" w:rsidP="009B2872">
            <w:pPr>
              <w:spacing w:before="0" w:after="0" w:line="240" w:lineRule="auto"/>
              <w:jc w:val="left"/>
              <w:rPr>
                <w:rFonts w:asciiTheme="minorHAnsi" w:eastAsia="Times New Roman" w:hAnsiTheme="minorHAnsi" w:cstheme="minorHAnsi"/>
                <w:b/>
                <w:bCs/>
                <w:color w:val="FFFFFF" w:themeColor="background1"/>
                <w:sz w:val="18"/>
                <w:szCs w:val="18"/>
              </w:rPr>
            </w:pPr>
            <w:r w:rsidRPr="009A14EC">
              <w:rPr>
                <w:rFonts w:asciiTheme="minorHAnsi" w:eastAsia="Times New Roman" w:hAnsiTheme="minorHAnsi" w:cstheme="minorHAnsi"/>
                <w:b/>
                <w:color w:val="FFFFFF" w:themeColor="background1"/>
                <w:sz w:val="18"/>
                <w:szCs w:val="18"/>
              </w:rPr>
              <w:t xml:space="preserve">Projections of underlying assumption/parameters </w:t>
            </w:r>
            <w:r w:rsidRPr="009A14EC">
              <w:rPr>
                <w:rFonts w:asciiTheme="minorHAnsi" w:eastAsia="Times New Roman" w:hAnsiTheme="minorHAnsi" w:cstheme="minorHAnsi"/>
                <w:b/>
                <w:color w:val="FFFFFF" w:themeColor="background1"/>
                <w:sz w:val="18"/>
                <w:szCs w:val="18"/>
                <w:vertAlign w:val="superscript"/>
              </w:rPr>
              <w:t>d</w:t>
            </w:r>
          </w:p>
        </w:tc>
      </w:tr>
      <w:tr w:rsidR="009B2872" w:rsidRPr="009A14EC" w14:paraId="0026A89E" w14:textId="77777777" w:rsidTr="009D7060">
        <w:tc>
          <w:tcPr>
            <w:tcW w:w="2037" w:type="dxa"/>
            <w:shd w:val="clear" w:color="auto" w:fill="1B556B" w:themeFill="text2"/>
            <w:vAlign w:val="center"/>
            <w:hideMark/>
          </w:tcPr>
          <w:p w14:paraId="7EFD1F12" w14:textId="77777777" w:rsidR="009B2872" w:rsidRPr="009A14EC"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p>
        </w:tc>
        <w:tc>
          <w:tcPr>
            <w:tcW w:w="1360" w:type="dxa"/>
            <w:shd w:val="clear" w:color="auto" w:fill="1B556B" w:themeFill="text2"/>
            <w:vAlign w:val="center"/>
            <w:hideMark/>
          </w:tcPr>
          <w:p w14:paraId="4F9DED93" w14:textId="77777777" w:rsidR="009B2872" w:rsidRPr="009A14EC" w:rsidRDefault="009B2872" w:rsidP="009B2872">
            <w:pPr>
              <w:spacing w:before="0" w:after="0" w:line="240" w:lineRule="auto"/>
              <w:jc w:val="center"/>
              <w:rPr>
                <w:rFonts w:asciiTheme="minorHAnsi" w:eastAsia="Times New Roman" w:hAnsiTheme="minorHAnsi" w:cstheme="minorHAnsi"/>
                <w:b/>
                <w:bCs/>
                <w:color w:val="FFFFFF" w:themeColor="background1"/>
                <w:sz w:val="18"/>
                <w:szCs w:val="18"/>
              </w:rPr>
            </w:pPr>
          </w:p>
        </w:tc>
        <w:tc>
          <w:tcPr>
            <w:tcW w:w="1980" w:type="dxa"/>
            <w:shd w:val="clear" w:color="auto" w:fill="1B556B" w:themeFill="text2"/>
            <w:noWrap/>
            <w:vAlign w:val="bottom"/>
            <w:hideMark/>
          </w:tcPr>
          <w:p w14:paraId="78AFF9F0" w14:textId="77777777" w:rsidR="009B2872" w:rsidRPr="009A14EC" w:rsidRDefault="009B2872" w:rsidP="009B2872">
            <w:pPr>
              <w:spacing w:before="0" w:after="0" w:line="240" w:lineRule="auto"/>
              <w:jc w:val="center"/>
              <w:rPr>
                <w:rFonts w:asciiTheme="minorHAnsi" w:eastAsia="Times New Roman" w:hAnsiTheme="minorHAnsi" w:cstheme="minorHAnsi"/>
                <w:b/>
                <w:color w:val="FFFFFF" w:themeColor="background1"/>
                <w:sz w:val="18"/>
                <w:szCs w:val="18"/>
              </w:rPr>
            </w:pPr>
            <w:r w:rsidRPr="009A14EC">
              <w:rPr>
                <w:rFonts w:asciiTheme="minorHAnsi" w:eastAsia="Times New Roman" w:hAnsiTheme="minorHAnsi" w:cstheme="minorHAnsi"/>
                <w:b/>
                <w:color w:val="FFFFFF" w:themeColor="background1"/>
                <w:sz w:val="18"/>
                <w:szCs w:val="18"/>
              </w:rPr>
              <w:t>2022</w:t>
            </w:r>
          </w:p>
        </w:tc>
        <w:tc>
          <w:tcPr>
            <w:tcW w:w="1701" w:type="dxa"/>
            <w:shd w:val="clear" w:color="auto" w:fill="1B556B" w:themeFill="text2"/>
            <w:vAlign w:val="center"/>
            <w:hideMark/>
          </w:tcPr>
          <w:p w14:paraId="12146EB7" w14:textId="77777777" w:rsidR="009B2872" w:rsidRPr="009A14EC" w:rsidRDefault="009B2872" w:rsidP="009B2872">
            <w:pPr>
              <w:spacing w:before="0" w:after="0" w:line="240" w:lineRule="auto"/>
              <w:jc w:val="center"/>
              <w:rPr>
                <w:rFonts w:asciiTheme="minorHAnsi" w:eastAsia="Times New Roman" w:hAnsiTheme="minorHAnsi" w:cstheme="minorHAnsi"/>
                <w:b/>
                <w:color w:val="FFFFFF" w:themeColor="background1"/>
                <w:sz w:val="18"/>
                <w:szCs w:val="18"/>
              </w:rPr>
            </w:pPr>
            <w:r w:rsidRPr="009A14EC">
              <w:rPr>
                <w:rFonts w:asciiTheme="minorHAnsi" w:eastAsia="Times New Roman" w:hAnsiTheme="minorHAnsi" w:cstheme="minorHAnsi"/>
                <w:b/>
                <w:color w:val="FFFFFF" w:themeColor="background1"/>
                <w:sz w:val="18"/>
                <w:szCs w:val="18"/>
              </w:rPr>
              <w:t>2025</w:t>
            </w:r>
          </w:p>
        </w:tc>
        <w:tc>
          <w:tcPr>
            <w:tcW w:w="1559" w:type="dxa"/>
            <w:shd w:val="clear" w:color="auto" w:fill="1B556B" w:themeFill="text2"/>
            <w:vAlign w:val="center"/>
            <w:hideMark/>
          </w:tcPr>
          <w:p w14:paraId="34E82624" w14:textId="77777777" w:rsidR="009B2872" w:rsidRPr="009A14EC" w:rsidRDefault="009B2872" w:rsidP="009B2872">
            <w:pPr>
              <w:spacing w:before="0" w:after="0" w:line="240" w:lineRule="auto"/>
              <w:jc w:val="center"/>
              <w:rPr>
                <w:rFonts w:asciiTheme="minorHAnsi" w:eastAsia="Times New Roman" w:hAnsiTheme="minorHAnsi" w:cstheme="minorHAnsi"/>
                <w:b/>
                <w:color w:val="FFFFFF" w:themeColor="background1"/>
                <w:sz w:val="18"/>
                <w:szCs w:val="18"/>
              </w:rPr>
            </w:pPr>
            <w:r w:rsidRPr="009A14EC">
              <w:rPr>
                <w:rFonts w:asciiTheme="minorHAnsi" w:eastAsia="Times New Roman" w:hAnsiTheme="minorHAnsi" w:cstheme="minorHAnsi"/>
                <w:b/>
                <w:color w:val="FFFFFF" w:themeColor="background1"/>
                <w:sz w:val="18"/>
                <w:szCs w:val="18"/>
              </w:rPr>
              <w:t>2030</w:t>
            </w:r>
          </w:p>
        </w:tc>
        <w:tc>
          <w:tcPr>
            <w:tcW w:w="1417" w:type="dxa"/>
            <w:shd w:val="clear" w:color="auto" w:fill="1B556B" w:themeFill="text2"/>
            <w:vAlign w:val="center"/>
            <w:hideMark/>
          </w:tcPr>
          <w:p w14:paraId="490C0DBE" w14:textId="77777777" w:rsidR="009B2872" w:rsidRPr="009A14EC" w:rsidRDefault="009B2872" w:rsidP="009B2872">
            <w:pPr>
              <w:spacing w:before="0" w:after="0" w:line="240" w:lineRule="auto"/>
              <w:jc w:val="center"/>
              <w:rPr>
                <w:rFonts w:asciiTheme="minorHAnsi" w:eastAsia="Times New Roman" w:hAnsiTheme="minorHAnsi" w:cstheme="minorHAnsi"/>
                <w:b/>
                <w:color w:val="FFFFFF" w:themeColor="background1"/>
                <w:sz w:val="18"/>
                <w:szCs w:val="18"/>
              </w:rPr>
            </w:pPr>
            <w:r w:rsidRPr="009A14EC">
              <w:rPr>
                <w:rFonts w:asciiTheme="minorHAnsi" w:eastAsia="Times New Roman" w:hAnsiTheme="minorHAnsi" w:cstheme="minorHAnsi"/>
                <w:b/>
                <w:color w:val="FFFFFF" w:themeColor="background1"/>
                <w:sz w:val="18"/>
                <w:szCs w:val="18"/>
              </w:rPr>
              <w:t>2035</w:t>
            </w:r>
          </w:p>
        </w:tc>
        <w:tc>
          <w:tcPr>
            <w:tcW w:w="1458" w:type="dxa"/>
            <w:shd w:val="clear" w:color="auto" w:fill="1B556B" w:themeFill="text2"/>
            <w:vAlign w:val="center"/>
            <w:hideMark/>
          </w:tcPr>
          <w:p w14:paraId="6E78039E" w14:textId="77777777" w:rsidR="009B2872" w:rsidRPr="009A14EC" w:rsidRDefault="009B2872" w:rsidP="009B2872">
            <w:pPr>
              <w:spacing w:before="0" w:after="0" w:line="240" w:lineRule="auto"/>
              <w:jc w:val="center"/>
              <w:rPr>
                <w:rFonts w:asciiTheme="minorHAnsi" w:eastAsia="Times New Roman" w:hAnsiTheme="minorHAnsi" w:cstheme="minorHAnsi"/>
                <w:b/>
                <w:color w:val="FFFFFF" w:themeColor="background1"/>
                <w:sz w:val="18"/>
                <w:szCs w:val="18"/>
              </w:rPr>
            </w:pPr>
            <w:r w:rsidRPr="009A14EC">
              <w:rPr>
                <w:rFonts w:asciiTheme="minorHAnsi" w:eastAsia="Times New Roman" w:hAnsiTheme="minorHAnsi" w:cstheme="minorHAnsi"/>
                <w:b/>
                <w:color w:val="FFFFFF" w:themeColor="background1"/>
                <w:sz w:val="18"/>
                <w:szCs w:val="18"/>
              </w:rPr>
              <w:t>2040</w:t>
            </w:r>
          </w:p>
        </w:tc>
        <w:tc>
          <w:tcPr>
            <w:tcW w:w="1559" w:type="dxa"/>
            <w:shd w:val="clear" w:color="auto" w:fill="1B556B" w:themeFill="text2"/>
            <w:vAlign w:val="center"/>
            <w:hideMark/>
          </w:tcPr>
          <w:p w14:paraId="0D2FBD30" w14:textId="77777777" w:rsidR="009B2872" w:rsidRPr="009A14EC" w:rsidRDefault="009B2872" w:rsidP="009B2872">
            <w:pPr>
              <w:spacing w:before="0" w:after="0" w:line="240" w:lineRule="auto"/>
              <w:jc w:val="center"/>
              <w:rPr>
                <w:rFonts w:asciiTheme="minorHAnsi" w:eastAsia="Times New Roman" w:hAnsiTheme="minorHAnsi" w:cstheme="minorHAnsi"/>
                <w:b/>
                <w:color w:val="FFFFFF" w:themeColor="background1"/>
                <w:sz w:val="18"/>
                <w:szCs w:val="18"/>
              </w:rPr>
            </w:pPr>
            <w:r w:rsidRPr="009A14EC">
              <w:rPr>
                <w:rFonts w:asciiTheme="minorHAnsi" w:eastAsia="Times New Roman" w:hAnsiTheme="minorHAnsi" w:cstheme="minorHAnsi"/>
                <w:b/>
                <w:color w:val="FFFFFF" w:themeColor="background1"/>
                <w:sz w:val="18"/>
                <w:szCs w:val="18"/>
              </w:rPr>
              <w:t>2045</w:t>
            </w:r>
          </w:p>
        </w:tc>
        <w:tc>
          <w:tcPr>
            <w:tcW w:w="1417" w:type="dxa"/>
            <w:shd w:val="clear" w:color="auto" w:fill="1B556B" w:themeFill="text2"/>
            <w:vAlign w:val="center"/>
            <w:hideMark/>
          </w:tcPr>
          <w:p w14:paraId="7B79866B" w14:textId="77777777" w:rsidR="009B2872" w:rsidRPr="009A14EC" w:rsidRDefault="009B2872" w:rsidP="009B2872">
            <w:pPr>
              <w:spacing w:before="0" w:after="0" w:line="240" w:lineRule="auto"/>
              <w:jc w:val="center"/>
              <w:rPr>
                <w:rFonts w:asciiTheme="minorHAnsi" w:eastAsia="Times New Roman" w:hAnsiTheme="minorHAnsi" w:cstheme="minorHAnsi"/>
                <w:b/>
                <w:color w:val="FFFFFF" w:themeColor="background1"/>
                <w:sz w:val="18"/>
                <w:szCs w:val="18"/>
              </w:rPr>
            </w:pPr>
            <w:r w:rsidRPr="009A14EC">
              <w:rPr>
                <w:rFonts w:asciiTheme="minorHAnsi" w:eastAsia="Times New Roman" w:hAnsiTheme="minorHAnsi" w:cstheme="minorHAnsi"/>
                <w:b/>
                <w:color w:val="FFFFFF" w:themeColor="background1"/>
                <w:sz w:val="18"/>
                <w:szCs w:val="18"/>
              </w:rPr>
              <w:t>2050</w:t>
            </w:r>
          </w:p>
        </w:tc>
      </w:tr>
      <w:tr w:rsidR="009B2872" w:rsidRPr="009A14EC" w14:paraId="7A569AA1" w14:textId="77777777" w:rsidTr="009D7060">
        <w:tc>
          <w:tcPr>
            <w:tcW w:w="2037" w:type="dxa"/>
            <w:hideMark/>
          </w:tcPr>
          <w:p w14:paraId="661F5EAF"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GDP</w:t>
            </w:r>
          </w:p>
        </w:tc>
        <w:tc>
          <w:tcPr>
            <w:tcW w:w="1360" w:type="dxa"/>
            <w:hideMark/>
          </w:tcPr>
          <w:p w14:paraId="5C803CA3"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billion (real 2009/20 NZ$)</w:t>
            </w:r>
          </w:p>
        </w:tc>
        <w:tc>
          <w:tcPr>
            <w:tcW w:w="1980" w:type="dxa"/>
            <w:hideMark/>
          </w:tcPr>
          <w:p w14:paraId="3EA31201"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275,851.00</w:t>
            </w:r>
          </w:p>
        </w:tc>
        <w:tc>
          <w:tcPr>
            <w:tcW w:w="1701" w:type="dxa"/>
            <w:hideMark/>
          </w:tcPr>
          <w:p w14:paraId="10F69392"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293,431.00</w:t>
            </w:r>
          </w:p>
        </w:tc>
        <w:tc>
          <w:tcPr>
            <w:tcW w:w="1559" w:type="dxa"/>
            <w:hideMark/>
          </w:tcPr>
          <w:p w14:paraId="5E880E65"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331,959.90</w:t>
            </w:r>
          </w:p>
        </w:tc>
        <w:tc>
          <w:tcPr>
            <w:tcW w:w="1417" w:type="dxa"/>
            <w:hideMark/>
          </w:tcPr>
          <w:p w14:paraId="249D2809"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359,764.60</w:t>
            </w:r>
          </w:p>
        </w:tc>
        <w:tc>
          <w:tcPr>
            <w:tcW w:w="1458" w:type="dxa"/>
            <w:hideMark/>
          </w:tcPr>
          <w:p w14:paraId="3C15B7F6"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384,984.00</w:t>
            </w:r>
          </w:p>
        </w:tc>
        <w:tc>
          <w:tcPr>
            <w:tcW w:w="1559" w:type="dxa"/>
            <w:hideMark/>
          </w:tcPr>
          <w:p w14:paraId="283F3847"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409,255.00</w:t>
            </w:r>
          </w:p>
        </w:tc>
        <w:tc>
          <w:tcPr>
            <w:tcW w:w="1417" w:type="dxa"/>
            <w:hideMark/>
          </w:tcPr>
          <w:p w14:paraId="1C5EC274"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431,441.40</w:t>
            </w:r>
          </w:p>
        </w:tc>
      </w:tr>
      <w:tr w:rsidR="009B2872" w:rsidRPr="009A14EC" w14:paraId="45912ADA" w14:textId="77777777" w:rsidTr="009D7060">
        <w:tc>
          <w:tcPr>
            <w:tcW w:w="2037" w:type="dxa"/>
            <w:hideMark/>
          </w:tcPr>
          <w:p w14:paraId="6776FF0F"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Population</w:t>
            </w:r>
          </w:p>
        </w:tc>
        <w:tc>
          <w:tcPr>
            <w:tcW w:w="1360" w:type="dxa"/>
            <w:shd w:val="clear" w:color="auto" w:fill="auto"/>
            <w:hideMark/>
          </w:tcPr>
          <w:p w14:paraId="5B23C3EE"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Millions</w:t>
            </w:r>
          </w:p>
        </w:tc>
        <w:tc>
          <w:tcPr>
            <w:tcW w:w="1980" w:type="dxa"/>
            <w:hideMark/>
          </w:tcPr>
          <w:p w14:paraId="0620675E"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5,116,000.00</w:t>
            </w:r>
          </w:p>
        </w:tc>
        <w:tc>
          <w:tcPr>
            <w:tcW w:w="1701" w:type="dxa"/>
            <w:hideMark/>
          </w:tcPr>
          <w:p w14:paraId="242A35D3"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5,217,280.00</w:t>
            </w:r>
          </w:p>
        </w:tc>
        <w:tc>
          <w:tcPr>
            <w:tcW w:w="1559" w:type="dxa"/>
            <w:hideMark/>
          </w:tcPr>
          <w:p w14:paraId="025FADBB"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5,441,000.00</w:t>
            </w:r>
          </w:p>
        </w:tc>
        <w:tc>
          <w:tcPr>
            <w:tcW w:w="1417" w:type="dxa"/>
            <w:hideMark/>
          </w:tcPr>
          <w:p w14:paraId="2B989CC0"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5,642,140.00</w:t>
            </w:r>
          </w:p>
        </w:tc>
        <w:tc>
          <w:tcPr>
            <w:tcW w:w="1458" w:type="dxa"/>
            <w:hideMark/>
          </w:tcPr>
          <w:p w14:paraId="18C245F9"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5,823,270.00</w:t>
            </w:r>
          </w:p>
        </w:tc>
        <w:tc>
          <w:tcPr>
            <w:tcW w:w="1559" w:type="dxa"/>
            <w:hideMark/>
          </w:tcPr>
          <w:p w14:paraId="7003323A"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5,987,770.00</w:t>
            </w:r>
          </w:p>
        </w:tc>
        <w:tc>
          <w:tcPr>
            <w:tcW w:w="1417" w:type="dxa"/>
            <w:hideMark/>
          </w:tcPr>
          <w:p w14:paraId="45AAD3EE"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6,132,460.00</w:t>
            </w:r>
          </w:p>
        </w:tc>
      </w:tr>
      <w:tr w:rsidR="009B2872" w:rsidRPr="009A14EC" w14:paraId="587C92AC" w14:textId="77777777" w:rsidTr="009D7060">
        <w:tc>
          <w:tcPr>
            <w:tcW w:w="2037" w:type="dxa"/>
            <w:hideMark/>
          </w:tcPr>
          <w:p w14:paraId="6D25BB6B"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Effective carbon price</w:t>
            </w:r>
          </w:p>
        </w:tc>
        <w:tc>
          <w:tcPr>
            <w:tcW w:w="1360" w:type="dxa"/>
            <w:hideMark/>
          </w:tcPr>
          <w:p w14:paraId="5B93E9FC" w14:textId="2DA830AD"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NZ$ tonne CO</w:t>
            </w:r>
            <w:r w:rsidRPr="009A14EC">
              <w:rPr>
                <w:rFonts w:asciiTheme="minorHAnsi" w:eastAsia="Times New Roman" w:hAnsiTheme="minorHAnsi" w:cstheme="minorHAnsi"/>
                <w:color w:val="000000"/>
                <w:sz w:val="18"/>
                <w:szCs w:val="18"/>
                <w:vertAlign w:val="subscript"/>
              </w:rPr>
              <w:t>2</w:t>
            </w:r>
            <w:r w:rsidRPr="009A14EC">
              <w:rPr>
                <w:rFonts w:asciiTheme="minorHAnsi" w:eastAsia="Times New Roman" w:hAnsiTheme="minorHAnsi" w:cstheme="minorHAnsi"/>
                <w:color w:val="000000"/>
                <w:sz w:val="18"/>
                <w:szCs w:val="18"/>
              </w:rPr>
              <w:t>e</w:t>
            </w:r>
          </w:p>
        </w:tc>
        <w:tc>
          <w:tcPr>
            <w:tcW w:w="1980" w:type="dxa"/>
            <w:hideMark/>
          </w:tcPr>
          <w:p w14:paraId="54845AF6"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p>
        </w:tc>
        <w:tc>
          <w:tcPr>
            <w:tcW w:w="1701" w:type="dxa"/>
            <w:hideMark/>
          </w:tcPr>
          <w:p w14:paraId="74A27737"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67.80</w:t>
            </w:r>
          </w:p>
        </w:tc>
        <w:tc>
          <w:tcPr>
            <w:tcW w:w="1559" w:type="dxa"/>
            <w:hideMark/>
          </w:tcPr>
          <w:p w14:paraId="17C46FBF"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67.86</w:t>
            </w:r>
          </w:p>
        </w:tc>
        <w:tc>
          <w:tcPr>
            <w:tcW w:w="1417" w:type="dxa"/>
            <w:hideMark/>
          </w:tcPr>
          <w:p w14:paraId="65FFA21D"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50.00</w:t>
            </w:r>
          </w:p>
        </w:tc>
        <w:tc>
          <w:tcPr>
            <w:tcW w:w="1458" w:type="dxa"/>
            <w:hideMark/>
          </w:tcPr>
          <w:p w14:paraId="1AFB276D"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50.00</w:t>
            </w:r>
          </w:p>
        </w:tc>
        <w:tc>
          <w:tcPr>
            <w:tcW w:w="1559" w:type="dxa"/>
            <w:hideMark/>
          </w:tcPr>
          <w:p w14:paraId="302441DD"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50.00</w:t>
            </w:r>
          </w:p>
        </w:tc>
        <w:tc>
          <w:tcPr>
            <w:tcW w:w="1417" w:type="dxa"/>
            <w:hideMark/>
          </w:tcPr>
          <w:p w14:paraId="79FF76C6"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50.00</w:t>
            </w:r>
          </w:p>
        </w:tc>
      </w:tr>
      <w:tr w:rsidR="009B2872" w:rsidRPr="009A14EC" w14:paraId="50635F32" w14:textId="77777777" w:rsidTr="009D7060">
        <w:tc>
          <w:tcPr>
            <w:tcW w:w="2037" w:type="dxa"/>
            <w:hideMark/>
          </w:tcPr>
          <w:p w14:paraId="3E13BD5B"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Light passenger vehicle travel</w:t>
            </w:r>
          </w:p>
        </w:tc>
        <w:tc>
          <w:tcPr>
            <w:tcW w:w="1360" w:type="dxa"/>
            <w:hideMark/>
          </w:tcPr>
          <w:p w14:paraId="165422FA"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Million KM</w:t>
            </w:r>
          </w:p>
        </w:tc>
        <w:tc>
          <w:tcPr>
            <w:tcW w:w="1980" w:type="dxa"/>
            <w:hideMark/>
          </w:tcPr>
          <w:p w14:paraId="34CE9F45"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33,364.00</w:t>
            </w:r>
          </w:p>
        </w:tc>
        <w:tc>
          <w:tcPr>
            <w:tcW w:w="1701" w:type="dxa"/>
            <w:hideMark/>
          </w:tcPr>
          <w:p w14:paraId="75C0FAB9"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35,507.00</w:t>
            </w:r>
          </w:p>
        </w:tc>
        <w:tc>
          <w:tcPr>
            <w:tcW w:w="1559" w:type="dxa"/>
            <w:hideMark/>
          </w:tcPr>
          <w:p w14:paraId="075F7130"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37,296.00</w:t>
            </w:r>
          </w:p>
        </w:tc>
        <w:tc>
          <w:tcPr>
            <w:tcW w:w="1417" w:type="dxa"/>
            <w:hideMark/>
          </w:tcPr>
          <w:p w14:paraId="7385FA27"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38,929.00</w:t>
            </w:r>
          </w:p>
        </w:tc>
        <w:tc>
          <w:tcPr>
            <w:tcW w:w="1458" w:type="dxa"/>
            <w:hideMark/>
          </w:tcPr>
          <w:p w14:paraId="75DAA173"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40,626.00</w:t>
            </w:r>
          </w:p>
        </w:tc>
        <w:tc>
          <w:tcPr>
            <w:tcW w:w="1559" w:type="dxa"/>
            <w:hideMark/>
          </w:tcPr>
          <w:p w14:paraId="5F70BF92"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41,936.00</w:t>
            </w:r>
          </w:p>
        </w:tc>
        <w:tc>
          <w:tcPr>
            <w:tcW w:w="1417" w:type="dxa"/>
            <w:hideMark/>
          </w:tcPr>
          <w:p w14:paraId="03723B8E"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43,863.00</w:t>
            </w:r>
          </w:p>
        </w:tc>
      </w:tr>
      <w:tr w:rsidR="009B2872" w:rsidRPr="009A14EC" w14:paraId="56C7FB66" w14:textId="77777777" w:rsidTr="009D7060">
        <w:tc>
          <w:tcPr>
            <w:tcW w:w="2037" w:type="dxa"/>
            <w:hideMark/>
          </w:tcPr>
          <w:p w14:paraId="0F47EC3D"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Light commercial vehicle travel</w:t>
            </w:r>
          </w:p>
        </w:tc>
        <w:tc>
          <w:tcPr>
            <w:tcW w:w="1360" w:type="dxa"/>
            <w:hideMark/>
          </w:tcPr>
          <w:p w14:paraId="553EA94A"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Million KM</w:t>
            </w:r>
          </w:p>
        </w:tc>
        <w:tc>
          <w:tcPr>
            <w:tcW w:w="1980" w:type="dxa"/>
            <w:hideMark/>
          </w:tcPr>
          <w:p w14:paraId="5FF16083"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10,072.00</w:t>
            </w:r>
          </w:p>
        </w:tc>
        <w:tc>
          <w:tcPr>
            <w:tcW w:w="1701" w:type="dxa"/>
            <w:hideMark/>
          </w:tcPr>
          <w:p w14:paraId="4A105941"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10,890.00</w:t>
            </w:r>
          </w:p>
        </w:tc>
        <w:tc>
          <w:tcPr>
            <w:tcW w:w="1559" w:type="dxa"/>
            <w:hideMark/>
          </w:tcPr>
          <w:p w14:paraId="703D0061"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11,612.00</w:t>
            </w:r>
          </w:p>
        </w:tc>
        <w:tc>
          <w:tcPr>
            <w:tcW w:w="1417" w:type="dxa"/>
            <w:hideMark/>
          </w:tcPr>
          <w:p w14:paraId="6F448D69"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12,252.00</w:t>
            </w:r>
          </w:p>
        </w:tc>
        <w:tc>
          <w:tcPr>
            <w:tcW w:w="1458" w:type="dxa"/>
            <w:hideMark/>
          </w:tcPr>
          <w:p w14:paraId="33F1DEDF"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12,768.00</w:t>
            </w:r>
          </w:p>
        </w:tc>
        <w:tc>
          <w:tcPr>
            <w:tcW w:w="1559" w:type="dxa"/>
            <w:hideMark/>
          </w:tcPr>
          <w:p w14:paraId="60FFCFE0"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13,271.00</w:t>
            </w:r>
          </w:p>
        </w:tc>
        <w:tc>
          <w:tcPr>
            <w:tcW w:w="1417" w:type="dxa"/>
            <w:hideMark/>
          </w:tcPr>
          <w:p w14:paraId="50D6AD6C"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13,729.00</w:t>
            </w:r>
          </w:p>
        </w:tc>
      </w:tr>
      <w:tr w:rsidR="009B2872" w:rsidRPr="009A14EC" w14:paraId="424A91B5" w14:textId="77777777" w:rsidTr="009D7060">
        <w:tc>
          <w:tcPr>
            <w:tcW w:w="2037" w:type="dxa"/>
            <w:hideMark/>
          </w:tcPr>
          <w:p w14:paraId="510458DC"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Heavy truck travel</w:t>
            </w:r>
          </w:p>
        </w:tc>
        <w:tc>
          <w:tcPr>
            <w:tcW w:w="1360" w:type="dxa"/>
            <w:hideMark/>
          </w:tcPr>
          <w:p w14:paraId="2ED1E3D6"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Million KM</w:t>
            </w:r>
          </w:p>
        </w:tc>
        <w:tc>
          <w:tcPr>
            <w:tcW w:w="1980" w:type="dxa"/>
            <w:hideMark/>
          </w:tcPr>
          <w:p w14:paraId="451E6282"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3,200.00</w:t>
            </w:r>
          </w:p>
        </w:tc>
        <w:tc>
          <w:tcPr>
            <w:tcW w:w="1701" w:type="dxa"/>
            <w:hideMark/>
          </w:tcPr>
          <w:p w14:paraId="39B5DFEE"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3,370.00</w:t>
            </w:r>
          </w:p>
        </w:tc>
        <w:tc>
          <w:tcPr>
            <w:tcW w:w="1559" w:type="dxa"/>
            <w:hideMark/>
          </w:tcPr>
          <w:p w14:paraId="115C8AFA"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3,488.00</w:t>
            </w:r>
          </w:p>
        </w:tc>
        <w:tc>
          <w:tcPr>
            <w:tcW w:w="1417" w:type="dxa"/>
            <w:hideMark/>
          </w:tcPr>
          <w:p w14:paraId="264C404F"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3,548.00</w:t>
            </w:r>
          </w:p>
        </w:tc>
        <w:tc>
          <w:tcPr>
            <w:tcW w:w="1458" w:type="dxa"/>
            <w:hideMark/>
          </w:tcPr>
          <w:p w14:paraId="564BE5F9"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3,560.00</w:t>
            </w:r>
          </w:p>
        </w:tc>
        <w:tc>
          <w:tcPr>
            <w:tcW w:w="1559" w:type="dxa"/>
            <w:hideMark/>
          </w:tcPr>
          <w:p w14:paraId="38C2620A"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3,579.00</w:t>
            </w:r>
          </w:p>
        </w:tc>
        <w:tc>
          <w:tcPr>
            <w:tcW w:w="1417" w:type="dxa"/>
            <w:hideMark/>
          </w:tcPr>
          <w:p w14:paraId="1437F8A5"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3,607.00</w:t>
            </w:r>
          </w:p>
        </w:tc>
      </w:tr>
      <w:tr w:rsidR="009B2872" w:rsidRPr="009A14EC" w14:paraId="63ABDCB6" w14:textId="77777777" w:rsidTr="009D7060">
        <w:tc>
          <w:tcPr>
            <w:tcW w:w="2037" w:type="dxa"/>
            <w:hideMark/>
          </w:tcPr>
          <w:p w14:paraId="41C49655"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Heavy bus travel</w:t>
            </w:r>
          </w:p>
        </w:tc>
        <w:tc>
          <w:tcPr>
            <w:tcW w:w="1360" w:type="dxa"/>
            <w:hideMark/>
          </w:tcPr>
          <w:p w14:paraId="2DC822F5"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Million KM</w:t>
            </w:r>
          </w:p>
        </w:tc>
        <w:tc>
          <w:tcPr>
            <w:tcW w:w="1980" w:type="dxa"/>
            <w:hideMark/>
          </w:tcPr>
          <w:p w14:paraId="71F1CFF1"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259.00</w:t>
            </w:r>
          </w:p>
        </w:tc>
        <w:tc>
          <w:tcPr>
            <w:tcW w:w="1701" w:type="dxa"/>
            <w:hideMark/>
          </w:tcPr>
          <w:p w14:paraId="64C34091"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301.00</w:t>
            </w:r>
          </w:p>
        </w:tc>
        <w:tc>
          <w:tcPr>
            <w:tcW w:w="1559" w:type="dxa"/>
            <w:hideMark/>
          </w:tcPr>
          <w:p w14:paraId="3190E9CC"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320.00</w:t>
            </w:r>
          </w:p>
        </w:tc>
        <w:tc>
          <w:tcPr>
            <w:tcW w:w="1417" w:type="dxa"/>
            <w:hideMark/>
          </w:tcPr>
          <w:p w14:paraId="1F65F8E6"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338.00</w:t>
            </w:r>
          </w:p>
        </w:tc>
        <w:tc>
          <w:tcPr>
            <w:tcW w:w="1458" w:type="dxa"/>
            <w:hideMark/>
          </w:tcPr>
          <w:p w14:paraId="260A5577"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358.00</w:t>
            </w:r>
          </w:p>
        </w:tc>
        <w:tc>
          <w:tcPr>
            <w:tcW w:w="1559" w:type="dxa"/>
            <w:hideMark/>
          </w:tcPr>
          <w:p w14:paraId="757D7BC3"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379.00</w:t>
            </w:r>
          </w:p>
        </w:tc>
        <w:tc>
          <w:tcPr>
            <w:tcW w:w="1417" w:type="dxa"/>
            <w:hideMark/>
          </w:tcPr>
          <w:p w14:paraId="6A01D742"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402.00</w:t>
            </w:r>
          </w:p>
        </w:tc>
      </w:tr>
      <w:tr w:rsidR="009B2872" w:rsidRPr="009A14EC" w14:paraId="79C00014" w14:textId="77777777" w:rsidTr="009D7060">
        <w:tc>
          <w:tcPr>
            <w:tcW w:w="2037" w:type="dxa"/>
            <w:hideMark/>
          </w:tcPr>
          <w:p w14:paraId="533F14DF"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Motorcycle travel</w:t>
            </w:r>
          </w:p>
        </w:tc>
        <w:tc>
          <w:tcPr>
            <w:tcW w:w="1360" w:type="dxa"/>
            <w:hideMark/>
          </w:tcPr>
          <w:p w14:paraId="36109849"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Million KM</w:t>
            </w:r>
          </w:p>
        </w:tc>
        <w:tc>
          <w:tcPr>
            <w:tcW w:w="1980" w:type="dxa"/>
            <w:hideMark/>
          </w:tcPr>
          <w:p w14:paraId="35AF0A3A"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412.00</w:t>
            </w:r>
          </w:p>
        </w:tc>
        <w:tc>
          <w:tcPr>
            <w:tcW w:w="1701" w:type="dxa"/>
            <w:hideMark/>
          </w:tcPr>
          <w:p w14:paraId="17282784"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402.00</w:t>
            </w:r>
          </w:p>
        </w:tc>
        <w:tc>
          <w:tcPr>
            <w:tcW w:w="1559" w:type="dxa"/>
            <w:hideMark/>
          </w:tcPr>
          <w:p w14:paraId="7A80C1A0"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408.00</w:t>
            </w:r>
          </w:p>
        </w:tc>
        <w:tc>
          <w:tcPr>
            <w:tcW w:w="1417" w:type="dxa"/>
            <w:hideMark/>
          </w:tcPr>
          <w:p w14:paraId="38910CB0"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412.00</w:t>
            </w:r>
          </w:p>
        </w:tc>
        <w:tc>
          <w:tcPr>
            <w:tcW w:w="1458" w:type="dxa"/>
            <w:hideMark/>
          </w:tcPr>
          <w:p w14:paraId="2FA095A1"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418.00</w:t>
            </w:r>
          </w:p>
        </w:tc>
        <w:tc>
          <w:tcPr>
            <w:tcW w:w="1559" w:type="dxa"/>
            <w:hideMark/>
          </w:tcPr>
          <w:p w14:paraId="3E990539"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426.00</w:t>
            </w:r>
          </w:p>
        </w:tc>
        <w:tc>
          <w:tcPr>
            <w:tcW w:w="1417" w:type="dxa"/>
            <w:hideMark/>
          </w:tcPr>
          <w:p w14:paraId="0F6A3D58"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437.00</w:t>
            </w:r>
          </w:p>
        </w:tc>
      </w:tr>
      <w:tr w:rsidR="009B2872" w:rsidRPr="009A14EC" w14:paraId="5B71B1FC" w14:textId="77777777" w:rsidTr="009D7060">
        <w:tc>
          <w:tcPr>
            <w:tcW w:w="2037" w:type="dxa"/>
            <w:hideMark/>
          </w:tcPr>
          <w:p w14:paraId="55CFF86C"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Exchange rate</w:t>
            </w:r>
          </w:p>
        </w:tc>
        <w:tc>
          <w:tcPr>
            <w:tcW w:w="1360" w:type="dxa"/>
            <w:hideMark/>
          </w:tcPr>
          <w:p w14:paraId="267A3C80"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(NZ$/US$)</w:t>
            </w:r>
          </w:p>
        </w:tc>
        <w:tc>
          <w:tcPr>
            <w:tcW w:w="1980" w:type="dxa"/>
            <w:hideMark/>
          </w:tcPr>
          <w:p w14:paraId="3A6FB83E"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0.65</w:t>
            </w:r>
          </w:p>
        </w:tc>
        <w:tc>
          <w:tcPr>
            <w:tcW w:w="1701" w:type="dxa"/>
            <w:hideMark/>
          </w:tcPr>
          <w:p w14:paraId="6AFBEFC6"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0.65</w:t>
            </w:r>
          </w:p>
        </w:tc>
        <w:tc>
          <w:tcPr>
            <w:tcW w:w="1559" w:type="dxa"/>
            <w:hideMark/>
          </w:tcPr>
          <w:p w14:paraId="5E2A632F"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0.65</w:t>
            </w:r>
          </w:p>
        </w:tc>
        <w:tc>
          <w:tcPr>
            <w:tcW w:w="1417" w:type="dxa"/>
            <w:hideMark/>
          </w:tcPr>
          <w:p w14:paraId="1B2BDD6A"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0.65</w:t>
            </w:r>
          </w:p>
        </w:tc>
        <w:tc>
          <w:tcPr>
            <w:tcW w:w="1458" w:type="dxa"/>
            <w:hideMark/>
          </w:tcPr>
          <w:p w14:paraId="7CD9EF17"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0.65</w:t>
            </w:r>
          </w:p>
        </w:tc>
        <w:tc>
          <w:tcPr>
            <w:tcW w:w="1559" w:type="dxa"/>
            <w:hideMark/>
          </w:tcPr>
          <w:p w14:paraId="4FB63F6A"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0.65</w:t>
            </w:r>
          </w:p>
        </w:tc>
        <w:tc>
          <w:tcPr>
            <w:tcW w:w="1417" w:type="dxa"/>
            <w:hideMark/>
          </w:tcPr>
          <w:p w14:paraId="1DAB9B4E"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0.65</w:t>
            </w:r>
          </w:p>
        </w:tc>
      </w:tr>
      <w:tr w:rsidR="009B2872" w:rsidRPr="009A14EC" w14:paraId="70886603" w14:textId="77777777" w:rsidTr="009D7060">
        <w:tc>
          <w:tcPr>
            <w:tcW w:w="2037" w:type="dxa"/>
            <w:hideMark/>
          </w:tcPr>
          <w:p w14:paraId="33C608A8"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Dairy area</w:t>
            </w:r>
          </w:p>
        </w:tc>
        <w:tc>
          <w:tcPr>
            <w:tcW w:w="1360" w:type="dxa"/>
            <w:hideMark/>
          </w:tcPr>
          <w:p w14:paraId="4F46F563"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Thousand hectares</w:t>
            </w:r>
          </w:p>
        </w:tc>
        <w:tc>
          <w:tcPr>
            <w:tcW w:w="1980" w:type="dxa"/>
            <w:hideMark/>
          </w:tcPr>
          <w:p w14:paraId="7040C76E"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1,659,430.00</w:t>
            </w:r>
          </w:p>
        </w:tc>
        <w:tc>
          <w:tcPr>
            <w:tcW w:w="1701" w:type="dxa"/>
            <w:hideMark/>
          </w:tcPr>
          <w:p w14:paraId="002FB975"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1,639,569.94</w:t>
            </w:r>
          </w:p>
        </w:tc>
        <w:tc>
          <w:tcPr>
            <w:tcW w:w="1559" w:type="dxa"/>
            <w:hideMark/>
          </w:tcPr>
          <w:p w14:paraId="41EA5F99"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1,607,626.38</w:t>
            </w:r>
          </w:p>
        </w:tc>
        <w:tc>
          <w:tcPr>
            <w:tcW w:w="1417" w:type="dxa"/>
            <w:hideMark/>
          </w:tcPr>
          <w:p w14:paraId="57623CDC"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1,587,840.42</w:t>
            </w:r>
          </w:p>
        </w:tc>
        <w:tc>
          <w:tcPr>
            <w:tcW w:w="1458" w:type="dxa"/>
            <w:hideMark/>
          </w:tcPr>
          <w:p w14:paraId="6EC5A8B3"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1,576,337.09</w:t>
            </w:r>
          </w:p>
        </w:tc>
        <w:tc>
          <w:tcPr>
            <w:tcW w:w="1559" w:type="dxa"/>
            <w:hideMark/>
          </w:tcPr>
          <w:p w14:paraId="2FE5C0A2"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1,570,306.86</w:t>
            </w:r>
          </w:p>
        </w:tc>
        <w:tc>
          <w:tcPr>
            <w:tcW w:w="1417" w:type="dxa"/>
            <w:hideMark/>
          </w:tcPr>
          <w:p w14:paraId="1C1BC605"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1,564,276.62</w:t>
            </w:r>
          </w:p>
        </w:tc>
      </w:tr>
      <w:tr w:rsidR="009B2872" w:rsidRPr="009A14EC" w14:paraId="187530C9" w14:textId="77777777" w:rsidTr="009D7060">
        <w:tc>
          <w:tcPr>
            <w:tcW w:w="2037" w:type="dxa"/>
            <w:hideMark/>
          </w:tcPr>
          <w:p w14:paraId="3BBE63C5"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Sheep beef deer area</w:t>
            </w:r>
          </w:p>
        </w:tc>
        <w:tc>
          <w:tcPr>
            <w:tcW w:w="1360" w:type="dxa"/>
            <w:hideMark/>
          </w:tcPr>
          <w:p w14:paraId="12065EF3"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Thousand hectares</w:t>
            </w:r>
          </w:p>
        </w:tc>
        <w:tc>
          <w:tcPr>
            <w:tcW w:w="1980" w:type="dxa"/>
            <w:hideMark/>
          </w:tcPr>
          <w:p w14:paraId="197556B6"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7,482,359.30</w:t>
            </w:r>
          </w:p>
        </w:tc>
        <w:tc>
          <w:tcPr>
            <w:tcW w:w="1701" w:type="dxa"/>
            <w:hideMark/>
          </w:tcPr>
          <w:p w14:paraId="458C5411"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7,290,808.88</w:t>
            </w:r>
          </w:p>
        </w:tc>
        <w:tc>
          <w:tcPr>
            <w:tcW w:w="1559" w:type="dxa"/>
            <w:hideMark/>
          </w:tcPr>
          <w:p w14:paraId="3381E2BF"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7,094,820.47</w:t>
            </w:r>
          </w:p>
        </w:tc>
        <w:tc>
          <w:tcPr>
            <w:tcW w:w="1417" w:type="dxa"/>
            <w:hideMark/>
          </w:tcPr>
          <w:p w14:paraId="18E499AC"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6,862,454.99</w:t>
            </w:r>
          </w:p>
        </w:tc>
        <w:tc>
          <w:tcPr>
            <w:tcW w:w="1458" w:type="dxa"/>
            <w:hideMark/>
          </w:tcPr>
          <w:p w14:paraId="14E81EA0"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6,672,407.31</w:t>
            </w:r>
          </w:p>
        </w:tc>
        <w:tc>
          <w:tcPr>
            <w:tcW w:w="1559" w:type="dxa"/>
            <w:hideMark/>
          </w:tcPr>
          <w:p w14:paraId="27EB8A03"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6,501,464.74</w:t>
            </w:r>
          </w:p>
        </w:tc>
        <w:tc>
          <w:tcPr>
            <w:tcW w:w="1417" w:type="dxa"/>
            <w:hideMark/>
          </w:tcPr>
          <w:p w14:paraId="121A5D2D"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6,342,785.12</w:t>
            </w:r>
          </w:p>
        </w:tc>
      </w:tr>
      <w:tr w:rsidR="009B2872" w:rsidRPr="009A14EC" w14:paraId="68F8FD80" w14:textId="77777777" w:rsidTr="009D7060">
        <w:tc>
          <w:tcPr>
            <w:tcW w:w="2037" w:type="dxa"/>
            <w:hideMark/>
          </w:tcPr>
          <w:p w14:paraId="62DD53A7"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Horticulture area</w:t>
            </w:r>
          </w:p>
        </w:tc>
        <w:tc>
          <w:tcPr>
            <w:tcW w:w="1360" w:type="dxa"/>
            <w:hideMark/>
          </w:tcPr>
          <w:p w14:paraId="5FDF1631"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Thousand hectares</w:t>
            </w:r>
          </w:p>
        </w:tc>
        <w:tc>
          <w:tcPr>
            <w:tcW w:w="1980" w:type="dxa"/>
            <w:hideMark/>
          </w:tcPr>
          <w:p w14:paraId="0C633E8E"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103,223.10</w:t>
            </w:r>
          </w:p>
        </w:tc>
        <w:tc>
          <w:tcPr>
            <w:tcW w:w="1701" w:type="dxa"/>
            <w:hideMark/>
          </w:tcPr>
          <w:p w14:paraId="56637E83"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106,505.08</w:t>
            </w:r>
          </w:p>
        </w:tc>
        <w:tc>
          <w:tcPr>
            <w:tcW w:w="1559" w:type="dxa"/>
            <w:hideMark/>
          </w:tcPr>
          <w:p w14:paraId="41F958E2"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108,317.70</w:t>
            </w:r>
          </w:p>
        </w:tc>
        <w:tc>
          <w:tcPr>
            <w:tcW w:w="1417" w:type="dxa"/>
            <w:hideMark/>
          </w:tcPr>
          <w:p w14:paraId="15D3A228"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111,317.70</w:t>
            </w:r>
          </w:p>
        </w:tc>
        <w:tc>
          <w:tcPr>
            <w:tcW w:w="1458" w:type="dxa"/>
            <w:hideMark/>
          </w:tcPr>
          <w:p w14:paraId="73009A04"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114,317.70</w:t>
            </w:r>
          </w:p>
        </w:tc>
        <w:tc>
          <w:tcPr>
            <w:tcW w:w="1559" w:type="dxa"/>
            <w:hideMark/>
          </w:tcPr>
          <w:p w14:paraId="79218236"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117,317.70</w:t>
            </w:r>
          </w:p>
        </w:tc>
        <w:tc>
          <w:tcPr>
            <w:tcW w:w="1417" w:type="dxa"/>
            <w:hideMark/>
          </w:tcPr>
          <w:p w14:paraId="158D4E13"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120,317.70</w:t>
            </w:r>
          </w:p>
        </w:tc>
      </w:tr>
      <w:tr w:rsidR="009B2872" w:rsidRPr="009A14EC" w14:paraId="58CE13D8" w14:textId="77777777" w:rsidTr="009D7060">
        <w:tc>
          <w:tcPr>
            <w:tcW w:w="2037" w:type="dxa"/>
            <w:hideMark/>
          </w:tcPr>
          <w:p w14:paraId="33220618"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Arable land</w:t>
            </w:r>
          </w:p>
        </w:tc>
        <w:tc>
          <w:tcPr>
            <w:tcW w:w="1360" w:type="dxa"/>
            <w:hideMark/>
          </w:tcPr>
          <w:p w14:paraId="3B50A474"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Thousand hectares</w:t>
            </w:r>
          </w:p>
        </w:tc>
        <w:tc>
          <w:tcPr>
            <w:tcW w:w="1980" w:type="dxa"/>
            <w:hideMark/>
          </w:tcPr>
          <w:p w14:paraId="1FC1D8E6"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148,960.60</w:t>
            </w:r>
          </w:p>
        </w:tc>
        <w:tc>
          <w:tcPr>
            <w:tcW w:w="1701" w:type="dxa"/>
            <w:hideMark/>
          </w:tcPr>
          <w:p w14:paraId="6AAAB277"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150,995.00</w:t>
            </w:r>
          </w:p>
        </w:tc>
        <w:tc>
          <w:tcPr>
            <w:tcW w:w="1559" w:type="dxa"/>
            <w:hideMark/>
          </w:tcPr>
          <w:p w14:paraId="318D60F0"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150,995.00</w:t>
            </w:r>
          </w:p>
        </w:tc>
        <w:tc>
          <w:tcPr>
            <w:tcW w:w="1417" w:type="dxa"/>
            <w:hideMark/>
          </w:tcPr>
          <w:p w14:paraId="17CCABA2"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150,995.00</w:t>
            </w:r>
          </w:p>
        </w:tc>
        <w:tc>
          <w:tcPr>
            <w:tcW w:w="1458" w:type="dxa"/>
            <w:hideMark/>
          </w:tcPr>
          <w:p w14:paraId="21E13487"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150,995.00</w:t>
            </w:r>
          </w:p>
        </w:tc>
        <w:tc>
          <w:tcPr>
            <w:tcW w:w="1559" w:type="dxa"/>
            <w:hideMark/>
          </w:tcPr>
          <w:p w14:paraId="57A8EE3E"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150,995.00</w:t>
            </w:r>
          </w:p>
        </w:tc>
        <w:tc>
          <w:tcPr>
            <w:tcW w:w="1417" w:type="dxa"/>
            <w:hideMark/>
          </w:tcPr>
          <w:p w14:paraId="06C89A24"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150,995.00</w:t>
            </w:r>
          </w:p>
        </w:tc>
      </w:tr>
      <w:tr w:rsidR="009B2872" w:rsidRPr="009A14EC" w14:paraId="6B6932C3" w14:textId="77777777" w:rsidTr="009D7060">
        <w:tc>
          <w:tcPr>
            <w:tcW w:w="2037" w:type="dxa"/>
            <w:hideMark/>
          </w:tcPr>
          <w:p w14:paraId="74DC2B38"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Exotic forest</w:t>
            </w:r>
          </w:p>
        </w:tc>
        <w:tc>
          <w:tcPr>
            <w:tcW w:w="1360" w:type="dxa"/>
            <w:hideMark/>
          </w:tcPr>
          <w:p w14:paraId="3D72F6CF"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Thousand hectares</w:t>
            </w:r>
          </w:p>
        </w:tc>
        <w:tc>
          <w:tcPr>
            <w:tcW w:w="1980" w:type="dxa"/>
            <w:hideMark/>
          </w:tcPr>
          <w:p w14:paraId="7E733997"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1,954,648.83</w:t>
            </w:r>
          </w:p>
        </w:tc>
        <w:tc>
          <w:tcPr>
            <w:tcW w:w="1701" w:type="dxa"/>
            <w:hideMark/>
          </w:tcPr>
          <w:p w14:paraId="25754041"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2,116,012.55</w:t>
            </w:r>
          </w:p>
        </w:tc>
        <w:tc>
          <w:tcPr>
            <w:tcW w:w="1559" w:type="dxa"/>
            <w:hideMark/>
          </w:tcPr>
          <w:p w14:paraId="1E2ED4C2"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2,244,522.47</w:t>
            </w:r>
          </w:p>
        </w:tc>
        <w:tc>
          <w:tcPr>
            <w:tcW w:w="1417" w:type="dxa"/>
            <w:hideMark/>
          </w:tcPr>
          <w:p w14:paraId="05A4D379"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2,372,182.47</w:t>
            </w:r>
          </w:p>
        </w:tc>
        <w:tc>
          <w:tcPr>
            <w:tcW w:w="1458" w:type="dxa"/>
            <w:hideMark/>
          </w:tcPr>
          <w:p w14:paraId="1F5176E4"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2,504,352.38</w:t>
            </w:r>
          </w:p>
        </w:tc>
        <w:tc>
          <w:tcPr>
            <w:tcW w:w="1559" w:type="dxa"/>
            <w:hideMark/>
          </w:tcPr>
          <w:p w14:paraId="134AC992"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2,637,649.77</w:t>
            </w:r>
          </w:p>
        </w:tc>
        <w:tc>
          <w:tcPr>
            <w:tcW w:w="1417" w:type="dxa"/>
            <w:hideMark/>
          </w:tcPr>
          <w:p w14:paraId="3723971E"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2,770,947.15</w:t>
            </w:r>
          </w:p>
        </w:tc>
      </w:tr>
      <w:tr w:rsidR="009B2872" w:rsidRPr="009A14EC" w14:paraId="7D458DFA" w14:textId="77777777" w:rsidTr="009D7060">
        <w:tc>
          <w:tcPr>
            <w:tcW w:w="2037" w:type="dxa"/>
            <w:hideMark/>
          </w:tcPr>
          <w:p w14:paraId="3DCD4D04"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Afforestation</w:t>
            </w:r>
          </w:p>
        </w:tc>
        <w:tc>
          <w:tcPr>
            <w:tcW w:w="1360" w:type="dxa"/>
            <w:hideMark/>
          </w:tcPr>
          <w:p w14:paraId="081054C5"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Hectares</w:t>
            </w:r>
          </w:p>
        </w:tc>
        <w:tc>
          <w:tcPr>
            <w:tcW w:w="1980" w:type="dxa"/>
            <w:hideMark/>
          </w:tcPr>
          <w:p w14:paraId="7590B386"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76,810.00</w:t>
            </w:r>
          </w:p>
        </w:tc>
        <w:tc>
          <w:tcPr>
            <w:tcW w:w="1701" w:type="dxa"/>
            <w:hideMark/>
          </w:tcPr>
          <w:p w14:paraId="4B441118"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29,699.00</w:t>
            </w:r>
          </w:p>
        </w:tc>
        <w:tc>
          <w:tcPr>
            <w:tcW w:w="1559" w:type="dxa"/>
            <w:hideMark/>
          </w:tcPr>
          <w:p w14:paraId="0D50917A"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27,648.00</w:t>
            </w:r>
          </w:p>
        </w:tc>
        <w:tc>
          <w:tcPr>
            <w:tcW w:w="1417" w:type="dxa"/>
            <w:hideMark/>
          </w:tcPr>
          <w:p w14:paraId="66E99AEF"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27,354.00</w:t>
            </w:r>
          </w:p>
        </w:tc>
        <w:tc>
          <w:tcPr>
            <w:tcW w:w="1458" w:type="dxa"/>
            <w:hideMark/>
          </w:tcPr>
          <w:p w14:paraId="2AE9A3B5"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27,354.00</w:t>
            </w:r>
          </w:p>
        </w:tc>
        <w:tc>
          <w:tcPr>
            <w:tcW w:w="1559" w:type="dxa"/>
            <w:hideMark/>
          </w:tcPr>
          <w:p w14:paraId="603A2B45"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27,354.00</w:t>
            </w:r>
          </w:p>
        </w:tc>
        <w:tc>
          <w:tcPr>
            <w:tcW w:w="1417" w:type="dxa"/>
            <w:hideMark/>
          </w:tcPr>
          <w:p w14:paraId="329AF213"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27,354.00</w:t>
            </w:r>
          </w:p>
        </w:tc>
      </w:tr>
      <w:tr w:rsidR="009B2872" w:rsidRPr="009A14EC" w14:paraId="7450637F" w14:textId="77777777" w:rsidTr="009D7060">
        <w:tc>
          <w:tcPr>
            <w:tcW w:w="2037" w:type="dxa"/>
            <w:hideMark/>
          </w:tcPr>
          <w:p w14:paraId="7064B02B"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Deforestation</w:t>
            </w:r>
          </w:p>
        </w:tc>
        <w:tc>
          <w:tcPr>
            <w:tcW w:w="1360" w:type="dxa"/>
            <w:hideMark/>
          </w:tcPr>
          <w:p w14:paraId="61C767AB"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Hectares</w:t>
            </w:r>
          </w:p>
        </w:tc>
        <w:tc>
          <w:tcPr>
            <w:tcW w:w="1980" w:type="dxa"/>
            <w:hideMark/>
          </w:tcPr>
          <w:p w14:paraId="39E0E350"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3,669.00</w:t>
            </w:r>
          </w:p>
        </w:tc>
        <w:tc>
          <w:tcPr>
            <w:tcW w:w="1701" w:type="dxa"/>
            <w:hideMark/>
          </w:tcPr>
          <w:p w14:paraId="037D45E3"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1,822.00</w:t>
            </w:r>
          </w:p>
        </w:tc>
        <w:tc>
          <w:tcPr>
            <w:tcW w:w="1559" w:type="dxa"/>
            <w:hideMark/>
          </w:tcPr>
          <w:p w14:paraId="77EED66D"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1,822.00</w:t>
            </w:r>
          </w:p>
        </w:tc>
        <w:tc>
          <w:tcPr>
            <w:tcW w:w="1417" w:type="dxa"/>
            <w:hideMark/>
          </w:tcPr>
          <w:p w14:paraId="20A4FFF2"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1,822.00</w:t>
            </w:r>
          </w:p>
        </w:tc>
        <w:tc>
          <w:tcPr>
            <w:tcW w:w="1458" w:type="dxa"/>
            <w:hideMark/>
          </w:tcPr>
          <w:p w14:paraId="74FBB390"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695.00</w:t>
            </w:r>
          </w:p>
        </w:tc>
        <w:tc>
          <w:tcPr>
            <w:tcW w:w="1559" w:type="dxa"/>
            <w:hideMark/>
          </w:tcPr>
          <w:p w14:paraId="7724948B"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695.00</w:t>
            </w:r>
          </w:p>
        </w:tc>
        <w:tc>
          <w:tcPr>
            <w:tcW w:w="1417" w:type="dxa"/>
            <w:hideMark/>
          </w:tcPr>
          <w:p w14:paraId="516394CD"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695.00</w:t>
            </w:r>
          </w:p>
        </w:tc>
      </w:tr>
      <w:tr w:rsidR="009B2872" w:rsidRPr="009A14EC" w14:paraId="670B9E53" w14:textId="77777777" w:rsidTr="009D7060">
        <w:tc>
          <w:tcPr>
            <w:tcW w:w="2037" w:type="dxa"/>
            <w:hideMark/>
          </w:tcPr>
          <w:p w14:paraId="4B05F5F9"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Managed waste tonnage</w:t>
            </w:r>
          </w:p>
        </w:tc>
        <w:tc>
          <w:tcPr>
            <w:tcW w:w="1360" w:type="dxa"/>
            <w:shd w:val="clear" w:color="auto" w:fill="auto"/>
            <w:hideMark/>
          </w:tcPr>
          <w:p w14:paraId="3EBA2E98"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Kilotonnes</w:t>
            </w:r>
          </w:p>
        </w:tc>
        <w:tc>
          <w:tcPr>
            <w:tcW w:w="1980" w:type="dxa"/>
            <w:hideMark/>
          </w:tcPr>
          <w:p w14:paraId="079A4E98"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3,589.76</w:t>
            </w:r>
          </w:p>
        </w:tc>
        <w:tc>
          <w:tcPr>
            <w:tcW w:w="1701" w:type="dxa"/>
            <w:hideMark/>
          </w:tcPr>
          <w:p w14:paraId="45C5DABC"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3,316.29</w:t>
            </w:r>
          </w:p>
        </w:tc>
        <w:tc>
          <w:tcPr>
            <w:tcW w:w="1559" w:type="dxa"/>
            <w:hideMark/>
          </w:tcPr>
          <w:p w14:paraId="52653D01"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3,324.89</w:t>
            </w:r>
          </w:p>
        </w:tc>
        <w:tc>
          <w:tcPr>
            <w:tcW w:w="1417" w:type="dxa"/>
            <w:hideMark/>
          </w:tcPr>
          <w:p w14:paraId="10E23FFC"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3,378.90</w:t>
            </w:r>
          </w:p>
        </w:tc>
        <w:tc>
          <w:tcPr>
            <w:tcW w:w="1458" w:type="dxa"/>
            <w:hideMark/>
          </w:tcPr>
          <w:p w14:paraId="52BD5A3F"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3,361.80</w:t>
            </w:r>
          </w:p>
        </w:tc>
        <w:tc>
          <w:tcPr>
            <w:tcW w:w="1559" w:type="dxa"/>
            <w:hideMark/>
          </w:tcPr>
          <w:p w14:paraId="453C0977"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3,413.63</w:t>
            </w:r>
          </w:p>
        </w:tc>
        <w:tc>
          <w:tcPr>
            <w:tcW w:w="1417" w:type="dxa"/>
            <w:hideMark/>
          </w:tcPr>
          <w:p w14:paraId="2B43E742"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3,456.48</w:t>
            </w:r>
          </w:p>
        </w:tc>
      </w:tr>
      <w:tr w:rsidR="009B2872" w:rsidRPr="009A14EC" w14:paraId="71EEED6F" w14:textId="77777777" w:rsidTr="009D7060">
        <w:tc>
          <w:tcPr>
            <w:tcW w:w="2037" w:type="dxa"/>
            <w:hideMark/>
          </w:tcPr>
          <w:p w14:paraId="43C5BDB4"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Non-MSW landfills waste</w:t>
            </w:r>
          </w:p>
        </w:tc>
        <w:tc>
          <w:tcPr>
            <w:tcW w:w="1360" w:type="dxa"/>
            <w:shd w:val="clear" w:color="auto" w:fill="auto"/>
            <w:hideMark/>
          </w:tcPr>
          <w:p w14:paraId="140B7D48"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Kilotonnes</w:t>
            </w:r>
          </w:p>
        </w:tc>
        <w:tc>
          <w:tcPr>
            <w:tcW w:w="1980" w:type="dxa"/>
            <w:hideMark/>
          </w:tcPr>
          <w:p w14:paraId="17D1F34C"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5,092.90</w:t>
            </w:r>
          </w:p>
        </w:tc>
        <w:tc>
          <w:tcPr>
            <w:tcW w:w="1701" w:type="dxa"/>
            <w:hideMark/>
          </w:tcPr>
          <w:p w14:paraId="6C6F70AA"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5,092.90</w:t>
            </w:r>
          </w:p>
        </w:tc>
        <w:tc>
          <w:tcPr>
            <w:tcW w:w="1559" w:type="dxa"/>
            <w:hideMark/>
          </w:tcPr>
          <w:p w14:paraId="0A422398"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5,092.90</w:t>
            </w:r>
          </w:p>
        </w:tc>
        <w:tc>
          <w:tcPr>
            <w:tcW w:w="1417" w:type="dxa"/>
            <w:hideMark/>
          </w:tcPr>
          <w:p w14:paraId="265C3F2F"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5,092.90</w:t>
            </w:r>
          </w:p>
        </w:tc>
        <w:tc>
          <w:tcPr>
            <w:tcW w:w="1458" w:type="dxa"/>
            <w:hideMark/>
          </w:tcPr>
          <w:p w14:paraId="3BF0B40F"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5,092.90</w:t>
            </w:r>
          </w:p>
        </w:tc>
        <w:tc>
          <w:tcPr>
            <w:tcW w:w="1559" w:type="dxa"/>
            <w:hideMark/>
          </w:tcPr>
          <w:p w14:paraId="1C386FF4"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5,092.90</w:t>
            </w:r>
          </w:p>
        </w:tc>
        <w:tc>
          <w:tcPr>
            <w:tcW w:w="1417" w:type="dxa"/>
            <w:hideMark/>
          </w:tcPr>
          <w:p w14:paraId="3C2BA893"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5,092.90</w:t>
            </w:r>
          </w:p>
        </w:tc>
      </w:tr>
      <w:tr w:rsidR="009B2872" w:rsidRPr="009A14EC" w14:paraId="2B2509E4" w14:textId="77777777" w:rsidTr="009D7060">
        <w:tc>
          <w:tcPr>
            <w:tcW w:w="2037" w:type="dxa"/>
            <w:hideMark/>
          </w:tcPr>
          <w:p w14:paraId="7617B9F3"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Farm fills waste</w:t>
            </w:r>
          </w:p>
        </w:tc>
        <w:tc>
          <w:tcPr>
            <w:tcW w:w="1360" w:type="dxa"/>
            <w:shd w:val="clear" w:color="auto" w:fill="auto"/>
            <w:hideMark/>
          </w:tcPr>
          <w:p w14:paraId="07459E96"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Kilotonnes</w:t>
            </w:r>
          </w:p>
        </w:tc>
        <w:tc>
          <w:tcPr>
            <w:tcW w:w="1980" w:type="dxa"/>
            <w:hideMark/>
          </w:tcPr>
          <w:p w14:paraId="14E184FC"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518.30</w:t>
            </w:r>
          </w:p>
        </w:tc>
        <w:tc>
          <w:tcPr>
            <w:tcW w:w="1701" w:type="dxa"/>
            <w:hideMark/>
          </w:tcPr>
          <w:p w14:paraId="2AB77CA2"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508.10</w:t>
            </w:r>
          </w:p>
        </w:tc>
        <w:tc>
          <w:tcPr>
            <w:tcW w:w="1559" w:type="dxa"/>
            <w:hideMark/>
          </w:tcPr>
          <w:p w14:paraId="5C351875"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499.40</w:t>
            </w:r>
          </w:p>
        </w:tc>
        <w:tc>
          <w:tcPr>
            <w:tcW w:w="1417" w:type="dxa"/>
            <w:hideMark/>
          </w:tcPr>
          <w:p w14:paraId="7BF836E3"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490.00</w:t>
            </w:r>
          </w:p>
        </w:tc>
        <w:tc>
          <w:tcPr>
            <w:tcW w:w="1458" w:type="dxa"/>
            <w:hideMark/>
          </w:tcPr>
          <w:p w14:paraId="7C5EA25D"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482.20</w:t>
            </w:r>
          </w:p>
        </w:tc>
        <w:tc>
          <w:tcPr>
            <w:tcW w:w="1559" w:type="dxa"/>
            <w:hideMark/>
          </w:tcPr>
          <w:p w14:paraId="5587CC62"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475.10</w:t>
            </w:r>
          </w:p>
        </w:tc>
        <w:tc>
          <w:tcPr>
            <w:tcW w:w="1417" w:type="dxa"/>
            <w:hideMark/>
          </w:tcPr>
          <w:p w14:paraId="55B8BC84"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468.90</w:t>
            </w:r>
          </w:p>
        </w:tc>
      </w:tr>
      <w:tr w:rsidR="009B2872" w:rsidRPr="009A14EC" w14:paraId="44864F4B" w14:textId="77777777" w:rsidTr="009D7060">
        <w:tc>
          <w:tcPr>
            <w:tcW w:w="2037" w:type="dxa"/>
            <w:hideMark/>
          </w:tcPr>
          <w:p w14:paraId="46F945EC"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Composted waste tonnage</w:t>
            </w:r>
          </w:p>
        </w:tc>
        <w:tc>
          <w:tcPr>
            <w:tcW w:w="1360" w:type="dxa"/>
            <w:shd w:val="clear" w:color="auto" w:fill="auto"/>
            <w:hideMark/>
          </w:tcPr>
          <w:p w14:paraId="63FC3D42"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Kilotonnes</w:t>
            </w:r>
          </w:p>
        </w:tc>
        <w:tc>
          <w:tcPr>
            <w:tcW w:w="1980" w:type="dxa"/>
            <w:hideMark/>
          </w:tcPr>
          <w:p w14:paraId="5EC6F49A"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437.38</w:t>
            </w:r>
          </w:p>
        </w:tc>
        <w:tc>
          <w:tcPr>
            <w:tcW w:w="1701" w:type="dxa"/>
            <w:hideMark/>
          </w:tcPr>
          <w:p w14:paraId="11A299CE"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495.48</w:t>
            </w:r>
          </w:p>
        </w:tc>
        <w:tc>
          <w:tcPr>
            <w:tcW w:w="1559" w:type="dxa"/>
            <w:hideMark/>
          </w:tcPr>
          <w:p w14:paraId="25F32FDB"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531.70</w:t>
            </w:r>
          </w:p>
        </w:tc>
        <w:tc>
          <w:tcPr>
            <w:tcW w:w="1417" w:type="dxa"/>
            <w:hideMark/>
          </w:tcPr>
          <w:p w14:paraId="7D7FAAFD"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552.70</w:t>
            </w:r>
          </w:p>
        </w:tc>
        <w:tc>
          <w:tcPr>
            <w:tcW w:w="1458" w:type="dxa"/>
            <w:hideMark/>
          </w:tcPr>
          <w:p w14:paraId="25CFA239"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565.85</w:t>
            </w:r>
          </w:p>
        </w:tc>
        <w:tc>
          <w:tcPr>
            <w:tcW w:w="1559" w:type="dxa"/>
            <w:hideMark/>
          </w:tcPr>
          <w:p w14:paraId="298F375B"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579.88</w:t>
            </w:r>
          </w:p>
        </w:tc>
        <w:tc>
          <w:tcPr>
            <w:tcW w:w="1417" w:type="dxa"/>
            <w:hideMark/>
          </w:tcPr>
          <w:p w14:paraId="764B5EF2"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594.19</w:t>
            </w:r>
          </w:p>
        </w:tc>
      </w:tr>
      <w:tr w:rsidR="009B2872" w:rsidRPr="009A14EC" w14:paraId="4F715F92" w14:textId="77777777" w:rsidTr="009D7060">
        <w:tc>
          <w:tcPr>
            <w:tcW w:w="2037" w:type="dxa"/>
            <w:hideMark/>
          </w:tcPr>
          <w:p w14:paraId="6F9CC0F1"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AD waste tonnage</w:t>
            </w:r>
          </w:p>
        </w:tc>
        <w:tc>
          <w:tcPr>
            <w:tcW w:w="1360" w:type="dxa"/>
            <w:shd w:val="clear" w:color="auto" w:fill="auto"/>
            <w:hideMark/>
          </w:tcPr>
          <w:p w14:paraId="6BA2CF70" w14:textId="77777777" w:rsidR="009B2872" w:rsidRPr="009A14EC" w:rsidRDefault="009B2872" w:rsidP="009B2872">
            <w:pPr>
              <w:spacing w:before="0" w:after="0" w:line="240" w:lineRule="auto"/>
              <w:jc w:val="lef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Kilotonnes</w:t>
            </w:r>
          </w:p>
        </w:tc>
        <w:tc>
          <w:tcPr>
            <w:tcW w:w="1980" w:type="dxa"/>
            <w:hideMark/>
          </w:tcPr>
          <w:p w14:paraId="5FFCFF7C"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20.00</w:t>
            </w:r>
          </w:p>
        </w:tc>
        <w:tc>
          <w:tcPr>
            <w:tcW w:w="1701" w:type="dxa"/>
            <w:hideMark/>
          </w:tcPr>
          <w:p w14:paraId="07E2255F"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80.00</w:t>
            </w:r>
          </w:p>
        </w:tc>
        <w:tc>
          <w:tcPr>
            <w:tcW w:w="1559" w:type="dxa"/>
            <w:hideMark/>
          </w:tcPr>
          <w:p w14:paraId="09C06184"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100.00</w:t>
            </w:r>
          </w:p>
        </w:tc>
        <w:tc>
          <w:tcPr>
            <w:tcW w:w="1417" w:type="dxa"/>
            <w:hideMark/>
          </w:tcPr>
          <w:p w14:paraId="3469BAAE"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120.00</w:t>
            </w:r>
          </w:p>
        </w:tc>
        <w:tc>
          <w:tcPr>
            <w:tcW w:w="1458" w:type="dxa"/>
            <w:hideMark/>
          </w:tcPr>
          <w:p w14:paraId="572B61C0"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200.00</w:t>
            </w:r>
          </w:p>
        </w:tc>
        <w:tc>
          <w:tcPr>
            <w:tcW w:w="1559" w:type="dxa"/>
            <w:hideMark/>
          </w:tcPr>
          <w:p w14:paraId="3651F9F6"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200.00</w:t>
            </w:r>
          </w:p>
        </w:tc>
        <w:tc>
          <w:tcPr>
            <w:tcW w:w="1417" w:type="dxa"/>
            <w:hideMark/>
          </w:tcPr>
          <w:p w14:paraId="01EF2BD6" w14:textId="77777777" w:rsidR="009B2872" w:rsidRPr="009A14EC" w:rsidRDefault="009B2872" w:rsidP="009B2872">
            <w:pPr>
              <w:spacing w:before="0" w:after="0" w:line="240" w:lineRule="auto"/>
              <w:jc w:val="right"/>
              <w:rPr>
                <w:rFonts w:asciiTheme="minorHAnsi" w:eastAsia="Times New Roman" w:hAnsiTheme="minorHAnsi" w:cstheme="minorHAnsi"/>
                <w:color w:val="000000"/>
                <w:sz w:val="18"/>
                <w:szCs w:val="18"/>
              </w:rPr>
            </w:pPr>
            <w:r w:rsidRPr="009A14EC">
              <w:rPr>
                <w:rFonts w:asciiTheme="minorHAnsi" w:eastAsia="Times New Roman" w:hAnsiTheme="minorHAnsi" w:cstheme="minorHAnsi"/>
                <w:color w:val="000000"/>
                <w:sz w:val="18"/>
                <w:szCs w:val="18"/>
              </w:rPr>
              <w:t>200.00</w:t>
            </w:r>
          </w:p>
        </w:tc>
      </w:tr>
    </w:tbl>
    <w:p w14:paraId="4B6C5209" w14:textId="68498705" w:rsidR="009B2872" w:rsidRPr="009B2872" w:rsidRDefault="009B2872" w:rsidP="009B2872">
      <w:pPr>
        <w:widowControl w:val="0"/>
        <w:adjustRightInd w:val="0"/>
        <w:spacing w:after="60" w:line="240" w:lineRule="auto"/>
        <w:ind w:left="397" w:hanging="397"/>
        <w:jc w:val="left"/>
        <w:textAlignment w:val="baseline"/>
        <w:rPr>
          <w:rFonts w:eastAsia="Times New Roman" w:cs="Times New Roman"/>
          <w:sz w:val="18"/>
        </w:rPr>
      </w:pPr>
      <w:r w:rsidRPr="009B2872">
        <w:rPr>
          <w:rFonts w:eastAsia="Times New Roman" w:cs="Times New Roman"/>
          <w:sz w:val="18"/>
        </w:rPr>
        <w:t xml:space="preserve">Note: The Party could add rows for each additional key underlying assumptions and parameters.  </w:t>
      </w:r>
    </w:p>
    <w:p w14:paraId="159406A1" w14:textId="0BF532E5" w:rsidR="009B2872" w:rsidRPr="009B2872" w:rsidRDefault="009B2872" w:rsidP="009A14EC">
      <w:pPr>
        <w:widowControl w:val="0"/>
        <w:tabs>
          <w:tab w:val="left" w:pos="284"/>
        </w:tabs>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a</w:t>
      </w:r>
      <w:r w:rsidRPr="009B2872" w:rsidDel="00D926E9">
        <w:rPr>
          <w:rFonts w:eastAsia="Times New Roman" w:cs="Times New Roman"/>
          <w:sz w:val="18"/>
          <w:vertAlign w:val="superscript"/>
        </w:rPr>
        <w:t xml:space="preserve"> </w:t>
      </w:r>
      <w:r w:rsidDel="00D926E9">
        <w:rPr>
          <w:rFonts w:eastAsia="Times New Roman" w:cs="Times New Roman"/>
          <w:sz w:val="18"/>
        </w:rPr>
        <w:t xml:space="preserve"> </w:t>
      </w:r>
      <w:r w:rsidR="003C6118">
        <w:rPr>
          <w:rFonts w:eastAsia="Times New Roman" w:cs="Times New Roman"/>
          <w:sz w:val="18"/>
        </w:rPr>
        <w:tab/>
      </w:r>
      <w:r w:rsidRPr="009B2872">
        <w:rPr>
          <w:rFonts w:eastAsia="Times New Roman" w:cs="Times New Roman"/>
          <w:sz w:val="18"/>
        </w:rPr>
        <w:t>Each Party shall report projections pursuant to paras. 93–101 of the MPGs; those developing country Parties that need flexibility in the light of their capacities are instead encouraged to report such projections (para. 92 of the MPGs).</w:t>
      </w:r>
    </w:p>
    <w:p w14:paraId="6ACEFC6B" w14:textId="5BDEC97C" w:rsidR="009B2872" w:rsidRPr="009B2872" w:rsidRDefault="009B2872" w:rsidP="009A14EC">
      <w:pPr>
        <w:widowControl w:val="0"/>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b</w:t>
      </w:r>
      <w:r w:rsidRPr="009B2872" w:rsidDel="00D926E9">
        <w:rPr>
          <w:rFonts w:eastAsia="Times New Roman" w:cs="Times New Roman"/>
          <w:sz w:val="18"/>
          <w:vertAlign w:val="superscript"/>
        </w:rPr>
        <w:t xml:space="preserve"> </w:t>
      </w:r>
      <w:r w:rsidRPr="009B2872" w:rsidDel="00D926E9">
        <w:rPr>
          <w:rFonts w:eastAsia="Times New Roman" w:cs="Times New Roman"/>
          <w:sz w:val="18"/>
        </w:rPr>
        <w:t xml:space="preserve"> </w:t>
      </w:r>
      <w:r w:rsidR="003C6118">
        <w:rPr>
          <w:rFonts w:eastAsia="Times New Roman" w:cs="Times New Roman"/>
          <w:sz w:val="18"/>
        </w:rPr>
        <w:tab/>
      </w:r>
      <w:r w:rsidRPr="009B2872">
        <w:rPr>
          <w:rFonts w:eastAsia="Times New Roman" w:cs="Times New Roman"/>
          <w:sz w:val="18"/>
        </w:rPr>
        <w:t xml:space="preserve">Those developing country Parties that need flexibility in the light of their capacities with respect to paragraphs 93–101 of the MPGs can instead report using a less detailed methodology or coverage (para. 102 of the MPGs). </w:t>
      </w:r>
    </w:p>
    <w:p w14:paraId="21B67BF9" w14:textId="1962CB2A" w:rsidR="009B2872" w:rsidRPr="009B2872" w:rsidRDefault="009B2872" w:rsidP="009A14EC">
      <w:pPr>
        <w:widowControl w:val="0"/>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c</w:t>
      </w:r>
      <w:r w:rsidRPr="009B2872" w:rsidDel="00D926E9">
        <w:rPr>
          <w:rFonts w:eastAsia="Times New Roman" w:cs="Times New Roman"/>
          <w:sz w:val="18"/>
        </w:rPr>
        <w:t xml:space="preserve">  </w:t>
      </w:r>
      <w:r w:rsidR="003C6118">
        <w:rPr>
          <w:rFonts w:eastAsia="Times New Roman" w:cs="Times New Roman"/>
          <w:sz w:val="18"/>
        </w:rPr>
        <w:tab/>
      </w:r>
      <w:r w:rsidRPr="009B2872">
        <w:rPr>
          <w:rFonts w:eastAsia="Times New Roman" w:cs="Times New Roman"/>
          <w:sz w:val="18"/>
        </w:rPr>
        <w:t>Information provided by each Party in describing the methodology used to develop the projections should include key underlying assumptions and parameters used for projections (e.g. gross domestic product growth rate/level, population growth rate/level) (para. 96(a) of the MPGs).</w:t>
      </w:r>
    </w:p>
    <w:p w14:paraId="70BED6E5" w14:textId="4FEFBF59" w:rsidR="009B2872" w:rsidRPr="009B2872" w:rsidRDefault="009B2872" w:rsidP="009A14EC">
      <w:pPr>
        <w:widowControl w:val="0"/>
        <w:adjustRightInd w:val="0"/>
        <w:spacing w:after="60" w:line="240" w:lineRule="auto"/>
        <w:ind w:left="284" w:hanging="284"/>
        <w:jc w:val="left"/>
        <w:textAlignment w:val="baseline"/>
        <w:rPr>
          <w:rFonts w:eastAsia="Times New Roman" w:cs="Times New Roman"/>
          <w:sz w:val="18"/>
        </w:rPr>
      </w:pPr>
      <w:r w:rsidRPr="009B2872">
        <w:rPr>
          <w:rFonts w:eastAsia="Times New Roman" w:cs="Times New Roman"/>
          <w:sz w:val="18"/>
          <w:vertAlign w:val="superscript"/>
        </w:rPr>
        <w:t>d</w:t>
      </w:r>
      <w:r w:rsidRPr="009B2872" w:rsidDel="00D926E9">
        <w:rPr>
          <w:rFonts w:eastAsia="Times New Roman" w:cs="Times New Roman"/>
          <w:sz w:val="18"/>
          <w:vertAlign w:val="superscript"/>
        </w:rPr>
        <w:t xml:space="preserve"> </w:t>
      </w:r>
      <w:r w:rsidRPr="009B2872" w:rsidDel="00D926E9">
        <w:rPr>
          <w:rFonts w:eastAsia="Times New Roman" w:cs="Times New Roman"/>
          <w:sz w:val="18"/>
        </w:rPr>
        <w:t xml:space="preserve"> </w:t>
      </w:r>
      <w:r w:rsidR="003C6118">
        <w:rPr>
          <w:rFonts w:eastAsia="Times New Roman" w:cs="Times New Roman"/>
          <w:sz w:val="18"/>
        </w:rPr>
        <w:tab/>
      </w:r>
      <w:r w:rsidRPr="009B2872">
        <w:rPr>
          <w:rFonts w:eastAsia="Times New Roman" w:cs="Times New Roman"/>
          <w:sz w:val="18"/>
        </w:rPr>
        <w:t>Future years extended to at least 15 years beyond the next year ending in zero or five; those developing country Parties that need flexibility in the light of their capacities with respect to this provision have the flexibility to instead extend their projections at least to the end point of their NDC under Article 4 of the Paris Agreement (para. 95 of the MPGs).</w:t>
      </w:r>
    </w:p>
    <w:p w14:paraId="64470E6B" w14:textId="77777777" w:rsidR="009B2872" w:rsidRPr="009B2872" w:rsidRDefault="009B2872" w:rsidP="009B2872"/>
    <w:p w14:paraId="58A641DB" w14:textId="77777777" w:rsidR="006D7A2B" w:rsidRDefault="006D7A2B" w:rsidP="009B2872">
      <w:pPr>
        <w:spacing w:before="0" w:after="200" w:line="276" w:lineRule="auto"/>
        <w:jc w:val="left"/>
        <w:sectPr w:rsidR="006D7A2B" w:rsidSect="00F27195">
          <w:headerReference w:type="even" r:id="rId205"/>
          <w:headerReference w:type="default" r:id="rId206"/>
          <w:footerReference w:type="default" r:id="rId207"/>
          <w:headerReference w:type="first" r:id="rId208"/>
          <w:pgSz w:w="16840" w:h="11907" w:orient="landscape" w:code="9"/>
          <w:pgMar w:top="1701" w:right="1134" w:bottom="1701" w:left="1134" w:header="567" w:footer="567" w:gutter="0"/>
          <w:cols w:space="720"/>
          <w:docGrid w:linePitch="299"/>
        </w:sectPr>
      </w:pPr>
      <w:bookmarkStart w:id="891" w:name="_Toc169616475"/>
      <w:bookmarkStart w:id="892" w:name="_Toc169616516"/>
      <w:bookmarkStart w:id="893" w:name="_Toc169620182"/>
      <w:bookmarkStart w:id="894" w:name="_Toc172794092"/>
      <w:bookmarkStart w:id="895" w:name="_Toc183678477"/>
    </w:p>
    <w:p w14:paraId="63CA9356" w14:textId="77777777" w:rsidR="009B2872" w:rsidRPr="009B2872" w:rsidRDefault="009B2872" w:rsidP="002C6658">
      <w:pPr>
        <w:pStyle w:val="Heading2notforTOC"/>
      </w:pPr>
      <w:r w:rsidRPr="009B2872">
        <w:t>Common tabular formats for the electronic reporting of information on financial, technology development and transfer and capacity-building support provided and mobilised under Articles 9-11 of the Paris Agreement</w:t>
      </w:r>
      <w:bookmarkEnd w:id="891"/>
      <w:bookmarkEnd w:id="892"/>
      <w:bookmarkEnd w:id="893"/>
      <w:bookmarkEnd w:id="894"/>
      <w:bookmarkEnd w:id="895"/>
    </w:p>
    <w:p w14:paraId="6D8331B7" w14:textId="1422B896" w:rsidR="009B2872" w:rsidRPr="009B2872" w:rsidRDefault="009B2872" w:rsidP="002C6658">
      <w:pPr>
        <w:pStyle w:val="Tableheading"/>
      </w:pPr>
      <w:bookmarkStart w:id="896" w:name="_Toc185407523"/>
      <w:bookmarkStart w:id="897" w:name="_Toc185427786"/>
      <w:r w:rsidRPr="009B2872">
        <w:t xml:space="preserve">CTF </w:t>
      </w:r>
      <w:r w:rsidR="007E289C">
        <w:t>t</w:t>
      </w:r>
      <w:r w:rsidRPr="009B2872">
        <w:t>able III.1 (2021):</w:t>
      </w:r>
      <w:r w:rsidR="00B86B19">
        <w:tab/>
      </w:r>
      <w:r w:rsidRPr="009B2872">
        <w:t>Information on financial support provided under Article 9 of the Paris Agreement in year 2021: bilateral, regional and other channels</w:t>
      </w:r>
      <w:bookmarkEnd w:id="896"/>
      <w:bookmarkEnd w:id="897"/>
    </w:p>
    <w:tbl>
      <w:tblPr>
        <w:tblW w:w="14525" w:type="dxa"/>
        <w:jc w:val="center"/>
        <w:tblBorders>
          <w:top w:val="single" w:sz="4" w:space="0" w:color="1B556B"/>
          <w:bottom w:val="single" w:sz="4" w:space="0" w:color="1B556B"/>
          <w:insideH w:val="single" w:sz="4" w:space="0" w:color="1B556B"/>
          <w:insideV w:val="single" w:sz="4" w:space="0" w:color="1B556B"/>
        </w:tblBorders>
        <w:tblLayout w:type="fixed"/>
        <w:tblLook w:val="04A0" w:firstRow="1" w:lastRow="0" w:firstColumn="1" w:lastColumn="0" w:noHBand="0" w:noVBand="1"/>
      </w:tblPr>
      <w:tblGrid>
        <w:gridCol w:w="1418"/>
        <w:gridCol w:w="2269"/>
        <w:gridCol w:w="1095"/>
        <w:gridCol w:w="1313"/>
        <w:gridCol w:w="1017"/>
        <w:gridCol w:w="860"/>
        <w:gridCol w:w="863"/>
        <w:gridCol w:w="1130"/>
        <w:gridCol w:w="1275"/>
        <w:gridCol w:w="1275"/>
        <w:gridCol w:w="883"/>
        <w:gridCol w:w="1127"/>
      </w:tblGrid>
      <w:tr w:rsidR="00003F55" w:rsidRPr="009A14EC" w14:paraId="1A1F0F64" w14:textId="77777777" w:rsidTr="00942DCE">
        <w:trPr>
          <w:trHeight w:val="20"/>
          <w:tblHeader/>
          <w:jc w:val="center"/>
        </w:trPr>
        <w:tc>
          <w:tcPr>
            <w:tcW w:w="488" w:type="pct"/>
            <w:shd w:val="clear" w:color="auto" w:fill="1B556B"/>
          </w:tcPr>
          <w:p w14:paraId="5D1733C3" w14:textId="77777777" w:rsidR="009B2872" w:rsidRPr="009A14EC" w:rsidRDefault="009B2872" w:rsidP="009B2872">
            <w:pPr>
              <w:spacing w:before="60" w:after="60" w:line="240" w:lineRule="auto"/>
              <w:jc w:val="left"/>
              <w:rPr>
                <w:rFonts w:asciiTheme="minorHAnsi" w:hAnsiTheme="minorHAnsi" w:cstheme="minorHAnsi"/>
                <w:b/>
                <w:bCs/>
                <w:color w:val="FFFFFF" w:themeColor="background1"/>
                <w:sz w:val="18"/>
                <w:szCs w:val="18"/>
              </w:rPr>
            </w:pPr>
            <w:r w:rsidRPr="009A14EC">
              <w:rPr>
                <w:rFonts w:asciiTheme="minorHAnsi" w:hAnsiTheme="minorHAnsi" w:cstheme="minorHAnsi"/>
                <w:b/>
                <w:bCs/>
                <w:color w:val="FFFFFF" w:themeColor="background1"/>
                <w:sz w:val="18"/>
                <w:szCs w:val="18"/>
              </w:rPr>
              <w:t>Recipient Country or Region</w:t>
            </w:r>
          </w:p>
        </w:tc>
        <w:tc>
          <w:tcPr>
            <w:tcW w:w="781" w:type="pct"/>
            <w:shd w:val="clear" w:color="auto" w:fill="1B556B"/>
            <w:hideMark/>
          </w:tcPr>
          <w:p w14:paraId="5E29AA76" w14:textId="77777777" w:rsidR="009B2872" w:rsidRPr="009A14EC" w:rsidRDefault="009B2872" w:rsidP="009B2872">
            <w:pPr>
              <w:spacing w:before="60" w:after="60" w:line="240" w:lineRule="auto"/>
              <w:jc w:val="left"/>
              <w:rPr>
                <w:rFonts w:asciiTheme="minorHAnsi" w:hAnsiTheme="minorHAnsi" w:cstheme="minorHAnsi"/>
                <w:b/>
                <w:bCs/>
                <w:color w:val="FFFFFF" w:themeColor="background1"/>
                <w:sz w:val="18"/>
                <w:szCs w:val="18"/>
              </w:rPr>
            </w:pPr>
            <w:r w:rsidRPr="009A14EC">
              <w:rPr>
                <w:rFonts w:asciiTheme="minorHAnsi" w:hAnsiTheme="minorHAnsi" w:cstheme="minorHAnsi"/>
                <w:b/>
                <w:bCs/>
                <w:color w:val="FFFFFF" w:themeColor="background1"/>
                <w:sz w:val="18"/>
                <w:szCs w:val="18"/>
              </w:rPr>
              <w:t>Title of the project programme, activity or other</w:t>
            </w:r>
          </w:p>
        </w:tc>
        <w:tc>
          <w:tcPr>
            <w:tcW w:w="377" w:type="pct"/>
            <w:shd w:val="clear" w:color="auto" w:fill="1B556B"/>
            <w:hideMark/>
          </w:tcPr>
          <w:p w14:paraId="7F7D5CE9" w14:textId="77777777" w:rsidR="009B2872" w:rsidRPr="009A14EC" w:rsidRDefault="009B2872" w:rsidP="009B2872">
            <w:pPr>
              <w:spacing w:before="60" w:after="60" w:line="240" w:lineRule="auto"/>
              <w:jc w:val="left"/>
              <w:rPr>
                <w:rFonts w:asciiTheme="minorHAnsi" w:hAnsiTheme="minorHAnsi" w:cstheme="minorHAnsi"/>
                <w:b/>
                <w:bCs/>
                <w:color w:val="FFFFFF" w:themeColor="background1"/>
                <w:sz w:val="18"/>
                <w:szCs w:val="18"/>
              </w:rPr>
            </w:pPr>
            <w:r w:rsidRPr="009A14EC">
              <w:rPr>
                <w:rFonts w:asciiTheme="minorHAnsi" w:hAnsiTheme="minorHAnsi" w:cstheme="minorHAnsi"/>
                <w:b/>
                <w:bCs/>
                <w:color w:val="FFFFFF" w:themeColor="background1"/>
                <w:sz w:val="18"/>
                <w:szCs w:val="18"/>
              </w:rPr>
              <w:t>Amount (climate-specific USD)</w:t>
            </w:r>
          </w:p>
        </w:tc>
        <w:tc>
          <w:tcPr>
            <w:tcW w:w="452" w:type="pct"/>
            <w:shd w:val="clear" w:color="auto" w:fill="1B556B"/>
            <w:hideMark/>
          </w:tcPr>
          <w:p w14:paraId="07625401" w14:textId="77777777" w:rsidR="009B2872" w:rsidRPr="009A14EC" w:rsidRDefault="009B2872" w:rsidP="009B2872">
            <w:pPr>
              <w:spacing w:before="60" w:after="60" w:line="240" w:lineRule="auto"/>
              <w:jc w:val="left"/>
              <w:rPr>
                <w:rFonts w:asciiTheme="minorHAnsi" w:hAnsiTheme="minorHAnsi" w:cstheme="minorHAnsi"/>
                <w:b/>
                <w:bCs/>
                <w:color w:val="FFFFFF" w:themeColor="background1"/>
                <w:sz w:val="18"/>
                <w:szCs w:val="18"/>
              </w:rPr>
            </w:pPr>
            <w:r w:rsidRPr="009A14EC">
              <w:rPr>
                <w:rFonts w:asciiTheme="minorHAnsi" w:hAnsiTheme="minorHAnsi" w:cstheme="minorHAnsi"/>
                <w:b/>
                <w:bCs/>
                <w:color w:val="FFFFFF" w:themeColor="background1"/>
                <w:sz w:val="18"/>
                <w:szCs w:val="18"/>
              </w:rPr>
              <w:t>Amount (climate-specific NZD)</w:t>
            </w:r>
          </w:p>
        </w:tc>
        <w:tc>
          <w:tcPr>
            <w:tcW w:w="350" w:type="pct"/>
            <w:shd w:val="clear" w:color="auto" w:fill="1B556B"/>
            <w:noWrap/>
            <w:hideMark/>
          </w:tcPr>
          <w:p w14:paraId="623D597E" w14:textId="77777777" w:rsidR="009B2872" w:rsidRPr="009A14EC" w:rsidRDefault="009B2872" w:rsidP="009B2872">
            <w:pPr>
              <w:spacing w:before="60" w:after="60" w:line="240" w:lineRule="auto"/>
              <w:jc w:val="left"/>
              <w:rPr>
                <w:rFonts w:asciiTheme="minorHAnsi" w:hAnsiTheme="minorHAnsi" w:cstheme="minorHAnsi"/>
                <w:b/>
                <w:bCs/>
                <w:color w:val="FFFFFF" w:themeColor="background1"/>
                <w:sz w:val="18"/>
                <w:szCs w:val="18"/>
              </w:rPr>
            </w:pPr>
            <w:r w:rsidRPr="009A14EC">
              <w:rPr>
                <w:rFonts w:asciiTheme="minorHAnsi" w:hAnsiTheme="minorHAnsi" w:cstheme="minorHAnsi"/>
                <w:b/>
                <w:bCs/>
                <w:color w:val="FFFFFF" w:themeColor="background1"/>
                <w:sz w:val="18"/>
                <w:szCs w:val="18"/>
              </w:rPr>
              <w:t>Status</w:t>
            </w:r>
          </w:p>
        </w:tc>
        <w:tc>
          <w:tcPr>
            <w:tcW w:w="296" w:type="pct"/>
            <w:shd w:val="clear" w:color="auto" w:fill="1B556B"/>
            <w:hideMark/>
          </w:tcPr>
          <w:p w14:paraId="669F1A47" w14:textId="77777777" w:rsidR="009B2872" w:rsidRPr="009A14EC" w:rsidRDefault="009B2872" w:rsidP="009B2872">
            <w:pPr>
              <w:spacing w:before="60" w:after="60" w:line="240" w:lineRule="auto"/>
              <w:jc w:val="left"/>
              <w:rPr>
                <w:rFonts w:asciiTheme="minorHAnsi" w:hAnsiTheme="minorHAnsi" w:cstheme="minorHAnsi"/>
                <w:b/>
                <w:bCs/>
                <w:color w:val="FFFFFF" w:themeColor="background1"/>
                <w:sz w:val="18"/>
                <w:szCs w:val="18"/>
              </w:rPr>
            </w:pPr>
            <w:r w:rsidRPr="009A14EC">
              <w:rPr>
                <w:rFonts w:asciiTheme="minorHAnsi" w:hAnsiTheme="minorHAnsi" w:cstheme="minorHAnsi"/>
                <w:b/>
                <w:bCs/>
                <w:color w:val="FFFFFF" w:themeColor="background1"/>
                <w:sz w:val="18"/>
                <w:szCs w:val="18"/>
              </w:rPr>
              <w:t>Channel</w:t>
            </w:r>
          </w:p>
        </w:tc>
        <w:tc>
          <w:tcPr>
            <w:tcW w:w="297" w:type="pct"/>
            <w:shd w:val="clear" w:color="auto" w:fill="1B556B"/>
            <w:noWrap/>
            <w:hideMark/>
          </w:tcPr>
          <w:p w14:paraId="00BFF807" w14:textId="77777777" w:rsidR="009B2872" w:rsidRPr="009A14EC" w:rsidRDefault="009B2872" w:rsidP="009B2872">
            <w:pPr>
              <w:spacing w:before="60" w:after="60" w:line="240" w:lineRule="auto"/>
              <w:jc w:val="left"/>
              <w:rPr>
                <w:rFonts w:asciiTheme="minorHAnsi" w:hAnsiTheme="minorHAnsi" w:cstheme="minorHAnsi"/>
                <w:b/>
                <w:bCs/>
                <w:color w:val="FFFFFF" w:themeColor="background1"/>
                <w:sz w:val="18"/>
                <w:szCs w:val="18"/>
              </w:rPr>
            </w:pPr>
            <w:r w:rsidRPr="009A14EC">
              <w:rPr>
                <w:rFonts w:asciiTheme="minorHAnsi" w:hAnsiTheme="minorHAnsi" w:cstheme="minorHAnsi"/>
                <w:b/>
                <w:bCs/>
                <w:color w:val="FFFFFF" w:themeColor="background1"/>
                <w:sz w:val="18"/>
                <w:szCs w:val="18"/>
              </w:rPr>
              <w:t>Funding Source</w:t>
            </w:r>
          </w:p>
        </w:tc>
        <w:tc>
          <w:tcPr>
            <w:tcW w:w="389" w:type="pct"/>
            <w:shd w:val="clear" w:color="auto" w:fill="1B556B"/>
            <w:hideMark/>
          </w:tcPr>
          <w:p w14:paraId="5F9ADD0A" w14:textId="77777777" w:rsidR="009B2872" w:rsidRPr="009A14EC" w:rsidRDefault="009B2872" w:rsidP="009B2872">
            <w:pPr>
              <w:spacing w:before="60" w:after="60" w:line="240" w:lineRule="auto"/>
              <w:jc w:val="left"/>
              <w:rPr>
                <w:rFonts w:asciiTheme="minorHAnsi" w:hAnsiTheme="minorHAnsi" w:cstheme="minorHAnsi"/>
                <w:b/>
                <w:bCs/>
                <w:color w:val="FFFFFF" w:themeColor="background1"/>
                <w:sz w:val="18"/>
                <w:szCs w:val="18"/>
              </w:rPr>
            </w:pPr>
            <w:r w:rsidRPr="009A14EC">
              <w:rPr>
                <w:rFonts w:asciiTheme="minorHAnsi" w:hAnsiTheme="minorHAnsi" w:cstheme="minorHAnsi"/>
                <w:b/>
                <w:bCs/>
                <w:color w:val="FFFFFF" w:themeColor="background1"/>
                <w:sz w:val="18"/>
                <w:szCs w:val="18"/>
              </w:rPr>
              <w:t>Financial instrument</w:t>
            </w:r>
          </w:p>
        </w:tc>
        <w:tc>
          <w:tcPr>
            <w:tcW w:w="439" w:type="pct"/>
            <w:shd w:val="clear" w:color="auto" w:fill="1B556B"/>
            <w:hideMark/>
          </w:tcPr>
          <w:p w14:paraId="531EA0D3" w14:textId="77777777" w:rsidR="009B2872" w:rsidRPr="009A14EC" w:rsidRDefault="009B2872" w:rsidP="009B2872">
            <w:pPr>
              <w:spacing w:before="60" w:after="60" w:line="240" w:lineRule="auto"/>
              <w:jc w:val="left"/>
              <w:rPr>
                <w:rFonts w:asciiTheme="minorHAnsi" w:hAnsiTheme="minorHAnsi" w:cstheme="minorHAnsi"/>
                <w:b/>
                <w:bCs/>
                <w:color w:val="FFFFFF" w:themeColor="background1"/>
                <w:sz w:val="18"/>
                <w:szCs w:val="18"/>
              </w:rPr>
            </w:pPr>
            <w:r w:rsidRPr="009A14EC">
              <w:rPr>
                <w:rFonts w:asciiTheme="minorHAnsi" w:hAnsiTheme="minorHAnsi" w:cstheme="minorHAnsi"/>
                <w:b/>
                <w:bCs/>
                <w:color w:val="FFFFFF" w:themeColor="background1"/>
                <w:sz w:val="18"/>
                <w:szCs w:val="18"/>
              </w:rPr>
              <w:t>Type of Support</w:t>
            </w:r>
          </w:p>
        </w:tc>
        <w:tc>
          <w:tcPr>
            <w:tcW w:w="439" w:type="pct"/>
            <w:shd w:val="clear" w:color="auto" w:fill="1B556B"/>
            <w:hideMark/>
          </w:tcPr>
          <w:p w14:paraId="590C9BF0" w14:textId="77777777" w:rsidR="009B2872" w:rsidRPr="009A14EC" w:rsidRDefault="009B2872" w:rsidP="009B2872">
            <w:pPr>
              <w:spacing w:before="60" w:after="60" w:line="240" w:lineRule="auto"/>
              <w:jc w:val="left"/>
              <w:rPr>
                <w:rFonts w:asciiTheme="minorHAnsi" w:hAnsiTheme="minorHAnsi" w:cstheme="minorHAnsi"/>
                <w:b/>
                <w:bCs/>
                <w:color w:val="FFFFFF" w:themeColor="background1"/>
                <w:sz w:val="18"/>
                <w:szCs w:val="18"/>
              </w:rPr>
            </w:pPr>
            <w:r w:rsidRPr="009A14EC">
              <w:rPr>
                <w:rFonts w:asciiTheme="minorHAnsi" w:hAnsiTheme="minorHAnsi" w:cstheme="minorHAnsi"/>
                <w:b/>
                <w:bCs/>
                <w:color w:val="FFFFFF" w:themeColor="background1"/>
                <w:sz w:val="18"/>
                <w:szCs w:val="18"/>
              </w:rPr>
              <w:t>Sector</w:t>
            </w:r>
          </w:p>
        </w:tc>
        <w:tc>
          <w:tcPr>
            <w:tcW w:w="304" w:type="pct"/>
            <w:shd w:val="clear" w:color="auto" w:fill="1B556B"/>
            <w:hideMark/>
          </w:tcPr>
          <w:p w14:paraId="53C7257F" w14:textId="77777777" w:rsidR="009B2872" w:rsidRPr="009A14EC" w:rsidRDefault="009B2872" w:rsidP="009B2872">
            <w:pPr>
              <w:spacing w:before="60" w:after="60" w:line="240" w:lineRule="auto"/>
              <w:jc w:val="left"/>
              <w:rPr>
                <w:rFonts w:asciiTheme="minorHAnsi" w:hAnsiTheme="minorHAnsi" w:cstheme="minorHAnsi"/>
                <w:b/>
                <w:bCs/>
                <w:color w:val="FFFFFF" w:themeColor="background1"/>
                <w:sz w:val="18"/>
                <w:szCs w:val="18"/>
              </w:rPr>
            </w:pPr>
            <w:r w:rsidRPr="009A14EC">
              <w:rPr>
                <w:rFonts w:asciiTheme="minorHAnsi" w:hAnsiTheme="minorHAnsi" w:cstheme="minorHAnsi"/>
                <w:b/>
                <w:bCs/>
                <w:color w:val="FFFFFF" w:themeColor="background1"/>
                <w:sz w:val="18"/>
                <w:szCs w:val="18"/>
              </w:rPr>
              <w:t>Capacity building</w:t>
            </w:r>
          </w:p>
        </w:tc>
        <w:tc>
          <w:tcPr>
            <w:tcW w:w="388" w:type="pct"/>
            <w:shd w:val="clear" w:color="auto" w:fill="1B556B"/>
            <w:hideMark/>
          </w:tcPr>
          <w:p w14:paraId="19F654C7" w14:textId="77777777" w:rsidR="009B2872" w:rsidRPr="009A14EC" w:rsidRDefault="009B2872" w:rsidP="009B2872">
            <w:pPr>
              <w:spacing w:before="60" w:after="60" w:line="240" w:lineRule="auto"/>
              <w:jc w:val="left"/>
              <w:rPr>
                <w:rFonts w:asciiTheme="minorHAnsi" w:hAnsiTheme="minorHAnsi" w:cstheme="minorHAnsi"/>
                <w:b/>
                <w:bCs/>
                <w:color w:val="FFFFFF" w:themeColor="background1"/>
                <w:sz w:val="18"/>
                <w:szCs w:val="18"/>
              </w:rPr>
            </w:pPr>
            <w:r w:rsidRPr="009A14EC">
              <w:rPr>
                <w:rFonts w:asciiTheme="minorHAnsi" w:hAnsiTheme="minorHAnsi" w:cstheme="minorHAnsi"/>
                <w:b/>
                <w:bCs/>
                <w:color w:val="FFFFFF" w:themeColor="background1"/>
                <w:sz w:val="18"/>
                <w:szCs w:val="18"/>
              </w:rPr>
              <w:t>Technology transfer</w:t>
            </w:r>
          </w:p>
        </w:tc>
      </w:tr>
      <w:tr w:rsidR="00377049" w:rsidRPr="009A14EC" w14:paraId="0677F150" w14:textId="77777777" w:rsidTr="00942DCE">
        <w:trPr>
          <w:trHeight w:val="20"/>
          <w:jc w:val="center"/>
        </w:trPr>
        <w:tc>
          <w:tcPr>
            <w:tcW w:w="488" w:type="pct"/>
            <w:shd w:val="clear" w:color="000000" w:fill="FFFFFF"/>
          </w:tcPr>
          <w:p w14:paraId="349E328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Myanmar</w:t>
            </w:r>
          </w:p>
        </w:tc>
        <w:tc>
          <w:tcPr>
            <w:tcW w:w="781" w:type="pct"/>
            <w:shd w:val="clear" w:color="000000" w:fill="FFFFFF"/>
            <w:hideMark/>
          </w:tcPr>
          <w:p w14:paraId="3405AF5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Myanmar Renewable Energy Programme</w:t>
            </w:r>
          </w:p>
        </w:tc>
        <w:tc>
          <w:tcPr>
            <w:tcW w:w="377" w:type="pct"/>
            <w:shd w:val="clear" w:color="000000" w:fill="FFFFFF"/>
            <w:noWrap/>
            <w:hideMark/>
          </w:tcPr>
          <w:p w14:paraId="5924D3A7"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82,940</w:t>
            </w:r>
          </w:p>
        </w:tc>
        <w:tc>
          <w:tcPr>
            <w:tcW w:w="452" w:type="pct"/>
            <w:shd w:val="clear" w:color="000000" w:fill="FFFFFF"/>
            <w:hideMark/>
          </w:tcPr>
          <w:p w14:paraId="74D8A434"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117,276</w:t>
            </w:r>
          </w:p>
        </w:tc>
        <w:tc>
          <w:tcPr>
            <w:tcW w:w="350" w:type="pct"/>
            <w:shd w:val="clear" w:color="000000" w:fill="FFFFFF"/>
            <w:noWrap/>
            <w:hideMark/>
          </w:tcPr>
          <w:p w14:paraId="3620465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0F38582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7F9A4EA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5DC8DE0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7DFB49C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Mitigation</w:t>
            </w:r>
          </w:p>
        </w:tc>
        <w:tc>
          <w:tcPr>
            <w:tcW w:w="439" w:type="pct"/>
            <w:shd w:val="clear" w:color="000000" w:fill="FFFFFF"/>
            <w:hideMark/>
          </w:tcPr>
          <w:p w14:paraId="2C4B165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Energy</w:t>
            </w:r>
          </w:p>
        </w:tc>
        <w:tc>
          <w:tcPr>
            <w:tcW w:w="304" w:type="pct"/>
            <w:shd w:val="clear" w:color="000000" w:fill="FFFFFF"/>
            <w:hideMark/>
          </w:tcPr>
          <w:p w14:paraId="57A4CB9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682249D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3868843C" w14:textId="77777777" w:rsidTr="00942DCE">
        <w:trPr>
          <w:trHeight w:val="20"/>
          <w:jc w:val="center"/>
        </w:trPr>
        <w:tc>
          <w:tcPr>
            <w:tcW w:w="488" w:type="pct"/>
            <w:shd w:val="clear" w:color="000000" w:fill="FFFFFF"/>
          </w:tcPr>
          <w:p w14:paraId="4271379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xml:space="preserve">Solomon Islands </w:t>
            </w:r>
          </w:p>
        </w:tc>
        <w:tc>
          <w:tcPr>
            <w:tcW w:w="781" w:type="pct"/>
            <w:shd w:val="clear" w:color="000000" w:fill="FFFFFF"/>
            <w:hideMark/>
          </w:tcPr>
          <w:p w14:paraId="0C6F930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Forest Conservation Solomon Islands</w:t>
            </w:r>
          </w:p>
        </w:tc>
        <w:tc>
          <w:tcPr>
            <w:tcW w:w="377" w:type="pct"/>
            <w:shd w:val="clear" w:color="000000" w:fill="FFFFFF"/>
            <w:noWrap/>
            <w:hideMark/>
          </w:tcPr>
          <w:p w14:paraId="2F6812D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151,917</w:t>
            </w:r>
          </w:p>
        </w:tc>
        <w:tc>
          <w:tcPr>
            <w:tcW w:w="452" w:type="pct"/>
            <w:shd w:val="clear" w:color="000000" w:fill="FFFFFF"/>
            <w:hideMark/>
          </w:tcPr>
          <w:p w14:paraId="46A87F47"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214,811</w:t>
            </w:r>
          </w:p>
        </w:tc>
        <w:tc>
          <w:tcPr>
            <w:tcW w:w="350" w:type="pct"/>
            <w:shd w:val="clear" w:color="000000" w:fill="FFFFFF"/>
            <w:noWrap/>
            <w:hideMark/>
          </w:tcPr>
          <w:p w14:paraId="49279C3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0FA0A02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202CDE8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746172C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597DFE2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518D378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31970EF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0B257E3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21D880ED" w14:textId="77777777" w:rsidTr="00942DCE">
        <w:trPr>
          <w:trHeight w:val="20"/>
          <w:jc w:val="center"/>
        </w:trPr>
        <w:tc>
          <w:tcPr>
            <w:tcW w:w="488" w:type="pct"/>
            <w:shd w:val="clear" w:color="000000" w:fill="FFFFFF"/>
          </w:tcPr>
          <w:p w14:paraId="1CA5D3B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Ethiopia</w:t>
            </w:r>
          </w:p>
        </w:tc>
        <w:tc>
          <w:tcPr>
            <w:tcW w:w="781" w:type="pct"/>
            <w:shd w:val="clear" w:color="000000" w:fill="FFFFFF"/>
            <w:hideMark/>
          </w:tcPr>
          <w:p w14:paraId="20B86FE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Supporting Value Chain for Farmers</w:t>
            </w:r>
          </w:p>
        </w:tc>
        <w:tc>
          <w:tcPr>
            <w:tcW w:w="377" w:type="pct"/>
            <w:shd w:val="clear" w:color="000000" w:fill="FFFFFF"/>
            <w:noWrap/>
            <w:hideMark/>
          </w:tcPr>
          <w:p w14:paraId="5EAA730B"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41,876</w:t>
            </w:r>
          </w:p>
        </w:tc>
        <w:tc>
          <w:tcPr>
            <w:tcW w:w="452" w:type="pct"/>
            <w:shd w:val="clear" w:color="000000" w:fill="FFFFFF"/>
            <w:hideMark/>
          </w:tcPr>
          <w:p w14:paraId="4C0C63AF"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59,213</w:t>
            </w:r>
          </w:p>
        </w:tc>
        <w:tc>
          <w:tcPr>
            <w:tcW w:w="350" w:type="pct"/>
            <w:shd w:val="clear" w:color="000000" w:fill="FFFFFF"/>
            <w:noWrap/>
            <w:hideMark/>
          </w:tcPr>
          <w:p w14:paraId="1258FFA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7B5368C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49E86BD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747E228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6002FF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703D387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Agriculture</w:t>
            </w:r>
          </w:p>
        </w:tc>
        <w:tc>
          <w:tcPr>
            <w:tcW w:w="304" w:type="pct"/>
            <w:shd w:val="clear" w:color="000000" w:fill="FFFFFF"/>
            <w:hideMark/>
          </w:tcPr>
          <w:p w14:paraId="77AD668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524450B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197B0B4D" w14:textId="77777777" w:rsidTr="00942DCE">
        <w:trPr>
          <w:trHeight w:val="20"/>
          <w:jc w:val="center"/>
        </w:trPr>
        <w:tc>
          <w:tcPr>
            <w:tcW w:w="488" w:type="pct"/>
            <w:shd w:val="clear" w:color="000000" w:fill="FFFFFF"/>
          </w:tcPr>
          <w:p w14:paraId="09D6C9C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 / Multi-Country</w:t>
            </w:r>
          </w:p>
        </w:tc>
        <w:tc>
          <w:tcPr>
            <w:tcW w:w="781" w:type="pct"/>
            <w:shd w:val="clear" w:color="000000" w:fill="FFFFFF"/>
            <w:hideMark/>
          </w:tcPr>
          <w:p w14:paraId="1007D4A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Climate and Oceans Support Program in the Pacific</w:t>
            </w:r>
          </w:p>
        </w:tc>
        <w:tc>
          <w:tcPr>
            <w:tcW w:w="377" w:type="pct"/>
            <w:shd w:val="clear" w:color="000000" w:fill="FFFFFF"/>
            <w:noWrap/>
            <w:hideMark/>
          </w:tcPr>
          <w:p w14:paraId="1775B9BA"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1,768,034</w:t>
            </w:r>
          </w:p>
        </w:tc>
        <w:tc>
          <w:tcPr>
            <w:tcW w:w="452" w:type="pct"/>
            <w:shd w:val="clear" w:color="000000" w:fill="FFFFFF"/>
            <w:hideMark/>
          </w:tcPr>
          <w:p w14:paraId="1A62CABF"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2,500,000</w:t>
            </w:r>
          </w:p>
        </w:tc>
        <w:tc>
          <w:tcPr>
            <w:tcW w:w="350" w:type="pct"/>
            <w:shd w:val="clear" w:color="000000" w:fill="FFFFFF"/>
            <w:noWrap/>
            <w:hideMark/>
          </w:tcPr>
          <w:p w14:paraId="5B08C16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79EF5E5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6F03CB2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7F94BDC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084160D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4F2C36E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6E43E56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3DC3BEC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58AD8406" w14:textId="77777777" w:rsidTr="00942DCE">
        <w:trPr>
          <w:trHeight w:val="20"/>
          <w:jc w:val="center"/>
        </w:trPr>
        <w:tc>
          <w:tcPr>
            <w:tcW w:w="488" w:type="pct"/>
            <w:shd w:val="clear" w:color="000000" w:fill="FFFFFF"/>
          </w:tcPr>
          <w:p w14:paraId="206D3A2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America Central Regional/Multi-Country</w:t>
            </w:r>
          </w:p>
        </w:tc>
        <w:tc>
          <w:tcPr>
            <w:tcW w:w="781" w:type="pct"/>
            <w:shd w:val="clear" w:color="000000" w:fill="FFFFFF"/>
            <w:hideMark/>
          </w:tcPr>
          <w:p w14:paraId="195BBD7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Caribbean Agriculture and Tourism Support</w:t>
            </w:r>
          </w:p>
        </w:tc>
        <w:tc>
          <w:tcPr>
            <w:tcW w:w="377" w:type="pct"/>
            <w:shd w:val="clear" w:color="000000" w:fill="FFFFFF"/>
            <w:noWrap/>
            <w:hideMark/>
          </w:tcPr>
          <w:p w14:paraId="6F80178E"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161,661</w:t>
            </w:r>
          </w:p>
        </w:tc>
        <w:tc>
          <w:tcPr>
            <w:tcW w:w="452" w:type="pct"/>
            <w:shd w:val="clear" w:color="000000" w:fill="FFFFFF"/>
            <w:hideMark/>
          </w:tcPr>
          <w:p w14:paraId="20148B90"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228,588</w:t>
            </w:r>
          </w:p>
        </w:tc>
        <w:tc>
          <w:tcPr>
            <w:tcW w:w="350" w:type="pct"/>
            <w:shd w:val="clear" w:color="000000" w:fill="FFFFFF"/>
            <w:noWrap/>
            <w:hideMark/>
          </w:tcPr>
          <w:p w14:paraId="4F3AD93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1FAC253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2A1D849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4973FF6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021AD46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5A52A0F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Agriculture</w:t>
            </w:r>
          </w:p>
        </w:tc>
        <w:tc>
          <w:tcPr>
            <w:tcW w:w="304" w:type="pct"/>
            <w:shd w:val="clear" w:color="000000" w:fill="FFFFFF"/>
            <w:hideMark/>
          </w:tcPr>
          <w:p w14:paraId="2EF737F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5D2B141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09C732D9" w14:textId="77777777" w:rsidTr="00942DCE">
        <w:trPr>
          <w:trHeight w:val="20"/>
          <w:jc w:val="center"/>
        </w:trPr>
        <w:tc>
          <w:tcPr>
            <w:tcW w:w="488" w:type="pct"/>
            <w:shd w:val="clear" w:color="000000" w:fill="FFFFFF"/>
          </w:tcPr>
          <w:p w14:paraId="13AECEB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Tonga</w:t>
            </w:r>
          </w:p>
        </w:tc>
        <w:tc>
          <w:tcPr>
            <w:tcW w:w="781" w:type="pct"/>
            <w:shd w:val="clear" w:color="000000" w:fill="FFFFFF"/>
            <w:hideMark/>
          </w:tcPr>
          <w:p w14:paraId="343C477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Tonga Parliament Buildings Project</w:t>
            </w:r>
          </w:p>
        </w:tc>
        <w:tc>
          <w:tcPr>
            <w:tcW w:w="377" w:type="pct"/>
            <w:shd w:val="clear" w:color="000000" w:fill="FFFFFF"/>
            <w:noWrap/>
            <w:hideMark/>
          </w:tcPr>
          <w:p w14:paraId="078DD6E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140,106</w:t>
            </w:r>
          </w:p>
        </w:tc>
        <w:tc>
          <w:tcPr>
            <w:tcW w:w="452" w:type="pct"/>
            <w:shd w:val="clear" w:color="000000" w:fill="FFFFFF"/>
            <w:hideMark/>
          </w:tcPr>
          <w:p w14:paraId="67792FE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198,110</w:t>
            </w:r>
          </w:p>
        </w:tc>
        <w:tc>
          <w:tcPr>
            <w:tcW w:w="350" w:type="pct"/>
            <w:shd w:val="clear" w:color="000000" w:fill="FFFFFF"/>
            <w:noWrap/>
            <w:hideMark/>
          </w:tcPr>
          <w:p w14:paraId="2F2EC92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30E7545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359AE3B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121EF57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48BAC39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3FEE8C5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Government and Civil Society</w:t>
            </w:r>
          </w:p>
        </w:tc>
        <w:tc>
          <w:tcPr>
            <w:tcW w:w="304" w:type="pct"/>
            <w:shd w:val="clear" w:color="000000" w:fill="FFFFFF"/>
            <w:hideMark/>
          </w:tcPr>
          <w:p w14:paraId="3D8BA61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316EFC0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4864477F" w14:textId="77777777" w:rsidTr="00942DCE">
        <w:trPr>
          <w:trHeight w:val="20"/>
          <w:jc w:val="center"/>
        </w:trPr>
        <w:tc>
          <w:tcPr>
            <w:tcW w:w="488" w:type="pct"/>
            <w:shd w:val="clear" w:color="000000" w:fill="FFFFFF"/>
          </w:tcPr>
          <w:p w14:paraId="39F658F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xml:space="preserve">Pacific Regional/Multi-Country </w:t>
            </w:r>
          </w:p>
        </w:tc>
        <w:tc>
          <w:tcPr>
            <w:tcW w:w="781" w:type="pct"/>
            <w:shd w:val="clear" w:color="000000" w:fill="FFFFFF"/>
            <w:hideMark/>
          </w:tcPr>
          <w:p w14:paraId="3ABEF28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xml:space="preserve">Pacific Seeds for Life </w:t>
            </w:r>
          </w:p>
        </w:tc>
        <w:tc>
          <w:tcPr>
            <w:tcW w:w="377" w:type="pct"/>
            <w:shd w:val="clear" w:color="000000" w:fill="FFFFFF"/>
            <w:noWrap/>
            <w:hideMark/>
          </w:tcPr>
          <w:p w14:paraId="4A6B5B9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192,185</w:t>
            </w:r>
          </w:p>
        </w:tc>
        <w:tc>
          <w:tcPr>
            <w:tcW w:w="452" w:type="pct"/>
            <w:shd w:val="clear" w:color="000000" w:fill="FFFFFF"/>
            <w:hideMark/>
          </w:tcPr>
          <w:p w14:paraId="13A4B5C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271,750</w:t>
            </w:r>
          </w:p>
        </w:tc>
        <w:tc>
          <w:tcPr>
            <w:tcW w:w="350" w:type="pct"/>
            <w:shd w:val="clear" w:color="000000" w:fill="FFFFFF"/>
            <w:noWrap/>
            <w:hideMark/>
          </w:tcPr>
          <w:p w14:paraId="30DF311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7D6A50D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72ABFEA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4B552F7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1E0C0B7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4F2045B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Agriculture</w:t>
            </w:r>
          </w:p>
        </w:tc>
        <w:tc>
          <w:tcPr>
            <w:tcW w:w="304" w:type="pct"/>
            <w:shd w:val="clear" w:color="000000" w:fill="FFFFFF"/>
            <w:hideMark/>
          </w:tcPr>
          <w:p w14:paraId="241E8E5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4348515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758DD831" w14:textId="77777777" w:rsidTr="00942DCE">
        <w:trPr>
          <w:trHeight w:val="20"/>
          <w:jc w:val="center"/>
        </w:trPr>
        <w:tc>
          <w:tcPr>
            <w:tcW w:w="488" w:type="pct"/>
            <w:shd w:val="clear" w:color="000000" w:fill="FFFFFF"/>
          </w:tcPr>
          <w:p w14:paraId="4A17C06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xml:space="preserve">Tuvalu </w:t>
            </w:r>
          </w:p>
        </w:tc>
        <w:tc>
          <w:tcPr>
            <w:tcW w:w="781" w:type="pct"/>
            <w:shd w:val="clear" w:color="000000" w:fill="FFFFFF"/>
            <w:hideMark/>
          </w:tcPr>
          <w:p w14:paraId="0C3C430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898" w:name="_Hlk176256922"/>
            <w:r w:rsidRPr="009A14EC">
              <w:rPr>
                <w:rFonts w:asciiTheme="minorHAnsi" w:hAnsiTheme="minorHAnsi" w:cstheme="minorHAnsi"/>
                <w:color w:val="000000"/>
                <w:sz w:val="18"/>
                <w:szCs w:val="18"/>
              </w:rPr>
              <w:t>Vaitupu Water Security</w:t>
            </w:r>
            <w:bookmarkEnd w:id="898"/>
          </w:p>
        </w:tc>
        <w:tc>
          <w:tcPr>
            <w:tcW w:w="377" w:type="pct"/>
            <w:shd w:val="clear" w:color="000000" w:fill="FFFFFF"/>
            <w:noWrap/>
            <w:hideMark/>
          </w:tcPr>
          <w:p w14:paraId="7EE310D7"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78,458</w:t>
            </w:r>
          </w:p>
        </w:tc>
        <w:tc>
          <w:tcPr>
            <w:tcW w:w="452" w:type="pct"/>
            <w:shd w:val="clear" w:color="000000" w:fill="FFFFFF"/>
            <w:hideMark/>
          </w:tcPr>
          <w:p w14:paraId="680A10FF"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110,940</w:t>
            </w:r>
          </w:p>
        </w:tc>
        <w:tc>
          <w:tcPr>
            <w:tcW w:w="350" w:type="pct"/>
            <w:shd w:val="clear" w:color="000000" w:fill="FFFFFF"/>
            <w:noWrap/>
            <w:hideMark/>
          </w:tcPr>
          <w:p w14:paraId="653B017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3B3411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2ED4DE8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376AC73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1668D2A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4E665CC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Water and Sanitation</w:t>
            </w:r>
          </w:p>
        </w:tc>
        <w:tc>
          <w:tcPr>
            <w:tcW w:w="304" w:type="pct"/>
            <w:shd w:val="clear" w:color="000000" w:fill="FFFFFF"/>
            <w:hideMark/>
          </w:tcPr>
          <w:p w14:paraId="4802581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1CFB739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35305A1F" w14:textId="77777777" w:rsidTr="00942DCE">
        <w:trPr>
          <w:trHeight w:val="20"/>
          <w:jc w:val="center"/>
        </w:trPr>
        <w:tc>
          <w:tcPr>
            <w:tcW w:w="488" w:type="pct"/>
            <w:shd w:val="clear" w:color="000000" w:fill="FFFFFF"/>
          </w:tcPr>
          <w:p w14:paraId="5DABD16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 Multi-Country</w:t>
            </w:r>
          </w:p>
        </w:tc>
        <w:tc>
          <w:tcPr>
            <w:tcW w:w="781" w:type="pct"/>
            <w:shd w:val="clear" w:color="000000" w:fill="FFFFFF"/>
            <w:hideMark/>
          </w:tcPr>
          <w:p w14:paraId="238E25B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899" w:name="_Hlk176256912"/>
            <w:r w:rsidRPr="009A14EC">
              <w:rPr>
                <w:rFonts w:asciiTheme="minorHAnsi" w:hAnsiTheme="minorHAnsi" w:cstheme="minorHAnsi"/>
                <w:color w:val="000000"/>
                <w:sz w:val="18"/>
                <w:szCs w:val="18"/>
              </w:rPr>
              <w:t>Pacific Partnership 2019 - 2024</w:t>
            </w:r>
            <w:bookmarkEnd w:id="899"/>
          </w:p>
        </w:tc>
        <w:tc>
          <w:tcPr>
            <w:tcW w:w="377" w:type="pct"/>
            <w:shd w:val="clear" w:color="000000" w:fill="FFFFFF"/>
            <w:noWrap/>
            <w:hideMark/>
          </w:tcPr>
          <w:p w14:paraId="1F4A3653"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742,574</w:t>
            </w:r>
          </w:p>
        </w:tc>
        <w:tc>
          <w:tcPr>
            <w:tcW w:w="452" w:type="pct"/>
            <w:shd w:val="clear" w:color="000000" w:fill="FFFFFF"/>
            <w:hideMark/>
          </w:tcPr>
          <w:p w14:paraId="7D12DB40"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1,050,000</w:t>
            </w:r>
          </w:p>
        </w:tc>
        <w:tc>
          <w:tcPr>
            <w:tcW w:w="350" w:type="pct"/>
            <w:shd w:val="clear" w:color="000000" w:fill="FFFFFF"/>
            <w:noWrap/>
            <w:hideMark/>
          </w:tcPr>
          <w:p w14:paraId="577222E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50B2E7E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7A76F11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400BE25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2F6D52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725B55A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34F22C3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4996B1D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1ECC7F29" w14:textId="77777777" w:rsidTr="00942DCE">
        <w:trPr>
          <w:trHeight w:val="20"/>
          <w:jc w:val="center"/>
        </w:trPr>
        <w:tc>
          <w:tcPr>
            <w:tcW w:w="488" w:type="pct"/>
            <w:shd w:val="clear" w:color="000000" w:fill="FFFFFF"/>
          </w:tcPr>
          <w:p w14:paraId="1AFE1DC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Fiji</w:t>
            </w:r>
          </w:p>
        </w:tc>
        <w:tc>
          <w:tcPr>
            <w:tcW w:w="781" w:type="pct"/>
            <w:shd w:val="clear" w:color="000000" w:fill="FFFFFF"/>
            <w:hideMark/>
          </w:tcPr>
          <w:p w14:paraId="21C8E57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Social Housing</w:t>
            </w:r>
          </w:p>
        </w:tc>
        <w:tc>
          <w:tcPr>
            <w:tcW w:w="377" w:type="pct"/>
            <w:shd w:val="clear" w:color="000000" w:fill="FFFFFF"/>
            <w:noWrap/>
            <w:hideMark/>
          </w:tcPr>
          <w:p w14:paraId="3318947F"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204,526</w:t>
            </w:r>
          </w:p>
        </w:tc>
        <w:tc>
          <w:tcPr>
            <w:tcW w:w="452" w:type="pct"/>
            <w:shd w:val="clear" w:color="000000" w:fill="FFFFFF"/>
            <w:hideMark/>
          </w:tcPr>
          <w:p w14:paraId="5105ACCB"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289,200</w:t>
            </w:r>
          </w:p>
        </w:tc>
        <w:tc>
          <w:tcPr>
            <w:tcW w:w="350" w:type="pct"/>
            <w:shd w:val="clear" w:color="000000" w:fill="FFFFFF"/>
            <w:noWrap/>
            <w:hideMark/>
          </w:tcPr>
          <w:p w14:paraId="61C2CDB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095B143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06234BF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1324F46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0BBFFDF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5F7DABB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Other Social Infrastructure and Services</w:t>
            </w:r>
          </w:p>
        </w:tc>
        <w:tc>
          <w:tcPr>
            <w:tcW w:w="304" w:type="pct"/>
            <w:shd w:val="clear" w:color="000000" w:fill="FFFFFF"/>
            <w:hideMark/>
          </w:tcPr>
          <w:p w14:paraId="733168E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4992C64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5F6B157F" w14:textId="77777777" w:rsidTr="00942DCE">
        <w:trPr>
          <w:trHeight w:val="20"/>
          <w:jc w:val="center"/>
        </w:trPr>
        <w:tc>
          <w:tcPr>
            <w:tcW w:w="488" w:type="pct"/>
            <w:shd w:val="clear" w:color="000000" w:fill="FFFFFF"/>
          </w:tcPr>
          <w:p w14:paraId="26370FA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Tokelau</w:t>
            </w:r>
          </w:p>
        </w:tc>
        <w:tc>
          <w:tcPr>
            <w:tcW w:w="781" w:type="pct"/>
            <w:shd w:val="clear" w:color="000000" w:fill="FFFFFF"/>
            <w:hideMark/>
          </w:tcPr>
          <w:p w14:paraId="29613A2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00" w:name="_Hlk176280843"/>
            <w:r w:rsidRPr="009A14EC">
              <w:rPr>
                <w:rFonts w:asciiTheme="minorHAnsi" w:hAnsiTheme="minorHAnsi" w:cstheme="minorHAnsi"/>
                <w:color w:val="000000"/>
                <w:sz w:val="18"/>
                <w:szCs w:val="18"/>
              </w:rPr>
              <w:t>Coastal Risk Mitigation</w:t>
            </w:r>
            <w:bookmarkEnd w:id="900"/>
          </w:p>
        </w:tc>
        <w:tc>
          <w:tcPr>
            <w:tcW w:w="377" w:type="pct"/>
            <w:shd w:val="clear" w:color="000000" w:fill="FFFFFF"/>
            <w:noWrap/>
            <w:hideMark/>
          </w:tcPr>
          <w:p w14:paraId="120025D6"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136,009</w:t>
            </w:r>
          </w:p>
        </w:tc>
        <w:tc>
          <w:tcPr>
            <w:tcW w:w="452" w:type="pct"/>
            <w:shd w:val="clear" w:color="000000" w:fill="FFFFFF"/>
            <w:hideMark/>
          </w:tcPr>
          <w:p w14:paraId="2AB84368"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192,317</w:t>
            </w:r>
          </w:p>
        </w:tc>
        <w:tc>
          <w:tcPr>
            <w:tcW w:w="350" w:type="pct"/>
            <w:shd w:val="clear" w:color="000000" w:fill="FFFFFF"/>
            <w:noWrap/>
            <w:hideMark/>
          </w:tcPr>
          <w:p w14:paraId="79FEBD4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3CAF439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2AC12E7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50200B3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785BB04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70863F1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692FA1F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63661CC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2A904D27" w14:textId="77777777" w:rsidTr="00942DCE">
        <w:trPr>
          <w:trHeight w:val="20"/>
          <w:jc w:val="center"/>
        </w:trPr>
        <w:tc>
          <w:tcPr>
            <w:tcW w:w="488" w:type="pct"/>
            <w:shd w:val="clear" w:color="000000" w:fill="FFFFFF"/>
          </w:tcPr>
          <w:p w14:paraId="2A24981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Fiji</w:t>
            </w:r>
          </w:p>
        </w:tc>
        <w:tc>
          <w:tcPr>
            <w:tcW w:w="781" w:type="pct"/>
            <w:shd w:val="clear" w:color="000000" w:fill="FFFFFF"/>
            <w:hideMark/>
          </w:tcPr>
          <w:p w14:paraId="58EC1E0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01" w:name="_Hlk176281046"/>
            <w:r w:rsidRPr="009A14EC">
              <w:rPr>
                <w:rFonts w:asciiTheme="minorHAnsi" w:hAnsiTheme="minorHAnsi" w:cstheme="minorHAnsi"/>
                <w:color w:val="000000"/>
                <w:sz w:val="18"/>
                <w:szCs w:val="18"/>
              </w:rPr>
              <w:t>Disaster Risk Management in Fiji</w:t>
            </w:r>
            <w:bookmarkEnd w:id="901"/>
          </w:p>
        </w:tc>
        <w:tc>
          <w:tcPr>
            <w:tcW w:w="377" w:type="pct"/>
            <w:shd w:val="clear" w:color="000000" w:fill="FFFFFF"/>
            <w:noWrap/>
            <w:hideMark/>
          </w:tcPr>
          <w:p w14:paraId="75489A54"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252,641</w:t>
            </w:r>
          </w:p>
        </w:tc>
        <w:tc>
          <w:tcPr>
            <w:tcW w:w="452" w:type="pct"/>
            <w:shd w:val="clear" w:color="000000" w:fill="FFFFFF"/>
            <w:hideMark/>
          </w:tcPr>
          <w:p w14:paraId="7D5573A9"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357,234</w:t>
            </w:r>
          </w:p>
        </w:tc>
        <w:tc>
          <w:tcPr>
            <w:tcW w:w="350" w:type="pct"/>
            <w:shd w:val="clear" w:color="000000" w:fill="FFFFFF"/>
            <w:noWrap/>
            <w:hideMark/>
          </w:tcPr>
          <w:p w14:paraId="5243110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71F041E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291C51D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3E7D98A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7356F55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6A0E27C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3C18C0C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1CA96B9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17FE8837" w14:textId="77777777" w:rsidTr="00942DCE">
        <w:trPr>
          <w:trHeight w:val="20"/>
          <w:jc w:val="center"/>
        </w:trPr>
        <w:tc>
          <w:tcPr>
            <w:tcW w:w="488" w:type="pct"/>
            <w:shd w:val="clear" w:color="000000" w:fill="FFFFFF"/>
          </w:tcPr>
          <w:p w14:paraId="7CECA2D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Vanuatu</w:t>
            </w:r>
          </w:p>
        </w:tc>
        <w:tc>
          <w:tcPr>
            <w:tcW w:w="781" w:type="pct"/>
            <w:shd w:val="clear" w:color="000000" w:fill="FFFFFF"/>
            <w:hideMark/>
          </w:tcPr>
          <w:p w14:paraId="1D2FEB7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Vanuatu Inter-island Shipping Project Additional Support - South Paray</w:t>
            </w:r>
          </w:p>
        </w:tc>
        <w:tc>
          <w:tcPr>
            <w:tcW w:w="377" w:type="pct"/>
            <w:shd w:val="clear" w:color="000000" w:fill="FFFFFF"/>
            <w:noWrap/>
            <w:hideMark/>
          </w:tcPr>
          <w:p w14:paraId="526A3570"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92,820</w:t>
            </w:r>
          </w:p>
        </w:tc>
        <w:tc>
          <w:tcPr>
            <w:tcW w:w="452" w:type="pct"/>
            <w:shd w:val="clear" w:color="000000" w:fill="FFFFFF"/>
            <w:hideMark/>
          </w:tcPr>
          <w:p w14:paraId="4F90DC68"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131,247</w:t>
            </w:r>
          </w:p>
        </w:tc>
        <w:tc>
          <w:tcPr>
            <w:tcW w:w="350" w:type="pct"/>
            <w:shd w:val="clear" w:color="000000" w:fill="FFFFFF"/>
            <w:noWrap/>
            <w:hideMark/>
          </w:tcPr>
          <w:p w14:paraId="0364700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3F29914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38B661F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47D974D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7C64E8D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4646A1C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Transport and Storage</w:t>
            </w:r>
          </w:p>
        </w:tc>
        <w:tc>
          <w:tcPr>
            <w:tcW w:w="304" w:type="pct"/>
            <w:shd w:val="clear" w:color="000000" w:fill="FFFFFF"/>
            <w:hideMark/>
          </w:tcPr>
          <w:p w14:paraId="1EB854F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209F3D4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6F5442D8" w14:textId="77777777" w:rsidTr="00942DCE">
        <w:trPr>
          <w:trHeight w:val="20"/>
          <w:jc w:val="center"/>
        </w:trPr>
        <w:tc>
          <w:tcPr>
            <w:tcW w:w="488" w:type="pct"/>
            <w:shd w:val="clear" w:color="000000" w:fill="FFFFFF"/>
          </w:tcPr>
          <w:p w14:paraId="1ABC5B0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46FD0C7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02" w:name="_Hlk176281206"/>
            <w:r w:rsidRPr="009A14EC">
              <w:rPr>
                <w:rFonts w:asciiTheme="minorHAnsi" w:hAnsiTheme="minorHAnsi" w:cstheme="minorHAnsi"/>
                <w:color w:val="000000"/>
                <w:sz w:val="18"/>
                <w:szCs w:val="18"/>
              </w:rPr>
              <w:t>Pacific Community (SPC) Core Funding 2020-2024</w:t>
            </w:r>
            <w:bookmarkEnd w:id="902"/>
          </w:p>
        </w:tc>
        <w:tc>
          <w:tcPr>
            <w:tcW w:w="377" w:type="pct"/>
            <w:shd w:val="clear" w:color="000000" w:fill="FFFFFF"/>
            <w:noWrap/>
            <w:hideMark/>
          </w:tcPr>
          <w:p w14:paraId="74D3DA70"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4,037</w:t>
            </w:r>
          </w:p>
        </w:tc>
        <w:tc>
          <w:tcPr>
            <w:tcW w:w="452" w:type="pct"/>
            <w:shd w:val="clear" w:color="000000" w:fill="FFFFFF"/>
            <w:hideMark/>
          </w:tcPr>
          <w:p w14:paraId="7E6FF724"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5,709</w:t>
            </w:r>
          </w:p>
        </w:tc>
        <w:tc>
          <w:tcPr>
            <w:tcW w:w="350" w:type="pct"/>
            <w:shd w:val="clear" w:color="000000" w:fill="FFFFFF"/>
            <w:noWrap/>
            <w:hideMark/>
          </w:tcPr>
          <w:p w14:paraId="2869150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62590F4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0DACE1A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3C5A887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7832C05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4E095B1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57F75B1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476E58D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070C63DC" w14:textId="77777777" w:rsidTr="00942DCE">
        <w:trPr>
          <w:trHeight w:val="20"/>
          <w:jc w:val="center"/>
        </w:trPr>
        <w:tc>
          <w:tcPr>
            <w:tcW w:w="488" w:type="pct"/>
            <w:shd w:val="clear" w:color="000000" w:fill="FFFFFF"/>
          </w:tcPr>
          <w:p w14:paraId="0E953E8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xml:space="preserve">Pacific Regional/ Multi-Country </w:t>
            </w:r>
          </w:p>
        </w:tc>
        <w:tc>
          <w:tcPr>
            <w:tcW w:w="781" w:type="pct"/>
            <w:shd w:val="clear" w:color="000000" w:fill="FFFFFF"/>
            <w:hideMark/>
          </w:tcPr>
          <w:p w14:paraId="0E8C5D7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Improving Ecosystem Resilience: Kiwa Initiative</w:t>
            </w:r>
          </w:p>
        </w:tc>
        <w:tc>
          <w:tcPr>
            <w:tcW w:w="377" w:type="pct"/>
            <w:shd w:val="clear" w:color="000000" w:fill="FFFFFF"/>
            <w:noWrap/>
            <w:hideMark/>
          </w:tcPr>
          <w:p w14:paraId="39E98BD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1,414,427</w:t>
            </w:r>
          </w:p>
        </w:tc>
        <w:tc>
          <w:tcPr>
            <w:tcW w:w="452" w:type="pct"/>
            <w:shd w:val="clear" w:color="000000" w:fill="FFFFFF"/>
            <w:hideMark/>
          </w:tcPr>
          <w:p w14:paraId="4FA5D3FA"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2,000,000</w:t>
            </w:r>
          </w:p>
        </w:tc>
        <w:tc>
          <w:tcPr>
            <w:tcW w:w="350" w:type="pct"/>
            <w:shd w:val="clear" w:color="000000" w:fill="FFFFFF"/>
            <w:noWrap/>
            <w:hideMark/>
          </w:tcPr>
          <w:p w14:paraId="27C1EBB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557DD4A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575300F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265849A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40EBB0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6428CA5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0BE72F3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3F0A3E7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417F47D7" w14:textId="77777777" w:rsidTr="00942DCE">
        <w:trPr>
          <w:trHeight w:val="20"/>
          <w:jc w:val="center"/>
        </w:trPr>
        <w:tc>
          <w:tcPr>
            <w:tcW w:w="488" w:type="pct"/>
            <w:shd w:val="clear" w:color="000000" w:fill="FFFFFF"/>
          </w:tcPr>
          <w:p w14:paraId="015F9A9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4BBB022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Support to the Pacific Climate Change Centre</w:t>
            </w:r>
          </w:p>
        </w:tc>
        <w:tc>
          <w:tcPr>
            <w:tcW w:w="377" w:type="pct"/>
            <w:shd w:val="clear" w:color="000000" w:fill="FFFFFF"/>
            <w:noWrap/>
            <w:hideMark/>
          </w:tcPr>
          <w:p w14:paraId="604F5855"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393,918</w:t>
            </w:r>
          </w:p>
        </w:tc>
        <w:tc>
          <w:tcPr>
            <w:tcW w:w="452" w:type="pct"/>
            <w:shd w:val="clear" w:color="000000" w:fill="FFFFFF"/>
            <w:hideMark/>
          </w:tcPr>
          <w:p w14:paraId="5EFC8DF8"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557,001</w:t>
            </w:r>
          </w:p>
        </w:tc>
        <w:tc>
          <w:tcPr>
            <w:tcW w:w="350" w:type="pct"/>
            <w:shd w:val="clear" w:color="000000" w:fill="FFFFFF"/>
            <w:noWrap/>
            <w:hideMark/>
          </w:tcPr>
          <w:p w14:paraId="19DF3BD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406507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2148A32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7AA8713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B0C984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1D3AF6A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7A15E94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35A2CC2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7761AE01" w14:textId="77777777" w:rsidTr="00942DCE">
        <w:trPr>
          <w:trHeight w:val="20"/>
          <w:jc w:val="center"/>
        </w:trPr>
        <w:tc>
          <w:tcPr>
            <w:tcW w:w="488" w:type="pct"/>
            <w:shd w:val="clear" w:color="000000" w:fill="FFFFFF"/>
          </w:tcPr>
          <w:p w14:paraId="4AF3E21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xml:space="preserve">Pacific Regional/Multi-Country </w:t>
            </w:r>
          </w:p>
        </w:tc>
        <w:tc>
          <w:tcPr>
            <w:tcW w:w="781" w:type="pct"/>
            <w:shd w:val="clear" w:color="000000" w:fill="FFFFFF"/>
            <w:hideMark/>
          </w:tcPr>
          <w:p w14:paraId="093658A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InvestPacific</w:t>
            </w:r>
          </w:p>
          <w:p w14:paraId="04F43B5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p>
        </w:tc>
        <w:tc>
          <w:tcPr>
            <w:tcW w:w="377" w:type="pct"/>
            <w:shd w:val="clear" w:color="000000" w:fill="FFFFFF"/>
            <w:noWrap/>
            <w:hideMark/>
          </w:tcPr>
          <w:p w14:paraId="28953A5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2,820</w:t>
            </w:r>
          </w:p>
        </w:tc>
        <w:tc>
          <w:tcPr>
            <w:tcW w:w="452" w:type="pct"/>
            <w:shd w:val="clear" w:color="000000" w:fill="FFFFFF"/>
            <w:hideMark/>
          </w:tcPr>
          <w:p w14:paraId="7FEB1ABA"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3,988</w:t>
            </w:r>
          </w:p>
        </w:tc>
        <w:tc>
          <w:tcPr>
            <w:tcW w:w="350" w:type="pct"/>
            <w:shd w:val="clear" w:color="000000" w:fill="FFFFFF"/>
            <w:noWrap/>
            <w:hideMark/>
          </w:tcPr>
          <w:p w14:paraId="796D419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6F7A069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375C76E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714A228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441A9D9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4C1D2F2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Banking and Financial Services</w:t>
            </w:r>
          </w:p>
        </w:tc>
        <w:tc>
          <w:tcPr>
            <w:tcW w:w="304" w:type="pct"/>
            <w:shd w:val="clear" w:color="000000" w:fill="FFFFFF"/>
            <w:hideMark/>
          </w:tcPr>
          <w:p w14:paraId="16A5ED7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7692C37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7A86A710" w14:textId="77777777" w:rsidTr="00942DCE">
        <w:trPr>
          <w:trHeight w:val="20"/>
          <w:jc w:val="center"/>
        </w:trPr>
        <w:tc>
          <w:tcPr>
            <w:tcW w:w="488" w:type="pct"/>
            <w:shd w:val="clear" w:color="000000" w:fill="FFFFFF"/>
          </w:tcPr>
          <w:p w14:paraId="795D4D4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Niue</w:t>
            </w:r>
          </w:p>
        </w:tc>
        <w:tc>
          <w:tcPr>
            <w:tcW w:w="781" w:type="pct"/>
            <w:shd w:val="clear" w:color="000000" w:fill="FFFFFF"/>
            <w:hideMark/>
          </w:tcPr>
          <w:p w14:paraId="0B6A92C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Niue Strengthen Governance: Infrastructure</w:t>
            </w:r>
          </w:p>
        </w:tc>
        <w:tc>
          <w:tcPr>
            <w:tcW w:w="377" w:type="pct"/>
            <w:shd w:val="clear" w:color="000000" w:fill="FFFFFF"/>
            <w:noWrap/>
            <w:hideMark/>
          </w:tcPr>
          <w:p w14:paraId="128EC5FA"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657.85</w:t>
            </w:r>
          </w:p>
        </w:tc>
        <w:tc>
          <w:tcPr>
            <w:tcW w:w="452" w:type="pct"/>
            <w:shd w:val="clear" w:color="000000" w:fill="FFFFFF"/>
            <w:hideMark/>
          </w:tcPr>
          <w:p w14:paraId="0A4DB2D5"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930</w:t>
            </w:r>
          </w:p>
        </w:tc>
        <w:tc>
          <w:tcPr>
            <w:tcW w:w="350" w:type="pct"/>
            <w:shd w:val="clear" w:color="000000" w:fill="FFFFFF"/>
            <w:noWrap/>
            <w:hideMark/>
          </w:tcPr>
          <w:p w14:paraId="61D252E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5CC2F9E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3EF9DD2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12A6BB0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162A1F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5FEB413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Government and Civil Society</w:t>
            </w:r>
          </w:p>
        </w:tc>
        <w:tc>
          <w:tcPr>
            <w:tcW w:w="304" w:type="pct"/>
            <w:shd w:val="clear" w:color="000000" w:fill="FFFFFF"/>
            <w:hideMark/>
          </w:tcPr>
          <w:p w14:paraId="5F31AA5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0F60401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6203722D" w14:textId="77777777" w:rsidTr="00942DCE">
        <w:trPr>
          <w:trHeight w:val="20"/>
          <w:jc w:val="center"/>
        </w:trPr>
        <w:tc>
          <w:tcPr>
            <w:tcW w:w="488" w:type="pct"/>
            <w:shd w:val="clear" w:color="000000" w:fill="FFFFFF"/>
          </w:tcPr>
          <w:p w14:paraId="1AC3F75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Cambodia</w:t>
            </w:r>
          </w:p>
        </w:tc>
        <w:tc>
          <w:tcPr>
            <w:tcW w:w="781" w:type="pct"/>
            <w:shd w:val="clear" w:color="000000" w:fill="FFFFFF"/>
            <w:hideMark/>
          </w:tcPr>
          <w:p w14:paraId="6AF3A47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Cambodia Climate Smart Commercial Horticulture</w:t>
            </w:r>
          </w:p>
        </w:tc>
        <w:tc>
          <w:tcPr>
            <w:tcW w:w="377" w:type="pct"/>
            <w:shd w:val="clear" w:color="000000" w:fill="FFFFFF"/>
            <w:noWrap/>
            <w:hideMark/>
          </w:tcPr>
          <w:p w14:paraId="1FF9FC85"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294,588</w:t>
            </w:r>
          </w:p>
        </w:tc>
        <w:tc>
          <w:tcPr>
            <w:tcW w:w="452" w:type="pct"/>
            <w:shd w:val="clear" w:color="000000" w:fill="FFFFFF"/>
            <w:hideMark/>
          </w:tcPr>
          <w:p w14:paraId="54593B47"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416,547</w:t>
            </w:r>
          </w:p>
        </w:tc>
        <w:tc>
          <w:tcPr>
            <w:tcW w:w="350" w:type="pct"/>
            <w:shd w:val="clear" w:color="000000" w:fill="FFFFFF"/>
            <w:noWrap/>
            <w:hideMark/>
          </w:tcPr>
          <w:p w14:paraId="7E43FF2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119FD49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3BAB1D2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2E89ACB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72B3E2F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7A17DD1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Agriculture</w:t>
            </w:r>
          </w:p>
        </w:tc>
        <w:tc>
          <w:tcPr>
            <w:tcW w:w="304" w:type="pct"/>
            <w:shd w:val="clear" w:color="000000" w:fill="FFFFFF"/>
            <w:hideMark/>
          </w:tcPr>
          <w:p w14:paraId="008901B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23146F6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65401F09" w14:textId="77777777" w:rsidTr="00942DCE">
        <w:trPr>
          <w:trHeight w:val="20"/>
          <w:jc w:val="center"/>
        </w:trPr>
        <w:tc>
          <w:tcPr>
            <w:tcW w:w="488" w:type="pct"/>
            <w:shd w:val="clear" w:color="000000" w:fill="FFFFFF"/>
          </w:tcPr>
          <w:p w14:paraId="39401BE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6B7C20B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Public Sector Strengthening</w:t>
            </w:r>
          </w:p>
        </w:tc>
        <w:tc>
          <w:tcPr>
            <w:tcW w:w="377" w:type="pct"/>
            <w:shd w:val="clear" w:color="000000" w:fill="FFFFFF"/>
            <w:noWrap/>
            <w:hideMark/>
          </w:tcPr>
          <w:p w14:paraId="140039F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571,495</w:t>
            </w:r>
          </w:p>
        </w:tc>
        <w:tc>
          <w:tcPr>
            <w:tcW w:w="452" w:type="pct"/>
            <w:shd w:val="clear" w:color="000000" w:fill="FFFFFF"/>
            <w:hideMark/>
          </w:tcPr>
          <w:p w14:paraId="67BB9935"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808,094</w:t>
            </w:r>
          </w:p>
        </w:tc>
        <w:tc>
          <w:tcPr>
            <w:tcW w:w="350" w:type="pct"/>
            <w:shd w:val="clear" w:color="000000" w:fill="FFFFFF"/>
            <w:noWrap/>
            <w:hideMark/>
          </w:tcPr>
          <w:p w14:paraId="22F16B1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2A6D76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75A185A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5090E9E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6269159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746ED65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Government and Civil Society</w:t>
            </w:r>
          </w:p>
        </w:tc>
        <w:tc>
          <w:tcPr>
            <w:tcW w:w="304" w:type="pct"/>
            <w:shd w:val="clear" w:color="000000" w:fill="FFFFFF"/>
            <w:hideMark/>
          </w:tcPr>
          <w:p w14:paraId="5B21AB2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35B1135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583497FB" w14:textId="77777777" w:rsidTr="00942DCE">
        <w:trPr>
          <w:trHeight w:val="20"/>
          <w:jc w:val="center"/>
        </w:trPr>
        <w:tc>
          <w:tcPr>
            <w:tcW w:w="488" w:type="pct"/>
            <w:shd w:val="clear" w:color="000000" w:fill="FFFFFF"/>
          </w:tcPr>
          <w:p w14:paraId="67F3971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Nauru</w:t>
            </w:r>
          </w:p>
        </w:tc>
        <w:tc>
          <w:tcPr>
            <w:tcW w:w="781" w:type="pct"/>
            <w:shd w:val="clear" w:color="000000" w:fill="FFFFFF"/>
            <w:hideMark/>
          </w:tcPr>
          <w:p w14:paraId="06F7A8F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Energy Efficiency</w:t>
            </w:r>
          </w:p>
        </w:tc>
        <w:tc>
          <w:tcPr>
            <w:tcW w:w="377" w:type="pct"/>
            <w:shd w:val="clear" w:color="000000" w:fill="FFFFFF"/>
            <w:noWrap/>
            <w:hideMark/>
          </w:tcPr>
          <w:p w14:paraId="6618F4BF"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475,266</w:t>
            </w:r>
          </w:p>
        </w:tc>
        <w:tc>
          <w:tcPr>
            <w:tcW w:w="452" w:type="pct"/>
            <w:shd w:val="clear" w:color="000000" w:fill="FFFFFF"/>
            <w:hideMark/>
          </w:tcPr>
          <w:p w14:paraId="6672435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672,026</w:t>
            </w:r>
          </w:p>
        </w:tc>
        <w:tc>
          <w:tcPr>
            <w:tcW w:w="350" w:type="pct"/>
            <w:shd w:val="clear" w:color="000000" w:fill="FFFFFF"/>
            <w:noWrap/>
            <w:hideMark/>
          </w:tcPr>
          <w:p w14:paraId="488F29E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3747DBC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5AC694F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0F4CB7D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0D36A31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041B118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Energy</w:t>
            </w:r>
          </w:p>
        </w:tc>
        <w:tc>
          <w:tcPr>
            <w:tcW w:w="304" w:type="pct"/>
            <w:shd w:val="clear" w:color="000000" w:fill="FFFFFF"/>
            <w:hideMark/>
          </w:tcPr>
          <w:p w14:paraId="1D7C4B0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4456FCF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53FA9C98" w14:textId="77777777" w:rsidTr="00942DCE">
        <w:trPr>
          <w:trHeight w:val="20"/>
          <w:jc w:val="center"/>
        </w:trPr>
        <w:tc>
          <w:tcPr>
            <w:tcW w:w="488" w:type="pct"/>
            <w:shd w:val="clear" w:color="000000" w:fill="FFFFFF"/>
          </w:tcPr>
          <w:p w14:paraId="74B74DC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Kiribati</w:t>
            </w:r>
          </w:p>
        </w:tc>
        <w:tc>
          <w:tcPr>
            <w:tcW w:w="781" w:type="pct"/>
            <w:shd w:val="clear" w:color="000000" w:fill="FFFFFF"/>
            <w:hideMark/>
          </w:tcPr>
          <w:p w14:paraId="372EA93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Energy and Public Utility Reform</w:t>
            </w:r>
          </w:p>
        </w:tc>
        <w:tc>
          <w:tcPr>
            <w:tcW w:w="377" w:type="pct"/>
            <w:shd w:val="clear" w:color="000000" w:fill="FFFFFF"/>
            <w:noWrap/>
            <w:hideMark/>
          </w:tcPr>
          <w:p w14:paraId="141ECDE5"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1,272,472</w:t>
            </w:r>
          </w:p>
          <w:p w14:paraId="7CCD8A07"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p>
        </w:tc>
        <w:tc>
          <w:tcPr>
            <w:tcW w:w="452" w:type="pct"/>
            <w:shd w:val="clear" w:color="000000" w:fill="FFFFFF"/>
            <w:hideMark/>
          </w:tcPr>
          <w:p w14:paraId="74352574"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1,799,276</w:t>
            </w:r>
          </w:p>
          <w:p w14:paraId="35EAB72C"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p>
        </w:tc>
        <w:tc>
          <w:tcPr>
            <w:tcW w:w="350" w:type="pct"/>
            <w:shd w:val="clear" w:color="000000" w:fill="FFFFFF"/>
            <w:noWrap/>
            <w:hideMark/>
          </w:tcPr>
          <w:p w14:paraId="0881D95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787BCDF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4098B9F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3E233F1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6937AFE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Mitigation</w:t>
            </w:r>
          </w:p>
        </w:tc>
        <w:tc>
          <w:tcPr>
            <w:tcW w:w="439" w:type="pct"/>
            <w:shd w:val="clear" w:color="000000" w:fill="FFFFFF"/>
            <w:hideMark/>
          </w:tcPr>
          <w:p w14:paraId="18639E9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Energy</w:t>
            </w:r>
          </w:p>
        </w:tc>
        <w:tc>
          <w:tcPr>
            <w:tcW w:w="304" w:type="pct"/>
            <w:shd w:val="clear" w:color="000000" w:fill="FFFFFF"/>
            <w:hideMark/>
          </w:tcPr>
          <w:p w14:paraId="40C6C0E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23E2EF1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082F682A" w14:textId="77777777" w:rsidTr="00942DCE">
        <w:trPr>
          <w:trHeight w:val="20"/>
          <w:jc w:val="center"/>
        </w:trPr>
        <w:tc>
          <w:tcPr>
            <w:tcW w:w="488" w:type="pct"/>
            <w:shd w:val="clear" w:color="000000" w:fill="FFFFFF"/>
          </w:tcPr>
          <w:p w14:paraId="5056544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1AEAFDB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03" w:name="_Hlk176257064"/>
            <w:r w:rsidRPr="009A14EC">
              <w:rPr>
                <w:rFonts w:asciiTheme="minorHAnsi" w:hAnsiTheme="minorHAnsi" w:cstheme="minorHAnsi"/>
                <w:color w:val="000000"/>
                <w:sz w:val="18"/>
                <w:szCs w:val="18"/>
              </w:rPr>
              <w:t>Improve Ocean decision making.</w:t>
            </w:r>
            <w:bookmarkEnd w:id="903"/>
          </w:p>
        </w:tc>
        <w:tc>
          <w:tcPr>
            <w:tcW w:w="377" w:type="pct"/>
            <w:shd w:val="clear" w:color="000000" w:fill="FFFFFF"/>
            <w:noWrap/>
            <w:hideMark/>
          </w:tcPr>
          <w:p w14:paraId="4413D628"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1,461,920</w:t>
            </w:r>
          </w:p>
          <w:p w14:paraId="480B885C"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p>
        </w:tc>
        <w:tc>
          <w:tcPr>
            <w:tcW w:w="452" w:type="pct"/>
            <w:shd w:val="clear" w:color="000000" w:fill="FFFFFF"/>
            <w:hideMark/>
          </w:tcPr>
          <w:p w14:paraId="7D7B045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2,067,155</w:t>
            </w:r>
          </w:p>
          <w:p w14:paraId="736366E8"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p>
        </w:tc>
        <w:tc>
          <w:tcPr>
            <w:tcW w:w="350" w:type="pct"/>
            <w:shd w:val="clear" w:color="000000" w:fill="FFFFFF"/>
            <w:noWrap/>
            <w:hideMark/>
          </w:tcPr>
          <w:p w14:paraId="476FCDB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732B91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5FF2C31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7F3394E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78E5828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17CCFF2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2E658F7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093D1A8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7B011DE7" w14:textId="77777777" w:rsidTr="00942DCE">
        <w:trPr>
          <w:trHeight w:val="20"/>
          <w:jc w:val="center"/>
        </w:trPr>
        <w:tc>
          <w:tcPr>
            <w:tcW w:w="488" w:type="pct"/>
            <w:shd w:val="clear" w:color="000000" w:fill="FFFFFF"/>
          </w:tcPr>
          <w:p w14:paraId="1DBBD2C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xml:space="preserve">Pacific Regional/ Multi-Country </w:t>
            </w:r>
          </w:p>
        </w:tc>
        <w:tc>
          <w:tcPr>
            <w:tcW w:w="781" w:type="pct"/>
            <w:shd w:val="clear" w:color="000000" w:fill="FFFFFF"/>
            <w:hideMark/>
          </w:tcPr>
          <w:p w14:paraId="4992B72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 NDC Hub</w:t>
            </w:r>
          </w:p>
        </w:tc>
        <w:tc>
          <w:tcPr>
            <w:tcW w:w="377" w:type="pct"/>
            <w:shd w:val="clear" w:color="000000" w:fill="FFFFFF"/>
            <w:noWrap/>
            <w:hideMark/>
          </w:tcPr>
          <w:p w14:paraId="1C88FAE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424,328</w:t>
            </w:r>
          </w:p>
        </w:tc>
        <w:tc>
          <w:tcPr>
            <w:tcW w:w="452" w:type="pct"/>
            <w:shd w:val="clear" w:color="000000" w:fill="FFFFFF"/>
            <w:hideMark/>
          </w:tcPr>
          <w:p w14:paraId="4E0D6DEB"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600,000</w:t>
            </w:r>
          </w:p>
        </w:tc>
        <w:tc>
          <w:tcPr>
            <w:tcW w:w="350" w:type="pct"/>
            <w:shd w:val="clear" w:color="000000" w:fill="FFFFFF"/>
            <w:noWrap/>
            <w:hideMark/>
          </w:tcPr>
          <w:p w14:paraId="743EA49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23D14F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1C5B098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6B8A1F5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CE0500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3469E74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5DDAF32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33AFD16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42603CE7" w14:textId="77777777" w:rsidTr="00942DCE">
        <w:trPr>
          <w:trHeight w:val="20"/>
          <w:jc w:val="center"/>
        </w:trPr>
        <w:tc>
          <w:tcPr>
            <w:tcW w:w="488" w:type="pct"/>
            <w:shd w:val="clear" w:color="000000" w:fill="FFFFFF"/>
          </w:tcPr>
          <w:p w14:paraId="74E51DA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xml:space="preserve">Pacific Regional/Multi-Country </w:t>
            </w:r>
          </w:p>
        </w:tc>
        <w:tc>
          <w:tcPr>
            <w:tcW w:w="781" w:type="pct"/>
            <w:shd w:val="clear" w:color="000000" w:fill="FFFFFF"/>
            <w:hideMark/>
          </w:tcPr>
          <w:p w14:paraId="14B0724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Response to Coconut Rhinoceros Beetle CRB</w:t>
            </w:r>
          </w:p>
        </w:tc>
        <w:tc>
          <w:tcPr>
            <w:tcW w:w="377" w:type="pct"/>
            <w:shd w:val="clear" w:color="000000" w:fill="FFFFFF"/>
            <w:noWrap/>
            <w:hideMark/>
          </w:tcPr>
          <w:p w14:paraId="501DE8EF"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1,088,305</w:t>
            </w:r>
          </w:p>
          <w:p w14:paraId="267E076C"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p>
        </w:tc>
        <w:tc>
          <w:tcPr>
            <w:tcW w:w="452" w:type="pct"/>
            <w:shd w:val="clear" w:color="000000" w:fill="FFFFFF"/>
            <w:noWrap/>
            <w:hideMark/>
          </w:tcPr>
          <w:p w14:paraId="4BEF719B"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1,538,863</w:t>
            </w:r>
          </w:p>
          <w:p w14:paraId="3BE62A1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p>
        </w:tc>
        <w:tc>
          <w:tcPr>
            <w:tcW w:w="350" w:type="pct"/>
            <w:shd w:val="clear" w:color="000000" w:fill="FFFFFF"/>
            <w:noWrap/>
            <w:hideMark/>
          </w:tcPr>
          <w:p w14:paraId="07E8911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0012DAB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6E5CD97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7B0FC5A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71DB4D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39AF5F9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Agriculture</w:t>
            </w:r>
          </w:p>
        </w:tc>
        <w:tc>
          <w:tcPr>
            <w:tcW w:w="304" w:type="pct"/>
            <w:shd w:val="clear" w:color="000000" w:fill="FFFFFF"/>
            <w:hideMark/>
          </w:tcPr>
          <w:p w14:paraId="17F3FD2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06428E7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44ADB6FD" w14:textId="77777777" w:rsidTr="00942DCE">
        <w:trPr>
          <w:trHeight w:val="20"/>
          <w:jc w:val="center"/>
        </w:trPr>
        <w:tc>
          <w:tcPr>
            <w:tcW w:w="488" w:type="pct"/>
            <w:shd w:val="clear" w:color="000000" w:fill="FFFFFF"/>
          </w:tcPr>
          <w:p w14:paraId="010D435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Solomon Islands</w:t>
            </w:r>
          </w:p>
        </w:tc>
        <w:tc>
          <w:tcPr>
            <w:tcW w:w="781" w:type="pct"/>
            <w:shd w:val="clear" w:color="000000" w:fill="FFFFFF"/>
            <w:hideMark/>
          </w:tcPr>
          <w:p w14:paraId="74DBFBE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Solomon Islands Fisheries New Phase 2020-2024</w:t>
            </w:r>
          </w:p>
        </w:tc>
        <w:tc>
          <w:tcPr>
            <w:tcW w:w="377" w:type="pct"/>
            <w:shd w:val="clear" w:color="000000" w:fill="FFFFFF"/>
            <w:noWrap/>
            <w:hideMark/>
          </w:tcPr>
          <w:p w14:paraId="365C7EDA"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192,039</w:t>
            </w:r>
          </w:p>
        </w:tc>
        <w:tc>
          <w:tcPr>
            <w:tcW w:w="452" w:type="pct"/>
            <w:shd w:val="clear" w:color="000000" w:fill="FFFFFF"/>
            <w:hideMark/>
          </w:tcPr>
          <w:p w14:paraId="157B48CA"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271,543</w:t>
            </w:r>
          </w:p>
        </w:tc>
        <w:tc>
          <w:tcPr>
            <w:tcW w:w="350" w:type="pct"/>
            <w:shd w:val="clear" w:color="000000" w:fill="FFFFFF"/>
            <w:noWrap/>
            <w:hideMark/>
          </w:tcPr>
          <w:p w14:paraId="35A42DD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767EB33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75AE54B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3BF3F32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18C2F0F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09A2DB2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Fishing</w:t>
            </w:r>
          </w:p>
        </w:tc>
        <w:tc>
          <w:tcPr>
            <w:tcW w:w="304" w:type="pct"/>
            <w:shd w:val="clear" w:color="000000" w:fill="FFFFFF"/>
            <w:hideMark/>
          </w:tcPr>
          <w:p w14:paraId="47BDE2B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5AB09E1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42F7C4BF" w14:textId="77777777" w:rsidTr="00942DCE">
        <w:trPr>
          <w:trHeight w:val="20"/>
          <w:jc w:val="center"/>
        </w:trPr>
        <w:tc>
          <w:tcPr>
            <w:tcW w:w="488" w:type="pct"/>
            <w:shd w:val="clear" w:color="000000" w:fill="FFFFFF"/>
          </w:tcPr>
          <w:p w14:paraId="5751F18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7DACD92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Infrastructure Technical Assistance Fund</w:t>
            </w:r>
          </w:p>
        </w:tc>
        <w:tc>
          <w:tcPr>
            <w:tcW w:w="377" w:type="pct"/>
            <w:shd w:val="clear" w:color="000000" w:fill="FFFFFF"/>
            <w:noWrap/>
            <w:hideMark/>
          </w:tcPr>
          <w:p w14:paraId="6B12D38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452,909</w:t>
            </w:r>
          </w:p>
        </w:tc>
        <w:tc>
          <w:tcPr>
            <w:tcW w:w="452" w:type="pct"/>
            <w:shd w:val="clear" w:color="000000" w:fill="FFFFFF"/>
            <w:hideMark/>
          </w:tcPr>
          <w:p w14:paraId="4C4ABF2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640,413</w:t>
            </w:r>
          </w:p>
        </w:tc>
        <w:tc>
          <w:tcPr>
            <w:tcW w:w="350" w:type="pct"/>
            <w:shd w:val="clear" w:color="000000" w:fill="FFFFFF"/>
            <w:noWrap/>
            <w:hideMark/>
          </w:tcPr>
          <w:p w14:paraId="6A935F6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32BEF8E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635EDE7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4989C92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45F5FCE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08F35AA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Construction</w:t>
            </w:r>
          </w:p>
        </w:tc>
        <w:tc>
          <w:tcPr>
            <w:tcW w:w="304" w:type="pct"/>
            <w:shd w:val="clear" w:color="000000" w:fill="FFFFFF"/>
            <w:hideMark/>
          </w:tcPr>
          <w:p w14:paraId="7AE93F0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612426F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4FED5DE0" w14:textId="77777777" w:rsidTr="00942DCE">
        <w:trPr>
          <w:trHeight w:val="20"/>
          <w:jc w:val="center"/>
        </w:trPr>
        <w:tc>
          <w:tcPr>
            <w:tcW w:w="488" w:type="pct"/>
            <w:shd w:val="clear" w:color="000000" w:fill="FFFFFF"/>
          </w:tcPr>
          <w:p w14:paraId="3643A64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5C4E07C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Design and Delivery</w:t>
            </w:r>
          </w:p>
        </w:tc>
        <w:tc>
          <w:tcPr>
            <w:tcW w:w="377" w:type="pct"/>
            <w:shd w:val="clear" w:color="000000" w:fill="FFFFFF"/>
            <w:noWrap/>
            <w:hideMark/>
          </w:tcPr>
          <w:p w14:paraId="388CE995"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757,793</w:t>
            </w:r>
          </w:p>
        </w:tc>
        <w:tc>
          <w:tcPr>
            <w:tcW w:w="452" w:type="pct"/>
            <w:shd w:val="clear" w:color="000000" w:fill="FFFFFF"/>
            <w:noWrap/>
            <w:hideMark/>
          </w:tcPr>
          <w:p w14:paraId="10E9CAE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1,071,520</w:t>
            </w:r>
          </w:p>
          <w:p w14:paraId="7418D3BB"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p>
        </w:tc>
        <w:tc>
          <w:tcPr>
            <w:tcW w:w="350" w:type="pct"/>
            <w:shd w:val="clear" w:color="000000" w:fill="FFFFFF"/>
            <w:noWrap/>
            <w:hideMark/>
          </w:tcPr>
          <w:p w14:paraId="777F9D6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75C6449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5243574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7C77748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0DBEABC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66CFA18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46742AB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71972ED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61CB7C84" w14:textId="77777777" w:rsidTr="00942DCE">
        <w:trPr>
          <w:trHeight w:val="20"/>
          <w:jc w:val="center"/>
        </w:trPr>
        <w:tc>
          <w:tcPr>
            <w:tcW w:w="488" w:type="pct"/>
            <w:shd w:val="clear" w:color="000000" w:fill="FFFFFF"/>
          </w:tcPr>
          <w:p w14:paraId="60373DC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424AE31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04" w:name="_Hlk176257154"/>
            <w:r w:rsidRPr="009A14EC">
              <w:rPr>
                <w:rFonts w:asciiTheme="minorHAnsi" w:hAnsiTheme="minorHAnsi" w:cstheme="minorHAnsi"/>
                <w:color w:val="000000"/>
                <w:sz w:val="18"/>
                <w:szCs w:val="18"/>
              </w:rPr>
              <w:t>Pacific Voice</w:t>
            </w:r>
            <w:bookmarkEnd w:id="904"/>
          </w:p>
        </w:tc>
        <w:tc>
          <w:tcPr>
            <w:tcW w:w="377" w:type="pct"/>
            <w:shd w:val="clear" w:color="000000" w:fill="FFFFFF"/>
            <w:noWrap/>
            <w:hideMark/>
          </w:tcPr>
          <w:p w14:paraId="4DF71910"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1,022,625</w:t>
            </w:r>
          </w:p>
          <w:p w14:paraId="1B8952A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p>
        </w:tc>
        <w:tc>
          <w:tcPr>
            <w:tcW w:w="452" w:type="pct"/>
            <w:shd w:val="clear" w:color="000000" w:fill="FFFFFF"/>
            <w:hideMark/>
          </w:tcPr>
          <w:p w14:paraId="7E33BFD4"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1,445,992</w:t>
            </w:r>
          </w:p>
          <w:p w14:paraId="225323F3"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p>
        </w:tc>
        <w:tc>
          <w:tcPr>
            <w:tcW w:w="350" w:type="pct"/>
            <w:shd w:val="clear" w:color="000000" w:fill="FFFFFF"/>
            <w:noWrap/>
            <w:hideMark/>
          </w:tcPr>
          <w:p w14:paraId="6A96E58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39F0A4D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5FEFBCE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0B2F58C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326E19E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44E532B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27D7C1B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1B2E7F0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2C124AA4" w14:textId="77777777" w:rsidTr="00942DCE">
        <w:trPr>
          <w:trHeight w:val="20"/>
          <w:jc w:val="center"/>
        </w:trPr>
        <w:tc>
          <w:tcPr>
            <w:tcW w:w="488" w:type="pct"/>
            <w:shd w:val="clear" w:color="000000" w:fill="FFFFFF"/>
          </w:tcPr>
          <w:p w14:paraId="5674B96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56F9A25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05" w:name="_Hlk176257182"/>
            <w:r w:rsidRPr="009A14EC">
              <w:rPr>
                <w:rFonts w:asciiTheme="minorHAnsi" w:hAnsiTheme="minorHAnsi" w:cstheme="minorHAnsi"/>
                <w:color w:val="000000"/>
                <w:sz w:val="18"/>
                <w:szCs w:val="18"/>
              </w:rPr>
              <w:t>Climate Mobility</w:t>
            </w:r>
            <w:bookmarkEnd w:id="905"/>
          </w:p>
        </w:tc>
        <w:tc>
          <w:tcPr>
            <w:tcW w:w="377" w:type="pct"/>
            <w:shd w:val="clear" w:color="000000" w:fill="FFFFFF"/>
            <w:noWrap/>
            <w:hideMark/>
          </w:tcPr>
          <w:p w14:paraId="41D6FD50"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918,220</w:t>
            </w:r>
          </w:p>
        </w:tc>
        <w:tc>
          <w:tcPr>
            <w:tcW w:w="452" w:type="pct"/>
            <w:shd w:val="clear" w:color="000000" w:fill="FFFFFF"/>
            <w:noWrap/>
            <w:hideMark/>
          </w:tcPr>
          <w:p w14:paraId="6FC0C7FE"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1,298,363</w:t>
            </w:r>
          </w:p>
          <w:p w14:paraId="51C5449F"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p>
        </w:tc>
        <w:tc>
          <w:tcPr>
            <w:tcW w:w="350" w:type="pct"/>
            <w:shd w:val="clear" w:color="000000" w:fill="FFFFFF"/>
            <w:noWrap/>
            <w:hideMark/>
          </w:tcPr>
          <w:p w14:paraId="17E6709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7E7A08C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2AAE9AE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077A1C3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729A151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1C2817C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49241F7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09D784E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3C56A9DE" w14:textId="77777777" w:rsidTr="00942DCE">
        <w:trPr>
          <w:trHeight w:val="20"/>
          <w:jc w:val="center"/>
        </w:trPr>
        <w:tc>
          <w:tcPr>
            <w:tcW w:w="488" w:type="pct"/>
            <w:shd w:val="clear" w:color="000000" w:fill="FFFFFF"/>
          </w:tcPr>
          <w:p w14:paraId="54C63C4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Regional/Multi-Regional</w:t>
            </w:r>
          </w:p>
        </w:tc>
        <w:tc>
          <w:tcPr>
            <w:tcW w:w="781" w:type="pct"/>
            <w:shd w:val="clear" w:color="000000" w:fill="FFFFFF"/>
            <w:hideMark/>
          </w:tcPr>
          <w:p w14:paraId="54048E8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06" w:name="_Hlk176257248"/>
            <w:r w:rsidRPr="009A14EC">
              <w:rPr>
                <w:rFonts w:asciiTheme="minorHAnsi" w:hAnsiTheme="minorHAnsi" w:cstheme="minorHAnsi"/>
                <w:color w:val="000000"/>
                <w:sz w:val="18"/>
                <w:szCs w:val="18"/>
              </w:rPr>
              <w:t>Disaster Risk Finance</w:t>
            </w:r>
            <w:bookmarkEnd w:id="906"/>
          </w:p>
        </w:tc>
        <w:tc>
          <w:tcPr>
            <w:tcW w:w="377" w:type="pct"/>
            <w:shd w:val="clear" w:color="000000" w:fill="FFFFFF"/>
            <w:noWrap/>
            <w:hideMark/>
          </w:tcPr>
          <w:p w14:paraId="4DDC6CC4"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3,902,406</w:t>
            </w:r>
          </w:p>
          <w:p w14:paraId="1C457CF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p>
        </w:tc>
        <w:tc>
          <w:tcPr>
            <w:tcW w:w="452" w:type="pct"/>
            <w:shd w:val="clear" w:color="000000" w:fill="FFFFFF"/>
            <w:noWrap/>
            <w:hideMark/>
          </w:tcPr>
          <w:p w14:paraId="30D8AAF6"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5,518,002</w:t>
            </w:r>
          </w:p>
          <w:p w14:paraId="032369E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p>
        </w:tc>
        <w:tc>
          <w:tcPr>
            <w:tcW w:w="350" w:type="pct"/>
            <w:shd w:val="clear" w:color="000000" w:fill="FFFFFF"/>
            <w:noWrap/>
            <w:hideMark/>
          </w:tcPr>
          <w:p w14:paraId="00A3525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149976C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5E6F2F4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6A75358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D924DD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60C0D88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613F2E9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4FEC6E7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66AACDE6" w14:textId="77777777" w:rsidTr="00942DCE">
        <w:trPr>
          <w:trHeight w:val="20"/>
          <w:jc w:val="center"/>
        </w:trPr>
        <w:tc>
          <w:tcPr>
            <w:tcW w:w="488" w:type="pct"/>
            <w:shd w:val="clear" w:color="000000" w:fill="FFFFFF"/>
          </w:tcPr>
          <w:p w14:paraId="63BF6CE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41C2EB0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Invasive Species Management</w:t>
            </w:r>
          </w:p>
        </w:tc>
        <w:tc>
          <w:tcPr>
            <w:tcW w:w="377" w:type="pct"/>
            <w:shd w:val="clear" w:color="000000" w:fill="FFFFFF"/>
            <w:noWrap/>
            <w:hideMark/>
          </w:tcPr>
          <w:p w14:paraId="6DBE91E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1,772,557</w:t>
            </w:r>
          </w:p>
        </w:tc>
        <w:tc>
          <w:tcPr>
            <w:tcW w:w="452" w:type="pct"/>
            <w:shd w:val="clear" w:color="000000" w:fill="FFFFFF"/>
            <w:noWrap/>
            <w:hideMark/>
          </w:tcPr>
          <w:p w14:paraId="42F1280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2,506,395</w:t>
            </w:r>
          </w:p>
        </w:tc>
        <w:tc>
          <w:tcPr>
            <w:tcW w:w="350" w:type="pct"/>
            <w:shd w:val="clear" w:color="000000" w:fill="FFFFFF"/>
            <w:noWrap/>
            <w:hideMark/>
          </w:tcPr>
          <w:p w14:paraId="3898B8C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55F4B0C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272DEAD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2797880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7B49944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50C9988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60ECF98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7E2EDB9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47D350DF" w14:textId="77777777" w:rsidTr="00942DCE">
        <w:trPr>
          <w:trHeight w:val="20"/>
          <w:jc w:val="center"/>
        </w:trPr>
        <w:tc>
          <w:tcPr>
            <w:tcW w:w="488" w:type="pct"/>
            <w:shd w:val="clear" w:color="000000" w:fill="FFFFFF"/>
          </w:tcPr>
          <w:p w14:paraId="41A9EA9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Tuvalu</w:t>
            </w:r>
          </w:p>
        </w:tc>
        <w:tc>
          <w:tcPr>
            <w:tcW w:w="781" w:type="pct"/>
            <w:shd w:val="clear" w:color="000000" w:fill="FFFFFF"/>
            <w:hideMark/>
          </w:tcPr>
          <w:p w14:paraId="2E9A5EC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07" w:name="_Hlk176281789"/>
            <w:r w:rsidRPr="009A14EC">
              <w:rPr>
                <w:rFonts w:asciiTheme="minorHAnsi" w:hAnsiTheme="minorHAnsi" w:cstheme="minorHAnsi"/>
                <w:color w:val="000000"/>
                <w:sz w:val="18"/>
                <w:szCs w:val="18"/>
              </w:rPr>
              <w:t>Integrated Water Resources Management - Tuvalu</w:t>
            </w:r>
            <w:bookmarkEnd w:id="907"/>
          </w:p>
        </w:tc>
        <w:tc>
          <w:tcPr>
            <w:tcW w:w="377" w:type="pct"/>
            <w:shd w:val="clear" w:color="000000" w:fill="FFFFFF"/>
            <w:noWrap/>
            <w:hideMark/>
          </w:tcPr>
          <w:p w14:paraId="7331E428"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707,214</w:t>
            </w:r>
          </w:p>
        </w:tc>
        <w:tc>
          <w:tcPr>
            <w:tcW w:w="452" w:type="pct"/>
            <w:shd w:val="clear" w:color="000000" w:fill="FFFFFF"/>
            <w:hideMark/>
          </w:tcPr>
          <w:p w14:paraId="5C0ACEC3"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1,000,000</w:t>
            </w:r>
          </w:p>
        </w:tc>
        <w:tc>
          <w:tcPr>
            <w:tcW w:w="350" w:type="pct"/>
            <w:shd w:val="clear" w:color="000000" w:fill="FFFFFF"/>
            <w:noWrap/>
            <w:hideMark/>
          </w:tcPr>
          <w:p w14:paraId="25AAEEF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99EA20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45BA724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1CC0080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0E00F1C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55471A3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Water and Sanitation</w:t>
            </w:r>
          </w:p>
        </w:tc>
        <w:tc>
          <w:tcPr>
            <w:tcW w:w="304" w:type="pct"/>
            <w:shd w:val="clear" w:color="000000" w:fill="FFFFFF"/>
            <w:hideMark/>
          </w:tcPr>
          <w:p w14:paraId="23C62E3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04E7B33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2993D6E6" w14:textId="77777777" w:rsidTr="00942DCE">
        <w:trPr>
          <w:trHeight w:val="20"/>
          <w:jc w:val="center"/>
        </w:trPr>
        <w:tc>
          <w:tcPr>
            <w:tcW w:w="488" w:type="pct"/>
            <w:shd w:val="clear" w:color="000000" w:fill="FFFFFF"/>
          </w:tcPr>
          <w:p w14:paraId="10D2599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70C318B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Ecosystems Resilience</w:t>
            </w:r>
          </w:p>
        </w:tc>
        <w:tc>
          <w:tcPr>
            <w:tcW w:w="377" w:type="pct"/>
            <w:shd w:val="clear" w:color="000000" w:fill="FFFFFF"/>
            <w:noWrap/>
            <w:hideMark/>
          </w:tcPr>
          <w:p w14:paraId="07982D27"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1,498,540</w:t>
            </w:r>
          </w:p>
        </w:tc>
        <w:tc>
          <w:tcPr>
            <w:tcW w:w="452" w:type="pct"/>
            <w:shd w:val="clear" w:color="000000" w:fill="FFFFFF"/>
            <w:noWrap/>
            <w:hideMark/>
          </w:tcPr>
          <w:p w14:paraId="7408F0A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2,118,935</w:t>
            </w:r>
          </w:p>
        </w:tc>
        <w:tc>
          <w:tcPr>
            <w:tcW w:w="350" w:type="pct"/>
            <w:shd w:val="clear" w:color="000000" w:fill="FFFFFF"/>
            <w:noWrap/>
            <w:hideMark/>
          </w:tcPr>
          <w:p w14:paraId="16044AE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3DBB121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4CB17B0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4FC8CB3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65293F3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7A6A33C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5752737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1123E84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717BE376" w14:textId="77777777" w:rsidTr="00942DCE">
        <w:trPr>
          <w:trHeight w:val="20"/>
          <w:jc w:val="center"/>
        </w:trPr>
        <w:tc>
          <w:tcPr>
            <w:tcW w:w="488" w:type="pct"/>
            <w:shd w:val="clear" w:color="000000" w:fill="FFFFFF"/>
          </w:tcPr>
          <w:p w14:paraId="27A7F1E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70F6DA5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Mainstreaming Climate Change in Governance</w:t>
            </w:r>
          </w:p>
        </w:tc>
        <w:tc>
          <w:tcPr>
            <w:tcW w:w="377" w:type="pct"/>
            <w:shd w:val="clear" w:color="000000" w:fill="FFFFFF"/>
            <w:noWrap/>
            <w:hideMark/>
          </w:tcPr>
          <w:p w14:paraId="49223B4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622,348</w:t>
            </w:r>
          </w:p>
        </w:tc>
        <w:tc>
          <w:tcPr>
            <w:tcW w:w="452" w:type="pct"/>
            <w:shd w:val="clear" w:color="000000" w:fill="FFFFFF"/>
            <w:noWrap/>
            <w:hideMark/>
          </w:tcPr>
          <w:p w14:paraId="414800C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880,000</w:t>
            </w:r>
          </w:p>
        </w:tc>
        <w:tc>
          <w:tcPr>
            <w:tcW w:w="350" w:type="pct"/>
            <w:shd w:val="clear" w:color="000000" w:fill="FFFFFF"/>
            <w:noWrap/>
            <w:hideMark/>
          </w:tcPr>
          <w:p w14:paraId="0251EBA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1BC9D24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28942C7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577A665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0DB5B9C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0FA5DA4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Government and Civil Society</w:t>
            </w:r>
          </w:p>
        </w:tc>
        <w:tc>
          <w:tcPr>
            <w:tcW w:w="304" w:type="pct"/>
            <w:shd w:val="clear" w:color="000000" w:fill="FFFFFF"/>
            <w:hideMark/>
          </w:tcPr>
          <w:p w14:paraId="68B3590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436AC10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5D021A58" w14:textId="77777777" w:rsidTr="00942DCE">
        <w:trPr>
          <w:trHeight w:val="20"/>
          <w:jc w:val="center"/>
        </w:trPr>
        <w:tc>
          <w:tcPr>
            <w:tcW w:w="488" w:type="pct"/>
            <w:shd w:val="clear" w:color="000000" w:fill="FFFFFF"/>
          </w:tcPr>
          <w:p w14:paraId="38D20F5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Africa Regional/Multi-Country</w:t>
            </w:r>
          </w:p>
        </w:tc>
        <w:tc>
          <w:tcPr>
            <w:tcW w:w="781" w:type="pct"/>
            <w:shd w:val="clear" w:color="000000" w:fill="FFFFFF"/>
            <w:hideMark/>
          </w:tcPr>
          <w:p w14:paraId="6DA4596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African Climate Smart Agriculture Initiative</w:t>
            </w:r>
          </w:p>
        </w:tc>
        <w:tc>
          <w:tcPr>
            <w:tcW w:w="377" w:type="pct"/>
            <w:shd w:val="clear" w:color="000000" w:fill="FFFFFF"/>
            <w:noWrap/>
            <w:hideMark/>
          </w:tcPr>
          <w:p w14:paraId="5506662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990,099</w:t>
            </w:r>
          </w:p>
        </w:tc>
        <w:tc>
          <w:tcPr>
            <w:tcW w:w="452" w:type="pct"/>
            <w:shd w:val="clear" w:color="000000" w:fill="FFFFFF"/>
            <w:noWrap/>
            <w:hideMark/>
          </w:tcPr>
          <w:p w14:paraId="71891CA9"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1,400,000</w:t>
            </w:r>
          </w:p>
        </w:tc>
        <w:tc>
          <w:tcPr>
            <w:tcW w:w="350" w:type="pct"/>
            <w:shd w:val="clear" w:color="000000" w:fill="FFFFFF"/>
            <w:noWrap/>
            <w:hideMark/>
          </w:tcPr>
          <w:p w14:paraId="341D785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699E0EF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6FB0515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5A2DB1B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6070F4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Mitigation</w:t>
            </w:r>
          </w:p>
        </w:tc>
        <w:tc>
          <w:tcPr>
            <w:tcW w:w="439" w:type="pct"/>
            <w:shd w:val="clear" w:color="000000" w:fill="FFFFFF"/>
            <w:hideMark/>
          </w:tcPr>
          <w:p w14:paraId="77E2A65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Agriculture</w:t>
            </w:r>
          </w:p>
        </w:tc>
        <w:tc>
          <w:tcPr>
            <w:tcW w:w="304" w:type="pct"/>
            <w:shd w:val="clear" w:color="000000" w:fill="FFFFFF"/>
            <w:hideMark/>
          </w:tcPr>
          <w:p w14:paraId="4D13EEE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10C1270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3447EB22" w14:textId="77777777" w:rsidTr="00942DCE">
        <w:trPr>
          <w:trHeight w:val="20"/>
          <w:jc w:val="center"/>
        </w:trPr>
        <w:tc>
          <w:tcPr>
            <w:tcW w:w="488" w:type="pct"/>
            <w:shd w:val="clear" w:color="000000" w:fill="FFFFFF"/>
          </w:tcPr>
          <w:p w14:paraId="34B978A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4A56CB4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Information for decision-making</w:t>
            </w:r>
          </w:p>
        </w:tc>
        <w:tc>
          <w:tcPr>
            <w:tcW w:w="377" w:type="pct"/>
            <w:shd w:val="clear" w:color="000000" w:fill="FFFFFF"/>
            <w:noWrap/>
            <w:hideMark/>
          </w:tcPr>
          <w:p w14:paraId="7EC235F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2,072,941</w:t>
            </w:r>
          </w:p>
        </w:tc>
        <w:tc>
          <w:tcPr>
            <w:tcW w:w="452" w:type="pct"/>
            <w:shd w:val="clear" w:color="000000" w:fill="FFFFFF"/>
            <w:noWrap/>
            <w:hideMark/>
          </w:tcPr>
          <w:p w14:paraId="7B9E3620"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2,931,139</w:t>
            </w:r>
          </w:p>
        </w:tc>
        <w:tc>
          <w:tcPr>
            <w:tcW w:w="350" w:type="pct"/>
            <w:shd w:val="clear" w:color="000000" w:fill="FFFFFF"/>
            <w:noWrap/>
            <w:hideMark/>
          </w:tcPr>
          <w:p w14:paraId="7F8F565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38F05D6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783B7CB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1D2BC1C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32B5FF1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0B0791E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3C7563D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7E844B4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38189690" w14:textId="77777777" w:rsidTr="00942DCE">
        <w:trPr>
          <w:trHeight w:val="20"/>
          <w:jc w:val="center"/>
        </w:trPr>
        <w:tc>
          <w:tcPr>
            <w:tcW w:w="488" w:type="pct"/>
            <w:shd w:val="clear" w:color="000000" w:fill="FFFFFF"/>
          </w:tcPr>
          <w:p w14:paraId="46144E3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Africa Regional/Multi-Country</w:t>
            </w:r>
          </w:p>
        </w:tc>
        <w:tc>
          <w:tcPr>
            <w:tcW w:w="781" w:type="pct"/>
            <w:shd w:val="clear" w:color="000000" w:fill="FFFFFF"/>
            <w:hideMark/>
          </w:tcPr>
          <w:p w14:paraId="14089BA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08" w:name="_Hlk176282012"/>
            <w:r w:rsidRPr="009A14EC">
              <w:rPr>
                <w:rFonts w:asciiTheme="minorHAnsi" w:hAnsiTheme="minorHAnsi" w:cstheme="minorHAnsi"/>
                <w:color w:val="000000"/>
                <w:sz w:val="18"/>
                <w:szCs w:val="18"/>
              </w:rPr>
              <w:t>East Africa: Farm to Market Alliance</w:t>
            </w:r>
            <w:bookmarkEnd w:id="908"/>
          </w:p>
        </w:tc>
        <w:tc>
          <w:tcPr>
            <w:tcW w:w="377" w:type="pct"/>
            <w:shd w:val="clear" w:color="000000" w:fill="FFFFFF"/>
            <w:noWrap/>
            <w:hideMark/>
          </w:tcPr>
          <w:p w14:paraId="2947EDB9"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297,030</w:t>
            </w:r>
          </w:p>
        </w:tc>
        <w:tc>
          <w:tcPr>
            <w:tcW w:w="452" w:type="pct"/>
            <w:shd w:val="clear" w:color="000000" w:fill="FFFFFF"/>
            <w:noWrap/>
            <w:hideMark/>
          </w:tcPr>
          <w:p w14:paraId="4777917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420,000</w:t>
            </w:r>
          </w:p>
        </w:tc>
        <w:tc>
          <w:tcPr>
            <w:tcW w:w="350" w:type="pct"/>
            <w:shd w:val="clear" w:color="000000" w:fill="FFFFFF"/>
            <w:noWrap/>
            <w:hideMark/>
          </w:tcPr>
          <w:p w14:paraId="5113A7F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7A1EA71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04FDBFD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15B5F09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7FDB243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1508887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Agriculture</w:t>
            </w:r>
          </w:p>
        </w:tc>
        <w:tc>
          <w:tcPr>
            <w:tcW w:w="304" w:type="pct"/>
            <w:shd w:val="clear" w:color="000000" w:fill="FFFFFF"/>
            <w:hideMark/>
          </w:tcPr>
          <w:p w14:paraId="036882F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5B7524F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15E5900F" w14:textId="77777777" w:rsidTr="00942DCE">
        <w:trPr>
          <w:trHeight w:val="20"/>
          <w:jc w:val="center"/>
        </w:trPr>
        <w:tc>
          <w:tcPr>
            <w:tcW w:w="488" w:type="pct"/>
            <w:shd w:val="clear" w:color="000000" w:fill="FFFFFF"/>
          </w:tcPr>
          <w:p w14:paraId="2254E2F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Viet Nam</w:t>
            </w:r>
          </w:p>
        </w:tc>
        <w:tc>
          <w:tcPr>
            <w:tcW w:w="781" w:type="pct"/>
            <w:shd w:val="clear" w:color="000000" w:fill="FFFFFF"/>
            <w:hideMark/>
          </w:tcPr>
          <w:p w14:paraId="2D92D5C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09" w:name="_Hlk176282121"/>
            <w:r w:rsidRPr="009A14EC">
              <w:rPr>
                <w:rFonts w:asciiTheme="minorHAnsi" w:hAnsiTheme="minorHAnsi" w:cstheme="minorHAnsi"/>
                <w:color w:val="000000"/>
                <w:sz w:val="18"/>
                <w:szCs w:val="18"/>
              </w:rPr>
              <w:t>Viet Nam Climate-Smart Fruit Value Chain</w:t>
            </w:r>
            <w:bookmarkEnd w:id="909"/>
          </w:p>
        </w:tc>
        <w:tc>
          <w:tcPr>
            <w:tcW w:w="377" w:type="pct"/>
            <w:shd w:val="clear" w:color="000000" w:fill="FFFFFF"/>
            <w:noWrap/>
            <w:hideMark/>
          </w:tcPr>
          <w:p w14:paraId="751EE1F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39,109</w:t>
            </w:r>
          </w:p>
        </w:tc>
        <w:tc>
          <w:tcPr>
            <w:tcW w:w="452" w:type="pct"/>
            <w:shd w:val="clear" w:color="000000" w:fill="FFFFFF"/>
            <w:hideMark/>
          </w:tcPr>
          <w:p w14:paraId="3CCEC76C"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55,300</w:t>
            </w:r>
          </w:p>
        </w:tc>
        <w:tc>
          <w:tcPr>
            <w:tcW w:w="350" w:type="pct"/>
            <w:shd w:val="clear" w:color="000000" w:fill="FFFFFF"/>
            <w:noWrap/>
            <w:hideMark/>
          </w:tcPr>
          <w:p w14:paraId="63C5513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3C9F37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158EDEF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250BD04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51419F3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5D84D02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Agriculture</w:t>
            </w:r>
          </w:p>
        </w:tc>
        <w:tc>
          <w:tcPr>
            <w:tcW w:w="304" w:type="pct"/>
            <w:shd w:val="clear" w:color="000000" w:fill="FFFFFF"/>
            <w:hideMark/>
          </w:tcPr>
          <w:p w14:paraId="4B32283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5E3E44E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1DA2F1B0" w14:textId="77777777" w:rsidTr="00942DCE">
        <w:trPr>
          <w:trHeight w:val="20"/>
          <w:jc w:val="center"/>
        </w:trPr>
        <w:tc>
          <w:tcPr>
            <w:tcW w:w="488" w:type="pct"/>
            <w:shd w:val="clear" w:color="000000" w:fill="FFFFFF"/>
          </w:tcPr>
          <w:p w14:paraId="22D44FE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Myanmar</w:t>
            </w:r>
          </w:p>
        </w:tc>
        <w:tc>
          <w:tcPr>
            <w:tcW w:w="781" w:type="pct"/>
            <w:shd w:val="clear" w:color="000000" w:fill="FFFFFF"/>
            <w:hideMark/>
          </w:tcPr>
          <w:p w14:paraId="4609996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10" w:name="_Hlk176282238"/>
            <w:r w:rsidRPr="009A14EC">
              <w:rPr>
                <w:rFonts w:asciiTheme="minorHAnsi" w:hAnsiTheme="minorHAnsi" w:cstheme="minorHAnsi"/>
                <w:color w:val="000000"/>
                <w:sz w:val="18"/>
                <w:szCs w:val="18"/>
              </w:rPr>
              <w:t>Myanmar Livelihoods and Food Security Fund</w:t>
            </w:r>
            <w:bookmarkEnd w:id="910"/>
          </w:p>
        </w:tc>
        <w:tc>
          <w:tcPr>
            <w:tcW w:w="377" w:type="pct"/>
            <w:shd w:val="clear" w:color="000000" w:fill="FFFFFF"/>
            <w:noWrap/>
            <w:hideMark/>
          </w:tcPr>
          <w:p w14:paraId="794EA10A"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827,440</w:t>
            </w:r>
          </w:p>
        </w:tc>
        <w:tc>
          <w:tcPr>
            <w:tcW w:w="452" w:type="pct"/>
            <w:shd w:val="clear" w:color="000000" w:fill="FFFFFF"/>
            <w:hideMark/>
          </w:tcPr>
          <w:p w14:paraId="5884E54E"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1,170,000</w:t>
            </w:r>
          </w:p>
        </w:tc>
        <w:tc>
          <w:tcPr>
            <w:tcW w:w="350" w:type="pct"/>
            <w:shd w:val="clear" w:color="000000" w:fill="FFFFFF"/>
            <w:noWrap/>
            <w:hideMark/>
          </w:tcPr>
          <w:p w14:paraId="7D5DD81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14380D1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455B660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5E64F9B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62CDF5D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125E2B8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Agriculture</w:t>
            </w:r>
          </w:p>
        </w:tc>
        <w:tc>
          <w:tcPr>
            <w:tcW w:w="304" w:type="pct"/>
            <w:shd w:val="clear" w:color="000000" w:fill="FFFFFF"/>
            <w:hideMark/>
          </w:tcPr>
          <w:p w14:paraId="41B99B4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0886276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31D4ED1A" w14:textId="77777777" w:rsidTr="00942DCE">
        <w:trPr>
          <w:trHeight w:val="20"/>
          <w:jc w:val="center"/>
        </w:trPr>
        <w:tc>
          <w:tcPr>
            <w:tcW w:w="488" w:type="pct"/>
            <w:shd w:val="clear" w:color="000000" w:fill="FFFFFF"/>
          </w:tcPr>
          <w:p w14:paraId="0F1EC12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 Multi-Country</w:t>
            </w:r>
          </w:p>
        </w:tc>
        <w:tc>
          <w:tcPr>
            <w:tcW w:w="781" w:type="pct"/>
            <w:shd w:val="clear" w:color="000000" w:fill="FFFFFF"/>
            <w:hideMark/>
          </w:tcPr>
          <w:p w14:paraId="29E4FBA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Enhanced Pacific Biosecurity Programme</w:t>
            </w:r>
          </w:p>
        </w:tc>
        <w:tc>
          <w:tcPr>
            <w:tcW w:w="377" w:type="pct"/>
            <w:shd w:val="clear" w:color="000000" w:fill="FFFFFF"/>
            <w:noWrap/>
            <w:hideMark/>
          </w:tcPr>
          <w:p w14:paraId="5097845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209,312</w:t>
            </w:r>
          </w:p>
        </w:tc>
        <w:tc>
          <w:tcPr>
            <w:tcW w:w="452" w:type="pct"/>
            <w:shd w:val="clear" w:color="000000" w:fill="FFFFFF"/>
            <w:noWrap/>
            <w:hideMark/>
          </w:tcPr>
          <w:p w14:paraId="5FBC1647"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295,967</w:t>
            </w:r>
          </w:p>
        </w:tc>
        <w:tc>
          <w:tcPr>
            <w:tcW w:w="350" w:type="pct"/>
            <w:shd w:val="clear" w:color="000000" w:fill="FFFFFF"/>
            <w:noWrap/>
            <w:hideMark/>
          </w:tcPr>
          <w:p w14:paraId="4DAF8F7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6320854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71A4D61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5BB63B7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79155CD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4396840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Agriculture</w:t>
            </w:r>
          </w:p>
        </w:tc>
        <w:tc>
          <w:tcPr>
            <w:tcW w:w="304" w:type="pct"/>
            <w:shd w:val="clear" w:color="000000" w:fill="FFFFFF"/>
            <w:hideMark/>
          </w:tcPr>
          <w:p w14:paraId="00550DE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5A02A08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0BC3DF42" w14:textId="77777777" w:rsidTr="00942DCE">
        <w:trPr>
          <w:trHeight w:val="20"/>
          <w:jc w:val="center"/>
        </w:trPr>
        <w:tc>
          <w:tcPr>
            <w:tcW w:w="488" w:type="pct"/>
            <w:shd w:val="clear" w:color="000000" w:fill="FFFFFF"/>
          </w:tcPr>
          <w:p w14:paraId="5098DE0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138B903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Reduce risk of water scarcity</w:t>
            </w:r>
          </w:p>
        </w:tc>
        <w:tc>
          <w:tcPr>
            <w:tcW w:w="377" w:type="pct"/>
            <w:shd w:val="clear" w:color="000000" w:fill="FFFFFF"/>
            <w:noWrap/>
            <w:hideMark/>
          </w:tcPr>
          <w:p w14:paraId="6C291CC5"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3,141,028</w:t>
            </w:r>
          </w:p>
        </w:tc>
        <w:tc>
          <w:tcPr>
            <w:tcW w:w="452" w:type="pct"/>
            <w:shd w:val="clear" w:color="000000" w:fill="FFFFFF"/>
            <w:noWrap/>
            <w:hideMark/>
          </w:tcPr>
          <w:p w14:paraId="00419CA5"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4,441,413</w:t>
            </w:r>
          </w:p>
        </w:tc>
        <w:tc>
          <w:tcPr>
            <w:tcW w:w="350" w:type="pct"/>
            <w:shd w:val="clear" w:color="000000" w:fill="FFFFFF"/>
            <w:noWrap/>
            <w:hideMark/>
          </w:tcPr>
          <w:p w14:paraId="702308C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0B14CC4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37ECBB8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0FE3ACD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C6AC32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16CD32C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Water and Sanitation</w:t>
            </w:r>
          </w:p>
        </w:tc>
        <w:tc>
          <w:tcPr>
            <w:tcW w:w="304" w:type="pct"/>
            <w:shd w:val="clear" w:color="000000" w:fill="FFFFFF"/>
            <w:hideMark/>
          </w:tcPr>
          <w:p w14:paraId="5921584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6F43814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572B647A" w14:textId="77777777" w:rsidTr="00942DCE">
        <w:trPr>
          <w:trHeight w:val="20"/>
          <w:jc w:val="center"/>
        </w:trPr>
        <w:tc>
          <w:tcPr>
            <w:tcW w:w="488" w:type="pct"/>
            <w:shd w:val="clear" w:color="000000" w:fill="FFFFFF"/>
          </w:tcPr>
          <w:p w14:paraId="7458A5B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07D9526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Averting water-related emergencies</w:t>
            </w:r>
          </w:p>
        </w:tc>
        <w:tc>
          <w:tcPr>
            <w:tcW w:w="377" w:type="pct"/>
            <w:shd w:val="clear" w:color="000000" w:fill="FFFFFF"/>
            <w:noWrap/>
            <w:hideMark/>
          </w:tcPr>
          <w:p w14:paraId="373B818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401,976</w:t>
            </w:r>
          </w:p>
        </w:tc>
        <w:tc>
          <w:tcPr>
            <w:tcW w:w="452" w:type="pct"/>
            <w:shd w:val="clear" w:color="000000" w:fill="FFFFFF"/>
            <w:noWrap/>
            <w:hideMark/>
          </w:tcPr>
          <w:p w14:paraId="00E5DE49"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568,394</w:t>
            </w:r>
          </w:p>
        </w:tc>
        <w:tc>
          <w:tcPr>
            <w:tcW w:w="350" w:type="pct"/>
            <w:shd w:val="clear" w:color="000000" w:fill="FFFFFF"/>
            <w:noWrap/>
            <w:hideMark/>
          </w:tcPr>
          <w:p w14:paraId="0D8D44C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7F93565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5265003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07C733A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00153B1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4988249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Humanitarian Aid</w:t>
            </w:r>
          </w:p>
        </w:tc>
        <w:tc>
          <w:tcPr>
            <w:tcW w:w="304" w:type="pct"/>
            <w:shd w:val="clear" w:color="000000" w:fill="FFFFFF"/>
            <w:hideMark/>
          </w:tcPr>
          <w:p w14:paraId="06F082C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53D6168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04629E51" w14:textId="77777777" w:rsidTr="00942DCE">
        <w:trPr>
          <w:trHeight w:val="20"/>
          <w:jc w:val="center"/>
        </w:trPr>
        <w:tc>
          <w:tcPr>
            <w:tcW w:w="488" w:type="pct"/>
            <w:shd w:val="clear" w:color="000000" w:fill="FFFFFF"/>
          </w:tcPr>
          <w:p w14:paraId="36BA8CF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2DBDAD4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Building resilient water management systems</w:t>
            </w:r>
          </w:p>
        </w:tc>
        <w:tc>
          <w:tcPr>
            <w:tcW w:w="377" w:type="pct"/>
            <w:shd w:val="clear" w:color="000000" w:fill="FFFFFF"/>
            <w:noWrap/>
            <w:hideMark/>
          </w:tcPr>
          <w:p w14:paraId="60AC56D3"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348,123</w:t>
            </w:r>
          </w:p>
        </w:tc>
        <w:tc>
          <w:tcPr>
            <w:tcW w:w="452" w:type="pct"/>
            <w:shd w:val="clear" w:color="000000" w:fill="FFFFFF"/>
            <w:noWrap/>
            <w:hideMark/>
          </w:tcPr>
          <w:p w14:paraId="4E8BD00B"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492,246</w:t>
            </w:r>
          </w:p>
        </w:tc>
        <w:tc>
          <w:tcPr>
            <w:tcW w:w="350" w:type="pct"/>
            <w:shd w:val="clear" w:color="000000" w:fill="FFFFFF"/>
            <w:noWrap/>
            <w:hideMark/>
          </w:tcPr>
          <w:p w14:paraId="64B9055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90EE88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3BFB113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29CFDE6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6938EC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05D82F3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Water and Sanitation</w:t>
            </w:r>
          </w:p>
        </w:tc>
        <w:tc>
          <w:tcPr>
            <w:tcW w:w="304" w:type="pct"/>
            <w:shd w:val="clear" w:color="000000" w:fill="FFFFFF"/>
            <w:hideMark/>
          </w:tcPr>
          <w:p w14:paraId="51985E8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5D6EF2B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752A5405" w14:textId="77777777" w:rsidTr="00942DCE">
        <w:trPr>
          <w:trHeight w:val="20"/>
          <w:jc w:val="center"/>
        </w:trPr>
        <w:tc>
          <w:tcPr>
            <w:tcW w:w="488" w:type="pct"/>
            <w:shd w:val="clear" w:color="000000" w:fill="FFFFFF"/>
          </w:tcPr>
          <w:p w14:paraId="56604D9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Tokelau</w:t>
            </w:r>
          </w:p>
        </w:tc>
        <w:tc>
          <w:tcPr>
            <w:tcW w:w="781" w:type="pct"/>
            <w:shd w:val="clear" w:color="000000" w:fill="FFFFFF"/>
            <w:hideMark/>
          </w:tcPr>
          <w:p w14:paraId="478E3EC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Establishing Air Services to Tokelau</w:t>
            </w:r>
          </w:p>
        </w:tc>
        <w:tc>
          <w:tcPr>
            <w:tcW w:w="377" w:type="pct"/>
            <w:shd w:val="clear" w:color="000000" w:fill="FFFFFF"/>
            <w:noWrap/>
            <w:hideMark/>
          </w:tcPr>
          <w:p w14:paraId="370A26D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45,699</w:t>
            </w:r>
          </w:p>
        </w:tc>
        <w:tc>
          <w:tcPr>
            <w:tcW w:w="452" w:type="pct"/>
            <w:shd w:val="clear" w:color="000000" w:fill="FFFFFF"/>
            <w:hideMark/>
          </w:tcPr>
          <w:p w14:paraId="1B81C155"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64,619</w:t>
            </w:r>
          </w:p>
        </w:tc>
        <w:tc>
          <w:tcPr>
            <w:tcW w:w="350" w:type="pct"/>
            <w:shd w:val="clear" w:color="000000" w:fill="FFFFFF"/>
            <w:noWrap/>
            <w:hideMark/>
          </w:tcPr>
          <w:p w14:paraId="5BE2939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1E44430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3BCB0D4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77C8173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522F269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75E957A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Transport and Storage</w:t>
            </w:r>
          </w:p>
        </w:tc>
        <w:tc>
          <w:tcPr>
            <w:tcW w:w="304" w:type="pct"/>
            <w:shd w:val="clear" w:color="000000" w:fill="FFFFFF"/>
            <w:hideMark/>
          </w:tcPr>
          <w:p w14:paraId="13D3D2B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4046BF6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04628C4C" w14:textId="77777777" w:rsidTr="00942DCE">
        <w:trPr>
          <w:trHeight w:val="20"/>
          <w:jc w:val="center"/>
        </w:trPr>
        <w:tc>
          <w:tcPr>
            <w:tcW w:w="488" w:type="pct"/>
            <w:shd w:val="clear" w:color="000000" w:fill="FFFFFF"/>
          </w:tcPr>
          <w:p w14:paraId="73E6301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60CFA7F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Secretariat of the Pacific Regional Environment Programme 2020-2025</w:t>
            </w:r>
          </w:p>
        </w:tc>
        <w:tc>
          <w:tcPr>
            <w:tcW w:w="377" w:type="pct"/>
            <w:shd w:val="clear" w:color="000000" w:fill="FFFFFF"/>
            <w:noWrap/>
            <w:hideMark/>
          </w:tcPr>
          <w:p w14:paraId="196B7ED5"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1,525,527</w:t>
            </w:r>
          </w:p>
          <w:p w14:paraId="4BED6B86"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p>
        </w:tc>
        <w:tc>
          <w:tcPr>
            <w:tcW w:w="452" w:type="pct"/>
            <w:shd w:val="clear" w:color="000000" w:fill="FFFFFF"/>
            <w:hideMark/>
          </w:tcPr>
          <w:p w14:paraId="6E42CBB8" w14:textId="261189F3"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2,157,09</w:t>
            </w:r>
            <w:r w:rsidR="000063AB">
              <w:rPr>
                <w:rFonts w:asciiTheme="minorHAnsi" w:hAnsiTheme="minorHAnsi" w:cstheme="minorHAnsi"/>
                <w:b/>
                <w:bCs/>
                <w:color w:val="000000"/>
                <w:sz w:val="18"/>
                <w:szCs w:val="18"/>
              </w:rPr>
              <w:t>5</w:t>
            </w:r>
          </w:p>
        </w:tc>
        <w:tc>
          <w:tcPr>
            <w:tcW w:w="350" w:type="pct"/>
            <w:shd w:val="clear" w:color="000000" w:fill="FFFFFF"/>
            <w:noWrap/>
            <w:hideMark/>
          </w:tcPr>
          <w:p w14:paraId="138E3C1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52A42E1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7F88621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2E273E3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328A3FD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7CC0B52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07F1CDD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6273828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5298BD03" w14:textId="77777777" w:rsidTr="00942DCE">
        <w:trPr>
          <w:trHeight w:val="20"/>
          <w:jc w:val="center"/>
        </w:trPr>
        <w:tc>
          <w:tcPr>
            <w:tcW w:w="488" w:type="pct"/>
            <w:shd w:val="clear" w:color="000000" w:fill="FFFFFF"/>
          </w:tcPr>
          <w:p w14:paraId="53ACF5A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2D58204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11" w:name="_Hlk176257522"/>
            <w:r w:rsidRPr="009A14EC">
              <w:rPr>
                <w:rFonts w:asciiTheme="minorHAnsi" w:hAnsiTheme="minorHAnsi" w:cstheme="minorHAnsi"/>
                <w:color w:val="000000"/>
                <w:sz w:val="18"/>
                <w:szCs w:val="18"/>
              </w:rPr>
              <w:t>Access to Finance</w:t>
            </w:r>
            <w:bookmarkEnd w:id="911"/>
          </w:p>
        </w:tc>
        <w:tc>
          <w:tcPr>
            <w:tcW w:w="377" w:type="pct"/>
            <w:shd w:val="clear" w:color="000000" w:fill="FFFFFF"/>
            <w:noWrap/>
            <w:hideMark/>
          </w:tcPr>
          <w:p w14:paraId="28DAB76E"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876,756</w:t>
            </w:r>
          </w:p>
        </w:tc>
        <w:tc>
          <w:tcPr>
            <w:tcW w:w="452" w:type="pct"/>
            <w:shd w:val="clear" w:color="000000" w:fill="FFFFFF"/>
            <w:noWrap/>
            <w:hideMark/>
          </w:tcPr>
          <w:p w14:paraId="69BBD1EC"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1,239,733</w:t>
            </w:r>
          </w:p>
          <w:p w14:paraId="65713834"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p>
        </w:tc>
        <w:tc>
          <w:tcPr>
            <w:tcW w:w="350" w:type="pct"/>
            <w:shd w:val="clear" w:color="000000" w:fill="FFFFFF"/>
            <w:noWrap/>
            <w:hideMark/>
          </w:tcPr>
          <w:p w14:paraId="43860B3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08682AA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1F38DF9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63E6BA6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5893E9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1D32B31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Banking and Financial Services</w:t>
            </w:r>
          </w:p>
        </w:tc>
        <w:tc>
          <w:tcPr>
            <w:tcW w:w="304" w:type="pct"/>
            <w:shd w:val="clear" w:color="000000" w:fill="FFFFFF"/>
            <w:hideMark/>
          </w:tcPr>
          <w:p w14:paraId="3D0C845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243CFBE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55EFE57E" w14:textId="77777777" w:rsidTr="00942DCE">
        <w:trPr>
          <w:trHeight w:val="20"/>
          <w:jc w:val="center"/>
        </w:trPr>
        <w:tc>
          <w:tcPr>
            <w:tcW w:w="488" w:type="pct"/>
            <w:shd w:val="clear" w:color="000000" w:fill="FFFFFF"/>
          </w:tcPr>
          <w:p w14:paraId="4897EBB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073B8EB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Low Emission, Climate Resilient Planning</w:t>
            </w:r>
          </w:p>
        </w:tc>
        <w:tc>
          <w:tcPr>
            <w:tcW w:w="377" w:type="pct"/>
            <w:shd w:val="clear" w:color="000000" w:fill="FFFFFF"/>
            <w:noWrap/>
            <w:hideMark/>
          </w:tcPr>
          <w:p w14:paraId="12DF199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1,957,309</w:t>
            </w:r>
          </w:p>
        </w:tc>
        <w:tc>
          <w:tcPr>
            <w:tcW w:w="452" w:type="pct"/>
            <w:shd w:val="clear" w:color="000000" w:fill="FFFFFF"/>
            <w:noWrap/>
            <w:hideMark/>
          </w:tcPr>
          <w:p w14:paraId="13E65DAD" w14:textId="23FFEB34"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2,767,63</w:t>
            </w:r>
            <w:r w:rsidR="004F0C01">
              <w:rPr>
                <w:rFonts w:asciiTheme="minorHAnsi" w:hAnsiTheme="minorHAnsi" w:cstheme="minorHAnsi"/>
                <w:b/>
                <w:bCs/>
                <w:color w:val="000000"/>
                <w:sz w:val="18"/>
                <w:szCs w:val="18"/>
              </w:rPr>
              <w:t>5</w:t>
            </w:r>
          </w:p>
        </w:tc>
        <w:tc>
          <w:tcPr>
            <w:tcW w:w="350" w:type="pct"/>
            <w:shd w:val="clear" w:color="000000" w:fill="FFFFFF"/>
            <w:noWrap/>
            <w:hideMark/>
          </w:tcPr>
          <w:p w14:paraId="07A46DD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4A15DF1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441B577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67F7EE6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D812A9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4F4C193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3570CA9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4319F59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6A2A79A9" w14:textId="77777777" w:rsidTr="00942DCE">
        <w:trPr>
          <w:trHeight w:val="20"/>
          <w:jc w:val="center"/>
        </w:trPr>
        <w:tc>
          <w:tcPr>
            <w:tcW w:w="488" w:type="pct"/>
            <w:shd w:val="clear" w:color="000000" w:fill="FFFFFF"/>
          </w:tcPr>
          <w:p w14:paraId="6F43F6B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Tuvalu</w:t>
            </w:r>
          </w:p>
        </w:tc>
        <w:tc>
          <w:tcPr>
            <w:tcW w:w="781" w:type="pct"/>
            <w:shd w:val="clear" w:color="000000" w:fill="FFFFFF"/>
            <w:hideMark/>
          </w:tcPr>
          <w:p w14:paraId="1D5D234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Fisheries Support Programme: 2020-2025</w:t>
            </w:r>
          </w:p>
        </w:tc>
        <w:tc>
          <w:tcPr>
            <w:tcW w:w="377" w:type="pct"/>
            <w:shd w:val="clear" w:color="000000" w:fill="FFFFFF"/>
            <w:noWrap/>
            <w:hideMark/>
          </w:tcPr>
          <w:p w14:paraId="191E1476"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128,253</w:t>
            </w:r>
          </w:p>
        </w:tc>
        <w:tc>
          <w:tcPr>
            <w:tcW w:w="452" w:type="pct"/>
            <w:shd w:val="clear" w:color="000000" w:fill="FFFFFF"/>
            <w:hideMark/>
          </w:tcPr>
          <w:p w14:paraId="3203ADE9"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181,350</w:t>
            </w:r>
          </w:p>
        </w:tc>
        <w:tc>
          <w:tcPr>
            <w:tcW w:w="350" w:type="pct"/>
            <w:shd w:val="clear" w:color="000000" w:fill="FFFFFF"/>
            <w:noWrap/>
            <w:hideMark/>
          </w:tcPr>
          <w:p w14:paraId="5233A29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1F0E6E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31D7DFC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41B17CC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510DFA0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203D967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Fishing</w:t>
            </w:r>
          </w:p>
        </w:tc>
        <w:tc>
          <w:tcPr>
            <w:tcW w:w="304" w:type="pct"/>
            <w:shd w:val="clear" w:color="000000" w:fill="FFFFFF"/>
            <w:hideMark/>
          </w:tcPr>
          <w:p w14:paraId="75C133D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0FEF4B5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14B86D6C" w14:textId="77777777" w:rsidTr="00942DCE">
        <w:trPr>
          <w:trHeight w:val="20"/>
          <w:jc w:val="center"/>
        </w:trPr>
        <w:tc>
          <w:tcPr>
            <w:tcW w:w="488" w:type="pct"/>
            <w:shd w:val="clear" w:color="000000" w:fill="FFFFFF"/>
          </w:tcPr>
          <w:p w14:paraId="7A8A2A8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xml:space="preserve">Pacific Regional/Multi-Country </w:t>
            </w:r>
          </w:p>
        </w:tc>
        <w:tc>
          <w:tcPr>
            <w:tcW w:w="781" w:type="pct"/>
            <w:shd w:val="clear" w:color="000000" w:fill="FFFFFF"/>
            <w:hideMark/>
          </w:tcPr>
          <w:p w14:paraId="218F3B1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Strategic Evaluation: Infrastructure</w:t>
            </w:r>
          </w:p>
        </w:tc>
        <w:tc>
          <w:tcPr>
            <w:tcW w:w="377" w:type="pct"/>
            <w:shd w:val="clear" w:color="000000" w:fill="FFFFFF"/>
            <w:noWrap/>
            <w:hideMark/>
          </w:tcPr>
          <w:p w14:paraId="0EDBA3E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424</w:t>
            </w:r>
          </w:p>
        </w:tc>
        <w:tc>
          <w:tcPr>
            <w:tcW w:w="452" w:type="pct"/>
            <w:shd w:val="clear" w:color="000000" w:fill="FFFFFF"/>
            <w:hideMark/>
          </w:tcPr>
          <w:p w14:paraId="1B2C6D27"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600</w:t>
            </w:r>
          </w:p>
        </w:tc>
        <w:tc>
          <w:tcPr>
            <w:tcW w:w="350" w:type="pct"/>
            <w:shd w:val="clear" w:color="000000" w:fill="FFFFFF"/>
            <w:noWrap/>
            <w:hideMark/>
          </w:tcPr>
          <w:p w14:paraId="1264318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8CD095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5CED489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1607BDB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42054FD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60D601A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Transport and Storage</w:t>
            </w:r>
          </w:p>
        </w:tc>
        <w:tc>
          <w:tcPr>
            <w:tcW w:w="304" w:type="pct"/>
            <w:shd w:val="clear" w:color="000000" w:fill="FFFFFF"/>
            <w:hideMark/>
          </w:tcPr>
          <w:p w14:paraId="0D0AC6E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717E48B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13F323D8" w14:textId="77777777" w:rsidTr="00942DCE">
        <w:trPr>
          <w:trHeight w:val="20"/>
          <w:jc w:val="center"/>
        </w:trPr>
        <w:tc>
          <w:tcPr>
            <w:tcW w:w="488" w:type="pct"/>
            <w:shd w:val="clear" w:color="000000" w:fill="FFFFFF"/>
          </w:tcPr>
          <w:p w14:paraId="024A931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01F99E7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Food Security and Ecosystem Resilience funds</w:t>
            </w:r>
          </w:p>
        </w:tc>
        <w:tc>
          <w:tcPr>
            <w:tcW w:w="377" w:type="pct"/>
            <w:shd w:val="clear" w:color="000000" w:fill="FFFFFF"/>
            <w:noWrap/>
            <w:hideMark/>
          </w:tcPr>
          <w:p w14:paraId="60401AA9"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2,121,641</w:t>
            </w:r>
          </w:p>
        </w:tc>
        <w:tc>
          <w:tcPr>
            <w:tcW w:w="452" w:type="pct"/>
            <w:shd w:val="clear" w:color="000000" w:fill="FFFFFF"/>
            <w:hideMark/>
          </w:tcPr>
          <w:p w14:paraId="164BAC6B"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3,000,000</w:t>
            </w:r>
          </w:p>
        </w:tc>
        <w:tc>
          <w:tcPr>
            <w:tcW w:w="350" w:type="pct"/>
            <w:shd w:val="clear" w:color="000000" w:fill="FFFFFF"/>
            <w:noWrap/>
            <w:hideMark/>
          </w:tcPr>
          <w:p w14:paraId="70224DB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6F0BBB2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301762A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0C31071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4FE92C4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3F54B1D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2F36EC8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691CE11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4C4F6605" w14:textId="77777777" w:rsidTr="00942DCE">
        <w:trPr>
          <w:trHeight w:val="20"/>
          <w:jc w:val="center"/>
        </w:trPr>
        <w:tc>
          <w:tcPr>
            <w:tcW w:w="488" w:type="pct"/>
            <w:shd w:val="clear" w:color="000000" w:fill="FFFFFF"/>
          </w:tcPr>
          <w:p w14:paraId="71B2C0B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Timor-Leste</w:t>
            </w:r>
          </w:p>
        </w:tc>
        <w:tc>
          <w:tcPr>
            <w:tcW w:w="781" w:type="pct"/>
            <w:shd w:val="clear" w:color="000000" w:fill="FFFFFF"/>
            <w:hideMark/>
          </w:tcPr>
          <w:p w14:paraId="71978BC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12" w:name="_Hlk176282435"/>
            <w:r w:rsidRPr="009A14EC">
              <w:rPr>
                <w:rFonts w:asciiTheme="minorHAnsi" w:hAnsiTheme="minorHAnsi" w:cstheme="minorHAnsi"/>
                <w:color w:val="000000"/>
                <w:sz w:val="18"/>
                <w:szCs w:val="18"/>
              </w:rPr>
              <w:t>Crop Diversification in Timor-Leste</w:t>
            </w:r>
            <w:bookmarkEnd w:id="912"/>
          </w:p>
        </w:tc>
        <w:tc>
          <w:tcPr>
            <w:tcW w:w="377" w:type="pct"/>
            <w:shd w:val="clear" w:color="000000" w:fill="FFFFFF"/>
            <w:noWrap/>
            <w:hideMark/>
          </w:tcPr>
          <w:p w14:paraId="5DDB7CE8"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1,023,050</w:t>
            </w:r>
          </w:p>
        </w:tc>
        <w:tc>
          <w:tcPr>
            <w:tcW w:w="452" w:type="pct"/>
            <w:shd w:val="clear" w:color="000000" w:fill="FFFFFF"/>
            <w:hideMark/>
          </w:tcPr>
          <w:p w14:paraId="4853C219"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1,446,592</w:t>
            </w:r>
          </w:p>
        </w:tc>
        <w:tc>
          <w:tcPr>
            <w:tcW w:w="350" w:type="pct"/>
            <w:shd w:val="clear" w:color="000000" w:fill="FFFFFF"/>
            <w:noWrap/>
            <w:hideMark/>
          </w:tcPr>
          <w:p w14:paraId="504A0F8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44435F3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67A9071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5A81E11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43A4D9C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264306B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Agriculture</w:t>
            </w:r>
          </w:p>
        </w:tc>
        <w:tc>
          <w:tcPr>
            <w:tcW w:w="304" w:type="pct"/>
            <w:shd w:val="clear" w:color="000000" w:fill="FFFFFF"/>
            <w:hideMark/>
          </w:tcPr>
          <w:p w14:paraId="7464DA5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5C19293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51CA60AE" w14:textId="77777777" w:rsidTr="00942DCE">
        <w:trPr>
          <w:trHeight w:val="20"/>
          <w:jc w:val="center"/>
        </w:trPr>
        <w:tc>
          <w:tcPr>
            <w:tcW w:w="488" w:type="pct"/>
            <w:shd w:val="clear" w:color="000000" w:fill="FFFFFF"/>
          </w:tcPr>
          <w:p w14:paraId="1D09A06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Worldwide/Multi-Regional</w:t>
            </w:r>
          </w:p>
        </w:tc>
        <w:tc>
          <w:tcPr>
            <w:tcW w:w="781" w:type="pct"/>
            <w:shd w:val="clear" w:color="000000" w:fill="FFFFFF"/>
            <w:hideMark/>
          </w:tcPr>
          <w:p w14:paraId="155AD640" w14:textId="1DB5B2A6"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Save the Children New Zealand (SCNZ) - Imp</w:t>
            </w:r>
            <w:r w:rsidR="0060523D">
              <w:rPr>
                <w:rFonts w:asciiTheme="minorHAnsi" w:hAnsiTheme="minorHAnsi" w:cstheme="minorHAnsi"/>
                <w:color w:val="000000"/>
                <w:sz w:val="18"/>
                <w:szCs w:val="18"/>
              </w:rPr>
              <w:t>lementation</w:t>
            </w:r>
          </w:p>
        </w:tc>
        <w:tc>
          <w:tcPr>
            <w:tcW w:w="377" w:type="pct"/>
            <w:shd w:val="clear" w:color="000000" w:fill="FFFFFF"/>
            <w:noWrap/>
            <w:hideMark/>
          </w:tcPr>
          <w:p w14:paraId="58DA186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420,085</w:t>
            </w:r>
          </w:p>
        </w:tc>
        <w:tc>
          <w:tcPr>
            <w:tcW w:w="452" w:type="pct"/>
            <w:shd w:val="clear" w:color="000000" w:fill="FFFFFF"/>
            <w:noWrap/>
            <w:hideMark/>
          </w:tcPr>
          <w:p w14:paraId="41E65E37"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594,000</w:t>
            </w:r>
          </w:p>
        </w:tc>
        <w:tc>
          <w:tcPr>
            <w:tcW w:w="350" w:type="pct"/>
            <w:shd w:val="clear" w:color="000000" w:fill="FFFFFF"/>
            <w:noWrap/>
            <w:hideMark/>
          </w:tcPr>
          <w:p w14:paraId="3DB92C1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03DC319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316818A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018740A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3CC7E2B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5B50779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3908D89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236AC31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0AF9F39E" w14:textId="77777777" w:rsidTr="00942DCE">
        <w:trPr>
          <w:trHeight w:val="20"/>
          <w:jc w:val="center"/>
        </w:trPr>
        <w:tc>
          <w:tcPr>
            <w:tcW w:w="488" w:type="pct"/>
            <w:shd w:val="clear" w:color="000000" w:fill="FFFFFF"/>
          </w:tcPr>
          <w:p w14:paraId="5BEBD69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Fiji</w:t>
            </w:r>
          </w:p>
        </w:tc>
        <w:tc>
          <w:tcPr>
            <w:tcW w:w="781" w:type="pct"/>
            <w:shd w:val="clear" w:color="000000" w:fill="FFFFFF"/>
            <w:hideMark/>
          </w:tcPr>
          <w:p w14:paraId="01934CF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Rural Water Sanitation and Hygiene Programme, Fiji</w:t>
            </w:r>
          </w:p>
        </w:tc>
        <w:tc>
          <w:tcPr>
            <w:tcW w:w="377" w:type="pct"/>
            <w:shd w:val="clear" w:color="000000" w:fill="FFFFFF"/>
            <w:noWrap/>
            <w:hideMark/>
          </w:tcPr>
          <w:p w14:paraId="0AFCAD33"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114,745</w:t>
            </w:r>
          </w:p>
        </w:tc>
        <w:tc>
          <w:tcPr>
            <w:tcW w:w="452" w:type="pct"/>
            <w:shd w:val="clear" w:color="000000" w:fill="FFFFFF"/>
            <w:hideMark/>
          </w:tcPr>
          <w:p w14:paraId="1A8D2E9C"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162,250</w:t>
            </w:r>
          </w:p>
        </w:tc>
        <w:tc>
          <w:tcPr>
            <w:tcW w:w="350" w:type="pct"/>
            <w:shd w:val="clear" w:color="000000" w:fill="FFFFFF"/>
            <w:noWrap/>
            <w:hideMark/>
          </w:tcPr>
          <w:p w14:paraId="3541D4A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3988C34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4EB9705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3B17E2C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1E64652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0C88859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Water and Sanitation</w:t>
            </w:r>
          </w:p>
        </w:tc>
        <w:tc>
          <w:tcPr>
            <w:tcW w:w="304" w:type="pct"/>
            <w:shd w:val="clear" w:color="000000" w:fill="FFFFFF"/>
            <w:hideMark/>
          </w:tcPr>
          <w:p w14:paraId="6C79F38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1D81788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4C06358C" w14:textId="77777777" w:rsidTr="00942DCE">
        <w:trPr>
          <w:trHeight w:val="20"/>
          <w:jc w:val="center"/>
        </w:trPr>
        <w:tc>
          <w:tcPr>
            <w:tcW w:w="488" w:type="pct"/>
            <w:shd w:val="clear" w:color="000000" w:fill="FFFFFF"/>
          </w:tcPr>
          <w:p w14:paraId="3203B1B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52C49D1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Polynesian Climate and Community Resilience</w:t>
            </w:r>
          </w:p>
        </w:tc>
        <w:tc>
          <w:tcPr>
            <w:tcW w:w="377" w:type="pct"/>
            <w:shd w:val="clear" w:color="000000" w:fill="FFFFFF"/>
            <w:noWrap/>
            <w:hideMark/>
          </w:tcPr>
          <w:p w14:paraId="5BCBEB6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14,144</w:t>
            </w:r>
          </w:p>
        </w:tc>
        <w:tc>
          <w:tcPr>
            <w:tcW w:w="452" w:type="pct"/>
            <w:shd w:val="clear" w:color="000000" w:fill="FFFFFF"/>
            <w:noWrap/>
            <w:hideMark/>
          </w:tcPr>
          <w:p w14:paraId="39138D8A"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20,000</w:t>
            </w:r>
          </w:p>
        </w:tc>
        <w:tc>
          <w:tcPr>
            <w:tcW w:w="350" w:type="pct"/>
            <w:shd w:val="clear" w:color="000000" w:fill="FFFFFF"/>
            <w:noWrap/>
            <w:hideMark/>
          </w:tcPr>
          <w:p w14:paraId="3E29B1E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609B1C1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3992C15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4E108FB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6C65EFD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1DADEF5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34C3519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441DF32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50AA9DC7" w14:textId="77777777" w:rsidTr="00942DCE">
        <w:trPr>
          <w:trHeight w:val="20"/>
          <w:jc w:val="center"/>
        </w:trPr>
        <w:tc>
          <w:tcPr>
            <w:tcW w:w="488" w:type="pct"/>
            <w:shd w:val="clear" w:color="000000" w:fill="FFFFFF"/>
          </w:tcPr>
          <w:p w14:paraId="25412AE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Fiji</w:t>
            </w:r>
          </w:p>
        </w:tc>
        <w:tc>
          <w:tcPr>
            <w:tcW w:w="781" w:type="pct"/>
            <w:shd w:val="clear" w:color="000000" w:fill="FFFFFF"/>
            <w:hideMark/>
          </w:tcPr>
          <w:p w14:paraId="5017C11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Sustainable Fisheries Management in Fiji</w:t>
            </w:r>
          </w:p>
        </w:tc>
        <w:tc>
          <w:tcPr>
            <w:tcW w:w="377" w:type="pct"/>
            <w:shd w:val="clear" w:color="000000" w:fill="FFFFFF"/>
            <w:noWrap/>
            <w:hideMark/>
          </w:tcPr>
          <w:p w14:paraId="3A57CC7A"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136,846</w:t>
            </w:r>
          </w:p>
        </w:tc>
        <w:tc>
          <w:tcPr>
            <w:tcW w:w="452" w:type="pct"/>
            <w:shd w:val="clear" w:color="000000" w:fill="FFFFFF"/>
            <w:hideMark/>
          </w:tcPr>
          <w:p w14:paraId="554C297A"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193,500</w:t>
            </w:r>
          </w:p>
        </w:tc>
        <w:tc>
          <w:tcPr>
            <w:tcW w:w="350" w:type="pct"/>
            <w:shd w:val="clear" w:color="000000" w:fill="FFFFFF"/>
            <w:noWrap/>
            <w:hideMark/>
          </w:tcPr>
          <w:p w14:paraId="65E0204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6242763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2ABF027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7CCD5B5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6D357AC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37B43FC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Fishing</w:t>
            </w:r>
          </w:p>
        </w:tc>
        <w:tc>
          <w:tcPr>
            <w:tcW w:w="304" w:type="pct"/>
            <w:shd w:val="clear" w:color="000000" w:fill="FFFFFF"/>
            <w:hideMark/>
          </w:tcPr>
          <w:p w14:paraId="18FF3ED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131967A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3F1E21D4" w14:textId="77777777" w:rsidTr="00942DCE">
        <w:trPr>
          <w:trHeight w:val="20"/>
          <w:jc w:val="center"/>
        </w:trPr>
        <w:tc>
          <w:tcPr>
            <w:tcW w:w="488" w:type="pct"/>
            <w:shd w:val="clear" w:color="000000" w:fill="FFFFFF"/>
          </w:tcPr>
          <w:p w14:paraId="3C73BDE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xml:space="preserve">Vanuatu </w:t>
            </w:r>
          </w:p>
        </w:tc>
        <w:tc>
          <w:tcPr>
            <w:tcW w:w="781" w:type="pct"/>
            <w:shd w:val="clear" w:color="000000" w:fill="FFFFFF"/>
            <w:hideMark/>
          </w:tcPr>
          <w:p w14:paraId="3F48FBE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Delivering the Water Promise 2030, Vanuatu</w:t>
            </w:r>
          </w:p>
        </w:tc>
        <w:tc>
          <w:tcPr>
            <w:tcW w:w="377" w:type="pct"/>
            <w:shd w:val="clear" w:color="000000" w:fill="FFFFFF"/>
            <w:noWrap/>
            <w:hideMark/>
          </w:tcPr>
          <w:p w14:paraId="6DF443C6"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99,010</w:t>
            </w:r>
          </w:p>
        </w:tc>
        <w:tc>
          <w:tcPr>
            <w:tcW w:w="452" w:type="pct"/>
            <w:shd w:val="clear" w:color="000000" w:fill="FFFFFF"/>
            <w:hideMark/>
          </w:tcPr>
          <w:p w14:paraId="4ED8FCF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140,000</w:t>
            </w:r>
          </w:p>
        </w:tc>
        <w:tc>
          <w:tcPr>
            <w:tcW w:w="350" w:type="pct"/>
            <w:shd w:val="clear" w:color="000000" w:fill="FFFFFF"/>
            <w:noWrap/>
            <w:hideMark/>
          </w:tcPr>
          <w:p w14:paraId="756E4BB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35B116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77B7948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58C9DF6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538C3CA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46006C8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Water and Sanitation</w:t>
            </w:r>
          </w:p>
        </w:tc>
        <w:tc>
          <w:tcPr>
            <w:tcW w:w="304" w:type="pct"/>
            <w:shd w:val="clear" w:color="000000" w:fill="FFFFFF"/>
            <w:hideMark/>
          </w:tcPr>
          <w:p w14:paraId="19511D7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57E31EB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2F164817" w14:textId="77777777" w:rsidTr="00942DCE">
        <w:trPr>
          <w:trHeight w:val="20"/>
          <w:jc w:val="center"/>
        </w:trPr>
        <w:tc>
          <w:tcPr>
            <w:tcW w:w="488" w:type="pct"/>
            <w:shd w:val="clear" w:color="000000" w:fill="FFFFFF"/>
          </w:tcPr>
          <w:p w14:paraId="0204A99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07E9FA9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13" w:name="_Hlk176257713"/>
            <w:r w:rsidRPr="009A14EC">
              <w:rPr>
                <w:rFonts w:asciiTheme="minorHAnsi" w:hAnsiTheme="minorHAnsi" w:cstheme="minorHAnsi"/>
                <w:color w:val="000000"/>
                <w:sz w:val="18"/>
                <w:szCs w:val="18"/>
              </w:rPr>
              <w:t xml:space="preserve">Climate Change and Tuna </w:t>
            </w:r>
            <w:bookmarkEnd w:id="913"/>
            <w:r w:rsidRPr="009A14EC">
              <w:rPr>
                <w:rFonts w:asciiTheme="minorHAnsi" w:hAnsiTheme="minorHAnsi" w:cstheme="minorHAnsi"/>
                <w:color w:val="000000"/>
                <w:sz w:val="18"/>
                <w:szCs w:val="18"/>
              </w:rPr>
              <w:t>Fisheries</w:t>
            </w:r>
          </w:p>
        </w:tc>
        <w:tc>
          <w:tcPr>
            <w:tcW w:w="377" w:type="pct"/>
            <w:shd w:val="clear" w:color="000000" w:fill="FFFFFF"/>
            <w:noWrap/>
            <w:hideMark/>
          </w:tcPr>
          <w:p w14:paraId="363E4CD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1,331,296</w:t>
            </w:r>
          </w:p>
        </w:tc>
        <w:tc>
          <w:tcPr>
            <w:tcW w:w="452" w:type="pct"/>
            <w:shd w:val="clear" w:color="000000" w:fill="FFFFFF"/>
            <w:hideMark/>
          </w:tcPr>
          <w:p w14:paraId="0F15CAFB"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1,882,452</w:t>
            </w:r>
          </w:p>
        </w:tc>
        <w:tc>
          <w:tcPr>
            <w:tcW w:w="350" w:type="pct"/>
            <w:shd w:val="clear" w:color="000000" w:fill="FFFFFF"/>
            <w:noWrap/>
            <w:hideMark/>
          </w:tcPr>
          <w:p w14:paraId="5218BA4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19B001E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1044C96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39EFB59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3C15F94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320A1FE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Fishing</w:t>
            </w:r>
          </w:p>
        </w:tc>
        <w:tc>
          <w:tcPr>
            <w:tcW w:w="304" w:type="pct"/>
            <w:shd w:val="clear" w:color="000000" w:fill="FFFFFF"/>
            <w:hideMark/>
          </w:tcPr>
          <w:p w14:paraId="49775A8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02D7E26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402C46B3" w14:textId="77777777" w:rsidTr="00942DCE">
        <w:trPr>
          <w:trHeight w:val="20"/>
          <w:jc w:val="center"/>
        </w:trPr>
        <w:tc>
          <w:tcPr>
            <w:tcW w:w="488" w:type="pct"/>
            <w:shd w:val="clear" w:color="000000" w:fill="FFFFFF"/>
          </w:tcPr>
          <w:p w14:paraId="04D861B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7C288AC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Forum Fisheries Agency 2021-26 core funding</w:t>
            </w:r>
          </w:p>
        </w:tc>
        <w:tc>
          <w:tcPr>
            <w:tcW w:w="377" w:type="pct"/>
            <w:shd w:val="clear" w:color="000000" w:fill="FFFFFF"/>
            <w:noWrap/>
            <w:hideMark/>
          </w:tcPr>
          <w:p w14:paraId="3A60FF6F"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763,791</w:t>
            </w:r>
          </w:p>
        </w:tc>
        <w:tc>
          <w:tcPr>
            <w:tcW w:w="452" w:type="pct"/>
            <w:shd w:val="clear" w:color="000000" w:fill="FFFFFF"/>
            <w:hideMark/>
          </w:tcPr>
          <w:p w14:paraId="36342B0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1,080,000</w:t>
            </w:r>
          </w:p>
        </w:tc>
        <w:tc>
          <w:tcPr>
            <w:tcW w:w="350" w:type="pct"/>
            <w:shd w:val="clear" w:color="000000" w:fill="FFFFFF"/>
            <w:noWrap/>
            <w:hideMark/>
          </w:tcPr>
          <w:p w14:paraId="0A628B8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018E619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4E42277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5AF0924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5A28FD9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719497F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Fishing</w:t>
            </w:r>
          </w:p>
        </w:tc>
        <w:tc>
          <w:tcPr>
            <w:tcW w:w="304" w:type="pct"/>
            <w:shd w:val="clear" w:color="000000" w:fill="FFFFFF"/>
            <w:hideMark/>
          </w:tcPr>
          <w:p w14:paraId="6C96B4F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6CA990F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2DF9C97C" w14:textId="77777777" w:rsidTr="00942DCE">
        <w:trPr>
          <w:trHeight w:val="20"/>
          <w:jc w:val="center"/>
        </w:trPr>
        <w:tc>
          <w:tcPr>
            <w:tcW w:w="488" w:type="pct"/>
            <w:shd w:val="clear" w:color="000000" w:fill="FFFFFF"/>
          </w:tcPr>
          <w:p w14:paraId="7DA1268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Indonesia</w:t>
            </w:r>
          </w:p>
        </w:tc>
        <w:tc>
          <w:tcPr>
            <w:tcW w:w="781" w:type="pct"/>
            <w:shd w:val="clear" w:color="000000" w:fill="FFFFFF"/>
            <w:hideMark/>
          </w:tcPr>
          <w:p w14:paraId="2A50F42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Indonesia Renewable Energy Programme Resourcing</w:t>
            </w:r>
          </w:p>
        </w:tc>
        <w:tc>
          <w:tcPr>
            <w:tcW w:w="377" w:type="pct"/>
            <w:shd w:val="clear" w:color="000000" w:fill="FFFFFF"/>
            <w:noWrap/>
            <w:hideMark/>
          </w:tcPr>
          <w:p w14:paraId="7EB31245"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15,753</w:t>
            </w:r>
          </w:p>
        </w:tc>
        <w:tc>
          <w:tcPr>
            <w:tcW w:w="452" w:type="pct"/>
            <w:shd w:val="clear" w:color="000000" w:fill="FFFFFF"/>
            <w:hideMark/>
          </w:tcPr>
          <w:p w14:paraId="36D0D14F"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22,275</w:t>
            </w:r>
          </w:p>
        </w:tc>
        <w:tc>
          <w:tcPr>
            <w:tcW w:w="350" w:type="pct"/>
            <w:shd w:val="clear" w:color="000000" w:fill="FFFFFF"/>
            <w:noWrap/>
            <w:hideMark/>
          </w:tcPr>
          <w:p w14:paraId="03FAA17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4110021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1E2CA28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316469D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743D318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6AA2BCE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Education</w:t>
            </w:r>
          </w:p>
        </w:tc>
        <w:tc>
          <w:tcPr>
            <w:tcW w:w="304" w:type="pct"/>
            <w:shd w:val="clear" w:color="000000" w:fill="FFFFFF"/>
            <w:hideMark/>
          </w:tcPr>
          <w:p w14:paraId="003592E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22518F7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1263D340" w14:textId="77777777" w:rsidTr="00942DCE">
        <w:trPr>
          <w:trHeight w:val="20"/>
          <w:jc w:val="center"/>
        </w:trPr>
        <w:tc>
          <w:tcPr>
            <w:tcW w:w="488" w:type="pct"/>
            <w:shd w:val="clear" w:color="000000" w:fill="FFFFFF"/>
          </w:tcPr>
          <w:p w14:paraId="62B3689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17BF90A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Oxfam Implementation</w:t>
            </w:r>
          </w:p>
        </w:tc>
        <w:tc>
          <w:tcPr>
            <w:tcW w:w="377" w:type="pct"/>
            <w:shd w:val="clear" w:color="000000" w:fill="FFFFFF"/>
            <w:noWrap/>
            <w:hideMark/>
          </w:tcPr>
          <w:p w14:paraId="2B1DAB9E"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582,619</w:t>
            </w:r>
          </w:p>
        </w:tc>
        <w:tc>
          <w:tcPr>
            <w:tcW w:w="452" w:type="pct"/>
            <w:shd w:val="clear" w:color="000000" w:fill="FFFFFF"/>
            <w:noWrap/>
            <w:hideMark/>
          </w:tcPr>
          <w:p w14:paraId="2C4D886B"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823,823</w:t>
            </w:r>
          </w:p>
        </w:tc>
        <w:tc>
          <w:tcPr>
            <w:tcW w:w="350" w:type="pct"/>
            <w:shd w:val="clear" w:color="000000" w:fill="FFFFFF"/>
            <w:noWrap/>
            <w:hideMark/>
          </w:tcPr>
          <w:p w14:paraId="3577374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39917B4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1D33721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59ACBCA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52CDA2B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35E816B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23BCCC0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1CEB854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1C4B3EB1" w14:textId="77777777" w:rsidTr="00942DCE">
        <w:trPr>
          <w:trHeight w:val="20"/>
          <w:jc w:val="center"/>
        </w:trPr>
        <w:tc>
          <w:tcPr>
            <w:tcW w:w="488" w:type="pct"/>
            <w:shd w:val="clear" w:color="000000" w:fill="FFFFFF"/>
          </w:tcPr>
          <w:p w14:paraId="1AAC006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5398A4E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14" w:name="_Hlk176257807"/>
            <w:r w:rsidRPr="009A14EC">
              <w:rPr>
                <w:rFonts w:asciiTheme="minorHAnsi" w:hAnsiTheme="minorHAnsi" w:cstheme="minorHAnsi"/>
                <w:color w:val="000000"/>
                <w:sz w:val="18"/>
                <w:szCs w:val="18"/>
              </w:rPr>
              <w:t>Habitat for Humanity NZ Implementation</w:t>
            </w:r>
            <w:bookmarkEnd w:id="914"/>
          </w:p>
        </w:tc>
        <w:tc>
          <w:tcPr>
            <w:tcW w:w="377" w:type="pct"/>
            <w:shd w:val="clear" w:color="000000" w:fill="FFFFFF"/>
            <w:noWrap/>
            <w:hideMark/>
          </w:tcPr>
          <w:p w14:paraId="21FABC7C"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534,368</w:t>
            </w:r>
          </w:p>
        </w:tc>
        <w:tc>
          <w:tcPr>
            <w:tcW w:w="452" w:type="pct"/>
            <w:shd w:val="clear" w:color="000000" w:fill="FFFFFF"/>
            <w:noWrap/>
            <w:hideMark/>
          </w:tcPr>
          <w:p w14:paraId="2B1DABFA"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755,597</w:t>
            </w:r>
          </w:p>
        </w:tc>
        <w:tc>
          <w:tcPr>
            <w:tcW w:w="350" w:type="pct"/>
            <w:shd w:val="clear" w:color="000000" w:fill="FFFFFF"/>
            <w:noWrap/>
            <w:hideMark/>
          </w:tcPr>
          <w:p w14:paraId="2C5B61E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48C68FD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0489E1B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38A3CC9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7EECAAC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586059A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Other Social Infrastructure and Services</w:t>
            </w:r>
          </w:p>
        </w:tc>
        <w:tc>
          <w:tcPr>
            <w:tcW w:w="304" w:type="pct"/>
            <w:shd w:val="clear" w:color="000000" w:fill="FFFFFF"/>
            <w:hideMark/>
          </w:tcPr>
          <w:p w14:paraId="035D237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2726F32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273E4D53" w14:textId="77777777" w:rsidTr="00942DCE">
        <w:trPr>
          <w:trHeight w:val="20"/>
          <w:jc w:val="center"/>
        </w:trPr>
        <w:tc>
          <w:tcPr>
            <w:tcW w:w="488" w:type="pct"/>
            <w:shd w:val="clear" w:color="000000" w:fill="FFFFFF"/>
          </w:tcPr>
          <w:p w14:paraId="0DB0DB2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Worldwide/Multi-Regional</w:t>
            </w:r>
          </w:p>
        </w:tc>
        <w:tc>
          <w:tcPr>
            <w:tcW w:w="781" w:type="pct"/>
            <w:shd w:val="clear" w:color="000000" w:fill="FFFFFF"/>
            <w:hideMark/>
          </w:tcPr>
          <w:p w14:paraId="54D337C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Caritas New Zealand Implementation</w:t>
            </w:r>
          </w:p>
        </w:tc>
        <w:tc>
          <w:tcPr>
            <w:tcW w:w="377" w:type="pct"/>
            <w:shd w:val="clear" w:color="000000" w:fill="FFFFFF"/>
            <w:noWrap/>
            <w:hideMark/>
          </w:tcPr>
          <w:p w14:paraId="460F0536"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342,672</w:t>
            </w:r>
          </w:p>
        </w:tc>
        <w:tc>
          <w:tcPr>
            <w:tcW w:w="452" w:type="pct"/>
            <w:shd w:val="clear" w:color="000000" w:fill="FFFFFF"/>
            <w:noWrap/>
            <w:hideMark/>
          </w:tcPr>
          <w:p w14:paraId="4947CC7F"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484,538</w:t>
            </w:r>
          </w:p>
        </w:tc>
        <w:tc>
          <w:tcPr>
            <w:tcW w:w="350" w:type="pct"/>
            <w:shd w:val="clear" w:color="000000" w:fill="FFFFFF"/>
            <w:noWrap/>
            <w:hideMark/>
          </w:tcPr>
          <w:p w14:paraId="627D02D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70E3091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50E06B0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4C77DED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DABAC8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2E067E2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4A22601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23CDBFA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7B648423" w14:textId="77777777" w:rsidTr="00942DCE">
        <w:trPr>
          <w:trHeight w:val="20"/>
          <w:jc w:val="center"/>
        </w:trPr>
        <w:tc>
          <w:tcPr>
            <w:tcW w:w="488" w:type="pct"/>
            <w:shd w:val="clear" w:color="000000" w:fill="FFFFFF"/>
          </w:tcPr>
          <w:p w14:paraId="1C2932F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7394B79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UNICEF NZ Implementation</w:t>
            </w:r>
          </w:p>
        </w:tc>
        <w:tc>
          <w:tcPr>
            <w:tcW w:w="377" w:type="pct"/>
            <w:shd w:val="clear" w:color="000000" w:fill="FFFFFF"/>
            <w:noWrap/>
            <w:hideMark/>
          </w:tcPr>
          <w:p w14:paraId="2B5527B4"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323,976</w:t>
            </w:r>
          </w:p>
        </w:tc>
        <w:tc>
          <w:tcPr>
            <w:tcW w:w="452" w:type="pct"/>
            <w:shd w:val="clear" w:color="000000" w:fill="FFFFFF"/>
            <w:noWrap/>
            <w:hideMark/>
          </w:tcPr>
          <w:p w14:paraId="7CE0EF3E"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458,102</w:t>
            </w:r>
          </w:p>
        </w:tc>
        <w:tc>
          <w:tcPr>
            <w:tcW w:w="350" w:type="pct"/>
            <w:shd w:val="clear" w:color="000000" w:fill="FFFFFF"/>
            <w:noWrap/>
            <w:hideMark/>
          </w:tcPr>
          <w:p w14:paraId="5C4708F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C2FFE3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483861F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36122BD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722900B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2A0E5BD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03E6AA8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4328482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310B5213" w14:textId="77777777" w:rsidTr="00942DCE">
        <w:trPr>
          <w:trHeight w:val="20"/>
          <w:jc w:val="center"/>
        </w:trPr>
        <w:tc>
          <w:tcPr>
            <w:tcW w:w="488" w:type="pct"/>
            <w:shd w:val="clear" w:color="000000" w:fill="FFFFFF"/>
          </w:tcPr>
          <w:p w14:paraId="5A2E249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Worldwide/Multi-Regional</w:t>
            </w:r>
          </w:p>
        </w:tc>
        <w:tc>
          <w:tcPr>
            <w:tcW w:w="781" w:type="pct"/>
            <w:shd w:val="clear" w:color="000000" w:fill="FFFFFF"/>
            <w:hideMark/>
          </w:tcPr>
          <w:p w14:paraId="373F2BB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The Adventist Development and Relief Agency Implementation</w:t>
            </w:r>
          </w:p>
        </w:tc>
        <w:tc>
          <w:tcPr>
            <w:tcW w:w="377" w:type="pct"/>
            <w:shd w:val="clear" w:color="000000" w:fill="FFFFFF"/>
            <w:noWrap/>
            <w:hideMark/>
          </w:tcPr>
          <w:p w14:paraId="0D7E0546"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430,959</w:t>
            </w:r>
          </w:p>
        </w:tc>
        <w:tc>
          <w:tcPr>
            <w:tcW w:w="452" w:type="pct"/>
            <w:shd w:val="clear" w:color="000000" w:fill="FFFFFF"/>
            <w:noWrap/>
            <w:hideMark/>
          </w:tcPr>
          <w:p w14:paraId="369CFB76"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609,377</w:t>
            </w:r>
          </w:p>
        </w:tc>
        <w:tc>
          <w:tcPr>
            <w:tcW w:w="350" w:type="pct"/>
            <w:shd w:val="clear" w:color="000000" w:fill="FFFFFF"/>
            <w:noWrap/>
            <w:hideMark/>
          </w:tcPr>
          <w:p w14:paraId="3F67BE1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09F3C17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675093B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193EDB6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1B729ED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17442A9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2D23D60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52D784B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0D3A9F6E" w14:textId="77777777" w:rsidTr="00942DCE">
        <w:trPr>
          <w:trHeight w:val="20"/>
          <w:jc w:val="center"/>
        </w:trPr>
        <w:tc>
          <w:tcPr>
            <w:tcW w:w="488" w:type="pct"/>
            <w:shd w:val="clear" w:color="000000" w:fill="FFFFFF"/>
          </w:tcPr>
          <w:p w14:paraId="1A58647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Worldwide/Multi-Regional</w:t>
            </w:r>
          </w:p>
        </w:tc>
        <w:tc>
          <w:tcPr>
            <w:tcW w:w="781" w:type="pct"/>
            <w:shd w:val="clear" w:color="000000" w:fill="FFFFFF"/>
            <w:hideMark/>
          </w:tcPr>
          <w:p w14:paraId="4C13009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TearFund New Zealand Implementation</w:t>
            </w:r>
          </w:p>
        </w:tc>
        <w:tc>
          <w:tcPr>
            <w:tcW w:w="377" w:type="pct"/>
            <w:shd w:val="clear" w:color="000000" w:fill="FFFFFF"/>
            <w:noWrap/>
            <w:hideMark/>
          </w:tcPr>
          <w:p w14:paraId="100ABF7B"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337,886</w:t>
            </w:r>
          </w:p>
        </w:tc>
        <w:tc>
          <w:tcPr>
            <w:tcW w:w="452" w:type="pct"/>
            <w:shd w:val="clear" w:color="000000" w:fill="FFFFFF"/>
            <w:noWrap/>
            <w:hideMark/>
          </w:tcPr>
          <w:p w14:paraId="0760999E"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477,771</w:t>
            </w:r>
          </w:p>
        </w:tc>
        <w:tc>
          <w:tcPr>
            <w:tcW w:w="350" w:type="pct"/>
            <w:shd w:val="clear" w:color="000000" w:fill="FFFFFF"/>
            <w:noWrap/>
            <w:hideMark/>
          </w:tcPr>
          <w:p w14:paraId="1FF2044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29A4B3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144464C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1EDA2FE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336CB16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6BDF436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6F2A28C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3F6B2A1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73CDA5D8" w14:textId="77777777" w:rsidTr="00942DCE">
        <w:trPr>
          <w:trHeight w:val="20"/>
          <w:jc w:val="center"/>
        </w:trPr>
        <w:tc>
          <w:tcPr>
            <w:tcW w:w="488" w:type="pct"/>
            <w:shd w:val="clear" w:color="000000" w:fill="FFFFFF"/>
          </w:tcPr>
          <w:p w14:paraId="1D03081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Timor-Leste</w:t>
            </w:r>
          </w:p>
        </w:tc>
        <w:tc>
          <w:tcPr>
            <w:tcW w:w="781" w:type="pct"/>
            <w:shd w:val="clear" w:color="000000" w:fill="FFFFFF"/>
            <w:hideMark/>
          </w:tcPr>
          <w:p w14:paraId="185A3EF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Enhancing Climate Resilience in Timor-Leste</w:t>
            </w:r>
          </w:p>
        </w:tc>
        <w:tc>
          <w:tcPr>
            <w:tcW w:w="377" w:type="pct"/>
            <w:shd w:val="clear" w:color="000000" w:fill="FFFFFF"/>
            <w:noWrap/>
            <w:hideMark/>
          </w:tcPr>
          <w:p w14:paraId="592F2136"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14,144</w:t>
            </w:r>
          </w:p>
        </w:tc>
        <w:tc>
          <w:tcPr>
            <w:tcW w:w="452" w:type="pct"/>
            <w:shd w:val="clear" w:color="000000" w:fill="FFFFFF"/>
            <w:noWrap/>
            <w:hideMark/>
          </w:tcPr>
          <w:p w14:paraId="001A0264"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20,000</w:t>
            </w:r>
          </w:p>
        </w:tc>
        <w:tc>
          <w:tcPr>
            <w:tcW w:w="350" w:type="pct"/>
            <w:shd w:val="clear" w:color="000000" w:fill="FFFFFF"/>
            <w:noWrap/>
            <w:hideMark/>
          </w:tcPr>
          <w:p w14:paraId="00DA6DC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56B22EA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0CB4B03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0AD8401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51E6DB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1B64FA4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Fishing</w:t>
            </w:r>
          </w:p>
        </w:tc>
        <w:tc>
          <w:tcPr>
            <w:tcW w:w="304" w:type="pct"/>
            <w:shd w:val="clear" w:color="000000" w:fill="FFFFFF"/>
            <w:hideMark/>
          </w:tcPr>
          <w:p w14:paraId="0BE1362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59E6516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5BEDECA7" w14:textId="77777777" w:rsidTr="00942DCE">
        <w:trPr>
          <w:trHeight w:val="20"/>
          <w:jc w:val="center"/>
        </w:trPr>
        <w:tc>
          <w:tcPr>
            <w:tcW w:w="488" w:type="pct"/>
            <w:shd w:val="clear" w:color="000000" w:fill="FFFFFF"/>
          </w:tcPr>
          <w:p w14:paraId="33604FF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Kiribati</w:t>
            </w:r>
          </w:p>
        </w:tc>
        <w:tc>
          <w:tcPr>
            <w:tcW w:w="781" w:type="pct"/>
            <w:shd w:val="clear" w:color="000000" w:fill="FFFFFF"/>
            <w:hideMark/>
          </w:tcPr>
          <w:p w14:paraId="10E8CAB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Kiribati Water</w:t>
            </w:r>
          </w:p>
        </w:tc>
        <w:tc>
          <w:tcPr>
            <w:tcW w:w="377" w:type="pct"/>
            <w:shd w:val="clear" w:color="000000" w:fill="FFFFFF"/>
            <w:noWrap/>
            <w:hideMark/>
          </w:tcPr>
          <w:p w14:paraId="4DB59E5B"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10,067</w:t>
            </w:r>
          </w:p>
        </w:tc>
        <w:tc>
          <w:tcPr>
            <w:tcW w:w="452" w:type="pct"/>
            <w:shd w:val="clear" w:color="000000" w:fill="FFFFFF"/>
            <w:hideMark/>
          </w:tcPr>
          <w:p w14:paraId="4B88D4A9"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14,235</w:t>
            </w:r>
          </w:p>
        </w:tc>
        <w:tc>
          <w:tcPr>
            <w:tcW w:w="350" w:type="pct"/>
            <w:shd w:val="clear" w:color="000000" w:fill="FFFFFF"/>
            <w:noWrap/>
            <w:hideMark/>
          </w:tcPr>
          <w:p w14:paraId="5B533BC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329EA3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1A0BD39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52C03E5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342543B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14A3735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Water and Sanitation</w:t>
            </w:r>
          </w:p>
        </w:tc>
        <w:tc>
          <w:tcPr>
            <w:tcW w:w="304" w:type="pct"/>
            <w:shd w:val="clear" w:color="000000" w:fill="FFFFFF"/>
            <w:hideMark/>
          </w:tcPr>
          <w:p w14:paraId="5D8D6CE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1596F97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04104610" w14:textId="77777777" w:rsidTr="00942DCE">
        <w:trPr>
          <w:trHeight w:val="20"/>
          <w:jc w:val="center"/>
        </w:trPr>
        <w:tc>
          <w:tcPr>
            <w:tcW w:w="488" w:type="pct"/>
            <w:shd w:val="clear" w:color="000000" w:fill="FFFFFF"/>
          </w:tcPr>
          <w:p w14:paraId="519C9E0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Viet Nam</w:t>
            </w:r>
          </w:p>
        </w:tc>
        <w:tc>
          <w:tcPr>
            <w:tcW w:w="781" w:type="pct"/>
            <w:shd w:val="clear" w:color="000000" w:fill="FFFFFF"/>
            <w:hideMark/>
          </w:tcPr>
          <w:p w14:paraId="0066765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Viet Nam Dam Safety Project</w:t>
            </w:r>
          </w:p>
        </w:tc>
        <w:tc>
          <w:tcPr>
            <w:tcW w:w="377" w:type="pct"/>
            <w:shd w:val="clear" w:color="000000" w:fill="FFFFFF"/>
            <w:noWrap/>
            <w:hideMark/>
          </w:tcPr>
          <w:p w14:paraId="75D5AEC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9,429</w:t>
            </w:r>
          </w:p>
        </w:tc>
        <w:tc>
          <w:tcPr>
            <w:tcW w:w="452" w:type="pct"/>
            <w:shd w:val="clear" w:color="000000" w:fill="FFFFFF"/>
            <w:hideMark/>
          </w:tcPr>
          <w:p w14:paraId="219E1E33"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13,332</w:t>
            </w:r>
          </w:p>
        </w:tc>
        <w:tc>
          <w:tcPr>
            <w:tcW w:w="350" w:type="pct"/>
            <w:shd w:val="clear" w:color="000000" w:fill="FFFFFF"/>
            <w:noWrap/>
            <w:hideMark/>
          </w:tcPr>
          <w:p w14:paraId="49F9449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7AC972A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1D405F0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498ACB8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6CAF3CD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19BE819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Humanitarian Aid</w:t>
            </w:r>
          </w:p>
        </w:tc>
        <w:tc>
          <w:tcPr>
            <w:tcW w:w="304" w:type="pct"/>
            <w:shd w:val="clear" w:color="000000" w:fill="FFFFFF"/>
            <w:hideMark/>
          </w:tcPr>
          <w:p w14:paraId="3C7E443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530BBAF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6E44456A" w14:textId="77777777" w:rsidTr="00942DCE">
        <w:trPr>
          <w:trHeight w:val="20"/>
          <w:jc w:val="center"/>
        </w:trPr>
        <w:tc>
          <w:tcPr>
            <w:tcW w:w="488" w:type="pct"/>
            <w:shd w:val="clear" w:color="000000" w:fill="FFFFFF"/>
          </w:tcPr>
          <w:p w14:paraId="7F5C8D5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Indonesia</w:t>
            </w:r>
          </w:p>
        </w:tc>
        <w:tc>
          <w:tcPr>
            <w:tcW w:w="781" w:type="pct"/>
            <w:shd w:val="clear" w:color="000000" w:fill="FFFFFF"/>
            <w:hideMark/>
          </w:tcPr>
          <w:p w14:paraId="1CA7C91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Indonesia: Accelerating Geothermal Development</w:t>
            </w:r>
          </w:p>
        </w:tc>
        <w:tc>
          <w:tcPr>
            <w:tcW w:w="377" w:type="pct"/>
            <w:shd w:val="clear" w:color="000000" w:fill="FFFFFF"/>
            <w:noWrap/>
            <w:hideMark/>
          </w:tcPr>
          <w:p w14:paraId="6BD9E93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343,010</w:t>
            </w:r>
          </w:p>
        </w:tc>
        <w:tc>
          <w:tcPr>
            <w:tcW w:w="452" w:type="pct"/>
            <w:shd w:val="clear" w:color="000000" w:fill="FFFFFF"/>
            <w:hideMark/>
          </w:tcPr>
          <w:p w14:paraId="21D3F058"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485,016</w:t>
            </w:r>
          </w:p>
        </w:tc>
        <w:tc>
          <w:tcPr>
            <w:tcW w:w="350" w:type="pct"/>
            <w:shd w:val="clear" w:color="000000" w:fill="FFFFFF"/>
            <w:noWrap/>
            <w:hideMark/>
          </w:tcPr>
          <w:p w14:paraId="5AB8170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6358C7E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5FF8D62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683BB68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55D76E7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Mitigation</w:t>
            </w:r>
          </w:p>
        </w:tc>
        <w:tc>
          <w:tcPr>
            <w:tcW w:w="439" w:type="pct"/>
            <w:shd w:val="clear" w:color="000000" w:fill="FFFFFF"/>
            <w:hideMark/>
          </w:tcPr>
          <w:p w14:paraId="44B6390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Energy</w:t>
            </w:r>
          </w:p>
        </w:tc>
        <w:tc>
          <w:tcPr>
            <w:tcW w:w="304" w:type="pct"/>
            <w:shd w:val="clear" w:color="000000" w:fill="FFFFFF"/>
            <w:hideMark/>
          </w:tcPr>
          <w:p w14:paraId="1DB795C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26FA601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5BC6AE90" w14:textId="77777777" w:rsidTr="00942DCE">
        <w:trPr>
          <w:trHeight w:val="20"/>
          <w:jc w:val="center"/>
        </w:trPr>
        <w:tc>
          <w:tcPr>
            <w:tcW w:w="488" w:type="pct"/>
            <w:shd w:val="clear" w:color="000000" w:fill="FFFFFF"/>
          </w:tcPr>
          <w:p w14:paraId="4C27DA2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Indonesia</w:t>
            </w:r>
          </w:p>
        </w:tc>
        <w:tc>
          <w:tcPr>
            <w:tcW w:w="781" w:type="pct"/>
            <w:shd w:val="clear" w:color="000000" w:fill="FFFFFF"/>
            <w:hideMark/>
          </w:tcPr>
          <w:p w14:paraId="2FE92B0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Indonesia: Improving Energy Access in Maluku</w:t>
            </w:r>
          </w:p>
        </w:tc>
        <w:tc>
          <w:tcPr>
            <w:tcW w:w="377" w:type="pct"/>
            <w:shd w:val="clear" w:color="000000" w:fill="FFFFFF"/>
            <w:noWrap/>
            <w:hideMark/>
          </w:tcPr>
          <w:p w14:paraId="1F24F7C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736,122</w:t>
            </w:r>
          </w:p>
        </w:tc>
        <w:tc>
          <w:tcPr>
            <w:tcW w:w="452" w:type="pct"/>
            <w:shd w:val="clear" w:color="000000" w:fill="FFFFFF"/>
            <w:hideMark/>
          </w:tcPr>
          <w:p w14:paraId="68432CCA"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1,040,876</w:t>
            </w:r>
          </w:p>
        </w:tc>
        <w:tc>
          <w:tcPr>
            <w:tcW w:w="350" w:type="pct"/>
            <w:shd w:val="clear" w:color="000000" w:fill="FFFFFF"/>
            <w:noWrap/>
            <w:hideMark/>
          </w:tcPr>
          <w:p w14:paraId="741A3FD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E10CC2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5574463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68B75EB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5DBA449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4DE5223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Energy</w:t>
            </w:r>
          </w:p>
        </w:tc>
        <w:tc>
          <w:tcPr>
            <w:tcW w:w="304" w:type="pct"/>
            <w:shd w:val="clear" w:color="000000" w:fill="FFFFFF"/>
            <w:hideMark/>
          </w:tcPr>
          <w:p w14:paraId="6A5EE3B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5552926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562E2056" w14:textId="77777777" w:rsidTr="00942DCE">
        <w:trPr>
          <w:trHeight w:val="20"/>
          <w:jc w:val="center"/>
        </w:trPr>
        <w:tc>
          <w:tcPr>
            <w:tcW w:w="488" w:type="pct"/>
            <w:shd w:val="clear" w:color="000000" w:fill="FFFFFF"/>
          </w:tcPr>
          <w:p w14:paraId="7023B8E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Africa Regional/Multi-Country</w:t>
            </w:r>
          </w:p>
        </w:tc>
        <w:tc>
          <w:tcPr>
            <w:tcW w:w="781" w:type="pct"/>
            <w:shd w:val="clear" w:color="000000" w:fill="FFFFFF"/>
            <w:hideMark/>
          </w:tcPr>
          <w:p w14:paraId="25797A0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Africa Geothermal Assistance Facility</w:t>
            </w:r>
          </w:p>
        </w:tc>
        <w:tc>
          <w:tcPr>
            <w:tcW w:w="377" w:type="pct"/>
            <w:shd w:val="clear" w:color="000000" w:fill="FFFFFF"/>
            <w:noWrap/>
            <w:hideMark/>
          </w:tcPr>
          <w:p w14:paraId="404ACE49"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1,236,705</w:t>
            </w:r>
          </w:p>
        </w:tc>
        <w:tc>
          <w:tcPr>
            <w:tcW w:w="452" w:type="pct"/>
            <w:shd w:val="clear" w:color="000000" w:fill="FFFFFF"/>
            <w:hideMark/>
          </w:tcPr>
          <w:p w14:paraId="10D89067"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1,748,701</w:t>
            </w:r>
          </w:p>
        </w:tc>
        <w:tc>
          <w:tcPr>
            <w:tcW w:w="350" w:type="pct"/>
            <w:shd w:val="clear" w:color="000000" w:fill="FFFFFF"/>
            <w:noWrap/>
            <w:hideMark/>
          </w:tcPr>
          <w:p w14:paraId="5F2876A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E5C466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2505823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5F610C3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91E4F1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0ACD905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Energy</w:t>
            </w:r>
          </w:p>
        </w:tc>
        <w:tc>
          <w:tcPr>
            <w:tcW w:w="304" w:type="pct"/>
            <w:shd w:val="clear" w:color="000000" w:fill="FFFFFF"/>
            <w:hideMark/>
          </w:tcPr>
          <w:p w14:paraId="0B26D85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6C460B5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7C77E05D" w14:textId="77777777" w:rsidTr="00942DCE">
        <w:trPr>
          <w:trHeight w:val="20"/>
          <w:jc w:val="center"/>
        </w:trPr>
        <w:tc>
          <w:tcPr>
            <w:tcW w:w="488" w:type="pct"/>
            <w:shd w:val="clear" w:color="000000" w:fill="FFFFFF"/>
          </w:tcPr>
          <w:p w14:paraId="429B565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Indonesia</w:t>
            </w:r>
          </w:p>
        </w:tc>
        <w:tc>
          <w:tcPr>
            <w:tcW w:w="781" w:type="pct"/>
            <w:shd w:val="clear" w:color="000000" w:fill="FFFFFF"/>
            <w:hideMark/>
          </w:tcPr>
          <w:p w14:paraId="5C4C0BF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Indonesia: Supporting Geothermal Sector Training</w:t>
            </w:r>
          </w:p>
        </w:tc>
        <w:tc>
          <w:tcPr>
            <w:tcW w:w="377" w:type="pct"/>
            <w:shd w:val="clear" w:color="000000" w:fill="FFFFFF"/>
            <w:noWrap/>
            <w:hideMark/>
          </w:tcPr>
          <w:p w14:paraId="6C72E933"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149,740</w:t>
            </w:r>
          </w:p>
        </w:tc>
        <w:tc>
          <w:tcPr>
            <w:tcW w:w="452" w:type="pct"/>
            <w:shd w:val="clear" w:color="000000" w:fill="FFFFFF"/>
            <w:hideMark/>
          </w:tcPr>
          <w:p w14:paraId="0F6942C4"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211,733</w:t>
            </w:r>
          </w:p>
        </w:tc>
        <w:tc>
          <w:tcPr>
            <w:tcW w:w="350" w:type="pct"/>
            <w:shd w:val="clear" w:color="000000" w:fill="FFFFFF"/>
            <w:noWrap/>
            <w:hideMark/>
          </w:tcPr>
          <w:p w14:paraId="543308C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44E4C79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17CA752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4CFE207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4C2FEB9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Mitigation</w:t>
            </w:r>
          </w:p>
        </w:tc>
        <w:tc>
          <w:tcPr>
            <w:tcW w:w="439" w:type="pct"/>
            <w:shd w:val="clear" w:color="000000" w:fill="FFFFFF"/>
            <w:hideMark/>
          </w:tcPr>
          <w:p w14:paraId="656CE2F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Energy</w:t>
            </w:r>
          </w:p>
        </w:tc>
        <w:tc>
          <w:tcPr>
            <w:tcW w:w="304" w:type="pct"/>
            <w:shd w:val="clear" w:color="000000" w:fill="FFFFFF"/>
            <w:hideMark/>
          </w:tcPr>
          <w:p w14:paraId="1D4B9D3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78DAC9A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1E6A4122" w14:textId="77777777" w:rsidTr="00942DCE">
        <w:trPr>
          <w:trHeight w:val="20"/>
          <w:jc w:val="center"/>
        </w:trPr>
        <w:tc>
          <w:tcPr>
            <w:tcW w:w="488" w:type="pct"/>
            <w:shd w:val="clear" w:color="000000" w:fill="FFFFFF"/>
          </w:tcPr>
          <w:p w14:paraId="1DE74CF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Indonesia</w:t>
            </w:r>
          </w:p>
        </w:tc>
        <w:tc>
          <w:tcPr>
            <w:tcW w:w="781" w:type="pct"/>
            <w:shd w:val="clear" w:color="000000" w:fill="FFFFFF"/>
            <w:hideMark/>
          </w:tcPr>
          <w:p w14:paraId="4D8173D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15" w:name="_Hlk176283408"/>
            <w:r w:rsidRPr="009A14EC">
              <w:rPr>
                <w:rFonts w:asciiTheme="minorHAnsi" w:hAnsiTheme="minorHAnsi" w:cstheme="minorHAnsi"/>
                <w:color w:val="000000"/>
                <w:sz w:val="18"/>
                <w:szCs w:val="18"/>
              </w:rPr>
              <w:t>Indonesia: Better Warehousing</w:t>
            </w:r>
            <w:bookmarkEnd w:id="915"/>
          </w:p>
        </w:tc>
        <w:tc>
          <w:tcPr>
            <w:tcW w:w="377" w:type="pct"/>
            <w:shd w:val="clear" w:color="000000" w:fill="FFFFFF"/>
            <w:noWrap/>
            <w:hideMark/>
          </w:tcPr>
          <w:p w14:paraId="7A4577C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530,478</w:t>
            </w:r>
          </w:p>
        </w:tc>
        <w:tc>
          <w:tcPr>
            <w:tcW w:w="452" w:type="pct"/>
            <w:shd w:val="clear" w:color="000000" w:fill="FFFFFF"/>
            <w:hideMark/>
          </w:tcPr>
          <w:p w14:paraId="5610555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750,097</w:t>
            </w:r>
          </w:p>
        </w:tc>
        <w:tc>
          <w:tcPr>
            <w:tcW w:w="350" w:type="pct"/>
            <w:shd w:val="clear" w:color="000000" w:fill="FFFFFF"/>
            <w:noWrap/>
            <w:hideMark/>
          </w:tcPr>
          <w:p w14:paraId="4BA610C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3CDE113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2E470E9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7706DB9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5D2326E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2898D0F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Humanitarian Aid</w:t>
            </w:r>
          </w:p>
        </w:tc>
        <w:tc>
          <w:tcPr>
            <w:tcW w:w="304" w:type="pct"/>
            <w:shd w:val="clear" w:color="000000" w:fill="FFFFFF"/>
            <w:hideMark/>
          </w:tcPr>
          <w:p w14:paraId="0995C4D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51AE150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54CFF661" w14:textId="77777777" w:rsidTr="00942DCE">
        <w:trPr>
          <w:trHeight w:val="20"/>
          <w:jc w:val="center"/>
        </w:trPr>
        <w:tc>
          <w:tcPr>
            <w:tcW w:w="488" w:type="pct"/>
            <w:shd w:val="clear" w:color="000000" w:fill="FFFFFF"/>
          </w:tcPr>
          <w:p w14:paraId="6D516BA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Asia Regional/Multi-Country</w:t>
            </w:r>
          </w:p>
        </w:tc>
        <w:tc>
          <w:tcPr>
            <w:tcW w:w="781" w:type="pct"/>
            <w:shd w:val="clear" w:color="000000" w:fill="FFFFFF"/>
            <w:hideMark/>
          </w:tcPr>
          <w:p w14:paraId="679C99C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ASEAN: Lao and Cambodia Renewable Energy Facility</w:t>
            </w:r>
          </w:p>
        </w:tc>
        <w:tc>
          <w:tcPr>
            <w:tcW w:w="377" w:type="pct"/>
            <w:shd w:val="clear" w:color="000000" w:fill="FFFFFF"/>
            <w:noWrap/>
            <w:hideMark/>
          </w:tcPr>
          <w:p w14:paraId="7DC4172B"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758,674</w:t>
            </w:r>
          </w:p>
        </w:tc>
        <w:tc>
          <w:tcPr>
            <w:tcW w:w="452" w:type="pct"/>
            <w:shd w:val="clear" w:color="000000" w:fill="FFFFFF"/>
            <w:noWrap/>
            <w:hideMark/>
          </w:tcPr>
          <w:p w14:paraId="66B9CF7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1,072,766</w:t>
            </w:r>
          </w:p>
        </w:tc>
        <w:tc>
          <w:tcPr>
            <w:tcW w:w="350" w:type="pct"/>
            <w:shd w:val="clear" w:color="000000" w:fill="FFFFFF"/>
            <w:noWrap/>
            <w:hideMark/>
          </w:tcPr>
          <w:p w14:paraId="015827F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E015F7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hideMark/>
          </w:tcPr>
          <w:p w14:paraId="05B7DE9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79E389C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92998F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3BDDC26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Energy</w:t>
            </w:r>
          </w:p>
        </w:tc>
        <w:tc>
          <w:tcPr>
            <w:tcW w:w="304" w:type="pct"/>
            <w:shd w:val="clear" w:color="000000" w:fill="FFFFFF"/>
            <w:hideMark/>
          </w:tcPr>
          <w:p w14:paraId="4577A34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19BF23E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590E6BD1" w14:textId="77777777" w:rsidTr="00942DCE">
        <w:trPr>
          <w:trHeight w:val="20"/>
          <w:jc w:val="center"/>
        </w:trPr>
        <w:tc>
          <w:tcPr>
            <w:tcW w:w="488" w:type="pct"/>
            <w:shd w:val="clear" w:color="000000" w:fill="FFFFFF"/>
          </w:tcPr>
          <w:p w14:paraId="492BD54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Myanmar</w:t>
            </w:r>
          </w:p>
        </w:tc>
        <w:tc>
          <w:tcPr>
            <w:tcW w:w="781" w:type="pct"/>
            <w:shd w:val="clear" w:color="000000" w:fill="FFFFFF"/>
            <w:hideMark/>
          </w:tcPr>
          <w:p w14:paraId="31A30B0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16" w:name="_Hlk176283485"/>
            <w:r w:rsidRPr="009A14EC">
              <w:rPr>
                <w:rFonts w:asciiTheme="minorHAnsi" w:hAnsiTheme="minorHAnsi" w:cstheme="minorHAnsi"/>
                <w:color w:val="000000"/>
                <w:sz w:val="18"/>
                <w:szCs w:val="18"/>
              </w:rPr>
              <w:t>Myanmar Better Warehousing and Logistics</w:t>
            </w:r>
            <w:bookmarkEnd w:id="916"/>
          </w:p>
        </w:tc>
        <w:tc>
          <w:tcPr>
            <w:tcW w:w="377" w:type="pct"/>
            <w:shd w:val="clear" w:color="000000" w:fill="FFFFFF"/>
            <w:noWrap/>
            <w:hideMark/>
          </w:tcPr>
          <w:p w14:paraId="56EA980E"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198,691</w:t>
            </w:r>
          </w:p>
        </w:tc>
        <w:tc>
          <w:tcPr>
            <w:tcW w:w="452" w:type="pct"/>
            <w:shd w:val="clear" w:color="000000" w:fill="FFFFFF"/>
            <w:hideMark/>
          </w:tcPr>
          <w:p w14:paraId="00D837BE"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280,950</w:t>
            </w:r>
          </w:p>
        </w:tc>
        <w:tc>
          <w:tcPr>
            <w:tcW w:w="350" w:type="pct"/>
            <w:shd w:val="clear" w:color="000000" w:fill="FFFFFF"/>
            <w:noWrap/>
            <w:hideMark/>
          </w:tcPr>
          <w:p w14:paraId="01DF21A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681AF54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6D3FD86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455DB67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372DE55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76C4534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64BCDE9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3CB3CEB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7BB9FAA1" w14:textId="77777777" w:rsidTr="00942DCE">
        <w:trPr>
          <w:trHeight w:val="20"/>
          <w:jc w:val="center"/>
        </w:trPr>
        <w:tc>
          <w:tcPr>
            <w:tcW w:w="488" w:type="pct"/>
            <w:shd w:val="clear" w:color="000000" w:fill="FFFFFF"/>
          </w:tcPr>
          <w:p w14:paraId="194B1E4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Myanmar</w:t>
            </w:r>
          </w:p>
        </w:tc>
        <w:tc>
          <w:tcPr>
            <w:tcW w:w="781" w:type="pct"/>
            <w:shd w:val="clear" w:color="000000" w:fill="FFFFFF"/>
            <w:hideMark/>
          </w:tcPr>
          <w:p w14:paraId="71D4313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Myanmar Resilient Horticulture</w:t>
            </w:r>
          </w:p>
        </w:tc>
        <w:tc>
          <w:tcPr>
            <w:tcW w:w="377" w:type="pct"/>
            <w:shd w:val="clear" w:color="000000" w:fill="FFFFFF"/>
            <w:noWrap/>
            <w:hideMark/>
          </w:tcPr>
          <w:p w14:paraId="74724056"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97,417</w:t>
            </w:r>
          </w:p>
        </w:tc>
        <w:tc>
          <w:tcPr>
            <w:tcW w:w="452" w:type="pct"/>
            <w:shd w:val="clear" w:color="000000" w:fill="FFFFFF"/>
            <w:hideMark/>
          </w:tcPr>
          <w:p w14:paraId="5E1B0639"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137,748</w:t>
            </w:r>
          </w:p>
        </w:tc>
        <w:tc>
          <w:tcPr>
            <w:tcW w:w="350" w:type="pct"/>
            <w:shd w:val="clear" w:color="000000" w:fill="FFFFFF"/>
            <w:noWrap/>
            <w:hideMark/>
          </w:tcPr>
          <w:p w14:paraId="4DCA909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6F1A19E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576037A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2143532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ED9474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60900EF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Agriculture</w:t>
            </w:r>
          </w:p>
        </w:tc>
        <w:tc>
          <w:tcPr>
            <w:tcW w:w="304" w:type="pct"/>
            <w:shd w:val="clear" w:color="000000" w:fill="FFFFFF"/>
            <w:hideMark/>
          </w:tcPr>
          <w:p w14:paraId="1199E41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57D0AE4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52DCD0AB" w14:textId="77777777" w:rsidTr="00942DCE">
        <w:trPr>
          <w:trHeight w:val="20"/>
          <w:jc w:val="center"/>
        </w:trPr>
        <w:tc>
          <w:tcPr>
            <w:tcW w:w="488" w:type="pct"/>
            <w:shd w:val="clear" w:color="000000" w:fill="FFFFFF"/>
          </w:tcPr>
          <w:p w14:paraId="28D0FED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Vanuatu</w:t>
            </w:r>
          </w:p>
        </w:tc>
        <w:tc>
          <w:tcPr>
            <w:tcW w:w="781" w:type="pct"/>
            <w:shd w:val="clear" w:color="000000" w:fill="FFFFFF"/>
            <w:hideMark/>
          </w:tcPr>
          <w:p w14:paraId="74CCED1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Water Sector Partnership 2017-2021</w:t>
            </w:r>
          </w:p>
        </w:tc>
        <w:tc>
          <w:tcPr>
            <w:tcW w:w="377" w:type="pct"/>
            <w:shd w:val="clear" w:color="000000" w:fill="FFFFFF"/>
            <w:noWrap/>
            <w:hideMark/>
          </w:tcPr>
          <w:p w14:paraId="74B0A900"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789,353</w:t>
            </w:r>
          </w:p>
        </w:tc>
        <w:tc>
          <w:tcPr>
            <w:tcW w:w="452" w:type="pct"/>
            <w:shd w:val="clear" w:color="000000" w:fill="FFFFFF"/>
            <w:hideMark/>
          </w:tcPr>
          <w:p w14:paraId="38506BCC"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1,116,146</w:t>
            </w:r>
          </w:p>
        </w:tc>
        <w:tc>
          <w:tcPr>
            <w:tcW w:w="350" w:type="pct"/>
            <w:shd w:val="clear" w:color="000000" w:fill="FFFFFF"/>
            <w:noWrap/>
            <w:hideMark/>
          </w:tcPr>
          <w:p w14:paraId="0044424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55AEACF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292DD15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5DC5413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7363947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4E42E5D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Water and Sanitation</w:t>
            </w:r>
          </w:p>
        </w:tc>
        <w:tc>
          <w:tcPr>
            <w:tcW w:w="304" w:type="pct"/>
            <w:shd w:val="clear" w:color="000000" w:fill="FFFFFF"/>
            <w:hideMark/>
          </w:tcPr>
          <w:p w14:paraId="7777DF2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4CB83BD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56082E8E" w14:textId="77777777" w:rsidTr="00942DCE">
        <w:trPr>
          <w:trHeight w:val="20"/>
          <w:jc w:val="center"/>
        </w:trPr>
        <w:tc>
          <w:tcPr>
            <w:tcW w:w="488" w:type="pct"/>
            <w:shd w:val="clear" w:color="000000" w:fill="FFFFFF"/>
          </w:tcPr>
          <w:p w14:paraId="7C3E0BF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Nauru</w:t>
            </w:r>
          </w:p>
        </w:tc>
        <w:tc>
          <w:tcPr>
            <w:tcW w:w="781" w:type="pct"/>
            <w:shd w:val="clear" w:color="000000" w:fill="FFFFFF"/>
            <w:hideMark/>
          </w:tcPr>
          <w:p w14:paraId="735E908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Renewable Energy Initiative</w:t>
            </w:r>
          </w:p>
        </w:tc>
        <w:tc>
          <w:tcPr>
            <w:tcW w:w="377" w:type="pct"/>
            <w:shd w:val="clear" w:color="000000" w:fill="FFFFFF"/>
            <w:noWrap/>
            <w:hideMark/>
          </w:tcPr>
          <w:p w14:paraId="0DDC2826"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13,978</w:t>
            </w:r>
          </w:p>
        </w:tc>
        <w:tc>
          <w:tcPr>
            <w:tcW w:w="452" w:type="pct"/>
            <w:shd w:val="clear" w:color="000000" w:fill="FFFFFF"/>
            <w:hideMark/>
          </w:tcPr>
          <w:p w14:paraId="51FCF2D3"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19,766</w:t>
            </w:r>
          </w:p>
        </w:tc>
        <w:tc>
          <w:tcPr>
            <w:tcW w:w="350" w:type="pct"/>
            <w:shd w:val="clear" w:color="000000" w:fill="FFFFFF"/>
            <w:noWrap/>
            <w:hideMark/>
          </w:tcPr>
          <w:p w14:paraId="6FFC6B4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41AB9E5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hideMark/>
          </w:tcPr>
          <w:p w14:paraId="6FE54D1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4ACB1FA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6D8A41C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Mitigation</w:t>
            </w:r>
          </w:p>
        </w:tc>
        <w:tc>
          <w:tcPr>
            <w:tcW w:w="439" w:type="pct"/>
            <w:shd w:val="clear" w:color="000000" w:fill="FFFFFF"/>
            <w:hideMark/>
          </w:tcPr>
          <w:p w14:paraId="6C0A4FA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Energy</w:t>
            </w:r>
          </w:p>
        </w:tc>
        <w:tc>
          <w:tcPr>
            <w:tcW w:w="304" w:type="pct"/>
            <w:shd w:val="clear" w:color="000000" w:fill="FFFFFF"/>
            <w:hideMark/>
          </w:tcPr>
          <w:p w14:paraId="629E83E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7637CED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2F549931" w14:textId="77777777" w:rsidTr="00942DCE">
        <w:trPr>
          <w:trHeight w:val="20"/>
          <w:jc w:val="center"/>
        </w:trPr>
        <w:tc>
          <w:tcPr>
            <w:tcW w:w="488" w:type="pct"/>
            <w:shd w:val="clear" w:color="000000" w:fill="FFFFFF"/>
          </w:tcPr>
          <w:p w14:paraId="12EEED0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hideMark/>
          </w:tcPr>
          <w:p w14:paraId="73071D0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17" w:name="_Hlk176257935"/>
            <w:r w:rsidRPr="009A14EC">
              <w:rPr>
                <w:rFonts w:asciiTheme="minorHAnsi" w:hAnsiTheme="minorHAnsi" w:cstheme="minorHAnsi"/>
                <w:color w:val="000000"/>
                <w:sz w:val="18"/>
                <w:szCs w:val="18"/>
              </w:rPr>
              <w:t>Improving Pacific Access to Climate Finance</w:t>
            </w:r>
            <w:bookmarkEnd w:id="917"/>
          </w:p>
        </w:tc>
        <w:tc>
          <w:tcPr>
            <w:tcW w:w="377" w:type="pct"/>
            <w:shd w:val="clear" w:color="000000" w:fill="FFFFFF"/>
            <w:noWrap/>
            <w:hideMark/>
          </w:tcPr>
          <w:p w14:paraId="72F14AF7"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106,082</w:t>
            </w:r>
          </w:p>
        </w:tc>
        <w:tc>
          <w:tcPr>
            <w:tcW w:w="452" w:type="pct"/>
            <w:shd w:val="clear" w:color="000000" w:fill="FFFFFF"/>
            <w:hideMark/>
          </w:tcPr>
          <w:p w14:paraId="2DD5D334"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150,000</w:t>
            </w:r>
          </w:p>
        </w:tc>
        <w:tc>
          <w:tcPr>
            <w:tcW w:w="350" w:type="pct"/>
            <w:shd w:val="clear" w:color="000000" w:fill="FFFFFF"/>
            <w:noWrap/>
            <w:hideMark/>
          </w:tcPr>
          <w:p w14:paraId="7F1433E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4517FFB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44BA887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43122DC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2B72D80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6FD648E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0AB6AC6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1D004B4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4460CC5F" w14:textId="77777777" w:rsidTr="00942DCE">
        <w:trPr>
          <w:trHeight w:val="20"/>
          <w:jc w:val="center"/>
        </w:trPr>
        <w:tc>
          <w:tcPr>
            <w:tcW w:w="488" w:type="pct"/>
            <w:shd w:val="clear" w:color="000000" w:fill="FFFFFF"/>
          </w:tcPr>
          <w:p w14:paraId="5B85C1B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Worldwide/Multi-Regional</w:t>
            </w:r>
          </w:p>
        </w:tc>
        <w:tc>
          <w:tcPr>
            <w:tcW w:w="781" w:type="pct"/>
            <w:shd w:val="clear" w:color="000000" w:fill="FFFFFF"/>
            <w:hideMark/>
          </w:tcPr>
          <w:p w14:paraId="35649BC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Volunteer Service Abroad 2018 - 2023</w:t>
            </w:r>
          </w:p>
        </w:tc>
        <w:tc>
          <w:tcPr>
            <w:tcW w:w="377" w:type="pct"/>
            <w:shd w:val="clear" w:color="000000" w:fill="FFFFFF"/>
            <w:noWrap/>
            <w:hideMark/>
          </w:tcPr>
          <w:p w14:paraId="6FB94ADA"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1,222,835</w:t>
            </w:r>
          </w:p>
        </w:tc>
        <w:tc>
          <w:tcPr>
            <w:tcW w:w="452" w:type="pct"/>
            <w:shd w:val="clear" w:color="000000" w:fill="FFFFFF"/>
            <w:hideMark/>
          </w:tcPr>
          <w:p w14:paraId="32798F6C"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1,729,089</w:t>
            </w:r>
          </w:p>
        </w:tc>
        <w:tc>
          <w:tcPr>
            <w:tcW w:w="350" w:type="pct"/>
            <w:shd w:val="clear" w:color="000000" w:fill="FFFFFF"/>
            <w:noWrap/>
            <w:hideMark/>
          </w:tcPr>
          <w:p w14:paraId="7C7FF06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5335CAC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51AFF7F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66C9E01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69A6556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hideMark/>
          </w:tcPr>
          <w:p w14:paraId="2D28219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hideMark/>
          </w:tcPr>
          <w:p w14:paraId="779DACB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76F8DDC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57FDCBA3" w14:textId="77777777" w:rsidTr="00942DCE">
        <w:trPr>
          <w:trHeight w:val="20"/>
          <w:jc w:val="center"/>
        </w:trPr>
        <w:tc>
          <w:tcPr>
            <w:tcW w:w="488" w:type="pct"/>
            <w:shd w:val="clear" w:color="000000" w:fill="FFFFFF"/>
          </w:tcPr>
          <w:p w14:paraId="508D317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Worldwide/Multi-Regional</w:t>
            </w:r>
          </w:p>
        </w:tc>
        <w:tc>
          <w:tcPr>
            <w:tcW w:w="781" w:type="pct"/>
            <w:shd w:val="clear" w:color="000000" w:fill="FFFFFF"/>
            <w:hideMark/>
          </w:tcPr>
          <w:p w14:paraId="53AEF9E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18" w:name="_Hlk176257991"/>
            <w:r w:rsidRPr="009A14EC">
              <w:rPr>
                <w:rFonts w:asciiTheme="minorHAnsi" w:hAnsiTheme="minorHAnsi" w:cstheme="minorHAnsi"/>
                <w:color w:val="000000"/>
                <w:sz w:val="18"/>
                <w:szCs w:val="18"/>
              </w:rPr>
              <w:t>New Zealand Red Cross Partnership 2018-2024</w:t>
            </w:r>
            <w:bookmarkEnd w:id="918"/>
          </w:p>
        </w:tc>
        <w:tc>
          <w:tcPr>
            <w:tcW w:w="377" w:type="pct"/>
            <w:shd w:val="clear" w:color="000000" w:fill="FFFFFF"/>
            <w:noWrap/>
            <w:hideMark/>
          </w:tcPr>
          <w:p w14:paraId="7AB690D9"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142,383</w:t>
            </w:r>
          </w:p>
        </w:tc>
        <w:tc>
          <w:tcPr>
            <w:tcW w:w="452" w:type="pct"/>
            <w:shd w:val="clear" w:color="000000" w:fill="FFFFFF"/>
            <w:hideMark/>
          </w:tcPr>
          <w:p w14:paraId="48DFC4E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201,329</w:t>
            </w:r>
          </w:p>
        </w:tc>
        <w:tc>
          <w:tcPr>
            <w:tcW w:w="350" w:type="pct"/>
            <w:shd w:val="clear" w:color="000000" w:fill="FFFFFF"/>
            <w:noWrap/>
            <w:hideMark/>
          </w:tcPr>
          <w:p w14:paraId="4B9287B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4F6E877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5E4F112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1A52F9B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7C42997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hideMark/>
          </w:tcPr>
          <w:p w14:paraId="2205C4E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Humanitarian Aid</w:t>
            </w:r>
          </w:p>
        </w:tc>
        <w:tc>
          <w:tcPr>
            <w:tcW w:w="304" w:type="pct"/>
            <w:shd w:val="clear" w:color="000000" w:fill="FFFFFF"/>
            <w:hideMark/>
          </w:tcPr>
          <w:p w14:paraId="526033D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hideMark/>
          </w:tcPr>
          <w:p w14:paraId="4FB1184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075B390E" w14:textId="77777777" w:rsidTr="00942DCE">
        <w:trPr>
          <w:trHeight w:val="20"/>
          <w:jc w:val="center"/>
        </w:trPr>
        <w:tc>
          <w:tcPr>
            <w:tcW w:w="488" w:type="pct"/>
            <w:shd w:val="clear" w:color="000000" w:fill="FFFFFF"/>
          </w:tcPr>
          <w:p w14:paraId="3E7A169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Asia Regional/Multi-Country</w:t>
            </w:r>
          </w:p>
        </w:tc>
        <w:tc>
          <w:tcPr>
            <w:tcW w:w="781" w:type="pct"/>
            <w:shd w:val="clear" w:color="000000" w:fill="FFFFFF"/>
            <w:hideMark/>
          </w:tcPr>
          <w:p w14:paraId="6CC25C2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ASEAN Climate Smart Agriculture Initiative</w:t>
            </w:r>
          </w:p>
        </w:tc>
        <w:tc>
          <w:tcPr>
            <w:tcW w:w="377" w:type="pct"/>
            <w:shd w:val="clear" w:color="000000" w:fill="FFFFFF"/>
            <w:noWrap/>
            <w:hideMark/>
          </w:tcPr>
          <w:p w14:paraId="77570DB3"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212,164</w:t>
            </w:r>
          </w:p>
        </w:tc>
        <w:tc>
          <w:tcPr>
            <w:tcW w:w="452" w:type="pct"/>
            <w:shd w:val="clear" w:color="000000" w:fill="FFFFFF"/>
            <w:noWrap/>
            <w:hideMark/>
          </w:tcPr>
          <w:p w14:paraId="61B586D5"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300,000</w:t>
            </w:r>
          </w:p>
        </w:tc>
        <w:tc>
          <w:tcPr>
            <w:tcW w:w="350" w:type="pct"/>
            <w:shd w:val="clear" w:color="000000" w:fill="FFFFFF"/>
            <w:noWrap/>
            <w:hideMark/>
          </w:tcPr>
          <w:p w14:paraId="0C028E7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59214DF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6DB7EC0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43E7458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1A6221B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Mitigation</w:t>
            </w:r>
          </w:p>
        </w:tc>
        <w:tc>
          <w:tcPr>
            <w:tcW w:w="439" w:type="pct"/>
            <w:shd w:val="clear" w:color="000000" w:fill="FFFFFF"/>
            <w:hideMark/>
          </w:tcPr>
          <w:p w14:paraId="41B4E1C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Water and Sanitation</w:t>
            </w:r>
          </w:p>
        </w:tc>
        <w:tc>
          <w:tcPr>
            <w:tcW w:w="304" w:type="pct"/>
            <w:shd w:val="clear" w:color="000000" w:fill="FFFFFF"/>
            <w:hideMark/>
          </w:tcPr>
          <w:p w14:paraId="534700F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65FBC90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22E84A0E" w14:textId="77777777" w:rsidTr="00942DCE">
        <w:trPr>
          <w:trHeight w:val="20"/>
          <w:jc w:val="center"/>
        </w:trPr>
        <w:tc>
          <w:tcPr>
            <w:tcW w:w="488" w:type="pct"/>
            <w:shd w:val="clear" w:color="000000" w:fill="FFFFFF"/>
          </w:tcPr>
          <w:p w14:paraId="51A8941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tcPr>
          <w:p w14:paraId="4B45430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19" w:name="_Hlk176258038"/>
            <w:r w:rsidRPr="009A14EC">
              <w:rPr>
                <w:rFonts w:asciiTheme="minorHAnsi" w:hAnsiTheme="minorHAnsi" w:cstheme="minorHAnsi"/>
                <w:color w:val="000000"/>
                <w:sz w:val="18"/>
                <w:szCs w:val="18"/>
              </w:rPr>
              <w:t>P</w:t>
            </w:r>
            <w:bookmarkEnd w:id="919"/>
            <w:r w:rsidRPr="009A14EC">
              <w:rPr>
                <w:rFonts w:asciiTheme="minorHAnsi" w:hAnsiTheme="minorHAnsi" w:cstheme="minorHAnsi"/>
                <w:color w:val="000000"/>
                <w:sz w:val="18"/>
                <w:szCs w:val="18"/>
              </w:rPr>
              <w:t>acific Islands Emergency Management Alliance</w:t>
            </w:r>
          </w:p>
        </w:tc>
        <w:tc>
          <w:tcPr>
            <w:tcW w:w="377" w:type="pct"/>
            <w:shd w:val="clear" w:color="000000" w:fill="FFFFFF"/>
            <w:noWrap/>
          </w:tcPr>
          <w:p w14:paraId="3B29C1EE"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190,842</w:t>
            </w:r>
          </w:p>
        </w:tc>
        <w:tc>
          <w:tcPr>
            <w:tcW w:w="452" w:type="pct"/>
            <w:shd w:val="clear" w:color="000000" w:fill="FFFFFF"/>
            <w:noWrap/>
          </w:tcPr>
          <w:p w14:paraId="4C01A57F"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269,850</w:t>
            </w:r>
          </w:p>
        </w:tc>
        <w:tc>
          <w:tcPr>
            <w:tcW w:w="350" w:type="pct"/>
            <w:shd w:val="clear" w:color="000000" w:fill="FFFFFF"/>
            <w:noWrap/>
          </w:tcPr>
          <w:p w14:paraId="7636D16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300C353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tcPr>
          <w:p w14:paraId="5F62158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50E0F61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614DE1F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tcPr>
          <w:p w14:paraId="03E1B19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Humanitarian Aid</w:t>
            </w:r>
          </w:p>
        </w:tc>
        <w:tc>
          <w:tcPr>
            <w:tcW w:w="304" w:type="pct"/>
            <w:shd w:val="clear" w:color="000000" w:fill="FFFFFF"/>
          </w:tcPr>
          <w:p w14:paraId="0467D6CA" w14:textId="77777777" w:rsidR="009B2872" w:rsidRPr="009A14EC" w:rsidRDefault="009B2872" w:rsidP="009B2872">
            <w:pPr>
              <w:tabs>
                <w:tab w:val="left" w:pos="750"/>
              </w:tabs>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1EA7B57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02F9D7E0" w14:textId="77777777" w:rsidTr="00942DCE">
        <w:trPr>
          <w:trHeight w:val="20"/>
          <w:jc w:val="center"/>
        </w:trPr>
        <w:tc>
          <w:tcPr>
            <w:tcW w:w="488" w:type="pct"/>
            <w:shd w:val="clear" w:color="000000" w:fill="FFFFFF"/>
          </w:tcPr>
          <w:p w14:paraId="446DAFB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Republic of Marshall Islands</w:t>
            </w:r>
          </w:p>
        </w:tc>
        <w:tc>
          <w:tcPr>
            <w:tcW w:w="781" w:type="pct"/>
            <w:shd w:val="clear" w:color="000000" w:fill="FFFFFF"/>
          </w:tcPr>
          <w:p w14:paraId="3EF9BA0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20" w:name="_Hlk176258108"/>
            <w:r w:rsidRPr="009A14EC">
              <w:rPr>
                <w:rFonts w:asciiTheme="minorHAnsi" w:hAnsiTheme="minorHAnsi" w:cstheme="minorHAnsi"/>
                <w:color w:val="000000"/>
                <w:sz w:val="18"/>
                <w:szCs w:val="18"/>
              </w:rPr>
              <w:t>Republic of Marshall Islands- Energy initiative</w:t>
            </w:r>
            <w:bookmarkEnd w:id="920"/>
          </w:p>
        </w:tc>
        <w:tc>
          <w:tcPr>
            <w:tcW w:w="377" w:type="pct"/>
            <w:shd w:val="clear" w:color="000000" w:fill="FFFFFF"/>
            <w:noWrap/>
          </w:tcPr>
          <w:p w14:paraId="0D63204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82,940</w:t>
            </w:r>
          </w:p>
        </w:tc>
        <w:tc>
          <w:tcPr>
            <w:tcW w:w="452" w:type="pct"/>
            <w:shd w:val="clear" w:color="000000" w:fill="FFFFFF"/>
            <w:noWrap/>
          </w:tcPr>
          <w:p w14:paraId="2EDAD775"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117,276</w:t>
            </w:r>
          </w:p>
        </w:tc>
        <w:tc>
          <w:tcPr>
            <w:tcW w:w="350" w:type="pct"/>
            <w:shd w:val="clear" w:color="000000" w:fill="FFFFFF"/>
            <w:noWrap/>
          </w:tcPr>
          <w:p w14:paraId="1C8860C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36F63BE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tcPr>
          <w:p w14:paraId="1F6556A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0DB9111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0FD083F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Mitigation</w:t>
            </w:r>
          </w:p>
        </w:tc>
        <w:tc>
          <w:tcPr>
            <w:tcW w:w="439" w:type="pct"/>
            <w:shd w:val="clear" w:color="000000" w:fill="FFFFFF"/>
          </w:tcPr>
          <w:p w14:paraId="4D630C1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Energy</w:t>
            </w:r>
          </w:p>
        </w:tc>
        <w:tc>
          <w:tcPr>
            <w:tcW w:w="304" w:type="pct"/>
            <w:shd w:val="clear" w:color="000000" w:fill="FFFFFF"/>
          </w:tcPr>
          <w:p w14:paraId="6BD4CAFD" w14:textId="77777777" w:rsidR="009B2872" w:rsidRPr="009A14EC" w:rsidRDefault="009B2872" w:rsidP="009B2872">
            <w:pPr>
              <w:tabs>
                <w:tab w:val="left" w:pos="720"/>
              </w:tabs>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5D7C41E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23113816" w14:textId="77777777" w:rsidTr="00942DCE">
        <w:trPr>
          <w:trHeight w:val="20"/>
          <w:jc w:val="center"/>
        </w:trPr>
        <w:tc>
          <w:tcPr>
            <w:tcW w:w="488" w:type="pct"/>
            <w:shd w:val="clear" w:color="000000" w:fill="FFFFFF"/>
          </w:tcPr>
          <w:p w14:paraId="45DB576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American Central Regional/Multi-Country</w:t>
            </w:r>
          </w:p>
        </w:tc>
        <w:tc>
          <w:tcPr>
            <w:tcW w:w="781" w:type="pct"/>
            <w:shd w:val="clear" w:color="000000" w:fill="FFFFFF"/>
          </w:tcPr>
          <w:p w14:paraId="0AB42E7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21" w:name="_Hlk176284055"/>
            <w:r w:rsidRPr="009A14EC">
              <w:rPr>
                <w:rFonts w:asciiTheme="minorHAnsi" w:hAnsiTheme="minorHAnsi" w:cstheme="minorHAnsi"/>
                <w:color w:val="000000"/>
                <w:sz w:val="18"/>
                <w:szCs w:val="18"/>
              </w:rPr>
              <w:t>Caribbean Geothermal Technical Assistance Phase II</w:t>
            </w:r>
            <w:bookmarkEnd w:id="921"/>
          </w:p>
        </w:tc>
        <w:tc>
          <w:tcPr>
            <w:tcW w:w="377" w:type="pct"/>
            <w:shd w:val="clear" w:color="000000" w:fill="FFFFFF"/>
            <w:noWrap/>
          </w:tcPr>
          <w:p w14:paraId="3D681A65"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304,485</w:t>
            </w:r>
          </w:p>
        </w:tc>
        <w:tc>
          <w:tcPr>
            <w:tcW w:w="452" w:type="pct"/>
            <w:shd w:val="clear" w:color="000000" w:fill="FFFFFF"/>
            <w:noWrap/>
          </w:tcPr>
          <w:p w14:paraId="5DC97C3E"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430,542</w:t>
            </w:r>
          </w:p>
        </w:tc>
        <w:tc>
          <w:tcPr>
            <w:tcW w:w="350" w:type="pct"/>
            <w:shd w:val="clear" w:color="000000" w:fill="FFFFFF"/>
            <w:noWrap/>
          </w:tcPr>
          <w:p w14:paraId="15B0316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23646FA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tcPr>
          <w:p w14:paraId="5F1BF95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4F3A384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078CFCC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tcPr>
          <w:p w14:paraId="46CAAFC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Energy</w:t>
            </w:r>
          </w:p>
        </w:tc>
        <w:tc>
          <w:tcPr>
            <w:tcW w:w="304" w:type="pct"/>
            <w:shd w:val="clear" w:color="000000" w:fill="FFFFFF"/>
          </w:tcPr>
          <w:p w14:paraId="68C6D37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2EAC4CF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57A978F5" w14:textId="77777777" w:rsidTr="00942DCE">
        <w:trPr>
          <w:trHeight w:val="20"/>
          <w:jc w:val="center"/>
        </w:trPr>
        <w:tc>
          <w:tcPr>
            <w:tcW w:w="488" w:type="pct"/>
            <w:shd w:val="clear" w:color="000000" w:fill="FFFFFF"/>
          </w:tcPr>
          <w:p w14:paraId="66A158B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Solomon Islands</w:t>
            </w:r>
          </w:p>
        </w:tc>
        <w:tc>
          <w:tcPr>
            <w:tcW w:w="781" w:type="pct"/>
            <w:shd w:val="clear" w:color="000000" w:fill="FFFFFF"/>
          </w:tcPr>
          <w:p w14:paraId="56D6461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Forest Conservation Solomon Islands</w:t>
            </w:r>
          </w:p>
        </w:tc>
        <w:tc>
          <w:tcPr>
            <w:tcW w:w="377" w:type="pct"/>
            <w:shd w:val="clear" w:color="000000" w:fill="FFFFFF"/>
            <w:noWrap/>
          </w:tcPr>
          <w:p w14:paraId="754ADA3B"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151,917</w:t>
            </w:r>
          </w:p>
        </w:tc>
        <w:tc>
          <w:tcPr>
            <w:tcW w:w="452" w:type="pct"/>
            <w:shd w:val="clear" w:color="000000" w:fill="FFFFFF"/>
            <w:noWrap/>
          </w:tcPr>
          <w:p w14:paraId="53A30464"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214,811</w:t>
            </w:r>
          </w:p>
        </w:tc>
        <w:tc>
          <w:tcPr>
            <w:tcW w:w="350" w:type="pct"/>
            <w:shd w:val="clear" w:color="000000" w:fill="FFFFFF"/>
            <w:noWrap/>
          </w:tcPr>
          <w:p w14:paraId="2FEC4D0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1753606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tcPr>
          <w:p w14:paraId="74A53F7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02812E2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30D420F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tcPr>
          <w:p w14:paraId="5501E10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tcPr>
          <w:p w14:paraId="4421A71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5A144BB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5487B6F0" w14:textId="77777777" w:rsidTr="00942DCE">
        <w:trPr>
          <w:trHeight w:val="20"/>
          <w:jc w:val="center"/>
        </w:trPr>
        <w:tc>
          <w:tcPr>
            <w:tcW w:w="488" w:type="pct"/>
            <w:shd w:val="clear" w:color="000000" w:fill="FFFFFF"/>
          </w:tcPr>
          <w:p w14:paraId="1B9221C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tcPr>
          <w:p w14:paraId="5027844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University of the South Pacific 2019-2022</w:t>
            </w:r>
          </w:p>
        </w:tc>
        <w:tc>
          <w:tcPr>
            <w:tcW w:w="377" w:type="pct"/>
            <w:shd w:val="clear" w:color="000000" w:fill="FFFFFF"/>
            <w:noWrap/>
          </w:tcPr>
          <w:p w14:paraId="170B34C0"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1,654,880</w:t>
            </w:r>
          </w:p>
        </w:tc>
        <w:tc>
          <w:tcPr>
            <w:tcW w:w="452" w:type="pct"/>
            <w:shd w:val="clear" w:color="000000" w:fill="FFFFFF"/>
            <w:noWrap/>
          </w:tcPr>
          <w:p w14:paraId="23F354C3"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2,340,000</w:t>
            </w:r>
          </w:p>
        </w:tc>
        <w:tc>
          <w:tcPr>
            <w:tcW w:w="350" w:type="pct"/>
            <w:shd w:val="clear" w:color="000000" w:fill="FFFFFF"/>
            <w:noWrap/>
          </w:tcPr>
          <w:p w14:paraId="49077A5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3EEDD3C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tcPr>
          <w:p w14:paraId="44E1F6D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2BC6B05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0068534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tcPr>
          <w:p w14:paraId="3D4F717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Education</w:t>
            </w:r>
          </w:p>
        </w:tc>
        <w:tc>
          <w:tcPr>
            <w:tcW w:w="304" w:type="pct"/>
            <w:shd w:val="clear" w:color="000000" w:fill="FFFFFF"/>
          </w:tcPr>
          <w:p w14:paraId="2BC064D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p w14:paraId="0EE9F523" w14:textId="77777777" w:rsidR="009B2872" w:rsidRPr="009A14EC" w:rsidRDefault="009B2872" w:rsidP="009B2872">
            <w:pPr>
              <w:tabs>
                <w:tab w:val="left" w:pos="780"/>
              </w:tabs>
              <w:rPr>
                <w:rFonts w:asciiTheme="minorHAnsi" w:hAnsiTheme="minorHAnsi" w:cstheme="minorHAnsi"/>
                <w:sz w:val="18"/>
                <w:szCs w:val="18"/>
              </w:rPr>
            </w:pPr>
            <w:r w:rsidRPr="009A14EC">
              <w:rPr>
                <w:rFonts w:asciiTheme="minorHAnsi" w:hAnsiTheme="minorHAnsi" w:cstheme="minorHAnsi"/>
                <w:sz w:val="18"/>
                <w:szCs w:val="18"/>
              </w:rPr>
              <w:tab/>
            </w:r>
          </w:p>
        </w:tc>
        <w:tc>
          <w:tcPr>
            <w:tcW w:w="388" w:type="pct"/>
            <w:shd w:val="clear" w:color="000000" w:fill="FFFFFF"/>
          </w:tcPr>
          <w:p w14:paraId="406DEF7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4CA38ED8" w14:textId="77777777" w:rsidTr="00942DCE">
        <w:trPr>
          <w:trHeight w:val="20"/>
          <w:jc w:val="center"/>
        </w:trPr>
        <w:tc>
          <w:tcPr>
            <w:tcW w:w="488" w:type="pct"/>
            <w:shd w:val="clear" w:color="000000" w:fill="FFFFFF"/>
          </w:tcPr>
          <w:p w14:paraId="7581FCC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Samoa</w:t>
            </w:r>
          </w:p>
        </w:tc>
        <w:tc>
          <w:tcPr>
            <w:tcW w:w="781" w:type="pct"/>
            <w:shd w:val="clear" w:color="000000" w:fill="FFFFFF"/>
          </w:tcPr>
          <w:p w14:paraId="16CC996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Incentivising economic Reform</w:t>
            </w:r>
          </w:p>
        </w:tc>
        <w:tc>
          <w:tcPr>
            <w:tcW w:w="377" w:type="pct"/>
            <w:shd w:val="clear" w:color="000000" w:fill="FFFFFF"/>
            <w:noWrap/>
          </w:tcPr>
          <w:p w14:paraId="42268067"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1,768,034</w:t>
            </w:r>
          </w:p>
        </w:tc>
        <w:tc>
          <w:tcPr>
            <w:tcW w:w="452" w:type="pct"/>
            <w:shd w:val="clear" w:color="000000" w:fill="FFFFFF"/>
            <w:noWrap/>
          </w:tcPr>
          <w:p w14:paraId="5A18C3C9"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2,500,000</w:t>
            </w:r>
          </w:p>
        </w:tc>
        <w:tc>
          <w:tcPr>
            <w:tcW w:w="350" w:type="pct"/>
            <w:shd w:val="clear" w:color="000000" w:fill="FFFFFF"/>
            <w:noWrap/>
          </w:tcPr>
          <w:p w14:paraId="031BE41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600A19A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tcPr>
          <w:p w14:paraId="7E87DB1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3CECD8A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6540234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tcPr>
          <w:p w14:paraId="689760B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Commodity aid and General Programme Assistance</w:t>
            </w:r>
          </w:p>
        </w:tc>
        <w:tc>
          <w:tcPr>
            <w:tcW w:w="304" w:type="pct"/>
            <w:shd w:val="clear" w:color="000000" w:fill="FFFFFF"/>
          </w:tcPr>
          <w:p w14:paraId="1266569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7B14162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217034A4" w14:textId="77777777" w:rsidTr="00942DCE">
        <w:trPr>
          <w:trHeight w:val="20"/>
          <w:jc w:val="center"/>
        </w:trPr>
        <w:tc>
          <w:tcPr>
            <w:tcW w:w="488" w:type="pct"/>
            <w:shd w:val="clear" w:color="000000" w:fill="FFFFFF"/>
          </w:tcPr>
          <w:p w14:paraId="39ABCDD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Tuvalu</w:t>
            </w:r>
          </w:p>
        </w:tc>
        <w:tc>
          <w:tcPr>
            <w:tcW w:w="781" w:type="pct"/>
            <w:shd w:val="clear" w:color="000000" w:fill="FFFFFF"/>
          </w:tcPr>
          <w:p w14:paraId="0F053F2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Tuvalu Trust Fund Contributions</w:t>
            </w:r>
          </w:p>
        </w:tc>
        <w:tc>
          <w:tcPr>
            <w:tcW w:w="377" w:type="pct"/>
            <w:shd w:val="clear" w:color="000000" w:fill="FFFFFF"/>
            <w:noWrap/>
          </w:tcPr>
          <w:p w14:paraId="5754608E"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34,231</w:t>
            </w:r>
          </w:p>
        </w:tc>
        <w:tc>
          <w:tcPr>
            <w:tcW w:w="452" w:type="pct"/>
            <w:shd w:val="clear" w:color="000000" w:fill="FFFFFF"/>
            <w:noWrap/>
          </w:tcPr>
          <w:p w14:paraId="5B0919E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48,403</w:t>
            </w:r>
          </w:p>
        </w:tc>
        <w:tc>
          <w:tcPr>
            <w:tcW w:w="350" w:type="pct"/>
            <w:shd w:val="clear" w:color="000000" w:fill="FFFFFF"/>
            <w:noWrap/>
          </w:tcPr>
          <w:p w14:paraId="073479F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033866B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tcPr>
          <w:p w14:paraId="25C8DD0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25D46D5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6173E05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tcPr>
          <w:p w14:paraId="3571A6B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Government and Civil Society</w:t>
            </w:r>
          </w:p>
        </w:tc>
        <w:tc>
          <w:tcPr>
            <w:tcW w:w="304" w:type="pct"/>
            <w:shd w:val="clear" w:color="000000" w:fill="FFFFFF"/>
          </w:tcPr>
          <w:p w14:paraId="6414CCA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0CFB581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0977AF96" w14:textId="77777777" w:rsidTr="00942DCE">
        <w:trPr>
          <w:trHeight w:val="20"/>
          <w:jc w:val="center"/>
        </w:trPr>
        <w:tc>
          <w:tcPr>
            <w:tcW w:w="488" w:type="pct"/>
            <w:shd w:val="clear" w:color="000000" w:fill="FFFFFF"/>
          </w:tcPr>
          <w:p w14:paraId="68A044D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Republic of Marshall Islands</w:t>
            </w:r>
          </w:p>
        </w:tc>
        <w:tc>
          <w:tcPr>
            <w:tcW w:w="781" w:type="pct"/>
            <w:shd w:val="clear" w:color="000000" w:fill="FFFFFF"/>
          </w:tcPr>
          <w:p w14:paraId="677D5D4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RMI Transport Strategy</w:t>
            </w:r>
          </w:p>
        </w:tc>
        <w:tc>
          <w:tcPr>
            <w:tcW w:w="377" w:type="pct"/>
            <w:shd w:val="clear" w:color="000000" w:fill="FFFFFF"/>
            <w:noWrap/>
          </w:tcPr>
          <w:p w14:paraId="4F6FFB4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64,788</w:t>
            </w:r>
          </w:p>
        </w:tc>
        <w:tc>
          <w:tcPr>
            <w:tcW w:w="452" w:type="pct"/>
            <w:shd w:val="clear" w:color="000000" w:fill="FFFFFF"/>
            <w:noWrap/>
          </w:tcPr>
          <w:p w14:paraId="1606C8A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91,610</w:t>
            </w:r>
          </w:p>
        </w:tc>
        <w:tc>
          <w:tcPr>
            <w:tcW w:w="350" w:type="pct"/>
            <w:shd w:val="clear" w:color="000000" w:fill="FFFFFF"/>
            <w:noWrap/>
          </w:tcPr>
          <w:p w14:paraId="1D4B7E1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743000C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tcPr>
          <w:p w14:paraId="709AD1B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7E6D652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45CF52A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tcPr>
          <w:p w14:paraId="3DA1B7E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Transport and Storage</w:t>
            </w:r>
          </w:p>
        </w:tc>
        <w:tc>
          <w:tcPr>
            <w:tcW w:w="304" w:type="pct"/>
            <w:shd w:val="clear" w:color="000000" w:fill="FFFFFF"/>
          </w:tcPr>
          <w:p w14:paraId="001871A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44CD0CF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68A89CC4" w14:textId="77777777" w:rsidTr="00942DCE">
        <w:trPr>
          <w:trHeight w:val="20"/>
          <w:jc w:val="center"/>
        </w:trPr>
        <w:tc>
          <w:tcPr>
            <w:tcW w:w="488" w:type="pct"/>
            <w:shd w:val="clear" w:color="000000" w:fill="FFFFFF"/>
          </w:tcPr>
          <w:p w14:paraId="4F97C9A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Kiribati</w:t>
            </w:r>
          </w:p>
        </w:tc>
        <w:tc>
          <w:tcPr>
            <w:tcW w:w="781" w:type="pct"/>
            <w:shd w:val="clear" w:color="000000" w:fill="FFFFFF"/>
          </w:tcPr>
          <w:p w14:paraId="0D202CC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Climate Change Resilience</w:t>
            </w:r>
          </w:p>
        </w:tc>
        <w:tc>
          <w:tcPr>
            <w:tcW w:w="377" w:type="pct"/>
            <w:shd w:val="clear" w:color="000000" w:fill="FFFFFF"/>
            <w:noWrap/>
          </w:tcPr>
          <w:p w14:paraId="266222E9"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30,731</w:t>
            </w:r>
          </w:p>
        </w:tc>
        <w:tc>
          <w:tcPr>
            <w:tcW w:w="452" w:type="pct"/>
            <w:shd w:val="clear" w:color="000000" w:fill="FFFFFF"/>
            <w:noWrap/>
          </w:tcPr>
          <w:p w14:paraId="1DE217F8"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43,453</w:t>
            </w:r>
          </w:p>
        </w:tc>
        <w:tc>
          <w:tcPr>
            <w:tcW w:w="350" w:type="pct"/>
            <w:shd w:val="clear" w:color="000000" w:fill="FFFFFF"/>
            <w:noWrap/>
          </w:tcPr>
          <w:p w14:paraId="05BE37F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6D760BB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tcPr>
          <w:p w14:paraId="64AD726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6D09E4E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2F9F60D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tcPr>
          <w:p w14:paraId="1051DED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tcPr>
          <w:p w14:paraId="2FDD7D7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5F234F5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211DB9D6" w14:textId="77777777" w:rsidTr="00942DCE">
        <w:trPr>
          <w:trHeight w:val="20"/>
          <w:jc w:val="center"/>
        </w:trPr>
        <w:tc>
          <w:tcPr>
            <w:tcW w:w="488" w:type="pct"/>
            <w:shd w:val="clear" w:color="000000" w:fill="FFFFFF"/>
          </w:tcPr>
          <w:p w14:paraId="2793005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Vanuatu</w:t>
            </w:r>
          </w:p>
        </w:tc>
        <w:tc>
          <w:tcPr>
            <w:tcW w:w="781" w:type="pct"/>
            <w:shd w:val="clear" w:color="000000" w:fill="FFFFFF"/>
          </w:tcPr>
          <w:p w14:paraId="4D7FF99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22" w:name="_Hlk176258220"/>
            <w:r w:rsidRPr="009A14EC">
              <w:rPr>
                <w:rFonts w:asciiTheme="minorHAnsi" w:hAnsiTheme="minorHAnsi" w:cstheme="minorHAnsi"/>
                <w:color w:val="000000"/>
                <w:sz w:val="18"/>
                <w:szCs w:val="18"/>
              </w:rPr>
              <w:t>Santo Water Sanitation and Hygiene Project</w:t>
            </w:r>
            <w:bookmarkEnd w:id="922"/>
          </w:p>
        </w:tc>
        <w:tc>
          <w:tcPr>
            <w:tcW w:w="377" w:type="pct"/>
            <w:shd w:val="clear" w:color="000000" w:fill="FFFFFF"/>
            <w:noWrap/>
          </w:tcPr>
          <w:p w14:paraId="419711B6"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66,339</w:t>
            </w:r>
          </w:p>
        </w:tc>
        <w:tc>
          <w:tcPr>
            <w:tcW w:w="452" w:type="pct"/>
            <w:shd w:val="clear" w:color="000000" w:fill="FFFFFF"/>
            <w:noWrap/>
          </w:tcPr>
          <w:p w14:paraId="5B8F569F"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93,803</w:t>
            </w:r>
          </w:p>
        </w:tc>
        <w:tc>
          <w:tcPr>
            <w:tcW w:w="350" w:type="pct"/>
            <w:shd w:val="clear" w:color="000000" w:fill="FFFFFF"/>
            <w:noWrap/>
          </w:tcPr>
          <w:p w14:paraId="24FAF3F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xml:space="preserve">Disbursed </w:t>
            </w:r>
          </w:p>
        </w:tc>
        <w:tc>
          <w:tcPr>
            <w:tcW w:w="296" w:type="pct"/>
            <w:shd w:val="clear" w:color="000000" w:fill="FFFFFF"/>
          </w:tcPr>
          <w:p w14:paraId="4A6F362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tcPr>
          <w:p w14:paraId="277C8E8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70753C5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5C97D6C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tcPr>
          <w:p w14:paraId="4816702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Water and Sanitation</w:t>
            </w:r>
          </w:p>
        </w:tc>
        <w:tc>
          <w:tcPr>
            <w:tcW w:w="304" w:type="pct"/>
            <w:shd w:val="clear" w:color="000000" w:fill="FFFFFF"/>
          </w:tcPr>
          <w:p w14:paraId="1FDA1B7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0D5C185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1C4B03EA" w14:textId="77777777" w:rsidTr="00942DCE">
        <w:trPr>
          <w:trHeight w:val="20"/>
          <w:jc w:val="center"/>
        </w:trPr>
        <w:tc>
          <w:tcPr>
            <w:tcW w:w="488" w:type="pct"/>
            <w:shd w:val="clear" w:color="000000" w:fill="FFFFFF"/>
          </w:tcPr>
          <w:p w14:paraId="0C6F1B7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tcPr>
          <w:p w14:paraId="1D7E4E9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23" w:name="_Hlk176284106"/>
            <w:r w:rsidRPr="009A14EC">
              <w:rPr>
                <w:rFonts w:asciiTheme="minorHAnsi" w:hAnsiTheme="minorHAnsi" w:cstheme="minorHAnsi"/>
                <w:color w:val="000000"/>
                <w:sz w:val="18"/>
                <w:szCs w:val="18"/>
              </w:rPr>
              <w:t>Strategic Evaluation: Energy</w:t>
            </w:r>
            <w:bookmarkEnd w:id="923"/>
          </w:p>
        </w:tc>
        <w:tc>
          <w:tcPr>
            <w:tcW w:w="377" w:type="pct"/>
            <w:shd w:val="clear" w:color="000000" w:fill="FFFFFF"/>
            <w:noWrap/>
          </w:tcPr>
          <w:p w14:paraId="119A024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35,522</w:t>
            </w:r>
          </w:p>
        </w:tc>
        <w:tc>
          <w:tcPr>
            <w:tcW w:w="452" w:type="pct"/>
            <w:shd w:val="clear" w:color="000000" w:fill="FFFFFF"/>
            <w:noWrap/>
          </w:tcPr>
          <w:p w14:paraId="5C56F8B9"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50,228</w:t>
            </w:r>
          </w:p>
        </w:tc>
        <w:tc>
          <w:tcPr>
            <w:tcW w:w="350" w:type="pct"/>
            <w:shd w:val="clear" w:color="000000" w:fill="FFFFFF"/>
            <w:noWrap/>
          </w:tcPr>
          <w:p w14:paraId="0F90A64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3B46C54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tcPr>
          <w:p w14:paraId="250C3C4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6171E5D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698BEFE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tcPr>
          <w:p w14:paraId="387E651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Energy</w:t>
            </w:r>
          </w:p>
        </w:tc>
        <w:tc>
          <w:tcPr>
            <w:tcW w:w="304" w:type="pct"/>
            <w:shd w:val="clear" w:color="000000" w:fill="FFFFFF"/>
          </w:tcPr>
          <w:p w14:paraId="63F9728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73ABAE4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784C634D" w14:textId="77777777" w:rsidTr="00942DCE">
        <w:trPr>
          <w:trHeight w:val="20"/>
          <w:jc w:val="center"/>
        </w:trPr>
        <w:tc>
          <w:tcPr>
            <w:tcW w:w="488" w:type="pct"/>
            <w:shd w:val="clear" w:color="000000" w:fill="FFFFFF"/>
          </w:tcPr>
          <w:p w14:paraId="04E1DB3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Tonga</w:t>
            </w:r>
          </w:p>
        </w:tc>
        <w:tc>
          <w:tcPr>
            <w:tcW w:w="781" w:type="pct"/>
            <w:shd w:val="clear" w:color="000000" w:fill="FFFFFF"/>
          </w:tcPr>
          <w:p w14:paraId="67A2763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xml:space="preserve"> </w:t>
            </w:r>
            <w:bookmarkStart w:id="924" w:name="_Hlk176284173"/>
            <w:r w:rsidRPr="009A14EC">
              <w:rPr>
                <w:rFonts w:asciiTheme="minorHAnsi" w:hAnsiTheme="minorHAnsi" w:cstheme="minorHAnsi"/>
                <w:color w:val="000000"/>
                <w:sz w:val="18"/>
                <w:szCs w:val="18"/>
              </w:rPr>
              <w:t>Improve Climate Resilience: Water and Sanitation</w:t>
            </w:r>
            <w:bookmarkEnd w:id="924"/>
          </w:p>
        </w:tc>
        <w:tc>
          <w:tcPr>
            <w:tcW w:w="377" w:type="pct"/>
            <w:shd w:val="clear" w:color="000000" w:fill="FFFFFF"/>
            <w:noWrap/>
          </w:tcPr>
          <w:p w14:paraId="5E9EC5AB"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12,265</w:t>
            </w:r>
          </w:p>
        </w:tc>
        <w:tc>
          <w:tcPr>
            <w:tcW w:w="452" w:type="pct"/>
            <w:shd w:val="clear" w:color="000000" w:fill="FFFFFF"/>
            <w:noWrap/>
          </w:tcPr>
          <w:p w14:paraId="0C122437"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17,342</w:t>
            </w:r>
          </w:p>
        </w:tc>
        <w:tc>
          <w:tcPr>
            <w:tcW w:w="350" w:type="pct"/>
            <w:shd w:val="clear" w:color="000000" w:fill="FFFFFF"/>
            <w:noWrap/>
          </w:tcPr>
          <w:p w14:paraId="2F04057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48522B2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tcPr>
          <w:p w14:paraId="134F36B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60F3BEE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01EED63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tcPr>
          <w:p w14:paraId="429CEE5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Water and Sanitation</w:t>
            </w:r>
          </w:p>
        </w:tc>
        <w:tc>
          <w:tcPr>
            <w:tcW w:w="304" w:type="pct"/>
            <w:shd w:val="clear" w:color="000000" w:fill="FFFFFF"/>
          </w:tcPr>
          <w:p w14:paraId="196FA0A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6A73D20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76406EFB" w14:textId="77777777" w:rsidTr="00942DCE">
        <w:trPr>
          <w:trHeight w:val="20"/>
          <w:jc w:val="center"/>
        </w:trPr>
        <w:tc>
          <w:tcPr>
            <w:tcW w:w="488" w:type="pct"/>
            <w:shd w:val="clear" w:color="000000" w:fill="FFFFFF"/>
          </w:tcPr>
          <w:p w14:paraId="258A733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tcPr>
          <w:p w14:paraId="4B73C52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Islands Forum Secretariat 2021-2023</w:t>
            </w:r>
          </w:p>
        </w:tc>
        <w:tc>
          <w:tcPr>
            <w:tcW w:w="377" w:type="pct"/>
            <w:shd w:val="clear" w:color="000000" w:fill="FFFFFF"/>
            <w:noWrap/>
          </w:tcPr>
          <w:p w14:paraId="335F226A"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925,035</w:t>
            </w:r>
          </w:p>
        </w:tc>
        <w:tc>
          <w:tcPr>
            <w:tcW w:w="452" w:type="pct"/>
            <w:shd w:val="clear" w:color="000000" w:fill="FFFFFF"/>
            <w:noWrap/>
          </w:tcPr>
          <w:p w14:paraId="63B80DA7"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1,308,000</w:t>
            </w:r>
          </w:p>
        </w:tc>
        <w:tc>
          <w:tcPr>
            <w:tcW w:w="350" w:type="pct"/>
            <w:shd w:val="clear" w:color="000000" w:fill="FFFFFF"/>
            <w:noWrap/>
          </w:tcPr>
          <w:p w14:paraId="26F0B50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7B5CD26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tcPr>
          <w:p w14:paraId="3301DBD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695AC58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5A59B04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Mitigation</w:t>
            </w:r>
          </w:p>
        </w:tc>
        <w:tc>
          <w:tcPr>
            <w:tcW w:w="439" w:type="pct"/>
            <w:shd w:val="clear" w:color="000000" w:fill="FFFFFF"/>
          </w:tcPr>
          <w:p w14:paraId="3DCB750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tcPr>
          <w:p w14:paraId="41551EA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7984C9D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190BE092" w14:textId="77777777" w:rsidTr="00942DCE">
        <w:trPr>
          <w:trHeight w:val="20"/>
          <w:jc w:val="center"/>
        </w:trPr>
        <w:tc>
          <w:tcPr>
            <w:tcW w:w="488" w:type="pct"/>
            <w:shd w:val="clear" w:color="000000" w:fill="FFFFFF"/>
          </w:tcPr>
          <w:p w14:paraId="20EE9BC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tcPr>
          <w:p w14:paraId="7CDB003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Tearfund New Zealand Design</w:t>
            </w:r>
          </w:p>
        </w:tc>
        <w:tc>
          <w:tcPr>
            <w:tcW w:w="377" w:type="pct"/>
            <w:shd w:val="clear" w:color="000000" w:fill="FFFFFF"/>
            <w:noWrap/>
          </w:tcPr>
          <w:p w14:paraId="78A4903A"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17,512</w:t>
            </w:r>
          </w:p>
        </w:tc>
        <w:tc>
          <w:tcPr>
            <w:tcW w:w="452" w:type="pct"/>
            <w:shd w:val="clear" w:color="000000" w:fill="FFFFFF"/>
            <w:noWrap/>
          </w:tcPr>
          <w:p w14:paraId="5C3DF548"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24,762</w:t>
            </w:r>
          </w:p>
        </w:tc>
        <w:tc>
          <w:tcPr>
            <w:tcW w:w="350" w:type="pct"/>
            <w:shd w:val="clear" w:color="000000" w:fill="FFFFFF"/>
            <w:noWrap/>
          </w:tcPr>
          <w:p w14:paraId="4FF7C0D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6EAEEC3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tcPr>
          <w:p w14:paraId="47A83B6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1BFC381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3600710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tcPr>
          <w:p w14:paraId="49FC9C2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tcPr>
          <w:p w14:paraId="7AFFDEC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4513861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09DD5B42" w14:textId="77777777" w:rsidTr="00942DCE">
        <w:trPr>
          <w:trHeight w:val="20"/>
          <w:jc w:val="center"/>
        </w:trPr>
        <w:tc>
          <w:tcPr>
            <w:tcW w:w="488" w:type="pct"/>
            <w:shd w:val="clear" w:color="000000" w:fill="FFFFFF"/>
          </w:tcPr>
          <w:p w14:paraId="77B30E1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tcPr>
          <w:p w14:paraId="2B2F718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Evaluation: Formative Evaluation of the Climate Change Programme Delivery Team</w:t>
            </w:r>
          </w:p>
        </w:tc>
        <w:tc>
          <w:tcPr>
            <w:tcW w:w="377" w:type="pct"/>
            <w:shd w:val="clear" w:color="000000" w:fill="FFFFFF"/>
            <w:noWrap/>
          </w:tcPr>
          <w:p w14:paraId="5623094E"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19,679</w:t>
            </w:r>
          </w:p>
        </w:tc>
        <w:tc>
          <w:tcPr>
            <w:tcW w:w="452" w:type="pct"/>
            <w:shd w:val="clear" w:color="000000" w:fill="FFFFFF"/>
            <w:noWrap/>
          </w:tcPr>
          <w:p w14:paraId="1928D73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27,826</w:t>
            </w:r>
          </w:p>
        </w:tc>
        <w:tc>
          <w:tcPr>
            <w:tcW w:w="350" w:type="pct"/>
            <w:shd w:val="clear" w:color="000000" w:fill="FFFFFF"/>
            <w:noWrap/>
          </w:tcPr>
          <w:p w14:paraId="4ED4552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42D4B28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tcPr>
          <w:p w14:paraId="74D0F52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0F5A91E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209CC4C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tcPr>
          <w:p w14:paraId="3936E3E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tcPr>
          <w:p w14:paraId="09D229A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5E94B47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7F759E49" w14:textId="77777777" w:rsidTr="00942DCE">
        <w:trPr>
          <w:trHeight w:val="20"/>
          <w:jc w:val="center"/>
        </w:trPr>
        <w:tc>
          <w:tcPr>
            <w:tcW w:w="488" w:type="pct"/>
            <w:shd w:val="clear" w:color="000000" w:fill="FFFFFF"/>
          </w:tcPr>
          <w:p w14:paraId="0C02B4C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Tonga</w:t>
            </w:r>
          </w:p>
        </w:tc>
        <w:tc>
          <w:tcPr>
            <w:tcW w:w="781" w:type="pct"/>
            <w:shd w:val="clear" w:color="000000" w:fill="FFFFFF"/>
          </w:tcPr>
          <w:p w14:paraId="5EDD891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25" w:name="_Hlk176258369"/>
            <w:r w:rsidRPr="009A14EC">
              <w:rPr>
                <w:rFonts w:asciiTheme="minorHAnsi" w:hAnsiTheme="minorHAnsi" w:cstheme="minorHAnsi"/>
                <w:color w:val="000000"/>
                <w:sz w:val="18"/>
                <w:szCs w:val="18"/>
              </w:rPr>
              <w:t>Improve Niuafo’ou Water Security Activity</w:t>
            </w:r>
            <w:bookmarkEnd w:id="925"/>
          </w:p>
        </w:tc>
        <w:tc>
          <w:tcPr>
            <w:tcW w:w="377" w:type="pct"/>
            <w:shd w:val="clear" w:color="000000" w:fill="FFFFFF"/>
            <w:noWrap/>
          </w:tcPr>
          <w:p w14:paraId="73E1E31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353,607</w:t>
            </w:r>
          </w:p>
        </w:tc>
        <w:tc>
          <w:tcPr>
            <w:tcW w:w="452" w:type="pct"/>
            <w:shd w:val="clear" w:color="000000" w:fill="FFFFFF"/>
            <w:noWrap/>
          </w:tcPr>
          <w:p w14:paraId="3BD0F298"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500,000</w:t>
            </w:r>
          </w:p>
        </w:tc>
        <w:tc>
          <w:tcPr>
            <w:tcW w:w="350" w:type="pct"/>
            <w:shd w:val="clear" w:color="000000" w:fill="FFFFFF"/>
            <w:noWrap/>
          </w:tcPr>
          <w:p w14:paraId="59F78EF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0934096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tcPr>
          <w:p w14:paraId="2C5950F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7983F56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566B9E2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tcPr>
          <w:p w14:paraId="799E4D1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Water and Sanitation</w:t>
            </w:r>
          </w:p>
        </w:tc>
        <w:tc>
          <w:tcPr>
            <w:tcW w:w="304" w:type="pct"/>
            <w:shd w:val="clear" w:color="000000" w:fill="FFFFFF"/>
          </w:tcPr>
          <w:p w14:paraId="4900B49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3B1DC0A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6802828C" w14:textId="77777777" w:rsidTr="00942DCE">
        <w:trPr>
          <w:trHeight w:val="20"/>
          <w:jc w:val="center"/>
        </w:trPr>
        <w:tc>
          <w:tcPr>
            <w:tcW w:w="488" w:type="pct"/>
            <w:shd w:val="clear" w:color="000000" w:fill="FFFFFF"/>
          </w:tcPr>
          <w:p w14:paraId="5E4656D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Cambodia</w:t>
            </w:r>
          </w:p>
        </w:tc>
        <w:tc>
          <w:tcPr>
            <w:tcW w:w="781" w:type="pct"/>
            <w:shd w:val="clear" w:color="000000" w:fill="FFFFFF"/>
          </w:tcPr>
          <w:p w14:paraId="4B7F88B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Security, Resilience and ED</w:t>
            </w:r>
          </w:p>
        </w:tc>
        <w:tc>
          <w:tcPr>
            <w:tcW w:w="377" w:type="pct"/>
            <w:shd w:val="clear" w:color="000000" w:fill="FFFFFF"/>
            <w:noWrap/>
          </w:tcPr>
          <w:p w14:paraId="76ABECC7"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34,383</w:t>
            </w:r>
          </w:p>
        </w:tc>
        <w:tc>
          <w:tcPr>
            <w:tcW w:w="452" w:type="pct"/>
            <w:shd w:val="clear" w:color="000000" w:fill="FFFFFF"/>
            <w:noWrap/>
          </w:tcPr>
          <w:p w14:paraId="3CA77F83"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48,618</w:t>
            </w:r>
          </w:p>
        </w:tc>
        <w:tc>
          <w:tcPr>
            <w:tcW w:w="350" w:type="pct"/>
            <w:shd w:val="clear" w:color="000000" w:fill="FFFFFF"/>
            <w:noWrap/>
          </w:tcPr>
          <w:p w14:paraId="00D389C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4E58575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tcPr>
          <w:p w14:paraId="2E1AFD6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5C78D73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22E682E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tcPr>
          <w:p w14:paraId="00378FF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Agriculture</w:t>
            </w:r>
          </w:p>
        </w:tc>
        <w:tc>
          <w:tcPr>
            <w:tcW w:w="304" w:type="pct"/>
            <w:shd w:val="clear" w:color="000000" w:fill="FFFFFF"/>
          </w:tcPr>
          <w:p w14:paraId="6E99A56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176A671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0CAB4730" w14:textId="77777777" w:rsidTr="00942DCE">
        <w:trPr>
          <w:trHeight w:val="20"/>
          <w:jc w:val="center"/>
        </w:trPr>
        <w:tc>
          <w:tcPr>
            <w:tcW w:w="488" w:type="pct"/>
            <w:shd w:val="clear" w:color="000000" w:fill="FFFFFF"/>
          </w:tcPr>
          <w:p w14:paraId="43572BD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Zambia</w:t>
            </w:r>
          </w:p>
        </w:tc>
        <w:tc>
          <w:tcPr>
            <w:tcW w:w="781" w:type="pct"/>
            <w:shd w:val="clear" w:color="000000" w:fill="FFFFFF"/>
          </w:tcPr>
          <w:p w14:paraId="0239E86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Zambia Dairy Transformation Programme</w:t>
            </w:r>
          </w:p>
        </w:tc>
        <w:tc>
          <w:tcPr>
            <w:tcW w:w="377" w:type="pct"/>
            <w:shd w:val="clear" w:color="000000" w:fill="FFFFFF"/>
            <w:noWrap/>
          </w:tcPr>
          <w:p w14:paraId="029525E4"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311,514</w:t>
            </w:r>
          </w:p>
        </w:tc>
        <w:tc>
          <w:tcPr>
            <w:tcW w:w="452" w:type="pct"/>
            <w:shd w:val="clear" w:color="000000" w:fill="FFFFFF"/>
            <w:noWrap/>
          </w:tcPr>
          <w:p w14:paraId="2EDB3BFA"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440,481</w:t>
            </w:r>
          </w:p>
        </w:tc>
        <w:tc>
          <w:tcPr>
            <w:tcW w:w="350" w:type="pct"/>
            <w:shd w:val="clear" w:color="000000" w:fill="FFFFFF"/>
            <w:noWrap/>
          </w:tcPr>
          <w:p w14:paraId="2B98AD6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1B3FF99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tcPr>
          <w:p w14:paraId="0057EFA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4891978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1470242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tcPr>
          <w:p w14:paraId="2D273D1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Agriculture</w:t>
            </w:r>
          </w:p>
        </w:tc>
        <w:tc>
          <w:tcPr>
            <w:tcW w:w="304" w:type="pct"/>
            <w:shd w:val="clear" w:color="000000" w:fill="FFFFFF"/>
          </w:tcPr>
          <w:p w14:paraId="556058A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6C36C83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58E1CB5B" w14:textId="77777777" w:rsidTr="00942DCE">
        <w:trPr>
          <w:trHeight w:val="20"/>
          <w:jc w:val="center"/>
        </w:trPr>
        <w:tc>
          <w:tcPr>
            <w:tcW w:w="488" w:type="pct"/>
            <w:shd w:val="clear" w:color="000000" w:fill="FFFFFF"/>
          </w:tcPr>
          <w:p w14:paraId="21D6BD4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Asia Regional/Multi-sector</w:t>
            </w:r>
          </w:p>
        </w:tc>
        <w:tc>
          <w:tcPr>
            <w:tcW w:w="781" w:type="pct"/>
            <w:shd w:val="clear" w:color="000000" w:fill="FFFFFF"/>
            <w:hideMark/>
          </w:tcPr>
          <w:p w14:paraId="46271EA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ASEAN Climate Smart Agriculture Initiative</w:t>
            </w:r>
          </w:p>
        </w:tc>
        <w:tc>
          <w:tcPr>
            <w:tcW w:w="377" w:type="pct"/>
            <w:shd w:val="clear" w:color="000000" w:fill="FFFFFF"/>
            <w:noWrap/>
            <w:hideMark/>
          </w:tcPr>
          <w:p w14:paraId="65D00E23"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1,449,788</w:t>
            </w:r>
          </w:p>
        </w:tc>
        <w:tc>
          <w:tcPr>
            <w:tcW w:w="452" w:type="pct"/>
            <w:shd w:val="clear" w:color="000000" w:fill="FFFFFF"/>
            <w:noWrap/>
            <w:hideMark/>
          </w:tcPr>
          <w:p w14:paraId="79BB3F4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2,050,000</w:t>
            </w:r>
          </w:p>
        </w:tc>
        <w:tc>
          <w:tcPr>
            <w:tcW w:w="350" w:type="pct"/>
            <w:shd w:val="clear" w:color="000000" w:fill="FFFFFF"/>
            <w:noWrap/>
            <w:hideMark/>
          </w:tcPr>
          <w:p w14:paraId="1F76D26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hideMark/>
          </w:tcPr>
          <w:p w14:paraId="2C732E0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hideMark/>
          </w:tcPr>
          <w:p w14:paraId="59BAD17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hideMark/>
          </w:tcPr>
          <w:p w14:paraId="6F0277C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hideMark/>
          </w:tcPr>
          <w:p w14:paraId="4CBAEEC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Mitigation</w:t>
            </w:r>
          </w:p>
        </w:tc>
        <w:tc>
          <w:tcPr>
            <w:tcW w:w="439" w:type="pct"/>
            <w:shd w:val="clear" w:color="000000" w:fill="FFFFFF"/>
            <w:hideMark/>
          </w:tcPr>
          <w:p w14:paraId="3A682E1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Agriculture</w:t>
            </w:r>
          </w:p>
        </w:tc>
        <w:tc>
          <w:tcPr>
            <w:tcW w:w="304" w:type="pct"/>
            <w:shd w:val="clear" w:color="000000" w:fill="FFFFFF"/>
            <w:hideMark/>
          </w:tcPr>
          <w:p w14:paraId="49BC758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c>
          <w:tcPr>
            <w:tcW w:w="388" w:type="pct"/>
            <w:shd w:val="clear" w:color="000000" w:fill="FFFFFF"/>
            <w:hideMark/>
          </w:tcPr>
          <w:p w14:paraId="5DF69C9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395A002D" w14:textId="77777777" w:rsidTr="00942DCE">
        <w:trPr>
          <w:trHeight w:val="20"/>
          <w:jc w:val="center"/>
        </w:trPr>
        <w:tc>
          <w:tcPr>
            <w:tcW w:w="488" w:type="pct"/>
            <w:shd w:val="clear" w:color="000000" w:fill="FFFFFF"/>
          </w:tcPr>
          <w:p w14:paraId="694349F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Myanmar</w:t>
            </w:r>
          </w:p>
        </w:tc>
        <w:tc>
          <w:tcPr>
            <w:tcW w:w="781" w:type="pct"/>
            <w:shd w:val="clear" w:color="000000" w:fill="FFFFFF"/>
          </w:tcPr>
          <w:p w14:paraId="557A1FE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Matupi Sustainable Rural Economic Development Myanmar</w:t>
            </w:r>
          </w:p>
        </w:tc>
        <w:tc>
          <w:tcPr>
            <w:tcW w:w="377" w:type="pct"/>
            <w:shd w:val="clear" w:color="000000" w:fill="FFFFFF"/>
            <w:noWrap/>
          </w:tcPr>
          <w:p w14:paraId="492725E7"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52,542</w:t>
            </w:r>
          </w:p>
        </w:tc>
        <w:tc>
          <w:tcPr>
            <w:tcW w:w="452" w:type="pct"/>
            <w:shd w:val="clear" w:color="000000" w:fill="FFFFFF"/>
            <w:noWrap/>
          </w:tcPr>
          <w:p w14:paraId="7DE5FD35"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74,294</w:t>
            </w:r>
          </w:p>
        </w:tc>
        <w:tc>
          <w:tcPr>
            <w:tcW w:w="350" w:type="pct"/>
            <w:shd w:val="clear" w:color="000000" w:fill="FFFFFF"/>
            <w:noWrap/>
          </w:tcPr>
          <w:p w14:paraId="7B2FE8D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7804736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tcPr>
          <w:p w14:paraId="5DCCBEB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12BC58A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5EA1DC0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tcPr>
          <w:p w14:paraId="0282DED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tcPr>
          <w:p w14:paraId="71AAF5C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46A4BFA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0595F9DC" w14:textId="77777777" w:rsidTr="00942DCE">
        <w:trPr>
          <w:trHeight w:val="20"/>
          <w:jc w:val="center"/>
        </w:trPr>
        <w:tc>
          <w:tcPr>
            <w:tcW w:w="488" w:type="pct"/>
            <w:shd w:val="clear" w:color="000000" w:fill="FFFFFF"/>
          </w:tcPr>
          <w:p w14:paraId="4CC59E4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26" w:name="_Hlk176284592"/>
            <w:r w:rsidRPr="009A14EC">
              <w:rPr>
                <w:rFonts w:asciiTheme="minorHAnsi" w:hAnsiTheme="minorHAnsi" w:cstheme="minorHAnsi"/>
                <w:color w:val="000000"/>
                <w:sz w:val="18"/>
                <w:szCs w:val="18"/>
              </w:rPr>
              <w:t>Pacific Regional/Multi-Country</w:t>
            </w:r>
          </w:p>
        </w:tc>
        <w:tc>
          <w:tcPr>
            <w:tcW w:w="781" w:type="pct"/>
            <w:shd w:val="clear" w:color="000000" w:fill="FFFFFF"/>
          </w:tcPr>
          <w:p w14:paraId="545510A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Energy: North West Pacific Design</w:t>
            </w:r>
          </w:p>
        </w:tc>
        <w:tc>
          <w:tcPr>
            <w:tcW w:w="377" w:type="pct"/>
            <w:shd w:val="clear" w:color="000000" w:fill="FFFFFF"/>
            <w:noWrap/>
          </w:tcPr>
          <w:p w14:paraId="5E6BFBB4"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10,138</w:t>
            </w:r>
          </w:p>
        </w:tc>
        <w:tc>
          <w:tcPr>
            <w:tcW w:w="452" w:type="pct"/>
            <w:shd w:val="clear" w:color="000000" w:fill="FFFFFF"/>
            <w:noWrap/>
          </w:tcPr>
          <w:p w14:paraId="6FA414F6"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14,336</w:t>
            </w:r>
          </w:p>
        </w:tc>
        <w:tc>
          <w:tcPr>
            <w:tcW w:w="350" w:type="pct"/>
            <w:shd w:val="clear" w:color="000000" w:fill="FFFFFF"/>
            <w:noWrap/>
          </w:tcPr>
          <w:p w14:paraId="04C502C7"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150844D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Multi-Bilateral</w:t>
            </w:r>
          </w:p>
        </w:tc>
        <w:tc>
          <w:tcPr>
            <w:tcW w:w="297" w:type="pct"/>
            <w:shd w:val="clear" w:color="000000" w:fill="FFFFFF"/>
            <w:noWrap/>
          </w:tcPr>
          <w:p w14:paraId="7946B17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2812301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5CCCB04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Mitigation</w:t>
            </w:r>
          </w:p>
        </w:tc>
        <w:tc>
          <w:tcPr>
            <w:tcW w:w="439" w:type="pct"/>
            <w:shd w:val="clear" w:color="000000" w:fill="FFFFFF"/>
          </w:tcPr>
          <w:p w14:paraId="3394B67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Energy</w:t>
            </w:r>
          </w:p>
        </w:tc>
        <w:tc>
          <w:tcPr>
            <w:tcW w:w="304" w:type="pct"/>
            <w:shd w:val="clear" w:color="000000" w:fill="FFFFFF"/>
          </w:tcPr>
          <w:p w14:paraId="6B29D9E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3F99AD3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667D0364" w14:textId="77777777" w:rsidTr="00942DCE">
        <w:trPr>
          <w:trHeight w:val="20"/>
          <w:jc w:val="center"/>
        </w:trPr>
        <w:tc>
          <w:tcPr>
            <w:tcW w:w="488" w:type="pct"/>
            <w:shd w:val="clear" w:color="000000" w:fill="FFFFFF"/>
          </w:tcPr>
          <w:p w14:paraId="659F243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27" w:name="_Hlk176258430"/>
            <w:bookmarkEnd w:id="926"/>
            <w:r w:rsidRPr="009A14EC">
              <w:rPr>
                <w:rFonts w:asciiTheme="minorHAnsi" w:hAnsiTheme="minorHAnsi" w:cstheme="minorHAnsi"/>
                <w:color w:val="000000"/>
                <w:sz w:val="18"/>
                <w:szCs w:val="18"/>
              </w:rPr>
              <w:t>Fiji</w:t>
            </w:r>
          </w:p>
        </w:tc>
        <w:tc>
          <w:tcPr>
            <w:tcW w:w="781" w:type="pct"/>
            <w:shd w:val="clear" w:color="000000" w:fill="FFFFFF"/>
          </w:tcPr>
          <w:p w14:paraId="253D542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Tuna longline fisheries in Fiji</w:t>
            </w:r>
          </w:p>
        </w:tc>
        <w:tc>
          <w:tcPr>
            <w:tcW w:w="377" w:type="pct"/>
            <w:shd w:val="clear" w:color="000000" w:fill="FFFFFF"/>
            <w:noWrap/>
          </w:tcPr>
          <w:p w14:paraId="3CD16362"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63,214</w:t>
            </w:r>
          </w:p>
        </w:tc>
        <w:tc>
          <w:tcPr>
            <w:tcW w:w="452" w:type="pct"/>
            <w:shd w:val="clear" w:color="000000" w:fill="FFFFFF"/>
            <w:noWrap/>
          </w:tcPr>
          <w:p w14:paraId="47DE87EF"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89,384</w:t>
            </w:r>
          </w:p>
        </w:tc>
        <w:tc>
          <w:tcPr>
            <w:tcW w:w="350" w:type="pct"/>
            <w:shd w:val="clear" w:color="000000" w:fill="FFFFFF"/>
            <w:noWrap/>
          </w:tcPr>
          <w:p w14:paraId="3F11B3C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252B2FA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Bilateral</w:t>
            </w:r>
          </w:p>
        </w:tc>
        <w:tc>
          <w:tcPr>
            <w:tcW w:w="297" w:type="pct"/>
            <w:shd w:val="clear" w:color="000000" w:fill="FFFFFF"/>
            <w:noWrap/>
          </w:tcPr>
          <w:p w14:paraId="04D05A1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481CC2D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126BFC4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Mitigation</w:t>
            </w:r>
          </w:p>
        </w:tc>
        <w:tc>
          <w:tcPr>
            <w:tcW w:w="439" w:type="pct"/>
            <w:shd w:val="clear" w:color="000000" w:fill="FFFFFF"/>
          </w:tcPr>
          <w:p w14:paraId="53B972B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Fishing</w:t>
            </w:r>
          </w:p>
        </w:tc>
        <w:tc>
          <w:tcPr>
            <w:tcW w:w="304" w:type="pct"/>
            <w:shd w:val="clear" w:color="000000" w:fill="FFFFFF"/>
          </w:tcPr>
          <w:p w14:paraId="0C7321F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37EBA74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bookmarkEnd w:id="927"/>
      <w:tr w:rsidR="00377049" w:rsidRPr="009A14EC" w14:paraId="650BD3A5" w14:textId="77777777" w:rsidTr="00942DCE">
        <w:trPr>
          <w:trHeight w:val="20"/>
          <w:jc w:val="center"/>
        </w:trPr>
        <w:tc>
          <w:tcPr>
            <w:tcW w:w="488" w:type="pct"/>
            <w:shd w:val="clear" w:color="000000" w:fill="FFFFFF"/>
          </w:tcPr>
          <w:p w14:paraId="64F800C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Pacific Regional/Multi-Country</w:t>
            </w:r>
          </w:p>
        </w:tc>
        <w:tc>
          <w:tcPr>
            <w:tcW w:w="781" w:type="pct"/>
            <w:shd w:val="clear" w:color="000000" w:fill="FFFFFF"/>
          </w:tcPr>
          <w:p w14:paraId="19437A6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bookmarkStart w:id="928" w:name="_Hlk176284606"/>
            <w:r w:rsidRPr="009A14EC">
              <w:rPr>
                <w:rFonts w:asciiTheme="minorHAnsi" w:hAnsiTheme="minorHAnsi" w:cstheme="minorHAnsi"/>
                <w:color w:val="000000"/>
                <w:sz w:val="18"/>
                <w:szCs w:val="18"/>
              </w:rPr>
              <w:t>Local Government Technical Assistance Facility</w:t>
            </w:r>
            <w:bookmarkEnd w:id="928"/>
          </w:p>
        </w:tc>
        <w:tc>
          <w:tcPr>
            <w:tcW w:w="377" w:type="pct"/>
            <w:shd w:val="clear" w:color="000000" w:fill="FFFFFF"/>
            <w:noWrap/>
          </w:tcPr>
          <w:p w14:paraId="4CBBE1FD"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171,004</w:t>
            </w:r>
          </w:p>
        </w:tc>
        <w:tc>
          <w:tcPr>
            <w:tcW w:w="452" w:type="pct"/>
            <w:shd w:val="clear" w:color="000000" w:fill="FFFFFF"/>
            <w:noWrap/>
          </w:tcPr>
          <w:p w14:paraId="5ED98A90"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241,800</w:t>
            </w:r>
          </w:p>
        </w:tc>
        <w:tc>
          <w:tcPr>
            <w:tcW w:w="350" w:type="pct"/>
            <w:shd w:val="clear" w:color="000000" w:fill="FFFFFF"/>
            <w:noWrap/>
          </w:tcPr>
          <w:p w14:paraId="5AA5A67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1FF0934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tcPr>
          <w:p w14:paraId="6B4FC9E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6F01E0C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361963A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tcPr>
          <w:p w14:paraId="0710AF0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Government and Civil Society</w:t>
            </w:r>
          </w:p>
        </w:tc>
        <w:tc>
          <w:tcPr>
            <w:tcW w:w="304" w:type="pct"/>
            <w:shd w:val="clear" w:color="000000" w:fill="FFFFFF"/>
          </w:tcPr>
          <w:p w14:paraId="26182DB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089F5EF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Yes</w:t>
            </w:r>
          </w:p>
        </w:tc>
      </w:tr>
      <w:tr w:rsidR="00377049" w:rsidRPr="009A14EC" w14:paraId="78BCA3E7" w14:textId="77777777" w:rsidTr="00942DCE">
        <w:trPr>
          <w:trHeight w:val="20"/>
          <w:jc w:val="center"/>
        </w:trPr>
        <w:tc>
          <w:tcPr>
            <w:tcW w:w="488" w:type="pct"/>
            <w:shd w:val="clear" w:color="000000" w:fill="FFFFFF"/>
          </w:tcPr>
          <w:p w14:paraId="11C34293"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Worldwide/Multi-regional</w:t>
            </w:r>
          </w:p>
        </w:tc>
        <w:tc>
          <w:tcPr>
            <w:tcW w:w="781" w:type="pct"/>
            <w:shd w:val="clear" w:color="000000" w:fill="FFFFFF"/>
          </w:tcPr>
          <w:p w14:paraId="0ADDCEE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High Commission Embassy Funding Adaptation</w:t>
            </w:r>
          </w:p>
        </w:tc>
        <w:tc>
          <w:tcPr>
            <w:tcW w:w="377" w:type="pct"/>
            <w:shd w:val="clear" w:color="000000" w:fill="FFFFFF"/>
            <w:noWrap/>
          </w:tcPr>
          <w:p w14:paraId="7A566088"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59,595</w:t>
            </w:r>
          </w:p>
        </w:tc>
        <w:tc>
          <w:tcPr>
            <w:tcW w:w="452" w:type="pct"/>
            <w:shd w:val="clear" w:color="000000" w:fill="FFFFFF"/>
            <w:noWrap/>
          </w:tcPr>
          <w:p w14:paraId="5EC23698"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84,268</w:t>
            </w:r>
          </w:p>
        </w:tc>
        <w:tc>
          <w:tcPr>
            <w:tcW w:w="350" w:type="pct"/>
            <w:shd w:val="clear" w:color="000000" w:fill="FFFFFF"/>
            <w:noWrap/>
          </w:tcPr>
          <w:p w14:paraId="5BB5425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xml:space="preserve">Disbursed </w:t>
            </w:r>
          </w:p>
        </w:tc>
        <w:tc>
          <w:tcPr>
            <w:tcW w:w="296" w:type="pct"/>
            <w:shd w:val="clear" w:color="000000" w:fill="FFFFFF"/>
          </w:tcPr>
          <w:p w14:paraId="53BF6E6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xml:space="preserve">Regional </w:t>
            </w:r>
          </w:p>
        </w:tc>
        <w:tc>
          <w:tcPr>
            <w:tcW w:w="297" w:type="pct"/>
            <w:shd w:val="clear" w:color="000000" w:fill="FFFFFF"/>
            <w:noWrap/>
          </w:tcPr>
          <w:p w14:paraId="71FC55D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7875F7D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60B0D72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Adaptation</w:t>
            </w:r>
          </w:p>
        </w:tc>
        <w:tc>
          <w:tcPr>
            <w:tcW w:w="439" w:type="pct"/>
            <w:shd w:val="clear" w:color="000000" w:fill="FFFFFF"/>
          </w:tcPr>
          <w:p w14:paraId="7B3BD9D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/cross-cutting</w:t>
            </w:r>
          </w:p>
        </w:tc>
        <w:tc>
          <w:tcPr>
            <w:tcW w:w="304" w:type="pct"/>
            <w:shd w:val="clear" w:color="000000" w:fill="FFFFFF"/>
          </w:tcPr>
          <w:p w14:paraId="4221476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11BC1D4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3204470B" w14:textId="77777777" w:rsidTr="00942DCE">
        <w:trPr>
          <w:trHeight w:val="20"/>
          <w:jc w:val="center"/>
        </w:trPr>
        <w:tc>
          <w:tcPr>
            <w:tcW w:w="488" w:type="pct"/>
            <w:shd w:val="clear" w:color="000000" w:fill="FFFFFF"/>
          </w:tcPr>
          <w:p w14:paraId="77E8D71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Worldwide Multi-regional</w:t>
            </w:r>
          </w:p>
        </w:tc>
        <w:tc>
          <w:tcPr>
            <w:tcW w:w="781" w:type="pct"/>
            <w:shd w:val="clear" w:color="000000" w:fill="FFFFFF"/>
          </w:tcPr>
          <w:p w14:paraId="3A8F94A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High Commission Embassy Funding Cross-cutting</w:t>
            </w:r>
          </w:p>
        </w:tc>
        <w:tc>
          <w:tcPr>
            <w:tcW w:w="377" w:type="pct"/>
            <w:shd w:val="clear" w:color="000000" w:fill="FFFFFF"/>
            <w:noWrap/>
          </w:tcPr>
          <w:p w14:paraId="31466651"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99,315</w:t>
            </w:r>
          </w:p>
        </w:tc>
        <w:tc>
          <w:tcPr>
            <w:tcW w:w="452" w:type="pct"/>
            <w:shd w:val="clear" w:color="000000" w:fill="FFFFFF"/>
            <w:noWrap/>
          </w:tcPr>
          <w:p w14:paraId="74D00C3C"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140,432</w:t>
            </w:r>
          </w:p>
        </w:tc>
        <w:tc>
          <w:tcPr>
            <w:tcW w:w="350" w:type="pct"/>
            <w:shd w:val="clear" w:color="000000" w:fill="FFFFFF"/>
            <w:noWrap/>
          </w:tcPr>
          <w:p w14:paraId="6C725FB1"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7ACDF9E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tcPr>
          <w:p w14:paraId="4AF98682"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61AA16D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553B52B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Cross-cutting</w:t>
            </w:r>
          </w:p>
        </w:tc>
        <w:tc>
          <w:tcPr>
            <w:tcW w:w="439" w:type="pct"/>
            <w:shd w:val="clear" w:color="000000" w:fill="FFFFFF"/>
          </w:tcPr>
          <w:p w14:paraId="5FE0B55B"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/cross-cutting</w:t>
            </w:r>
          </w:p>
        </w:tc>
        <w:tc>
          <w:tcPr>
            <w:tcW w:w="304" w:type="pct"/>
            <w:shd w:val="clear" w:color="000000" w:fill="FFFFFF"/>
          </w:tcPr>
          <w:p w14:paraId="4A9A487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1BDABFF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0DD1EE20" w14:textId="77777777" w:rsidTr="00942DCE">
        <w:trPr>
          <w:trHeight w:val="20"/>
          <w:jc w:val="center"/>
        </w:trPr>
        <w:tc>
          <w:tcPr>
            <w:tcW w:w="488" w:type="pct"/>
            <w:shd w:val="clear" w:color="000000" w:fill="FFFFFF"/>
          </w:tcPr>
          <w:p w14:paraId="69264DAE"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Worldwide Multi-regional</w:t>
            </w:r>
          </w:p>
        </w:tc>
        <w:tc>
          <w:tcPr>
            <w:tcW w:w="781" w:type="pct"/>
            <w:shd w:val="clear" w:color="000000" w:fill="FFFFFF"/>
          </w:tcPr>
          <w:p w14:paraId="7D7F007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High Commission Embassy Funding Mitigation</w:t>
            </w:r>
          </w:p>
        </w:tc>
        <w:tc>
          <w:tcPr>
            <w:tcW w:w="377" w:type="pct"/>
            <w:shd w:val="clear" w:color="000000" w:fill="FFFFFF"/>
            <w:noWrap/>
          </w:tcPr>
          <w:p w14:paraId="0C4304BF"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7,779</w:t>
            </w:r>
          </w:p>
        </w:tc>
        <w:tc>
          <w:tcPr>
            <w:tcW w:w="452" w:type="pct"/>
            <w:shd w:val="clear" w:color="000000" w:fill="FFFFFF"/>
            <w:noWrap/>
          </w:tcPr>
          <w:p w14:paraId="0219C990" w14:textId="77777777" w:rsidR="009B2872" w:rsidRPr="009A14EC" w:rsidRDefault="009B2872" w:rsidP="0044676F">
            <w:pPr>
              <w:spacing w:before="60" w:after="60" w:line="240" w:lineRule="auto"/>
              <w:jc w:val="right"/>
              <w:rPr>
                <w:rFonts w:asciiTheme="minorHAnsi" w:hAnsiTheme="minorHAnsi" w:cstheme="minorHAnsi"/>
                <w:b/>
                <w:bCs/>
                <w:color w:val="000000"/>
                <w:sz w:val="18"/>
                <w:szCs w:val="18"/>
              </w:rPr>
            </w:pPr>
            <w:r w:rsidRPr="009A14EC">
              <w:rPr>
                <w:rFonts w:asciiTheme="minorHAnsi" w:hAnsiTheme="minorHAnsi" w:cstheme="minorHAnsi"/>
                <w:b/>
                <w:bCs/>
                <w:color w:val="000000"/>
                <w:sz w:val="18"/>
                <w:szCs w:val="18"/>
              </w:rPr>
              <w:t>11,000</w:t>
            </w:r>
          </w:p>
        </w:tc>
        <w:tc>
          <w:tcPr>
            <w:tcW w:w="350" w:type="pct"/>
            <w:shd w:val="clear" w:color="000000" w:fill="FFFFFF"/>
            <w:noWrap/>
          </w:tcPr>
          <w:p w14:paraId="3256594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Disbursed</w:t>
            </w:r>
          </w:p>
        </w:tc>
        <w:tc>
          <w:tcPr>
            <w:tcW w:w="296" w:type="pct"/>
            <w:shd w:val="clear" w:color="000000" w:fill="FFFFFF"/>
          </w:tcPr>
          <w:p w14:paraId="35ACBD76"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Regional</w:t>
            </w:r>
          </w:p>
        </w:tc>
        <w:tc>
          <w:tcPr>
            <w:tcW w:w="297" w:type="pct"/>
            <w:shd w:val="clear" w:color="000000" w:fill="FFFFFF"/>
            <w:noWrap/>
          </w:tcPr>
          <w:p w14:paraId="3EED2438"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ODA</w:t>
            </w:r>
          </w:p>
        </w:tc>
        <w:tc>
          <w:tcPr>
            <w:tcW w:w="389" w:type="pct"/>
            <w:shd w:val="clear" w:color="000000" w:fill="FFFFFF"/>
            <w:noWrap/>
          </w:tcPr>
          <w:p w14:paraId="2A9355B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Grant</w:t>
            </w:r>
          </w:p>
        </w:tc>
        <w:tc>
          <w:tcPr>
            <w:tcW w:w="439" w:type="pct"/>
            <w:shd w:val="clear" w:color="000000" w:fill="FFFFFF"/>
            <w:noWrap/>
          </w:tcPr>
          <w:p w14:paraId="714BC0A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Mitigation</w:t>
            </w:r>
          </w:p>
        </w:tc>
        <w:tc>
          <w:tcPr>
            <w:tcW w:w="439" w:type="pct"/>
            <w:shd w:val="clear" w:color="000000" w:fill="FFFFFF"/>
          </w:tcPr>
          <w:p w14:paraId="022B37A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Multisector / Cross-cutting</w:t>
            </w:r>
          </w:p>
        </w:tc>
        <w:tc>
          <w:tcPr>
            <w:tcW w:w="304" w:type="pct"/>
            <w:shd w:val="clear" w:color="000000" w:fill="FFFFFF"/>
          </w:tcPr>
          <w:p w14:paraId="4F02480C"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c>
          <w:tcPr>
            <w:tcW w:w="388" w:type="pct"/>
            <w:shd w:val="clear" w:color="000000" w:fill="FFFFFF"/>
          </w:tcPr>
          <w:p w14:paraId="2592DA6A"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No</w:t>
            </w:r>
          </w:p>
        </w:tc>
      </w:tr>
      <w:tr w:rsidR="00377049" w:rsidRPr="009A14EC" w14:paraId="4BBC343A" w14:textId="77777777" w:rsidTr="00942DCE">
        <w:trPr>
          <w:trHeight w:val="20"/>
          <w:jc w:val="center"/>
        </w:trPr>
        <w:tc>
          <w:tcPr>
            <w:tcW w:w="488" w:type="pct"/>
            <w:shd w:val="clear" w:color="auto" w:fill="D2DDE1"/>
          </w:tcPr>
          <w:p w14:paraId="49A8FE64" w14:textId="77777777" w:rsidR="009B2872" w:rsidRPr="009A14EC" w:rsidRDefault="009B2872" w:rsidP="009B2872">
            <w:pPr>
              <w:spacing w:before="60" w:after="60" w:line="240" w:lineRule="auto"/>
              <w:jc w:val="left"/>
              <w:rPr>
                <w:rFonts w:asciiTheme="minorHAnsi" w:hAnsiTheme="minorHAnsi" w:cstheme="minorHAnsi"/>
                <w:b/>
                <w:bCs/>
                <w:color w:val="800000"/>
                <w:sz w:val="18"/>
                <w:szCs w:val="18"/>
              </w:rPr>
            </w:pPr>
          </w:p>
        </w:tc>
        <w:tc>
          <w:tcPr>
            <w:tcW w:w="781" w:type="pct"/>
            <w:shd w:val="clear" w:color="auto" w:fill="D2DDE1"/>
            <w:hideMark/>
          </w:tcPr>
          <w:p w14:paraId="73342814" w14:textId="77777777" w:rsidR="009B2872" w:rsidRPr="009A14EC" w:rsidRDefault="009B2872" w:rsidP="009B2872">
            <w:pPr>
              <w:spacing w:before="60" w:after="60" w:line="240" w:lineRule="auto"/>
              <w:jc w:val="left"/>
              <w:rPr>
                <w:rFonts w:asciiTheme="minorHAnsi" w:hAnsiTheme="minorHAnsi" w:cstheme="minorHAnsi"/>
                <w:b/>
                <w:bCs/>
                <w:color w:val="800000"/>
                <w:sz w:val="18"/>
                <w:szCs w:val="18"/>
              </w:rPr>
            </w:pPr>
            <w:r w:rsidRPr="009A14EC">
              <w:rPr>
                <w:rFonts w:asciiTheme="minorHAnsi" w:hAnsiTheme="minorHAnsi" w:cstheme="minorHAnsi"/>
                <w:b/>
                <w:bCs/>
                <w:sz w:val="18"/>
                <w:szCs w:val="18"/>
              </w:rPr>
              <w:t>Totals</w:t>
            </w:r>
          </w:p>
        </w:tc>
        <w:tc>
          <w:tcPr>
            <w:tcW w:w="377" w:type="pct"/>
            <w:shd w:val="clear" w:color="auto" w:fill="D2DDE1"/>
            <w:noWrap/>
            <w:hideMark/>
          </w:tcPr>
          <w:p w14:paraId="32F27ABB" w14:textId="64259670" w:rsidR="009B2872" w:rsidRPr="00600D52" w:rsidRDefault="00AA12A3" w:rsidP="0044676F">
            <w:pPr>
              <w:spacing w:before="60" w:after="60" w:line="240" w:lineRule="auto"/>
              <w:jc w:val="right"/>
              <w:rPr>
                <w:rFonts w:asciiTheme="minorHAnsi" w:hAnsiTheme="minorHAnsi" w:cstheme="minorHAnsi"/>
                <w:b/>
                <w:bCs/>
                <w:color w:val="000000"/>
                <w:sz w:val="18"/>
                <w:szCs w:val="18"/>
              </w:rPr>
            </w:pPr>
            <w:r w:rsidRPr="00600D52">
              <w:rPr>
                <w:rFonts w:asciiTheme="minorHAnsi" w:hAnsiTheme="minorHAnsi" w:cstheme="minorHAnsi"/>
                <w:b/>
                <w:bCs/>
                <w:color w:val="000000"/>
                <w:sz w:val="18"/>
                <w:szCs w:val="18"/>
              </w:rPr>
              <w:t>59,</w:t>
            </w:r>
            <w:r w:rsidR="009D5904">
              <w:rPr>
                <w:rFonts w:asciiTheme="minorHAnsi" w:hAnsiTheme="minorHAnsi" w:cstheme="minorHAnsi"/>
                <w:b/>
                <w:bCs/>
                <w:color w:val="000000"/>
                <w:sz w:val="18"/>
                <w:szCs w:val="18"/>
              </w:rPr>
              <w:t>293,850</w:t>
            </w:r>
          </w:p>
        </w:tc>
        <w:tc>
          <w:tcPr>
            <w:tcW w:w="452" w:type="pct"/>
            <w:shd w:val="clear" w:color="auto" w:fill="D2DDE1"/>
            <w:noWrap/>
            <w:hideMark/>
          </w:tcPr>
          <w:p w14:paraId="1B5B2E54" w14:textId="11093057" w:rsidR="009B2872" w:rsidRPr="00600D52" w:rsidRDefault="00667454" w:rsidP="0044676F">
            <w:pPr>
              <w:spacing w:before="60" w:after="60" w:line="240" w:lineRule="auto"/>
              <w:jc w:val="right"/>
              <w:rPr>
                <w:rFonts w:asciiTheme="minorHAnsi" w:hAnsiTheme="minorHAnsi" w:cstheme="minorHAnsi"/>
                <w:b/>
                <w:bCs/>
                <w:color w:val="000000"/>
                <w:sz w:val="18"/>
                <w:szCs w:val="18"/>
              </w:rPr>
            </w:pPr>
            <w:r w:rsidRPr="00600D52">
              <w:rPr>
                <w:rFonts w:asciiTheme="minorHAnsi" w:hAnsiTheme="minorHAnsi" w:cstheme="minorHAnsi"/>
                <w:b/>
                <w:bCs/>
                <w:color w:val="000000"/>
                <w:sz w:val="18"/>
                <w:szCs w:val="18"/>
              </w:rPr>
              <w:t>83,</w:t>
            </w:r>
            <w:r w:rsidR="009D5904">
              <w:rPr>
                <w:rFonts w:asciiTheme="minorHAnsi" w:hAnsiTheme="minorHAnsi" w:cstheme="minorHAnsi"/>
                <w:b/>
                <w:bCs/>
                <w:color w:val="000000"/>
                <w:sz w:val="18"/>
                <w:szCs w:val="18"/>
              </w:rPr>
              <w:t>841,509</w:t>
            </w:r>
          </w:p>
        </w:tc>
        <w:tc>
          <w:tcPr>
            <w:tcW w:w="350" w:type="pct"/>
            <w:shd w:val="clear" w:color="auto" w:fill="D2DDE1"/>
            <w:noWrap/>
            <w:hideMark/>
          </w:tcPr>
          <w:p w14:paraId="140D108E" w14:textId="77777777" w:rsidR="009B2872" w:rsidRPr="00600D52" w:rsidRDefault="009B2872" w:rsidP="009B2872">
            <w:pPr>
              <w:spacing w:before="60" w:after="60" w:line="240" w:lineRule="auto"/>
              <w:jc w:val="left"/>
              <w:rPr>
                <w:rFonts w:asciiTheme="minorHAnsi" w:hAnsiTheme="minorHAnsi" w:cstheme="minorHAnsi"/>
                <w:color w:val="000000"/>
                <w:sz w:val="18"/>
                <w:szCs w:val="18"/>
              </w:rPr>
            </w:pPr>
            <w:r w:rsidRPr="00600D52">
              <w:rPr>
                <w:rFonts w:asciiTheme="minorHAnsi" w:hAnsiTheme="minorHAnsi" w:cstheme="minorHAnsi"/>
                <w:color w:val="000000"/>
                <w:sz w:val="18"/>
                <w:szCs w:val="18"/>
              </w:rPr>
              <w:t> </w:t>
            </w:r>
          </w:p>
        </w:tc>
        <w:tc>
          <w:tcPr>
            <w:tcW w:w="296" w:type="pct"/>
            <w:shd w:val="clear" w:color="auto" w:fill="D2DDE1"/>
            <w:hideMark/>
          </w:tcPr>
          <w:p w14:paraId="5440C85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w:t>
            </w:r>
          </w:p>
        </w:tc>
        <w:tc>
          <w:tcPr>
            <w:tcW w:w="297" w:type="pct"/>
            <w:shd w:val="clear" w:color="auto" w:fill="D2DDE1"/>
            <w:noWrap/>
            <w:hideMark/>
          </w:tcPr>
          <w:p w14:paraId="54537B24"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w:t>
            </w:r>
          </w:p>
        </w:tc>
        <w:tc>
          <w:tcPr>
            <w:tcW w:w="389" w:type="pct"/>
            <w:shd w:val="clear" w:color="auto" w:fill="D2DDE1"/>
            <w:noWrap/>
            <w:hideMark/>
          </w:tcPr>
          <w:p w14:paraId="21A7E860"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w:t>
            </w:r>
          </w:p>
        </w:tc>
        <w:tc>
          <w:tcPr>
            <w:tcW w:w="439" w:type="pct"/>
            <w:shd w:val="clear" w:color="auto" w:fill="D2DDE1"/>
            <w:noWrap/>
            <w:hideMark/>
          </w:tcPr>
          <w:p w14:paraId="418A6B9D"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w:t>
            </w:r>
          </w:p>
        </w:tc>
        <w:tc>
          <w:tcPr>
            <w:tcW w:w="439" w:type="pct"/>
            <w:shd w:val="clear" w:color="auto" w:fill="D2DDE1"/>
            <w:hideMark/>
          </w:tcPr>
          <w:p w14:paraId="764F3D79"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w:t>
            </w:r>
          </w:p>
        </w:tc>
        <w:tc>
          <w:tcPr>
            <w:tcW w:w="304" w:type="pct"/>
            <w:shd w:val="clear" w:color="auto" w:fill="D2DDE1"/>
            <w:hideMark/>
          </w:tcPr>
          <w:p w14:paraId="58F64A2F"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w:t>
            </w:r>
          </w:p>
        </w:tc>
        <w:tc>
          <w:tcPr>
            <w:tcW w:w="388" w:type="pct"/>
            <w:shd w:val="clear" w:color="auto" w:fill="D2DDE1"/>
            <w:hideMark/>
          </w:tcPr>
          <w:p w14:paraId="7B88D765" w14:textId="77777777" w:rsidR="009B2872" w:rsidRPr="009A14EC" w:rsidRDefault="009B2872" w:rsidP="009B2872">
            <w:pPr>
              <w:spacing w:before="60" w:after="60" w:line="240" w:lineRule="auto"/>
              <w:jc w:val="left"/>
              <w:rPr>
                <w:rFonts w:asciiTheme="minorHAnsi" w:hAnsiTheme="minorHAnsi" w:cstheme="minorHAnsi"/>
                <w:color w:val="000000"/>
                <w:sz w:val="18"/>
                <w:szCs w:val="18"/>
              </w:rPr>
            </w:pPr>
            <w:r w:rsidRPr="009A14EC">
              <w:rPr>
                <w:rFonts w:asciiTheme="minorHAnsi" w:hAnsiTheme="minorHAnsi" w:cstheme="minorHAnsi"/>
                <w:color w:val="000000"/>
                <w:sz w:val="18"/>
                <w:szCs w:val="18"/>
              </w:rPr>
              <w:t> </w:t>
            </w:r>
          </w:p>
        </w:tc>
      </w:tr>
    </w:tbl>
    <w:p w14:paraId="540CC2B2" w14:textId="6834F31A" w:rsidR="009B2872" w:rsidRPr="009B2872" w:rsidRDefault="009B2872" w:rsidP="002C6658">
      <w:pPr>
        <w:pStyle w:val="Tableheading"/>
      </w:pPr>
      <w:bookmarkStart w:id="929" w:name="ctftable111"/>
      <w:bookmarkStart w:id="930" w:name="_Toc185407524"/>
      <w:bookmarkStart w:id="931" w:name="_Toc185427787"/>
      <w:r w:rsidRPr="009B2872">
        <w:t xml:space="preserve">CTF </w:t>
      </w:r>
      <w:r w:rsidR="007E289C">
        <w:t>t</w:t>
      </w:r>
      <w:r w:rsidRPr="009B2872">
        <w:t xml:space="preserve">able III.1 </w:t>
      </w:r>
      <w:bookmarkEnd w:id="929"/>
      <w:r w:rsidRPr="009B2872">
        <w:t>(2022):</w:t>
      </w:r>
      <w:r w:rsidR="00B86B19">
        <w:tab/>
      </w:r>
      <w:r w:rsidRPr="009B2872">
        <w:t xml:space="preserve">Information on financial support provided under Article 9 of the Paris Agreement in year </w:t>
      </w:r>
      <w:r w:rsidR="00663E2A" w:rsidRPr="009B2872">
        <w:t>202</w:t>
      </w:r>
      <w:r w:rsidR="00663E2A">
        <w:t>2</w:t>
      </w:r>
      <w:r w:rsidRPr="009B2872">
        <w:t>: bilateral, regional and other channels</w:t>
      </w:r>
      <w:bookmarkEnd w:id="930"/>
      <w:bookmarkEnd w:id="931"/>
    </w:p>
    <w:tbl>
      <w:tblPr>
        <w:tblW w:w="4961" w:type="pct"/>
        <w:jc w:val="center"/>
        <w:tblBorders>
          <w:insideH w:val="single" w:sz="4" w:space="0" w:color="1B556B"/>
          <w:insideV w:val="single" w:sz="4" w:space="0" w:color="1B556B"/>
        </w:tblBorders>
        <w:tblLayout w:type="fixed"/>
        <w:tblLook w:val="04A0" w:firstRow="1" w:lastRow="0" w:firstColumn="1" w:lastColumn="0" w:noHBand="0" w:noVBand="1"/>
      </w:tblPr>
      <w:tblGrid>
        <w:gridCol w:w="2103"/>
        <w:gridCol w:w="1888"/>
        <w:gridCol w:w="1454"/>
        <w:gridCol w:w="1197"/>
        <w:gridCol w:w="934"/>
        <w:gridCol w:w="934"/>
        <w:gridCol w:w="804"/>
        <w:gridCol w:w="1047"/>
        <w:gridCol w:w="1064"/>
        <w:gridCol w:w="1431"/>
        <w:gridCol w:w="813"/>
        <w:gridCol w:w="789"/>
      </w:tblGrid>
      <w:tr w:rsidR="00C93BFE" w:rsidRPr="00865EEC" w14:paraId="3543CBA7" w14:textId="77777777" w:rsidTr="008E7E3B">
        <w:trPr>
          <w:trHeight w:val="20"/>
          <w:tblHeader/>
          <w:jc w:val="center"/>
        </w:trPr>
        <w:tc>
          <w:tcPr>
            <w:tcW w:w="727" w:type="pct"/>
            <w:tcBorders>
              <w:bottom w:val="single" w:sz="4" w:space="0" w:color="1B556B"/>
            </w:tcBorders>
            <w:shd w:val="clear" w:color="auto" w:fill="1B556B"/>
            <w:hideMark/>
          </w:tcPr>
          <w:p w14:paraId="39F0153C" w14:textId="77777777" w:rsidR="007113F5" w:rsidRPr="00865EEC" w:rsidRDefault="007113F5">
            <w:pPr>
              <w:spacing w:before="60" w:after="60" w:line="240" w:lineRule="auto"/>
              <w:jc w:val="left"/>
              <w:rPr>
                <w:rFonts w:ascii="Calibri-Italic" w:eastAsia="Times New Roman" w:hAnsi="Calibri-Italic" w:cs="Calibri-Italic"/>
                <w:i/>
                <w:sz w:val="16"/>
                <w:szCs w:val="16"/>
                <w:lang w:eastAsia="en-US"/>
                <w14:ligatures w14:val="standardContextual"/>
              </w:rPr>
            </w:pPr>
            <w:r w:rsidRPr="00865EEC">
              <w:rPr>
                <w:rFonts w:asciiTheme="minorHAnsi" w:hAnsiTheme="minorHAnsi" w:cstheme="minorHAnsi"/>
                <w:b/>
                <w:color w:val="FFFFFF" w:themeColor="background1"/>
                <w:sz w:val="16"/>
                <w:szCs w:val="16"/>
              </w:rPr>
              <w:t>Recipient Country or Region</w:t>
            </w:r>
          </w:p>
        </w:tc>
        <w:tc>
          <w:tcPr>
            <w:tcW w:w="653" w:type="pct"/>
            <w:tcBorders>
              <w:bottom w:val="single" w:sz="4" w:space="0" w:color="1B556B"/>
            </w:tcBorders>
            <w:shd w:val="clear" w:color="auto" w:fill="1B556B"/>
            <w:hideMark/>
          </w:tcPr>
          <w:p w14:paraId="4A6B60F5" w14:textId="77777777" w:rsidR="007113F5" w:rsidRPr="00865EEC" w:rsidRDefault="007113F5">
            <w:pPr>
              <w:spacing w:before="60" w:after="60" w:line="240" w:lineRule="auto"/>
              <w:jc w:val="left"/>
              <w:rPr>
                <w:rFonts w:asciiTheme="minorHAnsi" w:hAnsiTheme="minorHAnsi" w:cstheme="minorHAnsi"/>
                <w:b/>
                <w:color w:val="FFFFFF" w:themeColor="background1"/>
                <w:sz w:val="16"/>
                <w:szCs w:val="16"/>
              </w:rPr>
            </w:pPr>
            <w:r w:rsidRPr="00865EEC">
              <w:rPr>
                <w:rFonts w:asciiTheme="minorHAnsi" w:hAnsiTheme="minorHAnsi" w:cstheme="minorHAnsi"/>
                <w:b/>
                <w:color w:val="FFFFFF" w:themeColor="background1"/>
                <w:sz w:val="16"/>
                <w:szCs w:val="16"/>
              </w:rPr>
              <w:t>Title of the project programme, activity or other</w:t>
            </w:r>
          </w:p>
        </w:tc>
        <w:tc>
          <w:tcPr>
            <w:tcW w:w="503" w:type="pct"/>
            <w:tcBorders>
              <w:bottom w:val="single" w:sz="4" w:space="0" w:color="1B556B"/>
            </w:tcBorders>
            <w:shd w:val="clear" w:color="auto" w:fill="1B556B"/>
            <w:hideMark/>
          </w:tcPr>
          <w:p w14:paraId="14737FC2" w14:textId="77777777" w:rsidR="007113F5" w:rsidRPr="00865EEC" w:rsidRDefault="007113F5">
            <w:pPr>
              <w:spacing w:before="60" w:after="60" w:line="240" w:lineRule="auto"/>
              <w:jc w:val="left"/>
              <w:rPr>
                <w:rFonts w:asciiTheme="minorHAnsi" w:hAnsiTheme="minorHAnsi" w:cstheme="minorHAnsi"/>
                <w:b/>
                <w:color w:val="FFFFFF" w:themeColor="background1"/>
                <w:sz w:val="16"/>
                <w:szCs w:val="16"/>
              </w:rPr>
            </w:pPr>
            <w:r w:rsidRPr="00865EEC">
              <w:rPr>
                <w:rFonts w:asciiTheme="minorHAnsi" w:hAnsiTheme="minorHAnsi" w:cstheme="minorHAnsi"/>
                <w:b/>
                <w:color w:val="FFFFFF" w:themeColor="background1"/>
                <w:sz w:val="16"/>
                <w:szCs w:val="16"/>
              </w:rPr>
              <w:t>Amount (climate specific USD)</w:t>
            </w:r>
          </w:p>
        </w:tc>
        <w:tc>
          <w:tcPr>
            <w:tcW w:w="414" w:type="pct"/>
            <w:tcBorders>
              <w:bottom w:val="single" w:sz="4" w:space="0" w:color="1B556B"/>
            </w:tcBorders>
            <w:shd w:val="clear" w:color="auto" w:fill="1B556B"/>
            <w:hideMark/>
          </w:tcPr>
          <w:p w14:paraId="2DF8E668" w14:textId="77777777" w:rsidR="007113F5" w:rsidRPr="00865EEC" w:rsidRDefault="007113F5">
            <w:pPr>
              <w:spacing w:before="60" w:after="60" w:line="240" w:lineRule="auto"/>
              <w:jc w:val="left"/>
              <w:rPr>
                <w:rFonts w:asciiTheme="minorHAnsi" w:hAnsiTheme="minorHAnsi" w:cstheme="minorHAnsi"/>
                <w:b/>
                <w:color w:val="FFFFFF" w:themeColor="background1"/>
                <w:sz w:val="16"/>
                <w:szCs w:val="16"/>
              </w:rPr>
            </w:pPr>
            <w:r w:rsidRPr="00865EEC">
              <w:rPr>
                <w:rFonts w:asciiTheme="minorHAnsi" w:hAnsiTheme="minorHAnsi" w:cstheme="minorHAnsi"/>
                <w:b/>
                <w:color w:val="FFFFFF" w:themeColor="background1"/>
                <w:sz w:val="16"/>
                <w:szCs w:val="16"/>
              </w:rPr>
              <w:t>Amount (climate specific NZD)</w:t>
            </w:r>
          </w:p>
        </w:tc>
        <w:tc>
          <w:tcPr>
            <w:tcW w:w="323" w:type="pct"/>
            <w:tcBorders>
              <w:bottom w:val="single" w:sz="4" w:space="0" w:color="1B556B"/>
            </w:tcBorders>
            <w:shd w:val="clear" w:color="auto" w:fill="1B556B"/>
            <w:noWrap/>
            <w:hideMark/>
          </w:tcPr>
          <w:p w14:paraId="40ABEEB6" w14:textId="77777777" w:rsidR="007113F5" w:rsidRPr="00865EEC" w:rsidRDefault="007113F5">
            <w:pPr>
              <w:spacing w:before="60" w:after="60" w:line="240" w:lineRule="auto"/>
              <w:jc w:val="left"/>
              <w:rPr>
                <w:rFonts w:asciiTheme="minorHAnsi" w:hAnsiTheme="minorHAnsi" w:cstheme="minorHAnsi"/>
                <w:b/>
                <w:color w:val="FFFFFF" w:themeColor="background1"/>
                <w:sz w:val="16"/>
                <w:szCs w:val="16"/>
              </w:rPr>
            </w:pPr>
            <w:r w:rsidRPr="00865EEC">
              <w:rPr>
                <w:rFonts w:asciiTheme="minorHAnsi" w:hAnsiTheme="minorHAnsi" w:cstheme="minorHAnsi"/>
                <w:b/>
                <w:color w:val="FFFFFF" w:themeColor="background1"/>
                <w:sz w:val="16"/>
                <w:szCs w:val="16"/>
              </w:rPr>
              <w:t>Status</w:t>
            </w:r>
          </w:p>
        </w:tc>
        <w:tc>
          <w:tcPr>
            <w:tcW w:w="323" w:type="pct"/>
            <w:tcBorders>
              <w:bottom w:val="single" w:sz="4" w:space="0" w:color="1B556B"/>
            </w:tcBorders>
            <w:shd w:val="clear" w:color="auto" w:fill="1B556B"/>
            <w:hideMark/>
          </w:tcPr>
          <w:p w14:paraId="1EF1882C" w14:textId="77777777" w:rsidR="007113F5" w:rsidRPr="00865EEC" w:rsidRDefault="007113F5">
            <w:pPr>
              <w:spacing w:before="60" w:after="60" w:line="240" w:lineRule="auto"/>
              <w:jc w:val="left"/>
              <w:rPr>
                <w:rFonts w:asciiTheme="minorHAnsi" w:hAnsiTheme="minorHAnsi" w:cstheme="minorHAnsi"/>
                <w:b/>
                <w:color w:val="FFFFFF" w:themeColor="background1"/>
                <w:sz w:val="16"/>
                <w:szCs w:val="16"/>
              </w:rPr>
            </w:pPr>
            <w:r w:rsidRPr="00865EEC">
              <w:rPr>
                <w:rFonts w:asciiTheme="minorHAnsi" w:hAnsiTheme="minorHAnsi" w:cstheme="minorHAnsi"/>
                <w:b/>
                <w:color w:val="FFFFFF" w:themeColor="background1"/>
                <w:sz w:val="16"/>
                <w:szCs w:val="16"/>
              </w:rPr>
              <w:t>Channel</w:t>
            </w:r>
          </w:p>
        </w:tc>
        <w:tc>
          <w:tcPr>
            <w:tcW w:w="278" w:type="pct"/>
            <w:tcBorders>
              <w:bottom w:val="single" w:sz="4" w:space="0" w:color="1B556B"/>
            </w:tcBorders>
            <w:shd w:val="clear" w:color="auto" w:fill="1B556B"/>
            <w:hideMark/>
          </w:tcPr>
          <w:p w14:paraId="3301C179" w14:textId="77777777" w:rsidR="007113F5" w:rsidRPr="00865EEC" w:rsidRDefault="007113F5">
            <w:pPr>
              <w:spacing w:before="60" w:after="60" w:line="240" w:lineRule="auto"/>
              <w:jc w:val="left"/>
              <w:rPr>
                <w:rFonts w:asciiTheme="minorHAnsi" w:hAnsiTheme="minorHAnsi" w:cstheme="minorHAnsi"/>
                <w:b/>
                <w:color w:val="FFFFFF" w:themeColor="background1"/>
                <w:sz w:val="16"/>
                <w:szCs w:val="16"/>
              </w:rPr>
            </w:pPr>
            <w:r w:rsidRPr="00865EEC">
              <w:rPr>
                <w:rFonts w:asciiTheme="minorHAnsi" w:hAnsiTheme="minorHAnsi" w:cstheme="minorHAnsi"/>
                <w:b/>
                <w:color w:val="FFFFFF" w:themeColor="background1"/>
                <w:sz w:val="16"/>
                <w:szCs w:val="16"/>
              </w:rPr>
              <w:t>Funding Source</w:t>
            </w:r>
          </w:p>
        </w:tc>
        <w:tc>
          <w:tcPr>
            <w:tcW w:w="362" w:type="pct"/>
            <w:tcBorders>
              <w:bottom w:val="single" w:sz="4" w:space="0" w:color="1B556B"/>
            </w:tcBorders>
            <w:shd w:val="clear" w:color="auto" w:fill="1B556B"/>
            <w:hideMark/>
          </w:tcPr>
          <w:p w14:paraId="65680F5A" w14:textId="77777777" w:rsidR="007113F5" w:rsidRPr="00865EEC" w:rsidRDefault="007113F5">
            <w:pPr>
              <w:spacing w:before="60" w:after="60" w:line="240" w:lineRule="auto"/>
              <w:jc w:val="left"/>
              <w:rPr>
                <w:rFonts w:asciiTheme="minorHAnsi" w:hAnsiTheme="minorHAnsi" w:cstheme="minorHAnsi"/>
                <w:b/>
                <w:color w:val="FFFFFF" w:themeColor="background1"/>
                <w:sz w:val="16"/>
                <w:szCs w:val="16"/>
              </w:rPr>
            </w:pPr>
            <w:r w:rsidRPr="00865EEC">
              <w:rPr>
                <w:rFonts w:asciiTheme="minorHAnsi" w:hAnsiTheme="minorHAnsi" w:cstheme="minorHAnsi"/>
                <w:b/>
                <w:color w:val="FFFFFF" w:themeColor="background1"/>
                <w:sz w:val="16"/>
                <w:szCs w:val="16"/>
              </w:rPr>
              <w:t>Financial Instrument</w:t>
            </w:r>
          </w:p>
        </w:tc>
        <w:tc>
          <w:tcPr>
            <w:tcW w:w="368" w:type="pct"/>
            <w:tcBorders>
              <w:bottom w:val="single" w:sz="4" w:space="0" w:color="1B556B"/>
            </w:tcBorders>
            <w:shd w:val="clear" w:color="auto" w:fill="1B556B"/>
            <w:hideMark/>
          </w:tcPr>
          <w:p w14:paraId="6421EC13" w14:textId="77777777" w:rsidR="007113F5" w:rsidRPr="00865EEC" w:rsidRDefault="007113F5">
            <w:pPr>
              <w:spacing w:before="60" w:after="60" w:line="240" w:lineRule="auto"/>
              <w:jc w:val="left"/>
              <w:rPr>
                <w:rFonts w:asciiTheme="minorHAnsi" w:hAnsiTheme="minorHAnsi" w:cstheme="minorHAnsi"/>
                <w:b/>
                <w:color w:val="FFFFFF" w:themeColor="background1"/>
                <w:sz w:val="16"/>
                <w:szCs w:val="16"/>
              </w:rPr>
            </w:pPr>
            <w:r w:rsidRPr="00865EEC">
              <w:rPr>
                <w:rFonts w:asciiTheme="minorHAnsi" w:hAnsiTheme="minorHAnsi" w:cstheme="minorHAnsi"/>
                <w:b/>
                <w:color w:val="FFFFFF" w:themeColor="background1"/>
                <w:sz w:val="16"/>
                <w:szCs w:val="16"/>
              </w:rPr>
              <w:t>Type of support</w:t>
            </w:r>
          </w:p>
        </w:tc>
        <w:tc>
          <w:tcPr>
            <w:tcW w:w="495" w:type="pct"/>
            <w:tcBorders>
              <w:bottom w:val="single" w:sz="4" w:space="0" w:color="1B556B"/>
            </w:tcBorders>
            <w:shd w:val="clear" w:color="auto" w:fill="1B556B"/>
            <w:hideMark/>
          </w:tcPr>
          <w:p w14:paraId="046A82D3" w14:textId="77777777" w:rsidR="007113F5" w:rsidRPr="00865EEC" w:rsidRDefault="007113F5">
            <w:pPr>
              <w:spacing w:before="60" w:after="60" w:line="240" w:lineRule="auto"/>
              <w:jc w:val="left"/>
              <w:rPr>
                <w:rFonts w:asciiTheme="minorHAnsi" w:hAnsiTheme="minorHAnsi" w:cstheme="minorHAnsi"/>
                <w:b/>
                <w:color w:val="FFFFFF" w:themeColor="background1"/>
                <w:sz w:val="16"/>
                <w:szCs w:val="16"/>
              </w:rPr>
            </w:pPr>
            <w:r w:rsidRPr="00865EEC">
              <w:rPr>
                <w:rFonts w:asciiTheme="minorHAnsi" w:hAnsiTheme="minorHAnsi" w:cstheme="minorHAnsi"/>
                <w:b/>
                <w:color w:val="FFFFFF" w:themeColor="background1"/>
                <w:sz w:val="16"/>
                <w:szCs w:val="16"/>
              </w:rPr>
              <w:t>Sector</w:t>
            </w:r>
          </w:p>
        </w:tc>
        <w:tc>
          <w:tcPr>
            <w:tcW w:w="281" w:type="pct"/>
            <w:tcBorders>
              <w:bottom w:val="single" w:sz="4" w:space="0" w:color="1B556B"/>
            </w:tcBorders>
            <w:shd w:val="clear" w:color="auto" w:fill="1B556B"/>
            <w:hideMark/>
          </w:tcPr>
          <w:p w14:paraId="05299E0A" w14:textId="77777777" w:rsidR="007113F5" w:rsidRPr="00865EEC" w:rsidRDefault="007113F5">
            <w:pPr>
              <w:spacing w:before="60" w:after="60" w:line="240" w:lineRule="auto"/>
              <w:jc w:val="left"/>
              <w:rPr>
                <w:rFonts w:asciiTheme="minorHAnsi" w:hAnsiTheme="minorHAnsi" w:cstheme="minorHAnsi"/>
                <w:b/>
                <w:color w:val="FFFFFF" w:themeColor="background1"/>
                <w:sz w:val="16"/>
                <w:szCs w:val="16"/>
              </w:rPr>
            </w:pPr>
            <w:r w:rsidRPr="00865EEC">
              <w:rPr>
                <w:rFonts w:asciiTheme="minorHAnsi" w:hAnsiTheme="minorHAnsi" w:cstheme="minorHAnsi"/>
                <w:b/>
                <w:color w:val="FFFFFF" w:themeColor="background1"/>
                <w:sz w:val="16"/>
                <w:szCs w:val="16"/>
              </w:rPr>
              <w:t>Capacity Building</w:t>
            </w:r>
          </w:p>
        </w:tc>
        <w:tc>
          <w:tcPr>
            <w:tcW w:w="273" w:type="pct"/>
            <w:tcBorders>
              <w:bottom w:val="single" w:sz="4" w:space="0" w:color="1B556B"/>
            </w:tcBorders>
            <w:shd w:val="clear" w:color="auto" w:fill="1B556B"/>
            <w:hideMark/>
          </w:tcPr>
          <w:p w14:paraId="28A0A0C1" w14:textId="77777777" w:rsidR="007113F5" w:rsidRPr="00865EEC" w:rsidRDefault="007113F5">
            <w:pPr>
              <w:spacing w:before="60" w:after="60" w:line="240" w:lineRule="auto"/>
              <w:jc w:val="left"/>
              <w:rPr>
                <w:rFonts w:asciiTheme="minorHAnsi" w:hAnsiTheme="minorHAnsi" w:cstheme="minorHAnsi"/>
                <w:b/>
                <w:color w:val="FFFFFF" w:themeColor="background1"/>
                <w:sz w:val="16"/>
                <w:szCs w:val="16"/>
              </w:rPr>
            </w:pPr>
            <w:r w:rsidRPr="00865EEC">
              <w:rPr>
                <w:rFonts w:asciiTheme="minorHAnsi" w:hAnsiTheme="minorHAnsi" w:cstheme="minorHAnsi"/>
                <w:b/>
                <w:color w:val="FFFFFF" w:themeColor="background1"/>
                <w:sz w:val="16"/>
                <w:szCs w:val="16"/>
              </w:rPr>
              <w:t>Technology transfer</w:t>
            </w:r>
          </w:p>
        </w:tc>
      </w:tr>
      <w:tr w:rsidR="00F57429" w:rsidRPr="00865EEC" w14:paraId="4FC6FBFC"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04E8A0B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Solomon Islands</w:t>
            </w:r>
          </w:p>
        </w:tc>
        <w:tc>
          <w:tcPr>
            <w:tcW w:w="653" w:type="pct"/>
            <w:tcBorders>
              <w:top w:val="single" w:sz="4" w:space="0" w:color="1B556B"/>
              <w:bottom w:val="single" w:sz="4" w:space="0" w:color="1B556B"/>
            </w:tcBorders>
            <w:shd w:val="clear" w:color="000000" w:fill="FFFFFF"/>
            <w:hideMark/>
          </w:tcPr>
          <w:p w14:paraId="6B6A0DD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Forest Conservation Solomon Islands</w:t>
            </w:r>
          </w:p>
        </w:tc>
        <w:tc>
          <w:tcPr>
            <w:tcW w:w="503" w:type="pct"/>
            <w:tcBorders>
              <w:top w:val="single" w:sz="4" w:space="0" w:color="1B556B"/>
              <w:bottom w:val="single" w:sz="4" w:space="0" w:color="1B556B"/>
            </w:tcBorders>
            <w:shd w:val="clear" w:color="000000" w:fill="FFFFFF"/>
            <w:noWrap/>
            <w:hideMark/>
          </w:tcPr>
          <w:p w14:paraId="5EA1623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84,593</w:t>
            </w:r>
          </w:p>
        </w:tc>
        <w:tc>
          <w:tcPr>
            <w:tcW w:w="414" w:type="pct"/>
            <w:tcBorders>
              <w:top w:val="single" w:sz="4" w:space="0" w:color="1B556B"/>
              <w:bottom w:val="single" w:sz="4" w:space="0" w:color="1B556B"/>
            </w:tcBorders>
            <w:shd w:val="clear" w:color="000000" w:fill="FFFFFF"/>
            <w:hideMark/>
          </w:tcPr>
          <w:p w14:paraId="7040EC7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133,472</w:t>
            </w:r>
          </w:p>
        </w:tc>
        <w:tc>
          <w:tcPr>
            <w:tcW w:w="323" w:type="pct"/>
            <w:tcBorders>
              <w:top w:val="single" w:sz="4" w:space="0" w:color="1B556B"/>
              <w:bottom w:val="single" w:sz="4" w:space="0" w:color="1B556B"/>
            </w:tcBorders>
            <w:shd w:val="clear" w:color="000000" w:fill="FFFFFF"/>
            <w:noWrap/>
            <w:hideMark/>
          </w:tcPr>
          <w:p w14:paraId="05BC2B9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1EE1B0C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53468E9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54DA073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4B5364D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5950EEE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Multisector/Cross-cutting</w:t>
            </w:r>
          </w:p>
        </w:tc>
        <w:tc>
          <w:tcPr>
            <w:tcW w:w="281" w:type="pct"/>
            <w:tcBorders>
              <w:top w:val="single" w:sz="4" w:space="0" w:color="1B556B"/>
              <w:bottom w:val="single" w:sz="4" w:space="0" w:color="1B556B"/>
            </w:tcBorders>
            <w:shd w:val="clear" w:color="000000" w:fill="FFFFFF"/>
            <w:hideMark/>
          </w:tcPr>
          <w:p w14:paraId="10EA5A2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0992620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34DC43FD"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1FBDC5C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Ethiopia</w:t>
            </w:r>
          </w:p>
        </w:tc>
        <w:tc>
          <w:tcPr>
            <w:tcW w:w="653" w:type="pct"/>
            <w:tcBorders>
              <w:top w:val="single" w:sz="4" w:space="0" w:color="1B556B"/>
              <w:bottom w:val="single" w:sz="4" w:space="0" w:color="1B556B"/>
            </w:tcBorders>
            <w:shd w:val="clear" w:color="000000" w:fill="FFFFFF"/>
            <w:hideMark/>
          </w:tcPr>
          <w:p w14:paraId="4E59CF0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Supporting Value Chain for Farmers</w:t>
            </w:r>
          </w:p>
        </w:tc>
        <w:tc>
          <w:tcPr>
            <w:tcW w:w="503" w:type="pct"/>
            <w:tcBorders>
              <w:top w:val="single" w:sz="4" w:space="0" w:color="1B556B"/>
              <w:bottom w:val="single" w:sz="4" w:space="0" w:color="1B556B"/>
            </w:tcBorders>
            <w:shd w:val="clear" w:color="000000" w:fill="FFFFFF"/>
            <w:noWrap/>
            <w:hideMark/>
          </w:tcPr>
          <w:p w14:paraId="6667B739"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18,653</w:t>
            </w:r>
          </w:p>
        </w:tc>
        <w:tc>
          <w:tcPr>
            <w:tcW w:w="414" w:type="pct"/>
            <w:tcBorders>
              <w:top w:val="single" w:sz="4" w:space="0" w:color="1B556B"/>
              <w:bottom w:val="single" w:sz="4" w:space="0" w:color="1B556B"/>
            </w:tcBorders>
            <w:shd w:val="clear" w:color="000000" w:fill="FFFFFF"/>
            <w:hideMark/>
          </w:tcPr>
          <w:p w14:paraId="33ECFFB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29,430</w:t>
            </w:r>
          </w:p>
        </w:tc>
        <w:tc>
          <w:tcPr>
            <w:tcW w:w="323" w:type="pct"/>
            <w:tcBorders>
              <w:top w:val="single" w:sz="4" w:space="0" w:color="1B556B"/>
              <w:bottom w:val="single" w:sz="4" w:space="0" w:color="1B556B"/>
            </w:tcBorders>
            <w:shd w:val="clear" w:color="000000" w:fill="FFFFFF"/>
            <w:noWrap/>
            <w:hideMark/>
          </w:tcPr>
          <w:p w14:paraId="2619F80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4D4DE0E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3FB9605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45B10D4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3457D87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29189F2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000000" w:fill="FFFFFF"/>
            <w:hideMark/>
          </w:tcPr>
          <w:p w14:paraId="309F7FE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71FA92B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2D1D447A"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012906F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Indonesia</w:t>
            </w:r>
          </w:p>
        </w:tc>
        <w:tc>
          <w:tcPr>
            <w:tcW w:w="653" w:type="pct"/>
            <w:tcBorders>
              <w:top w:val="single" w:sz="4" w:space="0" w:color="1B556B"/>
              <w:bottom w:val="single" w:sz="4" w:space="0" w:color="1B556B"/>
            </w:tcBorders>
            <w:shd w:val="clear" w:color="000000" w:fill="FFFFFF"/>
            <w:hideMark/>
          </w:tcPr>
          <w:p w14:paraId="1DFD2B9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Indonesia: Livelihood Support in Eastern Indonesia</w:t>
            </w:r>
          </w:p>
        </w:tc>
        <w:tc>
          <w:tcPr>
            <w:tcW w:w="503" w:type="pct"/>
            <w:tcBorders>
              <w:top w:val="single" w:sz="4" w:space="0" w:color="1B556B"/>
              <w:bottom w:val="single" w:sz="4" w:space="0" w:color="1B556B"/>
            </w:tcBorders>
            <w:shd w:val="clear" w:color="000000" w:fill="FFFFFF"/>
            <w:noWrap/>
            <w:hideMark/>
          </w:tcPr>
          <w:p w14:paraId="147D1A7E"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47,535</w:t>
            </w:r>
          </w:p>
        </w:tc>
        <w:tc>
          <w:tcPr>
            <w:tcW w:w="414" w:type="pct"/>
            <w:tcBorders>
              <w:top w:val="single" w:sz="4" w:space="0" w:color="1B556B"/>
              <w:bottom w:val="single" w:sz="4" w:space="0" w:color="1B556B"/>
            </w:tcBorders>
            <w:shd w:val="clear" w:color="000000" w:fill="FFFFFF"/>
            <w:hideMark/>
          </w:tcPr>
          <w:p w14:paraId="1E6E175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75,000</w:t>
            </w:r>
          </w:p>
        </w:tc>
        <w:tc>
          <w:tcPr>
            <w:tcW w:w="323" w:type="pct"/>
            <w:tcBorders>
              <w:top w:val="single" w:sz="4" w:space="0" w:color="1B556B"/>
              <w:bottom w:val="single" w:sz="4" w:space="0" w:color="1B556B"/>
            </w:tcBorders>
            <w:shd w:val="clear" w:color="000000" w:fill="FFFFFF"/>
            <w:noWrap/>
            <w:hideMark/>
          </w:tcPr>
          <w:p w14:paraId="0081883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045237A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612E935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52D77A1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2F73C8D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07EC4C4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000000" w:fill="FFFFFF"/>
            <w:hideMark/>
          </w:tcPr>
          <w:p w14:paraId="0F3607E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26DAA5F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187A7987"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6D8D70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57BF330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Climate and Oceans Support Program in the Pacific</w:t>
            </w:r>
          </w:p>
        </w:tc>
        <w:tc>
          <w:tcPr>
            <w:tcW w:w="503" w:type="pct"/>
            <w:tcBorders>
              <w:top w:val="single" w:sz="4" w:space="0" w:color="1B556B"/>
              <w:bottom w:val="single" w:sz="4" w:space="0" w:color="1B556B"/>
            </w:tcBorders>
            <w:shd w:val="clear" w:color="000000" w:fill="FFFFFF"/>
            <w:noWrap/>
            <w:hideMark/>
          </w:tcPr>
          <w:p w14:paraId="5D14EEC0"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155,913</w:t>
            </w:r>
          </w:p>
        </w:tc>
        <w:tc>
          <w:tcPr>
            <w:tcW w:w="414" w:type="pct"/>
            <w:tcBorders>
              <w:top w:val="single" w:sz="4" w:space="0" w:color="1B556B"/>
              <w:bottom w:val="single" w:sz="4" w:space="0" w:color="1B556B"/>
            </w:tcBorders>
            <w:shd w:val="clear" w:color="000000" w:fill="FFFFFF"/>
            <w:noWrap/>
            <w:hideMark/>
          </w:tcPr>
          <w:p w14:paraId="071834D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246,000</w:t>
            </w:r>
          </w:p>
        </w:tc>
        <w:tc>
          <w:tcPr>
            <w:tcW w:w="323" w:type="pct"/>
            <w:tcBorders>
              <w:top w:val="single" w:sz="4" w:space="0" w:color="1B556B"/>
              <w:bottom w:val="single" w:sz="4" w:space="0" w:color="1B556B"/>
            </w:tcBorders>
            <w:shd w:val="clear" w:color="000000" w:fill="FFFFFF"/>
            <w:noWrap/>
            <w:hideMark/>
          </w:tcPr>
          <w:p w14:paraId="46AFBD9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5F0977D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0947441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0E0C80D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10B7D1C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76F7D46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Cross-cutting</w:t>
            </w:r>
          </w:p>
        </w:tc>
        <w:tc>
          <w:tcPr>
            <w:tcW w:w="281" w:type="pct"/>
            <w:tcBorders>
              <w:top w:val="single" w:sz="4" w:space="0" w:color="1B556B"/>
              <w:bottom w:val="single" w:sz="4" w:space="0" w:color="1B556B"/>
            </w:tcBorders>
            <w:shd w:val="clear" w:color="000000" w:fill="FFFFFF"/>
            <w:hideMark/>
          </w:tcPr>
          <w:p w14:paraId="1C9C38B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3039122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58AE4545"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2D94E03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America Central Regional/Multi-Country</w:t>
            </w:r>
          </w:p>
        </w:tc>
        <w:tc>
          <w:tcPr>
            <w:tcW w:w="653" w:type="pct"/>
            <w:tcBorders>
              <w:top w:val="single" w:sz="4" w:space="0" w:color="1B556B"/>
              <w:bottom w:val="single" w:sz="4" w:space="0" w:color="1B556B"/>
            </w:tcBorders>
            <w:shd w:val="clear" w:color="000000" w:fill="FFFFFF"/>
            <w:hideMark/>
          </w:tcPr>
          <w:p w14:paraId="436ABCA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Caribbean Agriculture and Tourism Support</w:t>
            </w:r>
          </w:p>
        </w:tc>
        <w:tc>
          <w:tcPr>
            <w:tcW w:w="503" w:type="pct"/>
            <w:tcBorders>
              <w:top w:val="single" w:sz="4" w:space="0" w:color="1B556B"/>
              <w:bottom w:val="single" w:sz="4" w:space="0" w:color="1B556B"/>
            </w:tcBorders>
            <w:shd w:val="clear" w:color="000000" w:fill="FFFFFF"/>
            <w:noWrap/>
            <w:hideMark/>
          </w:tcPr>
          <w:p w14:paraId="70D52E1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110,037</w:t>
            </w:r>
          </w:p>
        </w:tc>
        <w:tc>
          <w:tcPr>
            <w:tcW w:w="414" w:type="pct"/>
            <w:tcBorders>
              <w:top w:val="single" w:sz="4" w:space="0" w:color="1B556B"/>
              <w:bottom w:val="single" w:sz="4" w:space="0" w:color="1B556B"/>
            </w:tcBorders>
            <w:shd w:val="clear" w:color="000000" w:fill="FFFFFF"/>
            <w:hideMark/>
          </w:tcPr>
          <w:p w14:paraId="3D56CC4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173,616</w:t>
            </w:r>
          </w:p>
        </w:tc>
        <w:tc>
          <w:tcPr>
            <w:tcW w:w="323" w:type="pct"/>
            <w:tcBorders>
              <w:top w:val="single" w:sz="4" w:space="0" w:color="1B556B"/>
              <w:bottom w:val="single" w:sz="4" w:space="0" w:color="1B556B"/>
            </w:tcBorders>
            <w:shd w:val="clear" w:color="000000" w:fill="FFFFFF"/>
            <w:noWrap/>
            <w:hideMark/>
          </w:tcPr>
          <w:p w14:paraId="45E78D0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5F1AC34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20C1497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322B29B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3CEB93F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34983FB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000000" w:fill="FFFFFF"/>
            <w:hideMark/>
          </w:tcPr>
          <w:p w14:paraId="4FD08F1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0F0F4A9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3C11F64D"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30A458E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Solomon Islands</w:t>
            </w:r>
          </w:p>
        </w:tc>
        <w:tc>
          <w:tcPr>
            <w:tcW w:w="653" w:type="pct"/>
            <w:tcBorders>
              <w:top w:val="single" w:sz="4" w:space="0" w:color="1B556B"/>
              <w:bottom w:val="single" w:sz="4" w:space="0" w:color="1B556B"/>
            </w:tcBorders>
            <w:shd w:val="clear" w:color="000000" w:fill="FFFFFF"/>
            <w:hideMark/>
          </w:tcPr>
          <w:p w14:paraId="2BF3AB4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 xml:space="preserve">Provincial Airfield Upgrades </w:t>
            </w:r>
          </w:p>
        </w:tc>
        <w:tc>
          <w:tcPr>
            <w:tcW w:w="503" w:type="pct"/>
            <w:tcBorders>
              <w:top w:val="single" w:sz="4" w:space="0" w:color="1B556B"/>
              <w:bottom w:val="single" w:sz="4" w:space="0" w:color="1B556B"/>
            </w:tcBorders>
            <w:shd w:val="clear" w:color="000000" w:fill="FFFFFF"/>
            <w:noWrap/>
            <w:hideMark/>
          </w:tcPr>
          <w:p w14:paraId="3DFD907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3,170,401</w:t>
            </w:r>
          </w:p>
        </w:tc>
        <w:tc>
          <w:tcPr>
            <w:tcW w:w="414" w:type="pct"/>
            <w:tcBorders>
              <w:top w:val="single" w:sz="4" w:space="0" w:color="1B556B"/>
              <w:bottom w:val="single" w:sz="4" w:space="0" w:color="1B556B"/>
            </w:tcBorders>
            <w:shd w:val="clear" w:color="000000" w:fill="FFFFFF"/>
            <w:hideMark/>
          </w:tcPr>
          <w:p w14:paraId="439BF36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5,002,258</w:t>
            </w:r>
          </w:p>
        </w:tc>
        <w:tc>
          <w:tcPr>
            <w:tcW w:w="323" w:type="pct"/>
            <w:tcBorders>
              <w:top w:val="single" w:sz="4" w:space="0" w:color="1B556B"/>
              <w:bottom w:val="single" w:sz="4" w:space="0" w:color="1B556B"/>
            </w:tcBorders>
            <w:shd w:val="clear" w:color="000000" w:fill="FFFFFF"/>
            <w:noWrap/>
            <w:hideMark/>
          </w:tcPr>
          <w:p w14:paraId="50D4BB6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0C25951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18D4675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278C8CD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56038B4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610278E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Tourism</w:t>
            </w:r>
          </w:p>
        </w:tc>
        <w:tc>
          <w:tcPr>
            <w:tcW w:w="281" w:type="pct"/>
            <w:tcBorders>
              <w:top w:val="single" w:sz="4" w:space="0" w:color="1B556B"/>
              <w:bottom w:val="single" w:sz="4" w:space="0" w:color="1B556B"/>
            </w:tcBorders>
            <w:shd w:val="clear" w:color="000000" w:fill="FFFFFF"/>
            <w:hideMark/>
          </w:tcPr>
          <w:p w14:paraId="36E547E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1503564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026D79FF"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1822C24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Tonga</w:t>
            </w:r>
          </w:p>
        </w:tc>
        <w:tc>
          <w:tcPr>
            <w:tcW w:w="653" w:type="pct"/>
            <w:tcBorders>
              <w:top w:val="single" w:sz="4" w:space="0" w:color="1B556B"/>
              <w:bottom w:val="single" w:sz="4" w:space="0" w:color="1B556B"/>
            </w:tcBorders>
            <w:shd w:val="clear" w:color="000000" w:fill="FFFFFF"/>
            <w:hideMark/>
          </w:tcPr>
          <w:p w14:paraId="0883597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Tonga Parliament Buildings Project</w:t>
            </w:r>
          </w:p>
        </w:tc>
        <w:tc>
          <w:tcPr>
            <w:tcW w:w="503" w:type="pct"/>
            <w:tcBorders>
              <w:top w:val="single" w:sz="4" w:space="0" w:color="1B556B"/>
              <w:bottom w:val="single" w:sz="4" w:space="0" w:color="1B556B"/>
            </w:tcBorders>
            <w:shd w:val="clear" w:color="000000" w:fill="FFFFFF"/>
            <w:noWrap/>
            <w:hideMark/>
          </w:tcPr>
          <w:p w14:paraId="320BC488"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196,036</w:t>
            </w:r>
          </w:p>
        </w:tc>
        <w:tc>
          <w:tcPr>
            <w:tcW w:w="414" w:type="pct"/>
            <w:tcBorders>
              <w:top w:val="single" w:sz="4" w:space="0" w:color="1B556B"/>
              <w:bottom w:val="single" w:sz="4" w:space="0" w:color="1B556B"/>
            </w:tcBorders>
            <w:shd w:val="clear" w:color="000000" w:fill="FFFFFF"/>
            <w:hideMark/>
          </w:tcPr>
          <w:p w14:paraId="087F65E2"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309,305</w:t>
            </w:r>
          </w:p>
        </w:tc>
        <w:tc>
          <w:tcPr>
            <w:tcW w:w="323" w:type="pct"/>
            <w:tcBorders>
              <w:top w:val="single" w:sz="4" w:space="0" w:color="1B556B"/>
              <w:bottom w:val="single" w:sz="4" w:space="0" w:color="1B556B"/>
            </w:tcBorders>
            <w:shd w:val="clear" w:color="000000" w:fill="FFFFFF"/>
            <w:noWrap/>
            <w:hideMark/>
          </w:tcPr>
          <w:p w14:paraId="1A7445B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79A3B40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183D767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08F7511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12EE6AE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5F87ABF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Government and Civil Society</w:t>
            </w:r>
          </w:p>
        </w:tc>
        <w:tc>
          <w:tcPr>
            <w:tcW w:w="281" w:type="pct"/>
            <w:tcBorders>
              <w:top w:val="single" w:sz="4" w:space="0" w:color="1B556B"/>
              <w:bottom w:val="single" w:sz="4" w:space="0" w:color="1B556B"/>
            </w:tcBorders>
            <w:shd w:val="clear" w:color="000000" w:fill="FFFFFF"/>
            <w:hideMark/>
          </w:tcPr>
          <w:p w14:paraId="72DD9F6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3B3885B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48D0BD0E"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3CEDE2E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Solomon Islands</w:t>
            </w:r>
          </w:p>
        </w:tc>
        <w:tc>
          <w:tcPr>
            <w:tcW w:w="653" w:type="pct"/>
            <w:tcBorders>
              <w:top w:val="single" w:sz="4" w:space="0" w:color="1B556B"/>
              <w:bottom w:val="single" w:sz="4" w:space="0" w:color="1B556B"/>
            </w:tcBorders>
            <w:shd w:val="clear" w:color="000000" w:fill="FFFFFF"/>
            <w:hideMark/>
          </w:tcPr>
          <w:p w14:paraId="0D27C69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Building Ecotourism in the Arnavons</w:t>
            </w:r>
          </w:p>
        </w:tc>
        <w:tc>
          <w:tcPr>
            <w:tcW w:w="503" w:type="pct"/>
            <w:tcBorders>
              <w:top w:val="single" w:sz="4" w:space="0" w:color="1B556B"/>
              <w:bottom w:val="single" w:sz="4" w:space="0" w:color="1B556B"/>
            </w:tcBorders>
            <w:shd w:val="clear" w:color="000000" w:fill="FFFFFF"/>
            <w:noWrap/>
            <w:hideMark/>
          </w:tcPr>
          <w:p w14:paraId="49FB5312"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103,938</w:t>
            </w:r>
          </w:p>
        </w:tc>
        <w:tc>
          <w:tcPr>
            <w:tcW w:w="414" w:type="pct"/>
            <w:tcBorders>
              <w:top w:val="single" w:sz="4" w:space="0" w:color="1B556B"/>
              <w:bottom w:val="single" w:sz="4" w:space="0" w:color="1B556B"/>
            </w:tcBorders>
            <w:shd w:val="clear" w:color="000000" w:fill="FFFFFF"/>
            <w:hideMark/>
          </w:tcPr>
          <w:p w14:paraId="49AEB1CE"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163,994</w:t>
            </w:r>
          </w:p>
        </w:tc>
        <w:tc>
          <w:tcPr>
            <w:tcW w:w="323" w:type="pct"/>
            <w:tcBorders>
              <w:top w:val="single" w:sz="4" w:space="0" w:color="1B556B"/>
              <w:bottom w:val="single" w:sz="4" w:space="0" w:color="1B556B"/>
            </w:tcBorders>
            <w:shd w:val="clear" w:color="000000" w:fill="FFFFFF"/>
            <w:noWrap/>
            <w:hideMark/>
          </w:tcPr>
          <w:p w14:paraId="4DE804A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5906515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626AF03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3B8F1D2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7C5DC4C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3452997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Multisector/Cross-cutting</w:t>
            </w:r>
          </w:p>
        </w:tc>
        <w:tc>
          <w:tcPr>
            <w:tcW w:w="281" w:type="pct"/>
            <w:tcBorders>
              <w:top w:val="single" w:sz="4" w:space="0" w:color="1B556B"/>
              <w:bottom w:val="single" w:sz="4" w:space="0" w:color="1B556B"/>
            </w:tcBorders>
            <w:shd w:val="clear" w:color="000000" w:fill="FFFFFF"/>
            <w:hideMark/>
          </w:tcPr>
          <w:p w14:paraId="5FD6A3F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485D92A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194A9EC4"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0AF1A37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7319F7B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 xml:space="preserve">Pacific Seeds for Life </w:t>
            </w:r>
          </w:p>
        </w:tc>
        <w:tc>
          <w:tcPr>
            <w:tcW w:w="503" w:type="pct"/>
            <w:tcBorders>
              <w:top w:val="single" w:sz="4" w:space="0" w:color="1B556B"/>
              <w:bottom w:val="single" w:sz="4" w:space="0" w:color="1B556B"/>
            </w:tcBorders>
            <w:shd w:val="clear" w:color="000000" w:fill="FFFFFF"/>
            <w:noWrap/>
            <w:hideMark/>
          </w:tcPr>
          <w:p w14:paraId="4640B9EA" w14:textId="77777777" w:rsidR="007113F5" w:rsidRPr="00865EEC" w:rsidRDefault="007113F5">
            <w:pPr>
              <w:spacing w:before="60" w:after="60" w:line="240" w:lineRule="auto"/>
              <w:jc w:val="left"/>
              <w:rPr>
                <w:rFonts w:asciiTheme="minorHAnsi" w:hAnsiTheme="minorHAnsi" w:cstheme="minorHAnsi"/>
                <w:b/>
                <w:color w:val="000000"/>
                <w:sz w:val="16"/>
                <w:szCs w:val="16"/>
              </w:rPr>
            </w:pPr>
            <w:bookmarkStart w:id="932" w:name="_Hlk176190656"/>
            <w:r w:rsidRPr="00865EEC">
              <w:rPr>
                <w:rFonts w:asciiTheme="minorHAnsi" w:hAnsiTheme="minorHAnsi" w:cstheme="minorHAnsi"/>
                <w:b/>
                <w:color w:val="000000"/>
                <w:sz w:val="16"/>
                <w:szCs w:val="16"/>
              </w:rPr>
              <w:t>164,628</w:t>
            </w:r>
            <w:bookmarkEnd w:id="932"/>
          </w:p>
        </w:tc>
        <w:tc>
          <w:tcPr>
            <w:tcW w:w="414" w:type="pct"/>
            <w:tcBorders>
              <w:top w:val="single" w:sz="4" w:space="0" w:color="1B556B"/>
              <w:bottom w:val="single" w:sz="4" w:space="0" w:color="1B556B"/>
            </w:tcBorders>
            <w:shd w:val="clear" w:color="000000" w:fill="FFFFFF"/>
            <w:hideMark/>
          </w:tcPr>
          <w:p w14:paraId="3C2913D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259,750</w:t>
            </w:r>
          </w:p>
        </w:tc>
        <w:tc>
          <w:tcPr>
            <w:tcW w:w="323" w:type="pct"/>
            <w:tcBorders>
              <w:top w:val="single" w:sz="4" w:space="0" w:color="1B556B"/>
              <w:bottom w:val="single" w:sz="4" w:space="0" w:color="1B556B"/>
            </w:tcBorders>
            <w:shd w:val="clear" w:color="000000" w:fill="FFFFFF"/>
            <w:noWrap/>
            <w:hideMark/>
          </w:tcPr>
          <w:p w14:paraId="0EEBAE3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028694C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0005426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4D102D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416612D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03EE9CE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000000" w:fill="FFFFFF"/>
            <w:hideMark/>
          </w:tcPr>
          <w:p w14:paraId="7405092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003C02F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71D106EC"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EB9814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Fiji</w:t>
            </w:r>
          </w:p>
        </w:tc>
        <w:tc>
          <w:tcPr>
            <w:tcW w:w="653" w:type="pct"/>
            <w:tcBorders>
              <w:top w:val="single" w:sz="4" w:space="0" w:color="1B556B"/>
              <w:bottom w:val="single" w:sz="4" w:space="0" w:color="1B556B"/>
            </w:tcBorders>
            <w:shd w:val="clear" w:color="000000" w:fill="FFFFFF"/>
            <w:hideMark/>
          </w:tcPr>
          <w:p w14:paraId="0DA21C6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Social Housing</w:t>
            </w:r>
          </w:p>
        </w:tc>
        <w:tc>
          <w:tcPr>
            <w:tcW w:w="503" w:type="pct"/>
            <w:tcBorders>
              <w:top w:val="single" w:sz="4" w:space="0" w:color="1B556B"/>
              <w:bottom w:val="single" w:sz="4" w:space="0" w:color="1B556B"/>
            </w:tcBorders>
            <w:shd w:val="clear" w:color="000000" w:fill="FFFFFF"/>
            <w:noWrap/>
            <w:hideMark/>
          </w:tcPr>
          <w:p w14:paraId="1F278424"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124,573</w:t>
            </w:r>
          </w:p>
        </w:tc>
        <w:tc>
          <w:tcPr>
            <w:tcW w:w="414" w:type="pct"/>
            <w:tcBorders>
              <w:top w:val="single" w:sz="4" w:space="0" w:color="1B556B"/>
              <w:bottom w:val="single" w:sz="4" w:space="0" w:color="1B556B"/>
            </w:tcBorders>
            <w:shd w:val="clear" w:color="000000" w:fill="FFFFFF"/>
            <w:hideMark/>
          </w:tcPr>
          <w:p w14:paraId="4A0516D2"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196,552</w:t>
            </w:r>
          </w:p>
        </w:tc>
        <w:tc>
          <w:tcPr>
            <w:tcW w:w="323" w:type="pct"/>
            <w:tcBorders>
              <w:top w:val="single" w:sz="4" w:space="0" w:color="1B556B"/>
              <w:bottom w:val="single" w:sz="4" w:space="0" w:color="1B556B"/>
            </w:tcBorders>
            <w:shd w:val="clear" w:color="000000" w:fill="FFFFFF"/>
            <w:noWrap/>
            <w:hideMark/>
          </w:tcPr>
          <w:p w14:paraId="4049438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55B0E96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7EF6562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4B53F22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6E7EAAA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0C65774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Other Social Infrastructure and Services</w:t>
            </w:r>
          </w:p>
        </w:tc>
        <w:tc>
          <w:tcPr>
            <w:tcW w:w="281" w:type="pct"/>
            <w:tcBorders>
              <w:top w:val="single" w:sz="4" w:space="0" w:color="1B556B"/>
              <w:bottom w:val="single" w:sz="4" w:space="0" w:color="1B556B"/>
            </w:tcBorders>
            <w:shd w:val="clear" w:color="000000" w:fill="FFFFFF"/>
            <w:hideMark/>
          </w:tcPr>
          <w:p w14:paraId="2B9D91A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56EA33C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522ABCB7"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7B037D5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Tokelau</w:t>
            </w:r>
          </w:p>
        </w:tc>
        <w:tc>
          <w:tcPr>
            <w:tcW w:w="653" w:type="pct"/>
            <w:tcBorders>
              <w:top w:val="single" w:sz="4" w:space="0" w:color="1B556B"/>
              <w:bottom w:val="single" w:sz="4" w:space="0" w:color="1B556B"/>
            </w:tcBorders>
            <w:shd w:val="clear" w:color="000000" w:fill="FFFFFF"/>
            <w:hideMark/>
          </w:tcPr>
          <w:p w14:paraId="4FEBC114"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33" w:name="_Hlk176254992"/>
            <w:r w:rsidRPr="00865EEC">
              <w:rPr>
                <w:rFonts w:asciiTheme="minorHAnsi" w:hAnsiTheme="minorHAnsi" w:cstheme="minorHAnsi"/>
                <w:color w:val="000000"/>
                <w:sz w:val="16"/>
                <w:szCs w:val="16"/>
              </w:rPr>
              <w:t>Coastal Risk Mitigation</w:t>
            </w:r>
            <w:bookmarkEnd w:id="933"/>
          </w:p>
        </w:tc>
        <w:tc>
          <w:tcPr>
            <w:tcW w:w="503" w:type="pct"/>
            <w:tcBorders>
              <w:top w:val="single" w:sz="4" w:space="0" w:color="1B556B"/>
              <w:bottom w:val="single" w:sz="4" w:space="0" w:color="1B556B"/>
            </w:tcBorders>
            <w:shd w:val="clear" w:color="000000" w:fill="FFFFFF"/>
            <w:noWrap/>
            <w:hideMark/>
          </w:tcPr>
          <w:p w14:paraId="225AF3B6"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133,892</w:t>
            </w:r>
          </w:p>
        </w:tc>
        <w:tc>
          <w:tcPr>
            <w:tcW w:w="414" w:type="pct"/>
            <w:tcBorders>
              <w:top w:val="single" w:sz="4" w:space="0" w:color="1B556B"/>
              <w:bottom w:val="single" w:sz="4" w:space="0" w:color="1B556B"/>
            </w:tcBorders>
            <w:shd w:val="clear" w:color="000000" w:fill="FFFFFF"/>
            <w:hideMark/>
          </w:tcPr>
          <w:p w14:paraId="16443F9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211,255</w:t>
            </w:r>
          </w:p>
        </w:tc>
        <w:tc>
          <w:tcPr>
            <w:tcW w:w="323" w:type="pct"/>
            <w:tcBorders>
              <w:top w:val="single" w:sz="4" w:space="0" w:color="1B556B"/>
              <w:bottom w:val="single" w:sz="4" w:space="0" w:color="1B556B"/>
            </w:tcBorders>
            <w:shd w:val="clear" w:color="000000" w:fill="FFFFFF"/>
            <w:noWrap/>
            <w:hideMark/>
          </w:tcPr>
          <w:p w14:paraId="53497A9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44F01BA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4A612BE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0CDF430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6C19FBF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3BE3151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Multisector/Cross-cutting</w:t>
            </w:r>
          </w:p>
        </w:tc>
        <w:tc>
          <w:tcPr>
            <w:tcW w:w="281" w:type="pct"/>
            <w:tcBorders>
              <w:top w:val="single" w:sz="4" w:space="0" w:color="1B556B"/>
              <w:bottom w:val="single" w:sz="4" w:space="0" w:color="1B556B"/>
            </w:tcBorders>
            <w:shd w:val="clear" w:color="000000" w:fill="FFFFFF"/>
            <w:hideMark/>
          </w:tcPr>
          <w:p w14:paraId="11AC99E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2597F8A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337AF451"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4C968C1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Fiji</w:t>
            </w:r>
          </w:p>
        </w:tc>
        <w:tc>
          <w:tcPr>
            <w:tcW w:w="653" w:type="pct"/>
            <w:tcBorders>
              <w:top w:val="single" w:sz="4" w:space="0" w:color="1B556B"/>
              <w:bottom w:val="single" w:sz="4" w:space="0" w:color="1B556B"/>
            </w:tcBorders>
            <w:shd w:val="clear" w:color="000000" w:fill="FFFFFF"/>
            <w:hideMark/>
          </w:tcPr>
          <w:p w14:paraId="4689903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Disaster Risk Management in Fiji</w:t>
            </w:r>
          </w:p>
        </w:tc>
        <w:tc>
          <w:tcPr>
            <w:tcW w:w="503" w:type="pct"/>
            <w:tcBorders>
              <w:top w:val="single" w:sz="4" w:space="0" w:color="1B556B"/>
              <w:bottom w:val="single" w:sz="4" w:space="0" w:color="1B556B"/>
            </w:tcBorders>
            <w:shd w:val="clear" w:color="000000" w:fill="FFFFFF"/>
            <w:noWrap/>
            <w:hideMark/>
          </w:tcPr>
          <w:p w14:paraId="266DA45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192,017</w:t>
            </w:r>
          </w:p>
        </w:tc>
        <w:tc>
          <w:tcPr>
            <w:tcW w:w="414" w:type="pct"/>
            <w:tcBorders>
              <w:top w:val="single" w:sz="4" w:space="0" w:color="1B556B"/>
              <w:bottom w:val="single" w:sz="4" w:space="0" w:color="1B556B"/>
            </w:tcBorders>
            <w:shd w:val="clear" w:color="000000" w:fill="FFFFFF"/>
            <w:hideMark/>
          </w:tcPr>
          <w:p w14:paraId="5746265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302,964</w:t>
            </w:r>
          </w:p>
        </w:tc>
        <w:tc>
          <w:tcPr>
            <w:tcW w:w="323" w:type="pct"/>
            <w:tcBorders>
              <w:top w:val="single" w:sz="4" w:space="0" w:color="1B556B"/>
              <w:bottom w:val="single" w:sz="4" w:space="0" w:color="1B556B"/>
            </w:tcBorders>
            <w:shd w:val="clear" w:color="000000" w:fill="FFFFFF"/>
            <w:noWrap/>
            <w:hideMark/>
          </w:tcPr>
          <w:p w14:paraId="393AEE0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24C9F1B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7249A56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0E5C6B8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0A9578D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234A0B2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6A99B2D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256F221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3970262D"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0EFB90D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63F0FBB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Papua New Guinea and Pacific Islands Umbrella Fund</w:t>
            </w:r>
          </w:p>
        </w:tc>
        <w:tc>
          <w:tcPr>
            <w:tcW w:w="503" w:type="pct"/>
            <w:tcBorders>
              <w:top w:val="single" w:sz="4" w:space="0" w:color="1B556B"/>
              <w:bottom w:val="single" w:sz="4" w:space="0" w:color="1B556B"/>
            </w:tcBorders>
            <w:shd w:val="clear" w:color="000000" w:fill="FFFFFF"/>
            <w:noWrap/>
            <w:hideMark/>
          </w:tcPr>
          <w:p w14:paraId="2EF4C936"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3,042,211</w:t>
            </w:r>
          </w:p>
        </w:tc>
        <w:tc>
          <w:tcPr>
            <w:tcW w:w="414" w:type="pct"/>
            <w:tcBorders>
              <w:top w:val="single" w:sz="4" w:space="0" w:color="1B556B"/>
              <w:bottom w:val="single" w:sz="4" w:space="0" w:color="1B556B"/>
            </w:tcBorders>
            <w:shd w:val="clear" w:color="000000" w:fill="FFFFFF"/>
            <w:hideMark/>
          </w:tcPr>
          <w:p w14:paraId="7FD7E58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4,800,000</w:t>
            </w:r>
          </w:p>
        </w:tc>
        <w:tc>
          <w:tcPr>
            <w:tcW w:w="323" w:type="pct"/>
            <w:tcBorders>
              <w:top w:val="single" w:sz="4" w:space="0" w:color="1B556B"/>
              <w:bottom w:val="single" w:sz="4" w:space="0" w:color="1B556B"/>
            </w:tcBorders>
            <w:shd w:val="clear" w:color="000000" w:fill="FFFFFF"/>
            <w:noWrap/>
            <w:hideMark/>
          </w:tcPr>
          <w:p w14:paraId="188D156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777AF47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4300A60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0AEF75F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1F8DBA3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1B2D5A8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35F777C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71BB4C6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1C72DF85"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1E755CE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1779A126"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34" w:name="_Hlk176255114"/>
            <w:r w:rsidRPr="00865EEC">
              <w:rPr>
                <w:rFonts w:asciiTheme="minorHAnsi" w:hAnsiTheme="minorHAnsi" w:cstheme="minorHAnsi"/>
                <w:color w:val="000000"/>
                <w:sz w:val="16"/>
                <w:szCs w:val="16"/>
              </w:rPr>
              <w:t>Pacific Community (SPC) Core Funding 2020-2024</w:t>
            </w:r>
            <w:bookmarkEnd w:id="934"/>
          </w:p>
        </w:tc>
        <w:tc>
          <w:tcPr>
            <w:tcW w:w="503" w:type="pct"/>
            <w:tcBorders>
              <w:top w:val="single" w:sz="4" w:space="0" w:color="1B556B"/>
              <w:bottom w:val="single" w:sz="4" w:space="0" w:color="1B556B"/>
            </w:tcBorders>
            <w:shd w:val="clear" w:color="000000" w:fill="FFFFFF"/>
            <w:noWrap/>
            <w:hideMark/>
          </w:tcPr>
          <w:p w14:paraId="3027EE1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3,405,499</w:t>
            </w:r>
          </w:p>
        </w:tc>
        <w:tc>
          <w:tcPr>
            <w:tcW w:w="414" w:type="pct"/>
            <w:tcBorders>
              <w:top w:val="single" w:sz="4" w:space="0" w:color="1B556B"/>
              <w:bottom w:val="single" w:sz="4" w:space="0" w:color="1B556B"/>
            </w:tcBorders>
            <w:shd w:val="clear" w:color="000000" w:fill="FFFFFF"/>
            <w:hideMark/>
          </w:tcPr>
          <w:p w14:paraId="06E6E166"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5,373,196</w:t>
            </w:r>
          </w:p>
        </w:tc>
        <w:tc>
          <w:tcPr>
            <w:tcW w:w="323" w:type="pct"/>
            <w:tcBorders>
              <w:top w:val="single" w:sz="4" w:space="0" w:color="1B556B"/>
              <w:bottom w:val="single" w:sz="4" w:space="0" w:color="1B556B"/>
            </w:tcBorders>
            <w:shd w:val="clear" w:color="000000" w:fill="FFFFFF"/>
            <w:noWrap/>
            <w:hideMark/>
          </w:tcPr>
          <w:p w14:paraId="6261BA2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5A2E670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4133EFC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00829CE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2DC939A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1BB6AF2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4A6AB34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7A6C011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4840F43C"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7DF5B712"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35" w:name="_Hlk176255144"/>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567D31D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Improving Ecosystem Resilience: Kiwa Initiative</w:t>
            </w:r>
          </w:p>
        </w:tc>
        <w:tc>
          <w:tcPr>
            <w:tcW w:w="503" w:type="pct"/>
            <w:tcBorders>
              <w:top w:val="single" w:sz="4" w:space="0" w:color="1B556B"/>
              <w:bottom w:val="single" w:sz="4" w:space="0" w:color="1B556B"/>
            </w:tcBorders>
            <w:shd w:val="clear" w:color="000000" w:fill="FFFFFF"/>
            <w:noWrap/>
            <w:hideMark/>
          </w:tcPr>
          <w:p w14:paraId="1BEEBCB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1,267,588</w:t>
            </w:r>
          </w:p>
        </w:tc>
        <w:tc>
          <w:tcPr>
            <w:tcW w:w="414" w:type="pct"/>
            <w:tcBorders>
              <w:top w:val="single" w:sz="4" w:space="0" w:color="1B556B"/>
              <w:bottom w:val="single" w:sz="4" w:space="0" w:color="1B556B"/>
            </w:tcBorders>
            <w:shd w:val="clear" w:color="000000" w:fill="FFFFFF"/>
            <w:hideMark/>
          </w:tcPr>
          <w:p w14:paraId="30CB3CC8"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2,000,000</w:t>
            </w:r>
          </w:p>
        </w:tc>
        <w:tc>
          <w:tcPr>
            <w:tcW w:w="323" w:type="pct"/>
            <w:tcBorders>
              <w:top w:val="single" w:sz="4" w:space="0" w:color="1B556B"/>
              <w:bottom w:val="single" w:sz="4" w:space="0" w:color="1B556B"/>
            </w:tcBorders>
            <w:shd w:val="clear" w:color="000000" w:fill="FFFFFF"/>
            <w:noWrap/>
            <w:hideMark/>
          </w:tcPr>
          <w:p w14:paraId="7FE79F3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73D4FE8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4D34E47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012EAE3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76DD16F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1AC5FB8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384F900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5F54836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bookmarkEnd w:id="935"/>
      <w:tr w:rsidR="00F57429" w:rsidRPr="00865EEC" w14:paraId="3F1820EE"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7EE66D0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68F1671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Support to the Pacific Climate Change Centre</w:t>
            </w:r>
          </w:p>
        </w:tc>
        <w:tc>
          <w:tcPr>
            <w:tcW w:w="503" w:type="pct"/>
            <w:tcBorders>
              <w:top w:val="single" w:sz="4" w:space="0" w:color="1B556B"/>
              <w:bottom w:val="single" w:sz="4" w:space="0" w:color="1B556B"/>
            </w:tcBorders>
            <w:shd w:val="clear" w:color="000000" w:fill="FFFFFF"/>
            <w:noWrap/>
            <w:hideMark/>
          </w:tcPr>
          <w:p w14:paraId="100D4E4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842,250</w:t>
            </w:r>
          </w:p>
        </w:tc>
        <w:tc>
          <w:tcPr>
            <w:tcW w:w="414" w:type="pct"/>
            <w:tcBorders>
              <w:top w:val="single" w:sz="4" w:space="0" w:color="1B556B"/>
              <w:bottom w:val="single" w:sz="4" w:space="0" w:color="1B556B"/>
            </w:tcBorders>
            <w:shd w:val="clear" w:color="000000" w:fill="FFFFFF"/>
            <w:hideMark/>
          </w:tcPr>
          <w:p w14:paraId="697FC61D"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1,328,902</w:t>
            </w:r>
          </w:p>
        </w:tc>
        <w:tc>
          <w:tcPr>
            <w:tcW w:w="323" w:type="pct"/>
            <w:tcBorders>
              <w:top w:val="single" w:sz="4" w:space="0" w:color="1B556B"/>
              <w:bottom w:val="single" w:sz="4" w:space="0" w:color="1B556B"/>
            </w:tcBorders>
            <w:shd w:val="clear" w:color="000000" w:fill="FFFFFF"/>
            <w:noWrap/>
            <w:hideMark/>
          </w:tcPr>
          <w:p w14:paraId="65E030B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64B9785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3A4B046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AF529A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5A4CC38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4DF5678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5A92B32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48F0206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271D7B67"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1BB41A9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676BC07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InvestPacific</w:t>
            </w:r>
          </w:p>
        </w:tc>
        <w:tc>
          <w:tcPr>
            <w:tcW w:w="503" w:type="pct"/>
            <w:tcBorders>
              <w:top w:val="single" w:sz="4" w:space="0" w:color="1B556B"/>
              <w:bottom w:val="single" w:sz="4" w:space="0" w:color="1B556B"/>
            </w:tcBorders>
            <w:shd w:val="clear" w:color="000000" w:fill="FFFFFF"/>
            <w:noWrap/>
            <w:hideMark/>
          </w:tcPr>
          <w:p w14:paraId="2BC3208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22,855</w:t>
            </w:r>
          </w:p>
        </w:tc>
        <w:tc>
          <w:tcPr>
            <w:tcW w:w="414" w:type="pct"/>
            <w:tcBorders>
              <w:top w:val="single" w:sz="4" w:space="0" w:color="1B556B"/>
              <w:bottom w:val="single" w:sz="4" w:space="0" w:color="1B556B"/>
            </w:tcBorders>
            <w:shd w:val="clear" w:color="000000" w:fill="FFFFFF"/>
            <w:hideMark/>
          </w:tcPr>
          <w:p w14:paraId="77C45EBE"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36,060</w:t>
            </w:r>
          </w:p>
        </w:tc>
        <w:tc>
          <w:tcPr>
            <w:tcW w:w="323" w:type="pct"/>
            <w:tcBorders>
              <w:top w:val="single" w:sz="4" w:space="0" w:color="1B556B"/>
              <w:bottom w:val="single" w:sz="4" w:space="0" w:color="1B556B"/>
            </w:tcBorders>
            <w:shd w:val="clear" w:color="000000" w:fill="FFFFFF"/>
            <w:noWrap/>
            <w:hideMark/>
          </w:tcPr>
          <w:p w14:paraId="43738E9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4332228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75636F8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02BB849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6EDB2F6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69B6A7B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Banking and Financial Services</w:t>
            </w:r>
          </w:p>
        </w:tc>
        <w:tc>
          <w:tcPr>
            <w:tcW w:w="281" w:type="pct"/>
            <w:tcBorders>
              <w:top w:val="single" w:sz="4" w:space="0" w:color="1B556B"/>
              <w:bottom w:val="single" w:sz="4" w:space="0" w:color="1B556B"/>
            </w:tcBorders>
            <w:shd w:val="clear" w:color="000000" w:fill="FFFFFF"/>
            <w:hideMark/>
          </w:tcPr>
          <w:p w14:paraId="1F4CD67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61CD96C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76EE2F20"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3113D99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Botswana</w:t>
            </w:r>
          </w:p>
        </w:tc>
        <w:tc>
          <w:tcPr>
            <w:tcW w:w="653" w:type="pct"/>
            <w:tcBorders>
              <w:top w:val="single" w:sz="4" w:space="0" w:color="1B556B"/>
              <w:bottom w:val="single" w:sz="4" w:space="0" w:color="1B556B"/>
            </w:tcBorders>
            <w:shd w:val="clear" w:color="000000" w:fill="FFFFFF"/>
            <w:hideMark/>
          </w:tcPr>
          <w:p w14:paraId="6190228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Botswana Beef Phase II</w:t>
            </w:r>
          </w:p>
        </w:tc>
        <w:tc>
          <w:tcPr>
            <w:tcW w:w="503" w:type="pct"/>
            <w:tcBorders>
              <w:top w:val="single" w:sz="4" w:space="0" w:color="1B556B"/>
              <w:bottom w:val="single" w:sz="4" w:space="0" w:color="1B556B"/>
            </w:tcBorders>
            <w:shd w:val="clear" w:color="000000" w:fill="FFFFFF"/>
            <w:noWrap/>
            <w:hideMark/>
          </w:tcPr>
          <w:p w14:paraId="718A0569"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21,968</w:t>
            </w:r>
          </w:p>
        </w:tc>
        <w:tc>
          <w:tcPr>
            <w:tcW w:w="414" w:type="pct"/>
            <w:tcBorders>
              <w:top w:val="single" w:sz="4" w:space="0" w:color="1B556B"/>
              <w:bottom w:val="single" w:sz="4" w:space="0" w:color="1B556B"/>
            </w:tcBorders>
            <w:shd w:val="clear" w:color="000000" w:fill="FFFFFF"/>
            <w:hideMark/>
          </w:tcPr>
          <w:p w14:paraId="56FE81F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34,661</w:t>
            </w:r>
          </w:p>
        </w:tc>
        <w:tc>
          <w:tcPr>
            <w:tcW w:w="323" w:type="pct"/>
            <w:tcBorders>
              <w:top w:val="single" w:sz="4" w:space="0" w:color="1B556B"/>
              <w:bottom w:val="single" w:sz="4" w:space="0" w:color="1B556B"/>
            </w:tcBorders>
            <w:shd w:val="clear" w:color="000000" w:fill="FFFFFF"/>
            <w:noWrap/>
            <w:hideMark/>
          </w:tcPr>
          <w:p w14:paraId="7CCC74B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4AA73D3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0CE5519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5476B33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68C61DC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1370F1C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000000" w:fill="FFFFFF"/>
            <w:hideMark/>
          </w:tcPr>
          <w:p w14:paraId="6EF7FF4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3B0982D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609FC817"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2A92CC7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Niue</w:t>
            </w:r>
          </w:p>
        </w:tc>
        <w:tc>
          <w:tcPr>
            <w:tcW w:w="653" w:type="pct"/>
            <w:tcBorders>
              <w:top w:val="single" w:sz="4" w:space="0" w:color="1B556B"/>
              <w:bottom w:val="single" w:sz="4" w:space="0" w:color="1B556B"/>
            </w:tcBorders>
            <w:shd w:val="clear" w:color="000000" w:fill="FFFFFF"/>
            <w:hideMark/>
          </w:tcPr>
          <w:p w14:paraId="5CBAFC8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Niue Strengthen Governance: Infrastructure</w:t>
            </w:r>
          </w:p>
        </w:tc>
        <w:tc>
          <w:tcPr>
            <w:tcW w:w="503" w:type="pct"/>
            <w:tcBorders>
              <w:top w:val="single" w:sz="4" w:space="0" w:color="1B556B"/>
              <w:bottom w:val="single" w:sz="4" w:space="0" w:color="1B556B"/>
            </w:tcBorders>
            <w:shd w:val="clear" w:color="000000" w:fill="FFFFFF"/>
            <w:noWrap/>
            <w:hideMark/>
          </w:tcPr>
          <w:p w14:paraId="0C766DD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356</w:t>
            </w:r>
          </w:p>
        </w:tc>
        <w:tc>
          <w:tcPr>
            <w:tcW w:w="414" w:type="pct"/>
            <w:tcBorders>
              <w:top w:val="single" w:sz="4" w:space="0" w:color="1B556B"/>
              <w:bottom w:val="single" w:sz="4" w:space="0" w:color="1B556B"/>
            </w:tcBorders>
            <w:shd w:val="clear" w:color="000000" w:fill="FFFFFF"/>
            <w:hideMark/>
          </w:tcPr>
          <w:p w14:paraId="366147D8"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561</w:t>
            </w:r>
          </w:p>
        </w:tc>
        <w:tc>
          <w:tcPr>
            <w:tcW w:w="323" w:type="pct"/>
            <w:tcBorders>
              <w:top w:val="single" w:sz="4" w:space="0" w:color="1B556B"/>
              <w:bottom w:val="single" w:sz="4" w:space="0" w:color="1B556B"/>
            </w:tcBorders>
            <w:shd w:val="clear" w:color="000000" w:fill="FFFFFF"/>
            <w:noWrap/>
            <w:hideMark/>
          </w:tcPr>
          <w:p w14:paraId="4D0E08C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2E7395E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234BAAE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28E8E2F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0957352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719E1D4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Government and Civil Society</w:t>
            </w:r>
          </w:p>
        </w:tc>
        <w:tc>
          <w:tcPr>
            <w:tcW w:w="281" w:type="pct"/>
            <w:tcBorders>
              <w:top w:val="single" w:sz="4" w:space="0" w:color="1B556B"/>
              <w:bottom w:val="single" w:sz="4" w:space="0" w:color="1B556B"/>
            </w:tcBorders>
            <w:shd w:val="clear" w:color="000000" w:fill="FFFFFF"/>
            <w:hideMark/>
          </w:tcPr>
          <w:p w14:paraId="59D7563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3514236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784BF8AD"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6CCBFCB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Cambodia</w:t>
            </w:r>
          </w:p>
        </w:tc>
        <w:tc>
          <w:tcPr>
            <w:tcW w:w="653" w:type="pct"/>
            <w:tcBorders>
              <w:top w:val="single" w:sz="4" w:space="0" w:color="1B556B"/>
              <w:bottom w:val="single" w:sz="4" w:space="0" w:color="1B556B"/>
            </w:tcBorders>
            <w:shd w:val="clear" w:color="000000" w:fill="FFFFFF"/>
            <w:hideMark/>
          </w:tcPr>
          <w:p w14:paraId="68ABA51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Cambodia Climate Smart Commercial Horticulture</w:t>
            </w:r>
          </w:p>
        </w:tc>
        <w:tc>
          <w:tcPr>
            <w:tcW w:w="503" w:type="pct"/>
            <w:tcBorders>
              <w:top w:val="single" w:sz="4" w:space="0" w:color="1B556B"/>
              <w:bottom w:val="single" w:sz="4" w:space="0" w:color="1B556B"/>
            </w:tcBorders>
            <w:shd w:val="clear" w:color="000000" w:fill="FFFFFF"/>
            <w:noWrap/>
            <w:hideMark/>
          </w:tcPr>
          <w:p w14:paraId="1BE959AB"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275,388</w:t>
            </w:r>
          </w:p>
        </w:tc>
        <w:tc>
          <w:tcPr>
            <w:tcW w:w="414" w:type="pct"/>
            <w:tcBorders>
              <w:top w:val="single" w:sz="4" w:space="0" w:color="1B556B"/>
              <w:bottom w:val="single" w:sz="4" w:space="0" w:color="1B556B"/>
            </w:tcBorders>
            <w:shd w:val="clear" w:color="000000" w:fill="FFFFFF"/>
            <w:hideMark/>
          </w:tcPr>
          <w:p w14:paraId="6221C7B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434,507</w:t>
            </w:r>
          </w:p>
        </w:tc>
        <w:tc>
          <w:tcPr>
            <w:tcW w:w="323" w:type="pct"/>
            <w:tcBorders>
              <w:top w:val="single" w:sz="4" w:space="0" w:color="1B556B"/>
              <w:bottom w:val="single" w:sz="4" w:space="0" w:color="1B556B"/>
            </w:tcBorders>
            <w:shd w:val="clear" w:color="000000" w:fill="FFFFFF"/>
            <w:noWrap/>
            <w:hideMark/>
          </w:tcPr>
          <w:p w14:paraId="44F6B19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47078AA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075E12B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3F01A4B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3D19DCD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24394F4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000000" w:fill="FFFFFF"/>
            <w:hideMark/>
          </w:tcPr>
          <w:p w14:paraId="45A38C0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2E406AB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0C37CFF1"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158FF62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Nauru</w:t>
            </w:r>
          </w:p>
        </w:tc>
        <w:tc>
          <w:tcPr>
            <w:tcW w:w="653" w:type="pct"/>
            <w:tcBorders>
              <w:top w:val="single" w:sz="4" w:space="0" w:color="1B556B"/>
              <w:bottom w:val="single" w:sz="4" w:space="0" w:color="1B556B"/>
            </w:tcBorders>
            <w:shd w:val="clear" w:color="000000" w:fill="FFFFFF"/>
            <w:hideMark/>
          </w:tcPr>
          <w:p w14:paraId="4EE28F21"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36" w:name="_Hlk176255250"/>
            <w:r w:rsidRPr="00865EEC">
              <w:rPr>
                <w:rFonts w:asciiTheme="minorHAnsi" w:hAnsiTheme="minorHAnsi" w:cstheme="minorHAnsi"/>
                <w:color w:val="000000"/>
                <w:sz w:val="16"/>
                <w:szCs w:val="16"/>
              </w:rPr>
              <w:t>Energy Efficiency</w:t>
            </w:r>
            <w:bookmarkEnd w:id="936"/>
          </w:p>
        </w:tc>
        <w:tc>
          <w:tcPr>
            <w:tcW w:w="503" w:type="pct"/>
            <w:tcBorders>
              <w:top w:val="single" w:sz="4" w:space="0" w:color="1B556B"/>
              <w:bottom w:val="single" w:sz="4" w:space="0" w:color="1B556B"/>
            </w:tcBorders>
            <w:shd w:val="clear" w:color="000000" w:fill="FFFFFF"/>
            <w:noWrap/>
            <w:hideMark/>
          </w:tcPr>
          <w:p w14:paraId="6499CCD6"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358,633</w:t>
            </w:r>
          </w:p>
        </w:tc>
        <w:tc>
          <w:tcPr>
            <w:tcW w:w="414" w:type="pct"/>
            <w:tcBorders>
              <w:top w:val="single" w:sz="4" w:space="0" w:color="1B556B"/>
              <w:bottom w:val="single" w:sz="4" w:space="0" w:color="1B556B"/>
            </w:tcBorders>
            <w:shd w:val="clear" w:color="000000" w:fill="FFFFFF"/>
            <w:hideMark/>
          </w:tcPr>
          <w:p w14:paraId="7B542480"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565,852</w:t>
            </w:r>
          </w:p>
        </w:tc>
        <w:tc>
          <w:tcPr>
            <w:tcW w:w="323" w:type="pct"/>
            <w:tcBorders>
              <w:top w:val="single" w:sz="4" w:space="0" w:color="1B556B"/>
              <w:bottom w:val="single" w:sz="4" w:space="0" w:color="1B556B"/>
            </w:tcBorders>
            <w:shd w:val="clear" w:color="000000" w:fill="FFFFFF"/>
            <w:noWrap/>
            <w:hideMark/>
          </w:tcPr>
          <w:p w14:paraId="66093EE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0BBE2BA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199DB7C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52A02EC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662F47D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3EE3916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Energy</w:t>
            </w:r>
          </w:p>
        </w:tc>
        <w:tc>
          <w:tcPr>
            <w:tcW w:w="281" w:type="pct"/>
            <w:tcBorders>
              <w:top w:val="single" w:sz="4" w:space="0" w:color="1B556B"/>
              <w:bottom w:val="single" w:sz="4" w:space="0" w:color="1B556B"/>
            </w:tcBorders>
            <w:shd w:val="clear" w:color="000000" w:fill="FFFFFF"/>
            <w:hideMark/>
          </w:tcPr>
          <w:p w14:paraId="3B4E83F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4E28BF1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3C30566F"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4310A5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Kiribati</w:t>
            </w:r>
          </w:p>
        </w:tc>
        <w:tc>
          <w:tcPr>
            <w:tcW w:w="653" w:type="pct"/>
            <w:tcBorders>
              <w:top w:val="single" w:sz="4" w:space="0" w:color="1B556B"/>
              <w:bottom w:val="single" w:sz="4" w:space="0" w:color="1B556B"/>
            </w:tcBorders>
            <w:shd w:val="clear" w:color="000000" w:fill="FFFFFF"/>
            <w:hideMark/>
          </w:tcPr>
          <w:p w14:paraId="7865C75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Energy and Public Utility Reform</w:t>
            </w:r>
          </w:p>
        </w:tc>
        <w:tc>
          <w:tcPr>
            <w:tcW w:w="503" w:type="pct"/>
            <w:tcBorders>
              <w:top w:val="single" w:sz="4" w:space="0" w:color="1B556B"/>
              <w:bottom w:val="single" w:sz="4" w:space="0" w:color="1B556B"/>
            </w:tcBorders>
            <w:shd w:val="clear" w:color="000000" w:fill="FFFFFF"/>
            <w:noWrap/>
            <w:hideMark/>
          </w:tcPr>
          <w:p w14:paraId="739DA02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699,146</w:t>
            </w:r>
          </w:p>
        </w:tc>
        <w:tc>
          <w:tcPr>
            <w:tcW w:w="414" w:type="pct"/>
            <w:tcBorders>
              <w:top w:val="single" w:sz="4" w:space="0" w:color="1B556B"/>
              <w:bottom w:val="single" w:sz="4" w:space="0" w:color="1B556B"/>
            </w:tcBorders>
            <w:shd w:val="clear" w:color="000000" w:fill="FFFFFF"/>
            <w:hideMark/>
          </w:tcPr>
          <w:p w14:paraId="011718D9"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1,103,112</w:t>
            </w:r>
          </w:p>
        </w:tc>
        <w:tc>
          <w:tcPr>
            <w:tcW w:w="323" w:type="pct"/>
            <w:tcBorders>
              <w:top w:val="single" w:sz="4" w:space="0" w:color="1B556B"/>
              <w:bottom w:val="single" w:sz="4" w:space="0" w:color="1B556B"/>
            </w:tcBorders>
            <w:shd w:val="clear" w:color="000000" w:fill="FFFFFF"/>
            <w:noWrap/>
            <w:hideMark/>
          </w:tcPr>
          <w:p w14:paraId="6E20F45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014B116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37E6EF8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31803C2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1F9174C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Mitigation</w:t>
            </w:r>
          </w:p>
        </w:tc>
        <w:tc>
          <w:tcPr>
            <w:tcW w:w="495" w:type="pct"/>
            <w:tcBorders>
              <w:top w:val="single" w:sz="4" w:space="0" w:color="1B556B"/>
              <w:bottom w:val="single" w:sz="4" w:space="0" w:color="1B556B"/>
            </w:tcBorders>
            <w:shd w:val="clear" w:color="000000" w:fill="FFFFFF"/>
            <w:hideMark/>
          </w:tcPr>
          <w:p w14:paraId="2A389A8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Energy</w:t>
            </w:r>
          </w:p>
        </w:tc>
        <w:tc>
          <w:tcPr>
            <w:tcW w:w="281" w:type="pct"/>
            <w:tcBorders>
              <w:top w:val="single" w:sz="4" w:space="0" w:color="1B556B"/>
              <w:bottom w:val="single" w:sz="4" w:space="0" w:color="1B556B"/>
            </w:tcBorders>
            <w:shd w:val="clear" w:color="000000" w:fill="FFFFFF"/>
            <w:hideMark/>
          </w:tcPr>
          <w:p w14:paraId="588D106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36BAED5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5EB2A191"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2570B7C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7046B31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 NDC Hub</w:t>
            </w:r>
          </w:p>
        </w:tc>
        <w:tc>
          <w:tcPr>
            <w:tcW w:w="503" w:type="pct"/>
            <w:tcBorders>
              <w:top w:val="single" w:sz="4" w:space="0" w:color="1B556B"/>
              <w:bottom w:val="single" w:sz="4" w:space="0" w:color="1B556B"/>
            </w:tcBorders>
            <w:shd w:val="clear" w:color="000000" w:fill="FFFFFF"/>
            <w:noWrap/>
            <w:hideMark/>
          </w:tcPr>
          <w:p w14:paraId="63507D59"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570,415</w:t>
            </w:r>
          </w:p>
        </w:tc>
        <w:tc>
          <w:tcPr>
            <w:tcW w:w="414" w:type="pct"/>
            <w:tcBorders>
              <w:top w:val="single" w:sz="4" w:space="0" w:color="1B556B"/>
              <w:bottom w:val="single" w:sz="4" w:space="0" w:color="1B556B"/>
            </w:tcBorders>
            <w:shd w:val="clear" w:color="000000" w:fill="FFFFFF"/>
            <w:hideMark/>
          </w:tcPr>
          <w:p w14:paraId="21E5A802"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900,000</w:t>
            </w:r>
          </w:p>
        </w:tc>
        <w:tc>
          <w:tcPr>
            <w:tcW w:w="323" w:type="pct"/>
            <w:tcBorders>
              <w:top w:val="single" w:sz="4" w:space="0" w:color="1B556B"/>
              <w:bottom w:val="single" w:sz="4" w:space="0" w:color="1B556B"/>
            </w:tcBorders>
            <w:shd w:val="clear" w:color="000000" w:fill="FFFFFF"/>
            <w:noWrap/>
            <w:hideMark/>
          </w:tcPr>
          <w:p w14:paraId="026B250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637932C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3B9DA19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294DB9A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25D94A8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1C0C589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20AE3F0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57B53B5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6994BC0C"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05ED288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Fiji</w:t>
            </w:r>
          </w:p>
        </w:tc>
        <w:tc>
          <w:tcPr>
            <w:tcW w:w="653" w:type="pct"/>
            <w:tcBorders>
              <w:top w:val="single" w:sz="4" w:space="0" w:color="1B556B"/>
              <w:bottom w:val="single" w:sz="4" w:space="0" w:color="1B556B"/>
            </w:tcBorders>
            <w:shd w:val="clear" w:color="000000" w:fill="FFFFFF"/>
            <w:hideMark/>
          </w:tcPr>
          <w:p w14:paraId="76383EE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Revitalising Informal Settlements and their Environment - Upgrades for Informal Settlements in Fiji</w:t>
            </w:r>
          </w:p>
        </w:tc>
        <w:tc>
          <w:tcPr>
            <w:tcW w:w="503" w:type="pct"/>
            <w:tcBorders>
              <w:top w:val="single" w:sz="4" w:space="0" w:color="1B556B"/>
              <w:bottom w:val="single" w:sz="4" w:space="0" w:color="1B556B"/>
            </w:tcBorders>
            <w:shd w:val="clear" w:color="000000" w:fill="FFFFFF"/>
            <w:noWrap/>
            <w:hideMark/>
          </w:tcPr>
          <w:p w14:paraId="66D2BDF2"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316,897</w:t>
            </w:r>
          </w:p>
        </w:tc>
        <w:tc>
          <w:tcPr>
            <w:tcW w:w="414" w:type="pct"/>
            <w:tcBorders>
              <w:top w:val="single" w:sz="4" w:space="0" w:color="1B556B"/>
              <w:bottom w:val="single" w:sz="4" w:space="0" w:color="1B556B"/>
            </w:tcBorders>
            <w:shd w:val="clear" w:color="000000" w:fill="FFFFFF"/>
            <w:hideMark/>
          </w:tcPr>
          <w:p w14:paraId="3DCDE16E"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500,000</w:t>
            </w:r>
          </w:p>
        </w:tc>
        <w:tc>
          <w:tcPr>
            <w:tcW w:w="323" w:type="pct"/>
            <w:tcBorders>
              <w:top w:val="single" w:sz="4" w:space="0" w:color="1B556B"/>
              <w:bottom w:val="single" w:sz="4" w:space="0" w:color="1B556B"/>
            </w:tcBorders>
            <w:shd w:val="clear" w:color="000000" w:fill="FFFFFF"/>
            <w:noWrap/>
            <w:hideMark/>
          </w:tcPr>
          <w:p w14:paraId="1E4DFDB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310C587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41AB6D8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896B8A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7935BC5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1D88781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Water and Sanitation</w:t>
            </w:r>
          </w:p>
        </w:tc>
        <w:tc>
          <w:tcPr>
            <w:tcW w:w="281" w:type="pct"/>
            <w:tcBorders>
              <w:top w:val="single" w:sz="4" w:space="0" w:color="1B556B"/>
              <w:bottom w:val="single" w:sz="4" w:space="0" w:color="1B556B"/>
            </w:tcBorders>
            <w:shd w:val="clear" w:color="000000" w:fill="FFFFFF"/>
            <w:hideMark/>
          </w:tcPr>
          <w:p w14:paraId="177382F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45730BB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68D6D441"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09FF1964"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37" w:name="_Hlk176255357"/>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1A7DBC9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Response to Coconut Rhinoceros Beetle CRB</w:t>
            </w:r>
          </w:p>
        </w:tc>
        <w:tc>
          <w:tcPr>
            <w:tcW w:w="503" w:type="pct"/>
            <w:tcBorders>
              <w:top w:val="single" w:sz="4" w:space="0" w:color="1B556B"/>
              <w:bottom w:val="single" w:sz="4" w:space="0" w:color="1B556B"/>
            </w:tcBorders>
            <w:shd w:val="clear" w:color="000000" w:fill="FFFFFF"/>
            <w:noWrap/>
            <w:hideMark/>
          </w:tcPr>
          <w:p w14:paraId="64B7B2BB"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657,502</w:t>
            </w:r>
          </w:p>
        </w:tc>
        <w:tc>
          <w:tcPr>
            <w:tcW w:w="414" w:type="pct"/>
            <w:tcBorders>
              <w:top w:val="single" w:sz="4" w:space="0" w:color="1B556B"/>
              <w:bottom w:val="single" w:sz="4" w:space="0" w:color="1B556B"/>
            </w:tcBorders>
            <w:shd w:val="clear" w:color="000000" w:fill="FFFFFF"/>
            <w:hideMark/>
          </w:tcPr>
          <w:p w14:paraId="7650A8A4"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1,037,407</w:t>
            </w:r>
          </w:p>
        </w:tc>
        <w:tc>
          <w:tcPr>
            <w:tcW w:w="323" w:type="pct"/>
            <w:tcBorders>
              <w:top w:val="single" w:sz="4" w:space="0" w:color="1B556B"/>
              <w:bottom w:val="single" w:sz="4" w:space="0" w:color="1B556B"/>
            </w:tcBorders>
            <w:shd w:val="clear" w:color="000000" w:fill="FFFFFF"/>
            <w:noWrap/>
            <w:hideMark/>
          </w:tcPr>
          <w:p w14:paraId="0F628D5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52D4527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366B6FC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52AAE32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00D9372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28264AF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000000" w:fill="FFFFFF"/>
            <w:hideMark/>
          </w:tcPr>
          <w:p w14:paraId="601666C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5671DA7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bookmarkEnd w:id="937"/>
      <w:tr w:rsidR="00F57429" w:rsidRPr="00865EEC" w14:paraId="4733FAE7"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1499B75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Solomon Islands</w:t>
            </w:r>
          </w:p>
        </w:tc>
        <w:tc>
          <w:tcPr>
            <w:tcW w:w="653" w:type="pct"/>
            <w:tcBorders>
              <w:top w:val="single" w:sz="4" w:space="0" w:color="1B556B"/>
              <w:bottom w:val="single" w:sz="4" w:space="0" w:color="1B556B"/>
            </w:tcBorders>
            <w:shd w:val="clear" w:color="000000" w:fill="FFFFFF"/>
            <w:hideMark/>
          </w:tcPr>
          <w:p w14:paraId="681AD2B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Solomon Islands Fisheries New Phase 2020-2024</w:t>
            </w:r>
          </w:p>
        </w:tc>
        <w:tc>
          <w:tcPr>
            <w:tcW w:w="503" w:type="pct"/>
            <w:tcBorders>
              <w:top w:val="single" w:sz="4" w:space="0" w:color="1B556B"/>
              <w:bottom w:val="single" w:sz="4" w:space="0" w:color="1B556B"/>
            </w:tcBorders>
            <w:shd w:val="clear" w:color="000000" w:fill="FFFFFF"/>
            <w:noWrap/>
            <w:hideMark/>
          </w:tcPr>
          <w:p w14:paraId="68121E4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382,344</w:t>
            </w:r>
          </w:p>
        </w:tc>
        <w:tc>
          <w:tcPr>
            <w:tcW w:w="414" w:type="pct"/>
            <w:tcBorders>
              <w:top w:val="single" w:sz="4" w:space="0" w:color="1B556B"/>
              <w:bottom w:val="single" w:sz="4" w:space="0" w:color="1B556B"/>
            </w:tcBorders>
            <w:shd w:val="clear" w:color="000000" w:fill="FFFFFF"/>
            <w:hideMark/>
          </w:tcPr>
          <w:p w14:paraId="1A20704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603,262</w:t>
            </w:r>
          </w:p>
        </w:tc>
        <w:tc>
          <w:tcPr>
            <w:tcW w:w="323" w:type="pct"/>
            <w:tcBorders>
              <w:top w:val="single" w:sz="4" w:space="0" w:color="1B556B"/>
              <w:bottom w:val="single" w:sz="4" w:space="0" w:color="1B556B"/>
            </w:tcBorders>
            <w:shd w:val="clear" w:color="000000" w:fill="FFFFFF"/>
            <w:noWrap/>
            <w:hideMark/>
          </w:tcPr>
          <w:p w14:paraId="6980D9A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0F2B489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0A8CB00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524A015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7C21552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25CD3D2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Fishing</w:t>
            </w:r>
          </w:p>
        </w:tc>
        <w:tc>
          <w:tcPr>
            <w:tcW w:w="281" w:type="pct"/>
            <w:tcBorders>
              <w:top w:val="single" w:sz="4" w:space="0" w:color="1B556B"/>
              <w:bottom w:val="single" w:sz="4" w:space="0" w:color="1B556B"/>
            </w:tcBorders>
            <w:shd w:val="clear" w:color="000000" w:fill="FFFFFF"/>
            <w:hideMark/>
          </w:tcPr>
          <w:p w14:paraId="4DB07FD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072590E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7F4F5E9D"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302D50B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557EBD1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Infrastructure Technical Assistance Fund</w:t>
            </w:r>
          </w:p>
        </w:tc>
        <w:tc>
          <w:tcPr>
            <w:tcW w:w="503" w:type="pct"/>
            <w:tcBorders>
              <w:top w:val="single" w:sz="4" w:space="0" w:color="1B556B"/>
              <w:bottom w:val="single" w:sz="4" w:space="0" w:color="1B556B"/>
            </w:tcBorders>
            <w:shd w:val="clear" w:color="000000" w:fill="FFFFFF"/>
            <w:noWrap/>
            <w:hideMark/>
          </w:tcPr>
          <w:p w14:paraId="7A2A2806"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110,115</w:t>
            </w:r>
          </w:p>
        </w:tc>
        <w:tc>
          <w:tcPr>
            <w:tcW w:w="414" w:type="pct"/>
            <w:tcBorders>
              <w:top w:val="single" w:sz="4" w:space="0" w:color="1B556B"/>
              <w:bottom w:val="single" w:sz="4" w:space="0" w:color="1B556B"/>
            </w:tcBorders>
            <w:shd w:val="clear" w:color="000000" w:fill="FFFFFF"/>
            <w:hideMark/>
          </w:tcPr>
          <w:p w14:paraId="3E4E5F3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173,739</w:t>
            </w:r>
          </w:p>
        </w:tc>
        <w:tc>
          <w:tcPr>
            <w:tcW w:w="323" w:type="pct"/>
            <w:tcBorders>
              <w:top w:val="single" w:sz="4" w:space="0" w:color="1B556B"/>
              <w:bottom w:val="single" w:sz="4" w:space="0" w:color="1B556B"/>
            </w:tcBorders>
            <w:shd w:val="clear" w:color="000000" w:fill="FFFFFF"/>
            <w:noWrap/>
            <w:hideMark/>
          </w:tcPr>
          <w:p w14:paraId="5FA8D17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6A78E3C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3AC7147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02683A6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739429F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161C138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Construction</w:t>
            </w:r>
          </w:p>
        </w:tc>
        <w:tc>
          <w:tcPr>
            <w:tcW w:w="281" w:type="pct"/>
            <w:tcBorders>
              <w:top w:val="single" w:sz="4" w:space="0" w:color="1B556B"/>
              <w:bottom w:val="single" w:sz="4" w:space="0" w:color="1B556B"/>
            </w:tcBorders>
            <w:shd w:val="clear" w:color="000000" w:fill="FFFFFF"/>
            <w:hideMark/>
          </w:tcPr>
          <w:p w14:paraId="4E25DE3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1DCA91F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7A3ADD95"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22EDA6B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1221BA16"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38" w:name="_Hlk176255382"/>
            <w:r w:rsidRPr="00865EEC">
              <w:rPr>
                <w:rFonts w:asciiTheme="minorHAnsi" w:hAnsiTheme="minorHAnsi" w:cstheme="minorHAnsi"/>
                <w:color w:val="000000"/>
                <w:sz w:val="16"/>
                <w:szCs w:val="16"/>
              </w:rPr>
              <w:t>Design and Delivery</w:t>
            </w:r>
            <w:bookmarkEnd w:id="938"/>
          </w:p>
        </w:tc>
        <w:tc>
          <w:tcPr>
            <w:tcW w:w="503" w:type="pct"/>
            <w:tcBorders>
              <w:top w:val="single" w:sz="4" w:space="0" w:color="1B556B"/>
              <w:bottom w:val="single" w:sz="4" w:space="0" w:color="1B556B"/>
            </w:tcBorders>
            <w:shd w:val="clear" w:color="000000" w:fill="FFFFFF"/>
            <w:noWrap/>
            <w:hideMark/>
          </w:tcPr>
          <w:p w14:paraId="32EC9E48"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59,074</w:t>
            </w:r>
          </w:p>
        </w:tc>
        <w:tc>
          <w:tcPr>
            <w:tcW w:w="414" w:type="pct"/>
            <w:tcBorders>
              <w:top w:val="single" w:sz="4" w:space="0" w:color="1B556B"/>
              <w:bottom w:val="single" w:sz="4" w:space="0" w:color="1B556B"/>
            </w:tcBorders>
            <w:shd w:val="clear" w:color="000000" w:fill="FFFFFF"/>
            <w:hideMark/>
          </w:tcPr>
          <w:p w14:paraId="3A81042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93,207</w:t>
            </w:r>
          </w:p>
        </w:tc>
        <w:tc>
          <w:tcPr>
            <w:tcW w:w="323" w:type="pct"/>
            <w:tcBorders>
              <w:top w:val="single" w:sz="4" w:space="0" w:color="1B556B"/>
              <w:bottom w:val="single" w:sz="4" w:space="0" w:color="1B556B"/>
            </w:tcBorders>
            <w:shd w:val="clear" w:color="000000" w:fill="FFFFFF"/>
            <w:noWrap/>
            <w:hideMark/>
          </w:tcPr>
          <w:p w14:paraId="0289176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6053659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7A6E35C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7111891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48C58FA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5E25A29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64DC0E7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6922E1B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6052EF33"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3F5399B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053D9DD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Voice</w:t>
            </w:r>
          </w:p>
        </w:tc>
        <w:tc>
          <w:tcPr>
            <w:tcW w:w="503" w:type="pct"/>
            <w:tcBorders>
              <w:top w:val="single" w:sz="4" w:space="0" w:color="1B556B"/>
              <w:bottom w:val="single" w:sz="4" w:space="0" w:color="1B556B"/>
            </w:tcBorders>
            <w:shd w:val="clear" w:color="000000" w:fill="FFFFFF"/>
            <w:noWrap/>
            <w:hideMark/>
          </w:tcPr>
          <w:p w14:paraId="27DCDAB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1,158,429</w:t>
            </w:r>
          </w:p>
        </w:tc>
        <w:tc>
          <w:tcPr>
            <w:tcW w:w="414" w:type="pct"/>
            <w:tcBorders>
              <w:top w:val="single" w:sz="4" w:space="0" w:color="1B556B"/>
              <w:bottom w:val="single" w:sz="4" w:space="0" w:color="1B556B"/>
            </w:tcBorders>
            <w:shd w:val="clear" w:color="000000" w:fill="FFFFFF"/>
            <w:hideMark/>
          </w:tcPr>
          <w:p w14:paraId="5EC0166B"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1,827,770</w:t>
            </w:r>
          </w:p>
        </w:tc>
        <w:tc>
          <w:tcPr>
            <w:tcW w:w="323" w:type="pct"/>
            <w:tcBorders>
              <w:top w:val="single" w:sz="4" w:space="0" w:color="1B556B"/>
              <w:bottom w:val="single" w:sz="4" w:space="0" w:color="1B556B"/>
            </w:tcBorders>
            <w:shd w:val="clear" w:color="000000" w:fill="FFFFFF"/>
            <w:noWrap/>
            <w:hideMark/>
          </w:tcPr>
          <w:p w14:paraId="0A28E29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5D89548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787DB10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08FDA43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0592059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4DED0E0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1A4007C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2576F99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6149DDCF"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68AF585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29DCA8C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Climate Mobility</w:t>
            </w:r>
          </w:p>
        </w:tc>
        <w:tc>
          <w:tcPr>
            <w:tcW w:w="503" w:type="pct"/>
            <w:tcBorders>
              <w:top w:val="single" w:sz="4" w:space="0" w:color="1B556B"/>
              <w:bottom w:val="single" w:sz="4" w:space="0" w:color="1B556B"/>
            </w:tcBorders>
            <w:shd w:val="clear" w:color="000000" w:fill="FFFFFF"/>
            <w:noWrap/>
            <w:hideMark/>
          </w:tcPr>
          <w:p w14:paraId="11444D8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669,179</w:t>
            </w:r>
          </w:p>
        </w:tc>
        <w:tc>
          <w:tcPr>
            <w:tcW w:w="414" w:type="pct"/>
            <w:tcBorders>
              <w:top w:val="single" w:sz="4" w:space="0" w:color="1B556B"/>
              <w:bottom w:val="single" w:sz="4" w:space="0" w:color="1B556B"/>
            </w:tcBorders>
            <w:shd w:val="clear" w:color="000000" w:fill="FFFFFF"/>
            <w:hideMark/>
          </w:tcPr>
          <w:p w14:paraId="045E654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1,055,830</w:t>
            </w:r>
          </w:p>
        </w:tc>
        <w:tc>
          <w:tcPr>
            <w:tcW w:w="323" w:type="pct"/>
            <w:tcBorders>
              <w:top w:val="single" w:sz="4" w:space="0" w:color="1B556B"/>
              <w:bottom w:val="single" w:sz="4" w:space="0" w:color="1B556B"/>
            </w:tcBorders>
            <w:shd w:val="clear" w:color="000000" w:fill="FFFFFF"/>
            <w:noWrap/>
            <w:hideMark/>
          </w:tcPr>
          <w:p w14:paraId="3460CBC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00759F5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3B6E28C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0C1FADF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3661C73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6023F40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5E54833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6B3B697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1B2BCA5A"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69CF377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Palau</w:t>
            </w:r>
          </w:p>
        </w:tc>
        <w:tc>
          <w:tcPr>
            <w:tcW w:w="653" w:type="pct"/>
            <w:tcBorders>
              <w:top w:val="single" w:sz="4" w:space="0" w:color="1B556B"/>
              <w:bottom w:val="single" w:sz="4" w:space="0" w:color="1B556B"/>
            </w:tcBorders>
            <w:shd w:val="clear" w:color="000000" w:fill="FFFFFF"/>
            <w:hideMark/>
          </w:tcPr>
          <w:p w14:paraId="4D8FFEA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Support to Our Ocean 2020 in Palau</w:t>
            </w:r>
          </w:p>
        </w:tc>
        <w:tc>
          <w:tcPr>
            <w:tcW w:w="503" w:type="pct"/>
            <w:tcBorders>
              <w:top w:val="single" w:sz="4" w:space="0" w:color="1B556B"/>
              <w:bottom w:val="single" w:sz="4" w:space="0" w:color="1B556B"/>
            </w:tcBorders>
            <w:shd w:val="clear" w:color="000000" w:fill="FFFFFF"/>
            <w:noWrap/>
            <w:hideMark/>
          </w:tcPr>
          <w:p w14:paraId="28299434"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140,075</w:t>
            </w:r>
          </w:p>
        </w:tc>
        <w:tc>
          <w:tcPr>
            <w:tcW w:w="414" w:type="pct"/>
            <w:tcBorders>
              <w:top w:val="single" w:sz="4" w:space="0" w:color="1B556B"/>
              <w:bottom w:val="single" w:sz="4" w:space="0" w:color="1B556B"/>
            </w:tcBorders>
            <w:shd w:val="clear" w:color="000000" w:fill="FFFFFF"/>
            <w:hideMark/>
          </w:tcPr>
          <w:p w14:paraId="5E275D90"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221,011</w:t>
            </w:r>
          </w:p>
        </w:tc>
        <w:tc>
          <w:tcPr>
            <w:tcW w:w="323" w:type="pct"/>
            <w:tcBorders>
              <w:top w:val="single" w:sz="4" w:space="0" w:color="1B556B"/>
              <w:bottom w:val="single" w:sz="4" w:space="0" w:color="1B556B"/>
            </w:tcBorders>
            <w:shd w:val="clear" w:color="000000" w:fill="FFFFFF"/>
            <w:noWrap/>
            <w:hideMark/>
          </w:tcPr>
          <w:p w14:paraId="273D52E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76A134F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217AB10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7AE6B27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7F592CE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1B1DC58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602FE43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2853352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07045B17"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79FEB1B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Marshall Islands</w:t>
            </w:r>
          </w:p>
        </w:tc>
        <w:tc>
          <w:tcPr>
            <w:tcW w:w="653" w:type="pct"/>
            <w:tcBorders>
              <w:top w:val="single" w:sz="4" w:space="0" w:color="1B556B"/>
              <w:bottom w:val="single" w:sz="4" w:space="0" w:color="1B556B"/>
            </w:tcBorders>
            <w:shd w:val="clear" w:color="000000" w:fill="FFFFFF"/>
            <w:hideMark/>
          </w:tcPr>
          <w:p w14:paraId="3AF49D36"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39" w:name="_Hlk176268023"/>
            <w:r w:rsidRPr="00865EEC">
              <w:rPr>
                <w:rFonts w:asciiTheme="minorHAnsi" w:hAnsiTheme="minorHAnsi" w:cstheme="minorHAnsi"/>
                <w:color w:val="000000"/>
                <w:sz w:val="16"/>
                <w:szCs w:val="16"/>
              </w:rPr>
              <w:t>RMI Electricity Roadmap Programme Manager</w:t>
            </w:r>
            <w:bookmarkEnd w:id="939"/>
          </w:p>
        </w:tc>
        <w:tc>
          <w:tcPr>
            <w:tcW w:w="503" w:type="pct"/>
            <w:tcBorders>
              <w:top w:val="single" w:sz="4" w:space="0" w:color="1B556B"/>
              <w:bottom w:val="single" w:sz="4" w:space="0" w:color="1B556B"/>
            </w:tcBorders>
            <w:shd w:val="clear" w:color="000000" w:fill="FFFFFF"/>
            <w:noWrap/>
            <w:hideMark/>
          </w:tcPr>
          <w:p w14:paraId="553FF17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12,492</w:t>
            </w:r>
          </w:p>
        </w:tc>
        <w:tc>
          <w:tcPr>
            <w:tcW w:w="414" w:type="pct"/>
            <w:tcBorders>
              <w:top w:val="single" w:sz="4" w:space="0" w:color="1B556B"/>
              <w:bottom w:val="single" w:sz="4" w:space="0" w:color="1B556B"/>
            </w:tcBorders>
            <w:shd w:val="clear" w:color="000000" w:fill="FFFFFF"/>
            <w:hideMark/>
          </w:tcPr>
          <w:p w14:paraId="111F3BB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19,710</w:t>
            </w:r>
          </w:p>
        </w:tc>
        <w:tc>
          <w:tcPr>
            <w:tcW w:w="323" w:type="pct"/>
            <w:tcBorders>
              <w:top w:val="single" w:sz="4" w:space="0" w:color="1B556B"/>
              <w:bottom w:val="single" w:sz="4" w:space="0" w:color="1B556B"/>
            </w:tcBorders>
            <w:shd w:val="clear" w:color="000000" w:fill="FFFFFF"/>
            <w:noWrap/>
            <w:hideMark/>
          </w:tcPr>
          <w:p w14:paraId="7641F0D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5AC1EF8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5D0FE6F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461B628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23A07B2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5EA0C53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Energy</w:t>
            </w:r>
          </w:p>
        </w:tc>
        <w:tc>
          <w:tcPr>
            <w:tcW w:w="281" w:type="pct"/>
            <w:tcBorders>
              <w:top w:val="single" w:sz="4" w:space="0" w:color="1B556B"/>
              <w:bottom w:val="single" w:sz="4" w:space="0" w:color="1B556B"/>
            </w:tcBorders>
            <w:shd w:val="clear" w:color="000000" w:fill="FFFFFF"/>
            <w:hideMark/>
          </w:tcPr>
          <w:p w14:paraId="58BB484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23D03EC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2E512251"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4D27473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Vanuatu</w:t>
            </w:r>
          </w:p>
        </w:tc>
        <w:tc>
          <w:tcPr>
            <w:tcW w:w="653" w:type="pct"/>
            <w:tcBorders>
              <w:top w:val="single" w:sz="4" w:space="0" w:color="1B556B"/>
              <w:bottom w:val="single" w:sz="4" w:space="0" w:color="1B556B"/>
            </w:tcBorders>
            <w:shd w:val="clear" w:color="000000" w:fill="FFFFFF"/>
            <w:hideMark/>
          </w:tcPr>
          <w:p w14:paraId="76E2E15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Vanuatu Water Sector Partnership - Phase II</w:t>
            </w:r>
          </w:p>
        </w:tc>
        <w:tc>
          <w:tcPr>
            <w:tcW w:w="503" w:type="pct"/>
            <w:tcBorders>
              <w:top w:val="single" w:sz="4" w:space="0" w:color="1B556B"/>
              <w:bottom w:val="single" w:sz="4" w:space="0" w:color="1B556B"/>
            </w:tcBorders>
            <w:shd w:val="clear" w:color="000000" w:fill="FFFFFF"/>
            <w:noWrap/>
            <w:hideMark/>
          </w:tcPr>
          <w:p w14:paraId="78ECA052"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19,367</w:t>
            </w:r>
          </w:p>
        </w:tc>
        <w:tc>
          <w:tcPr>
            <w:tcW w:w="414" w:type="pct"/>
            <w:tcBorders>
              <w:top w:val="single" w:sz="4" w:space="0" w:color="1B556B"/>
              <w:bottom w:val="single" w:sz="4" w:space="0" w:color="1B556B"/>
            </w:tcBorders>
            <w:shd w:val="clear" w:color="000000" w:fill="FFFFFF"/>
            <w:hideMark/>
          </w:tcPr>
          <w:p w14:paraId="28CF6D9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30,558</w:t>
            </w:r>
          </w:p>
        </w:tc>
        <w:tc>
          <w:tcPr>
            <w:tcW w:w="323" w:type="pct"/>
            <w:tcBorders>
              <w:top w:val="single" w:sz="4" w:space="0" w:color="1B556B"/>
              <w:bottom w:val="single" w:sz="4" w:space="0" w:color="1B556B"/>
            </w:tcBorders>
            <w:shd w:val="clear" w:color="000000" w:fill="FFFFFF"/>
            <w:noWrap/>
            <w:hideMark/>
          </w:tcPr>
          <w:p w14:paraId="38AC00D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39A805E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7DF8312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3583BAF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19A9000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03730C6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Water and Sanitation</w:t>
            </w:r>
          </w:p>
        </w:tc>
        <w:tc>
          <w:tcPr>
            <w:tcW w:w="281" w:type="pct"/>
            <w:tcBorders>
              <w:top w:val="single" w:sz="4" w:space="0" w:color="1B556B"/>
              <w:bottom w:val="single" w:sz="4" w:space="0" w:color="1B556B"/>
            </w:tcBorders>
            <w:shd w:val="clear" w:color="000000" w:fill="FFFFFF"/>
            <w:hideMark/>
          </w:tcPr>
          <w:p w14:paraId="6FAE6DB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11B3806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554CACD2"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799E5AC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4B0DB74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Invasive Species Management</w:t>
            </w:r>
          </w:p>
        </w:tc>
        <w:tc>
          <w:tcPr>
            <w:tcW w:w="503" w:type="pct"/>
            <w:tcBorders>
              <w:top w:val="single" w:sz="4" w:space="0" w:color="1B556B"/>
              <w:bottom w:val="single" w:sz="4" w:space="0" w:color="1B556B"/>
            </w:tcBorders>
            <w:shd w:val="clear" w:color="000000" w:fill="FFFFFF"/>
            <w:noWrap/>
            <w:hideMark/>
          </w:tcPr>
          <w:p w14:paraId="683DB63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2,300,454</w:t>
            </w:r>
          </w:p>
        </w:tc>
        <w:tc>
          <w:tcPr>
            <w:tcW w:w="414" w:type="pct"/>
            <w:tcBorders>
              <w:top w:val="single" w:sz="4" w:space="0" w:color="1B556B"/>
              <w:bottom w:val="single" w:sz="4" w:space="0" w:color="1B556B"/>
            </w:tcBorders>
            <w:shd w:val="clear" w:color="000000" w:fill="FFFFFF"/>
            <w:hideMark/>
          </w:tcPr>
          <w:p w14:paraId="2283A95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3,629,656</w:t>
            </w:r>
          </w:p>
        </w:tc>
        <w:tc>
          <w:tcPr>
            <w:tcW w:w="323" w:type="pct"/>
            <w:tcBorders>
              <w:top w:val="single" w:sz="4" w:space="0" w:color="1B556B"/>
              <w:bottom w:val="single" w:sz="4" w:space="0" w:color="1B556B"/>
            </w:tcBorders>
            <w:shd w:val="clear" w:color="000000" w:fill="FFFFFF"/>
            <w:noWrap/>
            <w:hideMark/>
          </w:tcPr>
          <w:p w14:paraId="3003DD7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1F5347C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58F4EC8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4722544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0B07F6D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4B95882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4294DED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6434B69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4D7C1903"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798ECD7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Tuvalu</w:t>
            </w:r>
          </w:p>
        </w:tc>
        <w:tc>
          <w:tcPr>
            <w:tcW w:w="653" w:type="pct"/>
            <w:tcBorders>
              <w:top w:val="single" w:sz="4" w:space="0" w:color="1B556B"/>
              <w:bottom w:val="single" w:sz="4" w:space="0" w:color="1B556B"/>
            </w:tcBorders>
            <w:shd w:val="clear" w:color="000000" w:fill="FFFFFF"/>
            <w:hideMark/>
          </w:tcPr>
          <w:p w14:paraId="766CBAD2"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40" w:name="_Hlk176268069"/>
            <w:r w:rsidRPr="00865EEC">
              <w:rPr>
                <w:rFonts w:asciiTheme="minorHAnsi" w:hAnsiTheme="minorHAnsi" w:cstheme="minorHAnsi"/>
                <w:color w:val="000000"/>
                <w:sz w:val="16"/>
                <w:szCs w:val="16"/>
              </w:rPr>
              <w:t>Integrated Water Resources Management - Tuvalu</w:t>
            </w:r>
            <w:bookmarkEnd w:id="940"/>
          </w:p>
        </w:tc>
        <w:tc>
          <w:tcPr>
            <w:tcW w:w="503" w:type="pct"/>
            <w:tcBorders>
              <w:top w:val="single" w:sz="4" w:space="0" w:color="1B556B"/>
              <w:bottom w:val="single" w:sz="4" w:space="0" w:color="1B556B"/>
            </w:tcBorders>
            <w:shd w:val="clear" w:color="000000" w:fill="FFFFFF"/>
            <w:noWrap/>
            <w:hideMark/>
          </w:tcPr>
          <w:p w14:paraId="444808D8"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682,938</w:t>
            </w:r>
          </w:p>
        </w:tc>
        <w:tc>
          <w:tcPr>
            <w:tcW w:w="414" w:type="pct"/>
            <w:tcBorders>
              <w:top w:val="single" w:sz="4" w:space="0" w:color="1B556B"/>
              <w:bottom w:val="single" w:sz="4" w:space="0" w:color="1B556B"/>
            </w:tcBorders>
            <w:shd w:val="clear" w:color="000000" w:fill="FFFFFF"/>
            <w:hideMark/>
          </w:tcPr>
          <w:p w14:paraId="1A88185E"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1,077,539</w:t>
            </w:r>
          </w:p>
        </w:tc>
        <w:tc>
          <w:tcPr>
            <w:tcW w:w="323" w:type="pct"/>
            <w:tcBorders>
              <w:top w:val="single" w:sz="4" w:space="0" w:color="1B556B"/>
              <w:bottom w:val="single" w:sz="4" w:space="0" w:color="1B556B"/>
            </w:tcBorders>
            <w:shd w:val="clear" w:color="000000" w:fill="FFFFFF"/>
            <w:noWrap/>
            <w:hideMark/>
          </w:tcPr>
          <w:p w14:paraId="721B961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2759657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2B975FB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9402AF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5DBC97F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271E1FC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Water and Sanitation</w:t>
            </w:r>
          </w:p>
        </w:tc>
        <w:tc>
          <w:tcPr>
            <w:tcW w:w="281" w:type="pct"/>
            <w:tcBorders>
              <w:top w:val="single" w:sz="4" w:space="0" w:color="1B556B"/>
              <w:bottom w:val="single" w:sz="4" w:space="0" w:color="1B556B"/>
            </w:tcBorders>
            <w:shd w:val="clear" w:color="000000" w:fill="FFFFFF"/>
            <w:hideMark/>
          </w:tcPr>
          <w:p w14:paraId="49B6726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774FDA7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2C79575A"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2CD85A9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031805D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Ecosystems Resilience</w:t>
            </w:r>
          </w:p>
        </w:tc>
        <w:tc>
          <w:tcPr>
            <w:tcW w:w="503" w:type="pct"/>
            <w:tcBorders>
              <w:top w:val="single" w:sz="4" w:space="0" w:color="1B556B"/>
              <w:bottom w:val="single" w:sz="4" w:space="0" w:color="1B556B"/>
            </w:tcBorders>
            <w:shd w:val="clear" w:color="000000" w:fill="FFFFFF"/>
            <w:noWrap/>
            <w:hideMark/>
          </w:tcPr>
          <w:p w14:paraId="4BA39D7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1,888,514</w:t>
            </w:r>
          </w:p>
        </w:tc>
        <w:tc>
          <w:tcPr>
            <w:tcW w:w="414" w:type="pct"/>
            <w:tcBorders>
              <w:top w:val="single" w:sz="4" w:space="0" w:color="1B556B"/>
              <w:bottom w:val="single" w:sz="4" w:space="0" w:color="1B556B"/>
            </w:tcBorders>
            <w:shd w:val="clear" w:color="000000" w:fill="FFFFFF"/>
            <w:hideMark/>
          </w:tcPr>
          <w:p w14:paraId="5EDC616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2,979,697</w:t>
            </w:r>
          </w:p>
        </w:tc>
        <w:tc>
          <w:tcPr>
            <w:tcW w:w="323" w:type="pct"/>
            <w:tcBorders>
              <w:top w:val="single" w:sz="4" w:space="0" w:color="1B556B"/>
              <w:bottom w:val="single" w:sz="4" w:space="0" w:color="1B556B"/>
            </w:tcBorders>
            <w:shd w:val="clear" w:color="000000" w:fill="FFFFFF"/>
            <w:noWrap/>
            <w:hideMark/>
          </w:tcPr>
          <w:p w14:paraId="4790A8D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13AA41C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05AB65C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1B6CA3B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31D1793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4C236B9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05E2BC4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665D830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619C9BA3"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4618D21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413F9CC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Mainstreaming Climate Change in Governance</w:t>
            </w:r>
          </w:p>
        </w:tc>
        <w:tc>
          <w:tcPr>
            <w:tcW w:w="503" w:type="pct"/>
            <w:tcBorders>
              <w:top w:val="single" w:sz="4" w:space="0" w:color="1B556B"/>
              <w:bottom w:val="single" w:sz="4" w:space="0" w:color="1B556B"/>
            </w:tcBorders>
            <w:shd w:val="clear" w:color="000000" w:fill="FFFFFF"/>
            <w:noWrap/>
            <w:hideMark/>
          </w:tcPr>
          <w:p w14:paraId="406D9C5D"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697,173</w:t>
            </w:r>
          </w:p>
        </w:tc>
        <w:tc>
          <w:tcPr>
            <w:tcW w:w="414" w:type="pct"/>
            <w:tcBorders>
              <w:top w:val="single" w:sz="4" w:space="0" w:color="1B556B"/>
              <w:bottom w:val="single" w:sz="4" w:space="0" w:color="1B556B"/>
            </w:tcBorders>
            <w:shd w:val="clear" w:color="000000" w:fill="FFFFFF"/>
            <w:hideMark/>
          </w:tcPr>
          <w:p w14:paraId="4814661D"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1,100,000</w:t>
            </w:r>
          </w:p>
        </w:tc>
        <w:tc>
          <w:tcPr>
            <w:tcW w:w="323" w:type="pct"/>
            <w:tcBorders>
              <w:top w:val="single" w:sz="4" w:space="0" w:color="1B556B"/>
              <w:bottom w:val="single" w:sz="4" w:space="0" w:color="1B556B"/>
            </w:tcBorders>
            <w:shd w:val="clear" w:color="000000" w:fill="FFFFFF"/>
            <w:noWrap/>
            <w:hideMark/>
          </w:tcPr>
          <w:p w14:paraId="519E479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402C682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02A3ADC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5C4D90F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26BE408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6BBD3BE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Government and Civil Society</w:t>
            </w:r>
          </w:p>
        </w:tc>
        <w:tc>
          <w:tcPr>
            <w:tcW w:w="281" w:type="pct"/>
            <w:tcBorders>
              <w:top w:val="single" w:sz="4" w:space="0" w:color="1B556B"/>
              <w:bottom w:val="single" w:sz="4" w:space="0" w:color="1B556B"/>
            </w:tcBorders>
            <w:shd w:val="clear" w:color="000000" w:fill="FFFFFF"/>
            <w:hideMark/>
          </w:tcPr>
          <w:p w14:paraId="55AFD8B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561AEA5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7E118EFF"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00BB77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Africa Regional/Multi-Country</w:t>
            </w:r>
          </w:p>
        </w:tc>
        <w:tc>
          <w:tcPr>
            <w:tcW w:w="653" w:type="pct"/>
            <w:tcBorders>
              <w:top w:val="single" w:sz="4" w:space="0" w:color="1B556B"/>
              <w:bottom w:val="single" w:sz="4" w:space="0" w:color="1B556B"/>
            </w:tcBorders>
            <w:shd w:val="clear" w:color="000000" w:fill="FFFFFF"/>
            <w:hideMark/>
          </w:tcPr>
          <w:p w14:paraId="6C8A6F1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African Climate Smart Agriculture Initiative</w:t>
            </w:r>
          </w:p>
        </w:tc>
        <w:tc>
          <w:tcPr>
            <w:tcW w:w="503" w:type="pct"/>
            <w:tcBorders>
              <w:top w:val="single" w:sz="4" w:space="0" w:color="1B556B"/>
              <w:bottom w:val="single" w:sz="4" w:space="0" w:color="1B556B"/>
            </w:tcBorders>
            <w:shd w:val="clear" w:color="000000" w:fill="FFFFFF"/>
            <w:noWrap/>
            <w:hideMark/>
          </w:tcPr>
          <w:p w14:paraId="15D42F1B"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823,932</w:t>
            </w:r>
          </w:p>
        </w:tc>
        <w:tc>
          <w:tcPr>
            <w:tcW w:w="414" w:type="pct"/>
            <w:tcBorders>
              <w:top w:val="single" w:sz="4" w:space="0" w:color="1B556B"/>
              <w:bottom w:val="single" w:sz="4" w:space="0" w:color="1B556B"/>
            </w:tcBorders>
            <w:shd w:val="clear" w:color="000000" w:fill="FFFFFF"/>
            <w:hideMark/>
          </w:tcPr>
          <w:p w14:paraId="081FD46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1,300,000</w:t>
            </w:r>
          </w:p>
        </w:tc>
        <w:tc>
          <w:tcPr>
            <w:tcW w:w="323" w:type="pct"/>
            <w:tcBorders>
              <w:top w:val="single" w:sz="4" w:space="0" w:color="1B556B"/>
              <w:bottom w:val="single" w:sz="4" w:space="0" w:color="1B556B"/>
            </w:tcBorders>
            <w:shd w:val="clear" w:color="000000" w:fill="FFFFFF"/>
            <w:noWrap/>
            <w:hideMark/>
          </w:tcPr>
          <w:p w14:paraId="4823889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163B222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759924B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0F21E9A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230C900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Mitigation</w:t>
            </w:r>
          </w:p>
        </w:tc>
        <w:tc>
          <w:tcPr>
            <w:tcW w:w="495" w:type="pct"/>
            <w:tcBorders>
              <w:top w:val="single" w:sz="4" w:space="0" w:color="1B556B"/>
              <w:bottom w:val="single" w:sz="4" w:space="0" w:color="1B556B"/>
            </w:tcBorders>
            <w:shd w:val="clear" w:color="000000" w:fill="FFFFFF"/>
            <w:hideMark/>
          </w:tcPr>
          <w:p w14:paraId="33FEC59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000000" w:fill="FFFFFF"/>
            <w:hideMark/>
          </w:tcPr>
          <w:p w14:paraId="4FEE482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03520EE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72FC577E"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02A7D4DD" w14:textId="62FAB93E" w:rsidR="007113F5" w:rsidRPr="00865EEC" w:rsidRDefault="00337126">
            <w:pPr>
              <w:spacing w:before="60" w:after="60" w:line="240" w:lineRule="auto"/>
              <w:jc w:val="left"/>
              <w:rPr>
                <w:rFonts w:asciiTheme="minorHAnsi" w:hAnsiTheme="minorHAnsi" w:cstheme="minorHAnsi"/>
                <w:color w:val="000000"/>
                <w:sz w:val="16"/>
                <w:szCs w:val="16"/>
              </w:rPr>
            </w:pPr>
            <w:r>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7B9DCF0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Information for decision-making</w:t>
            </w:r>
          </w:p>
        </w:tc>
        <w:tc>
          <w:tcPr>
            <w:tcW w:w="503" w:type="pct"/>
            <w:tcBorders>
              <w:top w:val="single" w:sz="4" w:space="0" w:color="1B556B"/>
              <w:bottom w:val="single" w:sz="4" w:space="0" w:color="1B556B"/>
            </w:tcBorders>
            <w:shd w:val="clear" w:color="000000" w:fill="FFFFFF"/>
            <w:noWrap/>
            <w:hideMark/>
          </w:tcPr>
          <w:p w14:paraId="701BB72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2,764,385</w:t>
            </w:r>
          </w:p>
        </w:tc>
        <w:tc>
          <w:tcPr>
            <w:tcW w:w="414" w:type="pct"/>
            <w:tcBorders>
              <w:top w:val="single" w:sz="4" w:space="0" w:color="1B556B"/>
              <w:bottom w:val="single" w:sz="4" w:space="0" w:color="1B556B"/>
            </w:tcBorders>
            <w:shd w:val="clear" w:color="000000" w:fill="FFFFFF"/>
            <w:hideMark/>
          </w:tcPr>
          <w:p w14:paraId="724E36E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4,361,646</w:t>
            </w:r>
          </w:p>
        </w:tc>
        <w:tc>
          <w:tcPr>
            <w:tcW w:w="323" w:type="pct"/>
            <w:tcBorders>
              <w:top w:val="single" w:sz="4" w:space="0" w:color="1B556B"/>
              <w:bottom w:val="single" w:sz="4" w:space="0" w:color="1B556B"/>
            </w:tcBorders>
            <w:shd w:val="clear" w:color="000000" w:fill="FFFFFF"/>
            <w:noWrap/>
            <w:hideMark/>
          </w:tcPr>
          <w:p w14:paraId="3D9CE66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473FD6F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7726512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Other</w:t>
            </w:r>
          </w:p>
        </w:tc>
        <w:tc>
          <w:tcPr>
            <w:tcW w:w="362" w:type="pct"/>
            <w:tcBorders>
              <w:top w:val="single" w:sz="4" w:space="0" w:color="1B556B"/>
              <w:bottom w:val="single" w:sz="4" w:space="0" w:color="1B556B"/>
            </w:tcBorders>
            <w:shd w:val="clear" w:color="000000" w:fill="FFFFFF"/>
            <w:noWrap/>
            <w:hideMark/>
          </w:tcPr>
          <w:p w14:paraId="1404A22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10CCBF2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19CE1BF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1314136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0437FD4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299176F6"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5B580A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Cook Islands</w:t>
            </w:r>
          </w:p>
        </w:tc>
        <w:tc>
          <w:tcPr>
            <w:tcW w:w="653" w:type="pct"/>
            <w:tcBorders>
              <w:top w:val="single" w:sz="4" w:space="0" w:color="1B556B"/>
              <w:bottom w:val="single" w:sz="4" w:space="0" w:color="1B556B"/>
            </w:tcBorders>
            <w:shd w:val="clear" w:color="000000" w:fill="FFFFFF"/>
            <w:hideMark/>
          </w:tcPr>
          <w:p w14:paraId="2F152E2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Infrastructure: Trust fund</w:t>
            </w:r>
          </w:p>
        </w:tc>
        <w:tc>
          <w:tcPr>
            <w:tcW w:w="503" w:type="pct"/>
            <w:tcBorders>
              <w:top w:val="single" w:sz="4" w:space="0" w:color="1B556B"/>
              <w:bottom w:val="single" w:sz="4" w:space="0" w:color="1B556B"/>
            </w:tcBorders>
            <w:shd w:val="clear" w:color="000000" w:fill="FFFFFF"/>
            <w:noWrap/>
            <w:hideMark/>
          </w:tcPr>
          <w:p w14:paraId="5A9883CE"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7,605,527</w:t>
            </w:r>
          </w:p>
        </w:tc>
        <w:tc>
          <w:tcPr>
            <w:tcW w:w="414" w:type="pct"/>
            <w:tcBorders>
              <w:top w:val="single" w:sz="4" w:space="0" w:color="1B556B"/>
              <w:bottom w:val="single" w:sz="4" w:space="0" w:color="1B556B"/>
            </w:tcBorders>
            <w:shd w:val="clear" w:color="000000" w:fill="FFFFFF"/>
            <w:hideMark/>
          </w:tcPr>
          <w:p w14:paraId="2805566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12,000,000</w:t>
            </w:r>
          </w:p>
        </w:tc>
        <w:tc>
          <w:tcPr>
            <w:tcW w:w="323" w:type="pct"/>
            <w:tcBorders>
              <w:top w:val="single" w:sz="4" w:space="0" w:color="1B556B"/>
              <w:bottom w:val="single" w:sz="4" w:space="0" w:color="1B556B"/>
            </w:tcBorders>
            <w:shd w:val="clear" w:color="000000" w:fill="FFFFFF"/>
            <w:noWrap/>
            <w:hideMark/>
          </w:tcPr>
          <w:p w14:paraId="6FD125E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45A70ED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34F2244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Other</w:t>
            </w:r>
          </w:p>
        </w:tc>
        <w:tc>
          <w:tcPr>
            <w:tcW w:w="362" w:type="pct"/>
            <w:tcBorders>
              <w:top w:val="single" w:sz="4" w:space="0" w:color="1B556B"/>
              <w:bottom w:val="single" w:sz="4" w:space="0" w:color="1B556B"/>
            </w:tcBorders>
            <w:shd w:val="clear" w:color="000000" w:fill="FFFFFF"/>
            <w:noWrap/>
            <w:hideMark/>
          </w:tcPr>
          <w:p w14:paraId="48678D0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4799B3A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6E8D3E3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3B99BC0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13CFE50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54B112A8"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4C8D912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Africa Regional/Multi-Country</w:t>
            </w:r>
          </w:p>
        </w:tc>
        <w:tc>
          <w:tcPr>
            <w:tcW w:w="653" w:type="pct"/>
            <w:tcBorders>
              <w:top w:val="single" w:sz="4" w:space="0" w:color="1B556B"/>
              <w:bottom w:val="single" w:sz="4" w:space="0" w:color="1B556B"/>
            </w:tcBorders>
            <w:shd w:val="clear" w:color="000000" w:fill="FFFFFF"/>
            <w:hideMark/>
          </w:tcPr>
          <w:p w14:paraId="6E06AAE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 xml:space="preserve">East Africa: Farm to Market Alliance </w:t>
            </w:r>
          </w:p>
        </w:tc>
        <w:tc>
          <w:tcPr>
            <w:tcW w:w="503" w:type="pct"/>
            <w:tcBorders>
              <w:top w:val="single" w:sz="4" w:space="0" w:color="1B556B"/>
              <w:bottom w:val="single" w:sz="4" w:space="0" w:color="1B556B"/>
            </w:tcBorders>
            <w:shd w:val="clear" w:color="000000" w:fill="FFFFFF"/>
            <w:noWrap/>
            <w:hideMark/>
          </w:tcPr>
          <w:p w14:paraId="10D77E6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266,193</w:t>
            </w:r>
          </w:p>
        </w:tc>
        <w:tc>
          <w:tcPr>
            <w:tcW w:w="414" w:type="pct"/>
            <w:tcBorders>
              <w:top w:val="single" w:sz="4" w:space="0" w:color="1B556B"/>
              <w:bottom w:val="single" w:sz="4" w:space="0" w:color="1B556B"/>
            </w:tcBorders>
            <w:shd w:val="clear" w:color="000000" w:fill="FFFFFF"/>
            <w:hideMark/>
          </w:tcPr>
          <w:p w14:paraId="3618A2C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420,000</w:t>
            </w:r>
          </w:p>
        </w:tc>
        <w:tc>
          <w:tcPr>
            <w:tcW w:w="323" w:type="pct"/>
            <w:tcBorders>
              <w:top w:val="single" w:sz="4" w:space="0" w:color="1B556B"/>
              <w:bottom w:val="single" w:sz="4" w:space="0" w:color="1B556B"/>
            </w:tcBorders>
            <w:shd w:val="clear" w:color="000000" w:fill="FFFFFF"/>
            <w:noWrap/>
            <w:hideMark/>
          </w:tcPr>
          <w:p w14:paraId="6A28E3E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3DBC500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7C56724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1B6B234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78351CA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289925E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000000" w:fill="FFFFFF"/>
            <w:hideMark/>
          </w:tcPr>
          <w:p w14:paraId="16501D3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1A7D519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77D150F9"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2825A55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Viet Nam</w:t>
            </w:r>
          </w:p>
        </w:tc>
        <w:tc>
          <w:tcPr>
            <w:tcW w:w="653" w:type="pct"/>
            <w:tcBorders>
              <w:top w:val="single" w:sz="4" w:space="0" w:color="1B556B"/>
              <w:bottom w:val="single" w:sz="4" w:space="0" w:color="1B556B"/>
            </w:tcBorders>
            <w:shd w:val="clear" w:color="000000" w:fill="FFFFFF"/>
            <w:hideMark/>
          </w:tcPr>
          <w:p w14:paraId="47444961"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41" w:name="_Hlk176255591"/>
            <w:r w:rsidRPr="00865EEC">
              <w:rPr>
                <w:rFonts w:asciiTheme="minorHAnsi" w:hAnsiTheme="minorHAnsi" w:cstheme="minorHAnsi"/>
                <w:color w:val="000000"/>
                <w:sz w:val="16"/>
                <w:szCs w:val="16"/>
              </w:rPr>
              <w:t>Viet Nam Climate-Smart Fruit Value Chain</w:t>
            </w:r>
            <w:bookmarkEnd w:id="941"/>
          </w:p>
        </w:tc>
        <w:tc>
          <w:tcPr>
            <w:tcW w:w="503" w:type="pct"/>
            <w:tcBorders>
              <w:top w:val="single" w:sz="4" w:space="0" w:color="1B556B"/>
              <w:bottom w:val="single" w:sz="4" w:space="0" w:color="1B556B"/>
            </w:tcBorders>
            <w:shd w:val="clear" w:color="000000" w:fill="FFFFFF"/>
            <w:noWrap/>
            <w:hideMark/>
          </w:tcPr>
          <w:p w14:paraId="21BFDB1E"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107,736</w:t>
            </w:r>
          </w:p>
        </w:tc>
        <w:tc>
          <w:tcPr>
            <w:tcW w:w="414" w:type="pct"/>
            <w:tcBorders>
              <w:top w:val="single" w:sz="4" w:space="0" w:color="1B556B"/>
              <w:bottom w:val="single" w:sz="4" w:space="0" w:color="1B556B"/>
            </w:tcBorders>
            <w:shd w:val="clear" w:color="000000" w:fill="FFFFFF"/>
            <w:hideMark/>
          </w:tcPr>
          <w:p w14:paraId="5845CF4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169,986</w:t>
            </w:r>
          </w:p>
        </w:tc>
        <w:tc>
          <w:tcPr>
            <w:tcW w:w="323" w:type="pct"/>
            <w:tcBorders>
              <w:top w:val="single" w:sz="4" w:space="0" w:color="1B556B"/>
              <w:bottom w:val="single" w:sz="4" w:space="0" w:color="1B556B"/>
            </w:tcBorders>
            <w:shd w:val="clear" w:color="000000" w:fill="FFFFFF"/>
            <w:noWrap/>
            <w:hideMark/>
          </w:tcPr>
          <w:p w14:paraId="092EF97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6A2630E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562F483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EF148B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397F177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5BB4875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000000" w:fill="FFFFFF"/>
            <w:hideMark/>
          </w:tcPr>
          <w:p w14:paraId="37B94DF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5AF1583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46C64658"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341C665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408F7B5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Enhanced Pacific Biosecurity Programme</w:t>
            </w:r>
          </w:p>
        </w:tc>
        <w:tc>
          <w:tcPr>
            <w:tcW w:w="503" w:type="pct"/>
            <w:tcBorders>
              <w:top w:val="single" w:sz="4" w:space="0" w:color="1B556B"/>
              <w:bottom w:val="single" w:sz="4" w:space="0" w:color="1B556B"/>
            </w:tcBorders>
            <w:shd w:val="clear" w:color="000000" w:fill="FFFFFF"/>
            <w:noWrap/>
            <w:hideMark/>
          </w:tcPr>
          <w:p w14:paraId="5B7A8620"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509,664</w:t>
            </w:r>
          </w:p>
        </w:tc>
        <w:tc>
          <w:tcPr>
            <w:tcW w:w="414" w:type="pct"/>
            <w:tcBorders>
              <w:top w:val="single" w:sz="4" w:space="0" w:color="1B556B"/>
              <w:bottom w:val="single" w:sz="4" w:space="0" w:color="1B556B"/>
            </w:tcBorders>
            <w:shd w:val="clear" w:color="000000" w:fill="FFFFFF"/>
            <w:hideMark/>
          </w:tcPr>
          <w:p w14:paraId="0678603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804,147.59</w:t>
            </w:r>
          </w:p>
        </w:tc>
        <w:tc>
          <w:tcPr>
            <w:tcW w:w="323" w:type="pct"/>
            <w:tcBorders>
              <w:top w:val="single" w:sz="4" w:space="0" w:color="1B556B"/>
              <w:bottom w:val="single" w:sz="4" w:space="0" w:color="1B556B"/>
            </w:tcBorders>
            <w:shd w:val="clear" w:color="000000" w:fill="FFFFFF"/>
            <w:noWrap/>
            <w:hideMark/>
          </w:tcPr>
          <w:p w14:paraId="530F77E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137841B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077E176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0B54589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3DD70C4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7DFE791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000000" w:fill="FFFFFF"/>
            <w:hideMark/>
          </w:tcPr>
          <w:p w14:paraId="2679941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2133440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02A8F327"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3F856A7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Fiji</w:t>
            </w:r>
          </w:p>
        </w:tc>
        <w:tc>
          <w:tcPr>
            <w:tcW w:w="653" w:type="pct"/>
            <w:tcBorders>
              <w:top w:val="single" w:sz="4" w:space="0" w:color="1B556B"/>
              <w:bottom w:val="single" w:sz="4" w:space="0" w:color="1B556B"/>
            </w:tcBorders>
            <w:shd w:val="clear" w:color="000000" w:fill="FFFFFF"/>
            <w:hideMark/>
          </w:tcPr>
          <w:p w14:paraId="7C5268E3"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42" w:name="_Hlk176255629"/>
            <w:r w:rsidRPr="00865EEC">
              <w:rPr>
                <w:rFonts w:asciiTheme="minorHAnsi" w:hAnsiTheme="minorHAnsi" w:cstheme="minorHAnsi"/>
                <w:color w:val="000000"/>
                <w:sz w:val="16"/>
                <w:szCs w:val="16"/>
              </w:rPr>
              <w:t>Fiji Climate Action Programme</w:t>
            </w:r>
            <w:bookmarkEnd w:id="942"/>
          </w:p>
        </w:tc>
        <w:tc>
          <w:tcPr>
            <w:tcW w:w="503" w:type="pct"/>
            <w:tcBorders>
              <w:top w:val="single" w:sz="4" w:space="0" w:color="1B556B"/>
              <w:bottom w:val="single" w:sz="4" w:space="0" w:color="1B556B"/>
            </w:tcBorders>
            <w:shd w:val="clear" w:color="000000" w:fill="FFFFFF"/>
            <w:noWrap/>
            <w:hideMark/>
          </w:tcPr>
          <w:p w14:paraId="008ED0DE"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11,450</w:t>
            </w:r>
          </w:p>
        </w:tc>
        <w:tc>
          <w:tcPr>
            <w:tcW w:w="414" w:type="pct"/>
            <w:tcBorders>
              <w:top w:val="single" w:sz="4" w:space="0" w:color="1B556B"/>
              <w:bottom w:val="single" w:sz="4" w:space="0" w:color="1B556B"/>
            </w:tcBorders>
            <w:shd w:val="clear" w:color="000000" w:fill="FFFFFF"/>
            <w:hideMark/>
          </w:tcPr>
          <w:p w14:paraId="01EF86A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18,066</w:t>
            </w:r>
          </w:p>
        </w:tc>
        <w:tc>
          <w:tcPr>
            <w:tcW w:w="323" w:type="pct"/>
            <w:tcBorders>
              <w:top w:val="single" w:sz="4" w:space="0" w:color="1B556B"/>
              <w:bottom w:val="single" w:sz="4" w:space="0" w:color="1B556B"/>
            </w:tcBorders>
            <w:shd w:val="clear" w:color="000000" w:fill="FFFFFF"/>
            <w:noWrap/>
            <w:hideMark/>
          </w:tcPr>
          <w:p w14:paraId="5D0C87E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44C5D3A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7456C55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3FDDF34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40CB902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5C656D4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3A1DF91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2AEA897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15FE2A08"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2684CCE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4FB47F9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Reduce risk of water scarcity</w:t>
            </w:r>
          </w:p>
        </w:tc>
        <w:tc>
          <w:tcPr>
            <w:tcW w:w="503" w:type="pct"/>
            <w:tcBorders>
              <w:top w:val="single" w:sz="4" w:space="0" w:color="1B556B"/>
              <w:bottom w:val="single" w:sz="4" w:space="0" w:color="1B556B"/>
            </w:tcBorders>
            <w:shd w:val="clear" w:color="000000" w:fill="FFFFFF"/>
            <w:noWrap/>
            <w:hideMark/>
          </w:tcPr>
          <w:p w14:paraId="5A8EFED8"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4,385,003</w:t>
            </w:r>
          </w:p>
        </w:tc>
        <w:tc>
          <w:tcPr>
            <w:tcW w:w="414" w:type="pct"/>
            <w:tcBorders>
              <w:top w:val="single" w:sz="4" w:space="0" w:color="1B556B"/>
              <w:bottom w:val="single" w:sz="4" w:space="0" w:color="1B556B"/>
            </w:tcBorders>
            <w:shd w:val="clear" w:color="000000" w:fill="FFFFFF"/>
            <w:hideMark/>
          </w:tcPr>
          <w:p w14:paraId="3AD39982"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6,918,658</w:t>
            </w:r>
          </w:p>
        </w:tc>
        <w:tc>
          <w:tcPr>
            <w:tcW w:w="323" w:type="pct"/>
            <w:tcBorders>
              <w:top w:val="single" w:sz="4" w:space="0" w:color="1B556B"/>
              <w:bottom w:val="single" w:sz="4" w:space="0" w:color="1B556B"/>
            </w:tcBorders>
            <w:shd w:val="clear" w:color="000000" w:fill="FFFFFF"/>
            <w:noWrap/>
            <w:hideMark/>
          </w:tcPr>
          <w:p w14:paraId="62B4DF6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4FEC323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334F24C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7E41992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359CC72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5A92061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Water and Sanitation</w:t>
            </w:r>
          </w:p>
        </w:tc>
        <w:tc>
          <w:tcPr>
            <w:tcW w:w="281" w:type="pct"/>
            <w:tcBorders>
              <w:top w:val="single" w:sz="4" w:space="0" w:color="1B556B"/>
              <w:bottom w:val="single" w:sz="4" w:space="0" w:color="1B556B"/>
            </w:tcBorders>
            <w:shd w:val="clear" w:color="000000" w:fill="FFFFFF"/>
            <w:hideMark/>
          </w:tcPr>
          <w:p w14:paraId="2F00FDD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54171E9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07956A40"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29F22D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3E0852D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Averting water-related emergencies</w:t>
            </w:r>
          </w:p>
        </w:tc>
        <w:tc>
          <w:tcPr>
            <w:tcW w:w="503" w:type="pct"/>
            <w:tcBorders>
              <w:top w:val="single" w:sz="4" w:space="0" w:color="1B556B"/>
              <w:bottom w:val="single" w:sz="4" w:space="0" w:color="1B556B"/>
            </w:tcBorders>
            <w:shd w:val="clear" w:color="000000" w:fill="FFFFFF"/>
            <w:noWrap/>
            <w:hideMark/>
          </w:tcPr>
          <w:p w14:paraId="605EFFE9"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250,190</w:t>
            </w:r>
          </w:p>
        </w:tc>
        <w:tc>
          <w:tcPr>
            <w:tcW w:w="414" w:type="pct"/>
            <w:tcBorders>
              <w:top w:val="single" w:sz="4" w:space="0" w:color="1B556B"/>
              <w:bottom w:val="single" w:sz="4" w:space="0" w:color="1B556B"/>
            </w:tcBorders>
            <w:shd w:val="clear" w:color="000000" w:fill="FFFFFF"/>
            <w:hideMark/>
          </w:tcPr>
          <w:p w14:paraId="378C668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394,750</w:t>
            </w:r>
          </w:p>
        </w:tc>
        <w:tc>
          <w:tcPr>
            <w:tcW w:w="323" w:type="pct"/>
            <w:tcBorders>
              <w:top w:val="single" w:sz="4" w:space="0" w:color="1B556B"/>
              <w:bottom w:val="single" w:sz="4" w:space="0" w:color="1B556B"/>
            </w:tcBorders>
            <w:shd w:val="clear" w:color="000000" w:fill="FFFFFF"/>
            <w:noWrap/>
            <w:hideMark/>
          </w:tcPr>
          <w:p w14:paraId="2045736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2368F8A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0D180E6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EECBF2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0B6D6D0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7FFC216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Humanitarian Aid</w:t>
            </w:r>
          </w:p>
        </w:tc>
        <w:tc>
          <w:tcPr>
            <w:tcW w:w="281" w:type="pct"/>
            <w:tcBorders>
              <w:top w:val="single" w:sz="4" w:space="0" w:color="1B556B"/>
              <w:bottom w:val="single" w:sz="4" w:space="0" w:color="1B556B"/>
            </w:tcBorders>
            <w:shd w:val="clear" w:color="000000" w:fill="FFFFFF"/>
            <w:hideMark/>
          </w:tcPr>
          <w:p w14:paraId="069B067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045337E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00B39B4A"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0A19C2F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195A1E0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Building resilient water management systems</w:t>
            </w:r>
          </w:p>
        </w:tc>
        <w:tc>
          <w:tcPr>
            <w:tcW w:w="503" w:type="pct"/>
            <w:tcBorders>
              <w:top w:val="single" w:sz="4" w:space="0" w:color="1B556B"/>
              <w:bottom w:val="single" w:sz="4" w:space="0" w:color="1B556B"/>
            </w:tcBorders>
            <w:shd w:val="clear" w:color="000000" w:fill="FFFFFF"/>
            <w:noWrap/>
            <w:hideMark/>
          </w:tcPr>
          <w:p w14:paraId="313FD72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4,048,682</w:t>
            </w:r>
          </w:p>
        </w:tc>
        <w:tc>
          <w:tcPr>
            <w:tcW w:w="414" w:type="pct"/>
            <w:tcBorders>
              <w:top w:val="single" w:sz="4" w:space="0" w:color="1B556B"/>
              <w:bottom w:val="single" w:sz="4" w:space="0" w:color="1B556B"/>
            </w:tcBorders>
            <w:shd w:val="clear" w:color="000000" w:fill="FFFFFF"/>
            <w:hideMark/>
          </w:tcPr>
          <w:p w14:paraId="792CD0D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6,388,011</w:t>
            </w:r>
          </w:p>
        </w:tc>
        <w:tc>
          <w:tcPr>
            <w:tcW w:w="323" w:type="pct"/>
            <w:tcBorders>
              <w:top w:val="single" w:sz="4" w:space="0" w:color="1B556B"/>
              <w:bottom w:val="single" w:sz="4" w:space="0" w:color="1B556B"/>
            </w:tcBorders>
            <w:shd w:val="clear" w:color="000000" w:fill="FFFFFF"/>
            <w:noWrap/>
            <w:hideMark/>
          </w:tcPr>
          <w:p w14:paraId="4755EA9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46151B7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32CA723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1B8BF88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63CB13E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00C6BD1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Water and Sanitation</w:t>
            </w:r>
          </w:p>
        </w:tc>
        <w:tc>
          <w:tcPr>
            <w:tcW w:w="281" w:type="pct"/>
            <w:tcBorders>
              <w:top w:val="single" w:sz="4" w:space="0" w:color="1B556B"/>
              <w:bottom w:val="single" w:sz="4" w:space="0" w:color="1B556B"/>
            </w:tcBorders>
            <w:shd w:val="clear" w:color="000000" w:fill="FFFFFF"/>
            <w:hideMark/>
          </w:tcPr>
          <w:p w14:paraId="634FE13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0A808D2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40F9017F"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0559070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436E6FC8"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43" w:name="_Hlk176255673"/>
            <w:r w:rsidRPr="00865EEC">
              <w:rPr>
                <w:rFonts w:asciiTheme="minorHAnsi" w:hAnsiTheme="minorHAnsi" w:cstheme="minorHAnsi"/>
                <w:color w:val="000000"/>
                <w:sz w:val="16"/>
                <w:szCs w:val="16"/>
              </w:rPr>
              <w:t>Secretariat of the Pacific Regional Environment Programme 2020-2025</w:t>
            </w:r>
            <w:bookmarkEnd w:id="943"/>
          </w:p>
        </w:tc>
        <w:tc>
          <w:tcPr>
            <w:tcW w:w="503" w:type="pct"/>
            <w:tcBorders>
              <w:top w:val="single" w:sz="4" w:space="0" w:color="1B556B"/>
              <w:bottom w:val="single" w:sz="4" w:space="0" w:color="1B556B"/>
            </w:tcBorders>
            <w:shd w:val="clear" w:color="000000" w:fill="FFFFFF"/>
            <w:noWrap/>
            <w:hideMark/>
          </w:tcPr>
          <w:p w14:paraId="7EC31664"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1,316,379</w:t>
            </w:r>
          </w:p>
        </w:tc>
        <w:tc>
          <w:tcPr>
            <w:tcW w:w="414" w:type="pct"/>
            <w:tcBorders>
              <w:top w:val="single" w:sz="4" w:space="0" w:color="1B556B"/>
              <w:bottom w:val="single" w:sz="4" w:space="0" w:color="1B556B"/>
            </w:tcBorders>
            <w:shd w:val="clear" w:color="000000" w:fill="FFFFFF"/>
            <w:hideMark/>
          </w:tcPr>
          <w:p w14:paraId="1D3EE6E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2,076,982</w:t>
            </w:r>
          </w:p>
        </w:tc>
        <w:tc>
          <w:tcPr>
            <w:tcW w:w="323" w:type="pct"/>
            <w:tcBorders>
              <w:top w:val="single" w:sz="4" w:space="0" w:color="1B556B"/>
              <w:bottom w:val="single" w:sz="4" w:space="0" w:color="1B556B"/>
            </w:tcBorders>
            <w:shd w:val="clear" w:color="000000" w:fill="FFFFFF"/>
            <w:noWrap/>
            <w:hideMark/>
          </w:tcPr>
          <w:p w14:paraId="112CE70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02A82A2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0866B50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73B754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6F0E39C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0FCBB64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151B943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5E10AE3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0238E578"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2BBB4CD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Fiji</w:t>
            </w:r>
          </w:p>
        </w:tc>
        <w:tc>
          <w:tcPr>
            <w:tcW w:w="653" w:type="pct"/>
            <w:tcBorders>
              <w:top w:val="single" w:sz="4" w:space="0" w:color="1B556B"/>
              <w:bottom w:val="single" w:sz="4" w:space="0" w:color="1B556B"/>
            </w:tcBorders>
            <w:shd w:val="clear" w:color="000000" w:fill="FFFFFF"/>
            <w:hideMark/>
          </w:tcPr>
          <w:p w14:paraId="4B7F969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Fiji Relocation Trust Fund</w:t>
            </w:r>
          </w:p>
        </w:tc>
        <w:tc>
          <w:tcPr>
            <w:tcW w:w="503" w:type="pct"/>
            <w:tcBorders>
              <w:top w:val="single" w:sz="4" w:space="0" w:color="1B556B"/>
              <w:bottom w:val="single" w:sz="4" w:space="0" w:color="1B556B"/>
            </w:tcBorders>
            <w:shd w:val="clear" w:color="000000" w:fill="FFFFFF"/>
            <w:noWrap/>
            <w:hideMark/>
          </w:tcPr>
          <w:p w14:paraId="78C016E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212,067</w:t>
            </w:r>
          </w:p>
        </w:tc>
        <w:tc>
          <w:tcPr>
            <w:tcW w:w="414" w:type="pct"/>
            <w:tcBorders>
              <w:top w:val="single" w:sz="4" w:space="0" w:color="1B556B"/>
              <w:bottom w:val="single" w:sz="4" w:space="0" w:color="1B556B"/>
            </w:tcBorders>
            <w:shd w:val="clear" w:color="000000" w:fill="FFFFFF"/>
            <w:hideMark/>
          </w:tcPr>
          <w:p w14:paraId="7C3CBBFE"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334,599</w:t>
            </w:r>
          </w:p>
        </w:tc>
        <w:tc>
          <w:tcPr>
            <w:tcW w:w="323" w:type="pct"/>
            <w:tcBorders>
              <w:top w:val="single" w:sz="4" w:space="0" w:color="1B556B"/>
              <w:bottom w:val="single" w:sz="4" w:space="0" w:color="1B556B"/>
            </w:tcBorders>
            <w:shd w:val="clear" w:color="000000" w:fill="FFFFFF"/>
            <w:noWrap/>
            <w:hideMark/>
          </w:tcPr>
          <w:p w14:paraId="4104F22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75CA141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647174F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FA22EC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3BE987D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090C632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Other Social Infrastructure and Services</w:t>
            </w:r>
          </w:p>
        </w:tc>
        <w:tc>
          <w:tcPr>
            <w:tcW w:w="281" w:type="pct"/>
            <w:tcBorders>
              <w:top w:val="single" w:sz="4" w:space="0" w:color="1B556B"/>
              <w:bottom w:val="single" w:sz="4" w:space="0" w:color="1B556B"/>
            </w:tcBorders>
            <w:shd w:val="clear" w:color="000000" w:fill="FFFFFF"/>
            <w:hideMark/>
          </w:tcPr>
          <w:p w14:paraId="3B43825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27EB200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193161CB"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BC7EB2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1F95511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Access to finance</w:t>
            </w:r>
          </w:p>
        </w:tc>
        <w:tc>
          <w:tcPr>
            <w:tcW w:w="503" w:type="pct"/>
            <w:tcBorders>
              <w:top w:val="single" w:sz="4" w:space="0" w:color="1B556B"/>
              <w:bottom w:val="single" w:sz="4" w:space="0" w:color="1B556B"/>
            </w:tcBorders>
            <w:shd w:val="clear" w:color="000000" w:fill="FFFFFF"/>
            <w:noWrap/>
            <w:hideMark/>
          </w:tcPr>
          <w:p w14:paraId="3E5413D4"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1,213,781</w:t>
            </w:r>
          </w:p>
        </w:tc>
        <w:tc>
          <w:tcPr>
            <w:tcW w:w="414" w:type="pct"/>
            <w:tcBorders>
              <w:top w:val="single" w:sz="4" w:space="0" w:color="1B556B"/>
              <w:bottom w:val="single" w:sz="4" w:space="0" w:color="1B556B"/>
            </w:tcBorders>
            <w:shd w:val="clear" w:color="000000" w:fill="FFFFFF"/>
            <w:hideMark/>
          </w:tcPr>
          <w:p w14:paraId="3A898242"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1,915,104</w:t>
            </w:r>
          </w:p>
        </w:tc>
        <w:tc>
          <w:tcPr>
            <w:tcW w:w="323" w:type="pct"/>
            <w:tcBorders>
              <w:top w:val="single" w:sz="4" w:space="0" w:color="1B556B"/>
              <w:bottom w:val="single" w:sz="4" w:space="0" w:color="1B556B"/>
            </w:tcBorders>
            <w:shd w:val="clear" w:color="000000" w:fill="FFFFFF"/>
            <w:noWrap/>
            <w:hideMark/>
          </w:tcPr>
          <w:p w14:paraId="4856FA7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4BD27A1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 Regional</w:t>
            </w:r>
          </w:p>
        </w:tc>
        <w:tc>
          <w:tcPr>
            <w:tcW w:w="278" w:type="pct"/>
            <w:tcBorders>
              <w:top w:val="single" w:sz="4" w:space="0" w:color="1B556B"/>
              <w:bottom w:val="single" w:sz="4" w:space="0" w:color="1B556B"/>
            </w:tcBorders>
            <w:shd w:val="clear" w:color="000000" w:fill="FFFFFF"/>
            <w:noWrap/>
            <w:hideMark/>
          </w:tcPr>
          <w:p w14:paraId="64A1E72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322D51C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0FA7293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1AE6033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Banking and Financial Services</w:t>
            </w:r>
          </w:p>
        </w:tc>
        <w:tc>
          <w:tcPr>
            <w:tcW w:w="281" w:type="pct"/>
            <w:tcBorders>
              <w:top w:val="single" w:sz="4" w:space="0" w:color="1B556B"/>
              <w:bottom w:val="single" w:sz="4" w:space="0" w:color="1B556B"/>
            </w:tcBorders>
            <w:shd w:val="clear" w:color="000000" w:fill="FFFFFF"/>
            <w:hideMark/>
          </w:tcPr>
          <w:p w14:paraId="0516511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4430A4D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439AA215"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1681625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7CA77DC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Low Emission, Climate Resilient Planning</w:t>
            </w:r>
          </w:p>
        </w:tc>
        <w:tc>
          <w:tcPr>
            <w:tcW w:w="503" w:type="pct"/>
            <w:tcBorders>
              <w:top w:val="single" w:sz="4" w:space="0" w:color="1B556B"/>
              <w:bottom w:val="single" w:sz="4" w:space="0" w:color="1B556B"/>
            </w:tcBorders>
            <w:shd w:val="clear" w:color="000000" w:fill="FFFFFF"/>
            <w:noWrap/>
            <w:hideMark/>
          </w:tcPr>
          <w:p w14:paraId="4090F5AA"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1,114,845</w:t>
            </w:r>
          </w:p>
        </w:tc>
        <w:tc>
          <w:tcPr>
            <w:tcW w:w="414" w:type="pct"/>
            <w:tcBorders>
              <w:top w:val="single" w:sz="4" w:space="0" w:color="1B556B"/>
              <w:bottom w:val="single" w:sz="4" w:space="0" w:color="1B556B"/>
            </w:tcBorders>
            <w:shd w:val="clear" w:color="000000" w:fill="FFFFFF"/>
            <w:hideMark/>
          </w:tcPr>
          <w:p w14:paraId="142D416B"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1,759,003</w:t>
            </w:r>
          </w:p>
        </w:tc>
        <w:tc>
          <w:tcPr>
            <w:tcW w:w="323" w:type="pct"/>
            <w:tcBorders>
              <w:top w:val="single" w:sz="4" w:space="0" w:color="1B556B"/>
              <w:bottom w:val="single" w:sz="4" w:space="0" w:color="1B556B"/>
            </w:tcBorders>
            <w:shd w:val="clear" w:color="000000" w:fill="FFFFFF"/>
            <w:noWrap/>
            <w:hideMark/>
          </w:tcPr>
          <w:p w14:paraId="2733645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799E09F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3EF236A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D28902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482EBA9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43B973C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3C9C286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4DC6182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54D69163"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1E48E5C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Tuvalu</w:t>
            </w:r>
          </w:p>
        </w:tc>
        <w:tc>
          <w:tcPr>
            <w:tcW w:w="653" w:type="pct"/>
            <w:tcBorders>
              <w:top w:val="single" w:sz="4" w:space="0" w:color="1B556B"/>
              <w:bottom w:val="single" w:sz="4" w:space="0" w:color="1B556B"/>
            </w:tcBorders>
            <w:shd w:val="clear" w:color="000000" w:fill="FFFFFF"/>
            <w:hideMark/>
          </w:tcPr>
          <w:p w14:paraId="6DA30D0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Fisheries Support Programme: 2020-2025</w:t>
            </w:r>
          </w:p>
        </w:tc>
        <w:tc>
          <w:tcPr>
            <w:tcW w:w="503" w:type="pct"/>
            <w:tcBorders>
              <w:top w:val="single" w:sz="4" w:space="0" w:color="1B556B"/>
              <w:bottom w:val="single" w:sz="4" w:space="0" w:color="1B556B"/>
            </w:tcBorders>
            <w:shd w:val="clear" w:color="000000" w:fill="FFFFFF"/>
            <w:noWrap/>
            <w:hideMark/>
          </w:tcPr>
          <w:p w14:paraId="2338BA2A"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279,844</w:t>
            </w:r>
          </w:p>
        </w:tc>
        <w:tc>
          <w:tcPr>
            <w:tcW w:w="414" w:type="pct"/>
            <w:tcBorders>
              <w:top w:val="single" w:sz="4" w:space="0" w:color="1B556B"/>
              <w:bottom w:val="single" w:sz="4" w:space="0" w:color="1B556B"/>
            </w:tcBorders>
            <w:shd w:val="clear" w:color="000000" w:fill="FFFFFF"/>
            <w:hideMark/>
          </w:tcPr>
          <w:p w14:paraId="524A9C46"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441,538</w:t>
            </w:r>
          </w:p>
        </w:tc>
        <w:tc>
          <w:tcPr>
            <w:tcW w:w="323" w:type="pct"/>
            <w:tcBorders>
              <w:top w:val="single" w:sz="4" w:space="0" w:color="1B556B"/>
              <w:bottom w:val="single" w:sz="4" w:space="0" w:color="1B556B"/>
            </w:tcBorders>
            <w:shd w:val="clear" w:color="000000" w:fill="FFFFFF"/>
            <w:noWrap/>
            <w:hideMark/>
          </w:tcPr>
          <w:p w14:paraId="1359FA0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7DDAAFA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49912E7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1B1AB2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7800026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3368562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Fishing</w:t>
            </w:r>
          </w:p>
        </w:tc>
        <w:tc>
          <w:tcPr>
            <w:tcW w:w="281" w:type="pct"/>
            <w:tcBorders>
              <w:top w:val="single" w:sz="4" w:space="0" w:color="1B556B"/>
              <w:bottom w:val="single" w:sz="4" w:space="0" w:color="1B556B"/>
            </w:tcBorders>
            <w:shd w:val="clear" w:color="000000" w:fill="FFFFFF"/>
            <w:hideMark/>
          </w:tcPr>
          <w:p w14:paraId="44BEB77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6391362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511D5617"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4694776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48B58E99"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44" w:name="_Hlk176255867"/>
            <w:r w:rsidRPr="00865EEC">
              <w:rPr>
                <w:rFonts w:asciiTheme="minorHAnsi" w:hAnsiTheme="minorHAnsi" w:cstheme="minorHAnsi"/>
                <w:color w:val="000000"/>
                <w:sz w:val="16"/>
                <w:szCs w:val="16"/>
              </w:rPr>
              <w:t>Pacific Islands Forum Secretariat 2021-2023</w:t>
            </w:r>
            <w:bookmarkEnd w:id="944"/>
          </w:p>
        </w:tc>
        <w:tc>
          <w:tcPr>
            <w:tcW w:w="503" w:type="pct"/>
            <w:tcBorders>
              <w:top w:val="single" w:sz="4" w:space="0" w:color="1B556B"/>
              <w:bottom w:val="single" w:sz="4" w:space="0" w:color="1B556B"/>
            </w:tcBorders>
            <w:shd w:val="clear" w:color="000000" w:fill="FFFFFF"/>
            <w:noWrap/>
            <w:hideMark/>
          </w:tcPr>
          <w:p w14:paraId="782C57C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829,002</w:t>
            </w:r>
          </w:p>
        </w:tc>
        <w:tc>
          <w:tcPr>
            <w:tcW w:w="414" w:type="pct"/>
            <w:tcBorders>
              <w:top w:val="single" w:sz="4" w:space="0" w:color="1B556B"/>
              <w:bottom w:val="single" w:sz="4" w:space="0" w:color="1B556B"/>
            </w:tcBorders>
            <w:shd w:val="clear" w:color="000000" w:fill="FFFFFF"/>
            <w:hideMark/>
          </w:tcPr>
          <w:p w14:paraId="5831339B"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1,308,000</w:t>
            </w:r>
          </w:p>
        </w:tc>
        <w:tc>
          <w:tcPr>
            <w:tcW w:w="323" w:type="pct"/>
            <w:tcBorders>
              <w:top w:val="single" w:sz="4" w:space="0" w:color="1B556B"/>
              <w:bottom w:val="single" w:sz="4" w:space="0" w:color="1B556B"/>
            </w:tcBorders>
            <w:shd w:val="clear" w:color="000000" w:fill="FFFFFF"/>
            <w:noWrap/>
            <w:hideMark/>
          </w:tcPr>
          <w:p w14:paraId="72959CF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70B2CF5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16CA593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BCE380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6148273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2815CF6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67C1D15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118908A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3C8DF88B"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6D7C9A60" w14:textId="11A8C22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Timor</w:t>
            </w:r>
            <w:r w:rsidR="0008551C">
              <w:rPr>
                <w:rFonts w:asciiTheme="minorHAnsi" w:hAnsiTheme="minorHAnsi" w:cstheme="minorHAnsi"/>
                <w:color w:val="000000"/>
                <w:sz w:val="16"/>
                <w:szCs w:val="16"/>
              </w:rPr>
              <w:t>-</w:t>
            </w:r>
            <w:r w:rsidRPr="00865EEC">
              <w:rPr>
                <w:rFonts w:asciiTheme="minorHAnsi" w:hAnsiTheme="minorHAnsi" w:cstheme="minorHAnsi"/>
                <w:color w:val="000000"/>
                <w:sz w:val="16"/>
                <w:szCs w:val="16"/>
              </w:rPr>
              <w:t>Leste</w:t>
            </w:r>
          </w:p>
        </w:tc>
        <w:tc>
          <w:tcPr>
            <w:tcW w:w="653" w:type="pct"/>
            <w:tcBorders>
              <w:top w:val="single" w:sz="4" w:space="0" w:color="1B556B"/>
              <w:bottom w:val="single" w:sz="4" w:space="0" w:color="1B556B"/>
            </w:tcBorders>
            <w:shd w:val="clear" w:color="000000" w:fill="FFFFFF"/>
            <w:hideMark/>
          </w:tcPr>
          <w:p w14:paraId="603B55E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Crop Diversification in Timor-Leste</w:t>
            </w:r>
          </w:p>
        </w:tc>
        <w:tc>
          <w:tcPr>
            <w:tcW w:w="503" w:type="pct"/>
            <w:tcBorders>
              <w:top w:val="single" w:sz="4" w:space="0" w:color="1B556B"/>
              <w:bottom w:val="single" w:sz="4" w:space="0" w:color="1B556B"/>
            </w:tcBorders>
            <w:shd w:val="clear" w:color="000000" w:fill="FFFFFF"/>
            <w:noWrap/>
            <w:hideMark/>
          </w:tcPr>
          <w:p w14:paraId="5F5B50AA"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1,828,838</w:t>
            </w:r>
          </w:p>
        </w:tc>
        <w:tc>
          <w:tcPr>
            <w:tcW w:w="414" w:type="pct"/>
            <w:tcBorders>
              <w:top w:val="single" w:sz="4" w:space="0" w:color="1B556B"/>
              <w:bottom w:val="single" w:sz="4" w:space="0" w:color="1B556B"/>
            </w:tcBorders>
            <w:shd w:val="clear" w:color="000000" w:fill="FFFFFF"/>
            <w:hideMark/>
          </w:tcPr>
          <w:p w14:paraId="4D326A1D"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2,885,529</w:t>
            </w:r>
          </w:p>
        </w:tc>
        <w:tc>
          <w:tcPr>
            <w:tcW w:w="323" w:type="pct"/>
            <w:tcBorders>
              <w:top w:val="single" w:sz="4" w:space="0" w:color="1B556B"/>
              <w:bottom w:val="single" w:sz="4" w:space="0" w:color="1B556B"/>
            </w:tcBorders>
            <w:shd w:val="clear" w:color="000000" w:fill="FFFFFF"/>
            <w:noWrap/>
            <w:hideMark/>
          </w:tcPr>
          <w:p w14:paraId="221DCB0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6C01B17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1802F73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44D35EC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7BE8226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137BC98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000000" w:fill="FFFFFF"/>
            <w:hideMark/>
          </w:tcPr>
          <w:p w14:paraId="0EEEA48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742B4F4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59C35D6E"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2D84AF8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Worldwide/Multi-Region</w:t>
            </w:r>
          </w:p>
        </w:tc>
        <w:tc>
          <w:tcPr>
            <w:tcW w:w="653" w:type="pct"/>
            <w:tcBorders>
              <w:top w:val="single" w:sz="4" w:space="0" w:color="1B556B"/>
              <w:bottom w:val="single" w:sz="4" w:space="0" w:color="1B556B"/>
            </w:tcBorders>
            <w:shd w:val="clear" w:color="000000" w:fill="FFFFFF"/>
            <w:hideMark/>
          </w:tcPr>
          <w:p w14:paraId="564FCA3A" w14:textId="47A173F6"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Save the Children New Zealand - Imp</w:t>
            </w:r>
            <w:r w:rsidR="00A33826">
              <w:rPr>
                <w:rFonts w:asciiTheme="minorHAnsi" w:hAnsiTheme="minorHAnsi" w:cstheme="minorHAnsi"/>
                <w:color w:val="000000"/>
                <w:sz w:val="16"/>
                <w:szCs w:val="16"/>
              </w:rPr>
              <w:t>lementation</w:t>
            </w:r>
          </w:p>
        </w:tc>
        <w:tc>
          <w:tcPr>
            <w:tcW w:w="503" w:type="pct"/>
            <w:tcBorders>
              <w:top w:val="single" w:sz="4" w:space="0" w:color="1B556B"/>
              <w:bottom w:val="single" w:sz="4" w:space="0" w:color="1B556B"/>
            </w:tcBorders>
            <w:shd w:val="clear" w:color="000000" w:fill="FFFFFF"/>
            <w:noWrap/>
            <w:hideMark/>
          </w:tcPr>
          <w:p w14:paraId="4E0E05A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104,576</w:t>
            </w:r>
          </w:p>
        </w:tc>
        <w:tc>
          <w:tcPr>
            <w:tcW w:w="414" w:type="pct"/>
            <w:tcBorders>
              <w:top w:val="single" w:sz="4" w:space="0" w:color="1B556B"/>
              <w:bottom w:val="single" w:sz="4" w:space="0" w:color="1B556B"/>
            </w:tcBorders>
            <w:shd w:val="clear" w:color="000000" w:fill="FFFFFF"/>
            <w:hideMark/>
          </w:tcPr>
          <w:p w14:paraId="0AFB0DA4"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165,000</w:t>
            </w:r>
          </w:p>
        </w:tc>
        <w:tc>
          <w:tcPr>
            <w:tcW w:w="323" w:type="pct"/>
            <w:tcBorders>
              <w:top w:val="single" w:sz="4" w:space="0" w:color="1B556B"/>
              <w:bottom w:val="single" w:sz="4" w:space="0" w:color="1B556B"/>
            </w:tcBorders>
            <w:shd w:val="clear" w:color="000000" w:fill="FFFFFF"/>
            <w:noWrap/>
            <w:hideMark/>
          </w:tcPr>
          <w:p w14:paraId="5C4714B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2DF3471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68FA17B0" w14:textId="17EA888D"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5D6BA3D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05792DF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14E56C2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4072943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06ADEF5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72646E6F"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36E41EB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Worldwide/Multi-Region</w:t>
            </w:r>
          </w:p>
        </w:tc>
        <w:tc>
          <w:tcPr>
            <w:tcW w:w="653" w:type="pct"/>
            <w:tcBorders>
              <w:top w:val="single" w:sz="4" w:space="0" w:color="1B556B"/>
              <w:bottom w:val="single" w:sz="4" w:space="0" w:color="1B556B"/>
            </w:tcBorders>
            <w:shd w:val="clear" w:color="000000" w:fill="FFFFFF"/>
            <w:hideMark/>
          </w:tcPr>
          <w:p w14:paraId="687B904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ChildFund New Zealand Implementation</w:t>
            </w:r>
          </w:p>
        </w:tc>
        <w:tc>
          <w:tcPr>
            <w:tcW w:w="503" w:type="pct"/>
            <w:tcBorders>
              <w:top w:val="single" w:sz="4" w:space="0" w:color="1B556B"/>
              <w:bottom w:val="single" w:sz="4" w:space="0" w:color="1B556B"/>
            </w:tcBorders>
            <w:shd w:val="clear" w:color="000000" w:fill="FFFFFF"/>
            <w:noWrap/>
            <w:hideMark/>
          </w:tcPr>
          <w:p w14:paraId="675AAAF0"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320,497</w:t>
            </w:r>
          </w:p>
        </w:tc>
        <w:tc>
          <w:tcPr>
            <w:tcW w:w="414" w:type="pct"/>
            <w:tcBorders>
              <w:top w:val="single" w:sz="4" w:space="0" w:color="1B556B"/>
              <w:bottom w:val="single" w:sz="4" w:space="0" w:color="1B556B"/>
            </w:tcBorders>
            <w:shd w:val="clear" w:color="000000" w:fill="FFFFFF"/>
            <w:hideMark/>
          </w:tcPr>
          <w:p w14:paraId="1C5CAD6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505,680</w:t>
            </w:r>
          </w:p>
        </w:tc>
        <w:tc>
          <w:tcPr>
            <w:tcW w:w="323" w:type="pct"/>
            <w:tcBorders>
              <w:top w:val="single" w:sz="4" w:space="0" w:color="1B556B"/>
              <w:bottom w:val="single" w:sz="4" w:space="0" w:color="1B556B"/>
            </w:tcBorders>
            <w:shd w:val="clear" w:color="000000" w:fill="FFFFFF"/>
            <w:noWrap/>
            <w:hideMark/>
          </w:tcPr>
          <w:p w14:paraId="2A7517B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691AC1E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428CDA1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30984A4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5D67358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5B7E4A4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16F52AE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567C1CA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04AA3509"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11ED9FD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Fiji</w:t>
            </w:r>
          </w:p>
        </w:tc>
        <w:tc>
          <w:tcPr>
            <w:tcW w:w="653" w:type="pct"/>
            <w:tcBorders>
              <w:top w:val="single" w:sz="4" w:space="0" w:color="1B556B"/>
              <w:bottom w:val="single" w:sz="4" w:space="0" w:color="1B556B"/>
            </w:tcBorders>
            <w:shd w:val="clear" w:color="000000" w:fill="FFFFFF"/>
            <w:hideMark/>
          </w:tcPr>
          <w:p w14:paraId="641AF81D" w14:textId="6E75FC98" w:rsidR="007113F5" w:rsidRPr="00865EEC" w:rsidRDefault="007113F5">
            <w:pPr>
              <w:spacing w:before="60" w:after="60" w:line="240" w:lineRule="auto"/>
              <w:jc w:val="left"/>
              <w:rPr>
                <w:rFonts w:asciiTheme="minorHAnsi" w:hAnsiTheme="minorHAnsi" w:cstheme="minorHAnsi"/>
                <w:color w:val="000000"/>
                <w:sz w:val="16"/>
                <w:szCs w:val="16"/>
              </w:rPr>
            </w:pPr>
            <w:bookmarkStart w:id="945" w:name="_Hlk176268347"/>
            <w:r w:rsidRPr="00865EEC">
              <w:rPr>
                <w:rFonts w:asciiTheme="minorHAnsi" w:hAnsiTheme="minorHAnsi" w:cstheme="minorHAnsi"/>
                <w:color w:val="000000"/>
                <w:sz w:val="16"/>
                <w:szCs w:val="16"/>
              </w:rPr>
              <w:t>Rural Water Sanitation Hygiene Programme, Fiji</w:t>
            </w:r>
            <w:bookmarkEnd w:id="945"/>
          </w:p>
        </w:tc>
        <w:tc>
          <w:tcPr>
            <w:tcW w:w="503" w:type="pct"/>
            <w:tcBorders>
              <w:top w:val="single" w:sz="4" w:space="0" w:color="1B556B"/>
              <w:bottom w:val="single" w:sz="4" w:space="0" w:color="1B556B"/>
            </w:tcBorders>
            <w:shd w:val="clear" w:color="000000" w:fill="FFFFFF"/>
            <w:noWrap/>
            <w:hideMark/>
          </w:tcPr>
          <w:p w14:paraId="79AD6306"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79,224</w:t>
            </w:r>
          </w:p>
        </w:tc>
        <w:tc>
          <w:tcPr>
            <w:tcW w:w="414" w:type="pct"/>
            <w:tcBorders>
              <w:top w:val="single" w:sz="4" w:space="0" w:color="1B556B"/>
              <w:bottom w:val="single" w:sz="4" w:space="0" w:color="1B556B"/>
            </w:tcBorders>
            <w:shd w:val="clear" w:color="000000" w:fill="FFFFFF"/>
            <w:hideMark/>
          </w:tcPr>
          <w:p w14:paraId="0BBCCC0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125,000</w:t>
            </w:r>
          </w:p>
        </w:tc>
        <w:tc>
          <w:tcPr>
            <w:tcW w:w="323" w:type="pct"/>
            <w:tcBorders>
              <w:top w:val="single" w:sz="4" w:space="0" w:color="1B556B"/>
              <w:bottom w:val="single" w:sz="4" w:space="0" w:color="1B556B"/>
            </w:tcBorders>
            <w:shd w:val="clear" w:color="000000" w:fill="FFFFFF"/>
            <w:noWrap/>
            <w:hideMark/>
          </w:tcPr>
          <w:p w14:paraId="64EAE85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22E0A20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1EB5D95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41609C4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325915C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1EA665E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Water and Sanitation</w:t>
            </w:r>
          </w:p>
        </w:tc>
        <w:tc>
          <w:tcPr>
            <w:tcW w:w="281" w:type="pct"/>
            <w:tcBorders>
              <w:top w:val="single" w:sz="4" w:space="0" w:color="1B556B"/>
              <w:bottom w:val="single" w:sz="4" w:space="0" w:color="1B556B"/>
            </w:tcBorders>
            <w:shd w:val="clear" w:color="000000" w:fill="FFFFFF"/>
            <w:hideMark/>
          </w:tcPr>
          <w:p w14:paraId="709F9E7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368E1AE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0C78F54B"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10C1411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60EA9FE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Polynesian Climate and Community Resilience</w:t>
            </w:r>
          </w:p>
        </w:tc>
        <w:tc>
          <w:tcPr>
            <w:tcW w:w="503" w:type="pct"/>
            <w:tcBorders>
              <w:top w:val="single" w:sz="4" w:space="0" w:color="1B556B"/>
              <w:bottom w:val="single" w:sz="4" w:space="0" w:color="1B556B"/>
            </w:tcBorders>
            <w:shd w:val="clear" w:color="000000" w:fill="FFFFFF"/>
            <w:noWrap/>
            <w:hideMark/>
          </w:tcPr>
          <w:p w14:paraId="2405B352"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330,101</w:t>
            </w:r>
          </w:p>
        </w:tc>
        <w:tc>
          <w:tcPr>
            <w:tcW w:w="414" w:type="pct"/>
            <w:tcBorders>
              <w:top w:val="single" w:sz="4" w:space="0" w:color="1B556B"/>
              <w:bottom w:val="single" w:sz="4" w:space="0" w:color="1B556B"/>
            </w:tcBorders>
            <w:shd w:val="clear" w:color="000000" w:fill="FFFFFF"/>
            <w:hideMark/>
          </w:tcPr>
          <w:p w14:paraId="09BD061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520,833</w:t>
            </w:r>
          </w:p>
        </w:tc>
        <w:tc>
          <w:tcPr>
            <w:tcW w:w="323" w:type="pct"/>
            <w:tcBorders>
              <w:top w:val="single" w:sz="4" w:space="0" w:color="1B556B"/>
              <w:bottom w:val="single" w:sz="4" w:space="0" w:color="1B556B"/>
            </w:tcBorders>
            <w:shd w:val="clear" w:color="000000" w:fill="FFFFFF"/>
            <w:noWrap/>
            <w:hideMark/>
          </w:tcPr>
          <w:p w14:paraId="339E734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60B907A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3566F5C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49F0571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24491DB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2405B69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0A3AB92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09DD5E5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1AAA8795"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1766EEE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Vanuatu</w:t>
            </w:r>
          </w:p>
        </w:tc>
        <w:tc>
          <w:tcPr>
            <w:tcW w:w="653" w:type="pct"/>
            <w:tcBorders>
              <w:top w:val="single" w:sz="4" w:space="0" w:color="1B556B"/>
              <w:bottom w:val="single" w:sz="4" w:space="0" w:color="1B556B"/>
            </w:tcBorders>
            <w:shd w:val="clear" w:color="000000" w:fill="FFFFFF"/>
            <w:hideMark/>
          </w:tcPr>
          <w:p w14:paraId="62E6DCC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Delivering the Water Promise 2030, Vanuatu</w:t>
            </w:r>
          </w:p>
        </w:tc>
        <w:tc>
          <w:tcPr>
            <w:tcW w:w="503" w:type="pct"/>
            <w:tcBorders>
              <w:top w:val="single" w:sz="4" w:space="0" w:color="1B556B"/>
              <w:bottom w:val="single" w:sz="4" w:space="0" w:color="1B556B"/>
            </w:tcBorders>
            <w:shd w:val="clear" w:color="000000" w:fill="FFFFFF"/>
            <w:noWrap/>
            <w:hideMark/>
          </w:tcPr>
          <w:p w14:paraId="4DB13448"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63,379</w:t>
            </w:r>
          </w:p>
        </w:tc>
        <w:tc>
          <w:tcPr>
            <w:tcW w:w="414" w:type="pct"/>
            <w:tcBorders>
              <w:top w:val="single" w:sz="4" w:space="0" w:color="1B556B"/>
              <w:bottom w:val="single" w:sz="4" w:space="0" w:color="1B556B"/>
            </w:tcBorders>
            <w:shd w:val="clear" w:color="000000" w:fill="FFFFFF"/>
            <w:hideMark/>
          </w:tcPr>
          <w:p w14:paraId="222F948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100,000</w:t>
            </w:r>
          </w:p>
        </w:tc>
        <w:tc>
          <w:tcPr>
            <w:tcW w:w="323" w:type="pct"/>
            <w:tcBorders>
              <w:top w:val="single" w:sz="4" w:space="0" w:color="1B556B"/>
              <w:bottom w:val="single" w:sz="4" w:space="0" w:color="1B556B"/>
            </w:tcBorders>
            <w:shd w:val="clear" w:color="000000" w:fill="FFFFFF"/>
            <w:noWrap/>
            <w:hideMark/>
          </w:tcPr>
          <w:p w14:paraId="16611DB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26BDAAD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554F6D7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3266D8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5443C57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46FAD9F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Water and Sanitation</w:t>
            </w:r>
          </w:p>
        </w:tc>
        <w:tc>
          <w:tcPr>
            <w:tcW w:w="281" w:type="pct"/>
            <w:tcBorders>
              <w:top w:val="single" w:sz="4" w:space="0" w:color="1B556B"/>
              <w:bottom w:val="single" w:sz="4" w:space="0" w:color="1B556B"/>
            </w:tcBorders>
            <w:shd w:val="clear" w:color="000000" w:fill="FFFFFF"/>
            <w:hideMark/>
          </w:tcPr>
          <w:p w14:paraId="2087D47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15EF5C0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42AADAD5"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1B202F7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3CC94431"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46" w:name="_Hlk176255940"/>
            <w:r w:rsidRPr="00865EEC">
              <w:rPr>
                <w:rFonts w:asciiTheme="minorHAnsi" w:hAnsiTheme="minorHAnsi" w:cstheme="minorHAnsi"/>
                <w:color w:val="000000"/>
                <w:sz w:val="16"/>
                <w:szCs w:val="16"/>
              </w:rPr>
              <w:t>Business Link Pacific Phase II</w:t>
            </w:r>
            <w:bookmarkEnd w:id="946"/>
          </w:p>
        </w:tc>
        <w:tc>
          <w:tcPr>
            <w:tcW w:w="503" w:type="pct"/>
            <w:tcBorders>
              <w:top w:val="single" w:sz="4" w:space="0" w:color="1B556B"/>
              <w:bottom w:val="single" w:sz="4" w:space="0" w:color="1B556B"/>
            </w:tcBorders>
            <w:shd w:val="clear" w:color="000000" w:fill="FFFFFF"/>
            <w:noWrap/>
            <w:hideMark/>
          </w:tcPr>
          <w:p w14:paraId="1049D77B"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457,913</w:t>
            </w:r>
          </w:p>
        </w:tc>
        <w:tc>
          <w:tcPr>
            <w:tcW w:w="414" w:type="pct"/>
            <w:tcBorders>
              <w:top w:val="single" w:sz="4" w:space="0" w:color="1B556B"/>
              <w:bottom w:val="single" w:sz="4" w:space="0" w:color="1B556B"/>
            </w:tcBorders>
            <w:shd w:val="clear" w:color="000000" w:fill="FFFFFF"/>
            <w:hideMark/>
          </w:tcPr>
          <w:p w14:paraId="7BDC4EB0"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722,495</w:t>
            </w:r>
          </w:p>
        </w:tc>
        <w:tc>
          <w:tcPr>
            <w:tcW w:w="323" w:type="pct"/>
            <w:tcBorders>
              <w:top w:val="single" w:sz="4" w:space="0" w:color="1B556B"/>
              <w:bottom w:val="single" w:sz="4" w:space="0" w:color="1B556B"/>
            </w:tcBorders>
            <w:shd w:val="clear" w:color="000000" w:fill="FFFFFF"/>
            <w:noWrap/>
            <w:hideMark/>
          </w:tcPr>
          <w:p w14:paraId="4DC3C14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69DBA17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29CEC4D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7C62988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6D81D81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294AF56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Banking and Financial Services</w:t>
            </w:r>
          </w:p>
        </w:tc>
        <w:tc>
          <w:tcPr>
            <w:tcW w:w="281" w:type="pct"/>
            <w:tcBorders>
              <w:top w:val="single" w:sz="4" w:space="0" w:color="1B556B"/>
              <w:bottom w:val="single" w:sz="4" w:space="0" w:color="1B556B"/>
            </w:tcBorders>
            <w:shd w:val="clear" w:color="000000" w:fill="FFFFFF"/>
            <w:hideMark/>
          </w:tcPr>
          <w:p w14:paraId="3BB4E8D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2655BFC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7B9614C4"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2F99F74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40B0D0E3"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47" w:name="_Hlk176255977"/>
            <w:r w:rsidRPr="00865EEC">
              <w:rPr>
                <w:rFonts w:asciiTheme="minorHAnsi" w:hAnsiTheme="minorHAnsi" w:cstheme="minorHAnsi"/>
                <w:color w:val="000000"/>
                <w:sz w:val="16"/>
                <w:szCs w:val="16"/>
              </w:rPr>
              <w:t>Forum Fisheries Agency 2021-26 core funding</w:t>
            </w:r>
            <w:bookmarkEnd w:id="947"/>
          </w:p>
        </w:tc>
        <w:tc>
          <w:tcPr>
            <w:tcW w:w="503" w:type="pct"/>
            <w:tcBorders>
              <w:top w:val="single" w:sz="4" w:space="0" w:color="1B556B"/>
              <w:bottom w:val="single" w:sz="4" w:space="0" w:color="1B556B"/>
            </w:tcBorders>
            <w:shd w:val="clear" w:color="000000" w:fill="FFFFFF"/>
            <w:noWrap/>
            <w:hideMark/>
          </w:tcPr>
          <w:p w14:paraId="5A4A69BB"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684,497</w:t>
            </w:r>
          </w:p>
        </w:tc>
        <w:tc>
          <w:tcPr>
            <w:tcW w:w="414" w:type="pct"/>
            <w:tcBorders>
              <w:top w:val="single" w:sz="4" w:space="0" w:color="1B556B"/>
              <w:bottom w:val="single" w:sz="4" w:space="0" w:color="1B556B"/>
            </w:tcBorders>
            <w:shd w:val="clear" w:color="000000" w:fill="FFFFFF"/>
            <w:hideMark/>
          </w:tcPr>
          <w:p w14:paraId="73C71FE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1,080,000</w:t>
            </w:r>
          </w:p>
        </w:tc>
        <w:tc>
          <w:tcPr>
            <w:tcW w:w="323" w:type="pct"/>
            <w:tcBorders>
              <w:top w:val="single" w:sz="4" w:space="0" w:color="1B556B"/>
              <w:bottom w:val="single" w:sz="4" w:space="0" w:color="1B556B"/>
            </w:tcBorders>
            <w:shd w:val="clear" w:color="000000" w:fill="FFFFFF"/>
            <w:noWrap/>
            <w:hideMark/>
          </w:tcPr>
          <w:p w14:paraId="391F82C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08E936C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75E66CD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23EB69E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194B648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7C5BF75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Fishing</w:t>
            </w:r>
          </w:p>
        </w:tc>
        <w:tc>
          <w:tcPr>
            <w:tcW w:w="281" w:type="pct"/>
            <w:tcBorders>
              <w:top w:val="single" w:sz="4" w:space="0" w:color="1B556B"/>
              <w:bottom w:val="single" w:sz="4" w:space="0" w:color="1B556B"/>
            </w:tcBorders>
            <w:shd w:val="clear" w:color="000000" w:fill="FFFFFF"/>
            <w:hideMark/>
          </w:tcPr>
          <w:p w14:paraId="6F2D9BB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43BB180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1AFE4B83"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47A79AF0"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48" w:name="_Hlk176256085"/>
            <w:r w:rsidRPr="00865EEC">
              <w:rPr>
                <w:rFonts w:asciiTheme="minorHAnsi" w:hAnsiTheme="minorHAnsi" w:cstheme="minorHAnsi"/>
                <w:color w:val="000000"/>
                <w:sz w:val="16"/>
                <w:szCs w:val="16"/>
              </w:rPr>
              <w:t>Indonesia</w:t>
            </w:r>
          </w:p>
        </w:tc>
        <w:tc>
          <w:tcPr>
            <w:tcW w:w="653" w:type="pct"/>
            <w:tcBorders>
              <w:top w:val="single" w:sz="4" w:space="0" w:color="1B556B"/>
              <w:bottom w:val="single" w:sz="4" w:space="0" w:color="1B556B"/>
            </w:tcBorders>
            <w:shd w:val="clear" w:color="000000" w:fill="FFFFFF"/>
            <w:hideMark/>
          </w:tcPr>
          <w:p w14:paraId="03EFCD3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w:t>
            </w:r>
            <w:bookmarkStart w:id="949" w:name="_Hlk176268475"/>
            <w:r w:rsidRPr="00865EEC">
              <w:rPr>
                <w:rFonts w:asciiTheme="minorHAnsi" w:hAnsiTheme="minorHAnsi" w:cstheme="minorHAnsi"/>
                <w:color w:val="000000"/>
                <w:sz w:val="16"/>
                <w:szCs w:val="16"/>
              </w:rPr>
              <w:t>donesia Renewable Energy Programme Resourcing</w:t>
            </w:r>
            <w:bookmarkEnd w:id="949"/>
          </w:p>
        </w:tc>
        <w:tc>
          <w:tcPr>
            <w:tcW w:w="503" w:type="pct"/>
            <w:tcBorders>
              <w:top w:val="single" w:sz="4" w:space="0" w:color="1B556B"/>
              <w:bottom w:val="single" w:sz="4" w:space="0" w:color="1B556B"/>
            </w:tcBorders>
            <w:shd w:val="clear" w:color="000000" w:fill="FFFFFF"/>
            <w:noWrap/>
            <w:hideMark/>
          </w:tcPr>
          <w:p w14:paraId="21A0A3A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93,414</w:t>
            </w:r>
          </w:p>
        </w:tc>
        <w:tc>
          <w:tcPr>
            <w:tcW w:w="414" w:type="pct"/>
            <w:tcBorders>
              <w:top w:val="single" w:sz="4" w:space="0" w:color="1B556B"/>
              <w:bottom w:val="single" w:sz="4" w:space="0" w:color="1B556B"/>
            </w:tcBorders>
            <w:shd w:val="clear" w:color="000000" w:fill="FFFFFF"/>
            <w:hideMark/>
          </w:tcPr>
          <w:p w14:paraId="2AB21980"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147,388</w:t>
            </w:r>
          </w:p>
        </w:tc>
        <w:tc>
          <w:tcPr>
            <w:tcW w:w="323" w:type="pct"/>
            <w:tcBorders>
              <w:top w:val="single" w:sz="4" w:space="0" w:color="1B556B"/>
              <w:bottom w:val="single" w:sz="4" w:space="0" w:color="1B556B"/>
            </w:tcBorders>
            <w:shd w:val="clear" w:color="000000" w:fill="FFFFFF"/>
            <w:noWrap/>
            <w:hideMark/>
          </w:tcPr>
          <w:p w14:paraId="0D891E5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605CC29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61A231C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265BD8F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2C9E338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4C2B685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Energy</w:t>
            </w:r>
          </w:p>
        </w:tc>
        <w:tc>
          <w:tcPr>
            <w:tcW w:w="281" w:type="pct"/>
            <w:tcBorders>
              <w:top w:val="single" w:sz="4" w:space="0" w:color="1B556B"/>
              <w:bottom w:val="single" w:sz="4" w:space="0" w:color="1B556B"/>
            </w:tcBorders>
            <w:shd w:val="clear" w:color="000000" w:fill="FFFFFF"/>
            <w:hideMark/>
          </w:tcPr>
          <w:p w14:paraId="384E57C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3089368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bookmarkEnd w:id="948"/>
      <w:tr w:rsidR="00F57429" w:rsidRPr="00865EEC" w14:paraId="1500B400"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28A3B25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Worldwide/Multi-Region</w:t>
            </w:r>
          </w:p>
        </w:tc>
        <w:tc>
          <w:tcPr>
            <w:tcW w:w="653" w:type="pct"/>
            <w:tcBorders>
              <w:top w:val="single" w:sz="4" w:space="0" w:color="1B556B"/>
              <w:bottom w:val="single" w:sz="4" w:space="0" w:color="1B556B"/>
            </w:tcBorders>
            <w:shd w:val="clear" w:color="000000" w:fill="FFFFFF"/>
            <w:hideMark/>
          </w:tcPr>
          <w:p w14:paraId="2AFD6D9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Oxfam Implementation</w:t>
            </w:r>
          </w:p>
        </w:tc>
        <w:tc>
          <w:tcPr>
            <w:tcW w:w="503" w:type="pct"/>
            <w:tcBorders>
              <w:top w:val="single" w:sz="4" w:space="0" w:color="1B556B"/>
              <w:bottom w:val="single" w:sz="4" w:space="0" w:color="1B556B"/>
            </w:tcBorders>
            <w:shd w:val="clear" w:color="000000" w:fill="FFFFFF"/>
            <w:noWrap/>
            <w:hideMark/>
          </w:tcPr>
          <w:p w14:paraId="5762770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66,396</w:t>
            </w:r>
          </w:p>
        </w:tc>
        <w:tc>
          <w:tcPr>
            <w:tcW w:w="414" w:type="pct"/>
            <w:tcBorders>
              <w:top w:val="single" w:sz="4" w:space="0" w:color="1B556B"/>
              <w:bottom w:val="single" w:sz="4" w:space="0" w:color="1B556B"/>
            </w:tcBorders>
            <w:shd w:val="clear" w:color="000000" w:fill="FFFFFF"/>
            <w:hideMark/>
          </w:tcPr>
          <w:p w14:paraId="777DF9D9"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104,760</w:t>
            </w:r>
          </w:p>
        </w:tc>
        <w:tc>
          <w:tcPr>
            <w:tcW w:w="323" w:type="pct"/>
            <w:tcBorders>
              <w:top w:val="single" w:sz="4" w:space="0" w:color="1B556B"/>
              <w:bottom w:val="single" w:sz="4" w:space="0" w:color="1B556B"/>
            </w:tcBorders>
            <w:shd w:val="clear" w:color="000000" w:fill="FFFFFF"/>
            <w:noWrap/>
            <w:hideMark/>
          </w:tcPr>
          <w:p w14:paraId="36E6E8A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53781B0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41B16C2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4E8FE0A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00A931A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75E2406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03CDE23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0C6B8CA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5EBE61A5"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7060DB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Worldwide/Multi-Region</w:t>
            </w:r>
          </w:p>
        </w:tc>
        <w:tc>
          <w:tcPr>
            <w:tcW w:w="653" w:type="pct"/>
            <w:tcBorders>
              <w:top w:val="single" w:sz="4" w:space="0" w:color="1B556B"/>
              <w:bottom w:val="single" w:sz="4" w:space="0" w:color="1B556B"/>
            </w:tcBorders>
            <w:shd w:val="clear" w:color="000000" w:fill="FFFFFF"/>
            <w:hideMark/>
          </w:tcPr>
          <w:p w14:paraId="1E49C5C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Caritas New Zealand Implementation</w:t>
            </w:r>
          </w:p>
        </w:tc>
        <w:tc>
          <w:tcPr>
            <w:tcW w:w="503" w:type="pct"/>
            <w:tcBorders>
              <w:top w:val="single" w:sz="4" w:space="0" w:color="1B556B"/>
              <w:bottom w:val="single" w:sz="4" w:space="0" w:color="1B556B"/>
            </w:tcBorders>
            <w:shd w:val="clear" w:color="000000" w:fill="FFFFFF"/>
            <w:noWrap/>
            <w:hideMark/>
          </w:tcPr>
          <w:p w14:paraId="0F3647E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256,687</w:t>
            </w:r>
          </w:p>
        </w:tc>
        <w:tc>
          <w:tcPr>
            <w:tcW w:w="414" w:type="pct"/>
            <w:tcBorders>
              <w:top w:val="single" w:sz="4" w:space="0" w:color="1B556B"/>
              <w:bottom w:val="single" w:sz="4" w:space="0" w:color="1B556B"/>
            </w:tcBorders>
            <w:shd w:val="clear" w:color="000000" w:fill="FFFFFF"/>
            <w:hideMark/>
          </w:tcPr>
          <w:p w14:paraId="307046A0"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405,000</w:t>
            </w:r>
          </w:p>
        </w:tc>
        <w:tc>
          <w:tcPr>
            <w:tcW w:w="323" w:type="pct"/>
            <w:tcBorders>
              <w:top w:val="single" w:sz="4" w:space="0" w:color="1B556B"/>
              <w:bottom w:val="single" w:sz="4" w:space="0" w:color="1B556B"/>
            </w:tcBorders>
            <w:shd w:val="clear" w:color="000000" w:fill="FFFFFF"/>
            <w:noWrap/>
            <w:hideMark/>
          </w:tcPr>
          <w:p w14:paraId="5E52315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123B4F1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0856DF1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07B8F06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5CEBC66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5C28657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14C8871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6BF2DAB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49C8FC28"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48B4E0D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5E217EA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UNICEF NZ Implementation</w:t>
            </w:r>
          </w:p>
        </w:tc>
        <w:tc>
          <w:tcPr>
            <w:tcW w:w="503" w:type="pct"/>
            <w:tcBorders>
              <w:top w:val="single" w:sz="4" w:space="0" w:color="1B556B"/>
              <w:bottom w:val="single" w:sz="4" w:space="0" w:color="1B556B"/>
            </w:tcBorders>
            <w:shd w:val="clear" w:color="000000" w:fill="FFFFFF"/>
            <w:noWrap/>
            <w:hideMark/>
          </w:tcPr>
          <w:p w14:paraId="4604A682"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630,596</w:t>
            </w:r>
          </w:p>
        </w:tc>
        <w:tc>
          <w:tcPr>
            <w:tcW w:w="414" w:type="pct"/>
            <w:tcBorders>
              <w:top w:val="single" w:sz="4" w:space="0" w:color="1B556B"/>
              <w:bottom w:val="single" w:sz="4" w:space="0" w:color="1B556B"/>
            </w:tcBorders>
            <w:shd w:val="clear" w:color="000000" w:fill="FFFFFF"/>
            <w:hideMark/>
          </w:tcPr>
          <w:p w14:paraId="3B749AE6"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994,954</w:t>
            </w:r>
          </w:p>
        </w:tc>
        <w:tc>
          <w:tcPr>
            <w:tcW w:w="323" w:type="pct"/>
            <w:tcBorders>
              <w:top w:val="single" w:sz="4" w:space="0" w:color="1B556B"/>
              <w:bottom w:val="single" w:sz="4" w:space="0" w:color="1B556B"/>
            </w:tcBorders>
            <w:shd w:val="clear" w:color="000000" w:fill="FFFFFF"/>
            <w:noWrap/>
            <w:hideMark/>
          </w:tcPr>
          <w:p w14:paraId="036742F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2B800C2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6A5E8CD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484D935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631AEAF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1AB3F41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04A72C3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1C56D22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15BB9D84"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3E7E6A2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Worldwide/Multi-Region</w:t>
            </w:r>
          </w:p>
        </w:tc>
        <w:tc>
          <w:tcPr>
            <w:tcW w:w="653" w:type="pct"/>
            <w:tcBorders>
              <w:top w:val="single" w:sz="4" w:space="0" w:color="1B556B"/>
              <w:bottom w:val="single" w:sz="4" w:space="0" w:color="1B556B"/>
            </w:tcBorders>
            <w:shd w:val="clear" w:color="000000" w:fill="FFFFFF"/>
            <w:hideMark/>
          </w:tcPr>
          <w:p w14:paraId="12BAB83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The Adventist Development and Relief Agency Implementation</w:t>
            </w:r>
          </w:p>
        </w:tc>
        <w:tc>
          <w:tcPr>
            <w:tcW w:w="503" w:type="pct"/>
            <w:tcBorders>
              <w:top w:val="single" w:sz="4" w:space="0" w:color="1B556B"/>
              <w:bottom w:val="single" w:sz="4" w:space="0" w:color="1B556B"/>
            </w:tcBorders>
            <w:shd w:val="clear" w:color="000000" w:fill="FFFFFF"/>
            <w:noWrap/>
            <w:hideMark/>
          </w:tcPr>
          <w:p w14:paraId="203A580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480,594</w:t>
            </w:r>
          </w:p>
        </w:tc>
        <w:tc>
          <w:tcPr>
            <w:tcW w:w="414" w:type="pct"/>
            <w:tcBorders>
              <w:top w:val="single" w:sz="4" w:space="0" w:color="1B556B"/>
              <w:bottom w:val="single" w:sz="4" w:space="0" w:color="1B556B"/>
            </w:tcBorders>
            <w:shd w:val="clear" w:color="000000" w:fill="FFFFFF"/>
            <w:hideMark/>
          </w:tcPr>
          <w:p w14:paraId="7950891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758,282</w:t>
            </w:r>
          </w:p>
        </w:tc>
        <w:tc>
          <w:tcPr>
            <w:tcW w:w="323" w:type="pct"/>
            <w:tcBorders>
              <w:top w:val="single" w:sz="4" w:space="0" w:color="1B556B"/>
              <w:bottom w:val="single" w:sz="4" w:space="0" w:color="1B556B"/>
            </w:tcBorders>
            <w:shd w:val="clear" w:color="000000" w:fill="FFFFFF"/>
            <w:noWrap/>
            <w:hideMark/>
          </w:tcPr>
          <w:p w14:paraId="21A740A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2868C4C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5650D16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757EBD4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1A302A9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44DF3FA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439A684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159F278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11D437F3"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9968B0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Worldwide/Multi-Region</w:t>
            </w:r>
          </w:p>
        </w:tc>
        <w:tc>
          <w:tcPr>
            <w:tcW w:w="653" w:type="pct"/>
            <w:tcBorders>
              <w:top w:val="single" w:sz="4" w:space="0" w:color="1B556B"/>
              <w:bottom w:val="single" w:sz="4" w:space="0" w:color="1B556B"/>
            </w:tcBorders>
            <w:shd w:val="clear" w:color="000000" w:fill="FFFFFF"/>
            <w:hideMark/>
          </w:tcPr>
          <w:p w14:paraId="7F603640"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50" w:name="_Hlk176256150"/>
            <w:r w:rsidRPr="00865EEC">
              <w:rPr>
                <w:rFonts w:asciiTheme="minorHAnsi" w:hAnsiTheme="minorHAnsi" w:cstheme="minorHAnsi"/>
                <w:color w:val="000000"/>
                <w:sz w:val="16"/>
                <w:szCs w:val="16"/>
              </w:rPr>
              <w:t>TearFund New Zealand Implementation</w:t>
            </w:r>
            <w:bookmarkEnd w:id="950"/>
          </w:p>
        </w:tc>
        <w:tc>
          <w:tcPr>
            <w:tcW w:w="503" w:type="pct"/>
            <w:tcBorders>
              <w:top w:val="single" w:sz="4" w:space="0" w:color="1B556B"/>
              <w:bottom w:val="single" w:sz="4" w:space="0" w:color="1B556B"/>
            </w:tcBorders>
            <w:shd w:val="clear" w:color="000000" w:fill="FFFFFF"/>
            <w:noWrap/>
            <w:hideMark/>
          </w:tcPr>
          <w:p w14:paraId="290E239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310,401</w:t>
            </w:r>
          </w:p>
        </w:tc>
        <w:tc>
          <w:tcPr>
            <w:tcW w:w="414" w:type="pct"/>
            <w:tcBorders>
              <w:top w:val="single" w:sz="4" w:space="0" w:color="1B556B"/>
              <w:bottom w:val="single" w:sz="4" w:space="0" w:color="1B556B"/>
            </w:tcBorders>
            <w:shd w:val="clear" w:color="000000" w:fill="FFFFFF"/>
            <w:hideMark/>
          </w:tcPr>
          <w:p w14:paraId="1E7953AB"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489,751</w:t>
            </w:r>
          </w:p>
        </w:tc>
        <w:tc>
          <w:tcPr>
            <w:tcW w:w="323" w:type="pct"/>
            <w:tcBorders>
              <w:top w:val="single" w:sz="4" w:space="0" w:color="1B556B"/>
              <w:bottom w:val="single" w:sz="4" w:space="0" w:color="1B556B"/>
            </w:tcBorders>
            <w:shd w:val="clear" w:color="000000" w:fill="FFFFFF"/>
            <w:noWrap/>
            <w:hideMark/>
          </w:tcPr>
          <w:p w14:paraId="2F8B96D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1926C08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7EB3B4C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4F2B450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4A041EC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1B1E384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7160B54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26186B2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276F4887"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15732B4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Indonesia</w:t>
            </w:r>
          </w:p>
        </w:tc>
        <w:tc>
          <w:tcPr>
            <w:tcW w:w="653" w:type="pct"/>
            <w:tcBorders>
              <w:top w:val="single" w:sz="4" w:space="0" w:color="1B556B"/>
              <w:bottom w:val="single" w:sz="4" w:space="0" w:color="1B556B"/>
            </w:tcBorders>
            <w:shd w:val="clear" w:color="000000" w:fill="FFFFFF"/>
            <w:hideMark/>
          </w:tcPr>
          <w:p w14:paraId="7E4F75D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Indonesia: Accelerate Renewable Energy Transition</w:t>
            </w:r>
          </w:p>
        </w:tc>
        <w:tc>
          <w:tcPr>
            <w:tcW w:w="503" w:type="pct"/>
            <w:tcBorders>
              <w:top w:val="single" w:sz="4" w:space="0" w:color="1B556B"/>
              <w:bottom w:val="single" w:sz="4" w:space="0" w:color="1B556B"/>
            </w:tcBorders>
            <w:shd w:val="clear" w:color="000000" w:fill="FFFFFF"/>
            <w:noWrap/>
            <w:hideMark/>
          </w:tcPr>
          <w:p w14:paraId="4968A46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693,188</w:t>
            </w:r>
          </w:p>
        </w:tc>
        <w:tc>
          <w:tcPr>
            <w:tcW w:w="414" w:type="pct"/>
            <w:tcBorders>
              <w:top w:val="single" w:sz="4" w:space="0" w:color="1B556B"/>
              <w:bottom w:val="single" w:sz="4" w:space="0" w:color="1B556B"/>
            </w:tcBorders>
            <w:shd w:val="clear" w:color="000000" w:fill="FFFFFF"/>
            <w:hideMark/>
          </w:tcPr>
          <w:p w14:paraId="4E77E174"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1,093,712</w:t>
            </w:r>
          </w:p>
        </w:tc>
        <w:tc>
          <w:tcPr>
            <w:tcW w:w="323" w:type="pct"/>
            <w:tcBorders>
              <w:top w:val="single" w:sz="4" w:space="0" w:color="1B556B"/>
              <w:bottom w:val="single" w:sz="4" w:space="0" w:color="1B556B"/>
            </w:tcBorders>
            <w:shd w:val="clear" w:color="000000" w:fill="FFFFFF"/>
            <w:noWrap/>
            <w:hideMark/>
          </w:tcPr>
          <w:p w14:paraId="6810F76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6DF0299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3177A93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56A49C3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040AE5D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Mitigation</w:t>
            </w:r>
          </w:p>
        </w:tc>
        <w:tc>
          <w:tcPr>
            <w:tcW w:w="495" w:type="pct"/>
            <w:tcBorders>
              <w:top w:val="single" w:sz="4" w:space="0" w:color="1B556B"/>
              <w:bottom w:val="single" w:sz="4" w:space="0" w:color="1B556B"/>
            </w:tcBorders>
            <w:shd w:val="clear" w:color="000000" w:fill="FFFFFF"/>
            <w:hideMark/>
          </w:tcPr>
          <w:p w14:paraId="31214C5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Energy</w:t>
            </w:r>
          </w:p>
        </w:tc>
        <w:tc>
          <w:tcPr>
            <w:tcW w:w="281" w:type="pct"/>
            <w:tcBorders>
              <w:top w:val="single" w:sz="4" w:space="0" w:color="1B556B"/>
              <w:bottom w:val="single" w:sz="4" w:space="0" w:color="1B556B"/>
            </w:tcBorders>
            <w:shd w:val="clear" w:color="000000" w:fill="FFFFFF"/>
            <w:hideMark/>
          </w:tcPr>
          <w:p w14:paraId="657A858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2860DF9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0B3D21A1"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733E293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Samoa</w:t>
            </w:r>
          </w:p>
        </w:tc>
        <w:tc>
          <w:tcPr>
            <w:tcW w:w="653" w:type="pct"/>
            <w:tcBorders>
              <w:top w:val="single" w:sz="4" w:space="0" w:color="1B556B"/>
              <w:bottom w:val="single" w:sz="4" w:space="0" w:color="1B556B"/>
            </w:tcBorders>
            <w:shd w:val="clear" w:color="000000" w:fill="FFFFFF"/>
            <w:hideMark/>
          </w:tcPr>
          <w:p w14:paraId="32C15DA8"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51" w:name="_Hlk176268490"/>
            <w:r w:rsidRPr="00865EEC">
              <w:rPr>
                <w:rFonts w:asciiTheme="minorHAnsi" w:hAnsiTheme="minorHAnsi" w:cstheme="minorHAnsi"/>
                <w:color w:val="000000"/>
                <w:sz w:val="16"/>
                <w:szCs w:val="16"/>
              </w:rPr>
              <w:t>Samoa Tourism Recovery and Resilience</w:t>
            </w:r>
            <w:bookmarkEnd w:id="951"/>
          </w:p>
        </w:tc>
        <w:tc>
          <w:tcPr>
            <w:tcW w:w="503" w:type="pct"/>
            <w:tcBorders>
              <w:top w:val="single" w:sz="4" w:space="0" w:color="1B556B"/>
              <w:bottom w:val="single" w:sz="4" w:space="0" w:color="1B556B"/>
            </w:tcBorders>
            <w:shd w:val="clear" w:color="000000" w:fill="FFFFFF"/>
            <w:noWrap/>
            <w:hideMark/>
          </w:tcPr>
          <w:p w14:paraId="3F32D4F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190,138</w:t>
            </w:r>
          </w:p>
        </w:tc>
        <w:tc>
          <w:tcPr>
            <w:tcW w:w="414" w:type="pct"/>
            <w:tcBorders>
              <w:top w:val="single" w:sz="4" w:space="0" w:color="1B556B"/>
              <w:bottom w:val="single" w:sz="4" w:space="0" w:color="1B556B"/>
            </w:tcBorders>
            <w:shd w:val="clear" w:color="000000" w:fill="FFFFFF"/>
            <w:hideMark/>
          </w:tcPr>
          <w:p w14:paraId="1C20E6E4"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300,000</w:t>
            </w:r>
          </w:p>
        </w:tc>
        <w:tc>
          <w:tcPr>
            <w:tcW w:w="323" w:type="pct"/>
            <w:tcBorders>
              <w:top w:val="single" w:sz="4" w:space="0" w:color="1B556B"/>
              <w:bottom w:val="single" w:sz="4" w:space="0" w:color="1B556B"/>
            </w:tcBorders>
            <w:shd w:val="clear" w:color="000000" w:fill="FFFFFF"/>
            <w:noWrap/>
            <w:hideMark/>
          </w:tcPr>
          <w:p w14:paraId="3546868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6DA3D0B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408BF1D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53C9F02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050F6F6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3C31645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Tourism</w:t>
            </w:r>
          </w:p>
        </w:tc>
        <w:tc>
          <w:tcPr>
            <w:tcW w:w="281" w:type="pct"/>
            <w:tcBorders>
              <w:top w:val="single" w:sz="4" w:space="0" w:color="1B556B"/>
              <w:bottom w:val="single" w:sz="4" w:space="0" w:color="1B556B"/>
            </w:tcBorders>
            <w:shd w:val="clear" w:color="000000" w:fill="FFFFFF"/>
            <w:hideMark/>
          </w:tcPr>
          <w:p w14:paraId="4DE4022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3F32644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789C1D60" w14:textId="77777777" w:rsidTr="008E7E3B">
        <w:trPr>
          <w:trHeight w:val="1199"/>
          <w:jc w:val="center"/>
        </w:trPr>
        <w:tc>
          <w:tcPr>
            <w:tcW w:w="727" w:type="pct"/>
            <w:tcBorders>
              <w:top w:val="single" w:sz="4" w:space="0" w:color="1B556B"/>
              <w:bottom w:val="single" w:sz="4" w:space="0" w:color="1B556B"/>
            </w:tcBorders>
            <w:shd w:val="clear" w:color="000000" w:fill="FFFFFF"/>
            <w:hideMark/>
          </w:tcPr>
          <w:p w14:paraId="433FD54F" w14:textId="1C067C61" w:rsidR="007113F5" w:rsidRPr="00865EEC" w:rsidRDefault="008B0CF1">
            <w:pPr>
              <w:spacing w:before="60" w:after="60" w:line="240" w:lineRule="auto"/>
              <w:jc w:val="left"/>
              <w:rPr>
                <w:rFonts w:asciiTheme="minorHAnsi" w:hAnsiTheme="minorHAnsi" w:cstheme="minorHAnsi"/>
                <w:color w:val="000000"/>
                <w:sz w:val="16"/>
                <w:szCs w:val="16"/>
              </w:rPr>
            </w:pPr>
            <w:r>
              <w:rPr>
                <w:rFonts w:asciiTheme="minorHAnsi" w:hAnsiTheme="minorHAnsi" w:cstheme="minorHAnsi"/>
                <w:color w:val="000000"/>
                <w:sz w:val="16"/>
                <w:szCs w:val="16"/>
              </w:rPr>
              <w:t>Timor</w:t>
            </w:r>
            <w:r w:rsidR="0008551C">
              <w:rPr>
                <w:rFonts w:asciiTheme="minorHAnsi" w:hAnsiTheme="minorHAnsi" w:cstheme="minorHAnsi"/>
                <w:color w:val="000000"/>
                <w:sz w:val="16"/>
                <w:szCs w:val="16"/>
              </w:rPr>
              <w:t>-</w:t>
            </w:r>
            <w:r>
              <w:rPr>
                <w:rFonts w:asciiTheme="minorHAnsi" w:hAnsiTheme="minorHAnsi" w:cstheme="minorHAnsi"/>
                <w:color w:val="000000"/>
                <w:sz w:val="16"/>
                <w:szCs w:val="16"/>
              </w:rPr>
              <w:t>Leste</w:t>
            </w:r>
          </w:p>
        </w:tc>
        <w:tc>
          <w:tcPr>
            <w:tcW w:w="653" w:type="pct"/>
            <w:tcBorders>
              <w:top w:val="single" w:sz="4" w:space="0" w:color="1B556B"/>
              <w:bottom w:val="single" w:sz="4" w:space="0" w:color="1B556B"/>
            </w:tcBorders>
            <w:shd w:val="clear" w:color="000000" w:fill="FFFFFF"/>
            <w:hideMark/>
          </w:tcPr>
          <w:p w14:paraId="02E71DE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Enhancing Climate Resilience in Timor-Leste</w:t>
            </w:r>
          </w:p>
        </w:tc>
        <w:tc>
          <w:tcPr>
            <w:tcW w:w="503" w:type="pct"/>
            <w:tcBorders>
              <w:top w:val="single" w:sz="4" w:space="0" w:color="1B556B"/>
              <w:bottom w:val="single" w:sz="4" w:space="0" w:color="1B556B"/>
            </w:tcBorders>
            <w:shd w:val="clear" w:color="000000" w:fill="FFFFFF"/>
            <w:noWrap/>
            <w:hideMark/>
          </w:tcPr>
          <w:p w14:paraId="7772F776"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12,682</w:t>
            </w:r>
          </w:p>
        </w:tc>
        <w:tc>
          <w:tcPr>
            <w:tcW w:w="414" w:type="pct"/>
            <w:tcBorders>
              <w:top w:val="single" w:sz="4" w:space="0" w:color="1B556B"/>
              <w:bottom w:val="single" w:sz="4" w:space="0" w:color="1B556B"/>
            </w:tcBorders>
            <w:shd w:val="clear" w:color="000000" w:fill="FFFFFF"/>
            <w:hideMark/>
          </w:tcPr>
          <w:p w14:paraId="108C743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20,000</w:t>
            </w:r>
          </w:p>
        </w:tc>
        <w:tc>
          <w:tcPr>
            <w:tcW w:w="323" w:type="pct"/>
            <w:tcBorders>
              <w:top w:val="single" w:sz="4" w:space="0" w:color="1B556B"/>
              <w:bottom w:val="single" w:sz="4" w:space="0" w:color="1B556B"/>
            </w:tcBorders>
            <w:shd w:val="clear" w:color="000000" w:fill="FFFFFF"/>
            <w:noWrap/>
            <w:hideMark/>
          </w:tcPr>
          <w:p w14:paraId="77522BD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26684E6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0A950FA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138636A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1EEBC5B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560BD80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Fishing</w:t>
            </w:r>
          </w:p>
        </w:tc>
        <w:tc>
          <w:tcPr>
            <w:tcW w:w="281" w:type="pct"/>
            <w:tcBorders>
              <w:top w:val="single" w:sz="4" w:space="0" w:color="1B556B"/>
              <w:bottom w:val="single" w:sz="4" w:space="0" w:color="1B556B"/>
            </w:tcBorders>
            <w:shd w:val="clear" w:color="000000" w:fill="FFFFFF"/>
            <w:hideMark/>
          </w:tcPr>
          <w:p w14:paraId="1F6BCF1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05F3E4C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7DC69080"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181FD47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182715A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Meterological Forecasting 2021-2025</w:t>
            </w:r>
          </w:p>
        </w:tc>
        <w:tc>
          <w:tcPr>
            <w:tcW w:w="503" w:type="pct"/>
            <w:tcBorders>
              <w:top w:val="single" w:sz="4" w:space="0" w:color="1B556B"/>
              <w:bottom w:val="single" w:sz="4" w:space="0" w:color="1B556B"/>
            </w:tcBorders>
            <w:shd w:val="clear" w:color="000000" w:fill="FFFFFF"/>
            <w:noWrap/>
            <w:hideMark/>
          </w:tcPr>
          <w:p w14:paraId="2E77610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15,325</w:t>
            </w:r>
          </w:p>
        </w:tc>
        <w:tc>
          <w:tcPr>
            <w:tcW w:w="414" w:type="pct"/>
            <w:tcBorders>
              <w:top w:val="single" w:sz="4" w:space="0" w:color="1B556B"/>
              <w:bottom w:val="single" w:sz="4" w:space="0" w:color="1B556B"/>
            </w:tcBorders>
            <w:shd w:val="clear" w:color="000000" w:fill="FFFFFF"/>
            <w:hideMark/>
          </w:tcPr>
          <w:p w14:paraId="34D1C81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24,180</w:t>
            </w:r>
          </w:p>
        </w:tc>
        <w:tc>
          <w:tcPr>
            <w:tcW w:w="323" w:type="pct"/>
            <w:tcBorders>
              <w:top w:val="single" w:sz="4" w:space="0" w:color="1B556B"/>
              <w:bottom w:val="single" w:sz="4" w:space="0" w:color="1B556B"/>
            </w:tcBorders>
            <w:shd w:val="clear" w:color="000000" w:fill="FFFFFF"/>
            <w:noWrap/>
            <w:hideMark/>
          </w:tcPr>
          <w:p w14:paraId="6EF715C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180BDFF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1A9CE59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1021D02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7C3AC49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Mitigation</w:t>
            </w:r>
          </w:p>
        </w:tc>
        <w:tc>
          <w:tcPr>
            <w:tcW w:w="495" w:type="pct"/>
            <w:tcBorders>
              <w:top w:val="single" w:sz="4" w:space="0" w:color="1B556B"/>
              <w:bottom w:val="single" w:sz="4" w:space="0" w:color="1B556B"/>
            </w:tcBorders>
            <w:shd w:val="clear" w:color="000000" w:fill="FFFFFF"/>
            <w:hideMark/>
          </w:tcPr>
          <w:p w14:paraId="759430E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Humanitarian Aid</w:t>
            </w:r>
          </w:p>
        </w:tc>
        <w:tc>
          <w:tcPr>
            <w:tcW w:w="281" w:type="pct"/>
            <w:tcBorders>
              <w:top w:val="single" w:sz="4" w:space="0" w:color="1B556B"/>
              <w:bottom w:val="single" w:sz="4" w:space="0" w:color="1B556B"/>
            </w:tcBorders>
            <w:shd w:val="clear" w:color="000000" w:fill="FFFFFF"/>
            <w:hideMark/>
          </w:tcPr>
          <w:p w14:paraId="51246D7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7D88A24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5F7415DF"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45A2718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Samoa</w:t>
            </w:r>
          </w:p>
        </w:tc>
        <w:tc>
          <w:tcPr>
            <w:tcW w:w="653" w:type="pct"/>
            <w:tcBorders>
              <w:top w:val="single" w:sz="4" w:space="0" w:color="1B556B"/>
              <w:bottom w:val="single" w:sz="4" w:space="0" w:color="1B556B"/>
            </w:tcBorders>
            <w:shd w:val="clear" w:color="000000" w:fill="FFFFFF"/>
            <w:hideMark/>
          </w:tcPr>
          <w:p w14:paraId="03E9A7E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Supporting Economic Reform 2021 - 2024</w:t>
            </w:r>
          </w:p>
        </w:tc>
        <w:tc>
          <w:tcPr>
            <w:tcW w:w="503" w:type="pct"/>
            <w:tcBorders>
              <w:top w:val="single" w:sz="4" w:space="0" w:color="1B556B"/>
              <w:bottom w:val="single" w:sz="4" w:space="0" w:color="1B556B"/>
            </w:tcBorders>
            <w:shd w:val="clear" w:color="000000" w:fill="FFFFFF"/>
            <w:noWrap/>
            <w:hideMark/>
          </w:tcPr>
          <w:p w14:paraId="35DAFF5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1,330,967</w:t>
            </w:r>
          </w:p>
        </w:tc>
        <w:tc>
          <w:tcPr>
            <w:tcW w:w="414" w:type="pct"/>
            <w:tcBorders>
              <w:top w:val="single" w:sz="4" w:space="0" w:color="1B556B"/>
              <w:bottom w:val="single" w:sz="4" w:space="0" w:color="1B556B"/>
            </w:tcBorders>
            <w:shd w:val="clear" w:color="000000" w:fill="FFFFFF"/>
            <w:hideMark/>
          </w:tcPr>
          <w:p w14:paraId="2D819B52"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2,100,000</w:t>
            </w:r>
          </w:p>
        </w:tc>
        <w:tc>
          <w:tcPr>
            <w:tcW w:w="323" w:type="pct"/>
            <w:tcBorders>
              <w:top w:val="single" w:sz="4" w:space="0" w:color="1B556B"/>
              <w:bottom w:val="single" w:sz="4" w:space="0" w:color="1B556B"/>
            </w:tcBorders>
            <w:shd w:val="clear" w:color="000000" w:fill="FFFFFF"/>
            <w:noWrap/>
            <w:hideMark/>
          </w:tcPr>
          <w:p w14:paraId="60306AE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3C82497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6D49CF8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43ABFBD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37EA043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27B0449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Commodity aid and general programme assistance</w:t>
            </w:r>
          </w:p>
        </w:tc>
        <w:tc>
          <w:tcPr>
            <w:tcW w:w="281" w:type="pct"/>
            <w:tcBorders>
              <w:top w:val="single" w:sz="4" w:space="0" w:color="1B556B"/>
              <w:bottom w:val="single" w:sz="4" w:space="0" w:color="1B556B"/>
            </w:tcBorders>
            <w:shd w:val="clear" w:color="000000" w:fill="FFFFFF"/>
            <w:hideMark/>
          </w:tcPr>
          <w:p w14:paraId="304323F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1AC700B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7113F5" w:rsidRPr="00865EEC" w14:paraId="703A7690" w14:textId="77777777" w:rsidTr="008E7E3B">
        <w:trPr>
          <w:trHeight w:val="20"/>
          <w:jc w:val="center"/>
        </w:trPr>
        <w:tc>
          <w:tcPr>
            <w:tcW w:w="727" w:type="pct"/>
            <w:tcBorders>
              <w:top w:val="single" w:sz="4" w:space="0" w:color="1B556B"/>
              <w:bottom w:val="single" w:sz="4" w:space="0" w:color="1B556B"/>
            </w:tcBorders>
            <w:shd w:val="clear" w:color="auto" w:fill="auto"/>
            <w:hideMark/>
          </w:tcPr>
          <w:p w14:paraId="0377E33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Zambia</w:t>
            </w:r>
          </w:p>
        </w:tc>
        <w:tc>
          <w:tcPr>
            <w:tcW w:w="653" w:type="pct"/>
            <w:tcBorders>
              <w:top w:val="single" w:sz="4" w:space="0" w:color="1B556B"/>
              <w:bottom w:val="single" w:sz="4" w:space="0" w:color="1B556B"/>
            </w:tcBorders>
            <w:shd w:val="clear" w:color="auto" w:fill="auto"/>
            <w:hideMark/>
          </w:tcPr>
          <w:p w14:paraId="2955126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Zambia Dairy Transformation Programme Extension</w:t>
            </w:r>
          </w:p>
        </w:tc>
        <w:tc>
          <w:tcPr>
            <w:tcW w:w="503" w:type="pct"/>
            <w:tcBorders>
              <w:top w:val="single" w:sz="4" w:space="0" w:color="1B556B"/>
              <w:bottom w:val="single" w:sz="4" w:space="0" w:color="1B556B"/>
            </w:tcBorders>
            <w:shd w:val="clear" w:color="auto" w:fill="auto"/>
            <w:noWrap/>
            <w:hideMark/>
          </w:tcPr>
          <w:p w14:paraId="3FAF7CDD"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150,949</w:t>
            </w:r>
          </w:p>
        </w:tc>
        <w:tc>
          <w:tcPr>
            <w:tcW w:w="414" w:type="pct"/>
            <w:tcBorders>
              <w:top w:val="single" w:sz="4" w:space="0" w:color="1B556B"/>
              <w:bottom w:val="single" w:sz="4" w:space="0" w:color="1B556B"/>
            </w:tcBorders>
            <w:shd w:val="clear" w:color="auto" w:fill="auto"/>
            <w:hideMark/>
          </w:tcPr>
          <w:p w14:paraId="4A5611C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238,167</w:t>
            </w:r>
          </w:p>
        </w:tc>
        <w:tc>
          <w:tcPr>
            <w:tcW w:w="323" w:type="pct"/>
            <w:tcBorders>
              <w:top w:val="single" w:sz="4" w:space="0" w:color="1B556B"/>
              <w:bottom w:val="single" w:sz="4" w:space="0" w:color="1B556B"/>
            </w:tcBorders>
            <w:shd w:val="clear" w:color="auto" w:fill="auto"/>
            <w:noWrap/>
            <w:hideMark/>
          </w:tcPr>
          <w:p w14:paraId="62F439C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auto" w:fill="auto"/>
            <w:hideMark/>
          </w:tcPr>
          <w:p w14:paraId="4E58B21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auto" w:fill="auto"/>
            <w:noWrap/>
            <w:hideMark/>
          </w:tcPr>
          <w:p w14:paraId="3BB5552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auto" w:fill="auto"/>
            <w:noWrap/>
            <w:hideMark/>
          </w:tcPr>
          <w:p w14:paraId="368FA9F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auto" w:fill="auto"/>
            <w:hideMark/>
          </w:tcPr>
          <w:p w14:paraId="4078D79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auto" w:fill="auto"/>
            <w:hideMark/>
          </w:tcPr>
          <w:p w14:paraId="76F40B7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auto" w:fill="auto"/>
            <w:hideMark/>
          </w:tcPr>
          <w:p w14:paraId="0B69540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auto" w:fill="auto"/>
            <w:hideMark/>
          </w:tcPr>
          <w:p w14:paraId="62C9BBE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72FC5E39"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0DE376D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Afghanistan</w:t>
            </w:r>
          </w:p>
        </w:tc>
        <w:tc>
          <w:tcPr>
            <w:tcW w:w="653" w:type="pct"/>
            <w:tcBorders>
              <w:top w:val="single" w:sz="4" w:space="0" w:color="1B556B"/>
              <w:bottom w:val="single" w:sz="4" w:space="0" w:color="1B556B"/>
            </w:tcBorders>
            <w:shd w:val="clear" w:color="000000" w:fill="FFFFFF"/>
            <w:hideMark/>
          </w:tcPr>
          <w:p w14:paraId="6A53BC3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Afghanistan: Food and Agricultural Organisation  Food Security</w:t>
            </w:r>
          </w:p>
        </w:tc>
        <w:tc>
          <w:tcPr>
            <w:tcW w:w="503" w:type="pct"/>
            <w:tcBorders>
              <w:top w:val="single" w:sz="4" w:space="0" w:color="1B556B"/>
              <w:bottom w:val="single" w:sz="4" w:space="0" w:color="1B556B"/>
            </w:tcBorders>
            <w:shd w:val="clear" w:color="000000" w:fill="FFFFFF"/>
            <w:noWrap/>
            <w:hideMark/>
          </w:tcPr>
          <w:p w14:paraId="2967C80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565,972</w:t>
            </w:r>
          </w:p>
        </w:tc>
        <w:tc>
          <w:tcPr>
            <w:tcW w:w="414" w:type="pct"/>
            <w:tcBorders>
              <w:top w:val="single" w:sz="4" w:space="0" w:color="1B556B"/>
              <w:bottom w:val="single" w:sz="4" w:space="0" w:color="1B556B"/>
            </w:tcBorders>
            <w:shd w:val="clear" w:color="000000" w:fill="FFFFFF"/>
            <w:hideMark/>
          </w:tcPr>
          <w:p w14:paraId="0D722DD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892,990</w:t>
            </w:r>
          </w:p>
        </w:tc>
        <w:tc>
          <w:tcPr>
            <w:tcW w:w="323" w:type="pct"/>
            <w:tcBorders>
              <w:top w:val="single" w:sz="4" w:space="0" w:color="1B556B"/>
              <w:bottom w:val="single" w:sz="4" w:space="0" w:color="1B556B"/>
            </w:tcBorders>
            <w:shd w:val="clear" w:color="000000" w:fill="FFFFFF"/>
            <w:noWrap/>
            <w:hideMark/>
          </w:tcPr>
          <w:p w14:paraId="7055041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0889E92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2DC2431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10941BC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1CFB508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704D28B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5B1F5D2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5D4674D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34EF4798"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6B7AAE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5F24B6B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Centre for Pacific Crops and Trees</w:t>
            </w:r>
          </w:p>
        </w:tc>
        <w:tc>
          <w:tcPr>
            <w:tcW w:w="503" w:type="pct"/>
            <w:tcBorders>
              <w:top w:val="single" w:sz="4" w:space="0" w:color="1B556B"/>
              <w:bottom w:val="single" w:sz="4" w:space="0" w:color="1B556B"/>
            </w:tcBorders>
            <w:shd w:val="clear" w:color="000000" w:fill="FFFFFF"/>
            <w:noWrap/>
            <w:hideMark/>
          </w:tcPr>
          <w:p w14:paraId="1E83416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3,168,969</w:t>
            </w:r>
          </w:p>
        </w:tc>
        <w:tc>
          <w:tcPr>
            <w:tcW w:w="414" w:type="pct"/>
            <w:tcBorders>
              <w:top w:val="single" w:sz="4" w:space="0" w:color="1B556B"/>
              <w:bottom w:val="single" w:sz="4" w:space="0" w:color="1B556B"/>
            </w:tcBorders>
            <w:shd w:val="clear" w:color="000000" w:fill="FFFFFF"/>
            <w:hideMark/>
          </w:tcPr>
          <w:p w14:paraId="2C7211D2"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5,000,000</w:t>
            </w:r>
          </w:p>
        </w:tc>
        <w:tc>
          <w:tcPr>
            <w:tcW w:w="323" w:type="pct"/>
            <w:tcBorders>
              <w:top w:val="single" w:sz="4" w:space="0" w:color="1B556B"/>
              <w:bottom w:val="single" w:sz="4" w:space="0" w:color="1B556B"/>
            </w:tcBorders>
            <w:shd w:val="clear" w:color="000000" w:fill="FFFFFF"/>
            <w:noWrap/>
            <w:hideMark/>
          </w:tcPr>
          <w:p w14:paraId="2F227E9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595FC79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4A77D58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72484DD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5ADE7C0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244A0E3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000000" w:fill="FFFFFF"/>
            <w:hideMark/>
          </w:tcPr>
          <w:p w14:paraId="4810016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29120FA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478C0765"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A9A687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Cambodia</w:t>
            </w:r>
          </w:p>
        </w:tc>
        <w:tc>
          <w:tcPr>
            <w:tcW w:w="653" w:type="pct"/>
            <w:tcBorders>
              <w:top w:val="single" w:sz="4" w:space="0" w:color="1B556B"/>
              <w:bottom w:val="single" w:sz="4" w:space="0" w:color="1B556B"/>
            </w:tcBorders>
            <w:shd w:val="clear" w:color="000000" w:fill="FFFFFF"/>
            <w:hideMark/>
          </w:tcPr>
          <w:p w14:paraId="70A6535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Cambodia: Angkor Water Resilience Project</w:t>
            </w:r>
          </w:p>
        </w:tc>
        <w:tc>
          <w:tcPr>
            <w:tcW w:w="503" w:type="pct"/>
            <w:tcBorders>
              <w:top w:val="single" w:sz="4" w:space="0" w:color="1B556B"/>
              <w:bottom w:val="single" w:sz="4" w:space="0" w:color="1B556B"/>
            </w:tcBorders>
            <w:shd w:val="clear" w:color="000000" w:fill="FFFFFF"/>
            <w:noWrap/>
            <w:hideMark/>
          </w:tcPr>
          <w:p w14:paraId="37D79CE6"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47,156</w:t>
            </w:r>
          </w:p>
        </w:tc>
        <w:tc>
          <w:tcPr>
            <w:tcW w:w="414" w:type="pct"/>
            <w:tcBorders>
              <w:top w:val="single" w:sz="4" w:space="0" w:color="1B556B"/>
              <w:bottom w:val="single" w:sz="4" w:space="0" w:color="1B556B"/>
            </w:tcBorders>
            <w:shd w:val="clear" w:color="000000" w:fill="FFFFFF"/>
            <w:hideMark/>
          </w:tcPr>
          <w:p w14:paraId="65AB063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74,403</w:t>
            </w:r>
          </w:p>
        </w:tc>
        <w:tc>
          <w:tcPr>
            <w:tcW w:w="323" w:type="pct"/>
            <w:tcBorders>
              <w:top w:val="single" w:sz="4" w:space="0" w:color="1B556B"/>
              <w:bottom w:val="single" w:sz="4" w:space="0" w:color="1B556B"/>
            </w:tcBorders>
            <w:shd w:val="clear" w:color="000000" w:fill="FFFFFF"/>
            <w:noWrap/>
            <w:hideMark/>
          </w:tcPr>
          <w:p w14:paraId="6D1B0E1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41F8E14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03E70E9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5226F69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3BCDF85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67BDB98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Water and Sanitation</w:t>
            </w:r>
          </w:p>
        </w:tc>
        <w:tc>
          <w:tcPr>
            <w:tcW w:w="281" w:type="pct"/>
            <w:tcBorders>
              <w:top w:val="single" w:sz="4" w:space="0" w:color="1B556B"/>
              <w:bottom w:val="single" w:sz="4" w:space="0" w:color="1B556B"/>
            </w:tcBorders>
            <w:shd w:val="clear" w:color="000000" w:fill="FFFFFF"/>
            <w:hideMark/>
          </w:tcPr>
          <w:p w14:paraId="7483ADF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7AB687F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6BBC8CC5"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62048BB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637136D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Climate Science for Ensuring Pacific Tuna Access</w:t>
            </w:r>
          </w:p>
        </w:tc>
        <w:tc>
          <w:tcPr>
            <w:tcW w:w="503" w:type="pct"/>
            <w:tcBorders>
              <w:top w:val="single" w:sz="4" w:space="0" w:color="1B556B"/>
              <w:bottom w:val="single" w:sz="4" w:space="0" w:color="1B556B"/>
            </w:tcBorders>
            <w:shd w:val="clear" w:color="000000" w:fill="FFFFFF"/>
            <w:noWrap/>
            <w:hideMark/>
          </w:tcPr>
          <w:p w14:paraId="09518889"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3,990,515</w:t>
            </w:r>
          </w:p>
        </w:tc>
        <w:tc>
          <w:tcPr>
            <w:tcW w:w="414" w:type="pct"/>
            <w:tcBorders>
              <w:top w:val="single" w:sz="4" w:space="0" w:color="1B556B"/>
              <w:bottom w:val="single" w:sz="4" w:space="0" w:color="1B556B"/>
            </w:tcBorders>
            <w:shd w:val="clear" w:color="000000" w:fill="FFFFFF"/>
            <w:hideMark/>
          </w:tcPr>
          <w:p w14:paraId="17EFAC9D"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6,296,234</w:t>
            </w:r>
          </w:p>
        </w:tc>
        <w:tc>
          <w:tcPr>
            <w:tcW w:w="323" w:type="pct"/>
            <w:tcBorders>
              <w:top w:val="single" w:sz="4" w:space="0" w:color="1B556B"/>
              <w:bottom w:val="single" w:sz="4" w:space="0" w:color="1B556B"/>
            </w:tcBorders>
            <w:shd w:val="clear" w:color="000000" w:fill="FFFFFF"/>
            <w:noWrap/>
            <w:hideMark/>
          </w:tcPr>
          <w:p w14:paraId="60BDC96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6BE3F0A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2294CD2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4190175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4FDBE58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4200669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Fishing</w:t>
            </w:r>
          </w:p>
        </w:tc>
        <w:tc>
          <w:tcPr>
            <w:tcW w:w="281" w:type="pct"/>
            <w:tcBorders>
              <w:top w:val="single" w:sz="4" w:space="0" w:color="1B556B"/>
              <w:bottom w:val="single" w:sz="4" w:space="0" w:color="1B556B"/>
            </w:tcBorders>
            <w:shd w:val="clear" w:color="000000" w:fill="FFFFFF"/>
            <w:hideMark/>
          </w:tcPr>
          <w:p w14:paraId="246CC22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7B61A32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7113F5" w:rsidRPr="00865EEC" w14:paraId="39FA8F83" w14:textId="77777777" w:rsidTr="008E7E3B">
        <w:trPr>
          <w:trHeight w:val="20"/>
          <w:jc w:val="center"/>
        </w:trPr>
        <w:tc>
          <w:tcPr>
            <w:tcW w:w="727" w:type="pct"/>
            <w:tcBorders>
              <w:top w:val="single" w:sz="4" w:space="0" w:color="1B556B"/>
              <w:bottom w:val="single" w:sz="4" w:space="0" w:color="1B556B"/>
            </w:tcBorders>
            <w:shd w:val="clear" w:color="auto" w:fill="auto"/>
            <w:hideMark/>
          </w:tcPr>
          <w:p w14:paraId="3B71429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Asia Regional/ Multi-Country</w:t>
            </w:r>
          </w:p>
        </w:tc>
        <w:tc>
          <w:tcPr>
            <w:tcW w:w="653" w:type="pct"/>
            <w:tcBorders>
              <w:top w:val="single" w:sz="4" w:space="0" w:color="1B556B"/>
              <w:bottom w:val="single" w:sz="4" w:space="0" w:color="1B556B"/>
            </w:tcBorders>
            <w:shd w:val="clear" w:color="auto" w:fill="auto"/>
            <w:hideMark/>
          </w:tcPr>
          <w:p w14:paraId="0314CA1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Hybrid Food + Agribusiness Short Term Training ASEAN/Timor-Leste</w:t>
            </w:r>
          </w:p>
        </w:tc>
        <w:tc>
          <w:tcPr>
            <w:tcW w:w="503" w:type="pct"/>
            <w:tcBorders>
              <w:top w:val="single" w:sz="4" w:space="0" w:color="1B556B"/>
              <w:bottom w:val="single" w:sz="4" w:space="0" w:color="1B556B"/>
            </w:tcBorders>
            <w:shd w:val="clear" w:color="auto" w:fill="auto"/>
            <w:noWrap/>
            <w:hideMark/>
          </w:tcPr>
          <w:p w14:paraId="4F9A8EE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3,823</w:t>
            </w:r>
          </w:p>
        </w:tc>
        <w:tc>
          <w:tcPr>
            <w:tcW w:w="414" w:type="pct"/>
            <w:tcBorders>
              <w:top w:val="single" w:sz="4" w:space="0" w:color="1B556B"/>
              <w:bottom w:val="single" w:sz="4" w:space="0" w:color="1B556B"/>
            </w:tcBorders>
            <w:shd w:val="clear" w:color="auto" w:fill="auto"/>
            <w:hideMark/>
          </w:tcPr>
          <w:p w14:paraId="776921FD"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6,032</w:t>
            </w:r>
          </w:p>
        </w:tc>
        <w:tc>
          <w:tcPr>
            <w:tcW w:w="323" w:type="pct"/>
            <w:tcBorders>
              <w:top w:val="single" w:sz="4" w:space="0" w:color="1B556B"/>
              <w:bottom w:val="single" w:sz="4" w:space="0" w:color="1B556B"/>
            </w:tcBorders>
            <w:shd w:val="clear" w:color="auto" w:fill="auto"/>
            <w:noWrap/>
            <w:hideMark/>
          </w:tcPr>
          <w:p w14:paraId="1749D13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auto" w:fill="auto"/>
            <w:hideMark/>
          </w:tcPr>
          <w:p w14:paraId="05ECBB0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auto" w:fill="auto"/>
            <w:noWrap/>
            <w:hideMark/>
          </w:tcPr>
          <w:p w14:paraId="65D0837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auto" w:fill="auto"/>
            <w:noWrap/>
            <w:hideMark/>
          </w:tcPr>
          <w:p w14:paraId="0B4F55D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auto" w:fill="auto"/>
            <w:hideMark/>
          </w:tcPr>
          <w:p w14:paraId="7D9D50D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auto" w:fill="auto"/>
            <w:hideMark/>
          </w:tcPr>
          <w:p w14:paraId="1732BD8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auto" w:fill="auto"/>
            <w:hideMark/>
          </w:tcPr>
          <w:p w14:paraId="109E3FF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auto" w:fill="auto"/>
            <w:hideMark/>
          </w:tcPr>
          <w:p w14:paraId="2208784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3B2040A2"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C60610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Asia Regional/ Multi-Country</w:t>
            </w:r>
          </w:p>
        </w:tc>
        <w:tc>
          <w:tcPr>
            <w:tcW w:w="653" w:type="pct"/>
            <w:tcBorders>
              <w:top w:val="single" w:sz="4" w:space="0" w:color="1B556B"/>
              <w:bottom w:val="single" w:sz="4" w:space="0" w:color="1B556B"/>
            </w:tcBorders>
            <w:shd w:val="clear" w:color="000000" w:fill="FFFFFF"/>
            <w:hideMark/>
          </w:tcPr>
          <w:p w14:paraId="7876BAC7"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52" w:name="_Hlk176256301"/>
            <w:r w:rsidRPr="00865EEC">
              <w:rPr>
                <w:rFonts w:asciiTheme="minorHAnsi" w:hAnsiTheme="minorHAnsi" w:cstheme="minorHAnsi"/>
                <w:color w:val="000000"/>
                <w:sz w:val="16"/>
                <w:szCs w:val="16"/>
              </w:rPr>
              <w:t>Energy Transition Mechanism</w:t>
            </w:r>
            <w:bookmarkEnd w:id="952"/>
          </w:p>
        </w:tc>
        <w:tc>
          <w:tcPr>
            <w:tcW w:w="503" w:type="pct"/>
            <w:tcBorders>
              <w:top w:val="single" w:sz="4" w:space="0" w:color="1B556B"/>
              <w:bottom w:val="single" w:sz="4" w:space="0" w:color="1B556B"/>
            </w:tcBorders>
            <w:shd w:val="clear" w:color="000000" w:fill="FFFFFF"/>
            <w:noWrap/>
            <w:hideMark/>
          </w:tcPr>
          <w:p w14:paraId="7DE86CC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85,529</w:t>
            </w:r>
          </w:p>
        </w:tc>
        <w:tc>
          <w:tcPr>
            <w:tcW w:w="414" w:type="pct"/>
            <w:tcBorders>
              <w:top w:val="single" w:sz="4" w:space="0" w:color="1B556B"/>
              <w:bottom w:val="single" w:sz="4" w:space="0" w:color="1B556B"/>
            </w:tcBorders>
            <w:shd w:val="clear" w:color="000000" w:fill="FFFFFF"/>
            <w:hideMark/>
          </w:tcPr>
          <w:p w14:paraId="58A33F9A"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134,947</w:t>
            </w:r>
          </w:p>
        </w:tc>
        <w:tc>
          <w:tcPr>
            <w:tcW w:w="323" w:type="pct"/>
            <w:tcBorders>
              <w:top w:val="single" w:sz="4" w:space="0" w:color="1B556B"/>
              <w:bottom w:val="single" w:sz="4" w:space="0" w:color="1B556B"/>
            </w:tcBorders>
            <w:shd w:val="clear" w:color="000000" w:fill="FFFFFF"/>
            <w:noWrap/>
            <w:hideMark/>
          </w:tcPr>
          <w:p w14:paraId="09CBE14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6D8DE43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7779DFA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1985443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289696E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3428A44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Energy</w:t>
            </w:r>
          </w:p>
        </w:tc>
        <w:tc>
          <w:tcPr>
            <w:tcW w:w="281" w:type="pct"/>
            <w:tcBorders>
              <w:top w:val="single" w:sz="4" w:space="0" w:color="1B556B"/>
              <w:bottom w:val="single" w:sz="4" w:space="0" w:color="1B556B"/>
            </w:tcBorders>
            <w:shd w:val="clear" w:color="000000" w:fill="FFFFFF"/>
            <w:hideMark/>
          </w:tcPr>
          <w:p w14:paraId="163297F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2DFC178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3EB8DA34"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F5C5A7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Kiribati</w:t>
            </w:r>
          </w:p>
        </w:tc>
        <w:tc>
          <w:tcPr>
            <w:tcW w:w="653" w:type="pct"/>
            <w:tcBorders>
              <w:top w:val="single" w:sz="4" w:space="0" w:color="1B556B"/>
              <w:bottom w:val="single" w:sz="4" w:space="0" w:color="1B556B"/>
            </w:tcBorders>
            <w:shd w:val="clear" w:color="000000" w:fill="FFFFFF"/>
            <w:hideMark/>
          </w:tcPr>
          <w:p w14:paraId="7507A2B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2022 Drought Kiribati</w:t>
            </w:r>
          </w:p>
        </w:tc>
        <w:tc>
          <w:tcPr>
            <w:tcW w:w="503" w:type="pct"/>
            <w:tcBorders>
              <w:top w:val="single" w:sz="4" w:space="0" w:color="1B556B"/>
              <w:bottom w:val="single" w:sz="4" w:space="0" w:color="1B556B"/>
            </w:tcBorders>
            <w:shd w:val="clear" w:color="000000" w:fill="FFFFFF"/>
            <w:noWrap/>
            <w:hideMark/>
          </w:tcPr>
          <w:p w14:paraId="40F9CFE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75,285</w:t>
            </w:r>
          </w:p>
        </w:tc>
        <w:tc>
          <w:tcPr>
            <w:tcW w:w="414" w:type="pct"/>
            <w:tcBorders>
              <w:top w:val="single" w:sz="4" w:space="0" w:color="1B556B"/>
              <w:bottom w:val="single" w:sz="4" w:space="0" w:color="1B556B"/>
            </w:tcBorders>
            <w:shd w:val="clear" w:color="000000" w:fill="FFFFFF"/>
            <w:hideMark/>
          </w:tcPr>
          <w:p w14:paraId="4AAA666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118,785</w:t>
            </w:r>
          </w:p>
        </w:tc>
        <w:tc>
          <w:tcPr>
            <w:tcW w:w="323" w:type="pct"/>
            <w:tcBorders>
              <w:top w:val="single" w:sz="4" w:space="0" w:color="1B556B"/>
              <w:bottom w:val="single" w:sz="4" w:space="0" w:color="1B556B"/>
            </w:tcBorders>
            <w:shd w:val="clear" w:color="000000" w:fill="FFFFFF"/>
            <w:noWrap/>
            <w:hideMark/>
          </w:tcPr>
          <w:p w14:paraId="0626625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0996976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713B9D1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1707590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0FEFF06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02E6B7D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Water and Sanitation</w:t>
            </w:r>
          </w:p>
        </w:tc>
        <w:tc>
          <w:tcPr>
            <w:tcW w:w="281" w:type="pct"/>
            <w:tcBorders>
              <w:top w:val="single" w:sz="4" w:space="0" w:color="1B556B"/>
              <w:bottom w:val="single" w:sz="4" w:space="0" w:color="1B556B"/>
            </w:tcBorders>
            <w:shd w:val="clear" w:color="000000" w:fill="FFFFFF"/>
            <w:hideMark/>
          </w:tcPr>
          <w:p w14:paraId="6826DEA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3638DE6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68BCEF7C"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497CCF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Palau</w:t>
            </w:r>
          </w:p>
        </w:tc>
        <w:tc>
          <w:tcPr>
            <w:tcW w:w="653" w:type="pct"/>
            <w:tcBorders>
              <w:top w:val="single" w:sz="4" w:space="0" w:color="1B556B"/>
              <w:bottom w:val="single" w:sz="4" w:space="0" w:color="1B556B"/>
            </w:tcBorders>
            <w:shd w:val="clear" w:color="000000" w:fill="FFFFFF"/>
            <w:hideMark/>
          </w:tcPr>
          <w:p w14:paraId="5E9FE66B"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53" w:name="_Hlk176256346"/>
            <w:r w:rsidRPr="00865EEC">
              <w:rPr>
                <w:rFonts w:asciiTheme="minorHAnsi" w:hAnsiTheme="minorHAnsi" w:cstheme="minorHAnsi"/>
                <w:color w:val="000000"/>
                <w:sz w:val="16"/>
                <w:szCs w:val="16"/>
              </w:rPr>
              <w:t>The development of a small-scale fishery</w:t>
            </w:r>
            <w:bookmarkEnd w:id="953"/>
          </w:p>
        </w:tc>
        <w:tc>
          <w:tcPr>
            <w:tcW w:w="503" w:type="pct"/>
            <w:tcBorders>
              <w:top w:val="single" w:sz="4" w:space="0" w:color="1B556B"/>
              <w:bottom w:val="single" w:sz="4" w:space="0" w:color="1B556B"/>
            </w:tcBorders>
            <w:shd w:val="clear" w:color="000000" w:fill="FFFFFF"/>
            <w:noWrap/>
            <w:hideMark/>
          </w:tcPr>
          <w:p w14:paraId="37576EEA"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14,260</w:t>
            </w:r>
          </w:p>
        </w:tc>
        <w:tc>
          <w:tcPr>
            <w:tcW w:w="414" w:type="pct"/>
            <w:tcBorders>
              <w:top w:val="single" w:sz="4" w:space="0" w:color="1B556B"/>
              <w:bottom w:val="single" w:sz="4" w:space="0" w:color="1B556B"/>
            </w:tcBorders>
            <w:shd w:val="clear" w:color="000000" w:fill="FFFFFF"/>
            <w:hideMark/>
          </w:tcPr>
          <w:p w14:paraId="3046CAE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22,500</w:t>
            </w:r>
          </w:p>
        </w:tc>
        <w:tc>
          <w:tcPr>
            <w:tcW w:w="323" w:type="pct"/>
            <w:tcBorders>
              <w:top w:val="single" w:sz="4" w:space="0" w:color="1B556B"/>
              <w:bottom w:val="single" w:sz="4" w:space="0" w:color="1B556B"/>
            </w:tcBorders>
            <w:shd w:val="clear" w:color="000000" w:fill="FFFFFF"/>
            <w:noWrap/>
            <w:hideMark/>
          </w:tcPr>
          <w:p w14:paraId="26E27C6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59CB1A4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5FBC5C6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5832AFB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2B8CE65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576C602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Fishing</w:t>
            </w:r>
          </w:p>
        </w:tc>
        <w:tc>
          <w:tcPr>
            <w:tcW w:w="281" w:type="pct"/>
            <w:tcBorders>
              <w:top w:val="single" w:sz="4" w:space="0" w:color="1B556B"/>
              <w:bottom w:val="single" w:sz="4" w:space="0" w:color="1B556B"/>
            </w:tcBorders>
            <w:shd w:val="clear" w:color="000000" w:fill="FFFFFF"/>
            <w:hideMark/>
          </w:tcPr>
          <w:p w14:paraId="73B2ABB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2873422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0062D63A"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333C5FC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Tuvalu</w:t>
            </w:r>
          </w:p>
        </w:tc>
        <w:tc>
          <w:tcPr>
            <w:tcW w:w="653" w:type="pct"/>
            <w:tcBorders>
              <w:top w:val="single" w:sz="4" w:space="0" w:color="1B556B"/>
              <w:bottom w:val="single" w:sz="4" w:space="0" w:color="1B556B"/>
            </w:tcBorders>
            <w:shd w:val="clear" w:color="000000" w:fill="FFFFFF"/>
            <w:hideMark/>
          </w:tcPr>
          <w:p w14:paraId="2E335F8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Tuvalu Drought Response</w:t>
            </w:r>
          </w:p>
        </w:tc>
        <w:tc>
          <w:tcPr>
            <w:tcW w:w="503" w:type="pct"/>
            <w:tcBorders>
              <w:top w:val="single" w:sz="4" w:space="0" w:color="1B556B"/>
              <w:bottom w:val="single" w:sz="4" w:space="0" w:color="1B556B"/>
            </w:tcBorders>
            <w:shd w:val="clear" w:color="000000" w:fill="FFFFFF"/>
            <w:noWrap/>
            <w:hideMark/>
          </w:tcPr>
          <w:p w14:paraId="03E4E97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31,662</w:t>
            </w:r>
          </w:p>
        </w:tc>
        <w:tc>
          <w:tcPr>
            <w:tcW w:w="414" w:type="pct"/>
            <w:tcBorders>
              <w:top w:val="single" w:sz="4" w:space="0" w:color="1B556B"/>
              <w:bottom w:val="single" w:sz="4" w:space="0" w:color="1B556B"/>
            </w:tcBorders>
            <w:shd w:val="clear" w:color="000000" w:fill="FFFFFF"/>
            <w:hideMark/>
          </w:tcPr>
          <w:p w14:paraId="7FDDDDE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49,956</w:t>
            </w:r>
          </w:p>
        </w:tc>
        <w:tc>
          <w:tcPr>
            <w:tcW w:w="323" w:type="pct"/>
            <w:tcBorders>
              <w:top w:val="single" w:sz="4" w:space="0" w:color="1B556B"/>
              <w:bottom w:val="single" w:sz="4" w:space="0" w:color="1B556B"/>
            </w:tcBorders>
            <w:shd w:val="clear" w:color="000000" w:fill="FFFFFF"/>
            <w:noWrap/>
            <w:hideMark/>
          </w:tcPr>
          <w:p w14:paraId="7D981A3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4F33EFF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168A24D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4CB4D9F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511BEFD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Mitigation</w:t>
            </w:r>
          </w:p>
        </w:tc>
        <w:tc>
          <w:tcPr>
            <w:tcW w:w="495" w:type="pct"/>
            <w:tcBorders>
              <w:top w:val="single" w:sz="4" w:space="0" w:color="1B556B"/>
              <w:bottom w:val="single" w:sz="4" w:space="0" w:color="1B556B"/>
            </w:tcBorders>
            <w:shd w:val="clear" w:color="000000" w:fill="FFFFFF"/>
            <w:hideMark/>
          </w:tcPr>
          <w:p w14:paraId="37CBF92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Water and Sanitation</w:t>
            </w:r>
          </w:p>
        </w:tc>
        <w:tc>
          <w:tcPr>
            <w:tcW w:w="281" w:type="pct"/>
            <w:tcBorders>
              <w:top w:val="single" w:sz="4" w:space="0" w:color="1B556B"/>
              <w:bottom w:val="single" w:sz="4" w:space="0" w:color="1B556B"/>
            </w:tcBorders>
            <w:shd w:val="clear" w:color="000000" w:fill="FFFFFF"/>
            <w:hideMark/>
          </w:tcPr>
          <w:p w14:paraId="2721E09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59B142F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7113F5" w:rsidRPr="00865EEC" w14:paraId="4EF84954" w14:textId="77777777" w:rsidTr="008E7E3B">
        <w:trPr>
          <w:trHeight w:val="20"/>
          <w:jc w:val="center"/>
        </w:trPr>
        <w:tc>
          <w:tcPr>
            <w:tcW w:w="727" w:type="pct"/>
            <w:tcBorders>
              <w:top w:val="single" w:sz="4" w:space="0" w:color="1B556B"/>
              <w:bottom w:val="single" w:sz="4" w:space="0" w:color="1B556B"/>
            </w:tcBorders>
            <w:shd w:val="clear" w:color="auto" w:fill="auto"/>
            <w:hideMark/>
          </w:tcPr>
          <w:p w14:paraId="6AC1100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auto" w:fill="auto"/>
            <w:hideMark/>
          </w:tcPr>
          <w:p w14:paraId="0B91267B"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54" w:name="_Hlk176256375"/>
            <w:r w:rsidRPr="00865EEC">
              <w:rPr>
                <w:rFonts w:asciiTheme="minorHAnsi" w:hAnsiTheme="minorHAnsi" w:cstheme="minorHAnsi"/>
                <w:color w:val="000000"/>
                <w:sz w:val="16"/>
                <w:szCs w:val="16"/>
              </w:rPr>
              <w:t>Climate Resilience, Fiji &amp; Cook Islands</w:t>
            </w:r>
            <w:bookmarkEnd w:id="954"/>
          </w:p>
        </w:tc>
        <w:tc>
          <w:tcPr>
            <w:tcW w:w="503" w:type="pct"/>
            <w:tcBorders>
              <w:top w:val="single" w:sz="4" w:space="0" w:color="1B556B"/>
              <w:bottom w:val="single" w:sz="4" w:space="0" w:color="1B556B"/>
            </w:tcBorders>
            <w:shd w:val="clear" w:color="auto" w:fill="auto"/>
            <w:noWrap/>
            <w:hideMark/>
          </w:tcPr>
          <w:p w14:paraId="5A7DEC30"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12,676</w:t>
            </w:r>
          </w:p>
        </w:tc>
        <w:tc>
          <w:tcPr>
            <w:tcW w:w="414" w:type="pct"/>
            <w:tcBorders>
              <w:top w:val="single" w:sz="4" w:space="0" w:color="1B556B"/>
              <w:bottom w:val="single" w:sz="4" w:space="0" w:color="1B556B"/>
            </w:tcBorders>
            <w:shd w:val="clear" w:color="auto" w:fill="auto"/>
            <w:hideMark/>
          </w:tcPr>
          <w:p w14:paraId="2BDACD6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20,000</w:t>
            </w:r>
          </w:p>
        </w:tc>
        <w:tc>
          <w:tcPr>
            <w:tcW w:w="323" w:type="pct"/>
            <w:tcBorders>
              <w:top w:val="single" w:sz="4" w:space="0" w:color="1B556B"/>
              <w:bottom w:val="single" w:sz="4" w:space="0" w:color="1B556B"/>
            </w:tcBorders>
            <w:shd w:val="clear" w:color="auto" w:fill="auto"/>
            <w:noWrap/>
            <w:hideMark/>
          </w:tcPr>
          <w:p w14:paraId="040775D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auto" w:fill="auto"/>
            <w:hideMark/>
          </w:tcPr>
          <w:p w14:paraId="2D4159A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auto" w:fill="auto"/>
            <w:noWrap/>
            <w:hideMark/>
          </w:tcPr>
          <w:p w14:paraId="3F19489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auto" w:fill="auto"/>
            <w:noWrap/>
            <w:hideMark/>
          </w:tcPr>
          <w:p w14:paraId="48038CE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auto" w:fill="auto"/>
            <w:hideMark/>
          </w:tcPr>
          <w:p w14:paraId="4B42041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auto" w:fill="auto"/>
            <w:hideMark/>
          </w:tcPr>
          <w:p w14:paraId="3EA2BAD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auto" w:fill="auto"/>
            <w:hideMark/>
          </w:tcPr>
          <w:p w14:paraId="03E6D2E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auto" w:fill="auto"/>
            <w:hideMark/>
          </w:tcPr>
          <w:p w14:paraId="49369B8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7113F5" w:rsidRPr="00865EEC" w14:paraId="20A07284" w14:textId="77777777" w:rsidTr="008E7E3B">
        <w:trPr>
          <w:trHeight w:val="20"/>
          <w:jc w:val="center"/>
        </w:trPr>
        <w:tc>
          <w:tcPr>
            <w:tcW w:w="727" w:type="pct"/>
            <w:tcBorders>
              <w:top w:val="single" w:sz="4" w:space="0" w:color="1B556B"/>
              <w:bottom w:val="single" w:sz="4" w:space="0" w:color="1B556B"/>
            </w:tcBorders>
            <w:shd w:val="clear" w:color="auto" w:fill="auto"/>
            <w:hideMark/>
          </w:tcPr>
          <w:p w14:paraId="2621EE7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Kiribati</w:t>
            </w:r>
          </w:p>
        </w:tc>
        <w:tc>
          <w:tcPr>
            <w:tcW w:w="653" w:type="pct"/>
            <w:tcBorders>
              <w:top w:val="single" w:sz="4" w:space="0" w:color="1B556B"/>
              <w:bottom w:val="single" w:sz="4" w:space="0" w:color="1B556B"/>
            </w:tcBorders>
            <w:shd w:val="clear" w:color="auto" w:fill="auto"/>
            <w:hideMark/>
          </w:tcPr>
          <w:p w14:paraId="7EC601A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Improving water security in Kiribati</w:t>
            </w:r>
          </w:p>
        </w:tc>
        <w:tc>
          <w:tcPr>
            <w:tcW w:w="503" w:type="pct"/>
            <w:tcBorders>
              <w:top w:val="single" w:sz="4" w:space="0" w:color="1B556B"/>
              <w:bottom w:val="single" w:sz="4" w:space="0" w:color="1B556B"/>
            </w:tcBorders>
            <w:shd w:val="clear" w:color="auto" w:fill="auto"/>
            <w:noWrap/>
            <w:hideMark/>
          </w:tcPr>
          <w:p w14:paraId="0D395263" w14:textId="60186262" w:rsidR="007113F5" w:rsidRPr="00865EEC" w:rsidRDefault="003E5E63">
            <w:pPr>
              <w:spacing w:before="60" w:after="60" w:line="240" w:lineRule="auto"/>
              <w:jc w:val="left"/>
              <w:rPr>
                <w:rFonts w:asciiTheme="minorHAnsi" w:hAnsiTheme="minorHAnsi" w:cstheme="minorHAnsi"/>
                <w:b/>
                <w:color w:val="000000"/>
                <w:sz w:val="16"/>
                <w:szCs w:val="16"/>
              </w:rPr>
            </w:pPr>
            <w:r>
              <w:rPr>
                <w:rFonts w:asciiTheme="minorHAnsi" w:hAnsiTheme="minorHAnsi" w:cstheme="minorHAnsi"/>
                <w:b/>
                <w:color w:val="000000"/>
                <w:sz w:val="16"/>
                <w:szCs w:val="16"/>
              </w:rPr>
              <w:t>139</w:t>
            </w:r>
            <w:r w:rsidR="002F7988">
              <w:rPr>
                <w:rFonts w:asciiTheme="minorHAnsi" w:hAnsiTheme="minorHAnsi" w:cstheme="minorHAnsi"/>
                <w:b/>
                <w:color w:val="000000"/>
                <w:sz w:val="16"/>
                <w:szCs w:val="16"/>
              </w:rPr>
              <w:t>,49</w:t>
            </w:r>
            <w:r w:rsidR="00EF7014">
              <w:rPr>
                <w:rFonts w:asciiTheme="minorHAnsi" w:hAnsiTheme="minorHAnsi" w:cstheme="minorHAnsi"/>
                <w:b/>
                <w:color w:val="000000"/>
                <w:sz w:val="16"/>
                <w:szCs w:val="16"/>
              </w:rPr>
              <w:t>2</w:t>
            </w:r>
          </w:p>
        </w:tc>
        <w:tc>
          <w:tcPr>
            <w:tcW w:w="414" w:type="pct"/>
            <w:tcBorders>
              <w:top w:val="single" w:sz="4" w:space="0" w:color="1B556B"/>
              <w:bottom w:val="single" w:sz="4" w:space="0" w:color="1B556B"/>
            </w:tcBorders>
            <w:shd w:val="clear" w:color="auto" w:fill="auto"/>
            <w:hideMark/>
          </w:tcPr>
          <w:p w14:paraId="6B1A4BC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219,994</w:t>
            </w:r>
          </w:p>
        </w:tc>
        <w:tc>
          <w:tcPr>
            <w:tcW w:w="323" w:type="pct"/>
            <w:tcBorders>
              <w:top w:val="single" w:sz="4" w:space="0" w:color="1B556B"/>
              <w:bottom w:val="single" w:sz="4" w:space="0" w:color="1B556B"/>
            </w:tcBorders>
            <w:shd w:val="clear" w:color="auto" w:fill="auto"/>
            <w:noWrap/>
            <w:hideMark/>
          </w:tcPr>
          <w:p w14:paraId="6ADAB4E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auto" w:fill="auto"/>
            <w:hideMark/>
          </w:tcPr>
          <w:p w14:paraId="635B4CB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auto" w:fill="auto"/>
            <w:noWrap/>
            <w:hideMark/>
          </w:tcPr>
          <w:p w14:paraId="409C303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auto" w:fill="auto"/>
            <w:noWrap/>
            <w:hideMark/>
          </w:tcPr>
          <w:p w14:paraId="42F1F52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auto" w:fill="auto"/>
            <w:hideMark/>
          </w:tcPr>
          <w:p w14:paraId="5757F20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auto" w:fill="auto"/>
            <w:hideMark/>
          </w:tcPr>
          <w:p w14:paraId="63EDBEB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Health</w:t>
            </w:r>
          </w:p>
        </w:tc>
        <w:tc>
          <w:tcPr>
            <w:tcW w:w="281" w:type="pct"/>
            <w:tcBorders>
              <w:top w:val="single" w:sz="4" w:space="0" w:color="1B556B"/>
              <w:bottom w:val="single" w:sz="4" w:space="0" w:color="1B556B"/>
            </w:tcBorders>
            <w:shd w:val="clear" w:color="auto" w:fill="auto"/>
            <w:hideMark/>
          </w:tcPr>
          <w:p w14:paraId="32BAD5E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auto" w:fill="auto"/>
            <w:hideMark/>
          </w:tcPr>
          <w:p w14:paraId="44AC4A0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5B5765E5"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4655FD7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6BEA351E"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55" w:name="_Hlk176256434"/>
            <w:r w:rsidRPr="00865EEC">
              <w:rPr>
                <w:rFonts w:asciiTheme="minorHAnsi" w:hAnsiTheme="minorHAnsi" w:cstheme="minorHAnsi"/>
                <w:color w:val="000000"/>
                <w:sz w:val="16"/>
                <w:szCs w:val="16"/>
              </w:rPr>
              <w:t>Country Flexible Finance - Support and Delivery</w:t>
            </w:r>
            <w:bookmarkEnd w:id="955"/>
          </w:p>
        </w:tc>
        <w:tc>
          <w:tcPr>
            <w:tcW w:w="503" w:type="pct"/>
            <w:tcBorders>
              <w:top w:val="single" w:sz="4" w:space="0" w:color="1B556B"/>
              <w:bottom w:val="single" w:sz="4" w:space="0" w:color="1B556B"/>
            </w:tcBorders>
            <w:shd w:val="clear" w:color="000000" w:fill="FFFFFF"/>
            <w:noWrap/>
            <w:hideMark/>
          </w:tcPr>
          <w:p w14:paraId="1304AD26"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73,846</w:t>
            </w:r>
          </w:p>
        </w:tc>
        <w:tc>
          <w:tcPr>
            <w:tcW w:w="414" w:type="pct"/>
            <w:tcBorders>
              <w:top w:val="single" w:sz="4" w:space="0" w:color="1B556B"/>
              <w:bottom w:val="single" w:sz="4" w:space="0" w:color="1B556B"/>
            </w:tcBorders>
            <w:shd w:val="clear" w:color="000000" w:fill="FFFFFF"/>
            <w:hideMark/>
          </w:tcPr>
          <w:p w14:paraId="357337FD"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116,515</w:t>
            </w:r>
          </w:p>
        </w:tc>
        <w:tc>
          <w:tcPr>
            <w:tcW w:w="323" w:type="pct"/>
            <w:tcBorders>
              <w:top w:val="single" w:sz="4" w:space="0" w:color="1B556B"/>
              <w:bottom w:val="single" w:sz="4" w:space="0" w:color="1B556B"/>
            </w:tcBorders>
            <w:shd w:val="clear" w:color="000000" w:fill="FFFFFF"/>
            <w:noWrap/>
            <w:hideMark/>
          </w:tcPr>
          <w:p w14:paraId="2037ACB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12E8DC9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0A6361F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21B2747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562B898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5F47904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Commodity aid and general programme assistance</w:t>
            </w:r>
          </w:p>
        </w:tc>
        <w:tc>
          <w:tcPr>
            <w:tcW w:w="281" w:type="pct"/>
            <w:tcBorders>
              <w:top w:val="single" w:sz="4" w:space="0" w:color="1B556B"/>
              <w:bottom w:val="single" w:sz="4" w:space="0" w:color="1B556B"/>
            </w:tcBorders>
            <w:shd w:val="clear" w:color="000000" w:fill="FFFFFF"/>
            <w:hideMark/>
          </w:tcPr>
          <w:p w14:paraId="5777C3C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289E48B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00D4B37B"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42ECF9D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Laos</w:t>
            </w:r>
          </w:p>
        </w:tc>
        <w:tc>
          <w:tcPr>
            <w:tcW w:w="653" w:type="pct"/>
            <w:tcBorders>
              <w:top w:val="single" w:sz="4" w:space="0" w:color="1B556B"/>
              <w:bottom w:val="single" w:sz="4" w:space="0" w:color="1B556B"/>
            </w:tcBorders>
            <w:shd w:val="clear" w:color="000000" w:fill="FFFFFF"/>
            <w:hideMark/>
          </w:tcPr>
          <w:p w14:paraId="1839FD1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Lao PDR: Nature Based Solutions for Urban Adaptation</w:t>
            </w:r>
          </w:p>
        </w:tc>
        <w:tc>
          <w:tcPr>
            <w:tcW w:w="503" w:type="pct"/>
            <w:tcBorders>
              <w:top w:val="single" w:sz="4" w:space="0" w:color="1B556B"/>
              <w:bottom w:val="single" w:sz="4" w:space="0" w:color="1B556B"/>
            </w:tcBorders>
            <w:shd w:val="clear" w:color="000000" w:fill="FFFFFF"/>
            <w:noWrap/>
            <w:hideMark/>
          </w:tcPr>
          <w:p w14:paraId="03AFD7A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138,479</w:t>
            </w:r>
          </w:p>
        </w:tc>
        <w:tc>
          <w:tcPr>
            <w:tcW w:w="414" w:type="pct"/>
            <w:tcBorders>
              <w:top w:val="single" w:sz="4" w:space="0" w:color="1B556B"/>
              <w:bottom w:val="single" w:sz="4" w:space="0" w:color="1B556B"/>
            </w:tcBorders>
            <w:shd w:val="clear" w:color="000000" w:fill="FFFFFF"/>
            <w:hideMark/>
          </w:tcPr>
          <w:p w14:paraId="0BF07876"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218,493</w:t>
            </w:r>
          </w:p>
        </w:tc>
        <w:tc>
          <w:tcPr>
            <w:tcW w:w="323" w:type="pct"/>
            <w:tcBorders>
              <w:top w:val="single" w:sz="4" w:space="0" w:color="1B556B"/>
              <w:bottom w:val="single" w:sz="4" w:space="0" w:color="1B556B"/>
            </w:tcBorders>
            <w:shd w:val="clear" w:color="000000" w:fill="FFFFFF"/>
            <w:noWrap/>
            <w:hideMark/>
          </w:tcPr>
          <w:p w14:paraId="2349FE1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68A58D2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3225C28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DA3897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35DD28F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007A69E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733C626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6E990EA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2D0D3C54"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7AF624C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Kiribati</w:t>
            </w:r>
          </w:p>
        </w:tc>
        <w:tc>
          <w:tcPr>
            <w:tcW w:w="653" w:type="pct"/>
            <w:tcBorders>
              <w:top w:val="single" w:sz="4" w:space="0" w:color="1B556B"/>
              <w:bottom w:val="single" w:sz="4" w:space="0" w:color="1B556B"/>
            </w:tcBorders>
            <w:shd w:val="clear" w:color="000000" w:fill="FFFFFF"/>
            <w:hideMark/>
          </w:tcPr>
          <w:p w14:paraId="4FEF231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Kiribati Water</w:t>
            </w:r>
          </w:p>
        </w:tc>
        <w:tc>
          <w:tcPr>
            <w:tcW w:w="503" w:type="pct"/>
            <w:tcBorders>
              <w:top w:val="single" w:sz="4" w:space="0" w:color="1B556B"/>
              <w:bottom w:val="single" w:sz="4" w:space="0" w:color="1B556B"/>
            </w:tcBorders>
            <w:shd w:val="clear" w:color="000000" w:fill="FFFFFF"/>
            <w:noWrap/>
            <w:hideMark/>
          </w:tcPr>
          <w:p w14:paraId="242130F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351,581</w:t>
            </w:r>
          </w:p>
        </w:tc>
        <w:tc>
          <w:tcPr>
            <w:tcW w:w="414" w:type="pct"/>
            <w:tcBorders>
              <w:top w:val="single" w:sz="4" w:space="0" w:color="1B556B"/>
              <w:bottom w:val="single" w:sz="4" w:space="0" w:color="1B556B"/>
            </w:tcBorders>
            <w:shd w:val="clear" w:color="000000" w:fill="FFFFFF"/>
            <w:hideMark/>
          </w:tcPr>
          <w:p w14:paraId="285F91BA"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554,725</w:t>
            </w:r>
          </w:p>
        </w:tc>
        <w:tc>
          <w:tcPr>
            <w:tcW w:w="323" w:type="pct"/>
            <w:tcBorders>
              <w:top w:val="single" w:sz="4" w:space="0" w:color="1B556B"/>
              <w:bottom w:val="single" w:sz="4" w:space="0" w:color="1B556B"/>
            </w:tcBorders>
            <w:shd w:val="clear" w:color="000000" w:fill="FFFFFF"/>
            <w:noWrap/>
            <w:hideMark/>
          </w:tcPr>
          <w:p w14:paraId="75664FE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7115429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57A9634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185206A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1DD57A6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21C4829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Water and Sanitation</w:t>
            </w:r>
          </w:p>
        </w:tc>
        <w:tc>
          <w:tcPr>
            <w:tcW w:w="281" w:type="pct"/>
            <w:tcBorders>
              <w:top w:val="single" w:sz="4" w:space="0" w:color="1B556B"/>
              <w:bottom w:val="single" w:sz="4" w:space="0" w:color="1B556B"/>
            </w:tcBorders>
            <w:shd w:val="clear" w:color="000000" w:fill="FFFFFF"/>
            <w:hideMark/>
          </w:tcPr>
          <w:p w14:paraId="0AD2291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3B7FB34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46320957"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6FD0295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hideMark/>
          </w:tcPr>
          <w:p w14:paraId="1FCE219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Ocean Acidification Partnership</w:t>
            </w:r>
          </w:p>
        </w:tc>
        <w:tc>
          <w:tcPr>
            <w:tcW w:w="503" w:type="pct"/>
            <w:tcBorders>
              <w:top w:val="single" w:sz="4" w:space="0" w:color="1B556B"/>
              <w:bottom w:val="single" w:sz="4" w:space="0" w:color="1B556B"/>
            </w:tcBorders>
            <w:shd w:val="clear" w:color="000000" w:fill="FFFFFF"/>
            <w:noWrap/>
            <w:hideMark/>
          </w:tcPr>
          <w:p w14:paraId="41EB0F18"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55,303</w:t>
            </w:r>
          </w:p>
        </w:tc>
        <w:tc>
          <w:tcPr>
            <w:tcW w:w="414" w:type="pct"/>
            <w:tcBorders>
              <w:top w:val="single" w:sz="4" w:space="0" w:color="1B556B"/>
              <w:bottom w:val="single" w:sz="4" w:space="0" w:color="1B556B"/>
            </w:tcBorders>
            <w:shd w:val="clear" w:color="000000" w:fill="FFFFFF"/>
            <w:hideMark/>
          </w:tcPr>
          <w:p w14:paraId="71AEEDD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87,257</w:t>
            </w:r>
          </w:p>
        </w:tc>
        <w:tc>
          <w:tcPr>
            <w:tcW w:w="323" w:type="pct"/>
            <w:tcBorders>
              <w:top w:val="single" w:sz="4" w:space="0" w:color="1B556B"/>
              <w:bottom w:val="single" w:sz="4" w:space="0" w:color="1B556B"/>
            </w:tcBorders>
            <w:shd w:val="clear" w:color="000000" w:fill="FFFFFF"/>
            <w:noWrap/>
            <w:hideMark/>
          </w:tcPr>
          <w:p w14:paraId="5EE8824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18DA471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08E615C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7DDE0D4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4AB0D13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7C56CBD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28D8204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065A030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51F79739"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089D2F7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Viet Nam</w:t>
            </w:r>
          </w:p>
        </w:tc>
        <w:tc>
          <w:tcPr>
            <w:tcW w:w="653" w:type="pct"/>
            <w:tcBorders>
              <w:top w:val="single" w:sz="4" w:space="0" w:color="1B556B"/>
              <w:bottom w:val="single" w:sz="4" w:space="0" w:color="1B556B"/>
            </w:tcBorders>
            <w:shd w:val="clear" w:color="000000" w:fill="FFFFFF"/>
            <w:hideMark/>
          </w:tcPr>
          <w:p w14:paraId="1133A2E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Viet Nam Dam Safety Project</w:t>
            </w:r>
          </w:p>
        </w:tc>
        <w:tc>
          <w:tcPr>
            <w:tcW w:w="503" w:type="pct"/>
            <w:tcBorders>
              <w:top w:val="single" w:sz="4" w:space="0" w:color="1B556B"/>
              <w:bottom w:val="single" w:sz="4" w:space="0" w:color="1B556B"/>
            </w:tcBorders>
            <w:shd w:val="clear" w:color="000000" w:fill="FFFFFF"/>
            <w:noWrap/>
            <w:hideMark/>
          </w:tcPr>
          <w:p w14:paraId="04FE5A1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173,737</w:t>
            </w:r>
          </w:p>
        </w:tc>
        <w:tc>
          <w:tcPr>
            <w:tcW w:w="414" w:type="pct"/>
            <w:tcBorders>
              <w:top w:val="single" w:sz="4" w:space="0" w:color="1B556B"/>
              <w:bottom w:val="single" w:sz="4" w:space="0" w:color="1B556B"/>
            </w:tcBorders>
            <w:shd w:val="clear" w:color="000000" w:fill="FFFFFF"/>
            <w:hideMark/>
          </w:tcPr>
          <w:p w14:paraId="2CD388E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274,122</w:t>
            </w:r>
          </w:p>
        </w:tc>
        <w:tc>
          <w:tcPr>
            <w:tcW w:w="323" w:type="pct"/>
            <w:tcBorders>
              <w:top w:val="single" w:sz="4" w:space="0" w:color="1B556B"/>
              <w:bottom w:val="single" w:sz="4" w:space="0" w:color="1B556B"/>
            </w:tcBorders>
            <w:shd w:val="clear" w:color="000000" w:fill="FFFFFF"/>
            <w:noWrap/>
            <w:hideMark/>
          </w:tcPr>
          <w:p w14:paraId="4A37467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4596AFC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40E129E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19112B8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42BFC51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51F9D90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Humanitarian Aid</w:t>
            </w:r>
          </w:p>
        </w:tc>
        <w:tc>
          <w:tcPr>
            <w:tcW w:w="281" w:type="pct"/>
            <w:tcBorders>
              <w:top w:val="single" w:sz="4" w:space="0" w:color="1B556B"/>
              <w:bottom w:val="single" w:sz="4" w:space="0" w:color="1B556B"/>
            </w:tcBorders>
            <w:shd w:val="clear" w:color="000000" w:fill="FFFFFF"/>
            <w:hideMark/>
          </w:tcPr>
          <w:p w14:paraId="7907C62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3A4A5DA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3708EE9F"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2271517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Indonesia</w:t>
            </w:r>
          </w:p>
        </w:tc>
        <w:tc>
          <w:tcPr>
            <w:tcW w:w="653" w:type="pct"/>
            <w:tcBorders>
              <w:top w:val="single" w:sz="4" w:space="0" w:color="1B556B"/>
              <w:bottom w:val="single" w:sz="4" w:space="0" w:color="1B556B"/>
            </w:tcBorders>
            <w:shd w:val="clear" w:color="000000" w:fill="FFFFFF"/>
            <w:hideMark/>
          </w:tcPr>
          <w:p w14:paraId="704EB09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Indonesia: Accelerating Geothermal Development</w:t>
            </w:r>
          </w:p>
        </w:tc>
        <w:tc>
          <w:tcPr>
            <w:tcW w:w="503" w:type="pct"/>
            <w:tcBorders>
              <w:top w:val="single" w:sz="4" w:space="0" w:color="1B556B"/>
              <w:bottom w:val="single" w:sz="4" w:space="0" w:color="1B556B"/>
            </w:tcBorders>
            <w:shd w:val="clear" w:color="000000" w:fill="FFFFFF"/>
            <w:noWrap/>
            <w:hideMark/>
          </w:tcPr>
          <w:p w14:paraId="15DAA9AB"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396,239</w:t>
            </w:r>
          </w:p>
        </w:tc>
        <w:tc>
          <w:tcPr>
            <w:tcW w:w="414" w:type="pct"/>
            <w:tcBorders>
              <w:top w:val="single" w:sz="4" w:space="0" w:color="1B556B"/>
              <w:bottom w:val="single" w:sz="4" w:space="0" w:color="1B556B"/>
            </w:tcBorders>
            <w:shd w:val="clear" w:color="000000" w:fill="FFFFFF"/>
            <w:hideMark/>
          </w:tcPr>
          <w:p w14:paraId="00ABB9CD"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625,186</w:t>
            </w:r>
          </w:p>
        </w:tc>
        <w:tc>
          <w:tcPr>
            <w:tcW w:w="323" w:type="pct"/>
            <w:tcBorders>
              <w:top w:val="single" w:sz="4" w:space="0" w:color="1B556B"/>
              <w:bottom w:val="single" w:sz="4" w:space="0" w:color="1B556B"/>
            </w:tcBorders>
            <w:shd w:val="clear" w:color="000000" w:fill="FFFFFF"/>
            <w:noWrap/>
            <w:hideMark/>
          </w:tcPr>
          <w:p w14:paraId="5703952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3F7F104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089F6D4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730D4B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575DAE6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Mitigation</w:t>
            </w:r>
          </w:p>
        </w:tc>
        <w:tc>
          <w:tcPr>
            <w:tcW w:w="495" w:type="pct"/>
            <w:tcBorders>
              <w:top w:val="single" w:sz="4" w:space="0" w:color="1B556B"/>
              <w:bottom w:val="single" w:sz="4" w:space="0" w:color="1B556B"/>
            </w:tcBorders>
            <w:shd w:val="clear" w:color="000000" w:fill="FFFFFF"/>
            <w:hideMark/>
          </w:tcPr>
          <w:p w14:paraId="3FF950A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Energy</w:t>
            </w:r>
          </w:p>
        </w:tc>
        <w:tc>
          <w:tcPr>
            <w:tcW w:w="281" w:type="pct"/>
            <w:tcBorders>
              <w:top w:val="single" w:sz="4" w:space="0" w:color="1B556B"/>
              <w:bottom w:val="single" w:sz="4" w:space="0" w:color="1B556B"/>
            </w:tcBorders>
            <w:shd w:val="clear" w:color="000000" w:fill="FFFFFF"/>
            <w:hideMark/>
          </w:tcPr>
          <w:p w14:paraId="5A990F2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3CE84E1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0F202994"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6CB725E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Indonesia</w:t>
            </w:r>
          </w:p>
        </w:tc>
        <w:tc>
          <w:tcPr>
            <w:tcW w:w="653" w:type="pct"/>
            <w:tcBorders>
              <w:top w:val="single" w:sz="4" w:space="0" w:color="1B556B"/>
              <w:bottom w:val="single" w:sz="4" w:space="0" w:color="1B556B"/>
            </w:tcBorders>
            <w:shd w:val="clear" w:color="000000" w:fill="FFFFFF"/>
            <w:hideMark/>
          </w:tcPr>
          <w:p w14:paraId="4936B89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Indonesia: Improving Energy Access in Maluku</w:t>
            </w:r>
          </w:p>
        </w:tc>
        <w:tc>
          <w:tcPr>
            <w:tcW w:w="503" w:type="pct"/>
            <w:tcBorders>
              <w:top w:val="single" w:sz="4" w:space="0" w:color="1B556B"/>
              <w:bottom w:val="single" w:sz="4" w:space="0" w:color="1B556B"/>
            </w:tcBorders>
            <w:shd w:val="clear" w:color="000000" w:fill="FFFFFF"/>
            <w:noWrap/>
            <w:hideMark/>
          </w:tcPr>
          <w:p w14:paraId="53550579"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763,939</w:t>
            </w:r>
          </w:p>
        </w:tc>
        <w:tc>
          <w:tcPr>
            <w:tcW w:w="414" w:type="pct"/>
            <w:tcBorders>
              <w:top w:val="single" w:sz="4" w:space="0" w:color="1B556B"/>
              <w:bottom w:val="single" w:sz="4" w:space="0" w:color="1B556B"/>
            </w:tcBorders>
            <w:shd w:val="clear" w:color="000000" w:fill="FFFFFF"/>
            <w:hideMark/>
          </w:tcPr>
          <w:p w14:paraId="7FBFD3C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1,205,343</w:t>
            </w:r>
          </w:p>
        </w:tc>
        <w:tc>
          <w:tcPr>
            <w:tcW w:w="323" w:type="pct"/>
            <w:tcBorders>
              <w:top w:val="single" w:sz="4" w:space="0" w:color="1B556B"/>
              <w:bottom w:val="single" w:sz="4" w:space="0" w:color="1B556B"/>
            </w:tcBorders>
            <w:shd w:val="clear" w:color="000000" w:fill="FFFFFF"/>
            <w:noWrap/>
            <w:hideMark/>
          </w:tcPr>
          <w:p w14:paraId="7D2BD3C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15676CF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3BCB9E6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0D881C5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39B3664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3266BE1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Energy</w:t>
            </w:r>
          </w:p>
        </w:tc>
        <w:tc>
          <w:tcPr>
            <w:tcW w:w="281" w:type="pct"/>
            <w:tcBorders>
              <w:top w:val="single" w:sz="4" w:space="0" w:color="1B556B"/>
              <w:bottom w:val="single" w:sz="4" w:space="0" w:color="1B556B"/>
            </w:tcBorders>
            <w:shd w:val="clear" w:color="000000" w:fill="FFFFFF"/>
            <w:hideMark/>
          </w:tcPr>
          <w:p w14:paraId="2A97DA4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1E9D2EF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641C3B8F"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FE7D6C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Africa Regional/Multi-Country</w:t>
            </w:r>
          </w:p>
        </w:tc>
        <w:tc>
          <w:tcPr>
            <w:tcW w:w="653" w:type="pct"/>
            <w:tcBorders>
              <w:top w:val="single" w:sz="4" w:space="0" w:color="1B556B"/>
              <w:bottom w:val="single" w:sz="4" w:space="0" w:color="1B556B"/>
            </w:tcBorders>
            <w:shd w:val="clear" w:color="000000" w:fill="FFFFFF"/>
            <w:hideMark/>
          </w:tcPr>
          <w:p w14:paraId="5C284D9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Africa Geothermal Assistance Facility</w:t>
            </w:r>
          </w:p>
        </w:tc>
        <w:tc>
          <w:tcPr>
            <w:tcW w:w="503" w:type="pct"/>
            <w:tcBorders>
              <w:top w:val="single" w:sz="4" w:space="0" w:color="1B556B"/>
              <w:bottom w:val="single" w:sz="4" w:space="0" w:color="1B556B"/>
            </w:tcBorders>
            <w:shd w:val="clear" w:color="000000" w:fill="FFFFFF"/>
            <w:noWrap/>
            <w:hideMark/>
          </w:tcPr>
          <w:p w14:paraId="1136636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963,625</w:t>
            </w:r>
          </w:p>
        </w:tc>
        <w:tc>
          <w:tcPr>
            <w:tcW w:w="414" w:type="pct"/>
            <w:tcBorders>
              <w:top w:val="single" w:sz="4" w:space="0" w:color="1B556B"/>
              <w:bottom w:val="single" w:sz="4" w:space="0" w:color="1B556B"/>
            </w:tcBorders>
            <w:shd w:val="clear" w:color="000000" w:fill="FFFFFF"/>
            <w:hideMark/>
          </w:tcPr>
          <w:p w14:paraId="6E8FC79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1,520,407</w:t>
            </w:r>
          </w:p>
        </w:tc>
        <w:tc>
          <w:tcPr>
            <w:tcW w:w="323" w:type="pct"/>
            <w:tcBorders>
              <w:top w:val="single" w:sz="4" w:space="0" w:color="1B556B"/>
              <w:bottom w:val="single" w:sz="4" w:space="0" w:color="1B556B"/>
            </w:tcBorders>
            <w:shd w:val="clear" w:color="000000" w:fill="FFFFFF"/>
            <w:noWrap/>
            <w:hideMark/>
          </w:tcPr>
          <w:p w14:paraId="1CEA05D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58EFC6B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01A7A67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17A8DA8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43D322B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15E8818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Energy</w:t>
            </w:r>
          </w:p>
        </w:tc>
        <w:tc>
          <w:tcPr>
            <w:tcW w:w="281" w:type="pct"/>
            <w:tcBorders>
              <w:top w:val="single" w:sz="4" w:space="0" w:color="1B556B"/>
              <w:bottom w:val="single" w:sz="4" w:space="0" w:color="1B556B"/>
            </w:tcBorders>
            <w:shd w:val="clear" w:color="000000" w:fill="FFFFFF"/>
            <w:hideMark/>
          </w:tcPr>
          <w:p w14:paraId="13BD86D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68E9959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67433F01"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2A25D34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Indonesia</w:t>
            </w:r>
          </w:p>
        </w:tc>
        <w:tc>
          <w:tcPr>
            <w:tcW w:w="653" w:type="pct"/>
            <w:tcBorders>
              <w:top w:val="single" w:sz="4" w:space="0" w:color="1B556B"/>
              <w:bottom w:val="single" w:sz="4" w:space="0" w:color="1B556B"/>
            </w:tcBorders>
            <w:shd w:val="clear" w:color="000000" w:fill="FFFFFF"/>
            <w:hideMark/>
          </w:tcPr>
          <w:p w14:paraId="082683E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Indonesia: Supporting Geothermal Sector Training</w:t>
            </w:r>
          </w:p>
        </w:tc>
        <w:tc>
          <w:tcPr>
            <w:tcW w:w="503" w:type="pct"/>
            <w:tcBorders>
              <w:top w:val="single" w:sz="4" w:space="0" w:color="1B556B"/>
              <w:bottom w:val="single" w:sz="4" w:space="0" w:color="1B556B"/>
            </w:tcBorders>
            <w:shd w:val="clear" w:color="000000" w:fill="FFFFFF"/>
            <w:noWrap/>
            <w:hideMark/>
          </w:tcPr>
          <w:p w14:paraId="489F61ED"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173,921</w:t>
            </w:r>
          </w:p>
        </w:tc>
        <w:tc>
          <w:tcPr>
            <w:tcW w:w="414" w:type="pct"/>
            <w:tcBorders>
              <w:top w:val="single" w:sz="4" w:space="0" w:color="1B556B"/>
              <w:bottom w:val="single" w:sz="4" w:space="0" w:color="1B556B"/>
            </w:tcBorders>
            <w:shd w:val="clear" w:color="000000" w:fill="FFFFFF"/>
            <w:hideMark/>
          </w:tcPr>
          <w:p w14:paraId="257CAA99"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274,412</w:t>
            </w:r>
          </w:p>
        </w:tc>
        <w:tc>
          <w:tcPr>
            <w:tcW w:w="323" w:type="pct"/>
            <w:tcBorders>
              <w:top w:val="single" w:sz="4" w:space="0" w:color="1B556B"/>
              <w:bottom w:val="single" w:sz="4" w:space="0" w:color="1B556B"/>
            </w:tcBorders>
            <w:shd w:val="clear" w:color="000000" w:fill="FFFFFF"/>
            <w:noWrap/>
            <w:hideMark/>
          </w:tcPr>
          <w:p w14:paraId="3AA97FD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1399D67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0FC53CA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1CB530C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6E1C44A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Mitigation</w:t>
            </w:r>
          </w:p>
        </w:tc>
        <w:tc>
          <w:tcPr>
            <w:tcW w:w="495" w:type="pct"/>
            <w:tcBorders>
              <w:top w:val="single" w:sz="4" w:space="0" w:color="1B556B"/>
              <w:bottom w:val="single" w:sz="4" w:space="0" w:color="1B556B"/>
            </w:tcBorders>
            <w:shd w:val="clear" w:color="000000" w:fill="FFFFFF"/>
            <w:hideMark/>
          </w:tcPr>
          <w:p w14:paraId="4D8209F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Energy</w:t>
            </w:r>
          </w:p>
        </w:tc>
        <w:tc>
          <w:tcPr>
            <w:tcW w:w="281" w:type="pct"/>
            <w:tcBorders>
              <w:top w:val="single" w:sz="4" w:space="0" w:color="1B556B"/>
              <w:bottom w:val="single" w:sz="4" w:space="0" w:color="1B556B"/>
            </w:tcBorders>
            <w:shd w:val="clear" w:color="000000" w:fill="FFFFFF"/>
            <w:hideMark/>
          </w:tcPr>
          <w:p w14:paraId="10C5202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757010D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39F3E7B2"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19D4F20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Indonesia</w:t>
            </w:r>
          </w:p>
        </w:tc>
        <w:tc>
          <w:tcPr>
            <w:tcW w:w="653" w:type="pct"/>
            <w:tcBorders>
              <w:top w:val="single" w:sz="4" w:space="0" w:color="1B556B"/>
              <w:bottom w:val="single" w:sz="4" w:space="0" w:color="1B556B"/>
            </w:tcBorders>
            <w:shd w:val="clear" w:color="000000" w:fill="FFFFFF"/>
            <w:hideMark/>
          </w:tcPr>
          <w:p w14:paraId="195639F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Indonesia: Better Warehousing</w:t>
            </w:r>
          </w:p>
        </w:tc>
        <w:tc>
          <w:tcPr>
            <w:tcW w:w="503" w:type="pct"/>
            <w:tcBorders>
              <w:top w:val="single" w:sz="4" w:space="0" w:color="1B556B"/>
              <w:bottom w:val="single" w:sz="4" w:space="0" w:color="1B556B"/>
            </w:tcBorders>
            <w:shd w:val="clear" w:color="000000" w:fill="FFFFFF"/>
            <w:noWrap/>
            <w:hideMark/>
          </w:tcPr>
          <w:p w14:paraId="1BFA3B0E"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225,198</w:t>
            </w:r>
          </w:p>
        </w:tc>
        <w:tc>
          <w:tcPr>
            <w:tcW w:w="414" w:type="pct"/>
            <w:tcBorders>
              <w:top w:val="single" w:sz="4" w:space="0" w:color="1B556B"/>
              <w:bottom w:val="single" w:sz="4" w:space="0" w:color="1B556B"/>
            </w:tcBorders>
            <w:shd w:val="clear" w:color="000000" w:fill="FFFFFF"/>
            <w:hideMark/>
          </w:tcPr>
          <w:p w14:paraId="69B853C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355,317</w:t>
            </w:r>
          </w:p>
        </w:tc>
        <w:tc>
          <w:tcPr>
            <w:tcW w:w="323" w:type="pct"/>
            <w:tcBorders>
              <w:top w:val="single" w:sz="4" w:space="0" w:color="1B556B"/>
              <w:bottom w:val="single" w:sz="4" w:space="0" w:color="1B556B"/>
            </w:tcBorders>
            <w:shd w:val="clear" w:color="000000" w:fill="FFFFFF"/>
            <w:noWrap/>
            <w:hideMark/>
          </w:tcPr>
          <w:p w14:paraId="5F724B3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3EBC3B9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564816E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26A39B7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6D8F441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2C344B3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Humanitarian Aid</w:t>
            </w:r>
          </w:p>
        </w:tc>
        <w:tc>
          <w:tcPr>
            <w:tcW w:w="281" w:type="pct"/>
            <w:tcBorders>
              <w:top w:val="single" w:sz="4" w:space="0" w:color="1B556B"/>
              <w:bottom w:val="single" w:sz="4" w:space="0" w:color="1B556B"/>
            </w:tcBorders>
            <w:shd w:val="clear" w:color="000000" w:fill="FFFFFF"/>
            <w:hideMark/>
          </w:tcPr>
          <w:p w14:paraId="6D35AE6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3F6FAAB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56C75DED"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D0C759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Asia Regional/Multi-country</w:t>
            </w:r>
          </w:p>
        </w:tc>
        <w:tc>
          <w:tcPr>
            <w:tcW w:w="653" w:type="pct"/>
            <w:tcBorders>
              <w:top w:val="single" w:sz="4" w:space="0" w:color="1B556B"/>
              <w:bottom w:val="single" w:sz="4" w:space="0" w:color="1B556B"/>
            </w:tcBorders>
            <w:shd w:val="clear" w:color="000000" w:fill="FFFFFF"/>
            <w:hideMark/>
          </w:tcPr>
          <w:p w14:paraId="42094C6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ASEAN: Lao and Cambodia Renewable Energy Facility</w:t>
            </w:r>
          </w:p>
        </w:tc>
        <w:tc>
          <w:tcPr>
            <w:tcW w:w="503" w:type="pct"/>
            <w:tcBorders>
              <w:top w:val="single" w:sz="4" w:space="0" w:color="1B556B"/>
              <w:bottom w:val="single" w:sz="4" w:space="0" w:color="1B556B"/>
            </w:tcBorders>
            <w:shd w:val="clear" w:color="000000" w:fill="FFFFFF"/>
            <w:noWrap/>
            <w:hideMark/>
          </w:tcPr>
          <w:p w14:paraId="79C5A824"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1,172,448</w:t>
            </w:r>
          </w:p>
        </w:tc>
        <w:tc>
          <w:tcPr>
            <w:tcW w:w="414" w:type="pct"/>
            <w:tcBorders>
              <w:top w:val="single" w:sz="4" w:space="0" w:color="1B556B"/>
              <w:bottom w:val="single" w:sz="4" w:space="0" w:color="1B556B"/>
            </w:tcBorders>
            <w:shd w:val="clear" w:color="000000" w:fill="FFFFFF"/>
            <w:hideMark/>
          </w:tcPr>
          <w:p w14:paraId="2ED07646" w14:textId="2283241E"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1,849,068</w:t>
            </w:r>
          </w:p>
        </w:tc>
        <w:tc>
          <w:tcPr>
            <w:tcW w:w="323" w:type="pct"/>
            <w:tcBorders>
              <w:top w:val="single" w:sz="4" w:space="0" w:color="1B556B"/>
              <w:bottom w:val="single" w:sz="4" w:space="0" w:color="1B556B"/>
            </w:tcBorders>
            <w:shd w:val="clear" w:color="000000" w:fill="FFFFFF"/>
            <w:noWrap/>
            <w:hideMark/>
          </w:tcPr>
          <w:p w14:paraId="0E56256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19E5052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Multi-Bilateral</w:t>
            </w:r>
          </w:p>
        </w:tc>
        <w:tc>
          <w:tcPr>
            <w:tcW w:w="278" w:type="pct"/>
            <w:tcBorders>
              <w:top w:val="single" w:sz="4" w:space="0" w:color="1B556B"/>
              <w:bottom w:val="single" w:sz="4" w:space="0" w:color="1B556B"/>
            </w:tcBorders>
            <w:shd w:val="clear" w:color="000000" w:fill="FFFFFF"/>
            <w:noWrap/>
            <w:hideMark/>
          </w:tcPr>
          <w:p w14:paraId="0203A03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026C2F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4A1234C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hideMark/>
          </w:tcPr>
          <w:p w14:paraId="3780A0B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Energy</w:t>
            </w:r>
          </w:p>
        </w:tc>
        <w:tc>
          <w:tcPr>
            <w:tcW w:w="281" w:type="pct"/>
            <w:tcBorders>
              <w:top w:val="single" w:sz="4" w:space="0" w:color="1B556B"/>
              <w:bottom w:val="single" w:sz="4" w:space="0" w:color="1B556B"/>
            </w:tcBorders>
            <w:shd w:val="clear" w:color="000000" w:fill="FFFFFF"/>
            <w:hideMark/>
          </w:tcPr>
          <w:p w14:paraId="5CA2A38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66689FC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579C4076"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396B40D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Myanmar</w:t>
            </w:r>
          </w:p>
        </w:tc>
        <w:tc>
          <w:tcPr>
            <w:tcW w:w="653" w:type="pct"/>
            <w:tcBorders>
              <w:top w:val="single" w:sz="4" w:space="0" w:color="1B556B"/>
              <w:bottom w:val="single" w:sz="4" w:space="0" w:color="1B556B"/>
            </w:tcBorders>
            <w:shd w:val="clear" w:color="000000" w:fill="FFFFFF"/>
            <w:hideMark/>
          </w:tcPr>
          <w:p w14:paraId="62A42A1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Myanmar Better Warehousing and Logistics</w:t>
            </w:r>
          </w:p>
        </w:tc>
        <w:tc>
          <w:tcPr>
            <w:tcW w:w="503" w:type="pct"/>
            <w:tcBorders>
              <w:top w:val="single" w:sz="4" w:space="0" w:color="1B556B"/>
              <w:bottom w:val="single" w:sz="4" w:space="0" w:color="1B556B"/>
            </w:tcBorders>
            <w:shd w:val="clear" w:color="000000" w:fill="FFFFFF"/>
            <w:noWrap/>
            <w:hideMark/>
          </w:tcPr>
          <w:p w14:paraId="4EF06D7B"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140,659</w:t>
            </w:r>
          </w:p>
        </w:tc>
        <w:tc>
          <w:tcPr>
            <w:tcW w:w="414" w:type="pct"/>
            <w:tcBorders>
              <w:top w:val="single" w:sz="4" w:space="0" w:color="1B556B"/>
              <w:bottom w:val="single" w:sz="4" w:space="0" w:color="1B556B"/>
            </w:tcBorders>
            <w:shd w:val="clear" w:color="000000" w:fill="FFFFFF"/>
            <w:hideMark/>
          </w:tcPr>
          <w:p w14:paraId="78A4E47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221,931</w:t>
            </w:r>
          </w:p>
        </w:tc>
        <w:tc>
          <w:tcPr>
            <w:tcW w:w="323" w:type="pct"/>
            <w:tcBorders>
              <w:top w:val="single" w:sz="4" w:space="0" w:color="1B556B"/>
              <w:bottom w:val="single" w:sz="4" w:space="0" w:color="1B556B"/>
            </w:tcBorders>
            <w:shd w:val="clear" w:color="000000" w:fill="FFFFFF"/>
            <w:noWrap/>
            <w:hideMark/>
          </w:tcPr>
          <w:p w14:paraId="68DCBE4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777DAEE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2BAB6AF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A34906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7D93A79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24920BB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11D8A26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3EDA4BD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5AE962B3"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2061C20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Myanmar</w:t>
            </w:r>
          </w:p>
        </w:tc>
        <w:tc>
          <w:tcPr>
            <w:tcW w:w="653" w:type="pct"/>
            <w:tcBorders>
              <w:top w:val="single" w:sz="4" w:space="0" w:color="1B556B"/>
              <w:bottom w:val="single" w:sz="4" w:space="0" w:color="1B556B"/>
            </w:tcBorders>
            <w:shd w:val="clear" w:color="000000" w:fill="FFFFFF"/>
            <w:hideMark/>
          </w:tcPr>
          <w:p w14:paraId="615DC4E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Myanmar Resilient Horticulture</w:t>
            </w:r>
          </w:p>
        </w:tc>
        <w:tc>
          <w:tcPr>
            <w:tcW w:w="503" w:type="pct"/>
            <w:tcBorders>
              <w:top w:val="single" w:sz="4" w:space="0" w:color="1B556B"/>
              <w:bottom w:val="single" w:sz="4" w:space="0" w:color="1B556B"/>
            </w:tcBorders>
            <w:shd w:val="clear" w:color="000000" w:fill="FFFFFF"/>
            <w:noWrap/>
            <w:hideMark/>
          </w:tcPr>
          <w:p w14:paraId="6558F3B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324,041</w:t>
            </w:r>
          </w:p>
        </w:tc>
        <w:tc>
          <w:tcPr>
            <w:tcW w:w="414" w:type="pct"/>
            <w:tcBorders>
              <w:top w:val="single" w:sz="4" w:space="0" w:color="1B556B"/>
              <w:bottom w:val="single" w:sz="4" w:space="0" w:color="1B556B"/>
            </w:tcBorders>
            <w:shd w:val="clear" w:color="000000" w:fill="FFFFFF"/>
            <w:hideMark/>
          </w:tcPr>
          <w:p w14:paraId="208AAD1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511,273</w:t>
            </w:r>
          </w:p>
        </w:tc>
        <w:tc>
          <w:tcPr>
            <w:tcW w:w="323" w:type="pct"/>
            <w:tcBorders>
              <w:top w:val="single" w:sz="4" w:space="0" w:color="1B556B"/>
              <w:bottom w:val="single" w:sz="4" w:space="0" w:color="1B556B"/>
            </w:tcBorders>
            <w:shd w:val="clear" w:color="000000" w:fill="FFFFFF"/>
            <w:noWrap/>
            <w:hideMark/>
          </w:tcPr>
          <w:p w14:paraId="031F1DA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5BC06DE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0044E42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6DF2781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09F64A8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4896C1A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000000" w:fill="FFFFFF"/>
            <w:hideMark/>
          </w:tcPr>
          <w:p w14:paraId="5A8F6FD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4BC18A7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4FCF518C"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467C4FB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Vanuatu</w:t>
            </w:r>
          </w:p>
        </w:tc>
        <w:tc>
          <w:tcPr>
            <w:tcW w:w="653" w:type="pct"/>
            <w:tcBorders>
              <w:top w:val="single" w:sz="4" w:space="0" w:color="1B556B"/>
              <w:bottom w:val="single" w:sz="4" w:space="0" w:color="1B556B"/>
            </w:tcBorders>
            <w:shd w:val="clear" w:color="000000" w:fill="FFFFFF"/>
            <w:hideMark/>
          </w:tcPr>
          <w:p w14:paraId="2A0AB51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Water Sector Partnership 2017-2021</w:t>
            </w:r>
          </w:p>
        </w:tc>
        <w:tc>
          <w:tcPr>
            <w:tcW w:w="503" w:type="pct"/>
            <w:tcBorders>
              <w:top w:val="single" w:sz="4" w:space="0" w:color="1B556B"/>
              <w:bottom w:val="single" w:sz="4" w:space="0" w:color="1B556B"/>
            </w:tcBorders>
            <w:shd w:val="clear" w:color="000000" w:fill="FFFFFF"/>
            <w:noWrap/>
            <w:hideMark/>
          </w:tcPr>
          <w:p w14:paraId="77D0E646"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290,362</w:t>
            </w:r>
          </w:p>
        </w:tc>
        <w:tc>
          <w:tcPr>
            <w:tcW w:w="414" w:type="pct"/>
            <w:tcBorders>
              <w:top w:val="single" w:sz="4" w:space="0" w:color="1B556B"/>
              <w:bottom w:val="single" w:sz="4" w:space="0" w:color="1B556B"/>
            </w:tcBorders>
            <w:shd w:val="clear" w:color="000000" w:fill="FFFFFF"/>
            <w:hideMark/>
          </w:tcPr>
          <w:p w14:paraId="241F05DD"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458,133</w:t>
            </w:r>
          </w:p>
        </w:tc>
        <w:tc>
          <w:tcPr>
            <w:tcW w:w="323" w:type="pct"/>
            <w:tcBorders>
              <w:top w:val="single" w:sz="4" w:space="0" w:color="1B556B"/>
              <w:bottom w:val="single" w:sz="4" w:space="0" w:color="1B556B"/>
            </w:tcBorders>
            <w:shd w:val="clear" w:color="000000" w:fill="FFFFFF"/>
            <w:noWrap/>
            <w:hideMark/>
          </w:tcPr>
          <w:p w14:paraId="5530C1A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4A812F3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noWrap/>
            <w:hideMark/>
          </w:tcPr>
          <w:p w14:paraId="58FDB9E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18D2D4F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6B4040E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1B0784F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Water and Sanitation</w:t>
            </w:r>
          </w:p>
        </w:tc>
        <w:tc>
          <w:tcPr>
            <w:tcW w:w="281" w:type="pct"/>
            <w:tcBorders>
              <w:top w:val="single" w:sz="4" w:space="0" w:color="1B556B"/>
              <w:bottom w:val="single" w:sz="4" w:space="0" w:color="1B556B"/>
            </w:tcBorders>
            <w:shd w:val="clear" w:color="000000" w:fill="FFFFFF"/>
            <w:hideMark/>
          </w:tcPr>
          <w:p w14:paraId="0A859D1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42E7C07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057DB78C"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5F784A2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Worldwide/Multi-Region</w:t>
            </w:r>
          </w:p>
        </w:tc>
        <w:tc>
          <w:tcPr>
            <w:tcW w:w="653" w:type="pct"/>
            <w:tcBorders>
              <w:top w:val="single" w:sz="4" w:space="0" w:color="1B556B"/>
              <w:bottom w:val="single" w:sz="4" w:space="0" w:color="1B556B"/>
            </w:tcBorders>
            <w:shd w:val="clear" w:color="000000" w:fill="FFFFFF"/>
            <w:hideMark/>
          </w:tcPr>
          <w:p w14:paraId="24C21316"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56" w:name="_Hlk176256566"/>
            <w:r w:rsidRPr="00865EEC">
              <w:rPr>
                <w:rFonts w:asciiTheme="minorHAnsi" w:hAnsiTheme="minorHAnsi" w:cstheme="minorHAnsi"/>
                <w:color w:val="000000"/>
                <w:sz w:val="16"/>
                <w:szCs w:val="16"/>
              </w:rPr>
              <w:t>Volunteer Service Abroad 2018 - 2023</w:t>
            </w:r>
            <w:bookmarkEnd w:id="956"/>
          </w:p>
        </w:tc>
        <w:tc>
          <w:tcPr>
            <w:tcW w:w="503" w:type="pct"/>
            <w:tcBorders>
              <w:top w:val="single" w:sz="4" w:space="0" w:color="1B556B"/>
              <w:bottom w:val="single" w:sz="4" w:space="0" w:color="1B556B"/>
            </w:tcBorders>
            <w:shd w:val="clear" w:color="000000" w:fill="FFFFFF"/>
            <w:noWrap/>
            <w:hideMark/>
          </w:tcPr>
          <w:p w14:paraId="44630710"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1,295,663</w:t>
            </w:r>
          </w:p>
        </w:tc>
        <w:tc>
          <w:tcPr>
            <w:tcW w:w="414" w:type="pct"/>
            <w:tcBorders>
              <w:top w:val="single" w:sz="4" w:space="0" w:color="1B556B"/>
              <w:bottom w:val="single" w:sz="4" w:space="0" w:color="1B556B"/>
            </w:tcBorders>
            <w:shd w:val="clear" w:color="000000" w:fill="FFFFFF"/>
            <w:hideMark/>
          </w:tcPr>
          <w:p w14:paraId="2612C30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2,044,298</w:t>
            </w:r>
          </w:p>
        </w:tc>
        <w:tc>
          <w:tcPr>
            <w:tcW w:w="323" w:type="pct"/>
            <w:tcBorders>
              <w:top w:val="single" w:sz="4" w:space="0" w:color="1B556B"/>
              <w:bottom w:val="single" w:sz="4" w:space="0" w:color="1B556B"/>
            </w:tcBorders>
            <w:shd w:val="clear" w:color="000000" w:fill="FFFFFF"/>
            <w:noWrap/>
            <w:hideMark/>
          </w:tcPr>
          <w:p w14:paraId="38D0078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1FBDC42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noWrap/>
            <w:hideMark/>
          </w:tcPr>
          <w:p w14:paraId="4E1AB42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noWrap/>
            <w:hideMark/>
          </w:tcPr>
          <w:p w14:paraId="717F226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35578D2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7ACEF2C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 / Cross-cutting</w:t>
            </w:r>
          </w:p>
        </w:tc>
        <w:tc>
          <w:tcPr>
            <w:tcW w:w="281" w:type="pct"/>
            <w:tcBorders>
              <w:top w:val="single" w:sz="4" w:space="0" w:color="1B556B"/>
              <w:bottom w:val="single" w:sz="4" w:space="0" w:color="1B556B"/>
            </w:tcBorders>
            <w:shd w:val="clear" w:color="000000" w:fill="FFFFFF"/>
            <w:hideMark/>
          </w:tcPr>
          <w:p w14:paraId="70456FF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32E4903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43438A34"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42F72B5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Asia Regional/ Multi-Country</w:t>
            </w:r>
          </w:p>
        </w:tc>
        <w:tc>
          <w:tcPr>
            <w:tcW w:w="653" w:type="pct"/>
            <w:tcBorders>
              <w:top w:val="single" w:sz="4" w:space="0" w:color="1B556B"/>
              <w:bottom w:val="single" w:sz="4" w:space="0" w:color="1B556B"/>
            </w:tcBorders>
            <w:shd w:val="clear" w:color="000000" w:fill="FFFFFF"/>
            <w:hideMark/>
          </w:tcPr>
          <w:p w14:paraId="1F47366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ASEAN Climate Smart Agriculture Initiative</w:t>
            </w:r>
          </w:p>
        </w:tc>
        <w:tc>
          <w:tcPr>
            <w:tcW w:w="503" w:type="pct"/>
            <w:tcBorders>
              <w:top w:val="single" w:sz="4" w:space="0" w:color="1B556B"/>
              <w:bottom w:val="single" w:sz="4" w:space="0" w:color="1B556B"/>
            </w:tcBorders>
            <w:shd w:val="clear" w:color="000000" w:fill="FFFFFF"/>
            <w:noWrap/>
            <w:hideMark/>
          </w:tcPr>
          <w:p w14:paraId="09FFAA7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1,806,313</w:t>
            </w:r>
          </w:p>
        </w:tc>
        <w:tc>
          <w:tcPr>
            <w:tcW w:w="414" w:type="pct"/>
            <w:tcBorders>
              <w:top w:val="single" w:sz="4" w:space="0" w:color="1B556B"/>
              <w:bottom w:val="single" w:sz="4" w:space="0" w:color="1B556B"/>
            </w:tcBorders>
            <w:shd w:val="clear" w:color="000000" w:fill="FFFFFF"/>
            <w:hideMark/>
          </w:tcPr>
          <w:p w14:paraId="303AAFC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2,850,000</w:t>
            </w:r>
          </w:p>
        </w:tc>
        <w:tc>
          <w:tcPr>
            <w:tcW w:w="323" w:type="pct"/>
            <w:tcBorders>
              <w:top w:val="single" w:sz="4" w:space="0" w:color="1B556B"/>
              <w:bottom w:val="single" w:sz="4" w:space="0" w:color="1B556B"/>
            </w:tcBorders>
            <w:shd w:val="clear" w:color="000000" w:fill="FFFFFF"/>
            <w:hideMark/>
          </w:tcPr>
          <w:p w14:paraId="56755ED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6FC5701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hideMark/>
          </w:tcPr>
          <w:p w14:paraId="046A35D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hideMark/>
          </w:tcPr>
          <w:p w14:paraId="799F586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710E900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Mitigation</w:t>
            </w:r>
          </w:p>
        </w:tc>
        <w:tc>
          <w:tcPr>
            <w:tcW w:w="495" w:type="pct"/>
            <w:tcBorders>
              <w:top w:val="single" w:sz="4" w:space="0" w:color="1B556B"/>
              <w:bottom w:val="single" w:sz="4" w:space="0" w:color="1B556B"/>
            </w:tcBorders>
            <w:shd w:val="clear" w:color="000000" w:fill="FFFFFF"/>
            <w:hideMark/>
          </w:tcPr>
          <w:p w14:paraId="56B924A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Agriculture</w:t>
            </w:r>
          </w:p>
        </w:tc>
        <w:tc>
          <w:tcPr>
            <w:tcW w:w="281" w:type="pct"/>
            <w:tcBorders>
              <w:top w:val="single" w:sz="4" w:space="0" w:color="1B556B"/>
              <w:bottom w:val="single" w:sz="4" w:space="0" w:color="1B556B"/>
            </w:tcBorders>
            <w:shd w:val="clear" w:color="000000" w:fill="FFFFFF"/>
            <w:hideMark/>
          </w:tcPr>
          <w:p w14:paraId="17C0041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hideMark/>
          </w:tcPr>
          <w:p w14:paraId="3C69D60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05AFA933" w14:textId="77777777" w:rsidTr="008E7E3B">
        <w:trPr>
          <w:trHeight w:val="20"/>
          <w:jc w:val="center"/>
        </w:trPr>
        <w:tc>
          <w:tcPr>
            <w:tcW w:w="727" w:type="pct"/>
            <w:tcBorders>
              <w:top w:val="single" w:sz="4" w:space="0" w:color="1B556B"/>
              <w:bottom w:val="single" w:sz="4" w:space="0" w:color="1B556B"/>
            </w:tcBorders>
            <w:shd w:val="clear" w:color="000000" w:fill="FFFFFF"/>
            <w:hideMark/>
          </w:tcPr>
          <w:p w14:paraId="1119BC5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Asia Regional/ Multi-Country</w:t>
            </w:r>
          </w:p>
        </w:tc>
        <w:tc>
          <w:tcPr>
            <w:tcW w:w="653" w:type="pct"/>
            <w:tcBorders>
              <w:top w:val="single" w:sz="4" w:space="0" w:color="1B556B"/>
              <w:bottom w:val="single" w:sz="4" w:space="0" w:color="1B556B"/>
            </w:tcBorders>
            <w:shd w:val="clear" w:color="000000" w:fill="FFFFFF"/>
            <w:hideMark/>
          </w:tcPr>
          <w:p w14:paraId="235A379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ASEAN: Support to the Mekong River Commission</w:t>
            </w:r>
          </w:p>
        </w:tc>
        <w:tc>
          <w:tcPr>
            <w:tcW w:w="503" w:type="pct"/>
            <w:tcBorders>
              <w:top w:val="single" w:sz="4" w:space="0" w:color="1B556B"/>
              <w:bottom w:val="single" w:sz="4" w:space="0" w:color="1B556B"/>
            </w:tcBorders>
            <w:shd w:val="clear" w:color="000000" w:fill="FFFFFF"/>
            <w:noWrap/>
            <w:hideMark/>
          </w:tcPr>
          <w:p w14:paraId="571325E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190,138</w:t>
            </w:r>
          </w:p>
        </w:tc>
        <w:tc>
          <w:tcPr>
            <w:tcW w:w="414" w:type="pct"/>
            <w:tcBorders>
              <w:top w:val="single" w:sz="4" w:space="0" w:color="1B556B"/>
              <w:bottom w:val="single" w:sz="4" w:space="0" w:color="1B556B"/>
            </w:tcBorders>
            <w:shd w:val="clear" w:color="000000" w:fill="FFFFFF"/>
            <w:hideMark/>
          </w:tcPr>
          <w:p w14:paraId="14A1A912"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300,000</w:t>
            </w:r>
          </w:p>
        </w:tc>
        <w:tc>
          <w:tcPr>
            <w:tcW w:w="323" w:type="pct"/>
            <w:tcBorders>
              <w:top w:val="single" w:sz="4" w:space="0" w:color="1B556B"/>
              <w:bottom w:val="single" w:sz="4" w:space="0" w:color="1B556B"/>
            </w:tcBorders>
            <w:shd w:val="clear" w:color="000000" w:fill="FFFFFF"/>
            <w:hideMark/>
          </w:tcPr>
          <w:p w14:paraId="18DFDA1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hideMark/>
          </w:tcPr>
          <w:p w14:paraId="5EBDF02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hideMark/>
          </w:tcPr>
          <w:p w14:paraId="37B20B0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hideMark/>
          </w:tcPr>
          <w:p w14:paraId="445E4B6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hideMark/>
          </w:tcPr>
          <w:p w14:paraId="7080C22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hideMark/>
          </w:tcPr>
          <w:p w14:paraId="16A45FE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Water and Sanitation</w:t>
            </w:r>
          </w:p>
        </w:tc>
        <w:tc>
          <w:tcPr>
            <w:tcW w:w="281" w:type="pct"/>
            <w:tcBorders>
              <w:top w:val="single" w:sz="4" w:space="0" w:color="1B556B"/>
              <w:bottom w:val="single" w:sz="4" w:space="0" w:color="1B556B"/>
            </w:tcBorders>
            <w:shd w:val="clear" w:color="000000" w:fill="FFFFFF"/>
            <w:hideMark/>
          </w:tcPr>
          <w:p w14:paraId="3AFFFAC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hideMark/>
          </w:tcPr>
          <w:p w14:paraId="0943B62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r>
      <w:tr w:rsidR="00F57429" w:rsidRPr="00865EEC" w14:paraId="09DCB1EC" w14:textId="77777777" w:rsidTr="008E7E3B">
        <w:trPr>
          <w:trHeight w:val="20"/>
          <w:jc w:val="center"/>
        </w:trPr>
        <w:tc>
          <w:tcPr>
            <w:tcW w:w="727" w:type="pct"/>
            <w:tcBorders>
              <w:top w:val="single" w:sz="4" w:space="0" w:color="1B556B"/>
              <w:bottom w:val="single" w:sz="4" w:space="0" w:color="1B556B"/>
            </w:tcBorders>
            <w:shd w:val="clear" w:color="000000" w:fill="FFFFFF"/>
          </w:tcPr>
          <w:p w14:paraId="3EFAB16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tcPr>
          <w:p w14:paraId="3274151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 xml:space="preserve">Pacific Islands Emergency Management Alliance </w:t>
            </w:r>
          </w:p>
        </w:tc>
        <w:tc>
          <w:tcPr>
            <w:tcW w:w="503" w:type="pct"/>
            <w:tcBorders>
              <w:top w:val="single" w:sz="4" w:space="0" w:color="1B556B"/>
              <w:bottom w:val="single" w:sz="4" w:space="0" w:color="1B556B"/>
            </w:tcBorders>
            <w:shd w:val="clear" w:color="000000" w:fill="FFFFFF"/>
            <w:noWrap/>
          </w:tcPr>
          <w:p w14:paraId="2A59929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156,615</w:t>
            </w:r>
          </w:p>
        </w:tc>
        <w:tc>
          <w:tcPr>
            <w:tcW w:w="414" w:type="pct"/>
            <w:tcBorders>
              <w:top w:val="single" w:sz="4" w:space="0" w:color="1B556B"/>
              <w:bottom w:val="single" w:sz="4" w:space="0" w:color="1B556B"/>
            </w:tcBorders>
            <w:shd w:val="clear" w:color="000000" w:fill="FFFFFF"/>
          </w:tcPr>
          <w:p w14:paraId="495A253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247,108</w:t>
            </w:r>
          </w:p>
        </w:tc>
        <w:tc>
          <w:tcPr>
            <w:tcW w:w="323" w:type="pct"/>
            <w:tcBorders>
              <w:top w:val="single" w:sz="4" w:space="0" w:color="1B556B"/>
              <w:bottom w:val="single" w:sz="4" w:space="0" w:color="1B556B"/>
            </w:tcBorders>
            <w:shd w:val="clear" w:color="000000" w:fill="FFFFFF"/>
          </w:tcPr>
          <w:p w14:paraId="22519D5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tcPr>
          <w:p w14:paraId="300D286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tcPr>
          <w:p w14:paraId="03D4F56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tcPr>
          <w:p w14:paraId="1BD74A6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tcPr>
          <w:p w14:paraId="2D4E576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tcPr>
          <w:p w14:paraId="317B687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Humanitarian Aid</w:t>
            </w:r>
          </w:p>
        </w:tc>
        <w:tc>
          <w:tcPr>
            <w:tcW w:w="281" w:type="pct"/>
            <w:tcBorders>
              <w:top w:val="single" w:sz="4" w:space="0" w:color="1B556B"/>
              <w:bottom w:val="single" w:sz="4" w:space="0" w:color="1B556B"/>
            </w:tcBorders>
            <w:shd w:val="clear" w:color="000000" w:fill="FFFFFF"/>
          </w:tcPr>
          <w:p w14:paraId="6663DF4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tcPr>
          <w:p w14:paraId="207A2B5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0527800E" w14:textId="77777777" w:rsidTr="008E7E3B">
        <w:trPr>
          <w:trHeight w:val="20"/>
          <w:jc w:val="center"/>
        </w:trPr>
        <w:tc>
          <w:tcPr>
            <w:tcW w:w="727" w:type="pct"/>
            <w:tcBorders>
              <w:top w:val="single" w:sz="4" w:space="0" w:color="1B556B"/>
              <w:bottom w:val="single" w:sz="4" w:space="0" w:color="1B556B"/>
            </w:tcBorders>
            <w:shd w:val="clear" w:color="000000" w:fill="FFFFFF"/>
          </w:tcPr>
          <w:p w14:paraId="72A268F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America Central Regional/ Multi-Country</w:t>
            </w:r>
          </w:p>
        </w:tc>
        <w:tc>
          <w:tcPr>
            <w:tcW w:w="653" w:type="pct"/>
            <w:tcBorders>
              <w:top w:val="single" w:sz="4" w:space="0" w:color="1B556B"/>
              <w:bottom w:val="single" w:sz="4" w:space="0" w:color="1B556B"/>
            </w:tcBorders>
            <w:shd w:val="clear" w:color="000000" w:fill="FFFFFF"/>
          </w:tcPr>
          <w:p w14:paraId="5BA2FCAA"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Caribbean Geothermal Technical Assistance Phase II</w:t>
            </w:r>
          </w:p>
        </w:tc>
        <w:tc>
          <w:tcPr>
            <w:tcW w:w="503" w:type="pct"/>
            <w:tcBorders>
              <w:top w:val="single" w:sz="4" w:space="0" w:color="1B556B"/>
              <w:bottom w:val="single" w:sz="4" w:space="0" w:color="1B556B"/>
            </w:tcBorders>
            <w:shd w:val="clear" w:color="000000" w:fill="FFFFFF"/>
            <w:noWrap/>
          </w:tcPr>
          <w:p w14:paraId="16C3F3AE"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381,561</w:t>
            </w:r>
          </w:p>
        </w:tc>
        <w:tc>
          <w:tcPr>
            <w:tcW w:w="414" w:type="pct"/>
            <w:tcBorders>
              <w:top w:val="single" w:sz="4" w:space="0" w:color="1B556B"/>
              <w:bottom w:val="single" w:sz="4" w:space="0" w:color="1B556B"/>
            </w:tcBorders>
            <w:shd w:val="clear" w:color="000000" w:fill="FFFFFF"/>
          </w:tcPr>
          <w:p w14:paraId="76681F9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602,026</w:t>
            </w:r>
          </w:p>
        </w:tc>
        <w:tc>
          <w:tcPr>
            <w:tcW w:w="323" w:type="pct"/>
            <w:tcBorders>
              <w:top w:val="single" w:sz="4" w:space="0" w:color="1B556B"/>
              <w:bottom w:val="single" w:sz="4" w:space="0" w:color="1B556B"/>
            </w:tcBorders>
            <w:shd w:val="clear" w:color="000000" w:fill="FFFFFF"/>
          </w:tcPr>
          <w:p w14:paraId="1390EBB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tcPr>
          <w:p w14:paraId="39AF180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tcPr>
          <w:p w14:paraId="0D38C05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tcPr>
          <w:p w14:paraId="5538C67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tcPr>
          <w:p w14:paraId="7E22A7C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Mitigation</w:t>
            </w:r>
          </w:p>
        </w:tc>
        <w:tc>
          <w:tcPr>
            <w:tcW w:w="495" w:type="pct"/>
            <w:tcBorders>
              <w:top w:val="single" w:sz="4" w:space="0" w:color="1B556B"/>
              <w:bottom w:val="single" w:sz="4" w:space="0" w:color="1B556B"/>
            </w:tcBorders>
            <w:shd w:val="clear" w:color="000000" w:fill="FFFFFF"/>
          </w:tcPr>
          <w:p w14:paraId="128B9AB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Energy</w:t>
            </w:r>
          </w:p>
        </w:tc>
        <w:tc>
          <w:tcPr>
            <w:tcW w:w="281" w:type="pct"/>
            <w:tcBorders>
              <w:top w:val="single" w:sz="4" w:space="0" w:color="1B556B"/>
              <w:bottom w:val="single" w:sz="4" w:space="0" w:color="1B556B"/>
            </w:tcBorders>
            <w:shd w:val="clear" w:color="000000" w:fill="FFFFFF"/>
          </w:tcPr>
          <w:p w14:paraId="10BB507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tcPr>
          <w:p w14:paraId="7D0A09D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11B418FE" w14:textId="77777777" w:rsidTr="008E7E3B">
        <w:trPr>
          <w:trHeight w:val="20"/>
          <w:jc w:val="center"/>
        </w:trPr>
        <w:tc>
          <w:tcPr>
            <w:tcW w:w="727" w:type="pct"/>
            <w:tcBorders>
              <w:top w:val="single" w:sz="4" w:space="0" w:color="1B556B"/>
              <w:bottom w:val="single" w:sz="4" w:space="0" w:color="1B556B"/>
            </w:tcBorders>
            <w:shd w:val="clear" w:color="000000" w:fill="FFFFFF"/>
          </w:tcPr>
          <w:p w14:paraId="5768469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Republic of Marshall Islands</w:t>
            </w:r>
          </w:p>
        </w:tc>
        <w:tc>
          <w:tcPr>
            <w:tcW w:w="653" w:type="pct"/>
            <w:tcBorders>
              <w:top w:val="single" w:sz="4" w:space="0" w:color="1B556B"/>
              <w:bottom w:val="single" w:sz="4" w:space="0" w:color="1B556B"/>
            </w:tcBorders>
            <w:shd w:val="clear" w:color="000000" w:fill="FFFFFF"/>
          </w:tcPr>
          <w:p w14:paraId="56680C5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RMI Transport Strategy</w:t>
            </w:r>
          </w:p>
        </w:tc>
        <w:tc>
          <w:tcPr>
            <w:tcW w:w="503" w:type="pct"/>
            <w:tcBorders>
              <w:top w:val="single" w:sz="4" w:space="0" w:color="1B556B"/>
              <w:bottom w:val="single" w:sz="4" w:space="0" w:color="1B556B"/>
            </w:tcBorders>
            <w:shd w:val="clear" w:color="000000" w:fill="FFFFFF"/>
            <w:noWrap/>
          </w:tcPr>
          <w:p w14:paraId="70ADE2AE"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7,399</w:t>
            </w:r>
          </w:p>
        </w:tc>
        <w:tc>
          <w:tcPr>
            <w:tcW w:w="414" w:type="pct"/>
            <w:tcBorders>
              <w:top w:val="single" w:sz="4" w:space="0" w:color="1B556B"/>
              <w:bottom w:val="single" w:sz="4" w:space="0" w:color="1B556B"/>
            </w:tcBorders>
            <w:shd w:val="clear" w:color="000000" w:fill="FFFFFF"/>
          </w:tcPr>
          <w:p w14:paraId="59DE2A31"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11,673</w:t>
            </w:r>
          </w:p>
        </w:tc>
        <w:tc>
          <w:tcPr>
            <w:tcW w:w="323" w:type="pct"/>
            <w:tcBorders>
              <w:top w:val="single" w:sz="4" w:space="0" w:color="1B556B"/>
              <w:bottom w:val="single" w:sz="4" w:space="0" w:color="1B556B"/>
            </w:tcBorders>
            <w:shd w:val="clear" w:color="000000" w:fill="FFFFFF"/>
          </w:tcPr>
          <w:p w14:paraId="3B0572B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tcPr>
          <w:p w14:paraId="5B0FADC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tcPr>
          <w:p w14:paraId="038B75F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tcPr>
          <w:p w14:paraId="1838DB5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tcPr>
          <w:p w14:paraId="58449B2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tcPr>
          <w:p w14:paraId="5B0150F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Transport and Storage</w:t>
            </w:r>
          </w:p>
        </w:tc>
        <w:tc>
          <w:tcPr>
            <w:tcW w:w="281" w:type="pct"/>
            <w:tcBorders>
              <w:top w:val="single" w:sz="4" w:space="0" w:color="1B556B"/>
              <w:bottom w:val="single" w:sz="4" w:space="0" w:color="1B556B"/>
            </w:tcBorders>
            <w:shd w:val="clear" w:color="000000" w:fill="FFFFFF"/>
          </w:tcPr>
          <w:p w14:paraId="5C8B916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tcPr>
          <w:p w14:paraId="71562AC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019A4ED2" w14:textId="77777777" w:rsidTr="008E7E3B">
        <w:trPr>
          <w:trHeight w:val="20"/>
          <w:jc w:val="center"/>
        </w:trPr>
        <w:tc>
          <w:tcPr>
            <w:tcW w:w="727" w:type="pct"/>
            <w:tcBorders>
              <w:top w:val="single" w:sz="4" w:space="0" w:color="1B556B"/>
              <w:bottom w:val="single" w:sz="4" w:space="0" w:color="1B556B"/>
            </w:tcBorders>
            <w:shd w:val="clear" w:color="000000" w:fill="FFFFFF"/>
          </w:tcPr>
          <w:p w14:paraId="452F962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Kiribati</w:t>
            </w:r>
          </w:p>
        </w:tc>
        <w:tc>
          <w:tcPr>
            <w:tcW w:w="653" w:type="pct"/>
            <w:tcBorders>
              <w:top w:val="single" w:sz="4" w:space="0" w:color="1B556B"/>
              <w:bottom w:val="single" w:sz="4" w:space="0" w:color="1B556B"/>
            </w:tcBorders>
            <w:shd w:val="clear" w:color="000000" w:fill="FFFFFF"/>
          </w:tcPr>
          <w:p w14:paraId="4D9F18E6"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57" w:name="_Hlk176256636"/>
            <w:r w:rsidRPr="00865EEC">
              <w:rPr>
                <w:rFonts w:asciiTheme="minorHAnsi" w:hAnsiTheme="minorHAnsi" w:cstheme="minorHAnsi"/>
                <w:color w:val="000000"/>
                <w:sz w:val="16"/>
                <w:szCs w:val="16"/>
              </w:rPr>
              <w:t xml:space="preserve">Climate Change Resilience </w:t>
            </w:r>
            <w:bookmarkEnd w:id="957"/>
          </w:p>
        </w:tc>
        <w:tc>
          <w:tcPr>
            <w:tcW w:w="503" w:type="pct"/>
            <w:tcBorders>
              <w:top w:val="single" w:sz="4" w:space="0" w:color="1B556B"/>
              <w:bottom w:val="single" w:sz="4" w:space="0" w:color="1B556B"/>
            </w:tcBorders>
            <w:shd w:val="clear" w:color="000000" w:fill="FFFFFF"/>
            <w:noWrap/>
          </w:tcPr>
          <w:p w14:paraId="6B8B1023"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15,408</w:t>
            </w:r>
          </w:p>
        </w:tc>
        <w:tc>
          <w:tcPr>
            <w:tcW w:w="414" w:type="pct"/>
            <w:tcBorders>
              <w:top w:val="single" w:sz="4" w:space="0" w:color="1B556B"/>
              <w:bottom w:val="single" w:sz="4" w:space="0" w:color="1B556B"/>
            </w:tcBorders>
            <w:shd w:val="clear" w:color="000000" w:fill="FFFFFF"/>
          </w:tcPr>
          <w:p w14:paraId="50F6EDB9"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24,310</w:t>
            </w:r>
          </w:p>
        </w:tc>
        <w:tc>
          <w:tcPr>
            <w:tcW w:w="323" w:type="pct"/>
            <w:tcBorders>
              <w:top w:val="single" w:sz="4" w:space="0" w:color="1B556B"/>
              <w:bottom w:val="single" w:sz="4" w:space="0" w:color="1B556B"/>
            </w:tcBorders>
            <w:shd w:val="clear" w:color="000000" w:fill="FFFFFF"/>
          </w:tcPr>
          <w:p w14:paraId="2C0AB85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tcPr>
          <w:p w14:paraId="324E84D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Bilateral</w:t>
            </w:r>
          </w:p>
        </w:tc>
        <w:tc>
          <w:tcPr>
            <w:tcW w:w="278" w:type="pct"/>
            <w:tcBorders>
              <w:top w:val="single" w:sz="4" w:space="0" w:color="1B556B"/>
              <w:bottom w:val="single" w:sz="4" w:space="0" w:color="1B556B"/>
            </w:tcBorders>
            <w:shd w:val="clear" w:color="000000" w:fill="FFFFFF"/>
          </w:tcPr>
          <w:p w14:paraId="094A545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tcPr>
          <w:p w14:paraId="0393591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tcPr>
          <w:p w14:paraId="46CD910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tcPr>
          <w:p w14:paraId="5740E8C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Multisector/Cross-cutting</w:t>
            </w:r>
          </w:p>
        </w:tc>
        <w:tc>
          <w:tcPr>
            <w:tcW w:w="281" w:type="pct"/>
            <w:tcBorders>
              <w:top w:val="single" w:sz="4" w:space="0" w:color="1B556B"/>
              <w:bottom w:val="single" w:sz="4" w:space="0" w:color="1B556B"/>
            </w:tcBorders>
            <w:shd w:val="clear" w:color="000000" w:fill="FFFFFF"/>
          </w:tcPr>
          <w:p w14:paraId="702EAEB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tcPr>
          <w:p w14:paraId="49F2C5C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70CE10E0" w14:textId="77777777" w:rsidTr="008E7E3B">
        <w:trPr>
          <w:trHeight w:val="20"/>
          <w:jc w:val="center"/>
        </w:trPr>
        <w:tc>
          <w:tcPr>
            <w:tcW w:w="727" w:type="pct"/>
            <w:tcBorders>
              <w:top w:val="single" w:sz="4" w:space="0" w:color="1B556B"/>
              <w:bottom w:val="single" w:sz="4" w:space="0" w:color="1B556B"/>
            </w:tcBorders>
            <w:shd w:val="clear" w:color="000000" w:fill="FFFFFF"/>
          </w:tcPr>
          <w:p w14:paraId="17CE748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Regional/Multi-Country</w:t>
            </w:r>
          </w:p>
        </w:tc>
        <w:tc>
          <w:tcPr>
            <w:tcW w:w="653" w:type="pct"/>
            <w:tcBorders>
              <w:top w:val="single" w:sz="4" w:space="0" w:color="1B556B"/>
              <w:bottom w:val="single" w:sz="4" w:space="0" w:color="1B556B"/>
            </w:tcBorders>
            <w:shd w:val="clear" w:color="000000" w:fill="FFFFFF"/>
          </w:tcPr>
          <w:p w14:paraId="665844C4" w14:textId="77777777" w:rsidR="007113F5" w:rsidRPr="00865EEC" w:rsidRDefault="007113F5">
            <w:pPr>
              <w:spacing w:before="60" w:after="60" w:line="240" w:lineRule="auto"/>
              <w:jc w:val="left"/>
              <w:rPr>
                <w:rFonts w:asciiTheme="minorHAnsi" w:hAnsiTheme="minorHAnsi" w:cstheme="minorHAnsi"/>
                <w:color w:val="000000"/>
                <w:sz w:val="16"/>
                <w:szCs w:val="16"/>
              </w:rPr>
            </w:pPr>
            <w:bookmarkStart w:id="958" w:name="_Hlk176256681"/>
            <w:r w:rsidRPr="00865EEC">
              <w:rPr>
                <w:rFonts w:asciiTheme="minorHAnsi" w:hAnsiTheme="minorHAnsi" w:cstheme="minorHAnsi"/>
                <w:color w:val="000000"/>
                <w:sz w:val="16"/>
                <w:szCs w:val="16"/>
              </w:rPr>
              <w:t>Local Government Technical Assistance Facility</w:t>
            </w:r>
            <w:bookmarkEnd w:id="958"/>
          </w:p>
        </w:tc>
        <w:tc>
          <w:tcPr>
            <w:tcW w:w="503" w:type="pct"/>
            <w:tcBorders>
              <w:top w:val="single" w:sz="4" w:space="0" w:color="1B556B"/>
              <w:bottom w:val="single" w:sz="4" w:space="0" w:color="1B556B"/>
            </w:tcBorders>
            <w:shd w:val="clear" w:color="000000" w:fill="FFFFFF"/>
            <w:noWrap/>
          </w:tcPr>
          <w:p w14:paraId="6352F89E"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115,794</w:t>
            </w:r>
          </w:p>
        </w:tc>
        <w:tc>
          <w:tcPr>
            <w:tcW w:w="414" w:type="pct"/>
            <w:tcBorders>
              <w:top w:val="single" w:sz="4" w:space="0" w:color="1B556B"/>
              <w:bottom w:val="single" w:sz="4" w:space="0" w:color="1B556B"/>
            </w:tcBorders>
            <w:shd w:val="clear" w:color="000000" w:fill="FFFFFF"/>
          </w:tcPr>
          <w:p w14:paraId="0118ACA7"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182,700</w:t>
            </w:r>
          </w:p>
        </w:tc>
        <w:tc>
          <w:tcPr>
            <w:tcW w:w="323" w:type="pct"/>
            <w:tcBorders>
              <w:top w:val="single" w:sz="4" w:space="0" w:color="1B556B"/>
              <w:bottom w:val="single" w:sz="4" w:space="0" w:color="1B556B"/>
            </w:tcBorders>
            <w:shd w:val="clear" w:color="000000" w:fill="FFFFFF"/>
          </w:tcPr>
          <w:p w14:paraId="2AA441A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tcPr>
          <w:p w14:paraId="7A78A73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tcPr>
          <w:p w14:paraId="01B31F9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tcPr>
          <w:p w14:paraId="4FCFADC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tcPr>
          <w:p w14:paraId="6D4BC2C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tcPr>
          <w:p w14:paraId="0E7B4DD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 xml:space="preserve">Government and Civil Society </w:t>
            </w:r>
          </w:p>
        </w:tc>
        <w:tc>
          <w:tcPr>
            <w:tcW w:w="281" w:type="pct"/>
            <w:tcBorders>
              <w:top w:val="single" w:sz="4" w:space="0" w:color="1B556B"/>
              <w:bottom w:val="single" w:sz="4" w:space="0" w:color="1B556B"/>
            </w:tcBorders>
            <w:shd w:val="clear" w:color="000000" w:fill="FFFFFF"/>
          </w:tcPr>
          <w:p w14:paraId="2B650D6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tcPr>
          <w:p w14:paraId="5EBF6D3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27997146" w14:textId="77777777" w:rsidTr="008E7E3B">
        <w:trPr>
          <w:trHeight w:val="20"/>
          <w:jc w:val="center"/>
        </w:trPr>
        <w:tc>
          <w:tcPr>
            <w:tcW w:w="727" w:type="pct"/>
            <w:tcBorders>
              <w:top w:val="single" w:sz="4" w:space="0" w:color="1B556B"/>
              <w:bottom w:val="single" w:sz="4" w:space="0" w:color="1B556B"/>
            </w:tcBorders>
            <w:shd w:val="clear" w:color="000000" w:fill="FFFFFF"/>
          </w:tcPr>
          <w:p w14:paraId="2C6A542B"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Pacific Regional/ Multi-Country</w:t>
            </w:r>
          </w:p>
        </w:tc>
        <w:tc>
          <w:tcPr>
            <w:tcW w:w="653" w:type="pct"/>
            <w:tcBorders>
              <w:top w:val="single" w:sz="4" w:space="0" w:color="1B556B"/>
              <w:bottom w:val="single" w:sz="4" w:space="0" w:color="1B556B"/>
            </w:tcBorders>
            <w:shd w:val="clear" w:color="000000" w:fill="FFFFFF"/>
          </w:tcPr>
          <w:p w14:paraId="062BB39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Recognised Seasonal Employer Worker Training Scheme II</w:t>
            </w:r>
          </w:p>
        </w:tc>
        <w:tc>
          <w:tcPr>
            <w:tcW w:w="503" w:type="pct"/>
            <w:tcBorders>
              <w:top w:val="single" w:sz="4" w:space="0" w:color="1B556B"/>
              <w:bottom w:val="single" w:sz="4" w:space="0" w:color="1B556B"/>
            </w:tcBorders>
            <w:shd w:val="clear" w:color="000000" w:fill="FFFFFF"/>
            <w:noWrap/>
          </w:tcPr>
          <w:p w14:paraId="559563A6"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102,726</w:t>
            </w:r>
          </w:p>
        </w:tc>
        <w:tc>
          <w:tcPr>
            <w:tcW w:w="414" w:type="pct"/>
            <w:tcBorders>
              <w:top w:val="single" w:sz="4" w:space="0" w:color="1B556B"/>
              <w:bottom w:val="single" w:sz="4" w:space="0" w:color="1B556B"/>
            </w:tcBorders>
            <w:shd w:val="clear" w:color="000000" w:fill="FFFFFF"/>
          </w:tcPr>
          <w:p w14:paraId="5F1CAF32"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162,009</w:t>
            </w:r>
          </w:p>
        </w:tc>
        <w:tc>
          <w:tcPr>
            <w:tcW w:w="323" w:type="pct"/>
            <w:tcBorders>
              <w:top w:val="single" w:sz="4" w:space="0" w:color="1B556B"/>
              <w:bottom w:val="single" w:sz="4" w:space="0" w:color="1B556B"/>
            </w:tcBorders>
            <w:shd w:val="clear" w:color="000000" w:fill="FFFFFF"/>
          </w:tcPr>
          <w:p w14:paraId="6A79ED7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tcPr>
          <w:p w14:paraId="629832C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tcPr>
          <w:p w14:paraId="03E0740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tcPr>
          <w:p w14:paraId="54D0F14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tcPr>
          <w:p w14:paraId="6EC654B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tcPr>
          <w:p w14:paraId="49ABE0D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Education</w:t>
            </w:r>
          </w:p>
        </w:tc>
        <w:tc>
          <w:tcPr>
            <w:tcW w:w="281" w:type="pct"/>
            <w:tcBorders>
              <w:top w:val="single" w:sz="4" w:space="0" w:color="1B556B"/>
              <w:bottom w:val="single" w:sz="4" w:space="0" w:color="1B556B"/>
            </w:tcBorders>
            <w:shd w:val="clear" w:color="000000" w:fill="FFFFFF"/>
          </w:tcPr>
          <w:p w14:paraId="61DD908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Yes</w:t>
            </w:r>
          </w:p>
        </w:tc>
        <w:tc>
          <w:tcPr>
            <w:tcW w:w="273" w:type="pct"/>
            <w:tcBorders>
              <w:top w:val="single" w:sz="4" w:space="0" w:color="1B556B"/>
              <w:bottom w:val="single" w:sz="4" w:space="0" w:color="1B556B"/>
            </w:tcBorders>
            <w:shd w:val="clear" w:color="000000" w:fill="FFFFFF"/>
          </w:tcPr>
          <w:p w14:paraId="0BFDEDD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122E878A" w14:textId="77777777" w:rsidTr="008E7E3B">
        <w:trPr>
          <w:trHeight w:val="20"/>
          <w:jc w:val="center"/>
        </w:trPr>
        <w:tc>
          <w:tcPr>
            <w:tcW w:w="727" w:type="pct"/>
            <w:tcBorders>
              <w:top w:val="single" w:sz="4" w:space="0" w:color="1B556B"/>
              <w:bottom w:val="single" w:sz="4" w:space="0" w:color="1B556B"/>
            </w:tcBorders>
            <w:shd w:val="clear" w:color="000000" w:fill="FFFFFF"/>
          </w:tcPr>
          <w:p w14:paraId="449B580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Worldwide/ multi-regional</w:t>
            </w:r>
          </w:p>
        </w:tc>
        <w:tc>
          <w:tcPr>
            <w:tcW w:w="653" w:type="pct"/>
            <w:tcBorders>
              <w:top w:val="single" w:sz="4" w:space="0" w:color="1B556B"/>
              <w:bottom w:val="single" w:sz="4" w:space="0" w:color="1B556B"/>
            </w:tcBorders>
            <w:shd w:val="clear" w:color="000000" w:fill="FFFFFF"/>
          </w:tcPr>
          <w:p w14:paraId="168DF1D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High Commission Embassy Funding Adaptation</w:t>
            </w:r>
          </w:p>
        </w:tc>
        <w:tc>
          <w:tcPr>
            <w:tcW w:w="503" w:type="pct"/>
            <w:tcBorders>
              <w:top w:val="single" w:sz="4" w:space="0" w:color="1B556B"/>
              <w:bottom w:val="single" w:sz="4" w:space="0" w:color="1B556B"/>
            </w:tcBorders>
            <w:shd w:val="clear" w:color="000000" w:fill="FFFFFF"/>
            <w:noWrap/>
          </w:tcPr>
          <w:p w14:paraId="5E82CBD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33,484</w:t>
            </w:r>
          </w:p>
        </w:tc>
        <w:tc>
          <w:tcPr>
            <w:tcW w:w="414" w:type="pct"/>
            <w:tcBorders>
              <w:top w:val="single" w:sz="4" w:space="0" w:color="1B556B"/>
              <w:bottom w:val="single" w:sz="4" w:space="0" w:color="1B556B"/>
            </w:tcBorders>
            <w:shd w:val="clear" w:color="000000" w:fill="FFFFFF"/>
          </w:tcPr>
          <w:p w14:paraId="5AD407E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52,808</w:t>
            </w:r>
          </w:p>
        </w:tc>
        <w:tc>
          <w:tcPr>
            <w:tcW w:w="323" w:type="pct"/>
            <w:tcBorders>
              <w:top w:val="single" w:sz="4" w:space="0" w:color="1B556B"/>
              <w:bottom w:val="single" w:sz="4" w:space="0" w:color="1B556B"/>
            </w:tcBorders>
            <w:shd w:val="clear" w:color="000000" w:fill="FFFFFF"/>
          </w:tcPr>
          <w:p w14:paraId="133FCCE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 xml:space="preserve">Disbursed </w:t>
            </w:r>
          </w:p>
        </w:tc>
        <w:tc>
          <w:tcPr>
            <w:tcW w:w="323" w:type="pct"/>
            <w:tcBorders>
              <w:top w:val="single" w:sz="4" w:space="0" w:color="1B556B"/>
              <w:bottom w:val="single" w:sz="4" w:space="0" w:color="1B556B"/>
            </w:tcBorders>
            <w:shd w:val="clear" w:color="000000" w:fill="FFFFFF"/>
          </w:tcPr>
          <w:p w14:paraId="11A3DB2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tcPr>
          <w:p w14:paraId="561A89C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tcPr>
          <w:p w14:paraId="5325979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tcPr>
          <w:p w14:paraId="6435BAC5"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Adaptation</w:t>
            </w:r>
          </w:p>
        </w:tc>
        <w:tc>
          <w:tcPr>
            <w:tcW w:w="495" w:type="pct"/>
            <w:tcBorders>
              <w:top w:val="single" w:sz="4" w:space="0" w:color="1B556B"/>
              <w:bottom w:val="single" w:sz="4" w:space="0" w:color="1B556B"/>
            </w:tcBorders>
            <w:shd w:val="clear" w:color="000000" w:fill="FFFFFF"/>
          </w:tcPr>
          <w:p w14:paraId="7C4B10D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Multisector/Cross-cutting</w:t>
            </w:r>
          </w:p>
        </w:tc>
        <w:tc>
          <w:tcPr>
            <w:tcW w:w="281" w:type="pct"/>
            <w:tcBorders>
              <w:top w:val="single" w:sz="4" w:space="0" w:color="1B556B"/>
              <w:bottom w:val="single" w:sz="4" w:space="0" w:color="1B556B"/>
            </w:tcBorders>
            <w:shd w:val="clear" w:color="000000" w:fill="FFFFFF"/>
          </w:tcPr>
          <w:p w14:paraId="66D33E2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tcPr>
          <w:p w14:paraId="510399C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3E93CE8A" w14:textId="77777777" w:rsidTr="008E7E3B">
        <w:trPr>
          <w:trHeight w:val="20"/>
          <w:jc w:val="center"/>
        </w:trPr>
        <w:tc>
          <w:tcPr>
            <w:tcW w:w="727" w:type="pct"/>
            <w:tcBorders>
              <w:top w:val="single" w:sz="4" w:space="0" w:color="1B556B"/>
              <w:bottom w:val="single" w:sz="4" w:space="0" w:color="1B556B"/>
            </w:tcBorders>
            <w:shd w:val="clear" w:color="000000" w:fill="FFFFFF"/>
          </w:tcPr>
          <w:p w14:paraId="1E12675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Worldwide/ multi-regional</w:t>
            </w:r>
          </w:p>
        </w:tc>
        <w:tc>
          <w:tcPr>
            <w:tcW w:w="653" w:type="pct"/>
            <w:tcBorders>
              <w:top w:val="single" w:sz="4" w:space="0" w:color="1B556B"/>
              <w:bottom w:val="single" w:sz="4" w:space="0" w:color="1B556B"/>
            </w:tcBorders>
            <w:shd w:val="clear" w:color="000000" w:fill="FFFFFF"/>
          </w:tcPr>
          <w:p w14:paraId="43143766"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High Commission Embassy Funding Cross-cutting</w:t>
            </w:r>
          </w:p>
        </w:tc>
        <w:tc>
          <w:tcPr>
            <w:tcW w:w="503" w:type="pct"/>
            <w:tcBorders>
              <w:top w:val="single" w:sz="4" w:space="0" w:color="1B556B"/>
              <w:bottom w:val="single" w:sz="4" w:space="0" w:color="1B556B"/>
            </w:tcBorders>
            <w:shd w:val="clear" w:color="000000" w:fill="FFFFFF"/>
            <w:noWrap/>
          </w:tcPr>
          <w:p w14:paraId="799E0B02"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246,781</w:t>
            </w:r>
          </w:p>
        </w:tc>
        <w:tc>
          <w:tcPr>
            <w:tcW w:w="414" w:type="pct"/>
            <w:tcBorders>
              <w:top w:val="single" w:sz="4" w:space="0" w:color="1B556B"/>
              <w:bottom w:val="single" w:sz="4" w:space="0" w:color="1B556B"/>
            </w:tcBorders>
            <w:shd w:val="clear" w:color="000000" w:fill="FFFFFF"/>
          </w:tcPr>
          <w:p w14:paraId="3F194C74"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389,198</w:t>
            </w:r>
          </w:p>
        </w:tc>
        <w:tc>
          <w:tcPr>
            <w:tcW w:w="323" w:type="pct"/>
            <w:tcBorders>
              <w:top w:val="single" w:sz="4" w:space="0" w:color="1B556B"/>
              <w:bottom w:val="single" w:sz="4" w:space="0" w:color="1B556B"/>
            </w:tcBorders>
            <w:shd w:val="clear" w:color="000000" w:fill="FFFFFF"/>
          </w:tcPr>
          <w:p w14:paraId="4896DA6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tcPr>
          <w:p w14:paraId="5E4485B7"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tcPr>
          <w:p w14:paraId="05CAAC74"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tcPr>
          <w:p w14:paraId="4B4691FE"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tcPr>
          <w:p w14:paraId="6D5B8B6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Cross-cutting</w:t>
            </w:r>
          </w:p>
        </w:tc>
        <w:tc>
          <w:tcPr>
            <w:tcW w:w="495" w:type="pct"/>
            <w:tcBorders>
              <w:top w:val="single" w:sz="4" w:space="0" w:color="1B556B"/>
              <w:bottom w:val="single" w:sz="4" w:space="0" w:color="1B556B"/>
            </w:tcBorders>
            <w:shd w:val="clear" w:color="000000" w:fill="FFFFFF"/>
          </w:tcPr>
          <w:p w14:paraId="6C009961"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Multisector/Cross-cutting</w:t>
            </w:r>
          </w:p>
        </w:tc>
        <w:tc>
          <w:tcPr>
            <w:tcW w:w="281" w:type="pct"/>
            <w:tcBorders>
              <w:top w:val="single" w:sz="4" w:space="0" w:color="1B556B"/>
              <w:bottom w:val="single" w:sz="4" w:space="0" w:color="1B556B"/>
            </w:tcBorders>
            <w:shd w:val="clear" w:color="000000" w:fill="FFFFFF"/>
          </w:tcPr>
          <w:p w14:paraId="6E0914D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tcPr>
          <w:p w14:paraId="6D71B75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3EF67AAD" w14:textId="77777777" w:rsidTr="008E7E3B">
        <w:trPr>
          <w:trHeight w:val="20"/>
          <w:jc w:val="center"/>
        </w:trPr>
        <w:tc>
          <w:tcPr>
            <w:tcW w:w="727" w:type="pct"/>
            <w:tcBorders>
              <w:top w:val="single" w:sz="4" w:space="0" w:color="1B556B"/>
              <w:bottom w:val="single" w:sz="4" w:space="0" w:color="1B556B"/>
            </w:tcBorders>
            <w:shd w:val="clear" w:color="000000" w:fill="FFFFFF"/>
          </w:tcPr>
          <w:p w14:paraId="47674BB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Worldwide/ multi-regional</w:t>
            </w:r>
          </w:p>
        </w:tc>
        <w:tc>
          <w:tcPr>
            <w:tcW w:w="653" w:type="pct"/>
            <w:tcBorders>
              <w:top w:val="single" w:sz="4" w:space="0" w:color="1B556B"/>
              <w:bottom w:val="single" w:sz="4" w:space="0" w:color="1B556B"/>
            </w:tcBorders>
            <w:shd w:val="clear" w:color="000000" w:fill="FFFFFF"/>
          </w:tcPr>
          <w:p w14:paraId="60CF8AAF"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High Commission Embassy Funding Mitigation</w:t>
            </w:r>
          </w:p>
        </w:tc>
        <w:tc>
          <w:tcPr>
            <w:tcW w:w="503" w:type="pct"/>
            <w:tcBorders>
              <w:top w:val="single" w:sz="4" w:space="0" w:color="1B556B"/>
              <w:bottom w:val="single" w:sz="4" w:space="0" w:color="1B556B"/>
            </w:tcBorders>
            <w:shd w:val="clear" w:color="000000" w:fill="FFFFFF"/>
            <w:noWrap/>
          </w:tcPr>
          <w:p w14:paraId="15083D0F"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10,967</w:t>
            </w:r>
          </w:p>
        </w:tc>
        <w:tc>
          <w:tcPr>
            <w:tcW w:w="414" w:type="pct"/>
            <w:tcBorders>
              <w:top w:val="single" w:sz="4" w:space="0" w:color="1B556B"/>
              <w:bottom w:val="single" w:sz="4" w:space="0" w:color="1B556B"/>
            </w:tcBorders>
            <w:shd w:val="clear" w:color="000000" w:fill="FFFFFF"/>
          </w:tcPr>
          <w:p w14:paraId="781B27FC"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17,299</w:t>
            </w:r>
          </w:p>
        </w:tc>
        <w:tc>
          <w:tcPr>
            <w:tcW w:w="323" w:type="pct"/>
            <w:tcBorders>
              <w:top w:val="single" w:sz="4" w:space="0" w:color="1B556B"/>
              <w:bottom w:val="single" w:sz="4" w:space="0" w:color="1B556B"/>
            </w:tcBorders>
            <w:shd w:val="clear" w:color="000000" w:fill="FFFFFF"/>
          </w:tcPr>
          <w:p w14:paraId="44D9EFF3"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Disbursed</w:t>
            </w:r>
          </w:p>
        </w:tc>
        <w:tc>
          <w:tcPr>
            <w:tcW w:w="323" w:type="pct"/>
            <w:tcBorders>
              <w:top w:val="single" w:sz="4" w:space="0" w:color="1B556B"/>
              <w:bottom w:val="single" w:sz="4" w:space="0" w:color="1B556B"/>
            </w:tcBorders>
            <w:shd w:val="clear" w:color="000000" w:fill="FFFFFF"/>
          </w:tcPr>
          <w:p w14:paraId="77D70B6D"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Regional</w:t>
            </w:r>
          </w:p>
        </w:tc>
        <w:tc>
          <w:tcPr>
            <w:tcW w:w="278" w:type="pct"/>
            <w:tcBorders>
              <w:top w:val="single" w:sz="4" w:space="0" w:color="1B556B"/>
              <w:bottom w:val="single" w:sz="4" w:space="0" w:color="1B556B"/>
            </w:tcBorders>
            <w:shd w:val="clear" w:color="000000" w:fill="FFFFFF"/>
          </w:tcPr>
          <w:p w14:paraId="0FDE3FC0"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ODA</w:t>
            </w:r>
          </w:p>
        </w:tc>
        <w:tc>
          <w:tcPr>
            <w:tcW w:w="362" w:type="pct"/>
            <w:tcBorders>
              <w:top w:val="single" w:sz="4" w:space="0" w:color="1B556B"/>
              <w:bottom w:val="single" w:sz="4" w:space="0" w:color="1B556B"/>
            </w:tcBorders>
            <w:shd w:val="clear" w:color="000000" w:fill="FFFFFF"/>
          </w:tcPr>
          <w:p w14:paraId="5C4052A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Grant</w:t>
            </w:r>
          </w:p>
        </w:tc>
        <w:tc>
          <w:tcPr>
            <w:tcW w:w="368" w:type="pct"/>
            <w:tcBorders>
              <w:top w:val="single" w:sz="4" w:space="0" w:color="1B556B"/>
              <w:bottom w:val="single" w:sz="4" w:space="0" w:color="1B556B"/>
            </w:tcBorders>
            <w:shd w:val="clear" w:color="000000" w:fill="FFFFFF"/>
          </w:tcPr>
          <w:p w14:paraId="2AAEFF4C"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Mitigation</w:t>
            </w:r>
          </w:p>
        </w:tc>
        <w:tc>
          <w:tcPr>
            <w:tcW w:w="495" w:type="pct"/>
            <w:tcBorders>
              <w:top w:val="single" w:sz="4" w:space="0" w:color="1B556B"/>
              <w:bottom w:val="single" w:sz="4" w:space="0" w:color="1B556B"/>
            </w:tcBorders>
            <w:shd w:val="clear" w:color="000000" w:fill="FFFFFF"/>
          </w:tcPr>
          <w:p w14:paraId="1684D669"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Multisector/Cross-cutting</w:t>
            </w:r>
          </w:p>
        </w:tc>
        <w:tc>
          <w:tcPr>
            <w:tcW w:w="281" w:type="pct"/>
            <w:tcBorders>
              <w:top w:val="single" w:sz="4" w:space="0" w:color="1B556B"/>
              <w:bottom w:val="single" w:sz="4" w:space="0" w:color="1B556B"/>
            </w:tcBorders>
            <w:shd w:val="clear" w:color="000000" w:fill="FFFFFF"/>
          </w:tcPr>
          <w:p w14:paraId="01223EC8"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c>
          <w:tcPr>
            <w:tcW w:w="273" w:type="pct"/>
            <w:tcBorders>
              <w:top w:val="single" w:sz="4" w:space="0" w:color="1B556B"/>
              <w:bottom w:val="single" w:sz="4" w:space="0" w:color="1B556B"/>
            </w:tcBorders>
            <w:shd w:val="clear" w:color="000000" w:fill="FFFFFF"/>
          </w:tcPr>
          <w:p w14:paraId="19CF40D2" w14:textId="77777777" w:rsidR="007113F5" w:rsidRPr="00865EEC" w:rsidRDefault="007113F5">
            <w:pPr>
              <w:spacing w:before="60" w:after="60" w:line="240" w:lineRule="auto"/>
              <w:jc w:val="left"/>
              <w:rPr>
                <w:rFonts w:asciiTheme="minorHAnsi" w:hAnsiTheme="minorHAnsi" w:cstheme="minorHAnsi"/>
                <w:color w:val="000000"/>
                <w:sz w:val="16"/>
                <w:szCs w:val="16"/>
              </w:rPr>
            </w:pPr>
            <w:r w:rsidRPr="00865EEC">
              <w:rPr>
                <w:rFonts w:asciiTheme="minorHAnsi" w:hAnsiTheme="minorHAnsi" w:cstheme="minorHAnsi"/>
                <w:color w:val="000000"/>
                <w:sz w:val="16"/>
                <w:szCs w:val="16"/>
              </w:rPr>
              <w:t>No</w:t>
            </w:r>
          </w:p>
        </w:tc>
      </w:tr>
      <w:tr w:rsidR="00F57429" w:rsidRPr="00865EEC" w14:paraId="4A57AF3B" w14:textId="77777777" w:rsidTr="008E7E3B">
        <w:trPr>
          <w:gridAfter w:val="1"/>
          <w:wAfter w:w="273" w:type="pct"/>
          <w:trHeight w:val="20"/>
          <w:jc w:val="center"/>
        </w:trPr>
        <w:tc>
          <w:tcPr>
            <w:tcW w:w="727" w:type="pct"/>
            <w:tcBorders>
              <w:top w:val="single" w:sz="4" w:space="0" w:color="1B556B"/>
              <w:bottom w:val="single" w:sz="4" w:space="0" w:color="1B556B"/>
            </w:tcBorders>
            <w:shd w:val="clear" w:color="000000" w:fill="FFFFFF"/>
          </w:tcPr>
          <w:p w14:paraId="10CD21A5" w14:textId="77777777" w:rsidR="007113F5" w:rsidRPr="00865EEC" w:rsidRDefault="007113F5">
            <w:pPr>
              <w:spacing w:before="60" w:after="60" w:line="240" w:lineRule="auto"/>
              <w:jc w:val="left"/>
              <w:rPr>
                <w:rFonts w:asciiTheme="minorHAnsi" w:hAnsiTheme="minorHAnsi" w:cstheme="minorHAnsi"/>
                <w:b/>
                <w:color w:val="000000"/>
                <w:sz w:val="16"/>
                <w:szCs w:val="16"/>
              </w:rPr>
            </w:pPr>
            <w:r w:rsidRPr="00865EEC">
              <w:rPr>
                <w:rFonts w:asciiTheme="minorHAnsi" w:hAnsiTheme="minorHAnsi" w:cstheme="minorHAnsi"/>
                <w:b/>
                <w:color w:val="000000"/>
                <w:sz w:val="16"/>
                <w:szCs w:val="16"/>
              </w:rPr>
              <w:t>Totals</w:t>
            </w:r>
          </w:p>
        </w:tc>
        <w:tc>
          <w:tcPr>
            <w:tcW w:w="653" w:type="pct"/>
            <w:tcBorders>
              <w:top w:val="single" w:sz="4" w:space="0" w:color="1B556B"/>
              <w:bottom w:val="single" w:sz="4" w:space="0" w:color="1B556B"/>
            </w:tcBorders>
            <w:shd w:val="clear" w:color="000000" w:fill="FFFFFF"/>
            <w:noWrap/>
          </w:tcPr>
          <w:p w14:paraId="28906A32" w14:textId="77777777" w:rsidR="007113F5" w:rsidRPr="00865EEC" w:rsidRDefault="007113F5">
            <w:pPr>
              <w:spacing w:before="60" w:after="60" w:line="240" w:lineRule="auto"/>
              <w:jc w:val="left"/>
              <w:rPr>
                <w:rFonts w:asciiTheme="minorHAnsi" w:hAnsiTheme="minorHAnsi" w:cstheme="minorHAnsi"/>
                <w:b/>
                <w:color w:val="000000"/>
                <w:sz w:val="16"/>
                <w:szCs w:val="16"/>
              </w:rPr>
            </w:pPr>
          </w:p>
        </w:tc>
        <w:tc>
          <w:tcPr>
            <w:tcW w:w="503" w:type="pct"/>
            <w:tcBorders>
              <w:top w:val="single" w:sz="4" w:space="0" w:color="1B556B"/>
              <w:bottom w:val="single" w:sz="4" w:space="0" w:color="1B556B"/>
            </w:tcBorders>
            <w:shd w:val="clear" w:color="000000" w:fill="FFFFFF"/>
          </w:tcPr>
          <w:p w14:paraId="4746BCEE" w14:textId="1A206C90" w:rsidR="007113F5" w:rsidRPr="00865EEC" w:rsidRDefault="00B11974">
            <w:pPr>
              <w:spacing w:before="60" w:after="60" w:line="240" w:lineRule="auto"/>
              <w:jc w:val="left"/>
              <w:rPr>
                <w:rFonts w:asciiTheme="minorHAnsi" w:hAnsiTheme="minorHAnsi" w:cstheme="minorHAnsi"/>
                <w:b/>
                <w:color w:val="000000"/>
                <w:sz w:val="16"/>
                <w:szCs w:val="16"/>
              </w:rPr>
            </w:pPr>
            <w:r>
              <w:rPr>
                <w:rFonts w:asciiTheme="minorHAnsi" w:hAnsiTheme="minorHAnsi" w:cstheme="minorHAnsi"/>
                <w:b/>
                <w:color w:val="000000"/>
                <w:sz w:val="16"/>
                <w:szCs w:val="16"/>
              </w:rPr>
              <w:t>75</w:t>
            </w:r>
            <w:r w:rsidR="007113F5" w:rsidRPr="00865EEC">
              <w:rPr>
                <w:rFonts w:asciiTheme="minorHAnsi" w:hAnsiTheme="minorHAnsi" w:cstheme="minorHAnsi"/>
                <w:b/>
                <w:color w:val="000000"/>
                <w:sz w:val="16"/>
                <w:szCs w:val="16"/>
              </w:rPr>
              <w:t>,</w:t>
            </w:r>
            <w:r>
              <w:rPr>
                <w:rFonts w:asciiTheme="minorHAnsi" w:hAnsiTheme="minorHAnsi" w:cstheme="minorHAnsi"/>
                <w:b/>
                <w:color w:val="000000"/>
                <w:sz w:val="16"/>
                <w:szCs w:val="16"/>
              </w:rPr>
              <w:t>683,686</w:t>
            </w:r>
          </w:p>
        </w:tc>
        <w:tc>
          <w:tcPr>
            <w:tcW w:w="414" w:type="pct"/>
            <w:tcBorders>
              <w:top w:val="single" w:sz="4" w:space="0" w:color="1B556B"/>
              <w:bottom w:val="single" w:sz="4" w:space="0" w:color="1B556B"/>
            </w:tcBorders>
            <w:shd w:val="clear" w:color="000000" w:fill="FFFFFF"/>
          </w:tcPr>
          <w:p w14:paraId="7FCADC36" w14:textId="5B745F1D" w:rsidR="007113F5" w:rsidRPr="00865EEC" w:rsidRDefault="00B11974">
            <w:pPr>
              <w:spacing w:before="60" w:after="60" w:line="240" w:lineRule="auto"/>
              <w:jc w:val="left"/>
              <w:rPr>
                <w:rFonts w:asciiTheme="minorHAnsi" w:hAnsiTheme="minorHAnsi" w:cstheme="minorHAnsi"/>
                <w:color w:val="000000"/>
                <w:sz w:val="16"/>
                <w:szCs w:val="16"/>
              </w:rPr>
            </w:pPr>
            <w:r>
              <w:rPr>
                <w:rFonts w:asciiTheme="minorHAnsi" w:hAnsiTheme="minorHAnsi" w:cstheme="minorHAnsi"/>
                <w:b/>
                <w:color w:val="000000"/>
                <w:sz w:val="16"/>
                <w:szCs w:val="16"/>
              </w:rPr>
              <w:t>119</w:t>
            </w:r>
            <w:r w:rsidR="007113F5" w:rsidRPr="00865EEC">
              <w:rPr>
                <w:rFonts w:asciiTheme="minorHAnsi" w:hAnsiTheme="minorHAnsi" w:cstheme="minorHAnsi"/>
                <w:b/>
                <w:color w:val="000000"/>
                <w:sz w:val="16"/>
                <w:szCs w:val="16"/>
              </w:rPr>
              <w:t>,412,</w:t>
            </w:r>
            <w:r>
              <w:rPr>
                <w:rFonts w:asciiTheme="minorHAnsi" w:hAnsiTheme="minorHAnsi" w:cstheme="minorHAnsi"/>
                <w:b/>
                <w:color w:val="000000"/>
                <w:sz w:val="16"/>
                <w:szCs w:val="16"/>
              </w:rPr>
              <w:t>507</w:t>
            </w:r>
          </w:p>
        </w:tc>
        <w:tc>
          <w:tcPr>
            <w:tcW w:w="323" w:type="pct"/>
            <w:tcBorders>
              <w:top w:val="single" w:sz="4" w:space="0" w:color="1B556B"/>
              <w:bottom w:val="single" w:sz="4" w:space="0" w:color="1B556B"/>
            </w:tcBorders>
            <w:shd w:val="clear" w:color="000000" w:fill="FFFFFF"/>
          </w:tcPr>
          <w:p w14:paraId="246EF715" w14:textId="77777777" w:rsidR="007113F5" w:rsidRPr="00865EEC" w:rsidRDefault="007113F5">
            <w:pPr>
              <w:spacing w:before="60" w:after="60" w:line="240" w:lineRule="auto"/>
              <w:jc w:val="left"/>
              <w:rPr>
                <w:rFonts w:asciiTheme="minorHAnsi" w:hAnsiTheme="minorHAnsi" w:cstheme="minorHAnsi"/>
                <w:color w:val="000000"/>
                <w:sz w:val="16"/>
                <w:szCs w:val="16"/>
              </w:rPr>
            </w:pPr>
          </w:p>
        </w:tc>
        <w:tc>
          <w:tcPr>
            <w:tcW w:w="323" w:type="pct"/>
            <w:tcBorders>
              <w:top w:val="single" w:sz="4" w:space="0" w:color="1B556B"/>
              <w:bottom w:val="single" w:sz="4" w:space="0" w:color="1B556B"/>
            </w:tcBorders>
            <w:shd w:val="clear" w:color="000000" w:fill="FFFFFF"/>
          </w:tcPr>
          <w:p w14:paraId="5009B705" w14:textId="77777777" w:rsidR="007113F5" w:rsidRPr="00865EEC" w:rsidRDefault="007113F5">
            <w:pPr>
              <w:spacing w:before="60" w:after="60" w:line="240" w:lineRule="auto"/>
              <w:jc w:val="left"/>
              <w:rPr>
                <w:rFonts w:asciiTheme="minorHAnsi" w:hAnsiTheme="minorHAnsi" w:cstheme="minorHAnsi"/>
                <w:color w:val="000000"/>
                <w:sz w:val="16"/>
                <w:szCs w:val="16"/>
              </w:rPr>
            </w:pPr>
          </w:p>
        </w:tc>
        <w:tc>
          <w:tcPr>
            <w:tcW w:w="278" w:type="pct"/>
            <w:tcBorders>
              <w:top w:val="single" w:sz="4" w:space="0" w:color="1B556B"/>
              <w:bottom w:val="single" w:sz="4" w:space="0" w:color="1B556B"/>
            </w:tcBorders>
            <w:shd w:val="clear" w:color="000000" w:fill="FFFFFF"/>
          </w:tcPr>
          <w:p w14:paraId="1FBF2538" w14:textId="77777777" w:rsidR="007113F5" w:rsidRPr="00865EEC" w:rsidRDefault="007113F5">
            <w:pPr>
              <w:spacing w:before="60" w:after="60" w:line="240" w:lineRule="auto"/>
              <w:jc w:val="left"/>
              <w:rPr>
                <w:rFonts w:asciiTheme="minorHAnsi" w:hAnsiTheme="minorHAnsi" w:cstheme="minorHAnsi"/>
                <w:color w:val="000000"/>
                <w:sz w:val="16"/>
                <w:szCs w:val="16"/>
              </w:rPr>
            </w:pPr>
          </w:p>
        </w:tc>
        <w:tc>
          <w:tcPr>
            <w:tcW w:w="362" w:type="pct"/>
            <w:tcBorders>
              <w:top w:val="single" w:sz="4" w:space="0" w:color="1B556B"/>
              <w:bottom w:val="single" w:sz="4" w:space="0" w:color="1B556B"/>
            </w:tcBorders>
            <w:shd w:val="clear" w:color="000000" w:fill="FFFFFF"/>
          </w:tcPr>
          <w:p w14:paraId="03038620" w14:textId="77777777" w:rsidR="007113F5" w:rsidRPr="00865EEC" w:rsidRDefault="007113F5">
            <w:pPr>
              <w:spacing w:before="60" w:after="60" w:line="240" w:lineRule="auto"/>
              <w:jc w:val="left"/>
              <w:rPr>
                <w:rFonts w:asciiTheme="minorHAnsi" w:hAnsiTheme="minorHAnsi" w:cstheme="minorHAnsi"/>
                <w:color w:val="000000"/>
                <w:sz w:val="16"/>
                <w:szCs w:val="16"/>
              </w:rPr>
            </w:pPr>
          </w:p>
        </w:tc>
        <w:tc>
          <w:tcPr>
            <w:tcW w:w="368" w:type="pct"/>
            <w:tcBorders>
              <w:top w:val="single" w:sz="4" w:space="0" w:color="1B556B"/>
              <w:bottom w:val="single" w:sz="4" w:space="0" w:color="1B556B"/>
            </w:tcBorders>
            <w:shd w:val="clear" w:color="000000" w:fill="FFFFFF"/>
          </w:tcPr>
          <w:p w14:paraId="393D369E" w14:textId="77777777" w:rsidR="007113F5" w:rsidRPr="00865EEC" w:rsidRDefault="007113F5">
            <w:pPr>
              <w:spacing w:before="60" w:after="60" w:line="240" w:lineRule="auto"/>
              <w:jc w:val="left"/>
              <w:rPr>
                <w:rFonts w:asciiTheme="minorHAnsi" w:hAnsiTheme="minorHAnsi" w:cstheme="minorHAnsi"/>
                <w:color w:val="000000"/>
                <w:sz w:val="16"/>
                <w:szCs w:val="16"/>
              </w:rPr>
            </w:pPr>
          </w:p>
        </w:tc>
        <w:tc>
          <w:tcPr>
            <w:tcW w:w="495" w:type="pct"/>
            <w:tcBorders>
              <w:top w:val="single" w:sz="4" w:space="0" w:color="1B556B"/>
              <w:bottom w:val="single" w:sz="4" w:space="0" w:color="1B556B"/>
            </w:tcBorders>
            <w:shd w:val="clear" w:color="000000" w:fill="FFFFFF"/>
          </w:tcPr>
          <w:p w14:paraId="7C651FB1" w14:textId="77777777" w:rsidR="007113F5" w:rsidRPr="00865EEC" w:rsidRDefault="007113F5">
            <w:pPr>
              <w:spacing w:before="60" w:after="60" w:line="240" w:lineRule="auto"/>
              <w:jc w:val="left"/>
              <w:rPr>
                <w:rFonts w:asciiTheme="minorHAnsi" w:hAnsiTheme="minorHAnsi" w:cstheme="minorHAnsi"/>
                <w:color w:val="000000"/>
                <w:sz w:val="16"/>
                <w:szCs w:val="16"/>
              </w:rPr>
            </w:pPr>
          </w:p>
        </w:tc>
        <w:tc>
          <w:tcPr>
            <w:tcW w:w="281" w:type="pct"/>
            <w:tcBorders>
              <w:top w:val="single" w:sz="4" w:space="0" w:color="1B556B"/>
              <w:bottom w:val="single" w:sz="4" w:space="0" w:color="1B556B"/>
            </w:tcBorders>
            <w:shd w:val="clear" w:color="000000" w:fill="FFFFFF"/>
          </w:tcPr>
          <w:p w14:paraId="4E7DC768" w14:textId="77777777" w:rsidR="007113F5" w:rsidRPr="00865EEC" w:rsidRDefault="007113F5">
            <w:pPr>
              <w:spacing w:before="60" w:after="60" w:line="240" w:lineRule="auto"/>
              <w:jc w:val="left"/>
              <w:rPr>
                <w:rFonts w:asciiTheme="minorHAnsi" w:hAnsiTheme="minorHAnsi" w:cstheme="minorHAnsi"/>
                <w:color w:val="000000"/>
                <w:sz w:val="16"/>
                <w:szCs w:val="16"/>
              </w:rPr>
            </w:pPr>
          </w:p>
        </w:tc>
      </w:tr>
    </w:tbl>
    <w:p w14:paraId="6AB1A504" w14:textId="2F1E1505" w:rsidR="009B2872" w:rsidRPr="009B2872" w:rsidRDefault="009B2872" w:rsidP="009B2872">
      <w:pPr>
        <w:jc w:val="left"/>
      </w:pPr>
    </w:p>
    <w:p w14:paraId="30193E8E" w14:textId="77777777" w:rsidR="00865EEC" w:rsidRDefault="00865EEC">
      <w:pPr>
        <w:spacing w:before="0" w:after="200" w:line="276" w:lineRule="auto"/>
        <w:jc w:val="left"/>
      </w:pPr>
      <w:r>
        <w:br w:type="page"/>
      </w:r>
    </w:p>
    <w:p w14:paraId="3C148B68" w14:textId="23F3BF83" w:rsidR="009B2872" w:rsidRPr="009B2872" w:rsidRDefault="009B2872" w:rsidP="002C6658">
      <w:pPr>
        <w:pStyle w:val="Tableheading"/>
      </w:pPr>
      <w:bookmarkStart w:id="959" w:name="ctftable112"/>
      <w:bookmarkStart w:id="960" w:name="_Toc185407525"/>
      <w:bookmarkStart w:id="961" w:name="_Toc185427788"/>
      <w:r w:rsidRPr="009B2872">
        <w:t xml:space="preserve">CTF </w:t>
      </w:r>
      <w:r w:rsidR="007E289C">
        <w:t>t</w:t>
      </w:r>
      <w:r w:rsidRPr="009B2872">
        <w:t xml:space="preserve">able III.2 </w:t>
      </w:r>
      <w:bookmarkEnd w:id="959"/>
      <w:r w:rsidRPr="009B2872">
        <w:t>(2021):</w:t>
      </w:r>
      <w:r w:rsidR="00B86B19">
        <w:tab/>
      </w:r>
      <w:r w:rsidRPr="009B2872">
        <w:t>Information on financial support provided under Article 9 of the Paris Agreement in year 202</w:t>
      </w:r>
      <w:r w:rsidR="0008616C">
        <w:t>1</w:t>
      </w:r>
      <w:r w:rsidRPr="009B2872">
        <w:t>: multilateral channels</w:t>
      </w:r>
      <w:bookmarkEnd w:id="960"/>
      <w:bookmarkEnd w:id="961"/>
    </w:p>
    <w:tbl>
      <w:tblPr>
        <w:tblW w:w="14572" w:type="dxa"/>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1985"/>
        <w:gridCol w:w="1417"/>
        <w:gridCol w:w="1276"/>
        <w:gridCol w:w="992"/>
        <w:gridCol w:w="1276"/>
        <w:gridCol w:w="992"/>
        <w:gridCol w:w="993"/>
        <w:gridCol w:w="850"/>
        <w:gridCol w:w="992"/>
        <w:gridCol w:w="851"/>
        <w:gridCol w:w="1134"/>
        <w:gridCol w:w="850"/>
        <w:gridCol w:w="964"/>
      </w:tblGrid>
      <w:tr w:rsidR="00721BFD" w:rsidRPr="0015327A" w14:paraId="53BF6196" w14:textId="77777777" w:rsidTr="00730608">
        <w:trPr>
          <w:trHeight w:val="285"/>
        </w:trPr>
        <w:tc>
          <w:tcPr>
            <w:tcW w:w="1985" w:type="dxa"/>
            <w:tcBorders>
              <w:top w:val="single" w:sz="6" w:space="0" w:color="1B556B"/>
              <w:left w:val="nil"/>
              <w:bottom w:val="single" w:sz="6" w:space="0" w:color="1B556B"/>
              <w:right w:val="single" w:sz="6" w:space="0" w:color="1B556B"/>
            </w:tcBorders>
            <w:shd w:val="clear" w:color="auto" w:fill="1B556B"/>
            <w:hideMark/>
          </w:tcPr>
          <w:p w14:paraId="4D4BC42A" w14:textId="77777777" w:rsidR="0015327A" w:rsidRPr="0015327A" w:rsidRDefault="0015327A" w:rsidP="00730608">
            <w:pPr>
              <w:spacing w:before="6" w:line="240" w:lineRule="auto"/>
              <w:jc w:val="left"/>
              <w:rPr>
                <w:rFonts w:asciiTheme="minorHAnsi" w:hAnsiTheme="minorHAnsi" w:cstheme="minorHAnsi"/>
                <w:color w:val="FFFFFF" w:themeColor="background1"/>
                <w:sz w:val="16"/>
                <w:szCs w:val="16"/>
              </w:rPr>
            </w:pPr>
            <w:r w:rsidRPr="0015327A">
              <w:rPr>
                <w:rFonts w:asciiTheme="minorHAnsi" w:hAnsiTheme="minorHAnsi" w:cstheme="minorHAnsi"/>
                <w:b/>
                <w:bCs/>
                <w:color w:val="FFFFFF" w:themeColor="background1"/>
                <w:sz w:val="16"/>
                <w:szCs w:val="16"/>
              </w:rPr>
              <w:t>Institution </w:t>
            </w:r>
            <w:r w:rsidRPr="0015327A">
              <w:rPr>
                <w:rFonts w:asciiTheme="minorHAnsi" w:hAnsiTheme="minorHAnsi" w:cstheme="minorHAnsi"/>
                <w:color w:val="FFFFFF" w:themeColor="background1"/>
                <w:sz w:val="16"/>
                <w:szCs w:val="16"/>
              </w:rPr>
              <w:t> </w:t>
            </w:r>
          </w:p>
        </w:tc>
        <w:tc>
          <w:tcPr>
            <w:tcW w:w="1417" w:type="dxa"/>
            <w:tcBorders>
              <w:top w:val="single" w:sz="6" w:space="0" w:color="1B556B"/>
              <w:left w:val="single" w:sz="6" w:space="0" w:color="1B556B"/>
              <w:bottom w:val="single" w:sz="6" w:space="0" w:color="1B556B"/>
              <w:right w:val="single" w:sz="6" w:space="0" w:color="1B556B"/>
            </w:tcBorders>
            <w:shd w:val="clear" w:color="auto" w:fill="1B556B"/>
            <w:hideMark/>
          </w:tcPr>
          <w:p w14:paraId="6EB14ED4" w14:textId="77777777" w:rsidR="0015327A" w:rsidRPr="0015327A" w:rsidRDefault="0015327A" w:rsidP="00730608">
            <w:pPr>
              <w:spacing w:before="6" w:line="240" w:lineRule="auto"/>
              <w:jc w:val="left"/>
              <w:rPr>
                <w:rFonts w:asciiTheme="minorHAnsi" w:hAnsiTheme="minorHAnsi" w:cstheme="minorHAnsi"/>
                <w:color w:val="FFFFFF" w:themeColor="background1"/>
                <w:sz w:val="16"/>
                <w:szCs w:val="16"/>
              </w:rPr>
            </w:pPr>
            <w:r w:rsidRPr="0015327A">
              <w:rPr>
                <w:rFonts w:asciiTheme="minorHAnsi" w:hAnsiTheme="minorHAnsi" w:cstheme="minorHAnsi"/>
                <w:b/>
                <w:bCs/>
                <w:color w:val="FFFFFF" w:themeColor="background1"/>
                <w:sz w:val="16"/>
                <w:szCs w:val="16"/>
              </w:rPr>
              <w:t>Amount (climate-specific USD) </w:t>
            </w:r>
            <w:r w:rsidRPr="0015327A">
              <w:rPr>
                <w:rFonts w:asciiTheme="minorHAnsi" w:hAnsiTheme="minorHAnsi" w:cstheme="minorHAnsi"/>
                <w:color w:val="FFFFFF" w:themeColor="background1"/>
                <w:sz w:val="16"/>
                <w:szCs w:val="16"/>
              </w:rPr>
              <w:t> </w:t>
            </w:r>
          </w:p>
        </w:tc>
        <w:tc>
          <w:tcPr>
            <w:tcW w:w="1276" w:type="dxa"/>
            <w:tcBorders>
              <w:top w:val="single" w:sz="6" w:space="0" w:color="1B556B"/>
              <w:left w:val="single" w:sz="6" w:space="0" w:color="1B556B"/>
              <w:bottom w:val="single" w:sz="6" w:space="0" w:color="1B556B"/>
              <w:right w:val="single" w:sz="6" w:space="0" w:color="1B556B"/>
            </w:tcBorders>
            <w:shd w:val="clear" w:color="auto" w:fill="1B556B"/>
            <w:hideMark/>
          </w:tcPr>
          <w:p w14:paraId="232A1779" w14:textId="77777777" w:rsidR="0015327A" w:rsidRPr="0015327A" w:rsidRDefault="0015327A" w:rsidP="00730608">
            <w:pPr>
              <w:spacing w:before="6" w:line="240" w:lineRule="auto"/>
              <w:jc w:val="left"/>
              <w:rPr>
                <w:rFonts w:asciiTheme="minorHAnsi" w:hAnsiTheme="minorHAnsi" w:cstheme="minorHAnsi"/>
                <w:color w:val="FFFFFF" w:themeColor="background1"/>
                <w:sz w:val="16"/>
                <w:szCs w:val="16"/>
              </w:rPr>
            </w:pPr>
            <w:r w:rsidRPr="0015327A">
              <w:rPr>
                <w:rFonts w:asciiTheme="minorHAnsi" w:hAnsiTheme="minorHAnsi" w:cstheme="minorHAnsi"/>
                <w:b/>
                <w:bCs/>
                <w:color w:val="FFFFFF" w:themeColor="background1"/>
                <w:sz w:val="16"/>
                <w:szCs w:val="16"/>
              </w:rPr>
              <w:t>Amount (climate-specific NZD) </w:t>
            </w:r>
            <w:r w:rsidRPr="0015327A">
              <w:rPr>
                <w:rFonts w:asciiTheme="minorHAnsi" w:hAnsiTheme="minorHAnsi" w:cstheme="minorHAnsi"/>
                <w:color w:val="FFFFFF" w:themeColor="background1"/>
                <w:sz w:val="16"/>
                <w:szCs w:val="16"/>
              </w:rPr>
              <w:t> </w:t>
            </w:r>
          </w:p>
        </w:tc>
        <w:tc>
          <w:tcPr>
            <w:tcW w:w="992" w:type="dxa"/>
            <w:tcBorders>
              <w:top w:val="single" w:sz="6" w:space="0" w:color="1B556B"/>
              <w:left w:val="single" w:sz="6" w:space="0" w:color="1B556B"/>
              <w:bottom w:val="single" w:sz="6" w:space="0" w:color="1B556B"/>
              <w:right w:val="single" w:sz="6" w:space="0" w:color="1B556B"/>
            </w:tcBorders>
            <w:shd w:val="clear" w:color="auto" w:fill="1B556B"/>
            <w:hideMark/>
          </w:tcPr>
          <w:p w14:paraId="20D34B8F" w14:textId="77777777" w:rsidR="0015327A" w:rsidRPr="0015327A" w:rsidRDefault="0015327A" w:rsidP="00730608">
            <w:pPr>
              <w:spacing w:before="6" w:line="240" w:lineRule="auto"/>
              <w:jc w:val="left"/>
              <w:rPr>
                <w:rFonts w:asciiTheme="minorHAnsi" w:hAnsiTheme="minorHAnsi" w:cstheme="minorHAnsi"/>
                <w:color w:val="FFFFFF" w:themeColor="background1"/>
                <w:sz w:val="16"/>
                <w:szCs w:val="16"/>
              </w:rPr>
            </w:pPr>
            <w:r w:rsidRPr="0015327A">
              <w:rPr>
                <w:rFonts w:asciiTheme="minorHAnsi" w:hAnsiTheme="minorHAnsi" w:cstheme="minorHAnsi"/>
                <w:b/>
                <w:bCs/>
                <w:color w:val="FFFFFF" w:themeColor="background1"/>
                <w:sz w:val="16"/>
                <w:szCs w:val="16"/>
              </w:rPr>
              <w:t>Recipient </w:t>
            </w:r>
            <w:r w:rsidRPr="0015327A">
              <w:rPr>
                <w:rFonts w:asciiTheme="minorHAnsi" w:hAnsiTheme="minorHAnsi" w:cstheme="minorHAnsi"/>
                <w:color w:val="FFFFFF" w:themeColor="background1"/>
                <w:sz w:val="16"/>
                <w:szCs w:val="16"/>
              </w:rPr>
              <w:t> </w:t>
            </w:r>
          </w:p>
        </w:tc>
        <w:tc>
          <w:tcPr>
            <w:tcW w:w="1276" w:type="dxa"/>
            <w:tcBorders>
              <w:top w:val="single" w:sz="6" w:space="0" w:color="1B556B"/>
              <w:left w:val="single" w:sz="6" w:space="0" w:color="1B556B"/>
              <w:bottom w:val="single" w:sz="6" w:space="0" w:color="1B556B"/>
              <w:right w:val="single" w:sz="6" w:space="0" w:color="1B556B"/>
            </w:tcBorders>
            <w:shd w:val="clear" w:color="auto" w:fill="1B556B"/>
            <w:hideMark/>
          </w:tcPr>
          <w:p w14:paraId="6506752E" w14:textId="77777777" w:rsidR="0015327A" w:rsidRPr="0015327A" w:rsidRDefault="0015327A" w:rsidP="00730608">
            <w:pPr>
              <w:spacing w:before="6" w:line="240" w:lineRule="auto"/>
              <w:jc w:val="left"/>
              <w:rPr>
                <w:rFonts w:asciiTheme="minorHAnsi" w:hAnsiTheme="minorHAnsi" w:cstheme="minorHAnsi"/>
                <w:color w:val="FFFFFF" w:themeColor="background1"/>
                <w:sz w:val="16"/>
                <w:szCs w:val="16"/>
              </w:rPr>
            </w:pPr>
            <w:r w:rsidRPr="0015327A">
              <w:rPr>
                <w:rFonts w:asciiTheme="minorHAnsi" w:hAnsiTheme="minorHAnsi" w:cstheme="minorHAnsi"/>
                <w:b/>
                <w:bCs/>
                <w:color w:val="FFFFFF" w:themeColor="background1"/>
                <w:sz w:val="16"/>
                <w:szCs w:val="16"/>
              </w:rPr>
              <w:t>Title of the project programme, activity or other </w:t>
            </w:r>
            <w:r w:rsidRPr="0015327A">
              <w:rPr>
                <w:rFonts w:asciiTheme="minorHAnsi" w:hAnsiTheme="minorHAnsi" w:cstheme="minorHAnsi"/>
                <w:color w:val="FFFFFF" w:themeColor="background1"/>
                <w:sz w:val="16"/>
                <w:szCs w:val="16"/>
              </w:rPr>
              <w:t> </w:t>
            </w:r>
          </w:p>
        </w:tc>
        <w:tc>
          <w:tcPr>
            <w:tcW w:w="992" w:type="dxa"/>
            <w:tcBorders>
              <w:top w:val="single" w:sz="6" w:space="0" w:color="1B556B"/>
              <w:left w:val="single" w:sz="6" w:space="0" w:color="1B556B"/>
              <w:bottom w:val="single" w:sz="6" w:space="0" w:color="1B556B"/>
              <w:right w:val="single" w:sz="6" w:space="0" w:color="1B556B"/>
            </w:tcBorders>
            <w:shd w:val="clear" w:color="auto" w:fill="1B556B"/>
            <w:hideMark/>
          </w:tcPr>
          <w:p w14:paraId="43CA4372" w14:textId="77777777" w:rsidR="0015327A" w:rsidRPr="0015327A" w:rsidRDefault="0015327A" w:rsidP="00730608">
            <w:pPr>
              <w:spacing w:before="6" w:line="240" w:lineRule="auto"/>
              <w:jc w:val="left"/>
              <w:rPr>
                <w:rFonts w:asciiTheme="minorHAnsi" w:hAnsiTheme="minorHAnsi" w:cstheme="minorHAnsi"/>
                <w:color w:val="FFFFFF" w:themeColor="background1"/>
                <w:sz w:val="16"/>
                <w:szCs w:val="16"/>
              </w:rPr>
            </w:pPr>
            <w:r w:rsidRPr="0015327A">
              <w:rPr>
                <w:rFonts w:asciiTheme="minorHAnsi" w:hAnsiTheme="minorHAnsi" w:cstheme="minorHAnsi"/>
                <w:b/>
                <w:bCs/>
                <w:color w:val="FFFFFF" w:themeColor="background1"/>
                <w:sz w:val="16"/>
                <w:szCs w:val="16"/>
              </w:rPr>
              <w:t>Status </w:t>
            </w:r>
            <w:r w:rsidRPr="0015327A">
              <w:rPr>
                <w:rFonts w:asciiTheme="minorHAnsi" w:hAnsiTheme="minorHAnsi" w:cstheme="minorHAnsi"/>
                <w:color w:val="FFFFFF" w:themeColor="background1"/>
                <w:sz w:val="16"/>
                <w:szCs w:val="16"/>
              </w:rPr>
              <w:t> </w:t>
            </w:r>
          </w:p>
        </w:tc>
        <w:tc>
          <w:tcPr>
            <w:tcW w:w="993" w:type="dxa"/>
            <w:tcBorders>
              <w:top w:val="single" w:sz="6" w:space="0" w:color="1B556B"/>
              <w:left w:val="single" w:sz="6" w:space="0" w:color="1B556B"/>
              <w:bottom w:val="single" w:sz="6" w:space="0" w:color="1B556B"/>
              <w:right w:val="single" w:sz="6" w:space="0" w:color="1B556B"/>
            </w:tcBorders>
            <w:shd w:val="clear" w:color="auto" w:fill="1B556B"/>
            <w:hideMark/>
          </w:tcPr>
          <w:p w14:paraId="418A4F2B" w14:textId="77777777" w:rsidR="0015327A" w:rsidRPr="0015327A" w:rsidRDefault="0015327A" w:rsidP="00730608">
            <w:pPr>
              <w:spacing w:before="6" w:line="240" w:lineRule="auto"/>
              <w:jc w:val="left"/>
              <w:rPr>
                <w:rFonts w:asciiTheme="minorHAnsi" w:hAnsiTheme="minorHAnsi" w:cstheme="minorHAnsi"/>
                <w:color w:val="FFFFFF" w:themeColor="background1"/>
                <w:sz w:val="16"/>
                <w:szCs w:val="16"/>
              </w:rPr>
            </w:pPr>
            <w:r w:rsidRPr="0015327A">
              <w:rPr>
                <w:rFonts w:asciiTheme="minorHAnsi" w:hAnsiTheme="minorHAnsi" w:cstheme="minorHAnsi"/>
                <w:b/>
                <w:bCs/>
                <w:color w:val="FFFFFF" w:themeColor="background1"/>
                <w:sz w:val="16"/>
                <w:szCs w:val="16"/>
              </w:rPr>
              <w:t>Channel </w:t>
            </w:r>
            <w:r w:rsidRPr="0015327A">
              <w:rPr>
                <w:rFonts w:asciiTheme="minorHAnsi" w:hAnsiTheme="minorHAnsi" w:cstheme="minorHAnsi"/>
                <w:color w:val="FFFFFF" w:themeColor="background1"/>
                <w:sz w:val="16"/>
                <w:szCs w:val="16"/>
              </w:rPr>
              <w:t> </w:t>
            </w:r>
          </w:p>
        </w:tc>
        <w:tc>
          <w:tcPr>
            <w:tcW w:w="850" w:type="dxa"/>
            <w:tcBorders>
              <w:top w:val="single" w:sz="6" w:space="0" w:color="1B556B"/>
              <w:left w:val="single" w:sz="6" w:space="0" w:color="1B556B"/>
              <w:bottom w:val="single" w:sz="6" w:space="0" w:color="1B556B"/>
              <w:right w:val="single" w:sz="6" w:space="0" w:color="1B556B"/>
            </w:tcBorders>
            <w:shd w:val="clear" w:color="auto" w:fill="1B556B"/>
            <w:hideMark/>
          </w:tcPr>
          <w:p w14:paraId="720C0DE5" w14:textId="77777777" w:rsidR="0015327A" w:rsidRPr="0015327A" w:rsidRDefault="0015327A" w:rsidP="00730608">
            <w:pPr>
              <w:spacing w:before="6" w:line="240" w:lineRule="auto"/>
              <w:jc w:val="left"/>
              <w:rPr>
                <w:rFonts w:asciiTheme="minorHAnsi" w:hAnsiTheme="minorHAnsi" w:cstheme="minorHAnsi"/>
                <w:color w:val="FFFFFF" w:themeColor="background1"/>
                <w:sz w:val="16"/>
                <w:szCs w:val="16"/>
              </w:rPr>
            </w:pPr>
            <w:r w:rsidRPr="0015327A">
              <w:rPr>
                <w:rFonts w:asciiTheme="minorHAnsi" w:hAnsiTheme="minorHAnsi" w:cstheme="minorHAnsi"/>
                <w:b/>
                <w:bCs/>
                <w:color w:val="FFFFFF" w:themeColor="background1"/>
                <w:sz w:val="16"/>
                <w:szCs w:val="16"/>
              </w:rPr>
              <w:t>Funding Source </w:t>
            </w:r>
            <w:r w:rsidRPr="0015327A">
              <w:rPr>
                <w:rFonts w:asciiTheme="minorHAnsi" w:hAnsiTheme="minorHAnsi" w:cstheme="minorHAnsi"/>
                <w:color w:val="FFFFFF" w:themeColor="background1"/>
                <w:sz w:val="16"/>
                <w:szCs w:val="16"/>
              </w:rPr>
              <w:t> </w:t>
            </w:r>
          </w:p>
        </w:tc>
        <w:tc>
          <w:tcPr>
            <w:tcW w:w="992" w:type="dxa"/>
            <w:tcBorders>
              <w:top w:val="single" w:sz="6" w:space="0" w:color="1B556B"/>
              <w:left w:val="single" w:sz="6" w:space="0" w:color="1B556B"/>
              <w:bottom w:val="single" w:sz="6" w:space="0" w:color="1B556B"/>
              <w:right w:val="single" w:sz="6" w:space="0" w:color="1B556B"/>
            </w:tcBorders>
            <w:shd w:val="clear" w:color="auto" w:fill="1B556B"/>
            <w:hideMark/>
          </w:tcPr>
          <w:p w14:paraId="537DEBE6" w14:textId="77777777" w:rsidR="0015327A" w:rsidRPr="0015327A" w:rsidRDefault="0015327A" w:rsidP="00730608">
            <w:pPr>
              <w:spacing w:before="6" w:line="240" w:lineRule="auto"/>
              <w:jc w:val="left"/>
              <w:rPr>
                <w:rFonts w:asciiTheme="minorHAnsi" w:hAnsiTheme="minorHAnsi" w:cstheme="minorHAnsi"/>
                <w:color w:val="FFFFFF" w:themeColor="background1"/>
                <w:sz w:val="16"/>
                <w:szCs w:val="16"/>
              </w:rPr>
            </w:pPr>
            <w:r w:rsidRPr="0015327A">
              <w:rPr>
                <w:rFonts w:asciiTheme="minorHAnsi" w:hAnsiTheme="minorHAnsi" w:cstheme="minorHAnsi"/>
                <w:b/>
                <w:bCs/>
                <w:color w:val="FFFFFF" w:themeColor="background1"/>
                <w:sz w:val="16"/>
                <w:szCs w:val="16"/>
              </w:rPr>
              <w:t>Financial instrument </w:t>
            </w:r>
            <w:r w:rsidRPr="0015327A">
              <w:rPr>
                <w:rFonts w:asciiTheme="minorHAnsi" w:hAnsiTheme="minorHAnsi" w:cstheme="minorHAnsi"/>
                <w:color w:val="FFFFFF" w:themeColor="background1"/>
                <w:sz w:val="16"/>
                <w:szCs w:val="16"/>
              </w:rPr>
              <w:t> </w:t>
            </w:r>
          </w:p>
        </w:tc>
        <w:tc>
          <w:tcPr>
            <w:tcW w:w="851" w:type="dxa"/>
            <w:tcBorders>
              <w:top w:val="single" w:sz="6" w:space="0" w:color="1B556B"/>
              <w:left w:val="single" w:sz="6" w:space="0" w:color="1B556B"/>
              <w:bottom w:val="single" w:sz="6" w:space="0" w:color="1B556B"/>
              <w:right w:val="single" w:sz="6" w:space="0" w:color="1B556B"/>
            </w:tcBorders>
            <w:shd w:val="clear" w:color="auto" w:fill="1B556B"/>
            <w:hideMark/>
          </w:tcPr>
          <w:p w14:paraId="20CFAB00" w14:textId="77777777" w:rsidR="0015327A" w:rsidRPr="0015327A" w:rsidRDefault="0015327A" w:rsidP="00730608">
            <w:pPr>
              <w:spacing w:before="6" w:line="240" w:lineRule="auto"/>
              <w:jc w:val="left"/>
              <w:rPr>
                <w:rFonts w:asciiTheme="minorHAnsi" w:hAnsiTheme="minorHAnsi" w:cstheme="minorHAnsi"/>
                <w:color w:val="FFFFFF" w:themeColor="background1"/>
                <w:sz w:val="16"/>
                <w:szCs w:val="16"/>
              </w:rPr>
            </w:pPr>
            <w:r w:rsidRPr="0015327A">
              <w:rPr>
                <w:rFonts w:asciiTheme="minorHAnsi" w:hAnsiTheme="minorHAnsi" w:cstheme="minorHAnsi"/>
                <w:b/>
                <w:bCs/>
                <w:color w:val="FFFFFF" w:themeColor="background1"/>
                <w:sz w:val="16"/>
                <w:szCs w:val="16"/>
              </w:rPr>
              <w:t>Type of Support </w:t>
            </w:r>
            <w:r w:rsidRPr="0015327A">
              <w:rPr>
                <w:rFonts w:asciiTheme="minorHAnsi" w:hAnsiTheme="minorHAnsi" w:cstheme="minorHAnsi"/>
                <w:color w:val="FFFFFF" w:themeColor="background1"/>
                <w:sz w:val="16"/>
                <w:szCs w:val="16"/>
              </w:rPr>
              <w:t> </w:t>
            </w:r>
          </w:p>
        </w:tc>
        <w:tc>
          <w:tcPr>
            <w:tcW w:w="1134" w:type="dxa"/>
            <w:tcBorders>
              <w:top w:val="single" w:sz="6" w:space="0" w:color="1B556B"/>
              <w:left w:val="single" w:sz="6" w:space="0" w:color="1B556B"/>
              <w:bottom w:val="single" w:sz="6" w:space="0" w:color="1B556B"/>
              <w:right w:val="single" w:sz="6" w:space="0" w:color="1B556B"/>
            </w:tcBorders>
            <w:shd w:val="clear" w:color="auto" w:fill="1B556B"/>
            <w:hideMark/>
          </w:tcPr>
          <w:p w14:paraId="59DFEDAC" w14:textId="77777777" w:rsidR="0015327A" w:rsidRPr="0015327A" w:rsidRDefault="0015327A" w:rsidP="00730608">
            <w:pPr>
              <w:spacing w:before="6" w:line="240" w:lineRule="auto"/>
              <w:jc w:val="left"/>
              <w:rPr>
                <w:rFonts w:asciiTheme="minorHAnsi" w:hAnsiTheme="minorHAnsi" w:cstheme="minorHAnsi"/>
                <w:color w:val="FFFFFF" w:themeColor="background1"/>
                <w:sz w:val="16"/>
                <w:szCs w:val="16"/>
              </w:rPr>
            </w:pPr>
            <w:r w:rsidRPr="0015327A">
              <w:rPr>
                <w:rFonts w:asciiTheme="minorHAnsi" w:hAnsiTheme="minorHAnsi" w:cstheme="minorHAnsi"/>
                <w:b/>
                <w:bCs/>
                <w:color w:val="FFFFFF" w:themeColor="background1"/>
                <w:sz w:val="16"/>
                <w:szCs w:val="16"/>
              </w:rPr>
              <w:t>Sector </w:t>
            </w:r>
            <w:r w:rsidRPr="0015327A">
              <w:rPr>
                <w:rFonts w:asciiTheme="minorHAnsi" w:hAnsiTheme="minorHAnsi" w:cstheme="minorHAnsi"/>
                <w:color w:val="FFFFFF" w:themeColor="background1"/>
                <w:sz w:val="16"/>
                <w:szCs w:val="16"/>
              </w:rPr>
              <w:t> </w:t>
            </w:r>
          </w:p>
        </w:tc>
        <w:tc>
          <w:tcPr>
            <w:tcW w:w="850" w:type="dxa"/>
            <w:tcBorders>
              <w:top w:val="single" w:sz="6" w:space="0" w:color="1B556B"/>
              <w:left w:val="single" w:sz="6" w:space="0" w:color="1B556B"/>
              <w:bottom w:val="single" w:sz="6" w:space="0" w:color="1B556B"/>
              <w:right w:val="single" w:sz="6" w:space="0" w:color="1B556B"/>
            </w:tcBorders>
            <w:shd w:val="clear" w:color="auto" w:fill="1B556B"/>
            <w:hideMark/>
          </w:tcPr>
          <w:p w14:paraId="7EADD50B" w14:textId="77777777" w:rsidR="0015327A" w:rsidRPr="00730608" w:rsidRDefault="0015327A" w:rsidP="00730608">
            <w:pPr>
              <w:spacing w:before="6" w:line="240" w:lineRule="auto"/>
              <w:jc w:val="left"/>
              <w:rPr>
                <w:rFonts w:asciiTheme="minorHAnsi" w:hAnsiTheme="minorHAnsi" w:cstheme="minorHAnsi"/>
                <w:color w:val="FFFFFF" w:themeColor="background1"/>
                <w:spacing w:val="-8"/>
                <w:sz w:val="16"/>
                <w:szCs w:val="16"/>
              </w:rPr>
            </w:pPr>
            <w:r w:rsidRPr="00730608">
              <w:rPr>
                <w:rFonts w:asciiTheme="minorHAnsi" w:hAnsiTheme="minorHAnsi" w:cstheme="minorHAnsi"/>
                <w:b/>
                <w:bCs/>
                <w:color w:val="FFFFFF" w:themeColor="background1"/>
                <w:spacing w:val="-8"/>
                <w:sz w:val="16"/>
                <w:szCs w:val="16"/>
              </w:rPr>
              <w:t>Capacity Building </w:t>
            </w:r>
            <w:r w:rsidRPr="00730608">
              <w:rPr>
                <w:rFonts w:asciiTheme="minorHAnsi" w:hAnsiTheme="minorHAnsi" w:cstheme="minorHAnsi"/>
                <w:color w:val="FFFFFF" w:themeColor="background1"/>
                <w:spacing w:val="-8"/>
                <w:sz w:val="16"/>
                <w:szCs w:val="16"/>
              </w:rPr>
              <w:t> </w:t>
            </w:r>
          </w:p>
        </w:tc>
        <w:tc>
          <w:tcPr>
            <w:tcW w:w="964" w:type="dxa"/>
            <w:tcBorders>
              <w:top w:val="single" w:sz="6" w:space="0" w:color="1B556B"/>
              <w:left w:val="single" w:sz="6" w:space="0" w:color="1B556B"/>
              <w:bottom w:val="single" w:sz="6" w:space="0" w:color="1B556B"/>
              <w:right w:val="nil"/>
            </w:tcBorders>
            <w:shd w:val="clear" w:color="auto" w:fill="1B556B"/>
            <w:hideMark/>
          </w:tcPr>
          <w:p w14:paraId="6DD306F9" w14:textId="77777777" w:rsidR="0015327A" w:rsidRPr="00730608" w:rsidRDefault="0015327A" w:rsidP="00730608">
            <w:pPr>
              <w:spacing w:before="6" w:line="240" w:lineRule="auto"/>
              <w:jc w:val="left"/>
              <w:rPr>
                <w:rFonts w:asciiTheme="minorHAnsi" w:hAnsiTheme="minorHAnsi" w:cstheme="minorHAnsi"/>
                <w:color w:val="FFFFFF" w:themeColor="background1"/>
                <w:spacing w:val="-4"/>
                <w:sz w:val="16"/>
                <w:szCs w:val="16"/>
              </w:rPr>
            </w:pPr>
            <w:r w:rsidRPr="00730608">
              <w:rPr>
                <w:rFonts w:asciiTheme="minorHAnsi" w:hAnsiTheme="minorHAnsi" w:cstheme="minorHAnsi"/>
                <w:b/>
                <w:bCs/>
                <w:color w:val="FFFFFF" w:themeColor="background1"/>
                <w:spacing w:val="-4"/>
                <w:sz w:val="16"/>
                <w:szCs w:val="16"/>
              </w:rPr>
              <w:t>Technology Transfer </w:t>
            </w:r>
            <w:r w:rsidRPr="00730608">
              <w:rPr>
                <w:rFonts w:asciiTheme="minorHAnsi" w:hAnsiTheme="minorHAnsi" w:cstheme="minorHAnsi"/>
                <w:color w:val="FFFFFF" w:themeColor="background1"/>
                <w:spacing w:val="-4"/>
                <w:sz w:val="16"/>
                <w:szCs w:val="16"/>
              </w:rPr>
              <w:t> </w:t>
            </w:r>
          </w:p>
        </w:tc>
      </w:tr>
      <w:tr w:rsidR="0015327A" w:rsidRPr="0015327A" w14:paraId="221326DC" w14:textId="77777777" w:rsidTr="00730608">
        <w:trPr>
          <w:trHeight w:val="285"/>
        </w:trPr>
        <w:tc>
          <w:tcPr>
            <w:tcW w:w="14572" w:type="dxa"/>
            <w:gridSpan w:val="13"/>
            <w:tcBorders>
              <w:top w:val="single" w:sz="6" w:space="0" w:color="1B556B"/>
              <w:left w:val="nil"/>
              <w:bottom w:val="single" w:sz="6" w:space="0" w:color="1B556B"/>
              <w:right w:val="nil"/>
            </w:tcBorders>
            <w:shd w:val="clear" w:color="auto" w:fill="D2DDE1"/>
            <w:hideMark/>
          </w:tcPr>
          <w:p w14:paraId="700F9D51" w14:textId="77777777" w:rsidR="0015327A" w:rsidRPr="0015327A" w:rsidRDefault="0015327A" w:rsidP="00730608">
            <w:pPr>
              <w:spacing w:line="240" w:lineRule="auto"/>
              <w:jc w:val="left"/>
              <w:rPr>
                <w:rFonts w:asciiTheme="minorHAnsi" w:hAnsiTheme="minorHAnsi" w:cstheme="minorHAnsi"/>
                <w:sz w:val="16"/>
                <w:szCs w:val="16"/>
              </w:rPr>
            </w:pPr>
            <w:r w:rsidRPr="0015327A">
              <w:rPr>
                <w:rFonts w:asciiTheme="minorHAnsi" w:hAnsiTheme="minorHAnsi" w:cstheme="minorHAnsi"/>
                <w:b/>
                <w:bCs/>
                <w:sz w:val="16"/>
                <w:szCs w:val="16"/>
              </w:rPr>
              <w:t>Multilateral financial institutions, including regional development banks </w:t>
            </w:r>
            <w:r w:rsidRPr="0015327A">
              <w:rPr>
                <w:rFonts w:asciiTheme="minorHAnsi" w:hAnsiTheme="minorHAnsi" w:cstheme="minorHAnsi"/>
                <w:sz w:val="16"/>
                <w:szCs w:val="16"/>
              </w:rPr>
              <w:t> </w:t>
            </w:r>
          </w:p>
        </w:tc>
      </w:tr>
      <w:tr w:rsidR="00E63610" w:rsidRPr="0015327A" w14:paraId="3D414A0F" w14:textId="77777777" w:rsidTr="00730608">
        <w:trPr>
          <w:trHeight w:val="285"/>
        </w:trPr>
        <w:tc>
          <w:tcPr>
            <w:tcW w:w="1985" w:type="dxa"/>
            <w:tcBorders>
              <w:top w:val="single" w:sz="6" w:space="0" w:color="1B556B"/>
              <w:left w:val="nil"/>
              <w:bottom w:val="single" w:sz="6" w:space="0" w:color="1B556B"/>
              <w:right w:val="single" w:sz="6" w:space="0" w:color="1B556B"/>
            </w:tcBorders>
            <w:shd w:val="clear" w:color="auto" w:fill="FFFFFF"/>
            <w:hideMark/>
          </w:tcPr>
          <w:p w14:paraId="53C69844"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World Bank Group International Development Agency  </w:t>
            </w:r>
          </w:p>
        </w:tc>
        <w:tc>
          <w:tcPr>
            <w:tcW w:w="1417" w:type="dxa"/>
            <w:tcBorders>
              <w:top w:val="single" w:sz="6" w:space="0" w:color="1B556B"/>
              <w:left w:val="single" w:sz="6" w:space="0" w:color="1B556B"/>
              <w:bottom w:val="single" w:sz="6" w:space="0" w:color="1B556B"/>
              <w:right w:val="single" w:sz="6" w:space="0" w:color="1B556B"/>
            </w:tcBorders>
            <w:shd w:val="clear" w:color="auto" w:fill="FFFFFF"/>
            <w:hideMark/>
          </w:tcPr>
          <w:p w14:paraId="04CC5A73"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2,657,843  </w:t>
            </w:r>
          </w:p>
          <w:p w14:paraId="2EB696EA"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2DC85E22"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3,758,190  </w:t>
            </w:r>
          </w:p>
          <w:p w14:paraId="7AD010FF"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  </w:t>
            </w:r>
          </w:p>
          <w:p w14:paraId="1B28EDE4"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0C3B02FF"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Global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4EEEA8D5"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WBG IDA19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34CFD60F"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Disbursed  </w:t>
            </w:r>
          </w:p>
        </w:tc>
        <w:tc>
          <w:tcPr>
            <w:tcW w:w="993" w:type="dxa"/>
            <w:tcBorders>
              <w:top w:val="single" w:sz="6" w:space="0" w:color="1B556B"/>
              <w:left w:val="single" w:sz="6" w:space="0" w:color="1B556B"/>
              <w:bottom w:val="single" w:sz="6" w:space="0" w:color="1B556B"/>
              <w:right w:val="single" w:sz="6" w:space="0" w:color="1B556B"/>
            </w:tcBorders>
            <w:shd w:val="clear" w:color="auto" w:fill="FFFFFF"/>
            <w:hideMark/>
          </w:tcPr>
          <w:p w14:paraId="2453DFC2"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Multilateral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40BBD4F1"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ODA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00E4F5A0"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Grant  </w:t>
            </w:r>
          </w:p>
        </w:tc>
        <w:tc>
          <w:tcPr>
            <w:tcW w:w="851" w:type="dxa"/>
            <w:tcBorders>
              <w:top w:val="single" w:sz="6" w:space="0" w:color="1B556B"/>
              <w:left w:val="single" w:sz="6" w:space="0" w:color="1B556B"/>
              <w:bottom w:val="single" w:sz="6" w:space="0" w:color="1B556B"/>
              <w:right w:val="single" w:sz="6" w:space="0" w:color="1B556B"/>
            </w:tcBorders>
            <w:shd w:val="clear" w:color="auto" w:fill="FFFFFF"/>
            <w:hideMark/>
          </w:tcPr>
          <w:p w14:paraId="6AAFA6F5"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Cross-cutting  </w:t>
            </w:r>
          </w:p>
        </w:tc>
        <w:tc>
          <w:tcPr>
            <w:tcW w:w="1134" w:type="dxa"/>
            <w:tcBorders>
              <w:top w:val="single" w:sz="6" w:space="0" w:color="1B556B"/>
              <w:left w:val="single" w:sz="6" w:space="0" w:color="1B556B"/>
              <w:bottom w:val="single" w:sz="6" w:space="0" w:color="1B556B"/>
              <w:right w:val="single" w:sz="6" w:space="0" w:color="1B556B"/>
            </w:tcBorders>
            <w:shd w:val="clear" w:color="auto" w:fill="FFFFFF"/>
            <w:hideMark/>
          </w:tcPr>
          <w:p w14:paraId="6FA4E8CF"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Multisector / Cross-cutting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24843068"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Yes  </w:t>
            </w:r>
          </w:p>
        </w:tc>
        <w:tc>
          <w:tcPr>
            <w:tcW w:w="964" w:type="dxa"/>
            <w:tcBorders>
              <w:top w:val="single" w:sz="6" w:space="0" w:color="1B556B"/>
              <w:left w:val="single" w:sz="6" w:space="0" w:color="1B556B"/>
              <w:bottom w:val="single" w:sz="6" w:space="0" w:color="1B556B"/>
              <w:right w:val="nil"/>
            </w:tcBorders>
            <w:shd w:val="clear" w:color="auto" w:fill="FFFFFF"/>
            <w:hideMark/>
          </w:tcPr>
          <w:p w14:paraId="7E41CC23"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No  </w:t>
            </w:r>
          </w:p>
        </w:tc>
      </w:tr>
      <w:tr w:rsidR="00721BFD" w:rsidRPr="0015327A" w14:paraId="5A82F4D7" w14:textId="77777777" w:rsidTr="00730608">
        <w:trPr>
          <w:trHeight w:val="285"/>
        </w:trPr>
        <w:tc>
          <w:tcPr>
            <w:tcW w:w="1985" w:type="dxa"/>
            <w:tcBorders>
              <w:top w:val="single" w:sz="6" w:space="0" w:color="1B556B"/>
              <w:left w:val="nil"/>
              <w:bottom w:val="single" w:sz="6" w:space="0" w:color="1B556B"/>
              <w:right w:val="single" w:sz="6" w:space="0" w:color="1B556B"/>
            </w:tcBorders>
            <w:shd w:val="clear" w:color="auto" w:fill="FFFFFF"/>
            <w:hideMark/>
          </w:tcPr>
          <w:p w14:paraId="0CC2F84B"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Asian Development Bank  </w:t>
            </w:r>
          </w:p>
        </w:tc>
        <w:tc>
          <w:tcPr>
            <w:tcW w:w="1417" w:type="dxa"/>
            <w:tcBorders>
              <w:top w:val="single" w:sz="6" w:space="0" w:color="1B556B"/>
              <w:left w:val="single" w:sz="6" w:space="0" w:color="1B556B"/>
              <w:bottom w:val="single" w:sz="6" w:space="0" w:color="1B556B"/>
              <w:right w:val="single" w:sz="6" w:space="0" w:color="1B556B"/>
            </w:tcBorders>
            <w:shd w:val="clear" w:color="auto" w:fill="FFFFFF"/>
            <w:hideMark/>
          </w:tcPr>
          <w:p w14:paraId="2EBC1CBB" w14:textId="06C28AB3"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470,067</w:t>
            </w:r>
            <w:r w:rsidR="00E27074">
              <w:rPr>
                <w:rFonts w:asciiTheme="minorHAnsi" w:hAnsiTheme="minorHAnsi" w:cstheme="minorHAnsi"/>
                <w:sz w:val="16"/>
                <w:szCs w:val="16"/>
              </w:rPr>
              <w:t>.19</w:t>
            </w:r>
            <w:r w:rsidRPr="0015327A">
              <w:rPr>
                <w:rFonts w:asciiTheme="minorHAnsi" w:hAnsiTheme="minorHAnsi" w:cstheme="minorHAnsi"/>
                <w:sz w:val="16"/>
                <w:szCs w:val="16"/>
              </w:rPr>
              <w:t>  </w:t>
            </w:r>
          </w:p>
          <w:p w14:paraId="01A6F05A"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7C5F6BEE"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664,675  </w:t>
            </w:r>
          </w:p>
          <w:p w14:paraId="73BC955A"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24BA87DF"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Global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22FB3853"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ADB ADF13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1AAC987A"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Disbursed  </w:t>
            </w:r>
          </w:p>
        </w:tc>
        <w:tc>
          <w:tcPr>
            <w:tcW w:w="993" w:type="dxa"/>
            <w:tcBorders>
              <w:top w:val="single" w:sz="6" w:space="0" w:color="1B556B"/>
              <w:left w:val="single" w:sz="6" w:space="0" w:color="1B556B"/>
              <w:bottom w:val="single" w:sz="6" w:space="0" w:color="1B556B"/>
              <w:right w:val="single" w:sz="6" w:space="0" w:color="1B556B"/>
            </w:tcBorders>
            <w:shd w:val="clear" w:color="auto" w:fill="FFFFFF"/>
            <w:hideMark/>
          </w:tcPr>
          <w:p w14:paraId="6A624F5E"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Multilateral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588BBB30"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ODA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03990BD0"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Grant  </w:t>
            </w:r>
          </w:p>
        </w:tc>
        <w:tc>
          <w:tcPr>
            <w:tcW w:w="851" w:type="dxa"/>
            <w:tcBorders>
              <w:top w:val="single" w:sz="6" w:space="0" w:color="1B556B"/>
              <w:left w:val="single" w:sz="6" w:space="0" w:color="1B556B"/>
              <w:bottom w:val="single" w:sz="6" w:space="0" w:color="1B556B"/>
              <w:right w:val="single" w:sz="6" w:space="0" w:color="1B556B"/>
            </w:tcBorders>
            <w:shd w:val="clear" w:color="auto" w:fill="FFFFFF"/>
            <w:hideMark/>
          </w:tcPr>
          <w:p w14:paraId="2166E934"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Cross-cutting  </w:t>
            </w:r>
          </w:p>
        </w:tc>
        <w:tc>
          <w:tcPr>
            <w:tcW w:w="1134" w:type="dxa"/>
            <w:tcBorders>
              <w:top w:val="single" w:sz="6" w:space="0" w:color="1B556B"/>
              <w:left w:val="single" w:sz="6" w:space="0" w:color="1B556B"/>
              <w:bottom w:val="single" w:sz="6" w:space="0" w:color="1B556B"/>
              <w:right w:val="single" w:sz="6" w:space="0" w:color="1B556B"/>
            </w:tcBorders>
            <w:shd w:val="clear" w:color="auto" w:fill="FFFFFF"/>
            <w:hideMark/>
          </w:tcPr>
          <w:p w14:paraId="040D440A"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Multisector / Cross-cutting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0BF7E670"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Yes  </w:t>
            </w:r>
          </w:p>
        </w:tc>
        <w:tc>
          <w:tcPr>
            <w:tcW w:w="964" w:type="dxa"/>
            <w:tcBorders>
              <w:top w:val="single" w:sz="6" w:space="0" w:color="1B556B"/>
              <w:left w:val="single" w:sz="6" w:space="0" w:color="1B556B"/>
              <w:bottom w:val="single" w:sz="6" w:space="0" w:color="1B556B"/>
              <w:right w:val="nil"/>
            </w:tcBorders>
            <w:shd w:val="clear" w:color="auto" w:fill="FFFFFF"/>
            <w:hideMark/>
          </w:tcPr>
          <w:p w14:paraId="40501002"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No  </w:t>
            </w:r>
          </w:p>
        </w:tc>
      </w:tr>
      <w:tr w:rsidR="0015327A" w:rsidRPr="0015327A" w14:paraId="798CAE3C" w14:textId="77777777" w:rsidTr="00730608">
        <w:trPr>
          <w:trHeight w:val="285"/>
        </w:trPr>
        <w:tc>
          <w:tcPr>
            <w:tcW w:w="14572" w:type="dxa"/>
            <w:gridSpan w:val="13"/>
            <w:tcBorders>
              <w:top w:val="single" w:sz="6" w:space="0" w:color="1B556B"/>
              <w:left w:val="nil"/>
              <w:bottom w:val="single" w:sz="6" w:space="0" w:color="1B556B"/>
              <w:right w:val="nil"/>
            </w:tcBorders>
            <w:shd w:val="clear" w:color="auto" w:fill="D2DDE1"/>
            <w:hideMark/>
          </w:tcPr>
          <w:p w14:paraId="6CF7CD52" w14:textId="77777777" w:rsidR="0015327A" w:rsidRPr="0015327A" w:rsidRDefault="0015327A" w:rsidP="00730608">
            <w:pPr>
              <w:spacing w:line="240" w:lineRule="auto"/>
              <w:jc w:val="left"/>
              <w:rPr>
                <w:rFonts w:asciiTheme="minorHAnsi" w:hAnsiTheme="minorHAnsi" w:cstheme="minorHAnsi"/>
                <w:sz w:val="16"/>
                <w:szCs w:val="16"/>
              </w:rPr>
            </w:pPr>
            <w:r w:rsidRPr="0015327A">
              <w:rPr>
                <w:rFonts w:asciiTheme="minorHAnsi" w:hAnsiTheme="minorHAnsi" w:cstheme="minorHAnsi"/>
                <w:b/>
                <w:bCs/>
                <w:sz w:val="16"/>
                <w:szCs w:val="16"/>
              </w:rPr>
              <w:t>Specialised United Nations Bodies </w:t>
            </w:r>
            <w:r w:rsidRPr="0015327A">
              <w:rPr>
                <w:rFonts w:asciiTheme="minorHAnsi" w:hAnsiTheme="minorHAnsi" w:cstheme="minorHAnsi"/>
                <w:sz w:val="16"/>
                <w:szCs w:val="16"/>
              </w:rPr>
              <w:t> </w:t>
            </w:r>
          </w:p>
        </w:tc>
      </w:tr>
      <w:tr w:rsidR="00721BFD" w:rsidRPr="0015327A" w14:paraId="3A93ACC9" w14:textId="77777777" w:rsidTr="00730608">
        <w:trPr>
          <w:trHeight w:val="285"/>
        </w:trPr>
        <w:tc>
          <w:tcPr>
            <w:tcW w:w="1985" w:type="dxa"/>
            <w:tcBorders>
              <w:top w:val="single" w:sz="6" w:space="0" w:color="1B556B"/>
              <w:left w:val="nil"/>
              <w:bottom w:val="single" w:sz="6" w:space="0" w:color="1B556B"/>
              <w:right w:val="single" w:sz="6" w:space="0" w:color="1B556B"/>
            </w:tcBorders>
            <w:shd w:val="clear" w:color="auto" w:fill="FFFFFF"/>
            <w:hideMark/>
          </w:tcPr>
          <w:p w14:paraId="25051FEC"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United Nations Development Programme  </w:t>
            </w:r>
          </w:p>
        </w:tc>
        <w:tc>
          <w:tcPr>
            <w:tcW w:w="1417" w:type="dxa"/>
            <w:tcBorders>
              <w:top w:val="single" w:sz="6" w:space="0" w:color="1B556B"/>
              <w:left w:val="single" w:sz="6" w:space="0" w:color="1B556B"/>
              <w:bottom w:val="single" w:sz="6" w:space="0" w:color="1B556B"/>
              <w:right w:val="single" w:sz="6" w:space="0" w:color="1B556B"/>
            </w:tcBorders>
            <w:shd w:val="clear" w:color="auto" w:fill="FFFFFF"/>
            <w:hideMark/>
          </w:tcPr>
          <w:p w14:paraId="50A65868" w14:textId="53F677D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1,060,820</w:t>
            </w:r>
            <w:r w:rsidR="00C22F2E">
              <w:rPr>
                <w:rFonts w:asciiTheme="minorHAnsi" w:hAnsiTheme="minorHAnsi" w:cstheme="minorHAnsi"/>
                <w:sz w:val="16"/>
                <w:szCs w:val="16"/>
              </w:rPr>
              <w:t>.37</w:t>
            </w:r>
            <w:r w:rsidRPr="0015327A">
              <w:rPr>
                <w:rFonts w:asciiTheme="minorHAnsi" w:hAnsiTheme="minorHAnsi" w:cstheme="minorHAnsi"/>
                <w:sz w:val="16"/>
                <w:szCs w:val="16"/>
              </w:rPr>
              <w:t>  </w:t>
            </w:r>
          </w:p>
          <w:p w14:paraId="189A660D"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7649B325"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1,500,000  </w:t>
            </w:r>
          </w:p>
          <w:p w14:paraId="046A9C04"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08EFE574"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Global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764235C1"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UNDP 2018/19 - 2020/21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65152A2B"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Disbursed  </w:t>
            </w:r>
          </w:p>
        </w:tc>
        <w:tc>
          <w:tcPr>
            <w:tcW w:w="993" w:type="dxa"/>
            <w:tcBorders>
              <w:top w:val="single" w:sz="6" w:space="0" w:color="1B556B"/>
              <w:left w:val="single" w:sz="6" w:space="0" w:color="1B556B"/>
              <w:bottom w:val="single" w:sz="6" w:space="0" w:color="1B556B"/>
              <w:right w:val="single" w:sz="6" w:space="0" w:color="1B556B"/>
            </w:tcBorders>
            <w:shd w:val="clear" w:color="auto" w:fill="FFFFFF"/>
            <w:hideMark/>
          </w:tcPr>
          <w:p w14:paraId="77FF939A"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Multilateral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22CE6EF0"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ODA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6482A78E"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Grant  </w:t>
            </w:r>
          </w:p>
        </w:tc>
        <w:tc>
          <w:tcPr>
            <w:tcW w:w="851" w:type="dxa"/>
            <w:tcBorders>
              <w:top w:val="single" w:sz="6" w:space="0" w:color="1B556B"/>
              <w:left w:val="single" w:sz="6" w:space="0" w:color="1B556B"/>
              <w:bottom w:val="single" w:sz="6" w:space="0" w:color="1B556B"/>
              <w:right w:val="single" w:sz="6" w:space="0" w:color="1B556B"/>
            </w:tcBorders>
            <w:shd w:val="clear" w:color="auto" w:fill="FFFFFF"/>
            <w:hideMark/>
          </w:tcPr>
          <w:p w14:paraId="0362DF89"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Cross-cutting  </w:t>
            </w:r>
          </w:p>
        </w:tc>
        <w:tc>
          <w:tcPr>
            <w:tcW w:w="1134" w:type="dxa"/>
            <w:tcBorders>
              <w:top w:val="single" w:sz="6" w:space="0" w:color="1B556B"/>
              <w:left w:val="single" w:sz="6" w:space="0" w:color="1B556B"/>
              <w:bottom w:val="single" w:sz="6" w:space="0" w:color="1B556B"/>
              <w:right w:val="single" w:sz="6" w:space="0" w:color="1B556B"/>
            </w:tcBorders>
            <w:shd w:val="clear" w:color="auto" w:fill="FFFFFF"/>
            <w:hideMark/>
          </w:tcPr>
          <w:p w14:paraId="0326424C"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Multisector / Cross-cutting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6DCA0193"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Yes  </w:t>
            </w:r>
          </w:p>
        </w:tc>
        <w:tc>
          <w:tcPr>
            <w:tcW w:w="964" w:type="dxa"/>
            <w:tcBorders>
              <w:top w:val="single" w:sz="6" w:space="0" w:color="1B556B"/>
              <w:left w:val="single" w:sz="6" w:space="0" w:color="1B556B"/>
              <w:bottom w:val="single" w:sz="6" w:space="0" w:color="1B556B"/>
              <w:right w:val="nil"/>
            </w:tcBorders>
            <w:shd w:val="clear" w:color="auto" w:fill="FFFFFF"/>
            <w:hideMark/>
          </w:tcPr>
          <w:p w14:paraId="79AB456F"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No  </w:t>
            </w:r>
          </w:p>
        </w:tc>
      </w:tr>
      <w:tr w:rsidR="00721BFD" w:rsidRPr="0015327A" w14:paraId="24983AEA" w14:textId="77777777" w:rsidTr="00730608">
        <w:trPr>
          <w:trHeight w:val="285"/>
        </w:trPr>
        <w:tc>
          <w:tcPr>
            <w:tcW w:w="1985" w:type="dxa"/>
            <w:tcBorders>
              <w:top w:val="single" w:sz="6" w:space="0" w:color="1B556B"/>
              <w:left w:val="nil"/>
              <w:bottom w:val="single" w:sz="6" w:space="0" w:color="1B556B"/>
              <w:right w:val="single" w:sz="6" w:space="0" w:color="1B556B"/>
            </w:tcBorders>
            <w:shd w:val="clear" w:color="auto" w:fill="FFFFFF"/>
            <w:hideMark/>
          </w:tcPr>
          <w:p w14:paraId="4E585F6E"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International Fund for Agricultural Development  </w:t>
            </w:r>
          </w:p>
        </w:tc>
        <w:tc>
          <w:tcPr>
            <w:tcW w:w="1417" w:type="dxa"/>
            <w:tcBorders>
              <w:top w:val="single" w:sz="6" w:space="0" w:color="1B556B"/>
              <w:left w:val="single" w:sz="6" w:space="0" w:color="1B556B"/>
              <w:bottom w:val="single" w:sz="6" w:space="0" w:color="1B556B"/>
              <w:right w:val="single" w:sz="6" w:space="0" w:color="1B556B"/>
            </w:tcBorders>
            <w:shd w:val="clear" w:color="auto" w:fill="FFFFFF"/>
            <w:hideMark/>
          </w:tcPr>
          <w:p w14:paraId="2F51D295"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318,246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71086CE0"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555,000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6B45C9E7"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Global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6F5F9EEC"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IFAD 11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4260B540"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Disbursed  </w:t>
            </w:r>
          </w:p>
        </w:tc>
        <w:tc>
          <w:tcPr>
            <w:tcW w:w="993" w:type="dxa"/>
            <w:tcBorders>
              <w:top w:val="single" w:sz="6" w:space="0" w:color="1B556B"/>
              <w:left w:val="single" w:sz="6" w:space="0" w:color="1B556B"/>
              <w:bottom w:val="single" w:sz="6" w:space="0" w:color="1B556B"/>
              <w:right w:val="single" w:sz="6" w:space="0" w:color="1B556B"/>
            </w:tcBorders>
            <w:shd w:val="clear" w:color="auto" w:fill="FFFFFF"/>
            <w:hideMark/>
          </w:tcPr>
          <w:p w14:paraId="13163949"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Multilateral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56A0619C"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ODA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61CD916F"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Grant  </w:t>
            </w:r>
          </w:p>
        </w:tc>
        <w:tc>
          <w:tcPr>
            <w:tcW w:w="851" w:type="dxa"/>
            <w:tcBorders>
              <w:top w:val="single" w:sz="6" w:space="0" w:color="1B556B"/>
              <w:left w:val="single" w:sz="6" w:space="0" w:color="1B556B"/>
              <w:bottom w:val="single" w:sz="6" w:space="0" w:color="1B556B"/>
              <w:right w:val="single" w:sz="6" w:space="0" w:color="1B556B"/>
            </w:tcBorders>
            <w:shd w:val="clear" w:color="auto" w:fill="FFFFFF"/>
            <w:hideMark/>
          </w:tcPr>
          <w:p w14:paraId="26514184"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Cross-cutting  </w:t>
            </w:r>
          </w:p>
        </w:tc>
        <w:tc>
          <w:tcPr>
            <w:tcW w:w="1134" w:type="dxa"/>
            <w:tcBorders>
              <w:top w:val="single" w:sz="6" w:space="0" w:color="1B556B"/>
              <w:left w:val="single" w:sz="6" w:space="0" w:color="1B556B"/>
              <w:bottom w:val="single" w:sz="6" w:space="0" w:color="1B556B"/>
              <w:right w:val="single" w:sz="6" w:space="0" w:color="1B556B"/>
            </w:tcBorders>
            <w:shd w:val="clear" w:color="auto" w:fill="FFFFFF"/>
            <w:hideMark/>
          </w:tcPr>
          <w:p w14:paraId="164B37E7"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Agriculture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5EAC4F50"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Yes  </w:t>
            </w:r>
          </w:p>
        </w:tc>
        <w:tc>
          <w:tcPr>
            <w:tcW w:w="964" w:type="dxa"/>
            <w:tcBorders>
              <w:top w:val="single" w:sz="6" w:space="0" w:color="1B556B"/>
              <w:left w:val="single" w:sz="6" w:space="0" w:color="1B556B"/>
              <w:bottom w:val="single" w:sz="6" w:space="0" w:color="1B556B"/>
              <w:right w:val="nil"/>
            </w:tcBorders>
            <w:shd w:val="clear" w:color="auto" w:fill="FFFFFF"/>
            <w:hideMark/>
          </w:tcPr>
          <w:p w14:paraId="136BAB53"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Yes  </w:t>
            </w:r>
          </w:p>
        </w:tc>
      </w:tr>
      <w:tr w:rsidR="00721BFD" w:rsidRPr="0015327A" w14:paraId="7BD8D1A7" w14:textId="77777777" w:rsidTr="00730608">
        <w:trPr>
          <w:trHeight w:val="285"/>
        </w:trPr>
        <w:tc>
          <w:tcPr>
            <w:tcW w:w="1985" w:type="dxa"/>
            <w:tcBorders>
              <w:top w:val="single" w:sz="6" w:space="0" w:color="1B556B"/>
              <w:left w:val="nil"/>
              <w:bottom w:val="single" w:sz="6" w:space="0" w:color="1B556B"/>
              <w:right w:val="single" w:sz="6" w:space="0" w:color="1B556B"/>
            </w:tcBorders>
            <w:shd w:val="clear" w:color="auto" w:fill="FFFFFF"/>
            <w:hideMark/>
          </w:tcPr>
          <w:p w14:paraId="7F18D97A"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United Nations Environmental Programme  </w:t>
            </w:r>
          </w:p>
        </w:tc>
        <w:tc>
          <w:tcPr>
            <w:tcW w:w="1417" w:type="dxa"/>
            <w:tcBorders>
              <w:top w:val="single" w:sz="6" w:space="0" w:color="1B556B"/>
              <w:left w:val="single" w:sz="6" w:space="0" w:color="1B556B"/>
              <w:bottom w:val="single" w:sz="6" w:space="0" w:color="1B556B"/>
              <w:right w:val="single" w:sz="6" w:space="0" w:color="1B556B"/>
            </w:tcBorders>
            <w:shd w:val="clear" w:color="auto" w:fill="FFFFFF"/>
            <w:hideMark/>
          </w:tcPr>
          <w:p w14:paraId="775C1F8B" w14:textId="698D4681"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6,25</w:t>
            </w:r>
            <w:r w:rsidR="009F03A6">
              <w:rPr>
                <w:rFonts w:asciiTheme="minorHAnsi" w:hAnsiTheme="minorHAnsi" w:cstheme="minorHAnsi"/>
                <w:sz w:val="16"/>
                <w:szCs w:val="16"/>
              </w:rPr>
              <w:t>1.77</w:t>
            </w:r>
            <w:r w:rsidRPr="0015327A">
              <w:rPr>
                <w:rFonts w:asciiTheme="minorHAnsi" w:hAnsiTheme="minorHAnsi" w:cstheme="minorHAnsi"/>
                <w:sz w:val="16"/>
                <w:szCs w:val="16"/>
              </w:rPr>
              <w:t>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24330C03"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8,840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556093F3"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Global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7518A857"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UNEP MP MLF10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4DFF145B"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Disbursed  </w:t>
            </w:r>
          </w:p>
        </w:tc>
        <w:tc>
          <w:tcPr>
            <w:tcW w:w="993" w:type="dxa"/>
            <w:tcBorders>
              <w:top w:val="single" w:sz="6" w:space="0" w:color="1B556B"/>
              <w:left w:val="single" w:sz="6" w:space="0" w:color="1B556B"/>
              <w:bottom w:val="single" w:sz="6" w:space="0" w:color="1B556B"/>
              <w:right w:val="single" w:sz="6" w:space="0" w:color="1B556B"/>
            </w:tcBorders>
            <w:shd w:val="clear" w:color="auto" w:fill="FFFFFF"/>
            <w:hideMark/>
          </w:tcPr>
          <w:p w14:paraId="4DBCBF8C"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Multilateral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5D0D4B8E"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ODA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62185D6D"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Grant  </w:t>
            </w:r>
          </w:p>
        </w:tc>
        <w:tc>
          <w:tcPr>
            <w:tcW w:w="851" w:type="dxa"/>
            <w:tcBorders>
              <w:top w:val="single" w:sz="6" w:space="0" w:color="1B556B"/>
              <w:left w:val="single" w:sz="6" w:space="0" w:color="1B556B"/>
              <w:bottom w:val="single" w:sz="6" w:space="0" w:color="1B556B"/>
              <w:right w:val="single" w:sz="6" w:space="0" w:color="1B556B"/>
            </w:tcBorders>
            <w:shd w:val="clear" w:color="auto" w:fill="FFFFFF"/>
            <w:hideMark/>
          </w:tcPr>
          <w:p w14:paraId="5BC50C71"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Mitigation  </w:t>
            </w:r>
          </w:p>
        </w:tc>
        <w:tc>
          <w:tcPr>
            <w:tcW w:w="1134" w:type="dxa"/>
            <w:tcBorders>
              <w:top w:val="single" w:sz="6" w:space="0" w:color="1B556B"/>
              <w:left w:val="single" w:sz="6" w:space="0" w:color="1B556B"/>
              <w:bottom w:val="single" w:sz="6" w:space="0" w:color="1B556B"/>
              <w:right w:val="single" w:sz="6" w:space="0" w:color="1B556B"/>
            </w:tcBorders>
            <w:shd w:val="clear" w:color="auto" w:fill="FFFFFF"/>
            <w:hideMark/>
          </w:tcPr>
          <w:p w14:paraId="317B2FD5" w14:textId="6631497D"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Multisector/ Cross-cutting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5DE6BD9E"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No  </w:t>
            </w:r>
          </w:p>
        </w:tc>
        <w:tc>
          <w:tcPr>
            <w:tcW w:w="964" w:type="dxa"/>
            <w:tcBorders>
              <w:top w:val="single" w:sz="6" w:space="0" w:color="1B556B"/>
              <w:left w:val="single" w:sz="6" w:space="0" w:color="1B556B"/>
              <w:bottom w:val="single" w:sz="6" w:space="0" w:color="1B556B"/>
              <w:right w:val="nil"/>
            </w:tcBorders>
            <w:shd w:val="clear" w:color="auto" w:fill="FFFFFF"/>
            <w:hideMark/>
          </w:tcPr>
          <w:p w14:paraId="78053BEC"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No  </w:t>
            </w:r>
          </w:p>
        </w:tc>
      </w:tr>
      <w:tr w:rsidR="00721BFD" w:rsidRPr="0015327A" w14:paraId="7674A5E5" w14:textId="77777777" w:rsidTr="00730608">
        <w:trPr>
          <w:trHeight w:val="285"/>
        </w:trPr>
        <w:tc>
          <w:tcPr>
            <w:tcW w:w="1985" w:type="dxa"/>
            <w:tcBorders>
              <w:top w:val="single" w:sz="6" w:space="0" w:color="1B556B"/>
              <w:left w:val="nil"/>
              <w:bottom w:val="single" w:sz="6" w:space="0" w:color="1B556B"/>
              <w:right w:val="single" w:sz="6" w:space="0" w:color="1B556B"/>
            </w:tcBorders>
            <w:shd w:val="clear" w:color="auto" w:fill="FFFFFF"/>
            <w:hideMark/>
          </w:tcPr>
          <w:p w14:paraId="47EFFCDD"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United Nations Food and Agriculture Organisation  </w:t>
            </w:r>
          </w:p>
        </w:tc>
        <w:tc>
          <w:tcPr>
            <w:tcW w:w="1417" w:type="dxa"/>
            <w:tcBorders>
              <w:top w:val="single" w:sz="6" w:space="0" w:color="1B556B"/>
              <w:left w:val="single" w:sz="6" w:space="0" w:color="1B556B"/>
              <w:bottom w:val="single" w:sz="6" w:space="0" w:color="1B556B"/>
              <w:right w:val="single" w:sz="6" w:space="0" w:color="1B556B"/>
            </w:tcBorders>
            <w:shd w:val="clear" w:color="auto" w:fill="FFFFFF"/>
            <w:hideMark/>
          </w:tcPr>
          <w:p w14:paraId="5CC4743D" w14:textId="5C47F6D2"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109,210</w:t>
            </w:r>
            <w:r w:rsidR="0045312F">
              <w:rPr>
                <w:rFonts w:asciiTheme="minorHAnsi" w:hAnsiTheme="minorHAnsi" w:cstheme="minorHAnsi"/>
                <w:sz w:val="16"/>
                <w:szCs w:val="16"/>
              </w:rPr>
              <w:t>.04</w:t>
            </w:r>
            <w:r w:rsidRPr="0015327A">
              <w:rPr>
                <w:rFonts w:asciiTheme="minorHAnsi" w:hAnsiTheme="minorHAnsi" w:cstheme="minorHAnsi"/>
                <w:sz w:val="16"/>
                <w:szCs w:val="16"/>
              </w:rPr>
              <w:t>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77AC2CB6"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154,423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233C392E"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Global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586A6550"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COVID-19 Food Security Support LAC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04BD9278"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Disbursed  </w:t>
            </w:r>
          </w:p>
        </w:tc>
        <w:tc>
          <w:tcPr>
            <w:tcW w:w="993" w:type="dxa"/>
            <w:tcBorders>
              <w:top w:val="single" w:sz="6" w:space="0" w:color="1B556B"/>
              <w:left w:val="single" w:sz="6" w:space="0" w:color="1B556B"/>
              <w:bottom w:val="single" w:sz="6" w:space="0" w:color="1B556B"/>
              <w:right w:val="single" w:sz="6" w:space="0" w:color="1B556B"/>
            </w:tcBorders>
            <w:shd w:val="clear" w:color="auto" w:fill="FFFFFF"/>
            <w:hideMark/>
          </w:tcPr>
          <w:p w14:paraId="77A8C85A"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Multilateral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211B1ED5"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ODA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287A87DB"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Grant  </w:t>
            </w:r>
          </w:p>
        </w:tc>
        <w:tc>
          <w:tcPr>
            <w:tcW w:w="851" w:type="dxa"/>
            <w:tcBorders>
              <w:top w:val="single" w:sz="6" w:space="0" w:color="1B556B"/>
              <w:left w:val="single" w:sz="6" w:space="0" w:color="1B556B"/>
              <w:bottom w:val="single" w:sz="6" w:space="0" w:color="1B556B"/>
              <w:right w:val="single" w:sz="6" w:space="0" w:color="1B556B"/>
            </w:tcBorders>
            <w:shd w:val="clear" w:color="auto" w:fill="FFFFFF"/>
            <w:hideMark/>
          </w:tcPr>
          <w:p w14:paraId="7FBA920E"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Cross-cutting  </w:t>
            </w:r>
          </w:p>
        </w:tc>
        <w:tc>
          <w:tcPr>
            <w:tcW w:w="1134" w:type="dxa"/>
            <w:tcBorders>
              <w:top w:val="single" w:sz="6" w:space="0" w:color="1B556B"/>
              <w:left w:val="single" w:sz="6" w:space="0" w:color="1B556B"/>
              <w:bottom w:val="single" w:sz="6" w:space="0" w:color="1B556B"/>
              <w:right w:val="single" w:sz="6" w:space="0" w:color="1B556B"/>
            </w:tcBorders>
            <w:shd w:val="clear" w:color="auto" w:fill="FFFFFF"/>
            <w:hideMark/>
          </w:tcPr>
          <w:p w14:paraId="33821773"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Agriculture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20CA7411"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No  </w:t>
            </w:r>
          </w:p>
        </w:tc>
        <w:tc>
          <w:tcPr>
            <w:tcW w:w="964" w:type="dxa"/>
            <w:tcBorders>
              <w:top w:val="single" w:sz="6" w:space="0" w:color="1B556B"/>
              <w:left w:val="single" w:sz="6" w:space="0" w:color="1B556B"/>
              <w:bottom w:val="single" w:sz="6" w:space="0" w:color="1B556B"/>
              <w:right w:val="nil"/>
            </w:tcBorders>
            <w:shd w:val="clear" w:color="auto" w:fill="FFFFFF"/>
            <w:hideMark/>
          </w:tcPr>
          <w:p w14:paraId="11D36920"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No  </w:t>
            </w:r>
          </w:p>
        </w:tc>
      </w:tr>
      <w:tr w:rsidR="00721BFD" w:rsidRPr="0015327A" w14:paraId="17665C8A" w14:textId="77777777" w:rsidTr="00730608">
        <w:trPr>
          <w:trHeight w:val="285"/>
        </w:trPr>
        <w:tc>
          <w:tcPr>
            <w:tcW w:w="1985" w:type="dxa"/>
            <w:tcBorders>
              <w:top w:val="single" w:sz="6" w:space="0" w:color="1B556B"/>
              <w:left w:val="nil"/>
              <w:bottom w:val="single" w:sz="6" w:space="0" w:color="1B556B"/>
              <w:right w:val="single" w:sz="6" w:space="0" w:color="1B556B"/>
            </w:tcBorders>
            <w:shd w:val="clear" w:color="auto" w:fill="FFFFFF"/>
            <w:hideMark/>
          </w:tcPr>
          <w:p w14:paraId="740D4803" w14:textId="1B451AB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U</w:t>
            </w:r>
            <w:r w:rsidR="00466CB3">
              <w:rPr>
                <w:rFonts w:asciiTheme="minorHAnsi" w:hAnsiTheme="minorHAnsi" w:cstheme="minorHAnsi"/>
                <w:sz w:val="16"/>
                <w:szCs w:val="16"/>
              </w:rPr>
              <w:t xml:space="preserve">nited </w:t>
            </w:r>
            <w:r w:rsidRPr="0015327A">
              <w:rPr>
                <w:rFonts w:asciiTheme="minorHAnsi" w:hAnsiTheme="minorHAnsi" w:cstheme="minorHAnsi"/>
                <w:sz w:val="16"/>
                <w:szCs w:val="16"/>
              </w:rPr>
              <w:t>N</w:t>
            </w:r>
            <w:r w:rsidR="00466CB3">
              <w:rPr>
                <w:rFonts w:asciiTheme="minorHAnsi" w:hAnsiTheme="minorHAnsi" w:cstheme="minorHAnsi"/>
                <w:sz w:val="16"/>
                <w:szCs w:val="16"/>
              </w:rPr>
              <w:t>ations</w:t>
            </w:r>
            <w:r w:rsidRPr="0015327A">
              <w:rPr>
                <w:rFonts w:asciiTheme="minorHAnsi" w:hAnsiTheme="minorHAnsi" w:cstheme="minorHAnsi"/>
                <w:sz w:val="16"/>
                <w:szCs w:val="16"/>
              </w:rPr>
              <w:t xml:space="preserve"> Women  </w:t>
            </w:r>
          </w:p>
        </w:tc>
        <w:tc>
          <w:tcPr>
            <w:tcW w:w="1417" w:type="dxa"/>
            <w:tcBorders>
              <w:top w:val="single" w:sz="6" w:space="0" w:color="1B556B"/>
              <w:left w:val="single" w:sz="6" w:space="0" w:color="1B556B"/>
              <w:bottom w:val="single" w:sz="6" w:space="0" w:color="1B556B"/>
              <w:right w:val="single" w:sz="6" w:space="0" w:color="1B556B"/>
            </w:tcBorders>
            <w:shd w:val="clear" w:color="auto" w:fill="FFFFFF"/>
            <w:hideMark/>
          </w:tcPr>
          <w:p w14:paraId="3C9084D0" w14:textId="12FAF31E"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530,410</w:t>
            </w:r>
            <w:r w:rsidR="0045312F">
              <w:rPr>
                <w:rFonts w:asciiTheme="minorHAnsi" w:hAnsiTheme="minorHAnsi" w:cstheme="minorHAnsi"/>
                <w:sz w:val="16"/>
                <w:szCs w:val="16"/>
              </w:rPr>
              <w:t>.18</w:t>
            </w:r>
            <w:r w:rsidRPr="0015327A">
              <w:rPr>
                <w:rFonts w:asciiTheme="minorHAnsi" w:hAnsiTheme="minorHAnsi" w:cstheme="minorHAnsi"/>
                <w:sz w:val="16"/>
                <w:szCs w:val="16"/>
              </w:rPr>
              <w:t>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0F4404CB"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750,000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3F78A26F"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Global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11FC4921"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UN Women 18/19-20/21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168E316F"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Disbursed  </w:t>
            </w:r>
          </w:p>
        </w:tc>
        <w:tc>
          <w:tcPr>
            <w:tcW w:w="993" w:type="dxa"/>
            <w:tcBorders>
              <w:top w:val="single" w:sz="6" w:space="0" w:color="1B556B"/>
              <w:left w:val="single" w:sz="6" w:space="0" w:color="1B556B"/>
              <w:bottom w:val="single" w:sz="6" w:space="0" w:color="1B556B"/>
              <w:right w:val="single" w:sz="6" w:space="0" w:color="1B556B"/>
            </w:tcBorders>
            <w:shd w:val="clear" w:color="auto" w:fill="FFFFFF"/>
            <w:hideMark/>
          </w:tcPr>
          <w:p w14:paraId="680B3CDF"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Multilateral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122B3724"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ODA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1EEF2AC9"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Grant  </w:t>
            </w:r>
          </w:p>
        </w:tc>
        <w:tc>
          <w:tcPr>
            <w:tcW w:w="851" w:type="dxa"/>
            <w:tcBorders>
              <w:top w:val="single" w:sz="6" w:space="0" w:color="1B556B"/>
              <w:left w:val="single" w:sz="6" w:space="0" w:color="1B556B"/>
              <w:bottom w:val="single" w:sz="6" w:space="0" w:color="1B556B"/>
              <w:right w:val="single" w:sz="6" w:space="0" w:color="1B556B"/>
            </w:tcBorders>
            <w:shd w:val="clear" w:color="auto" w:fill="FFFFFF"/>
            <w:hideMark/>
          </w:tcPr>
          <w:p w14:paraId="5849182A"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Adaptation  </w:t>
            </w:r>
          </w:p>
        </w:tc>
        <w:tc>
          <w:tcPr>
            <w:tcW w:w="1134" w:type="dxa"/>
            <w:tcBorders>
              <w:top w:val="single" w:sz="6" w:space="0" w:color="1B556B"/>
              <w:left w:val="single" w:sz="6" w:space="0" w:color="1B556B"/>
              <w:bottom w:val="single" w:sz="6" w:space="0" w:color="1B556B"/>
              <w:right w:val="single" w:sz="6" w:space="0" w:color="1B556B"/>
            </w:tcBorders>
            <w:shd w:val="clear" w:color="auto" w:fill="FFFFFF"/>
            <w:hideMark/>
          </w:tcPr>
          <w:p w14:paraId="0730F77A" w14:textId="77777777" w:rsidR="0015327A" w:rsidRPr="00730608" w:rsidRDefault="0015327A" w:rsidP="00730608">
            <w:pPr>
              <w:spacing w:before="6" w:line="240" w:lineRule="auto"/>
              <w:jc w:val="left"/>
              <w:rPr>
                <w:rFonts w:asciiTheme="minorHAnsi" w:hAnsiTheme="minorHAnsi" w:cstheme="minorHAnsi"/>
                <w:spacing w:val="-8"/>
                <w:sz w:val="16"/>
                <w:szCs w:val="16"/>
              </w:rPr>
            </w:pPr>
            <w:r w:rsidRPr="00730608">
              <w:rPr>
                <w:rFonts w:asciiTheme="minorHAnsi" w:hAnsiTheme="minorHAnsi" w:cstheme="minorHAnsi"/>
                <w:spacing w:val="-8"/>
                <w:sz w:val="16"/>
                <w:szCs w:val="16"/>
              </w:rPr>
              <w:t>Government and Civil Society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7C92AC3A"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No  </w:t>
            </w:r>
          </w:p>
        </w:tc>
        <w:tc>
          <w:tcPr>
            <w:tcW w:w="964" w:type="dxa"/>
            <w:tcBorders>
              <w:top w:val="single" w:sz="6" w:space="0" w:color="1B556B"/>
              <w:left w:val="single" w:sz="6" w:space="0" w:color="1B556B"/>
              <w:bottom w:val="single" w:sz="6" w:space="0" w:color="1B556B"/>
              <w:right w:val="nil"/>
            </w:tcBorders>
            <w:shd w:val="clear" w:color="auto" w:fill="FFFFFF"/>
            <w:hideMark/>
          </w:tcPr>
          <w:p w14:paraId="21E63405"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No  </w:t>
            </w:r>
          </w:p>
        </w:tc>
      </w:tr>
      <w:tr w:rsidR="00721BFD" w:rsidRPr="0015327A" w14:paraId="508EA729" w14:textId="77777777" w:rsidTr="00730608">
        <w:trPr>
          <w:trHeight w:val="285"/>
        </w:trPr>
        <w:tc>
          <w:tcPr>
            <w:tcW w:w="1985" w:type="dxa"/>
            <w:tcBorders>
              <w:top w:val="single" w:sz="6" w:space="0" w:color="1B556B"/>
              <w:left w:val="nil"/>
              <w:bottom w:val="single" w:sz="6" w:space="0" w:color="1B556B"/>
              <w:right w:val="single" w:sz="6" w:space="0" w:color="1B556B"/>
            </w:tcBorders>
            <w:shd w:val="clear" w:color="auto" w:fill="FFFFFF"/>
            <w:hideMark/>
          </w:tcPr>
          <w:p w14:paraId="4CF8E0DD"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United Nations World Food Programme  </w:t>
            </w:r>
          </w:p>
        </w:tc>
        <w:tc>
          <w:tcPr>
            <w:tcW w:w="1417" w:type="dxa"/>
            <w:tcBorders>
              <w:top w:val="single" w:sz="6" w:space="0" w:color="1B556B"/>
              <w:left w:val="single" w:sz="6" w:space="0" w:color="1B556B"/>
              <w:bottom w:val="single" w:sz="6" w:space="0" w:color="1B556B"/>
              <w:right w:val="single" w:sz="6" w:space="0" w:color="1B556B"/>
            </w:tcBorders>
            <w:shd w:val="clear" w:color="auto" w:fill="FFFFFF"/>
            <w:hideMark/>
          </w:tcPr>
          <w:p w14:paraId="02D76A1C" w14:textId="22BACF2B"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1,272,984</w:t>
            </w:r>
            <w:r w:rsidR="00495A00">
              <w:rPr>
                <w:rFonts w:asciiTheme="minorHAnsi" w:hAnsiTheme="minorHAnsi" w:cstheme="minorHAnsi"/>
                <w:sz w:val="16"/>
                <w:szCs w:val="16"/>
              </w:rPr>
              <w:t>.44</w:t>
            </w:r>
            <w:r w:rsidRPr="0015327A">
              <w:rPr>
                <w:rFonts w:asciiTheme="minorHAnsi" w:hAnsiTheme="minorHAnsi" w:cstheme="minorHAnsi"/>
                <w:sz w:val="16"/>
                <w:szCs w:val="16"/>
              </w:rPr>
              <w:t>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1D0E7643"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1,800,000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4EDBA3C2"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Global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5B263BE4"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WFP 2018/19-2020/21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64D481AD"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Disbursed  </w:t>
            </w:r>
          </w:p>
        </w:tc>
        <w:tc>
          <w:tcPr>
            <w:tcW w:w="993" w:type="dxa"/>
            <w:tcBorders>
              <w:top w:val="single" w:sz="6" w:space="0" w:color="1B556B"/>
              <w:left w:val="single" w:sz="6" w:space="0" w:color="1B556B"/>
              <w:bottom w:val="single" w:sz="6" w:space="0" w:color="1B556B"/>
              <w:right w:val="single" w:sz="6" w:space="0" w:color="1B556B"/>
            </w:tcBorders>
            <w:shd w:val="clear" w:color="auto" w:fill="FFFFFF"/>
            <w:hideMark/>
          </w:tcPr>
          <w:p w14:paraId="477FC09C"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Multilateral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0B0CF6B1"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ODA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0B60ABDC"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Grant  </w:t>
            </w:r>
          </w:p>
        </w:tc>
        <w:tc>
          <w:tcPr>
            <w:tcW w:w="851" w:type="dxa"/>
            <w:tcBorders>
              <w:top w:val="single" w:sz="6" w:space="0" w:color="1B556B"/>
              <w:left w:val="single" w:sz="6" w:space="0" w:color="1B556B"/>
              <w:bottom w:val="single" w:sz="6" w:space="0" w:color="1B556B"/>
              <w:right w:val="single" w:sz="6" w:space="0" w:color="1B556B"/>
            </w:tcBorders>
            <w:shd w:val="clear" w:color="auto" w:fill="FFFFFF"/>
            <w:hideMark/>
          </w:tcPr>
          <w:p w14:paraId="16ADDC4F"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Cross-cutting  </w:t>
            </w:r>
          </w:p>
        </w:tc>
        <w:tc>
          <w:tcPr>
            <w:tcW w:w="1134" w:type="dxa"/>
            <w:tcBorders>
              <w:top w:val="single" w:sz="6" w:space="0" w:color="1B556B"/>
              <w:left w:val="single" w:sz="6" w:space="0" w:color="1B556B"/>
              <w:bottom w:val="single" w:sz="6" w:space="0" w:color="1B556B"/>
              <w:right w:val="single" w:sz="6" w:space="0" w:color="1B556B"/>
            </w:tcBorders>
            <w:shd w:val="clear" w:color="auto" w:fill="FFFFFF"/>
            <w:hideMark/>
          </w:tcPr>
          <w:p w14:paraId="26E97DD2" w14:textId="77777777" w:rsidR="0015327A" w:rsidRPr="00730608" w:rsidRDefault="0015327A" w:rsidP="00730608">
            <w:pPr>
              <w:spacing w:before="6" w:line="240" w:lineRule="auto"/>
              <w:jc w:val="left"/>
              <w:rPr>
                <w:rFonts w:asciiTheme="minorHAnsi" w:hAnsiTheme="minorHAnsi" w:cstheme="minorHAnsi"/>
                <w:spacing w:val="-8"/>
                <w:sz w:val="16"/>
                <w:szCs w:val="16"/>
              </w:rPr>
            </w:pPr>
            <w:r w:rsidRPr="00730608">
              <w:rPr>
                <w:rFonts w:asciiTheme="minorHAnsi" w:hAnsiTheme="minorHAnsi" w:cstheme="minorHAnsi"/>
                <w:spacing w:val="-8"/>
                <w:sz w:val="16"/>
                <w:szCs w:val="16"/>
              </w:rPr>
              <w:t>Humanitarian Aid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668CA0D4"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No  </w:t>
            </w:r>
          </w:p>
        </w:tc>
        <w:tc>
          <w:tcPr>
            <w:tcW w:w="964" w:type="dxa"/>
            <w:tcBorders>
              <w:top w:val="single" w:sz="6" w:space="0" w:color="1B556B"/>
              <w:left w:val="single" w:sz="6" w:space="0" w:color="1B556B"/>
              <w:bottom w:val="single" w:sz="6" w:space="0" w:color="1B556B"/>
              <w:right w:val="nil"/>
            </w:tcBorders>
            <w:shd w:val="clear" w:color="auto" w:fill="FFFFFF"/>
            <w:hideMark/>
          </w:tcPr>
          <w:p w14:paraId="3C02C00E"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No  </w:t>
            </w:r>
          </w:p>
        </w:tc>
      </w:tr>
      <w:tr w:rsidR="00730608" w:rsidRPr="0015327A" w14:paraId="2C5F9190" w14:textId="77777777" w:rsidTr="00730608">
        <w:trPr>
          <w:trHeight w:val="285"/>
        </w:trPr>
        <w:tc>
          <w:tcPr>
            <w:tcW w:w="1985" w:type="dxa"/>
            <w:tcBorders>
              <w:top w:val="single" w:sz="6" w:space="0" w:color="1B556B"/>
              <w:left w:val="nil"/>
              <w:bottom w:val="single" w:sz="6" w:space="0" w:color="1B556B"/>
              <w:right w:val="single" w:sz="6" w:space="0" w:color="1B556B"/>
            </w:tcBorders>
            <w:shd w:val="clear" w:color="auto" w:fill="FFFFFF"/>
          </w:tcPr>
          <w:p w14:paraId="148CA339" w14:textId="304DEA2A" w:rsidR="00E63610" w:rsidRPr="0015327A" w:rsidRDefault="00E63610"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United Nations Peacebuilding Fund</w:t>
            </w:r>
          </w:p>
        </w:tc>
        <w:tc>
          <w:tcPr>
            <w:tcW w:w="1417" w:type="dxa"/>
            <w:tcBorders>
              <w:top w:val="single" w:sz="6" w:space="0" w:color="1B556B"/>
              <w:left w:val="single" w:sz="6" w:space="0" w:color="1B556B"/>
              <w:bottom w:val="single" w:sz="6" w:space="0" w:color="1B556B"/>
              <w:right w:val="single" w:sz="6" w:space="0" w:color="1B556B"/>
            </w:tcBorders>
            <w:shd w:val="clear" w:color="auto" w:fill="FFFFFF"/>
          </w:tcPr>
          <w:p w14:paraId="725E898F" w14:textId="772BAD2C" w:rsidR="00E63610" w:rsidRPr="0015327A" w:rsidRDefault="00721BFD"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636,492</w:t>
            </w:r>
            <w:r w:rsidR="00F13C13">
              <w:rPr>
                <w:rFonts w:asciiTheme="minorHAnsi" w:hAnsiTheme="minorHAnsi" w:cstheme="minorHAnsi"/>
                <w:sz w:val="16"/>
                <w:szCs w:val="16"/>
              </w:rPr>
              <w:t>.22</w:t>
            </w:r>
          </w:p>
        </w:tc>
        <w:tc>
          <w:tcPr>
            <w:tcW w:w="1276" w:type="dxa"/>
            <w:tcBorders>
              <w:top w:val="single" w:sz="6" w:space="0" w:color="1B556B"/>
              <w:left w:val="single" w:sz="6" w:space="0" w:color="1B556B"/>
              <w:bottom w:val="single" w:sz="6" w:space="0" w:color="1B556B"/>
              <w:right w:val="single" w:sz="6" w:space="0" w:color="1B556B"/>
            </w:tcBorders>
            <w:shd w:val="clear" w:color="auto" w:fill="FFFFFF"/>
          </w:tcPr>
          <w:p w14:paraId="2FD03A92" w14:textId="7C5B7765" w:rsidR="00E63610" w:rsidRPr="0015327A" w:rsidRDefault="00721BFD"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900,000</w:t>
            </w:r>
          </w:p>
        </w:tc>
        <w:tc>
          <w:tcPr>
            <w:tcW w:w="992" w:type="dxa"/>
            <w:tcBorders>
              <w:top w:val="single" w:sz="6" w:space="0" w:color="1B556B"/>
              <w:left w:val="single" w:sz="6" w:space="0" w:color="1B556B"/>
              <w:bottom w:val="single" w:sz="6" w:space="0" w:color="1B556B"/>
              <w:right w:val="single" w:sz="6" w:space="0" w:color="1B556B"/>
            </w:tcBorders>
            <w:shd w:val="clear" w:color="auto" w:fill="FFFFFF"/>
          </w:tcPr>
          <w:p w14:paraId="6263C42F" w14:textId="1F7567B6" w:rsidR="00E63610" w:rsidRPr="0015327A" w:rsidRDefault="00721BFD"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Global</w:t>
            </w:r>
          </w:p>
        </w:tc>
        <w:tc>
          <w:tcPr>
            <w:tcW w:w="1276" w:type="dxa"/>
            <w:tcBorders>
              <w:top w:val="single" w:sz="6" w:space="0" w:color="1B556B"/>
              <w:left w:val="single" w:sz="6" w:space="0" w:color="1B556B"/>
              <w:bottom w:val="single" w:sz="6" w:space="0" w:color="1B556B"/>
              <w:right w:val="single" w:sz="6" w:space="0" w:color="1B556B"/>
            </w:tcBorders>
            <w:shd w:val="clear" w:color="auto" w:fill="FFFFFF"/>
          </w:tcPr>
          <w:p w14:paraId="286A346A" w14:textId="1F5873CE" w:rsidR="00E63610" w:rsidRPr="0015327A" w:rsidRDefault="00721BFD"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United Nations Peacebuilding Fund 2020–21</w:t>
            </w:r>
          </w:p>
        </w:tc>
        <w:tc>
          <w:tcPr>
            <w:tcW w:w="992" w:type="dxa"/>
            <w:tcBorders>
              <w:top w:val="single" w:sz="6" w:space="0" w:color="1B556B"/>
              <w:left w:val="single" w:sz="6" w:space="0" w:color="1B556B"/>
              <w:bottom w:val="single" w:sz="6" w:space="0" w:color="1B556B"/>
              <w:right w:val="single" w:sz="6" w:space="0" w:color="1B556B"/>
            </w:tcBorders>
            <w:shd w:val="clear" w:color="auto" w:fill="FFFFFF"/>
          </w:tcPr>
          <w:p w14:paraId="0D698B38" w14:textId="3F4DA187" w:rsidR="00E63610" w:rsidRPr="0015327A" w:rsidRDefault="00721BFD"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Disbursed</w:t>
            </w:r>
          </w:p>
        </w:tc>
        <w:tc>
          <w:tcPr>
            <w:tcW w:w="993" w:type="dxa"/>
            <w:tcBorders>
              <w:top w:val="single" w:sz="6" w:space="0" w:color="1B556B"/>
              <w:left w:val="single" w:sz="6" w:space="0" w:color="1B556B"/>
              <w:bottom w:val="single" w:sz="6" w:space="0" w:color="1B556B"/>
              <w:right w:val="single" w:sz="6" w:space="0" w:color="1B556B"/>
            </w:tcBorders>
            <w:shd w:val="clear" w:color="auto" w:fill="FFFFFF"/>
          </w:tcPr>
          <w:p w14:paraId="250EAC7A" w14:textId="1DEB2EBB" w:rsidR="00E63610" w:rsidRPr="0015327A" w:rsidRDefault="00721BFD"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Multilateral</w:t>
            </w:r>
          </w:p>
        </w:tc>
        <w:tc>
          <w:tcPr>
            <w:tcW w:w="850" w:type="dxa"/>
            <w:tcBorders>
              <w:top w:val="single" w:sz="6" w:space="0" w:color="1B556B"/>
              <w:left w:val="single" w:sz="6" w:space="0" w:color="1B556B"/>
              <w:bottom w:val="single" w:sz="6" w:space="0" w:color="1B556B"/>
              <w:right w:val="single" w:sz="6" w:space="0" w:color="1B556B"/>
            </w:tcBorders>
            <w:shd w:val="clear" w:color="auto" w:fill="FFFFFF"/>
          </w:tcPr>
          <w:p w14:paraId="3EFB8296" w14:textId="2D1B1E68" w:rsidR="00E63610" w:rsidRPr="0015327A" w:rsidRDefault="00721BFD"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ODA</w:t>
            </w:r>
          </w:p>
        </w:tc>
        <w:tc>
          <w:tcPr>
            <w:tcW w:w="992" w:type="dxa"/>
            <w:tcBorders>
              <w:top w:val="single" w:sz="6" w:space="0" w:color="1B556B"/>
              <w:left w:val="single" w:sz="6" w:space="0" w:color="1B556B"/>
              <w:bottom w:val="single" w:sz="6" w:space="0" w:color="1B556B"/>
              <w:right w:val="single" w:sz="6" w:space="0" w:color="1B556B"/>
            </w:tcBorders>
            <w:shd w:val="clear" w:color="auto" w:fill="FFFFFF"/>
          </w:tcPr>
          <w:p w14:paraId="51CD8C28" w14:textId="77E7E931" w:rsidR="00E63610" w:rsidRPr="0015327A" w:rsidRDefault="00721BFD"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Grant</w:t>
            </w:r>
          </w:p>
        </w:tc>
        <w:tc>
          <w:tcPr>
            <w:tcW w:w="851" w:type="dxa"/>
            <w:tcBorders>
              <w:top w:val="single" w:sz="6" w:space="0" w:color="1B556B"/>
              <w:left w:val="single" w:sz="6" w:space="0" w:color="1B556B"/>
              <w:bottom w:val="single" w:sz="6" w:space="0" w:color="1B556B"/>
              <w:right w:val="single" w:sz="6" w:space="0" w:color="1B556B"/>
            </w:tcBorders>
            <w:shd w:val="clear" w:color="auto" w:fill="FFFFFF"/>
          </w:tcPr>
          <w:p w14:paraId="5586C84D" w14:textId="0BEB5702" w:rsidR="00E63610" w:rsidRPr="0015327A" w:rsidRDefault="00721BFD"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Adaptation</w:t>
            </w:r>
          </w:p>
        </w:tc>
        <w:tc>
          <w:tcPr>
            <w:tcW w:w="1134" w:type="dxa"/>
            <w:tcBorders>
              <w:top w:val="single" w:sz="6" w:space="0" w:color="1B556B"/>
              <w:left w:val="single" w:sz="6" w:space="0" w:color="1B556B"/>
              <w:bottom w:val="single" w:sz="6" w:space="0" w:color="1B556B"/>
              <w:right w:val="single" w:sz="6" w:space="0" w:color="1B556B"/>
            </w:tcBorders>
            <w:shd w:val="clear" w:color="auto" w:fill="FFFFFF"/>
          </w:tcPr>
          <w:p w14:paraId="2EBF0FC9" w14:textId="4FE07D65" w:rsidR="00E63610" w:rsidRPr="0015327A" w:rsidRDefault="00721BFD"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Government and Civil Society</w:t>
            </w:r>
          </w:p>
        </w:tc>
        <w:tc>
          <w:tcPr>
            <w:tcW w:w="850" w:type="dxa"/>
            <w:tcBorders>
              <w:top w:val="single" w:sz="6" w:space="0" w:color="1B556B"/>
              <w:left w:val="single" w:sz="6" w:space="0" w:color="1B556B"/>
              <w:bottom w:val="single" w:sz="6" w:space="0" w:color="1B556B"/>
              <w:right w:val="single" w:sz="6" w:space="0" w:color="1B556B"/>
            </w:tcBorders>
            <w:shd w:val="clear" w:color="auto" w:fill="FFFFFF"/>
          </w:tcPr>
          <w:p w14:paraId="72CD5561" w14:textId="683C7CAC" w:rsidR="00E63610" w:rsidRPr="0015327A" w:rsidRDefault="00721BFD"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 xml:space="preserve">No </w:t>
            </w:r>
          </w:p>
        </w:tc>
        <w:tc>
          <w:tcPr>
            <w:tcW w:w="964" w:type="dxa"/>
            <w:tcBorders>
              <w:top w:val="single" w:sz="6" w:space="0" w:color="1B556B"/>
              <w:left w:val="single" w:sz="6" w:space="0" w:color="1B556B"/>
              <w:bottom w:val="single" w:sz="6" w:space="0" w:color="1B556B"/>
              <w:right w:val="nil"/>
            </w:tcBorders>
            <w:shd w:val="clear" w:color="auto" w:fill="FFFFFF"/>
          </w:tcPr>
          <w:p w14:paraId="4A514F64" w14:textId="5567135A" w:rsidR="00E63610" w:rsidRPr="0015327A" w:rsidRDefault="00721BFD"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No</w:t>
            </w:r>
          </w:p>
        </w:tc>
      </w:tr>
      <w:tr w:rsidR="0015327A" w:rsidRPr="0015327A" w14:paraId="687E7E0C" w14:textId="77777777" w:rsidTr="00730608">
        <w:trPr>
          <w:trHeight w:val="285"/>
        </w:trPr>
        <w:tc>
          <w:tcPr>
            <w:tcW w:w="14572" w:type="dxa"/>
            <w:gridSpan w:val="13"/>
            <w:tcBorders>
              <w:top w:val="single" w:sz="6" w:space="0" w:color="1B556B"/>
              <w:left w:val="nil"/>
              <w:bottom w:val="single" w:sz="6" w:space="0" w:color="1B556B"/>
              <w:right w:val="nil"/>
            </w:tcBorders>
            <w:shd w:val="clear" w:color="auto" w:fill="D2DDE1"/>
            <w:hideMark/>
          </w:tcPr>
          <w:p w14:paraId="32DD226D" w14:textId="77777777" w:rsidR="0015327A" w:rsidRPr="0015327A" w:rsidRDefault="0015327A" w:rsidP="00730608">
            <w:pPr>
              <w:spacing w:line="240" w:lineRule="auto"/>
              <w:jc w:val="left"/>
              <w:rPr>
                <w:rFonts w:asciiTheme="minorHAnsi" w:hAnsiTheme="minorHAnsi" w:cstheme="minorHAnsi"/>
                <w:sz w:val="16"/>
                <w:szCs w:val="16"/>
              </w:rPr>
            </w:pPr>
            <w:r w:rsidRPr="0015327A">
              <w:rPr>
                <w:rFonts w:asciiTheme="minorHAnsi" w:hAnsiTheme="minorHAnsi" w:cstheme="minorHAnsi"/>
                <w:b/>
                <w:bCs/>
                <w:sz w:val="16"/>
                <w:szCs w:val="16"/>
              </w:rPr>
              <w:t>Other Multilateral </w:t>
            </w:r>
            <w:r w:rsidRPr="0015327A">
              <w:rPr>
                <w:rFonts w:asciiTheme="minorHAnsi" w:hAnsiTheme="minorHAnsi" w:cstheme="minorHAnsi"/>
                <w:sz w:val="16"/>
                <w:szCs w:val="16"/>
              </w:rPr>
              <w:t> </w:t>
            </w:r>
          </w:p>
        </w:tc>
      </w:tr>
      <w:tr w:rsidR="00721BFD" w:rsidRPr="0015327A" w14:paraId="37C8B6C4" w14:textId="77777777" w:rsidTr="00730608">
        <w:trPr>
          <w:trHeight w:val="285"/>
        </w:trPr>
        <w:tc>
          <w:tcPr>
            <w:tcW w:w="1985" w:type="dxa"/>
            <w:tcBorders>
              <w:top w:val="single" w:sz="6" w:space="0" w:color="1B556B"/>
              <w:left w:val="nil"/>
              <w:bottom w:val="single" w:sz="6" w:space="0" w:color="1B556B"/>
              <w:right w:val="single" w:sz="6" w:space="0" w:color="1B556B"/>
            </w:tcBorders>
            <w:shd w:val="clear" w:color="auto" w:fill="auto"/>
            <w:hideMark/>
          </w:tcPr>
          <w:p w14:paraId="57B67304"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Alliance of Small Island States  </w:t>
            </w:r>
          </w:p>
        </w:tc>
        <w:tc>
          <w:tcPr>
            <w:tcW w:w="1417" w:type="dxa"/>
            <w:tcBorders>
              <w:top w:val="single" w:sz="6" w:space="0" w:color="1B556B"/>
              <w:left w:val="single" w:sz="6" w:space="0" w:color="1B556B"/>
              <w:bottom w:val="single" w:sz="6" w:space="0" w:color="1B556B"/>
              <w:right w:val="single" w:sz="6" w:space="0" w:color="1B556B"/>
            </w:tcBorders>
            <w:shd w:val="clear" w:color="auto" w:fill="auto"/>
            <w:hideMark/>
          </w:tcPr>
          <w:p w14:paraId="0D67466F" w14:textId="6BD6B354"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135,80</w:t>
            </w:r>
            <w:r w:rsidR="00F13C13">
              <w:rPr>
                <w:rFonts w:asciiTheme="minorHAnsi" w:hAnsiTheme="minorHAnsi" w:cstheme="minorHAnsi"/>
                <w:sz w:val="16"/>
                <w:szCs w:val="16"/>
              </w:rPr>
              <w:t>7.64</w:t>
            </w:r>
            <w:r w:rsidRPr="0015327A">
              <w:rPr>
                <w:rFonts w:asciiTheme="minorHAnsi" w:hAnsiTheme="minorHAnsi" w:cstheme="minorHAnsi"/>
                <w:sz w:val="16"/>
                <w:szCs w:val="16"/>
              </w:rPr>
              <w:t>  </w:t>
            </w:r>
          </w:p>
        </w:tc>
        <w:tc>
          <w:tcPr>
            <w:tcW w:w="1276" w:type="dxa"/>
            <w:tcBorders>
              <w:top w:val="single" w:sz="6" w:space="0" w:color="1B556B"/>
              <w:left w:val="single" w:sz="6" w:space="0" w:color="1B556B"/>
              <w:bottom w:val="single" w:sz="6" w:space="0" w:color="1B556B"/>
              <w:right w:val="single" w:sz="6" w:space="0" w:color="1B556B"/>
            </w:tcBorders>
            <w:shd w:val="clear" w:color="auto" w:fill="auto"/>
            <w:hideMark/>
          </w:tcPr>
          <w:p w14:paraId="4E05CBF7"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192,032  </w:t>
            </w:r>
          </w:p>
        </w:tc>
        <w:tc>
          <w:tcPr>
            <w:tcW w:w="992" w:type="dxa"/>
            <w:tcBorders>
              <w:top w:val="single" w:sz="6" w:space="0" w:color="1B556B"/>
              <w:left w:val="single" w:sz="6" w:space="0" w:color="1B556B"/>
              <w:bottom w:val="single" w:sz="6" w:space="0" w:color="1B556B"/>
              <w:right w:val="single" w:sz="6" w:space="0" w:color="1B556B"/>
            </w:tcBorders>
            <w:shd w:val="clear" w:color="auto" w:fill="auto"/>
            <w:hideMark/>
          </w:tcPr>
          <w:p w14:paraId="4F6EB30C"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Global  </w:t>
            </w:r>
          </w:p>
        </w:tc>
        <w:tc>
          <w:tcPr>
            <w:tcW w:w="1276" w:type="dxa"/>
            <w:tcBorders>
              <w:top w:val="single" w:sz="6" w:space="0" w:color="1B556B"/>
              <w:left w:val="single" w:sz="6" w:space="0" w:color="1B556B"/>
              <w:bottom w:val="single" w:sz="6" w:space="0" w:color="1B556B"/>
              <w:right w:val="single" w:sz="6" w:space="0" w:color="1B556B"/>
            </w:tcBorders>
            <w:shd w:val="clear" w:color="auto" w:fill="auto"/>
            <w:hideMark/>
          </w:tcPr>
          <w:p w14:paraId="64D7B7E9"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AOSIS Grant for Assistance  </w:t>
            </w:r>
          </w:p>
        </w:tc>
        <w:tc>
          <w:tcPr>
            <w:tcW w:w="992" w:type="dxa"/>
            <w:tcBorders>
              <w:top w:val="single" w:sz="6" w:space="0" w:color="1B556B"/>
              <w:left w:val="single" w:sz="6" w:space="0" w:color="1B556B"/>
              <w:bottom w:val="single" w:sz="6" w:space="0" w:color="1B556B"/>
              <w:right w:val="single" w:sz="6" w:space="0" w:color="1B556B"/>
            </w:tcBorders>
            <w:shd w:val="clear" w:color="auto" w:fill="auto"/>
            <w:hideMark/>
          </w:tcPr>
          <w:p w14:paraId="42B75CB5"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Disbursed  </w:t>
            </w:r>
          </w:p>
        </w:tc>
        <w:tc>
          <w:tcPr>
            <w:tcW w:w="993" w:type="dxa"/>
            <w:tcBorders>
              <w:top w:val="single" w:sz="6" w:space="0" w:color="1B556B"/>
              <w:left w:val="single" w:sz="6" w:space="0" w:color="1B556B"/>
              <w:bottom w:val="single" w:sz="6" w:space="0" w:color="1B556B"/>
              <w:right w:val="single" w:sz="6" w:space="0" w:color="1B556B"/>
            </w:tcBorders>
            <w:shd w:val="clear" w:color="auto" w:fill="auto"/>
            <w:hideMark/>
          </w:tcPr>
          <w:p w14:paraId="0F6C5749"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Multilateral  </w:t>
            </w:r>
          </w:p>
        </w:tc>
        <w:tc>
          <w:tcPr>
            <w:tcW w:w="850" w:type="dxa"/>
            <w:tcBorders>
              <w:top w:val="single" w:sz="6" w:space="0" w:color="1B556B"/>
              <w:left w:val="single" w:sz="6" w:space="0" w:color="1B556B"/>
              <w:bottom w:val="single" w:sz="6" w:space="0" w:color="1B556B"/>
              <w:right w:val="single" w:sz="6" w:space="0" w:color="1B556B"/>
            </w:tcBorders>
            <w:shd w:val="clear" w:color="auto" w:fill="auto"/>
            <w:hideMark/>
          </w:tcPr>
          <w:p w14:paraId="4A5D4297"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ODA  </w:t>
            </w:r>
          </w:p>
        </w:tc>
        <w:tc>
          <w:tcPr>
            <w:tcW w:w="992" w:type="dxa"/>
            <w:tcBorders>
              <w:top w:val="single" w:sz="6" w:space="0" w:color="1B556B"/>
              <w:left w:val="single" w:sz="6" w:space="0" w:color="1B556B"/>
              <w:bottom w:val="single" w:sz="6" w:space="0" w:color="1B556B"/>
              <w:right w:val="single" w:sz="6" w:space="0" w:color="1B556B"/>
            </w:tcBorders>
            <w:shd w:val="clear" w:color="auto" w:fill="auto"/>
            <w:hideMark/>
          </w:tcPr>
          <w:p w14:paraId="76D08819"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Grant  </w:t>
            </w:r>
          </w:p>
        </w:tc>
        <w:tc>
          <w:tcPr>
            <w:tcW w:w="851" w:type="dxa"/>
            <w:tcBorders>
              <w:top w:val="single" w:sz="6" w:space="0" w:color="1B556B"/>
              <w:left w:val="single" w:sz="6" w:space="0" w:color="1B556B"/>
              <w:bottom w:val="single" w:sz="6" w:space="0" w:color="1B556B"/>
              <w:right w:val="single" w:sz="6" w:space="0" w:color="1B556B"/>
            </w:tcBorders>
            <w:shd w:val="clear" w:color="auto" w:fill="auto"/>
            <w:hideMark/>
          </w:tcPr>
          <w:p w14:paraId="390220D7"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Cross-cutting  </w:t>
            </w:r>
          </w:p>
        </w:tc>
        <w:tc>
          <w:tcPr>
            <w:tcW w:w="1134" w:type="dxa"/>
            <w:tcBorders>
              <w:top w:val="single" w:sz="6" w:space="0" w:color="1B556B"/>
              <w:left w:val="single" w:sz="6" w:space="0" w:color="1B556B"/>
              <w:bottom w:val="single" w:sz="6" w:space="0" w:color="1B556B"/>
              <w:right w:val="single" w:sz="6" w:space="0" w:color="1B556B"/>
            </w:tcBorders>
            <w:shd w:val="clear" w:color="auto" w:fill="auto"/>
            <w:hideMark/>
          </w:tcPr>
          <w:p w14:paraId="21B2B864" w14:textId="0BDD2F88"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Multisector/ Cross-cutting  </w:t>
            </w:r>
          </w:p>
        </w:tc>
        <w:tc>
          <w:tcPr>
            <w:tcW w:w="850" w:type="dxa"/>
            <w:tcBorders>
              <w:top w:val="single" w:sz="6" w:space="0" w:color="1B556B"/>
              <w:left w:val="single" w:sz="6" w:space="0" w:color="1B556B"/>
              <w:bottom w:val="single" w:sz="6" w:space="0" w:color="1B556B"/>
              <w:right w:val="single" w:sz="6" w:space="0" w:color="1B556B"/>
            </w:tcBorders>
            <w:shd w:val="clear" w:color="auto" w:fill="auto"/>
            <w:hideMark/>
          </w:tcPr>
          <w:p w14:paraId="60589776"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Yes  </w:t>
            </w:r>
          </w:p>
        </w:tc>
        <w:tc>
          <w:tcPr>
            <w:tcW w:w="964" w:type="dxa"/>
            <w:tcBorders>
              <w:top w:val="single" w:sz="6" w:space="0" w:color="1B556B"/>
              <w:left w:val="single" w:sz="6" w:space="0" w:color="1B556B"/>
              <w:bottom w:val="single" w:sz="6" w:space="0" w:color="1B556B"/>
              <w:right w:val="nil"/>
            </w:tcBorders>
            <w:shd w:val="clear" w:color="auto" w:fill="auto"/>
            <w:hideMark/>
          </w:tcPr>
          <w:p w14:paraId="41B7807B"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No  </w:t>
            </w:r>
          </w:p>
        </w:tc>
      </w:tr>
      <w:tr w:rsidR="00721BFD" w:rsidRPr="0015327A" w14:paraId="455A4CE8" w14:textId="77777777" w:rsidTr="00730608">
        <w:trPr>
          <w:trHeight w:val="285"/>
        </w:trPr>
        <w:tc>
          <w:tcPr>
            <w:tcW w:w="1985" w:type="dxa"/>
            <w:tcBorders>
              <w:top w:val="single" w:sz="6" w:space="0" w:color="1B556B"/>
              <w:left w:val="nil"/>
              <w:bottom w:val="single" w:sz="6" w:space="0" w:color="1B556B"/>
              <w:right w:val="single" w:sz="6" w:space="0" w:color="1B556B"/>
            </w:tcBorders>
            <w:shd w:val="clear" w:color="auto" w:fill="auto"/>
            <w:hideMark/>
          </w:tcPr>
          <w:p w14:paraId="2A184D01"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Commonwealth Fund for Technical Cooperation  </w:t>
            </w:r>
          </w:p>
        </w:tc>
        <w:tc>
          <w:tcPr>
            <w:tcW w:w="1417" w:type="dxa"/>
            <w:tcBorders>
              <w:top w:val="single" w:sz="6" w:space="0" w:color="1B556B"/>
              <w:left w:val="single" w:sz="6" w:space="0" w:color="1B556B"/>
              <w:bottom w:val="single" w:sz="6" w:space="0" w:color="1B556B"/>
              <w:right w:val="single" w:sz="6" w:space="0" w:color="1B556B"/>
            </w:tcBorders>
            <w:shd w:val="clear" w:color="auto" w:fill="auto"/>
            <w:hideMark/>
          </w:tcPr>
          <w:p w14:paraId="014EE400" w14:textId="7440FB6C"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636,492</w:t>
            </w:r>
            <w:r w:rsidR="00F13C13">
              <w:rPr>
                <w:rFonts w:asciiTheme="minorHAnsi" w:hAnsiTheme="minorHAnsi" w:cstheme="minorHAnsi"/>
                <w:sz w:val="16"/>
                <w:szCs w:val="16"/>
              </w:rPr>
              <w:t>.22</w:t>
            </w:r>
            <w:r w:rsidRPr="0015327A">
              <w:rPr>
                <w:rFonts w:asciiTheme="minorHAnsi" w:hAnsiTheme="minorHAnsi" w:cstheme="minorHAnsi"/>
                <w:sz w:val="16"/>
                <w:szCs w:val="16"/>
              </w:rPr>
              <w:t>  </w:t>
            </w:r>
          </w:p>
        </w:tc>
        <w:tc>
          <w:tcPr>
            <w:tcW w:w="1276" w:type="dxa"/>
            <w:tcBorders>
              <w:top w:val="single" w:sz="6" w:space="0" w:color="1B556B"/>
              <w:left w:val="single" w:sz="6" w:space="0" w:color="1B556B"/>
              <w:bottom w:val="single" w:sz="6" w:space="0" w:color="1B556B"/>
              <w:right w:val="single" w:sz="6" w:space="0" w:color="1B556B"/>
            </w:tcBorders>
            <w:shd w:val="clear" w:color="auto" w:fill="auto"/>
            <w:hideMark/>
          </w:tcPr>
          <w:p w14:paraId="4A8D9629"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900,000  </w:t>
            </w:r>
          </w:p>
        </w:tc>
        <w:tc>
          <w:tcPr>
            <w:tcW w:w="992" w:type="dxa"/>
            <w:tcBorders>
              <w:top w:val="single" w:sz="6" w:space="0" w:color="1B556B"/>
              <w:left w:val="single" w:sz="6" w:space="0" w:color="1B556B"/>
              <w:bottom w:val="single" w:sz="6" w:space="0" w:color="1B556B"/>
              <w:right w:val="single" w:sz="6" w:space="0" w:color="1B556B"/>
            </w:tcBorders>
            <w:shd w:val="clear" w:color="auto" w:fill="auto"/>
            <w:hideMark/>
          </w:tcPr>
          <w:p w14:paraId="34C68BA5"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Global  </w:t>
            </w:r>
          </w:p>
        </w:tc>
        <w:tc>
          <w:tcPr>
            <w:tcW w:w="1276" w:type="dxa"/>
            <w:tcBorders>
              <w:top w:val="single" w:sz="6" w:space="0" w:color="1B556B"/>
              <w:left w:val="single" w:sz="6" w:space="0" w:color="1B556B"/>
              <w:bottom w:val="single" w:sz="6" w:space="0" w:color="1B556B"/>
              <w:right w:val="single" w:sz="6" w:space="0" w:color="1B556B"/>
            </w:tcBorders>
            <w:shd w:val="clear" w:color="auto" w:fill="auto"/>
            <w:hideMark/>
          </w:tcPr>
          <w:p w14:paraId="3FE81BB2"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Commonwealth Fund for Technical Cooperation 19-21  </w:t>
            </w:r>
          </w:p>
        </w:tc>
        <w:tc>
          <w:tcPr>
            <w:tcW w:w="992" w:type="dxa"/>
            <w:tcBorders>
              <w:top w:val="single" w:sz="6" w:space="0" w:color="1B556B"/>
              <w:left w:val="single" w:sz="6" w:space="0" w:color="1B556B"/>
              <w:bottom w:val="single" w:sz="6" w:space="0" w:color="1B556B"/>
              <w:right w:val="single" w:sz="6" w:space="0" w:color="1B556B"/>
            </w:tcBorders>
            <w:shd w:val="clear" w:color="auto" w:fill="auto"/>
            <w:hideMark/>
          </w:tcPr>
          <w:p w14:paraId="467B64F0"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Disbursed  </w:t>
            </w:r>
          </w:p>
        </w:tc>
        <w:tc>
          <w:tcPr>
            <w:tcW w:w="993" w:type="dxa"/>
            <w:tcBorders>
              <w:top w:val="single" w:sz="6" w:space="0" w:color="1B556B"/>
              <w:left w:val="single" w:sz="6" w:space="0" w:color="1B556B"/>
              <w:bottom w:val="single" w:sz="6" w:space="0" w:color="1B556B"/>
              <w:right w:val="single" w:sz="6" w:space="0" w:color="1B556B"/>
            </w:tcBorders>
            <w:shd w:val="clear" w:color="auto" w:fill="auto"/>
            <w:hideMark/>
          </w:tcPr>
          <w:p w14:paraId="06DC2CE6"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Multilateral  </w:t>
            </w:r>
          </w:p>
        </w:tc>
        <w:tc>
          <w:tcPr>
            <w:tcW w:w="850" w:type="dxa"/>
            <w:tcBorders>
              <w:top w:val="single" w:sz="6" w:space="0" w:color="1B556B"/>
              <w:left w:val="single" w:sz="6" w:space="0" w:color="1B556B"/>
              <w:bottom w:val="single" w:sz="6" w:space="0" w:color="1B556B"/>
              <w:right w:val="single" w:sz="6" w:space="0" w:color="1B556B"/>
            </w:tcBorders>
            <w:shd w:val="clear" w:color="auto" w:fill="auto"/>
            <w:hideMark/>
          </w:tcPr>
          <w:p w14:paraId="47B321A3"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ODA  </w:t>
            </w:r>
          </w:p>
        </w:tc>
        <w:tc>
          <w:tcPr>
            <w:tcW w:w="992" w:type="dxa"/>
            <w:tcBorders>
              <w:top w:val="single" w:sz="6" w:space="0" w:color="1B556B"/>
              <w:left w:val="single" w:sz="6" w:space="0" w:color="1B556B"/>
              <w:bottom w:val="single" w:sz="6" w:space="0" w:color="1B556B"/>
              <w:right w:val="single" w:sz="6" w:space="0" w:color="1B556B"/>
            </w:tcBorders>
            <w:shd w:val="clear" w:color="auto" w:fill="auto"/>
            <w:hideMark/>
          </w:tcPr>
          <w:p w14:paraId="3E1E38E4"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Grant  </w:t>
            </w:r>
          </w:p>
        </w:tc>
        <w:tc>
          <w:tcPr>
            <w:tcW w:w="851" w:type="dxa"/>
            <w:tcBorders>
              <w:top w:val="single" w:sz="6" w:space="0" w:color="1B556B"/>
              <w:left w:val="single" w:sz="6" w:space="0" w:color="1B556B"/>
              <w:bottom w:val="single" w:sz="6" w:space="0" w:color="1B556B"/>
              <w:right w:val="single" w:sz="6" w:space="0" w:color="1B556B"/>
            </w:tcBorders>
            <w:shd w:val="clear" w:color="auto" w:fill="auto"/>
            <w:hideMark/>
          </w:tcPr>
          <w:p w14:paraId="28795207"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Cross-cutting  </w:t>
            </w:r>
          </w:p>
        </w:tc>
        <w:tc>
          <w:tcPr>
            <w:tcW w:w="1134" w:type="dxa"/>
            <w:tcBorders>
              <w:top w:val="single" w:sz="6" w:space="0" w:color="1B556B"/>
              <w:left w:val="single" w:sz="6" w:space="0" w:color="1B556B"/>
              <w:bottom w:val="single" w:sz="6" w:space="0" w:color="1B556B"/>
              <w:right w:val="single" w:sz="6" w:space="0" w:color="1B556B"/>
            </w:tcBorders>
            <w:shd w:val="clear" w:color="auto" w:fill="auto"/>
            <w:hideMark/>
          </w:tcPr>
          <w:p w14:paraId="514CB028" w14:textId="3F753632"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Multisector/ Cross-cutting  </w:t>
            </w:r>
          </w:p>
        </w:tc>
        <w:tc>
          <w:tcPr>
            <w:tcW w:w="850" w:type="dxa"/>
            <w:tcBorders>
              <w:top w:val="single" w:sz="6" w:space="0" w:color="1B556B"/>
              <w:left w:val="single" w:sz="6" w:space="0" w:color="1B556B"/>
              <w:bottom w:val="single" w:sz="6" w:space="0" w:color="1B556B"/>
              <w:right w:val="single" w:sz="6" w:space="0" w:color="1B556B"/>
            </w:tcBorders>
            <w:shd w:val="clear" w:color="auto" w:fill="auto"/>
            <w:hideMark/>
          </w:tcPr>
          <w:p w14:paraId="060ED1AA"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Yes  </w:t>
            </w:r>
          </w:p>
        </w:tc>
        <w:tc>
          <w:tcPr>
            <w:tcW w:w="964" w:type="dxa"/>
            <w:tcBorders>
              <w:top w:val="single" w:sz="6" w:space="0" w:color="1B556B"/>
              <w:left w:val="single" w:sz="6" w:space="0" w:color="1B556B"/>
              <w:bottom w:val="single" w:sz="6" w:space="0" w:color="1B556B"/>
              <w:right w:val="nil"/>
            </w:tcBorders>
            <w:shd w:val="clear" w:color="auto" w:fill="auto"/>
            <w:hideMark/>
          </w:tcPr>
          <w:p w14:paraId="018E2627"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sz w:val="16"/>
                <w:szCs w:val="16"/>
              </w:rPr>
              <w:t>No  </w:t>
            </w:r>
          </w:p>
        </w:tc>
      </w:tr>
      <w:tr w:rsidR="00803D36" w:rsidRPr="0015327A" w14:paraId="68B62EF3" w14:textId="77777777" w:rsidTr="002E5648">
        <w:trPr>
          <w:trHeight w:val="285"/>
        </w:trPr>
        <w:tc>
          <w:tcPr>
            <w:tcW w:w="1985" w:type="dxa"/>
            <w:tcBorders>
              <w:top w:val="single" w:sz="6" w:space="0" w:color="1B556B"/>
              <w:left w:val="nil"/>
              <w:bottom w:val="single" w:sz="6" w:space="0" w:color="1B556B"/>
              <w:right w:val="single" w:sz="6" w:space="0" w:color="1B556B"/>
            </w:tcBorders>
            <w:shd w:val="clear" w:color="auto" w:fill="auto"/>
          </w:tcPr>
          <w:p w14:paraId="31DE6705" w14:textId="685950D5" w:rsidR="00803D36" w:rsidRPr="0015327A" w:rsidRDefault="00803D36"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ChildFund New Zealand</w:t>
            </w:r>
          </w:p>
        </w:tc>
        <w:tc>
          <w:tcPr>
            <w:tcW w:w="1417" w:type="dxa"/>
            <w:tcBorders>
              <w:top w:val="single" w:sz="6" w:space="0" w:color="1B556B"/>
              <w:left w:val="single" w:sz="6" w:space="0" w:color="1B556B"/>
              <w:bottom w:val="single" w:sz="6" w:space="0" w:color="1B556B"/>
              <w:right w:val="single" w:sz="6" w:space="0" w:color="1B556B"/>
            </w:tcBorders>
            <w:shd w:val="clear" w:color="auto" w:fill="auto"/>
          </w:tcPr>
          <w:p w14:paraId="3C22FAEA" w14:textId="26AA9002" w:rsidR="00803D36" w:rsidRPr="0015327A" w:rsidRDefault="00803D36"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357,62</w:t>
            </w:r>
            <w:r w:rsidR="00F13C13">
              <w:rPr>
                <w:rFonts w:asciiTheme="minorHAnsi" w:hAnsiTheme="minorHAnsi" w:cstheme="minorHAnsi"/>
                <w:sz w:val="16"/>
                <w:szCs w:val="16"/>
              </w:rPr>
              <w:t>3.76</w:t>
            </w:r>
          </w:p>
        </w:tc>
        <w:tc>
          <w:tcPr>
            <w:tcW w:w="1276" w:type="dxa"/>
            <w:tcBorders>
              <w:top w:val="single" w:sz="6" w:space="0" w:color="1B556B"/>
              <w:left w:val="single" w:sz="6" w:space="0" w:color="1B556B"/>
              <w:bottom w:val="single" w:sz="6" w:space="0" w:color="1B556B"/>
              <w:right w:val="single" w:sz="6" w:space="0" w:color="1B556B"/>
            </w:tcBorders>
            <w:shd w:val="clear" w:color="auto" w:fill="auto"/>
          </w:tcPr>
          <w:p w14:paraId="2500C384" w14:textId="2F5B895D" w:rsidR="00803D36" w:rsidRPr="0015327A" w:rsidRDefault="00803D36"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505,680</w:t>
            </w:r>
          </w:p>
        </w:tc>
        <w:tc>
          <w:tcPr>
            <w:tcW w:w="992" w:type="dxa"/>
            <w:tcBorders>
              <w:top w:val="single" w:sz="6" w:space="0" w:color="1B556B"/>
              <w:left w:val="single" w:sz="6" w:space="0" w:color="1B556B"/>
              <w:bottom w:val="single" w:sz="6" w:space="0" w:color="1B556B"/>
              <w:right w:val="single" w:sz="6" w:space="0" w:color="1B556B"/>
            </w:tcBorders>
            <w:shd w:val="clear" w:color="auto" w:fill="auto"/>
          </w:tcPr>
          <w:p w14:paraId="295976FF" w14:textId="3E9F601A" w:rsidR="00803D36" w:rsidRPr="0015327A" w:rsidRDefault="00803D36"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Global</w:t>
            </w:r>
          </w:p>
        </w:tc>
        <w:tc>
          <w:tcPr>
            <w:tcW w:w="1276" w:type="dxa"/>
            <w:tcBorders>
              <w:top w:val="single" w:sz="6" w:space="0" w:color="1B556B"/>
              <w:left w:val="single" w:sz="6" w:space="0" w:color="1B556B"/>
              <w:bottom w:val="single" w:sz="6" w:space="0" w:color="1B556B"/>
              <w:right w:val="single" w:sz="6" w:space="0" w:color="1B556B"/>
            </w:tcBorders>
            <w:shd w:val="clear" w:color="auto" w:fill="auto"/>
          </w:tcPr>
          <w:p w14:paraId="6836D885" w14:textId="206EF8EA" w:rsidR="00803D36" w:rsidRPr="0015327A" w:rsidRDefault="00803D36"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ChildFund New Zealand Implementation</w:t>
            </w:r>
          </w:p>
        </w:tc>
        <w:tc>
          <w:tcPr>
            <w:tcW w:w="992" w:type="dxa"/>
            <w:tcBorders>
              <w:top w:val="single" w:sz="6" w:space="0" w:color="1B556B"/>
              <w:left w:val="single" w:sz="6" w:space="0" w:color="1B556B"/>
              <w:bottom w:val="single" w:sz="6" w:space="0" w:color="1B556B"/>
              <w:right w:val="single" w:sz="6" w:space="0" w:color="1B556B"/>
            </w:tcBorders>
            <w:shd w:val="clear" w:color="auto" w:fill="auto"/>
          </w:tcPr>
          <w:p w14:paraId="1B1D55E3" w14:textId="525C8F04" w:rsidR="00803D36" w:rsidRPr="0015327A" w:rsidRDefault="00803D36"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Disbursed</w:t>
            </w:r>
          </w:p>
        </w:tc>
        <w:tc>
          <w:tcPr>
            <w:tcW w:w="993" w:type="dxa"/>
            <w:tcBorders>
              <w:top w:val="single" w:sz="6" w:space="0" w:color="1B556B"/>
              <w:left w:val="single" w:sz="6" w:space="0" w:color="1B556B"/>
              <w:bottom w:val="single" w:sz="6" w:space="0" w:color="1B556B"/>
              <w:right w:val="single" w:sz="6" w:space="0" w:color="1B556B"/>
            </w:tcBorders>
            <w:shd w:val="clear" w:color="auto" w:fill="auto"/>
          </w:tcPr>
          <w:p w14:paraId="4F74AAB3" w14:textId="469CE0A5" w:rsidR="00803D36" w:rsidRPr="0015327A" w:rsidRDefault="00803D36"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Multilateral</w:t>
            </w:r>
          </w:p>
        </w:tc>
        <w:tc>
          <w:tcPr>
            <w:tcW w:w="850" w:type="dxa"/>
            <w:tcBorders>
              <w:top w:val="single" w:sz="6" w:space="0" w:color="1B556B"/>
              <w:left w:val="single" w:sz="6" w:space="0" w:color="1B556B"/>
              <w:bottom w:val="single" w:sz="6" w:space="0" w:color="1B556B"/>
              <w:right w:val="single" w:sz="6" w:space="0" w:color="1B556B"/>
            </w:tcBorders>
            <w:shd w:val="clear" w:color="auto" w:fill="auto"/>
          </w:tcPr>
          <w:p w14:paraId="49C56892" w14:textId="5E787E54" w:rsidR="00803D36" w:rsidRPr="0015327A" w:rsidRDefault="00803D36"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ODA</w:t>
            </w:r>
          </w:p>
        </w:tc>
        <w:tc>
          <w:tcPr>
            <w:tcW w:w="992" w:type="dxa"/>
            <w:tcBorders>
              <w:top w:val="single" w:sz="6" w:space="0" w:color="1B556B"/>
              <w:left w:val="single" w:sz="6" w:space="0" w:color="1B556B"/>
              <w:bottom w:val="single" w:sz="6" w:space="0" w:color="1B556B"/>
              <w:right w:val="single" w:sz="6" w:space="0" w:color="1B556B"/>
            </w:tcBorders>
            <w:shd w:val="clear" w:color="auto" w:fill="auto"/>
          </w:tcPr>
          <w:p w14:paraId="3549972F" w14:textId="579DE334" w:rsidR="00803D36" w:rsidRPr="0015327A" w:rsidRDefault="00803D36"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Grant</w:t>
            </w:r>
          </w:p>
        </w:tc>
        <w:tc>
          <w:tcPr>
            <w:tcW w:w="851" w:type="dxa"/>
            <w:tcBorders>
              <w:top w:val="single" w:sz="6" w:space="0" w:color="1B556B"/>
              <w:left w:val="single" w:sz="6" w:space="0" w:color="1B556B"/>
              <w:bottom w:val="single" w:sz="6" w:space="0" w:color="1B556B"/>
              <w:right w:val="single" w:sz="6" w:space="0" w:color="1B556B"/>
            </w:tcBorders>
            <w:shd w:val="clear" w:color="auto" w:fill="auto"/>
          </w:tcPr>
          <w:p w14:paraId="6339C05C" w14:textId="3A4D03E5" w:rsidR="00803D36" w:rsidRPr="0015327A" w:rsidRDefault="00803D36"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Adaptation</w:t>
            </w:r>
          </w:p>
        </w:tc>
        <w:tc>
          <w:tcPr>
            <w:tcW w:w="1134" w:type="dxa"/>
            <w:tcBorders>
              <w:top w:val="single" w:sz="6" w:space="0" w:color="1B556B"/>
              <w:left w:val="single" w:sz="6" w:space="0" w:color="1B556B"/>
              <w:bottom w:val="single" w:sz="6" w:space="0" w:color="1B556B"/>
              <w:right w:val="single" w:sz="6" w:space="0" w:color="1B556B"/>
            </w:tcBorders>
            <w:shd w:val="clear" w:color="auto" w:fill="auto"/>
          </w:tcPr>
          <w:p w14:paraId="399584E8" w14:textId="028373AD" w:rsidR="00803D36" w:rsidRPr="0015327A" w:rsidRDefault="00CE2E98"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Multisector/</w:t>
            </w:r>
            <w:r>
              <w:rPr>
                <w:rFonts w:asciiTheme="minorHAnsi" w:hAnsiTheme="minorHAnsi" w:cstheme="minorHAnsi"/>
                <w:sz w:val="16"/>
                <w:szCs w:val="16"/>
              </w:rPr>
              <w:br/>
              <w:t>Cross-cutting</w:t>
            </w:r>
          </w:p>
        </w:tc>
        <w:tc>
          <w:tcPr>
            <w:tcW w:w="850" w:type="dxa"/>
            <w:tcBorders>
              <w:top w:val="single" w:sz="6" w:space="0" w:color="1B556B"/>
              <w:left w:val="single" w:sz="6" w:space="0" w:color="1B556B"/>
              <w:bottom w:val="single" w:sz="6" w:space="0" w:color="1B556B"/>
              <w:right w:val="single" w:sz="6" w:space="0" w:color="1B556B"/>
            </w:tcBorders>
            <w:shd w:val="clear" w:color="auto" w:fill="auto"/>
          </w:tcPr>
          <w:p w14:paraId="381878F2" w14:textId="72498EE4" w:rsidR="00803D36" w:rsidRPr="0015327A" w:rsidRDefault="00CE2E98"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No</w:t>
            </w:r>
          </w:p>
        </w:tc>
        <w:tc>
          <w:tcPr>
            <w:tcW w:w="964" w:type="dxa"/>
            <w:tcBorders>
              <w:top w:val="single" w:sz="6" w:space="0" w:color="1B556B"/>
              <w:left w:val="single" w:sz="6" w:space="0" w:color="1B556B"/>
              <w:bottom w:val="single" w:sz="6" w:space="0" w:color="1B556B"/>
              <w:right w:val="nil"/>
            </w:tcBorders>
            <w:shd w:val="clear" w:color="auto" w:fill="auto"/>
          </w:tcPr>
          <w:p w14:paraId="1DE4AC64" w14:textId="7EB0CA0B" w:rsidR="00803D36" w:rsidRPr="0015327A" w:rsidRDefault="00CE2E98" w:rsidP="00730608">
            <w:pPr>
              <w:spacing w:before="6" w:line="240" w:lineRule="auto"/>
              <w:jc w:val="left"/>
              <w:rPr>
                <w:rFonts w:asciiTheme="minorHAnsi" w:hAnsiTheme="minorHAnsi" w:cstheme="minorHAnsi"/>
                <w:sz w:val="16"/>
                <w:szCs w:val="16"/>
              </w:rPr>
            </w:pPr>
            <w:r>
              <w:rPr>
                <w:rFonts w:asciiTheme="minorHAnsi" w:hAnsiTheme="minorHAnsi" w:cstheme="minorHAnsi"/>
                <w:sz w:val="16"/>
                <w:szCs w:val="16"/>
              </w:rPr>
              <w:t>No</w:t>
            </w:r>
          </w:p>
        </w:tc>
      </w:tr>
      <w:tr w:rsidR="00721BFD" w:rsidRPr="0015327A" w14:paraId="774FD27C" w14:textId="77777777" w:rsidTr="00560C71">
        <w:trPr>
          <w:trHeight w:val="285"/>
        </w:trPr>
        <w:tc>
          <w:tcPr>
            <w:tcW w:w="1985" w:type="dxa"/>
            <w:tcBorders>
              <w:top w:val="single" w:sz="6" w:space="0" w:color="1B556B"/>
              <w:left w:val="nil"/>
              <w:bottom w:val="single" w:sz="6" w:space="0" w:color="1B556B"/>
              <w:right w:val="single" w:sz="6" w:space="0" w:color="1B556B"/>
            </w:tcBorders>
            <w:shd w:val="clear" w:color="auto" w:fill="FFFFFF"/>
            <w:hideMark/>
          </w:tcPr>
          <w:p w14:paraId="7912B561"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b/>
                <w:bCs/>
                <w:sz w:val="16"/>
                <w:szCs w:val="16"/>
              </w:rPr>
              <w:t>Totals </w:t>
            </w:r>
            <w:r w:rsidRPr="0015327A">
              <w:rPr>
                <w:rFonts w:asciiTheme="minorHAnsi" w:hAnsiTheme="minorHAnsi" w:cstheme="minorHAnsi"/>
                <w:sz w:val="16"/>
                <w:szCs w:val="16"/>
              </w:rPr>
              <w:t> </w:t>
            </w:r>
          </w:p>
        </w:tc>
        <w:tc>
          <w:tcPr>
            <w:tcW w:w="1417" w:type="dxa"/>
            <w:tcBorders>
              <w:top w:val="single" w:sz="6" w:space="0" w:color="1B556B"/>
              <w:left w:val="single" w:sz="6" w:space="0" w:color="1B556B"/>
              <w:bottom w:val="single" w:sz="6" w:space="0" w:color="1B556B"/>
              <w:right w:val="single" w:sz="6" w:space="0" w:color="1B556B"/>
            </w:tcBorders>
            <w:shd w:val="clear" w:color="auto" w:fill="FFFFFF"/>
            <w:hideMark/>
          </w:tcPr>
          <w:p w14:paraId="5DC54C3D" w14:textId="633C0F8C" w:rsidR="0015327A" w:rsidRPr="00116231" w:rsidRDefault="0015327A" w:rsidP="00730608">
            <w:pPr>
              <w:spacing w:before="6" w:line="240" w:lineRule="auto"/>
              <w:jc w:val="left"/>
              <w:rPr>
                <w:rFonts w:asciiTheme="minorHAnsi" w:hAnsiTheme="minorHAnsi" w:cstheme="minorHAnsi"/>
                <w:sz w:val="16"/>
                <w:szCs w:val="16"/>
              </w:rPr>
            </w:pPr>
            <w:r w:rsidRPr="00116231">
              <w:rPr>
                <w:rFonts w:asciiTheme="minorHAnsi" w:hAnsiTheme="minorHAnsi" w:cstheme="minorHAnsi"/>
                <w:b/>
                <w:bCs/>
                <w:sz w:val="16"/>
                <w:szCs w:val="16"/>
              </w:rPr>
              <w:t>8,</w:t>
            </w:r>
            <w:r w:rsidR="00E06CC2">
              <w:rPr>
                <w:rFonts w:asciiTheme="minorHAnsi" w:hAnsiTheme="minorHAnsi" w:cstheme="minorHAnsi"/>
                <w:b/>
                <w:bCs/>
                <w:sz w:val="16"/>
                <w:szCs w:val="16"/>
              </w:rPr>
              <w:t>192</w:t>
            </w:r>
            <w:r w:rsidRPr="00116231">
              <w:rPr>
                <w:rFonts w:asciiTheme="minorHAnsi" w:hAnsiTheme="minorHAnsi" w:cstheme="minorHAnsi"/>
                <w:b/>
                <w:bCs/>
                <w:sz w:val="16"/>
                <w:szCs w:val="16"/>
              </w:rPr>
              <w:t>,</w:t>
            </w:r>
            <w:r w:rsidR="00E06CC2">
              <w:rPr>
                <w:rFonts w:asciiTheme="minorHAnsi" w:hAnsiTheme="minorHAnsi" w:cstheme="minorHAnsi"/>
                <w:b/>
                <w:bCs/>
                <w:sz w:val="16"/>
                <w:szCs w:val="16"/>
              </w:rPr>
              <w:t>249</w:t>
            </w:r>
            <w:r w:rsidRPr="00116231">
              <w:rPr>
                <w:rFonts w:asciiTheme="minorHAnsi" w:hAnsiTheme="minorHAnsi" w:cstheme="minorHAnsi"/>
                <w:b/>
                <w:bCs/>
                <w:sz w:val="16"/>
                <w:szCs w:val="16"/>
              </w:rPr>
              <w:t> </w:t>
            </w:r>
            <w:r w:rsidRPr="00116231">
              <w:rPr>
                <w:rFonts w:asciiTheme="minorHAnsi" w:hAnsiTheme="minorHAnsi" w:cstheme="minorHAnsi"/>
                <w:sz w:val="16"/>
                <w:szCs w:val="16"/>
              </w:rPr>
              <w:t>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750A9FB1" w14:textId="69D2CE18" w:rsidR="0015327A" w:rsidRPr="00116231" w:rsidRDefault="0015327A" w:rsidP="00730608">
            <w:pPr>
              <w:spacing w:before="6" w:line="240" w:lineRule="auto"/>
              <w:jc w:val="left"/>
              <w:rPr>
                <w:rFonts w:asciiTheme="minorHAnsi" w:hAnsiTheme="minorHAnsi" w:cstheme="minorHAnsi"/>
                <w:sz w:val="16"/>
                <w:szCs w:val="16"/>
              </w:rPr>
            </w:pPr>
            <w:r w:rsidRPr="00116231">
              <w:rPr>
                <w:rFonts w:asciiTheme="minorHAnsi" w:hAnsiTheme="minorHAnsi" w:cstheme="minorHAnsi"/>
                <w:b/>
                <w:bCs/>
                <w:sz w:val="16"/>
                <w:szCs w:val="16"/>
              </w:rPr>
              <w:t>11,688,840</w:t>
            </w:r>
            <w:r w:rsidRPr="00116231">
              <w:rPr>
                <w:rFonts w:asciiTheme="minorHAnsi" w:hAnsiTheme="minorHAnsi" w:cstheme="minorHAnsi"/>
                <w:sz w:val="16"/>
                <w:szCs w:val="16"/>
              </w:rPr>
              <w:t>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339D39D8"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b/>
                <w:bCs/>
                <w:sz w:val="16"/>
                <w:szCs w:val="16"/>
              </w:rPr>
              <w:t>  </w:t>
            </w:r>
            <w:r w:rsidRPr="0015327A">
              <w:rPr>
                <w:rFonts w:asciiTheme="minorHAnsi" w:hAnsiTheme="minorHAnsi" w:cstheme="minorHAnsi"/>
                <w:sz w:val="16"/>
                <w:szCs w:val="16"/>
              </w:rPr>
              <w:t> </w:t>
            </w:r>
          </w:p>
        </w:tc>
        <w:tc>
          <w:tcPr>
            <w:tcW w:w="1276" w:type="dxa"/>
            <w:tcBorders>
              <w:top w:val="single" w:sz="6" w:space="0" w:color="1B556B"/>
              <w:left w:val="single" w:sz="6" w:space="0" w:color="1B556B"/>
              <w:bottom w:val="single" w:sz="6" w:space="0" w:color="1B556B"/>
              <w:right w:val="single" w:sz="6" w:space="0" w:color="1B556B"/>
            </w:tcBorders>
            <w:shd w:val="clear" w:color="auto" w:fill="FFFFFF"/>
            <w:hideMark/>
          </w:tcPr>
          <w:p w14:paraId="31C0E6B7"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b/>
                <w:bCs/>
                <w:sz w:val="16"/>
                <w:szCs w:val="16"/>
              </w:rPr>
              <w:t>  </w:t>
            </w:r>
            <w:r w:rsidRPr="0015327A">
              <w:rPr>
                <w:rFonts w:asciiTheme="minorHAnsi" w:hAnsiTheme="minorHAnsi" w:cstheme="minorHAnsi"/>
                <w:sz w:val="16"/>
                <w:szCs w:val="16"/>
              </w:rPr>
              <w:t>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505FCCC0"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b/>
                <w:bCs/>
                <w:sz w:val="16"/>
                <w:szCs w:val="16"/>
              </w:rPr>
              <w:t>  </w:t>
            </w:r>
            <w:r w:rsidRPr="0015327A">
              <w:rPr>
                <w:rFonts w:asciiTheme="minorHAnsi" w:hAnsiTheme="minorHAnsi" w:cstheme="minorHAnsi"/>
                <w:sz w:val="16"/>
                <w:szCs w:val="16"/>
              </w:rPr>
              <w:t> </w:t>
            </w:r>
          </w:p>
        </w:tc>
        <w:tc>
          <w:tcPr>
            <w:tcW w:w="993" w:type="dxa"/>
            <w:tcBorders>
              <w:top w:val="single" w:sz="6" w:space="0" w:color="1B556B"/>
              <w:left w:val="single" w:sz="6" w:space="0" w:color="1B556B"/>
              <w:bottom w:val="single" w:sz="6" w:space="0" w:color="1B556B"/>
              <w:right w:val="single" w:sz="6" w:space="0" w:color="1B556B"/>
            </w:tcBorders>
            <w:shd w:val="clear" w:color="auto" w:fill="FFFFFF"/>
            <w:hideMark/>
          </w:tcPr>
          <w:p w14:paraId="063ECC87"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b/>
                <w:bCs/>
                <w:sz w:val="16"/>
                <w:szCs w:val="16"/>
              </w:rPr>
              <w:t>  </w:t>
            </w:r>
            <w:r w:rsidRPr="0015327A">
              <w:rPr>
                <w:rFonts w:asciiTheme="minorHAnsi" w:hAnsiTheme="minorHAnsi" w:cstheme="minorHAnsi"/>
                <w:sz w:val="16"/>
                <w:szCs w:val="16"/>
              </w:rPr>
              <w:t>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3239044D"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b/>
                <w:bCs/>
                <w:sz w:val="16"/>
                <w:szCs w:val="16"/>
              </w:rPr>
              <w:t>  </w:t>
            </w:r>
            <w:r w:rsidRPr="0015327A">
              <w:rPr>
                <w:rFonts w:asciiTheme="minorHAnsi" w:hAnsiTheme="minorHAnsi" w:cstheme="minorHAnsi"/>
                <w:sz w:val="16"/>
                <w:szCs w:val="16"/>
              </w:rPr>
              <w:t> </w:t>
            </w:r>
          </w:p>
        </w:tc>
        <w:tc>
          <w:tcPr>
            <w:tcW w:w="992" w:type="dxa"/>
            <w:tcBorders>
              <w:top w:val="single" w:sz="6" w:space="0" w:color="1B556B"/>
              <w:left w:val="single" w:sz="6" w:space="0" w:color="1B556B"/>
              <w:bottom w:val="single" w:sz="6" w:space="0" w:color="1B556B"/>
              <w:right w:val="single" w:sz="6" w:space="0" w:color="1B556B"/>
            </w:tcBorders>
            <w:shd w:val="clear" w:color="auto" w:fill="FFFFFF"/>
            <w:hideMark/>
          </w:tcPr>
          <w:p w14:paraId="5066CCB9"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b/>
                <w:bCs/>
                <w:sz w:val="16"/>
                <w:szCs w:val="16"/>
              </w:rPr>
              <w:t>  </w:t>
            </w:r>
            <w:r w:rsidRPr="0015327A">
              <w:rPr>
                <w:rFonts w:asciiTheme="minorHAnsi" w:hAnsiTheme="minorHAnsi" w:cstheme="minorHAnsi"/>
                <w:sz w:val="16"/>
                <w:szCs w:val="16"/>
              </w:rPr>
              <w:t> </w:t>
            </w:r>
          </w:p>
        </w:tc>
        <w:tc>
          <w:tcPr>
            <w:tcW w:w="851" w:type="dxa"/>
            <w:tcBorders>
              <w:top w:val="single" w:sz="6" w:space="0" w:color="1B556B"/>
              <w:left w:val="single" w:sz="6" w:space="0" w:color="1B556B"/>
              <w:bottom w:val="single" w:sz="6" w:space="0" w:color="1B556B"/>
              <w:right w:val="single" w:sz="6" w:space="0" w:color="1B556B"/>
            </w:tcBorders>
            <w:shd w:val="clear" w:color="auto" w:fill="FFFFFF"/>
            <w:hideMark/>
          </w:tcPr>
          <w:p w14:paraId="12C8AB61"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b/>
                <w:bCs/>
                <w:sz w:val="16"/>
                <w:szCs w:val="16"/>
              </w:rPr>
              <w:t>  </w:t>
            </w:r>
            <w:r w:rsidRPr="0015327A">
              <w:rPr>
                <w:rFonts w:asciiTheme="minorHAnsi" w:hAnsiTheme="minorHAnsi" w:cstheme="minorHAnsi"/>
                <w:sz w:val="16"/>
                <w:szCs w:val="16"/>
              </w:rPr>
              <w:t> </w:t>
            </w:r>
          </w:p>
        </w:tc>
        <w:tc>
          <w:tcPr>
            <w:tcW w:w="1134" w:type="dxa"/>
            <w:tcBorders>
              <w:top w:val="single" w:sz="6" w:space="0" w:color="1B556B"/>
              <w:left w:val="single" w:sz="6" w:space="0" w:color="1B556B"/>
              <w:bottom w:val="single" w:sz="6" w:space="0" w:color="1B556B"/>
              <w:right w:val="single" w:sz="6" w:space="0" w:color="1B556B"/>
            </w:tcBorders>
            <w:shd w:val="clear" w:color="auto" w:fill="FFFFFF"/>
            <w:hideMark/>
          </w:tcPr>
          <w:p w14:paraId="3763575E"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b/>
                <w:bCs/>
                <w:sz w:val="16"/>
                <w:szCs w:val="16"/>
              </w:rPr>
              <w:t>  </w:t>
            </w:r>
            <w:r w:rsidRPr="0015327A">
              <w:rPr>
                <w:rFonts w:asciiTheme="minorHAnsi" w:hAnsiTheme="minorHAnsi" w:cstheme="minorHAnsi"/>
                <w:sz w:val="16"/>
                <w:szCs w:val="16"/>
              </w:rPr>
              <w:t> </w:t>
            </w:r>
          </w:p>
        </w:tc>
        <w:tc>
          <w:tcPr>
            <w:tcW w:w="850" w:type="dxa"/>
            <w:tcBorders>
              <w:top w:val="single" w:sz="6" w:space="0" w:color="1B556B"/>
              <w:left w:val="single" w:sz="6" w:space="0" w:color="1B556B"/>
              <w:bottom w:val="single" w:sz="6" w:space="0" w:color="1B556B"/>
              <w:right w:val="single" w:sz="6" w:space="0" w:color="1B556B"/>
            </w:tcBorders>
            <w:shd w:val="clear" w:color="auto" w:fill="FFFFFF"/>
            <w:hideMark/>
          </w:tcPr>
          <w:p w14:paraId="791B94A6"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b/>
                <w:bCs/>
                <w:sz w:val="16"/>
                <w:szCs w:val="16"/>
              </w:rPr>
              <w:t>  </w:t>
            </w:r>
            <w:r w:rsidRPr="0015327A">
              <w:rPr>
                <w:rFonts w:asciiTheme="minorHAnsi" w:hAnsiTheme="minorHAnsi" w:cstheme="minorHAnsi"/>
                <w:sz w:val="16"/>
                <w:szCs w:val="16"/>
              </w:rPr>
              <w:t> </w:t>
            </w:r>
          </w:p>
        </w:tc>
        <w:tc>
          <w:tcPr>
            <w:tcW w:w="964" w:type="dxa"/>
            <w:tcBorders>
              <w:top w:val="single" w:sz="6" w:space="0" w:color="1B556B"/>
              <w:left w:val="single" w:sz="6" w:space="0" w:color="1B556B"/>
              <w:bottom w:val="single" w:sz="6" w:space="0" w:color="1B556B"/>
              <w:right w:val="nil"/>
            </w:tcBorders>
            <w:shd w:val="clear" w:color="auto" w:fill="FFFFFF"/>
            <w:hideMark/>
          </w:tcPr>
          <w:p w14:paraId="3222ACE6" w14:textId="77777777" w:rsidR="0015327A" w:rsidRPr="0015327A" w:rsidRDefault="0015327A" w:rsidP="00730608">
            <w:pPr>
              <w:spacing w:before="6" w:line="240" w:lineRule="auto"/>
              <w:jc w:val="left"/>
              <w:rPr>
                <w:rFonts w:asciiTheme="minorHAnsi" w:hAnsiTheme="minorHAnsi" w:cstheme="minorHAnsi"/>
                <w:sz w:val="16"/>
                <w:szCs w:val="16"/>
              </w:rPr>
            </w:pPr>
            <w:r w:rsidRPr="0015327A">
              <w:rPr>
                <w:rFonts w:asciiTheme="minorHAnsi" w:hAnsiTheme="minorHAnsi" w:cstheme="minorHAnsi"/>
                <w:b/>
                <w:bCs/>
                <w:sz w:val="16"/>
                <w:szCs w:val="16"/>
              </w:rPr>
              <w:t>  </w:t>
            </w:r>
            <w:r w:rsidRPr="0015327A">
              <w:rPr>
                <w:rFonts w:asciiTheme="minorHAnsi" w:hAnsiTheme="minorHAnsi" w:cstheme="minorHAnsi"/>
                <w:sz w:val="16"/>
                <w:szCs w:val="16"/>
              </w:rPr>
              <w:t> </w:t>
            </w:r>
          </w:p>
        </w:tc>
      </w:tr>
    </w:tbl>
    <w:p w14:paraId="186918DC" w14:textId="606BC419" w:rsidR="009B2872" w:rsidRPr="002C6658" w:rsidRDefault="009B2872" w:rsidP="009B2872">
      <w:pPr>
        <w:jc w:val="left"/>
        <w:rPr>
          <w:rFonts w:asciiTheme="minorHAnsi" w:hAnsiTheme="minorHAnsi" w:cstheme="minorHAnsi"/>
          <w:sz w:val="16"/>
          <w:szCs w:val="16"/>
        </w:rPr>
      </w:pPr>
    </w:p>
    <w:p w14:paraId="12EB7E9A" w14:textId="77777777" w:rsidR="009B2872" w:rsidRPr="009B2872" w:rsidRDefault="009B2872" w:rsidP="009B2872">
      <w:pPr>
        <w:jc w:val="left"/>
        <w:rPr>
          <w:b/>
          <w:sz w:val="20"/>
        </w:rPr>
      </w:pPr>
      <w:r w:rsidRPr="009B2872">
        <w:br w:type="page"/>
      </w:r>
    </w:p>
    <w:p w14:paraId="6F6482C7" w14:textId="7290CD2E" w:rsidR="009B2872" w:rsidRPr="009B2872" w:rsidRDefault="009B2872" w:rsidP="002C6658">
      <w:pPr>
        <w:pStyle w:val="Tableheading"/>
      </w:pPr>
      <w:bookmarkStart w:id="962" w:name="_Toc185407526"/>
      <w:bookmarkStart w:id="963" w:name="_Toc185427789"/>
      <w:r w:rsidRPr="009B2872">
        <w:t xml:space="preserve">CTF </w:t>
      </w:r>
      <w:r w:rsidR="007E289C">
        <w:t>t</w:t>
      </w:r>
      <w:r w:rsidRPr="009B2872">
        <w:t>able III.2 (2022):</w:t>
      </w:r>
      <w:r w:rsidR="00B86B19">
        <w:tab/>
      </w:r>
      <w:r w:rsidRPr="009B2872">
        <w:t>Information on financial support provided under Article 9 of the Paris Agreement in year 2022: multilateral channels</w:t>
      </w:r>
      <w:bookmarkEnd w:id="962"/>
      <w:bookmarkEnd w:id="963"/>
    </w:p>
    <w:tbl>
      <w:tblPr>
        <w:tblW w:w="0"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256"/>
        <w:gridCol w:w="1515"/>
        <w:gridCol w:w="1488"/>
        <w:gridCol w:w="913"/>
        <w:gridCol w:w="1302"/>
        <w:gridCol w:w="937"/>
        <w:gridCol w:w="1052"/>
        <w:gridCol w:w="820"/>
        <w:gridCol w:w="1028"/>
        <w:gridCol w:w="1042"/>
        <w:gridCol w:w="1367"/>
        <w:gridCol w:w="830"/>
        <w:gridCol w:w="1022"/>
      </w:tblGrid>
      <w:tr w:rsidR="00960813" w:rsidRPr="0008616C" w14:paraId="26D47AAE" w14:textId="77777777" w:rsidTr="00D4504D">
        <w:trPr>
          <w:trHeight w:val="285"/>
        </w:trPr>
        <w:tc>
          <w:tcPr>
            <w:tcW w:w="1245" w:type="dxa"/>
            <w:tcBorders>
              <w:top w:val="single" w:sz="6" w:space="0" w:color="1B556B"/>
              <w:left w:val="nil"/>
              <w:bottom w:val="single" w:sz="6" w:space="0" w:color="1B556B"/>
              <w:right w:val="single" w:sz="6" w:space="0" w:color="1B556B"/>
            </w:tcBorders>
            <w:shd w:val="clear" w:color="auto" w:fill="1B556B"/>
            <w:hideMark/>
          </w:tcPr>
          <w:p w14:paraId="664274A5" w14:textId="77777777" w:rsidR="00D309F4" w:rsidRPr="0008616C" w:rsidRDefault="00D309F4" w:rsidP="00D4504D">
            <w:pPr>
              <w:spacing w:line="240" w:lineRule="auto"/>
              <w:jc w:val="left"/>
              <w:rPr>
                <w:rFonts w:asciiTheme="minorHAnsi" w:hAnsiTheme="minorHAnsi" w:cstheme="minorHAnsi"/>
                <w:color w:val="FFFFFF" w:themeColor="background1"/>
                <w:sz w:val="16"/>
                <w:szCs w:val="16"/>
              </w:rPr>
            </w:pPr>
            <w:r w:rsidRPr="0008616C">
              <w:rPr>
                <w:rFonts w:asciiTheme="minorHAnsi" w:hAnsiTheme="minorHAnsi" w:cstheme="minorHAnsi"/>
                <w:b/>
                <w:bCs/>
                <w:color w:val="FFFFFF" w:themeColor="background1"/>
                <w:sz w:val="16"/>
                <w:szCs w:val="16"/>
              </w:rPr>
              <w:t>Institution </w:t>
            </w:r>
            <w:r w:rsidRPr="0008616C">
              <w:rPr>
                <w:rFonts w:asciiTheme="minorHAnsi" w:hAnsiTheme="minorHAnsi" w:cstheme="minorHAnsi"/>
                <w:color w:val="FFFFFF" w:themeColor="background1"/>
                <w:sz w:val="16"/>
                <w:szCs w:val="16"/>
              </w:rPr>
              <w:t> </w:t>
            </w:r>
          </w:p>
        </w:tc>
        <w:tc>
          <w:tcPr>
            <w:tcW w:w="1620" w:type="dxa"/>
            <w:tcBorders>
              <w:top w:val="single" w:sz="6" w:space="0" w:color="1B556B"/>
              <w:left w:val="single" w:sz="6" w:space="0" w:color="1B556B"/>
              <w:bottom w:val="single" w:sz="6" w:space="0" w:color="1B556B"/>
              <w:right w:val="single" w:sz="6" w:space="0" w:color="1B556B"/>
            </w:tcBorders>
            <w:shd w:val="clear" w:color="auto" w:fill="1B556B"/>
            <w:hideMark/>
          </w:tcPr>
          <w:p w14:paraId="1E81C665" w14:textId="77777777" w:rsidR="00D309F4" w:rsidRPr="0008616C" w:rsidRDefault="00D309F4" w:rsidP="00D4504D">
            <w:pPr>
              <w:spacing w:line="240" w:lineRule="auto"/>
              <w:jc w:val="left"/>
              <w:rPr>
                <w:rFonts w:asciiTheme="minorHAnsi" w:hAnsiTheme="minorHAnsi" w:cstheme="minorHAnsi"/>
                <w:color w:val="FFFFFF" w:themeColor="background1"/>
                <w:sz w:val="16"/>
                <w:szCs w:val="16"/>
              </w:rPr>
            </w:pPr>
            <w:r w:rsidRPr="0008616C">
              <w:rPr>
                <w:rFonts w:asciiTheme="minorHAnsi" w:hAnsiTheme="minorHAnsi" w:cstheme="minorHAnsi"/>
                <w:b/>
                <w:bCs/>
                <w:color w:val="FFFFFF" w:themeColor="background1"/>
                <w:sz w:val="16"/>
                <w:szCs w:val="16"/>
              </w:rPr>
              <w:t>Amount (climate-specific USD) </w:t>
            </w:r>
            <w:r w:rsidRPr="0008616C">
              <w:rPr>
                <w:rFonts w:asciiTheme="minorHAnsi" w:hAnsiTheme="minorHAnsi" w:cstheme="minorHAnsi"/>
                <w:color w:val="FFFFFF" w:themeColor="background1"/>
                <w:sz w:val="16"/>
                <w:szCs w:val="16"/>
              </w:rPr>
              <w:t> </w:t>
            </w:r>
          </w:p>
        </w:tc>
        <w:tc>
          <w:tcPr>
            <w:tcW w:w="1620" w:type="dxa"/>
            <w:tcBorders>
              <w:top w:val="single" w:sz="6" w:space="0" w:color="1B556B"/>
              <w:left w:val="single" w:sz="6" w:space="0" w:color="1B556B"/>
              <w:bottom w:val="single" w:sz="6" w:space="0" w:color="1B556B"/>
              <w:right w:val="single" w:sz="6" w:space="0" w:color="1B556B"/>
            </w:tcBorders>
            <w:shd w:val="clear" w:color="auto" w:fill="1B556B"/>
            <w:hideMark/>
          </w:tcPr>
          <w:p w14:paraId="73A4CC1B" w14:textId="77777777" w:rsidR="00D309F4" w:rsidRPr="0008616C" w:rsidRDefault="00D309F4" w:rsidP="00D4504D">
            <w:pPr>
              <w:spacing w:line="240" w:lineRule="auto"/>
              <w:jc w:val="left"/>
              <w:rPr>
                <w:rFonts w:asciiTheme="minorHAnsi" w:hAnsiTheme="minorHAnsi" w:cstheme="minorHAnsi"/>
                <w:color w:val="FFFFFF" w:themeColor="background1"/>
                <w:sz w:val="16"/>
                <w:szCs w:val="16"/>
              </w:rPr>
            </w:pPr>
            <w:r w:rsidRPr="0008616C">
              <w:rPr>
                <w:rFonts w:asciiTheme="minorHAnsi" w:hAnsiTheme="minorHAnsi" w:cstheme="minorHAnsi"/>
                <w:b/>
                <w:bCs/>
                <w:color w:val="FFFFFF" w:themeColor="background1"/>
                <w:sz w:val="16"/>
                <w:szCs w:val="16"/>
              </w:rPr>
              <w:t>Amount (climate-specific NZD) </w:t>
            </w:r>
            <w:r w:rsidRPr="0008616C">
              <w:rPr>
                <w:rFonts w:asciiTheme="minorHAnsi" w:hAnsiTheme="minorHAnsi" w:cstheme="minorHAnsi"/>
                <w:color w:val="FFFFFF" w:themeColor="background1"/>
                <w:sz w:val="16"/>
                <w:szCs w:val="16"/>
              </w:rPr>
              <w:t> </w:t>
            </w:r>
          </w:p>
        </w:tc>
        <w:tc>
          <w:tcPr>
            <w:tcW w:w="825" w:type="dxa"/>
            <w:tcBorders>
              <w:top w:val="single" w:sz="6" w:space="0" w:color="1B556B"/>
              <w:left w:val="single" w:sz="6" w:space="0" w:color="1B556B"/>
              <w:bottom w:val="single" w:sz="6" w:space="0" w:color="1B556B"/>
              <w:right w:val="single" w:sz="6" w:space="0" w:color="1B556B"/>
            </w:tcBorders>
            <w:shd w:val="clear" w:color="auto" w:fill="1B556B"/>
            <w:hideMark/>
          </w:tcPr>
          <w:p w14:paraId="14372996" w14:textId="77777777" w:rsidR="00D309F4" w:rsidRPr="0008616C" w:rsidRDefault="00D309F4" w:rsidP="00D4504D">
            <w:pPr>
              <w:spacing w:line="240" w:lineRule="auto"/>
              <w:jc w:val="left"/>
              <w:rPr>
                <w:rFonts w:asciiTheme="minorHAnsi" w:hAnsiTheme="minorHAnsi" w:cstheme="minorHAnsi"/>
                <w:color w:val="FFFFFF" w:themeColor="background1"/>
                <w:sz w:val="16"/>
                <w:szCs w:val="16"/>
              </w:rPr>
            </w:pPr>
            <w:r w:rsidRPr="0008616C">
              <w:rPr>
                <w:rFonts w:asciiTheme="minorHAnsi" w:hAnsiTheme="minorHAnsi" w:cstheme="minorHAnsi"/>
                <w:b/>
                <w:bCs/>
                <w:color w:val="FFFFFF" w:themeColor="background1"/>
                <w:sz w:val="16"/>
                <w:szCs w:val="16"/>
              </w:rPr>
              <w:t>Recipient </w:t>
            </w:r>
            <w:r w:rsidRPr="0008616C">
              <w:rPr>
                <w:rFonts w:asciiTheme="minorHAnsi" w:hAnsiTheme="minorHAnsi" w:cstheme="minorHAnsi"/>
                <w:color w:val="FFFFFF" w:themeColor="background1"/>
                <w:sz w:val="16"/>
                <w:szCs w:val="16"/>
              </w:rPr>
              <w:t> </w:t>
            </w:r>
          </w:p>
        </w:tc>
        <w:tc>
          <w:tcPr>
            <w:tcW w:w="1260" w:type="dxa"/>
            <w:tcBorders>
              <w:top w:val="single" w:sz="6" w:space="0" w:color="1B556B"/>
              <w:left w:val="single" w:sz="6" w:space="0" w:color="1B556B"/>
              <w:bottom w:val="single" w:sz="6" w:space="0" w:color="1B556B"/>
              <w:right w:val="single" w:sz="6" w:space="0" w:color="1B556B"/>
            </w:tcBorders>
            <w:shd w:val="clear" w:color="auto" w:fill="1B556B"/>
            <w:hideMark/>
          </w:tcPr>
          <w:p w14:paraId="23432A0C" w14:textId="77777777" w:rsidR="00D309F4" w:rsidRPr="0008616C" w:rsidRDefault="00D309F4" w:rsidP="00D4504D">
            <w:pPr>
              <w:spacing w:line="240" w:lineRule="auto"/>
              <w:jc w:val="left"/>
              <w:rPr>
                <w:rFonts w:asciiTheme="minorHAnsi" w:hAnsiTheme="minorHAnsi" w:cstheme="minorHAnsi"/>
                <w:color w:val="FFFFFF" w:themeColor="background1"/>
                <w:sz w:val="16"/>
                <w:szCs w:val="16"/>
              </w:rPr>
            </w:pPr>
            <w:r w:rsidRPr="0008616C">
              <w:rPr>
                <w:rFonts w:asciiTheme="minorHAnsi" w:hAnsiTheme="minorHAnsi" w:cstheme="minorHAnsi"/>
                <w:b/>
                <w:bCs/>
                <w:color w:val="FFFFFF" w:themeColor="background1"/>
                <w:sz w:val="16"/>
                <w:szCs w:val="16"/>
              </w:rPr>
              <w:t>Title of the project programme, activity or other </w:t>
            </w:r>
            <w:r w:rsidRPr="0008616C">
              <w:rPr>
                <w:rFonts w:asciiTheme="minorHAnsi" w:hAnsiTheme="minorHAnsi" w:cstheme="minorHAnsi"/>
                <w:color w:val="FFFFFF" w:themeColor="background1"/>
                <w:sz w:val="16"/>
                <w:szCs w:val="16"/>
              </w:rPr>
              <w:t> </w:t>
            </w:r>
          </w:p>
        </w:tc>
        <w:tc>
          <w:tcPr>
            <w:tcW w:w="855" w:type="dxa"/>
            <w:tcBorders>
              <w:top w:val="single" w:sz="6" w:space="0" w:color="1B556B"/>
              <w:left w:val="single" w:sz="6" w:space="0" w:color="1B556B"/>
              <w:bottom w:val="single" w:sz="6" w:space="0" w:color="1B556B"/>
              <w:right w:val="single" w:sz="6" w:space="0" w:color="1B556B"/>
            </w:tcBorders>
            <w:shd w:val="clear" w:color="auto" w:fill="1B556B"/>
            <w:hideMark/>
          </w:tcPr>
          <w:p w14:paraId="62B0DDEE" w14:textId="77777777" w:rsidR="00D309F4" w:rsidRPr="0008616C" w:rsidRDefault="00D309F4" w:rsidP="00D4504D">
            <w:pPr>
              <w:spacing w:line="240" w:lineRule="auto"/>
              <w:jc w:val="left"/>
              <w:rPr>
                <w:rFonts w:asciiTheme="minorHAnsi" w:hAnsiTheme="minorHAnsi" w:cstheme="minorHAnsi"/>
                <w:color w:val="FFFFFF" w:themeColor="background1"/>
                <w:sz w:val="16"/>
                <w:szCs w:val="16"/>
              </w:rPr>
            </w:pPr>
            <w:r w:rsidRPr="0008616C">
              <w:rPr>
                <w:rFonts w:asciiTheme="minorHAnsi" w:hAnsiTheme="minorHAnsi" w:cstheme="minorHAnsi"/>
                <w:b/>
                <w:bCs/>
                <w:color w:val="FFFFFF" w:themeColor="background1"/>
                <w:sz w:val="16"/>
                <w:szCs w:val="16"/>
              </w:rPr>
              <w:t>Status </w:t>
            </w:r>
            <w:r w:rsidRPr="0008616C">
              <w:rPr>
                <w:rFonts w:asciiTheme="minorHAnsi" w:hAnsiTheme="minorHAnsi" w:cstheme="minorHAnsi"/>
                <w:color w:val="FFFFFF" w:themeColor="background1"/>
                <w:sz w:val="16"/>
                <w:szCs w:val="16"/>
              </w:rPr>
              <w:t> </w:t>
            </w:r>
          </w:p>
        </w:tc>
        <w:tc>
          <w:tcPr>
            <w:tcW w:w="1050" w:type="dxa"/>
            <w:tcBorders>
              <w:top w:val="single" w:sz="6" w:space="0" w:color="1B556B"/>
              <w:left w:val="single" w:sz="6" w:space="0" w:color="1B556B"/>
              <w:bottom w:val="single" w:sz="6" w:space="0" w:color="1B556B"/>
              <w:right w:val="single" w:sz="6" w:space="0" w:color="1B556B"/>
            </w:tcBorders>
            <w:shd w:val="clear" w:color="auto" w:fill="1B556B"/>
            <w:hideMark/>
          </w:tcPr>
          <w:p w14:paraId="363EEFEB" w14:textId="77777777" w:rsidR="00D309F4" w:rsidRPr="0008616C" w:rsidRDefault="00D309F4" w:rsidP="00D4504D">
            <w:pPr>
              <w:spacing w:line="240" w:lineRule="auto"/>
              <w:jc w:val="left"/>
              <w:rPr>
                <w:rFonts w:asciiTheme="minorHAnsi" w:hAnsiTheme="minorHAnsi" w:cstheme="minorHAnsi"/>
                <w:color w:val="FFFFFF" w:themeColor="background1"/>
                <w:sz w:val="16"/>
                <w:szCs w:val="16"/>
              </w:rPr>
            </w:pPr>
            <w:r w:rsidRPr="0008616C">
              <w:rPr>
                <w:rFonts w:asciiTheme="minorHAnsi" w:hAnsiTheme="minorHAnsi" w:cstheme="minorHAnsi"/>
                <w:b/>
                <w:bCs/>
                <w:color w:val="FFFFFF" w:themeColor="background1"/>
                <w:sz w:val="16"/>
                <w:szCs w:val="16"/>
              </w:rPr>
              <w:t>Channel </w:t>
            </w:r>
            <w:r w:rsidRPr="0008616C">
              <w:rPr>
                <w:rFonts w:asciiTheme="minorHAnsi" w:hAnsiTheme="minorHAnsi" w:cstheme="minorHAnsi"/>
                <w:color w:val="FFFFFF" w:themeColor="background1"/>
                <w:sz w:val="16"/>
                <w:szCs w:val="16"/>
              </w:rPr>
              <w:t> </w:t>
            </w:r>
          </w:p>
        </w:tc>
        <w:tc>
          <w:tcPr>
            <w:tcW w:w="840" w:type="dxa"/>
            <w:tcBorders>
              <w:top w:val="single" w:sz="6" w:space="0" w:color="1B556B"/>
              <w:left w:val="single" w:sz="6" w:space="0" w:color="1B556B"/>
              <w:bottom w:val="single" w:sz="6" w:space="0" w:color="1B556B"/>
              <w:right w:val="single" w:sz="6" w:space="0" w:color="1B556B"/>
            </w:tcBorders>
            <w:shd w:val="clear" w:color="auto" w:fill="1B556B"/>
            <w:hideMark/>
          </w:tcPr>
          <w:p w14:paraId="2786D8E6" w14:textId="77777777" w:rsidR="00D309F4" w:rsidRPr="0008616C" w:rsidRDefault="00D309F4" w:rsidP="00D4504D">
            <w:pPr>
              <w:spacing w:line="240" w:lineRule="auto"/>
              <w:jc w:val="left"/>
              <w:rPr>
                <w:rFonts w:asciiTheme="minorHAnsi" w:hAnsiTheme="minorHAnsi" w:cstheme="minorHAnsi"/>
                <w:color w:val="FFFFFF" w:themeColor="background1"/>
                <w:sz w:val="16"/>
                <w:szCs w:val="16"/>
              </w:rPr>
            </w:pPr>
            <w:r w:rsidRPr="0008616C">
              <w:rPr>
                <w:rFonts w:asciiTheme="minorHAnsi" w:hAnsiTheme="minorHAnsi" w:cstheme="minorHAnsi"/>
                <w:b/>
                <w:bCs/>
                <w:color w:val="FFFFFF" w:themeColor="background1"/>
                <w:sz w:val="16"/>
                <w:szCs w:val="16"/>
              </w:rPr>
              <w:t>Funding Source </w:t>
            </w:r>
            <w:r w:rsidRPr="0008616C">
              <w:rPr>
                <w:rFonts w:asciiTheme="minorHAnsi" w:hAnsiTheme="minorHAnsi" w:cstheme="minorHAnsi"/>
                <w:color w:val="FFFFFF" w:themeColor="background1"/>
                <w:sz w:val="16"/>
                <w:szCs w:val="16"/>
              </w:rPr>
              <w:t> </w:t>
            </w:r>
          </w:p>
        </w:tc>
        <w:tc>
          <w:tcPr>
            <w:tcW w:w="960" w:type="dxa"/>
            <w:tcBorders>
              <w:top w:val="single" w:sz="6" w:space="0" w:color="1B556B"/>
              <w:left w:val="single" w:sz="6" w:space="0" w:color="1B556B"/>
              <w:bottom w:val="single" w:sz="6" w:space="0" w:color="1B556B"/>
              <w:right w:val="single" w:sz="6" w:space="0" w:color="1B556B"/>
            </w:tcBorders>
            <w:shd w:val="clear" w:color="auto" w:fill="1B556B"/>
            <w:hideMark/>
          </w:tcPr>
          <w:p w14:paraId="7B3BB0D0" w14:textId="77777777" w:rsidR="00D309F4" w:rsidRPr="0008616C" w:rsidRDefault="00D309F4" w:rsidP="00D4504D">
            <w:pPr>
              <w:spacing w:line="240" w:lineRule="auto"/>
              <w:jc w:val="left"/>
              <w:rPr>
                <w:rFonts w:asciiTheme="minorHAnsi" w:hAnsiTheme="minorHAnsi" w:cstheme="minorHAnsi"/>
                <w:color w:val="FFFFFF" w:themeColor="background1"/>
                <w:sz w:val="16"/>
                <w:szCs w:val="16"/>
              </w:rPr>
            </w:pPr>
            <w:r w:rsidRPr="0008616C">
              <w:rPr>
                <w:rFonts w:asciiTheme="minorHAnsi" w:hAnsiTheme="minorHAnsi" w:cstheme="minorHAnsi"/>
                <w:b/>
                <w:bCs/>
                <w:color w:val="FFFFFF" w:themeColor="background1"/>
                <w:sz w:val="16"/>
                <w:szCs w:val="16"/>
              </w:rPr>
              <w:t>Financial instrument </w:t>
            </w:r>
            <w:r w:rsidRPr="0008616C">
              <w:rPr>
                <w:rFonts w:asciiTheme="minorHAnsi" w:hAnsiTheme="minorHAnsi" w:cstheme="minorHAnsi"/>
                <w:color w:val="FFFFFF" w:themeColor="background1"/>
                <w:sz w:val="16"/>
                <w:szCs w:val="16"/>
              </w:rPr>
              <w:t> </w:t>
            </w:r>
          </w:p>
        </w:tc>
        <w:tc>
          <w:tcPr>
            <w:tcW w:w="1050" w:type="dxa"/>
            <w:tcBorders>
              <w:top w:val="single" w:sz="6" w:space="0" w:color="1B556B"/>
              <w:left w:val="single" w:sz="6" w:space="0" w:color="1B556B"/>
              <w:bottom w:val="single" w:sz="6" w:space="0" w:color="1B556B"/>
              <w:right w:val="single" w:sz="6" w:space="0" w:color="1B556B"/>
            </w:tcBorders>
            <w:shd w:val="clear" w:color="auto" w:fill="1B556B"/>
            <w:hideMark/>
          </w:tcPr>
          <w:p w14:paraId="3BFB23C8" w14:textId="77777777" w:rsidR="00D309F4" w:rsidRPr="0008616C" w:rsidRDefault="00D309F4" w:rsidP="00D4504D">
            <w:pPr>
              <w:spacing w:line="240" w:lineRule="auto"/>
              <w:jc w:val="left"/>
              <w:rPr>
                <w:rFonts w:asciiTheme="minorHAnsi" w:hAnsiTheme="minorHAnsi" w:cstheme="minorHAnsi"/>
                <w:color w:val="FFFFFF" w:themeColor="background1"/>
                <w:sz w:val="16"/>
                <w:szCs w:val="16"/>
              </w:rPr>
            </w:pPr>
            <w:r w:rsidRPr="0008616C">
              <w:rPr>
                <w:rFonts w:asciiTheme="minorHAnsi" w:hAnsiTheme="minorHAnsi" w:cstheme="minorHAnsi"/>
                <w:b/>
                <w:bCs/>
                <w:color w:val="FFFFFF" w:themeColor="background1"/>
                <w:sz w:val="16"/>
                <w:szCs w:val="16"/>
              </w:rPr>
              <w:t>Type of Support </w:t>
            </w:r>
            <w:r w:rsidRPr="0008616C">
              <w:rPr>
                <w:rFonts w:asciiTheme="minorHAnsi" w:hAnsiTheme="minorHAnsi" w:cstheme="minorHAnsi"/>
                <w:color w:val="FFFFFF" w:themeColor="background1"/>
                <w:sz w:val="16"/>
                <w:szCs w:val="16"/>
              </w:rPr>
              <w:t> </w:t>
            </w:r>
          </w:p>
        </w:tc>
        <w:tc>
          <w:tcPr>
            <w:tcW w:w="1440" w:type="dxa"/>
            <w:tcBorders>
              <w:top w:val="single" w:sz="6" w:space="0" w:color="1B556B"/>
              <w:left w:val="single" w:sz="6" w:space="0" w:color="1B556B"/>
              <w:bottom w:val="single" w:sz="6" w:space="0" w:color="1B556B"/>
              <w:right w:val="single" w:sz="6" w:space="0" w:color="1B556B"/>
            </w:tcBorders>
            <w:shd w:val="clear" w:color="auto" w:fill="1B556B"/>
            <w:hideMark/>
          </w:tcPr>
          <w:p w14:paraId="2C989230" w14:textId="77777777" w:rsidR="00D309F4" w:rsidRPr="0008616C" w:rsidRDefault="00D309F4" w:rsidP="00D4504D">
            <w:pPr>
              <w:spacing w:line="240" w:lineRule="auto"/>
              <w:jc w:val="left"/>
              <w:rPr>
                <w:rFonts w:asciiTheme="minorHAnsi" w:hAnsiTheme="minorHAnsi" w:cstheme="minorHAnsi"/>
                <w:color w:val="FFFFFF" w:themeColor="background1"/>
                <w:sz w:val="16"/>
                <w:szCs w:val="16"/>
              </w:rPr>
            </w:pPr>
            <w:r w:rsidRPr="0008616C">
              <w:rPr>
                <w:rFonts w:asciiTheme="minorHAnsi" w:hAnsiTheme="minorHAnsi" w:cstheme="minorHAnsi"/>
                <w:b/>
                <w:bCs/>
                <w:color w:val="FFFFFF" w:themeColor="background1"/>
                <w:sz w:val="16"/>
                <w:szCs w:val="16"/>
              </w:rPr>
              <w:t>Sector </w:t>
            </w:r>
            <w:r w:rsidRPr="0008616C">
              <w:rPr>
                <w:rFonts w:asciiTheme="minorHAnsi" w:hAnsiTheme="minorHAnsi" w:cstheme="minorHAnsi"/>
                <w:color w:val="FFFFFF" w:themeColor="background1"/>
                <w:sz w:val="16"/>
                <w:szCs w:val="16"/>
              </w:rPr>
              <w:t> </w:t>
            </w:r>
          </w:p>
        </w:tc>
        <w:tc>
          <w:tcPr>
            <w:tcW w:w="750" w:type="dxa"/>
            <w:tcBorders>
              <w:top w:val="single" w:sz="6" w:space="0" w:color="1B556B"/>
              <w:left w:val="single" w:sz="6" w:space="0" w:color="1B556B"/>
              <w:bottom w:val="single" w:sz="6" w:space="0" w:color="1B556B"/>
              <w:right w:val="single" w:sz="6" w:space="0" w:color="1B556B"/>
            </w:tcBorders>
            <w:shd w:val="clear" w:color="auto" w:fill="1B556B"/>
            <w:hideMark/>
          </w:tcPr>
          <w:p w14:paraId="742D0FCE" w14:textId="77777777" w:rsidR="00D309F4" w:rsidRPr="0008616C" w:rsidRDefault="00D309F4" w:rsidP="00D4504D">
            <w:pPr>
              <w:spacing w:line="240" w:lineRule="auto"/>
              <w:jc w:val="left"/>
              <w:rPr>
                <w:rFonts w:asciiTheme="minorHAnsi" w:hAnsiTheme="minorHAnsi" w:cstheme="minorHAnsi"/>
                <w:color w:val="FFFFFF" w:themeColor="background1"/>
                <w:sz w:val="16"/>
                <w:szCs w:val="16"/>
              </w:rPr>
            </w:pPr>
            <w:r w:rsidRPr="0008616C">
              <w:rPr>
                <w:rFonts w:asciiTheme="minorHAnsi" w:hAnsiTheme="minorHAnsi" w:cstheme="minorHAnsi"/>
                <w:b/>
                <w:bCs/>
                <w:color w:val="FFFFFF" w:themeColor="background1"/>
                <w:sz w:val="16"/>
                <w:szCs w:val="16"/>
              </w:rPr>
              <w:t>Capacity Building </w:t>
            </w:r>
            <w:r w:rsidRPr="0008616C">
              <w:rPr>
                <w:rFonts w:asciiTheme="minorHAnsi" w:hAnsiTheme="minorHAnsi" w:cstheme="minorHAnsi"/>
                <w:color w:val="FFFFFF" w:themeColor="background1"/>
                <w:sz w:val="16"/>
                <w:szCs w:val="16"/>
              </w:rPr>
              <w:t> </w:t>
            </w:r>
          </w:p>
        </w:tc>
        <w:tc>
          <w:tcPr>
            <w:tcW w:w="945" w:type="dxa"/>
            <w:tcBorders>
              <w:top w:val="single" w:sz="6" w:space="0" w:color="1B556B"/>
              <w:left w:val="single" w:sz="6" w:space="0" w:color="1B556B"/>
              <w:bottom w:val="single" w:sz="6" w:space="0" w:color="1B556B"/>
              <w:right w:val="nil"/>
            </w:tcBorders>
            <w:shd w:val="clear" w:color="auto" w:fill="1B556B"/>
            <w:hideMark/>
          </w:tcPr>
          <w:p w14:paraId="7FC43FE7" w14:textId="77777777" w:rsidR="00D309F4" w:rsidRPr="0008616C" w:rsidRDefault="00D309F4" w:rsidP="00D4504D">
            <w:pPr>
              <w:spacing w:line="240" w:lineRule="auto"/>
              <w:jc w:val="left"/>
              <w:rPr>
                <w:rFonts w:asciiTheme="minorHAnsi" w:hAnsiTheme="minorHAnsi" w:cstheme="minorHAnsi"/>
                <w:color w:val="FFFFFF" w:themeColor="background1"/>
                <w:sz w:val="16"/>
                <w:szCs w:val="16"/>
              </w:rPr>
            </w:pPr>
            <w:r w:rsidRPr="0008616C">
              <w:rPr>
                <w:rFonts w:asciiTheme="minorHAnsi" w:hAnsiTheme="minorHAnsi" w:cstheme="minorHAnsi"/>
                <w:b/>
                <w:bCs/>
                <w:color w:val="FFFFFF" w:themeColor="background1"/>
                <w:sz w:val="16"/>
                <w:szCs w:val="16"/>
              </w:rPr>
              <w:t>Technology Transfer </w:t>
            </w:r>
            <w:r w:rsidRPr="0008616C">
              <w:rPr>
                <w:rFonts w:asciiTheme="minorHAnsi" w:hAnsiTheme="minorHAnsi" w:cstheme="minorHAnsi"/>
                <w:color w:val="FFFFFF" w:themeColor="background1"/>
                <w:sz w:val="16"/>
                <w:szCs w:val="16"/>
              </w:rPr>
              <w:t> </w:t>
            </w:r>
          </w:p>
        </w:tc>
      </w:tr>
      <w:tr w:rsidR="00D309F4" w:rsidRPr="0008616C" w14:paraId="1B7E1E7D" w14:textId="77777777" w:rsidTr="00D4504D">
        <w:trPr>
          <w:trHeight w:val="285"/>
        </w:trPr>
        <w:tc>
          <w:tcPr>
            <w:tcW w:w="14550" w:type="dxa"/>
            <w:gridSpan w:val="13"/>
            <w:tcBorders>
              <w:top w:val="single" w:sz="6" w:space="0" w:color="1B556B"/>
              <w:left w:val="nil"/>
              <w:bottom w:val="single" w:sz="6" w:space="0" w:color="1B556B"/>
              <w:right w:val="nil"/>
            </w:tcBorders>
            <w:shd w:val="clear" w:color="auto" w:fill="D2DDE1"/>
            <w:hideMark/>
          </w:tcPr>
          <w:p w14:paraId="40731F21"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b/>
                <w:bCs/>
                <w:sz w:val="16"/>
                <w:szCs w:val="16"/>
              </w:rPr>
              <w:t>Multilateral financial institutions, including regional development banks </w:t>
            </w:r>
            <w:r w:rsidRPr="0008616C">
              <w:rPr>
                <w:rFonts w:asciiTheme="minorHAnsi" w:hAnsiTheme="minorHAnsi" w:cstheme="minorHAnsi"/>
                <w:sz w:val="16"/>
                <w:szCs w:val="16"/>
              </w:rPr>
              <w:t> </w:t>
            </w:r>
          </w:p>
        </w:tc>
      </w:tr>
      <w:tr w:rsidR="00960813" w:rsidRPr="0008616C" w14:paraId="04A3D5C4" w14:textId="77777777" w:rsidTr="00D4504D">
        <w:trPr>
          <w:trHeight w:val="285"/>
        </w:trPr>
        <w:tc>
          <w:tcPr>
            <w:tcW w:w="1245" w:type="dxa"/>
            <w:tcBorders>
              <w:top w:val="single" w:sz="6" w:space="0" w:color="1B556B"/>
              <w:left w:val="nil"/>
              <w:bottom w:val="single" w:sz="6" w:space="0" w:color="1B556B"/>
              <w:right w:val="single" w:sz="6" w:space="0" w:color="1B556B"/>
            </w:tcBorders>
            <w:shd w:val="clear" w:color="auto" w:fill="FFFFFF"/>
            <w:vAlign w:val="center"/>
            <w:hideMark/>
          </w:tcPr>
          <w:p w14:paraId="506471A8"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World Bank Group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3869287A"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3,368,031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3542A01F"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6,199,760  </w:t>
            </w:r>
          </w:p>
        </w:tc>
        <w:tc>
          <w:tcPr>
            <w:tcW w:w="825"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580589E5"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G</w:t>
            </w:r>
            <w:r w:rsidRPr="00742143">
              <w:rPr>
                <w:rFonts w:asciiTheme="minorHAnsi" w:hAnsiTheme="minorHAnsi" w:cstheme="minorHAnsi"/>
                <w:sz w:val="16"/>
                <w:szCs w:val="16"/>
              </w:rPr>
              <w:t>lobal  </w:t>
            </w:r>
          </w:p>
        </w:tc>
        <w:tc>
          <w:tcPr>
            <w:tcW w:w="126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6787FEB7"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WBG IDA19  </w:t>
            </w:r>
          </w:p>
        </w:tc>
        <w:tc>
          <w:tcPr>
            <w:tcW w:w="855"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67439B3A"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Disbursed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27A6FDBA"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M</w:t>
            </w:r>
            <w:r w:rsidRPr="00742143">
              <w:rPr>
                <w:rFonts w:asciiTheme="minorHAnsi" w:hAnsiTheme="minorHAnsi" w:cstheme="minorHAnsi"/>
                <w:sz w:val="16"/>
                <w:szCs w:val="16"/>
              </w:rPr>
              <w:t>ultilateral  </w:t>
            </w:r>
          </w:p>
        </w:tc>
        <w:tc>
          <w:tcPr>
            <w:tcW w:w="84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4C609380"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ODA  </w:t>
            </w:r>
          </w:p>
        </w:tc>
        <w:tc>
          <w:tcPr>
            <w:tcW w:w="96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3007618E"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Grant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26364613"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Cross-cutting  </w:t>
            </w:r>
          </w:p>
        </w:tc>
        <w:tc>
          <w:tcPr>
            <w:tcW w:w="144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0B2B174E"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Multisector/</w:t>
            </w:r>
            <w:r w:rsidRPr="00742143">
              <w:rPr>
                <w:rFonts w:asciiTheme="minorHAnsi" w:hAnsiTheme="minorHAnsi" w:cstheme="minorHAnsi"/>
                <w:sz w:val="16"/>
                <w:szCs w:val="16"/>
              </w:rPr>
              <w:br/>
              <w:t>Cross-cutting  </w:t>
            </w:r>
          </w:p>
        </w:tc>
        <w:tc>
          <w:tcPr>
            <w:tcW w:w="7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0F29BAFE"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Yes  </w:t>
            </w:r>
          </w:p>
        </w:tc>
        <w:tc>
          <w:tcPr>
            <w:tcW w:w="945" w:type="dxa"/>
            <w:tcBorders>
              <w:top w:val="single" w:sz="6" w:space="0" w:color="1B556B"/>
              <w:left w:val="single" w:sz="6" w:space="0" w:color="1B556B"/>
              <w:bottom w:val="single" w:sz="6" w:space="0" w:color="1B556B"/>
              <w:right w:val="nil"/>
            </w:tcBorders>
            <w:shd w:val="clear" w:color="auto" w:fill="FFFFFF"/>
            <w:vAlign w:val="center"/>
            <w:hideMark/>
          </w:tcPr>
          <w:p w14:paraId="4EF769D4"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No  </w:t>
            </w:r>
          </w:p>
        </w:tc>
      </w:tr>
      <w:tr w:rsidR="00960813" w:rsidRPr="0008616C" w14:paraId="24DB346F" w14:textId="77777777" w:rsidTr="00D4504D">
        <w:trPr>
          <w:trHeight w:val="285"/>
        </w:trPr>
        <w:tc>
          <w:tcPr>
            <w:tcW w:w="1245" w:type="dxa"/>
            <w:tcBorders>
              <w:top w:val="single" w:sz="6" w:space="0" w:color="1B556B"/>
              <w:left w:val="nil"/>
              <w:bottom w:val="single" w:sz="6" w:space="0" w:color="1B556B"/>
              <w:right w:val="single" w:sz="6" w:space="0" w:color="1B556B"/>
            </w:tcBorders>
            <w:shd w:val="clear" w:color="auto" w:fill="FFFFFF"/>
            <w:vAlign w:val="center"/>
            <w:hideMark/>
          </w:tcPr>
          <w:p w14:paraId="1C4C7B53"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Asian Development Bank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3D23DEB1" w14:textId="7863652E" w:rsidR="00D309F4" w:rsidRPr="00742143" w:rsidRDefault="00960813" w:rsidP="00D4504D">
            <w:pPr>
              <w:spacing w:line="240" w:lineRule="auto"/>
              <w:jc w:val="left"/>
              <w:rPr>
                <w:rFonts w:asciiTheme="minorHAnsi" w:hAnsiTheme="minorHAnsi" w:cstheme="minorHAnsi"/>
                <w:sz w:val="16"/>
                <w:szCs w:val="16"/>
              </w:rPr>
            </w:pPr>
            <w:r>
              <w:rPr>
                <w:rFonts w:asciiTheme="minorHAnsi" w:hAnsiTheme="minorHAnsi" w:cstheme="minorHAnsi"/>
                <w:sz w:val="16"/>
                <w:szCs w:val="16"/>
              </w:rPr>
              <w:t>727,965</w:t>
            </w:r>
            <w:r w:rsidR="00026A28">
              <w:rPr>
                <w:rFonts w:asciiTheme="minorHAnsi" w:hAnsiTheme="minorHAnsi" w:cstheme="minorHAnsi"/>
                <w:sz w:val="16"/>
                <w:szCs w:val="16"/>
              </w:rPr>
              <w:t>.</w:t>
            </w:r>
            <w:r>
              <w:rPr>
                <w:rFonts w:asciiTheme="minorHAnsi" w:hAnsiTheme="minorHAnsi" w:cstheme="minorHAnsi"/>
                <w:sz w:val="16"/>
                <w:szCs w:val="16"/>
              </w:rPr>
              <w:t>89</w:t>
            </w:r>
            <w:r w:rsidR="00D309F4" w:rsidRPr="00742143">
              <w:rPr>
                <w:rFonts w:asciiTheme="minorHAnsi" w:hAnsiTheme="minorHAnsi" w:cstheme="minorHAnsi"/>
                <w:sz w:val="16"/>
                <w:szCs w:val="16"/>
              </w:rPr>
              <w:t>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24230757"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1,148,075  </w:t>
            </w:r>
          </w:p>
        </w:tc>
        <w:tc>
          <w:tcPr>
            <w:tcW w:w="825"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6EDD62AE"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G</w:t>
            </w:r>
            <w:r w:rsidRPr="00742143">
              <w:rPr>
                <w:rFonts w:asciiTheme="minorHAnsi" w:hAnsiTheme="minorHAnsi" w:cstheme="minorHAnsi"/>
                <w:sz w:val="16"/>
                <w:szCs w:val="16"/>
              </w:rPr>
              <w:t>lobal  </w:t>
            </w:r>
          </w:p>
        </w:tc>
        <w:tc>
          <w:tcPr>
            <w:tcW w:w="126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3E1F9164"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ADB ADF13  </w:t>
            </w:r>
          </w:p>
        </w:tc>
        <w:tc>
          <w:tcPr>
            <w:tcW w:w="855"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5C197D9F"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Disbursed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58F523DD"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M</w:t>
            </w:r>
            <w:r w:rsidRPr="00742143">
              <w:rPr>
                <w:rFonts w:asciiTheme="minorHAnsi" w:hAnsiTheme="minorHAnsi" w:cstheme="minorHAnsi"/>
                <w:sz w:val="16"/>
                <w:szCs w:val="16"/>
              </w:rPr>
              <w:t>ultilateral  </w:t>
            </w:r>
          </w:p>
        </w:tc>
        <w:tc>
          <w:tcPr>
            <w:tcW w:w="84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4F6DACBA"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ODA  </w:t>
            </w:r>
          </w:p>
        </w:tc>
        <w:tc>
          <w:tcPr>
            <w:tcW w:w="96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3D883470"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Grant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2D507080"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Cross-cutting  </w:t>
            </w:r>
          </w:p>
        </w:tc>
        <w:tc>
          <w:tcPr>
            <w:tcW w:w="144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01F8A0BE"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Multisector/</w:t>
            </w:r>
            <w:r w:rsidRPr="00742143">
              <w:rPr>
                <w:rFonts w:asciiTheme="minorHAnsi" w:hAnsiTheme="minorHAnsi" w:cstheme="minorHAnsi"/>
                <w:sz w:val="16"/>
                <w:szCs w:val="16"/>
              </w:rPr>
              <w:br/>
              <w:t>Cross-cutting  </w:t>
            </w:r>
          </w:p>
        </w:tc>
        <w:tc>
          <w:tcPr>
            <w:tcW w:w="7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3A3B3C04"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Yes  </w:t>
            </w:r>
          </w:p>
        </w:tc>
        <w:tc>
          <w:tcPr>
            <w:tcW w:w="945" w:type="dxa"/>
            <w:tcBorders>
              <w:top w:val="single" w:sz="6" w:space="0" w:color="1B556B"/>
              <w:left w:val="single" w:sz="6" w:space="0" w:color="1B556B"/>
              <w:bottom w:val="single" w:sz="6" w:space="0" w:color="1B556B"/>
              <w:right w:val="nil"/>
            </w:tcBorders>
            <w:shd w:val="clear" w:color="auto" w:fill="FFFFFF"/>
            <w:vAlign w:val="center"/>
            <w:hideMark/>
          </w:tcPr>
          <w:p w14:paraId="0D7A38A1"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No  </w:t>
            </w:r>
          </w:p>
        </w:tc>
      </w:tr>
      <w:tr w:rsidR="00D309F4" w:rsidRPr="0008616C" w14:paraId="62BD2A73" w14:textId="77777777" w:rsidTr="00D4504D">
        <w:trPr>
          <w:trHeight w:val="285"/>
        </w:trPr>
        <w:tc>
          <w:tcPr>
            <w:tcW w:w="14550" w:type="dxa"/>
            <w:gridSpan w:val="13"/>
            <w:tcBorders>
              <w:top w:val="single" w:sz="6" w:space="0" w:color="1B556B"/>
              <w:left w:val="nil"/>
              <w:bottom w:val="single" w:sz="6" w:space="0" w:color="1B556B"/>
              <w:right w:val="nil"/>
            </w:tcBorders>
            <w:shd w:val="clear" w:color="auto" w:fill="D2DDE1"/>
            <w:hideMark/>
          </w:tcPr>
          <w:p w14:paraId="087745CB"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b/>
                <w:bCs/>
                <w:sz w:val="16"/>
                <w:szCs w:val="16"/>
              </w:rPr>
              <w:t>Specialised United Nations Bodies </w:t>
            </w:r>
            <w:r w:rsidRPr="00742143">
              <w:rPr>
                <w:rFonts w:asciiTheme="minorHAnsi" w:hAnsiTheme="minorHAnsi" w:cstheme="minorHAnsi"/>
                <w:sz w:val="16"/>
                <w:szCs w:val="16"/>
              </w:rPr>
              <w:t> </w:t>
            </w:r>
          </w:p>
        </w:tc>
      </w:tr>
      <w:tr w:rsidR="00960813" w:rsidRPr="0008616C" w14:paraId="18B98753" w14:textId="77777777" w:rsidTr="00D4504D">
        <w:trPr>
          <w:trHeight w:val="285"/>
        </w:trPr>
        <w:tc>
          <w:tcPr>
            <w:tcW w:w="1245" w:type="dxa"/>
            <w:tcBorders>
              <w:top w:val="single" w:sz="6" w:space="0" w:color="1B556B"/>
              <w:left w:val="nil"/>
              <w:bottom w:val="single" w:sz="6" w:space="0" w:color="1B556B"/>
              <w:right w:val="single" w:sz="6" w:space="0" w:color="1B556B"/>
            </w:tcBorders>
            <w:shd w:val="clear" w:color="auto" w:fill="FFFFFF"/>
            <w:hideMark/>
          </w:tcPr>
          <w:p w14:paraId="0E127657"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United Nations World Food Programme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hideMark/>
          </w:tcPr>
          <w:p w14:paraId="7552A50B" w14:textId="25D4BB3D" w:rsidR="00D309F4" w:rsidRPr="00742143" w:rsidRDefault="00746728" w:rsidP="00D4504D">
            <w:pPr>
              <w:spacing w:line="240" w:lineRule="auto"/>
              <w:jc w:val="left"/>
              <w:rPr>
                <w:rFonts w:asciiTheme="minorHAnsi" w:hAnsiTheme="minorHAnsi" w:cstheme="minorHAnsi"/>
                <w:sz w:val="16"/>
                <w:szCs w:val="16"/>
              </w:rPr>
            </w:pPr>
            <w:r>
              <w:rPr>
                <w:rFonts w:asciiTheme="minorHAnsi" w:hAnsiTheme="minorHAnsi" w:cstheme="minorHAnsi"/>
                <w:sz w:val="16"/>
                <w:szCs w:val="16"/>
              </w:rPr>
              <w:t>1,141,</w:t>
            </w:r>
            <w:r w:rsidR="00C03935">
              <w:rPr>
                <w:rFonts w:asciiTheme="minorHAnsi" w:hAnsiTheme="minorHAnsi" w:cstheme="minorHAnsi"/>
                <w:sz w:val="16"/>
                <w:szCs w:val="16"/>
              </w:rPr>
              <w:t>335.36</w:t>
            </w:r>
            <w:r w:rsidR="00D309F4" w:rsidRPr="00742143">
              <w:rPr>
                <w:rFonts w:asciiTheme="minorHAnsi" w:hAnsiTheme="minorHAnsi" w:cstheme="minorHAnsi"/>
                <w:sz w:val="16"/>
                <w:szCs w:val="16"/>
              </w:rPr>
              <w:t>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hideMark/>
          </w:tcPr>
          <w:p w14:paraId="7E929519"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1,800,000  </w:t>
            </w:r>
          </w:p>
        </w:tc>
        <w:tc>
          <w:tcPr>
            <w:tcW w:w="825" w:type="dxa"/>
            <w:tcBorders>
              <w:top w:val="single" w:sz="6" w:space="0" w:color="1B556B"/>
              <w:left w:val="single" w:sz="6" w:space="0" w:color="1B556B"/>
              <w:bottom w:val="single" w:sz="6" w:space="0" w:color="1B556B"/>
              <w:right w:val="single" w:sz="6" w:space="0" w:color="1B556B"/>
            </w:tcBorders>
            <w:shd w:val="clear" w:color="auto" w:fill="FFFFFF"/>
            <w:hideMark/>
          </w:tcPr>
          <w:p w14:paraId="586ED4E5"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G</w:t>
            </w:r>
            <w:r w:rsidRPr="00742143">
              <w:rPr>
                <w:rFonts w:asciiTheme="minorHAnsi" w:hAnsiTheme="minorHAnsi" w:cstheme="minorHAnsi"/>
                <w:sz w:val="16"/>
                <w:szCs w:val="16"/>
              </w:rPr>
              <w:t>lobal  </w:t>
            </w:r>
          </w:p>
        </w:tc>
        <w:tc>
          <w:tcPr>
            <w:tcW w:w="1260" w:type="dxa"/>
            <w:tcBorders>
              <w:top w:val="single" w:sz="6" w:space="0" w:color="1B556B"/>
              <w:left w:val="single" w:sz="6" w:space="0" w:color="1B556B"/>
              <w:bottom w:val="single" w:sz="6" w:space="0" w:color="1B556B"/>
              <w:right w:val="single" w:sz="6" w:space="0" w:color="1B556B"/>
            </w:tcBorders>
            <w:shd w:val="clear" w:color="auto" w:fill="FFFFFF"/>
            <w:hideMark/>
          </w:tcPr>
          <w:p w14:paraId="2EEA35ED"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WFP 2018/19</w:t>
            </w:r>
            <w:r>
              <w:rPr>
                <w:rFonts w:asciiTheme="minorHAnsi" w:hAnsiTheme="minorHAnsi" w:cstheme="minorHAnsi"/>
                <w:sz w:val="16"/>
                <w:szCs w:val="16"/>
              </w:rPr>
              <w:t>–</w:t>
            </w:r>
            <w:r w:rsidRPr="00742143">
              <w:rPr>
                <w:rFonts w:asciiTheme="minorHAnsi" w:hAnsiTheme="minorHAnsi" w:cstheme="minorHAnsi"/>
                <w:sz w:val="16"/>
                <w:szCs w:val="16"/>
              </w:rPr>
              <w:t>2020/21  </w:t>
            </w:r>
          </w:p>
        </w:tc>
        <w:tc>
          <w:tcPr>
            <w:tcW w:w="855" w:type="dxa"/>
            <w:tcBorders>
              <w:top w:val="single" w:sz="6" w:space="0" w:color="1B556B"/>
              <w:left w:val="single" w:sz="6" w:space="0" w:color="1B556B"/>
              <w:bottom w:val="single" w:sz="6" w:space="0" w:color="1B556B"/>
              <w:right w:val="single" w:sz="6" w:space="0" w:color="1B556B"/>
            </w:tcBorders>
            <w:shd w:val="clear" w:color="auto" w:fill="FFFFFF"/>
            <w:hideMark/>
          </w:tcPr>
          <w:p w14:paraId="6A238BAE"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Disbursed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hideMark/>
          </w:tcPr>
          <w:p w14:paraId="70B27018"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M</w:t>
            </w:r>
            <w:r w:rsidRPr="00742143">
              <w:rPr>
                <w:rFonts w:asciiTheme="minorHAnsi" w:hAnsiTheme="minorHAnsi" w:cstheme="minorHAnsi"/>
                <w:sz w:val="16"/>
                <w:szCs w:val="16"/>
              </w:rPr>
              <w:t>ultilateral  </w:t>
            </w:r>
          </w:p>
        </w:tc>
        <w:tc>
          <w:tcPr>
            <w:tcW w:w="840" w:type="dxa"/>
            <w:tcBorders>
              <w:top w:val="single" w:sz="6" w:space="0" w:color="1B556B"/>
              <w:left w:val="single" w:sz="6" w:space="0" w:color="1B556B"/>
              <w:bottom w:val="single" w:sz="6" w:space="0" w:color="1B556B"/>
              <w:right w:val="single" w:sz="6" w:space="0" w:color="1B556B"/>
            </w:tcBorders>
            <w:shd w:val="clear" w:color="auto" w:fill="FFFFFF"/>
            <w:hideMark/>
          </w:tcPr>
          <w:p w14:paraId="0883396A"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ODA  </w:t>
            </w:r>
          </w:p>
        </w:tc>
        <w:tc>
          <w:tcPr>
            <w:tcW w:w="960" w:type="dxa"/>
            <w:tcBorders>
              <w:top w:val="single" w:sz="6" w:space="0" w:color="1B556B"/>
              <w:left w:val="single" w:sz="6" w:space="0" w:color="1B556B"/>
              <w:bottom w:val="single" w:sz="6" w:space="0" w:color="1B556B"/>
              <w:right w:val="single" w:sz="6" w:space="0" w:color="1B556B"/>
            </w:tcBorders>
            <w:shd w:val="clear" w:color="auto" w:fill="FFFFFF"/>
            <w:hideMark/>
          </w:tcPr>
          <w:p w14:paraId="2D3E522E"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Grant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hideMark/>
          </w:tcPr>
          <w:p w14:paraId="4AE36ACE"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Cross-cutting  </w:t>
            </w:r>
          </w:p>
        </w:tc>
        <w:tc>
          <w:tcPr>
            <w:tcW w:w="1440" w:type="dxa"/>
            <w:tcBorders>
              <w:top w:val="single" w:sz="6" w:space="0" w:color="1B556B"/>
              <w:left w:val="single" w:sz="6" w:space="0" w:color="1B556B"/>
              <w:bottom w:val="single" w:sz="6" w:space="0" w:color="1B556B"/>
              <w:right w:val="single" w:sz="6" w:space="0" w:color="1B556B"/>
            </w:tcBorders>
            <w:shd w:val="clear" w:color="auto" w:fill="FFFFFF"/>
            <w:hideMark/>
          </w:tcPr>
          <w:p w14:paraId="11852E3D"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Humanitarian Aid  </w:t>
            </w:r>
          </w:p>
        </w:tc>
        <w:tc>
          <w:tcPr>
            <w:tcW w:w="750" w:type="dxa"/>
            <w:tcBorders>
              <w:top w:val="single" w:sz="6" w:space="0" w:color="1B556B"/>
              <w:left w:val="single" w:sz="6" w:space="0" w:color="1B556B"/>
              <w:bottom w:val="single" w:sz="6" w:space="0" w:color="1B556B"/>
              <w:right w:val="single" w:sz="6" w:space="0" w:color="1B556B"/>
            </w:tcBorders>
            <w:shd w:val="clear" w:color="auto" w:fill="FFFFFF"/>
            <w:hideMark/>
          </w:tcPr>
          <w:p w14:paraId="3D4BA5FD"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No  </w:t>
            </w:r>
          </w:p>
        </w:tc>
        <w:tc>
          <w:tcPr>
            <w:tcW w:w="945" w:type="dxa"/>
            <w:tcBorders>
              <w:top w:val="single" w:sz="6" w:space="0" w:color="1B556B"/>
              <w:left w:val="single" w:sz="6" w:space="0" w:color="1B556B"/>
              <w:bottom w:val="single" w:sz="6" w:space="0" w:color="1B556B"/>
              <w:right w:val="nil"/>
            </w:tcBorders>
            <w:shd w:val="clear" w:color="auto" w:fill="FFFFFF"/>
            <w:hideMark/>
          </w:tcPr>
          <w:p w14:paraId="1A2BADDC"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No  </w:t>
            </w:r>
          </w:p>
        </w:tc>
      </w:tr>
      <w:tr w:rsidR="00960813" w:rsidRPr="0008616C" w14:paraId="296F6BC3" w14:textId="77777777" w:rsidTr="00D4504D">
        <w:trPr>
          <w:trHeight w:val="285"/>
        </w:trPr>
        <w:tc>
          <w:tcPr>
            <w:tcW w:w="1245" w:type="dxa"/>
            <w:tcBorders>
              <w:top w:val="single" w:sz="6" w:space="0" w:color="1B556B"/>
              <w:left w:val="nil"/>
              <w:bottom w:val="single" w:sz="6" w:space="0" w:color="1B556B"/>
              <w:right w:val="single" w:sz="6" w:space="0" w:color="1B556B"/>
            </w:tcBorders>
            <w:shd w:val="clear" w:color="auto" w:fill="FFFFFF"/>
            <w:vAlign w:val="center"/>
            <w:hideMark/>
          </w:tcPr>
          <w:p w14:paraId="208929AF"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United Nations Development Programme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4910F0B2" w14:textId="6D1FE521"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570,</w:t>
            </w:r>
            <w:r w:rsidR="00E200CA">
              <w:rPr>
                <w:rFonts w:asciiTheme="minorHAnsi" w:hAnsiTheme="minorHAnsi" w:cstheme="minorHAnsi"/>
                <w:sz w:val="16"/>
                <w:szCs w:val="16"/>
              </w:rPr>
              <w:t>667.68</w:t>
            </w:r>
            <w:r w:rsidRPr="00742143">
              <w:rPr>
                <w:rFonts w:asciiTheme="minorHAnsi" w:hAnsiTheme="minorHAnsi" w:cstheme="minorHAnsi"/>
                <w:sz w:val="16"/>
                <w:szCs w:val="16"/>
              </w:rPr>
              <w:t>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29EEB980"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900,000  </w:t>
            </w:r>
          </w:p>
        </w:tc>
        <w:tc>
          <w:tcPr>
            <w:tcW w:w="825"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464F3F5D"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G</w:t>
            </w:r>
            <w:r w:rsidRPr="00742143">
              <w:rPr>
                <w:rFonts w:asciiTheme="minorHAnsi" w:hAnsiTheme="minorHAnsi" w:cstheme="minorHAnsi"/>
                <w:sz w:val="16"/>
                <w:szCs w:val="16"/>
              </w:rPr>
              <w:t>lobal  </w:t>
            </w:r>
          </w:p>
        </w:tc>
        <w:tc>
          <w:tcPr>
            <w:tcW w:w="126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693EA0C9"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UNDP 2018/19 - 2020/21  </w:t>
            </w:r>
          </w:p>
        </w:tc>
        <w:tc>
          <w:tcPr>
            <w:tcW w:w="855"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22AB1C3C"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Disbursed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1966DBC7"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M</w:t>
            </w:r>
            <w:r w:rsidRPr="00742143">
              <w:rPr>
                <w:rFonts w:asciiTheme="minorHAnsi" w:hAnsiTheme="minorHAnsi" w:cstheme="minorHAnsi"/>
                <w:sz w:val="16"/>
                <w:szCs w:val="16"/>
              </w:rPr>
              <w:t>ultilateral  </w:t>
            </w:r>
          </w:p>
        </w:tc>
        <w:tc>
          <w:tcPr>
            <w:tcW w:w="84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1A0A1AB1"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ODA  </w:t>
            </w:r>
          </w:p>
        </w:tc>
        <w:tc>
          <w:tcPr>
            <w:tcW w:w="96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10AEB106"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Grant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18C9F9EA"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Cross-cutting  </w:t>
            </w:r>
          </w:p>
        </w:tc>
        <w:tc>
          <w:tcPr>
            <w:tcW w:w="144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17854B78"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Multisector/</w:t>
            </w:r>
            <w:r w:rsidRPr="00742143">
              <w:rPr>
                <w:rFonts w:asciiTheme="minorHAnsi" w:hAnsiTheme="minorHAnsi" w:cstheme="minorHAnsi"/>
                <w:sz w:val="16"/>
                <w:szCs w:val="16"/>
              </w:rPr>
              <w:br/>
              <w:t>Cross-cutting  </w:t>
            </w:r>
          </w:p>
        </w:tc>
        <w:tc>
          <w:tcPr>
            <w:tcW w:w="7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6FACFCAE"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Yes  </w:t>
            </w:r>
          </w:p>
        </w:tc>
        <w:tc>
          <w:tcPr>
            <w:tcW w:w="945" w:type="dxa"/>
            <w:tcBorders>
              <w:top w:val="single" w:sz="6" w:space="0" w:color="1B556B"/>
              <w:left w:val="single" w:sz="6" w:space="0" w:color="1B556B"/>
              <w:bottom w:val="single" w:sz="6" w:space="0" w:color="1B556B"/>
              <w:right w:val="nil"/>
            </w:tcBorders>
            <w:shd w:val="clear" w:color="auto" w:fill="FFFFFF"/>
            <w:vAlign w:val="center"/>
            <w:hideMark/>
          </w:tcPr>
          <w:p w14:paraId="5A6680FE"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No  </w:t>
            </w:r>
          </w:p>
        </w:tc>
      </w:tr>
      <w:tr w:rsidR="00960813" w:rsidRPr="0008616C" w14:paraId="79905E12" w14:textId="77777777" w:rsidTr="00D4504D">
        <w:trPr>
          <w:trHeight w:val="285"/>
        </w:trPr>
        <w:tc>
          <w:tcPr>
            <w:tcW w:w="1245" w:type="dxa"/>
            <w:tcBorders>
              <w:top w:val="single" w:sz="6" w:space="0" w:color="1B556B"/>
              <w:left w:val="nil"/>
              <w:bottom w:val="single" w:sz="6" w:space="0" w:color="1B556B"/>
              <w:right w:val="single" w:sz="6" w:space="0" w:color="1B556B"/>
            </w:tcBorders>
            <w:shd w:val="clear" w:color="auto" w:fill="FFFFFF"/>
            <w:vAlign w:val="center"/>
            <w:hideMark/>
          </w:tcPr>
          <w:p w14:paraId="3285E95D"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UNICEF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5656603D" w14:textId="7BA6183F" w:rsidR="00D309F4" w:rsidRPr="00742143" w:rsidRDefault="00E200CA" w:rsidP="00D4504D">
            <w:pPr>
              <w:spacing w:line="240" w:lineRule="auto"/>
              <w:jc w:val="left"/>
              <w:rPr>
                <w:rFonts w:asciiTheme="minorHAnsi" w:hAnsiTheme="minorHAnsi" w:cstheme="minorHAnsi"/>
                <w:sz w:val="16"/>
                <w:szCs w:val="16"/>
              </w:rPr>
            </w:pPr>
            <w:r>
              <w:rPr>
                <w:rFonts w:asciiTheme="minorHAnsi" w:hAnsiTheme="minorHAnsi" w:cstheme="minorHAnsi"/>
                <w:sz w:val="16"/>
                <w:szCs w:val="16"/>
              </w:rPr>
              <w:t>1,141,335.36</w:t>
            </w:r>
            <w:r w:rsidR="00D309F4" w:rsidRPr="00742143">
              <w:rPr>
                <w:rFonts w:asciiTheme="minorHAnsi" w:hAnsiTheme="minorHAnsi" w:cstheme="minorHAnsi"/>
                <w:sz w:val="16"/>
                <w:szCs w:val="16"/>
              </w:rPr>
              <w:t>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4AB6DAA1"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1,800,000  </w:t>
            </w:r>
          </w:p>
        </w:tc>
        <w:tc>
          <w:tcPr>
            <w:tcW w:w="825"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63EE1D7D"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G</w:t>
            </w:r>
            <w:r w:rsidRPr="00742143">
              <w:rPr>
                <w:rFonts w:asciiTheme="minorHAnsi" w:hAnsiTheme="minorHAnsi" w:cstheme="minorHAnsi"/>
                <w:sz w:val="16"/>
                <w:szCs w:val="16"/>
              </w:rPr>
              <w:t>lobal  </w:t>
            </w:r>
          </w:p>
        </w:tc>
        <w:tc>
          <w:tcPr>
            <w:tcW w:w="126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40EE3DCB"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UNICEF 2021</w:t>
            </w:r>
            <w:r>
              <w:rPr>
                <w:rFonts w:asciiTheme="minorHAnsi" w:hAnsiTheme="minorHAnsi" w:cstheme="minorHAnsi"/>
                <w:sz w:val="16"/>
                <w:szCs w:val="16"/>
              </w:rPr>
              <w:t>–</w:t>
            </w:r>
            <w:r w:rsidRPr="00742143">
              <w:rPr>
                <w:rFonts w:asciiTheme="minorHAnsi" w:hAnsiTheme="minorHAnsi" w:cstheme="minorHAnsi"/>
                <w:sz w:val="16"/>
                <w:szCs w:val="16"/>
              </w:rPr>
              <w:t>24  </w:t>
            </w:r>
          </w:p>
        </w:tc>
        <w:tc>
          <w:tcPr>
            <w:tcW w:w="855"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0EC5787B"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Disbursed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48ABB118"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M</w:t>
            </w:r>
            <w:r w:rsidRPr="00742143">
              <w:rPr>
                <w:rFonts w:asciiTheme="minorHAnsi" w:hAnsiTheme="minorHAnsi" w:cstheme="minorHAnsi"/>
                <w:sz w:val="16"/>
                <w:szCs w:val="16"/>
              </w:rPr>
              <w:t>ultilateral  </w:t>
            </w:r>
          </w:p>
        </w:tc>
        <w:tc>
          <w:tcPr>
            <w:tcW w:w="84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7DB5B836"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ODA  </w:t>
            </w:r>
          </w:p>
        </w:tc>
        <w:tc>
          <w:tcPr>
            <w:tcW w:w="96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3F68EF4C"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Grant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37B0FDDE"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Adaptation  </w:t>
            </w:r>
          </w:p>
        </w:tc>
        <w:tc>
          <w:tcPr>
            <w:tcW w:w="144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1C07FD86"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Multisector/</w:t>
            </w:r>
            <w:r w:rsidRPr="00742143">
              <w:rPr>
                <w:rFonts w:asciiTheme="minorHAnsi" w:hAnsiTheme="minorHAnsi" w:cstheme="minorHAnsi"/>
                <w:sz w:val="16"/>
                <w:szCs w:val="16"/>
              </w:rPr>
              <w:br/>
              <w:t>Cross-cutting  </w:t>
            </w:r>
          </w:p>
        </w:tc>
        <w:tc>
          <w:tcPr>
            <w:tcW w:w="7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7995C947"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No  </w:t>
            </w:r>
          </w:p>
        </w:tc>
        <w:tc>
          <w:tcPr>
            <w:tcW w:w="945" w:type="dxa"/>
            <w:tcBorders>
              <w:top w:val="single" w:sz="6" w:space="0" w:color="1B556B"/>
              <w:left w:val="single" w:sz="6" w:space="0" w:color="1B556B"/>
              <w:bottom w:val="single" w:sz="6" w:space="0" w:color="1B556B"/>
              <w:right w:val="nil"/>
            </w:tcBorders>
            <w:shd w:val="clear" w:color="auto" w:fill="FFFFFF"/>
            <w:vAlign w:val="center"/>
            <w:hideMark/>
          </w:tcPr>
          <w:p w14:paraId="0257B390"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No  </w:t>
            </w:r>
          </w:p>
        </w:tc>
      </w:tr>
      <w:tr w:rsidR="00960813" w:rsidRPr="0008616C" w14:paraId="49A515BE" w14:textId="77777777" w:rsidTr="00D4504D">
        <w:trPr>
          <w:trHeight w:val="285"/>
        </w:trPr>
        <w:tc>
          <w:tcPr>
            <w:tcW w:w="1245" w:type="dxa"/>
            <w:tcBorders>
              <w:top w:val="single" w:sz="6" w:space="0" w:color="1B556B"/>
              <w:left w:val="nil"/>
              <w:bottom w:val="single" w:sz="6" w:space="0" w:color="1B556B"/>
              <w:right w:val="single" w:sz="6" w:space="0" w:color="1B556B"/>
            </w:tcBorders>
            <w:shd w:val="clear" w:color="auto" w:fill="FFFFFF"/>
            <w:vAlign w:val="center"/>
            <w:hideMark/>
          </w:tcPr>
          <w:p w14:paraId="3275D2AD"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United Nations Development Programme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6D20043F"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1,521,105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004FD715"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2,400,000  </w:t>
            </w:r>
          </w:p>
        </w:tc>
        <w:tc>
          <w:tcPr>
            <w:tcW w:w="825"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11FAED37"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G</w:t>
            </w:r>
            <w:r w:rsidRPr="00742143">
              <w:rPr>
                <w:rFonts w:asciiTheme="minorHAnsi" w:hAnsiTheme="minorHAnsi" w:cstheme="minorHAnsi"/>
                <w:sz w:val="16"/>
                <w:szCs w:val="16"/>
              </w:rPr>
              <w:t>lobal  </w:t>
            </w:r>
          </w:p>
        </w:tc>
        <w:tc>
          <w:tcPr>
            <w:tcW w:w="126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626B0D61"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UNDP 2021/22 to 2023/24  </w:t>
            </w:r>
          </w:p>
        </w:tc>
        <w:tc>
          <w:tcPr>
            <w:tcW w:w="855"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3FED2580"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Disbursed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07C474B2"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M</w:t>
            </w:r>
            <w:r w:rsidRPr="00742143">
              <w:rPr>
                <w:rFonts w:asciiTheme="minorHAnsi" w:hAnsiTheme="minorHAnsi" w:cstheme="minorHAnsi"/>
                <w:sz w:val="16"/>
                <w:szCs w:val="16"/>
              </w:rPr>
              <w:t>ultilateral  </w:t>
            </w:r>
          </w:p>
        </w:tc>
        <w:tc>
          <w:tcPr>
            <w:tcW w:w="84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16BD984C"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ODA  </w:t>
            </w:r>
          </w:p>
        </w:tc>
        <w:tc>
          <w:tcPr>
            <w:tcW w:w="96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028867F7"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Grant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460925BA"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Cross-cutting  </w:t>
            </w:r>
          </w:p>
        </w:tc>
        <w:tc>
          <w:tcPr>
            <w:tcW w:w="144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67F936D9"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Multisector/</w:t>
            </w:r>
            <w:r w:rsidRPr="00742143">
              <w:rPr>
                <w:rFonts w:asciiTheme="minorHAnsi" w:hAnsiTheme="minorHAnsi" w:cstheme="minorHAnsi"/>
                <w:sz w:val="16"/>
                <w:szCs w:val="16"/>
              </w:rPr>
              <w:br/>
              <w:t>Cross-cutting  </w:t>
            </w:r>
          </w:p>
        </w:tc>
        <w:tc>
          <w:tcPr>
            <w:tcW w:w="7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5EBA115A"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Yes  </w:t>
            </w:r>
          </w:p>
        </w:tc>
        <w:tc>
          <w:tcPr>
            <w:tcW w:w="945" w:type="dxa"/>
            <w:tcBorders>
              <w:top w:val="single" w:sz="6" w:space="0" w:color="1B556B"/>
              <w:left w:val="single" w:sz="6" w:space="0" w:color="1B556B"/>
              <w:bottom w:val="single" w:sz="6" w:space="0" w:color="1B556B"/>
              <w:right w:val="nil"/>
            </w:tcBorders>
            <w:shd w:val="clear" w:color="auto" w:fill="FFFFFF"/>
            <w:vAlign w:val="center"/>
            <w:hideMark/>
          </w:tcPr>
          <w:p w14:paraId="23388077"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No  </w:t>
            </w:r>
          </w:p>
        </w:tc>
      </w:tr>
      <w:tr w:rsidR="00960813" w:rsidRPr="0008616C" w14:paraId="23A8F660" w14:textId="77777777" w:rsidTr="00D4504D">
        <w:trPr>
          <w:trHeight w:val="285"/>
        </w:trPr>
        <w:tc>
          <w:tcPr>
            <w:tcW w:w="1245" w:type="dxa"/>
            <w:tcBorders>
              <w:top w:val="single" w:sz="6" w:space="0" w:color="1B556B"/>
              <w:left w:val="nil"/>
              <w:bottom w:val="single" w:sz="6" w:space="0" w:color="1B556B"/>
              <w:right w:val="single" w:sz="6" w:space="0" w:color="1B556B"/>
            </w:tcBorders>
            <w:shd w:val="clear" w:color="auto" w:fill="FFFFFF"/>
            <w:vAlign w:val="center"/>
            <w:hideMark/>
          </w:tcPr>
          <w:p w14:paraId="5D4002EC"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United Nations Environment Programme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7BBCFCF6" w14:textId="2DFD336E"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176,</w:t>
            </w:r>
            <w:r w:rsidR="000E3087">
              <w:rPr>
                <w:rFonts w:asciiTheme="minorHAnsi" w:hAnsiTheme="minorHAnsi" w:cstheme="minorHAnsi"/>
                <w:sz w:val="16"/>
                <w:szCs w:val="16"/>
              </w:rPr>
              <w:t>470.10</w:t>
            </w:r>
            <w:r w:rsidRPr="00742143">
              <w:rPr>
                <w:rFonts w:asciiTheme="minorHAnsi" w:hAnsiTheme="minorHAnsi" w:cstheme="minorHAnsi"/>
                <w:sz w:val="16"/>
                <w:szCs w:val="16"/>
              </w:rPr>
              <w:t>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1C41526B"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278,311  </w:t>
            </w:r>
          </w:p>
        </w:tc>
        <w:tc>
          <w:tcPr>
            <w:tcW w:w="825"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11039FD3"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G</w:t>
            </w:r>
            <w:r w:rsidRPr="00742143">
              <w:rPr>
                <w:rFonts w:asciiTheme="minorHAnsi" w:hAnsiTheme="minorHAnsi" w:cstheme="minorHAnsi"/>
                <w:sz w:val="16"/>
                <w:szCs w:val="16"/>
              </w:rPr>
              <w:t>lobal  </w:t>
            </w:r>
          </w:p>
        </w:tc>
        <w:tc>
          <w:tcPr>
            <w:tcW w:w="126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53172A08"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UNEP MP MLF10  </w:t>
            </w:r>
          </w:p>
        </w:tc>
        <w:tc>
          <w:tcPr>
            <w:tcW w:w="855"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3AB46094"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Disbursed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34E9E848"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M</w:t>
            </w:r>
            <w:r w:rsidRPr="00742143">
              <w:rPr>
                <w:rFonts w:asciiTheme="minorHAnsi" w:hAnsiTheme="minorHAnsi" w:cstheme="minorHAnsi"/>
                <w:sz w:val="16"/>
                <w:szCs w:val="16"/>
              </w:rPr>
              <w:t>ultilateral  </w:t>
            </w:r>
          </w:p>
        </w:tc>
        <w:tc>
          <w:tcPr>
            <w:tcW w:w="84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0C80D5D2"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ODA  </w:t>
            </w:r>
          </w:p>
        </w:tc>
        <w:tc>
          <w:tcPr>
            <w:tcW w:w="96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45978D97"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Grant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621FAB73"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Mitigation  </w:t>
            </w:r>
          </w:p>
        </w:tc>
        <w:tc>
          <w:tcPr>
            <w:tcW w:w="144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7401538F"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Multisector/</w:t>
            </w:r>
            <w:r w:rsidRPr="00742143">
              <w:rPr>
                <w:rFonts w:asciiTheme="minorHAnsi" w:hAnsiTheme="minorHAnsi" w:cstheme="minorHAnsi"/>
                <w:sz w:val="16"/>
                <w:szCs w:val="16"/>
              </w:rPr>
              <w:br/>
              <w:t>Cross-cutting  </w:t>
            </w:r>
          </w:p>
        </w:tc>
        <w:tc>
          <w:tcPr>
            <w:tcW w:w="7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71EF8DA8"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No  </w:t>
            </w:r>
          </w:p>
        </w:tc>
        <w:tc>
          <w:tcPr>
            <w:tcW w:w="945" w:type="dxa"/>
            <w:tcBorders>
              <w:top w:val="single" w:sz="6" w:space="0" w:color="1B556B"/>
              <w:left w:val="single" w:sz="6" w:space="0" w:color="1B556B"/>
              <w:bottom w:val="single" w:sz="6" w:space="0" w:color="1B556B"/>
              <w:right w:val="nil"/>
            </w:tcBorders>
            <w:shd w:val="clear" w:color="auto" w:fill="FFFFFF"/>
            <w:vAlign w:val="center"/>
            <w:hideMark/>
          </w:tcPr>
          <w:p w14:paraId="0E1A57DA"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No  </w:t>
            </w:r>
          </w:p>
        </w:tc>
      </w:tr>
      <w:tr w:rsidR="00960813" w:rsidRPr="0008616C" w14:paraId="01724E70" w14:textId="77777777" w:rsidTr="00D4504D">
        <w:trPr>
          <w:trHeight w:val="285"/>
        </w:trPr>
        <w:tc>
          <w:tcPr>
            <w:tcW w:w="1245" w:type="dxa"/>
            <w:tcBorders>
              <w:top w:val="single" w:sz="6" w:space="0" w:color="1B556B"/>
              <w:left w:val="nil"/>
              <w:bottom w:val="single" w:sz="6" w:space="0" w:color="1B556B"/>
              <w:right w:val="single" w:sz="6" w:space="0" w:color="1B556B"/>
            </w:tcBorders>
            <w:shd w:val="clear" w:color="auto" w:fill="FFFFFF"/>
            <w:vAlign w:val="center"/>
            <w:hideMark/>
          </w:tcPr>
          <w:p w14:paraId="240092D9"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International Fund for Agricultural Development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450E5DBB" w14:textId="65AAD741" w:rsidR="00D309F4" w:rsidRPr="0008616C" w:rsidRDefault="000E3087" w:rsidP="00D4504D">
            <w:pPr>
              <w:spacing w:line="240" w:lineRule="auto"/>
              <w:jc w:val="left"/>
              <w:rPr>
                <w:rFonts w:asciiTheme="minorHAnsi" w:hAnsiTheme="minorHAnsi" w:cstheme="minorHAnsi"/>
                <w:sz w:val="16"/>
                <w:szCs w:val="16"/>
              </w:rPr>
            </w:pPr>
            <w:r>
              <w:rPr>
                <w:rFonts w:asciiTheme="minorHAnsi" w:hAnsiTheme="minorHAnsi" w:cstheme="minorHAnsi"/>
                <w:sz w:val="16"/>
                <w:szCs w:val="16"/>
              </w:rPr>
              <w:t>304,356.10</w:t>
            </w:r>
            <w:r w:rsidR="00D309F4" w:rsidRPr="0008616C">
              <w:rPr>
                <w:rFonts w:asciiTheme="minorHAnsi" w:hAnsiTheme="minorHAnsi" w:cstheme="minorHAnsi"/>
                <w:sz w:val="16"/>
                <w:szCs w:val="16"/>
              </w:rPr>
              <w:t>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532EB309"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480,000  </w:t>
            </w:r>
          </w:p>
        </w:tc>
        <w:tc>
          <w:tcPr>
            <w:tcW w:w="825"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419753E2"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G</w:t>
            </w:r>
            <w:r w:rsidRPr="00742143">
              <w:rPr>
                <w:rFonts w:asciiTheme="minorHAnsi" w:hAnsiTheme="minorHAnsi" w:cstheme="minorHAnsi"/>
                <w:sz w:val="16"/>
                <w:szCs w:val="16"/>
              </w:rPr>
              <w:t>lobal  </w:t>
            </w:r>
          </w:p>
        </w:tc>
        <w:tc>
          <w:tcPr>
            <w:tcW w:w="126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6579E95B"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IFAD 12  </w:t>
            </w:r>
          </w:p>
        </w:tc>
        <w:tc>
          <w:tcPr>
            <w:tcW w:w="855"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10FA2340"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Disbursed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672703E6"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M</w:t>
            </w:r>
            <w:r w:rsidRPr="00742143">
              <w:rPr>
                <w:rFonts w:asciiTheme="minorHAnsi" w:hAnsiTheme="minorHAnsi" w:cstheme="minorHAnsi"/>
                <w:sz w:val="16"/>
                <w:szCs w:val="16"/>
              </w:rPr>
              <w:t>ultilateral  </w:t>
            </w:r>
          </w:p>
        </w:tc>
        <w:tc>
          <w:tcPr>
            <w:tcW w:w="84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5ECD6A7D"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ODA  </w:t>
            </w:r>
          </w:p>
        </w:tc>
        <w:tc>
          <w:tcPr>
            <w:tcW w:w="96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097B38BF"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Grant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573CAA1D"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Cross-cutting  </w:t>
            </w:r>
          </w:p>
        </w:tc>
        <w:tc>
          <w:tcPr>
            <w:tcW w:w="144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4D56F340"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Agriculture  </w:t>
            </w:r>
          </w:p>
        </w:tc>
        <w:tc>
          <w:tcPr>
            <w:tcW w:w="750" w:type="dxa"/>
            <w:tcBorders>
              <w:top w:val="single" w:sz="6" w:space="0" w:color="1B556B"/>
              <w:left w:val="single" w:sz="6" w:space="0" w:color="1B556B"/>
              <w:bottom w:val="single" w:sz="6" w:space="0" w:color="1B556B"/>
              <w:right w:val="single" w:sz="6" w:space="0" w:color="1B556B"/>
            </w:tcBorders>
            <w:shd w:val="clear" w:color="auto" w:fill="FFFFFF"/>
            <w:vAlign w:val="center"/>
            <w:hideMark/>
          </w:tcPr>
          <w:p w14:paraId="1BBEBA7D"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No  </w:t>
            </w:r>
          </w:p>
        </w:tc>
        <w:tc>
          <w:tcPr>
            <w:tcW w:w="945" w:type="dxa"/>
            <w:tcBorders>
              <w:top w:val="single" w:sz="6" w:space="0" w:color="1B556B"/>
              <w:left w:val="single" w:sz="6" w:space="0" w:color="1B556B"/>
              <w:bottom w:val="single" w:sz="6" w:space="0" w:color="1B556B"/>
              <w:right w:val="nil"/>
            </w:tcBorders>
            <w:shd w:val="clear" w:color="auto" w:fill="FFFFFF"/>
            <w:vAlign w:val="center"/>
            <w:hideMark/>
          </w:tcPr>
          <w:p w14:paraId="7F0517E3"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Yes  </w:t>
            </w:r>
          </w:p>
        </w:tc>
      </w:tr>
      <w:tr w:rsidR="00C05F9F" w:rsidRPr="0008616C" w14:paraId="7F228E08" w14:textId="77777777" w:rsidTr="00D4504D">
        <w:trPr>
          <w:trHeight w:val="285"/>
        </w:trPr>
        <w:tc>
          <w:tcPr>
            <w:tcW w:w="1245" w:type="dxa"/>
            <w:tcBorders>
              <w:top w:val="single" w:sz="6" w:space="0" w:color="1B556B"/>
              <w:left w:val="nil"/>
              <w:bottom w:val="single" w:sz="6" w:space="0" w:color="1B556B"/>
              <w:right w:val="single" w:sz="6" w:space="0" w:color="1B556B"/>
            </w:tcBorders>
            <w:shd w:val="clear" w:color="auto" w:fill="auto"/>
            <w:vAlign w:val="center"/>
            <w:hideMark/>
          </w:tcPr>
          <w:p w14:paraId="1937D29E"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United Nations Peacebuilding Fund</w:t>
            </w:r>
            <w:r w:rsidRPr="00742143">
              <w:rPr>
                <w:rFonts w:asciiTheme="minorHAnsi" w:hAnsiTheme="minorHAnsi" w:cstheme="minorHAnsi"/>
                <w:sz w:val="16"/>
                <w:szCs w:val="16"/>
              </w:rPr>
              <w:t> </w:t>
            </w:r>
          </w:p>
        </w:tc>
        <w:tc>
          <w:tcPr>
            <w:tcW w:w="162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0D97A629" w14:textId="6610BFB6"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570,66</w:t>
            </w:r>
            <w:r w:rsidR="000E3087">
              <w:rPr>
                <w:rFonts w:asciiTheme="minorHAnsi" w:hAnsiTheme="minorHAnsi" w:cstheme="minorHAnsi"/>
                <w:sz w:val="16"/>
                <w:szCs w:val="16"/>
              </w:rPr>
              <w:t>7.</w:t>
            </w:r>
            <w:r w:rsidR="005359A9">
              <w:rPr>
                <w:rFonts w:asciiTheme="minorHAnsi" w:hAnsiTheme="minorHAnsi" w:cstheme="minorHAnsi"/>
                <w:sz w:val="16"/>
                <w:szCs w:val="16"/>
              </w:rPr>
              <w:t>68</w:t>
            </w:r>
            <w:r w:rsidRPr="00742143">
              <w:rPr>
                <w:rFonts w:asciiTheme="minorHAnsi" w:hAnsiTheme="minorHAnsi" w:cstheme="minorHAnsi"/>
                <w:sz w:val="16"/>
                <w:szCs w:val="16"/>
              </w:rPr>
              <w:t> </w:t>
            </w:r>
          </w:p>
        </w:tc>
        <w:tc>
          <w:tcPr>
            <w:tcW w:w="162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0DCE18B3"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900,000</w:t>
            </w:r>
            <w:r w:rsidRPr="00742143">
              <w:rPr>
                <w:rFonts w:asciiTheme="minorHAnsi" w:hAnsiTheme="minorHAnsi" w:cstheme="minorHAnsi"/>
                <w:sz w:val="16"/>
                <w:szCs w:val="16"/>
              </w:rPr>
              <w:t> </w:t>
            </w:r>
          </w:p>
        </w:tc>
        <w:tc>
          <w:tcPr>
            <w:tcW w:w="825"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369643C9"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Global</w:t>
            </w:r>
            <w:r w:rsidRPr="00742143">
              <w:rPr>
                <w:rFonts w:asciiTheme="minorHAnsi" w:hAnsiTheme="minorHAnsi" w:cstheme="minorHAnsi"/>
                <w:sz w:val="16"/>
                <w:szCs w:val="16"/>
              </w:rPr>
              <w:t> </w:t>
            </w:r>
          </w:p>
        </w:tc>
        <w:tc>
          <w:tcPr>
            <w:tcW w:w="126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3DB3536B"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Peacebuilding Fund 2022–24</w:t>
            </w:r>
            <w:r w:rsidRPr="00742143">
              <w:rPr>
                <w:rFonts w:asciiTheme="minorHAnsi" w:hAnsiTheme="minorHAnsi" w:cstheme="minorHAnsi"/>
                <w:sz w:val="16"/>
                <w:szCs w:val="16"/>
              </w:rPr>
              <w:t> </w:t>
            </w:r>
          </w:p>
        </w:tc>
        <w:tc>
          <w:tcPr>
            <w:tcW w:w="855"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2394067E"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Disbursed</w:t>
            </w:r>
            <w:r w:rsidRPr="00742143">
              <w:rPr>
                <w:rFonts w:asciiTheme="minorHAnsi" w:hAnsiTheme="minorHAnsi" w:cstheme="minorHAnsi"/>
                <w:sz w:val="16"/>
                <w:szCs w:val="16"/>
              </w:rPr>
              <w:t> </w:t>
            </w:r>
          </w:p>
        </w:tc>
        <w:tc>
          <w:tcPr>
            <w:tcW w:w="105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00C9C25B"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Multilateral</w:t>
            </w:r>
            <w:r w:rsidRPr="00742143">
              <w:rPr>
                <w:rFonts w:asciiTheme="minorHAnsi" w:hAnsiTheme="minorHAnsi" w:cstheme="minorHAnsi"/>
                <w:sz w:val="16"/>
                <w:szCs w:val="16"/>
              </w:rPr>
              <w:t> </w:t>
            </w:r>
          </w:p>
        </w:tc>
        <w:tc>
          <w:tcPr>
            <w:tcW w:w="84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5731C179"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ODA</w:t>
            </w:r>
            <w:r w:rsidRPr="00742143">
              <w:rPr>
                <w:rFonts w:asciiTheme="minorHAnsi" w:hAnsiTheme="minorHAnsi" w:cstheme="minorHAnsi"/>
                <w:sz w:val="16"/>
                <w:szCs w:val="16"/>
              </w:rPr>
              <w:t> </w:t>
            </w:r>
          </w:p>
        </w:tc>
        <w:tc>
          <w:tcPr>
            <w:tcW w:w="96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2AD82370"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Grant</w:t>
            </w:r>
            <w:r w:rsidRPr="00742143">
              <w:rPr>
                <w:rFonts w:asciiTheme="minorHAnsi" w:hAnsiTheme="minorHAnsi" w:cstheme="minorHAnsi"/>
                <w:sz w:val="16"/>
                <w:szCs w:val="16"/>
              </w:rPr>
              <w:t> </w:t>
            </w:r>
          </w:p>
        </w:tc>
        <w:tc>
          <w:tcPr>
            <w:tcW w:w="105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40D454E2"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Adaptation</w:t>
            </w:r>
            <w:r w:rsidRPr="00742143">
              <w:rPr>
                <w:rFonts w:asciiTheme="minorHAnsi" w:hAnsiTheme="minorHAnsi" w:cstheme="minorHAnsi"/>
                <w:sz w:val="16"/>
                <w:szCs w:val="16"/>
              </w:rPr>
              <w:t> </w:t>
            </w:r>
          </w:p>
        </w:tc>
        <w:tc>
          <w:tcPr>
            <w:tcW w:w="144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2CC929BC"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Government and Civil Society</w:t>
            </w:r>
            <w:r w:rsidRPr="00742143">
              <w:rPr>
                <w:rFonts w:asciiTheme="minorHAnsi" w:hAnsiTheme="minorHAnsi" w:cstheme="minorHAnsi"/>
                <w:sz w:val="16"/>
                <w:szCs w:val="16"/>
              </w:rPr>
              <w:t> </w:t>
            </w:r>
          </w:p>
        </w:tc>
        <w:tc>
          <w:tcPr>
            <w:tcW w:w="75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3C52DDA6"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No</w:t>
            </w:r>
            <w:r w:rsidRPr="00742143">
              <w:rPr>
                <w:rFonts w:asciiTheme="minorHAnsi" w:hAnsiTheme="minorHAnsi" w:cstheme="minorHAnsi"/>
                <w:sz w:val="16"/>
                <w:szCs w:val="16"/>
              </w:rPr>
              <w:t> </w:t>
            </w:r>
          </w:p>
        </w:tc>
        <w:tc>
          <w:tcPr>
            <w:tcW w:w="945" w:type="dxa"/>
            <w:tcBorders>
              <w:top w:val="single" w:sz="6" w:space="0" w:color="1B556B"/>
              <w:left w:val="single" w:sz="6" w:space="0" w:color="1B556B"/>
              <w:bottom w:val="single" w:sz="6" w:space="0" w:color="1B556B"/>
              <w:right w:val="nil"/>
            </w:tcBorders>
            <w:shd w:val="clear" w:color="auto" w:fill="auto"/>
            <w:vAlign w:val="center"/>
            <w:hideMark/>
          </w:tcPr>
          <w:p w14:paraId="520E06AA" w14:textId="77777777" w:rsidR="00D309F4" w:rsidRPr="00742143"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sz w:val="16"/>
                <w:szCs w:val="16"/>
              </w:rPr>
              <w:t>No</w:t>
            </w:r>
            <w:r w:rsidRPr="00742143">
              <w:rPr>
                <w:rFonts w:asciiTheme="minorHAnsi" w:hAnsiTheme="minorHAnsi" w:cstheme="minorHAnsi"/>
                <w:sz w:val="16"/>
                <w:szCs w:val="16"/>
              </w:rPr>
              <w:t> </w:t>
            </w:r>
          </w:p>
        </w:tc>
      </w:tr>
      <w:tr w:rsidR="00D309F4" w:rsidRPr="0008616C" w14:paraId="5169ECDA" w14:textId="77777777" w:rsidTr="00D4504D">
        <w:trPr>
          <w:trHeight w:val="285"/>
        </w:trPr>
        <w:tc>
          <w:tcPr>
            <w:tcW w:w="14550" w:type="dxa"/>
            <w:gridSpan w:val="13"/>
            <w:tcBorders>
              <w:top w:val="single" w:sz="6" w:space="0" w:color="1B556B"/>
              <w:left w:val="nil"/>
              <w:bottom w:val="single" w:sz="6" w:space="0" w:color="1B556B"/>
              <w:right w:val="nil"/>
            </w:tcBorders>
            <w:shd w:val="clear" w:color="auto" w:fill="D2DDE1"/>
            <w:hideMark/>
          </w:tcPr>
          <w:p w14:paraId="6BAFC6C9"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b/>
                <w:bCs/>
                <w:sz w:val="16"/>
                <w:szCs w:val="16"/>
              </w:rPr>
              <w:t>Other Multilateral </w:t>
            </w:r>
            <w:r w:rsidRPr="00742143">
              <w:rPr>
                <w:rFonts w:asciiTheme="minorHAnsi" w:hAnsiTheme="minorHAnsi" w:cstheme="minorHAnsi"/>
                <w:sz w:val="16"/>
                <w:szCs w:val="16"/>
              </w:rPr>
              <w:t> </w:t>
            </w:r>
          </w:p>
        </w:tc>
      </w:tr>
      <w:tr w:rsidR="00C05F9F" w:rsidRPr="0008616C" w14:paraId="2F285659" w14:textId="77777777" w:rsidTr="00D4504D">
        <w:trPr>
          <w:trHeight w:val="285"/>
        </w:trPr>
        <w:tc>
          <w:tcPr>
            <w:tcW w:w="1245" w:type="dxa"/>
            <w:tcBorders>
              <w:top w:val="single" w:sz="6" w:space="0" w:color="1B556B"/>
              <w:left w:val="nil"/>
              <w:bottom w:val="single" w:sz="6" w:space="0" w:color="1B556B"/>
              <w:right w:val="single" w:sz="6" w:space="0" w:color="1B556B"/>
            </w:tcBorders>
            <w:shd w:val="clear" w:color="auto" w:fill="auto"/>
            <w:vAlign w:val="center"/>
            <w:hideMark/>
          </w:tcPr>
          <w:p w14:paraId="67B04D52" w14:textId="2B97A6EC" w:rsidR="00D309F4" w:rsidRPr="0008616C" w:rsidRDefault="00C05F9F" w:rsidP="00D4504D">
            <w:pPr>
              <w:spacing w:line="240" w:lineRule="auto"/>
              <w:jc w:val="left"/>
              <w:rPr>
                <w:rFonts w:asciiTheme="minorHAnsi" w:hAnsiTheme="minorHAnsi" w:cstheme="minorHAnsi"/>
                <w:sz w:val="16"/>
                <w:szCs w:val="16"/>
              </w:rPr>
            </w:pPr>
            <w:r>
              <w:rPr>
                <w:rFonts w:asciiTheme="minorHAnsi" w:hAnsiTheme="minorHAnsi" w:cstheme="minorHAnsi"/>
                <w:sz w:val="16"/>
                <w:szCs w:val="16"/>
              </w:rPr>
              <w:t>Alliance</w:t>
            </w:r>
            <w:r w:rsidR="00D309F4" w:rsidRPr="0008616C">
              <w:rPr>
                <w:rFonts w:asciiTheme="minorHAnsi" w:hAnsiTheme="minorHAnsi" w:cstheme="minorHAnsi"/>
                <w:sz w:val="16"/>
                <w:szCs w:val="16"/>
              </w:rPr>
              <w:t xml:space="preserve"> of Small Island States  </w:t>
            </w:r>
          </w:p>
        </w:tc>
        <w:tc>
          <w:tcPr>
            <w:tcW w:w="162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719332BB" w14:textId="73EB8499" w:rsidR="00D309F4" w:rsidRPr="0008616C" w:rsidRDefault="0096665B" w:rsidP="00D4504D">
            <w:pPr>
              <w:spacing w:line="240" w:lineRule="auto"/>
              <w:jc w:val="left"/>
              <w:rPr>
                <w:rFonts w:asciiTheme="minorHAnsi" w:hAnsiTheme="minorHAnsi" w:cstheme="minorHAnsi"/>
                <w:sz w:val="16"/>
                <w:szCs w:val="16"/>
              </w:rPr>
            </w:pPr>
            <w:r>
              <w:rPr>
                <w:rFonts w:asciiTheme="minorHAnsi" w:hAnsiTheme="minorHAnsi" w:cstheme="minorHAnsi"/>
                <w:sz w:val="16"/>
                <w:szCs w:val="16"/>
              </w:rPr>
              <w:t>138,043.88</w:t>
            </w:r>
            <w:r w:rsidR="00D309F4" w:rsidRPr="0008616C">
              <w:rPr>
                <w:rFonts w:asciiTheme="minorHAnsi" w:hAnsiTheme="minorHAnsi" w:cstheme="minorHAnsi"/>
                <w:sz w:val="16"/>
                <w:szCs w:val="16"/>
              </w:rPr>
              <w:t>  </w:t>
            </w:r>
          </w:p>
        </w:tc>
        <w:tc>
          <w:tcPr>
            <w:tcW w:w="162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370E1803"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217,709  </w:t>
            </w:r>
          </w:p>
        </w:tc>
        <w:tc>
          <w:tcPr>
            <w:tcW w:w="825"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32BBEA1B"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u w:val="single"/>
              </w:rPr>
              <w:t>G</w:t>
            </w:r>
            <w:r w:rsidRPr="0008616C">
              <w:rPr>
                <w:rFonts w:asciiTheme="minorHAnsi" w:hAnsiTheme="minorHAnsi" w:cstheme="minorHAnsi"/>
                <w:sz w:val="16"/>
                <w:szCs w:val="16"/>
              </w:rPr>
              <w:t>lobal  </w:t>
            </w:r>
          </w:p>
        </w:tc>
        <w:tc>
          <w:tcPr>
            <w:tcW w:w="126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6E10DE6E"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AOSIS Grant for Assistance  </w:t>
            </w:r>
          </w:p>
        </w:tc>
        <w:tc>
          <w:tcPr>
            <w:tcW w:w="855"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18320CE3"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Disbursed  </w:t>
            </w:r>
          </w:p>
        </w:tc>
        <w:tc>
          <w:tcPr>
            <w:tcW w:w="105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53251BBB" w14:textId="77777777" w:rsidR="00D309F4" w:rsidRPr="00742143" w:rsidRDefault="00D309F4" w:rsidP="00D4504D">
            <w:pPr>
              <w:spacing w:line="240" w:lineRule="auto"/>
              <w:jc w:val="left"/>
              <w:rPr>
                <w:rFonts w:asciiTheme="minorHAnsi" w:hAnsiTheme="minorHAnsi" w:cstheme="minorHAnsi"/>
                <w:sz w:val="16"/>
                <w:szCs w:val="16"/>
              </w:rPr>
            </w:pPr>
            <w:r w:rsidRPr="00DC0120">
              <w:rPr>
                <w:rFonts w:asciiTheme="minorHAnsi" w:hAnsiTheme="minorHAnsi" w:cstheme="minorHAnsi"/>
                <w:sz w:val="16"/>
                <w:szCs w:val="16"/>
              </w:rPr>
              <w:t>M</w:t>
            </w:r>
            <w:r w:rsidRPr="00742143">
              <w:rPr>
                <w:rFonts w:asciiTheme="minorHAnsi" w:hAnsiTheme="minorHAnsi" w:cstheme="minorHAnsi"/>
                <w:sz w:val="16"/>
                <w:szCs w:val="16"/>
              </w:rPr>
              <w:t>ultilateral  </w:t>
            </w:r>
          </w:p>
        </w:tc>
        <w:tc>
          <w:tcPr>
            <w:tcW w:w="84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51A5C8C6"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ODA  </w:t>
            </w:r>
          </w:p>
        </w:tc>
        <w:tc>
          <w:tcPr>
            <w:tcW w:w="96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601426B9"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Grant  </w:t>
            </w:r>
          </w:p>
        </w:tc>
        <w:tc>
          <w:tcPr>
            <w:tcW w:w="105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001E7C66"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Cross-cutting  </w:t>
            </w:r>
          </w:p>
        </w:tc>
        <w:tc>
          <w:tcPr>
            <w:tcW w:w="144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2C970BD4"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Multisector/</w:t>
            </w:r>
            <w:r w:rsidRPr="0008616C">
              <w:rPr>
                <w:rFonts w:asciiTheme="minorHAnsi" w:hAnsiTheme="minorHAnsi" w:cstheme="minorHAnsi"/>
                <w:sz w:val="16"/>
                <w:szCs w:val="16"/>
              </w:rPr>
              <w:br/>
              <w:t>Cross-cutting  </w:t>
            </w:r>
          </w:p>
        </w:tc>
        <w:tc>
          <w:tcPr>
            <w:tcW w:w="75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39AD9564"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Yes  </w:t>
            </w:r>
          </w:p>
        </w:tc>
        <w:tc>
          <w:tcPr>
            <w:tcW w:w="945" w:type="dxa"/>
            <w:tcBorders>
              <w:top w:val="single" w:sz="6" w:space="0" w:color="1B556B"/>
              <w:left w:val="single" w:sz="6" w:space="0" w:color="1B556B"/>
              <w:bottom w:val="single" w:sz="6" w:space="0" w:color="1B556B"/>
              <w:right w:val="nil"/>
            </w:tcBorders>
            <w:shd w:val="clear" w:color="auto" w:fill="auto"/>
            <w:vAlign w:val="center"/>
            <w:hideMark/>
          </w:tcPr>
          <w:p w14:paraId="5348E93B"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No  </w:t>
            </w:r>
          </w:p>
        </w:tc>
      </w:tr>
      <w:tr w:rsidR="00C05F9F" w:rsidRPr="0008616C" w14:paraId="3DD785F0" w14:textId="77777777" w:rsidTr="00D4504D">
        <w:trPr>
          <w:trHeight w:val="285"/>
        </w:trPr>
        <w:tc>
          <w:tcPr>
            <w:tcW w:w="1245" w:type="dxa"/>
            <w:tcBorders>
              <w:top w:val="single" w:sz="6" w:space="0" w:color="1B556B"/>
              <w:left w:val="nil"/>
              <w:bottom w:val="single" w:sz="6" w:space="0" w:color="1B556B"/>
              <w:right w:val="single" w:sz="6" w:space="0" w:color="1B556B"/>
            </w:tcBorders>
            <w:shd w:val="clear" w:color="auto" w:fill="auto"/>
            <w:vAlign w:val="center"/>
            <w:hideMark/>
          </w:tcPr>
          <w:p w14:paraId="39856CF9"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Consultative Group for International Agricultural Research  </w:t>
            </w:r>
          </w:p>
        </w:tc>
        <w:tc>
          <w:tcPr>
            <w:tcW w:w="162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4EB261BA" w14:textId="2D4ACBC2" w:rsidR="00D309F4" w:rsidRPr="0008616C" w:rsidRDefault="0030670C" w:rsidP="00D4504D">
            <w:pPr>
              <w:spacing w:line="240" w:lineRule="auto"/>
              <w:jc w:val="left"/>
              <w:rPr>
                <w:rFonts w:asciiTheme="minorHAnsi" w:hAnsiTheme="minorHAnsi" w:cstheme="minorHAnsi"/>
                <w:sz w:val="16"/>
                <w:szCs w:val="16"/>
              </w:rPr>
            </w:pPr>
            <w:r>
              <w:rPr>
                <w:rFonts w:asciiTheme="minorHAnsi" w:hAnsiTheme="minorHAnsi" w:cstheme="minorHAnsi"/>
                <w:sz w:val="16"/>
                <w:szCs w:val="16"/>
              </w:rPr>
              <w:t>2,041,722.15</w:t>
            </w:r>
            <w:r w:rsidR="00D309F4" w:rsidRPr="0008616C">
              <w:rPr>
                <w:rFonts w:asciiTheme="minorHAnsi" w:hAnsiTheme="minorHAnsi" w:cstheme="minorHAnsi"/>
                <w:sz w:val="16"/>
                <w:szCs w:val="16"/>
              </w:rPr>
              <w:t>  </w:t>
            </w:r>
          </w:p>
        </w:tc>
        <w:tc>
          <w:tcPr>
            <w:tcW w:w="162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2C5BEB2C"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3,220,000  </w:t>
            </w:r>
          </w:p>
        </w:tc>
        <w:tc>
          <w:tcPr>
            <w:tcW w:w="825"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5D59BF37"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u w:val="single"/>
              </w:rPr>
              <w:t>G</w:t>
            </w:r>
            <w:r w:rsidRPr="0008616C">
              <w:rPr>
                <w:rFonts w:asciiTheme="minorHAnsi" w:hAnsiTheme="minorHAnsi" w:cstheme="minorHAnsi"/>
                <w:sz w:val="16"/>
                <w:szCs w:val="16"/>
              </w:rPr>
              <w:t>lobal  </w:t>
            </w:r>
          </w:p>
        </w:tc>
        <w:tc>
          <w:tcPr>
            <w:tcW w:w="126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57097EB7"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 xml:space="preserve">CGIAR </w:t>
            </w:r>
            <w:r>
              <w:rPr>
                <w:rFonts w:asciiTheme="minorHAnsi" w:hAnsiTheme="minorHAnsi" w:cstheme="minorHAnsi"/>
                <w:sz w:val="16"/>
                <w:szCs w:val="16"/>
              </w:rPr>
              <w:t>–</w:t>
            </w:r>
            <w:r w:rsidRPr="0008616C">
              <w:rPr>
                <w:rFonts w:asciiTheme="minorHAnsi" w:hAnsiTheme="minorHAnsi" w:cstheme="minorHAnsi"/>
                <w:sz w:val="16"/>
                <w:szCs w:val="16"/>
              </w:rPr>
              <w:t xml:space="preserve"> 2021/22</w:t>
            </w:r>
            <w:r>
              <w:rPr>
                <w:rFonts w:asciiTheme="minorHAnsi" w:hAnsiTheme="minorHAnsi" w:cstheme="minorHAnsi"/>
                <w:sz w:val="16"/>
                <w:szCs w:val="16"/>
              </w:rPr>
              <w:t>–</w:t>
            </w:r>
            <w:r w:rsidRPr="0008616C">
              <w:rPr>
                <w:rFonts w:asciiTheme="minorHAnsi" w:hAnsiTheme="minorHAnsi" w:cstheme="minorHAnsi"/>
                <w:sz w:val="16"/>
                <w:szCs w:val="16"/>
              </w:rPr>
              <w:t xml:space="preserve"> 2023/24  </w:t>
            </w:r>
          </w:p>
        </w:tc>
        <w:tc>
          <w:tcPr>
            <w:tcW w:w="855"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224F153D"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Disbursed  </w:t>
            </w:r>
          </w:p>
        </w:tc>
        <w:tc>
          <w:tcPr>
            <w:tcW w:w="105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4EEE8812" w14:textId="77777777" w:rsidR="00D309F4" w:rsidRPr="00742143" w:rsidRDefault="00D309F4" w:rsidP="00D4504D">
            <w:pPr>
              <w:spacing w:line="240" w:lineRule="auto"/>
              <w:jc w:val="left"/>
              <w:rPr>
                <w:rFonts w:asciiTheme="minorHAnsi" w:hAnsiTheme="minorHAnsi" w:cstheme="minorHAnsi"/>
                <w:sz w:val="16"/>
                <w:szCs w:val="16"/>
              </w:rPr>
            </w:pPr>
            <w:r w:rsidRPr="00DC0120">
              <w:rPr>
                <w:rFonts w:asciiTheme="minorHAnsi" w:hAnsiTheme="minorHAnsi" w:cstheme="minorHAnsi"/>
                <w:sz w:val="16"/>
                <w:szCs w:val="16"/>
              </w:rPr>
              <w:t>M</w:t>
            </w:r>
            <w:r w:rsidRPr="00742143">
              <w:rPr>
                <w:rFonts w:asciiTheme="minorHAnsi" w:hAnsiTheme="minorHAnsi" w:cstheme="minorHAnsi"/>
                <w:sz w:val="16"/>
                <w:szCs w:val="16"/>
              </w:rPr>
              <w:t>ultilateral  </w:t>
            </w:r>
          </w:p>
        </w:tc>
        <w:tc>
          <w:tcPr>
            <w:tcW w:w="84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2FE6FC3F"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ODA  </w:t>
            </w:r>
          </w:p>
        </w:tc>
        <w:tc>
          <w:tcPr>
            <w:tcW w:w="96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4B67D155"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Grant  </w:t>
            </w:r>
          </w:p>
        </w:tc>
        <w:tc>
          <w:tcPr>
            <w:tcW w:w="105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68D6788D"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Cross-cutting  </w:t>
            </w:r>
          </w:p>
        </w:tc>
        <w:tc>
          <w:tcPr>
            <w:tcW w:w="144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06DBAECA"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Agriculture  </w:t>
            </w:r>
          </w:p>
        </w:tc>
        <w:tc>
          <w:tcPr>
            <w:tcW w:w="75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34CD2EA3"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Yes  </w:t>
            </w:r>
          </w:p>
        </w:tc>
        <w:tc>
          <w:tcPr>
            <w:tcW w:w="945" w:type="dxa"/>
            <w:tcBorders>
              <w:top w:val="single" w:sz="6" w:space="0" w:color="1B556B"/>
              <w:left w:val="single" w:sz="6" w:space="0" w:color="1B556B"/>
              <w:bottom w:val="single" w:sz="6" w:space="0" w:color="1B556B"/>
              <w:right w:val="nil"/>
            </w:tcBorders>
            <w:shd w:val="clear" w:color="auto" w:fill="auto"/>
            <w:vAlign w:val="center"/>
            <w:hideMark/>
          </w:tcPr>
          <w:p w14:paraId="3E82DFFB"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Yes  </w:t>
            </w:r>
          </w:p>
        </w:tc>
      </w:tr>
      <w:tr w:rsidR="00C05F9F" w:rsidRPr="0008616C" w14:paraId="5FECCDD4" w14:textId="77777777" w:rsidTr="00D4504D">
        <w:trPr>
          <w:trHeight w:val="285"/>
        </w:trPr>
        <w:tc>
          <w:tcPr>
            <w:tcW w:w="1245" w:type="dxa"/>
            <w:tcBorders>
              <w:top w:val="single" w:sz="6" w:space="0" w:color="1B556B"/>
              <w:left w:val="nil"/>
              <w:bottom w:val="single" w:sz="6" w:space="0" w:color="1B556B"/>
              <w:right w:val="single" w:sz="6" w:space="0" w:color="1B556B"/>
            </w:tcBorders>
            <w:shd w:val="clear" w:color="auto" w:fill="auto"/>
            <w:vAlign w:val="center"/>
            <w:hideMark/>
          </w:tcPr>
          <w:p w14:paraId="103A154B"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Commonwealth Fund for Technical Cooperation  </w:t>
            </w:r>
          </w:p>
        </w:tc>
        <w:tc>
          <w:tcPr>
            <w:tcW w:w="162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1F4F8E34" w14:textId="297793CA"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570,</w:t>
            </w:r>
            <w:r w:rsidR="001652C2">
              <w:rPr>
                <w:rFonts w:asciiTheme="minorHAnsi" w:hAnsiTheme="minorHAnsi" w:cstheme="minorHAnsi"/>
                <w:sz w:val="16"/>
                <w:szCs w:val="16"/>
              </w:rPr>
              <w:t>667.68</w:t>
            </w:r>
            <w:r w:rsidRPr="0008616C">
              <w:rPr>
                <w:rFonts w:asciiTheme="minorHAnsi" w:hAnsiTheme="minorHAnsi" w:cstheme="minorHAnsi"/>
                <w:sz w:val="16"/>
                <w:szCs w:val="16"/>
              </w:rPr>
              <w:t>  </w:t>
            </w:r>
          </w:p>
        </w:tc>
        <w:tc>
          <w:tcPr>
            <w:tcW w:w="162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4A0F1DF5"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900,000  </w:t>
            </w:r>
          </w:p>
        </w:tc>
        <w:tc>
          <w:tcPr>
            <w:tcW w:w="825"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40FD1B44"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u w:val="single"/>
              </w:rPr>
              <w:t>G</w:t>
            </w:r>
            <w:r w:rsidRPr="0008616C">
              <w:rPr>
                <w:rFonts w:asciiTheme="minorHAnsi" w:hAnsiTheme="minorHAnsi" w:cstheme="minorHAnsi"/>
                <w:sz w:val="16"/>
                <w:szCs w:val="16"/>
              </w:rPr>
              <w:t>lobal  </w:t>
            </w:r>
          </w:p>
        </w:tc>
        <w:tc>
          <w:tcPr>
            <w:tcW w:w="126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490BE2AF"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Commonwealth Fund for Technical Cooperation 21</w:t>
            </w:r>
            <w:r>
              <w:rPr>
                <w:rFonts w:asciiTheme="minorHAnsi" w:hAnsiTheme="minorHAnsi" w:cstheme="minorHAnsi"/>
                <w:sz w:val="16"/>
                <w:szCs w:val="16"/>
              </w:rPr>
              <w:t>–</w:t>
            </w:r>
            <w:r w:rsidRPr="0008616C">
              <w:rPr>
                <w:rFonts w:asciiTheme="minorHAnsi" w:hAnsiTheme="minorHAnsi" w:cstheme="minorHAnsi"/>
                <w:sz w:val="16"/>
                <w:szCs w:val="16"/>
              </w:rPr>
              <w:t>24  </w:t>
            </w:r>
          </w:p>
        </w:tc>
        <w:tc>
          <w:tcPr>
            <w:tcW w:w="855"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68042B63"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Disbursed  </w:t>
            </w:r>
          </w:p>
        </w:tc>
        <w:tc>
          <w:tcPr>
            <w:tcW w:w="105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030170AD" w14:textId="77777777" w:rsidR="00D309F4" w:rsidRPr="00742143" w:rsidRDefault="00D309F4" w:rsidP="00D4504D">
            <w:pPr>
              <w:spacing w:line="240" w:lineRule="auto"/>
              <w:jc w:val="left"/>
              <w:rPr>
                <w:rFonts w:asciiTheme="minorHAnsi" w:hAnsiTheme="minorHAnsi" w:cstheme="minorHAnsi"/>
                <w:sz w:val="16"/>
                <w:szCs w:val="16"/>
              </w:rPr>
            </w:pPr>
            <w:r w:rsidRPr="00DC0120">
              <w:rPr>
                <w:rFonts w:asciiTheme="minorHAnsi" w:hAnsiTheme="minorHAnsi" w:cstheme="minorHAnsi"/>
                <w:sz w:val="16"/>
                <w:szCs w:val="16"/>
              </w:rPr>
              <w:t>M</w:t>
            </w:r>
            <w:r w:rsidRPr="00742143">
              <w:rPr>
                <w:rFonts w:asciiTheme="minorHAnsi" w:hAnsiTheme="minorHAnsi" w:cstheme="minorHAnsi"/>
                <w:sz w:val="16"/>
                <w:szCs w:val="16"/>
              </w:rPr>
              <w:t>ultilateral  </w:t>
            </w:r>
          </w:p>
        </w:tc>
        <w:tc>
          <w:tcPr>
            <w:tcW w:w="84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694C4C0D" w14:textId="77777777" w:rsidR="00D309F4" w:rsidRPr="00742143" w:rsidRDefault="00D309F4" w:rsidP="00D4504D">
            <w:pPr>
              <w:spacing w:line="240" w:lineRule="auto"/>
              <w:jc w:val="left"/>
              <w:rPr>
                <w:rFonts w:asciiTheme="minorHAnsi" w:hAnsiTheme="minorHAnsi" w:cstheme="minorHAnsi"/>
                <w:sz w:val="16"/>
                <w:szCs w:val="16"/>
              </w:rPr>
            </w:pPr>
            <w:r w:rsidRPr="00742143">
              <w:rPr>
                <w:rFonts w:asciiTheme="minorHAnsi" w:hAnsiTheme="minorHAnsi" w:cstheme="minorHAnsi"/>
                <w:sz w:val="16"/>
                <w:szCs w:val="16"/>
              </w:rPr>
              <w:t>ODA  </w:t>
            </w:r>
          </w:p>
        </w:tc>
        <w:tc>
          <w:tcPr>
            <w:tcW w:w="96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2F0E7933"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Grant  </w:t>
            </w:r>
          </w:p>
        </w:tc>
        <w:tc>
          <w:tcPr>
            <w:tcW w:w="105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594C6847"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Cross-cutting  </w:t>
            </w:r>
          </w:p>
        </w:tc>
        <w:tc>
          <w:tcPr>
            <w:tcW w:w="144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634941F5"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Multisector/</w:t>
            </w:r>
            <w:r w:rsidRPr="0008616C">
              <w:rPr>
                <w:rFonts w:asciiTheme="minorHAnsi" w:hAnsiTheme="minorHAnsi" w:cstheme="minorHAnsi"/>
                <w:sz w:val="16"/>
                <w:szCs w:val="16"/>
              </w:rPr>
              <w:br/>
              <w:t>Cross-cutting  </w:t>
            </w:r>
          </w:p>
        </w:tc>
        <w:tc>
          <w:tcPr>
            <w:tcW w:w="75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0C744FDD"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Yes  </w:t>
            </w:r>
          </w:p>
        </w:tc>
        <w:tc>
          <w:tcPr>
            <w:tcW w:w="945" w:type="dxa"/>
            <w:tcBorders>
              <w:top w:val="single" w:sz="6" w:space="0" w:color="1B556B"/>
              <w:left w:val="single" w:sz="6" w:space="0" w:color="1B556B"/>
              <w:bottom w:val="single" w:sz="6" w:space="0" w:color="1B556B"/>
              <w:right w:val="nil"/>
            </w:tcBorders>
            <w:shd w:val="clear" w:color="auto" w:fill="auto"/>
            <w:vAlign w:val="center"/>
            <w:hideMark/>
          </w:tcPr>
          <w:p w14:paraId="65288E6D"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rPr>
              <w:t>Yes  </w:t>
            </w:r>
          </w:p>
        </w:tc>
      </w:tr>
      <w:tr w:rsidR="00C05F9F" w:rsidRPr="0008616C" w14:paraId="3FDB37B7" w14:textId="77777777" w:rsidTr="00D4504D">
        <w:trPr>
          <w:trHeight w:val="749"/>
        </w:trPr>
        <w:tc>
          <w:tcPr>
            <w:tcW w:w="1245" w:type="dxa"/>
            <w:tcBorders>
              <w:top w:val="single" w:sz="6" w:space="0" w:color="1B556B"/>
              <w:left w:val="nil"/>
              <w:bottom w:val="single" w:sz="6" w:space="0" w:color="1B556B"/>
              <w:right w:val="single" w:sz="6" w:space="0" w:color="1B556B"/>
            </w:tcBorders>
            <w:shd w:val="clear" w:color="auto" w:fill="auto"/>
            <w:vAlign w:val="center"/>
            <w:hideMark/>
          </w:tcPr>
          <w:p w14:paraId="1AA11CE1" w14:textId="77777777" w:rsidR="00D309F4" w:rsidRPr="00742143" w:rsidRDefault="00D309F4" w:rsidP="00D4504D">
            <w:pPr>
              <w:spacing w:line="240" w:lineRule="auto"/>
              <w:jc w:val="left"/>
              <w:rPr>
                <w:rFonts w:asciiTheme="minorHAnsi" w:hAnsiTheme="minorHAnsi" w:cstheme="minorHAnsi"/>
                <w:sz w:val="16"/>
                <w:szCs w:val="16"/>
              </w:rPr>
            </w:pPr>
            <w:r w:rsidRPr="00DC0120">
              <w:rPr>
                <w:rFonts w:asciiTheme="minorHAnsi" w:hAnsiTheme="minorHAnsi" w:cstheme="minorHAnsi"/>
                <w:sz w:val="16"/>
                <w:szCs w:val="16"/>
              </w:rPr>
              <w:t>ChildFund New Zealand</w:t>
            </w:r>
            <w:r w:rsidRPr="00742143">
              <w:rPr>
                <w:rFonts w:asciiTheme="minorHAnsi" w:hAnsiTheme="minorHAnsi" w:cstheme="minorHAnsi"/>
                <w:sz w:val="16"/>
                <w:szCs w:val="16"/>
              </w:rPr>
              <w:t> </w:t>
            </w:r>
          </w:p>
        </w:tc>
        <w:tc>
          <w:tcPr>
            <w:tcW w:w="162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31DD9591" w14:textId="6567BE73"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u w:val="single"/>
              </w:rPr>
              <w:t>320,639</w:t>
            </w:r>
            <w:r w:rsidR="001652C2">
              <w:rPr>
                <w:rFonts w:asciiTheme="minorHAnsi" w:hAnsiTheme="minorHAnsi" w:cstheme="minorHAnsi"/>
                <w:sz w:val="16"/>
                <w:szCs w:val="16"/>
                <w:u w:val="single"/>
              </w:rPr>
              <w:t>.15</w:t>
            </w:r>
            <w:r w:rsidRPr="0008616C">
              <w:rPr>
                <w:rFonts w:asciiTheme="minorHAnsi" w:hAnsiTheme="minorHAnsi" w:cstheme="minorHAnsi"/>
                <w:sz w:val="16"/>
                <w:szCs w:val="16"/>
              </w:rPr>
              <w:t> </w:t>
            </w:r>
          </w:p>
        </w:tc>
        <w:tc>
          <w:tcPr>
            <w:tcW w:w="162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1CBFAD80" w14:textId="77777777" w:rsidR="00D309F4" w:rsidRPr="0008616C" w:rsidRDefault="00D309F4" w:rsidP="00D4504D">
            <w:pPr>
              <w:spacing w:line="240" w:lineRule="auto"/>
              <w:jc w:val="left"/>
              <w:rPr>
                <w:rFonts w:asciiTheme="minorHAnsi" w:hAnsiTheme="minorHAnsi" w:cstheme="minorHAnsi"/>
                <w:sz w:val="16"/>
                <w:szCs w:val="16"/>
              </w:rPr>
            </w:pPr>
            <w:r w:rsidRPr="0008616C">
              <w:rPr>
                <w:rFonts w:asciiTheme="minorHAnsi" w:hAnsiTheme="minorHAnsi" w:cstheme="minorHAnsi"/>
                <w:sz w:val="16"/>
                <w:szCs w:val="16"/>
                <w:u w:val="single"/>
              </w:rPr>
              <w:t>505,680</w:t>
            </w:r>
            <w:r w:rsidRPr="0008616C">
              <w:rPr>
                <w:rFonts w:asciiTheme="minorHAnsi" w:hAnsiTheme="minorHAnsi" w:cstheme="minorHAnsi"/>
                <w:sz w:val="16"/>
                <w:szCs w:val="16"/>
              </w:rPr>
              <w:t> </w:t>
            </w:r>
          </w:p>
        </w:tc>
        <w:tc>
          <w:tcPr>
            <w:tcW w:w="825"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006FC878" w14:textId="77777777" w:rsidR="00D309F4" w:rsidRPr="0008616C" w:rsidRDefault="00D309F4" w:rsidP="00D4504D">
            <w:pPr>
              <w:spacing w:line="240" w:lineRule="auto"/>
              <w:jc w:val="left"/>
              <w:rPr>
                <w:rFonts w:asciiTheme="minorHAnsi" w:hAnsiTheme="minorHAnsi" w:cstheme="minorHAnsi"/>
                <w:sz w:val="16"/>
                <w:szCs w:val="16"/>
              </w:rPr>
            </w:pPr>
            <w:r>
              <w:rPr>
                <w:rFonts w:asciiTheme="minorHAnsi" w:hAnsiTheme="minorHAnsi" w:cstheme="minorHAnsi"/>
                <w:sz w:val="16"/>
                <w:szCs w:val="16"/>
                <w:u w:val="single"/>
              </w:rPr>
              <w:t>G</w:t>
            </w:r>
            <w:r w:rsidRPr="0008616C">
              <w:rPr>
                <w:rFonts w:asciiTheme="minorHAnsi" w:hAnsiTheme="minorHAnsi" w:cstheme="minorHAnsi"/>
                <w:sz w:val="16"/>
                <w:szCs w:val="16"/>
                <w:u w:val="single"/>
              </w:rPr>
              <w:t>lobal</w:t>
            </w:r>
            <w:r w:rsidRPr="0008616C">
              <w:rPr>
                <w:rFonts w:asciiTheme="minorHAnsi" w:hAnsiTheme="minorHAnsi" w:cstheme="minorHAnsi"/>
                <w:sz w:val="16"/>
                <w:szCs w:val="16"/>
              </w:rPr>
              <w:t> </w:t>
            </w:r>
          </w:p>
        </w:tc>
        <w:tc>
          <w:tcPr>
            <w:tcW w:w="126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5B6A4336" w14:textId="77777777" w:rsidR="00D309F4" w:rsidRPr="00742143" w:rsidRDefault="00D309F4" w:rsidP="00D4504D">
            <w:pPr>
              <w:spacing w:line="240" w:lineRule="auto"/>
              <w:jc w:val="left"/>
              <w:rPr>
                <w:rFonts w:asciiTheme="minorHAnsi" w:hAnsiTheme="minorHAnsi" w:cstheme="minorHAnsi"/>
                <w:sz w:val="16"/>
                <w:szCs w:val="16"/>
              </w:rPr>
            </w:pPr>
            <w:r w:rsidRPr="00DC0120">
              <w:rPr>
                <w:rFonts w:asciiTheme="minorHAnsi" w:hAnsiTheme="minorHAnsi" w:cstheme="minorHAnsi"/>
                <w:sz w:val="16"/>
                <w:szCs w:val="16"/>
              </w:rPr>
              <w:t>ChildFund New Zealand Implementation</w:t>
            </w:r>
            <w:r w:rsidRPr="00742143">
              <w:rPr>
                <w:rFonts w:asciiTheme="minorHAnsi" w:hAnsiTheme="minorHAnsi" w:cstheme="minorHAnsi"/>
                <w:sz w:val="16"/>
                <w:szCs w:val="16"/>
              </w:rPr>
              <w:t> </w:t>
            </w:r>
          </w:p>
        </w:tc>
        <w:tc>
          <w:tcPr>
            <w:tcW w:w="855"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16A1617C" w14:textId="77777777" w:rsidR="00D309F4" w:rsidRPr="00742143" w:rsidRDefault="00D309F4" w:rsidP="00D4504D">
            <w:pPr>
              <w:spacing w:line="240" w:lineRule="auto"/>
              <w:jc w:val="left"/>
              <w:rPr>
                <w:rFonts w:asciiTheme="minorHAnsi" w:hAnsiTheme="minorHAnsi" w:cstheme="minorHAnsi"/>
                <w:sz w:val="16"/>
                <w:szCs w:val="16"/>
              </w:rPr>
            </w:pPr>
            <w:r w:rsidRPr="00DC0120">
              <w:rPr>
                <w:rFonts w:asciiTheme="minorHAnsi" w:hAnsiTheme="minorHAnsi" w:cstheme="minorHAnsi"/>
                <w:sz w:val="16"/>
                <w:szCs w:val="16"/>
              </w:rPr>
              <w:t>Disbursed</w:t>
            </w:r>
            <w:r w:rsidRPr="00742143">
              <w:rPr>
                <w:rFonts w:asciiTheme="minorHAnsi" w:hAnsiTheme="minorHAnsi" w:cstheme="minorHAnsi"/>
                <w:sz w:val="16"/>
                <w:szCs w:val="16"/>
              </w:rPr>
              <w:t> </w:t>
            </w:r>
          </w:p>
        </w:tc>
        <w:tc>
          <w:tcPr>
            <w:tcW w:w="105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4825A272" w14:textId="77777777" w:rsidR="00D309F4" w:rsidRPr="00742143" w:rsidRDefault="00D309F4" w:rsidP="00D4504D">
            <w:pPr>
              <w:spacing w:line="240" w:lineRule="auto"/>
              <w:jc w:val="left"/>
              <w:rPr>
                <w:rFonts w:asciiTheme="minorHAnsi" w:hAnsiTheme="minorHAnsi" w:cstheme="minorHAnsi"/>
                <w:sz w:val="16"/>
                <w:szCs w:val="16"/>
              </w:rPr>
            </w:pPr>
            <w:r w:rsidRPr="00DC0120">
              <w:rPr>
                <w:rFonts w:asciiTheme="minorHAnsi" w:hAnsiTheme="minorHAnsi" w:cstheme="minorHAnsi"/>
                <w:sz w:val="16"/>
                <w:szCs w:val="16"/>
              </w:rPr>
              <w:t>Multilateral </w:t>
            </w:r>
            <w:r w:rsidRPr="00742143">
              <w:rPr>
                <w:rFonts w:asciiTheme="minorHAnsi" w:hAnsiTheme="minorHAnsi" w:cstheme="minorHAnsi"/>
                <w:sz w:val="16"/>
                <w:szCs w:val="16"/>
              </w:rPr>
              <w:t> </w:t>
            </w:r>
          </w:p>
        </w:tc>
        <w:tc>
          <w:tcPr>
            <w:tcW w:w="84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66D5C56E" w14:textId="77777777" w:rsidR="00D309F4" w:rsidRPr="00742143" w:rsidRDefault="00D309F4" w:rsidP="00D4504D">
            <w:pPr>
              <w:spacing w:line="240" w:lineRule="auto"/>
              <w:jc w:val="left"/>
              <w:rPr>
                <w:rFonts w:asciiTheme="minorHAnsi" w:hAnsiTheme="minorHAnsi" w:cstheme="minorHAnsi"/>
                <w:sz w:val="16"/>
                <w:szCs w:val="16"/>
              </w:rPr>
            </w:pPr>
            <w:r w:rsidRPr="00DC0120">
              <w:rPr>
                <w:rFonts w:asciiTheme="minorHAnsi" w:hAnsiTheme="minorHAnsi" w:cstheme="minorHAnsi"/>
                <w:sz w:val="16"/>
                <w:szCs w:val="16"/>
              </w:rPr>
              <w:t>ODA</w:t>
            </w:r>
            <w:r w:rsidRPr="00742143">
              <w:rPr>
                <w:rFonts w:asciiTheme="minorHAnsi" w:hAnsiTheme="minorHAnsi" w:cstheme="minorHAnsi"/>
                <w:sz w:val="16"/>
                <w:szCs w:val="16"/>
              </w:rPr>
              <w:t> </w:t>
            </w:r>
          </w:p>
        </w:tc>
        <w:tc>
          <w:tcPr>
            <w:tcW w:w="96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3203FAE2" w14:textId="77777777" w:rsidR="00D309F4" w:rsidRPr="00742143" w:rsidRDefault="00D309F4" w:rsidP="00D4504D">
            <w:pPr>
              <w:spacing w:line="240" w:lineRule="auto"/>
              <w:jc w:val="left"/>
              <w:rPr>
                <w:rFonts w:asciiTheme="minorHAnsi" w:hAnsiTheme="minorHAnsi" w:cstheme="minorHAnsi"/>
                <w:sz w:val="16"/>
                <w:szCs w:val="16"/>
              </w:rPr>
            </w:pPr>
            <w:r w:rsidRPr="00DC0120">
              <w:rPr>
                <w:rFonts w:asciiTheme="minorHAnsi" w:hAnsiTheme="minorHAnsi" w:cstheme="minorHAnsi"/>
                <w:sz w:val="16"/>
                <w:szCs w:val="16"/>
              </w:rPr>
              <w:t>Grant</w:t>
            </w:r>
            <w:r w:rsidRPr="00742143">
              <w:rPr>
                <w:rFonts w:asciiTheme="minorHAnsi" w:hAnsiTheme="minorHAnsi" w:cstheme="minorHAnsi"/>
                <w:sz w:val="16"/>
                <w:szCs w:val="16"/>
              </w:rPr>
              <w:t> </w:t>
            </w:r>
          </w:p>
        </w:tc>
        <w:tc>
          <w:tcPr>
            <w:tcW w:w="105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5DBC757C" w14:textId="77777777" w:rsidR="00D309F4" w:rsidRPr="00742143" w:rsidRDefault="00D309F4" w:rsidP="00D4504D">
            <w:pPr>
              <w:spacing w:line="240" w:lineRule="auto"/>
              <w:jc w:val="left"/>
              <w:rPr>
                <w:rFonts w:asciiTheme="minorHAnsi" w:hAnsiTheme="minorHAnsi" w:cstheme="minorHAnsi"/>
                <w:sz w:val="16"/>
                <w:szCs w:val="16"/>
              </w:rPr>
            </w:pPr>
            <w:r w:rsidRPr="00DC0120">
              <w:rPr>
                <w:rFonts w:asciiTheme="minorHAnsi" w:hAnsiTheme="minorHAnsi" w:cstheme="minorHAnsi"/>
                <w:sz w:val="16"/>
                <w:szCs w:val="16"/>
              </w:rPr>
              <w:t>Adaptation</w:t>
            </w:r>
            <w:r w:rsidRPr="00742143">
              <w:rPr>
                <w:rFonts w:asciiTheme="minorHAnsi" w:hAnsiTheme="minorHAnsi" w:cstheme="minorHAnsi"/>
                <w:sz w:val="16"/>
                <w:szCs w:val="16"/>
              </w:rPr>
              <w:t> </w:t>
            </w:r>
          </w:p>
        </w:tc>
        <w:tc>
          <w:tcPr>
            <w:tcW w:w="144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21F3F788" w14:textId="77777777" w:rsidR="00D309F4" w:rsidRPr="00742143" w:rsidRDefault="00D309F4" w:rsidP="00D4504D">
            <w:pPr>
              <w:spacing w:line="240" w:lineRule="auto"/>
              <w:jc w:val="left"/>
              <w:rPr>
                <w:rFonts w:asciiTheme="minorHAnsi" w:hAnsiTheme="minorHAnsi" w:cstheme="minorHAnsi"/>
                <w:sz w:val="16"/>
                <w:szCs w:val="16"/>
              </w:rPr>
            </w:pPr>
            <w:r w:rsidRPr="00DC0120">
              <w:rPr>
                <w:rFonts w:asciiTheme="minorHAnsi" w:hAnsiTheme="minorHAnsi" w:cstheme="minorHAnsi"/>
                <w:sz w:val="16"/>
                <w:szCs w:val="16"/>
              </w:rPr>
              <w:t>Multisector/</w:t>
            </w:r>
            <w:r w:rsidRPr="00DC0120">
              <w:rPr>
                <w:rFonts w:asciiTheme="minorHAnsi" w:hAnsiTheme="minorHAnsi" w:cstheme="minorHAnsi"/>
                <w:sz w:val="16"/>
                <w:szCs w:val="16"/>
              </w:rPr>
              <w:br/>
              <w:t>Cross-cutting</w:t>
            </w:r>
            <w:r w:rsidRPr="00742143">
              <w:rPr>
                <w:rFonts w:asciiTheme="minorHAnsi" w:hAnsiTheme="minorHAnsi" w:cstheme="minorHAnsi"/>
                <w:sz w:val="16"/>
                <w:szCs w:val="16"/>
              </w:rPr>
              <w:t> </w:t>
            </w:r>
          </w:p>
        </w:tc>
        <w:tc>
          <w:tcPr>
            <w:tcW w:w="750" w:type="dxa"/>
            <w:tcBorders>
              <w:top w:val="single" w:sz="6" w:space="0" w:color="1B556B"/>
              <w:left w:val="single" w:sz="6" w:space="0" w:color="1B556B"/>
              <w:bottom w:val="single" w:sz="6" w:space="0" w:color="1B556B"/>
              <w:right w:val="single" w:sz="6" w:space="0" w:color="1B556B"/>
            </w:tcBorders>
            <w:shd w:val="clear" w:color="auto" w:fill="auto"/>
            <w:vAlign w:val="center"/>
            <w:hideMark/>
          </w:tcPr>
          <w:p w14:paraId="276BDBF3" w14:textId="77777777" w:rsidR="00D309F4" w:rsidRPr="00742143" w:rsidRDefault="00D309F4" w:rsidP="00D4504D">
            <w:pPr>
              <w:spacing w:line="240" w:lineRule="auto"/>
              <w:jc w:val="left"/>
              <w:rPr>
                <w:rFonts w:asciiTheme="minorHAnsi" w:hAnsiTheme="minorHAnsi" w:cstheme="minorHAnsi"/>
                <w:sz w:val="16"/>
                <w:szCs w:val="16"/>
              </w:rPr>
            </w:pPr>
            <w:r w:rsidRPr="00DC0120">
              <w:rPr>
                <w:rFonts w:asciiTheme="minorHAnsi" w:hAnsiTheme="minorHAnsi" w:cstheme="minorHAnsi"/>
                <w:sz w:val="16"/>
                <w:szCs w:val="16"/>
              </w:rPr>
              <w:t>No</w:t>
            </w:r>
            <w:r w:rsidRPr="00742143">
              <w:rPr>
                <w:rFonts w:asciiTheme="minorHAnsi" w:hAnsiTheme="minorHAnsi" w:cstheme="minorHAnsi"/>
                <w:sz w:val="16"/>
                <w:szCs w:val="16"/>
              </w:rPr>
              <w:t> </w:t>
            </w:r>
          </w:p>
        </w:tc>
        <w:tc>
          <w:tcPr>
            <w:tcW w:w="945" w:type="dxa"/>
            <w:tcBorders>
              <w:top w:val="single" w:sz="6" w:space="0" w:color="1B556B"/>
              <w:left w:val="single" w:sz="6" w:space="0" w:color="1B556B"/>
              <w:bottom w:val="single" w:sz="6" w:space="0" w:color="1B556B"/>
              <w:right w:val="nil"/>
            </w:tcBorders>
            <w:shd w:val="clear" w:color="auto" w:fill="auto"/>
            <w:vAlign w:val="center"/>
            <w:hideMark/>
          </w:tcPr>
          <w:p w14:paraId="6FE1ADF3" w14:textId="77777777" w:rsidR="00D309F4" w:rsidRPr="00742143" w:rsidRDefault="00D309F4" w:rsidP="00D4504D">
            <w:pPr>
              <w:spacing w:line="240" w:lineRule="auto"/>
              <w:jc w:val="left"/>
              <w:rPr>
                <w:rFonts w:asciiTheme="minorHAnsi" w:hAnsiTheme="minorHAnsi" w:cstheme="minorHAnsi"/>
                <w:sz w:val="16"/>
                <w:szCs w:val="16"/>
              </w:rPr>
            </w:pPr>
            <w:r w:rsidRPr="00DC0120">
              <w:rPr>
                <w:rFonts w:asciiTheme="minorHAnsi" w:hAnsiTheme="minorHAnsi" w:cstheme="minorHAnsi"/>
                <w:sz w:val="16"/>
                <w:szCs w:val="16"/>
              </w:rPr>
              <w:t>No</w:t>
            </w:r>
            <w:r w:rsidRPr="00742143">
              <w:rPr>
                <w:rFonts w:asciiTheme="minorHAnsi" w:hAnsiTheme="minorHAnsi" w:cstheme="minorHAnsi"/>
                <w:sz w:val="16"/>
                <w:szCs w:val="16"/>
              </w:rPr>
              <w:t> </w:t>
            </w:r>
          </w:p>
        </w:tc>
      </w:tr>
      <w:tr w:rsidR="00960813" w:rsidRPr="00ED2077" w14:paraId="50973F8D" w14:textId="77777777" w:rsidTr="00D4504D">
        <w:trPr>
          <w:trHeight w:val="285"/>
        </w:trPr>
        <w:tc>
          <w:tcPr>
            <w:tcW w:w="1245" w:type="dxa"/>
            <w:tcBorders>
              <w:top w:val="single" w:sz="6" w:space="0" w:color="1B556B"/>
              <w:left w:val="nil"/>
              <w:bottom w:val="single" w:sz="6" w:space="0" w:color="1B556B"/>
              <w:right w:val="single" w:sz="6" w:space="0" w:color="1B556B"/>
            </w:tcBorders>
            <w:shd w:val="clear" w:color="auto" w:fill="FFFFFF"/>
            <w:hideMark/>
          </w:tcPr>
          <w:p w14:paraId="57F54BCF" w14:textId="77777777" w:rsidR="00D309F4" w:rsidRPr="00ED2077"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b/>
                <w:bCs/>
                <w:sz w:val="16"/>
                <w:szCs w:val="16"/>
              </w:rPr>
              <w:t>Totals </w:t>
            </w:r>
            <w:r w:rsidRPr="00ED2077">
              <w:rPr>
                <w:rFonts w:asciiTheme="minorHAnsi" w:hAnsiTheme="minorHAnsi" w:cstheme="minorHAnsi"/>
                <w:sz w:val="16"/>
                <w:szCs w:val="16"/>
              </w:rPr>
              <w:t> </w:t>
            </w:r>
          </w:p>
        </w:tc>
        <w:tc>
          <w:tcPr>
            <w:tcW w:w="1620" w:type="dxa"/>
            <w:tcBorders>
              <w:top w:val="single" w:sz="6" w:space="0" w:color="1B556B"/>
              <w:left w:val="single" w:sz="6" w:space="0" w:color="1B556B"/>
              <w:bottom w:val="single" w:sz="6" w:space="0" w:color="1B556B"/>
              <w:right w:val="single" w:sz="6" w:space="0" w:color="1B556B"/>
            </w:tcBorders>
            <w:shd w:val="clear" w:color="auto" w:fill="FFFFFF"/>
            <w:hideMark/>
          </w:tcPr>
          <w:p w14:paraId="786A265A" w14:textId="1D8FA9B0" w:rsidR="00D309F4" w:rsidRPr="00E06CC2" w:rsidRDefault="00D309F4" w:rsidP="00D4504D">
            <w:pPr>
              <w:spacing w:line="240" w:lineRule="auto"/>
              <w:jc w:val="left"/>
              <w:rPr>
                <w:rFonts w:asciiTheme="minorHAnsi" w:hAnsiTheme="minorHAnsi" w:cstheme="minorHAnsi"/>
                <w:sz w:val="16"/>
                <w:szCs w:val="16"/>
              </w:rPr>
            </w:pPr>
            <w:r w:rsidRPr="00E06CC2">
              <w:rPr>
                <w:rFonts w:asciiTheme="minorHAnsi" w:hAnsiTheme="minorHAnsi" w:cstheme="minorHAnsi"/>
                <w:b/>
                <w:bCs/>
                <w:sz w:val="16"/>
                <w:szCs w:val="16"/>
              </w:rPr>
              <w:t>1</w:t>
            </w:r>
            <w:r w:rsidR="00E06CC2" w:rsidRPr="00E06CC2">
              <w:rPr>
                <w:rFonts w:asciiTheme="minorHAnsi" w:hAnsiTheme="minorHAnsi" w:cstheme="minorHAnsi"/>
                <w:b/>
                <w:bCs/>
                <w:sz w:val="16"/>
                <w:szCs w:val="16"/>
              </w:rPr>
              <w:t>2</w:t>
            </w:r>
            <w:r w:rsidRPr="00E06CC2">
              <w:rPr>
                <w:rFonts w:asciiTheme="minorHAnsi" w:hAnsiTheme="minorHAnsi" w:cstheme="minorHAnsi"/>
                <w:b/>
                <w:bCs/>
                <w:sz w:val="16"/>
                <w:szCs w:val="16"/>
              </w:rPr>
              <w:t>,</w:t>
            </w:r>
            <w:r w:rsidR="00E06CC2" w:rsidRPr="00E06CC2">
              <w:rPr>
                <w:rFonts w:asciiTheme="minorHAnsi" w:hAnsiTheme="minorHAnsi" w:cstheme="minorHAnsi"/>
                <w:b/>
                <w:bCs/>
                <w:sz w:val="16"/>
                <w:szCs w:val="16"/>
              </w:rPr>
              <w:t>593</w:t>
            </w:r>
            <w:r w:rsidRPr="00E06CC2">
              <w:rPr>
                <w:rFonts w:asciiTheme="minorHAnsi" w:hAnsiTheme="minorHAnsi" w:cstheme="minorHAnsi"/>
                <w:b/>
                <w:bCs/>
                <w:sz w:val="16"/>
                <w:szCs w:val="16"/>
              </w:rPr>
              <w:t>,</w:t>
            </w:r>
            <w:r w:rsidR="00E06CC2" w:rsidRPr="00E06CC2">
              <w:rPr>
                <w:rFonts w:asciiTheme="minorHAnsi" w:hAnsiTheme="minorHAnsi" w:cstheme="minorHAnsi"/>
                <w:b/>
                <w:bCs/>
                <w:sz w:val="16"/>
                <w:szCs w:val="16"/>
              </w:rPr>
              <w:t>007</w:t>
            </w:r>
          </w:p>
        </w:tc>
        <w:tc>
          <w:tcPr>
            <w:tcW w:w="1620" w:type="dxa"/>
            <w:tcBorders>
              <w:top w:val="single" w:sz="6" w:space="0" w:color="1B556B"/>
              <w:left w:val="single" w:sz="6" w:space="0" w:color="1B556B"/>
              <w:bottom w:val="single" w:sz="6" w:space="0" w:color="1B556B"/>
              <w:right w:val="single" w:sz="6" w:space="0" w:color="1B556B"/>
            </w:tcBorders>
            <w:shd w:val="clear" w:color="auto" w:fill="FFFFFF"/>
            <w:hideMark/>
          </w:tcPr>
          <w:p w14:paraId="1B4E48F4" w14:textId="77777777" w:rsidR="00D309F4" w:rsidRPr="00E06CC2" w:rsidRDefault="00D309F4" w:rsidP="00D4504D">
            <w:pPr>
              <w:spacing w:line="240" w:lineRule="auto"/>
              <w:jc w:val="left"/>
              <w:rPr>
                <w:rFonts w:asciiTheme="minorHAnsi" w:hAnsiTheme="minorHAnsi" w:cstheme="minorHAnsi"/>
                <w:sz w:val="16"/>
                <w:szCs w:val="16"/>
              </w:rPr>
            </w:pPr>
            <w:r w:rsidRPr="00E06CC2">
              <w:rPr>
                <w:rFonts w:asciiTheme="minorHAnsi" w:hAnsiTheme="minorHAnsi" w:cstheme="minorHAnsi"/>
                <w:b/>
                <w:sz w:val="16"/>
                <w:szCs w:val="16"/>
              </w:rPr>
              <w:t>20,749,535 </w:t>
            </w:r>
            <w:r w:rsidRPr="00E06CC2">
              <w:rPr>
                <w:rFonts w:asciiTheme="minorHAnsi" w:hAnsiTheme="minorHAnsi" w:cstheme="minorHAnsi"/>
                <w:sz w:val="16"/>
                <w:szCs w:val="16"/>
              </w:rPr>
              <w:t> </w:t>
            </w:r>
          </w:p>
        </w:tc>
        <w:tc>
          <w:tcPr>
            <w:tcW w:w="825" w:type="dxa"/>
            <w:tcBorders>
              <w:top w:val="single" w:sz="6" w:space="0" w:color="1B556B"/>
              <w:left w:val="single" w:sz="6" w:space="0" w:color="1B556B"/>
              <w:bottom w:val="single" w:sz="6" w:space="0" w:color="1B556B"/>
              <w:right w:val="single" w:sz="6" w:space="0" w:color="1B556B"/>
            </w:tcBorders>
            <w:shd w:val="clear" w:color="auto" w:fill="FFFFFF"/>
            <w:hideMark/>
          </w:tcPr>
          <w:p w14:paraId="25516EAA" w14:textId="77777777" w:rsidR="00D309F4" w:rsidRPr="00ED2077"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b/>
                <w:bCs/>
                <w:sz w:val="16"/>
                <w:szCs w:val="16"/>
              </w:rPr>
              <w:t> </w:t>
            </w:r>
            <w:r w:rsidRPr="00ED2077">
              <w:rPr>
                <w:rFonts w:asciiTheme="minorHAnsi" w:hAnsiTheme="minorHAnsi" w:cstheme="minorHAnsi"/>
                <w:sz w:val="16"/>
                <w:szCs w:val="16"/>
              </w:rPr>
              <w:t> </w:t>
            </w:r>
          </w:p>
        </w:tc>
        <w:tc>
          <w:tcPr>
            <w:tcW w:w="1260" w:type="dxa"/>
            <w:tcBorders>
              <w:top w:val="single" w:sz="6" w:space="0" w:color="1B556B"/>
              <w:left w:val="single" w:sz="6" w:space="0" w:color="1B556B"/>
              <w:bottom w:val="single" w:sz="6" w:space="0" w:color="1B556B"/>
              <w:right w:val="single" w:sz="6" w:space="0" w:color="1B556B"/>
            </w:tcBorders>
            <w:shd w:val="clear" w:color="auto" w:fill="FFFFFF"/>
            <w:hideMark/>
          </w:tcPr>
          <w:p w14:paraId="400F482C" w14:textId="77777777" w:rsidR="00D309F4" w:rsidRPr="00ED2077"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b/>
                <w:bCs/>
                <w:sz w:val="16"/>
                <w:szCs w:val="16"/>
              </w:rPr>
              <w:t> </w:t>
            </w:r>
            <w:r w:rsidRPr="00ED2077">
              <w:rPr>
                <w:rFonts w:asciiTheme="minorHAnsi" w:hAnsiTheme="minorHAnsi" w:cstheme="minorHAnsi"/>
                <w:sz w:val="16"/>
                <w:szCs w:val="16"/>
              </w:rPr>
              <w:t> </w:t>
            </w:r>
          </w:p>
        </w:tc>
        <w:tc>
          <w:tcPr>
            <w:tcW w:w="855" w:type="dxa"/>
            <w:tcBorders>
              <w:top w:val="single" w:sz="6" w:space="0" w:color="1B556B"/>
              <w:left w:val="single" w:sz="6" w:space="0" w:color="1B556B"/>
              <w:bottom w:val="single" w:sz="6" w:space="0" w:color="1B556B"/>
              <w:right w:val="single" w:sz="6" w:space="0" w:color="1B556B"/>
            </w:tcBorders>
            <w:shd w:val="clear" w:color="auto" w:fill="FFFFFF"/>
            <w:hideMark/>
          </w:tcPr>
          <w:p w14:paraId="2550A6B7" w14:textId="77777777" w:rsidR="00D309F4" w:rsidRPr="00ED2077"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b/>
                <w:bCs/>
                <w:sz w:val="16"/>
                <w:szCs w:val="16"/>
              </w:rPr>
              <w:t> </w:t>
            </w:r>
            <w:r w:rsidRPr="00ED2077">
              <w:rPr>
                <w:rFonts w:asciiTheme="minorHAnsi" w:hAnsiTheme="minorHAnsi" w:cstheme="minorHAnsi"/>
                <w:sz w:val="16"/>
                <w:szCs w:val="16"/>
              </w:rPr>
              <w:t>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hideMark/>
          </w:tcPr>
          <w:p w14:paraId="22186F15" w14:textId="77777777" w:rsidR="00D309F4" w:rsidRPr="00ED2077"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b/>
                <w:bCs/>
                <w:sz w:val="16"/>
                <w:szCs w:val="16"/>
              </w:rPr>
              <w:t> </w:t>
            </w:r>
            <w:r w:rsidRPr="00ED2077">
              <w:rPr>
                <w:rFonts w:asciiTheme="minorHAnsi" w:hAnsiTheme="minorHAnsi" w:cstheme="minorHAnsi"/>
                <w:sz w:val="16"/>
                <w:szCs w:val="16"/>
              </w:rPr>
              <w:t> </w:t>
            </w:r>
          </w:p>
        </w:tc>
        <w:tc>
          <w:tcPr>
            <w:tcW w:w="840" w:type="dxa"/>
            <w:tcBorders>
              <w:top w:val="single" w:sz="6" w:space="0" w:color="1B556B"/>
              <w:left w:val="single" w:sz="6" w:space="0" w:color="1B556B"/>
              <w:bottom w:val="single" w:sz="6" w:space="0" w:color="1B556B"/>
              <w:right w:val="single" w:sz="6" w:space="0" w:color="1B556B"/>
            </w:tcBorders>
            <w:shd w:val="clear" w:color="auto" w:fill="FFFFFF"/>
            <w:hideMark/>
          </w:tcPr>
          <w:p w14:paraId="1E6A3FBD" w14:textId="77777777" w:rsidR="00D309F4" w:rsidRPr="00ED2077"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b/>
                <w:bCs/>
                <w:sz w:val="16"/>
                <w:szCs w:val="16"/>
              </w:rPr>
              <w:t> </w:t>
            </w:r>
            <w:r w:rsidRPr="00ED2077">
              <w:rPr>
                <w:rFonts w:asciiTheme="minorHAnsi" w:hAnsiTheme="minorHAnsi" w:cstheme="minorHAnsi"/>
                <w:sz w:val="16"/>
                <w:szCs w:val="16"/>
              </w:rPr>
              <w:t> </w:t>
            </w:r>
          </w:p>
        </w:tc>
        <w:tc>
          <w:tcPr>
            <w:tcW w:w="960" w:type="dxa"/>
            <w:tcBorders>
              <w:top w:val="single" w:sz="6" w:space="0" w:color="1B556B"/>
              <w:left w:val="single" w:sz="6" w:space="0" w:color="1B556B"/>
              <w:bottom w:val="single" w:sz="6" w:space="0" w:color="1B556B"/>
              <w:right w:val="single" w:sz="6" w:space="0" w:color="1B556B"/>
            </w:tcBorders>
            <w:shd w:val="clear" w:color="auto" w:fill="FFFFFF"/>
            <w:hideMark/>
          </w:tcPr>
          <w:p w14:paraId="6D1BF798" w14:textId="77777777" w:rsidR="00D309F4" w:rsidRPr="00ED2077"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b/>
                <w:bCs/>
                <w:sz w:val="16"/>
                <w:szCs w:val="16"/>
              </w:rPr>
              <w:t> </w:t>
            </w:r>
            <w:r w:rsidRPr="00ED2077">
              <w:rPr>
                <w:rFonts w:asciiTheme="minorHAnsi" w:hAnsiTheme="minorHAnsi" w:cstheme="minorHAnsi"/>
                <w:sz w:val="16"/>
                <w:szCs w:val="16"/>
              </w:rPr>
              <w:t> </w:t>
            </w:r>
          </w:p>
        </w:tc>
        <w:tc>
          <w:tcPr>
            <w:tcW w:w="1050" w:type="dxa"/>
            <w:tcBorders>
              <w:top w:val="single" w:sz="6" w:space="0" w:color="1B556B"/>
              <w:left w:val="single" w:sz="6" w:space="0" w:color="1B556B"/>
              <w:bottom w:val="single" w:sz="6" w:space="0" w:color="1B556B"/>
              <w:right w:val="single" w:sz="6" w:space="0" w:color="1B556B"/>
            </w:tcBorders>
            <w:shd w:val="clear" w:color="auto" w:fill="FFFFFF"/>
            <w:hideMark/>
          </w:tcPr>
          <w:p w14:paraId="64F67C6D" w14:textId="77777777" w:rsidR="00D309F4" w:rsidRPr="00ED2077"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b/>
                <w:bCs/>
                <w:sz w:val="16"/>
                <w:szCs w:val="16"/>
              </w:rPr>
              <w:t> </w:t>
            </w:r>
            <w:r w:rsidRPr="00ED2077">
              <w:rPr>
                <w:rFonts w:asciiTheme="minorHAnsi" w:hAnsiTheme="minorHAnsi" w:cstheme="minorHAnsi"/>
                <w:sz w:val="16"/>
                <w:szCs w:val="16"/>
              </w:rPr>
              <w:t> </w:t>
            </w:r>
          </w:p>
        </w:tc>
        <w:tc>
          <w:tcPr>
            <w:tcW w:w="1440" w:type="dxa"/>
            <w:tcBorders>
              <w:top w:val="single" w:sz="6" w:space="0" w:color="1B556B"/>
              <w:left w:val="single" w:sz="6" w:space="0" w:color="1B556B"/>
              <w:bottom w:val="single" w:sz="6" w:space="0" w:color="1B556B"/>
              <w:right w:val="single" w:sz="6" w:space="0" w:color="1B556B"/>
            </w:tcBorders>
            <w:shd w:val="clear" w:color="auto" w:fill="FFFFFF"/>
            <w:hideMark/>
          </w:tcPr>
          <w:p w14:paraId="5F104553" w14:textId="77777777" w:rsidR="00D309F4" w:rsidRPr="00ED2077"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b/>
                <w:bCs/>
                <w:sz w:val="16"/>
                <w:szCs w:val="16"/>
              </w:rPr>
              <w:t> </w:t>
            </w:r>
            <w:r w:rsidRPr="00ED2077">
              <w:rPr>
                <w:rFonts w:asciiTheme="minorHAnsi" w:hAnsiTheme="minorHAnsi" w:cstheme="minorHAnsi"/>
                <w:sz w:val="16"/>
                <w:szCs w:val="16"/>
              </w:rPr>
              <w:t> </w:t>
            </w:r>
          </w:p>
        </w:tc>
        <w:tc>
          <w:tcPr>
            <w:tcW w:w="750" w:type="dxa"/>
            <w:tcBorders>
              <w:top w:val="single" w:sz="6" w:space="0" w:color="1B556B"/>
              <w:left w:val="single" w:sz="6" w:space="0" w:color="1B556B"/>
              <w:bottom w:val="single" w:sz="6" w:space="0" w:color="1B556B"/>
              <w:right w:val="single" w:sz="6" w:space="0" w:color="1B556B"/>
            </w:tcBorders>
            <w:shd w:val="clear" w:color="auto" w:fill="FFFFFF"/>
            <w:hideMark/>
          </w:tcPr>
          <w:p w14:paraId="0E40784B" w14:textId="77777777" w:rsidR="00D309F4" w:rsidRPr="00ED2077"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b/>
                <w:bCs/>
                <w:sz w:val="16"/>
                <w:szCs w:val="16"/>
              </w:rPr>
              <w:t> </w:t>
            </w:r>
            <w:r w:rsidRPr="00ED2077">
              <w:rPr>
                <w:rFonts w:asciiTheme="minorHAnsi" w:hAnsiTheme="minorHAnsi" w:cstheme="minorHAnsi"/>
                <w:sz w:val="16"/>
                <w:szCs w:val="16"/>
              </w:rPr>
              <w:t> </w:t>
            </w:r>
          </w:p>
        </w:tc>
        <w:tc>
          <w:tcPr>
            <w:tcW w:w="945" w:type="dxa"/>
            <w:tcBorders>
              <w:top w:val="single" w:sz="6" w:space="0" w:color="1B556B"/>
              <w:left w:val="single" w:sz="6" w:space="0" w:color="1B556B"/>
              <w:bottom w:val="single" w:sz="6" w:space="0" w:color="1B556B"/>
              <w:right w:val="nil"/>
            </w:tcBorders>
            <w:shd w:val="clear" w:color="auto" w:fill="FFFFFF"/>
            <w:hideMark/>
          </w:tcPr>
          <w:p w14:paraId="5A538161" w14:textId="77777777" w:rsidR="00D309F4" w:rsidRPr="00ED2077" w:rsidRDefault="00D309F4" w:rsidP="00D4504D">
            <w:pPr>
              <w:spacing w:line="240" w:lineRule="auto"/>
              <w:jc w:val="left"/>
              <w:rPr>
                <w:rFonts w:asciiTheme="minorHAnsi" w:hAnsiTheme="minorHAnsi" w:cstheme="minorHAnsi"/>
                <w:sz w:val="16"/>
                <w:szCs w:val="16"/>
              </w:rPr>
            </w:pPr>
            <w:r w:rsidRPr="00ED2077">
              <w:rPr>
                <w:rFonts w:asciiTheme="minorHAnsi" w:hAnsiTheme="minorHAnsi" w:cstheme="minorHAnsi"/>
                <w:b/>
                <w:bCs/>
                <w:sz w:val="16"/>
                <w:szCs w:val="16"/>
              </w:rPr>
              <w:t> </w:t>
            </w:r>
            <w:r w:rsidRPr="00ED2077">
              <w:rPr>
                <w:rFonts w:asciiTheme="minorHAnsi" w:hAnsiTheme="minorHAnsi" w:cstheme="minorHAnsi"/>
                <w:sz w:val="16"/>
                <w:szCs w:val="16"/>
              </w:rPr>
              <w:t> </w:t>
            </w:r>
          </w:p>
        </w:tc>
      </w:tr>
    </w:tbl>
    <w:p w14:paraId="08CF04C1" w14:textId="77777777" w:rsidR="009B2872" w:rsidRPr="009B2872" w:rsidRDefault="009B2872" w:rsidP="009B2872">
      <w:pPr>
        <w:jc w:val="left"/>
      </w:pPr>
      <w:r w:rsidRPr="009B2872">
        <w:t> </w:t>
      </w:r>
    </w:p>
    <w:p w14:paraId="08F61D2F" w14:textId="77777777" w:rsidR="009B2872" w:rsidRPr="009B2872" w:rsidRDefault="009B2872" w:rsidP="009B2872">
      <w:pPr>
        <w:jc w:val="left"/>
      </w:pPr>
      <w:r w:rsidRPr="009B2872">
        <w:br w:type="page"/>
      </w:r>
    </w:p>
    <w:p w14:paraId="64CA48F9" w14:textId="3B3FB8A1" w:rsidR="009B2872" w:rsidRPr="009B2872" w:rsidRDefault="009B2872" w:rsidP="002C6658">
      <w:pPr>
        <w:pStyle w:val="Tableheading"/>
      </w:pPr>
      <w:bookmarkStart w:id="964" w:name="_Toc185407527"/>
      <w:bookmarkStart w:id="965" w:name="_Toc185427790"/>
      <w:r w:rsidRPr="009B2872">
        <w:t xml:space="preserve">CTF </w:t>
      </w:r>
      <w:r w:rsidR="007E289C">
        <w:t>t</w:t>
      </w:r>
      <w:r w:rsidRPr="009B2872">
        <w:t>able III.4</w:t>
      </w:r>
      <w:r w:rsidR="00B86B19">
        <w:t>:</w:t>
      </w:r>
      <w:r w:rsidR="00B86B19">
        <w:tab/>
      </w:r>
      <w:r w:rsidR="00D655DF">
        <w:tab/>
      </w:r>
      <w:r w:rsidRPr="009B2872">
        <w:t>Information on support for technology development and transfer provided under Article 10 of the Paris Agreement</w:t>
      </w:r>
      <w:bookmarkEnd w:id="964"/>
      <w:bookmarkEnd w:id="965"/>
    </w:p>
    <w:tbl>
      <w:tblPr>
        <w:tblW w:w="14515" w:type="dxa"/>
        <w:tblBorders>
          <w:top w:val="single" w:sz="4" w:space="0" w:color="1B556B"/>
          <w:bottom w:val="single" w:sz="4" w:space="0" w:color="1B556B"/>
          <w:insideH w:val="single" w:sz="4" w:space="0" w:color="1B556B"/>
          <w:insideV w:val="single" w:sz="4" w:space="0" w:color="1B556B"/>
        </w:tblBorders>
        <w:tblCellMar>
          <w:left w:w="0" w:type="dxa"/>
          <w:right w:w="0" w:type="dxa"/>
        </w:tblCellMar>
        <w:tblLook w:val="04A0" w:firstRow="1" w:lastRow="0" w:firstColumn="1" w:lastColumn="0" w:noHBand="0" w:noVBand="1"/>
      </w:tblPr>
      <w:tblGrid>
        <w:gridCol w:w="1316"/>
        <w:gridCol w:w="1347"/>
        <w:gridCol w:w="2682"/>
        <w:gridCol w:w="1163"/>
        <w:gridCol w:w="1468"/>
        <w:gridCol w:w="1666"/>
        <w:gridCol w:w="2354"/>
        <w:gridCol w:w="1110"/>
        <w:gridCol w:w="1409"/>
      </w:tblGrid>
      <w:tr w:rsidR="009B2872" w:rsidRPr="0018630D" w14:paraId="6512D586" w14:textId="77777777">
        <w:trPr>
          <w:tblHeader/>
        </w:trPr>
        <w:tc>
          <w:tcPr>
            <w:tcW w:w="1317" w:type="dxa"/>
            <w:shd w:val="clear" w:color="auto" w:fill="1B556B"/>
            <w:hideMark/>
          </w:tcPr>
          <w:p w14:paraId="3F5E5B70" w14:textId="74D2B61B"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b/>
                <w:bCs/>
                <w:color w:val="FFFFFF" w:themeColor="background1"/>
                <w:sz w:val="18"/>
                <w:szCs w:val="18"/>
              </w:rPr>
            </w:pPr>
            <w:r w:rsidRPr="0018630D">
              <w:rPr>
                <w:rFonts w:asciiTheme="minorHAnsi" w:eastAsia="Times New Roman" w:hAnsiTheme="minorHAnsi" w:cstheme="minorHAnsi"/>
                <w:b/>
                <w:bCs/>
                <w:color w:val="FFFFFF" w:themeColor="background1"/>
                <w:sz w:val="18"/>
                <w:szCs w:val="18"/>
              </w:rPr>
              <w:t>Title</w:t>
            </w:r>
            <w:r w:rsidR="00D926E9" w:rsidRPr="0018630D">
              <w:rPr>
                <w:rFonts w:asciiTheme="minorHAnsi" w:eastAsia="Times New Roman" w:hAnsiTheme="minorHAnsi" w:cstheme="minorHAnsi"/>
                <w:b/>
                <w:bCs/>
                <w:color w:val="FFFFFF" w:themeColor="background1"/>
                <w:sz w:val="18"/>
                <w:szCs w:val="18"/>
              </w:rPr>
              <w:t xml:space="preserve"> </w:t>
            </w:r>
          </w:p>
        </w:tc>
        <w:tc>
          <w:tcPr>
            <w:tcW w:w="1347" w:type="dxa"/>
            <w:shd w:val="clear" w:color="auto" w:fill="1B556B"/>
            <w:hideMark/>
          </w:tcPr>
          <w:p w14:paraId="21E6AF81" w14:textId="256E4D6F"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b/>
                <w:bCs/>
                <w:color w:val="FFFFFF" w:themeColor="background1"/>
                <w:sz w:val="18"/>
                <w:szCs w:val="18"/>
              </w:rPr>
            </w:pPr>
            <w:r w:rsidRPr="0018630D">
              <w:rPr>
                <w:rFonts w:asciiTheme="minorHAnsi" w:eastAsia="Times New Roman" w:hAnsiTheme="minorHAnsi" w:cstheme="minorHAnsi"/>
                <w:b/>
                <w:bCs/>
                <w:color w:val="FFFFFF" w:themeColor="background1"/>
                <w:sz w:val="18"/>
                <w:szCs w:val="18"/>
              </w:rPr>
              <w:t>Recipient Country</w:t>
            </w:r>
            <w:r w:rsidR="00D926E9" w:rsidRPr="0018630D">
              <w:rPr>
                <w:rFonts w:asciiTheme="minorHAnsi" w:eastAsia="Times New Roman" w:hAnsiTheme="minorHAnsi" w:cstheme="minorHAnsi"/>
                <w:b/>
                <w:bCs/>
                <w:color w:val="FFFFFF" w:themeColor="background1"/>
                <w:sz w:val="18"/>
                <w:szCs w:val="18"/>
              </w:rPr>
              <w:t xml:space="preserve"> </w:t>
            </w:r>
          </w:p>
        </w:tc>
        <w:tc>
          <w:tcPr>
            <w:tcW w:w="2683" w:type="dxa"/>
            <w:shd w:val="clear" w:color="auto" w:fill="1B556B"/>
            <w:hideMark/>
          </w:tcPr>
          <w:p w14:paraId="29E7BD35" w14:textId="03B71F1C"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b/>
                <w:bCs/>
                <w:color w:val="FFFFFF" w:themeColor="background1"/>
                <w:sz w:val="18"/>
                <w:szCs w:val="18"/>
              </w:rPr>
            </w:pPr>
            <w:r w:rsidRPr="0018630D">
              <w:rPr>
                <w:rFonts w:asciiTheme="minorHAnsi" w:eastAsia="Times New Roman" w:hAnsiTheme="minorHAnsi" w:cstheme="minorHAnsi"/>
                <w:b/>
                <w:bCs/>
                <w:color w:val="FFFFFF" w:themeColor="background1"/>
                <w:sz w:val="18"/>
                <w:szCs w:val="18"/>
              </w:rPr>
              <w:t>Description and Objectives</w:t>
            </w:r>
            <w:r w:rsidR="00D926E9" w:rsidRPr="0018630D">
              <w:rPr>
                <w:rFonts w:asciiTheme="minorHAnsi" w:eastAsia="Times New Roman" w:hAnsiTheme="minorHAnsi" w:cstheme="minorHAnsi"/>
                <w:b/>
                <w:bCs/>
                <w:color w:val="FFFFFF" w:themeColor="background1"/>
                <w:sz w:val="18"/>
                <w:szCs w:val="18"/>
              </w:rPr>
              <w:t xml:space="preserve"> </w:t>
            </w:r>
          </w:p>
        </w:tc>
        <w:tc>
          <w:tcPr>
            <w:tcW w:w="1163" w:type="dxa"/>
            <w:shd w:val="clear" w:color="auto" w:fill="1B556B"/>
            <w:hideMark/>
          </w:tcPr>
          <w:p w14:paraId="3A526FD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b/>
                <w:bCs/>
                <w:color w:val="FFFFFF" w:themeColor="background1"/>
                <w:sz w:val="18"/>
                <w:szCs w:val="18"/>
              </w:rPr>
            </w:pPr>
            <w:r w:rsidRPr="0018630D">
              <w:rPr>
                <w:rFonts w:asciiTheme="minorHAnsi" w:eastAsia="Times New Roman" w:hAnsiTheme="minorHAnsi" w:cstheme="minorHAnsi"/>
                <w:b/>
                <w:bCs/>
                <w:color w:val="FFFFFF" w:themeColor="background1"/>
                <w:sz w:val="18"/>
                <w:szCs w:val="18"/>
              </w:rPr>
              <w:t>Type of Support </w:t>
            </w:r>
          </w:p>
        </w:tc>
        <w:tc>
          <w:tcPr>
            <w:tcW w:w="1466" w:type="dxa"/>
            <w:shd w:val="clear" w:color="auto" w:fill="1B556B"/>
            <w:hideMark/>
          </w:tcPr>
          <w:p w14:paraId="0798B5C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b/>
                <w:bCs/>
                <w:color w:val="FFFFFF" w:themeColor="background1"/>
                <w:sz w:val="18"/>
                <w:szCs w:val="18"/>
              </w:rPr>
            </w:pPr>
            <w:r w:rsidRPr="0018630D">
              <w:rPr>
                <w:rFonts w:asciiTheme="minorHAnsi" w:eastAsia="Times New Roman" w:hAnsiTheme="minorHAnsi" w:cstheme="minorHAnsi"/>
                <w:b/>
                <w:bCs/>
                <w:color w:val="FFFFFF" w:themeColor="background1"/>
                <w:sz w:val="18"/>
                <w:szCs w:val="18"/>
              </w:rPr>
              <w:t>Sector </w:t>
            </w:r>
          </w:p>
        </w:tc>
        <w:tc>
          <w:tcPr>
            <w:tcW w:w="1666" w:type="dxa"/>
            <w:shd w:val="clear" w:color="auto" w:fill="1B556B"/>
            <w:hideMark/>
          </w:tcPr>
          <w:p w14:paraId="0881D7F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b/>
                <w:bCs/>
                <w:color w:val="FFFFFF" w:themeColor="background1"/>
                <w:sz w:val="18"/>
                <w:szCs w:val="18"/>
              </w:rPr>
            </w:pPr>
            <w:r w:rsidRPr="0018630D">
              <w:rPr>
                <w:rFonts w:asciiTheme="minorHAnsi" w:eastAsia="Times New Roman" w:hAnsiTheme="minorHAnsi" w:cstheme="minorHAnsi"/>
                <w:b/>
                <w:bCs/>
                <w:color w:val="FFFFFF" w:themeColor="background1"/>
                <w:sz w:val="18"/>
                <w:szCs w:val="18"/>
              </w:rPr>
              <w:t>Subsector </w:t>
            </w:r>
          </w:p>
        </w:tc>
        <w:tc>
          <w:tcPr>
            <w:tcW w:w="2354" w:type="dxa"/>
            <w:shd w:val="clear" w:color="auto" w:fill="1B556B"/>
            <w:hideMark/>
          </w:tcPr>
          <w:p w14:paraId="78466482" w14:textId="683240A3"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b/>
                <w:bCs/>
                <w:color w:val="FFFFFF" w:themeColor="background1"/>
                <w:sz w:val="18"/>
                <w:szCs w:val="18"/>
              </w:rPr>
            </w:pPr>
            <w:r w:rsidRPr="0018630D">
              <w:rPr>
                <w:rFonts w:asciiTheme="minorHAnsi" w:eastAsia="Times New Roman" w:hAnsiTheme="minorHAnsi" w:cstheme="minorHAnsi"/>
                <w:b/>
                <w:bCs/>
                <w:color w:val="FFFFFF" w:themeColor="background1"/>
                <w:sz w:val="18"/>
                <w:szCs w:val="18"/>
              </w:rPr>
              <w:t>Type of Technology</w:t>
            </w:r>
            <w:r w:rsidR="00D926E9" w:rsidRPr="0018630D">
              <w:rPr>
                <w:rFonts w:asciiTheme="minorHAnsi" w:eastAsia="Times New Roman" w:hAnsiTheme="minorHAnsi" w:cstheme="minorHAnsi"/>
                <w:b/>
                <w:bCs/>
                <w:color w:val="FFFFFF" w:themeColor="background1"/>
                <w:sz w:val="18"/>
                <w:szCs w:val="18"/>
              </w:rPr>
              <w:t xml:space="preserve"> </w:t>
            </w:r>
          </w:p>
        </w:tc>
        <w:tc>
          <w:tcPr>
            <w:tcW w:w="1110" w:type="dxa"/>
            <w:shd w:val="clear" w:color="auto" w:fill="1B556B"/>
            <w:hideMark/>
          </w:tcPr>
          <w:p w14:paraId="3F8ACA4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b/>
                <w:bCs/>
                <w:color w:val="FFFFFF" w:themeColor="background1"/>
                <w:sz w:val="18"/>
                <w:szCs w:val="18"/>
              </w:rPr>
            </w:pPr>
            <w:r w:rsidRPr="0018630D">
              <w:rPr>
                <w:rFonts w:asciiTheme="minorHAnsi" w:eastAsia="Times New Roman" w:hAnsiTheme="minorHAnsi" w:cstheme="minorHAnsi"/>
                <w:b/>
                <w:bCs/>
                <w:color w:val="FFFFFF" w:themeColor="background1"/>
                <w:sz w:val="18"/>
                <w:szCs w:val="18"/>
              </w:rPr>
              <w:t>Status / measure of Activity </w:t>
            </w:r>
          </w:p>
        </w:tc>
        <w:tc>
          <w:tcPr>
            <w:tcW w:w="1409" w:type="dxa"/>
            <w:shd w:val="clear" w:color="auto" w:fill="1B556B"/>
            <w:hideMark/>
          </w:tcPr>
          <w:p w14:paraId="4A7E29B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b/>
                <w:bCs/>
                <w:color w:val="FFFFFF" w:themeColor="background1"/>
                <w:sz w:val="18"/>
                <w:szCs w:val="18"/>
              </w:rPr>
            </w:pPr>
            <w:r w:rsidRPr="0018630D">
              <w:rPr>
                <w:rFonts w:asciiTheme="minorHAnsi" w:eastAsia="Times New Roman" w:hAnsiTheme="minorHAnsi" w:cstheme="minorHAnsi"/>
                <w:b/>
                <w:bCs/>
                <w:color w:val="FFFFFF" w:themeColor="background1"/>
                <w:sz w:val="18"/>
                <w:szCs w:val="18"/>
              </w:rPr>
              <w:t>Activity undertaken by </w:t>
            </w:r>
          </w:p>
        </w:tc>
      </w:tr>
      <w:tr w:rsidR="009B2872" w:rsidRPr="0018630D" w14:paraId="7DD95EE5" w14:textId="77777777">
        <w:tc>
          <w:tcPr>
            <w:tcW w:w="1317" w:type="dxa"/>
            <w:shd w:val="clear" w:color="auto" w:fill="auto"/>
            <w:hideMark/>
          </w:tcPr>
          <w:p w14:paraId="1E966E8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Myanmar Renewable Energy Programme </w:t>
            </w:r>
          </w:p>
        </w:tc>
        <w:tc>
          <w:tcPr>
            <w:tcW w:w="1347" w:type="dxa"/>
            <w:shd w:val="clear" w:color="auto" w:fill="auto"/>
            <w:hideMark/>
          </w:tcPr>
          <w:p w14:paraId="0C1B7D7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Myanmar </w:t>
            </w:r>
          </w:p>
        </w:tc>
        <w:tc>
          <w:tcPr>
            <w:tcW w:w="2683" w:type="dxa"/>
            <w:shd w:val="clear" w:color="auto" w:fill="auto"/>
            <w:hideMark/>
          </w:tcPr>
          <w:p w14:paraId="15A86C09" w14:textId="75628B61"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Increase access to affordable and reliable energy through support to ethnic communities to undertake best practise development of renewable energy production and connectivity in rural areas.</w:t>
            </w:r>
            <w:r w:rsidR="00D926E9" w:rsidRPr="0018630D">
              <w:rPr>
                <w:rFonts w:asciiTheme="minorHAnsi" w:eastAsia="Times New Roman" w:hAnsiTheme="minorHAnsi" w:cstheme="minorHAnsi"/>
                <w:sz w:val="18"/>
                <w:szCs w:val="18"/>
              </w:rPr>
              <w:t xml:space="preserve"> </w:t>
            </w:r>
          </w:p>
        </w:tc>
        <w:tc>
          <w:tcPr>
            <w:tcW w:w="1163" w:type="dxa"/>
            <w:shd w:val="clear" w:color="auto" w:fill="auto"/>
            <w:hideMark/>
          </w:tcPr>
          <w:p w14:paraId="7945652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66" w:type="dxa"/>
            <w:shd w:val="clear" w:color="auto" w:fill="auto"/>
            <w:hideMark/>
          </w:tcPr>
          <w:p w14:paraId="7646080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w:t>
            </w:r>
          </w:p>
        </w:tc>
        <w:tc>
          <w:tcPr>
            <w:tcW w:w="1666" w:type="dxa"/>
            <w:shd w:val="clear" w:color="auto" w:fill="auto"/>
            <w:hideMark/>
          </w:tcPr>
          <w:p w14:paraId="77AF7279" w14:textId="608A0E0F"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policy and administrative management</w:t>
            </w:r>
            <w:r w:rsidR="00D926E9" w:rsidRPr="0018630D">
              <w:rPr>
                <w:rFonts w:asciiTheme="minorHAnsi" w:eastAsia="Times New Roman" w:hAnsiTheme="minorHAnsi" w:cstheme="minorHAnsi"/>
                <w:sz w:val="18"/>
                <w:szCs w:val="18"/>
              </w:rPr>
              <w:t xml:space="preserve"> </w:t>
            </w:r>
          </w:p>
        </w:tc>
        <w:tc>
          <w:tcPr>
            <w:tcW w:w="2354" w:type="dxa"/>
            <w:shd w:val="clear" w:color="auto" w:fill="auto"/>
            <w:hideMark/>
          </w:tcPr>
          <w:p w14:paraId="20C77C2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Development of renewable energy resources; increasing renewable energy production and connectivity in rural areas. </w:t>
            </w:r>
          </w:p>
        </w:tc>
        <w:tc>
          <w:tcPr>
            <w:tcW w:w="1110" w:type="dxa"/>
            <w:shd w:val="clear" w:color="auto" w:fill="auto"/>
            <w:hideMark/>
          </w:tcPr>
          <w:p w14:paraId="1FF1AE52" w14:textId="655B98FB"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15B9395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 sector institutions </w:t>
            </w:r>
          </w:p>
        </w:tc>
      </w:tr>
      <w:tr w:rsidR="009B2872" w:rsidRPr="0018630D" w14:paraId="6D1E30F6" w14:textId="77777777">
        <w:tc>
          <w:tcPr>
            <w:tcW w:w="1317" w:type="dxa"/>
            <w:shd w:val="clear" w:color="auto" w:fill="auto"/>
            <w:hideMark/>
          </w:tcPr>
          <w:p w14:paraId="171A826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Seeds for Life (PS4L) </w:t>
            </w:r>
          </w:p>
        </w:tc>
        <w:tc>
          <w:tcPr>
            <w:tcW w:w="1347" w:type="dxa"/>
            <w:shd w:val="clear" w:color="auto" w:fill="auto"/>
            <w:hideMark/>
          </w:tcPr>
          <w:p w14:paraId="6F09BC8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2683" w:type="dxa"/>
            <w:shd w:val="clear" w:color="auto" w:fill="auto"/>
            <w:hideMark/>
          </w:tcPr>
          <w:p w14:paraId="639169D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Strengthen seed resistance to improve climate resilience and food security. </w:t>
            </w:r>
            <w:r w:rsidRPr="0018630D">
              <w:rPr>
                <w:rFonts w:asciiTheme="minorHAnsi" w:eastAsia="Times New Roman" w:hAnsiTheme="minorHAnsi" w:cstheme="minorHAnsi"/>
                <w:sz w:val="18"/>
                <w:szCs w:val="18"/>
              </w:rPr>
              <w:br/>
              <w:t> </w:t>
            </w:r>
          </w:p>
        </w:tc>
        <w:tc>
          <w:tcPr>
            <w:tcW w:w="1163" w:type="dxa"/>
            <w:shd w:val="clear" w:color="auto" w:fill="auto"/>
            <w:hideMark/>
          </w:tcPr>
          <w:p w14:paraId="5C965A4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0F13768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Agriculture </w:t>
            </w:r>
          </w:p>
          <w:p w14:paraId="78B7974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 </w:t>
            </w:r>
          </w:p>
        </w:tc>
        <w:tc>
          <w:tcPr>
            <w:tcW w:w="1666" w:type="dxa"/>
            <w:shd w:val="clear" w:color="auto" w:fill="auto"/>
            <w:hideMark/>
          </w:tcPr>
          <w:p w14:paraId="36333E0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Agricultural development </w:t>
            </w:r>
          </w:p>
        </w:tc>
        <w:tc>
          <w:tcPr>
            <w:tcW w:w="2354" w:type="dxa"/>
            <w:shd w:val="clear" w:color="auto" w:fill="auto"/>
            <w:hideMark/>
          </w:tcPr>
          <w:p w14:paraId="66DF9E6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Research, regulations, training, and awareness raising; improve in country seed and planting material production; and identify and promote open pollinated and clonal crop varieties of seed production across the region and at country level.  </w:t>
            </w:r>
          </w:p>
        </w:tc>
        <w:tc>
          <w:tcPr>
            <w:tcW w:w="1110" w:type="dxa"/>
            <w:shd w:val="clear" w:color="auto" w:fill="auto"/>
            <w:hideMark/>
          </w:tcPr>
          <w:p w14:paraId="2BCDE6E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151F4EC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Public-Private partnerships and networks </w:t>
            </w:r>
          </w:p>
        </w:tc>
      </w:tr>
      <w:tr w:rsidR="009B2872" w:rsidRPr="0018630D" w14:paraId="09DFBC71" w14:textId="77777777">
        <w:tc>
          <w:tcPr>
            <w:tcW w:w="1317" w:type="dxa"/>
            <w:shd w:val="clear" w:color="auto" w:fill="auto"/>
            <w:hideMark/>
          </w:tcPr>
          <w:p w14:paraId="3A49333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Vaitupu Water Security </w:t>
            </w:r>
          </w:p>
        </w:tc>
        <w:tc>
          <w:tcPr>
            <w:tcW w:w="1347" w:type="dxa"/>
            <w:shd w:val="clear" w:color="auto" w:fill="auto"/>
            <w:hideMark/>
          </w:tcPr>
          <w:p w14:paraId="253DD94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Tuvalu </w:t>
            </w:r>
          </w:p>
        </w:tc>
        <w:tc>
          <w:tcPr>
            <w:tcW w:w="2683" w:type="dxa"/>
            <w:shd w:val="clear" w:color="auto" w:fill="auto"/>
            <w:hideMark/>
          </w:tcPr>
          <w:p w14:paraId="50C684D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Construct a well-managed ground-water resource that enables self-sufficiency for potable water during periods of drought. </w:t>
            </w:r>
          </w:p>
        </w:tc>
        <w:tc>
          <w:tcPr>
            <w:tcW w:w="1163" w:type="dxa"/>
            <w:shd w:val="clear" w:color="auto" w:fill="auto"/>
            <w:hideMark/>
          </w:tcPr>
          <w:p w14:paraId="6AE3F1F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p w14:paraId="45C68F3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 </w:t>
            </w:r>
          </w:p>
        </w:tc>
        <w:tc>
          <w:tcPr>
            <w:tcW w:w="1466" w:type="dxa"/>
            <w:shd w:val="clear" w:color="auto" w:fill="auto"/>
            <w:hideMark/>
          </w:tcPr>
          <w:p w14:paraId="6D70D57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Water and sanitation </w:t>
            </w:r>
          </w:p>
        </w:tc>
        <w:tc>
          <w:tcPr>
            <w:tcW w:w="1666" w:type="dxa"/>
            <w:shd w:val="clear" w:color="auto" w:fill="auto"/>
            <w:hideMark/>
          </w:tcPr>
          <w:p w14:paraId="1CBA480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Basic drinking water supply and basic sanitation </w:t>
            </w:r>
          </w:p>
        </w:tc>
        <w:tc>
          <w:tcPr>
            <w:tcW w:w="2354" w:type="dxa"/>
            <w:shd w:val="clear" w:color="auto" w:fill="auto"/>
            <w:hideMark/>
          </w:tcPr>
          <w:p w14:paraId="316A93C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Construction of ground-water resource to combat drought </w:t>
            </w:r>
          </w:p>
        </w:tc>
        <w:tc>
          <w:tcPr>
            <w:tcW w:w="1110" w:type="dxa"/>
            <w:shd w:val="clear" w:color="auto" w:fill="auto"/>
            <w:hideMark/>
          </w:tcPr>
          <w:p w14:paraId="60B3311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556E773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Multilateral organisations </w:t>
            </w:r>
          </w:p>
        </w:tc>
      </w:tr>
      <w:tr w:rsidR="009B2872" w:rsidRPr="0018630D" w14:paraId="560784E2" w14:textId="77777777">
        <w:tc>
          <w:tcPr>
            <w:tcW w:w="1317" w:type="dxa"/>
            <w:shd w:val="clear" w:color="auto" w:fill="auto"/>
            <w:hideMark/>
          </w:tcPr>
          <w:p w14:paraId="674CF78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Cambodia Climate Smart Commercial Horticulture </w:t>
            </w:r>
          </w:p>
        </w:tc>
        <w:tc>
          <w:tcPr>
            <w:tcW w:w="1347" w:type="dxa"/>
            <w:shd w:val="clear" w:color="auto" w:fill="auto"/>
            <w:hideMark/>
          </w:tcPr>
          <w:p w14:paraId="0EC0733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Cambodia </w:t>
            </w:r>
          </w:p>
        </w:tc>
        <w:tc>
          <w:tcPr>
            <w:tcW w:w="2683" w:type="dxa"/>
            <w:shd w:val="clear" w:color="auto" w:fill="auto"/>
            <w:hideMark/>
          </w:tcPr>
          <w:p w14:paraId="081022C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Increase climate-change resilience, farm and food safety, profitability, and market system support for small-scale commercial and semi-commercial horticulture farmers. </w:t>
            </w:r>
          </w:p>
        </w:tc>
        <w:tc>
          <w:tcPr>
            <w:tcW w:w="1163" w:type="dxa"/>
            <w:shd w:val="clear" w:color="auto" w:fill="auto"/>
            <w:hideMark/>
          </w:tcPr>
          <w:p w14:paraId="6E11F49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41E0503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Agriculture </w:t>
            </w:r>
          </w:p>
        </w:tc>
        <w:tc>
          <w:tcPr>
            <w:tcW w:w="1666" w:type="dxa"/>
            <w:shd w:val="clear" w:color="auto" w:fill="auto"/>
            <w:hideMark/>
          </w:tcPr>
          <w:p w14:paraId="557148D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Food crop production </w:t>
            </w:r>
          </w:p>
        </w:tc>
        <w:tc>
          <w:tcPr>
            <w:tcW w:w="2354" w:type="dxa"/>
            <w:shd w:val="clear" w:color="auto" w:fill="auto"/>
            <w:hideMark/>
          </w:tcPr>
          <w:p w14:paraId="7603F5D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Climate change resilience, farm and food safety, profitability, and market system support. </w:t>
            </w:r>
          </w:p>
        </w:tc>
        <w:tc>
          <w:tcPr>
            <w:tcW w:w="1110" w:type="dxa"/>
            <w:shd w:val="clear" w:color="auto" w:fill="auto"/>
            <w:hideMark/>
          </w:tcPr>
          <w:p w14:paraId="10FAE02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0375B75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Non-Governmental Organisation and Civil Society </w:t>
            </w:r>
          </w:p>
        </w:tc>
      </w:tr>
      <w:tr w:rsidR="009B2872" w:rsidRPr="0018630D" w14:paraId="745131EC" w14:textId="77777777">
        <w:tc>
          <w:tcPr>
            <w:tcW w:w="1317" w:type="dxa"/>
            <w:shd w:val="clear" w:color="auto" w:fill="auto"/>
            <w:hideMark/>
          </w:tcPr>
          <w:p w14:paraId="7981AAB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Response to Coconut Rhinoceros Beetle </w:t>
            </w:r>
          </w:p>
        </w:tc>
        <w:tc>
          <w:tcPr>
            <w:tcW w:w="1347" w:type="dxa"/>
            <w:shd w:val="clear" w:color="auto" w:fill="auto"/>
            <w:hideMark/>
          </w:tcPr>
          <w:p w14:paraId="7E80104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2683" w:type="dxa"/>
            <w:shd w:val="clear" w:color="auto" w:fill="auto"/>
            <w:hideMark/>
          </w:tcPr>
          <w:p w14:paraId="11FDDC00" w14:textId="503854DF"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 xml:space="preserve">Development and release of a </w:t>
            </w:r>
            <w:r w:rsidR="00C33B42" w:rsidRPr="0018630D">
              <w:rPr>
                <w:rFonts w:asciiTheme="minorHAnsi" w:eastAsia="Times New Roman" w:hAnsiTheme="minorHAnsi" w:cstheme="minorHAnsi"/>
                <w:sz w:val="18"/>
                <w:szCs w:val="18"/>
              </w:rPr>
              <w:t>biocontrol</w:t>
            </w:r>
            <w:r w:rsidRPr="0018630D">
              <w:rPr>
                <w:rFonts w:asciiTheme="minorHAnsi" w:eastAsia="Times New Roman" w:hAnsiTheme="minorHAnsi" w:cstheme="minorHAnsi"/>
                <w:sz w:val="18"/>
                <w:szCs w:val="18"/>
              </w:rPr>
              <w:t xml:space="preserve"> to suppress new strain of Coconut Rhinoceros Beetle, support to introduce biosecurity and pest management plans. </w:t>
            </w:r>
          </w:p>
        </w:tc>
        <w:tc>
          <w:tcPr>
            <w:tcW w:w="1163" w:type="dxa"/>
            <w:shd w:val="clear" w:color="auto" w:fill="auto"/>
            <w:hideMark/>
          </w:tcPr>
          <w:p w14:paraId="52ED9BE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0081E334" w14:textId="19F69609"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Agriculture</w:t>
            </w:r>
            <w:r w:rsidR="00D926E9" w:rsidRPr="0018630D">
              <w:rPr>
                <w:rFonts w:asciiTheme="minorHAnsi" w:eastAsia="Times New Roman" w:hAnsiTheme="minorHAnsi" w:cstheme="minorHAnsi"/>
                <w:sz w:val="18"/>
                <w:szCs w:val="18"/>
              </w:rPr>
              <w:t xml:space="preserve"> </w:t>
            </w:r>
          </w:p>
        </w:tc>
        <w:tc>
          <w:tcPr>
            <w:tcW w:w="1666" w:type="dxa"/>
            <w:shd w:val="clear" w:color="auto" w:fill="auto"/>
            <w:hideMark/>
          </w:tcPr>
          <w:p w14:paraId="11F5FAE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Plant and post-harvest protection and pest control </w:t>
            </w:r>
          </w:p>
        </w:tc>
        <w:tc>
          <w:tcPr>
            <w:tcW w:w="2354" w:type="dxa"/>
            <w:shd w:val="clear" w:color="auto" w:fill="auto"/>
            <w:hideMark/>
          </w:tcPr>
          <w:p w14:paraId="24A79F41" w14:textId="17916206"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 xml:space="preserve">Scientific development and release of a </w:t>
            </w:r>
            <w:r w:rsidR="00C33B42" w:rsidRPr="0018630D">
              <w:rPr>
                <w:rFonts w:asciiTheme="minorHAnsi" w:eastAsia="Times New Roman" w:hAnsiTheme="minorHAnsi" w:cstheme="minorHAnsi"/>
                <w:sz w:val="18"/>
                <w:szCs w:val="18"/>
              </w:rPr>
              <w:t>biocontrol</w:t>
            </w:r>
            <w:r w:rsidR="00D926E9" w:rsidRPr="0018630D">
              <w:rPr>
                <w:rFonts w:asciiTheme="minorHAnsi" w:eastAsia="Times New Roman" w:hAnsiTheme="minorHAnsi" w:cstheme="minorHAnsi"/>
                <w:sz w:val="18"/>
                <w:szCs w:val="18"/>
              </w:rPr>
              <w:t xml:space="preserve"> </w:t>
            </w:r>
          </w:p>
        </w:tc>
        <w:tc>
          <w:tcPr>
            <w:tcW w:w="1110" w:type="dxa"/>
            <w:shd w:val="clear" w:color="auto" w:fill="auto"/>
            <w:hideMark/>
          </w:tcPr>
          <w:p w14:paraId="4D95411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71EEE19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Public-Private partnerships and networks </w:t>
            </w:r>
          </w:p>
        </w:tc>
      </w:tr>
      <w:tr w:rsidR="009B2872" w:rsidRPr="0018630D" w14:paraId="054D5DE6" w14:textId="77777777">
        <w:tc>
          <w:tcPr>
            <w:tcW w:w="1317" w:type="dxa"/>
            <w:shd w:val="clear" w:color="auto" w:fill="auto"/>
            <w:hideMark/>
          </w:tcPr>
          <w:p w14:paraId="69F5237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African Climate Smart Agriculture Initiative </w:t>
            </w:r>
          </w:p>
        </w:tc>
        <w:tc>
          <w:tcPr>
            <w:tcW w:w="1347" w:type="dxa"/>
            <w:shd w:val="clear" w:color="auto" w:fill="auto"/>
            <w:hideMark/>
          </w:tcPr>
          <w:p w14:paraId="7C5D97D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Africa Regional/multi-country </w:t>
            </w:r>
          </w:p>
        </w:tc>
        <w:tc>
          <w:tcPr>
            <w:tcW w:w="2683" w:type="dxa"/>
            <w:shd w:val="clear" w:color="auto" w:fill="auto"/>
            <w:hideMark/>
          </w:tcPr>
          <w:p w14:paraId="2D97F61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Enable countries to develop effective technologies/practices to mitigate GHG emissions, and to build regional capability in agricultural emissions measurement. </w:t>
            </w:r>
          </w:p>
        </w:tc>
        <w:tc>
          <w:tcPr>
            <w:tcW w:w="1163" w:type="dxa"/>
            <w:shd w:val="clear" w:color="auto" w:fill="auto"/>
            <w:hideMark/>
          </w:tcPr>
          <w:p w14:paraId="39C9A80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66" w:type="dxa"/>
            <w:shd w:val="clear" w:color="auto" w:fill="auto"/>
            <w:hideMark/>
          </w:tcPr>
          <w:p w14:paraId="0840DBAF" w14:textId="6D29D299"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Agriculture</w:t>
            </w:r>
            <w:r w:rsidR="00D926E9" w:rsidRPr="0018630D">
              <w:rPr>
                <w:rFonts w:asciiTheme="minorHAnsi" w:eastAsia="Times New Roman" w:hAnsiTheme="minorHAnsi" w:cstheme="minorHAnsi"/>
                <w:sz w:val="18"/>
                <w:szCs w:val="18"/>
              </w:rPr>
              <w:t xml:space="preserve"> </w:t>
            </w:r>
          </w:p>
        </w:tc>
        <w:tc>
          <w:tcPr>
            <w:tcW w:w="1666" w:type="dxa"/>
            <w:shd w:val="clear" w:color="auto" w:fill="auto"/>
            <w:hideMark/>
          </w:tcPr>
          <w:p w14:paraId="3B387DB3" w14:textId="0865823F"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Agricultural research</w:t>
            </w:r>
            <w:r w:rsidR="00D926E9" w:rsidRPr="0018630D">
              <w:rPr>
                <w:rFonts w:asciiTheme="minorHAnsi" w:eastAsia="Times New Roman" w:hAnsiTheme="minorHAnsi" w:cstheme="minorHAnsi"/>
                <w:sz w:val="18"/>
                <w:szCs w:val="18"/>
              </w:rPr>
              <w:t xml:space="preserve"> </w:t>
            </w:r>
          </w:p>
        </w:tc>
        <w:tc>
          <w:tcPr>
            <w:tcW w:w="2354" w:type="dxa"/>
            <w:shd w:val="clear" w:color="auto" w:fill="auto"/>
            <w:hideMark/>
          </w:tcPr>
          <w:p w14:paraId="013B0D8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Increase engagement with the Global Research Alliance to develop and implement effective technologies / practices to mitigate greenhouse gas emissions </w:t>
            </w:r>
          </w:p>
        </w:tc>
        <w:tc>
          <w:tcPr>
            <w:tcW w:w="1110" w:type="dxa"/>
            <w:shd w:val="clear" w:color="auto" w:fill="auto"/>
            <w:hideMark/>
          </w:tcPr>
          <w:p w14:paraId="5183A5A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4277B45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 sector institutions </w:t>
            </w:r>
          </w:p>
        </w:tc>
      </w:tr>
      <w:tr w:rsidR="009B2872" w:rsidRPr="0018630D" w14:paraId="7512D630" w14:textId="77777777">
        <w:tc>
          <w:tcPr>
            <w:tcW w:w="1317" w:type="dxa"/>
            <w:shd w:val="clear" w:color="auto" w:fill="auto"/>
            <w:hideMark/>
          </w:tcPr>
          <w:p w14:paraId="0417E53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Enhanced Pacific Biosecurity Programme </w:t>
            </w:r>
          </w:p>
        </w:tc>
        <w:tc>
          <w:tcPr>
            <w:tcW w:w="1347" w:type="dxa"/>
            <w:shd w:val="clear" w:color="auto" w:fill="auto"/>
            <w:hideMark/>
          </w:tcPr>
          <w:p w14:paraId="23C0823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2683" w:type="dxa"/>
            <w:shd w:val="clear" w:color="auto" w:fill="auto"/>
            <w:hideMark/>
          </w:tcPr>
          <w:p w14:paraId="2B4F28CE" w14:textId="18A20A92"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Improve biosecurity systems and capability in the Pacific by applying a system wide approach enabling greater responsiveness for export pathway requests.</w:t>
            </w:r>
            <w:r w:rsidR="00D926E9" w:rsidRPr="0018630D">
              <w:rPr>
                <w:rFonts w:asciiTheme="minorHAnsi" w:eastAsia="Times New Roman" w:hAnsiTheme="minorHAnsi" w:cstheme="minorHAnsi"/>
                <w:sz w:val="18"/>
                <w:szCs w:val="18"/>
              </w:rPr>
              <w:t xml:space="preserve"> </w:t>
            </w:r>
          </w:p>
        </w:tc>
        <w:tc>
          <w:tcPr>
            <w:tcW w:w="1163" w:type="dxa"/>
            <w:shd w:val="clear" w:color="auto" w:fill="auto"/>
            <w:hideMark/>
          </w:tcPr>
          <w:p w14:paraId="16DD379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3FAB2E2B" w14:textId="188D361F"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Agriculture</w:t>
            </w:r>
            <w:r w:rsidR="00D926E9" w:rsidRPr="0018630D">
              <w:rPr>
                <w:rFonts w:asciiTheme="minorHAnsi" w:eastAsia="Times New Roman" w:hAnsiTheme="minorHAnsi" w:cstheme="minorHAnsi"/>
                <w:sz w:val="18"/>
                <w:szCs w:val="18"/>
              </w:rPr>
              <w:t xml:space="preserve"> </w:t>
            </w:r>
          </w:p>
        </w:tc>
        <w:tc>
          <w:tcPr>
            <w:tcW w:w="1666" w:type="dxa"/>
            <w:shd w:val="clear" w:color="auto" w:fill="auto"/>
            <w:hideMark/>
          </w:tcPr>
          <w:p w14:paraId="251700F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Plant and post-harvest protection and pest control </w:t>
            </w:r>
          </w:p>
        </w:tc>
        <w:tc>
          <w:tcPr>
            <w:tcW w:w="2354" w:type="dxa"/>
            <w:shd w:val="clear" w:color="auto" w:fill="auto"/>
            <w:hideMark/>
          </w:tcPr>
          <w:p w14:paraId="7E8BBE7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Improve biosecurity systems and capability </w:t>
            </w:r>
          </w:p>
        </w:tc>
        <w:tc>
          <w:tcPr>
            <w:tcW w:w="1110" w:type="dxa"/>
            <w:shd w:val="clear" w:color="auto" w:fill="auto"/>
            <w:hideMark/>
          </w:tcPr>
          <w:p w14:paraId="5215EB4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2DF041A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 sector institutions </w:t>
            </w:r>
          </w:p>
        </w:tc>
      </w:tr>
      <w:tr w:rsidR="009B2872" w:rsidRPr="0018630D" w14:paraId="44921F51" w14:textId="77777777">
        <w:tc>
          <w:tcPr>
            <w:tcW w:w="1317" w:type="dxa"/>
            <w:shd w:val="clear" w:color="auto" w:fill="auto"/>
            <w:hideMark/>
          </w:tcPr>
          <w:p w14:paraId="6EAFF6A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Reduce risk of water scarcity </w:t>
            </w:r>
          </w:p>
        </w:tc>
        <w:tc>
          <w:tcPr>
            <w:tcW w:w="1347" w:type="dxa"/>
            <w:shd w:val="clear" w:color="auto" w:fill="auto"/>
            <w:hideMark/>
          </w:tcPr>
          <w:p w14:paraId="6F976C2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2683" w:type="dxa"/>
            <w:shd w:val="clear" w:color="auto" w:fill="auto"/>
            <w:hideMark/>
          </w:tcPr>
          <w:p w14:paraId="1F1D8A4F" w14:textId="5B87F2C1"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Provide at-risk communities improvements to their water infrastructure to effectively manage water demand and supply.</w:t>
            </w:r>
            <w:r w:rsidR="00D926E9" w:rsidRPr="0018630D">
              <w:rPr>
                <w:rFonts w:asciiTheme="minorHAnsi" w:eastAsia="Times New Roman" w:hAnsiTheme="minorHAnsi" w:cstheme="minorHAnsi"/>
                <w:sz w:val="18"/>
                <w:szCs w:val="18"/>
              </w:rPr>
              <w:t xml:space="preserve"> </w:t>
            </w:r>
          </w:p>
        </w:tc>
        <w:tc>
          <w:tcPr>
            <w:tcW w:w="1163" w:type="dxa"/>
            <w:shd w:val="clear" w:color="auto" w:fill="auto"/>
            <w:hideMark/>
          </w:tcPr>
          <w:p w14:paraId="4B4FC6B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4E869E3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Water and Sanitation </w:t>
            </w:r>
          </w:p>
        </w:tc>
        <w:tc>
          <w:tcPr>
            <w:tcW w:w="1666" w:type="dxa"/>
            <w:shd w:val="clear" w:color="auto" w:fill="auto"/>
            <w:hideMark/>
          </w:tcPr>
          <w:p w14:paraId="1D71628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Water resources conservation </w:t>
            </w:r>
          </w:p>
        </w:tc>
        <w:tc>
          <w:tcPr>
            <w:tcW w:w="2354" w:type="dxa"/>
            <w:shd w:val="clear" w:color="auto" w:fill="auto"/>
            <w:hideMark/>
          </w:tcPr>
          <w:p w14:paraId="21DCA84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Water infrastructure maintenance, training and tools </w:t>
            </w:r>
          </w:p>
        </w:tc>
        <w:tc>
          <w:tcPr>
            <w:tcW w:w="1110" w:type="dxa"/>
            <w:shd w:val="clear" w:color="auto" w:fill="auto"/>
            <w:hideMark/>
          </w:tcPr>
          <w:p w14:paraId="292FCB1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298DEB8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Non-Governmental Organisations and civil society </w:t>
            </w:r>
          </w:p>
        </w:tc>
      </w:tr>
      <w:tr w:rsidR="009B2872" w:rsidRPr="0018630D" w14:paraId="51A88552" w14:textId="77777777">
        <w:tc>
          <w:tcPr>
            <w:tcW w:w="1317" w:type="dxa"/>
            <w:shd w:val="clear" w:color="auto" w:fill="auto"/>
            <w:hideMark/>
          </w:tcPr>
          <w:p w14:paraId="34C84EE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Averting water-related emergencies </w:t>
            </w:r>
          </w:p>
        </w:tc>
        <w:tc>
          <w:tcPr>
            <w:tcW w:w="1347" w:type="dxa"/>
            <w:shd w:val="clear" w:color="auto" w:fill="auto"/>
            <w:hideMark/>
          </w:tcPr>
          <w:p w14:paraId="0386C92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2683" w:type="dxa"/>
            <w:shd w:val="clear" w:color="auto" w:fill="auto"/>
            <w:hideMark/>
          </w:tcPr>
          <w:p w14:paraId="64DFDEF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Pacific Island Countries to anticipate and prepare for water-related emergencies through understanding their vulnerability to water-related hazards. </w:t>
            </w:r>
          </w:p>
        </w:tc>
        <w:tc>
          <w:tcPr>
            <w:tcW w:w="1163" w:type="dxa"/>
            <w:shd w:val="clear" w:color="auto" w:fill="auto"/>
            <w:hideMark/>
          </w:tcPr>
          <w:p w14:paraId="7B78B47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60B02F2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Humanitarian aid </w:t>
            </w:r>
          </w:p>
        </w:tc>
        <w:tc>
          <w:tcPr>
            <w:tcW w:w="1666" w:type="dxa"/>
            <w:shd w:val="clear" w:color="auto" w:fill="auto"/>
            <w:hideMark/>
          </w:tcPr>
          <w:p w14:paraId="620E5AD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Multi-hazard response preparedness </w:t>
            </w:r>
          </w:p>
        </w:tc>
        <w:tc>
          <w:tcPr>
            <w:tcW w:w="2354" w:type="dxa"/>
            <w:shd w:val="clear" w:color="auto" w:fill="auto"/>
            <w:hideMark/>
          </w:tcPr>
          <w:p w14:paraId="5BC0ACB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Early Warning Systems </w:t>
            </w:r>
          </w:p>
        </w:tc>
        <w:tc>
          <w:tcPr>
            <w:tcW w:w="1110" w:type="dxa"/>
            <w:shd w:val="clear" w:color="auto" w:fill="auto"/>
            <w:hideMark/>
          </w:tcPr>
          <w:p w14:paraId="09AFFAC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3F343A2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Non-Governmental Organisations and civil society </w:t>
            </w:r>
          </w:p>
        </w:tc>
      </w:tr>
      <w:tr w:rsidR="009B2872" w:rsidRPr="0018630D" w14:paraId="7A2D9980" w14:textId="77777777">
        <w:tc>
          <w:tcPr>
            <w:tcW w:w="1317" w:type="dxa"/>
            <w:shd w:val="clear" w:color="auto" w:fill="auto"/>
            <w:hideMark/>
          </w:tcPr>
          <w:p w14:paraId="490F84B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Delivering the Water Promise 2030, Vanuatu </w:t>
            </w:r>
          </w:p>
        </w:tc>
        <w:tc>
          <w:tcPr>
            <w:tcW w:w="1347" w:type="dxa"/>
            <w:shd w:val="clear" w:color="auto" w:fill="auto"/>
            <w:hideMark/>
          </w:tcPr>
          <w:p w14:paraId="73641A5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Vanuatu </w:t>
            </w:r>
          </w:p>
        </w:tc>
        <w:tc>
          <w:tcPr>
            <w:tcW w:w="2683" w:type="dxa"/>
            <w:shd w:val="clear" w:color="auto" w:fill="auto"/>
            <w:hideMark/>
          </w:tcPr>
          <w:p w14:paraId="6253EAC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Increases new recruits’ skills, including using a training tracking tool; a school outreach component including to develop engineering career modules and teachers able to run the modules. </w:t>
            </w:r>
          </w:p>
        </w:tc>
        <w:tc>
          <w:tcPr>
            <w:tcW w:w="1163" w:type="dxa"/>
            <w:shd w:val="clear" w:color="auto" w:fill="auto"/>
            <w:hideMark/>
          </w:tcPr>
          <w:p w14:paraId="4862A65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0B942D7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Water and Sanitation </w:t>
            </w:r>
          </w:p>
        </w:tc>
        <w:tc>
          <w:tcPr>
            <w:tcW w:w="1666" w:type="dxa"/>
            <w:shd w:val="clear" w:color="auto" w:fill="auto"/>
            <w:hideMark/>
          </w:tcPr>
          <w:p w14:paraId="4EA15AF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Education and training in water supply </w:t>
            </w:r>
          </w:p>
        </w:tc>
        <w:tc>
          <w:tcPr>
            <w:tcW w:w="2354" w:type="dxa"/>
            <w:shd w:val="clear" w:color="auto" w:fill="auto"/>
            <w:hideMark/>
          </w:tcPr>
          <w:p w14:paraId="1F2A9D2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Training tracking tool, development of engineering career modules and upskilling teachers </w:t>
            </w:r>
          </w:p>
        </w:tc>
        <w:tc>
          <w:tcPr>
            <w:tcW w:w="1110" w:type="dxa"/>
            <w:shd w:val="clear" w:color="auto" w:fill="auto"/>
            <w:hideMark/>
          </w:tcPr>
          <w:p w14:paraId="40DCA81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6C28F43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Non-Governmental Organisations and civil society </w:t>
            </w:r>
          </w:p>
        </w:tc>
      </w:tr>
      <w:tr w:rsidR="009B2872" w:rsidRPr="0018630D" w14:paraId="2CFAD9AC" w14:textId="77777777">
        <w:tc>
          <w:tcPr>
            <w:tcW w:w="1317" w:type="dxa"/>
            <w:shd w:val="clear" w:color="auto" w:fill="auto"/>
            <w:hideMark/>
          </w:tcPr>
          <w:p w14:paraId="4266B44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Indonesia: Accelerating Geothermal Development </w:t>
            </w:r>
          </w:p>
        </w:tc>
        <w:tc>
          <w:tcPr>
            <w:tcW w:w="1347" w:type="dxa"/>
            <w:shd w:val="clear" w:color="auto" w:fill="auto"/>
            <w:hideMark/>
          </w:tcPr>
          <w:p w14:paraId="791E7CC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Indonesia </w:t>
            </w:r>
          </w:p>
        </w:tc>
        <w:tc>
          <w:tcPr>
            <w:tcW w:w="2683" w:type="dxa"/>
            <w:shd w:val="clear" w:color="auto" w:fill="auto"/>
            <w:hideMark/>
          </w:tcPr>
          <w:p w14:paraId="21A5C39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Provision of technical assistance and capacity building to three Indonesian Partner agencies focused on geothermal development. </w:t>
            </w:r>
          </w:p>
        </w:tc>
        <w:tc>
          <w:tcPr>
            <w:tcW w:w="1163" w:type="dxa"/>
            <w:shd w:val="clear" w:color="auto" w:fill="auto"/>
            <w:hideMark/>
          </w:tcPr>
          <w:p w14:paraId="6F4D8E3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66" w:type="dxa"/>
            <w:shd w:val="clear" w:color="auto" w:fill="auto"/>
            <w:hideMark/>
          </w:tcPr>
          <w:p w14:paraId="0D5682D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w:t>
            </w:r>
          </w:p>
        </w:tc>
        <w:tc>
          <w:tcPr>
            <w:tcW w:w="1666" w:type="dxa"/>
            <w:shd w:val="clear" w:color="auto" w:fill="auto"/>
            <w:hideMark/>
          </w:tcPr>
          <w:p w14:paraId="4AE6537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Geothermal Energy </w:t>
            </w:r>
          </w:p>
        </w:tc>
        <w:tc>
          <w:tcPr>
            <w:tcW w:w="2354" w:type="dxa"/>
            <w:shd w:val="clear" w:color="auto" w:fill="auto"/>
            <w:hideMark/>
          </w:tcPr>
          <w:p w14:paraId="011BC7A8" w14:textId="2226F952"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 geothermal energy development and access to energy in Indonesia</w:t>
            </w:r>
            <w:r w:rsidR="00D926E9" w:rsidRPr="0018630D">
              <w:rPr>
                <w:rFonts w:asciiTheme="minorHAnsi" w:eastAsia="Times New Roman" w:hAnsiTheme="minorHAnsi" w:cstheme="minorHAnsi"/>
                <w:sz w:val="18"/>
                <w:szCs w:val="18"/>
              </w:rPr>
              <w:t xml:space="preserve"> </w:t>
            </w:r>
          </w:p>
        </w:tc>
        <w:tc>
          <w:tcPr>
            <w:tcW w:w="1110" w:type="dxa"/>
            <w:shd w:val="clear" w:color="auto" w:fill="auto"/>
            <w:hideMark/>
          </w:tcPr>
          <w:p w14:paraId="21C734F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72471B9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Public-Private partnerships and networks </w:t>
            </w:r>
          </w:p>
        </w:tc>
      </w:tr>
      <w:tr w:rsidR="009B2872" w:rsidRPr="0018630D" w14:paraId="14A1CA5D" w14:textId="77777777">
        <w:tc>
          <w:tcPr>
            <w:tcW w:w="1317" w:type="dxa"/>
            <w:shd w:val="clear" w:color="auto" w:fill="auto"/>
            <w:hideMark/>
          </w:tcPr>
          <w:p w14:paraId="2E7D5AF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Indonesia: Improving Energy Access in Maluku </w:t>
            </w:r>
          </w:p>
        </w:tc>
        <w:tc>
          <w:tcPr>
            <w:tcW w:w="1347" w:type="dxa"/>
            <w:shd w:val="clear" w:color="auto" w:fill="auto"/>
            <w:hideMark/>
          </w:tcPr>
          <w:p w14:paraId="1A16F05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Indonesia </w:t>
            </w:r>
          </w:p>
        </w:tc>
        <w:tc>
          <w:tcPr>
            <w:tcW w:w="2683" w:type="dxa"/>
            <w:shd w:val="clear" w:color="auto" w:fill="auto"/>
            <w:hideMark/>
          </w:tcPr>
          <w:p w14:paraId="7D0F588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 Support the uptake of affordable, reliable, and renewable energy in off-grid and grid-connected areas.  </w:t>
            </w:r>
          </w:p>
        </w:tc>
        <w:tc>
          <w:tcPr>
            <w:tcW w:w="1163" w:type="dxa"/>
            <w:shd w:val="clear" w:color="auto" w:fill="auto"/>
            <w:hideMark/>
          </w:tcPr>
          <w:p w14:paraId="50C416D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66" w:type="dxa"/>
            <w:shd w:val="clear" w:color="auto" w:fill="auto"/>
            <w:hideMark/>
          </w:tcPr>
          <w:p w14:paraId="0DAD5A9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w:t>
            </w:r>
          </w:p>
        </w:tc>
        <w:tc>
          <w:tcPr>
            <w:tcW w:w="1666" w:type="dxa"/>
            <w:shd w:val="clear" w:color="auto" w:fill="auto"/>
            <w:hideMark/>
          </w:tcPr>
          <w:p w14:paraId="4E7887C7" w14:textId="61F1F331"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policy and administrative management</w:t>
            </w:r>
            <w:r w:rsidR="00D926E9" w:rsidRPr="0018630D">
              <w:rPr>
                <w:rFonts w:asciiTheme="minorHAnsi" w:eastAsia="Times New Roman" w:hAnsiTheme="minorHAnsi" w:cstheme="minorHAnsi"/>
                <w:sz w:val="18"/>
                <w:szCs w:val="18"/>
              </w:rPr>
              <w:t xml:space="preserve"> </w:t>
            </w:r>
          </w:p>
        </w:tc>
        <w:tc>
          <w:tcPr>
            <w:tcW w:w="2354" w:type="dxa"/>
            <w:shd w:val="clear" w:color="auto" w:fill="auto"/>
            <w:hideMark/>
          </w:tcPr>
          <w:p w14:paraId="00FDB6FC" w14:textId="69E18E69"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The uptake of affordable, reliable and renewable energy in off-grid and grid-connected regions of Indonesia</w:t>
            </w:r>
            <w:r w:rsidR="00D926E9" w:rsidRPr="0018630D">
              <w:rPr>
                <w:rFonts w:asciiTheme="minorHAnsi" w:eastAsia="Times New Roman" w:hAnsiTheme="minorHAnsi" w:cstheme="minorHAnsi"/>
                <w:sz w:val="18"/>
                <w:szCs w:val="18"/>
              </w:rPr>
              <w:t xml:space="preserve"> </w:t>
            </w:r>
          </w:p>
        </w:tc>
        <w:tc>
          <w:tcPr>
            <w:tcW w:w="1110" w:type="dxa"/>
            <w:shd w:val="clear" w:color="auto" w:fill="auto"/>
            <w:hideMark/>
          </w:tcPr>
          <w:p w14:paraId="2061A54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5D0E9CC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 sector institutions </w:t>
            </w:r>
          </w:p>
        </w:tc>
      </w:tr>
      <w:tr w:rsidR="009B2872" w:rsidRPr="0018630D" w14:paraId="178F2E57" w14:textId="77777777">
        <w:tc>
          <w:tcPr>
            <w:tcW w:w="1317" w:type="dxa"/>
            <w:shd w:val="clear" w:color="auto" w:fill="auto"/>
            <w:hideMark/>
          </w:tcPr>
          <w:p w14:paraId="1DDD0CD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Africa Geothermal Assistance Facility </w:t>
            </w:r>
          </w:p>
        </w:tc>
        <w:tc>
          <w:tcPr>
            <w:tcW w:w="1347" w:type="dxa"/>
            <w:shd w:val="clear" w:color="auto" w:fill="auto"/>
            <w:hideMark/>
          </w:tcPr>
          <w:p w14:paraId="4441FFF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Africa Regional/ multi-country </w:t>
            </w:r>
          </w:p>
        </w:tc>
        <w:tc>
          <w:tcPr>
            <w:tcW w:w="2683" w:type="dxa"/>
            <w:shd w:val="clear" w:color="auto" w:fill="auto"/>
            <w:hideMark/>
          </w:tcPr>
          <w:p w14:paraId="3304EC7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Reduces reliance on fossil fuels and expand access to affordable, reliable and clean energy in East Africa through the provision of targeted technical assistance for geothermal energy development and distribution in East Africa. </w:t>
            </w:r>
          </w:p>
        </w:tc>
        <w:tc>
          <w:tcPr>
            <w:tcW w:w="1163" w:type="dxa"/>
            <w:shd w:val="clear" w:color="auto" w:fill="auto"/>
            <w:hideMark/>
          </w:tcPr>
          <w:p w14:paraId="5EEF526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66" w:type="dxa"/>
            <w:shd w:val="clear" w:color="auto" w:fill="auto"/>
            <w:hideMark/>
          </w:tcPr>
          <w:p w14:paraId="1E3887A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w:t>
            </w:r>
          </w:p>
        </w:tc>
        <w:tc>
          <w:tcPr>
            <w:tcW w:w="1666" w:type="dxa"/>
            <w:shd w:val="clear" w:color="auto" w:fill="auto"/>
            <w:hideMark/>
          </w:tcPr>
          <w:p w14:paraId="79B96D9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Geothermal Energy </w:t>
            </w:r>
          </w:p>
        </w:tc>
        <w:tc>
          <w:tcPr>
            <w:tcW w:w="2354" w:type="dxa"/>
            <w:shd w:val="clear" w:color="auto" w:fill="auto"/>
            <w:hideMark/>
          </w:tcPr>
          <w:p w14:paraId="59ADCB6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Expanding access to affordable, reliable and clean energy </w:t>
            </w:r>
          </w:p>
        </w:tc>
        <w:tc>
          <w:tcPr>
            <w:tcW w:w="1110" w:type="dxa"/>
            <w:shd w:val="clear" w:color="auto" w:fill="auto"/>
            <w:hideMark/>
          </w:tcPr>
          <w:p w14:paraId="7B60824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407304E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Public-Private partnerships and networks </w:t>
            </w:r>
          </w:p>
        </w:tc>
      </w:tr>
      <w:tr w:rsidR="009B2872" w:rsidRPr="0018630D" w14:paraId="7CA4E0CD" w14:textId="77777777">
        <w:tc>
          <w:tcPr>
            <w:tcW w:w="1317" w:type="dxa"/>
            <w:shd w:val="clear" w:color="auto" w:fill="auto"/>
            <w:hideMark/>
          </w:tcPr>
          <w:p w14:paraId="6AF18A1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Indonesia: Supporting Geothermal Sector Training </w:t>
            </w:r>
          </w:p>
        </w:tc>
        <w:tc>
          <w:tcPr>
            <w:tcW w:w="1347" w:type="dxa"/>
            <w:shd w:val="clear" w:color="auto" w:fill="auto"/>
            <w:hideMark/>
          </w:tcPr>
          <w:p w14:paraId="4F4B369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Indonesia </w:t>
            </w:r>
          </w:p>
        </w:tc>
        <w:tc>
          <w:tcPr>
            <w:tcW w:w="2683" w:type="dxa"/>
            <w:shd w:val="clear" w:color="auto" w:fill="auto"/>
            <w:hideMark/>
          </w:tcPr>
          <w:p w14:paraId="137A65E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Increase workforce skills and capability in geothermal energy through targeted support to cover all aspects of on-job and off-job training for geothermal trades, technicians and plant operators in Indonesia. </w:t>
            </w:r>
          </w:p>
        </w:tc>
        <w:tc>
          <w:tcPr>
            <w:tcW w:w="1163" w:type="dxa"/>
            <w:shd w:val="clear" w:color="auto" w:fill="auto"/>
            <w:hideMark/>
          </w:tcPr>
          <w:p w14:paraId="59A2F12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66" w:type="dxa"/>
            <w:shd w:val="clear" w:color="auto" w:fill="auto"/>
            <w:hideMark/>
          </w:tcPr>
          <w:p w14:paraId="5B09660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w:t>
            </w:r>
          </w:p>
        </w:tc>
        <w:tc>
          <w:tcPr>
            <w:tcW w:w="1666" w:type="dxa"/>
            <w:shd w:val="clear" w:color="auto" w:fill="auto"/>
            <w:hideMark/>
          </w:tcPr>
          <w:p w14:paraId="129B77E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education/training </w:t>
            </w:r>
          </w:p>
        </w:tc>
        <w:tc>
          <w:tcPr>
            <w:tcW w:w="2354" w:type="dxa"/>
            <w:shd w:val="clear" w:color="auto" w:fill="auto"/>
            <w:hideMark/>
          </w:tcPr>
          <w:p w14:paraId="71549C1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 and off-job training for geothermal trades, technicians and plant operators </w:t>
            </w:r>
          </w:p>
        </w:tc>
        <w:tc>
          <w:tcPr>
            <w:tcW w:w="1110" w:type="dxa"/>
            <w:shd w:val="clear" w:color="auto" w:fill="auto"/>
            <w:hideMark/>
          </w:tcPr>
          <w:p w14:paraId="55F4BB6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28C730B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Public-Private partnerships and networks </w:t>
            </w:r>
          </w:p>
        </w:tc>
      </w:tr>
      <w:tr w:rsidR="009B2872" w:rsidRPr="0018630D" w14:paraId="1F08F0C0" w14:textId="77777777">
        <w:tc>
          <w:tcPr>
            <w:tcW w:w="1317" w:type="dxa"/>
            <w:shd w:val="clear" w:color="auto" w:fill="auto"/>
            <w:hideMark/>
          </w:tcPr>
          <w:p w14:paraId="5C51102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ASEAN: Lao and Cambodia Renewable Energy Facility </w:t>
            </w:r>
          </w:p>
        </w:tc>
        <w:tc>
          <w:tcPr>
            <w:tcW w:w="1347" w:type="dxa"/>
            <w:shd w:val="clear" w:color="auto" w:fill="auto"/>
            <w:hideMark/>
          </w:tcPr>
          <w:p w14:paraId="2CE4C55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Asia Regional/multi-country </w:t>
            </w:r>
          </w:p>
        </w:tc>
        <w:tc>
          <w:tcPr>
            <w:tcW w:w="2683" w:type="dxa"/>
            <w:shd w:val="clear" w:color="auto" w:fill="auto"/>
            <w:hideMark/>
          </w:tcPr>
          <w:p w14:paraId="5F735E0A" w14:textId="3934DD94"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Provides technical assistance with the overall goal of increasing the beneficial use of renewable energy resources to support economic and social development</w:t>
            </w:r>
            <w:r w:rsidR="00D926E9" w:rsidRPr="0018630D">
              <w:rPr>
                <w:rFonts w:asciiTheme="minorHAnsi" w:eastAsia="Times New Roman" w:hAnsiTheme="minorHAnsi" w:cstheme="minorHAnsi"/>
                <w:sz w:val="18"/>
                <w:szCs w:val="18"/>
              </w:rPr>
              <w:t xml:space="preserve"> </w:t>
            </w:r>
          </w:p>
        </w:tc>
        <w:tc>
          <w:tcPr>
            <w:tcW w:w="1163" w:type="dxa"/>
            <w:shd w:val="clear" w:color="auto" w:fill="auto"/>
            <w:hideMark/>
          </w:tcPr>
          <w:p w14:paraId="67EB91C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66" w:type="dxa"/>
            <w:shd w:val="clear" w:color="auto" w:fill="auto"/>
            <w:hideMark/>
          </w:tcPr>
          <w:p w14:paraId="5343771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w:t>
            </w:r>
          </w:p>
        </w:tc>
        <w:tc>
          <w:tcPr>
            <w:tcW w:w="1666" w:type="dxa"/>
            <w:shd w:val="clear" w:color="auto" w:fill="auto"/>
            <w:hideMark/>
          </w:tcPr>
          <w:p w14:paraId="5E3BE533" w14:textId="3C254A3C"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policy and administrative management</w:t>
            </w:r>
            <w:r w:rsidR="00D926E9" w:rsidRPr="0018630D">
              <w:rPr>
                <w:rFonts w:asciiTheme="minorHAnsi" w:eastAsia="Times New Roman" w:hAnsiTheme="minorHAnsi" w:cstheme="minorHAnsi"/>
                <w:sz w:val="18"/>
                <w:szCs w:val="18"/>
              </w:rPr>
              <w:t xml:space="preserve"> </w:t>
            </w:r>
          </w:p>
        </w:tc>
        <w:tc>
          <w:tcPr>
            <w:tcW w:w="2354" w:type="dxa"/>
            <w:shd w:val="clear" w:color="auto" w:fill="auto"/>
            <w:hideMark/>
          </w:tcPr>
          <w:p w14:paraId="3AD4B27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Technical assistance to increase beneficial use of renewable energy resources </w:t>
            </w:r>
          </w:p>
        </w:tc>
        <w:tc>
          <w:tcPr>
            <w:tcW w:w="1110" w:type="dxa"/>
            <w:shd w:val="clear" w:color="auto" w:fill="auto"/>
            <w:hideMark/>
          </w:tcPr>
          <w:p w14:paraId="0CCE558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62B3993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Public-Private partnerships and networks </w:t>
            </w:r>
          </w:p>
        </w:tc>
      </w:tr>
      <w:tr w:rsidR="009B2872" w:rsidRPr="0018630D" w14:paraId="5E908259" w14:textId="77777777">
        <w:tc>
          <w:tcPr>
            <w:tcW w:w="1317" w:type="dxa"/>
            <w:shd w:val="clear" w:color="auto" w:fill="auto"/>
            <w:hideMark/>
          </w:tcPr>
          <w:p w14:paraId="3508CA9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Myanmar Resilient Horticulture </w:t>
            </w:r>
          </w:p>
        </w:tc>
        <w:tc>
          <w:tcPr>
            <w:tcW w:w="1347" w:type="dxa"/>
            <w:shd w:val="clear" w:color="auto" w:fill="auto"/>
            <w:hideMark/>
          </w:tcPr>
          <w:p w14:paraId="2D500E3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Myanmar </w:t>
            </w:r>
          </w:p>
        </w:tc>
        <w:tc>
          <w:tcPr>
            <w:tcW w:w="2683" w:type="dxa"/>
            <w:shd w:val="clear" w:color="auto" w:fill="auto"/>
            <w:hideMark/>
          </w:tcPr>
          <w:p w14:paraId="733D4EC1" w14:textId="7D9DC6F8"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the capacity and capability of a not-for-profit Myanmar agriculture agency to deliver extension support and agricultural solutions.</w:t>
            </w:r>
            <w:r w:rsidR="00D926E9" w:rsidRPr="0018630D">
              <w:rPr>
                <w:rFonts w:asciiTheme="minorHAnsi" w:eastAsia="Times New Roman" w:hAnsiTheme="minorHAnsi" w:cstheme="minorHAnsi"/>
                <w:sz w:val="18"/>
                <w:szCs w:val="18"/>
              </w:rPr>
              <w:t xml:space="preserve"> </w:t>
            </w:r>
          </w:p>
        </w:tc>
        <w:tc>
          <w:tcPr>
            <w:tcW w:w="1163" w:type="dxa"/>
            <w:shd w:val="clear" w:color="auto" w:fill="auto"/>
            <w:hideMark/>
          </w:tcPr>
          <w:p w14:paraId="120343F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22532C54" w14:textId="28E71CDE"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Agriculture</w:t>
            </w:r>
            <w:r w:rsidR="00D926E9" w:rsidRPr="0018630D">
              <w:rPr>
                <w:rFonts w:asciiTheme="minorHAnsi" w:eastAsia="Times New Roman" w:hAnsiTheme="minorHAnsi" w:cstheme="minorHAnsi"/>
                <w:sz w:val="18"/>
                <w:szCs w:val="18"/>
              </w:rPr>
              <w:t xml:space="preserve"> </w:t>
            </w:r>
          </w:p>
        </w:tc>
        <w:tc>
          <w:tcPr>
            <w:tcW w:w="1666" w:type="dxa"/>
            <w:shd w:val="clear" w:color="auto" w:fill="auto"/>
            <w:hideMark/>
          </w:tcPr>
          <w:p w14:paraId="6BD864E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Food crop production </w:t>
            </w:r>
          </w:p>
        </w:tc>
        <w:tc>
          <w:tcPr>
            <w:tcW w:w="2354" w:type="dxa"/>
            <w:shd w:val="clear" w:color="auto" w:fill="auto"/>
            <w:hideMark/>
          </w:tcPr>
          <w:p w14:paraId="67A51D8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Deliver extension support and agricultural solutions to farmer clients </w:t>
            </w:r>
          </w:p>
        </w:tc>
        <w:tc>
          <w:tcPr>
            <w:tcW w:w="1110" w:type="dxa"/>
            <w:shd w:val="clear" w:color="auto" w:fill="auto"/>
            <w:hideMark/>
          </w:tcPr>
          <w:p w14:paraId="446ADC3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528F4D2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Public-Private partnerships and networks </w:t>
            </w:r>
          </w:p>
        </w:tc>
      </w:tr>
      <w:tr w:rsidR="009B2872" w:rsidRPr="0018630D" w14:paraId="5AEED337" w14:textId="77777777">
        <w:tc>
          <w:tcPr>
            <w:tcW w:w="1317" w:type="dxa"/>
            <w:shd w:val="clear" w:color="auto" w:fill="auto"/>
            <w:hideMark/>
          </w:tcPr>
          <w:p w14:paraId="68E589B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Water Sector Partnership 2017-2021 </w:t>
            </w:r>
          </w:p>
        </w:tc>
        <w:tc>
          <w:tcPr>
            <w:tcW w:w="1347" w:type="dxa"/>
            <w:shd w:val="clear" w:color="auto" w:fill="auto"/>
            <w:hideMark/>
          </w:tcPr>
          <w:p w14:paraId="48E11536" w14:textId="2BBA70BC"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Vanuatu</w:t>
            </w:r>
            <w:r w:rsidR="00D926E9" w:rsidRPr="0018630D">
              <w:rPr>
                <w:rFonts w:asciiTheme="minorHAnsi" w:eastAsia="Times New Roman" w:hAnsiTheme="minorHAnsi" w:cstheme="minorHAnsi"/>
                <w:sz w:val="18"/>
                <w:szCs w:val="18"/>
              </w:rPr>
              <w:t xml:space="preserve"> </w:t>
            </w:r>
          </w:p>
        </w:tc>
        <w:tc>
          <w:tcPr>
            <w:tcW w:w="2683" w:type="dxa"/>
            <w:shd w:val="clear" w:color="auto" w:fill="auto"/>
            <w:hideMark/>
          </w:tcPr>
          <w:p w14:paraId="7DF7896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Identify, map and prioritise water safety and security needs as well as develop water supply improvements, procure expertise and mobilise and manage funding to finance them. </w:t>
            </w:r>
          </w:p>
        </w:tc>
        <w:tc>
          <w:tcPr>
            <w:tcW w:w="1163" w:type="dxa"/>
            <w:shd w:val="clear" w:color="auto" w:fill="auto"/>
            <w:hideMark/>
          </w:tcPr>
          <w:p w14:paraId="1C5E93D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7359DF0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Water and Sanitation </w:t>
            </w:r>
          </w:p>
        </w:tc>
        <w:tc>
          <w:tcPr>
            <w:tcW w:w="1666" w:type="dxa"/>
            <w:shd w:val="clear" w:color="auto" w:fill="auto"/>
            <w:hideMark/>
          </w:tcPr>
          <w:p w14:paraId="59CE773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Basic drinking water supply and basic sanitation </w:t>
            </w:r>
          </w:p>
        </w:tc>
        <w:tc>
          <w:tcPr>
            <w:tcW w:w="2354" w:type="dxa"/>
            <w:shd w:val="clear" w:color="auto" w:fill="auto"/>
            <w:hideMark/>
          </w:tcPr>
          <w:p w14:paraId="60C0917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Identify, map and prioritise water safety and security needs as well as develop water supply improvements, procure expertise and mobilise and manage funding to finance them. </w:t>
            </w:r>
          </w:p>
        </w:tc>
        <w:tc>
          <w:tcPr>
            <w:tcW w:w="1110" w:type="dxa"/>
            <w:shd w:val="clear" w:color="auto" w:fill="auto"/>
            <w:hideMark/>
          </w:tcPr>
          <w:p w14:paraId="569927D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4C9A6A5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 sector institutions </w:t>
            </w:r>
          </w:p>
        </w:tc>
      </w:tr>
      <w:tr w:rsidR="009B2872" w:rsidRPr="0018630D" w14:paraId="013E7699" w14:textId="77777777">
        <w:tc>
          <w:tcPr>
            <w:tcW w:w="1317" w:type="dxa"/>
            <w:shd w:val="clear" w:color="auto" w:fill="auto"/>
            <w:hideMark/>
          </w:tcPr>
          <w:p w14:paraId="1729BAA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Renewable Energy Initiative </w:t>
            </w:r>
          </w:p>
        </w:tc>
        <w:tc>
          <w:tcPr>
            <w:tcW w:w="1347" w:type="dxa"/>
            <w:shd w:val="clear" w:color="auto" w:fill="auto"/>
            <w:hideMark/>
          </w:tcPr>
          <w:p w14:paraId="36E9573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Nauru </w:t>
            </w:r>
          </w:p>
        </w:tc>
        <w:tc>
          <w:tcPr>
            <w:tcW w:w="2683" w:type="dxa"/>
            <w:shd w:val="clear" w:color="auto" w:fill="auto"/>
            <w:hideMark/>
          </w:tcPr>
          <w:p w14:paraId="30C33FE1" w14:textId="2A839791"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Constructs a 1.15 Megawatt solar photo-voltaic (PV) generation system, builds a connection to the existing network and provides technical assistance and capability building fund.</w:t>
            </w:r>
            <w:r w:rsidR="00D926E9" w:rsidRPr="0018630D">
              <w:rPr>
                <w:rFonts w:asciiTheme="minorHAnsi" w:eastAsia="Times New Roman" w:hAnsiTheme="minorHAnsi" w:cstheme="minorHAnsi"/>
                <w:sz w:val="18"/>
                <w:szCs w:val="18"/>
              </w:rPr>
              <w:t xml:space="preserve"> </w:t>
            </w:r>
          </w:p>
        </w:tc>
        <w:tc>
          <w:tcPr>
            <w:tcW w:w="1163" w:type="dxa"/>
            <w:shd w:val="clear" w:color="auto" w:fill="auto"/>
            <w:hideMark/>
          </w:tcPr>
          <w:p w14:paraId="4D767A5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66" w:type="dxa"/>
            <w:shd w:val="clear" w:color="auto" w:fill="auto"/>
            <w:hideMark/>
          </w:tcPr>
          <w:p w14:paraId="5540797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w:t>
            </w:r>
          </w:p>
        </w:tc>
        <w:tc>
          <w:tcPr>
            <w:tcW w:w="1666" w:type="dxa"/>
            <w:shd w:val="clear" w:color="auto" w:fill="auto"/>
            <w:hideMark/>
          </w:tcPr>
          <w:p w14:paraId="258132A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generation, renewable sources </w:t>
            </w:r>
          </w:p>
        </w:tc>
        <w:tc>
          <w:tcPr>
            <w:tcW w:w="2354" w:type="dxa"/>
            <w:shd w:val="clear" w:color="auto" w:fill="auto"/>
            <w:hideMark/>
          </w:tcPr>
          <w:p w14:paraId="6881421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Construct a solar-phot-voltaic generation system </w:t>
            </w:r>
          </w:p>
        </w:tc>
        <w:tc>
          <w:tcPr>
            <w:tcW w:w="1110" w:type="dxa"/>
            <w:shd w:val="clear" w:color="auto" w:fill="auto"/>
            <w:hideMark/>
          </w:tcPr>
          <w:p w14:paraId="41D1CEF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28FCB1D1" w14:textId="155A6328"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 sector institutions</w:t>
            </w:r>
            <w:r w:rsidR="00D926E9" w:rsidRPr="0018630D">
              <w:rPr>
                <w:rFonts w:asciiTheme="minorHAnsi" w:eastAsia="Times New Roman" w:hAnsiTheme="minorHAnsi" w:cstheme="minorHAnsi"/>
                <w:sz w:val="18"/>
                <w:szCs w:val="18"/>
              </w:rPr>
              <w:t xml:space="preserve"> </w:t>
            </w:r>
          </w:p>
        </w:tc>
      </w:tr>
      <w:tr w:rsidR="009B2872" w:rsidRPr="0018630D" w14:paraId="6E93CBA7" w14:textId="77777777">
        <w:tc>
          <w:tcPr>
            <w:tcW w:w="1317" w:type="dxa"/>
            <w:shd w:val="clear" w:color="auto" w:fill="auto"/>
            <w:hideMark/>
          </w:tcPr>
          <w:p w14:paraId="54586CA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ASEAN Climate Smart Agriculture Initiative </w:t>
            </w:r>
          </w:p>
        </w:tc>
        <w:tc>
          <w:tcPr>
            <w:tcW w:w="1347" w:type="dxa"/>
            <w:shd w:val="clear" w:color="auto" w:fill="auto"/>
            <w:hideMark/>
          </w:tcPr>
          <w:p w14:paraId="5F4C13E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Asia Regional/multi-country </w:t>
            </w:r>
          </w:p>
        </w:tc>
        <w:tc>
          <w:tcPr>
            <w:tcW w:w="2683" w:type="dxa"/>
            <w:shd w:val="clear" w:color="auto" w:fill="auto"/>
            <w:hideMark/>
          </w:tcPr>
          <w:p w14:paraId="04A5AD0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Enable countries in ASEAN to increase engagement with the Global Research Alliance to develop technologies to mitigate GHG gas emissions, and build regional capability in agricultural emissions measurement. </w:t>
            </w:r>
          </w:p>
        </w:tc>
        <w:tc>
          <w:tcPr>
            <w:tcW w:w="1163" w:type="dxa"/>
            <w:shd w:val="clear" w:color="auto" w:fill="auto"/>
            <w:hideMark/>
          </w:tcPr>
          <w:p w14:paraId="62EB293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66" w:type="dxa"/>
            <w:shd w:val="clear" w:color="auto" w:fill="auto"/>
            <w:hideMark/>
          </w:tcPr>
          <w:p w14:paraId="72996771" w14:textId="479AA1F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Agriculture</w:t>
            </w:r>
            <w:r w:rsidR="00D926E9" w:rsidRPr="0018630D">
              <w:rPr>
                <w:rFonts w:asciiTheme="minorHAnsi" w:eastAsia="Times New Roman" w:hAnsiTheme="minorHAnsi" w:cstheme="minorHAnsi"/>
                <w:sz w:val="18"/>
                <w:szCs w:val="18"/>
              </w:rPr>
              <w:t xml:space="preserve"> </w:t>
            </w:r>
          </w:p>
        </w:tc>
        <w:tc>
          <w:tcPr>
            <w:tcW w:w="1666" w:type="dxa"/>
            <w:shd w:val="clear" w:color="auto" w:fill="auto"/>
            <w:hideMark/>
          </w:tcPr>
          <w:p w14:paraId="02223DE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Agricultural research </w:t>
            </w:r>
          </w:p>
        </w:tc>
        <w:tc>
          <w:tcPr>
            <w:tcW w:w="2354" w:type="dxa"/>
            <w:shd w:val="clear" w:color="auto" w:fill="auto"/>
            <w:hideMark/>
          </w:tcPr>
          <w:p w14:paraId="76AEB23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of global agricultural greenhouse gas emissions and build regional capacity in agricultural emissions measurement. </w:t>
            </w:r>
          </w:p>
        </w:tc>
        <w:tc>
          <w:tcPr>
            <w:tcW w:w="1110" w:type="dxa"/>
            <w:shd w:val="clear" w:color="auto" w:fill="auto"/>
            <w:hideMark/>
          </w:tcPr>
          <w:p w14:paraId="26F8EC1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3686DB3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 sector institutions </w:t>
            </w:r>
          </w:p>
        </w:tc>
      </w:tr>
      <w:tr w:rsidR="009B2872" w:rsidRPr="0018630D" w14:paraId="2F54DBC0" w14:textId="77777777">
        <w:tc>
          <w:tcPr>
            <w:tcW w:w="1317" w:type="dxa"/>
            <w:shd w:val="clear" w:color="auto" w:fill="auto"/>
            <w:hideMark/>
          </w:tcPr>
          <w:p w14:paraId="36F8B23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Supporting Value Chain for Farmers </w:t>
            </w:r>
          </w:p>
        </w:tc>
        <w:tc>
          <w:tcPr>
            <w:tcW w:w="1347" w:type="dxa"/>
            <w:shd w:val="clear" w:color="auto" w:fill="auto"/>
            <w:hideMark/>
          </w:tcPr>
          <w:p w14:paraId="7DDAAFA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Ethiopia </w:t>
            </w:r>
          </w:p>
        </w:tc>
        <w:tc>
          <w:tcPr>
            <w:tcW w:w="2683" w:type="dxa"/>
            <w:shd w:val="clear" w:color="auto" w:fill="auto"/>
            <w:hideMark/>
          </w:tcPr>
          <w:p w14:paraId="49910C7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Improve economic resilience and market opportunities by transitioning SHGs to a commercial model, establishing market links, introducing climate smart production practises and identifying and enhancing primary and post-harvest techniques.  </w:t>
            </w:r>
          </w:p>
        </w:tc>
        <w:tc>
          <w:tcPr>
            <w:tcW w:w="1163" w:type="dxa"/>
            <w:shd w:val="clear" w:color="auto" w:fill="auto"/>
            <w:hideMark/>
          </w:tcPr>
          <w:p w14:paraId="5C98A5B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671A784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Agriculture </w:t>
            </w:r>
          </w:p>
        </w:tc>
        <w:tc>
          <w:tcPr>
            <w:tcW w:w="1666" w:type="dxa"/>
            <w:shd w:val="clear" w:color="auto" w:fill="auto"/>
            <w:hideMark/>
          </w:tcPr>
          <w:p w14:paraId="7D85465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Agricultural development </w:t>
            </w:r>
          </w:p>
        </w:tc>
        <w:tc>
          <w:tcPr>
            <w:tcW w:w="2354" w:type="dxa"/>
            <w:shd w:val="clear" w:color="auto" w:fill="auto"/>
            <w:hideMark/>
          </w:tcPr>
          <w:p w14:paraId="7CE8257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Transition Self Help Groups to commercial models, establishing market links, introducing climate smart production practises, and identifying and enhancing primary and post-harvest techniques </w:t>
            </w:r>
          </w:p>
        </w:tc>
        <w:tc>
          <w:tcPr>
            <w:tcW w:w="1110" w:type="dxa"/>
            <w:shd w:val="clear" w:color="auto" w:fill="auto"/>
            <w:hideMark/>
          </w:tcPr>
          <w:p w14:paraId="70F1FFF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0EF6DBA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Non-governmental organisation and civil society </w:t>
            </w:r>
          </w:p>
        </w:tc>
      </w:tr>
      <w:tr w:rsidR="009B2872" w:rsidRPr="0018630D" w14:paraId="18715BBB" w14:textId="77777777">
        <w:tc>
          <w:tcPr>
            <w:tcW w:w="1317" w:type="dxa"/>
            <w:shd w:val="clear" w:color="auto" w:fill="auto"/>
            <w:hideMark/>
          </w:tcPr>
          <w:p w14:paraId="657F1EED" w14:textId="79CFC25F"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Climate and Oceans Support Program in the Pacific</w:t>
            </w:r>
            <w:r w:rsidR="00D926E9" w:rsidRPr="0018630D">
              <w:rPr>
                <w:rFonts w:asciiTheme="minorHAnsi" w:eastAsia="Times New Roman" w:hAnsiTheme="minorHAnsi" w:cstheme="minorHAnsi"/>
                <w:sz w:val="18"/>
                <w:szCs w:val="18"/>
              </w:rPr>
              <w:t xml:space="preserve"> </w:t>
            </w:r>
          </w:p>
        </w:tc>
        <w:tc>
          <w:tcPr>
            <w:tcW w:w="1347" w:type="dxa"/>
            <w:shd w:val="clear" w:color="auto" w:fill="auto"/>
            <w:hideMark/>
          </w:tcPr>
          <w:p w14:paraId="58D2638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2683" w:type="dxa"/>
            <w:shd w:val="clear" w:color="auto" w:fill="auto"/>
            <w:hideMark/>
          </w:tcPr>
          <w:p w14:paraId="1A42294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Delivers sea level and geodetic monitoring project, climate data for the environment and seasonal prediction project. </w:t>
            </w:r>
          </w:p>
        </w:tc>
        <w:tc>
          <w:tcPr>
            <w:tcW w:w="1163" w:type="dxa"/>
            <w:shd w:val="clear" w:color="auto" w:fill="auto"/>
            <w:hideMark/>
          </w:tcPr>
          <w:p w14:paraId="7736A22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05F844D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Multisector/cross-cutting </w:t>
            </w:r>
          </w:p>
        </w:tc>
        <w:tc>
          <w:tcPr>
            <w:tcW w:w="1666" w:type="dxa"/>
            <w:shd w:val="clear" w:color="auto" w:fill="auto"/>
            <w:hideMark/>
          </w:tcPr>
          <w:p w14:paraId="20765B8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Disaster risk reduction </w:t>
            </w:r>
          </w:p>
        </w:tc>
        <w:tc>
          <w:tcPr>
            <w:tcW w:w="2354" w:type="dxa"/>
            <w:shd w:val="clear" w:color="auto" w:fill="auto"/>
            <w:hideMark/>
          </w:tcPr>
          <w:p w14:paraId="77A12473" w14:textId="3260A22F"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Delivering three project components: a Pacific Sea Level and Geodetic Monitoring Project; Climate Data for the Environment and a seasonal prediction project</w:t>
            </w:r>
            <w:r w:rsidR="00D926E9" w:rsidRPr="0018630D">
              <w:rPr>
                <w:rFonts w:asciiTheme="minorHAnsi" w:eastAsia="Times New Roman" w:hAnsiTheme="minorHAnsi" w:cstheme="minorHAnsi"/>
                <w:sz w:val="18"/>
                <w:szCs w:val="18"/>
              </w:rPr>
              <w:t xml:space="preserve"> </w:t>
            </w:r>
          </w:p>
        </w:tc>
        <w:tc>
          <w:tcPr>
            <w:tcW w:w="1110" w:type="dxa"/>
            <w:shd w:val="clear" w:color="auto" w:fill="auto"/>
            <w:hideMark/>
          </w:tcPr>
          <w:p w14:paraId="7C003FA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30967E2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 sector institutions </w:t>
            </w:r>
          </w:p>
        </w:tc>
      </w:tr>
      <w:tr w:rsidR="009B2872" w:rsidRPr="0018630D" w14:paraId="43B3505B" w14:textId="77777777">
        <w:tc>
          <w:tcPr>
            <w:tcW w:w="1317" w:type="dxa"/>
            <w:shd w:val="clear" w:color="auto" w:fill="auto"/>
            <w:hideMark/>
          </w:tcPr>
          <w:p w14:paraId="4FD8E10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Caribbean Agriculture and Tourism Support </w:t>
            </w:r>
          </w:p>
        </w:tc>
        <w:tc>
          <w:tcPr>
            <w:tcW w:w="1347" w:type="dxa"/>
            <w:shd w:val="clear" w:color="auto" w:fill="auto"/>
            <w:hideMark/>
          </w:tcPr>
          <w:p w14:paraId="4E3EEB4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America Central Regional/multi-country </w:t>
            </w:r>
          </w:p>
        </w:tc>
        <w:tc>
          <w:tcPr>
            <w:tcW w:w="2683" w:type="dxa"/>
            <w:shd w:val="clear" w:color="auto" w:fill="auto"/>
            <w:hideMark/>
          </w:tcPr>
          <w:p w14:paraId="5ED4825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research into technologies and value chains for the marine biomass. This will consist of an investigation of potential uses for the Sargassum. </w:t>
            </w:r>
          </w:p>
        </w:tc>
        <w:tc>
          <w:tcPr>
            <w:tcW w:w="1163" w:type="dxa"/>
            <w:shd w:val="clear" w:color="auto" w:fill="auto"/>
            <w:hideMark/>
          </w:tcPr>
          <w:p w14:paraId="1999405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2746F3D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Agriculture </w:t>
            </w:r>
          </w:p>
        </w:tc>
        <w:tc>
          <w:tcPr>
            <w:tcW w:w="1666" w:type="dxa"/>
            <w:shd w:val="clear" w:color="auto" w:fill="auto"/>
            <w:hideMark/>
          </w:tcPr>
          <w:p w14:paraId="6804966E" w14:textId="1B33970E"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Agricultural research</w:t>
            </w:r>
            <w:r w:rsidR="00D926E9" w:rsidRPr="0018630D">
              <w:rPr>
                <w:rFonts w:asciiTheme="minorHAnsi" w:eastAsia="Times New Roman" w:hAnsiTheme="minorHAnsi" w:cstheme="minorHAnsi"/>
                <w:sz w:val="18"/>
                <w:szCs w:val="18"/>
              </w:rPr>
              <w:t xml:space="preserve"> </w:t>
            </w:r>
          </w:p>
        </w:tc>
        <w:tc>
          <w:tcPr>
            <w:tcW w:w="2354" w:type="dxa"/>
            <w:shd w:val="clear" w:color="auto" w:fill="auto"/>
            <w:hideMark/>
          </w:tcPr>
          <w:p w14:paraId="130BDD5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Technology to mitigate associated environmental and economic impacts of the Sargassum seaweed influx </w:t>
            </w:r>
          </w:p>
        </w:tc>
        <w:tc>
          <w:tcPr>
            <w:tcW w:w="1110" w:type="dxa"/>
            <w:shd w:val="clear" w:color="auto" w:fill="auto"/>
            <w:hideMark/>
          </w:tcPr>
          <w:p w14:paraId="493640B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415DB9F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 sector institutions </w:t>
            </w:r>
          </w:p>
        </w:tc>
      </w:tr>
      <w:tr w:rsidR="009B2872" w:rsidRPr="0018630D" w14:paraId="0F369F02" w14:textId="77777777">
        <w:tc>
          <w:tcPr>
            <w:tcW w:w="1317" w:type="dxa"/>
            <w:shd w:val="clear" w:color="auto" w:fill="auto"/>
            <w:hideMark/>
          </w:tcPr>
          <w:p w14:paraId="511E8BE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Efficiency </w:t>
            </w:r>
          </w:p>
        </w:tc>
        <w:tc>
          <w:tcPr>
            <w:tcW w:w="1347" w:type="dxa"/>
            <w:shd w:val="clear" w:color="auto" w:fill="auto"/>
            <w:hideMark/>
          </w:tcPr>
          <w:p w14:paraId="1BEAC6E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Nauru </w:t>
            </w:r>
          </w:p>
        </w:tc>
        <w:tc>
          <w:tcPr>
            <w:tcW w:w="2683" w:type="dxa"/>
            <w:shd w:val="clear" w:color="auto" w:fill="auto"/>
            <w:hideMark/>
          </w:tcPr>
          <w:p w14:paraId="18DD9AE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Increases Nauru’s economic resilience by increasing energy efficiency and therefore reducing the amount of fossil fuel that needs to be imported. </w:t>
            </w:r>
          </w:p>
        </w:tc>
        <w:tc>
          <w:tcPr>
            <w:tcW w:w="1163" w:type="dxa"/>
            <w:shd w:val="clear" w:color="auto" w:fill="auto"/>
            <w:hideMark/>
          </w:tcPr>
          <w:p w14:paraId="088B997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Cross-cutting </w:t>
            </w:r>
          </w:p>
        </w:tc>
        <w:tc>
          <w:tcPr>
            <w:tcW w:w="1466" w:type="dxa"/>
            <w:shd w:val="clear" w:color="auto" w:fill="auto"/>
            <w:hideMark/>
          </w:tcPr>
          <w:p w14:paraId="6E8AF0A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w:t>
            </w:r>
          </w:p>
        </w:tc>
        <w:tc>
          <w:tcPr>
            <w:tcW w:w="1666" w:type="dxa"/>
            <w:shd w:val="clear" w:color="auto" w:fill="auto"/>
            <w:hideMark/>
          </w:tcPr>
          <w:p w14:paraId="633FE82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conservation and demand-side efficiency </w:t>
            </w:r>
          </w:p>
        </w:tc>
        <w:tc>
          <w:tcPr>
            <w:tcW w:w="2354" w:type="dxa"/>
            <w:shd w:val="clear" w:color="auto" w:fill="auto"/>
            <w:hideMark/>
          </w:tcPr>
          <w:p w14:paraId="25B9E8C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Technology to increase Nauru's economic resilience by increasing energy efficiency </w:t>
            </w:r>
          </w:p>
        </w:tc>
        <w:tc>
          <w:tcPr>
            <w:tcW w:w="1110" w:type="dxa"/>
            <w:shd w:val="clear" w:color="auto" w:fill="auto"/>
            <w:hideMark/>
          </w:tcPr>
          <w:p w14:paraId="6823CE2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40A82F9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 sector institutions </w:t>
            </w:r>
          </w:p>
        </w:tc>
      </w:tr>
      <w:tr w:rsidR="009B2872" w:rsidRPr="0018630D" w14:paraId="2341BD72" w14:textId="77777777">
        <w:tc>
          <w:tcPr>
            <w:tcW w:w="1317" w:type="dxa"/>
            <w:shd w:val="clear" w:color="auto" w:fill="auto"/>
            <w:hideMark/>
          </w:tcPr>
          <w:p w14:paraId="3D7EB97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and Public Utility Reform </w:t>
            </w:r>
          </w:p>
        </w:tc>
        <w:tc>
          <w:tcPr>
            <w:tcW w:w="1347" w:type="dxa"/>
            <w:shd w:val="clear" w:color="auto" w:fill="auto"/>
            <w:hideMark/>
          </w:tcPr>
          <w:p w14:paraId="419DC46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Kiribati </w:t>
            </w:r>
          </w:p>
        </w:tc>
        <w:tc>
          <w:tcPr>
            <w:tcW w:w="2683" w:type="dxa"/>
            <w:shd w:val="clear" w:color="auto" w:fill="auto"/>
            <w:hideMark/>
          </w:tcPr>
          <w:p w14:paraId="5C836EE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Provides water, sanitation and electricity to South Tarawa. This activity provide supports to PUB to build institutional capability and capacity.   </w:t>
            </w:r>
          </w:p>
        </w:tc>
        <w:tc>
          <w:tcPr>
            <w:tcW w:w="1163" w:type="dxa"/>
            <w:shd w:val="clear" w:color="auto" w:fill="auto"/>
            <w:hideMark/>
          </w:tcPr>
          <w:p w14:paraId="3942F14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66" w:type="dxa"/>
            <w:shd w:val="clear" w:color="auto" w:fill="auto"/>
            <w:hideMark/>
          </w:tcPr>
          <w:p w14:paraId="582E3A2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w:t>
            </w:r>
          </w:p>
        </w:tc>
        <w:tc>
          <w:tcPr>
            <w:tcW w:w="1666" w:type="dxa"/>
            <w:shd w:val="clear" w:color="auto" w:fill="auto"/>
            <w:hideMark/>
          </w:tcPr>
          <w:p w14:paraId="007AE250" w14:textId="2536A77D"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policy and administrative management</w:t>
            </w:r>
            <w:r w:rsidR="00D926E9" w:rsidRPr="0018630D">
              <w:rPr>
                <w:rFonts w:asciiTheme="minorHAnsi" w:eastAsia="Times New Roman" w:hAnsiTheme="minorHAnsi" w:cstheme="minorHAnsi"/>
                <w:sz w:val="18"/>
                <w:szCs w:val="18"/>
              </w:rPr>
              <w:t xml:space="preserve"> </w:t>
            </w:r>
          </w:p>
        </w:tc>
        <w:tc>
          <w:tcPr>
            <w:tcW w:w="2354" w:type="dxa"/>
            <w:shd w:val="clear" w:color="auto" w:fill="auto"/>
            <w:hideMark/>
          </w:tcPr>
          <w:p w14:paraId="0548C44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Build institutional capacity and capability </w:t>
            </w:r>
          </w:p>
        </w:tc>
        <w:tc>
          <w:tcPr>
            <w:tcW w:w="1110" w:type="dxa"/>
            <w:shd w:val="clear" w:color="auto" w:fill="auto"/>
            <w:hideMark/>
          </w:tcPr>
          <w:p w14:paraId="539D6CA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595EC1E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 sector institutions </w:t>
            </w:r>
          </w:p>
        </w:tc>
      </w:tr>
      <w:tr w:rsidR="009B2872" w:rsidRPr="0018630D" w14:paraId="4AA3D005" w14:textId="77777777">
        <w:tc>
          <w:tcPr>
            <w:tcW w:w="1317" w:type="dxa"/>
            <w:shd w:val="clear" w:color="auto" w:fill="auto"/>
            <w:hideMark/>
          </w:tcPr>
          <w:p w14:paraId="2C0D81E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Information for decision-making </w:t>
            </w:r>
          </w:p>
        </w:tc>
        <w:tc>
          <w:tcPr>
            <w:tcW w:w="1347" w:type="dxa"/>
            <w:shd w:val="clear" w:color="auto" w:fill="auto"/>
            <w:hideMark/>
          </w:tcPr>
          <w:p w14:paraId="1D3E2DD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2683" w:type="dxa"/>
            <w:shd w:val="clear" w:color="auto" w:fill="auto"/>
            <w:hideMark/>
          </w:tcPr>
          <w:p w14:paraId="7570D17D" w14:textId="3CC4311D"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 xml:space="preserve">Support the incorporation of climate change information into all forms of government decision-making and planning. </w:t>
            </w:r>
          </w:p>
        </w:tc>
        <w:tc>
          <w:tcPr>
            <w:tcW w:w="1163" w:type="dxa"/>
            <w:shd w:val="clear" w:color="auto" w:fill="auto"/>
            <w:hideMark/>
          </w:tcPr>
          <w:p w14:paraId="0421A07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19150EF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Multisector/cross-cutting </w:t>
            </w:r>
          </w:p>
        </w:tc>
        <w:tc>
          <w:tcPr>
            <w:tcW w:w="1666" w:type="dxa"/>
            <w:shd w:val="clear" w:color="auto" w:fill="auto"/>
            <w:hideMark/>
          </w:tcPr>
          <w:p w14:paraId="57EB82C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Disaster risk reduction </w:t>
            </w:r>
          </w:p>
        </w:tc>
        <w:tc>
          <w:tcPr>
            <w:tcW w:w="2354" w:type="dxa"/>
            <w:shd w:val="clear" w:color="auto" w:fill="auto"/>
            <w:hideMark/>
          </w:tcPr>
          <w:p w14:paraId="0105DC5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Development of activities support a connected and usable platform of climate data, hazard and risk analysis </w:t>
            </w:r>
          </w:p>
        </w:tc>
        <w:tc>
          <w:tcPr>
            <w:tcW w:w="1110" w:type="dxa"/>
            <w:shd w:val="clear" w:color="auto" w:fill="auto"/>
            <w:hideMark/>
          </w:tcPr>
          <w:p w14:paraId="58E30F0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19C58C4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 sector institutions </w:t>
            </w:r>
          </w:p>
        </w:tc>
      </w:tr>
      <w:tr w:rsidR="009B2872" w:rsidRPr="0018630D" w14:paraId="7ED129FB" w14:textId="77777777">
        <w:tc>
          <w:tcPr>
            <w:tcW w:w="1317" w:type="dxa"/>
            <w:shd w:val="clear" w:color="auto" w:fill="auto"/>
            <w:hideMark/>
          </w:tcPr>
          <w:p w14:paraId="0970213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Indonesia: Accelerate Renewable Energy Transition </w:t>
            </w:r>
          </w:p>
        </w:tc>
        <w:tc>
          <w:tcPr>
            <w:tcW w:w="1347" w:type="dxa"/>
            <w:shd w:val="clear" w:color="auto" w:fill="auto"/>
            <w:hideMark/>
          </w:tcPr>
          <w:p w14:paraId="2DB6125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Indonesia </w:t>
            </w:r>
          </w:p>
        </w:tc>
        <w:tc>
          <w:tcPr>
            <w:tcW w:w="2683" w:type="dxa"/>
            <w:shd w:val="clear" w:color="auto" w:fill="auto"/>
            <w:hideMark/>
          </w:tcPr>
          <w:p w14:paraId="3CE98C2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Addresses existing policy barriers and gaps to renewable energy investments that create sustainable and inclusive economic growth with lasting benefits for communities. </w:t>
            </w:r>
          </w:p>
        </w:tc>
        <w:tc>
          <w:tcPr>
            <w:tcW w:w="1163" w:type="dxa"/>
            <w:shd w:val="clear" w:color="auto" w:fill="auto"/>
            <w:hideMark/>
          </w:tcPr>
          <w:p w14:paraId="66B1E4F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66" w:type="dxa"/>
            <w:shd w:val="clear" w:color="auto" w:fill="auto"/>
            <w:hideMark/>
          </w:tcPr>
          <w:p w14:paraId="51A9D82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w:t>
            </w:r>
          </w:p>
        </w:tc>
        <w:tc>
          <w:tcPr>
            <w:tcW w:w="1666" w:type="dxa"/>
            <w:shd w:val="clear" w:color="auto" w:fill="auto"/>
            <w:hideMark/>
          </w:tcPr>
          <w:p w14:paraId="7BD65D1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sector policy, planning and administration </w:t>
            </w:r>
          </w:p>
        </w:tc>
        <w:tc>
          <w:tcPr>
            <w:tcW w:w="2354" w:type="dxa"/>
            <w:shd w:val="clear" w:color="auto" w:fill="auto"/>
            <w:hideMark/>
          </w:tcPr>
          <w:p w14:paraId="69BEC83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Addressing existing policy barriers and gaps to renewable energy investments </w:t>
            </w:r>
          </w:p>
        </w:tc>
        <w:tc>
          <w:tcPr>
            <w:tcW w:w="1110" w:type="dxa"/>
            <w:shd w:val="clear" w:color="auto" w:fill="auto"/>
            <w:hideMark/>
          </w:tcPr>
          <w:p w14:paraId="57131BE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132147E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 sector institutions </w:t>
            </w:r>
          </w:p>
        </w:tc>
      </w:tr>
      <w:tr w:rsidR="009B2872" w:rsidRPr="0018630D" w14:paraId="6D97C35C" w14:textId="77777777">
        <w:tc>
          <w:tcPr>
            <w:tcW w:w="1317" w:type="dxa"/>
            <w:shd w:val="clear" w:color="auto" w:fill="auto"/>
            <w:hideMark/>
          </w:tcPr>
          <w:p w14:paraId="39448F0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Meteorological Forecasting 2021-2025 </w:t>
            </w:r>
          </w:p>
        </w:tc>
        <w:tc>
          <w:tcPr>
            <w:tcW w:w="1347" w:type="dxa"/>
            <w:shd w:val="clear" w:color="auto" w:fill="auto"/>
            <w:hideMark/>
          </w:tcPr>
          <w:p w14:paraId="1630ABC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2683" w:type="dxa"/>
            <w:shd w:val="clear" w:color="auto" w:fill="auto"/>
            <w:hideMark/>
          </w:tcPr>
          <w:p w14:paraId="643AEB2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This activity provides expert meteorological advice (relating to the annual Pacific cyclone season). </w:t>
            </w:r>
          </w:p>
        </w:tc>
        <w:tc>
          <w:tcPr>
            <w:tcW w:w="1163" w:type="dxa"/>
            <w:shd w:val="clear" w:color="auto" w:fill="auto"/>
            <w:hideMark/>
          </w:tcPr>
          <w:p w14:paraId="435B11C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66" w:type="dxa"/>
            <w:shd w:val="clear" w:color="auto" w:fill="auto"/>
            <w:hideMark/>
          </w:tcPr>
          <w:p w14:paraId="17C6C3E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Humanitarian Aid </w:t>
            </w:r>
          </w:p>
        </w:tc>
        <w:tc>
          <w:tcPr>
            <w:tcW w:w="1666" w:type="dxa"/>
            <w:shd w:val="clear" w:color="auto" w:fill="auto"/>
            <w:hideMark/>
          </w:tcPr>
          <w:p w14:paraId="3F5589D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Multi-hazard response preparedness </w:t>
            </w:r>
          </w:p>
        </w:tc>
        <w:tc>
          <w:tcPr>
            <w:tcW w:w="2354" w:type="dxa"/>
            <w:shd w:val="clear" w:color="auto" w:fill="auto"/>
            <w:hideMark/>
          </w:tcPr>
          <w:p w14:paraId="4F960E0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Provision of expert meteorological advice </w:t>
            </w:r>
          </w:p>
        </w:tc>
        <w:tc>
          <w:tcPr>
            <w:tcW w:w="1110" w:type="dxa"/>
            <w:shd w:val="clear" w:color="auto" w:fill="auto"/>
            <w:hideMark/>
          </w:tcPr>
          <w:p w14:paraId="4AA4948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26E3008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 sector institutions </w:t>
            </w:r>
          </w:p>
        </w:tc>
      </w:tr>
      <w:tr w:rsidR="009B2872" w:rsidRPr="0018630D" w14:paraId="7CAA5F05" w14:textId="77777777">
        <w:tc>
          <w:tcPr>
            <w:tcW w:w="1317" w:type="dxa"/>
            <w:shd w:val="clear" w:color="auto" w:fill="auto"/>
            <w:hideMark/>
          </w:tcPr>
          <w:p w14:paraId="722E807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Centre for Pacific Crops and Trees </w:t>
            </w:r>
          </w:p>
        </w:tc>
        <w:tc>
          <w:tcPr>
            <w:tcW w:w="1347" w:type="dxa"/>
            <w:shd w:val="clear" w:color="auto" w:fill="auto"/>
            <w:hideMark/>
          </w:tcPr>
          <w:p w14:paraId="7D03C36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2683" w:type="dxa"/>
            <w:shd w:val="clear" w:color="auto" w:fill="auto"/>
            <w:hideMark/>
          </w:tcPr>
          <w:p w14:paraId="146D1739" w14:textId="6F677E76"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The activity aims to ensure that farmers have access to pest, disease, drought and salt tolerant seeds and other planting materials, particularly of crops that have been traditionally grown in the Pacific.</w:t>
            </w:r>
            <w:r w:rsidR="00D926E9" w:rsidRPr="0018630D">
              <w:rPr>
                <w:rFonts w:asciiTheme="minorHAnsi" w:eastAsia="Times New Roman" w:hAnsiTheme="minorHAnsi" w:cstheme="minorHAnsi"/>
                <w:sz w:val="18"/>
                <w:szCs w:val="18"/>
              </w:rPr>
              <w:t xml:space="preserve"> </w:t>
            </w:r>
          </w:p>
        </w:tc>
        <w:tc>
          <w:tcPr>
            <w:tcW w:w="1163" w:type="dxa"/>
            <w:shd w:val="clear" w:color="auto" w:fill="auto"/>
            <w:hideMark/>
          </w:tcPr>
          <w:p w14:paraId="3820AB7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585ED23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Agriculture </w:t>
            </w:r>
          </w:p>
        </w:tc>
        <w:tc>
          <w:tcPr>
            <w:tcW w:w="1666" w:type="dxa"/>
            <w:shd w:val="clear" w:color="auto" w:fill="auto"/>
            <w:hideMark/>
          </w:tcPr>
          <w:p w14:paraId="48B27319" w14:textId="05B572F4"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Agricultural inputs</w:t>
            </w:r>
            <w:r w:rsidR="00D926E9" w:rsidRPr="0018630D">
              <w:rPr>
                <w:rFonts w:asciiTheme="minorHAnsi" w:eastAsia="Times New Roman" w:hAnsiTheme="minorHAnsi" w:cstheme="minorHAnsi"/>
                <w:sz w:val="18"/>
                <w:szCs w:val="18"/>
              </w:rPr>
              <w:t xml:space="preserve"> </w:t>
            </w:r>
          </w:p>
        </w:tc>
        <w:tc>
          <w:tcPr>
            <w:tcW w:w="2354" w:type="dxa"/>
            <w:shd w:val="clear" w:color="auto" w:fill="auto"/>
            <w:hideMark/>
          </w:tcPr>
          <w:p w14:paraId="00F662F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Pest, disease, drought and salt tolerant seeds and other planting materials </w:t>
            </w:r>
          </w:p>
        </w:tc>
        <w:tc>
          <w:tcPr>
            <w:tcW w:w="1110" w:type="dxa"/>
            <w:shd w:val="clear" w:color="auto" w:fill="auto"/>
            <w:hideMark/>
          </w:tcPr>
          <w:p w14:paraId="07408D1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52720EB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Public sector institutions </w:t>
            </w:r>
          </w:p>
        </w:tc>
      </w:tr>
      <w:tr w:rsidR="009B2872" w:rsidRPr="0018630D" w14:paraId="11A90998" w14:textId="77777777">
        <w:tc>
          <w:tcPr>
            <w:tcW w:w="1317" w:type="dxa"/>
            <w:shd w:val="clear" w:color="auto" w:fill="auto"/>
            <w:hideMark/>
          </w:tcPr>
          <w:p w14:paraId="2F0C4CB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Climate Science for Ensuring Pacific Tuna Access </w:t>
            </w:r>
          </w:p>
        </w:tc>
        <w:tc>
          <w:tcPr>
            <w:tcW w:w="1347" w:type="dxa"/>
            <w:shd w:val="clear" w:color="auto" w:fill="auto"/>
            <w:hideMark/>
          </w:tcPr>
          <w:p w14:paraId="05E6B7C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2683" w:type="dxa"/>
            <w:shd w:val="clear" w:color="auto" w:fill="auto"/>
            <w:hideMark/>
          </w:tcPr>
          <w:p w14:paraId="7F2638B1" w14:textId="214B3535"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Development of advanced warning system to forecast climate induced tuna migration in the Pacific.</w:t>
            </w:r>
            <w:r w:rsidR="00D926E9" w:rsidRPr="0018630D">
              <w:rPr>
                <w:rFonts w:asciiTheme="minorHAnsi" w:eastAsia="Times New Roman" w:hAnsiTheme="minorHAnsi" w:cstheme="minorHAnsi"/>
                <w:sz w:val="18"/>
                <w:szCs w:val="18"/>
              </w:rPr>
              <w:t xml:space="preserve"> </w:t>
            </w:r>
          </w:p>
        </w:tc>
        <w:tc>
          <w:tcPr>
            <w:tcW w:w="1163" w:type="dxa"/>
            <w:shd w:val="clear" w:color="auto" w:fill="auto"/>
            <w:hideMark/>
          </w:tcPr>
          <w:p w14:paraId="7859DCD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2A7A8F7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Fishing </w:t>
            </w:r>
          </w:p>
        </w:tc>
        <w:tc>
          <w:tcPr>
            <w:tcW w:w="1666" w:type="dxa"/>
            <w:shd w:val="clear" w:color="auto" w:fill="auto"/>
            <w:hideMark/>
          </w:tcPr>
          <w:p w14:paraId="3ADE438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Fishery research </w:t>
            </w:r>
          </w:p>
        </w:tc>
        <w:tc>
          <w:tcPr>
            <w:tcW w:w="2354" w:type="dxa"/>
            <w:shd w:val="clear" w:color="auto" w:fill="auto"/>
            <w:hideMark/>
          </w:tcPr>
          <w:p w14:paraId="7BD0C16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Advanced warning systems and support of scientific infrastructure </w:t>
            </w:r>
          </w:p>
        </w:tc>
        <w:tc>
          <w:tcPr>
            <w:tcW w:w="1110" w:type="dxa"/>
            <w:shd w:val="clear" w:color="auto" w:fill="auto"/>
            <w:hideMark/>
          </w:tcPr>
          <w:p w14:paraId="129914F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15C7162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Multilateral Organisation </w:t>
            </w:r>
          </w:p>
        </w:tc>
      </w:tr>
      <w:tr w:rsidR="009B2872" w:rsidRPr="0018630D" w14:paraId="7C9F1E09" w14:textId="77777777">
        <w:tc>
          <w:tcPr>
            <w:tcW w:w="1317" w:type="dxa"/>
            <w:shd w:val="clear" w:color="auto" w:fill="auto"/>
            <w:hideMark/>
          </w:tcPr>
          <w:p w14:paraId="1CE1CDA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Improving water security in Kiribati </w:t>
            </w:r>
          </w:p>
        </w:tc>
        <w:tc>
          <w:tcPr>
            <w:tcW w:w="1347" w:type="dxa"/>
            <w:shd w:val="clear" w:color="auto" w:fill="auto"/>
            <w:hideMark/>
          </w:tcPr>
          <w:p w14:paraId="1D9A894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Kiribati </w:t>
            </w:r>
          </w:p>
        </w:tc>
        <w:tc>
          <w:tcPr>
            <w:tcW w:w="2683" w:type="dxa"/>
            <w:shd w:val="clear" w:color="auto" w:fill="auto"/>
            <w:hideMark/>
          </w:tcPr>
          <w:p w14:paraId="4C91694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Recruit and train two i-Kiribati WASH (water, sanitation and hygiene) officers to implement Drinking Water Safety and Security Planning. </w:t>
            </w:r>
          </w:p>
        </w:tc>
        <w:tc>
          <w:tcPr>
            <w:tcW w:w="1163" w:type="dxa"/>
            <w:shd w:val="clear" w:color="auto" w:fill="auto"/>
            <w:hideMark/>
          </w:tcPr>
          <w:p w14:paraId="01814FC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58DEE7A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Health </w:t>
            </w:r>
          </w:p>
        </w:tc>
        <w:tc>
          <w:tcPr>
            <w:tcW w:w="1666" w:type="dxa"/>
            <w:shd w:val="clear" w:color="auto" w:fill="auto"/>
            <w:hideMark/>
          </w:tcPr>
          <w:p w14:paraId="7A69C164" w14:textId="4B23D472"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Basic health infrastructure</w:t>
            </w:r>
            <w:r w:rsidR="00D926E9" w:rsidRPr="0018630D">
              <w:rPr>
                <w:rFonts w:asciiTheme="minorHAnsi" w:eastAsia="Times New Roman" w:hAnsiTheme="minorHAnsi" w:cstheme="minorHAnsi"/>
                <w:sz w:val="18"/>
                <w:szCs w:val="18"/>
              </w:rPr>
              <w:t xml:space="preserve"> </w:t>
            </w:r>
          </w:p>
        </w:tc>
        <w:tc>
          <w:tcPr>
            <w:tcW w:w="2354" w:type="dxa"/>
            <w:shd w:val="clear" w:color="auto" w:fill="auto"/>
            <w:hideMark/>
          </w:tcPr>
          <w:p w14:paraId="462D08D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Recruitment and training of two water, sanitation and hygiene officers to implement drinking water safely and security planning in communities and households </w:t>
            </w:r>
          </w:p>
        </w:tc>
        <w:tc>
          <w:tcPr>
            <w:tcW w:w="1110" w:type="dxa"/>
            <w:shd w:val="clear" w:color="auto" w:fill="auto"/>
            <w:hideMark/>
          </w:tcPr>
          <w:p w14:paraId="48B844E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6038C30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Non-governmental organisation and civil society </w:t>
            </w:r>
          </w:p>
        </w:tc>
      </w:tr>
      <w:tr w:rsidR="009B2872" w:rsidRPr="0018630D" w14:paraId="7B812CF3" w14:textId="77777777">
        <w:tc>
          <w:tcPr>
            <w:tcW w:w="1317" w:type="dxa"/>
            <w:shd w:val="clear" w:color="auto" w:fill="auto"/>
            <w:hideMark/>
          </w:tcPr>
          <w:p w14:paraId="7F50437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ASEAN: Support to the Mekong River Commission </w:t>
            </w:r>
          </w:p>
        </w:tc>
        <w:tc>
          <w:tcPr>
            <w:tcW w:w="1347" w:type="dxa"/>
            <w:shd w:val="clear" w:color="auto" w:fill="auto"/>
            <w:hideMark/>
          </w:tcPr>
          <w:p w14:paraId="45382FC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Asia Regional/multi-country </w:t>
            </w:r>
          </w:p>
        </w:tc>
        <w:tc>
          <w:tcPr>
            <w:tcW w:w="2683" w:type="dxa"/>
            <w:shd w:val="clear" w:color="auto" w:fill="auto"/>
            <w:hideMark/>
          </w:tcPr>
          <w:p w14:paraId="178DA42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Promotes Lower Mekong communities' livelihoods, energy and food security needs are met through sustainable access to water. </w:t>
            </w:r>
          </w:p>
        </w:tc>
        <w:tc>
          <w:tcPr>
            <w:tcW w:w="1163" w:type="dxa"/>
            <w:shd w:val="clear" w:color="auto" w:fill="auto"/>
            <w:hideMark/>
          </w:tcPr>
          <w:p w14:paraId="2FDF7B9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66" w:type="dxa"/>
            <w:shd w:val="clear" w:color="auto" w:fill="auto"/>
            <w:hideMark/>
          </w:tcPr>
          <w:p w14:paraId="2B94CFE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Water and Sanitation </w:t>
            </w:r>
          </w:p>
        </w:tc>
        <w:tc>
          <w:tcPr>
            <w:tcW w:w="1666" w:type="dxa"/>
            <w:shd w:val="clear" w:color="auto" w:fill="auto"/>
            <w:hideMark/>
          </w:tcPr>
          <w:p w14:paraId="06F9BE4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Water sector policy and administrative management </w:t>
            </w:r>
          </w:p>
        </w:tc>
        <w:tc>
          <w:tcPr>
            <w:tcW w:w="2354" w:type="dxa"/>
            <w:shd w:val="clear" w:color="auto" w:fill="auto"/>
            <w:hideMark/>
          </w:tcPr>
          <w:p w14:paraId="36052A9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Sustainable access to water to promote livelihoods, energy and food security </w:t>
            </w:r>
          </w:p>
        </w:tc>
        <w:tc>
          <w:tcPr>
            <w:tcW w:w="1110" w:type="dxa"/>
            <w:shd w:val="clear" w:color="auto" w:fill="auto"/>
            <w:hideMark/>
          </w:tcPr>
          <w:p w14:paraId="7F40C92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73721AF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Multilateral Organisation </w:t>
            </w:r>
          </w:p>
        </w:tc>
      </w:tr>
      <w:tr w:rsidR="009B2872" w:rsidRPr="0018630D" w14:paraId="5D729527" w14:textId="77777777">
        <w:tc>
          <w:tcPr>
            <w:tcW w:w="1317" w:type="dxa"/>
            <w:shd w:val="clear" w:color="auto" w:fill="auto"/>
            <w:hideMark/>
          </w:tcPr>
          <w:p w14:paraId="25A6618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Consultative Group for International Agricultural Research </w:t>
            </w:r>
          </w:p>
        </w:tc>
        <w:tc>
          <w:tcPr>
            <w:tcW w:w="1347" w:type="dxa"/>
            <w:shd w:val="clear" w:color="auto" w:fill="auto"/>
            <w:hideMark/>
          </w:tcPr>
          <w:p w14:paraId="7AF896F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Global </w:t>
            </w:r>
          </w:p>
        </w:tc>
        <w:tc>
          <w:tcPr>
            <w:tcW w:w="2683" w:type="dxa"/>
            <w:shd w:val="clear" w:color="auto" w:fill="auto"/>
            <w:hideMark/>
          </w:tcPr>
          <w:p w14:paraId="2DC4658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The Consultative Group on International Agricultural Research’s work includes science-based innovation, targeted capacity development and provision of policy advice. </w:t>
            </w:r>
          </w:p>
        </w:tc>
        <w:tc>
          <w:tcPr>
            <w:tcW w:w="1163" w:type="dxa"/>
            <w:shd w:val="clear" w:color="auto" w:fill="auto"/>
            <w:hideMark/>
          </w:tcPr>
          <w:p w14:paraId="6278108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Cross-cutting </w:t>
            </w:r>
          </w:p>
        </w:tc>
        <w:tc>
          <w:tcPr>
            <w:tcW w:w="1466" w:type="dxa"/>
            <w:shd w:val="clear" w:color="auto" w:fill="auto"/>
            <w:hideMark/>
          </w:tcPr>
          <w:p w14:paraId="331E3FF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Agriculture </w:t>
            </w:r>
          </w:p>
        </w:tc>
        <w:tc>
          <w:tcPr>
            <w:tcW w:w="1666" w:type="dxa"/>
            <w:shd w:val="clear" w:color="auto" w:fill="auto"/>
            <w:hideMark/>
          </w:tcPr>
          <w:p w14:paraId="2A88C06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Agricultural research </w:t>
            </w:r>
          </w:p>
        </w:tc>
        <w:tc>
          <w:tcPr>
            <w:tcW w:w="2354" w:type="dxa"/>
            <w:shd w:val="clear" w:color="auto" w:fill="auto"/>
            <w:hideMark/>
          </w:tcPr>
          <w:p w14:paraId="5B4AB2F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Science-based innovation, targeted capacity development and provision of policy advice across three action areas: food, land and water system transformation; resilient agrifood systems; and genetic innovation. </w:t>
            </w:r>
          </w:p>
        </w:tc>
        <w:tc>
          <w:tcPr>
            <w:tcW w:w="1110" w:type="dxa"/>
            <w:shd w:val="clear" w:color="auto" w:fill="auto"/>
            <w:hideMark/>
          </w:tcPr>
          <w:p w14:paraId="5BC0B5B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c>
          <w:tcPr>
            <w:tcW w:w="1409" w:type="dxa"/>
            <w:shd w:val="clear" w:color="auto" w:fill="auto"/>
            <w:hideMark/>
          </w:tcPr>
          <w:p w14:paraId="0B086E0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Multilateral Organisation </w:t>
            </w:r>
          </w:p>
        </w:tc>
      </w:tr>
    </w:tbl>
    <w:p w14:paraId="0FD0EE5C" w14:textId="77777777" w:rsidR="009B2872" w:rsidRPr="009B2872" w:rsidRDefault="009B2872" w:rsidP="009B2872">
      <w:pPr>
        <w:spacing w:before="0" w:after="0"/>
        <w:jc w:val="left"/>
      </w:pPr>
    </w:p>
    <w:p w14:paraId="5D54F631" w14:textId="1CA2A093" w:rsidR="009B2872" w:rsidRPr="009B2872" w:rsidRDefault="009B2872" w:rsidP="009B2872">
      <w:pPr>
        <w:keepNext/>
        <w:spacing w:before="0"/>
        <w:ind w:left="1134" w:hanging="1134"/>
        <w:jc w:val="left"/>
        <w:rPr>
          <w:b/>
          <w:sz w:val="20"/>
        </w:rPr>
      </w:pPr>
      <w:bookmarkStart w:id="966" w:name="ctftable1115"/>
      <w:r w:rsidRPr="009B2872">
        <w:rPr>
          <w:b/>
          <w:sz w:val="20"/>
        </w:rPr>
        <w:t xml:space="preserve">CTF </w:t>
      </w:r>
      <w:r w:rsidR="007E289C">
        <w:rPr>
          <w:b/>
          <w:sz w:val="20"/>
        </w:rPr>
        <w:t>t</w:t>
      </w:r>
      <w:r w:rsidRPr="009B2872">
        <w:rPr>
          <w:b/>
          <w:sz w:val="20"/>
        </w:rPr>
        <w:t>able III.5</w:t>
      </w:r>
      <w:bookmarkEnd w:id="966"/>
      <w:r w:rsidRPr="009B2872">
        <w:rPr>
          <w:b/>
          <w:sz w:val="20"/>
        </w:rPr>
        <w:t>:</w:t>
      </w:r>
      <w:r w:rsidR="00B86B19">
        <w:rPr>
          <w:b/>
          <w:sz w:val="20"/>
        </w:rPr>
        <w:tab/>
      </w:r>
      <w:r w:rsidRPr="009B2872">
        <w:rPr>
          <w:b/>
          <w:sz w:val="20"/>
        </w:rPr>
        <w:t>Information on capacity-building support provided under Article 11 of the Paris Agreement</w:t>
      </w:r>
    </w:p>
    <w:tbl>
      <w:tblPr>
        <w:tblW w:w="14515" w:type="dxa"/>
        <w:tblBorders>
          <w:top w:val="single" w:sz="4" w:space="0" w:color="1B556B"/>
          <w:bottom w:val="single" w:sz="4" w:space="0" w:color="1B556B"/>
          <w:insideH w:val="single" w:sz="4" w:space="0" w:color="1B556B"/>
          <w:insideV w:val="single" w:sz="4" w:space="0" w:color="1B556B"/>
        </w:tblBorders>
        <w:tblLayout w:type="fixed"/>
        <w:tblCellMar>
          <w:left w:w="85" w:type="dxa"/>
          <w:right w:w="85" w:type="dxa"/>
        </w:tblCellMar>
        <w:tblLook w:val="04A0" w:firstRow="1" w:lastRow="0" w:firstColumn="1" w:lastColumn="0" w:noHBand="0" w:noVBand="1"/>
      </w:tblPr>
      <w:tblGrid>
        <w:gridCol w:w="3184"/>
        <w:gridCol w:w="2089"/>
        <w:gridCol w:w="6425"/>
        <w:gridCol w:w="1394"/>
        <w:gridCol w:w="1423"/>
      </w:tblGrid>
      <w:tr w:rsidR="009B2872" w:rsidRPr="0018630D" w14:paraId="7141E3A6" w14:textId="77777777">
        <w:trPr>
          <w:tblHeader/>
        </w:trPr>
        <w:tc>
          <w:tcPr>
            <w:tcW w:w="3225" w:type="dxa"/>
            <w:shd w:val="clear" w:color="auto" w:fill="1B556B"/>
            <w:vAlign w:val="bottom"/>
            <w:hideMark/>
          </w:tcPr>
          <w:p w14:paraId="1F75AD8A" w14:textId="77777777" w:rsidR="009B2872" w:rsidRPr="0018630D" w:rsidRDefault="009B2872" w:rsidP="009B2872">
            <w:pPr>
              <w:spacing w:before="60" w:after="60" w:line="240" w:lineRule="atLeast"/>
              <w:jc w:val="left"/>
              <w:rPr>
                <w:rFonts w:asciiTheme="minorHAnsi" w:hAnsiTheme="minorHAnsi" w:cstheme="minorHAnsi"/>
                <w:b/>
                <w:color w:val="FFFFFF" w:themeColor="background1"/>
                <w:sz w:val="18"/>
                <w:szCs w:val="18"/>
              </w:rPr>
            </w:pPr>
            <w:r w:rsidRPr="0018630D">
              <w:rPr>
                <w:rFonts w:asciiTheme="minorHAnsi" w:hAnsiTheme="minorHAnsi" w:cstheme="minorHAnsi"/>
                <w:b/>
                <w:color w:val="FFFFFF" w:themeColor="background1"/>
                <w:sz w:val="18"/>
                <w:szCs w:val="18"/>
              </w:rPr>
              <w:t>Title </w:t>
            </w:r>
          </w:p>
        </w:tc>
        <w:tc>
          <w:tcPr>
            <w:tcW w:w="2115" w:type="dxa"/>
            <w:shd w:val="clear" w:color="auto" w:fill="1B556B"/>
            <w:vAlign w:val="bottom"/>
            <w:hideMark/>
          </w:tcPr>
          <w:p w14:paraId="008F44A7" w14:textId="442337B4" w:rsidR="009B2872" w:rsidRPr="0018630D" w:rsidRDefault="009B2872" w:rsidP="009B2872">
            <w:pPr>
              <w:spacing w:before="60" w:after="60" w:line="240" w:lineRule="atLeast"/>
              <w:jc w:val="left"/>
              <w:rPr>
                <w:rFonts w:asciiTheme="minorHAnsi" w:hAnsiTheme="minorHAnsi" w:cstheme="minorHAnsi"/>
                <w:b/>
                <w:color w:val="FFFFFF" w:themeColor="background1"/>
                <w:sz w:val="18"/>
                <w:szCs w:val="18"/>
              </w:rPr>
            </w:pPr>
            <w:r w:rsidRPr="0018630D">
              <w:rPr>
                <w:rFonts w:asciiTheme="minorHAnsi" w:hAnsiTheme="minorHAnsi" w:cstheme="minorHAnsi"/>
                <w:b/>
                <w:color w:val="FFFFFF" w:themeColor="background1"/>
                <w:sz w:val="18"/>
                <w:szCs w:val="18"/>
              </w:rPr>
              <w:t>Recipient Entity</w:t>
            </w:r>
            <w:r w:rsidR="00D926E9" w:rsidRPr="0018630D">
              <w:rPr>
                <w:rFonts w:asciiTheme="minorHAnsi" w:hAnsiTheme="minorHAnsi" w:cstheme="minorHAnsi"/>
                <w:b/>
                <w:color w:val="FFFFFF" w:themeColor="background1"/>
                <w:sz w:val="18"/>
                <w:szCs w:val="18"/>
              </w:rPr>
              <w:t xml:space="preserve"> </w:t>
            </w:r>
          </w:p>
        </w:tc>
        <w:tc>
          <w:tcPr>
            <w:tcW w:w="6510" w:type="dxa"/>
            <w:shd w:val="clear" w:color="auto" w:fill="1B556B"/>
            <w:vAlign w:val="bottom"/>
            <w:hideMark/>
          </w:tcPr>
          <w:p w14:paraId="13497304" w14:textId="3737D584" w:rsidR="009B2872" w:rsidRPr="0018630D" w:rsidRDefault="009B2872" w:rsidP="009B2872">
            <w:pPr>
              <w:spacing w:before="60" w:after="60" w:line="240" w:lineRule="atLeast"/>
              <w:jc w:val="left"/>
              <w:rPr>
                <w:rFonts w:asciiTheme="minorHAnsi" w:hAnsiTheme="minorHAnsi" w:cstheme="minorHAnsi"/>
                <w:b/>
                <w:color w:val="FFFFFF" w:themeColor="background1"/>
                <w:sz w:val="18"/>
                <w:szCs w:val="18"/>
              </w:rPr>
            </w:pPr>
            <w:r w:rsidRPr="0018630D">
              <w:rPr>
                <w:rFonts w:asciiTheme="minorHAnsi" w:hAnsiTheme="minorHAnsi" w:cstheme="minorHAnsi"/>
                <w:b/>
                <w:color w:val="FFFFFF" w:themeColor="background1"/>
                <w:sz w:val="18"/>
                <w:szCs w:val="18"/>
              </w:rPr>
              <w:t>Description and Objectives</w:t>
            </w:r>
            <w:r w:rsidR="00D926E9" w:rsidRPr="0018630D">
              <w:rPr>
                <w:rFonts w:asciiTheme="minorHAnsi" w:hAnsiTheme="minorHAnsi" w:cstheme="minorHAnsi"/>
                <w:b/>
                <w:color w:val="FFFFFF" w:themeColor="background1"/>
                <w:sz w:val="18"/>
                <w:szCs w:val="18"/>
              </w:rPr>
              <w:t xml:space="preserve"> </w:t>
            </w:r>
          </w:p>
        </w:tc>
        <w:tc>
          <w:tcPr>
            <w:tcW w:w="1410" w:type="dxa"/>
            <w:shd w:val="clear" w:color="auto" w:fill="1B556B"/>
            <w:vAlign w:val="bottom"/>
            <w:hideMark/>
          </w:tcPr>
          <w:p w14:paraId="03CE2AB6" w14:textId="77777777" w:rsidR="009B2872" w:rsidRPr="0018630D" w:rsidRDefault="009B2872" w:rsidP="009B2872">
            <w:pPr>
              <w:spacing w:before="60" w:after="60" w:line="240" w:lineRule="atLeast"/>
              <w:jc w:val="left"/>
              <w:rPr>
                <w:rFonts w:asciiTheme="minorHAnsi" w:hAnsiTheme="minorHAnsi" w:cstheme="minorHAnsi"/>
                <w:b/>
                <w:color w:val="FFFFFF" w:themeColor="background1"/>
                <w:sz w:val="18"/>
                <w:szCs w:val="18"/>
              </w:rPr>
            </w:pPr>
            <w:r w:rsidRPr="0018630D">
              <w:rPr>
                <w:rFonts w:asciiTheme="minorHAnsi" w:hAnsiTheme="minorHAnsi" w:cstheme="minorHAnsi"/>
                <w:b/>
                <w:color w:val="FFFFFF" w:themeColor="background1"/>
                <w:sz w:val="18"/>
                <w:szCs w:val="18"/>
              </w:rPr>
              <w:t>Type of Support </w:t>
            </w:r>
          </w:p>
        </w:tc>
        <w:tc>
          <w:tcPr>
            <w:tcW w:w="1440" w:type="dxa"/>
            <w:shd w:val="clear" w:color="auto" w:fill="1B556B"/>
            <w:vAlign w:val="bottom"/>
            <w:hideMark/>
          </w:tcPr>
          <w:p w14:paraId="17494752" w14:textId="47F8AD40" w:rsidR="009B2872" w:rsidRPr="0018630D" w:rsidRDefault="009B2872" w:rsidP="009B2872">
            <w:pPr>
              <w:spacing w:before="60" w:after="60" w:line="240" w:lineRule="atLeast"/>
              <w:jc w:val="left"/>
              <w:rPr>
                <w:rFonts w:asciiTheme="minorHAnsi" w:hAnsiTheme="minorHAnsi" w:cstheme="minorHAnsi"/>
                <w:b/>
                <w:color w:val="FFFFFF" w:themeColor="background1"/>
                <w:sz w:val="18"/>
                <w:szCs w:val="18"/>
              </w:rPr>
            </w:pPr>
            <w:r w:rsidRPr="0018630D">
              <w:rPr>
                <w:rFonts w:asciiTheme="minorHAnsi" w:hAnsiTheme="minorHAnsi" w:cstheme="minorHAnsi"/>
                <w:b/>
                <w:color w:val="FFFFFF" w:themeColor="background1"/>
                <w:sz w:val="18"/>
                <w:szCs w:val="18"/>
              </w:rPr>
              <w:t>Status or measure of activity</w:t>
            </w:r>
            <w:r w:rsidR="00D926E9" w:rsidRPr="0018630D">
              <w:rPr>
                <w:rFonts w:asciiTheme="minorHAnsi" w:hAnsiTheme="minorHAnsi" w:cstheme="minorHAnsi"/>
                <w:b/>
                <w:color w:val="FFFFFF" w:themeColor="background1"/>
                <w:sz w:val="18"/>
                <w:szCs w:val="18"/>
              </w:rPr>
              <w:t xml:space="preserve"> </w:t>
            </w:r>
          </w:p>
        </w:tc>
      </w:tr>
      <w:tr w:rsidR="009B2872" w:rsidRPr="0018630D" w14:paraId="26BB9B07" w14:textId="77777777">
        <w:tc>
          <w:tcPr>
            <w:tcW w:w="3225" w:type="dxa"/>
            <w:shd w:val="clear" w:color="auto" w:fill="auto"/>
            <w:vAlign w:val="center"/>
            <w:hideMark/>
          </w:tcPr>
          <w:p w14:paraId="07C74B1C" w14:textId="6B6D7CB4" w:rsidR="009B2872" w:rsidRPr="0018630D" w:rsidRDefault="003C374B" w:rsidP="009B2872">
            <w:pPr>
              <w:spacing w:before="60" w:after="60" w:line="240" w:lineRule="auto"/>
              <w:ind w:left="113"/>
              <w:jc w:val="left"/>
              <w:textAlignment w:val="baseline"/>
              <w:rPr>
                <w:rFonts w:asciiTheme="minorHAnsi" w:eastAsia="Times New Roman" w:hAnsiTheme="minorHAnsi" w:cstheme="minorHAnsi"/>
                <w:sz w:val="18"/>
                <w:szCs w:val="18"/>
              </w:rPr>
            </w:pPr>
            <w:r w:rsidRPr="003C374B">
              <w:rPr>
                <w:rFonts w:asciiTheme="minorHAnsi" w:eastAsia="Times New Roman" w:hAnsiTheme="minorHAnsi" w:cstheme="minorHAnsi"/>
                <w:sz w:val="18"/>
                <w:szCs w:val="18"/>
              </w:rPr>
              <w:t>Climate and Oceans Support Program in the Pacific</w:t>
            </w:r>
            <w:r w:rsidR="009B2872" w:rsidRPr="0018630D">
              <w:rPr>
                <w:rFonts w:asciiTheme="minorHAnsi" w:eastAsia="Times New Roman" w:hAnsiTheme="minorHAnsi" w:cstheme="minorHAnsi"/>
                <w:sz w:val="18"/>
                <w:szCs w:val="18"/>
              </w:rPr>
              <w:t> </w:t>
            </w:r>
          </w:p>
        </w:tc>
        <w:tc>
          <w:tcPr>
            <w:tcW w:w="2115" w:type="dxa"/>
            <w:shd w:val="clear" w:color="auto" w:fill="auto"/>
            <w:vAlign w:val="center"/>
            <w:hideMark/>
          </w:tcPr>
          <w:p w14:paraId="03992D5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vAlign w:val="center"/>
            <w:hideMark/>
          </w:tcPr>
          <w:p w14:paraId="266D36F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Delivers a sea level and geodetic monitoring project, climate data and a seasonal prediction project. </w:t>
            </w:r>
          </w:p>
        </w:tc>
        <w:tc>
          <w:tcPr>
            <w:tcW w:w="1410" w:type="dxa"/>
            <w:shd w:val="clear" w:color="auto" w:fill="auto"/>
            <w:vAlign w:val="center"/>
            <w:hideMark/>
          </w:tcPr>
          <w:p w14:paraId="46E2DC8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0832FA5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641139A2" w14:textId="77777777">
        <w:tc>
          <w:tcPr>
            <w:tcW w:w="3225" w:type="dxa"/>
            <w:shd w:val="clear" w:color="auto" w:fill="auto"/>
            <w:vAlign w:val="center"/>
            <w:hideMark/>
          </w:tcPr>
          <w:p w14:paraId="06371BD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Disaster Risk Management in Fiji </w:t>
            </w:r>
          </w:p>
        </w:tc>
        <w:tc>
          <w:tcPr>
            <w:tcW w:w="2115" w:type="dxa"/>
            <w:shd w:val="clear" w:color="auto" w:fill="auto"/>
            <w:vAlign w:val="center"/>
            <w:hideMark/>
          </w:tcPr>
          <w:p w14:paraId="0B338E6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Fiji </w:t>
            </w:r>
          </w:p>
        </w:tc>
        <w:tc>
          <w:tcPr>
            <w:tcW w:w="6510" w:type="dxa"/>
            <w:shd w:val="clear" w:color="auto" w:fill="auto"/>
            <w:vAlign w:val="center"/>
            <w:hideMark/>
          </w:tcPr>
          <w:p w14:paraId="53E9C41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Provides; (a) technical assistance to the National Disaster Management Office DMO; (b) upgrade of tsunami and flood protection systems; and (c) construction of warehouses and evacuation centres. </w:t>
            </w:r>
          </w:p>
        </w:tc>
        <w:tc>
          <w:tcPr>
            <w:tcW w:w="1410" w:type="dxa"/>
            <w:shd w:val="clear" w:color="auto" w:fill="auto"/>
            <w:vAlign w:val="center"/>
            <w:hideMark/>
          </w:tcPr>
          <w:p w14:paraId="4A15015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22E270E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02171F55" w14:textId="77777777">
        <w:tc>
          <w:tcPr>
            <w:tcW w:w="3225" w:type="dxa"/>
            <w:shd w:val="clear" w:color="auto" w:fill="auto"/>
            <w:hideMark/>
          </w:tcPr>
          <w:p w14:paraId="03DCEA2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 to the Pacific Climate Change Centre </w:t>
            </w:r>
          </w:p>
        </w:tc>
        <w:tc>
          <w:tcPr>
            <w:tcW w:w="2115" w:type="dxa"/>
            <w:shd w:val="clear" w:color="auto" w:fill="auto"/>
            <w:hideMark/>
          </w:tcPr>
          <w:p w14:paraId="4D0F75A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6521EDF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the Japan International Cooperation Agency (JICA), who are funding the construction of the PCCC, and will focus on human resources and capacity development support. </w:t>
            </w:r>
          </w:p>
        </w:tc>
        <w:tc>
          <w:tcPr>
            <w:tcW w:w="1410" w:type="dxa"/>
            <w:shd w:val="clear" w:color="auto" w:fill="auto"/>
            <w:hideMark/>
          </w:tcPr>
          <w:p w14:paraId="61B4376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Cross-cutting </w:t>
            </w:r>
          </w:p>
        </w:tc>
        <w:tc>
          <w:tcPr>
            <w:tcW w:w="1440" w:type="dxa"/>
            <w:shd w:val="clear" w:color="auto" w:fill="auto"/>
            <w:hideMark/>
          </w:tcPr>
          <w:p w14:paraId="59BEA6F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3CC4EECC" w14:textId="77777777">
        <w:tc>
          <w:tcPr>
            <w:tcW w:w="3225" w:type="dxa"/>
            <w:shd w:val="clear" w:color="auto" w:fill="auto"/>
            <w:hideMark/>
          </w:tcPr>
          <w:p w14:paraId="4C19A0B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Public Sector Strengthening </w:t>
            </w:r>
          </w:p>
        </w:tc>
        <w:tc>
          <w:tcPr>
            <w:tcW w:w="2115" w:type="dxa"/>
            <w:shd w:val="clear" w:color="auto" w:fill="auto"/>
            <w:hideMark/>
          </w:tcPr>
          <w:p w14:paraId="0E36BBF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64D4A68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public sector reform initiatives, develop Pacific-specific solutions and support Pacific Public Service Commissions to share knowledge and experience across the region.  </w:t>
            </w:r>
          </w:p>
        </w:tc>
        <w:tc>
          <w:tcPr>
            <w:tcW w:w="1410" w:type="dxa"/>
            <w:shd w:val="clear" w:color="auto" w:fill="auto"/>
            <w:hideMark/>
          </w:tcPr>
          <w:p w14:paraId="4D064A2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0558DA8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70A5AE74" w14:textId="77777777">
        <w:tc>
          <w:tcPr>
            <w:tcW w:w="3225" w:type="dxa"/>
            <w:shd w:val="clear" w:color="auto" w:fill="auto"/>
            <w:hideMark/>
          </w:tcPr>
          <w:p w14:paraId="6A09DBF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Energy and Public Utility Reform </w:t>
            </w:r>
          </w:p>
        </w:tc>
        <w:tc>
          <w:tcPr>
            <w:tcW w:w="2115" w:type="dxa"/>
            <w:shd w:val="clear" w:color="auto" w:fill="auto"/>
            <w:hideMark/>
          </w:tcPr>
          <w:p w14:paraId="1748034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Kiribati </w:t>
            </w:r>
          </w:p>
        </w:tc>
        <w:tc>
          <w:tcPr>
            <w:tcW w:w="6510" w:type="dxa"/>
            <w:shd w:val="clear" w:color="auto" w:fill="auto"/>
            <w:hideMark/>
          </w:tcPr>
          <w:p w14:paraId="40B3446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to Public Utilities Board in Kiribati to build institutional capability and capacity for the provision of water, sanitation and electricity.   </w:t>
            </w:r>
          </w:p>
        </w:tc>
        <w:tc>
          <w:tcPr>
            <w:tcW w:w="1410" w:type="dxa"/>
            <w:shd w:val="clear" w:color="auto" w:fill="auto"/>
            <w:hideMark/>
          </w:tcPr>
          <w:p w14:paraId="38546D2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40" w:type="dxa"/>
            <w:shd w:val="clear" w:color="auto" w:fill="auto"/>
            <w:hideMark/>
          </w:tcPr>
          <w:p w14:paraId="19EB3D9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5EE7C275" w14:textId="77777777">
        <w:tc>
          <w:tcPr>
            <w:tcW w:w="3225" w:type="dxa"/>
            <w:shd w:val="clear" w:color="auto" w:fill="auto"/>
            <w:hideMark/>
          </w:tcPr>
          <w:p w14:paraId="1F227C9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NDC Hub </w:t>
            </w:r>
          </w:p>
        </w:tc>
        <w:tc>
          <w:tcPr>
            <w:tcW w:w="2115" w:type="dxa"/>
            <w:shd w:val="clear" w:color="auto" w:fill="auto"/>
            <w:hideMark/>
          </w:tcPr>
          <w:p w14:paraId="0913A99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525CF64B" w14:textId="68B0D67D"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Provides support to the Pacific Regional NDC Hub which has been established to help Pacific Island countries enhance and implement their Nationally Determined Contributions under the Paris Agreement. </w:t>
            </w:r>
            <w:r w:rsidR="00D926E9" w:rsidRPr="0018630D">
              <w:rPr>
                <w:rFonts w:asciiTheme="minorHAnsi" w:eastAsia="Times New Roman" w:hAnsiTheme="minorHAnsi" w:cstheme="minorHAnsi"/>
                <w:sz w:val="18"/>
                <w:szCs w:val="18"/>
              </w:rPr>
              <w:t xml:space="preserve"> </w:t>
            </w:r>
          </w:p>
        </w:tc>
        <w:tc>
          <w:tcPr>
            <w:tcW w:w="1410" w:type="dxa"/>
            <w:shd w:val="clear" w:color="auto" w:fill="auto"/>
            <w:hideMark/>
          </w:tcPr>
          <w:p w14:paraId="5361742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Cross-cutting </w:t>
            </w:r>
          </w:p>
        </w:tc>
        <w:tc>
          <w:tcPr>
            <w:tcW w:w="1440" w:type="dxa"/>
            <w:shd w:val="clear" w:color="auto" w:fill="auto"/>
            <w:hideMark/>
          </w:tcPr>
          <w:p w14:paraId="5CB3203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56B781E3" w14:textId="77777777">
        <w:tc>
          <w:tcPr>
            <w:tcW w:w="3225" w:type="dxa"/>
            <w:shd w:val="clear" w:color="auto" w:fill="auto"/>
            <w:hideMark/>
          </w:tcPr>
          <w:p w14:paraId="7C1BF29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Integrated Water Resources Management - Tuvalu </w:t>
            </w:r>
          </w:p>
        </w:tc>
        <w:tc>
          <w:tcPr>
            <w:tcW w:w="2115" w:type="dxa"/>
            <w:shd w:val="clear" w:color="auto" w:fill="auto"/>
            <w:hideMark/>
          </w:tcPr>
          <w:p w14:paraId="5736A73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Tuvalu </w:t>
            </w:r>
          </w:p>
        </w:tc>
        <w:tc>
          <w:tcPr>
            <w:tcW w:w="6510" w:type="dxa"/>
            <w:shd w:val="clear" w:color="auto" w:fill="auto"/>
            <w:hideMark/>
          </w:tcPr>
          <w:p w14:paraId="66BA5F9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drought management plans, water and sanitation policy development and drought modelling. </w:t>
            </w:r>
          </w:p>
        </w:tc>
        <w:tc>
          <w:tcPr>
            <w:tcW w:w="1410" w:type="dxa"/>
            <w:shd w:val="clear" w:color="auto" w:fill="auto"/>
            <w:hideMark/>
          </w:tcPr>
          <w:p w14:paraId="16F1356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Cross-cutting </w:t>
            </w:r>
          </w:p>
        </w:tc>
        <w:tc>
          <w:tcPr>
            <w:tcW w:w="1440" w:type="dxa"/>
            <w:shd w:val="clear" w:color="auto" w:fill="auto"/>
            <w:hideMark/>
          </w:tcPr>
          <w:p w14:paraId="3E9AE10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693017C5" w14:textId="77777777">
        <w:tc>
          <w:tcPr>
            <w:tcW w:w="3225" w:type="dxa"/>
            <w:shd w:val="clear" w:color="auto" w:fill="auto"/>
            <w:hideMark/>
          </w:tcPr>
          <w:p w14:paraId="58FED21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Ecosystems Resilience </w:t>
            </w:r>
          </w:p>
        </w:tc>
        <w:tc>
          <w:tcPr>
            <w:tcW w:w="2115" w:type="dxa"/>
            <w:shd w:val="clear" w:color="auto" w:fill="auto"/>
            <w:hideMark/>
          </w:tcPr>
          <w:p w14:paraId="42CE49B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7EEDF1E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the maintenance and restoration of ecosystem services for food security, coastal protection and disaster risk reduction, to enable climate change adaptation. </w:t>
            </w:r>
          </w:p>
        </w:tc>
        <w:tc>
          <w:tcPr>
            <w:tcW w:w="1410" w:type="dxa"/>
            <w:shd w:val="clear" w:color="auto" w:fill="auto"/>
            <w:hideMark/>
          </w:tcPr>
          <w:p w14:paraId="096511C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Cross-cutting </w:t>
            </w:r>
          </w:p>
        </w:tc>
        <w:tc>
          <w:tcPr>
            <w:tcW w:w="1440" w:type="dxa"/>
            <w:shd w:val="clear" w:color="auto" w:fill="auto"/>
            <w:hideMark/>
          </w:tcPr>
          <w:p w14:paraId="05675B8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6FD66012" w14:textId="77777777">
        <w:tc>
          <w:tcPr>
            <w:tcW w:w="3225" w:type="dxa"/>
            <w:shd w:val="clear" w:color="auto" w:fill="auto"/>
            <w:hideMark/>
          </w:tcPr>
          <w:p w14:paraId="750CE1D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Mainstreaming Climate Change in Governance </w:t>
            </w:r>
          </w:p>
        </w:tc>
        <w:tc>
          <w:tcPr>
            <w:tcW w:w="2115" w:type="dxa"/>
            <w:shd w:val="clear" w:color="auto" w:fill="auto"/>
            <w:hideMark/>
          </w:tcPr>
          <w:p w14:paraId="0A3FF56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52B74305" w14:textId="632171E5"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Mainstreams climate change into existing governance systems for planning, budgeting and programme management purposes.</w:t>
            </w:r>
            <w:r w:rsidR="00D926E9" w:rsidRPr="0018630D">
              <w:rPr>
                <w:rFonts w:asciiTheme="minorHAnsi" w:eastAsia="Times New Roman" w:hAnsiTheme="minorHAnsi" w:cstheme="minorHAnsi"/>
                <w:sz w:val="18"/>
                <w:szCs w:val="18"/>
              </w:rPr>
              <w:t xml:space="preserve"> </w:t>
            </w:r>
          </w:p>
        </w:tc>
        <w:tc>
          <w:tcPr>
            <w:tcW w:w="1410" w:type="dxa"/>
            <w:shd w:val="clear" w:color="auto" w:fill="auto"/>
            <w:hideMark/>
          </w:tcPr>
          <w:p w14:paraId="5B92EA4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Cross-cutting </w:t>
            </w:r>
          </w:p>
        </w:tc>
        <w:tc>
          <w:tcPr>
            <w:tcW w:w="1440" w:type="dxa"/>
            <w:shd w:val="clear" w:color="auto" w:fill="auto"/>
            <w:hideMark/>
          </w:tcPr>
          <w:p w14:paraId="2E32D9B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4F3F3C91" w14:textId="77777777">
        <w:tc>
          <w:tcPr>
            <w:tcW w:w="3225" w:type="dxa"/>
            <w:shd w:val="clear" w:color="auto" w:fill="auto"/>
            <w:hideMark/>
          </w:tcPr>
          <w:p w14:paraId="0E308DA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African Climate Smart Agriculture Initiative </w:t>
            </w:r>
          </w:p>
        </w:tc>
        <w:tc>
          <w:tcPr>
            <w:tcW w:w="2115" w:type="dxa"/>
            <w:shd w:val="clear" w:color="auto" w:fill="auto"/>
            <w:hideMark/>
          </w:tcPr>
          <w:p w14:paraId="77B6DD9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Africa Regional/multi-country </w:t>
            </w:r>
          </w:p>
        </w:tc>
        <w:tc>
          <w:tcPr>
            <w:tcW w:w="6510" w:type="dxa"/>
            <w:shd w:val="clear" w:color="auto" w:fill="auto"/>
            <w:hideMark/>
          </w:tcPr>
          <w:p w14:paraId="3D5EC95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Enables the development and implementation of effective technologies to mitigate global agricultural greenhouse gas emissions, and build capability in agricultural emissions measurement. </w:t>
            </w:r>
          </w:p>
        </w:tc>
        <w:tc>
          <w:tcPr>
            <w:tcW w:w="1410" w:type="dxa"/>
            <w:shd w:val="clear" w:color="auto" w:fill="auto"/>
            <w:hideMark/>
          </w:tcPr>
          <w:p w14:paraId="785FA58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40" w:type="dxa"/>
            <w:shd w:val="clear" w:color="auto" w:fill="auto"/>
            <w:hideMark/>
          </w:tcPr>
          <w:p w14:paraId="085F68A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7D904E25" w14:textId="77777777">
        <w:tc>
          <w:tcPr>
            <w:tcW w:w="3225" w:type="dxa"/>
            <w:shd w:val="clear" w:color="auto" w:fill="auto"/>
            <w:hideMark/>
          </w:tcPr>
          <w:p w14:paraId="4803555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Information for decision-making </w:t>
            </w:r>
          </w:p>
        </w:tc>
        <w:tc>
          <w:tcPr>
            <w:tcW w:w="2115" w:type="dxa"/>
            <w:shd w:val="clear" w:color="auto" w:fill="auto"/>
            <w:hideMark/>
          </w:tcPr>
          <w:p w14:paraId="42EE2CE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463D26C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a connected and usable platform of climate data, hazard and risk analysis to aid decision-making. </w:t>
            </w:r>
          </w:p>
        </w:tc>
        <w:tc>
          <w:tcPr>
            <w:tcW w:w="1410" w:type="dxa"/>
            <w:shd w:val="clear" w:color="auto" w:fill="auto"/>
            <w:hideMark/>
          </w:tcPr>
          <w:p w14:paraId="33068FF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1DCDDC7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1C5E3675" w14:textId="77777777">
        <w:tc>
          <w:tcPr>
            <w:tcW w:w="3225" w:type="dxa"/>
            <w:shd w:val="clear" w:color="auto" w:fill="auto"/>
            <w:hideMark/>
          </w:tcPr>
          <w:p w14:paraId="2412DE2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East Africa: Farm to Market Alliance (FtMA) </w:t>
            </w:r>
          </w:p>
        </w:tc>
        <w:tc>
          <w:tcPr>
            <w:tcW w:w="2115" w:type="dxa"/>
            <w:shd w:val="clear" w:color="auto" w:fill="auto"/>
            <w:hideMark/>
          </w:tcPr>
          <w:p w14:paraId="02E02EB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Africa Regional/multi-country </w:t>
            </w:r>
          </w:p>
        </w:tc>
        <w:tc>
          <w:tcPr>
            <w:tcW w:w="6510" w:type="dxa"/>
            <w:shd w:val="clear" w:color="auto" w:fill="auto"/>
            <w:hideMark/>
          </w:tcPr>
          <w:p w14:paraId="6D6C179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Sustainably improves farmer livelihoods whilst fostering commercial viability of value chain stakeholders. </w:t>
            </w:r>
          </w:p>
        </w:tc>
        <w:tc>
          <w:tcPr>
            <w:tcW w:w="1410" w:type="dxa"/>
            <w:shd w:val="clear" w:color="auto" w:fill="auto"/>
            <w:hideMark/>
          </w:tcPr>
          <w:p w14:paraId="66D0D24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7420761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197F9692" w14:textId="77777777">
        <w:tc>
          <w:tcPr>
            <w:tcW w:w="3225" w:type="dxa"/>
            <w:shd w:val="clear" w:color="auto" w:fill="auto"/>
            <w:hideMark/>
          </w:tcPr>
          <w:p w14:paraId="655BD6A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Enhanced Pacific Biosecurity Programme </w:t>
            </w:r>
          </w:p>
        </w:tc>
        <w:tc>
          <w:tcPr>
            <w:tcW w:w="2115" w:type="dxa"/>
            <w:shd w:val="clear" w:color="auto" w:fill="auto"/>
            <w:hideMark/>
          </w:tcPr>
          <w:p w14:paraId="0F47C98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500BCEC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Improve biosecurity systems and capability in the Pacific by increasing responsiveness to Pacific requests for export pathways to New Zealand. </w:t>
            </w:r>
          </w:p>
        </w:tc>
        <w:tc>
          <w:tcPr>
            <w:tcW w:w="1410" w:type="dxa"/>
            <w:shd w:val="clear" w:color="auto" w:fill="auto"/>
            <w:hideMark/>
          </w:tcPr>
          <w:p w14:paraId="7007CC9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76403D6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193B4EBB" w14:textId="77777777">
        <w:tc>
          <w:tcPr>
            <w:tcW w:w="3225" w:type="dxa"/>
            <w:shd w:val="clear" w:color="auto" w:fill="auto"/>
            <w:hideMark/>
          </w:tcPr>
          <w:p w14:paraId="4EC01AE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Reduce risk of water scarcity </w:t>
            </w:r>
          </w:p>
        </w:tc>
        <w:tc>
          <w:tcPr>
            <w:tcW w:w="2115" w:type="dxa"/>
            <w:shd w:val="clear" w:color="auto" w:fill="auto"/>
            <w:hideMark/>
          </w:tcPr>
          <w:p w14:paraId="3AD5152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1B98DE4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Enables communities to effectively manage water resources, water demand and supply and to mitigate risks. </w:t>
            </w:r>
          </w:p>
        </w:tc>
        <w:tc>
          <w:tcPr>
            <w:tcW w:w="1410" w:type="dxa"/>
            <w:shd w:val="clear" w:color="auto" w:fill="auto"/>
            <w:hideMark/>
          </w:tcPr>
          <w:p w14:paraId="5293CEE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0B74C1C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3A2CA00A" w14:textId="77777777">
        <w:tc>
          <w:tcPr>
            <w:tcW w:w="3225" w:type="dxa"/>
            <w:shd w:val="clear" w:color="auto" w:fill="auto"/>
            <w:hideMark/>
          </w:tcPr>
          <w:p w14:paraId="1348287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Averting water-related emergencies </w:t>
            </w:r>
          </w:p>
        </w:tc>
        <w:tc>
          <w:tcPr>
            <w:tcW w:w="2115" w:type="dxa"/>
            <w:shd w:val="clear" w:color="auto" w:fill="auto"/>
            <w:hideMark/>
          </w:tcPr>
          <w:p w14:paraId="5244159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18FE52C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preparation for water-related emergencies through understanding their vulnerability to water-related hazards and informing vulnerable communities so they can anticipate and respond.  </w:t>
            </w:r>
          </w:p>
        </w:tc>
        <w:tc>
          <w:tcPr>
            <w:tcW w:w="1410" w:type="dxa"/>
            <w:shd w:val="clear" w:color="auto" w:fill="auto"/>
            <w:hideMark/>
          </w:tcPr>
          <w:p w14:paraId="6FBB345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7BD51FA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1AA3E38F" w14:textId="77777777">
        <w:tc>
          <w:tcPr>
            <w:tcW w:w="3225" w:type="dxa"/>
            <w:shd w:val="clear" w:color="auto" w:fill="auto"/>
            <w:hideMark/>
          </w:tcPr>
          <w:p w14:paraId="5D046D0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Building resilient water management systems </w:t>
            </w:r>
          </w:p>
        </w:tc>
        <w:tc>
          <w:tcPr>
            <w:tcW w:w="2115" w:type="dxa"/>
            <w:shd w:val="clear" w:color="auto" w:fill="auto"/>
            <w:hideMark/>
          </w:tcPr>
          <w:p w14:paraId="0DD7BE1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28A4980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Improves integration of water resource management approaches and national and regional coordination to enhance investment in water sector.  </w:t>
            </w:r>
          </w:p>
        </w:tc>
        <w:tc>
          <w:tcPr>
            <w:tcW w:w="1410" w:type="dxa"/>
            <w:shd w:val="clear" w:color="auto" w:fill="auto"/>
            <w:hideMark/>
          </w:tcPr>
          <w:p w14:paraId="4D69214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552F823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7302922B" w14:textId="77777777">
        <w:tc>
          <w:tcPr>
            <w:tcW w:w="3225" w:type="dxa"/>
            <w:shd w:val="clear" w:color="auto" w:fill="auto"/>
            <w:hideMark/>
          </w:tcPr>
          <w:p w14:paraId="1C5D9B6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Low Emission, Climate Resilient Planning </w:t>
            </w:r>
          </w:p>
        </w:tc>
        <w:tc>
          <w:tcPr>
            <w:tcW w:w="2115" w:type="dxa"/>
            <w:shd w:val="clear" w:color="auto" w:fill="auto"/>
            <w:hideMark/>
          </w:tcPr>
          <w:p w14:paraId="4E205A1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4A2D3F1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Pacific Island countries to develop climate change related strategies, policies, and planning frameworks. </w:t>
            </w:r>
          </w:p>
        </w:tc>
        <w:tc>
          <w:tcPr>
            <w:tcW w:w="1410" w:type="dxa"/>
            <w:shd w:val="clear" w:color="auto" w:fill="auto"/>
            <w:hideMark/>
          </w:tcPr>
          <w:p w14:paraId="44D9E5D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Cross-cutting </w:t>
            </w:r>
          </w:p>
        </w:tc>
        <w:tc>
          <w:tcPr>
            <w:tcW w:w="1440" w:type="dxa"/>
            <w:shd w:val="clear" w:color="auto" w:fill="auto"/>
            <w:hideMark/>
          </w:tcPr>
          <w:p w14:paraId="7653417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122E07C3" w14:textId="77777777">
        <w:tc>
          <w:tcPr>
            <w:tcW w:w="3225" w:type="dxa"/>
            <w:shd w:val="clear" w:color="auto" w:fill="auto"/>
            <w:hideMark/>
          </w:tcPr>
          <w:p w14:paraId="44AE813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Food Security and Ecosystem Resilience funds </w:t>
            </w:r>
          </w:p>
        </w:tc>
        <w:tc>
          <w:tcPr>
            <w:tcW w:w="2115" w:type="dxa"/>
            <w:shd w:val="clear" w:color="auto" w:fill="auto"/>
            <w:hideMark/>
          </w:tcPr>
          <w:p w14:paraId="75A0161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197C348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Enables greater resilience to the impacts of climate change and natural disasters, through improved food security. </w:t>
            </w:r>
          </w:p>
        </w:tc>
        <w:tc>
          <w:tcPr>
            <w:tcW w:w="1410" w:type="dxa"/>
            <w:shd w:val="clear" w:color="auto" w:fill="auto"/>
            <w:hideMark/>
          </w:tcPr>
          <w:p w14:paraId="4CF8775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Cross-cutting </w:t>
            </w:r>
          </w:p>
        </w:tc>
        <w:tc>
          <w:tcPr>
            <w:tcW w:w="1440" w:type="dxa"/>
            <w:shd w:val="clear" w:color="auto" w:fill="auto"/>
            <w:hideMark/>
          </w:tcPr>
          <w:p w14:paraId="7307ED7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61807832" w14:textId="77777777">
        <w:tc>
          <w:tcPr>
            <w:tcW w:w="3225" w:type="dxa"/>
            <w:shd w:val="clear" w:color="auto" w:fill="auto"/>
            <w:hideMark/>
          </w:tcPr>
          <w:p w14:paraId="0AEC7E5D" w14:textId="4A10DC92"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Save the Children New Zealand (SCNZ)</w:t>
            </w:r>
            <w:r w:rsidR="00D926E9" w:rsidRPr="0018630D">
              <w:rPr>
                <w:rFonts w:asciiTheme="minorHAnsi" w:eastAsia="Times New Roman" w:hAnsiTheme="minorHAnsi" w:cstheme="minorHAnsi"/>
                <w:sz w:val="18"/>
                <w:szCs w:val="18"/>
              </w:rPr>
              <w:t xml:space="preserve"> </w:t>
            </w:r>
          </w:p>
        </w:tc>
        <w:tc>
          <w:tcPr>
            <w:tcW w:w="2115" w:type="dxa"/>
            <w:shd w:val="clear" w:color="auto" w:fill="auto"/>
            <w:hideMark/>
          </w:tcPr>
          <w:p w14:paraId="2DB863F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Worldwide/multi-regional </w:t>
            </w:r>
          </w:p>
        </w:tc>
        <w:tc>
          <w:tcPr>
            <w:tcW w:w="6510" w:type="dxa"/>
            <w:shd w:val="clear" w:color="auto" w:fill="auto"/>
            <w:hideMark/>
          </w:tcPr>
          <w:p w14:paraId="15DEEA3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Builds resilience to disasters and climate risk through safe schools and ensures that families can meet health, nutrition and educational needs. </w:t>
            </w:r>
          </w:p>
        </w:tc>
        <w:tc>
          <w:tcPr>
            <w:tcW w:w="1410" w:type="dxa"/>
            <w:shd w:val="clear" w:color="auto" w:fill="auto"/>
            <w:hideMark/>
          </w:tcPr>
          <w:p w14:paraId="23CB4B3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4912638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2EBB60E2" w14:textId="77777777">
        <w:tc>
          <w:tcPr>
            <w:tcW w:w="3225" w:type="dxa"/>
            <w:shd w:val="clear" w:color="auto" w:fill="auto"/>
            <w:hideMark/>
          </w:tcPr>
          <w:p w14:paraId="18900DA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Rural WASH Programme, Fiji </w:t>
            </w:r>
          </w:p>
        </w:tc>
        <w:tc>
          <w:tcPr>
            <w:tcW w:w="2115" w:type="dxa"/>
            <w:shd w:val="clear" w:color="auto" w:fill="auto"/>
            <w:hideMark/>
          </w:tcPr>
          <w:p w14:paraId="696974D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Fiji </w:t>
            </w:r>
          </w:p>
        </w:tc>
        <w:tc>
          <w:tcPr>
            <w:tcW w:w="6510" w:type="dxa"/>
            <w:shd w:val="clear" w:color="auto" w:fill="auto"/>
            <w:hideMark/>
          </w:tcPr>
          <w:p w14:paraId="0DB3875D" w14:textId="03EA97D2"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Addresses low levels of rural sanitation provision in Fiji by building capacity and confidence of sanitation designers.  </w:t>
            </w:r>
          </w:p>
        </w:tc>
        <w:tc>
          <w:tcPr>
            <w:tcW w:w="1410" w:type="dxa"/>
            <w:shd w:val="clear" w:color="auto" w:fill="auto"/>
            <w:hideMark/>
          </w:tcPr>
          <w:p w14:paraId="3B5CC3E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70D4CCA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3A53D5F2" w14:textId="77777777">
        <w:tc>
          <w:tcPr>
            <w:tcW w:w="3225" w:type="dxa"/>
            <w:shd w:val="clear" w:color="auto" w:fill="auto"/>
            <w:hideMark/>
          </w:tcPr>
          <w:p w14:paraId="658085A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Polynesian Climate and Community Resilience </w:t>
            </w:r>
          </w:p>
        </w:tc>
        <w:tc>
          <w:tcPr>
            <w:tcW w:w="2115" w:type="dxa"/>
            <w:shd w:val="clear" w:color="auto" w:fill="auto"/>
            <w:hideMark/>
          </w:tcPr>
          <w:p w14:paraId="0E9469C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6EAAD8C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Increases understanding of marine ecosystems, climate change threats and mitigations, contributes to implementing ocean and climate policies. </w:t>
            </w:r>
          </w:p>
        </w:tc>
        <w:tc>
          <w:tcPr>
            <w:tcW w:w="1410" w:type="dxa"/>
            <w:shd w:val="clear" w:color="auto" w:fill="auto"/>
            <w:hideMark/>
          </w:tcPr>
          <w:p w14:paraId="2B4B09D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78C50B6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6608A095" w14:textId="77777777">
        <w:tc>
          <w:tcPr>
            <w:tcW w:w="3225" w:type="dxa"/>
            <w:shd w:val="clear" w:color="auto" w:fill="auto"/>
            <w:hideMark/>
          </w:tcPr>
          <w:p w14:paraId="3D43893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Sustainable Fisheries Management in Fiji </w:t>
            </w:r>
          </w:p>
        </w:tc>
        <w:tc>
          <w:tcPr>
            <w:tcW w:w="2115" w:type="dxa"/>
            <w:shd w:val="clear" w:color="auto" w:fill="auto"/>
            <w:hideMark/>
          </w:tcPr>
          <w:p w14:paraId="62F4F1A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Fiji </w:t>
            </w:r>
          </w:p>
        </w:tc>
        <w:tc>
          <w:tcPr>
            <w:tcW w:w="6510" w:type="dxa"/>
            <w:shd w:val="clear" w:color="auto" w:fill="auto"/>
            <w:hideMark/>
          </w:tcPr>
          <w:p w14:paraId="69E8781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Improves in-shore sustainable fishery management knowledge to enhance livelihoods and promote sustainable fisheries.  </w:t>
            </w:r>
          </w:p>
        </w:tc>
        <w:tc>
          <w:tcPr>
            <w:tcW w:w="1410" w:type="dxa"/>
            <w:shd w:val="clear" w:color="auto" w:fill="auto"/>
            <w:hideMark/>
          </w:tcPr>
          <w:p w14:paraId="165459C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3D0438E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7615E0A9" w14:textId="77777777">
        <w:tc>
          <w:tcPr>
            <w:tcW w:w="3225" w:type="dxa"/>
            <w:shd w:val="clear" w:color="auto" w:fill="auto"/>
            <w:hideMark/>
          </w:tcPr>
          <w:p w14:paraId="74054EB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Delivering the Water Promise 2030, Vanuatu </w:t>
            </w:r>
          </w:p>
        </w:tc>
        <w:tc>
          <w:tcPr>
            <w:tcW w:w="2115" w:type="dxa"/>
            <w:shd w:val="clear" w:color="auto" w:fill="auto"/>
            <w:hideMark/>
          </w:tcPr>
          <w:p w14:paraId="0AA9B37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Vanuatu </w:t>
            </w:r>
          </w:p>
        </w:tc>
        <w:tc>
          <w:tcPr>
            <w:tcW w:w="6510" w:type="dxa"/>
            <w:shd w:val="clear" w:color="auto" w:fill="auto"/>
            <w:hideMark/>
          </w:tcPr>
          <w:p w14:paraId="2B56FF8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Upskills new recruits, including using a training tracking tool; a school outreach component including to develop engineering career modules and teachers able to run the modules. </w:t>
            </w:r>
          </w:p>
        </w:tc>
        <w:tc>
          <w:tcPr>
            <w:tcW w:w="1410" w:type="dxa"/>
            <w:shd w:val="clear" w:color="auto" w:fill="auto"/>
            <w:hideMark/>
          </w:tcPr>
          <w:p w14:paraId="4394A37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385027D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01E4649C" w14:textId="77777777">
        <w:tc>
          <w:tcPr>
            <w:tcW w:w="3225" w:type="dxa"/>
            <w:shd w:val="clear" w:color="auto" w:fill="auto"/>
            <w:hideMark/>
          </w:tcPr>
          <w:p w14:paraId="4058A70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Oxfam (ONZ) Implementation </w:t>
            </w:r>
          </w:p>
        </w:tc>
        <w:tc>
          <w:tcPr>
            <w:tcW w:w="2115" w:type="dxa"/>
            <w:shd w:val="clear" w:color="auto" w:fill="auto"/>
            <w:hideMark/>
          </w:tcPr>
          <w:p w14:paraId="240BDC0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7605E73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Ensures women (including those also in other groups facing marginalisation) are resilient, and have greater wellbeing and agency in the face of climate breakdown and disasters. </w:t>
            </w:r>
          </w:p>
        </w:tc>
        <w:tc>
          <w:tcPr>
            <w:tcW w:w="1410" w:type="dxa"/>
            <w:shd w:val="clear" w:color="auto" w:fill="auto"/>
            <w:hideMark/>
          </w:tcPr>
          <w:p w14:paraId="5B850D6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1A6077E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22296A58" w14:textId="77777777">
        <w:tc>
          <w:tcPr>
            <w:tcW w:w="3225" w:type="dxa"/>
            <w:shd w:val="clear" w:color="auto" w:fill="auto"/>
            <w:hideMark/>
          </w:tcPr>
          <w:p w14:paraId="31F4750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Enhancing Climate Resilience in Timor-Leste </w:t>
            </w:r>
          </w:p>
        </w:tc>
        <w:tc>
          <w:tcPr>
            <w:tcW w:w="2115" w:type="dxa"/>
            <w:shd w:val="clear" w:color="auto" w:fill="auto"/>
            <w:hideMark/>
          </w:tcPr>
          <w:p w14:paraId="0A3AB53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Timor-Leste </w:t>
            </w:r>
          </w:p>
        </w:tc>
        <w:tc>
          <w:tcPr>
            <w:tcW w:w="6510" w:type="dxa"/>
            <w:shd w:val="clear" w:color="auto" w:fill="auto"/>
            <w:hideMark/>
          </w:tcPr>
          <w:p w14:paraId="09479CE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Delivers improved marine protection and management, improved livelihoods and resilience of fishers, as well as climate-sensitive, shared fisheries management between Timor-Leste and Indonesia. </w:t>
            </w:r>
          </w:p>
        </w:tc>
        <w:tc>
          <w:tcPr>
            <w:tcW w:w="1410" w:type="dxa"/>
            <w:shd w:val="clear" w:color="auto" w:fill="auto"/>
            <w:hideMark/>
          </w:tcPr>
          <w:p w14:paraId="1B5B4F8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19064FA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08E62B5E" w14:textId="77777777">
        <w:tc>
          <w:tcPr>
            <w:tcW w:w="3225" w:type="dxa"/>
            <w:shd w:val="clear" w:color="auto" w:fill="auto"/>
            <w:hideMark/>
          </w:tcPr>
          <w:p w14:paraId="29E174C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Kiribati Water </w:t>
            </w:r>
          </w:p>
        </w:tc>
        <w:tc>
          <w:tcPr>
            <w:tcW w:w="2115" w:type="dxa"/>
            <w:shd w:val="clear" w:color="auto" w:fill="auto"/>
            <w:hideMark/>
          </w:tcPr>
          <w:p w14:paraId="494ADD9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Kiribati </w:t>
            </w:r>
          </w:p>
        </w:tc>
        <w:tc>
          <w:tcPr>
            <w:tcW w:w="6510" w:type="dxa"/>
            <w:shd w:val="clear" w:color="auto" w:fill="auto"/>
            <w:hideMark/>
          </w:tcPr>
          <w:p w14:paraId="582328F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Improves access for communities to reliable, safe water in Kiribati through investing in infrastructure and capacity / management strengthening. </w:t>
            </w:r>
          </w:p>
        </w:tc>
        <w:tc>
          <w:tcPr>
            <w:tcW w:w="1410" w:type="dxa"/>
            <w:shd w:val="clear" w:color="auto" w:fill="auto"/>
            <w:hideMark/>
          </w:tcPr>
          <w:p w14:paraId="57E7806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6735756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5A4BE407" w14:textId="77777777">
        <w:tc>
          <w:tcPr>
            <w:tcW w:w="3225" w:type="dxa"/>
            <w:shd w:val="clear" w:color="auto" w:fill="auto"/>
            <w:hideMark/>
          </w:tcPr>
          <w:p w14:paraId="011A700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Africa Geothermal Assistance Facility </w:t>
            </w:r>
          </w:p>
        </w:tc>
        <w:tc>
          <w:tcPr>
            <w:tcW w:w="2115" w:type="dxa"/>
            <w:shd w:val="clear" w:color="auto" w:fill="auto"/>
            <w:hideMark/>
          </w:tcPr>
          <w:p w14:paraId="6E4926F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Africa Regional/multi-country </w:t>
            </w:r>
          </w:p>
        </w:tc>
        <w:tc>
          <w:tcPr>
            <w:tcW w:w="6510" w:type="dxa"/>
            <w:shd w:val="clear" w:color="auto" w:fill="auto"/>
            <w:hideMark/>
          </w:tcPr>
          <w:p w14:paraId="0769C5A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Provides targeted technical assistance for geothermal energy development and distribution in East Africa. </w:t>
            </w:r>
          </w:p>
        </w:tc>
        <w:tc>
          <w:tcPr>
            <w:tcW w:w="1410" w:type="dxa"/>
            <w:shd w:val="clear" w:color="auto" w:fill="auto"/>
            <w:hideMark/>
          </w:tcPr>
          <w:p w14:paraId="7FD1565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40" w:type="dxa"/>
            <w:shd w:val="clear" w:color="auto" w:fill="auto"/>
            <w:hideMark/>
          </w:tcPr>
          <w:p w14:paraId="1CEA0EF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085741C1" w14:textId="77777777">
        <w:tc>
          <w:tcPr>
            <w:tcW w:w="3225" w:type="dxa"/>
            <w:shd w:val="clear" w:color="auto" w:fill="auto"/>
            <w:hideMark/>
          </w:tcPr>
          <w:p w14:paraId="2C77CE6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ASEAN: Lao and Cambodia Renewable Energy Facility </w:t>
            </w:r>
          </w:p>
        </w:tc>
        <w:tc>
          <w:tcPr>
            <w:tcW w:w="2115" w:type="dxa"/>
            <w:shd w:val="clear" w:color="auto" w:fill="auto"/>
            <w:hideMark/>
          </w:tcPr>
          <w:p w14:paraId="0B3590B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Asia Regional/multi-country </w:t>
            </w:r>
          </w:p>
        </w:tc>
        <w:tc>
          <w:tcPr>
            <w:tcW w:w="6510" w:type="dxa"/>
            <w:shd w:val="clear" w:color="auto" w:fill="auto"/>
            <w:hideMark/>
          </w:tcPr>
          <w:p w14:paraId="20FEAEA1" w14:textId="4802804F"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Provides technical assistance with the overall goal of increasing the beneficial use of renewable energy resources to support economic and social development in Lao PDR.</w:t>
            </w:r>
            <w:r w:rsidR="00D926E9" w:rsidRPr="0018630D">
              <w:rPr>
                <w:rFonts w:asciiTheme="minorHAnsi" w:eastAsia="Times New Roman" w:hAnsiTheme="minorHAnsi" w:cstheme="minorHAnsi"/>
                <w:sz w:val="18"/>
                <w:szCs w:val="18"/>
              </w:rPr>
              <w:t xml:space="preserve"> </w:t>
            </w:r>
          </w:p>
        </w:tc>
        <w:tc>
          <w:tcPr>
            <w:tcW w:w="1410" w:type="dxa"/>
            <w:shd w:val="clear" w:color="auto" w:fill="auto"/>
            <w:hideMark/>
          </w:tcPr>
          <w:p w14:paraId="657E15A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Cross-cutting </w:t>
            </w:r>
          </w:p>
        </w:tc>
        <w:tc>
          <w:tcPr>
            <w:tcW w:w="1440" w:type="dxa"/>
            <w:shd w:val="clear" w:color="auto" w:fill="auto"/>
            <w:hideMark/>
          </w:tcPr>
          <w:p w14:paraId="3111863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5335592C" w14:textId="77777777">
        <w:tc>
          <w:tcPr>
            <w:tcW w:w="3225" w:type="dxa"/>
            <w:shd w:val="clear" w:color="auto" w:fill="auto"/>
            <w:hideMark/>
          </w:tcPr>
          <w:p w14:paraId="1682450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Water Sector Partnership 2017-2021 </w:t>
            </w:r>
          </w:p>
        </w:tc>
        <w:tc>
          <w:tcPr>
            <w:tcW w:w="2115" w:type="dxa"/>
            <w:shd w:val="clear" w:color="auto" w:fill="auto"/>
            <w:hideMark/>
          </w:tcPr>
          <w:p w14:paraId="1EA00FE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Vanuatu </w:t>
            </w:r>
          </w:p>
        </w:tc>
        <w:tc>
          <w:tcPr>
            <w:tcW w:w="6510" w:type="dxa"/>
            <w:shd w:val="clear" w:color="auto" w:fill="auto"/>
            <w:hideMark/>
          </w:tcPr>
          <w:p w14:paraId="7D8F581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Works with communities across Vanuatu to identify, map and prioritise water safety and security needs, and to develop water supply improvement projects. </w:t>
            </w:r>
          </w:p>
        </w:tc>
        <w:tc>
          <w:tcPr>
            <w:tcW w:w="1410" w:type="dxa"/>
            <w:shd w:val="clear" w:color="auto" w:fill="auto"/>
            <w:hideMark/>
          </w:tcPr>
          <w:p w14:paraId="7F32C97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5A6797B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327FBFE3" w14:textId="77777777">
        <w:tc>
          <w:tcPr>
            <w:tcW w:w="3225" w:type="dxa"/>
            <w:shd w:val="clear" w:color="auto" w:fill="auto"/>
            <w:hideMark/>
          </w:tcPr>
          <w:p w14:paraId="40AABE3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Renewable Energy Initiative </w:t>
            </w:r>
          </w:p>
        </w:tc>
        <w:tc>
          <w:tcPr>
            <w:tcW w:w="2115" w:type="dxa"/>
            <w:shd w:val="clear" w:color="auto" w:fill="auto"/>
            <w:hideMark/>
          </w:tcPr>
          <w:p w14:paraId="714FCD3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Nauru </w:t>
            </w:r>
          </w:p>
        </w:tc>
        <w:tc>
          <w:tcPr>
            <w:tcW w:w="6510" w:type="dxa"/>
            <w:shd w:val="clear" w:color="auto" w:fill="auto"/>
            <w:hideMark/>
          </w:tcPr>
          <w:p w14:paraId="1D7FDE1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Constructs a 1.15 Megawatt solar-voltaic generation system and builds a connection to the existing transmission network. Also provides technical assistance and a capability building fund. </w:t>
            </w:r>
          </w:p>
        </w:tc>
        <w:tc>
          <w:tcPr>
            <w:tcW w:w="1410" w:type="dxa"/>
            <w:shd w:val="clear" w:color="auto" w:fill="auto"/>
            <w:hideMark/>
          </w:tcPr>
          <w:p w14:paraId="4D78EE8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40" w:type="dxa"/>
            <w:shd w:val="clear" w:color="auto" w:fill="auto"/>
            <w:hideMark/>
          </w:tcPr>
          <w:p w14:paraId="3364864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22686CD4" w14:textId="77777777">
        <w:tc>
          <w:tcPr>
            <w:tcW w:w="3225" w:type="dxa"/>
            <w:shd w:val="clear" w:color="auto" w:fill="auto"/>
            <w:hideMark/>
          </w:tcPr>
          <w:p w14:paraId="69F1317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ASEAN Climate Smart Agriculture Initiative </w:t>
            </w:r>
          </w:p>
        </w:tc>
        <w:tc>
          <w:tcPr>
            <w:tcW w:w="2115" w:type="dxa"/>
            <w:shd w:val="clear" w:color="auto" w:fill="auto"/>
            <w:hideMark/>
          </w:tcPr>
          <w:p w14:paraId="65049A4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Asia Regional/multi-country </w:t>
            </w:r>
          </w:p>
        </w:tc>
        <w:tc>
          <w:tcPr>
            <w:tcW w:w="6510" w:type="dxa"/>
            <w:shd w:val="clear" w:color="auto" w:fill="auto"/>
            <w:hideMark/>
          </w:tcPr>
          <w:p w14:paraId="7CA0222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Develops and implements effective technologies/practices to mitigate global agricultural greenhouse gas emissions, and to build regional capability in agricultural emissions measurement. </w:t>
            </w:r>
          </w:p>
        </w:tc>
        <w:tc>
          <w:tcPr>
            <w:tcW w:w="1410" w:type="dxa"/>
            <w:shd w:val="clear" w:color="auto" w:fill="auto"/>
            <w:hideMark/>
          </w:tcPr>
          <w:p w14:paraId="264C575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40" w:type="dxa"/>
            <w:shd w:val="clear" w:color="auto" w:fill="auto"/>
            <w:hideMark/>
          </w:tcPr>
          <w:p w14:paraId="59BF7E9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5FCA149A" w14:textId="77777777">
        <w:tc>
          <w:tcPr>
            <w:tcW w:w="3225" w:type="dxa"/>
            <w:shd w:val="clear" w:color="auto" w:fill="auto"/>
            <w:hideMark/>
          </w:tcPr>
          <w:p w14:paraId="1B23D22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RMI Electricity Roadmap Programme Manager </w:t>
            </w:r>
          </w:p>
        </w:tc>
        <w:tc>
          <w:tcPr>
            <w:tcW w:w="2115" w:type="dxa"/>
            <w:shd w:val="clear" w:color="auto" w:fill="auto"/>
            <w:hideMark/>
          </w:tcPr>
          <w:p w14:paraId="4842643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Marshall Islands </w:t>
            </w:r>
          </w:p>
        </w:tc>
        <w:tc>
          <w:tcPr>
            <w:tcW w:w="6510" w:type="dxa"/>
            <w:shd w:val="clear" w:color="auto" w:fill="auto"/>
            <w:hideMark/>
          </w:tcPr>
          <w:p w14:paraId="360C168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the roll out of the Electricity Roadmap including the technology pathway, the policy and regulatory needs, long-term human resource strategy, and a long-term financing strategy. </w:t>
            </w:r>
          </w:p>
        </w:tc>
        <w:tc>
          <w:tcPr>
            <w:tcW w:w="1410" w:type="dxa"/>
            <w:shd w:val="clear" w:color="auto" w:fill="auto"/>
            <w:hideMark/>
          </w:tcPr>
          <w:p w14:paraId="08C8425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Cross-cutting </w:t>
            </w:r>
          </w:p>
        </w:tc>
        <w:tc>
          <w:tcPr>
            <w:tcW w:w="1440" w:type="dxa"/>
            <w:shd w:val="clear" w:color="auto" w:fill="auto"/>
            <w:hideMark/>
          </w:tcPr>
          <w:p w14:paraId="05A681B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311A2D33" w14:textId="77777777">
        <w:tc>
          <w:tcPr>
            <w:tcW w:w="3225" w:type="dxa"/>
            <w:shd w:val="clear" w:color="auto" w:fill="auto"/>
            <w:hideMark/>
          </w:tcPr>
          <w:p w14:paraId="668545B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Vanuatu Water Sector Partnership - Phase II </w:t>
            </w:r>
          </w:p>
        </w:tc>
        <w:tc>
          <w:tcPr>
            <w:tcW w:w="2115" w:type="dxa"/>
            <w:shd w:val="clear" w:color="auto" w:fill="auto"/>
            <w:hideMark/>
          </w:tcPr>
          <w:p w14:paraId="21D05B4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Vanuatu </w:t>
            </w:r>
          </w:p>
        </w:tc>
        <w:tc>
          <w:tcPr>
            <w:tcW w:w="6510" w:type="dxa"/>
            <w:shd w:val="clear" w:color="auto" w:fill="auto"/>
            <w:hideMark/>
          </w:tcPr>
          <w:p w14:paraId="514B0F9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Increases sustainable and equitable access to improved, safe water. </w:t>
            </w:r>
          </w:p>
        </w:tc>
        <w:tc>
          <w:tcPr>
            <w:tcW w:w="1410" w:type="dxa"/>
            <w:shd w:val="clear" w:color="auto" w:fill="auto"/>
            <w:hideMark/>
          </w:tcPr>
          <w:p w14:paraId="47A2927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42D99AF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0091C8B1" w14:textId="77777777">
        <w:tc>
          <w:tcPr>
            <w:tcW w:w="3225" w:type="dxa"/>
            <w:shd w:val="clear" w:color="auto" w:fill="auto"/>
            <w:hideMark/>
          </w:tcPr>
          <w:p w14:paraId="5444DDF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Indonesia: Accelerate Renewable Energy Transition </w:t>
            </w:r>
          </w:p>
        </w:tc>
        <w:tc>
          <w:tcPr>
            <w:tcW w:w="2115" w:type="dxa"/>
            <w:shd w:val="clear" w:color="auto" w:fill="auto"/>
            <w:hideMark/>
          </w:tcPr>
          <w:p w14:paraId="7103F77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Indonesia </w:t>
            </w:r>
          </w:p>
        </w:tc>
        <w:tc>
          <w:tcPr>
            <w:tcW w:w="6510" w:type="dxa"/>
            <w:shd w:val="clear" w:color="auto" w:fill="auto"/>
            <w:hideMark/>
          </w:tcPr>
          <w:p w14:paraId="4038720F"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Addresses existing policy barriers and gaps to renewable energy investments that create sustainable and inclusive economic growth with lasting benefits for communities. </w:t>
            </w:r>
          </w:p>
        </w:tc>
        <w:tc>
          <w:tcPr>
            <w:tcW w:w="1410" w:type="dxa"/>
            <w:shd w:val="clear" w:color="auto" w:fill="auto"/>
            <w:hideMark/>
          </w:tcPr>
          <w:p w14:paraId="507C725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Mitigation </w:t>
            </w:r>
          </w:p>
        </w:tc>
        <w:tc>
          <w:tcPr>
            <w:tcW w:w="1440" w:type="dxa"/>
            <w:shd w:val="clear" w:color="auto" w:fill="auto"/>
            <w:hideMark/>
          </w:tcPr>
          <w:p w14:paraId="513BDCC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331136D3" w14:textId="77777777">
        <w:tc>
          <w:tcPr>
            <w:tcW w:w="3225" w:type="dxa"/>
            <w:shd w:val="clear" w:color="auto" w:fill="auto"/>
            <w:hideMark/>
          </w:tcPr>
          <w:p w14:paraId="73CCCE3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Samoa Tourism Recovery and Resilience </w:t>
            </w:r>
          </w:p>
        </w:tc>
        <w:tc>
          <w:tcPr>
            <w:tcW w:w="2115" w:type="dxa"/>
            <w:shd w:val="clear" w:color="auto" w:fill="auto"/>
            <w:hideMark/>
          </w:tcPr>
          <w:p w14:paraId="131022B9"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Samoa </w:t>
            </w:r>
          </w:p>
        </w:tc>
        <w:tc>
          <w:tcPr>
            <w:tcW w:w="6510" w:type="dxa"/>
            <w:shd w:val="clear" w:color="auto" w:fill="auto"/>
            <w:hideMark/>
          </w:tcPr>
          <w:p w14:paraId="6D10D34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product development, training, marketing, sustainability and resilience, and capacity building. </w:t>
            </w:r>
          </w:p>
        </w:tc>
        <w:tc>
          <w:tcPr>
            <w:tcW w:w="1410" w:type="dxa"/>
            <w:shd w:val="clear" w:color="auto" w:fill="auto"/>
            <w:hideMark/>
          </w:tcPr>
          <w:p w14:paraId="3985E38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Cross-cutting </w:t>
            </w:r>
          </w:p>
        </w:tc>
        <w:tc>
          <w:tcPr>
            <w:tcW w:w="1440" w:type="dxa"/>
            <w:shd w:val="clear" w:color="auto" w:fill="auto"/>
            <w:hideMark/>
          </w:tcPr>
          <w:p w14:paraId="60763D0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076F8996" w14:textId="77777777">
        <w:tc>
          <w:tcPr>
            <w:tcW w:w="3225" w:type="dxa"/>
            <w:shd w:val="clear" w:color="auto" w:fill="auto"/>
            <w:hideMark/>
          </w:tcPr>
          <w:p w14:paraId="3671165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Centre for Pacific Crops and Trees </w:t>
            </w:r>
          </w:p>
        </w:tc>
        <w:tc>
          <w:tcPr>
            <w:tcW w:w="2115" w:type="dxa"/>
            <w:shd w:val="clear" w:color="auto" w:fill="auto"/>
            <w:hideMark/>
          </w:tcPr>
          <w:p w14:paraId="2B72F1B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73AF680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Ensures access to climate resilient varieties of seeds and plants, improving livelihoods by increasing yields and production. </w:t>
            </w:r>
          </w:p>
        </w:tc>
        <w:tc>
          <w:tcPr>
            <w:tcW w:w="1410" w:type="dxa"/>
            <w:shd w:val="clear" w:color="auto" w:fill="auto"/>
            <w:hideMark/>
          </w:tcPr>
          <w:p w14:paraId="2B367BA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6432AEF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6516C4C5" w14:textId="77777777">
        <w:tc>
          <w:tcPr>
            <w:tcW w:w="3225" w:type="dxa"/>
            <w:shd w:val="clear" w:color="auto" w:fill="auto"/>
            <w:hideMark/>
          </w:tcPr>
          <w:p w14:paraId="5CFDEE0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Cambodia: Angkor Water Resilience Project </w:t>
            </w:r>
          </w:p>
        </w:tc>
        <w:tc>
          <w:tcPr>
            <w:tcW w:w="2115" w:type="dxa"/>
            <w:shd w:val="clear" w:color="auto" w:fill="auto"/>
            <w:hideMark/>
          </w:tcPr>
          <w:p w14:paraId="14A12E4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Cambodia </w:t>
            </w:r>
          </w:p>
        </w:tc>
        <w:tc>
          <w:tcPr>
            <w:tcW w:w="6510" w:type="dxa"/>
            <w:shd w:val="clear" w:color="auto" w:fill="auto"/>
            <w:hideMark/>
          </w:tcPr>
          <w:p w14:paraId="067A1CD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Strengthens water infrastructure and providing livelihood support to communities located in the north, west and south-east of Angkor Park, Cambodia.   </w:t>
            </w:r>
          </w:p>
        </w:tc>
        <w:tc>
          <w:tcPr>
            <w:tcW w:w="1410" w:type="dxa"/>
            <w:shd w:val="clear" w:color="auto" w:fill="auto"/>
            <w:hideMark/>
          </w:tcPr>
          <w:p w14:paraId="15B00D1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1DF1ECD1"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39586242" w14:textId="77777777">
        <w:tc>
          <w:tcPr>
            <w:tcW w:w="3225" w:type="dxa"/>
            <w:shd w:val="clear" w:color="auto" w:fill="auto"/>
            <w:hideMark/>
          </w:tcPr>
          <w:p w14:paraId="3587B84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Climate Science for Ensuring Pacific Tuna Access </w:t>
            </w:r>
          </w:p>
        </w:tc>
        <w:tc>
          <w:tcPr>
            <w:tcW w:w="2115" w:type="dxa"/>
            <w:shd w:val="clear" w:color="auto" w:fill="auto"/>
            <w:hideMark/>
          </w:tcPr>
          <w:p w14:paraId="32B50ED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670693B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Develops an advanced warning system to forecast climate-induced tuna migration, integrates Tokelau into the advanced warning system and support key regional scientific infrastructure. </w:t>
            </w:r>
          </w:p>
        </w:tc>
        <w:tc>
          <w:tcPr>
            <w:tcW w:w="1410" w:type="dxa"/>
            <w:shd w:val="clear" w:color="auto" w:fill="auto"/>
            <w:hideMark/>
          </w:tcPr>
          <w:p w14:paraId="025E806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7E70682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55F920A9" w14:textId="77777777">
        <w:tc>
          <w:tcPr>
            <w:tcW w:w="3225" w:type="dxa"/>
            <w:shd w:val="clear" w:color="auto" w:fill="auto"/>
            <w:hideMark/>
          </w:tcPr>
          <w:p w14:paraId="0EBE507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Hybrid Food + Agribusiness STTS ASEAN/Timor-Leste </w:t>
            </w:r>
          </w:p>
        </w:tc>
        <w:tc>
          <w:tcPr>
            <w:tcW w:w="2115" w:type="dxa"/>
            <w:shd w:val="clear" w:color="auto" w:fill="auto"/>
            <w:hideMark/>
          </w:tcPr>
          <w:p w14:paraId="36220B4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Asia Regional/multi-country </w:t>
            </w:r>
          </w:p>
        </w:tc>
        <w:tc>
          <w:tcPr>
            <w:tcW w:w="6510" w:type="dxa"/>
            <w:shd w:val="clear" w:color="auto" w:fill="auto"/>
            <w:hideMark/>
          </w:tcPr>
          <w:p w14:paraId="531743B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Equips scholars with the concepts, principles, and tools they need to leverage value chain approaches to enhance agri-food systems.  </w:t>
            </w:r>
          </w:p>
        </w:tc>
        <w:tc>
          <w:tcPr>
            <w:tcW w:w="1410" w:type="dxa"/>
            <w:shd w:val="clear" w:color="auto" w:fill="auto"/>
            <w:hideMark/>
          </w:tcPr>
          <w:p w14:paraId="3E8C86D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Cross-cutting </w:t>
            </w:r>
          </w:p>
        </w:tc>
        <w:tc>
          <w:tcPr>
            <w:tcW w:w="1440" w:type="dxa"/>
            <w:shd w:val="clear" w:color="auto" w:fill="auto"/>
            <w:hideMark/>
          </w:tcPr>
          <w:p w14:paraId="301CA52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12CBC05C" w14:textId="77777777">
        <w:tc>
          <w:tcPr>
            <w:tcW w:w="3225" w:type="dxa"/>
            <w:shd w:val="clear" w:color="auto" w:fill="auto"/>
            <w:hideMark/>
          </w:tcPr>
          <w:p w14:paraId="5166DC8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Climate Resilience, Fiji &amp; Cook Islands </w:t>
            </w:r>
          </w:p>
        </w:tc>
        <w:tc>
          <w:tcPr>
            <w:tcW w:w="2115" w:type="dxa"/>
            <w:shd w:val="clear" w:color="auto" w:fill="auto"/>
            <w:hideMark/>
          </w:tcPr>
          <w:p w14:paraId="7226AE1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50F15EA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Enables the conditions (especially for youth) to sustainably manage their resources using customary approaches. </w:t>
            </w:r>
          </w:p>
        </w:tc>
        <w:tc>
          <w:tcPr>
            <w:tcW w:w="1410" w:type="dxa"/>
            <w:shd w:val="clear" w:color="auto" w:fill="auto"/>
            <w:hideMark/>
          </w:tcPr>
          <w:p w14:paraId="56CA0736"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1F837FD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2C62E38B" w14:textId="77777777">
        <w:tc>
          <w:tcPr>
            <w:tcW w:w="3225" w:type="dxa"/>
            <w:shd w:val="clear" w:color="auto" w:fill="auto"/>
            <w:hideMark/>
          </w:tcPr>
          <w:p w14:paraId="2D9F42D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Improving water security in Kiribati </w:t>
            </w:r>
          </w:p>
        </w:tc>
        <w:tc>
          <w:tcPr>
            <w:tcW w:w="2115" w:type="dxa"/>
            <w:shd w:val="clear" w:color="auto" w:fill="auto"/>
            <w:hideMark/>
          </w:tcPr>
          <w:p w14:paraId="51D32B02"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Kiribati </w:t>
            </w:r>
          </w:p>
        </w:tc>
        <w:tc>
          <w:tcPr>
            <w:tcW w:w="6510" w:type="dxa"/>
            <w:shd w:val="clear" w:color="auto" w:fill="auto"/>
            <w:hideMark/>
          </w:tcPr>
          <w:p w14:paraId="2D25D8D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the recruitment and training of two officers to implement drinking water safety and security, focused on the islands with highest drinking water vulnerability. </w:t>
            </w:r>
          </w:p>
        </w:tc>
        <w:tc>
          <w:tcPr>
            <w:tcW w:w="1410" w:type="dxa"/>
            <w:shd w:val="clear" w:color="auto" w:fill="auto"/>
            <w:hideMark/>
          </w:tcPr>
          <w:p w14:paraId="1FFBDC1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1C3806A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19812AA9" w14:textId="77777777">
        <w:tc>
          <w:tcPr>
            <w:tcW w:w="3225" w:type="dxa"/>
            <w:shd w:val="clear" w:color="auto" w:fill="auto"/>
            <w:hideMark/>
          </w:tcPr>
          <w:p w14:paraId="68C026E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Lao PDR: NATURA </w:t>
            </w:r>
          </w:p>
        </w:tc>
        <w:tc>
          <w:tcPr>
            <w:tcW w:w="2115" w:type="dxa"/>
            <w:shd w:val="clear" w:color="auto" w:fill="auto"/>
            <w:hideMark/>
          </w:tcPr>
          <w:p w14:paraId="2EA1833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Laos </w:t>
            </w:r>
          </w:p>
        </w:tc>
        <w:tc>
          <w:tcPr>
            <w:tcW w:w="6510" w:type="dxa"/>
            <w:shd w:val="clear" w:color="auto" w:fill="auto"/>
            <w:hideMark/>
          </w:tcPr>
          <w:p w14:paraId="05330B1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Promotes ecosystems resilience, raises awareness and builds capacity amongst government officials and community leaders and members and develops a research and evidence base. </w:t>
            </w:r>
          </w:p>
        </w:tc>
        <w:tc>
          <w:tcPr>
            <w:tcW w:w="1410" w:type="dxa"/>
            <w:shd w:val="clear" w:color="auto" w:fill="auto"/>
            <w:hideMark/>
          </w:tcPr>
          <w:p w14:paraId="123DBA8B"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Adaptation </w:t>
            </w:r>
          </w:p>
        </w:tc>
        <w:tc>
          <w:tcPr>
            <w:tcW w:w="1440" w:type="dxa"/>
            <w:shd w:val="clear" w:color="auto" w:fill="auto"/>
            <w:hideMark/>
          </w:tcPr>
          <w:p w14:paraId="652A0EA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3BA92672" w14:textId="77777777">
        <w:tc>
          <w:tcPr>
            <w:tcW w:w="3225" w:type="dxa"/>
            <w:shd w:val="clear" w:color="auto" w:fill="auto"/>
            <w:hideMark/>
          </w:tcPr>
          <w:p w14:paraId="0B4E50E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Ocean Acidification Partnership </w:t>
            </w:r>
          </w:p>
        </w:tc>
        <w:tc>
          <w:tcPr>
            <w:tcW w:w="2115" w:type="dxa"/>
            <w:shd w:val="clear" w:color="auto" w:fill="auto"/>
            <w:hideMark/>
          </w:tcPr>
          <w:p w14:paraId="5681F6D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Pacific Regional/ multi-country </w:t>
            </w:r>
          </w:p>
        </w:tc>
        <w:tc>
          <w:tcPr>
            <w:tcW w:w="6510" w:type="dxa"/>
            <w:shd w:val="clear" w:color="auto" w:fill="auto"/>
            <w:hideMark/>
          </w:tcPr>
          <w:p w14:paraId="52E7A944"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communities in Kiribati, Tokelau and Fiji to better adapt to the impacts of climate change-induced ocean acidification through support for research and community-based Adaptation actions.  </w:t>
            </w:r>
          </w:p>
        </w:tc>
        <w:tc>
          <w:tcPr>
            <w:tcW w:w="1410" w:type="dxa"/>
            <w:shd w:val="clear" w:color="auto" w:fill="auto"/>
            <w:hideMark/>
          </w:tcPr>
          <w:p w14:paraId="1C5565A7"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Cross-cutting </w:t>
            </w:r>
          </w:p>
        </w:tc>
        <w:tc>
          <w:tcPr>
            <w:tcW w:w="1440" w:type="dxa"/>
            <w:shd w:val="clear" w:color="auto" w:fill="auto"/>
            <w:hideMark/>
          </w:tcPr>
          <w:p w14:paraId="13298A3E"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3EDC8950" w14:textId="77777777">
        <w:tc>
          <w:tcPr>
            <w:tcW w:w="3225" w:type="dxa"/>
            <w:shd w:val="clear" w:color="auto" w:fill="auto"/>
            <w:hideMark/>
          </w:tcPr>
          <w:p w14:paraId="6334A68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Consultative Group for International Agricultural Research </w:t>
            </w:r>
          </w:p>
        </w:tc>
        <w:tc>
          <w:tcPr>
            <w:tcW w:w="2115" w:type="dxa"/>
            <w:shd w:val="clear" w:color="auto" w:fill="auto"/>
            <w:hideMark/>
          </w:tcPr>
          <w:p w14:paraId="75E63F7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Global </w:t>
            </w:r>
          </w:p>
        </w:tc>
        <w:tc>
          <w:tcPr>
            <w:tcW w:w="6510" w:type="dxa"/>
            <w:shd w:val="clear" w:color="auto" w:fill="auto"/>
            <w:hideMark/>
          </w:tcPr>
          <w:p w14:paraId="1D1DCD0A"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science-based innovation, targeted capacity development and provision of policy advice, across its three main action areas: food, land and water system transformation; resilient agrifood systems; and genetic innovation. </w:t>
            </w:r>
          </w:p>
        </w:tc>
        <w:tc>
          <w:tcPr>
            <w:tcW w:w="1410" w:type="dxa"/>
            <w:shd w:val="clear" w:color="auto" w:fill="auto"/>
            <w:hideMark/>
          </w:tcPr>
          <w:p w14:paraId="1B4FC895"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Cross-cutting </w:t>
            </w:r>
          </w:p>
        </w:tc>
        <w:tc>
          <w:tcPr>
            <w:tcW w:w="1440" w:type="dxa"/>
            <w:shd w:val="clear" w:color="auto" w:fill="auto"/>
            <w:hideMark/>
          </w:tcPr>
          <w:p w14:paraId="5ECECEB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9B2872" w:rsidRPr="0018630D" w14:paraId="3B713595" w14:textId="77777777">
        <w:tc>
          <w:tcPr>
            <w:tcW w:w="3225" w:type="dxa"/>
            <w:shd w:val="clear" w:color="auto" w:fill="auto"/>
            <w:hideMark/>
          </w:tcPr>
          <w:p w14:paraId="2D8C8533"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Alliance of Small Island States </w:t>
            </w:r>
          </w:p>
        </w:tc>
        <w:tc>
          <w:tcPr>
            <w:tcW w:w="2115" w:type="dxa"/>
            <w:shd w:val="clear" w:color="auto" w:fill="auto"/>
            <w:hideMark/>
          </w:tcPr>
          <w:p w14:paraId="02DEC5C8"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Global </w:t>
            </w:r>
          </w:p>
        </w:tc>
        <w:tc>
          <w:tcPr>
            <w:tcW w:w="6510" w:type="dxa"/>
            <w:shd w:val="clear" w:color="auto" w:fill="auto"/>
            <w:hideMark/>
          </w:tcPr>
          <w:p w14:paraId="37562B60"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Supports a stronger SIDS voices on development during international meetings and improve collaboration with Caribbean and Pacific SIDS on climate change, development and oceans issues. </w:t>
            </w:r>
          </w:p>
        </w:tc>
        <w:tc>
          <w:tcPr>
            <w:tcW w:w="1410" w:type="dxa"/>
            <w:shd w:val="clear" w:color="auto" w:fill="auto"/>
            <w:hideMark/>
          </w:tcPr>
          <w:p w14:paraId="7FCAD1AC"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Cross-cutting </w:t>
            </w:r>
          </w:p>
        </w:tc>
        <w:tc>
          <w:tcPr>
            <w:tcW w:w="1440" w:type="dxa"/>
            <w:shd w:val="clear" w:color="auto" w:fill="auto"/>
            <w:hideMark/>
          </w:tcPr>
          <w:p w14:paraId="22DAB57D" w14:textId="77777777" w:rsidR="009B2872" w:rsidRPr="0018630D" w:rsidRDefault="009B2872" w:rsidP="009B2872">
            <w:pPr>
              <w:spacing w:before="60" w:after="60" w:line="240" w:lineRule="auto"/>
              <w:ind w:left="113"/>
              <w:jc w:val="left"/>
              <w:textAlignment w:val="baseline"/>
              <w:rPr>
                <w:rFonts w:asciiTheme="minorHAnsi" w:eastAsia="Times New Roman" w:hAnsiTheme="minorHAnsi" w:cstheme="minorHAnsi"/>
                <w:sz w:val="18"/>
                <w:szCs w:val="18"/>
              </w:rPr>
            </w:pPr>
            <w:r w:rsidRPr="0018630D">
              <w:rPr>
                <w:rFonts w:asciiTheme="minorHAnsi" w:eastAsia="Times New Roman" w:hAnsiTheme="minorHAnsi" w:cstheme="minorHAnsi"/>
                <w:sz w:val="18"/>
                <w:szCs w:val="18"/>
              </w:rPr>
              <w:t>Ongoing </w:t>
            </w:r>
          </w:p>
        </w:tc>
      </w:tr>
      <w:tr w:rsidR="005A22DA" w:rsidRPr="0018630D" w14:paraId="44042FF1" w14:textId="77777777">
        <w:tc>
          <w:tcPr>
            <w:tcW w:w="3225" w:type="dxa"/>
            <w:shd w:val="clear" w:color="auto" w:fill="auto"/>
          </w:tcPr>
          <w:p w14:paraId="5D5C7AE0" w14:textId="152D9ABD" w:rsidR="005A22DA" w:rsidRPr="0018630D" w:rsidRDefault="005A22DA" w:rsidP="009B2872">
            <w:pPr>
              <w:spacing w:before="60" w:after="60" w:line="240" w:lineRule="auto"/>
              <w:ind w:left="113"/>
              <w:jc w:val="left"/>
              <w:textAlignment w:val="baseline"/>
              <w:rPr>
                <w:rFonts w:asciiTheme="minorHAnsi" w:eastAsia="Times New Roman" w:hAnsiTheme="minorHAnsi" w:cstheme="minorHAnsi"/>
                <w:sz w:val="18"/>
                <w:szCs w:val="18"/>
              </w:rPr>
            </w:pPr>
            <w:r>
              <w:rPr>
                <w:rFonts w:asciiTheme="minorHAnsi" w:eastAsia="Times New Roman" w:hAnsiTheme="minorHAnsi" w:cstheme="minorHAnsi"/>
                <w:sz w:val="18"/>
                <w:szCs w:val="18"/>
              </w:rPr>
              <w:t>Recognised Employer Scheme Worker Training</w:t>
            </w:r>
          </w:p>
        </w:tc>
        <w:tc>
          <w:tcPr>
            <w:tcW w:w="2115" w:type="dxa"/>
            <w:shd w:val="clear" w:color="auto" w:fill="auto"/>
          </w:tcPr>
          <w:p w14:paraId="3FE2C6E1" w14:textId="262E430B" w:rsidR="005A22DA" w:rsidRPr="0018630D" w:rsidRDefault="005A22DA" w:rsidP="009B2872">
            <w:pPr>
              <w:spacing w:before="60" w:after="60" w:line="240" w:lineRule="auto"/>
              <w:ind w:left="113"/>
              <w:jc w:val="left"/>
              <w:textAlignment w:val="baseline"/>
              <w:rPr>
                <w:rFonts w:asciiTheme="minorHAnsi" w:eastAsia="Times New Roman" w:hAnsiTheme="minorHAnsi" w:cstheme="minorHAnsi"/>
                <w:sz w:val="18"/>
                <w:szCs w:val="18"/>
              </w:rPr>
            </w:pPr>
            <w:r>
              <w:rPr>
                <w:rFonts w:asciiTheme="minorHAnsi" w:eastAsia="Times New Roman" w:hAnsiTheme="minorHAnsi" w:cstheme="minorHAnsi"/>
                <w:sz w:val="18"/>
                <w:szCs w:val="18"/>
              </w:rPr>
              <w:t>Global</w:t>
            </w:r>
          </w:p>
        </w:tc>
        <w:tc>
          <w:tcPr>
            <w:tcW w:w="6510" w:type="dxa"/>
            <w:shd w:val="clear" w:color="auto" w:fill="auto"/>
          </w:tcPr>
          <w:p w14:paraId="79F487F7" w14:textId="2CA1C807" w:rsidR="005A22DA" w:rsidRPr="0018630D" w:rsidRDefault="005A22DA" w:rsidP="009B2872">
            <w:pPr>
              <w:spacing w:before="60" w:after="60" w:line="240" w:lineRule="auto"/>
              <w:ind w:left="113"/>
              <w:jc w:val="left"/>
              <w:textAlignment w:val="baseline"/>
              <w:rPr>
                <w:rFonts w:asciiTheme="minorHAnsi" w:eastAsia="Times New Roman" w:hAnsiTheme="minorHAnsi" w:cstheme="minorHAnsi"/>
                <w:sz w:val="18"/>
                <w:szCs w:val="18"/>
              </w:rPr>
            </w:pPr>
            <w:r>
              <w:rPr>
                <w:rFonts w:asciiTheme="minorHAnsi" w:eastAsia="Times New Roman" w:hAnsiTheme="minorHAnsi" w:cstheme="minorHAnsi"/>
                <w:sz w:val="18"/>
                <w:szCs w:val="18"/>
              </w:rPr>
              <w:t>Supports Pacific workers under the Scheme by providing access to skills training such as numeracy, English language and other ‘life-skills’.</w:t>
            </w:r>
          </w:p>
        </w:tc>
        <w:tc>
          <w:tcPr>
            <w:tcW w:w="1410" w:type="dxa"/>
            <w:shd w:val="clear" w:color="auto" w:fill="auto"/>
          </w:tcPr>
          <w:p w14:paraId="351113F4" w14:textId="47132C13" w:rsidR="005A22DA" w:rsidRPr="0018630D" w:rsidRDefault="005A22DA" w:rsidP="009B2872">
            <w:pPr>
              <w:spacing w:before="60" w:after="60" w:line="240" w:lineRule="auto"/>
              <w:ind w:left="113"/>
              <w:jc w:val="left"/>
              <w:textAlignment w:val="baseline"/>
              <w:rPr>
                <w:rFonts w:asciiTheme="minorHAnsi" w:eastAsia="Times New Roman" w:hAnsiTheme="minorHAnsi" w:cstheme="minorHAnsi"/>
                <w:sz w:val="18"/>
                <w:szCs w:val="18"/>
              </w:rPr>
            </w:pPr>
            <w:r>
              <w:rPr>
                <w:rFonts w:asciiTheme="minorHAnsi" w:eastAsia="Times New Roman" w:hAnsiTheme="minorHAnsi" w:cstheme="minorHAnsi"/>
                <w:sz w:val="18"/>
                <w:szCs w:val="18"/>
              </w:rPr>
              <w:t>Adaptation</w:t>
            </w:r>
          </w:p>
        </w:tc>
        <w:tc>
          <w:tcPr>
            <w:tcW w:w="1440" w:type="dxa"/>
            <w:shd w:val="clear" w:color="auto" w:fill="auto"/>
          </w:tcPr>
          <w:p w14:paraId="6B374FFB" w14:textId="2815443F" w:rsidR="005A22DA" w:rsidRPr="0018630D" w:rsidRDefault="005A22DA" w:rsidP="009B2872">
            <w:pPr>
              <w:spacing w:before="60" w:after="60" w:line="240" w:lineRule="auto"/>
              <w:ind w:left="113"/>
              <w:jc w:val="left"/>
              <w:textAlignment w:val="baseline"/>
              <w:rPr>
                <w:rFonts w:asciiTheme="minorHAnsi" w:eastAsia="Times New Roman" w:hAnsiTheme="minorHAnsi" w:cstheme="minorHAnsi"/>
                <w:sz w:val="18"/>
                <w:szCs w:val="18"/>
              </w:rPr>
            </w:pPr>
            <w:r>
              <w:rPr>
                <w:rFonts w:asciiTheme="minorHAnsi" w:eastAsia="Times New Roman" w:hAnsiTheme="minorHAnsi" w:cstheme="minorHAnsi"/>
                <w:sz w:val="18"/>
                <w:szCs w:val="18"/>
              </w:rPr>
              <w:t>Ongoing</w:t>
            </w:r>
          </w:p>
        </w:tc>
      </w:tr>
    </w:tbl>
    <w:p w14:paraId="6B086FDB" w14:textId="77777777" w:rsidR="00386A0D" w:rsidRDefault="00386A0D" w:rsidP="009C09AB">
      <w:pPr>
        <w:pStyle w:val="BodyText"/>
      </w:pPr>
    </w:p>
    <w:p w14:paraId="06A9D15C" w14:textId="77777777" w:rsidR="000828CD" w:rsidRDefault="000828CD" w:rsidP="009C09AB">
      <w:pPr>
        <w:pStyle w:val="BodyText"/>
        <w:sectPr w:rsidR="000828CD" w:rsidSect="006D7A2B">
          <w:pgSz w:w="16840" w:h="11907" w:orient="landscape" w:code="9"/>
          <w:pgMar w:top="1701" w:right="1134" w:bottom="1701" w:left="1134" w:header="567" w:footer="567" w:gutter="0"/>
          <w:cols w:space="720"/>
          <w:docGrid w:linePitch="299"/>
        </w:sectPr>
      </w:pPr>
    </w:p>
    <w:p w14:paraId="7535C3C4" w14:textId="77777777" w:rsidR="006929CB" w:rsidRPr="00DD1C54" w:rsidRDefault="006929CB" w:rsidP="006929CB">
      <w:pPr>
        <w:pStyle w:val="Heading1"/>
      </w:pPr>
      <w:bookmarkStart w:id="967" w:name="annex2"/>
      <w:bookmarkStart w:id="968" w:name="_Toc356822803"/>
      <w:bookmarkStart w:id="969" w:name="_Toc184825554"/>
      <w:r w:rsidRPr="00DD1C54">
        <w:t>Annex 2</w:t>
      </w:r>
      <w:bookmarkEnd w:id="967"/>
      <w:r w:rsidRPr="00DD1C54">
        <w:t>: Land Use, Land-Use Change and Forestry (LULUCF) accounting methodology</w:t>
      </w:r>
      <w:bookmarkEnd w:id="968"/>
      <w:bookmarkEnd w:id="969"/>
    </w:p>
    <w:p w14:paraId="2AA43E33" w14:textId="77777777" w:rsidR="006929CB" w:rsidRPr="00DD1C54" w:rsidRDefault="006929CB" w:rsidP="00560BB4">
      <w:pPr>
        <w:pStyle w:val="Heading2notforTOC"/>
        <w:spacing w:before="240"/>
      </w:pPr>
      <w:bookmarkStart w:id="970" w:name="_Toc261513277"/>
      <w:bookmarkStart w:id="971" w:name="_Toc261513890"/>
      <w:bookmarkStart w:id="972" w:name="_Toc280630380"/>
      <w:bookmarkStart w:id="973" w:name="_Toc310423464"/>
      <w:bookmarkStart w:id="974" w:name="_Toc342470732"/>
      <w:bookmarkStart w:id="975" w:name="_Toc352504891"/>
      <w:bookmarkStart w:id="976" w:name="_Toc377043714"/>
      <w:bookmarkStart w:id="977" w:name="_Toc391023461"/>
      <w:bookmarkStart w:id="978" w:name="_Toc400967252"/>
      <w:bookmarkStart w:id="979" w:name="_Toc414531340"/>
      <w:bookmarkStart w:id="980" w:name="_Toc456179169"/>
      <w:bookmarkStart w:id="981" w:name="_Toc481751422"/>
      <w:bookmarkStart w:id="982" w:name="_Toc522013961"/>
      <w:bookmarkStart w:id="983" w:name="_Toc5269405"/>
      <w:bookmarkStart w:id="984" w:name="_Toc36224445"/>
      <w:bookmarkStart w:id="985" w:name="_Toc68786365"/>
      <w:bookmarkStart w:id="986" w:name="_Toc99659171"/>
      <w:bookmarkStart w:id="987" w:name="_Toc2004441343"/>
      <w:bookmarkStart w:id="988" w:name="_Toc183603245"/>
      <w:r w:rsidRPr="00DD1C54">
        <w:t>A2.1</w:t>
      </w:r>
      <w:r w:rsidRPr="00DD1C54">
        <w:tab/>
        <w:t>General information</w:t>
      </w:r>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p>
    <w:p w14:paraId="79F2F813" w14:textId="77777777" w:rsidR="006929CB" w:rsidRPr="00DD1C54" w:rsidRDefault="006929CB" w:rsidP="006929CB">
      <w:pPr>
        <w:pStyle w:val="Heading3"/>
      </w:pPr>
      <w:bookmarkStart w:id="989" w:name="sectionA211"/>
      <w:bookmarkStart w:id="990" w:name="_Toc1069156040"/>
      <w:r w:rsidRPr="00DD1C54">
        <w:t xml:space="preserve">A2.1.1 </w:t>
      </w:r>
      <w:bookmarkEnd w:id="989"/>
      <w:r w:rsidRPr="00DD1C54">
        <w:tab/>
        <w:t>Context</w:t>
      </w:r>
      <w:bookmarkEnd w:id="990"/>
    </w:p>
    <w:p w14:paraId="7923F107" w14:textId="77777777" w:rsidR="006929CB" w:rsidRPr="00DD1C54" w:rsidRDefault="006929CB" w:rsidP="006929CB">
      <w:pPr>
        <w:pStyle w:val="BodyText"/>
      </w:pPr>
      <w:r w:rsidRPr="00DD1C54">
        <w:t>This section describes New Zealand’s accounting methodology for greenhouse gas emissions from the Land Use, Land-Use Change and Forestry (LULUCF) sector. New Zealand’s accounting approach for the LULUCF sector recognises additional action. It creates incentives for the establishment of new forests, recognises permanent, long-term enhancements of carbon sinks resulting from forest management activities, and takes responsibility for deforestation, while accommodating the long-term cycles in net emissions and removals that arise from management of production forests.</w:t>
      </w:r>
    </w:p>
    <w:p w14:paraId="72E28AC2" w14:textId="04F9BC3D" w:rsidR="006929CB" w:rsidRPr="00DD1C54" w:rsidRDefault="006929CB" w:rsidP="006929CB">
      <w:pPr>
        <w:pStyle w:val="BodyText"/>
      </w:pPr>
      <w:r w:rsidRPr="00DD1C54">
        <w:t xml:space="preserve">New Zealand is applying an activity-based accounting approach to the net emissions accounted </w:t>
      </w:r>
      <w:r w:rsidRPr="00DD1C54">
        <w:rPr>
          <w:spacing w:val="-2"/>
        </w:rPr>
        <w:t>for from the LULUCF sector for its first Nationally Determined Contribution (NDC1). New Zealand</w:t>
      </w:r>
      <w:r w:rsidRPr="00DD1C54">
        <w:t xml:space="preserve"> elected to account for emissions from the following LULUCF activities: </w:t>
      </w:r>
      <w:r w:rsidRPr="00DD1C54">
        <w:rPr>
          <w:i/>
        </w:rPr>
        <w:t>Afforestation and reforestation</w:t>
      </w:r>
      <w:r w:rsidRPr="00DD1C54">
        <w:rPr>
          <w:iCs/>
        </w:rPr>
        <w:t xml:space="preserve">, </w:t>
      </w:r>
      <w:r w:rsidRPr="00DD1C54">
        <w:rPr>
          <w:i/>
        </w:rPr>
        <w:t xml:space="preserve">Deforestation </w:t>
      </w:r>
      <w:r w:rsidRPr="00DD1C54">
        <w:rPr>
          <w:iCs/>
        </w:rPr>
        <w:t>and</w:t>
      </w:r>
      <w:r w:rsidRPr="00DD1C54">
        <w:rPr>
          <w:i/>
        </w:rPr>
        <w:t xml:space="preserve"> Forest management</w:t>
      </w:r>
      <w:r w:rsidRPr="00DD1C54">
        <w:rPr>
          <w:iCs/>
        </w:rPr>
        <w:t xml:space="preserve">. </w:t>
      </w:r>
      <w:r w:rsidRPr="00DD1C54">
        <w:t>The methods applied to estimate accounting quantities adhere to the 2006 Intergovernmental Panel on Climate Change (IPCC) Guidelines for National Greenhouse Gas Inventories (2006 IPCC Guidelines) (IPCC, 2006a) and the 2013 Kyoto Protocol Supplement (IPCC, 2014). The methods take a country-specific approach</w:t>
      </w:r>
      <w:r w:rsidR="000D0EEF">
        <w:t xml:space="preserve"> </w:t>
      </w:r>
      <w:r w:rsidRPr="00DD1C54">
        <w:t xml:space="preserve">to account for emissions from </w:t>
      </w:r>
      <w:r w:rsidRPr="00DD1C54">
        <w:rPr>
          <w:i/>
          <w:iCs/>
        </w:rPr>
        <w:t>Afforestation and reforestation</w:t>
      </w:r>
      <w:r w:rsidRPr="00DD1C54">
        <w:t xml:space="preserve"> activities, as communicated in New Zealand’s updated NDC1 under the Paris Agreement.</w:t>
      </w:r>
      <w:r w:rsidRPr="00DD1C54">
        <w:rPr>
          <w:rStyle w:val="FootnoteReference"/>
        </w:rPr>
        <w:footnoteReference w:id="321"/>
      </w:r>
      <w:r w:rsidRPr="00DD1C54">
        <w:t xml:space="preserve"> </w:t>
      </w:r>
    </w:p>
    <w:p w14:paraId="77F21FFF" w14:textId="77777777" w:rsidR="006929CB" w:rsidRPr="00DD1C54" w:rsidRDefault="006929CB" w:rsidP="006929CB">
      <w:pPr>
        <w:pStyle w:val="Heading4"/>
      </w:pPr>
      <w:r w:rsidRPr="00DD1C54">
        <w:t xml:space="preserve">Afforestation and reforestation activities </w:t>
      </w:r>
    </w:p>
    <w:p w14:paraId="1EC26CA7" w14:textId="77777777" w:rsidR="006929CB" w:rsidRPr="00DD1C54" w:rsidRDefault="006929CB" w:rsidP="006929CB">
      <w:pPr>
        <w:pStyle w:val="BodyText"/>
      </w:pPr>
      <w:r w:rsidRPr="00DD1C54">
        <w:t>To address the effects of age-class structure and account only for the long-term additional carbon sequestered in forests established from the activity start year (1990), these forests are accounted for up until they attain their long-term average (LTA) carbon stock. No further carbon gains or losses are accounted for once these forests reach their LTA, taking into account all carbon pools and activities. The net emissions from these forests above the LTA are instead tracked separately to quantify deviations from an emissions pathway consistent with attaining the LTA carbon stock. Emissions and removals from these forests will balance out to the LTA under business-as-usual management over time. Emissions and removals from </w:t>
      </w:r>
      <w:r w:rsidRPr="00DD1C54">
        <w:rPr>
          <w:i/>
          <w:iCs/>
        </w:rPr>
        <w:t>Afforestation and reforestation</w:t>
      </w:r>
      <w:r w:rsidRPr="00DD1C54">
        <w:t xml:space="preserve"> activities will be reconciled against the LTA to ensure it accurately reflects the long-term removals being accounted for from these activities at the end of NDC1. This may include a recalculation of the LTA to reflect actual harvest rates occurring during the commitment period.</w:t>
      </w:r>
    </w:p>
    <w:p w14:paraId="23CF159E" w14:textId="77777777" w:rsidR="006929CB" w:rsidRPr="00DD1C54" w:rsidRDefault="006929CB" w:rsidP="00C003F8">
      <w:pPr>
        <w:pStyle w:val="Heading4"/>
      </w:pPr>
      <w:r w:rsidRPr="00DD1C54">
        <w:t>Deforestation activities</w:t>
      </w:r>
    </w:p>
    <w:p w14:paraId="5A7D04CC" w14:textId="77777777" w:rsidR="006929CB" w:rsidRPr="00DD1C54" w:rsidRDefault="006929CB" w:rsidP="006929CB">
      <w:pPr>
        <w:pStyle w:val="BodyText"/>
      </w:pPr>
      <w:r w:rsidRPr="00DD1C54">
        <w:t xml:space="preserve">New Zealand continues to fully account for emissions from all deforestation activities. </w:t>
      </w:r>
    </w:p>
    <w:p w14:paraId="50557CE2" w14:textId="77777777" w:rsidR="006929CB" w:rsidRPr="00DD1C54" w:rsidRDefault="006929CB" w:rsidP="006929CB">
      <w:pPr>
        <w:pStyle w:val="Heading4"/>
      </w:pPr>
      <w:r w:rsidRPr="00DD1C54">
        <w:t>Natural disturbances and harvested wood products</w:t>
      </w:r>
    </w:p>
    <w:p w14:paraId="7AA4C5F6" w14:textId="77777777" w:rsidR="006929CB" w:rsidRPr="00DD1C54" w:rsidRDefault="006929CB" w:rsidP="006929CB">
      <w:pPr>
        <w:pStyle w:val="BodyText"/>
      </w:pPr>
      <w:r w:rsidRPr="00DD1C54">
        <w:t>Accounting provisions to address natural disturbances on managed lands, non-anthropogenic effects and additionality since the activity start year are applied, building on existing guidance. Accounting for harvested wood products (HWP) is based on the production approach.</w:t>
      </w:r>
    </w:p>
    <w:p w14:paraId="1E4B62BC" w14:textId="77777777" w:rsidR="006929CB" w:rsidRPr="00DD1C54" w:rsidRDefault="006929CB" w:rsidP="006929CB">
      <w:pPr>
        <w:pStyle w:val="Heading3"/>
      </w:pPr>
      <w:bookmarkStart w:id="991" w:name="_Toc167151723"/>
      <w:r w:rsidRPr="00DD1C54">
        <w:t>A2.1.2</w:t>
      </w:r>
      <w:r w:rsidRPr="00DD1C54">
        <w:tab/>
        <w:t>Emissions summary</w:t>
      </w:r>
      <w:bookmarkEnd w:id="991"/>
    </w:p>
    <w:p w14:paraId="2475DE1F" w14:textId="77777777" w:rsidR="00C96627" w:rsidRPr="00DD1C54" w:rsidRDefault="00C96627" w:rsidP="00C96627">
      <w:pPr>
        <w:pStyle w:val="Heading4"/>
      </w:pPr>
      <w:r w:rsidRPr="00DD1C54">
        <w:t>Forest management activities</w:t>
      </w:r>
    </w:p>
    <w:p w14:paraId="58D71C55" w14:textId="77777777" w:rsidR="00C96627" w:rsidRPr="00DD1C54" w:rsidRDefault="00C96627" w:rsidP="00C96627">
      <w:pPr>
        <w:pStyle w:val="BodyText"/>
        <w:rPr>
          <w:rFonts w:asciiTheme="minorHAnsi" w:hAnsiTheme="minorHAnsi"/>
          <w:b/>
          <w:bCs/>
        </w:rPr>
      </w:pPr>
      <w:r w:rsidRPr="00DD1C54" w:rsidDel="00775E5D">
        <w:t>To address the effects of age-class structure</w:t>
      </w:r>
      <w:r w:rsidRPr="00DD1C54" w:rsidDel="005C3E47">
        <w:t>,</w:t>
      </w:r>
      <w:r w:rsidRPr="00DD1C54">
        <w:t xml:space="preserve"> forests established before the activity start year (1990) are accounted for under a business-as-usual reference level. </w:t>
      </w:r>
      <w:r w:rsidRPr="00DD1C54">
        <w:rPr>
          <w:rFonts w:asciiTheme="minorHAnsi" w:hAnsiTheme="minorHAnsi"/>
        </w:rPr>
        <w:t xml:space="preserve">For planted forests, the reference level addresses the dynamic effects of age-class structure resulting from activities and practices before the reference year, and the ongoing cycles of forest harvest and regrowth that occur as part of normal forest management in production forests. </w:t>
      </w:r>
    </w:p>
    <w:p w14:paraId="4D177D38" w14:textId="68524C08" w:rsidR="006929CB" w:rsidRPr="00DD1C54" w:rsidRDefault="006929CB" w:rsidP="00E52C7C">
      <w:pPr>
        <w:pStyle w:val="Heading4"/>
      </w:pPr>
      <w:r w:rsidRPr="00DD1C54">
        <w:t>New Zealand’s net emissions from LULUCF activities</w:t>
      </w:r>
      <w:r w:rsidR="00D41906">
        <w:br/>
      </w:r>
      <w:r w:rsidRPr="00DD1C54">
        <w:t>for the period reported to date</w:t>
      </w:r>
    </w:p>
    <w:p w14:paraId="192BACA8" w14:textId="778EA84E" w:rsidR="006929CB" w:rsidRPr="00DD1C54" w:rsidRDefault="006929CB" w:rsidP="006929CB">
      <w:pPr>
        <w:pStyle w:val="BodyText"/>
      </w:pPr>
      <w:r w:rsidRPr="00DD1C54">
        <w:t xml:space="preserve">In 2021 and 2022, net emissions from land subject to </w:t>
      </w:r>
      <w:r w:rsidRPr="00DD1C54">
        <w:rPr>
          <w:i/>
          <w:iCs/>
        </w:rPr>
        <w:t>Afforestation and reforestation</w:t>
      </w:r>
      <w:r w:rsidRPr="00DD1C54">
        <w:t xml:space="preserve">, </w:t>
      </w:r>
      <w:r w:rsidRPr="00DD1C54">
        <w:rPr>
          <w:i/>
          <w:iCs/>
        </w:rPr>
        <w:t xml:space="preserve">Forest management </w:t>
      </w:r>
      <w:r w:rsidRPr="00DD1C54">
        <w:t xml:space="preserve">and </w:t>
      </w:r>
      <w:r w:rsidRPr="00DD1C54">
        <w:rPr>
          <w:i/>
          <w:iCs/>
        </w:rPr>
        <w:t xml:space="preserve">Deforestation </w:t>
      </w:r>
      <w:r w:rsidRPr="00DD1C54">
        <w:t>activities were –25,869.2 and –24,746.7 kilotonnes carbon dioxide equivalent (kt CO</w:t>
      </w:r>
      <w:r w:rsidRPr="00DD1C54">
        <w:rPr>
          <w:vertAlign w:val="subscript"/>
        </w:rPr>
        <w:t>2</w:t>
      </w:r>
      <w:r w:rsidRPr="00DD1C54">
        <w:t>e) respectively (</w:t>
      </w:r>
      <w:hyperlink w:anchor="tableA21" w:history="1">
        <w:r w:rsidRPr="004963DC">
          <w:rPr>
            <w:rStyle w:val="Hyperlink"/>
          </w:rPr>
          <w:t>table A2.1</w:t>
        </w:r>
      </w:hyperlink>
      <w:r w:rsidRPr="00DD1C54">
        <w:t xml:space="preserve">). Note these are not the accounting quantities for these activities. Accounting quantities are presented in </w:t>
      </w:r>
      <w:hyperlink w:anchor="tableA23" w:history="1">
        <w:r w:rsidRPr="004963DC">
          <w:rPr>
            <w:rStyle w:val="Hyperlink"/>
          </w:rPr>
          <w:t>table A2.3</w:t>
        </w:r>
      </w:hyperlink>
      <w:r w:rsidRPr="00DD1C54">
        <w:t>.</w:t>
      </w:r>
    </w:p>
    <w:p w14:paraId="3B8B5E4E" w14:textId="77777777" w:rsidR="006929CB" w:rsidRPr="00DD1C54" w:rsidRDefault="006929CB" w:rsidP="006929CB">
      <w:pPr>
        <w:pStyle w:val="Tableheading"/>
      </w:pPr>
      <w:bookmarkStart w:id="992" w:name="tableA21"/>
      <w:bookmarkStart w:id="993" w:name="_Toc182311693"/>
      <w:bookmarkStart w:id="994" w:name="_Toc185407528"/>
      <w:bookmarkStart w:id="995" w:name="_Toc185427791"/>
      <w:r w:rsidRPr="00DD1C54">
        <w:t>Table A2.1</w:t>
      </w:r>
      <w:bookmarkEnd w:id="992"/>
      <w:r w:rsidRPr="00DD1C54">
        <w:t>:</w:t>
      </w:r>
      <w:r w:rsidRPr="00DD1C54">
        <w:tab/>
        <w:t>Net emissions and area by activity</w:t>
      </w:r>
      <w:bookmarkEnd w:id="993"/>
      <w:bookmarkEnd w:id="994"/>
      <w:bookmarkEnd w:id="995"/>
      <w:r w:rsidRPr="00DD1C54">
        <w:t xml:space="preserve"> </w:t>
      </w:r>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2200"/>
        <w:gridCol w:w="3667"/>
        <w:gridCol w:w="1319"/>
        <w:gridCol w:w="1319"/>
      </w:tblGrid>
      <w:tr w:rsidR="006929CB" w:rsidRPr="00DD1C54" w14:paraId="6F88C100" w14:textId="77777777" w:rsidTr="0044676F">
        <w:trPr>
          <w:tblHeader/>
        </w:trPr>
        <w:tc>
          <w:tcPr>
            <w:tcW w:w="1701" w:type="dxa"/>
            <w:shd w:val="clear" w:color="auto" w:fill="1B556B"/>
            <w:vAlign w:val="center"/>
          </w:tcPr>
          <w:p w14:paraId="6CADB5CB" w14:textId="77777777" w:rsidR="006929CB" w:rsidRPr="00DD1C54" w:rsidRDefault="006929CB">
            <w:pPr>
              <w:pStyle w:val="TableTextbold"/>
            </w:pPr>
          </w:p>
        </w:tc>
        <w:tc>
          <w:tcPr>
            <w:tcW w:w="2835" w:type="dxa"/>
            <w:shd w:val="clear" w:color="auto" w:fill="1B556B"/>
            <w:vAlign w:val="center"/>
          </w:tcPr>
          <w:p w14:paraId="5F241652" w14:textId="77777777" w:rsidR="006929CB" w:rsidRPr="00DD1C54" w:rsidRDefault="006929CB">
            <w:pPr>
              <w:pStyle w:val="TableTextbold"/>
            </w:pPr>
          </w:p>
        </w:tc>
        <w:tc>
          <w:tcPr>
            <w:tcW w:w="1020" w:type="dxa"/>
            <w:shd w:val="clear" w:color="auto" w:fill="1B556B"/>
            <w:vAlign w:val="center"/>
          </w:tcPr>
          <w:p w14:paraId="06791F16" w14:textId="77777777" w:rsidR="006929CB" w:rsidRPr="00DD1C54" w:rsidRDefault="006929CB">
            <w:pPr>
              <w:pStyle w:val="TableTextbold"/>
              <w:jc w:val="right"/>
            </w:pPr>
            <w:r w:rsidRPr="00DD1C54">
              <w:rPr>
                <w:rFonts w:eastAsia="Calibri" w:cs="Calibri"/>
                <w:color w:val="FFFFFF"/>
                <w:szCs w:val="16"/>
              </w:rPr>
              <w:t>2021</w:t>
            </w:r>
          </w:p>
        </w:tc>
        <w:tc>
          <w:tcPr>
            <w:tcW w:w="1020" w:type="dxa"/>
            <w:shd w:val="clear" w:color="auto" w:fill="1B556B"/>
            <w:vAlign w:val="center"/>
          </w:tcPr>
          <w:p w14:paraId="6FAA338E" w14:textId="77777777" w:rsidR="006929CB" w:rsidRPr="00DD1C54" w:rsidRDefault="006929CB">
            <w:pPr>
              <w:pStyle w:val="TableTextbold"/>
              <w:jc w:val="right"/>
            </w:pPr>
            <w:r w:rsidRPr="00DD1C54">
              <w:rPr>
                <w:rFonts w:eastAsia="Calibri" w:cs="Calibri"/>
                <w:color w:val="FFFFFF"/>
                <w:szCs w:val="16"/>
              </w:rPr>
              <w:t>2022</w:t>
            </w:r>
          </w:p>
        </w:tc>
      </w:tr>
      <w:tr w:rsidR="006929CB" w:rsidRPr="00DD1C54" w14:paraId="5CDF38B0" w14:textId="77777777" w:rsidTr="0044676F">
        <w:tc>
          <w:tcPr>
            <w:tcW w:w="1701" w:type="dxa"/>
            <w:vMerge w:val="restart"/>
            <w:shd w:val="clear" w:color="auto" w:fill="FFFFFF"/>
            <w:vAlign w:val="center"/>
          </w:tcPr>
          <w:p w14:paraId="6C6104EC" w14:textId="77777777" w:rsidR="006929CB" w:rsidRPr="00DD1C54" w:rsidRDefault="006929CB">
            <w:pPr>
              <w:pStyle w:val="TableTextbold"/>
            </w:pPr>
            <w:r w:rsidRPr="00DD1C54">
              <w:rPr>
                <w:rFonts w:eastAsia="Calibri"/>
              </w:rPr>
              <w:t>Afforestation and reforestation</w:t>
            </w:r>
          </w:p>
        </w:tc>
        <w:tc>
          <w:tcPr>
            <w:tcW w:w="2835" w:type="dxa"/>
            <w:shd w:val="clear" w:color="auto" w:fill="FFFFFF"/>
            <w:vAlign w:val="center"/>
          </w:tcPr>
          <w:p w14:paraId="6106CF8A" w14:textId="77777777" w:rsidR="006929CB" w:rsidRPr="00DD1C54" w:rsidRDefault="006929CB">
            <w:pPr>
              <w:pStyle w:val="TableText"/>
            </w:pPr>
            <w:r w:rsidRPr="00DD1C54">
              <w:rPr>
                <w:rFonts w:eastAsia="Calibri"/>
              </w:rPr>
              <w:t>Net cumulative area since 1990 (ha)</w:t>
            </w:r>
          </w:p>
        </w:tc>
        <w:tc>
          <w:tcPr>
            <w:tcW w:w="1020" w:type="dxa"/>
            <w:shd w:val="clear" w:color="auto" w:fill="FFFFFF"/>
            <w:vAlign w:val="center"/>
          </w:tcPr>
          <w:p w14:paraId="5D54BA12" w14:textId="77777777" w:rsidR="006929CB" w:rsidRPr="00DD1C54" w:rsidRDefault="006929CB">
            <w:pPr>
              <w:pStyle w:val="TableText"/>
              <w:jc w:val="right"/>
            </w:pPr>
            <w:r w:rsidRPr="00DD1C54">
              <w:rPr>
                <w:rFonts w:eastAsia="Calibri"/>
              </w:rPr>
              <w:t>825,951</w:t>
            </w:r>
          </w:p>
        </w:tc>
        <w:tc>
          <w:tcPr>
            <w:tcW w:w="1020" w:type="dxa"/>
            <w:shd w:val="clear" w:color="auto" w:fill="FFFFFF"/>
            <w:vAlign w:val="center"/>
          </w:tcPr>
          <w:p w14:paraId="167335AF" w14:textId="77777777" w:rsidR="006929CB" w:rsidRPr="00DD1C54" w:rsidRDefault="006929CB">
            <w:pPr>
              <w:pStyle w:val="TableText"/>
              <w:jc w:val="right"/>
            </w:pPr>
            <w:r w:rsidRPr="00DD1C54">
              <w:rPr>
                <w:rFonts w:eastAsia="Calibri"/>
              </w:rPr>
              <w:t>909,130</w:t>
            </w:r>
          </w:p>
        </w:tc>
      </w:tr>
      <w:tr w:rsidR="006929CB" w:rsidRPr="00DD1C54" w14:paraId="6EA0A9A4" w14:textId="77777777" w:rsidTr="0044676F">
        <w:tc>
          <w:tcPr>
            <w:tcW w:w="1701" w:type="dxa"/>
            <w:vMerge/>
            <w:shd w:val="clear" w:color="auto" w:fill="FFFFFF"/>
            <w:vAlign w:val="center"/>
          </w:tcPr>
          <w:p w14:paraId="7A8EA807" w14:textId="77777777" w:rsidR="006929CB" w:rsidRPr="00DD1C54" w:rsidRDefault="006929CB">
            <w:pPr>
              <w:pStyle w:val="TableTextbold"/>
            </w:pPr>
          </w:p>
        </w:tc>
        <w:tc>
          <w:tcPr>
            <w:tcW w:w="2835" w:type="dxa"/>
            <w:shd w:val="clear" w:color="auto" w:fill="FFFFFF"/>
            <w:vAlign w:val="center"/>
          </w:tcPr>
          <w:p w14:paraId="4DD10A8E" w14:textId="77777777" w:rsidR="006929CB" w:rsidRPr="00DD1C54" w:rsidRDefault="006929CB">
            <w:pPr>
              <w:pStyle w:val="TableText"/>
            </w:pPr>
            <w:r w:rsidRPr="00DD1C54">
              <w:rPr>
                <w:rFonts w:eastAsia="Calibri"/>
              </w:rPr>
              <w:t>Area in calendar year (ha)</w:t>
            </w:r>
          </w:p>
        </w:tc>
        <w:tc>
          <w:tcPr>
            <w:tcW w:w="1020" w:type="dxa"/>
            <w:shd w:val="clear" w:color="auto" w:fill="FFFFFF"/>
            <w:vAlign w:val="center"/>
          </w:tcPr>
          <w:p w14:paraId="678EC6B8" w14:textId="77777777" w:rsidR="006929CB" w:rsidRPr="00DD1C54" w:rsidRDefault="006929CB">
            <w:pPr>
              <w:pStyle w:val="TableText"/>
              <w:jc w:val="right"/>
            </w:pPr>
            <w:r w:rsidRPr="00DD1C54">
              <w:rPr>
                <w:rFonts w:eastAsia="Calibri"/>
              </w:rPr>
              <w:t>55,069</w:t>
            </w:r>
          </w:p>
        </w:tc>
        <w:tc>
          <w:tcPr>
            <w:tcW w:w="1020" w:type="dxa"/>
            <w:shd w:val="clear" w:color="auto" w:fill="FFFFFF"/>
            <w:vAlign w:val="center"/>
          </w:tcPr>
          <w:p w14:paraId="6B6A7894" w14:textId="77777777" w:rsidR="006929CB" w:rsidRPr="00DD1C54" w:rsidRDefault="006929CB">
            <w:pPr>
              <w:pStyle w:val="TableText"/>
              <w:jc w:val="right"/>
            </w:pPr>
            <w:r w:rsidRPr="00DD1C54">
              <w:rPr>
                <w:rFonts w:eastAsia="Calibri"/>
              </w:rPr>
              <w:t>86,437</w:t>
            </w:r>
          </w:p>
        </w:tc>
      </w:tr>
      <w:tr w:rsidR="006929CB" w:rsidRPr="00DD1C54" w14:paraId="0313B89D" w14:textId="77777777" w:rsidTr="0044676F">
        <w:tc>
          <w:tcPr>
            <w:tcW w:w="1701" w:type="dxa"/>
            <w:vMerge/>
            <w:shd w:val="clear" w:color="auto" w:fill="FFFFFF"/>
            <w:vAlign w:val="center"/>
          </w:tcPr>
          <w:p w14:paraId="2498FDBA" w14:textId="77777777" w:rsidR="006929CB" w:rsidRPr="00DD1C54" w:rsidRDefault="006929CB">
            <w:pPr>
              <w:pStyle w:val="TableTextbold"/>
            </w:pPr>
          </w:p>
        </w:tc>
        <w:tc>
          <w:tcPr>
            <w:tcW w:w="2835" w:type="dxa"/>
            <w:shd w:val="clear" w:color="auto" w:fill="FFFFFF"/>
            <w:vAlign w:val="center"/>
          </w:tcPr>
          <w:p w14:paraId="1C4A99DF" w14:textId="77777777" w:rsidR="006929CB" w:rsidRPr="00DD1C54" w:rsidRDefault="006929CB">
            <w:pPr>
              <w:pStyle w:val="TableTextbold"/>
            </w:pPr>
            <w:r w:rsidRPr="00DD1C54">
              <w:rPr>
                <w:rFonts w:eastAsia="Calibri"/>
              </w:rPr>
              <w:t>Net emissions (kt CO</w:t>
            </w:r>
            <w:r w:rsidRPr="00DD1C54">
              <w:rPr>
                <w:rFonts w:eastAsia="Calibri"/>
                <w:vertAlign w:val="subscript"/>
              </w:rPr>
              <w:t>2</w:t>
            </w:r>
            <w:r w:rsidRPr="00DD1C54">
              <w:rPr>
                <w:rFonts w:eastAsia="Calibri"/>
              </w:rPr>
              <w:t>e)</w:t>
            </w:r>
          </w:p>
        </w:tc>
        <w:tc>
          <w:tcPr>
            <w:tcW w:w="1020" w:type="dxa"/>
            <w:shd w:val="clear" w:color="auto" w:fill="FFFFFF"/>
            <w:vAlign w:val="center"/>
          </w:tcPr>
          <w:p w14:paraId="74FDB68E" w14:textId="77777777" w:rsidR="006929CB" w:rsidRPr="00DD1C54" w:rsidRDefault="006929CB">
            <w:pPr>
              <w:pStyle w:val="TableTextbold"/>
              <w:jc w:val="right"/>
            </w:pPr>
            <w:r w:rsidRPr="00DD1C54">
              <w:rPr>
                <w:rFonts w:eastAsia="Calibri"/>
              </w:rPr>
              <w:t>–10,824.4</w:t>
            </w:r>
          </w:p>
        </w:tc>
        <w:tc>
          <w:tcPr>
            <w:tcW w:w="1020" w:type="dxa"/>
            <w:shd w:val="clear" w:color="auto" w:fill="FFFFFF"/>
            <w:vAlign w:val="center"/>
          </w:tcPr>
          <w:p w14:paraId="44516EC8" w14:textId="77777777" w:rsidR="006929CB" w:rsidRPr="00DD1C54" w:rsidRDefault="006929CB">
            <w:pPr>
              <w:pStyle w:val="TableTextbold"/>
              <w:jc w:val="right"/>
            </w:pPr>
            <w:r w:rsidRPr="00DD1C54">
              <w:rPr>
                <w:rFonts w:eastAsia="Calibri"/>
              </w:rPr>
              <w:t>–8,576.1</w:t>
            </w:r>
          </w:p>
        </w:tc>
      </w:tr>
      <w:tr w:rsidR="006929CB" w:rsidRPr="00DD1C54" w14:paraId="0CFD6ADA" w14:textId="77777777" w:rsidTr="0044676F">
        <w:tc>
          <w:tcPr>
            <w:tcW w:w="1701" w:type="dxa"/>
            <w:vMerge w:val="restart"/>
            <w:shd w:val="clear" w:color="auto" w:fill="FFFFFF"/>
            <w:vAlign w:val="center"/>
          </w:tcPr>
          <w:p w14:paraId="269E1D3A" w14:textId="77777777" w:rsidR="006929CB" w:rsidRPr="00DD1C54" w:rsidRDefault="006929CB">
            <w:pPr>
              <w:pStyle w:val="TableTextbold"/>
            </w:pPr>
            <w:r w:rsidRPr="00DD1C54">
              <w:rPr>
                <w:rFonts w:eastAsia="Calibri"/>
              </w:rPr>
              <w:t>Deforestation</w:t>
            </w:r>
          </w:p>
        </w:tc>
        <w:tc>
          <w:tcPr>
            <w:tcW w:w="2835" w:type="dxa"/>
            <w:shd w:val="clear" w:color="auto" w:fill="FFFFFF"/>
            <w:vAlign w:val="center"/>
          </w:tcPr>
          <w:p w14:paraId="1AD40AC6" w14:textId="77777777" w:rsidR="006929CB" w:rsidRPr="00DD1C54" w:rsidRDefault="006929CB">
            <w:pPr>
              <w:pStyle w:val="TableText"/>
            </w:pPr>
            <w:r w:rsidRPr="00DD1C54">
              <w:rPr>
                <w:rFonts w:eastAsia="Calibri"/>
              </w:rPr>
              <w:t>Net cumulative area since 1990 (ha)</w:t>
            </w:r>
          </w:p>
        </w:tc>
        <w:tc>
          <w:tcPr>
            <w:tcW w:w="1020" w:type="dxa"/>
            <w:shd w:val="clear" w:color="auto" w:fill="FFFFFF"/>
            <w:vAlign w:val="center"/>
          </w:tcPr>
          <w:p w14:paraId="53AE0A19" w14:textId="77777777" w:rsidR="006929CB" w:rsidRPr="00DD1C54" w:rsidRDefault="006929CB">
            <w:pPr>
              <w:pStyle w:val="TableText"/>
              <w:jc w:val="right"/>
            </w:pPr>
            <w:r w:rsidRPr="00DD1C54">
              <w:rPr>
                <w:rFonts w:eastAsia="Calibri"/>
              </w:rPr>
              <w:t>237,802</w:t>
            </w:r>
            <w:r w:rsidRPr="00DD1C54">
              <w:rPr>
                <w:rFonts w:eastAsia="Calibri"/>
                <w:vertAlign w:val="superscript"/>
              </w:rPr>
              <w:t xml:space="preserve"> </w:t>
            </w:r>
          </w:p>
        </w:tc>
        <w:tc>
          <w:tcPr>
            <w:tcW w:w="1020" w:type="dxa"/>
            <w:shd w:val="clear" w:color="auto" w:fill="FFFFFF"/>
            <w:vAlign w:val="center"/>
          </w:tcPr>
          <w:p w14:paraId="56C63573" w14:textId="77777777" w:rsidR="006929CB" w:rsidRPr="00DD1C54" w:rsidRDefault="006929CB">
            <w:pPr>
              <w:pStyle w:val="TableText"/>
              <w:jc w:val="right"/>
            </w:pPr>
            <w:r w:rsidRPr="00DD1C54">
              <w:rPr>
                <w:rFonts w:eastAsia="Calibri"/>
              </w:rPr>
              <w:t>241,892</w:t>
            </w:r>
            <w:r w:rsidRPr="00DD1C54">
              <w:rPr>
                <w:rFonts w:eastAsia="Calibri"/>
                <w:vertAlign w:val="superscript"/>
              </w:rPr>
              <w:t xml:space="preserve"> </w:t>
            </w:r>
          </w:p>
        </w:tc>
      </w:tr>
      <w:tr w:rsidR="006929CB" w:rsidRPr="00DD1C54" w14:paraId="370627E9" w14:textId="77777777" w:rsidTr="0044676F">
        <w:tc>
          <w:tcPr>
            <w:tcW w:w="1701" w:type="dxa"/>
            <w:vMerge/>
            <w:shd w:val="clear" w:color="auto" w:fill="FFFFFF"/>
            <w:vAlign w:val="center"/>
          </w:tcPr>
          <w:p w14:paraId="70F8DA26" w14:textId="77777777" w:rsidR="006929CB" w:rsidRPr="00DD1C54" w:rsidRDefault="006929CB">
            <w:pPr>
              <w:pStyle w:val="TableTextbold"/>
            </w:pPr>
          </w:p>
        </w:tc>
        <w:tc>
          <w:tcPr>
            <w:tcW w:w="2835" w:type="dxa"/>
            <w:shd w:val="clear" w:color="auto" w:fill="FFFFFF"/>
            <w:vAlign w:val="center"/>
          </w:tcPr>
          <w:p w14:paraId="15D5E369" w14:textId="77777777" w:rsidR="006929CB" w:rsidRPr="00DD1C54" w:rsidRDefault="006929CB">
            <w:pPr>
              <w:pStyle w:val="TableText"/>
            </w:pPr>
            <w:r w:rsidRPr="00DD1C54">
              <w:rPr>
                <w:rFonts w:eastAsia="Calibri"/>
              </w:rPr>
              <w:t>Area in calendar year (ha)</w:t>
            </w:r>
          </w:p>
        </w:tc>
        <w:tc>
          <w:tcPr>
            <w:tcW w:w="1020" w:type="dxa"/>
            <w:shd w:val="clear" w:color="auto" w:fill="FFFFFF"/>
            <w:vAlign w:val="center"/>
          </w:tcPr>
          <w:p w14:paraId="4981F382" w14:textId="77777777" w:rsidR="006929CB" w:rsidRPr="00DD1C54" w:rsidRDefault="006929CB">
            <w:pPr>
              <w:pStyle w:val="TableText"/>
              <w:jc w:val="right"/>
            </w:pPr>
            <w:r w:rsidRPr="00DD1C54">
              <w:rPr>
                <w:rFonts w:eastAsia="Calibri"/>
              </w:rPr>
              <w:t>4,849</w:t>
            </w:r>
            <w:r w:rsidRPr="00DD1C54">
              <w:rPr>
                <w:rFonts w:eastAsia="Calibri"/>
                <w:vertAlign w:val="superscript"/>
              </w:rPr>
              <w:t>P</w:t>
            </w:r>
          </w:p>
        </w:tc>
        <w:tc>
          <w:tcPr>
            <w:tcW w:w="1020" w:type="dxa"/>
            <w:shd w:val="clear" w:color="auto" w:fill="FFFFFF"/>
            <w:vAlign w:val="center"/>
          </w:tcPr>
          <w:p w14:paraId="19679D31" w14:textId="77777777" w:rsidR="006929CB" w:rsidRPr="00DD1C54" w:rsidRDefault="006929CB">
            <w:pPr>
              <w:pStyle w:val="TableText"/>
              <w:jc w:val="right"/>
            </w:pPr>
            <w:r w:rsidRPr="00DD1C54">
              <w:rPr>
                <w:rFonts w:eastAsia="Calibri"/>
              </w:rPr>
              <w:t>4,089</w:t>
            </w:r>
            <w:r w:rsidRPr="00DD1C54">
              <w:rPr>
                <w:rFonts w:eastAsia="Calibri"/>
                <w:vertAlign w:val="superscript"/>
              </w:rPr>
              <w:t>P</w:t>
            </w:r>
          </w:p>
        </w:tc>
      </w:tr>
      <w:tr w:rsidR="006929CB" w:rsidRPr="00DD1C54" w14:paraId="303DD085" w14:textId="77777777" w:rsidTr="0044676F">
        <w:tc>
          <w:tcPr>
            <w:tcW w:w="1701" w:type="dxa"/>
            <w:vMerge/>
            <w:shd w:val="clear" w:color="auto" w:fill="FFFFFF"/>
            <w:vAlign w:val="center"/>
          </w:tcPr>
          <w:p w14:paraId="0235D796" w14:textId="77777777" w:rsidR="006929CB" w:rsidRPr="00DD1C54" w:rsidRDefault="006929CB">
            <w:pPr>
              <w:pStyle w:val="TableTextbold"/>
            </w:pPr>
          </w:p>
        </w:tc>
        <w:tc>
          <w:tcPr>
            <w:tcW w:w="2835" w:type="dxa"/>
            <w:shd w:val="clear" w:color="auto" w:fill="FFFFFF"/>
            <w:vAlign w:val="center"/>
          </w:tcPr>
          <w:p w14:paraId="669C42F9" w14:textId="77777777" w:rsidR="006929CB" w:rsidRPr="00DD1C54" w:rsidRDefault="006929CB">
            <w:pPr>
              <w:pStyle w:val="TableTextbold"/>
            </w:pPr>
            <w:r w:rsidRPr="00DD1C54">
              <w:rPr>
                <w:rFonts w:eastAsia="Calibri"/>
              </w:rPr>
              <w:t>Net emissions (kt CO</w:t>
            </w:r>
            <w:r w:rsidRPr="00DD1C54">
              <w:rPr>
                <w:rFonts w:eastAsia="Calibri"/>
                <w:vertAlign w:val="subscript"/>
              </w:rPr>
              <w:t>2</w:t>
            </w:r>
            <w:r w:rsidRPr="00DD1C54">
              <w:rPr>
                <w:rFonts w:eastAsia="Calibri"/>
              </w:rPr>
              <w:t>e)</w:t>
            </w:r>
          </w:p>
        </w:tc>
        <w:tc>
          <w:tcPr>
            <w:tcW w:w="1020" w:type="dxa"/>
            <w:shd w:val="clear" w:color="auto" w:fill="FFFFFF"/>
            <w:vAlign w:val="center"/>
          </w:tcPr>
          <w:p w14:paraId="13C22E1E" w14:textId="77777777" w:rsidR="006929CB" w:rsidRPr="00DD1C54" w:rsidRDefault="006929CB">
            <w:pPr>
              <w:pStyle w:val="TableTextbold"/>
              <w:jc w:val="right"/>
            </w:pPr>
            <w:r w:rsidRPr="00DD1C54">
              <w:rPr>
                <w:rFonts w:eastAsia="Calibri"/>
              </w:rPr>
              <w:t>3,170.8</w:t>
            </w:r>
            <w:r w:rsidRPr="00DD1C54">
              <w:rPr>
                <w:rFonts w:eastAsia="Calibri"/>
                <w:vertAlign w:val="superscript"/>
              </w:rPr>
              <w:t xml:space="preserve"> </w:t>
            </w:r>
          </w:p>
        </w:tc>
        <w:tc>
          <w:tcPr>
            <w:tcW w:w="1020" w:type="dxa"/>
            <w:shd w:val="clear" w:color="auto" w:fill="FFFFFF"/>
            <w:vAlign w:val="center"/>
          </w:tcPr>
          <w:p w14:paraId="1B6FEF58" w14:textId="77777777" w:rsidR="006929CB" w:rsidRPr="00DD1C54" w:rsidRDefault="006929CB">
            <w:pPr>
              <w:pStyle w:val="TableTextbold"/>
              <w:jc w:val="right"/>
            </w:pPr>
            <w:r w:rsidRPr="00DD1C54">
              <w:rPr>
                <w:rFonts w:eastAsia="Calibri"/>
              </w:rPr>
              <w:t>2,429.4</w:t>
            </w:r>
            <w:r w:rsidRPr="00DD1C54">
              <w:rPr>
                <w:rFonts w:eastAsia="Calibri"/>
                <w:vertAlign w:val="superscript"/>
              </w:rPr>
              <w:t xml:space="preserve"> </w:t>
            </w:r>
          </w:p>
        </w:tc>
      </w:tr>
      <w:tr w:rsidR="006929CB" w:rsidRPr="00DD1C54" w14:paraId="36F887FC" w14:textId="77777777" w:rsidTr="0044676F">
        <w:tc>
          <w:tcPr>
            <w:tcW w:w="1701" w:type="dxa"/>
            <w:vMerge w:val="restart"/>
            <w:shd w:val="clear" w:color="auto" w:fill="FFFFFF"/>
            <w:vAlign w:val="center"/>
          </w:tcPr>
          <w:p w14:paraId="4E755814" w14:textId="77777777" w:rsidR="006929CB" w:rsidRPr="00DD1C54" w:rsidRDefault="006929CB">
            <w:pPr>
              <w:pStyle w:val="TableTextbold"/>
            </w:pPr>
            <w:r w:rsidRPr="00DD1C54">
              <w:rPr>
                <w:rFonts w:eastAsia="Calibri"/>
              </w:rPr>
              <w:t>Forest management</w:t>
            </w:r>
          </w:p>
        </w:tc>
        <w:tc>
          <w:tcPr>
            <w:tcW w:w="2835" w:type="dxa"/>
            <w:shd w:val="clear" w:color="auto" w:fill="FFFFFF"/>
            <w:vAlign w:val="center"/>
          </w:tcPr>
          <w:p w14:paraId="06C0E856" w14:textId="77777777" w:rsidR="006929CB" w:rsidRPr="00DD1C54" w:rsidRDefault="006929CB">
            <w:pPr>
              <w:pStyle w:val="TableText"/>
            </w:pPr>
            <w:r w:rsidRPr="00DD1C54">
              <w:rPr>
                <w:rFonts w:eastAsia="Calibri"/>
              </w:rPr>
              <w:t>Area included (ha)</w:t>
            </w:r>
          </w:p>
        </w:tc>
        <w:tc>
          <w:tcPr>
            <w:tcW w:w="1020" w:type="dxa"/>
            <w:shd w:val="clear" w:color="auto" w:fill="FFFFFF"/>
            <w:vAlign w:val="center"/>
          </w:tcPr>
          <w:p w14:paraId="319DE264" w14:textId="77777777" w:rsidR="006929CB" w:rsidRPr="00DD1C54" w:rsidRDefault="006929CB">
            <w:pPr>
              <w:pStyle w:val="TableText"/>
              <w:jc w:val="right"/>
            </w:pPr>
            <w:r w:rsidRPr="00DD1C54">
              <w:rPr>
                <w:rFonts w:eastAsia="Calibri"/>
              </w:rPr>
              <w:t>9,187,215</w:t>
            </w:r>
          </w:p>
        </w:tc>
        <w:tc>
          <w:tcPr>
            <w:tcW w:w="1020" w:type="dxa"/>
            <w:shd w:val="clear" w:color="auto" w:fill="FFFFFF"/>
            <w:vAlign w:val="center"/>
          </w:tcPr>
          <w:p w14:paraId="1102E42F" w14:textId="77777777" w:rsidR="006929CB" w:rsidRPr="00DD1C54" w:rsidRDefault="006929CB">
            <w:pPr>
              <w:pStyle w:val="TableText"/>
              <w:jc w:val="right"/>
            </w:pPr>
            <w:r w:rsidRPr="00DD1C54">
              <w:rPr>
                <w:rFonts w:eastAsia="Calibri"/>
              </w:rPr>
              <w:t>9,186,383</w:t>
            </w:r>
          </w:p>
        </w:tc>
      </w:tr>
      <w:tr w:rsidR="006929CB" w:rsidRPr="00DD1C54" w14:paraId="559E53BB" w14:textId="77777777" w:rsidTr="0044676F">
        <w:tc>
          <w:tcPr>
            <w:tcW w:w="1701" w:type="dxa"/>
            <w:vMerge/>
            <w:shd w:val="clear" w:color="auto" w:fill="FFFFFF"/>
            <w:vAlign w:val="center"/>
          </w:tcPr>
          <w:p w14:paraId="7785AF20" w14:textId="77777777" w:rsidR="006929CB" w:rsidRPr="00DD1C54" w:rsidRDefault="006929CB">
            <w:pPr>
              <w:pBdr>
                <w:top w:val="none" w:sz="0" w:space="0" w:color="000000"/>
                <w:left w:val="none" w:sz="0" w:space="0" w:color="000000"/>
                <w:bottom w:val="none" w:sz="0" w:space="0" w:color="000000"/>
                <w:right w:val="none" w:sz="0" w:space="0" w:color="000000"/>
              </w:pBdr>
              <w:ind w:left="100" w:right="100"/>
            </w:pPr>
          </w:p>
        </w:tc>
        <w:tc>
          <w:tcPr>
            <w:tcW w:w="2835" w:type="dxa"/>
            <w:shd w:val="clear" w:color="auto" w:fill="FFFFFF"/>
            <w:vAlign w:val="center"/>
          </w:tcPr>
          <w:p w14:paraId="5E9C63FF" w14:textId="77777777" w:rsidR="006929CB" w:rsidRPr="00DD1C54" w:rsidRDefault="006929CB">
            <w:pPr>
              <w:pStyle w:val="TableTextbold"/>
            </w:pPr>
            <w:r w:rsidRPr="00DD1C54">
              <w:rPr>
                <w:rFonts w:eastAsia="Calibri"/>
              </w:rPr>
              <w:t>Net emissions (kt CO</w:t>
            </w:r>
            <w:r w:rsidRPr="00DD1C54">
              <w:rPr>
                <w:rFonts w:eastAsia="Calibri"/>
                <w:vertAlign w:val="subscript"/>
              </w:rPr>
              <w:t>2</w:t>
            </w:r>
            <w:r w:rsidRPr="00DD1C54">
              <w:rPr>
                <w:rFonts w:eastAsia="Calibri"/>
              </w:rPr>
              <w:t>e)</w:t>
            </w:r>
          </w:p>
        </w:tc>
        <w:tc>
          <w:tcPr>
            <w:tcW w:w="1020" w:type="dxa"/>
            <w:shd w:val="clear" w:color="auto" w:fill="FFFFFF"/>
            <w:vAlign w:val="center"/>
          </w:tcPr>
          <w:p w14:paraId="30B513C4" w14:textId="77777777" w:rsidR="006929CB" w:rsidRPr="00DD1C54" w:rsidRDefault="006929CB">
            <w:pPr>
              <w:pStyle w:val="TableTextbold"/>
              <w:jc w:val="right"/>
            </w:pPr>
            <w:r w:rsidRPr="00DD1C54">
              <w:rPr>
                <w:rFonts w:eastAsia="Calibri"/>
              </w:rPr>
              <w:t>–18,215.6</w:t>
            </w:r>
          </w:p>
        </w:tc>
        <w:tc>
          <w:tcPr>
            <w:tcW w:w="1020" w:type="dxa"/>
            <w:shd w:val="clear" w:color="auto" w:fill="FFFFFF"/>
            <w:vAlign w:val="center"/>
          </w:tcPr>
          <w:p w14:paraId="2DC40FC9" w14:textId="77777777" w:rsidR="006929CB" w:rsidRPr="00DD1C54" w:rsidRDefault="006929CB">
            <w:pPr>
              <w:pStyle w:val="TableTextbold"/>
              <w:jc w:val="right"/>
            </w:pPr>
            <w:r w:rsidRPr="00DD1C54">
              <w:rPr>
                <w:rFonts w:eastAsia="Calibri"/>
              </w:rPr>
              <w:t>–18,600.0</w:t>
            </w:r>
          </w:p>
        </w:tc>
      </w:tr>
      <w:tr w:rsidR="00D41906" w:rsidRPr="00D41906" w14:paraId="7740FC7D" w14:textId="77777777" w:rsidTr="0044676F">
        <w:tc>
          <w:tcPr>
            <w:tcW w:w="4536" w:type="dxa"/>
            <w:gridSpan w:val="2"/>
            <w:shd w:val="clear" w:color="auto" w:fill="FFFFFF"/>
            <w:vAlign w:val="center"/>
          </w:tcPr>
          <w:p w14:paraId="35FF123D" w14:textId="77777777" w:rsidR="006929CB" w:rsidRPr="00D41906" w:rsidRDefault="006929CB" w:rsidP="00D41906">
            <w:pPr>
              <w:pStyle w:val="Tableboldblue"/>
            </w:pPr>
            <w:r w:rsidRPr="00D41906">
              <w:t>Total area included (ha)</w:t>
            </w:r>
          </w:p>
        </w:tc>
        <w:tc>
          <w:tcPr>
            <w:tcW w:w="1020" w:type="dxa"/>
            <w:shd w:val="clear" w:color="auto" w:fill="FFFFFF"/>
            <w:vAlign w:val="center"/>
          </w:tcPr>
          <w:p w14:paraId="156B77D1" w14:textId="77777777" w:rsidR="006929CB" w:rsidRPr="00D41906" w:rsidRDefault="006929CB" w:rsidP="00EA02DE">
            <w:pPr>
              <w:pStyle w:val="Tableboldblue"/>
              <w:jc w:val="right"/>
            </w:pPr>
            <w:r w:rsidRPr="00D41906">
              <w:t>10,250,968</w:t>
            </w:r>
          </w:p>
        </w:tc>
        <w:tc>
          <w:tcPr>
            <w:tcW w:w="1020" w:type="dxa"/>
            <w:shd w:val="clear" w:color="auto" w:fill="FFFFFF"/>
            <w:vAlign w:val="center"/>
          </w:tcPr>
          <w:p w14:paraId="56E0559B" w14:textId="77777777" w:rsidR="006929CB" w:rsidRPr="00D41906" w:rsidRDefault="006929CB" w:rsidP="00EA02DE">
            <w:pPr>
              <w:pStyle w:val="Tableboldblue"/>
              <w:jc w:val="right"/>
            </w:pPr>
            <w:r w:rsidRPr="00D41906">
              <w:t>10,337,405</w:t>
            </w:r>
          </w:p>
        </w:tc>
      </w:tr>
      <w:tr w:rsidR="006929CB" w:rsidRPr="00DD1C54" w14:paraId="70512EE1" w14:textId="77777777" w:rsidTr="0044676F">
        <w:tc>
          <w:tcPr>
            <w:tcW w:w="4536" w:type="dxa"/>
            <w:gridSpan w:val="2"/>
            <w:shd w:val="clear" w:color="auto" w:fill="FFFFFF"/>
            <w:vAlign w:val="center"/>
          </w:tcPr>
          <w:p w14:paraId="132337CE" w14:textId="77777777" w:rsidR="006929CB" w:rsidRPr="00DD1C54" w:rsidRDefault="006929CB" w:rsidP="00D41906">
            <w:pPr>
              <w:pStyle w:val="Tableboldblue"/>
            </w:pPr>
            <w:r w:rsidRPr="00DD1C54">
              <w:t>Total net emissions in calendar year (kt CO</w:t>
            </w:r>
            <w:r w:rsidRPr="00DD1C54">
              <w:rPr>
                <w:vertAlign w:val="subscript"/>
              </w:rPr>
              <w:t>2</w:t>
            </w:r>
            <w:r w:rsidRPr="00DD1C54">
              <w:t>e)</w:t>
            </w:r>
          </w:p>
        </w:tc>
        <w:tc>
          <w:tcPr>
            <w:tcW w:w="1020" w:type="dxa"/>
            <w:shd w:val="clear" w:color="auto" w:fill="FFFFFF"/>
            <w:vAlign w:val="center"/>
          </w:tcPr>
          <w:p w14:paraId="49209EFF" w14:textId="77777777" w:rsidR="006929CB" w:rsidRPr="00DD1C54" w:rsidRDefault="006929CB" w:rsidP="00EA02DE">
            <w:pPr>
              <w:pStyle w:val="Tableboldblue"/>
              <w:jc w:val="right"/>
            </w:pPr>
            <w:r w:rsidRPr="00DD1C54">
              <w:t>–25,869.2</w:t>
            </w:r>
          </w:p>
        </w:tc>
        <w:tc>
          <w:tcPr>
            <w:tcW w:w="1020" w:type="dxa"/>
            <w:shd w:val="clear" w:color="auto" w:fill="FFFFFF"/>
            <w:vAlign w:val="center"/>
          </w:tcPr>
          <w:p w14:paraId="03806938" w14:textId="77777777" w:rsidR="006929CB" w:rsidRPr="00DD1C54" w:rsidRDefault="006929CB" w:rsidP="00EA02DE">
            <w:pPr>
              <w:pStyle w:val="Tableboldblue"/>
              <w:jc w:val="right"/>
            </w:pPr>
            <w:r w:rsidRPr="00DD1C54">
              <w:t>–24,746.7</w:t>
            </w:r>
          </w:p>
        </w:tc>
      </w:tr>
    </w:tbl>
    <w:p w14:paraId="75806E03" w14:textId="77777777" w:rsidR="006929CB" w:rsidRPr="00DD1C54" w:rsidRDefault="006929CB" w:rsidP="006929CB">
      <w:pPr>
        <w:pStyle w:val="Noteundertable"/>
      </w:pPr>
      <w:r w:rsidRPr="00DD1C54">
        <w:rPr>
          <w:b/>
        </w:rPr>
        <w:t>Note:</w:t>
      </w:r>
      <w:r w:rsidRPr="00DD1C54">
        <w:t xml:space="preserve"> </w:t>
      </w:r>
      <w:r w:rsidRPr="00DD1C54">
        <w:tab/>
        <w:t xml:space="preserve">P = provisional figure. Where net emissions result in removals, they are expressed as a negative value as per section 2.2.3 of the 2006 IPCC Guidelines (IPCC, 2006a). Columns may not total due to rounding. </w:t>
      </w:r>
    </w:p>
    <w:p w14:paraId="5B096818" w14:textId="77777777" w:rsidR="006929CB" w:rsidRPr="00DD1C54" w:rsidRDefault="006929CB" w:rsidP="006929CB">
      <w:pPr>
        <w:pStyle w:val="BodyText"/>
      </w:pPr>
      <w:r w:rsidRPr="00DD1C54">
        <w:t xml:space="preserve">Net emissions from </w:t>
      </w:r>
      <w:r w:rsidRPr="00DD1C54">
        <w:rPr>
          <w:i/>
        </w:rPr>
        <w:t>Afforestation and reforestation</w:t>
      </w:r>
      <w:r w:rsidRPr="00DD1C54" w:rsidDel="00766948">
        <w:t xml:space="preserve"> </w:t>
      </w:r>
      <w:r w:rsidRPr="00DD1C54">
        <w:t xml:space="preserve">activities include: </w:t>
      </w:r>
    </w:p>
    <w:p w14:paraId="12EB3611" w14:textId="77777777" w:rsidR="006929CB" w:rsidRPr="00DD1C54" w:rsidRDefault="006929CB" w:rsidP="006929CB">
      <w:pPr>
        <w:pStyle w:val="Bullet"/>
        <w:spacing w:line="240" w:lineRule="auto"/>
        <w:rPr>
          <w:spacing w:val="-2"/>
        </w:rPr>
      </w:pPr>
      <w:r w:rsidRPr="00DD1C54">
        <w:rPr>
          <w:spacing w:val="-2"/>
        </w:rPr>
        <w:t>net</w:t>
      </w:r>
      <w:r w:rsidRPr="00DD1C54" w:rsidDel="00E956D4">
        <w:rPr>
          <w:spacing w:val="-2"/>
        </w:rPr>
        <w:t xml:space="preserve"> </w:t>
      </w:r>
      <w:r w:rsidRPr="00DD1C54">
        <w:rPr>
          <w:spacing w:val="-2"/>
        </w:rPr>
        <w:t>emissions from the</w:t>
      </w:r>
      <w:r w:rsidRPr="00DD1C54" w:rsidDel="005C5AD7">
        <w:rPr>
          <w:spacing w:val="-2"/>
        </w:rPr>
        <w:t xml:space="preserve"> </w:t>
      </w:r>
      <w:r w:rsidRPr="00DD1C54">
        <w:rPr>
          <w:spacing w:val="-2"/>
        </w:rPr>
        <w:t>growth of forest established during or after 1990 (post-1989 forests)</w:t>
      </w:r>
    </w:p>
    <w:p w14:paraId="6485D961" w14:textId="77777777" w:rsidR="006929CB" w:rsidRPr="00DD1C54" w:rsidDel="00766948" w:rsidRDefault="006929CB" w:rsidP="006929CB">
      <w:pPr>
        <w:pStyle w:val="Bullet"/>
        <w:spacing w:line="240" w:lineRule="auto"/>
      </w:pPr>
      <w:r w:rsidRPr="00DD1C54" w:rsidDel="00766948">
        <w:t xml:space="preserve">emissions from </w:t>
      </w:r>
      <w:r w:rsidRPr="00DD1C54">
        <w:t xml:space="preserve">the decay of post-1989 forest harvest residues </w:t>
      </w:r>
    </w:p>
    <w:p w14:paraId="7DF148B5" w14:textId="77777777" w:rsidR="006929CB" w:rsidRPr="00DD1C54" w:rsidDel="00681186" w:rsidRDefault="006929CB" w:rsidP="006929CB">
      <w:pPr>
        <w:pStyle w:val="Bullet"/>
        <w:spacing w:line="240" w:lineRule="auto"/>
      </w:pPr>
      <w:r w:rsidRPr="00DD1C54" w:rsidDel="00681186">
        <w:t xml:space="preserve">emissions and removals from </w:t>
      </w:r>
      <w:r w:rsidRPr="00DD1C54">
        <w:t>HWP</w:t>
      </w:r>
      <w:r w:rsidRPr="00DD1C54" w:rsidDel="00681186">
        <w:t xml:space="preserve"> </w:t>
      </w:r>
      <w:r w:rsidRPr="00DD1C54">
        <w:t>derived from</w:t>
      </w:r>
      <w:r w:rsidRPr="00DD1C54" w:rsidDel="00681186">
        <w:t xml:space="preserve"> post-1989 forests</w:t>
      </w:r>
    </w:p>
    <w:p w14:paraId="2C7F4C3B" w14:textId="77777777" w:rsidR="006929CB" w:rsidRPr="00DD1C54" w:rsidRDefault="006929CB" w:rsidP="006929CB">
      <w:pPr>
        <w:pStyle w:val="Bullet"/>
        <w:spacing w:line="240" w:lineRule="auto"/>
      </w:pPr>
      <w:r w:rsidRPr="00DD1C54">
        <w:t>emissions from the conversion of land to post-1989 forest (biomass losses from previous land use and soil carbon changes)</w:t>
      </w:r>
    </w:p>
    <w:p w14:paraId="2A9C2C4E" w14:textId="77777777" w:rsidR="006929CB" w:rsidRPr="00DD1C54" w:rsidDel="0087016D" w:rsidRDefault="006929CB" w:rsidP="006929CB">
      <w:pPr>
        <w:pStyle w:val="Bullet"/>
        <w:spacing w:line="240" w:lineRule="auto"/>
      </w:pPr>
      <w:r w:rsidRPr="00DD1C54">
        <w:t>carbon dioxide (CO</w:t>
      </w:r>
      <w:r w:rsidRPr="00403254">
        <w:rPr>
          <w:vertAlign w:val="subscript"/>
        </w:rPr>
        <w:t>2</w:t>
      </w:r>
      <w:r w:rsidRPr="00DD1C54">
        <w:t xml:space="preserve">) emissions from biomass burning </w:t>
      </w:r>
    </w:p>
    <w:p w14:paraId="445C8101" w14:textId="77777777" w:rsidR="006929CB" w:rsidRPr="00DD1C54" w:rsidRDefault="006929CB" w:rsidP="006929CB">
      <w:pPr>
        <w:pStyle w:val="Bullet"/>
        <w:spacing w:line="240" w:lineRule="auto"/>
      </w:pPr>
      <w:r w:rsidRPr="00DD1C54">
        <w:t>emissions associated with changes in soil carbon.</w:t>
      </w:r>
    </w:p>
    <w:p w14:paraId="2BCDE6F2" w14:textId="77777777" w:rsidR="006929CB" w:rsidRPr="00DD1C54" w:rsidRDefault="006929CB" w:rsidP="006929CB">
      <w:pPr>
        <w:pStyle w:val="BodyText"/>
      </w:pPr>
      <w:r w:rsidRPr="00DD1C54">
        <w:t xml:space="preserve">Net emissions from </w:t>
      </w:r>
      <w:r w:rsidRPr="00DD1C54">
        <w:rPr>
          <w:i/>
          <w:iCs/>
        </w:rPr>
        <w:t>Deforestation</w:t>
      </w:r>
      <w:r w:rsidRPr="00DD1C54">
        <w:t xml:space="preserve"> activities include: </w:t>
      </w:r>
    </w:p>
    <w:p w14:paraId="152194C1" w14:textId="77777777" w:rsidR="006929CB" w:rsidRPr="00DD1C54" w:rsidRDefault="006929CB" w:rsidP="006929CB">
      <w:pPr>
        <w:pStyle w:val="Bullet"/>
        <w:spacing w:line="240" w:lineRule="auto"/>
      </w:pPr>
      <w:r w:rsidRPr="00DD1C54">
        <w:t>emissions from deforestation of all forest land. This includes deforested pre-1990 planted forests, post-1989 forests and pre-1990 natural forests</w:t>
      </w:r>
    </w:p>
    <w:p w14:paraId="4454647D" w14:textId="77777777" w:rsidR="006929CB" w:rsidRPr="00DD1C54" w:rsidRDefault="006929CB" w:rsidP="006929CB">
      <w:pPr>
        <w:pStyle w:val="Bullet"/>
        <w:spacing w:line="240" w:lineRule="auto"/>
      </w:pPr>
      <w:r w:rsidRPr="00DD1C54">
        <w:rPr>
          <w:spacing w:val="-2"/>
        </w:rPr>
        <w:t>biomass and soil emissions and removals from the conversion of forest to another land use</w:t>
      </w:r>
      <w:r w:rsidRPr="00DD1C54">
        <w:t xml:space="preserve">. </w:t>
      </w:r>
    </w:p>
    <w:p w14:paraId="749FE7F9" w14:textId="77777777" w:rsidR="006929CB" w:rsidRPr="00DD1C54" w:rsidRDefault="006929CB" w:rsidP="006929CB">
      <w:pPr>
        <w:pStyle w:val="BodyText"/>
      </w:pPr>
      <w:r w:rsidRPr="00DD1C54">
        <w:t xml:space="preserve">Net emissions from </w:t>
      </w:r>
      <w:r w:rsidRPr="00DD1C54">
        <w:rPr>
          <w:i/>
        </w:rPr>
        <w:t>Forest</w:t>
      </w:r>
      <w:r w:rsidRPr="00DD1C54">
        <w:t xml:space="preserve"> </w:t>
      </w:r>
      <w:r w:rsidRPr="00DD1C54">
        <w:rPr>
          <w:i/>
        </w:rPr>
        <w:t>management</w:t>
      </w:r>
      <w:r w:rsidRPr="00DD1C54">
        <w:t> activities include:</w:t>
      </w:r>
    </w:p>
    <w:p w14:paraId="3593301F" w14:textId="77777777" w:rsidR="006929CB" w:rsidRPr="00DD1C54" w:rsidRDefault="006929CB" w:rsidP="006929CB">
      <w:pPr>
        <w:pStyle w:val="Bullet"/>
        <w:spacing w:line="240" w:lineRule="auto"/>
      </w:pPr>
      <w:r w:rsidRPr="00DD1C54">
        <w:t>net</w:t>
      </w:r>
      <w:r w:rsidRPr="00DD1C54" w:rsidDel="00E956D4">
        <w:t xml:space="preserve"> </w:t>
      </w:r>
      <w:r w:rsidRPr="00DD1C54">
        <w:t>emissions from the growth of forests that existed on 31 December 1989 that have not been deforested (pre-1990 forests)</w:t>
      </w:r>
    </w:p>
    <w:p w14:paraId="6AA9E80E" w14:textId="77777777" w:rsidR="006929CB" w:rsidRPr="00DD1C54" w:rsidRDefault="006929CB" w:rsidP="006929CB">
      <w:pPr>
        <w:pStyle w:val="Bullet"/>
        <w:spacing w:line="240" w:lineRule="auto"/>
      </w:pPr>
      <w:r w:rsidRPr="00DD1C54">
        <w:t>emissions from harvesting of pre-1990 forests</w:t>
      </w:r>
    </w:p>
    <w:p w14:paraId="13385647" w14:textId="77777777" w:rsidR="006929CB" w:rsidRPr="00DD1C54" w:rsidRDefault="006929CB" w:rsidP="006929CB">
      <w:pPr>
        <w:pStyle w:val="Bullet"/>
        <w:spacing w:line="240" w:lineRule="auto"/>
      </w:pPr>
      <w:r w:rsidRPr="00DD1C54" w:rsidDel="00766948">
        <w:t xml:space="preserve">emissions from </w:t>
      </w:r>
      <w:r w:rsidRPr="00DD1C54">
        <w:t xml:space="preserve">the decay of pre-1990 forest harvest residues </w:t>
      </w:r>
    </w:p>
    <w:p w14:paraId="73529890" w14:textId="77777777" w:rsidR="006929CB" w:rsidRPr="00DD1C54" w:rsidRDefault="006929CB" w:rsidP="006929CB">
      <w:pPr>
        <w:pStyle w:val="Bullet"/>
        <w:spacing w:line="240" w:lineRule="auto"/>
      </w:pPr>
      <w:r w:rsidRPr="00DD1C54">
        <w:t xml:space="preserve">emissions and removals from HWP derived from pre-1990 forests </w:t>
      </w:r>
    </w:p>
    <w:p w14:paraId="42B3C40C" w14:textId="77777777" w:rsidR="006929CB" w:rsidRPr="00DD1C54" w:rsidRDefault="006929CB" w:rsidP="006929CB">
      <w:pPr>
        <w:pStyle w:val="Bullet"/>
        <w:spacing w:line="240" w:lineRule="auto"/>
      </w:pPr>
      <w:r w:rsidRPr="00DD1C54">
        <w:t>CO</w:t>
      </w:r>
      <w:r w:rsidRPr="00403254">
        <w:rPr>
          <w:vertAlign w:val="subscript"/>
        </w:rPr>
        <w:t>2</w:t>
      </w:r>
      <w:r w:rsidRPr="00DD1C54">
        <w:t xml:space="preserve"> emissions from biomass burning </w:t>
      </w:r>
    </w:p>
    <w:p w14:paraId="0574E464" w14:textId="77777777" w:rsidR="006929CB" w:rsidRPr="00DD1C54" w:rsidRDefault="006929CB" w:rsidP="006929CB">
      <w:pPr>
        <w:pStyle w:val="Bullet"/>
        <w:spacing w:line="240" w:lineRule="auto"/>
      </w:pPr>
      <w:r w:rsidRPr="00DD1C54">
        <w:t xml:space="preserve">emissions from the drainage of managed soils on land classified under </w:t>
      </w:r>
      <w:r w:rsidRPr="00DD1C54">
        <w:rPr>
          <w:i/>
          <w:iCs/>
        </w:rPr>
        <w:t>Forest management</w:t>
      </w:r>
    </w:p>
    <w:p w14:paraId="706A969C" w14:textId="77777777" w:rsidR="006929CB" w:rsidRPr="00DD1C54" w:rsidRDefault="006929CB" w:rsidP="006929CB">
      <w:pPr>
        <w:pStyle w:val="Bullet"/>
        <w:spacing w:line="240" w:lineRule="auto"/>
      </w:pPr>
      <w:r w:rsidRPr="00DD1C54">
        <w:t>emissions associated with changes in soil carbon from the conversion between pre-1990 natural and planted forest types.</w:t>
      </w:r>
    </w:p>
    <w:p w14:paraId="4420C70C" w14:textId="77777777" w:rsidR="006929CB" w:rsidRPr="00DD1C54" w:rsidRDefault="006929CB" w:rsidP="006929CB">
      <w:pPr>
        <w:pStyle w:val="BodyText"/>
      </w:pPr>
      <w:r w:rsidRPr="00DD1C54">
        <w:t>Non-CO</w:t>
      </w:r>
      <w:r w:rsidRPr="00DD1C54">
        <w:rPr>
          <w:vertAlign w:val="subscript"/>
        </w:rPr>
        <w:t>2</w:t>
      </w:r>
      <w:r w:rsidRPr="00DD1C54">
        <w:t xml:space="preserve"> emissions are incorporated in the emissions totals for each activity and include:</w:t>
      </w:r>
    </w:p>
    <w:p w14:paraId="3880F240" w14:textId="77777777" w:rsidR="006929CB" w:rsidRPr="00DD1C54" w:rsidRDefault="006929CB" w:rsidP="006929CB">
      <w:pPr>
        <w:pStyle w:val="Bullet"/>
        <w:spacing w:line="240" w:lineRule="auto"/>
      </w:pPr>
      <w:r w:rsidRPr="00DD1C54">
        <w:t>emissions from biomass burning</w:t>
      </w:r>
    </w:p>
    <w:p w14:paraId="45DA4163" w14:textId="77777777" w:rsidR="006929CB" w:rsidRPr="00DD1C54" w:rsidRDefault="006929CB" w:rsidP="006929CB">
      <w:pPr>
        <w:pStyle w:val="Bullet"/>
        <w:spacing w:line="240" w:lineRule="auto"/>
      </w:pPr>
      <w:r w:rsidRPr="00DD1C54">
        <w:t xml:space="preserve">emissions from the mineralisation of soil nitrogen and the emissions from the drainage of managed soils associated with afforestation, reforestation or deforestation activities since 1990. </w:t>
      </w:r>
    </w:p>
    <w:p w14:paraId="610B5F62" w14:textId="35990DB8" w:rsidR="006929CB" w:rsidRPr="00DD1C54" w:rsidRDefault="006929CB" w:rsidP="006929CB">
      <w:pPr>
        <w:pStyle w:val="BodyText"/>
      </w:pPr>
      <w:r w:rsidRPr="00DD1C54">
        <w:t xml:space="preserve">Note that annual net emissions reported here are around 3 </w:t>
      </w:r>
      <w:r w:rsidR="0051480D">
        <w:t xml:space="preserve">million </w:t>
      </w:r>
      <w:r w:rsidRPr="00DD1C54">
        <w:t>tonnes (Mt) CO</w:t>
      </w:r>
      <w:r w:rsidRPr="00DD1C54">
        <w:rPr>
          <w:vertAlign w:val="subscript"/>
        </w:rPr>
        <w:t>2</w:t>
      </w:r>
      <w:r w:rsidRPr="00DD1C54">
        <w:t xml:space="preserve">e lower than the corresponding emissions reported in the </w:t>
      </w:r>
      <w:r w:rsidRPr="00DD1C54">
        <w:rPr>
          <w:i/>
          <w:iCs/>
        </w:rPr>
        <w:t>New Zealand Greenhouse Gas Inventory 1990–2022</w:t>
      </w:r>
      <w:r w:rsidRPr="00DD1C54">
        <w:t xml:space="preserve"> (Inventory 2024) (Ministry for the Environment, 2024). This is due to differences in </w:t>
      </w:r>
      <w:r w:rsidRPr="00DD1C54">
        <w:rPr>
          <w:spacing w:val="-2"/>
        </w:rPr>
        <w:t xml:space="preserve">what is reported in the HWP pool and what is accounted for. In the case of </w:t>
      </w:r>
      <w:r w:rsidRPr="00DD1C54">
        <w:rPr>
          <w:i/>
          <w:iCs/>
          <w:spacing w:val="-2"/>
        </w:rPr>
        <w:t>Forest management</w:t>
      </w:r>
      <w:r w:rsidRPr="00DD1C54">
        <w:rPr>
          <w:spacing w:val="-2"/>
        </w:rPr>
        <w:t>,</w:t>
      </w:r>
      <w:r w:rsidRPr="00DD1C54">
        <w:t xml:space="preserve"> emissions from HWP originating from forests harvested before 2013 are excluded as are the HWP derived from wood originating from </w:t>
      </w:r>
      <w:r w:rsidRPr="00DD1C54">
        <w:rPr>
          <w:i/>
          <w:iCs/>
        </w:rPr>
        <w:t>Deforestation</w:t>
      </w:r>
      <w:r w:rsidRPr="00DD1C54">
        <w:t xml:space="preserve"> activities. This is in line with the 2013 </w:t>
      </w:r>
      <w:r w:rsidRPr="00DD1C54">
        <w:rPr>
          <w:spacing w:val="-2"/>
        </w:rPr>
        <w:t xml:space="preserve">Kyoto Protocol Supplement (IPCC, 2014). For further information, see </w:t>
      </w:r>
      <w:hyperlink w:anchor="sectionA235" w:history="1">
        <w:r w:rsidRPr="005935A6">
          <w:rPr>
            <w:rStyle w:val="Hyperlink"/>
            <w:spacing w:val="-2"/>
          </w:rPr>
          <w:t>section A2.3.5</w:t>
        </w:r>
      </w:hyperlink>
      <w:r w:rsidRPr="00DD1C54">
        <w:rPr>
          <w:spacing w:val="-2"/>
        </w:rPr>
        <w:t>.</w:t>
      </w:r>
    </w:p>
    <w:p w14:paraId="0C572C70" w14:textId="77777777" w:rsidR="006929CB" w:rsidRPr="00DD1C54" w:rsidRDefault="006929CB" w:rsidP="00547E45">
      <w:pPr>
        <w:pStyle w:val="Heading4"/>
      </w:pPr>
      <w:r w:rsidRPr="00DD1C54">
        <w:t>New Zealand’s net greenhouse gas emissions by gas type for each </w:t>
      </w:r>
      <w:r w:rsidRPr="00547E45">
        <w:t>LULUCF</w:t>
      </w:r>
      <w:r w:rsidRPr="00DD1C54">
        <w:t xml:space="preserve"> activity for the period reported to date </w:t>
      </w:r>
    </w:p>
    <w:p w14:paraId="07508581" w14:textId="48C79DB0" w:rsidR="006929CB" w:rsidRPr="00DD1C54" w:rsidRDefault="006929CB" w:rsidP="006929CB">
      <w:pPr>
        <w:pStyle w:val="BodyText"/>
      </w:pPr>
      <w:hyperlink w:anchor="tableA22" w:history="1">
        <w:r w:rsidRPr="00F54A83">
          <w:rPr>
            <w:rStyle w:val="Hyperlink"/>
          </w:rPr>
          <w:t>Table A2.2</w:t>
        </w:r>
      </w:hyperlink>
      <w:r w:rsidRPr="00DD1C54">
        <w:t xml:space="preserve"> provides a breakdown of New Zealand’s net emissions for 2021 and 2022, by greenhouse gas type for the LULUCF activities accounted for towards New Zealand’s NDC1. Note these are not the accounting quantities for these activities, which are presented in </w:t>
      </w:r>
      <w:hyperlink w:anchor="tableA23" w:history="1">
        <w:r w:rsidRPr="00F54A83">
          <w:rPr>
            <w:rStyle w:val="Hyperlink"/>
          </w:rPr>
          <w:t>table A2.3</w:t>
        </w:r>
      </w:hyperlink>
      <w:r w:rsidRPr="00DD1C54">
        <w:t>.</w:t>
      </w:r>
    </w:p>
    <w:p w14:paraId="371E5DE9" w14:textId="671849C6" w:rsidR="006929CB" w:rsidRPr="00DD1C54" w:rsidRDefault="006929CB" w:rsidP="006929CB">
      <w:pPr>
        <w:pStyle w:val="Tableheading"/>
      </w:pPr>
      <w:bookmarkStart w:id="996" w:name="tableA22"/>
      <w:bookmarkStart w:id="997" w:name="_Toc182311694"/>
      <w:bookmarkStart w:id="998" w:name="_Toc185407529"/>
      <w:bookmarkStart w:id="999" w:name="_Toc185427792"/>
      <w:r w:rsidRPr="00DD1C54">
        <w:t>Table A2.2</w:t>
      </w:r>
      <w:bookmarkEnd w:id="996"/>
      <w:r w:rsidRPr="00DD1C54">
        <w:t>:</w:t>
      </w:r>
      <w:r w:rsidRPr="00DD1C54">
        <w:tab/>
        <w:t>Net emissions (kilotonnes (kt)) for each activity by greenhouse gas, and their carbon dioxide equivalent (CO</w:t>
      </w:r>
      <w:r w:rsidRPr="00DD1C54">
        <w:rPr>
          <w:vertAlign w:val="subscript"/>
        </w:rPr>
        <w:t>2</w:t>
      </w:r>
      <w:r w:rsidRPr="00DD1C54">
        <w:t>e) for the 1 January 2021 to 31</w:t>
      </w:r>
      <w:r w:rsidR="00B763DD">
        <w:rPr>
          <w:rStyle w:val="CommentReference"/>
          <w:b w:val="0"/>
        </w:rPr>
        <w:t> </w:t>
      </w:r>
      <w:r w:rsidRPr="00DD1C54">
        <w:t>December 2022 period</w:t>
      </w:r>
      <w:bookmarkEnd w:id="997"/>
      <w:bookmarkEnd w:id="998"/>
      <w:bookmarkEnd w:id="999"/>
      <w:r w:rsidRPr="00DD1C54">
        <w:t xml:space="preserve"> </w:t>
      </w:r>
    </w:p>
    <w:tbl>
      <w:tblPr>
        <w:tblW w:w="8504" w:type="dxa"/>
        <w:tblBorders>
          <w:top w:val="single" w:sz="4" w:space="0" w:color="1B556B"/>
          <w:bottom w:val="single" w:sz="4" w:space="0" w:color="1B556B"/>
          <w:insideH w:val="single" w:sz="4" w:space="0" w:color="1B556B"/>
          <w:insideV w:val="single" w:sz="4" w:space="0" w:color="1B556B"/>
        </w:tblBorders>
        <w:tblLayout w:type="fixed"/>
        <w:tblCellMar>
          <w:left w:w="85" w:type="dxa"/>
          <w:right w:w="85" w:type="dxa"/>
        </w:tblCellMar>
        <w:tblLook w:val="0420" w:firstRow="1" w:lastRow="0" w:firstColumn="0" w:lastColumn="0" w:noHBand="0" w:noVBand="1"/>
      </w:tblPr>
      <w:tblGrid>
        <w:gridCol w:w="4678"/>
        <w:gridCol w:w="991"/>
        <w:gridCol w:w="1556"/>
        <w:gridCol w:w="1279"/>
      </w:tblGrid>
      <w:tr w:rsidR="006929CB" w:rsidRPr="0018630D" w14:paraId="1F750EAC" w14:textId="77777777" w:rsidTr="0018630D">
        <w:trPr>
          <w:tblHeader/>
        </w:trPr>
        <w:tc>
          <w:tcPr>
            <w:tcW w:w="4678" w:type="dxa"/>
            <w:shd w:val="clear" w:color="auto" w:fill="1B556B"/>
          </w:tcPr>
          <w:p w14:paraId="23058864" w14:textId="77777777" w:rsidR="006929CB" w:rsidRPr="0018630D" w:rsidRDefault="006929CB">
            <w:pPr>
              <w:pStyle w:val="TableTextbold"/>
              <w:rPr>
                <w:szCs w:val="18"/>
              </w:rPr>
            </w:pPr>
          </w:p>
        </w:tc>
        <w:tc>
          <w:tcPr>
            <w:tcW w:w="3826" w:type="dxa"/>
            <w:gridSpan w:val="3"/>
            <w:shd w:val="clear" w:color="auto" w:fill="1B556B"/>
          </w:tcPr>
          <w:p w14:paraId="264E2884" w14:textId="77777777" w:rsidR="006929CB" w:rsidRPr="0018630D" w:rsidRDefault="006929CB">
            <w:pPr>
              <w:pStyle w:val="TableTextbold"/>
              <w:jc w:val="center"/>
              <w:rPr>
                <w:szCs w:val="18"/>
              </w:rPr>
            </w:pPr>
            <w:r w:rsidRPr="0018630D">
              <w:rPr>
                <w:rFonts w:eastAsia="Calibri" w:cs="Calibri"/>
                <w:color w:val="FFFFFF"/>
                <w:szCs w:val="18"/>
              </w:rPr>
              <w:t>Net emissions for 1 Jan 2021–31 Dec 2022 (kt)</w:t>
            </w:r>
          </w:p>
        </w:tc>
      </w:tr>
      <w:tr w:rsidR="006929CB" w:rsidRPr="0018630D" w14:paraId="19E41DCF" w14:textId="77777777" w:rsidTr="0018630D">
        <w:trPr>
          <w:tblHeader/>
        </w:trPr>
        <w:tc>
          <w:tcPr>
            <w:tcW w:w="4678" w:type="dxa"/>
            <w:shd w:val="clear" w:color="auto" w:fill="1B556B"/>
          </w:tcPr>
          <w:p w14:paraId="68C0913B" w14:textId="77777777" w:rsidR="006929CB" w:rsidRPr="0018630D" w:rsidRDefault="006929CB">
            <w:pPr>
              <w:pStyle w:val="TableTextbold"/>
              <w:keepNext/>
              <w:spacing w:before="0"/>
              <w:rPr>
                <w:szCs w:val="18"/>
              </w:rPr>
            </w:pPr>
            <w:r w:rsidRPr="0018630D">
              <w:rPr>
                <w:rFonts w:eastAsia="Calibri" w:cs="Calibri"/>
                <w:color w:val="FFFFFF"/>
                <w:szCs w:val="18"/>
              </w:rPr>
              <w:t>Greenhouse gas by activity</w:t>
            </w:r>
          </w:p>
        </w:tc>
        <w:tc>
          <w:tcPr>
            <w:tcW w:w="991" w:type="dxa"/>
            <w:shd w:val="clear" w:color="auto" w:fill="1B556B"/>
          </w:tcPr>
          <w:p w14:paraId="3E907FD7" w14:textId="77777777" w:rsidR="006929CB" w:rsidRPr="0018630D" w:rsidRDefault="006929CB">
            <w:pPr>
              <w:pStyle w:val="TableTextbold"/>
              <w:keepNext/>
              <w:spacing w:before="0"/>
              <w:jc w:val="right"/>
              <w:rPr>
                <w:szCs w:val="18"/>
              </w:rPr>
            </w:pPr>
            <w:r w:rsidRPr="0018630D">
              <w:rPr>
                <w:rFonts w:eastAsia="Calibri" w:cs="Calibri"/>
                <w:color w:val="FFFFFF"/>
                <w:szCs w:val="18"/>
              </w:rPr>
              <w:t>Gas</w:t>
            </w:r>
          </w:p>
        </w:tc>
        <w:tc>
          <w:tcPr>
            <w:tcW w:w="1556" w:type="dxa"/>
            <w:shd w:val="clear" w:color="auto" w:fill="1B556B"/>
          </w:tcPr>
          <w:p w14:paraId="48853B2A" w14:textId="77777777" w:rsidR="006929CB" w:rsidRPr="0018630D" w:rsidRDefault="006929CB">
            <w:pPr>
              <w:pStyle w:val="TableTextbold"/>
              <w:keepNext/>
              <w:spacing w:before="0"/>
              <w:jc w:val="right"/>
              <w:rPr>
                <w:szCs w:val="18"/>
              </w:rPr>
            </w:pPr>
            <w:r w:rsidRPr="0018630D">
              <w:rPr>
                <w:rFonts w:eastAsia="Calibri" w:cs="Calibri"/>
                <w:color w:val="FFFFFF"/>
                <w:szCs w:val="18"/>
              </w:rPr>
              <w:t>Net emissions</w:t>
            </w:r>
          </w:p>
        </w:tc>
        <w:tc>
          <w:tcPr>
            <w:tcW w:w="1279" w:type="dxa"/>
            <w:shd w:val="clear" w:color="auto" w:fill="1B556B"/>
          </w:tcPr>
          <w:p w14:paraId="3A3B8EDA" w14:textId="77777777" w:rsidR="006929CB" w:rsidRPr="0018630D" w:rsidRDefault="006929CB">
            <w:pPr>
              <w:pStyle w:val="TableTextbold"/>
              <w:keepNext/>
              <w:spacing w:before="0"/>
              <w:jc w:val="right"/>
              <w:rPr>
                <w:szCs w:val="18"/>
              </w:rPr>
            </w:pPr>
            <w:r w:rsidRPr="0018630D">
              <w:rPr>
                <w:rFonts w:eastAsia="Calibri" w:cs="Calibri"/>
                <w:color w:val="FFFFFF"/>
                <w:szCs w:val="18"/>
              </w:rPr>
              <w:t>Total</w:t>
            </w:r>
            <w:r w:rsidRPr="0018630D" w:rsidDel="005E07AB">
              <w:rPr>
                <w:rFonts w:eastAsia="Calibri" w:cs="Calibri"/>
                <w:color w:val="FFFFFF"/>
                <w:szCs w:val="18"/>
              </w:rPr>
              <w:t xml:space="preserve"> </w:t>
            </w:r>
            <w:r w:rsidRPr="0018630D">
              <w:rPr>
                <w:rFonts w:eastAsia="Calibri" w:cs="Calibri"/>
                <w:color w:val="FFFFFF"/>
                <w:szCs w:val="18"/>
              </w:rPr>
              <w:t>CO</w:t>
            </w:r>
            <w:r w:rsidRPr="0018630D">
              <w:rPr>
                <w:rFonts w:eastAsia="Calibri" w:cs="Calibri"/>
                <w:color w:val="FFFFFF"/>
                <w:szCs w:val="18"/>
                <w:vertAlign w:val="subscript"/>
              </w:rPr>
              <w:t>2</w:t>
            </w:r>
            <w:r w:rsidRPr="0018630D">
              <w:rPr>
                <w:rFonts w:eastAsia="Calibri" w:cs="Calibri"/>
                <w:color w:val="FFFFFF"/>
                <w:szCs w:val="18"/>
              </w:rPr>
              <w:t>e</w:t>
            </w:r>
          </w:p>
        </w:tc>
      </w:tr>
      <w:tr w:rsidR="006929CB" w:rsidRPr="0018630D" w14:paraId="794943DF" w14:textId="77777777" w:rsidTr="0018630D">
        <w:trPr>
          <w:trHeight w:val="283"/>
        </w:trPr>
        <w:tc>
          <w:tcPr>
            <w:tcW w:w="4678" w:type="dxa"/>
            <w:shd w:val="clear" w:color="auto" w:fill="FFFFFF"/>
          </w:tcPr>
          <w:p w14:paraId="5F585528" w14:textId="77777777" w:rsidR="006929CB" w:rsidRPr="0018630D" w:rsidRDefault="006929CB" w:rsidP="003B705F">
            <w:pPr>
              <w:pStyle w:val="TableText"/>
              <w:keepNext/>
              <w:spacing w:before="40" w:after="40"/>
              <w:rPr>
                <w:szCs w:val="18"/>
              </w:rPr>
            </w:pPr>
            <w:r w:rsidRPr="0018630D">
              <w:rPr>
                <w:rFonts w:eastAsia="Calibri"/>
                <w:szCs w:val="18"/>
              </w:rPr>
              <w:t>Emissions from Afforestation and reforestation</w:t>
            </w:r>
          </w:p>
        </w:tc>
        <w:tc>
          <w:tcPr>
            <w:tcW w:w="991" w:type="dxa"/>
            <w:shd w:val="clear" w:color="auto" w:fill="FFFFFF"/>
          </w:tcPr>
          <w:p w14:paraId="5AC7B9E5" w14:textId="77777777" w:rsidR="006929CB" w:rsidRPr="0018630D" w:rsidRDefault="006929CB" w:rsidP="003B705F">
            <w:pPr>
              <w:pStyle w:val="TableText"/>
              <w:keepNext/>
              <w:spacing w:before="40" w:after="40"/>
              <w:jc w:val="right"/>
              <w:rPr>
                <w:szCs w:val="18"/>
              </w:rPr>
            </w:pPr>
            <w:r w:rsidRPr="0018630D">
              <w:rPr>
                <w:rFonts w:eastAsia="Calibri"/>
                <w:szCs w:val="18"/>
              </w:rPr>
              <w:t>CO</w:t>
            </w:r>
            <w:r w:rsidRPr="0018630D">
              <w:rPr>
                <w:rFonts w:eastAsia="Calibri"/>
                <w:szCs w:val="18"/>
                <w:vertAlign w:val="subscript"/>
              </w:rPr>
              <w:t>2</w:t>
            </w:r>
          </w:p>
        </w:tc>
        <w:tc>
          <w:tcPr>
            <w:tcW w:w="1556" w:type="dxa"/>
            <w:shd w:val="clear" w:color="auto" w:fill="FFFFFF"/>
          </w:tcPr>
          <w:p w14:paraId="3B336247" w14:textId="77777777" w:rsidR="006929CB" w:rsidRPr="0018630D" w:rsidRDefault="006929CB" w:rsidP="003B705F">
            <w:pPr>
              <w:pStyle w:val="TableText"/>
              <w:keepNext/>
              <w:spacing w:before="40" w:after="40"/>
              <w:jc w:val="right"/>
              <w:rPr>
                <w:szCs w:val="18"/>
              </w:rPr>
            </w:pPr>
            <w:r w:rsidRPr="0018630D">
              <w:rPr>
                <w:rFonts w:eastAsia="Calibri"/>
                <w:szCs w:val="18"/>
              </w:rPr>
              <w:t>–19,638.4</w:t>
            </w:r>
          </w:p>
        </w:tc>
        <w:tc>
          <w:tcPr>
            <w:tcW w:w="1279" w:type="dxa"/>
            <w:shd w:val="clear" w:color="auto" w:fill="FFFFFF"/>
          </w:tcPr>
          <w:p w14:paraId="3D4E20B3" w14:textId="77777777" w:rsidR="006929CB" w:rsidRPr="0018630D" w:rsidRDefault="006929CB" w:rsidP="003B705F">
            <w:pPr>
              <w:pStyle w:val="TableText"/>
              <w:keepNext/>
              <w:spacing w:before="40" w:after="40"/>
              <w:jc w:val="right"/>
              <w:rPr>
                <w:szCs w:val="18"/>
              </w:rPr>
            </w:pPr>
            <w:r w:rsidRPr="0018630D">
              <w:rPr>
                <w:rFonts w:eastAsia="Calibri"/>
                <w:szCs w:val="18"/>
              </w:rPr>
              <w:t>–19,638.4</w:t>
            </w:r>
          </w:p>
        </w:tc>
      </w:tr>
      <w:tr w:rsidR="006929CB" w:rsidRPr="0018630D" w14:paraId="2E386A2A" w14:textId="77777777" w:rsidTr="0018630D">
        <w:trPr>
          <w:trHeight w:val="283"/>
        </w:trPr>
        <w:tc>
          <w:tcPr>
            <w:tcW w:w="4678" w:type="dxa"/>
            <w:shd w:val="clear" w:color="auto" w:fill="FFFFFF"/>
          </w:tcPr>
          <w:p w14:paraId="0ABDC1D8" w14:textId="77777777" w:rsidR="006929CB" w:rsidRPr="0018630D" w:rsidRDefault="006929CB" w:rsidP="003B705F">
            <w:pPr>
              <w:pStyle w:val="TableText"/>
              <w:keepNext/>
              <w:spacing w:before="40" w:after="40"/>
              <w:rPr>
                <w:szCs w:val="18"/>
              </w:rPr>
            </w:pPr>
            <w:r w:rsidRPr="0018630D">
              <w:rPr>
                <w:rFonts w:eastAsia="Calibri"/>
                <w:szCs w:val="18"/>
              </w:rPr>
              <w:t>Emissions from Deforestation</w:t>
            </w:r>
          </w:p>
        </w:tc>
        <w:tc>
          <w:tcPr>
            <w:tcW w:w="991" w:type="dxa"/>
            <w:shd w:val="clear" w:color="auto" w:fill="FFFFFF"/>
          </w:tcPr>
          <w:p w14:paraId="2CC22A73" w14:textId="77777777" w:rsidR="006929CB" w:rsidRPr="0018630D" w:rsidRDefault="006929CB" w:rsidP="003B705F">
            <w:pPr>
              <w:pStyle w:val="TableText"/>
              <w:keepNext/>
              <w:spacing w:before="40" w:after="40"/>
              <w:jc w:val="right"/>
              <w:rPr>
                <w:szCs w:val="18"/>
              </w:rPr>
            </w:pPr>
            <w:r w:rsidRPr="0018630D">
              <w:rPr>
                <w:rFonts w:eastAsia="Calibri"/>
                <w:szCs w:val="18"/>
              </w:rPr>
              <w:t>CO</w:t>
            </w:r>
            <w:r w:rsidRPr="0018630D">
              <w:rPr>
                <w:rFonts w:eastAsia="Calibri"/>
                <w:szCs w:val="18"/>
                <w:vertAlign w:val="subscript"/>
              </w:rPr>
              <w:t>2</w:t>
            </w:r>
          </w:p>
        </w:tc>
        <w:tc>
          <w:tcPr>
            <w:tcW w:w="1556" w:type="dxa"/>
            <w:shd w:val="clear" w:color="auto" w:fill="FFFFFF"/>
          </w:tcPr>
          <w:p w14:paraId="2FE35359" w14:textId="77777777" w:rsidR="006929CB" w:rsidRPr="0018630D" w:rsidRDefault="006929CB" w:rsidP="003B705F">
            <w:pPr>
              <w:pStyle w:val="TableText"/>
              <w:keepNext/>
              <w:spacing w:before="40" w:after="40"/>
              <w:jc w:val="right"/>
              <w:rPr>
                <w:szCs w:val="18"/>
              </w:rPr>
            </w:pPr>
            <w:r w:rsidRPr="0018630D">
              <w:rPr>
                <w:rFonts w:eastAsia="Calibri"/>
                <w:szCs w:val="18"/>
              </w:rPr>
              <w:t>5,565.9</w:t>
            </w:r>
          </w:p>
        </w:tc>
        <w:tc>
          <w:tcPr>
            <w:tcW w:w="1279" w:type="dxa"/>
            <w:shd w:val="clear" w:color="auto" w:fill="FFFFFF"/>
          </w:tcPr>
          <w:p w14:paraId="3F014171" w14:textId="77777777" w:rsidR="006929CB" w:rsidRPr="0018630D" w:rsidRDefault="006929CB" w:rsidP="003B705F">
            <w:pPr>
              <w:pStyle w:val="TableText"/>
              <w:keepNext/>
              <w:spacing w:before="40" w:after="40"/>
              <w:jc w:val="right"/>
              <w:rPr>
                <w:szCs w:val="18"/>
              </w:rPr>
            </w:pPr>
            <w:r w:rsidRPr="0018630D">
              <w:rPr>
                <w:rFonts w:eastAsia="Calibri"/>
                <w:szCs w:val="18"/>
              </w:rPr>
              <w:t>5,565.9</w:t>
            </w:r>
          </w:p>
        </w:tc>
      </w:tr>
      <w:tr w:rsidR="006929CB" w:rsidRPr="0018630D" w14:paraId="56229EC0" w14:textId="77777777" w:rsidTr="0018630D">
        <w:trPr>
          <w:trHeight w:val="283"/>
        </w:trPr>
        <w:tc>
          <w:tcPr>
            <w:tcW w:w="4678" w:type="dxa"/>
            <w:shd w:val="clear" w:color="auto" w:fill="FFFFFF"/>
          </w:tcPr>
          <w:p w14:paraId="454D8621" w14:textId="77777777" w:rsidR="006929CB" w:rsidRPr="0018630D" w:rsidRDefault="006929CB" w:rsidP="003B705F">
            <w:pPr>
              <w:pStyle w:val="TableText"/>
              <w:keepNext/>
              <w:spacing w:before="40" w:after="40"/>
              <w:rPr>
                <w:szCs w:val="18"/>
              </w:rPr>
            </w:pPr>
            <w:r w:rsidRPr="0018630D">
              <w:rPr>
                <w:rFonts w:eastAsia="Calibri"/>
                <w:szCs w:val="18"/>
              </w:rPr>
              <w:t>Emissions from Forest management</w:t>
            </w:r>
          </w:p>
        </w:tc>
        <w:tc>
          <w:tcPr>
            <w:tcW w:w="991" w:type="dxa"/>
            <w:shd w:val="clear" w:color="auto" w:fill="FFFFFF"/>
          </w:tcPr>
          <w:p w14:paraId="4A1F74A8" w14:textId="77777777" w:rsidR="006929CB" w:rsidRPr="0018630D" w:rsidRDefault="006929CB" w:rsidP="003B705F">
            <w:pPr>
              <w:pStyle w:val="TableText"/>
              <w:keepNext/>
              <w:spacing w:before="40" w:after="40"/>
              <w:jc w:val="right"/>
              <w:rPr>
                <w:szCs w:val="18"/>
              </w:rPr>
            </w:pPr>
            <w:r w:rsidRPr="0018630D">
              <w:rPr>
                <w:rFonts w:eastAsia="Calibri"/>
                <w:szCs w:val="18"/>
              </w:rPr>
              <w:t>CO</w:t>
            </w:r>
            <w:r w:rsidRPr="0018630D">
              <w:rPr>
                <w:rFonts w:eastAsia="Calibri"/>
                <w:szCs w:val="18"/>
                <w:vertAlign w:val="subscript"/>
              </w:rPr>
              <w:t>2</w:t>
            </w:r>
          </w:p>
        </w:tc>
        <w:tc>
          <w:tcPr>
            <w:tcW w:w="1556" w:type="dxa"/>
            <w:shd w:val="clear" w:color="auto" w:fill="FFFFFF"/>
          </w:tcPr>
          <w:p w14:paraId="33CB349D" w14:textId="77777777" w:rsidR="006929CB" w:rsidRPr="0018630D" w:rsidRDefault="006929CB" w:rsidP="003B705F">
            <w:pPr>
              <w:pStyle w:val="TableText"/>
              <w:keepNext/>
              <w:spacing w:before="40" w:after="40"/>
              <w:jc w:val="right"/>
              <w:rPr>
                <w:szCs w:val="18"/>
              </w:rPr>
            </w:pPr>
            <w:r w:rsidRPr="0018630D">
              <w:rPr>
                <w:rFonts w:eastAsia="Calibri"/>
                <w:szCs w:val="18"/>
              </w:rPr>
              <w:t>–36,949.4</w:t>
            </w:r>
          </w:p>
        </w:tc>
        <w:tc>
          <w:tcPr>
            <w:tcW w:w="1279" w:type="dxa"/>
            <w:shd w:val="clear" w:color="auto" w:fill="FFFFFF"/>
          </w:tcPr>
          <w:p w14:paraId="15AE2DE0" w14:textId="77777777" w:rsidR="006929CB" w:rsidRPr="0018630D" w:rsidRDefault="006929CB" w:rsidP="003B705F">
            <w:pPr>
              <w:pStyle w:val="TableText"/>
              <w:keepNext/>
              <w:spacing w:before="40" w:after="40"/>
              <w:jc w:val="right"/>
              <w:rPr>
                <w:szCs w:val="18"/>
              </w:rPr>
            </w:pPr>
            <w:r w:rsidRPr="0018630D">
              <w:rPr>
                <w:rFonts w:eastAsia="Calibri"/>
                <w:szCs w:val="18"/>
              </w:rPr>
              <w:t>–36,949.4</w:t>
            </w:r>
          </w:p>
        </w:tc>
      </w:tr>
      <w:tr w:rsidR="006929CB" w:rsidRPr="0018630D" w14:paraId="104B52B5" w14:textId="77777777" w:rsidTr="0018630D">
        <w:trPr>
          <w:trHeight w:val="283"/>
        </w:trPr>
        <w:tc>
          <w:tcPr>
            <w:tcW w:w="4678" w:type="dxa"/>
            <w:shd w:val="clear" w:color="auto" w:fill="FFFFFF"/>
          </w:tcPr>
          <w:p w14:paraId="09310452" w14:textId="77777777" w:rsidR="006929CB" w:rsidRPr="0018630D" w:rsidRDefault="006929CB" w:rsidP="003B705F">
            <w:pPr>
              <w:pStyle w:val="TableText"/>
              <w:keepNext/>
              <w:spacing w:before="40" w:after="40"/>
              <w:rPr>
                <w:szCs w:val="18"/>
              </w:rPr>
            </w:pPr>
            <w:r w:rsidRPr="0018630D">
              <w:rPr>
                <w:rFonts w:eastAsia="Calibri"/>
                <w:szCs w:val="18"/>
              </w:rPr>
              <w:t>Emissions from soil nitrogen associated with land-use change</w:t>
            </w:r>
          </w:p>
        </w:tc>
        <w:tc>
          <w:tcPr>
            <w:tcW w:w="991" w:type="dxa"/>
            <w:shd w:val="clear" w:color="auto" w:fill="FFFFFF"/>
          </w:tcPr>
          <w:p w14:paraId="387F65BA" w14:textId="77777777" w:rsidR="006929CB" w:rsidRPr="0018630D" w:rsidRDefault="006929CB" w:rsidP="003B705F">
            <w:pPr>
              <w:pStyle w:val="TableText"/>
              <w:keepNext/>
              <w:spacing w:before="40" w:after="40"/>
              <w:jc w:val="right"/>
              <w:rPr>
                <w:szCs w:val="18"/>
              </w:rPr>
            </w:pPr>
            <w:r w:rsidRPr="0018630D">
              <w:rPr>
                <w:rFonts w:eastAsia="Calibri"/>
                <w:szCs w:val="18"/>
              </w:rPr>
              <w:t>N</w:t>
            </w:r>
            <w:r w:rsidRPr="0018630D">
              <w:rPr>
                <w:rFonts w:eastAsia="Calibri"/>
                <w:szCs w:val="18"/>
                <w:vertAlign w:val="subscript"/>
              </w:rPr>
              <w:t>2</w:t>
            </w:r>
            <w:r w:rsidRPr="0018630D">
              <w:rPr>
                <w:rFonts w:eastAsia="Calibri"/>
                <w:szCs w:val="18"/>
              </w:rPr>
              <w:t>O</w:t>
            </w:r>
          </w:p>
        </w:tc>
        <w:tc>
          <w:tcPr>
            <w:tcW w:w="1556" w:type="dxa"/>
            <w:shd w:val="clear" w:color="auto" w:fill="FFFFFF"/>
          </w:tcPr>
          <w:p w14:paraId="0A6E634B" w14:textId="77777777" w:rsidR="006929CB" w:rsidRPr="0018630D" w:rsidRDefault="006929CB" w:rsidP="003B705F">
            <w:pPr>
              <w:pStyle w:val="TableText"/>
              <w:keepNext/>
              <w:spacing w:before="40" w:after="40"/>
              <w:jc w:val="right"/>
              <w:rPr>
                <w:szCs w:val="18"/>
              </w:rPr>
            </w:pPr>
            <w:r w:rsidRPr="0018630D">
              <w:rPr>
                <w:rFonts w:eastAsia="Calibri"/>
                <w:szCs w:val="18"/>
              </w:rPr>
              <w:t>1.2</w:t>
            </w:r>
          </w:p>
        </w:tc>
        <w:tc>
          <w:tcPr>
            <w:tcW w:w="1279" w:type="dxa"/>
            <w:shd w:val="clear" w:color="auto" w:fill="FFFFFF"/>
          </w:tcPr>
          <w:p w14:paraId="47E3FC1A" w14:textId="77777777" w:rsidR="006929CB" w:rsidRPr="0018630D" w:rsidRDefault="006929CB" w:rsidP="003B705F">
            <w:pPr>
              <w:pStyle w:val="TableText"/>
              <w:keepNext/>
              <w:spacing w:before="40" w:after="40"/>
              <w:jc w:val="right"/>
              <w:rPr>
                <w:szCs w:val="18"/>
              </w:rPr>
            </w:pPr>
            <w:r w:rsidRPr="0018630D">
              <w:rPr>
                <w:rFonts w:eastAsia="Calibri"/>
                <w:szCs w:val="18"/>
              </w:rPr>
              <w:t>327.4</w:t>
            </w:r>
          </w:p>
        </w:tc>
      </w:tr>
      <w:tr w:rsidR="006929CB" w:rsidRPr="0018630D" w14:paraId="72870331" w14:textId="77777777" w:rsidTr="0018630D">
        <w:trPr>
          <w:trHeight w:val="283"/>
        </w:trPr>
        <w:tc>
          <w:tcPr>
            <w:tcW w:w="4678" w:type="dxa"/>
            <w:shd w:val="clear" w:color="auto" w:fill="FFFFFF"/>
          </w:tcPr>
          <w:p w14:paraId="34B09464" w14:textId="77777777" w:rsidR="006929CB" w:rsidRPr="0018630D" w:rsidRDefault="006929CB" w:rsidP="003B705F">
            <w:pPr>
              <w:pStyle w:val="TableText"/>
              <w:spacing w:before="40" w:after="40"/>
              <w:rPr>
                <w:szCs w:val="18"/>
              </w:rPr>
            </w:pPr>
            <w:r w:rsidRPr="0018630D">
              <w:rPr>
                <w:rFonts w:eastAsia="Calibri"/>
                <w:szCs w:val="18"/>
              </w:rPr>
              <w:t>Biomass burning</w:t>
            </w:r>
          </w:p>
        </w:tc>
        <w:tc>
          <w:tcPr>
            <w:tcW w:w="991" w:type="dxa"/>
            <w:shd w:val="clear" w:color="auto" w:fill="FFFFFF"/>
          </w:tcPr>
          <w:p w14:paraId="7539815D" w14:textId="77777777" w:rsidR="006929CB" w:rsidRPr="0018630D" w:rsidRDefault="006929CB" w:rsidP="003B705F">
            <w:pPr>
              <w:pStyle w:val="TableText"/>
              <w:spacing w:before="40" w:after="40"/>
              <w:jc w:val="right"/>
              <w:rPr>
                <w:szCs w:val="18"/>
              </w:rPr>
            </w:pPr>
            <w:r w:rsidRPr="0018630D">
              <w:rPr>
                <w:rFonts w:eastAsia="Calibri"/>
                <w:szCs w:val="18"/>
              </w:rPr>
              <w:t>CH</w:t>
            </w:r>
            <w:r w:rsidRPr="0018630D">
              <w:rPr>
                <w:rFonts w:eastAsia="Calibri"/>
                <w:szCs w:val="18"/>
                <w:vertAlign w:val="subscript"/>
              </w:rPr>
              <w:t>4</w:t>
            </w:r>
          </w:p>
        </w:tc>
        <w:tc>
          <w:tcPr>
            <w:tcW w:w="1556" w:type="dxa"/>
            <w:shd w:val="clear" w:color="auto" w:fill="FFFFFF"/>
          </w:tcPr>
          <w:p w14:paraId="3A24C01A" w14:textId="77777777" w:rsidR="006929CB" w:rsidRPr="0018630D" w:rsidRDefault="006929CB" w:rsidP="003B705F">
            <w:pPr>
              <w:pStyle w:val="TableText"/>
              <w:spacing w:before="40" w:after="40"/>
              <w:jc w:val="right"/>
              <w:rPr>
                <w:szCs w:val="18"/>
              </w:rPr>
            </w:pPr>
            <w:r w:rsidRPr="0018630D">
              <w:rPr>
                <w:rFonts w:eastAsia="Calibri"/>
                <w:szCs w:val="18"/>
              </w:rPr>
              <w:t>2.0</w:t>
            </w:r>
          </w:p>
        </w:tc>
        <w:tc>
          <w:tcPr>
            <w:tcW w:w="1279" w:type="dxa"/>
            <w:shd w:val="clear" w:color="auto" w:fill="FFFFFF"/>
          </w:tcPr>
          <w:p w14:paraId="2EEA6DE7" w14:textId="77777777" w:rsidR="006929CB" w:rsidRPr="0018630D" w:rsidRDefault="006929CB" w:rsidP="003B705F">
            <w:pPr>
              <w:pStyle w:val="TableText"/>
              <w:spacing w:before="40" w:after="40"/>
              <w:jc w:val="right"/>
              <w:rPr>
                <w:szCs w:val="18"/>
              </w:rPr>
            </w:pPr>
            <w:r w:rsidRPr="0018630D">
              <w:rPr>
                <w:rFonts w:eastAsia="Calibri"/>
                <w:szCs w:val="18"/>
              </w:rPr>
              <w:t>55.5</w:t>
            </w:r>
          </w:p>
        </w:tc>
      </w:tr>
      <w:tr w:rsidR="006929CB" w:rsidRPr="0018630D" w14:paraId="0D8FF2BF" w14:textId="77777777" w:rsidTr="0018630D">
        <w:trPr>
          <w:trHeight w:val="283"/>
        </w:trPr>
        <w:tc>
          <w:tcPr>
            <w:tcW w:w="4678" w:type="dxa"/>
            <w:shd w:val="clear" w:color="auto" w:fill="FFFFFF"/>
          </w:tcPr>
          <w:p w14:paraId="40926B8F" w14:textId="77777777" w:rsidR="006929CB" w:rsidRPr="0018630D" w:rsidRDefault="006929CB" w:rsidP="003B705F">
            <w:pPr>
              <w:pStyle w:val="TableText"/>
              <w:spacing w:before="40" w:after="40"/>
              <w:rPr>
                <w:szCs w:val="18"/>
              </w:rPr>
            </w:pPr>
            <w:r w:rsidRPr="0018630D">
              <w:rPr>
                <w:rFonts w:eastAsia="Calibri"/>
                <w:szCs w:val="18"/>
              </w:rPr>
              <w:t>Biomass burning</w:t>
            </w:r>
          </w:p>
        </w:tc>
        <w:tc>
          <w:tcPr>
            <w:tcW w:w="991" w:type="dxa"/>
            <w:shd w:val="clear" w:color="auto" w:fill="FFFFFF"/>
          </w:tcPr>
          <w:p w14:paraId="4C35110F" w14:textId="77777777" w:rsidR="006929CB" w:rsidRPr="0018630D" w:rsidRDefault="006929CB" w:rsidP="003B705F">
            <w:pPr>
              <w:pStyle w:val="TableText"/>
              <w:spacing w:before="40" w:after="40"/>
              <w:jc w:val="right"/>
              <w:rPr>
                <w:szCs w:val="18"/>
              </w:rPr>
            </w:pPr>
            <w:r w:rsidRPr="0018630D">
              <w:rPr>
                <w:rFonts w:eastAsia="Calibri"/>
                <w:szCs w:val="18"/>
              </w:rPr>
              <w:t>N</w:t>
            </w:r>
            <w:r w:rsidRPr="0018630D">
              <w:rPr>
                <w:rFonts w:eastAsia="Calibri"/>
                <w:szCs w:val="18"/>
                <w:vertAlign w:val="subscript"/>
              </w:rPr>
              <w:t>2</w:t>
            </w:r>
            <w:r w:rsidRPr="0018630D">
              <w:rPr>
                <w:rFonts w:eastAsia="Calibri"/>
                <w:szCs w:val="18"/>
              </w:rPr>
              <w:t>O</w:t>
            </w:r>
          </w:p>
        </w:tc>
        <w:tc>
          <w:tcPr>
            <w:tcW w:w="1556" w:type="dxa"/>
            <w:shd w:val="clear" w:color="auto" w:fill="FFFFFF"/>
          </w:tcPr>
          <w:p w14:paraId="2ADC4A90" w14:textId="77777777" w:rsidR="006929CB" w:rsidRPr="0018630D" w:rsidRDefault="006929CB" w:rsidP="003B705F">
            <w:pPr>
              <w:pStyle w:val="TableText"/>
              <w:spacing w:before="40" w:after="40"/>
              <w:jc w:val="right"/>
              <w:rPr>
                <w:szCs w:val="18"/>
              </w:rPr>
            </w:pPr>
            <w:r w:rsidRPr="0018630D">
              <w:rPr>
                <w:rFonts w:eastAsia="Calibri"/>
                <w:szCs w:val="18"/>
              </w:rPr>
              <w:t>0.1</w:t>
            </w:r>
          </w:p>
        </w:tc>
        <w:tc>
          <w:tcPr>
            <w:tcW w:w="1279" w:type="dxa"/>
            <w:shd w:val="clear" w:color="auto" w:fill="FFFFFF"/>
          </w:tcPr>
          <w:p w14:paraId="60252F2E" w14:textId="77777777" w:rsidR="006929CB" w:rsidRPr="0018630D" w:rsidRDefault="006929CB" w:rsidP="003B705F">
            <w:pPr>
              <w:pStyle w:val="TableText"/>
              <w:spacing w:before="40" w:after="40"/>
              <w:jc w:val="right"/>
              <w:rPr>
                <w:szCs w:val="18"/>
              </w:rPr>
            </w:pPr>
            <w:r w:rsidRPr="0018630D">
              <w:rPr>
                <w:rFonts w:eastAsia="Calibri"/>
                <w:szCs w:val="18"/>
              </w:rPr>
              <w:t>23.3</w:t>
            </w:r>
          </w:p>
        </w:tc>
      </w:tr>
      <w:tr w:rsidR="006929CB" w:rsidRPr="0018630D" w14:paraId="0D30483F" w14:textId="77777777" w:rsidTr="0018630D">
        <w:trPr>
          <w:trHeight w:val="283"/>
        </w:trPr>
        <w:tc>
          <w:tcPr>
            <w:tcW w:w="4678" w:type="dxa"/>
            <w:shd w:val="clear" w:color="auto" w:fill="FFFFFF"/>
          </w:tcPr>
          <w:p w14:paraId="6660469A" w14:textId="77777777" w:rsidR="006929CB" w:rsidRPr="0018630D" w:rsidRDefault="006929CB" w:rsidP="003B705F">
            <w:pPr>
              <w:pStyle w:val="Tableboldblue"/>
              <w:spacing w:before="40" w:after="40"/>
              <w:rPr>
                <w:szCs w:val="18"/>
              </w:rPr>
            </w:pPr>
            <w:r w:rsidRPr="0018630D">
              <w:rPr>
                <w:szCs w:val="18"/>
              </w:rPr>
              <w:t>Net emissions</w:t>
            </w:r>
          </w:p>
        </w:tc>
        <w:tc>
          <w:tcPr>
            <w:tcW w:w="991" w:type="dxa"/>
            <w:shd w:val="clear" w:color="auto" w:fill="FFFFFF"/>
          </w:tcPr>
          <w:p w14:paraId="16816B26" w14:textId="77777777" w:rsidR="006929CB" w:rsidRPr="0018630D" w:rsidRDefault="006929CB" w:rsidP="003B705F">
            <w:pPr>
              <w:pStyle w:val="Tableboldblue"/>
              <w:spacing w:before="40" w:after="40"/>
              <w:rPr>
                <w:szCs w:val="18"/>
              </w:rPr>
            </w:pPr>
          </w:p>
        </w:tc>
        <w:tc>
          <w:tcPr>
            <w:tcW w:w="1556" w:type="dxa"/>
            <w:shd w:val="clear" w:color="auto" w:fill="FFFFFF"/>
          </w:tcPr>
          <w:p w14:paraId="7DF8452D" w14:textId="77777777" w:rsidR="006929CB" w:rsidRPr="0018630D" w:rsidRDefault="006929CB" w:rsidP="003B705F">
            <w:pPr>
              <w:pStyle w:val="Tableboldblue"/>
              <w:spacing w:before="40" w:after="40"/>
              <w:rPr>
                <w:szCs w:val="18"/>
              </w:rPr>
            </w:pPr>
          </w:p>
        </w:tc>
        <w:tc>
          <w:tcPr>
            <w:tcW w:w="1279" w:type="dxa"/>
            <w:shd w:val="clear" w:color="auto" w:fill="FFFFFF"/>
          </w:tcPr>
          <w:p w14:paraId="3882CE47" w14:textId="77777777" w:rsidR="006929CB" w:rsidRPr="0018630D" w:rsidRDefault="006929CB" w:rsidP="003B705F">
            <w:pPr>
              <w:pStyle w:val="Tableboldblue"/>
              <w:spacing w:before="40" w:after="40"/>
              <w:jc w:val="right"/>
              <w:rPr>
                <w:szCs w:val="18"/>
              </w:rPr>
            </w:pPr>
            <w:r w:rsidRPr="0018630D">
              <w:rPr>
                <w:szCs w:val="18"/>
              </w:rPr>
              <w:t>–50,615.9</w:t>
            </w:r>
          </w:p>
        </w:tc>
      </w:tr>
    </w:tbl>
    <w:p w14:paraId="1050532F" w14:textId="77777777" w:rsidR="006929CB" w:rsidRPr="00DD1C54" w:rsidRDefault="006929CB" w:rsidP="006929CB">
      <w:pPr>
        <w:pStyle w:val="Noteundertable"/>
      </w:pPr>
      <w:r w:rsidRPr="00DD1C54">
        <w:rPr>
          <w:b/>
        </w:rPr>
        <w:t>Note:</w:t>
      </w:r>
      <w:r w:rsidRPr="00DD1C54">
        <w:tab/>
        <w:t>Columns may not total due to rounding.</w:t>
      </w:r>
    </w:p>
    <w:p w14:paraId="7493F1AF" w14:textId="77777777" w:rsidR="006929CB" w:rsidRPr="00DD1C54" w:rsidRDefault="006929CB" w:rsidP="006929CB">
      <w:pPr>
        <w:pStyle w:val="Heading3"/>
      </w:pPr>
      <w:bookmarkStart w:id="1000" w:name="_Toc79768359"/>
      <w:r w:rsidRPr="00DD1C54">
        <w:t>A2.1.3</w:t>
      </w:r>
      <w:r w:rsidRPr="00DD1C54">
        <w:tab/>
        <w:t>Accounting summary</w:t>
      </w:r>
      <w:bookmarkEnd w:id="1000"/>
      <w:r w:rsidRPr="00DD1C54">
        <w:t xml:space="preserve"> </w:t>
      </w:r>
    </w:p>
    <w:p w14:paraId="6AABCEF1" w14:textId="07C7A1FA" w:rsidR="006929CB" w:rsidRPr="00DD1C54" w:rsidRDefault="006929CB" w:rsidP="006929CB">
      <w:pPr>
        <w:pStyle w:val="BodyText"/>
      </w:pPr>
      <w:r w:rsidRPr="00DD1C54">
        <w:t xml:space="preserve">New Zealand will finalise the LULUCF accounting quantity for NDC1 at the end of the accounting period, and until then </w:t>
      </w:r>
      <w:r w:rsidR="001D6464">
        <w:t xml:space="preserve">the LULUCF accounting quantity </w:t>
      </w:r>
      <w:r w:rsidRPr="00DD1C54">
        <w:t>will be provisional. The accounting quantity comprises:</w:t>
      </w:r>
    </w:p>
    <w:p w14:paraId="5C2EE3DE" w14:textId="77777777" w:rsidR="006929CB" w:rsidRPr="00DD1C54" w:rsidRDefault="006929CB" w:rsidP="00784F5F">
      <w:pPr>
        <w:pStyle w:val="Numberedparagraph"/>
        <w:numPr>
          <w:ilvl w:val="0"/>
          <w:numId w:val="105"/>
        </w:numPr>
        <w:spacing w:line="240" w:lineRule="auto"/>
      </w:pPr>
      <w:r w:rsidRPr="00DD1C54">
        <w:t xml:space="preserve">net emissions from the growth of </w:t>
      </w:r>
      <w:r w:rsidRPr="00C42289">
        <w:rPr>
          <w:i/>
        </w:rPr>
        <w:t xml:space="preserve">Afforestation and reforestation </w:t>
      </w:r>
      <w:r w:rsidRPr="00C42289">
        <w:rPr>
          <w:iCs/>
        </w:rPr>
        <w:t>forests up to their LTA carbon stock</w:t>
      </w:r>
    </w:p>
    <w:p w14:paraId="0DE8A035" w14:textId="77777777" w:rsidR="006929CB" w:rsidRPr="00DD1C54" w:rsidRDefault="006929CB" w:rsidP="006929CB">
      <w:pPr>
        <w:pStyle w:val="Numberedparagraph"/>
        <w:spacing w:line="240" w:lineRule="auto"/>
      </w:pPr>
      <w:r w:rsidRPr="00DD1C54">
        <w:t xml:space="preserve">net emissions from </w:t>
      </w:r>
      <w:r w:rsidRPr="00DD1C54">
        <w:rPr>
          <w:i/>
        </w:rPr>
        <w:t>Deforestation</w:t>
      </w:r>
    </w:p>
    <w:p w14:paraId="3056BB97" w14:textId="77777777" w:rsidR="006929CB" w:rsidRPr="00DD1C54" w:rsidRDefault="006929CB" w:rsidP="006929CB">
      <w:pPr>
        <w:pStyle w:val="Numberedparagraph"/>
        <w:spacing w:line="240" w:lineRule="auto"/>
        <w:rPr>
          <w:iCs/>
        </w:rPr>
      </w:pPr>
      <w:r w:rsidRPr="00DD1C54">
        <w:rPr>
          <w:iCs/>
        </w:rPr>
        <w:t xml:space="preserve">net emissions from </w:t>
      </w:r>
      <w:r w:rsidRPr="00DD1C54">
        <w:rPr>
          <w:i/>
        </w:rPr>
        <w:t>Forest management</w:t>
      </w:r>
      <w:r w:rsidRPr="00DD1C54">
        <w:rPr>
          <w:iCs/>
        </w:rPr>
        <w:t xml:space="preserve"> activities relative to a pre-1990 forest reference level (FRL). T</w:t>
      </w:r>
      <w:r w:rsidRPr="00DD1C54">
        <w:t>he pre-1990 FRL</w:t>
      </w:r>
      <w:r w:rsidRPr="00DD1C54" w:rsidDel="00E15F63">
        <w:t xml:space="preserve"> </w:t>
      </w:r>
      <w:r w:rsidRPr="00DD1C54">
        <w:t xml:space="preserve">is set using a business-as-usual projection of emissions for </w:t>
      </w:r>
      <w:r w:rsidRPr="00DD1C54">
        <w:rPr>
          <w:i/>
        </w:rPr>
        <w:t xml:space="preserve">Forest management </w:t>
      </w:r>
      <w:r w:rsidRPr="00DD1C54">
        <w:rPr>
          <w:iCs/>
        </w:rPr>
        <w:t xml:space="preserve">activities </w:t>
      </w:r>
      <w:r w:rsidRPr="00DD1C54">
        <w:t>over the period to 2030. It represents the estimated annual average net emissions between 2021 and 2030.</w:t>
      </w:r>
    </w:p>
    <w:p w14:paraId="0A675B63" w14:textId="77777777" w:rsidR="006929CB" w:rsidRPr="00DD1C54" w:rsidRDefault="006929CB" w:rsidP="006929CB">
      <w:pPr>
        <w:pStyle w:val="BodyText"/>
      </w:pPr>
      <w:r w:rsidRPr="00DD1C54">
        <w:t xml:space="preserve">The provisional LULUCF accounting quantity reported in this submission, and shown in table A2.3, comprises net emissions from the growth of </w:t>
      </w:r>
      <w:r w:rsidRPr="00DD1C54">
        <w:rPr>
          <w:i/>
          <w:iCs/>
        </w:rPr>
        <w:t>Afforestation and reforestation</w:t>
      </w:r>
      <w:r w:rsidRPr="00DD1C54">
        <w:t xml:space="preserve"> forests up to their long-term average carbon stock and all net emissions from </w:t>
      </w:r>
      <w:r w:rsidRPr="00DD1C54">
        <w:rPr>
          <w:i/>
          <w:iCs/>
        </w:rPr>
        <w:t>Deforestation</w:t>
      </w:r>
      <w:r w:rsidRPr="00DD1C54">
        <w:t xml:space="preserve">, but does not include net emissions from </w:t>
      </w:r>
      <w:r w:rsidRPr="00DD1C54">
        <w:rPr>
          <w:i/>
          <w:iCs/>
        </w:rPr>
        <w:t>Forest management</w:t>
      </w:r>
      <w:r w:rsidRPr="00DD1C54">
        <w:t xml:space="preserve">. This is because the pre-1990 FRL will be technically corrected in future years to account for the reduction in the total forest area occurring as a result of deforestation (to avoid double-counting deforestation emissions) and to maintain methodological consistency. The final Biennial Transparency Report submitted for NDC1 (ie, the fifth Biennial Transparency Report) will include accounting of net emissions from </w:t>
      </w:r>
      <w:r w:rsidRPr="00DD1C54">
        <w:rPr>
          <w:i/>
          <w:iCs/>
        </w:rPr>
        <w:t xml:space="preserve">Forest management </w:t>
      </w:r>
      <w:r w:rsidRPr="00DD1C54">
        <w:t>activities against the pre-1990 FRL.</w:t>
      </w:r>
    </w:p>
    <w:p w14:paraId="3A299C0A" w14:textId="77777777" w:rsidR="006929CB" w:rsidRPr="00DD1C54" w:rsidRDefault="006929CB" w:rsidP="006929CB">
      <w:pPr>
        <w:pStyle w:val="BodyText"/>
      </w:pPr>
      <w:r w:rsidRPr="00DD1C54">
        <w:t>The provisional accounting quantity for 2021 is –6,067.3 kt CO</w:t>
      </w:r>
      <w:r w:rsidRPr="00DD1C54">
        <w:rPr>
          <w:vertAlign w:val="subscript"/>
        </w:rPr>
        <w:t>2</w:t>
      </w:r>
      <w:r w:rsidRPr="00DD1C54">
        <w:t>e and the provisional accounting quantity for 2022 is –5,279.5 CO</w:t>
      </w:r>
      <w:r w:rsidRPr="00DD1C54">
        <w:rPr>
          <w:vertAlign w:val="subscript"/>
        </w:rPr>
        <w:t>2</w:t>
      </w:r>
      <w:r w:rsidRPr="00DD1C54">
        <w:t xml:space="preserve">e (excluding </w:t>
      </w:r>
      <w:r w:rsidRPr="00DD1C54">
        <w:rPr>
          <w:i/>
        </w:rPr>
        <w:t>Forest management</w:t>
      </w:r>
      <w:r w:rsidRPr="00DD1C54">
        <w:t>).</w:t>
      </w:r>
    </w:p>
    <w:p w14:paraId="6953F283" w14:textId="77777777" w:rsidR="006929CB" w:rsidRPr="00DD1C54" w:rsidRDefault="006929CB" w:rsidP="006929CB">
      <w:pPr>
        <w:pStyle w:val="Tableheading"/>
      </w:pPr>
      <w:bookmarkStart w:id="1001" w:name="tableA23"/>
      <w:bookmarkStart w:id="1002" w:name="_Toc182311695"/>
      <w:bookmarkStart w:id="1003" w:name="_Toc185407530"/>
      <w:bookmarkStart w:id="1004" w:name="_Toc185427793"/>
      <w:r w:rsidRPr="00DD1C54">
        <w:t xml:space="preserve">Table </w:t>
      </w:r>
      <w:r w:rsidRPr="00DD1C54">
        <w:rPr>
          <w:bCs/>
        </w:rPr>
        <w:t>A2</w:t>
      </w:r>
      <w:r w:rsidRPr="00DD1C54">
        <w:t>.3</w:t>
      </w:r>
      <w:bookmarkEnd w:id="1001"/>
      <w:r w:rsidRPr="00DD1C54">
        <w:t>:</w:t>
      </w:r>
      <w:r w:rsidRPr="00DD1C54">
        <w:tab/>
        <w:t>New Zealand’s provisional accounting quantities for 2021 and 2022</w:t>
      </w:r>
      <w:bookmarkEnd w:id="1002"/>
      <w:bookmarkEnd w:id="1003"/>
      <w:bookmarkEnd w:id="1004"/>
    </w:p>
    <w:tbl>
      <w:tblPr>
        <w:tblW w:w="8505" w:type="dxa"/>
        <w:tblBorders>
          <w:top w:val="single" w:sz="4" w:space="0" w:color="1B556B"/>
          <w:bottom w:val="single" w:sz="4" w:space="0" w:color="1B556B"/>
          <w:insideH w:val="single" w:sz="4" w:space="0" w:color="1B556B"/>
          <w:insideV w:val="single" w:sz="4" w:space="0" w:color="1B556B"/>
        </w:tblBorders>
        <w:tblLayout w:type="fixed"/>
        <w:tblCellMar>
          <w:left w:w="85" w:type="dxa"/>
          <w:right w:w="85" w:type="dxa"/>
        </w:tblCellMar>
        <w:tblLook w:val="0420" w:firstRow="1" w:lastRow="0" w:firstColumn="0" w:lastColumn="0" w:noHBand="0" w:noVBand="1"/>
      </w:tblPr>
      <w:tblGrid>
        <w:gridCol w:w="2552"/>
        <w:gridCol w:w="2977"/>
        <w:gridCol w:w="992"/>
        <w:gridCol w:w="992"/>
        <w:gridCol w:w="992"/>
      </w:tblGrid>
      <w:tr w:rsidR="006929CB" w:rsidRPr="0018630D" w14:paraId="22CB9D21" w14:textId="77777777" w:rsidTr="0018630D">
        <w:trPr>
          <w:tblHeader/>
        </w:trPr>
        <w:tc>
          <w:tcPr>
            <w:tcW w:w="2552" w:type="dxa"/>
            <w:shd w:val="clear" w:color="auto" w:fill="1B556B"/>
            <w:tcMar>
              <w:top w:w="0" w:type="dxa"/>
              <w:left w:w="85" w:type="dxa"/>
              <w:bottom w:w="0" w:type="dxa"/>
              <w:right w:w="85" w:type="dxa"/>
            </w:tcMar>
            <w:vAlign w:val="center"/>
          </w:tcPr>
          <w:p w14:paraId="548B8559" w14:textId="77777777" w:rsidR="006929CB" w:rsidRPr="0018630D" w:rsidRDefault="006929CB">
            <w:pPr>
              <w:pStyle w:val="TableTextbold"/>
              <w:spacing w:before="40" w:after="40"/>
              <w:rPr>
                <w:rFonts w:eastAsia="Calibri"/>
                <w:color w:val="FFFFFF" w:themeColor="background1"/>
                <w:szCs w:val="18"/>
              </w:rPr>
            </w:pPr>
          </w:p>
        </w:tc>
        <w:tc>
          <w:tcPr>
            <w:tcW w:w="2977" w:type="dxa"/>
            <w:shd w:val="clear" w:color="auto" w:fill="1B556B"/>
            <w:tcMar>
              <w:top w:w="0" w:type="dxa"/>
              <w:left w:w="85" w:type="dxa"/>
              <w:bottom w:w="0" w:type="dxa"/>
              <w:right w:w="85" w:type="dxa"/>
            </w:tcMar>
            <w:vAlign w:val="center"/>
          </w:tcPr>
          <w:p w14:paraId="0787878B" w14:textId="77777777" w:rsidR="006929CB" w:rsidRPr="0018630D" w:rsidRDefault="006929CB">
            <w:pPr>
              <w:pStyle w:val="TableTextbold"/>
              <w:spacing w:before="40" w:after="40"/>
              <w:rPr>
                <w:color w:val="FFFFFF" w:themeColor="background1"/>
                <w:szCs w:val="18"/>
              </w:rPr>
            </w:pPr>
          </w:p>
        </w:tc>
        <w:tc>
          <w:tcPr>
            <w:tcW w:w="2976" w:type="dxa"/>
            <w:gridSpan w:val="3"/>
            <w:shd w:val="clear" w:color="auto" w:fill="1B556B"/>
            <w:tcMar>
              <w:top w:w="0" w:type="dxa"/>
              <w:left w:w="85" w:type="dxa"/>
              <w:bottom w:w="0" w:type="dxa"/>
              <w:right w:w="85" w:type="dxa"/>
            </w:tcMar>
            <w:vAlign w:val="center"/>
          </w:tcPr>
          <w:p w14:paraId="75679BA9" w14:textId="77777777" w:rsidR="006929CB" w:rsidRPr="0018630D" w:rsidRDefault="006929CB">
            <w:pPr>
              <w:pStyle w:val="TableTextbold"/>
              <w:spacing w:before="40" w:after="40"/>
              <w:jc w:val="center"/>
              <w:rPr>
                <w:rFonts w:eastAsia="Calibri"/>
                <w:color w:val="FFFFFF" w:themeColor="background1"/>
                <w:szCs w:val="18"/>
              </w:rPr>
            </w:pPr>
            <w:r w:rsidRPr="0018630D">
              <w:rPr>
                <w:rFonts w:eastAsia="Calibri"/>
                <w:color w:val="FFFFFF" w:themeColor="background1"/>
                <w:szCs w:val="18"/>
              </w:rPr>
              <w:t>Emissions (kt CO</w:t>
            </w:r>
            <w:r w:rsidRPr="0018630D">
              <w:rPr>
                <w:rFonts w:eastAsia="Calibri"/>
                <w:color w:val="FFFFFF" w:themeColor="background1"/>
                <w:szCs w:val="18"/>
                <w:vertAlign w:val="subscript"/>
              </w:rPr>
              <w:t>2</w:t>
            </w:r>
            <w:r w:rsidRPr="0018630D">
              <w:rPr>
                <w:rFonts w:eastAsia="Calibri"/>
                <w:color w:val="FFFFFF" w:themeColor="background1"/>
                <w:szCs w:val="18"/>
              </w:rPr>
              <w:t>e)</w:t>
            </w:r>
          </w:p>
        </w:tc>
      </w:tr>
      <w:tr w:rsidR="006929CB" w:rsidRPr="0018630D" w14:paraId="69C99421" w14:textId="77777777" w:rsidTr="0018630D">
        <w:tc>
          <w:tcPr>
            <w:tcW w:w="2552" w:type="dxa"/>
            <w:shd w:val="clear" w:color="auto" w:fill="1B556B"/>
            <w:tcMar>
              <w:top w:w="0" w:type="dxa"/>
              <w:left w:w="85" w:type="dxa"/>
              <w:bottom w:w="0" w:type="dxa"/>
              <w:right w:w="85" w:type="dxa"/>
            </w:tcMar>
            <w:vAlign w:val="center"/>
          </w:tcPr>
          <w:p w14:paraId="7857C2D7" w14:textId="77777777" w:rsidR="006929CB" w:rsidRPr="0018630D" w:rsidRDefault="006929CB">
            <w:pPr>
              <w:pStyle w:val="TableTextbold"/>
              <w:spacing w:before="40" w:after="40"/>
              <w:rPr>
                <w:color w:val="FFFFFF" w:themeColor="background1"/>
                <w:szCs w:val="18"/>
              </w:rPr>
            </w:pPr>
            <w:r w:rsidRPr="0018630D">
              <w:rPr>
                <w:rFonts w:eastAsia="Calibri"/>
                <w:color w:val="FFFFFF" w:themeColor="background1"/>
                <w:szCs w:val="18"/>
              </w:rPr>
              <w:t>Net emissions by activity</w:t>
            </w:r>
          </w:p>
        </w:tc>
        <w:tc>
          <w:tcPr>
            <w:tcW w:w="2977" w:type="dxa"/>
            <w:shd w:val="clear" w:color="auto" w:fill="1B556B"/>
            <w:tcMar>
              <w:top w:w="0" w:type="dxa"/>
              <w:left w:w="85" w:type="dxa"/>
              <w:bottom w:w="0" w:type="dxa"/>
              <w:right w:w="85" w:type="dxa"/>
            </w:tcMar>
            <w:vAlign w:val="center"/>
          </w:tcPr>
          <w:p w14:paraId="59DAB9B9" w14:textId="77777777" w:rsidR="006929CB" w:rsidRPr="0018630D" w:rsidRDefault="006929CB">
            <w:pPr>
              <w:pStyle w:val="TableTextbold"/>
              <w:spacing w:before="40" w:after="40"/>
              <w:rPr>
                <w:color w:val="FFFFFF" w:themeColor="background1"/>
                <w:szCs w:val="18"/>
              </w:rPr>
            </w:pPr>
          </w:p>
        </w:tc>
        <w:tc>
          <w:tcPr>
            <w:tcW w:w="992" w:type="dxa"/>
            <w:shd w:val="clear" w:color="auto" w:fill="1B556B"/>
            <w:tcMar>
              <w:top w:w="0" w:type="dxa"/>
              <w:left w:w="85" w:type="dxa"/>
              <w:bottom w:w="0" w:type="dxa"/>
              <w:right w:w="85" w:type="dxa"/>
            </w:tcMar>
            <w:vAlign w:val="center"/>
          </w:tcPr>
          <w:p w14:paraId="3713E5B8" w14:textId="77777777" w:rsidR="006929CB" w:rsidRPr="0018630D" w:rsidRDefault="006929CB">
            <w:pPr>
              <w:pStyle w:val="TableTextbold"/>
              <w:spacing w:before="40" w:after="40"/>
              <w:jc w:val="right"/>
              <w:rPr>
                <w:color w:val="FFFFFF" w:themeColor="background1"/>
                <w:szCs w:val="18"/>
              </w:rPr>
            </w:pPr>
            <w:r w:rsidRPr="0018630D">
              <w:rPr>
                <w:rFonts w:eastAsia="Calibri"/>
                <w:color w:val="FFFFFF" w:themeColor="background1"/>
                <w:szCs w:val="18"/>
              </w:rPr>
              <w:t>2021</w:t>
            </w:r>
          </w:p>
        </w:tc>
        <w:tc>
          <w:tcPr>
            <w:tcW w:w="992" w:type="dxa"/>
            <w:shd w:val="clear" w:color="auto" w:fill="1B556B"/>
            <w:tcMar>
              <w:top w:w="0" w:type="dxa"/>
              <w:left w:w="85" w:type="dxa"/>
              <w:bottom w:w="0" w:type="dxa"/>
              <w:right w:w="85" w:type="dxa"/>
            </w:tcMar>
            <w:vAlign w:val="center"/>
          </w:tcPr>
          <w:p w14:paraId="116092D2" w14:textId="77777777" w:rsidR="006929CB" w:rsidRPr="0018630D" w:rsidRDefault="006929CB">
            <w:pPr>
              <w:pStyle w:val="TableTextbold"/>
              <w:spacing w:before="40" w:after="40"/>
              <w:jc w:val="right"/>
              <w:rPr>
                <w:color w:val="FFFFFF" w:themeColor="background1"/>
                <w:szCs w:val="18"/>
              </w:rPr>
            </w:pPr>
            <w:r w:rsidRPr="0018630D">
              <w:rPr>
                <w:rFonts w:eastAsia="Calibri"/>
                <w:color w:val="FFFFFF" w:themeColor="background1"/>
                <w:szCs w:val="18"/>
              </w:rPr>
              <w:t>2022</w:t>
            </w:r>
          </w:p>
        </w:tc>
        <w:tc>
          <w:tcPr>
            <w:tcW w:w="992" w:type="dxa"/>
            <w:shd w:val="clear" w:color="auto" w:fill="1B556B"/>
            <w:tcMar>
              <w:top w:w="0" w:type="dxa"/>
              <w:left w:w="85" w:type="dxa"/>
              <w:bottom w:w="0" w:type="dxa"/>
              <w:right w:w="85" w:type="dxa"/>
            </w:tcMar>
            <w:vAlign w:val="center"/>
          </w:tcPr>
          <w:p w14:paraId="40ED4700" w14:textId="77777777" w:rsidR="006929CB" w:rsidRPr="0018630D" w:rsidRDefault="006929CB">
            <w:pPr>
              <w:pStyle w:val="TableTextbold"/>
              <w:spacing w:before="40" w:after="40"/>
              <w:jc w:val="right"/>
              <w:rPr>
                <w:color w:val="FFFFFF" w:themeColor="background1"/>
                <w:szCs w:val="18"/>
              </w:rPr>
            </w:pPr>
            <w:r w:rsidRPr="0018630D">
              <w:rPr>
                <w:rFonts w:eastAsia="Calibri"/>
                <w:color w:val="FFFFFF" w:themeColor="background1"/>
                <w:szCs w:val="18"/>
              </w:rPr>
              <w:t xml:space="preserve">Total </w:t>
            </w:r>
          </w:p>
        </w:tc>
      </w:tr>
      <w:tr w:rsidR="006929CB" w:rsidRPr="0018630D" w14:paraId="1DAB1AB5" w14:textId="77777777" w:rsidTr="0018630D">
        <w:tc>
          <w:tcPr>
            <w:tcW w:w="2552" w:type="dxa"/>
            <w:shd w:val="clear" w:color="auto" w:fill="FFFFFF"/>
            <w:tcMar>
              <w:top w:w="0" w:type="dxa"/>
              <w:left w:w="85" w:type="dxa"/>
              <w:bottom w:w="0" w:type="dxa"/>
              <w:right w:w="85" w:type="dxa"/>
            </w:tcMar>
            <w:vAlign w:val="center"/>
          </w:tcPr>
          <w:p w14:paraId="75449A9D" w14:textId="77777777" w:rsidR="006929CB" w:rsidRPr="0018630D" w:rsidRDefault="006929CB">
            <w:pPr>
              <w:pStyle w:val="TableText"/>
              <w:spacing w:before="40" w:after="40"/>
              <w:rPr>
                <w:szCs w:val="18"/>
              </w:rPr>
            </w:pPr>
            <w:r w:rsidRPr="0018630D">
              <w:rPr>
                <w:rFonts w:eastAsia="Calibri"/>
                <w:szCs w:val="18"/>
              </w:rPr>
              <w:t>Afforestation and reforestation</w:t>
            </w:r>
          </w:p>
        </w:tc>
        <w:tc>
          <w:tcPr>
            <w:tcW w:w="2977" w:type="dxa"/>
            <w:shd w:val="clear" w:color="auto" w:fill="FFFFFF"/>
            <w:tcMar>
              <w:top w:w="0" w:type="dxa"/>
              <w:left w:w="85" w:type="dxa"/>
              <w:bottom w:w="0" w:type="dxa"/>
              <w:right w:w="85" w:type="dxa"/>
            </w:tcMar>
            <w:vAlign w:val="center"/>
          </w:tcPr>
          <w:p w14:paraId="63EC7710" w14:textId="77777777" w:rsidR="006929CB" w:rsidRPr="0018630D" w:rsidRDefault="006929CB">
            <w:pPr>
              <w:pStyle w:val="TableText"/>
              <w:spacing w:before="40" w:after="40"/>
              <w:rPr>
                <w:szCs w:val="18"/>
              </w:rPr>
            </w:pPr>
          </w:p>
        </w:tc>
        <w:tc>
          <w:tcPr>
            <w:tcW w:w="992" w:type="dxa"/>
            <w:shd w:val="clear" w:color="auto" w:fill="FFFFFF"/>
            <w:tcMar>
              <w:top w:w="0" w:type="dxa"/>
              <w:left w:w="85" w:type="dxa"/>
              <w:bottom w:w="0" w:type="dxa"/>
              <w:right w:w="85" w:type="dxa"/>
            </w:tcMar>
            <w:vAlign w:val="center"/>
          </w:tcPr>
          <w:p w14:paraId="01A08EBD" w14:textId="77777777" w:rsidR="006929CB" w:rsidRPr="0018630D" w:rsidRDefault="006929CB">
            <w:pPr>
              <w:pStyle w:val="TableText"/>
              <w:spacing w:before="40" w:after="40"/>
              <w:jc w:val="right"/>
              <w:rPr>
                <w:szCs w:val="18"/>
              </w:rPr>
            </w:pPr>
            <w:r w:rsidRPr="0018630D">
              <w:rPr>
                <w:rFonts w:eastAsia="Calibri"/>
                <w:szCs w:val="18"/>
              </w:rPr>
              <w:t>–10,824.4</w:t>
            </w:r>
          </w:p>
        </w:tc>
        <w:tc>
          <w:tcPr>
            <w:tcW w:w="992" w:type="dxa"/>
            <w:shd w:val="clear" w:color="auto" w:fill="FFFFFF"/>
            <w:tcMar>
              <w:top w:w="0" w:type="dxa"/>
              <w:left w:w="85" w:type="dxa"/>
              <w:bottom w:w="0" w:type="dxa"/>
              <w:right w:w="85" w:type="dxa"/>
            </w:tcMar>
            <w:vAlign w:val="center"/>
          </w:tcPr>
          <w:p w14:paraId="079087AF" w14:textId="77777777" w:rsidR="006929CB" w:rsidRPr="0018630D" w:rsidRDefault="006929CB">
            <w:pPr>
              <w:pStyle w:val="TableText"/>
              <w:spacing w:before="40" w:after="40"/>
              <w:jc w:val="right"/>
              <w:rPr>
                <w:szCs w:val="18"/>
              </w:rPr>
            </w:pPr>
            <w:r w:rsidRPr="0018630D">
              <w:rPr>
                <w:rFonts w:eastAsia="Calibri"/>
                <w:szCs w:val="18"/>
              </w:rPr>
              <w:t>–8,576.1</w:t>
            </w:r>
          </w:p>
        </w:tc>
        <w:tc>
          <w:tcPr>
            <w:tcW w:w="992" w:type="dxa"/>
            <w:shd w:val="clear" w:color="auto" w:fill="FFFFFF"/>
            <w:tcMar>
              <w:top w:w="0" w:type="dxa"/>
              <w:left w:w="85" w:type="dxa"/>
              <w:bottom w:w="0" w:type="dxa"/>
              <w:right w:w="85" w:type="dxa"/>
            </w:tcMar>
            <w:vAlign w:val="center"/>
          </w:tcPr>
          <w:p w14:paraId="4EB1FFB1" w14:textId="77777777" w:rsidR="006929CB" w:rsidRPr="0018630D" w:rsidRDefault="006929CB">
            <w:pPr>
              <w:pStyle w:val="TableText"/>
              <w:spacing w:before="40" w:after="40"/>
              <w:jc w:val="right"/>
              <w:rPr>
                <w:szCs w:val="18"/>
              </w:rPr>
            </w:pPr>
            <w:r w:rsidRPr="0018630D">
              <w:rPr>
                <w:rFonts w:eastAsia="Calibri"/>
                <w:szCs w:val="18"/>
              </w:rPr>
              <w:t>–19,400.5</w:t>
            </w:r>
          </w:p>
        </w:tc>
      </w:tr>
      <w:tr w:rsidR="006929CB" w:rsidRPr="0018630D" w14:paraId="669285E2" w14:textId="77777777" w:rsidTr="0018630D">
        <w:tc>
          <w:tcPr>
            <w:tcW w:w="2552" w:type="dxa"/>
            <w:shd w:val="clear" w:color="auto" w:fill="FFFFFF"/>
            <w:tcMar>
              <w:top w:w="0" w:type="dxa"/>
              <w:left w:w="85" w:type="dxa"/>
              <w:bottom w:w="0" w:type="dxa"/>
              <w:right w:w="85" w:type="dxa"/>
            </w:tcMar>
            <w:vAlign w:val="center"/>
          </w:tcPr>
          <w:p w14:paraId="482C550A" w14:textId="77777777" w:rsidR="006929CB" w:rsidRPr="0018630D" w:rsidRDefault="006929CB">
            <w:pPr>
              <w:pStyle w:val="TableText"/>
              <w:spacing w:before="40" w:after="40"/>
              <w:rPr>
                <w:szCs w:val="18"/>
              </w:rPr>
            </w:pPr>
            <w:r w:rsidRPr="0018630D">
              <w:rPr>
                <w:rFonts w:eastAsia="Calibri"/>
                <w:szCs w:val="18"/>
              </w:rPr>
              <w:t>Deforestation</w:t>
            </w:r>
          </w:p>
        </w:tc>
        <w:tc>
          <w:tcPr>
            <w:tcW w:w="2977" w:type="dxa"/>
            <w:shd w:val="clear" w:color="auto" w:fill="FFFFFF"/>
            <w:tcMar>
              <w:top w:w="0" w:type="dxa"/>
              <w:left w:w="85" w:type="dxa"/>
              <w:bottom w:w="0" w:type="dxa"/>
              <w:right w:w="85" w:type="dxa"/>
            </w:tcMar>
            <w:vAlign w:val="center"/>
          </w:tcPr>
          <w:p w14:paraId="67C73ED1" w14:textId="77777777" w:rsidR="006929CB" w:rsidRPr="0018630D" w:rsidRDefault="006929CB">
            <w:pPr>
              <w:pStyle w:val="TableText"/>
              <w:spacing w:before="40" w:after="40"/>
              <w:rPr>
                <w:szCs w:val="18"/>
              </w:rPr>
            </w:pPr>
          </w:p>
        </w:tc>
        <w:tc>
          <w:tcPr>
            <w:tcW w:w="992" w:type="dxa"/>
            <w:shd w:val="clear" w:color="auto" w:fill="FFFFFF"/>
            <w:tcMar>
              <w:top w:w="0" w:type="dxa"/>
              <w:left w:w="85" w:type="dxa"/>
              <w:bottom w:w="0" w:type="dxa"/>
              <w:right w:w="85" w:type="dxa"/>
            </w:tcMar>
            <w:vAlign w:val="center"/>
          </w:tcPr>
          <w:p w14:paraId="61C1BE20" w14:textId="77777777" w:rsidR="006929CB" w:rsidRPr="0018630D" w:rsidRDefault="006929CB">
            <w:pPr>
              <w:pStyle w:val="TableText"/>
              <w:spacing w:before="40" w:after="40"/>
              <w:jc w:val="right"/>
              <w:rPr>
                <w:szCs w:val="18"/>
              </w:rPr>
            </w:pPr>
            <w:r w:rsidRPr="0018630D">
              <w:rPr>
                <w:rFonts w:eastAsia="Calibri"/>
                <w:szCs w:val="18"/>
              </w:rPr>
              <w:t>3,170.8</w:t>
            </w:r>
          </w:p>
        </w:tc>
        <w:tc>
          <w:tcPr>
            <w:tcW w:w="992" w:type="dxa"/>
            <w:shd w:val="clear" w:color="auto" w:fill="FFFFFF"/>
            <w:tcMar>
              <w:top w:w="0" w:type="dxa"/>
              <w:left w:w="85" w:type="dxa"/>
              <w:bottom w:w="0" w:type="dxa"/>
              <w:right w:w="85" w:type="dxa"/>
            </w:tcMar>
            <w:vAlign w:val="center"/>
          </w:tcPr>
          <w:p w14:paraId="60A7C889" w14:textId="77777777" w:rsidR="006929CB" w:rsidRPr="0018630D" w:rsidRDefault="006929CB">
            <w:pPr>
              <w:pStyle w:val="TableText"/>
              <w:spacing w:before="40" w:after="40"/>
              <w:jc w:val="right"/>
              <w:rPr>
                <w:szCs w:val="18"/>
              </w:rPr>
            </w:pPr>
            <w:r w:rsidRPr="0018630D">
              <w:rPr>
                <w:rFonts w:eastAsia="Calibri"/>
                <w:szCs w:val="18"/>
              </w:rPr>
              <w:t>2,429.4</w:t>
            </w:r>
          </w:p>
        </w:tc>
        <w:tc>
          <w:tcPr>
            <w:tcW w:w="992" w:type="dxa"/>
            <w:shd w:val="clear" w:color="auto" w:fill="FFFFFF"/>
            <w:tcMar>
              <w:top w:w="0" w:type="dxa"/>
              <w:left w:w="85" w:type="dxa"/>
              <w:bottom w:w="0" w:type="dxa"/>
              <w:right w:w="85" w:type="dxa"/>
            </w:tcMar>
            <w:vAlign w:val="center"/>
          </w:tcPr>
          <w:p w14:paraId="1FC513BA" w14:textId="77777777" w:rsidR="006929CB" w:rsidRPr="0018630D" w:rsidRDefault="006929CB">
            <w:pPr>
              <w:pStyle w:val="TableText"/>
              <w:spacing w:before="40" w:after="40"/>
              <w:jc w:val="right"/>
              <w:rPr>
                <w:szCs w:val="18"/>
              </w:rPr>
            </w:pPr>
            <w:r w:rsidRPr="0018630D">
              <w:rPr>
                <w:rFonts w:eastAsia="Calibri"/>
                <w:szCs w:val="18"/>
              </w:rPr>
              <w:t>5,600.2</w:t>
            </w:r>
          </w:p>
        </w:tc>
      </w:tr>
      <w:tr w:rsidR="006929CB" w:rsidRPr="0018630D" w14:paraId="22582BB2" w14:textId="77777777" w:rsidTr="0018630D">
        <w:tc>
          <w:tcPr>
            <w:tcW w:w="2552" w:type="dxa"/>
            <w:shd w:val="clear" w:color="auto" w:fill="FFFFFF"/>
            <w:tcMar>
              <w:top w:w="0" w:type="dxa"/>
              <w:left w:w="85" w:type="dxa"/>
              <w:bottom w:w="0" w:type="dxa"/>
              <w:right w:w="85" w:type="dxa"/>
            </w:tcMar>
            <w:vAlign w:val="center"/>
          </w:tcPr>
          <w:p w14:paraId="1E271B9A" w14:textId="77777777" w:rsidR="006929CB" w:rsidRPr="0018630D" w:rsidRDefault="006929CB">
            <w:pPr>
              <w:pStyle w:val="TableText"/>
              <w:spacing w:before="40" w:after="40"/>
              <w:rPr>
                <w:szCs w:val="18"/>
              </w:rPr>
            </w:pPr>
            <w:r w:rsidRPr="0018630D">
              <w:rPr>
                <w:rFonts w:eastAsia="Calibri"/>
                <w:szCs w:val="18"/>
              </w:rPr>
              <w:t>Forest management</w:t>
            </w:r>
          </w:p>
        </w:tc>
        <w:tc>
          <w:tcPr>
            <w:tcW w:w="2977" w:type="dxa"/>
            <w:shd w:val="clear" w:color="auto" w:fill="FFFFFF"/>
            <w:tcMar>
              <w:top w:w="0" w:type="dxa"/>
              <w:left w:w="85" w:type="dxa"/>
              <w:bottom w:w="0" w:type="dxa"/>
              <w:right w:w="85" w:type="dxa"/>
            </w:tcMar>
            <w:vAlign w:val="center"/>
          </w:tcPr>
          <w:p w14:paraId="5D5A9705" w14:textId="77777777" w:rsidR="006929CB" w:rsidRPr="0018630D" w:rsidRDefault="006929CB">
            <w:pPr>
              <w:pStyle w:val="TableText"/>
              <w:spacing w:before="40" w:after="40"/>
              <w:rPr>
                <w:szCs w:val="18"/>
              </w:rPr>
            </w:pPr>
          </w:p>
        </w:tc>
        <w:tc>
          <w:tcPr>
            <w:tcW w:w="992" w:type="dxa"/>
            <w:shd w:val="clear" w:color="auto" w:fill="FFFFFF"/>
            <w:tcMar>
              <w:top w:w="0" w:type="dxa"/>
              <w:left w:w="85" w:type="dxa"/>
              <w:bottom w:w="0" w:type="dxa"/>
              <w:right w:w="85" w:type="dxa"/>
            </w:tcMar>
            <w:vAlign w:val="center"/>
          </w:tcPr>
          <w:p w14:paraId="77607DDE" w14:textId="77777777" w:rsidR="006929CB" w:rsidRPr="0018630D" w:rsidRDefault="006929CB">
            <w:pPr>
              <w:pStyle w:val="TableText"/>
              <w:spacing w:before="40" w:after="40"/>
              <w:jc w:val="right"/>
              <w:rPr>
                <w:szCs w:val="18"/>
              </w:rPr>
            </w:pPr>
            <w:r w:rsidRPr="0018630D">
              <w:rPr>
                <w:rFonts w:eastAsia="Calibri"/>
                <w:szCs w:val="18"/>
              </w:rPr>
              <w:t>–18,215.6</w:t>
            </w:r>
          </w:p>
        </w:tc>
        <w:tc>
          <w:tcPr>
            <w:tcW w:w="992" w:type="dxa"/>
            <w:shd w:val="clear" w:color="auto" w:fill="FFFFFF"/>
            <w:tcMar>
              <w:top w:w="0" w:type="dxa"/>
              <w:left w:w="85" w:type="dxa"/>
              <w:bottom w:w="0" w:type="dxa"/>
              <w:right w:w="85" w:type="dxa"/>
            </w:tcMar>
            <w:vAlign w:val="center"/>
          </w:tcPr>
          <w:p w14:paraId="4BC9B2CC" w14:textId="77777777" w:rsidR="006929CB" w:rsidRPr="0018630D" w:rsidRDefault="006929CB">
            <w:pPr>
              <w:pStyle w:val="TableText"/>
              <w:spacing w:before="40" w:after="40"/>
              <w:jc w:val="right"/>
              <w:rPr>
                <w:szCs w:val="18"/>
              </w:rPr>
            </w:pPr>
            <w:r w:rsidRPr="0018630D">
              <w:rPr>
                <w:rFonts w:eastAsia="Calibri"/>
                <w:szCs w:val="18"/>
              </w:rPr>
              <w:t>–18,600.0</w:t>
            </w:r>
          </w:p>
        </w:tc>
        <w:tc>
          <w:tcPr>
            <w:tcW w:w="992" w:type="dxa"/>
            <w:shd w:val="clear" w:color="auto" w:fill="FFFFFF"/>
            <w:tcMar>
              <w:top w:w="0" w:type="dxa"/>
              <w:left w:w="85" w:type="dxa"/>
              <w:bottom w:w="0" w:type="dxa"/>
              <w:right w:w="85" w:type="dxa"/>
            </w:tcMar>
            <w:vAlign w:val="center"/>
          </w:tcPr>
          <w:p w14:paraId="13DD0D69" w14:textId="77777777" w:rsidR="006929CB" w:rsidRPr="0018630D" w:rsidRDefault="006929CB">
            <w:pPr>
              <w:pStyle w:val="TableText"/>
              <w:spacing w:before="40" w:after="40"/>
              <w:jc w:val="right"/>
              <w:rPr>
                <w:szCs w:val="18"/>
              </w:rPr>
            </w:pPr>
            <w:r w:rsidRPr="0018630D">
              <w:rPr>
                <w:rFonts w:eastAsia="Calibri"/>
                <w:szCs w:val="18"/>
              </w:rPr>
              <w:t>–36,815.5</w:t>
            </w:r>
          </w:p>
        </w:tc>
      </w:tr>
      <w:tr w:rsidR="006929CB" w:rsidRPr="0018630D" w14:paraId="7A43EB3C" w14:textId="77777777" w:rsidTr="0018630D">
        <w:tc>
          <w:tcPr>
            <w:tcW w:w="5529" w:type="dxa"/>
            <w:gridSpan w:val="2"/>
            <w:shd w:val="clear" w:color="auto" w:fill="FFFFFF"/>
            <w:tcMar>
              <w:top w:w="0" w:type="dxa"/>
              <w:left w:w="85" w:type="dxa"/>
              <w:bottom w:w="0" w:type="dxa"/>
              <w:right w:w="85" w:type="dxa"/>
            </w:tcMar>
            <w:vAlign w:val="center"/>
          </w:tcPr>
          <w:p w14:paraId="2B910822" w14:textId="77777777" w:rsidR="006929CB" w:rsidRPr="0018630D" w:rsidRDefault="006929CB">
            <w:pPr>
              <w:pStyle w:val="TableTextbold"/>
              <w:spacing w:before="40" w:after="40"/>
              <w:rPr>
                <w:szCs w:val="18"/>
              </w:rPr>
            </w:pPr>
            <w:r w:rsidRPr="0018630D">
              <w:rPr>
                <w:rFonts w:eastAsia="Calibri"/>
                <w:szCs w:val="18"/>
              </w:rPr>
              <w:t>Total net emissions in calendar year</w:t>
            </w:r>
          </w:p>
        </w:tc>
        <w:tc>
          <w:tcPr>
            <w:tcW w:w="992" w:type="dxa"/>
            <w:shd w:val="clear" w:color="auto" w:fill="FFFFFF"/>
            <w:tcMar>
              <w:top w:w="0" w:type="dxa"/>
              <w:left w:w="85" w:type="dxa"/>
              <w:bottom w:w="0" w:type="dxa"/>
              <w:right w:w="85" w:type="dxa"/>
            </w:tcMar>
            <w:vAlign w:val="center"/>
          </w:tcPr>
          <w:p w14:paraId="75F1CA3A" w14:textId="77777777" w:rsidR="006929CB" w:rsidRPr="0018630D" w:rsidRDefault="006929CB">
            <w:pPr>
              <w:pStyle w:val="TableTextbold"/>
              <w:spacing w:before="40" w:after="40"/>
              <w:jc w:val="right"/>
              <w:rPr>
                <w:szCs w:val="18"/>
              </w:rPr>
            </w:pPr>
            <w:r w:rsidRPr="0018630D">
              <w:rPr>
                <w:rFonts w:eastAsia="Calibri"/>
                <w:szCs w:val="18"/>
              </w:rPr>
              <w:t>–25,869.2</w:t>
            </w:r>
          </w:p>
        </w:tc>
        <w:tc>
          <w:tcPr>
            <w:tcW w:w="992" w:type="dxa"/>
            <w:shd w:val="clear" w:color="auto" w:fill="FFFFFF"/>
            <w:tcMar>
              <w:top w:w="0" w:type="dxa"/>
              <w:left w:w="85" w:type="dxa"/>
              <w:bottom w:w="0" w:type="dxa"/>
              <w:right w:w="85" w:type="dxa"/>
            </w:tcMar>
            <w:vAlign w:val="center"/>
          </w:tcPr>
          <w:p w14:paraId="57E81705" w14:textId="77777777" w:rsidR="006929CB" w:rsidRPr="0018630D" w:rsidRDefault="006929CB">
            <w:pPr>
              <w:pStyle w:val="TableTextbold"/>
              <w:spacing w:before="40" w:after="40"/>
              <w:jc w:val="right"/>
              <w:rPr>
                <w:szCs w:val="18"/>
              </w:rPr>
            </w:pPr>
            <w:r w:rsidRPr="0018630D">
              <w:rPr>
                <w:rFonts w:eastAsia="Calibri"/>
                <w:szCs w:val="18"/>
              </w:rPr>
              <w:t>–24,746.7</w:t>
            </w:r>
          </w:p>
        </w:tc>
        <w:tc>
          <w:tcPr>
            <w:tcW w:w="992" w:type="dxa"/>
            <w:shd w:val="clear" w:color="auto" w:fill="FFFFFF"/>
            <w:tcMar>
              <w:top w:w="0" w:type="dxa"/>
              <w:left w:w="85" w:type="dxa"/>
              <w:bottom w:w="0" w:type="dxa"/>
              <w:right w:w="85" w:type="dxa"/>
            </w:tcMar>
            <w:vAlign w:val="center"/>
          </w:tcPr>
          <w:p w14:paraId="7DC7EFB5" w14:textId="77777777" w:rsidR="006929CB" w:rsidRPr="0018630D" w:rsidRDefault="006929CB">
            <w:pPr>
              <w:pStyle w:val="TableTextbold"/>
              <w:spacing w:before="40" w:after="40"/>
              <w:jc w:val="right"/>
              <w:rPr>
                <w:szCs w:val="18"/>
              </w:rPr>
            </w:pPr>
            <w:r w:rsidRPr="0018630D">
              <w:rPr>
                <w:rFonts w:eastAsia="Calibri"/>
                <w:szCs w:val="18"/>
              </w:rPr>
              <w:t>–50,615.9</w:t>
            </w:r>
          </w:p>
        </w:tc>
      </w:tr>
      <w:tr w:rsidR="006929CB" w:rsidRPr="0018630D" w14:paraId="2E5D32A9" w14:textId="77777777" w:rsidTr="0018630D">
        <w:tc>
          <w:tcPr>
            <w:tcW w:w="5529" w:type="dxa"/>
            <w:gridSpan w:val="2"/>
            <w:shd w:val="clear" w:color="auto" w:fill="FFFFFF"/>
            <w:tcMar>
              <w:top w:w="0" w:type="dxa"/>
              <w:left w:w="85" w:type="dxa"/>
              <w:bottom w:w="0" w:type="dxa"/>
              <w:right w:w="85" w:type="dxa"/>
            </w:tcMar>
            <w:vAlign w:val="center"/>
          </w:tcPr>
          <w:p w14:paraId="1AA46000" w14:textId="77777777" w:rsidR="006929CB" w:rsidRPr="0018630D" w:rsidRDefault="006929CB">
            <w:pPr>
              <w:pStyle w:val="TableText"/>
              <w:spacing w:before="40" w:after="40"/>
              <w:rPr>
                <w:szCs w:val="18"/>
              </w:rPr>
            </w:pPr>
            <w:r w:rsidRPr="0018630D">
              <w:rPr>
                <w:rFonts w:eastAsia="Calibri"/>
                <w:szCs w:val="18"/>
              </w:rPr>
              <w:t>Excluded emissions from natural disturbances</w:t>
            </w:r>
          </w:p>
        </w:tc>
        <w:tc>
          <w:tcPr>
            <w:tcW w:w="992" w:type="dxa"/>
            <w:shd w:val="clear" w:color="auto" w:fill="FFFFFF"/>
            <w:tcMar>
              <w:top w:w="0" w:type="dxa"/>
              <w:left w:w="85" w:type="dxa"/>
              <w:bottom w:w="0" w:type="dxa"/>
              <w:right w:w="85" w:type="dxa"/>
            </w:tcMar>
            <w:vAlign w:val="center"/>
          </w:tcPr>
          <w:p w14:paraId="2F039593" w14:textId="77777777" w:rsidR="006929CB" w:rsidRPr="0018630D" w:rsidRDefault="006929CB">
            <w:pPr>
              <w:pStyle w:val="TableText"/>
              <w:spacing w:before="40" w:after="40"/>
              <w:jc w:val="right"/>
              <w:rPr>
                <w:szCs w:val="18"/>
              </w:rPr>
            </w:pPr>
            <w:r w:rsidRPr="0018630D">
              <w:rPr>
                <w:szCs w:val="18"/>
              </w:rPr>
              <w:t>–</w:t>
            </w:r>
          </w:p>
        </w:tc>
        <w:tc>
          <w:tcPr>
            <w:tcW w:w="992" w:type="dxa"/>
            <w:shd w:val="clear" w:color="auto" w:fill="FFFFFF"/>
            <w:tcMar>
              <w:top w:w="0" w:type="dxa"/>
              <w:left w:w="85" w:type="dxa"/>
              <w:bottom w:w="0" w:type="dxa"/>
              <w:right w:w="85" w:type="dxa"/>
            </w:tcMar>
            <w:vAlign w:val="center"/>
          </w:tcPr>
          <w:p w14:paraId="378DFD5F" w14:textId="77777777" w:rsidR="006929CB" w:rsidRPr="0018630D" w:rsidRDefault="006929CB">
            <w:pPr>
              <w:pStyle w:val="TableText"/>
              <w:spacing w:before="40" w:after="40"/>
              <w:jc w:val="right"/>
              <w:rPr>
                <w:szCs w:val="18"/>
              </w:rPr>
            </w:pPr>
            <w:r w:rsidRPr="0018630D">
              <w:rPr>
                <w:szCs w:val="18"/>
              </w:rPr>
              <w:t>–</w:t>
            </w:r>
          </w:p>
        </w:tc>
        <w:tc>
          <w:tcPr>
            <w:tcW w:w="992" w:type="dxa"/>
            <w:shd w:val="clear" w:color="auto" w:fill="FFFFFF"/>
            <w:tcMar>
              <w:top w:w="0" w:type="dxa"/>
              <w:left w:w="85" w:type="dxa"/>
              <w:bottom w:w="0" w:type="dxa"/>
              <w:right w:w="85" w:type="dxa"/>
            </w:tcMar>
            <w:vAlign w:val="center"/>
          </w:tcPr>
          <w:p w14:paraId="5D3DFE9A" w14:textId="77777777" w:rsidR="006929CB" w:rsidRPr="0018630D" w:rsidRDefault="006929CB">
            <w:pPr>
              <w:pStyle w:val="TableText"/>
              <w:spacing w:before="40" w:after="40"/>
              <w:jc w:val="right"/>
              <w:rPr>
                <w:szCs w:val="18"/>
              </w:rPr>
            </w:pPr>
            <w:r w:rsidRPr="0018630D">
              <w:rPr>
                <w:szCs w:val="18"/>
              </w:rPr>
              <w:t>–</w:t>
            </w:r>
          </w:p>
        </w:tc>
      </w:tr>
      <w:tr w:rsidR="006929CB" w:rsidRPr="0018630D" w14:paraId="394C967E" w14:textId="77777777" w:rsidTr="0018630D">
        <w:tc>
          <w:tcPr>
            <w:tcW w:w="5529" w:type="dxa"/>
            <w:gridSpan w:val="2"/>
            <w:shd w:val="clear" w:color="auto" w:fill="1B556B"/>
            <w:tcMar>
              <w:top w:w="0" w:type="dxa"/>
              <w:left w:w="85" w:type="dxa"/>
              <w:bottom w:w="0" w:type="dxa"/>
              <w:right w:w="85" w:type="dxa"/>
            </w:tcMar>
            <w:vAlign w:val="center"/>
          </w:tcPr>
          <w:p w14:paraId="486D59A2" w14:textId="77777777" w:rsidR="006929CB" w:rsidRPr="0018630D" w:rsidRDefault="006929CB">
            <w:pPr>
              <w:pStyle w:val="TableTextbold"/>
              <w:keepNext/>
              <w:spacing w:before="40" w:after="40"/>
              <w:rPr>
                <w:color w:val="FFFFFF" w:themeColor="background1"/>
                <w:szCs w:val="18"/>
              </w:rPr>
            </w:pPr>
            <w:r w:rsidRPr="0018630D">
              <w:rPr>
                <w:rFonts w:eastAsia="Calibri"/>
                <w:color w:val="FFFFFF" w:themeColor="background1"/>
                <w:szCs w:val="18"/>
              </w:rPr>
              <w:t>Provisional accounting quantities by activity</w:t>
            </w:r>
          </w:p>
        </w:tc>
        <w:tc>
          <w:tcPr>
            <w:tcW w:w="992" w:type="dxa"/>
            <w:shd w:val="clear" w:color="auto" w:fill="1B556B"/>
            <w:tcMar>
              <w:top w:w="0" w:type="dxa"/>
              <w:left w:w="85" w:type="dxa"/>
              <w:bottom w:w="0" w:type="dxa"/>
              <w:right w:w="85" w:type="dxa"/>
            </w:tcMar>
            <w:vAlign w:val="center"/>
          </w:tcPr>
          <w:p w14:paraId="26146655" w14:textId="77777777" w:rsidR="006929CB" w:rsidRPr="0018630D" w:rsidRDefault="006929CB">
            <w:pPr>
              <w:pStyle w:val="TableTextbold"/>
              <w:spacing w:before="40" w:after="40"/>
              <w:jc w:val="right"/>
              <w:rPr>
                <w:color w:val="FFFFFF" w:themeColor="background1"/>
                <w:szCs w:val="18"/>
              </w:rPr>
            </w:pPr>
          </w:p>
        </w:tc>
        <w:tc>
          <w:tcPr>
            <w:tcW w:w="992" w:type="dxa"/>
            <w:shd w:val="clear" w:color="auto" w:fill="1B556B"/>
            <w:tcMar>
              <w:top w:w="0" w:type="dxa"/>
              <w:left w:w="85" w:type="dxa"/>
              <w:bottom w:w="0" w:type="dxa"/>
              <w:right w:w="85" w:type="dxa"/>
            </w:tcMar>
            <w:vAlign w:val="center"/>
          </w:tcPr>
          <w:p w14:paraId="77A6937B" w14:textId="77777777" w:rsidR="006929CB" w:rsidRPr="0018630D" w:rsidRDefault="006929CB">
            <w:pPr>
              <w:pStyle w:val="TableTextbold"/>
              <w:spacing w:before="40" w:after="40"/>
              <w:jc w:val="right"/>
              <w:rPr>
                <w:color w:val="FFFFFF" w:themeColor="background1"/>
                <w:szCs w:val="18"/>
              </w:rPr>
            </w:pPr>
          </w:p>
        </w:tc>
        <w:tc>
          <w:tcPr>
            <w:tcW w:w="992" w:type="dxa"/>
            <w:shd w:val="clear" w:color="auto" w:fill="1B556B"/>
            <w:tcMar>
              <w:top w:w="0" w:type="dxa"/>
              <w:left w:w="85" w:type="dxa"/>
              <w:bottom w:w="0" w:type="dxa"/>
              <w:right w:w="85" w:type="dxa"/>
            </w:tcMar>
            <w:vAlign w:val="center"/>
          </w:tcPr>
          <w:p w14:paraId="4C74D643" w14:textId="77777777" w:rsidR="006929CB" w:rsidRPr="0018630D" w:rsidRDefault="006929CB">
            <w:pPr>
              <w:pStyle w:val="TableTextbold"/>
              <w:spacing w:before="40" w:after="40"/>
              <w:jc w:val="right"/>
              <w:rPr>
                <w:color w:val="FFFFFF" w:themeColor="background1"/>
                <w:szCs w:val="18"/>
              </w:rPr>
            </w:pPr>
          </w:p>
        </w:tc>
      </w:tr>
      <w:tr w:rsidR="006929CB" w:rsidRPr="0018630D" w14:paraId="715526A4" w14:textId="77777777" w:rsidTr="0018630D">
        <w:tc>
          <w:tcPr>
            <w:tcW w:w="2552" w:type="dxa"/>
            <w:vMerge w:val="restart"/>
            <w:shd w:val="clear" w:color="auto" w:fill="FFFFFF"/>
            <w:tcMar>
              <w:top w:w="0" w:type="dxa"/>
              <w:left w:w="85" w:type="dxa"/>
              <w:bottom w:w="0" w:type="dxa"/>
              <w:right w:w="85" w:type="dxa"/>
            </w:tcMar>
            <w:vAlign w:val="center"/>
          </w:tcPr>
          <w:p w14:paraId="4A36248F" w14:textId="77777777" w:rsidR="006929CB" w:rsidRPr="0018630D" w:rsidRDefault="006929CB">
            <w:pPr>
              <w:pStyle w:val="TableText"/>
              <w:spacing w:before="40" w:after="40"/>
              <w:rPr>
                <w:szCs w:val="18"/>
              </w:rPr>
            </w:pPr>
            <w:r w:rsidRPr="0018630D">
              <w:rPr>
                <w:rFonts w:eastAsia="Calibri"/>
                <w:szCs w:val="18"/>
              </w:rPr>
              <w:t>Afforestation and reforestation</w:t>
            </w:r>
          </w:p>
        </w:tc>
        <w:tc>
          <w:tcPr>
            <w:tcW w:w="2977" w:type="dxa"/>
            <w:shd w:val="clear" w:color="auto" w:fill="FFFFFF"/>
            <w:tcMar>
              <w:top w:w="0" w:type="dxa"/>
              <w:left w:w="85" w:type="dxa"/>
              <w:bottom w:w="0" w:type="dxa"/>
              <w:right w:w="85" w:type="dxa"/>
            </w:tcMar>
            <w:vAlign w:val="center"/>
          </w:tcPr>
          <w:p w14:paraId="1A25520D" w14:textId="77777777" w:rsidR="006929CB" w:rsidRPr="0018630D" w:rsidRDefault="006929CB" w:rsidP="003B705F">
            <w:pPr>
              <w:pStyle w:val="TableText"/>
              <w:spacing w:before="40" w:after="40"/>
              <w:rPr>
                <w:szCs w:val="18"/>
              </w:rPr>
            </w:pPr>
            <w:r w:rsidRPr="0018630D">
              <w:rPr>
                <w:rFonts w:eastAsia="Calibri"/>
                <w:szCs w:val="18"/>
              </w:rPr>
              <w:t>Below long-term average accounting emissions</w:t>
            </w:r>
          </w:p>
        </w:tc>
        <w:tc>
          <w:tcPr>
            <w:tcW w:w="992" w:type="dxa"/>
            <w:shd w:val="clear" w:color="auto" w:fill="FFFFFF"/>
            <w:tcMar>
              <w:top w:w="0" w:type="dxa"/>
              <w:left w:w="85" w:type="dxa"/>
              <w:bottom w:w="0" w:type="dxa"/>
              <w:right w:w="85" w:type="dxa"/>
            </w:tcMar>
            <w:vAlign w:val="center"/>
          </w:tcPr>
          <w:p w14:paraId="24C976DE" w14:textId="77777777" w:rsidR="006929CB" w:rsidRPr="0018630D" w:rsidRDefault="006929CB">
            <w:pPr>
              <w:pStyle w:val="TableText"/>
              <w:spacing w:before="40" w:after="40"/>
              <w:jc w:val="right"/>
              <w:rPr>
                <w:szCs w:val="18"/>
              </w:rPr>
            </w:pPr>
            <w:r w:rsidRPr="0018630D">
              <w:rPr>
                <w:rFonts w:eastAsia="Calibri"/>
                <w:szCs w:val="18"/>
              </w:rPr>
              <w:t>–9,238.1</w:t>
            </w:r>
          </w:p>
        </w:tc>
        <w:tc>
          <w:tcPr>
            <w:tcW w:w="992" w:type="dxa"/>
            <w:shd w:val="clear" w:color="auto" w:fill="FFFFFF"/>
            <w:tcMar>
              <w:top w:w="0" w:type="dxa"/>
              <w:left w:w="85" w:type="dxa"/>
              <w:bottom w:w="0" w:type="dxa"/>
              <w:right w:w="85" w:type="dxa"/>
            </w:tcMar>
            <w:vAlign w:val="center"/>
          </w:tcPr>
          <w:p w14:paraId="5FE1FAB0" w14:textId="77777777" w:rsidR="006929CB" w:rsidRPr="0018630D" w:rsidRDefault="006929CB">
            <w:pPr>
              <w:pStyle w:val="TableText"/>
              <w:spacing w:before="40" w:after="40"/>
              <w:jc w:val="right"/>
              <w:rPr>
                <w:szCs w:val="18"/>
              </w:rPr>
            </w:pPr>
            <w:r w:rsidRPr="0018630D">
              <w:rPr>
                <w:rFonts w:eastAsia="Calibri"/>
                <w:szCs w:val="18"/>
              </w:rPr>
              <w:t>–7,708.9</w:t>
            </w:r>
          </w:p>
        </w:tc>
        <w:tc>
          <w:tcPr>
            <w:tcW w:w="992" w:type="dxa"/>
            <w:shd w:val="clear" w:color="auto" w:fill="auto"/>
            <w:tcMar>
              <w:top w:w="0" w:type="dxa"/>
              <w:left w:w="85" w:type="dxa"/>
              <w:bottom w:w="0" w:type="dxa"/>
              <w:right w:w="85" w:type="dxa"/>
            </w:tcMar>
            <w:vAlign w:val="center"/>
          </w:tcPr>
          <w:p w14:paraId="7B5B1C2F" w14:textId="77777777" w:rsidR="006929CB" w:rsidRPr="0018630D" w:rsidRDefault="006929CB">
            <w:pPr>
              <w:pStyle w:val="TableText"/>
              <w:spacing w:before="40" w:after="40"/>
              <w:jc w:val="right"/>
              <w:rPr>
                <w:bCs/>
                <w:szCs w:val="18"/>
              </w:rPr>
            </w:pPr>
            <w:r w:rsidRPr="0018630D">
              <w:rPr>
                <w:rFonts w:eastAsia="Calibri"/>
                <w:bCs/>
                <w:szCs w:val="18"/>
              </w:rPr>
              <w:t>–16,947.0</w:t>
            </w:r>
          </w:p>
        </w:tc>
      </w:tr>
      <w:tr w:rsidR="006929CB" w:rsidRPr="0018630D" w14:paraId="58FA962A" w14:textId="77777777" w:rsidTr="0018630D">
        <w:tc>
          <w:tcPr>
            <w:tcW w:w="2552" w:type="dxa"/>
            <w:vMerge/>
            <w:shd w:val="clear" w:color="auto" w:fill="FFFFFF"/>
            <w:tcMar>
              <w:top w:w="0" w:type="dxa"/>
              <w:left w:w="85" w:type="dxa"/>
              <w:bottom w:w="0" w:type="dxa"/>
              <w:right w:w="85" w:type="dxa"/>
            </w:tcMar>
            <w:vAlign w:val="center"/>
          </w:tcPr>
          <w:p w14:paraId="6AB84D3F" w14:textId="77777777" w:rsidR="006929CB" w:rsidRPr="0018630D" w:rsidRDefault="006929CB">
            <w:pPr>
              <w:pBdr>
                <w:top w:val="none" w:sz="0" w:space="0" w:color="000000"/>
                <w:left w:val="none" w:sz="0" w:space="0" w:color="000000"/>
                <w:bottom w:val="none" w:sz="0" w:space="0" w:color="000000"/>
                <w:right w:val="none" w:sz="0" w:space="0" w:color="000000"/>
              </w:pBdr>
              <w:spacing w:before="40" w:after="40"/>
              <w:ind w:left="100" w:right="100"/>
              <w:rPr>
                <w:sz w:val="18"/>
                <w:szCs w:val="18"/>
              </w:rPr>
            </w:pPr>
          </w:p>
        </w:tc>
        <w:tc>
          <w:tcPr>
            <w:tcW w:w="2977" w:type="dxa"/>
            <w:shd w:val="clear" w:color="auto" w:fill="FFFFFF"/>
            <w:tcMar>
              <w:top w:w="0" w:type="dxa"/>
              <w:left w:w="85" w:type="dxa"/>
              <w:bottom w:w="0" w:type="dxa"/>
              <w:right w:w="85" w:type="dxa"/>
            </w:tcMar>
            <w:vAlign w:val="center"/>
          </w:tcPr>
          <w:p w14:paraId="3B786AD7" w14:textId="77777777" w:rsidR="006929CB" w:rsidRPr="0018630D" w:rsidRDefault="006929CB">
            <w:pPr>
              <w:pStyle w:val="TableTextbold"/>
              <w:spacing w:before="40" w:after="40"/>
              <w:rPr>
                <w:szCs w:val="18"/>
              </w:rPr>
            </w:pPr>
            <w:r w:rsidRPr="0018630D">
              <w:rPr>
                <w:rFonts w:eastAsia="Calibri"/>
                <w:szCs w:val="18"/>
              </w:rPr>
              <w:t>Cumulative emissions</w:t>
            </w:r>
          </w:p>
        </w:tc>
        <w:tc>
          <w:tcPr>
            <w:tcW w:w="992" w:type="dxa"/>
            <w:shd w:val="clear" w:color="auto" w:fill="FFFFFF"/>
            <w:tcMar>
              <w:top w:w="0" w:type="dxa"/>
              <w:left w:w="85" w:type="dxa"/>
              <w:bottom w:w="0" w:type="dxa"/>
              <w:right w:w="85" w:type="dxa"/>
            </w:tcMar>
            <w:vAlign w:val="center"/>
          </w:tcPr>
          <w:p w14:paraId="15A784BD" w14:textId="77777777" w:rsidR="006929CB" w:rsidRPr="0018630D" w:rsidRDefault="006929CB">
            <w:pPr>
              <w:pStyle w:val="TableTextbold"/>
              <w:spacing w:before="40" w:after="40"/>
              <w:jc w:val="right"/>
              <w:rPr>
                <w:szCs w:val="18"/>
              </w:rPr>
            </w:pPr>
            <w:r w:rsidRPr="0018630D">
              <w:rPr>
                <w:rFonts w:eastAsia="Calibri"/>
                <w:szCs w:val="18"/>
              </w:rPr>
              <w:t>–9,238.1</w:t>
            </w:r>
          </w:p>
        </w:tc>
        <w:tc>
          <w:tcPr>
            <w:tcW w:w="992" w:type="dxa"/>
            <w:shd w:val="clear" w:color="auto" w:fill="FFFFFF"/>
            <w:tcMar>
              <w:top w:w="0" w:type="dxa"/>
              <w:left w:w="85" w:type="dxa"/>
              <w:bottom w:w="0" w:type="dxa"/>
              <w:right w:w="85" w:type="dxa"/>
            </w:tcMar>
            <w:vAlign w:val="center"/>
          </w:tcPr>
          <w:p w14:paraId="569BF6D7" w14:textId="77777777" w:rsidR="006929CB" w:rsidRPr="0018630D" w:rsidRDefault="006929CB">
            <w:pPr>
              <w:pStyle w:val="TableTextbold"/>
              <w:spacing w:before="40" w:after="40"/>
              <w:jc w:val="right"/>
              <w:rPr>
                <w:szCs w:val="18"/>
              </w:rPr>
            </w:pPr>
            <w:r w:rsidRPr="0018630D">
              <w:rPr>
                <w:rFonts w:eastAsia="Calibri"/>
                <w:szCs w:val="18"/>
              </w:rPr>
              <w:t>–16,947.0</w:t>
            </w:r>
          </w:p>
        </w:tc>
        <w:tc>
          <w:tcPr>
            <w:tcW w:w="992" w:type="dxa"/>
            <w:shd w:val="clear" w:color="auto" w:fill="FFFFFF"/>
            <w:tcMar>
              <w:top w:w="0" w:type="dxa"/>
              <w:left w:w="85" w:type="dxa"/>
              <w:bottom w:w="0" w:type="dxa"/>
              <w:right w:w="85" w:type="dxa"/>
            </w:tcMar>
            <w:vAlign w:val="center"/>
          </w:tcPr>
          <w:p w14:paraId="38596814" w14:textId="77777777" w:rsidR="006929CB" w:rsidRPr="0018630D" w:rsidRDefault="006929CB">
            <w:pPr>
              <w:pStyle w:val="TableTextbold"/>
              <w:spacing w:before="40" w:after="40"/>
              <w:jc w:val="right"/>
              <w:rPr>
                <w:szCs w:val="18"/>
              </w:rPr>
            </w:pPr>
            <w:r w:rsidRPr="0018630D">
              <w:rPr>
                <w:rFonts w:eastAsia="Calibri"/>
                <w:szCs w:val="18"/>
              </w:rPr>
              <w:t>–16,947.0</w:t>
            </w:r>
          </w:p>
        </w:tc>
      </w:tr>
      <w:tr w:rsidR="006929CB" w:rsidRPr="0018630D" w14:paraId="04641D56" w14:textId="77777777" w:rsidTr="0018630D">
        <w:tc>
          <w:tcPr>
            <w:tcW w:w="2552" w:type="dxa"/>
            <w:vMerge w:val="restart"/>
            <w:shd w:val="clear" w:color="auto" w:fill="FFFFFF"/>
            <w:tcMar>
              <w:top w:w="0" w:type="dxa"/>
              <w:left w:w="85" w:type="dxa"/>
              <w:bottom w:w="0" w:type="dxa"/>
              <w:right w:w="85" w:type="dxa"/>
            </w:tcMar>
            <w:vAlign w:val="center"/>
          </w:tcPr>
          <w:p w14:paraId="205FAD5D" w14:textId="77777777" w:rsidR="006929CB" w:rsidRPr="0018630D" w:rsidRDefault="006929CB">
            <w:pPr>
              <w:pStyle w:val="TableText"/>
              <w:spacing w:before="40" w:after="40"/>
              <w:rPr>
                <w:rFonts w:eastAsia="Calibri"/>
                <w:szCs w:val="18"/>
              </w:rPr>
            </w:pPr>
            <w:r w:rsidRPr="0018630D">
              <w:rPr>
                <w:rFonts w:eastAsia="Calibri"/>
                <w:szCs w:val="18"/>
              </w:rPr>
              <w:t>Deforestation</w:t>
            </w:r>
          </w:p>
        </w:tc>
        <w:tc>
          <w:tcPr>
            <w:tcW w:w="2977" w:type="dxa"/>
            <w:shd w:val="clear" w:color="auto" w:fill="FFFFFF"/>
            <w:tcMar>
              <w:top w:w="0" w:type="dxa"/>
              <w:left w:w="85" w:type="dxa"/>
              <w:bottom w:w="0" w:type="dxa"/>
              <w:right w:w="85" w:type="dxa"/>
            </w:tcMar>
            <w:vAlign w:val="center"/>
          </w:tcPr>
          <w:p w14:paraId="118A960A" w14:textId="77777777" w:rsidR="006929CB" w:rsidRPr="0018630D" w:rsidRDefault="006929CB">
            <w:pPr>
              <w:pStyle w:val="TableText"/>
              <w:spacing w:before="40" w:after="40"/>
              <w:rPr>
                <w:rFonts w:eastAsia="Calibri"/>
                <w:szCs w:val="18"/>
              </w:rPr>
            </w:pPr>
            <w:r w:rsidRPr="0018630D">
              <w:rPr>
                <w:rFonts w:eastAsia="Calibri"/>
                <w:bCs/>
                <w:szCs w:val="18"/>
              </w:rPr>
              <w:t>Deforestation</w:t>
            </w:r>
          </w:p>
        </w:tc>
        <w:tc>
          <w:tcPr>
            <w:tcW w:w="992" w:type="dxa"/>
            <w:shd w:val="clear" w:color="auto" w:fill="FFFFFF"/>
            <w:tcMar>
              <w:top w:w="0" w:type="dxa"/>
              <w:left w:w="85" w:type="dxa"/>
              <w:bottom w:w="0" w:type="dxa"/>
              <w:right w:w="85" w:type="dxa"/>
            </w:tcMar>
            <w:vAlign w:val="center"/>
          </w:tcPr>
          <w:p w14:paraId="0CAABB87" w14:textId="77777777" w:rsidR="006929CB" w:rsidRPr="0018630D" w:rsidRDefault="006929CB">
            <w:pPr>
              <w:pStyle w:val="TableText"/>
              <w:spacing w:before="40" w:after="40"/>
              <w:jc w:val="right"/>
              <w:rPr>
                <w:rFonts w:eastAsia="Calibri"/>
                <w:b/>
                <w:szCs w:val="18"/>
              </w:rPr>
            </w:pPr>
            <w:r w:rsidRPr="0018630D">
              <w:rPr>
                <w:rFonts w:eastAsia="Calibri"/>
                <w:szCs w:val="18"/>
              </w:rPr>
              <w:t>3,170.8</w:t>
            </w:r>
          </w:p>
        </w:tc>
        <w:tc>
          <w:tcPr>
            <w:tcW w:w="992" w:type="dxa"/>
            <w:shd w:val="clear" w:color="auto" w:fill="FFFFFF"/>
            <w:tcMar>
              <w:top w:w="0" w:type="dxa"/>
              <w:left w:w="85" w:type="dxa"/>
              <w:bottom w:w="0" w:type="dxa"/>
              <w:right w:w="85" w:type="dxa"/>
            </w:tcMar>
            <w:vAlign w:val="center"/>
          </w:tcPr>
          <w:p w14:paraId="0CE8DEDF" w14:textId="77777777" w:rsidR="006929CB" w:rsidRPr="0018630D" w:rsidRDefault="006929CB">
            <w:pPr>
              <w:pStyle w:val="TableText"/>
              <w:spacing w:before="40" w:after="40"/>
              <w:jc w:val="right"/>
              <w:rPr>
                <w:rFonts w:eastAsia="Calibri"/>
                <w:b/>
                <w:szCs w:val="18"/>
              </w:rPr>
            </w:pPr>
            <w:r w:rsidRPr="0018630D">
              <w:rPr>
                <w:rFonts w:eastAsia="Calibri"/>
                <w:szCs w:val="18"/>
              </w:rPr>
              <w:t>2,429.4</w:t>
            </w:r>
          </w:p>
        </w:tc>
        <w:tc>
          <w:tcPr>
            <w:tcW w:w="992" w:type="dxa"/>
            <w:shd w:val="clear" w:color="auto" w:fill="FFFFFF"/>
            <w:tcMar>
              <w:top w:w="0" w:type="dxa"/>
              <w:left w:w="85" w:type="dxa"/>
              <w:bottom w:w="0" w:type="dxa"/>
              <w:right w:w="85" w:type="dxa"/>
            </w:tcMar>
            <w:vAlign w:val="center"/>
          </w:tcPr>
          <w:p w14:paraId="5CBAC6A9" w14:textId="77777777" w:rsidR="006929CB" w:rsidRPr="0018630D" w:rsidRDefault="006929CB">
            <w:pPr>
              <w:pStyle w:val="TableText"/>
              <w:spacing w:before="40" w:after="40"/>
              <w:jc w:val="right"/>
              <w:rPr>
                <w:rFonts w:eastAsia="Calibri"/>
                <w:bCs/>
                <w:szCs w:val="18"/>
              </w:rPr>
            </w:pPr>
            <w:r w:rsidRPr="0018630D">
              <w:rPr>
                <w:rFonts w:eastAsia="Calibri"/>
                <w:bCs/>
                <w:szCs w:val="18"/>
              </w:rPr>
              <w:t>5,600.2</w:t>
            </w:r>
          </w:p>
        </w:tc>
      </w:tr>
      <w:tr w:rsidR="006929CB" w:rsidRPr="0018630D" w14:paraId="5C2B756E" w14:textId="77777777" w:rsidTr="0018630D">
        <w:tc>
          <w:tcPr>
            <w:tcW w:w="2552" w:type="dxa"/>
            <w:vMerge/>
            <w:shd w:val="clear" w:color="auto" w:fill="FFFFFF"/>
            <w:tcMar>
              <w:top w:w="0" w:type="dxa"/>
              <w:left w:w="85" w:type="dxa"/>
              <w:bottom w:w="0" w:type="dxa"/>
              <w:right w:w="85" w:type="dxa"/>
            </w:tcMar>
            <w:vAlign w:val="center"/>
          </w:tcPr>
          <w:p w14:paraId="0FC61ADA" w14:textId="77777777" w:rsidR="006929CB" w:rsidRPr="0018630D" w:rsidRDefault="006929CB">
            <w:pPr>
              <w:pBdr>
                <w:top w:val="none" w:sz="0" w:space="0" w:color="000000"/>
                <w:left w:val="none" w:sz="0" w:space="0" w:color="000000"/>
                <w:bottom w:val="none" w:sz="0" w:space="0" w:color="000000"/>
                <w:right w:val="none" w:sz="0" w:space="0" w:color="000000"/>
              </w:pBdr>
              <w:spacing w:before="40" w:after="40"/>
              <w:ind w:left="100" w:right="100"/>
              <w:rPr>
                <w:sz w:val="18"/>
                <w:szCs w:val="18"/>
              </w:rPr>
            </w:pPr>
          </w:p>
        </w:tc>
        <w:tc>
          <w:tcPr>
            <w:tcW w:w="2977" w:type="dxa"/>
            <w:shd w:val="clear" w:color="auto" w:fill="FFFFFF"/>
            <w:tcMar>
              <w:top w:w="0" w:type="dxa"/>
              <w:left w:w="85" w:type="dxa"/>
              <w:bottom w:w="0" w:type="dxa"/>
              <w:right w:w="85" w:type="dxa"/>
            </w:tcMar>
            <w:vAlign w:val="center"/>
          </w:tcPr>
          <w:p w14:paraId="3E00CFEC" w14:textId="77777777" w:rsidR="006929CB" w:rsidRPr="0018630D" w:rsidRDefault="006929CB">
            <w:pPr>
              <w:pStyle w:val="TableTextbold"/>
              <w:spacing w:before="40" w:after="40"/>
              <w:rPr>
                <w:szCs w:val="18"/>
              </w:rPr>
            </w:pPr>
            <w:r w:rsidRPr="0018630D">
              <w:rPr>
                <w:rFonts w:eastAsia="Calibri"/>
                <w:szCs w:val="18"/>
              </w:rPr>
              <w:t>Cumulative emissions</w:t>
            </w:r>
          </w:p>
        </w:tc>
        <w:tc>
          <w:tcPr>
            <w:tcW w:w="992" w:type="dxa"/>
            <w:shd w:val="clear" w:color="auto" w:fill="FFFFFF"/>
            <w:tcMar>
              <w:top w:w="0" w:type="dxa"/>
              <w:left w:w="85" w:type="dxa"/>
              <w:bottom w:w="0" w:type="dxa"/>
              <w:right w:w="85" w:type="dxa"/>
            </w:tcMar>
            <w:vAlign w:val="center"/>
          </w:tcPr>
          <w:p w14:paraId="40356973" w14:textId="77777777" w:rsidR="006929CB" w:rsidRPr="0018630D" w:rsidRDefault="006929CB">
            <w:pPr>
              <w:pStyle w:val="TableTextbold"/>
              <w:spacing w:before="40" w:after="40"/>
              <w:jc w:val="right"/>
              <w:rPr>
                <w:szCs w:val="18"/>
              </w:rPr>
            </w:pPr>
            <w:r w:rsidRPr="0018630D">
              <w:rPr>
                <w:rFonts w:eastAsia="Calibri"/>
                <w:szCs w:val="18"/>
              </w:rPr>
              <w:t>3,170.8</w:t>
            </w:r>
          </w:p>
        </w:tc>
        <w:tc>
          <w:tcPr>
            <w:tcW w:w="992" w:type="dxa"/>
            <w:shd w:val="clear" w:color="auto" w:fill="FFFFFF"/>
            <w:tcMar>
              <w:top w:w="0" w:type="dxa"/>
              <w:left w:w="85" w:type="dxa"/>
              <w:bottom w:w="0" w:type="dxa"/>
              <w:right w:w="85" w:type="dxa"/>
            </w:tcMar>
            <w:vAlign w:val="center"/>
          </w:tcPr>
          <w:p w14:paraId="5C1B3D03" w14:textId="77777777" w:rsidR="006929CB" w:rsidRPr="0018630D" w:rsidRDefault="006929CB">
            <w:pPr>
              <w:pStyle w:val="TableTextbold"/>
              <w:spacing w:before="40" w:after="40"/>
              <w:jc w:val="right"/>
              <w:rPr>
                <w:szCs w:val="18"/>
              </w:rPr>
            </w:pPr>
            <w:r w:rsidRPr="0018630D">
              <w:rPr>
                <w:rFonts w:eastAsia="Calibri"/>
                <w:szCs w:val="18"/>
              </w:rPr>
              <w:t>5,600.2</w:t>
            </w:r>
          </w:p>
        </w:tc>
        <w:tc>
          <w:tcPr>
            <w:tcW w:w="992" w:type="dxa"/>
            <w:shd w:val="clear" w:color="auto" w:fill="FFFFFF"/>
            <w:tcMar>
              <w:top w:w="0" w:type="dxa"/>
              <w:left w:w="85" w:type="dxa"/>
              <w:bottom w:w="0" w:type="dxa"/>
              <w:right w:w="85" w:type="dxa"/>
            </w:tcMar>
            <w:vAlign w:val="center"/>
          </w:tcPr>
          <w:p w14:paraId="1C008CEF" w14:textId="77777777" w:rsidR="006929CB" w:rsidRPr="0018630D" w:rsidRDefault="006929CB">
            <w:pPr>
              <w:pStyle w:val="TableTextbold"/>
              <w:spacing w:before="40" w:after="40"/>
              <w:jc w:val="right"/>
              <w:rPr>
                <w:szCs w:val="18"/>
              </w:rPr>
            </w:pPr>
            <w:r w:rsidRPr="0018630D">
              <w:rPr>
                <w:rFonts w:eastAsia="Calibri"/>
                <w:szCs w:val="18"/>
              </w:rPr>
              <w:t>5,600.2</w:t>
            </w:r>
          </w:p>
        </w:tc>
      </w:tr>
      <w:tr w:rsidR="006929CB" w:rsidRPr="0018630D" w14:paraId="632AAB52" w14:textId="77777777" w:rsidTr="0018630D">
        <w:tc>
          <w:tcPr>
            <w:tcW w:w="2552" w:type="dxa"/>
            <w:vMerge w:val="restart"/>
            <w:shd w:val="clear" w:color="auto" w:fill="FFFFFF"/>
            <w:tcMar>
              <w:top w:w="0" w:type="dxa"/>
              <w:left w:w="85" w:type="dxa"/>
              <w:bottom w:w="0" w:type="dxa"/>
              <w:right w:w="85" w:type="dxa"/>
            </w:tcMar>
            <w:vAlign w:val="center"/>
          </w:tcPr>
          <w:p w14:paraId="0A44D72E" w14:textId="77777777" w:rsidR="006929CB" w:rsidRPr="0018630D" w:rsidRDefault="006929CB">
            <w:pPr>
              <w:pStyle w:val="TableText"/>
              <w:spacing w:before="40" w:after="40"/>
              <w:rPr>
                <w:szCs w:val="18"/>
              </w:rPr>
            </w:pPr>
            <w:r w:rsidRPr="0018630D">
              <w:rPr>
                <w:rFonts w:eastAsia="Calibri"/>
                <w:szCs w:val="18"/>
              </w:rPr>
              <w:t>Forest management</w:t>
            </w:r>
          </w:p>
        </w:tc>
        <w:tc>
          <w:tcPr>
            <w:tcW w:w="2977" w:type="dxa"/>
            <w:shd w:val="clear" w:color="auto" w:fill="FFFFFF"/>
            <w:tcMar>
              <w:top w:w="0" w:type="dxa"/>
              <w:left w:w="85" w:type="dxa"/>
              <w:bottom w:w="0" w:type="dxa"/>
              <w:right w:w="85" w:type="dxa"/>
            </w:tcMar>
            <w:vAlign w:val="center"/>
          </w:tcPr>
          <w:p w14:paraId="0DFFA780" w14:textId="77777777" w:rsidR="006929CB" w:rsidRPr="0018630D" w:rsidRDefault="006929CB">
            <w:pPr>
              <w:pStyle w:val="TableText"/>
              <w:spacing w:before="40" w:after="40"/>
              <w:rPr>
                <w:szCs w:val="18"/>
              </w:rPr>
            </w:pPr>
            <w:r w:rsidRPr="0018630D">
              <w:rPr>
                <w:rFonts w:eastAsia="Calibri"/>
                <w:szCs w:val="18"/>
              </w:rPr>
              <w:t>Reference level</w:t>
            </w:r>
          </w:p>
        </w:tc>
        <w:tc>
          <w:tcPr>
            <w:tcW w:w="992" w:type="dxa"/>
            <w:shd w:val="clear" w:color="auto" w:fill="FFFFFF"/>
            <w:tcMar>
              <w:top w:w="0" w:type="dxa"/>
              <w:left w:w="85" w:type="dxa"/>
              <w:bottom w:w="0" w:type="dxa"/>
              <w:right w:w="85" w:type="dxa"/>
            </w:tcMar>
            <w:vAlign w:val="center"/>
          </w:tcPr>
          <w:p w14:paraId="23C99E49" w14:textId="77777777" w:rsidR="006929CB" w:rsidRPr="0018630D" w:rsidRDefault="006929CB">
            <w:pPr>
              <w:pStyle w:val="TableText"/>
              <w:spacing w:before="40" w:after="40"/>
              <w:jc w:val="right"/>
              <w:rPr>
                <w:szCs w:val="18"/>
              </w:rPr>
            </w:pPr>
            <w:r w:rsidRPr="0018630D">
              <w:rPr>
                <w:rFonts w:eastAsia="Calibri"/>
                <w:szCs w:val="18"/>
              </w:rPr>
              <w:t>–18,566.1</w:t>
            </w:r>
          </w:p>
        </w:tc>
        <w:tc>
          <w:tcPr>
            <w:tcW w:w="992" w:type="dxa"/>
            <w:shd w:val="clear" w:color="auto" w:fill="FFFFFF"/>
            <w:tcMar>
              <w:top w:w="0" w:type="dxa"/>
              <w:left w:w="85" w:type="dxa"/>
              <w:bottom w:w="0" w:type="dxa"/>
              <w:right w:w="85" w:type="dxa"/>
            </w:tcMar>
            <w:vAlign w:val="center"/>
          </w:tcPr>
          <w:p w14:paraId="08CA269F" w14:textId="77777777" w:rsidR="006929CB" w:rsidRPr="0018630D" w:rsidRDefault="006929CB">
            <w:pPr>
              <w:pStyle w:val="TableText"/>
              <w:spacing w:before="40" w:after="40"/>
              <w:jc w:val="right"/>
              <w:rPr>
                <w:szCs w:val="18"/>
              </w:rPr>
            </w:pPr>
            <w:r w:rsidRPr="0018630D">
              <w:rPr>
                <w:rFonts w:eastAsia="Calibri"/>
                <w:szCs w:val="18"/>
              </w:rPr>
              <w:t>–18,566.1</w:t>
            </w:r>
          </w:p>
        </w:tc>
        <w:tc>
          <w:tcPr>
            <w:tcW w:w="992" w:type="dxa"/>
            <w:shd w:val="clear" w:color="auto" w:fill="FFFFFF"/>
            <w:tcMar>
              <w:top w:w="0" w:type="dxa"/>
              <w:left w:w="85" w:type="dxa"/>
              <w:bottom w:w="0" w:type="dxa"/>
              <w:right w:w="85" w:type="dxa"/>
            </w:tcMar>
            <w:vAlign w:val="center"/>
          </w:tcPr>
          <w:p w14:paraId="4E385BE8" w14:textId="77777777" w:rsidR="006929CB" w:rsidRPr="0018630D" w:rsidRDefault="006929CB">
            <w:pPr>
              <w:pStyle w:val="TableText"/>
              <w:spacing w:before="40" w:after="40"/>
              <w:jc w:val="right"/>
              <w:rPr>
                <w:szCs w:val="18"/>
              </w:rPr>
            </w:pPr>
            <w:r w:rsidRPr="0018630D">
              <w:rPr>
                <w:szCs w:val="18"/>
              </w:rPr>
              <w:t>–37,132.2</w:t>
            </w:r>
          </w:p>
        </w:tc>
      </w:tr>
      <w:tr w:rsidR="006929CB" w:rsidRPr="0018630D" w14:paraId="261C6CC5" w14:textId="77777777" w:rsidTr="0018630D">
        <w:tc>
          <w:tcPr>
            <w:tcW w:w="2552" w:type="dxa"/>
            <w:vMerge/>
            <w:shd w:val="clear" w:color="auto" w:fill="FFFFFF"/>
            <w:tcMar>
              <w:top w:w="0" w:type="dxa"/>
              <w:left w:w="85" w:type="dxa"/>
              <w:bottom w:w="0" w:type="dxa"/>
              <w:right w:w="85" w:type="dxa"/>
            </w:tcMar>
            <w:vAlign w:val="center"/>
          </w:tcPr>
          <w:p w14:paraId="76FB5309" w14:textId="77777777" w:rsidR="006929CB" w:rsidRPr="0018630D" w:rsidRDefault="006929CB">
            <w:pPr>
              <w:pBdr>
                <w:top w:val="none" w:sz="0" w:space="0" w:color="000000"/>
                <w:left w:val="none" w:sz="0" w:space="0" w:color="000000"/>
                <w:bottom w:val="none" w:sz="0" w:space="0" w:color="000000"/>
                <w:right w:val="none" w:sz="0" w:space="0" w:color="000000"/>
              </w:pBdr>
              <w:spacing w:before="40" w:after="40"/>
              <w:ind w:left="100" w:right="100"/>
              <w:rPr>
                <w:sz w:val="18"/>
                <w:szCs w:val="18"/>
              </w:rPr>
            </w:pPr>
          </w:p>
        </w:tc>
        <w:tc>
          <w:tcPr>
            <w:tcW w:w="2977" w:type="dxa"/>
            <w:shd w:val="clear" w:color="auto" w:fill="FFFFFF"/>
            <w:tcMar>
              <w:top w:w="0" w:type="dxa"/>
              <w:left w:w="85" w:type="dxa"/>
              <w:bottom w:w="0" w:type="dxa"/>
              <w:right w:w="85" w:type="dxa"/>
            </w:tcMar>
            <w:vAlign w:val="center"/>
          </w:tcPr>
          <w:p w14:paraId="22AD6FD7" w14:textId="77777777" w:rsidR="006929CB" w:rsidRPr="0018630D" w:rsidRDefault="006929CB">
            <w:pPr>
              <w:pStyle w:val="TableText"/>
              <w:spacing w:before="40" w:after="40"/>
              <w:rPr>
                <w:szCs w:val="18"/>
              </w:rPr>
            </w:pPr>
            <w:r w:rsidRPr="0018630D">
              <w:rPr>
                <w:rFonts w:eastAsia="Calibri"/>
                <w:szCs w:val="18"/>
              </w:rPr>
              <w:t>Annual emissions against reference level</w:t>
            </w:r>
          </w:p>
        </w:tc>
        <w:tc>
          <w:tcPr>
            <w:tcW w:w="992" w:type="dxa"/>
            <w:shd w:val="clear" w:color="auto" w:fill="FFFFFF"/>
            <w:tcMar>
              <w:top w:w="0" w:type="dxa"/>
              <w:left w:w="85" w:type="dxa"/>
              <w:bottom w:w="0" w:type="dxa"/>
              <w:right w:w="85" w:type="dxa"/>
            </w:tcMar>
            <w:vAlign w:val="center"/>
          </w:tcPr>
          <w:p w14:paraId="72A85069" w14:textId="77777777" w:rsidR="006929CB" w:rsidRPr="0018630D" w:rsidRDefault="006929CB">
            <w:pPr>
              <w:pStyle w:val="TableText"/>
              <w:spacing w:before="40" w:after="40"/>
              <w:jc w:val="right"/>
              <w:rPr>
                <w:szCs w:val="18"/>
              </w:rPr>
            </w:pPr>
            <w:r w:rsidRPr="0018630D">
              <w:rPr>
                <w:rFonts w:eastAsia="Calibri"/>
                <w:szCs w:val="18"/>
              </w:rPr>
              <w:t>350.5</w:t>
            </w:r>
          </w:p>
        </w:tc>
        <w:tc>
          <w:tcPr>
            <w:tcW w:w="992" w:type="dxa"/>
            <w:shd w:val="clear" w:color="auto" w:fill="FFFFFF"/>
            <w:tcMar>
              <w:top w:w="0" w:type="dxa"/>
              <w:left w:w="85" w:type="dxa"/>
              <w:bottom w:w="0" w:type="dxa"/>
              <w:right w:w="85" w:type="dxa"/>
            </w:tcMar>
            <w:vAlign w:val="center"/>
          </w:tcPr>
          <w:p w14:paraId="3E21CD06" w14:textId="77777777" w:rsidR="006929CB" w:rsidRPr="0018630D" w:rsidRDefault="006929CB">
            <w:pPr>
              <w:pStyle w:val="TableText"/>
              <w:spacing w:before="40" w:after="40"/>
              <w:jc w:val="right"/>
              <w:rPr>
                <w:szCs w:val="18"/>
              </w:rPr>
            </w:pPr>
            <w:r w:rsidRPr="0018630D">
              <w:rPr>
                <w:rFonts w:eastAsia="Calibri"/>
                <w:szCs w:val="18"/>
              </w:rPr>
              <w:t>–33.8</w:t>
            </w:r>
          </w:p>
        </w:tc>
        <w:tc>
          <w:tcPr>
            <w:tcW w:w="992" w:type="dxa"/>
            <w:shd w:val="clear" w:color="auto" w:fill="FFFFFF"/>
            <w:tcMar>
              <w:top w:w="0" w:type="dxa"/>
              <w:left w:w="85" w:type="dxa"/>
              <w:bottom w:w="0" w:type="dxa"/>
              <w:right w:w="85" w:type="dxa"/>
            </w:tcMar>
            <w:vAlign w:val="center"/>
          </w:tcPr>
          <w:p w14:paraId="31C322D7" w14:textId="77777777" w:rsidR="006929CB" w:rsidRPr="0018630D" w:rsidRDefault="006929CB">
            <w:pPr>
              <w:pStyle w:val="TableText"/>
              <w:spacing w:before="40" w:after="40"/>
              <w:jc w:val="right"/>
              <w:rPr>
                <w:szCs w:val="18"/>
              </w:rPr>
            </w:pPr>
            <w:r w:rsidRPr="0018630D">
              <w:rPr>
                <w:szCs w:val="18"/>
              </w:rPr>
              <w:t>316.7</w:t>
            </w:r>
          </w:p>
        </w:tc>
      </w:tr>
      <w:tr w:rsidR="006929CB" w:rsidRPr="0018630D" w14:paraId="32EC7494" w14:textId="77777777" w:rsidTr="0018630D">
        <w:tc>
          <w:tcPr>
            <w:tcW w:w="2552" w:type="dxa"/>
            <w:shd w:val="clear" w:color="auto" w:fill="FFFFFF"/>
            <w:tcMar>
              <w:top w:w="0" w:type="dxa"/>
              <w:left w:w="85" w:type="dxa"/>
              <w:bottom w:w="0" w:type="dxa"/>
              <w:right w:w="85" w:type="dxa"/>
            </w:tcMar>
            <w:vAlign w:val="center"/>
          </w:tcPr>
          <w:p w14:paraId="2B85932A" w14:textId="77777777" w:rsidR="006929CB" w:rsidRPr="0018630D" w:rsidRDefault="006929CB" w:rsidP="00D41906">
            <w:pPr>
              <w:pStyle w:val="Tableboldblue"/>
              <w:rPr>
                <w:szCs w:val="18"/>
              </w:rPr>
            </w:pPr>
            <w:r w:rsidRPr="0018630D">
              <w:rPr>
                <w:szCs w:val="18"/>
              </w:rPr>
              <w:t>Accounting quantity</w:t>
            </w:r>
          </w:p>
        </w:tc>
        <w:tc>
          <w:tcPr>
            <w:tcW w:w="2977" w:type="dxa"/>
            <w:shd w:val="clear" w:color="auto" w:fill="FFFFFF"/>
            <w:tcMar>
              <w:top w:w="0" w:type="dxa"/>
              <w:left w:w="85" w:type="dxa"/>
              <w:bottom w:w="0" w:type="dxa"/>
              <w:right w:w="85" w:type="dxa"/>
            </w:tcMar>
            <w:vAlign w:val="center"/>
          </w:tcPr>
          <w:p w14:paraId="3E6B84AE" w14:textId="77777777" w:rsidR="006929CB" w:rsidRPr="0018630D" w:rsidRDefault="006929CB" w:rsidP="00D41906">
            <w:pPr>
              <w:pStyle w:val="Tableboldblue"/>
              <w:rPr>
                <w:szCs w:val="18"/>
              </w:rPr>
            </w:pPr>
            <w:r w:rsidRPr="0018630D">
              <w:rPr>
                <w:szCs w:val="18"/>
              </w:rPr>
              <w:t>Excluding Forest management</w:t>
            </w:r>
          </w:p>
        </w:tc>
        <w:tc>
          <w:tcPr>
            <w:tcW w:w="992" w:type="dxa"/>
            <w:shd w:val="clear" w:color="auto" w:fill="FFFFFF"/>
            <w:tcMar>
              <w:top w:w="0" w:type="dxa"/>
              <w:left w:w="85" w:type="dxa"/>
              <w:bottom w:w="0" w:type="dxa"/>
              <w:right w:w="85" w:type="dxa"/>
            </w:tcMar>
            <w:vAlign w:val="center"/>
          </w:tcPr>
          <w:p w14:paraId="3DCDD98F" w14:textId="77777777" w:rsidR="006929CB" w:rsidRPr="0018630D" w:rsidRDefault="006929CB" w:rsidP="00C42289">
            <w:pPr>
              <w:pStyle w:val="Tableboldblue"/>
              <w:jc w:val="right"/>
              <w:rPr>
                <w:szCs w:val="18"/>
              </w:rPr>
            </w:pPr>
            <w:r w:rsidRPr="0018630D">
              <w:rPr>
                <w:szCs w:val="18"/>
              </w:rPr>
              <w:t>–6,067.3</w:t>
            </w:r>
          </w:p>
        </w:tc>
        <w:tc>
          <w:tcPr>
            <w:tcW w:w="992" w:type="dxa"/>
            <w:shd w:val="clear" w:color="auto" w:fill="FFFFFF"/>
            <w:tcMar>
              <w:top w:w="0" w:type="dxa"/>
              <w:left w:w="85" w:type="dxa"/>
              <w:bottom w:w="0" w:type="dxa"/>
              <w:right w:w="85" w:type="dxa"/>
            </w:tcMar>
            <w:vAlign w:val="center"/>
          </w:tcPr>
          <w:p w14:paraId="1D200E54" w14:textId="77777777" w:rsidR="006929CB" w:rsidRPr="0018630D" w:rsidRDefault="006929CB" w:rsidP="00C42289">
            <w:pPr>
              <w:pStyle w:val="Tableboldblue"/>
              <w:jc w:val="right"/>
              <w:rPr>
                <w:szCs w:val="18"/>
              </w:rPr>
            </w:pPr>
            <w:r w:rsidRPr="0018630D">
              <w:rPr>
                <w:szCs w:val="18"/>
              </w:rPr>
              <w:t>–5,279.5</w:t>
            </w:r>
          </w:p>
        </w:tc>
        <w:tc>
          <w:tcPr>
            <w:tcW w:w="992" w:type="dxa"/>
            <w:shd w:val="clear" w:color="auto" w:fill="FFFFFF"/>
            <w:tcMar>
              <w:top w:w="0" w:type="dxa"/>
              <w:left w:w="85" w:type="dxa"/>
              <w:bottom w:w="0" w:type="dxa"/>
              <w:right w:w="85" w:type="dxa"/>
            </w:tcMar>
            <w:vAlign w:val="center"/>
          </w:tcPr>
          <w:p w14:paraId="71D27C03" w14:textId="77777777" w:rsidR="006929CB" w:rsidRPr="0018630D" w:rsidRDefault="006929CB" w:rsidP="00C42289">
            <w:pPr>
              <w:pStyle w:val="Tableboldblue"/>
              <w:jc w:val="right"/>
              <w:rPr>
                <w:szCs w:val="18"/>
              </w:rPr>
            </w:pPr>
            <w:r w:rsidRPr="0018630D">
              <w:rPr>
                <w:szCs w:val="18"/>
              </w:rPr>
              <w:t>–11,346.8</w:t>
            </w:r>
          </w:p>
        </w:tc>
      </w:tr>
    </w:tbl>
    <w:p w14:paraId="3441246A" w14:textId="77777777" w:rsidR="006929CB" w:rsidRPr="00DD1C54" w:rsidRDefault="006929CB" w:rsidP="006929CB">
      <w:pPr>
        <w:pStyle w:val="Heading3"/>
      </w:pPr>
      <w:bookmarkStart w:id="1005" w:name="A214"/>
      <w:bookmarkStart w:id="1006" w:name="_Toc400967253"/>
      <w:bookmarkStart w:id="1007" w:name="_Toc758710167"/>
      <w:r w:rsidRPr="00DD1C54">
        <w:t>A2.1.4</w:t>
      </w:r>
      <w:bookmarkEnd w:id="1005"/>
      <w:r w:rsidRPr="00DD1C54">
        <w:tab/>
        <w:t>Definitions of forest land</w:t>
      </w:r>
      <w:bookmarkEnd w:id="1006"/>
      <w:bookmarkEnd w:id="1007"/>
    </w:p>
    <w:p w14:paraId="421EB765" w14:textId="72C5F7A8" w:rsidR="006929CB" w:rsidRPr="00DD1C54" w:rsidRDefault="006929CB" w:rsidP="006929CB">
      <w:pPr>
        <w:pStyle w:val="BodyText"/>
        <w:spacing w:before="100" w:after="100"/>
      </w:pPr>
      <w:r w:rsidRPr="00DD1C54">
        <w:t xml:space="preserve">New Zealand is using the same </w:t>
      </w:r>
      <w:r w:rsidRPr="00DD1C54">
        <w:rPr>
          <w:i/>
        </w:rPr>
        <w:t>Forest land</w:t>
      </w:r>
      <w:r w:rsidRPr="00DD1C54">
        <w:t xml:space="preserve"> definition for accounting for NDC1 as that used in Inventory 2024 (Ministry for the Environment, 2024), and previously for accounting under the Kyoto Protocol. </w:t>
      </w:r>
      <w:hyperlink w:anchor="tableA24" w:history="1">
        <w:r w:rsidRPr="002473FE">
          <w:rPr>
            <w:rStyle w:val="Hyperlink"/>
          </w:rPr>
          <w:t>Table A2.4</w:t>
        </w:r>
      </w:hyperlink>
      <w:r w:rsidRPr="00DD1C54">
        <w:t xml:space="preserve"> provides the defining parameters for </w:t>
      </w:r>
      <w:r w:rsidRPr="00DD1C54">
        <w:rPr>
          <w:i/>
        </w:rPr>
        <w:t>Forest land</w:t>
      </w:r>
      <w:r w:rsidRPr="00DD1C54">
        <w:t>.</w:t>
      </w:r>
    </w:p>
    <w:p w14:paraId="2F6E8312" w14:textId="77777777" w:rsidR="006929CB" w:rsidRPr="00DD1C54" w:rsidRDefault="006929CB" w:rsidP="006929CB">
      <w:pPr>
        <w:pStyle w:val="Tableheading"/>
      </w:pPr>
      <w:bookmarkStart w:id="1008" w:name="tableA24"/>
      <w:bookmarkStart w:id="1009" w:name="_Toc280630485"/>
      <w:bookmarkStart w:id="1010" w:name="_Toc310423442"/>
      <w:bookmarkStart w:id="1011" w:name="_Toc318362735"/>
      <w:bookmarkStart w:id="1012" w:name="_Toc342470814"/>
      <w:bookmarkStart w:id="1013" w:name="_Toc352505067"/>
      <w:bookmarkStart w:id="1014" w:name="_Toc377043703"/>
      <w:bookmarkStart w:id="1015" w:name="_Toc391023555"/>
      <w:bookmarkStart w:id="1016" w:name="_Toc414531526"/>
      <w:bookmarkStart w:id="1017" w:name="_Toc456179105"/>
      <w:bookmarkStart w:id="1018" w:name="_Toc481751631"/>
      <w:bookmarkStart w:id="1019" w:name="_Toc522010656"/>
      <w:bookmarkStart w:id="1020" w:name="_Toc5269626"/>
      <w:bookmarkStart w:id="1021" w:name="_Toc36224708"/>
      <w:bookmarkStart w:id="1022" w:name="_Toc64987043"/>
      <w:bookmarkStart w:id="1023" w:name="_Toc68786593"/>
      <w:bookmarkStart w:id="1024" w:name="_Toc95321535"/>
      <w:bookmarkStart w:id="1025" w:name="_Toc99659387"/>
      <w:bookmarkStart w:id="1026" w:name="_Toc182311696"/>
      <w:bookmarkStart w:id="1027" w:name="_Toc185407531"/>
      <w:bookmarkStart w:id="1028" w:name="_Toc185427794"/>
      <w:r w:rsidRPr="00DD1C54">
        <w:t>Table A2.4</w:t>
      </w:r>
      <w:bookmarkEnd w:id="1008"/>
      <w:r w:rsidRPr="00DD1C54">
        <w:t>:</w:t>
      </w:r>
      <w:r w:rsidRPr="00DD1C54">
        <w:tab/>
        <w:t xml:space="preserve">Parameters defining </w:t>
      </w:r>
      <w:r w:rsidRPr="00DD1C54">
        <w:rPr>
          <w:i/>
          <w:iCs/>
        </w:rPr>
        <w:t>Forest land</w:t>
      </w:r>
      <w:r w:rsidRPr="00DD1C54">
        <w:t xml:space="preserve"> in New Zealand</w:t>
      </w:r>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p>
    <w:tbl>
      <w:tblPr>
        <w:tblW w:w="8505" w:type="dxa"/>
        <w:tblBorders>
          <w:top w:val="single" w:sz="4" w:space="0" w:color="1B556B"/>
          <w:bottom w:val="single" w:sz="4" w:space="0" w:color="1B556B"/>
          <w:insideH w:val="single" w:sz="4" w:space="0" w:color="1B556B"/>
          <w:insideV w:val="single" w:sz="4" w:space="0" w:color="1B556B"/>
        </w:tblBorders>
        <w:tblLook w:val="01E0" w:firstRow="1" w:lastRow="1" w:firstColumn="1" w:lastColumn="1" w:noHBand="0" w:noVBand="0"/>
      </w:tblPr>
      <w:tblGrid>
        <w:gridCol w:w="4472"/>
        <w:gridCol w:w="4033"/>
      </w:tblGrid>
      <w:tr w:rsidR="006929CB" w:rsidRPr="0018630D" w14:paraId="71B8107B" w14:textId="77777777" w:rsidTr="00D70DA5">
        <w:tc>
          <w:tcPr>
            <w:tcW w:w="3061" w:type="dxa"/>
            <w:shd w:val="clear" w:color="auto" w:fill="1B556B"/>
            <w:vAlign w:val="center"/>
          </w:tcPr>
          <w:p w14:paraId="3DA71A2A" w14:textId="77777777" w:rsidR="006929CB" w:rsidRPr="0018630D" w:rsidRDefault="006929CB">
            <w:pPr>
              <w:pStyle w:val="TableTextbold"/>
              <w:rPr>
                <w:color w:val="FFFFFF"/>
                <w:szCs w:val="18"/>
              </w:rPr>
            </w:pPr>
            <w:r w:rsidRPr="0018630D">
              <w:rPr>
                <w:color w:val="FFFFFF"/>
                <w:szCs w:val="18"/>
              </w:rPr>
              <w:t>Forest parameter</w:t>
            </w:r>
          </w:p>
        </w:tc>
        <w:tc>
          <w:tcPr>
            <w:tcW w:w="2761" w:type="dxa"/>
            <w:shd w:val="clear" w:color="auto" w:fill="1B556B"/>
            <w:vAlign w:val="center"/>
          </w:tcPr>
          <w:p w14:paraId="4EA381D1" w14:textId="77777777" w:rsidR="006929CB" w:rsidRPr="0018630D" w:rsidRDefault="006929CB">
            <w:pPr>
              <w:pStyle w:val="TableTextbold"/>
              <w:jc w:val="center"/>
              <w:rPr>
                <w:color w:val="FFFFFF"/>
                <w:szCs w:val="18"/>
              </w:rPr>
            </w:pPr>
            <w:r w:rsidRPr="0018630D">
              <w:rPr>
                <w:color w:val="FFFFFF"/>
                <w:szCs w:val="18"/>
              </w:rPr>
              <w:t>New Zealand selected value</w:t>
            </w:r>
          </w:p>
        </w:tc>
      </w:tr>
      <w:tr w:rsidR="006929CB" w:rsidRPr="0018630D" w14:paraId="12E1AC30" w14:textId="77777777" w:rsidTr="00D70DA5">
        <w:tc>
          <w:tcPr>
            <w:tcW w:w="3061" w:type="dxa"/>
            <w:shd w:val="clear" w:color="auto" w:fill="auto"/>
            <w:vAlign w:val="center"/>
          </w:tcPr>
          <w:p w14:paraId="3D5D2B8E" w14:textId="77777777" w:rsidR="006929CB" w:rsidRPr="0018630D" w:rsidRDefault="006929CB">
            <w:pPr>
              <w:pStyle w:val="TableText"/>
              <w:spacing w:before="50" w:after="50"/>
              <w:rPr>
                <w:szCs w:val="18"/>
              </w:rPr>
            </w:pPr>
            <w:r w:rsidRPr="0018630D">
              <w:rPr>
                <w:szCs w:val="18"/>
              </w:rPr>
              <w:t>Minimum land area (ha)</w:t>
            </w:r>
          </w:p>
        </w:tc>
        <w:tc>
          <w:tcPr>
            <w:tcW w:w="2761" w:type="dxa"/>
            <w:shd w:val="clear" w:color="auto" w:fill="auto"/>
            <w:vAlign w:val="center"/>
          </w:tcPr>
          <w:p w14:paraId="3A5CBD94" w14:textId="77777777" w:rsidR="006929CB" w:rsidRPr="0018630D" w:rsidRDefault="006929CB">
            <w:pPr>
              <w:pStyle w:val="TableText"/>
              <w:spacing w:before="50" w:after="50"/>
              <w:jc w:val="center"/>
              <w:rPr>
                <w:bCs/>
                <w:szCs w:val="18"/>
              </w:rPr>
            </w:pPr>
            <w:r w:rsidRPr="0018630D">
              <w:rPr>
                <w:bCs/>
                <w:szCs w:val="18"/>
              </w:rPr>
              <w:t>1</w:t>
            </w:r>
          </w:p>
        </w:tc>
      </w:tr>
      <w:tr w:rsidR="006929CB" w:rsidRPr="0018630D" w14:paraId="17B94AD1" w14:textId="77777777" w:rsidTr="00D70DA5">
        <w:tc>
          <w:tcPr>
            <w:tcW w:w="3061" w:type="dxa"/>
            <w:shd w:val="clear" w:color="auto" w:fill="auto"/>
            <w:vAlign w:val="center"/>
          </w:tcPr>
          <w:p w14:paraId="7697639C" w14:textId="77777777" w:rsidR="006929CB" w:rsidRPr="0018630D" w:rsidRDefault="006929CB">
            <w:pPr>
              <w:pStyle w:val="TableText"/>
              <w:spacing w:before="50" w:after="50"/>
              <w:rPr>
                <w:szCs w:val="18"/>
              </w:rPr>
            </w:pPr>
            <w:r w:rsidRPr="0018630D">
              <w:rPr>
                <w:szCs w:val="18"/>
              </w:rPr>
              <w:t>Minimum crown cover (%)</w:t>
            </w:r>
          </w:p>
        </w:tc>
        <w:tc>
          <w:tcPr>
            <w:tcW w:w="2761" w:type="dxa"/>
            <w:shd w:val="clear" w:color="auto" w:fill="auto"/>
            <w:vAlign w:val="center"/>
          </w:tcPr>
          <w:p w14:paraId="28D53E07" w14:textId="77777777" w:rsidR="006929CB" w:rsidRPr="0018630D" w:rsidRDefault="006929CB">
            <w:pPr>
              <w:pStyle w:val="TableText"/>
              <w:spacing w:before="50" w:after="50"/>
              <w:jc w:val="center"/>
              <w:rPr>
                <w:bCs/>
                <w:szCs w:val="18"/>
              </w:rPr>
            </w:pPr>
            <w:r w:rsidRPr="0018630D">
              <w:rPr>
                <w:bCs/>
                <w:szCs w:val="18"/>
              </w:rPr>
              <w:t>30</w:t>
            </w:r>
          </w:p>
        </w:tc>
      </w:tr>
      <w:tr w:rsidR="006929CB" w:rsidRPr="0018630D" w14:paraId="50B28EAD" w14:textId="77777777" w:rsidTr="00D70DA5">
        <w:tc>
          <w:tcPr>
            <w:tcW w:w="3061" w:type="dxa"/>
            <w:shd w:val="clear" w:color="auto" w:fill="auto"/>
            <w:vAlign w:val="center"/>
          </w:tcPr>
          <w:p w14:paraId="3A77F736" w14:textId="77777777" w:rsidR="006929CB" w:rsidRPr="0018630D" w:rsidRDefault="006929CB">
            <w:pPr>
              <w:pStyle w:val="TableText"/>
              <w:spacing w:before="50" w:after="50"/>
              <w:rPr>
                <w:szCs w:val="18"/>
              </w:rPr>
            </w:pPr>
            <w:r w:rsidRPr="0018630D">
              <w:rPr>
                <w:szCs w:val="18"/>
              </w:rPr>
              <w:t>Minimum height (m)</w:t>
            </w:r>
          </w:p>
        </w:tc>
        <w:tc>
          <w:tcPr>
            <w:tcW w:w="2761" w:type="dxa"/>
            <w:shd w:val="clear" w:color="auto" w:fill="auto"/>
            <w:vAlign w:val="center"/>
          </w:tcPr>
          <w:p w14:paraId="2753B0CE" w14:textId="77777777" w:rsidR="006929CB" w:rsidRPr="0018630D" w:rsidRDefault="006929CB">
            <w:pPr>
              <w:pStyle w:val="TableText"/>
              <w:spacing w:before="50" w:after="50"/>
              <w:jc w:val="center"/>
              <w:rPr>
                <w:bCs/>
                <w:szCs w:val="18"/>
              </w:rPr>
            </w:pPr>
            <w:r w:rsidRPr="0018630D">
              <w:rPr>
                <w:bCs/>
                <w:szCs w:val="18"/>
              </w:rPr>
              <w:t>5</w:t>
            </w:r>
          </w:p>
        </w:tc>
      </w:tr>
    </w:tbl>
    <w:p w14:paraId="6D185365" w14:textId="77777777" w:rsidR="006929CB" w:rsidRPr="00DD1C54" w:rsidRDefault="006929CB" w:rsidP="006929CB">
      <w:pPr>
        <w:pStyle w:val="BodyText"/>
        <w:spacing w:before="240"/>
      </w:pPr>
      <w:r w:rsidRPr="00DD1C54">
        <w:t xml:space="preserve">New Zealand also uses a minimum forest width of 30 metres, which excludes linear shelterbelts from the </w:t>
      </w:r>
      <w:r w:rsidRPr="00DD1C54">
        <w:rPr>
          <w:i/>
          <w:iCs/>
        </w:rPr>
        <w:t>Forest land</w:t>
      </w:r>
      <w:r w:rsidRPr="00DD1C54">
        <w:t xml:space="preserve"> category. Linear shelterbelts can vary in width and height, because they are trimmed and topped from time to time. Further, they form part of non-forest land uses, namely </w:t>
      </w:r>
      <w:r w:rsidRPr="00DD1C54">
        <w:rPr>
          <w:i/>
          <w:iCs/>
        </w:rPr>
        <w:t>Cropland</w:t>
      </w:r>
      <w:r w:rsidRPr="00DD1C54">
        <w:t xml:space="preserve"> and </w:t>
      </w:r>
      <w:r w:rsidRPr="00DD1C54">
        <w:rPr>
          <w:i/>
          <w:iCs/>
        </w:rPr>
        <w:t>Grassland</w:t>
      </w:r>
      <w:r w:rsidRPr="00DD1C54">
        <w:t>, as shelter for crops and/or animals.</w:t>
      </w:r>
    </w:p>
    <w:p w14:paraId="59442DA5" w14:textId="77777777" w:rsidR="006929CB" w:rsidRPr="00DD1C54" w:rsidRDefault="006929CB" w:rsidP="006929CB">
      <w:pPr>
        <w:pStyle w:val="BodyText"/>
      </w:pPr>
      <w:r w:rsidRPr="00DD1C54">
        <w:t>For reporting under the Paris Agreement and United Nations Framework Convention on Climate Change, New Zealand has categorised its forests into four types: pre-1990 natural forest, pre-1990 planted forest, post-1989 natural forest and post-1989 planted forest. Post</w:t>
      </w:r>
      <w:r w:rsidRPr="00DD1C54">
        <w:noBreakHyphen/>
        <w:t xml:space="preserve">1989 planted forest is subdivided into production forest – planted for wood supply and undergoing a regular cycle of harvesting and replanting, and permanent forest – planted for carbon storage and/or for other ecosystem services, such as erosion control. </w:t>
      </w:r>
    </w:p>
    <w:p w14:paraId="2797F8C5" w14:textId="09465238" w:rsidR="006929CB" w:rsidRPr="00DD1C54" w:rsidRDefault="006929CB" w:rsidP="006929CB">
      <w:pPr>
        <w:pStyle w:val="BodyText"/>
      </w:pPr>
      <w:r w:rsidRPr="00DD1C54">
        <w:t xml:space="preserve">For all post-1989 forests that have not been deforested, emissions and removals from carbon losses and gains are reported under </w:t>
      </w:r>
      <w:r w:rsidRPr="00DD1C54">
        <w:rPr>
          <w:i/>
        </w:rPr>
        <w:t>Afforestation and reforestation</w:t>
      </w:r>
      <w:r w:rsidRPr="00DD1C54">
        <w:t xml:space="preserve"> activities.</w:t>
      </w:r>
      <w:r w:rsidRPr="00DD1C54">
        <w:rPr>
          <w:rStyle w:val="FootnoteReference"/>
        </w:rPr>
        <w:footnoteReference w:id="322"/>
      </w:r>
      <w:r w:rsidRPr="00DD1C54">
        <w:t xml:space="preserve"> These activities are further subdivided into </w:t>
      </w:r>
      <w:r w:rsidRPr="00DD1C54">
        <w:rPr>
          <w:i/>
        </w:rPr>
        <w:t xml:space="preserve">Afforestation and reforestation Below LTA </w:t>
      </w:r>
      <w:r w:rsidRPr="00DD1C54">
        <w:t>for forests with</w:t>
      </w:r>
      <w:r w:rsidR="00D70DA5">
        <w:t> </w:t>
      </w:r>
      <w:r w:rsidRPr="00DD1C54">
        <w:t xml:space="preserve">carbon stocks below the age when the long-term average carbon stock is reached, and </w:t>
      </w:r>
      <w:r w:rsidRPr="00DD1C54">
        <w:rPr>
          <w:i/>
        </w:rPr>
        <w:t xml:space="preserve">Afforestation and reforestation Above LTA </w:t>
      </w:r>
      <w:r w:rsidRPr="00DD1C54">
        <w:t>for</w:t>
      </w:r>
      <w:r w:rsidRPr="00DD1C54">
        <w:rPr>
          <w:i/>
        </w:rPr>
        <w:t xml:space="preserve"> </w:t>
      </w:r>
      <w:r w:rsidRPr="00DD1C54">
        <w:t>post-1989 forests above the age when the long</w:t>
      </w:r>
      <w:r w:rsidR="00D70DA5">
        <w:noBreakHyphen/>
      </w:r>
      <w:r w:rsidRPr="00DD1C54">
        <w:t xml:space="preserve">term average carbon stock is reached. Forests remain in the </w:t>
      </w:r>
      <w:r w:rsidRPr="00DD1C54">
        <w:rPr>
          <w:i/>
        </w:rPr>
        <w:t xml:space="preserve">Afforestation and reforestation Below LTA </w:t>
      </w:r>
      <w:r w:rsidRPr="00DD1C54">
        <w:rPr>
          <w:iCs/>
        </w:rPr>
        <w:t>category until the end of the year in which they reach the ‘LTA age’</w:t>
      </w:r>
      <w:r w:rsidR="00D70DA5">
        <w:rPr>
          <w:iCs/>
        </w:rPr>
        <w:t> </w:t>
      </w:r>
      <w:r w:rsidRPr="00DD1C54">
        <w:rPr>
          <w:iCs/>
        </w:rPr>
        <w:t xml:space="preserve">(see </w:t>
      </w:r>
      <w:hyperlink w:anchor="sectionA232" w:history="1">
        <w:r w:rsidRPr="00551525">
          <w:rPr>
            <w:rStyle w:val="Hyperlink"/>
            <w:iCs/>
          </w:rPr>
          <w:t xml:space="preserve">section </w:t>
        </w:r>
        <w:r w:rsidRPr="00551525">
          <w:rPr>
            <w:rStyle w:val="Hyperlink"/>
          </w:rPr>
          <w:t>A2</w:t>
        </w:r>
        <w:r w:rsidRPr="00551525">
          <w:rPr>
            <w:rStyle w:val="Hyperlink"/>
            <w:iCs/>
          </w:rPr>
          <w:t>.3.2</w:t>
        </w:r>
      </w:hyperlink>
      <w:r w:rsidRPr="00DD1C54">
        <w:rPr>
          <w:iCs/>
        </w:rPr>
        <w:t>).</w:t>
      </w:r>
    </w:p>
    <w:p w14:paraId="0C2F71A4" w14:textId="77777777" w:rsidR="006929CB" w:rsidRPr="00DD1C54" w:rsidRDefault="006929CB" w:rsidP="006929CB">
      <w:pPr>
        <w:pStyle w:val="BodyText"/>
      </w:pPr>
      <w:r w:rsidRPr="00DD1C54">
        <w:t xml:space="preserve">Emissions from </w:t>
      </w:r>
      <w:r w:rsidRPr="00DD1C54">
        <w:rPr>
          <w:iCs/>
        </w:rPr>
        <w:t>deforestation</w:t>
      </w:r>
      <w:r w:rsidRPr="00DD1C54">
        <w:rPr>
          <w:i/>
        </w:rPr>
        <w:t xml:space="preserve"> </w:t>
      </w:r>
      <w:r w:rsidRPr="00DD1C54">
        <w:rPr>
          <w:iCs/>
        </w:rPr>
        <w:t>events</w:t>
      </w:r>
      <w:r w:rsidRPr="00DD1C54">
        <w:t xml:space="preserve"> in all forest types are reported and accounted for under </w:t>
      </w:r>
      <w:r w:rsidRPr="00DD1C54">
        <w:rPr>
          <w:i/>
        </w:rPr>
        <w:t xml:space="preserve">Deforestation </w:t>
      </w:r>
      <w:r w:rsidRPr="00DD1C54">
        <w:rPr>
          <w:iCs/>
        </w:rPr>
        <w:t>activities</w:t>
      </w:r>
      <w:r w:rsidRPr="00DD1C54">
        <w:rPr>
          <w:i/>
        </w:rPr>
        <w:t>.</w:t>
      </w:r>
      <w:r w:rsidRPr="00DD1C54">
        <w:t xml:space="preserve"> </w:t>
      </w:r>
    </w:p>
    <w:p w14:paraId="13274C6A" w14:textId="77777777" w:rsidR="006929CB" w:rsidRPr="00DD1C54" w:rsidRDefault="006929CB" w:rsidP="006929CB">
      <w:pPr>
        <w:pStyle w:val="BodyText"/>
      </w:pPr>
      <w:r w:rsidRPr="00DD1C54">
        <w:t xml:space="preserve">For all </w:t>
      </w:r>
      <w:r w:rsidRPr="00DD1C54">
        <w:rPr>
          <w:iCs/>
        </w:rPr>
        <w:t>pre-1990 forests that have not been deforested</w:t>
      </w:r>
      <w:r w:rsidRPr="00DD1C54">
        <w:t xml:space="preserve">, emissions and removals from carbon losses and gains are reported under </w:t>
      </w:r>
      <w:r w:rsidRPr="00DD1C54">
        <w:rPr>
          <w:i/>
        </w:rPr>
        <w:t>Forest management</w:t>
      </w:r>
      <w:r w:rsidRPr="00DD1C54">
        <w:t xml:space="preserve"> activities. Emissions and removals from the harvest and conversion of forest plantations and establishment of new forests that satisfy the definition of carbon equivalent forests as specified in section 2.7.7.2 of the </w:t>
      </w:r>
      <w:r w:rsidRPr="00DD1C54">
        <w:rPr>
          <w:bCs/>
        </w:rPr>
        <w:t>2013 Kyoto Protocol Supplement (IPCC, 2014)</w:t>
      </w:r>
      <w:r w:rsidRPr="00DD1C54">
        <w:t xml:space="preserve"> are reported under </w:t>
      </w:r>
      <w:r w:rsidRPr="00DD1C54">
        <w:rPr>
          <w:i/>
        </w:rPr>
        <w:t>Forest management</w:t>
      </w:r>
      <w:r w:rsidRPr="00DD1C54">
        <w:t>.</w:t>
      </w:r>
    </w:p>
    <w:p w14:paraId="65AB3BF2" w14:textId="77777777" w:rsidR="006929CB" w:rsidRPr="00DD1C54" w:rsidRDefault="006929CB" w:rsidP="006929CB">
      <w:pPr>
        <w:pStyle w:val="BodyText"/>
      </w:pPr>
      <w:r w:rsidRPr="00DD1C54">
        <w:t xml:space="preserve">The definition of forest used for reporting to the Food and Agriculture Organization is currently different from that used for reporting under the United Nations Framework Convention on Climate Change and the Paris Agreement. For reporting to the Food and Agriculture Organization, New Zealand has subdivided forests into two estates based on their biological characteristics, the management regimes applied to the forests and their respective roles and national objectives (Ministry of Agriculture and Forestry, 2002). The two estates are indigenous and planted production forest. The indigenous estate is included within the pre-1990 natural forest as reported in this submission. The planted production forest area largely equates to the productive area in pre-1990 planted forest and post-1989 planted forest. </w:t>
      </w:r>
    </w:p>
    <w:p w14:paraId="7527B104" w14:textId="77777777" w:rsidR="006929CB" w:rsidRPr="00DD1C54" w:rsidRDefault="006929CB" w:rsidP="006929CB">
      <w:pPr>
        <w:pStyle w:val="Heading3"/>
      </w:pPr>
      <w:bookmarkStart w:id="1029" w:name="_Toc261513282"/>
      <w:bookmarkStart w:id="1030" w:name="_Toc261513895"/>
      <w:bookmarkStart w:id="1031" w:name="_Toc280630385"/>
      <w:bookmarkStart w:id="1032" w:name="_Toc377043717"/>
      <w:bookmarkStart w:id="1033" w:name="_Toc400967255"/>
      <w:bookmarkStart w:id="1034" w:name="_Toc914366697"/>
      <w:r w:rsidRPr="00DD1C54">
        <w:t>A2.1.5</w:t>
      </w:r>
      <w:r w:rsidRPr="00DD1C54">
        <w:tab/>
      </w:r>
      <w:bookmarkEnd w:id="1029"/>
      <w:bookmarkEnd w:id="1030"/>
      <w:bookmarkEnd w:id="1031"/>
      <w:bookmarkEnd w:id="1032"/>
      <w:bookmarkEnd w:id="1033"/>
      <w:r w:rsidRPr="00DD1C54">
        <w:t>Activity tracking</w:t>
      </w:r>
      <w:bookmarkEnd w:id="1034"/>
      <w:r w:rsidRPr="00DD1C54">
        <w:t xml:space="preserve"> </w:t>
      </w:r>
    </w:p>
    <w:p w14:paraId="0EBEDB32" w14:textId="77777777" w:rsidR="006929CB" w:rsidRPr="00DD1C54" w:rsidRDefault="006929CB" w:rsidP="006929CB">
      <w:pPr>
        <w:pStyle w:val="BodyText"/>
      </w:pPr>
      <w:r w:rsidRPr="00DD1C54">
        <w:t xml:space="preserve">In 2022, </w:t>
      </w:r>
      <w:r w:rsidRPr="00DD1C54">
        <w:rPr>
          <w:i/>
        </w:rPr>
        <w:t>Afforestation and reforestation</w:t>
      </w:r>
      <w:r w:rsidRPr="00DD1C54">
        <w:t xml:space="preserve">, </w:t>
      </w:r>
      <w:r w:rsidRPr="00DD1C54">
        <w:rPr>
          <w:i/>
        </w:rPr>
        <w:t>Deforestation</w:t>
      </w:r>
      <w:r w:rsidRPr="00DD1C54">
        <w:t xml:space="preserve"> and </w:t>
      </w:r>
      <w:r w:rsidRPr="00DD1C54">
        <w:rPr>
          <w:i/>
        </w:rPr>
        <w:t>Forest management</w:t>
      </w:r>
      <w:r w:rsidRPr="00DD1C54" w:rsidDel="00492892">
        <w:t xml:space="preserve"> </w:t>
      </w:r>
      <w:r w:rsidRPr="00DD1C54">
        <w:t xml:space="preserve">activities covered 10,337,405 hectares, or 38.4 per cent, of New Zealand’s total land area. </w:t>
      </w:r>
    </w:p>
    <w:p w14:paraId="4AEBC0A4" w14:textId="77777777" w:rsidR="006929CB" w:rsidRPr="00DD1C54" w:rsidRDefault="006929CB" w:rsidP="006929CB">
      <w:pPr>
        <w:pStyle w:val="BodyText"/>
      </w:pPr>
      <w:r w:rsidRPr="00DD1C54">
        <w:t xml:space="preserve">Allocation of land parcels to the correct activity is achieved by tracking areas during the land use mapping and emissions calculation processes. </w:t>
      </w:r>
    </w:p>
    <w:p w14:paraId="514A2540" w14:textId="44722DD4" w:rsidR="006929CB" w:rsidRPr="00DD1C54" w:rsidRDefault="006929CB" w:rsidP="006929CB">
      <w:pPr>
        <w:pStyle w:val="BodyText"/>
      </w:pPr>
      <w:r w:rsidRPr="00DD1C54">
        <w:t>Once a forest area has been identified as deforested, it remains reported in this category</w:t>
      </w:r>
      <w:r w:rsidRPr="00DD1C54" w:rsidDel="0073579B">
        <w:t>.</w:t>
      </w:r>
      <w:r w:rsidRPr="00DD1C54">
        <w:t xml:space="preserve"> Therefore, all subsequent stock changes, emissions and removals on this land are reported under </w:t>
      </w:r>
      <w:r w:rsidRPr="00DD1C54">
        <w:rPr>
          <w:i/>
        </w:rPr>
        <w:t>Deforestation</w:t>
      </w:r>
      <w:r w:rsidRPr="00DD1C54">
        <w:t>. The process for identification of deforested land is outlined in </w:t>
      </w:r>
      <w:hyperlink w:anchor="sectionA252" w:history="1">
        <w:r w:rsidR="008E161F" w:rsidRPr="008E161F">
          <w:rPr>
            <w:rStyle w:val="Hyperlink"/>
          </w:rPr>
          <w:t>section A2.5.2</w:t>
        </w:r>
      </w:hyperlink>
      <w:r w:rsidRPr="00DD1C54">
        <w:t>.</w:t>
      </w:r>
    </w:p>
    <w:p w14:paraId="2483E1A4" w14:textId="034C0577" w:rsidR="006929CB" w:rsidRPr="00DD1C54" w:rsidRDefault="006929CB" w:rsidP="006929CB">
      <w:pPr>
        <w:pStyle w:val="BodyText"/>
      </w:pPr>
      <w:r w:rsidRPr="00DD1C54">
        <w:t xml:space="preserve">Areas subject to the carbon equivalent forest provision are also tracked during the land use mapping and are reported under </w:t>
      </w:r>
      <w:r w:rsidRPr="00DD1C54">
        <w:rPr>
          <w:i/>
        </w:rPr>
        <w:t>Forest management</w:t>
      </w:r>
      <w:r w:rsidRPr="00DD1C54">
        <w:t xml:space="preserve"> (see sections </w:t>
      </w:r>
      <w:hyperlink w:anchor="sectionA222" w:history="1">
        <w:r w:rsidRPr="00443839">
          <w:rPr>
            <w:rStyle w:val="Hyperlink"/>
          </w:rPr>
          <w:t>A2.2.2</w:t>
        </w:r>
      </w:hyperlink>
      <w:r w:rsidRPr="00DD1C54">
        <w:t xml:space="preserve"> and </w:t>
      </w:r>
      <w:hyperlink w:anchor="sectionA234" w:history="1">
        <w:r w:rsidRPr="00443839">
          <w:rPr>
            <w:rStyle w:val="Hyperlink"/>
          </w:rPr>
          <w:t>A2.3.4</w:t>
        </w:r>
      </w:hyperlink>
      <w:r w:rsidRPr="00DD1C54">
        <w:t xml:space="preserve">, for more detail). </w:t>
      </w:r>
    </w:p>
    <w:p w14:paraId="72741ECD" w14:textId="77777777" w:rsidR="006929CB" w:rsidRPr="00DD1C54" w:rsidRDefault="006929CB" w:rsidP="006929CB">
      <w:pPr>
        <w:pStyle w:val="BodyText"/>
        <w:rPr>
          <w:iCs/>
        </w:rPr>
      </w:pPr>
      <w:r w:rsidRPr="00DD1C54">
        <w:t xml:space="preserve">Areas of </w:t>
      </w:r>
      <w:r w:rsidRPr="00DD1C54">
        <w:rPr>
          <w:i/>
        </w:rPr>
        <w:t>Afforestation and reforestation</w:t>
      </w:r>
      <w:r w:rsidRPr="00DD1C54">
        <w:t xml:space="preserve"> land remain in the </w:t>
      </w:r>
      <w:r w:rsidRPr="00DD1C54">
        <w:rPr>
          <w:i/>
        </w:rPr>
        <w:t>Below LTA</w:t>
      </w:r>
      <w:r w:rsidRPr="00DD1C54">
        <w:t xml:space="preserve"> subcategory until the end of the year that they reach the LTA, then they transition into the </w:t>
      </w:r>
      <w:r w:rsidRPr="00DD1C54">
        <w:rPr>
          <w:i/>
        </w:rPr>
        <w:t xml:space="preserve">Afforestation and reforestation Above LTA </w:t>
      </w:r>
      <w:r w:rsidRPr="00DD1C54">
        <w:t>subcategory.</w:t>
      </w:r>
    </w:p>
    <w:p w14:paraId="6BCE9096" w14:textId="78B7636F" w:rsidR="006929CB" w:rsidRPr="00DD1C54" w:rsidRDefault="006929CB" w:rsidP="006929CB">
      <w:pPr>
        <w:pStyle w:val="BodyText"/>
      </w:pPr>
      <w:hyperlink w:anchor="tableA25" w:history="1">
        <w:r w:rsidRPr="009C2633">
          <w:rPr>
            <w:rStyle w:val="Hyperlink"/>
          </w:rPr>
          <w:t>Table A2.5</w:t>
        </w:r>
      </w:hyperlink>
      <w:r w:rsidRPr="00DD1C54">
        <w:t xml:space="preserve"> shows the movement of land between activity categories during the first two years of NDC1 from 1 January 2021 to 31 December 2022.</w:t>
      </w:r>
    </w:p>
    <w:p w14:paraId="6E8DBCE8" w14:textId="7038AED2" w:rsidR="006929CB" w:rsidRPr="00DD1C54" w:rsidRDefault="006929CB" w:rsidP="006929CB">
      <w:pPr>
        <w:pStyle w:val="Tableheading"/>
        <w:rPr>
          <w:iCs/>
        </w:rPr>
      </w:pPr>
      <w:bookmarkStart w:id="1035" w:name="tableA25"/>
      <w:bookmarkStart w:id="1036" w:name="_Toc182311697"/>
      <w:bookmarkStart w:id="1037" w:name="_Toc185407532"/>
      <w:bookmarkStart w:id="1038" w:name="_Toc185427795"/>
      <w:r w:rsidRPr="00DD1C54">
        <w:t>Table A2.5</w:t>
      </w:r>
      <w:bookmarkEnd w:id="1035"/>
      <w:r w:rsidRPr="00DD1C54">
        <w:t>:</w:t>
      </w:r>
      <w:r w:rsidRPr="00DD1C54">
        <w:tab/>
        <w:t>Area changes between activity categories between 1 January 2021 and 31</w:t>
      </w:r>
      <w:r w:rsidR="00B763DD">
        <w:t> </w:t>
      </w:r>
      <w:r w:rsidRPr="00DD1C54">
        <w:t>December 2022 (kilohectares (kha))</w:t>
      </w:r>
      <w:bookmarkEnd w:id="1036"/>
      <w:bookmarkEnd w:id="1037"/>
      <w:bookmarkEnd w:id="1038"/>
    </w:p>
    <w:tbl>
      <w:tblPr>
        <w:tblW w:w="8505" w:type="dxa"/>
        <w:tblBorders>
          <w:top w:val="single" w:sz="4" w:space="0" w:color="1B556B"/>
          <w:bottom w:val="single" w:sz="4" w:space="0" w:color="1B556B"/>
          <w:insideH w:val="single" w:sz="4" w:space="0" w:color="1B556B"/>
          <w:insideV w:val="single" w:sz="4" w:space="0" w:color="1B556B"/>
        </w:tblBorders>
        <w:tblCellMar>
          <w:left w:w="85" w:type="dxa"/>
          <w:right w:w="85" w:type="dxa"/>
        </w:tblCellMar>
        <w:tblLook w:val="0420" w:firstRow="1" w:lastRow="0" w:firstColumn="0" w:lastColumn="0" w:noHBand="0" w:noVBand="1"/>
      </w:tblPr>
      <w:tblGrid>
        <w:gridCol w:w="1843"/>
        <w:gridCol w:w="1006"/>
        <w:gridCol w:w="1040"/>
        <w:gridCol w:w="1206"/>
        <w:gridCol w:w="1163"/>
        <w:gridCol w:w="997"/>
        <w:gridCol w:w="1250"/>
      </w:tblGrid>
      <w:tr w:rsidR="006929CB" w:rsidRPr="0018630D" w14:paraId="7BDC5637" w14:textId="77777777" w:rsidTr="0018630D">
        <w:trPr>
          <w:tblHeader/>
        </w:trPr>
        <w:tc>
          <w:tcPr>
            <w:tcW w:w="1843" w:type="dxa"/>
            <w:shd w:val="clear" w:color="auto" w:fill="1B556B"/>
            <w:vAlign w:val="bottom"/>
          </w:tcPr>
          <w:p w14:paraId="4E94F835" w14:textId="77777777" w:rsidR="006929CB" w:rsidRPr="0018630D" w:rsidRDefault="006929CB">
            <w:pPr>
              <w:pStyle w:val="TableTextbold"/>
              <w:spacing w:after="0"/>
              <w:rPr>
                <w:szCs w:val="18"/>
              </w:rPr>
            </w:pPr>
          </w:p>
        </w:tc>
        <w:tc>
          <w:tcPr>
            <w:tcW w:w="5412" w:type="dxa"/>
            <w:gridSpan w:val="5"/>
            <w:shd w:val="clear" w:color="auto" w:fill="1B556B"/>
            <w:vAlign w:val="center"/>
          </w:tcPr>
          <w:p w14:paraId="4402E0B2" w14:textId="77777777" w:rsidR="006929CB" w:rsidRPr="0018630D" w:rsidRDefault="006929CB">
            <w:pPr>
              <w:pStyle w:val="TableTextbold"/>
              <w:spacing w:after="0"/>
              <w:jc w:val="center"/>
              <w:rPr>
                <w:szCs w:val="18"/>
              </w:rPr>
            </w:pPr>
            <w:r w:rsidRPr="0018630D">
              <w:rPr>
                <w:rFonts w:eastAsia="Calibri" w:cs="Calibri"/>
                <w:color w:val="FFFFFF"/>
                <w:szCs w:val="18"/>
              </w:rPr>
              <w:t>From 1 Jan 2021</w:t>
            </w:r>
          </w:p>
        </w:tc>
        <w:tc>
          <w:tcPr>
            <w:tcW w:w="1250" w:type="dxa"/>
            <w:shd w:val="clear" w:color="auto" w:fill="1B556B"/>
            <w:vAlign w:val="center"/>
          </w:tcPr>
          <w:p w14:paraId="3D72E588" w14:textId="77777777" w:rsidR="006929CB" w:rsidRPr="0018630D" w:rsidRDefault="006929CB">
            <w:pPr>
              <w:pStyle w:val="TableTextbold"/>
              <w:spacing w:after="0"/>
              <w:rPr>
                <w:szCs w:val="18"/>
              </w:rPr>
            </w:pPr>
          </w:p>
        </w:tc>
      </w:tr>
      <w:tr w:rsidR="006929CB" w:rsidRPr="0018630D" w14:paraId="173717A3" w14:textId="77777777" w:rsidTr="0018630D">
        <w:trPr>
          <w:tblHeader/>
        </w:trPr>
        <w:tc>
          <w:tcPr>
            <w:tcW w:w="1843" w:type="dxa"/>
            <w:shd w:val="clear" w:color="auto" w:fill="1B556B"/>
            <w:vAlign w:val="bottom"/>
          </w:tcPr>
          <w:p w14:paraId="4EE46494" w14:textId="77777777" w:rsidR="006929CB" w:rsidRPr="0018630D" w:rsidRDefault="006929CB">
            <w:pPr>
              <w:pStyle w:val="TableTextbold"/>
              <w:keepNext/>
              <w:spacing w:before="0"/>
              <w:rPr>
                <w:rFonts w:eastAsia="Calibri" w:cs="Calibri"/>
                <w:color w:val="FFFFFF"/>
                <w:szCs w:val="18"/>
              </w:rPr>
            </w:pPr>
            <w:r w:rsidRPr="0018630D">
              <w:rPr>
                <w:rFonts w:eastAsia="Calibri" w:cs="Calibri"/>
                <w:color w:val="FFFFFF"/>
                <w:szCs w:val="18"/>
              </w:rPr>
              <w:t>To 31 Dec 2022</w:t>
            </w:r>
          </w:p>
        </w:tc>
        <w:tc>
          <w:tcPr>
            <w:tcW w:w="1006" w:type="dxa"/>
            <w:shd w:val="clear" w:color="auto" w:fill="1B556B"/>
            <w:vAlign w:val="bottom"/>
          </w:tcPr>
          <w:p w14:paraId="2AF3717C" w14:textId="77777777" w:rsidR="006929CB" w:rsidRPr="0018630D" w:rsidRDefault="006929CB">
            <w:pPr>
              <w:pStyle w:val="TableTextbold"/>
              <w:keepNext/>
              <w:spacing w:before="0"/>
              <w:jc w:val="right"/>
              <w:rPr>
                <w:szCs w:val="18"/>
              </w:rPr>
            </w:pPr>
            <w:r w:rsidRPr="0018630D">
              <w:rPr>
                <w:rFonts w:eastAsia="Calibri" w:cs="Calibri"/>
                <w:color w:val="FFFFFF"/>
                <w:szCs w:val="18"/>
              </w:rPr>
              <w:t>A &amp; R Below LTA</w:t>
            </w:r>
          </w:p>
        </w:tc>
        <w:tc>
          <w:tcPr>
            <w:tcW w:w="1040" w:type="dxa"/>
            <w:shd w:val="clear" w:color="auto" w:fill="1B556B"/>
            <w:vAlign w:val="bottom"/>
          </w:tcPr>
          <w:p w14:paraId="58557537" w14:textId="77777777" w:rsidR="006929CB" w:rsidRPr="0018630D" w:rsidRDefault="006929CB">
            <w:pPr>
              <w:pStyle w:val="TableTextbold"/>
              <w:keepNext/>
              <w:spacing w:before="0"/>
              <w:jc w:val="right"/>
              <w:rPr>
                <w:szCs w:val="18"/>
              </w:rPr>
            </w:pPr>
            <w:r w:rsidRPr="0018630D">
              <w:rPr>
                <w:rFonts w:eastAsia="Calibri" w:cs="Calibri"/>
                <w:color w:val="FFFFFF"/>
                <w:szCs w:val="18"/>
              </w:rPr>
              <w:t>A &amp; R Above LTA</w:t>
            </w:r>
          </w:p>
        </w:tc>
        <w:tc>
          <w:tcPr>
            <w:tcW w:w="1206" w:type="dxa"/>
            <w:shd w:val="clear" w:color="auto" w:fill="1B556B"/>
            <w:vAlign w:val="bottom"/>
          </w:tcPr>
          <w:p w14:paraId="617EB0A5" w14:textId="77777777" w:rsidR="006929CB" w:rsidRPr="0018630D" w:rsidRDefault="006929CB">
            <w:pPr>
              <w:pStyle w:val="TableTextbold"/>
              <w:keepNext/>
              <w:spacing w:before="0"/>
              <w:jc w:val="right"/>
              <w:rPr>
                <w:szCs w:val="18"/>
              </w:rPr>
            </w:pPr>
            <w:r w:rsidRPr="0018630D">
              <w:rPr>
                <w:rFonts w:eastAsia="Calibri" w:cs="Calibri"/>
                <w:color w:val="FFFFFF"/>
                <w:szCs w:val="18"/>
              </w:rPr>
              <w:t>Deforestation</w:t>
            </w:r>
          </w:p>
        </w:tc>
        <w:tc>
          <w:tcPr>
            <w:tcW w:w="1163" w:type="dxa"/>
            <w:shd w:val="clear" w:color="auto" w:fill="1B556B"/>
            <w:vAlign w:val="bottom"/>
          </w:tcPr>
          <w:p w14:paraId="544B98D6" w14:textId="77777777" w:rsidR="006929CB" w:rsidRPr="0018630D" w:rsidRDefault="006929CB">
            <w:pPr>
              <w:pStyle w:val="TableTextbold"/>
              <w:keepNext/>
              <w:spacing w:before="0"/>
              <w:jc w:val="right"/>
              <w:rPr>
                <w:szCs w:val="18"/>
              </w:rPr>
            </w:pPr>
            <w:r w:rsidRPr="0018630D">
              <w:rPr>
                <w:rFonts w:eastAsia="Calibri" w:cs="Calibri"/>
                <w:color w:val="FFFFFF"/>
                <w:szCs w:val="18"/>
              </w:rPr>
              <w:t>Forest management</w:t>
            </w:r>
          </w:p>
        </w:tc>
        <w:tc>
          <w:tcPr>
            <w:tcW w:w="997" w:type="dxa"/>
            <w:shd w:val="clear" w:color="auto" w:fill="1B556B"/>
            <w:vAlign w:val="bottom"/>
          </w:tcPr>
          <w:p w14:paraId="73331CFC" w14:textId="77777777" w:rsidR="006929CB" w:rsidRPr="0018630D" w:rsidRDefault="006929CB">
            <w:pPr>
              <w:pStyle w:val="TableTextbold"/>
              <w:keepNext/>
              <w:spacing w:before="0"/>
              <w:jc w:val="right"/>
              <w:rPr>
                <w:szCs w:val="18"/>
              </w:rPr>
            </w:pPr>
            <w:r w:rsidRPr="0018630D">
              <w:rPr>
                <w:rFonts w:eastAsia="Calibri" w:cs="Calibri"/>
                <w:color w:val="FFFFFF"/>
                <w:szCs w:val="18"/>
              </w:rPr>
              <w:t>Inventory only*</w:t>
            </w:r>
          </w:p>
        </w:tc>
        <w:tc>
          <w:tcPr>
            <w:tcW w:w="1250" w:type="dxa"/>
            <w:shd w:val="clear" w:color="auto" w:fill="1B556B"/>
          </w:tcPr>
          <w:p w14:paraId="0AEBE82F" w14:textId="77777777" w:rsidR="006929CB" w:rsidRPr="0018630D" w:rsidRDefault="006929CB">
            <w:pPr>
              <w:pStyle w:val="TableTextbold"/>
              <w:keepNext/>
              <w:spacing w:before="0"/>
              <w:jc w:val="right"/>
              <w:rPr>
                <w:szCs w:val="18"/>
              </w:rPr>
            </w:pPr>
            <w:r w:rsidRPr="0018630D">
              <w:rPr>
                <w:rFonts w:eastAsia="Calibri" w:cs="Calibri"/>
                <w:color w:val="FFFFFF"/>
                <w:szCs w:val="18"/>
              </w:rPr>
              <w:t xml:space="preserve">Areas as at </w:t>
            </w:r>
            <w:r w:rsidRPr="0018630D">
              <w:rPr>
                <w:rFonts w:eastAsia="Calibri" w:cs="Calibri"/>
                <w:color w:val="FFFFFF"/>
                <w:szCs w:val="18"/>
              </w:rPr>
              <w:br/>
              <w:t>31 Dec 2022 (kha)</w:t>
            </w:r>
          </w:p>
        </w:tc>
      </w:tr>
      <w:tr w:rsidR="006929CB" w:rsidRPr="0018630D" w14:paraId="5E7B6671" w14:textId="77777777" w:rsidTr="0018630D">
        <w:tc>
          <w:tcPr>
            <w:tcW w:w="1843" w:type="dxa"/>
            <w:shd w:val="clear" w:color="auto" w:fill="FFFFFF"/>
            <w:vAlign w:val="center"/>
          </w:tcPr>
          <w:p w14:paraId="37928369" w14:textId="77777777" w:rsidR="006929CB" w:rsidRPr="0018630D" w:rsidRDefault="006929CB">
            <w:pPr>
              <w:pStyle w:val="TableText"/>
              <w:keepNext/>
              <w:rPr>
                <w:szCs w:val="18"/>
              </w:rPr>
            </w:pPr>
            <w:r w:rsidRPr="0018630D">
              <w:rPr>
                <w:rFonts w:eastAsia="Calibri"/>
                <w:szCs w:val="18"/>
              </w:rPr>
              <w:t>A &amp; R Below LTA</w:t>
            </w:r>
          </w:p>
        </w:tc>
        <w:tc>
          <w:tcPr>
            <w:tcW w:w="1006" w:type="dxa"/>
            <w:shd w:val="clear" w:color="auto" w:fill="D2DDE1"/>
          </w:tcPr>
          <w:p w14:paraId="0AC819A8" w14:textId="77777777" w:rsidR="006929CB" w:rsidRPr="0018630D" w:rsidRDefault="006929CB">
            <w:pPr>
              <w:pStyle w:val="TableText"/>
              <w:keepNext/>
              <w:jc w:val="right"/>
              <w:rPr>
                <w:szCs w:val="18"/>
              </w:rPr>
            </w:pPr>
            <w:r w:rsidRPr="0018630D">
              <w:rPr>
                <w:rFonts w:eastAsia="Calibri"/>
                <w:szCs w:val="18"/>
              </w:rPr>
              <w:t>446.6</w:t>
            </w:r>
          </w:p>
        </w:tc>
        <w:tc>
          <w:tcPr>
            <w:tcW w:w="1040" w:type="dxa"/>
            <w:shd w:val="clear" w:color="auto" w:fill="FFFFFF"/>
          </w:tcPr>
          <w:p w14:paraId="398CF296" w14:textId="77777777" w:rsidR="006929CB" w:rsidRPr="0018630D" w:rsidRDefault="006929CB">
            <w:pPr>
              <w:pStyle w:val="TableText"/>
              <w:keepNext/>
              <w:jc w:val="right"/>
              <w:rPr>
                <w:szCs w:val="18"/>
              </w:rPr>
            </w:pPr>
            <w:r w:rsidRPr="0018630D">
              <w:rPr>
                <w:szCs w:val="18"/>
              </w:rPr>
              <w:t>NA</w:t>
            </w:r>
          </w:p>
        </w:tc>
        <w:tc>
          <w:tcPr>
            <w:tcW w:w="1206" w:type="dxa"/>
            <w:shd w:val="clear" w:color="auto" w:fill="FFFFFF"/>
          </w:tcPr>
          <w:p w14:paraId="6F4332F1" w14:textId="77777777" w:rsidR="006929CB" w:rsidRPr="0018630D" w:rsidRDefault="006929CB">
            <w:pPr>
              <w:pStyle w:val="TableText"/>
              <w:keepNext/>
              <w:jc w:val="right"/>
              <w:rPr>
                <w:szCs w:val="18"/>
              </w:rPr>
            </w:pPr>
            <w:r w:rsidRPr="0018630D">
              <w:rPr>
                <w:szCs w:val="18"/>
              </w:rPr>
              <w:t>NA</w:t>
            </w:r>
          </w:p>
        </w:tc>
        <w:tc>
          <w:tcPr>
            <w:tcW w:w="1163" w:type="dxa"/>
            <w:shd w:val="clear" w:color="auto" w:fill="FFFFFF"/>
          </w:tcPr>
          <w:p w14:paraId="00062836" w14:textId="77777777" w:rsidR="006929CB" w:rsidRPr="0018630D" w:rsidRDefault="006929CB">
            <w:pPr>
              <w:pStyle w:val="TableText"/>
              <w:keepNext/>
              <w:jc w:val="right"/>
              <w:rPr>
                <w:szCs w:val="18"/>
              </w:rPr>
            </w:pPr>
            <w:r w:rsidRPr="0018630D">
              <w:rPr>
                <w:szCs w:val="18"/>
              </w:rPr>
              <w:t>NA</w:t>
            </w:r>
          </w:p>
        </w:tc>
        <w:tc>
          <w:tcPr>
            <w:tcW w:w="997" w:type="dxa"/>
            <w:shd w:val="clear" w:color="auto" w:fill="FFFFFF"/>
          </w:tcPr>
          <w:p w14:paraId="07415F63" w14:textId="77777777" w:rsidR="006929CB" w:rsidRPr="0018630D" w:rsidRDefault="006929CB">
            <w:pPr>
              <w:pStyle w:val="TableText"/>
              <w:keepNext/>
              <w:jc w:val="right"/>
              <w:rPr>
                <w:szCs w:val="18"/>
              </w:rPr>
            </w:pPr>
            <w:r w:rsidRPr="0018630D">
              <w:rPr>
                <w:rFonts w:eastAsia="Calibri"/>
                <w:szCs w:val="18"/>
              </w:rPr>
              <w:t>141.5</w:t>
            </w:r>
          </w:p>
        </w:tc>
        <w:tc>
          <w:tcPr>
            <w:tcW w:w="1250" w:type="dxa"/>
            <w:shd w:val="clear" w:color="auto" w:fill="FFFFFF"/>
          </w:tcPr>
          <w:p w14:paraId="71F4FC2E" w14:textId="77777777" w:rsidR="006929CB" w:rsidRPr="0018630D" w:rsidRDefault="006929CB">
            <w:pPr>
              <w:pStyle w:val="TableText"/>
              <w:keepNext/>
              <w:jc w:val="right"/>
              <w:rPr>
                <w:szCs w:val="18"/>
              </w:rPr>
            </w:pPr>
            <w:r w:rsidRPr="0018630D">
              <w:rPr>
                <w:rFonts w:eastAsia="Calibri"/>
                <w:szCs w:val="18"/>
              </w:rPr>
              <w:t>588.1</w:t>
            </w:r>
          </w:p>
        </w:tc>
      </w:tr>
      <w:tr w:rsidR="006929CB" w:rsidRPr="0018630D" w14:paraId="1D379DDA" w14:textId="77777777" w:rsidTr="0018630D">
        <w:tc>
          <w:tcPr>
            <w:tcW w:w="1843" w:type="dxa"/>
            <w:shd w:val="clear" w:color="auto" w:fill="FFFFFF"/>
            <w:vAlign w:val="center"/>
          </w:tcPr>
          <w:p w14:paraId="3F15DCE2" w14:textId="77777777" w:rsidR="006929CB" w:rsidRPr="0018630D" w:rsidRDefault="006929CB">
            <w:pPr>
              <w:pStyle w:val="TableText"/>
              <w:keepNext/>
              <w:rPr>
                <w:szCs w:val="18"/>
              </w:rPr>
            </w:pPr>
            <w:r w:rsidRPr="0018630D">
              <w:rPr>
                <w:rFonts w:eastAsia="Calibri"/>
                <w:szCs w:val="18"/>
              </w:rPr>
              <w:t>A &amp; R Above LTA</w:t>
            </w:r>
          </w:p>
        </w:tc>
        <w:tc>
          <w:tcPr>
            <w:tcW w:w="1006" w:type="dxa"/>
            <w:shd w:val="clear" w:color="auto" w:fill="FFFFFF"/>
          </w:tcPr>
          <w:p w14:paraId="44C7B027" w14:textId="77777777" w:rsidR="006929CB" w:rsidRPr="0018630D" w:rsidRDefault="006929CB">
            <w:pPr>
              <w:pStyle w:val="TableText"/>
              <w:keepNext/>
              <w:jc w:val="right"/>
              <w:rPr>
                <w:szCs w:val="18"/>
              </w:rPr>
            </w:pPr>
            <w:r w:rsidRPr="0018630D">
              <w:rPr>
                <w:rFonts w:eastAsia="Calibri"/>
                <w:szCs w:val="18"/>
              </w:rPr>
              <w:t>78.3</w:t>
            </w:r>
          </w:p>
        </w:tc>
        <w:tc>
          <w:tcPr>
            <w:tcW w:w="1040" w:type="dxa"/>
            <w:shd w:val="clear" w:color="auto" w:fill="D2DDE1"/>
          </w:tcPr>
          <w:p w14:paraId="3BBDB125" w14:textId="77777777" w:rsidR="006929CB" w:rsidRPr="0018630D" w:rsidRDefault="006929CB">
            <w:pPr>
              <w:pStyle w:val="TableText"/>
              <w:keepNext/>
              <w:jc w:val="right"/>
              <w:rPr>
                <w:szCs w:val="18"/>
              </w:rPr>
            </w:pPr>
            <w:r w:rsidRPr="0018630D">
              <w:rPr>
                <w:rFonts w:eastAsia="Calibri"/>
                <w:szCs w:val="18"/>
              </w:rPr>
              <w:t>242.7</w:t>
            </w:r>
          </w:p>
        </w:tc>
        <w:tc>
          <w:tcPr>
            <w:tcW w:w="1206" w:type="dxa"/>
            <w:shd w:val="clear" w:color="auto" w:fill="FFFFFF"/>
          </w:tcPr>
          <w:p w14:paraId="77419E46" w14:textId="77777777" w:rsidR="006929CB" w:rsidRPr="0018630D" w:rsidRDefault="006929CB">
            <w:pPr>
              <w:pStyle w:val="TableText"/>
              <w:keepNext/>
              <w:jc w:val="right"/>
              <w:rPr>
                <w:szCs w:val="18"/>
              </w:rPr>
            </w:pPr>
            <w:r w:rsidRPr="0018630D">
              <w:rPr>
                <w:szCs w:val="18"/>
              </w:rPr>
              <w:t>NA</w:t>
            </w:r>
          </w:p>
        </w:tc>
        <w:tc>
          <w:tcPr>
            <w:tcW w:w="1163" w:type="dxa"/>
            <w:shd w:val="clear" w:color="auto" w:fill="FFFFFF"/>
          </w:tcPr>
          <w:p w14:paraId="2B61C85C" w14:textId="77777777" w:rsidR="006929CB" w:rsidRPr="0018630D" w:rsidRDefault="006929CB">
            <w:pPr>
              <w:pStyle w:val="TableText"/>
              <w:keepNext/>
              <w:jc w:val="right"/>
              <w:rPr>
                <w:szCs w:val="18"/>
              </w:rPr>
            </w:pPr>
            <w:r w:rsidRPr="0018630D">
              <w:rPr>
                <w:szCs w:val="18"/>
              </w:rPr>
              <w:t>NA</w:t>
            </w:r>
          </w:p>
        </w:tc>
        <w:tc>
          <w:tcPr>
            <w:tcW w:w="997" w:type="dxa"/>
            <w:shd w:val="clear" w:color="auto" w:fill="FFFFFF"/>
          </w:tcPr>
          <w:p w14:paraId="61503EAC" w14:textId="77777777" w:rsidR="006929CB" w:rsidRPr="0018630D" w:rsidRDefault="006929CB">
            <w:pPr>
              <w:pStyle w:val="TableText"/>
              <w:keepNext/>
              <w:jc w:val="right"/>
              <w:rPr>
                <w:szCs w:val="18"/>
              </w:rPr>
            </w:pPr>
            <w:r w:rsidRPr="0018630D">
              <w:rPr>
                <w:szCs w:val="18"/>
              </w:rPr>
              <w:t>NA</w:t>
            </w:r>
          </w:p>
        </w:tc>
        <w:tc>
          <w:tcPr>
            <w:tcW w:w="1250" w:type="dxa"/>
            <w:shd w:val="clear" w:color="auto" w:fill="FFFFFF"/>
          </w:tcPr>
          <w:p w14:paraId="5E8130BD" w14:textId="77777777" w:rsidR="006929CB" w:rsidRPr="0018630D" w:rsidRDefault="006929CB">
            <w:pPr>
              <w:pStyle w:val="TableText"/>
              <w:keepNext/>
              <w:jc w:val="right"/>
              <w:rPr>
                <w:szCs w:val="18"/>
              </w:rPr>
            </w:pPr>
            <w:r w:rsidRPr="0018630D">
              <w:rPr>
                <w:rFonts w:eastAsia="Calibri"/>
                <w:szCs w:val="18"/>
              </w:rPr>
              <w:t>321.0</w:t>
            </w:r>
          </w:p>
        </w:tc>
      </w:tr>
      <w:tr w:rsidR="006929CB" w:rsidRPr="0018630D" w14:paraId="217E9C32" w14:textId="77777777" w:rsidTr="0018630D">
        <w:tc>
          <w:tcPr>
            <w:tcW w:w="1843" w:type="dxa"/>
            <w:shd w:val="clear" w:color="auto" w:fill="FFFFFF"/>
            <w:vAlign w:val="center"/>
          </w:tcPr>
          <w:p w14:paraId="79AF69D7" w14:textId="77777777" w:rsidR="006929CB" w:rsidRPr="0018630D" w:rsidRDefault="006929CB">
            <w:pPr>
              <w:pStyle w:val="TableText"/>
              <w:keepNext/>
              <w:rPr>
                <w:szCs w:val="18"/>
              </w:rPr>
            </w:pPr>
            <w:r w:rsidRPr="0018630D">
              <w:rPr>
                <w:rFonts w:eastAsia="Calibri"/>
                <w:szCs w:val="18"/>
              </w:rPr>
              <w:t>Deforestation</w:t>
            </w:r>
          </w:p>
        </w:tc>
        <w:tc>
          <w:tcPr>
            <w:tcW w:w="1006" w:type="dxa"/>
            <w:shd w:val="clear" w:color="auto" w:fill="FFFFFF"/>
          </w:tcPr>
          <w:p w14:paraId="597C5F68" w14:textId="77777777" w:rsidR="006929CB" w:rsidRPr="0018630D" w:rsidRDefault="006929CB">
            <w:pPr>
              <w:pStyle w:val="TableText"/>
              <w:keepNext/>
              <w:jc w:val="right"/>
              <w:rPr>
                <w:szCs w:val="18"/>
              </w:rPr>
            </w:pPr>
            <w:r w:rsidRPr="0018630D">
              <w:rPr>
                <w:rFonts w:eastAsia="Calibri"/>
                <w:szCs w:val="18"/>
              </w:rPr>
              <w:t>1.5</w:t>
            </w:r>
          </w:p>
        </w:tc>
        <w:tc>
          <w:tcPr>
            <w:tcW w:w="1040" w:type="dxa"/>
            <w:shd w:val="clear" w:color="auto" w:fill="FFFFFF"/>
          </w:tcPr>
          <w:p w14:paraId="1364EDD4" w14:textId="77777777" w:rsidR="006929CB" w:rsidRPr="0018630D" w:rsidRDefault="006929CB">
            <w:pPr>
              <w:pStyle w:val="TableText"/>
              <w:keepNext/>
              <w:jc w:val="right"/>
              <w:rPr>
                <w:szCs w:val="18"/>
              </w:rPr>
            </w:pPr>
            <w:r w:rsidRPr="0018630D">
              <w:rPr>
                <w:rFonts w:eastAsia="Calibri"/>
                <w:szCs w:val="18"/>
              </w:rPr>
              <w:t>4.4</w:t>
            </w:r>
          </w:p>
        </w:tc>
        <w:tc>
          <w:tcPr>
            <w:tcW w:w="1206" w:type="dxa"/>
            <w:shd w:val="clear" w:color="auto" w:fill="D2DDE1"/>
          </w:tcPr>
          <w:p w14:paraId="220497B6" w14:textId="77777777" w:rsidR="006929CB" w:rsidRPr="0018630D" w:rsidRDefault="006929CB">
            <w:pPr>
              <w:pStyle w:val="TableText"/>
              <w:keepNext/>
              <w:jc w:val="right"/>
              <w:rPr>
                <w:szCs w:val="18"/>
              </w:rPr>
            </w:pPr>
            <w:r w:rsidRPr="0018630D">
              <w:rPr>
                <w:rFonts w:eastAsia="Calibri"/>
                <w:szCs w:val="18"/>
              </w:rPr>
              <w:t>233.0</w:t>
            </w:r>
          </w:p>
        </w:tc>
        <w:tc>
          <w:tcPr>
            <w:tcW w:w="1163" w:type="dxa"/>
            <w:shd w:val="clear" w:color="auto" w:fill="FFFFFF"/>
          </w:tcPr>
          <w:p w14:paraId="253CF5B7" w14:textId="77777777" w:rsidR="006929CB" w:rsidRPr="0018630D" w:rsidRDefault="006929CB">
            <w:pPr>
              <w:pStyle w:val="TableText"/>
              <w:keepNext/>
              <w:jc w:val="right"/>
              <w:rPr>
                <w:szCs w:val="18"/>
              </w:rPr>
            </w:pPr>
            <w:r w:rsidRPr="0018630D">
              <w:rPr>
                <w:rFonts w:eastAsia="Calibri"/>
                <w:szCs w:val="18"/>
              </w:rPr>
              <w:t>3.0</w:t>
            </w:r>
          </w:p>
        </w:tc>
        <w:tc>
          <w:tcPr>
            <w:tcW w:w="997" w:type="dxa"/>
            <w:shd w:val="clear" w:color="auto" w:fill="FFFFFF"/>
          </w:tcPr>
          <w:p w14:paraId="2EAB23BB" w14:textId="77777777" w:rsidR="006929CB" w:rsidRPr="0018630D" w:rsidRDefault="006929CB">
            <w:pPr>
              <w:pStyle w:val="TableText"/>
              <w:keepNext/>
              <w:jc w:val="right"/>
              <w:rPr>
                <w:szCs w:val="18"/>
              </w:rPr>
            </w:pPr>
            <w:r w:rsidRPr="0018630D">
              <w:rPr>
                <w:szCs w:val="18"/>
              </w:rPr>
              <w:t>NA</w:t>
            </w:r>
          </w:p>
        </w:tc>
        <w:tc>
          <w:tcPr>
            <w:tcW w:w="1250" w:type="dxa"/>
            <w:shd w:val="clear" w:color="auto" w:fill="FFFFFF"/>
          </w:tcPr>
          <w:p w14:paraId="768683E3" w14:textId="77777777" w:rsidR="006929CB" w:rsidRPr="0018630D" w:rsidRDefault="006929CB">
            <w:pPr>
              <w:pStyle w:val="TableText"/>
              <w:keepNext/>
              <w:jc w:val="right"/>
              <w:rPr>
                <w:szCs w:val="18"/>
              </w:rPr>
            </w:pPr>
            <w:r w:rsidRPr="0018630D">
              <w:rPr>
                <w:rFonts w:eastAsia="Calibri"/>
                <w:szCs w:val="18"/>
              </w:rPr>
              <w:t>241.9</w:t>
            </w:r>
          </w:p>
        </w:tc>
      </w:tr>
      <w:tr w:rsidR="006929CB" w:rsidRPr="0018630D" w14:paraId="5465FF4A" w14:textId="77777777" w:rsidTr="0018630D">
        <w:tc>
          <w:tcPr>
            <w:tcW w:w="1843" w:type="dxa"/>
            <w:shd w:val="clear" w:color="auto" w:fill="FFFFFF"/>
            <w:vAlign w:val="center"/>
          </w:tcPr>
          <w:p w14:paraId="113AE00A" w14:textId="77777777" w:rsidR="006929CB" w:rsidRPr="0018630D" w:rsidRDefault="006929CB">
            <w:pPr>
              <w:pStyle w:val="TableText"/>
              <w:keepNext/>
              <w:rPr>
                <w:szCs w:val="18"/>
              </w:rPr>
            </w:pPr>
            <w:r w:rsidRPr="0018630D">
              <w:rPr>
                <w:rFonts w:eastAsia="Calibri"/>
                <w:szCs w:val="18"/>
              </w:rPr>
              <w:t>Forest management</w:t>
            </w:r>
          </w:p>
        </w:tc>
        <w:tc>
          <w:tcPr>
            <w:tcW w:w="1006" w:type="dxa"/>
            <w:shd w:val="clear" w:color="auto" w:fill="FFFFFF"/>
          </w:tcPr>
          <w:p w14:paraId="1AB1AA1D" w14:textId="77777777" w:rsidR="006929CB" w:rsidRPr="0018630D" w:rsidRDefault="006929CB">
            <w:pPr>
              <w:pStyle w:val="TableText"/>
              <w:keepNext/>
              <w:jc w:val="right"/>
              <w:rPr>
                <w:szCs w:val="18"/>
              </w:rPr>
            </w:pPr>
            <w:r w:rsidRPr="0018630D">
              <w:rPr>
                <w:szCs w:val="18"/>
              </w:rPr>
              <w:t>NA</w:t>
            </w:r>
          </w:p>
        </w:tc>
        <w:tc>
          <w:tcPr>
            <w:tcW w:w="1040" w:type="dxa"/>
            <w:shd w:val="clear" w:color="auto" w:fill="FFFFFF"/>
          </w:tcPr>
          <w:p w14:paraId="2CD7E324" w14:textId="77777777" w:rsidR="006929CB" w:rsidRPr="0018630D" w:rsidRDefault="006929CB">
            <w:pPr>
              <w:pStyle w:val="TableText"/>
              <w:keepNext/>
              <w:jc w:val="right"/>
              <w:rPr>
                <w:szCs w:val="18"/>
              </w:rPr>
            </w:pPr>
            <w:r w:rsidRPr="0018630D">
              <w:rPr>
                <w:szCs w:val="18"/>
              </w:rPr>
              <w:t>NA</w:t>
            </w:r>
          </w:p>
        </w:tc>
        <w:tc>
          <w:tcPr>
            <w:tcW w:w="1206" w:type="dxa"/>
            <w:shd w:val="clear" w:color="auto" w:fill="FFFFFF"/>
          </w:tcPr>
          <w:p w14:paraId="7131B64A" w14:textId="77777777" w:rsidR="006929CB" w:rsidRPr="0018630D" w:rsidRDefault="006929CB">
            <w:pPr>
              <w:pStyle w:val="TableText"/>
              <w:keepNext/>
              <w:jc w:val="right"/>
              <w:rPr>
                <w:szCs w:val="18"/>
              </w:rPr>
            </w:pPr>
            <w:r w:rsidRPr="0018630D">
              <w:rPr>
                <w:szCs w:val="18"/>
              </w:rPr>
              <w:t>NA</w:t>
            </w:r>
          </w:p>
        </w:tc>
        <w:tc>
          <w:tcPr>
            <w:tcW w:w="1163" w:type="dxa"/>
            <w:shd w:val="clear" w:color="auto" w:fill="D2DDE1"/>
          </w:tcPr>
          <w:p w14:paraId="1B2B2966" w14:textId="77777777" w:rsidR="006929CB" w:rsidRPr="0018630D" w:rsidRDefault="006929CB">
            <w:pPr>
              <w:pStyle w:val="TableText"/>
              <w:keepNext/>
              <w:jc w:val="right"/>
              <w:rPr>
                <w:szCs w:val="18"/>
              </w:rPr>
            </w:pPr>
            <w:r w:rsidRPr="0018630D">
              <w:rPr>
                <w:rFonts w:eastAsia="Calibri"/>
                <w:szCs w:val="18"/>
              </w:rPr>
              <w:t>9,186.4</w:t>
            </w:r>
          </w:p>
        </w:tc>
        <w:tc>
          <w:tcPr>
            <w:tcW w:w="997" w:type="dxa"/>
            <w:shd w:val="clear" w:color="auto" w:fill="FFFFFF"/>
          </w:tcPr>
          <w:p w14:paraId="61DFF2E9" w14:textId="77777777" w:rsidR="006929CB" w:rsidRPr="0018630D" w:rsidRDefault="006929CB">
            <w:pPr>
              <w:pStyle w:val="TableText"/>
              <w:keepNext/>
              <w:jc w:val="right"/>
              <w:rPr>
                <w:szCs w:val="18"/>
              </w:rPr>
            </w:pPr>
            <w:r w:rsidRPr="0018630D">
              <w:rPr>
                <w:szCs w:val="18"/>
              </w:rPr>
              <w:t>NA</w:t>
            </w:r>
          </w:p>
        </w:tc>
        <w:tc>
          <w:tcPr>
            <w:tcW w:w="1250" w:type="dxa"/>
            <w:shd w:val="clear" w:color="auto" w:fill="FFFFFF"/>
          </w:tcPr>
          <w:p w14:paraId="6776D213" w14:textId="77777777" w:rsidR="006929CB" w:rsidRPr="0018630D" w:rsidRDefault="006929CB">
            <w:pPr>
              <w:pStyle w:val="TableText"/>
              <w:keepNext/>
              <w:jc w:val="right"/>
              <w:rPr>
                <w:szCs w:val="18"/>
              </w:rPr>
            </w:pPr>
            <w:r w:rsidRPr="0018630D">
              <w:rPr>
                <w:rFonts w:eastAsia="Calibri"/>
                <w:szCs w:val="18"/>
              </w:rPr>
              <w:t>9,186.4</w:t>
            </w:r>
          </w:p>
        </w:tc>
      </w:tr>
      <w:tr w:rsidR="006929CB" w:rsidRPr="0018630D" w14:paraId="2BD38D0B" w14:textId="77777777" w:rsidTr="0018630D">
        <w:tc>
          <w:tcPr>
            <w:tcW w:w="1843" w:type="dxa"/>
            <w:shd w:val="clear" w:color="auto" w:fill="FFFFFF"/>
            <w:vAlign w:val="center"/>
          </w:tcPr>
          <w:p w14:paraId="67FF924C" w14:textId="77777777" w:rsidR="006929CB" w:rsidRPr="0018630D" w:rsidRDefault="006929CB">
            <w:pPr>
              <w:pStyle w:val="TableText"/>
              <w:keepNext/>
              <w:rPr>
                <w:szCs w:val="18"/>
              </w:rPr>
            </w:pPr>
            <w:r w:rsidRPr="0018630D">
              <w:rPr>
                <w:rFonts w:eastAsia="Calibri"/>
                <w:szCs w:val="18"/>
              </w:rPr>
              <w:t>Inventory only*</w:t>
            </w:r>
          </w:p>
        </w:tc>
        <w:tc>
          <w:tcPr>
            <w:tcW w:w="1006" w:type="dxa"/>
            <w:shd w:val="clear" w:color="auto" w:fill="FFFFFF"/>
          </w:tcPr>
          <w:p w14:paraId="529C5456" w14:textId="77777777" w:rsidR="006929CB" w:rsidRPr="0018630D" w:rsidRDefault="006929CB">
            <w:pPr>
              <w:pStyle w:val="TableText"/>
              <w:keepNext/>
              <w:jc w:val="right"/>
              <w:rPr>
                <w:szCs w:val="18"/>
              </w:rPr>
            </w:pPr>
            <w:r w:rsidRPr="0018630D">
              <w:rPr>
                <w:szCs w:val="18"/>
              </w:rPr>
              <w:t>NA</w:t>
            </w:r>
          </w:p>
        </w:tc>
        <w:tc>
          <w:tcPr>
            <w:tcW w:w="1040" w:type="dxa"/>
            <w:shd w:val="clear" w:color="auto" w:fill="FFFFFF"/>
          </w:tcPr>
          <w:p w14:paraId="525C4234" w14:textId="77777777" w:rsidR="006929CB" w:rsidRPr="0018630D" w:rsidRDefault="006929CB">
            <w:pPr>
              <w:pStyle w:val="TableText"/>
              <w:keepNext/>
              <w:jc w:val="right"/>
              <w:rPr>
                <w:szCs w:val="18"/>
              </w:rPr>
            </w:pPr>
            <w:r w:rsidRPr="0018630D">
              <w:rPr>
                <w:szCs w:val="18"/>
              </w:rPr>
              <w:t>NA</w:t>
            </w:r>
          </w:p>
        </w:tc>
        <w:tc>
          <w:tcPr>
            <w:tcW w:w="1206" w:type="dxa"/>
            <w:shd w:val="clear" w:color="auto" w:fill="FFFFFF"/>
          </w:tcPr>
          <w:p w14:paraId="3864B25D" w14:textId="77777777" w:rsidR="006929CB" w:rsidRPr="0018630D" w:rsidRDefault="006929CB">
            <w:pPr>
              <w:pStyle w:val="TableText"/>
              <w:keepNext/>
              <w:jc w:val="right"/>
              <w:rPr>
                <w:szCs w:val="18"/>
              </w:rPr>
            </w:pPr>
            <w:r w:rsidRPr="0018630D">
              <w:rPr>
                <w:szCs w:val="18"/>
              </w:rPr>
              <w:t>NA</w:t>
            </w:r>
          </w:p>
        </w:tc>
        <w:tc>
          <w:tcPr>
            <w:tcW w:w="1163" w:type="dxa"/>
            <w:shd w:val="clear" w:color="auto" w:fill="FFFFFF"/>
          </w:tcPr>
          <w:p w14:paraId="0A1B5BBA" w14:textId="77777777" w:rsidR="006929CB" w:rsidRPr="0018630D" w:rsidRDefault="006929CB">
            <w:pPr>
              <w:pStyle w:val="TableText"/>
              <w:keepNext/>
              <w:jc w:val="right"/>
              <w:rPr>
                <w:szCs w:val="18"/>
              </w:rPr>
            </w:pPr>
            <w:r w:rsidRPr="0018630D">
              <w:rPr>
                <w:szCs w:val="18"/>
              </w:rPr>
              <w:t>NA</w:t>
            </w:r>
          </w:p>
        </w:tc>
        <w:tc>
          <w:tcPr>
            <w:tcW w:w="997" w:type="dxa"/>
            <w:shd w:val="clear" w:color="auto" w:fill="D2DDE1"/>
          </w:tcPr>
          <w:p w14:paraId="569A9C0D" w14:textId="77777777" w:rsidR="006929CB" w:rsidRPr="0018630D" w:rsidRDefault="006929CB">
            <w:pPr>
              <w:pStyle w:val="TableText"/>
              <w:keepNext/>
              <w:jc w:val="right"/>
              <w:rPr>
                <w:szCs w:val="18"/>
              </w:rPr>
            </w:pPr>
            <w:r w:rsidRPr="0018630D">
              <w:rPr>
                <w:rFonts w:eastAsia="Calibri"/>
                <w:szCs w:val="18"/>
              </w:rPr>
              <w:t>16,587.7</w:t>
            </w:r>
          </w:p>
        </w:tc>
        <w:tc>
          <w:tcPr>
            <w:tcW w:w="1250" w:type="dxa"/>
            <w:shd w:val="clear" w:color="auto" w:fill="FFFFFF"/>
          </w:tcPr>
          <w:p w14:paraId="04618262" w14:textId="77777777" w:rsidR="006929CB" w:rsidRPr="0018630D" w:rsidRDefault="006929CB">
            <w:pPr>
              <w:pStyle w:val="TableText"/>
              <w:keepNext/>
              <w:jc w:val="right"/>
              <w:rPr>
                <w:szCs w:val="18"/>
              </w:rPr>
            </w:pPr>
            <w:r w:rsidRPr="0018630D">
              <w:rPr>
                <w:rFonts w:eastAsia="Calibri"/>
                <w:szCs w:val="18"/>
              </w:rPr>
              <w:t>16,587.7</w:t>
            </w:r>
          </w:p>
        </w:tc>
      </w:tr>
      <w:tr w:rsidR="006929CB" w:rsidRPr="0018630D" w14:paraId="7D5B982C" w14:textId="77777777" w:rsidTr="0018630D">
        <w:tc>
          <w:tcPr>
            <w:tcW w:w="1843" w:type="dxa"/>
            <w:shd w:val="clear" w:color="auto" w:fill="FFFFFF"/>
            <w:vAlign w:val="bottom"/>
          </w:tcPr>
          <w:p w14:paraId="6DD6B59C" w14:textId="77777777" w:rsidR="006929CB" w:rsidRPr="0018630D" w:rsidRDefault="006929CB" w:rsidP="00D41906">
            <w:pPr>
              <w:pStyle w:val="Tableboldblue"/>
              <w:rPr>
                <w:szCs w:val="18"/>
              </w:rPr>
            </w:pPr>
            <w:r w:rsidRPr="0018630D">
              <w:rPr>
                <w:szCs w:val="18"/>
              </w:rPr>
              <w:t>Areas as at 1 Jan 2021 (kha)</w:t>
            </w:r>
          </w:p>
        </w:tc>
        <w:tc>
          <w:tcPr>
            <w:tcW w:w="1006" w:type="dxa"/>
            <w:shd w:val="clear" w:color="auto" w:fill="FFFFFF"/>
            <w:vAlign w:val="bottom"/>
          </w:tcPr>
          <w:p w14:paraId="610220F9" w14:textId="77777777" w:rsidR="006929CB" w:rsidRPr="0018630D" w:rsidRDefault="006929CB" w:rsidP="001B5D18">
            <w:pPr>
              <w:pStyle w:val="Tableboldblue"/>
              <w:jc w:val="right"/>
              <w:rPr>
                <w:szCs w:val="18"/>
              </w:rPr>
            </w:pPr>
            <w:r w:rsidRPr="0018630D">
              <w:rPr>
                <w:szCs w:val="18"/>
              </w:rPr>
              <w:t>526.4</w:t>
            </w:r>
          </w:p>
        </w:tc>
        <w:tc>
          <w:tcPr>
            <w:tcW w:w="1040" w:type="dxa"/>
            <w:shd w:val="clear" w:color="auto" w:fill="FFFFFF"/>
            <w:vAlign w:val="bottom"/>
          </w:tcPr>
          <w:p w14:paraId="29B7E1AD" w14:textId="77777777" w:rsidR="006929CB" w:rsidRPr="0018630D" w:rsidRDefault="006929CB" w:rsidP="001B5D18">
            <w:pPr>
              <w:pStyle w:val="Tableboldblue"/>
              <w:jc w:val="right"/>
              <w:rPr>
                <w:szCs w:val="18"/>
              </w:rPr>
            </w:pPr>
            <w:r w:rsidRPr="0018630D">
              <w:rPr>
                <w:szCs w:val="18"/>
              </w:rPr>
              <w:t>247.1</w:t>
            </w:r>
          </w:p>
        </w:tc>
        <w:tc>
          <w:tcPr>
            <w:tcW w:w="1206" w:type="dxa"/>
            <w:shd w:val="clear" w:color="auto" w:fill="FFFFFF"/>
            <w:vAlign w:val="bottom"/>
          </w:tcPr>
          <w:p w14:paraId="0E596EEF" w14:textId="77777777" w:rsidR="006929CB" w:rsidRPr="0018630D" w:rsidRDefault="006929CB" w:rsidP="001B5D18">
            <w:pPr>
              <w:pStyle w:val="Tableboldblue"/>
              <w:jc w:val="right"/>
              <w:rPr>
                <w:szCs w:val="18"/>
              </w:rPr>
            </w:pPr>
            <w:r w:rsidRPr="0018630D">
              <w:rPr>
                <w:szCs w:val="18"/>
              </w:rPr>
              <w:t>233.0</w:t>
            </w:r>
          </w:p>
        </w:tc>
        <w:tc>
          <w:tcPr>
            <w:tcW w:w="1163" w:type="dxa"/>
            <w:shd w:val="clear" w:color="auto" w:fill="FFFFFF"/>
            <w:vAlign w:val="bottom"/>
          </w:tcPr>
          <w:p w14:paraId="18018C6F" w14:textId="77777777" w:rsidR="006929CB" w:rsidRPr="0018630D" w:rsidRDefault="006929CB" w:rsidP="001B5D18">
            <w:pPr>
              <w:pStyle w:val="Tableboldblue"/>
              <w:jc w:val="right"/>
              <w:rPr>
                <w:szCs w:val="18"/>
              </w:rPr>
            </w:pPr>
            <w:r w:rsidRPr="0018630D">
              <w:rPr>
                <w:szCs w:val="18"/>
              </w:rPr>
              <w:t>9,189.4</w:t>
            </w:r>
          </w:p>
        </w:tc>
        <w:tc>
          <w:tcPr>
            <w:tcW w:w="997" w:type="dxa"/>
            <w:shd w:val="clear" w:color="auto" w:fill="FFFFFF"/>
            <w:vAlign w:val="bottom"/>
          </w:tcPr>
          <w:p w14:paraId="0E754E5A" w14:textId="77777777" w:rsidR="006929CB" w:rsidRPr="0018630D" w:rsidRDefault="006929CB" w:rsidP="001B5D18">
            <w:pPr>
              <w:pStyle w:val="Tableboldblue"/>
              <w:jc w:val="right"/>
              <w:rPr>
                <w:szCs w:val="18"/>
              </w:rPr>
            </w:pPr>
            <w:r w:rsidRPr="0018630D">
              <w:rPr>
                <w:szCs w:val="18"/>
              </w:rPr>
              <w:t>16,729.2</w:t>
            </w:r>
          </w:p>
        </w:tc>
        <w:tc>
          <w:tcPr>
            <w:tcW w:w="1250" w:type="dxa"/>
            <w:shd w:val="clear" w:color="auto" w:fill="FFFFFF"/>
            <w:vAlign w:val="bottom"/>
          </w:tcPr>
          <w:p w14:paraId="454B85DF" w14:textId="77777777" w:rsidR="006929CB" w:rsidRPr="0018630D" w:rsidRDefault="006929CB" w:rsidP="001B5D18">
            <w:pPr>
              <w:pStyle w:val="Tableboldblue"/>
              <w:jc w:val="right"/>
              <w:rPr>
                <w:szCs w:val="18"/>
              </w:rPr>
            </w:pPr>
            <w:r w:rsidRPr="0018630D">
              <w:rPr>
                <w:szCs w:val="18"/>
              </w:rPr>
              <w:t>26,925.1</w:t>
            </w:r>
          </w:p>
        </w:tc>
      </w:tr>
      <w:tr w:rsidR="006929CB" w:rsidRPr="0018630D" w14:paraId="7B7ED69D" w14:textId="77777777" w:rsidTr="0018630D">
        <w:tc>
          <w:tcPr>
            <w:tcW w:w="1843" w:type="dxa"/>
            <w:shd w:val="clear" w:color="auto" w:fill="FFFFFF"/>
            <w:vAlign w:val="bottom"/>
          </w:tcPr>
          <w:p w14:paraId="3DE9B9DC" w14:textId="77777777" w:rsidR="006929CB" w:rsidRPr="0018630D" w:rsidRDefault="006929CB" w:rsidP="00D41906">
            <w:pPr>
              <w:pStyle w:val="Tableboldblue"/>
              <w:rPr>
                <w:szCs w:val="18"/>
              </w:rPr>
            </w:pPr>
            <w:r w:rsidRPr="0018630D">
              <w:rPr>
                <w:szCs w:val="18"/>
              </w:rPr>
              <w:t>Net change 1 Jan 2021</w:t>
            </w:r>
            <w:r w:rsidRPr="0018630D">
              <w:rPr>
                <w:szCs w:val="18"/>
              </w:rPr>
              <w:br/>
              <w:t>–31 Dec 2022 (kha)</w:t>
            </w:r>
          </w:p>
        </w:tc>
        <w:tc>
          <w:tcPr>
            <w:tcW w:w="1006" w:type="dxa"/>
            <w:shd w:val="clear" w:color="auto" w:fill="FFFFFF"/>
            <w:vAlign w:val="bottom"/>
          </w:tcPr>
          <w:p w14:paraId="4A8BF9B9" w14:textId="77777777" w:rsidR="006929CB" w:rsidRPr="0018630D" w:rsidRDefault="006929CB" w:rsidP="001B5D18">
            <w:pPr>
              <w:pStyle w:val="Tableboldblue"/>
              <w:jc w:val="right"/>
              <w:rPr>
                <w:szCs w:val="18"/>
              </w:rPr>
            </w:pPr>
            <w:r w:rsidRPr="0018630D">
              <w:rPr>
                <w:szCs w:val="18"/>
              </w:rPr>
              <w:t>61.7</w:t>
            </w:r>
          </w:p>
        </w:tc>
        <w:tc>
          <w:tcPr>
            <w:tcW w:w="1040" w:type="dxa"/>
            <w:shd w:val="clear" w:color="auto" w:fill="FFFFFF"/>
            <w:vAlign w:val="bottom"/>
          </w:tcPr>
          <w:p w14:paraId="76F80F03" w14:textId="77777777" w:rsidR="006929CB" w:rsidRPr="0018630D" w:rsidRDefault="006929CB" w:rsidP="001B5D18">
            <w:pPr>
              <w:pStyle w:val="Tableboldblue"/>
              <w:jc w:val="right"/>
              <w:rPr>
                <w:szCs w:val="18"/>
              </w:rPr>
            </w:pPr>
            <w:r w:rsidRPr="0018630D">
              <w:rPr>
                <w:szCs w:val="18"/>
              </w:rPr>
              <w:t>73.9</w:t>
            </w:r>
          </w:p>
        </w:tc>
        <w:tc>
          <w:tcPr>
            <w:tcW w:w="1206" w:type="dxa"/>
            <w:shd w:val="clear" w:color="auto" w:fill="FFFFFF"/>
            <w:vAlign w:val="bottom"/>
          </w:tcPr>
          <w:p w14:paraId="2564DA02" w14:textId="77777777" w:rsidR="006929CB" w:rsidRPr="0018630D" w:rsidRDefault="006929CB" w:rsidP="001B5D18">
            <w:pPr>
              <w:pStyle w:val="Tableboldblue"/>
              <w:jc w:val="right"/>
              <w:rPr>
                <w:szCs w:val="18"/>
              </w:rPr>
            </w:pPr>
            <w:r w:rsidRPr="0018630D">
              <w:rPr>
                <w:szCs w:val="18"/>
              </w:rPr>
              <w:t>8.9</w:t>
            </w:r>
          </w:p>
        </w:tc>
        <w:tc>
          <w:tcPr>
            <w:tcW w:w="1163" w:type="dxa"/>
            <w:shd w:val="clear" w:color="auto" w:fill="FFFFFF"/>
            <w:vAlign w:val="bottom"/>
          </w:tcPr>
          <w:p w14:paraId="290C3234" w14:textId="77777777" w:rsidR="006929CB" w:rsidRPr="0018630D" w:rsidRDefault="006929CB" w:rsidP="001B5D18">
            <w:pPr>
              <w:pStyle w:val="Tableboldblue"/>
              <w:jc w:val="right"/>
              <w:rPr>
                <w:szCs w:val="18"/>
              </w:rPr>
            </w:pPr>
            <w:r w:rsidRPr="0018630D">
              <w:rPr>
                <w:szCs w:val="18"/>
              </w:rPr>
              <w:t>–3.0</w:t>
            </w:r>
          </w:p>
        </w:tc>
        <w:tc>
          <w:tcPr>
            <w:tcW w:w="997" w:type="dxa"/>
            <w:shd w:val="clear" w:color="auto" w:fill="FFFFFF"/>
            <w:vAlign w:val="bottom"/>
          </w:tcPr>
          <w:p w14:paraId="53EEC690" w14:textId="77777777" w:rsidR="006929CB" w:rsidRPr="0018630D" w:rsidRDefault="006929CB" w:rsidP="001B5D18">
            <w:pPr>
              <w:pStyle w:val="Tableboldblue"/>
              <w:jc w:val="right"/>
              <w:rPr>
                <w:szCs w:val="18"/>
              </w:rPr>
            </w:pPr>
            <w:r w:rsidRPr="0018630D">
              <w:rPr>
                <w:szCs w:val="18"/>
              </w:rPr>
              <w:t>–141.5</w:t>
            </w:r>
          </w:p>
        </w:tc>
        <w:tc>
          <w:tcPr>
            <w:tcW w:w="1250" w:type="dxa"/>
            <w:shd w:val="clear" w:color="auto" w:fill="FFFFFF"/>
            <w:vAlign w:val="bottom"/>
          </w:tcPr>
          <w:p w14:paraId="0A445BB5" w14:textId="77777777" w:rsidR="006929CB" w:rsidRPr="0018630D" w:rsidRDefault="006929CB" w:rsidP="001B5D18">
            <w:pPr>
              <w:pStyle w:val="Tableboldblue"/>
              <w:jc w:val="right"/>
              <w:rPr>
                <w:szCs w:val="18"/>
              </w:rPr>
            </w:pPr>
          </w:p>
        </w:tc>
      </w:tr>
      <w:tr w:rsidR="006929CB" w:rsidRPr="0018630D" w14:paraId="2E117106" w14:textId="77777777" w:rsidTr="0018630D">
        <w:tc>
          <w:tcPr>
            <w:tcW w:w="1843" w:type="dxa"/>
            <w:shd w:val="clear" w:color="auto" w:fill="FFFFFF"/>
            <w:vAlign w:val="bottom"/>
          </w:tcPr>
          <w:p w14:paraId="4BFC3727" w14:textId="77777777" w:rsidR="006929CB" w:rsidRPr="0018630D" w:rsidRDefault="006929CB" w:rsidP="00D41906">
            <w:pPr>
              <w:pStyle w:val="Tableboldblue"/>
              <w:rPr>
                <w:szCs w:val="18"/>
              </w:rPr>
            </w:pPr>
            <w:r w:rsidRPr="0018630D">
              <w:rPr>
                <w:szCs w:val="18"/>
              </w:rPr>
              <w:t>Net change 1 Jan 2021</w:t>
            </w:r>
            <w:r w:rsidRPr="0018630D">
              <w:rPr>
                <w:szCs w:val="18"/>
              </w:rPr>
              <w:br/>
              <w:t>–31 Dec 2022 (%)</w:t>
            </w:r>
          </w:p>
        </w:tc>
        <w:tc>
          <w:tcPr>
            <w:tcW w:w="1006" w:type="dxa"/>
            <w:shd w:val="clear" w:color="auto" w:fill="FFFFFF"/>
            <w:vAlign w:val="bottom"/>
          </w:tcPr>
          <w:p w14:paraId="25DC9F39" w14:textId="77777777" w:rsidR="006929CB" w:rsidRPr="0018630D" w:rsidRDefault="006929CB" w:rsidP="001B5D18">
            <w:pPr>
              <w:pStyle w:val="Tableboldblue"/>
              <w:jc w:val="right"/>
              <w:rPr>
                <w:szCs w:val="18"/>
              </w:rPr>
            </w:pPr>
            <w:r w:rsidRPr="0018630D">
              <w:rPr>
                <w:szCs w:val="18"/>
              </w:rPr>
              <w:t>11.7</w:t>
            </w:r>
          </w:p>
        </w:tc>
        <w:tc>
          <w:tcPr>
            <w:tcW w:w="1040" w:type="dxa"/>
            <w:shd w:val="clear" w:color="auto" w:fill="FFFFFF"/>
            <w:vAlign w:val="bottom"/>
          </w:tcPr>
          <w:p w14:paraId="1BD50F32" w14:textId="77777777" w:rsidR="006929CB" w:rsidRPr="0018630D" w:rsidRDefault="006929CB" w:rsidP="001B5D18">
            <w:pPr>
              <w:pStyle w:val="Tableboldblue"/>
              <w:jc w:val="right"/>
              <w:rPr>
                <w:szCs w:val="18"/>
              </w:rPr>
            </w:pPr>
            <w:r w:rsidRPr="0018630D">
              <w:rPr>
                <w:szCs w:val="18"/>
              </w:rPr>
              <w:t>29.9</w:t>
            </w:r>
          </w:p>
        </w:tc>
        <w:tc>
          <w:tcPr>
            <w:tcW w:w="1206" w:type="dxa"/>
            <w:shd w:val="clear" w:color="auto" w:fill="FFFFFF"/>
            <w:vAlign w:val="bottom"/>
          </w:tcPr>
          <w:p w14:paraId="57B4C190" w14:textId="77777777" w:rsidR="006929CB" w:rsidRPr="0018630D" w:rsidRDefault="006929CB" w:rsidP="001B5D18">
            <w:pPr>
              <w:pStyle w:val="Tableboldblue"/>
              <w:jc w:val="right"/>
              <w:rPr>
                <w:szCs w:val="18"/>
              </w:rPr>
            </w:pPr>
            <w:r w:rsidRPr="0018630D">
              <w:rPr>
                <w:szCs w:val="18"/>
              </w:rPr>
              <w:t>3.8</w:t>
            </w:r>
          </w:p>
        </w:tc>
        <w:tc>
          <w:tcPr>
            <w:tcW w:w="1163" w:type="dxa"/>
            <w:shd w:val="clear" w:color="auto" w:fill="FFFFFF"/>
            <w:vAlign w:val="bottom"/>
          </w:tcPr>
          <w:p w14:paraId="4C728754" w14:textId="77777777" w:rsidR="006929CB" w:rsidRPr="0018630D" w:rsidRDefault="006929CB" w:rsidP="001B5D18">
            <w:pPr>
              <w:pStyle w:val="Tableboldblue"/>
              <w:jc w:val="right"/>
              <w:rPr>
                <w:szCs w:val="18"/>
              </w:rPr>
            </w:pPr>
            <w:r w:rsidRPr="0018630D">
              <w:rPr>
                <w:szCs w:val="18"/>
              </w:rPr>
              <w:t>0.0</w:t>
            </w:r>
          </w:p>
        </w:tc>
        <w:tc>
          <w:tcPr>
            <w:tcW w:w="997" w:type="dxa"/>
            <w:shd w:val="clear" w:color="auto" w:fill="FFFFFF"/>
            <w:vAlign w:val="bottom"/>
          </w:tcPr>
          <w:p w14:paraId="60BE8F6F" w14:textId="77777777" w:rsidR="006929CB" w:rsidRPr="0018630D" w:rsidRDefault="006929CB" w:rsidP="001B5D18">
            <w:pPr>
              <w:pStyle w:val="Tableboldblue"/>
              <w:jc w:val="right"/>
              <w:rPr>
                <w:szCs w:val="18"/>
              </w:rPr>
            </w:pPr>
            <w:r w:rsidRPr="0018630D">
              <w:rPr>
                <w:szCs w:val="18"/>
              </w:rPr>
              <w:t>–0.8</w:t>
            </w:r>
          </w:p>
        </w:tc>
        <w:tc>
          <w:tcPr>
            <w:tcW w:w="1250" w:type="dxa"/>
            <w:shd w:val="clear" w:color="auto" w:fill="FFFFFF"/>
            <w:vAlign w:val="bottom"/>
          </w:tcPr>
          <w:p w14:paraId="09918113" w14:textId="77777777" w:rsidR="006929CB" w:rsidRPr="0018630D" w:rsidRDefault="006929CB" w:rsidP="001B5D18">
            <w:pPr>
              <w:pStyle w:val="Tableboldblue"/>
              <w:jc w:val="right"/>
              <w:rPr>
                <w:szCs w:val="18"/>
              </w:rPr>
            </w:pPr>
          </w:p>
        </w:tc>
      </w:tr>
    </w:tbl>
    <w:p w14:paraId="6E29B2B7" w14:textId="77777777" w:rsidR="006929CB" w:rsidRPr="00DD1C54" w:rsidRDefault="006929CB" w:rsidP="006929CB">
      <w:pPr>
        <w:pStyle w:val="Source"/>
        <w:rPr>
          <w:szCs w:val="24"/>
        </w:rPr>
      </w:pPr>
      <w:r w:rsidRPr="00DD1C54">
        <w:rPr>
          <w:szCs w:val="24"/>
        </w:rPr>
        <w:t xml:space="preserve">*Inventory only refers to non-forest land that is included in New Zealand’s Greenhouse Gas Inventory of all land-based emissions but is not eligible for inclusion in the activities accounted for in New Zealand’s NDC1. </w:t>
      </w:r>
    </w:p>
    <w:p w14:paraId="50BA17E2" w14:textId="77777777" w:rsidR="006929CB" w:rsidRPr="00DD1C54" w:rsidRDefault="006929CB" w:rsidP="006929CB">
      <w:pPr>
        <w:pStyle w:val="Source"/>
        <w:rPr>
          <w:szCs w:val="24"/>
        </w:rPr>
      </w:pPr>
      <w:r w:rsidRPr="00DD1C54">
        <w:rPr>
          <w:b/>
          <w:bCs/>
          <w:szCs w:val="24"/>
        </w:rPr>
        <w:t>Note:</w:t>
      </w:r>
      <w:r w:rsidRPr="00DD1C54">
        <w:rPr>
          <w:szCs w:val="24"/>
        </w:rPr>
        <w:t xml:space="preserve"> A &amp; R = Afforestation and reforestation; LTA = long-term average; NA = not applicable.</w:t>
      </w:r>
    </w:p>
    <w:p w14:paraId="0E330741" w14:textId="77777777" w:rsidR="006929CB" w:rsidRPr="00DD1C54" w:rsidRDefault="006929CB" w:rsidP="00560BB4">
      <w:pPr>
        <w:pStyle w:val="Heading2notforTOC"/>
      </w:pPr>
      <w:bookmarkStart w:id="1039" w:name="_Toc261513283"/>
      <w:bookmarkStart w:id="1040" w:name="_Toc261513896"/>
      <w:bookmarkStart w:id="1041" w:name="_Toc280630386"/>
      <w:bookmarkStart w:id="1042" w:name="_Toc310423465"/>
      <w:bookmarkStart w:id="1043" w:name="_Toc342470733"/>
      <w:bookmarkStart w:id="1044" w:name="_Toc352504892"/>
      <w:bookmarkStart w:id="1045" w:name="_Toc377043718"/>
      <w:bookmarkStart w:id="1046" w:name="_Toc391023462"/>
      <w:bookmarkStart w:id="1047" w:name="_Toc400967256"/>
      <w:bookmarkStart w:id="1048" w:name="_Toc414531341"/>
      <w:bookmarkStart w:id="1049" w:name="_Toc456179170"/>
      <w:bookmarkStart w:id="1050" w:name="_Toc481751423"/>
      <w:bookmarkStart w:id="1051" w:name="_Toc522013962"/>
      <w:bookmarkStart w:id="1052" w:name="_Toc5269406"/>
      <w:bookmarkStart w:id="1053" w:name="_Toc36224446"/>
      <w:bookmarkStart w:id="1054" w:name="_Toc68786366"/>
      <w:bookmarkStart w:id="1055" w:name="_Toc99659172"/>
      <w:bookmarkStart w:id="1056" w:name="_Toc738310607"/>
      <w:bookmarkStart w:id="1057" w:name="_Toc183603246"/>
      <w:r w:rsidRPr="00DD1C54">
        <w:t>A2.2</w:t>
      </w:r>
      <w:r w:rsidRPr="00DD1C54">
        <w:tab/>
        <w:t>Land-related information</w:t>
      </w:r>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p>
    <w:p w14:paraId="56AA0D65" w14:textId="77777777" w:rsidR="006929CB" w:rsidRPr="00DD1C54" w:rsidRDefault="006929CB" w:rsidP="006929CB">
      <w:pPr>
        <w:pStyle w:val="Heading3"/>
      </w:pPr>
      <w:bookmarkStart w:id="1058" w:name="_Toc261513284"/>
      <w:bookmarkStart w:id="1059" w:name="_Toc261513897"/>
      <w:bookmarkStart w:id="1060" w:name="_Toc280630387"/>
      <w:bookmarkStart w:id="1061" w:name="_Toc377043719"/>
      <w:bookmarkStart w:id="1062" w:name="_Toc400967257"/>
      <w:bookmarkStart w:id="1063" w:name="_Toc69761351"/>
      <w:r w:rsidRPr="00DD1C54">
        <w:t xml:space="preserve">A2.2.1 </w:t>
      </w:r>
      <w:r w:rsidRPr="00DD1C54">
        <w:tab/>
        <w:t>Spatial assessment unit</w:t>
      </w:r>
      <w:bookmarkEnd w:id="1058"/>
      <w:bookmarkEnd w:id="1059"/>
      <w:bookmarkEnd w:id="1060"/>
      <w:bookmarkEnd w:id="1061"/>
      <w:bookmarkEnd w:id="1062"/>
      <w:bookmarkEnd w:id="1063"/>
    </w:p>
    <w:p w14:paraId="54D0D227" w14:textId="77777777" w:rsidR="006929CB" w:rsidRPr="00DD1C54" w:rsidRDefault="006929CB" w:rsidP="006929CB">
      <w:pPr>
        <w:pStyle w:val="BodyText"/>
        <w:spacing w:before="100" w:after="100"/>
      </w:pPr>
      <w:r w:rsidRPr="00DD1C54">
        <w:t>New Zealand is using a minimum mapping unit of 1 hectare.</w:t>
      </w:r>
    </w:p>
    <w:p w14:paraId="6A1B02AC" w14:textId="77777777" w:rsidR="006929CB" w:rsidRPr="00DD1C54" w:rsidRDefault="006929CB" w:rsidP="006929CB">
      <w:pPr>
        <w:pStyle w:val="Heading3"/>
      </w:pPr>
      <w:bookmarkStart w:id="1064" w:name="sectionA222"/>
      <w:bookmarkStart w:id="1065" w:name="_Toc261513285"/>
      <w:bookmarkStart w:id="1066" w:name="_Toc261513898"/>
      <w:bookmarkStart w:id="1067" w:name="_Toc280630388"/>
      <w:bookmarkStart w:id="1068" w:name="_Toc377043720"/>
      <w:bookmarkStart w:id="1069" w:name="_Toc400967258"/>
      <w:bookmarkStart w:id="1070" w:name="_Toc195129111"/>
      <w:r w:rsidRPr="00DD1C54">
        <w:t xml:space="preserve">A2.2.2 </w:t>
      </w:r>
      <w:bookmarkEnd w:id="1064"/>
      <w:r w:rsidRPr="00DD1C54">
        <w:tab/>
        <w:t>Methodology for land transition matrix</w:t>
      </w:r>
      <w:bookmarkEnd w:id="1065"/>
      <w:bookmarkEnd w:id="1066"/>
      <w:bookmarkEnd w:id="1067"/>
      <w:bookmarkEnd w:id="1068"/>
      <w:bookmarkEnd w:id="1069"/>
      <w:bookmarkEnd w:id="1070"/>
    </w:p>
    <w:p w14:paraId="29427EE4" w14:textId="77777777" w:rsidR="006929CB" w:rsidRPr="00DD1C54" w:rsidRDefault="006929CB" w:rsidP="006929CB">
      <w:pPr>
        <w:pStyle w:val="BodyText"/>
      </w:pPr>
      <w:r w:rsidRPr="00DD1C54">
        <w:t>The land transition matrix is derived from a combination of:</w:t>
      </w:r>
    </w:p>
    <w:p w14:paraId="770AB4B6" w14:textId="77777777" w:rsidR="006929CB" w:rsidRPr="00DD1C54" w:rsidRDefault="006929CB" w:rsidP="006929CB">
      <w:pPr>
        <w:pStyle w:val="Bullet"/>
        <w:spacing w:line="240" w:lineRule="auto"/>
      </w:pPr>
      <w:r w:rsidRPr="00DD1C54">
        <w:t>wall-to-wall land use mapping completed every five years</w:t>
      </w:r>
    </w:p>
    <w:p w14:paraId="70C399AF" w14:textId="77777777" w:rsidR="006929CB" w:rsidRPr="00DD1C54" w:rsidRDefault="006929CB" w:rsidP="006929CB">
      <w:pPr>
        <w:pStyle w:val="Bullet"/>
        <w:spacing w:line="240" w:lineRule="auto"/>
      </w:pPr>
      <w:r w:rsidRPr="00DD1C54">
        <w:t>deforestation mapping completed every two years</w:t>
      </w:r>
    </w:p>
    <w:p w14:paraId="1AEBBA40" w14:textId="77777777" w:rsidR="006929CB" w:rsidRPr="00DD1C54" w:rsidRDefault="006929CB" w:rsidP="006929CB">
      <w:pPr>
        <w:pStyle w:val="Bullet"/>
        <w:spacing w:line="240" w:lineRule="auto"/>
      </w:pPr>
      <w:r w:rsidRPr="00DD1C54">
        <w:t>forest survey data</w:t>
      </w:r>
    </w:p>
    <w:p w14:paraId="6054DD79" w14:textId="77777777" w:rsidR="006929CB" w:rsidRPr="00DD1C54" w:rsidRDefault="006929CB" w:rsidP="006929CB">
      <w:pPr>
        <w:pStyle w:val="Bullet"/>
        <w:spacing w:line="240" w:lineRule="auto"/>
      </w:pPr>
      <w:r w:rsidRPr="00DD1C54">
        <w:t xml:space="preserve">interpolation and extrapolation of trends to obtain annual land transitions. </w:t>
      </w:r>
    </w:p>
    <w:p w14:paraId="32C15BF3" w14:textId="77777777" w:rsidR="006929CB" w:rsidRPr="00DD1C54" w:rsidRDefault="006929CB" w:rsidP="006929CB">
      <w:pPr>
        <w:pStyle w:val="BodyText"/>
      </w:pPr>
      <w:r w:rsidRPr="00DD1C54">
        <w:t>For the period from 1990 to 2022, land transitions are derived from the following data sources:</w:t>
      </w:r>
    </w:p>
    <w:p w14:paraId="3EF14FD2" w14:textId="77777777" w:rsidR="006929CB" w:rsidRPr="00DD1C54" w:rsidRDefault="006929CB" w:rsidP="006929CB">
      <w:pPr>
        <w:pStyle w:val="Bullet"/>
        <w:spacing w:line="240" w:lineRule="auto"/>
      </w:pPr>
      <w:r w:rsidRPr="00DD1C54">
        <w:t>the 1990, 2008, 2012, 2016 and 2020 land use maps (Ministry for the Environment, 2024)</w:t>
      </w:r>
    </w:p>
    <w:p w14:paraId="4A8FFD43" w14:textId="77777777" w:rsidR="006929CB" w:rsidRPr="00DD1C54" w:rsidRDefault="006929CB" w:rsidP="006929CB">
      <w:pPr>
        <w:pStyle w:val="Bullet"/>
        <w:spacing w:line="240" w:lineRule="auto"/>
      </w:pPr>
      <w:r w:rsidRPr="00DD1C54">
        <w:t>an estimate of total afforestation for planted forest for 2017 to 2022 is based on the National Exotic Forest Description (NEFD) (Ministry for Primary Industries, 2023a)</w:t>
      </w:r>
    </w:p>
    <w:p w14:paraId="10F3C23E" w14:textId="77777777" w:rsidR="006929CB" w:rsidRPr="00DD1C54" w:rsidRDefault="006929CB" w:rsidP="006929CB">
      <w:pPr>
        <w:pStyle w:val="Bullet"/>
        <w:spacing w:line="240" w:lineRule="auto"/>
      </w:pPr>
      <w:r w:rsidRPr="00DD1C54">
        <w:t>the annual area of afforestation of post-1989 natural forest for 2017 to 2021 is estimated from the Ministry for Primary Industries afforestation scheme data</w:t>
      </w:r>
    </w:p>
    <w:p w14:paraId="726F8243" w14:textId="77777777" w:rsidR="006929CB" w:rsidRPr="00DD1C54" w:rsidRDefault="006929CB" w:rsidP="006929CB">
      <w:pPr>
        <w:pStyle w:val="Bullet"/>
        <w:spacing w:line="240" w:lineRule="auto"/>
      </w:pPr>
      <w:r w:rsidRPr="00DD1C54">
        <w:t xml:space="preserve">the area of post-1989 natural afforestation for 2022 is estimated from the </w:t>
      </w:r>
      <w:r w:rsidRPr="00DD1C54">
        <w:rPr>
          <w:i/>
          <w:iCs/>
        </w:rPr>
        <w:t>Afforestation and Deforestation Intentions Survey</w:t>
      </w:r>
      <w:r w:rsidRPr="00DD1C54">
        <w:t xml:space="preserve"> for 2020 by taking the total area of ‘natural reversion’ and ‘indigenous tall planted’ (Manley, 2023)</w:t>
      </w:r>
    </w:p>
    <w:p w14:paraId="3AE537F4" w14:textId="77777777" w:rsidR="006929CB" w:rsidRPr="00DD1C54" w:rsidRDefault="006929CB" w:rsidP="006929CB">
      <w:pPr>
        <w:pStyle w:val="Bullet"/>
        <w:spacing w:line="240" w:lineRule="auto"/>
      </w:pPr>
      <w:r w:rsidRPr="00DD1C54">
        <w:t>for post-1989 natural forest dominated by wilding exotic conifers, a linear extrapolation of the mapped area of land-use change between 2012 and 2016 (for this forest type) was used to estimate afforestation for 2017 to 2022</w:t>
      </w:r>
    </w:p>
    <w:p w14:paraId="06A06FF9" w14:textId="77777777" w:rsidR="006929CB" w:rsidRPr="00DD1C54" w:rsidRDefault="006929CB" w:rsidP="006929CB">
      <w:pPr>
        <w:pStyle w:val="Bullet"/>
        <w:spacing w:line="240" w:lineRule="auto"/>
      </w:pPr>
      <w:r w:rsidRPr="00DD1C54">
        <w:t>deforestation mapping for 2008 to 2020</w:t>
      </w:r>
    </w:p>
    <w:p w14:paraId="53F45F40" w14:textId="77777777" w:rsidR="006929CB" w:rsidRPr="00DD1C54" w:rsidRDefault="006929CB" w:rsidP="006929CB">
      <w:pPr>
        <w:pStyle w:val="Bullet"/>
        <w:spacing w:line="240" w:lineRule="auto"/>
      </w:pPr>
      <w:r w:rsidRPr="00DD1C54">
        <w:t>estimates of 2021 and 2022 planted forest deforestation based on extrapolation of the planted forest deforestation trend occurring over the period 2014 to 2020</w:t>
      </w:r>
    </w:p>
    <w:p w14:paraId="60F6F224" w14:textId="77777777" w:rsidR="006929CB" w:rsidRPr="00DD1C54" w:rsidRDefault="006929CB" w:rsidP="006929CB">
      <w:pPr>
        <w:pStyle w:val="Bullet"/>
        <w:spacing w:line="240" w:lineRule="auto"/>
      </w:pPr>
      <w:r w:rsidRPr="00DD1C54">
        <w:t>estimates of 2021 and 2022 natural forest deforestation calculated as the average of the three previous mapped years (2017 to 2020).</w:t>
      </w:r>
    </w:p>
    <w:p w14:paraId="7CB42B63" w14:textId="3DFF8F47" w:rsidR="006929CB" w:rsidRPr="00DD1C54" w:rsidRDefault="006929CB" w:rsidP="006929CB">
      <w:pPr>
        <w:pStyle w:val="BodyText"/>
      </w:pPr>
      <w:r w:rsidRPr="00DD1C54">
        <w:t>Due to the land use category definitions used by New Zealand, which split forests established before 1990 from those established after 1989 (</w:t>
      </w:r>
      <w:hyperlink w:anchor="A214" w:history="1">
        <w:r w:rsidRPr="00DA6B93">
          <w:rPr>
            <w:rStyle w:val="Hyperlink"/>
          </w:rPr>
          <w:t>section A2.1.4</w:t>
        </w:r>
      </w:hyperlink>
      <w:r w:rsidRPr="00DD1C54">
        <w:t xml:space="preserve">), the land transition matrix is derived from the sequence of land-use changes occurring through the reporting period. Using the 1990 land use map as the baseline, areas of deforestation are tracked through time to ensure that, regardless of subsequent land-use change, the net emissions that occur on the deforested land are reported under </w:t>
      </w:r>
      <w:r w:rsidRPr="00DD1C54">
        <w:rPr>
          <w:i/>
        </w:rPr>
        <w:t>Deforestation</w:t>
      </w:r>
      <w:r w:rsidRPr="00DD1C54">
        <w:t xml:space="preserve">. Where a pre-1990 planted forest is harvested and converted to another land use under the carbon equivalent forest provision, the land is tracked spatially and its net emissions are reported under </w:t>
      </w:r>
      <w:r w:rsidRPr="00DD1C54">
        <w:rPr>
          <w:i/>
        </w:rPr>
        <w:t>Forest management</w:t>
      </w:r>
      <w:r w:rsidRPr="00DD1C54">
        <w:t xml:space="preserve">, as are the areas and net emissions due to the new forest that was established to compensate for the harvested and converted forest. </w:t>
      </w:r>
    </w:p>
    <w:p w14:paraId="26F16CC7" w14:textId="77777777" w:rsidR="006929CB" w:rsidRPr="00DD1C54" w:rsidRDefault="006929CB" w:rsidP="006929CB">
      <w:pPr>
        <w:pStyle w:val="BodyText"/>
      </w:pPr>
      <w:r w:rsidRPr="00DD1C54">
        <w:t xml:space="preserve">The relationship between mapped land-use changes and activities reported under </w:t>
      </w:r>
      <w:r w:rsidRPr="00DD1C54">
        <w:rPr>
          <w:i/>
          <w:iCs/>
        </w:rPr>
        <w:t>Afforestation and reforestation</w:t>
      </w:r>
      <w:r w:rsidRPr="00DD1C54">
        <w:t xml:space="preserve">, </w:t>
      </w:r>
      <w:r w:rsidRPr="00DD1C54">
        <w:rPr>
          <w:i/>
          <w:iCs/>
        </w:rPr>
        <w:t>Deforestation</w:t>
      </w:r>
      <w:r w:rsidRPr="00DD1C54">
        <w:t xml:space="preserve"> and </w:t>
      </w:r>
      <w:r w:rsidRPr="00DD1C54">
        <w:rPr>
          <w:i/>
          <w:iCs/>
        </w:rPr>
        <w:t xml:space="preserve">Forest management </w:t>
      </w:r>
      <w:r w:rsidRPr="00DD1C54">
        <w:t>is shown in table A2.6.</w:t>
      </w:r>
    </w:p>
    <w:p w14:paraId="16E6D2DB" w14:textId="77777777" w:rsidR="006929CB" w:rsidRPr="00DD1C54" w:rsidRDefault="006929CB" w:rsidP="006929CB">
      <w:pPr>
        <w:pStyle w:val="Tableheading"/>
      </w:pPr>
      <w:bookmarkStart w:id="1071" w:name="_Toc414531529"/>
      <w:bookmarkStart w:id="1072" w:name="_Toc456179106"/>
      <w:bookmarkStart w:id="1073" w:name="_Toc481751632"/>
      <w:bookmarkStart w:id="1074" w:name="_Toc522010657"/>
      <w:bookmarkStart w:id="1075" w:name="_Toc5269627"/>
      <w:bookmarkStart w:id="1076" w:name="_Toc36224709"/>
      <w:bookmarkStart w:id="1077" w:name="_Toc64987044"/>
      <w:bookmarkStart w:id="1078" w:name="_Toc68786594"/>
      <w:bookmarkStart w:id="1079" w:name="_Toc95321536"/>
      <w:bookmarkStart w:id="1080" w:name="_Toc99659388"/>
      <w:bookmarkStart w:id="1081" w:name="_Toc182311698"/>
      <w:bookmarkStart w:id="1082" w:name="_Toc185407533"/>
      <w:bookmarkStart w:id="1083" w:name="_Toc185427796"/>
      <w:r w:rsidRPr="00DD1C54">
        <w:t>Table A2.6:</w:t>
      </w:r>
      <w:r w:rsidRPr="00DD1C54">
        <w:tab/>
        <w:t xml:space="preserve">Relationship between mapped land-use changes and LULUCF activities </w:t>
      </w:r>
      <w:bookmarkEnd w:id="1071"/>
      <w:bookmarkEnd w:id="1072"/>
      <w:bookmarkEnd w:id="1073"/>
      <w:bookmarkEnd w:id="1074"/>
      <w:bookmarkEnd w:id="1075"/>
      <w:bookmarkEnd w:id="1076"/>
      <w:bookmarkEnd w:id="1077"/>
      <w:bookmarkEnd w:id="1078"/>
      <w:bookmarkEnd w:id="1079"/>
      <w:bookmarkEnd w:id="1080"/>
      <w:r w:rsidRPr="00DD1C54">
        <w:t>accounted for towards NDC1</w:t>
      </w:r>
      <w:bookmarkEnd w:id="1081"/>
      <w:bookmarkEnd w:id="1082"/>
      <w:bookmarkEnd w:id="1083"/>
    </w:p>
    <w:tbl>
      <w:tblPr>
        <w:tblW w:w="8505" w:type="dxa"/>
        <w:tblBorders>
          <w:top w:val="single" w:sz="4" w:space="0" w:color="1B556B"/>
          <w:bottom w:val="single" w:sz="4" w:space="0" w:color="1B556B"/>
          <w:insideH w:val="single" w:sz="4" w:space="0" w:color="1B556B"/>
          <w:insideV w:val="single" w:sz="4" w:space="0" w:color="1B556B"/>
        </w:tblBorders>
        <w:tblLayout w:type="fixed"/>
        <w:tblCellMar>
          <w:left w:w="85" w:type="dxa"/>
          <w:right w:w="57" w:type="dxa"/>
        </w:tblCellMar>
        <w:tblLook w:val="04A0" w:firstRow="1" w:lastRow="0" w:firstColumn="1" w:lastColumn="0" w:noHBand="0" w:noVBand="1"/>
      </w:tblPr>
      <w:tblGrid>
        <w:gridCol w:w="1276"/>
        <w:gridCol w:w="941"/>
        <w:gridCol w:w="1015"/>
        <w:gridCol w:w="860"/>
        <w:gridCol w:w="870"/>
        <w:gridCol w:w="850"/>
        <w:gridCol w:w="851"/>
        <w:gridCol w:w="1134"/>
        <w:gridCol w:w="708"/>
      </w:tblGrid>
      <w:tr w:rsidR="006929CB" w:rsidRPr="0018630D" w14:paraId="6C81302F" w14:textId="77777777" w:rsidTr="009B2A01">
        <w:trPr>
          <w:tblHeader/>
        </w:trPr>
        <w:tc>
          <w:tcPr>
            <w:tcW w:w="1276" w:type="dxa"/>
            <w:shd w:val="clear" w:color="auto" w:fill="1B556B"/>
            <w:tcMar>
              <w:left w:w="85" w:type="dxa"/>
              <w:right w:w="85" w:type="dxa"/>
            </w:tcMar>
            <w:vAlign w:val="bottom"/>
          </w:tcPr>
          <w:p w14:paraId="3033D6C1" w14:textId="77777777" w:rsidR="006929CB" w:rsidRPr="0018630D" w:rsidRDefault="006929CB">
            <w:pPr>
              <w:pStyle w:val="TableTextbold"/>
              <w:spacing w:before="40" w:after="120"/>
              <w:ind w:right="169"/>
              <w:jc w:val="right"/>
              <w:rPr>
                <w:rFonts w:cs="Calibri"/>
                <w:color w:val="FFFFFF"/>
                <w:szCs w:val="18"/>
              </w:rPr>
            </w:pPr>
            <w:r w:rsidRPr="0018630D">
              <w:rPr>
                <w:noProof/>
                <w:szCs w:val="18"/>
              </w:rPr>
              <mc:AlternateContent>
                <mc:Choice Requires="wps">
                  <w:drawing>
                    <wp:anchor distT="0" distB="0" distL="114300" distR="114300" simplePos="0" relativeHeight="251658243" behindDoc="0" locked="0" layoutInCell="1" allowOverlap="1" wp14:anchorId="7682B90D" wp14:editId="569F7841">
                      <wp:simplePos x="0" y="0"/>
                      <wp:positionH relativeFrom="column">
                        <wp:posOffset>-29845</wp:posOffset>
                      </wp:positionH>
                      <wp:positionV relativeFrom="paragraph">
                        <wp:posOffset>-25400</wp:posOffset>
                      </wp:positionV>
                      <wp:extent cx="746125" cy="426720"/>
                      <wp:effectExtent l="0" t="0" r="34925" b="30480"/>
                      <wp:wrapNone/>
                      <wp:docPr id="1070304679"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46125" cy="426720"/>
                              </a:xfrm>
                              <a:prstGeom prst="line">
                                <a:avLst/>
                              </a:prstGeom>
                              <a:noFill/>
                              <a:ln w="6350" cap="flat" cmpd="sng" algn="ctr">
                                <a:solidFill>
                                  <a:sysClr val="window" lastClr="FFFF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B246D01" id="Straight Connector 6" o:spid="_x0000_s1026" style="position:absolute;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pt,-2pt" to="56.4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" strokecolor="window" strokeweight=".5pt">
                      <v:stroke joinstyle="miter"/>
                      <o:lock v:ext="edit" shapetype="f"/>
                    </v:line>
                  </w:pict>
                </mc:Fallback>
              </mc:AlternateContent>
            </w:r>
            <w:r w:rsidRPr="0018630D">
              <w:rPr>
                <w:rFonts w:cs="Calibri"/>
                <w:color w:val="FFFFFF"/>
                <w:szCs w:val="18"/>
              </w:rPr>
              <w:t>Final</w:t>
            </w:r>
          </w:p>
          <w:p w14:paraId="4FC2709F" w14:textId="77777777" w:rsidR="006929CB" w:rsidRPr="0018630D" w:rsidRDefault="006929CB">
            <w:pPr>
              <w:pStyle w:val="TableTextbold"/>
              <w:spacing w:before="40" w:after="40"/>
              <w:rPr>
                <w:rFonts w:cs="Calibri"/>
                <w:color w:val="FFFFFF"/>
                <w:szCs w:val="18"/>
              </w:rPr>
            </w:pPr>
            <w:r w:rsidRPr="0018630D">
              <w:rPr>
                <w:rFonts w:cs="Calibri"/>
                <w:color w:val="FFFFFF"/>
                <w:szCs w:val="18"/>
              </w:rPr>
              <w:t>Initial</w:t>
            </w:r>
          </w:p>
        </w:tc>
        <w:tc>
          <w:tcPr>
            <w:tcW w:w="941" w:type="dxa"/>
            <w:shd w:val="clear" w:color="auto" w:fill="1B556B"/>
            <w:tcMar>
              <w:left w:w="85" w:type="dxa"/>
              <w:right w:w="85" w:type="dxa"/>
            </w:tcMar>
            <w:vAlign w:val="bottom"/>
          </w:tcPr>
          <w:p w14:paraId="71675AAD" w14:textId="77777777" w:rsidR="006929CB" w:rsidRPr="0018630D" w:rsidRDefault="006929CB">
            <w:pPr>
              <w:pStyle w:val="TableTextbold"/>
              <w:spacing w:before="40" w:after="40"/>
              <w:jc w:val="center"/>
              <w:rPr>
                <w:rFonts w:cs="Calibri"/>
                <w:color w:val="FFFFFF"/>
                <w:szCs w:val="18"/>
              </w:rPr>
            </w:pPr>
            <w:r w:rsidRPr="0018630D">
              <w:rPr>
                <w:rFonts w:cs="Calibri"/>
                <w:color w:val="FFFFFF"/>
                <w:szCs w:val="18"/>
              </w:rPr>
              <w:t>Pre-1990 natural forest</w:t>
            </w:r>
          </w:p>
        </w:tc>
        <w:tc>
          <w:tcPr>
            <w:tcW w:w="1015" w:type="dxa"/>
            <w:shd w:val="clear" w:color="auto" w:fill="1B556B"/>
            <w:tcMar>
              <w:left w:w="85" w:type="dxa"/>
              <w:right w:w="85" w:type="dxa"/>
            </w:tcMar>
            <w:vAlign w:val="bottom"/>
          </w:tcPr>
          <w:p w14:paraId="250E93AA" w14:textId="77777777" w:rsidR="006929CB" w:rsidRPr="0018630D" w:rsidRDefault="006929CB">
            <w:pPr>
              <w:pStyle w:val="TableTextbold"/>
              <w:spacing w:before="40" w:after="40"/>
              <w:jc w:val="center"/>
              <w:rPr>
                <w:rFonts w:cs="Calibri"/>
                <w:color w:val="FFFFFF"/>
                <w:szCs w:val="18"/>
              </w:rPr>
            </w:pPr>
            <w:r w:rsidRPr="0018630D">
              <w:rPr>
                <w:rFonts w:cs="Calibri"/>
                <w:color w:val="FFFFFF"/>
                <w:szCs w:val="18"/>
              </w:rPr>
              <w:t>Pre-1990 planted forest</w:t>
            </w:r>
          </w:p>
        </w:tc>
        <w:tc>
          <w:tcPr>
            <w:tcW w:w="860" w:type="dxa"/>
            <w:shd w:val="clear" w:color="auto" w:fill="1B556B"/>
            <w:tcMar>
              <w:left w:w="85" w:type="dxa"/>
              <w:right w:w="85" w:type="dxa"/>
            </w:tcMar>
            <w:vAlign w:val="bottom"/>
          </w:tcPr>
          <w:p w14:paraId="3B439B21" w14:textId="77777777" w:rsidR="006929CB" w:rsidRPr="0018630D" w:rsidRDefault="006929CB">
            <w:pPr>
              <w:pStyle w:val="TableTextbold"/>
              <w:spacing w:before="40" w:after="40"/>
              <w:jc w:val="center"/>
              <w:rPr>
                <w:rFonts w:cs="Calibri"/>
                <w:color w:val="FFFFFF"/>
                <w:szCs w:val="18"/>
              </w:rPr>
            </w:pPr>
            <w:r w:rsidRPr="0018630D">
              <w:rPr>
                <w:rFonts w:cs="Calibri"/>
                <w:color w:val="FFFFFF"/>
                <w:szCs w:val="18"/>
              </w:rPr>
              <w:t>Post-1989 forest</w:t>
            </w:r>
          </w:p>
        </w:tc>
        <w:tc>
          <w:tcPr>
            <w:tcW w:w="870" w:type="dxa"/>
            <w:shd w:val="clear" w:color="auto" w:fill="1B556B"/>
            <w:tcMar>
              <w:left w:w="85" w:type="dxa"/>
              <w:right w:w="85" w:type="dxa"/>
            </w:tcMar>
            <w:vAlign w:val="bottom"/>
          </w:tcPr>
          <w:p w14:paraId="2BA30793" w14:textId="77777777" w:rsidR="006929CB" w:rsidRPr="0018630D" w:rsidRDefault="006929CB">
            <w:pPr>
              <w:pStyle w:val="TableTextbold"/>
              <w:spacing w:before="40" w:after="40"/>
              <w:jc w:val="center"/>
              <w:rPr>
                <w:rFonts w:cs="Calibri"/>
                <w:color w:val="FFFFFF"/>
                <w:szCs w:val="18"/>
              </w:rPr>
            </w:pPr>
            <w:r w:rsidRPr="0018630D">
              <w:rPr>
                <w:rFonts w:cs="Calibri"/>
                <w:color w:val="FFFFFF"/>
                <w:szCs w:val="18"/>
              </w:rPr>
              <w:t>Grassland</w:t>
            </w:r>
          </w:p>
        </w:tc>
        <w:tc>
          <w:tcPr>
            <w:tcW w:w="850" w:type="dxa"/>
            <w:shd w:val="clear" w:color="auto" w:fill="1B556B"/>
            <w:tcMar>
              <w:left w:w="85" w:type="dxa"/>
              <w:right w:w="85" w:type="dxa"/>
            </w:tcMar>
            <w:vAlign w:val="bottom"/>
          </w:tcPr>
          <w:p w14:paraId="286649ED" w14:textId="77777777" w:rsidR="006929CB" w:rsidRPr="0018630D" w:rsidRDefault="006929CB">
            <w:pPr>
              <w:pStyle w:val="TableTextbold"/>
              <w:spacing w:before="40" w:after="40"/>
              <w:jc w:val="center"/>
              <w:rPr>
                <w:rFonts w:cs="Calibri"/>
                <w:color w:val="FFFFFF"/>
                <w:szCs w:val="18"/>
              </w:rPr>
            </w:pPr>
            <w:r w:rsidRPr="0018630D">
              <w:rPr>
                <w:rFonts w:cs="Calibri"/>
                <w:color w:val="FFFFFF"/>
                <w:szCs w:val="18"/>
              </w:rPr>
              <w:t>Cropland</w:t>
            </w:r>
          </w:p>
        </w:tc>
        <w:tc>
          <w:tcPr>
            <w:tcW w:w="851" w:type="dxa"/>
            <w:shd w:val="clear" w:color="auto" w:fill="1B556B"/>
            <w:tcMar>
              <w:left w:w="85" w:type="dxa"/>
              <w:right w:w="85" w:type="dxa"/>
            </w:tcMar>
            <w:vAlign w:val="bottom"/>
          </w:tcPr>
          <w:p w14:paraId="772ED36C" w14:textId="77777777" w:rsidR="006929CB" w:rsidRPr="0018630D" w:rsidRDefault="006929CB">
            <w:pPr>
              <w:pStyle w:val="TableTextbold"/>
              <w:spacing w:before="40" w:after="40"/>
              <w:jc w:val="center"/>
              <w:rPr>
                <w:rFonts w:cs="Calibri"/>
                <w:color w:val="FFFFFF"/>
                <w:szCs w:val="18"/>
              </w:rPr>
            </w:pPr>
            <w:r w:rsidRPr="0018630D">
              <w:rPr>
                <w:rFonts w:cs="Calibri"/>
                <w:color w:val="FFFFFF"/>
                <w:szCs w:val="18"/>
              </w:rPr>
              <w:t>Wetland</w:t>
            </w:r>
          </w:p>
        </w:tc>
        <w:tc>
          <w:tcPr>
            <w:tcW w:w="1134" w:type="dxa"/>
            <w:shd w:val="clear" w:color="auto" w:fill="1B556B"/>
            <w:tcMar>
              <w:left w:w="85" w:type="dxa"/>
              <w:right w:w="85" w:type="dxa"/>
            </w:tcMar>
            <w:vAlign w:val="bottom"/>
          </w:tcPr>
          <w:p w14:paraId="5A71DDA1" w14:textId="77777777" w:rsidR="006929CB" w:rsidRPr="0018630D" w:rsidRDefault="006929CB">
            <w:pPr>
              <w:pStyle w:val="TableTextbold"/>
              <w:spacing w:before="40" w:after="40"/>
              <w:jc w:val="center"/>
              <w:rPr>
                <w:rFonts w:cs="Calibri"/>
                <w:color w:val="FFFFFF"/>
                <w:szCs w:val="18"/>
              </w:rPr>
            </w:pPr>
            <w:r w:rsidRPr="0018630D">
              <w:rPr>
                <w:rFonts w:cs="Calibri"/>
                <w:color w:val="FFFFFF"/>
                <w:szCs w:val="18"/>
              </w:rPr>
              <w:t>Settlements</w:t>
            </w:r>
          </w:p>
        </w:tc>
        <w:tc>
          <w:tcPr>
            <w:tcW w:w="708" w:type="dxa"/>
            <w:shd w:val="clear" w:color="auto" w:fill="1B556B"/>
            <w:tcMar>
              <w:left w:w="85" w:type="dxa"/>
              <w:right w:w="85" w:type="dxa"/>
            </w:tcMar>
            <w:vAlign w:val="bottom"/>
          </w:tcPr>
          <w:p w14:paraId="5D504C04" w14:textId="77777777" w:rsidR="006929CB" w:rsidRPr="0018630D" w:rsidRDefault="006929CB">
            <w:pPr>
              <w:pStyle w:val="TableTextbold"/>
              <w:spacing w:before="40" w:after="40"/>
              <w:jc w:val="center"/>
              <w:rPr>
                <w:rFonts w:cs="Calibri"/>
                <w:color w:val="FFFFFF"/>
                <w:szCs w:val="18"/>
              </w:rPr>
            </w:pPr>
            <w:r w:rsidRPr="0018630D">
              <w:rPr>
                <w:rFonts w:cs="Calibri"/>
                <w:color w:val="FFFFFF"/>
                <w:szCs w:val="18"/>
              </w:rPr>
              <w:t>Other land</w:t>
            </w:r>
          </w:p>
        </w:tc>
      </w:tr>
      <w:tr w:rsidR="006929CB" w:rsidRPr="0018630D" w14:paraId="62094917" w14:textId="77777777" w:rsidTr="009B2A01">
        <w:tc>
          <w:tcPr>
            <w:tcW w:w="1276" w:type="dxa"/>
            <w:shd w:val="clear" w:color="auto" w:fill="auto"/>
            <w:tcMar>
              <w:left w:w="85" w:type="dxa"/>
              <w:right w:w="85" w:type="dxa"/>
            </w:tcMar>
          </w:tcPr>
          <w:p w14:paraId="33226925" w14:textId="77777777" w:rsidR="006929CB" w:rsidRPr="0018630D" w:rsidRDefault="006929CB">
            <w:pPr>
              <w:pStyle w:val="TableText"/>
              <w:spacing w:before="40" w:after="40"/>
              <w:rPr>
                <w:rFonts w:cs="Calibri"/>
                <w:szCs w:val="18"/>
              </w:rPr>
            </w:pPr>
            <w:r w:rsidRPr="0018630D">
              <w:rPr>
                <w:rFonts w:cs="Calibri"/>
                <w:szCs w:val="18"/>
              </w:rPr>
              <w:t>Pre-1990 natural forest</w:t>
            </w:r>
          </w:p>
        </w:tc>
        <w:tc>
          <w:tcPr>
            <w:tcW w:w="941" w:type="dxa"/>
            <w:shd w:val="clear" w:color="auto" w:fill="auto"/>
            <w:tcMar>
              <w:left w:w="85" w:type="dxa"/>
              <w:right w:w="85" w:type="dxa"/>
            </w:tcMar>
          </w:tcPr>
          <w:p w14:paraId="4A2883D6" w14:textId="77777777" w:rsidR="006929CB" w:rsidRPr="0018630D" w:rsidRDefault="006929CB">
            <w:pPr>
              <w:pStyle w:val="TableText"/>
              <w:spacing w:before="40" w:after="40"/>
              <w:jc w:val="center"/>
              <w:rPr>
                <w:rFonts w:cs="Calibri"/>
                <w:szCs w:val="18"/>
              </w:rPr>
            </w:pPr>
            <w:r w:rsidRPr="0018630D">
              <w:rPr>
                <w:rFonts w:cs="Calibri"/>
                <w:szCs w:val="18"/>
              </w:rPr>
              <w:t>FM</w:t>
            </w:r>
          </w:p>
        </w:tc>
        <w:tc>
          <w:tcPr>
            <w:tcW w:w="1015" w:type="dxa"/>
            <w:shd w:val="clear" w:color="auto" w:fill="auto"/>
            <w:tcMar>
              <w:left w:w="85" w:type="dxa"/>
              <w:right w:w="85" w:type="dxa"/>
            </w:tcMar>
          </w:tcPr>
          <w:p w14:paraId="0F5688F4" w14:textId="77777777" w:rsidR="006929CB" w:rsidRPr="0018630D" w:rsidRDefault="006929CB">
            <w:pPr>
              <w:pStyle w:val="TableText"/>
              <w:spacing w:before="40" w:after="40"/>
              <w:jc w:val="center"/>
              <w:rPr>
                <w:rFonts w:cs="Calibri"/>
                <w:szCs w:val="18"/>
              </w:rPr>
            </w:pPr>
            <w:r w:rsidRPr="0018630D">
              <w:rPr>
                <w:rFonts w:cs="Calibri"/>
                <w:szCs w:val="18"/>
              </w:rPr>
              <w:t>FM</w:t>
            </w:r>
          </w:p>
        </w:tc>
        <w:tc>
          <w:tcPr>
            <w:tcW w:w="860" w:type="dxa"/>
            <w:shd w:val="clear" w:color="auto" w:fill="auto"/>
            <w:tcMar>
              <w:left w:w="85" w:type="dxa"/>
              <w:right w:w="85" w:type="dxa"/>
            </w:tcMar>
          </w:tcPr>
          <w:p w14:paraId="05D0B4D0" w14:textId="77777777" w:rsidR="006929CB" w:rsidRPr="0018630D" w:rsidRDefault="006929CB">
            <w:pPr>
              <w:pStyle w:val="TableText"/>
              <w:spacing w:before="40" w:after="40"/>
              <w:jc w:val="center"/>
              <w:rPr>
                <w:rFonts w:cs="Calibri"/>
                <w:szCs w:val="18"/>
              </w:rPr>
            </w:pPr>
            <w:r w:rsidRPr="0018630D">
              <w:rPr>
                <w:rFonts w:cs="Calibri"/>
                <w:szCs w:val="18"/>
              </w:rPr>
              <w:t>NA</w:t>
            </w:r>
          </w:p>
        </w:tc>
        <w:tc>
          <w:tcPr>
            <w:tcW w:w="870" w:type="dxa"/>
            <w:shd w:val="clear" w:color="auto" w:fill="auto"/>
            <w:tcMar>
              <w:left w:w="85" w:type="dxa"/>
              <w:right w:w="85" w:type="dxa"/>
            </w:tcMar>
          </w:tcPr>
          <w:p w14:paraId="32B53D92"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850" w:type="dxa"/>
            <w:shd w:val="clear" w:color="auto" w:fill="auto"/>
            <w:tcMar>
              <w:left w:w="85" w:type="dxa"/>
              <w:right w:w="85" w:type="dxa"/>
            </w:tcMar>
          </w:tcPr>
          <w:p w14:paraId="6E07D1BE"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851" w:type="dxa"/>
            <w:shd w:val="clear" w:color="auto" w:fill="auto"/>
            <w:tcMar>
              <w:left w:w="85" w:type="dxa"/>
              <w:right w:w="85" w:type="dxa"/>
            </w:tcMar>
          </w:tcPr>
          <w:p w14:paraId="3D065FB5"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1134" w:type="dxa"/>
            <w:shd w:val="clear" w:color="auto" w:fill="auto"/>
            <w:tcMar>
              <w:left w:w="85" w:type="dxa"/>
              <w:right w:w="85" w:type="dxa"/>
            </w:tcMar>
          </w:tcPr>
          <w:p w14:paraId="38927BFF"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708" w:type="dxa"/>
            <w:shd w:val="clear" w:color="auto" w:fill="auto"/>
            <w:tcMar>
              <w:left w:w="85" w:type="dxa"/>
              <w:right w:w="85" w:type="dxa"/>
            </w:tcMar>
          </w:tcPr>
          <w:p w14:paraId="66ABA5EC" w14:textId="77777777" w:rsidR="006929CB" w:rsidRPr="0018630D" w:rsidRDefault="006929CB">
            <w:pPr>
              <w:pStyle w:val="TableText"/>
              <w:spacing w:before="40" w:after="40"/>
              <w:jc w:val="center"/>
              <w:rPr>
                <w:rFonts w:cs="Calibri"/>
                <w:szCs w:val="18"/>
              </w:rPr>
            </w:pPr>
            <w:r w:rsidRPr="0018630D">
              <w:rPr>
                <w:rFonts w:cs="Calibri"/>
                <w:szCs w:val="18"/>
              </w:rPr>
              <w:t>D</w:t>
            </w:r>
          </w:p>
        </w:tc>
      </w:tr>
      <w:tr w:rsidR="006929CB" w:rsidRPr="0018630D" w14:paraId="6889ACFF" w14:textId="77777777" w:rsidTr="009B2A01">
        <w:tc>
          <w:tcPr>
            <w:tcW w:w="1276" w:type="dxa"/>
            <w:shd w:val="clear" w:color="auto" w:fill="auto"/>
            <w:tcMar>
              <w:left w:w="85" w:type="dxa"/>
              <w:right w:w="85" w:type="dxa"/>
            </w:tcMar>
          </w:tcPr>
          <w:p w14:paraId="1945E8F3" w14:textId="77777777" w:rsidR="006929CB" w:rsidRPr="0018630D" w:rsidRDefault="006929CB">
            <w:pPr>
              <w:pStyle w:val="TableText"/>
              <w:spacing w:before="40" w:after="40"/>
              <w:rPr>
                <w:rFonts w:cs="Calibri"/>
                <w:szCs w:val="18"/>
              </w:rPr>
            </w:pPr>
            <w:r w:rsidRPr="0018630D">
              <w:rPr>
                <w:rFonts w:cs="Calibri"/>
                <w:szCs w:val="18"/>
              </w:rPr>
              <w:t>Pre-1990 planted forest</w:t>
            </w:r>
          </w:p>
        </w:tc>
        <w:tc>
          <w:tcPr>
            <w:tcW w:w="941" w:type="dxa"/>
            <w:shd w:val="clear" w:color="auto" w:fill="auto"/>
            <w:tcMar>
              <w:left w:w="85" w:type="dxa"/>
              <w:right w:w="85" w:type="dxa"/>
            </w:tcMar>
          </w:tcPr>
          <w:p w14:paraId="2A0673D7" w14:textId="77777777" w:rsidR="006929CB" w:rsidRPr="0018630D" w:rsidRDefault="006929CB">
            <w:pPr>
              <w:pStyle w:val="TableText"/>
              <w:spacing w:before="40" w:after="40"/>
              <w:jc w:val="center"/>
              <w:rPr>
                <w:rFonts w:cs="Calibri"/>
                <w:szCs w:val="18"/>
              </w:rPr>
            </w:pPr>
            <w:r w:rsidRPr="0018630D">
              <w:rPr>
                <w:rFonts w:cs="Calibri"/>
                <w:szCs w:val="18"/>
              </w:rPr>
              <w:t>FM</w:t>
            </w:r>
          </w:p>
        </w:tc>
        <w:tc>
          <w:tcPr>
            <w:tcW w:w="1015" w:type="dxa"/>
            <w:shd w:val="clear" w:color="auto" w:fill="auto"/>
            <w:tcMar>
              <w:left w:w="85" w:type="dxa"/>
              <w:right w:w="85" w:type="dxa"/>
            </w:tcMar>
          </w:tcPr>
          <w:p w14:paraId="5496D679" w14:textId="77777777" w:rsidR="006929CB" w:rsidRPr="0018630D" w:rsidRDefault="006929CB">
            <w:pPr>
              <w:pStyle w:val="TableText"/>
              <w:spacing w:before="40" w:after="40"/>
              <w:jc w:val="center"/>
              <w:rPr>
                <w:rFonts w:cs="Calibri"/>
                <w:szCs w:val="18"/>
              </w:rPr>
            </w:pPr>
            <w:r w:rsidRPr="0018630D">
              <w:rPr>
                <w:rFonts w:cs="Calibri"/>
                <w:szCs w:val="18"/>
              </w:rPr>
              <w:t>FM</w:t>
            </w:r>
          </w:p>
        </w:tc>
        <w:tc>
          <w:tcPr>
            <w:tcW w:w="860" w:type="dxa"/>
            <w:shd w:val="clear" w:color="auto" w:fill="auto"/>
            <w:tcMar>
              <w:left w:w="85" w:type="dxa"/>
              <w:right w:w="85" w:type="dxa"/>
            </w:tcMar>
          </w:tcPr>
          <w:p w14:paraId="39AEB1DB" w14:textId="77777777" w:rsidR="006929CB" w:rsidRPr="0018630D" w:rsidRDefault="006929CB">
            <w:pPr>
              <w:pStyle w:val="TableText"/>
              <w:spacing w:before="40" w:after="40"/>
              <w:jc w:val="center"/>
              <w:rPr>
                <w:rFonts w:cs="Calibri"/>
                <w:szCs w:val="18"/>
              </w:rPr>
            </w:pPr>
            <w:r w:rsidRPr="0018630D">
              <w:rPr>
                <w:rFonts w:cs="Calibri"/>
                <w:szCs w:val="18"/>
              </w:rPr>
              <w:t>NA</w:t>
            </w:r>
          </w:p>
        </w:tc>
        <w:tc>
          <w:tcPr>
            <w:tcW w:w="870" w:type="dxa"/>
            <w:shd w:val="clear" w:color="auto" w:fill="auto"/>
            <w:tcMar>
              <w:left w:w="85" w:type="dxa"/>
              <w:right w:w="85" w:type="dxa"/>
            </w:tcMar>
          </w:tcPr>
          <w:p w14:paraId="7DE9E67C" w14:textId="77777777" w:rsidR="006929CB" w:rsidRPr="0018630D" w:rsidRDefault="006929CB">
            <w:pPr>
              <w:pStyle w:val="TableText"/>
              <w:spacing w:before="40" w:after="40"/>
              <w:jc w:val="center"/>
              <w:rPr>
                <w:rFonts w:cs="Calibri"/>
                <w:szCs w:val="18"/>
              </w:rPr>
            </w:pPr>
            <w:r w:rsidRPr="0018630D">
              <w:rPr>
                <w:rFonts w:cs="Calibri"/>
                <w:szCs w:val="18"/>
              </w:rPr>
              <w:t>D/FM</w:t>
            </w:r>
          </w:p>
        </w:tc>
        <w:tc>
          <w:tcPr>
            <w:tcW w:w="850" w:type="dxa"/>
            <w:shd w:val="clear" w:color="auto" w:fill="auto"/>
            <w:tcMar>
              <w:left w:w="85" w:type="dxa"/>
              <w:right w:w="85" w:type="dxa"/>
            </w:tcMar>
          </w:tcPr>
          <w:p w14:paraId="113C31A3" w14:textId="77777777" w:rsidR="006929CB" w:rsidRPr="0018630D" w:rsidRDefault="006929CB">
            <w:pPr>
              <w:pStyle w:val="TableText"/>
              <w:spacing w:before="40" w:after="40"/>
              <w:jc w:val="center"/>
              <w:rPr>
                <w:rFonts w:cs="Calibri"/>
                <w:szCs w:val="18"/>
              </w:rPr>
            </w:pPr>
            <w:r w:rsidRPr="0018630D">
              <w:rPr>
                <w:rFonts w:cs="Calibri"/>
                <w:szCs w:val="18"/>
              </w:rPr>
              <w:t>D/FM</w:t>
            </w:r>
          </w:p>
        </w:tc>
        <w:tc>
          <w:tcPr>
            <w:tcW w:w="851" w:type="dxa"/>
            <w:shd w:val="clear" w:color="auto" w:fill="auto"/>
            <w:tcMar>
              <w:left w:w="85" w:type="dxa"/>
              <w:right w:w="85" w:type="dxa"/>
            </w:tcMar>
          </w:tcPr>
          <w:p w14:paraId="4D49072A" w14:textId="77777777" w:rsidR="006929CB" w:rsidRPr="0018630D" w:rsidRDefault="006929CB">
            <w:pPr>
              <w:pStyle w:val="TableText"/>
              <w:spacing w:before="40" w:after="40"/>
              <w:jc w:val="center"/>
              <w:rPr>
                <w:rFonts w:cs="Calibri"/>
                <w:szCs w:val="18"/>
              </w:rPr>
            </w:pPr>
            <w:r w:rsidRPr="0018630D">
              <w:rPr>
                <w:rFonts w:cs="Calibri"/>
                <w:szCs w:val="18"/>
              </w:rPr>
              <w:t>D/FM</w:t>
            </w:r>
          </w:p>
        </w:tc>
        <w:tc>
          <w:tcPr>
            <w:tcW w:w="1134" w:type="dxa"/>
            <w:shd w:val="clear" w:color="auto" w:fill="auto"/>
            <w:tcMar>
              <w:left w:w="85" w:type="dxa"/>
              <w:right w:w="85" w:type="dxa"/>
            </w:tcMar>
          </w:tcPr>
          <w:p w14:paraId="05A4C501" w14:textId="77777777" w:rsidR="006929CB" w:rsidRPr="0018630D" w:rsidRDefault="006929CB">
            <w:pPr>
              <w:pStyle w:val="TableText"/>
              <w:spacing w:before="40" w:after="40"/>
              <w:jc w:val="center"/>
              <w:rPr>
                <w:rFonts w:cs="Calibri"/>
                <w:szCs w:val="18"/>
              </w:rPr>
            </w:pPr>
            <w:r w:rsidRPr="0018630D">
              <w:rPr>
                <w:rFonts w:cs="Calibri"/>
                <w:szCs w:val="18"/>
              </w:rPr>
              <w:t>D/FM</w:t>
            </w:r>
          </w:p>
        </w:tc>
        <w:tc>
          <w:tcPr>
            <w:tcW w:w="708" w:type="dxa"/>
            <w:shd w:val="clear" w:color="auto" w:fill="auto"/>
            <w:tcMar>
              <w:left w:w="85" w:type="dxa"/>
              <w:right w:w="85" w:type="dxa"/>
            </w:tcMar>
          </w:tcPr>
          <w:p w14:paraId="1D267CAD" w14:textId="77777777" w:rsidR="006929CB" w:rsidRPr="0018630D" w:rsidRDefault="006929CB">
            <w:pPr>
              <w:pStyle w:val="TableText"/>
              <w:spacing w:before="40" w:after="40"/>
              <w:jc w:val="center"/>
              <w:rPr>
                <w:rFonts w:cs="Calibri"/>
                <w:szCs w:val="18"/>
              </w:rPr>
            </w:pPr>
            <w:r w:rsidRPr="0018630D">
              <w:rPr>
                <w:rFonts w:cs="Calibri"/>
                <w:szCs w:val="18"/>
              </w:rPr>
              <w:t>D/FM</w:t>
            </w:r>
          </w:p>
        </w:tc>
      </w:tr>
      <w:tr w:rsidR="006929CB" w:rsidRPr="0018630D" w14:paraId="795C8ED7" w14:textId="77777777" w:rsidTr="009B2A01">
        <w:tc>
          <w:tcPr>
            <w:tcW w:w="1276" w:type="dxa"/>
            <w:shd w:val="clear" w:color="auto" w:fill="auto"/>
            <w:tcMar>
              <w:left w:w="85" w:type="dxa"/>
              <w:right w:w="85" w:type="dxa"/>
            </w:tcMar>
          </w:tcPr>
          <w:p w14:paraId="04BE9CAA" w14:textId="77777777" w:rsidR="006929CB" w:rsidRPr="0018630D" w:rsidRDefault="006929CB">
            <w:pPr>
              <w:pStyle w:val="TableText"/>
              <w:spacing w:before="40" w:after="40"/>
              <w:rPr>
                <w:rFonts w:cs="Calibri"/>
                <w:szCs w:val="18"/>
              </w:rPr>
            </w:pPr>
            <w:r w:rsidRPr="0018630D">
              <w:rPr>
                <w:rFonts w:cs="Calibri"/>
                <w:szCs w:val="18"/>
              </w:rPr>
              <w:t>Post-1989 forest</w:t>
            </w:r>
          </w:p>
        </w:tc>
        <w:tc>
          <w:tcPr>
            <w:tcW w:w="941" w:type="dxa"/>
            <w:shd w:val="clear" w:color="auto" w:fill="auto"/>
            <w:tcMar>
              <w:left w:w="85" w:type="dxa"/>
              <w:right w:w="85" w:type="dxa"/>
            </w:tcMar>
          </w:tcPr>
          <w:p w14:paraId="1F8CDA0F" w14:textId="77777777" w:rsidR="006929CB" w:rsidRPr="0018630D" w:rsidRDefault="006929CB">
            <w:pPr>
              <w:pStyle w:val="TableText"/>
              <w:spacing w:before="40" w:after="40"/>
              <w:jc w:val="center"/>
              <w:rPr>
                <w:rFonts w:cs="Calibri"/>
                <w:szCs w:val="18"/>
              </w:rPr>
            </w:pPr>
            <w:r w:rsidRPr="0018630D">
              <w:rPr>
                <w:rFonts w:cs="Calibri"/>
                <w:szCs w:val="18"/>
              </w:rPr>
              <w:t>NA</w:t>
            </w:r>
          </w:p>
        </w:tc>
        <w:tc>
          <w:tcPr>
            <w:tcW w:w="1015" w:type="dxa"/>
            <w:shd w:val="clear" w:color="auto" w:fill="auto"/>
            <w:tcMar>
              <w:left w:w="85" w:type="dxa"/>
              <w:right w:w="85" w:type="dxa"/>
            </w:tcMar>
          </w:tcPr>
          <w:p w14:paraId="7996430B" w14:textId="77777777" w:rsidR="006929CB" w:rsidRPr="0018630D" w:rsidRDefault="006929CB">
            <w:pPr>
              <w:pStyle w:val="TableText"/>
              <w:spacing w:before="40" w:after="40"/>
              <w:jc w:val="center"/>
              <w:rPr>
                <w:rFonts w:cs="Calibri"/>
                <w:szCs w:val="18"/>
              </w:rPr>
            </w:pPr>
            <w:r w:rsidRPr="0018630D">
              <w:rPr>
                <w:rFonts w:cs="Calibri"/>
                <w:szCs w:val="18"/>
              </w:rPr>
              <w:t>NA</w:t>
            </w:r>
          </w:p>
        </w:tc>
        <w:tc>
          <w:tcPr>
            <w:tcW w:w="860" w:type="dxa"/>
            <w:shd w:val="clear" w:color="auto" w:fill="auto"/>
            <w:tcMar>
              <w:left w:w="85" w:type="dxa"/>
              <w:right w:w="85" w:type="dxa"/>
            </w:tcMar>
          </w:tcPr>
          <w:p w14:paraId="1496F5C9" w14:textId="77777777" w:rsidR="006929CB" w:rsidRPr="0018630D" w:rsidRDefault="006929CB">
            <w:pPr>
              <w:pStyle w:val="TableText"/>
              <w:spacing w:before="40" w:after="40"/>
              <w:jc w:val="center"/>
              <w:rPr>
                <w:rFonts w:cs="Calibri"/>
                <w:szCs w:val="18"/>
              </w:rPr>
            </w:pPr>
            <w:r w:rsidRPr="0018630D">
              <w:rPr>
                <w:rFonts w:cs="Calibri"/>
                <w:szCs w:val="18"/>
              </w:rPr>
              <w:t>A</w:t>
            </w:r>
          </w:p>
        </w:tc>
        <w:tc>
          <w:tcPr>
            <w:tcW w:w="870" w:type="dxa"/>
            <w:shd w:val="clear" w:color="auto" w:fill="auto"/>
            <w:tcMar>
              <w:left w:w="85" w:type="dxa"/>
              <w:right w:w="85" w:type="dxa"/>
            </w:tcMar>
          </w:tcPr>
          <w:p w14:paraId="7E5FCC00"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850" w:type="dxa"/>
            <w:shd w:val="clear" w:color="auto" w:fill="auto"/>
            <w:tcMar>
              <w:left w:w="85" w:type="dxa"/>
              <w:right w:w="85" w:type="dxa"/>
            </w:tcMar>
          </w:tcPr>
          <w:p w14:paraId="3C220DBE"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851" w:type="dxa"/>
            <w:shd w:val="clear" w:color="auto" w:fill="auto"/>
            <w:tcMar>
              <w:left w:w="85" w:type="dxa"/>
              <w:right w:w="85" w:type="dxa"/>
            </w:tcMar>
          </w:tcPr>
          <w:p w14:paraId="017601AD"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1134" w:type="dxa"/>
            <w:shd w:val="clear" w:color="auto" w:fill="auto"/>
            <w:tcMar>
              <w:left w:w="85" w:type="dxa"/>
              <w:right w:w="85" w:type="dxa"/>
            </w:tcMar>
          </w:tcPr>
          <w:p w14:paraId="272B008C"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708" w:type="dxa"/>
            <w:shd w:val="clear" w:color="auto" w:fill="auto"/>
            <w:tcMar>
              <w:left w:w="85" w:type="dxa"/>
              <w:right w:w="85" w:type="dxa"/>
            </w:tcMar>
          </w:tcPr>
          <w:p w14:paraId="37C0C544" w14:textId="77777777" w:rsidR="006929CB" w:rsidRPr="0018630D" w:rsidRDefault="006929CB">
            <w:pPr>
              <w:pStyle w:val="TableText"/>
              <w:spacing w:before="40" w:after="40"/>
              <w:jc w:val="center"/>
              <w:rPr>
                <w:rFonts w:cs="Calibri"/>
                <w:szCs w:val="18"/>
              </w:rPr>
            </w:pPr>
            <w:r w:rsidRPr="0018630D">
              <w:rPr>
                <w:rFonts w:cs="Calibri"/>
                <w:szCs w:val="18"/>
              </w:rPr>
              <w:t>D</w:t>
            </w:r>
          </w:p>
        </w:tc>
      </w:tr>
      <w:tr w:rsidR="006929CB" w:rsidRPr="0018630D" w14:paraId="7EC9031B" w14:textId="77777777" w:rsidTr="009B2A01">
        <w:tc>
          <w:tcPr>
            <w:tcW w:w="1276" w:type="dxa"/>
            <w:shd w:val="clear" w:color="auto" w:fill="auto"/>
            <w:tcMar>
              <w:left w:w="85" w:type="dxa"/>
              <w:right w:w="85" w:type="dxa"/>
            </w:tcMar>
          </w:tcPr>
          <w:p w14:paraId="6EE0BB0C" w14:textId="77777777" w:rsidR="006929CB" w:rsidRPr="0018630D" w:rsidRDefault="006929CB">
            <w:pPr>
              <w:pStyle w:val="TableText"/>
              <w:spacing w:before="40" w:after="40"/>
              <w:rPr>
                <w:rFonts w:cs="Calibri"/>
                <w:szCs w:val="18"/>
              </w:rPr>
            </w:pPr>
            <w:r w:rsidRPr="0018630D">
              <w:rPr>
                <w:rFonts w:cs="Calibri"/>
                <w:szCs w:val="18"/>
              </w:rPr>
              <w:t>Grassland</w:t>
            </w:r>
          </w:p>
        </w:tc>
        <w:tc>
          <w:tcPr>
            <w:tcW w:w="941" w:type="dxa"/>
            <w:shd w:val="clear" w:color="auto" w:fill="auto"/>
            <w:tcMar>
              <w:left w:w="85" w:type="dxa"/>
              <w:right w:w="85" w:type="dxa"/>
            </w:tcMar>
          </w:tcPr>
          <w:p w14:paraId="3E74BFC2"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1015" w:type="dxa"/>
            <w:shd w:val="clear" w:color="auto" w:fill="auto"/>
            <w:tcMar>
              <w:left w:w="85" w:type="dxa"/>
              <w:right w:w="85" w:type="dxa"/>
            </w:tcMar>
          </w:tcPr>
          <w:p w14:paraId="1FED4DD2"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860" w:type="dxa"/>
            <w:shd w:val="clear" w:color="auto" w:fill="auto"/>
            <w:tcMar>
              <w:left w:w="85" w:type="dxa"/>
              <w:right w:w="85" w:type="dxa"/>
            </w:tcMar>
          </w:tcPr>
          <w:p w14:paraId="6DCF2AAF" w14:textId="77777777" w:rsidR="006929CB" w:rsidRPr="0018630D" w:rsidRDefault="006929CB">
            <w:pPr>
              <w:pStyle w:val="TableText"/>
              <w:spacing w:before="40" w:after="40"/>
              <w:jc w:val="center"/>
              <w:rPr>
                <w:rFonts w:cs="Calibri"/>
                <w:szCs w:val="18"/>
              </w:rPr>
            </w:pPr>
            <w:r w:rsidRPr="0018630D">
              <w:rPr>
                <w:rFonts w:cs="Calibri"/>
                <w:szCs w:val="18"/>
              </w:rPr>
              <w:t>A/FM</w:t>
            </w:r>
          </w:p>
        </w:tc>
        <w:tc>
          <w:tcPr>
            <w:tcW w:w="870" w:type="dxa"/>
            <w:shd w:val="clear" w:color="auto" w:fill="auto"/>
            <w:tcMar>
              <w:left w:w="85" w:type="dxa"/>
              <w:right w:w="85" w:type="dxa"/>
            </w:tcMar>
          </w:tcPr>
          <w:p w14:paraId="3FA55AA9" w14:textId="77777777" w:rsidR="006929CB" w:rsidRPr="0018630D" w:rsidRDefault="006929CB">
            <w:pPr>
              <w:pStyle w:val="TableText"/>
              <w:spacing w:before="40" w:after="40"/>
              <w:jc w:val="center"/>
              <w:rPr>
                <w:rFonts w:cs="Calibri"/>
                <w:szCs w:val="18"/>
              </w:rPr>
            </w:pPr>
          </w:p>
        </w:tc>
        <w:tc>
          <w:tcPr>
            <w:tcW w:w="850" w:type="dxa"/>
            <w:shd w:val="clear" w:color="auto" w:fill="auto"/>
            <w:tcMar>
              <w:left w:w="85" w:type="dxa"/>
              <w:right w:w="85" w:type="dxa"/>
            </w:tcMar>
          </w:tcPr>
          <w:p w14:paraId="4593CC34" w14:textId="77777777" w:rsidR="006929CB" w:rsidRPr="0018630D" w:rsidRDefault="006929CB">
            <w:pPr>
              <w:pStyle w:val="TableText"/>
              <w:spacing w:before="40" w:after="40"/>
              <w:jc w:val="center"/>
              <w:rPr>
                <w:rFonts w:cs="Calibri"/>
                <w:szCs w:val="18"/>
              </w:rPr>
            </w:pPr>
          </w:p>
        </w:tc>
        <w:tc>
          <w:tcPr>
            <w:tcW w:w="851" w:type="dxa"/>
            <w:shd w:val="clear" w:color="auto" w:fill="auto"/>
            <w:tcMar>
              <w:left w:w="85" w:type="dxa"/>
              <w:right w:w="85" w:type="dxa"/>
            </w:tcMar>
          </w:tcPr>
          <w:p w14:paraId="520DB351" w14:textId="77777777" w:rsidR="006929CB" w:rsidRPr="0018630D" w:rsidRDefault="006929CB">
            <w:pPr>
              <w:pStyle w:val="TableText"/>
              <w:spacing w:before="40" w:after="40"/>
              <w:jc w:val="center"/>
              <w:rPr>
                <w:rFonts w:cs="Calibri"/>
                <w:szCs w:val="18"/>
              </w:rPr>
            </w:pPr>
          </w:p>
        </w:tc>
        <w:tc>
          <w:tcPr>
            <w:tcW w:w="1134" w:type="dxa"/>
            <w:shd w:val="clear" w:color="auto" w:fill="auto"/>
            <w:tcMar>
              <w:left w:w="85" w:type="dxa"/>
              <w:right w:w="85" w:type="dxa"/>
            </w:tcMar>
          </w:tcPr>
          <w:p w14:paraId="72A50EC1" w14:textId="77777777" w:rsidR="006929CB" w:rsidRPr="0018630D" w:rsidRDefault="006929CB">
            <w:pPr>
              <w:pStyle w:val="TableText"/>
              <w:spacing w:before="40" w:after="40"/>
              <w:jc w:val="center"/>
              <w:rPr>
                <w:rFonts w:cs="Calibri"/>
                <w:szCs w:val="18"/>
              </w:rPr>
            </w:pPr>
          </w:p>
        </w:tc>
        <w:tc>
          <w:tcPr>
            <w:tcW w:w="708" w:type="dxa"/>
            <w:shd w:val="clear" w:color="auto" w:fill="auto"/>
            <w:tcMar>
              <w:left w:w="85" w:type="dxa"/>
              <w:right w:w="85" w:type="dxa"/>
            </w:tcMar>
          </w:tcPr>
          <w:p w14:paraId="4133E445" w14:textId="77777777" w:rsidR="006929CB" w:rsidRPr="0018630D" w:rsidRDefault="006929CB">
            <w:pPr>
              <w:pStyle w:val="TableText"/>
              <w:spacing w:before="40" w:after="40"/>
              <w:jc w:val="center"/>
              <w:rPr>
                <w:rFonts w:cs="Calibri"/>
                <w:szCs w:val="18"/>
              </w:rPr>
            </w:pPr>
          </w:p>
        </w:tc>
      </w:tr>
      <w:tr w:rsidR="006929CB" w:rsidRPr="0018630D" w14:paraId="1A38FF8E" w14:textId="77777777" w:rsidTr="009B2A01">
        <w:tc>
          <w:tcPr>
            <w:tcW w:w="1276" w:type="dxa"/>
            <w:shd w:val="clear" w:color="auto" w:fill="auto"/>
            <w:tcMar>
              <w:left w:w="85" w:type="dxa"/>
              <w:right w:w="85" w:type="dxa"/>
            </w:tcMar>
          </w:tcPr>
          <w:p w14:paraId="00890D10" w14:textId="77777777" w:rsidR="006929CB" w:rsidRPr="0018630D" w:rsidRDefault="006929CB">
            <w:pPr>
              <w:pStyle w:val="TableText"/>
              <w:spacing w:before="40" w:after="40"/>
              <w:rPr>
                <w:rFonts w:cs="Calibri"/>
                <w:szCs w:val="18"/>
              </w:rPr>
            </w:pPr>
            <w:r w:rsidRPr="0018630D">
              <w:rPr>
                <w:rFonts w:cs="Calibri"/>
                <w:szCs w:val="18"/>
              </w:rPr>
              <w:t>Cropland</w:t>
            </w:r>
          </w:p>
        </w:tc>
        <w:tc>
          <w:tcPr>
            <w:tcW w:w="941" w:type="dxa"/>
            <w:shd w:val="clear" w:color="auto" w:fill="auto"/>
            <w:tcMar>
              <w:left w:w="85" w:type="dxa"/>
              <w:right w:w="85" w:type="dxa"/>
            </w:tcMar>
          </w:tcPr>
          <w:p w14:paraId="24C6C1CE"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1015" w:type="dxa"/>
            <w:shd w:val="clear" w:color="auto" w:fill="auto"/>
            <w:tcMar>
              <w:left w:w="85" w:type="dxa"/>
              <w:right w:w="85" w:type="dxa"/>
            </w:tcMar>
          </w:tcPr>
          <w:p w14:paraId="7805CF01"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860" w:type="dxa"/>
            <w:shd w:val="clear" w:color="auto" w:fill="auto"/>
            <w:tcMar>
              <w:left w:w="85" w:type="dxa"/>
              <w:right w:w="85" w:type="dxa"/>
            </w:tcMar>
          </w:tcPr>
          <w:p w14:paraId="11E35689" w14:textId="77777777" w:rsidR="006929CB" w:rsidRPr="0018630D" w:rsidRDefault="006929CB">
            <w:pPr>
              <w:pStyle w:val="TableText"/>
              <w:spacing w:before="40" w:after="40"/>
              <w:jc w:val="center"/>
              <w:rPr>
                <w:rFonts w:cs="Calibri"/>
                <w:szCs w:val="18"/>
              </w:rPr>
            </w:pPr>
            <w:r w:rsidRPr="0018630D">
              <w:rPr>
                <w:rFonts w:cs="Calibri"/>
                <w:szCs w:val="18"/>
              </w:rPr>
              <w:t>A/FM</w:t>
            </w:r>
          </w:p>
        </w:tc>
        <w:tc>
          <w:tcPr>
            <w:tcW w:w="870" w:type="dxa"/>
            <w:shd w:val="clear" w:color="auto" w:fill="auto"/>
            <w:tcMar>
              <w:left w:w="85" w:type="dxa"/>
              <w:right w:w="85" w:type="dxa"/>
            </w:tcMar>
          </w:tcPr>
          <w:p w14:paraId="597B76B2" w14:textId="77777777" w:rsidR="006929CB" w:rsidRPr="0018630D" w:rsidRDefault="006929CB">
            <w:pPr>
              <w:pStyle w:val="TableText"/>
              <w:spacing w:before="40" w:after="40"/>
              <w:jc w:val="center"/>
              <w:rPr>
                <w:rFonts w:cs="Calibri"/>
                <w:szCs w:val="18"/>
              </w:rPr>
            </w:pPr>
          </w:p>
        </w:tc>
        <w:tc>
          <w:tcPr>
            <w:tcW w:w="850" w:type="dxa"/>
            <w:shd w:val="clear" w:color="auto" w:fill="auto"/>
            <w:tcMar>
              <w:left w:w="85" w:type="dxa"/>
              <w:right w:w="85" w:type="dxa"/>
            </w:tcMar>
          </w:tcPr>
          <w:p w14:paraId="70857BF4" w14:textId="77777777" w:rsidR="006929CB" w:rsidRPr="0018630D" w:rsidRDefault="006929CB">
            <w:pPr>
              <w:pStyle w:val="TableText"/>
              <w:spacing w:before="40" w:after="40"/>
              <w:jc w:val="center"/>
              <w:rPr>
                <w:rFonts w:cs="Calibri"/>
                <w:szCs w:val="18"/>
              </w:rPr>
            </w:pPr>
          </w:p>
        </w:tc>
        <w:tc>
          <w:tcPr>
            <w:tcW w:w="851" w:type="dxa"/>
            <w:shd w:val="clear" w:color="auto" w:fill="auto"/>
            <w:tcMar>
              <w:left w:w="85" w:type="dxa"/>
              <w:right w:w="85" w:type="dxa"/>
            </w:tcMar>
          </w:tcPr>
          <w:p w14:paraId="4BF1320E" w14:textId="77777777" w:rsidR="006929CB" w:rsidRPr="0018630D" w:rsidRDefault="006929CB">
            <w:pPr>
              <w:pStyle w:val="TableText"/>
              <w:spacing w:before="40" w:after="40"/>
              <w:jc w:val="center"/>
              <w:rPr>
                <w:rFonts w:cs="Calibri"/>
                <w:szCs w:val="18"/>
              </w:rPr>
            </w:pPr>
          </w:p>
        </w:tc>
        <w:tc>
          <w:tcPr>
            <w:tcW w:w="1134" w:type="dxa"/>
            <w:shd w:val="clear" w:color="auto" w:fill="auto"/>
            <w:tcMar>
              <w:left w:w="85" w:type="dxa"/>
              <w:right w:w="85" w:type="dxa"/>
            </w:tcMar>
          </w:tcPr>
          <w:p w14:paraId="7F1A2B02" w14:textId="77777777" w:rsidR="006929CB" w:rsidRPr="0018630D" w:rsidRDefault="006929CB">
            <w:pPr>
              <w:pStyle w:val="TableText"/>
              <w:spacing w:before="40" w:after="40"/>
              <w:jc w:val="center"/>
              <w:rPr>
                <w:rFonts w:cs="Calibri"/>
                <w:szCs w:val="18"/>
              </w:rPr>
            </w:pPr>
          </w:p>
        </w:tc>
        <w:tc>
          <w:tcPr>
            <w:tcW w:w="708" w:type="dxa"/>
            <w:shd w:val="clear" w:color="auto" w:fill="auto"/>
            <w:tcMar>
              <w:left w:w="85" w:type="dxa"/>
              <w:right w:w="85" w:type="dxa"/>
            </w:tcMar>
          </w:tcPr>
          <w:p w14:paraId="29F0E975" w14:textId="77777777" w:rsidR="006929CB" w:rsidRPr="0018630D" w:rsidRDefault="006929CB">
            <w:pPr>
              <w:pStyle w:val="TableText"/>
              <w:spacing w:before="40" w:after="40"/>
              <w:jc w:val="center"/>
              <w:rPr>
                <w:rFonts w:cs="Calibri"/>
                <w:szCs w:val="18"/>
              </w:rPr>
            </w:pPr>
          </w:p>
        </w:tc>
      </w:tr>
      <w:tr w:rsidR="006929CB" w:rsidRPr="0018630D" w14:paraId="1C67C9B6" w14:textId="77777777" w:rsidTr="009B2A01">
        <w:tc>
          <w:tcPr>
            <w:tcW w:w="1276" w:type="dxa"/>
            <w:shd w:val="clear" w:color="auto" w:fill="auto"/>
            <w:tcMar>
              <w:left w:w="85" w:type="dxa"/>
              <w:right w:w="85" w:type="dxa"/>
            </w:tcMar>
          </w:tcPr>
          <w:p w14:paraId="17B09A18" w14:textId="77777777" w:rsidR="006929CB" w:rsidRPr="0018630D" w:rsidRDefault="006929CB">
            <w:pPr>
              <w:pStyle w:val="TableText"/>
              <w:spacing w:before="40" w:after="40"/>
              <w:rPr>
                <w:rFonts w:cs="Calibri"/>
                <w:szCs w:val="18"/>
              </w:rPr>
            </w:pPr>
            <w:r w:rsidRPr="0018630D">
              <w:rPr>
                <w:rFonts w:cs="Calibri"/>
                <w:szCs w:val="18"/>
              </w:rPr>
              <w:t>Wetland</w:t>
            </w:r>
          </w:p>
        </w:tc>
        <w:tc>
          <w:tcPr>
            <w:tcW w:w="941" w:type="dxa"/>
            <w:shd w:val="clear" w:color="auto" w:fill="auto"/>
            <w:tcMar>
              <w:left w:w="85" w:type="dxa"/>
              <w:right w:w="85" w:type="dxa"/>
            </w:tcMar>
          </w:tcPr>
          <w:p w14:paraId="6D144456"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1015" w:type="dxa"/>
            <w:shd w:val="clear" w:color="auto" w:fill="auto"/>
            <w:tcMar>
              <w:left w:w="85" w:type="dxa"/>
              <w:right w:w="85" w:type="dxa"/>
            </w:tcMar>
          </w:tcPr>
          <w:p w14:paraId="3D8E8B3B"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860" w:type="dxa"/>
            <w:shd w:val="clear" w:color="auto" w:fill="auto"/>
            <w:tcMar>
              <w:left w:w="85" w:type="dxa"/>
              <w:right w:w="85" w:type="dxa"/>
            </w:tcMar>
          </w:tcPr>
          <w:p w14:paraId="2080372B" w14:textId="77777777" w:rsidR="006929CB" w:rsidRPr="0018630D" w:rsidRDefault="006929CB">
            <w:pPr>
              <w:pStyle w:val="TableText"/>
              <w:spacing w:before="40" w:after="40"/>
              <w:jc w:val="center"/>
              <w:rPr>
                <w:rFonts w:cs="Calibri"/>
                <w:szCs w:val="18"/>
              </w:rPr>
            </w:pPr>
            <w:r w:rsidRPr="0018630D">
              <w:rPr>
                <w:rFonts w:cs="Calibri"/>
                <w:szCs w:val="18"/>
              </w:rPr>
              <w:t>A/FM</w:t>
            </w:r>
          </w:p>
        </w:tc>
        <w:tc>
          <w:tcPr>
            <w:tcW w:w="870" w:type="dxa"/>
            <w:shd w:val="clear" w:color="auto" w:fill="auto"/>
            <w:tcMar>
              <w:left w:w="85" w:type="dxa"/>
              <w:right w:w="85" w:type="dxa"/>
            </w:tcMar>
          </w:tcPr>
          <w:p w14:paraId="71D13333" w14:textId="77777777" w:rsidR="006929CB" w:rsidRPr="0018630D" w:rsidRDefault="006929CB">
            <w:pPr>
              <w:pStyle w:val="TableText"/>
              <w:spacing w:before="40" w:after="40"/>
              <w:jc w:val="center"/>
              <w:rPr>
                <w:rFonts w:cs="Calibri"/>
                <w:szCs w:val="18"/>
              </w:rPr>
            </w:pPr>
          </w:p>
        </w:tc>
        <w:tc>
          <w:tcPr>
            <w:tcW w:w="850" w:type="dxa"/>
            <w:shd w:val="clear" w:color="auto" w:fill="auto"/>
            <w:tcMar>
              <w:left w:w="85" w:type="dxa"/>
              <w:right w:w="85" w:type="dxa"/>
            </w:tcMar>
          </w:tcPr>
          <w:p w14:paraId="01A62FC8" w14:textId="77777777" w:rsidR="006929CB" w:rsidRPr="0018630D" w:rsidRDefault="006929CB">
            <w:pPr>
              <w:pStyle w:val="TableText"/>
              <w:spacing w:before="40" w:after="40"/>
              <w:jc w:val="center"/>
              <w:rPr>
                <w:rFonts w:cs="Calibri"/>
                <w:szCs w:val="18"/>
              </w:rPr>
            </w:pPr>
          </w:p>
        </w:tc>
        <w:tc>
          <w:tcPr>
            <w:tcW w:w="851" w:type="dxa"/>
            <w:shd w:val="clear" w:color="auto" w:fill="auto"/>
            <w:tcMar>
              <w:left w:w="85" w:type="dxa"/>
              <w:right w:w="85" w:type="dxa"/>
            </w:tcMar>
          </w:tcPr>
          <w:p w14:paraId="5F83AFB2" w14:textId="77777777" w:rsidR="006929CB" w:rsidRPr="0018630D" w:rsidRDefault="006929CB">
            <w:pPr>
              <w:pStyle w:val="TableText"/>
              <w:spacing w:before="40" w:after="40"/>
              <w:jc w:val="center"/>
              <w:rPr>
                <w:rFonts w:cs="Calibri"/>
                <w:szCs w:val="18"/>
              </w:rPr>
            </w:pPr>
          </w:p>
        </w:tc>
        <w:tc>
          <w:tcPr>
            <w:tcW w:w="1134" w:type="dxa"/>
            <w:shd w:val="clear" w:color="auto" w:fill="auto"/>
            <w:tcMar>
              <w:left w:w="85" w:type="dxa"/>
              <w:right w:w="85" w:type="dxa"/>
            </w:tcMar>
          </w:tcPr>
          <w:p w14:paraId="59F827AA" w14:textId="77777777" w:rsidR="006929CB" w:rsidRPr="0018630D" w:rsidRDefault="006929CB">
            <w:pPr>
              <w:pStyle w:val="TableText"/>
              <w:spacing w:before="40" w:after="40"/>
              <w:jc w:val="center"/>
              <w:rPr>
                <w:rFonts w:cs="Calibri"/>
                <w:szCs w:val="18"/>
              </w:rPr>
            </w:pPr>
          </w:p>
        </w:tc>
        <w:tc>
          <w:tcPr>
            <w:tcW w:w="708" w:type="dxa"/>
            <w:shd w:val="clear" w:color="auto" w:fill="auto"/>
            <w:tcMar>
              <w:left w:w="85" w:type="dxa"/>
              <w:right w:w="85" w:type="dxa"/>
            </w:tcMar>
          </w:tcPr>
          <w:p w14:paraId="20168E8F" w14:textId="77777777" w:rsidR="006929CB" w:rsidRPr="0018630D" w:rsidRDefault="006929CB">
            <w:pPr>
              <w:pStyle w:val="TableText"/>
              <w:spacing w:before="40" w:after="40"/>
              <w:jc w:val="center"/>
              <w:rPr>
                <w:rFonts w:cs="Calibri"/>
                <w:szCs w:val="18"/>
              </w:rPr>
            </w:pPr>
          </w:p>
        </w:tc>
      </w:tr>
      <w:tr w:rsidR="006929CB" w:rsidRPr="0018630D" w14:paraId="26F2D332" w14:textId="77777777" w:rsidTr="009B2A01">
        <w:tc>
          <w:tcPr>
            <w:tcW w:w="1276" w:type="dxa"/>
            <w:shd w:val="clear" w:color="auto" w:fill="auto"/>
            <w:tcMar>
              <w:left w:w="85" w:type="dxa"/>
              <w:right w:w="85" w:type="dxa"/>
            </w:tcMar>
          </w:tcPr>
          <w:p w14:paraId="54B202B7" w14:textId="77777777" w:rsidR="006929CB" w:rsidRPr="0018630D" w:rsidRDefault="006929CB">
            <w:pPr>
              <w:pStyle w:val="TableText"/>
              <w:spacing w:before="40" w:after="40"/>
              <w:rPr>
                <w:rFonts w:cs="Calibri"/>
                <w:szCs w:val="18"/>
              </w:rPr>
            </w:pPr>
            <w:r w:rsidRPr="0018630D">
              <w:rPr>
                <w:rFonts w:cs="Calibri"/>
                <w:szCs w:val="18"/>
              </w:rPr>
              <w:t>Settlements</w:t>
            </w:r>
          </w:p>
        </w:tc>
        <w:tc>
          <w:tcPr>
            <w:tcW w:w="941" w:type="dxa"/>
            <w:shd w:val="clear" w:color="auto" w:fill="auto"/>
            <w:tcMar>
              <w:left w:w="85" w:type="dxa"/>
              <w:right w:w="85" w:type="dxa"/>
            </w:tcMar>
          </w:tcPr>
          <w:p w14:paraId="4C1EF7C7"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1015" w:type="dxa"/>
            <w:shd w:val="clear" w:color="auto" w:fill="auto"/>
            <w:tcMar>
              <w:left w:w="85" w:type="dxa"/>
              <w:right w:w="85" w:type="dxa"/>
            </w:tcMar>
          </w:tcPr>
          <w:p w14:paraId="5B146A34"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860" w:type="dxa"/>
            <w:shd w:val="clear" w:color="auto" w:fill="auto"/>
            <w:tcMar>
              <w:left w:w="85" w:type="dxa"/>
              <w:right w:w="85" w:type="dxa"/>
            </w:tcMar>
          </w:tcPr>
          <w:p w14:paraId="393B2FB9" w14:textId="77777777" w:rsidR="006929CB" w:rsidRPr="0018630D" w:rsidRDefault="006929CB">
            <w:pPr>
              <w:pStyle w:val="TableText"/>
              <w:spacing w:before="40" w:after="40"/>
              <w:jc w:val="center"/>
              <w:rPr>
                <w:rFonts w:cs="Calibri"/>
                <w:szCs w:val="18"/>
              </w:rPr>
            </w:pPr>
            <w:r w:rsidRPr="0018630D">
              <w:rPr>
                <w:rFonts w:cs="Calibri"/>
                <w:szCs w:val="18"/>
              </w:rPr>
              <w:t>A/FM</w:t>
            </w:r>
          </w:p>
        </w:tc>
        <w:tc>
          <w:tcPr>
            <w:tcW w:w="870" w:type="dxa"/>
            <w:shd w:val="clear" w:color="auto" w:fill="auto"/>
            <w:tcMar>
              <w:left w:w="85" w:type="dxa"/>
              <w:right w:w="85" w:type="dxa"/>
            </w:tcMar>
          </w:tcPr>
          <w:p w14:paraId="2EA29616" w14:textId="77777777" w:rsidR="006929CB" w:rsidRPr="0018630D" w:rsidRDefault="006929CB">
            <w:pPr>
              <w:pStyle w:val="TableText"/>
              <w:spacing w:before="40" w:after="40"/>
              <w:jc w:val="center"/>
              <w:rPr>
                <w:rFonts w:cs="Calibri"/>
                <w:szCs w:val="18"/>
              </w:rPr>
            </w:pPr>
          </w:p>
        </w:tc>
        <w:tc>
          <w:tcPr>
            <w:tcW w:w="850" w:type="dxa"/>
            <w:shd w:val="clear" w:color="auto" w:fill="auto"/>
            <w:tcMar>
              <w:left w:w="85" w:type="dxa"/>
              <w:right w:w="85" w:type="dxa"/>
            </w:tcMar>
          </w:tcPr>
          <w:p w14:paraId="2E64A794" w14:textId="77777777" w:rsidR="006929CB" w:rsidRPr="0018630D" w:rsidRDefault="006929CB">
            <w:pPr>
              <w:pStyle w:val="TableText"/>
              <w:spacing w:before="40" w:after="40"/>
              <w:jc w:val="center"/>
              <w:rPr>
                <w:rFonts w:cs="Calibri"/>
                <w:szCs w:val="18"/>
              </w:rPr>
            </w:pPr>
          </w:p>
        </w:tc>
        <w:tc>
          <w:tcPr>
            <w:tcW w:w="851" w:type="dxa"/>
            <w:shd w:val="clear" w:color="auto" w:fill="auto"/>
            <w:tcMar>
              <w:left w:w="85" w:type="dxa"/>
              <w:right w:w="85" w:type="dxa"/>
            </w:tcMar>
          </w:tcPr>
          <w:p w14:paraId="667DAD95" w14:textId="77777777" w:rsidR="006929CB" w:rsidRPr="0018630D" w:rsidRDefault="006929CB">
            <w:pPr>
              <w:pStyle w:val="TableText"/>
              <w:spacing w:before="40" w:after="40"/>
              <w:jc w:val="center"/>
              <w:rPr>
                <w:rFonts w:cs="Calibri"/>
                <w:szCs w:val="18"/>
              </w:rPr>
            </w:pPr>
          </w:p>
        </w:tc>
        <w:tc>
          <w:tcPr>
            <w:tcW w:w="1134" w:type="dxa"/>
            <w:shd w:val="clear" w:color="auto" w:fill="auto"/>
            <w:tcMar>
              <w:left w:w="85" w:type="dxa"/>
              <w:right w:w="85" w:type="dxa"/>
            </w:tcMar>
          </w:tcPr>
          <w:p w14:paraId="7E791EA4" w14:textId="77777777" w:rsidR="006929CB" w:rsidRPr="0018630D" w:rsidRDefault="006929CB">
            <w:pPr>
              <w:pStyle w:val="TableText"/>
              <w:spacing w:before="40" w:after="40"/>
              <w:jc w:val="center"/>
              <w:rPr>
                <w:rFonts w:cs="Calibri"/>
                <w:szCs w:val="18"/>
              </w:rPr>
            </w:pPr>
          </w:p>
        </w:tc>
        <w:tc>
          <w:tcPr>
            <w:tcW w:w="708" w:type="dxa"/>
            <w:shd w:val="clear" w:color="auto" w:fill="auto"/>
            <w:tcMar>
              <w:left w:w="85" w:type="dxa"/>
              <w:right w:w="85" w:type="dxa"/>
            </w:tcMar>
          </w:tcPr>
          <w:p w14:paraId="079980E7" w14:textId="77777777" w:rsidR="006929CB" w:rsidRPr="0018630D" w:rsidRDefault="006929CB">
            <w:pPr>
              <w:pStyle w:val="TableText"/>
              <w:spacing w:before="40" w:after="40"/>
              <w:jc w:val="center"/>
              <w:rPr>
                <w:rFonts w:cs="Calibri"/>
                <w:szCs w:val="18"/>
              </w:rPr>
            </w:pPr>
          </w:p>
        </w:tc>
      </w:tr>
      <w:tr w:rsidR="006929CB" w:rsidRPr="0018630D" w14:paraId="55C547B8" w14:textId="77777777" w:rsidTr="009B2A01">
        <w:tc>
          <w:tcPr>
            <w:tcW w:w="1276" w:type="dxa"/>
            <w:shd w:val="clear" w:color="auto" w:fill="auto"/>
            <w:tcMar>
              <w:left w:w="85" w:type="dxa"/>
              <w:right w:w="85" w:type="dxa"/>
            </w:tcMar>
          </w:tcPr>
          <w:p w14:paraId="4C9CDE42" w14:textId="77777777" w:rsidR="006929CB" w:rsidRPr="0018630D" w:rsidRDefault="006929CB">
            <w:pPr>
              <w:pStyle w:val="TableText"/>
              <w:spacing w:before="40" w:after="40"/>
              <w:rPr>
                <w:rFonts w:cs="Calibri"/>
                <w:szCs w:val="18"/>
              </w:rPr>
            </w:pPr>
            <w:r w:rsidRPr="0018630D">
              <w:rPr>
                <w:rFonts w:cs="Calibri"/>
                <w:szCs w:val="18"/>
              </w:rPr>
              <w:t>Other land</w:t>
            </w:r>
          </w:p>
        </w:tc>
        <w:tc>
          <w:tcPr>
            <w:tcW w:w="941" w:type="dxa"/>
            <w:shd w:val="clear" w:color="auto" w:fill="auto"/>
            <w:tcMar>
              <w:left w:w="85" w:type="dxa"/>
              <w:right w:w="85" w:type="dxa"/>
            </w:tcMar>
          </w:tcPr>
          <w:p w14:paraId="3907738D"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1015" w:type="dxa"/>
            <w:shd w:val="clear" w:color="auto" w:fill="auto"/>
            <w:tcMar>
              <w:left w:w="85" w:type="dxa"/>
              <w:right w:w="85" w:type="dxa"/>
            </w:tcMar>
          </w:tcPr>
          <w:p w14:paraId="6DE8BF70" w14:textId="77777777" w:rsidR="006929CB" w:rsidRPr="0018630D" w:rsidRDefault="006929CB">
            <w:pPr>
              <w:pStyle w:val="TableText"/>
              <w:spacing w:before="40" w:after="40"/>
              <w:jc w:val="center"/>
              <w:rPr>
                <w:rFonts w:cs="Calibri"/>
                <w:szCs w:val="18"/>
              </w:rPr>
            </w:pPr>
            <w:r w:rsidRPr="0018630D">
              <w:rPr>
                <w:rFonts w:cs="Calibri"/>
                <w:szCs w:val="18"/>
              </w:rPr>
              <w:t>*D</w:t>
            </w:r>
          </w:p>
        </w:tc>
        <w:tc>
          <w:tcPr>
            <w:tcW w:w="860" w:type="dxa"/>
            <w:shd w:val="clear" w:color="auto" w:fill="auto"/>
            <w:tcMar>
              <w:left w:w="85" w:type="dxa"/>
              <w:right w:w="85" w:type="dxa"/>
            </w:tcMar>
          </w:tcPr>
          <w:p w14:paraId="15051604" w14:textId="77777777" w:rsidR="006929CB" w:rsidRPr="0018630D" w:rsidRDefault="006929CB">
            <w:pPr>
              <w:pStyle w:val="TableText"/>
              <w:spacing w:before="40" w:after="40"/>
              <w:jc w:val="center"/>
              <w:rPr>
                <w:rFonts w:cs="Calibri"/>
                <w:szCs w:val="18"/>
              </w:rPr>
            </w:pPr>
            <w:r w:rsidRPr="0018630D">
              <w:rPr>
                <w:rFonts w:cs="Calibri"/>
                <w:szCs w:val="18"/>
              </w:rPr>
              <w:t>A/FM</w:t>
            </w:r>
          </w:p>
        </w:tc>
        <w:tc>
          <w:tcPr>
            <w:tcW w:w="870" w:type="dxa"/>
            <w:shd w:val="clear" w:color="auto" w:fill="auto"/>
            <w:tcMar>
              <w:left w:w="85" w:type="dxa"/>
              <w:right w:w="85" w:type="dxa"/>
            </w:tcMar>
          </w:tcPr>
          <w:p w14:paraId="7F2A4156" w14:textId="77777777" w:rsidR="006929CB" w:rsidRPr="0018630D" w:rsidRDefault="006929CB">
            <w:pPr>
              <w:pStyle w:val="TableText"/>
              <w:spacing w:before="40" w:after="40"/>
              <w:jc w:val="center"/>
              <w:rPr>
                <w:rFonts w:cs="Calibri"/>
                <w:szCs w:val="18"/>
              </w:rPr>
            </w:pPr>
          </w:p>
        </w:tc>
        <w:tc>
          <w:tcPr>
            <w:tcW w:w="850" w:type="dxa"/>
            <w:shd w:val="clear" w:color="auto" w:fill="auto"/>
            <w:tcMar>
              <w:left w:w="85" w:type="dxa"/>
              <w:right w:w="85" w:type="dxa"/>
            </w:tcMar>
          </w:tcPr>
          <w:p w14:paraId="13196EB1" w14:textId="77777777" w:rsidR="006929CB" w:rsidRPr="0018630D" w:rsidRDefault="006929CB">
            <w:pPr>
              <w:pStyle w:val="TableText"/>
              <w:spacing w:before="40" w:after="40"/>
              <w:jc w:val="center"/>
              <w:rPr>
                <w:rFonts w:cs="Calibri"/>
                <w:szCs w:val="18"/>
              </w:rPr>
            </w:pPr>
          </w:p>
        </w:tc>
        <w:tc>
          <w:tcPr>
            <w:tcW w:w="851" w:type="dxa"/>
            <w:shd w:val="clear" w:color="auto" w:fill="auto"/>
            <w:tcMar>
              <w:left w:w="85" w:type="dxa"/>
              <w:right w:w="85" w:type="dxa"/>
            </w:tcMar>
          </w:tcPr>
          <w:p w14:paraId="51B825E3" w14:textId="77777777" w:rsidR="006929CB" w:rsidRPr="0018630D" w:rsidRDefault="006929CB">
            <w:pPr>
              <w:pStyle w:val="TableText"/>
              <w:spacing w:before="40" w:after="40"/>
              <w:jc w:val="center"/>
              <w:rPr>
                <w:rFonts w:cs="Calibri"/>
                <w:szCs w:val="18"/>
              </w:rPr>
            </w:pPr>
          </w:p>
        </w:tc>
        <w:tc>
          <w:tcPr>
            <w:tcW w:w="1134" w:type="dxa"/>
            <w:shd w:val="clear" w:color="auto" w:fill="auto"/>
            <w:tcMar>
              <w:left w:w="85" w:type="dxa"/>
              <w:right w:w="85" w:type="dxa"/>
            </w:tcMar>
          </w:tcPr>
          <w:p w14:paraId="2092480A" w14:textId="77777777" w:rsidR="006929CB" w:rsidRPr="0018630D" w:rsidRDefault="006929CB">
            <w:pPr>
              <w:pStyle w:val="TableText"/>
              <w:spacing w:before="40" w:after="40"/>
              <w:jc w:val="center"/>
              <w:rPr>
                <w:rFonts w:cs="Calibri"/>
                <w:szCs w:val="18"/>
              </w:rPr>
            </w:pPr>
          </w:p>
        </w:tc>
        <w:tc>
          <w:tcPr>
            <w:tcW w:w="708" w:type="dxa"/>
            <w:shd w:val="clear" w:color="auto" w:fill="auto"/>
            <w:tcMar>
              <w:left w:w="85" w:type="dxa"/>
              <w:right w:w="85" w:type="dxa"/>
            </w:tcMar>
          </w:tcPr>
          <w:p w14:paraId="26E2618E" w14:textId="77777777" w:rsidR="006929CB" w:rsidRPr="0018630D" w:rsidRDefault="006929CB">
            <w:pPr>
              <w:pStyle w:val="TableText"/>
              <w:spacing w:before="40" w:after="40"/>
              <w:jc w:val="center"/>
              <w:rPr>
                <w:rFonts w:cs="Calibri"/>
                <w:szCs w:val="18"/>
              </w:rPr>
            </w:pPr>
          </w:p>
        </w:tc>
      </w:tr>
    </w:tbl>
    <w:p w14:paraId="0C5D5475" w14:textId="77777777" w:rsidR="006929CB" w:rsidRPr="00DD1C54" w:rsidRDefault="006929CB" w:rsidP="006929CB">
      <w:pPr>
        <w:pStyle w:val="Noteundertable"/>
      </w:pPr>
      <w:r w:rsidRPr="00DD1C54">
        <w:rPr>
          <w:b/>
        </w:rPr>
        <w:t>Note:</w:t>
      </w:r>
      <w:r w:rsidRPr="00DD1C54">
        <w:t xml:space="preserve"> </w:t>
      </w:r>
      <w:r w:rsidRPr="00DD1C54">
        <w:tab/>
        <w:t xml:space="preserve">A = </w:t>
      </w:r>
      <w:r w:rsidRPr="00DD1C54">
        <w:rPr>
          <w:i/>
        </w:rPr>
        <w:t>Afforestation and reforestation</w:t>
      </w:r>
      <w:r w:rsidRPr="00DD1C54">
        <w:t xml:space="preserve">; D = </w:t>
      </w:r>
      <w:r w:rsidRPr="00DD1C54">
        <w:rPr>
          <w:i/>
        </w:rPr>
        <w:t>Deforestation</w:t>
      </w:r>
      <w:r w:rsidRPr="00DD1C54">
        <w:t xml:space="preserve">; FM = </w:t>
      </w:r>
      <w:r w:rsidRPr="00DD1C54">
        <w:rPr>
          <w:i/>
        </w:rPr>
        <w:t>Forest management</w:t>
      </w:r>
      <w:r w:rsidRPr="00DD1C54">
        <w:t xml:space="preserve">; A/FM indicates that a forest establishment activity could be accounted for under </w:t>
      </w:r>
      <w:r w:rsidRPr="00DD1C54">
        <w:rPr>
          <w:i/>
        </w:rPr>
        <w:t>Forest management</w:t>
      </w:r>
      <w:r w:rsidRPr="00DD1C54">
        <w:t xml:space="preserve"> if the land is subject to the carbon equivalent forest provision; D/FM indicates that a forest harvest and conversion activity could be accounted for under </w:t>
      </w:r>
      <w:r w:rsidRPr="00DD1C54">
        <w:rPr>
          <w:i/>
        </w:rPr>
        <w:t>Forest management</w:t>
      </w:r>
      <w:r w:rsidRPr="00DD1C54">
        <w:t xml:space="preserve"> if the land is subject to the carbon equivalent forest provision; ‘NA’ denotes land-use changes that are not applicable given the land use definitions; ‘*D’ denotes land-use changes that are valid only if the land was forested at 1990, in which case the land use transition is accounted for under deforestation (eg, pre-1990 planted forest converted to grassland since 1990 that is later converted back to pre-1990 planted forest would be reported under </w:t>
      </w:r>
      <w:r w:rsidRPr="00DD1C54">
        <w:rPr>
          <w:i/>
        </w:rPr>
        <w:t>Deforestation</w:t>
      </w:r>
      <w:r w:rsidRPr="00DD1C54">
        <w:t xml:space="preserve">). </w:t>
      </w:r>
    </w:p>
    <w:p w14:paraId="737DD495" w14:textId="77777777" w:rsidR="006929CB" w:rsidRPr="00DD1C54" w:rsidRDefault="006929CB" w:rsidP="006929CB">
      <w:pPr>
        <w:pStyle w:val="BodyText"/>
      </w:pPr>
      <w:r w:rsidRPr="00DD1C54">
        <w:t xml:space="preserve">Further information on the mapping of land-use change and the estimation of the total area of afforested and reforested land occurring between 1990 and 2022 can be found in annex 5.2 Inventory 2024 (Ministry for the Environment, 2024). </w:t>
      </w:r>
    </w:p>
    <w:p w14:paraId="3D514E4B" w14:textId="77777777" w:rsidR="006929CB" w:rsidRPr="00DD1C54" w:rsidRDefault="006929CB" w:rsidP="006929CB">
      <w:pPr>
        <w:pStyle w:val="BodyText"/>
      </w:pPr>
      <w:r w:rsidRPr="00DD1C54">
        <w:t>Accurate classification of pre-1990 forest is essential to correctly determine the area reported as afforested and reforested in the land transition matrix. Satellite imagery at various dates near to 1990 and mapping from the New Zealand Emissions Trading Scheme (NZ ETS) have been used to ensure these forests are classified correctly. This process is also shown in annex 5.2 of Inventory 2024 (Ministry for the Environment, 2024).</w:t>
      </w:r>
    </w:p>
    <w:p w14:paraId="733557F4" w14:textId="77777777" w:rsidR="006929CB" w:rsidRPr="00DD1C54" w:rsidRDefault="006929CB" w:rsidP="006929CB">
      <w:pPr>
        <w:pStyle w:val="BodyText"/>
      </w:pPr>
      <w:r w:rsidRPr="00DD1C54">
        <w:t xml:space="preserve">Transitions to </w:t>
      </w:r>
      <w:r w:rsidRPr="00DD1C54">
        <w:rPr>
          <w:i/>
          <w:iCs/>
          <w:spacing w:val="-2"/>
        </w:rPr>
        <w:t>Deforestation</w:t>
      </w:r>
      <w:r w:rsidRPr="00DD1C54">
        <w:t xml:space="preserve"> are based on deforestation mapping to 2020 and estimates of deforestation by forest type for 2021 and 2022. In both cases, the identification of the forest type allows the transitions from </w:t>
      </w:r>
      <w:r w:rsidRPr="00DD1C54">
        <w:rPr>
          <w:i/>
        </w:rPr>
        <w:t>Afforestation and reforestation</w:t>
      </w:r>
      <w:r w:rsidRPr="00DD1C54">
        <w:rPr>
          <w:i/>
          <w:iCs/>
        </w:rPr>
        <w:t xml:space="preserve"> </w:t>
      </w:r>
      <w:r w:rsidRPr="00DD1C54">
        <w:t xml:space="preserve">(post-1989 forest) to </w:t>
      </w:r>
      <w:r w:rsidRPr="00DD1C54">
        <w:rPr>
          <w:i/>
        </w:rPr>
        <w:t>Deforestation</w:t>
      </w:r>
      <w:r w:rsidRPr="00DD1C54">
        <w:t xml:space="preserve"> and </w:t>
      </w:r>
      <w:r w:rsidRPr="00DD1C54">
        <w:rPr>
          <w:i/>
        </w:rPr>
        <w:t>Forest management</w:t>
      </w:r>
      <w:r w:rsidRPr="00DD1C54">
        <w:rPr>
          <w:i/>
          <w:iCs/>
        </w:rPr>
        <w:t xml:space="preserve"> </w:t>
      </w:r>
      <w:r w:rsidRPr="00DD1C54">
        <w:t xml:space="preserve">(pre-1990 forest) to </w:t>
      </w:r>
      <w:r w:rsidRPr="00DD1C54">
        <w:rPr>
          <w:i/>
        </w:rPr>
        <w:t>Deforestation</w:t>
      </w:r>
      <w:r w:rsidRPr="00DD1C54">
        <w:t xml:space="preserve"> to be identified</w:t>
      </w:r>
      <w:r w:rsidRPr="00DD1C54" w:rsidDel="008A2AC5">
        <w:t>.</w:t>
      </w:r>
    </w:p>
    <w:p w14:paraId="607C1B22" w14:textId="77777777" w:rsidR="006929CB" w:rsidRPr="00DD1C54" w:rsidRDefault="006929CB" w:rsidP="006929CB">
      <w:pPr>
        <w:pStyle w:val="Heading3"/>
      </w:pPr>
      <w:bookmarkStart w:id="1084" w:name="_Toc261513287"/>
      <w:bookmarkStart w:id="1085" w:name="_Toc261513900"/>
      <w:bookmarkStart w:id="1086" w:name="_Toc280630390"/>
      <w:bookmarkStart w:id="1087" w:name="_Toc377043721"/>
      <w:bookmarkStart w:id="1088" w:name="_Toc400967259"/>
      <w:bookmarkStart w:id="1089" w:name="_Toc2117782584"/>
      <w:r w:rsidRPr="00DD1C54">
        <w:t xml:space="preserve">A2.2.3 </w:t>
      </w:r>
      <w:r w:rsidRPr="00DD1C54">
        <w:tab/>
        <w:t>Identifying geographical locations</w:t>
      </w:r>
      <w:bookmarkEnd w:id="1084"/>
      <w:bookmarkEnd w:id="1085"/>
      <w:bookmarkEnd w:id="1086"/>
      <w:bookmarkEnd w:id="1087"/>
      <w:bookmarkEnd w:id="1088"/>
      <w:bookmarkEnd w:id="1089"/>
    </w:p>
    <w:p w14:paraId="1429CBFC" w14:textId="77777777" w:rsidR="006929CB" w:rsidRPr="00DD1C54" w:rsidRDefault="006929CB" w:rsidP="006929CB">
      <w:pPr>
        <w:pStyle w:val="BodyText"/>
      </w:pPr>
      <w:r w:rsidRPr="00DD1C54">
        <w:t xml:space="preserve">New Zealand uses wall-to-wall mapping, completed every four to five years, with national statistics and ancillary mapping data in the intervening years to estimate afforested, reforested and </w:t>
      </w:r>
      <w:r w:rsidRPr="00DD1C54">
        <w:rPr>
          <w:spacing w:val="-2"/>
        </w:rPr>
        <w:t>deforested land areas (Ministry for the Environment, 2024)</w:t>
      </w:r>
      <w:r w:rsidRPr="00DD1C54">
        <w:t>.</w:t>
      </w:r>
    </w:p>
    <w:p w14:paraId="228333DA" w14:textId="77777777" w:rsidR="006929CB" w:rsidRPr="00DD1C54" w:rsidRDefault="006929CB" w:rsidP="006929CB">
      <w:pPr>
        <w:pStyle w:val="BodyText"/>
      </w:pPr>
      <w:r w:rsidRPr="00DD1C54">
        <w:t xml:space="preserve">Included in New Zealand’s geographical extent are the following uninhabited offshore islands: Kermadec Islands, Three Kings Islands and subantarctic islands (Auckland Islands, Campbell Island, Antipodes Islands, Bounty Islands and Snares Islands). These islands are protected conservation sites with a total area of 74,052 hectares. They are not subject to land-use change and are therefore reported in a steady state of land use. </w:t>
      </w:r>
    </w:p>
    <w:p w14:paraId="1E68F99B" w14:textId="77777777" w:rsidR="006929CB" w:rsidRPr="00DD1C54" w:rsidRDefault="006929CB" w:rsidP="00FF0229">
      <w:pPr>
        <w:pStyle w:val="Heading2notforTOC"/>
      </w:pPr>
      <w:bookmarkStart w:id="1090" w:name="_Toc261513288"/>
      <w:bookmarkStart w:id="1091" w:name="_Toc261513901"/>
      <w:bookmarkStart w:id="1092" w:name="_Toc280630391"/>
      <w:bookmarkStart w:id="1093" w:name="_Toc310423466"/>
      <w:bookmarkStart w:id="1094" w:name="_Toc342470734"/>
      <w:bookmarkStart w:id="1095" w:name="_Toc352504893"/>
      <w:bookmarkStart w:id="1096" w:name="_Toc377043722"/>
      <w:bookmarkStart w:id="1097" w:name="_Toc391023463"/>
      <w:bookmarkStart w:id="1098" w:name="_Toc400967260"/>
      <w:bookmarkStart w:id="1099" w:name="_Toc414531342"/>
      <w:bookmarkStart w:id="1100" w:name="_Toc456179171"/>
      <w:bookmarkStart w:id="1101" w:name="_Toc481751424"/>
      <w:bookmarkStart w:id="1102" w:name="_Toc522013963"/>
      <w:bookmarkStart w:id="1103" w:name="_Toc5269407"/>
      <w:bookmarkStart w:id="1104" w:name="_Toc36224447"/>
      <w:bookmarkStart w:id="1105" w:name="_Toc68786367"/>
      <w:bookmarkStart w:id="1106" w:name="_Toc99659173"/>
      <w:bookmarkStart w:id="1107" w:name="_Toc1157142689"/>
      <w:bookmarkStart w:id="1108" w:name="_Toc183603247"/>
      <w:r w:rsidRPr="00DD1C54">
        <w:t>A2.3</w:t>
      </w:r>
      <w:r w:rsidRPr="00DD1C54">
        <w:tab/>
        <w:t>Activity-specific information</w:t>
      </w:r>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p>
    <w:p w14:paraId="3C3C66C2" w14:textId="77777777" w:rsidR="006929CB" w:rsidRPr="00DD1C54" w:rsidRDefault="006929CB" w:rsidP="006929CB">
      <w:pPr>
        <w:pStyle w:val="Heading3"/>
      </w:pPr>
      <w:bookmarkStart w:id="1109" w:name="_Toc2003819841"/>
      <w:r w:rsidRPr="00DD1C54">
        <w:t>A2.3.1</w:t>
      </w:r>
      <w:r w:rsidRPr="00DD1C54">
        <w:tab/>
        <w:t>Estimating carbon stock change</w:t>
      </w:r>
      <w:bookmarkEnd w:id="1109"/>
    </w:p>
    <w:p w14:paraId="743EE3D6" w14:textId="77777777" w:rsidR="006929CB" w:rsidRPr="00DD1C54" w:rsidRDefault="006929CB" w:rsidP="006929CB">
      <w:pPr>
        <w:pStyle w:val="BodyText"/>
      </w:pPr>
      <w:r w:rsidRPr="00DD1C54">
        <w:t xml:space="preserve">Emissions and removals from </w:t>
      </w:r>
      <w:r w:rsidRPr="00DD1C54">
        <w:rPr>
          <w:i/>
        </w:rPr>
        <w:t>Afforestation and reforestation</w:t>
      </w:r>
      <w:r w:rsidRPr="00DD1C54">
        <w:t xml:space="preserve">, </w:t>
      </w:r>
      <w:r w:rsidRPr="00DD1C54">
        <w:rPr>
          <w:i/>
        </w:rPr>
        <w:t>Deforestation</w:t>
      </w:r>
      <w:r w:rsidRPr="00DD1C54">
        <w:t xml:space="preserve"> and </w:t>
      </w:r>
      <w:r w:rsidRPr="00DD1C54">
        <w:rPr>
          <w:i/>
        </w:rPr>
        <w:t>Forest</w:t>
      </w:r>
      <w:r w:rsidRPr="00DD1C54">
        <w:t xml:space="preserve"> </w:t>
      </w:r>
      <w:r w:rsidRPr="00DD1C54">
        <w:rPr>
          <w:i/>
        </w:rPr>
        <w:t>management</w:t>
      </w:r>
      <w:r w:rsidRPr="00DD1C54">
        <w:t xml:space="preserve"> activities are estimated using the Land Use and Carbon Analysis System (LUCAS) forest plot network for each type of forest (pre-1990 natural forest, pre-1990 planted forest, post-1989 planted forest and post-1989 natural forest). Carbon analyses are performed to estimate the carbon stored per hectare per pool and are described in chapter 6, section 6.1.2 and section 6.4.2 of Inventory 2024 (Ministry for the Environment, 2024). For planted forests, yield tables are derived from the forest plot data (Paul et al, unpublished). Survey and scheme data (Manley, 2023; Ministry for Primary Industries, 2023a) provide other important inputs to model forest age, harvest age and harvest age profiles (see annex 5, section A5.2.5 for Inventory 2024 (Ministry for the Environment, 2024)). </w:t>
      </w:r>
    </w:p>
    <w:p w14:paraId="2BB76DE6" w14:textId="77777777" w:rsidR="006929CB" w:rsidRPr="00DD1C54" w:rsidRDefault="006929CB" w:rsidP="006929CB">
      <w:pPr>
        <w:pStyle w:val="Heading3"/>
      </w:pPr>
      <w:bookmarkStart w:id="1110" w:name="sectionA232"/>
      <w:bookmarkStart w:id="1111" w:name="_Toc1192662650"/>
      <w:r w:rsidRPr="00DD1C54">
        <w:t>A2.3.2</w:t>
      </w:r>
      <w:bookmarkEnd w:id="1110"/>
      <w:r w:rsidRPr="00DD1C54">
        <w:tab/>
        <w:t>Afforestation and reforestation</w:t>
      </w:r>
      <w:bookmarkEnd w:id="1111"/>
      <w:r w:rsidRPr="00DD1C54">
        <w:t xml:space="preserve"> </w:t>
      </w:r>
    </w:p>
    <w:p w14:paraId="36FFCC6C" w14:textId="4D9A00BE" w:rsidR="006929CB" w:rsidRPr="00DD1C54" w:rsidRDefault="006929CB" w:rsidP="006929CB">
      <w:pPr>
        <w:pStyle w:val="BodyText"/>
      </w:pPr>
      <w:r w:rsidRPr="00DD1C54">
        <w:t xml:space="preserve">Between 1990 and 2022, it is estimated that 970,700 hectares of new forest (post-1989 forest) were established as a result of </w:t>
      </w:r>
      <w:r w:rsidRPr="00DD1C54">
        <w:rPr>
          <w:i/>
          <w:iCs/>
        </w:rPr>
        <w:t>Afforestation and reforestation</w:t>
      </w:r>
      <w:r w:rsidRPr="00DD1C54">
        <w:t xml:space="preserve"> activities (table A2.7). The net area of post-1989 forest (calculated from the total area of new forest planted since 31 December 1989 minus the deforestation of post-1989 forest since 1 January 1990) as at the end of 2022 was 909,130 hectares. Net emissions from this land were –10,824.4 kt CO</w:t>
      </w:r>
      <w:r w:rsidRPr="00DD1C54">
        <w:rPr>
          <w:vertAlign w:val="subscript"/>
        </w:rPr>
        <w:t>2</w:t>
      </w:r>
      <w:r w:rsidRPr="00DD1C54">
        <w:t>e in 2021 and –8,576.1 kt CO</w:t>
      </w:r>
      <w:r w:rsidRPr="00DD1C54">
        <w:rPr>
          <w:vertAlign w:val="subscript"/>
        </w:rPr>
        <w:t>2</w:t>
      </w:r>
      <w:r w:rsidRPr="00DD1C54">
        <w:t>e in 2022. Of the total area afforested or reforested between 1990 and 2022, an estimated 61,570 hectares were deforested (</w:t>
      </w:r>
      <w:hyperlink w:anchor="tableA27" w:history="1">
        <w:r w:rsidRPr="004A0E32">
          <w:rPr>
            <w:rStyle w:val="Hyperlink"/>
          </w:rPr>
          <w:t>table A2.7</w:t>
        </w:r>
      </w:hyperlink>
      <w:r w:rsidRPr="00DD1C54">
        <w:t xml:space="preserve">). The emissions for this area are reported under </w:t>
      </w:r>
      <w:r w:rsidRPr="00DD1C54">
        <w:rPr>
          <w:i/>
          <w:iCs/>
        </w:rPr>
        <w:t>Deforestation</w:t>
      </w:r>
      <w:r w:rsidRPr="00DD1C54">
        <w:t>.</w:t>
      </w:r>
    </w:p>
    <w:p w14:paraId="0E522A19" w14:textId="77777777" w:rsidR="006929CB" w:rsidRPr="00DD1C54" w:rsidRDefault="006929CB" w:rsidP="006929CB">
      <w:pPr>
        <w:pStyle w:val="Tableheading"/>
      </w:pPr>
      <w:bookmarkStart w:id="1112" w:name="tableA27"/>
      <w:bookmarkStart w:id="1113" w:name="_Toc182311699"/>
      <w:bookmarkStart w:id="1114" w:name="_Toc185407534"/>
      <w:bookmarkStart w:id="1115" w:name="_Toc185427797"/>
      <w:r w:rsidRPr="00DD1C54">
        <w:t>Table A2.7</w:t>
      </w:r>
      <w:bookmarkEnd w:id="1112"/>
      <w:r w:rsidRPr="00DD1C54">
        <w:t>:</w:t>
      </w:r>
      <w:r w:rsidRPr="00DD1C54">
        <w:tab/>
        <w:t>New Zealand’s estimated annual area (hectares)</w:t>
      </w:r>
      <w:r w:rsidRPr="00DD1C54">
        <w:rPr>
          <w:vertAlign w:val="superscript"/>
        </w:rPr>
        <w:t xml:space="preserve">+ </w:t>
      </w:r>
      <w:r w:rsidRPr="00DD1C54">
        <w:t xml:space="preserve">under </w:t>
      </w:r>
      <w:r w:rsidRPr="00DD1C54">
        <w:rPr>
          <w:i/>
          <w:iCs/>
        </w:rPr>
        <w:t>Afforestation and reforestation</w:t>
      </w:r>
      <w:r w:rsidRPr="00DD1C54">
        <w:rPr>
          <w:vertAlign w:val="subscript"/>
        </w:rPr>
        <w:t xml:space="preserve"> </w:t>
      </w:r>
      <w:r w:rsidRPr="00DD1C54">
        <w:t>from 1990 to 2022</w:t>
      </w:r>
      <w:bookmarkEnd w:id="1113"/>
      <w:bookmarkEnd w:id="1114"/>
      <w:bookmarkEnd w:id="1115"/>
      <w:r w:rsidRPr="00DD1C54">
        <w:t xml:space="preserve"> </w:t>
      </w:r>
    </w:p>
    <w:tbl>
      <w:tblPr>
        <w:tblW w:w="8505" w:type="dxa"/>
        <w:tblBorders>
          <w:top w:val="single" w:sz="4" w:space="0" w:color="1B556B"/>
          <w:bottom w:val="single" w:sz="4" w:space="0" w:color="1B556B"/>
          <w:insideH w:val="single" w:sz="4" w:space="0" w:color="1B556B"/>
          <w:insideV w:val="single" w:sz="4" w:space="0" w:color="1B556B"/>
        </w:tblBorders>
        <w:tblLayout w:type="fixed"/>
        <w:tblCellMar>
          <w:left w:w="85" w:type="dxa"/>
          <w:right w:w="85" w:type="dxa"/>
        </w:tblCellMar>
        <w:tblLook w:val="0420" w:firstRow="1" w:lastRow="0" w:firstColumn="0" w:lastColumn="0" w:noHBand="0" w:noVBand="1"/>
      </w:tblPr>
      <w:tblGrid>
        <w:gridCol w:w="574"/>
        <w:gridCol w:w="1127"/>
        <w:gridCol w:w="1134"/>
        <w:gridCol w:w="1701"/>
        <w:gridCol w:w="993"/>
        <w:gridCol w:w="1275"/>
        <w:gridCol w:w="1701"/>
      </w:tblGrid>
      <w:tr w:rsidR="006929CB" w:rsidRPr="0018630D" w14:paraId="6D08FA79" w14:textId="77777777" w:rsidTr="00642E32">
        <w:trPr>
          <w:tblHeader/>
        </w:trPr>
        <w:tc>
          <w:tcPr>
            <w:tcW w:w="574" w:type="dxa"/>
            <w:shd w:val="clear" w:color="auto" w:fill="1B556B"/>
          </w:tcPr>
          <w:p w14:paraId="0125B2EA" w14:textId="77777777" w:rsidR="006929CB" w:rsidRPr="0018630D" w:rsidRDefault="006929CB">
            <w:pPr>
              <w:pStyle w:val="TableTextbold"/>
              <w:keepNext/>
              <w:rPr>
                <w:rFonts w:asciiTheme="minorHAnsi" w:hAnsiTheme="minorHAnsi" w:cstheme="minorHAnsi"/>
                <w:szCs w:val="18"/>
              </w:rPr>
            </w:pPr>
          </w:p>
        </w:tc>
        <w:tc>
          <w:tcPr>
            <w:tcW w:w="2261" w:type="dxa"/>
            <w:gridSpan w:val="2"/>
            <w:shd w:val="clear" w:color="auto" w:fill="1B556B"/>
          </w:tcPr>
          <w:p w14:paraId="1E4D6678" w14:textId="77777777" w:rsidR="006929CB" w:rsidRPr="0018630D" w:rsidRDefault="006929CB">
            <w:pPr>
              <w:pStyle w:val="TableTextbold"/>
              <w:keepNext/>
              <w:spacing w:after="0"/>
              <w:jc w:val="right"/>
              <w:rPr>
                <w:rFonts w:asciiTheme="minorHAnsi" w:hAnsiTheme="minorHAnsi" w:cstheme="minorHAnsi"/>
                <w:szCs w:val="18"/>
              </w:rPr>
            </w:pPr>
            <w:r w:rsidRPr="0018630D">
              <w:rPr>
                <w:rFonts w:asciiTheme="minorHAnsi" w:eastAsia="Calibri" w:hAnsiTheme="minorHAnsi" w:cstheme="minorHAnsi"/>
                <w:color w:val="FFFFFF"/>
                <w:szCs w:val="18"/>
              </w:rPr>
              <w:t>Post-1989 planted forest</w:t>
            </w:r>
          </w:p>
        </w:tc>
        <w:tc>
          <w:tcPr>
            <w:tcW w:w="1701" w:type="dxa"/>
            <w:vMerge w:val="restart"/>
            <w:shd w:val="clear" w:color="auto" w:fill="1B556B"/>
            <w:vAlign w:val="bottom"/>
          </w:tcPr>
          <w:p w14:paraId="1A60CA8F" w14:textId="77777777" w:rsidR="006929CB" w:rsidRPr="0018630D" w:rsidRDefault="006929CB">
            <w:pPr>
              <w:pStyle w:val="TableTextbold"/>
              <w:keepNext/>
              <w:jc w:val="right"/>
              <w:rPr>
                <w:rFonts w:asciiTheme="minorHAnsi" w:hAnsiTheme="minorHAnsi" w:cstheme="minorHAnsi"/>
                <w:szCs w:val="18"/>
              </w:rPr>
            </w:pPr>
            <w:r w:rsidRPr="0018630D">
              <w:rPr>
                <w:rFonts w:asciiTheme="minorHAnsi" w:eastAsia="Calibri" w:hAnsiTheme="minorHAnsi" w:cstheme="minorHAnsi"/>
                <w:color w:val="FFFFFF"/>
                <w:szCs w:val="18"/>
              </w:rPr>
              <w:t xml:space="preserve">Post-1989 </w:t>
            </w:r>
            <w:r w:rsidRPr="0018630D">
              <w:rPr>
                <w:rFonts w:asciiTheme="minorHAnsi" w:eastAsia="Calibri" w:hAnsiTheme="minorHAnsi" w:cstheme="minorHAnsi"/>
                <w:color w:val="FFFFFF"/>
                <w:szCs w:val="18"/>
              </w:rPr>
              <w:br/>
              <w:t>natural forest</w:t>
            </w:r>
          </w:p>
        </w:tc>
        <w:tc>
          <w:tcPr>
            <w:tcW w:w="3969" w:type="dxa"/>
            <w:gridSpan w:val="3"/>
            <w:shd w:val="clear" w:color="auto" w:fill="1B556B"/>
          </w:tcPr>
          <w:p w14:paraId="0E47A170" w14:textId="77777777" w:rsidR="006929CB" w:rsidRPr="0018630D" w:rsidRDefault="006929CB">
            <w:pPr>
              <w:pStyle w:val="TableTextbold"/>
              <w:keepNext/>
              <w:rPr>
                <w:rFonts w:asciiTheme="minorHAnsi" w:hAnsiTheme="minorHAnsi" w:cstheme="minorHAnsi"/>
                <w:szCs w:val="18"/>
              </w:rPr>
            </w:pPr>
          </w:p>
        </w:tc>
      </w:tr>
      <w:tr w:rsidR="006929CB" w:rsidRPr="0018630D" w14:paraId="3068FD87" w14:textId="77777777" w:rsidTr="00642E32">
        <w:trPr>
          <w:tblHeader/>
        </w:trPr>
        <w:tc>
          <w:tcPr>
            <w:tcW w:w="574" w:type="dxa"/>
            <w:shd w:val="clear" w:color="auto" w:fill="1B556B"/>
            <w:vAlign w:val="bottom"/>
          </w:tcPr>
          <w:p w14:paraId="0C7DDFAC" w14:textId="77777777" w:rsidR="006929CB" w:rsidRPr="0018630D" w:rsidRDefault="006929CB">
            <w:pPr>
              <w:pStyle w:val="TableTextbold"/>
              <w:keepNext/>
              <w:rPr>
                <w:rFonts w:asciiTheme="minorHAnsi" w:hAnsiTheme="minorHAnsi" w:cstheme="minorHAnsi"/>
                <w:szCs w:val="18"/>
              </w:rPr>
            </w:pPr>
            <w:r w:rsidRPr="0018630D">
              <w:rPr>
                <w:rFonts w:asciiTheme="minorHAnsi" w:eastAsia="Calibri" w:hAnsiTheme="minorHAnsi" w:cstheme="minorHAnsi"/>
                <w:color w:val="FFFFFF"/>
                <w:szCs w:val="18"/>
              </w:rPr>
              <w:t>Year</w:t>
            </w:r>
          </w:p>
        </w:tc>
        <w:tc>
          <w:tcPr>
            <w:tcW w:w="1127" w:type="dxa"/>
            <w:shd w:val="clear" w:color="auto" w:fill="1B556B"/>
            <w:vAlign w:val="bottom"/>
          </w:tcPr>
          <w:p w14:paraId="53FA6DF9" w14:textId="77777777" w:rsidR="006929CB" w:rsidRPr="0018630D" w:rsidRDefault="006929CB">
            <w:pPr>
              <w:pStyle w:val="TableTextbold"/>
              <w:keepNext/>
              <w:jc w:val="right"/>
              <w:rPr>
                <w:rFonts w:asciiTheme="minorHAnsi" w:hAnsiTheme="minorHAnsi" w:cstheme="minorHAnsi"/>
                <w:szCs w:val="18"/>
              </w:rPr>
            </w:pPr>
            <w:r w:rsidRPr="0018630D">
              <w:rPr>
                <w:rFonts w:asciiTheme="minorHAnsi" w:eastAsia="Calibri" w:hAnsiTheme="minorHAnsi" w:cstheme="minorHAnsi"/>
                <w:color w:val="FFFFFF"/>
                <w:szCs w:val="18"/>
              </w:rPr>
              <w:t>Production</w:t>
            </w:r>
          </w:p>
        </w:tc>
        <w:tc>
          <w:tcPr>
            <w:tcW w:w="1134" w:type="dxa"/>
            <w:shd w:val="clear" w:color="auto" w:fill="1B556B"/>
            <w:vAlign w:val="bottom"/>
          </w:tcPr>
          <w:p w14:paraId="4959D4E7" w14:textId="77777777" w:rsidR="006929CB" w:rsidRPr="0018630D" w:rsidRDefault="006929CB">
            <w:pPr>
              <w:pStyle w:val="TableTextbold"/>
              <w:keepNext/>
              <w:jc w:val="right"/>
              <w:rPr>
                <w:rFonts w:asciiTheme="minorHAnsi" w:hAnsiTheme="minorHAnsi" w:cstheme="minorHAnsi"/>
                <w:szCs w:val="18"/>
              </w:rPr>
            </w:pPr>
            <w:r w:rsidRPr="0018630D">
              <w:rPr>
                <w:rFonts w:asciiTheme="minorHAnsi" w:eastAsia="Calibri" w:hAnsiTheme="minorHAnsi" w:cstheme="minorHAnsi"/>
                <w:color w:val="FFFFFF"/>
                <w:szCs w:val="18"/>
              </w:rPr>
              <w:t>Permanent</w:t>
            </w:r>
          </w:p>
        </w:tc>
        <w:tc>
          <w:tcPr>
            <w:tcW w:w="1701" w:type="dxa"/>
            <w:vMerge/>
            <w:vAlign w:val="bottom"/>
          </w:tcPr>
          <w:p w14:paraId="16498DE4" w14:textId="77777777" w:rsidR="006929CB" w:rsidRPr="0018630D" w:rsidRDefault="006929CB">
            <w:pPr>
              <w:pStyle w:val="TableTextbold"/>
              <w:keepNext/>
              <w:jc w:val="right"/>
              <w:rPr>
                <w:rFonts w:asciiTheme="minorHAnsi" w:hAnsiTheme="minorHAnsi" w:cstheme="minorHAnsi"/>
                <w:szCs w:val="18"/>
              </w:rPr>
            </w:pPr>
          </w:p>
        </w:tc>
        <w:tc>
          <w:tcPr>
            <w:tcW w:w="993" w:type="dxa"/>
            <w:shd w:val="clear" w:color="auto" w:fill="1B556B"/>
            <w:vAlign w:val="bottom"/>
          </w:tcPr>
          <w:p w14:paraId="1ED533DB" w14:textId="77777777" w:rsidR="006929CB" w:rsidRPr="0018630D" w:rsidRDefault="006929CB">
            <w:pPr>
              <w:pStyle w:val="TableTextbold"/>
              <w:keepNext/>
              <w:jc w:val="right"/>
              <w:rPr>
                <w:rFonts w:asciiTheme="minorHAnsi" w:hAnsiTheme="minorHAnsi" w:cstheme="minorHAnsi"/>
                <w:szCs w:val="18"/>
              </w:rPr>
            </w:pPr>
            <w:r w:rsidRPr="0018630D">
              <w:rPr>
                <w:rFonts w:asciiTheme="minorHAnsi" w:eastAsia="Calibri" w:hAnsiTheme="minorHAnsi" w:cstheme="minorHAnsi"/>
                <w:color w:val="FFFFFF"/>
                <w:szCs w:val="18"/>
              </w:rPr>
              <w:t>Harvesting</w:t>
            </w:r>
          </w:p>
        </w:tc>
        <w:tc>
          <w:tcPr>
            <w:tcW w:w="1275" w:type="dxa"/>
            <w:shd w:val="clear" w:color="auto" w:fill="1B556B"/>
            <w:vAlign w:val="bottom"/>
          </w:tcPr>
          <w:p w14:paraId="74330BBB" w14:textId="77777777" w:rsidR="006929CB" w:rsidRPr="0018630D" w:rsidRDefault="006929CB">
            <w:pPr>
              <w:pStyle w:val="TableTextbold"/>
              <w:keepNext/>
              <w:jc w:val="right"/>
              <w:rPr>
                <w:rFonts w:asciiTheme="minorHAnsi" w:hAnsiTheme="minorHAnsi" w:cstheme="minorHAnsi"/>
                <w:szCs w:val="18"/>
              </w:rPr>
            </w:pPr>
            <w:r w:rsidRPr="0018630D">
              <w:rPr>
                <w:rFonts w:asciiTheme="minorHAnsi" w:eastAsia="Calibri" w:hAnsiTheme="minorHAnsi" w:cstheme="minorHAnsi"/>
                <w:color w:val="FFFFFF"/>
                <w:szCs w:val="18"/>
              </w:rPr>
              <w:t>Deforestation</w:t>
            </w:r>
          </w:p>
        </w:tc>
        <w:tc>
          <w:tcPr>
            <w:tcW w:w="1701" w:type="dxa"/>
            <w:shd w:val="clear" w:color="auto" w:fill="1B556B"/>
            <w:vAlign w:val="bottom"/>
          </w:tcPr>
          <w:p w14:paraId="65560775" w14:textId="77777777" w:rsidR="006929CB" w:rsidRPr="0018630D" w:rsidRDefault="006929CB">
            <w:pPr>
              <w:pStyle w:val="TableTextbold"/>
              <w:keepNext/>
              <w:jc w:val="right"/>
              <w:rPr>
                <w:rFonts w:asciiTheme="minorHAnsi" w:hAnsiTheme="minorHAnsi" w:cstheme="minorHAnsi"/>
                <w:szCs w:val="18"/>
              </w:rPr>
            </w:pPr>
            <w:r w:rsidRPr="0018630D">
              <w:rPr>
                <w:rFonts w:asciiTheme="minorHAnsi" w:eastAsia="Calibri" w:hAnsiTheme="minorHAnsi" w:cstheme="minorHAnsi"/>
                <w:color w:val="FFFFFF" w:themeColor="background1"/>
                <w:szCs w:val="18"/>
              </w:rPr>
              <w:t>Net cumulative area</w:t>
            </w:r>
          </w:p>
        </w:tc>
      </w:tr>
      <w:tr w:rsidR="006929CB" w:rsidRPr="0018630D" w14:paraId="22470D0C" w14:textId="77777777" w:rsidTr="00642E32">
        <w:tc>
          <w:tcPr>
            <w:tcW w:w="574" w:type="dxa"/>
            <w:shd w:val="clear" w:color="auto" w:fill="FFFFFF" w:themeFill="background1"/>
          </w:tcPr>
          <w:p w14:paraId="46D2FEB5" w14:textId="77777777" w:rsidR="006929CB" w:rsidRPr="0018630D" w:rsidRDefault="006929CB">
            <w:pPr>
              <w:pStyle w:val="TableText"/>
              <w:keepNext/>
              <w:spacing w:before="40" w:after="40"/>
              <w:rPr>
                <w:rFonts w:asciiTheme="minorHAnsi" w:hAnsiTheme="minorHAnsi" w:cstheme="minorHAnsi"/>
                <w:szCs w:val="18"/>
              </w:rPr>
            </w:pPr>
            <w:r w:rsidRPr="0018630D">
              <w:rPr>
                <w:rFonts w:asciiTheme="minorHAnsi" w:eastAsia="Calibri" w:hAnsiTheme="minorHAnsi" w:cstheme="minorHAnsi"/>
                <w:szCs w:val="18"/>
              </w:rPr>
              <w:t>1990</w:t>
            </w:r>
          </w:p>
        </w:tc>
        <w:tc>
          <w:tcPr>
            <w:tcW w:w="1127" w:type="dxa"/>
            <w:shd w:val="clear" w:color="auto" w:fill="FFFFFF" w:themeFill="background1"/>
          </w:tcPr>
          <w:p w14:paraId="2782375A"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eastAsia="Calibri" w:hAnsiTheme="minorHAnsi" w:cstheme="minorHAnsi"/>
                <w:szCs w:val="18"/>
              </w:rPr>
              <w:t>12,898</w:t>
            </w:r>
          </w:p>
        </w:tc>
        <w:tc>
          <w:tcPr>
            <w:tcW w:w="1134" w:type="dxa"/>
            <w:shd w:val="clear" w:color="auto" w:fill="FFFFFF" w:themeFill="background1"/>
          </w:tcPr>
          <w:p w14:paraId="49924A1E"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eastAsia="Calibri" w:hAnsiTheme="minorHAnsi" w:cstheme="minorHAnsi"/>
                <w:szCs w:val="18"/>
              </w:rPr>
              <w:t>813</w:t>
            </w:r>
          </w:p>
        </w:tc>
        <w:tc>
          <w:tcPr>
            <w:tcW w:w="1701" w:type="dxa"/>
            <w:shd w:val="clear" w:color="auto" w:fill="FFFFFF" w:themeFill="background1"/>
          </w:tcPr>
          <w:p w14:paraId="0C323340"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eastAsia="Calibri" w:hAnsiTheme="minorHAnsi" w:cstheme="minorHAnsi"/>
                <w:szCs w:val="18"/>
              </w:rPr>
              <w:t>981</w:t>
            </w:r>
          </w:p>
        </w:tc>
        <w:tc>
          <w:tcPr>
            <w:tcW w:w="993" w:type="dxa"/>
            <w:shd w:val="clear" w:color="auto" w:fill="FFFFFF" w:themeFill="background1"/>
          </w:tcPr>
          <w:p w14:paraId="7CE4C343"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275" w:type="dxa"/>
            <w:shd w:val="clear" w:color="auto" w:fill="FFFFFF" w:themeFill="background1"/>
          </w:tcPr>
          <w:p w14:paraId="6F23D733"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701" w:type="dxa"/>
            <w:shd w:val="clear" w:color="auto" w:fill="FFFFFF" w:themeFill="background1"/>
          </w:tcPr>
          <w:p w14:paraId="4D03B517"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eastAsia="Calibri" w:hAnsiTheme="minorHAnsi" w:cstheme="minorHAnsi"/>
                <w:szCs w:val="18"/>
              </w:rPr>
              <w:t>14,692</w:t>
            </w:r>
          </w:p>
        </w:tc>
      </w:tr>
      <w:tr w:rsidR="006929CB" w:rsidRPr="0018630D" w14:paraId="6384756C" w14:textId="77777777" w:rsidTr="00642E32">
        <w:tc>
          <w:tcPr>
            <w:tcW w:w="574" w:type="dxa"/>
            <w:shd w:val="clear" w:color="auto" w:fill="FFFFFF" w:themeFill="background1"/>
          </w:tcPr>
          <w:p w14:paraId="1ACC4919" w14:textId="77777777" w:rsidR="006929CB" w:rsidRPr="0018630D" w:rsidRDefault="006929CB">
            <w:pPr>
              <w:pStyle w:val="TableText"/>
              <w:keepNext/>
              <w:spacing w:before="40" w:after="40"/>
              <w:rPr>
                <w:rFonts w:asciiTheme="minorHAnsi" w:hAnsiTheme="minorHAnsi" w:cstheme="minorHAnsi"/>
                <w:szCs w:val="18"/>
              </w:rPr>
            </w:pPr>
            <w:r w:rsidRPr="0018630D">
              <w:rPr>
                <w:rFonts w:asciiTheme="minorHAnsi" w:eastAsia="Calibri" w:hAnsiTheme="minorHAnsi" w:cstheme="minorHAnsi"/>
                <w:szCs w:val="18"/>
              </w:rPr>
              <w:t>1991</w:t>
            </w:r>
          </w:p>
        </w:tc>
        <w:tc>
          <w:tcPr>
            <w:tcW w:w="1127" w:type="dxa"/>
            <w:shd w:val="clear" w:color="auto" w:fill="FFFFFF" w:themeFill="background1"/>
          </w:tcPr>
          <w:p w14:paraId="2A1CFF5A"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eastAsia="Calibri" w:hAnsiTheme="minorHAnsi" w:cstheme="minorHAnsi"/>
                <w:szCs w:val="18"/>
              </w:rPr>
              <w:t>12,580</w:t>
            </w:r>
          </w:p>
        </w:tc>
        <w:tc>
          <w:tcPr>
            <w:tcW w:w="1134" w:type="dxa"/>
            <w:shd w:val="clear" w:color="auto" w:fill="FFFFFF" w:themeFill="background1"/>
          </w:tcPr>
          <w:p w14:paraId="357CED2C"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eastAsia="Calibri" w:hAnsiTheme="minorHAnsi" w:cstheme="minorHAnsi"/>
                <w:szCs w:val="18"/>
              </w:rPr>
              <w:t>793</w:t>
            </w:r>
          </w:p>
        </w:tc>
        <w:tc>
          <w:tcPr>
            <w:tcW w:w="1701" w:type="dxa"/>
            <w:shd w:val="clear" w:color="auto" w:fill="FFFFFF" w:themeFill="background1"/>
          </w:tcPr>
          <w:p w14:paraId="14A383C8"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eastAsia="Calibri" w:hAnsiTheme="minorHAnsi" w:cstheme="minorHAnsi"/>
                <w:szCs w:val="18"/>
              </w:rPr>
              <w:t>1,145</w:t>
            </w:r>
          </w:p>
        </w:tc>
        <w:tc>
          <w:tcPr>
            <w:tcW w:w="993" w:type="dxa"/>
            <w:shd w:val="clear" w:color="auto" w:fill="FFFFFF" w:themeFill="background1"/>
          </w:tcPr>
          <w:p w14:paraId="60035E7B"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275" w:type="dxa"/>
            <w:shd w:val="clear" w:color="auto" w:fill="FFFFFF" w:themeFill="background1"/>
          </w:tcPr>
          <w:p w14:paraId="7C4C71D1"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701" w:type="dxa"/>
            <w:shd w:val="clear" w:color="auto" w:fill="FFFFFF" w:themeFill="background1"/>
          </w:tcPr>
          <w:p w14:paraId="1BB756AA"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eastAsia="Calibri" w:hAnsiTheme="minorHAnsi" w:cstheme="minorHAnsi"/>
                <w:szCs w:val="18"/>
              </w:rPr>
              <w:t>29,210</w:t>
            </w:r>
          </w:p>
        </w:tc>
      </w:tr>
      <w:tr w:rsidR="006929CB" w:rsidRPr="0018630D" w14:paraId="0B0A03F1" w14:textId="77777777" w:rsidTr="00642E32">
        <w:tc>
          <w:tcPr>
            <w:tcW w:w="574" w:type="dxa"/>
            <w:shd w:val="clear" w:color="auto" w:fill="FFFFFF" w:themeFill="background1"/>
          </w:tcPr>
          <w:p w14:paraId="6B999CE1" w14:textId="77777777" w:rsidR="006929CB" w:rsidRPr="0018630D" w:rsidRDefault="006929CB">
            <w:pPr>
              <w:pStyle w:val="TableText"/>
              <w:keepNext/>
              <w:spacing w:before="40" w:after="40"/>
              <w:rPr>
                <w:rFonts w:asciiTheme="minorHAnsi" w:hAnsiTheme="minorHAnsi" w:cstheme="minorHAnsi"/>
                <w:szCs w:val="18"/>
              </w:rPr>
            </w:pPr>
            <w:r w:rsidRPr="0018630D">
              <w:rPr>
                <w:rFonts w:asciiTheme="minorHAnsi" w:eastAsia="Calibri" w:hAnsiTheme="minorHAnsi" w:cstheme="minorHAnsi"/>
                <w:szCs w:val="18"/>
              </w:rPr>
              <w:t>1992</w:t>
            </w:r>
          </w:p>
        </w:tc>
        <w:tc>
          <w:tcPr>
            <w:tcW w:w="1127" w:type="dxa"/>
            <w:shd w:val="clear" w:color="auto" w:fill="FFFFFF" w:themeFill="background1"/>
          </w:tcPr>
          <w:p w14:paraId="7F244C1C"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eastAsia="Calibri" w:hAnsiTheme="minorHAnsi" w:cstheme="minorHAnsi"/>
                <w:szCs w:val="18"/>
              </w:rPr>
              <w:t>41,069</w:t>
            </w:r>
          </w:p>
        </w:tc>
        <w:tc>
          <w:tcPr>
            <w:tcW w:w="1134" w:type="dxa"/>
            <w:shd w:val="clear" w:color="auto" w:fill="FFFFFF" w:themeFill="background1"/>
          </w:tcPr>
          <w:p w14:paraId="2E88CF6D"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eastAsia="Calibri" w:hAnsiTheme="minorHAnsi" w:cstheme="minorHAnsi"/>
                <w:szCs w:val="18"/>
              </w:rPr>
              <w:t>2,584</w:t>
            </w:r>
          </w:p>
        </w:tc>
        <w:tc>
          <w:tcPr>
            <w:tcW w:w="1701" w:type="dxa"/>
            <w:shd w:val="clear" w:color="auto" w:fill="FFFFFF" w:themeFill="background1"/>
          </w:tcPr>
          <w:p w14:paraId="518A48CF"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eastAsia="Calibri" w:hAnsiTheme="minorHAnsi" w:cstheme="minorHAnsi"/>
                <w:szCs w:val="18"/>
              </w:rPr>
              <w:t>1,309</w:t>
            </w:r>
          </w:p>
        </w:tc>
        <w:tc>
          <w:tcPr>
            <w:tcW w:w="993" w:type="dxa"/>
            <w:shd w:val="clear" w:color="auto" w:fill="FFFFFF" w:themeFill="background1"/>
          </w:tcPr>
          <w:p w14:paraId="41182097"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275" w:type="dxa"/>
            <w:shd w:val="clear" w:color="auto" w:fill="FFFFFF" w:themeFill="background1"/>
          </w:tcPr>
          <w:p w14:paraId="55A71034"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701" w:type="dxa"/>
            <w:shd w:val="clear" w:color="auto" w:fill="FFFFFF" w:themeFill="background1"/>
          </w:tcPr>
          <w:p w14:paraId="05258272"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eastAsia="Calibri" w:hAnsiTheme="minorHAnsi" w:cstheme="minorHAnsi"/>
                <w:szCs w:val="18"/>
              </w:rPr>
              <w:t>74,171</w:t>
            </w:r>
          </w:p>
        </w:tc>
      </w:tr>
      <w:tr w:rsidR="006929CB" w:rsidRPr="0018630D" w14:paraId="441F86FC" w14:textId="77777777" w:rsidTr="00642E32">
        <w:tc>
          <w:tcPr>
            <w:tcW w:w="574" w:type="dxa"/>
            <w:shd w:val="clear" w:color="auto" w:fill="FFFFFF" w:themeFill="background1"/>
          </w:tcPr>
          <w:p w14:paraId="1A45F4B1" w14:textId="77777777" w:rsidR="006929CB" w:rsidRPr="0018630D" w:rsidRDefault="006929CB">
            <w:pPr>
              <w:pStyle w:val="TableText"/>
              <w:keepNext/>
              <w:spacing w:before="40" w:after="40"/>
              <w:rPr>
                <w:rFonts w:asciiTheme="minorHAnsi" w:hAnsiTheme="minorHAnsi" w:cstheme="minorHAnsi"/>
                <w:szCs w:val="18"/>
              </w:rPr>
            </w:pPr>
            <w:r w:rsidRPr="0018630D">
              <w:rPr>
                <w:rFonts w:asciiTheme="minorHAnsi" w:eastAsia="Calibri" w:hAnsiTheme="minorHAnsi" w:cstheme="minorHAnsi"/>
                <w:szCs w:val="18"/>
              </w:rPr>
              <w:t>1993</w:t>
            </w:r>
          </w:p>
        </w:tc>
        <w:tc>
          <w:tcPr>
            <w:tcW w:w="1127" w:type="dxa"/>
            <w:shd w:val="clear" w:color="auto" w:fill="FFFFFF" w:themeFill="background1"/>
          </w:tcPr>
          <w:p w14:paraId="08C8F05D"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eastAsia="Calibri" w:hAnsiTheme="minorHAnsi" w:cstheme="minorHAnsi"/>
                <w:szCs w:val="18"/>
              </w:rPr>
              <w:t>50,333</w:t>
            </w:r>
          </w:p>
        </w:tc>
        <w:tc>
          <w:tcPr>
            <w:tcW w:w="1134" w:type="dxa"/>
            <w:shd w:val="clear" w:color="auto" w:fill="FFFFFF" w:themeFill="background1"/>
          </w:tcPr>
          <w:p w14:paraId="1FB9CCE5"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eastAsia="Calibri" w:hAnsiTheme="minorHAnsi" w:cstheme="minorHAnsi"/>
                <w:szCs w:val="18"/>
              </w:rPr>
              <w:t>3,170</w:t>
            </w:r>
          </w:p>
        </w:tc>
        <w:tc>
          <w:tcPr>
            <w:tcW w:w="1701" w:type="dxa"/>
            <w:shd w:val="clear" w:color="auto" w:fill="FFFFFF" w:themeFill="background1"/>
          </w:tcPr>
          <w:p w14:paraId="35F62E01"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eastAsia="Calibri" w:hAnsiTheme="minorHAnsi" w:cstheme="minorHAnsi"/>
                <w:szCs w:val="18"/>
              </w:rPr>
              <w:t>1,145</w:t>
            </w:r>
          </w:p>
        </w:tc>
        <w:tc>
          <w:tcPr>
            <w:tcW w:w="993" w:type="dxa"/>
            <w:shd w:val="clear" w:color="auto" w:fill="FFFFFF" w:themeFill="background1"/>
          </w:tcPr>
          <w:p w14:paraId="404FBAC6"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275" w:type="dxa"/>
            <w:shd w:val="clear" w:color="auto" w:fill="FFFFFF" w:themeFill="background1"/>
          </w:tcPr>
          <w:p w14:paraId="4DBD12AC"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701" w:type="dxa"/>
            <w:shd w:val="clear" w:color="auto" w:fill="FFFFFF" w:themeFill="background1"/>
          </w:tcPr>
          <w:p w14:paraId="69823B08" w14:textId="77777777" w:rsidR="006929CB" w:rsidRPr="0018630D" w:rsidRDefault="006929CB">
            <w:pPr>
              <w:pStyle w:val="TableText"/>
              <w:keepNext/>
              <w:spacing w:before="40" w:after="40"/>
              <w:jc w:val="right"/>
              <w:rPr>
                <w:rFonts w:asciiTheme="minorHAnsi" w:hAnsiTheme="minorHAnsi" w:cstheme="minorHAnsi"/>
                <w:szCs w:val="18"/>
              </w:rPr>
            </w:pPr>
            <w:r w:rsidRPr="0018630D">
              <w:rPr>
                <w:rFonts w:asciiTheme="minorHAnsi" w:eastAsia="Calibri" w:hAnsiTheme="minorHAnsi" w:cstheme="minorHAnsi"/>
                <w:szCs w:val="18"/>
              </w:rPr>
              <w:t>128,819</w:t>
            </w:r>
          </w:p>
        </w:tc>
      </w:tr>
      <w:tr w:rsidR="006929CB" w:rsidRPr="0018630D" w14:paraId="43166538" w14:textId="77777777" w:rsidTr="00642E32">
        <w:tc>
          <w:tcPr>
            <w:tcW w:w="574" w:type="dxa"/>
            <w:shd w:val="clear" w:color="auto" w:fill="FFFFFF" w:themeFill="background1"/>
          </w:tcPr>
          <w:p w14:paraId="088A4CAA"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1994</w:t>
            </w:r>
          </w:p>
        </w:tc>
        <w:tc>
          <w:tcPr>
            <w:tcW w:w="1127" w:type="dxa"/>
            <w:shd w:val="clear" w:color="auto" w:fill="FFFFFF" w:themeFill="background1"/>
          </w:tcPr>
          <w:p w14:paraId="3CABC470"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80,246</w:t>
            </w:r>
          </w:p>
        </w:tc>
        <w:tc>
          <w:tcPr>
            <w:tcW w:w="1134" w:type="dxa"/>
            <w:shd w:val="clear" w:color="auto" w:fill="FFFFFF" w:themeFill="background1"/>
          </w:tcPr>
          <w:p w14:paraId="249BDCBF"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5,054</w:t>
            </w:r>
          </w:p>
        </w:tc>
        <w:tc>
          <w:tcPr>
            <w:tcW w:w="1701" w:type="dxa"/>
            <w:shd w:val="clear" w:color="auto" w:fill="FFFFFF" w:themeFill="background1"/>
          </w:tcPr>
          <w:p w14:paraId="0A705FFC"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981</w:t>
            </w:r>
          </w:p>
        </w:tc>
        <w:tc>
          <w:tcPr>
            <w:tcW w:w="993" w:type="dxa"/>
            <w:shd w:val="clear" w:color="auto" w:fill="FFFFFF" w:themeFill="background1"/>
          </w:tcPr>
          <w:p w14:paraId="141EFCCC"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275" w:type="dxa"/>
            <w:shd w:val="clear" w:color="auto" w:fill="FFFFFF" w:themeFill="background1"/>
          </w:tcPr>
          <w:p w14:paraId="03D4E512"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701" w:type="dxa"/>
            <w:shd w:val="clear" w:color="auto" w:fill="FFFFFF" w:themeFill="background1"/>
          </w:tcPr>
          <w:p w14:paraId="1964978B"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215,101</w:t>
            </w:r>
          </w:p>
        </w:tc>
      </w:tr>
      <w:tr w:rsidR="006929CB" w:rsidRPr="0018630D" w14:paraId="6D1508F4" w14:textId="77777777" w:rsidTr="00642E32">
        <w:tc>
          <w:tcPr>
            <w:tcW w:w="574" w:type="dxa"/>
            <w:shd w:val="clear" w:color="auto" w:fill="FFFFFF" w:themeFill="background1"/>
          </w:tcPr>
          <w:p w14:paraId="4D35F840"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1995</w:t>
            </w:r>
          </w:p>
        </w:tc>
        <w:tc>
          <w:tcPr>
            <w:tcW w:w="1127" w:type="dxa"/>
            <w:shd w:val="clear" w:color="auto" w:fill="FFFFFF" w:themeFill="background1"/>
          </w:tcPr>
          <w:p w14:paraId="2A818019"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60,451</w:t>
            </w:r>
          </w:p>
        </w:tc>
        <w:tc>
          <w:tcPr>
            <w:tcW w:w="1134" w:type="dxa"/>
            <w:shd w:val="clear" w:color="auto" w:fill="FFFFFF" w:themeFill="background1"/>
          </w:tcPr>
          <w:p w14:paraId="451C188C"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3,803</w:t>
            </w:r>
          </w:p>
        </w:tc>
        <w:tc>
          <w:tcPr>
            <w:tcW w:w="1701" w:type="dxa"/>
            <w:shd w:val="clear" w:color="auto" w:fill="FFFFFF" w:themeFill="background1"/>
          </w:tcPr>
          <w:p w14:paraId="61E6880D"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818</w:t>
            </w:r>
          </w:p>
        </w:tc>
        <w:tc>
          <w:tcPr>
            <w:tcW w:w="993" w:type="dxa"/>
            <w:shd w:val="clear" w:color="auto" w:fill="FFFFFF" w:themeFill="background1"/>
          </w:tcPr>
          <w:p w14:paraId="63FE48B7"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275" w:type="dxa"/>
            <w:shd w:val="clear" w:color="auto" w:fill="FFFFFF" w:themeFill="background1"/>
          </w:tcPr>
          <w:p w14:paraId="2D388732"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701" w:type="dxa"/>
            <w:shd w:val="clear" w:color="auto" w:fill="FFFFFF" w:themeFill="background1"/>
          </w:tcPr>
          <w:p w14:paraId="6CA76686"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280,173</w:t>
            </w:r>
          </w:p>
        </w:tc>
      </w:tr>
      <w:tr w:rsidR="006929CB" w:rsidRPr="0018630D" w14:paraId="34EC3B96" w14:textId="77777777" w:rsidTr="00642E32">
        <w:tc>
          <w:tcPr>
            <w:tcW w:w="574" w:type="dxa"/>
            <w:shd w:val="clear" w:color="auto" w:fill="FFFFFF" w:themeFill="background1"/>
          </w:tcPr>
          <w:p w14:paraId="5B057698"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1996</w:t>
            </w:r>
          </w:p>
        </w:tc>
        <w:tc>
          <w:tcPr>
            <w:tcW w:w="1127" w:type="dxa"/>
            <w:shd w:val="clear" w:color="auto" w:fill="FFFFFF" w:themeFill="background1"/>
          </w:tcPr>
          <w:p w14:paraId="7BA38C18"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68,501</w:t>
            </w:r>
          </w:p>
        </w:tc>
        <w:tc>
          <w:tcPr>
            <w:tcW w:w="1134" w:type="dxa"/>
            <w:shd w:val="clear" w:color="auto" w:fill="FFFFFF" w:themeFill="background1"/>
          </w:tcPr>
          <w:p w14:paraId="4C425D9E"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4,303</w:t>
            </w:r>
          </w:p>
        </w:tc>
        <w:tc>
          <w:tcPr>
            <w:tcW w:w="1701" w:type="dxa"/>
            <w:shd w:val="clear" w:color="auto" w:fill="FFFFFF" w:themeFill="background1"/>
          </w:tcPr>
          <w:p w14:paraId="290E5BA1"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818</w:t>
            </w:r>
          </w:p>
        </w:tc>
        <w:tc>
          <w:tcPr>
            <w:tcW w:w="993" w:type="dxa"/>
            <w:shd w:val="clear" w:color="auto" w:fill="FFFFFF" w:themeFill="background1"/>
          </w:tcPr>
          <w:p w14:paraId="26DDF22D"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275" w:type="dxa"/>
            <w:shd w:val="clear" w:color="auto" w:fill="FFFFFF" w:themeFill="background1"/>
          </w:tcPr>
          <w:p w14:paraId="2BA07527"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701" w:type="dxa"/>
            <w:shd w:val="clear" w:color="auto" w:fill="FFFFFF" w:themeFill="background1"/>
          </w:tcPr>
          <w:p w14:paraId="45BB139D"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353,795</w:t>
            </w:r>
          </w:p>
        </w:tc>
      </w:tr>
      <w:tr w:rsidR="006929CB" w:rsidRPr="0018630D" w14:paraId="14A5C175" w14:textId="77777777" w:rsidTr="00642E32">
        <w:tc>
          <w:tcPr>
            <w:tcW w:w="574" w:type="dxa"/>
            <w:shd w:val="clear" w:color="auto" w:fill="FFFFFF" w:themeFill="background1"/>
          </w:tcPr>
          <w:p w14:paraId="65B6C341"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1997</w:t>
            </w:r>
          </w:p>
        </w:tc>
        <w:tc>
          <w:tcPr>
            <w:tcW w:w="1127" w:type="dxa"/>
            <w:shd w:val="clear" w:color="auto" w:fill="FFFFFF" w:themeFill="background1"/>
          </w:tcPr>
          <w:p w14:paraId="2F6D85AE"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52,167</w:t>
            </w:r>
          </w:p>
        </w:tc>
        <w:tc>
          <w:tcPr>
            <w:tcW w:w="1134" w:type="dxa"/>
            <w:shd w:val="clear" w:color="auto" w:fill="FFFFFF" w:themeFill="background1"/>
          </w:tcPr>
          <w:p w14:paraId="17AE41B9"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3,279</w:t>
            </w:r>
          </w:p>
        </w:tc>
        <w:tc>
          <w:tcPr>
            <w:tcW w:w="1701" w:type="dxa"/>
            <w:shd w:val="clear" w:color="auto" w:fill="FFFFFF" w:themeFill="background1"/>
          </w:tcPr>
          <w:p w14:paraId="131C2410"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2,619</w:t>
            </w:r>
          </w:p>
        </w:tc>
        <w:tc>
          <w:tcPr>
            <w:tcW w:w="993" w:type="dxa"/>
            <w:shd w:val="clear" w:color="auto" w:fill="FFFFFF" w:themeFill="background1"/>
          </w:tcPr>
          <w:p w14:paraId="39A022B9"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275" w:type="dxa"/>
            <w:shd w:val="clear" w:color="auto" w:fill="FFFFFF" w:themeFill="background1"/>
          </w:tcPr>
          <w:p w14:paraId="4F60F3C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701" w:type="dxa"/>
            <w:shd w:val="clear" w:color="auto" w:fill="FFFFFF" w:themeFill="background1"/>
          </w:tcPr>
          <w:p w14:paraId="55756B64"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411,859</w:t>
            </w:r>
          </w:p>
        </w:tc>
      </w:tr>
      <w:tr w:rsidR="006929CB" w:rsidRPr="0018630D" w14:paraId="07943351" w14:textId="77777777" w:rsidTr="00642E32">
        <w:tc>
          <w:tcPr>
            <w:tcW w:w="574" w:type="dxa"/>
            <w:shd w:val="clear" w:color="auto" w:fill="FFFFFF" w:themeFill="background1"/>
          </w:tcPr>
          <w:p w14:paraId="35FB6F16"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1998</w:t>
            </w:r>
          </w:p>
        </w:tc>
        <w:tc>
          <w:tcPr>
            <w:tcW w:w="1127" w:type="dxa"/>
            <w:shd w:val="clear" w:color="auto" w:fill="FFFFFF" w:themeFill="background1"/>
          </w:tcPr>
          <w:p w14:paraId="09E160B5"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41,855</w:t>
            </w:r>
          </w:p>
        </w:tc>
        <w:tc>
          <w:tcPr>
            <w:tcW w:w="1134" w:type="dxa"/>
            <w:shd w:val="clear" w:color="auto" w:fill="FFFFFF" w:themeFill="background1"/>
          </w:tcPr>
          <w:p w14:paraId="2647BEB2"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2,635</w:t>
            </w:r>
          </w:p>
        </w:tc>
        <w:tc>
          <w:tcPr>
            <w:tcW w:w="1701" w:type="dxa"/>
            <w:shd w:val="clear" w:color="auto" w:fill="FFFFFF" w:themeFill="background1"/>
          </w:tcPr>
          <w:p w14:paraId="296B7C52"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2,944</w:t>
            </w:r>
          </w:p>
        </w:tc>
        <w:tc>
          <w:tcPr>
            <w:tcW w:w="993" w:type="dxa"/>
            <w:shd w:val="clear" w:color="auto" w:fill="FFFFFF" w:themeFill="background1"/>
          </w:tcPr>
          <w:p w14:paraId="1B8D1E79"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275" w:type="dxa"/>
            <w:shd w:val="clear" w:color="auto" w:fill="FFFFFF" w:themeFill="background1"/>
          </w:tcPr>
          <w:p w14:paraId="0FD6C2C7"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701" w:type="dxa"/>
            <w:shd w:val="clear" w:color="auto" w:fill="FFFFFF" w:themeFill="background1"/>
          </w:tcPr>
          <w:p w14:paraId="3CFB1653"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459,293</w:t>
            </w:r>
          </w:p>
        </w:tc>
      </w:tr>
      <w:tr w:rsidR="006929CB" w:rsidRPr="0018630D" w14:paraId="54309AF7" w14:textId="77777777" w:rsidTr="00642E32">
        <w:tc>
          <w:tcPr>
            <w:tcW w:w="574" w:type="dxa"/>
            <w:shd w:val="clear" w:color="auto" w:fill="FFFFFF" w:themeFill="background1"/>
          </w:tcPr>
          <w:p w14:paraId="5B8150A3"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1999</w:t>
            </w:r>
          </w:p>
        </w:tc>
        <w:tc>
          <w:tcPr>
            <w:tcW w:w="1127" w:type="dxa"/>
            <w:shd w:val="clear" w:color="auto" w:fill="FFFFFF" w:themeFill="background1"/>
          </w:tcPr>
          <w:p w14:paraId="0AFF6F7C"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32,702</w:t>
            </w:r>
          </w:p>
        </w:tc>
        <w:tc>
          <w:tcPr>
            <w:tcW w:w="1134" w:type="dxa"/>
            <w:shd w:val="clear" w:color="auto" w:fill="FFFFFF" w:themeFill="background1"/>
          </w:tcPr>
          <w:p w14:paraId="04649B9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2,059</w:t>
            </w:r>
          </w:p>
        </w:tc>
        <w:tc>
          <w:tcPr>
            <w:tcW w:w="1701" w:type="dxa"/>
            <w:shd w:val="clear" w:color="auto" w:fill="FFFFFF" w:themeFill="background1"/>
          </w:tcPr>
          <w:p w14:paraId="22B21539"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3,271</w:t>
            </w:r>
          </w:p>
        </w:tc>
        <w:tc>
          <w:tcPr>
            <w:tcW w:w="993" w:type="dxa"/>
            <w:shd w:val="clear" w:color="auto" w:fill="FFFFFF" w:themeFill="background1"/>
          </w:tcPr>
          <w:p w14:paraId="24E500F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275" w:type="dxa"/>
            <w:shd w:val="clear" w:color="auto" w:fill="FFFFFF" w:themeFill="background1"/>
          </w:tcPr>
          <w:p w14:paraId="0063456D"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701" w:type="dxa"/>
            <w:shd w:val="clear" w:color="auto" w:fill="FFFFFF" w:themeFill="background1"/>
          </w:tcPr>
          <w:p w14:paraId="7B6B0876"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497,325</w:t>
            </w:r>
          </w:p>
        </w:tc>
      </w:tr>
      <w:tr w:rsidR="006929CB" w:rsidRPr="0018630D" w14:paraId="1D08C222" w14:textId="77777777" w:rsidTr="00642E32">
        <w:tc>
          <w:tcPr>
            <w:tcW w:w="574" w:type="dxa"/>
            <w:shd w:val="clear" w:color="auto" w:fill="FFFFFF" w:themeFill="background1"/>
          </w:tcPr>
          <w:p w14:paraId="67B5E6F2"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2000</w:t>
            </w:r>
          </w:p>
        </w:tc>
        <w:tc>
          <w:tcPr>
            <w:tcW w:w="1127" w:type="dxa"/>
            <w:shd w:val="clear" w:color="auto" w:fill="FFFFFF" w:themeFill="background1"/>
          </w:tcPr>
          <w:p w14:paraId="4869BD5C"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27,579</w:t>
            </w:r>
          </w:p>
        </w:tc>
        <w:tc>
          <w:tcPr>
            <w:tcW w:w="1134" w:type="dxa"/>
            <w:shd w:val="clear" w:color="auto" w:fill="FFFFFF" w:themeFill="background1"/>
          </w:tcPr>
          <w:p w14:paraId="1B925E65"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1,729</w:t>
            </w:r>
          </w:p>
        </w:tc>
        <w:tc>
          <w:tcPr>
            <w:tcW w:w="1701" w:type="dxa"/>
            <w:shd w:val="clear" w:color="auto" w:fill="FFFFFF" w:themeFill="background1"/>
          </w:tcPr>
          <w:p w14:paraId="593C18B7"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4,089</w:t>
            </w:r>
          </w:p>
        </w:tc>
        <w:tc>
          <w:tcPr>
            <w:tcW w:w="993" w:type="dxa"/>
            <w:shd w:val="clear" w:color="auto" w:fill="FFFFFF" w:themeFill="background1"/>
          </w:tcPr>
          <w:p w14:paraId="718CFE04"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275" w:type="dxa"/>
            <w:shd w:val="clear" w:color="auto" w:fill="FFFFFF" w:themeFill="background1"/>
          </w:tcPr>
          <w:p w14:paraId="48F9E1F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701" w:type="dxa"/>
            <w:shd w:val="clear" w:color="auto" w:fill="FFFFFF" w:themeFill="background1"/>
          </w:tcPr>
          <w:p w14:paraId="355F1DD8"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530,722</w:t>
            </w:r>
          </w:p>
        </w:tc>
      </w:tr>
      <w:tr w:rsidR="006929CB" w:rsidRPr="0018630D" w14:paraId="651BDEE2" w14:textId="77777777" w:rsidTr="00642E32">
        <w:tc>
          <w:tcPr>
            <w:tcW w:w="574" w:type="dxa"/>
            <w:shd w:val="clear" w:color="auto" w:fill="FFFFFF" w:themeFill="background1"/>
          </w:tcPr>
          <w:p w14:paraId="740C63F2"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2001</w:t>
            </w:r>
          </w:p>
        </w:tc>
        <w:tc>
          <w:tcPr>
            <w:tcW w:w="1127" w:type="dxa"/>
            <w:shd w:val="clear" w:color="auto" w:fill="FFFFFF" w:themeFill="background1"/>
          </w:tcPr>
          <w:p w14:paraId="1A6333B3"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24,590</w:t>
            </w:r>
          </w:p>
        </w:tc>
        <w:tc>
          <w:tcPr>
            <w:tcW w:w="1134" w:type="dxa"/>
            <w:shd w:val="clear" w:color="auto" w:fill="FFFFFF" w:themeFill="background1"/>
          </w:tcPr>
          <w:p w14:paraId="6AC32C5F"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1,549</w:t>
            </w:r>
          </w:p>
        </w:tc>
        <w:tc>
          <w:tcPr>
            <w:tcW w:w="1701" w:type="dxa"/>
            <w:shd w:val="clear" w:color="auto" w:fill="FFFFFF" w:themeFill="background1"/>
          </w:tcPr>
          <w:p w14:paraId="5C8A2A40"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4,907</w:t>
            </w:r>
          </w:p>
        </w:tc>
        <w:tc>
          <w:tcPr>
            <w:tcW w:w="993" w:type="dxa"/>
            <w:shd w:val="clear" w:color="auto" w:fill="FFFFFF" w:themeFill="background1"/>
          </w:tcPr>
          <w:p w14:paraId="3B83CF1D"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275" w:type="dxa"/>
            <w:shd w:val="clear" w:color="auto" w:fill="FFFFFF" w:themeFill="background1"/>
          </w:tcPr>
          <w:p w14:paraId="4AAD5AA9"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701" w:type="dxa"/>
            <w:shd w:val="clear" w:color="auto" w:fill="FFFFFF" w:themeFill="background1"/>
          </w:tcPr>
          <w:p w14:paraId="777BD80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561,768</w:t>
            </w:r>
          </w:p>
        </w:tc>
      </w:tr>
      <w:tr w:rsidR="006929CB" w:rsidRPr="0018630D" w14:paraId="273926FF" w14:textId="77777777" w:rsidTr="00642E32">
        <w:tc>
          <w:tcPr>
            <w:tcW w:w="574" w:type="dxa"/>
            <w:shd w:val="clear" w:color="auto" w:fill="FFFFFF" w:themeFill="background1"/>
          </w:tcPr>
          <w:p w14:paraId="794269A0"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2002</w:t>
            </w:r>
          </w:p>
        </w:tc>
        <w:tc>
          <w:tcPr>
            <w:tcW w:w="1127" w:type="dxa"/>
            <w:shd w:val="clear" w:color="auto" w:fill="FFFFFF" w:themeFill="background1"/>
          </w:tcPr>
          <w:p w14:paraId="03DB240D"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18,043</w:t>
            </w:r>
          </w:p>
        </w:tc>
        <w:tc>
          <w:tcPr>
            <w:tcW w:w="1134" w:type="dxa"/>
            <w:shd w:val="clear" w:color="auto" w:fill="FFFFFF" w:themeFill="background1"/>
          </w:tcPr>
          <w:p w14:paraId="0902C332"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1,137</w:t>
            </w:r>
          </w:p>
        </w:tc>
        <w:tc>
          <w:tcPr>
            <w:tcW w:w="1701" w:type="dxa"/>
            <w:shd w:val="clear" w:color="auto" w:fill="FFFFFF" w:themeFill="background1"/>
          </w:tcPr>
          <w:p w14:paraId="4A06F8AE"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3,926</w:t>
            </w:r>
          </w:p>
        </w:tc>
        <w:tc>
          <w:tcPr>
            <w:tcW w:w="993" w:type="dxa"/>
            <w:shd w:val="clear" w:color="auto" w:fill="FFFFFF" w:themeFill="background1"/>
          </w:tcPr>
          <w:p w14:paraId="087F08CD"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275" w:type="dxa"/>
            <w:shd w:val="clear" w:color="auto" w:fill="FFFFFF" w:themeFill="background1"/>
          </w:tcPr>
          <w:p w14:paraId="0C814EEF"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820</w:t>
            </w:r>
          </w:p>
        </w:tc>
        <w:tc>
          <w:tcPr>
            <w:tcW w:w="1701" w:type="dxa"/>
            <w:shd w:val="clear" w:color="auto" w:fill="FFFFFF" w:themeFill="background1"/>
          </w:tcPr>
          <w:p w14:paraId="57BDCB9D"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584,053</w:t>
            </w:r>
          </w:p>
        </w:tc>
      </w:tr>
      <w:tr w:rsidR="006929CB" w:rsidRPr="0018630D" w14:paraId="0B361719" w14:textId="77777777" w:rsidTr="00642E32">
        <w:tc>
          <w:tcPr>
            <w:tcW w:w="574" w:type="dxa"/>
            <w:shd w:val="clear" w:color="auto" w:fill="FFFFFF" w:themeFill="background1"/>
          </w:tcPr>
          <w:p w14:paraId="5699B9C3"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2003</w:t>
            </w:r>
          </w:p>
        </w:tc>
        <w:tc>
          <w:tcPr>
            <w:tcW w:w="1127" w:type="dxa"/>
            <w:shd w:val="clear" w:color="auto" w:fill="FFFFFF" w:themeFill="background1"/>
          </w:tcPr>
          <w:p w14:paraId="62783F5C"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16,244</w:t>
            </w:r>
          </w:p>
        </w:tc>
        <w:tc>
          <w:tcPr>
            <w:tcW w:w="1134" w:type="dxa"/>
            <w:shd w:val="clear" w:color="auto" w:fill="FFFFFF" w:themeFill="background1"/>
          </w:tcPr>
          <w:p w14:paraId="3A239E3D"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1,024</w:t>
            </w:r>
          </w:p>
        </w:tc>
        <w:tc>
          <w:tcPr>
            <w:tcW w:w="1701" w:type="dxa"/>
            <w:shd w:val="clear" w:color="auto" w:fill="FFFFFF" w:themeFill="background1"/>
          </w:tcPr>
          <w:p w14:paraId="037A60A2"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4,416</w:t>
            </w:r>
          </w:p>
        </w:tc>
        <w:tc>
          <w:tcPr>
            <w:tcW w:w="993" w:type="dxa"/>
            <w:shd w:val="clear" w:color="auto" w:fill="FFFFFF" w:themeFill="background1"/>
          </w:tcPr>
          <w:p w14:paraId="08D9CB7F"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275" w:type="dxa"/>
            <w:shd w:val="clear" w:color="auto" w:fill="FFFFFF" w:themeFill="background1"/>
          </w:tcPr>
          <w:p w14:paraId="266073CC"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2,586</w:t>
            </w:r>
          </w:p>
        </w:tc>
        <w:tc>
          <w:tcPr>
            <w:tcW w:w="1701" w:type="dxa"/>
            <w:shd w:val="clear" w:color="auto" w:fill="FFFFFF" w:themeFill="background1"/>
          </w:tcPr>
          <w:p w14:paraId="5D471679"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603,152</w:t>
            </w:r>
          </w:p>
        </w:tc>
      </w:tr>
      <w:tr w:rsidR="006929CB" w:rsidRPr="0018630D" w14:paraId="478FF8BF" w14:textId="77777777" w:rsidTr="00642E32">
        <w:tc>
          <w:tcPr>
            <w:tcW w:w="574" w:type="dxa"/>
            <w:shd w:val="clear" w:color="auto" w:fill="FFFFFF" w:themeFill="background1"/>
          </w:tcPr>
          <w:p w14:paraId="3520C637"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2004</w:t>
            </w:r>
          </w:p>
        </w:tc>
        <w:tc>
          <w:tcPr>
            <w:tcW w:w="1127" w:type="dxa"/>
            <w:shd w:val="clear" w:color="auto" w:fill="FFFFFF" w:themeFill="background1"/>
          </w:tcPr>
          <w:p w14:paraId="4561054C"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8,653</w:t>
            </w:r>
          </w:p>
        </w:tc>
        <w:tc>
          <w:tcPr>
            <w:tcW w:w="1134" w:type="dxa"/>
            <w:shd w:val="clear" w:color="auto" w:fill="FFFFFF" w:themeFill="background1"/>
          </w:tcPr>
          <w:p w14:paraId="3614FBDE"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546</w:t>
            </w:r>
          </w:p>
        </w:tc>
        <w:tc>
          <w:tcPr>
            <w:tcW w:w="1701" w:type="dxa"/>
            <w:shd w:val="clear" w:color="auto" w:fill="FFFFFF" w:themeFill="background1"/>
          </w:tcPr>
          <w:p w14:paraId="5E0F4385"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5,888</w:t>
            </w:r>
          </w:p>
        </w:tc>
        <w:tc>
          <w:tcPr>
            <w:tcW w:w="993" w:type="dxa"/>
            <w:shd w:val="clear" w:color="auto" w:fill="FFFFFF" w:themeFill="background1"/>
          </w:tcPr>
          <w:p w14:paraId="0A9E3749"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hAnsiTheme="minorHAnsi" w:cstheme="minorHAnsi"/>
                <w:szCs w:val="18"/>
              </w:rPr>
              <w:t>–</w:t>
            </w:r>
          </w:p>
        </w:tc>
        <w:tc>
          <w:tcPr>
            <w:tcW w:w="1275" w:type="dxa"/>
            <w:shd w:val="clear" w:color="auto" w:fill="FFFFFF" w:themeFill="background1"/>
          </w:tcPr>
          <w:p w14:paraId="72BBA98F"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2,376</w:t>
            </w:r>
          </w:p>
        </w:tc>
        <w:tc>
          <w:tcPr>
            <w:tcW w:w="1701" w:type="dxa"/>
            <w:shd w:val="clear" w:color="auto" w:fill="FFFFFF" w:themeFill="background1"/>
          </w:tcPr>
          <w:p w14:paraId="2464BC13"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615,862</w:t>
            </w:r>
          </w:p>
        </w:tc>
      </w:tr>
      <w:tr w:rsidR="006929CB" w:rsidRPr="0018630D" w14:paraId="1A3D270A" w14:textId="77777777" w:rsidTr="00642E32">
        <w:tc>
          <w:tcPr>
            <w:tcW w:w="574" w:type="dxa"/>
            <w:shd w:val="clear" w:color="auto" w:fill="FFFFFF" w:themeFill="background1"/>
          </w:tcPr>
          <w:p w14:paraId="79469B0A"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2005</w:t>
            </w:r>
          </w:p>
        </w:tc>
        <w:tc>
          <w:tcPr>
            <w:tcW w:w="1127" w:type="dxa"/>
            <w:shd w:val="clear" w:color="auto" w:fill="FFFFFF" w:themeFill="background1"/>
          </w:tcPr>
          <w:p w14:paraId="24B6BECD"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4,926</w:t>
            </w:r>
          </w:p>
        </w:tc>
        <w:tc>
          <w:tcPr>
            <w:tcW w:w="1134" w:type="dxa"/>
            <w:shd w:val="clear" w:color="auto" w:fill="FFFFFF" w:themeFill="background1"/>
          </w:tcPr>
          <w:p w14:paraId="11C2952B"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309</w:t>
            </w:r>
          </w:p>
        </w:tc>
        <w:tc>
          <w:tcPr>
            <w:tcW w:w="1701" w:type="dxa"/>
            <w:shd w:val="clear" w:color="auto" w:fill="FFFFFF" w:themeFill="background1"/>
          </w:tcPr>
          <w:p w14:paraId="70E14C2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6,870</w:t>
            </w:r>
          </w:p>
        </w:tc>
        <w:tc>
          <w:tcPr>
            <w:tcW w:w="993" w:type="dxa"/>
            <w:shd w:val="clear" w:color="auto" w:fill="FFFFFF" w:themeFill="background1"/>
          </w:tcPr>
          <w:p w14:paraId="0E33D448"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200</w:t>
            </w:r>
          </w:p>
        </w:tc>
        <w:tc>
          <w:tcPr>
            <w:tcW w:w="1275" w:type="dxa"/>
            <w:shd w:val="clear" w:color="auto" w:fill="FFFFFF" w:themeFill="background1"/>
          </w:tcPr>
          <w:p w14:paraId="75638CB8"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2,703</w:t>
            </w:r>
          </w:p>
        </w:tc>
        <w:tc>
          <w:tcPr>
            <w:tcW w:w="1701" w:type="dxa"/>
            <w:shd w:val="clear" w:color="auto" w:fill="FFFFFF" w:themeFill="background1"/>
          </w:tcPr>
          <w:p w14:paraId="071A6263"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625,264</w:t>
            </w:r>
          </w:p>
        </w:tc>
      </w:tr>
      <w:tr w:rsidR="006929CB" w:rsidRPr="0018630D" w14:paraId="17197CCA" w14:textId="77777777" w:rsidTr="00642E32">
        <w:tc>
          <w:tcPr>
            <w:tcW w:w="574" w:type="dxa"/>
            <w:shd w:val="clear" w:color="auto" w:fill="FFFFFF" w:themeFill="background1"/>
          </w:tcPr>
          <w:p w14:paraId="370F7184"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2006</w:t>
            </w:r>
          </w:p>
        </w:tc>
        <w:tc>
          <w:tcPr>
            <w:tcW w:w="1127" w:type="dxa"/>
            <w:shd w:val="clear" w:color="auto" w:fill="FFFFFF" w:themeFill="background1"/>
          </w:tcPr>
          <w:p w14:paraId="6682A859"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2,122</w:t>
            </w:r>
          </w:p>
        </w:tc>
        <w:tc>
          <w:tcPr>
            <w:tcW w:w="1134" w:type="dxa"/>
            <w:shd w:val="clear" w:color="auto" w:fill="FFFFFF" w:themeFill="background1"/>
          </w:tcPr>
          <w:p w14:paraId="3D813E8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134</w:t>
            </w:r>
          </w:p>
        </w:tc>
        <w:tc>
          <w:tcPr>
            <w:tcW w:w="1701" w:type="dxa"/>
            <w:shd w:val="clear" w:color="auto" w:fill="FFFFFF" w:themeFill="background1"/>
          </w:tcPr>
          <w:p w14:paraId="224916A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7,851</w:t>
            </w:r>
          </w:p>
        </w:tc>
        <w:tc>
          <w:tcPr>
            <w:tcW w:w="993" w:type="dxa"/>
            <w:shd w:val="clear" w:color="auto" w:fill="FFFFFF" w:themeFill="background1"/>
          </w:tcPr>
          <w:p w14:paraId="68F74C20"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500</w:t>
            </w:r>
          </w:p>
        </w:tc>
        <w:tc>
          <w:tcPr>
            <w:tcW w:w="1275" w:type="dxa"/>
            <w:shd w:val="clear" w:color="auto" w:fill="FFFFFF" w:themeFill="background1"/>
          </w:tcPr>
          <w:p w14:paraId="723055B1"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2,317</w:t>
            </w:r>
          </w:p>
        </w:tc>
        <w:tc>
          <w:tcPr>
            <w:tcW w:w="1701" w:type="dxa"/>
            <w:shd w:val="clear" w:color="auto" w:fill="FFFFFF" w:themeFill="background1"/>
          </w:tcPr>
          <w:p w14:paraId="435460FC"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633,054</w:t>
            </w:r>
          </w:p>
        </w:tc>
      </w:tr>
      <w:tr w:rsidR="006929CB" w:rsidRPr="0018630D" w14:paraId="4861F94E" w14:textId="77777777" w:rsidTr="00642E32">
        <w:tc>
          <w:tcPr>
            <w:tcW w:w="574" w:type="dxa"/>
            <w:shd w:val="clear" w:color="auto" w:fill="FFFFFF" w:themeFill="background1"/>
          </w:tcPr>
          <w:p w14:paraId="47D511AC"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2007</w:t>
            </w:r>
          </w:p>
        </w:tc>
        <w:tc>
          <w:tcPr>
            <w:tcW w:w="1127" w:type="dxa"/>
            <w:shd w:val="clear" w:color="auto" w:fill="FFFFFF" w:themeFill="background1"/>
          </w:tcPr>
          <w:p w14:paraId="5413C77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1,959</w:t>
            </w:r>
          </w:p>
        </w:tc>
        <w:tc>
          <w:tcPr>
            <w:tcW w:w="1134" w:type="dxa"/>
            <w:shd w:val="clear" w:color="auto" w:fill="FFFFFF" w:themeFill="background1"/>
          </w:tcPr>
          <w:p w14:paraId="15D884E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124</w:t>
            </w:r>
          </w:p>
        </w:tc>
        <w:tc>
          <w:tcPr>
            <w:tcW w:w="1701" w:type="dxa"/>
            <w:shd w:val="clear" w:color="auto" w:fill="FFFFFF" w:themeFill="background1"/>
          </w:tcPr>
          <w:p w14:paraId="2E6FC692"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7,360</w:t>
            </w:r>
          </w:p>
        </w:tc>
        <w:tc>
          <w:tcPr>
            <w:tcW w:w="993" w:type="dxa"/>
            <w:shd w:val="clear" w:color="auto" w:fill="FFFFFF" w:themeFill="background1"/>
          </w:tcPr>
          <w:p w14:paraId="1121A669"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500</w:t>
            </w:r>
          </w:p>
        </w:tc>
        <w:tc>
          <w:tcPr>
            <w:tcW w:w="1275" w:type="dxa"/>
            <w:shd w:val="clear" w:color="auto" w:fill="FFFFFF" w:themeFill="background1"/>
          </w:tcPr>
          <w:p w14:paraId="52F9B5AD"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5,562</w:t>
            </w:r>
          </w:p>
        </w:tc>
        <w:tc>
          <w:tcPr>
            <w:tcW w:w="1701" w:type="dxa"/>
            <w:shd w:val="clear" w:color="auto" w:fill="FFFFFF" w:themeFill="background1"/>
          </w:tcPr>
          <w:p w14:paraId="50BB9C24"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636,936</w:t>
            </w:r>
          </w:p>
        </w:tc>
      </w:tr>
      <w:tr w:rsidR="006929CB" w:rsidRPr="0018630D" w14:paraId="2EE1D059" w14:textId="77777777" w:rsidTr="00642E32">
        <w:tc>
          <w:tcPr>
            <w:tcW w:w="574" w:type="dxa"/>
            <w:shd w:val="clear" w:color="auto" w:fill="FFFFFF" w:themeFill="background1"/>
          </w:tcPr>
          <w:p w14:paraId="71A5F236"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2008</w:t>
            </w:r>
          </w:p>
        </w:tc>
        <w:tc>
          <w:tcPr>
            <w:tcW w:w="1127" w:type="dxa"/>
            <w:shd w:val="clear" w:color="auto" w:fill="FFFFFF" w:themeFill="background1"/>
          </w:tcPr>
          <w:p w14:paraId="0649E966"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2,608</w:t>
            </w:r>
          </w:p>
        </w:tc>
        <w:tc>
          <w:tcPr>
            <w:tcW w:w="1134" w:type="dxa"/>
            <w:shd w:val="clear" w:color="auto" w:fill="FFFFFF" w:themeFill="background1"/>
          </w:tcPr>
          <w:p w14:paraId="5C8B9132"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169</w:t>
            </w:r>
          </w:p>
        </w:tc>
        <w:tc>
          <w:tcPr>
            <w:tcW w:w="1701" w:type="dxa"/>
            <w:shd w:val="clear" w:color="auto" w:fill="FFFFFF" w:themeFill="background1"/>
          </w:tcPr>
          <w:p w14:paraId="714E0C45"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1,765</w:t>
            </w:r>
          </w:p>
        </w:tc>
        <w:tc>
          <w:tcPr>
            <w:tcW w:w="993" w:type="dxa"/>
            <w:shd w:val="clear" w:color="auto" w:fill="FFFFFF" w:themeFill="background1"/>
          </w:tcPr>
          <w:p w14:paraId="5A399C7D"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571</w:t>
            </w:r>
          </w:p>
        </w:tc>
        <w:tc>
          <w:tcPr>
            <w:tcW w:w="1275" w:type="dxa"/>
            <w:shd w:val="clear" w:color="auto" w:fill="FFFFFF" w:themeFill="background1"/>
          </w:tcPr>
          <w:p w14:paraId="6F355720"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1,187</w:t>
            </w:r>
          </w:p>
        </w:tc>
        <w:tc>
          <w:tcPr>
            <w:tcW w:w="1701" w:type="dxa"/>
            <w:shd w:val="clear" w:color="auto" w:fill="FFFFFF" w:themeFill="background1"/>
          </w:tcPr>
          <w:p w14:paraId="6C5C6028"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640,290</w:t>
            </w:r>
          </w:p>
        </w:tc>
      </w:tr>
      <w:tr w:rsidR="006929CB" w:rsidRPr="0018630D" w14:paraId="36CB8C24" w14:textId="77777777" w:rsidTr="00642E32">
        <w:tc>
          <w:tcPr>
            <w:tcW w:w="574" w:type="dxa"/>
            <w:shd w:val="clear" w:color="auto" w:fill="FFFFFF" w:themeFill="background1"/>
          </w:tcPr>
          <w:p w14:paraId="2802BCE0"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2009</w:t>
            </w:r>
          </w:p>
        </w:tc>
        <w:tc>
          <w:tcPr>
            <w:tcW w:w="1127" w:type="dxa"/>
            <w:shd w:val="clear" w:color="auto" w:fill="FFFFFF" w:themeFill="background1"/>
          </w:tcPr>
          <w:p w14:paraId="0C14AF5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5,873</w:t>
            </w:r>
          </w:p>
        </w:tc>
        <w:tc>
          <w:tcPr>
            <w:tcW w:w="1134" w:type="dxa"/>
            <w:shd w:val="clear" w:color="auto" w:fill="FFFFFF" w:themeFill="background1"/>
          </w:tcPr>
          <w:p w14:paraId="1097B83C"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382</w:t>
            </w:r>
          </w:p>
        </w:tc>
        <w:tc>
          <w:tcPr>
            <w:tcW w:w="1701" w:type="dxa"/>
            <w:shd w:val="clear" w:color="auto" w:fill="FFFFFF" w:themeFill="background1"/>
          </w:tcPr>
          <w:p w14:paraId="2783938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1,722</w:t>
            </w:r>
          </w:p>
        </w:tc>
        <w:tc>
          <w:tcPr>
            <w:tcW w:w="993" w:type="dxa"/>
            <w:shd w:val="clear" w:color="auto" w:fill="FFFFFF" w:themeFill="background1"/>
          </w:tcPr>
          <w:p w14:paraId="7DBFE261"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707</w:t>
            </w:r>
          </w:p>
        </w:tc>
        <w:tc>
          <w:tcPr>
            <w:tcW w:w="1275" w:type="dxa"/>
            <w:shd w:val="clear" w:color="auto" w:fill="FFFFFF" w:themeFill="background1"/>
          </w:tcPr>
          <w:p w14:paraId="455CADDB"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2,078</w:t>
            </w:r>
          </w:p>
        </w:tc>
        <w:tc>
          <w:tcPr>
            <w:tcW w:w="1701" w:type="dxa"/>
            <w:shd w:val="clear" w:color="auto" w:fill="FFFFFF" w:themeFill="background1"/>
          </w:tcPr>
          <w:p w14:paraId="0F8685E6"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646,189</w:t>
            </w:r>
          </w:p>
        </w:tc>
      </w:tr>
      <w:tr w:rsidR="006929CB" w:rsidRPr="0018630D" w14:paraId="217783FE" w14:textId="77777777" w:rsidTr="00642E32">
        <w:tc>
          <w:tcPr>
            <w:tcW w:w="574" w:type="dxa"/>
            <w:shd w:val="clear" w:color="auto" w:fill="FFFFFF" w:themeFill="background1"/>
          </w:tcPr>
          <w:p w14:paraId="39CC14C6"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2010</w:t>
            </w:r>
          </w:p>
        </w:tc>
        <w:tc>
          <w:tcPr>
            <w:tcW w:w="1127" w:type="dxa"/>
            <w:shd w:val="clear" w:color="auto" w:fill="FFFFFF" w:themeFill="background1"/>
          </w:tcPr>
          <w:p w14:paraId="6545C5A5"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8,195</w:t>
            </w:r>
          </w:p>
        </w:tc>
        <w:tc>
          <w:tcPr>
            <w:tcW w:w="1134" w:type="dxa"/>
            <w:shd w:val="clear" w:color="auto" w:fill="FFFFFF" w:themeFill="background1"/>
          </w:tcPr>
          <w:p w14:paraId="40BC435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532</w:t>
            </w:r>
          </w:p>
        </w:tc>
        <w:tc>
          <w:tcPr>
            <w:tcW w:w="1701" w:type="dxa"/>
            <w:shd w:val="clear" w:color="auto" w:fill="FFFFFF" w:themeFill="background1"/>
          </w:tcPr>
          <w:p w14:paraId="1170A991"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1,722</w:t>
            </w:r>
          </w:p>
        </w:tc>
        <w:tc>
          <w:tcPr>
            <w:tcW w:w="993" w:type="dxa"/>
            <w:shd w:val="clear" w:color="auto" w:fill="FFFFFF" w:themeFill="background1"/>
          </w:tcPr>
          <w:p w14:paraId="2A25D94C"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1,208</w:t>
            </w:r>
          </w:p>
        </w:tc>
        <w:tc>
          <w:tcPr>
            <w:tcW w:w="1275" w:type="dxa"/>
            <w:shd w:val="clear" w:color="auto" w:fill="FFFFFF" w:themeFill="background1"/>
          </w:tcPr>
          <w:p w14:paraId="090E063D"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1,775</w:t>
            </w:r>
          </w:p>
        </w:tc>
        <w:tc>
          <w:tcPr>
            <w:tcW w:w="1701" w:type="dxa"/>
            <w:shd w:val="clear" w:color="auto" w:fill="FFFFFF" w:themeFill="background1"/>
          </w:tcPr>
          <w:p w14:paraId="7A120C87"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654,864</w:t>
            </w:r>
          </w:p>
        </w:tc>
      </w:tr>
      <w:tr w:rsidR="006929CB" w:rsidRPr="0018630D" w14:paraId="2EC26A4F" w14:textId="77777777" w:rsidTr="00642E32">
        <w:tc>
          <w:tcPr>
            <w:tcW w:w="574" w:type="dxa"/>
            <w:shd w:val="clear" w:color="auto" w:fill="FFFFFF" w:themeFill="background1"/>
          </w:tcPr>
          <w:p w14:paraId="010F5EF3"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2011</w:t>
            </w:r>
          </w:p>
        </w:tc>
        <w:tc>
          <w:tcPr>
            <w:tcW w:w="1127" w:type="dxa"/>
            <w:shd w:val="clear" w:color="auto" w:fill="FFFFFF" w:themeFill="background1"/>
          </w:tcPr>
          <w:p w14:paraId="45BA422E"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16,389</w:t>
            </w:r>
          </w:p>
        </w:tc>
        <w:tc>
          <w:tcPr>
            <w:tcW w:w="1134" w:type="dxa"/>
            <w:shd w:val="clear" w:color="auto" w:fill="FFFFFF" w:themeFill="background1"/>
          </w:tcPr>
          <w:p w14:paraId="1589B781"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1,065</w:t>
            </w:r>
          </w:p>
        </w:tc>
        <w:tc>
          <w:tcPr>
            <w:tcW w:w="1701" w:type="dxa"/>
            <w:shd w:val="clear" w:color="auto" w:fill="FFFFFF" w:themeFill="background1"/>
          </w:tcPr>
          <w:p w14:paraId="5F51982B"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1,722</w:t>
            </w:r>
          </w:p>
        </w:tc>
        <w:tc>
          <w:tcPr>
            <w:tcW w:w="993" w:type="dxa"/>
            <w:shd w:val="clear" w:color="auto" w:fill="FFFFFF" w:themeFill="background1"/>
          </w:tcPr>
          <w:p w14:paraId="58478E53"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1,555</w:t>
            </w:r>
          </w:p>
        </w:tc>
        <w:tc>
          <w:tcPr>
            <w:tcW w:w="1275" w:type="dxa"/>
            <w:shd w:val="clear" w:color="auto" w:fill="FFFFFF" w:themeFill="background1"/>
          </w:tcPr>
          <w:p w14:paraId="4C2BE4C9"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2,269</w:t>
            </w:r>
          </w:p>
        </w:tc>
        <w:tc>
          <w:tcPr>
            <w:tcW w:w="1701" w:type="dxa"/>
            <w:shd w:val="clear" w:color="auto" w:fill="FFFFFF" w:themeFill="background1"/>
          </w:tcPr>
          <w:p w14:paraId="4AF4DCAB"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671,771</w:t>
            </w:r>
          </w:p>
        </w:tc>
      </w:tr>
      <w:tr w:rsidR="006929CB" w:rsidRPr="0018630D" w14:paraId="703A05E1" w14:textId="77777777" w:rsidTr="00642E32">
        <w:tc>
          <w:tcPr>
            <w:tcW w:w="574" w:type="dxa"/>
            <w:shd w:val="clear" w:color="auto" w:fill="FFFFFF" w:themeFill="background1"/>
          </w:tcPr>
          <w:p w14:paraId="73751889"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2012</w:t>
            </w:r>
          </w:p>
        </w:tc>
        <w:tc>
          <w:tcPr>
            <w:tcW w:w="1127" w:type="dxa"/>
            <w:shd w:val="clear" w:color="auto" w:fill="FFFFFF" w:themeFill="background1"/>
          </w:tcPr>
          <w:p w14:paraId="6E3B36AE"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15,706</w:t>
            </w:r>
          </w:p>
        </w:tc>
        <w:tc>
          <w:tcPr>
            <w:tcW w:w="1134" w:type="dxa"/>
            <w:shd w:val="clear" w:color="auto" w:fill="FFFFFF" w:themeFill="background1"/>
          </w:tcPr>
          <w:p w14:paraId="70AD953D"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1,020</w:t>
            </w:r>
          </w:p>
        </w:tc>
        <w:tc>
          <w:tcPr>
            <w:tcW w:w="1701" w:type="dxa"/>
            <w:shd w:val="clear" w:color="auto" w:fill="FFFFFF" w:themeFill="background1"/>
          </w:tcPr>
          <w:p w14:paraId="4E4331E1"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1,722</w:t>
            </w:r>
          </w:p>
        </w:tc>
        <w:tc>
          <w:tcPr>
            <w:tcW w:w="993" w:type="dxa"/>
            <w:shd w:val="clear" w:color="auto" w:fill="FFFFFF" w:themeFill="background1"/>
          </w:tcPr>
          <w:p w14:paraId="02DD7429"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1,195</w:t>
            </w:r>
          </w:p>
        </w:tc>
        <w:tc>
          <w:tcPr>
            <w:tcW w:w="1275" w:type="dxa"/>
            <w:shd w:val="clear" w:color="auto" w:fill="FFFFFF" w:themeFill="background1"/>
          </w:tcPr>
          <w:p w14:paraId="04BE0032"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1,745</w:t>
            </w:r>
          </w:p>
        </w:tc>
        <w:tc>
          <w:tcPr>
            <w:tcW w:w="1701" w:type="dxa"/>
            <w:shd w:val="clear" w:color="auto" w:fill="FFFFFF" w:themeFill="background1"/>
          </w:tcPr>
          <w:p w14:paraId="081A3398"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688,475</w:t>
            </w:r>
          </w:p>
        </w:tc>
      </w:tr>
      <w:tr w:rsidR="006929CB" w:rsidRPr="0018630D" w14:paraId="5CFA4867" w14:textId="77777777" w:rsidTr="00642E32">
        <w:tc>
          <w:tcPr>
            <w:tcW w:w="574" w:type="dxa"/>
            <w:shd w:val="clear" w:color="auto" w:fill="FFFFFF" w:themeFill="background1"/>
          </w:tcPr>
          <w:p w14:paraId="7D00781B"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2013</w:t>
            </w:r>
          </w:p>
        </w:tc>
        <w:tc>
          <w:tcPr>
            <w:tcW w:w="1127" w:type="dxa"/>
            <w:shd w:val="clear" w:color="auto" w:fill="FFFFFF" w:themeFill="background1"/>
          </w:tcPr>
          <w:p w14:paraId="160CA85C"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5,884</w:t>
            </w:r>
          </w:p>
        </w:tc>
        <w:tc>
          <w:tcPr>
            <w:tcW w:w="1134" w:type="dxa"/>
            <w:shd w:val="clear" w:color="auto" w:fill="FFFFFF" w:themeFill="background1"/>
          </w:tcPr>
          <w:p w14:paraId="7EA39155"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377</w:t>
            </w:r>
          </w:p>
        </w:tc>
        <w:tc>
          <w:tcPr>
            <w:tcW w:w="1701" w:type="dxa"/>
            <w:shd w:val="clear" w:color="auto" w:fill="FFFFFF" w:themeFill="background1"/>
          </w:tcPr>
          <w:p w14:paraId="640B67C2"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2,120</w:t>
            </w:r>
          </w:p>
        </w:tc>
        <w:tc>
          <w:tcPr>
            <w:tcW w:w="993" w:type="dxa"/>
            <w:shd w:val="clear" w:color="auto" w:fill="FFFFFF" w:themeFill="background1"/>
          </w:tcPr>
          <w:p w14:paraId="24985D50"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3,099</w:t>
            </w:r>
          </w:p>
        </w:tc>
        <w:tc>
          <w:tcPr>
            <w:tcW w:w="1275" w:type="dxa"/>
            <w:shd w:val="clear" w:color="auto" w:fill="FFFFFF" w:themeFill="background1"/>
          </w:tcPr>
          <w:p w14:paraId="044085C1"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2,949</w:t>
            </w:r>
          </w:p>
        </w:tc>
        <w:tc>
          <w:tcPr>
            <w:tcW w:w="1701" w:type="dxa"/>
            <w:shd w:val="clear" w:color="auto" w:fill="FFFFFF" w:themeFill="background1"/>
          </w:tcPr>
          <w:p w14:paraId="3A57FFB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693,906</w:t>
            </w:r>
          </w:p>
        </w:tc>
      </w:tr>
      <w:tr w:rsidR="006929CB" w:rsidRPr="0018630D" w14:paraId="025B387C" w14:textId="77777777" w:rsidTr="00642E32">
        <w:tc>
          <w:tcPr>
            <w:tcW w:w="574" w:type="dxa"/>
            <w:shd w:val="clear" w:color="auto" w:fill="FFFFFF" w:themeFill="background1"/>
          </w:tcPr>
          <w:p w14:paraId="08B87C5A"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2014</w:t>
            </w:r>
          </w:p>
        </w:tc>
        <w:tc>
          <w:tcPr>
            <w:tcW w:w="1127" w:type="dxa"/>
            <w:shd w:val="clear" w:color="auto" w:fill="FFFFFF" w:themeFill="background1"/>
          </w:tcPr>
          <w:p w14:paraId="28872F83"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4,436</w:t>
            </w:r>
          </w:p>
        </w:tc>
        <w:tc>
          <w:tcPr>
            <w:tcW w:w="1134" w:type="dxa"/>
            <w:shd w:val="clear" w:color="auto" w:fill="FFFFFF" w:themeFill="background1"/>
          </w:tcPr>
          <w:p w14:paraId="65366B83"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288</w:t>
            </w:r>
          </w:p>
        </w:tc>
        <w:tc>
          <w:tcPr>
            <w:tcW w:w="1701" w:type="dxa"/>
            <w:shd w:val="clear" w:color="auto" w:fill="FFFFFF" w:themeFill="background1"/>
          </w:tcPr>
          <w:p w14:paraId="73C75FE5"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2,116</w:t>
            </w:r>
          </w:p>
        </w:tc>
        <w:tc>
          <w:tcPr>
            <w:tcW w:w="993" w:type="dxa"/>
            <w:shd w:val="clear" w:color="auto" w:fill="FFFFFF" w:themeFill="background1"/>
          </w:tcPr>
          <w:p w14:paraId="42B6D631"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2,467</w:t>
            </w:r>
          </w:p>
        </w:tc>
        <w:tc>
          <w:tcPr>
            <w:tcW w:w="1275" w:type="dxa"/>
            <w:shd w:val="clear" w:color="auto" w:fill="FFFFFF" w:themeFill="background1"/>
          </w:tcPr>
          <w:p w14:paraId="7B43F555"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3,537</w:t>
            </w:r>
          </w:p>
        </w:tc>
        <w:tc>
          <w:tcPr>
            <w:tcW w:w="1701" w:type="dxa"/>
            <w:shd w:val="clear" w:color="auto" w:fill="FFFFFF" w:themeFill="background1"/>
          </w:tcPr>
          <w:p w14:paraId="7927AE6B"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697,210</w:t>
            </w:r>
          </w:p>
        </w:tc>
      </w:tr>
      <w:tr w:rsidR="006929CB" w:rsidRPr="0018630D" w14:paraId="6248FC8D" w14:textId="77777777" w:rsidTr="00642E32">
        <w:tc>
          <w:tcPr>
            <w:tcW w:w="574" w:type="dxa"/>
            <w:shd w:val="clear" w:color="auto" w:fill="FFFFFF" w:themeFill="background1"/>
          </w:tcPr>
          <w:p w14:paraId="00929909"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2015</w:t>
            </w:r>
          </w:p>
        </w:tc>
        <w:tc>
          <w:tcPr>
            <w:tcW w:w="1127" w:type="dxa"/>
            <w:shd w:val="clear" w:color="auto" w:fill="FFFFFF" w:themeFill="background1"/>
          </w:tcPr>
          <w:p w14:paraId="1305934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4,439</w:t>
            </w:r>
          </w:p>
        </w:tc>
        <w:tc>
          <w:tcPr>
            <w:tcW w:w="1134" w:type="dxa"/>
            <w:shd w:val="clear" w:color="auto" w:fill="FFFFFF" w:themeFill="background1"/>
          </w:tcPr>
          <w:p w14:paraId="57F03E04"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288</w:t>
            </w:r>
          </w:p>
        </w:tc>
        <w:tc>
          <w:tcPr>
            <w:tcW w:w="1701" w:type="dxa"/>
            <w:shd w:val="clear" w:color="auto" w:fill="FFFFFF" w:themeFill="background1"/>
          </w:tcPr>
          <w:p w14:paraId="3687F8C0"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2,116</w:t>
            </w:r>
          </w:p>
        </w:tc>
        <w:tc>
          <w:tcPr>
            <w:tcW w:w="993" w:type="dxa"/>
            <w:shd w:val="clear" w:color="auto" w:fill="FFFFFF" w:themeFill="background1"/>
          </w:tcPr>
          <w:p w14:paraId="195EACE1"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3,671</w:t>
            </w:r>
          </w:p>
        </w:tc>
        <w:tc>
          <w:tcPr>
            <w:tcW w:w="1275" w:type="dxa"/>
            <w:shd w:val="clear" w:color="auto" w:fill="FFFFFF" w:themeFill="background1"/>
          </w:tcPr>
          <w:p w14:paraId="601AE005"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2,794</w:t>
            </w:r>
          </w:p>
        </w:tc>
        <w:tc>
          <w:tcPr>
            <w:tcW w:w="1701" w:type="dxa"/>
            <w:shd w:val="clear" w:color="auto" w:fill="FFFFFF" w:themeFill="background1"/>
          </w:tcPr>
          <w:p w14:paraId="02110712"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701,259</w:t>
            </w:r>
          </w:p>
        </w:tc>
      </w:tr>
      <w:tr w:rsidR="006929CB" w:rsidRPr="0018630D" w14:paraId="3FB4CE44" w14:textId="77777777" w:rsidTr="00642E32">
        <w:tc>
          <w:tcPr>
            <w:tcW w:w="574" w:type="dxa"/>
            <w:shd w:val="clear" w:color="auto" w:fill="FFFFFF" w:themeFill="background1"/>
          </w:tcPr>
          <w:p w14:paraId="250DA437"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2016</w:t>
            </w:r>
          </w:p>
        </w:tc>
        <w:tc>
          <w:tcPr>
            <w:tcW w:w="1127" w:type="dxa"/>
            <w:shd w:val="clear" w:color="auto" w:fill="FFFFFF" w:themeFill="background1"/>
          </w:tcPr>
          <w:p w14:paraId="1761872F"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2,133</w:t>
            </w:r>
          </w:p>
        </w:tc>
        <w:tc>
          <w:tcPr>
            <w:tcW w:w="1134" w:type="dxa"/>
            <w:shd w:val="clear" w:color="auto" w:fill="FFFFFF" w:themeFill="background1"/>
          </w:tcPr>
          <w:p w14:paraId="138BC834"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137</w:t>
            </w:r>
          </w:p>
        </w:tc>
        <w:tc>
          <w:tcPr>
            <w:tcW w:w="1701" w:type="dxa"/>
            <w:shd w:val="clear" w:color="auto" w:fill="FFFFFF" w:themeFill="background1"/>
          </w:tcPr>
          <w:p w14:paraId="748C3A38"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2,116</w:t>
            </w:r>
          </w:p>
        </w:tc>
        <w:tc>
          <w:tcPr>
            <w:tcW w:w="993" w:type="dxa"/>
            <w:shd w:val="clear" w:color="auto" w:fill="FFFFFF" w:themeFill="background1"/>
          </w:tcPr>
          <w:p w14:paraId="42A2738D"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5,653</w:t>
            </w:r>
          </w:p>
        </w:tc>
        <w:tc>
          <w:tcPr>
            <w:tcW w:w="1275" w:type="dxa"/>
            <w:shd w:val="clear" w:color="auto" w:fill="FFFFFF" w:themeFill="background1"/>
          </w:tcPr>
          <w:p w14:paraId="6D37AFC7"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3,859</w:t>
            </w:r>
          </w:p>
        </w:tc>
        <w:tc>
          <w:tcPr>
            <w:tcW w:w="1701" w:type="dxa"/>
            <w:shd w:val="clear" w:color="auto" w:fill="FFFFFF" w:themeFill="background1"/>
          </w:tcPr>
          <w:p w14:paraId="0C5F510B"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701,785</w:t>
            </w:r>
          </w:p>
        </w:tc>
      </w:tr>
      <w:tr w:rsidR="006929CB" w:rsidRPr="0018630D" w14:paraId="6F8CDD46" w14:textId="77777777" w:rsidTr="00642E32">
        <w:tc>
          <w:tcPr>
            <w:tcW w:w="574" w:type="dxa"/>
            <w:shd w:val="clear" w:color="auto" w:fill="FFFFFF" w:themeFill="background1"/>
          </w:tcPr>
          <w:p w14:paraId="1659D42F"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2017</w:t>
            </w:r>
          </w:p>
        </w:tc>
        <w:tc>
          <w:tcPr>
            <w:tcW w:w="1127" w:type="dxa"/>
            <w:shd w:val="clear" w:color="auto" w:fill="FFFFFF" w:themeFill="background1"/>
          </w:tcPr>
          <w:p w14:paraId="0F2DBB83"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4,632</w:t>
            </w:r>
          </w:p>
        </w:tc>
        <w:tc>
          <w:tcPr>
            <w:tcW w:w="1134" w:type="dxa"/>
            <w:shd w:val="clear" w:color="auto" w:fill="FFFFFF" w:themeFill="background1"/>
          </w:tcPr>
          <w:p w14:paraId="687F390D"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301</w:t>
            </w:r>
          </w:p>
        </w:tc>
        <w:tc>
          <w:tcPr>
            <w:tcW w:w="1701" w:type="dxa"/>
            <w:shd w:val="clear" w:color="auto" w:fill="FFFFFF" w:themeFill="background1"/>
          </w:tcPr>
          <w:p w14:paraId="73BC84DB"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4,687</w:t>
            </w:r>
          </w:p>
        </w:tc>
        <w:tc>
          <w:tcPr>
            <w:tcW w:w="993" w:type="dxa"/>
            <w:shd w:val="clear" w:color="auto" w:fill="FFFFFF" w:themeFill="background1"/>
          </w:tcPr>
          <w:p w14:paraId="2241BD4C"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9,924</w:t>
            </w:r>
          </w:p>
        </w:tc>
        <w:tc>
          <w:tcPr>
            <w:tcW w:w="1275" w:type="dxa"/>
            <w:shd w:val="clear" w:color="auto" w:fill="FFFFFF" w:themeFill="background1"/>
          </w:tcPr>
          <w:p w14:paraId="4F07CA46"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4,773</w:t>
            </w:r>
          </w:p>
        </w:tc>
        <w:tc>
          <w:tcPr>
            <w:tcW w:w="1701" w:type="dxa"/>
            <w:shd w:val="clear" w:color="auto" w:fill="FFFFFF" w:themeFill="background1"/>
          </w:tcPr>
          <w:p w14:paraId="78E7CC13"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706,632</w:t>
            </w:r>
          </w:p>
        </w:tc>
      </w:tr>
      <w:tr w:rsidR="006929CB" w:rsidRPr="0018630D" w14:paraId="02A1ABC7" w14:textId="77777777" w:rsidTr="00642E32">
        <w:tc>
          <w:tcPr>
            <w:tcW w:w="574" w:type="dxa"/>
            <w:shd w:val="clear" w:color="auto" w:fill="FFFFFF" w:themeFill="background1"/>
          </w:tcPr>
          <w:p w14:paraId="0A11C7AF"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2018</w:t>
            </w:r>
          </w:p>
        </w:tc>
        <w:tc>
          <w:tcPr>
            <w:tcW w:w="1127" w:type="dxa"/>
            <w:shd w:val="clear" w:color="auto" w:fill="FFFFFF" w:themeFill="background1"/>
          </w:tcPr>
          <w:p w14:paraId="672644C9"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5,489</w:t>
            </w:r>
          </w:p>
        </w:tc>
        <w:tc>
          <w:tcPr>
            <w:tcW w:w="1134" w:type="dxa"/>
            <w:shd w:val="clear" w:color="auto" w:fill="FFFFFF" w:themeFill="background1"/>
          </w:tcPr>
          <w:p w14:paraId="4229C669"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357</w:t>
            </w:r>
          </w:p>
        </w:tc>
        <w:tc>
          <w:tcPr>
            <w:tcW w:w="1701" w:type="dxa"/>
            <w:shd w:val="clear" w:color="auto" w:fill="FFFFFF" w:themeFill="background1"/>
          </w:tcPr>
          <w:p w14:paraId="57AD797E"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4,108</w:t>
            </w:r>
          </w:p>
        </w:tc>
        <w:tc>
          <w:tcPr>
            <w:tcW w:w="993" w:type="dxa"/>
            <w:shd w:val="clear" w:color="auto" w:fill="FFFFFF" w:themeFill="background1"/>
          </w:tcPr>
          <w:p w14:paraId="351ABE53"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14,806</w:t>
            </w:r>
          </w:p>
        </w:tc>
        <w:tc>
          <w:tcPr>
            <w:tcW w:w="1275" w:type="dxa"/>
            <w:shd w:val="clear" w:color="auto" w:fill="FFFFFF" w:themeFill="background1"/>
          </w:tcPr>
          <w:p w14:paraId="5E04510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4,861</w:t>
            </w:r>
          </w:p>
        </w:tc>
        <w:tc>
          <w:tcPr>
            <w:tcW w:w="1701" w:type="dxa"/>
            <w:shd w:val="clear" w:color="auto" w:fill="FFFFFF" w:themeFill="background1"/>
          </w:tcPr>
          <w:p w14:paraId="66A5D322"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711,725</w:t>
            </w:r>
          </w:p>
        </w:tc>
      </w:tr>
      <w:tr w:rsidR="006929CB" w:rsidRPr="0018630D" w14:paraId="0C974E62" w14:textId="77777777" w:rsidTr="00642E32">
        <w:tc>
          <w:tcPr>
            <w:tcW w:w="574" w:type="dxa"/>
            <w:shd w:val="clear" w:color="auto" w:fill="FFFFFF" w:themeFill="background1"/>
          </w:tcPr>
          <w:p w14:paraId="0F479E67"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2019</w:t>
            </w:r>
          </w:p>
        </w:tc>
        <w:tc>
          <w:tcPr>
            <w:tcW w:w="1127" w:type="dxa"/>
            <w:shd w:val="clear" w:color="auto" w:fill="FFFFFF" w:themeFill="background1"/>
          </w:tcPr>
          <w:p w14:paraId="4994963C"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19,552</w:t>
            </w:r>
          </w:p>
        </w:tc>
        <w:tc>
          <w:tcPr>
            <w:tcW w:w="1134" w:type="dxa"/>
            <w:shd w:val="clear" w:color="auto" w:fill="FFFFFF" w:themeFill="background1"/>
          </w:tcPr>
          <w:p w14:paraId="64544AD8"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1,269</w:t>
            </w:r>
          </w:p>
        </w:tc>
        <w:tc>
          <w:tcPr>
            <w:tcW w:w="1701" w:type="dxa"/>
            <w:shd w:val="clear" w:color="auto" w:fill="FFFFFF" w:themeFill="background1"/>
          </w:tcPr>
          <w:p w14:paraId="10C83283"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5,242</w:t>
            </w:r>
          </w:p>
        </w:tc>
        <w:tc>
          <w:tcPr>
            <w:tcW w:w="993" w:type="dxa"/>
            <w:shd w:val="clear" w:color="auto" w:fill="FFFFFF" w:themeFill="background1"/>
          </w:tcPr>
          <w:p w14:paraId="6B469099"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17,239</w:t>
            </w:r>
          </w:p>
        </w:tc>
        <w:tc>
          <w:tcPr>
            <w:tcW w:w="1275" w:type="dxa"/>
            <w:shd w:val="clear" w:color="auto" w:fill="FFFFFF" w:themeFill="background1"/>
          </w:tcPr>
          <w:p w14:paraId="0D262297"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2,736</w:t>
            </w:r>
          </w:p>
        </w:tc>
        <w:tc>
          <w:tcPr>
            <w:tcW w:w="1701" w:type="dxa"/>
            <w:shd w:val="clear" w:color="auto" w:fill="FFFFFF" w:themeFill="background1"/>
          </w:tcPr>
          <w:p w14:paraId="0B09A8A4"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735,053</w:t>
            </w:r>
          </w:p>
        </w:tc>
      </w:tr>
      <w:tr w:rsidR="006929CB" w:rsidRPr="0018630D" w14:paraId="5D19D874" w14:textId="77777777" w:rsidTr="00642E32">
        <w:tc>
          <w:tcPr>
            <w:tcW w:w="574" w:type="dxa"/>
            <w:shd w:val="clear" w:color="auto" w:fill="FFFFFF" w:themeFill="background1"/>
          </w:tcPr>
          <w:p w14:paraId="23A6BEEC"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2020</w:t>
            </w:r>
          </w:p>
        </w:tc>
        <w:tc>
          <w:tcPr>
            <w:tcW w:w="1127" w:type="dxa"/>
            <w:shd w:val="clear" w:color="auto" w:fill="FFFFFF" w:themeFill="background1"/>
          </w:tcPr>
          <w:p w14:paraId="4EF73BD9"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35,968</w:t>
            </w:r>
          </w:p>
        </w:tc>
        <w:tc>
          <w:tcPr>
            <w:tcW w:w="1134" w:type="dxa"/>
            <w:shd w:val="clear" w:color="auto" w:fill="FFFFFF" w:themeFill="background1"/>
          </w:tcPr>
          <w:p w14:paraId="7DBFE50C"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2,336</w:t>
            </w:r>
          </w:p>
        </w:tc>
        <w:tc>
          <w:tcPr>
            <w:tcW w:w="1701" w:type="dxa"/>
            <w:shd w:val="clear" w:color="auto" w:fill="FFFFFF" w:themeFill="background1"/>
          </w:tcPr>
          <w:p w14:paraId="45C2E8CE"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4,909</w:t>
            </w:r>
          </w:p>
        </w:tc>
        <w:tc>
          <w:tcPr>
            <w:tcW w:w="993" w:type="dxa"/>
            <w:shd w:val="clear" w:color="auto" w:fill="FFFFFF" w:themeFill="background1"/>
          </w:tcPr>
          <w:p w14:paraId="616A12F5"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18,875</w:t>
            </w:r>
          </w:p>
        </w:tc>
        <w:tc>
          <w:tcPr>
            <w:tcW w:w="1275" w:type="dxa"/>
            <w:shd w:val="clear" w:color="auto" w:fill="FFFFFF" w:themeFill="background1"/>
          </w:tcPr>
          <w:p w14:paraId="3D661EF7"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4,710</w:t>
            </w:r>
          </w:p>
        </w:tc>
        <w:tc>
          <w:tcPr>
            <w:tcW w:w="1701" w:type="dxa"/>
            <w:shd w:val="clear" w:color="auto" w:fill="FFFFFF" w:themeFill="background1"/>
          </w:tcPr>
          <w:p w14:paraId="11BEBB08"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773,556</w:t>
            </w:r>
          </w:p>
        </w:tc>
      </w:tr>
      <w:tr w:rsidR="006929CB" w:rsidRPr="0018630D" w14:paraId="3B4774D8" w14:textId="77777777" w:rsidTr="00642E32">
        <w:tc>
          <w:tcPr>
            <w:tcW w:w="574" w:type="dxa"/>
            <w:shd w:val="clear" w:color="auto" w:fill="FFFFFF" w:themeFill="background1"/>
          </w:tcPr>
          <w:p w14:paraId="4391BCF9"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2021</w:t>
            </w:r>
          </w:p>
        </w:tc>
        <w:tc>
          <w:tcPr>
            <w:tcW w:w="1127" w:type="dxa"/>
            <w:shd w:val="clear" w:color="auto" w:fill="FFFFFF" w:themeFill="background1"/>
          </w:tcPr>
          <w:p w14:paraId="490B6656"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48,003</w:t>
            </w:r>
          </w:p>
        </w:tc>
        <w:tc>
          <w:tcPr>
            <w:tcW w:w="1134" w:type="dxa"/>
            <w:shd w:val="clear" w:color="auto" w:fill="FFFFFF" w:themeFill="background1"/>
          </w:tcPr>
          <w:p w14:paraId="5561CED4"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3,118</w:t>
            </w:r>
          </w:p>
        </w:tc>
        <w:tc>
          <w:tcPr>
            <w:tcW w:w="1701" w:type="dxa"/>
            <w:shd w:val="clear" w:color="auto" w:fill="FFFFFF" w:themeFill="background1"/>
          </w:tcPr>
          <w:p w14:paraId="24486FD6"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3,947</w:t>
            </w:r>
          </w:p>
        </w:tc>
        <w:tc>
          <w:tcPr>
            <w:tcW w:w="993" w:type="dxa"/>
            <w:shd w:val="clear" w:color="auto" w:fill="FFFFFF" w:themeFill="background1"/>
          </w:tcPr>
          <w:p w14:paraId="09F72FE6"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19,557</w:t>
            </w:r>
          </w:p>
        </w:tc>
        <w:tc>
          <w:tcPr>
            <w:tcW w:w="1275" w:type="dxa"/>
            <w:shd w:val="clear" w:color="auto" w:fill="FFFFFF" w:themeFill="background1"/>
          </w:tcPr>
          <w:p w14:paraId="6AF54525"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2,674</w:t>
            </w:r>
            <w:r w:rsidRPr="0018630D">
              <w:rPr>
                <w:rFonts w:asciiTheme="minorHAnsi" w:eastAsia="Calibri" w:hAnsiTheme="minorHAnsi" w:cstheme="minorHAnsi"/>
                <w:szCs w:val="18"/>
                <w:vertAlign w:val="superscript"/>
              </w:rPr>
              <w:t>P</w:t>
            </w:r>
          </w:p>
        </w:tc>
        <w:tc>
          <w:tcPr>
            <w:tcW w:w="1701" w:type="dxa"/>
            <w:shd w:val="clear" w:color="auto" w:fill="FFFFFF" w:themeFill="background1"/>
          </w:tcPr>
          <w:p w14:paraId="5E6A9E4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825,951</w:t>
            </w:r>
          </w:p>
        </w:tc>
      </w:tr>
      <w:tr w:rsidR="006929CB" w:rsidRPr="0018630D" w14:paraId="36464180" w14:textId="77777777" w:rsidTr="00642E32">
        <w:tc>
          <w:tcPr>
            <w:tcW w:w="574" w:type="dxa"/>
            <w:shd w:val="clear" w:color="auto" w:fill="FFFFFF" w:themeFill="background1"/>
          </w:tcPr>
          <w:p w14:paraId="3F5A54E4" w14:textId="77777777" w:rsidR="006929CB" w:rsidRPr="0018630D" w:rsidRDefault="006929CB">
            <w:pPr>
              <w:pStyle w:val="TableText"/>
              <w:spacing w:before="40" w:after="40"/>
              <w:rPr>
                <w:rFonts w:asciiTheme="minorHAnsi" w:hAnsiTheme="minorHAnsi" w:cstheme="minorHAnsi"/>
                <w:szCs w:val="18"/>
              </w:rPr>
            </w:pPr>
            <w:r w:rsidRPr="0018630D">
              <w:rPr>
                <w:rFonts w:asciiTheme="minorHAnsi" w:eastAsia="Calibri" w:hAnsiTheme="minorHAnsi" w:cstheme="minorHAnsi"/>
                <w:szCs w:val="18"/>
              </w:rPr>
              <w:t>2022</w:t>
            </w:r>
          </w:p>
        </w:tc>
        <w:tc>
          <w:tcPr>
            <w:tcW w:w="1127" w:type="dxa"/>
            <w:shd w:val="clear" w:color="auto" w:fill="FFFFFF" w:themeFill="background1"/>
          </w:tcPr>
          <w:p w14:paraId="0777812E"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74,710</w:t>
            </w:r>
          </w:p>
        </w:tc>
        <w:tc>
          <w:tcPr>
            <w:tcW w:w="1134" w:type="dxa"/>
            <w:shd w:val="clear" w:color="auto" w:fill="FFFFFF" w:themeFill="background1"/>
          </w:tcPr>
          <w:p w14:paraId="0EA366BB"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4,853</w:t>
            </w:r>
          </w:p>
        </w:tc>
        <w:tc>
          <w:tcPr>
            <w:tcW w:w="1701" w:type="dxa"/>
            <w:shd w:val="clear" w:color="auto" w:fill="FFFFFF" w:themeFill="background1"/>
          </w:tcPr>
          <w:p w14:paraId="2DA8BD12"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6,874</w:t>
            </w:r>
          </w:p>
        </w:tc>
        <w:tc>
          <w:tcPr>
            <w:tcW w:w="993" w:type="dxa"/>
            <w:shd w:val="clear" w:color="auto" w:fill="FFFFFF" w:themeFill="background1"/>
          </w:tcPr>
          <w:p w14:paraId="3D6A2AAA"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21,428</w:t>
            </w:r>
          </w:p>
        </w:tc>
        <w:tc>
          <w:tcPr>
            <w:tcW w:w="1275" w:type="dxa"/>
            <w:shd w:val="clear" w:color="auto" w:fill="FFFFFF" w:themeFill="background1"/>
          </w:tcPr>
          <w:p w14:paraId="2CF38E68"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3,258</w:t>
            </w:r>
            <w:r w:rsidRPr="0018630D">
              <w:rPr>
                <w:rFonts w:asciiTheme="minorHAnsi" w:eastAsia="Calibri" w:hAnsiTheme="minorHAnsi" w:cstheme="minorHAnsi"/>
                <w:szCs w:val="18"/>
                <w:vertAlign w:val="superscript"/>
              </w:rPr>
              <w:t>P</w:t>
            </w:r>
          </w:p>
        </w:tc>
        <w:tc>
          <w:tcPr>
            <w:tcW w:w="1701" w:type="dxa"/>
            <w:shd w:val="clear" w:color="auto" w:fill="FFFFFF" w:themeFill="background1"/>
          </w:tcPr>
          <w:p w14:paraId="16AAECAC" w14:textId="77777777" w:rsidR="006929CB" w:rsidRPr="0018630D" w:rsidRDefault="006929CB">
            <w:pPr>
              <w:pStyle w:val="TableText"/>
              <w:spacing w:before="40" w:after="40"/>
              <w:jc w:val="right"/>
              <w:rPr>
                <w:rFonts w:asciiTheme="minorHAnsi" w:hAnsiTheme="minorHAnsi" w:cstheme="minorHAnsi"/>
                <w:szCs w:val="18"/>
              </w:rPr>
            </w:pPr>
            <w:r w:rsidRPr="0018630D">
              <w:rPr>
                <w:rFonts w:asciiTheme="minorHAnsi" w:eastAsia="Calibri" w:hAnsiTheme="minorHAnsi" w:cstheme="minorHAnsi"/>
                <w:szCs w:val="18"/>
              </w:rPr>
              <w:t>909,130</w:t>
            </w:r>
          </w:p>
        </w:tc>
      </w:tr>
      <w:tr w:rsidR="006929CB" w:rsidRPr="0018630D" w14:paraId="02228101" w14:textId="77777777" w:rsidTr="00642E32">
        <w:tc>
          <w:tcPr>
            <w:tcW w:w="574" w:type="dxa"/>
            <w:shd w:val="clear" w:color="auto" w:fill="FFFFFF" w:themeFill="background1"/>
          </w:tcPr>
          <w:p w14:paraId="404B9C20" w14:textId="77777777" w:rsidR="006929CB" w:rsidRPr="0018630D" w:rsidRDefault="006929CB" w:rsidP="00D41906">
            <w:pPr>
              <w:pStyle w:val="Tableboldblue"/>
              <w:rPr>
                <w:rFonts w:asciiTheme="minorHAnsi" w:hAnsiTheme="minorHAnsi" w:cstheme="minorHAnsi"/>
                <w:szCs w:val="18"/>
              </w:rPr>
            </w:pPr>
            <w:r w:rsidRPr="0018630D">
              <w:rPr>
                <w:rFonts w:asciiTheme="minorHAnsi" w:hAnsiTheme="minorHAnsi" w:cstheme="minorHAnsi"/>
                <w:szCs w:val="18"/>
              </w:rPr>
              <w:t>Total</w:t>
            </w:r>
          </w:p>
        </w:tc>
        <w:tc>
          <w:tcPr>
            <w:tcW w:w="1127" w:type="dxa"/>
            <w:shd w:val="clear" w:color="auto" w:fill="FFFFFF" w:themeFill="background1"/>
          </w:tcPr>
          <w:p w14:paraId="2FB13C30" w14:textId="77777777" w:rsidR="006929CB" w:rsidRPr="0018630D" w:rsidRDefault="006929CB" w:rsidP="0035699C">
            <w:pPr>
              <w:pStyle w:val="Tableboldblue"/>
              <w:jc w:val="right"/>
              <w:rPr>
                <w:rFonts w:asciiTheme="minorHAnsi" w:hAnsiTheme="minorHAnsi" w:cstheme="minorHAnsi"/>
                <w:szCs w:val="18"/>
              </w:rPr>
            </w:pPr>
            <w:r w:rsidRPr="0018630D">
              <w:rPr>
                <w:rFonts w:asciiTheme="minorHAnsi" w:hAnsiTheme="minorHAnsi" w:cstheme="minorHAnsi"/>
                <w:szCs w:val="18"/>
              </w:rPr>
              <w:t>810,935</w:t>
            </w:r>
          </w:p>
        </w:tc>
        <w:tc>
          <w:tcPr>
            <w:tcW w:w="1134" w:type="dxa"/>
            <w:shd w:val="clear" w:color="auto" w:fill="FFFFFF" w:themeFill="background1"/>
          </w:tcPr>
          <w:p w14:paraId="3D5EB8A2" w14:textId="77777777" w:rsidR="006929CB" w:rsidRPr="0018630D" w:rsidRDefault="006929CB" w:rsidP="0035699C">
            <w:pPr>
              <w:pStyle w:val="Tableboldblue"/>
              <w:jc w:val="right"/>
              <w:rPr>
                <w:rFonts w:asciiTheme="minorHAnsi" w:hAnsiTheme="minorHAnsi" w:cstheme="minorHAnsi"/>
                <w:szCs w:val="18"/>
              </w:rPr>
            </w:pPr>
            <w:r w:rsidRPr="0018630D">
              <w:rPr>
                <w:rFonts w:asciiTheme="minorHAnsi" w:hAnsiTheme="minorHAnsi" w:cstheme="minorHAnsi"/>
                <w:szCs w:val="18"/>
              </w:rPr>
              <w:t>51,536</w:t>
            </w:r>
          </w:p>
        </w:tc>
        <w:tc>
          <w:tcPr>
            <w:tcW w:w="1701" w:type="dxa"/>
            <w:shd w:val="clear" w:color="auto" w:fill="FFFFFF" w:themeFill="background1"/>
          </w:tcPr>
          <w:p w14:paraId="75DDE55B" w14:textId="77777777" w:rsidR="006929CB" w:rsidRPr="0018630D" w:rsidRDefault="006929CB" w:rsidP="0035699C">
            <w:pPr>
              <w:pStyle w:val="Tableboldblue"/>
              <w:jc w:val="right"/>
              <w:rPr>
                <w:rFonts w:asciiTheme="minorHAnsi" w:hAnsiTheme="minorHAnsi" w:cstheme="minorHAnsi"/>
                <w:szCs w:val="18"/>
              </w:rPr>
            </w:pPr>
            <w:r w:rsidRPr="0018630D">
              <w:rPr>
                <w:rFonts w:asciiTheme="minorHAnsi" w:hAnsiTheme="minorHAnsi" w:cstheme="minorHAnsi"/>
                <w:szCs w:val="18"/>
              </w:rPr>
              <w:t>108,230</w:t>
            </w:r>
          </w:p>
        </w:tc>
        <w:tc>
          <w:tcPr>
            <w:tcW w:w="993" w:type="dxa"/>
            <w:shd w:val="clear" w:color="auto" w:fill="FFFFFF" w:themeFill="background1"/>
          </w:tcPr>
          <w:p w14:paraId="5CB4D156" w14:textId="77777777" w:rsidR="006929CB" w:rsidRPr="0018630D" w:rsidRDefault="006929CB" w:rsidP="0035699C">
            <w:pPr>
              <w:pStyle w:val="Tableboldblue"/>
              <w:jc w:val="right"/>
              <w:rPr>
                <w:rFonts w:asciiTheme="minorHAnsi" w:hAnsiTheme="minorHAnsi" w:cstheme="minorHAnsi"/>
                <w:szCs w:val="18"/>
              </w:rPr>
            </w:pPr>
            <w:r w:rsidRPr="0018630D">
              <w:rPr>
                <w:rFonts w:asciiTheme="minorHAnsi" w:hAnsiTheme="minorHAnsi" w:cstheme="minorHAnsi"/>
                <w:szCs w:val="18"/>
              </w:rPr>
              <w:t>123,154</w:t>
            </w:r>
          </w:p>
        </w:tc>
        <w:tc>
          <w:tcPr>
            <w:tcW w:w="1275" w:type="dxa"/>
            <w:shd w:val="clear" w:color="auto" w:fill="FFFFFF" w:themeFill="background1"/>
          </w:tcPr>
          <w:p w14:paraId="1FCFC50F" w14:textId="77777777" w:rsidR="006929CB" w:rsidRPr="0018630D" w:rsidRDefault="006929CB" w:rsidP="0035699C">
            <w:pPr>
              <w:pStyle w:val="Tableboldblue"/>
              <w:jc w:val="right"/>
              <w:rPr>
                <w:rFonts w:asciiTheme="minorHAnsi" w:hAnsiTheme="minorHAnsi" w:cstheme="minorHAnsi"/>
                <w:szCs w:val="18"/>
              </w:rPr>
            </w:pPr>
            <w:r w:rsidRPr="0018630D">
              <w:rPr>
                <w:rFonts w:asciiTheme="minorHAnsi" w:hAnsiTheme="minorHAnsi" w:cstheme="minorHAnsi"/>
                <w:szCs w:val="18"/>
              </w:rPr>
              <w:t>61,570</w:t>
            </w:r>
          </w:p>
        </w:tc>
        <w:tc>
          <w:tcPr>
            <w:tcW w:w="1701" w:type="dxa"/>
            <w:shd w:val="clear" w:color="auto" w:fill="FFFFFF" w:themeFill="background1"/>
          </w:tcPr>
          <w:p w14:paraId="00C78ABF" w14:textId="77777777" w:rsidR="006929CB" w:rsidRPr="0018630D" w:rsidRDefault="006929CB" w:rsidP="0035699C">
            <w:pPr>
              <w:pStyle w:val="Tableboldblue"/>
              <w:jc w:val="right"/>
              <w:rPr>
                <w:rFonts w:asciiTheme="minorHAnsi" w:hAnsiTheme="minorHAnsi" w:cstheme="minorHAnsi"/>
                <w:szCs w:val="18"/>
              </w:rPr>
            </w:pPr>
            <w:r w:rsidRPr="0018630D">
              <w:rPr>
                <w:rFonts w:asciiTheme="minorHAnsi" w:hAnsiTheme="minorHAnsi" w:cstheme="minorHAnsi"/>
                <w:szCs w:val="18"/>
              </w:rPr>
              <w:t>909,130</w:t>
            </w:r>
          </w:p>
        </w:tc>
      </w:tr>
    </w:tbl>
    <w:p w14:paraId="00BBBF03" w14:textId="77777777" w:rsidR="006929CB" w:rsidRPr="00DD1C54" w:rsidRDefault="006929CB" w:rsidP="006929CB">
      <w:pPr>
        <w:pStyle w:val="Noteundertable"/>
        <w:ind w:left="0" w:firstLine="0"/>
      </w:pPr>
      <w:r w:rsidRPr="00DD1C54">
        <w:rPr>
          <w:b/>
        </w:rPr>
        <w:t>Note</w:t>
      </w:r>
      <w:r w:rsidRPr="00DD1C54">
        <w:t xml:space="preserve">: </w:t>
      </w:r>
      <w:r w:rsidRPr="00DD1C54">
        <w:tab/>
        <w:t>P = provisional figure;</w:t>
      </w:r>
      <w:r w:rsidRPr="00DD1C54" w:rsidDel="0054499F">
        <w:t xml:space="preserve"> </w:t>
      </w:r>
      <w:r w:rsidRPr="00DD1C54">
        <w:rPr>
          <w:vertAlign w:val="superscript"/>
        </w:rPr>
        <w:t>+</w:t>
      </w:r>
      <w:r w:rsidRPr="00DD1C54">
        <w:t xml:space="preserve"> = gross area including forestry roads and other unstocked areas in forestry land use. Columns may not total due to rounding. Net cumulative area represents the total cumulative forest area under </w:t>
      </w:r>
      <w:r w:rsidRPr="00DD1C54">
        <w:rPr>
          <w:i/>
          <w:iCs/>
        </w:rPr>
        <w:t>Afforestation and reforestation</w:t>
      </w:r>
      <w:r w:rsidRPr="00DD1C54">
        <w:t xml:space="preserve"> in any given year including additions for areas of new planting and subtractions for areas of deforestation. The area of harvest does not contribute to the annual change in net cumulative forest area.</w:t>
      </w:r>
    </w:p>
    <w:p w14:paraId="3D9B852E" w14:textId="77777777" w:rsidR="006929CB" w:rsidRPr="00DD1C54" w:rsidRDefault="006929CB" w:rsidP="006929CB">
      <w:pPr>
        <w:pStyle w:val="Heading4"/>
      </w:pPr>
      <w:r w:rsidRPr="00DD1C54">
        <w:t>Averaging accounting approach</w:t>
      </w:r>
    </w:p>
    <w:p w14:paraId="125111EC" w14:textId="77777777" w:rsidR="006929CB" w:rsidRPr="00DD1C54" w:rsidRDefault="006929CB" w:rsidP="006929CB">
      <w:pPr>
        <w:pStyle w:val="BodyText"/>
        <w:keepLines/>
      </w:pPr>
      <w:r w:rsidRPr="00DD1C54">
        <w:t xml:space="preserve">Emissions and removals from </w:t>
      </w:r>
      <w:r w:rsidRPr="00DD1C54">
        <w:rPr>
          <w:i/>
          <w:iCs/>
        </w:rPr>
        <w:t>Afforestation and reforestation</w:t>
      </w:r>
      <w:r w:rsidRPr="00DD1C54">
        <w:t xml:space="preserve"> activities are accounted for until the forests attain their LTA carbon stock, taking into account all carbon pools. Thereafter, emissions and removals from these activities are tracked to ensure emissions and removals balance out over the long term under business-as-usual management. </w:t>
      </w:r>
    </w:p>
    <w:p w14:paraId="4B294255" w14:textId="77777777" w:rsidR="006929CB" w:rsidRPr="00DD1C54" w:rsidRDefault="006929CB" w:rsidP="006929CB">
      <w:pPr>
        <w:pStyle w:val="BodyText"/>
      </w:pPr>
      <w:r w:rsidRPr="00DD1C54">
        <w:t xml:space="preserve">At the end of NDC1, the actual emissions from </w:t>
      </w:r>
      <w:r w:rsidRPr="00DD1C54">
        <w:rPr>
          <w:i/>
          <w:iCs/>
        </w:rPr>
        <w:t>Afforestation and reforestation</w:t>
      </w:r>
      <w:r w:rsidRPr="00DD1C54">
        <w:t xml:space="preserve"> activities will be reconciled with the emissions included in the averaging approach. Further work is planned to determine whether this will be done via a post-1989 FRL or by recalculating the LTA carbon stock at the end of the commitment period. </w:t>
      </w:r>
    </w:p>
    <w:p w14:paraId="08E2882E" w14:textId="77777777" w:rsidR="006929CB" w:rsidRPr="00DD1C54" w:rsidRDefault="006929CB" w:rsidP="006929CB">
      <w:pPr>
        <w:pStyle w:val="BodyText"/>
      </w:pPr>
      <w:r w:rsidRPr="00DD1C54">
        <w:t>The LTA carbon stock is defined as the long-term average carbon stock per hectare that would be maintained (on average) across all biomass carbon pools under current management conditions. For planted forests managed under a clear-fell rotation regime (rotational planted forests), the LTA carbon stock refers to the carbon stocks of all carbon pools when averaged out over multiple rotations under current management. This includes the HWP pool</w:t>
      </w:r>
      <w:r w:rsidRPr="00DD1C54" w:rsidDel="00F16D0D">
        <w:t xml:space="preserve"> </w:t>
      </w:r>
      <w:r w:rsidRPr="00DD1C54">
        <w:t>resulting from the harvest of these forests. The ‘LTA age’ is the age at which this long-term average carbon stock is achieved, which is assumed to be an equilibrium point about which future losses and gains balance out to zero over subsequent harvest and replanting cycles, as long as current management continues.</w:t>
      </w:r>
    </w:p>
    <w:p w14:paraId="758F0341" w14:textId="77777777" w:rsidR="006929CB" w:rsidRPr="00DD1C54" w:rsidRDefault="006929CB" w:rsidP="006929CB">
      <w:pPr>
        <w:pStyle w:val="BodyText"/>
      </w:pPr>
      <w:r w:rsidRPr="00DD1C54">
        <w:t xml:space="preserve">For forests that do not undergo harvesting, such as post-1989 permanent planted forests and post-1989 natural forests, the LTA age is assumed to be over 40 years, therefore they will remain in the </w:t>
      </w:r>
      <w:r w:rsidRPr="00DD1C54">
        <w:rPr>
          <w:i/>
          <w:iCs/>
        </w:rPr>
        <w:t>Below LTA</w:t>
      </w:r>
      <w:r w:rsidRPr="00DD1C54">
        <w:t xml:space="preserve"> subcategory throughout NDC1 (Wakelin, unpublished(a)).</w:t>
      </w:r>
    </w:p>
    <w:p w14:paraId="0A7CDDD0" w14:textId="77777777" w:rsidR="006929CB" w:rsidRPr="00DD1C54" w:rsidRDefault="006929CB" w:rsidP="006929CB">
      <w:pPr>
        <w:pStyle w:val="BodyText"/>
      </w:pPr>
      <w:r w:rsidRPr="00DD1C54">
        <w:t xml:space="preserve">By contrast, post-1989 rotational planted forests, which include various species with different average rotation lengths (table A2.8), have a combined LTA age of 23 years and transition from the </w:t>
      </w:r>
      <w:r w:rsidRPr="00DD1C54">
        <w:rPr>
          <w:i/>
          <w:iCs/>
        </w:rPr>
        <w:t>Below LTA</w:t>
      </w:r>
      <w:r w:rsidRPr="00DD1C54">
        <w:t xml:space="preserve"> subcategory to the </w:t>
      </w:r>
      <w:r w:rsidRPr="00DD1C54">
        <w:rPr>
          <w:i/>
          <w:iCs/>
        </w:rPr>
        <w:t>Above LTA</w:t>
      </w:r>
      <w:r w:rsidRPr="00DD1C54">
        <w:t xml:space="preserve"> subcategory at the end of their 23rd year. This age has been estimated in an LTA model that calculates carbon stock changes over eight rotations (Dovey and Wakelin, unpublished). This model takes the following inputs:</w:t>
      </w:r>
    </w:p>
    <w:p w14:paraId="73561827" w14:textId="77777777" w:rsidR="006929CB" w:rsidRPr="00DD1C54" w:rsidRDefault="006929CB" w:rsidP="006929CB">
      <w:pPr>
        <w:pStyle w:val="Bullet"/>
        <w:spacing w:line="240" w:lineRule="auto"/>
      </w:pPr>
      <w:r w:rsidRPr="00DD1C54">
        <w:t>forest management and growth rates for three separate species groupings: radiata pine, Douglas fir and other softwoods, and hardwoods, each represented by yield tables derived from the LUCAS forest plot network (Paul et al, unpublished)</w:t>
      </w:r>
    </w:p>
    <w:p w14:paraId="48E974B9" w14:textId="77777777" w:rsidR="006929CB" w:rsidRPr="00DD1C54" w:rsidRDefault="006929CB" w:rsidP="006929CB">
      <w:pPr>
        <w:pStyle w:val="Bullet"/>
        <w:spacing w:line="240" w:lineRule="auto"/>
      </w:pPr>
      <w:r w:rsidRPr="00DD1C54">
        <w:t>proportions of species groups, from the LUCAS post-1989 forest plot network (Ministry for the Environment, 2024)</w:t>
      </w:r>
    </w:p>
    <w:p w14:paraId="3F2FAE0E" w14:textId="77777777" w:rsidR="006929CB" w:rsidRPr="00DD1C54" w:rsidRDefault="006929CB" w:rsidP="006929CB">
      <w:pPr>
        <w:pStyle w:val="Bullet"/>
        <w:spacing w:line="240" w:lineRule="auto"/>
      </w:pPr>
      <w:r w:rsidRPr="00DD1C54">
        <w:t>harvest age, derived from a combination of national forest survey data and industry studies (Ministry for Primary Industries, 2023a)</w:t>
      </w:r>
    </w:p>
    <w:p w14:paraId="2335288D" w14:textId="77777777" w:rsidR="006929CB" w:rsidRPr="00DD1C54" w:rsidRDefault="006929CB" w:rsidP="006929CB">
      <w:pPr>
        <w:pStyle w:val="Bullet"/>
        <w:spacing w:line="240" w:lineRule="auto"/>
      </w:pPr>
      <w:r w:rsidRPr="00DD1C54">
        <w:t>lifespan of wood products and discard curves from New Zealand’s HWP model (Wakelin, unpublished(b))</w:t>
      </w:r>
    </w:p>
    <w:p w14:paraId="49617E6A" w14:textId="77777777" w:rsidR="006929CB" w:rsidRPr="00DD1C54" w:rsidRDefault="006929CB" w:rsidP="006929CB">
      <w:pPr>
        <w:pStyle w:val="Bullet"/>
        <w:spacing w:line="240" w:lineRule="auto"/>
      </w:pPr>
      <w:r w:rsidRPr="00DD1C54">
        <w:t xml:space="preserve">proportion of domestically processed and exported roundwood and allocation of roundwood to different export markets (defined as the average over the past five years of available data, 2018 to 2022; Dovey and Wakelin, unpublished) </w:t>
      </w:r>
    </w:p>
    <w:p w14:paraId="3C3B9681" w14:textId="77777777" w:rsidR="006929CB" w:rsidRPr="00DD1C54" w:rsidRDefault="006929CB" w:rsidP="006929CB">
      <w:pPr>
        <w:pStyle w:val="Bullet"/>
        <w:spacing w:line="240" w:lineRule="auto"/>
      </w:pPr>
      <w:r w:rsidRPr="00DD1C54">
        <w:t>decay rates for woody debris used in the LUCAS Calculation and Reporting Application (CRA) (Ministry for the Environment, 2024).</w:t>
      </w:r>
    </w:p>
    <w:p w14:paraId="55099F37" w14:textId="77777777" w:rsidR="006929CB" w:rsidRPr="00DD1C54" w:rsidRDefault="006929CB" w:rsidP="006929CB">
      <w:pPr>
        <w:pStyle w:val="Tableheading"/>
      </w:pPr>
      <w:bookmarkStart w:id="1116" w:name="_Toc182311700"/>
      <w:bookmarkStart w:id="1117" w:name="_Toc185407535"/>
      <w:bookmarkStart w:id="1118" w:name="_Toc185427798"/>
      <w:r w:rsidRPr="00DD1C54">
        <w:t>Table A2.8:</w:t>
      </w:r>
      <w:r w:rsidRPr="00DD1C54">
        <w:tab/>
        <w:t>Estimated average harvest age and proportion of forest species included in the rotational plantation forest long-term average</w:t>
      </w:r>
      <w:bookmarkEnd w:id="1116"/>
      <w:bookmarkEnd w:id="1117"/>
      <w:bookmarkEnd w:id="1118"/>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898"/>
        <w:gridCol w:w="3198"/>
        <w:gridCol w:w="2409"/>
      </w:tblGrid>
      <w:tr w:rsidR="006929CB" w:rsidRPr="0018630D" w14:paraId="19222B1B" w14:textId="77777777">
        <w:trPr>
          <w:tblHeader/>
        </w:trPr>
        <w:tc>
          <w:tcPr>
            <w:tcW w:w="1704" w:type="pct"/>
            <w:shd w:val="clear" w:color="auto" w:fill="1B556B" w:themeFill="text2"/>
            <w:vAlign w:val="bottom"/>
          </w:tcPr>
          <w:p w14:paraId="6D2DDE57" w14:textId="77777777" w:rsidR="006929CB" w:rsidRPr="0018630D" w:rsidRDefault="006929CB">
            <w:pPr>
              <w:pStyle w:val="TableTextbold"/>
              <w:keepNext/>
              <w:rPr>
                <w:color w:val="FFFFFF" w:themeColor="background1"/>
                <w:szCs w:val="18"/>
              </w:rPr>
            </w:pPr>
            <w:r w:rsidRPr="0018630D">
              <w:rPr>
                <w:color w:val="FFFFFF" w:themeColor="background1"/>
                <w:szCs w:val="18"/>
              </w:rPr>
              <w:t>Forest species</w:t>
            </w:r>
          </w:p>
        </w:tc>
        <w:tc>
          <w:tcPr>
            <w:tcW w:w="1880" w:type="pct"/>
            <w:shd w:val="clear" w:color="auto" w:fill="1B556B" w:themeFill="text2"/>
            <w:vAlign w:val="bottom"/>
          </w:tcPr>
          <w:p w14:paraId="13B795E3" w14:textId="77777777" w:rsidR="006929CB" w:rsidRPr="0018630D" w:rsidRDefault="006929CB">
            <w:pPr>
              <w:pStyle w:val="TableTextbold"/>
              <w:keepNext/>
              <w:jc w:val="right"/>
              <w:rPr>
                <w:color w:val="FFFFFF" w:themeColor="background1"/>
                <w:szCs w:val="18"/>
              </w:rPr>
            </w:pPr>
            <w:r w:rsidRPr="0018630D">
              <w:rPr>
                <w:rFonts w:eastAsia="Calibri" w:cs="Calibri"/>
                <w:color w:val="FFFFFF" w:themeColor="background1"/>
                <w:szCs w:val="18"/>
              </w:rPr>
              <w:t>Estimated average harvest age (years)</w:t>
            </w:r>
          </w:p>
        </w:tc>
        <w:tc>
          <w:tcPr>
            <w:tcW w:w="1416" w:type="pct"/>
            <w:shd w:val="clear" w:color="auto" w:fill="1B556B" w:themeFill="text2"/>
            <w:vAlign w:val="bottom"/>
          </w:tcPr>
          <w:p w14:paraId="04FDD6B2" w14:textId="77777777" w:rsidR="006929CB" w:rsidRPr="0018630D" w:rsidRDefault="006929CB">
            <w:pPr>
              <w:pStyle w:val="TableTextbold"/>
              <w:keepNext/>
              <w:jc w:val="right"/>
              <w:rPr>
                <w:color w:val="FFFFFF" w:themeColor="background1"/>
                <w:szCs w:val="18"/>
              </w:rPr>
            </w:pPr>
            <w:r w:rsidRPr="0018630D">
              <w:rPr>
                <w:rFonts w:eastAsia="Calibri" w:cs="Calibri"/>
                <w:color w:val="FFFFFF" w:themeColor="background1"/>
                <w:szCs w:val="18"/>
              </w:rPr>
              <w:t>Proportion (%)</w:t>
            </w:r>
          </w:p>
        </w:tc>
      </w:tr>
      <w:tr w:rsidR="006929CB" w:rsidRPr="0018630D" w14:paraId="1080F101" w14:textId="77777777">
        <w:tc>
          <w:tcPr>
            <w:tcW w:w="1704" w:type="pct"/>
          </w:tcPr>
          <w:p w14:paraId="4EDC6660" w14:textId="77777777" w:rsidR="006929CB" w:rsidRPr="0018630D" w:rsidRDefault="006929CB">
            <w:pPr>
              <w:pStyle w:val="TableText"/>
              <w:keepNext/>
              <w:rPr>
                <w:szCs w:val="18"/>
              </w:rPr>
            </w:pPr>
            <w:r w:rsidRPr="0018630D">
              <w:rPr>
                <w:rFonts w:eastAsia="Calibri"/>
                <w:szCs w:val="18"/>
              </w:rPr>
              <w:t>Radiata pine</w:t>
            </w:r>
          </w:p>
        </w:tc>
        <w:tc>
          <w:tcPr>
            <w:tcW w:w="1880" w:type="pct"/>
          </w:tcPr>
          <w:p w14:paraId="78505A39" w14:textId="77777777" w:rsidR="006929CB" w:rsidRPr="0018630D" w:rsidRDefault="006929CB">
            <w:pPr>
              <w:pStyle w:val="TableText"/>
              <w:keepNext/>
              <w:jc w:val="right"/>
              <w:rPr>
                <w:szCs w:val="18"/>
              </w:rPr>
            </w:pPr>
            <w:r w:rsidRPr="0018630D">
              <w:rPr>
                <w:rFonts w:eastAsia="Calibri"/>
                <w:szCs w:val="18"/>
              </w:rPr>
              <w:t>28</w:t>
            </w:r>
          </w:p>
        </w:tc>
        <w:tc>
          <w:tcPr>
            <w:tcW w:w="1416" w:type="pct"/>
          </w:tcPr>
          <w:p w14:paraId="3DA22562" w14:textId="77777777" w:rsidR="006929CB" w:rsidRPr="0018630D" w:rsidRDefault="006929CB">
            <w:pPr>
              <w:pStyle w:val="TableText"/>
              <w:keepNext/>
              <w:jc w:val="right"/>
              <w:rPr>
                <w:szCs w:val="18"/>
              </w:rPr>
            </w:pPr>
            <w:r w:rsidRPr="0018630D">
              <w:rPr>
                <w:rFonts w:eastAsia="Calibri"/>
                <w:szCs w:val="18"/>
              </w:rPr>
              <w:t>82.4</w:t>
            </w:r>
          </w:p>
        </w:tc>
      </w:tr>
      <w:tr w:rsidR="006929CB" w:rsidRPr="0018630D" w14:paraId="59DA3B75" w14:textId="77777777">
        <w:tc>
          <w:tcPr>
            <w:tcW w:w="1704" w:type="pct"/>
          </w:tcPr>
          <w:p w14:paraId="3DAA6305" w14:textId="77777777" w:rsidR="006929CB" w:rsidRPr="0018630D" w:rsidRDefault="006929CB">
            <w:pPr>
              <w:pStyle w:val="TableText"/>
              <w:keepNext/>
              <w:rPr>
                <w:szCs w:val="18"/>
              </w:rPr>
            </w:pPr>
            <w:r w:rsidRPr="0018630D">
              <w:rPr>
                <w:rFonts w:eastAsia="Calibri"/>
                <w:szCs w:val="18"/>
              </w:rPr>
              <w:t>Douglas fir and other softwoods</w:t>
            </w:r>
          </w:p>
        </w:tc>
        <w:tc>
          <w:tcPr>
            <w:tcW w:w="1880" w:type="pct"/>
          </w:tcPr>
          <w:p w14:paraId="4CA57E5F" w14:textId="77777777" w:rsidR="006929CB" w:rsidRPr="0018630D" w:rsidRDefault="006929CB">
            <w:pPr>
              <w:pStyle w:val="TableText"/>
              <w:keepNext/>
              <w:jc w:val="right"/>
              <w:rPr>
                <w:szCs w:val="18"/>
              </w:rPr>
            </w:pPr>
            <w:r w:rsidRPr="0018630D">
              <w:rPr>
                <w:rFonts w:eastAsia="Calibri"/>
                <w:szCs w:val="18"/>
              </w:rPr>
              <w:t>40</w:t>
            </w:r>
          </w:p>
        </w:tc>
        <w:tc>
          <w:tcPr>
            <w:tcW w:w="1416" w:type="pct"/>
          </w:tcPr>
          <w:p w14:paraId="03EDEE43" w14:textId="77777777" w:rsidR="006929CB" w:rsidRPr="0018630D" w:rsidRDefault="006929CB">
            <w:pPr>
              <w:pStyle w:val="TableText"/>
              <w:keepNext/>
              <w:jc w:val="right"/>
              <w:rPr>
                <w:szCs w:val="18"/>
              </w:rPr>
            </w:pPr>
            <w:r w:rsidRPr="0018630D">
              <w:rPr>
                <w:szCs w:val="18"/>
              </w:rPr>
              <w:t>11.6</w:t>
            </w:r>
          </w:p>
        </w:tc>
      </w:tr>
      <w:tr w:rsidR="006929CB" w:rsidRPr="0018630D" w14:paraId="650782F6" w14:textId="77777777">
        <w:tc>
          <w:tcPr>
            <w:tcW w:w="1704" w:type="pct"/>
          </w:tcPr>
          <w:p w14:paraId="2427DD69" w14:textId="77777777" w:rsidR="006929CB" w:rsidRPr="0018630D" w:rsidRDefault="006929CB">
            <w:pPr>
              <w:pStyle w:val="TableText"/>
              <w:rPr>
                <w:szCs w:val="18"/>
              </w:rPr>
            </w:pPr>
            <w:r w:rsidRPr="0018630D">
              <w:rPr>
                <w:rFonts w:eastAsia="Calibri"/>
                <w:color w:val="000000" w:themeColor="text1"/>
                <w:szCs w:val="18"/>
              </w:rPr>
              <w:t>Hardwoods</w:t>
            </w:r>
          </w:p>
        </w:tc>
        <w:tc>
          <w:tcPr>
            <w:tcW w:w="1880" w:type="pct"/>
          </w:tcPr>
          <w:p w14:paraId="2865B9D2" w14:textId="77777777" w:rsidR="006929CB" w:rsidRPr="0018630D" w:rsidRDefault="006929CB">
            <w:pPr>
              <w:pStyle w:val="TableText"/>
              <w:jc w:val="right"/>
              <w:rPr>
                <w:szCs w:val="18"/>
              </w:rPr>
            </w:pPr>
            <w:r w:rsidRPr="0018630D">
              <w:rPr>
                <w:rFonts w:eastAsia="Calibri"/>
                <w:szCs w:val="18"/>
              </w:rPr>
              <w:t>30</w:t>
            </w:r>
          </w:p>
        </w:tc>
        <w:tc>
          <w:tcPr>
            <w:tcW w:w="1416" w:type="pct"/>
          </w:tcPr>
          <w:p w14:paraId="61967B5D" w14:textId="77777777" w:rsidR="006929CB" w:rsidRPr="0018630D" w:rsidRDefault="006929CB">
            <w:pPr>
              <w:pStyle w:val="TableText"/>
              <w:jc w:val="right"/>
              <w:rPr>
                <w:szCs w:val="18"/>
              </w:rPr>
            </w:pPr>
            <w:r w:rsidRPr="0018630D">
              <w:rPr>
                <w:rFonts w:eastAsia="Calibri"/>
                <w:szCs w:val="18"/>
              </w:rPr>
              <w:t>5.8</w:t>
            </w:r>
          </w:p>
        </w:tc>
      </w:tr>
    </w:tbl>
    <w:p w14:paraId="6C3811F3" w14:textId="77777777" w:rsidR="006929CB" w:rsidRPr="00DD1C54" w:rsidRDefault="006929CB" w:rsidP="006929CB">
      <w:pPr>
        <w:pStyle w:val="BodyText"/>
        <w:spacing w:before="240"/>
      </w:pPr>
      <w:r w:rsidRPr="00DD1C54">
        <w:t>The underlying principle of the LTA is that, although the carbon stock of a forest and its associated wood products may fluctuate over time with harvesting and replanting, an LTA carbon stock can be calculated that represents a net change in stock compared with the pre</w:t>
      </w:r>
      <w:r w:rsidRPr="00DD1C54">
        <w:noBreakHyphen/>
        <w:t xml:space="preserve">existing carbon levels before afforestation </w:t>
      </w:r>
      <w:r w:rsidRPr="00DD1C54">
        <w:fldChar w:fldCharType="begin"/>
      </w:r>
      <w:r w:rsidRPr="00DD1C54">
        <w:instrText xml:space="preserve"> ADDIN EN.CITE &lt;EndNote&gt;&lt;Cite&gt;&lt;Author&gt;Wakelin&lt;/Author&gt;&lt;Year&gt;2017&lt;/Year&gt;&lt;RecNum&gt;27602&lt;/RecNum&gt;&lt;DisplayText&gt;(Wakelin, et al., 2017)&lt;/DisplayText&gt;&lt;record&gt;&lt;rec-number&gt;27602&lt;/rec-number&gt;&lt;foreign-keys&gt;&lt;key app="EN" db-id="tvwxw9e9usfasueetdnx2xs1x5eex0fppxpp" timestamp="1687900370"&gt;27602&lt;/key&gt;&lt;/foreign-keys&gt;&lt;ref-type name="Unpublished Work"&gt;34&lt;/ref-type&gt;&lt;contributors&gt;&lt;authors&gt;&lt;author&gt;Wakelin, S J&lt;/author&gt;&lt;author&gt;Manley, B R&lt;/author&gt;&lt;author&gt;Dowling, L J&lt;/author&gt;&lt;/authors&gt;&lt;/contributors&gt;&lt;titles&gt;&lt;title&gt;Options for calculating the long-term average carbon stock in post-1989 forests&lt;/title&gt;&lt;/titles&gt;&lt;number&gt;Output 58646&lt;/number&gt;&lt;keywords&gt;&lt;keyword&gt;carbon inventory&lt;/keyword&gt;&lt;keyword&gt;carbon stocks&lt;/keyword&gt;&lt;keyword&gt;carbon credits&lt;/keyword&gt;&lt;keyword&gt;paris 21 climate agreement&lt;/keyword&gt;&lt;keyword&gt;kyoto protocol&lt;/keyword&gt;&lt;/keywords&gt;&lt;dates&gt;&lt;year&gt;2017&lt;/year&gt;&lt;/dates&gt;&lt;publisher&gt;Scion&lt;/publisher&gt;&lt;work-type&gt;Ministry for Primary Industries (MPI), Internal Contract Report&lt;/work-type&gt;&lt;urls&gt;&lt;/urls&gt;&lt;remote-database-name&gt;SIDNEY&lt;/remote-database-name&gt;&lt;/record&gt;&lt;/Cite&gt;&lt;/EndNote&gt;</w:instrText>
      </w:r>
      <w:r w:rsidRPr="00DD1C54">
        <w:fldChar w:fldCharType="separate"/>
      </w:r>
      <w:r w:rsidRPr="00DD1C54">
        <w:t>(Wakelin et al, unpublished)</w:t>
      </w:r>
      <w:r w:rsidRPr="00DD1C54">
        <w:fldChar w:fldCharType="end"/>
      </w:r>
      <w:r w:rsidRPr="00DD1C54">
        <w:t>.</w:t>
      </w:r>
    </w:p>
    <w:p w14:paraId="3E157769" w14:textId="77777777" w:rsidR="006929CB" w:rsidRPr="00DD1C54" w:rsidRDefault="006929CB" w:rsidP="006929CB">
      <w:pPr>
        <w:pStyle w:val="BodyText"/>
      </w:pPr>
      <w:r w:rsidRPr="00DD1C54">
        <w:t xml:space="preserve">Following this principle of crediting forest growth up to the calculated LTA age, an accounting adjustment is made for forests harvested before and after the LTA age is reached. This adjustment effectively grows the harvested forest on to the LTA age and removes forests harvested above the LTA age. </w:t>
      </w:r>
    </w:p>
    <w:p w14:paraId="5892D2C8" w14:textId="77777777" w:rsidR="006929CB" w:rsidRPr="00DD1C54" w:rsidRDefault="006929CB" w:rsidP="006929CB">
      <w:pPr>
        <w:pStyle w:val="BodyText"/>
      </w:pPr>
      <w:r w:rsidRPr="00DD1C54">
        <w:t>The rationale for this adjustment is as follows.</w:t>
      </w:r>
    </w:p>
    <w:p w14:paraId="13AD221E" w14:textId="77777777" w:rsidR="006929CB" w:rsidRPr="00DD1C54" w:rsidRDefault="006929CB" w:rsidP="00784F5F">
      <w:pPr>
        <w:pStyle w:val="Numberedparagraph"/>
        <w:numPr>
          <w:ilvl w:val="0"/>
          <w:numId w:val="103"/>
        </w:numPr>
        <w:spacing w:line="240" w:lineRule="auto"/>
      </w:pPr>
      <w:r w:rsidRPr="00DD1C54">
        <w:t>All harvest emissions have implicitly been included in the calculation of the LTA carbon stock and age.</w:t>
      </w:r>
    </w:p>
    <w:p w14:paraId="74029C1B" w14:textId="77777777" w:rsidR="006929CB" w:rsidRPr="00DD1C54" w:rsidRDefault="006929CB" w:rsidP="006929CB">
      <w:pPr>
        <w:pStyle w:val="Numberedparagraph"/>
        <w:spacing w:line="240" w:lineRule="auto"/>
      </w:pPr>
      <w:r w:rsidRPr="00DD1C54">
        <w:t>This</w:t>
      </w:r>
      <w:r w:rsidRPr="00DD1C54" w:rsidDel="00DB7C20">
        <w:t xml:space="preserve"> </w:t>
      </w:r>
      <w:r w:rsidRPr="00DD1C54">
        <w:t xml:space="preserve">early harvest is considered to be ad hoc rather than due to a short rotation forest crop within the </w:t>
      </w:r>
      <w:r w:rsidRPr="00DD1C54">
        <w:rPr>
          <w:i/>
        </w:rPr>
        <w:t>Afforestation and reforestation</w:t>
      </w:r>
      <w:r w:rsidRPr="00DD1C54">
        <w:t xml:space="preserve"> forest estate. Therefore, across multiple rotations of these forests, it is appropriate to credit growth to the full LTA carbon stock.</w:t>
      </w:r>
    </w:p>
    <w:p w14:paraId="232BB564" w14:textId="77777777" w:rsidR="006929CB" w:rsidRPr="00DD1C54" w:rsidRDefault="006929CB" w:rsidP="006929CB">
      <w:pPr>
        <w:pStyle w:val="Numberedparagraph"/>
        <w:spacing w:line="240" w:lineRule="auto"/>
      </w:pPr>
      <w:r w:rsidRPr="00DD1C54">
        <w:t xml:space="preserve">Forests are harvested across an age profile centred around the average harvest age, which means that some area is also harvested above the average harvest age. The averaging approach means that the extra growth from this ‘late’ harvest is not credited. To balance accounting for both early and late harvest events, all forests need to be credited for growth up to the LTA age (see annex 5, section A5.2.5 of Inventory 2024 for further information on harvest age profiling (Ministry for the Environment, 2024)). </w:t>
      </w:r>
    </w:p>
    <w:p w14:paraId="5EDA8149" w14:textId="4C44094A" w:rsidR="006929CB" w:rsidRPr="00DD1C54" w:rsidRDefault="006929CB" w:rsidP="006929CB">
      <w:pPr>
        <w:pStyle w:val="BodyText"/>
        <w:rPr>
          <w:iCs/>
        </w:rPr>
      </w:pPr>
      <w:hyperlink w:anchor="tableA29" w:history="1">
        <w:r w:rsidRPr="005216EF">
          <w:rPr>
            <w:rStyle w:val="Hyperlink"/>
          </w:rPr>
          <w:t>Table A2.9</w:t>
        </w:r>
      </w:hyperlink>
      <w:r w:rsidRPr="00DD1C54">
        <w:t xml:space="preserve"> shows the total area of </w:t>
      </w:r>
      <w:r w:rsidRPr="00DD1C54">
        <w:rPr>
          <w:iCs/>
        </w:rPr>
        <w:t>post-1989</w:t>
      </w:r>
      <w:r w:rsidRPr="00DD1C54">
        <w:t xml:space="preserve"> planted forest in each of the LTA subcategories by year of establishment and forest type. All permanent forests established after 1989 are considered to be below the LTA for the reporting period. Further work is planned to determine the permanent forest LTA, however, it is currently estimated to be more than 40 years, putting it beyond the NDC1 period for forests planted after 1989 (Wakelin, unpublished(a)).</w:t>
      </w:r>
    </w:p>
    <w:p w14:paraId="7F9EC40D" w14:textId="77777777" w:rsidR="006929CB" w:rsidRPr="00DD1C54" w:rsidRDefault="006929CB" w:rsidP="006929CB">
      <w:pPr>
        <w:pStyle w:val="Tableheading"/>
      </w:pPr>
      <w:bookmarkStart w:id="1119" w:name="tableA29"/>
      <w:bookmarkStart w:id="1120" w:name="_Toc182311701"/>
      <w:bookmarkStart w:id="1121" w:name="_Toc185407536"/>
      <w:bookmarkStart w:id="1122" w:name="_Toc185427799"/>
      <w:r w:rsidRPr="00DD1C54">
        <w:t>Table A2.9</w:t>
      </w:r>
      <w:bookmarkEnd w:id="1119"/>
      <w:r w:rsidRPr="00DD1C54">
        <w:t>:</w:t>
      </w:r>
      <w:r w:rsidRPr="00DD1C54">
        <w:tab/>
        <w:t>Area (hectares) of permanent and production planted forests established after 1989</w:t>
      </w:r>
      <w:r w:rsidRPr="00DD1C54" w:rsidDel="007E25E4">
        <w:t xml:space="preserve"> </w:t>
      </w:r>
      <w:r w:rsidRPr="00DD1C54">
        <w:t>by long</w:t>
      </w:r>
      <w:r w:rsidRPr="00DD1C54">
        <w:noBreakHyphen/>
        <w:t>term average (LTA) subcategory on 31 December 2022</w:t>
      </w:r>
      <w:bookmarkEnd w:id="1120"/>
      <w:bookmarkEnd w:id="1121"/>
      <w:bookmarkEnd w:id="1122"/>
      <w:r w:rsidRPr="00DD1C54">
        <w:t xml:space="preserve"> </w:t>
      </w:r>
    </w:p>
    <w:tbl>
      <w:tblPr>
        <w:tblW w:w="8505" w:type="dxa"/>
        <w:tblBorders>
          <w:top w:val="single" w:sz="4" w:space="0" w:color="1B556B"/>
          <w:bottom w:val="single" w:sz="4" w:space="0" w:color="1B556B"/>
          <w:insideH w:val="single" w:sz="4" w:space="0" w:color="1B556B"/>
          <w:insideV w:val="single" w:sz="4" w:space="0" w:color="1B556B"/>
        </w:tblBorders>
        <w:tblLayout w:type="fixed"/>
        <w:tblCellMar>
          <w:left w:w="85" w:type="dxa"/>
          <w:right w:w="85" w:type="dxa"/>
        </w:tblCellMar>
        <w:tblLook w:val="0420" w:firstRow="1" w:lastRow="0" w:firstColumn="0" w:lastColumn="0" w:noHBand="0" w:noVBand="1"/>
      </w:tblPr>
      <w:tblGrid>
        <w:gridCol w:w="1418"/>
        <w:gridCol w:w="1701"/>
        <w:gridCol w:w="1701"/>
        <w:gridCol w:w="1843"/>
        <w:gridCol w:w="1842"/>
      </w:tblGrid>
      <w:tr w:rsidR="006929CB" w:rsidRPr="0018630D" w14:paraId="76F6DE9E" w14:textId="77777777" w:rsidTr="0018630D">
        <w:trPr>
          <w:tblHeader/>
        </w:trPr>
        <w:tc>
          <w:tcPr>
            <w:tcW w:w="1418" w:type="dxa"/>
            <w:shd w:val="clear" w:color="auto" w:fill="1B556B"/>
            <w:vAlign w:val="bottom"/>
          </w:tcPr>
          <w:p w14:paraId="08D43491" w14:textId="77777777" w:rsidR="006929CB" w:rsidRPr="0018630D" w:rsidRDefault="006929CB">
            <w:pPr>
              <w:pStyle w:val="TableTextbold"/>
              <w:spacing w:after="0"/>
              <w:rPr>
                <w:rFonts w:eastAsia="Calibri"/>
                <w:color w:val="FFFFFF" w:themeColor="background1"/>
                <w:szCs w:val="18"/>
              </w:rPr>
            </w:pPr>
          </w:p>
        </w:tc>
        <w:tc>
          <w:tcPr>
            <w:tcW w:w="3402" w:type="dxa"/>
            <w:gridSpan w:val="2"/>
            <w:shd w:val="clear" w:color="auto" w:fill="1B556B"/>
            <w:vAlign w:val="bottom"/>
          </w:tcPr>
          <w:p w14:paraId="4FF14C4E" w14:textId="77777777" w:rsidR="006929CB" w:rsidRPr="0018630D" w:rsidRDefault="006929CB">
            <w:pPr>
              <w:pStyle w:val="TableTextbold"/>
              <w:spacing w:after="0"/>
              <w:jc w:val="center"/>
              <w:rPr>
                <w:rFonts w:eastAsia="Calibri"/>
                <w:color w:val="FFFFFF" w:themeColor="background1"/>
                <w:szCs w:val="18"/>
              </w:rPr>
            </w:pPr>
            <w:r w:rsidRPr="0018630D">
              <w:rPr>
                <w:rFonts w:eastAsia="Calibri"/>
                <w:color w:val="FFFFFF" w:themeColor="background1"/>
                <w:szCs w:val="18"/>
              </w:rPr>
              <w:t>Production forest</w:t>
            </w:r>
          </w:p>
        </w:tc>
        <w:tc>
          <w:tcPr>
            <w:tcW w:w="1843" w:type="dxa"/>
            <w:shd w:val="clear" w:color="auto" w:fill="1B556B"/>
            <w:vAlign w:val="bottom"/>
          </w:tcPr>
          <w:p w14:paraId="77093DED" w14:textId="77777777" w:rsidR="006929CB" w:rsidRPr="0018630D" w:rsidRDefault="006929CB">
            <w:pPr>
              <w:pStyle w:val="TableTextbold"/>
              <w:spacing w:after="0"/>
              <w:jc w:val="center"/>
              <w:rPr>
                <w:rFonts w:eastAsia="Calibri"/>
                <w:color w:val="FFFFFF" w:themeColor="background1"/>
                <w:szCs w:val="18"/>
              </w:rPr>
            </w:pPr>
            <w:r w:rsidRPr="0018630D">
              <w:rPr>
                <w:rFonts w:eastAsia="Calibri"/>
                <w:color w:val="FFFFFF" w:themeColor="background1"/>
                <w:szCs w:val="18"/>
              </w:rPr>
              <w:t>Permanent forest</w:t>
            </w:r>
          </w:p>
        </w:tc>
        <w:tc>
          <w:tcPr>
            <w:tcW w:w="1842" w:type="dxa"/>
            <w:shd w:val="clear" w:color="auto" w:fill="1B556B"/>
            <w:vAlign w:val="bottom"/>
          </w:tcPr>
          <w:p w14:paraId="38999506" w14:textId="77777777" w:rsidR="006929CB" w:rsidRPr="0018630D" w:rsidRDefault="006929CB">
            <w:pPr>
              <w:pStyle w:val="TableTextbold"/>
              <w:spacing w:after="0"/>
              <w:rPr>
                <w:rFonts w:eastAsia="Calibri"/>
                <w:color w:val="FFFFFF" w:themeColor="background1"/>
                <w:szCs w:val="18"/>
              </w:rPr>
            </w:pPr>
          </w:p>
        </w:tc>
      </w:tr>
      <w:tr w:rsidR="006929CB" w:rsidRPr="0018630D" w14:paraId="72520BBB" w14:textId="77777777" w:rsidTr="0018630D">
        <w:trPr>
          <w:tblHeader/>
        </w:trPr>
        <w:tc>
          <w:tcPr>
            <w:tcW w:w="1418" w:type="dxa"/>
            <w:shd w:val="clear" w:color="auto" w:fill="1B556B"/>
            <w:vAlign w:val="bottom"/>
          </w:tcPr>
          <w:p w14:paraId="77C752A0" w14:textId="77777777" w:rsidR="006929CB" w:rsidRPr="0018630D" w:rsidRDefault="006929CB">
            <w:pPr>
              <w:pStyle w:val="TableTextbold"/>
              <w:spacing w:before="0"/>
              <w:rPr>
                <w:color w:val="FFFFFF" w:themeColor="background1"/>
                <w:szCs w:val="18"/>
              </w:rPr>
            </w:pPr>
            <w:r w:rsidRPr="0018630D">
              <w:rPr>
                <w:rFonts w:eastAsia="Calibri"/>
                <w:color w:val="FFFFFF" w:themeColor="background1"/>
                <w:szCs w:val="18"/>
              </w:rPr>
              <w:t>Planting year</w:t>
            </w:r>
          </w:p>
        </w:tc>
        <w:tc>
          <w:tcPr>
            <w:tcW w:w="1701" w:type="dxa"/>
            <w:shd w:val="clear" w:color="auto" w:fill="1B556B"/>
            <w:vAlign w:val="bottom"/>
          </w:tcPr>
          <w:p w14:paraId="34B9AE73" w14:textId="77777777" w:rsidR="006929CB" w:rsidRPr="0018630D" w:rsidRDefault="006929CB">
            <w:pPr>
              <w:pStyle w:val="TableTextbold"/>
              <w:spacing w:before="0"/>
              <w:jc w:val="right"/>
              <w:rPr>
                <w:color w:val="FFFFFF" w:themeColor="background1"/>
                <w:szCs w:val="18"/>
              </w:rPr>
            </w:pPr>
            <w:r w:rsidRPr="0018630D">
              <w:rPr>
                <w:rFonts w:eastAsia="Calibri"/>
                <w:color w:val="FFFFFF" w:themeColor="background1"/>
                <w:szCs w:val="18"/>
              </w:rPr>
              <w:t>Area Below LTA</w:t>
            </w:r>
          </w:p>
        </w:tc>
        <w:tc>
          <w:tcPr>
            <w:tcW w:w="1701" w:type="dxa"/>
            <w:shd w:val="clear" w:color="auto" w:fill="1B556B"/>
            <w:vAlign w:val="bottom"/>
          </w:tcPr>
          <w:p w14:paraId="52664206" w14:textId="77777777" w:rsidR="006929CB" w:rsidRPr="0018630D" w:rsidRDefault="006929CB">
            <w:pPr>
              <w:pStyle w:val="TableTextbold"/>
              <w:spacing w:before="0"/>
              <w:jc w:val="right"/>
              <w:rPr>
                <w:color w:val="FFFFFF" w:themeColor="background1"/>
                <w:szCs w:val="18"/>
              </w:rPr>
            </w:pPr>
            <w:r w:rsidRPr="0018630D">
              <w:rPr>
                <w:rFonts w:eastAsia="Calibri"/>
                <w:color w:val="FFFFFF" w:themeColor="background1"/>
                <w:szCs w:val="18"/>
              </w:rPr>
              <w:t>Area Above LTA</w:t>
            </w:r>
          </w:p>
        </w:tc>
        <w:tc>
          <w:tcPr>
            <w:tcW w:w="1843" w:type="dxa"/>
            <w:shd w:val="clear" w:color="auto" w:fill="1B556B"/>
            <w:vAlign w:val="bottom"/>
          </w:tcPr>
          <w:p w14:paraId="37FFCEA0" w14:textId="77777777" w:rsidR="006929CB" w:rsidRPr="0018630D" w:rsidRDefault="006929CB">
            <w:pPr>
              <w:pStyle w:val="TableTextbold"/>
              <w:spacing w:before="0"/>
              <w:jc w:val="right"/>
              <w:rPr>
                <w:color w:val="FFFFFF" w:themeColor="background1"/>
                <w:szCs w:val="18"/>
              </w:rPr>
            </w:pPr>
            <w:r w:rsidRPr="0018630D">
              <w:rPr>
                <w:rFonts w:eastAsia="Calibri"/>
                <w:color w:val="FFFFFF" w:themeColor="background1"/>
                <w:szCs w:val="18"/>
              </w:rPr>
              <w:t>Area Below LTA</w:t>
            </w:r>
          </w:p>
        </w:tc>
        <w:tc>
          <w:tcPr>
            <w:tcW w:w="1842" w:type="dxa"/>
            <w:shd w:val="clear" w:color="auto" w:fill="1B556B"/>
            <w:vAlign w:val="bottom"/>
          </w:tcPr>
          <w:p w14:paraId="6BA69FEC" w14:textId="77777777" w:rsidR="006929CB" w:rsidRPr="0018630D" w:rsidRDefault="006929CB">
            <w:pPr>
              <w:pStyle w:val="TableTextbold"/>
              <w:spacing w:before="0"/>
              <w:jc w:val="right"/>
              <w:rPr>
                <w:color w:val="FFFFFF" w:themeColor="background1"/>
                <w:szCs w:val="18"/>
              </w:rPr>
            </w:pPr>
            <w:r w:rsidRPr="0018630D">
              <w:rPr>
                <w:rFonts w:eastAsia="Calibri"/>
                <w:color w:val="FFFFFF" w:themeColor="background1"/>
                <w:szCs w:val="18"/>
              </w:rPr>
              <w:t>Net cumulative area</w:t>
            </w:r>
          </w:p>
        </w:tc>
      </w:tr>
      <w:tr w:rsidR="006929CB" w:rsidRPr="0018630D" w14:paraId="63FE8B36" w14:textId="77777777" w:rsidTr="0018630D">
        <w:trPr>
          <w:trHeight w:val="283"/>
        </w:trPr>
        <w:tc>
          <w:tcPr>
            <w:tcW w:w="1418" w:type="dxa"/>
            <w:shd w:val="clear" w:color="auto" w:fill="FFFFFF"/>
            <w:vAlign w:val="center"/>
          </w:tcPr>
          <w:p w14:paraId="5098ED75" w14:textId="77777777" w:rsidR="006929CB" w:rsidRPr="0018630D" w:rsidRDefault="006929CB">
            <w:pPr>
              <w:pStyle w:val="TableText"/>
              <w:spacing w:before="40" w:after="40"/>
              <w:rPr>
                <w:szCs w:val="18"/>
              </w:rPr>
            </w:pPr>
            <w:r w:rsidRPr="0018630D">
              <w:rPr>
                <w:rFonts w:eastAsia="Calibri"/>
                <w:szCs w:val="18"/>
              </w:rPr>
              <w:t>1990</w:t>
            </w:r>
          </w:p>
        </w:tc>
        <w:tc>
          <w:tcPr>
            <w:tcW w:w="1701" w:type="dxa"/>
            <w:shd w:val="clear" w:color="auto" w:fill="FFFFFF"/>
            <w:vAlign w:val="center"/>
          </w:tcPr>
          <w:p w14:paraId="15DA8A55" w14:textId="77777777" w:rsidR="006929CB" w:rsidRPr="0018630D" w:rsidRDefault="006929CB">
            <w:pPr>
              <w:pStyle w:val="TableText"/>
              <w:spacing w:before="40" w:after="40"/>
              <w:jc w:val="right"/>
              <w:rPr>
                <w:szCs w:val="18"/>
              </w:rPr>
            </w:pPr>
            <w:r w:rsidRPr="0018630D">
              <w:rPr>
                <w:rFonts w:eastAsia="Calibri"/>
                <w:szCs w:val="18"/>
              </w:rPr>
              <w:t>12,898</w:t>
            </w:r>
          </w:p>
        </w:tc>
        <w:tc>
          <w:tcPr>
            <w:tcW w:w="1701" w:type="dxa"/>
            <w:shd w:val="clear" w:color="auto" w:fill="FFFFFF"/>
            <w:vAlign w:val="center"/>
          </w:tcPr>
          <w:p w14:paraId="7BF996C6"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311A171A" w14:textId="77777777" w:rsidR="006929CB" w:rsidRPr="0018630D" w:rsidRDefault="006929CB">
            <w:pPr>
              <w:pStyle w:val="TableText"/>
              <w:spacing w:before="40" w:after="40"/>
              <w:jc w:val="right"/>
              <w:rPr>
                <w:szCs w:val="18"/>
              </w:rPr>
            </w:pPr>
            <w:r w:rsidRPr="0018630D">
              <w:rPr>
                <w:rFonts w:eastAsia="Calibri"/>
                <w:szCs w:val="18"/>
              </w:rPr>
              <w:t>813</w:t>
            </w:r>
          </w:p>
        </w:tc>
        <w:tc>
          <w:tcPr>
            <w:tcW w:w="1842" w:type="dxa"/>
            <w:shd w:val="clear" w:color="auto" w:fill="FFFFFF"/>
            <w:vAlign w:val="center"/>
          </w:tcPr>
          <w:p w14:paraId="50F50CF2" w14:textId="77777777" w:rsidR="006929CB" w:rsidRPr="0018630D" w:rsidRDefault="006929CB">
            <w:pPr>
              <w:pStyle w:val="TableText"/>
              <w:spacing w:before="40" w:after="40"/>
              <w:jc w:val="right"/>
              <w:rPr>
                <w:szCs w:val="18"/>
              </w:rPr>
            </w:pPr>
            <w:r w:rsidRPr="0018630D">
              <w:rPr>
                <w:rFonts w:eastAsia="Calibri"/>
                <w:szCs w:val="18"/>
              </w:rPr>
              <w:t>13,711</w:t>
            </w:r>
          </w:p>
        </w:tc>
      </w:tr>
      <w:tr w:rsidR="006929CB" w:rsidRPr="0018630D" w14:paraId="45C1A015" w14:textId="77777777" w:rsidTr="0018630D">
        <w:trPr>
          <w:trHeight w:val="283"/>
        </w:trPr>
        <w:tc>
          <w:tcPr>
            <w:tcW w:w="1418" w:type="dxa"/>
            <w:shd w:val="clear" w:color="auto" w:fill="FFFFFF"/>
            <w:vAlign w:val="center"/>
          </w:tcPr>
          <w:p w14:paraId="372F74A7" w14:textId="77777777" w:rsidR="006929CB" w:rsidRPr="0018630D" w:rsidRDefault="006929CB">
            <w:pPr>
              <w:pStyle w:val="TableText"/>
              <w:spacing w:before="40" w:after="40"/>
              <w:rPr>
                <w:szCs w:val="18"/>
              </w:rPr>
            </w:pPr>
            <w:r w:rsidRPr="0018630D">
              <w:rPr>
                <w:rFonts w:eastAsia="Calibri"/>
                <w:szCs w:val="18"/>
              </w:rPr>
              <w:t>1991</w:t>
            </w:r>
          </w:p>
        </w:tc>
        <w:tc>
          <w:tcPr>
            <w:tcW w:w="1701" w:type="dxa"/>
            <w:shd w:val="clear" w:color="auto" w:fill="FFFFFF"/>
            <w:vAlign w:val="center"/>
          </w:tcPr>
          <w:p w14:paraId="329B02EF" w14:textId="77777777" w:rsidR="006929CB" w:rsidRPr="0018630D" w:rsidRDefault="006929CB">
            <w:pPr>
              <w:pStyle w:val="TableText"/>
              <w:spacing w:before="40" w:after="40"/>
              <w:jc w:val="right"/>
              <w:rPr>
                <w:szCs w:val="18"/>
              </w:rPr>
            </w:pPr>
            <w:r w:rsidRPr="0018630D">
              <w:rPr>
                <w:rFonts w:eastAsia="Calibri"/>
                <w:szCs w:val="18"/>
              </w:rPr>
              <w:t>25,477</w:t>
            </w:r>
          </w:p>
        </w:tc>
        <w:tc>
          <w:tcPr>
            <w:tcW w:w="1701" w:type="dxa"/>
            <w:shd w:val="clear" w:color="auto" w:fill="FFFFFF"/>
            <w:vAlign w:val="center"/>
          </w:tcPr>
          <w:p w14:paraId="7FCC639C"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5F16613D" w14:textId="77777777" w:rsidR="006929CB" w:rsidRPr="0018630D" w:rsidRDefault="006929CB">
            <w:pPr>
              <w:pStyle w:val="TableText"/>
              <w:spacing w:before="40" w:after="40"/>
              <w:jc w:val="right"/>
              <w:rPr>
                <w:szCs w:val="18"/>
              </w:rPr>
            </w:pPr>
            <w:r w:rsidRPr="0018630D">
              <w:rPr>
                <w:rFonts w:eastAsia="Calibri"/>
                <w:szCs w:val="18"/>
              </w:rPr>
              <w:t>1,606</w:t>
            </w:r>
          </w:p>
        </w:tc>
        <w:tc>
          <w:tcPr>
            <w:tcW w:w="1842" w:type="dxa"/>
            <w:shd w:val="clear" w:color="auto" w:fill="FFFFFF"/>
            <w:vAlign w:val="center"/>
          </w:tcPr>
          <w:p w14:paraId="789D4DE1" w14:textId="77777777" w:rsidR="006929CB" w:rsidRPr="0018630D" w:rsidRDefault="006929CB">
            <w:pPr>
              <w:pStyle w:val="TableText"/>
              <w:spacing w:before="40" w:after="40"/>
              <w:jc w:val="right"/>
              <w:rPr>
                <w:szCs w:val="18"/>
              </w:rPr>
            </w:pPr>
            <w:r w:rsidRPr="0018630D">
              <w:rPr>
                <w:rFonts w:eastAsia="Calibri"/>
                <w:szCs w:val="18"/>
              </w:rPr>
              <w:t>27,083</w:t>
            </w:r>
          </w:p>
        </w:tc>
      </w:tr>
      <w:tr w:rsidR="006929CB" w:rsidRPr="0018630D" w14:paraId="3845C2D7" w14:textId="77777777" w:rsidTr="0018630D">
        <w:trPr>
          <w:trHeight w:val="283"/>
        </w:trPr>
        <w:tc>
          <w:tcPr>
            <w:tcW w:w="1418" w:type="dxa"/>
            <w:shd w:val="clear" w:color="auto" w:fill="FFFFFF"/>
            <w:vAlign w:val="center"/>
          </w:tcPr>
          <w:p w14:paraId="30271C79" w14:textId="77777777" w:rsidR="006929CB" w:rsidRPr="0018630D" w:rsidRDefault="006929CB">
            <w:pPr>
              <w:pStyle w:val="TableText"/>
              <w:spacing w:before="40" w:after="40"/>
              <w:rPr>
                <w:szCs w:val="18"/>
              </w:rPr>
            </w:pPr>
            <w:r w:rsidRPr="0018630D">
              <w:rPr>
                <w:rFonts w:eastAsia="Calibri"/>
                <w:szCs w:val="18"/>
              </w:rPr>
              <w:t>1992</w:t>
            </w:r>
          </w:p>
        </w:tc>
        <w:tc>
          <w:tcPr>
            <w:tcW w:w="1701" w:type="dxa"/>
            <w:shd w:val="clear" w:color="auto" w:fill="FFFFFF"/>
            <w:vAlign w:val="center"/>
          </w:tcPr>
          <w:p w14:paraId="677C1570" w14:textId="77777777" w:rsidR="006929CB" w:rsidRPr="0018630D" w:rsidRDefault="006929CB">
            <w:pPr>
              <w:pStyle w:val="TableText"/>
              <w:spacing w:before="40" w:after="40"/>
              <w:jc w:val="right"/>
              <w:rPr>
                <w:szCs w:val="18"/>
              </w:rPr>
            </w:pPr>
            <w:r w:rsidRPr="0018630D">
              <w:rPr>
                <w:rFonts w:eastAsia="Calibri"/>
                <w:szCs w:val="18"/>
              </w:rPr>
              <w:t>66,547</w:t>
            </w:r>
          </w:p>
        </w:tc>
        <w:tc>
          <w:tcPr>
            <w:tcW w:w="1701" w:type="dxa"/>
            <w:shd w:val="clear" w:color="auto" w:fill="FFFFFF"/>
            <w:vAlign w:val="center"/>
          </w:tcPr>
          <w:p w14:paraId="1E4F4E78"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638210D5" w14:textId="77777777" w:rsidR="006929CB" w:rsidRPr="0018630D" w:rsidRDefault="006929CB">
            <w:pPr>
              <w:pStyle w:val="TableText"/>
              <w:spacing w:before="40" w:after="40"/>
              <w:jc w:val="right"/>
              <w:rPr>
                <w:szCs w:val="18"/>
              </w:rPr>
            </w:pPr>
            <w:r w:rsidRPr="0018630D">
              <w:rPr>
                <w:rFonts w:eastAsia="Calibri"/>
                <w:szCs w:val="18"/>
              </w:rPr>
              <w:t>4,189</w:t>
            </w:r>
          </w:p>
        </w:tc>
        <w:tc>
          <w:tcPr>
            <w:tcW w:w="1842" w:type="dxa"/>
            <w:shd w:val="clear" w:color="auto" w:fill="FFFFFF"/>
            <w:vAlign w:val="center"/>
          </w:tcPr>
          <w:p w14:paraId="0FCCA0E9" w14:textId="77777777" w:rsidR="006929CB" w:rsidRPr="0018630D" w:rsidRDefault="006929CB">
            <w:pPr>
              <w:pStyle w:val="TableText"/>
              <w:spacing w:before="40" w:after="40"/>
              <w:jc w:val="right"/>
              <w:rPr>
                <w:szCs w:val="18"/>
              </w:rPr>
            </w:pPr>
            <w:r w:rsidRPr="0018630D">
              <w:rPr>
                <w:rFonts w:eastAsia="Calibri"/>
                <w:szCs w:val="18"/>
              </w:rPr>
              <w:t>70,736</w:t>
            </w:r>
          </w:p>
        </w:tc>
      </w:tr>
      <w:tr w:rsidR="006929CB" w:rsidRPr="0018630D" w14:paraId="19521315" w14:textId="77777777" w:rsidTr="0018630D">
        <w:trPr>
          <w:trHeight w:val="283"/>
        </w:trPr>
        <w:tc>
          <w:tcPr>
            <w:tcW w:w="1418" w:type="dxa"/>
            <w:shd w:val="clear" w:color="auto" w:fill="FFFFFF"/>
            <w:vAlign w:val="center"/>
          </w:tcPr>
          <w:p w14:paraId="675094C9" w14:textId="77777777" w:rsidR="006929CB" w:rsidRPr="0018630D" w:rsidRDefault="006929CB">
            <w:pPr>
              <w:pStyle w:val="TableText"/>
              <w:spacing w:before="40" w:after="40"/>
              <w:rPr>
                <w:szCs w:val="18"/>
              </w:rPr>
            </w:pPr>
            <w:r w:rsidRPr="0018630D">
              <w:rPr>
                <w:rFonts w:eastAsia="Calibri"/>
                <w:szCs w:val="18"/>
              </w:rPr>
              <w:t>1993</w:t>
            </w:r>
          </w:p>
        </w:tc>
        <w:tc>
          <w:tcPr>
            <w:tcW w:w="1701" w:type="dxa"/>
            <w:shd w:val="clear" w:color="auto" w:fill="FFFFFF"/>
            <w:vAlign w:val="center"/>
          </w:tcPr>
          <w:p w14:paraId="1968C554" w14:textId="77777777" w:rsidR="006929CB" w:rsidRPr="0018630D" w:rsidRDefault="006929CB">
            <w:pPr>
              <w:pStyle w:val="TableText"/>
              <w:spacing w:before="40" w:after="40"/>
              <w:jc w:val="right"/>
              <w:rPr>
                <w:szCs w:val="18"/>
              </w:rPr>
            </w:pPr>
            <w:r w:rsidRPr="0018630D">
              <w:rPr>
                <w:rFonts w:eastAsia="Calibri"/>
                <w:szCs w:val="18"/>
              </w:rPr>
              <w:t>116,879</w:t>
            </w:r>
          </w:p>
        </w:tc>
        <w:tc>
          <w:tcPr>
            <w:tcW w:w="1701" w:type="dxa"/>
            <w:shd w:val="clear" w:color="auto" w:fill="FFFFFF"/>
            <w:vAlign w:val="center"/>
          </w:tcPr>
          <w:p w14:paraId="6366E6FA"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7DB7FF40" w14:textId="77777777" w:rsidR="006929CB" w:rsidRPr="0018630D" w:rsidRDefault="006929CB">
            <w:pPr>
              <w:pStyle w:val="TableText"/>
              <w:spacing w:before="40" w:after="40"/>
              <w:jc w:val="right"/>
              <w:rPr>
                <w:szCs w:val="18"/>
              </w:rPr>
            </w:pPr>
            <w:r w:rsidRPr="0018630D">
              <w:rPr>
                <w:rFonts w:eastAsia="Calibri"/>
                <w:szCs w:val="18"/>
              </w:rPr>
              <w:t>7,360</w:t>
            </w:r>
          </w:p>
        </w:tc>
        <w:tc>
          <w:tcPr>
            <w:tcW w:w="1842" w:type="dxa"/>
            <w:shd w:val="clear" w:color="auto" w:fill="FFFFFF"/>
            <w:vAlign w:val="center"/>
          </w:tcPr>
          <w:p w14:paraId="16C832D0" w14:textId="77777777" w:rsidR="006929CB" w:rsidRPr="0018630D" w:rsidRDefault="006929CB">
            <w:pPr>
              <w:pStyle w:val="TableText"/>
              <w:spacing w:before="40" w:after="40"/>
              <w:jc w:val="right"/>
              <w:rPr>
                <w:szCs w:val="18"/>
              </w:rPr>
            </w:pPr>
            <w:r w:rsidRPr="0018630D">
              <w:rPr>
                <w:rFonts w:eastAsia="Calibri"/>
                <w:szCs w:val="18"/>
              </w:rPr>
              <w:t>124,239</w:t>
            </w:r>
          </w:p>
        </w:tc>
      </w:tr>
      <w:tr w:rsidR="006929CB" w:rsidRPr="0018630D" w14:paraId="54CF5903" w14:textId="77777777" w:rsidTr="0018630D">
        <w:trPr>
          <w:trHeight w:val="283"/>
        </w:trPr>
        <w:tc>
          <w:tcPr>
            <w:tcW w:w="1418" w:type="dxa"/>
            <w:shd w:val="clear" w:color="auto" w:fill="FFFFFF"/>
            <w:vAlign w:val="center"/>
          </w:tcPr>
          <w:p w14:paraId="7CB2C4F9" w14:textId="77777777" w:rsidR="006929CB" w:rsidRPr="0018630D" w:rsidRDefault="006929CB">
            <w:pPr>
              <w:pStyle w:val="TableText"/>
              <w:spacing w:before="40" w:after="40"/>
              <w:rPr>
                <w:szCs w:val="18"/>
              </w:rPr>
            </w:pPr>
            <w:r w:rsidRPr="0018630D">
              <w:rPr>
                <w:rFonts w:eastAsia="Calibri"/>
                <w:szCs w:val="18"/>
              </w:rPr>
              <w:t>1994</w:t>
            </w:r>
          </w:p>
        </w:tc>
        <w:tc>
          <w:tcPr>
            <w:tcW w:w="1701" w:type="dxa"/>
            <w:shd w:val="clear" w:color="auto" w:fill="FFFFFF"/>
            <w:vAlign w:val="center"/>
          </w:tcPr>
          <w:p w14:paraId="713B7512" w14:textId="77777777" w:rsidR="006929CB" w:rsidRPr="0018630D" w:rsidRDefault="006929CB">
            <w:pPr>
              <w:pStyle w:val="TableText"/>
              <w:spacing w:before="40" w:after="40"/>
              <w:jc w:val="right"/>
              <w:rPr>
                <w:szCs w:val="18"/>
              </w:rPr>
            </w:pPr>
            <w:r w:rsidRPr="0018630D">
              <w:rPr>
                <w:rFonts w:eastAsia="Calibri"/>
                <w:szCs w:val="18"/>
              </w:rPr>
              <w:t>197,125</w:t>
            </w:r>
          </w:p>
        </w:tc>
        <w:tc>
          <w:tcPr>
            <w:tcW w:w="1701" w:type="dxa"/>
            <w:shd w:val="clear" w:color="auto" w:fill="FFFFFF"/>
            <w:vAlign w:val="center"/>
          </w:tcPr>
          <w:p w14:paraId="1107340B"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5C645140" w14:textId="77777777" w:rsidR="006929CB" w:rsidRPr="0018630D" w:rsidRDefault="006929CB">
            <w:pPr>
              <w:pStyle w:val="TableText"/>
              <w:spacing w:before="40" w:after="40"/>
              <w:jc w:val="right"/>
              <w:rPr>
                <w:szCs w:val="18"/>
              </w:rPr>
            </w:pPr>
            <w:r w:rsidRPr="0018630D">
              <w:rPr>
                <w:rFonts w:eastAsia="Calibri"/>
                <w:szCs w:val="18"/>
              </w:rPr>
              <w:t>12,414</w:t>
            </w:r>
          </w:p>
        </w:tc>
        <w:tc>
          <w:tcPr>
            <w:tcW w:w="1842" w:type="dxa"/>
            <w:shd w:val="clear" w:color="auto" w:fill="FFFFFF"/>
            <w:vAlign w:val="center"/>
          </w:tcPr>
          <w:p w14:paraId="0F8DFA7D" w14:textId="77777777" w:rsidR="006929CB" w:rsidRPr="0018630D" w:rsidRDefault="006929CB">
            <w:pPr>
              <w:pStyle w:val="TableText"/>
              <w:spacing w:before="40" w:after="40"/>
              <w:jc w:val="right"/>
              <w:rPr>
                <w:szCs w:val="18"/>
              </w:rPr>
            </w:pPr>
            <w:r w:rsidRPr="0018630D">
              <w:rPr>
                <w:rFonts w:eastAsia="Calibri"/>
                <w:szCs w:val="18"/>
              </w:rPr>
              <w:t>209,539</w:t>
            </w:r>
          </w:p>
        </w:tc>
      </w:tr>
      <w:tr w:rsidR="006929CB" w:rsidRPr="0018630D" w14:paraId="1F5E5415" w14:textId="77777777" w:rsidTr="0018630D">
        <w:trPr>
          <w:trHeight w:val="283"/>
        </w:trPr>
        <w:tc>
          <w:tcPr>
            <w:tcW w:w="1418" w:type="dxa"/>
            <w:shd w:val="clear" w:color="auto" w:fill="FFFFFF"/>
            <w:vAlign w:val="center"/>
          </w:tcPr>
          <w:p w14:paraId="3196AC7F" w14:textId="77777777" w:rsidR="006929CB" w:rsidRPr="0018630D" w:rsidRDefault="006929CB">
            <w:pPr>
              <w:pStyle w:val="TableText"/>
              <w:spacing w:before="40" w:after="40"/>
              <w:rPr>
                <w:szCs w:val="18"/>
              </w:rPr>
            </w:pPr>
            <w:r w:rsidRPr="0018630D">
              <w:rPr>
                <w:rFonts w:eastAsia="Calibri"/>
                <w:szCs w:val="18"/>
              </w:rPr>
              <w:t>1995</w:t>
            </w:r>
          </w:p>
        </w:tc>
        <w:tc>
          <w:tcPr>
            <w:tcW w:w="1701" w:type="dxa"/>
            <w:shd w:val="clear" w:color="auto" w:fill="FFFFFF"/>
            <w:vAlign w:val="center"/>
          </w:tcPr>
          <w:p w14:paraId="7C6446E5" w14:textId="77777777" w:rsidR="006929CB" w:rsidRPr="0018630D" w:rsidRDefault="006929CB">
            <w:pPr>
              <w:pStyle w:val="TableText"/>
              <w:spacing w:before="40" w:after="40"/>
              <w:jc w:val="right"/>
              <w:rPr>
                <w:szCs w:val="18"/>
              </w:rPr>
            </w:pPr>
            <w:r w:rsidRPr="0018630D">
              <w:rPr>
                <w:rFonts w:eastAsia="Calibri"/>
                <w:szCs w:val="18"/>
              </w:rPr>
              <w:t>257,576</w:t>
            </w:r>
          </w:p>
        </w:tc>
        <w:tc>
          <w:tcPr>
            <w:tcW w:w="1701" w:type="dxa"/>
            <w:shd w:val="clear" w:color="auto" w:fill="FFFFFF"/>
            <w:vAlign w:val="center"/>
          </w:tcPr>
          <w:p w14:paraId="2E00B953"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6CD281FC" w14:textId="77777777" w:rsidR="006929CB" w:rsidRPr="0018630D" w:rsidRDefault="006929CB">
            <w:pPr>
              <w:pStyle w:val="TableText"/>
              <w:spacing w:before="40" w:after="40"/>
              <w:jc w:val="right"/>
              <w:rPr>
                <w:szCs w:val="18"/>
              </w:rPr>
            </w:pPr>
            <w:r w:rsidRPr="0018630D">
              <w:rPr>
                <w:rFonts w:eastAsia="Calibri"/>
                <w:szCs w:val="18"/>
              </w:rPr>
              <w:t>16,218</w:t>
            </w:r>
          </w:p>
        </w:tc>
        <w:tc>
          <w:tcPr>
            <w:tcW w:w="1842" w:type="dxa"/>
            <w:shd w:val="clear" w:color="auto" w:fill="FFFFFF"/>
            <w:vAlign w:val="center"/>
          </w:tcPr>
          <w:p w14:paraId="62D1A2C5" w14:textId="77777777" w:rsidR="006929CB" w:rsidRPr="0018630D" w:rsidRDefault="006929CB">
            <w:pPr>
              <w:pStyle w:val="TableText"/>
              <w:spacing w:before="40" w:after="40"/>
              <w:jc w:val="right"/>
              <w:rPr>
                <w:szCs w:val="18"/>
              </w:rPr>
            </w:pPr>
            <w:r w:rsidRPr="0018630D">
              <w:rPr>
                <w:rFonts w:eastAsia="Calibri"/>
                <w:szCs w:val="18"/>
              </w:rPr>
              <w:t>273,794</w:t>
            </w:r>
          </w:p>
        </w:tc>
      </w:tr>
      <w:tr w:rsidR="006929CB" w:rsidRPr="0018630D" w14:paraId="0EA3A3BD" w14:textId="77777777" w:rsidTr="0018630D">
        <w:trPr>
          <w:trHeight w:val="283"/>
        </w:trPr>
        <w:tc>
          <w:tcPr>
            <w:tcW w:w="1418" w:type="dxa"/>
            <w:shd w:val="clear" w:color="auto" w:fill="FFFFFF"/>
            <w:vAlign w:val="center"/>
          </w:tcPr>
          <w:p w14:paraId="00CC6E6B" w14:textId="77777777" w:rsidR="006929CB" w:rsidRPr="0018630D" w:rsidRDefault="006929CB">
            <w:pPr>
              <w:pStyle w:val="TableText"/>
              <w:spacing w:before="40" w:after="40"/>
              <w:rPr>
                <w:szCs w:val="18"/>
              </w:rPr>
            </w:pPr>
            <w:r w:rsidRPr="0018630D">
              <w:rPr>
                <w:rFonts w:eastAsia="Calibri"/>
                <w:szCs w:val="18"/>
              </w:rPr>
              <w:t>1996</w:t>
            </w:r>
          </w:p>
        </w:tc>
        <w:tc>
          <w:tcPr>
            <w:tcW w:w="1701" w:type="dxa"/>
            <w:shd w:val="clear" w:color="auto" w:fill="FFFFFF"/>
            <w:vAlign w:val="center"/>
          </w:tcPr>
          <w:p w14:paraId="3DB4A89B" w14:textId="77777777" w:rsidR="006929CB" w:rsidRPr="0018630D" w:rsidRDefault="006929CB">
            <w:pPr>
              <w:pStyle w:val="TableText"/>
              <w:spacing w:before="40" w:after="40"/>
              <w:jc w:val="right"/>
              <w:rPr>
                <w:szCs w:val="18"/>
              </w:rPr>
            </w:pPr>
            <w:r w:rsidRPr="0018630D">
              <w:rPr>
                <w:rFonts w:eastAsia="Calibri"/>
                <w:szCs w:val="18"/>
              </w:rPr>
              <w:t>326,078</w:t>
            </w:r>
          </w:p>
        </w:tc>
        <w:tc>
          <w:tcPr>
            <w:tcW w:w="1701" w:type="dxa"/>
            <w:shd w:val="clear" w:color="auto" w:fill="FFFFFF"/>
            <w:vAlign w:val="center"/>
          </w:tcPr>
          <w:p w14:paraId="56B522D1"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7E058F6D" w14:textId="77777777" w:rsidR="006929CB" w:rsidRPr="0018630D" w:rsidRDefault="006929CB">
            <w:pPr>
              <w:pStyle w:val="TableText"/>
              <w:spacing w:before="40" w:after="40"/>
              <w:jc w:val="right"/>
              <w:rPr>
                <w:szCs w:val="18"/>
              </w:rPr>
            </w:pPr>
            <w:r w:rsidRPr="0018630D">
              <w:rPr>
                <w:rFonts w:eastAsia="Calibri"/>
                <w:szCs w:val="18"/>
              </w:rPr>
              <w:t>20,520</w:t>
            </w:r>
          </w:p>
        </w:tc>
        <w:tc>
          <w:tcPr>
            <w:tcW w:w="1842" w:type="dxa"/>
            <w:shd w:val="clear" w:color="auto" w:fill="FFFFFF"/>
            <w:vAlign w:val="center"/>
          </w:tcPr>
          <w:p w14:paraId="365C5131" w14:textId="77777777" w:rsidR="006929CB" w:rsidRPr="0018630D" w:rsidRDefault="006929CB">
            <w:pPr>
              <w:pStyle w:val="TableText"/>
              <w:spacing w:before="40" w:after="40"/>
              <w:jc w:val="right"/>
              <w:rPr>
                <w:szCs w:val="18"/>
              </w:rPr>
            </w:pPr>
            <w:r w:rsidRPr="0018630D">
              <w:rPr>
                <w:rFonts w:eastAsia="Calibri"/>
                <w:szCs w:val="18"/>
              </w:rPr>
              <w:t>346,598</w:t>
            </w:r>
          </w:p>
        </w:tc>
      </w:tr>
      <w:tr w:rsidR="006929CB" w:rsidRPr="0018630D" w14:paraId="5769D0C3" w14:textId="77777777" w:rsidTr="0018630D">
        <w:trPr>
          <w:trHeight w:val="283"/>
        </w:trPr>
        <w:tc>
          <w:tcPr>
            <w:tcW w:w="1418" w:type="dxa"/>
            <w:shd w:val="clear" w:color="auto" w:fill="FFFFFF"/>
            <w:vAlign w:val="center"/>
          </w:tcPr>
          <w:p w14:paraId="36CD4275" w14:textId="77777777" w:rsidR="006929CB" w:rsidRPr="0018630D" w:rsidRDefault="006929CB">
            <w:pPr>
              <w:pStyle w:val="TableText"/>
              <w:spacing w:before="40" w:after="40"/>
              <w:rPr>
                <w:szCs w:val="18"/>
              </w:rPr>
            </w:pPr>
            <w:r w:rsidRPr="0018630D">
              <w:rPr>
                <w:rFonts w:eastAsia="Calibri"/>
                <w:szCs w:val="18"/>
              </w:rPr>
              <w:t>1997</w:t>
            </w:r>
          </w:p>
        </w:tc>
        <w:tc>
          <w:tcPr>
            <w:tcW w:w="1701" w:type="dxa"/>
            <w:shd w:val="clear" w:color="auto" w:fill="FFFFFF"/>
            <w:vAlign w:val="center"/>
          </w:tcPr>
          <w:p w14:paraId="7B7B5034" w14:textId="77777777" w:rsidR="006929CB" w:rsidRPr="0018630D" w:rsidRDefault="006929CB">
            <w:pPr>
              <w:pStyle w:val="TableText"/>
              <w:spacing w:before="40" w:after="40"/>
              <w:jc w:val="right"/>
              <w:rPr>
                <w:szCs w:val="18"/>
              </w:rPr>
            </w:pPr>
            <w:r w:rsidRPr="0018630D">
              <w:rPr>
                <w:rFonts w:eastAsia="Calibri"/>
                <w:szCs w:val="18"/>
              </w:rPr>
              <w:t>378,245</w:t>
            </w:r>
          </w:p>
        </w:tc>
        <w:tc>
          <w:tcPr>
            <w:tcW w:w="1701" w:type="dxa"/>
            <w:shd w:val="clear" w:color="auto" w:fill="FFFFFF"/>
            <w:vAlign w:val="center"/>
          </w:tcPr>
          <w:p w14:paraId="44C0C297"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31F603AE" w14:textId="77777777" w:rsidR="006929CB" w:rsidRPr="0018630D" w:rsidRDefault="006929CB">
            <w:pPr>
              <w:pStyle w:val="TableText"/>
              <w:spacing w:before="40" w:after="40"/>
              <w:jc w:val="right"/>
              <w:rPr>
                <w:szCs w:val="18"/>
              </w:rPr>
            </w:pPr>
            <w:r w:rsidRPr="0018630D">
              <w:rPr>
                <w:rFonts w:eastAsia="Calibri"/>
                <w:szCs w:val="18"/>
              </w:rPr>
              <w:t>23,799</w:t>
            </w:r>
          </w:p>
        </w:tc>
        <w:tc>
          <w:tcPr>
            <w:tcW w:w="1842" w:type="dxa"/>
            <w:shd w:val="clear" w:color="auto" w:fill="FFFFFF"/>
            <w:vAlign w:val="center"/>
          </w:tcPr>
          <w:p w14:paraId="45F80878" w14:textId="77777777" w:rsidR="006929CB" w:rsidRPr="0018630D" w:rsidRDefault="006929CB">
            <w:pPr>
              <w:pStyle w:val="TableText"/>
              <w:spacing w:before="40" w:after="40"/>
              <w:jc w:val="right"/>
              <w:rPr>
                <w:szCs w:val="18"/>
              </w:rPr>
            </w:pPr>
            <w:r w:rsidRPr="0018630D">
              <w:rPr>
                <w:rFonts w:eastAsia="Calibri"/>
                <w:szCs w:val="18"/>
              </w:rPr>
              <w:t>402,043</w:t>
            </w:r>
          </w:p>
        </w:tc>
      </w:tr>
      <w:tr w:rsidR="006929CB" w:rsidRPr="0018630D" w14:paraId="08A55FF0" w14:textId="77777777" w:rsidTr="0018630D">
        <w:trPr>
          <w:trHeight w:val="283"/>
        </w:trPr>
        <w:tc>
          <w:tcPr>
            <w:tcW w:w="1418" w:type="dxa"/>
            <w:shd w:val="clear" w:color="auto" w:fill="FFFFFF"/>
            <w:vAlign w:val="center"/>
          </w:tcPr>
          <w:p w14:paraId="117ABBA2" w14:textId="77777777" w:rsidR="006929CB" w:rsidRPr="0018630D" w:rsidRDefault="006929CB">
            <w:pPr>
              <w:pStyle w:val="TableText"/>
              <w:spacing w:before="40" w:after="40"/>
              <w:rPr>
                <w:szCs w:val="18"/>
              </w:rPr>
            </w:pPr>
            <w:r w:rsidRPr="0018630D">
              <w:rPr>
                <w:rFonts w:eastAsia="Calibri"/>
                <w:szCs w:val="18"/>
              </w:rPr>
              <w:t>1998</w:t>
            </w:r>
          </w:p>
        </w:tc>
        <w:tc>
          <w:tcPr>
            <w:tcW w:w="1701" w:type="dxa"/>
            <w:shd w:val="clear" w:color="auto" w:fill="FFFFFF"/>
            <w:vAlign w:val="center"/>
          </w:tcPr>
          <w:p w14:paraId="2C7CF3D2" w14:textId="77777777" w:rsidR="006929CB" w:rsidRPr="0018630D" w:rsidRDefault="006929CB">
            <w:pPr>
              <w:pStyle w:val="TableText"/>
              <w:spacing w:before="40" w:after="40"/>
              <w:jc w:val="right"/>
              <w:rPr>
                <w:szCs w:val="18"/>
              </w:rPr>
            </w:pPr>
            <w:r w:rsidRPr="0018630D">
              <w:rPr>
                <w:rFonts w:eastAsia="Calibri"/>
                <w:szCs w:val="18"/>
              </w:rPr>
              <w:t>420,100</w:t>
            </w:r>
          </w:p>
        </w:tc>
        <w:tc>
          <w:tcPr>
            <w:tcW w:w="1701" w:type="dxa"/>
            <w:shd w:val="clear" w:color="auto" w:fill="FFFFFF"/>
            <w:vAlign w:val="center"/>
          </w:tcPr>
          <w:p w14:paraId="50A27B15"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0458AC86" w14:textId="77777777" w:rsidR="006929CB" w:rsidRPr="0018630D" w:rsidRDefault="006929CB">
            <w:pPr>
              <w:pStyle w:val="TableText"/>
              <w:spacing w:before="40" w:after="40"/>
              <w:jc w:val="right"/>
              <w:rPr>
                <w:szCs w:val="18"/>
              </w:rPr>
            </w:pPr>
            <w:r w:rsidRPr="0018630D">
              <w:rPr>
                <w:rFonts w:eastAsia="Calibri"/>
                <w:szCs w:val="18"/>
              </w:rPr>
              <w:t>26,434</w:t>
            </w:r>
          </w:p>
        </w:tc>
        <w:tc>
          <w:tcPr>
            <w:tcW w:w="1842" w:type="dxa"/>
            <w:shd w:val="clear" w:color="auto" w:fill="FFFFFF"/>
            <w:vAlign w:val="center"/>
          </w:tcPr>
          <w:p w14:paraId="58DF46A0" w14:textId="77777777" w:rsidR="006929CB" w:rsidRPr="0018630D" w:rsidRDefault="006929CB">
            <w:pPr>
              <w:pStyle w:val="TableText"/>
              <w:spacing w:before="40" w:after="40"/>
              <w:jc w:val="right"/>
              <w:rPr>
                <w:szCs w:val="18"/>
              </w:rPr>
            </w:pPr>
            <w:r w:rsidRPr="0018630D">
              <w:rPr>
                <w:rFonts w:eastAsia="Calibri"/>
                <w:szCs w:val="18"/>
              </w:rPr>
              <w:t>446,534</w:t>
            </w:r>
          </w:p>
        </w:tc>
      </w:tr>
      <w:tr w:rsidR="006929CB" w:rsidRPr="0018630D" w14:paraId="334E6727" w14:textId="77777777" w:rsidTr="0018630D">
        <w:trPr>
          <w:trHeight w:val="283"/>
        </w:trPr>
        <w:tc>
          <w:tcPr>
            <w:tcW w:w="1418" w:type="dxa"/>
            <w:shd w:val="clear" w:color="auto" w:fill="FFFFFF"/>
            <w:vAlign w:val="center"/>
          </w:tcPr>
          <w:p w14:paraId="4B5E3EAC" w14:textId="77777777" w:rsidR="006929CB" w:rsidRPr="0018630D" w:rsidRDefault="006929CB">
            <w:pPr>
              <w:pStyle w:val="TableText"/>
              <w:spacing w:before="40" w:after="40"/>
              <w:rPr>
                <w:szCs w:val="18"/>
              </w:rPr>
            </w:pPr>
            <w:r w:rsidRPr="0018630D">
              <w:rPr>
                <w:rFonts w:eastAsia="Calibri"/>
                <w:szCs w:val="18"/>
              </w:rPr>
              <w:t>1999</w:t>
            </w:r>
          </w:p>
        </w:tc>
        <w:tc>
          <w:tcPr>
            <w:tcW w:w="1701" w:type="dxa"/>
            <w:shd w:val="clear" w:color="auto" w:fill="FFFFFF"/>
            <w:vAlign w:val="center"/>
          </w:tcPr>
          <w:p w14:paraId="79972712" w14:textId="77777777" w:rsidR="006929CB" w:rsidRPr="0018630D" w:rsidRDefault="006929CB">
            <w:pPr>
              <w:pStyle w:val="TableText"/>
              <w:spacing w:before="40" w:after="40"/>
              <w:jc w:val="right"/>
              <w:rPr>
                <w:szCs w:val="18"/>
              </w:rPr>
            </w:pPr>
            <w:r w:rsidRPr="0018630D">
              <w:rPr>
                <w:rFonts w:eastAsia="Calibri"/>
                <w:szCs w:val="18"/>
              </w:rPr>
              <w:t>452,801</w:t>
            </w:r>
          </w:p>
        </w:tc>
        <w:tc>
          <w:tcPr>
            <w:tcW w:w="1701" w:type="dxa"/>
            <w:shd w:val="clear" w:color="auto" w:fill="FFFFFF"/>
            <w:vAlign w:val="center"/>
          </w:tcPr>
          <w:p w14:paraId="36C2CE88"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6A7A0DF2" w14:textId="77777777" w:rsidR="006929CB" w:rsidRPr="0018630D" w:rsidRDefault="006929CB">
            <w:pPr>
              <w:pStyle w:val="TableText"/>
              <w:spacing w:before="40" w:after="40"/>
              <w:jc w:val="right"/>
              <w:rPr>
                <w:szCs w:val="18"/>
              </w:rPr>
            </w:pPr>
            <w:r w:rsidRPr="0018630D">
              <w:rPr>
                <w:rFonts w:eastAsia="Calibri"/>
                <w:szCs w:val="18"/>
              </w:rPr>
              <w:t>28,493</w:t>
            </w:r>
          </w:p>
        </w:tc>
        <w:tc>
          <w:tcPr>
            <w:tcW w:w="1842" w:type="dxa"/>
            <w:shd w:val="clear" w:color="auto" w:fill="FFFFFF"/>
            <w:vAlign w:val="center"/>
          </w:tcPr>
          <w:p w14:paraId="6775F53F" w14:textId="77777777" w:rsidR="006929CB" w:rsidRPr="0018630D" w:rsidRDefault="006929CB">
            <w:pPr>
              <w:pStyle w:val="TableText"/>
              <w:spacing w:before="40" w:after="40"/>
              <w:jc w:val="right"/>
              <w:rPr>
                <w:szCs w:val="18"/>
              </w:rPr>
            </w:pPr>
            <w:r w:rsidRPr="0018630D">
              <w:rPr>
                <w:rFonts w:eastAsia="Calibri"/>
                <w:szCs w:val="18"/>
              </w:rPr>
              <w:t>481,294</w:t>
            </w:r>
          </w:p>
        </w:tc>
      </w:tr>
      <w:tr w:rsidR="006929CB" w:rsidRPr="0018630D" w14:paraId="534C45F1" w14:textId="77777777" w:rsidTr="0018630D">
        <w:trPr>
          <w:trHeight w:val="283"/>
        </w:trPr>
        <w:tc>
          <w:tcPr>
            <w:tcW w:w="1418" w:type="dxa"/>
            <w:shd w:val="clear" w:color="auto" w:fill="FFFFFF"/>
            <w:vAlign w:val="center"/>
          </w:tcPr>
          <w:p w14:paraId="61D800E8" w14:textId="77777777" w:rsidR="006929CB" w:rsidRPr="0018630D" w:rsidRDefault="006929CB">
            <w:pPr>
              <w:pStyle w:val="TableText"/>
              <w:spacing w:before="40" w:after="40"/>
              <w:rPr>
                <w:szCs w:val="18"/>
              </w:rPr>
            </w:pPr>
            <w:r w:rsidRPr="0018630D">
              <w:rPr>
                <w:rFonts w:eastAsia="Calibri"/>
                <w:szCs w:val="18"/>
              </w:rPr>
              <w:t>2000</w:t>
            </w:r>
          </w:p>
        </w:tc>
        <w:tc>
          <w:tcPr>
            <w:tcW w:w="1701" w:type="dxa"/>
            <w:shd w:val="clear" w:color="auto" w:fill="FFFFFF"/>
            <w:vAlign w:val="center"/>
          </w:tcPr>
          <w:p w14:paraId="36A7B7E6" w14:textId="77777777" w:rsidR="006929CB" w:rsidRPr="0018630D" w:rsidRDefault="006929CB">
            <w:pPr>
              <w:pStyle w:val="TableText"/>
              <w:spacing w:before="40" w:after="40"/>
              <w:jc w:val="right"/>
              <w:rPr>
                <w:szCs w:val="18"/>
              </w:rPr>
            </w:pPr>
            <w:r w:rsidRPr="0018630D">
              <w:rPr>
                <w:rFonts w:eastAsia="Calibri"/>
                <w:szCs w:val="18"/>
              </w:rPr>
              <w:t>480,380</w:t>
            </w:r>
          </w:p>
        </w:tc>
        <w:tc>
          <w:tcPr>
            <w:tcW w:w="1701" w:type="dxa"/>
            <w:shd w:val="clear" w:color="auto" w:fill="FFFFFF"/>
            <w:vAlign w:val="center"/>
          </w:tcPr>
          <w:p w14:paraId="5B46B072"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41EBE09A" w14:textId="77777777" w:rsidR="006929CB" w:rsidRPr="0018630D" w:rsidRDefault="006929CB">
            <w:pPr>
              <w:pStyle w:val="TableText"/>
              <w:spacing w:before="40" w:after="40"/>
              <w:jc w:val="right"/>
              <w:rPr>
                <w:szCs w:val="18"/>
              </w:rPr>
            </w:pPr>
            <w:r w:rsidRPr="0018630D">
              <w:rPr>
                <w:rFonts w:eastAsia="Calibri"/>
                <w:szCs w:val="18"/>
              </w:rPr>
              <w:t>30,222</w:t>
            </w:r>
          </w:p>
        </w:tc>
        <w:tc>
          <w:tcPr>
            <w:tcW w:w="1842" w:type="dxa"/>
            <w:shd w:val="clear" w:color="auto" w:fill="FFFFFF"/>
            <w:vAlign w:val="center"/>
          </w:tcPr>
          <w:p w14:paraId="11144FF6" w14:textId="77777777" w:rsidR="006929CB" w:rsidRPr="0018630D" w:rsidRDefault="006929CB">
            <w:pPr>
              <w:pStyle w:val="TableText"/>
              <w:spacing w:before="40" w:after="40"/>
              <w:jc w:val="right"/>
              <w:rPr>
                <w:szCs w:val="18"/>
              </w:rPr>
            </w:pPr>
            <w:r w:rsidRPr="0018630D">
              <w:rPr>
                <w:rFonts w:eastAsia="Calibri"/>
                <w:szCs w:val="18"/>
              </w:rPr>
              <w:t>510,602</w:t>
            </w:r>
          </w:p>
        </w:tc>
      </w:tr>
      <w:tr w:rsidR="006929CB" w:rsidRPr="0018630D" w14:paraId="1AE50C8A" w14:textId="77777777" w:rsidTr="0018630D">
        <w:trPr>
          <w:trHeight w:val="283"/>
        </w:trPr>
        <w:tc>
          <w:tcPr>
            <w:tcW w:w="1418" w:type="dxa"/>
            <w:shd w:val="clear" w:color="auto" w:fill="FFFFFF"/>
            <w:vAlign w:val="center"/>
          </w:tcPr>
          <w:p w14:paraId="30240385" w14:textId="77777777" w:rsidR="006929CB" w:rsidRPr="0018630D" w:rsidRDefault="006929CB">
            <w:pPr>
              <w:pStyle w:val="TableText"/>
              <w:spacing w:before="40" w:after="40"/>
              <w:rPr>
                <w:szCs w:val="18"/>
              </w:rPr>
            </w:pPr>
            <w:r w:rsidRPr="0018630D">
              <w:rPr>
                <w:rFonts w:eastAsia="Calibri"/>
                <w:szCs w:val="18"/>
              </w:rPr>
              <w:t>2001</w:t>
            </w:r>
          </w:p>
        </w:tc>
        <w:tc>
          <w:tcPr>
            <w:tcW w:w="1701" w:type="dxa"/>
            <w:shd w:val="clear" w:color="auto" w:fill="FFFFFF"/>
            <w:vAlign w:val="center"/>
          </w:tcPr>
          <w:p w14:paraId="70A7DE67" w14:textId="77777777" w:rsidR="006929CB" w:rsidRPr="0018630D" w:rsidRDefault="006929CB">
            <w:pPr>
              <w:pStyle w:val="TableText"/>
              <w:spacing w:before="40" w:after="40"/>
              <w:jc w:val="right"/>
              <w:rPr>
                <w:szCs w:val="18"/>
              </w:rPr>
            </w:pPr>
            <w:r w:rsidRPr="0018630D">
              <w:rPr>
                <w:rFonts w:eastAsia="Calibri"/>
                <w:szCs w:val="18"/>
              </w:rPr>
              <w:t>504,970</w:t>
            </w:r>
          </w:p>
        </w:tc>
        <w:tc>
          <w:tcPr>
            <w:tcW w:w="1701" w:type="dxa"/>
            <w:shd w:val="clear" w:color="auto" w:fill="FFFFFF"/>
            <w:vAlign w:val="center"/>
          </w:tcPr>
          <w:p w14:paraId="730C147E"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317B2860" w14:textId="77777777" w:rsidR="006929CB" w:rsidRPr="0018630D" w:rsidRDefault="006929CB">
            <w:pPr>
              <w:pStyle w:val="TableText"/>
              <w:spacing w:before="40" w:after="40"/>
              <w:jc w:val="right"/>
              <w:rPr>
                <w:szCs w:val="18"/>
              </w:rPr>
            </w:pPr>
            <w:r w:rsidRPr="0018630D">
              <w:rPr>
                <w:rFonts w:eastAsia="Calibri"/>
                <w:szCs w:val="18"/>
              </w:rPr>
              <w:t>31,771</w:t>
            </w:r>
          </w:p>
        </w:tc>
        <w:tc>
          <w:tcPr>
            <w:tcW w:w="1842" w:type="dxa"/>
            <w:shd w:val="clear" w:color="auto" w:fill="FFFFFF"/>
            <w:vAlign w:val="center"/>
          </w:tcPr>
          <w:p w14:paraId="5CC8B56D" w14:textId="77777777" w:rsidR="006929CB" w:rsidRPr="0018630D" w:rsidRDefault="006929CB">
            <w:pPr>
              <w:pStyle w:val="TableText"/>
              <w:spacing w:before="40" w:after="40"/>
              <w:jc w:val="right"/>
              <w:rPr>
                <w:szCs w:val="18"/>
              </w:rPr>
            </w:pPr>
            <w:r w:rsidRPr="0018630D">
              <w:rPr>
                <w:rFonts w:eastAsia="Calibri"/>
                <w:szCs w:val="18"/>
              </w:rPr>
              <w:t>536,741</w:t>
            </w:r>
          </w:p>
        </w:tc>
      </w:tr>
      <w:tr w:rsidR="006929CB" w:rsidRPr="0018630D" w14:paraId="4524BCD9" w14:textId="77777777" w:rsidTr="0018630D">
        <w:trPr>
          <w:trHeight w:val="283"/>
        </w:trPr>
        <w:tc>
          <w:tcPr>
            <w:tcW w:w="1418" w:type="dxa"/>
            <w:shd w:val="clear" w:color="auto" w:fill="FFFFFF"/>
            <w:vAlign w:val="center"/>
          </w:tcPr>
          <w:p w14:paraId="601EB9DC" w14:textId="77777777" w:rsidR="006929CB" w:rsidRPr="0018630D" w:rsidRDefault="006929CB">
            <w:pPr>
              <w:pStyle w:val="TableText"/>
              <w:spacing w:before="40" w:after="40"/>
              <w:rPr>
                <w:szCs w:val="18"/>
              </w:rPr>
            </w:pPr>
            <w:r w:rsidRPr="0018630D">
              <w:rPr>
                <w:rFonts w:eastAsia="Calibri"/>
                <w:szCs w:val="18"/>
              </w:rPr>
              <w:t>2002</w:t>
            </w:r>
          </w:p>
        </w:tc>
        <w:tc>
          <w:tcPr>
            <w:tcW w:w="1701" w:type="dxa"/>
            <w:shd w:val="clear" w:color="auto" w:fill="FFFFFF"/>
            <w:vAlign w:val="center"/>
          </w:tcPr>
          <w:p w14:paraId="15CD21D0" w14:textId="77777777" w:rsidR="006929CB" w:rsidRPr="0018630D" w:rsidRDefault="006929CB">
            <w:pPr>
              <w:pStyle w:val="TableText"/>
              <w:spacing w:before="40" w:after="40"/>
              <w:jc w:val="right"/>
              <w:rPr>
                <w:szCs w:val="18"/>
              </w:rPr>
            </w:pPr>
            <w:r w:rsidRPr="0018630D">
              <w:rPr>
                <w:rFonts w:eastAsia="Calibri"/>
                <w:szCs w:val="18"/>
              </w:rPr>
              <w:t>522,192</w:t>
            </w:r>
          </w:p>
        </w:tc>
        <w:tc>
          <w:tcPr>
            <w:tcW w:w="1701" w:type="dxa"/>
            <w:shd w:val="clear" w:color="auto" w:fill="FFFFFF"/>
            <w:vAlign w:val="center"/>
          </w:tcPr>
          <w:p w14:paraId="7996E9D2"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2D952583" w14:textId="77777777" w:rsidR="006929CB" w:rsidRPr="0018630D" w:rsidRDefault="006929CB">
            <w:pPr>
              <w:pStyle w:val="TableText"/>
              <w:spacing w:before="40" w:after="40"/>
              <w:jc w:val="right"/>
              <w:rPr>
                <w:szCs w:val="18"/>
              </w:rPr>
            </w:pPr>
            <w:r w:rsidRPr="0018630D">
              <w:rPr>
                <w:rFonts w:eastAsia="Calibri"/>
                <w:szCs w:val="18"/>
              </w:rPr>
              <w:t>32,909</w:t>
            </w:r>
          </w:p>
        </w:tc>
        <w:tc>
          <w:tcPr>
            <w:tcW w:w="1842" w:type="dxa"/>
            <w:shd w:val="clear" w:color="auto" w:fill="FFFFFF"/>
            <w:vAlign w:val="center"/>
          </w:tcPr>
          <w:p w14:paraId="4DCCCEC2" w14:textId="77777777" w:rsidR="006929CB" w:rsidRPr="0018630D" w:rsidRDefault="006929CB">
            <w:pPr>
              <w:pStyle w:val="TableText"/>
              <w:spacing w:before="40" w:after="40"/>
              <w:jc w:val="right"/>
              <w:rPr>
                <w:szCs w:val="18"/>
              </w:rPr>
            </w:pPr>
            <w:r w:rsidRPr="0018630D">
              <w:rPr>
                <w:rFonts w:eastAsia="Calibri"/>
                <w:szCs w:val="18"/>
              </w:rPr>
              <w:t>555,100</w:t>
            </w:r>
          </w:p>
        </w:tc>
      </w:tr>
      <w:tr w:rsidR="006929CB" w:rsidRPr="0018630D" w14:paraId="317BC69F" w14:textId="77777777" w:rsidTr="0018630D">
        <w:trPr>
          <w:trHeight w:val="283"/>
        </w:trPr>
        <w:tc>
          <w:tcPr>
            <w:tcW w:w="1418" w:type="dxa"/>
            <w:shd w:val="clear" w:color="auto" w:fill="FFFFFF"/>
            <w:vAlign w:val="center"/>
          </w:tcPr>
          <w:p w14:paraId="2D6D988A" w14:textId="77777777" w:rsidR="006929CB" w:rsidRPr="0018630D" w:rsidRDefault="006929CB">
            <w:pPr>
              <w:pStyle w:val="TableText"/>
              <w:spacing w:before="40" w:after="40"/>
              <w:rPr>
                <w:szCs w:val="18"/>
              </w:rPr>
            </w:pPr>
            <w:r w:rsidRPr="0018630D">
              <w:rPr>
                <w:rFonts w:eastAsia="Calibri"/>
                <w:szCs w:val="18"/>
              </w:rPr>
              <w:t>2003</w:t>
            </w:r>
          </w:p>
        </w:tc>
        <w:tc>
          <w:tcPr>
            <w:tcW w:w="1701" w:type="dxa"/>
            <w:shd w:val="clear" w:color="auto" w:fill="FFFFFF"/>
            <w:vAlign w:val="center"/>
          </w:tcPr>
          <w:p w14:paraId="6081B974" w14:textId="77777777" w:rsidR="006929CB" w:rsidRPr="0018630D" w:rsidRDefault="006929CB">
            <w:pPr>
              <w:pStyle w:val="TableText"/>
              <w:spacing w:before="40" w:after="40"/>
              <w:jc w:val="right"/>
              <w:rPr>
                <w:szCs w:val="18"/>
              </w:rPr>
            </w:pPr>
            <w:r w:rsidRPr="0018630D">
              <w:rPr>
                <w:rFonts w:eastAsia="Calibri"/>
                <w:szCs w:val="18"/>
              </w:rPr>
              <w:t>535,850</w:t>
            </w:r>
          </w:p>
        </w:tc>
        <w:tc>
          <w:tcPr>
            <w:tcW w:w="1701" w:type="dxa"/>
            <w:shd w:val="clear" w:color="auto" w:fill="FFFFFF"/>
            <w:vAlign w:val="center"/>
          </w:tcPr>
          <w:p w14:paraId="6BB47061"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04481FE5" w14:textId="77777777" w:rsidR="006929CB" w:rsidRPr="0018630D" w:rsidRDefault="006929CB">
            <w:pPr>
              <w:pStyle w:val="TableText"/>
              <w:spacing w:before="40" w:after="40"/>
              <w:jc w:val="right"/>
              <w:rPr>
                <w:szCs w:val="18"/>
              </w:rPr>
            </w:pPr>
            <w:r w:rsidRPr="0018630D">
              <w:rPr>
                <w:rFonts w:eastAsia="Calibri"/>
                <w:szCs w:val="18"/>
              </w:rPr>
              <w:t>33,933</w:t>
            </w:r>
          </w:p>
        </w:tc>
        <w:tc>
          <w:tcPr>
            <w:tcW w:w="1842" w:type="dxa"/>
            <w:shd w:val="clear" w:color="auto" w:fill="FFFFFF"/>
            <w:vAlign w:val="center"/>
          </w:tcPr>
          <w:p w14:paraId="5DFC41F9" w14:textId="77777777" w:rsidR="006929CB" w:rsidRPr="0018630D" w:rsidRDefault="006929CB">
            <w:pPr>
              <w:pStyle w:val="TableText"/>
              <w:spacing w:before="40" w:after="40"/>
              <w:jc w:val="right"/>
              <w:rPr>
                <w:szCs w:val="18"/>
              </w:rPr>
            </w:pPr>
            <w:r w:rsidRPr="0018630D">
              <w:rPr>
                <w:rFonts w:eastAsia="Calibri"/>
                <w:szCs w:val="18"/>
              </w:rPr>
              <w:t>569,783</w:t>
            </w:r>
          </w:p>
        </w:tc>
      </w:tr>
      <w:tr w:rsidR="006929CB" w:rsidRPr="0018630D" w14:paraId="59987D47" w14:textId="77777777" w:rsidTr="0018630D">
        <w:trPr>
          <w:trHeight w:val="283"/>
        </w:trPr>
        <w:tc>
          <w:tcPr>
            <w:tcW w:w="1418" w:type="dxa"/>
            <w:shd w:val="clear" w:color="auto" w:fill="FFFFFF"/>
            <w:vAlign w:val="center"/>
          </w:tcPr>
          <w:p w14:paraId="747FA171" w14:textId="77777777" w:rsidR="006929CB" w:rsidRPr="0018630D" w:rsidRDefault="006929CB">
            <w:pPr>
              <w:pStyle w:val="TableText"/>
              <w:spacing w:before="40" w:after="40"/>
              <w:rPr>
                <w:szCs w:val="18"/>
              </w:rPr>
            </w:pPr>
            <w:r w:rsidRPr="0018630D">
              <w:rPr>
                <w:rFonts w:eastAsia="Calibri"/>
                <w:szCs w:val="18"/>
              </w:rPr>
              <w:t>2004</w:t>
            </w:r>
          </w:p>
        </w:tc>
        <w:tc>
          <w:tcPr>
            <w:tcW w:w="1701" w:type="dxa"/>
            <w:shd w:val="clear" w:color="auto" w:fill="FFFFFF"/>
            <w:vAlign w:val="center"/>
          </w:tcPr>
          <w:p w14:paraId="5F616A87" w14:textId="77777777" w:rsidR="006929CB" w:rsidRPr="0018630D" w:rsidRDefault="006929CB">
            <w:pPr>
              <w:pStyle w:val="TableText"/>
              <w:spacing w:before="40" w:after="40"/>
              <w:jc w:val="right"/>
              <w:rPr>
                <w:szCs w:val="18"/>
              </w:rPr>
            </w:pPr>
            <w:r w:rsidRPr="0018630D">
              <w:rPr>
                <w:rFonts w:eastAsia="Calibri"/>
                <w:szCs w:val="18"/>
              </w:rPr>
              <w:t>542,127</w:t>
            </w:r>
          </w:p>
        </w:tc>
        <w:tc>
          <w:tcPr>
            <w:tcW w:w="1701" w:type="dxa"/>
            <w:shd w:val="clear" w:color="auto" w:fill="FFFFFF"/>
            <w:vAlign w:val="center"/>
          </w:tcPr>
          <w:p w14:paraId="3740AE43"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476A056C" w14:textId="77777777" w:rsidR="006929CB" w:rsidRPr="0018630D" w:rsidRDefault="006929CB">
            <w:pPr>
              <w:pStyle w:val="TableText"/>
              <w:spacing w:before="40" w:after="40"/>
              <w:jc w:val="right"/>
              <w:rPr>
                <w:szCs w:val="18"/>
              </w:rPr>
            </w:pPr>
            <w:r w:rsidRPr="0018630D">
              <w:rPr>
                <w:rFonts w:eastAsia="Calibri"/>
                <w:szCs w:val="18"/>
              </w:rPr>
              <w:t>34,478</w:t>
            </w:r>
          </w:p>
        </w:tc>
        <w:tc>
          <w:tcPr>
            <w:tcW w:w="1842" w:type="dxa"/>
            <w:shd w:val="clear" w:color="auto" w:fill="FFFFFF"/>
            <w:vAlign w:val="center"/>
          </w:tcPr>
          <w:p w14:paraId="495EEC35" w14:textId="77777777" w:rsidR="006929CB" w:rsidRPr="0018630D" w:rsidRDefault="006929CB">
            <w:pPr>
              <w:pStyle w:val="TableText"/>
              <w:spacing w:before="40" w:after="40"/>
              <w:jc w:val="right"/>
              <w:rPr>
                <w:szCs w:val="18"/>
              </w:rPr>
            </w:pPr>
            <w:r w:rsidRPr="0018630D">
              <w:rPr>
                <w:rFonts w:eastAsia="Calibri"/>
                <w:szCs w:val="18"/>
              </w:rPr>
              <w:t>576,605</w:t>
            </w:r>
          </w:p>
        </w:tc>
      </w:tr>
      <w:tr w:rsidR="006929CB" w:rsidRPr="0018630D" w14:paraId="2D55656F" w14:textId="77777777" w:rsidTr="0018630D">
        <w:trPr>
          <w:trHeight w:val="283"/>
        </w:trPr>
        <w:tc>
          <w:tcPr>
            <w:tcW w:w="1418" w:type="dxa"/>
            <w:shd w:val="clear" w:color="auto" w:fill="FFFFFF"/>
            <w:vAlign w:val="center"/>
          </w:tcPr>
          <w:p w14:paraId="4A0AE655" w14:textId="77777777" w:rsidR="006929CB" w:rsidRPr="0018630D" w:rsidRDefault="006929CB">
            <w:pPr>
              <w:pStyle w:val="TableText"/>
              <w:spacing w:before="40" w:after="40"/>
              <w:rPr>
                <w:szCs w:val="18"/>
              </w:rPr>
            </w:pPr>
            <w:r w:rsidRPr="0018630D">
              <w:rPr>
                <w:rFonts w:eastAsia="Calibri"/>
                <w:szCs w:val="18"/>
              </w:rPr>
              <w:t>2005</w:t>
            </w:r>
          </w:p>
        </w:tc>
        <w:tc>
          <w:tcPr>
            <w:tcW w:w="1701" w:type="dxa"/>
            <w:shd w:val="clear" w:color="auto" w:fill="FFFFFF"/>
            <w:vAlign w:val="center"/>
          </w:tcPr>
          <w:p w14:paraId="1F33270B" w14:textId="77777777" w:rsidR="006929CB" w:rsidRPr="0018630D" w:rsidRDefault="006929CB">
            <w:pPr>
              <w:pStyle w:val="TableText"/>
              <w:spacing w:before="40" w:after="40"/>
              <w:jc w:val="right"/>
              <w:rPr>
                <w:szCs w:val="18"/>
              </w:rPr>
            </w:pPr>
            <w:r w:rsidRPr="0018630D">
              <w:rPr>
                <w:rFonts w:eastAsia="Calibri"/>
                <w:szCs w:val="18"/>
              </w:rPr>
              <w:t>544,350</w:t>
            </w:r>
          </w:p>
        </w:tc>
        <w:tc>
          <w:tcPr>
            <w:tcW w:w="1701" w:type="dxa"/>
            <w:shd w:val="clear" w:color="auto" w:fill="FFFFFF"/>
            <w:vAlign w:val="center"/>
          </w:tcPr>
          <w:p w14:paraId="086D9483"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6EE70BF3" w14:textId="77777777" w:rsidR="006929CB" w:rsidRPr="0018630D" w:rsidRDefault="006929CB">
            <w:pPr>
              <w:pStyle w:val="TableText"/>
              <w:spacing w:before="40" w:after="40"/>
              <w:jc w:val="right"/>
              <w:rPr>
                <w:szCs w:val="18"/>
              </w:rPr>
            </w:pPr>
            <w:r w:rsidRPr="0018630D">
              <w:rPr>
                <w:rFonts w:eastAsia="Calibri"/>
                <w:szCs w:val="18"/>
              </w:rPr>
              <w:t>34,787</w:t>
            </w:r>
          </w:p>
        </w:tc>
        <w:tc>
          <w:tcPr>
            <w:tcW w:w="1842" w:type="dxa"/>
            <w:shd w:val="clear" w:color="auto" w:fill="FFFFFF"/>
            <w:vAlign w:val="center"/>
          </w:tcPr>
          <w:p w14:paraId="30C2697B" w14:textId="77777777" w:rsidR="006929CB" w:rsidRPr="0018630D" w:rsidRDefault="006929CB">
            <w:pPr>
              <w:pStyle w:val="TableText"/>
              <w:spacing w:before="40" w:after="40"/>
              <w:jc w:val="right"/>
              <w:rPr>
                <w:szCs w:val="18"/>
              </w:rPr>
            </w:pPr>
            <w:r w:rsidRPr="0018630D">
              <w:rPr>
                <w:rFonts w:eastAsia="Calibri"/>
                <w:szCs w:val="18"/>
              </w:rPr>
              <w:t>579,137</w:t>
            </w:r>
          </w:p>
        </w:tc>
      </w:tr>
      <w:tr w:rsidR="006929CB" w:rsidRPr="0018630D" w14:paraId="440489A6" w14:textId="77777777" w:rsidTr="0018630D">
        <w:trPr>
          <w:trHeight w:val="283"/>
        </w:trPr>
        <w:tc>
          <w:tcPr>
            <w:tcW w:w="1418" w:type="dxa"/>
            <w:shd w:val="clear" w:color="auto" w:fill="FFFFFF"/>
            <w:vAlign w:val="center"/>
          </w:tcPr>
          <w:p w14:paraId="40210D52" w14:textId="77777777" w:rsidR="006929CB" w:rsidRPr="0018630D" w:rsidRDefault="006929CB">
            <w:pPr>
              <w:pStyle w:val="TableText"/>
              <w:spacing w:before="40" w:after="40"/>
              <w:rPr>
                <w:szCs w:val="18"/>
              </w:rPr>
            </w:pPr>
            <w:r w:rsidRPr="0018630D">
              <w:rPr>
                <w:rFonts w:eastAsia="Calibri"/>
                <w:szCs w:val="18"/>
              </w:rPr>
              <w:t>2006</w:t>
            </w:r>
          </w:p>
        </w:tc>
        <w:tc>
          <w:tcPr>
            <w:tcW w:w="1701" w:type="dxa"/>
            <w:shd w:val="clear" w:color="auto" w:fill="FFFFFF"/>
            <w:vAlign w:val="center"/>
          </w:tcPr>
          <w:p w14:paraId="4F08CCE4" w14:textId="77777777" w:rsidR="006929CB" w:rsidRPr="0018630D" w:rsidRDefault="006929CB">
            <w:pPr>
              <w:pStyle w:val="TableText"/>
              <w:spacing w:before="40" w:after="40"/>
              <w:jc w:val="right"/>
              <w:rPr>
                <w:szCs w:val="18"/>
              </w:rPr>
            </w:pPr>
            <w:r w:rsidRPr="0018630D">
              <w:rPr>
                <w:rFonts w:eastAsia="Calibri"/>
                <w:szCs w:val="18"/>
              </w:rPr>
              <w:t>544,155</w:t>
            </w:r>
          </w:p>
        </w:tc>
        <w:tc>
          <w:tcPr>
            <w:tcW w:w="1701" w:type="dxa"/>
            <w:shd w:val="clear" w:color="auto" w:fill="FFFFFF"/>
            <w:vAlign w:val="center"/>
          </w:tcPr>
          <w:p w14:paraId="1FA93952"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3A08C73F" w14:textId="77777777" w:rsidR="006929CB" w:rsidRPr="0018630D" w:rsidRDefault="006929CB">
            <w:pPr>
              <w:pStyle w:val="TableText"/>
              <w:spacing w:before="40" w:after="40"/>
              <w:jc w:val="right"/>
              <w:rPr>
                <w:szCs w:val="18"/>
              </w:rPr>
            </w:pPr>
            <w:r w:rsidRPr="0018630D">
              <w:rPr>
                <w:rFonts w:eastAsia="Calibri"/>
                <w:szCs w:val="18"/>
              </w:rPr>
              <w:t>34,921</w:t>
            </w:r>
          </w:p>
        </w:tc>
        <w:tc>
          <w:tcPr>
            <w:tcW w:w="1842" w:type="dxa"/>
            <w:shd w:val="clear" w:color="auto" w:fill="FFFFFF"/>
            <w:vAlign w:val="center"/>
          </w:tcPr>
          <w:p w14:paraId="7DD08829" w14:textId="77777777" w:rsidR="006929CB" w:rsidRPr="0018630D" w:rsidRDefault="006929CB">
            <w:pPr>
              <w:pStyle w:val="TableText"/>
              <w:spacing w:before="40" w:after="40"/>
              <w:jc w:val="right"/>
              <w:rPr>
                <w:szCs w:val="18"/>
              </w:rPr>
            </w:pPr>
            <w:r w:rsidRPr="0018630D">
              <w:rPr>
                <w:rFonts w:eastAsia="Calibri"/>
                <w:szCs w:val="18"/>
              </w:rPr>
              <w:t>579,076</w:t>
            </w:r>
          </w:p>
        </w:tc>
      </w:tr>
      <w:tr w:rsidR="006929CB" w:rsidRPr="0018630D" w14:paraId="6791DB7C" w14:textId="77777777" w:rsidTr="0018630D">
        <w:trPr>
          <w:trHeight w:val="283"/>
        </w:trPr>
        <w:tc>
          <w:tcPr>
            <w:tcW w:w="1418" w:type="dxa"/>
            <w:shd w:val="clear" w:color="auto" w:fill="FFFFFF"/>
            <w:vAlign w:val="center"/>
          </w:tcPr>
          <w:p w14:paraId="7D218FC6" w14:textId="77777777" w:rsidR="006929CB" w:rsidRPr="0018630D" w:rsidRDefault="006929CB">
            <w:pPr>
              <w:pStyle w:val="TableText"/>
              <w:spacing w:before="40" w:after="40"/>
              <w:rPr>
                <w:szCs w:val="18"/>
              </w:rPr>
            </w:pPr>
            <w:r w:rsidRPr="0018630D">
              <w:rPr>
                <w:rFonts w:eastAsia="Calibri"/>
                <w:szCs w:val="18"/>
              </w:rPr>
              <w:t>2007</w:t>
            </w:r>
          </w:p>
        </w:tc>
        <w:tc>
          <w:tcPr>
            <w:tcW w:w="1701" w:type="dxa"/>
            <w:shd w:val="clear" w:color="auto" w:fill="FFFFFF"/>
            <w:vAlign w:val="center"/>
          </w:tcPr>
          <w:p w14:paraId="0B95A368" w14:textId="77777777" w:rsidR="006929CB" w:rsidRPr="0018630D" w:rsidRDefault="006929CB">
            <w:pPr>
              <w:pStyle w:val="TableText"/>
              <w:spacing w:before="40" w:after="40"/>
              <w:jc w:val="right"/>
              <w:rPr>
                <w:szCs w:val="18"/>
              </w:rPr>
            </w:pPr>
            <w:r w:rsidRPr="0018630D">
              <w:rPr>
                <w:rFonts w:eastAsia="Calibri"/>
                <w:szCs w:val="18"/>
              </w:rPr>
              <w:t>540,553</w:t>
            </w:r>
          </w:p>
        </w:tc>
        <w:tc>
          <w:tcPr>
            <w:tcW w:w="1701" w:type="dxa"/>
            <w:shd w:val="clear" w:color="auto" w:fill="FFFFFF"/>
            <w:vAlign w:val="center"/>
          </w:tcPr>
          <w:p w14:paraId="06AA85A8"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56D62C56" w14:textId="77777777" w:rsidR="006929CB" w:rsidRPr="0018630D" w:rsidRDefault="006929CB">
            <w:pPr>
              <w:pStyle w:val="TableText"/>
              <w:spacing w:before="40" w:after="40"/>
              <w:jc w:val="right"/>
              <w:rPr>
                <w:szCs w:val="18"/>
              </w:rPr>
            </w:pPr>
            <w:r w:rsidRPr="0018630D">
              <w:rPr>
                <w:rFonts w:eastAsia="Calibri"/>
                <w:szCs w:val="18"/>
              </w:rPr>
              <w:t>35,045</w:t>
            </w:r>
          </w:p>
        </w:tc>
        <w:tc>
          <w:tcPr>
            <w:tcW w:w="1842" w:type="dxa"/>
            <w:shd w:val="clear" w:color="auto" w:fill="FFFFFF"/>
            <w:vAlign w:val="center"/>
          </w:tcPr>
          <w:p w14:paraId="716FC2D2" w14:textId="77777777" w:rsidR="006929CB" w:rsidRPr="0018630D" w:rsidRDefault="006929CB">
            <w:pPr>
              <w:pStyle w:val="TableText"/>
              <w:spacing w:before="40" w:after="40"/>
              <w:jc w:val="right"/>
              <w:rPr>
                <w:szCs w:val="18"/>
              </w:rPr>
            </w:pPr>
            <w:r w:rsidRPr="0018630D">
              <w:rPr>
                <w:rFonts w:eastAsia="Calibri"/>
                <w:szCs w:val="18"/>
              </w:rPr>
              <w:t>575,597</w:t>
            </w:r>
          </w:p>
        </w:tc>
      </w:tr>
      <w:tr w:rsidR="006929CB" w:rsidRPr="0018630D" w14:paraId="27ADA722" w14:textId="77777777" w:rsidTr="0018630D">
        <w:trPr>
          <w:trHeight w:val="283"/>
        </w:trPr>
        <w:tc>
          <w:tcPr>
            <w:tcW w:w="1418" w:type="dxa"/>
            <w:shd w:val="clear" w:color="auto" w:fill="FFFFFF"/>
            <w:vAlign w:val="center"/>
          </w:tcPr>
          <w:p w14:paraId="619E2526" w14:textId="77777777" w:rsidR="006929CB" w:rsidRPr="0018630D" w:rsidRDefault="006929CB">
            <w:pPr>
              <w:pStyle w:val="TableText"/>
              <w:spacing w:before="40" w:after="40"/>
              <w:rPr>
                <w:szCs w:val="18"/>
              </w:rPr>
            </w:pPr>
            <w:r w:rsidRPr="0018630D">
              <w:rPr>
                <w:rFonts w:eastAsia="Calibri"/>
                <w:szCs w:val="18"/>
              </w:rPr>
              <w:t>2008</w:t>
            </w:r>
          </w:p>
        </w:tc>
        <w:tc>
          <w:tcPr>
            <w:tcW w:w="1701" w:type="dxa"/>
            <w:shd w:val="clear" w:color="auto" w:fill="FFFFFF"/>
            <w:vAlign w:val="center"/>
          </w:tcPr>
          <w:p w14:paraId="0B03FB60" w14:textId="77777777" w:rsidR="006929CB" w:rsidRPr="0018630D" w:rsidRDefault="006929CB">
            <w:pPr>
              <w:pStyle w:val="TableText"/>
              <w:spacing w:before="40" w:after="40"/>
              <w:jc w:val="right"/>
              <w:rPr>
                <w:szCs w:val="18"/>
              </w:rPr>
            </w:pPr>
            <w:r w:rsidRPr="0018630D">
              <w:rPr>
                <w:rFonts w:eastAsia="Calibri"/>
                <w:szCs w:val="18"/>
              </w:rPr>
              <w:t>541,987</w:t>
            </w:r>
          </w:p>
        </w:tc>
        <w:tc>
          <w:tcPr>
            <w:tcW w:w="1701" w:type="dxa"/>
            <w:shd w:val="clear" w:color="auto" w:fill="FFFFFF"/>
            <w:vAlign w:val="center"/>
          </w:tcPr>
          <w:p w14:paraId="32CF39D0"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52E9B348" w14:textId="77777777" w:rsidR="006929CB" w:rsidRPr="0018630D" w:rsidRDefault="006929CB">
            <w:pPr>
              <w:pStyle w:val="TableText"/>
              <w:spacing w:before="40" w:after="40"/>
              <w:jc w:val="right"/>
              <w:rPr>
                <w:szCs w:val="18"/>
              </w:rPr>
            </w:pPr>
            <w:r w:rsidRPr="0018630D">
              <w:rPr>
                <w:rFonts w:eastAsia="Calibri"/>
                <w:szCs w:val="18"/>
              </w:rPr>
              <w:t>35,213</w:t>
            </w:r>
          </w:p>
        </w:tc>
        <w:tc>
          <w:tcPr>
            <w:tcW w:w="1842" w:type="dxa"/>
            <w:shd w:val="clear" w:color="auto" w:fill="FFFFFF"/>
            <w:vAlign w:val="center"/>
          </w:tcPr>
          <w:p w14:paraId="6A8FBF60" w14:textId="77777777" w:rsidR="006929CB" w:rsidRPr="0018630D" w:rsidRDefault="006929CB">
            <w:pPr>
              <w:pStyle w:val="TableText"/>
              <w:spacing w:before="40" w:after="40"/>
              <w:jc w:val="right"/>
              <w:rPr>
                <w:szCs w:val="18"/>
              </w:rPr>
            </w:pPr>
            <w:r w:rsidRPr="0018630D">
              <w:rPr>
                <w:rFonts w:eastAsia="Calibri"/>
                <w:szCs w:val="18"/>
              </w:rPr>
              <w:t>577,200</w:t>
            </w:r>
          </w:p>
        </w:tc>
      </w:tr>
      <w:tr w:rsidR="006929CB" w:rsidRPr="0018630D" w14:paraId="04A5A07D" w14:textId="77777777" w:rsidTr="0018630D">
        <w:trPr>
          <w:trHeight w:val="283"/>
        </w:trPr>
        <w:tc>
          <w:tcPr>
            <w:tcW w:w="1418" w:type="dxa"/>
            <w:shd w:val="clear" w:color="auto" w:fill="FFFFFF"/>
            <w:vAlign w:val="center"/>
          </w:tcPr>
          <w:p w14:paraId="4BF19459" w14:textId="77777777" w:rsidR="006929CB" w:rsidRPr="0018630D" w:rsidRDefault="006929CB">
            <w:pPr>
              <w:pStyle w:val="TableText"/>
              <w:spacing w:before="40" w:after="40"/>
              <w:rPr>
                <w:szCs w:val="18"/>
              </w:rPr>
            </w:pPr>
            <w:r w:rsidRPr="0018630D">
              <w:rPr>
                <w:rFonts w:eastAsia="Calibri"/>
                <w:szCs w:val="18"/>
              </w:rPr>
              <w:t>2009</w:t>
            </w:r>
          </w:p>
        </w:tc>
        <w:tc>
          <w:tcPr>
            <w:tcW w:w="1701" w:type="dxa"/>
            <w:shd w:val="clear" w:color="auto" w:fill="FFFFFF"/>
            <w:vAlign w:val="center"/>
          </w:tcPr>
          <w:p w14:paraId="0DD501BD" w14:textId="77777777" w:rsidR="006929CB" w:rsidRPr="0018630D" w:rsidRDefault="006929CB">
            <w:pPr>
              <w:pStyle w:val="TableText"/>
              <w:spacing w:before="40" w:after="40"/>
              <w:jc w:val="right"/>
              <w:rPr>
                <w:szCs w:val="18"/>
              </w:rPr>
            </w:pPr>
            <w:r w:rsidRPr="0018630D">
              <w:rPr>
                <w:rFonts w:eastAsia="Calibri"/>
                <w:szCs w:val="18"/>
              </w:rPr>
              <w:t>545,837</w:t>
            </w:r>
          </w:p>
        </w:tc>
        <w:tc>
          <w:tcPr>
            <w:tcW w:w="1701" w:type="dxa"/>
            <w:shd w:val="clear" w:color="auto" w:fill="FFFFFF"/>
            <w:vAlign w:val="center"/>
          </w:tcPr>
          <w:p w14:paraId="3FB05640" w14:textId="77777777" w:rsidR="006929CB" w:rsidRPr="0018630D" w:rsidRDefault="006929CB">
            <w:pPr>
              <w:pStyle w:val="TableText"/>
              <w:spacing w:before="40" w:after="40"/>
              <w:jc w:val="right"/>
              <w:rPr>
                <w:szCs w:val="18"/>
              </w:rPr>
            </w:pPr>
            <w:r w:rsidRPr="0018630D">
              <w:rPr>
                <w:rFonts w:eastAsia="Calibri"/>
                <w:szCs w:val="18"/>
              </w:rPr>
              <w:t>NA</w:t>
            </w:r>
          </w:p>
        </w:tc>
        <w:tc>
          <w:tcPr>
            <w:tcW w:w="1843" w:type="dxa"/>
            <w:shd w:val="clear" w:color="auto" w:fill="FFFFFF"/>
            <w:vAlign w:val="center"/>
          </w:tcPr>
          <w:p w14:paraId="6AE99DA1" w14:textId="77777777" w:rsidR="006929CB" w:rsidRPr="0018630D" w:rsidRDefault="006929CB">
            <w:pPr>
              <w:pStyle w:val="TableText"/>
              <w:spacing w:before="40" w:after="40"/>
              <w:jc w:val="right"/>
              <w:rPr>
                <w:szCs w:val="18"/>
              </w:rPr>
            </w:pPr>
            <w:r w:rsidRPr="0018630D">
              <w:rPr>
                <w:rFonts w:eastAsia="Calibri"/>
                <w:szCs w:val="18"/>
              </w:rPr>
              <w:t>35,595</w:t>
            </w:r>
          </w:p>
        </w:tc>
        <w:tc>
          <w:tcPr>
            <w:tcW w:w="1842" w:type="dxa"/>
            <w:shd w:val="clear" w:color="auto" w:fill="FFFFFF"/>
            <w:vAlign w:val="center"/>
          </w:tcPr>
          <w:p w14:paraId="1F51152A" w14:textId="77777777" w:rsidR="006929CB" w:rsidRPr="0018630D" w:rsidRDefault="006929CB">
            <w:pPr>
              <w:pStyle w:val="TableText"/>
              <w:spacing w:before="40" w:after="40"/>
              <w:jc w:val="right"/>
              <w:rPr>
                <w:szCs w:val="18"/>
              </w:rPr>
            </w:pPr>
            <w:r w:rsidRPr="0018630D">
              <w:rPr>
                <w:rFonts w:eastAsia="Calibri"/>
                <w:szCs w:val="18"/>
              </w:rPr>
              <w:t>581,432</w:t>
            </w:r>
          </w:p>
        </w:tc>
      </w:tr>
      <w:tr w:rsidR="006929CB" w:rsidRPr="0018630D" w14:paraId="29D396CE" w14:textId="77777777" w:rsidTr="0018630D">
        <w:trPr>
          <w:trHeight w:val="283"/>
        </w:trPr>
        <w:tc>
          <w:tcPr>
            <w:tcW w:w="1418" w:type="dxa"/>
            <w:shd w:val="clear" w:color="auto" w:fill="FFFFFF"/>
            <w:vAlign w:val="center"/>
          </w:tcPr>
          <w:p w14:paraId="610A7FAC" w14:textId="77777777" w:rsidR="006929CB" w:rsidRPr="0018630D" w:rsidRDefault="006929CB">
            <w:pPr>
              <w:pStyle w:val="TableText"/>
              <w:spacing w:before="40" w:after="40"/>
              <w:rPr>
                <w:szCs w:val="18"/>
              </w:rPr>
            </w:pPr>
            <w:r w:rsidRPr="0018630D">
              <w:rPr>
                <w:rFonts w:eastAsia="Calibri"/>
                <w:szCs w:val="18"/>
              </w:rPr>
              <w:t>2010</w:t>
            </w:r>
          </w:p>
        </w:tc>
        <w:tc>
          <w:tcPr>
            <w:tcW w:w="1701" w:type="dxa"/>
            <w:shd w:val="clear" w:color="auto" w:fill="FFFFFF"/>
            <w:vAlign w:val="center"/>
          </w:tcPr>
          <w:p w14:paraId="6AD0E663" w14:textId="77777777" w:rsidR="006929CB" w:rsidRPr="0018630D" w:rsidRDefault="006929CB">
            <w:pPr>
              <w:pStyle w:val="TableText"/>
              <w:spacing w:before="40" w:after="40"/>
              <w:jc w:val="right"/>
              <w:rPr>
                <w:szCs w:val="18"/>
              </w:rPr>
            </w:pPr>
            <w:r w:rsidRPr="0018630D">
              <w:rPr>
                <w:rFonts w:eastAsia="Calibri"/>
                <w:szCs w:val="18"/>
              </w:rPr>
              <w:t>552,286</w:t>
            </w:r>
          </w:p>
        </w:tc>
        <w:tc>
          <w:tcPr>
            <w:tcW w:w="1701" w:type="dxa"/>
            <w:shd w:val="clear" w:color="auto" w:fill="FFFFFF"/>
            <w:vAlign w:val="center"/>
          </w:tcPr>
          <w:p w14:paraId="6B235C4C" w14:textId="77777777" w:rsidR="006929CB" w:rsidRPr="0018630D" w:rsidRDefault="006929CB">
            <w:pPr>
              <w:pStyle w:val="TableText"/>
              <w:spacing w:before="40" w:after="40"/>
              <w:jc w:val="right"/>
              <w:rPr>
                <w:szCs w:val="18"/>
              </w:rPr>
            </w:pPr>
            <w:r w:rsidRPr="0018630D">
              <w:rPr>
                <w:szCs w:val="18"/>
              </w:rPr>
              <w:t>NA</w:t>
            </w:r>
          </w:p>
        </w:tc>
        <w:tc>
          <w:tcPr>
            <w:tcW w:w="1843" w:type="dxa"/>
            <w:shd w:val="clear" w:color="auto" w:fill="FFFFFF"/>
            <w:vAlign w:val="center"/>
          </w:tcPr>
          <w:p w14:paraId="4698C506" w14:textId="77777777" w:rsidR="006929CB" w:rsidRPr="0018630D" w:rsidRDefault="006929CB">
            <w:pPr>
              <w:pStyle w:val="TableText"/>
              <w:spacing w:before="40" w:after="40"/>
              <w:jc w:val="right"/>
              <w:rPr>
                <w:szCs w:val="18"/>
              </w:rPr>
            </w:pPr>
            <w:r w:rsidRPr="0018630D">
              <w:rPr>
                <w:rFonts w:eastAsia="Calibri"/>
                <w:szCs w:val="18"/>
              </w:rPr>
              <w:t>36,127</w:t>
            </w:r>
          </w:p>
        </w:tc>
        <w:tc>
          <w:tcPr>
            <w:tcW w:w="1842" w:type="dxa"/>
            <w:shd w:val="clear" w:color="auto" w:fill="FFFFFF"/>
            <w:vAlign w:val="center"/>
          </w:tcPr>
          <w:p w14:paraId="6DCB42EE" w14:textId="77777777" w:rsidR="006929CB" w:rsidRPr="0018630D" w:rsidRDefault="006929CB">
            <w:pPr>
              <w:pStyle w:val="TableText"/>
              <w:spacing w:before="40" w:after="40"/>
              <w:jc w:val="right"/>
              <w:rPr>
                <w:szCs w:val="18"/>
              </w:rPr>
            </w:pPr>
            <w:r w:rsidRPr="0018630D">
              <w:rPr>
                <w:rFonts w:eastAsia="Calibri"/>
                <w:szCs w:val="18"/>
              </w:rPr>
              <w:t>588,413</w:t>
            </w:r>
          </w:p>
        </w:tc>
      </w:tr>
      <w:tr w:rsidR="006929CB" w:rsidRPr="0018630D" w14:paraId="5A67E616" w14:textId="77777777" w:rsidTr="0018630D">
        <w:trPr>
          <w:trHeight w:val="283"/>
        </w:trPr>
        <w:tc>
          <w:tcPr>
            <w:tcW w:w="1418" w:type="dxa"/>
            <w:shd w:val="clear" w:color="auto" w:fill="FFFFFF"/>
            <w:vAlign w:val="center"/>
          </w:tcPr>
          <w:p w14:paraId="354D1781" w14:textId="77777777" w:rsidR="006929CB" w:rsidRPr="0018630D" w:rsidRDefault="006929CB">
            <w:pPr>
              <w:pStyle w:val="TableText"/>
              <w:spacing w:before="40" w:after="40"/>
              <w:rPr>
                <w:szCs w:val="18"/>
              </w:rPr>
            </w:pPr>
            <w:r w:rsidRPr="0018630D">
              <w:rPr>
                <w:rFonts w:eastAsia="Calibri"/>
                <w:szCs w:val="18"/>
              </w:rPr>
              <w:t>2011</w:t>
            </w:r>
          </w:p>
        </w:tc>
        <w:tc>
          <w:tcPr>
            <w:tcW w:w="1701" w:type="dxa"/>
            <w:shd w:val="clear" w:color="auto" w:fill="FFFFFF"/>
            <w:vAlign w:val="center"/>
          </w:tcPr>
          <w:p w14:paraId="698B9251" w14:textId="77777777" w:rsidR="006929CB" w:rsidRPr="0018630D" w:rsidRDefault="006929CB">
            <w:pPr>
              <w:pStyle w:val="TableText"/>
              <w:spacing w:before="40" w:after="40"/>
              <w:jc w:val="right"/>
              <w:rPr>
                <w:szCs w:val="18"/>
              </w:rPr>
            </w:pPr>
            <w:r w:rsidRPr="0018630D">
              <w:rPr>
                <w:rFonts w:eastAsia="Calibri"/>
                <w:szCs w:val="18"/>
              </w:rPr>
              <w:t>566,495</w:t>
            </w:r>
          </w:p>
        </w:tc>
        <w:tc>
          <w:tcPr>
            <w:tcW w:w="1701" w:type="dxa"/>
            <w:shd w:val="clear" w:color="auto" w:fill="FFFFFF"/>
            <w:vAlign w:val="center"/>
          </w:tcPr>
          <w:p w14:paraId="2A792131" w14:textId="77777777" w:rsidR="006929CB" w:rsidRPr="0018630D" w:rsidRDefault="006929CB">
            <w:pPr>
              <w:pStyle w:val="TableText"/>
              <w:spacing w:before="40" w:after="40"/>
              <w:jc w:val="right"/>
              <w:rPr>
                <w:szCs w:val="18"/>
              </w:rPr>
            </w:pPr>
            <w:r w:rsidRPr="0018630D">
              <w:rPr>
                <w:szCs w:val="18"/>
              </w:rPr>
              <w:t>NA</w:t>
            </w:r>
          </w:p>
        </w:tc>
        <w:tc>
          <w:tcPr>
            <w:tcW w:w="1843" w:type="dxa"/>
            <w:shd w:val="clear" w:color="auto" w:fill="FFFFFF"/>
            <w:vAlign w:val="center"/>
          </w:tcPr>
          <w:p w14:paraId="03FB20A2" w14:textId="77777777" w:rsidR="006929CB" w:rsidRPr="0018630D" w:rsidRDefault="006929CB">
            <w:pPr>
              <w:pStyle w:val="TableText"/>
              <w:spacing w:before="40" w:after="40"/>
              <w:jc w:val="right"/>
              <w:rPr>
                <w:szCs w:val="18"/>
              </w:rPr>
            </w:pPr>
            <w:r w:rsidRPr="0018630D">
              <w:rPr>
                <w:rFonts w:eastAsia="Calibri"/>
                <w:szCs w:val="18"/>
              </w:rPr>
              <w:t>37,192</w:t>
            </w:r>
          </w:p>
        </w:tc>
        <w:tc>
          <w:tcPr>
            <w:tcW w:w="1842" w:type="dxa"/>
            <w:shd w:val="clear" w:color="auto" w:fill="FFFFFF"/>
            <w:vAlign w:val="center"/>
          </w:tcPr>
          <w:p w14:paraId="541F936F" w14:textId="77777777" w:rsidR="006929CB" w:rsidRPr="0018630D" w:rsidRDefault="006929CB">
            <w:pPr>
              <w:pStyle w:val="TableText"/>
              <w:spacing w:before="40" w:after="40"/>
              <w:jc w:val="right"/>
              <w:rPr>
                <w:szCs w:val="18"/>
              </w:rPr>
            </w:pPr>
            <w:r w:rsidRPr="0018630D">
              <w:rPr>
                <w:rFonts w:eastAsia="Calibri"/>
                <w:szCs w:val="18"/>
              </w:rPr>
              <w:t>603,687</w:t>
            </w:r>
          </w:p>
        </w:tc>
      </w:tr>
      <w:tr w:rsidR="006929CB" w:rsidRPr="0018630D" w14:paraId="258B5D1D" w14:textId="77777777" w:rsidTr="0018630D">
        <w:trPr>
          <w:trHeight w:val="283"/>
        </w:trPr>
        <w:tc>
          <w:tcPr>
            <w:tcW w:w="1418" w:type="dxa"/>
            <w:shd w:val="clear" w:color="auto" w:fill="FFFFFF"/>
            <w:vAlign w:val="center"/>
          </w:tcPr>
          <w:p w14:paraId="5EF2AEE2" w14:textId="77777777" w:rsidR="006929CB" w:rsidRPr="0018630D" w:rsidRDefault="006929CB">
            <w:pPr>
              <w:pStyle w:val="TableText"/>
              <w:spacing w:before="40" w:after="40"/>
              <w:rPr>
                <w:szCs w:val="18"/>
              </w:rPr>
            </w:pPr>
            <w:r w:rsidRPr="0018630D">
              <w:rPr>
                <w:rFonts w:eastAsia="Calibri"/>
                <w:szCs w:val="18"/>
              </w:rPr>
              <w:t>2012</w:t>
            </w:r>
          </w:p>
        </w:tc>
        <w:tc>
          <w:tcPr>
            <w:tcW w:w="1701" w:type="dxa"/>
            <w:shd w:val="clear" w:color="auto" w:fill="FFFFFF"/>
            <w:vAlign w:val="center"/>
          </w:tcPr>
          <w:p w14:paraId="1F2C0C97" w14:textId="77777777" w:rsidR="006929CB" w:rsidRPr="0018630D" w:rsidRDefault="006929CB">
            <w:pPr>
              <w:pStyle w:val="TableText"/>
              <w:spacing w:before="40" w:after="40"/>
              <w:jc w:val="right"/>
              <w:rPr>
                <w:szCs w:val="18"/>
              </w:rPr>
            </w:pPr>
            <w:r w:rsidRPr="0018630D">
              <w:rPr>
                <w:rFonts w:eastAsia="Calibri"/>
                <w:szCs w:val="18"/>
              </w:rPr>
              <w:t>580,516</w:t>
            </w:r>
          </w:p>
        </w:tc>
        <w:tc>
          <w:tcPr>
            <w:tcW w:w="1701" w:type="dxa"/>
            <w:shd w:val="clear" w:color="auto" w:fill="FFFFFF"/>
            <w:vAlign w:val="center"/>
          </w:tcPr>
          <w:p w14:paraId="77EBB353" w14:textId="77777777" w:rsidR="006929CB" w:rsidRPr="0018630D" w:rsidRDefault="006929CB">
            <w:pPr>
              <w:pStyle w:val="TableText"/>
              <w:spacing w:before="40" w:after="40"/>
              <w:jc w:val="right"/>
              <w:rPr>
                <w:szCs w:val="18"/>
              </w:rPr>
            </w:pPr>
            <w:r w:rsidRPr="0018630D">
              <w:rPr>
                <w:szCs w:val="18"/>
              </w:rPr>
              <w:t>NA</w:t>
            </w:r>
          </w:p>
        </w:tc>
        <w:tc>
          <w:tcPr>
            <w:tcW w:w="1843" w:type="dxa"/>
            <w:shd w:val="clear" w:color="auto" w:fill="FFFFFF"/>
            <w:vAlign w:val="center"/>
          </w:tcPr>
          <w:p w14:paraId="284B7961" w14:textId="77777777" w:rsidR="006929CB" w:rsidRPr="0018630D" w:rsidRDefault="006929CB">
            <w:pPr>
              <w:pStyle w:val="TableText"/>
              <w:spacing w:before="40" w:after="40"/>
              <w:jc w:val="right"/>
              <w:rPr>
                <w:szCs w:val="18"/>
              </w:rPr>
            </w:pPr>
            <w:r w:rsidRPr="0018630D">
              <w:rPr>
                <w:rFonts w:eastAsia="Calibri"/>
                <w:szCs w:val="18"/>
              </w:rPr>
              <w:t>38,212</w:t>
            </w:r>
          </w:p>
        </w:tc>
        <w:tc>
          <w:tcPr>
            <w:tcW w:w="1842" w:type="dxa"/>
            <w:shd w:val="clear" w:color="auto" w:fill="FFFFFF"/>
            <w:vAlign w:val="center"/>
          </w:tcPr>
          <w:p w14:paraId="727C4C63" w14:textId="77777777" w:rsidR="006929CB" w:rsidRPr="0018630D" w:rsidRDefault="006929CB">
            <w:pPr>
              <w:pStyle w:val="TableText"/>
              <w:spacing w:before="40" w:after="40"/>
              <w:jc w:val="right"/>
              <w:rPr>
                <w:szCs w:val="18"/>
              </w:rPr>
            </w:pPr>
            <w:r w:rsidRPr="0018630D">
              <w:rPr>
                <w:rFonts w:eastAsia="Calibri"/>
                <w:szCs w:val="18"/>
              </w:rPr>
              <w:t>618,728</w:t>
            </w:r>
          </w:p>
        </w:tc>
      </w:tr>
      <w:tr w:rsidR="006929CB" w:rsidRPr="0018630D" w14:paraId="35295943" w14:textId="77777777" w:rsidTr="0018630D">
        <w:trPr>
          <w:trHeight w:val="283"/>
        </w:trPr>
        <w:tc>
          <w:tcPr>
            <w:tcW w:w="1418" w:type="dxa"/>
            <w:shd w:val="clear" w:color="auto" w:fill="FFFFFF"/>
            <w:vAlign w:val="center"/>
          </w:tcPr>
          <w:p w14:paraId="6E7FF1C8" w14:textId="77777777" w:rsidR="006929CB" w:rsidRPr="0018630D" w:rsidRDefault="006929CB">
            <w:pPr>
              <w:pStyle w:val="TableText"/>
              <w:spacing w:before="40" w:after="40"/>
              <w:rPr>
                <w:szCs w:val="18"/>
              </w:rPr>
            </w:pPr>
            <w:r w:rsidRPr="0018630D">
              <w:rPr>
                <w:rFonts w:eastAsia="Calibri"/>
                <w:szCs w:val="18"/>
              </w:rPr>
              <w:t>2013</w:t>
            </w:r>
          </w:p>
        </w:tc>
        <w:tc>
          <w:tcPr>
            <w:tcW w:w="1701" w:type="dxa"/>
            <w:shd w:val="clear" w:color="auto" w:fill="FFFFFF"/>
            <w:vAlign w:val="center"/>
          </w:tcPr>
          <w:p w14:paraId="3D6B741A" w14:textId="77777777" w:rsidR="006929CB" w:rsidRPr="0018630D" w:rsidRDefault="006929CB">
            <w:pPr>
              <w:pStyle w:val="TableText"/>
              <w:spacing w:before="40" w:after="40"/>
              <w:jc w:val="right"/>
              <w:rPr>
                <w:szCs w:val="18"/>
              </w:rPr>
            </w:pPr>
            <w:r w:rsidRPr="0018630D">
              <w:rPr>
                <w:rFonts w:eastAsia="Calibri"/>
                <w:szCs w:val="18"/>
              </w:rPr>
              <w:t>576,706</w:t>
            </w:r>
          </w:p>
        </w:tc>
        <w:tc>
          <w:tcPr>
            <w:tcW w:w="1701" w:type="dxa"/>
            <w:shd w:val="clear" w:color="auto" w:fill="FFFFFF"/>
            <w:vAlign w:val="center"/>
          </w:tcPr>
          <w:p w14:paraId="5E51D964" w14:textId="77777777" w:rsidR="006929CB" w:rsidRPr="0018630D" w:rsidRDefault="006929CB">
            <w:pPr>
              <w:pStyle w:val="TableText"/>
              <w:spacing w:before="40" w:after="40"/>
              <w:jc w:val="right"/>
              <w:rPr>
                <w:szCs w:val="18"/>
              </w:rPr>
            </w:pPr>
            <w:r w:rsidRPr="0018630D">
              <w:rPr>
                <w:rFonts w:eastAsia="Calibri"/>
                <w:szCs w:val="18"/>
              </w:rPr>
              <w:t>6,861</w:t>
            </w:r>
          </w:p>
        </w:tc>
        <w:tc>
          <w:tcPr>
            <w:tcW w:w="1843" w:type="dxa"/>
            <w:shd w:val="clear" w:color="auto" w:fill="FFFFFF"/>
            <w:vAlign w:val="center"/>
          </w:tcPr>
          <w:p w14:paraId="050DCA44" w14:textId="77777777" w:rsidR="006929CB" w:rsidRPr="0018630D" w:rsidRDefault="006929CB">
            <w:pPr>
              <w:pStyle w:val="TableText"/>
              <w:spacing w:before="40" w:after="40"/>
              <w:jc w:val="right"/>
              <w:rPr>
                <w:szCs w:val="18"/>
              </w:rPr>
            </w:pPr>
            <w:r w:rsidRPr="0018630D">
              <w:rPr>
                <w:rFonts w:eastAsia="Calibri"/>
                <w:szCs w:val="18"/>
              </w:rPr>
              <w:t>38,589</w:t>
            </w:r>
          </w:p>
        </w:tc>
        <w:tc>
          <w:tcPr>
            <w:tcW w:w="1842" w:type="dxa"/>
            <w:shd w:val="clear" w:color="auto" w:fill="FFFFFF"/>
            <w:vAlign w:val="center"/>
          </w:tcPr>
          <w:p w14:paraId="7D154C9F" w14:textId="77777777" w:rsidR="006929CB" w:rsidRPr="0018630D" w:rsidRDefault="006929CB">
            <w:pPr>
              <w:pStyle w:val="TableText"/>
              <w:spacing w:before="40" w:after="40"/>
              <w:jc w:val="right"/>
              <w:rPr>
                <w:szCs w:val="18"/>
              </w:rPr>
            </w:pPr>
            <w:r w:rsidRPr="0018630D">
              <w:rPr>
                <w:rFonts w:eastAsia="Calibri"/>
                <w:szCs w:val="18"/>
              </w:rPr>
              <w:t>622,156</w:t>
            </w:r>
          </w:p>
        </w:tc>
      </w:tr>
      <w:tr w:rsidR="006929CB" w:rsidRPr="0018630D" w14:paraId="5D0DB103" w14:textId="77777777" w:rsidTr="0018630D">
        <w:trPr>
          <w:trHeight w:val="283"/>
        </w:trPr>
        <w:tc>
          <w:tcPr>
            <w:tcW w:w="1418" w:type="dxa"/>
            <w:shd w:val="clear" w:color="auto" w:fill="FFFFFF"/>
            <w:vAlign w:val="center"/>
          </w:tcPr>
          <w:p w14:paraId="0E522F97" w14:textId="77777777" w:rsidR="006929CB" w:rsidRPr="0018630D" w:rsidRDefault="006929CB">
            <w:pPr>
              <w:pStyle w:val="TableText"/>
              <w:spacing w:before="40" w:after="40"/>
              <w:rPr>
                <w:szCs w:val="18"/>
              </w:rPr>
            </w:pPr>
            <w:r w:rsidRPr="0018630D">
              <w:rPr>
                <w:rFonts w:eastAsia="Calibri"/>
                <w:szCs w:val="18"/>
              </w:rPr>
              <w:t>2014</w:t>
            </w:r>
          </w:p>
        </w:tc>
        <w:tc>
          <w:tcPr>
            <w:tcW w:w="1701" w:type="dxa"/>
            <w:shd w:val="clear" w:color="auto" w:fill="FFFFFF"/>
            <w:vAlign w:val="center"/>
          </w:tcPr>
          <w:p w14:paraId="01F87BF1" w14:textId="77777777" w:rsidR="006929CB" w:rsidRPr="0018630D" w:rsidRDefault="006929CB">
            <w:pPr>
              <w:pStyle w:val="TableText"/>
              <w:spacing w:before="40" w:after="40"/>
              <w:jc w:val="right"/>
              <w:rPr>
                <w:szCs w:val="18"/>
              </w:rPr>
            </w:pPr>
            <w:r w:rsidRPr="0018630D">
              <w:rPr>
                <w:rFonts w:eastAsia="Calibri"/>
                <w:szCs w:val="18"/>
              </w:rPr>
              <w:t>571,710</w:t>
            </w:r>
          </w:p>
        </w:tc>
        <w:tc>
          <w:tcPr>
            <w:tcW w:w="1701" w:type="dxa"/>
            <w:shd w:val="clear" w:color="auto" w:fill="FFFFFF"/>
            <w:vAlign w:val="center"/>
          </w:tcPr>
          <w:p w14:paraId="34B775FD" w14:textId="77777777" w:rsidR="006929CB" w:rsidRPr="0018630D" w:rsidRDefault="006929CB">
            <w:pPr>
              <w:pStyle w:val="TableText"/>
              <w:spacing w:before="40" w:after="40"/>
              <w:jc w:val="right"/>
              <w:rPr>
                <w:szCs w:val="18"/>
              </w:rPr>
            </w:pPr>
            <w:r w:rsidRPr="0018630D">
              <w:rPr>
                <w:rFonts w:eastAsia="Calibri"/>
                <w:szCs w:val="18"/>
              </w:rPr>
              <w:t>12,919</w:t>
            </w:r>
          </w:p>
        </w:tc>
        <w:tc>
          <w:tcPr>
            <w:tcW w:w="1843" w:type="dxa"/>
            <w:shd w:val="clear" w:color="auto" w:fill="FFFFFF"/>
            <w:vAlign w:val="center"/>
          </w:tcPr>
          <w:p w14:paraId="7D362F8B" w14:textId="77777777" w:rsidR="006929CB" w:rsidRPr="0018630D" w:rsidRDefault="006929CB">
            <w:pPr>
              <w:pStyle w:val="TableText"/>
              <w:spacing w:before="40" w:after="40"/>
              <w:jc w:val="right"/>
              <w:rPr>
                <w:szCs w:val="18"/>
              </w:rPr>
            </w:pPr>
            <w:r w:rsidRPr="0018630D">
              <w:rPr>
                <w:rFonts w:eastAsia="Calibri"/>
                <w:szCs w:val="18"/>
              </w:rPr>
              <w:t>38,877</w:t>
            </w:r>
          </w:p>
        </w:tc>
        <w:tc>
          <w:tcPr>
            <w:tcW w:w="1842" w:type="dxa"/>
            <w:shd w:val="clear" w:color="auto" w:fill="FFFFFF"/>
            <w:vAlign w:val="center"/>
          </w:tcPr>
          <w:p w14:paraId="22CAE707" w14:textId="77777777" w:rsidR="006929CB" w:rsidRPr="0018630D" w:rsidRDefault="006929CB">
            <w:pPr>
              <w:pStyle w:val="TableText"/>
              <w:spacing w:before="40" w:after="40"/>
              <w:jc w:val="right"/>
              <w:rPr>
                <w:szCs w:val="18"/>
              </w:rPr>
            </w:pPr>
            <w:r w:rsidRPr="0018630D">
              <w:rPr>
                <w:rFonts w:eastAsia="Calibri"/>
                <w:szCs w:val="18"/>
              </w:rPr>
              <w:t>623,506</w:t>
            </w:r>
          </w:p>
        </w:tc>
      </w:tr>
      <w:tr w:rsidR="006929CB" w:rsidRPr="0018630D" w14:paraId="2C7E284B" w14:textId="77777777" w:rsidTr="0018630D">
        <w:trPr>
          <w:trHeight w:val="283"/>
        </w:trPr>
        <w:tc>
          <w:tcPr>
            <w:tcW w:w="1418" w:type="dxa"/>
            <w:shd w:val="clear" w:color="auto" w:fill="FFFFFF"/>
            <w:vAlign w:val="center"/>
          </w:tcPr>
          <w:p w14:paraId="714CA624" w14:textId="77777777" w:rsidR="006929CB" w:rsidRPr="0018630D" w:rsidRDefault="006929CB">
            <w:pPr>
              <w:pStyle w:val="TableText"/>
              <w:spacing w:before="40" w:after="40"/>
              <w:rPr>
                <w:szCs w:val="18"/>
              </w:rPr>
            </w:pPr>
            <w:r w:rsidRPr="0018630D">
              <w:rPr>
                <w:rFonts w:eastAsia="Calibri"/>
                <w:szCs w:val="18"/>
              </w:rPr>
              <w:t>2015</w:t>
            </w:r>
          </w:p>
        </w:tc>
        <w:tc>
          <w:tcPr>
            <w:tcW w:w="1701" w:type="dxa"/>
            <w:shd w:val="clear" w:color="auto" w:fill="FFFFFF"/>
            <w:vAlign w:val="center"/>
          </w:tcPr>
          <w:p w14:paraId="248E9C0E" w14:textId="77777777" w:rsidR="006929CB" w:rsidRPr="0018630D" w:rsidRDefault="006929CB">
            <w:pPr>
              <w:pStyle w:val="TableText"/>
              <w:spacing w:before="40" w:after="40"/>
              <w:jc w:val="right"/>
              <w:rPr>
                <w:szCs w:val="18"/>
              </w:rPr>
            </w:pPr>
            <w:r w:rsidRPr="0018630D">
              <w:rPr>
                <w:rFonts w:eastAsia="Calibri"/>
                <w:szCs w:val="18"/>
              </w:rPr>
              <w:t>542,290</w:t>
            </w:r>
          </w:p>
        </w:tc>
        <w:tc>
          <w:tcPr>
            <w:tcW w:w="1701" w:type="dxa"/>
            <w:shd w:val="clear" w:color="auto" w:fill="FFFFFF"/>
            <w:vAlign w:val="center"/>
          </w:tcPr>
          <w:p w14:paraId="0E058AFF" w14:textId="77777777" w:rsidR="006929CB" w:rsidRPr="0018630D" w:rsidRDefault="006929CB">
            <w:pPr>
              <w:pStyle w:val="TableText"/>
              <w:spacing w:before="40" w:after="40"/>
              <w:jc w:val="right"/>
              <w:rPr>
                <w:szCs w:val="18"/>
              </w:rPr>
            </w:pPr>
            <w:r w:rsidRPr="0018630D">
              <w:rPr>
                <w:rFonts w:eastAsia="Calibri"/>
                <w:szCs w:val="18"/>
              </w:rPr>
              <w:t>44,109</w:t>
            </w:r>
          </w:p>
        </w:tc>
        <w:tc>
          <w:tcPr>
            <w:tcW w:w="1843" w:type="dxa"/>
            <w:shd w:val="clear" w:color="auto" w:fill="FFFFFF"/>
            <w:vAlign w:val="center"/>
          </w:tcPr>
          <w:p w14:paraId="05B21E2D" w14:textId="77777777" w:rsidR="006929CB" w:rsidRPr="0018630D" w:rsidRDefault="006929CB">
            <w:pPr>
              <w:pStyle w:val="TableText"/>
              <w:spacing w:before="40" w:after="40"/>
              <w:jc w:val="right"/>
              <w:rPr>
                <w:szCs w:val="18"/>
              </w:rPr>
            </w:pPr>
            <w:r w:rsidRPr="0018630D">
              <w:rPr>
                <w:rFonts w:eastAsia="Calibri"/>
                <w:szCs w:val="18"/>
              </w:rPr>
              <w:t>39,165</w:t>
            </w:r>
          </w:p>
        </w:tc>
        <w:tc>
          <w:tcPr>
            <w:tcW w:w="1842" w:type="dxa"/>
            <w:shd w:val="clear" w:color="auto" w:fill="FFFFFF"/>
            <w:vAlign w:val="center"/>
          </w:tcPr>
          <w:p w14:paraId="1D3C470B" w14:textId="77777777" w:rsidR="006929CB" w:rsidRPr="0018630D" w:rsidRDefault="006929CB">
            <w:pPr>
              <w:pStyle w:val="TableText"/>
              <w:spacing w:before="40" w:after="40"/>
              <w:jc w:val="right"/>
              <w:rPr>
                <w:szCs w:val="18"/>
              </w:rPr>
            </w:pPr>
            <w:r w:rsidRPr="0018630D">
              <w:rPr>
                <w:rFonts w:eastAsia="Calibri"/>
                <w:szCs w:val="18"/>
              </w:rPr>
              <w:t>625,563</w:t>
            </w:r>
          </w:p>
        </w:tc>
      </w:tr>
      <w:tr w:rsidR="006929CB" w:rsidRPr="0018630D" w14:paraId="540C99D4" w14:textId="77777777" w:rsidTr="0018630D">
        <w:trPr>
          <w:trHeight w:val="283"/>
        </w:trPr>
        <w:tc>
          <w:tcPr>
            <w:tcW w:w="1418" w:type="dxa"/>
            <w:shd w:val="clear" w:color="auto" w:fill="FFFFFF"/>
            <w:vAlign w:val="center"/>
          </w:tcPr>
          <w:p w14:paraId="7EDCA108" w14:textId="77777777" w:rsidR="006929CB" w:rsidRPr="0018630D" w:rsidRDefault="006929CB">
            <w:pPr>
              <w:pStyle w:val="TableText"/>
              <w:spacing w:before="40" w:after="40"/>
              <w:rPr>
                <w:szCs w:val="18"/>
              </w:rPr>
            </w:pPr>
            <w:r w:rsidRPr="0018630D">
              <w:rPr>
                <w:rFonts w:eastAsia="Calibri"/>
                <w:szCs w:val="18"/>
              </w:rPr>
              <w:t>2016</w:t>
            </w:r>
          </w:p>
        </w:tc>
        <w:tc>
          <w:tcPr>
            <w:tcW w:w="1701" w:type="dxa"/>
            <w:shd w:val="clear" w:color="auto" w:fill="FFFFFF"/>
            <w:vAlign w:val="center"/>
          </w:tcPr>
          <w:p w14:paraId="711A9D4D" w14:textId="77777777" w:rsidR="006929CB" w:rsidRPr="0018630D" w:rsidRDefault="006929CB">
            <w:pPr>
              <w:pStyle w:val="TableText"/>
              <w:spacing w:before="40" w:after="40"/>
              <w:jc w:val="right"/>
              <w:rPr>
                <w:szCs w:val="18"/>
              </w:rPr>
            </w:pPr>
            <w:r w:rsidRPr="0018630D">
              <w:rPr>
                <w:rFonts w:eastAsia="Calibri"/>
                <w:szCs w:val="18"/>
              </w:rPr>
              <w:t>501,925</w:t>
            </w:r>
          </w:p>
        </w:tc>
        <w:tc>
          <w:tcPr>
            <w:tcW w:w="1701" w:type="dxa"/>
            <w:shd w:val="clear" w:color="auto" w:fill="FFFFFF"/>
            <w:vAlign w:val="center"/>
          </w:tcPr>
          <w:p w14:paraId="2511744E" w14:textId="77777777" w:rsidR="006929CB" w:rsidRPr="0018630D" w:rsidRDefault="006929CB">
            <w:pPr>
              <w:pStyle w:val="TableText"/>
              <w:spacing w:before="40" w:after="40"/>
              <w:jc w:val="right"/>
              <w:rPr>
                <w:szCs w:val="18"/>
              </w:rPr>
            </w:pPr>
            <w:r w:rsidRPr="0018630D">
              <w:rPr>
                <w:rFonts w:eastAsia="Calibri"/>
                <w:szCs w:val="18"/>
              </w:rPr>
              <w:t>82,909</w:t>
            </w:r>
          </w:p>
        </w:tc>
        <w:tc>
          <w:tcPr>
            <w:tcW w:w="1843" w:type="dxa"/>
            <w:shd w:val="clear" w:color="auto" w:fill="FFFFFF"/>
            <w:vAlign w:val="center"/>
          </w:tcPr>
          <w:p w14:paraId="29A7AC61" w14:textId="77777777" w:rsidR="006929CB" w:rsidRPr="0018630D" w:rsidRDefault="006929CB">
            <w:pPr>
              <w:pStyle w:val="TableText"/>
              <w:spacing w:before="40" w:after="40"/>
              <w:jc w:val="right"/>
              <w:rPr>
                <w:szCs w:val="18"/>
              </w:rPr>
            </w:pPr>
            <w:r w:rsidRPr="0018630D">
              <w:rPr>
                <w:rFonts w:eastAsia="Calibri"/>
                <w:szCs w:val="18"/>
              </w:rPr>
              <w:t>39,302</w:t>
            </w:r>
          </w:p>
        </w:tc>
        <w:tc>
          <w:tcPr>
            <w:tcW w:w="1842" w:type="dxa"/>
            <w:shd w:val="clear" w:color="auto" w:fill="FFFFFF"/>
            <w:vAlign w:val="center"/>
          </w:tcPr>
          <w:p w14:paraId="208CC920" w14:textId="77777777" w:rsidR="006929CB" w:rsidRPr="0018630D" w:rsidRDefault="006929CB">
            <w:pPr>
              <w:pStyle w:val="TableText"/>
              <w:spacing w:before="40" w:after="40"/>
              <w:jc w:val="right"/>
              <w:rPr>
                <w:szCs w:val="18"/>
              </w:rPr>
            </w:pPr>
            <w:r w:rsidRPr="0018630D">
              <w:rPr>
                <w:rFonts w:eastAsia="Calibri"/>
                <w:szCs w:val="18"/>
              </w:rPr>
              <w:t>624,136</w:t>
            </w:r>
          </w:p>
        </w:tc>
      </w:tr>
      <w:tr w:rsidR="006929CB" w:rsidRPr="0018630D" w14:paraId="11D5B804" w14:textId="77777777" w:rsidTr="0018630D">
        <w:trPr>
          <w:trHeight w:val="283"/>
        </w:trPr>
        <w:tc>
          <w:tcPr>
            <w:tcW w:w="1418" w:type="dxa"/>
            <w:shd w:val="clear" w:color="auto" w:fill="FFFFFF"/>
            <w:vAlign w:val="center"/>
          </w:tcPr>
          <w:p w14:paraId="0276459E" w14:textId="77777777" w:rsidR="006929CB" w:rsidRPr="0018630D" w:rsidRDefault="006929CB">
            <w:pPr>
              <w:pStyle w:val="TableText"/>
              <w:spacing w:before="40" w:after="40"/>
              <w:rPr>
                <w:szCs w:val="18"/>
              </w:rPr>
            </w:pPr>
            <w:r w:rsidRPr="0018630D">
              <w:rPr>
                <w:rFonts w:eastAsia="Calibri"/>
                <w:szCs w:val="18"/>
              </w:rPr>
              <w:t>2017</w:t>
            </w:r>
            <w:r w:rsidRPr="0018630D">
              <w:rPr>
                <w:rFonts w:eastAsia="Calibri"/>
                <w:szCs w:val="18"/>
                <w:vertAlign w:val="superscript"/>
              </w:rPr>
              <w:t xml:space="preserve"> P</w:t>
            </w:r>
          </w:p>
        </w:tc>
        <w:tc>
          <w:tcPr>
            <w:tcW w:w="1701" w:type="dxa"/>
            <w:shd w:val="clear" w:color="auto" w:fill="FFFFFF"/>
            <w:vAlign w:val="center"/>
          </w:tcPr>
          <w:p w14:paraId="0E596B95" w14:textId="77777777" w:rsidR="006929CB" w:rsidRPr="0018630D" w:rsidRDefault="006929CB">
            <w:pPr>
              <w:pStyle w:val="TableText"/>
              <w:spacing w:before="40" w:after="40"/>
              <w:jc w:val="right"/>
              <w:rPr>
                <w:szCs w:val="18"/>
              </w:rPr>
            </w:pPr>
            <w:r w:rsidRPr="0018630D">
              <w:rPr>
                <w:rFonts w:eastAsia="Calibri"/>
                <w:szCs w:val="18"/>
              </w:rPr>
              <w:t>437,854</w:t>
            </w:r>
          </w:p>
        </w:tc>
        <w:tc>
          <w:tcPr>
            <w:tcW w:w="1701" w:type="dxa"/>
            <w:shd w:val="clear" w:color="auto" w:fill="FFFFFF"/>
            <w:vAlign w:val="center"/>
          </w:tcPr>
          <w:p w14:paraId="1780FAEA" w14:textId="77777777" w:rsidR="006929CB" w:rsidRPr="0018630D" w:rsidRDefault="006929CB">
            <w:pPr>
              <w:pStyle w:val="TableText"/>
              <w:spacing w:before="40" w:after="40"/>
              <w:jc w:val="right"/>
              <w:rPr>
                <w:szCs w:val="18"/>
              </w:rPr>
            </w:pPr>
            <w:r w:rsidRPr="0018630D">
              <w:rPr>
                <w:rFonts w:eastAsia="Calibri"/>
                <w:szCs w:val="18"/>
              </w:rPr>
              <w:t>146,937</w:t>
            </w:r>
          </w:p>
        </w:tc>
        <w:tc>
          <w:tcPr>
            <w:tcW w:w="1843" w:type="dxa"/>
            <w:shd w:val="clear" w:color="auto" w:fill="FFFFFF"/>
            <w:vAlign w:val="center"/>
          </w:tcPr>
          <w:p w14:paraId="4A26ADF0" w14:textId="77777777" w:rsidR="006929CB" w:rsidRPr="0018630D" w:rsidRDefault="006929CB">
            <w:pPr>
              <w:pStyle w:val="TableText"/>
              <w:spacing w:before="40" w:after="40"/>
              <w:jc w:val="right"/>
              <w:rPr>
                <w:szCs w:val="18"/>
              </w:rPr>
            </w:pPr>
            <w:r w:rsidRPr="0018630D">
              <w:rPr>
                <w:rFonts w:eastAsia="Calibri"/>
                <w:szCs w:val="18"/>
              </w:rPr>
              <w:t>39,603</w:t>
            </w:r>
          </w:p>
        </w:tc>
        <w:tc>
          <w:tcPr>
            <w:tcW w:w="1842" w:type="dxa"/>
            <w:shd w:val="clear" w:color="auto" w:fill="FFFFFF"/>
            <w:vAlign w:val="center"/>
          </w:tcPr>
          <w:p w14:paraId="48EB9C3D" w14:textId="77777777" w:rsidR="006929CB" w:rsidRPr="0018630D" w:rsidRDefault="006929CB">
            <w:pPr>
              <w:pStyle w:val="TableText"/>
              <w:spacing w:before="40" w:after="40"/>
              <w:jc w:val="right"/>
              <w:rPr>
                <w:szCs w:val="18"/>
              </w:rPr>
            </w:pPr>
            <w:r w:rsidRPr="0018630D">
              <w:rPr>
                <w:rFonts w:eastAsia="Calibri"/>
                <w:szCs w:val="18"/>
              </w:rPr>
              <w:t>624,394</w:t>
            </w:r>
          </w:p>
        </w:tc>
      </w:tr>
      <w:tr w:rsidR="006929CB" w:rsidRPr="0018630D" w14:paraId="2C3F6905" w14:textId="77777777" w:rsidTr="0018630D">
        <w:trPr>
          <w:trHeight w:val="283"/>
        </w:trPr>
        <w:tc>
          <w:tcPr>
            <w:tcW w:w="1418" w:type="dxa"/>
            <w:shd w:val="clear" w:color="auto" w:fill="FFFFFF"/>
            <w:vAlign w:val="center"/>
          </w:tcPr>
          <w:p w14:paraId="4F011B7D" w14:textId="77777777" w:rsidR="006929CB" w:rsidRPr="0018630D" w:rsidRDefault="006929CB">
            <w:pPr>
              <w:pStyle w:val="TableText"/>
              <w:spacing w:before="40" w:after="40"/>
              <w:rPr>
                <w:szCs w:val="18"/>
              </w:rPr>
            </w:pPr>
            <w:r w:rsidRPr="0018630D">
              <w:rPr>
                <w:rFonts w:eastAsia="Calibri"/>
                <w:szCs w:val="18"/>
              </w:rPr>
              <w:t>2018</w:t>
            </w:r>
            <w:r w:rsidRPr="0018630D">
              <w:rPr>
                <w:rFonts w:eastAsia="Calibri"/>
                <w:szCs w:val="18"/>
                <w:vertAlign w:val="superscript"/>
              </w:rPr>
              <w:t xml:space="preserve"> P</w:t>
            </w:r>
          </w:p>
        </w:tc>
        <w:tc>
          <w:tcPr>
            <w:tcW w:w="1701" w:type="dxa"/>
            <w:shd w:val="clear" w:color="auto" w:fill="FFFFFF"/>
            <w:vAlign w:val="center"/>
          </w:tcPr>
          <w:p w14:paraId="7888606D" w14:textId="77777777" w:rsidR="006929CB" w:rsidRPr="0018630D" w:rsidRDefault="006929CB">
            <w:pPr>
              <w:pStyle w:val="TableText"/>
              <w:spacing w:before="40" w:after="40"/>
              <w:jc w:val="right"/>
              <w:rPr>
                <w:szCs w:val="18"/>
              </w:rPr>
            </w:pPr>
            <w:r w:rsidRPr="0018630D">
              <w:rPr>
                <w:rFonts w:eastAsia="Calibri"/>
                <w:szCs w:val="18"/>
              </w:rPr>
              <w:t>390,276</w:t>
            </w:r>
          </w:p>
        </w:tc>
        <w:tc>
          <w:tcPr>
            <w:tcW w:w="1701" w:type="dxa"/>
            <w:shd w:val="clear" w:color="auto" w:fill="FFFFFF"/>
            <w:vAlign w:val="center"/>
          </w:tcPr>
          <w:p w14:paraId="22E82385" w14:textId="77777777" w:rsidR="006929CB" w:rsidRPr="0018630D" w:rsidRDefault="006929CB">
            <w:pPr>
              <w:pStyle w:val="TableText"/>
              <w:spacing w:before="40" w:after="40"/>
              <w:jc w:val="right"/>
              <w:rPr>
                <w:szCs w:val="18"/>
              </w:rPr>
            </w:pPr>
            <w:r w:rsidRPr="0018630D">
              <w:rPr>
                <w:rFonts w:eastAsia="Calibri"/>
                <w:szCs w:val="18"/>
              </w:rPr>
              <w:t>195,276</w:t>
            </w:r>
          </w:p>
        </w:tc>
        <w:tc>
          <w:tcPr>
            <w:tcW w:w="1843" w:type="dxa"/>
            <w:shd w:val="clear" w:color="auto" w:fill="FFFFFF"/>
            <w:vAlign w:val="center"/>
          </w:tcPr>
          <w:p w14:paraId="3EA76AC6" w14:textId="77777777" w:rsidR="006929CB" w:rsidRPr="0018630D" w:rsidRDefault="006929CB">
            <w:pPr>
              <w:pStyle w:val="TableText"/>
              <w:spacing w:before="40" w:after="40"/>
              <w:jc w:val="right"/>
              <w:rPr>
                <w:szCs w:val="18"/>
              </w:rPr>
            </w:pPr>
            <w:r w:rsidRPr="0018630D">
              <w:rPr>
                <w:rFonts w:eastAsia="Calibri"/>
                <w:szCs w:val="18"/>
              </w:rPr>
              <w:t>39,959</w:t>
            </w:r>
          </w:p>
        </w:tc>
        <w:tc>
          <w:tcPr>
            <w:tcW w:w="1842" w:type="dxa"/>
            <w:shd w:val="clear" w:color="auto" w:fill="FFFFFF"/>
            <w:vAlign w:val="center"/>
          </w:tcPr>
          <w:p w14:paraId="37B81661" w14:textId="77777777" w:rsidR="006929CB" w:rsidRPr="0018630D" w:rsidRDefault="006929CB">
            <w:pPr>
              <w:pStyle w:val="TableText"/>
              <w:spacing w:before="40" w:after="40"/>
              <w:jc w:val="right"/>
              <w:rPr>
                <w:szCs w:val="18"/>
              </w:rPr>
            </w:pPr>
            <w:r w:rsidRPr="0018630D">
              <w:rPr>
                <w:rFonts w:eastAsia="Calibri"/>
                <w:szCs w:val="18"/>
              </w:rPr>
              <w:t>625,511</w:t>
            </w:r>
          </w:p>
        </w:tc>
      </w:tr>
      <w:tr w:rsidR="006929CB" w:rsidRPr="0018630D" w14:paraId="52DF5392" w14:textId="77777777" w:rsidTr="0018630D">
        <w:trPr>
          <w:trHeight w:val="283"/>
        </w:trPr>
        <w:tc>
          <w:tcPr>
            <w:tcW w:w="1418" w:type="dxa"/>
            <w:shd w:val="clear" w:color="auto" w:fill="FFFFFF"/>
            <w:vAlign w:val="center"/>
          </w:tcPr>
          <w:p w14:paraId="17ACC03B" w14:textId="77777777" w:rsidR="006929CB" w:rsidRPr="0018630D" w:rsidRDefault="006929CB">
            <w:pPr>
              <w:pStyle w:val="TableText"/>
              <w:spacing w:before="40" w:after="40"/>
              <w:rPr>
                <w:szCs w:val="18"/>
              </w:rPr>
            </w:pPr>
            <w:r w:rsidRPr="0018630D">
              <w:rPr>
                <w:rFonts w:eastAsia="Calibri"/>
                <w:szCs w:val="18"/>
              </w:rPr>
              <w:t>2019</w:t>
            </w:r>
            <w:r w:rsidRPr="0018630D">
              <w:rPr>
                <w:rFonts w:eastAsia="Calibri"/>
                <w:szCs w:val="18"/>
                <w:vertAlign w:val="superscript"/>
              </w:rPr>
              <w:t xml:space="preserve"> P</w:t>
            </w:r>
          </w:p>
        </w:tc>
        <w:tc>
          <w:tcPr>
            <w:tcW w:w="1701" w:type="dxa"/>
            <w:shd w:val="clear" w:color="auto" w:fill="FFFFFF"/>
            <w:vAlign w:val="center"/>
          </w:tcPr>
          <w:p w14:paraId="595761FC" w14:textId="77777777" w:rsidR="006929CB" w:rsidRPr="0018630D" w:rsidRDefault="006929CB">
            <w:pPr>
              <w:pStyle w:val="TableText"/>
              <w:spacing w:before="40" w:after="40"/>
              <w:jc w:val="right"/>
              <w:rPr>
                <w:szCs w:val="18"/>
              </w:rPr>
            </w:pPr>
            <w:r w:rsidRPr="0018630D">
              <w:rPr>
                <w:rFonts w:eastAsia="Calibri"/>
                <w:szCs w:val="18"/>
              </w:rPr>
              <w:t>351,870</w:t>
            </w:r>
          </w:p>
        </w:tc>
        <w:tc>
          <w:tcPr>
            <w:tcW w:w="1701" w:type="dxa"/>
            <w:shd w:val="clear" w:color="auto" w:fill="FFFFFF"/>
            <w:vAlign w:val="center"/>
          </w:tcPr>
          <w:p w14:paraId="0856F67D" w14:textId="77777777" w:rsidR="006929CB" w:rsidRPr="0018630D" w:rsidRDefault="006929CB">
            <w:pPr>
              <w:pStyle w:val="TableText"/>
              <w:spacing w:before="40" w:after="40"/>
              <w:jc w:val="right"/>
              <w:rPr>
                <w:szCs w:val="18"/>
              </w:rPr>
            </w:pPr>
            <w:r w:rsidRPr="0018630D">
              <w:rPr>
                <w:rFonts w:eastAsia="Calibri"/>
                <w:szCs w:val="18"/>
              </w:rPr>
              <w:t>250,605</w:t>
            </w:r>
          </w:p>
        </w:tc>
        <w:tc>
          <w:tcPr>
            <w:tcW w:w="1843" w:type="dxa"/>
            <w:shd w:val="clear" w:color="auto" w:fill="FFFFFF"/>
            <w:vAlign w:val="center"/>
          </w:tcPr>
          <w:p w14:paraId="0B3AC925" w14:textId="77777777" w:rsidR="006929CB" w:rsidRPr="0018630D" w:rsidRDefault="006929CB">
            <w:pPr>
              <w:pStyle w:val="TableText"/>
              <w:spacing w:before="40" w:after="40"/>
              <w:jc w:val="right"/>
              <w:rPr>
                <w:szCs w:val="18"/>
              </w:rPr>
            </w:pPr>
            <w:r w:rsidRPr="0018630D">
              <w:rPr>
                <w:rFonts w:eastAsia="Calibri"/>
                <w:szCs w:val="18"/>
              </w:rPr>
              <w:t>41,228</w:t>
            </w:r>
          </w:p>
        </w:tc>
        <w:tc>
          <w:tcPr>
            <w:tcW w:w="1842" w:type="dxa"/>
            <w:shd w:val="clear" w:color="auto" w:fill="FFFFFF"/>
            <w:vAlign w:val="center"/>
          </w:tcPr>
          <w:p w14:paraId="6943389A" w14:textId="77777777" w:rsidR="006929CB" w:rsidRPr="0018630D" w:rsidRDefault="006929CB">
            <w:pPr>
              <w:pStyle w:val="TableText"/>
              <w:spacing w:before="40" w:after="40"/>
              <w:jc w:val="right"/>
              <w:rPr>
                <w:szCs w:val="18"/>
              </w:rPr>
            </w:pPr>
            <w:r w:rsidRPr="0018630D">
              <w:rPr>
                <w:rFonts w:eastAsia="Calibri"/>
                <w:szCs w:val="18"/>
              </w:rPr>
              <w:t>643,703</w:t>
            </w:r>
          </w:p>
        </w:tc>
      </w:tr>
      <w:tr w:rsidR="006929CB" w:rsidRPr="0018630D" w14:paraId="10AB454C" w14:textId="77777777" w:rsidTr="0018630D">
        <w:trPr>
          <w:trHeight w:val="283"/>
        </w:trPr>
        <w:tc>
          <w:tcPr>
            <w:tcW w:w="1418" w:type="dxa"/>
            <w:shd w:val="clear" w:color="auto" w:fill="FFFFFF"/>
            <w:vAlign w:val="center"/>
          </w:tcPr>
          <w:p w14:paraId="5C95E9E5" w14:textId="77777777" w:rsidR="006929CB" w:rsidRPr="0018630D" w:rsidRDefault="006929CB">
            <w:pPr>
              <w:pStyle w:val="TableText"/>
              <w:spacing w:before="40" w:after="40"/>
              <w:rPr>
                <w:szCs w:val="18"/>
              </w:rPr>
            </w:pPr>
            <w:r w:rsidRPr="0018630D">
              <w:rPr>
                <w:rFonts w:eastAsia="Calibri"/>
                <w:szCs w:val="18"/>
              </w:rPr>
              <w:t>2020</w:t>
            </w:r>
            <w:r w:rsidRPr="0018630D">
              <w:rPr>
                <w:rFonts w:eastAsia="Calibri"/>
                <w:szCs w:val="18"/>
                <w:vertAlign w:val="superscript"/>
              </w:rPr>
              <w:t xml:space="preserve"> P</w:t>
            </w:r>
          </w:p>
        </w:tc>
        <w:tc>
          <w:tcPr>
            <w:tcW w:w="1701" w:type="dxa"/>
            <w:shd w:val="clear" w:color="auto" w:fill="FFFFFF"/>
            <w:vAlign w:val="center"/>
          </w:tcPr>
          <w:p w14:paraId="7E3AD892" w14:textId="77777777" w:rsidR="006929CB" w:rsidRPr="0018630D" w:rsidRDefault="006929CB">
            <w:pPr>
              <w:pStyle w:val="TableText"/>
              <w:spacing w:before="40" w:after="40"/>
              <w:jc w:val="right"/>
              <w:rPr>
                <w:szCs w:val="18"/>
              </w:rPr>
            </w:pPr>
            <w:r w:rsidRPr="0018630D">
              <w:rPr>
                <w:rFonts w:eastAsia="Calibri"/>
                <w:szCs w:val="18"/>
              </w:rPr>
              <w:t>343,288</w:t>
            </w:r>
          </w:p>
        </w:tc>
        <w:tc>
          <w:tcPr>
            <w:tcW w:w="1701" w:type="dxa"/>
            <w:shd w:val="clear" w:color="auto" w:fill="FFFFFF"/>
            <w:vAlign w:val="center"/>
          </w:tcPr>
          <w:p w14:paraId="329345D6" w14:textId="77777777" w:rsidR="006929CB" w:rsidRPr="0018630D" w:rsidRDefault="006929CB">
            <w:pPr>
              <w:pStyle w:val="TableText"/>
              <w:spacing w:before="40" w:after="40"/>
              <w:jc w:val="right"/>
              <w:rPr>
                <w:szCs w:val="18"/>
              </w:rPr>
            </w:pPr>
            <w:r w:rsidRPr="0018630D">
              <w:rPr>
                <w:rFonts w:eastAsia="Calibri"/>
                <w:szCs w:val="18"/>
              </w:rPr>
              <w:t>290,559</w:t>
            </w:r>
          </w:p>
        </w:tc>
        <w:tc>
          <w:tcPr>
            <w:tcW w:w="1843" w:type="dxa"/>
            <w:shd w:val="clear" w:color="auto" w:fill="FFFFFF"/>
            <w:vAlign w:val="center"/>
          </w:tcPr>
          <w:p w14:paraId="56EAF2B1" w14:textId="77777777" w:rsidR="006929CB" w:rsidRPr="0018630D" w:rsidRDefault="006929CB">
            <w:pPr>
              <w:pStyle w:val="TableText"/>
              <w:spacing w:before="40" w:after="40"/>
              <w:jc w:val="right"/>
              <w:rPr>
                <w:szCs w:val="18"/>
              </w:rPr>
            </w:pPr>
            <w:r w:rsidRPr="0018630D">
              <w:rPr>
                <w:rFonts w:eastAsia="Calibri"/>
                <w:szCs w:val="18"/>
              </w:rPr>
              <w:t>43,565</w:t>
            </w:r>
          </w:p>
        </w:tc>
        <w:tc>
          <w:tcPr>
            <w:tcW w:w="1842" w:type="dxa"/>
            <w:shd w:val="clear" w:color="auto" w:fill="FFFFFF"/>
            <w:vAlign w:val="center"/>
          </w:tcPr>
          <w:p w14:paraId="0E6D42E0" w14:textId="77777777" w:rsidR="006929CB" w:rsidRPr="0018630D" w:rsidRDefault="006929CB">
            <w:pPr>
              <w:pStyle w:val="TableText"/>
              <w:spacing w:before="40" w:after="40"/>
              <w:jc w:val="right"/>
              <w:rPr>
                <w:szCs w:val="18"/>
              </w:rPr>
            </w:pPr>
            <w:r w:rsidRPr="0018630D">
              <w:rPr>
                <w:rFonts w:eastAsia="Calibri"/>
                <w:szCs w:val="18"/>
              </w:rPr>
              <w:t>677,411</w:t>
            </w:r>
          </w:p>
        </w:tc>
      </w:tr>
      <w:tr w:rsidR="006929CB" w:rsidRPr="0018630D" w14:paraId="27D7D8D2" w14:textId="77777777" w:rsidTr="0018630D">
        <w:trPr>
          <w:trHeight w:val="283"/>
        </w:trPr>
        <w:tc>
          <w:tcPr>
            <w:tcW w:w="1418" w:type="dxa"/>
            <w:shd w:val="clear" w:color="auto" w:fill="FFFFFF"/>
            <w:vAlign w:val="center"/>
          </w:tcPr>
          <w:p w14:paraId="158E37BF" w14:textId="77777777" w:rsidR="006929CB" w:rsidRPr="0018630D" w:rsidRDefault="006929CB">
            <w:pPr>
              <w:pStyle w:val="TableText"/>
              <w:spacing w:before="40" w:after="40"/>
              <w:rPr>
                <w:szCs w:val="18"/>
              </w:rPr>
            </w:pPr>
            <w:r w:rsidRPr="0018630D">
              <w:rPr>
                <w:rFonts w:eastAsia="Calibri"/>
                <w:szCs w:val="18"/>
              </w:rPr>
              <w:t>2021</w:t>
            </w:r>
            <w:r w:rsidRPr="0018630D">
              <w:rPr>
                <w:rFonts w:eastAsia="Calibri"/>
                <w:szCs w:val="18"/>
                <w:vertAlign w:val="superscript"/>
              </w:rPr>
              <w:t xml:space="preserve"> P</w:t>
            </w:r>
          </w:p>
        </w:tc>
        <w:tc>
          <w:tcPr>
            <w:tcW w:w="1701" w:type="dxa"/>
            <w:shd w:val="clear" w:color="auto" w:fill="FFFFFF"/>
            <w:vAlign w:val="center"/>
          </w:tcPr>
          <w:p w14:paraId="0BFD6AA3" w14:textId="77777777" w:rsidR="006929CB" w:rsidRPr="0018630D" w:rsidRDefault="006929CB">
            <w:pPr>
              <w:pStyle w:val="TableText"/>
              <w:spacing w:before="40" w:after="40"/>
              <w:jc w:val="right"/>
              <w:rPr>
                <w:szCs w:val="18"/>
              </w:rPr>
            </w:pPr>
            <w:r w:rsidRPr="0018630D">
              <w:rPr>
                <w:rFonts w:eastAsia="Calibri"/>
                <w:szCs w:val="18"/>
              </w:rPr>
              <w:t>355,817</w:t>
            </w:r>
          </w:p>
        </w:tc>
        <w:tc>
          <w:tcPr>
            <w:tcW w:w="1701" w:type="dxa"/>
            <w:shd w:val="clear" w:color="auto" w:fill="FFFFFF"/>
            <w:vAlign w:val="center"/>
          </w:tcPr>
          <w:p w14:paraId="13F0B74D" w14:textId="77777777" w:rsidR="006929CB" w:rsidRPr="0018630D" w:rsidRDefault="006929CB">
            <w:pPr>
              <w:pStyle w:val="TableText"/>
              <w:spacing w:before="40" w:after="40"/>
              <w:jc w:val="right"/>
              <w:rPr>
                <w:szCs w:val="18"/>
              </w:rPr>
            </w:pPr>
            <w:r w:rsidRPr="0018630D">
              <w:rPr>
                <w:rFonts w:eastAsia="Calibri"/>
                <w:szCs w:val="18"/>
              </w:rPr>
              <w:t>323,477</w:t>
            </w:r>
          </w:p>
        </w:tc>
        <w:tc>
          <w:tcPr>
            <w:tcW w:w="1843" w:type="dxa"/>
            <w:shd w:val="clear" w:color="auto" w:fill="FFFFFF"/>
            <w:vAlign w:val="center"/>
          </w:tcPr>
          <w:p w14:paraId="14B4AE69" w14:textId="77777777" w:rsidR="006929CB" w:rsidRPr="0018630D" w:rsidRDefault="006929CB">
            <w:pPr>
              <w:pStyle w:val="TableText"/>
              <w:spacing w:before="40" w:after="40"/>
              <w:jc w:val="right"/>
              <w:rPr>
                <w:szCs w:val="18"/>
              </w:rPr>
            </w:pPr>
            <w:r w:rsidRPr="0018630D">
              <w:rPr>
                <w:rFonts w:eastAsia="Calibri"/>
                <w:szCs w:val="18"/>
              </w:rPr>
              <w:t>46,683</w:t>
            </w:r>
          </w:p>
        </w:tc>
        <w:tc>
          <w:tcPr>
            <w:tcW w:w="1842" w:type="dxa"/>
            <w:shd w:val="clear" w:color="auto" w:fill="FFFFFF"/>
            <w:vAlign w:val="center"/>
          </w:tcPr>
          <w:p w14:paraId="7293B6C7" w14:textId="77777777" w:rsidR="006929CB" w:rsidRPr="0018630D" w:rsidRDefault="006929CB">
            <w:pPr>
              <w:pStyle w:val="TableText"/>
              <w:spacing w:before="40" w:after="40"/>
              <w:jc w:val="right"/>
              <w:rPr>
                <w:szCs w:val="18"/>
              </w:rPr>
            </w:pPr>
            <w:r w:rsidRPr="0018630D">
              <w:rPr>
                <w:rFonts w:eastAsia="Calibri"/>
                <w:szCs w:val="18"/>
              </w:rPr>
              <w:t>725,977</w:t>
            </w:r>
          </w:p>
        </w:tc>
      </w:tr>
      <w:tr w:rsidR="006929CB" w:rsidRPr="0018630D" w14:paraId="0414C6C0" w14:textId="77777777" w:rsidTr="0018630D">
        <w:trPr>
          <w:trHeight w:val="283"/>
        </w:trPr>
        <w:tc>
          <w:tcPr>
            <w:tcW w:w="1418" w:type="dxa"/>
            <w:shd w:val="clear" w:color="auto" w:fill="FFFFFF"/>
            <w:vAlign w:val="center"/>
          </w:tcPr>
          <w:p w14:paraId="1EA5B2C1" w14:textId="77777777" w:rsidR="006929CB" w:rsidRPr="0018630D" w:rsidRDefault="006929CB">
            <w:pPr>
              <w:pStyle w:val="TableText"/>
              <w:spacing w:before="40" w:after="40"/>
              <w:rPr>
                <w:szCs w:val="18"/>
              </w:rPr>
            </w:pPr>
            <w:r w:rsidRPr="0018630D">
              <w:rPr>
                <w:rFonts w:eastAsia="Calibri"/>
                <w:szCs w:val="18"/>
              </w:rPr>
              <w:t>2022</w:t>
            </w:r>
            <w:r w:rsidRPr="0018630D">
              <w:rPr>
                <w:rFonts w:eastAsia="Calibri"/>
                <w:szCs w:val="18"/>
                <w:vertAlign w:val="superscript"/>
              </w:rPr>
              <w:t xml:space="preserve"> P</w:t>
            </w:r>
          </w:p>
        </w:tc>
        <w:tc>
          <w:tcPr>
            <w:tcW w:w="1701" w:type="dxa"/>
            <w:shd w:val="clear" w:color="auto" w:fill="FFFFFF"/>
            <w:vAlign w:val="center"/>
          </w:tcPr>
          <w:p w14:paraId="55C74E02" w14:textId="77777777" w:rsidR="006929CB" w:rsidRPr="0018630D" w:rsidRDefault="006929CB">
            <w:pPr>
              <w:pStyle w:val="TableText"/>
              <w:spacing w:before="40" w:after="40"/>
              <w:jc w:val="right"/>
              <w:rPr>
                <w:szCs w:val="18"/>
              </w:rPr>
            </w:pPr>
            <w:r w:rsidRPr="0018630D">
              <w:rPr>
                <w:rFonts w:eastAsia="Calibri"/>
                <w:szCs w:val="18"/>
              </w:rPr>
              <w:t>402,334</w:t>
            </w:r>
          </w:p>
        </w:tc>
        <w:tc>
          <w:tcPr>
            <w:tcW w:w="1701" w:type="dxa"/>
            <w:shd w:val="clear" w:color="auto" w:fill="FFFFFF"/>
            <w:vAlign w:val="center"/>
          </w:tcPr>
          <w:p w14:paraId="5A088FE5" w14:textId="77777777" w:rsidR="006929CB" w:rsidRPr="0018630D" w:rsidRDefault="006929CB">
            <w:pPr>
              <w:pStyle w:val="TableText"/>
              <w:spacing w:before="40" w:after="40"/>
              <w:jc w:val="right"/>
              <w:rPr>
                <w:szCs w:val="18"/>
              </w:rPr>
            </w:pPr>
            <w:r w:rsidRPr="0018630D">
              <w:rPr>
                <w:rFonts w:eastAsia="Calibri"/>
                <w:szCs w:val="18"/>
              </w:rPr>
              <w:t>348,529</w:t>
            </w:r>
          </w:p>
        </w:tc>
        <w:tc>
          <w:tcPr>
            <w:tcW w:w="1843" w:type="dxa"/>
            <w:shd w:val="clear" w:color="auto" w:fill="FFFFFF"/>
            <w:vAlign w:val="center"/>
          </w:tcPr>
          <w:p w14:paraId="158536FC" w14:textId="77777777" w:rsidR="006929CB" w:rsidRPr="0018630D" w:rsidRDefault="006929CB">
            <w:pPr>
              <w:pStyle w:val="TableText"/>
              <w:spacing w:before="40" w:after="40"/>
              <w:jc w:val="right"/>
              <w:rPr>
                <w:szCs w:val="18"/>
              </w:rPr>
            </w:pPr>
            <w:r w:rsidRPr="0018630D">
              <w:rPr>
                <w:rFonts w:eastAsia="Calibri"/>
                <w:szCs w:val="18"/>
              </w:rPr>
              <w:t>51,536</w:t>
            </w:r>
          </w:p>
        </w:tc>
        <w:tc>
          <w:tcPr>
            <w:tcW w:w="1842" w:type="dxa"/>
            <w:shd w:val="clear" w:color="auto" w:fill="FFFFFF"/>
            <w:vAlign w:val="center"/>
          </w:tcPr>
          <w:p w14:paraId="329B1F84" w14:textId="77777777" w:rsidR="006929CB" w:rsidRPr="0018630D" w:rsidRDefault="006929CB">
            <w:pPr>
              <w:pStyle w:val="TableText"/>
              <w:spacing w:before="40" w:after="40"/>
              <w:jc w:val="right"/>
              <w:rPr>
                <w:szCs w:val="18"/>
              </w:rPr>
            </w:pPr>
            <w:r w:rsidRPr="0018630D">
              <w:rPr>
                <w:rFonts w:eastAsia="Calibri"/>
                <w:szCs w:val="18"/>
              </w:rPr>
              <w:t>802,399</w:t>
            </w:r>
          </w:p>
        </w:tc>
      </w:tr>
    </w:tbl>
    <w:p w14:paraId="2C196547" w14:textId="77777777" w:rsidR="006929CB" w:rsidRPr="00DD1C54" w:rsidRDefault="006929CB" w:rsidP="006929CB">
      <w:pPr>
        <w:pStyle w:val="Noteundertable"/>
      </w:pPr>
      <w:r w:rsidRPr="00DD1C54">
        <w:rPr>
          <w:b/>
        </w:rPr>
        <w:t>Note:</w:t>
      </w:r>
      <w:r w:rsidRPr="00DD1C54">
        <w:tab/>
        <w:t>P</w:t>
      </w:r>
      <w:r w:rsidRPr="00DD1C54">
        <w:rPr>
          <w:vertAlign w:val="subscript"/>
        </w:rPr>
        <w:t xml:space="preserve"> </w:t>
      </w:r>
      <w:r w:rsidRPr="00DD1C54">
        <w:t xml:space="preserve">= provisional figure. NA: as the long-term average (LTA) age is estimated to be 23 years, no area of </w:t>
      </w:r>
      <w:r w:rsidRPr="00DD1C54">
        <w:rPr>
          <w:i/>
        </w:rPr>
        <w:t>Afforestation and reforestation</w:t>
      </w:r>
      <w:r w:rsidRPr="00DD1C54">
        <w:t xml:space="preserve"> can enter the Above LTA subcategory before 2013. </w:t>
      </w:r>
    </w:p>
    <w:p w14:paraId="654F311A" w14:textId="77777777" w:rsidR="006929CB" w:rsidRPr="00DD1C54" w:rsidRDefault="006929CB" w:rsidP="006929CB">
      <w:pPr>
        <w:pStyle w:val="BodyText"/>
        <w:spacing w:before="100" w:after="100"/>
      </w:pPr>
      <w:r w:rsidRPr="00DD1C54">
        <w:t xml:space="preserve">New Zealand estimates emissions from HWP originating from </w:t>
      </w:r>
      <w:r w:rsidRPr="00DD1C54">
        <w:rPr>
          <w:i/>
        </w:rPr>
        <w:t>Afforestation and reforestation</w:t>
      </w:r>
      <w:r w:rsidRPr="00DD1C54">
        <w:t xml:space="preserve"> activities. This is described further in section A2.3.5.</w:t>
      </w:r>
      <w:r w:rsidRPr="00DD1C54">
        <w:rPr>
          <w:rStyle w:val="CommentReference"/>
        </w:rPr>
        <w:t xml:space="preserve"> </w:t>
      </w:r>
    </w:p>
    <w:p w14:paraId="2A1BAA42" w14:textId="77777777" w:rsidR="006929CB" w:rsidRPr="00DD1C54" w:rsidRDefault="006929CB" w:rsidP="006929CB">
      <w:pPr>
        <w:pStyle w:val="Heading3"/>
      </w:pPr>
      <w:bookmarkStart w:id="1123" w:name="_Toc1582848217"/>
      <w:r w:rsidRPr="00DD1C54">
        <w:t>A2.3.3</w:t>
      </w:r>
      <w:r w:rsidRPr="00DD1C54">
        <w:tab/>
        <w:t>Deforestation</w:t>
      </w:r>
      <w:bookmarkEnd w:id="1123"/>
      <w:r w:rsidRPr="00DD1C54">
        <w:t xml:space="preserve"> </w:t>
      </w:r>
    </w:p>
    <w:p w14:paraId="025F6A77" w14:textId="77777777" w:rsidR="006929CB" w:rsidRPr="00DD1C54" w:rsidRDefault="006929CB" w:rsidP="006929CB">
      <w:pPr>
        <w:pStyle w:val="BodyText"/>
      </w:pPr>
      <w:r w:rsidRPr="00DD1C54">
        <w:t>In 2022,</w:t>
      </w:r>
      <w:r w:rsidRPr="00DD1C54" w:rsidDel="00B0696E">
        <w:t xml:space="preserve"> </w:t>
      </w:r>
      <w:r w:rsidRPr="00DD1C54">
        <w:t xml:space="preserve">net emissions from </w:t>
      </w:r>
      <w:r w:rsidRPr="00DD1C54">
        <w:rPr>
          <w:i/>
          <w:iCs/>
        </w:rPr>
        <w:t>Deforestation</w:t>
      </w:r>
      <w:r w:rsidRPr="00DD1C54">
        <w:t xml:space="preserve"> activities were 2,429.4 kt CO</w:t>
      </w:r>
      <w:r w:rsidRPr="00DD1C54">
        <w:rPr>
          <w:vertAlign w:val="subscript"/>
        </w:rPr>
        <w:t>2</w:t>
      </w:r>
      <w:r w:rsidRPr="00DD1C54">
        <w:t>e, compared with 3,170.8 kt CO</w:t>
      </w:r>
      <w:r w:rsidRPr="00DD1C54">
        <w:rPr>
          <w:vertAlign w:val="subscript"/>
        </w:rPr>
        <w:t>2</w:t>
      </w:r>
      <w:r w:rsidRPr="00DD1C54">
        <w:t>e in 2021. All carbon stock changes and non-CO</w:t>
      </w:r>
      <w:r w:rsidRPr="00DD1C54">
        <w:rPr>
          <w:vertAlign w:val="subscript"/>
        </w:rPr>
        <w:t>2</w:t>
      </w:r>
      <w:r w:rsidRPr="00DD1C54">
        <w:t xml:space="preserve"> emissions on land areas subject to </w:t>
      </w:r>
      <w:r w:rsidRPr="00DD1C54">
        <w:rPr>
          <w:i/>
          <w:iCs/>
        </w:rPr>
        <w:t>Deforestation</w:t>
      </w:r>
      <w:r w:rsidRPr="00DD1C54">
        <w:t xml:space="preserve"> activities that have occurred since 1990 are included. This includes the emissions resulting from the loss of carbon stored in the biomass before deforestation; soil carbon stock changes due to the land-use change, including lagged emissions from previous deforestation events; mineralisation of soil nitrogen associated with the land-use change; emissions from burning biomass associated with the land-use change; and the carbon stock changes from the increase in biomass pools on the new land use.</w:t>
      </w:r>
    </w:p>
    <w:p w14:paraId="21840B75" w14:textId="77777777" w:rsidR="006929CB" w:rsidRPr="00DD1C54" w:rsidRDefault="006929CB" w:rsidP="006929CB">
      <w:pPr>
        <w:pStyle w:val="BodyText"/>
      </w:pPr>
      <w:r w:rsidRPr="00DD1C54">
        <w:t xml:space="preserve">The estimated area of deforestation, across all forest types, for 2021 was 4,849 hectares and for 2022 was 4,089 hectares. Table A2.10 shows the areas of </w:t>
      </w:r>
      <w:r w:rsidRPr="00DD1C54">
        <w:rPr>
          <w:i/>
        </w:rPr>
        <w:t>Forest land</w:t>
      </w:r>
      <w:r w:rsidRPr="00DD1C54">
        <w:t xml:space="preserve"> subject to </w:t>
      </w:r>
      <w:r w:rsidRPr="00DD1C54">
        <w:rPr>
          <w:i/>
          <w:spacing w:val="-2"/>
        </w:rPr>
        <w:t>Deforestation</w:t>
      </w:r>
      <w:r w:rsidRPr="00DD1C54">
        <w:t xml:space="preserve"> activities since 1990 by forest category. </w:t>
      </w:r>
    </w:p>
    <w:p w14:paraId="61B85222" w14:textId="77777777" w:rsidR="006929CB" w:rsidRPr="00DD1C54" w:rsidRDefault="006929CB" w:rsidP="006929CB">
      <w:pPr>
        <w:pStyle w:val="Tableheading"/>
      </w:pPr>
      <w:bookmarkStart w:id="1124" w:name="_Toc456179108"/>
      <w:bookmarkStart w:id="1125" w:name="_Toc481751634"/>
      <w:bookmarkStart w:id="1126" w:name="_Toc522010659"/>
      <w:bookmarkStart w:id="1127" w:name="_Toc5269630"/>
      <w:bookmarkStart w:id="1128" w:name="_Toc36224713"/>
      <w:bookmarkStart w:id="1129" w:name="_Toc64987048"/>
      <w:bookmarkStart w:id="1130" w:name="_Toc68786598"/>
      <w:bookmarkStart w:id="1131" w:name="_Toc95321540"/>
      <w:bookmarkStart w:id="1132" w:name="_Toc99659392"/>
      <w:bookmarkStart w:id="1133" w:name="_Toc182311702"/>
      <w:bookmarkStart w:id="1134" w:name="_Toc185407537"/>
      <w:bookmarkStart w:id="1135" w:name="_Toc185427800"/>
      <w:r w:rsidRPr="00DD1C54">
        <w:t>Table A2.10:</w:t>
      </w:r>
      <w:r w:rsidRPr="00DD1C54">
        <w:tab/>
        <w:t>Area (hectares) of New Zealand subject to deforestation</w:t>
      </w:r>
      <w:bookmarkEnd w:id="1124"/>
      <w:bookmarkEnd w:id="1125"/>
      <w:bookmarkEnd w:id="1126"/>
      <w:bookmarkEnd w:id="1127"/>
      <w:bookmarkEnd w:id="1128"/>
      <w:bookmarkEnd w:id="1129"/>
      <w:bookmarkEnd w:id="1130"/>
      <w:bookmarkEnd w:id="1131"/>
      <w:bookmarkEnd w:id="1132"/>
      <w:bookmarkEnd w:id="1133"/>
      <w:bookmarkEnd w:id="1134"/>
      <w:bookmarkEnd w:id="1135"/>
    </w:p>
    <w:tbl>
      <w:tblPr>
        <w:tblW w:w="8505" w:type="dxa"/>
        <w:tblBorders>
          <w:top w:val="single" w:sz="4" w:space="0" w:color="1B556B"/>
          <w:bottom w:val="single" w:sz="4" w:space="0" w:color="1B556B"/>
          <w:insideH w:val="single" w:sz="4" w:space="0" w:color="1B556B"/>
          <w:insideV w:val="single" w:sz="4" w:space="0" w:color="1B556B"/>
        </w:tblBorders>
        <w:tblLayout w:type="fixed"/>
        <w:tblCellMar>
          <w:left w:w="85" w:type="dxa"/>
          <w:right w:w="85" w:type="dxa"/>
        </w:tblCellMar>
        <w:tblLook w:val="0420" w:firstRow="1" w:lastRow="0" w:firstColumn="0" w:lastColumn="0" w:noHBand="0" w:noVBand="1"/>
      </w:tblPr>
      <w:tblGrid>
        <w:gridCol w:w="704"/>
        <w:gridCol w:w="1211"/>
        <w:gridCol w:w="1318"/>
        <w:gridCol w:w="1318"/>
        <w:gridCol w:w="1318"/>
        <w:gridCol w:w="1318"/>
        <w:gridCol w:w="1318"/>
      </w:tblGrid>
      <w:tr w:rsidR="006929CB" w:rsidRPr="0018630D" w14:paraId="6F42A62E" w14:textId="77777777" w:rsidTr="0018630D">
        <w:trPr>
          <w:tblHeader/>
        </w:trPr>
        <w:tc>
          <w:tcPr>
            <w:tcW w:w="704" w:type="dxa"/>
            <w:shd w:val="clear" w:color="auto" w:fill="1B556B"/>
            <w:vAlign w:val="bottom"/>
          </w:tcPr>
          <w:p w14:paraId="7733CFE5" w14:textId="77777777" w:rsidR="006929CB" w:rsidRPr="0018630D" w:rsidRDefault="006929CB">
            <w:pPr>
              <w:pStyle w:val="TableTextbold"/>
              <w:rPr>
                <w:color w:val="FFFFFF" w:themeColor="background1"/>
                <w:szCs w:val="18"/>
              </w:rPr>
            </w:pPr>
            <w:r w:rsidRPr="0018630D">
              <w:rPr>
                <w:rFonts w:eastAsia="Calibri"/>
                <w:color w:val="FFFFFF" w:themeColor="background1"/>
                <w:szCs w:val="18"/>
              </w:rPr>
              <w:t>Year</w:t>
            </w:r>
          </w:p>
        </w:tc>
        <w:tc>
          <w:tcPr>
            <w:tcW w:w="1211" w:type="dxa"/>
            <w:shd w:val="clear" w:color="auto" w:fill="1B556B"/>
            <w:vAlign w:val="bottom"/>
          </w:tcPr>
          <w:p w14:paraId="19BB7376" w14:textId="77777777" w:rsidR="006929CB" w:rsidRPr="0018630D" w:rsidRDefault="006929CB">
            <w:pPr>
              <w:pStyle w:val="TableTextbold"/>
              <w:jc w:val="right"/>
              <w:rPr>
                <w:color w:val="FFFFFF" w:themeColor="background1"/>
                <w:szCs w:val="18"/>
              </w:rPr>
            </w:pPr>
            <w:r w:rsidRPr="0018630D">
              <w:rPr>
                <w:rFonts w:eastAsia="Calibri"/>
                <w:color w:val="FFFFFF" w:themeColor="background1"/>
                <w:szCs w:val="18"/>
              </w:rPr>
              <w:t>Pre-1990 natural forest</w:t>
            </w:r>
          </w:p>
        </w:tc>
        <w:tc>
          <w:tcPr>
            <w:tcW w:w="1318" w:type="dxa"/>
            <w:shd w:val="clear" w:color="auto" w:fill="1B556B"/>
            <w:vAlign w:val="bottom"/>
          </w:tcPr>
          <w:p w14:paraId="474945AA" w14:textId="77777777" w:rsidR="006929CB" w:rsidRPr="0018630D" w:rsidRDefault="006929CB">
            <w:pPr>
              <w:pStyle w:val="TableTextbold"/>
              <w:jc w:val="center"/>
              <w:rPr>
                <w:color w:val="FFFFFF" w:themeColor="background1"/>
                <w:szCs w:val="18"/>
              </w:rPr>
            </w:pPr>
            <w:r w:rsidRPr="0018630D">
              <w:rPr>
                <w:rFonts w:eastAsia="Calibri"/>
                <w:color w:val="FFFFFF" w:themeColor="background1"/>
                <w:szCs w:val="18"/>
              </w:rPr>
              <w:t>Pre-1990 planted forest</w:t>
            </w:r>
          </w:p>
        </w:tc>
        <w:tc>
          <w:tcPr>
            <w:tcW w:w="1318" w:type="dxa"/>
            <w:shd w:val="clear" w:color="auto" w:fill="1B556B"/>
            <w:vAlign w:val="bottom"/>
          </w:tcPr>
          <w:p w14:paraId="610275C1" w14:textId="77777777" w:rsidR="006929CB" w:rsidRPr="0018630D" w:rsidRDefault="006929CB">
            <w:pPr>
              <w:pStyle w:val="TableTextbold"/>
              <w:jc w:val="center"/>
              <w:rPr>
                <w:color w:val="FFFFFF" w:themeColor="background1"/>
                <w:szCs w:val="18"/>
              </w:rPr>
            </w:pPr>
            <w:r w:rsidRPr="0018630D">
              <w:rPr>
                <w:rFonts w:eastAsia="Calibri"/>
                <w:color w:val="FFFFFF" w:themeColor="background1"/>
                <w:szCs w:val="18"/>
              </w:rPr>
              <w:t>Post-1989 planted forest</w:t>
            </w:r>
          </w:p>
        </w:tc>
        <w:tc>
          <w:tcPr>
            <w:tcW w:w="1318" w:type="dxa"/>
            <w:shd w:val="clear" w:color="auto" w:fill="1B556B"/>
            <w:vAlign w:val="bottom"/>
          </w:tcPr>
          <w:p w14:paraId="366C55A4" w14:textId="77777777" w:rsidR="006929CB" w:rsidRPr="0018630D" w:rsidRDefault="006929CB">
            <w:pPr>
              <w:pStyle w:val="TableTextbold"/>
              <w:jc w:val="center"/>
              <w:rPr>
                <w:color w:val="FFFFFF" w:themeColor="background1"/>
                <w:szCs w:val="18"/>
              </w:rPr>
            </w:pPr>
            <w:r w:rsidRPr="0018630D">
              <w:rPr>
                <w:rFonts w:eastAsia="Calibri"/>
                <w:color w:val="FFFFFF" w:themeColor="background1"/>
                <w:szCs w:val="18"/>
              </w:rPr>
              <w:t>Post-1989 natural forest</w:t>
            </w:r>
          </w:p>
        </w:tc>
        <w:tc>
          <w:tcPr>
            <w:tcW w:w="1318" w:type="dxa"/>
            <w:shd w:val="clear" w:color="auto" w:fill="1B556B"/>
            <w:vAlign w:val="bottom"/>
          </w:tcPr>
          <w:p w14:paraId="751E36F6" w14:textId="77777777" w:rsidR="006929CB" w:rsidRPr="0018630D" w:rsidRDefault="006929CB">
            <w:pPr>
              <w:pStyle w:val="TableTextbold"/>
              <w:jc w:val="right"/>
              <w:rPr>
                <w:color w:val="FFFFFF" w:themeColor="background1"/>
                <w:szCs w:val="18"/>
              </w:rPr>
            </w:pPr>
            <w:r w:rsidRPr="0018630D">
              <w:rPr>
                <w:rFonts w:eastAsia="Calibri"/>
                <w:color w:val="FFFFFF" w:themeColor="background1"/>
                <w:szCs w:val="18"/>
              </w:rPr>
              <w:t>Total</w:t>
            </w:r>
          </w:p>
        </w:tc>
        <w:tc>
          <w:tcPr>
            <w:tcW w:w="1318" w:type="dxa"/>
            <w:shd w:val="clear" w:color="auto" w:fill="1B556B"/>
            <w:vAlign w:val="bottom"/>
          </w:tcPr>
          <w:p w14:paraId="232F7906" w14:textId="77777777" w:rsidR="006929CB" w:rsidRPr="0018630D" w:rsidRDefault="006929CB">
            <w:pPr>
              <w:pStyle w:val="TableTextbold"/>
              <w:jc w:val="right"/>
              <w:rPr>
                <w:color w:val="FFFFFF" w:themeColor="background1"/>
                <w:szCs w:val="18"/>
              </w:rPr>
            </w:pPr>
            <w:r w:rsidRPr="0018630D">
              <w:rPr>
                <w:rFonts w:eastAsia="Calibri"/>
                <w:color w:val="FFFFFF" w:themeColor="background1"/>
                <w:szCs w:val="18"/>
              </w:rPr>
              <w:t>Cumulative total area</w:t>
            </w:r>
          </w:p>
        </w:tc>
      </w:tr>
      <w:tr w:rsidR="006929CB" w:rsidRPr="0018630D" w14:paraId="687557F0" w14:textId="77777777" w:rsidTr="0018630D">
        <w:trPr>
          <w:trHeight w:val="283"/>
        </w:trPr>
        <w:tc>
          <w:tcPr>
            <w:tcW w:w="704" w:type="dxa"/>
            <w:shd w:val="clear" w:color="auto" w:fill="FFFFFF"/>
            <w:vAlign w:val="center"/>
          </w:tcPr>
          <w:p w14:paraId="6AEE2C18" w14:textId="77777777" w:rsidR="006929CB" w:rsidRPr="0018630D" w:rsidRDefault="006929CB">
            <w:pPr>
              <w:pStyle w:val="TableText"/>
              <w:spacing w:before="40" w:after="40"/>
              <w:rPr>
                <w:rFonts w:cs="Calibri"/>
                <w:szCs w:val="18"/>
              </w:rPr>
            </w:pPr>
            <w:r w:rsidRPr="0018630D">
              <w:rPr>
                <w:rFonts w:eastAsia="Calibri" w:cs="Calibri"/>
                <w:szCs w:val="18"/>
              </w:rPr>
              <w:t>1990</w:t>
            </w:r>
          </w:p>
        </w:tc>
        <w:tc>
          <w:tcPr>
            <w:tcW w:w="1211" w:type="dxa"/>
            <w:shd w:val="clear" w:color="auto" w:fill="FFFFFF"/>
            <w:vAlign w:val="center"/>
          </w:tcPr>
          <w:p w14:paraId="4E1E7873"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01FFA4A1"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475B6797"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18A1E10E"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15438E5C"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5BB922B5"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r>
      <w:tr w:rsidR="006929CB" w:rsidRPr="0018630D" w14:paraId="63A6EA32" w14:textId="77777777" w:rsidTr="0018630D">
        <w:trPr>
          <w:trHeight w:val="283"/>
        </w:trPr>
        <w:tc>
          <w:tcPr>
            <w:tcW w:w="704" w:type="dxa"/>
            <w:shd w:val="clear" w:color="auto" w:fill="FFFFFF"/>
            <w:vAlign w:val="center"/>
          </w:tcPr>
          <w:p w14:paraId="78BB7863" w14:textId="77777777" w:rsidR="006929CB" w:rsidRPr="0018630D" w:rsidRDefault="006929CB">
            <w:pPr>
              <w:pStyle w:val="TableText"/>
              <w:spacing w:before="40" w:after="40"/>
              <w:rPr>
                <w:rFonts w:cs="Calibri"/>
                <w:szCs w:val="18"/>
              </w:rPr>
            </w:pPr>
            <w:r w:rsidRPr="0018630D">
              <w:rPr>
                <w:rFonts w:eastAsia="Calibri" w:cs="Calibri"/>
                <w:szCs w:val="18"/>
              </w:rPr>
              <w:t>1991</w:t>
            </w:r>
          </w:p>
        </w:tc>
        <w:tc>
          <w:tcPr>
            <w:tcW w:w="1211" w:type="dxa"/>
            <w:shd w:val="clear" w:color="auto" w:fill="FFFFFF"/>
            <w:vAlign w:val="center"/>
          </w:tcPr>
          <w:p w14:paraId="4B0664E0"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4F58C967"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1C336111"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7A1F8B2F"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272B8B41"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4C89F5C8" w14:textId="77777777" w:rsidR="006929CB" w:rsidRPr="0018630D" w:rsidRDefault="006929CB">
            <w:pPr>
              <w:pStyle w:val="TableText"/>
              <w:spacing w:before="40" w:after="40"/>
              <w:jc w:val="right"/>
              <w:rPr>
                <w:rFonts w:cs="Calibri"/>
                <w:szCs w:val="18"/>
              </w:rPr>
            </w:pPr>
            <w:r w:rsidRPr="0018630D">
              <w:rPr>
                <w:rFonts w:eastAsia="Calibri" w:cs="Calibri"/>
                <w:szCs w:val="18"/>
              </w:rPr>
              <w:t>3,685</w:t>
            </w:r>
          </w:p>
        </w:tc>
      </w:tr>
      <w:tr w:rsidR="006929CB" w:rsidRPr="0018630D" w14:paraId="1A83EC0A" w14:textId="77777777" w:rsidTr="0018630D">
        <w:trPr>
          <w:trHeight w:val="283"/>
        </w:trPr>
        <w:tc>
          <w:tcPr>
            <w:tcW w:w="704" w:type="dxa"/>
            <w:shd w:val="clear" w:color="auto" w:fill="FFFFFF"/>
            <w:vAlign w:val="center"/>
          </w:tcPr>
          <w:p w14:paraId="157379A0" w14:textId="77777777" w:rsidR="006929CB" w:rsidRPr="0018630D" w:rsidRDefault="006929CB">
            <w:pPr>
              <w:pStyle w:val="TableText"/>
              <w:spacing w:before="40" w:after="40"/>
              <w:rPr>
                <w:rFonts w:cs="Calibri"/>
                <w:szCs w:val="18"/>
              </w:rPr>
            </w:pPr>
            <w:r w:rsidRPr="0018630D">
              <w:rPr>
                <w:rFonts w:eastAsia="Calibri" w:cs="Calibri"/>
                <w:szCs w:val="18"/>
              </w:rPr>
              <w:t>1992</w:t>
            </w:r>
          </w:p>
        </w:tc>
        <w:tc>
          <w:tcPr>
            <w:tcW w:w="1211" w:type="dxa"/>
            <w:shd w:val="clear" w:color="auto" w:fill="FFFFFF"/>
            <w:vAlign w:val="center"/>
          </w:tcPr>
          <w:p w14:paraId="0A0DB377"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4AAA8285"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0A5DFB31"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527A363B"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357F4E73"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6FF16386" w14:textId="77777777" w:rsidR="006929CB" w:rsidRPr="0018630D" w:rsidRDefault="006929CB">
            <w:pPr>
              <w:pStyle w:val="TableText"/>
              <w:spacing w:before="40" w:after="40"/>
              <w:jc w:val="right"/>
              <w:rPr>
                <w:rFonts w:cs="Calibri"/>
                <w:szCs w:val="18"/>
              </w:rPr>
            </w:pPr>
            <w:r w:rsidRPr="0018630D">
              <w:rPr>
                <w:rFonts w:eastAsia="Calibri" w:cs="Calibri"/>
                <w:szCs w:val="18"/>
              </w:rPr>
              <w:t>5,528</w:t>
            </w:r>
          </w:p>
        </w:tc>
      </w:tr>
      <w:tr w:rsidR="006929CB" w:rsidRPr="0018630D" w14:paraId="2894C754" w14:textId="77777777" w:rsidTr="0018630D">
        <w:trPr>
          <w:trHeight w:val="283"/>
        </w:trPr>
        <w:tc>
          <w:tcPr>
            <w:tcW w:w="704" w:type="dxa"/>
            <w:shd w:val="clear" w:color="auto" w:fill="FFFFFF"/>
            <w:vAlign w:val="center"/>
          </w:tcPr>
          <w:p w14:paraId="520305E3" w14:textId="77777777" w:rsidR="006929CB" w:rsidRPr="0018630D" w:rsidRDefault="006929CB">
            <w:pPr>
              <w:pStyle w:val="TableText"/>
              <w:spacing w:before="40" w:after="40"/>
              <w:rPr>
                <w:rFonts w:cs="Calibri"/>
                <w:szCs w:val="18"/>
              </w:rPr>
            </w:pPr>
            <w:r w:rsidRPr="0018630D">
              <w:rPr>
                <w:rFonts w:eastAsia="Calibri" w:cs="Calibri"/>
                <w:szCs w:val="18"/>
              </w:rPr>
              <w:t>1993</w:t>
            </w:r>
          </w:p>
        </w:tc>
        <w:tc>
          <w:tcPr>
            <w:tcW w:w="1211" w:type="dxa"/>
            <w:shd w:val="clear" w:color="auto" w:fill="FFFFFF"/>
            <w:vAlign w:val="center"/>
          </w:tcPr>
          <w:p w14:paraId="5905AF87"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4A2BB49F"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09BD04CB"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336D88BC"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0C23557D"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429350EF" w14:textId="77777777" w:rsidR="006929CB" w:rsidRPr="0018630D" w:rsidRDefault="006929CB">
            <w:pPr>
              <w:pStyle w:val="TableText"/>
              <w:spacing w:before="40" w:after="40"/>
              <w:jc w:val="right"/>
              <w:rPr>
                <w:rFonts w:cs="Calibri"/>
                <w:szCs w:val="18"/>
              </w:rPr>
            </w:pPr>
            <w:r w:rsidRPr="0018630D">
              <w:rPr>
                <w:rFonts w:eastAsia="Calibri" w:cs="Calibri"/>
                <w:szCs w:val="18"/>
              </w:rPr>
              <w:t>7,370</w:t>
            </w:r>
          </w:p>
        </w:tc>
      </w:tr>
      <w:tr w:rsidR="006929CB" w:rsidRPr="0018630D" w14:paraId="124DD2FD" w14:textId="77777777" w:rsidTr="0018630D">
        <w:trPr>
          <w:trHeight w:val="283"/>
        </w:trPr>
        <w:tc>
          <w:tcPr>
            <w:tcW w:w="704" w:type="dxa"/>
            <w:shd w:val="clear" w:color="auto" w:fill="FFFFFF"/>
            <w:vAlign w:val="center"/>
          </w:tcPr>
          <w:p w14:paraId="6EAFA792" w14:textId="77777777" w:rsidR="006929CB" w:rsidRPr="0018630D" w:rsidRDefault="006929CB">
            <w:pPr>
              <w:pStyle w:val="TableText"/>
              <w:spacing w:before="40" w:after="40"/>
              <w:rPr>
                <w:rFonts w:cs="Calibri"/>
                <w:szCs w:val="18"/>
              </w:rPr>
            </w:pPr>
            <w:r w:rsidRPr="0018630D">
              <w:rPr>
                <w:rFonts w:eastAsia="Calibri" w:cs="Calibri"/>
                <w:szCs w:val="18"/>
              </w:rPr>
              <w:t>1994</w:t>
            </w:r>
          </w:p>
        </w:tc>
        <w:tc>
          <w:tcPr>
            <w:tcW w:w="1211" w:type="dxa"/>
            <w:shd w:val="clear" w:color="auto" w:fill="FFFFFF"/>
            <w:vAlign w:val="center"/>
          </w:tcPr>
          <w:p w14:paraId="63BC85DF"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5268A356"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134F0697"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59BC9B5B"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33A0DD5B"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3D58CA18" w14:textId="77777777" w:rsidR="006929CB" w:rsidRPr="0018630D" w:rsidRDefault="006929CB">
            <w:pPr>
              <w:pStyle w:val="TableText"/>
              <w:spacing w:before="40" w:after="40"/>
              <w:jc w:val="right"/>
              <w:rPr>
                <w:rFonts w:cs="Calibri"/>
                <w:szCs w:val="18"/>
              </w:rPr>
            </w:pPr>
            <w:r w:rsidRPr="0018630D">
              <w:rPr>
                <w:rFonts w:eastAsia="Calibri" w:cs="Calibri"/>
                <w:szCs w:val="18"/>
              </w:rPr>
              <w:t>9,213</w:t>
            </w:r>
          </w:p>
        </w:tc>
      </w:tr>
      <w:tr w:rsidR="006929CB" w:rsidRPr="0018630D" w14:paraId="0DAEE7CC" w14:textId="77777777" w:rsidTr="0018630D">
        <w:trPr>
          <w:trHeight w:val="283"/>
        </w:trPr>
        <w:tc>
          <w:tcPr>
            <w:tcW w:w="704" w:type="dxa"/>
            <w:shd w:val="clear" w:color="auto" w:fill="FFFFFF"/>
            <w:vAlign w:val="center"/>
          </w:tcPr>
          <w:p w14:paraId="4EA3E656" w14:textId="77777777" w:rsidR="006929CB" w:rsidRPr="0018630D" w:rsidRDefault="006929CB">
            <w:pPr>
              <w:pStyle w:val="TableText"/>
              <w:spacing w:before="40" w:after="40"/>
              <w:rPr>
                <w:rFonts w:cs="Calibri"/>
                <w:szCs w:val="18"/>
              </w:rPr>
            </w:pPr>
            <w:r w:rsidRPr="0018630D">
              <w:rPr>
                <w:rFonts w:eastAsia="Calibri" w:cs="Calibri"/>
                <w:szCs w:val="18"/>
              </w:rPr>
              <w:t>1995</w:t>
            </w:r>
          </w:p>
        </w:tc>
        <w:tc>
          <w:tcPr>
            <w:tcW w:w="1211" w:type="dxa"/>
            <w:shd w:val="clear" w:color="auto" w:fill="FFFFFF"/>
            <w:vAlign w:val="center"/>
          </w:tcPr>
          <w:p w14:paraId="00C85474"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205C8623"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1892B5B3"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4F514FDB"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7D71731D"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045A0CEF" w14:textId="77777777" w:rsidR="006929CB" w:rsidRPr="0018630D" w:rsidRDefault="006929CB">
            <w:pPr>
              <w:pStyle w:val="TableText"/>
              <w:spacing w:before="40" w:after="40"/>
              <w:jc w:val="right"/>
              <w:rPr>
                <w:rFonts w:cs="Calibri"/>
                <w:szCs w:val="18"/>
              </w:rPr>
            </w:pPr>
            <w:r w:rsidRPr="0018630D">
              <w:rPr>
                <w:rFonts w:eastAsia="Calibri" w:cs="Calibri"/>
                <w:szCs w:val="18"/>
              </w:rPr>
              <w:t>11,055</w:t>
            </w:r>
          </w:p>
        </w:tc>
      </w:tr>
      <w:tr w:rsidR="006929CB" w:rsidRPr="0018630D" w14:paraId="6BA1E0D5" w14:textId="77777777" w:rsidTr="0018630D">
        <w:trPr>
          <w:trHeight w:val="283"/>
        </w:trPr>
        <w:tc>
          <w:tcPr>
            <w:tcW w:w="704" w:type="dxa"/>
            <w:shd w:val="clear" w:color="auto" w:fill="FFFFFF"/>
            <w:vAlign w:val="center"/>
          </w:tcPr>
          <w:p w14:paraId="09FF2EB7" w14:textId="77777777" w:rsidR="006929CB" w:rsidRPr="0018630D" w:rsidRDefault="006929CB">
            <w:pPr>
              <w:pStyle w:val="TableText"/>
              <w:spacing w:before="40" w:after="40"/>
              <w:rPr>
                <w:rFonts w:cs="Calibri"/>
                <w:szCs w:val="18"/>
              </w:rPr>
            </w:pPr>
            <w:r w:rsidRPr="0018630D">
              <w:rPr>
                <w:rFonts w:eastAsia="Calibri" w:cs="Calibri"/>
                <w:szCs w:val="18"/>
              </w:rPr>
              <w:t>1996</w:t>
            </w:r>
          </w:p>
        </w:tc>
        <w:tc>
          <w:tcPr>
            <w:tcW w:w="1211" w:type="dxa"/>
            <w:shd w:val="clear" w:color="auto" w:fill="FFFFFF"/>
            <w:vAlign w:val="center"/>
          </w:tcPr>
          <w:p w14:paraId="1DAFDF66"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7F1A1961"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274C8976"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3E424B02"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10446F16"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2C664CED" w14:textId="77777777" w:rsidR="006929CB" w:rsidRPr="0018630D" w:rsidRDefault="006929CB">
            <w:pPr>
              <w:pStyle w:val="TableText"/>
              <w:spacing w:before="40" w:after="40"/>
              <w:jc w:val="right"/>
              <w:rPr>
                <w:rFonts w:cs="Calibri"/>
                <w:szCs w:val="18"/>
              </w:rPr>
            </w:pPr>
            <w:r w:rsidRPr="0018630D">
              <w:rPr>
                <w:rFonts w:eastAsia="Calibri" w:cs="Calibri"/>
                <w:szCs w:val="18"/>
              </w:rPr>
              <w:t>12,898</w:t>
            </w:r>
          </w:p>
        </w:tc>
      </w:tr>
      <w:tr w:rsidR="006929CB" w:rsidRPr="0018630D" w14:paraId="5B0BCE72" w14:textId="77777777" w:rsidTr="0018630D">
        <w:trPr>
          <w:trHeight w:val="283"/>
        </w:trPr>
        <w:tc>
          <w:tcPr>
            <w:tcW w:w="704" w:type="dxa"/>
            <w:shd w:val="clear" w:color="auto" w:fill="FFFFFF"/>
            <w:vAlign w:val="center"/>
          </w:tcPr>
          <w:p w14:paraId="3C3B492F" w14:textId="77777777" w:rsidR="006929CB" w:rsidRPr="0018630D" w:rsidRDefault="006929CB">
            <w:pPr>
              <w:pStyle w:val="TableText"/>
              <w:spacing w:before="40" w:after="40"/>
              <w:rPr>
                <w:rFonts w:cs="Calibri"/>
                <w:szCs w:val="18"/>
              </w:rPr>
            </w:pPr>
            <w:r w:rsidRPr="0018630D">
              <w:rPr>
                <w:rFonts w:eastAsia="Calibri" w:cs="Calibri"/>
                <w:szCs w:val="18"/>
              </w:rPr>
              <w:t>1997</w:t>
            </w:r>
          </w:p>
        </w:tc>
        <w:tc>
          <w:tcPr>
            <w:tcW w:w="1211" w:type="dxa"/>
            <w:shd w:val="clear" w:color="auto" w:fill="FFFFFF"/>
            <w:vAlign w:val="center"/>
          </w:tcPr>
          <w:p w14:paraId="49736904"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6B90893B"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22ED80EA"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0C775AD1"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59E3B42E"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0F8421A7" w14:textId="77777777" w:rsidR="006929CB" w:rsidRPr="0018630D" w:rsidRDefault="006929CB">
            <w:pPr>
              <w:pStyle w:val="TableText"/>
              <w:spacing w:before="40" w:after="40"/>
              <w:jc w:val="right"/>
              <w:rPr>
                <w:rFonts w:cs="Calibri"/>
                <w:szCs w:val="18"/>
              </w:rPr>
            </w:pPr>
            <w:r w:rsidRPr="0018630D">
              <w:rPr>
                <w:rFonts w:eastAsia="Calibri" w:cs="Calibri"/>
                <w:szCs w:val="18"/>
              </w:rPr>
              <w:t>14,741</w:t>
            </w:r>
          </w:p>
        </w:tc>
      </w:tr>
      <w:tr w:rsidR="006929CB" w:rsidRPr="0018630D" w14:paraId="5940F639" w14:textId="77777777" w:rsidTr="0018630D">
        <w:trPr>
          <w:trHeight w:val="283"/>
        </w:trPr>
        <w:tc>
          <w:tcPr>
            <w:tcW w:w="704" w:type="dxa"/>
            <w:shd w:val="clear" w:color="auto" w:fill="FFFFFF"/>
            <w:vAlign w:val="center"/>
          </w:tcPr>
          <w:p w14:paraId="6EFBCFE4" w14:textId="77777777" w:rsidR="006929CB" w:rsidRPr="0018630D" w:rsidRDefault="006929CB">
            <w:pPr>
              <w:pStyle w:val="TableText"/>
              <w:spacing w:before="40" w:after="40"/>
              <w:rPr>
                <w:rFonts w:cs="Calibri"/>
                <w:szCs w:val="18"/>
              </w:rPr>
            </w:pPr>
            <w:r w:rsidRPr="0018630D">
              <w:rPr>
                <w:rFonts w:eastAsia="Calibri" w:cs="Calibri"/>
                <w:szCs w:val="18"/>
              </w:rPr>
              <w:t>1998</w:t>
            </w:r>
          </w:p>
        </w:tc>
        <w:tc>
          <w:tcPr>
            <w:tcW w:w="1211" w:type="dxa"/>
            <w:shd w:val="clear" w:color="auto" w:fill="FFFFFF"/>
            <w:vAlign w:val="center"/>
          </w:tcPr>
          <w:p w14:paraId="4D634DEC"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75B12661"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281A5AAA"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1614F650"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3D3A2AA3"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7B82854E" w14:textId="77777777" w:rsidR="006929CB" w:rsidRPr="0018630D" w:rsidRDefault="006929CB">
            <w:pPr>
              <w:pStyle w:val="TableText"/>
              <w:spacing w:before="40" w:after="40"/>
              <w:jc w:val="right"/>
              <w:rPr>
                <w:rFonts w:cs="Calibri"/>
                <w:szCs w:val="18"/>
              </w:rPr>
            </w:pPr>
            <w:r w:rsidRPr="0018630D">
              <w:rPr>
                <w:rFonts w:eastAsia="Calibri" w:cs="Calibri"/>
                <w:szCs w:val="18"/>
              </w:rPr>
              <w:t>16,583</w:t>
            </w:r>
          </w:p>
        </w:tc>
      </w:tr>
      <w:tr w:rsidR="006929CB" w:rsidRPr="0018630D" w14:paraId="4967A0BE" w14:textId="77777777" w:rsidTr="0018630D">
        <w:trPr>
          <w:trHeight w:val="283"/>
        </w:trPr>
        <w:tc>
          <w:tcPr>
            <w:tcW w:w="704" w:type="dxa"/>
            <w:shd w:val="clear" w:color="auto" w:fill="FFFFFF"/>
            <w:vAlign w:val="center"/>
          </w:tcPr>
          <w:p w14:paraId="2C32D056" w14:textId="77777777" w:rsidR="006929CB" w:rsidRPr="0018630D" w:rsidRDefault="006929CB">
            <w:pPr>
              <w:pStyle w:val="TableText"/>
              <w:spacing w:before="40" w:after="40"/>
              <w:rPr>
                <w:rFonts w:cs="Calibri"/>
                <w:szCs w:val="18"/>
              </w:rPr>
            </w:pPr>
            <w:r w:rsidRPr="0018630D">
              <w:rPr>
                <w:rFonts w:eastAsia="Calibri" w:cs="Calibri"/>
                <w:szCs w:val="18"/>
              </w:rPr>
              <w:t>1999</w:t>
            </w:r>
          </w:p>
        </w:tc>
        <w:tc>
          <w:tcPr>
            <w:tcW w:w="1211" w:type="dxa"/>
            <w:shd w:val="clear" w:color="auto" w:fill="FFFFFF"/>
            <w:vAlign w:val="center"/>
          </w:tcPr>
          <w:p w14:paraId="346F2EBC"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2860C4AE"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23660DA5"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1D2642E4"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5FE0F766"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547FE456" w14:textId="77777777" w:rsidR="006929CB" w:rsidRPr="0018630D" w:rsidRDefault="006929CB">
            <w:pPr>
              <w:pStyle w:val="TableText"/>
              <w:spacing w:before="40" w:after="40"/>
              <w:jc w:val="right"/>
              <w:rPr>
                <w:rFonts w:cs="Calibri"/>
                <w:szCs w:val="18"/>
              </w:rPr>
            </w:pPr>
            <w:r w:rsidRPr="0018630D">
              <w:rPr>
                <w:rFonts w:eastAsia="Calibri" w:cs="Calibri"/>
                <w:szCs w:val="18"/>
              </w:rPr>
              <w:t>18,426</w:t>
            </w:r>
          </w:p>
        </w:tc>
      </w:tr>
      <w:tr w:rsidR="006929CB" w:rsidRPr="0018630D" w14:paraId="59C1161E" w14:textId="77777777" w:rsidTr="0018630D">
        <w:trPr>
          <w:trHeight w:val="283"/>
        </w:trPr>
        <w:tc>
          <w:tcPr>
            <w:tcW w:w="704" w:type="dxa"/>
            <w:shd w:val="clear" w:color="auto" w:fill="FFFFFF"/>
            <w:vAlign w:val="center"/>
          </w:tcPr>
          <w:p w14:paraId="278E6946" w14:textId="77777777" w:rsidR="006929CB" w:rsidRPr="0018630D" w:rsidRDefault="006929CB">
            <w:pPr>
              <w:pStyle w:val="TableText"/>
              <w:spacing w:before="40" w:after="40"/>
              <w:rPr>
                <w:rFonts w:cs="Calibri"/>
                <w:szCs w:val="18"/>
              </w:rPr>
            </w:pPr>
            <w:r w:rsidRPr="0018630D">
              <w:rPr>
                <w:rFonts w:eastAsia="Calibri" w:cs="Calibri"/>
                <w:szCs w:val="18"/>
              </w:rPr>
              <w:t>2000</w:t>
            </w:r>
          </w:p>
        </w:tc>
        <w:tc>
          <w:tcPr>
            <w:tcW w:w="1211" w:type="dxa"/>
            <w:shd w:val="clear" w:color="auto" w:fill="FFFFFF"/>
            <w:vAlign w:val="center"/>
          </w:tcPr>
          <w:p w14:paraId="1D696A83"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7027F363" w14:textId="77777777" w:rsidR="006929CB" w:rsidRPr="0018630D" w:rsidRDefault="006929CB">
            <w:pPr>
              <w:pStyle w:val="TableText"/>
              <w:spacing w:before="40" w:after="40"/>
              <w:jc w:val="center"/>
              <w:rPr>
                <w:rFonts w:cs="Calibri"/>
                <w:szCs w:val="18"/>
              </w:rPr>
            </w:pPr>
            <w:r w:rsidRPr="0018630D">
              <w:rPr>
                <w:rFonts w:eastAsia="Calibri" w:cs="Calibri"/>
                <w:szCs w:val="18"/>
              </w:rPr>
              <w:t>2,027</w:t>
            </w:r>
          </w:p>
        </w:tc>
        <w:tc>
          <w:tcPr>
            <w:tcW w:w="1318" w:type="dxa"/>
            <w:shd w:val="clear" w:color="auto" w:fill="FFFFFF"/>
            <w:vAlign w:val="center"/>
          </w:tcPr>
          <w:p w14:paraId="47B107F6"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6D8B50E4"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14AB2395" w14:textId="77777777" w:rsidR="006929CB" w:rsidRPr="0018630D" w:rsidRDefault="006929CB">
            <w:pPr>
              <w:pStyle w:val="TableText"/>
              <w:spacing w:before="40" w:after="40"/>
              <w:jc w:val="right"/>
              <w:rPr>
                <w:rFonts w:cs="Calibri"/>
                <w:szCs w:val="18"/>
              </w:rPr>
            </w:pPr>
            <w:r w:rsidRPr="0018630D">
              <w:rPr>
                <w:rFonts w:eastAsia="Calibri" w:cs="Calibri"/>
                <w:szCs w:val="18"/>
              </w:rPr>
              <w:t>3,870</w:t>
            </w:r>
          </w:p>
        </w:tc>
        <w:tc>
          <w:tcPr>
            <w:tcW w:w="1318" w:type="dxa"/>
            <w:shd w:val="clear" w:color="auto" w:fill="FFFFFF"/>
            <w:vAlign w:val="center"/>
          </w:tcPr>
          <w:p w14:paraId="0480BC36" w14:textId="77777777" w:rsidR="006929CB" w:rsidRPr="0018630D" w:rsidRDefault="006929CB">
            <w:pPr>
              <w:pStyle w:val="TableText"/>
              <w:spacing w:before="40" w:after="40"/>
              <w:jc w:val="right"/>
              <w:rPr>
                <w:rFonts w:cs="Calibri"/>
                <w:szCs w:val="18"/>
              </w:rPr>
            </w:pPr>
            <w:r w:rsidRPr="0018630D">
              <w:rPr>
                <w:rFonts w:eastAsia="Calibri" w:cs="Calibri"/>
                <w:szCs w:val="18"/>
              </w:rPr>
              <w:t>22,296</w:t>
            </w:r>
          </w:p>
        </w:tc>
      </w:tr>
      <w:tr w:rsidR="006929CB" w:rsidRPr="0018630D" w14:paraId="76CA709B" w14:textId="77777777" w:rsidTr="0018630D">
        <w:trPr>
          <w:trHeight w:val="283"/>
        </w:trPr>
        <w:tc>
          <w:tcPr>
            <w:tcW w:w="704" w:type="dxa"/>
            <w:shd w:val="clear" w:color="auto" w:fill="FFFFFF"/>
            <w:vAlign w:val="center"/>
          </w:tcPr>
          <w:p w14:paraId="5F7A6712" w14:textId="77777777" w:rsidR="006929CB" w:rsidRPr="0018630D" w:rsidRDefault="006929CB">
            <w:pPr>
              <w:pStyle w:val="TableText"/>
              <w:spacing w:before="40" w:after="40"/>
              <w:rPr>
                <w:rFonts w:cs="Calibri"/>
                <w:szCs w:val="18"/>
              </w:rPr>
            </w:pPr>
            <w:r w:rsidRPr="0018630D">
              <w:rPr>
                <w:rFonts w:eastAsia="Calibri" w:cs="Calibri"/>
                <w:szCs w:val="18"/>
              </w:rPr>
              <w:t>2001</w:t>
            </w:r>
          </w:p>
        </w:tc>
        <w:tc>
          <w:tcPr>
            <w:tcW w:w="1211" w:type="dxa"/>
            <w:shd w:val="clear" w:color="auto" w:fill="FFFFFF"/>
            <w:vAlign w:val="center"/>
          </w:tcPr>
          <w:p w14:paraId="75D10623"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6EE55C6E" w14:textId="77777777" w:rsidR="006929CB" w:rsidRPr="0018630D" w:rsidRDefault="006929CB">
            <w:pPr>
              <w:pStyle w:val="TableText"/>
              <w:spacing w:before="40" w:after="40"/>
              <w:jc w:val="center"/>
              <w:rPr>
                <w:rFonts w:cs="Calibri"/>
                <w:szCs w:val="18"/>
              </w:rPr>
            </w:pPr>
            <w:r w:rsidRPr="0018630D">
              <w:rPr>
                <w:rFonts w:eastAsia="Calibri" w:cs="Calibri"/>
                <w:szCs w:val="18"/>
              </w:rPr>
              <w:t>1,944</w:t>
            </w:r>
          </w:p>
        </w:tc>
        <w:tc>
          <w:tcPr>
            <w:tcW w:w="1318" w:type="dxa"/>
            <w:shd w:val="clear" w:color="auto" w:fill="FFFFFF"/>
            <w:vAlign w:val="center"/>
          </w:tcPr>
          <w:p w14:paraId="7017E191"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5F357062"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2025516B" w14:textId="77777777" w:rsidR="006929CB" w:rsidRPr="0018630D" w:rsidRDefault="006929CB">
            <w:pPr>
              <w:pStyle w:val="TableText"/>
              <w:spacing w:before="40" w:after="40"/>
              <w:jc w:val="right"/>
              <w:rPr>
                <w:rFonts w:cs="Calibri"/>
                <w:szCs w:val="18"/>
              </w:rPr>
            </w:pPr>
            <w:r w:rsidRPr="0018630D">
              <w:rPr>
                <w:rFonts w:eastAsia="Calibri" w:cs="Calibri"/>
                <w:szCs w:val="18"/>
              </w:rPr>
              <w:t>3,787</w:t>
            </w:r>
          </w:p>
        </w:tc>
        <w:tc>
          <w:tcPr>
            <w:tcW w:w="1318" w:type="dxa"/>
            <w:shd w:val="clear" w:color="auto" w:fill="FFFFFF"/>
            <w:vAlign w:val="center"/>
          </w:tcPr>
          <w:p w14:paraId="52B14C56" w14:textId="77777777" w:rsidR="006929CB" w:rsidRPr="0018630D" w:rsidRDefault="006929CB">
            <w:pPr>
              <w:pStyle w:val="TableText"/>
              <w:spacing w:before="40" w:after="40"/>
              <w:jc w:val="right"/>
              <w:rPr>
                <w:rFonts w:cs="Calibri"/>
                <w:szCs w:val="18"/>
              </w:rPr>
            </w:pPr>
            <w:r w:rsidRPr="0018630D">
              <w:rPr>
                <w:rFonts w:eastAsia="Calibri" w:cs="Calibri"/>
                <w:szCs w:val="18"/>
              </w:rPr>
              <w:t>26,082</w:t>
            </w:r>
          </w:p>
        </w:tc>
      </w:tr>
      <w:tr w:rsidR="006929CB" w:rsidRPr="0018630D" w14:paraId="43B55F26" w14:textId="77777777" w:rsidTr="0018630D">
        <w:trPr>
          <w:trHeight w:val="283"/>
        </w:trPr>
        <w:tc>
          <w:tcPr>
            <w:tcW w:w="704" w:type="dxa"/>
            <w:shd w:val="clear" w:color="auto" w:fill="FFFFFF"/>
            <w:vAlign w:val="center"/>
          </w:tcPr>
          <w:p w14:paraId="4F4EE3B1" w14:textId="77777777" w:rsidR="006929CB" w:rsidRPr="0018630D" w:rsidRDefault="006929CB">
            <w:pPr>
              <w:pStyle w:val="TableText"/>
              <w:spacing w:before="40" w:after="40"/>
              <w:rPr>
                <w:rFonts w:cs="Calibri"/>
                <w:szCs w:val="18"/>
              </w:rPr>
            </w:pPr>
            <w:r w:rsidRPr="0018630D">
              <w:rPr>
                <w:rFonts w:eastAsia="Calibri" w:cs="Calibri"/>
                <w:szCs w:val="18"/>
              </w:rPr>
              <w:t>2002</w:t>
            </w:r>
          </w:p>
        </w:tc>
        <w:tc>
          <w:tcPr>
            <w:tcW w:w="1211" w:type="dxa"/>
            <w:shd w:val="clear" w:color="auto" w:fill="FFFFFF"/>
            <w:vAlign w:val="center"/>
          </w:tcPr>
          <w:p w14:paraId="2081E108"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31A2C0AE" w14:textId="77777777" w:rsidR="006929CB" w:rsidRPr="0018630D" w:rsidRDefault="006929CB">
            <w:pPr>
              <w:pStyle w:val="TableText"/>
              <w:spacing w:before="40" w:after="40"/>
              <w:jc w:val="center"/>
              <w:rPr>
                <w:rFonts w:cs="Calibri"/>
                <w:szCs w:val="18"/>
              </w:rPr>
            </w:pPr>
            <w:r w:rsidRPr="0018630D">
              <w:rPr>
                <w:rFonts w:eastAsia="Calibri" w:cs="Calibri"/>
                <w:szCs w:val="18"/>
              </w:rPr>
              <w:t>1,314</w:t>
            </w:r>
          </w:p>
        </w:tc>
        <w:tc>
          <w:tcPr>
            <w:tcW w:w="1318" w:type="dxa"/>
            <w:shd w:val="clear" w:color="auto" w:fill="FFFFFF"/>
            <w:vAlign w:val="center"/>
          </w:tcPr>
          <w:p w14:paraId="4BC6A5B5" w14:textId="77777777" w:rsidR="006929CB" w:rsidRPr="0018630D" w:rsidRDefault="006929CB">
            <w:pPr>
              <w:pStyle w:val="TableText"/>
              <w:spacing w:before="40" w:after="40"/>
              <w:jc w:val="center"/>
              <w:rPr>
                <w:rFonts w:cs="Calibri"/>
                <w:szCs w:val="18"/>
              </w:rPr>
            </w:pPr>
            <w:r w:rsidRPr="0018630D">
              <w:rPr>
                <w:rFonts w:eastAsia="Calibri" w:cs="Calibri"/>
                <w:szCs w:val="18"/>
              </w:rPr>
              <w:t>820</w:t>
            </w:r>
          </w:p>
        </w:tc>
        <w:tc>
          <w:tcPr>
            <w:tcW w:w="1318" w:type="dxa"/>
            <w:shd w:val="clear" w:color="auto" w:fill="FFFFFF"/>
            <w:vAlign w:val="center"/>
          </w:tcPr>
          <w:p w14:paraId="1ECFEA12"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29537BCC" w14:textId="77777777" w:rsidR="006929CB" w:rsidRPr="0018630D" w:rsidRDefault="006929CB">
            <w:pPr>
              <w:pStyle w:val="TableText"/>
              <w:spacing w:before="40" w:after="40"/>
              <w:jc w:val="right"/>
              <w:rPr>
                <w:rFonts w:cs="Calibri"/>
                <w:szCs w:val="18"/>
              </w:rPr>
            </w:pPr>
            <w:r w:rsidRPr="0018630D">
              <w:rPr>
                <w:rFonts w:eastAsia="Calibri" w:cs="Calibri"/>
                <w:szCs w:val="18"/>
              </w:rPr>
              <w:t>3,976</w:t>
            </w:r>
          </w:p>
        </w:tc>
        <w:tc>
          <w:tcPr>
            <w:tcW w:w="1318" w:type="dxa"/>
            <w:shd w:val="clear" w:color="auto" w:fill="FFFFFF"/>
            <w:vAlign w:val="center"/>
          </w:tcPr>
          <w:p w14:paraId="02C110FD" w14:textId="77777777" w:rsidR="006929CB" w:rsidRPr="0018630D" w:rsidRDefault="006929CB">
            <w:pPr>
              <w:pStyle w:val="TableText"/>
              <w:spacing w:before="40" w:after="40"/>
              <w:jc w:val="right"/>
              <w:rPr>
                <w:rFonts w:cs="Calibri"/>
                <w:szCs w:val="18"/>
              </w:rPr>
            </w:pPr>
            <w:r w:rsidRPr="0018630D">
              <w:rPr>
                <w:rFonts w:eastAsia="Calibri" w:cs="Calibri"/>
                <w:szCs w:val="18"/>
              </w:rPr>
              <w:t>30,059</w:t>
            </w:r>
          </w:p>
        </w:tc>
      </w:tr>
      <w:tr w:rsidR="006929CB" w:rsidRPr="0018630D" w14:paraId="20D0B943" w14:textId="77777777" w:rsidTr="0018630D">
        <w:trPr>
          <w:trHeight w:val="283"/>
        </w:trPr>
        <w:tc>
          <w:tcPr>
            <w:tcW w:w="704" w:type="dxa"/>
            <w:shd w:val="clear" w:color="auto" w:fill="FFFFFF"/>
            <w:vAlign w:val="center"/>
          </w:tcPr>
          <w:p w14:paraId="20101937" w14:textId="77777777" w:rsidR="006929CB" w:rsidRPr="0018630D" w:rsidRDefault="006929CB">
            <w:pPr>
              <w:pStyle w:val="TableText"/>
              <w:spacing w:before="40" w:after="40"/>
              <w:rPr>
                <w:rFonts w:cs="Calibri"/>
                <w:szCs w:val="18"/>
              </w:rPr>
            </w:pPr>
            <w:r w:rsidRPr="0018630D">
              <w:rPr>
                <w:rFonts w:eastAsia="Calibri" w:cs="Calibri"/>
                <w:szCs w:val="18"/>
              </w:rPr>
              <w:t>2003</w:t>
            </w:r>
          </w:p>
        </w:tc>
        <w:tc>
          <w:tcPr>
            <w:tcW w:w="1211" w:type="dxa"/>
            <w:shd w:val="clear" w:color="auto" w:fill="FFFFFF"/>
            <w:vAlign w:val="center"/>
          </w:tcPr>
          <w:p w14:paraId="24A40662"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4395A84E" w14:textId="77777777" w:rsidR="006929CB" w:rsidRPr="0018630D" w:rsidRDefault="006929CB">
            <w:pPr>
              <w:pStyle w:val="TableText"/>
              <w:spacing w:before="40" w:after="40"/>
              <w:jc w:val="center"/>
              <w:rPr>
                <w:rFonts w:cs="Calibri"/>
                <w:szCs w:val="18"/>
              </w:rPr>
            </w:pPr>
            <w:r w:rsidRPr="0018630D">
              <w:rPr>
                <w:rFonts w:eastAsia="Calibri" w:cs="Calibri"/>
                <w:szCs w:val="18"/>
              </w:rPr>
              <w:t>2,890</w:t>
            </w:r>
          </w:p>
        </w:tc>
        <w:tc>
          <w:tcPr>
            <w:tcW w:w="1318" w:type="dxa"/>
            <w:shd w:val="clear" w:color="auto" w:fill="FFFFFF"/>
            <w:vAlign w:val="center"/>
          </w:tcPr>
          <w:p w14:paraId="5F6695D8" w14:textId="77777777" w:rsidR="006929CB" w:rsidRPr="0018630D" w:rsidRDefault="006929CB">
            <w:pPr>
              <w:pStyle w:val="TableText"/>
              <w:spacing w:before="40" w:after="40"/>
              <w:jc w:val="center"/>
              <w:rPr>
                <w:rFonts w:cs="Calibri"/>
                <w:szCs w:val="18"/>
              </w:rPr>
            </w:pPr>
            <w:r w:rsidRPr="0018630D">
              <w:rPr>
                <w:rFonts w:eastAsia="Calibri" w:cs="Calibri"/>
                <w:szCs w:val="18"/>
              </w:rPr>
              <w:t>2,586</w:t>
            </w:r>
          </w:p>
        </w:tc>
        <w:tc>
          <w:tcPr>
            <w:tcW w:w="1318" w:type="dxa"/>
            <w:shd w:val="clear" w:color="auto" w:fill="FFFFFF"/>
            <w:vAlign w:val="center"/>
          </w:tcPr>
          <w:p w14:paraId="7D8F73AE"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0355CFDA" w14:textId="77777777" w:rsidR="006929CB" w:rsidRPr="0018630D" w:rsidRDefault="006929CB">
            <w:pPr>
              <w:pStyle w:val="TableText"/>
              <w:spacing w:before="40" w:after="40"/>
              <w:jc w:val="right"/>
              <w:rPr>
                <w:rFonts w:cs="Calibri"/>
                <w:szCs w:val="18"/>
              </w:rPr>
            </w:pPr>
            <w:r w:rsidRPr="0018630D">
              <w:rPr>
                <w:rFonts w:eastAsia="Calibri" w:cs="Calibri"/>
                <w:szCs w:val="18"/>
              </w:rPr>
              <w:t>7,319</w:t>
            </w:r>
          </w:p>
        </w:tc>
        <w:tc>
          <w:tcPr>
            <w:tcW w:w="1318" w:type="dxa"/>
            <w:shd w:val="clear" w:color="auto" w:fill="FFFFFF"/>
            <w:vAlign w:val="center"/>
          </w:tcPr>
          <w:p w14:paraId="0E139891" w14:textId="77777777" w:rsidR="006929CB" w:rsidRPr="0018630D" w:rsidRDefault="006929CB">
            <w:pPr>
              <w:pStyle w:val="TableText"/>
              <w:spacing w:before="40" w:after="40"/>
              <w:jc w:val="right"/>
              <w:rPr>
                <w:rFonts w:cs="Calibri"/>
                <w:szCs w:val="18"/>
              </w:rPr>
            </w:pPr>
            <w:r w:rsidRPr="0018630D">
              <w:rPr>
                <w:rFonts w:eastAsia="Calibri" w:cs="Calibri"/>
                <w:szCs w:val="18"/>
              </w:rPr>
              <w:t>37,377</w:t>
            </w:r>
          </w:p>
        </w:tc>
      </w:tr>
      <w:tr w:rsidR="006929CB" w:rsidRPr="0018630D" w14:paraId="5171378D" w14:textId="77777777" w:rsidTr="0018630D">
        <w:trPr>
          <w:trHeight w:val="283"/>
        </w:trPr>
        <w:tc>
          <w:tcPr>
            <w:tcW w:w="704" w:type="dxa"/>
            <w:shd w:val="clear" w:color="auto" w:fill="FFFFFF"/>
            <w:vAlign w:val="center"/>
          </w:tcPr>
          <w:p w14:paraId="025FF6DE" w14:textId="77777777" w:rsidR="006929CB" w:rsidRPr="0018630D" w:rsidRDefault="006929CB">
            <w:pPr>
              <w:pStyle w:val="TableText"/>
              <w:spacing w:before="40" w:after="40"/>
              <w:rPr>
                <w:rFonts w:cs="Calibri"/>
                <w:szCs w:val="18"/>
              </w:rPr>
            </w:pPr>
            <w:r w:rsidRPr="0018630D">
              <w:rPr>
                <w:rFonts w:eastAsia="Calibri" w:cs="Calibri"/>
                <w:szCs w:val="18"/>
              </w:rPr>
              <w:t>2004</w:t>
            </w:r>
          </w:p>
        </w:tc>
        <w:tc>
          <w:tcPr>
            <w:tcW w:w="1211" w:type="dxa"/>
            <w:shd w:val="clear" w:color="auto" w:fill="FFFFFF"/>
            <w:vAlign w:val="center"/>
          </w:tcPr>
          <w:p w14:paraId="368E469D"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0B37D613" w14:textId="77777777" w:rsidR="006929CB" w:rsidRPr="0018630D" w:rsidRDefault="006929CB">
            <w:pPr>
              <w:pStyle w:val="TableText"/>
              <w:spacing w:before="40" w:after="40"/>
              <w:jc w:val="center"/>
              <w:rPr>
                <w:rFonts w:cs="Calibri"/>
                <w:szCs w:val="18"/>
              </w:rPr>
            </w:pPr>
            <w:r w:rsidRPr="0018630D">
              <w:rPr>
                <w:rFonts w:eastAsia="Calibri" w:cs="Calibri"/>
                <w:szCs w:val="18"/>
              </w:rPr>
              <w:t>6,661</w:t>
            </w:r>
          </w:p>
        </w:tc>
        <w:tc>
          <w:tcPr>
            <w:tcW w:w="1318" w:type="dxa"/>
            <w:shd w:val="clear" w:color="auto" w:fill="FFFFFF"/>
            <w:vAlign w:val="center"/>
          </w:tcPr>
          <w:p w14:paraId="781C43A2" w14:textId="77777777" w:rsidR="006929CB" w:rsidRPr="0018630D" w:rsidRDefault="006929CB">
            <w:pPr>
              <w:pStyle w:val="TableText"/>
              <w:spacing w:before="40" w:after="40"/>
              <w:jc w:val="center"/>
              <w:rPr>
                <w:rFonts w:cs="Calibri"/>
                <w:szCs w:val="18"/>
              </w:rPr>
            </w:pPr>
            <w:r w:rsidRPr="0018630D">
              <w:rPr>
                <w:rFonts w:eastAsia="Calibri" w:cs="Calibri"/>
                <w:szCs w:val="18"/>
              </w:rPr>
              <w:t>2,376</w:t>
            </w:r>
          </w:p>
        </w:tc>
        <w:tc>
          <w:tcPr>
            <w:tcW w:w="1318" w:type="dxa"/>
            <w:shd w:val="clear" w:color="auto" w:fill="FFFFFF"/>
            <w:vAlign w:val="center"/>
          </w:tcPr>
          <w:p w14:paraId="6F5B888C"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259255E0" w14:textId="77777777" w:rsidR="006929CB" w:rsidRPr="0018630D" w:rsidRDefault="006929CB">
            <w:pPr>
              <w:pStyle w:val="TableText"/>
              <w:spacing w:before="40" w:after="40"/>
              <w:jc w:val="right"/>
              <w:rPr>
                <w:rFonts w:cs="Calibri"/>
                <w:szCs w:val="18"/>
              </w:rPr>
            </w:pPr>
            <w:r w:rsidRPr="0018630D">
              <w:rPr>
                <w:rFonts w:eastAsia="Calibri" w:cs="Calibri"/>
                <w:szCs w:val="18"/>
              </w:rPr>
              <w:t>10,880</w:t>
            </w:r>
          </w:p>
        </w:tc>
        <w:tc>
          <w:tcPr>
            <w:tcW w:w="1318" w:type="dxa"/>
            <w:shd w:val="clear" w:color="auto" w:fill="FFFFFF"/>
            <w:vAlign w:val="center"/>
          </w:tcPr>
          <w:p w14:paraId="79F54551" w14:textId="77777777" w:rsidR="006929CB" w:rsidRPr="0018630D" w:rsidRDefault="006929CB">
            <w:pPr>
              <w:pStyle w:val="TableText"/>
              <w:spacing w:before="40" w:after="40"/>
              <w:jc w:val="right"/>
              <w:rPr>
                <w:rFonts w:cs="Calibri"/>
                <w:szCs w:val="18"/>
              </w:rPr>
            </w:pPr>
            <w:r w:rsidRPr="0018630D">
              <w:rPr>
                <w:rFonts w:eastAsia="Calibri" w:cs="Calibri"/>
                <w:szCs w:val="18"/>
              </w:rPr>
              <w:t>48,257</w:t>
            </w:r>
          </w:p>
        </w:tc>
      </w:tr>
      <w:tr w:rsidR="006929CB" w:rsidRPr="0018630D" w14:paraId="52B09774" w14:textId="77777777" w:rsidTr="0018630D">
        <w:trPr>
          <w:trHeight w:val="283"/>
        </w:trPr>
        <w:tc>
          <w:tcPr>
            <w:tcW w:w="704" w:type="dxa"/>
            <w:shd w:val="clear" w:color="auto" w:fill="FFFFFF"/>
            <w:vAlign w:val="center"/>
          </w:tcPr>
          <w:p w14:paraId="7F6CF143" w14:textId="77777777" w:rsidR="006929CB" w:rsidRPr="0018630D" w:rsidRDefault="006929CB">
            <w:pPr>
              <w:pStyle w:val="TableText"/>
              <w:spacing w:before="40" w:after="40"/>
              <w:rPr>
                <w:rFonts w:cs="Calibri"/>
                <w:szCs w:val="18"/>
              </w:rPr>
            </w:pPr>
            <w:r w:rsidRPr="0018630D">
              <w:rPr>
                <w:rFonts w:eastAsia="Calibri" w:cs="Calibri"/>
                <w:szCs w:val="18"/>
              </w:rPr>
              <w:t>2005</w:t>
            </w:r>
          </w:p>
        </w:tc>
        <w:tc>
          <w:tcPr>
            <w:tcW w:w="1211" w:type="dxa"/>
            <w:shd w:val="clear" w:color="auto" w:fill="FFFFFF"/>
            <w:vAlign w:val="center"/>
          </w:tcPr>
          <w:p w14:paraId="11709DC4"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28611696" w14:textId="77777777" w:rsidR="006929CB" w:rsidRPr="0018630D" w:rsidRDefault="006929CB">
            <w:pPr>
              <w:pStyle w:val="TableText"/>
              <w:spacing w:before="40" w:after="40"/>
              <w:jc w:val="center"/>
              <w:rPr>
                <w:rFonts w:cs="Calibri"/>
                <w:szCs w:val="18"/>
              </w:rPr>
            </w:pPr>
            <w:r w:rsidRPr="0018630D">
              <w:rPr>
                <w:rFonts w:eastAsia="Calibri" w:cs="Calibri"/>
                <w:szCs w:val="18"/>
              </w:rPr>
              <w:t>13,663</w:t>
            </w:r>
          </w:p>
        </w:tc>
        <w:tc>
          <w:tcPr>
            <w:tcW w:w="1318" w:type="dxa"/>
            <w:shd w:val="clear" w:color="auto" w:fill="FFFFFF"/>
            <w:vAlign w:val="center"/>
          </w:tcPr>
          <w:p w14:paraId="2FAC3CAE" w14:textId="77777777" w:rsidR="006929CB" w:rsidRPr="0018630D" w:rsidRDefault="006929CB">
            <w:pPr>
              <w:pStyle w:val="TableText"/>
              <w:spacing w:before="40" w:after="40"/>
              <w:jc w:val="center"/>
              <w:rPr>
                <w:rFonts w:cs="Calibri"/>
                <w:szCs w:val="18"/>
              </w:rPr>
            </w:pPr>
            <w:r w:rsidRPr="0018630D">
              <w:rPr>
                <w:rFonts w:eastAsia="Calibri" w:cs="Calibri"/>
                <w:szCs w:val="18"/>
              </w:rPr>
              <w:t>2,703</w:t>
            </w:r>
          </w:p>
        </w:tc>
        <w:tc>
          <w:tcPr>
            <w:tcW w:w="1318" w:type="dxa"/>
            <w:shd w:val="clear" w:color="auto" w:fill="FFFFFF"/>
            <w:vAlign w:val="center"/>
          </w:tcPr>
          <w:p w14:paraId="7DA09DEC"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15D76837" w14:textId="77777777" w:rsidR="006929CB" w:rsidRPr="0018630D" w:rsidRDefault="006929CB">
            <w:pPr>
              <w:pStyle w:val="TableText"/>
              <w:spacing w:before="40" w:after="40"/>
              <w:jc w:val="right"/>
              <w:rPr>
                <w:rFonts w:cs="Calibri"/>
                <w:szCs w:val="18"/>
              </w:rPr>
            </w:pPr>
            <w:r w:rsidRPr="0018630D">
              <w:rPr>
                <w:rFonts w:eastAsia="Calibri" w:cs="Calibri"/>
                <w:szCs w:val="18"/>
              </w:rPr>
              <w:t>18,210</w:t>
            </w:r>
          </w:p>
        </w:tc>
        <w:tc>
          <w:tcPr>
            <w:tcW w:w="1318" w:type="dxa"/>
            <w:shd w:val="clear" w:color="auto" w:fill="FFFFFF"/>
            <w:vAlign w:val="center"/>
          </w:tcPr>
          <w:p w14:paraId="03C5B4AA" w14:textId="77777777" w:rsidR="006929CB" w:rsidRPr="0018630D" w:rsidRDefault="006929CB">
            <w:pPr>
              <w:pStyle w:val="TableText"/>
              <w:spacing w:before="40" w:after="40"/>
              <w:jc w:val="right"/>
              <w:rPr>
                <w:rFonts w:cs="Calibri"/>
                <w:szCs w:val="18"/>
              </w:rPr>
            </w:pPr>
            <w:r w:rsidRPr="0018630D">
              <w:rPr>
                <w:rFonts w:eastAsia="Calibri" w:cs="Calibri"/>
                <w:szCs w:val="18"/>
              </w:rPr>
              <w:t>66,467</w:t>
            </w:r>
          </w:p>
        </w:tc>
      </w:tr>
      <w:tr w:rsidR="006929CB" w:rsidRPr="0018630D" w14:paraId="1833E840" w14:textId="77777777" w:rsidTr="0018630D">
        <w:trPr>
          <w:trHeight w:val="283"/>
        </w:trPr>
        <w:tc>
          <w:tcPr>
            <w:tcW w:w="704" w:type="dxa"/>
            <w:shd w:val="clear" w:color="auto" w:fill="FFFFFF"/>
            <w:vAlign w:val="center"/>
          </w:tcPr>
          <w:p w14:paraId="5BAF11BC" w14:textId="77777777" w:rsidR="006929CB" w:rsidRPr="0018630D" w:rsidRDefault="006929CB">
            <w:pPr>
              <w:pStyle w:val="TableText"/>
              <w:spacing w:before="40" w:after="40"/>
              <w:rPr>
                <w:rFonts w:cs="Calibri"/>
                <w:szCs w:val="18"/>
              </w:rPr>
            </w:pPr>
            <w:r w:rsidRPr="0018630D">
              <w:rPr>
                <w:rFonts w:eastAsia="Calibri" w:cs="Calibri"/>
                <w:szCs w:val="18"/>
              </w:rPr>
              <w:t>2006</w:t>
            </w:r>
          </w:p>
        </w:tc>
        <w:tc>
          <w:tcPr>
            <w:tcW w:w="1211" w:type="dxa"/>
            <w:shd w:val="clear" w:color="auto" w:fill="FFFFFF"/>
            <w:vAlign w:val="center"/>
          </w:tcPr>
          <w:p w14:paraId="664835E8"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7B48F299" w14:textId="77777777" w:rsidR="006929CB" w:rsidRPr="0018630D" w:rsidRDefault="006929CB">
            <w:pPr>
              <w:pStyle w:val="TableText"/>
              <w:spacing w:before="40" w:after="40"/>
              <w:jc w:val="center"/>
              <w:rPr>
                <w:rFonts w:cs="Calibri"/>
                <w:szCs w:val="18"/>
              </w:rPr>
            </w:pPr>
            <w:r w:rsidRPr="0018630D">
              <w:rPr>
                <w:rFonts w:eastAsia="Calibri" w:cs="Calibri"/>
                <w:szCs w:val="18"/>
              </w:rPr>
              <w:t>17,197</w:t>
            </w:r>
          </w:p>
        </w:tc>
        <w:tc>
          <w:tcPr>
            <w:tcW w:w="1318" w:type="dxa"/>
            <w:shd w:val="clear" w:color="auto" w:fill="FFFFFF"/>
            <w:vAlign w:val="center"/>
          </w:tcPr>
          <w:p w14:paraId="388FD84F" w14:textId="77777777" w:rsidR="006929CB" w:rsidRPr="0018630D" w:rsidRDefault="006929CB">
            <w:pPr>
              <w:pStyle w:val="TableText"/>
              <w:spacing w:before="40" w:after="40"/>
              <w:jc w:val="center"/>
              <w:rPr>
                <w:rFonts w:cs="Calibri"/>
                <w:szCs w:val="18"/>
              </w:rPr>
            </w:pPr>
            <w:r w:rsidRPr="0018630D">
              <w:rPr>
                <w:rFonts w:eastAsia="Calibri" w:cs="Calibri"/>
                <w:szCs w:val="18"/>
              </w:rPr>
              <w:t>2,317</w:t>
            </w:r>
          </w:p>
        </w:tc>
        <w:tc>
          <w:tcPr>
            <w:tcW w:w="1318" w:type="dxa"/>
            <w:shd w:val="clear" w:color="auto" w:fill="FFFFFF"/>
            <w:vAlign w:val="center"/>
          </w:tcPr>
          <w:p w14:paraId="016A2AF1"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60FE03AA" w14:textId="77777777" w:rsidR="006929CB" w:rsidRPr="0018630D" w:rsidRDefault="006929CB">
            <w:pPr>
              <w:pStyle w:val="TableText"/>
              <w:spacing w:before="40" w:after="40"/>
              <w:jc w:val="right"/>
              <w:rPr>
                <w:rFonts w:cs="Calibri"/>
                <w:szCs w:val="18"/>
              </w:rPr>
            </w:pPr>
            <w:r w:rsidRPr="0018630D">
              <w:rPr>
                <w:rFonts w:eastAsia="Calibri" w:cs="Calibri"/>
                <w:szCs w:val="18"/>
              </w:rPr>
              <w:t>21,356</w:t>
            </w:r>
          </w:p>
        </w:tc>
        <w:tc>
          <w:tcPr>
            <w:tcW w:w="1318" w:type="dxa"/>
            <w:shd w:val="clear" w:color="auto" w:fill="FFFFFF"/>
            <w:vAlign w:val="center"/>
          </w:tcPr>
          <w:p w14:paraId="0BDF7FBB" w14:textId="77777777" w:rsidR="006929CB" w:rsidRPr="0018630D" w:rsidRDefault="006929CB">
            <w:pPr>
              <w:pStyle w:val="TableText"/>
              <w:spacing w:before="40" w:after="40"/>
              <w:jc w:val="right"/>
              <w:rPr>
                <w:rFonts w:cs="Calibri"/>
                <w:szCs w:val="18"/>
              </w:rPr>
            </w:pPr>
            <w:r w:rsidRPr="0018630D">
              <w:rPr>
                <w:rFonts w:eastAsia="Calibri" w:cs="Calibri"/>
                <w:szCs w:val="18"/>
              </w:rPr>
              <w:t>87,823</w:t>
            </w:r>
          </w:p>
        </w:tc>
      </w:tr>
      <w:tr w:rsidR="006929CB" w:rsidRPr="0018630D" w14:paraId="3B0A9F9D" w14:textId="77777777" w:rsidTr="0018630D">
        <w:trPr>
          <w:trHeight w:val="283"/>
        </w:trPr>
        <w:tc>
          <w:tcPr>
            <w:tcW w:w="704" w:type="dxa"/>
            <w:shd w:val="clear" w:color="auto" w:fill="FFFFFF"/>
            <w:vAlign w:val="center"/>
          </w:tcPr>
          <w:p w14:paraId="1A61A563" w14:textId="77777777" w:rsidR="006929CB" w:rsidRPr="0018630D" w:rsidRDefault="006929CB">
            <w:pPr>
              <w:pStyle w:val="TableText"/>
              <w:spacing w:before="40" w:after="40"/>
              <w:rPr>
                <w:rFonts w:cs="Calibri"/>
                <w:szCs w:val="18"/>
              </w:rPr>
            </w:pPr>
            <w:r w:rsidRPr="0018630D">
              <w:rPr>
                <w:rFonts w:eastAsia="Calibri" w:cs="Calibri"/>
                <w:szCs w:val="18"/>
              </w:rPr>
              <w:t>2007</w:t>
            </w:r>
          </w:p>
        </w:tc>
        <w:tc>
          <w:tcPr>
            <w:tcW w:w="1211" w:type="dxa"/>
            <w:shd w:val="clear" w:color="auto" w:fill="FFFFFF"/>
            <w:vAlign w:val="center"/>
          </w:tcPr>
          <w:p w14:paraId="2F127B0B" w14:textId="77777777" w:rsidR="006929CB" w:rsidRPr="0018630D" w:rsidRDefault="006929CB">
            <w:pPr>
              <w:pStyle w:val="TableText"/>
              <w:spacing w:before="40" w:after="40"/>
              <w:jc w:val="right"/>
              <w:rPr>
                <w:rFonts w:cs="Calibri"/>
                <w:szCs w:val="18"/>
              </w:rPr>
            </w:pPr>
            <w:r w:rsidRPr="0018630D">
              <w:rPr>
                <w:rFonts w:eastAsia="Calibri" w:cs="Calibri"/>
                <w:szCs w:val="18"/>
              </w:rPr>
              <w:t>1,843</w:t>
            </w:r>
          </w:p>
        </w:tc>
        <w:tc>
          <w:tcPr>
            <w:tcW w:w="1318" w:type="dxa"/>
            <w:shd w:val="clear" w:color="auto" w:fill="FFFFFF"/>
            <w:vAlign w:val="center"/>
          </w:tcPr>
          <w:p w14:paraId="730711AF" w14:textId="77777777" w:rsidR="006929CB" w:rsidRPr="0018630D" w:rsidRDefault="006929CB">
            <w:pPr>
              <w:pStyle w:val="TableText"/>
              <w:spacing w:before="40" w:after="40"/>
              <w:jc w:val="center"/>
              <w:rPr>
                <w:rFonts w:cs="Calibri"/>
                <w:szCs w:val="18"/>
              </w:rPr>
            </w:pPr>
            <w:r w:rsidRPr="0018630D">
              <w:rPr>
                <w:rFonts w:eastAsia="Calibri" w:cs="Calibri"/>
                <w:szCs w:val="18"/>
              </w:rPr>
              <w:t>22,818</w:t>
            </w:r>
          </w:p>
        </w:tc>
        <w:tc>
          <w:tcPr>
            <w:tcW w:w="1318" w:type="dxa"/>
            <w:shd w:val="clear" w:color="auto" w:fill="FFFFFF"/>
            <w:vAlign w:val="center"/>
          </w:tcPr>
          <w:p w14:paraId="713E6BB8" w14:textId="77777777" w:rsidR="006929CB" w:rsidRPr="0018630D" w:rsidRDefault="006929CB">
            <w:pPr>
              <w:pStyle w:val="TableText"/>
              <w:spacing w:before="40" w:after="40"/>
              <w:jc w:val="center"/>
              <w:rPr>
                <w:rFonts w:cs="Calibri"/>
                <w:szCs w:val="18"/>
              </w:rPr>
            </w:pPr>
            <w:r w:rsidRPr="0018630D">
              <w:rPr>
                <w:rFonts w:eastAsia="Calibri" w:cs="Calibri"/>
                <w:szCs w:val="18"/>
              </w:rPr>
              <w:t>5,562</w:t>
            </w:r>
          </w:p>
        </w:tc>
        <w:tc>
          <w:tcPr>
            <w:tcW w:w="1318" w:type="dxa"/>
            <w:shd w:val="clear" w:color="auto" w:fill="FFFFFF"/>
            <w:vAlign w:val="center"/>
          </w:tcPr>
          <w:p w14:paraId="02B76982" w14:textId="77777777" w:rsidR="006929CB" w:rsidRPr="0018630D" w:rsidRDefault="006929CB">
            <w:pPr>
              <w:pStyle w:val="TableText"/>
              <w:spacing w:before="40" w:after="40"/>
              <w:jc w:val="center"/>
              <w:rPr>
                <w:rFonts w:cs="Calibri"/>
                <w:szCs w:val="18"/>
              </w:rPr>
            </w:pPr>
            <w:r w:rsidRPr="0018630D">
              <w:rPr>
                <w:rFonts w:cs="Calibri"/>
                <w:szCs w:val="18"/>
              </w:rPr>
              <w:t>–</w:t>
            </w:r>
          </w:p>
        </w:tc>
        <w:tc>
          <w:tcPr>
            <w:tcW w:w="1318" w:type="dxa"/>
            <w:shd w:val="clear" w:color="auto" w:fill="FFFFFF"/>
            <w:vAlign w:val="center"/>
          </w:tcPr>
          <w:p w14:paraId="515756D9" w14:textId="77777777" w:rsidR="006929CB" w:rsidRPr="0018630D" w:rsidRDefault="006929CB">
            <w:pPr>
              <w:pStyle w:val="TableText"/>
              <w:spacing w:before="40" w:after="40"/>
              <w:jc w:val="right"/>
              <w:rPr>
                <w:rFonts w:cs="Calibri"/>
                <w:szCs w:val="18"/>
              </w:rPr>
            </w:pPr>
            <w:r w:rsidRPr="0018630D">
              <w:rPr>
                <w:rFonts w:eastAsia="Calibri" w:cs="Calibri"/>
                <w:szCs w:val="18"/>
              </w:rPr>
              <w:t>30,222</w:t>
            </w:r>
          </w:p>
        </w:tc>
        <w:tc>
          <w:tcPr>
            <w:tcW w:w="1318" w:type="dxa"/>
            <w:shd w:val="clear" w:color="auto" w:fill="FFFFFF"/>
            <w:vAlign w:val="center"/>
          </w:tcPr>
          <w:p w14:paraId="1EABACA3" w14:textId="77777777" w:rsidR="006929CB" w:rsidRPr="0018630D" w:rsidRDefault="006929CB">
            <w:pPr>
              <w:pStyle w:val="TableText"/>
              <w:spacing w:before="40" w:after="40"/>
              <w:jc w:val="right"/>
              <w:rPr>
                <w:rFonts w:cs="Calibri"/>
                <w:szCs w:val="18"/>
              </w:rPr>
            </w:pPr>
            <w:r w:rsidRPr="0018630D">
              <w:rPr>
                <w:rFonts w:eastAsia="Calibri" w:cs="Calibri"/>
                <w:szCs w:val="18"/>
              </w:rPr>
              <w:t>118,045</w:t>
            </w:r>
          </w:p>
        </w:tc>
      </w:tr>
      <w:tr w:rsidR="006929CB" w:rsidRPr="0018630D" w14:paraId="229CA9DC" w14:textId="77777777" w:rsidTr="0018630D">
        <w:trPr>
          <w:trHeight w:val="283"/>
        </w:trPr>
        <w:tc>
          <w:tcPr>
            <w:tcW w:w="704" w:type="dxa"/>
            <w:shd w:val="clear" w:color="auto" w:fill="FFFFFF"/>
            <w:vAlign w:val="center"/>
          </w:tcPr>
          <w:p w14:paraId="219A1EEE" w14:textId="77777777" w:rsidR="006929CB" w:rsidRPr="0018630D" w:rsidRDefault="006929CB">
            <w:pPr>
              <w:pStyle w:val="TableText"/>
              <w:spacing w:before="40" w:after="40"/>
              <w:rPr>
                <w:rFonts w:cs="Calibri"/>
                <w:szCs w:val="18"/>
              </w:rPr>
            </w:pPr>
            <w:r w:rsidRPr="0018630D">
              <w:rPr>
                <w:rFonts w:eastAsia="Calibri" w:cs="Calibri"/>
                <w:szCs w:val="18"/>
              </w:rPr>
              <w:t>2008</w:t>
            </w:r>
          </w:p>
        </w:tc>
        <w:tc>
          <w:tcPr>
            <w:tcW w:w="1211" w:type="dxa"/>
            <w:shd w:val="clear" w:color="auto" w:fill="FFFFFF"/>
            <w:vAlign w:val="center"/>
          </w:tcPr>
          <w:p w14:paraId="30A16295" w14:textId="77777777" w:rsidR="006929CB" w:rsidRPr="0018630D" w:rsidRDefault="006929CB">
            <w:pPr>
              <w:pStyle w:val="TableText"/>
              <w:spacing w:before="40" w:after="40"/>
              <w:jc w:val="right"/>
              <w:rPr>
                <w:rFonts w:cs="Calibri"/>
                <w:szCs w:val="18"/>
              </w:rPr>
            </w:pPr>
            <w:r w:rsidRPr="0018630D">
              <w:rPr>
                <w:rFonts w:eastAsia="Calibri" w:cs="Calibri"/>
                <w:szCs w:val="18"/>
              </w:rPr>
              <w:t>863</w:t>
            </w:r>
          </w:p>
        </w:tc>
        <w:tc>
          <w:tcPr>
            <w:tcW w:w="1318" w:type="dxa"/>
            <w:shd w:val="clear" w:color="auto" w:fill="FFFFFF"/>
            <w:vAlign w:val="center"/>
          </w:tcPr>
          <w:p w14:paraId="3A4FCAF7" w14:textId="77777777" w:rsidR="006929CB" w:rsidRPr="0018630D" w:rsidRDefault="006929CB">
            <w:pPr>
              <w:pStyle w:val="TableText"/>
              <w:spacing w:before="40" w:after="40"/>
              <w:jc w:val="center"/>
              <w:rPr>
                <w:rFonts w:cs="Calibri"/>
                <w:szCs w:val="18"/>
              </w:rPr>
            </w:pPr>
            <w:r w:rsidRPr="0018630D">
              <w:rPr>
                <w:rFonts w:eastAsia="Calibri" w:cs="Calibri"/>
                <w:szCs w:val="18"/>
              </w:rPr>
              <w:t>3,803</w:t>
            </w:r>
          </w:p>
        </w:tc>
        <w:tc>
          <w:tcPr>
            <w:tcW w:w="1318" w:type="dxa"/>
            <w:shd w:val="clear" w:color="auto" w:fill="FFFFFF"/>
            <w:vAlign w:val="center"/>
          </w:tcPr>
          <w:p w14:paraId="222A4198" w14:textId="77777777" w:rsidR="006929CB" w:rsidRPr="0018630D" w:rsidRDefault="006929CB">
            <w:pPr>
              <w:pStyle w:val="TableText"/>
              <w:spacing w:before="40" w:after="40"/>
              <w:jc w:val="center"/>
              <w:rPr>
                <w:rFonts w:cs="Calibri"/>
                <w:szCs w:val="18"/>
              </w:rPr>
            </w:pPr>
            <w:r w:rsidRPr="0018630D">
              <w:rPr>
                <w:rFonts w:eastAsia="Calibri" w:cs="Calibri"/>
                <w:szCs w:val="18"/>
              </w:rPr>
              <w:t>1,173</w:t>
            </w:r>
          </w:p>
        </w:tc>
        <w:tc>
          <w:tcPr>
            <w:tcW w:w="1318" w:type="dxa"/>
            <w:shd w:val="clear" w:color="auto" w:fill="FFFFFF"/>
            <w:vAlign w:val="center"/>
          </w:tcPr>
          <w:p w14:paraId="4A233238" w14:textId="77777777" w:rsidR="006929CB" w:rsidRPr="0018630D" w:rsidRDefault="006929CB">
            <w:pPr>
              <w:pStyle w:val="TableText"/>
              <w:spacing w:before="40" w:after="40"/>
              <w:jc w:val="center"/>
              <w:rPr>
                <w:rFonts w:cs="Calibri"/>
                <w:szCs w:val="18"/>
              </w:rPr>
            </w:pPr>
            <w:r w:rsidRPr="0018630D">
              <w:rPr>
                <w:rFonts w:eastAsia="Calibri" w:cs="Calibri"/>
                <w:szCs w:val="18"/>
              </w:rPr>
              <w:t>14</w:t>
            </w:r>
          </w:p>
        </w:tc>
        <w:tc>
          <w:tcPr>
            <w:tcW w:w="1318" w:type="dxa"/>
            <w:shd w:val="clear" w:color="auto" w:fill="FFFFFF"/>
            <w:vAlign w:val="center"/>
          </w:tcPr>
          <w:p w14:paraId="434A6B8E" w14:textId="77777777" w:rsidR="006929CB" w:rsidRPr="0018630D" w:rsidRDefault="006929CB">
            <w:pPr>
              <w:pStyle w:val="TableText"/>
              <w:spacing w:before="40" w:after="40"/>
              <w:jc w:val="right"/>
              <w:rPr>
                <w:rFonts w:cs="Calibri"/>
                <w:szCs w:val="18"/>
              </w:rPr>
            </w:pPr>
            <w:r w:rsidRPr="0018630D">
              <w:rPr>
                <w:rFonts w:eastAsia="Calibri" w:cs="Calibri"/>
                <w:szCs w:val="18"/>
              </w:rPr>
              <w:t>5,853</w:t>
            </w:r>
          </w:p>
        </w:tc>
        <w:tc>
          <w:tcPr>
            <w:tcW w:w="1318" w:type="dxa"/>
            <w:shd w:val="clear" w:color="auto" w:fill="FFFFFF"/>
            <w:vAlign w:val="center"/>
          </w:tcPr>
          <w:p w14:paraId="190CFEEE" w14:textId="77777777" w:rsidR="006929CB" w:rsidRPr="0018630D" w:rsidRDefault="006929CB">
            <w:pPr>
              <w:pStyle w:val="TableText"/>
              <w:spacing w:before="40" w:after="40"/>
              <w:jc w:val="right"/>
              <w:rPr>
                <w:rFonts w:cs="Calibri"/>
                <w:szCs w:val="18"/>
              </w:rPr>
            </w:pPr>
            <w:r w:rsidRPr="0018630D">
              <w:rPr>
                <w:rFonts w:eastAsia="Calibri" w:cs="Calibri"/>
                <w:szCs w:val="18"/>
              </w:rPr>
              <w:t>123,898</w:t>
            </w:r>
          </w:p>
        </w:tc>
      </w:tr>
      <w:tr w:rsidR="006929CB" w:rsidRPr="0018630D" w14:paraId="6FFB4863" w14:textId="77777777" w:rsidTr="0018630D">
        <w:trPr>
          <w:trHeight w:val="283"/>
        </w:trPr>
        <w:tc>
          <w:tcPr>
            <w:tcW w:w="704" w:type="dxa"/>
            <w:shd w:val="clear" w:color="auto" w:fill="FFFFFF"/>
            <w:vAlign w:val="center"/>
          </w:tcPr>
          <w:p w14:paraId="6F2D15A4" w14:textId="77777777" w:rsidR="006929CB" w:rsidRPr="0018630D" w:rsidRDefault="006929CB">
            <w:pPr>
              <w:pStyle w:val="TableText"/>
              <w:spacing w:before="40" w:after="40"/>
              <w:rPr>
                <w:rFonts w:cs="Calibri"/>
                <w:szCs w:val="18"/>
              </w:rPr>
            </w:pPr>
            <w:r w:rsidRPr="0018630D">
              <w:rPr>
                <w:rFonts w:eastAsia="Calibri" w:cs="Calibri"/>
                <w:szCs w:val="18"/>
              </w:rPr>
              <w:t>2009</w:t>
            </w:r>
          </w:p>
        </w:tc>
        <w:tc>
          <w:tcPr>
            <w:tcW w:w="1211" w:type="dxa"/>
            <w:shd w:val="clear" w:color="auto" w:fill="FFFFFF"/>
            <w:vAlign w:val="center"/>
          </w:tcPr>
          <w:p w14:paraId="2FA421AD" w14:textId="77777777" w:rsidR="006929CB" w:rsidRPr="0018630D" w:rsidRDefault="006929CB">
            <w:pPr>
              <w:pStyle w:val="TableText"/>
              <w:spacing w:before="40" w:after="40"/>
              <w:jc w:val="right"/>
              <w:rPr>
                <w:rFonts w:cs="Calibri"/>
                <w:szCs w:val="18"/>
              </w:rPr>
            </w:pPr>
            <w:r w:rsidRPr="0018630D">
              <w:rPr>
                <w:rFonts w:eastAsia="Calibri" w:cs="Calibri"/>
                <w:szCs w:val="18"/>
              </w:rPr>
              <w:t>2,531</w:t>
            </w:r>
          </w:p>
        </w:tc>
        <w:tc>
          <w:tcPr>
            <w:tcW w:w="1318" w:type="dxa"/>
            <w:shd w:val="clear" w:color="auto" w:fill="FFFFFF"/>
            <w:vAlign w:val="center"/>
          </w:tcPr>
          <w:p w14:paraId="46ACAF4E" w14:textId="77777777" w:rsidR="006929CB" w:rsidRPr="0018630D" w:rsidRDefault="006929CB">
            <w:pPr>
              <w:pStyle w:val="TableText"/>
              <w:spacing w:before="40" w:after="40"/>
              <w:jc w:val="center"/>
              <w:rPr>
                <w:rFonts w:cs="Calibri"/>
                <w:szCs w:val="18"/>
              </w:rPr>
            </w:pPr>
            <w:r w:rsidRPr="0018630D">
              <w:rPr>
                <w:rFonts w:eastAsia="Calibri" w:cs="Calibri"/>
                <w:szCs w:val="18"/>
              </w:rPr>
              <w:t>5,590</w:t>
            </w:r>
          </w:p>
        </w:tc>
        <w:tc>
          <w:tcPr>
            <w:tcW w:w="1318" w:type="dxa"/>
            <w:shd w:val="clear" w:color="auto" w:fill="FFFFFF"/>
            <w:vAlign w:val="center"/>
          </w:tcPr>
          <w:p w14:paraId="69CE2BC9" w14:textId="77777777" w:rsidR="006929CB" w:rsidRPr="0018630D" w:rsidRDefault="006929CB">
            <w:pPr>
              <w:pStyle w:val="TableText"/>
              <w:spacing w:before="40" w:after="40"/>
              <w:jc w:val="center"/>
              <w:rPr>
                <w:rFonts w:cs="Calibri"/>
                <w:szCs w:val="18"/>
              </w:rPr>
            </w:pPr>
            <w:r w:rsidRPr="0018630D">
              <w:rPr>
                <w:rFonts w:eastAsia="Calibri" w:cs="Calibri"/>
                <w:szCs w:val="18"/>
              </w:rPr>
              <w:t>2,023</w:t>
            </w:r>
          </w:p>
        </w:tc>
        <w:tc>
          <w:tcPr>
            <w:tcW w:w="1318" w:type="dxa"/>
            <w:shd w:val="clear" w:color="auto" w:fill="FFFFFF"/>
            <w:vAlign w:val="center"/>
          </w:tcPr>
          <w:p w14:paraId="25729FCE" w14:textId="77777777" w:rsidR="006929CB" w:rsidRPr="0018630D" w:rsidRDefault="006929CB">
            <w:pPr>
              <w:pStyle w:val="TableText"/>
              <w:spacing w:before="40" w:after="40"/>
              <w:jc w:val="center"/>
              <w:rPr>
                <w:rFonts w:cs="Calibri"/>
                <w:szCs w:val="18"/>
              </w:rPr>
            </w:pPr>
            <w:r w:rsidRPr="0018630D">
              <w:rPr>
                <w:rFonts w:eastAsia="Calibri" w:cs="Calibri"/>
                <w:szCs w:val="18"/>
              </w:rPr>
              <w:t>55</w:t>
            </w:r>
          </w:p>
        </w:tc>
        <w:tc>
          <w:tcPr>
            <w:tcW w:w="1318" w:type="dxa"/>
            <w:shd w:val="clear" w:color="auto" w:fill="FFFFFF"/>
            <w:vAlign w:val="center"/>
          </w:tcPr>
          <w:p w14:paraId="396956E3" w14:textId="77777777" w:rsidR="006929CB" w:rsidRPr="0018630D" w:rsidRDefault="006929CB">
            <w:pPr>
              <w:pStyle w:val="TableText"/>
              <w:spacing w:before="40" w:after="40"/>
              <w:jc w:val="right"/>
              <w:rPr>
                <w:rFonts w:cs="Calibri"/>
                <w:szCs w:val="18"/>
              </w:rPr>
            </w:pPr>
            <w:r w:rsidRPr="0018630D">
              <w:rPr>
                <w:rFonts w:eastAsia="Calibri" w:cs="Calibri"/>
                <w:szCs w:val="18"/>
              </w:rPr>
              <w:t>10,199</w:t>
            </w:r>
          </w:p>
        </w:tc>
        <w:tc>
          <w:tcPr>
            <w:tcW w:w="1318" w:type="dxa"/>
            <w:shd w:val="clear" w:color="auto" w:fill="FFFFFF"/>
            <w:vAlign w:val="center"/>
          </w:tcPr>
          <w:p w14:paraId="19370D05" w14:textId="77777777" w:rsidR="006929CB" w:rsidRPr="0018630D" w:rsidRDefault="006929CB">
            <w:pPr>
              <w:pStyle w:val="TableText"/>
              <w:spacing w:before="40" w:after="40"/>
              <w:jc w:val="right"/>
              <w:rPr>
                <w:rFonts w:cs="Calibri"/>
                <w:szCs w:val="18"/>
              </w:rPr>
            </w:pPr>
            <w:r w:rsidRPr="0018630D">
              <w:rPr>
                <w:rFonts w:eastAsia="Calibri" w:cs="Calibri"/>
                <w:szCs w:val="18"/>
              </w:rPr>
              <w:t>134,097</w:t>
            </w:r>
          </w:p>
        </w:tc>
      </w:tr>
      <w:tr w:rsidR="006929CB" w:rsidRPr="0018630D" w14:paraId="4B2A19B7" w14:textId="77777777" w:rsidTr="0018630D">
        <w:trPr>
          <w:trHeight w:val="283"/>
        </w:trPr>
        <w:tc>
          <w:tcPr>
            <w:tcW w:w="704" w:type="dxa"/>
            <w:shd w:val="clear" w:color="auto" w:fill="FFFFFF"/>
            <w:vAlign w:val="center"/>
          </w:tcPr>
          <w:p w14:paraId="1614FA6C" w14:textId="77777777" w:rsidR="006929CB" w:rsidRPr="0018630D" w:rsidRDefault="006929CB">
            <w:pPr>
              <w:pStyle w:val="TableText"/>
              <w:spacing w:before="40" w:after="40"/>
              <w:rPr>
                <w:rFonts w:cs="Calibri"/>
                <w:szCs w:val="18"/>
              </w:rPr>
            </w:pPr>
            <w:r w:rsidRPr="0018630D">
              <w:rPr>
                <w:rFonts w:eastAsia="Calibri" w:cs="Calibri"/>
                <w:szCs w:val="18"/>
              </w:rPr>
              <w:t>2010</w:t>
            </w:r>
          </w:p>
        </w:tc>
        <w:tc>
          <w:tcPr>
            <w:tcW w:w="1211" w:type="dxa"/>
            <w:shd w:val="clear" w:color="auto" w:fill="FFFFFF"/>
            <w:vAlign w:val="center"/>
          </w:tcPr>
          <w:p w14:paraId="3DD7CFD6" w14:textId="77777777" w:rsidR="006929CB" w:rsidRPr="0018630D" w:rsidRDefault="006929CB">
            <w:pPr>
              <w:pStyle w:val="TableText"/>
              <w:spacing w:before="40" w:after="40"/>
              <w:jc w:val="right"/>
              <w:rPr>
                <w:rFonts w:cs="Calibri"/>
                <w:szCs w:val="18"/>
              </w:rPr>
            </w:pPr>
            <w:r w:rsidRPr="0018630D">
              <w:rPr>
                <w:rFonts w:eastAsia="Calibri" w:cs="Calibri"/>
                <w:szCs w:val="18"/>
              </w:rPr>
              <w:t>1,979</w:t>
            </w:r>
          </w:p>
        </w:tc>
        <w:tc>
          <w:tcPr>
            <w:tcW w:w="1318" w:type="dxa"/>
            <w:shd w:val="clear" w:color="auto" w:fill="FFFFFF"/>
            <w:vAlign w:val="center"/>
          </w:tcPr>
          <w:p w14:paraId="1B4D0CFA" w14:textId="77777777" w:rsidR="006929CB" w:rsidRPr="0018630D" w:rsidRDefault="006929CB">
            <w:pPr>
              <w:pStyle w:val="TableText"/>
              <w:spacing w:before="40" w:after="40"/>
              <w:jc w:val="center"/>
              <w:rPr>
                <w:rFonts w:cs="Calibri"/>
                <w:szCs w:val="18"/>
              </w:rPr>
            </w:pPr>
            <w:r w:rsidRPr="0018630D">
              <w:rPr>
                <w:rFonts w:eastAsia="Calibri" w:cs="Calibri"/>
                <w:szCs w:val="18"/>
              </w:rPr>
              <w:t>6,482</w:t>
            </w:r>
          </w:p>
        </w:tc>
        <w:tc>
          <w:tcPr>
            <w:tcW w:w="1318" w:type="dxa"/>
            <w:shd w:val="clear" w:color="auto" w:fill="FFFFFF"/>
            <w:vAlign w:val="center"/>
          </w:tcPr>
          <w:p w14:paraId="75F78A30" w14:textId="77777777" w:rsidR="006929CB" w:rsidRPr="0018630D" w:rsidRDefault="006929CB">
            <w:pPr>
              <w:pStyle w:val="TableText"/>
              <w:spacing w:before="40" w:after="40"/>
              <w:jc w:val="center"/>
              <w:rPr>
                <w:rFonts w:cs="Calibri"/>
                <w:szCs w:val="18"/>
              </w:rPr>
            </w:pPr>
            <w:r w:rsidRPr="0018630D">
              <w:rPr>
                <w:rFonts w:eastAsia="Calibri" w:cs="Calibri"/>
                <w:szCs w:val="18"/>
              </w:rPr>
              <w:t>1,746</w:t>
            </w:r>
          </w:p>
        </w:tc>
        <w:tc>
          <w:tcPr>
            <w:tcW w:w="1318" w:type="dxa"/>
            <w:shd w:val="clear" w:color="auto" w:fill="FFFFFF"/>
            <w:vAlign w:val="center"/>
          </w:tcPr>
          <w:p w14:paraId="347D5C8F" w14:textId="77777777" w:rsidR="006929CB" w:rsidRPr="0018630D" w:rsidRDefault="006929CB">
            <w:pPr>
              <w:pStyle w:val="TableText"/>
              <w:spacing w:before="40" w:after="40"/>
              <w:jc w:val="center"/>
              <w:rPr>
                <w:rFonts w:cs="Calibri"/>
                <w:szCs w:val="18"/>
              </w:rPr>
            </w:pPr>
            <w:r w:rsidRPr="0018630D">
              <w:rPr>
                <w:rFonts w:eastAsia="Calibri" w:cs="Calibri"/>
                <w:szCs w:val="18"/>
              </w:rPr>
              <w:t>29</w:t>
            </w:r>
          </w:p>
        </w:tc>
        <w:tc>
          <w:tcPr>
            <w:tcW w:w="1318" w:type="dxa"/>
            <w:shd w:val="clear" w:color="auto" w:fill="FFFFFF"/>
            <w:vAlign w:val="center"/>
          </w:tcPr>
          <w:p w14:paraId="48549D03" w14:textId="77777777" w:rsidR="006929CB" w:rsidRPr="0018630D" w:rsidRDefault="006929CB">
            <w:pPr>
              <w:pStyle w:val="TableText"/>
              <w:spacing w:before="40" w:after="40"/>
              <w:jc w:val="right"/>
              <w:rPr>
                <w:rFonts w:cs="Calibri"/>
                <w:szCs w:val="18"/>
              </w:rPr>
            </w:pPr>
            <w:r w:rsidRPr="0018630D">
              <w:rPr>
                <w:rFonts w:eastAsia="Calibri" w:cs="Calibri"/>
                <w:szCs w:val="18"/>
              </w:rPr>
              <w:t>10,236</w:t>
            </w:r>
          </w:p>
        </w:tc>
        <w:tc>
          <w:tcPr>
            <w:tcW w:w="1318" w:type="dxa"/>
            <w:shd w:val="clear" w:color="auto" w:fill="FFFFFF"/>
            <w:vAlign w:val="center"/>
          </w:tcPr>
          <w:p w14:paraId="7118455E" w14:textId="77777777" w:rsidR="006929CB" w:rsidRPr="0018630D" w:rsidRDefault="006929CB">
            <w:pPr>
              <w:pStyle w:val="TableText"/>
              <w:spacing w:before="40" w:after="40"/>
              <w:jc w:val="right"/>
              <w:rPr>
                <w:rFonts w:cs="Calibri"/>
                <w:szCs w:val="18"/>
              </w:rPr>
            </w:pPr>
            <w:r w:rsidRPr="0018630D">
              <w:rPr>
                <w:rFonts w:eastAsia="Calibri" w:cs="Calibri"/>
                <w:szCs w:val="18"/>
              </w:rPr>
              <w:t>144,333</w:t>
            </w:r>
          </w:p>
        </w:tc>
      </w:tr>
      <w:tr w:rsidR="006929CB" w:rsidRPr="0018630D" w14:paraId="58A86226" w14:textId="77777777" w:rsidTr="0018630D">
        <w:trPr>
          <w:trHeight w:val="283"/>
        </w:trPr>
        <w:tc>
          <w:tcPr>
            <w:tcW w:w="704" w:type="dxa"/>
            <w:shd w:val="clear" w:color="auto" w:fill="FFFFFF"/>
            <w:vAlign w:val="center"/>
          </w:tcPr>
          <w:p w14:paraId="292950FB" w14:textId="77777777" w:rsidR="006929CB" w:rsidRPr="0018630D" w:rsidRDefault="006929CB">
            <w:pPr>
              <w:pStyle w:val="TableText"/>
              <w:spacing w:before="40" w:after="40"/>
              <w:rPr>
                <w:rFonts w:cs="Calibri"/>
                <w:szCs w:val="18"/>
              </w:rPr>
            </w:pPr>
            <w:r w:rsidRPr="0018630D">
              <w:rPr>
                <w:rFonts w:eastAsia="Calibri" w:cs="Calibri"/>
                <w:szCs w:val="18"/>
              </w:rPr>
              <w:t>2011</w:t>
            </w:r>
          </w:p>
        </w:tc>
        <w:tc>
          <w:tcPr>
            <w:tcW w:w="1211" w:type="dxa"/>
            <w:shd w:val="clear" w:color="auto" w:fill="FFFFFF"/>
            <w:vAlign w:val="center"/>
          </w:tcPr>
          <w:p w14:paraId="31147C4F" w14:textId="77777777" w:rsidR="006929CB" w:rsidRPr="0018630D" w:rsidRDefault="006929CB">
            <w:pPr>
              <w:pStyle w:val="TableText"/>
              <w:spacing w:before="40" w:after="40"/>
              <w:jc w:val="right"/>
              <w:rPr>
                <w:rFonts w:cs="Calibri"/>
                <w:szCs w:val="18"/>
              </w:rPr>
            </w:pPr>
            <w:r w:rsidRPr="0018630D">
              <w:rPr>
                <w:rFonts w:eastAsia="Calibri" w:cs="Calibri"/>
                <w:szCs w:val="18"/>
              </w:rPr>
              <w:t>1,152</w:t>
            </w:r>
          </w:p>
        </w:tc>
        <w:tc>
          <w:tcPr>
            <w:tcW w:w="1318" w:type="dxa"/>
            <w:shd w:val="clear" w:color="auto" w:fill="FFFFFF"/>
            <w:vAlign w:val="center"/>
          </w:tcPr>
          <w:p w14:paraId="79F1B558" w14:textId="77777777" w:rsidR="006929CB" w:rsidRPr="0018630D" w:rsidRDefault="006929CB">
            <w:pPr>
              <w:pStyle w:val="TableText"/>
              <w:spacing w:before="40" w:after="40"/>
              <w:jc w:val="center"/>
              <w:rPr>
                <w:rFonts w:cs="Calibri"/>
                <w:szCs w:val="18"/>
              </w:rPr>
            </w:pPr>
            <w:r w:rsidRPr="0018630D">
              <w:rPr>
                <w:rFonts w:eastAsia="Calibri" w:cs="Calibri"/>
                <w:szCs w:val="18"/>
              </w:rPr>
              <w:t>5,362</w:t>
            </w:r>
          </w:p>
        </w:tc>
        <w:tc>
          <w:tcPr>
            <w:tcW w:w="1318" w:type="dxa"/>
            <w:shd w:val="clear" w:color="auto" w:fill="FFFFFF"/>
            <w:vAlign w:val="center"/>
          </w:tcPr>
          <w:p w14:paraId="48C6D838" w14:textId="77777777" w:rsidR="006929CB" w:rsidRPr="0018630D" w:rsidRDefault="006929CB">
            <w:pPr>
              <w:pStyle w:val="TableText"/>
              <w:spacing w:before="40" w:after="40"/>
              <w:jc w:val="center"/>
              <w:rPr>
                <w:rFonts w:cs="Calibri"/>
                <w:szCs w:val="18"/>
              </w:rPr>
            </w:pPr>
            <w:r w:rsidRPr="0018630D">
              <w:rPr>
                <w:rFonts w:eastAsia="Calibri" w:cs="Calibri"/>
                <w:szCs w:val="18"/>
              </w:rPr>
              <w:t>2,180</w:t>
            </w:r>
          </w:p>
        </w:tc>
        <w:tc>
          <w:tcPr>
            <w:tcW w:w="1318" w:type="dxa"/>
            <w:shd w:val="clear" w:color="auto" w:fill="FFFFFF"/>
            <w:vAlign w:val="center"/>
          </w:tcPr>
          <w:p w14:paraId="0F61C1E0" w14:textId="77777777" w:rsidR="006929CB" w:rsidRPr="0018630D" w:rsidRDefault="006929CB">
            <w:pPr>
              <w:pStyle w:val="TableText"/>
              <w:spacing w:before="40" w:after="40"/>
              <w:jc w:val="center"/>
              <w:rPr>
                <w:rFonts w:cs="Calibri"/>
                <w:szCs w:val="18"/>
              </w:rPr>
            </w:pPr>
            <w:r w:rsidRPr="0018630D">
              <w:rPr>
                <w:rFonts w:eastAsia="Calibri" w:cs="Calibri"/>
                <w:szCs w:val="18"/>
              </w:rPr>
              <w:t>89</w:t>
            </w:r>
          </w:p>
        </w:tc>
        <w:tc>
          <w:tcPr>
            <w:tcW w:w="1318" w:type="dxa"/>
            <w:shd w:val="clear" w:color="auto" w:fill="FFFFFF"/>
            <w:vAlign w:val="center"/>
          </w:tcPr>
          <w:p w14:paraId="34576692" w14:textId="77777777" w:rsidR="006929CB" w:rsidRPr="0018630D" w:rsidRDefault="006929CB">
            <w:pPr>
              <w:pStyle w:val="TableText"/>
              <w:spacing w:before="40" w:after="40"/>
              <w:jc w:val="right"/>
              <w:rPr>
                <w:rFonts w:cs="Calibri"/>
                <w:szCs w:val="18"/>
              </w:rPr>
            </w:pPr>
            <w:r w:rsidRPr="0018630D">
              <w:rPr>
                <w:rFonts w:eastAsia="Calibri" w:cs="Calibri"/>
                <w:szCs w:val="18"/>
              </w:rPr>
              <w:t>8,783</w:t>
            </w:r>
          </w:p>
        </w:tc>
        <w:tc>
          <w:tcPr>
            <w:tcW w:w="1318" w:type="dxa"/>
            <w:shd w:val="clear" w:color="auto" w:fill="FFFFFF"/>
            <w:vAlign w:val="center"/>
          </w:tcPr>
          <w:p w14:paraId="1806D1B9" w14:textId="77777777" w:rsidR="006929CB" w:rsidRPr="0018630D" w:rsidRDefault="006929CB">
            <w:pPr>
              <w:pStyle w:val="TableText"/>
              <w:spacing w:before="40" w:after="40"/>
              <w:jc w:val="right"/>
              <w:rPr>
                <w:rFonts w:cs="Calibri"/>
                <w:szCs w:val="18"/>
              </w:rPr>
            </w:pPr>
            <w:r w:rsidRPr="0018630D">
              <w:rPr>
                <w:rFonts w:eastAsia="Calibri" w:cs="Calibri"/>
                <w:szCs w:val="18"/>
              </w:rPr>
              <w:t>153,117</w:t>
            </w:r>
          </w:p>
        </w:tc>
      </w:tr>
      <w:tr w:rsidR="006929CB" w:rsidRPr="0018630D" w14:paraId="5B750274" w14:textId="77777777" w:rsidTr="0018630D">
        <w:trPr>
          <w:trHeight w:val="283"/>
        </w:trPr>
        <w:tc>
          <w:tcPr>
            <w:tcW w:w="704" w:type="dxa"/>
            <w:shd w:val="clear" w:color="auto" w:fill="FFFFFF"/>
            <w:vAlign w:val="center"/>
          </w:tcPr>
          <w:p w14:paraId="4ECA31A2" w14:textId="77777777" w:rsidR="006929CB" w:rsidRPr="0018630D" w:rsidRDefault="006929CB">
            <w:pPr>
              <w:pStyle w:val="TableText"/>
              <w:spacing w:before="40" w:after="40"/>
              <w:rPr>
                <w:rFonts w:cs="Calibri"/>
                <w:szCs w:val="18"/>
              </w:rPr>
            </w:pPr>
            <w:r w:rsidRPr="0018630D">
              <w:rPr>
                <w:rFonts w:eastAsia="Calibri" w:cs="Calibri"/>
                <w:szCs w:val="18"/>
              </w:rPr>
              <w:t>2012</w:t>
            </w:r>
          </w:p>
        </w:tc>
        <w:tc>
          <w:tcPr>
            <w:tcW w:w="1211" w:type="dxa"/>
            <w:shd w:val="clear" w:color="auto" w:fill="FFFFFF"/>
            <w:vAlign w:val="center"/>
          </w:tcPr>
          <w:p w14:paraId="3DDEE7EC" w14:textId="77777777" w:rsidR="006929CB" w:rsidRPr="0018630D" w:rsidRDefault="006929CB">
            <w:pPr>
              <w:pStyle w:val="TableText"/>
              <w:spacing w:before="40" w:after="40"/>
              <w:jc w:val="right"/>
              <w:rPr>
                <w:rFonts w:cs="Calibri"/>
                <w:szCs w:val="18"/>
              </w:rPr>
            </w:pPr>
            <w:r w:rsidRPr="0018630D">
              <w:rPr>
                <w:rFonts w:eastAsia="Calibri" w:cs="Calibri"/>
                <w:szCs w:val="18"/>
              </w:rPr>
              <w:t>1,261</w:t>
            </w:r>
          </w:p>
        </w:tc>
        <w:tc>
          <w:tcPr>
            <w:tcW w:w="1318" w:type="dxa"/>
            <w:shd w:val="clear" w:color="auto" w:fill="FFFFFF"/>
            <w:vAlign w:val="center"/>
          </w:tcPr>
          <w:p w14:paraId="2B741AEF" w14:textId="77777777" w:rsidR="006929CB" w:rsidRPr="0018630D" w:rsidRDefault="006929CB">
            <w:pPr>
              <w:pStyle w:val="TableText"/>
              <w:spacing w:before="40" w:after="40"/>
              <w:jc w:val="center"/>
              <w:rPr>
                <w:rFonts w:cs="Calibri"/>
                <w:szCs w:val="18"/>
              </w:rPr>
            </w:pPr>
            <w:r w:rsidRPr="0018630D">
              <w:rPr>
                <w:rFonts w:eastAsia="Calibri" w:cs="Calibri"/>
                <w:szCs w:val="18"/>
              </w:rPr>
              <w:t>7,634</w:t>
            </w:r>
          </w:p>
        </w:tc>
        <w:tc>
          <w:tcPr>
            <w:tcW w:w="1318" w:type="dxa"/>
            <w:shd w:val="clear" w:color="auto" w:fill="FFFFFF"/>
            <w:vAlign w:val="center"/>
          </w:tcPr>
          <w:p w14:paraId="203A0045" w14:textId="77777777" w:rsidR="006929CB" w:rsidRPr="0018630D" w:rsidRDefault="006929CB">
            <w:pPr>
              <w:pStyle w:val="TableText"/>
              <w:spacing w:before="40" w:after="40"/>
              <w:jc w:val="center"/>
              <w:rPr>
                <w:rFonts w:cs="Calibri"/>
                <w:szCs w:val="18"/>
              </w:rPr>
            </w:pPr>
            <w:r w:rsidRPr="0018630D">
              <w:rPr>
                <w:rFonts w:eastAsia="Calibri" w:cs="Calibri"/>
                <w:szCs w:val="18"/>
              </w:rPr>
              <w:t>1,685</w:t>
            </w:r>
          </w:p>
        </w:tc>
        <w:tc>
          <w:tcPr>
            <w:tcW w:w="1318" w:type="dxa"/>
            <w:shd w:val="clear" w:color="auto" w:fill="FFFFFF"/>
            <w:vAlign w:val="center"/>
          </w:tcPr>
          <w:p w14:paraId="6C290871" w14:textId="77777777" w:rsidR="006929CB" w:rsidRPr="0018630D" w:rsidRDefault="006929CB">
            <w:pPr>
              <w:pStyle w:val="TableText"/>
              <w:spacing w:before="40" w:after="40"/>
              <w:jc w:val="center"/>
              <w:rPr>
                <w:rFonts w:cs="Calibri"/>
                <w:szCs w:val="18"/>
              </w:rPr>
            </w:pPr>
            <w:r w:rsidRPr="0018630D">
              <w:rPr>
                <w:rFonts w:eastAsia="Calibri" w:cs="Calibri"/>
                <w:szCs w:val="18"/>
              </w:rPr>
              <w:t>60</w:t>
            </w:r>
          </w:p>
        </w:tc>
        <w:tc>
          <w:tcPr>
            <w:tcW w:w="1318" w:type="dxa"/>
            <w:shd w:val="clear" w:color="auto" w:fill="FFFFFF"/>
            <w:vAlign w:val="center"/>
          </w:tcPr>
          <w:p w14:paraId="7D35CBC9" w14:textId="77777777" w:rsidR="006929CB" w:rsidRPr="0018630D" w:rsidRDefault="006929CB">
            <w:pPr>
              <w:pStyle w:val="TableText"/>
              <w:spacing w:before="40" w:after="40"/>
              <w:jc w:val="right"/>
              <w:rPr>
                <w:rFonts w:cs="Calibri"/>
                <w:szCs w:val="18"/>
              </w:rPr>
            </w:pPr>
            <w:r w:rsidRPr="0018630D">
              <w:rPr>
                <w:rFonts w:eastAsia="Calibri" w:cs="Calibri"/>
                <w:szCs w:val="18"/>
              </w:rPr>
              <w:t>10,641</w:t>
            </w:r>
          </w:p>
        </w:tc>
        <w:tc>
          <w:tcPr>
            <w:tcW w:w="1318" w:type="dxa"/>
            <w:shd w:val="clear" w:color="auto" w:fill="FFFFFF"/>
            <w:vAlign w:val="center"/>
          </w:tcPr>
          <w:p w14:paraId="13D7DE3A" w14:textId="77777777" w:rsidR="006929CB" w:rsidRPr="0018630D" w:rsidRDefault="006929CB">
            <w:pPr>
              <w:pStyle w:val="TableText"/>
              <w:spacing w:before="40" w:after="40"/>
              <w:jc w:val="right"/>
              <w:rPr>
                <w:rFonts w:cs="Calibri"/>
                <w:szCs w:val="18"/>
              </w:rPr>
            </w:pPr>
            <w:r w:rsidRPr="0018630D">
              <w:rPr>
                <w:rFonts w:eastAsia="Calibri" w:cs="Calibri"/>
                <w:szCs w:val="18"/>
              </w:rPr>
              <w:t>163,757</w:t>
            </w:r>
          </w:p>
        </w:tc>
      </w:tr>
      <w:tr w:rsidR="006929CB" w:rsidRPr="0018630D" w14:paraId="0E53E483" w14:textId="77777777" w:rsidTr="0018630D">
        <w:trPr>
          <w:trHeight w:val="283"/>
        </w:trPr>
        <w:tc>
          <w:tcPr>
            <w:tcW w:w="704" w:type="dxa"/>
            <w:shd w:val="clear" w:color="auto" w:fill="FFFFFF"/>
            <w:vAlign w:val="center"/>
          </w:tcPr>
          <w:p w14:paraId="32EBFC80" w14:textId="77777777" w:rsidR="006929CB" w:rsidRPr="0018630D" w:rsidRDefault="006929CB">
            <w:pPr>
              <w:pStyle w:val="TableText"/>
              <w:spacing w:before="40" w:after="40"/>
              <w:rPr>
                <w:rFonts w:cs="Calibri"/>
                <w:szCs w:val="18"/>
              </w:rPr>
            </w:pPr>
            <w:r w:rsidRPr="0018630D">
              <w:rPr>
                <w:rFonts w:eastAsia="Calibri" w:cs="Calibri"/>
                <w:szCs w:val="18"/>
              </w:rPr>
              <w:t>2013</w:t>
            </w:r>
          </w:p>
        </w:tc>
        <w:tc>
          <w:tcPr>
            <w:tcW w:w="1211" w:type="dxa"/>
            <w:shd w:val="clear" w:color="auto" w:fill="FFFFFF"/>
            <w:vAlign w:val="center"/>
          </w:tcPr>
          <w:p w14:paraId="2242849B" w14:textId="77777777" w:rsidR="006929CB" w:rsidRPr="0018630D" w:rsidRDefault="006929CB">
            <w:pPr>
              <w:pStyle w:val="TableText"/>
              <w:spacing w:before="40" w:after="40"/>
              <w:jc w:val="right"/>
              <w:rPr>
                <w:rFonts w:cs="Calibri"/>
                <w:szCs w:val="18"/>
              </w:rPr>
            </w:pPr>
            <w:r w:rsidRPr="0018630D">
              <w:rPr>
                <w:rFonts w:eastAsia="Calibri" w:cs="Calibri"/>
                <w:szCs w:val="18"/>
              </w:rPr>
              <w:t>1,253</w:t>
            </w:r>
          </w:p>
        </w:tc>
        <w:tc>
          <w:tcPr>
            <w:tcW w:w="1318" w:type="dxa"/>
            <w:shd w:val="clear" w:color="auto" w:fill="FFFFFF"/>
            <w:vAlign w:val="center"/>
          </w:tcPr>
          <w:p w14:paraId="6CE5FA6F" w14:textId="77777777" w:rsidR="006929CB" w:rsidRPr="0018630D" w:rsidRDefault="006929CB">
            <w:pPr>
              <w:pStyle w:val="TableText"/>
              <w:spacing w:before="40" w:after="40"/>
              <w:jc w:val="center"/>
              <w:rPr>
                <w:rFonts w:cs="Calibri"/>
                <w:szCs w:val="18"/>
              </w:rPr>
            </w:pPr>
            <w:r w:rsidRPr="0018630D">
              <w:rPr>
                <w:rFonts w:eastAsia="Calibri" w:cs="Calibri"/>
                <w:szCs w:val="18"/>
              </w:rPr>
              <w:t>9,786</w:t>
            </w:r>
          </w:p>
        </w:tc>
        <w:tc>
          <w:tcPr>
            <w:tcW w:w="1318" w:type="dxa"/>
            <w:shd w:val="clear" w:color="auto" w:fill="FFFFFF"/>
            <w:vAlign w:val="center"/>
          </w:tcPr>
          <w:p w14:paraId="4DC56325" w14:textId="77777777" w:rsidR="006929CB" w:rsidRPr="0018630D" w:rsidRDefault="006929CB">
            <w:pPr>
              <w:pStyle w:val="TableText"/>
              <w:spacing w:before="40" w:after="40"/>
              <w:jc w:val="center"/>
              <w:rPr>
                <w:rFonts w:cs="Calibri"/>
                <w:szCs w:val="18"/>
              </w:rPr>
            </w:pPr>
            <w:r w:rsidRPr="0018630D">
              <w:rPr>
                <w:rFonts w:eastAsia="Calibri" w:cs="Calibri"/>
                <w:szCs w:val="18"/>
              </w:rPr>
              <w:t>2,833</w:t>
            </w:r>
          </w:p>
        </w:tc>
        <w:tc>
          <w:tcPr>
            <w:tcW w:w="1318" w:type="dxa"/>
            <w:shd w:val="clear" w:color="auto" w:fill="FFFFFF"/>
            <w:vAlign w:val="center"/>
          </w:tcPr>
          <w:p w14:paraId="28794ECC" w14:textId="77777777" w:rsidR="006929CB" w:rsidRPr="0018630D" w:rsidRDefault="006929CB">
            <w:pPr>
              <w:pStyle w:val="TableText"/>
              <w:spacing w:before="40" w:after="40"/>
              <w:jc w:val="center"/>
              <w:rPr>
                <w:rFonts w:cs="Calibri"/>
                <w:szCs w:val="18"/>
              </w:rPr>
            </w:pPr>
            <w:r w:rsidRPr="0018630D">
              <w:rPr>
                <w:rFonts w:eastAsia="Calibri" w:cs="Calibri"/>
                <w:szCs w:val="18"/>
              </w:rPr>
              <w:t>116</w:t>
            </w:r>
          </w:p>
        </w:tc>
        <w:tc>
          <w:tcPr>
            <w:tcW w:w="1318" w:type="dxa"/>
            <w:shd w:val="clear" w:color="auto" w:fill="FFFFFF"/>
            <w:vAlign w:val="center"/>
          </w:tcPr>
          <w:p w14:paraId="50D09F1B" w14:textId="77777777" w:rsidR="006929CB" w:rsidRPr="0018630D" w:rsidRDefault="006929CB">
            <w:pPr>
              <w:pStyle w:val="TableText"/>
              <w:spacing w:before="40" w:after="40"/>
              <w:jc w:val="right"/>
              <w:rPr>
                <w:rFonts w:cs="Calibri"/>
                <w:szCs w:val="18"/>
              </w:rPr>
            </w:pPr>
            <w:r w:rsidRPr="0018630D">
              <w:rPr>
                <w:rFonts w:eastAsia="Calibri" w:cs="Calibri"/>
                <w:szCs w:val="18"/>
              </w:rPr>
              <w:t>13,988</w:t>
            </w:r>
          </w:p>
        </w:tc>
        <w:tc>
          <w:tcPr>
            <w:tcW w:w="1318" w:type="dxa"/>
            <w:shd w:val="clear" w:color="auto" w:fill="FFFFFF"/>
            <w:vAlign w:val="center"/>
          </w:tcPr>
          <w:p w14:paraId="6E74B515" w14:textId="77777777" w:rsidR="006929CB" w:rsidRPr="0018630D" w:rsidRDefault="006929CB">
            <w:pPr>
              <w:pStyle w:val="TableText"/>
              <w:spacing w:before="40" w:after="40"/>
              <w:jc w:val="right"/>
              <w:rPr>
                <w:rFonts w:cs="Calibri"/>
                <w:szCs w:val="18"/>
              </w:rPr>
            </w:pPr>
            <w:r w:rsidRPr="0018630D">
              <w:rPr>
                <w:rFonts w:eastAsia="Calibri" w:cs="Calibri"/>
                <w:szCs w:val="18"/>
              </w:rPr>
              <w:t>177,745</w:t>
            </w:r>
          </w:p>
        </w:tc>
      </w:tr>
      <w:tr w:rsidR="006929CB" w:rsidRPr="0018630D" w14:paraId="6BB4D248" w14:textId="77777777" w:rsidTr="0018630D">
        <w:trPr>
          <w:trHeight w:val="283"/>
        </w:trPr>
        <w:tc>
          <w:tcPr>
            <w:tcW w:w="704" w:type="dxa"/>
            <w:shd w:val="clear" w:color="auto" w:fill="FFFFFF"/>
            <w:vAlign w:val="center"/>
          </w:tcPr>
          <w:p w14:paraId="43722F0F" w14:textId="77777777" w:rsidR="006929CB" w:rsidRPr="0018630D" w:rsidRDefault="006929CB">
            <w:pPr>
              <w:pStyle w:val="TableText"/>
              <w:spacing w:before="40" w:after="40"/>
              <w:rPr>
                <w:rFonts w:cs="Calibri"/>
                <w:szCs w:val="18"/>
              </w:rPr>
            </w:pPr>
            <w:r w:rsidRPr="0018630D">
              <w:rPr>
                <w:rFonts w:eastAsia="Calibri" w:cs="Calibri"/>
                <w:szCs w:val="18"/>
              </w:rPr>
              <w:t>2014</w:t>
            </w:r>
          </w:p>
        </w:tc>
        <w:tc>
          <w:tcPr>
            <w:tcW w:w="1211" w:type="dxa"/>
            <w:shd w:val="clear" w:color="auto" w:fill="FFFFFF"/>
            <w:vAlign w:val="center"/>
          </w:tcPr>
          <w:p w14:paraId="0E843881" w14:textId="77777777" w:rsidR="006929CB" w:rsidRPr="0018630D" w:rsidRDefault="006929CB">
            <w:pPr>
              <w:pStyle w:val="TableText"/>
              <w:spacing w:before="40" w:after="40"/>
              <w:jc w:val="right"/>
              <w:rPr>
                <w:rFonts w:cs="Calibri"/>
                <w:szCs w:val="18"/>
              </w:rPr>
            </w:pPr>
            <w:r w:rsidRPr="0018630D">
              <w:rPr>
                <w:rFonts w:eastAsia="Calibri" w:cs="Calibri"/>
                <w:szCs w:val="18"/>
              </w:rPr>
              <w:t>683</w:t>
            </w:r>
          </w:p>
        </w:tc>
        <w:tc>
          <w:tcPr>
            <w:tcW w:w="1318" w:type="dxa"/>
            <w:shd w:val="clear" w:color="auto" w:fill="FFFFFF"/>
            <w:vAlign w:val="center"/>
          </w:tcPr>
          <w:p w14:paraId="01786F7B" w14:textId="77777777" w:rsidR="006929CB" w:rsidRPr="0018630D" w:rsidRDefault="006929CB">
            <w:pPr>
              <w:pStyle w:val="TableText"/>
              <w:spacing w:before="40" w:after="40"/>
              <w:jc w:val="center"/>
              <w:rPr>
                <w:rFonts w:cs="Calibri"/>
                <w:szCs w:val="18"/>
              </w:rPr>
            </w:pPr>
            <w:r w:rsidRPr="0018630D">
              <w:rPr>
                <w:rFonts w:eastAsia="Calibri" w:cs="Calibri"/>
                <w:szCs w:val="18"/>
              </w:rPr>
              <w:t>7,043</w:t>
            </w:r>
          </w:p>
        </w:tc>
        <w:tc>
          <w:tcPr>
            <w:tcW w:w="1318" w:type="dxa"/>
            <w:shd w:val="clear" w:color="auto" w:fill="FFFFFF"/>
            <w:vAlign w:val="center"/>
          </w:tcPr>
          <w:p w14:paraId="04596128" w14:textId="77777777" w:rsidR="006929CB" w:rsidRPr="0018630D" w:rsidRDefault="006929CB">
            <w:pPr>
              <w:pStyle w:val="TableText"/>
              <w:spacing w:before="40" w:after="40"/>
              <w:jc w:val="center"/>
              <w:rPr>
                <w:rFonts w:cs="Calibri"/>
                <w:szCs w:val="18"/>
              </w:rPr>
            </w:pPr>
            <w:r w:rsidRPr="0018630D">
              <w:rPr>
                <w:rFonts w:eastAsia="Calibri" w:cs="Calibri"/>
                <w:szCs w:val="18"/>
              </w:rPr>
              <w:t>3,374</w:t>
            </w:r>
          </w:p>
        </w:tc>
        <w:tc>
          <w:tcPr>
            <w:tcW w:w="1318" w:type="dxa"/>
            <w:shd w:val="clear" w:color="auto" w:fill="FFFFFF"/>
            <w:vAlign w:val="center"/>
          </w:tcPr>
          <w:p w14:paraId="73F0FA18" w14:textId="77777777" w:rsidR="006929CB" w:rsidRPr="0018630D" w:rsidRDefault="006929CB">
            <w:pPr>
              <w:pStyle w:val="TableText"/>
              <w:spacing w:before="40" w:after="40"/>
              <w:jc w:val="center"/>
              <w:rPr>
                <w:rFonts w:cs="Calibri"/>
                <w:szCs w:val="18"/>
              </w:rPr>
            </w:pPr>
            <w:r w:rsidRPr="0018630D">
              <w:rPr>
                <w:rFonts w:eastAsia="Calibri" w:cs="Calibri"/>
                <w:szCs w:val="18"/>
              </w:rPr>
              <w:t>163</w:t>
            </w:r>
          </w:p>
        </w:tc>
        <w:tc>
          <w:tcPr>
            <w:tcW w:w="1318" w:type="dxa"/>
            <w:shd w:val="clear" w:color="auto" w:fill="FFFFFF"/>
            <w:vAlign w:val="center"/>
          </w:tcPr>
          <w:p w14:paraId="7EB769C0" w14:textId="77777777" w:rsidR="006929CB" w:rsidRPr="0018630D" w:rsidRDefault="006929CB">
            <w:pPr>
              <w:pStyle w:val="TableText"/>
              <w:spacing w:before="40" w:after="40"/>
              <w:jc w:val="right"/>
              <w:rPr>
                <w:rFonts w:cs="Calibri"/>
                <w:szCs w:val="18"/>
              </w:rPr>
            </w:pPr>
            <w:r w:rsidRPr="0018630D">
              <w:rPr>
                <w:rFonts w:eastAsia="Calibri" w:cs="Calibri"/>
                <w:szCs w:val="18"/>
              </w:rPr>
              <w:t>11,262</w:t>
            </w:r>
          </w:p>
        </w:tc>
        <w:tc>
          <w:tcPr>
            <w:tcW w:w="1318" w:type="dxa"/>
            <w:shd w:val="clear" w:color="auto" w:fill="FFFFFF"/>
            <w:vAlign w:val="center"/>
          </w:tcPr>
          <w:p w14:paraId="5D60F571" w14:textId="77777777" w:rsidR="006929CB" w:rsidRPr="0018630D" w:rsidRDefault="006929CB">
            <w:pPr>
              <w:pStyle w:val="TableText"/>
              <w:spacing w:before="40" w:after="40"/>
              <w:jc w:val="right"/>
              <w:rPr>
                <w:rFonts w:cs="Calibri"/>
                <w:szCs w:val="18"/>
              </w:rPr>
            </w:pPr>
            <w:r w:rsidRPr="0018630D">
              <w:rPr>
                <w:rFonts w:eastAsia="Calibri" w:cs="Calibri"/>
                <w:szCs w:val="18"/>
              </w:rPr>
              <w:t>189,008</w:t>
            </w:r>
          </w:p>
        </w:tc>
      </w:tr>
      <w:tr w:rsidR="006929CB" w:rsidRPr="0018630D" w14:paraId="2028267C" w14:textId="77777777" w:rsidTr="0018630D">
        <w:trPr>
          <w:trHeight w:val="283"/>
        </w:trPr>
        <w:tc>
          <w:tcPr>
            <w:tcW w:w="704" w:type="dxa"/>
            <w:shd w:val="clear" w:color="auto" w:fill="FFFFFF"/>
            <w:vAlign w:val="center"/>
          </w:tcPr>
          <w:p w14:paraId="12F3F305" w14:textId="77777777" w:rsidR="006929CB" w:rsidRPr="0018630D" w:rsidRDefault="006929CB">
            <w:pPr>
              <w:pStyle w:val="TableText"/>
              <w:spacing w:before="40" w:after="40"/>
              <w:rPr>
                <w:rFonts w:cs="Calibri"/>
                <w:szCs w:val="18"/>
              </w:rPr>
            </w:pPr>
            <w:r w:rsidRPr="0018630D">
              <w:rPr>
                <w:rFonts w:eastAsia="Calibri" w:cs="Calibri"/>
                <w:szCs w:val="18"/>
              </w:rPr>
              <w:t>2015</w:t>
            </w:r>
          </w:p>
        </w:tc>
        <w:tc>
          <w:tcPr>
            <w:tcW w:w="1211" w:type="dxa"/>
            <w:shd w:val="clear" w:color="auto" w:fill="FFFFFF"/>
            <w:vAlign w:val="center"/>
          </w:tcPr>
          <w:p w14:paraId="33BEB8CB" w14:textId="77777777" w:rsidR="006929CB" w:rsidRPr="0018630D" w:rsidRDefault="006929CB">
            <w:pPr>
              <w:pStyle w:val="TableText"/>
              <w:spacing w:before="40" w:after="40"/>
              <w:jc w:val="right"/>
              <w:rPr>
                <w:rFonts w:cs="Calibri"/>
                <w:szCs w:val="18"/>
              </w:rPr>
            </w:pPr>
            <w:r w:rsidRPr="0018630D">
              <w:rPr>
                <w:rFonts w:eastAsia="Calibri" w:cs="Calibri"/>
                <w:szCs w:val="18"/>
              </w:rPr>
              <w:t>1,068</w:t>
            </w:r>
          </w:p>
        </w:tc>
        <w:tc>
          <w:tcPr>
            <w:tcW w:w="1318" w:type="dxa"/>
            <w:shd w:val="clear" w:color="auto" w:fill="FFFFFF"/>
            <w:vAlign w:val="center"/>
          </w:tcPr>
          <w:p w14:paraId="36C42381" w14:textId="77777777" w:rsidR="006929CB" w:rsidRPr="0018630D" w:rsidRDefault="006929CB">
            <w:pPr>
              <w:pStyle w:val="TableText"/>
              <w:spacing w:before="40" w:after="40"/>
              <w:jc w:val="center"/>
              <w:rPr>
                <w:rFonts w:cs="Calibri"/>
                <w:szCs w:val="18"/>
              </w:rPr>
            </w:pPr>
            <w:r w:rsidRPr="0018630D">
              <w:rPr>
                <w:rFonts w:eastAsia="Calibri" w:cs="Calibri"/>
                <w:szCs w:val="18"/>
              </w:rPr>
              <w:t>4,619</w:t>
            </w:r>
          </w:p>
        </w:tc>
        <w:tc>
          <w:tcPr>
            <w:tcW w:w="1318" w:type="dxa"/>
            <w:shd w:val="clear" w:color="auto" w:fill="FFFFFF"/>
            <w:vAlign w:val="center"/>
          </w:tcPr>
          <w:p w14:paraId="1D92EAF3" w14:textId="77777777" w:rsidR="006929CB" w:rsidRPr="0018630D" w:rsidRDefault="006929CB">
            <w:pPr>
              <w:pStyle w:val="TableText"/>
              <w:spacing w:before="40" w:after="40"/>
              <w:jc w:val="center"/>
              <w:rPr>
                <w:rFonts w:cs="Calibri"/>
                <w:szCs w:val="18"/>
              </w:rPr>
            </w:pPr>
            <w:r w:rsidRPr="0018630D">
              <w:rPr>
                <w:rFonts w:eastAsia="Calibri" w:cs="Calibri"/>
                <w:szCs w:val="18"/>
              </w:rPr>
              <w:t>2,669</w:t>
            </w:r>
          </w:p>
        </w:tc>
        <w:tc>
          <w:tcPr>
            <w:tcW w:w="1318" w:type="dxa"/>
            <w:shd w:val="clear" w:color="auto" w:fill="FFFFFF"/>
            <w:vAlign w:val="center"/>
          </w:tcPr>
          <w:p w14:paraId="284C3303" w14:textId="77777777" w:rsidR="006929CB" w:rsidRPr="0018630D" w:rsidRDefault="006929CB">
            <w:pPr>
              <w:pStyle w:val="TableText"/>
              <w:spacing w:before="40" w:after="40"/>
              <w:jc w:val="center"/>
              <w:rPr>
                <w:rFonts w:cs="Calibri"/>
                <w:szCs w:val="18"/>
              </w:rPr>
            </w:pPr>
            <w:r w:rsidRPr="0018630D">
              <w:rPr>
                <w:rFonts w:eastAsia="Calibri" w:cs="Calibri"/>
                <w:szCs w:val="18"/>
              </w:rPr>
              <w:t>125</w:t>
            </w:r>
          </w:p>
        </w:tc>
        <w:tc>
          <w:tcPr>
            <w:tcW w:w="1318" w:type="dxa"/>
            <w:shd w:val="clear" w:color="auto" w:fill="FFFFFF"/>
            <w:vAlign w:val="center"/>
          </w:tcPr>
          <w:p w14:paraId="0E4DBF8D" w14:textId="77777777" w:rsidR="006929CB" w:rsidRPr="0018630D" w:rsidRDefault="006929CB">
            <w:pPr>
              <w:pStyle w:val="TableText"/>
              <w:spacing w:before="40" w:after="40"/>
              <w:jc w:val="right"/>
              <w:rPr>
                <w:rFonts w:cs="Calibri"/>
                <w:szCs w:val="18"/>
              </w:rPr>
            </w:pPr>
            <w:r w:rsidRPr="0018630D">
              <w:rPr>
                <w:rFonts w:eastAsia="Calibri" w:cs="Calibri"/>
                <w:szCs w:val="18"/>
              </w:rPr>
              <w:t>8,481</w:t>
            </w:r>
          </w:p>
        </w:tc>
        <w:tc>
          <w:tcPr>
            <w:tcW w:w="1318" w:type="dxa"/>
            <w:shd w:val="clear" w:color="auto" w:fill="FFFFFF"/>
            <w:vAlign w:val="center"/>
          </w:tcPr>
          <w:p w14:paraId="57BA464F" w14:textId="77777777" w:rsidR="006929CB" w:rsidRPr="0018630D" w:rsidRDefault="006929CB">
            <w:pPr>
              <w:pStyle w:val="TableText"/>
              <w:spacing w:before="40" w:after="40"/>
              <w:jc w:val="right"/>
              <w:rPr>
                <w:rFonts w:cs="Calibri"/>
                <w:szCs w:val="18"/>
              </w:rPr>
            </w:pPr>
            <w:r w:rsidRPr="0018630D">
              <w:rPr>
                <w:rFonts w:eastAsia="Calibri" w:cs="Calibri"/>
                <w:szCs w:val="18"/>
              </w:rPr>
              <w:t>197,489</w:t>
            </w:r>
          </w:p>
        </w:tc>
      </w:tr>
      <w:tr w:rsidR="006929CB" w:rsidRPr="0018630D" w14:paraId="6B7B8FC8" w14:textId="77777777" w:rsidTr="0018630D">
        <w:trPr>
          <w:trHeight w:val="283"/>
        </w:trPr>
        <w:tc>
          <w:tcPr>
            <w:tcW w:w="704" w:type="dxa"/>
            <w:shd w:val="clear" w:color="auto" w:fill="FFFFFF"/>
            <w:vAlign w:val="center"/>
          </w:tcPr>
          <w:p w14:paraId="3F591819" w14:textId="77777777" w:rsidR="006929CB" w:rsidRPr="0018630D" w:rsidRDefault="006929CB">
            <w:pPr>
              <w:pStyle w:val="TableText"/>
              <w:spacing w:before="40" w:after="40"/>
              <w:rPr>
                <w:rFonts w:cs="Calibri"/>
                <w:szCs w:val="18"/>
              </w:rPr>
            </w:pPr>
            <w:r w:rsidRPr="0018630D">
              <w:rPr>
                <w:rFonts w:eastAsia="Calibri" w:cs="Calibri"/>
                <w:szCs w:val="18"/>
              </w:rPr>
              <w:t>2016</w:t>
            </w:r>
          </w:p>
        </w:tc>
        <w:tc>
          <w:tcPr>
            <w:tcW w:w="1211" w:type="dxa"/>
            <w:shd w:val="clear" w:color="auto" w:fill="FFFFFF"/>
            <w:vAlign w:val="center"/>
          </w:tcPr>
          <w:p w14:paraId="57FE41A2" w14:textId="77777777" w:rsidR="006929CB" w:rsidRPr="0018630D" w:rsidRDefault="006929CB">
            <w:pPr>
              <w:pStyle w:val="TableText"/>
              <w:spacing w:before="40" w:after="40"/>
              <w:jc w:val="right"/>
              <w:rPr>
                <w:rFonts w:cs="Calibri"/>
                <w:szCs w:val="18"/>
              </w:rPr>
            </w:pPr>
            <w:r w:rsidRPr="0018630D">
              <w:rPr>
                <w:rFonts w:eastAsia="Calibri" w:cs="Calibri"/>
                <w:szCs w:val="18"/>
              </w:rPr>
              <w:t>872</w:t>
            </w:r>
          </w:p>
        </w:tc>
        <w:tc>
          <w:tcPr>
            <w:tcW w:w="1318" w:type="dxa"/>
            <w:shd w:val="clear" w:color="auto" w:fill="FFFFFF"/>
            <w:vAlign w:val="center"/>
          </w:tcPr>
          <w:p w14:paraId="5028D9CA" w14:textId="77777777" w:rsidR="006929CB" w:rsidRPr="0018630D" w:rsidRDefault="006929CB">
            <w:pPr>
              <w:pStyle w:val="TableText"/>
              <w:spacing w:before="40" w:after="40"/>
              <w:jc w:val="center"/>
              <w:rPr>
                <w:rFonts w:cs="Calibri"/>
                <w:szCs w:val="18"/>
              </w:rPr>
            </w:pPr>
            <w:r w:rsidRPr="0018630D">
              <w:rPr>
                <w:rFonts w:eastAsia="Calibri" w:cs="Calibri"/>
                <w:szCs w:val="18"/>
              </w:rPr>
              <w:t>3,732</w:t>
            </w:r>
          </w:p>
        </w:tc>
        <w:tc>
          <w:tcPr>
            <w:tcW w:w="1318" w:type="dxa"/>
            <w:shd w:val="clear" w:color="auto" w:fill="FFFFFF"/>
            <w:vAlign w:val="center"/>
          </w:tcPr>
          <w:p w14:paraId="4A37F07A" w14:textId="77777777" w:rsidR="006929CB" w:rsidRPr="0018630D" w:rsidRDefault="006929CB">
            <w:pPr>
              <w:pStyle w:val="TableText"/>
              <w:spacing w:before="40" w:after="40"/>
              <w:jc w:val="center"/>
              <w:rPr>
                <w:rFonts w:cs="Calibri"/>
                <w:szCs w:val="18"/>
              </w:rPr>
            </w:pPr>
            <w:r w:rsidRPr="0018630D">
              <w:rPr>
                <w:rFonts w:eastAsia="Calibri" w:cs="Calibri"/>
                <w:szCs w:val="18"/>
              </w:rPr>
              <w:t>3,697</w:t>
            </w:r>
          </w:p>
        </w:tc>
        <w:tc>
          <w:tcPr>
            <w:tcW w:w="1318" w:type="dxa"/>
            <w:shd w:val="clear" w:color="auto" w:fill="FFFFFF"/>
            <w:vAlign w:val="center"/>
          </w:tcPr>
          <w:p w14:paraId="5F1146D8" w14:textId="77777777" w:rsidR="006929CB" w:rsidRPr="0018630D" w:rsidRDefault="006929CB">
            <w:pPr>
              <w:pStyle w:val="TableText"/>
              <w:spacing w:before="40" w:after="40"/>
              <w:jc w:val="center"/>
              <w:rPr>
                <w:rFonts w:cs="Calibri"/>
                <w:szCs w:val="18"/>
              </w:rPr>
            </w:pPr>
            <w:r w:rsidRPr="0018630D">
              <w:rPr>
                <w:rFonts w:eastAsia="Calibri" w:cs="Calibri"/>
                <w:szCs w:val="18"/>
              </w:rPr>
              <w:t>162</w:t>
            </w:r>
          </w:p>
        </w:tc>
        <w:tc>
          <w:tcPr>
            <w:tcW w:w="1318" w:type="dxa"/>
            <w:shd w:val="clear" w:color="auto" w:fill="FFFFFF"/>
            <w:vAlign w:val="center"/>
          </w:tcPr>
          <w:p w14:paraId="34D7B418" w14:textId="77777777" w:rsidR="006929CB" w:rsidRPr="0018630D" w:rsidRDefault="006929CB">
            <w:pPr>
              <w:pStyle w:val="TableText"/>
              <w:spacing w:before="40" w:after="40"/>
              <w:jc w:val="right"/>
              <w:rPr>
                <w:rFonts w:cs="Calibri"/>
                <w:szCs w:val="18"/>
              </w:rPr>
            </w:pPr>
            <w:r w:rsidRPr="0018630D">
              <w:rPr>
                <w:rFonts w:eastAsia="Calibri" w:cs="Calibri"/>
                <w:szCs w:val="18"/>
              </w:rPr>
              <w:t>8,463</w:t>
            </w:r>
          </w:p>
        </w:tc>
        <w:tc>
          <w:tcPr>
            <w:tcW w:w="1318" w:type="dxa"/>
            <w:shd w:val="clear" w:color="auto" w:fill="FFFFFF"/>
            <w:vAlign w:val="center"/>
          </w:tcPr>
          <w:p w14:paraId="5224DE93" w14:textId="77777777" w:rsidR="006929CB" w:rsidRPr="0018630D" w:rsidRDefault="006929CB">
            <w:pPr>
              <w:pStyle w:val="TableText"/>
              <w:spacing w:before="40" w:after="40"/>
              <w:jc w:val="right"/>
              <w:rPr>
                <w:rFonts w:cs="Calibri"/>
                <w:szCs w:val="18"/>
              </w:rPr>
            </w:pPr>
            <w:r w:rsidRPr="0018630D">
              <w:rPr>
                <w:rFonts w:eastAsia="Calibri" w:cs="Calibri"/>
                <w:szCs w:val="18"/>
              </w:rPr>
              <w:t>205,952</w:t>
            </w:r>
          </w:p>
        </w:tc>
      </w:tr>
      <w:tr w:rsidR="006929CB" w:rsidRPr="0018630D" w14:paraId="6929BA46" w14:textId="77777777" w:rsidTr="0018630D">
        <w:trPr>
          <w:trHeight w:val="283"/>
        </w:trPr>
        <w:tc>
          <w:tcPr>
            <w:tcW w:w="704" w:type="dxa"/>
            <w:shd w:val="clear" w:color="auto" w:fill="FFFFFF"/>
            <w:vAlign w:val="center"/>
          </w:tcPr>
          <w:p w14:paraId="7E47D873" w14:textId="77777777" w:rsidR="006929CB" w:rsidRPr="0018630D" w:rsidRDefault="006929CB">
            <w:pPr>
              <w:pStyle w:val="TableText"/>
              <w:spacing w:before="40" w:after="40"/>
              <w:rPr>
                <w:rFonts w:cs="Calibri"/>
                <w:szCs w:val="18"/>
              </w:rPr>
            </w:pPr>
            <w:r w:rsidRPr="0018630D">
              <w:rPr>
                <w:rFonts w:eastAsia="Calibri" w:cs="Calibri"/>
                <w:szCs w:val="18"/>
              </w:rPr>
              <w:t>2017</w:t>
            </w:r>
          </w:p>
        </w:tc>
        <w:tc>
          <w:tcPr>
            <w:tcW w:w="1211" w:type="dxa"/>
            <w:shd w:val="clear" w:color="auto" w:fill="FFFFFF"/>
            <w:vAlign w:val="center"/>
          </w:tcPr>
          <w:p w14:paraId="2547AA17" w14:textId="77777777" w:rsidR="006929CB" w:rsidRPr="0018630D" w:rsidRDefault="006929CB">
            <w:pPr>
              <w:pStyle w:val="TableText"/>
              <w:spacing w:before="40" w:after="40"/>
              <w:jc w:val="right"/>
              <w:rPr>
                <w:rFonts w:cs="Calibri"/>
                <w:szCs w:val="18"/>
              </w:rPr>
            </w:pPr>
            <w:r w:rsidRPr="0018630D">
              <w:rPr>
                <w:rFonts w:eastAsia="Calibri" w:cs="Calibri"/>
                <w:szCs w:val="18"/>
              </w:rPr>
              <w:t>491</w:t>
            </w:r>
          </w:p>
        </w:tc>
        <w:tc>
          <w:tcPr>
            <w:tcW w:w="1318" w:type="dxa"/>
            <w:shd w:val="clear" w:color="auto" w:fill="FFFFFF"/>
            <w:vAlign w:val="center"/>
          </w:tcPr>
          <w:p w14:paraId="49550700" w14:textId="77777777" w:rsidR="006929CB" w:rsidRPr="0018630D" w:rsidRDefault="006929CB">
            <w:pPr>
              <w:pStyle w:val="TableText"/>
              <w:spacing w:before="40" w:after="40"/>
              <w:jc w:val="center"/>
              <w:rPr>
                <w:rFonts w:cs="Calibri"/>
                <w:szCs w:val="18"/>
              </w:rPr>
            </w:pPr>
            <w:r w:rsidRPr="0018630D">
              <w:rPr>
                <w:rFonts w:eastAsia="Calibri" w:cs="Calibri"/>
                <w:szCs w:val="18"/>
              </w:rPr>
              <w:t>2,727</w:t>
            </w:r>
          </w:p>
        </w:tc>
        <w:tc>
          <w:tcPr>
            <w:tcW w:w="1318" w:type="dxa"/>
            <w:shd w:val="clear" w:color="auto" w:fill="FFFFFF"/>
            <w:vAlign w:val="center"/>
          </w:tcPr>
          <w:p w14:paraId="5DFA7240" w14:textId="77777777" w:rsidR="006929CB" w:rsidRPr="0018630D" w:rsidRDefault="006929CB">
            <w:pPr>
              <w:pStyle w:val="TableText"/>
              <w:spacing w:before="40" w:after="40"/>
              <w:jc w:val="center"/>
              <w:rPr>
                <w:rFonts w:cs="Calibri"/>
                <w:szCs w:val="18"/>
              </w:rPr>
            </w:pPr>
            <w:r w:rsidRPr="0018630D">
              <w:rPr>
                <w:rFonts w:eastAsia="Calibri" w:cs="Calibri"/>
                <w:szCs w:val="18"/>
              </w:rPr>
              <w:t>4,674</w:t>
            </w:r>
          </w:p>
        </w:tc>
        <w:tc>
          <w:tcPr>
            <w:tcW w:w="1318" w:type="dxa"/>
            <w:shd w:val="clear" w:color="auto" w:fill="FFFFFF"/>
            <w:vAlign w:val="center"/>
          </w:tcPr>
          <w:p w14:paraId="6BFDE6A0" w14:textId="77777777" w:rsidR="006929CB" w:rsidRPr="0018630D" w:rsidRDefault="006929CB">
            <w:pPr>
              <w:pStyle w:val="TableText"/>
              <w:spacing w:before="40" w:after="40"/>
              <w:jc w:val="center"/>
              <w:rPr>
                <w:rFonts w:cs="Calibri"/>
                <w:szCs w:val="18"/>
              </w:rPr>
            </w:pPr>
            <w:r w:rsidRPr="0018630D">
              <w:rPr>
                <w:rFonts w:eastAsia="Calibri" w:cs="Calibri"/>
                <w:szCs w:val="18"/>
              </w:rPr>
              <w:t>99</w:t>
            </w:r>
          </w:p>
        </w:tc>
        <w:tc>
          <w:tcPr>
            <w:tcW w:w="1318" w:type="dxa"/>
            <w:shd w:val="clear" w:color="auto" w:fill="FFFFFF"/>
            <w:vAlign w:val="center"/>
          </w:tcPr>
          <w:p w14:paraId="06857F1D" w14:textId="77777777" w:rsidR="006929CB" w:rsidRPr="0018630D" w:rsidRDefault="006929CB">
            <w:pPr>
              <w:pStyle w:val="TableText"/>
              <w:spacing w:before="40" w:after="40"/>
              <w:jc w:val="right"/>
              <w:rPr>
                <w:rFonts w:cs="Calibri"/>
                <w:szCs w:val="18"/>
              </w:rPr>
            </w:pPr>
            <w:r w:rsidRPr="0018630D">
              <w:rPr>
                <w:rFonts w:eastAsia="Calibri" w:cs="Calibri"/>
                <w:szCs w:val="18"/>
              </w:rPr>
              <w:t>7,991</w:t>
            </w:r>
          </w:p>
        </w:tc>
        <w:tc>
          <w:tcPr>
            <w:tcW w:w="1318" w:type="dxa"/>
            <w:shd w:val="clear" w:color="auto" w:fill="FFFFFF"/>
            <w:vAlign w:val="center"/>
          </w:tcPr>
          <w:p w14:paraId="4A6A4018" w14:textId="77777777" w:rsidR="006929CB" w:rsidRPr="0018630D" w:rsidRDefault="006929CB">
            <w:pPr>
              <w:pStyle w:val="TableText"/>
              <w:spacing w:before="40" w:after="40"/>
              <w:jc w:val="right"/>
              <w:rPr>
                <w:rFonts w:cs="Calibri"/>
                <w:szCs w:val="18"/>
              </w:rPr>
            </w:pPr>
            <w:r w:rsidRPr="0018630D">
              <w:rPr>
                <w:rFonts w:eastAsia="Calibri" w:cs="Calibri"/>
                <w:szCs w:val="18"/>
              </w:rPr>
              <w:t>213,944</w:t>
            </w:r>
          </w:p>
        </w:tc>
      </w:tr>
      <w:tr w:rsidR="006929CB" w:rsidRPr="0018630D" w14:paraId="10DEEF84" w14:textId="77777777" w:rsidTr="0018630D">
        <w:trPr>
          <w:trHeight w:val="283"/>
        </w:trPr>
        <w:tc>
          <w:tcPr>
            <w:tcW w:w="704" w:type="dxa"/>
            <w:shd w:val="clear" w:color="auto" w:fill="FFFFFF"/>
            <w:vAlign w:val="center"/>
          </w:tcPr>
          <w:p w14:paraId="00DBFC4E" w14:textId="77777777" w:rsidR="006929CB" w:rsidRPr="0018630D" w:rsidRDefault="006929CB">
            <w:pPr>
              <w:pStyle w:val="TableText"/>
              <w:spacing w:before="40" w:after="40"/>
              <w:rPr>
                <w:rFonts w:cs="Calibri"/>
                <w:szCs w:val="18"/>
              </w:rPr>
            </w:pPr>
            <w:r w:rsidRPr="0018630D">
              <w:rPr>
                <w:rFonts w:eastAsia="Calibri" w:cs="Calibri"/>
                <w:szCs w:val="18"/>
              </w:rPr>
              <w:t>2018</w:t>
            </w:r>
          </w:p>
        </w:tc>
        <w:tc>
          <w:tcPr>
            <w:tcW w:w="1211" w:type="dxa"/>
            <w:shd w:val="clear" w:color="auto" w:fill="FFFFFF"/>
            <w:vAlign w:val="center"/>
          </w:tcPr>
          <w:p w14:paraId="126AECE5" w14:textId="77777777" w:rsidR="006929CB" w:rsidRPr="0018630D" w:rsidRDefault="006929CB">
            <w:pPr>
              <w:pStyle w:val="TableText"/>
              <w:spacing w:before="40" w:after="40"/>
              <w:jc w:val="right"/>
              <w:rPr>
                <w:rFonts w:cs="Calibri"/>
                <w:szCs w:val="18"/>
              </w:rPr>
            </w:pPr>
            <w:r w:rsidRPr="0018630D">
              <w:rPr>
                <w:rFonts w:eastAsia="Calibri" w:cs="Calibri"/>
                <w:szCs w:val="18"/>
              </w:rPr>
              <w:t>564</w:t>
            </w:r>
          </w:p>
        </w:tc>
        <w:tc>
          <w:tcPr>
            <w:tcW w:w="1318" w:type="dxa"/>
            <w:shd w:val="clear" w:color="auto" w:fill="FFFFFF"/>
            <w:vAlign w:val="center"/>
          </w:tcPr>
          <w:p w14:paraId="2B0EB548" w14:textId="77777777" w:rsidR="006929CB" w:rsidRPr="0018630D" w:rsidRDefault="006929CB">
            <w:pPr>
              <w:pStyle w:val="TableText"/>
              <w:spacing w:before="40" w:after="40"/>
              <w:jc w:val="center"/>
              <w:rPr>
                <w:rFonts w:cs="Calibri"/>
                <w:szCs w:val="18"/>
              </w:rPr>
            </w:pPr>
            <w:r w:rsidRPr="0018630D">
              <w:rPr>
                <w:rFonts w:eastAsia="Calibri" w:cs="Calibri"/>
                <w:szCs w:val="18"/>
              </w:rPr>
              <w:t>1,641</w:t>
            </w:r>
          </w:p>
        </w:tc>
        <w:tc>
          <w:tcPr>
            <w:tcW w:w="1318" w:type="dxa"/>
            <w:shd w:val="clear" w:color="auto" w:fill="FFFFFF"/>
            <w:vAlign w:val="center"/>
          </w:tcPr>
          <w:p w14:paraId="6E4D50F3" w14:textId="77777777" w:rsidR="006929CB" w:rsidRPr="0018630D" w:rsidRDefault="006929CB">
            <w:pPr>
              <w:pStyle w:val="TableText"/>
              <w:spacing w:before="40" w:after="40"/>
              <w:jc w:val="center"/>
              <w:rPr>
                <w:rFonts w:cs="Calibri"/>
                <w:szCs w:val="18"/>
              </w:rPr>
            </w:pPr>
            <w:r w:rsidRPr="0018630D">
              <w:rPr>
                <w:rFonts w:eastAsia="Calibri" w:cs="Calibri"/>
                <w:szCs w:val="18"/>
              </w:rPr>
              <w:t>4,729</w:t>
            </w:r>
          </w:p>
        </w:tc>
        <w:tc>
          <w:tcPr>
            <w:tcW w:w="1318" w:type="dxa"/>
            <w:shd w:val="clear" w:color="auto" w:fill="FFFFFF"/>
            <w:vAlign w:val="center"/>
          </w:tcPr>
          <w:p w14:paraId="27276EE8" w14:textId="77777777" w:rsidR="006929CB" w:rsidRPr="0018630D" w:rsidRDefault="006929CB">
            <w:pPr>
              <w:pStyle w:val="TableText"/>
              <w:spacing w:before="40" w:after="40"/>
              <w:jc w:val="center"/>
              <w:rPr>
                <w:rFonts w:cs="Calibri"/>
                <w:szCs w:val="18"/>
              </w:rPr>
            </w:pPr>
            <w:r w:rsidRPr="0018630D">
              <w:rPr>
                <w:rFonts w:eastAsia="Calibri" w:cs="Calibri"/>
                <w:szCs w:val="18"/>
              </w:rPr>
              <w:t>132</w:t>
            </w:r>
          </w:p>
        </w:tc>
        <w:tc>
          <w:tcPr>
            <w:tcW w:w="1318" w:type="dxa"/>
            <w:shd w:val="clear" w:color="auto" w:fill="FFFFFF"/>
            <w:vAlign w:val="center"/>
          </w:tcPr>
          <w:p w14:paraId="2ED67673" w14:textId="77777777" w:rsidR="006929CB" w:rsidRPr="0018630D" w:rsidRDefault="006929CB">
            <w:pPr>
              <w:pStyle w:val="TableText"/>
              <w:spacing w:before="40" w:after="40"/>
              <w:jc w:val="right"/>
              <w:rPr>
                <w:rFonts w:cs="Calibri"/>
                <w:szCs w:val="18"/>
              </w:rPr>
            </w:pPr>
            <w:r w:rsidRPr="0018630D">
              <w:rPr>
                <w:rFonts w:eastAsia="Calibri" w:cs="Calibri"/>
                <w:szCs w:val="18"/>
              </w:rPr>
              <w:t>7,066</w:t>
            </w:r>
          </w:p>
        </w:tc>
        <w:tc>
          <w:tcPr>
            <w:tcW w:w="1318" w:type="dxa"/>
            <w:shd w:val="clear" w:color="auto" w:fill="FFFFFF"/>
            <w:vAlign w:val="center"/>
          </w:tcPr>
          <w:p w14:paraId="748AEE25" w14:textId="77777777" w:rsidR="006929CB" w:rsidRPr="0018630D" w:rsidRDefault="006929CB">
            <w:pPr>
              <w:pStyle w:val="TableText"/>
              <w:spacing w:before="40" w:after="40"/>
              <w:jc w:val="right"/>
              <w:rPr>
                <w:rFonts w:cs="Calibri"/>
                <w:szCs w:val="18"/>
              </w:rPr>
            </w:pPr>
            <w:r w:rsidRPr="0018630D">
              <w:rPr>
                <w:rFonts w:eastAsia="Calibri" w:cs="Calibri"/>
                <w:szCs w:val="18"/>
              </w:rPr>
              <w:t>221,010</w:t>
            </w:r>
          </w:p>
        </w:tc>
      </w:tr>
      <w:tr w:rsidR="006929CB" w:rsidRPr="0018630D" w14:paraId="0AEA4E6A" w14:textId="77777777" w:rsidTr="0018630D">
        <w:trPr>
          <w:trHeight w:val="283"/>
        </w:trPr>
        <w:tc>
          <w:tcPr>
            <w:tcW w:w="704" w:type="dxa"/>
            <w:shd w:val="clear" w:color="auto" w:fill="FFFFFF"/>
            <w:vAlign w:val="center"/>
          </w:tcPr>
          <w:p w14:paraId="539747FC" w14:textId="77777777" w:rsidR="006929CB" w:rsidRPr="0018630D" w:rsidRDefault="006929CB">
            <w:pPr>
              <w:pStyle w:val="TableText"/>
              <w:spacing w:before="40" w:after="40"/>
              <w:rPr>
                <w:rFonts w:cs="Calibri"/>
                <w:szCs w:val="18"/>
              </w:rPr>
            </w:pPr>
            <w:r w:rsidRPr="0018630D">
              <w:rPr>
                <w:rFonts w:eastAsia="Calibri" w:cs="Calibri"/>
                <w:szCs w:val="18"/>
              </w:rPr>
              <w:t>2019</w:t>
            </w:r>
          </w:p>
        </w:tc>
        <w:tc>
          <w:tcPr>
            <w:tcW w:w="1211" w:type="dxa"/>
            <w:shd w:val="clear" w:color="auto" w:fill="FFFFFF"/>
            <w:vAlign w:val="center"/>
          </w:tcPr>
          <w:p w14:paraId="6DB16EC1" w14:textId="77777777" w:rsidR="006929CB" w:rsidRPr="0018630D" w:rsidRDefault="006929CB">
            <w:pPr>
              <w:pStyle w:val="TableText"/>
              <w:spacing w:before="40" w:after="40"/>
              <w:jc w:val="right"/>
              <w:rPr>
                <w:rFonts w:cs="Calibri"/>
                <w:szCs w:val="18"/>
              </w:rPr>
            </w:pPr>
            <w:r w:rsidRPr="0018630D">
              <w:rPr>
                <w:rFonts w:eastAsia="Calibri" w:cs="Calibri"/>
                <w:szCs w:val="18"/>
              </w:rPr>
              <w:t>609</w:t>
            </w:r>
          </w:p>
        </w:tc>
        <w:tc>
          <w:tcPr>
            <w:tcW w:w="1318" w:type="dxa"/>
            <w:shd w:val="clear" w:color="auto" w:fill="FFFFFF"/>
            <w:vAlign w:val="center"/>
          </w:tcPr>
          <w:p w14:paraId="4AF2C4A5" w14:textId="77777777" w:rsidR="006929CB" w:rsidRPr="0018630D" w:rsidRDefault="006929CB">
            <w:pPr>
              <w:pStyle w:val="TableText"/>
              <w:spacing w:before="40" w:after="40"/>
              <w:jc w:val="center"/>
              <w:rPr>
                <w:rFonts w:cs="Calibri"/>
                <w:szCs w:val="18"/>
              </w:rPr>
            </w:pPr>
            <w:r w:rsidRPr="0018630D">
              <w:rPr>
                <w:rFonts w:eastAsia="Calibri" w:cs="Calibri"/>
                <w:szCs w:val="18"/>
              </w:rPr>
              <w:t>1,611</w:t>
            </w:r>
          </w:p>
        </w:tc>
        <w:tc>
          <w:tcPr>
            <w:tcW w:w="1318" w:type="dxa"/>
            <w:shd w:val="clear" w:color="auto" w:fill="FFFFFF"/>
            <w:vAlign w:val="center"/>
          </w:tcPr>
          <w:p w14:paraId="5E6EC262" w14:textId="77777777" w:rsidR="006929CB" w:rsidRPr="0018630D" w:rsidRDefault="006929CB">
            <w:pPr>
              <w:pStyle w:val="TableText"/>
              <w:spacing w:before="40" w:after="40"/>
              <w:jc w:val="center"/>
              <w:rPr>
                <w:rFonts w:cs="Calibri"/>
                <w:szCs w:val="18"/>
              </w:rPr>
            </w:pPr>
            <w:r w:rsidRPr="0018630D">
              <w:rPr>
                <w:rFonts w:eastAsia="Calibri" w:cs="Calibri"/>
                <w:szCs w:val="18"/>
              </w:rPr>
              <w:t>2,629</w:t>
            </w:r>
          </w:p>
        </w:tc>
        <w:tc>
          <w:tcPr>
            <w:tcW w:w="1318" w:type="dxa"/>
            <w:shd w:val="clear" w:color="auto" w:fill="FFFFFF"/>
            <w:vAlign w:val="center"/>
          </w:tcPr>
          <w:p w14:paraId="5A241EA3" w14:textId="77777777" w:rsidR="006929CB" w:rsidRPr="0018630D" w:rsidRDefault="006929CB">
            <w:pPr>
              <w:pStyle w:val="TableText"/>
              <w:spacing w:before="40" w:after="40"/>
              <w:jc w:val="center"/>
              <w:rPr>
                <w:rFonts w:cs="Calibri"/>
                <w:szCs w:val="18"/>
              </w:rPr>
            </w:pPr>
            <w:r w:rsidRPr="0018630D">
              <w:rPr>
                <w:rFonts w:eastAsia="Calibri" w:cs="Calibri"/>
                <w:szCs w:val="18"/>
              </w:rPr>
              <w:t>107</w:t>
            </w:r>
          </w:p>
        </w:tc>
        <w:tc>
          <w:tcPr>
            <w:tcW w:w="1318" w:type="dxa"/>
            <w:shd w:val="clear" w:color="auto" w:fill="FFFFFF"/>
            <w:vAlign w:val="center"/>
          </w:tcPr>
          <w:p w14:paraId="36B848C7" w14:textId="77777777" w:rsidR="006929CB" w:rsidRPr="0018630D" w:rsidRDefault="006929CB">
            <w:pPr>
              <w:pStyle w:val="TableText"/>
              <w:spacing w:before="40" w:after="40"/>
              <w:jc w:val="right"/>
              <w:rPr>
                <w:rFonts w:cs="Calibri"/>
                <w:szCs w:val="18"/>
              </w:rPr>
            </w:pPr>
            <w:r w:rsidRPr="0018630D">
              <w:rPr>
                <w:rFonts w:eastAsia="Calibri" w:cs="Calibri"/>
                <w:szCs w:val="18"/>
              </w:rPr>
              <w:t>4,956</w:t>
            </w:r>
          </w:p>
        </w:tc>
        <w:tc>
          <w:tcPr>
            <w:tcW w:w="1318" w:type="dxa"/>
            <w:shd w:val="clear" w:color="auto" w:fill="FFFFFF"/>
            <w:vAlign w:val="center"/>
          </w:tcPr>
          <w:p w14:paraId="56CCD3E8" w14:textId="77777777" w:rsidR="006929CB" w:rsidRPr="0018630D" w:rsidRDefault="006929CB">
            <w:pPr>
              <w:pStyle w:val="TableText"/>
              <w:spacing w:before="40" w:after="40"/>
              <w:jc w:val="right"/>
              <w:rPr>
                <w:rFonts w:cs="Calibri"/>
                <w:szCs w:val="18"/>
              </w:rPr>
            </w:pPr>
            <w:r w:rsidRPr="0018630D">
              <w:rPr>
                <w:rFonts w:eastAsia="Calibri" w:cs="Calibri"/>
                <w:szCs w:val="18"/>
              </w:rPr>
              <w:t>225,966</w:t>
            </w:r>
          </w:p>
        </w:tc>
      </w:tr>
      <w:tr w:rsidR="006929CB" w:rsidRPr="0018630D" w14:paraId="0B7B93BA" w14:textId="77777777" w:rsidTr="0018630D">
        <w:trPr>
          <w:trHeight w:val="283"/>
        </w:trPr>
        <w:tc>
          <w:tcPr>
            <w:tcW w:w="704" w:type="dxa"/>
            <w:shd w:val="clear" w:color="auto" w:fill="FFFFFF"/>
            <w:vAlign w:val="center"/>
          </w:tcPr>
          <w:p w14:paraId="59CEF7E5" w14:textId="77777777" w:rsidR="006929CB" w:rsidRPr="0018630D" w:rsidRDefault="006929CB">
            <w:pPr>
              <w:pStyle w:val="TableText"/>
              <w:spacing w:before="40" w:after="40"/>
              <w:rPr>
                <w:rFonts w:cs="Calibri"/>
                <w:szCs w:val="18"/>
              </w:rPr>
            </w:pPr>
            <w:r w:rsidRPr="0018630D">
              <w:rPr>
                <w:rFonts w:eastAsia="Calibri" w:cs="Calibri"/>
                <w:szCs w:val="18"/>
              </w:rPr>
              <w:t>2020</w:t>
            </w:r>
          </w:p>
        </w:tc>
        <w:tc>
          <w:tcPr>
            <w:tcW w:w="1211" w:type="dxa"/>
            <w:shd w:val="clear" w:color="auto" w:fill="FFFFFF"/>
            <w:vAlign w:val="center"/>
          </w:tcPr>
          <w:p w14:paraId="7408FFA7" w14:textId="77777777" w:rsidR="006929CB" w:rsidRPr="0018630D" w:rsidRDefault="006929CB">
            <w:pPr>
              <w:pStyle w:val="TableText"/>
              <w:spacing w:before="40" w:after="40"/>
              <w:jc w:val="right"/>
              <w:rPr>
                <w:rFonts w:cs="Calibri"/>
                <w:szCs w:val="18"/>
              </w:rPr>
            </w:pPr>
            <w:r w:rsidRPr="0018630D">
              <w:rPr>
                <w:rFonts w:eastAsia="Calibri" w:cs="Calibri"/>
                <w:szCs w:val="18"/>
              </w:rPr>
              <w:t>553</w:t>
            </w:r>
          </w:p>
        </w:tc>
        <w:tc>
          <w:tcPr>
            <w:tcW w:w="1318" w:type="dxa"/>
            <w:shd w:val="clear" w:color="auto" w:fill="FFFFFF"/>
            <w:vAlign w:val="center"/>
          </w:tcPr>
          <w:p w14:paraId="1844A65A" w14:textId="77777777" w:rsidR="006929CB" w:rsidRPr="0018630D" w:rsidRDefault="006929CB">
            <w:pPr>
              <w:pStyle w:val="TableText"/>
              <w:spacing w:before="40" w:after="40"/>
              <w:jc w:val="center"/>
              <w:rPr>
                <w:rFonts w:cs="Calibri"/>
                <w:szCs w:val="18"/>
              </w:rPr>
            </w:pPr>
            <w:r w:rsidRPr="0018630D">
              <w:rPr>
                <w:rFonts w:eastAsia="Calibri" w:cs="Calibri"/>
                <w:szCs w:val="18"/>
              </w:rPr>
              <w:t>1,725</w:t>
            </w:r>
          </w:p>
        </w:tc>
        <w:tc>
          <w:tcPr>
            <w:tcW w:w="1318" w:type="dxa"/>
            <w:shd w:val="clear" w:color="auto" w:fill="FFFFFF"/>
            <w:vAlign w:val="center"/>
          </w:tcPr>
          <w:p w14:paraId="1CAE87C4" w14:textId="77777777" w:rsidR="006929CB" w:rsidRPr="0018630D" w:rsidRDefault="006929CB">
            <w:pPr>
              <w:pStyle w:val="TableText"/>
              <w:spacing w:before="40" w:after="40"/>
              <w:jc w:val="center"/>
              <w:rPr>
                <w:rFonts w:cs="Calibri"/>
                <w:szCs w:val="18"/>
              </w:rPr>
            </w:pPr>
            <w:r w:rsidRPr="0018630D">
              <w:rPr>
                <w:rFonts w:eastAsia="Calibri" w:cs="Calibri"/>
                <w:szCs w:val="18"/>
              </w:rPr>
              <w:t>4,596</w:t>
            </w:r>
          </w:p>
        </w:tc>
        <w:tc>
          <w:tcPr>
            <w:tcW w:w="1318" w:type="dxa"/>
            <w:shd w:val="clear" w:color="auto" w:fill="FFFFFF"/>
            <w:vAlign w:val="center"/>
          </w:tcPr>
          <w:p w14:paraId="6E9B1F1A" w14:textId="77777777" w:rsidR="006929CB" w:rsidRPr="0018630D" w:rsidRDefault="006929CB">
            <w:pPr>
              <w:pStyle w:val="TableText"/>
              <w:spacing w:before="40" w:after="40"/>
              <w:jc w:val="center"/>
              <w:rPr>
                <w:rFonts w:cs="Calibri"/>
                <w:szCs w:val="18"/>
              </w:rPr>
            </w:pPr>
            <w:r w:rsidRPr="0018630D">
              <w:rPr>
                <w:rFonts w:eastAsia="Calibri" w:cs="Calibri"/>
                <w:szCs w:val="18"/>
              </w:rPr>
              <w:t>114</w:t>
            </w:r>
          </w:p>
        </w:tc>
        <w:tc>
          <w:tcPr>
            <w:tcW w:w="1318" w:type="dxa"/>
            <w:shd w:val="clear" w:color="auto" w:fill="FFFFFF"/>
            <w:vAlign w:val="center"/>
          </w:tcPr>
          <w:p w14:paraId="50050B6D" w14:textId="77777777" w:rsidR="006929CB" w:rsidRPr="0018630D" w:rsidRDefault="006929CB">
            <w:pPr>
              <w:pStyle w:val="TableText"/>
              <w:spacing w:before="40" w:after="40"/>
              <w:jc w:val="right"/>
              <w:rPr>
                <w:rFonts w:cs="Calibri"/>
                <w:szCs w:val="18"/>
              </w:rPr>
            </w:pPr>
            <w:r w:rsidRPr="0018630D">
              <w:rPr>
                <w:rFonts w:eastAsia="Calibri" w:cs="Calibri"/>
                <w:szCs w:val="18"/>
              </w:rPr>
              <w:t>6,988</w:t>
            </w:r>
          </w:p>
        </w:tc>
        <w:tc>
          <w:tcPr>
            <w:tcW w:w="1318" w:type="dxa"/>
            <w:shd w:val="clear" w:color="auto" w:fill="FFFFFF"/>
            <w:vAlign w:val="center"/>
          </w:tcPr>
          <w:p w14:paraId="6C942C7C" w14:textId="77777777" w:rsidR="006929CB" w:rsidRPr="0018630D" w:rsidRDefault="006929CB">
            <w:pPr>
              <w:pStyle w:val="TableText"/>
              <w:spacing w:before="40" w:after="40"/>
              <w:jc w:val="right"/>
              <w:rPr>
                <w:rFonts w:cs="Calibri"/>
                <w:szCs w:val="18"/>
              </w:rPr>
            </w:pPr>
            <w:r w:rsidRPr="0018630D">
              <w:rPr>
                <w:rFonts w:eastAsia="Calibri" w:cs="Calibri"/>
                <w:szCs w:val="18"/>
              </w:rPr>
              <w:t>232,953</w:t>
            </w:r>
          </w:p>
        </w:tc>
      </w:tr>
      <w:tr w:rsidR="006929CB" w:rsidRPr="0018630D" w14:paraId="4C88BD01" w14:textId="77777777" w:rsidTr="0018630D">
        <w:trPr>
          <w:trHeight w:val="283"/>
        </w:trPr>
        <w:tc>
          <w:tcPr>
            <w:tcW w:w="704" w:type="dxa"/>
            <w:shd w:val="clear" w:color="auto" w:fill="FFFFFF"/>
            <w:vAlign w:val="center"/>
          </w:tcPr>
          <w:p w14:paraId="1EDEF1A8" w14:textId="77777777" w:rsidR="006929CB" w:rsidRPr="0018630D" w:rsidRDefault="006929CB">
            <w:pPr>
              <w:pStyle w:val="TableText"/>
              <w:spacing w:before="40" w:after="40"/>
              <w:rPr>
                <w:rFonts w:cs="Calibri"/>
                <w:szCs w:val="18"/>
              </w:rPr>
            </w:pPr>
            <w:r w:rsidRPr="0018630D">
              <w:rPr>
                <w:rFonts w:eastAsia="Calibri" w:cs="Calibri"/>
                <w:szCs w:val="18"/>
              </w:rPr>
              <w:t>2021</w:t>
            </w:r>
            <w:r w:rsidRPr="0018630D">
              <w:rPr>
                <w:rFonts w:eastAsia="Calibri" w:cs="Calibri"/>
                <w:szCs w:val="18"/>
                <w:vertAlign w:val="superscript"/>
              </w:rPr>
              <w:t>P</w:t>
            </w:r>
          </w:p>
        </w:tc>
        <w:tc>
          <w:tcPr>
            <w:tcW w:w="1211" w:type="dxa"/>
            <w:shd w:val="clear" w:color="auto" w:fill="FFFFFF"/>
            <w:vAlign w:val="center"/>
          </w:tcPr>
          <w:p w14:paraId="69E97E83" w14:textId="77777777" w:rsidR="006929CB" w:rsidRPr="0018630D" w:rsidRDefault="006929CB">
            <w:pPr>
              <w:pStyle w:val="TableText"/>
              <w:spacing w:before="40" w:after="40"/>
              <w:jc w:val="right"/>
              <w:rPr>
                <w:rFonts w:cs="Calibri"/>
                <w:szCs w:val="18"/>
              </w:rPr>
            </w:pPr>
            <w:r w:rsidRPr="0018630D">
              <w:rPr>
                <w:rFonts w:eastAsia="Calibri" w:cs="Calibri"/>
                <w:szCs w:val="18"/>
              </w:rPr>
              <w:t>575</w:t>
            </w:r>
          </w:p>
        </w:tc>
        <w:tc>
          <w:tcPr>
            <w:tcW w:w="1318" w:type="dxa"/>
            <w:shd w:val="clear" w:color="auto" w:fill="FFFFFF"/>
            <w:vAlign w:val="center"/>
          </w:tcPr>
          <w:p w14:paraId="3DA7688B" w14:textId="77777777" w:rsidR="006929CB" w:rsidRPr="0018630D" w:rsidRDefault="006929CB">
            <w:pPr>
              <w:pStyle w:val="TableText"/>
              <w:spacing w:before="40" w:after="40"/>
              <w:jc w:val="center"/>
              <w:rPr>
                <w:rFonts w:cs="Calibri"/>
                <w:szCs w:val="18"/>
              </w:rPr>
            </w:pPr>
            <w:r w:rsidRPr="0018630D">
              <w:rPr>
                <w:rFonts w:eastAsia="Calibri" w:cs="Calibri"/>
                <w:szCs w:val="18"/>
              </w:rPr>
              <w:t>1,600</w:t>
            </w:r>
          </w:p>
        </w:tc>
        <w:tc>
          <w:tcPr>
            <w:tcW w:w="1318" w:type="dxa"/>
            <w:shd w:val="clear" w:color="auto" w:fill="FFFFFF"/>
            <w:vAlign w:val="center"/>
          </w:tcPr>
          <w:p w14:paraId="5A626720" w14:textId="77777777" w:rsidR="006929CB" w:rsidRPr="0018630D" w:rsidRDefault="006929CB">
            <w:pPr>
              <w:pStyle w:val="TableText"/>
              <w:spacing w:before="40" w:after="40"/>
              <w:jc w:val="center"/>
              <w:rPr>
                <w:rFonts w:cs="Calibri"/>
                <w:szCs w:val="18"/>
              </w:rPr>
            </w:pPr>
            <w:r w:rsidRPr="0018630D">
              <w:rPr>
                <w:rFonts w:eastAsia="Calibri" w:cs="Calibri"/>
                <w:szCs w:val="18"/>
              </w:rPr>
              <w:t>2,556</w:t>
            </w:r>
          </w:p>
        </w:tc>
        <w:tc>
          <w:tcPr>
            <w:tcW w:w="1318" w:type="dxa"/>
            <w:shd w:val="clear" w:color="auto" w:fill="FFFFFF"/>
            <w:vAlign w:val="center"/>
          </w:tcPr>
          <w:p w14:paraId="0C1B0D2C" w14:textId="77777777" w:rsidR="006929CB" w:rsidRPr="0018630D" w:rsidRDefault="006929CB">
            <w:pPr>
              <w:pStyle w:val="TableText"/>
              <w:spacing w:before="40" w:after="40"/>
              <w:jc w:val="center"/>
              <w:rPr>
                <w:rFonts w:cs="Calibri"/>
                <w:szCs w:val="18"/>
              </w:rPr>
            </w:pPr>
            <w:r w:rsidRPr="0018630D">
              <w:rPr>
                <w:rFonts w:eastAsia="Calibri" w:cs="Calibri"/>
                <w:szCs w:val="18"/>
              </w:rPr>
              <w:t>117</w:t>
            </w:r>
          </w:p>
        </w:tc>
        <w:tc>
          <w:tcPr>
            <w:tcW w:w="1318" w:type="dxa"/>
            <w:shd w:val="clear" w:color="auto" w:fill="FFFFFF"/>
            <w:vAlign w:val="center"/>
          </w:tcPr>
          <w:p w14:paraId="04D4FC99" w14:textId="77777777" w:rsidR="006929CB" w:rsidRPr="0018630D" w:rsidRDefault="006929CB">
            <w:pPr>
              <w:pStyle w:val="TableText"/>
              <w:spacing w:before="40" w:after="40"/>
              <w:jc w:val="right"/>
              <w:rPr>
                <w:rFonts w:cs="Calibri"/>
                <w:szCs w:val="18"/>
              </w:rPr>
            </w:pPr>
            <w:r w:rsidRPr="0018630D">
              <w:rPr>
                <w:rFonts w:eastAsia="Calibri" w:cs="Calibri"/>
                <w:szCs w:val="18"/>
              </w:rPr>
              <w:t>4,849</w:t>
            </w:r>
          </w:p>
        </w:tc>
        <w:tc>
          <w:tcPr>
            <w:tcW w:w="1318" w:type="dxa"/>
            <w:shd w:val="clear" w:color="auto" w:fill="FFFFFF"/>
            <w:vAlign w:val="center"/>
          </w:tcPr>
          <w:p w14:paraId="79EB221D" w14:textId="77777777" w:rsidR="006929CB" w:rsidRPr="0018630D" w:rsidRDefault="006929CB">
            <w:pPr>
              <w:pStyle w:val="TableText"/>
              <w:spacing w:before="40" w:after="40"/>
              <w:jc w:val="right"/>
              <w:rPr>
                <w:rFonts w:cs="Calibri"/>
                <w:szCs w:val="18"/>
              </w:rPr>
            </w:pPr>
            <w:r w:rsidRPr="0018630D">
              <w:rPr>
                <w:rFonts w:eastAsia="Calibri" w:cs="Calibri"/>
                <w:szCs w:val="18"/>
              </w:rPr>
              <w:t>237,802</w:t>
            </w:r>
          </w:p>
        </w:tc>
      </w:tr>
      <w:tr w:rsidR="006929CB" w:rsidRPr="0018630D" w14:paraId="773E9F96" w14:textId="77777777" w:rsidTr="0018630D">
        <w:trPr>
          <w:trHeight w:val="283"/>
        </w:trPr>
        <w:tc>
          <w:tcPr>
            <w:tcW w:w="704" w:type="dxa"/>
            <w:shd w:val="clear" w:color="auto" w:fill="FFFFFF"/>
            <w:vAlign w:val="center"/>
          </w:tcPr>
          <w:p w14:paraId="34C79C9E" w14:textId="77777777" w:rsidR="006929CB" w:rsidRPr="0018630D" w:rsidRDefault="006929CB">
            <w:pPr>
              <w:pStyle w:val="TableText"/>
              <w:spacing w:before="40" w:after="40"/>
              <w:rPr>
                <w:rFonts w:cs="Calibri"/>
                <w:szCs w:val="18"/>
              </w:rPr>
            </w:pPr>
            <w:r w:rsidRPr="0018630D">
              <w:rPr>
                <w:rFonts w:eastAsia="Calibri" w:cs="Calibri"/>
                <w:szCs w:val="18"/>
              </w:rPr>
              <w:t>2022</w:t>
            </w:r>
            <w:r w:rsidRPr="0018630D">
              <w:rPr>
                <w:rFonts w:eastAsia="Calibri" w:cs="Calibri"/>
                <w:szCs w:val="18"/>
                <w:vertAlign w:val="superscript"/>
              </w:rPr>
              <w:t>P</w:t>
            </w:r>
          </w:p>
        </w:tc>
        <w:tc>
          <w:tcPr>
            <w:tcW w:w="1211" w:type="dxa"/>
            <w:shd w:val="clear" w:color="auto" w:fill="FFFFFF"/>
            <w:vAlign w:val="center"/>
          </w:tcPr>
          <w:p w14:paraId="68D01749" w14:textId="77777777" w:rsidR="006929CB" w:rsidRPr="0018630D" w:rsidRDefault="006929CB">
            <w:pPr>
              <w:pStyle w:val="TableText"/>
              <w:spacing w:before="40" w:after="40"/>
              <w:jc w:val="right"/>
              <w:rPr>
                <w:rFonts w:cs="Calibri"/>
                <w:szCs w:val="18"/>
              </w:rPr>
            </w:pPr>
            <w:r w:rsidRPr="0018630D">
              <w:rPr>
                <w:rFonts w:eastAsia="Calibri" w:cs="Calibri"/>
                <w:szCs w:val="18"/>
              </w:rPr>
              <w:t>575</w:t>
            </w:r>
          </w:p>
        </w:tc>
        <w:tc>
          <w:tcPr>
            <w:tcW w:w="1318" w:type="dxa"/>
            <w:shd w:val="clear" w:color="auto" w:fill="FFFFFF"/>
            <w:vAlign w:val="center"/>
          </w:tcPr>
          <w:p w14:paraId="121A4D13" w14:textId="77777777" w:rsidR="006929CB" w:rsidRPr="0018630D" w:rsidRDefault="006929CB">
            <w:pPr>
              <w:pStyle w:val="TableText"/>
              <w:spacing w:before="40" w:after="40"/>
              <w:jc w:val="center"/>
              <w:rPr>
                <w:rFonts w:cs="Calibri"/>
                <w:szCs w:val="18"/>
              </w:rPr>
            </w:pPr>
            <w:r w:rsidRPr="0018630D">
              <w:rPr>
                <w:rFonts w:eastAsia="Calibri" w:cs="Calibri"/>
                <w:szCs w:val="18"/>
              </w:rPr>
              <w:t>256</w:t>
            </w:r>
          </w:p>
        </w:tc>
        <w:tc>
          <w:tcPr>
            <w:tcW w:w="1318" w:type="dxa"/>
            <w:shd w:val="clear" w:color="auto" w:fill="FFFFFF"/>
            <w:vAlign w:val="center"/>
          </w:tcPr>
          <w:p w14:paraId="160B878E" w14:textId="77777777" w:rsidR="006929CB" w:rsidRPr="0018630D" w:rsidRDefault="006929CB">
            <w:pPr>
              <w:pStyle w:val="TableText"/>
              <w:spacing w:before="40" w:after="40"/>
              <w:jc w:val="center"/>
              <w:rPr>
                <w:rFonts w:cs="Calibri"/>
                <w:szCs w:val="18"/>
              </w:rPr>
            </w:pPr>
            <w:r w:rsidRPr="0018630D">
              <w:rPr>
                <w:rFonts w:eastAsia="Calibri" w:cs="Calibri"/>
                <w:szCs w:val="18"/>
              </w:rPr>
              <w:t>3,141</w:t>
            </w:r>
          </w:p>
        </w:tc>
        <w:tc>
          <w:tcPr>
            <w:tcW w:w="1318" w:type="dxa"/>
            <w:shd w:val="clear" w:color="auto" w:fill="FFFFFF"/>
            <w:vAlign w:val="center"/>
          </w:tcPr>
          <w:p w14:paraId="535C0829" w14:textId="77777777" w:rsidR="006929CB" w:rsidRPr="0018630D" w:rsidRDefault="006929CB">
            <w:pPr>
              <w:pStyle w:val="TableText"/>
              <w:spacing w:before="40" w:after="40"/>
              <w:jc w:val="center"/>
              <w:rPr>
                <w:rFonts w:cs="Calibri"/>
                <w:szCs w:val="18"/>
              </w:rPr>
            </w:pPr>
            <w:r w:rsidRPr="0018630D">
              <w:rPr>
                <w:rFonts w:eastAsia="Calibri" w:cs="Calibri"/>
                <w:szCs w:val="18"/>
              </w:rPr>
              <w:t>117</w:t>
            </w:r>
          </w:p>
        </w:tc>
        <w:tc>
          <w:tcPr>
            <w:tcW w:w="1318" w:type="dxa"/>
            <w:shd w:val="clear" w:color="auto" w:fill="FFFFFF"/>
            <w:vAlign w:val="center"/>
          </w:tcPr>
          <w:p w14:paraId="0CB1E1DE" w14:textId="77777777" w:rsidR="006929CB" w:rsidRPr="0018630D" w:rsidRDefault="006929CB">
            <w:pPr>
              <w:pStyle w:val="TableText"/>
              <w:spacing w:before="40" w:after="40"/>
              <w:jc w:val="right"/>
              <w:rPr>
                <w:rFonts w:cs="Calibri"/>
                <w:szCs w:val="18"/>
              </w:rPr>
            </w:pPr>
            <w:r w:rsidRPr="0018630D">
              <w:rPr>
                <w:rFonts w:eastAsia="Calibri" w:cs="Calibri"/>
                <w:szCs w:val="18"/>
              </w:rPr>
              <w:t>4,089</w:t>
            </w:r>
          </w:p>
        </w:tc>
        <w:tc>
          <w:tcPr>
            <w:tcW w:w="1318" w:type="dxa"/>
            <w:shd w:val="clear" w:color="auto" w:fill="FFFFFF"/>
            <w:vAlign w:val="center"/>
          </w:tcPr>
          <w:p w14:paraId="1F32B461" w14:textId="77777777" w:rsidR="006929CB" w:rsidRPr="0018630D" w:rsidRDefault="006929CB">
            <w:pPr>
              <w:pStyle w:val="TableText"/>
              <w:spacing w:before="40" w:after="40"/>
              <w:jc w:val="right"/>
              <w:rPr>
                <w:rFonts w:cs="Calibri"/>
                <w:szCs w:val="18"/>
              </w:rPr>
            </w:pPr>
            <w:r w:rsidRPr="0018630D">
              <w:rPr>
                <w:rFonts w:eastAsia="Calibri" w:cs="Calibri"/>
                <w:szCs w:val="18"/>
              </w:rPr>
              <w:t>241,892</w:t>
            </w:r>
          </w:p>
        </w:tc>
      </w:tr>
    </w:tbl>
    <w:p w14:paraId="387D4018" w14:textId="77777777" w:rsidR="006929CB" w:rsidRPr="00DD1C54" w:rsidRDefault="006929CB" w:rsidP="006929CB">
      <w:pPr>
        <w:pStyle w:val="Noteundertable"/>
      </w:pPr>
      <w:r w:rsidRPr="00DD1C54">
        <w:rPr>
          <w:b/>
        </w:rPr>
        <w:t>Note:</w:t>
      </w:r>
      <w:r w:rsidRPr="00DD1C54">
        <w:tab/>
        <w:t>P</w:t>
      </w:r>
      <w:r w:rsidRPr="00DD1C54">
        <w:rPr>
          <w:vertAlign w:val="subscript"/>
        </w:rPr>
        <w:t xml:space="preserve"> </w:t>
      </w:r>
      <w:r w:rsidRPr="00DD1C54">
        <w:t xml:space="preserve">= provisional figures that will be updated once mapping is completed; Areas are as at 31 December 2022. Deforestation differs from that reported in Inventory 2024, due to the application of the carbon equivalent forests accounting provision and this table only recording the first deforestation event on any given area of land since 1990. </w:t>
      </w:r>
    </w:p>
    <w:p w14:paraId="3810A346" w14:textId="3EDA817C" w:rsidR="006929CB" w:rsidRPr="00DD1C54" w:rsidRDefault="006929CB" w:rsidP="006929CB">
      <w:pPr>
        <w:pStyle w:val="BodyText"/>
      </w:pPr>
      <w:hyperlink w:anchor="figureA21" w:history="1">
        <w:r w:rsidRPr="00632276">
          <w:rPr>
            <w:rStyle w:val="Hyperlink"/>
          </w:rPr>
          <w:t>Figure A2.1</w:t>
        </w:r>
      </w:hyperlink>
      <w:r w:rsidRPr="00DD1C54">
        <w:t xml:space="preserve"> shows the annual areas d</w:t>
      </w:r>
      <w:r w:rsidRPr="00DD1C54">
        <w:rPr>
          <w:spacing w:val="-2"/>
        </w:rPr>
        <w:t xml:space="preserve">eforested </w:t>
      </w:r>
      <w:r w:rsidRPr="00DD1C54">
        <w:t xml:space="preserve">since 1990 by forest category. This shows the increase in pre-1990 planted forest </w:t>
      </w:r>
      <w:r w:rsidRPr="00DD1C54">
        <w:rPr>
          <w:spacing w:val="-2"/>
        </w:rPr>
        <w:t>deforestation</w:t>
      </w:r>
      <w:r w:rsidRPr="00DD1C54">
        <w:t xml:space="preserve"> that occurred in the four years leading up to 2008.</w:t>
      </w:r>
    </w:p>
    <w:p w14:paraId="71548400" w14:textId="77777777" w:rsidR="006929CB" w:rsidRPr="00DD1C54" w:rsidRDefault="006929CB" w:rsidP="006929CB">
      <w:pPr>
        <w:pStyle w:val="BodyText"/>
      </w:pPr>
      <w:r w:rsidRPr="00DD1C54">
        <w:t xml:space="preserve">While the conversion of land from one land use to another is not uncommon in New Zealand, plantation forest </w:t>
      </w:r>
      <w:r w:rsidRPr="00DD1C54">
        <w:rPr>
          <w:spacing w:val="-2"/>
        </w:rPr>
        <w:t>deforestation</w:t>
      </w:r>
      <w:r w:rsidRPr="00DD1C54">
        <w:t xml:space="preserve"> on the scale seen between 2004 and 2008 was a new phenomenon. Most of the area of planted forest that was deforested from the mid-2000s onwards has subsequently been converted to grassland. This conversion is due in part to the relative profitability of some forms of pastoral farming (particularly dairy farming), compared with forestry, as well as the anticipated introduction of the NZ ETS.</w:t>
      </w:r>
    </w:p>
    <w:p w14:paraId="5258F075" w14:textId="77777777" w:rsidR="006929CB" w:rsidRPr="00DD1C54" w:rsidRDefault="006929CB" w:rsidP="00201256">
      <w:pPr>
        <w:pStyle w:val="Figureheading"/>
      </w:pPr>
      <w:bookmarkStart w:id="1136" w:name="figureA21"/>
      <w:bookmarkStart w:id="1137" w:name="_Toc456179009"/>
      <w:bookmarkStart w:id="1138" w:name="_Toc481752045"/>
      <w:bookmarkStart w:id="1139" w:name="_Toc522010714"/>
      <w:bookmarkStart w:id="1140" w:name="_Toc5269734"/>
      <w:bookmarkStart w:id="1141" w:name="_Toc36292840"/>
      <w:bookmarkStart w:id="1142" w:name="_Toc64987008"/>
      <w:bookmarkStart w:id="1143" w:name="_Toc68786704"/>
      <w:bookmarkStart w:id="1144" w:name="_Toc95321435"/>
      <w:bookmarkStart w:id="1145" w:name="_Toc99696075"/>
      <w:bookmarkStart w:id="1146" w:name="_Toc182311784"/>
      <w:bookmarkStart w:id="1147" w:name="_Toc185347281"/>
      <w:r w:rsidRPr="00DD1C54">
        <w:t>Figure A2.1</w:t>
      </w:r>
      <w:bookmarkEnd w:id="1136"/>
      <w:r w:rsidRPr="00DD1C54">
        <w:t>:</w:t>
      </w:r>
      <w:r w:rsidRPr="00DD1C54">
        <w:tab/>
        <w:t>New Zealand’s annual areas of deforestation from 1990 to </w:t>
      </w:r>
      <w:bookmarkEnd w:id="1137"/>
      <w:bookmarkEnd w:id="1138"/>
      <w:bookmarkEnd w:id="1139"/>
      <w:bookmarkEnd w:id="1140"/>
      <w:bookmarkEnd w:id="1141"/>
      <w:bookmarkEnd w:id="1142"/>
      <w:bookmarkEnd w:id="1143"/>
      <w:bookmarkEnd w:id="1144"/>
      <w:bookmarkEnd w:id="1145"/>
      <w:r w:rsidRPr="00DD1C54">
        <w:t>2022</w:t>
      </w:r>
      <w:bookmarkEnd w:id="1146"/>
      <w:bookmarkEnd w:id="1147"/>
    </w:p>
    <w:p w14:paraId="390D871B" w14:textId="77777777" w:rsidR="006929CB" w:rsidRPr="00DD1C54" w:rsidRDefault="006929CB" w:rsidP="0035699C">
      <w:pPr>
        <w:pStyle w:val="BodyText"/>
        <w:jc w:val="center"/>
      </w:pPr>
      <w:r w:rsidRPr="00DD1C54">
        <w:rPr>
          <w:noProof/>
        </w:rPr>
        <w:drawing>
          <wp:inline distT="0" distB="0" distL="0" distR="0" wp14:anchorId="3A9DA50E" wp14:editId="58C243B3">
            <wp:extent cx="4572000" cy="3577507"/>
            <wp:effectExtent l="0" t="0" r="0" b="4445"/>
            <wp:docPr id="866496696" name="Picture 866496696" descr="A line graph showing New Zealand’s annual areas of deforestation from 1990 to 2022. It compares pre-1990 natural forest with post-1989 planted forest, pre-1990 planted forest and post-1980 natural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496696" name="Picture 866496696" descr="A line graph showing New Zealand’s annual areas of deforestation from 1990 to 2022. It compares pre-1990 natural forest with post-1989 planted forest, pre-1990 planted forest and post-1980 natural forest."/>
                    <pic:cNvPicPr>
                      <a:picLocks noChangeAspect="1" noChangeArrowheads="1"/>
                    </pic:cNvPicPr>
                  </pic:nvPicPr>
                  <pic:blipFill rotWithShape="1">
                    <a:blip r:embed="rId209" cstate="print"/>
                    <a:srcRect b="2189"/>
                    <a:stretch/>
                  </pic:blipFill>
                  <pic:spPr bwMode="auto">
                    <a:xfrm>
                      <a:off x="0" y="0"/>
                      <a:ext cx="63500" cy="49688"/>
                    </a:xfrm>
                    <a:prstGeom prst="rect">
                      <a:avLst/>
                    </a:prstGeom>
                    <a:noFill/>
                    <a:ln>
                      <a:noFill/>
                    </a:ln>
                    <a:extLst>
                      <a:ext uri="{53640926-AAD7-44D8-BBD7-CCE9431645EC}">
                        <a14:shadowObscured xmlns:a14="http://schemas.microsoft.com/office/drawing/2010/main"/>
                      </a:ext>
                    </a:extLst>
                  </pic:spPr>
                </pic:pic>
              </a:graphicData>
            </a:graphic>
          </wp:inline>
        </w:drawing>
      </w:r>
    </w:p>
    <w:p w14:paraId="5704DF0A" w14:textId="77777777" w:rsidR="006929CB" w:rsidRPr="00DD1C54" w:rsidRDefault="006929CB" w:rsidP="006929CB">
      <w:pPr>
        <w:pStyle w:val="BodyText"/>
      </w:pPr>
      <w:r w:rsidRPr="00DD1C54">
        <w:t>No</w:t>
      </w:r>
      <w:r w:rsidRPr="00DD1C54" w:rsidDel="00F005F6">
        <w:t xml:space="preserve"> </w:t>
      </w:r>
      <w:r w:rsidRPr="00DD1C54">
        <w:rPr>
          <w:spacing w:val="-2"/>
        </w:rPr>
        <w:t>deforestation</w:t>
      </w:r>
      <w:r w:rsidRPr="00DD1C54">
        <w:t xml:space="preserve"> of pre-1990 planted forest, post-1989 planted forest or post-1989 natural forest was estimated to have occurred between 1990 and 2000. Deforestation of these forest classes was not significant during this period and insufficient data exist to reliably report the small areas of deforestation that may have occurred.</w:t>
      </w:r>
    </w:p>
    <w:p w14:paraId="70ED605E" w14:textId="77777777" w:rsidR="006929CB" w:rsidRPr="00DD1C54" w:rsidRDefault="006929CB" w:rsidP="006929CB">
      <w:pPr>
        <w:pStyle w:val="BodyText"/>
      </w:pPr>
      <w:r w:rsidRPr="00DD1C54">
        <w:t>Since the introduction of the NZ ETS in 2008, owners of pre-1990 planted forest have been able to deforest a maximum of two hectares in any five-year period without having to surrender emission units. Above this level of deforestation, they are required to surrender units equal to the reported emissions, with some exemptions for smaller forest owners and tree weeds within protected areas (Ministry for Primary Industries, 2024). Since 2007, a significant reduction has occurred in the rate of deforestation of pre-1990 planted forest. Post</w:t>
      </w:r>
      <w:r w:rsidRPr="00DD1C54">
        <w:noBreakHyphen/>
        <w:t xml:space="preserve">1989 forest owners, who are registered in the scheme, also have legal obligations to surrender units if the carbon stocks in their registered forest area fall below a previously reported level (eg, due to deforestation, harvesting or fire). </w:t>
      </w:r>
    </w:p>
    <w:p w14:paraId="5D96D8E7" w14:textId="77777777" w:rsidR="006929CB" w:rsidRPr="00DD1C54" w:rsidRDefault="006929CB" w:rsidP="006929CB">
      <w:pPr>
        <w:pStyle w:val="BodyText"/>
        <w:spacing w:before="100"/>
      </w:pPr>
      <w:r w:rsidRPr="00DD1C54">
        <w:t xml:space="preserve">It was expected that the level of deforestation during the first Kyoto Protocol commitment period (2008 to 2012) would be less than that seen before the introduction of the NZ ETS in 2008 (Manley, 2009). However, following the introduction of the NZ ETS, the carbon price went into a steady decline. The low carbon price reduced the liability on pre-1990 planted forest owners for deforestation. Consequently, more deforestation has occurred since 2008 than previously expected. Carbon prices have since increased, following </w:t>
      </w:r>
      <w:r w:rsidRPr="00DD1C54">
        <w:rPr>
          <w:spacing w:val="-2"/>
        </w:rPr>
        <w:t>the exclusion of international units from the scheme on 31 May 2015, an NZ ETS review and the passing of the Climate Change Response (Emissions Trading Reform) Amendment Act in 2020. This legislated major changes to the NZ ETS, including incentives for afforestation and the introduction of a unit cap to the scheme</w:t>
      </w:r>
      <w:r w:rsidRPr="00DD1C54">
        <w:t xml:space="preserve">. These higher carbon prices are coincident with reduced deforestation activities. </w:t>
      </w:r>
    </w:p>
    <w:p w14:paraId="7F0BFF57" w14:textId="77777777" w:rsidR="006929CB" w:rsidRPr="00DD1C54" w:rsidRDefault="006929CB" w:rsidP="006929CB">
      <w:pPr>
        <w:pStyle w:val="BodyText"/>
      </w:pPr>
      <w:r w:rsidRPr="00DD1C54">
        <w:t xml:space="preserve">The area of </w:t>
      </w:r>
      <w:r w:rsidRPr="00DD1C54">
        <w:rPr>
          <w:spacing w:val="-2"/>
        </w:rPr>
        <w:t>deforestation</w:t>
      </w:r>
      <w:r w:rsidRPr="00DD1C54">
        <w:t xml:space="preserve"> of pre-1990 natural forest before 2008 has been estimated by linear interpolation from the average land-use change mapped between 1 January 1990 and 1 January 2008. However, several factors suggest the rate of pre-1990 natural forest deforestation is unlikely to have been constant over the 18 years between 1990 and 2007, but instead mostly occurred before 2002. The area available for harvesting (and potentially deforestation) was higher before 1993 when amendments were made to the Forests Act 1949 that restricted natural forest harvesting. Further restrictions on the harvesting of natural forests were also introduced in 2002, resulting in the end of harvesting of publicly owned forests on the West Coast of New Zealand from that time on. Both developments are likely to have reduced pre-1990 natural forest deforestation since 2002.</w:t>
      </w:r>
    </w:p>
    <w:p w14:paraId="0A4F9C41" w14:textId="77777777" w:rsidR="006929CB" w:rsidRPr="00DD1C54" w:rsidRDefault="006929CB" w:rsidP="006929CB">
      <w:pPr>
        <w:pStyle w:val="BodyText"/>
      </w:pPr>
      <w:r w:rsidRPr="00DD1C54">
        <w:t>Further detail on the methods employed for estimating deforestation</w:t>
      </w:r>
      <w:r w:rsidRPr="00DD1C54">
        <w:rPr>
          <w:i/>
        </w:rPr>
        <w:t xml:space="preserve"> </w:t>
      </w:r>
      <w:r w:rsidRPr="00DD1C54">
        <w:t>is provided in annex 5, section A5.2.1 of Inventory 2024 (Ministry for the Environment, 2024).</w:t>
      </w:r>
    </w:p>
    <w:p w14:paraId="2B2A0F9B" w14:textId="77777777" w:rsidR="006929CB" w:rsidRPr="00DD1C54" w:rsidRDefault="006929CB" w:rsidP="006929CB">
      <w:pPr>
        <w:pStyle w:val="Heading3"/>
        <w:rPr>
          <w:rFonts w:eastAsia="Calibri"/>
        </w:rPr>
      </w:pPr>
      <w:bookmarkStart w:id="1148" w:name="sectionA234"/>
      <w:bookmarkStart w:id="1149" w:name="_Toc1063243355"/>
      <w:r w:rsidRPr="00DD1C54">
        <w:rPr>
          <w:rFonts w:eastAsia="Calibri"/>
        </w:rPr>
        <w:t>A2.3.4</w:t>
      </w:r>
      <w:bookmarkEnd w:id="1148"/>
      <w:r w:rsidRPr="00DD1C54">
        <w:rPr>
          <w:rFonts w:eastAsia="Calibri"/>
        </w:rPr>
        <w:tab/>
        <w:t>Forest management</w:t>
      </w:r>
      <w:bookmarkEnd w:id="1149"/>
      <w:r w:rsidRPr="00DD1C54">
        <w:rPr>
          <w:rFonts w:eastAsia="Calibri"/>
        </w:rPr>
        <w:t xml:space="preserve"> </w:t>
      </w:r>
    </w:p>
    <w:p w14:paraId="07A5644F" w14:textId="77777777" w:rsidR="006929CB" w:rsidRPr="00DD1C54" w:rsidRDefault="006929CB" w:rsidP="006929CB">
      <w:pPr>
        <w:pStyle w:val="BodyText"/>
      </w:pPr>
      <w:r w:rsidRPr="00DD1C54">
        <w:t xml:space="preserve">New Zealand reports emissions and removals from </w:t>
      </w:r>
      <w:r w:rsidRPr="00DD1C54">
        <w:rPr>
          <w:i/>
        </w:rPr>
        <w:t>Forest management</w:t>
      </w:r>
      <w:r w:rsidRPr="00DD1C54">
        <w:t xml:space="preserve"> activities from 2021 onwards. New Zealand has applied the broad approach to interpreting the definition of forest management so that it includes the whole area classified as pre-1990 natural forest and pre</w:t>
      </w:r>
      <w:r w:rsidRPr="00DD1C54">
        <w:noBreakHyphen/>
        <w:t xml:space="preserve">1990 planted forest. The area in this category excludes any area deforested since 1990, because this is reported under </w:t>
      </w:r>
      <w:r w:rsidRPr="00DD1C54">
        <w:rPr>
          <w:i/>
        </w:rPr>
        <w:t>Deforestation</w:t>
      </w:r>
      <w:r w:rsidRPr="00DD1C54">
        <w:t xml:space="preserve">, and includes areas to which the carbon equivalent forest accounting provision is applied. </w:t>
      </w:r>
    </w:p>
    <w:p w14:paraId="6F05EA9C" w14:textId="77777777" w:rsidR="006929CB" w:rsidRPr="00DD1C54" w:rsidRDefault="006929CB" w:rsidP="006929CB">
      <w:pPr>
        <w:pStyle w:val="BodyText"/>
      </w:pPr>
      <w:r w:rsidRPr="00DD1C54">
        <w:t>In 2021 and 2022, emissions on this land were –18,215.6 kt CO</w:t>
      </w:r>
      <w:r w:rsidRPr="00DD1C54">
        <w:rPr>
          <w:vertAlign w:val="subscript"/>
        </w:rPr>
        <w:t>2</w:t>
      </w:r>
      <w:r w:rsidRPr="00DD1C54">
        <w:t>e and –18,600.0 kt CO</w:t>
      </w:r>
      <w:r w:rsidRPr="00DD1C54">
        <w:rPr>
          <w:vertAlign w:val="subscript"/>
        </w:rPr>
        <w:t>2</w:t>
      </w:r>
      <w:r w:rsidRPr="00DD1C54">
        <w:t>e respectively. This includes emissions of –7,163.9 kt CO</w:t>
      </w:r>
      <w:r w:rsidRPr="00DD1C54">
        <w:rPr>
          <w:vertAlign w:val="subscript"/>
        </w:rPr>
        <w:t>2</w:t>
      </w:r>
      <w:r w:rsidRPr="00DD1C54">
        <w:t>e for 2021 and –4,873.4 kt CO</w:t>
      </w:r>
      <w:r w:rsidRPr="00DD1C54">
        <w:rPr>
          <w:vertAlign w:val="subscript"/>
        </w:rPr>
        <w:t>2</w:t>
      </w:r>
      <w:r w:rsidRPr="00DD1C54">
        <w:t xml:space="preserve">e for 2022 from HWP originating from </w:t>
      </w:r>
      <w:r w:rsidRPr="00DD1C54">
        <w:rPr>
          <w:i/>
          <w:iCs/>
        </w:rPr>
        <w:t>Forest management</w:t>
      </w:r>
      <w:r w:rsidRPr="00DD1C54">
        <w:t>.</w:t>
      </w:r>
    </w:p>
    <w:p w14:paraId="5106608D" w14:textId="77777777" w:rsidR="006929CB" w:rsidRPr="00DD1C54" w:rsidRDefault="006929CB" w:rsidP="006929CB">
      <w:pPr>
        <w:pStyle w:val="BodyText"/>
      </w:pPr>
      <w:r w:rsidRPr="00DD1C54">
        <w:t xml:space="preserve">The total area remaining in </w:t>
      </w:r>
      <w:r w:rsidRPr="00DD1C54">
        <w:rPr>
          <w:i/>
        </w:rPr>
        <w:t>Forest management</w:t>
      </w:r>
      <w:r w:rsidRPr="00DD1C54">
        <w:t xml:space="preserve"> at the end of 2022 was 9,186,383 hectares; this is a decrease of 175,387 hectares (or 1.9 per cent) since 1990.</w:t>
      </w:r>
    </w:p>
    <w:p w14:paraId="7CB2E10D" w14:textId="77777777" w:rsidR="006929CB" w:rsidRPr="00DD1C54" w:rsidRDefault="006929CB" w:rsidP="006929CB">
      <w:pPr>
        <w:pStyle w:val="BodyText"/>
        <w:spacing w:after="100"/>
      </w:pPr>
      <w:r w:rsidRPr="00DD1C54">
        <w:t xml:space="preserve">The source of the activity data and emission factors applied to </w:t>
      </w:r>
      <w:r w:rsidRPr="00DD1C54">
        <w:rPr>
          <w:i/>
        </w:rPr>
        <w:t>Forest management</w:t>
      </w:r>
      <w:r w:rsidRPr="00DD1C54">
        <w:t xml:space="preserve"> activities is described in more detail in Inventory 2024 (Ministry for the Environment, 2024). This is because New Zealand applies the same methods to estimating emissions from </w:t>
      </w:r>
      <w:r w:rsidRPr="00DD1C54">
        <w:rPr>
          <w:i/>
        </w:rPr>
        <w:t>Forest management</w:t>
      </w:r>
      <w:r w:rsidRPr="00DD1C54">
        <w:t xml:space="preserve"> activities as those applied to the equivalent land use category, </w:t>
      </w:r>
      <w:r w:rsidRPr="00DD1C54">
        <w:rPr>
          <w:i/>
          <w:iCs/>
        </w:rPr>
        <w:t>Forest land remaining forest land</w:t>
      </w:r>
      <w:r w:rsidRPr="00DD1C54">
        <w:t xml:space="preserve">, of Inventory 2024. </w:t>
      </w:r>
    </w:p>
    <w:p w14:paraId="7570BC23" w14:textId="77777777" w:rsidR="006929CB" w:rsidRPr="00DD1C54" w:rsidRDefault="006929CB" w:rsidP="006929CB">
      <w:pPr>
        <w:pStyle w:val="BodyText"/>
        <w:spacing w:after="100"/>
      </w:pPr>
      <w:r w:rsidRPr="00DD1C54">
        <w:t xml:space="preserve">Where the land reported under </w:t>
      </w:r>
      <w:r w:rsidRPr="00DD1C54">
        <w:rPr>
          <w:i/>
        </w:rPr>
        <w:t>Forest management</w:t>
      </w:r>
      <w:r w:rsidRPr="00DD1C54">
        <w:t xml:space="preserve"> has remained in the same land use category for more than 20 years, mineral soil carbon stocks are assumed to have reached steady state. New Zealand models the effects of land-use change on mineral soil carbon based on empirical measurements collected from each land use subdivision in steady state, specifically to model land-use change and management effects. The pre-1990 forests are subdivided into natural and planted forest types, which allows the different management methods to be taken into account. </w:t>
      </w:r>
    </w:p>
    <w:p w14:paraId="00EE73D8" w14:textId="77777777" w:rsidR="006929CB" w:rsidRPr="00DD1C54" w:rsidRDefault="006929CB" w:rsidP="006929CB">
      <w:pPr>
        <w:pStyle w:val="BodyText"/>
        <w:spacing w:after="100"/>
      </w:pPr>
      <w:r w:rsidRPr="00DD1C54">
        <w:t xml:space="preserve">Where organic soil is present on land reported under </w:t>
      </w:r>
      <w:r w:rsidRPr="00DD1C54">
        <w:rPr>
          <w:i/>
        </w:rPr>
        <w:t>Forest management</w:t>
      </w:r>
      <w:r w:rsidRPr="00DD1C54">
        <w:t xml:space="preserve"> that is no longer in its natural state, the soil organic carbon pool is reported as an ongoing source of emissions. </w:t>
      </w:r>
    </w:p>
    <w:p w14:paraId="56DED2F3" w14:textId="77777777" w:rsidR="006929CB" w:rsidRPr="00DD1C54" w:rsidRDefault="006929CB" w:rsidP="006929CB">
      <w:pPr>
        <w:pStyle w:val="BodyText"/>
        <w:spacing w:after="100"/>
      </w:pPr>
      <w:r w:rsidRPr="00DD1C54">
        <w:rPr>
          <w:i/>
        </w:rPr>
        <w:t>Forest management</w:t>
      </w:r>
      <w:r w:rsidRPr="00DD1C54">
        <w:t xml:space="preserve"> activities are accounted for against the pre-1990 FRL. This means New Zealand is required to take responsibility for net emissions from </w:t>
      </w:r>
      <w:r w:rsidRPr="00DD1C54">
        <w:rPr>
          <w:i/>
        </w:rPr>
        <w:t>Forest management</w:t>
      </w:r>
      <w:r w:rsidRPr="00DD1C54">
        <w:t xml:space="preserve"> activities when they exceed the pre-1990 FRL </w:t>
      </w:r>
      <w:r w:rsidRPr="00DD1C54" w:rsidDel="005A6C87">
        <w:t xml:space="preserve">and </w:t>
      </w:r>
      <w:r w:rsidRPr="00DD1C54">
        <w:t xml:space="preserve">conversely account for the additional sequestration </w:t>
      </w:r>
      <w:r w:rsidRPr="00DD1C54" w:rsidDel="005A6C87">
        <w:t>whe</w:t>
      </w:r>
      <w:r w:rsidRPr="00DD1C54">
        <w:t>n they</w:t>
      </w:r>
      <w:r w:rsidRPr="00DD1C54" w:rsidDel="005A6C87">
        <w:t xml:space="preserve"> are </w:t>
      </w:r>
      <w:r w:rsidRPr="00DD1C54">
        <w:t>under</w:t>
      </w:r>
      <w:r w:rsidRPr="00DD1C54" w:rsidDel="005A6C87">
        <w:t xml:space="preserve"> the </w:t>
      </w:r>
      <w:r w:rsidRPr="00DD1C54">
        <w:t>pre-1990 FRL.</w:t>
      </w:r>
    </w:p>
    <w:p w14:paraId="3D4F97EF" w14:textId="5E030157" w:rsidR="006929CB" w:rsidRPr="00DD1C54" w:rsidRDefault="006929CB" w:rsidP="006929CB">
      <w:pPr>
        <w:pStyle w:val="BodyText"/>
        <w:spacing w:after="100"/>
      </w:pPr>
      <w:r w:rsidRPr="00DD1C54">
        <w:t xml:space="preserve">The pre-1990 FRL was set using a business-as-usual projection of net emissions from </w:t>
      </w:r>
      <w:r w:rsidRPr="00DD1C54">
        <w:rPr>
          <w:i/>
        </w:rPr>
        <w:t xml:space="preserve">Forest management </w:t>
      </w:r>
      <w:r w:rsidRPr="00DD1C54">
        <w:rPr>
          <w:iCs/>
        </w:rPr>
        <w:t xml:space="preserve">activities </w:t>
      </w:r>
      <w:r w:rsidRPr="00DD1C54">
        <w:t>during NDC1</w:t>
      </w:r>
      <w:r w:rsidR="00A944E2">
        <w:t xml:space="preserve"> </w:t>
      </w:r>
      <w:r w:rsidRPr="00DD1C54">
        <w:t xml:space="preserve">and represents the estimated annual average emissions over that period (see </w:t>
      </w:r>
      <w:hyperlink w:anchor="sectionA241" w:history="1">
        <w:r w:rsidRPr="008E1181">
          <w:rPr>
            <w:rStyle w:val="Hyperlink"/>
          </w:rPr>
          <w:t>section A2.4.1</w:t>
        </w:r>
      </w:hyperlink>
      <w:r w:rsidRPr="00DD1C54">
        <w:t>, for further information).</w:t>
      </w:r>
    </w:p>
    <w:p w14:paraId="31848118" w14:textId="77777777" w:rsidR="006929CB" w:rsidRPr="00DD1C54" w:rsidRDefault="006929CB" w:rsidP="006929CB">
      <w:pPr>
        <w:pStyle w:val="Heading4"/>
      </w:pPr>
      <w:r w:rsidRPr="00DD1C54">
        <w:t>Carbon equivalent forests</w:t>
      </w:r>
    </w:p>
    <w:p w14:paraId="43594452" w14:textId="77777777" w:rsidR="006929CB" w:rsidRPr="00DD1C54" w:rsidRDefault="006929CB" w:rsidP="006929CB">
      <w:pPr>
        <w:pStyle w:val="BodyText"/>
      </w:pPr>
      <w:r w:rsidRPr="00DD1C54">
        <w:t>The carbon equivalent forests accounting provision allows pre-1990 planted forests that meet the conditions specified in section 2.7.7.2 of the 2013 Kyoto Protocol Supplement (IPCC, 2014) to be harvested and converted to another land use without being classified as deforested, provided a new forest that will reach carbon equivalence is established elsewhere. The carbon stock changes in New Zealand’s carbon equivalent forests for 2021 and 2022 are summarised in table A2.11. A detailed list of individual applications is shown in table A2.12</w:t>
      </w:r>
      <w:r w:rsidRPr="00DD1C54" w:rsidDel="002022C6">
        <w:t>.</w:t>
      </w:r>
    </w:p>
    <w:p w14:paraId="529EC605" w14:textId="77777777" w:rsidR="006929CB" w:rsidRPr="00DD1C54" w:rsidRDefault="006929CB" w:rsidP="006929CB">
      <w:pPr>
        <w:pStyle w:val="Tableheading"/>
      </w:pPr>
      <w:bookmarkStart w:id="1150" w:name="_Toc182311703"/>
      <w:bookmarkStart w:id="1151" w:name="_Toc522010660"/>
      <w:bookmarkStart w:id="1152" w:name="_Toc5269631"/>
      <w:bookmarkStart w:id="1153" w:name="_Toc36224714"/>
      <w:bookmarkStart w:id="1154" w:name="_Toc64987049"/>
      <w:bookmarkStart w:id="1155" w:name="_Toc68786599"/>
      <w:bookmarkStart w:id="1156" w:name="_Toc95321542"/>
      <w:bookmarkStart w:id="1157" w:name="_Toc99659394"/>
      <w:bookmarkStart w:id="1158" w:name="_Toc185407538"/>
      <w:bookmarkStart w:id="1159" w:name="_Toc185427801"/>
      <w:r w:rsidRPr="00DD1C54">
        <w:t>Table A2.11:</w:t>
      </w:r>
      <w:r w:rsidRPr="00DD1C54">
        <w:tab/>
        <w:t>Carbon equivalent forests from 2021 to 2022</w:t>
      </w:r>
      <w:bookmarkEnd w:id="1150"/>
      <w:bookmarkEnd w:id="1158"/>
      <w:bookmarkEnd w:id="1159"/>
    </w:p>
    <w:tbl>
      <w:tblPr>
        <w:tblW w:w="8505" w:type="dxa"/>
        <w:tblBorders>
          <w:top w:val="single" w:sz="4" w:space="0" w:color="1B556B"/>
          <w:bottom w:val="single" w:sz="4" w:space="0" w:color="1B556B"/>
          <w:insideH w:val="single" w:sz="4" w:space="0" w:color="1B556B"/>
          <w:insideV w:val="single" w:sz="4" w:space="0" w:color="1B556B"/>
        </w:tblBorders>
        <w:tblLayout w:type="fixed"/>
        <w:tblCellMar>
          <w:left w:w="85" w:type="dxa"/>
          <w:right w:w="85" w:type="dxa"/>
        </w:tblCellMar>
        <w:tblLook w:val="0420" w:firstRow="1" w:lastRow="0" w:firstColumn="0" w:lastColumn="0" w:noHBand="0" w:noVBand="1"/>
      </w:tblPr>
      <w:tblGrid>
        <w:gridCol w:w="2664"/>
        <w:gridCol w:w="3171"/>
        <w:gridCol w:w="1335"/>
        <w:gridCol w:w="1335"/>
      </w:tblGrid>
      <w:tr w:rsidR="006929CB" w:rsidRPr="00795E1F" w14:paraId="7B52660A" w14:textId="77777777" w:rsidTr="00795E1F">
        <w:trPr>
          <w:tblHeader/>
        </w:trPr>
        <w:tc>
          <w:tcPr>
            <w:tcW w:w="2263" w:type="dxa"/>
            <w:shd w:val="clear" w:color="auto" w:fill="1B556B"/>
            <w:vAlign w:val="center"/>
          </w:tcPr>
          <w:p w14:paraId="301F8B8E" w14:textId="77777777" w:rsidR="006929CB" w:rsidRPr="00795E1F" w:rsidRDefault="006929CB">
            <w:pPr>
              <w:pStyle w:val="TableTextbold"/>
              <w:spacing w:before="40" w:after="40"/>
              <w:jc w:val="right"/>
              <w:rPr>
                <w:color w:val="FFFFFF" w:themeColor="background1"/>
                <w:szCs w:val="18"/>
              </w:rPr>
            </w:pPr>
          </w:p>
        </w:tc>
        <w:tc>
          <w:tcPr>
            <w:tcW w:w="2694" w:type="dxa"/>
            <w:shd w:val="clear" w:color="auto" w:fill="1B556B"/>
            <w:vAlign w:val="center"/>
          </w:tcPr>
          <w:p w14:paraId="453982FA" w14:textId="77777777" w:rsidR="006929CB" w:rsidRPr="00795E1F" w:rsidRDefault="006929CB">
            <w:pPr>
              <w:pStyle w:val="TableTextbold"/>
              <w:spacing w:before="40" w:after="40"/>
              <w:jc w:val="right"/>
              <w:rPr>
                <w:color w:val="FFFFFF" w:themeColor="background1"/>
                <w:szCs w:val="18"/>
              </w:rPr>
            </w:pPr>
          </w:p>
        </w:tc>
        <w:tc>
          <w:tcPr>
            <w:tcW w:w="1134" w:type="dxa"/>
            <w:shd w:val="clear" w:color="auto" w:fill="1B556B"/>
            <w:vAlign w:val="center"/>
          </w:tcPr>
          <w:p w14:paraId="4A629A18" w14:textId="77777777" w:rsidR="006929CB" w:rsidRPr="00795E1F" w:rsidRDefault="006929CB">
            <w:pPr>
              <w:pStyle w:val="TableTextbold"/>
              <w:spacing w:before="40" w:after="40"/>
              <w:jc w:val="right"/>
              <w:rPr>
                <w:color w:val="FFFFFF" w:themeColor="background1"/>
                <w:szCs w:val="18"/>
              </w:rPr>
            </w:pPr>
            <w:r w:rsidRPr="00795E1F">
              <w:rPr>
                <w:rFonts w:eastAsia="Calibri"/>
                <w:color w:val="FFFFFF" w:themeColor="background1"/>
                <w:szCs w:val="18"/>
              </w:rPr>
              <w:t>2021</w:t>
            </w:r>
          </w:p>
        </w:tc>
        <w:tc>
          <w:tcPr>
            <w:tcW w:w="1134" w:type="dxa"/>
            <w:shd w:val="clear" w:color="auto" w:fill="1B556B"/>
            <w:vAlign w:val="center"/>
          </w:tcPr>
          <w:p w14:paraId="43BE6C6D" w14:textId="77777777" w:rsidR="006929CB" w:rsidRPr="00795E1F" w:rsidRDefault="006929CB">
            <w:pPr>
              <w:pStyle w:val="TableTextbold"/>
              <w:spacing w:before="40" w:after="40"/>
              <w:jc w:val="right"/>
              <w:rPr>
                <w:color w:val="FFFFFF" w:themeColor="background1"/>
                <w:szCs w:val="18"/>
              </w:rPr>
            </w:pPr>
            <w:r w:rsidRPr="00795E1F">
              <w:rPr>
                <w:rFonts w:eastAsia="Calibri"/>
                <w:color w:val="FFFFFF" w:themeColor="background1"/>
                <w:szCs w:val="18"/>
              </w:rPr>
              <w:t>2022</w:t>
            </w:r>
          </w:p>
        </w:tc>
      </w:tr>
      <w:tr w:rsidR="006929CB" w:rsidRPr="00795E1F" w14:paraId="2F857AD6" w14:textId="77777777" w:rsidTr="00795E1F">
        <w:trPr>
          <w:trHeight w:val="283"/>
        </w:trPr>
        <w:tc>
          <w:tcPr>
            <w:tcW w:w="2263" w:type="dxa"/>
            <w:vMerge w:val="restart"/>
            <w:shd w:val="clear" w:color="auto" w:fill="FFFFFF" w:themeFill="background1"/>
            <w:vAlign w:val="center"/>
          </w:tcPr>
          <w:p w14:paraId="232182AC" w14:textId="77777777" w:rsidR="006929CB" w:rsidRPr="00795E1F" w:rsidRDefault="006929CB">
            <w:pPr>
              <w:pStyle w:val="TableTextbold"/>
              <w:spacing w:before="40" w:after="40"/>
              <w:rPr>
                <w:b w:val="0"/>
                <w:bCs/>
                <w:szCs w:val="18"/>
              </w:rPr>
            </w:pPr>
            <w:r w:rsidRPr="00795E1F">
              <w:rPr>
                <w:rFonts w:eastAsia="Calibri"/>
                <w:b w:val="0"/>
                <w:bCs/>
                <w:szCs w:val="18"/>
              </w:rPr>
              <w:t>Newly established</w:t>
            </w:r>
          </w:p>
        </w:tc>
        <w:tc>
          <w:tcPr>
            <w:tcW w:w="2694" w:type="dxa"/>
            <w:shd w:val="clear" w:color="auto" w:fill="FFFFFF" w:themeFill="background1"/>
            <w:vAlign w:val="center"/>
          </w:tcPr>
          <w:p w14:paraId="579ECFD5" w14:textId="77777777" w:rsidR="006929CB" w:rsidRPr="00795E1F" w:rsidRDefault="006929CB">
            <w:pPr>
              <w:pStyle w:val="TableText"/>
              <w:spacing w:before="40" w:after="40"/>
              <w:rPr>
                <w:szCs w:val="18"/>
              </w:rPr>
            </w:pPr>
            <w:r w:rsidRPr="00795E1F">
              <w:rPr>
                <w:rFonts w:eastAsia="Calibri"/>
                <w:szCs w:val="18"/>
              </w:rPr>
              <w:t>Area change (ha)</w:t>
            </w:r>
          </w:p>
        </w:tc>
        <w:tc>
          <w:tcPr>
            <w:tcW w:w="1134" w:type="dxa"/>
            <w:shd w:val="clear" w:color="auto" w:fill="FFFFFF" w:themeFill="background1"/>
            <w:vAlign w:val="center"/>
          </w:tcPr>
          <w:p w14:paraId="029805EF" w14:textId="77777777" w:rsidR="006929CB" w:rsidRPr="00795E1F" w:rsidRDefault="006929CB">
            <w:pPr>
              <w:pStyle w:val="TableText"/>
              <w:spacing w:before="40" w:after="40"/>
              <w:jc w:val="right"/>
              <w:rPr>
                <w:szCs w:val="18"/>
              </w:rPr>
            </w:pPr>
            <w:r w:rsidRPr="00795E1F">
              <w:rPr>
                <w:rFonts w:eastAsia="Calibri"/>
                <w:szCs w:val="18"/>
              </w:rPr>
              <w:t>–</w:t>
            </w:r>
          </w:p>
        </w:tc>
        <w:tc>
          <w:tcPr>
            <w:tcW w:w="1134" w:type="dxa"/>
            <w:shd w:val="clear" w:color="auto" w:fill="FFFFFF" w:themeFill="background1"/>
            <w:vAlign w:val="center"/>
          </w:tcPr>
          <w:p w14:paraId="1D28565A" w14:textId="77777777" w:rsidR="006929CB" w:rsidRPr="00795E1F" w:rsidRDefault="006929CB">
            <w:pPr>
              <w:pStyle w:val="TableText"/>
              <w:spacing w:before="40" w:after="40"/>
              <w:jc w:val="right"/>
              <w:rPr>
                <w:szCs w:val="18"/>
              </w:rPr>
            </w:pPr>
            <w:r w:rsidRPr="00795E1F">
              <w:rPr>
                <w:rFonts w:eastAsia="Calibri"/>
                <w:szCs w:val="18"/>
              </w:rPr>
              <w:t>–</w:t>
            </w:r>
          </w:p>
        </w:tc>
      </w:tr>
      <w:tr w:rsidR="006929CB" w:rsidRPr="00795E1F" w14:paraId="2517B536" w14:textId="77777777" w:rsidTr="00795E1F">
        <w:trPr>
          <w:trHeight w:val="283"/>
        </w:trPr>
        <w:tc>
          <w:tcPr>
            <w:tcW w:w="2263" w:type="dxa"/>
            <w:vMerge/>
            <w:vAlign w:val="center"/>
          </w:tcPr>
          <w:p w14:paraId="2EC640CE" w14:textId="77777777" w:rsidR="006929CB" w:rsidRPr="00795E1F" w:rsidRDefault="006929CB">
            <w:pPr>
              <w:pStyle w:val="TableTextbold"/>
              <w:spacing w:before="40" w:after="40"/>
              <w:rPr>
                <w:b w:val="0"/>
                <w:bCs/>
                <w:szCs w:val="18"/>
              </w:rPr>
            </w:pPr>
          </w:p>
        </w:tc>
        <w:tc>
          <w:tcPr>
            <w:tcW w:w="2694" w:type="dxa"/>
            <w:shd w:val="clear" w:color="auto" w:fill="FFFFFF" w:themeFill="background1"/>
            <w:vAlign w:val="center"/>
          </w:tcPr>
          <w:p w14:paraId="06B0E93E" w14:textId="77777777" w:rsidR="006929CB" w:rsidRPr="00795E1F" w:rsidRDefault="006929CB">
            <w:pPr>
              <w:pStyle w:val="TableText"/>
              <w:spacing w:before="40" w:after="40"/>
              <w:rPr>
                <w:szCs w:val="18"/>
              </w:rPr>
            </w:pPr>
            <w:r w:rsidRPr="00795E1F">
              <w:rPr>
                <w:rFonts w:eastAsia="Calibri"/>
                <w:color w:val="000000" w:themeColor="text1"/>
                <w:szCs w:val="18"/>
              </w:rPr>
              <w:t>Net change (kt CO</w:t>
            </w:r>
            <w:r w:rsidRPr="00795E1F">
              <w:rPr>
                <w:rFonts w:eastAsia="Calibri"/>
                <w:color w:val="000000" w:themeColor="text1"/>
                <w:szCs w:val="18"/>
                <w:vertAlign w:val="subscript"/>
              </w:rPr>
              <w:t>2</w:t>
            </w:r>
            <w:r w:rsidRPr="00795E1F">
              <w:rPr>
                <w:rFonts w:eastAsia="Calibri"/>
                <w:color w:val="000000" w:themeColor="text1"/>
                <w:szCs w:val="18"/>
              </w:rPr>
              <w:t>)</w:t>
            </w:r>
          </w:p>
        </w:tc>
        <w:tc>
          <w:tcPr>
            <w:tcW w:w="1134" w:type="dxa"/>
            <w:shd w:val="clear" w:color="auto" w:fill="FFFFFF" w:themeFill="background1"/>
            <w:vAlign w:val="center"/>
          </w:tcPr>
          <w:p w14:paraId="4BF0B129" w14:textId="77777777" w:rsidR="006929CB" w:rsidRPr="00795E1F" w:rsidRDefault="006929CB">
            <w:pPr>
              <w:pStyle w:val="TableText"/>
              <w:spacing w:before="40" w:after="40"/>
              <w:jc w:val="right"/>
              <w:rPr>
                <w:szCs w:val="18"/>
              </w:rPr>
            </w:pPr>
            <w:r w:rsidRPr="00795E1F">
              <w:rPr>
                <w:rFonts w:eastAsia="Calibri"/>
                <w:szCs w:val="18"/>
              </w:rPr>
              <w:t>–47.2</w:t>
            </w:r>
          </w:p>
        </w:tc>
        <w:tc>
          <w:tcPr>
            <w:tcW w:w="1134" w:type="dxa"/>
            <w:shd w:val="clear" w:color="auto" w:fill="FFFFFF" w:themeFill="background1"/>
            <w:vAlign w:val="center"/>
          </w:tcPr>
          <w:p w14:paraId="6BC9503A" w14:textId="77777777" w:rsidR="006929CB" w:rsidRPr="00795E1F" w:rsidRDefault="006929CB">
            <w:pPr>
              <w:pStyle w:val="TableText"/>
              <w:spacing w:before="40" w:after="40"/>
              <w:jc w:val="right"/>
              <w:rPr>
                <w:szCs w:val="18"/>
              </w:rPr>
            </w:pPr>
            <w:r w:rsidRPr="00795E1F">
              <w:rPr>
                <w:rFonts w:eastAsia="Calibri"/>
                <w:szCs w:val="18"/>
              </w:rPr>
              <w:t>–92.5</w:t>
            </w:r>
          </w:p>
        </w:tc>
      </w:tr>
      <w:tr w:rsidR="006929CB" w:rsidRPr="00795E1F" w14:paraId="4ECEE59C" w14:textId="77777777" w:rsidTr="00795E1F">
        <w:trPr>
          <w:trHeight w:val="283"/>
        </w:trPr>
        <w:tc>
          <w:tcPr>
            <w:tcW w:w="2263" w:type="dxa"/>
            <w:vMerge w:val="restart"/>
            <w:shd w:val="clear" w:color="auto" w:fill="FFFFFF" w:themeFill="background1"/>
            <w:vAlign w:val="center"/>
          </w:tcPr>
          <w:p w14:paraId="198FA113" w14:textId="77777777" w:rsidR="006929CB" w:rsidRPr="00795E1F" w:rsidRDefault="006929CB">
            <w:pPr>
              <w:pStyle w:val="TableTextbold"/>
              <w:spacing w:before="40" w:after="40"/>
              <w:rPr>
                <w:b w:val="0"/>
                <w:bCs/>
                <w:szCs w:val="18"/>
              </w:rPr>
            </w:pPr>
            <w:r w:rsidRPr="00795E1F">
              <w:rPr>
                <w:rFonts w:eastAsia="Calibri"/>
                <w:b w:val="0"/>
                <w:bCs/>
                <w:szCs w:val="18"/>
              </w:rPr>
              <w:t>Harvested and converted</w:t>
            </w:r>
          </w:p>
        </w:tc>
        <w:tc>
          <w:tcPr>
            <w:tcW w:w="2694" w:type="dxa"/>
            <w:shd w:val="clear" w:color="auto" w:fill="FFFFFF" w:themeFill="background1"/>
            <w:vAlign w:val="center"/>
          </w:tcPr>
          <w:p w14:paraId="3623222E" w14:textId="77777777" w:rsidR="006929CB" w:rsidRPr="00795E1F" w:rsidRDefault="006929CB">
            <w:pPr>
              <w:pStyle w:val="TableText"/>
              <w:spacing w:before="40" w:after="40"/>
              <w:rPr>
                <w:szCs w:val="18"/>
              </w:rPr>
            </w:pPr>
            <w:r w:rsidRPr="00795E1F">
              <w:rPr>
                <w:rFonts w:eastAsia="Calibri"/>
                <w:szCs w:val="18"/>
              </w:rPr>
              <w:t>Area change (ha)</w:t>
            </w:r>
          </w:p>
        </w:tc>
        <w:tc>
          <w:tcPr>
            <w:tcW w:w="1134" w:type="dxa"/>
            <w:shd w:val="clear" w:color="auto" w:fill="FFFFFF" w:themeFill="background1"/>
            <w:vAlign w:val="center"/>
          </w:tcPr>
          <w:p w14:paraId="7CE3151A" w14:textId="77777777" w:rsidR="006929CB" w:rsidRPr="00795E1F" w:rsidRDefault="006929CB">
            <w:pPr>
              <w:pStyle w:val="TableText"/>
              <w:spacing w:before="40" w:after="40"/>
              <w:jc w:val="right"/>
              <w:rPr>
                <w:szCs w:val="18"/>
              </w:rPr>
            </w:pPr>
            <w:r w:rsidRPr="00795E1F">
              <w:rPr>
                <w:rFonts w:eastAsia="Calibri"/>
                <w:szCs w:val="18"/>
              </w:rPr>
              <w:t>74</w:t>
            </w:r>
          </w:p>
        </w:tc>
        <w:tc>
          <w:tcPr>
            <w:tcW w:w="1134" w:type="dxa"/>
            <w:shd w:val="clear" w:color="auto" w:fill="FFFFFF" w:themeFill="background1"/>
            <w:vAlign w:val="center"/>
          </w:tcPr>
          <w:p w14:paraId="2EAD70D8" w14:textId="77777777" w:rsidR="006929CB" w:rsidRPr="00795E1F" w:rsidRDefault="006929CB">
            <w:pPr>
              <w:pStyle w:val="TableText"/>
              <w:spacing w:before="40" w:after="40"/>
              <w:jc w:val="right"/>
              <w:rPr>
                <w:szCs w:val="18"/>
              </w:rPr>
            </w:pPr>
            <w:r w:rsidRPr="00795E1F">
              <w:rPr>
                <w:rFonts w:eastAsia="Calibri"/>
                <w:szCs w:val="18"/>
              </w:rPr>
              <w:t>113</w:t>
            </w:r>
          </w:p>
        </w:tc>
      </w:tr>
      <w:tr w:rsidR="006929CB" w:rsidRPr="00795E1F" w14:paraId="7A1A0B66" w14:textId="77777777" w:rsidTr="00795E1F">
        <w:trPr>
          <w:trHeight w:val="283"/>
        </w:trPr>
        <w:tc>
          <w:tcPr>
            <w:tcW w:w="2263" w:type="dxa"/>
            <w:vMerge/>
            <w:vAlign w:val="center"/>
          </w:tcPr>
          <w:p w14:paraId="724B7506" w14:textId="77777777" w:rsidR="006929CB" w:rsidRPr="00795E1F" w:rsidRDefault="006929CB">
            <w:pPr>
              <w:pStyle w:val="TableTextbold"/>
              <w:spacing w:before="40" w:after="40"/>
              <w:rPr>
                <w:szCs w:val="18"/>
              </w:rPr>
            </w:pPr>
          </w:p>
        </w:tc>
        <w:tc>
          <w:tcPr>
            <w:tcW w:w="2694" w:type="dxa"/>
            <w:shd w:val="clear" w:color="auto" w:fill="FFFFFF" w:themeFill="background1"/>
            <w:vAlign w:val="center"/>
          </w:tcPr>
          <w:p w14:paraId="53D561D6" w14:textId="77777777" w:rsidR="006929CB" w:rsidRPr="00795E1F" w:rsidRDefault="006929CB">
            <w:pPr>
              <w:pStyle w:val="TableText"/>
              <w:spacing w:before="40" w:after="40"/>
              <w:rPr>
                <w:szCs w:val="18"/>
              </w:rPr>
            </w:pPr>
            <w:r w:rsidRPr="00795E1F">
              <w:rPr>
                <w:rFonts w:eastAsia="Calibri"/>
                <w:color w:val="000000" w:themeColor="text1"/>
                <w:szCs w:val="18"/>
              </w:rPr>
              <w:t>Net change (kt CO</w:t>
            </w:r>
            <w:r w:rsidRPr="00795E1F">
              <w:rPr>
                <w:rFonts w:eastAsia="Calibri"/>
                <w:color w:val="000000" w:themeColor="text1"/>
                <w:szCs w:val="18"/>
                <w:vertAlign w:val="subscript"/>
              </w:rPr>
              <w:t>2</w:t>
            </w:r>
            <w:r w:rsidRPr="00795E1F">
              <w:rPr>
                <w:rFonts w:eastAsia="Calibri"/>
                <w:color w:val="000000" w:themeColor="text1"/>
                <w:szCs w:val="18"/>
              </w:rPr>
              <w:t>)</w:t>
            </w:r>
          </w:p>
        </w:tc>
        <w:tc>
          <w:tcPr>
            <w:tcW w:w="1134" w:type="dxa"/>
            <w:shd w:val="clear" w:color="auto" w:fill="FFFFFF" w:themeFill="background1"/>
            <w:vAlign w:val="center"/>
          </w:tcPr>
          <w:p w14:paraId="3C1735EB" w14:textId="77777777" w:rsidR="006929CB" w:rsidRPr="00795E1F" w:rsidRDefault="006929CB">
            <w:pPr>
              <w:pStyle w:val="TableText"/>
              <w:spacing w:before="40" w:after="40"/>
              <w:jc w:val="right"/>
              <w:rPr>
                <w:szCs w:val="18"/>
              </w:rPr>
            </w:pPr>
            <w:r w:rsidRPr="00795E1F">
              <w:rPr>
                <w:rFonts w:eastAsia="Calibri"/>
                <w:szCs w:val="18"/>
              </w:rPr>
              <w:t>65.8</w:t>
            </w:r>
          </w:p>
        </w:tc>
        <w:tc>
          <w:tcPr>
            <w:tcW w:w="1134" w:type="dxa"/>
            <w:shd w:val="clear" w:color="auto" w:fill="FFFFFF" w:themeFill="background1"/>
            <w:vAlign w:val="center"/>
          </w:tcPr>
          <w:p w14:paraId="617C56C7" w14:textId="77777777" w:rsidR="006929CB" w:rsidRPr="00795E1F" w:rsidRDefault="006929CB">
            <w:pPr>
              <w:pStyle w:val="TableText"/>
              <w:spacing w:before="40" w:after="40"/>
              <w:jc w:val="right"/>
              <w:rPr>
                <w:szCs w:val="18"/>
              </w:rPr>
            </w:pPr>
            <w:r w:rsidRPr="00795E1F">
              <w:rPr>
                <w:rFonts w:eastAsia="Calibri"/>
                <w:szCs w:val="18"/>
              </w:rPr>
              <w:t>104.8</w:t>
            </w:r>
          </w:p>
        </w:tc>
      </w:tr>
      <w:tr w:rsidR="006929CB" w:rsidRPr="00795E1F" w14:paraId="4C611916" w14:textId="77777777" w:rsidTr="00795E1F">
        <w:trPr>
          <w:trHeight w:val="283"/>
        </w:trPr>
        <w:tc>
          <w:tcPr>
            <w:tcW w:w="2263" w:type="dxa"/>
            <w:shd w:val="clear" w:color="auto" w:fill="FFFFFF" w:themeFill="background1"/>
            <w:vAlign w:val="center"/>
          </w:tcPr>
          <w:p w14:paraId="5434329A" w14:textId="77777777" w:rsidR="006929CB" w:rsidRPr="00795E1F" w:rsidRDefault="006929CB" w:rsidP="00D41906">
            <w:pPr>
              <w:pStyle w:val="Tableboldblue"/>
              <w:rPr>
                <w:szCs w:val="18"/>
              </w:rPr>
            </w:pPr>
            <w:r w:rsidRPr="00795E1F">
              <w:rPr>
                <w:szCs w:val="18"/>
              </w:rPr>
              <w:t>Total (kt CO</w:t>
            </w:r>
            <w:r w:rsidRPr="00795E1F">
              <w:rPr>
                <w:szCs w:val="18"/>
                <w:vertAlign w:val="subscript"/>
              </w:rPr>
              <w:t>2</w:t>
            </w:r>
            <w:r w:rsidRPr="00795E1F">
              <w:rPr>
                <w:szCs w:val="18"/>
              </w:rPr>
              <w:t>)</w:t>
            </w:r>
          </w:p>
        </w:tc>
        <w:tc>
          <w:tcPr>
            <w:tcW w:w="2694" w:type="dxa"/>
            <w:shd w:val="clear" w:color="auto" w:fill="FFFFFF" w:themeFill="background1"/>
            <w:vAlign w:val="center"/>
          </w:tcPr>
          <w:p w14:paraId="7186232C" w14:textId="77777777" w:rsidR="006929CB" w:rsidRPr="00795E1F" w:rsidRDefault="006929CB" w:rsidP="0035699C">
            <w:pPr>
              <w:pStyle w:val="Tableboldblue"/>
              <w:jc w:val="right"/>
              <w:rPr>
                <w:szCs w:val="18"/>
              </w:rPr>
            </w:pPr>
          </w:p>
        </w:tc>
        <w:tc>
          <w:tcPr>
            <w:tcW w:w="1134" w:type="dxa"/>
            <w:shd w:val="clear" w:color="auto" w:fill="FFFFFF" w:themeFill="background1"/>
            <w:vAlign w:val="center"/>
          </w:tcPr>
          <w:p w14:paraId="42003809" w14:textId="77777777" w:rsidR="006929CB" w:rsidRPr="00795E1F" w:rsidRDefault="006929CB" w:rsidP="0035699C">
            <w:pPr>
              <w:pStyle w:val="Tableboldblue"/>
              <w:jc w:val="right"/>
              <w:rPr>
                <w:szCs w:val="18"/>
              </w:rPr>
            </w:pPr>
            <w:r w:rsidRPr="00795E1F">
              <w:rPr>
                <w:szCs w:val="18"/>
              </w:rPr>
              <w:t>18.5</w:t>
            </w:r>
          </w:p>
        </w:tc>
        <w:tc>
          <w:tcPr>
            <w:tcW w:w="1134" w:type="dxa"/>
            <w:shd w:val="clear" w:color="auto" w:fill="FFFFFF" w:themeFill="background1"/>
            <w:vAlign w:val="center"/>
          </w:tcPr>
          <w:p w14:paraId="1D727E39" w14:textId="77777777" w:rsidR="006929CB" w:rsidRPr="00795E1F" w:rsidRDefault="006929CB" w:rsidP="0035699C">
            <w:pPr>
              <w:pStyle w:val="Tableboldblue"/>
              <w:jc w:val="right"/>
              <w:rPr>
                <w:szCs w:val="18"/>
              </w:rPr>
            </w:pPr>
            <w:r w:rsidRPr="00795E1F">
              <w:rPr>
                <w:szCs w:val="18"/>
              </w:rPr>
              <w:t>12.3</w:t>
            </w:r>
          </w:p>
        </w:tc>
      </w:tr>
    </w:tbl>
    <w:bookmarkEnd w:id="1151"/>
    <w:bookmarkEnd w:id="1152"/>
    <w:bookmarkEnd w:id="1153"/>
    <w:bookmarkEnd w:id="1154"/>
    <w:bookmarkEnd w:id="1155"/>
    <w:bookmarkEnd w:id="1156"/>
    <w:bookmarkEnd w:id="1157"/>
    <w:p w14:paraId="440C4CAA" w14:textId="77777777" w:rsidR="006929CB" w:rsidRPr="00DD1C54" w:rsidRDefault="006929CB" w:rsidP="006929CB">
      <w:pPr>
        <w:pStyle w:val="Noteundertable"/>
        <w:spacing w:after="0"/>
      </w:pPr>
      <w:r w:rsidRPr="00DD1C54">
        <w:rPr>
          <w:b/>
        </w:rPr>
        <w:t>Notes:</w:t>
      </w:r>
    </w:p>
    <w:p w14:paraId="26E5F046" w14:textId="77777777" w:rsidR="006929CB" w:rsidRPr="00DD1C54" w:rsidRDefault="006929CB" w:rsidP="006929CB">
      <w:pPr>
        <w:pStyle w:val="Noteundertable"/>
        <w:spacing w:before="60" w:after="60"/>
        <w:ind w:left="340" w:hanging="340"/>
      </w:pPr>
      <w:r w:rsidRPr="00DD1C54">
        <w:t xml:space="preserve">1. </w:t>
      </w:r>
      <w:r w:rsidRPr="00DD1C54">
        <w:tab/>
        <w:t xml:space="preserve">Net change in carbon stocks includes ongoing changes in these forests, which were established from 2013 onwards. This is why an increase has occurred in the carbon in </w:t>
      </w:r>
      <w:r w:rsidRPr="00DD1C54">
        <w:rPr>
          <w:i/>
          <w:iCs/>
        </w:rPr>
        <w:t>Newly established</w:t>
      </w:r>
      <w:r w:rsidRPr="00DD1C54">
        <w:t xml:space="preserve"> forests even though no area was added to these forests in 2021 or 2022. </w:t>
      </w:r>
    </w:p>
    <w:p w14:paraId="5E3F7117" w14:textId="77777777" w:rsidR="006929CB" w:rsidRPr="00DD1C54" w:rsidRDefault="006929CB" w:rsidP="006929CB">
      <w:pPr>
        <w:pStyle w:val="Noteundertable"/>
        <w:spacing w:before="0"/>
        <w:ind w:left="340" w:hanging="340"/>
      </w:pPr>
      <w:r w:rsidRPr="00DD1C54">
        <w:t xml:space="preserve">2. </w:t>
      </w:r>
      <w:r w:rsidRPr="00DD1C54">
        <w:tab/>
        <w:t xml:space="preserve">Area changes for </w:t>
      </w:r>
      <w:r w:rsidRPr="00DD1C54">
        <w:rPr>
          <w:i/>
          <w:szCs w:val="18"/>
        </w:rPr>
        <w:t>Newly established</w:t>
      </w:r>
      <w:r w:rsidRPr="00DD1C54">
        <w:t xml:space="preserve"> and </w:t>
      </w:r>
      <w:r w:rsidRPr="00DD1C54">
        <w:rPr>
          <w:i/>
          <w:szCs w:val="18"/>
        </w:rPr>
        <w:t>Harvested and converted</w:t>
      </w:r>
      <w:r w:rsidRPr="00DD1C54">
        <w:t xml:space="preserve"> forests do not match for individual years because conversion activities associated with each application are spread over several years.</w:t>
      </w:r>
    </w:p>
    <w:p w14:paraId="42E25A05" w14:textId="77777777" w:rsidR="006929CB" w:rsidRPr="00DD1C54" w:rsidRDefault="006929CB" w:rsidP="006929CB">
      <w:pPr>
        <w:pStyle w:val="Tableheading"/>
      </w:pPr>
      <w:bookmarkStart w:id="1160" w:name="_Toc182311704"/>
      <w:bookmarkStart w:id="1161" w:name="_Toc185407539"/>
      <w:bookmarkStart w:id="1162" w:name="_Toc185427802"/>
      <w:r w:rsidRPr="00DD1C54">
        <w:t>Table A2.12:</w:t>
      </w:r>
      <w:r w:rsidRPr="00DD1C54">
        <w:tab/>
        <w:t>Breakdown of carbon equivalent forests (CEFs) by domestic scheme application from</w:t>
      </w:r>
      <w:r w:rsidRPr="00DD1C54">
        <w:br/>
        <w:t>2021 to 2022</w:t>
      </w:r>
      <w:bookmarkEnd w:id="1160"/>
      <w:bookmarkEnd w:id="1161"/>
      <w:bookmarkEnd w:id="1162"/>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1491"/>
        <w:gridCol w:w="4321"/>
        <w:gridCol w:w="1418"/>
        <w:gridCol w:w="1275"/>
      </w:tblGrid>
      <w:tr w:rsidR="006929CB" w:rsidRPr="00795E1F" w14:paraId="7281EC8D" w14:textId="77777777" w:rsidTr="00795E1F">
        <w:trPr>
          <w:tblHeader/>
        </w:trPr>
        <w:tc>
          <w:tcPr>
            <w:tcW w:w="1491" w:type="dxa"/>
            <w:shd w:val="clear" w:color="auto" w:fill="1B556B"/>
            <w:tcMar>
              <w:top w:w="0" w:type="dxa"/>
              <w:left w:w="85" w:type="dxa"/>
              <w:bottom w:w="0" w:type="dxa"/>
              <w:right w:w="85" w:type="dxa"/>
            </w:tcMar>
            <w:vAlign w:val="center"/>
          </w:tcPr>
          <w:p w14:paraId="00A4436B" w14:textId="77777777" w:rsidR="006929CB" w:rsidRPr="00795E1F" w:rsidRDefault="006929CB">
            <w:pPr>
              <w:pStyle w:val="TableTextbold"/>
              <w:spacing w:before="40" w:after="40"/>
              <w:rPr>
                <w:rFonts w:cs="Calibri"/>
                <w:color w:val="FFFFFF" w:themeColor="background1"/>
                <w:szCs w:val="18"/>
              </w:rPr>
            </w:pPr>
            <w:r w:rsidRPr="00795E1F">
              <w:rPr>
                <w:rFonts w:eastAsia="Calibri" w:cs="Calibri"/>
                <w:color w:val="FFFFFF" w:themeColor="background1"/>
                <w:szCs w:val="18"/>
              </w:rPr>
              <w:t>Scheme ID</w:t>
            </w:r>
          </w:p>
        </w:tc>
        <w:tc>
          <w:tcPr>
            <w:tcW w:w="4321" w:type="dxa"/>
            <w:shd w:val="clear" w:color="auto" w:fill="1B556B"/>
            <w:tcMar>
              <w:top w:w="0" w:type="dxa"/>
              <w:left w:w="85" w:type="dxa"/>
              <w:bottom w:w="0" w:type="dxa"/>
              <w:right w:w="85" w:type="dxa"/>
            </w:tcMar>
            <w:vAlign w:val="center"/>
          </w:tcPr>
          <w:p w14:paraId="38BB0BEE" w14:textId="77777777" w:rsidR="006929CB" w:rsidRPr="00795E1F" w:rsidRDefault="006929CB">
            <w:pPr>
              <w:pStyle w:val="TableTextbold"/>
              <w:spacing w:before="40" w:after="40"/>
              <w:rPr>
                <w:rFonts w:cs="Calibri"/>
                <w:color w:val="FFFFFF" w:themeColor="background1"/>
                <w:szCs w:val="18"/>
              </w:rPr>
            </w:pPr>
            <w:r w:rsidRPr="00795E1F">
              <w:rPr>
                <w:rFonts w:eastAsia="Calibri" w:cs="Calibri"/>
                <w:color w:val="FFFFFF" w:themeColor="background1"/>
                <w:szCs w:val="18"/>
              </w:rPr>
              <w:t>Management type</w:t>
            </w:r>
          </w:p>
        </w:tc>
        <w:tc>
          <w:tcPr>
            <w:tcW w:w="1418" w:type="dxa"/>
            <w:shd w:val="clear" w:color="auto" w:fill="1B556B"/>
            <w:tcMar>
              <w:top w:w="0" w:type="dxa"/>
              <w:left w:w="85" w:type="dxa"/>
              <w:bottom w:w="0" w:type="dxa"/>
              <w:right w:w="85" w:type="dxa"/>
            </w:tcMar>
            <w:vAlign w:val="center"/>
          </w:tcPr>
          <w:p w14:paraId="7AC57BCE" w14:textId="77777777" w:rsidR="006929CB" w:rsidRPr="00795E1F" w:rsidRDefault="006929CB">
            <w:pPr>
              <w:pStyle w:val="TableTextbold"/>
              <w:spacing w:before="40" w:after="40"/>
              <w:jc w:val="right"/>
              <w:rPr>
                <w:rFonts w:cs="Calibri"/>
                <w:color w:val="FFFFFF" w:themeColor="background1"/>
                <w:szCs w:val="18"/>
              </w:rPr>
            </w:pPr>
            <w:r w:rsidRPr="00795E1F">
              <w:rPr>
                <w:rFonts w:eastAsia="Calibri" w:cs="Calibri"/>
                <w:color w:val="FFFFFF" w:themeColor="background1"/>
                <w:szCs w:val="18"/>
              </w:rPr>
              <w:t>2021</w:t>
            </w:r>
          </w:p>
        </w:tc>
        <w:tc>
          <w:tcPr>
            <w:tcW w:w="1275" w:type="dxa"/>
            <w:shd w:val="clear" w:color="auto" w:fill="1B556B"/>
            <w:tcMar>
              <w:top w:w="0" w:type="dxa"/>
              <w:left w:w="85" w:type="dxa"/>
              <w:bottom w:w="0" w:type="dxa"/>
              <w:right w:w="85" w:type="dxa"/>
            </w:tcMar>
            <w:vAlign w:val="center"/>
          </w:tcPr>
          <w:p w14:paraId="052B8B0C" w14:textId="77777777" w:rsidR="006929CB" w:rsidRPr="00795E1F" w:rsidRDefault="006929CB">
            <w:pPr>
              <w:pStyle w:val="TableTextbold"/>
              <w:spacing w:before="40" w:after="40"/>
              <w:jc w:val="right"/>
              <w:rPr>
                <w:rFonts w:cs="Calibri"/>
                <w:color w:val="FFFFFF" w:themeColor="background1"/>
                <w:szCs w:val="18"/>
              </w:rPr>
            </w:pPr>
            <w:r w:rsidRPr="00795E1F">
              <w:rPr>
                <w:rFonts w:eastAsia="Calibri" w:cs="Calibri"/>
                <w:color w:val="FFFFFF" w:themeColor="background1"/>
                <w:szCs w:val="18"/>
              </w:rPr>
              <w:t>2022</w:t>
            </w:r>
          </w:p>
        </w:tc>
      </w:tr>
      <w:tr w:rsidR="006929CB" w:rsidRPr="00795E1F" w14:paraId="55B82E1E" w14:textId="77777777" w:rsidTr="00795E1F">
        <w:tc>
          <w:tcPr>
            <w:tcW w:w="1491" w:type="dxa"/>
            <w:shd w:val="clear" w:color="auto" w:fill="FFFFFF" w:themeFill="background1"/>
            <w:tcMar>
              <w:top w:w="0" w:type="dxa"/>
              <w:left w:w="85" w:type="dxa"/>
              <w:bottom w:w="0" w:type="dxa"/>
              <w:right w:w="85" w:type="dxa"/>
            </w:tcMar>
            <w:vAlign w:val="center"/>
          </w:tcPr>
          <w:p w14:paraId="7D5CC8F7" w14:textId="77777777" w:rsidR="006929CB" w:rsidRPr="00795E1F" w:rsidRDefault="006929CB">
            <w:pPr>
              <w:pStyle w:val="TableText"/>
              <w:spacing w:before="40" w:after="40"/>
              <w:rPr>
                <w:rFonts w:cs="Calibri"/>
                <w:szCs w:val="18"/>
              </w:rPr>
            </w:pPr>
            <w:r w:rsidRPr="00795E1F">
              <w:rPr>
                <w:rFonts w:eastAsia="Calibri" w:cs="Calibri"/>
                <w:szCs w:val="18"/>
              </w:rPr>
              <w:t>CEF - 2</w:t>
            </w:r>
          </w:p>
        </w:tc>
        <w:tc>
          <w:tcPr>
            <w:tcW w:w="4321" w:type="dxa"/>
            <w:shd w:val="clear" w:color="auto" w:fill="FFFFFF" w:themeFill="background1"/>
            <w:tcMar>
              <w:top w:w="0" w:type="dxa"/>
              <w:left w:w="85" w:type="dxa"/>
              <w:bottom w:w="0" w:type="dxa"/>
              <w:right w:w="85" w:type="dxa"/>
            </w:tcMar>
            <w:vAlign w:val="center"/>
          </w:tcPr>
          <w:p w14:paraId="6B96B3B9"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0F79B420" w14:textId="77777777" w:rsidR="006929CB" w:rsidRPr="00795E1F" w:rsidRDefault="006929CB">
            <w:pPr>
              <w:pStyle w:val="TableText"/>
              <w:spacing w:before="40" w:after="40"/>
              <w:jc w:val="right"/>
              <w:rPr>
                <w:rFonts w:cs="Calibri"/>
                <w:szCs w:val="18"/>
              </w:rPr>
            </w:pPr>
            <w:r w:rsidRPr="00795E1F">
              <w:rPr>
                <w:rFonts w:eastAsia="Calibri" w:cs="Calibri"/>
                <w:szCs w:val="18"/>
              </w:rPr>
              <w:t>–4.2</w:t>
            </w:r>
          </w:p>
        </w:tc>
        <w:tc>
          <w:tcPr>
            <w:tcW w:w="1275" w:type="dxa"/>
            <w:shd w:val="clear" w:color="auto" w:fill="FFFFFF" w:themeFill="background1"/>
            <w:tcMar>
              <w:top w:w="0" w:type="dxa"/>
              <w:left w:w="85" w:type="dxa"/>
              <w:bottom w:w="0" w:type="dxa"/>
              <w:right w:w="85" w:type="dxa"/>
            </w:tcMar>
            <w:vAlign w:val="center"/>
          </w:tcPr>
          <w:p w14:paraId="4AFFE31A" w14:textId="77777777" w:rsidR="006929CB" w:rsidRPr="00795E1F" w:rsidRDefault="006929CB">
            <w:pPr>
              <w:pStyle w:val="TableText"/>
              <w:spacing w:before="40" w:after="40"/>
              <w:jc w:val="right"/>
              <w:rPr>
                <w:rFonts w:cs="Calibri"/>
                <w:szCs w:val="18"/>
              </w:rPr>
            </w:pPr>
            <w:r w:rsidRPr="00795E1F">
              <w:rPr>
                <w:rFonts w:eastAsia="Calibri" w:cs="Calibri"/>
                <w:szCs w:val="18"/>
              </w:rPr>
              <w:t>–6.7</w:t>
            </w:r>
          </w:p>
        </w:tc>
      </w:tr>
      <w:tr w:rsidR="006929CB" w:rsidRPr="00795E1F" w14:paraId="1BD755CA" w14:textId="77777777" w:rsidTr="00795E1F">
        <w:tc>
          <w:tcPr>
            <w:tcW w:w="1491" w:type="dxa"/>
            <w:shd w:val="clear" w:color="auto" w:fill="FFFFFF" w:themeFill="background1"/>
            <w:tcMar>
              <w:top w:w="0" w:type="dxa"/>
              <w:left w:w="85" w:type="dxa"/>
              <w:bottom w:w="0" w:type="dxa"/>
              <w:right w:w="85" w:type="dxa"/>
            </w:tcMar>
            <w:vAlign w:val="center"/>
          </w:tcPr>
          <w:p w14:paraId="15CE0E4A" w14:textId="77777777" w:rsidR="006929CB" w:rsidRPr="00795E1F" w:rsidRDefault="006929CB">
            <w:pPr>
              <w:pStyle w:val="TableText"/>
              <w:spacing w:before="40" w:after="40"/>
              <w:rPr>
                <w:rFonts w:cs="Calibri"/>
                <w:szCs w:val="18"/>
              </w:rPr>
            </w:pPr>
            <w:r w:rsidRPr="00795E1F">
              <w:rPr>
                <w:rFonts w:eastAsia="Calibri" w:cs="Calibri"/>
                <w:szCs w:val="18"/>
              </w:rPr>
              <w:t>CEF - 3</w:t>
            </w:r>
          </w:p>
        </w:tc>
        <w:tc>
          <w:tcPr>
            <w:tcW w:w="4321" w:type="dxa"/>
            <w:shd w:val="clear" w:color="auto" w:fill="FFFFFF" w:themeFill="background1"/>
            <w:tcMar>
              <w:top w:w="0" w:type="dxa"/>
              <w:left w:w="85" w:type="dxa"/>
              <w:bottom w:w="0" w:type="dxa"/>
              <w:right w:w="85" w:type="dxa"/>
            </w:tcMar>
            <w:vAlign w:val="center"/>
          </w:tcPr>
          <w:p w14:paraId="1D06FB1C"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2FDC2CED" w14:textId="77777777" w:rsidR="006929CB" w:rsidRPr="00795E1F" w:rsidRDefault="006929CB">
            <w:pPr>
              <w:pStyle w:val="TableText"/>
              <w:spacing w:before="40" w:after="40"/>
              <w:jc w:val="right"/>
              <w:rPr>
                <w:rFonts w:cs="Calibri"/>
                <w:szCs w:val="18"/>
              </w:rPr>
            </w:pPr>
            <w:r w:rsidRPr="00795E1F">
              <w:rPr>
                <w:rFonts w:eastAsia="Calibri" w:cs="Calibri"/>
                <w:szCs w:val="18"/>
              </w:rPr>
              <w:t>–7.2</w:t>
            </w:r>
          </w:p>
        </w:tc>
        <w:tc>
          <w:tcPr>
            <w:tcW w:w="1275" w:type="dxa"/>
            <w:shd w:val="clear" w:color="auto" w:fill="FFFFFF" w:themeFill="background1"/>
            <w:tcMar>
              <w:top w:w="0" w:type="dxa"/>
              <w:left w:w="85" w:type="dxa"/>
              <w:bottom w:w="0" w:type="dxa"/>
              <w:right w:w="85" w:type="dxa"/>
            </w:tcMar>
            <w:vAlign w:val="center"/>
          </w:tcPr>
          <w:p w14:paraId="2CB44C14" w14:textId="77777777" w:rsidR="006929CB" w:rsidRPr="00795E1F" w:rsidRDefault="006929CB">
            <w:pPr>
              <w:pStyle w:val="TableText"/>
              <w:spacing w:before="40" w:after="40"/>
              <w:jc w:val="right"/>
              <w:rPr>
                <w:rFonts w:cs="Calibri"/>
                <w:szCs w:val="18"/>
              </w:rPr>
            </w:pPr>
            <w:r w:rsidRPr="00795E1F">
              <w:rPr>
                <w:rFonts w:eastAsia="Calibri" w:cs="Calibri"/>
                <w:szCs w:val="18"/>
              </w:rPr>
              <w:t>–11.8</w:t>
            </w:r>
          </w:p>
        </w:tc>
      </w:tr>
      <w:tr w:rsidR="006929CB" w:rsidRPr="00795E1F" w14:paraId="1A33F41C" w14:textId="77777777" w:rsidTr="00795E1F">
        <w:tc>
          <w:tcPr>
            <w:tcW w:w="1491" w:type="dxa"/>
            <w:shd w:val="clear" w:color="auto" w:fill="FFFFFF" w:themeFill="background1"/>
            <w:tcMar>
              <w:top w:w="0" w:type="dxa"/>
              <w:left w:w="85" w:type="dxa"/>
              <w:bottom w:w="0" w:type="dxa"/>
              <w:right w:w="85" w:type="dxa"/>
            </w:tcMar>
            <w:vAlign w:val="center"/>
          </w:tcPr>
          <w:p w14:paraId="2F02D48A" w14:textId="77777777" w:rsidR="006929CB" w:rsidRPr="00795E1F" w:rsidRDefault="006929CB">
            <w:pPr>
              <w:pStyle w:val="TableText"/>
              <w:spacing w:before="40" w:after="40"/>
              <w:rPr>
                <w:rFonts w:cs="Calibri"/>
                <w:szCs w:val="18"/>
              </w:rPr>
            </w:pPr>
            <w:r w:rsidRPr="00795E1F">
              <w:rPr>
                <w:rFonts w:eastAsia="Calibri" w:cs="Calibri"/>
                <w:szCs w:val="18"/>
              </w:rPr>
              <w:t>CEF - 4</w:t>
            </w:r>
          </w:p>
        </w:tc>
        <w:tc>
          <w:tcPr>
            <w:tcW w:w="4321" w:type="dxa"/>
            <w:shd w:val="clear" w:color="auto" w:fill="FFFFFF" w:themeFill="background1"/>
            <w:tcMar>
              <w:top w:w="0" w:type="dxa"/>
              <w:left w:w="85" w:type="dxa"/>
              <w:bottom w:w="0" w:type="dxa"/>
              <w:right w:w="85" w:type="dxa"/>
            </w:tcMar>
            <w:vAlign w:val="center"/>
          </w:tcPr>
          <w:p w14:paraId="1AA087C7"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1B85A860" w14:textId="77777777" w:rsidR="006929CB" w:rsidRPr="00795E1F" w:rsidRDefault="006929CB">
            <w:pPr>
              <w:pStyle w:val="TableText"/>
              <w:spacing w:before="40" w:after="40"/>
              <w:jc w:val="right"/>
              <w:rPr>
                <w:rFonts w:cs="Calibri"/>
                <w:szCs w:val="18"/>
              </w:rPr>
            </w:pPr>
            <w:r w:rsidRPr="00795E1F">
              <w:rPr>
                <w:rFonts w:eastAsia="Calibri" w:cs="Calibri"/>
                <w:szCs w:val="18"/>
              </w:rPr>
              <w:t>–0.4</w:t>
            </w:r>
          </w:p>
        </w:tc>
        <w:tc>
          <w:tcPr>
            <w:tcW w:w="1275" w:type="dxa"/>
            <w:shd w:val="clear" w:color="auto" w:fill="FFFFFF" w:themeFill="background1"/>
            <w:tcMar>
              <w:top w:w="0" w:type="dxa"/>
              <w:left w:w="85" w:type="dxa"/>
              <w:bottom w:w="0" w:type="dxa"/>
              <w:right w:w="85" w:type="dxa"/>
            </w:tcMar>
            <w:vAlign w:val="center"/>
          </w:tcPr>
          <w:p w14:paraId="71991E7F" w14:textId="77777777" w:rsidR="006929CB" w:rsidRPr="00795E1F" w:rsidRDefault="006929CB">
            <w:pPr>
              <w:pStyle w:val="TableText"/>
              <w:spacing w:before="40" w:after="40"/>
              <w:jc w:val="right"/>
              <w:rPr>
                <w:rFonts w:cs="Calibri"/>
                <w:szCs w:val="18"/>
              </w:rPr>
            </w:pPr>
            <w:r w:rsidRPr="00795E1F">
              <w:rPr>
                <w:rFonts w:eastAsia="Calibri" w:cs="Calibri"/>
                <w:szCs w:val="18"/>
              </w:rPr>
              <w:t>–0.4</w:t>
            </w:r>
          </w:p>
        </w:tc>
      </w:tr>
      <w:tr w:rsidR="006929CB" w:rsidRPr="00795E1F" w14:paraId="1F5E7F4B" w14:textId="77777777" w:rsidTr="00795E1F">
        <w:tc>
          <w:tcPr>
            <w:tcW w:w="1491" w:type="dxa"/>
            <w:shd w:val="clear" w:color="auto" w:fill="FFFFFF" w:themeFill="background1"/>
            <w:tcMar>
              <w:top w:w="0" w:type="dxa"/>
              <w:left w:w="85" w:type="dxa"/>
              <w:bottom w:w="0" w:type="dxa"/>
              <w:right w:w="85" w:type="dxa"/>
            </w:tcMar>
            <w:vAlign w:val="center"/>
          </w:tcPr>
          <w:p w14:paraId="5628A751" w14:textId="77777777" w:rsidR="006929CB" w:rsidRPr="00795E1F" w:rsidRDefault="006929CB">
            <w:pPr>
              <w:pStyle w:val="TableText"/>
              <w:spacing w:before="40" w:after="40"/>
              <w:rPr>
                <w:rFonts w:cs="Calibri"/>
                <w:szCs w:val="18"/>
              </w:rPr>
            </w:pPr>
            <w:r w:rsidRPr="00795E1F">
              <w:rPr>
                <w:rFonts w:eastAsia="Calibri" w:cs="Calibri"/>
                <w:szCs w:val="18"/>
              </w:rPr>
              <w:t>CEF - 8</w:t>
            </w:r>
          </w:p>
        </w:tc>
        <w:tc>
          <w:tcPr>
            <w:tcW w:w="4321" w:type="dxa"/>
            <w:shd w:val="clear" w:color="auto" w:fill="FFFFFF" w:themeFill="background1"/>
            <w:tcMar>
              <w:top w:w="0" w:type="dxa"/>
              <w:left w:w="85" w:type="dxa"/>
              <w:bottom w:w="0" w:type="dxa"/>
              <w:right w:w="85" w:type="dxa"/>
            </w:tcMar>
            <w:vAlign w:val="center"/>
          </w:tcPr>
          <w:p w14:paraId="70A7C3C3"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6F0DFAE9" w14:textId="77777777" w:rsidR="006929CB" w:rsidRPr="00795E1F" w:rsidRDefault="006929CB">
            <w:pPr>
              <w:pStyle w:val="TableText"/>
              <w:spacing w:before="40" w:after="40"/>
              <w:jc w:val="right"/>
              <w:rPr>
                <w:rFonts w:cs="Calibri"/>
                <w:szCs w:val="18"/>
              </w:rPr>
            </w:pPr>
            <w:r w:rsidRPr="00795E1F">
              <w:rPr>
                <w:rFonts w:eastAsia="Calibri" w:cs="Calibri"/>
                <w:szCs w:val="18"/>
              </w:rPr>
              <w:t>–1.5</w:t>
            </w:r>
          </w:p>
        </w:tc>
        <w:tc>
          <w:tcPr>
            <w:tcW w:w="1275" w:type="dxa"/>
            <w:shd w:val="clear" w:color="auto" w:fill="FFFFFF" w:themeFill="background1"/>
            <w:tcMar>
              <w:top w:w="0" w:type="dxa"/>
              <w:left w:w="85" w:type="dxa"/>
              <w:bottom w:w="0" w:type="dxa"/>
              <w:right w:w="85" w:type="dxa"/>
            </w:tcMar>
            <w:vAlign w:val="center"/>
          </w:tcPr>
          <w:p w14:paraId="065FAC37" w14:textId="77777777" w:rsidR="006929CB" w:rsidRPr="00795E1F" w:rsidRDefault="006929CB">
            <w:pPr>
              <w:pStyle w:val="TableText"/>
              <w:spacing w:before="40" w:after="40"/>
              <w:jc w:val="right"/>
              <w:rPr>
                <w:rFonts w:cs="Calibri"/>
                <w:szCs w:val="18"/>
              </w:rPr>
            </w:pPr>
            <w:r w:rsidRPr="00795E1F">
              <w:rPr>
                <w:rFonts w:eastAsia="Calibri" w:cs="Calibri"/>
                <w:szCs w:val="18"/>
              </w:rPr>
              <w:t>–2.2</w:t>
            </w:r>
          </w:p>
        </w:tc>
      </w:tr>
      <w:tr w:rsidR="006929CB" w:rsidRPr="00795E1F" w14:paraId="29C16A21" w14:textId="77777777" w:rsidTr="00795E1F">
        <w:tc>
          <w:tcPr>
            <w:tcW w:w="1491" w:type="dxa"/>
            <w:shd w:val="clear" w:color="auto" w:fill="FFFFFF" w:themeFill="background1"/>
            <w:tcMar>
              <w:top w:w="0" w:type="dxa"/>
              <w:left w:w="85" w:type="dxa"/>
              <w:bottom w:w="0" w:type="dxa"/>
              <w:right w:w="85" w:type="dxa"/>
            </w:tcMar>
            <w:vAlign w:val="center"/>
          </w:tcPr>
          <w:p w14:paraId="07461466" w14:textId="77777777" w:rsidR="006929CB" w:rsidRPr="00795E1F" w:rsidRDefault="006929CB">
            <w:pPr>
              <w:pStyle w:val="TableText"/>
              <w:spacing w:before="40" w:after="40"/>
              <w:rPr>
                <w:rFonts w:cs="Calibri"/>
                <w:szCs w:val="18"/>
              </w:rPr>
            </w:pPr>
            <w:r w:rsidRPr="00795E1F">
              <w:rPr>
                <w:rFonts w:eastAsia="Calibri" w:cs="Calibri"/>
                <w:szCs w:val="18"/>
              </w:rPr>
              <w:t>CEF - 9</w:t>
            </w:r>
          </w:p>
        </w:tc>
        <w:tc>
          <w:tcPr>
            <w:tcW w:w="4321" w:type="dxa"/>
            <w:shd w:val="clear" w:color="auto" w:fill="FFFFFF" w:themeFill="background1"/>
            <w:tcMar>
              <w:top w:w="0" w:type="dxa"/>
              <w:left w:w="85" w:type="dxa"/>
              <w:bottom w:w="0" w:type="dxa"/>
              <w:right w:w="85" w:type="dxa"/>
            </w:tcMar>
            <w:vAlign w:val="center"/>
          </w:tcPr>
          <w:p w14:paraId="268950B8"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7CEA5724" w14:textId="77777777" w:rsidR="006929CB" w:rsidRPr="00795E1F" w:rsidRDefault="006929CB">
            <w:pPr>
              <w:pStyle w:val="TableText"/>
              <w:spacing w:before="40" w:after="40"/>
              <w:jc w:val="right"/>
              <w:rPr>
                <w:rFonts w:cs="Calibri"/>
                <w:szCs w:val="18"/>
              </w:rPr>
            </w:pPr>
            <w:r w:rsidRPr="00795E1F">
              <w:rPr>
                <w:rFonts w:eastAsia="Calibri" w:cs="Calibri"/>
                <w:szCs w:val="18"/>
              </w:rPr>
              <w:t>–0.7</w:t>
            </w:r>
          </w:p>
        </w:tc>
        <w:tc>
          <w:tcPr>
            <w:tcW w:w="1275" w:type="dxa"/>
            <w:shd w:val="clear" w:color="auto" w:fill="FFFFFF" w:themeFill="background1"/>
            <w:tcMar>
              <w:top w:w="0" w:type="dxa"/>
              <w:left w:w="85" w:type="dxa"/>
              <w:bottom w:w="0" w:type="dxa"/>
              <w:right w:w="85" w:type="dxa"/>
            </w:tcMar>
            <w:vAlign w:val="center"/>
          </w:tcPr>
          <w:p w14:paraId="451DF80A" w14:textId="77777777" w:rsidR="006929CB" w:rsidRPr="00795E1F" w:rsidRDefault="006929CB">
            <w:pPr>
              <w:pStyle w:val="TableText"/>
              <w:spacing w:before="40" w:after="40"/>
              <w:jc w:val="right"/>
              <w:rPr>
                <w:rFonts w:cs="Calibri"/>
                <w:szCs w:val="18"/>
              </w:rPr>
            </w:pPr>
            <w:r w:rsidRPr="00795E1F">
              <w:rPr>
                <w:rFonts w:eastAsia="Calibri" w:cs="Calibri"/>
                <w:szCs w:val="18"/>
              </w:rPr>
              <w:t>–1.1</w:t>
            </w:r>
          </w:p>
        </w:tc>
      </w:tr>
      <w:tr w:rsidR="006929CB" w:rsidRPr="00795E1F" w14:paraId="2525AB16" w14:textId="77777777" w:rsidTr="00795E1F">
        <w:tc>
          <w:tcPr>
            <w:tcW w:w="1491" w:type="dxa"/>
            <w:vMerge w:val="restart"/>
            <w:shd w:val="clear" w:color="auto" w:fill="FFFFFF" w:themeFill="background1"/>
            <w:tcMar>
              <w:top w:w="0" w:type="dxa"/>
              <w:left w:w="85" w:type="dxa"/>
              <w:bottom w:w="0" w:type="dxa"/>
              <w:right w:w="85" w:type="dxa"/>
            </w:tcMar>
            <w:vAlign w:val="center"/>
          </w:tcPr>
          <w:p w14:paraId="7C114D4D" w14:textId="77777777" w:rsidR="006929CB" w:rsidRPr="00795E1F" w:rsidRDefault="006929CB">
            <w:pPr>
              <w:pStyle w:val="TableText"/>
              <w:keepNext/>
              <w:spacing w:before="40" w:after="40"/>
              <w:rPr>
                <w:rFonts w:cs="Calibri"/>
                <w:szCs w:val="18"/>
              </w:rPr>
            </w:pPr>
            <w:r w:rsidRPr="00795E1F">
              <w:rPr>
                <w:rFonts w:eastAsia="Calibri" w:cs="Calibri"/>
                <w:szCs w:val="18"/>
              </w:rPr>
              <w:t>CEF - 11</w:t>
            </w:r>
          </w:p>
        </w:tc>
        <w:tc>
          <w:tcPr>
            <w:tcW w:w="4321" w:type="dxa"/>
            <w:shd w:val="clear" w:color="auto" w:fill="FFFFFF" w:themeFill="background1"/>
            <w:tcMar>
              <w:top w:w="0" w:type="dxa"/>
              <w:left w:w="85" w:type="dxa"/>
              <w:bottom w:w="0" w:type="dxa"/>
              <w:right w:w="85" w:type="dxa"/>
            </w:tcMar>
            <w:vAlign w:val="center"/>
          </w:tcPr>
          <w:p w14:paraId="3ECF7098" w14:textId="77777777" w:rsidR="006929CB" w:rsidRPr="00795E1F" w:rsidRDefault="006929CB">
            <w:pPr>
              <w:pStyle w:val="TableText"/>
              <w:spacing w:before="40" w:after="40"/>
              <w:rPr>
                <w:rFonts w:cs="Calibri"/>
                <w:szCs w:val="18"/>
              </w:rPr>
            </w:pPr>
            <w:r w:rsidRPr="00795E1F">
              <w:rPr>
                <w:rFonts w:eastAsia="Calibri" w:cs="Calibri"/>
                <w:szCs w:val="18"/>
              </w:rPr>
              <w:t>Harvested and converted (ha)</w:t>
            </w:r>
          </w:p>
        </w:tc>
        <w:tc>
          <w:tcPr>
            <w:tcW w:w="1418" w:type="dxa"/>
            <w:shd w:val="clear" w:color="auto" w:fill="FFFFFF" w:themeFill="background1"/>
            <w:tcMar>
              <w:top w:w="0" w:type="dxa"/>
              <w:left w:w="85" w:type="dxa"/>
              <w:bottom w:w="0" w:type="dxa"/>
              <w:right w:w="85" w:type="dxa"/>
            </w:tcMar>
            <w:vAlign w:val="center"/>
          </w:tcPr>
          <w:p w14:paraId="371F472B" w14:textId="77777777" w:rsidR="006929CB" w:rsidRPr="00795E1F" w:rsidRDefault="006929CB">
            <w:pPr>
              <w:pStyle w:val="TableText"/>
              <w:spacing w:before="40" w:after="40"/>
              <w:jc w:val="right"/>
              <w:rPr>
                <w:rFonts w:cs="Calibri"/>
                <w:szCs w:val="18"/>
              </w:rPr>
            </w:pPr>
            <w:r w:rsidRPr="00795E1F">
              <w:rPr>
                <w:rFonts w:eastAsia="Calibri" w:cs="Calibri"/>
                <w:szCs w:val="18"/>
              </w:rPr>
              <w:t>55</w:t>
            </w:r>
          </w:p>
        </w:tc>
        <w:tc>
          <w:tcPr>
            <w:tcW w:w="1275" w:type="dxa"/>
            <w:shd w:val="clear" w:color="auto" w:fill="FFFFFF" w:themeFill="background1"/>
            <w:tcMar>
              <w:top w:w="0" w:type="dxa"/>
              <w:left w:w="85" w:type="dxa"/>
              <w:bottom w:w="0" w:type="dxa"/>
              <w:right w:w="85" w:type="dxa"/>
            </w:tcMar>
            <w:vAlign w:val="center"/>
          </w:tcPr>
          <w:p w14:paraId="45FA0F31" w14:textId="77777777" w:rsidR="006929CB" w:rsidRPr="00795E1F" w:rsidRDefault="006929CB">
            <w:pPr>
              <w:pStyle w:val="TableText"/>
              <w:spacing w:before="40" w:after="40"/>
              <w:jc w:val="right"/>
              <w:rPr>
                <w:rFonts w:cs="Calibri"/>
                <w:szCs w:val="18"/>
              </w:rPr>
            </w:pPr>
            <w:r w:rsidRPr="00795E1F">
              <w:rPr>
                <w:rFonts w:eastAsia="Calibri" w:cs="Calibri"/>
                <w:szCs w:val="18"/>
              </w:rPr>
              <w:t>113</w:t>
            </w:r>
          </w:p>
        </w:tc>
      </w:tr>
      <w:tr w:rsidR="006929CB" w:rsidRPr="00795E1F" w14:paraId="43F04ADD" w14:textId="77777777" w:rsidTr="00795E1F">
        <w:tc>
          <w:tcPr>
            <w:tcW w:w="1491" w:type="dxa"/>
            <w:vMerge/>
            <w:tcMar>
              <w:top w:w="0" w:type="dxa"/>
              <w:left w:w="85" w:type="dxa"/>
              <w:bottom w:w="0" w:type="dxa"/>
              <w:right w:w="85" w:type="dxa"/>
            </w:tcMar>
            <w:vAlign w:val="center"/>
          </w:tcPr>
          <w:p w14:paraId="31212E21" w14:textId="77777777" w:rsidR="006929CB" w:rsidRPr="00795E1F" w:rsidRDefault="006929CB">
            <w:pPr>
              <w:pStyle w:val="TableText"/>
              <w:spacing w:before="40" w:after="40"/>
              <w:rPr>
                <w:rFonts w:cs="Calibri"/>
                <w:szCs w:val="18"/>
              </w:rPr>
            </w:pPr>
          </w:p>
        </w:tc>
        <w:tc>
          <w:tcPr>
            <w:tcW w:w="4321" w:type="dxa"/>
            <w:shd w:val="clear" w:color="auto" w:fill="FFFFFF" w:themeFill="background1"/>
            <w:tcMar>
              <w:top w:w="0" w:type="dxa"/>
              <w:left w:w="85" w:type="dxa"/>
              <w:bottom w:w="0" w:type="dxa"/>
              <w:right w:w="85" w:type="dxa"/>
            </w:tcMar>
            <w:vAlign w:val="center"/>
          </w:tcPr>
          <w:p w14:paraId="60F3783C"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7758843D" w14:textId="77777777" w:rsidR="006929CB" w:rsidRPr="00795E1F" w:rsidRDefault="006929CB">
            <w:pPr>
              <w:pStyle w:val="TableText"/>
              <w:spacing w:before="40" w:after="40"/>
              <w:jc w:val="right"/>
              <w:rPr>
                <w:rFonts w:cs="Calibri"/>
                <w:szCs w:val="18"/>
              </w:rPr>
            </w:pPr>
            <w:r w:rsidRPr="00795E1F">
              <w:rPr>
                <w:rFonts w:eastAsia="Calibri" w:cs="Calibri"/>
                <w:szCs w:val="18"/>
              </w:rPr>
              <w:t>36.7</w:t>
            </w:r>
          </w:p>
        </w:tc>
        <w:tc>
          <w:tcPr>
            <w:tcW w:w="1275" w:type="dxa"/>
            <w:shd w:val="clear" w:color="auto" w:fill="FFFFFF" w:themeFill="background1"/>
            <w:tcMar>
              <w:top w:w="0" w:type="dxa"/>
              <w:left w:w="85" w:type="dxa"/>
              <w:bottom w:w="0" w:type="dxa"/>
              <w:right w:w="85" w:type="dxa"/>
            </w:tcMar>
            <w:vAlign w:val="center"/>
          </w:tcPr>
          <w:p w14:paraId="19D60E53" w14:textId="77777777" w:rsidR="006929CB" w:rsidRPr="00795E1F" w:rsidRDefault="006929CB">
            <w:pPr>
              <w:pStyle w:val="TableText"/>
              <w:spacing w:before="40" w:after="40"/>
              <w:jc w:val="right"/>
              <w:rPr>
                <w:rFonts w:cs="Calibri"/>
                <w:szCs w:val="18"/>
              </w:rPr>
            </w:pPr>
            <w:r w:rsidRPr="00795E1F">
              <w:rPr>
                <w:rFonts w:eastAsia="Calibri" w:cs="Calibri"/>
                <w:szCs w:val="18"/>
              </w:rPr>
              <w:t>77.3</w:t>
            </w:r>
          </w:p>
        </w:tc>
      </w:tr>
      <w:tr w:rsidR="006929CB" w:rsidRPr="00795E1F" w14:paraId="33A8116E" w14:textId="77777777" w:rsidTr="00795E1F">
        <w:tc>
          <w:tcPr>
            <w:tcW w:w="1491" w:type="dxa"/>
            <w:shd w:val="clear" w:color="auto" w:fill="FFFFFF" w:themeFill="background1"/>
            <w:tcMar>
              <w:top w:w="0" w:type="dxa"/>
              <w:left w:w="85" w:type="dxa"/>
              <w:bottom w:w="0" w:type="dxa"/>
              <w:right w:w="85" w:type="dxa"/>
            </w:tcMar>
            <w:vAlign w:val="center"/>
          </w:tcPr>
          <w:p w14:paraId="7474C96A" w14:textId="77777777" w:rsidR="006929CB" w:rsidRPr="00795E1F" w:rsidRDefault="006929CB">
            <w:pPr>
              <w:pStyle w:val="TableText"/>
              <w:spacing w:before="40" w:after="40"/>
              <w:rPr>
                <w:rFonts w:cs="Calibri"/>
                <w:szCs w:val="18"/>
              </w:rPr>
            </w:pPr>
            <w:r w:rsidRPr="00795E1F">
              <w:rPr>
                <w:rFonts w:eastAsia="Calibri" w:cs="Calibri"/>
                <w:szCs w:val="18"/>
              </w:rPr>
              <w:t>CEF - 12</w:t>
            </w:r>
          </w:p>
        </w:tc>
        <w:tc>
          <w:tcPr>
            <w:tcW w:w="4321" w:type="dxa"/>
            <w:shd w:val="clear" w:color="auto" w:fill="FFFFFF" w:themeFill="background1"/>
            <w:tcMar>
              <w:top w:w="0" w:type="dxa"/>
              <w:left w:w="85" w:type="dxa"/>
              <w:bottom w:w="0" w:type="dxa"/>
              <w:right w:w="85" w:type="dxa"/>
            </w:tcMar>
            <w:vAlign w:val="center"/>
          </w:tcPr>
          <w:p w14:paraId="3F5FCC23"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59273274" w14:textId="77777777" w:rsidR="006929CB" w:rsidRPr="00795E1F" w:rsidRDefault="006929CB">
            <w:pPr>
              <w:pStyle w:val="TableText"/>
              <w:spacing w:before="40" w:after="40"/>
              <w:jc w:val="right"/>
              <w:rPr>
                <w:rFonts w:cs="Calibri"/>
                <w:szCs w:val="18"/>
              </w:rPr>
            </w:pPr>
            <w:r w:rsidRPr="00795E1F">
              <w:rPr>
                <w:rFonts w:eastAsia="Calibri" w:cs="Calibri"/>
                <w:szCs w:val="18"/>
              </w:rPr>
              <w:t>–4.8</w:t>
            </w:r>
          </w:p>
        </w:tc>
        <w:tc>
          <w:tcPr>
            <w:tcW w:w="1275" w:type="dxa"/>
            <w:shd w:val="clear" w:color="auto" w:fill="FFFFFF" w:themeFill="background1"/>
            <w:tcMar>
              <w:top w:w="0" w:type="dxa"/>
              <w:left w:w="85" w:type="dxa"/>
              <w:bottom w:w="0" w:type="dxa"/>
              <w:right w:w="85" w:type="dxa"/>
            </w:tcMar>
            <w:vAlign w:val="center"/>
          </w:tcPr>
          <w:p w14:paraId="4FC780E1" w14:textId="77777777" w:rsidR="006929CB" w:rsidRPr="00795E1F" w:rsidRDefault="006929CB">
            <w:pPr>
              <w:pStyle w:val="TableText"/>
              <w:spacing w:before="40" w:after="40"/>
              <w:jc w:val="right"/>
              <w:rPr>
                <w:rFonts w:cs="Calibri"/>
                <w:szCs w:val="18"/>
              </w:rPr>
            </w:pPr>
            <w:r w:rsidRPr="00795E1F">
              <w:rPr>
                <w:rFonts w:eastAsia="Calibri" w:cs="Calibri"/>
                <w:szCs w:val="18"/>
              </w:rPr>
              <w:t>–6.8</w:t>
            </w:r>
          </w:p>
        </w:tc>
      </w:tr>
      <w:tr w:rsidR="006929CB" w:rsidRPr="00795E1F" w14:paraId="12A86536" w14:textId="77777777" w:rsidTr="00795E1F">
        <w:tc>
          <w:tcPr>
            <w:tcW w:w="1491" w:type="dxa"/>
            <w:shd w:val="clear" w:color="auto" w:fill="FFFFFF" w:themeFill="background1"/>
            <w:tcMar>
              <w:top w:w="0" w:type="dxa"/>
              <w:left w:w="85" w:type="dxa"/>
              <w:bottom w:w="0" w:type="dxa"/>
              <w:right w:w="85" w:type="dxa"/>
            </w:tcMar>
            <w:vAlign w:val="center"/>
          </w:tcPr>
          <w:p w14:paraId="51B16CB2" w14:textId="77777777" w:rsidR="006929CB" w:rsidRPr="00795E1F" w:rsidRDefault="006929CB">
            <w:pPr>
              <w:pStyle w:val="TableText"/>
              <w:spacing w:before="40" w:after="40"/>
              <w:rPr>
                <w:rFonts w:cs="Calibri"/>
                <w:szCs w:val="18"/>
              </w:rPr>
            </w:pPr>
            <w:r w:rsidRPr="00795E1F">
              <w:rPr>
                <w:rFonts w:eastAsia="Calibri" w:cs="Calibri"/>
                <w:szCs w:val="18"/>
              </w:rPr>
              <w:t>CEF - 13</w:t>
            </w:r>
          </w:p>
        </w:tc>
        <w:tc>
          <w:tcPr>
            <w:tcW w:w="4321" w:type="dxa"/>
            <w:shd w:val="clear" w:color="auto" w:fill="FFFFFF" w:themeFill="background1"/>
            <w:tcMar>
              <w:top w:w="0" w:type="dxa"/>
              <w:left w:w="85" w:type="dxa"/>
              <w:bottom w:w="0" w:type="dxa"/>
              <w:right w:w="85" w:type="dxa"/>
            </w:tcMar>
            <w:vAlign w:val="center"/>
          </w:tcPr>
          <w:p w14:paraId="1EA3CA4C"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0C949317" w14:textId="77777777" w:rsidR="006929CB" w:rsidRPr="00795E1F" w:rsidRDefault="006929CB">
            <w:pPr>
              <w:pStyle w:val="TableText"/>
              <w:spacing w:before="40" w:after="40"/>
              <w:jc w:val="right"/>
              <w:rPr>
                <w:rFonts w:cs="Calibri"/>
                <w:szCs w:val="18"/>
              </w:rPr>
            </w:pPr>
            <w:r w:rsidRPr="00795E1F">
              <w:rPr>
                <w:rFonts w:eastAsia="Calibri" w:cs="Calibri"/>
                <w:szCs w:val="18"/>
              </w:rPr>
              <w:t>–3.1</w:t>
            </w:r>
          </w:p>
        </w:tc>
        <w:tc>
          <w:tcPr>
            <w:tcW w:w="1275" w:type="dxa"/>
            <w:shd w:val="clear" w:color="auto" w:fill="FFFFFF" w:themeFill="background1"/>
            <w:tcMar>
              <w:top w:w="0" w:type="dxa"/>
              <w:left w:w="85" w:type="dxa"/>
              <w:bottom w:w="0" w:type="dxa"/>
              <w:right w:w="85" w:type="dxa"/>
            </w:tcMar>
            <w:vAlign w:val="center"/>
          </w:tcPr>
          <w:p w14:paraId="3ADB85CA" w14:textId="77777777" w:rsidR="006929CB" w:rsidRPr="00795E1F" w:rsidRDefault="006929CB">
            <w:pPr>
              <w:pStyle w:val="TableText"/>
              <w:spacing w:before="40" w:after="40"/>
              <w:jc w:val="right"/>
              <w:rPr>
                <w:rFonts w:cs="Calibri"/>
                <w:szCs w:val="18"/>
              </w:rPr>
            </w:pPr>
            <w:r w:rsidRPr="00795E1F">
              <w:rPr>
                <w:rFonts w:eastAsia="Calibri" w:cs="Calibri"/>
                <w:szCs w:val="18"/>
              </w:rPr>
              <w:t>–4.5</w:t>
            </w:r>
          </w:p>
        </w:tc>
      </w:tr>
      <w:tr w:rsidR="006929CB" w:rsidRPr="00795E1F" w14:paraId="02BB4A88" w14:textId="77777777" w:rsidTr="00795E1F">
        <w:tc>
          <w:tcPr>
            <w:tcW w:w="1491" w:type="dxa"/>
            <w:shd w:val="clear" w:color="auto" w:fill="FFFFFF" w:themeFill="background1"/>
            <w:tcMar>
              <w:top w:w="0" w:type="dxa"/>
              <w:left w:w="85" w:type="dxa"/>
              <w:bottom w:w="0" w:type="dxa"/>
              <w:right w:w="85" w:type="dxa"/>
            </w:tcMar>
            <w:vAlign w:val="center"/>
          </w:tcPr>
          <w:p w14:paraId="613F7F63" w14:textId="77777777" w:rsidR="006929CB" w:rsidRPr="00795E1F" w:rsidRDefault="006929CB">
            <w:pPr>
              <w:pStyle w:val="TableText"/>
              <w:spacing w:before="40" w:after="40"/>
              <w:rPr>
                <w:rFonts w:cs="Calibri"/>
                <w:szCs w:val="18"/>
              </w:rPr>
            </w:pPr>
            <w:r w:rsidRPr="00795E1F">
              <w:rPr>
                <w:rFonts w:eastAsia="Calibri" w:cs="Calibri"/>
                <w:szCs w:val="18"/>
              </w:rPr>
              <w:t>CEF - 14</w:t>
            </w:r>
          </w:p>
        </w:tc>
        <w:tc>
          <w:tcPr>
            <w:tcW w:w="4321" w:type="dxa"/>
            <w:shd w:val="clear" w:color="auto" w:fill="FFFFFF" w:themeFill="background1"/>
            <w:tcMar>
              <w:top w:w="0" w:type="dxa"/>
              <w:left w:w="85" w:type="dxa"/>
              <w:bottom w:w="0" w:type="dxa"/>
              <w:right w:w="85" w:type="dxa"/>
            </w:tcMar>
            <w:vAlign w:val="center"/>
          </w:tcPr>
          <w:p w14:paraId="5C06F0B3"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114CE6E9" w14:textId="77777777" w:rsidR="006929CB" w:rsidRPr="00795E1F" w:rsidRDefault="006929CB">
            <w:pPr>
              <w:pStyle w:val="TableText"/>
              <w:spacing w:before="40" w:after="40"/>
              <w:jc w:val="right"/>
              <w:rPr>
                <w:rFonts w:cs="Calibri"/>
                <w:szCs w:val="18"/>
              </w:rPr>
            </w:pPr>
            <w:r w:rsidRPr="00795E1F">
              <w:rPr>
                <w:rFonts w:eastAsia="Calibri" w:cs="Calibri"/>
                <w:szCs w:val="18"/>
              </w:rPr>
              <w:t>–2.5</w:t>
            </w:r>
          </w:p>
        </w:tc>
        <w:tc>
          <w:tcPr>
            <w:tcW w:w="1275" w:type="dxa"/>
            <w:shd w:val="clear" w:color="auto" w:fill="FFFFFF" w:themeFill="background1"/>
            <w:tcMar>
              <w:top w:w="0" w:type="dxa"/>
              <w:left w:w="85" w:type="dxa"/>
              <w:bottom w:w="0" w:type="dxa"/>
              <w:right w:w="85" w:type="dxa"/>
            </w:tcMar>
            <w:vAlign w:val="center"/>
          </w:tcPr>
          <w:p w14:paraId="4E4330FD" w14:textId="77777777" w:rsidR="006929CB" w:rsidRPr="00795E1F" w:rsidRDefault="006929CB">
            <w:pPr>
              <w:pStyle w:val="TableText"/>
              <w:spacing w:before="40" w:after="40"/>
              <w:jc w:val="right"/>
              <w:rPr>
                <w:rFonts w:cs="Calibri"/>
                <w:szCs w:val="18"/>
              </w:rPr>
            </w:pPr>
            <w:r w:rsidRPr="00795E1F">
              <w:rPr>
                <w:rFonts w:eastAsia="Calibri" w:cs="Calibri"/>
                <w:szCs w:val="18"/>
              </w:rPr>
              <w:t>–4.4</w:t>
            </w:r>
          </w:p>
        </w:tc>
      </w:tr>
      <w:tr w:rsidR="006929CB" w:rsidRPr="00795E1F" w14:paraId="030F2D9F" w14:textId="77777777" w:rsidTr="00795E1F">
        <w:tc>
          <w:tcPr>
            <w:tcW w:w="1491" w:type="dxa"/>
            <w:shd w:val="clear" w:color="auto" w:fill="FFFFFF" w:themeFill="background1"/>
            <w:tcMar>
              <w:top w:w="0" w:type="dxa"/>
              <w:left w:w="85" w:type="dxa"/>
              <w:bottom w:w="0" w:type="dxa"/>
              <w:right w:w="85" w:type="dxa"/>
            </w:tcMar>
            <w:vAlign w:val="center"/>
          </w:tcPr>
          <w:p w14:paraId="6626F71B" w14:textId="77777777" w:rsidR="006929CB" w:rsidRPr="00795E1F" w:rsidRDefault="006929CB">
            <w:pPr>
              <w:pStyle w:val="TableText"/>
              <w:spacing w:before="40" w:after="40"/>
              <w:rPr>
                <w:rFonts w:cs="Calibri"/>
                <w:szCs w:val="18"/>
              </w:rPr>
            </w:pPr>
            <w:r w:rsidRPr="00795E1F">
              <w:rPr>
                <w:rFonts w:eastAsia="Calibri" w:cs="Calibri"/>
                <w:szCs w:val="18"/>
              </w:rPr>
              <w:t>CEF - 15</w:t>
            </w:r>
          </w:p>
        </w:tc>
        <w:tc>
          <w:tcPr>
            <w:tcW w:w="4321" w:type="dxa"/>
            <w:shd w:val="clear" w:color="auto" w:fill="FFFFFF" w:themeFill="background1"/>
            <w:tcMar>
              <w:top w:w="0" w:type="dxa"/>
              <w:left w:w="85" w:type="dxa"/>
              <w:bottom w:w="0" w:type="dxa"/>
              <w:right w:w="85" w:type="dxa"/>
            </w:tcMar>
            <w:vAlign w:val="center"/>
          </w:tcPr>
          <w:p w14:paraId="7FE2AD62"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362292FF" w14:textId="77777777" w:rsidR="006929CB" w:rsidRPr="00795E1F" w:rsidRDefault="006929CB">
            <w:pPr>
              <w:pStyle w:val="TableText"/>
              <w:spacing w:before="40" w:after="40"/>
              <w:jc w:val="right"/>
              <w:rPr>
                <w:rFonts w:cs="Calibri"/>
                <w:szCs w:val="18"/>
              </w:rPr>
            </w:pPr>
            <w:r w:rsidRPr="00795E1F">
              <w:rPr>
                <w:rFonts w:eastAsia="Calibri" w:cs="Calibri"/>
                <w:szCs w:val="18"/>
              </w:rPr>
              <w:t>–3.2</w:t>
            </w:r>
          </w:p>
        </w:tc>
        <w:tc>
          <w:tcPr>
            <w:tcW w:w="1275" w:type="dxa"/>
            <w:shd w:val="clear" w:color="auto" w:fill="FFFFFF" w:themeFill="background1"/>
            <w:tcMar>
              <w:top w:w="0" w:type="dxa"/>
              <w:left w:w="85" w:type="dxa"/>
              <w:bottom w:w="0" w:type="dxa"/>
              <w:right w:w="85" w:type="dxa"/>
            </w:tcMar>
            <w:vAlign w:val="center"/>
          </w:tcPr>
          <w:p w14:paraId="676E06FE" w14:textId="77777777" w:rsidR="006929CB" w:rsidRPr="00795E1F" w:rsidRDefault="006929CB">
            <w:pPr>
              <w:pStyle w:val="TableText"/>
              <w:spacing w:before="40" w:after="40"/>
              <w:jc w:val="right"/>
              <w:rPr>
                <w:rFonts w:cs="Calibri"/>
                <w:szCs w:val="18"/>
              </w:rPr>
            </w:pPr>
            <w:r w:rsidRPr="00795E1F">
              <w:rPr>
                <w:rFonts w:eastAsia="Calibri" w:cs="Calibri"/>
                <w:szCs w:val="18"/>
              </w:rPr>
              <w:t>–5.5</w:t>
            </w:r>
          </w:p>
        </w:tc>
      </w:tr>
      <w:tr w:rsidR="006929CB" w:rsidRPr="00795E1F" w14:paraId="601CFC53" w14:textId="77777777" w:rsidTr="00795E1F">
        <w:tc>
          <w:tcPr>
            <w:tcW w:w="1491" w:type="dxa"/>
            <w:shd w:val="clear" w:color="auto" w:fill="FFFFFF" w:themeFill="background1"/>
            <w:tcMar>
              <w:top w:w="0" w:type="dxa"/>
              <w:left w:w="85" w:type="dxa"/>
              <w:bottom w:w="0" w:type="dxa"/>
              <w:right w:w="85" w:type="dxa"/>
            </w:tcMar>
            <w:vAlign w:val="center"/>
          </w:tcPr>
          <w:p w14:paraId="7855DD16" w14:textId="77777777" w:rsidR="006929CB" w:rsidRPr="00795E1F" w:rsidRDefault="006929CB">
            <w:pPr>
              <w:pStyle w:val="TableText"/>
              <w:spacing w:before="40" w:after="40"/>
              <w:rPr>
                <w:rFonts w:cs="Calibri"/>
                <w:szCs w:val="18"/>
              </w:rPr>
            </w:pPr>
            <w:r w:rsidRPr="00795E1F">
              <w:rPr>
                <w:rFonts w:eastAsia="Calibri" w:cs="Calibri"/>
                <w:szCs w:val="18"/>
              </w:rPr>
              <w:t>CEF - 17</w:t>
            </w:r>
          </w:p>
        </w:tc>
        <w:tc>
          <w:tcPr>
            <w:tcW w:w="4321" w:type="dxa"/>
            <w:shd w:val="clear" w:color="auto" w:fill="FFFFFF" w:themeFill="background1"/>
            <w:tcMar>
              <w:top w:w="0" w:type="dxa"/>
              <w:left w:w="85" w:type="dxa"/>
              <w:bottom w:w="0" w:type="dxa"/>
              <w:right w:w="85" w:type="dxa"/>
            </w:tcMar>
            <w:vAlign w:val="center"/>
          </w:tcPr>
          <w:p w14:paraId="110F9B45"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1EC45D71" w14:textId="77777777" w:rsidR="006929CB" w:rsidRPr="00795E1F" w:rsidRDefault="006929CB">
            <w:pPr>
              <w:pStyle w:val="TableText"/>
              <w:spacing w:before="40" w:after="40"/>
              <w:jc w:val="right"/>
              <w:rPr>
                <w:rFonts w:cs="Calibri"/>
                <w:szCs w:val="18"/>
              </w:rPr>
            </w:pPr>
            <w:r w:rsidRPr="00795E1F">
              <w:rPr>
                <w:rFonts w:eastAsia="Calibri" w:cs="Calibri"/>
                <w:szCs w:val="18"/>
              </w:rPr>
              <w:t>–0.1</w:t>
            </w:r>
          </w:p>
        </w:tc>
        <w:tc>
          <w:tcPr>
            <w:tcW w:w="1275" w:type="dxa"/>
            <w:shd w:val="clear" w:color="auto" w:fill="FFFFFF" w:themeFill="background1"/>
            <w:tcMar>
              <w:top w:w="0" w:type="dxa"/>
              <w:left w:w="85" w:type="dxa"/>
              <w:bottom w:w="0" w:type="dxa"/>
              <w:right w:w="85" w:type="dxa"/>
            </w:tcMar>
            <w:vAlign w:val="center"/>
          </w:tcPr>
          <w:p w14:paraId="6E417471" w14:textId="77777777" w:rsidR="006929CB" w:rsidRPr="00795E1F" w:rsidRDefault="006929CB">
            <w:pPr>
              <w:pStyle w:val="TableText"/>
              <w:spacing w:before="40" w:after="40"/>
              <w:jc w:val="right"/>
              <w:rPr>
                <w:rFonts w:cs="Calibri"/>
                <w:szCs w:val="18"/>
              </w:rPr>
            </w:pPr>
            <w:r w:rsidRPr="00795E1F">
              <w:rPr>
                <w:rFonts w:eastAsia="Calibri" w:cs="Calibri"/>
                <w:szCs w:val="18"/>
              </w:rPr>
              <w:t>–0.2</w:t>
            </w:r>
          </w:p>
        </w:tc>
      </w:tr>
      <w:tr w:rsidR="006929CB" w:rsidRPr="00795E1F" w14:paraId="45FD622E" w14:textId="77777777" w:rsidTr="00795E1F">
        <w:tc>
          <w:tcPr>
            <w:tcW w:w="1491" w:type="dxa"/>
            <w:shd w:val="clear" w:color="auto" w:fill="FFFFFF" w:themeFill="background1"/>
            <w:tcMar>
              <w:top w:w="0" w:type="dxa"/>
              <w:left w:w="85" w:type="dxa"/>
              <w:bottom w:w="0" w:type="dxa"/>
              <w:right w:w="85" w:type="dxa"/>
            </w:tcMar>
            <w:vAlign w:val="center"/>
          </w:tcPr>
          <w:p w14:paraId="5308DDEF" w14:textId="77777777" w:rsidR="006929CB" w:rsidRPr="00795E1F" w:rsidRDefault="006929CB">
            <w:pPr>
              <w:pStyle w:val="TableText"/>
              <w:spacing w:before="40" w:after="40"/>
              <w:rPr>
                <w:rFonts w:cs="Calibri"/>
                <w:szCs w:val="18"/>
              </w:rPr>
            </w:pPr>
            <w:r w:rsidRPr="00795E1F">
              <w:rPr>
                <w:rFonts w:eastAsia="Calibri" w:cs="Calibri"/>
                <w:szCs w:val="18"/>
              </w:rPr>
              <w:t>CEF - 18</w:t>
            </w:r>
          </w:p>
        </w:tc>
        <w:tc>
          <w:tcPr>
            <w:tcW w:w="4321" w:type="dxa"/>
            <w:shd w:val="clear" w:color="auto" w:fill="FFFFFF" w:themeFill="background1"/>
            <w:tcMar>
              <w:top w:w="0" w:type="dxa"/>
              <w:left w:w="85" w:type="dxa"/>
              <w:bottom w:w="0" w:type="dxa"/>
              <w:right w:w="85" w:type="dxa"/>
            </w:tcMar>
            <w:vAlign w:val="center"/>
          </w:tcPr>
          <w:p w14:paraId="1636F53D"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556AEFB6" w14:textId="77777777" w:rsidR="006929CB" w:rsidRPr="00795E1F" w:rsidRDefault="006929CB">
            <w:pPr>
              <w:pStyle w:val="TableText"/>
              <w:spacing w:before="40" w:after="40"/>
              <w:jc w:val="right"/>
              <w:rPr>
                <w:rFonts w:cs="Calibri"/>
                <w:szCs w:val="18"/>
              </w:rPr>
            </w:pPr>
            <w:r w:rsidRPr="00795E1F">
              <w:rPr>
                <w:rFonts w:eastAsia="Calibri" w:cs="Calibri"/>
                <w:szCs w:val="18"/>
              </w:rPr>
              <w:t>–1.0</w:t>
            </w:r>
          </w:p>
        </w:tc>
        <w:tc>
          <w:tcPr>
            <w:tcW w:w="1275" w:type="dxa"/>
            <w:shd w:val="clear" w:color="auto" w:fill="FFFFFF" w:themeFill="background1"/>
            <w:tcMar>
              <w:top w:w="0" w:type="dxa"/>
              <w:left w:w="85" w:type="dxa"/>
              <w:bottom w:w="0" w:type="dxa"/>
              <w:right w:w="85" w:type="dxa"/>
            </w:tcMar>
            <w:vAlign w:val="center"/>
          </w:tcPr>
          <w:p w14:paraId="027B0F0F" w14:textId="77777777" w:rsidR="006929CB" w:rsidRPr="00795E1F" w:rsidRDefault="006929CB">
            <w:pPr>
              <w:pStyle w:val="TableText"/>
              <w:spacing w:before="40" w:after="40"/>
              <w:jc w:val="right"/>
              <w:rPr>
                <w:rFonts w:cs="Calibri"/>
                <w:szCs w:val="18"/>
              </w:rPr>
            </w:pPr>
            <w:r w:rsidRPr="00795E1F">
              <w:rPr>
                <w:rFonts w:eastAsia="Calibri" w:cs="Calibri"/>
                <w:szCs w:val="18"/>
              </w:rPr>
              <w:t>–2.1</w:t>
            </w:r>
          </w:p>
        </w:tc>
      </w:tr>
      <w:tr w:rsidR="006929CB" w:rsidRPr="00795E1F" w14:paraId="046E85D9" w14:textId="77777777" w:rsidTr="00795E1F">
        <w:tc>
          <w:tcPr>
            <w:tcW w:w="1491" w:type="dxa"/>
            <w:shd w:val="clear" w:color="auto" w:fill="FFFFFF" w:themeFill="background1"/>
            <w:tcMar>
              <w:top w:w="0" w:type="dxa"/>
              <w:left w:w="85" w:type="dxa"/>
              <w:bottom w:w="0" w:type="dxa"/>
              <w:right w:w="85" w:type="dxa"/>
            </w:tcMar>
            <w:vAlign w:val="center"/>
          </w:tcPr>
          <w:p w14:paraId="24AC4D3D" w14:textId="77777777" w:rsidR="006929CB" w:rsidRPr="00795E1F" w:rsidRDefault="006929CB">
            <w:pPr>
              <w:pStyle w:val="TableText"/>
              <w:spacing w:before="40" w:after="40"/>
              <w:rPr>
                <w:rFonts w:cs="Calibri"/>
                <w:szCs w:val="18"/>
              </w:rPr>
            </w:pPr>
            <w:r w:rsidRPr="00795E1F">
              <w:rPr>
                <w:rFonts w:eastAsia="Calibri" w:cs="Calibri"/>
                <w:szCs w:val="18"/>
              </w:rPr>
              <w:t>CEF - 19</w:t>
            </w:r>
          </w:p>
        </w:tc>
        <w:tc>
          <w:tcPr>
            <w:tcW w:w="4321" w:type="dxa"/>
            <w:shd w:val="clear" w:color="auto" w:fill="FFFFFF" w:themeFill="background1"/>
            <w:tcMar>
              <w:top w:w="0" w:type="dxa"/>
              <w:left w:w="85" w:type="dxa"/>
              <w:bottom w:w="0" w:type="dxa"/>
              <w:right w:w="85" w:type="dxa"/>
            </w:tcMar>
            <w:vAlign w:val="center"/>
          </w:tcPr>
          <w:p w14:paraId="011BF56E"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28A32F64" w14:textId="77777777" w:rsidR="006929CB" w:rsidRPr="00795E1F" w:rsidRDefault="006929CB">
            <w:pPr>
              <w:pStyle w:val="TableText"/>
              <w:spacing w:before="40" w:after="40"/>
              <w:jc w:val="right"/>
              <w:rPr>
                <w:rFonts w:cs="Calibri"/>
                <w:szCs w:val="18"/>
              </w:rPr>
            </w:pPr>
            <w:r w:rsidRPr="00795E1F">
              <w:rPr>
                <w:rFonts w:eastAsia="Calibri" w:cs="Calibri"/>
                <w:szCs w:val="18"/>
              </w:rPr>
              <w:t>–0.8</w:t>
            </w:r>
          </w:p>
        </w:tc>
        <w:tc>
          <w:tcPr>
            <w:tcW w:w="1275" w:type="dxa"/>
            <w:shd w:val="clear" w:color="auto" w:fill="FFFFFF" w:themeFill="background1"/>
            <w:tcMar>
              <w:top w:w="0" w:type="dxa"/>
              <w:left w:w="85" w:type="dxa"/>
              <w:bottom w:w="0" w:type="dxa"/>
              <w:right w:w="85" w:type="dxa"/>
            </w:tcMar>
            <w:vAlign w:val="center"/>
          </w:tcPr>
          <w:p w14:paraId="175DCC2D" w14:textId="77777777" w:rsidR="006929CB" w:rsidRPr="00795E1F" w:rsidRDefault="006929CB">
            <w:pPr>
              <w:pStyle w:val="TableText"/>
              <w:spacing w:before="40" w:after="40"/>
              <w:jc w:val="right"/>
              <w:rPr>
                <w:rFonts w:cs="Calibri"/>
                <w:szCs w:val="18"/>
              </w:rPr>
            </w:pPr>
            <w:r w:rsidRPr="00795E1F">
              <w:rPr>
                <w:rFonts w:eastAsia="Calibri" w:cs="Calibri"/>
                <w:szCs w:val="18"/>
              </w:rPr>
              <w:t>–1.9</w:t>
            </w:r>
          </w:p>
        </w:tc>
      </w:tr>
      <w:tr w:rsidR="006929CB" w:rsidRPr="00795E1F" w14:paraId="01BCCFD3" w14:textId="77777777" w:rsidTr="00795E1F">
        <w:tc>
          <w:tcPr>
            <w:tcW w:w="1491" w:type="dxa"/>
            <w:shd w:val="clear" w:color="auto" w:fill="FFFFFF" w:themeFill="background1"/>
            <w:tcMar>
              <w:top w:w="0" w:type="dxa"/>
              <w:left w:w="85" w:type="dxa"/>
              <w:bottom w:w="0" w:type="dxa"/>
              <w:right w:w="85" w:type="dxa"/>
            </w:tcMar>
            <w:vAlign w:val="center"/>
          </w:tcPr>
          <w:p w14:paraId="1F11871A" w14:textId="77777777" w:rsidR="006929CB" w:rsidRPr="00795E1F" w:rsidRDefault="006929CB">
            <w:pPr>
              <w:pStyle w:val="TableText"/>
              <w:spacing w:before="40" w:after="40"/>
              <w:rPr>
                <w:rFonts w:cs="Calibri"/>
                <w:szCs w:val="18"/>
              </w:rPr>
            </w:pPr>
            <w:r w:rsidRPr="00795E1F">
              <w:rPr>
                <w:rFonts w:eastAsia="Calibri" w:cs="Calibri"/>
                <w:szCs w:val="18"/>
              </w:rPr>
              <w:t>CEF - 20</w:t>
            </w:r>
          </w:p>
        </w:tc>
        <w:tc>
          <w:tcPr>
            <w:tcW w:w="4321" w:type="dxa"/>
            <w:shd w:val="clear" w:color="auto" w:fill="FFFFFF" w:themeFill="background1"/>
            <w:tcMar>
              <w:top w:w="0" w:type="dxa"/>
              <w:left w:w="85" w:type="dxa"/>
              <w:bottom w:w="0" w:type="dxa"/>
              <w:right w:w="85" w:type="dxa"/>
            </w:tcMar>
            <w:vAlign w:val="center"/>
          </w:tcPr>
          <w:p w14:paraId="7E78A12F"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74CC7B20" w14:textId="77777777" w:rsidR="006929CB" w:rsidRPr="00795E1F" w:rsidRDefault="006929CB">
            <w:pPr>
              <w:pStyle w:val="TableText"/>
              <w:spacing w:before="40" w:after="40"/>
              <w:jc w:val="right"/>
              <w:rPr>
                <w:rFonts w:cs="Calibri"/>
                <w:szCs w:val="18"/>
              </w:rPr>
            </w:pPr>
            <w:r w:rsidRPr="00795E1F">
              <w:rPr>
                <w:rFonts w:eastAsia="Calibri" w:cs="Calibri"/>
                <w:szCs w:val="18"/>
              </w:rPr>
              <w:t>–0.2</w:t>
            </w:r>
          </w:p>
        </w:tc>
        <w:tc>
          <w:tcPr>
            <w:tcW w:w="1275" w:type="dxa"/>
            <w:shd w:val="clear" w:color="auto" w:fill="FFFFFF" w:themeFill="background1"/>
            <w:tcMar>
              <w:top w:w="0" w:type="dxa"/>
              <w:left w:w="85" w:type="dxa"/>
              <w:bottom w:w="0" w:type="dxa"/>
              <w:right w:w="85" w:type="dxa"/>
            </w:tcMar>
            <w:vAlign w:val="center"/>
          </w:tcPr>
          <w:p w14:paraId="639C6432" w14:textId="77777777" w:rsidR="006929CB" w:rsidRPr="00795E1F" w:rsidRDefault="006929CB">
            <w:pPr>
              <w:pStyle w:val="TableText"/>
              <w:spacing w:before="40" w:after="40"/>
              <w:jc w:val="right"/>
              <w:rPr>
                <w:rFonts w:cs="Calibri"/>
                <w:szCs w:val="18"/>
              </w:rPr>
            </w:pPr>
            <w:r w:rsidRPr="00795E1F">
              <w:rPr>
                <w:rFonts w:eastAsia="Calibri" w:cs="Calibri"/>
                <w:szCs w:val="18"/>
              </w:rPr>
              <w:t>–0.4</w:t>
            </w:r>
          </w:p>
        </w:tc>
      </w:tr>
      <w:tr w:rsidR="006929CB" w:rsidRPr="00795E1F" w14:paraId="1E67D7A5" w14:textId="77777777" w:rsidTr="00795E1F">
        <w:tc>
          <w:tcPr>
            <w:tcW w:w="1491" w:type="dxa"/>
            <w:shd w:val="clear" w:color="auto" w:fill="FFFFFF" w:themeFill="background1"/>
            <w:tcMar>
              <w:top w:w="0" w:type="dxa"/>
              <w:left w:w="85" w:type="dxa"/>
              <w:bottom w:w="0" w:type="dxa"/>
              <w:right w:w="85" w:type="dxa"/>
            </w:tcMar>
            <w:vAlign w:val="center"/>
          </w:tcPr>
          <w:p w14:paraId="437D7638" w14:textId="77777777" w:rsidR="006929CB" w:rsidRPr="00795E1F" w:rsidRDefault="006929CB">
            <w:pPr>
              <w:pStyle w:val="TableText"/>
              <w:spacing w:before="40" w:after="40"/>
              <w:rPr>
                <w:rFonts w:cs="Calibri"/>
                <w:szCs w:val="18"/>
              </w:rPr>
            </w:pPr>
            <w:r w:rsidRPr="00795E1F">
              <w:rPr>
                <w:rFonts w:eastAsia="Calibri" w:cs="Calibri"/>
                <w:szCs w:val="18"/>
              </w:rPr>
              <w:t>CEF - 21</w:t>
            </w:r>
          </w:p>
        </w:tc>
        <w:tc>
          <w:tcPr>
            <w:tcW w:w="4321" w:type="dxa"/>
            <w:shd w:val="clear" w:color="auto" w:fill="FFFFFF" w:themeFill="background1"/>
            <w:tcMar>
              <w:top w:w="0" w:type="dxa"/>
              <w:left w:w="85" w:type="dxa"/>
              <w:bottom w:w="0" w:type="dxa"/>
              <w:right w:w="85" w:type="dxa"/>
            </w:tcMar>
            <w:vAlign w:val="center"/>
          </w:tcPr>
          <w:p w14:paraId="3F2D0E66"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3E8E378C" w14:textId="77777777" w:rsidR="006929CB" w:rsidRPr="00795E1F" w:rsidRDefault="006929CB">
            <w:pPr>
              <w:pStyle w:val="TableText"/>
              <w:spacing w:before="40" w:after="40"/>
              <w:jc w:val="right"/>
              <w:rPr>
                <w:rFonts w:cs="Calibri"/>
                <w:szCs w:val="18"/>
              </w:rPr>
            </w:pPr>
            <w:r w:rsidRPr="00795E1F">
              <w:rPr>
                <w:rFonts w:eastAsia="Calibri" w:cs="Calibri"/>
                <w:szCs w:val="18"/>
              </w:rPr>
              <w:t>–2.9</w:t>
            </w:r>
          </w:p>
        </w:tc>
        <w:tc>
          <w:tcPr>
            <w:tcW w:w="1275" w:type="dxa"/>
            <w:shd w:val="clear" w:color="auto" w:fill="FFFFFF" w:themeFill="background1"/>
            <w:tcMar>
              <w:top w:w="0" w:type="dxa"/>
              <w:left w:w="85" w:type="dxa"/>
              <w:bottom w:w="0" w:type="dxa"/>
              <w:right w:w="85" w:type="dxa"/>
            </w:tcMar>
            <w:vAlign w:val="center"/>
          </w:tcPr>
          <w:p w14:paraId="70F5BD30" w14:textId="77777777" w:rsidR="006929CB" w:rsidRPr="00795E1F" w:rsidRDefault="006929CB">
            <w:pPr>
              <w:pStyle w:val="TableText"/>
              <w:spacing w:before="40" w:after="40"/>
              <w:jc w:val="right"/>
              <w:rPr>
                <w:rFonts w:cs="Calibri"/>
                <w:szCs w:val="18"/>
              </w:rPr>
            </w:pPr>
            <w:r w:rsidRPr="00795E1F">
              <w:rPr>
                <w:rFonts w:eastAsia="Calibri" w:cs="Calibri"/>
                <w:szCs w:val="18"/>
              </w:rPr>
              <w:t>–5.1</w:t>
            </w:r>
          </w:p>
        </w:tc>
      </w:tr>
      <w:tr w:rsidR="006929CB" w:rsidRPr="00795E1F" w14:paraId="3E3311D1" w14:textId="77777777" w:rsidTr="00795E1F">
        <w:tc>
          <w:tcPr>
            <w:tcW w:w="1491" w:type="dxa"/>
            <w:shd w:val="clear" w:color="auto" w:fill="FFFFFF" w:themeFill="background1"/>
            <w:tcMar>
              <w:top w:w="0" w:type="dxa"/>
              <w:left w:w="85" w:type="dxa"/>
              <w:bottom w:w="0" w:type="dxa"/>
              <w:right w:w="85" w:type="dxa"/>
            </w:tcMar>
            <w:vAlign w:val="center"/>
          </w:tcPr>
          <w:p w14:paraId="10C89C80" w14:textId="77777777" w:rsidR="006929CB" w:rsidRPr="00795E1F" w:rsidRDefault="006929CB">
            <w:pPr>
              <w:pStyle w:val="TableText"/>
              <w:spacing w:before="40" w:after="40"/>
              <w:rPr>
                <w:rFonts w:cs="Calibri"/>
                <w:szCs w:val="18"/>
              </w:rPr>
            </w:pPr>
            <w:r w:rsidRPr="00795E1F">
              <w:rPr>
                <w:rFonts w:eastAsia="Calibri" w:cs="Calibri"/>
                <w:szCs w:val="18"/>
              </w:rPr>
              <w:t>CEF - 24</w:t>
            </w:r>
          </w:p>
        </w:tc>
        <w:tc>
          <w:tcPr>
            <w:tcW w:w="4321" w:type="dxa"/>
            <w:shd w:val="clear" w:color="auto" w:fill="FFFFFF" w:themeFill="background1"/>
            <w:tcMar>
              <w:top w:w="0" w:type="dxa"/>
              <w:left w:w="85" w:type="dxa"/>
              <w:bottom w:w="0" w:type="dxa"/>
              <w:right w:w="85" w:type="dxa"/>
            </w:tcMar>
            <w:vAlign w:val="center"/>
          </w:tcPr>
          <w:p w14:paraId="7B289FE1"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608A8295" w14:textId="77777777" w:rsidR="006929CB" w:rsidRPr="00795E1F" w:rsidRDefault="006929CB">
            <w:pPr>
              <w:pStyle w:val="TableText"/>
              <w:spacing w:before="40" w:after="40"/>
              <w:jc w:val="right"/>
              <w:rPr>
                <w:rFonts w:cs="Calibri"/>
                <w:szCs w:val="18"/>
              </w:rPr>
            </w:pPr>
            <w:r w:rsidRPr="00795E1F">
              <w:rPr>
                <w:rFonts w:eastAsia="Calibri" w:cs="Calibri"/>
                <w:szCs w:val="18"/>
              </w:rPr>
              <w:t>–0.4</w:t>
            </w:r>
          </w:p>
        </w:tc>
        <w:tc>
          <w:tcPr>
            <w:tcW w:w="1275" w:type="dxa"/>
            <w:shd w:val="clear" w:color="auto" w:fill="FFFFFF" w:themeFill="background1"/>
            <w:tcMar>
              <w:top w:w="0" w:type="dxa"/>
              <w:left w:w="85" w:type="dxa"/>
              <w:bottom w:w="0" w:type="dxa"/>
              <w:right w:w="85" w:type="dxa"/>
            </w:tcMar>
            <w:vAlign w:val="center"/>
          </w:tcPr>
          <w:p w14:paraId="3CC0741B" w14:textId="77777777" w:rsidR="006929CB" w:rsidRPr="00795E1F" w:rsidRDefault="006929CB">
            <w:pPr>
              <w:pStyle w:val="TableText"/>
              <w:spacing w:before="40" w:after="40"/>
              <w:jc w:val="right"/>
              <w:rPr>
                <w:rFonts w:cs="Calibri"/>
                <w:szCs w:val="18"/>
              </w:rPr>
            </w:pPr>
            <w:r w:rsidRPr="00795E1F">
              <w:rPr>
                <w:rFonts w:eastAsia="Calibri" w:cs="Calibri"/>
                <w:szCs w:val="18"/>
              </w:rPr>
              <w:t>–0.6</w:t>
            </w:r>
          </w:p>
        </w:tc>
      </w:tr>
      <w:tr w:rsidR="006929CB" w:rsidRPr="00795E1F" w14:paraId="7610487C" w14:textId="77777777" w:rsidTr="00795E1F">
        <w:tc>
          <w:tcPr>
            <w:tcW w:w="1491" w:type="dxa"/>
            <w:vMerge w:val="restart"/>
            <w:shd w:val="clear" w:color="auto" w:fill="FFFFFF" w:themeFill="background1"/>
            <w:tcMar>
              <w:top w:w="0" w:type="dxa"/>
              <w:left w:w="85" w:type="dxa"/>
              <w:bottom w:w="0" w:type="dxa"/>
              <w:right w:w="85" w:type="dxa"/>
            </w:tcMar>
            <w:vAlign w:val="center"/>
          </w:tcPr>
          <w:p w14:paraId="483F48E1" w14:textId="77777777" w:rsidR="006929CB" w:rsidRPr="00795E1F" w:rsidRDefault="006929CB">
            <w:pPr>
              <w:pStyle w:val="TableText"/>
              <w:spacing w:before="40" w:after="40"/>
              <w:rPr>
                <w:rFonts w:cs="Calibri"/>
                <w:szCs w:val="18"/>
              </w:rPr>
            </w:pPr>
            <w:r w:rsidRPr="00795E1F">
              <w:rPr>
                <w:rFonts w:eastAsia="Calibri" w:cs="Calibri"/>
                <w:szCs w:val="18"/>
              </w:rPr>
              <w:t>CEF - 25</w:t>
            </w:r>
          </w:p>
        </w:tc>
        <w:tc>
          <w:tcPr>
            <w:tcW w:w="4321" w:type="dxa"/>
            <w:shd w:val="clear" w:color="auto" w:fill="FFFFFF" w:themeFill="background1"/>
            <w:tcMar>
              <w:top w:w="0" w:type="dxa"/>
              <w:left w:w="85" w:type="dxa"/>
              <w:bottom w:w="0" w:type="dxa"/>
              <w:right w:w="85" w:type="dxa"/>
            </w:tcMar>
            <w:vAlign w:val="center"/>
          </w:tcPr>
          <w:p w14:paraId="3EDBC44B" w14:textId="77777777" w:rsidR="006929CB" w:rsidRPr="00795E1F" w:rsidRDefault="006929CB">
            <w:pPr>
              <w:pStyle w:val="TableText"/>
              <w:spacing w:before="40" w:after="40"/>
              <w:rPr>
                <w:rFonts w:cs="Calibri"/>
                <w:szCs w:val="18"/>
              </w:rPr>
            </w:pPr>
            <w:r w:rsidRPr="00795E1F">
              <w:rPr>
                <w:rFonts w:eastAsia="Calibri" w:cs="Calibri"/>
                <w:szCs w:val="18"/>
              </w:rPr>
              <w:t>Harvested and converted (ha)</w:t>
            </w:r>
          </w:p>
        </w:tc>
        <w:tc>
          <w:tcPr>
            <w:tcW w:w="1418" w:type="dxa"/>
            <w:shd w:val="clear" w:color="auto" w:fill="FFFFFF" w:themeFill="background1"/>
            <w:tcMar>
              <w:top w:w="0" w:type="dxa"/>
              <w:left w:w="85" w:type="dxa"/>
              <w:bottom w:w="0" w:type="dxa"/>
              <w:right w:w="85" w:type="dxa"/>
            </w:tcMar>
            <w:vAlign w:val="center"/>
          </w:tcPr>
          <w:p w14:paraId="100641F2" w14:textId="77777777" w:rsidR="006929CB" w:rsidRPr="00795E1F" w:rsidRDefault="006929CB">
            <w:pPr>
              <w:pStyle w:val="TableText"/>
              <w:spacing w:before="40" w:after="40"/>
              <w:jc w:val="right"/>
              <w:rPr>
                <w:rFonts w:cs="Calibri"/>
                <w:szCs w:val="18"/>
              </w:rPr>
            </w:pPr>
            <w:r w:rsidRPr="00795E1F">
              <w:rPr>
                <w:rFonts w:eastAsia="Calibri" w:cs="Calibri"/>
                <w:color w:val="000000" w:themeColor="text1"/>
                <w:szCs w:val="18"/>
              </w:rPr>
              <w:t>19</w:t>
            </w:r>
          </w:p>
        </w:tc>
        <w:tc>
          <w:tcPr>
            <w:tcW w:w="1275" w:type="dxa"/>
            <w:shd w:val="clear" w:color="auto" w:fill="FFFFFF" w:themeFill="background1"/>
            <w:tcMar>
              <w:top w:w="0" w:type="dxa"/>
              <w:left w:w="85" w:type="dxa"/>
              <w:bottom w:w="0" w:type="dxa"/>
              <w:right w:w="85" w:type="dxa"/>
            </w:tcMar>
            <w:vAlign w:val="center"/>
          </w:tcPr>
          <w:p w14:paraId="5B1CAC71" w14:textId="77777777" w:rsidR="006929CB" w:rsidRPr="00795E1F" w:rsidRDefault="006929CB">
            <w:pPr>
              <w:pStyle w:val="TableText"/>
              <w:spacing w:before="40" w:after="40"/>
              <w:jc w:val="right"/>
              <w:rPr>
                <w:rFonts w:cs="Calibri"/>
                <w:szCs w:val="18"/>
              </w:rPr>
            </w:pPr>
            <w:r w:rsidRPr="00795E1F">
              <w:rPr>
                <w:rFonts w:cs="Calibri"/>
                <w:szCs w:val="18"/>
              </w:rPr>
              <w:t>–</w:t>
            </w:r>
          </w:p>
        </w:tc>
      </w:tr>
      <w:tr w:rsidR="006929CB" w:rsidRPr="00795E1F" w14:paraId="6DC05812" w14:textId="77777777" w:rsidTr="00795E1F">
        <w:tc>
          <w:tcPr>
            <w:tcW w:w="1491" w:type="dxa"/>
            <w:vMerge/>
            <w:tcMar>
              <w:top w:w="0" w:type="dxa"/>
              <w:left w:w="85" w:type="dxa"/>
              <w:bottom w:w="0" w:type="dxa"/>
              <w:right w:w="85" w:type="dxa"/>
            </w:tcMar>
            <w:vAlign w:val="center"/>
          </w:tcPr>
          <w:p w14:paraId="69B9AA4A" w14:textId="77777777" w:rsidR="006929CB" w:rsidRPr="00795E1F" w:rsidRDefault="006929CB">
            <w:pPr>
              <w:pStyle w:val="TableText"/>
              <w:spacing w:before="40" w:after="40"/>
              <w:rPr>
                <w:rFonts w:cs="Calibri"/>
                <w:szCs w:val="18"/>
              </w:rPr>
            </w:pPr>
          </w:p>
        </w:tc>
        <w:tc>
          <w:tcPr>
            <w:tcW w:w="4321" w:type="dxa"/>
            <w:shd w:val="clear" w:color="auto" w:fill="FFFFFF" w:themeFill="background1"/>
            <w:tcMar>
              <w:top w:w="0" w:type="dxa"/>
              <w:left w:w="85" w:type="dxa"/>
              <w:bottom w:w="0" w:type="dxa"/>
              <w:right w:w="85" w:type="dxa"/>
            </w:tcMar>
            <w:vAlign w:val="center"/>
          </w:tcPr>
          <w:p w14:paraId="12C6D2CB"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70917D86" w14:textId="77777777" w:rsidR="006929CB" w:rsidRPr="00795E1F" w:rsidRDefault="006929CB">
            <w:pPr>
              <w:pStyle w:val="TableText"/>
              <w:spacing w:before="40" w:after="40"/>
              <w:jc w:val="right"/>
              <w:rPr>
                <w:rFonts w:cs="Calibri"/>
                <w:szCs w:val="18"/>
              </w:rPr>
            </w:pPr>
            <w:r w:rsidRPr="00795E1F">
              <w:rPr>
                <w:rFonts w:eastAsia="Calibri" w:cs="Calibri"/>
                <w:szCs w:val="18"/>
              </w:rPr>
              <w:t>17.7</w:t>
            </w:r>
          </w:p>
        </w:tc>
        <w:tc>
          <w:tcPr>
            <w:tcW w:w="1275" w:type="dxa"/>
            <w:shd w:val="clear" w:color="auto" w:fill="FFFFFF" w:themeFill="background1"/>
            <w:tcMar>
              <w:top w:w="0" w:type="dxa"/>
              <w:left w:w="85" w:type="dxa"/>
              <w:bottom w:w="0" w:type="dxa"/>
              <w:right w:w="85" w:type="dxa"/>
            </w:tcMar>
            <w:vAlign w:val="center"/>
          </w:tcPr>
          <w:p w14:paraId="18897E56" w14:textId="77777777" w:rsidR="006929CB" w:rsidRPr="00795E1F" w:rsidRDefault="006929CB">
            <w:pPr>
              <w:pStyle w:val="TableText"/>
              <w:spacing w:before="40" w:after="40"/>
              <w:jc w:val="right"/>
              <w:rPr>
                <w:rFonts w:cs="Calibri"/>
                <w:szCs w:val="18"/>
              </w:rPr>
            </w:pPr>
            <w:r w:rsidRPr="00795E1F">
              <w:rPr>
                <w:rFonts w:eastAsia="Calibri" w:cs="Calibri"/>
                <w:szCs w:val="18"/>
              </w:rPr>
              <w:t>-4.6</w:t>
            </w:r>
          </w:p>
        </w:tc>
      </w:tr>
      <w:tr w:rsidR="006929CB" w:rsidRPr="00795E1F" w14:paraId="70D4B726" w14:textId="77777777" w:rsidTr="00795E1F">
        <w:tc>
          <w:tcPr>
            <w:tcW w:w="1491" w:type="dxa"/>
            <w:shd w:val="clear" w:color="auto" w:fill="FFFFFF" w:themeFill="background1"/>
            <w:tcMar>
              <w:top w:w="0" w:type="dxa"/>
              <w:left w:w="85" w:type="dxa"/>
              <w:bottom w:w="0" w:type="dxa"/>
              <w:right w:w="85" w:type="dxa"/>
            </w:tcMar>
            <w:vAlign w:val="center"/>
          </w:tcPr>
          <w:p w14:paraId="06FF988A" w14:textId="77777777" w:rsidR="006929CB" w:rsidRPr="00795E1F" w:rsidRDefault="006929CB">
            <w:pPr>
              <w:pStyle w:val="TableText"/>
              <w:spacing w:before="40" w:after="40"/>
              <w:rPr>
                <w:rFonts w:cs="Calibri"/>
                <w:szCs w:val="18"/>
              </w:rPr>
            </w:pPr>
            <w:r w:rsidRPr="00795E1F">
              <w:rPr>
                <w:rFonts w:eastAsia="Calibri" w:cs="Calibri"/>
                <w:szCs w:val="18"/>
              </w:rPr>
              <w:t>CEF - 27</w:t>
            </w:r>
          </w:p>
        </w:tc>
        <w:tc>
          <w:tcPr>
            <w:tcW w:w="4321" w:type="dxa"/>
            <w:shd w:val="clear" w:color="auto" w:fill="FFFFFF" w:themeFill="background1"/>
            <w:tcMar>
              <w:top w:w="0" w:type="dxa"/>
              <w:left w:w="85" w:type="dxa"/>
              <w:bottom w:w="0" w:type="dxa"/>
              <w:right w:w="85" w:type="dxa"/>
            </w:tcMar>
            <w:vAlign w:val="center"/>
          </w:tcPr>
          <w:p w14:paraId="168B8C20"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028B5EA0" w14:textId="77777777" w:rsidR="006929CB" w:rsidRPr="00795E1F" w:rsidRDefault="006929CB">
            <w:pPr>
              <w:pStyle w:val="TableText"/>
              <w:spacing w:before="40" w:after="40"/>
              <w:jc w:val="right"/>
              <w:rPr>
                <w:rFonts w:cs="Calibri"/>
                <w:szCs w:val="18"/>
              </w:rPr>
            </w:pPr>
            <w:r w:rsidRPr="00795E1F">
              <w:rPr>
                <w:rFonts w:eastAsia="Calibri" w:cs="Calibri"/>
                <w:szCs w:val="18"/>
              </w:rPr>
              <w:t>–0.8</w:t>
            </w:r>
          </w:p>
        </w:tc>
        <w:tc>
          <w:tcPr>
            <w:tcW w:w="1275" w:type="dxa"/>
            <w:shd w:val="clear" w:color="auto" w:fill="FFFFFF" w:themeFill="background1"/>
            <w:tcMar>
              <w:top w:w="0" w:type="dxa"/>
              <w:left w:w="85" w:type="dxa"/>
              <w:bottom w:w="0" w:type="dxa"/>
              <w:right w:w="85" w:type="dxa"/>
            </w:tcMar>
            <w:vAlign w:val="center"/>
          </w:tcPr>
          <w:p w14:paraId="37B9E00A" w14:textId="77777777" w:rsidR="006929CB" w:rsidRPr="00795E1F" w:rsidRDefault="006929CB">
            <w:pPr>
              <w:pStyle w:val="TableText"/>
              <w:spacing w:before="40" w:after="40"/>
              <w:jc w:val="right"/>
              <w:rPr>
                <w:rFonts w:cs="Calibri"/>
                <w:szCs w:val="18"/>
              </w:rPr>
            </w:pPr>
            <w:r w:rsidRPr="00795E1F">
              <w:rPr>
                <w:rFonts w:eastAsia="Calibri" w:cs="Calibri"/>
                <w:szCs w:val="18"/>
              </w:rPr>
              <w:t>–1.4</w:t>
            </w:r>
          </w:p>
        </w:tc>
      </w:tr>
      <w:tr w:rsidR="006929CB" w:rsidRPr="00795E1F" w14:paraId="08D7529E" w14:textId="77777777" w:rsidTr="00795E1F">
        <w:tc>
          <w:tcPr>
            <w:tcW w:w="1491" w:type="dxa"/>
            <w:shd w:val="clear" w:color="auto" w:fill="FFFFFF" w:themeFill="background1"/>
            <w:tcMar>
              <w:top w:w="0" w:type="dxa"/>
              <w:left w:w="85" w:type="dxa"/>
              <w:bottom w:w="0" w:type="dxa"/>
              <w:right w:w="85" w:type="dxa"/>
            </w:tcMar>
            <w:vAlign w:val="center"/>
          </w:tcPr>
          <w:p w14:paraId="2B8323A4" w14:textId="77777777" w:rsidR="006929CB" w:rsidRPr="00795E1F" w:rsidRDefault="006929CB">
            <w:pPr>
              <w:pStyle w:val="TableText"/>
              <w:spacing w:before="40" w:after="40"/>
              <w:rPr>
                <w:rFonts w:cs="Calibri"/>
                <w:szCs w:val="18"/>
              </w:rPr>
            </w:pPr>
            <w:r w:rsidRPr="00795E1F">
              <w:rPr>
                <w:rFonts w:eastAsia="Calibri" w:cs="Calibri"/>
                <w:szCs w:val="18"/>
              </w:rPr>
              <w:t>CEF - 31</w:t>
            </w:r>
          </w:p>
        </w:tc>
        <w:tc>
          <w:tcPr>
            <w:tcW w:w="4321" w:type="dxa"/>
            <w:shd w:val="clear" w:color="auto" w:fill="FFFFFF" w:themeFill="background1"/>
            <w:tcMar>
              <w:top w:w="0" w:type="dxa"/>
              <w:left w:w="85" w:type="dxa"/>
              <w:bottom w:w="0" w:type="dxa"/>
              <w:right w:w="85" w:type="dxa"/>
            </w:tcMar>
            <w:vAlign w:val="center"/>
          </w:tcPr>
          <w:p w14:paraId="60FB27B6"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1E2F68DB" w14:textId="77777777" w:rsidR="006929CB" w:rsidRPr="00795E1F" w:rsidRDefault="006929CB">
            <w:pPr>
              <w:pStyle w:val="TableText"/>
              <w:spacing w:before="40" w:after="40"/>
              <w:jc w:val="right"/>
              <w:rPr>
                <w:rFonts w:cs="Calibri"/>
                <w:szCs w:val="18"/>
              </w:rPr>
            </w:pPr>
            <w:r w:rsidRPr="00795E1F">
              <w:rPr>
                <w:rFonts w:eastAsia="Calibri" w:cs="Calibri"/>
                <w:szCs w:val="18"/>
              </w:rPr>
              <w:t>–0.1</w:t>
            </w:r>
          </w:p>
        </w:tc>
        <w:tc>
          <w:tcPr>
            <w:tcW w:w="1275" w:type="dxa"/>
            <w:shd w:val="clear" w:color="auto" w:fill="FFFFFF" w:themeFill="background1"/>
            <w:tcMar>
              <w:top w:w="0" w:type="dxa"/>
              <w:left w:w="85" w:type="dxa"/>
              <w:bottom w:w="0" w:type="dxa"/>
              <w:right w:w="85" w:type="dxa"/>
            </w:tcMar>
            <w:vAlign w:val="center"/>
          </w:tcPr>
          <w:p w14:paraId="1BD65714" w14:textId="77777777" w:rsidR="006929CB" w:rsidRPr="00795E1F" w:rsidRDefault="006929CB">
            <w:pPr>
              <w:pStyle w:val="TableText"/>
              <w:spacing w:before="40" w:after="40"/>
              <w:jc w:val="right"/>
              <w:rPr>
                <w:rFonts w:cs="Calibri"/>
                <w:szCs w:val="18"/>
              </w:rPr>
            </w:pPr>
            <w:r w:rsidRPr="00795E1F">
              <w:rPr>
                <w:rFonts w:eastAsia="Calibri" w:cs="Calibri"/>
                <w:szCs w:val="18"/>
              </w:rPr>
              <w:t>–0.2</w:t>
            </w:r>
          </w:p>
        </w:tc>
      </w:tr>
      <w:tr w:rsidR="006929CB" w:rsidRPr="00795E1F" w14:paraId="20E452B2" w14:textId="77777777" w:rsidTr="00795E1F">
        <w:tc>
          <w:tcPr>
            <w:tcW w:w="1491" w:type="dxa"/>
            <w:shd w:val="clear" w:color="auto" w:fill="FFFFFF" w:themeFill="background1"/>
            <w:tcMar>
              <w:top w:w="0" w:type="dxa"/>
              <w:left w:w="85" w:type="dxa"/>
              <w:bottom w:w="0" w:type="dxa"/>
              <w:right w:w="85" w:type="dxa"/>
            </w:tcMar>
            <w:vAlign w:val="center"/>
          </w:tcPr>
          <w:p w14:paraId="47891B4A" w14:textId="77777777" w:rsidR="006929CB" w:rsidRPr="00795E1F" w:rsidRDefault="006929CB">
            <w:pPr>
              <w:pStyle w:val="TableText"/>
              <w:spacing w:before="40" w:after="40"/>
              <w:rPr>
                <w:rFonts w:cs="Calibri"/>
                <w:szCs w:val="18"/>
              </w:rPr>
            </w:pPr>
            <w:r w:rsidRPr="00795E1F">
              <w:rPr>
                <w:rFonts w:eastAsia="Calibri" w:cs="Calibri"/>
                <w:szCs w:val="18"/>
              </w:rPr>
              <w:t>CEF - 35</w:t>
            </w:r>
          </w:p>
        </w:tc>
        <w:tc>
          <w:tcPr>
            <w:tcW w:w="4321" w:type="dxa"/>
            <w:shd w:val="clear" w:color="auto" w:fill="FFFFFF" w:themeFill="background1"/>
            <w:tcMar>
              <w:top w:w="0" w:type="dxa"/>
              <w:left w:w="85" w:type="dxa"/>
              <w:bottom w:w="0" w:type="dxa"/>
              <w:right w:w="85" w:type="dxa"/>
            </w:tcMar>
            <w:vAlign w:val="center"/>
          </w:tcPr>
          <w:p w14:paraId="71E8BFF2"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09188D7F" w14:textId="77777777" w:rsidR="006929CB" w:rsidRPr="00795E1F" w:rsidRDefault="006929CB">
            <w:pPr>
              <w:pStyle w:val="TableText"/>
              <w:spacing w:before="40" w:after="40"/>
              <w:jc w:val="right"/>
              <w:rPr>
                <w:rFonts w:cs="Calibri"/>
                <w:szCs w:val="18"/>
              </w:rPr>
            </w:pPr>
            <w:r w:rsidRPr="00795E1F">
              <w:rPr>
                <w:rFonts w:eastAsia="Calibri" w:cs="Calibri"/>
                <w:szCs w:val="18"/>
              </w:rPr>
              <w:t>0.0</w:t>
            </w:r>
          </w:p>
        </w:tc>
        <w:tc>
          <w:tcPr>
            <w:tcW w:w="1275" w:type="dxa"/>
            <w:shd w:val="clear" w:color="auto" w:fill="FFFFFF" w:themeFill="background1"/>
            <w:tcMar>
              <w:top w:w="0" w:type="dxa"/>
              <w:left w:w="85" w:type="dxa"/>
              <w:bottom w:w="0" w:type="dxa"/>
              <w:right w:w="85" w:type="dxa"/>
            </w:tcMar>
            <w:vAlign w:val="center"/>
          </w:tcPr>
          <w:p w14:paraId="0DF8E7E1" w14:textId="77777777" w:rsidR="006929CB" w:rsidRPr="00795E1F" w:rsidRDefault="006929CB">
            <w:pPr>
              <w:pStyle w:val="TableText"/>
              <w:spacing w:before="40" w:after="40"/>
              <w:jc w:val="right"/>
              <w:rPr>
                <w:rFonts w:cs="Calibri"/>
                <w:szCs w:val="18"/>
              </w:rPr>
            </w:pPr>
            <w:r w:rsidRPr="00795E1F">
              <w:rPr>
                <w:rFonts w:eastAsia="Calibri" w:cs="Calibri"/>
                <w:szCs w:val="18"/>
              </w:rPr>
              <w:t>–0.1</w:t>
            </w:r>
          </w:p>
        </w:tc>
      </w:tr>
      <w:tr w:rsidR="006929CB" w:rsidRPr="00795E1F" w14:paraId="2238B51A" w14:textId="77777777" w:rsidTr="00795E1F">
        <w:tc>
          <w:tcPr>
            <w:tcW w:w="1491" w:type="dxa"/>
            <w:shd w:val="clear" w:color="auto" w:fill="FFFFFF" w:themeFill="background1"/>
            <w:tcMar>
              <w:top w:w="0" w:type="dxa"/>
              <w:left w:w="85" w:type="dxa"/>
              <w:bottom w:w="0" w:type="dxa"/>
              <w:right w:w="85" w:type="dxa"/>
            </w:tcMar>
            <w:vAlign w:val="center"/>
          </w:tcPr>
          <w:p w14:paraId="724533BA" w14:textId="77777777" w:rsidR="006929CB" w:rsidRPr="00795E1F" w:rsidRDefault="006929CB">
            <w:pPr>
              <w:pStyle w:val="TableText"/>
              <w:spacing w:before="40" w:after="40"/>
              <w:rPr>
                <w:rFonts w:cs="Calibri"/>
                <w:szCs w:val="18"/>
              </w:rPr>
            </w:pPr>
            <w:r w:rsidRPr="00795E1F">
              <w:rPr>
                <w:rFonts w:eastAsia="Calibri" w:cs="Calibri"/>
                <w:szCs w:val="18"/>
              </w:rPr>
              <w:t>CEF - 36</w:t>
            </w:r>
          </w:p>
        </w:tc>
        <w:tc>
          <w:tcPr>
            <w:tcW w:w="4321" w:type="dxa"/>
            <w:shd w:val="clear" w:color="auto" w:fill="FFFFFF" w:themeFill="background1"/>
            <w:tcMar>
              <w:top w:w="0" w:type="dxa"/>
              <w:left w:w="85" w:type="dxa"/>
              <w:bottom w:w="0" w:type="dxa"/>
              <w:right w:w="85" w:type="dxa"/>
            </w:tcMar>
            <w:vAlign w:val="center"/>
          </w:tcPr>
          <w:p w14:paraId="63DE6832"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6650294B" w14:textId="77777777" w:rsidR="006929CB" w:rsidRPr="00795E1F" w:rsidRDefault="006929CB">
            <w:pPr>
              <w:pStyle w:val="TableText"/>
              <w:spacing w:before="40" w:after="40"/>
              <w:jc w:val="right"/>
              <w:rPr>
                <w:rFonts w:cs="Calibri"/>
                <w:szCs w:val="18"/>
              </w:rPr>
            </w:pPr>
            <w:r w:rsidRPr="00795E1F">
              <w:rPr>
                <w:rFonts w:eastAsia="Calibri" w:cs="Calibri"/>
                <w:szCs w:val="18"/>
              </w:rPr>
              <w:t>–0.6</w:t>
            </w:r>
          </w:p>
        </w:tc>
        <w:tc>
          <w:tcPr>
            <w:tcW w:w="1275" w:type="dxa"/>
            <w:shd w:val="clear" w:color="auto" w:fill="FFFFFF" w:themeFill="background1"/>
            <w:tcMar>
              <w:top w:w="0" w:type="dxa"/>
              <w:left w:w="85" w:type="dxa"/>
              <w:bottom w:w="0" w:type="dxa"/>
              <w:right w:w="85" w:type="dxa"/>
            </w:tcMar>
            <w:vAlign w:val="center"/>
          </w:tcPr>
          <w:p w14:paraId="2C4D0800" w14:textId="77777777" w:rsidR="006929CB" w:rsidRPr="00795E1F" w:rsidRDefault="006929CB">
            <w:pPr>
              <w:pStyle w:val="TableText"/>
              <w:spacing w:before="40" w:after="40"/>
              <w:jc w:val="right"/>
              <w:rPr>
                <w:rFonts w:cs="Calibri"/>
                <w:szCs w:val="18"/>
              </w:rPr>
            </w:pPr>
            <w:r w:rsidRPr="00795E1F">
              <w:rPr>
                <w:rFonts w:eastAsia="Calibri" w:cs="Calibri"/>
                <w:szCs w:val="18"/>
              </w:rPr>
              <w:t>–1.6</w:t>
            </w:r>
          </w:p>
        </w:tc>
      </w:tr>
      <w:tr w:rsidR="006929CB" w:rsidRPr="00795E1F" w14:paraId="6BC148D8" w14:textId="77777777" w:rsidTr="00795E1F">
        <w:tc>
          <w:tcPr>
            <w:tcW w:w="1491" w:type="dxa"/>
            <w:shd w:val="clear" w:color="auto" w:fill="FFFFFF" w:themeFill="background1"/>
            <w:tcMar>
              <w:top w:w="0" w:type="dxa"/>
              <w:left w:w="85" w:type="dxa"/>
              <w:bottom w:w="0" w:type="dxa"/>
              <w:right w:w="85" w:type="dxa"/>
            </w:tcMar>
            <w:vAlign w:val="center"/>
          </w:tcPr>
          <w:p w14:paraId="74887CC3" w14:textId="77777777" w:rsidR="006929CB" w:rsidRPr="00795E1F" w:rsidRDefault="006929CB">
            <w:pPr>
              <w:pStyle w:val="TableText"/>
              <w:spacing w:before="40" w:after="40"/>
              <w:rPr>
                <w:rFonts w:cs="Calibri"/>
                <w:szCs w:val="18"/>
              </w:rPr>
            </w:pPr>
            <w:r w:rsidRPr="00795E1F">
              <w:rPr>
                <w:rFonts w:eastAsia="Calibri" w:cs="Calibri"/>
                <w:szCs w:val="18"/>
              </w:rPr>
              <w:t>CEF - 38</w:t>
            </w:r>
          </w:p>
        </w:tc>
        <w:tc>
          <w:tcPr>
            <w:tcW w:w="4321" w:type="dxa"/>
            <w:shd w:val="clear" w:color="auto" w:fill="FFFFFF" w:themeFill="background1"/>
            <w:tcMar>
              <w:top w:w="0" w:type="dxa"/>
              <w:left w:w="85" w:type="dxa"/>
              <w:bottom w:w="0" w:type="dxa"/>
              <w:right w:w="85" w:type="dxa"/>
            </w:tcMar>
            <w:vAlign w:val="center"/>
          </w:tcPr>
          <w:p w14:paraId="33272845"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0040BA69" w14:textId="77777777" w:rsidR="006929CB" w:rsidRPr="00795E1F" w:rsidRDefault="006929CB">
            <w:pPr>
              <w:pStyle w:val="TableText"/>
              <w:spacing w:before="40" w:after="40"/>
              <w:jc w:val="right"/>
              <w:rPr>
                <w:rFonts w:cs="Calibri"/>
                <w:szCs w:val="18"/>
              </w:rPr>
            </w:pPr>
            <w:r w:rsidRPr="00795E1F">
              <w:rPr>
                <w:rFonts w:eastAsia="Calibri" w:cs="Calibri"/>
                <w:szCs w:val="18"/>
              </w:rPr>
              <w:t>0.0</w:t>
            </w:r>
          </w:p>
        </w:tc>
        <w:tc>
          <w:tcPr>
            <w:tcW w:w="1275" w:type="dxa"/>
            <w:shd w:val="clear" w:color="auto" w:fill="FFFFFF" w:themeFill="background1"/>
            <w:tcMar>
              <w:top w:w="0" w:type="dxa"/>
              <w:left w:w="85" w:type="dxa"/>
              <w:bottom w:w="0" w:type="dxa"/>
              <w:right w:w="85" w:type="dxa"/>
            </w:tcMar>
            <w:vAlign w:val="center"/>
          </w:tcPr>
          <w:p w14:paraId="4E3BEB5E" w14:textId="77777777" w:rsidR="006929CB" w:rsidRPr="00795E1F" w:rsidRDefault="006929CB">
            <w:pPr>
              <w:pStyle w:val="TableText"/>
              <w:spacing w:before="40" w:after="40"/>
              <w:jc w:val="right"/>
              <w:rPr>
                <w:rFonts w:cs="Calibri"/>
                <w:szCs w:val="18"/>
              </w:rPr>
            </w:pPr>
            <w:r w:rsidRPr="00795E1F">
              <w:rPr>
                <w:rFonts w:eastAsia="Calibri" w:cs="Calibri"/>
                <w:szCs w:val="18"/>
              </w:rPr>
              <w:t>–0.1</w:t>
            </w:r>
          </w:p>
        </w:tc>
      </w:tr>
      <w:tr w:rsidR="006929CB" w:rsidRPr="00795E1F" w14:paraId="387063A3" w14:textId="77777777" w:rsidTr="00795E1F">
        <w:tc>
          <w:tcPr>
            <w:tcW w:w="1491" w:type="dxa"/>
            <w:shd w:val="clear" w:color="auto" w:fill="FFFFFF" w:themeFill="background1"/>
            <w:tcMar>
              <w:top w:w="0" w:type="dxa"/>
              <w:left w:w="85" w:type="dxa"/>
              <w:bottom w:w="0" w:type="dxa"/>
              <w:right w:w="85" w:type="dxa"/>
            </w:tcMar>
            <w:vAlign w:val="center"/>
          </w:tcPr>
          <w:p w14:paraId="71146A92" w14:textId="77777777" w:rsidR="006929CB" w:rsidRPr="00795E1F" w:rsidRDefault="006929CB">
            <w:pPr>
              <w:pStyle w:val="TableText"/>
              <w:spacing w:before="40" w:after="40"/>
              <w:rPr>
                <w:rFonts w:cs="Calibri"/>
                <w:szCs w:val="18"/>
              </w:rPr>
            </w:pPr>
            <w:r w:rsidRPr="00795E1F">
              <w:rPr>
                <w:rFonts w:eastAsia="Calibri" w:cs="Calibri"/>
                <w:szCs w:val="18"/>
              </w:rPr>
              <w:t>CEF - 39</w:t>
            </w:r>
          </w:p>
        </w:tc>
        <w:tc>
          <w:tcPr>
            <w:tcW w:w="4321" w:type="dxa"/>
            <w:shd w:val="clear" w:color="auto" w:fill="FFFFFF" w:themeFill="background1"/>
            <w:tcMar>
              <w:top w:w="0" w:type="dxa"/>
              <w:left w:w="85" w:type="dxa"/>
              <w:bottom w:w="0" w:type="dxa"/>
              <w:right w:w="85" w:type="dxa"/>
            </w:tcMar>
            <w:vAlign w:val="center"/>
          </w:tcPr>
          <w:p w14:paraId="374956A7"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138E2900" w14:textId="77777777" w:rsidR="006929CB" w:rsidRPr="00795E1F" w:rsidRDefault="006929CB">
            <w:pPr>
              <w:pStyle w:val="TableText"/>
              <w:spacing w:before="40" w:after="40"/>
              <w:jc w:val="right"/>
              <w:rPr>
                <w:rFonts w:cs="Calibri"/>
                <w:szCs w:val="18"/>
              </w:rPr>
            </w:pPr>
            <w:r w:rsidRPr="00795E1F">
              <w:rPr>
                <w:rFonts w:eastAsia="Calibri" w:cs="Calibri"/>
                <w:szCs w:val="18"/>
              </w:rPr>
              <w:t>–0.4</w:t>
            </w:r>
          </w:p>
        </w:tc>
        <w:tc>
          <w:tcPr>
            <w:tcW w:w="1275" w:type="dxa"/>
            <w:shd w:val="clear" w:color="auto" w:fill="FFFFFF" w:themeFill="background1"/>
            <w:tcMar>
              <w:top w:w="0" w:type="dxa"/>
              <w:left w:w="85" w:type="dxa"/>
              <w:bottom w:w="0" w:type="dxa"/>
              <w:right w:w="85" w:type="dxa"/>
            </w:tcMar>
            <w:vAlign w:val="center"/>
          </w:tcPr>
          <w:p w14:paraId="4FC7A0CB" w14:textId="77777777" w:rsidR="006929CB" w:rsidRPr="00795E1F" w:rsidRDefault="006929CB">
            <w:pPr>
              <w:pStyle w:val="TableText"/>
              <w:spacing w:before="40" w:after="40"/>
              <w:jc w:val="right"/>
              <w:rPr>
                <w:rFonts w:cs="Calibri"/>
                <w:szCs w:val="18"/>
              </w:rPr>
            </w:pPr>
            <w:r w:rsidRPr="00795E1F">
              <w:rPr>
                <w:rFonts w:eastAsia="Calibri" w:cs="Calibri"/>
                <w:szCs w:val="18"/>
              </w:rPr>
              <w:t>–1.0</w:t>
            </w:r>
          </w:p>
        </w:tc>
      </w:tr>
      <w:tr w:rsidR="006929CB" w:rsidRPr="00795E1F" w14:paraId="6F955D4D" w14:textId="77777777" w:rsidTr="00795E1F">
        <w:tc>
          <w:tcPr>
            <w:tcW w:w="1491" w:type="dxa"/>
            <w:shd w:val="clear" w:color="auto" w:fill="FFFFFF" w:themeFill="background1"/>
            <w:tcMar>
              <w:top w:w="0" w:type="dxa"/>
              <w:left w:w="85" w:type="dxa"/>
              <w:bottom w:w="0" w:type="dxa"/>
              <w:right w:w="85" w:type="dxa"/>
            </w:tcMar>
            <w:vAlign w:val="center"/>
          </w:tcPr>
          <w:p w14:paraId="4AAB4087" w14:textId="77777777" w:rsidR="006929CB" w:rsidRPr="00795E1F" w:rsidRDefault="006929CB">
            <w:pPr>
              <w:pStyle w:val="TableText"/>
              <w:spacing w:before="40" w:after="40"/>
              <w:rPr>
                <w:rFonts w:cs="Calibri"/>
                <w:szCs w:val="18"/>
              </w:rPr>
            </w:pPr>
            <w:r w:rsidRPr="00795E1F">
              <w:rPr>
                <w:rFonts w:eastAsia="Calibri" w:cs="Calibri"/>
                <w:szCs w:val="18"/>
              </w:rPr>
              <w:t>CEF - 40</w:t>
            </w:r>
          </w:p>
        </w:tc>
        <w:tc>
          <w:tcPr>
            <w:tcW w:w="4321" w:type="dxa"/>
            <w:shd w:val="clear" w:color="auto" w:fill="FFFFFF" w:themeFill="background1"/>
            <w:tcMar>
              <w:top w:w="0" w:type="dxa"/>
              <w:left w:w="85" w:type="dxa"/>
              <w:bottom w:w="0" w:type="dxa"/>
              <w:right w:w="85" w:type="dxa"/>
            </w:tcMar>
            <w:vAlign w:val="center"/>
          </w:tcPr>
          <w:p w14:paraId="26D74C7E"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2C9E4242" w14:textId="77777777" w:rsidR="006929CB" w:rsidRPr="00795E1F" w:rsidRDefault="006929CB">
            <w:pPr>
              <w:pStyle w:val="TableText"/>
              <w:spacing w:before="40" w:after="40"/>
              <w:jc w:val="right"/>
              <w:rPr>
                <w:rFonts w:cs="Calibri"/>
                <w:szCs w:val="18"/>
              </w:rPr>
            </w:pPr>
            <w:r w:rsidRPr="00795E1F">
              <w:rPr>
                <w:rFonts w:eastAsia="Calibri" w:cs="Calibri"/>
                <w:szCs w:val="18"/>
              </w:rPr>
              <w:t>–0.1</w:t>
            </w:r>
          </w:p>
        </w:tc>
        <w:tc>
          <w:tcPr>
            <w:tcW w:w="1275" w:type="dxa"/>
            <w:shd w:val="clear" w:color="auto" w:fill="FFFFFF" w:themeFill="background1"/>
            <w:tcMar>
              <w:top w:w="0" w:type="dxa"/>
              <w:left w:w="85" w:type="dxa"/>
              <w:bottom w:w="0" w:type="dxa"/>
              <w:right w:w="85" w:type="dxa"/>
            </w:tcMar>
            <w:vAlign w:val="center"/>
          </w:tcPr>
          <w:p w14:paraId="4E60B890" w14:textId="77777777" w:rsidR="006929CB" w:rsidRPr="00795E1F" w:rsidRDefault="006929CB">
            <w:pPr>
              <w:pStyle w:val="TableText"/>
              <w:spacing w:before="40" w:after="40"/>
              <w:jc w:val="right"/>
              <w:rPr>
                <w:rFonts w:cs="Calibri"/>
                <w:szCs w:val="18"/>
              </w:rPr>
            </w:pPr>
            <w:r w:rsidRPr="00795E1F">
              <w:rPr>
                <w:rFonts w:eastAsia="Calibri" w:cs="Calibri"/>
                <w:szCs w:val="18"/>
              </w:rPr>
              <w:t>–0.3</w:t>
            </w:r>
          </w:p>
        </w:tc>
      </w:tr>
      <w:tr w:rsidR="006929CB" w:rsidRPr="00795E1F" w14:paraId="464F9D67" w14:textId="77777777" w:rsidTr="00795E1F">
        <w:tc>
          <w:tcPr>
            <w:tcW w:w="1491" w:type="dxa"/>
            <w:shd w:val="clear" w:color="auto" w:fill="FFFFFF" w:themeFill="background1"/>
            <w:tcMar>
              <w:top w:w="0" w:type="dxa"/>
              <w:left w:w="85" w:type="dxa"/>
              <w:bottom w:w="0" w:type="dxa"/>
              <w:right w:w="85" w:type="dxa"/>
            </w:tcMar>
            <w:vAlign w:val="center"/>
          </w:tcPr>
          <w:p w14:paraId="50294FE1" w14:textId="77777777" w:rsidR="006929CB" w:rsidRPr="00795E1F" w:rsidRDefault="006929CB">
            <w:pPr>
              <w:pStyle w:val="TableText"/>
              <w:spacing w:before="40" w:after="40"/>
              <w:rPr>
                <w:rFonts w:cs="Calibri"/>
                <w:szCs w:val="18"/>
              </w:rPr>
            </w:pPr>
            <w:r w:rsidRPr="00795E1F">
              <w:rPr>
                <w:rFonts w:eastAsia="Calibri" w:cs="Calibri"/>
                <w:szCs w:val="18"/>
              </w:rPr>
              <w:t>CEF - 41</w:t>
            </w:r>
          </w:p>
        </w:tc>
        <w:tc>
          <w:tcPr>
            <w:tcW w:w="4321" w:type="dxa"/>
            <w:shd w:val="clear" w:color="auto" w:fill="FFFFFF" w:themeFill="background1"/>
            <w:tcMar>
              <w:top w:w="0" w:type="dxa"/>
              <w:left w:w="85" w:type="dxa"/>
              <w:bottom w:w="0" w:type="dxa"/>
              <w:right w:w="85" w:type="dxa"/>
            </w:tcMar>
            <w:vAlign w:val="center"/>
          </w:tcPr>
          <w:p w14:paraId="5BEA3CC9"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442AC0E3" w14:textId="77777777" w:rsidR="006929CB" w:rsidRPr="00795E1F" w:rsidRDefault="006929CB">
            <w:pPr>
              <w:pStyle w:val="TableText"/>
              <w:spacing w:before="40" w:after="40"/>
              <w:jc w:val="right"/>
              <w:rPr>
                <w:rFonts w:cs="Calibri"/>
                <w:szCs w:val="18"/>
              </w:rPr>
            </w:pPr>
            <w:r w:rsidRPr="00795E1F">
              <w:rPr>
                <w:rFonts w:eastAsia="Calibri" w:cs="Calibri"/>
                <w:szCs w:val="18"/>
              </w:rPr>
              <w:t>0.0</w:t>
            </w:r>
          </w:p>
        </w:tc>
        <w:tc>
          <w:tcPr>
            <w:tcW w:w="1275" w:type="dxa"/>
            <w:shd w:val="clear" w:color="auto" w:fill="FFFFFF" w:themeFill="background1"/>
            <w:tcMar>
              <w:top w:w="0" w:type="dxa"/>
              <w:left w:w="85" w:type="dxa"/>
              <w:bottom w:w="0" w:type="dxa"/>
              <w:right w:w="85" w:type="dxa"/>
            </w:tcMar>
            <w:vAlign w:val="center"/>
          </w:tcPr>
          <w:p w14:paraId="3736A473" w14:textId="77777777" w:rsidR="006929CB" w:rsidRPr="00795E1F" w:rsidRDefault="006929CB">
            <w:pPr>
              <w:pStyle w:val="TableText"/>
              <w:spacing w:before="40" w:after="40"/>
              <w:jc w:val="right"/>
              <w:rPr>
                <w:rFonts w:cs="Calibri"/>
                <w:szCs w:val="18"/>
              </w:rPr>
            </w:pPr>
            <w:r w:rsidRPr="00795E1F">
              <w:rPr>
                <w:rFonts w:eastAsia="Calibri" w:cs="Calibri"/>
                <w:szCs w:val="18"/>
              </w:rPr>
              <w:t>–0.1</w:t>
            </w:r>
          </w:p>
        </w:tc>
      </w:tr>
      <w:tr w:rsidR="006929CB" w:rsidRPr="00795E1F" w14:paraId="20803E50" w14:textId="77777777" w:rsidTr="00795E1F">
        <w:tc>
          <w:tcPr>
            <w:tcW w:w="1491" w:type="dxa"/>
            <w:shd w:val="clear" w:color="auto" w:fill="FFFFFF" w:themeFill="background1"/>
            <w:tcMar>
              <w:top w:w="0" w:type="dxa"/>
              <w:left w:w="85" w:type="dxa"/>
              <w:bottom w:w="0" w:type="dxa"/>
              <w:right w:w="85" w:type="dxa"/>
            </w:tcMar>
            <w:vAlign w:val="center"/>
          </w:tcPr>
          <w:p w14:paraId="77565926" w14:textId="77777777" w:rsidR="006929CB" w:rsidRPr="00795E1F" w:rsidRDefault="006929CB">
            <w:pPr>
              <w:pStyle w:val="TableText"/>
              <w:spacing w:before="40" w:after="40"/>
              <w:rPr>
                <w:rFonts w:cs="Calibri"/>
                <w:szCs w:val="18"/>
              </w:rPr>
            </w:pPr>
            <w:r w:rsidRPr="00795E1F">
              <w:rPr>
                <w:rFonts w:eastAsia="Calibri" w:cs="Calibri"/>
                <w:szCs w:val="18"/>
              </w:rPr>
              <w:t>CEF - 42</w:t>
            </w:r>
          </w:p>
        </w:tc>
        <w:tc>
          <w:tcPr>
            <w:tcW w:w="4321" w:type="dxa"/>
            <w:shd w:val="clear" w:color="auto" w:fill="FFFFFF" w:themeFill="background1"/>
            <w:tcMar>
              <w:top w:w="0" w:type="dxa"/>
              <w:left w:w="85" w:type="dxa"/>
              <w:bottom w:w="0" w:type="dxa"/>
              <w:right w:w="85" w:type="dxa"/>
            </w:tcMar>
            <w:vAlign w:val="center"/>
          </w:tcPr>
          <w:p w14:paraId="46A6F3C0"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0DE1EACA" w14:textId="77777777" w:rsidR="006929CB" w:rsidRPr="00795E1F" w:rsidRDefault="006929CB">
            <w:pPr>
              <w:pStyle w:val="TableText"/>
              <w:spacing w:before="40" w:after="40"/>
              <w:jc w:val="right"/>
              <w:rPr>
                <w:rFonts w:cs="Calibri"/>
                <w:szCs w:val="18"/>
              </w:rPr>
            </w:pPr>
            <w:r w:rsidRPr="00795E1F">
              <w:rPr>
                <w:rFonts w:eastAsia="Calibri" w:cs="Calibri"/>
                <w:szCs w:val="18"/>
              </w:rPr>
              <w:t>–0.3</w:t>
            </w:r>
          </w:p>
        </w:tc>
        <w:tc>
          <w:tcPr>
            <w:tcW w:w="1275" w:type="dxa"/>
            <w:shd w:val="clear" w:color="auto" w:fill="FFFFFF" w:themeFill="background1"/>
            <w:tcMar>
              <w:top w:w="0" w:type="dxa"/>
              <w:left w:w="85" w:type="dxa"/>
              <w:bottom w:w="0" w:type="dxa"/>
              <w:right w:w="85" w:type="dxa"/>
            </w:tcMar>
            <w:vAlign w:val="center"/>
          </w:tcPr>
          <w:p w14:paraId="2EF8F949" w14:textId="77777777" w:rsidR="006929CB" w:rsidRPr="00795E1F" w:rsidRDefault="006929CB">
            <w:pPr>
              <w:pStyle w:val="TableText"/>
              <w:spacing w:before="40" w:after="40"/>
              <w:jc w:val="right"/>
              <w:rPr>
                <w:rFonts w:cs="Calibri"/>
                <w:szCs w:val="18"/>
              </w:rPr>
            </w:pPr>
            <w:r w:rsidRPr="00795E1F">
              <w:rPr>
                <w:rFonts w:eastAsia="Calibri" w:cs="Calibri"/>
                <w:szCs w:val="18"/>
              </w:rPr>
              <w:t>–0.7</w:t>
            </w:r>
          </w:p>
        </w:tc>
      </w:tr>
      <w:tr w:rsidR="006929CB" w:rsidRPr="00795E1F" w14:paraId="07D4EE61" w14:textId="77777777" w:rsidTr="00795E1F">
        <w:tc>
          <w:tcPr>
            <w:tcW w:w="1491" w:type="dxa"/>
            <w:shd w:val="clear" w:color="auto" w:fill="FFFFFF" w:themeFill="background1"/>
            <w:tcMar>
              <w:top w:w="0" w:type="dxa"/>
              <w:left w:w="85" w:type="dxa"/>
              <w:bottom w:w="0" w:type="dxa"/>
              <w:right w:w="85" w:type="dxa"/>
            </w:tcMar>
            <w:vAlign w:val="center"/>
          </w:tcPr>
          <w:p w14:paraId="72E33FE7" w14:textId="77777777" w:rsidR="006929CB" w:rsidRPr="00795E1F" w:rsidRDefault="006929CB">
            <w:pPr>
              <w:pStyle w:val="TableText"/>
              <w:spacing w:before="40" w:after="40"/>
              <w:rPr>
                <w:rFonts w:cs="Calibri"/>
                <w:szCs w:val="18"/>
              </w:rPr>
            </w:pPr>
            <w:r w:rsidRPr="00795E1F">
              <w:rPr>
                <w:rFonts w:eastAsia="Calibri" w:cs="Calibri"/>
                <w:szCs w:val="18"/>
              </w:rPr>
              <w:t>CEF - 43</w:t>
            </w:r>
          </w:p>
        </w:tc>
        <w:tc>
          <w:tcPr>
            <w:tcW w:w="4321" w:type="dxa"/>
            <w:shd w:val="clear" w:color="auto" w:fill="FFFFFF" w:themeFill="background1"/>
            <w:tcMar>
              <w:top w:w="0" w:type="dxa"/>
              <w:left w:w="85" w:type="dxa"/>
              <w:bottom w:w="0" w:type="dxa"/>
              <w:right w:w="85" w:type="dxa"/>
            </w:tcMar>
            <w:vAlign w:val="center"/>
          </w:tcPr>
          <w:p w14:paraId="13176DA4"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04D5F5A3" w14:textId="77777777" w:rsidR="006929CB" w:rsidRPr="00795E1F" w:rsidRDefault="006929CB">
            <w:pPr>
              <w:pStyle w:val="TableText"/>
              <w:spacing w:before="40" w:after="40"/>
              <w:jc w:val="right"/>
              <w:rPr>
                <w:rFonts w:cs="Calibri"/>
                <w:szCs w:val="18"/>
              </w:rPr>
            </w:pPr>
            <w:r w:rsidRPr="00795E1F">
              <w:rPr>
                <w:rFonts w:eastAsia="Calibri" w:cs="Calibri"/>
                <w:szCs w:val="18"/>
              </w:rPr>
              <w:t>–0.2</w:t>
            </w:r>
          </w:p>
        </w:tc>
        <w:tc>
          <w:tcPr>
            <w:tcW w:w="1275" w:type="dxa"/>
            <w:shd w:val="clear" w:color="auto" w:fill="FFFFFF" w:themeFill="background1"/>
            <w:tcMar>
              <w:top w:w="0" w:type="dxa"/>
              <w:left w:w="85" w:type="dxa"/>
              <w:bottom w:w="0" w:type="dxa"/>
              <w:right w:w="85" w:type="dxa"/>
            </w:tcMar>
            <w:vAlign w:val="center"/>
          </w:tcPr>
          <w:p w14:paraId="1F3D2584" w14:textId="77777777" w:rsidR="006929CB" w:rsidRPr="00795E1F" w:rsidRDefault="006929CB">
            <w:pPr>
              <w:pStyle w:val="TableText"/>
              <w:spacing w:before="40" w:after="40"/>
              <w:jc w:val="right"/>
              <w:rPr>
                <w:rFonts w:cs="Calibri"/>
                <w:szCs w:val="18"/>
              </w:rPr>
            </w:pPr>
            <w:r w:rsidRPr="00795E1F">
              <w:rPr>
                <w:rFonts w:eastAsia="Calibri" w:cs="Calibri"/>
                <w:szCs w:val="18"/>
              </w:rPr>
              <w:t>–0.4</w:t>
            </w:r>
          </w:p>
        </w:tc>
      </w:tr>
      <w:tr w:rsidR="006929CB" w:rsidRPr="00795E1F" w14:paraId="76482A25" w14:textId="77777777" w:rsidTr="00795E1F">
        <w:tc>
          <w:tcPr>
            <w:tcW w:w="1491" w:type="dxa"/>
            <w:shd w:val="clear" w:color="auto" w:fill="FFFFFF" w:themeFill="background1"/>
            <w:tcMar>
              <w:top w:w="0" w:type="dxa"/>
              <w:left w:w="85" w:type="dxa"/>
              <w:bottom w:w="0" w:type="dxa"/>
              <w:right w:w="85" w:type="dxa"/>
            </w:tcMar>
            <w:vAlign w:val="center"/>
          </w:tcPr>
          <w:p w14:paraId="0EC9C646" w14:textId="77777777" w:rsidR="006929CB" w:rsidRPr="00795E1F" w:rsidRDefault="006929CB">
            <w:pPr>
              <w:pStyle w:val="TableText"/>
              <w:spacing w:before="40" w:after="40"/>
              <w:rPr>
                <w:rFonts w:cs="Calibri"/>
                <w:szCs w:val="18"/>
              </w:rPr>
            </w:pPr>
            <w:r w:rsidRPr="00795E1F">
              <w:rPr>
                <w:rFonts w:eastAsia="Calibri" w:cs="Calibri"/>
                <w:szCs w:val="18"/>
              </w:rPr>
              <w:t>CEF - 44</w:t>
            </w:r>
          </w:p>
        </w:tc>
        <w:tc>
          <w:tcPr>
            <w:tcW w:w="4321" w:type="dxa"/>
            <w:shd w:val="clear" w:color="auto" w:fill="FFFFFF" w:themeFill="background1"/>
            <w:tcMar>
              <w:top w:w="0" w:type="dxa"/>
              <w:left w:w="85" w:type="dxa"/>
              <w:bottom w:w="0" w:type="dxa"/>
              <w:right w:w="85" w:type="dxa"/>
            </w:tcMar>
            <w:vAlign w:val="center"/>
          </w:tcPr>
          <w:p w14:paraId="6DC82665"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3275EF06" w14:textId="77777777" w:rsidR="006929CB" w:rsidRPr="00795E1F" w:rsidRDefault="006929CB">
            <w:pPr>
              <w:pStyle w:val="TableText"/>
              <w:spacing w:before="40" w:after="40"/>
              <w:jc w:val="right"/>
              <w:rPr>
                <w:rFonts w:cs="Calibri"/>
                <w:szCs w:val="18"/>
              </w:rPr>
            </w:pPr>
            <w:r w:rsidRPr="00795E1F">
              <w:rPr>
                <w:rFonts w:eastAsia="Calibri" w:cs="Calibri"/>
                <w:szCs w:val="18"/>
              </w:rPr>
              <w:t>–0.1</w:t>
            </w:r>
          </w:p>
        </w:tc>
        <w:tc>
          <w:tcPr>
            <w:tcW w:w="1275" w:type="dxa"/>
            <w:shd w:val="clear" w:color="auto" w:fill="FFFFFF" w:themeFill="background1"/>
            <w:tcMar>
              <w:top w:w="0" w:type="dxa"/>
              <w:left w:w="85" w:type="dxa"/>
              <w:bottom w:w="0" w:type="dxa"/>
              <w:right w:w="85" w:type="dxa"/>
            </w:tcMar>
            <w:vAlign w:val="center"/>
          </w:tcPr>
          <w:p w14:paraId="715F763E" w14:textId="77777777" w:rsidR="006929CB" w:rsidRPr="00795E1F" w:rsidRDefault="006929CB">
            <w:pPr>
              <w:pStyle w:val="TableText"/>
              <w:spacing w:before="40" w:after="40"/>
              <w:jc w:val="right"/>
              <w:rPr>
                <w:rFonts w:cs="Calibri"/>
                <w:szCs w:val="18"/>
              </w:rPr>
            </w:pPr>
            <w:r w:rsidRPr="00795E1F">
              <w:rPr>
                <w:rFonts w:eastAsia="Calibri" w:cs="Calibri"/>
                <w:szCs w:val="18"/>
              </w:rPr>
              <w:t>–0.2</w:t>
            </w:r>
          </w:p>
        </w:tc>
      </w:tr>
      <w:tr w:rsidR="006929CB" w:rsidRPr="00795E1F" w14:paraId="34A3375D" w14:textId="77777777" w:rsidTr="00795E1F">
        <w:tc>
          <w:tcPr>
            <w:tcW w:w="1491" w:type="dxa"/>
            <w:shd w:val="clear" w:color="auto" w:fill="FFFFFF" w:themeFill="background1"/>
            <w:tcMar>
              <w:top w:w="0" w:type="dxa"/>
              <w:left w:w="85" w:type="dxa"/>
              <w:bottom w:w="0" w:type="dxa"/>
              <w:right w:w="85" w:type="dxa"/>
            </w:tcMar>
            <w:vAlign w:val="center"/>
          </w:tcPr>
          <w:p w14:paraId="4985D6EF" w14:textId="77777777" w:rsidR="006929CB" w:rsidRPr="00795E1F" w:rsidRDefault="006929CB">
            <w:pPr>
              <w:pStyle w:val="TableText"/>
              <w:spacing w:before="40" w:after="40"/>
              <w:rPr>
                <w:rFonts w:cs="Calibri"/>
                <w:szCs w:val="18"/>
              </w:rPr>
            </w:pPr>
            <w:r w:rsidRPr="00795E1F">
              <w:rPr>
                <w:rFonts w:eastAsia="Calibri" w:cs="Calibri"/>
                <w:szCs w:val="18"/>
              </w:rPr>
              <w:t>CEF - 45</w:t>
            </w:r>
          </w:p>
        </w:tc>
        <w:tc>
          <w:tcPr>
            <w:tcW w:w="4321" w:type="dxa"/>
            <w:shd w:val="clear" w:color="auto" w:fill="FFFFFF" w:themeFill="background1"/>
            <w:tcMar>
              <w:top w:w="0" w:type="dxa"/>
              <w:left w:w="85" w:type="dxa"/>
              <w:bottom w:w="0" w:type="dxa"/>
              <w:right w:w="85" w:type="dxa"/>
            </w:tcMar>
            <w:vAlign w:val="center"/>
          </w:tcPr>
          <w:p w14:paraId="2E9374A7"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69EEFEBC" w14:textId="77777777" w:rsidR="006929CB" w:rsidRPr="00795E1F" w:rsidRDefault="006929CB">
            <w:pPr>
              <w:pStyle w:val="TableText"/>
              <w:spacing w:before="40" w:after="40"/>
              <w:jc w:val="right"/>
              <w:rPr>
                <w:rFonts w:cs="Calibri"/>
                <w:szCs w:val="18"/>
              </w:rPr>
            </w:pPr>
            <w:r w:rsidRPr="00795E1F">
              <w:rPr>
                <w:rFonts w:eastAsia="Calibri" w:cs="Calibri"/>
                <w:szCs w:val="18"/>
              </w:rPr>
              <w:t>0.0</w:t>
            </w:r>
          </w:p>
        </w:tc>
        <w:tc>
          <w:tcPr>
            <w:tcW w:w="1275" w:type="dxa"/>
            <w:shd w:val="clear" w:color="auto" w:fill="FFFFFF" w:themeFill="background1"/>
            <w:tcMar>
              <w:top w:w="0" w:type="dxa"/>
              <w:left w:w="85" w:type="dxa"/>
              <w:bottom w:w="0" w:type="dxa"/>
              <w:right w:w="85" w:type="dxa"/>
            </w:tcMar>
            <w:vAlign w:val="center"/>
          </w:tcPr>
          <w:p w14:paraId="10AF6ADC" w14:textId="77777777" w:rsidR="006929CB" w:rsidRPr="00795E1F" w:rsidRDefault="006929CB">
            <w:pPr>
              <w:pStyle w:val="TableText"/>
              <w:spacing w:before="40" w:after="40"/>
              <w:jc w:val="right"/>
              <w:rPr>
                <w:rFonts w:cs="Calibri"/>
                <w:szCs w:val="18"/>
              </w:rPr>
            </w:pPr>
            <w:r w:rsidRPr="00795E1F">
              <w:rPr>
                <w:rFonts w:eastAsia="Calibri" w:cs="Calibri"/>
                <w:szCs w:val="18"/>
              </w:rPr>
              <w:t>–0.1</w:t>
            </w:r>
          </w:p>
        </w:tc>
      </w:tr>
      <w:tr w:rsidR="006929CB" w:rsidRPr="00795E1F" w14:paraId="28C57AC6" w14:textId="77777777" w:rsidTr="00795E1F">
        <w:tc>
          <w:tcPr>
            <w:tcW w:w="1491" w:type="dxa"/>
            <w:shd w:val="clear" w:color="auto" w:fill="FFFFFF" w:themeFill="background1"/>
            <w:tcMar>
              <w:top w:w="0" w:type="dxa"/>
              <w:left w:w="85" w:type="dxa"/>
              <w:bottom w:w="0" w:type="dxa"/>
              <w:right w:w="85" w:type="dxa"/>
            </w:tcMar>
            <w:vAlign w:val="center"/>
          </w:tcPr>
          <w:p w14:paraId="748FC286" w14:textId="77777777" w:rsidR="006929CB" w:rsidRPr="00795E1F" w:rsidRDefault="006929CB">
            <w:pPr>
              <w:pStyle w:val="TableText"/>
              <w:spacing w:before="40" w:after="40"/>
              <w:rPr>
                <w:rFonts w:cs="Calibri"/>
                <w:szCs w:val="18"/>
              </w:rPr>
            </w:pPr>
            <w:r w:rsidRPr="00795E1F">
              <w:rPr>
                <w:rFonts w:eastAsia="Calibri" w:cs="Calibri"/>
                <w:szCs w:val="18"/>
              </w:rPr>
              <w:t>CEF - 47</w:t>
            </w:r>
          </w:p>
        </w:tc>
        <w:tc>
          <w:tcPr>
            <w:tcW w:w="4321" w:type="dxa"/>
            <w:shd w:val="clear" w:color="auto" w:fill="FFFFFF" w:themeFill="background1"/>
            <w:tcMar>
              <w:top w:w="0" w:type="dxa"/>
              <w:left w:w="85" w:type="dxa"/>
              <w:bottom w:w="0" w:type="dxa"/>
              <w:right w:w="85" w:type="dxa"/>
            </w:tcMar>
            <w:vAlign w:val="center"/>
          </w:tcPr>
          <w:p w14:paraId="4A26836B"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428C79B6" w14:textId="77777777" w:rsidR="006929CB" w:rsidRPr="00795E1F" w:rsidRDefault="006929CB">
            <w:pPr>
              <w:pStyle w:val="TableText"/>
              <w:spacing w:before="40" w:after="40"/>
              <w:jc w:val="right"/>
              <w:rPr>
                <w:rFonts w:cs="Calibri"/>
                <w:szCs w:val="18"/>
              </w:rPr>
            </w:pPr>
            <w:r w:rsidRPr="00795E1F">
              <w:rPr>
                <w:rFonts w:eastAsia="Calibri" w:cs="Calibri"/>
                <w:szCs w:val="18"/>
              </w:rPr>
              <w:t>0.0</w:t>
            </w:r>
          </w:p>
        </w:tc>
        <w:tc>
          <w:tcPr>
            <w:tcW w:w="1275" w:type="dxa"/>
            <w:shd w:val="clear" w:color="auto" w:fill="FFFFFF" w:themeFill="background1"/>
            <w:tcMar>
              <w:top w:w="0" w:type="dxa"/>
              <w:left w:w="85" w:type="dxa"/>
              <w:bottom w:w="0" w:type="dxa"/>
              <w:right w:w="85" w:type="dxa"/>
            </w:tcMar>
            <w:vAlign w:val="center"/>
          </w:tcPr>
          <w:p w14:paraId="22260CCB" w14:textId="77777777" w:rsidR="006929CB" w:rsidRPr="00795E1F" w:rsidRDefault="006929CB">
            <w:pPr>
              <w:pStyle w:val="TableText"/>
              <w:spacing w:before="40" w:after="40"/>
              <w:jc w:val="right"/>
              <w:rPr>
                <w:rFonts w:cs="Calibri"/>
                <w:szCs w:val="18"/>
              </w:rPr>
            </w:pPr>
            <w:r w:rsidRPr="00795E1F">
              <w:rPr>
                <w:rFonts w:eastAsia="Calibri" w:cs="Calibri"/>
                <w:szCs w:val="18"/>
              </w:rPr>
              <w:t>–0.2</w:t>
            </w:r>
          </w:p>
        </w:tc>
      </w:tr>
      <w:tr w:rsidR="006929CB" w:rsidRPr="00795E1F" w14:paraId="2A055356" w14:textId="77777777" w:rsidTr="00795E1F">
        <w:tc>
          <w:tcPr>
            <w:tcW w:w="1491" w:type="dxa"/>
            <w:shd w:val="clear" w:color="auto" w:fill="FFFFFF" w:themeFill="background1"/>
            <w:tcMar>
              <w:top w:w="0" w:type="dxa"/>
              <w:left w:w="85" w:type="dxa"/>
              <w:bottom w:w="0" w:type="dxa"/>
              <w:right w:w="85" w:type="dxa"/>
            </w:tcMar>
            <w:vAlign w:val="center"/>
          </w:tcPr>
          <w:p w14:paraId="3B03CC28" w14:textId="77777777" w:rsidR="006929CB" w:rsidRPr="00795E1F" w:rsidRDefault="006929CB">
            <w:pPr>
              <w:pStyle w:val="TableText"/>
              <w:spacing w:before="40" w:after="40"/>
              <w:rPr>
                <w:rFonts w:cs="Calibri"/>
                <w:szCs w:val="18"/>
              </w:rPr>
            </w:pPr>
            <w:r w:rsidRPr="00795E1F">
              <w:rPr>
                <w:rFonts w:eastAsia="Calibri" w:cs="Calibri"/>
                <w:szCs w:val="18"/>
              </w:rPr>
              <w:t>CEF - 49</w:t>
            </w:r>
          </w:p>
        </w:tc>
        <w:tc>
          <w:tcPr>
            <w:tcW w:w="4321" w:type="dxa"/>
            <w:shd w:val="clear" w:color="auto" w:fill="FFFFFF" w:themeFill="background1"/>
            <w:tcMar>
              <w:top w:w="0" w:type="dxa"/>
              <w:left w:w="85" w:type="dxa"/>
              <w:bottom w:w="0" w:type="dxa"/>
              <w:right w:w="85" w:type="dxa"/>
            </w:tcMar>
            <w:vAlign w:val="center"/>
          </w:tcPr>
          <w:p w14:paraId="1BBBE649" w14:textId="77777777" w:rsidR="006929CB" w:rsidRPr="00795E1F" w:rsidRDefault="006929CB">
            <w:pPr>
              <w:pStyle w:val="TableText"/>
              <w:spacing w:before="40" w:after="40"/>
              <w:rPr>
                <w:rFonts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127E4A80" w14:textId="77777777" w:rsidR="006929CB" w:rsidRPr="00795E1F" w:rsidRDefault="006929CB">
            <w:pPr>
              <w:pStyle w:val="TableText"/>
              <w:spacing w:before="40" w:after="40"/>
              <w:jc w:val="right"/>
              <w:rPr>
                <w:rFonts w:cs="Calibri"/>
                <w:szCs w:val="18"/>
              </w:rPr>
            </w:pPr>
            <w:r w:rsidRPr="00795E1F">
              <w:rPr>
                <w:rFonts w:eastAsia="Calibri" w:cs="Calibri"/>
                <w:szCs w:val="18"/>
              </w:rPr>
              <w:t>–0.1</w:t>
            </w:r>
          </w:p>
        </w:tc>
        <w:tc>
          <w:tcPr>
            <w:tcW w:w="1275" w:type="dxa"/>
            <w:shd w:val="clear" w:color="auto" w:fill="FFFFFF" w:themeFill="background1"/>
            <w:tcMar>
              <w:top w:w="0" w:type="dxa"/>
              <w:left w:w="85" w:type="dxa"/>
              <w:bottom w:w="0" w:type="dxa"/>
              <w:right w:w="85" w:type="dxa"/>
            </w:tcMar>
            <w:vAlign w:val="center"/>
          </w:tcPr>
          <w:p w14:paraId="11FCCB06" w14:textId="77777777" w:rsidR="006929CB" w:rsidRPr="00795E1F" w:rsidRDefault="006929CB">
            <w:pPr>
              <w:pStyle w:val="TableText"/>
              <w:spacing w:before="40" w:after="40"/>
              <w:jc w:val="right"/>
              <w:rPr>
                <w:rFonts w:cs="Calibri"/>
                <w:szCs w:val="18"/>
              </w:rPr>
            </w:pPr>
            <w:r w:rsidRPr="00795E1F">
              <w:rPr>
                <w:rFonts w:eastAsia="Calibri" w:cs="Calibri"/>
                <w:szCs w:val="18"/>
              </w:rPr>
              <w:t>–0.3</w:t>
            </w:r>
          </w:p>
        </w:tc>
      </w:tr>
      <w:tr w:rsidR="006929CB" w:rsidRPr="00795E1F" w14:paraId="073DDA2F" w14:textId="77777777" w:rsidTr="00795E1F">
        <w:tc>
          <w:tcPr>
            <w:tcW w:w="1491" w:type="dxa"/>
            <w:shd w:val="clear" w:color="auto" w:fill="FFFFFF" w:themeFill="background1"/>
            <w:tcMar>
              <w:top w:w="0" w:type="dxa"/>
              <w:left w:w="85" w:type="dxa"/>
              <w:bottom w:w="0" w:type="dxa"/>
              <w:right w:w="85" w:type="dxa"/>
            </w:tcMar>
            <w:vAlign w:val="center"/>
          </w:tcPr>
          <w:p w14:paraId="295ADFE3" w14:textId="77777777" w:rsidR="006929CB" w:rsidRPr="00795E1F" w:rsidRDefault="006929CB">
            <w:pPr>
              <w:pStyle w:val="TableText"/>
              <w:spacing w:before="40" w:after="40"/>
              <w:rPr>
                <w:rFonts w:eastAsia="Calibri" w:cs="Calibri"/>
                <w:szCs w:val="18"/>
              </w:rPr>
            </w:pPr>
            <w:r w:rsidRPr="00795E1F">
              <w:rPr>
                <w:rFonts w:eastAsia="Calibri" w:cs="Calibri"/>
                <w:szCs w:val="18"/>
              </w:rPr>
              <w:t>CEF - 51</w:t>
            </w:r>
          </w:p>
        </w:tc>
        <w:tc>
          <w:tcPr>
            <w:tcW w:w="4321" w:type="dxa"/>
            <w:shd w:val="clear" w:color="auto" w:fill="FFFFFF" w:themeFill="background1"/>
            <w:tcMar>
              <w:top w:w="0" w:type="dxa"/>
              <w:left w:w="85" w:type="dxa"/>
              <w:bottom w:w="0" w:type="dxa"/>
              <w:right w:w="85" w:type="dxa"/>
            </w:tcMar>
            <w:vAlign w:val="center"/>
          </w:tcPr>
          <w:p w14:paraId="1E4BD28C" w14:textId="77777777" w:rsidR="006929CB" w:rsidRPr="00795E1F" w:rsidRDefault="006929CB">
            <w:pPr>
              <w:pStyle w:val="TableText"/>
              <w:spacing w:before="40" w:after="40"/>
              <w:rPr>
                <w:rFonts w:eastAsia="Calibri" w:cs="Calibri"/>
                <w:szCs w:val="18"/>
              </w:rPr>
            </w:pPr>
            <w:r w:rsidRPr="00795E1F">
              <w:rPr>
                <w:rFonts w:eastAsia="Calibri" w:cs="Calibri"/>
                <w:szCs w:val="18"/>
              </w:rPr>
              <w:t>Net change (kt CO</w:t>
            </w:r>
            <w:r w:rsidRPr="00795E1F">
              <w:rPr>
                <w:rFonts w:eastAsia="Calibri" w:cs="Calibri"/>
                <w:szCs w:val="18"/>
                <w:vertAlign w:val="subscript"/>
              </w:rPr>
              <w:t>2</w:t>
            </w:r>
            <w:r w:rsidRPr="00795E1F">
              <w:rPr>
                <w:rFonts w:eastAsia="Calibri" w:cs="Calibri"/>
                <w:szCs w:val="18"/>
              </w:rPr>
              <w:t>)</w:t>
            </w:r>
          </w:p>
        </w:tc>
        <w:tc>
          <w:tcPr>
            <w:tcW w:w="1418" w:type="dxa"/>
            <w:shd w:val="clear" w:color="auto" w:fill="FFFFFF" w:themeFill="background1"/>
            <w:tcMar>
              <w:top w:w="0" w:type="dxa"/>
              <w:left w:w="85" w:type="dxa"/>
              <w:bottom w:w="0" w:type="dxa"/>
              <w:right w:w="85" w:type="dxa"/>
            </w:tcMar>
            <w:vAlign w:val="center"/>
          </w:tcPr>
          <w:p w14:paraId="5DD8F87C" w14:textId="77777777" w:rsidR="006929CB" w:rsidRPr="00795E1F" w:rsidRDefault="006929CB">
            <w:pPr>
              <w:pStyle w:val="TableText"/>
              <w:spacing w:before="40" w:after="40"/>
              <w:jc w:val="right"/>
              <w:rPr>
                <w:rFonts w:eastAsia="Calibri" w:cs="Calibri"/>
                <w:szCs w:val="18"/>
              </w:rPr>
            </w:pPr>
            <w:r w:rsidRPr="00795E1F">
              <w:rPr>
                <w:rFonts w:eastAsia="Calibri" w:cs="Calibri"/>
                <w:szCs w:val="18"/>
              </w:rPr>
              <w:t>0.0</w:t>
            </w:r>
          </w:p>
        </w:tc>
        <w:tc>
          <w:tcPr>
            <w:tcW w:w="1275" w:type="dxa"/>
            <w:shd w:val="clear" w:color="auto" w:fill="FFFFFF" w:themeFill="background1"/>
            <w:tcMar>
              <w:top w:w="0" w:type="dxa"/>
              <w:left w:w="85" w:type="dxa"/>
              <w:bottom w:w="0" w:type="dxa"/>
              <w:right w:w="85" w:type="dxa"/>
            </w:tcMar>
            <w:vAlign w:val="center"/>
          </w:tcPr>
          <w:p w14:paraId="67C18CA7" w14:textId="77777777" w:rsidR="006929CB" w:rsidRPr="00795E1F" w:rsidRDefault="006929CB">
            <w:pPr>
              <w:pStyle w:val="TableText"/>
              <w:spacing w:before="40" w:after="40"/>
              <w:jc w:val="right"/>
              <w:rPr>
                <w:rFonts w:eastAsia="Calibri" w:cs="Calibri"/>
                <w:szCs w:val="18"/>
              </w:rPr>
            </w:pPr>
            <w:r w:rsidRPr="00795E1F">
              <w:rPr>
                <w:rFonts w:eastAsia="Calibri" w:cs="Calibri"/>
                <w:szCs w:val="18"/>
              </w:rPr>
              <w:t>–0.1</w:t>
            </w:r>
          </w:p>
        </w:tc>
      </w:tr>
      <w:tr w:rsidR="006929CB" w:rsidRPr="00795E1F" w14:paraId="76C4DA32" w14:textId="77777777" w:rsidTr="00795E1F">
        <w:tc>
          <w:tcPr>
            <w:tcW w:w="1491" w:type="dxa"/>
            <w:vMerge w:val="restart"/>
            <w:shd w:val="clear" w:color="auto" w:fill="FFFFFF" w:themeFill="background1"/>
            <w:tcMar>
              <w:top w:w="0" w:type="dxa"/>
              <w:left w:w="85" w:type="dxa"/>
              <w:bottom w:w="0" w:type="dxa"/>
              <w:right w:w="85" w:type="dxa"/>
            </w:tcMar>
            <w:vAlign w:val="center"/>
          </w:tcPr>
          <w:p w14:paraId="6AE7E5AF" w14:textId="77777777" w:rsidR="006929CB" w:rsidRPr="00795E1F" w:rsidRDefault="006929CB" w:rsidP="0035699C">
            <w:pPr>
              <w:pStyle w:val="Tableboldblue"/>
              <w:spacing w:before="40" w:after="40"/>
              <w:rPr>
                <w:szCs w:val="18"/>
              </w:rPr>
            </w:pPr>
            <w:r w:rsidRPr="00795E1F">
              <w:rPr>
                <w:szCs w:val="18"/>
              </w:rPr>
              <w:t>Total</w:t>
            </w:r>
          </w:p>
        </w:tc>
        <w:tc>
          <w:tcPr>
            <w:tcW w:w="4321" w:type="dxa"/>
            <w:shd w:val="clear" w:color="auto" w:fill="FFFFFF" w:themeFill="background1"/>
            <w:tcMar>
              <w:top w:w="0" w:type="dxa"/>
              <w:left w:w="85" w:type="dxa"/>
              <w:bottom w:w="0" w:type="dxa"/>
              <w:right w:w="85" w:type="dxa"/>
            </w:tcMar>
            <w:vAlign w:val="center"/>
          </w:tcPr>
          <w:p w14:paraId="5D6355A5" w14:textId="77777777" w:rsidR="006929CB" w:rsidRPr="00795E1F" w:rsidRDefault="006929CB" w:rsidP="0035699C">
            <w:pPr>
              <w:pStyle w:val="Tableboldblue"/>
              <w:spacing w:before="40" w:after="40"/>
              <w:rPr>
                <w:szCs w:val="18"/>
              </w:rPr>
            </w:pPr>
            <w:r w:rsidRPr="00795E1F">
              <w:rPr>
                <w:szCs w:val="18"/>
              </w:rPr>
              <w:t>Harvested and converted (ha)</w:t>
            </w:r>
          </w:p>
        </w:tc>
        <w:tc>
          <w:tcPr>
            <w:tcW w:w="1418" w:type="dxa"/>
            <w:shd w:val="clear" w:color="auto" w:fill="FFFFFF" w:themeFill="background1"/>
            <w:tcMar>
              <w:top w:w="0" w:type="dxa"/>
              <w:left w:w="85" w:type="dxa"/>
              <w:bottom w:w="0" w:type="dxa"/>
              <w:right w:w="85" w:type="dxa"/>
            </w:tcMar>
            <w:vAlign w:val="center"/>
          </w:tcPr>
          <w:p w14:paraId="46D98A82" w14:textId="77777777" w:rsidR="006929CB" w:rsidRPr="00795E1F" w:rsidRDefault="006929CB" w:rsidP="0035699C">
            <w:pPr>
              <w:pStyle w:val="Tableboldblue"/>
              <w:spacing w:before="40" w:after="40"/>
              <w:jc w:val="right"/>
              <w:rPr>
                <w:szCs w:val="18"/>
              </w:rPr>
            </w:pPr>
            <w:r w:rsidRPr="00795E1F">
              <w:rPr>
                <w:szCs w:val="18"/>
              </w:rPr>
              <w:t>74</w:t>
            </w:r>
          </w:p>
        </w:tc>
        <w:tc>
          <w:tcPr>
            <w:tcW w:w="1275" w:type="dxa"/>
            <w:shd w:val="clear" w:color="auto" w:fill="FFFFFF" w:themeFill="background1"/>
            <w:tcMar>
              <w:top w:w="0" w:type="dxa"/>
              <w:left w:w="85" w:type="dxa"/>
              <w:bottom w:w="0" w:type="dxa"/>
              <w:right w:w="85" w:type="dxa"/>
            </w:tcMar>
            <w:vAlign w:val="center"/>
          </w:tcPr>
          <w:p w14:paraId="22A388D3" w14:textId="77777777" w:rsidR="006929CB" w:rsidRPr="00795E1F" w:rsidRDefault="006929CB" w:rsidP="0035699C">
            <w:pPr>
              <w:pStyle w:val="Tableboldblue"/>
              <w:spacing w:before="40" w:after="40"/>
              <w:jc w:val="right"/>
              <w:rPr>
                <w:szCs w:val="18"/>
              </w:rPr>
            </w:pPr>
            <w:r w:rsidRPr="00795E1F">
              <w:rPr>
                <w:szCs w:val="18"/>
              </w:rPr>
              <w:t>113</w:t>
            </w:r>
          </w:p>
        </w:tc>
      </w:tr>
      <w:tr w:rsidR="006929CB" w:rsidRPr="00795E1F" w14:paraId="2D7167CF" w14:textId="77777777" w:rsidTr="00795E1F">
        <w:tc>
          <w:tcPr>
            <w:tcW w:w="1491" w:type="dxa"/>
            <w:vMerge/>
            <w:tcMar>
              <w:top w:w="0" w:type="dxa"/>
              <w:left w:w="85" w:type="dxa"/>
              <w:bottom w:w="0" w:type="dxa"/>
              <w:right w:w="85" w:type="dxa"/>
            </w:tcMar>
            <w:vAlign w:val="center"/>
          </w:tcPr>
          <w:p w14:paraId="78F39E4E" w14:textId="77777777" w:rsidR="006929CB" w:rsidRPr="00795E1F" w:rsidRDefault="006929CB" w:rsidP="0035699C">
            <w:pPr>
              <w:pStyle w:val="Tableboldblue"/>
              <w:spacing w:before="40" w:after="40"/>
              <w:rPr>
                <w:szCs w:val="18"/>
              </w:rPr>
            </w:pPr>
          </w:p>
        </w:tc>
        <w:tc>
          <w:tcPr>
            <w:tcW w:w="4321" w:type="dxa"/>
            <w:shd w:val="clear" w:color="auto" w:fill="FFFFFF" w:themeFill="background1"/>
            <w:tcMar>
              <w:top w:w="0" w:type="dxa"/>
              <w:left w:w="85" w:type="dxa"/>
              <w:bottom w:w="0" w:type="dxa"/>
              <w:right w:w="85" w:type="dxa"/>
            </w:tcMar>
            <w:vAlign w:val="center"/>
          </w:tcPr>
          <w:p w14:paraId="350D1723" w14:textId="77777777" w:rsidR="006929CB" w:rsidRPr="00795E1F" w:rsidRDefault="006929CB" w:rsidP="0035699C">
            <w:pPr>
              <w:pStyle w:val="Tableboldblue"/>
              <w:spacing w:before="40" w:after="40"/>
              <w:rPr>
                <w:szCs w:val="18"/>
              </w:rPr>
            </w:pPr>
            <w:r w:rsidRPr="00795E1F">
              <w:rPr>
                <w:szCs w:val="18"/>
              </w:rPr>
              <w:t>Net change (kt CO</w:t>
            </w:r>
            <w:r w:rsidRPr="00795E1F">
              <w:rPr>
                <w:szCs w:val="18"/>
                <w:vertAlign w:val="subscript"/>
              </w:rPr>
              <w:t>2</w:t>
            </w:r>
            <w:r w:rsidRPr="00795E1F">
              <w:rPr>
                <w:szCs w:val="18"/>
              </w:rPr>
              <w:t>)</w:t>
            </w:r>
          </w:p>
        </w:tc>
        <w:tc>
          <w:tcPr>
            <w:tcW w:w="1418" w:type="dxa"/>
            <w:shd w:val="clear" w:color="auto" w:fill="FFFFFF" w:themeFill="background1"/>
            <w:tcMar>
              <w:top w:w="0" w:type="dxa"/>
              <w:left w:w="85" w:type="dxa"/>
              <w:bottom w:w="0" w:type="dxa"/>
              <w:right w:w="85" w:type="dxa"/>
            </w:tcMar>
            <w:vAlign w:val="center"/>
          </w:tcPr>
          <w:p w14:paraId="523D7CD8" w14:textId="77777777" w:rsidR="006929CB" w:rsidRPr="00795E1F" w:rsidRDefault="006929CB" w:rsidP="0035699C">
            <w:pPr>
              <w:pStyle w:val="Tableboldblue"/>
              <w:spacing w:before="40" w:after="40"/>
              <w:jc w:val="right"/>
              <w:rPr>
                <w:szCs w:val="18"/>
              </w:rPr>
            </w:pPr>
            <w:r w:rsidRPr="00795E1F">
              <w:rPr>
                <w:szCs w:val="18"/>
              </w:rPr>
              <w:t>18.5</w:t>
            </w:r>
          </w:p>
        </w:tc>
        <w:tc>
          <w:tcPr>
            <w:tcW w:w="1275" w:type="dxa"/>
            <w:shd w:val="clear" w:color="auto" w:fill="FFFFFF" w:themeFill="background1"/>
            <w:tcMar>
              <w:top w:w="0" w:type="dxa"/>
              <w:left w:w="85" w:type="dxa"/>
              <w:bottom w:w="0" w:type="dxa"/>
              <w:right w:w="85" w:type="dxa"/>
            </w:tcMar>
            <w:vAlign w:val="center"/>
          </w:tcPr>
          <w:p w14:paraId="1BEB5039" w14:textId="77777777" w:rsidR="006929CB" w:rsidRPr="00795E1F" w:rsidRDefault="006929CB" w:rsidP="0035699C">
            <w:pPr>
              <w:pStyle w:val="Tableboldblue"/>
              <w:spacing w:before="40" w:after="40"/>
              <w:jc w:val="right"/>
              <w:rPr>
                <w:szCs w:val="18"/>
              </w:rPr>
            </w:pPr>
            <w:r w:rsidRPr="00795E1F">
              <w:rPr>
                <w:szCs w:val="18"/>
              </w:rPr>
              <w:t>12.3</w:t>
            </w:r>
          </w:p>
        </w:tc>
      </w:tr>
    </w:tbl>
    <w:p w14:paraId="72A84684" w14:textId="77777777" w:rsidR="006929CB" w:rsidRPr="00DD1C54" w:rsidRDefault="006929CB" w:rsidP="006929CB">
      <w:pPr>
        <w:pStyle w:val="Noteundertable"/>
      </w:pPr>
      <w:r w:rsidRPr="00DD1C54">
        <w:rPr>
          <w:b/>
          <w:bCs/>
        </w:rPr>
        <w:t>Note:</w:t>
      </w:r>
      <w:r w:rsidRPr="00DD1C54">
        <w:t xml:space="preserve"> </w:t>
      </w:r>
      <w:r w:rsidRPr="00DD1C54">
        <w:tab/>
        <w:t xml:space="preserve">Values of 0.0 represent an amount greater than 0 but smaller than the two decimal place thresholds for rounding. </w:t>
      </w:r>
    </w:p>
    <w:p w14:paraId="3CA61962" w14:textId="77777777" w:rsidR="006929CB" w:rsidRPr="00DD1C54" w:rsidRDefault="006929CB" w:rsidP="0035699C">
      <w:pPr>
        <w:pStyle w:val="BodyText"/>
        <w:spacing w:before="80" w:after="100"/>
      </w:pPr>
      <w:r w:rsidRPr="00DD1C54">
        <w:t xml:space="preserve">A carbon equivalent forest provision is included and administered domestically by the New Zealand Ministry for Primary Industries as part of the NZ ETS settings. The domestic carbon equivalent forest rules are broadly aligned with those in the 2013 Kyoto Protocol Supplement (IPCC, 2014). Misalignments between the international rule set and the domestic scheme include: </w:t>
      </w:r>
    </w:p>
    <w:p w14:paraId="4B289FF0" w14:textId="77777777" w:rsidR="006929CB" w:rsidRPr="00DD1C54" w:rsidRDefault="006929CB" w:rsidP="006929CB">
      <w:pPr>
        <w:pStyle w:val="Bullet"/>
        <w:spacing w:line="240" w:lineRule="auto"/>
      </w:pPr>
      <w:r w:rsidRPr="00DD1C54">
        <w:t xml:space="preserve">the carbon equivalent forest can be established before the forest land is converted to another land use </w:t>
      </w:r>
    </w:p>
    <w:p w14:paraId="708CA422" w14:textId="77777777" w:rsidR="006929CB" w:rsidRPr="00DD1C54" w:rsidRDefault="006929CB" w:rsidP="006929CB">
      <w:pPr>
        <w:pStyle w:val="Bullet"/>
        <w:spacing w:line="240" w:lineRule="auto"/>
      </w:pPr>
      <w:r w:rsidRPr="00DD1C54">
        <w:t xml:space="preserve">the newly established carbon equivalent forest can be established on land that was forested on 31 December 1989. </w:t>
      </w:r>
    </w:p>
    <w:p w14:paraId="5E81A669" w14:textId="77777777" w:rsidR="006929CB" w:rsidRPr="00DD1C54" w:rsidRDefault="006929CB" w:rsidP="0035699C">
      <w:pPr>
        <w:pStyle w:val="BodyText"/>
        <w:spacing w:before="100" w:after="100"/>
      </w:pPr>
      <w:r w:rsidRPr="00DD1C54">
        <w:t xml:space="preserve">Where these misalignments are observed, these activities are instead reported and accounted for as separate afforestation and deforestation events and excluded from the carbon equivalent forest accounting provision that is applied to </w:t>
      </w:r>
      <w:r w:rsidRPr="00DD1C54">
        <w:rPr>
          <w:i/>
          <w:iCs/>
        </w:rPr>
        <w:t>Forest management</w:t>
      </w:r>
      <w:r w:rsidRPr="00DD1C54">
        <w:t xml:space="preserve"> activities.</w:t>
      </w:r>
    </w:p>
    <w:p w14:paraId="2ED9DFF0" w14:textId="77777777" w:rsidR="006929CB" w:rsidRPr="00DD1C54" w:rsidRDefault="006929CB" w:rsidP="0035699C">
      <w:pPr>
        <w:pStyle w:val="BodyText"/>
        <w:spacing w:before="100" w:after="100"/>
      </w:pPr>
      <w:r w:rsidRPr="00DD1C54">
        <w:t xml:space="preserve">Emissions from the conversion of forest land under the carbon equivalent forest accounting provision are calculated as a deforestation event. Net emissions are calculated as outlined in section A2.3.3. The emissions from the establishment of the new forest under the provision are calculated as an afforestation event as outlined in section A2.3.2. Net emissions from these activities are reported under </w:t>
      </w:r>
      <w:r w:rsidRPr="00DD1C54">
        <w:rPr>
          <w:i/>
        </w:rPr>
        <w:t>Forest management</w:t>
      </w:r>
      <w:r w:rsidRPr="00DD1C54">
        <w:t xml:space="preserve"> and monitored over time, to ensure carbon equivalence is achieved within the normal harvesting cycle of the harvested and converted forest plantation.</w:t>
      </w:r>
    </w:p>
    <w:p w14:paraId="7770D333" w14:textId="77777777" w:rsidR="006929CB" w:rsidRPr="00DD1C54" w:rsidRDefault="006929CB" w:rsidP="006929CB">
      <w:pPr>
        <w:pStyle w:val="BodyText"/>
        <w:spacing w:after="100"/>
      </w:pPr>
      <w:r w:rsidRPr="00DD1C54">
        <w:t xml:space="preserve">The carbon equivalent forest accounting provision creates a misalignment between the reporting of afforestation and deforestation areas here and in Inventory 2024. This land is reported as </w:t>
      </w:r>
      <w:r w:rsidRPr="00DD1C54">
        <w:rPr>
          <w:i/>
        </w:rPr>
        <w:t>Land converted to forest land</w:t>
      </w:r>
      <w:r w:rsidRPr="00DD1C54">
        <w:t xml:space="preserve"> (afforestation) and </w:t>
      </w:r>
      <w:r w:rsidRPr="00DD1C54">
        <w:rPr>
          <w:i/>
        </w:rPr>
        <w:t>Forest land converted to other land uses</w:t>
      </w:r>
      <w:r w:rsidRPr="00DD1C54">
        <w:t xml:space="preserve"> (deforestation) in the LULUCF sector of Inventory 2024. Further misalignment occurs due to the Inventory transition of areas of </w:t>
      </w:r>
      <w:r w:rsidRPr="00DD1C54">
        <w:rPr>
          <w:i/>
        </w:rPr>
        <w:t xml:space="preserve">Afforestation and reforestation </w:t>
      </w:r>
      <w:r w:rsidRPr="00DD1C54">
        <w:t>land</w:t>
      </w:r>
      <w:r w:rsidRPr="00DD1C54">
        <w:rPr>
          <w:i/>
        </w:rPr>
        <w:t xml:space="preserve"> </w:t>
      </w:r>
      <w:r w:rsidRPr="00DD1C54">
        <w:t>(</w:t>
      </w:r>
      <w:r w:rsidRPr="00DD1C54">
        <w:rPr>
          <w:i/>
        </w:rPr>
        <w:t>Land converted to forest land</w:t>
      </w:r>
      <w:r w:rsidRPr="00DD1C54">
        <w:rPr>
          <w:i/>
          <w:iCs/>
        </w:rPr>
        <w:t>)</w:t>
      </w:r>
      <w:r w:rsidRPr="00DD1C54">
        <w:t xml:space="preserve"> into </w:t>
      </w:r>
      <w:r w:rsidRPr="00DD1C54">
        <w:rPr>
          <w:i/>
        </w:rPr>
        <w:t>Forest land remaining forest land</w:t>
      </w:r>
      <w:r w:rsidRPr="00DD1C54">
        <w:t xml:space="preserve"> after a period of 20 years. </w:t>
      </w:r>
    </w:p>
    <w:p w14:paraId="3E6343A3" w14:textId="77777777" w:rsidR="006929CB" w:rsidRPr="00DD1C54" w:rsidRDefault="006929CB" w:rsidP="006929CB">
      <w:pPr>
        <w:pStyle w:val="BodyText"/>
      </w:pPr>
      <w:r w:rsidRPr="00DD1C54">
        <w:rPr>
          <w:spacing w:val="-2"/>
        </w:rPr>
        <w:t xml:space="preserve">Table A2.13 shows the correspondence between forest land categories reported in the Biennial Transparency Report and in Inventory 2024 for 2022. </w:t>
      </w:r>
    </w:p>
    <w:p w14:paraId="0126A4A7" w14:textId="77777777" w:rsidR="006929CB" w:rsidRPr="00DD1C54" w:rsidRDefault="006929CB" w:rsidP="006929CB">
      <w:pPr>
        <w:pStyle w:val="Tableheading"/>
      </w:pPr>
      <w:bookmarkStart w:id="1163" w:name="_Toc182311705"/>
      <w:bookmarkStart w:id="1164" w:name="_Toc185407540"/>
      <w:bookmarkStart w:id="1165" w:name="_Toc185427803"/>
      <w:r w:rsidRPr="00DD1C54">
        <w:t>Table A2.13:</w:t>
      </w:r>
      <w:r w:rsidRPr="00DD1C54">
        <w:tab/>
        <w:t>Comparison of forest areas reported under each LULUCF Inventory category and LULUCF activities 2022 (kha)</w:t>
      </w:r>
      <w:bookmarkEnd w:id="1163"/>
      <w:bookmarkEnd w:id="1164"/>
      <w:bookmarkEnd w:id="1165"/>
      <w:r w:rsidRPr="00DD1C54">
        <w:t xml:space="preserve"> </w:t>
      </w:r>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CellMar>
          <w:left w:w="85" w:type="dxa"/>
          <w:right w:w="85" w:type="dxa"/>
        </w:tblCellMar>
        <w:tblLook w:val="0420" w:firstRow="1" w:lastRow="0" w:firstColumn="0" w:lastColumn="0" w:noHBand="0" w:noVBand="1"/>
      </w:tblPr>
      <w:tblGrid>
        <w:gridCol w:w="3686"/>
        <w:gridCol w:w="2268"/>
        <w:gridCol w:w="1701"/>
        <w:gridCol w:w="850"/>
      </w:tblGrid>
      <w:tr w:rsidR="007E018F" w:rsidRPr="00795E1F" w14:paraId="10EED902" w14:textId="77777777" w:rsidTr="00795E1F">
        <w:tc>
          <w:tcPr>
            <w:tcW w:w="3686" w:type="dxa"/>
            <w:shd w:val="clear" w:color="auto" w:fill="1B556B" w:themeFill="text2"/>
          </w:tcPr>
          <w:p w14:paraId="383510B2" w14:textId="77777777" w:rsidR="007E018F" w:rsidRPr="00795E1F" w:rsidRDefault="007E018F">
            <w:pPr>
              <w:pStyle w:val="TableText"/>
              <w:spacing w:after="0"/>
              <w:jc w:val="right"/>
              <w:rPr>
                <w:szCs w:val="18"/>
              </w:rPr>
            </w:pPr>
            <w:r w:rsidRPr="00795E1F">
              <w:rPr>
                <w:noProof/>
                <w:color w:val="FFFFFF" w:themeColor="background1"/>
                <w:szCs w:val="18"/>
              </w:rPr>
              <mc:AlternateContent>
                <mc:Choice Requires="wps">
                  <w:drawing>
                    <wp:anchor distT="0" distB="0" distL="114300" distR="114300" simplePos="0" relativeHeight="251658244" behindDoc="0" locked="0" layoutInCell="1" allowOverlap="1" wp14:anchorId="2C8EDC59" wp14:editId="168D79C7">
                      <wp:simplePos x="0" y="0"/>
                      <wp:positionH relativeFrom="column">
                        <wp:posOffset>-57979</wp:posOffset>
                      </wp:positionH>
                      <wp:positionV relativeFrom="paragraph">
                        <wp:posOffset>25970</wp:posOffset>
                      </wp:positionV>
                      <wp:extent cx="2251787" cy="329682"/>
                      <wp:effectExtent l="0" t="0" r="34290" b="32385"/>
                      <wp:wrapNone/>
                      <wp:docPr id="1558659515"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51787" cy="329682"/>
                              </a:xfrm>
                              <a:prstGeom prst="line">
                                <a:avLst/>
                              </a:prstGeom>
                              <a:noFill/>
                              <a:ln w="6350" cap="flat" cmpd="sng" algn="ctr">
                                <a:solidFill>
                                  <a:sysClr val="window" lastClr="FFFF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64F9C9" id="Straight Connector 6" o:spid="_x0000_s1026" style="position:absolute;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5pt,2.05pt" to="172.7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" strokecolor="window" strokeweight=".5pt">
                      <v:stroke joinstyle="miter"/>
                      <o:lock v:ext="edit" shapetype="f"/>
                    </v:line>
                  </w:pict>
                </mc:Fallback>
              </mc:AlternateContent>
            </w:r>
            <w:r w:rsidRPr="00795E1F">
              <w:rPr>
                <w:b/>
                <w:color w:val="FFFFFF" w:themeColor="background1"/>
                <w:szCs w:val="18"/>
              </w:rPr>
              <w:t>Inventory land category</w:t>
            </w:r>
          </w:p>
          <w:p w14:paraId="42874561" w14:textId="1D22A429" w:rsidR="007E018F" w:rsidRPr="00795E1F" w:rsidRDefault="007E018F">
            <w:pPr>
              <w:pStyle w:val="TableText"/>
              <w:spacing w:before="0"/>
              <w:rPr>
                <w:szCs w:val="18"/>
              </w:rPr>
            </w:pPr>
            <w:r w:rsidRPr="00795E1F">
              <w:rPr>
                <w:b/>
                <w:color w:val="FFFFFF" w:themeColor="background1"/>
                <w:szCs w:val="18"/>
              </w:rPr>
              <w:t>LULUCF activity</w:t>
            </w:r>
          </w:p>
        </w:tc>
        <w:tc>
          <w:tcPr>
            <w:tcW w:w="2268" w:type="dxa"/>
            <w:shd w:val="clear" w:color="auto" w:fill="1B556B" w:themeFill="text2"/>
            <w:vAlign w:val="bottom"/>
          </w:tcPr>
          <w:p w14:paraId="5A7D623F" w14:textId="42C04850" w:rsidR="007E018F" w:rsidRPr="00795E1F" w:rsidRDefault="007E018F">
            <w:pPr>
              <w:pStyle w:val="TableText"/>
              <w:spacing w:before="0"/>
              <w:jc w:val="right"/>
              <w:rPr>
                <w:szCs w:val="18"/>
              </w:rPr>
            </w:pPr>
            <w:r w:rsidRPr="00795E1F">
              <w:rPr>
                <w:rFonts w:eastAsia="Calibri" w:cs="Calibri"/>
                <w:b/>
                <w:color w:val="FFFFFF" w:themeColor="background1"/>
                <w:szCs w:val="18"/>
              </w:rPr>
              <w:t xml:space="preserve">Forest land remaining </w:t>
            </w:r>
            <w:r w:rsidRPr="00795E1F">
              <w:rPr>
                <w:rFonts w:eastAsia="Calibri" w:cs="Calibri"/>
                <w:b/>
                <w:color w:val="FFFFFF" w:themeColor="background1"/>
                <w:szCs w:val="18"/>
              </w:rPr>
              <w:br/>
              <w:t>forest land</w:t>
            </w:r>
          </w:p>
        </w:tc>
        <w:tc>
          <w:tcPr>
            <w:tcW w:w="1701" w:type="dxa"/>
            <w:shd w:val="clear" w:color="auto" w:fill="1B556B" w:themeFill="text2"/>
            <w:vAlign w:val="bottom"/>
          </w:tcPr>
          <w:p w14:paraId="172EDF2F" w14:textId="33AA4288" w:rsidR="007E018F" w:rsidRPr="00795E1F" w:rsidRDefault="007E018F">
            <w:pPr>
              <w:pStyle w:val="TableText"/>
              <w:spacing w:before="0"/>
              <w:jc w:val="right"/>
              <w:rPr>
                <w:szCs w:val="18"/>
              </w:rPr>
            </w:pPr>
            <w:r w:rsidRPr="00795E1F">
              <w:rPr>
                <w:rFonts w:eastAsia="Calibri" w:cs="Calibri"/>
                <w:b/>
                <w:color w:val="FFFFFF" w:themeColor="background1"/>
                <w:szCs w:val="18"/>
              </w:rPr>
              <w:t xml:space="preserve">Land converted to </w:t>
            </w:r>
            <w:r w:rsidRPr="00795E1F">
              <w:rPr>
                <w:rFonts w:eastAsia="Calibri" w:cs="Calibri"/>
                <w:b/>
                <w:color w:val="FFFFFF" w:themeColor="background1"/>
                <w:szCs w:val="18"/>
              </w:rPr>
              <w:br/>
              <w:t>forest land</w:t>
            </w:r>
          </w:p>
        </w:tc>
        <w:tc>
          <w:tcPr>
            <w:tcW w:w="850" w:type="dxa"/>
            <w:shd w:val="clear" w:color="auto" w:fill="1B556B" w:themeFill="text2"/>
            <w:vAlign w:val="bottom"/>
          </w:tcPr>
          <w:p w14:paraId="7C34CECF" w14:textId="2BC1D1AF" w:rsidR="007E018F" w:rsidRPr="00795E1F" w:rsidRDefault="007E018F">
            <w:pPr>
              <w:pStyle w:val="TableTextbold"/>
              <w:spacing w:before="0"/>
              <w:jc w:val="right"/>
              <w:rPr>
                <w:rFonts w:eastAsia="Calibri"/>
                <w:szCs w:val="18"/>
              </w:rPr>
            </w:pPr>
            <w:r w:rsidRPr="00795E1F">
              <w:rPr>
                <w:rFonts w:eastAsia="Calibri" w:cs="Calibri"/>
                <w:color w:val="FFFFFF" w:themeColor="background1"/>
                <w:szCs w:val="18"/>
              </w:rPr>
              <w:t>Total</w:t>
            </w:r>
          </w:p>
        </w:tc>
      </w:tr>
      <w:tr w:rsidR="006929CB" w:rsidRPr="00795E1F" w14:paraId="2C76B95D" w14:textId="77777777" w:rsidTr="00795E1F">
        <w:tc>
          <w:tcPr>
            <w:tcW w:w="3686" w:type="dxa"/>
          </w:tcPr>
          <w:p w14:paraId="5BBB6344" w14:textId="77777777" w:rsidR="006929CB" w:rsidRPr="00795E1F" w:rsidRDefault="006929CB" w:rsidP="00B71790">
            <w:pPr>
              <w:pStyle w:val="TableText"/>
              <w:spacing w:before="40" w:after="40"/>
              <w:rPr>
                <w:rFonts w:eastAsia="Calibri"/>
                <w:szCs w:val="18"/>
              </w:rPr>
            </w:pPr>
            <w:r w:rsidRPr="00795E1F">
              <w:rPr>
                <w:rFonts w:eastAsia="Calibri"/>
                <w:szCs w:val="18"/>
              </w:rPr>
              <w:t>Forest management (excluding CEF)</w:t>
            </w:r>
          </w:p>
        </w:tc>
        <w:tc>
          <w:tcPr>
            <w:tcW w:w="2268" w:type="dxa"/>
          </w:tcPr>
          <w:p w14:paraId="3EDC1878" w14:textId="77777777" w:rsidR="006929CB" w:rsidRPr="00795E1F" w:rsidRDefault="006929CB" w:rsidP="00B71790">
            <w:pPr>
              <w:pStyle w:val="TableText"/>
              <w:spacing w:before="40" w:after="40"/>
              <w:jc w:val="right"/>
              <w:rPr>
                <w:rFonts w:eastAsia="Calibri"/>
                <w:color w:val="000000"/>
                <w:szCs w:val="18"/>
              </w:rPr>
            </w:pPr>
            <w:r w:rsidRPr="00795E1F">
              <w:rPr>
                <w:rFonts w:eastAsia="Calibri"/>
                <w:color w:val="000000"/>
                <w:szCs w:val="18"/>
              </w:rPr>
              <w:t>9,177.0</w:t>
            </w:r>
          </w:p>
        </w:tc>
        <w:tc>
          <w:tcPr>
            <w:tcW w:w="1701" w:type="dxa"/>
          </w:tcPr>
          <w:p w14:paraId="1CA39B99" w14:textId="77777777" w:rsidR="006929CB" w:rsidRPr="00795E1F" w:rsidRDefault="006929CB" w:rsidP="00B71790">
            <w:pPr>
              <w:pStyle w:val="TableText"/>
              <w:spacing w:before="40" w:after="40"/>
              <w:jc w:val="right"/>
              <w:rPr>
                <w:rFonts w:eastAsia="Calibri"/>
                <w:color w:val="000000"/>
                <w:szCs w:val="18"/>
              </w:rPr>
            </w:pPr>
            <w:r w:rsidRPr="00795E1F">
              <w:rPr>
                <w:rFonts w:eastAsia="Calibri"/>
                <w:color w:val="000000"/>
                <w:szCs w:val="18"/>
              </w:rPr>
              <w:t>NA</w:t>
            </w:r>
          </w:p>
        </w:tc>
        <w:tc>
          <w:tcPr>
            <w:tcW w:w="850" w:type="dxa"/>
          </w:tcPr>
          <w:p w14:paraId="4B94F48E" w14:textId="77777777" w:rsidR="006929CB" w:rsidRPr="00795E1F" w:rsidRDefault="006929CB" w:rsidP="00B71790">
            <w:pPr>
              <w:pStyle w:val="TableTextbold"/>
              <w:spacing w:before="40" w:after="40"/>
              <w:jc w:val="right"/>
              <w:rPr>
                <w:rFonts w:eastAsia="Calibri"/>
                <w:szCs w:val="18"/>
              </w:rPr>
            </w:pPr>
            <w:r w:rsidRPr="00795E1F">
              <w:rPr>
                <w:rFonts w:eastAsia="Calibri"/>
                <w:szCs w:val="18"/>
              </w:rPr>
              <w:t>9,177.0</w:t>
            </w:r>
          </w:p>
        </w:tc>
      </w:tr>
      <w:tr w:rsidR="006929CB" w:rsidRPr="00795E1F" w14:paraId="1512C9FC" w14:textId="77777777" w:rsidTr="00795E1F">
        <w:tc>
          <w:tcPr>
            <w:tcW w:w="3686" w:type="dxa"/>
          </w:tcPr>
          <w:p w14:paraId="61B1ED17" w14:textId="77777777" w:rsidR="006929CB" w:rsidRPr="00795E1F" w:rsidRDefault="006929CB" w:rsidP="00B71790">
            <w:pPr>
              <w:pStyle w:val="TableText"/>
              <w:spacing w:before="40" w:after="40"/>
              <w:rPr>
                <w:rFonts w:eastAsia="Calibri"/>
                <w:szCs w:val="18"/>
              </w:rPr>
            </w:pPr>
            <w:r w:rsidRPr="00795E1F">
              <w:rPr>
                <w:rFonts w:eastAsia="Calibri"/>
                <w:szCs w:val="18"/>
              </w:rPr>
              <w:t>Afforestation and reforestation</w:t>
            </w:r>
          </w:p>
        </w:tc>
        <w:tc>
          <w:tcPr>
            <w:tcW w:w="2268" w:type="dxa"/>
          </w:tcPr>
          <w:p w14:paraId="01E17010" w14:textId="77777777" w:rsidR="006929CB" w:rsidRPr="00795E1F" w:rsidRDefault="006929CB" w:rsidP="00B71790">
            <w:pPr>
              <w:pStyle w:val="TableText"/>
              <w:spacing w:before="40" w:after="40"/>
              <w:jc w:val="right"/>
              <w:rPr>
                <w:rFonts w:eastAsia="Calibri"/>
                <w:color w:val="000000"/>
                <w:szCs w:val="18"/>
              </w:rPr>
            </w:pPr>
            <w:r w:rsidRPr="00795E1F">
              <w:rPr>
                <w:rFonts w:eastAsia="Calibri"/>
                <w:color w:val="000000"/>
                <w:szCs w:val="18"/>
              </w:rPr>
              <w:t>524.2</w:t>
            </w:r>
          </w:p>
        </w:tc>
        <w:tc>
          <w:tcPr>
            <w:tcW w:w="1701" w:type="dxa"/>
          </w:tcPr>
          <w:p w14:paraId="4094CE15" w14:textId="77777777" w:rsidR="006929CB" w:rsidRPr="00795E1F" w:rsidRDefault="006929CB" w:rsidP="00B71790">
            <w:pPr>
              <w:pStyle w:val="TableText"/>
              <w:spacing w:before="40" w:after="40"/>
              <w:jc w:val="right"/>
              <w:rPr>
                <w:rFonts w:eastAsia="Calibri"/>
                <w:color w:val="000000"/>
                <w:szCs w:val="18"/>
              </w:rPr>
            </w:pPr>
            <w:r w:rsidRPr="00795E1F">
              <w:rPr>
                <w:rFonts w:eastAsia="Calibri"/>
                <w:color w:val="000000"/>
                <w:szCs w:val="18"/>
              </w:rPr>
              <w:t>384.9</w:t>
            </w:r>
          </w:p>
        </w:tc>
        <w:tc>
          <w:tcPr>
            <w:tcW w:w="850" w:type="dxa"/>
          </w:tcPr>
          <w:p w14:paraId="27B2E548" w14:textId="77777777" w:rsidR="006929CB" w:rsidRPr="00795E1F" w:rsidRDefault="006929CB" w:rsidP="00B71790">
            <w:pPr>
              <w:pStyle w:val="TableTextbold"/>
              <w:spacing w:before="40" w:after="40"/>
              <w:jc w:val="right"/>
              <w:rPr>
                <w:rFonts w:eastAsia="Calibri"/>
                <w:szCs w:val="18"/>
              </w:rPr>
            </w:pPr>
            <w:r w:rsidRPr="00795E1F">
              <w:rPr>
                <w:rFonts w:eastAsia="Calibri"/>
                <w:szCs w:val="18"/>
              </w:rPr>
              <w:t>909.1</w:t>
            </w:r>
          </w:p>
        </w:tc>
      </w:tr>
      <w:tr w:rsidR="006929CB" w:rsidRPr="00795E1F" w14:paraId="25CFFDD6" w14:textId="77777777" w:rsidTr="00795E1F">
        <w:tc>
          <w:tcPr>
            <w:tcW w:w="3686" w:type="dxa"/>
          </w:tcPr>
          <w:p w14:paraId="0CDB7F53" w14:textId="77777777" w:rsidR="006929CB" w:rsidRPr="00795E1F" w:rsidRDefault="006929CB" w:rsidP="00B71790">
            <w:pPr>
              <w:pStyle w:val="TableText"/>
              <w:spacing w:before="40" w:after="40"/>
              <w:rPr>
                <w:rFonts w:eastAsia="Calibri"/>
                <w:szCs w:val="18"/>
              </w:rPr>
            </w:pPr>
            <w:r w:rsidRPr="00795E1F">
              <w:rPr>
                <w:rFonts w:eastAsia="Calibri"/>
                <w:szCs w:val="18"/>
              </w:rPr>
              <w:t>Deforestation</w:t>
            </w:r>
            <w:r w:rsidRPr="00795E1F">
              <w:rPr>
                <w:rFonts w:eastAsia="Calibri"/>
                <w:i/>
                <w:szCs w:val="18"/>
              </w:rPr>
              <w:t xml:space="preserve"> </w:t>
            </w:r>
            <w:r w:rsidRPr="00795E1F">
              <w:rPr>
                <w:rFonts w:eastAsia="Calibri"/>
                <w:szCs w:val="18"/>
              </w:rPr>
              <w:t>(replanting on deforested land)</w:t>
            </w:r>
          </w:p>
        </w:tc>
        <w:tc>
          <w:tcPr>
            <w:tcW w:w="2268" w:type="dxa"/>
            <w:vAlign w:val="center"/>
          </w:tcPr>
          <w:p w14:paraId="5BB03E29" w14:textId="77777777" w:rsidR="006929CB" w:rsidRPr="00795E1F" w:rsidRDefault="006929CB" w:rsidP="00B71790">
            <w:pPr>
              <w:pStyle w:val="TableText"/>
              <w:spacing w:before="40" w:after="40"/>
              <w:jc w:val="right"/>
              <w:rPr>
                <w:rFonts w:eastAsia="Calibri"/>
                <w:color w:val="000000"/>
                <w:szCs w:val="18"/>
              </w:rPr>
            </w:pPr>
            <w:r w:rsidRPr="00795E1F">
              <w:rPr>
                <w:rFonts w:eastAsia="Calibri"/>
                <w:color w:val="000000"/>
                <w:szCs w:val="18"/>
              </w:rPr>
              <w:t>–</w:t>
            </w:r>
          </w:p>
        </w:tc>
        <w:tc>
          <w:tcPr>
            <w:tcW w:w="1701" w:type="dxa"/>
            <w:vAlign w:val="center"/>
          </w:tcPr>
          <w:p w14:paraId="134D8EC7" w14:textId="77777777" w:rsidR="006929CB" w:rsidRPr="00795E1F" w:rsidRDefault="006929CB" w:rsidP="00B71790">
            <w:pPr>
              <w:pStyle w:val="TableText"/>
              <w:spacing w:before="40" w:after="40"/>
              <w:jc w:val="right"/>
              <w:rPr>
                <w:rFonts w:eastAsia="Calibri"/>
                <w:color w:val="000000"/>
                <w:szCs w:val="18"/>
              </w:rPr>
            </w:pPr>
            <w:r w:rsidRPr="00795E1F">
              <w:rPr>
                <w:rFonts w:eastAsia="Calibri"/>
                <w:color w:val="000000"/>
                <w:szCs w:val="18"/>
              </w:rPr>
              <w:t>3.0</w:t>
            </w:r>
          </w:p>
        </w:tc>
        <w:tc>
          <w:tcPr>
            <w:tcW w:w="850" w:type="dxa"/>
            <w:vAlign w:val="center"/>
          </w:tcPr>
          <w:p w14:paraId="216B20A4" w14:textId="77777777" w:rsidR="006929CB" w:rsidRPr="00795E1F" w:rsidRDefault="006929CB" w:rsidP="00B71790">
            <w:pPr>
              <w:pStyle w:val="TableTextbold"/>
              <w:spacing w:before="40" w:after="40"/>
              <w:jc w:val="right"/>
              <w:rPr>
                <w:rFonts w:eastAsia="Calibri"/>
                <w:szCs w:val="18"/>
              </w:rPr>
            </w:pPr>
            <w:r w:rsidRPr="00795E1F">
              <w:rPr>
                <w:rFonts w:eastAsia="Calibri"/>
                <w:szCs w:val="18"/>
              </w:rPr>
              <w:t>3.0</w:t>
            </w:r>
          </w:p>
        </w:tc>
      </w:tr>
      <w:tr w:rsidR="006929CB" w:rsidRPr="00795E1F" w14:paraId="1F769887" w14:textId="77777777" w:rsidTr="00795E1F">
        <w:tc>
          <w:tcPr>
            <w:tcW w:w="3686" w:type="dxa"/>
          </w:tcPr>
          <w:p w14:paraId="3749AE72" w14:textId="77777777" w:rsidR="006929CB" w:rsidRPr="00795E1F" w:rsidRDefault="006929CB" w:rsidP="00B71790">
            <w:pPr>
              <w:pStyle w:val="TableText"/>
              <w:spacing w:before="40" w:after="40"/>
              <w:rPr>
                <w:rFonts w:eastAsia="Calibri"/>
                <w:szCs w:val="18"/>
              </w:rPr>
            </w:pPr>
            <w:r w:rsidRPr="00795E1F">
              <w:rPr>
                <w:rFonts w:eastAsia="Calibri"/>
                <w:szCs w:val="18"/>
              </w:rPr>
              <w:t>CEF – newly established</w:t>
            </w:r>
          </w:p>
        </w:tc>
        <w:tc>
          <w:tcPr>
            <w:tcW w:w="2268" w:type="dxa"/>
          </w:tcPr>
          <w:p w14:paraId="20B60BA1" w14:textId="77777777" w:rsidR="006929CB" w:rsidRPr="00795E1F" w:rsidRDefault="006929CB" w:rsidP="00B71790">
            <w:pPr>
              <w:pStyle w:val="TableText"/>
              <w:spacing w:before="40" w:after="40"/>
              <w:jc w:val="right"/>
              <w:rPr>
                <w:rFonts w:eastAsia="Calibri"/>
                <w:color w:val="000000"/>
                <w:szCs w:val="18"/>
              </w:rPr>
            </w:pPr>
            <w:r w:rsidRPr="00795E1F">
              <w:rPr>
                <w:rFonts w:eastAsia="Calibri"/>
                <w:szCs w:val="18"/>
              </w:rPr>
              <w:t>–</w:t>
            </w:r>
          </w:p>
        </w:tc>
        <w:tc>
          <w:tcPr>
            <w:tcW w:w="1701" w:type="dxa"/>
          </w:tcPr>
          <w:p w14:paraId="02E8EC85" w14:textId="77777777" w:rsidR="006929CB" w:rsidRPr="00795E1F" w:rsidRDefault="006929CB" w:rsidP="00B71790">
            <w:pPr>
              <w:pStyle w:val="TableText"/>
              <w:spacing w:before="40" w:after="40"/>
              <w:jc w:val="right"/>
              <w:rPr>
                <w:rFonts w:eastAsia="Calibri"/>
                <w:color w:val="000000"/>
                <w:szCs w:val="18"/>
              </w:rPr>
            </w:pPr>
            <w:r w:rsidRPr="00795E1F">
              <w:rPr>
                <w:rFonts w:eastAsia="Calibri"/>
                <w:color w:val="000000"/>
                <w:szCs w:val="18"/>
              </w:rPr>
              <w:t>4.9</w:t>
            </w:r>
          </w:p>
        </w:tc>
        <w:tc>
          <w:tcPr>
            <w:tcW w:w="850" w:type="dxa"/>
          </w:tcPr>
          <w:p w14:paraId="3CC6534D" w14:textId="77777777" w:rsidR="006929CB" w:rsidRPr="00795E1F" w:rsidRDefault="006929CB" w:rsidP="00B71790">
            <w:pPr>
              <w:pStyle w:val="TableTextbold"/>
              <w:spacing w:before="40" w:after="40"/>
              <w:jc w:val="right"/>
              <w:rPr>
                <w:rFonts w:eastAsia="Calibri"/>
                <w:szCs w:val="18"/>
              </w:rPr>
            </w:pPr>
            <w:r w:rsidRPr="00795E1F">
              <w:rPr>
                <w:rFonts w:eastAsia="Calibri"/>
                <w:szCs w:val="18"/>
              </w:rPr>
              <w:t>4.9</w:t>
            </w:r>
          </w:p>
        </w:tc>
      </w:tr>
      <w:tr w:rsidR="006929CB" w:rsidRPr="00795E1F" w14:paraId="696751BA" w14:textId="77777777" w:rsidTr="00795E1F">
        <w:tc>
          <w:tcPr>
            <w:tcW w:w="3686" w:type="dxa"/>
          </w:tcPr>
          <w:p w14:paraId="23C63E93" w14:textId="77777777" w:rsidR="006929CB" w:rsidRPr="00795E1F" w:rsidRDefault="006929CB" w:rsidP="00B71790">
            <w:pPr>
              <w:pStyle w:val="Tableboldblue"/>
              <w:spacing w:before="40" w:after="40"/>
              <w:rPr>
                <w:szCs w:val="18"/>
              </w:rPr>
            </w:pPr>
            <w:r w:rsidRPr="00795E1F">
              <w:rPr>
                <w:szCs w:val="18"/>
              </w:rPr>
              <w:t>Total</w:t>
            </w:r>
          </w:p>
        </w:tc>
        <w:tc>
          <w:tcPr>
            <w:tcW w:w="2268" w:type="dxa"/>
          </w:tcPr>
          <w:p w14:paraId="075B447A" w14:textId="77777777" w:rsidR="006929CB" w:rsidRPr="00795E1F" w:rsidRDefault="006929CB" w:rsidP="00B71790">
            <w:pPr>
              <w:pStyle w:val="Tableboldblue"/>
              <w:spacing w:before="40" w:after="40"/>
              <w:jc w:val="right"/>
              <w:rPr>
                <w:szCs w:val="18"/>
              </w:rPr>
            </w:pPr>
            <w:r w:rsidRPr="00795E1F">
              <w:rPr>
                <w:szCs w:val="18"/>
              </w:rPr>
              <w:t>9,701.3</w:t>
            </w:r>
          </w:p>
        </w:tc>
        <w:tc>
          <w:tcPr>
            <w:tcW w:w="1701" w:type="dxa"/>
          </w:tcPr>
          <w:p w14:paraId="535EC334" w14:textId="77777777" w:rsidR="006929CB" w:rsidRPr="00795E1F" w:rsidRDefault="006929CB" w:rsidP="00B71790">
            <w:pPr>
              <w:pStyle w:val="Tableboldblue"/>
              <w:spacing w:before="40" w:after="40"/>
              <w:jc w:val="right"/>
              <w:rPr>
                <w:szCs w:val="18"/>
              </w:rPr>
            </w:pPr>
            <w:r w:rsidRPr="00795E1F">
              <w:rPr>
                <w:szCs w:val="18"/>
              </w:rPr>
              <w:t>392.8</w:t>
            </w:r>
          </w:p>
        </w:tc>
        <w:tc>
          <w:tcPr>
            <w:tcW w:w="850" w:type="dxa"/>
          </w:tcPr>
          <w:p w14:paraId="75737548" w14:textId="77777777" w:rsidR="006929CB" w:rsidRPr="00795E1F" w:rsidRDefault="006929CB" w:rsidP="00B71790">
            <w:pPr>
              <w:pStyle w:val="Tableboldblue"/>
              <w:spacing w:before="40" w:after="40"/>
              <w:jc w:val="right"/>
              <w:rPr>
                <w:szCs w:val="18"/>
              </w:rPr>
            </w:pPr>
            <w:r w:rsidRPr="00795E1F">
              <w:rPr>
                <w:szCs w:val="18"/>
              </w:rPr>
              <w:t>10,094.1</w:t>
            </w:r>
          </w:p>
        </w:tc>
      </w:tr>
    </w:tbl>
    <w:p w14:paraId="3BB72F1A" w14:textId="77777777" w:rsidR="006929CB" w:rsidRPr="00DD1C54" w:rsidRDefault="006929CB" w:rsidP="006929CB">
      <w:pPr>
        <w:pStyle w:val="Noteundertable"/>
      </w:pPr>
      <w:r w:rsidRPr="00DD1C54">
        <w:rPr>
          <w:b/>
        </w:rPr>
        <w:t>Note:</w:t>
      </w:r>
      <w:r w:rsidRPr="00DD1C54">
        <w:rPr>
          <w:bCs/>
        </w:rPr>
        <w:t xml:space="preserve"> </w:t>
      </w:r>
      <w:r w:rsidRPr="00DD1C54">
        <w:tab/>
        <w:t>CEF = carbon equivalent forest; kha = kilohectare; NA = not applicable. Columns may not total due to rounding.</w:t>
      </w:r>
      <w:r w:rsidRPr="00DD1C54">
        <w:rPr>
          <w:rFonts w:eastAsia="Calibri" w:cs="Calibri"/>
          <w:b/>
          <w:color w:val="1B556B"/>
          <w:sz w:val="16"/>
          <w:szCs w:val="16"/>
        </w:rPr>
        <w:t xml:space="preserve"> </w:t>
      </w:r>
    </w:p>
    <w:p w14:paraId="7D96CCD0" w14:textId="77777777" w:rsidR="006929CB" w:rsidRPr="00DD1C54" w:rsidRDefault="006929CB" w:rsidP="006929CB">
      <w:pPr>
        <w:pStyle w:val="Heading3"/>
      </w:pPr>
      <w:bookmarkStart w:id="1166" w:name="sectionA235"/>
      <w:bookmarkStart w:id="1167" w:name="_Toc1708481137"/>
      <w:r w:rsidRPr="00DD1C54">
        <w:t>A2.3.5</w:t>
      </w:r>
      <w:bookmarkEnd w:id="1166"/>
      <w:r w:rsidRPr="00DD1C54">
        <w:tab/>
        <w:t>Harvested wood products</w:t>
      </w:r>
      <w:bookmarkEnd w:id="1167"/>
    </w:p>
    <w:p w14:paraId="1D3C35A2" w14:textId="77777777" w:rsidR="006929CB" w:rsidRPr="00DD1C54" w:rsidRDefault="006929CB" w:rsidP="006929CB">
      <w:pPr>
        <w:pStyle w:val="BodyText"/>
      </w:pPr>
      <w:r w:rsidRPr="00DD1C54">
        <w:t>New Zealand has a large, planted forest estate that provides most of the wood products consumed domestically. The remainder of domestic production is exported in either product or raw material form. A more detailed description of the forest estate and New Zealand wood use is provided in annex 5, section A5.2.6 of Inventory 2024 (Ministry for the Environment, 2024).</w:t>
      </w:r>
    </w:p>
    <w:p w14:paraId="29E25B40" w14:textId="77777777" w:rsidR="006929CB" w:rsidRPr="00DD1C54" w:rsidRDefault="006929CB" w:rsidP="006929CB">
      <w:pPr>
        <w:pStyle w:val="BodyText"/>
      </w:pPr>
      <w:r w:rsidRPr="00DD1C54">
        <w:t xml:space="preserve">The </w:t>
      </w:r>
      <w:r w:rsidRPr="00DD1C54">
        <w:rPr>
          <w:iCs/>
        </w:rPr>
        <w:t>HWP</w:t>
      </w:r>
      <w:r w:rsidRPr="00DD1C54">
        <w:t xml:space="preserve"> pool comprises all wood material that leaves a harvest site and is subsequently processed. This pool constitutes a carbon reservoir (section 12.1, IPCC, 2006a). </w:t>
      </w:r>
    </w:p>
    <w:p w14:paraId="6BD36018" w14:textId="77777777" w:rsidR="006929CB" w:rsidRPr="00DD1C54" w:rsidRDefault="006929CB" w:rsidP="006929CB">
      <w:pPr>
        <w:pStyle w:val="BodyText"/>
      </w:pPr>
      <w:r w:rsidRPr="00DD1C54">
        <w:t>New Zealand accounts for the changes in the HWP pool using the production approach. For </w:t>
      </w:r>
      <w:r w:rsidRPr="00DD1C54">
        <w:rPr>
          <w:i/>
        </w:rPr>
        <w:t>Afforestation and reforestation</w:t>
      </w:r>
      <w:r w:rsidRPr="00DD1C54">
        <w:t xml:space="preserve"> and </w:t>
      </w:r>
      <w:r w:rsidRPr="00DD1C54">
        <w:rPr>
          <w:i/>
        </w:rPr>
        <w:t>Forest management</w:t>
      </w:r>
      <w:r w:rsidRPr="00DD1C54">
        <w:t xml:space="preserve">, estimates are derived from a modified IPCC (2006a) reporting model. </w:t>
      </w:r>
    </w:p>
    <w:p w14:paraId="271A5B40" w14:textId="77777777" w:rsidR="006929CB" w:rsidRPr="00DD1C54" w:rsidRDefault="006929CB" w:rsidP="006929CB">
      <w:pPr>
        <w:pStyle w:val="BodyText"/>
      </w:pPr>
      <w:r w:rsidRPr="00DD1C54">
        <w:t xml:space="preserve">The emissions from </w:t>
      </w:r>
      <w:r w:rsidRPr="00DD1C54">
        <w:rPr>
          <w:iCs/>
        </w:rPr>
        <w:t>HWP</w:t>
      </w:r>
      <w:r w:rsidRPr="00DD1C54">
        <w:t xml:space="preserve"> originating from </w:t>
      </w:r>
      <w:r w:rsidRPr="00DD1C54">
        <w:rPr>
          <w:i/>
        </w:rPr>
        <w:t>Deforestation</w:t>
      </w:r>
      <w:r w:rsidRPr="00DD1C54">
        <w:t xml:space="preserve"> activities have been instantly oxidised since 2008 when New Zealand began accounting for its emissions.</w:t>
      </w:r>
    </w:p>
    <w:p w14:paraId="392B7AB2" w14:textId="77777777" w:rsidR="006929CB" w:rsidRPr="00DD1C54" w:rsidRDefault="006929CB" w:rsidP="006929CB">
      <w:pPr>
        <w:pStyle w:val="BodyText"/>
      </w:pPr>
      <w:r w:rsidRPr="00DD1C54">
        <w:t xml:space="preserve">Net emissions from HWP derived from </w:t>
      </w:r>
      <w:r w:rsidRPr="00DD1C54">
        <w:rPr>
          <w:i/>
          <w:iCs/>
        </w:rPr>
        <w:t>Afforestation and reforestation</w:t>
      </w:r>
      <w:r w:rsidRPr="00DD1C54">
        <w:t xml:space="preserve"> activities in 2021 and 2022 were –4,985.5 kt CO</w:t>
      </w:r>
      <w:r w:rsidRPr="00DD1C54">
        <w:rPr>
          <w:vertAlign w:val="subscript"/>
        </w:rPr>
        <w:t>2</w:t>
      </w:r>
      <w:r w:rsidRPr="00DD1C54">
        <w:t>e and –5,115.7 kt CO</w:t>
      </w:r>
      <w:r w:rsidRPr="00DD1C54">
        <w:rPr>
          <w:vertAlign w:val="subscript"/>
        </w:rPr>
        <w:t>2</w:t>
      </w:r>
      <w:r w:rsidRPr="00DD1C54">
        <w:t xml:space="preserve">e respectively. Net emissions from HWP derived from </w:t>
      </w:r>
      <w:r w:rsidRPr="00DD1C54">
        <w:rPr>
          <w:i/>
          <w:iCs/>
        </w:rPr>
        <w:t>Forest management</w:t>
      </w:r>
      <w:r w:rsidRPr="00DD1C54">
        <w:t xml:space="preserve"> activities in 2021 and 2022 were –7,163.9 kt CO</w:t>
      </w:r>
      <w:r w:rsidRPr="00DD1C54">
        <w:rPr>
          <w:vertAlign w:val="subscript"/>
        </w:rPr>
        <w:t>2</w:t>
      </w:r>
      <w:r w:rsidRPr="00DD1C54">
        <w:t>e and</w:t>
      </w:r>
      <w:r w:rsidRPr="00DD1C54">
        <w:br/>
        <w:t>–4,873.4 kt CO</w:t>
      </w:r>
      <w:r w:rsidRPr="00DD1C54">
        <w:rPr>
          <w:vertAlign w:val="subscript"/>
        </w:rPr>
        <w:t>2</w:t>
      </w:r>
      <w:r w:rsidRPr="00DD1C54">
        <w:t xml:space="preserve">e respectively. Overall, higher emissions from HWP were reported in 2022 than in 2021 due to a decrease in harvesting between years, as described in chapter 6, section 6.10 of Inventory 2024 (Ministry for the Environment, 2024). In addition, fewer removals were reported from HWP derived from </w:t>
      </w:r>
      <w:r w:rsidRPr="00DD1C54">
        <w:rPr>
          <w:i/>
          <w:iCs/>
        </w:rPr>
        <w:t>Forest management</w:t>
      </w:r>
      <w:r w:rsidRPr="00DD1C54">
        <w:t xml:space="preserve"> activities in 2022 compared with 2021, due to harvesting activity shifting to forests reported under </w:t>
      </w:r>
      <w:r w:rsidRPr="00DD1C54">
        <w:rPr>
          <w:i/>
          <w:iCs/>
        </w:rPr>
        <w:t>Afforestation and reforestation</w:t>
      </w:r>
      <w:r w:rsidRPr="00DD1C54">
        <w:t>, because a large cohort of the latter are reaching harvest age.</w:t>
      </w:r>
    </w:p>
    <w:p w14:paraId="540ECD56" w14:textId="77777777" w:rsidR="006929CB" w:rsidRPr="00DD1C54" w:rsidRDefault="006929CB" w:rsidP="006929CB">
      <w:pPr>
        <w:pStyle w:val="BodyText"/>
      </w:pPr>
      <w:r w:rsidRPr="00DD1C54">
        <w:t xml:space="preserve">New Zealand’s accounting approach to </w:t>
      </w:r>
      <w:r w:rsidRPr="00DD1C54">
        <w:rPr>
          <w:i/>
          <w:iCs/>
        </w:rPr>
        <w:t>Afforestation and reforestation</w:t>
      </w:r>
      <w:r w:rsidRPr="00DD1C54">
        <w:t xml:space="preserve"> activities includes the</w:t>
      </w:r>
      <w:r>
        <w:t> </w:t>
      </w:r>
      <w:r w:rsidRPr="00DD1C54">
        <w:t xml:space="preserve">HWP pool in the LTA calculation (Dovey and Wakelin, unpublished). New Zealand’s accounting approach to </w:t>
      </w:r>
      <w:r w:rsidRPr="00DD1C54">
        <w:rPr>
          <w:i/>
          <w:iCs/>
        </w:rPr>
        <w:t>Forest management</w:t>
      </w:r>
      <w:r w:rsidRPr="00DD1C54">
        <w:t xml:space="preserve"> activities includes the HWP pool in the pre-1990 FRL calculation.</w:t>
      </w:r>
    </w:p>
    <w:p w14:paraId="56E851CE" w14:textId="77777777" w:rsidR="006929CB" w:rsidRPr="00DD1C54" w:rsidRDefault="006929CB" w:rsidP="006929CB">
      <w:pPr>
        <w:pStyle w:val="BodyText"/>
      </w:pPr>
      <w:r w:rsidRPr="00DD1C54">
        <w:rPr>
          <w:spacing w:val="-2"/>
        </w:rPr>
        <w:t xml:space="preserve">New Zealand has developed a Tier 2 method to report on net emissions from the </w:t>
      </w:r>
      <w:r w:rsidRPr="00DD1C54">
        <w:rPr>
          <w:iCs/>
          <w:spacing w:val="-2"/>
        </w:rPr>
        <w:t>HWP</w:t>
      </w:r>
      <w:r w:rsidRPr="00DD1C54">
        <w:rPr>
          <w:i/>
          <w:spacing w:val="-2"/>
        </w:rPr>
        <w:t xml:space="preserve"> </w:t>
      </w:r>
      <w:r w:rsidRPr="00DD1C54">
        <w:rPr>
          <w:iCs/>
          <w:spacing w:val="-2"/>
        </w:rPr>
        <w:t>pool</w:t>
      </w:r>
      <w:r w:rsidRPr="00DD1C54">
        <w:rPr>
          <w:spacing w:val="-2"/>
        </w:rPr>
        <w:t>. New</w:t>
      </w:r>
      <w:r>
        <w:rPr>
          <w:spacing w:val="-2"/>
        </w:rPr>
        <w:t> </w:t>
      </w:r>
      <w:r w:rsidRPr="00DD1C54">
        <w:rPr>
          <w:spacing w:val="-2"/>
        </w:rPr>
        <w:t xml:space="preserve">Zealand uses the default Tier 2 methodology, as described in the IPCC guidance (IPCC, 2014), and some country-specific activity data and parameters where available. </w:t>
      </w:r>
      <w:r w:rsidRPr="00DD1C54">
        <w:t xml:space="preserve">Country-specific half-life values are applied to sawnwood and wood-based panels processed from domestic roundwood consumption and consumed in the domestic and export market (Ministry for Primary Industries, 2022; Wakelin, unpublished(b); Wekesa, 2022). IPCC default half-life values are used for paper and paperboard (Ministry for the Environment, 2024). More information on the sub-product half-life values and their proportions for the domestic and </w:t>
      </w:r>
      <w:r w:rsidRPr="00DD1C54">
        <w:rPr>
          <w:spacing w:val="-2"/>
        </w:rPr>
        <w:t>export</w:t>
      </w:r>
      <w:r w:rsidRPr="00DD1C54">
        <w:t xml:space="preserve"> market are provided in annex 5, section A5.2.6 and tables A5.2.22</w:t>
      </w:r>
      <w:r w:rsidRPr="00DD1C54">
        <w:rPr>
          <w:spacing w:val="-2"/>
        </w:rPr>
        <w:t xml:space="preserve">, </w:t>
      </w:r>
      <w:r w:rsidRPr="00DD1C54">
        <w:t xml:space="preserve">A5.2.23, A5.2.24, A5.2.25 and A5.2.26 of Inventory 2024 (Ministry for the Environment, 2024). </w:t>
      </w:r>
      <w:r w:rsidRPr="00DD1C54">
        <w:rPr>
          <w:spacing w:val="-2"/>
        </w:rPr>
        <w:t xml:space="preserve">Country-specific conversion factors are used for domestically produced sawnwood and veneer sheets (see chapter 6, </w:t>
      </w:r>
      <w:r w:rsidRPr="00DD1C54">
        <w:t xml:space="preserve">section </w:t>
      </w:r>
      <w:r w:rsidRPr="00DD1C54">
        <w:rPr>
          <w:spacing w:val="-2"/>
        </w:rPr>
        <w:t>6.10 of Inventory 2024 (Ministry for the Environment, 2024)).</w:t>
      </w:r>
    </w:p>
    <w:p w14:paraId="29972574" w14:textId="77777777" w:rsidR="006929CB" w:rsidRPr="00DD1C54" w:rsidRDefault="006929CB" w:rsidP="006929CB">
      <w:pPr>
        <w:pStyle w:val="BodyText"/>
      </w:pPr>
      <w:r w:rsidRPr="00DD1C54">
        <w:t xml:space="preserve">Activity data on roundwood production volume and roundwood export volume are sourced from the Ministry of Primary Industries (Ministry for Primary Industries, 2023b). Data on wood product production and export are sourced from the Food and Agriculture Organization statistical database (FAOSTAT) that is provided to the Food and Agriculture Organization by the Ministry for Primary Industries. </w:t>
      </w:r>
    </w:p>
    <w:p w14:paraId="26848FE9" w14:textId="05661116" w:rsidR="006929CB" w:rsidRPr="00DD1C54" w:rsidRDefault="006929CB" w:rsidP="006929CB">
      <w:pPr>
        <w:pStyle w:val="BodyText"/>
      </w:pPr>
      <w:r w:rsidRPr="00DD1C54">
        <w:t>Activity data used for compiling LULUCF sector accounting estimates for HWP are the same as</w:t>
      </w:r>
      <w:r w:rsidR="00B71790">
        <w:t> </w:t>
      </w:r>
      <w:r w:rsidRPr="00DD1C54">
        <w:t xml:space="preserve">that used for Inventory 2024, except the time series begins in 1990 for </w:t>
      </w:r>
      <w:r w:rsidRPr="00DD1C54">
        <w:rPr>
          <w:i/>
        </w:rPr>
        <w:t>Afforestation and reforestation</w:t>
      </w:r>
      <w:r w:rsidRPr="00DD1C54">
        <w:t xml:space="preserve"> and 2013 for </w:t>
      </w:r>
      <w:r w:rsidRPr="00DD1C54">
        <w:rPr>
          <w:i/>
        </w:rPr>
        <w:t xml:space="preserve">Forest management </w:t>
      </w:r>
      <w:r w:rsidRPr="00DD1C54">
        <w:rPr>
          <w:iCs/>
        </w:rPr>
        <w:t>whereas the Inventory 2024 time series for all</w:t>
      </w:r>
      <w:r w:rsidR="00B71790">
        <w:rPr>
          <w:iCs/>
        </w:rPr>
        <w:t> </w:t>
      </w:r>
      <w:r w:rsidRPr="00DD1C54">
        <w:rPr>
          <w:iCs/>
        </w:rPr>
        <w:t>forests starts at 1990</w:t>
      </w:r>
      <w:r w:rsidRPr="00DD1C54">
        <w:t xml:space="preserve">. Also, the </w:t>
      </w:r>
      <w:r w:rsidRPr="00DD1C54">
        <w:rPr>
          <w:i/>
        </w:rPr>
        <w:t>Solid wood</w:t>
      </w:r>
      <w:r w:rsidRPr="00DD1C54">
        <w:t xml:space="preserve"> category used for LULUCF sector reporting is disaggregated into </w:t>
      </w:r>
      <w:r w:rsidRPr="00DD1C54">
        <w:rPr>
          <w:i/>
        </w:rPr>
        <w:t>Sawnwood</w:t>
      </w:r>
      <w:r w:rsidRPr="00DD1C54">
        <w:t xml:space="preserve"> and </w:t>
      </w:r>
      <w:r w:rsidRPr="00DD1C54">
        <w:rPr>
          <w:i/>
        </w:rPr>
        <w:t>Wood-based</w:t>
      </w:r>
      <w:r w:rsidRPr="00DD1C54">
        <w:t xml:space="preserve"> </w:t>
      </w:r>
      <w:r w:rsidRPr="00DD1C54">
        <w:rPr>
          <w:i/>
        </w:rPr>
        <w:t>panels</w:t>
      </w:r>
      <w:r w:rsidRPr="00DD1C54">
        <w:t xml:space="preserve"> for LULUCF sector accounting. </w:t>
      </w:r>
    </w:p>
    <w:p w14:paraId="46919D09" w14:textId="77777777" w:rsidR="006929CB" w:rsidRPr="00DD1C54" w:rsidRDefault="006929CB" w:rsidP="006929CB">
      <w:pPr>
        <w:pStyle w:val="BodyText"/>
      </w:pPr>
      <w:r w:rsidRPr="00DD1C54">
        <w:t xml:space="preserve">Emissions from HWP derived from </w:t>
      </w:r>
      <w:r w:rsidRPr="00DD1C54">
        <w:rPr>
          <w:i/>
        </w:rPr>
        <w:t>Afforestation and reforestation</w:t>
      </w:r>
      <w:r w:rsidRPr="00DD1C54">
        <w:t xml:space="preserve"> activities are reported from</w:t>
      </w:r>
      <w:r>
        <w:t> </w:t>
      </w:r>
      <w:r w:rsidRPr="00DD1C54">
        <w:t xml:space="preserve">1990 onwards, including from harvest. Harvest activities provide a growing contribution to the </w:t>
      </w:r>
      <w:r w:rsidRPr="00DD1C54">
        <w:rPr>
          <w:iCs/>
        </w:rPr>
        <w:t>HWP</w:t>
      </w:r>
      <w:r w:rsidRPr="00DD1C54">
        <w:t xml:space="preserve"> pool as the forests reach harvest age. HWP originating from </w:t>
      </w:r>
      <w:r w:rsidRPr="00DD1C54">
        <w:rPr>
          <w:i/>
        </w:rPr>
        <w:t>Afforestation and reforestation</w:t>
      </w:r>
      <w:r w:rsidRPr="00DD1C54">
        <w:t xml:space="preserve"> activities each year are estimated by prorating the above-ground biomass carbon losses from the harvest of these lands to the total above-ground biomass carbon losses from all harvesting and deforestation activities.</w:t>
      </w:r>
    </w:p>
    <w:p w14:paraId="5B422F5F" w14:textId="77777777" w:rsidR="006929CB" w:rsidRPr="00DD1C54" w:rsidRDefault="006929CB" w:rsidP="006929CB">
      <w:pPr>
        <w:pStyle w:val="BodyText"/>
      </w:pPr>
      <w:r w:rsidRPr="00DD1C54">
        <w:t xml:space="preserve">Harvesting is the primary driver of emissions from </w:t>
      </w:r>
      <w:r w:rsidRPr="00DD1C54">
        <w:rPr>
          <w:i/>
        </w:rPr>
        <w:t xml:space="preserve">Forest management </w:t>
      </w:r>
      <w:r w:rsidRPr="00DD1C54">
        <w:t>activities. Emissions from HWP</w:t>
      </w:r>
      <w:r w:rsidRPr="00DD1C54" w:rsidDel="00AA6C77">
        <w:t xml:space="preserve"> </w:t>
      </w:r>
      <w:r w:rsidRPr="00DD1C54">
        <w:t xml:space="preserve">derived from </w:t>
      </w:r>
      <w:r w:rsidRPr="00DD1C54">
        <w:rPr>
          <w:i/>
        </w:rPr>
        <w:t>Forest management</w:t>
      </w:r>
      <w:r w:rsidRPr="00DD1C54">
        <w:t xml:space="preserve"> activities each year are estimated as they are for </w:t>
      </w:r>
      <w:r w:rsidRPr="00DD1C54">
        <w:rPr>
          <w:i/>
        </w:rPr>
        <w:t>Afforestation and reforestation</w:t>
      </w:r>
      <w:r w:rsidRPr="00DD1C54">
        <w:t xml:space="preserve"> activities, by prorating the above-ground biomass carbon losses from the harvest of these lands to the total above-ground biomass carbon losses from all harvesting and deforestation activities. Accounting for HWP from </w:t>
      </w:r>
      <w:r w:rsidRPr="00DD1C54">
        <w:rPr>
          <w:i/>
        </w:rPr>
        <w:t xml:space="preserve">Forest management </w:t>
      </w:r>
      <w:r w:rsidRPr="00DD1C54">
        <w:t xml:space="preserve">activities is against New Zealand’s projected pre-1990 </w:t>
      </w:r>
      <w:r w:rsidRPr="00DD1C54" w:rsidDel="006A4E82">
        <w:t>FRL</w:t>
      </w:r>
      <w:r w:rsidRPr="00DD1C54">
        <w:t xml:space="preserve">. </w:t>
      </w:r>
    </w:p>
    <w:p w14:paraId="152025D5" w14:textId="77777777" w:rsidR="006929CB" w:rsidRPr="00DD1C54" w:rsidRDefault="006929CB" w:rsidP="006929CB">
      <w:pPr>
        <w:pStyle w:val="BodyText"/>
      </w:pPr>
      <w:r w:rsidRPr="00DD1C54">
        <w:t xml:space="preserve">While the HWP originating from </w:t>
      </w:r>
      <w:r w:rsidRPr="00DD1C54">
        <w:rPr>
          <w:i/>
          <w:spacing w:val="-2"/>
        </w:rPr>
        <w:t>Deforestation</w:t>
      </w:r>
      <w:r w:rsidRPr="00DD1C54">
        <w:t xml:space="preserve"> activities are accounted for as an instant emission, the production statistics do not identify products that were derived originally from the wood that was harvested as part of the deforestation activity. The share of roundwood volume originating from </w:t>
      </w:r>
      <w:r w:rsidRPr="00DD1C54">
        <w:rPr>
          <w:i/>
          <w:spacing w:val="-2"/>
        </w:rPr>
        <w:t>Deforestation</w:t>
      </w:r>
      <w:r w:rsidRPr="00DD1C54">
        <w:t xml:space="preserve"> is estimated by comparing the above-ground biomass carbon losses from </w:t>
      </w:r>
      <w:r w:rsidRPr="00DD1C54">
        <w:rPr>
          <w:i/>
          <w:spacing w:val="-2"/>
        </w:rPr>
        <w:t>Deforestation</w:t>
      </w:r>
      <w:r w:rsidRPr="00DD1C54">
        <w:t xml:space="preserve"> with the above-ground biomass carbon losses from harvesting. This provides a proportion to apply to the production statistics to separate HWP originating from </w:t>
      </w:r>
      <w:r w:rsidRPr="00DD1C54">
        <w:rPr>
          <w:i/>
          <w:spacing w:val="-2"/>
        </w:rPr>
        <w:t>Deforestation</w:t>
      </w:r>
      <w:r w:rsidRPr="00DD1C54">
        <w:t>.</w:t>
      </w:r>
    </w:p>
    <w:p w14:paraId="0D581973" w14:textId="77777777" w:rsidR="006929CB" w:rsidRPr="00DD1C54" w:rsidRDefault="006929CB" w:rsidP="006929CB">
      <w:pPr>
        <w:pStyle w:val="BodyText"/>
      </w:pPr>
      <w:r w:rsidRPr="00DD1C54">
        <w:t>Non-forest harvest is treated as an instant emission. Harvest from these lands is assumed to be used for fuel wood. Therefore, the HWP contribution from non-forest lands is assumed to be zero.</w:t>
      </w:r>
    </w:p>
    <w:p w14:paraId="07D505AE" w14:textId="77777777" w:rsidR="006929CB" w:rsidRPr="00DD1C54" w:rsidRDefault="006929CB" w:rsidP="006929CB">
      <w:pPr>
        <w:pStyle w:val="Heading3"/>
      </w:pPr>
      <w:bookmarkStart w:id="1168" w:name="_Toc1475518842"/>
      <w:r w:rsidRPr="00DD1C54">
        <w:t>A2.3.6</w:t>
      </w:r>
      <w:r w:rsidRPr="00DD1C54">
        <w:tab/>
        <w:t>Other greenhouse gas sources</w:t>
      </w:r>
      <w:bookmarkEnd w:id="1168"/>
    </w:p>
    <w:p w14:paraId="1247A0D5" w14:textId="77777777" w:rsidR="006929CB" w:rsidRPr="00DD1C54" w:rsidRDefault="006929CB" w:rsidP="006929CB">
      <w:pPr>
        <w:pStyle w:val="Heading4"/>
      </w:pPr>
      <w:r w:rsidRPr="00DD1C54">
        <w:t xml:space="preserve">Direct nitrous oxide emissions from nitrogen fertilisation </w:t>
      </w:r>
    </w:p>
    <w:p w14:paraId="60F1BCD4" w14:textId="77777777" w:rsidR="006929CB" w:rsidRPr="00DD1C54" w:rsidRDefault="006929CB" w:rsidP="006929CB">
      <w:pPr>
        <w:pStyle w:val="BodyText"/>
      </w:pPr>
      <w:r w:rsidRPr="00DD1C54">
        <w:rPr>
          <w:rStyle w:val="BodyTextChar"/>
        </w:rPr>
        <w:t>New Zealand’s activity data</w:t>
      </w:r>
      <w:r w:rsidRPr="00DD1C54">
        <w:t xml:space="preserve"> on nitrogen fertilisation are not currently disaggregated by land use; therefore, all nitrous oxide (N</w:t>
      </w:r>
      <w:r w:rsidRPr="00DD1C54">
        <w:rPr>
          <w:vertAlign w:val="subscript"/>
        </w:rPr>
        <w:t>2</w:t>
      </w:r>
      <w:r w:rsidRPr="00DD1C54">
        <w:t xml:space="preserve">O) emissions from nitrogen fertilisation are reported under the Agriculture sector in the category </w:t>
      </w:r>
      <w:r w:rsidRPr="00DD1C54">
        <w:rPr>
          <w:i/>
        </w:rPr>
        <w:t>Direct N</w:t>
      </w:r>
      <w:r w:rsidRPr="00DD1C54">
        <w:rPr>
          <w:i/>
          <w:vertAlign w:val="subscript"/>
        </w:rPr>
        <w:t>2</w:t>
      </w:r>
      <w:r w:rsidRPr="00DD1C54">
        <w:rPr>
          <w:i/>
        </w:rPr>
        <w:t>O emissions from managed soils</w:t>
      </w:r>
      <w:r w:rsidRPr="00DD1C54">
        <w:rPr>
          <w:iCs/>
        </w:rPr>
        <w:t xml:space="preserve"> and are therefore fully accounted for</w:t>
      </w:r>
      <w:r w:rsidRPr="00DD1C54">
        <w:t>.</w:t>
      </w:r>
    </w:p>
    <w:p w14:paraId="34E60CB9" w14:textId="77777777" w:rsidR="006929CB" w:rsidRPr="00DD1C54" w:rsidRDefault="006929CB" w:rsidP="00B71790">
      <w:pPr>
        <w:pStyle w:val="Heading4"/>
        <w:spacing w:line="320" w:lineRule="atLeast"/>
      </w:pPr>
      <w:r w:rsidRPr="00DD1C54">
        <w:t>Methane and nitrous oxide emissions from drained and rewetted organic soils</w:t>
      </w:r>
    </w:p>
    <w:p w14:paraId="7882EAC6" w14:textId="77777777" w:rsidR="006929CB" w:rsidRPr="00DD1C54" w:rsidRDefault="006929CB" w:rsidP="006929CB">
      <w:pPr>
        <w:pStyle w:val="BodyText"/>
        <w:rPr>
          <w:iCs/>
        </w:rPr>
      </w:pPr>
      <w:r w:rsidRPr="00DD1C54">
        <w:t>New Zealand reports on N</w:t>
      </w:r>
      <w:r w:rsidRPr="00DD1C54">
        <w:rPr>
          <w:vertAlign w:val="subscript"/>
        </w:rPr>
        <w:t>2</w:t>
      </w:r>
      <w:r w:rsidRPr="00DD1C54">
        <w:t xml:space="preserve">O emissions, as a result of oxidation of organic matter, from the drainage of organic soils subject to </w:t>
      </w:r>
      <w:r w:rsidRPr="00DD1C54">
        <w:rPr>
          <w:i/>
        </w:rPr>
        <w:t>Afforestation and reforestation</w:t>
      </w:r>
      <w:r w:rsidRPr="00DD1C54">
        <w:t xml:space="preserve">, </w:t>
      </w:r>
      <w:r w:rsidRPr="00DD1C54">
        <w:rPr>
          <w:i/>
        </w:rPr>
        <w:t>Deforestation</w:t>
      </w:r>
      <w:r w:rsidRPr="00DD1C54">
        <w:t xml:space="preserve"> and </w:t>
      </w:r>
      <w:r w:rsidRPr="00DD1C54">
        <w:rPr>
          <w:i/>
        </w:rPr>
        <w:t xml:space="preserve">Forest management </w:t>
      </w:r>
      <w:r w:rsidRPr="00DD1C54">
        <w:rPr>
          <w:iCs/>
        </w:rPr>
        <w:t>activities</w:t>
      </w:r>
      <w:r w:rsidRPr="00DD1C54">
        <w:rPr>
          <w:i/>
        </w:rPr>
        <w:t xml:space="preserve">. </w:t>
      </w:r>
      <w:r w:rsidRPr="00DD1C54">
        <w:rPr>
          <w:iCs/>
        </w:rPr>
        <w:t>Emissions are estimated following the</w:t>
      </w:r>
      <w:r w:rsidRPr="00DD1C54">
        <w:rPr>
          <w:i/>
        </w:rPr>
        <w:t xml:space="preserve"> </w:t>
      </w:r>
      <w:r w:rsidRPr="00DD1C54">
        <w:t xml:space="preserve">methodology </w:t>
      </w:r>
      <w:r w:rsidRPr="00DD1C54">
        <w:rPr>
          <w:iCs/>
        </w:rPr>
        <w:t>outlined in the 2006 IPCC Guidelines (IPCC, 2006a) and described in chapter 6, section 6.11.2 of Inventory 2024 (Ministry for the Environment, 2024). Total annual emissions for these three activities in 2021 and 2022 are 0.4 kt N</w:t>
      </w:r>
      <w:r w:rsidRPr="00DD1C54">
        <w:rPr>
          <w:iCs/>
          <w:vertAlign w:val="subscript"/>
        </w:rPr>
        <w:t>2</w:t>
      </w:r>
      <w:r w:rsidRPr="00DD1C54">
        <w:rPr>
          <w:iCs/>
        </w:rPr>
        <w:t xml:space="preserve">O. The emissions occurring under each activity are reported in table </w:t>
      </w:r>
      <w:r w:rsidRPr="00DD1C54">
        <w:t>A2</w:t>
      </w:r>
      <w:r w:rsidRPr="00DD1C54">
        <w:rPr>
          <w:iCs/>
        </w:rPr>
        <w:t>.14.</w:t>
      </w:r>
    </w:p>
    <w:p w14:paraId="51759867" w14:textId="77777777" w:rsidR="006929CB" w:rsidRPr="00DD1C54" w:rsidRDefault="006929CB" w:rsidP="006929CB">
      <w:pPr>
        <w:pStyle w:val="BodyText"/>
        <w:rPr>
          <w:iCs/>
        </w:rPr>
      </w:pPr>
      <w:r w:rsidRPr="00DD1C54">
        <w:rPr>
          <w:iCs/>
        </w:rPr>
        <w:t>Methane emissions from drained organic soils are assumed to be negligible, in accordance with the 2006 IPCC Guidelines (IPCC, 2006a).</w:t>
      </w:r>
    </w:p>
    <w:p w14:paraId="2764859B" w14:textId="77777777" w:rsidR="006929CB" w:rsidRPr="00DD1C54" w:rsidRDefault="006929CB" w:rsidP="006929CB">
      <w:pPr>
        <w:pStyle w:val="Tableheading"/>
      </w:pPr>
      <w:bookmarkStart w:id="1169" w:name="_Toc95321543"/>
      <w:bookmarkStart w:id="1170" w:name="_Toc99659395"/>
      <w:bookmarkStart w:id="1171" w:name="_Toc182311706"/>
      <w:bookmarkStart w:id="1172" w:name="_Toc185407541"/>
      <w:bookmarkStart w:id="1173" w:name="_Toc185427804"/>
      <w:r w:rsidRPr="00DD1C54">
        <w:t>Table A2.14:</w:t>
      </w:r>
      <w:r w:rsidRPr="00DD1C54">
        <w:tab/>
        <w:t>Nitrous oxide emissions from the drainage of organic soils in 2021 and 2022 by activity</w:t>
      </w:r>
      <w:bookmarkEnd w:id="1169"/>
      <w:bookmarkEnd w:id="1170"/>
      <w:bookmarkEnd w:id="1171"/>
      <w:bookmarkEnd w:id="1172"/>
      <w:bookmarkEnd w:id="1173"/>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Look w:val="0420" w:firstRow="1" w:lastRow="0" w:firstColumn="0" w:lastColumn="0" w:noHBand="0" w:noVBand="1"/>
      </w:tblPr>
      <w:tblGrid>
        <w:gridCol w:w="3686"/>
        <w:gridCol w:w="1134"/>
        <w:gridCol w:w="1276"/>
        <w:gridCol w:w="1134"/>
        <w:gridCol w:w="1275"/>
      </w:tblGrid>
      <w:tr w:rsidR="006929CB" w:rsidRPr="00795E1F" w14:paraId="33142EFC" w14:textId="77777777" w:rsidTr="00795E1F">
        <w:trPr>
          <w:trHeight w:val="222"/>
        </w:trPr>
        <w:tc>
          <w:tcPr>
            <w:tcW w:w="3686" w:type="dxa"/>
            <w:vMerge w:val="restart"/>
            <w:shd w:val="clear" w:color="auto" w:fill="1B556B" w:themeFill="text2"/>
            <w:vAlign w:val="bottom"/>
          </w:tcPr>
          <w:p w14:paraId="56664B25" w14:textId="77777777" w:rsidR="006929CB" w:rsidRPr="00795E1F" w:rsidRDefault="006929CB">
            <w:pPr>
              <w:pStyle w:val="TableTextbold"/>
              <w:spacing w:before="40" w:after="40"/>
              <w:rPr>
                <w:color w:val="FFFFFF" w:themeColor="background1"/>
                <w:szCs w:val="18"/>
              </w:rPr>
            </w:pPr>
            <w:r w:rsidRPr="00795E1F">
              <w:rPr>
                <w:rFonts w:eastAsia="Calibri"/>
                <w:color w:val="FFFFFF" w:themeColor="background1"/>
                <w:szCs w:val="18"/>
              </w:rPr>
              <w:t>Activity</w:t>
            </w:r>
          </w:p>
        </w:tc>
        <w:tc>
          <w:tcPr>
            <w:tcW w:w="2410" w:type="dxa"/>
            <w:gridSpan w:val="2"/>
            <w:shd w:val="clear" w:color="auto" w:fill="1B556B" w:themeFill="text2"/>
            <w:vAlign w:val="bottom"/>
          </w:tcPr>
          <w:p w14:paraId="2D5DC15B" w14:textId="77777777" w:rsidR="006929CB" w:rsidRPr="00795E1F" w:rsidRDefault="006929CB">
            <w:pPr>
              <w:pStyle w:val="TableTextbold"/>
              <w:spacing w:before="40" w:after="0"/>
              <w:jc w:val="center"/>
              <w:rPr>
                <w:color w:val="FFFFFF" w:themeColor="background1"/>
                <w:szCs w:val="18"/>
              </w:rPr>
            </w:pPr>
            <w:r w:rsidRPr="00795E1F">
              <w:rPr>
                <w:rFonts w:eastAsia="Calibri"/>
                <w:color w:val="FFFFFF" w:themeColor="background1"/>
                <w:szCs w:val="18"/>
              </w:rPr>
              <w:t>Emissions 2021</w:t>
            </w:r>
          </w:p>
        </w:tc>
        <w:tc>
          <w:tcPr>
            <w:tcW w:w="2409" w:type="dxa"/>
            <w:gridSpan w:val="2"/>
            <w:shd w:val="clear" w:color="auto" w:fill="1B556B" w:themeFill="text2"/>
            <w:vAlign w:val="bottom"/>
          </w:tcPr>
          <w:p w14:paraId="00CF7DA7" w14:textId="77777777" w:rsidR="006929CB" w:rsidRPr="00795E1F" w:rsidRDefault="006929CB">
            <w:pPr>
              <w:pStyle w:val="TableTextbold"/>
              <w:spacing w:before="40" w:after="0"/>
              <w:jc w:val="center"/>
              <w:rPr>
                <w:rFonts w:eastAsia="Calibri"/>
                <w:color w:val="FFFFFF" w:themeColor="background1"/>
                <w:szCs w:val="18"/>
              </w:rPr>
            </w:pPr>
            <w:r w:rsidRPr="00795E1F">
              <w:rPr>
                <w:rFonts w:eastAsia="Calibri"/>
                <w:color w:val="FFFFFF" w:themeColor="background1"/>
                <w:szCs w:val="18"/>
              </w:rPr>
              <w:t>Emissions 2022</w:t>
            </w:r>
          </w:p>
        </w:tc>
      </w:tr>
      <w:tr w:rsidR="006929CB" w:rsidRPr="00795E1F" w14:paraId="7CAE0D75" w14:textId="77777777" w:rsidTr="00795E1F">
        <w:trPr>
          <w:trHeight w:val="222"/>
        </w:trPr>
        <w:tc>
          <w:tcPr>
            <w:tcW w:w="3686" w:type="dxa"/>
            <w:vMerge/>
            <w:shd w:val="clear" w:color="auto" w:fill="1B556B" w:themeFill="text2"/>
            <w:vAlign w:val="bottom"/>
          </w:tcPr>
          <w:p w14:paraId="285B3FAF" w14:textId="77777777" w:rsidR="006929CB" w:rsidRPr="00795E1F" w:rsidRDefault="006929CB">
            <w:pPr>
              <w:pStyle w:val="TableTextbold"/>
              <w:spacing w:before="40" w:after="40"/>
              <w:rPr>
                <w:rFonts w:eastAsia="Calibri"/>
                <w:color w:val="FFFFFF" w:themeColor="background1"/>
                <w:szCs w:val="18"/>
              </w:rPr>
            </w:pPr>
          </w:p>
        </w:tc>
        <w:tc>
          <w:tcPr>
            <w:tcW w:w="1134" w:type="dxa"/>
            <w:shd w:val="clear" w:color="auto" w:fill="1B556B" w:themeFill="text2"/>
            <w:vAlign w:val="bottom"/>
          </w:tcPr>
          <w:p w14:paraId="4FA6DC26" w14:textId="77777777" w:rsidR="006929CB" w:rsidRPr="00795E1F" w:rsidRDefault="006929CB">
            <w:pPr>
              <w:pStyle w:val="TableTextbold"/>
              <w:spacing w:before="40" w:after="40"/>
              <w:jc w:val="right"/>
              <w:rPr>
                <w:rFonts w:eastAsia="Calibri"/>
                <w:color w:val="FFFFFF" w:themeColor="background1"/>
                <w:szCs w:val="18"/>
              </w:rPr>
            </w:pPr>
            <w:r w:rsidRPr="00795E1F">
              <w:rPr>
                <w:rFonts w:eastAsia="Calibri"/>
                <w:color w:val="FFFFFF" w:themeColor="background1"/>
                <w:szCs w:val="18"/>
              </w:rPr>
              <w:t>(kt N</w:t>
            </w:r>
            <w:r w:rsidRPr="00795E1F">
              <w:rPr>
                <w:rFonts w:eastAsia="Calibri"/>
                <w:color w:val="FFFFFF" w:themeColor="background1"/>
                <w:szCs w:val="18"/>
                <w:vertAlign w:val="subscript"/>
              </w:rPr>
              <w:t>2</w:t>
            </w:r>
            <w:r w:rsidRPr="00795E1F">
              <w:rPr>
                <w:rFonts w:eastAsia="Calibri"/>
                <w:color w:val="FFFFFF" w:themeColor="background1"/>
                <w:szCs w:val="18"/>
              </w:rPr>
              <w:t>O)</w:t>
            </w:r>
          </w:p>
        </w:tc>
        <w:tc>
          <w:tcPr>
            <w:tcW w:w="1276" w:type="dxa"/>
            <w:shd w:val="clear" w:color="auto" w:fill="1B556B" w:themeFill="text2"/>
            <w:vAlign w:val="bottom"/>
          </w:tcPr>
          <w:p w14:paraId="4F588F82" w14:textId="77777777" w:rsidR="006929CB" w:rsidRPr="00795E1F" w:rsidRDefault="006929CB">
            <w:pPr>
              <w:pStyle w:val="TableTextbold"/>
              <w:spacing w:before="40" w:after="40"/>
              <w:jc w:val="right"/>
              <w:rPr>
                <w:rFonts w:eastAsia="Calibri"/>
                <w:color w:val="FFFFFF" w:themeColor="background1"/>
                <w:szCs w:val="18"/>
              </w:rPr>
            </w:pPr>
            <w:r w:rsidRPr="00795E1F">
              <w:rPr>
                <w:rFonts w:eastAsia="Calibri"/>
                <w:color w:val="FFFFFF" w:themeColor="background1"/>
                <w:szCs w:val="18"/>
              </w:rPr>
              <w:t>(kt CO</w:t>
            </w:r>
            <w:r w:rsidRPr="00795E1F">
              <w:rPr>
                <w:rFonts w:eastAsia="Calibri"/>
                <w:color w:val="FFFFFF" w:themeColor="background1"/>
                <w:szCs w:val="18"/>
                <w:vertAlign w:val="subscript"/>
              </w:rPr>
              <w:t>2</w:t>
            </w:r>
            <w:r w:rsidRPr="00795E1F">
              <w:rPr>
                <w:rFonts w:eastAsia="Calibri"/>
                <w:color w:val="FFFFFF" w:themeColor="background1"/>
                <w:szCs w:val="18"/>
              </w:rPr>
              <w:t>e)</w:t>
            </w:r>
          </w:p>
        </w:tc>
        <w:tc>
          <w:tcPr>
            <w:tcW w:w="1134" w:type="dxa"/>
            <w:shd w:val="clear" w:color="auto" w:fill="1B556B" w:themeFill="text2"/>
            <w:vAlign w:val="bottom"/>
          </w:tcPr>
          <w:p w14:paraId="13864D63" w14:textId="77777777" w:rsidR="006929CB" w:rsidRPr="00795E1F" w:rsidRDefault="006929CB">
            <w:pPr>
              <w:pStyle w:val="TableTextbold"/>
              <w:spacing w:before="40" w:after="40"/>
              <w:jc w:val="right"/>
              <w:rPr>
                <w:rFonts w:eastAsia="Calibri"/>
                <w:color w:val="FFFFFF" w:themeColor="background1"/>
                <w:szCs w:val="18"/>
              </w:rPr>
            </w:pPr>
            <w:r w:rsidRPr="00795E1F">
              <w:rPr>
                <w:rFonts w:eastAsia="Calibri"/>
                <w:color w:val="FFFFFF" w:themeColor="background1"/>
                <w:szCs w:val="18"/>
              </w:rPr>
              <w:t>(kt N</w:t>
            </w:r>
            <w:r w:rsidRPr="00795E1F">
              <w:rPr>
                <w:rFonts w:eastAsia="Calibri"/>
                <w:color w:val="FFFFFF" w:themeColor="background1"/>
                <w:szCs w:val="18"/>
                <w:vertAlign w:val="subscript"/>
              </w:rPr>
              <w:t>2</w:t>
            </w:r>
            <w:r w:rsidRPr="00795E1F">
              <w:rPr>
                <w:rFonts w:eastAsia="Calibri"/>
                <w:color w:val="FFFFFF" w:themeColor="background1"/>
                <w:szCs w:val="18"/>
              </w:rPr>
              <w:t>O)</w:t>
            </w:r>
          </w:p>
        </w:tc>
        <w:tc>
          <w:tcPr>
            <w:tcW w:w="1275" w:type="dxa"/>
            <w:shd w:val="clear" w:color="auto" w:fill="1B556B" w:themeFill="text2"/>
            <w:vAlign w:val="bottom"/>
          </w:tcPr>
          <w:p w14:paraId="22539CAB" w14:textId="77777777" w:rsidR="006929CB" w:rsidRPr="00795E1F" w:rsidRDefault="006929CB">
            <w:pPr>
              <w:pStyle w:val="TableTextbold"/>
              <w:spacing w:before="40" w:after="40"/>
              <w:jc w:val="right"/>
              <w:rPr>
                <w:rFonts w:eastAsia="Calibri"/>
                <w:color w:val="FFFFFF" w:themeColor="background1"/>
                <w:szCs w:val="18"/>
              </w:rPr>
            </w:pPr>
            <w:r w:rsidRPr="00795E1F">
              <w:rPr>
                <w:rFonts w:eastAsia="Calibri"/>
                <w:color w:val="FFFFFF" w:themeColor="background1"/>
                <w:szCs w:val="18"/>
              </w:rPr>
              <w:t>(kt CO</w:t>
            </w:r>
            <w:r w:rsidRPr="00795E1F">
              <w:rPr>
                <w:rFonts w:eastAsia="Calibri"/>
                <w:color w:val="FFFFFF" w:themeColor="background1"/>
                <w:szCs w:val="18"/>
                <w:vertAlign w:val="subscript"/>
              </w:rPr>
              <w:t>2</w:t>
            </w:r>
            <w:r w:rsidRPr="00795E1F">
              <w:rPr>
                <w:rFonts w:eastAsia="Calibri"/>
                <w:color w:val="FFFFFF" w:themeColor="background1"/>
                <w:szCs w:val="18"/>
              </w:rPr>
              <w:t>e)</w:t>
            </w:r>
          </w:p>
        </w:tc>
      </w:tr>
      <w:tr w:rsidR="006929CB" w:rsidRPr="00795E1F" w14:paraId="679CE200" w14:textId="77777777" w:rsidTr="00795E1F">
        <w:trPr>
          <w:trHeight w:val="326"/>
        </w:trPr>
        <w:tc>
          <w:tcPr>
            <w:tcW w:w="3686" w:type="dxa"/>
            <w:vAlign w:val="bottom"/>
          </w:tcPr>
          <w:p w14:paraId="3C472A54" w14:textId="77777777" w:rsidR="006929CB" w:rsidRPr="00795E1F" w:rsidRDefault="006929CB">
            <w:pPr>
              <w:pStyle w:val="TableText"/>
              <w:spacing w:before="40" w:after="40"/>
              <w:rPr>
                <w:szCs w:val="18"/>
              </w:rPr>
            </w:pPr>
            <w:r w:rsidRPr="00795E1F">
              <w:rPr>
                <w:rFonts w:eastAsia="Calibri"/>
                <w:szCs w:val="18"/>
              </w:rPr>
              <w:t>Afforestation and reforestation</w:t>
            </w:r>
          </w:p>
        </w:tc>
        <w:tc>
          <w:tcPr>
            <w:tcW w:w="1134" w:type="dxa"/>
            <w:vAlign w:val="bottom"/>
          </w:tcPr>
          <w:p w14:paraId="112FB6DB" w14:textId="77777777" w:rsidR="006929CB" w:rsidRPr="00795E1F" w:rsidRDefault="006929CB">
            <w:pPr>
              <w:pStyle w:val="TableText"/>
              <w:spacing w:before="40" w:after="40"/>
              <w:jc w:val="right"/>
              <w:rPr>
                <w:szCs w:val="18"/>
              </w:rPr>
            </w:pPr>
            <w:r w:rsidRPr="00795E1F">
              <w:rPr>
                <w:rFonts w:eastAsia="Calibri"/>
                <w:szCs w:val="18"/>
              </w:rPr>
              <w:t>0.2</w:t>
            </w:r>
          </w:p>
        </w:tc>
        <w:tc>
          <w:tcPr>
            <w:tcW w:w="1276" w:type="dxa"/>
            <w:vAlign w:val="bottom"/>
          </w:tcPr>
          <w:p w14:paraId="6E8696F8" w14:textId="77777777" w:rsidR="006929CB" w:rsidRPr="00795E1F" w:rsidRDefault="006929CB">
            <w:pPr>
              <w:pStyle w:val="TableText"/>
              <w:spacing w:before="40" w:after="40"/>
              <w:jc w:val="right"/>
              <w:rPr>
                <w:szCs w:val="18"/>
              </w:rPr>
            </w:pPr>
            <w:r w:rsidRPr="00795E1F">
              <w:rPr>
                <w:rFonts w:eastAsia="Calibri"/>
                <w:szCs w:val="18"/>
              </w:rPr>
              <w:t>44.7</w:t>
            </w:r>
          </w:p>
        </w:tc>
        <w:tc>
          <w:tcPr>
            <w:tcW w:w="1134" w:type="dxa"/>
            <w:vAlign w:val="bottom"/>
          </w:tcPr>
          <w:p w14:paraId="3C5A96C3" w14:textId="77777777" w:rsidR="006929CB" w:rsidRPr="00795E1F" w:rsidRDefault="006929CB">
            <w:pPr>
              <w:pStyle w:val="TableText"/>
              <w:spacing w:before="40" w:after="40"/>
              <w:jc w:val="right"/>
              <w:rPr>
                <w:rFonts w:eastAsia="Calibri"/>
                <w:szCs w:val="18"/>
              </w:rPr>
            </w:pPr>
            <w:r w:rsidRPr="00795E1F">
              <w:rPr>
                <w:rFonts w:eastAsia="Calibri"/>
                <w:szCs w:val="18"/>
              </w:rPr>
              <w:t>0.2</w:t>
            </w:r>
          </w:p>
        </w:tc>
        <w:tc>
          <w:tcPr>
            <w:tcW w:w="1275" w:type="dxa"/>
            <w:vAlign w:val="bottom"/>
          </w:tcPr>
          <w:p w14:paraId="7A569B9D" w14:textId="77777777" w:rsidR="006929CB" w:rsidRPr="00795E1F" w:rsidRDefault="006929CB">
            <w:pPr>
              <w:pStyle w:val="TableText"/>
              <w:spacing w:before="40" w:after="40"/>
              <w:jc w:val="right"/>
              <w:rPr>
                <w:rFonts w:eastAsia="Calibri"/>
                <w:szCs w:val="18"/>
              </w:rPr>
            </w:pPr>
            <w:r w:rsidRPr="00795E1F">
              <w:rPr>
                <w:rFonts w:eastAsia="Calibri"/>
                <w:szCs w:val="18"/>
              </w:rPr>
              <w:t>44.7</w:t>
            </w:r>
          </w:p>
        </w:tc>
      </w:tr>
      <w:tr w:rsidR="006929CB" w:rsidRPr="00795E1F" w14:paraId="1DA05C75" w14:textId="77777777" w:rsidTr="00795E1F">
        <w:trPr>
          <w:trHeight w:val="326"/>
        </w:trPr>
        <w:tc>
          <w:tcPr>
            <w:tcW w:w="3686" w:type="dxa"/>
            <w:vAlign w:val="bottom"/>
          </w:tcPr>
          <w:p w14:paraId="0896FF88" w14:textId="77777777" w:rsidR="006929CB" w:rsidRPr="00795E1F" w:rsidRDefault="006929CB">
            <w:pPr>
              <w:pStyle w:val="TableText"/>
              <w:spacing w:before="40" w:after="40"/>
              <w:rPr>
                <w:szCs w:val="18"/>
              </w:rPr>
            </w:pPr>
            <w:r w:rsidRPr="00795E1F">
              <w:rPr>
                <w:rFonts w:eastAsia="Calibri"/>
                <w:szCs w:val="18"/>
              </w:rPr>
              <w:t>Deforestation</w:t>
            </w:r>
          </w:p>
        </w:tc>
        <w:tc>
          <w:tcPr>
            <w:tcW w:w="1134" w:type="dxa"/>
            <w:vAlign w:val="bottom"/>
          </w:tcPr>
          <w:p w14:paraId="23D5BC9B" w14:textId="77777777" w:rsidR="006929CB" w:rsidRPr="00795E1F" w:rsidRDefault="006929CB">
            <w:pPr>
              <w:pStyle w:val="TableText"/>
              <w:spacing w:before="40" w:after="40"/>
              <w:jc w:val="right"/>
              <w:rPr>
                <w:szCs w:val="18"/>
              </w:rPr>
            </w:pPr>
            <w:r w:rsidRPr="00795E1F">
              <w:rPr>
                <w:rFonts w:eastAsia="Calibri"/>
                <w:szCs w:val="18"/>
              </w:rPr>
              <w:t>0.0</w:t>
            </w:r>
          </w:p>
        </w:tc>
        <w:tc>
          <w:tcPr>
            <w:tcW w:w="1276" w:type="dxa"/>
            <w:vAlign w:val="bottom"/>
          </w:tcPr>
          <w:p w14:paraId="59B142A0" w14:textId="77777777" w:rsidR="006929CB" w:rsidRPr="00795E1F" w:rsidRDefault="006929CB">
            <w:pPr>
              <w:pStyle w:val="TableText"/>
              <w:spacing w:before="40" w:after="40"/>
              <w:jc w:val="right"/>
              <w:rPr>
                <w:szCs w:val="18"/>
              </w:rPr>
            </w:pPr>
            <w:r w:rsidRPr="00795E1F">
              <w:rPr>
                <w:rFonts w:eastAsia="Calibri"/>
                <w:szCs w:val="18"/>
              </w:rPr>
              <w:t>2.2</w:t>
            </w:r>
          </w:p>
        </w:tc>
        <w:tc>
          <w:tcPr>
            <w:tcW w:w="1134" w:type="dxa"/>
            <w:vAlign w:val="bottom"/>
          </w:tcPr>
          <w:p w14:paraId="0055D66F" w14:textId="77777777" w:rsidR="006929CB" w:rsidRPr="00795E1F" w:rsidRDefault="006929CB">
            <w:pPr>
              <w:pStyle w:val="TableText"/>
              <w:spacing w:before="40" w:after="40"/>
              <w:jc w:val="right"/>
              <w:rPr>
                <w:rFonts w:eastAsia="Calibri"/>
                <w:szCs w:val="18"/>
              </w:rPr>
            </w:pPr>
            <w:r w:rsidRPr="00795E1F">
              <w:rPr>
                <w:rFonts w:eastAsia="Calibri"/>
                <w:szCs w:val="18"/>
              </w:rPr>
              <w:t>0.0</w:t>
            </w:r>
          </w:p>
        </w:tc>
        <w:tc>
          <w:tcPr>
            <w:tcW w:w="1275" w:type="dxa"/>
            <w:vAlign w:val="bottom"/>
          </w:tcPr>
          <w:p w14:paraId="78101FC9" w14:textId="77777777" w:rsidR="006929CB" w:rsidRPr="00795E1F" w:rsidRDefault="006929CB">
            <w:pPr>
              <w:pStyle w:val="TableText"/>
              <w:spacing w:before="40" w:after="40"/>
              <w:jc w:val="right"/>
              <w:rPr>
                <w:rFonts w:eastAsia="Calibri"/>
                <w:szCs w:val="18"/>
              </w:rPr>
            </w:pPr>
            <w:r w:rsidRPr="00795E1F">
              <w:rPr>
                <w:rFonts w:eastAsia="Calibri"/>
                <w:szCs w:val="18"/>
              </w:rPr>
              <w:t>2.2</w:t>
            </w:r>
          </w:p>
        </w:tc>
      </w:tr>
      <w:tr w:rsidR="006929CB" w:rsidRPr="00795E1F" w14:paraId="1B5C51F5" w14:textId="77777777" w:rsidTr="00795E1F">
        <w:trPr>
          <w:trHeight w:val="326"/>
        </w:trPr>
        <w:tc>
          <w:tcPr>
            <w:tcW w:w="3686" w:type="dxa"/>
            <w:vAlign w:val="bottom"/>
          </w:tcPr>
          <w:p w14:paraId="2C07AEBA" w14:textId="77777777" w:rsidR="006929CB" w:rsidRPr="00795E1F" w:rsidRDefault="006929CB">
            <w:pPr>
              <w:pStyle w:val="TableText"/>
              <w:spacing w:before="40" w:after="40"/>
              <w:rPr>
                <w:szCs w:val="18"/>
              </w:rPr>
            </w:pPr>
            <w:r w:rsidRPr="00795E1F">
              <w:rPr>
                <w:rFonts w:eastAsia="Calibri"/>
                <w:szCs w:val="18"/>
              </w:rPr>
              <w:t>Forest management</w:t>
            </w:r>
          </w:p>
        </w:tc>
        <w:tc>
          <w:tcPr>
            <w:tcW w:w="1134" w:type="dxa"/>
            <w:vAlign w:val="bottom"/>
          </w:tcPr>
          <w:p w14:paraId="3DC6CE37" w14:textId="77777777" w:rsidR="006929CB" w:rsidRPr="00795E1F" w:rsidRDefault="006929CB">
            <w:pPr>
              <w:pStyle w:val="TableText"/>
              <w:spacing w:before="40" w:after="40"/>
              <w:jc w:val="right"/>
              <w:rPr>
                <w:szCs w:val="18"/>
              </w:rPr>
            </w:pPr>
            <w:r w:rsidRPr="00795E1F">
              <w:rPr>
                <w:rFonts w:eastAsia="Calibri"/>
                <w:szCs w:val="18"/>
              </w:rPr>
              <w:t>0.2</w:t>
            </w:r>
          </w:p>
        </w:tc>
        <w:tc>
          <w:tcPr>
            <w:tcW w:w="1276" w:type="dxa"/>
            <w:vAlign w:val="bottom"/>
          </w:tcPr>
          <w:p w14:paraId="0EE1FA1C" w14:textId="77777777" w:rsidR="006929CB" w:rsidRPr="00795E1F" w:rsidRDefault="006929CB">
            <w:pPr>
              <w:pStyle w:val="TableText"/>
              <w:spacing w:before="40" w:after="40"/>
              <w:jc w:val="right"/>
              <w:rPr>
                <w:szCs w:val="18"/>
              </w:rPr>
            </w:pPr>
            <w:r w:rsidRPr="00795E1F">
              <w:rPr>
                <w:rFonts w:eastAsia="Calibri"/>
                <w:szCs w:val="18"/>
              </w:rPr>
              <w:t>53.1</w:t>
            </w:r>
          </w:p>
        </w:tc>
        <w:tc>
          <w:tcPr>
            <w:tcW w:w="1134" w:type="dxa"/>
            <w:vAlign w:val="bottom"/>
          </w:tcPr>
          <w:p w14:paraId="0E44CDC1" w14:textId="77777777" w:rsidR="006929CB" w:rsidRPr="00795E1F" w:rsidRDefault="006929CB">
            <w:pPr>
              <w:pStyle w:val="TableText"/>
              <w:spacing w:before="40" w:after="40"/>
              <w:jc w:val="right"/>
              <w:rPr>
                <w:rFonts w:eastAsia="Calibri"/>
                <w:szCs w:val="18"/>
              </w:rPr>
            </w:pPr>
            <w:r w:rsidRPr="00795E1F">
              <w:rPr>
                <w:rFonts w:eastAsia="Calibri"/>
                <w:szCs w:val="18"/>
              </w:rPr>
              <w:t>0.2</w:t>
            </w:r>
          </w:p>
        </w:tc>
        <w:tc>
          <w:tcPr>
            <w:tcW w:w="1275" w:type="dxa"/>
            <w:vAlign w:val="bottom"/>
          </w:tcPr>
          <w:p w14:paraId="009626D4" w14:textId="77777777" w:rsidR="006929CB" w:rsidRPr="00795E1F" w:rsidRDefault="006929CB">
            <w:pPr>
              <w:pStyle w:val="TableText"/>
              <w:spacing w:before="40" w:after="40"/>
              <w:jc w:val="right"/>
              <w:rPr>
                <w:rFonts w:eastAsia="Calibri"/>
                <w:szCs w:val="18"/>
              </w:rPr>
            </w:pPr>
            <w:r w:rsidRPr="00795E1F">
              <w:rPr>
                <w:rFonts w:eastAsia="Calibri"/>
                <w:szCs w:val="18"/>
              </w:rPr>
              <w:t>53.1</w:t>
            </w:r>
          </w:p>
        </w:tc>
      </w:tr>
      <w:tr w:rsidR="006929CB" w:rsidRPr="00795E1F" w14:paraId="1FC6FD18" w14:textId="77777777" w:rsidTr="00795E1F">
        <w:trPr>
          <w:trHeight w:val="326"/>
        </w:trPr>
        <w:tc>
          <w:tcPr>
            <w:tcW w:w="3686" w:type="dxa"/>
            <w:vAlign w:val="bottom"/>
          </w:tcPr>
          <w:p w14:paraId="3FC0EDA9" w14:textId="77777777" w:rsidR="006929CB" w:rsidRPr="00795E1F" w:rsidRDefault="006929CB" w:rsidP="00D41906">
            <w:pPr>
              <w:pStyle w:val="Tableboldblue"/>
              <w:rPr>
                <w:szCs w:val="18"/>
              </w:rPr>
            </w:pPr>
            <w:r w:rsidRPr="00795E1F">
              <w:rPr>
                <w:szCs w:val="18"/>
              </w:rPr>
              <w:t>Total</w:t>
            </w:r>
          </w:p>
        </w:tc>
        <w:tc>
          <w:tcPr>
            <w:tcW w:w="1134" w:type="dxa"/>
            <w:vAlign w:val="bottom"/>
          </w:tcPr>
          <w:p w14:paraId="676A4093" w14:textId="77777777" w:rsidR="006929CB" w:rsidRPr="00795E1F" w:rsidRDefault="006929CB" w:rsidP="00B71790">
            <w:pPr>
              <w:pStyle w:val="Tableboldblue"/>
              <w:jc w:val="right"/>
              <w:rPr>
                <w:szCs w:val="18"/>
              </w:rPr>
            </w:pPr>
            <w:r w:rsidRPr="00795E1F">
              <w:rPr>
                <w:szCs w:val="18"/>
              </w:rPr>
              <w:t>0.4</w:t>
            </w:r>
          </w:p>
        </w:tc>
        <w:tc>
          <w:tcPr>
            <w:tcW w:w="1276" w:type="dxa"/>
            <w:vAlign w:val="bottom"/>
          </w:tcPr>
          <w:p w14:paraId="723C3731" w14:textId="77777777" w:rsidR="006929CB" w:rsidRPr="00795E1F" w:rsidRDefault="006929CB" w:rsidP="00B71790">
            <w:pPr>
              <w:pStyle w:val="Tableboldblue"/>
              <w:jc w:val="right"/>
              <w:rPr>
                <w:szCs w:val="18"/>
              </w:rPr>
            </w:pPr>
            <w:r w:rsidRPr="00795E1F">
              <w:rPr>
                <w:szCs w:val="18"/>
              </w:rPr>
              <w:t>100.0</w:t>
            </w:r>
          </w:p>
        </w:tc>
        <w:tc>
          <w:tcPr>
            <w:tcW w:w="1134" w:type="dxa"/>
            <w:vAlign w:val="bottom"/>
          </w:tcPr>
          <w:p w14:paraId="0B1E534E" w14:textId="77777777" w:rsidR="006929CB" w:rsidRPr="00795E1F" w:rsidRDefault="006929CB" w:rsidP="00B71790">
            <w:pPr>
              <w:pStyle w:val="Tableboldblue"/>
              <w:jc w:val="right"/>
              <w:rPr>
                <w:szCs w:val="18"/>
              </w:rPr>
            </w:pPr>
            <w:r w:rsidRPr="00795E1F">
              <w:rPr>
                <w:szCs w:val="18"/>
              </w:rPr>
              <w:t>0.4</w:t>
            </w:r>
          </w:p>
        </w:tc>
        <w:tc>
          <w:tcPr>
            <w:tcW w:w="1275" w:type="dxa"/>
            <w:vAlign w:val="bottom"/>
          </w:tcPr>
          <w:p w14:paraId="256E9E98" w14:textId="77777777" w:rsidR="006929CB" w:rsidRPr="00795E1F" w:rsidRDefault="006929CB" w:rsidP="00B71790">
            <w:pPr>
              <w:pStyle w:val="Tableboldblue"/>
              <w:jc w:val="right"/>
              <w:rPr>
                <w:szCs w:val="18"/>
              </w:rPr>
            </w:pPr>
            <w:r w:rsidRPr="00795E1F">
              <w:rPr>
                <w:szCs w:val="18"/>
              </w:rPr>
              <w:t>100.0</w:t>
            </w:r>
          </w:p>
        </w:tc>
      </w:tr>
    </w:tbl>
    <w:p w14:paraId="2FE84D53" w14:textId="77777777" w:rsidR="006929CB" w:rsidRPr="00DD1C54" w:rsidRDefault="006929CB" w:rsidP="006929CB">
      <w:pPr>
        <w:pStyle w:val="BodyText"/>
      </w:pPr>
      <w:r w:rsidRPr="00DD1C54">
        <w:rPr>
          <w:b/>
          <w:sz w:val="18"/>
          <w:szCs w:val="18"/>
        </w:rPr>
        <w:t>Note</w:t>
      </w:r>
      <w:r w:rsidRPr="00DD1C54">
        <w:rPr>
          <w:sz w:val="18"/>
          <w:szCs w:val="18"/>
        </w:rPr>
        <w:t xml:space="preserve">: </w:t>
      </w:r>
      <w:r w:rsidRPr="00DD1C54">
        <w:rPr>
          <w:sz w:val="18"/>
          <w:szCs w:val="18"/>
        </w:rPr>
        <w:tab/>
      </w:r>
      <w:r w:rsidRPr="00DD1C54">
        <w:rPr>
          <w:rFonts w:cs="Arial"/>
          <w:color w:val="000000"/>
          <w:sz w:val="18"/>
          <w:szCs w:val="18"/>
        </w:rPr>
        <w:t>Columns and conversions between units may not total due to rounding.</w:t>
      </w:r>
    </w:p>
    <w:p w14:paraId="7DEB2731" w14:textId="77777777" w:rsidR="006929CB" w:rsidRPr="00DD1C54" w:rsidRDefault="006929CB" w:rsidP="00B71790">
      <w:pPr>
        <w:pStyle w:val="Heading4"/>
        <w:spacing w:line="320" w:lineRule="atLeast"/>
      </w:pPr>
      <w:r w:rsidRPr="00DD1C54">
        <w:t xml:space="preserve">Nitrous oxide emissions from nitrogen mineralisation and immobilisation associated with land use conversions and management in mineral soils </w:t>
      </w:r>
    </w:p>
    <w:p w14:paraId="414B6BED" w14:textId="77777777" w:rsidR="006929CB" w:rsidRPr="00DD1C54" w:rsidRDefault="006929CB" w:rsidP="006929CB">
      <w:pPr>
        <w:pStyle w:val="BodyText"/>
        <w:spacing w:before="60" w:after="100"/>
        <w:rPr>
          <w:iCs/>
        </w:rPr>
      </w:pPr>
      <w:r w:rsidRPr="00DD1C54">
        <w:t xml:space="preserve">Nitrous oxide emissions, resulting from nitrogen mineralisation and immobilisation associated with land conversion, occur on land subject to </w:t>
      </w:r>
      <w:r w:rsidRPr="00DD1C54">
        <w:rPr>
          <w:i/>
        </w:rPr>
        <w:t>Afforestation and reforestation</w:t>
      </w:r>
      <w:r w:rsidRPr="00DD1C54">
        <w:t xml:space="preserve">, </w:t>
      </w:r>
      <w:r w:rsidRPr="00DD1C54">
        <w:rPr>
          <w:i/>
        </w:rPr>
        <w:t>Deforestation</w:t>
      </w:r>
      <w:r w:rsidRPr="00DD1C54">
        <w:t xml:space="preserve"> and </w:t>
      </w:r>
      <w:r w:rsidRPr="00DD1C54">
        <w:rPr>
          <w:i/>
        </w:rPr>
        <w:t xml:space="preserve">Forest management </w:t>
      </w:r>
      <w:r w:rsidRPr="00DD1C54">
        <w:rPr>
          <w:iCs/>
        </w:rPr>
        <w:t>activities</w:t>
      </w:r>
      <w:r w:rsidRPr="00DD1C54">
        <w:t>. The emissions are calculated following the 2006 IPCC Guidelines (IPCC, 2006a). Total annual emissions from these three activities in 2021 and 2022 are 0.3 kt N</w:t>
      </w:r>
      <w:r w:rsidRPr="00DD1C54">
        <w:rPr>
          <w:vertAlign w:val="subscript"/>
        </w:rPr>
        <w:t>2</w:t>
      </w:r>
      <w:r w:rsidRPr="00DD1C54">
        <w:t xml:space="preserve">O. </w:t>
      </w:r>
      <w:r w:rsidRPr="00DD1C54">
        <w:rPr>
          <w:iCs/>
        </w:rPr>
        <w:t>The emissions occurring under each activity are reported in table A</w:t>
      </w:r>
      <w:r w:rsidRPr="00DD1C54">
        <w:t>2</w:t>
      </w:r>
      <w:r w:rsidRPr="00DD1C54">
        <w:rPr>
          <w:iCs/>
        </w:rPr>
        <w:t>.15.</w:t>
      </w:r>
    </w:p>
    <w:p w14:paraId="057836F2" w14:textId="77777777" w:rsidR="006929CB" w:rsidRPr="00DD1C54" w:rsidRDefault="006929CB" w:rsidP="006929CB">
      <w:pPr>
        <w:pStyle w:val="Tableheading"/>
      </w:pPr>
      <w:bookmarkStart w:id="1174" w:name="_Toc182311707"/>
      <w:bookmarkStart w:id="1175" w:name="_Toc95321544"/>
      <w:bookmarkStart w:id="1176" w:name="_Toc99659396"/>
      <w:bookmarkStart w:id="1177" w:name="_Toc185407542"/>
      <w:bookmarkStart w:id="1178" w:name="_Toc185427805"/>
      <w:r w:rsidRPr="00DD1C54">
        <w:t>Table A2.15:</w:t>
      </w:r>
      <w:r w:rsidRPr="00DD1C54">
        <w:tab/>
        <w:t>Nitrous oxide emissions from nitrogen mineralisation and immobilisation in soils in 2021 and 2022 by activity</w:t>
      </w:r>
      <w:bookmarkEnd w:id="1174"/>
      <w:bookmarkEnd w:id="1177"/>
      <w:bookmarkEnd w:id="1178"/>
    </w:p>
    <w:tbl>
      <w:tblPr>
        <w:tblStyle w:val="TableGrid"/>
        <w:tblW w:w="8500"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Look w:val="0420" w:firstRow="1" w:lastRow="0" w:firstColumn="0" w:lastColumn="0" w:noHBand="0" w:noVBand="1"/>
      </w:tblPr>
      <w:tblGrid>
        <w:gridCol w:w="3119"/>
        <w:gridCol w:w="1559"/>
        <w:gridCol w:w="1276"/>
        <w:gridCol w:w="1276"/>
        <w:gridCol w:w="1270"/>
      </w:tblGrid>
      <w:tr w:rsidR="006929CB" w:rsidRPr="00795E1F" w14:paraId="7BC230FC" w14:textId="77777777" w:rsidTr="00795E1F">
        <w:trPr>
          <w:trHeight w:val="222"/>
        </w:trPr>
        <w:tc>
          <w:tcPr>
            <w:tcW w:w="3119" w:type="dxa"/>
            <w:vMerge w:val="restart"/>
            <w:shd w:val="clear" w:color="auto" w:fill="1B556B" w:themeFill="text2"/>
            <w:vAlign w:val="bottom"/>
          </w:tcPr>
          <w:p w14:paraId="6FE09F34" w14:textId="77777777" w:rsidR="006929CB" w:rsidRPr="00795E1F" w:rsidRDefault="006929CB" w:rsidP="00B71790">
            <w:pPr>
              <w:pStyle w:val="TableTextbold"/>
              <w:keepNext/>
              <w:spacing w:before="40" w:after="40"/>
              <w:rPr>
                <w:color w:val="FFFFFF" w:themeColor="background1"/>
                <w:szCs w:val="18"/>
              </w:rPr>
            </w:pPr>
            <w:r w:rsidRPr="00795E1F">
              <w:rPr>
                <w:rFonts w:eastAsia="Calibri"/>
                <w:color w:val="FFFFFF" w:themeColor="background1"/>
                <w:szCs w:val="18"/>
              </w:rPr>
              <w:t>Activity</w:t>
            </w:r>
          </w:p>
        </w:tc>
        <w:tc>
          <w:tcPr>
            <w:tcW w:w="2835" w:type="dxa"/>
            <w:gridSpan w:val="2"/>
            <w:shd w:val="clear" w:color="auto" w:fill="1B556B" w:themeFill="text2"/>
          </w:tcPr>
          <w:p w14:paraId="17487E10" w14:textId="77777777" w:rsidR="006929CB" w:rsidRPr="00795E1F" w:rsidRDefault="006929CB" w:rsidP="00B71790">
            <w:pPr>
              <w:pStyle w:val="TableTextbold"/>
              <w:keepNext/>
              <w:spacing w:before="40" w:after="0"/>
              <w:jc w:val="center"/>
              <w:rPr>
                <w:color w:val="FFFFFF" w:themeColor="background1"/>
                <w:szCs w:val="18"/>
              </w:rPr>
            </w:pPr>
            <w:r w:rsidRPr="00795E1F">
              <w:rPr>
                <w:rFonts w:eastAsia="Calibri"/>
                <w:color w:val="FFFFFF" w:themeColor="background1"/>
                <w:szCs w:val="18"/>
              </w:rPr>
              <w:t>Emissions 2021</w:t>
            </w:r>
          </w:p>
        </w:tc>
        <w:tc>
          <w:tcPr>
            <w:tcW w:w="2546" w:type="dxa"/>
            <w:gridSpan w:val="2"/>
            <w:shd w:val="clear" w:color="auto" w:fill="1B556B" w:themeFill="text2"/>
          </w:tcPr>
          <w:p w14:paraId="5318DC24" w14:textId="77777777" w:rsidR="006929CB" w:rsidRPr="00795E1F" w:rsidRDefault="006929CB" w:rsidP="00B71790">
            <w:pPr>
              <w:pStyle w:val="TableTextbold"/>
              <w:keepNext/>
              <w:spacing w:before="40" w:after="0"/>
              <w:jc w:val="center"/>
              <w:rPr>
                <w:rFonts w:eastAsia="Calibri"/>
                <w:color w:val="FFFFFF" w:themeColor="background1"/>
                <w:szCs w:val="18"/>
              </w:rPr>
            </w:pPr>
            <w:r w:rsidRPr="00795E1F">
              <w:rPr>
                <w:rFonts w:eastAsia="Calibri"/>
                <w:color w:val="FFFFFF" w:themeColor="background1"/>
                <w:szCs w:val="18"/>
              </w:rPr>
              <w:t>Emissions 2022</w:t>
            </w:r>
          </w:p>
        </w:tc>
      </w:tr>
      <w:tr w:rsidR="006929CB" w:rsidRPr="00795E1F" w14:paraId="0CF0CD14" w14:textId="77777777" w:rsidTr="00795E1F">
        <w:trPr>
          <w:trHeight w:val="222"/>
        </w:trPr>
        <w:tc>
          <w:tcPr>
            <w:tcW w:w="3119" w:type="dxa"/>
            <w:vMerge/>
            <w:shd w:val="clear" w:color="auto" w:fill="1B556B" w:themeFill="text2"/>
          </w:tcPr>
          <w:p w14:paraId="63DE2091" w14:textId="77777777" w:rsidR="006929CB" w:rsidRPr="00795E1F" w:rsidRDefault="006929CB">
            <w:pPr>
              <w:pStyle w:val="TableTextbold"/>
              <w:spacing w:before="40" w:after="40"/>
              <w:rPr>
                <w:rFonts w:eastAsia="Calibri"/>
                <w:color w:val="FFFFFF" w:themeColor="background1"/>
                <w:szCs w:val="18"/>
              </w:rPr>
            </w:pPr>
          </w:p>
        </w:tc>
        <w:tc>
          <w:tcPr>
            <w:tcW w:w="1559" w:type="dxa"/>
            <w:shd w:val="clear" w:color="auto" w:fill="1B556B" w:themeFill="text2"/>
          </w:tcPr>
          <w:p w14:paraId="5B943F9A" w14:textId="77777777" w:rsidR="006929CB" w:rsidRPr="00795E1F" w:rsidRDefault="006929CB">
            <w:pPr>
              <w:pStyle w:val="TableTextbold"/>
              <w:spacing w:before="40" w:after="40"/>
              <w:jc w:val="right"/>
              <w:rPr>
                <w:rFonts w:eastAsia="Calibri"/>
                <w:color w:val="FFFFFF" w:themeColor="background1"/>
                <w:szCs w:val="18"/>
              </w:rPr>
            </w:pPr>
            <w:r w:rsidRPr="00795E1F">
              <w:rPr>
                <w:rFonts w:eastAsia="Calibri"/>
                <w:color w:val="FFFFFF" w:themeColor="background1"/>
                <w:szCs w:val="18"/>
              </w:rPr>
              <w:t>(kt N</w:t>
            </w:r>
            <w:r w:rsidRPr="00795E1F">
              <w:rPr>
                <w:rFonts w:eastAsia="Calibri"/>
                <w:color w:val="FFFFFF" w:themeColor="background1"/>
                <w:szCs w:val="18"/>
                <w:vertAlign w:val="subscript"/>
              </w:rPr>
              <w:t>2</w:t>
            </w:r>
            <w:r w:rsidRPr="00795E1F">
              <w:rPr>
                <w:rFonts w:eastAsia="Calibri"/>
                <w:color w:val="FFFFFF" w:themeColor="background1"/>
                <w:szCs w:val="18"/>
              </w:rPr>
              <w:t>O)</w:t>
            </w:r>
          </w:p>
        </w:tc>
        <w:tc>
          <w:tcPr>
            <w:tcW w:w="1276" w:type="dxa"/>
            <w:shd w:val="clear" w:color="auto" w:fill="1B556B" w:themeFill="text2"/>
          </w:tcPr>
          <w:p w14:paraId="6158EA7C" w14:textId="77777777" w:rsidR="006929CB" w:rsidRPr="00795E1F" w:rsidRDefault="006929CB">
            <w:pPr>
              <w:pStyle w:val="TableTextbold"/>
              <w:spacing w:before="40" w:after="40"/>
              <w:jc w:val="right"/>
              <w:rPr>
                <w:rFonts w:eastAsia="Calibri"/>
                <w:color w:val="FFFFFF" w:themeColor="background1"/>
                <w:szCs w:val="18"/>
              </w:rPr>
            </w:pPr>
            <w:r w:rsidRPr="00795E1F">
              <w:rPr>
                <w:rFonts w:eastAsia="Calibri"/>
                <w:color w:val="FFFFFF" w:themeColor="background1"/>
                <w:szCs w:val="18"/>
              </w:rPr>
              <w:t>(kt CO</w:t>
            </w:r>
            <w:r w:rsidRPr="00795E1F">
              <w:rPr>
                <w:rFonts w:eastAsia="Calibri"/>
                <w:color w:val="FFFFFF" w:themeColor="background1"/>
                <w:szCs w:val="18"/>
                <w:vertAlign w:val="subscript"/>
              </w:rPr>
              <w:t>2</w:t>
            </w:r>
            <w:r w:rsidRPr="00795E1F">
              <w:rPr>
                <w:rFonts w:eastAsia="Calibri"/>
                <w:color w:val="FFFFFF" w:themeColor="background1"/>
                <w:szCs w:val="18"/>
              </w:rPr>
              <w:t>e)</w:t>
            </w:r>
          </w:p>
        </w:tc>
        <w:tc>
          <w:tcPr>
            <w:tcW w:w="1276" w:type="dxa"/>
            <w:shd w:val="clear" w:color="auto" w:fill="1B556B" w:themeFill="text2"/>
          </w:tcPr>
          <w:p w14:paraId="2B287456" w14:textId="77777777" w:rsidR="006929CB" w:rsidRPr="00795E1F" w:rsidRDefault="006929CB">
            <w:pPr>
              <w:pStyle w:val="TableTextbold"/>
              <w:spacing w:before="40" w:after="40"/>
              <w:jc w:val="right"/>
              <w:rPr>
                <w:rFonts w:eastAsia="Calibri"/>
                <w:color w:val="FFFFFF" w:themeColor="background1"/>
                <w:szCs w:val="18"/>
              </w:rPr>
            </w:pPr>
            <w:r w:rsidRPr="00795E1F">
              <w:rPr>
                <w:rFonts w:eastAsia="Calibri"/>
                <w:color w:val="FFFFFF" w:themeColor="background1"/>
                <w:szCs w:val="18"/>
              </w:rPr>
              <w:t>(kt N</w:t>
            </w:r>
            <w:r w:rsidRPr="00795E1F">
              <w:rPr>
                <w:rFonts w:eastAsia="Calibri"/>
                <w:color w:val="FFFFFF" w:themeColor="background1"/>
                <w:szCs w:val="18"/>
                <w:vertAlign w:val="subscript"/>
              </w:rPr>
              <w:t>2</w:t>
            </w:r>
            <w:r w:rsidRPr="00795E1F">
              <w:rPr>
                <w:rFonts w:eastAsia="Calibri"/>
                <w:color w:val="FFFFFF" w:themeColor="background1"/>
                <w:szCs w:val="18"/>
              </w:rPr>
              <w:t>O)</w:t>
            </w:r>
          </w:p>
        </w:tc>
        <w:tc>
          <w:tcPr>
            <w:tcW w:w="1270" w:type="dxa"/>
            <w:shd w:val="clear" w:color="auto" w:fill="1B556B" w:themeFill="text2"/>
          </w:tcPr>
          <w:p w14:paraId="4A03C030" w14:textId="77777777" w:rsidR="006929CB" w:rsidRPr="00795E1F" w:rsidRDefault="006929CB">
            <w:pPr>
              <w:pStyle w:val="TableTextbold"/>
              <w:spacing w:before="40" w:after="40"/>
              <w:jc w:val="right"/>
              <w:rPr>
                <w:rFonts w:eastAsia="Calibri"/>
                <w:color w:val="FFFFFF" w:themeColor="background1"/>
                <w:szCs w:val="18"/>
              </w:rPr>
            </w:pPr>
            <w:r w:rsidRPr="00795E1F">
              <w:rPr>
                <w:rFonts w:eastAsia="Calibri"/>
                <w:color w:val="FFFFFF" w:themeColor="background1"/>
                <w:szCs w:val="18"/>
              </w:rPr>
              <w:t>(kt CO</w:t>
            </w:r>
            <w:r w:rsidRPr="00795E1F">
              <w:rPr>
                <w:rFonts w:eastAsia="Calibri"/>
                <w:color w:val="FFFFFF" w:themeColor="background1"/>
                <w:szCs w:val="18"/>
                <w:vertAlign w:val="subscript"/>
              </w:rPr>
              <w:t>2</w:t>
            </w:r>
            <w:r w:rsidRPr="00795E1F">
              <w:rPr>
                <w:rFonts w:eastAsia="Calibri"/>
                <w:color w:val="FFFFFF" w:themeColor="background1"/>
                <w:szCs w:val="18"/>
              </w:rPr>
              <w:t>e)</w:t>
            </w:r>
          </w:p>
        </w:tc>
      </w:tr>
      <w:tr w:rsidR="006929CB" w:rsidRPr="00795E1F" w14:paraId="4E5595E3" w14:textId="77777777" w:rsidTr="00795E1F">
        <w:trPr>
          <w:trHeight w:val="326"/>
        </w:trPr>
        <w:tc>
          <w:tcPr>
            <w:tcW w:w="3119" w:type="dxa"/>
          </w:tcPr>
          <w:p w14:paraId="0CF8315D" w14:textId="77777777" w:rsidR="006929CB" w:rsidRPr="00795E1F" w:rsidRDefault="006929CB">
            <w:pPr>
              <w:pStyle w:val="TableText"/>
              <w:spacing w:before="40" w:after="40"/>
              <w:rPr>
                <w:szCs w:val="18"/>
              </w:rPr>
            </w:pPr>
            <w:r w:rsidRPr="00795E1F">
              <w:rPr>
                <w:rFonts w:eastAsia="Calibri"/>
                <w:szCs w:val="18"/>
              </w:rPr>
              <w:t>Afforestation and reforestation</w:t>
            </w:r>
          </w:p>
        </w:tc>
        <w:tc>
          <w:tcPr>
            <w:tcW w:w="1559" w:type="dxa"/>
          </w:tcPr>
          <w:p w14:paraId="288A7FFF" w14:textId="77777777" w:rsidR="006929CB" w:rsidRPr="00795E1F" w:rsidRDefault="006929CB">
            <w:pPr>
              <w:pStyle w:val="TableText"/>
              <w:spacing w:before="40" w:after="40"/>
              <w:jc w:val="right"/>
              <w:rPr>
                <w:szCs w:val="18"/>
              </w:rPr>
            </w:pPr>
            <w:r w:rsidRPr="00795E1F">
              <w:rPr>
                <w:rFonts w:eastAsia="Calibri"/>
                <w:szCs w:val="18"/>
              </w:rPr>
              <w:t>0.2</w:t>
            </w:r>
          </w:p>
        </w:tc>
        <w:tc>
          <w:tcPr>
            <w:tcW w:w="1276" w:type="dxa"/>
          </w:tcPr>
          <w:p w14:paraId="645D30DA" w14:textId="77777777" w:rsidR="006929CB" w:rsidRPr="00795E1F" w:rsidRDefault="006929CB">
            <w:pPr>
              <w:pStyle w:val="TableText"/>
              <w:spacing w:before="40" w:after="40"/>
              <w:jc w:val="right"/>
              <w:rPr>
                <w:szCs w:val="18"/>
              </w:rPr>
            </w:pPr>
            <w:r w:rsidRPr="00795E1F">
              <w:rPr>
                <w:rFonts w:eastAsia="Calibri"/>
                <w:szCs w:val="18"/>
              </w:rPr>
              <w:t>55.2</w:t>
            </w:r>
          </w:p>
        </w:tc>
        <w:tc>
          <w:tcPr>
            <w:tcW w:w="1276" w:type="dxa"/>
          </w:tcPr>
          <w:p w14:paraId="66280584" w14:textId="77777777" w:rsidR="006929CB" w:rsidRPr="00795E1F" w:rsidRDefault="006929CB">
            <w:pPr>
              <w:pStyle w:val="TableText"/>
              <w:spacing w:before="40" w:after="40"/>
              <w:jc w:val="right"/>
              <w:rPr>
                <w:rFonts w:eastAsia="Calibri"/>
                <w:szCs w:val="18"/>
              </w:rPr>
            </w:pPr>
            <w:r w:rsidRPr="00795E1F">
              <w:rPr>
                <w:rFonts w:eastAsia="Calibri"/>
                <w:szCs w:val="18"/>
              </w:rPr>
              <w:t>0.3</w:t>
            </w:r>
          </w:p>
        </w:tc>
        <w:tc>
          <w:tcPr>
            <w:tcW w:w="1270" w:type="dxa"/>
          </w:tcPr>
          <w:p w14:paraId="28688F7E" w14:textId="77777777" w:rsidR="006929CB" w:rsidRPr="00795E1F" w:rsidRDefault="006929CB">
            <w:pPr>
              <w:pStyle w:val="TableText"/>
              <w:spacing w:before="40" w:after="40"/>
              <w:jc w:val="right"/>
              <w:rPr>
                <w:rFonts w:eastAsia="Calibri"/>
                <w:szCs w:val="18"/>
              </w:rPr>
            </w:pPr>
            <w:r w:rsidRPr="00795E1F">
              <w:rPr>
                <w:rFonts w:eastAsia="Calibri"/>
                <w:szCs w:val="18"/>
              </w:rPr>
              <w:t>67.2</w:t>
            </w:r>
          </w:p>
        </w:tc>
      </w:tr>
      <w:tr w:rsidR="006929CB" w:rsidRPr="00795E1F" w14:paraId="1AE1F29C" w14:textId="77777777" w:rsidTr="00795E1F">
        <w:trPr>
          <w:trHeight w:val="326"/>
        </w:trPr>
        <w:tc>
          <w:tcPr>
            <w:tcW w:w="3119" w:type="dxa"/>
          </w:tcPr>
          <w:p w14:paraId="4463F962" w14:textId="77777777" w:rsidR="006929CB" w:rsidRPr="00795E1F" w:rsidRDefault="006929CB">
            <w:pPr>
              <w:pStyle w:val="TableText"/>
              <w:spacing w:before="40" w:after="40"/>
              <w:rPr>
                <w:szCs w:val="18"/>
              </w:rPr>
            </w:pPr>
            <w:r w:rsidRPr="00795E1F">
              <w:rPr>
                <w:rFonts w:eastAsia="Calibri"/>
                <w:szCs w:val="18"/>
              </w:rPr>
              <w:t>Deforestation</w:t>
            </w:r>
          </w:p>
        </w:tc>
        <w:tc>
          <w:tcPr>
            <w:tcW w:w="1559" w:type="dxa"/>
          </w:tcPr>
          <w:p w14:paraId="4A630F39" w14:textId="77777777" w:rsidR="006929CB" w:rsidRPr="00795E1F" w:rsidRDefault="006929CB">
            <w:pPr>
              <w:pStyle w:val="TableText"/>
              <w:spacing w:before="40" w:after="40"/>
              <w:jc w:val="right"/>
              <w:rPr>
                <w:szCs w:val="18"/>
              </w:rPr>
            </w:pPr>
            <w:r w:rsidRPr="00795E1F">
              <w:rPr>
                <w:rFonts w:eastAsia="Calibri"/>
                <w:szCs w:val="18"/>
              </w:rPr>
              <w:t>0.0</w:t>
            </w:r>
          </w:p>
        </w:tc>
        <w:tc>
          <w:tcPr>
            <w:tcW w:w="1276" w:type="dxa"/>
          </w:tcPr>
          <w:p w14:paraId="554BE9C1" w14:textId="77777777" w:rsidR="006929CB" w:rsidRPr="00795E1F" w:rsidRDefault="006929CB">
            <w:pPr>
              <w:pStyle w:val="TableText"/>
              <w:spacing w:before="40" w:after="40"/>
              <w:jc w:val="right"/>
              <w:rPr>
                <w:szCs w:val="18"/>
              </w:rPr>
            </w:pPr>
            <w:r w:rsidRPr="00795E1F">
              <w:rPr>
                <w:rFonts w:eastAsia="Calibri"/>
                <w:szCs w:val="18"/>
              </w:rPr>
              <w:t>1.7</w:t>
            </w:r>
          </w:p>
        </w:tc>
        <w:tc>
          <w:tcPr>
            <w:tcW w:w="1276" w:type="dxa"/>
          </w:tcPr>
          <w:p w14:paraId="5C53681B" w14:textId="77777777" w:rsidR="006929CB" w:rsidRPr="00795E1F" w:rsidRDefault="006929CB">
            <w:pPr>
              <w:pStyle w:val="TableText"/>
              <w:spacing w:before="40" w:after="40"/>
              <w:jc w:val="right"/>
              <w:rPr>
                <w:rFonts w:eastAsia="Calibri"/>
                <w:szCs w:val="18"/>
              </w:rPr>
            </w:pPr>
            <w:r w:rsidRPr="00795E1F">
              <w:rPr>
                <w:rFonts w:eastAsia="Calibri"/>
                <w:szCs w:val="18"/>
              </w:rPr>
              <w:t>0.0</w:t>
            </w:r>
          </w:p>
        </w:tc>
        <w:tc>
          <w:tcPr>
            <w:tcW w:w="1270" w:type="dxa"/>
          </w:tcPr>
          <w:p w14:paraId="06CDA93B" w14:textId="77777777" w:rsidR="006929CB" w:rsidRPr="00795E1F" w:rsidRDefault="006929CB">
            <w:pPr>
              <w:pStyle w:val="TableText"/>
              <w:spacing w:before="40" w:after="40"/>
              <w:jc w:val="right"/>
              <w:rPr>
                <w:rFonts w:eastAsia="Calibri"/>
                <w:szCs w:val="18"/>
              </w:rPr>
            </w:pPr>
            <w:r w:rsidRPr="00795E1F">
              <w:rPr>
                <w:rFonts w:eastAsia="Calibri"/>
                <w:szCs w:val="18"/>
              </w:rPr>
              <w:t>1.7</w:t>
            </w:r>
          </w:p>
        </w:tc>
      </w:tr>
      <w:tr w:rsidR="006929CB" w:rsidRPr="00795E1F" w14:paraId="7DCBAB6D" w14:textId="77777777" w:rsidTr="00795E1F">
        <w:trPr>
          <w:trHeight w:val="326"/>
        </w:trPr>
        <w:tc>
          <w:tcPr>
            <w:tcW w:w="3119" w:type="dxa"/>
          </w:tcPr>
          <w:p w14:paraId="69250AA9" w14:textId="77777777" w:rsidR="006929CB" w:rsidRPr="00795E1F" w:rsidRDefault="006929CB">
            <w:pPr>
              <w:pStyle w:val="TableText"/>
              <w:spacing w:before="40" w:after="40"/>
              <w:rPr>
                <w:szCs w:val="18"/>
              </w:rPr>
            </w:pPr>
            <w:r w:rsidRPr="00795E1F">
              <w:rPr>
                <w:rFonts w:eastAsia="Calibri"/>
                <w:szCs w:val="18"/>
              </w:rPr>
              <w:t>Forest management</w:t>
            </w:r>
          </w:p>
        </w:tc>
        <w:tc>
          <w:tcPr>
            <w:tcW w:w="1559" w:type="dxa"/>
          </w:tcPr>
          <w:p w14:paraId="4D16D3E1" w14:textId="77777777" w:rsidR="006929CB" w:rsidRPr="00795E1F" w:rsidRDefault="006929CB">
            <w:pPr>
              <w:pStyle w:val="TableText"/>
              <w:spacing w:before="40" w:after="40"/>
              <w:jc w:val="right"/>
              <w:rPr>
                <w:szCs w:val="18"/>
              </w:rPr>
            </w:pPr>
            <w:r w:rsidRPr="00795E1F">
              <w:rPr>
                <w:rFonts w:eastAsia="Calibri"/>
                <w:szCs w:val="18"/>
              </w:rPr>
              <w:t>0.0</w:t>
            </w:r>
          </w:p>
        </w:tc>
        <w:tc>
          <w:tcPr>
            <w:tcW w:w="1276" w:type="dxa"/>
          </w:tcPr>
          <w:p w14:paraId="7FCB3A72" w14:textId="77777777" w:rsidR="006929CB" w:rsidRPr="00795E1F" w:rsidRDefault="006929CB">
            <w:pPr>
              <w:pStyle w:val="TableText"/>
              <w:spacing w:before="40" w:after="40"/>
              <w:jc w:val="right"/>
              <w:rPr>
                <w:szCs w:val="18"/>
              </w:rPr>
            </w:pPr>
            <w:r w:rsidRPr="00795E1F">
              <w:rPr>
                <w:rFonts w:eastAsia="Calibri"/>
                <w:szCs w:val="18"/>
              </w:rPr>
              <w:t>0.9</w:t>
            </w:r>
          </w:p>
        </w:tc>
        <w:tc>
          <w:tcPr>
            <w:tcW w:w="1276" w:type="dxa"/>
          </w:tcPr>
          <w:p w14:paraId="328E3435" w14:textId="77777777" w:rsidR="006929CB" w:rsidRPr="00795E1F" w:rsidRDefault="006929CB">
            <w:pPr>
              <w:pStyle w:val="TableText"/>
              <w:spacing w:before="40" w:after="40"/>
              <w:jc w:val="right"/>
              <w:rPr>
                <w:rFonts w:eastAsia="Calibri"/>
                <w:szCs w:val="18"/>
              </w:rPr>
            </w:pPr>
            <w:r w:rsidRPr="00795E1F">
              <w:rPr>
                <w:rFonts w:eastAsia="Calibri"/>
                <w:szCs w:val="18"/>
              </w:rPr>
              <w:t>0.0</w:t>
            </w:r>
          </w:p>
        </w:tc>
        <w:tc>
          <w:tcPr>
            <w:tcW w:w="1270" w:type="dxa"/>
          </w:tcPr>
          <w:p w14:paraId="1475946C" w14:textId="77777777" w:rsidR="006929CB" w:rsidRPr="00795E1F" w:rsidRDefault="006929CB">
            <w:pPr>
              <w:pStyle w:val="TableText"/>
              <w:spacing w:before="40" w:after="40"/>
              <w:jc w:val="right"/>
              <w:rPr>
                <w:rFonts w:eastAsia="Calibri"/>
                <w:szCs w:val="18"/>
              </w:rPr>
            </w:pPr>
            <w:r w:rsidRPr="00795E1F">
              <w:rPr>
                <w:rFonts w:eastAsia="Calibri"/>
                <w:szCs w:val="18"/>
              </w:rPr>
              <w:t>0.9</w:t>
            </w:r>
          </w:p>
        </w:tc>
      </w:tr>
      <w:tr w:rsidR="006929CB" w:rsidRPr="00795E1F" w14:paraId="6174511E" w14:textId="77777777" w:rsidTr="00795E1F">
        <w:trPr>
          <w:trHeight w:val="326"/>
        </w:trPr>
        <w:tc>
          <w:tcPr>
            <w:tcW w:w="3119" w:type="dxa"/>
          </w:tcPr>
          <w:p w14:paraId="097C7DA5" w14:textId="77777777" w:rsidR="006929CB" w:rsidRPr="00795E1F" w:rsidRDefault="006929CB" w:rsidP="00D41906">
            <w:pPr>
              <w:pStyle w:val="Tableboldblue"/>
              <w:rPr>
                <w:szCs w:val="18"/>
              </w:rPr>
            </w:pPr>
            <w:r w:rsidRPr="00795E1F">
              <w:rPr>
                <w:szCs w:val="18"/>
              </w:rPr>
              <w:t>Total</w:t>
            </w:r>
          </w:p>
        </w:tc>
        <w:tc>
          <w:tcPr>
            <w:tcW w:w="1559" w:type="dxa"/>
          </w:tcPr>
          <w:p w14:paraId="07ECDEF6" w14:textId="77777777" w:rsidR="006929CB" w:rsidRPr="00795E1F" w:rsidRDefault="006929CB" w:rsidP="00C26094">
            <w:pPr>
              <w:pStyle w:val="Tableboldblue"/>
              <w:jc w:val="right"/>
              <w:rPr>
                <w:szCs w:val="18"/>
              </w:rPr>
            </w:pPr>
            <w:r w:rsidRPr="00795E1F">
              <w:rPr>
                <w:szCs w:val="18"/>
              </w:rPr>
              <w:t>0.3</w:t>
            </w:r>
          </w:p>
        </w:tc>
        <w:tc>
          <w:tcPr>
            <w:tcW w:w="1276" w:type="dxa"/>
          </w:tcPr>
          <w:p w14:paraId="253249CD" w14:textId="77777777" w:rsidR="006929CB" w:rsidRPr="00795E1F" w:rsidRDefault="006929CB" w:rsidP="00C26094">
            <w:pPr>
              <w:pStyle w:val="Tableboldblue"/>
              <w:jc w:val="right"/>
              <w:rPr>
                <w:szCs w:val="18"/>
              </w:rPr>
            </w:pPr>
            <w:r w:rsidRPr="00795E1F">
              <w:rPr>
                <w:szCs w:val="18"/>
              </w:rPr>
              <w:t>57.8</w:t>
            </w:r>
          </w:p>
        </w:tc>
        <w:tc>
          <w:tcPr>
            <w:tcW w:w="1276" w:type="dxa"/>
          </w:tcPr>
          <w:p w14:paraId="15460D6D" w14:textId="77777777" w:rsidR="006929CB" w:rsidRPr="00795E1F" w:rsidRDefault="006929CB" w:rsidP="00C26094">
            <w:pPr>
              <w:pStyle w:val="Tableboldblue"/>
              <w:jc w:val="right"/>
              <w:rPr>
                <w:szCs w:val="18"/>
              </w:rPr>
            </w:pPr>
            <w:r w:rsidRPr="00795E1F">
              <w:rPr>
                <w:szCs w:val="18"/>
              </w:rPr>
              <w:t>0.3</w:t>
            </w:r>
          </w:p>
        </w:tc>
        <w:tc>
          <w:tcPr>
            <w:tcW w:w="1270" w:type="dxa"/>
          </w:tcPr>
          <w:p w14:paraId="3B7DBACE" w14:textId="77777777" w:rsidR="006929CB" w:rsidRPr="00795E1F" w:rsidRDefault="006929CB" w:rsidP="00C26094">
            <w:pPr>
              <w:pStyle w:val="Tableboldblue"/>
              <w:jc w:val="right"/>
              <w:rPr>
                <w:szCs w:val="18"/>
              </w:rPr>
            </w:pPr>
            <w:r w:rsidRPr="00795E1F">
              <w:rPr>
                <w:szCs w:val="18"/>
              </w:rPr>
              <w:t>69.8</w:t>
            </w:r>
          </w:p>
        </w:tc>
      </w:tr>
    </w:tbl>
    <w:bookmarkEnd w:id="1175"/>
    <w:bookmarkEnd w:id="1176"/>
    <w:p w14:paraId="4658D566" w14:textId="77777777" w:rsidR="006929CB" w:rsidRPr="00DD1C54" w:rsidRDefault="006929CB" w:rsidP="006929CB">
      <w:pPr>
        <w:pStyle w:val="Noteundertable"/>
      </w:pPr>
      <w:r w:rsidRPr="00DD1C54">
        <w:rPr>
          <w:b/>
        </w:rPr>
        <w:t>Note</w:t>
      </w:r>
      <w:r w:rsidRPr="00DD1C54">
        <w:t xml:space="preserve">: </w:t>
      </w:r>
      <w:r w:rsidRPr="00DD1C54">
        <w:tab/>
        <w:t xml:space="preserve">Columns and conversions between units may not total due to rounding. </w:t>
      </w:r>
    </w:p>
    <w:p w14:paraId="58FF7A4D" w14:textId="77777777" w:rsidR="006929CB" w:rsidRPr="00DD1C54" w:rsidRDefault="006929CB" w:rsidP="006929CB">
      <w:pPr>
        <w:pStyle w:val="BodyText"/>
        <w:spacing w:before="100" w:after="100"/>
      </w:pPr>
      <w:r w:rsidRPr="00DD1C54">
        <w:t xml:space="preserve">Emissions associated with </w:t>
      </w:r>
      <w:r w:rsidRPr="00DD1C54">
        <w:rPr>
          <w:i/>
        </w:rPr>
        <w:t>Indirect N</w:t>
      </w:r>
      <w:r w:rsidRPr="00DD1C54">
        <w:rPr>
          <w:i/>
          <w:vertAlign w:val="subscript"/>
        </w:rPr>
        <w:t>2</w:t>
      </w:r>
      <w:r w:rsidRPr="00DD1C54">
        <w:rPr>
          <w:i/>
        </w:rPr>
        <w:t>O emissions from managed soils</w:t>
      </w:r>
      <w:r w:rsidRPr="00DD1C54">
        <w:t xml:space="preserve"> are reported under the Agriculture sector. </w:t>
      </w:r>
    </w:p>
    <w:p w14:paraId="5C03CA6A" w14:textId="77777777" w:rsidR="006929CB" w:rsidRPr="00DD1C54" w:rsidRDefault="006929CB" w:rsidP="006929CB">
      <w:pPr>
        <w:pStyle w:val="Heading4"/>
      </w:pPr>
      <w:r w:rsidRPr="00DD1C54">
        <w:t xml:space="preserve">Biomass burning </w:t>
      </w:r>
    </w:p>
    <w:p w14:paraId="18793AAC" w14:textId="77777777" w:rsidR="006929CB" w:rsidRPr="00DD1C54" w:rsidRDefault="006929CB" w:rsidP="006929CB">
      <w:pPr>
        <w:pStyle w:val="BodyText"/>
        <w:spacing w:before="60" w:after="100"/>
        <w:rPr>
          <w:iCs/>
        </w:rPr>
      </w:pPr>
      <w:r w:rsidRPr="00DD1C54">
        <w:t>Non-CO</w:t>
      </w:r>
      <w:r w:rsidRPr="00DD1C54">
        <w:rPr>
          <w:vertAlign w:val="subscript"/>
        </w:rPr>
        <w:t>2</w:t>
      </w:r>
      <w:r w:rsidRPr="00DD1C54">
        <w:t xml:space="preserve"> emissions are estimated for each activity by apportioning wildfire activity data to the forest type burned, as described in annex 5, section A5.2.7 of Inventory 2024 (Ministry for the Environment 2024). </w:t>
      </w:r>
      <w:r w:rsidRPr="00DD1C54">
        <w:rPr>
          <w:iCs/>
        </w:rPr>
        <w:t xml:space="preserve">The emissions occurring under each activity are reported in table </w:t>
      </w:r>
      <w:r w:rsidRPr="00DD1C54">
        <w:t>A2</w:t>
      </w:r>
      <w:r w:rsidRPr="00DD1C54">
        <w:rPr>
          <w:iCs/>
        </w:rPr>
        <w:t>.16.</w:t>
      </w:r>
    </w:p>
    <w:p w14:paraId="7DCC9D1E" w14:textId="77777777" w:rsidR="006929CB" w:rsidRPr="00DD1C54" w:rsidRDefault="006929CB" w:rsidP="006929CB">
      <w:pPr>
        <w:pStyle w:val="Tableheading"/>
      </w:pPr>
      <w:bookmarkStart w:id="1179" w:name="_Toc182311708"/>
      <w:bookmarkStart w:id="1180" w:name="_Toc185407543"/>
      <w:bookmarkStart w:id="1181" w:name="_Toc185427806"/>
      <w:r w:rsidRPr="00DD1C54">
        <w:t>Table A2.16:</w:t>
      </w:r>
      <w:r w:rsidRPr="00DD1C54">
        <w:tab/>
        <w:t>Non-carbon dioxide emissions from biomass burning in 2021 and 2022</w:t>
      </w:r>
      <w:bookmarkEnd w:id="1179"/>
      <w:bookmarkEnd w:id="1180"/>
      <w:bookmarkEnd w:id="1181"/>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Look w:val="0420" w:firstRow="1" w:lastRow="0" w:firstColumn="0" w:lastColumn="0" w:noHBand="0" w:noVBand="1"/>
      </w:tblPr>
      <w:tblGrid>
        <w:gridCol w:w="2831"/>
        <w:gridCol w:w="3004"/>
        <w:gridCol w:w="2670"/>
      </w:tblGrid>
      <w:tr w:rsidR="006929CB" w:rsidRPr="00795E1F" w14:paraId="06899E14" w14:textId="77777777" w:rsidTr="00795E1F">
        <w:tc>
          <w:tcPr>
            <w:tcW w:w="2831" w:type="dxa"/>
            <w:vMerge w:val="restart"/>
            <w:shd w:val="clear" w:color="auto" w:fill="1B556B" w:themeFill="text2"/>
            <w:vAlign w:val="bottom"/>
          </w:tcPr>
          <w:p w14:paraId="2DB4706D" w14:textId="77777777" w:rsidR="006929CB" w:rsidRPr="00795E1F" w:rsidRDefault="006929CB">
            <w:pPr>
              <w:pStyle w:val="TableTextbold"/>
              <w:spacing w:before="40" w:after="40"/>
              <w:rPr>
                <w:color w:val="FFFFFF" w:themeColor="background1"/>
                <w:szCs w:val="18"/>
              </w:rPr>
            </w:pPr>
            <w:r w:rsidRPr="00795E1F">
              <w:rPr>
                <w:rFonts w:eastAsia="Calibri"/>
                <w:color w:val="FFFFFF" w:themeColor="background1"/>
                <w:szCs w:val="18"/>
              </w:rPr>
              <w:t>Activity</w:t>
            </w:r>
          </w:p>
        </w:tc>
        <w:tc>
          <w:tcPr>
            <w:tcW w:w="3004" w:type="dxa"/>
            <w:shd w:val="clear" w:color="auto" w:fill="1B556B" w:themeFill="text2"/>
          </w:tcPr>
          <w:p w14:paraId="7E49C80E" w14:textId="77777777" w:rsidR="006929CB" w:rsidRPr="00795E1F" w:rsidRDefault="006929CB">
            <w:pPr>
              <w:pStyle w:val="TableTextbold"/>
              <w:spacing w:after="0"/>
              <w:jc w:val="right"/>
              <w:rPr>
                <w:color w:val="FFFFFF" w:themeColor="background1"/>
                <w:szCs w:val="18"/>
              </w:rPr>
            </w:pPr>
            <w:r w:rsidRPr="00795E1F">
              <w:rPr>
                <w:rFonts w:eastAsia="Calibri"/>
                <w:color w:val="FFFFFF" w:themeColor="background1"/>
                <w:szCs w:val="18"/>
              </w:rPr>
              <w:t>2021</w:t>
            </w:r>
          </w:p>
        </w:tc>
        <w:tc>
          <w:tcPr>
            <w:tcW w:w="2670" w:type="dxa"/>
            <w:shd w:val="clear" w:color="auto" w:fill="1B556B" w:themeFill="text2"/>
          </w:tcPr>
          <w:p w14:paraId="6F8CC5B5" w14:textId="77777777" w:rsidR="006929CB" w:rsidRPr="00795E1F" w:rsidRDefault="006929CB">
            <w:pPr>
              <w:pStyle w:val="TableTextbold"/>
              <w:spacing w:after="0"/>
              <w:jc w:val="right"/>
              <w:rPr>
                <w:rFonts w:eastAsia="Calibri"/>
                <w:color w:val="FFFFFF" w:themeColor="background1"/>
                <w:szCs w:val="18"/>
              </w:rPr>
            </w:pPr>
            <w:r w:rsidRPr="00795E1F">
              <w:rPr>
                <w:rFonts w:eastAsia="Calibri"/>
                <w:color w:val="FFFFFF" w:themeColor="background1"/>
                <w:szCs w:val="18"/>
              </w:rPr>
              <w:t>2022</w:t>
            </w:r>
          </w:p>
        </w:tc>
      </w:tr>
      <w:tr w:rsidR="006929CB" w:rsidRPr="00795E1F" w14:paraId="6B08A8EE" w14:textId="77777777" w:rsidTr="00795E1F">
        <w:tc>
          <w:tcPr>
            <w:tcW w:w="2831" w:type="dxa"/>
            <w:vMerge/>
            <w:shd w:val="clear" w:color="auto" w:fill="1B556B" w:themeFill="text2"/>
          </w:tcPr>
          <w:p w14:paraId="68821957" w14:textId="77777777" w:rsidR="006929CB" w:rsidRPr="00795E1F" w:rsidRDefault="006929CB">
            <w:pPr>
              <w:pStyle w:val="TableTextbold"/>
              <w:spacing w:before="40" w:after="40"/>
              <w:rPr>
                <w:rFonts w:eastAsia="Calibri"/>
                <w:color w:val="FFFFFF" w:themeColor="background1"/>
                <w:szCs w:val="18"/>
              </w:rPr>
            </w:pPr>
          </w:p>
        </w:tc>
        <w:tc>
          <w:tcPr>
            <w:tcW w:w="3004" w:type="dxa"/>
            <w:shd w:val="clear" w:color="auto" w:fill="1B556B" w:themeFill="text2"/>
          </w:tcPr>
          <w:p w14:paraId="621301A9" w14:textId="77777777" w:rsidR="006929CB" w:rsidRPr="00795E1F" w:rsidRDefault="006929CB">
            <w:pPr>
              <w:pStyle w:val="TableTextbold"/>
              <w:spacing w:before="40" w:after="40"/>
              <w:jc w:val="right"/>
              <w:rPr>
                <w:rFonts w:eastAsia="Calibri"/>
                <w:color w:val="FFFFFF" w:themeColor="background1"/>
                <w:szCs w:val="18"/>
              </w:rPr>
            </w:pPr>
            <w:r w:rsidRPr="00795E1F">
              <w:rPr>
                <w:rFonts w:eastAsia="Calibri"/>
                <w:color w:val="FFFFFF" w:themeColor="background1"/>
                <w:szCs w:val="18"/>
              </w:rPr>
              <w:t>Emissions (kt CO</w:t>
            </w:r>
            <w:r w:rsidRPr="00795E1F">
              <w:rPr>
                <w:rFonts w:eastAsia="Calibri"/>
                <w:color w:val="FFFFFF" w:themeColor="background1"/>
                <w:szCs w:val="18"/>
                <w:vertAlign w:val="subscript"/>
              </w:rPr>
              <w:t>2</w:t>
            </w:r>
            <w:r w:rsidRPr="00795E1F">
              <w:rPr>
                <w:rFonts w:eastAsia="Calibri"/>
                <w:color w:val="FFFFFF" w:themeColor="background1"/>
                <w:szCs w:val="18"/>
              </w:rPr>
              <w:t>e)</w:t>
            </w:r>
          </w:p>
        </w:tc>
        <w:tc>
          <w:tcPr>
            <w:tcW w:w="2670" w:type="dxa"/>
            <w:shd w:val="clear" w:color="auto" w:fill="1B556B" w:themeFill="text2"/>
          </w:tcPr>
          <w:p w14:paraId="0E338F2F" w14:textId="77777777" w:rsidR="006929CB" w:rsidRPr="00795E1F" w:rsidRDefault="006929CB">
            <w:pPr>
              <w:pStyle w:val="TableTextbold"/>
              <w:spacing w:before="40" w:after="40"/>
              <w:jc w:val="right"/>
              <w:rPr>
                <w:rFonts w:eastAsia="Calibri"/>
                <w:color w:val="FFFFFF" w:themeColor="background1"/>
                <w:szCs w:val="18"/>
              </w:rPr>
            </w:pPr>
            <w:r w:rsidRPr="00795E1F">
              <w:rPr>
                <w:rFonts w:eastAsia="Calibri"/>
                <w:color w:val="FFFFFF" w:themeColor="background1"/>
                <w:szCs w:val="18"/>
              </w:rPr>
              <w:t>Emissions (kt CO</w:t>
            </w:r>
            <w:r w:rsidRPr="00795E1F">
              <w:rPr>
                <w:rFonts w:eastAsia="Calibri"/>
                <w:color w:val="FFFFFF" w:themeColor="background1"/>
                <w:szCs w:val="18"/>
                <w:vertAlign w:val="subscript"/>
              </w:rPr>
              <w:t>2</w:t>
            </w:r>
            <w:r w:rsidRPr="00795E1F">
              <w:rPr>
                <w:rFonts w:eastAsia="Calibri"/>
                <w:color w:val="FFFFFF" w:themeColor="background1"/>
                <w:szCs w:val="18"/>
              </w:rPr>
              <w:t>e)</w:t>
            </w:r>
          </w:p>
        </w:tc>
      </w:tr>
      <w:tr w:rsidR="006929CB" w:rsidRPr="00795E1F" w14:paraId="2602A86B" w14:textId="77777777" w:rsidTr="00795E1F">
        <w:tc>
          <w:tcPr>
            <w:tcW w:w="2831" w:type="dxa"/>
          </w:tcPr>
          <w:p w14:paraId="4645AEC4" w14:textId="77777777" w:rsidR="006929CB" w:rsidRPr="00795E1F" w:rsidRDefault="006929CB">
            <w:pPr>
              <w:pStyle w:val="TableText"/>
              <w:spacing w:before="40" w:after="40"/>
              <w:rPr>
                <w:szCs w:val="18"/>
              </w:rPr>
            </w:pPr>
            <w:r w:rsidRPr="00795E1F">
              <w:rPr>
                <w:rFonts w:eastAsia="Calibri"/>
                <w:szCs w:val="18"/>
              </w:rPr>
              <w:t>Afforestation and reforestation</w:t>
            </w:r>
          </w:p>
        </w:tc>
        <w:tc>
          <w:tcPr>
            <w:tcW w:w="3004" w:type="dxa"/>
          </w:tcPr>
          <w:p w14:paraId="7A4E7C3A" w14:textId="77777777" w:rsidR="006929CB" w:rsidRPr="00795E1F" w:rsidRDefault="006929CB">
            <w:pPr>
              <w:pStyle w:val="TableText"/>
              <w:spacing w:before="40" w:after="40"/>
              <w:jc w:val="right"/>
              <w:rPr>
                <w:szCs w:val="18"/>
              </w:rPr>
            </w:pPr>
            <w:r w:rsidRPr="00795E1F">
              <w:rPr>
                <w:rFonts w:eastAsia="Calibri"/>
                <w:szCs w:val="18"/>
              </w:rPr>
              <w:t>8.0</w:t>
            </w:r>
          </w:p>
        </w:tc>
        <w:tc>
          <w:tcPr>
            <w:tcW w:w="2670" w:type="dxa"/>
          </w:tcPr>
          <w:p w14:paraId="3000B3E8" w14:textId="77777777" w:rsidR="006929CB" w:rsidRPr="00795E1F" w:rsidRDefault="006929CB">
            <w:pPr>
              <w:pStyle w:val="TableText"/>
              <w:spacing w:before="40" w:after="40"/>
              <w:jc w:val="right"/>
              <w:rPr>
                <w:rFonts w:eastAsia="Calibri"/>
                <w:szCs w:val="18"/>
              </w:rPr>
            </w:pPr>
            <w:r w:rsidRPr="00795E1F">
              <w:rPr>
                <w:rFonts w:eastAsia="Calibri"/>
                <w:szCs w:val="18"/>
              </w:rPr>
              <w:t>18.4</w:t>
            </w:r>
          </w:p>
        </w:tc>
      </w:tr>
      <w:tr w:rsidR="006929CB" w:rsidRPr="00795E1F" w14:paraId="77F19A3D" w14:textId="77777777" w:rsidTr="00795E1F">
        <w:tc>
          <w:tcPr>
            <w:tcW w:w="2831" w:type="dxa"/>
          </w:tcPr>
          <w:p w14:paraId="4F03E23E" w14:textId="77777777" w:rsidR="006929CB" w:rsidRPr="00795E1F" w:rsidRDefault="006929CB">
            <w:pPr>
              <w:pStyle w:val="TableText"/>
              <w:spacing w:before="40" w:after="40"/>
              <w:rPr>
                <w:szCs w:val="18"/>
              </w:rPr>
            </w:pPr>
            <w:r w:rsidRPr="00795E1F">
              <w:rPr>
                <w:rFonts w:eastAsia="Calibri"/>
                <w:szCs w:val="18"/>
              </w:rPr>
              <w:t>Deforestation</w:t>
            </w:r>
          </w:p>
        </w:tc>
        <w:tc>
          <w:tcPr>
            <w:tcW w:w="3004" w:type="dxa"/>
          </w:tcPr>
          <w:p w14:paraId="630B4867" w14:textId="77777777" w:rsidR="006929CB" w:rsidRPr="00795E1F" w:rsidRDefault="006929CB">
            <w:pPr>
              <w:pStyle w:val="TableText"/>
              <w:spacing w:before="40" w:after="40"/>
              <w:jc w:val="right"/>
              <w:rPr>
                <w:szCs w:val="18"/>
              </w:rPr>
            </w:pPr>
            <w:r w:rsidRPr="00795E1F">
              <w:rPr>
                <w:rFonts w:eastAsia="Calibri"/>
                <w:szCs w:val="18"/>
              </w:rPr>
              <w:t>10.5</w:t>
            </w:r>
          </w:p>
        </w:tc>
        <w:tc>
          <w:tcPr>
            <w:tcW w:w="2670" w:type="dxa"/>
          </w:tcPr>
          <w:p w14:paraId="42E57621" w14:textId="77777777" w:rsidR="006929CB" w:rsidRPr="00795E1F" w:rsidRDefault="006929CB">
            <w:pPr>
              <w:pStyle w:val="TableText"/>
              <w:spacing w:before="40" w:after="40"/>
              <w:jc w:val="right"/>
              <w:rPr>
                <w:rFonts w:eastAsia="Calibri"/>
                <w:szCs w:val="18"/>
              </w:rPr>
            </w:pPr>
            <w:r w:rsidRPr="00795E1F">
              <w:rPr>
                <w:rFonts w:eastAsia="Calibri"/>
                <w:szCs w:val="18"/>
              </w:rPr>
              <w:t>15.8</w:t>
            </w:r>
          </w:p>
        </w:tc>
      </w:tr>
      <w:tr w:rsidR="006929CB" w:rsidRPr="00795E1F" w14:paraId="465217CE" w14:textId="77777777" w:rsidTr="00795E1F">
        <w:tc>
          <w:tcPr>
            <w:tcW w:w="2831" w:type="dxa"/>
          </w:tcPr>
          <w:p w14:paraId="0AB71697" w14:textId="77777777" w:rsidR="006929CB" w:rsidRPr="00795E1F" w:rsidRDefault="006929CB">
            <w:pPr>
              <w:pStyle w:val="TableText"/>
              <w:spacing w:before="40" w:after="40"/>
              <w:rPr>
                <w:szCs w:val="18"/>
              </w:rPr>
            </w:pPr>
            <w:r w:rsidRPr="00795E1F">
              <w:rPr>
                <w:rFonts w:eastAsia="Calibri"/>
                <w:szCs w:val="18"/>
              </w:rPr>
              <w:t>Forest management</w:t>
            </w:r>
          </w:p>
        </w:tc>
        <w:tc>
          <w:tcPr>
            <w:tcW w:w="3004" w:type="dxa"/>
          </w:tcPr>
          <w:p w14:paraId="2CEA5F38" w14:textId="77777777" w:rsidR="006929CB" w:rsidRPr="00795E1F" w:rsidRDefault="006929CB">
            <w:pPr>
              <w:pStyle w:val="TableText"/>
              <w:spacing w:before="40" w:after="40"/>
              <w:jc w:val="right"/>
              <w:rPr>
                <w:szCs w:val="18"/>
              </w:rPr>
            </w:pPr>
            <w:r w:rsidRPr="00795E1F">
              <w:rPr>
                <w:rFonts w:eastAsia="Calibri"/>
                <w:szCs w:val="18"/>
              </w:rPr>
              <w:t>13.2</w:t>
            </w:r>
          </w:p>
        </w:tc>
        <w:tc>
          <w:tcPr>
            <w:tcW w:w="2670" w:type="dxa"/>
          </w:tcPr>
          <w:p w14:paraId="3653C24F" w14:textId="77777777" w:rsidR="006929CB" w:rsidRPr="00795E1F" w:rsidRDefault="006929CB">
            <w:pPr>
              <w:pStyle w:val="TableText"/>
              <w:spacing w:before="40" w:after="40"/>
              <w:jc w:val="right"/>
              <w:rPr>
                <w:rFonts w:eastAsia="Calibri"/>
                <w:szCs w:val="18"/>
              </w:rPr>
            </w:pPr>
            <w:r w:rsidRPr="00795E1F">
              <w:rPr>
                <w:rFonts w:eastAsia="Calibri"/>
                <w:szCs w:val="18"/>
              </w:rPr>
              <w:t>12.7</w:t>
            </w:r>
          </w:p>
        </w:tc>
      </w:tr>
      <w:tr w:rsidR="006929CB" w:rsidRPr="00795E1F" w14:paraId="25B43D44" w14:textId="77777777" w:rsidTr="00795E1F">
        <w:tc>
          <w:tcPr>
            <w:tcW w:w="2831" w:type="dxa"/>
          </w:tcPr>
          <w:p w14:paraId="56682223" w14:textId="77777777" w:rsidR="006929CB" w:rsidRPr="00795E1F" w:rsidRDefault="006929CB" w:rsidP="00D41906">
            <w:pPr>
              <w:pStyle w:val="Tableboldblue"/>
              <w:rPr>
                <w:szCs w:val="18"/>
              </w:rPr>
            </w:pPr>
            <w:r w:rsidRPr="00795E1F">
              <w:rPr>
                <w:szCs w:val="18"/>
              </w:rPr>
              <w:t>Total</w:t>
            </w:r>
          </w:p>
        </w:tc>
        <w:tc>
          <w:tcPr>
            <w:tcW w:w="3004" w:type="dxa"/>
          </w:tcPr>
          <w:p w14:paraId="73F26C8F" w14:textId="77777777" w:rsidR="006929CB" w:rsidRPr="00795E1F" w:rsidRDefault="006929CB" w:rsidP="00C26094">
            <w:pPr>
              <w:pStyle w:val="Tableboldblue"/>
              <w:jc w:val="right"/>
              <w:rPr>
                <w:szCs w:val="18"/>
              </w:rPr>
            </w:pPr>
            <w:r w:rsidRPr="00795E1F">
              <w:rPr>
                <w:szCs w:val="18"/>
              </w:rPr>
              <w:t>31.8</w:t>
            </w:r>
          </w:p>
        </w:tc>
        <w:tc>
          <w:tcPr>
            <w:tcW w:w="2670" w:type="dxa"/>
          </w:tcPr>
          <w:p w14:paraId="363B8D9B" w14:textId="77777777" w:rsidR="006929CB" w:rsidRPr="00795E1F" w:rsidRDefault="006929CB" w:rsidP="00C26094">
            <w:pPr>
              <w:pStyle w:val="Tableboldblue"/>
              <w:jc w:val="right"/>
              <w:rPr>
                <w:szCs w:val="18"/>
              </w:rPr>
            </w:pPr>
            <w:r w:rsidRPr="00795E1F">
              <w:rPr>
                <w:szCs w:val="18"/>
              </w:rPr>
              <w:t>46.9</w:t>
            </w:r>
          </w:p>
        </w:tc>
      </w:tr>
    </w:tbl>
    <w:p w14:paraId="0E9F17E6" w14:textId="77777777" w:rsidR="006929CB" w:rsidRPr="00DD1C54" w:rsidRDefault="006929CB" w:rsidP="006929CB">
      <w:pPr>
        <w:pStyle w:val="Noteundertable"/>
      </w:pPr>
      <w:r w:rsidRPr="00DD1C54">
        <w:rPr>
          <w:b/>
        </w:rPr>
        <w:t>Note</w:t>
      </w:r>
      <w:r w:rsidRPr="00DD1C54">
        <w:t xml:space="preserve">: </w:t>
      </w:r>
      <w:r w:rsidRPr="00DD1C54">
        <w:tab/>
        <w:t xml:space="preserve">Columns may not total due to rounding. </w:t>
      </w:r>
    </w:p>
    <w:p w14:paraId="08647CE5" w14:textId="77777777" w:rsidR="006929CB" w:rsidRPr="00DD1C54" w:rsidRDefault="006929CB" w:rsidP="00B71790">
      <w:pPr>
        <w:pStyle w:val="Heading5"/>
      </w:pPr>
      <w:r w:rsidRPr="00B71790">
        <w:t>Afforestation</w:t>
      </w:r>
      <w:r w:rsidRPr="00DD1C54">
        <w:t xml:space="preserve"> and reforestation</w:t>
      </w:r>
    </w:p>
    <w:p w14:paraId="1218025C" w14:textId="77777777" w:rsidR="006929CB" w:rsidRPr="00DD1C54" w:rsidRDefault="006929CB" w:rsidP="006929CB">
      <w:pPr>
        <w:pStyle w:val="BodyText"/>
      </w:pPr>
      <w:r w:rsidRPr="00DD1C54">
        <w:rPr>
          <w:spacing w:val="-2"/>
        </w:rPr>
        <w:t>An age-based carbon yield table is used to estimate non-CO</w:t>
      </w:r>
      <w:r w:rsidRPr="00DD1C54">
        <w:rPr>
          <w:spacing w:val="-2"/>
          <w:vertAlign w:val="subscript"/>
        </w:rPr>
        <w:t>2</w:t>
      </w:r>
      <w:r w:rsidRPr="00DD1C54">
        <w:rPr>
          <w:spacing w:val="-2"/>
        </w:rPr>
        <w:t xml:space="preserve"> emissions </w:t>
      </w:r>
      <w:r w:rsidRPr="00DD1C54">
        <w:t xml:space="preserve">from </w:t>
      </w:r>
      <w:r w:rsidRPr="00DD1C54">
        <w:rPr>
          <w:i/>
          <w:spacing w:val="-2"/>
        </w:rPr>
        <w:t>Afforestation and reforestation</w:t>
      </w:r>
      <w:r w:rsidRPr="00DD1C54">
        <w:rPr>
          <w:spacing w:val="-2"/>
        </w:rPr>
        <w:t xml:space="preserve"> </w:t>
      </w:r>
      <w:r w:rsidRPr="00DD1C54">
        <w:t>activities</w:t>
      </w:r>
      <w:r w:rsidRPr="00DD1C54">
        <w:rPr>
          <w:spacing w:val="-2"/>
        </w:rPr>
        <w:t xml:space="preserve">. This approach assumes that the carbon stock affected by wildfire is equivalent to the carbon stock at the average stand age each year throughout the time series (Wakelin, unpublished(c)). Carbon dioxide emissions resulting from wildfire events </w:t>
      </w:r>
      <w:r w:rsidRPr="00DD1C54">
        <w:t xml:space="preserve">are </w:t>
      </w:r>
      <w:r w:rsidRPr="00DD1C54">
        <w:rPr>
          <w:spacing w:val="-2"/>
        </w:rPr>
        <w:t>assumed to be captured in the harvest emissions of salvage logged stands.</w:t>
      </w:r>
    </w:p>
    <w:p w14:paraId="3E1F3A7F" w14:textId="77777777" w:rsidR="006929CB" w:rsidRPr="00DD1C54" w:rsidRDefault="006929CB" w:rsidP="006929CB">
      <w:pPr>
        <w:pStyle w:val="BodyText"/>
      </w:pPr>
      <w:r w:rsidRPr="00DD1C54">
        <w:t xml:space="preserve">A survey of controlled burning activities in planted forests was carried out in 2011. The survey indicated that, on average, 5 per cent of conversions to planted forest between 1990 and 2011 involved burning to clear vegetation. This area is allocated to </w:t>
      </w:r>
      <w:r w:rsidRPr="00DD1C54">
        <w:rPr>
          <w:i/>
          <w:iCs/>
        </w:rPr>
        <w:t>Forest management</w:t>
      </w:r>
      <w:r w:rsidRPr="00DD1C54">
        <w:t xml:space="preserve"> (land converted from </w:t>
      </w:r>
      <w:r w:rsidRPr="00DD1C54">
        <w:rPr>
          <w:i/>
          <w:iCs/>
        </w:rPr>
        <w:t>Pre-1990 natural forest</w:t>
      </w:r>
      <w:r w:rsidRPr="00DD1C54">
        <w:t xml:space="preserve">) and </w:t>
      </w:r>
      <w:r w:rsidRPr="00DD1C54">
        <w:rPr>
          <w:i/>
          <w:iCs/>
        </w:rPr>
        <w:t>Afforestation</w:t>
      </w:r>
      <w:r w:rsidRPr="00DD1C54">
        <w:t xml:space="preserve"> (land converted from </w:t>
      </w:r>
      <w:r w:rsidRPr="00DD1C54">
        <w:rPr>
          <w:i/>
          <w:iCs/>
        </w:rPr>
        <w:t>Grassland with woody biomass</w:t>
      </w:r>
      <w:r w:rsidRPr="00DD1C54">
        <w:t>) on a pro rata basis (Wakelin, unpublished(d)).</w:t>
      </w:r>
    </w:p>
    <w:p w14:paraId="4F13E105" w14:textId="77777777" w:rsidR="006929CB" w:rsidRPr="00DD1C54" w:rsidRDefault="006929CB" w:rsidP="006929CB">
      <w:pPr>
        <w:pStyle w:val="BodyText"/>
        <w:rPr>
          <w:iCs/>
        </w:rPr>
      </w:pPr>
      <w:r w:rsidRPr="00DD1C54">
        <w:t>All non-CO</w:t>
      </w:r>
      <w:r w:rsidRPr="00DD1C54">
        <w:rPr>
          <w:vertAlign w:val="subscript"/>
        </w:rPr>
        <w:t>2</w:t>
      </w:r>
      <w:r w:rsidRPr="00DD1C54">
        <w:t xml:space="preserve"> emissions associated with biomass burning from </w:t>
      </w:r>
      <w:r w:rsidRPr="00DD1C54">
        <w:rPr>
          <w:i/>
          <w:spacing w:val="-2"/>
        </w:rPr>
        <w:t xml:space="preserve">Afforestation and reforestation </w:t>
      </w:r>
      <w:r w:rsidRPr="00DD1C54">
        <w:rPr>
          <w:iCs/>
          <w:spacing w:val="-2"/>
        </w:rPr>
        <w:t>activities are fully</w:t>
      </w:r>
      <w:r w:rsidRPr="00DD1C54">
        <w:rPr>
          <w:spacing w:val="-2"/>
        </w:rPr>
        <w:t xml:space="preserve"> accounted for</w:t>
      </w:r>
      <w:r w:rsidRPr="00DD1C54">
        <w:rPr>
          <w:iCs/>
          <w:spacing w:val="-2"/>
        </w:rPr>
        <w:t>. These emissions are not</w:t>
      </w:r>
      <w:r w:rsidRPr="00DD1C54" w:rsidDel="00D6287F">
        <w:rPr>
          <w:iCs/>
          <w:spacing w:val="-2"/>
        </w:rPr>
        <w:t xml:space="preserve"> </w:t>
      </w:r>
      <w:r w:rsidRPr="00DD1C54">
        <w:rPr>
          <w:iCs/>
          <w:spacing w:val="-2"/>
        </w:rPr>
        <w:t xml:space="preserve">included in the calculation of the LTA age (Dovey and Wakelin, unpublished). </w:t>
      </w:r>
    </w:p>
    <w:p w14:paraId="48AC5036" w14:textId="77777777" w:rsidR="006929CB" w:rsidRPr="00DD1C54" w:rsidRDefault="006929CB" w:rsidP="00B71790">
      <w:pPr>
        <w:pStyle w:val="Heading5"/>
      </w:pPr>
      <w:bookmarkStart w:id="1182" w:name="_Toc261513291"/>
      <w:bookmarkStart w:id="1183" w:name="_Toc261513904"/>
      <w:bookmarkStart w:id="1184" w:name="_Toc280630394"/>
      <w:r w:rsidRPr="00DD1C54">
        <w:t>Deforestation</w:t>
      </w:r>
    </w:p>
    <w:p w14:paraId="158E07D4" w14:textId="77777777" w:rsidR="006929CB" w:rsidRPr="00DD1C54" w:rsidRDefault="006929CB" w:rsidP="006929CB">
      <w:pPr>
        <w:pStyle w:val="BodyText"/>
        <w:rPr>
          <w:spacing w:val="-2"/>
        </w:rPr>
      </w:pPr>
      <w:r w:rsidRPr="00DD1C54">
        <w:t xml:space="preserve">An estimate is provided for controlled burning of post-harvest residues associated with </w:t>
      </w:r>
      <w:r w:rsidRPr="00DD1C54">
        <w:rPr>
          <w:i/>
        </w:rPr>
        <w:t xml:space="preserve">Deforestation </w:t>
      </w:r>
      <w:r w:rsidRPr="00DD1C54">
        <w:rPr>
          <w:iCs/>
        </w:rPr>
        <w:t>activities</w:t>
      </w:r>
      <w:r w:rsidRPr="00DD1C54">
        <w:rPr>
          <w:spacing w:val="-2"/>
        </w:rPr>
        <w:t>.</w:t>
      </w:r>
      <w:r w:rsidRPr="00DD1C54" w:rsidDel="001D260A">
        <w:rPr>
          <w:spacing w:val="-2"/>
        </w:rPr>
        <w:t xml:space="preserve"> </w:t>
      </w:r>
      <w:r w:rsidRPr="00DD1C54">
        <w:rPr>
          <w:spacing w:val="-2"/>
        </w:rPr>
        <w:t xml:space="preserve">It is assumed that 30 per cent of the area subject to deforestation involves burning as part of land use conversion. This percentage is chosen as a conservative proportion of one of the four main methods for disposing of post-harvest residues in New Zealand. The other methods for post-harvest residue disposal are chipping and removal, mulching into the soil and leaving to decay (Goulding, unpublished). </w:t>
      </w:r>
    </w:p>
    <w:p w14:paraId="04CF0C30" w14:textId="77777777" w:rsidR="006929CB" w:rsidRPr="00DD1C54" w:rsidRDefault="006929CB" w:rsidP="006929CB">
      <w:pPr>
        <w:pStyle w:val="BodyText"/>
        <w:rPr>
          <w:spacing w:val="-2"/>
        </w:rPr>
      </w:pPr>
      <w:r w:rsidRPr="00DD1C54">
        <w:rPr>
          <w:spacing w:val="-2"/>
        </w:rPr>
        <w:t>To estimate emissions from the burning of post-harvest residue, the IPCC default combustion proportion for non-eucalypt temperate forest (0.62) (table 2.6, IPCC, 2006a) is applied to an emission factor derived from the national plot network. The emission factor excludes the proportion of logs taken offsite (70 per cent of above-ground biomass) and is taken from the relevant yield tables at the average age of harvest in New Zealand.</w:t>
      </w:r>
    </w:p>
    <w:p w14:paraId="16133B72" w14:textId="77777777" w:rsidR="006929CB" w:rsidRPr="00DD1C54" w:rsidRDefault="006929CB" w:rsidP="006929CB">
      <w:pPr>
        <w:pStyle w:val="BodyText"/>
      </w:pPr>
      <w:r w:rsidRPr="00DD1C54">
        <w:t>Estimates are provided for non-CO</w:t>
      </w:r>
      <w:r w:rsidRPr="00DD1C54">
        <w:rPr>
          <w:vertAlign w:val="subscript"/>
        </w:rPr>
        <w:t>2</w:t>
      </w:r>
      <w:r w:rsidRPr="00DD1C54">
        <w:t xml:space="preserve"> emissions from wildfire occurring on deforested land (</w:t>
      </w:r>
      <w:r w:rsidRPr="00DD1C54">
        <w:rPr>
          <w:i/>
        </w:rPr>
        <w:t>Forest land converted to grassland</w:t>
      </w:r>
      <w:r w:rsidRPr="00DD1C54">
        <w:t>) in Inventory 2024. The activity data do not identify deforested land; therefore, non-CO</w:t>
      </w:r>
      <w:r w:rsidRPr="00DD1C54">
        <w:rPr>
          <w:vertAlign w:val="subscript"/>
        </w:rPr>
        <w:t>2</w:t>
      </w:r>
      <w:r w:rsidRPr="00DD1C54">
        <w:t xml:space="preserve"> emissions resulting from wildfire are attributed to deforested land by the proportion of area that deforested land makes up of the total </w:t>
      </w:r>
      <w:r w:rsidRPr="00DD1C54">
        <w:rPr>
          <w:i/>
        </w:rPr>
        <w:t>Grassland</w:t>
      </w:r>
      <w:r w:rsidRPr="00DD1C54">
        <w:t xml:space="preserve"> area. The methodology follows that described in annex 5, section A5.2.7 of Inventory 2024 (Ministry for the Environment, 2024).</w:t>
      </w:r>
    </w:p>
    <w:p w14:paraId="7ADC4C1E" w14:textId="77777777" w:rsidR="006929CB" w:rsidRPr="00DD1C54" w:rsidRDefault="006929CB" w:rsidP="00B71790">
      <w:pPr>
        <w:pStyle w:val="Heading5"/>
      </w:pPr>
      <w:r w:rsidRPr="00DD1C54">
        <w:t>Forest management</w:t>
      </w:r>
    </w:p>
    <w:p w14:paraId="70611494" w14:textId="77777777" w:rsidR="006929CB" w:rsidRPr="00DD1C54" w:rsidRDefault="006929CB" w:rsidP="006929CB">
      <w:pPr>
        <w:pStyle w:val="BodyText"/>
        <w:keepLines/>
        <w:spacing w:before="100" w:after="100"/>
      </w:pPr>
      <w:r w:rsidRPr="00DD1C54">
        <w:t>Estimates are provided for non-CO</w:t>
      </w:r>
      <w:r w:rsidRPr="00DD1C54">
        <w:rPr>
          <w:vertAlign w:val="subscript"/>
        </w:rPr>
        <w:t>2</w:t>
      </w:r>
      <w:r w:rsidRPr="00DD1C54">
        <w:t xml:space="preserve"> emissions from wildfires occurring on land subject to </w:t>
      </w:r>
      <w:r w:rsidRPr="00DD1C54">
        <w:rPr>
          <w:i/>
        </w:rPr>
        <w:t>Forest management</w:t>
      </w:r>
      <w:r w:rsidRPr="00DD1C54">
        <w:rPr>
          <w:iCs/>
        </w:rPr>
        <w:t xml:space="preserve"> activities</w:t>
      </w:r>
      <w:r w:rsidRPr="00DD1C54">
        <w:t xml:space="preserve">. A plot-network-derived biomass density is used. Aggregated wildfire activity data have been attributed to each forest management category by proportion of forest type estimated to be burned over the time series. </w:t>
      </w:r>
    </w:p>
    <w:p w14:paraId="575F715E" w14:textId="77777777" w:rsidR="006929CB" w:rsidRPr="00DD1C54" w:rsidRDefault="006929CB" w:rsidP="006929CB">
      <w:pPr>
        <w:pStyle w:val="BodyText"/>
        <w:spacing w:before="100" w:after="100"/>
      </w:pPr>
      <w:r w:rsidRPr="00DD1C54">
        <w:t>A survey of controlled burning in planted forest was carried out in 2011 (Wakelin, unpublished(d)). Estimates were provided for burning associated with the clearing of vegetation (ie, natural forest and shrubland before the establishment of exotic planted forest (see ‘Afforestation and reforestation’ above).</w:t>
      </w:r>
    </w:p>
    <w:p w14:paraId="038D09E1" w14:textId="77777777" w:rsidR="006929CB" w:rsidRPr="00DD1C54" w:rsidRDefault="006929CB" w:rsidP="006929CB">
      <w:pPr>
        <w:pStyle w:val="BodyText"/>
        <w:spacing w:before="100" w:after="100"/>
      </w:pPr>
      <w:r w:rsidRPr="00DD1C54">
        <w:t>The survey also provided data on the burning of post-harvest residues before restocking. This activity was found to occur mainly as a training exercise for wildfire control or for the clearing of slash heaps on skid sites. The data indicated that 0.8 per cent of the restocked area was burned annually in recent years (Wakelin, unpublished(d)). This estimate was combined with two earlier estimates of controlled burning in planted forest (Forest Industry Training and Education Council, 2005; Robertson, 1998) to provide activity data throughout the time series. It is assumed that 1.6 per cent of restocked area was burned from 1990 to 1997 (Wakelin, unpublished(d)). From 1997, the area burned declines linearly to 0.8 per cent, which is used from 2005 onwards (Wakelin, unpublished(d)).</w:t>
      </w:r>
    </w:p>
    <w:p w14:paraId="54C0B156" w14:textId="77777777" w:rsidR="006929CB" w:rsidRPr="00DD1C54" w:rsidRDefault="006929CB" w:rsidP="006929CB">
      <w:pPr>
        <w:pStyle w:val="BodyText"/>
        <w:spacing w:before="100" w:after="100"/>
      </w:pPr>
      <w:r w:rsidRPr="00DD1C54">
        <w:t xml:space="preserve">A more detailed description of </w:t>
      </w:r>
      <w:r w:rsidRPr="00DD1C54">
        <w:rPr>
          <w:i/>
        </w:rPr>
        <w:t>Biomass burning</w:t>
      </w:r>
      <w:r w:rsidRPr="00DD1C54">
        <w:t xml:space="preserve"> on </w:t>
      </w:r>
      <w:r w:rsidRPr="00DD1C54">
        <w:rPr>
          <w:i/>
        </w:rPr>
        <w:t>Forest land</w:t>
      </w:r>
      <w:r w:rsidRPr="00DD1C54">
        <w:t xml:space="preserve"> is provided in chapter 6, section 6.11.8 and annex 5, section A5.2.7 of Inventory 2024 (Ministry for the Environment, 2024). </w:t>
      </w:r>
    </w:p>
    <w:p w14:paraId="7F601DB5" w14:textId="77777777" w:rsidR="006929CB" w:rsidRPr="00DD1C54" w:rsidRDefault="006929CB" w:rsidP="006929CB">
      <w:pPr>
        <w:pStyle w:val="Heading3"/>
      </w:pPr>
      <w:bookmarkStart w:id="1185" w:name="sectionA237"/>
      <w:bookmarkStart w:id="1186" w:name="_Toc199332538"/>
      <w:r w:rsidRPr="00DD1C54">
        <w:t>A2.3.7</w:t>
      </w:r>
      <w:bookmarkEnd w:id="1185"/>
      <w:r w:rsidRPr="00DD1C54">
        <w:tab/>
        <w:t>Natural disturbance</w:t>
      </w:r>
      <w:bookmarkEnd w:id="1186"/>
    </w:p>
    <w:p w14:paraId="2560B76B" w14:textId="77777777" w:rsidR="006929CB" w:rsidRPr="00DD1C54" w:rsidRDefault="006929CB" w:rsidP="006929CB">
      <w:pPr>
        <w:pStyle w:val="BodyText"/>
        <w:spacing w:after="100"/>
      </w:pPr>
      <w:r w:rsidRPr="00DD1C54">
        <w:t xml:space="preserve">New Zealand applied the default method described in section 2.3.9.6 of the 2013 Kyoto Protocol Supplement (IPCC, 2014) for calculating its background level of natural disturbances for both </w:t>
      </w:r>
      <w:r w:rsidRPr="00DD1C54">
        <w:rPr>
          <w:i/>
        </w:rPr>
        <w:t>Afforestation and reforestation</w:t>
      </w:r>
      <w:r w:rsidRPr="00DD1C54">
        <w:t xml:space="preserve"> and </w:t>
      </w:r>
      <w:r w:rsidRPr="00DD1C54">
        <w:rPr>
          <w:i/>
        </w:rPr>
        <w:t xml:space="preserve">Forest management </w:t>
      </w:r>
      <w:r w:rsidRPr="00DD1C54">
        <w:rPr>
          <w:iCs/>
        </w:rPr>
        <w:t>activities</w:t>
      </w:r>
      <w:r w:rsidRPr="00DD1C54">
        <w:t xml:space="preserve">. </w:t>
      </w:r>
    </w:p>
    <w:p w14:paraId="0A6957B8" w14:textId="77777777" w:rsidR="006929CB" w:rsidRPr="00DD1C54" w:rsidRDefault="006929CB" w:rsidP="006929CB">
      <w:pPr>
        <w:pStyle w:val="BodyText"/>
      </w:pPr>
      <w:r w:rsidRPr="00DD1C54">
        <w:t>The types of natural disturbances New Zealand intends to exclude from the accounting are:</w:t>
      </w:r>
    </w:p>
    <w:p w14:paraId="0656EB24" w14:textId="77777777" w:rsidR="006929CB" w:rsidRPr="00DD1C54" w:rsidRDefault="006929CB" w:rsidP="006929CB">
      <w:pPr>
        <w:pStyle w:val="Bullet"/>
        <w:spacing w:line="240" w:lineRule="auto"/>
      </w:pPr>
      <w:r w:rsidRPr="00DD1C54">
        <w:t>wildfires</w:t>
      </w:r>
    </w:p>
    <w:p w14:paraId="4F876785" w14:textId="77777777" w:rsidR="006929CB" w:rsidRPr="00DD1C54" w:rsidRDefault="006929CB" w:rsidP="006929CB">
      <w:pPr>
        <w:pStyle w:val="Bullet"/>
        <w:spacing w:line="240" w:lineRule="auto"/>
      </w:pPr>
      <w:r w:rsidRPr="00DD1C54">
        <w:t>invertebrate and vertebrate pests and diseases</w:t>
      </w:r>
    </w:p>
    <w:p w14:paraId="189B2FF0" w14:textId="77777777" w:rsidR="006929CB" w:rsidRPr="00DD1C54" w:rsidRDefault="006929CB" w:rsidP="006929CB">
      <w:pPr>
        <w:pStyle w:val="Bullet"/>
        <w:spacing w:line="240" w:lineRule="auto"/>
      </w:pPr>
      <w:r w:rsidRPr="00DD1C54">
        <w:t>extreme weather events</w:t>
      </w:r>
    </w:p>
    <w:p w14:paraId="148ABCC4" w14:textId="77777777" w:rsidR="006929CB" w:rsidRPr="00DD1C54" w:rsidRDefault="006929CB" w:rsidP="006929CB">
      <w:pPr>
        <w:pStyle w:val="Bullet"/>
        <w:spacing w:line="240" w:lineRule="auto"/>
      </w:pPr>
      <w:r w:rsidRPr="00DD1C54">
        <w:t>geological disturbances.</w:t>
      </w:r>
    </w:p>
    <w:p w14:paraId="297875FC" w14:textId="77777777" w:rsidR="006929CB" w:rsidRPr="00DD1C54" w:rsidRDefault="006929CB" w:rsidP="006929CB">
      <w:pPr>
        <w:pStyle w:val="BodyText"/>
      </w:pPr>
      <w:r w:rsidRPr="00DD1C54">
        <w:t>In all cases except wildfire, New Zealand assumes a zero baseline over the calibration period (1990 to 2009). While other natural disturbance events occurred throughout the calibration period, assumptions were made for the purposes of calculating the background level.</w:t>
      </w:r>
    </w:p>
    <w:p w14:paraId="0D5302AA" w14:textId="77777777" w:rsidR="006929CB" w:rsidRPr="00DD1C54" w:rsidRDefault="006929CB" w:rsidP="006929CB">
      <w:pPr>
        <w:pStyle w:val="BodyText"/>
      </w:pPr>
      <w:r w:rsidRPr="00DD1C54">
        <w:t xml:space="preserve">It is assumed that salvage logging takes place in planted forests subject to </w:t>
      </w:r>
      <w:r w:rsidRPr="00DD1C54">
        <w:rPr>
          <w:i/>
          <w:iCs/>
        </w:rPr>
        <w:t>Afforestation and reforestation</w:t>
      </w:r>
      <w:r w:rsidRPr="00DD1C54">
        <w:t xml:space="preserve"> and </w:t>
      </w:r>
      <w:r w:rsidRPr="00DD1C54">
        <w:rPr>
          <w:i/>
          <w:iCs/>
        </w:rPr>
        <w:t>Forest management</w:t>
      </w:r>
      <w:r w:rsidRPr="00DD1C54">
        <w:t xml:space="preserve"> activities that are also subject to natural disturbances.</w:t>
      </w:r>
    </w:p>
    <w:p w14:paraId="4499FD7D" w14:textId="77777777" w:rsidR="006929CB" w:rsidRPr="00DD1C54" w:rsidRDefault="006929CB" w:rsidP="006929CB">
      <w:pPr>
        <w:pStyle w:val="BodyText"/>
      </w:pPr>
      <w:r w:rsidRPr="00DD1C54">
        <w:t>The LUCAS forest plot measurement programme captures emissions from natural disturbances occurring in pre-1990 natural forests implicitly, and the emissions from natural disturbance events, apart from wildfires, cannot be separated from other disturbance events. The background levels of small-scale natural disturbance events are included in the natural forest stock change estimates.</w:t>
      </w:r>
    </w:p>
    <w:p w14:paraId="629E740F" w14:textId="77777777" w:rsidR="006929CB" w:rsidRPr="00DD1C54" w:rsidRDefault="006929CB" w:rsidP="006929CB">
      <w:pPr>
        <w:pStyle w:val="BodyText"/>
      </w:pPr>
      <w:r w:rsidRPr="00DD1C54">
        <w:t xml:space="preserve">Only direct oxidation of biomass in wildfires is considered for the purposes of calculating a background level of natural disturbance for both </w:t>
      </w:r>
      <w:r w:rsidRPr="00DD1C54">
        <w:rPr>
          <w:i/>
        </w:rPr>
        <w:t>Afforestation and reforestation</w:t>
      </w:r>
      <w:r w:rsidRPr="00DD1C54">
        <w:t xml:space="preserve"> and </w:t>
      </w:r>
      <w:r w:rsidRPr="00DD1C54">
        <w:rPr>
          <w:i/>
        </w:rPr>
        <w:t>Forest management</w:t>
      </w:r>
      <w:r w:rsidRPr="00DD1C54">
        <w:t xml:space="preserve"> activities, regardless of forest type. The data used are as reported in Inventory 2024 for the period 1990 to 2009 (see chapter 6, section 6.11.8 of Inventory 2024).</w:t>
      </w:r>
    </w:p>
    <w:p w14:paraId="73D74082" w14:textId="77777777" w:rsidR="006929CB" w:rsidRPr="00DD1C54" w:rsidRDefault="006929CB" w:rsidP="006929CB">
      <w:pPr>
        <w:pStyle w:val="Heading4"/>
      </w:pPr>
      <w:bookmarkStart w:id="1187" w:name="_Toc456179187"/>
      <w:r w:rsidRPr="00DD1C54">
        <w:t>Afforestation and reforestation</w:t>
      </w:r>
      <w:bookmarkEnd w:id="1187"/>
    </w:p>
    <w:p w14:paraId="23D2ABFF" w14:textId="77777777" w:rsidR="006929CB" w:rsidRPr="00DD1C54" w:rsidRDefault="006929CB" w:rsidP="006929CB">
      <w:pPr>
        <w:pStyle w:val="BodyText"/>
      </w:pPr>
      <w:r w:rsidRPr="00DD1C54">
        <w:t xml:space="preserve">Due to the nature of the carbon stock change estimation methods for </w:t>
      </w:r>
      <w:r w:rsidRPr="00DD1C54">
        <w:rPr>
          <w:i/>
        </w:rPr>
        <w:t>Afforestation and reforestation</w:t>
      </w:r>
      <w:r w:rsidRPr="00DD1C54">
        <w:t xml:space="preserve"> activities, the background level of CO</w:t>
      </w:r>
      <w:r w:rsidRPr="00DD1C54">
        <w:rPr>
          <w:vertAlign w:val="subscript"/>
        </w:rPr>
        <w:t>2</w:t>
      </w:r>
      <w:r w:rsidRPr="00DD1C54">
        <w:t xml:space="preserve"> emissions from natural disturbance is already captured implicitly within the reported emissions estimates. </w:t>
      </w:r>
    </w:p>
    <w:p w14:paraId="641D1759" w14:textId="77777777" w:rsidR="006929CB" w:rsidRPr="00DD1C54" w:rsidRDefault="006929CB" w:rsidP="006929CB">
      <w:pPr>
        <w:pStyle w:val="BodyText"/>
      </w:pPr>
      <w:r w:rsidRPr="00DD1C54">
        <w:t>New Zealand separately estimates and reports the non-CO</w:t>
      </w:r>
      <w:r w:rsidRPr="00DD1C54">
        <w:rPr>
          <w:vertAlign w:val="subscript"/>
        </w:rPr>
        <w:t>2</w:t>
      </w:r>
      <w:r w:rsidRPr="00DD1C54">
        <w:t xml:space="preserve"> emissions from natural disturbances on land subject to </w:t>
      </w:r>
      <w:r w:rsidRPr="00DD1C54">
        <w:rPr>
          <w:i/>
        </w:rPr>
        <w:t>Afforestation and reforestation</w:t>
      </w:r>
      <w:r w:rsidRPr="00DD1C54">
        <w:t xml:space="preserve"> activities. </w:t>
      </w:r>
    </w:p>
    <w:p w14:paraId="4B1596A2" w14:textId="77777777" w:rsidR="006929CB" w:rsidRPr="00DD1C54" w:rsidRDefault="006929CB" w:rsidP="006929CB">
      <w:pPr>
        <w:pStyle w:val="BodyText"/>
      </w:pPr>
      <w:r w:rsidRPr="00DD1C54">
        <w:t>The background level of natural disturbances has been calculated using the default method described in section 2.3.9.6 of the 2013 Kyoto Protocol Supplement (IPCC, 2014). Both the post-1989 forest area and the carbon stock increase during the calibration period. To account for the annual change, the background level for the calibration period is calculated as a proportion of the post-1989 forest estate. This proportion is then multiplied by the carbon stock in post-1989 forest for each year in the reporting period (2021–30). This approach provides the background level and corrects for the increasing area and age (and therefore carbon stock exposed to natural disturbance) in post-1989 forests.</w:t>
      </w:r>
    </w:p>
    <w:p w14:paraId="1640B4DF" w14:textId="77777777" w:rsidR="006929CB" w:rsidRPr="00DD1C54" w:rsidRDefault="006929CB" w:rsidP="006929CB">
      <w:pPr>
        <w:pStyle w:val="BodyText"/>
      </w:pPr>
      <w:r w:rsidRPr="00DD1C54">
        <w:t>The</w:t>
      </w:r>
      <w:r w:rsidRPr="00DD1C54" w:rsidDel="000F2775">
        <w:t xml:space="preserve"> </w:t>
      </w:r>
      <w:r w:rsidRPr="00DD1C54">
        <w:t xml:space="preserve">background level of natural disturbance emissions from </w:t>
      </w:r>
      <w:r w:rsidRPr="00DD1C54">
        <w:rPr>
          <w:i/>
          <w:iCs/>
        </w:rPr>
        <w:t>Afforestation and reforestation</w:t>
      </w:r>
      <w:r w:rsidRPr="00DD1C54">
        <w:t xml:space="preserve"> activities for 2020 was 2.26 kt CO</w:t>
      </w:r>
      <w:r w:rsidRPr="00DD1C54">
        <w:rPr>
          <w:vertAlign w:val="subscript"/>
        </w:rPr>
        <w:t>2</w:t>
      </w:r>
      <w:r w:rsidRPr="00DD1C54">
        <w:t>e.</w:t>
      </w:r>
    </w:p>
    <w:p w14:paraId="4B6797B1" w14:textId="77777777" w:rsidR="006929CB" w:rsidRPr="00DD1C54" w:rsidRDefault="006929CB" w:rsidP="00B71790">
      <w:pPr>
        <w:pStyle w:val="Heading5"/>
      </w:pPr>
      <w:r w:rsidRPr="00DD1C54">
        <w:t>Avoiding the expectation of net credits or net debits from the application of the natural disturbance provision: Afforestation and reforestation</w:t>
      </w:r>
    </w:p>
    <w:p w14:paraId="6033427B" w14:textId="77777777" w:rsidR="006929CB" w:rsidRPr="00DD1C54" w:rsidRDefault="006929CB" w:rsidP="006929CB">
      <w:pPr>
        <w:pStyle w:val="BodyText"/>
      </w:pPr>
      <w:r w:rsidRPr="00DD1C54">
        <w:t xml:space="preserve">The natural disturbance background level </w:t>
      </w:r>
      <w:r w:rsidRPr="00DD1C54" w:rsidDel="00492865">
        <w:t>is</w:t>
      </w:r>
      <w:r w:rsidRPr="00DD1C54">
        <w:t xml:space="preserve"> calculated using the default methodology described in section 2.3.9.6 of the 2013 Kyoto Protocol Supplement (IPCC, 2014). The proportion from the calibration period is then multiplied by the carbon stock in post-1989 forest for each year in the reporting period (2021 to 2030). This approach is taken for the following reasons.</w:t>
      </w:r>
    </w:p>
    <w:p w14:paraId="298A5914" w14:textId="77777777" w:rsidR="006929CB" w:rsidRPr="00DD1C54" w:rsidRDefault="006929CB" w:rsidP="006929CB">
      <w:pPr>
        <w:pStyle w:val="Bullet"/>
        <w:spacing w:line="240" w:lineRule="auto"/>
      </w:pPr>
      <w:r w:rsidRPr="00DD1C54">
        <w:t xml:space="preserve">A trend is observed in natural disturbance emissions during the calibration period for </w:t>
      </w:r>
      <w:r w:rsidRPr="00DD1C54">
        <w:rPr>
          <w:i/>
        </w:rPr>
        <w:t>Afforestation and reforestation</w:t>
      </w:r>
      <w:r w:rsidRPr="00DD1C54">
        <w:t xml:space="preserve">. Emissions from natural disturbances have been increasing throughout the calibration period as the age of these forests, and therefore biomass, increases through time. The calibration period was used to obtain an annual emissions value by proportion of carbon stocks and then used to calculate the background level for the 2021 year onwards, based on the carbon stocks of </w:t>
      </w:r>
      <w:r w:rsidRPr="00DD1C54">
        <w:rPr>
          <w:i/>
        </w:rPr>
        <w:t>Afforestation and reforestation</w:t>
      </w:r>
      <w:r w:rsidRPr="00DD1C54">
        <w:t xml:space="preserve"> lands in each year.</w:t>
      </w:r>
    </w:p>
    <w:p w14:paraId="3B88196D" w14:textId="77777777" w:rsidR="006929CB" w:rsidRPr="00DD1C54" w:rsidRDefault="006929CB" w:rsidP="001653D0">
      <w:pPr>
        <w:pStyle w:val="Bullet"/>
      </w:pPr>
      <w:r w:rsidRPr="00DD1C54">
        <w:t xml:space="preserve">Emissions from natural disturbances occurring within </w:t>
      </w:r>
      <w:r w:rsidRPr="00DD1C54">
        <w:rPr>
          <w:i/>
        </w:rPr>
        <w:t>Afforestation and reforestation</w:t>
      </w:r>
      <w:r w:rsidRPr="00DD1C54">
        <w:t xml:space="preserve"> activities in any year of NDC1, </w:t>
      </w:r>
      <w:r w:rsidRPr="001653D0">
        <w:t>which</w:t>
      </w:r>
      <w:r w:rsidRPr="00DD1C54">
        <w:t xml:space="preserve"> fall below the background level, are not excluded from the accounting. Emissions from natural disturbances that are greater than the background level in any year of NDC1 are able to be excluded from the accounting if a Party chooses.</w:t>
      </w:r>
    </w:p>
    <w:p w14:paraId="6F44372C" w14:textId="77777777" w:rsidR="006929CB" w:rsidRPr="00DD1C54" w:rsidRDefault="006929CB" w:rsidP="001653D0">
      <w:pPr>
        <w:pStyle w:val="Bullet"/>
      </w:pPr>
      <w:r w:rsidRPr="00DD1C54">
        <w:t xml:space="preserve">If emissions from </w:t>
      </w:r>
      <w:r w:rsidRPr="001653D0">
        <w:t>natural</w:t>
      </w:r>
      <w:r w:rsidRPr="00DD1C54">
        <w:t xml:space="preserve"> disturbances are greater than the background level, they can be excluded from the accounting. Further work is planned to ensure there is no expectation of net debits arising from implementation of this exclusion when applying the LTA to account for these forests. </w:t>
      </w:r>
    </w:p>
    <w:p w14:paraId="27058540" w14:textId="77777777" w:rsidR="006929CB" w:rsidRPr="00DD1C54" w:rsidRDefault="006929CB" w:rsidP="006929CB">
      <w:pPr>
        <w:pStyle w:val="Bullet"/>
        <w:spacing w:line="240" w:lineRule="auto"/>
      </w:pPr>
      <w:r w:rsidRPr="00DD1C54">
        <w:t>If emissions are less than the background level in any year of the commitment period, all emissions from natural disturbance will still be accounted for. There is no expectation of net debits in this scenario.</w:t>
      </w:r>
    </w:p>
    <w:p w14:paraId="19D5C23E" w14:textId="77777777" w:rsidR="006929CB" w:rsidRPr="00DD1C54" w:rsidRDefault="006929CB" w:rsidP="006929CB">
      <w:pPr>
        <w:pStyle w:val="Heading4"/>
      </w:pPr>
      <w:bookmarkStart w:id="1188" w:name="_Toc456179188"/>
      <w:r w:rsidRPr="00DD1C54">
        <w:t>Forest management</w:t>
      </w:r>
      <w:bookmarkEnd w:id="1188"/>
    </w:p>
    <w:p w14:paraId="38897DC5" w14:textId="77777777" w:rsidR="006929CB" w:rsidRPr="00DD1C54" w:rsidRDefault="006929CB" w:rsidP="006929CB">
      <w:pPr>
        <w:pStyle w:val="BodyText"/>
      </w:pPr>
      <w:bookmarkStart w:id="1189" w:name="_Toc414531647"/>
      <w:r w:rsidRPr="00DD1C54">
        <w:t xml:space="preserve">The background level of natural disturbance for </w:t>
      </w:r>
      <w:r w:rsidRPr="00DD1C54">
        <w:rPr>
          <w:i/>
          <w:iCs/>
        </w:rPr>
        <w:t>Forest management</w:t>
      </w:r>
      <w:r w:rsidRPr="00DD1C54">
        <w:t xml:space="preserve"> was calculated as 9.40 kt CO</w:t>
      </w:r>
      <w:r w:rsidRPr="00DD1C54">
        <w:rPr>
          <w:vertAlign w:val="subscript"/>
        </w:rPr>
        <w:t>2</w:t>
      </w:r>
      <w:r w:rsidRPr="00DD1C54">
        <w:t>e.</w:t>
      </w:r>
    </w:p>
    <w:bookmarkEnd w:id="1189"/>
    <w:p w14:paraId="0DAABFB8" w14:textId="77777777" w:rsidR="006929CB" w:rsidRPr="00DD1C54" w:rsidRDefault="006929CB" w:rsidP="00B71790">
      <w:pPr>
        <w:pStyle w:val="Heading5"/>
      </w:pPr>
      <w:r w:rsidRPr="00DD1C54">
        <w:t>Avoiding the expectation of net credits or net debits for the application of the natural disturbance provision: Forest management</w:t>
      </w:r>
    </w:p>
    <w:p w14:paraId="6A899E74" w14:textId="77777777" w:rsidR="006929CB" w:rsidRPr="00DD1C54" w:rsidRDefault="006929CB" w:rsidP="006929CB">
      <w:pPr>
        <w:pStyle w:val="BodyText"/>
      </w:pPr>
      <w:r w:rsidRPr="00DD1C54">
        <w:t xml:space="preserve">The background level has been calculated using the default methodology described in section </w:t>
      </w:r>
      <w:r w:rsidRPr="00DD1C54">
        <w:rPr>
          <w:spacing w:val="-2"/>
        </w:rPr>
        <w:t>2.3.9.6 of the 2013 Kyoto Protocol Supplement (IPCC, 2014). Using this method, the expectation</w:t>
      </w:r>
      <w:r w:rsidRPr="00DD1C54">
        <w:t xml:space="preserve"> of net credits or net debits for the application of the natural disturbance provision is avoided for the following reasons.</w:t>
      </w:r>
    </w:p>
    <w:p w14:paraId="3C90B337" w14:textId="77777777" w:rsidR="006929CB" w:rsidRPr="00DD1C54" w:rsidRDefault="006929CB" w:rsidP="006929CB">
      <w:pPr>
        <w:pStyle w:val="Bullet"/>
        <w:spacing w:line="240" w:lineRule="auto"/>
      </w:pPr>
      <w:r w:rsidRPr="00DD1C54">
        <w:t xml:space="preserve">No observed trend is evident in natural disturbance emissions during the calibration period for </w:t>
      </w:r>
      <w:r w:rsidRPr="00DD1C54">
        <w:rPr>
          <w:i/>
        </w:rPr>
        <w:t>Forest management</w:t>
      </w:r>
      <w:r w:rsidRPr="00DD1C54">
        <w:t xml:space="preserve"> and therefore none can be expected during NDC1.</w:t>
      </w:r>
    </w:p>
    <w:p w14:paraId="16380E1D" w14:textId="77777777" w:rsidR="006929CB" w:rsidRPr="00DD1C54" w:rsidRDefault="006929CB" w:rsidP="006929CB">
      <w:pPr>
        <w:pStyle w:val="Bullet"/>
        <w:spacing w:line="240" w:lineRule="auto"/>
      </w:pPr>
      <w:r w:rsidRPr="00DD1C54">
        <w:t>Emissions from natural disturbances occurring during the commitment period that fall below the background level are not excluded from the accounting. During the commitment period, emissions from natural disturbances that are above the background level are, subject to New Zealand’s discretion, able to be excluded from the accounting.</w:t>
      </w:r>
    </w:p>
    <w:p w14:paraId="7F822CCC" w14:textId="77777777" w:rsidR="006929CB" w:rsidRPr="00DD1C54" w:rsidRDefault="006929CB" w:rsidP="001653D0">
      <w:pPr>
        <w:pStyle w:val="Bullet"/>
      </w:pPr>
      <w:r w:rsidRPr="00DD1C54">
        <w:t xml:space="preserve">The </w:t>
      </w:r>
      <w:r w:rsidRPr="001653D0">
        <w:t>accounting</w:t>
      </w:r>
      <w:r w:rsidRPr="00DD1C54">
        <w:t xml:space="preserve"> for </w:t>
      </w:r>
      <w:r w:rsidRPr="00DD1C54">
        <w:rPr>
          <w:i/>
        </w:rPr>
        <w:t>Forest management</w:t>
      </w:r>
      <w:r w:rsidRPr="00DD1C54">
        <w:t xml:space="preserve"> is against a projected business-as-usual pre-1990 FRL. The background level is included implicitly within the pre-1990 FRL, and any emissions greater than the background level can be excluded from the accounting.</w:t>
      </w:r>
    </w:p>
    <w:p w14:paraId="3FFD8C24" w14:textId="77777777" w:rsidR="006929CB" w:rsidRPr="00DD1C54" w:rsidRDefault="006929CB" w:rsidP="000901C0">
      <w:pPr>
        <w:pStyle w:val="Heading2notforTOC"/>
      </w:pPr>
      <w:bookmarkStart w:id="1190" w:name="_Toc456179172"/>
      <w:bookmarkStart w:id="1191" w:name="_Toc481751425"/>
      <w:bookmarkStart w:id="1192" w:name="_Toc522013964"/>
      <w:bookmarkStart w:id="1193" w:name="_Toc5269408"/>
      <w:bookmarkStart w:id="1194" w:name="_Toc36224448"/>
      <w:bookmarkStart w:id="1195" w:name="_Toc68786368"/>
      <w:bookmarkStart w:id="1196" w:name="_Toc99659174"/>
      <w:bookmarkStart w:id="1197" w:name="_Toc1319235198"/>
      <w:bookmarkStart w:id="1198" w:name="_Toc183603248"/>
      <w:bookmarkStart w:id="1199" w:name="_Toc184201414"/>
      <w:bookmarkStart w:id="1200" w:name="_Toc261513293"/>
      <w:bookmarkStart w:id="1201" w:name="_Toc261513906"/>
      <w:bookmarkStart w:id="1202" w:name="_Toc280630396"/>
      <w:bookmarkEnd w:id="1182"/>
      <w:bookmarkEnd w:id="1183"/>
      <w:bookmarkEnd w:id="1184"/>
      <w:r w:rsidRPr="00DD1C54">
        <w:t>A2.4</w:t>
      </w:r>
      <w:r w:rsidRPr="00DD1C54">
        <w:tab/>
        <w:t>Other methodological issues</w:t>
      </w:r>
      <w:bookmarkEnd w:id="1190"/>
      <w:bookmarkEnd w:id="1191"/>
      <w:bookmarkEnd w:id="1192"/>
      <w:bookmarkEnd w:id="1193"/>
      <w:bookmarkEnd w:id="1194"/>
      <w:bookmarkEnd w:id="1195"/>
      <w:bookmarkEnd w:id="1196"/>
      <w:bookmarkEnd w:id="1197"/>
      <w:bookmarkEnd w:id="1198"/>
      <w:bookmarkEnd w:id="1199"/>
    </w:p>
    <w:p w14:paraId="7CF608A2" w14:textId="77777777" w:rsidR="006929CB" w:rsidRPr="00DD1C54" w:rsidRDefault="006929CB" w:rsidP="006929CB">
      <w:pPr>
        <w:pStyle w:val="Heading3"/>
      </w:pPr>
      <w:bookmarkStart w:id="1203" w:name="sectionA241"/>
      <w:bookmarkStart w:id="1204" w:name="_Toc1854032994"/>
      <w:bookmarkStart w:id="1205" w:name="_Toc261513294"/>
      <w:bookmarkStart w:id="1206" w:name="_Toc261513907"/>
      <w:bookmarkStart w:id="1207" w:name="_Toc280630397"/>
      <w:bookmarkEnd w:id="1200"/>
      <w:bookmarkEnd w:id="1201"/>
      <w:bookmarkEnd w:id="1202"/>
      <w:r w:rsidRPr="00DD1C54">
        <w:t>A2.4.1</w:t>
      </w:r>
      <w:bookmarkEnd w:id="1203"/>
      <w:r w:rsidRPr="00DD1C54">
        <w:tab/>
        <w:t>Development of the pre-1990 FRL</w:t>
      </w:r>
      <w:bookmarkEnd w:id="1204"/>
    </w:p>
    <w:p w14:paraId="05B61A9A" w14:textId="77777777" w:rsidR="006929CB" w:rsidRPr="00DD1C54" w:rsidRDefault="006929CB" w:rsidP="006929CB">
      <w:pPr>
        <w:pStyle w:val="BodyText"/>
      </w:pPr>
      <w:r w:rsidRPr="00DD1C54">
        <w:t>The pre-1990 FRL value is –20,135 kt CO</w:t>
      </w:r>
      <w:r w:rsidRPr="00DD1C54">
        <w:rPr>
          <w:vertAlign w:val="subscript"/>
        </w:rPr>
        <w:t>2</w:t>
      </w:r>
      <w:r w:rsidRPr="00DD1C54">
        <w:t>e per year</w:t>
      </w:r>
      <w:r w:rsidRPr="00DD1C54">
        <w:rPr>
          <w:vertAlign w:val="superscript"/>
        </w:rPr>
        <w:t xml:space="preserve"> </w:t>
      </w:r>
      <w:r w:rsidRPr="00DD1C54">
        <w:t>representing the projected average annual net emissions from pre-1990 forests under business-as-usual management from 2021 to 2030. This is made up of a pre-1990 planted forest FRL value of –18,735 kt CO</w:t>
      </w:r>
      <w:r w:rsidRPr="00DD1C54">
        <w:rPr>
          <w:vertAlign w:val="subscript"/>
        </w:rPr>
        <w:t>2</w:t>
      </w:r>
      <w:r w:rsidRPr="00DD1C54">
        <w:t>e per year and a pre</w:t>
      </w:r>
      <w:r w:rsidRPr="00DD1C54">
        <w:noBreakHyphen/>
        <w:t>1990 natural forest FRL of –1,399.5 kt CO</w:t>
      </w:r>
      <w:r w:rsidRPr="00DD1C54">
        <w:rPr>
          <w:vertAlign w:val="subscript"/>
        </w:rPr>
        <w:t>2</w:t>
      </w:r>
      <w:r w:rsidRPr="00DD1C54">
        <w:t xml:space="preserve">e per year. </w:t>
      </w:r>
    </w:p>
    <w:p w14:paraId="36274137" w14:textId="77777777" w:rsidR="006929CB" w:rsidRPr="00DD1C54" w:rsidRDefault="006929CB" w:rsidP="006929CB">
      <w:pPr>
        <w:pStyle w:val="BodyText"/>
      </w:pPr>
      <w:r w:rsidRPr="00DD1C54">
        <w:t>Carbon uptake in pre-1990 planted forests is initially high during the compliance period because harvesting is concentrated in post-1989 planted forests, but it then declines and pre</w:t>
      </w:r>
      <w:r w:rsidRPr="00DD1C54">
        <w:noBreakHyphen/>
        <w:t>1990 planted forests become a net source of emissions. However, this is balanced by gains in the HWP pool. Other emissions from soil carbon loss (due to land-use change) and wildfires are relatively small (figure A2.2).</w:t>
      </w:r>
    </w:p>
    <w:p w14:paraId="1AFDA875" w14:textId="5597B5C2" w:rsidR="006929CB" w:rsidRPr="00DD1C54" w:rsidRDefault="006929CB" w:rsidP="00201256">
      <w:pPr>
        <w:pStyle w:val="Figureheading"/>
      </w:pPr>
      <w:bookmarkStart w:id="1208" w:name="_Toc182311785"/>
      <w:bookmarkStart w:id="1209" w:name="_Toc185347282"/>
      <w:r w:rsidRPr="00DD1C54">
        <w:t>Figure A2.</w:t>
      </w:r>
      <w:r w:rsidRPr="00DD1C54">
        <w:rPr>
          <w:bCs/>
        </w:rPr>
        <w:t>2:</w:t>
      </w:r>
      <w:r w:rsidRPr="00DD1C54">
        <w:tab/>
        <w:t>Pre-1990 Forest Reference Level for 2021</w:t>
      </w:r>
      <w:r w:rsidRPr="00DD1C54">
        <w:rPr>
          <w:bCs/>
        </w:rPr>
        <w:t>–</w:t>
      </w:r>
      <w:r w:rsidRPr="00DD1C54">
        <w:t xml:space="preserve">30 (kilotonnes carbon dioxide </w:t>
      </w:r>
      <w:r w:rsidRPr="00DD1C54">
        <w:rPr>
          <w:bCs/>
        </w:rPr>
        <w:t>(</w:t>
      </w:r>
      <w:r w:rsidRPr="00DD1C54">
        <w:t>kt CO</w:t>
      </w:r>
      <w:r w:rsidRPr="00DD1C54">
        <w:rPr>
          <w:vertAlign w:val="subscript"/>
        </w:rPr>
        <w:t>2</w:t>
      </w:r>
      <w:r w:rsidRPr="00DD1C54">
        <w:rPr>
          <w:bCs/>
        </w:rPr>
        <w:t>)</w:t>
      </w:r>
      <w:r w:rsidRPr="00DD1C54">
        <w:t>)</w:t>
      </w:r>
      <w:bookmarkEnd w:id="1208"/>
      <w:bookmarkEnd w:id="1209"/>
    </w:p>
    <w:p w14:paraId="1034634E" w14:textId="77777777" w:rsidR="006929CB" w:rsidRPr="00DD1C54" w:rsidRDefault="006929CB" w:rsidP="006929CB">
      <w:pPr>
        <w:pStyle w:val="BodyText"/>
      </w:pPr>
      <w:r w:rsidRPr="00DD1C54">
        <w:rPr>
          <w:noProof/>
        </w:rPr>
        <w:drawing>
          <wp:inline distT="0" distB="0" distL="0" distR="0" wp14:anchorId="6B8AA0FA" wp14:editId="65B36E36">
            <wp:extent cx="5354726" cy="3577132"/>
            <wp:effectExtent l="0" t="0" r="0" b="4445"/>
            <wp:docPr id="1684822912" name="Chart 1" descr="A line graph showing pre-1990 forest reference level for the period 2021 to 2030 in kilotonnes carbon dioxide equivalent. It compares biomass with soil carbon, harvested wood products, non-carbon dioxide and totals.">
              <a:extLst xmlns:a="http://schemas.openxmlformats.org/drawingml/2006/main">
                <a:ext uri="{FF2B5EF4-FFF2-40B4-BE49-F238E27FC236}">
                  <a16:creationId xmlns:a16="http://schemas.microsoft.com/office/drawing/2014/main" id="{A563B8D5-D219-6EAA-737B-A465D2AB78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14:paraId="44D24FCC" w14:textId="77777777" w:rsidR="006929CB" w:rsidRPr="00DD1C54" w:rsidRDefault="006929CB" w:rsidP="006929CB">
      <w:pPr>
        <w:pStyle w:val="BodyText"/>
        <w:spacing w:before="0"/>
      </w:pPr>
      <w:r w:rsidRPr="00DD1C54">
        <w:t>The pre-1990 FRL was developed using the reference period 2000 to 2009 and following the</w:t>
      </w:r>
      <w:r>
        <w:t> </w:t>
      </w:r>
      <w:r w:rsidRPr="00DD1C54">
        <w:t>main methodological steps described in the European Union approach to pre-1990 FRL development (Forsell et al, 2018), based on earlier work by Grassi and Pilli (2017). The steps, as adapted for New Zealand’s activity-based accounting,</w:t>
      </w:r>
      <w:r w:rsidRPr="00DD1C54">
        <w:rPr>
          <w:rStyle w:val="FootnoteReference"/>
          <w:iCs/>
        </w:rPr>
        <w:footnoteReference w:id="323"/>
      </w:r>
      <w:r w:rsidRPr="00DD1C54">
        <w:t xml:space="preserve"> are as follows.</w:t>
      </w:r>
    </w:p>
    <w:p w14:paraId="534C223F" w14:textId="77777777" w:rsidR="006929CB" w:rsidRPr="00DD1C54" w:rsidRDefault="006929CB" w:rsidP="00784F5F">
      <w:pPr>
        <w:pStyle w:val="Numberedparagraph"/>
        <w:numPr>
          <w:ilvl w:val="0"/>
          <w:numId w:val="104"/>
        </w:numPr>
        <w:spacing w:line="240" w:lineRule="auto"/>
      </w:pPr>
      <w:r w:rsidRPr="00DD1C54">
        <w:t xml:space="preserve">Stratify the area subject to </w:t>
      </w:r>
      <w:r w:rsidRPr="001653D0">
        <w:rPr>
          <w:i/>
        </w:rPr>
        <w:t xml:space="preserve">Forest management </w:t>
      </w:r>
      <w:r w:rsidRPr="001653D0">
        <w:rPr>
          <w:iCs/>
        </w:rPr>
        <w:t>activities</w:t>
      </w:r>
      <w:r w:rsidRPr="00DD1C54">
        <w:t xml:space="preserve"> based on national circumstances. Strata should be characterised by specific management objectives and practices.</w:t>
      </w:r>
    </w:p>
    <w:p w14:paraId="2ACA9C43" w14:textId="77777777" w:rsidR="006929CB" w:rsidRPr="00DD1C54" w:rsidRDefault="006929CB" w:rsidP="006929CB">
      <w:pPr>
        <w:pStyle w:val="Numberedparagraph"/>
        <w:spacing w:line="240" w:lineRule="auto"/>
      </w:pPr>
      <w:r w:rsidRPr="00DD1C54">
        <w:t>Identify and stratify the forest management practices for each stratum during the reference period. These should be quantifiable criteria, for example, the age, diameter or</w:t>
      </w:r>
      <w:r>
        <w:t> </w:t>
      </w:r>
      <w:r w:rsidRPr="00DD1C54">
        <w:t>volume at which thinning or harvesting occurs, and monitored over time to document changes.</w:t>
      </w:r>
    </w:p>
    <w:p w14:paraId="39D973DB" w14:textId="77777777" w:rsidR="006929CB" w:rsidRPr="00DD1C54" w:rsidRDefault="006929CB" w:rsidP="006929CB">
      <w:pPr>
        <w:pStyle w:val="Numberedparagraph"/>
        <w:spacing w:line="240" w:lineRule="auto"/>
      </w:pPr>
      <w:r w:rsidRPr="00DD1C54">
        <w:t>Project the evolution of area subject to</w:t>
      </w:r>
      <w:r w:rsidRPr="00DD1C54">
        <w:rPr>
          <w:i/>
        </w:rPr>
        <w:t xml:space="preserve"> Forest management </w:t>
      </w:r>
      <w:r w:rsidRPr="00DD1C54">
        <w:t>activities, assuming that the deforestation rate over the reference period continues.</w:t>
      </w:r>
    </w:p>
    <w:p w14:paraId="663E7744" w14:textId="77777777" w:rsidR="006929CB" w:rsidRPr="00DD1C54" w:rsidRDefault="006929CB" w:rsidP="006929CB">
      <w:pPr>
        <w:pStyle w:val="Numberedparagraph"/>
        <w:spacing w:line="240" w:lineRule="auto"/>
      </w:pPr>
      <w:r w:rsidRPr="00DD1C54">
        <w:t>Project the future carbon gains and losses in each pool and stratum including:</w:t>
      </w:r>
    </w:p>
    <w:p w14:paraId="05725C53" w14:textId="77777777" w:rsidR="006929CB" w:rsidRPr="00DD1C54" w:rsidRDefault="006929CB" w:rsidP="004831E2">
      <w:pPr>
        <w:pStyle w:val="Sub-lista"/>
        <w:numPr>
          <w:ilvl w:val="0"/>
          <w:numId w:val="185"/>
        </w:numPr>
        <w:tabs>
          <w:tab w:val="left" w:pos="397"/>
        </w:tabs>
        <w:spacing w:line="240" w:lineRule="auto"/>
      </w:pPr>
      <w:r w:rsidRPr="00DD1C54">
        <w:t>growth in each forest stratum assuming continuation of management practices that applied in the reference period</w:t>
      </w:r>
    </w:p>
    <w:p w14:paraId="0F4C8FDB" w14:textId="77777777" w:rsidR="006929CB" w:rsidRPr="00DD1C54" w:rsidRDefault="006929CB" w:rsidP="006929CB">
      <w:pPr>
        <w:pStyle w:val="Sub-lista"/>
        <w:tabs>
          <w:tab w:val="left" w:pos="397"/>
        </w:tabs>
        <w:spacing w:line="240" w:lineRule="auto"/>
      </w:pPr>
      <w:r w:rsidRPr="00DD1C54">
        <w:t xml:space="preserve">losses due to harvesting using a harvest fraction approach to harvest biomass available for wood supply through to the end of the compliance period. </w:t>
      </w:r>
    </w:p>
    <w:p w14:paraId="073784C7" w14:textId="77777777" w:rsidR="006929CB" w:rsidRPr="00DD1C54" w:rsidRDefault="006929CB" w:rsidP="001653D0">
      <w:pPr>
        <w:pStyle w:val="Numberedparagraph"/>
      </w:pPr>
      <w:r w:rsidRPr="00DD1C54">
        <w:t>Estimate projected HWP pool stock changes by applying the same HWP category proportions as during the reference period.</w:t>
      </w:r>
    </w:p>
    <w:p w14:paraId="77ED6CF4" w14:textId="77777777" w:rsidR="006929CB" w:rsidRPr="00DD1C54" w:rsidRDefault="006929CB" w:rsidP="006929CB">
      <w:pPr>
        <w:pStyle w:val="BodyText"/>
      </w:pPr>
      <w:r w:rsidRPr="00DD1C54">
        <w:t xml:space="preserve">Wakelin (unpublished(e)) and Wakelin and Paul (unpublished) adapted and applied the methodological steps described above to develop the pre-1990 FRL for New Zealand’s </w:t>
      </w:r>
      <w:r w:rsidRPr="00DD1C54">
        <w:rPr>
          <w:i/>
          <w:iCs/>
        </w:rPr>
        <w:t>Forest management</w:t>
      </w:r>
      <w:r w:rsidRPr="00DD1C54">
        <w:t xml:space="preserve"> activities. </w:t>
      </w:r>
    </w:p>
    <w:p w14:paraId="6A79C25A" w14:textId="77777777" w:rsidR="006929CB" w:rsidRPr="00DD1C54" w:rsidRDefault="006929CB" w:rsidP="006929CB">
      <w:pPr>
        <w:pStyle w:val="BodyText"/>
      </w:pPr>
      <w:r w:rsidRPr="00DD1C54">
        <w:t xml:space="preserve">Pre-1990 planted forests were stratified into two cohorts corresponding to stands planted before 1990 and stands planted after 1989. This was done to allow the use of a different yield table for the younger stands of trees and, with this, account for the fact that these stands include faster growing genotypes (Wakelin, unpublished(e)). </w:t>
      </w:r>
    </w:p>
    <w:p w14:paraId="5C21DE52" w14:textId="77777777" w:rsidR="006929CB" w:rsidRPr="00DD1C54" w:rsidRDefault="006929CB" w:rsidP="006929CB">
      <w:pPr>
        <w:pStyle w:val="BodyText"/>
      </w:pPr>
      <w:r w:rsidRPr="00DD1C54">
        <w:t xml:space="preserve">To project the evolution of the pre-1990 planted forest estate, a </w:t>
      </w:r>
      <w:r w:rsidRPr="75ADBAC8">
        <w:t>destocking probability approach, based on the destocking profile by age class that applied from 2007 to 2009,</w:t>
      </w:r>
      <w:r w:rsidRPr="75ADBAC8">
        <w:rPr>
          <w:rStyle w:val="FootnoteReference"/>
        </w:rPr>
        <w:footnoteReference w:id="324"/>
      </w:r>
      <w:r w:rsidRPr="75ADBAC8">
        <w:t xml:space="preserve"> was used to generate an annual time series of harvesting and deforestation area by age from 2010 to 2030. This time series, and the corresponding yield tables for each stratum, were applied to</w:t>
      </w:r>
      <w:r>
        <w:rPr>
          <w:szCs w:val="20"/>
        </w:rPr>
        <w:t> </w:t>
      </w:r>
      <w:r w:rsidRPr="75ADBAC8">
        <w:t>a</w:t>
      </w:r>
      <w:r w:rsidRPr="00DD1C54">
        <w:t xml:space="preserve"> simulation in the LUCAS CRA, to project the corresponding carbon gains and losses for planted forests under </w:t>
      </w:r>
      <w:r w:rsidRPr="00DD1C54">
        <w:rPr>
          <w:i/>
          <w:iCs/>
        </w:rPr>
        <w:t>Forest management</w:t>
      </w:r>
      <w:r w:rsidRPr="00DD1C54">
        <w:t xml:space="preserve"> from 2010 through to the end of the compliance period (Wakelin, unpublished(e)). </w:t>
      </w:r>
    </w:p>
    <w:p w14:paraId="1A5AD1A6" w14:textId="77777777" w:rsidR="006929CB" w:rsidRPr="00DD1C54" w:rsidRDefault="006929CB" w:rsidP="001653D0">
      <w:pPr>
        <w:pStyle w:val="BodyText"/>
      </w:pPr>
      <w:r w:rsidRPr="00DD1C54">
        <w:t xml:space="preserve">The LUCAS CRA is the same application that is used to model LULUCF emissions and removals reported in the Inventory and the accounting quantities for the NDC. </w:t>
      </w:r>
      <w:r w:rsidRPr="00DD1C54">
        <w:rPr>
          <w:rFonts w:cs="Arial"/>
        </w:rPr>
        <w:t xml:space="preserve">Additional calculations were made for soil </w:t>
      </w:r>
      <w:r w:rsidRPr="001653D0">
        <w:t>carbon</w:t>
      </w:r>
      <w:r w:rsidRPr="00DD1C54">
        <w:rPr>
          <w:rFonts w:cs="Arial"/>
        </w:rPr>
        <w:t xml:space="preserve"> stock changes, wildfire emissions and net emissions from the HWP pool </w:t>
      </w:r>
      <w:r w:rsidRPr="00DD1C54">
        <w:t>(Wakelin, unpublished(e))</w:t>
      </w:r>
      <w:r w:rsidRPr="00DD1C54">
        <w:rPr>
          <w:rFonts w:cs="Arial"/>
        </w:rPr>
        <w:t xml:space="preserve">. The resulting emissions were added to those generated by the LUCAS CRA simulation to form the pre-1990 planted forest FRL. </w:t>
      </w:r>
    </w:p>
    <w:p w14:paraId="29298953" w14:textId="77777777" w:rsidR="006929CB" w:rsidRPr="00DD1C54" w:rsidRDefault="006929CB" w:rsidP="001653D0">
      <w:pPr>
        <w:pStyle w:val="BodyText"/>
      </w:pPr>
      <w:r w:rsidRPr="00DD1C54">
        <w:t>Pre-1990 natural forests were stratified into tall</w:t>
      </w:r>
      <w:r w:rsidRPr="00DD1C54" w:rsidDel="00640C53">
        <w:t xml:space="preserve"> </w:t>
      </w:r>
      <w:r w:rsidRPr="00DD1C54">
        <w:t xml:space="preserve">and regenerating forests, recognising that </w:t>
      </w:r>
      <w:r w:rsidRPr="00DD1C54">
        <w:rPr>
          <w:spacing w:val="-2"/>
        </w:rPr>
        <w:t>each of these strata has a different mean rate of sequestration (Wakelin and Paul, unpublished)</w:t>
      </w:r>
      <w:r w:rsidRPr="00DD1C54">
        <w:t xml:space="preserve">. Harvesting is not anticipated in either case, so these strata were differentiated by the mean </w:t>
      </w:r>
      <w:r w:rsidRPr="00DD1C54">
        <w:rPr>
          <w:spacing w:val="-2"/>
        </w:rPr>
        <w:t>sequestration rate derived from the LUCAS forest plot network</w:t>
      </w:r>
      <w:r w:rsidRPr="00DD1C54" w:rsidDel="000D4047">
        <w:rPr>
          <w:spacing w:val="-2"/>
        </w:rPr>
        <w:t xml:space="preserve"> </w:t>
      </w:r>
      <w:r w:rsidRPr="00DD1C54">
        <w:rPr>
          <w:spacing w:val="-2"/>
        </w:rPr>
        <w:t>(Wakelin and Paul, unpublished)</w:t>
      </w:r>
      <w:r w:rsidRPr="00DD1C54">
        <w:t>. These rates were applied to a projection of the 2009 natural forest area</w:t>
      </w:r>
      <w:r w:rsidRPr="00DD1C54">
        <w:rPr>
          <w:vertAlign w:val="superscript"/>
        </w:rPr>
        <w:footnoteReference w:id="325"/>
      </w:r>
      <w:r w:rsidRPr="00DD1C54">
        <w:t xml:space="preserve"> that took into account actual deforestation from 2010 to 2020 and projected deforestation from 2021 to 2030 to generate the carbon gains and losses from changes to the forest biomass. Additional calculations were made for soil carbon stock changes and wildfire emissions, and integrated with the projected carbon gains and losses from the forest biomass to generate the natural forest FRL (Wakelin and Paul, unpublished). </w:t>
      </w:r>
    </w:p>
    <w:p w14:paraId="3985FB96" w14:textId="77777777" w:rsidR="006929CB" w:rsidRPr="00DD1C54" w:rsidRDefault="006929CB" w:rsidP="001653D0">
      <w:pPr>
        <w:pStyle w:val="BodyText"/>
      </w:pPr>
      <w:r w:rsidRPr="00DD1C54">
        <w:t xml:space="preserve">Further work is planned to implement technical corrections to the pre-1990 FRL that incorporate actual deforestation and changes to the area of forests accounted for under </w:t>
      </w:r>
      <w:r w:rsidRPr="00DD1C54">
        <w:rPr>
          <w:i/>
          <w:iCs/>
        </w:rPr>
        <w:t>Forest management</w:t>
      </w:r>
      <w:r w:rsidRPr="00DD1C54">
        <w:t xml:space="preserve">. </w:t>
      </w:r>
    </w:p>
    <w:p w14:paraId="64117970" w14:textId="77777777" w:rsidR="006929CB" w:rsidRPr="00DD1C54" w:rsidRDefault="006929CB" w:rsidP="006929CB">
      <w:pPr>
        <w:pStyle w:val="Heading3"/>
      </w:pPr>
      <w:bookmarkStart w:id="1210" w:name="_Toc806698184"/>
      <w:r w:rsidRPr="00DD1C54">
        <w:t>A2.4.2</w:t>
      </w:r>
      <w:r w:rsidRPr="00DD1C54">
        <w:tab/>
        <w:t>Uncertainty</w:t>
      </w:r>
      <w:bookmarkEnd w:id="1205"/>
      <w:bookmarkEnd w:id="1206"/>
      <w:bookmarkEnd w:id="1207"/>
      <w:r w:rsidRPr="00DD1C54">
        <w:t xml:space="preserve"> and time-series consistency</w:t>
      </w:r>
      <w:bookmarkEnd w:id="1210"/>
    </w:p>
    <w:p w14:paraId="0D6CB6A0" w14:textId="77777777" w:rsidR="006929CB" w:rsidRPr="00DD1C54" w:rsidRDefault="006929CB" w:rsidP="006929CB">
      <w:pPr>
        <w:pStyle w:val="BodyText"/>
        <w:spacing w:before="100" w:after="100"/>
      </w:pPr>
      <w:r w:rsidRPr="00DD1C54">
        <w:t xml:space="preserve">The uncertainties in net emissions from </w:t>
      </w:r>
      <w:r w:rsidRPr="00DD1C54">
        <w:rPr>
          <w:i/>
        </w:rPr>
        <w:t>Afforestation and reforestation</w:t>
      </w:r>
      <w:r w:rsidRPr="00DD1C54">
        <w:t xml:space="preserve"> are ±20.1 per cent and</w:t>
      </w:r>
      <w:r>
        <w:t> </w:t>
      </w:r>
      <w:r w:rsidRPr="00DD1C54">
        <w:t>±19.1 per cent at the 95 per cent confidence interval in 2021 and 2022, respectively.</w:t>
      </w:r>
      <w:r w:rsidRPr="00DD1C54" w:rsidDel="001B6037">
        <w:t xml:space="preserve"> </w:t>
      </w:r>
      <w:r w:rsidRPr="00DD1C54">
        <w:t xml:space="preserve">These are based on the uncertainties in emissions from post-1989 planted forests, post-1989 natural forests and their corresponding HWP (table A2.17 and table A2.18). </w:t>
      </w:r>
    </w:p>
    <w:p w14:paraId="1EA6D20C" w14:textId="77777777" w:rsidR="006929CB" w:rsidRPr="00DD1C54" w:rsidRDefault="006929CB" w:rsidP="006929CB">
      <w:pPr>
        <w:pStyle w:val="BodyText"/>
        <w:spacing w:before="100" w:after="100"/>
      </w:pPr>
      <w:r w:rsidRPr="00DD1C54">
        <w:t xml:space="preserve">The uncertainties in net emissions from </w:t>
      </w:r>
      <w:r w:rsidRPr="00DD1C54">
        <w:rPr>
          <w:i/>
        </w:rPr>
        <w:t>Deforestation</w:t>
      </w:r>
      <w:r w:rsidRPr="00DD1C54">
        <w:t xml:space="preserve"> are determined by the forest type (table A2.17). The combined uncertainty introduced into emissions from </w:t>
      </w:r>
      <w:r w:rsidRPr="00DD1C54">
        <w:rPr>
          <w:i/>
        </w:rPr>
        <w:t>Deforestation</w:t>
      </w:r>
      <w:r w:rsidRPr="00DD1C54">
        <w:rPr>
          <w:iCs/>
        </w:rPr>
        <w:t>,</w:t>
      </w:r>
      <w:r w:rsidRPr="00DD1C54">
        <w:t xml:space="preserve"> at the 95 per cent confidence interval, in both 2021 and 2022, was ±1.9 per cent (table A2.18). </w:t>
      </w:r>
    </w:p>
    <w:p w14:paraId="00D4D980" w14:textId="77777777" w:rsidR="006929CB" w:rsidRPr="00DD1C54" w:rsidRDefault="006929CB" w:rsidP="006929CB">
      <w:pPr>
        <w:pStyle w:val="BodyText"/>
        <w:spacing w:before="100" w:after="100"/>
      </w:pPr>
      <w:r w:rsidRPr="00DD1C54">
        <w:t xml:space="preserve">The combined uncertainties in net emissions from </w:t>
      </w:r>
      <w:r w:rsidRPr="00DD1C54">
        <w:rPr>
          <w:i/>
        </w:rPr>
        <w:t>Forest management</w:t>
      </w:r>
      <w:r w:rsidRPr="00DD1C54">
        <w:t xml:space="preserve"> in 2021 and 2022 are ±47.8 per cent and ±47.1 per cent at a 95 per cent confidence interval (table A2.18). This is the combined uncertainty of pre-1990 natural forest and pre-1990 planted forest and includes uncertainty associated with HWP.</w:t>
      </w:r>
    </w:p>
    <w:p w14:paraId="00A8AD64" w14:textId="77777777" w:rsidR="006929CB" w:rsidRPr="00DD1C54" w:rsidRDefault="006929CB" w:rsidP="006929CB">
      <w:pPr>
        <w:pStyle w:val="BodyText"/>
        <w:spacing w:before="100" w:after="100"/>
      </w:pPr>
      <w:r w:rsidRPr="00DD1C54">
        <w:t xml:space="preserve">Further detail on the uncertainty in net emissions for pre-1990 natural forest, pre-1990 planted forest, post-1989 planted forest, post-1989 natural forest and HWP is provided in chapter 6, section 6.3.3 and section 6.9.3 of Inventory 2024 (Ministry for the Environment, 2024). </w:t>
      </w:r>
    </w:p>
    <w:p w14:paraId="6210770C" w14:textId="77777777" w:rsidR="006929CB" w:rsidRPr="00DD1C54" w:rsidRDefault="006929CB" w:rsidP="006929CB">
      <w:pPr>
        <w:pStyle w:val="BodyText"/>
      </w:pPr>
      <w:r w:rsidRPr="00DD1C54">
        <w:t xml:space="preserve">Total uncertainties in New Zealand’s estimates of emissions for </w:t>
      </w:r>
      <w:r w:rsidRPr="00DD1C54">
        <w:rPr>
          <w:i/>
          <w:iCs/>
        </w:rPr>
        <w:t>Afforestation and reforestation</w:t>
      </w:r>
      <w:r w:rsidRPr="00DD1C54">
        <w:t>,</w:t>
      </w:r>
      <w:r w:rsidRPr="00DD1C54">
        <w:rPr>
          <w:i/>
          <w:iCs/>
        </w:rPr>
        <w:t xml:space="preserve"> Deforestation</w:t>
      </w:r>
      <w:r w:rsidRPr="00DD1C54">
        <w:t xml:space="preserve"> and </w:t>
      </w:r>
      <w:r w:rsidRPr="00DD1C54">
        <w:rPr>
          <w:i/>
          <w:iCs/>
        </w:rPr>
        <w:t>Forest management</w:t>
      </w:r>
      <w:r w:rsidRPr="00DD1C54">
        <w:t xml:space="preserve"> activities were ±51.9 per cent and ±50.9 per cent</w:t>
      </w:r>
      <w:r w:rsidRPr="00DD1C54">
        <w:rPr>
          <w:spacing w:val="-2"/>
        </w:rPr>
        <w:t xml:space="preserve"> at a 95 per cent confidence interval in 2021 and 2022 respectively </w:t>
      </w:r>
      <w:r w:rsidRPr="00DD1C54">
        <w:t xml:space="preserve">(table A2.18). </w:t>
      </w:r>
    </w:p>
    <w:p w14:paraId="2CB3E2A9" w14:textId="77777777" w:rsidR="006929CB" w:rsidRPr="00DD1C54" w:rsidRDefault="006929CB" w:rsidP="006929CB">
      <w:pPr>
        <w:pStyle w:val="BodyText"/>
      </w:pPr>
      <w:r w:rsidRPr="00DD1C54">
        <w:t xml:space="preserve">Uncertainty also arises from the determination of the LTA carbon stock and LTA age for production planted forests in </w:t>
      </w:r>
      <w:r w:rsidRPr="00DD1C54">
        <w:rPr>
          <w:i/>
          <w:iCs/>
        </w:rPr>
        <w:t>Afforestation and reforestation</w:t>
      </w:r>
      <w:r w:rsidRPr="00DD1C54">
        <w:t xml:space="preserve">. The estimated LTA carbon stock reflects current forest management based on the best information available (Dovey and Wakelin, unpublished). Inputs include growth rates (represented by yield tables derived from the LUCAS forest plot network), rotation age, species split in the planted forest estate, and the lifespan of wood products (section A2.3.2). The simulation to determine the LTA estimate was run over eight rotations and was found to be reasonably insensitive to changes in inputs, especially given the expected average rotation lengths, relative to any delayed emissions from HWP or harvest residues (Dovey and Wakelin, unpublished). It is not clear the extent to which uncertainty in LTA carbon stock or LTA age estimates will affect overall uncertainty in emissions estimates, and further work to quantify this is planned. </w:t>
      </w:r>
    </w:p>
    <w:p w14:paraId="0C0B29B7" w14:textId="77777777" w:rsidR="006929CB" w:rsidRPr="00DD1C54" w:rsidRDefault="006929CB" w:rsidP="006929CB">
      <w:pPr>
        <w:pStyle w:val="Tableheading"/>
      </w:pPr>
      <w:bookmarkStart w:id="1211" w:name="_Toc280630486"/>
      <w:bookmarkStart w:id="1212" w:name="_Toc310423446"/>
      <w:bookmarkStart w:id="1213" w:name="_Toc318362739"/>
      <w:bookmarkStart w:id="1214" w:name="_Toc342470818"/>
      <w:bookmarkStart w:id="1215" w:name="_Toc352505071"/>
      <w:bookmarkStart w:id="1216" w:name="_Toc377043707"/>
      <w:bookmarkStart w:id="1217" w:name="_Toc391023559"/>
      <w:bookmarkStart w:id="1218" w:name="_Toc414531532"/>
      <w:bookmarkStart w:id="1219" w:name="_Toc456179110"/>
      <w:bookmarkStart w:id="1220" w:name="_Toc481751635"/>
      <w:bookmarkStart w:id="1221" w:name="_Toc522010661"/>
      <w:bookmarkStart w:id="1222" w:name="_Toc5269632"/>
      <w:bookmarkStart w:id="1223" w:name="_Toc36224715"/>
      <w:bookmarkStart w:id="1224" w:name="_Toc64987050"/>
      <w:bookmarkStart w:id="1225" w:name="_Toc68786600"/>
      <w:bookmarkStart w:id="1226" w:name="_Toc95321545"/>
      <w:bookmarkStart w:id="1227" w:name="_Toc99659397"/>
      <w:bookmarkStart w:id="1228" w:name="_Toc182311709"/>
      <w:bookmarkStart w:id="1229" w:name="_Toc185407544"/>
      <w:bookmarkStart w:id="1230" w:name="_Toc185427807"/>
      <w:r w:rsidRPr="00DD1C54">
        <w:t xml:space="preserve">Table A2.17: </w:t>
      </w:r>
      <w:r w:rsidRPr="00DD1C54">
        <w:tab/>
        <w:t xml:space="preserve">Uncertainty in New Zealand’s estimates for </w:t>
      </w:r>
      <w:r w:rsidRPr="00DD1C54">
        <w:rPr>
          <w:i/>
          <w:iCs/>
        </w:rPr>
        <w:t>Afforestation and reforestation</w:t>
      </w:r>
      <w:r w:rsidRPr="00DD1C54">
        <w:t>,</w:t>
      </w:r>
      <w:r w:rsidRPr="00DD1C54">
        <w:br/>
      </w:r>
      <w:r w:rsidRPr="00DD1C54">
        <w:rPr>
          <w:i/>
          <w:iCs/>
        </w:rPr>
        <w:t>Deforestation</w:t>
      </w:r>
      <w:r w:rsidRPr="00DD1C54">
        <w:t xml:space="preserve"> and </w:t>
      </w:r>
      <w:r w:rsidRPr="00DD1C54">
        <w:rPr>
          <w:i/>
          <w:iCs/>
        </w:rPr>
        <w:t>Forest management</w:t>
      </w:r>
      <w:r w:rsidRPr="00DD1C54">
        <w:t xml:space="preserve"> activities in 2021 and </w:t>
      </w:r>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r w:rsidRPr="00DD1C54">
        <w:t>2022</w:t>
      </w:r>
      <w:bookmarkEnd w:id="1228"/>
      <w:bookmarkEnd w:id="1229"/>
      <w:bookmarkEnd w:id="1230"/>
    </w:p>
    <w:tbl>
      <w:tblPr>
        <w:tblW w:w="8505" w:type="dxa"/>
        <w:tblBorders>
          <w:top w:val="single" w:sz="4" w:space="0" w:color="1B556B"/>
          <w:bottom w:val="single" w:sz="4" w:space="0" w:color="1B556B"/>
          <w:insideH w:val="single" w:sz="4" w:space="0" w:color="1B556B"/>
          <w:insideV w:val="single" w:sz="4" w:space="0" w:color="1B556B"/>
        </w:tblBorders>
        <w:tblLayout w:type="fixed"/>
        <w:tblLook w:val="04A0" w:firstRow="1" w:lastRow="0" w:firstColumn="1" w:lastColumn="0" w:noHBand="0" w:noVBand="1"/>
      </w:tblPr>
      <w:tblGrid>
        <w:gridCol w:w="1429"/>
        <w:gridCol w:w="809"/>
        <w:gridCol w:w="840"/>
        <w:gridCol w:w="841"/>
        <w:gridCol w:w="953"/>
        <w:gridCol w:w="953"/>
        <w:gridCol w:w="840"/>
        <w:gridCol w:w="880"/>
        <w:gridCol w:w="960"/>
      </w:tblGrid>
      <w:tr w:rsidR="006929CB" w:rsidRPr="00795E1F" w14:paraId="550D0FE2" w14:textId="77777777" w:rsidTr="00795E1F">
        <w:trPr>
          <w:tblHeader/>
        </w:trPr>
        <w:tc>
          <w:tcPr>
            <w:tcW w:w="1429" w:type="dxa"/>
            <w:vMerge w:val="restart"/>
            <w:shd w:val="clear" w:color="auto" w:fill="1B556B"/>
            <w:noWrap/>
            <w:vAlign w:val="center"/>
            <w:hideMark/>
          </w:tcPr>
          <w:p w14:paraId="234C0D6D" w14:textId="77777777" w:rsidR="006929CB" w:rsidRPr="00795E1F" w:rsidRDefault="006929CB">
            <w:pPr>
              <w:pStyle w:val="TableText"/>
              <w:keepNext/>
              <w:rPr>
                <w:szCs w:val="18"/>
              </w:rPr>
            </w:pPr>
          </w:p>
        </w:tc>
        <w:tc>
          <w:tcPr>
            <w:tcW w:w="7076" w:type="dxa"/>
            <w:gridSpan w:val="8"/>
            <w:shd w:val="clear" w:color="auto" w:fill="1B556B"/>
          </w:tcPr>
          <w:p w14:paraId="37ABCE10" w14:textId="77777777" w:rsidR="006929CB" w:rsidRPr="00795E1F" w:rsidRDefault="006929CB">
            <w:pPr>
              <w:pStyle w:val="TableTextbold"/>
              <w:keepNext/>
              <w:spacing w:before="50" w:after="0"/>
              <w:jc w:val="center"/>
              <w:rPr>
                <w:rFonts w:cs="Calibri"/>
                <w:bCs/>
                <w:color w:val="FFFFFF"/>
                <w:szCs w:val="18"/>
              </w:rPr>
            </w:pPr>
            <w:r w:rsidRPr="00795E1F">
              <w:rPr>
                <w:rFonts w:cs="Calibri"/>
                <w:bCs/>
                <w:color w:val="FFFFFF"/>
                <w:szCs w:val="18"/>
              </w:rPr>
              <w:t>Uncertainty (%) at a 95% confidence interval</w:t>
            </w:r>
          </w:p>
        </w:tc>
      </w:tr>
      <w:tr w:rsidR="006929CB" w:rsidRPr="00795E1F" w14:paraId="0E1F84D1" w14:textId="77777777" w:rsidTr="00795E1F">
        <w:trPr>
          <w:tblHeader/>
        </w:trPr>
        <w:tc>
          <w:tcPr>
            <w:tcW w:w="1429" w:type="dxa"/>
            <w:vMerge/>
            <w:noWrap/>
            <w:vAlign w:val="bottom"/>
            <w:hideMark/>
          </w:tcPr>
          <w:p w14:paraId="7127234C" w14:textId="77777777" w:rsidR="006929CB" w:rsidRPr="00795E1F" w:rsidRDefault="006929CB">
            <w:pPr>
              <w:pStyle w:val="TableTextbold"/>
              <w:keepNext/>
              <w:spacing w:before="50" w:after="50"/>
              <w:jc w:val="center"/>
              <w:rPr>
                <w:rFonts w:cs="Calibri"/>
                <w:bCs/>
                <w:color w:val="FFFFFF"/>
                <w:szCs w:val="18"/>
              </w:rPr>
            </w:pPr>
          </w:p>
        </w:tc>
        <w:tc>
          <w:tcPr>
            <w:tcW w:w="1649" w:type="dxa"/>
            <w:gridSpan w:val="2"/>
            <w:shd w:val="clear" w:color="auto" w:fill="1B556B"/>
            <w:vAlign w:val="bottom"/>
            <w:hideMark/>
          </w:tcPr>
          <w:p w14:paraId="0581FE6B" w14:textId="77777777" w:rsidR="006929CB" w:rsidRPr="00795E1F" w:rsidRDefault="006929CB">
            <w:pPr>
              <w:pStyle w:val="TableTextbold"/>
              <w:keepNext/>
              <w:spacing w:before="50" w:after="50"/>
              <w:jc w:val="center"/>
              <w:rPr>
                <w:rFonts w:cs="Calibri"/>
                <w:color w:val="FFFFFF"/>
                <w:szCs w:val="18"/>
              </w:rPr>
            </w:pPr>
            <w:r w:rsidRPr="00795E1F">
              <w:rPr>
                <w:rFonts w:cs="Calibri"/>
                <w:color w:val="FFFFFF"/>
                <w:szCs w:val="18"/>
              </w:rPr>
              <w:t>Afforestation and</w:t>
            </w:r>
            <w:r w:rsidRPr="00795E1F">
              <w:rPr>
                <w:rFonts w:cs="Calibri"/>
                <w:color w:val="FFFFFF"/>
                <w:szCs w:val="18"/>
              </w:rPr>
              <w:br/>
              <w:t>reforestation</w:t>
            </w:r>
          </w:p>
        </w:tc>
        <w:tc>
          <w:tcPr>
            <w:tcW w:w="3587" w:type="dxa"/>
            <w:gridSpan w:val="4"/>
            <w:shd w:val="clear" w:color="auto" w:fill="1B556B"/>
            <w:noWrap/>
            <w:vAlign w:val="bottom"/>
            <w:hideMark/>
          </w:tcPr>
          <w:p w14:paraId="670A003F" w14:textId="77777777" w:rsidR="006929CB" w:rsidRPr="00795E1F" w:rsidRDefault="006929CB">
            <w:pPr>
              <w:pStyle w:val="TableTextbold"/>
              <w:keepNext/>
              <w:spacing w:before="50" w:after="50"/>
              <w:jc w:val="center"/>
              <w:rPr>
                <w:rFonts w:cs="Calibri"/>
                <w:color w:val="FFFFFF"/>
                <w:szCs w:val="18"/>
              </w:rPr>
            </w:pPr>
            <w:r w:rsidRPr="00795E1F">
              <w:rPr>
                <w:rFonts w:cs="Calibri"/>
                <w:color w:val="FFFFFF"/>
                <w:szCs w:val="18"/>
              </w:rPr>
              <w:t>Deforestation</w:t>
            </w:r>
          </w:p>
        </w:tc>
        <w:tc>
          <w:tcPr>
            <w:tcW w:w="1840" w:type="dxa"/>
            <w:gridSpan w:val="2"/>
            <w:shd w:val="clear" w:color="auto" w:fill="1B556B"/>
            <w:vAlign w:val="bottom"/>
          </w:tcPr>
          <w:p w14:paraId="05B865A1" w14:textId="77777777" w:rsidR="006929CB" w:rsidRPr="00795E1F" w:rsidRDefault="006929CB">
            <w:pPr>
              <w:pStyle w:val="TableTextbold"/>
              <w:keepNext/>
              <w:spacing w:before="50" w:after="50"/>
              <w:jc w:val="center"/>
              <w:rPr>
                <w:rFonts w:cs="Calibri"/>
                <w:color w:val="FFFFFF"/>
                <w:szCs w:val="18"/>
              </w:rPr>
            </w:pPr>
            <w:r w:rsidRPr="00795E1F">
              <w:rPr>
                <w:rFonts w:cs="Calibri"/>
                <w:color w:val="FFFFFF"/>
                <w:szCs w:val="18"/>
              </w:rPr>
              <w:t>Forest management</w:t>
            </w:r>
          </w:p>
        </w:tc>
      </w:tr>
      <w:tr w:rsidR="006929CB" w:rsidRPr="00795E1F" w14:paraId="48089722" w14:textId="77777777" w:rsidTr="00795E1F">
        <w:tc>
          <w:tcPr>
            <w:tcW w:w="1429" w:type="dxa"/>
            <w:shd w:val="clear" w:color="auto" w:fill="auto"/>
            <w:noWrap/>
            <w:vAlign w:val="bottom"/>
            <w:hideMark/>
          </w:tcPr>
          <w:p w14:paraId="6A3709A9" w14:textId="77777777" w:rsidR="006929CB" w:rsidRPr="00795E1F" w:rsidRDefault="006929CB">
            <w:pPr>
              <w:pStyle w:val="TableText"/>
              <w:keepNext/>
              <w:spacing w:before="40" w:after="40"/>
              <w:rPr>
                <w:rFonts w:cs="Calibri"/>
                <w:b/>
                <w:bCs/>
                <w:szCs w:val="18"/>
              </w:rPr>
            </w:pPr>
          </w:p>
        </w:tc>
        <w:tc>
          <w:tcPr>
            <w:tcW w:w="809" w:type="dxa"/>
            <w:shd w:val="clear" w:color="auto" w:fill="auto"/>
            <w:vAlign w:val="bottom"/>
            <w:hideMark/>
          </w:tcPr>
          <w:p w14:paraId="5C7A7A06" w14:textId="77777777" w:rsidR="006929CB" w:rsidRPr="00795E1F" w:rsidRDefault="006929CB">
            <w:pPr>
              <w:pStyle w:val="TableTextbold"/>
              <w:keepNext/>
              <w:spacing w:before="40" w:after="40"/>
              <w:jc w:val="center"/>
              <w:rPr>
                <w:rFonts w:cs="Calibri"/>
                <w:b w:val="0"/>
                <w:szCs w:val="18"/>
              </w:rPr>
            </w:pPr>
            <w:r w:rsidRPr="00795E1F">
              <w:rPr>
                <w:szCs w:val="18"/>
              </w:rPr>
              <w:t>Post-1989 planted forest</w:t>
            </w:r>
          </w:p>
        </w:tc>
        <w:tc>
          <w:tcPr>
            <w:tcW w:w="840" w:type="dxa"/>
          </w:tcPr>
          <w:p w14:paraId="61A82C04" w14:textId="77777777" w:rsidR="006929CB" w:rsidRPr="00795E1F" w:rsidRDefault="006929CB">
            <w:pPr>
              <w:pStyle w:val="TableTextbold"/>
              <w:keepNext/>
              <w:spacing w:before="40" w:after="40"/>
              <w:jc w:val="center"/>
              <w:rPr>
                <w:rFonts w:cs="Calibri"/>
                <w:b w:val="0"/>
                <w:szCs w:val="18"/>
              </w:rPr>
            </w:pPr>
            <w:r w:rsidRPr="00795E1F">
              <w:rPr>
                <w:szCs w:val="18"/>
              </w:rPr>
              <w:t>Post-1989 natural forest</w:t>
            </w:r>
          </w:p>
        </w:tc>
        <w:tc>
          <w:tcPr>
            <w:tcW w:w="841" w:type="dxa"/>
            <w:shd w:val="clear" w:color="auto" w:fill="auto"/>
            <w:noWrap/>
            <w:vAlign w:val="bottom"/>
            <w:hideMark/>
          </w:tcPr>
          <w:p w14:paraId="0BAD8E9E" w14:textId="77777777" w:rsidR="006929CB" w:rsidRPr="00795E1F" w:rsidRDefault="006929CB">
            <w:pPr>
              <w:pStyle w:val="TableTextbold"/>
              <w:keepNext/>
              <w:spacing w:before="40" w:after="40"/>
              <w:jc w:val="center"/>
              <w:rPr>
                <w:rFonts w:cs="Calibri"/>
                <w:b w:val="0"/>
                <w:szCs w:val="18"/>
              </w:rPr>
            </w:pPr>
            <w:r w:rsidRPr="00795E1F">
              <w:rPr>
                <w:szCs w:val="18"/>
              </w:rPr>
              <w:t>Pre-1990 natural forest</w:t>
            </w:r>
          </w:p>
        </w:tc>
        <w:tc>
          <w:tcPr>
            <w:tcW w:w="953" w:type="dxa"/>
            <w:shd w:val="clear" w:color="auto" w:fill="auto"/>
            <w:noWrap/>
            <w:vAlign w:val="bottom"/>
            <w:hideMark/>
          </w:tcPr>
          <w:p w14:paraId="1C44EBDD" w14:textId="77777777" w:rsidR="006929CB" w:rsidRPr="00795E1F" w:rsidRDefault="006929CB">
            <w:pPr>
              <w:pStyle w:val="TableTextbold"/>
              <w:keepNext/>
              <w:spacing w:before="40" w:after="40"/>
              <w:jc w:val="center"/>
              <w:rPr>
                <w:rFonts w:cs="Calibri"/>
                <w:b w:val="0"/>
                <w:szCs w:val="18"/>
              </w:rPr>
            </w:pPr>
            <w:r w:rsidRPr="00795E1F">
              <w:rPr>
                <w:szCs w:val="18"/>
              </w:rPr>
              <w:t>Pre-1990 planted forest</w:t>
            </w:r>
          </w:p>
        </w:tc>
        <w:tc>
          <w:tcPr>
            <w:tcW w:w="953" w:type="dxa"/>
            <w:shd w:val="clear" w:color="auto" w:fill="auto"/>
            <w:noWrap/>
            <w:vAlign w:val="bottom"/>
            <w:hideMark/>
          </w:tcPr>
          <w:p w14:paraId="1B19340F" w14:textId="77777777" w:rsidR="006929CB" w:rsidRPr="00795E1F" w:rsidRDefault="006929CB">
            <w:pPr>
              <w:pStyle w:val="TableTextbold"/>
              <w:keepNext/>
              <w:spacing w:before="40" w:after="40"/>
              <w:jc w:val="center"/>
              <w:rPr>
                <w:rFonts w:cs="Calibri"/>
                <w:b w:val="0"/>
                <w:szCs w:val="18"/>
              </w:rPr>
            </w:pPr>
            <w:r w:rsidRPr="00795E1F">
              <w:rPr>
                <w:szCs w:val="18"/>
              </w:rPr>
              <w:t xml:space="preserve">Post-1989 </w:t>
            </w:r>
            <w:r w:rsidRPr="00795E1F">
              <w:rPr>
                <w:rFonts w:cs="Calibri"/>
                <w:bCs/>
                <w:szCs w:val="18"/>
              </w:rPr>
              <w:t>planted forest</w:t>
            </w:r>
          </w:p>
        </w:tc>
        <w:tc>
          <w:tcPr>
            <w:tcW w:w="840" w:type="dxa"/>
          </w:tcPr>
          <w:p w14:paraId="30EEF4D3" w14:textId="77777777" w:rsidR="006929CB" w:rsidRPr="00795E1F" w:rsidRDefault="006929CB">
            <w:pPr>
              <w:pStyle w:val="TableTextbold"/>
              <w:keepNext/>
              <w:spacing w:before="40" w:after="40"/>
              <w:jc w:val="center"/>
              <w:rPr>
                <w:rFonts w:cs="Calibri"/>
                <w:b w:val="0"/>
                <w:szCs w:val="18"/>
              </w:rPr>
            </w:pPr>
            <w:r w:rsidRPr="00795E1F">
              <w:rPr>
                <w:szCs w:val="18"/>
              </w:rPr>
              <w:t>Post-1989 natural forest</w:t>
            </w:r>
          </w:p>
        </w:tc>
        <w:tc>
          <w:tcPr>
            <w:tcW w:w="880" w:type="dxa"/>
            <w:shd w:val="clear" w:color="auto" w:fill="auto"/>
            <w:vAlign w:val="bottom"/>
          </w:tcPr>
          <w:p w14:paraId="5A33002B" w14:textId="77777777" w:rsidR="006929CB" w:rsidRPr="00795E1F" w:rsidRDefault="006929CB">
            <w:pPr>
              <w:pStyle w:val="TableTextbold"/>
              <w:keepNext/>
              <w:spacing w:before="40" w:after="40"/>
              <w:jc w:val="center"/>
              <w:rPr>
                <w:rFonts w:cs="Calibri"/>
                <w:b w:val="0"/>
                <w:szCs w:val="18"/>
              </w:rPr>
            </w:pPr>
            <w:r w:rsidRPr="00795E1F">
              <w:rPr>
                <w:szCs w:val="18"/>
              </w:rPr>
              <w:t xml:space="preserve">Pre-1990 natural </w:t>
            </w:r>
            <w:r w:rsidRPr="00795E1F">
              <w:rPr>
                <w:rFonts w:cs="Calibri"/>
                <w:bCs/>
                <w:szCs w:val="18"/>
              </w:rPr>
              <w:t>forest</w:t>
            </w:r>
          </w:p>
        </w:tc>
        <w:tc>
          <w:tcPr>
            <w:tcW w:w="960" w:type="dxa"/>
            <w:shd w:val="clear" w:color="auto" w:fill="auto"/>
            <w:vAlign w:val="bottom"/>
          </w:tcPr>
          <w:p w14:paraId="719A5054" w14:textId="77777777" w:rsidR="006929CB" w:rsidRPr="00795E1F" w:rsidRDefault="006929CB">
            <w:pPr>
              <w:pStyle w:val="TableTextbold"/>
              <w:keepNext/>
              <w:spacing w:before="40" w:after="40"/>
              <w:jc w:val="center"/>
              <w:rPr>
                <w:rFonts w:cs="Calibri"/>
                <w:b w:val="0"/>
                <w:szCs w:val="18"/>
              </w:rPr>
            </w:pPr>
            <w:r w:rsidRPr="00795E1F">
              <w:rPr>
                <w:szCs w:val="18"/>
              </w:rPr>
              <w:t>Pre-1990 planted forest</w:t>
            </w:r>
          </w:p>
        </w:tc>
      </w:tr>
      <w:tr w:rsidR="006929CB" w:rsidRPr="00795E1F" w14:paraId="29CA21F5" w14:textId="77777777" w:rsidTr="00795E1F">
        <w:tc>
          <w:tcPr>
            <w:tcW w:w="8505" w:type="dxa"/>
            <w:gridSpan w:val="9"/>
            <w:shd w:val="clear" w:color="auto" w:fill="auto"/>
            <w:noWrap/>
            <w:hideMark/>
          </w:tcPr>
          <w:p w14:paraId="0C9ACD7E" w14:textId="77777777" w:rsidR="006929CB" w:rsidRPr="00795E1F" w:rsidRDefault="006929CB">
            <w:pPr>
              <w:pStyle w:val="TableTextbold"/>
              <w:keepNext/>
              <w:spacing w:before="40" w:after="40"/>
              <w:rPr>
                <w:rFonts w:cs="Calibri"/>
                <w:szCs w:val="18"/>
              </w:rPr>
            </w:pPr>
            <w:r w:rsidRPr="00795E1F">
              <w:rPr>
                <w:rFonts w:cs="Calibri"/>
                <w:bCs/>
                <w:szCs w:val="18"/>
              </w:rPr>
              <w:t>2021 and 2022 activity data</w:t>
            </w:r>
          </w:p>
        </w:tc>
      </w:tr>
      <w:tr w:rsidR="006929CB" w:rsidRPr="00795E1F" w14:paraId="42DF1402" w14:textId="77777777" w:rsidTr="00795E1F">
        <w:tc>
          <w:tcPr>
            <w:tcW w:w="1429" w:type="dxa"/>
            <w:shd w:val="clear" w:color="auto" w:fill="auto"/>
            <w:noWrap/>
            <w:vAlign w:val="center"/>
            <w:hideMark/>
          </w:tcPr>
          <w:p w14:paraId="4A857CE9" w14:textId="77777777" w:rsidR="006929CB" w:rsidRPr="00795E1F" w:rsidRDefault="006929CB">
            <w:pPr>
              <w:pStyle w:val="TableText"/>
              <w:keepNext/>
              <w:spacing w:before="40" w:after="40"/>
              <w:rPr>
                <w:szCs w:val="18"/>
              </w:rPr>
            </w:pPr>
            <w:r w:rsidRPr="00795E1F">
              <w:rPr>
                <w:szCs w:val="18"/>
              </w:rPr>
              <w:t>Land area</w:t>
            </w:r>
          </w:p>
        </w:tc>
        <w:tc>
          <w:tcPr>
            <w:tcW w:w="809" w:type="dxa"/>
            <w:shd w:val="clear" w:color="auto" w:fill="auto"/>
            <w:noWrap/>
            <w:hideMark/>
          </w:tcPr>
          <w:p w14:paraId="7E15C65D" w14:textId="77777777" w:rsidR="006929CB" w:rsidRPr="00795E1F" w:rsidRDefault="006929CB">
            <w:pPr>
              <w:pStyle w:val="TableText"/>
              <w:keepNext/>
              <w:tabs>
                <w:tab w:val="decimal" w:pos="377"/>
              </w:tabs>
              <w:spacing w:before="40" w:after="40"/>
              <w:jc w:val="center"/>
              <w:rPr>
                <w:szCs w:val="18"/>
              </w:rPr>
            </w:pPr>
            <w:r w:rsidRPr="00795E1F">
              <w:rPr>
                <w:szCs w:val="18"/>
              </w:rPr>
              <w:t>±8.0</w:t>
            </w:r>
          </w:p>
        </w:tc>
        <w:tc>
          <w:tcPr>
            <w:tcW w:w="840" w:type="dxa"/>
          </w:tcPr>
          <w:p w14:paraId="2467E82E" w14:textId="77777777" w:rsidR="006929CB" w:rsidRPr="00795E1F" w:rsidRDefault="006929CB">
            <w:pPr>
              <w:pStyle w:val="TableText"/>
              <w:keepNext/>
              <w:tabs>
                <w:tab w:val="decimal" w:pos="377"/>
              </w:tabs>
              <w:spacing w:before="40" w:after="40"/>
              <w:jc w:val="center"/>
              <w:rPr>
                <w:szCs w:val="18"/>
              </w:rPr>
            </w:pPr>
            <w:r w:rsidRPr="00795E1F">
              <w:rPr>
                <w:szCs w:val="18"/>
              </w:rPr>
              <w:t>±8.0</w:t>
            </w:r>
          </w:p>
        </w:tc>
        <w:tc>
          <w:tcPr>
            <w:tcW w:w="841" w:type="dxa"/>
            <w:shd w:val="clear" w:color="auto" w:fill="auto"/>
            <w:noWrap/>
            <w:hideMark/>
          </w:tcPr>
          <w:p w14:paraId="4142F312" w14:textId="77777777" w:rsidR="006929CB" w:rsidRPr="00795E1F" w:rsidRDefault="006929CB">
            <w:pPr>
              <w:pStyle w:val="TableText"/>
              <w:keepNext/>
              <w:tabs>
                <w:tab w:val="decimal" w:pos="377"/>
              </w:tabs>
              <w:spacing w:before="40" w:after="40"/>
              <w:jc w:val="center"/>
              <w:rPr>
                <w:szCs w:val="18"/>
              </w:rPr>
            </w:pPr>
            <w:r w:rsidRPr="00795E1F">
              <w:rPr>
                <w:szCs w:val="18"/>
              </w:rPr>
              <w:t>±5.0</w:t>
            </w:r>
          </w:p>
        </w:tc>
        <w:tc>
          <w:tcPr>
            <w:tcW w:w="953" w:type="dxa"/>
            <w:shd w:val="clear" w:color="auto" w:fill="auto"/>
            <w:noWrap/>
            <w:hideMark/>
          </w:tcPr>
          <w:p w14:paraId="4073C285" w14:textId="77777777" w:rsidR="006929CB" w:rsidRPr="00795E1F" w:rsidRDefault="006929CB">
            <w:pPr>
              <w:pStyle w:val="TableText"/>
              <w:keepNext/>
              <w:tabs>
                <w:tab w:val="decimal" w:pos="377"/>
              </w:tabs>
              <w:spacing w:before="40" w:after="40"/>
              <w:jc w:val="center"/>
              <w:rPr>
                <w:szCs w:val="18"/>
              </w:rPr>
            </w:pPr>
            <w:r w:rsidRPr="00795E1F">
              <w:rPr>
                <w:szCs w:val="18"/>
              </w:rPr>
              <w:t>±5.0</w:t>
            </w:r>
          </w:p>
        </w:tc>
        <w:tc>
          <w:tcPr>
            <w:tcW w:w="953" w:type="dxa"/>
            <w:shd w:val="clear" w:color="auto" w:fill="auto"/>
            <w:noWrap/>
            <w:hideMark/>
          </w:tcPr>
          <w:p w14:paraId="33FA3F02" w14:textId="77777777" w:rsidR="006929CB" w:rsidRPr="00795E1F" w:rsidRDefault="006929CB">
            <w:pPr>
              <w:pStyle w:val="TableText"/>
              <w:keepNext/>
              <w:tabs>
                <w:tab w:val="decimal" w:pos="377"/>
              </w:tabs>
              <w:spacing w:before="40" w:after="40"/>
              <w:jc w:val="center"/>
              <w:rPr>
                <w:szCs w:val="18"/>
              </w:rPr>
            </w:pPr>
            <w:r w:rsidRPr="00795E1F">
              <w:rPr>
                <w:szCs w:val="18"/>
              </w:rPr>
              <w:t>±5.0</w:t>
            </w:r>
          </w:p>
        </w:tc>
        <w:tc>
          <w:tcPr>
            <w:tcW w:w="840" w:type="dxa"/>
          </w:tcPr>
          <w:p w14:paraId="22500FA3" w14:textId="77777777" w:rsidR="006929CB" w:rsidRPr="00795E1F" w:rsidRDefault="006929CB">
            <w:pPr>
              <w:pStyle w:val="TableText"/>
              <w:keepNext/>
              <w:tabs>
                <w:tab w:val="decimal" w:pos="377"/>
              </w:tabs>
              <w:spacing w:before="40" w:after="40"/>
              <w:jc w:val="center"/>
              <w:rPr>
                <w:szCs w:val="18"/>
              </w:rPr>
            </w:pPr>
            <w:r w:rsidRPr="00795E1F">
              <w:rPr>
                <w:szCs w:val="18"/>
              </w:rPr>
              <w:t>±5.0</w:t>
            </w:r>
          </w:p>
        </w:tc>
        <w:tc>
          <w:tcPr>
            <w:tcW w:w="880" w:type="dxa"/>
            <w:shd w:val="clear" w:color="auto" w:fill="auto"/>
          </w:tcPr>
          <w:p w14:paraId="7474A6DF" w14:textId="77777777" w:rsidR="006929CB" w:rsidRPr="00795E1F" w:rsidRDefault="006929CB">
            <w:pPr>
              <w:pStyle w:val="TableText"/>
              <w:keepNext/>
              <w:tabs>
                <w:tab w:val="decimal" w:pos="377"/>
              </w:tabs>
              <w:spacing w:before="40" w:after="40"/>
              <w:jc w:val="center"/>
              <w:rPr>
                <w:szCs w:val="18"/>
              </w:rPr>
            </w:pPr>
            <w:r w:rsidRPr="00795E1F">
              <w:rPr>
                <w:szCs w:val="18"/>
              </w:rPr>
              <w:t>±5.0</w:t>
            </w:r>
          </w:p>
        </w:tc>
        <w:tc>
          <w:tcPr>
            <w:tcW w:w="960" w:type="dxa"/>
            <w:shd w:val="clear" w:color="auto" w:fill="auto"/>
          </w:tcPr>
          <w:p w14:paraId="3A329DDE" w14:textId="77777777" w:rsidR="006929CB" w:rsidRPr="00795E1F" w:rsidRDefault="006929CB">
            <w:pPr>
              <w:pStyle w:val="TableText"/>
              <w:keepNext/>
              <w:tabs>
                <w:tab w:val="decimal" w:pos="377"/>
              </w:tabs>
              <w:spacing w:before="40" w:after="40"/>
              <w:jc w:val="center"/>
              <w:rPr>
                <w:szCs w:val="18"/>
              </w:rPr>
            </w:pPr>
            <w:r w:rsidRPr="00795E1F">
              <w:rPr>
                <w:szCs w:val="18"/>
              </w:rPr>
              <w:t>±5.0</w:t>
            </w:r>
          </w:p>
        </w:tc>
      </w:tr>
      <w:tr w:rsidR="006929CB" w:rsidRPr="00795E1F" w14:paraId="7EF14B71" w14:textId="77777777" w:rsidTr="00795E1F">
        <w:tc>
          <w:tcPr>
            <w:tcW w:w="8505" w:type="dxa"/>
            <w:gridSpan w:val="9"/>
            <w:shd w:val="clear" w:color="auto" w:fill="auto"/>
            <w:noWrap/>
            <w:hideMark/>
          </w:tcPr>
          <w:p w14:paraId="030F59B6" w14:textId="77777777" w:rsidR="006929CB" w:rsidRPr="00795E1F" w:rsidRDefault="006929CB">
            <w:pPr>
              <w:pStyle w:val="TableTextbold"/>
              <w:keepNext/>
              <w:tabs>
                <w:tab w:val="decimal" w:pos="377"/>
              </w:tabs>
              <w:spacing w:before="40" w:after="40"/>
              <w:ind w:right="118"/>
              <w:rPr>
                <w:rFonts w:cs="Calibri"/>
                <w:szCs w:val="18"/>
              </w:rPr>
            </w:pPr>
            <w:r w:rsidRPr="00795E1F">
              <w:rPr>
                <w:rFonts w:cs="Calibri"/>
                <w:bCs/>
                <w:szCs w:val="18"/>
              </w:rPr>
              <w:t>2021 and 2022 emission factors</w:t>
            </w:r>
          </w:p>
        </w:tc>
      </w:tr>
      <w:tr w:rsidR="006929CB" w:rsidRPr="00795E1F" w14:paraId="2ECEAEA8" w14:textId="77777777" w:rsidTr="00795E1F">
        <w:tc>
          <w:tcPr>
            <w:tcW w:w="1429" w:type="dxa"/>
            <w:shd w:val="clear" w:color="auto" w:fill="auto"/>
            <w:noWrap/>
            <w:vAlign w:val="bottom"/>
            <w:hideMark/>
          </w:tcPr>
          <w:p w14:paraId="09E83454" w14:textId="77777777" w:rsidR="006929CB" w:rsidRPr="00795E1F" w:rsidRDefault="006929CB">
            <w:pPr>
              <w:pStyle w:val="TableText"/>
              <w:keepNext/>
              <w:spacing w:before="40" w:after="40"/>
              <w:rPr>
                <w:rFonts w:cs="Calibri"/>
                <w:bCs/>
                <w:szCs w:val="18"/>
              </w:rPr>
            </w:pPr>
            <w:r w:rsidRPr="00795E1F">
              <w:rPr>
                <w:szCs w:val="18"/>
              </w:rPr>
              <w:t>Biomass carbon stocks (losses)</w:t>
            </w:r>
          </w:p>
        </w:tc>
        <w:tc>
          <w:tcPr>
            <w:tcW w:w="809" w:type="dxa"/>
            <w:shd w:val="clear" w:color="auto" w:fill="auto"/>
            <w:noWrap/>
            <w:vAlign w:val="bottom"/>
            <w:hideMark/>
          </w:tcPr>
          <w:p w14:paraId="2C2C31E4" w14:textId="77777777" w:rsidR="006929CB" w:rsidRPr="00795E1F" w:rsidRDefault="006929CB">
            <w:pPr>
              <w:pStyle w:val="TableText"/>
              <w:keepNext/>
              <w:tabs>
                <w:tab w:val="decimal" w:pos="377"/>
              </w:tabs>
              <w:spacing w:before="40" w:after="40"/>
              <w:jc w:val="center"/>
              <w:rPr>
                <w:szCs w:val="18"/>
              </w:rPr>
            </w:pPr>
            <w:r w:rsidRPr="00795E1F">
              <w:rPr>
                <w:szCs w:val="18"/>
              </w:rPr>
              <w:t>±20.5</w:t>
            </w:r>
          </w:p>
        </w:tc>
        <w:tc>
          <w:tcPr>
            <w:tcW w:w="840" w:type="dxa"/>
            <w:vAlign w:val="bottom"/>
          </w:tcPr>
          <w:p w14:paraId="3682B439" w14:textId="77777777" w:rsidR="006929CB" w:rsidRPr="00795E1F" w:rsidRDefault="006929CB">
            <w:pPr>
              <w:pStyle w:val="TableText"/>
              <w:keepNext/>
              <w:tabs>
                <w:tab w:val="decimal" w:pos="377"/>
              </w:tabs>
              <w:spacing w:before="40" w:after="40"/>
              <w:jc w:val="center"/>
              <w:rPr>
                <w:szCs w:val="18"/>
              </w:rPr>
            </w:pPr>
            <w:r w:rsidRPr="00795E1F">
              <w:rPr>
                <w:szCs w:val="18"/>
              </w:rPr>
              <w:t>–</w:t>
            </w:r>
          </w:p>
        </w:tc>
        <w:tc>
          <w:tcPr>
            <w:tcW w:w="841" w:type="dxa"/>
            <w:shd w:val="clear" w:color="auto" w:fill="auto"/>
            <w:noWrap/>
            <w:vAlign w:val="bottom"/>
            <w:hideMark/>
          </w:tcPr>
          <w:p w14:paraId="4F48B19E" w14:textId="77777777" w:rsidR="006929CB" w:rsidRPr="00795E1F" w:rsidRDefault="006929CB">
            <w:pPr>
              <w:pStyle w:val="TableText"/>
              <w:keepNext/>
              <w:tabs>
                <w:tab w:val="decimal" w:pos="377"/>
              </w:tabs>
              <w:spacing w:before="40" w:after="40"/>
              <w:jc w:val="center"/>
              <w:rPr>
                <w:szCs w:val="18"/>
              </w:rPr>
            </w:pPr>
            <w:r w:rsidRPr="00795E1F">
              <w:rPr>
                <w:szCs w:val="18"/>
              </w:rPr>
              <w:t>±27.2</w:t>
            </w:r>
          </w:p>
        </w:tc>
        <w:tc>
          <w:tcPr>
            <w:tcW w:w="953" w:type="dxa"/>
            <w:shd w:val="clear" w:color="auto" w:fill="auto"/>
            <w:noWrap/>
            <w:vAlign w:val="bottom"/>
            <w:hideMark/>
          </w:tcPr>
          <w:p w14:paraId="32D2DC1B" w14:textId="77777777" w:rsidR="006929CB" w:rsidRPr="00795E1F" w:rsidRDefault="006929CB">
            <w:pPr>
              <w:pStyle w:val="TableText"/>
              <w:keepNext/>
              <w:tabs>
                <w:tab w:val="decimal" w:pos="377"/>
              </w:tabs>
              <w:spacing w:before="40" w:after="40"/>
              <w:jc w:val="center"/>
              <w:rPr>
                <w:szCs w:val="18"/>
              </w:rPr>
            </w:pPr>
            <w:r w:rsidRPr="00795E1F">
              <w:rPr>
                <w:szCs w:val="18"/>
              </w:rPr>
              <w:t>±20.7</w:t>
            </w:r>
          </w:p>
        </w:tc>
        <w:tc>
          <w:tcPr>
            <w:tcW w:w="953" w:type="dxa"/>
            <w:shd w:val="clear" w:color="auto" w:fill="auto"/>
            <w:noWrap/>
            <w:vAlign w:val="bottom"/>
            <w:hideMark/>
          </w:tcPr>
          <w:p w14:paraId="5E52CC40" w14:textId="77777777" w:rsidR="006929CB" w:rsidRPr="00795E1F" w:rsidRDefault="006929CB">
            <w:pPr>
              <w:pStyle w:val="TableText"/>
              <w:keepNext/>
              <w:tabs>
                <w:tab w:val="decimal" w:pos="377"/>
              </w:tabs>
              <w:spacing w:before="40" w:after="40"/>
              <w:jc w:val="center"/>
              <w:rPr>
                <w:szCs w:val="18"/>
              </w:rPr>
            </w:pPr>
            <w:r w:rsidRPr="00795E1F">
              <w:rPr>
                <w:szCs w:val="18"/>
              </w:rPr>
              <w:t>±20.5</w:t>
            </w:r>
          </w:p>
        </w:tc>
        <w:tc>
          <w:tcPr>
            <w:tcW w:w="840" w:type="dxa"/>
            <w:vAlign w:val="bottom"/>
          </w:tcPr>
          <w:p w14:paraId="2972A84A" w14:textId="77777777" w:rsidR="006929CB" w:rsidRPr="00795E1F" w:rsidRDefault="006929CB">
            <w:pPr>
              <w:pStyle w:val="TableText"/>
              <w:keepNext/>
              <w:tabs>
                <w:tab w:val="decimal" w:pos="377"/>
              </w:tabs>
              <w:spacing w:before="40" w:after="40"/>
              <w:jc w:val="center"/>
              <w:rPr>
                <w:szCs w:val="18"/>
              </w:rPr>
            </w:pPr>
            <w:r w:rsidRPr="00795E1F">
              <w:rPr>
                <w:szCs w:val="18"/>
              </w:rPr>
              <w:t>±27.0</w:t>
            </w:r>
          </w:p>
        </w:tc>
        <w:tc>
          <w:tcPr>
            <w:tcW w:w="880" w:type="dxa"/>
            <w:shd w:val="clear" w:color="auto" w:fill="auto"/>
            <w:vAlign w:val="bottom"/>
          </w:tcPr>
          <w:p w14:paraId="2EAEEE15" w14:textId="77777777" w:rsidR="006929CB" w:rsidRPr="00795E1F" w:rsidRDefault="006929CB">
            <w:pPr>
              <w:pStyle w:val="TableText"/>
              <w:keepNext/>
              <w:tabs>
                <w:tab w:val="decimal" w:pos="377"/>
              </w:tabs>
              <w:spacing w:before="40" w:after="40"/>
              <w:jc w:val="center"/>
              <w:rPr>
                <w:szCs w:val="18"/>
              </w:rPr>
            </w:pPr>
            <w:r w:rsidRPr="00795E1F">
              <w:rPr>
                <w:szCs w:val="18"/>
              </w:rPr>
              <w:t>–</w:t>
            </w:r>
          </w:p>
        </w:tc>
        <w:tc>
          <w:tcPr>
            <w:tcW w:w="960" w:type="dxa"/>
            <w:shd w:val="clear" w:color="auto" w:fill="auto"/>
            <w:vAlign w:val="bottom"/>
          </w:tcPr>
          <w:p w14:paraId="07F0753F" w14:textId="77777777" w:rsidR="006929CB" w:rsidRPr="00795E1F" w:rsidRDefault="006929CB">
            <w:pPr>
              <w:pStyle w:val="TableText"/>
              <w:keepNext/>
              <w:tabs>
                <w:tab w:val="decimal" w:pos="377"/>
              </w:tabs>
              <w:spacing w:before="40" w:after="40"/>
              <w:jc w:val="center"/>
              <w:rPr>
                <w:szCs w:val="18"/>
              </w:rPr>
            </w:pPr>
            <w:r w:rsidRPr="00795E1F">
              <w:rPr>
                <w:szCs w:val="18"/>
              </w:rPr>
              <w:t>±20.7</w:t>
            </w:r>
          </w:p>
        </w:tc>
      </w:tr>
      <w:tr w:rsidR="006929CB" w:rsidRPr="00795E1F" w14:paraId="25D9C4A7" w14:textId="77777777" w:rsidTr="00795E1F">
        <w:tc>
          <w:tcPr>
            <w:tcW w:w="1429" w:type="dxa"/>
            <w:shd w:val="clear" w:color="auto" w:fill="auto"/>
            <w:noWrap/>
            <w:vAlign w:val="bottom"/>
          </w:tcPr>
          <w:p w14:paraId="4A0F226C" w14:textId="77777777" w:rsidR="006929CB" w:rsidRPr="00795E1F" w:rsidRDefault="006929CB">
            <w:pPr>
              <w:pStyle w:val="TableText"/>
              <w:keepNext/>
              <w:spacing w:before="40" w:after="40"/>
              <w:rPr>
                <w:rFonts w:cs="Calibri"/>
                <w:bCs/>
                <w:szCs w:val="18"/>
              </w:rPr>
            </w:pPr>
            <w:r w:rsidRPr="00795E1F">
              <w:rPr>
                <w:szCs w:val="18"/>
              </w:rPr>
              <w:t>Biomass carbon change (gains)</w:t>
            </w:r>
          </w:p>
        </w:tc>
        <w:tc>
          <w:tcPr>
            <w:tcW w:w="809" w:type="dxa"/>
            <w:shd w:val="clear" w:color="auto" w:fill="auto"/>
            <w:noWrap/>
            <w:vAlign w:val="bottom"/>
          </w:tcPr>
          <w:p w14:paraId="41A85656" w14:textId="77777777" w:rsidR="006929CB" w:rsidRPr="00795E1F" w:rsidRDefault="006929CB">
            <w:pPr>
              <w:pStyle w:val="TableText"/>
              <w:keepNext/>
              <w:tabs>
                <w:tab w:val="decimal" w:pos="377"/>
              </w:tabs>
              <w:spacing w:before="40" w:after="40"/>
              <w:jc w:val="center"/>
              <w:rPr>
                <w:szCs w:val="18"/>
              </w:rPr>
            </w:pPr>
            <w:r w:rsidRPr="00795E1F">
              <w:rPr>
                <w:szCs w:val="18"/>
              </w:rPr>
              <w:t>±9.6</w:t>
            </w:r>
          </w:p>
        </w:tc>
        <w:tc>
          <w:tcPr>
            <w:tcW w:w="840" w:type="dxa"/>
            <w:vAlign w:val="bottom"/>
          </w:tcPr>
          <w:p w14:paraId="7204F78F" w14:textId="77777777" w:rsidR="006929CB" w:rsidRPr="00795E1F" w:rsidRDefault="006929CB">
            <w:pPr>
              <w:pStyle w:val="TableText"/>
              <w:keepNext/>
              <w:tabs>
                <w:tab w:val="decimal" w:pos="377"/>
              </w:tabs>
              <w:spacing w:before="40" w:after="40"/>
              <w:jc w:val="center"/>
              <w:rPr>
                <w:szCs w:val="18"/>
              </w:rPr>
            </w:pPr>
            <w:r w:rsidRPr="00795E1F">
              <w:rPr>
                <w:szCs w:val="18"/>
              </w:rPr>
              <w:t>±44.8</w:t>
            </w:r>
          </w:p>
        </w:tc>
        <w:tc>
          <w:tcPr>
            <w:tcW w:w="841" w:type="dxa"/>
            <w:shd w:val="clear" w:color="auto" w:fill="auto"/>
            <w:noWrap/>
            <w:vAlign w:val="bottom"/>
          </w:tcPr>
          <w:p w14:paraId="439A0C61" w14:textId="77777777" w:rsidR="006929CB" w:rsidRPr="00795E1F" w:rsidRDefault="006929CB">
            <w:pPr>
              <w:pStyle w:val="TableText"/>
              <w:keepNext/>
              <w:tabs>
                <w:tab w:val="decimal" w:pos="377"/>
              </w:tabs>
              <w:spacing w:before="40" w:after="40"/>
              <w:jc w:val="center"/>
              <w:rPr>
                <w:szCs w:val="18"/>
              </w:rPr>
            </w:pPr>
            <w:r w:rsidRPr="00795E1F">
              <w:rPr>
                <w:szCs w:val="18"/>
              </w:rPr>
              <w:t>–</w:t>
            </w:r>
          </w:p>
        </w:tc>
        <w:tc>
          <w:tcPr>
            <w:tcW w:w="953" w:type="dxa"/>
            <w:shd w:val="clear" w:color="auto" w:fill="auto"/>
            <w:noWrap/>
            <w:vAlign w:val="bottom"/>
          </w:tcPr>
          <w:p w14:paraId="07D9C094" w14:textId="77777777" w:rsidR="006929CB" w:rsidRPr="00795E1F" w:rsidRDefault="006929CB">
            <w:pPr>
              <w:pStyle w:val="TableText"/>
              <w:keepNext/>
              <w:tabs>
                <w:tab w:val="decimal" w:pos="377"/>
              </w:tabs>
              <w:spacing w:before="40" w:after="40"/>
              <w:jc w:val="center"/>
              <w:rPr>
                <w:szCs w:val="18"/>
              </w:rPr>
            </w:pPr>
            <w:r w:rsidRPr="00795E1F">
              <w:rPr>
                <w:szCs w:val="18"/>
              </w:rPr>
              <w:t>–</w:t>
            </w:r>
          </w:p>
        </w:tc>
        <w:tc>
          <w:tcPr>
            <w:tcW w:w="953" w:type="dxa"/>
            <w:shd w:val="clear" w:color="auto" w:fill="auto"/>
            <w:noWrap/>
            <w:vAlign w:val="bottom"/>
          </w:tcPr>
          <w:p w14:paraId="47BDB15A" w14:textId="77777777" w:rsidR="006929CB" w:rsidRPr="00795E1F" w:rsidRDefault="006929CB">
            <w:pPr>
              <w:pStyle w:val="TableText"/>
              <w:keepNext/>
              <w:tabs>
                <w:tab w:val="decimal" w:pos="377"/>
              </w:tabs>
              <w:spacing w:before="40" w:after="40"/>
              <w:jc w:val="center"/>
              <w:rPr>
                <w:szCs w:val="18"/>
              </w:rPr>
            </w:pPr>
            <w:r w:rsidRPr="00795E1F">
              <w:rPr>
                <w:szCs w:val="18"/>
              </w:rPr>
              <w:t>–</w:t>
            </w:r>
          </w:p>
        </w:tc>
        <w:tc>
          <w:tcPr>
            <w:tcW w:w="840" w:type="dxa"/>
            <w:vAlign w:val="bottom"/>
          </w:tcPr>
          <w:p w14:paraId="53499D64" w14:textId="77777777" w:rsidR="006929CB" w:rsidRPr="00795E1F" w:rsidRDefault="006929CB">
            <w:pPr>
              <w:pStyle w:val="TableText"/>
              <w:keepNext/>
              <w:tabs>
                <w:tab w:val="decimal" w:pos="377"/>
              </w:tabs>
              <w:spacing w:before="40" w:after="40"/>
              <w:jc w:val="center"/>
              <w:rPr>
                <w:szCs w:val="18"/>
              </w:rPr>
            </w:pPr>
            <w:r w:rsidRPr="00795E1F">
              <w:rPr>
                <w:szCs w:val="18"/>
              </w:rPr>
              <w:t>–</w:t>
            </w:r>
          </w:p>
        </w:tc>
        <w:tc>
          <w:tcPr>
            <w:tcW w:w="880" w:type="dxa"/>
            <w:shd w:val="clear" w:color="auto" w:fill="auto"/>
            <w:vAlign w:val="bottom"/>
          </w:tcPr>
          <w:p w14:paraId="4A27DB0C" w14:textId="77777777" w:rsidR="006929CB" w:rsidRPr="00795E1F" w:rsidRDefault="006929CB">
            <w:pPr>
              <w:pStyle w:val="TableText"/>
              <w:keepNext/>
              <w:tabs>
                <w:tab w:val="decimal" w:pos="377"/>
              </w:tabs>
              <w:spacing w:before="40" w:after="40"/>
              <w:jc w:val="center"/>
              <w:rPr>
                <w:szCs w:val="18"/>
              </w:rPr>
            </w:pPr>
            <w:r w:rsidRPr="00795E1F">
              <w:rPr>
                <w:szCs w:val="18"/>
              </w:rPr>
              <w:t>±119.6</w:t>
            </w:r>
          </w:p>
        </w:tc>
        <w:tc>
          <w:tcPr>
            <w:tcW w:w="960" w:type="dxa"/>
            <w:shd w:val="clear" w:color="auto" w:fill="auto"/>
            <w:vAlign w:val="bottom"/>
          </w:tcPr>
          <w:p w14:paraId="760B2D67" w14:textId="77777777" w:rsidR="006929CB" w:rsidRPr="00795E1F" w:rsidRDefault="006929CB">
            <w:pPr>
              <w:pStyle w:val="TableText"/>
              <w:keepNext/>
              <w:tabs>
                <w:tab w:val="decimal" w:pos="377"/>
              </w:tabs>
              <w:spacing w:before="40" w:after="40"/>
              <w:jc w:val="center"/>
              <w:rPr>
                <w:szCs w:val="18"/>
              </w:rPr>
            </w:pPr>
            <w:r w:rsidRPr="00795E1F">
              <w:rPr>
                <w:szCs w:val="18"/>
              </w:rPr>
              <w:t>±11.9</w:t>
            </w:r>
          </w:p>
        </w:tc>
      </w:tr>
      <w:tr w:rsidR="006929CB" w:rsidRPr="00795E1F" w14:paraId="0DE3ACAE" w14:textId="77777777" w:rsidTr="00795E1F">
        <w:tc>
          <w:tcPr>
            <w:tcW w:w="1429" w:type="dxa"/>
            <w:shd w:val="clear" w:color="auto" w:fill="auto"/>
            <w:noWrap/>
            <w:vAlign w:val="bottom"/>
            <w:hideMark/>
          </w:tcPr>
          <w:p w14:paraId="2E59F470" w14:textId="77777777" w:rsidR="006929CB" w:rsidRPr="00795E1F" w:rsidRDefault="006929CB">
            <w:pPr>
              <w:pStyle w:val="TableText"/>
              <w:keepNext/>
              <w:spacing w:before="40" w:after="40"/>
              <w:rPr>
                <w:rFonts w:cs="Calibri"/>
                <w:bCs/>
                <w:szCs w:val="18"/>
              </w:rPr>
            </w:pPr>
            <w:r w:rsidRPr="00795E1F">
              <w:rPr>
                <w:rFonts w:cs="Calibri"/>
                <w:bCs/>
                <w:szCs w:val="18"/>
              </w:rPr>
              <w:t>Soil carbon stocks</w:t>
            </w:r>
          </w:p>
        </w:tc>
        <w:tc>
          <w:tcPr>
            <w:tcW w:w="809" w:type="dxa"/>
            <w:shd w:val="clear" w:color="auto" w:fill="auto"/>
            <w:noWrap/>
            <w:vAlign w:val="bottom"/>
            <w:hideMark/>
          </w:tcPr>
          <w:p w14:paraId="4C034840" w14:textId="77777777" w:rsidR="006929CB" w:rsidRPr="00795E1F" w:rsidRDefault="006929CB">
            <w:pPr>
              <w:pStyle w:val="TableText"/>
              <w:keepNext/>
              <w:tabs>
                <w:tab w:val="decimal" w:pos="377"/>
              </w:tabs>
              <w:spacing w:before="40" w:after="40"/>
              <w:jc w:val="center"/>
              <w:rPr>
                <w:szCs w:val="18"/>
              </w:rPr>
            </w:pPr>
            <w:r w:rsidRPr="00795E1F">
              <w:rPr>
                <w:szCs w:val="18"/>
              </w:rPr>
              <w:t>±10.4</w:t>
            </w:r>
          </w:p>
        </w:tc>
        <w:tc>
          <w:tcPr>
            <w:tcW w:w="840" w:type="dxa"/>
            <w:vAlign w:val="bottom"/>
          </w:tcPr>
          <w:p w14:paraId="34F797BE" w14:textId="77777777" w:rsidR="006929CB" w:rsidRPr="00795E1F" w:rsidRDefault="006929CB">
            <w:pPr>
              <w:pStyle w:val="TableText"/>
              <w:keepNext/>
              <w:tabs>
                <w:tab w:val="decimal" w:pos="377"/>
              </w:tabs>
              <w:spacing w:before="40" w:after="40"/>
              <w:jc w:val="center"/>
              <w:rPr>
                <w:szCs w:val="18"/>
              </w:rPr>
            </w:pPr>
            <w:r w:rsidRPr="00795E1F">
              <w:rPr>
                <w:szCs w:val="18"/>
              </w:rPr>
              <w:t>±10.4</w:t>
            </w:r>
          </w:p>
        </w:tc>
        <w:tc>
          <w:tcPr>
            <w:tcW w:w="841" w:type="dxa"/>
            <w:shd w:val="clear" w:color="auto" w:fill="auto"/>
            <w:noWrap/>
            <w:vAlign w:val="bottom"/>
            <w:hideMark/>
          </w:tcPr>
          <w:p w14:paraId="19851B5C" w14:textId="77777777" w:rsidR="006929CB" w:rsidRPr="00795E1F" w:rsidRDefault="006929CB">
            <w:pPr>
              <w:pStyle w:val="TableText"/>
              <w:keepNext/>
              <w:tabs>
                <w:tab w:val="decimal" w:pos="377"/>
              </w:tabs>
              <w:spacing w:before="40" w:after="40"/>
              <w:jc w:val="center"/>
              <w:rPr>
                <w:szCs w:val="18"/>
              </w:rPr>
            </w:pPr>
            <w:r w:rsidRPr="00795E1F">
              <w:rPr>
                <w:szCs w:val="18"/>
              </w:rPr>
              <w:t>±7.9</w:t>
            </w:r>
          </w:p>
        </w:tc>
        <w:tc>
          <w:tcPr>
            <w:tcW w:w="953" w:type="dxa"/>
            <w:shd w:val="clear" w:color="auto" w:fill="auto"/>
            <w:noWrap/>
            <w:vAlign w:val="bottom"/>
            <w:hideMark/>
          </w:tcPr>
          <w:p w14:paraId="227748E7" w14:textId="77777777" w:rsidR="006929CB" w:rsidRPr="00795E1F" w:rsidRDefault="006929CB">
            <w:pPr>
              <w:pStyle w:val="TableText"/>
              <w:keepNext/>
              <w:tabs>
                <w:tab w:val="decimal" w:pos="377"/>
              </w:tabs>
              <w:spacing w:before="40" w:after="40"/>
              <w:jc w:val="center"/>
              <w:rPr>
                <w:szCs w:val="18"/>
              </w:rPr>
            </w:pPr>
            <w:r w:rsidRPr="00795E1F">
              <w:rPr>
                <w:szCs w:val="18"/>
              </w:rPr>
              <w:t>±12.3</w:t>
            </w:r>
          </w:p>
        </w:tc>
        <w:tc>
          <w:tcPr>
            <w:tcW w:w="953" w:type="dxa"/>
            <w:shd w:val="clear" w:color="auto" w:fill="auto"/>
            <w:noWrap/>
            <w:vAlign w:val="bottom"/>
            <w:hideMark/>
          </w:tcPr>
          <w:p w14:paraId="55348D66" w14:textId="77777777" w:rsidR="006929CB" w:rsidRPr="00795E1F" w:rsidRDefault="006929CB">
            <w:pPr>
              <w:pStyle w:val="TableText"/>
              <w:keepNext/>
              <w:tabs>
                <w:tab w:val="decimal" w:pos="377"/>
              </w:tabs>
              <w:spacing w:before="40" w:after="40"/>
              <w:jc w:val="center"/>
              <w:rPr>
                <w:szCs w:val="18"/>
              </w:rPr>
            </w:pPr>
            <w:r w:rsidRPr="00795E1F">
              <w:rPr>
                <w:szCs w:val="18"/>
              </w:rPr>
              <w:t>±10.4</w:t>
            </w:r>
          </w:p>
        </w:tc>
        <w:tc>
          <w:tcPr>
            <w:tcW w:w="840" w:type="dxa"/>
            <w:vAlign w:val="bottom"/>
          </w:tcPr>
          <w:p w14:paraId="5C2166D5" w14:textId="77777777" w:rsidR="006929CB" w:rsidRPr="00795E1F" w:rsidRDefault="006929CB">
            <w:pPr>
              <w:pStyle w:val="TableText"/>
              <w:keepNext/>
              <w:tabs>
                <w:tab w:val="decimal" w:pos="377"/>
              </w:tabs>
              <w:spacing w:before="40" w:after="40"/>
              <w:jc w:val="center"/>
              <w:rPr>
                <w:szCs w:val="18"/>
              </w:rPr>
            </w:pPr>
            <w:r w:rsidRPr="00795E1F">
              <w:rPr>
                <w:szCs w:val="18"/>
              </w:rPr>
              <w:t>±10.4</w:t>
            </w:r>
          </w:p>
        </w:tc>
        <w:tc>
          <w:tcPr>
            <w:tcW w:w="880" w:type="dxa"/>
            <w:shd w:val="clear" w:color="auto" w:fill="auto"/>
            <w:vAlign w:val="bottom"/>
          </w:tcPr>
          <w:p w14:paraId="0872DEFC" w14:textId="77777777" w:rsidR="006929CB" w:rsidRPr="00795E1F" w:rsidRDefault="006929CB">
            <w:pPr>
              <w:pStyle w:val="TableText"/>
              <w:keepNext/>
              <w:tabs>
                <w:tab w:val="decimal" w:pos="377"/>
              </w:tabs>
              <w:spacing w:before="40" w:after="40"/>
              <w:jc w:val="center"/>
              <w:rPr>
                <w:szCs w:val="18"/>
              </w:rPr>
            </w:pPr>
            <w:r w:rsidRPr="00795E1F">
              <w:rPr>
                <w:szCs w:val="18"/>
              </w:rPr>
              <w:t>±7.9</w:t>
            </w:r>
          </w:p>
        </w:tc>
        <w:tc>
          <w:tcPr>
            <w:tcW w:w="960" w:type="dxa"/>
            <w:shd w:val="clear" w:color="auto" w:fill="auto"/>
            <w:vAlign w:val="bottom"/>
          </w:tcPr>
          <w:p w14:paraId="39E128B6" w14:textId="77777777" w:rsidR="006929CB" w:rsidRPr="00795E1F" w:rsidRDefault="006929CB">
            <w:pPr>
              <w:pStyle w:val="TableText"/>
              <w:keepNext/>
              <w:tabs>
                <w:tab w:val="decimal" w:pos="377"/>
              </w:tabs>
              <w:spacing w:before="40" w:after="40"/>
              <w:jc w:val="center"/>
              <w:rPr>
                <w:szCs w:val="18"/>
              </w:rPr>
            </w:pPr>
            <w:r w:rsidRPr="00795E1F">
              <w:rPr>
                <w:szCs w:val="18"/>
              </w:rPr>
              <w:t>±12.3</w:t>
            </w:r>
          </w:p>
        </w:tc>
      </w:tr>
      <w:tr w:rsidR="006929CB" w:rsidRPr="00795E1F" w14:paraId="29916474" w14:textId="77777777" w:rsidTr="00795E1F">
        <w:tc>
          <w:tcPr>
            <w:tcW w:w="1429" w:type="dxa"/>
            <w:shd w:val="clear" w:color="auto" w:fill="auto"/>
            <w:noWrap/>
            <w:vAlign w:val="bottom"/>
          </w:tcPr>
          <w:p w14:paraId="72644B87" w14:textId="77777777" w:rsidR="006929CB" w:rsidRPr="00795E1F" w:rsidRDefault="006929CB">
            <w:pPr>
              <w:pStyle w:val="TableText"/>
              <w:keepNext/>
              <w:spacing w:before="40" w:after="40"/>
              <w:rPr>
                <w:rFonts w:cs="Calibri"/>
                <w:b/>
                <w:bCs/>
                <w:szCs w:val="18"/>
              </w:rPr>
            </w:pPr>
            <w:r w:rsidRPr="00795E1F">
              <w:rPr>
                <w:rFonts w:cs="Calibri"/>
                <w:bCs/>
                <w:szCs w:val="18"/>
              </w:rPr>
              <w:t>Harvested wood products</w:t>
            </w:r>
          </w:p>
        </w:tc>
        <w:tc>
          <w:tcPr>
            <w:tcW w:w="809" w:type="dxa"/>
            <w:shd w:val="clear" w:color="auto" w:fill="auto"/>
            <w:noWrap/>
            <w:vAlign w:val="bottom"/>
          </w:tcPr>
          <w:p w14:paraId="0CB25C5A" w14:textId="77777777" w:rsidR="006929CB" w:rsidRPr="00795E1F" w:rsidRDefault="006929CB">
            <w:pPr>
              <w:pStyle w:val="TableText"/>
              <w:keepNext/>
              <w:tabs>
                <w:tab w:val="decimal" w:pos="377"/>
              </w:tabs>
              <w:spacing w:before="40" w:after="40"/>
              <w:jc w:val="center"/>
              <w:rPr>
                <w:szCs w:val="18"/>
              </w:rPr>
            </w:pPr>
            <w:r w:rsidRPr="00795E1F">
              <w:rPr>
                <w:szCs w:val="18"/>
              </w:rPr>
              <w:t>±68.2</w:t>
            </w:r>
          </w:p>
        </w:tc>
        <w:tc>
          <w:tcPr>
            <w:tcW w:w="840" w:type="dxa"/>
            <w:vAlign w:val="bottom"/>
          </w:tcPr>
          <w:p w14:paraId="318DA829" w14:textId="77777777" w:rsidR="006929CB" w:rsidRPr="00795E1F" w:rsidRDefault="006929CB">
            <w:pPr>
              <w:pStyle w:val="TableText"/>
              <w:keepNext/>
              <w:tabs>
                <w:tab w:val="decimal" w:pos="377"/>
              </w:tabs>
              <w:spacing w:before="40" w:after="40"/>
              <w:jc w:val="center"/>
              <w:rPr>
                <w:szCs w:val="18"/>
              </w:rPr>
            </w:pPr>
            <w:r w:rsidRPr="00795E1F">
              <w:rPr>
                <w:szCs w:val="18"/>
              </w:rPr>
              <w:t>–</w:t>
            </w:r>
          </w:p>
        </w:tc>
        <w:tc>
          <w:tcPr>
            <w:tcW w:w="841" w:type="dxa"/>
            <w:shd w:val="clear" w:color="auto" w:fill="auto"/>
            <w:noWrap/>
            <w:vAlign w:val="bottom"/>
          </w:tcPr>
          <w:p w14:paraId="227900F7" w14:textId="77777777" w:rsidR="006929CB" w:rsidRPr="00795E1F" w:rsidRDefault="006929CB">
            <w:pPr>
              <w:pStyle w:val="TableText"/>
              <w:keepNext/>
              <w:tabs>
                <w:tab w:val="decimal" w:pos="377"/>
              </w:tabs>
              <w:spacing w:before="40" w:after="40"/>
              <w:jc w:val="center"/>
              <w:rPr>
                <w:szCs w:val="18"/>
              </w:rPr>
            </w:pPr>
            <w:r w:rsidRPr="00795E1F">
              <w:rPr>
                <w:szCs w:val="18"/>
              </w:rPr>
              <w:t>–</w:t>
            </w:r>
          </w:p>
        </w:tc>
        <w:tc>
          <w:tcPr>
            <w:tcW w:w="953" w:type="dxa"/>
            <w:shd w:val="clear" w:color="auto" w:fill="auto"/>
            <w:noWrap/>
            <w:vAlign w:val="bottom"/>
          </w:tcPr>
          <w:p w14:paraId="1726D5EE" w14:textId="77777777" w:rsidR="006929CB" w:rsidRPr="00795E1F" w:rsidRDefault="006929CB">
            <w:pPr>
              <w:pStyle w:val="TableText"/>
              <w:keepNext/>
              <w:tabs>
                <w:tab w:val="decimal" w:pos="377"/>
              </w:tabs>
              <w:spacing w:before="40" w:after="40"/>
              <w:jc w:val="center"/>
              <w:rPr>
                <w:szCs w:val="18"/>
              </w:rPr>
            </w:pPr>
            <w:r w:rsidRPr="00795E1F">
              <w:rPr>
                <w:szCs w:val="18"/>
              </w:rPr>
              <w:t>–</w:t>
            </w:r>
          </w:p>
        </w:tc>
        <w:tc>
          <w:tcPr>
            <w:tcW w:w="953" w:type="dxa"/>
            <w:shd w:val="clear" w:color="auto" w:fill="auto"/>
            <w:noWrap/>
            <w:vAlign w:val="bottom"/>
          </w:tcPr>
          <w:p w14:paraId="47E9C8E7" w14:textId="77777777" w:rsidR="006929CB" w:rsidRPr="00795E1F" w:rsidRDefault="006929CB">
            <w:pPr>
              <w:pStyle w:val="TableText"/>
              <w:keepNext/>
              <w:tabs>
                <w:tab w:val="decimal" w:pos="377"/>
              </w:tabs>
              <w:spacing w:before="40" w:after="40"/>
              <w:jc w:val="center"/>
              <w:rPr>
                <w:szCs w:val="18"/>
              </w:rPr>
            </w:pPr>
            <w:r w:rsidRPr="00795E1F">
              <w:rPr>
                <w:szCs w:val="18"/>
              </w:rPr>
              <w:t>–</w:t>
            </w:r>
          </w:p>
        </w:tc>
        <w:tc>
          <w:tcPr>
            <w:tcW w:w="840" w:type="dxa"/>
            <w:vAlign w:val="bottom"/>
          </w:tcPr>
          <w:p w14:paraId="6ECD1DA8" w14:textId="77777777" w:rsidR="006929CB" w:rsidRPr="00795E1F" w:rsidRDefault="006929CB">
            <w:pPr>
              <w:pStyle w:val="TableText"/>
              <w:keepNext/>
              <w:tabs>
                <w:tab w:val="decimal" w:pos="377"/>
              </w:tabs>
              <w:spacing w:before="40" w:after="40"/>
              <w:jc w:val="center"/>
              <w:rPr>
                <w:szCs w:val="18"/>
              </w:rPr>
            </w:pPr>
            <w:r w:rsidRPr="00795E1F">
              <w:rPr>
                <w:szCs w:val="18"/>
              </w:rPr>
              <w:t>–</w:t>
            </w:r>
          </w:p>
        </w:tc>
        <w:tc>
          <w:tcPr>
            <w:tcW w:w="880" w:type="dxa"/>
            <w:shd w:val="clear" w:color="auto" w:fill="auto"/>
            <w:vAlign w:val="bottom"/>
          </w:tcPr>
          <w:p w14:paraId="4DF7AAC5" w14:textId="77777777" w:rsidR="006929CB" w:rsidRPr="00795E1F" w:rsidRDefault="006929CB">
            <w:pPr>
              <w:pStyle w:val="TableText"/>
              <w:keepNext/>
              <w:tabs>
                <w:tab w:val="decimal" w:pos="377"/>
              </w:tabs>
              <w:spacing w:before="40" w:after="40"/>
              <w:jc w:val="center"/>
              <w:rPr>
                <w:szCs w:val="18"/>
              </w:rPr>
            </w:pPr>
            <w:r w:rsidRPr="00795E1F">
              <w:rPr>
                <w:szCs w:val="18"/>
              </w:rPr>
              <w:t>–</w:t>
            </w:r>
          </w:p>
        </w:tc>
        <w:tc>
          <w:tcPr>
            <w:tcW w:w="960" w:type="dxa"/>
            <w:shd w:val="clear" w:color="auto" w:fill="auto"/>
            <w:vAlign w:val="bottom"/>
          </w:tcPr>
          <w:p w14:paraId="315F2168" w14:textId="77777777" w:rsidR="006929CB" w:rsidRPr="00795E1F" w:rsidRDefault="006929CB">
            <w:pPr>
              <w:pStyle w:val="TableText"/>
              <w:keepNext/>
              <w:tabs>
                <w:tab w:val="decimal" w:pos="377"/>
              </w:tabs>
              <w:spacing w:before="40" w:after="40"/>
              <w:jc w:val="center"/>
              <w:rPr>
                <w:szCs w:val="18"/>
              </w:rPr>
            </w:pPr>
            <w:r w:rsidRPr="00795E1F">
              <w:rPr>
                <w:szCs w:val="18"/>
              </w:rPr>
              <w:t>±68.2</w:t>
            </w:r>
          </w:p>
        </w:tc>
      </w:tr>
      <w:tr w:rsidR="006929CB" w:rsidRPr="00795E1F" w14:paraId="07DA22A3" w14:textId="77777777" w:rsidTr="00795E1F">
        <w:tc>
          <w:tcPr>
            <w:tcW w:w="8505" w:type="dxa"/>
            <w:gridSpan w:val="9"/>
            <w:shd w:val="clear" w:color="auto" w:fill="auto"/>
            <w:noWrap/>
            <w:vAlign w:val="bottom"/>
          </w:tcPr>
          <w:p w14:paraId="49C78F88" w14:textId="77777777" w:rsidR="006929CB" w:rsidRPr="00795E1F" w:rsidRDefault="006929CB" w:rsidP="00D41906">
            <w:pPr>
              <w:pStyle w:val="Tableboldblue"/>
              <w:rPr>
                <w:szCs w:val="18"/>
              </w:rPr>
            </w:pPr>
            <w:r w:rsidRPr="00795E1F">
              <w:rPr>
                <w:szCs w:val="18"/>
              </w:rPr>
              <w:t>Total uncertainty by activity and forest type</w:t>
            </w:r>
          </w:p>
        </w:tc>
      </w:tr>
      <w:tr w:rsidR="006929CB" w:rsidRPr="00795E1F" w14:paraId="66363605" w14:textId="77777777" w:rsidTr="00795E1F">
        <w:tc>
          <w:tcPr>
            <w:tcW w:w="1429" w:type="dxa"/>
            <w:shd w:val="clear" w:color="auto" w:fill="auto"/>
            <w:noWrap/>
            <w:vAlign w:val="bottom"/>
            <w:hideMark/>
          </w:tcPr>
          <w:p w14:paraId="566F6C9A" w14:textId="77777777" w:rsidR="006929CB" w:rsidRPr="00795E1F" w:rsidRDefault="006929CB" w:rsidP="00D41906">
            <w:pPr>
              <w:pStyle w:val="Tableboldblue"/>
              <w:rPr>
                <w:szCs w:val="18"/>
              </w:rPr>
            </w:pPr>
            <w:r w:rsidRPr="00795E1F">
              <w:rPr>
                <w:szCs w:val="18"/>
              </w:rPr>
              <w:t xml:space="preserve">2021 </w:t>
            </w:r>
          </w:p>
        </w:tc>
        <w:tc>
          <w:tcPr>
            <w:tcW w:w="809" w:type="dxa"/>
            <w:shd w:val="clear" w:color="auto" w:fill="auto"/>
            <w:noWrap/>
            <w:hideMark/>
          </w:tcPr>
          <w:p w14:paraId="0BA6424A" w14:textId="77777777" w:rsidR="006929CB" w:rsidRPr="00795E1F" w:rsidRDefault="006929CB" w:rsidP="001653D0">
            <w:pPr>
              <w:pStyle w:val="Tableboldblue"/>
              <w:jc w:val="right"/>
              <w:rPr>
                <w:szCs w:val="18"/>
              </w:rPr>
            </w:pPr>
            <w:r w:rsidRPr="00795E1F">
              <w:rPr>
                <w:szCs w:val="18"/>
              </w:rPr>
              <w:t>±20.1</w:t>
            </w:r>
          </w:p>
        </w:tc>
        <w:tc>
          <w:tcPr>
            <w:tcW w:w="840" w:type="dxa"/>
          </w:tcPr>
          <w:p w14:paraId="0449CB68" w14:textId="77777777" w:rsidR="006929CB" w:rsidRPr="00795E1F" w:rsidRDefault="006929CB" w:rsidP="001653D0">
            <w:pPr>
              <w:pStyle w:val="Tableboldblue"/>
              <w:jc w:val="right"/>
              <w:rPr>
                <w:szCs w:val="18"/>
              </w:rPr>
            </w:pPr>
            <w:r w:rsidRPr="00795E1F">
              <w:rPr>
                <w:szCs w:val="18"/>
              </w:rPr>
              <w:t>±0.9</w:t>
            </w:r>
          </w:p>
        </w:tc>
        <w:tc>
          <w:tcPr>
            <w:tcW w:w="841" w:type="dxa"/>
            <w:shd w:val="clear" w:color="auto" w:fill="auto"/>
            <w:noWrap/>
            <w:hideMark/>
          </w:tcPr>
          <w:p w14:paraId="1E0D02F1" w14:textId="77777777" w:rsidR="006929CB" w:rsidRPr="00795E1F" w:rsidRDefault="006929CB" w:rsidP="001653D0">
            <w:pPr>
              <w:pStyle w:val="Tableboldblue"/>
              <w:jc w:val="right"/>
              <w:rPr>
                <w:szCs w:val="18"/>
              </w:rPr>
            </w:pPr>
            <w:r w:rsidRPr="00795E1F">
              <w:rPr>
                <w:szCs w:val="18"/>
              </w:rPr>
              <w:t>±0.2</w:t>
            </w:r>
          </w:p>
        </w:tc>
        <w:tc>
          <w:tcPr>
            <w:tcW w:w="953" w:type="dxa"/>
            <w:shd w:val="clear" w:color="auto" w:fill="auto"/>
            <w:noWrap/>
            <w:hideMark/>
          </w:tcPr>
          <w:p w14:paraId="743686D4" w14:textId="77777777" w:rsidR="006929CB" w:rsidRPr="00795E1F" w:rsidRDefault="006929CB" w:rsidP="001653D0">
            <w:pPr>
              <w:pStyle w:val="Tableboldblue"/>
              <w:jc w:val="right"/>
              <w:rPr>
                <w:szCs w:val="18"/>
              </w:rPr>
            </w:pPr>
            <w:r w:rsidRPr="00795E1F">
              <w:rPr>
                <w:szCs w:val="18"/>
              </w:rPr>
              <w:t>±1.2</w:t>
            </w:r>
          </w:p>
        </w:tc>
        <w:tc>
          <w:tcPr>
            <w:tcW w:w="953" w:type="dxa"/>
            <w:shd w:val="clear" w:color="auto" w:fill="auto"/>
            <w:noWrap/>
            <w:hideMark/>
          </w:tcPr>
          <w:p w14:paraId="6ADF6474" w14:textId="77777777" w:rsidR="006929CB" w:rsidRPr="00795E1F" w:rsidRDefault="006929CB" w:rsidP="001653D0">
            <w:pPr>
              <w:pStyle w:val="Tableboldblue"/>
              <w:jc w:val="right"/>
              <w:rPr>
                <w:szCs w:val="18"/>
              </w:rPr>
            </w:pPr>
            <w:r w:rsidRPr="00795E1F">
              <w:rPr>
                <w:szCs w:val="18"/>
              </w:rPr>
              <w:t>±1.4</w:t>
            </w:r>
          </w:p>
        </w:tc>
        <w:tc>
          <w:tcPr>
            <w:tcW w:w="840" w:type="dxa"/>
          </w:tcPr>
          <w:p w14:paraId="171DB6A5" w14:textId="77777777" w:rsidR="006929CB" w:rsidRPr="00795E1F" w:rsidRDefault="006929CB" w:rsidP="001653D0">
            <w:pPr>
              <w:pStyle w:val="Tableboldblue"/>
              <w:jc w:val="right"/>
              <w:rPr>
                <w:szCs w:val="18"/>
              </w:rPr>
            </w:pPr>
            <w:r w:rsidRPr="00795E1F">
              <w:rPr>
                <w:szCs w:val="18"/>
              </w:rPr>
              <w:t>±0.0</w:t>
            </w:r>
          </w:p>
        </w:tc>
        <w:tc>
          <w:tcPr>
            <w:tcW w:w="880" w:type="dxa"/>
            <w:shd w:val="clear" w:color="auto" w:fill="auto"/>
          </w:tcPr>
          <w:p w14:paraId="69F49F32" w14:textId="77777777" w:rsidR="006929CB" w:rsidRPr="00795E1F" w:rsidRDefault="006929CB" w:rsidP="001653D0">
            <w:pPr>
              <w:pStyle w:val="Tableboldblue"/>
              <w:jc w:val="right"/>
              <w:rPr>
                <w:szCs w:val="18"/>
              </w:rPr>
            </w:pPr>
            <w:r w:rsidRPr="00795E1F">
              <w:rPr>
                <w:szCs w:val="18"/>
              </w:rPr>
              <w:t>±13.8</w:t>
            </w:r>
          </w:p>
        </w:tc>
        <w:tc>
          <w:tcPr>
            <w:tcW w:w="960" w:type="dxa"/>
            <w:shd w:val="clear" w:color="auto" w:fill="auto"/>
          </w:tcPr>
          <w:p w14:paraId="688C3766" w14:textId="77777777" w:rsidR="006929CB" w:rsidRPr="00795E1F" w:rsidRDefault="006929CB" w:rsidP="001653D0">
            <w:pPr>
              <w:pStyle w:val="Tableboldblue"/>
              <w:jc w:val="right"/>
              <w:rPr>
                <w:szCs w:val="18"/>
              </w:rPr>
            </w:pPr>
            <w:r w:rsidRPr="00795E1F">
              <w:rPr>
                <w:szCs w:val="18"/>
              </w:rPr>
              <w:t>±45.8</w:t>
            </w:r>
          </w:p>
        </w:tc>
      </w:tr>
      <w:tr w:rsidR="006929CB" w:rsidRPr="00795E1F" w14:paraId="45539464" w14:textId="77777777" w:rsidTr="00795E1F">
        <w:tc>
          <w:tcPr>
            <w:tcW w:w="1429" w:type="dxa"/>
            <w:shd w:val="clear" w:color="auto" w:fill="auto"/>
            <w:noWrap/>
            <w:vAlign w:val="bottom"/>
            <w:hideMark/>
          </w:tcPr>
          <w:p w14:paraId="48C34238" w14:textId="77777777" w:rsidR="006929CB" w:rsidRPr="00795E1F" w:rsidRDefault="006929CB" w:rsidP="00D41906">
            <w:pPr>
              <w:pStyle w:val="Tableboldblue"/>
              <w:rPr>
                <w:szCs w:val="18"/>
              </w:rPr>
            </w:pPr>
            <w:r w:rsidRPr="00795E1F">
              <w:rPr>
                <w:szCs w:val="18"/>
              </w:rPr>
              <w:t xml:space="preserve">2022 </w:t>
            </w:r>
          </w:p>
        </w:tc>
        <w:tc>
          <w:tcPr>
            <w:tcW w:w="809" w:type="dxa"/>
            <w:shd w:val="clear" w:color="auto" w:fill="auto"/>
            <w:noWrap/>
            <w:hideMark/>
          </w:tcPr>
          <w:p w14:paraId="05D04779" w14:textId="77777777" w:rsidR="006929CB" w:rsidRPr="00795E1F" w:rsidRDefault="006929CB" w:rsidP="001653D0">
            <w:pPr>
              <w:pStyle w:val="Tableboldblue"/>
              <w:jc w:val="right"/>
              <w:rPr>
                <w:szCs w:val="18"/>
              </w:rPr>
            </w:pPr>
            <w:r w:rsidRPr="00795E1F">
              <w:rPr>
                <w:szCs w:val="18"/>
              </w:rPr>
              <w:t>±19.1</w:t>
            </w:r>
          </w:p>
        </w:tc>
        <w:tc>
          <w:tcPr>
            <w:tcW w:w="840" w:type="dxa"/>
          </w:tcPr>
          <w:p w14:paraId="22529A5E" w14:textId="77777777" w:rsidR="006929CB" w:rsidRPr="00795E1F" w:rsidRDefault="006929CB" w:rsidP="001653D0">
            <w:pPr>
              <w:pStyle w:val="Tableboldblue"/>
              <w:jc w:val="right"/>
              <w:rPr>
                <w:szCs w:val="18"/>
              </w:rPr>
            </w:pPr>
            <w:r w:rsidRPr="00795E1F">
              <w:rPr>
                <w:szCs w:val="18"/>
              </w:rPr>
              <w:t>±0.9</w:t>
            </w:r>
          </w:p>
        </w:tc>
        <w:tc>
          <w:tcPr>
            <w:tcW w:w="841" w:type="dxa"/>
            <w:shd w:val="clear" w:color="auto" w:fill="auto"/>
            <w:noWrap/>
            <w:hideMark/>
          </w:tcPr>
          <w:p w14:paraId="55F8BE78" w14:textId="77777777" w:rsidR="006929CB" w:rsidRPr="00795E1F" w:rsidRDefault="006929CB" w:rsidP="001653D0">
            <w:pPr>
              <w:pStyle w:val="Tableboldblue"/>
              <w:jc w:val="right"/>
              <w:rPr>
                <w:szCs w:val="18"/>
              </w:rPr>
            </w:pPr>
            <w:r w:rsidRPr="00795E1F">
              <w:rPr>
                <w:szCs w:val="18"/>
              </w:rPr>
              <w:t>±0.2</w:t>
            </w:r>
          </w:p>
        </w:tc>
        <w:tc>
          <w:tcPr>
            <w:tcW w:w="953" w:type="dxa"/>
            <w:shd w:val="clear" w:color="auto" w:fill="auto"/>
            <w:noWrap/>
            <w:hideMark/>
          </w:tcPr>
          <w:p w14:paraId="42AFF5E2" w14:textId="77777777" w:rsidR="006929CB" w:rsidRPr="00795E1F" w:rsidRDefault="006929CB" w:rsidP="001653D0">
            <w:pPr>
              <w:pStyle w:val="Tableboldblue"/>
              <w:jc w:val="right"/>
              <w:rPr>
                <w:szCs w:val="18"/>
              </w:rPr>
            </w:pPr>
            <w:r w:rsidRPr="00795E1F">
              <w:rPr>
                <w:szCs w:val="18"/>
              </w:rPr>
              <w:t>±0.5</w:t>
            </w:r>
          </w:p>
        </w:tc>
        <w:tc>
          <w:tcPr>
            <w:tcW w:w="953" w:type="dxa"/>
            <w:shd w:val="clear" w:color="auto" w:fill="auto"/>
            <w:noWrap/>
            <w:hideMark/>
          </w:tcPr>
          <w:p w14:paraId="7378B557" w14:textId="77777777" w:rsidR="006929CB" w:rsidRPr="00795E1F" w:rsidRDefault="006929CB" w:rsidP="001653D0">
            <w:pPr>
              <w:pStyle w:val="Tableboldblue"/>
              <w:jc w:val="right"/>
              <w:rPr>
                <w:szCs w:val="18"/>
              </w:rPr>
            </w:pPr>
            <w:r w:rsidRPr="00795E1F">
              <w:rPr>
                <w:szCs w:val="18"/>
              </w:rPr>
              <w:t>±1.8</w:t>
            </w:r>
          </w:p>
        </w:tc>
        <w:tc>
          <w:tcPr>
            <w:tcW w:w="840" w:type="dxa"/>
          </w:tcPr>
          <w:p w14:paraId="78D1CD6D" w14:textId="77777777" w:rsidR="006929CB" w:rsidRPr="00795E1F" w:rsidRDefault="006929CB" w:rsidP="001653D0">
            <w:pPr>
              <w:pStyle w:val="Tableboldblue"/>
              <w:jc w:val="right"/>
              <w:rPr>
                <w:szCs w:val="18"/>
              </w:rPr>
            </w:pPr>
            <w:r w:rsidRPr="00795E1F">
              <w:rPr>
                <w:szCs w:val="18"/>
              </w:rPr>
              <w:t>±0.0</w:t>
            </w:r>
          </w:p>
        </w:tc>
        <w:tc>
          <w:tcPr>
            <w:tcW w:w="880" w:type="dxa"/>
            <w:shd w:val="clear" w:color="auto" w:fill="auto"/>
          </w:tcPr>
          <w:p w14:paraId="23C2D47F" w14:textId="77777777" w:rsidR="006929CB" w:rsidRPr="00795E1F" w:rsidRDefault="006929CB" w:rsidP="001653D0">
            <w:pPr>
              <w:pStyle w:val="Tableboldblue"/>
              <w:jc w:val="right"/>
              <w:rPr>
                <w:szCs w:val="18"/>
              </w:rPr>
            </w:pPr>
            <w:r w:rsidRPr="00795E1F">
              <w:rPr>
                <w:szCs w:val="18"/>
              </w:rPr>
              <w:t>±14.0</w:t>
            </w:r>
          </w:p>
        </w:tc>
        <w:tc>
          <w:tcPr>
            <w:tcW w:w="960" w:type="dxa"/>
            <w:shd w:val="clear" w:color="auto" w:fill="auto"/>
          </w:tcPr>
          <w:p w14:paraId="045ED665" w14:textId="77777777" w:rsidR="006929CB" w:rsidRPr="00795E1F" w:rsidRDefault="006929CB" w:rsidP="001653D0">
            <w:pPr>
              <w:pStyle w:val="Tableboldblue"/>
              <w:jc w:val="right"/>
              <w:rPr>
                <w:szCs w:val="18"/>
              </w:rPr>
            </w:pPr>
            <w:r w:rsidRPr="00795E1F">
              <w:rPr>
                <w:szCs w:val="18"/>
              </w:rPr>
              <w:t>±45.0</w:t>
            </w:r>
          </w:p>
        </w:tc>
      </w:tr>
    </w:tbl>
    <w:p w14:paraId="3270A6E8" w14:textId="77777777" w:rsidR="006929CB" w:rsidRPr="00DD1C54" w:rsidRDefault="006929CB" w:rsidP="006929CB">
      <w:pPr>
        <w:pStyle w:val="Noteundertable"/>
      </w:pPr>
      <w:r w:rsidRPr="00DD1C54">
        <w:rPr>
          <w:b/>
        </w:rPr>
        <w:t>Note:</w:t>
      </w:r>
      <w:r w:rsidRPr="00DD1C54">
        <w:tab/>
        <w:t>All land that has been afforested or reforested since 1 January 1990 is defined as post-1989 forest, unless occurring on land deforested since 1 January 1990. Land deforested since 1 January 1990 includes land that was pre-1990 natural forest, pre</w:t>
      </w:r>
      <w:r w:rsidRPr="00DD1C54">
        <w:noBreakHyphen/>
        <w:t>1990 planted forest, post-1989 planted forest or post</w:t>
      </w:r>
      <w:r w:rsidRPr="00DD1C54">
        <w:noBreakHyphen/>
        <w:t>1989 natural forest.</w:t>
      </w:r>
      <w:r w:rsidRPr="00DD1C54">
        <w:rPr>
          <w:highlight w:val="yellow"/>
        </w:rPr>
        <w:t xml:space="preserve"> </w:t>
      </w:r>
    </w:p>
    <w:p w14:paraId="26BFDF4F" w14:textId="77777777" w:rsidR="006929CB" w:rsidRPr="00DD1C54" w:rsidRDefault="006929CB" w:rsidP="006929CB">
      <w:pPr>
        <w:pStyle w:val="Tableheading"/>
        <w:spacing w:before="240"/>
      </w:pPr>
      <w:bookmarkStart w:id="1231" w:name="_Toc318362740"/>
      <w:bookmarkStart w:id="1232" w:name="_Toc342470819"/>
      <w:bookmarkStart w:id="1233" w:name="_Toc352505072"/>
      <w:bookmarkStart w:id="1234" w:name="_Toc377043708"/>
      <w:bookmarkStart w:id="1235" w:name="_Toc391023560"/>
      <w:bookmarkStart w:id="1236" w:name="_Toc414531533"/>
      <w:bookmarkStart w:id="1237" w:name="_Toc456179111"/>
      <w:bookmarkStart w:id="1238" w:name="_Toc481751636"/>
      <w:bookmarkStart w:id="1239" w:name="_Toc522010662"/>
      <w:bookmarkStart w:id="1240" w:name="_Toc5269633"/>
      <w:bookmarkStart w:id="1241" w:name="_Toc36224716"/>
      <w:bookmarkStart w:id="1242" w:name="_Toc64987051"/>
      <w:bookmarkStart w:id="1243" w:name="_Toc68786601"/>
      <w:bookmarkStart w:id="1244" w:name="_Toc95321546"/>
      <w:bookmarkStart w:id="1245" w:name="_Toc99659398"/>
      <w:bookmarkStart w:id="1246" w:name="_Toc182311710"/>
      <w:bookmarkStart w:id="1247" w:name="_Toc185407545"/>
      <w:bookmarkStart w:id="1248" w:name="_Toc185427808"/>
      <w:r w:rsidRPr="00DD1C54">
        <w:t xml:space="preserve">Table A2.18: </w:t>
      </w:r>
      <w:r w:rsidRPr="00DD1C54">
        <w:tab/>
        <w:t xml:space="preserve">Total uncertainty in New Zealand’s estimates for </w:t>
      </w:r>
      <w:r w:rsidRPr="00DD1C54">
        <w:rPr>
          <w:i/>
          <w:iCs/>
        </w:rPr>
        <w:t>Afforestation and reforestation</w:t>
      </w:r>
      <w:r w:rsidRPr="00DD1C54">
        <w:t>,</w:t>
      </w:r>
      <w:r w:rsidRPr="00DD1C54">
        <w:br/>
      </w:r>
      <w:r w:rsidRPr="00DD1C54">
        <w:rPr>
          <w:i/>
          <w:iCs/>
        </w:rPr>
        <w:t>Deforestation</w:t>
      </w:r>
      <w:r w:rsidRPr="00DD1C54">
        <w:t xml:space="preserve"> and </w:t>
      </w:r>
      <w:r w:rsidRPr="00DD1C54">
        <w:rPr>
          <w:i/>
          <w:iCs/>
        </w:rPr>
        <w:t>Forest management</w:t>
      </w:r>
      <w:r w:rsidRPr="00DD1C54">
        <w:t xml:space="preserve"> in 2021 and </w:t>
      </w:r>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r w:rsidRPr="00DD1C54">
        <w:t>2022</w:t>
      </w:r>
      <w:bookmarkEnd w:id="1246"/>
      <w:bookmarkEnd w:id="1247"/>
      <w:bookmarkEnd w:id="1248"/>
    </w:p>
    <w:tbl>
      <w:tblPr>
        <w:tblW w:w="8505" w:type="dxa"/>
        <w:tblBorders>
          <w:top w:val="single" w:sz="4" w:space="0" w:color="1B556B"/>
          <w:bottom w:val="single" w:sz="4" w:space="0" w:color="1B556B"/>
          <w:insideH w:val="single" w:sz="4" w:space="0" w:color="1B556B"/>
          <w:insideV w:val="single" w:sz="4" w:space="0" w:color="1B556B"/>
        </w:tblBorders>
        <w:tblLayout w:type="fixed"/>
        <w:tblLook w:val="04A0" w:firstRow="1" w:lastRow="0" w:firstColumn="1" w:lastColumn="0" w:noHBand="0" w:noVBand="1"/>
      </w:tblPr>
      <w:tblGrid>
        <w:gridCol w:w="3969"/>
        <w:gridCol w:w="4536"/>
      </w:tblGrid>
      <w:tr w:rsidR="006929CB" w:rsidRPr="00795E1F" w14:paraId="65F87D88" w14:textId="77777777" w:rsidTr="00795E1F">
        <w:tc>
          <w:tcPr>
            <w:tcW w:w="3969" w:type="dxa"/>
            <w:shd w:val="clear" w:color="auto" w:fill="1B556B"/>
            <w:noWrap/>
            <w:hideMark/>
          </w:tcPr>
          <w:p w14:paraId="29E6A90D" w14:textId="77777777" w:rsidR="006929CB" w:rsidRPr="00795E1F" w:rsidRDefault="006929CB">
            <w:pPr>
              <w:pStyle w:val="TableTextbold"/>
              <w:keepNext/>
              <w:spacing w:before="50" w:after="50"/>
              <w:rPr>
                <w:bCs/>
                <w:color w:val="FFFFFF"/>
                <w:szCs w:val="18"/>
              </w:rPr>
            </w:pPr>
            <w:r w:rsidRPr="00795E1F">
              <w:rPr>
                <w:bCs/>
                <w:color w:val="FFFFFF"/>
                <w:szCs w:val="18"/>
              </w:rPr>
              <w:t>Year and activity</w:t>
            </w:r>
          </w:p>
        </w:tc>
        <w:tc>
          <w:tcPr>
            <w:tcW w:w="4536" w:type="dxa"/>
            <w:shd w:val="clear" w:color="auto" w:fill="1B556B"/>
          </w:tcPr>
          <w:p w14:paraId="10F018EA" w14:textId="77777777" w:rsidR="006929CB" w:rsidRPr="00795E1F" w:rsidRDefault="006929CB">
            <w:pPr>
              <w:pStyle w:val="TableTextbold"/>
              <w:keepNext/>
              <w:spacing w:before="50" w:after="50"/>
              <w:jc w:val="right"/>
              <w:rPr>
                <w:bCs/>
                <w:color w:val="FFFFFF"/>
                <w:szCs w:val="18"/>
              </w:rPr>
            </w:pPr>
            <w:r w:rsidRPr="00795E1F">
              <w:rPr>
                <w:bCs/>
                <w:color w:val="FFFFFF"/>
                <w:szCs w:val="18"/>
              </w:rPr>
              <w:t>Uncertainty in emissions (%) at a 95% confidence interval</w:t>
            </w:r>
          </w:p>
        </w:tc>
      </w:tr>
      <w:tr w:rsidR="006929CB" w:rsidRPr="00795E1F" w14:paraId="0DA8ECDD" w14:textId="77777777" w:rsidTr="00795E1F">
        <w:tc>
          <w:tcPr>
            <w:tcW w:w="3969" w:type="dxa"/>
            <w:shd w:val="clear" w:color="auto" w:fill="auto"/>
            <w:noWrap/>
            <w:vAlign w:val="bottom"/>
          </w:tcPr>
          <w:p w14:paraId="08F4B0E9" w14:textId="77777777" w:rsidR="006929CB" w:rsidRPr="00795E1F" w:rsidRDefault="006929CB">
            <w:pPr>
              <w:pStyle w:val="TableText"/>
              <w:spacing w:before="40" w:after="40"/>
              <w:rPr>
                <w:b/>
                <w:szCs w:val="18"/>
              </w:rPr>
            </w:pPr>
            <w:r w:rsidRPr="00795E1F">
              <w:rPr>
                <w:b/>
                <w:szCs w:val="18"/>
              </w:rPr>
              <w:t>2021</w:t>
            </w:r>
          </w:p>
        </w:tc>
        <w:tc>
          <w:tcPr>
            <w:tcW w:w="4536" w:type="dxa"/>
          </w:tcPr>
          <w:p w14:paraId="2E33A0B4" w14:textId="77777777" w:rsidR="006929CB" w:rsidRPr="00795E1F" w:rsidRDefault="006929CB">
            <w:pPr>
              <w:pStyle w:val="TableText"/>
              <w:keepNext/>
              <w:spacing w:before="40" w:after="40"/>
              <w:jc w:val="right"/>
              <w:rPr>
                <w:szCs w:val="18"/>
              </w:rPr>
            </w:pPr>
          </w:p>
        </w:tc>
      </w:tr>
      <w:tr w:rsidR="006929CB" w:rsidRPr="00795E1F" w14:paraId="3DCA7285" w14:textId="77777777" w:rsidTr="00795E1F">
        <w:tc>
          <w:tcPr>
            <w:tcW w:w="3969" w:type="dxa"/>
            <w:shd w:val="clear" w:color="auto" w:fill="auto"/>
            <w:noWrap/>
            <w:vAlign w:val="bottom"/>
            <w:hideMark/>
          </w:tcPr>
          <w:p w14:paraId="24939B1A" w14:textId="77777777" w:rsidR="006929CB" w:rsidRPr="00795E1F" w:rsidRDefault="006929CB">
            <w:pPr>
              <w:pStyle w:val="TableText"/>
              <w:spacing w:before="40" w:after="40"/>
              <w:rPr>
                <w:szCs w:val="18"/>
              </w:rPr>
            </w:pPr>
            <w:r w:rsidRPr="00795E1F">
              <w:rPr>
                <w:szCs w:val="18"/>
              </w:rPr>
              <w:t xml:space="preserve"> Afforestation and reforestation uncertainty </w:t>
            </w:r>
          </w:p>
        </w:tc>
        <w:tc>
          <w:tcPr>
            <w:tcW w:w="4536" w:type="dxa"/>
          </w:tcPr>
          <w:p w14:paraId="4DB1EC7E" w14:textId="77777777" w:rsidR="006929CB" w:rsidRPr="00795E1F" w:rsidRDefault="006929CB">
            <w:pPr>
              <w:pStyle w:val="TableText"/>
              <w:keepNext/>
              <w:spacing w:before="40" w:after="40"/>
              <w:jc w:val="right"/>
              <w:rPr>
                <w:rFonts w:cs="Calibri"/>
                <w:b/>
                <w:szCs w:val="18"/>
              </w:rPr>
            </w:pPr>
            <w:r w:rsidRPr="00795E1F">
              <w:rPr>
                <w:szCs w:val="18"/>
              </w:rPr>
              <w:t>20.1</w:t>
            </w:r>
          </w:p>
        </w:tc>
      </w:tr>
      <w:tr w:rsidR="006929CB" w:rsidRPr="00795E1F" w14:paraId="4AB5EBE1" w14:textId="77777777" w:rsidTr="00795E1F">
        <w:tc>
          <w:tcPr>
            <w:tcW w:w="3969" w:type="dxa"/>
            <w:shd w:val="clear" w:color="auto" w:fill="auto"/>
            <w:noWrap/>
            <w:vAlign w:val="bottom"/>
            <w:hideMark/>
          </w:tcPr>
          <w:p w14:paraId="1A981C81" w14:textId="77777777" w:rsidR="006929CB" w:rsidRPr="00795E1F" w:rsidRDefault="006929CB">
            <w:pPr>
              <w:pStyle w:val="TableText"/>
              <w:spacing w:before="40" w:after="40"/>
              <w:rPr>
                <w:szCs w:val="18"/>
              </w:rPr>
            </w:pPr>
            <w:r w:rsidRPr="00795E1F">
              <w:rPr>
                <w:szCs w:val="18"/>
              </w:rPr>
              <w:t xml:space="preserve"> Deforestation uncertainty </w:t>
            </w:r>
          </w:p>
        </w:tc>
        <w:tc>
          <w:tcPr>
            <w:tcW w:w="4536" w:type="dxa"/>
          </w:tcPr>
          <w:p w14:paraId="588A3F94" w14:textId="77777777" w:rsidR="006929CB" w:rsidRPr="00795E1F" w:rsidRDefault="006929CB">
            <w:pPr>
              <w:pStyle w:val="TableText"/>
              <w:keepNext/>
              <w:spacing w:before="40" w:after="40"/>
              <w:jc w:val="right"/>
              <w:rPr>
                <w:rFonts w:cs="Calibri"/>
                <w:b/>
                <w:szCs w:val="18"/>
              </w:rPr>
            </w:pPr>
            <w:r w:rsidRPr="00795E1F">
              <w:rPr>
                <w:szCs w:val="18"/>
              </w:rPr>
              <w:t>1.9</w:t>
            </w:r>
          </w:p>
        </w:tc>
      </w:tr>
      <w:tr w:rsidR="006929CB" w:rsidRPr="00795E1F" w14:paraId="44D63C13" w14:textId="77777777" w:rsidTr="00795E1F">
        <w:tc>
          <w:tcPr>
            <w:tcW w:w="3969" w:type="dxa"/>
            <w:shd w:val="clear" w:color="auto" w:fill="auto"/>
            <w:noWrap/>
            <w:vAlign w:val="bottom"/>
          </w:tcPr>
          <w:p w14:paraId="4026EBC8" w14:textId="77777777" w:rsidR="006929CB" w:rsidRPr="00795E1F" w:rsidRDefault="006929CB">
            <w:pPr>
              <w:pStyle w:val="TableText"/>
              <w:spacing w:before="40" w:after="40"/>
              <w:rPr>
                <w:szCs w:val="18"/>
              </w:rPr>
            </w:pPr>
            <w:r w:rsidRPr="00795E1F">
              <w:rPr>
                <w:szCs w:val="18"/>
              </w:rPr>
              <w:t xml:space="preserve"> Forest management uncertainty </w:t>
            </w:r>
          </w:p>
        </w:tc>
        <w:tc>
          <w:tcPr>
            <w:tcW w:w="4536" w:type="dxa"/>
          </w:tcPr>
          <w:p w14:paraId="303037B7" w14:textId="77777777" w:rsidR="006929CB" w:rsidRPr="00795E1F" w:rsidRDefault="006929CB">
            <w:pPr>
              <w:pStyle w:val="TableText"/>
              <w:keepNext/>
              <w:spacing w:before="40" w:after="40"/>
              <w:jc w:val="right"/>
              <w:rPr>
                <w:rFonts w:cs="Calibri"/>
                <w:b/>
                <w:szCs w:val="18"/>
              </w:rPr>
            </w:pPr>
            <w:r w:rsidRPr="00795E1F">
              <w:rPr>
                <w:szCs w:val="18"/>
              </w:rPr>
              <w:t>47.8</w:t>
            </w:r>
          </w:p>
        </w:tc>
      </w:tr>
      <w:tr w:rsidR="006929CB" w:rsidRPr="00795E1F" w14:paraId="591CA402" w14:textId="77777777" w:rsidTr="00795E1F">
        <w:tc>
          <w:tcPr>
            <w:tcW w:w="3969" w:type="dxa"/>
            <w:shd w:val="clear" w:color="auto" w:fill="auto"/>
            <w:noWrap/>
            <w:vAlign w:val="center"/>
            <w:hideMark/>
          </w:tcPr>
          <w:p w14:paraId="69CB8183" w14:textId="77777777" w:rsidR="006929CB" w:rsidRPr="00795E1F" w:rsidRDefault="006929CB" w:rsidP="00D41906">
            <w:pPr>
              <w:pStyle w:val="Tableboldblue"/>
              <w:rPr>
                <w:szCs w:val="18"/>
              </w:rPr>
            </w:pPr>
            <w:r w:rsidRPr="00795E1F">
              <w:rPr>
                <w:szCs w:val="18"/>
              </w:rPr>
              <w:t xml:space="preserve"> Total </w:t>
            </w:r>
          </w:p>
        </w:tc>
        <w:tc>
          <w:tcPr>
            <w:tcW w:w="4536" w:type="dxa"/>
          </w:tcPr>
          <w:p w14:paraId="3F346BE9" w14:textId="77777777" w:rsidR="006929CB" w:rsidRPr="00795E1F" w:rsidRDefault="006929CB" w:rsidP="00731C74">
            <w:pPr>
              <w:pStyle w:val="Tableboldblue"/>
              <w:jc w:val="right"/>
              <w:rPr>
                <w:szCs w:val="18"/>
              </w:rPr>
            </w:pPr>
            <w:r w:rsidRPr="00795E1F">
              <w:rPr>
                <w:szCs w:val="18"/>
              </w:rPr>
              <w:t>51.9</w:t>
            </w:r>
          </w:p>
        </w:tc>
      </w:tr>
      <w:tr w:rsidR="006929CB" w:rsidRPr="00795E1F" w14:paraId="19BF7E72" w14:textId="77777777" w:rsidTr="00795E1F">
        <w:tc>
          <w:tcPr>
            <w:tcW w:w="3969" w:type="dxa"/>
            <w:shd w:val="clear" w:color="auto" w:fill="auto"/>
            <w:noWrap/>
            <w:vAlign w:val="bottom"/>
          </w:tcPr>
          <w:p w14:paraId="3ACCBCD0" w14:textId="77777777" w:rsidR="006929CB" w:rsidRPr="00795E1F" w:rsidRDefault="006929CB">
            <w:pPr>
              <w:pStyle w:val="TableText"/>
              <w:spacing w:before="40" w:after="40"/>
              <w:rPr>
                <w:b/>
                <w:bCs/>
                <w:szCs w:val="18"/>
              </w:rPr>
            </w:pPr>
            <w:r w:rsidRPr="00795E1F">
              <w:rPr>
                <w:b/>
                <w:bCs/>
                <w:szCs w:val="18"/>
              </w:rPr>
              <w:t>2022</w:t>
            </w:r>
          </w:p>
        </w:tc>
        <w:tc>
          <w:tcPr>
            <w:tcW w:w="4536" w:type="dxa"/>
          </w:tcPr>
          <w:p w14:paraId="5B745A77" w14:textId="77777777" w:rsidR="006929CB" w:rsidRPr="00795E1F" w:rsidRDefault="006929CB">
            <w:pPr>
              <w:pStyle w:val="TableText"/>
              <w:keepNext/>
              <w:spacing w:before="40" w:after="40"/>
              <w:jc w:val="right"/>
              <w:rPr>
                <w:szCs w:val="18"/>
              </w:rPr>
            </w:pPr>
          </w:p>
        </w:tc>
      </w:tr>
      <w:tr w:rsidR="006929CB" w:rsidRPr="00795E1F" w14:paraId="41710070" w14:textId="77777777" w:rsidTr="00795E1F">
        <w:tc>
          <w:tcPr>
            <w:tcW w:w="3969" w:type="dxa"/>
            <w:shd w:val="clear" w:color="auto" w:fill="auto"/>
            <w:noWrap/>
            <w:vAlign w:val="bottom"/>
            <w:hideMark/>
          </w:tcPr>
          <w:p w14:paraId="62628E83" w14:textId="77777777" w:rsidR="006929CB" w:rsidRPr="00795E1F" w:rsidRDefault="006929CB">
            <w:pPr>
              <w:pStyle w:val="TableText"/>
              <w:spacing w:before="40" w:after="40"/>
              <w:rPr>
                <w:szCs w:val="18"/>
              </w:rPr>
            </w:pPr>
            <w:r w:rsidRPr="00795E1F">
              <w:rPr>
                <w:szCs w:val="18"/>
              </w:rPr>
              <w:t xml:space="preserve"> Afforestation and reforestation uncertainty </w:t>
            </w:r>
          </w:p>
        </w:tc>
        <w:tc>
          <w:tcPr>
            <w:tcW w:w="4536" w:type="dxa"/>
          </w:tcPr>
          <w:p w14:paraId="7A023325" w14:textId="77777777" w:rsidR="006929CB" w:rsidRPr="00795E1F" w:rsidRDefault="006929CB">
            <w:pPr>
              <w:pStyle w:val="TableText"/>
              <w:keepNext/>
              <w:spacing w:before="40" w:after="40"/>
              <w:jc w:val="right"/>
              <w:rPr>
                <w:rFonts w:cs="Calibri"/>
                <w:b/>
                <w:szCs w:val="18"/>
              </w:rPr>
            </w:pPr>
            <w:r w:rsidRPr="00795E1F">
              <w:rPr>
                <w:szCs w:val="18"/>
              </w:rPr>
              <w:t>19.1</w:t>
            </w:r>
          </w:p>
        </w:tc>
      </w:tr>
      <w:tr w:rsidR="006929CB" w:rsidRPr="00795E1F" w14:paraId="6C825F8C" w14:textId="77777777" w:rsidTr="00795E1F">
        <w:tc>
          <w:tcPr>
            <w:tcW w:w="3969" w:type="dxa"/>
            <w:shd w:val="clear" w:color="auto" w:fill="auto"/>
            <w:noWrap/>
            <w:vAlign w:val="bottom"/>
            <w:hideMark/>
          </w:tcPr>
          <w:p w14:paraId="272A950B" w14:textId="77777777" w:rsidR="006929CB" w:rsidRPr="00795E1F" w:rsidRDefault="006929CB">
            <w:pPr>
              <w:pStyle w:val="TableText"/>
              <w:spacing w:before="40" w:after="40"/>
              <w:rPr>
                <w:szCs w:val="18"/>
              </w:rPr>
            </w:pPr>
            <w:r w:rsidRPr="00795E1F">
              <w:rPr>
                <w:szCs w:val="18"/>
              </w:rPr>
              <w:t xml:space="preserve"> Deforestation uncertainty </w:t>
            </w:r>
          </w:p>
        </w:tc>
        <w:tc>
          <w:tcPr>
            <w:tcW w:w="4536" w:type="dxa"/>
          </w:tcPr>
          <w:p w14:paraId="27A47DFF" w14:textId="77777777" w:rsidR="006929CB" w:rsidRPr="00795E1F" w:rsidRDefault="006929CB">
            <w:pPr>
              <w:pStyle w:val="TableText"/>
              <w:keepNext/>
              <w:spacing w:before="40" w:after="40"/>
              <w:jc w:val="right"/>
              <w:rPr>
                <w:rFonts w:cs="Calibri"/>
                <w:b/>
                <w:szCs w:val="18"/>
              </w:rPr>
            </w:pPr>
            <w:r w:rsidRPr="00795E1F">
              <w:rPr>
                <w:szCs w:val="18"/>
              </w:rPr>
              <w:t>1.9</w:t>
            </w:r>
          </w:p>
        </w:tc>
      </w:tr>
      <w:tr w:rsidR="006929CB" w:rsidRPr="00795E1F" w14:paraId="460A84D3" w14:textId="77777777" w:rsidTr="00795E1F">
        <w:tc>
          <w:tcPr>
            <w:tcW w:w="3969" w:type="dxa"/>
            <w:shd w:val="clear" w:color="auto" w:fill="auto"/>
            <w:noWrap/>
            <w:vAlign w:val="bottom"/>
          </w:tcPr>
          <w:p w14:paraId="60987BBD" w14:textId="77777777" w:rsidR="006929CB" w:rsidRPr="00795E1F" w:rsidRDefault="006929CB">
            <w:pPr>
              <w:pStyle w:val="TableText"/>
              <w:spacing w:before="40" w:after="40"/>
              <w:rPr>
                <w:szCs w:val="18"/>
              </w:rPr>
            </w:pPr>
            <w:r w:rsidRPr="00795E1F">
              <w:rPr>
                <w:szCs w:val="18"/>
              </w:rPr>
              <w:t xml:space="preserve"> Forest management uncertainty </w:t>
            </w:r>
          </w:p>
        </w:tc>
        <w:tc>
          <w:tcPr>
            <w:tcW w:w="4536" w:type="dxa"/>
          </w:tcPr>
          <w:p w14:paraId="54CFE17E" w14:textId="77777777" w:rsidR="006929CB" w:rsidRPr="00795E1F" w:rsidRDefault="006929CB">
            <w:pPr>
              <w:pStyle w:val="TableText"/>
              <w:keepNext/>
              <w:spacing w:before="40" w:after="40"/>
              <w:jc w:val="right"/>
              <w:rPr>
                <w:rFonts w:cs="Calibri"/>
                <w:b/>
                <w:szCs w:val="18"/>
              </w:rPr>
            </w:pPr>
            <w:r w:rsidRPr="00795E1F">
              <w:rPr>
                <w:szCs w:val="18"/>
              </w:rPr>
              <w:t>47.1</w:t>
            </w:r>
          </w:p>
        </w:tc>
      </w:tr>
      <w:tr w:rsidR="006929CB" w:rsidRPr="00795E1F" w14:paraId="419A4FB8" w14:textId="77777777" w:rsidTr="00795E1F">
        <w:tc>
          <w:tcPr>
            <w:tcW w:w="3969" w:type="dxa"/>
            <w:shd w:val="clear" w:color="auto" w:fill="auto"/>
            <w:noWrap/>
            <w:vAlign w:val="center"/>
            <w:hideMark/>
          </w:tcPr>
          <w:p w14:paraId="1C967BA1" w14:textId="77777777" w:rsidR="006929CB" w:rsidRPr="00795E1F" w:rsidRDefault="006929CB" w:rsidP="00D41906">
            <w:pPr>
              <w:pStyle w:val="Tableboldblue"/>
              <w:rPr>
                <w:szCs w:val="18"/>
              </w:rPr>
            </w:pPr>
            <w:r w:rsidRPr="00795E1F">
              <w:rPr>
                <w:szCs w:val="18"/>
              </w:rPr>
              <w:t xml:space="preserve"> Total </w:t>
            </w:r>
          </w:p>
        </w:tc>
        <w:tc>
          <w:tcPr>
            <w:tcW w:w="4536" w:type="dxa"/>
          </w:tcPr>
          <w:p w14:paraId="54119552" w14:textId="77777777" w:rsidR="006929CB" w:rsidRPr="00795E1F" w:rsidRDefault="006929CB" w:rsidP="00731C74">
            <w:pPr>
              <w:pStyle w:val="Tableboldblue"/>
              <w:jc w:val="right"/>
              <w:rPr>
                <w:szCs w:val="18"/>
              </w:rPr>
            </w:pPr>
            <w:r w:rsidRPr="00795E1F">
              <w:rPr>
                <w:szCs w:val="18"/>
              </w:rPr>
              <w:t>50.9</w:t>
            </w:r>
          </w:p>
        </w:tc>
      </w:tr>
    </w:tbl>
    <w:p w14:paraId="57F11305" w14:textId="77777777" w:rsidR="006929CB" w:rsidRPr="00DD1C54" w:rsidRDefault="006929CB" w:rsidP="006929CB">
      <w:pPr>
        <w:pStyle w:val="Heading3"/>
        <w:spacing w:before="440"/>
      </w:pPr>
      <w:bookmarkStart w:id="1249" w:name="_Toc261513295"/>
      <w:bookmarkStart w:id="1250" w:name="_Toc261513908"/>
      <w:bookmarkStart w:id="1251" w:name="_Toc280630398"/>
      <w:bookmarkStart w:id="1252" w:name="_Toc1543396292"/>
      <w:r w:rsidRPr="00DD1C54">
        <w:t>A2.4.3</w:t>
      </w:r>
      <w:r w:rsidRPr="00DD1C54">
        <w:tab/>
      </w:r>
      <w:bookmarkEnd w:id="1249"/>
      <w:bookmarkEnd w:id="1250"/>
      <w:bookmarkEnd w:id="1251"/>
      <w:r w:rsidRPr="00DD1C54">
        <w:t>Quality control and quality assurance</w:t>
      </w:r>
      <w:bookmarkEnd w:id="1252"/>
    </w:p>
    <w:p w14:paraId="5673841A" w14:textId="77777777" w:rsidR="006929CB" w:rsidRPr="00DD1C54" w:rsidRDefault="006929CB" w:rsidP="006929CB">
      <w:pPr>
        <w:pStyle w:val="BodyText"/>
      </w:pPr>
      <w:r w:rsidRPr="00DD1C54">
        <w:t xml:space="preserve">Quality-control and quality-assurance procedures have been adopted for all data collection and data analyses, to be consistent with the </w:t>
      </w:r>
      <w:r w:rsidRPr="00DD1C54">
        <w:rPr>
          <w:iCs/>
        </w:rPr>
        <w:t>IPCC General Guidance and Reporting</w:t>
      </w:r>
      <w:r w:rsidRPr="00DD1C54">
        <w:rPr>
          <w:i/>
        </w:rPr>
        <w:t xml:space="preserve"> </w:t>
      </w:r>
      <w:r w:rsidRPr="00DD1C54">
        <w:t>(IPCC, 2006b) and New Zealand’s LULUCF inventory quality-control and quality-assurance plan. Quality-control and quality-assurance plans were established for each type of data used to determine carbon stock and stock changes, as well as the areal extent and spatial location of land-use changes. All data were subject to an independent and documented quality-assurance process. Data validation rules and reports were established to ensure all data are fit for purpose and of a consistent and known quality, and that data quality continues to be improved over time. The data used to derive the country-specific yield tables and average carbon values have also undergone quality assurance, as described in annex 5, section A5.2.5 of Inventory 2024 (Ministry for the Environment, 2024).</w:t>
      </w:r>
    </w:p>
    <w:p w14:paraId="289FB8C1" w14:textId="77777777" w:rsidR="006929CB" w:rsidRPr="00DD1C54" w:rsidRDefault="006929CB" w:rsidP="006929CB">
      <w:pPr>
        <w:pStyle w:val="Heading3"/>
      </w:pPr>
      <w:bookmarkStart w:id="1253" w:name="_Toc1189357886"/>
      <w:r w:rsidRPr="00DD1C54">
        <w:t>A2.4.4</w:t>
      </w:r>
      <w:r w:rsidRPr="00DD1C54">
        <w:tab/>
        <w:t>Planned improvements</w:t>
      </w:r>
      <w:bookmarkEnd w:id="1253"/>
    </w:p>
    <w:p w14:paraId="127F9FC1" w14:textId="77777777" w:rsidR="006929CB" w:rsidRPr="00DD1C54" w:rsidRDefault="006929CB" w:rsidP="006929CB">
      <w:pPr>
        <w:pStyle w:val="BodyText"/>
      </w:pPr>
      <w:r w:rsidRPr="00DD1C54">
        <w:t xml:space="preserve">The following methodological improvements are planned to support the accounting </w:t>
      </w:r>
      <w:r w:rsidRPr="00DD1C54">
        <w:rPr>
          <w:bCs/>
        </w:rPr>
        <w:t>approach to the LULUCF sector.</w:t>
      </w:r>
    </w:p>
    <w:p w14:paraId="45206835" w14:textId="77777777" w:rsidR="006929CB" w:rsidRPr="00DD1C54" w:rsidRDefault="006929CB" w:rsidP="006929CB">
      <w:pPr>
        <w:pStyle w:val="Bullet"/>
        <w:spacing w:line="240" w:lineRule="auto"/>
      </w:pPr>
      <w:r w:rsidRPr="00DD1C54">
        <w:t>Technical corrections to the FRL to incorporate:</w:t>
      </w:r>
    </w:p>
    <w:p w14:paraId="074AA2D5" w14:textId="77777777" w:rsidR="006929CB" w:rsidRPr="00DD1C54" w:rsidRDefault="006929CB" w:rsidP="0028347D">
      <w:pPr>
        <w:pStyle w:val="Sub-list"/>
      </w:pPr>
      <w:r w:rsidRPr="00DD1C54">
        <w:t xml:space="preserve">actual deforestation, and corresponding changes to the area of forests accounted for under </w:t>
      </w:r>
      <w:r w:rsidRPr="00DD1C54">
        <w:rPr>
          <w:i/>
          <w:iCs/>
        </w:rPr>
        <w:t>Forest management</w:t>
      </w:r>
      <w:r w:rsidRPr="00DD1C54">
        <w:t>,</w:t>
      </w:r>
      <w:r w:rsidRPr="00DD1C54">
        <w:rPr>
          <w:i/>
          <w:iCs/>
        </w:rPr>
        <w:t xml:space="preserve"> </w:t>
      </w:r>
      <w:r w:rsidRPr="00DD1C54">
        <w:t>occurring during NDC1</w:t>
      </w:r>
    </w:p>
    <w:p w14:paraId="5555763B" w14:textId="77777777" w:rsidR="006929CB" w:rsidRPr="00DD1C54" w:rsidRDefault="006929CB" w:rsidP="0028347D">
      <w:pPr>
        <w:pStyle w:val="Sub-list"/>
      </w:pPr>
      <w:r w:rsidRPr="00DD1C54">
        <w:t>where appropriate, updates to carbon stock changes and yield tables based on further forest plot measurements.</w:t>
      </w:r>
    </w:p>
    <w:p w14:paraId="4AA59FC2" w14:textId="77777777" w:rsidR="006929CB" w:rsidRPr="00DD1C54" w:rsidRDefault="006929CB" w:rsidP="006929CB">
      <w:pPr>
        <w:pStyle w:val="Bullet"/>
        <w:spacing w:line="240" w:lineRule="auto"/>
      </w:pPr>
      <w:r w:rsidRPr="00DD1C54">
        <w:t>Investigation of options for reconciling</w:t>
      </w:r>
      <w:r w:rsidRPr="00DD1C54" w:rsidDel="00B305D4">
        <w:t xml:space="preserve"> </w:t>
      </w:r>
      <w:r w:rsidRPr="00DD1C54">
        <w:t xml:space="preserve">the actual emissions from </w:t>
      </w:r>
      <w:r w:rsidRPr="00DD1C54">
        <w:rPr>
          <w:i/>
          <w:iCs/>
        </w:rPr>
        <w:t>Afforestation and reforestation</w:t>
      </w:r>
      <w:r w:rsidRPr="00DD1C54">
        <w:t xml:space="preserve"> activities with the emissions included in the averaging approach at the end of NDC1. This includes determining whether </w:t>
      </w:r>
      <w:r w:rsidRPr="00DD1C54">
        <w:rPr>
          <w:i/>
          <w:iCs/>
        </w:rPr>
        <w:t>Afforestation and reforestation</w:t>
      </w:r>
      <w:r w:rsidRPr="00DD1C54">
        <w:t xml:space="preserve"> </w:t>
      </w:r>
      <w:r w:rsidRPr="00DD1C54">
        <w:rPr>
          <w:i/>
          <w:iCs/>
        </w:rPr>
        <w:t>Above LTA</w:t>
      </w:r>
      <w:r w:rsidRPr="00DD1C54">
        <w:t xml:space="preserve"> emissions are consistent with expected values, and accounting for any difference, either through an FRL or an end-of-period recalculation of the LTA.</w:t>
      </w:r>
    </w:p>
    <w:p w14:paraId="4EEEA5A6" w14:textId="77777777" w:rsidR="006929CB" w:rsidRPr="00DD1C54" w:rsidRDefault="006929CB" w:rsidP="006929CB">
      <w:pPr>
        <w:pStyle w:val="Bullet"/>
        <w:spacing w:line="240" w:lineRule="auto"/>
      </w:pPr>
      <w:r w:rsidRPr="00DD1C54">
        <w:t xml:space="preserve">Improvement to the approach for defining the background level for natural disturbances in the </w:t>
      </w:r>
      <w:r w:rsidRPr="00DD1C54">
        <w:rPr>
          <w:i/>
          <w:iCs/>
        </w:rPr>
        <w:t>Afforestation and reforestation</w:t>
      </w:r>
      <w:r w:rsidRPr="00DD1C54">
        <w:t xml:space="preserve"> and </w:t>
      </w:r>
      <w:r w:rsidRPr="00DD1C54">
        <w:rPr>
          <w:i/>
        </w:rPr>
        <w:t>Forest management</w:t>
      </w:r>
      <w:r w:rsidRPr="00DD1C54">
        <w:rPr>
          <w:i/>
          <w:iCs/>
        </w:rPr>
        <w:t xml:space="preserve"> </w:t>
      </w:r>
      <w:r w:rsidRPr="00DD1C54">
        <w:t xml:space="preserve">categories. This includes the approach for implementing the natural disturbance provision when it is invoked for </w:t>
      </w:r>
      <w:r w:rsidRPr="00DD1C54">
        <w:rPr>
          <w:i/>
          <w:iCs/>
        </w:rPr>
        <w:t>Afforestation and reforestation</w:t>
      </w:r>
      <w:r w:rsidRPr="00DD1C54">
        <w:t xml:space="preserve"> in the context of LTA accounting. </w:t>
      </w:r>
    </w:p>
    <w:p w14:paraId="3455B8C8" w14:textId="77777777" w:rsidR="006929CB" w:rsidRPr="00DD1C54" w:rsidRDefault="006929CB" w:rsidP="006929CB">
      <w:pPr>
        <w:pStyle w:val="Bullet"/>
        <w:spacing w:line="240" w:lineRule="auto"/>
        <w:rPr>
          <w:sz w:val="20"/>
        </w:rPr>
      </w:pPr>
      <w:r w:rsidRPr="00DD1C54">
        <w:t xml:space="preserve">Investigation to further characterise the area, species composition and management </w:t>
      </w:r>
      <w:r w:rsidRPr="00DD1C54">
        <w:rPr>
          <w:spacing w:val="-2"/>
        </w:rPr>
        <w:t>practices in permanent forests and determine the corresponding LTA carbon stock and age.</w:t>
      </w:r>
    </w:p>
    <w:p w14:paraId="579EA493" w14:textId="77777777" w:rsidR="006929CB" w:rsidRPr="00DD1C54" w:rsidRDefault="006929CB" w:rsidP="006929CB">
      <w:pPr>
        <w:pStyle w:val="Bullet"/>
        <w:spacing w:line="240" w:lineRule="auto"/>
        <w:rPr>
          <w:sz w:val="20"/>
        </w:rPr>
      </w:pPr>
      <w:r w:rsidRPr="00DD1C54">
        <w:t xml:space="preserve">Investigation of options for determining the effect of LTA uncertainty on accounting quantities for </w:t>
      </w:r>
      <w:r w:rsidRPr="00DD1C54">
        <w:rPr>
          <w:i/>
          <w:iCs/>
        </w:rPr>
        <w:t>Afforestation and reforestation</w:t>
      </w:r>
      <w:r w:rsidRPr="00DD1C54">
        <w:t>.</w:t>
      </w:r>
    </w:p>
    <w:p w14:paraId="7C1C8606" w14:textId="77777777" w:rsidR="006929CB" w:rsidRPr="00DD1C54" w:rsidRDefault="006929CB" w:rsidP="006929CB">
      <w:pPr>
        <w:pStyle w:val="Bullet"/>
        <w:spacing w:line="240" w:lineRule="auto"/>
        <w:rPr>
          <w:sz w:val="20"/>
        </w:rPr>
      </w:pPr>
      <w:r w:rsidRPr="00DD1C54">
        <w:t>Confirmation of areas of deforestation occurring in 2021 and 2022 through land use mapping.</w:t>
      </w:r>
    </w:p>
    <w:p w14:paraId="6D4E8039" w14:textId="77777777" w:rsidR="006929CB" w:rsidRPr="00DD1C54" w:rsidRDefault="006929CB" w:rsidP="00C11D5D">
      <w:pPr>
        <w:pStyle w:val="Heading2notforTOC"/>
      </w:pPr>
      <w:bookmarkStart w:id="1254" w:name="_Toc1963096135"/>
      <w:bookmarkStart w:id="1255" w:name="_Toc183603249"/>
      <w:r w:rsidRPr="00DD1C54">
        <w:t xml:space="preserve">A2.5 </w:t>
      </w:r>
      <w:r w:rsidRPr="00DD1C54">
        <w:tab/>
        <w:t>Demonstration that activities apply</w:t>
      </w:r>
      <w:bookmarkEnd w:id="1254"/>
      <w:bookmarkEnd w:id="1255"/>
    </w:p>
    <w:p w14:paraId="779A0835" w14:textId="77777777" w:rsidR="006929CB" w:rsidRPr="00DD1C54" w:rsidRDefault="006929CB" w:rsidP="006929CB">
      <w:pPr>
        <w:pStyle w:val="Heading3"/>
      </w:pPr>
      <w:bookmarkStart w:id="1256" w:name="_Toc1374749611"/>
      <w:r w:rsidRPr="00DD1C54">
        <w:t xml:space="preserve">A2.5.1 </w:t>
      </w:r>
      <w:r w:rsidRPr="00DD1C54">
        <w:tab/>
        <w:t>Year of the onset of an activity</w:t>
      </w:r>
      <w:bookmarkEnd w:id="1256"/>
    </w:p>
    <w:p w14:paraId="6B39E30B" w14:textId="2AF751EC" w:rsidR="006929CB" w:rsidRPr="00DD1C54" w:rsidRDefault="006929CB" w:rsidP="006929CB">
      <w:pPr>
        <w:pStyle w:val="BodyText"/>
      </w:pPr>
      <w:r w:rsidRPr="00DD1C54">
        <w:t xml:space="preserve">The 2013 Kyoto Protocol Supplement requires Parties to account for </w:t>
      </w:r>
      <w:r w:rsidR="00B67BC9">
        <w:t>Land Use, Land-Use Change and Forestry</w:t>
      </w:r>
      <w:r w:rsidRPr="00DD1C54">
        <w:t xml:space="preserve"> emissions and removals from afforestation, reforestation and deforestation activities beginning with the onset of the activity or the beginning of the reporting period, whichever is later (IPCC, 2014). In practical terms, this means there is a need to differentiate activities that occurred between 1 January 1990 and 31 December 2020 from those occurring during NDC1.</w:t>
      </w:r>
    </w:p>
    <w:p w14:paraId="26C81EB3" w14:textId="77777777" w:rsidR="006929CB" w:rsidRPr="00DD1C54" w:rsidRDefault="006929CB" w:rsidP="006929CB">
      <w:pPr>
        <w:pStyle w:val="BodyText"/>
      </w:pPr>
      <w:r w:rsidRPr="00DD1C54">
        <w:t xml:space="preserve">The area subject to </w:t>
      </w:r>
      <w:r w:rsidRPr="00DD1C54">
        <w:rPr>
          <w:i/>
        </w:rPr>
        <w:t>Afforestation and reforestation</w:t>
      </w:r>
      <w:r w:rsidRPr="00DD1C54">
        <w:t xml:space="preserve"> activities in each year is estimated from the </w:t>
      </w:r>
      <w:r w:rsidRPr="00DD1C54">
        <w:rPr>
          <w:spacing w:val="-2"/>
        </w:rPr>
        <w:t>LUCAS land use map</w:t>
      </w:r>
      <w:r w:rsidRPr="00DD1C54">
        <w:t xml:space="preserve"> and the NEFD survey (Ministry for Primary Industries, 2023a), as described in annex 5, section A5.2.1 and section A5.2.2 of Inventory 2024 (Ministry for the Environment, 2024). This information ensures the activity is attributed to the correct year of onset. </w:t>
      </w:r>
    </w:p>
    <w:p w14:paraId="664E7CB0" w14:textId="77777777" w:rsidR="006929CB" w:rsidRPr="00DD1C54" w:rsidRDefault="006929CB" w:rsidP="006929CB">
      <w:pPr>
        <w:pStyle w:val="BodyText"/>
      </w:pPr>
      <w:r w:rsidRPr="00DD1C54">
        <w:t xml:space="preserve">Deforestation is first detected using annual satellite imagery and confirmed using high resolution satellite imagery or aerial photography. The year of onset (destocking year) is therefore determined from the first year of detection of forest loss in the annual satellite imagery time series. Because </w:t>
      </w:r>
      <w:r w:rsidRPr="00DD1C54">
        <w:rPr>
          <w:spacing w:val="-2"/>
        </w:rPr>
        <w:t>deforestation</w:t>
      </w:r>
      <w:r w:rsidRPr="00DD1C54">
        <w:t xml:space="preserve"> mapping has not yet been completed for activity occurring in 2021 and 2022, the total deforestation area for these years has been estimated as described in annex 5, section A5.2.2 of Inventory 2024 (Ministry for the Environment, 2024). </w:t>
      </w:r>
    </w:p>
    <w:p w14:paraId="6C124699" w14:textId="28B719CB" w:rsidR="006929CB" w:rsidRPr="00DD1C54" w:rsidRDefault="006929CB" w:rsidP="006929CB">
      <w:pPr>
        <w:pStyle w:val="BodyText"/>
      </w:pPr>
      <w:r w:rsidRPr="00DD1C54">
        <w:t xml:space="preserve">It can take up to four years following the loss of forest cover to determine that replanting or revegetation has occurred. This is because sometimes the land owner does not replant trees immediately, but leaves the land fallow for a time. The process for monitoring this unclassified deforestation is described in </w:t>
      </w:r>
      <w:hyperlink w:anchor="sectionA252" w:history="1">
        <w:r w:rsidRPr="00443839">
          <w:rPr>
            <w:rStyle w:val="Hyperlink"/>
          </w:rPr>
          <w:t>section A2.5.2</w:t>
        </w:r>
      </w:hyperlink>
      <w:r w:rsidRPr="00DD1C54">
        <w:t>. When deforestation is finally confirmed, the deforestation is attributed to the year when forest cover was removed.</w:t>
      </w:r>
    </w:p>
    <w:p w14:paraId="142B538C" w14:textId="77777777" w:rsidR="006929CB" w:rsidRPr="00DD1C54" w:rsidRDefault="006929CB" w:rsidP="006929CB">
      <w:pPr>
        <w:pStyle w:val="Heading3"/>
      </w:pPr>
      <w:bookmarkStart w:id="1257" w:name="sectionA252"/>
      <w:bookmarkStart w:id="1258" w:name="_Toc261513299"/>
      <w:bookmarkStart w:id="1259" w:name="_Toc261513912"/>
      <w:bookmarkStart w:id="1260" w:name="_Toc280630402"/>
      <w:bookmarkStart w:id="1261" w:name="_Toc377043726"/>
      <w:bookmarkStart w:id="1262" w:name="_Toc400967264"/>
      <w:bookmarkStart w:id="1263" w:name="_Toc708527920"/>
      <w:r w:rsidRPr="00DD1C54">
        <w:t xml:space="preserve">A2.5.2 </w:t>
      </w:r>
      <w:bookmarkEnd w:id="1257"/>
      <w:r w:rsidRPr="00DD1C54">
        <w:tab/>
        <w:t>Distinction between harvesting and deforestation</w:t>
      </w:r>
      <w:bookmarkEnd w:id="1258"/>
      <w:bookmarkEnd w:id="1259"/>
      <w:bookmarkEnd w:id="1260"/>
      <w:bookmarkEnd w:id="1261"/>
      <w:bookmarkEnd w:id="1262"/>
      <w:bookmarkEnd w:id="1263"/>
    </w:p>
    <w:p w14:paraId="5D30CDFE" w14:textId="77777777" w:rsidR="006929CB" w:rsidRPr="00DD1C54" w:rsidRDefault="006929CB" w:rsidP="006929CB">
      <w:pPr>
        <w:pStyle w:val="BodyText"/>
        <w:spacing w:before="100" w:after="100"/>
      </w:pPr>
      <w:r w:rsidRPr="00DD1C54">
        <w:t xml:space="preserve">New Zealand has used the definition of </w:t>
      </w:r>
      <w:r w:rsidRPr="00DD1C54">
        <w:rPr>
          <w:i/>
          <w:iCs/>
          <w:spacing w:val="-2"/>
        </w:rPr>
        <w:t xml:space="preserve">Deforestation </w:t>
      </w:r>
      <w:r w:rsidRPr="00DD1C54">
        <w:rPr>
          <w:spacing w:val="-2"/>
        </w:rPr>
        <w:t>from the 2006 IPCC Guidelines</w:t>
      </w:r>
      <w:r w:rsidRPr="00DD1C54">
        <w:t>: “the direct human-induced conversion of forested land to non-forested land” (IPCC, 2006a, p 4.74). Deforestation is different from harvesting, in that harvesting is part of usual forest management practice and involves the temporary loss of forest cover with no change in land use.</w:t>
      </w:r>
    </w:p>
    <w:p w14:paraId="345B6297" w14:textId="77777777" w:rsidR="006929CB" w:rsidRPr="00DD1C54" w:rsidRDefault="006929CB" w:rsidP="006929CB">
      <w:pPr>
        <w:pStyle w:val="BodyText"/>
      </w:pPr>
      <w:r w:rsidRPr="00DD1C54">
        <w:t xml:space="preserve">In New Zealand, temporarily unstocked or cleared areas of forest (eg, harvested areas and areas subject to disturbances) remain designated as </w:t>
      </w:r>
      <w:r w:rsidRPr="00DD1C54">
        <w:rPr>
          <w:i/>
        </w:rPr>
        <w:t>Forest land</w:t>
      </w:r>
      <w:r w:rsidRPr="00DD1C54">
        <w:t xml:space="preserve"> unless a change in land use is confirmed or if, after four years, there is no evidence of forestry activities occurring (ie, either through replanting or regeneration). This follows the process for determining whether land is subject to direct human-induced </w:t>
      </w:r>
      <w:r w:rsidRPr="00DD1C54">
        <w:rPr>
          <w:spacing w:val="-2"/>
        </w:rPr>
        <w:t>deforestation</w:t>
      </w:r>
      <w:r w:rsidRPr="00DD1C54">
        <w:t xml:space="preserve"> as set out in section 2.6.2.1 of the 2013 Kyoto Protocol Supplement (IPCC, 2014). New Zealand has defined the expected period between the removal of tree cover and successful natural regeneration or planting as four years. In New Zealand, the tree grower and land owner are often different people. Forest land can be temporarily unstocked for several years while land owners decide what to do with land after harvesting. </w:t>
      </w:r>
    </w:p>
    <w:p w14:paraId="30E2021D" w14:textId="77777777" w:rsidR="006929CB" w:rsidRPr="00DD1C54" w:rsidRDefault="006929CB" w:rsidP="006929CB">
      <w:pPr>
        <w:pStyle w:val="BodyText"/>
      </w:pPr>
      <w:r w:rsidRPr="00DD1C54">
        <w:t>Several activities are carried out to determine if land-use change has occurred, including the analysis of satellite imagery and aerial photography. The use of aerial photography is described in chapter 6, section 6.2 of Inventory 2024.</w:t>
      </w:r>
    </w:p>
    <w:p w14:paraId="6977E268" w14:textId="77777777" w:rsidR="006929CB" w:rsidRPr="00DD1C54" w:rsidRDefault="006929CB" w:rsidP="006929CB">
      <w:pPr>
        <w:pStyle w:val="BodyText"/>
      </w:pPr>
      <w:r w:rsidRPr="00DD1C54">
        <w:t xml:space="preserve">Evidence from the NZ ETS is also used to confirm </w:t>
      </w:r>
      <w:r w:rsidRPr="00DD1C54">
        <w:rPr>
          <w:i/>
          <w:spacing w:val="-2"/>
        </w:rPr>
        <w:t>Deforestation</w:t>
      </w:r>
      <w:r w:rsidRPr="00DD1C54">
        <w:t xml:space="preserve">. Under the NZ ETS, owners of pre-1990 planted forest or post-1989 forest (if they are participants in the scheme) are required to notify the Government of any </w:t>
      </w:r>
      <w:r w:rsidRPr="00DD1C54">
        <w:rPr>
          <w:spacing w:val="-2"/>
        </w:rPr>
        <w:t>deforestation</w:t>
      </w:r>
      <w:r w:rsidRPr="00DD1C54">
        <w:t xml:space="preserve"> activity (Ministry for Primary Industries, 2024). A data-sharing agreement is in place that allows for the Ministry for Primary Industries, the agency that administers forestry aspects of the NZ ETS, to provide the Ministry for the Environment with regular updates of the area of confirmed </w:t>
      </w:r>
      <w:r w:rsidRPr="00DD1C54">
        <w:rPr>
          <w:i/>
          <w:spacing w:val="-2"/>
        </w:rPr>
        <w:t>Deforestation</w:t>
      </w:r>
      <w:r w:rsidRPr="00DD1C54">
        <w:t>.</w:t>
      </w:r>
    </w:p>
    <w:p w14:paraId="3735A1BF" w14:textId="4656F1B5" w:rsidR="006929CB" w:rsidRPr="00DD1C54" w:rsidRDefault="006929CB" w:rsidP="006929CB">
      <w:pPr>
        <w:pStyle w:val="BodyText"/>
        <w:rPr>
          <w:spacing w:val="-2"/>
        </w:rPr>
      </w:pPr>
      <w:r w:rsidRPr="00DD1C54">
        <w:rPr>
          <w:spacing w:val="-2"/>
        </w:rPr>
        <w:t xml:space="preserve">A summary of the decision-making process for determining whether </w:t>
      </w:r>
      <w:r w:rsidRPr="00DD1C54">
        <w:rPr>
          <w:i/>
          <w:spacing w:val="-2"/>
        </w:rPr>
        <w:t>Deforestation</w:t>
      </w:r>
      <w:r w:rsidRPr="00DD1C54">
        <w:rPr>
          <w:spacing w:val="-2"/>
        </w:rPr>
        <w:t xml:space="preserve"> has occurred, including all sources of information, is shown in </w:t>
      </w:r>
      <w:hyperlink w:anchor="figureA23" w:history="1">
        <w:r w:rsidRPr="00F87553">
          <w:rPr>
            <w:rStyle w:val="Hyperlink"/>
            <w:spacing w:val="-2"/>
          </w:rPr>
          <w:t>figure A2.3</w:t>
        </w:r>
      </w:hyperlink>
      <w:r w:rsidRPr="00DD1C54">
        <w:rPr>
          <w:spacing w:val="-2"/>
        </w:rPr>
        <w:t xml:space="preserve">. Once a land-use change is mapped and confirmed, the </w:t>
      </w:r>
      <w:r w:rsidRPr="00DD1C54">
        <w:rPr>
          <w:i/>
          <w:spacing w:val="-2"/>
        </w:rPr>
        <w:t>Deforestation</w:t>
      </w:r>
      <w:r w:rsidRPr="00DD1C54">
        <w:rPr>
          <w:spacing w:val="-2"/>
        </w:rPr>
        <w:t xml:space="preserve"> emissions will be reported in the year of forest clearance.</w:t>
      </w:r>
    </w:p>
    <w:p w14:paraId="1F8B00CB" w14:textId="77777777" w:rsidR="006929CB" w:rsidRPr="00DD1C54" w:rsidRDefault="006929CB" w:rsidP="00201256">
      <w:pPr>
        <w:pStyle w:val="Figureheading"/>
      </w:pPr>
      <w:bookmarkStart w:id="1264" w:name="figureA23"/>
      <w:bookmarkStart w:id="1265" w:name="_Toc522010715"/>
      <w:bookmarkStart w:id="1266" w:name="_Toc5269735"/>
      <w:bookmarkStart w:id="1267" w:name="_Toc36292841"/>
      <w:bookmarkStart w:id="1268" w:name="_Toc64987009"/>
      <w:bookmarkStart w:id="1269" w:name="_Toc68786705"/>
      <w:bookmarkStart w:id="1270" w:name="_Toc95321439"/>
      <w:bookmarkStart w:id="1271" w:name="_Toc99696079"/>
      <w:bookmarkStart w:id="1272" w:name="_Toc182311786"/>
      <w:bookmarkStart w:id="1273" w:name="_Toc185347283"/>
      <w:r w:rsidRPr="00DD1C54">
        <w:t>Figure A2.3</w:t>
      </w:r>
      <w:bookmarkEnd w:id="1264"/>
      <w:r w:rsidRPr="00DD1C54">
        <w:t>:</w:t>
      </w:r>
      <w:r w:rsidRPr="00DD1C54">
        <w:tab/>
        <w:t>Verification of deforestation in New Zealand</w:t>
      </w:r>
      <w:bookmarkEnd w:id="1265"/>
      <w:bookmarkEnd w:id="1266"/>
      <w:bookmarkEnd w:id="1267"/>
      <w:bookmarkEnd w:id="1268"/>
      <w:bookmarkEnd w:id="1269"/>
      <w:bookmarkEnd w:id="1270"/>
      <w:bookmarkEnd w:id="1271"/>
      <w:bookmarkEnd w:id="1272"/>
      <w:bookmarkEnd w:id="1273"/>
    </w:p>
    <w:p w14:paraId="32AA2E82" w14:textId="77777777" w:rsidR="006929CB" w:rsidRPr="00DD1C54" w:rsidRDefault="006929CB" w:rsidP="006929CB">
      <w:pPr>
        <w:pStyle w:val="BodyText"/>
        <w:spacing w:after="0"/>
      </w:pPr>
      <w:r w:rsidRPr="00DD1C54">
        <w:rPr>
          <w:noProof/>
        </w:rPr>
        <mc:AlternateContent>
          <mc:Choice Requires="wpg">
            <w:drawing>
              <wp:inline distT="0" distB="0" distL="0" distR="0" wp14:anchorId="21E2147B" wp14:editId="734D2A7F">
                <wp:extent cx="5366385" cy="3502660"/>
                <wp:effectExtent l="0" t="0" r="24765" b="21590"/>
                <wp:docPr id="1643599237" name="Group 5" descr="A flow diagram providing a summary of the decision-making process for determining whether deforestation has occurred in New Zealand including all sources of information.  "/>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366385" cy="3502660"/>
                          <a:chOff x="2197" y="4715"/>
                          <a:chExt cx="8796" cy="5577"/>
                        </a:xfrm>
                      </wpg:grpSpPr>
                      <wpg:grpSp>
                        <wpg:cNvPr id="1318450849" name="Group 7"/>
                        <wpg:cNvGrpSpPr>
                          <a:grpSpLocks noChangeAspect="1"/>
                        </wpg:cNvGrpSpPr>
                        <wpg:grpSpPr bwMode="auto">
                          <a:xfrm>
                            <a:off x="4739" y="6910"/>
                            <a:ext cx="6254" cy="3226"/>
                            <a:chOff x="3862" y="5489"/>
                            <a:chExt cx="6254" cy="3226"/>
                          </a:xfrm>
                        </wpg:grpSpPr>
                        <wps:wsp>
                          <wps:cNvPr id="1388947102" name="AutoShape 8"/>
                          <wps:cNvCnPr>
                            <a:cxnSpLocks noChangeAspect="1" noChangeShapeType="1"/>
                          </wps:cNvCnPr>
                          <wps:spPr bwMode="auto">
                            <a:xfrm>
                              <a:off x="5378" y="5489"/>
                              <a:ext cx="0" cy="638"/>
                            </a:xfrm>
                            <a:prstGeom prst="straightConnector1">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1815308059" name="AutoShape 9"/>
                          <wps:cNvCnPr>
                            <a:cxnSpLocks noChangeAspect="1" noChangeShapeType="1"/>
                          </wps:cNvCnPr>
                          <wps:spPr bwMode="auto">
                            <a:xfrm>
                              <a:off x="5378" y="7005"/>
                              <a:ext cx="0" cy="1221"/>
                            </a:xfrm>
                            <a:prstGeom prst="straightConnector1">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814025728" name="AutoShape 10"/>
                          <wps:cNvSpPr>
                            <a:spLocks noChangeAspect="1" noChangeArrowheads="1"/>
                          </wps:cNvSpPr>
                          <wps:spPr bwMode="auto">
                            <a:xfrm>
                              <a:off x="7641" y="8275"/>
                              <a:ext cx="2475" cy="440"/>
                            </a:xfrm>
                            <a:prstGeom prst="flowChartProcess">
                              <a:avLst/>
                            </a:prstGeom>
                            <a:ln w="9525">
                              <a:headEnd/>
                              <a:tailEnd/>
                            </a:ln>
                          </wps:spPr>
                          <wps:style>
                            <a:lnRef idx="2">
                              <a:schemeClr val="accent1"/>
                            </a:lnRef>
                            <a:fillRef idx="1">
                              <a:schemeClr val="lt1"/>
                            </a:fillRef>
                            <a:effectRef idx="0">
                              <a:schemeClr val="accent1"/>
                            </a:effectRef>
                            <a:fontRef idx="minor">
                              <a:schemeClr val="dk1"/>
                            </a:fontRef>
                          </wps:style>
                          <wps:txbx>
                            <w:txbxContent>
                              <w:p w14:paraId="79EC5E29" w14:textId="77777777" w:rsidR="006929CB" w:rsidRPr="009D51DD" w:rsidRDefault="006929CB" w:rsidP="00BC31EE">
                                <w:pPr>
                                  <w:spacing w:before="40" w:after="40" w:line="240" w:lineRule="auto"/>
                                  <w:jc w:val="center"/>
                                  <w:rPr>
                                    <w:rFonts w:cs="Calibri"/>
                                    <w:color w:val="1B556B" w:themeColor="text2"/>
                                    <w:sz w:val="18"/>
                                    <w:szCs w:val="18"/>
                                  </w:rPr>
                                </w:pPr>
                                <w:r w:rsidRPr="009D51DD">
                                  <w:rPr>
                                    <w:rFonts w:cs="Calibri"/>
                                    <w:color w:val="1B556B" w:themeColor="text2"/>
                                    <w:sz w:val="18"/>
                                    <w:szCs w:val="18"/>
                                  </w:rPr>
                                  <w:t>Mark area as deforested</w:t>
                                </w:r>
                              </w:p>
                            </w:txbxContent>
                          </wps:txbx>
                          <wps:bodyPr rot="0" vert="horz" wrap="square" lIns="91440" tIns="45720" rIns="91440" bIns="45720" anchor="t" anchorCtr="0" upright="1">
                            <a:noAutofit/>
                          </wps:bodyPr>
                        </wps:wsp>
                        <wps:wsp>
                          <wps:cNvPr id="40263682" name="AutoShape 12"/>
                          <wps:cNvSpPr>
                            <a:spLocks noChangeAspect="1" noChangeArrowheads="1"/>
                          </wps:cNvSpPr>
                          <wps:spPr bwMode="auto">
                            <a:xfrm>
                              <a:off x="7626" y="7337"/>
                              <a:ext cx="2490" cy="445"/>
                            </a:xfrm>
                            <a:prstGeom prst="flowChartProcess">
                              <a:avLst/>
                            </a:prstGeom>
                            <a:ln w="9525">
                              <a:headEnd/>
                              <a:tailEnd/>
                            </a:ln>
                          </wps:spPr>
                          <wps:style>
                            <a:lnRef idx="2">
                              <a:schemeClr val="accent1"/>
                            </a:lnRef>
                            <a:fillRef idx="1">
                              <a:schemeClr val="lt1"/>
                            </a:fillRef>
                            <a:effectRef idx="0">
                              <a:schemeClr val="accent1"/>
                            </a:effectRef>
                            <a:fontRef idx="minor">
                              <a:schemeClr val="dk1"/>
                            </a:fontRef>
                          </wps:style>
                          <wps:txbx>
                            <w:txbxContent>
                              <w:p w14:paraId="239EF0F0" w14:textId="77777777" w:rsidR="006929CB" w:rsidRPr="009D51DD" w:rsidRDefault="006929CB" w:rsidP="00BC31EE">
                                <w:pPr>
                                  <w:spacing w:before="40" w:after="40" w:line="240" w:lineRule="auto"/>
                                  <w:jc w:val="center"/>
                                  <w:rPr>
                                    <w:rFonts w:cs="Calibri"/>
                                    <w:color w:val="1B556B" w:themeColor="text2"/>
                                    <w:sz w:val="18"/>
                                    <w:szCs w:val="18"/>
                                  </w:rPr>
                                </w:pPr>
                                <w:r w:rsidRPr="009D51DD">
                                  <w:rPr>
                                    <w:rFonts w:cs="Calibri"/>
                                    <w:color w:val="1B556B" w:themeColor="text2"/>
                                    <w:sz w:val="18"/>
                                    <w:szCs w:val="18"/>
                                  </w:rPr>
                                  <w:t>Mark area as harvested</w:t>
                                </w:r>
                              </w:p>
                            </w:txbxContent>
                          </wps:txbx>
                          <wps:bodyPr rot="0" vert="horz" wrap="square" lIns="91440" tIns="45720" rIns="91440" bIns="45720" anchor="t" anchorCtr="0" upright="1">
                            <a:noAutofit/>
                          </wps:bodyPr>
                        </wps:wsp>
                        <wps:wsp>
                          <wps:cNvPr id="62921538" name="AutoShape 13"/>
                          <wps:cNvSpPr>
                            <a:spLocks noChangeAspect="1" noChangeArrowheads="1"/>
                          </wps:cNvSpPr>
                          <wps:spPr bwMode="auto">
                            <a:xfrm>
                              <a:off x="3862" y="6232"/>
                              <a:ext cx="2985" cy="675"/>
                            </a:xfrm>
                            <a:prstGeom prst="flowChartProcess">
                              <a:avLst/>
                            </a:prstGeom>
                            <a:ln w="9525">
                              <a:headEnd/>
                              <a:tailEnd/>
                            </a:ln>
                          </wps:spPr>
                          <wps:style>
                            <a:lnRef idx="2">
                              <a:schemeClr val="accent1"/>
                            </a:lnRef>
                            <a:fillRef idx="1">
                              <a:schemeClr val="lt1"/>
                            </a:fillRef>
                            <a:effectRef idx="0">
                              <a:schemeClr val="accent1"/>
                            </a:effectRef>
                            <a:fontRef idx="minor">
                              <a:schemeClr val="dk1"/>
                            </a:fontRef>
                          </wps:style>
                          <wps:txbx>
                            <w:txbxContent>
                              <w:p w14:paraId="17E750F2" w14:textId="77777777" w:rsidR="006929CB" w:rsidRPr="009D51DD" w:rsidRDefault="006929CB" w:rsidP="00BC31EE">
                                <w:pPr>
                                  <w:spacing w:before="40" w:after="40" w:line="240" w:lineRule="auto"/>
                                  <w:jc w:val="center"/>
                                  <w:rPr>
                                    <w:rFonts w:cs="Calibri"/>
                                    <w:color w:val="1B556B" w:themeColor="text2"/>
                                    <w:sz w:val="18"/>
                                    <w:szCs w:val="18"/>
                                  </w:rPr>
                                </w:pPr>
                                <w:r w:rsidRPr="009D51DD">
                                  <w:rPr>
                                    <w:rFonts w:cs="Calibri"/>
                                    <w:color w:val="1B556B" w:themeColor="text2"/>
                                    <w:sz w:val="18"/>
                                    <w:szCs w:val="18"/>
                                  </w:rPr>
                                  <w:t>Can current land use be confirmed?</w:t>
                                </w:r>
                              </w:p>
                            </w:txbxContent>
                          </wps:txbx>
                          <wps:bodyPr rot="0" vert="horz" wrap="square" lIns="91440" tIns="45720" rIns="91440" bIns="45720" anchor="ctr" anchorCtr="0" upright="1">
                            <a:noAutofit/>
                          </wps:bodyPr>
                        </wps:wsp>
                        <wps:wsp>
                          <wps:cNvPr id="1566601483" name="AutoShape 15"/>
                          <wps:cNvCnPr>
                            <a:cxnSpLocks noChangeAspect="1" noChangeShapeType="1"/>
                            <a:endCxn id="40263682" idx="1"/>
                          </wps:cNvCnPr>
                          <wps:spPr bwMode="auto">
                            <a:xfrm>
                              <a:off x="6555" y="6945"/>
                              <a:ext cx="1071" cy="614"/>
                            </a:xfrm>
                            <a:prstGeom prst="bentConnector3">
                              <a:avLst>
                                <a:gd name="adj1" fmla="val 1171"/>
                              </a:avLst>
                            </a:prstGeom>
                            <a:noFill/>
                            <a:ln w="9525">
                              <a:solidFill>
                                <a:schemeClr val="accent1"/>
                              </a:solidFill>
                              <a:miter lim="800000"/>
                              <a:headEnd/>
                              <a:tailEnd type="triangle" w="med" len="med"/>
                            </a:ln>
                            <a:extLst>
                              <a:ext uri="{909E8E84-426E-40DD-AFC4-6F175D3DCCD1}">
                                <a14:hiddenFill xmlns:a14="http://schemas.microsoft.com/office/drawing/2010/main">
                                  <a:noFill/>
                                </a14:hiddenFill>
                              </a:ext>
                            </a:extLst>
                          </wps:spPr>
                          <wps:bodyPr/>
                        </wps:wsp>
                        <wps:wsp>
                          <wps:cNvPr id="1180795847" name="AutoShape 16"/>
                          <wps:cNvCnPr>
                            <a:cxnSpLocks noChangeAspect="1" noChangeShapeType="1"/>
                            <a:endCxn id="814025728" idx="1"/>
                          </wps:cNvCnPr>
                          <wps:spPr bwMode="auto">
                            <a:xfrm>
                              <a:off x="6555" y="7558"/>
                              <a:ext cx="1086" cy="936"/>
                            </a:xfrm>
                            <a:prstGeom prst="bentConnector3">
                              <a:avLst>
                                <a:gd name="adj1" fmla="val 50000"/>
                              </a:avLst>
                            </a:prstGeom>
                            <a:ln w="9525">
                              <a:headEnd/>
                              <a:tailEnd type="triangle" w="med" len="med"/>
                            </a:ln>
                          </wps:spPr>
                          <wps:style>
                            <a:lnRef idx="2">
                              <a:schemeClr val="accent1"/>
                            </a:lnRef>
                            <a:fillRef idx="1">
                              <a:schemeClr val="lt1"/>
                            </a:fillRef>
                            <a:effectRef idx="0">
                              <a:schemeClr val="accent1"/>
                            </a:effectRef>
                            <a:fontRef idx="minor">
                              <a:schemeClr val="dk1"/>
                            </a:fontRef>
                          </wps:style>
                          <wps:bodyPr/>
                        </wps:wsp>
                      </wpg:grpSp>
                      <wps:wsp>
                        <wps:cNvPr id="608417332" name="AutoShape 27"/>
                        <wps:cNvSpPr>
                          <a:spLocks noChangeAspect="1" noChangeArrowheads="1"/>
                        </wps:cNvSpPr>
                        <wps:spPr bwMode="auto">
                          <a:xfrm>
                            <a:off x="4927" y="9747"/>
                            <a:ext cx="2625" cy="545"/>
                          </a:xfrm>
                          <a:prstGeom prst="flowChartProcess">
                            <a:avLst/>
                          </a:prstGeom>
                          <a:ln w="9525">
                            <a:headEnd/>
                            <a:tailEnd/>
                          </a:ln>
                        </wps:spPr>
                        <wps:style>
                          <a:lnRef idx="2">
                            <a:schemeClr val="accent1"/>
                          </a:lnRef>
                          <a:fillRef idx="1">
                            <a:schemeClr val="lt1"/>
                          </a:fillRef>
                          <a:effectRef idx="0">
                            <a:schemeClr val="accent1"/>
                          </a:effectRef>
                          <a:fontRef idx="minor">
                            <a:schemeClr val="dk1"/>
                          </a:fontRef>
                        </wps:style>
                        <wps:txbx>
                          <w:txbxContent>
                            <w:p w14:paraId="65645ACA" w14:textId="77777777" w:rsidR="006929CB" w:rsidRPr="009D51DD" w:rsidRDefault="006929CB" w:rsidP="00BC31EE">
                              <w:pPr>
                                <w:spacing w:before="40" w:after="40" w:line="240" w:lineRule="auto"/>
                                <w:jc w:val="center"/>
                                <w:rPr>
                                  <w:rFonts w:cs="Calibri"/>
                                  <w:color w:val="1B556B" w:themeColor="text2"/>
                                  <w:sz w:val="18"/>
                                  <w:szCs w:val="18"/>
                                </w:rPr>
                              </w:pPr>
                              <w:r w:rsidRPr="009D51DD">
                                <w:rPr>
                                  <w:rFonts w:cs="Calibri"/>
                                  <w:color w:val="1B556B" w:themeColor="text2"/>
                                  <w:sz w:val="18"/>
                                  <w:szCs w:val="18"/>
                                </w:rPr>
                                <w:t>Mark area as awaiting</w:t>
                              </w:r>
                            </w:p>
                          </w:txbxContent>
                        </wps:txbx>
                        <wps:bodyPr rot="0" vert="horz" wrap="square" lIns="91440" tIns="45720" rIns="91440" bIns="45720" anchor="t" anchorCtr="0" upright="1">
                          <a:noAutofit/>
                        </wps:bodyPr>
                      </wps:wsp>
                      <wpg:grpSp>
                        <wpg:cNvPr id="1065002038" name="Group 29"/>
                        <wpg:cNvGrpSpPr>
                          <a:grpSpLocks noChangeAspect="1"/>
                        </wpg:cNvGrpSpPr>
                        <wpg:grpSpPr bwMode="auto">
                          <a:xfrm>
                            <a:off x="2197" y="4715"/>
                            <a:ext cx="8091" cy="2625"/>
                            <a:chOff x="2197" y="4715"/>
                            <a:chExt cx="8091" cy="2625"/>
                          </a:xfrm>
                        </wpg:grpSpPr>
                        <wps:wsp>
                          <wps:cNvPr id="841336802" name="AutoShape 30"/>
                          <wps:cNvCnPr>
                            <a:cxnSpLocks noChangeAspect="1" noChangeShapeType="1"/>
                          </wps:cNvCnPr>
                          <wps:spPr bwMode="auto">
                            <a:xfrm>
                              <a:off x="3577" y="6305"/>
                              <a:ext cx="15" cy="315"/>
                            </a:xfrm>
                            <a:prstGeom prst="straightConnector1">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1135355482" name="AutoShape 31"/>
                          <wps:cNvCnPr>
                            <a:cxnSpLocks noChangeAspect="1" noChangeShapeType="1"/>
                          </wps:cNvCnPr>
                          <wps:spPr bwMode="auto">
                            <a:xfrm>
                              <a:off x="3562" y="5194"/>
                              <a:ext cx="15" cy="360"/>
                            </a:xfrm>
                            <a:prstGeom prst="straightConnector1">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567033817" name="AutoShape 32"/>
                          <wps:cNvSpPr>
                            <a:spLocks noChangeAspect="1" noChangeArrowheads="1"/>
                          </wps:cNvSpPr>
                          <wps:spPr bwMode="auto">
                            <a:xfrm>
                              <a:off x="2212" y="5539"/>
                              <a:ext cx="2805" cy="765"/>
                            </a:xfrm>
                            <a:prstGeom prst="flowChartProcess">
                              <a:avLst/>
                            </a:prstGeom>
                            <a:ln w="9525">
                              <a:headEnd/>
                              <a:tailEnd/>
                            </a:ln>
                          </wps:spPr>
                          <wps:style>
                            <a:lnRef idx="2">
                              <a:schemeClr val="accent1"/>
                            </a:lnRef>
                            <a:fillRef idx="1">
                              <a:schemeClr val="lt1"/>
                            </a:fillRef>
                            <a:effectRef idx="0">
                              <a:schemeClr val="accent1"/>
                            </a:effectRef>
                            <a:fontRef idx="minor">
                              <a:schemeClr val="dk1"/>
                            </a:fontRef>
                          </wps:style>
                          <wps:txbx>
                            <w:txbxContent>
                              <w:p w14:paraId="3900A498" w14:textId="77777777" w:rsidR="006929CB" w:rsidRPr="009D51DD" w:rsidRDefault="006929CB" w:rsidP="003C4E30">
                                <w:pPr>
                                  <w:spacing w:before="40" w:after="40" w:line="240" w:lineRule="auto"/>
                                  <w:jc w:val="center"/>
                                  <w:rPr>
                                    <w:rFonts w:cs="Calibri"/>
                                    <w:color w:val="1C556C" w:themeColor="accent1"/>
                                    <w:sz w:val="18"/>
                                    <w:szCs w:val="18"/>
                                  </w:rPr>
                                </w:pPr>
                                <w:r w:rsidRPr="009D51DD">
                                  <w:rPr>
                                    <w:rFonts w:cs="Calibri"/>
                                    <w:color w:val="1C556C" w:themeColor="accent1"/>
                                    <w:sz w:val="18"/>
                                    <w:szCs w:val="18"/>
                                  </w:rPr>
                                  <w:t>Is the area harvested or deforested?</w:t>
                                </w:r>
                              </w:p>
                            </w:txbxContent>
                          </wps:txbx>
                          <wps:bodyPr rot="0" vert="horz" wrap="square" lIns="91440" tIns="45720" rIns="91440" bIns="45720" anchor="ctr" anchorCtr="0" upright="1">
                            <a:noAutofit/>
                          </wps:bodyPr>
                        </wps:wsp>
                        <wps:wsp>
                          <wps:cNvPr id="369530468" name="AutoShape 33"/>
                          <wps:cNvSpPr>
                            <a:spLocks noChangeAspect="1" noChangeArrowheads="1"/>
                          </wps:cNvSpPr>
                          <wps:spPr bwMode="auto">
                            <a:xfrm>
                              <a:off x="2227" y="6620"/>
                              <a:ext cx="2805" cy="720"/>
                            </a:xfrm>
                            <a:prstGeom prst="flowChartProcess">
                              <a:avLst/>
                            </a:prstGeom>
                            <a:ln w="9525">
                              <a:headEnd/>
                              <a:tailEnd/>
                            </a:ln>
                          </wps:spPr>
                          <wps:style>
                            <a:lnRef idx="2">
                              <a:schemeClr val="accent1"/>
                            </a:lnRef>
                            <a:fillRef idx="1">
                              <a:schemeClr val="lt1"/>
                            </a:fillRef>
                            <a:effectRef idx="0">
                              <a:schemeClr val="accent1"/>
                            </a:effectRef>
                            <a:fontRef idx="minor">
                              <a:schemeClr val="dk1"/>
                            </a:fontRef>
                          </wps:style>
                          <wps:txbx>
                            <w:txbxContent>
                              <w:p w14:paraId="578F7137" w14:textId="77777777" w:rsidR="006929CB" w:rsidRPr="009D51DD" w:rsidRDefault="006929CB" w:rsidP="000B6937">
                                <w:pPr>
                                  <w:spacing w:before="40" w:after="40" w:line="240" w:lineRule="auto"/>
                                  <w:jc w:val="center"/>
                                  <w:rPr>
                                    <w:rFonts w:cs="Calibri"/>
                                    <w:color w:val="1B556B" w:themeColor="text2"/>
                                    <w:sz w:val="18"/>
                                    <w:szCs w:val="18"/>
                                  </w:rPr>
                                </w:pPr>
                                <w:r w:rsidRPr="009D51DD">
                                  <w:rPr>
                                    <w:rFonts w:cs="Calibri"/>
                                    <w:color w:val="1B556B" w:themeColor="text2"/>
                                    <w:sz w:val="18"/>
                                    <w:szCs w:val="18"/>
                                  </w:rPr>
                                  <w:t>Look at all sources of information</w:t>
                                </w:r>
                              </w:p>
                            </w:txbxContent>
                          </wps:txbx>
                          <wps:bodyPr rot="0" vert="horz" wrap="square" lIns="91440" tIns="45720" rIns="91440" bIns="45720" anchor="ctr" anchorCtr="0" upright="1">
                            <a:noAutofit/>
                          </wps:bodyPr>
                        </wps:wsp>
                        <wps:wsp>
                          <wps:cNvPr id="451641086" name="AutoShape 34"/>
                          <wps:cNvSpPr>
                            <a:spLocks noChangeAspect="1" noChangeArrowheads="1"/>
                          </wps:cNvSpPr>
                          <wps:spPr bwMode="auto">
                            <a:xfrm>
                              <a:off x="5407" y="4715"/>
                              <a:ext cx="4881" cy="2119"/>
                            </a:xfrm>
                            <a:prstGeom prst="flowChartProcess">
                              <a:avLst/>
                            </a:prstGeom>
                            <a:ln w="9525">
                              <a:headEnd/>
                              <a:tailEnd/>
                            </a:ln>
                          </wps:spPr>
                          <wps:style>
                            <a:lnRef idx="2">
                              <a:schemeClr val="accent1"/>
                            </a:lnRef>
                            <a:fillRef idx="1">
                              <a:schemeClr val="lt1"/>
                            </a:fillRef>
                            <a:effectRef idx="0">
                              <a:schemeClr val="accent1"/>
                            </a:effectRef>
                            <a:fontRef idx="minor">
                              <a:schemeClr val="dk1"/>
                            </a:fontRef>
                          </wps:style>
                          <wps:txbx>
                            <w:txbxContent>
                              <w:p w14:paraId="09A82E51" w14:textId="6BE940E2" w:rsidR="006929CB" w:rsidRPr="009D51DD" w:rsidRDefault="000B6937" w:rsidP="006929CB">
                                <w:pPr>
                                  <w:spacing w:before="40" w:after="60"/>
                                  <w:rPr>
                                    <w:rFonts w:cs="Calibri"/>
                                    <w:b/>
                                    <w:color w:val="1B556B" w:themeColor="text2"/>
                                    <w:sz w:val="20"/>
                                    <w:szCs w:val="20"/>
                                  </w:rPr>
                                </w:pPr>
                                <w:r w:rsidRPr="000B6937">
                                  <w:rPr>
                                    <w:rFonts w:cs="Calibri"/>
                                    <w:b/>
                                    <w:bCs/>
                                    <w:color w:val="1B556B" w:themeColor="text2"/>
                                    <w:sz w:val="20"/>
                                    <w:szCs w:val="20"/>
                                  </w:rPr>
                                  <w:t>Sources of information</w:t>
                                </w:r>
                              </w:p>
                              <w:p w14:paraId="14058C88" w14:textId="77777777" w:rsidR="006929CB" w:rsidRPr="009D51DD" w:rsidRDefault="006929CB" w:rsidP="00784F5F">
                                <w:pPr>
                                  <w:numPr>
                                    <w:ilvl w:val="0"/>
                                    <w:numId w:val="100"/>
                                  </w:numPr>
                                  <w:spacing w:before="0" w:after="20" w:line="240" w:lineRule="auto"/>
                                  <w:ind w:left="284" w:hanging="284"/>
                                  <w:jc w:val="left"/>
                                  <w:rPr>
                                    <w:rFonts w:cs="Calibri"/>
                                    <w:color w:val="1B556B" w:themeColor="text2"/>
                                    <w:sz w:val="17"/>
                                    <w:szCs w:val="17"/>
                                  </w:rPr>
                                </w:pPr>
                                <w:r w:rsidRPr="009D51DD">
                                  <w:rPr>
                                    <w:rFonts w:cs="Calibri"/>
                                    <w:color w:val="1B556B" w:themeColor="text2"/>
                                    <w:sz w:val="17"/>
                                    <w:szCs w:val="17"/>
                                  </w:rPr>
                                  <w:t>Ministry for Primary Industries forestry schemes</w:t>
                                </w:r>
                              </w:p>
                              <w:p w14:paraId="33ECEC3D" w14:textId="77777777" w:rsidR="006929CB" w:rsidRPr="009D51DD" w:rsidRDefault="006929CB" w:rsidP="00784F5F">
                                <w:pPr>
                                  <w:numPr>
                                    <w:ilvl w:val="0"/>
                                    <w:numId w:val="100"/>
                                  </w:numPr>
                                  <w:spacing w:before="0" w:after="20" w:line="240" w:lineRule="auto"/>
                                  <w:ind w:left="284" w:hanging="284"/>
                                  <w:jc w:val="left"/>
                                  <w:rPr>
                                    <w:rFonts w:cs="Calibri"/>
                                    <w:color w:val="1B556B" w:themeColor="text2"/>
                                    <w:sz w:val="17"/>
                                    <w:szCs w:val="17"/>
                                  </w:rPr>
                                </w:pPr>
                                <w:r w:rsidRPr="009D51DD">
                                  <w:rPr>
                                    <w:rFonts w:cs="Calibri"/>
                                    <w:color w:val="1B556B" w:themeColor="text2"/>
                                    <w:sz w:val="17"/>
                                    <w:szCs w:val="17"/>
                                  </w:rPr>
                                  <w:t>Ministry for Primary Industries compliance field teams</w:t>
                                </w:r>
                              </w:p>
                              <w:p w14:paraId="232FA7CB" w14:textId="77777777" w:rsidR="006929CB" w:rsidRPr="009D51DD" w:rsidRDefault="006929CB" w:rsidP="00784F5F">
                                <w:pPr>
                                  <w:numPr>
                                    <w:ilvl w:val="0"/>
                                    <w:numId w:val="100"/>
                                  </w:numPr>
                                  <w:spacing w:before="0" w:after="20" w:line="240" w:lineRule="auto"/>
                                  <w:ind w:left="284" w:hanging="284"/>
                                  <w:jc w:val="left"/>
                                  <w:rPr>
                                    <w:rFonts w:cs="Calibri"/>
                                    <w:color w:val="1B556B" w:themeColor="text2"/>
                                    <w:sz w:val="17"/>
                                    <w:szCs w:val="17"/>
                                  </w:rPr>
                                </w:pPr>
                                <w:r w:rsidRPr="009D51DD">
                                  <w:rPr>
                                    <w:rFonts w:cs="Calibri"/>
                                    <w:color w:val="1B556B" w:themeColor="text2"/>
                                    <w:sz w:val="17"/>
                                    <w:szCs w:val="17"/>
                                  </w:rPr>
                                  <w:t>Forestry consultants</w:t>
                                </w:r>
                              </w:p>
                              <w:p w14:paraId="7644E318" w14:textId="77777777" w:rsidR="006929CB" w:rsidRPr="009D51DD" w:rsidRDefault="006929CB" w:rsidP="00784F5F">
                                <w:pPr>
                                  <w:numPr>
                                    <w:ilvl w:val="0"/>
                                    <w:numId w:val="100"/>
                                  </w:numPr>
                                  <w:spacing w:before="0" w:after="40" w:line="240" w:lineRule="auto"/>
                                  <w:ind w:left="284" w:hanging="284"/>
                                  <w:jc w:val="left"/>
                                  <w:rPr>
                                    <w:rFonts w:cs="Calibri"/>
                                    <w:color w:val="1B556B" w:themeColor="text2"/>
                                    <w:sz w:val="17"/>
                                    <w:szCs w:val="17"/>
                                  </w:rPr>
                                </w:pPr>
                                <w:r w:rsidRPr="009D51DD">
                                  <w:rPr>
                                    <w:rFonts w:cs="Calibri"/>
                                    <w:color w:val="1B556B" w:themeColor="text2"/>
                                    <w:sz w:val="17"/>
                                    <w:szCs w:val="17"/>
                                  </w:rPr>
                                  <w:t>Vertical aerial photography</w:t>
                                </w:r>
                              </w:p>
                              <w:p w14:paraId="4BC91371" w14:textId="77777777" w:rsidR="006929CB" w:rsidRPr="009D51DD" w:rsidRDefault="006929CB" w:rsidP="00784F5F">
                                <w:pPr>
                                  <w:numPr>
                                    <w:ilvl w:val="0"/>
                                    <w:numId w:val="100"/>
                                  </w:numPr>
                                  <w:spacing w:before="0" w:after="40" w:line="240" w:lineRule="auto"/>
                                  <w:ind w:left="284" w:hanging="284"/>
                                  <w:jc w:val="left"/>
                                  <w:rPr>
                                    <w:rFonts w:cs="Calibri"/>
                                    <w:color w:val="1B556B" w:themeColor="text2"/>
                                    <w:sz w:val="17"/>
                                    <w:szCs w:val="17"/>
                                  </w:rPr>
                                </w:pPr>
                                <w:r w:rsidRPr="009D51DD">
                                  <w:rPr>
                                    <w:rFonts w:cs="Calibri"/>
                                    <w:color w:val="1B556B" w:themeColor="text2"/>
                                    <w:sz w:val="17"/>
                                    <w:szCs w:val="17"/>
                                  </w:rPr>
                                  <w:t>Oblique aerial photography</w:t>
                                </w:r>
                              </w:p>
                              <w:p w14:paraId="7BFBBC79" w14:textId="77777777" w:rsidR="006929CB" w:rsidRPr="009D51DD" w:rsidRDefault="006929CB" w:rsidP="00784F5F">
                                <w:pPr>
                                  <w:numPr>
                                    <w:ilvl w:val="0"/>
                                    <w:numId w:val="100"/>
                                  </w:numPr>
                                  <w:spacing w:before="0" w:after="40" w:line="240" w:lineRule="auto"/>
                                  <w:ind w:left="284" w:hanging="284"/>
                                  <w:jc w:val="left"/>
                                  <w:rPr>
                                    <w:rFonts w:cs="Calibri"/>
                                    <w:color w:val="1B556B" w:themeColor="text2"/>
                                    <w:sz w:val="17"/>
                                    <w:szCs w:val="17"/>
                                  </w:rPr>
                                </w:pPr>
                                <w:r w:rsidRPr="009D51DD">
                                  <w:rPr>
                                    <w:rFonts w:cs="Calibri"/>
                                    <w:color w:val="1B556B" w:themeColor="text2"/>
                                    <w:sz w:val="17"/>
                                    <w:szCs w:val="17"/>
                                  </w:rPr>
                                  <w:t>Satellite imagery</w:t>
                                </w:r>
                              </w:p>
                            </w:txbxContent>
                          </wps:txbx>
                          <wps:bodyPr rot="0" vert="horz" wrap="square" lIns="91440" tIns="45720" rIns="91440" bIns="45720" anchor="t" anchorCtr="0" upright="1">
                            <a:noAutofit/>
                          </wps:bodyPr>
                        </wps:wsp>
                        <wps:wsp>
                          <wps:cNvPr id="1919353340" name="AutoShape 35"/>
                          <wps:cNvCnPr>
                            <a:cxnSpLocks noChangeAspect="1" noChangeShapeType="1"/>
                          </wps:cNvCnPr>
                          <wps:spPr bwMode="auto">
                            <a:xfrm>
                              <a:off x="5017" y="6910"/>
                              <a:ext cx="405" cy="0"/>
                            </a:xfrm>
                            <a:prstGeom prst="straightConnector1">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1668362996" name="AutoShape 36"/>
                          <wps:cNvSpPr>
                            <a:spLocks noChangeAspect="1" noChangeArrowheads="1"/>
                          </wps:cNvSpPr>
                          <wps:spPr bwMode="auto">
                            <a:xfrm>
                              <a:off x="2197" y="4715"/>
                              <a:ext cx="2805" cy="465"/>
                            </a:xfrm>
                            <a:prstGeom prst="flowChartProcess">
                              <a:avLst/>
                            </a:prstGeom>
                            <a:ln w="9525">
                              <a:headEnd/>
                              <a:tailEnd/>
                            </a:ln>
                          </wps:spPr>
                          <wps:style>
                            <a:lnRef idx="2">
                              <a:schemeClr val="accent1"/>
                            </a:lnRef>
                            <a:fillRef idx="1">
                              <a:schemeClr val="lt1"/>
                            </a:fillRef>
                            <a:effectRef idx="0">
                              <a:schemeClr val="accent1"/>
                            </a:effectRef>
                            <a:fontRef idx="minor">
                              <a:schemeClr val="dk1"/>
                            </a:fontRef>
                          </wps:style>
                          <wps:txbx>
                            <w:txbxContent>
                              <w:p w14:paraId="0C9E78AD" w14:textId="77777777" w:rsidR="006929CB" w:rsidRPr="009D51DD" w:rsidRDefault="006929CB" w:rsidP="00BC31EE">
                                <w:pPr>
                                  <w:spacing w:before="40" w:after="40" w:line="240" w:lineRule="auto"/>
                                  <w:jc w:val="center"/>
                                  <w:rPr>
                                    <w:rFonts w:cs="Calibri"/>
                                    <w:color w:val="1C556C" w:themeColor="accent1"/>
                                    <w:sz w:val="18"/>
                                    <w:szCs w:val="18"/>
                                  </w:rPr>
                                </w:pPr>
                                <w:r w:rsidRPr="009D51DD">
                                  <w:rPr>
                                    <w:rFonts w:cs="Calibri"/>
                                    <w:color w:val="1C556C" w:themeColor="accent1"/>
                                    <w:sz w:val="18"/>
                                    <w:szCs w:val="18"/>
                                  </w:rPr>
                                  <w:t>Area mapped as destocked</w:t>
                                </w:r>
                              </w:p>
                              <w:p w14:paraId="36882CDC" w14:textId="77777777" w:rsidR="006929CB" w:rsidRPr="00C7607E" w:rsidRDefault="006929CB" w:rsidP="006929CB">
                                <w:pPr>
                                  <w:spacing w:before="40" w:after="40"/>
                                  <w:rPr>
                                    <w:rFonts w:cs="Calibri"/>
                                    <w:sz w:val="17"/>
                                    <w:szCs w:val="17"/>
                                  </w:rPr>
                                </w:pPr>
                              </w:p>
                            </w:txbxContent>
                          </wps:txbx>
                          <wps:bodyPr rot="0" vert="horz" wrap="square" lIns="91440" tIns="45720" rIns="91440" bIns="45720" anchor="ctr" anchorCtr="0" upright="1">
                            <a:noAutofit/>
                          </wps:bodyPr>
                        </wps:wsp>
                      </wpg:grpSp>
                    </wpg:wgp>
                  </a:graphicData>
                </a:graphic>
              </wp:inline>
            </w:drawing>
          </mc:Choice>
          <mc:Fallback>
            <w:pict>
              <v:group w14:anchorId="21E2147B" id="Group 5" o:spid="_x0000_s1026" alt="A flow diagram providing a summary of the decision-making process for determining whether deforestation has occurred in New Zealand including all sources of information.  " style="width:422.55pt;height:275.8pt;mso-position-horizontal-relative:char;mso-position-vertical-relative:line" coordorigin="2197,4715" coordsize="8796,5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">
                <o:lock v:ext="edit" aspectratio="t"/>
                <v:group id="Group 7" o:spid="_x0000_s1027" style="position:absolute;left:4739;top:6910;width:6254;height:3226" coordorigin="3862,5489" coordsize="6254,3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">
                  <o:lock v:ext="edit" aspectratio="t"/>
                  <v:shapetype id="_x0000_t32" coordsize="21600,21600" o:spt="32" o:oned="t" path="m,l21600,21600e" filled="f">
                    <v:path arrowok="t" fillok="f" o:connecttype="none"/>
                    <o:lock v:ext="edit" shapetype="t"/>
                  </v:shapetype>
                  <v:shape id="AutoShape 8" o:spid="_x0000_s1028" type="#_x0000_t32" style="position:absolute;left:5378;top:5489;width:0;height:6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" strokecolor="#1c556c [3204]">
                    <v:stroke endarrow="block"/>
                    <o:lock v:ext="edit" aspectratio="t"/>
                  </v:shape>
                  <v:shape id="AutoShape 9" o:spid="_x0000_s1029" type="#_x0000_t32" style="position:absolute;left:5378;top:7005;width:0;height:12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" strokecolor="#1c556c [3204]">
                    <v:stroke endarrow="block"/>
                    <o:lock v:ext="edit" aspectratio="t"/>
                  </v:shape>
                  <v:shapetype id="_x0000_t109" coordsize="21600,21600" o:spt="109" path="m,l,21600r21600,l21600,xe">
                    <v:stroke joinstyle="miter"/>
                    <v:path gradientshapeok="t" o:connecttype="rect"/>
                  </v:shapetype>
                  <v:shape id="AutoShape 10" o:spid="_x0000_s1030" type="#_x0000_t109" style="position:absolute;left:7641;top:8275;width:2475;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" fillcolor="white [3201]" strokecolor="#1c556c [3204]">
                    <o:lock v:ext="edit" aspectratio="t"/>
                    <v:textbox>
                      <w:txbxContent>
                        <w:p w14:paraId="79EC5E29" w14:textId="77777777" w:rsidR="006929CB" w:rsidRPr="009D51DD" w:rsidRDefault="006929CB" w:rsidP="00BC31EE">
                          <w:pPr>
                            <w:spacing w:before="40" w:after="40" w:line="240" w:lineRule="auto"/>
                            <w:jc w:val="center"/>
                            <w:rPr>
                              <w:rFonts w:cs="Calibri"/>
                              <w:color w:val="1B556B" w:themeColor="text2"/>
                              <w:sz w:val="18"/>
                              <w:szCs w:val="18"/>
                            </w:rPr>
                          </w:pPr>
                          <w:r w:rsidRPr="009D51DD">
                            <w:rPr>
                              <w:rFonts w:cs="Calibri"/>
                              <w:color w:val="1B556B" w:themeColor="text2"/>
                              <w:sz w:val="18"/>
                              <w:szCs w:val="18"/>
                            </w:rPr>
                            <w:t>Mark area as deforested</w:t>
                          </w:r>
                        </w:p>
                      </w:txbxContent>
                    </v:textbox>
                  </v:shape>
                  <v:shape id="AutoShape 12" o:spid="_x0000_s1031" type="#_x0000_t109" style="position:absolute;left:7626;top:7337;width:2490;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" fillcolor="white [3201]" strokecolor="#1c556c [3204]">
                    <o:lock v:ext="edit" aspectratio="t"/>
                    <v:textbox>
                      <w:txbxContent>
                        <w:p w14:paraId="239EF0F0" w14:textId="77777777" w:rsidR="006929CB" w:rsidRPr="009D51DD" w:rsidRDefault="006929CB" w:rsidP="00BC31EE">
                          <w:pPr>
                            <w:spacing w:before="40" w:after="40" w:line="240" w:lineRule="auto"/>
                            <w:jc w:val="center"/>
                            <w:rPr>
                              <w:rFonts w:cs="Calibri"/>
                              <w:color w:val="1B556B" w:themeColor="text2"/>
                              <w:sz w:val="18"/>
                              <w:szCs w:val="18"/>
                            </w:rPr>
                          </w:pPr>
                          <w:r w:rsidRPr="009D51DD">
                            <w:rPr>
                              <w:rFonts w:cs="Calibri"/>
                              <w:color w:val="1B556B" w:themeColor="text2"/>
                              <w:sz w:val="18"/>
                              <w:szCs w:val="18"/>
                            </w:rPr>
                            <w:t>Mark area as harvested</w:t>
                          </w:r>
                        </w:p>
                      </w:txbxContent>
                    </v:textbox>
                  </v:shape>
                  <v:shape id="AutoShape 13" o:spid="_x0000_s1032" type="#_x0000_t109" style="position:absolute;left:3862;top:6232;width:2985;height: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" fillcolor="white [3201]" strokecolor="#1c556c [3204]">
                    <o:lock v:ext="edit" aspectratio="t"/>
                    <v:textbox>
                      <w:txbxContent>
                        <w:p w14:paraId="17E750F2" w14:textId="77777777" w:rsidR="006929CB" w:rsidRPr="009D51DD" w:rsidRDefault="006929CB" w:rsidP="00BC31EE">
                          <w:pPr>
                            <w:spacing w:before="40" w:after="40" w:line="240" w:lineRule="auto"/>
                            <w:jc w:val="center"/>
                            <w:rPr>
                              <w:rFonts w:cs="Calibri"/>
                              <w:color w:val="1B556B" w:themeColor="text2"/>
                              <w:sz w:val="18"/>
                              <w:szCs w:val="18"/>
                            </w:rPr>
                          </w:pPr>
                          <w:r w:rsidRPr="009D51DD">
                            <w:rPr>
                              <w:rFonts w:cs="Calibri"/>
                              <w:color w:val="1B556B" w:themeColor="text2"/>
                              <w:sz w:val="18"/>
                              <w:szCs w:val="18"/>
                            </w:rPr>
                            <w:t>Can current land use be confirmed?</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5" o:spid="_x0000_s1033" type="#_x0000_t34" style="position:absolute;left:6555;top:6945;width:1071;height:61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" adj="253" strokecolor="#1c556c [3204]">
                    <v:stroke endarrow="block"/>
                    <o:lock v:ext="edit" aspectratio="t"/>
                  </v:shape>
                  <v:shape id="AutoShape 16" o:spid="_x0000_s1034" type="#_x0000_t34" style="position:absolute;left:6555;top:7558;width:1086;height:93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" filled="t" fillcolor="white [3201]" strokecolor="#1c556c [3204]">
                    <v:stroke endarrow="block"/>
                    <o:lock v:ext="edit" aspectratio="t"/>
                  </v:shape>
                </v:group>
                <v:shape id="AutoShape 27" o:spid="_x0000_s1035" type="#_x0000_t109" style="position:absolute;left:4927;top:9747;width:2625;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" fillcolor="white [3201]" strokecolor="#1c556c [3204]">
                  <o:lock v:ext="edit" aspectratio="t"/>
                  <v:textbox>
                    <w:txbxContent>
                      <w:p w14:paraId="65645ACA" w14:textId="77777777" w:rsidR="006929CB" w:rsidRPr="009D51DD" w:rsidRDefault="006929CB" w:rsidP="00BC31EE">
                        <w:pPr>
                          <w:spacing w:before="40" w:after="40" w:line="240" w:lineRule="auto"/>
                          <w:jc w:val="center"/>
                          <w:rPr>
                            <w:rFonts w:cs="Calibri"/>
                            <w:color w:val="1B556B" w:themeColor="text2"/>
                            <w:sz w:val="18"/>
                            <w:szCs w:val="18"/>
                          </w:rPr>
                        </w:pPr>
                        <w:r w:rsidRPr="009D51DD">
                          <w:rPr>
                            <w:rFonts w:cs="Calibri"/>
                            <w:color w:val="1B556B" w:themeColor="text2"/>
                            <w:sz w:val="18"/>
                            <w:szCs w:val="18"/>
                          </w:rPr>
                          <w:t>Mark area as awaiting</w:t>
                        </w:r>
                      </w:p>
                    </w:txbxContent>
                  </v:textbox>
                </v:shape>
                <v:group id="Group 29" o:spid="_x0000_s1036" style="position:absolute;left:2197;top:4715;width:8091;height:2625" coordorigin="2197,4715" coordsize="8091,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">
                  <o:lock v:ext="edit" aspectratio="t"/>
                  <v:shape id="AutoShape 30" o:spid="_x0000_s1037" type="#_x0000_t32" style="position:absolute;left:3577;top:6305;width:15;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" strokecolor="#1c556c [3204]">
                    <v:stroke endarrow="block"/>
                    <o:lock v:ext="edit" aspectratio="t"/>
                  </v:shape>
                  <v:shape id="AutoShape 31" o:spid="_x0000_s1038" type="#_x0000_t32" style="position:absolute;left:3562;top:5194;width:15;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" strokecolor="#1c556c [3204]">
                    <v:stroke endarrow="block"/>
                    <o:lock v:ext="edit" aspectratio="t"/>
                  </v:shape>
                  <v:shape id="AutoShape 32" o:spid="_x0000_s1039" type="#_x0000_t109" style="position:absolute;left:2212;top:5539;width:2805;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" fillcolor="white [3201]" strokecolor="#1c556c [3204]">
                    <o:lock v:ext="edit" aspectratio="t"/>
                    <v:textbox>
                      <w:txbxContent>
                        <w:p w14:paraId="3900A498" w14:textId="77777777" w:rsidR="006929CB" w:rsidRPr="009D51DD" w:rsidRDefault="006929CB" w:rsidP="003C4E30">
                          <w:pPr>
                            <w:spacing w:before="40" w:after="40" w:line="240" w:lineRule="auto"/>
                            <w:jc w:val="center"/>
                            <w:rPr>
                              <w:rFonts w:cs="Calibri"/>
                              <w:color w:val="1C556C" w:themeColor="accent1"/>
                              <w:sz w:val="18"/>
                              <w:szCs w:val="18"/>
                            </w:rPr>
                          </w:pPr>
                          <w:r w:rsidRPr="009D51DD">
                            <w:rPr>
                              <w:rFonts w:cs="Calibri"/>
                              <w:color w:val="1C556C" w:themeColor="accent1"/>
                              <w:sz w:val="18"/>
                              <w:szCs w:val="18"/>
                            </w:rPr>
                            <w:t>Is the area harvested or deforested?</w:t>
                          </w:r>
                        </w:p>
                      </w:txbxContent>
                    </v:textbox>
                  </v:shape>
                  <v:shape id="AutoShape 33" o:spid="_x0000_s1040" type="#_x0000_t109" style="position:absolute;left:2227;top:6620;width:2805;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" fillcolor="white [3201]" strokecolor="#1c556c [3204]">
                    <o:lock v:ext="edit" aspectratio="t"/>
                    <v:textbox>
                      <w:txbxContent>
                        <w:p w14:paraId="578F7137" w14:textId="77777777" w:rsidR="006929CB" w:rsidRPr="009D51DD" w:rsidRDefault="006929CB" w:rsidP="000B6937">
                          <w:pPr>
                            <w:spacing w:before="40" w:after="40" w:line="240" w:lineRule="auto"/>
                            <w:jc w:val="center"/>
                            <w:rPr>
                              <w:rFonts w:cs="Calibri"/>
                              <w:color w:val="1B556B" w:themeColor="text2"/>
                              <w:sz w:val="18"/>
                              <w:szCs w:val="18"/>
                            </w:rPr>
                          </w:pPr>
                          <w:r w:rsidRPr="009D51DD">
                            <w:rPr>
                              <w:rFonts w:cs="Calibri"/>
                              <w:color w:val="1B556B" w:themeColor="text2"/>
                              <w:sz w:val="18"/>
                              <w:szCs w:val="18"/>
                            </w:rPr>
                            <w:t>Look at all sources of information</w:t>
                          </w:r>
                        </w:p>
                      </w:txbxContent>
                    </v:textbox>
                  </v:shape>
                  <v:shape id="AutoShape 34" o:spid="_x0000_s1041" type="#_x0000_t109" style="position:absolute;left:5407;top:4715;width:4881;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" fillcolor="white [3201]" strokecolor="#1c556c [3204]">
                    <o:lock v:ext="edit" aspectratio="t"/>
                    <v:textbox>
                      <w:txbxContent>
                        <w:p w14:paraId="09A82E51" w14:textId="6BE940E2" w:rsidR="006929CB" w:rsidRPr="009D51DD" w:rsidRDefault="000B6937" w:rsidP="006929CB">
                          <w:pPr>
                            <w:spacing w:before="40" w:after="60"/>
                            <w:rPr>
                              <w:rFonts w:cs="Calibri"/>
                              <w:b/>
                              <w:color w:val="1B556B" w:themeColor="text2"/>
                              <w:sz w:val="20"/>
                              <w:szCs w:val="20"/>
                            </w:rPr>
                          </w:pPr>
                          <w:r w:rsidRPr="000B6937">
                            <w:rPr>
                              <w:rFonts w:cs="Calibri"/>
                              <w:b/>
                              <w:bCs/>
                              <w:color w:val="1B556B" w:themeColor="text2"/>
                              <w:sz w:val="20"/>
                              <w:szCs w:val="20"/>
                            </w:rPr>
                            <w:t>Sources of information</w:t>
                          </w:r>
                        </w:p>
                        <w:p w14:paraId="14058C88" w14:textId="77777777" w:rsidR="006929CB" w:rsidRPr="009D51DD" w:rsidRDefault="006929CB" w:rsidP="00784F5F">
                          <w:pPr>
                            <w:numPr>
                              <w:ilvl w:val="0"/>
                              <w:numId w:val="100"/>
                            </w:numPr>
                            <w:spacing w:before="0" w:after="20" w:line="240" w:lineRule="auto"/>
                            <w:ind w:left="284" w:hanging="284"/>
                            <w:jc w:val="left"/>
                            <w:rPr>
                              <w:rFonts w:cs="Calibri"/>
                              <w:color w:val="1B556B" w:themeColor="text2"/>
                              <w:sz w:val="17"/>
                              <w:szCs w:val="17"/>
                            </w:rPr>
                          </w:pPr>
                          <w:r w:rsidRPr="009D51DD">
                            <w:rPr>
                              <w:rFonts w:cs="Calibri"/>
                              <w:color w:val="1B556B" w:themeColor="text2"/>
                              <w:sz w:val="17"/>
                              <w:szCs w:val="17"/>
                            </w:rPr>
                            <w:t>Ministry for Primary Industries forestry schemes</w:t>
                          </w:r>
                        </w:p>
                        <w:p w14:paraId="33ECEC3D" w14:textId="77777777" w:rsidR="006929CB" w:rsidRPr="009D51DD" w:rsidRDefault="006929CB" w:rsidP="00784F5F">
                          <w:pPr>
                            <w:numPr>
                              <w:ilvl w:val="0"/>
                              <w:numId w:val="100"/>
                            </w:numPr>
                            <w:spacing w:before="0" w:after="20" w:line="240" w:lineRule="auto"/>
                            <w:ind w:left="284" w:hanging="284"/>
                            <w:jc w:val="left"/>
                            <w:rPr>
                              <w:rFonts w:cs="Calibri"/>
                              <w:color w:val="1B556B" w:themeColor="text2"/>
                              <w:sz w:val="17"/>
                              <w:szCs w:val="17"/>
                            </w:rPr>
                          </w:pPr>
                          <w:r w:rsidRPr="009D51DD">
                            <w:rPr>
                              <w:rFonts w:cs="Calibri"/>
                              <w:color w:val="1B556B" w:themeColor="text2"/>
                              <w:sz w:val="17"/>
                              <w:szCs w:val="17"/>
                            </w:rPr>
                            <w:t>Ministry for Primary Industries compliance field teams</w:t>
                          </w:r>
                        </w:p>
                        <w:p w14:paraId="232FA7CB" w14:textId="77777777" w:rsidR="006929CB" w:rsidRPr="009D51DD" w:rsidRDefault="006929CB" w:rsidP="00784F5F">
                          <w:pPr>
                            <w:numPr>
                              <w:ilvl w:val="0"/>
                              <w:numId w:val="100"/>
                            </w:numPr>
                            <w:spacing w:before="0" w:after="20" w:line="240" w:lineRule="auto"/>
                            <w:ind w:left="284" w:hanging="284"/>
                            <w:jc w:val="left"/>
                            <w:rPr>
                              <w:rFonts w:cs="Calibri"/>
                              <w:color w:val="1B556B" w:themeColor="text2"/>
                              <w:sz w:val="17"/>
                              <w:szCs w:val="17"/>
                            </w:rPr>
                          </w:pPr>
                          <w:r w:rsidRPr="009D51DD">
                            <w:rPr>
                              <w:rFonts w:cs="Calibri"/>
                              <w:color w:val="1B556B" w:themeColor="text2"/>
                              <w:sz w:val="17"/>
                              <w:szCs w:val="17"/>
                            </w:rPr>
                            <w:t>Forestry consultants</w:t>
                          </w:r>
                        </w:p>
                        <w:p w14:paraId="7644E318" w14:textId="77777777" w:rsidR="006929CB" w:rsidRPr="009D51DD" w:rsidRDefault="006929CB" w:rsidP="00784F5F">
                          <w:pPr>
                            <w:numPr>
                              <w:ilvl w:val="0"/>
                              <w:numId w:val="100"/>
                            </w:numPr>
                            <w:spacing w:before="0" w:after="40" w:line="240" w:lineRule="auto"/>
                            <w:ind w:left="284" w:hanging="284"/>
                            <w:jc w:val="left"/>
                            <w:rPr>
                              <w:rFonts w:cs="Calibri"/>
                              <w:color w:val="1B556B" w:themeColor="text2"/>
                              <w:sz w:val="17"/>
                              <w:szCs w:val="17"/>
                            </w:rPr>
                          </w:pPr>
                          <w:r w:rsidRPr="009D51DD">
                            <w:rPr>
                              <w:rFonts w:cs="Calibri"/>
                              <w:color w:val="1B556B" w:themeColor="text2"/>
                              <w:sz w:val="17"/>
                              <w:szCs w:val="17"/>
                            </w:rPr>
                            <w:t>Vertical aerial photography</w:t>
                          </w:r>
                        </w:p>
                        <w:p w14:paraId="4BC91371" w14:textId="77777777" w:rsidR="006929CB" w:rsidRPr="009D51DD" w:rsidRDefault="006929CB" w:rsidP="00784F5F">
                          <w:pPr>
                            <w:numPr>
                              <w:ilvl w:val="0"/>
                              <w:numId w:val="100"/>
                            </w:numPr>
                            <w:spacing w:before="0" w:after="40" w:line="240" w:lineRule="auto"/>
                            <w:ind w:left="284" w:hanging="284"/>
                            <w:jc w:val="left"/>
                            <w:rPr>
                              <w:rFonts w:cs="Calibri"/>
                              <w:color w:val="1B556B" w:themeColor="text2"/>
                              <w:sz w:val="17"/>
                              <w:szCs w:val="17"/>
                            </w:rPr>
                          </w:pPr>
                          <w:r w:rsidRPr="009D51DD">
                            <w:rPr>
                              <w:rFonts w:cs="Calibri"/>
                              <w:color w:val="1B556B" w:themeColor="text2"/>
                              <w:sz w:val="17"/>
                              <w:szCs w:val="17"/>
                            </w:rPr>
                            <w:t>Oblique aerial photography</w:t>
                          </w:r>
                        </w:p>
                        <w:p w14:paraId="7BFBBC79" w14:textId="77777777" w:rsidR="006929CB" w:rsidRPr="009D51DD" w:rsidRDefault="006929CB" w:rsidP="00784F5F">
                          <w:pPr>
                            <w:numPr>
                              <w:ilvl w:val="0"/>
                              <w:numId w:val="100"/>
                            </w:numPr>
                            <w:spacing w:before="0" w:after="40" w:line="240" w:lineRule="auto"/>
                            <w:ind w:left="284" w:hanging="284"/>
                            <w:jc w:val="left"/>
                            <w:rPr>
                              <w:rFonts w:cs="Calibri"/>
                              <w:color w:val="1B556B" w:themeColor="text2"/>
                              <w:sz w:val="17"/>
                              <w:szCs w:val="17"/>
                            </w:rPr>
                          </w:pPr>
                          <w:r w:rsidRPr="009D51DD">
                            <w:rPr>
                              <w:rFonts w:cs="Calibri"/>
                              <w:color w:val="1B556B" w:themeColor="text2"/>
                              <w:sz w:val="17"/>
                              <w:szCs w:val="17"/>
                            </w:rPr>
                            <w:t>Satellite imagery</w:t>
                          </w:r>
                        </w:p>
                      </w:txbxContent>
                    </v:textbox>
                  </v:shape>
                  <v:shape id="AutoShape 35" o:spid="_x0000_s1042" type="#_x0000_t32" style="position:absolute;left:5017;top:6910;width:4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" strokecolor="#1c556c [3204]">
                    <v:stroke endarrow="block"/>
                    <o:lock v:ext="edit" aspectratio="t"/>
                  </v:shape>
                  <v:shape id="AutoShape 36" o:spid="_x0000_s1043" type="#_x0000_t109" style="position:absolute;left:2197;top:4715;width:2805;height:4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" fillcolor="white [3201]" strokecolor="#1c556c [3204]">
                    <o:lock v:ext="edit" aspectratio="t"/>
                    <v:textbox>
                      <w:txbxContent>
                        <w:p w14:paraId="0C9E78AD" w14:textId="77777777" w:rsidR="006929CB" w:rsidRPr="009D51DD" w:rsidRDefault="006929CB" w:rsidP="00BC31EE">
                          <w:pPr>
                            <w:spacing w:before="40" w:after="40" w:line="240" w:lineRule="auto"/>
                            <w:jc w:val="center"/>
                            <w:rPr>
                              <w:rFonts w:cs="Calibri"/>
                              <w:color w:val="1C556C" w:themeColor="accent1"/>
                              <w:sz w:val="18"/>
                              <w:szCs w:val="18"/>
                            </w:rPr>
                          </w:pPr>
                          <w:r w:rsidRPr="009D51DD">
                            <w:rPr>
                              <w:rFonts w:cs="Calibri"/>
                              <w:color w:val="1C556C" w:themeColor="accent1"/>
                              <w:sz w:val="18"/>
                              <w:szCs w:val="18"/>
                            </w:rPr>
                            <w:t>Area mapped as destocked</w:t>
                          </w:r>
                        </w:p>
                        <w:p w14:paraId="36882CDC" w14:textId="77777777" w:rsidR="006929CB" w:rsidRPr="00C7607E" w:rsidRDefault="006929CB" w:rsidP="006929CB">
                          <w:pPr>
                            <w:spacing w:before="40" w:after="40"/>
                            <w:rPr>
                              <w:rFonts w:cs="Calibri"/>
                              <w:sz w:val="17"/>
                              <w:szCs w:val="17"/>
                            </w:rPr>
                          </w:pPr>
                        </w:p>
                      </w:txbxContent>
                    </v:textbox>
                  </v:shape>
                </v:group>
                <w10:anchorlock/>
              </v:group>
            </w:pict>
          </mc:Fallback>
        </mc:AlternateContent>
      </w:r>
    </w:p>
    <w:p w14:paraId="45C704FF" w14:textId="77777777" w:rsidR="006929CB" w:rsidRPr="00DD1C54" w:rsidRDefault="006929CB" w:rsidP="006929CB">
      <w:pPr>
        <w:pStyle w:val="Heading3"/>
        <w:spacing w:before="440"/>
      </w:pPr>
      <w:bookmarkStart w:id="1274" w:name="_Toc1589106969"/>
      <w:bookmarkStart w:id="1275" w:name="_Toc261513300"/>
      <w:bookmarkStart w:id="1276" w:name="_Toc261513913"/>
      <w:bookmarkStart w:id="1277" w:name="_Toc280630403"/>
      <w:bookmarkStart w:id="1278" w:name="_Toc377043727"/>
      <w:bookmarkStart w:id="1279" w:name="_Toc400967265"/>
      <w:r w:rsidRPr="00DD1C54">
        <w:t xml:space="preserve">A2.5.3 </w:t>
      </w:r>
      <w:r w:rsidRPr="00DD1C54">
        <w:tab/>
        <w:t>Distinction between afforestation and shrubland</w:t>
      </w:r>
      <w:bookmarkEnd w:id="1274"/>
    </w:p>
    <w:p w14:paraId="7F178752" w14:textId="77777777" w:rsidR="006929CB" w:rsidRPr="00DD1C54" w:rsidRDefault="006929CB" w:rsidP="006929CB">
      <w:pPr>
        <w:pStyle w:val="BodyText"/>
      </w:pPr>
      <w:r w:rsidRPr="00DD1C54">
        <w:t xml:space="preserve">For a shrubland area to be classed as forest land (and be included as an </w:t>
      </w:r>
      <w:r w:rsidRPr="00DD1C54">
        <w:rPr>
          <w:i/>
          <w:iCs/>
        </w:rPr>
        <w:t>Afforestation and reforestation</w:t>
      </w:r>
      <w:r w:rsidRPr="00DD1C54">
        <w:t xml:space="preserve"> activity), as opposed to </w:t>
      </w:r>
      <w:r w:rsidRPr="00DD1C54">
        <w:rPr>
          <w:i/>
          <w:iCs/>
        </w:rPr>
        <w:t>Grassland with woody biomass</w:t>
      </w:r>
      <w:r w:rsidRPr="00DD1C54">
        <w:t xml:space="preserve">, it must meet various criteria including the forest definition criteria of having at least 30 per cent cover and being at least 1 hectare in size and 30 metres in width. It must also have the potential to reach 5 metres in height within a </w:t>
      </w:r>
      <w:r w:rsidRPr="00DD1C54" w:rsidDel="00310201">
        <w:t>30</w:t>
      </w:r>
      <w:r w:rsidRPr="00DD1C54">
        <w:t>-to-40-year timeframe under current land management, and there must be evidence of intention for the land to be managed as a forest.</w:t>
      </w:r>
    </w:p>
    <w:p w14:paraId="44AF4914" w14:textId="77777777" w:rsidR="006929CB" w:rsidRPr="00DD1C54" w:rsidRDefault="006929CB" w:rsidP="006929CB">
      <w:pPr>
        <w:pStyle w:val="BodyText"/>
      </w:pPr>
      <w:r w:rsidRPr="00DD1C54">
        <w:t>The potential to reach 5 metres is determined using various ancillary data including:</w:t>
      </w:r>
    </w:p>
    <w:p w14:paraId="13935A83" w14:textId="77777777" w:rsidR="006929CB" w:rsidRPr="00DD1C54" w:rsidRDefault="006929CB" w:rsidP="006929CB">
      <w:pPr>
        <w:pStyle w:val="Bullet"/>
        <w:spacing w:line="240" w:lineRule="auto"/>
      </w:pPr>
      <w:r w:rsidRPr="00DD1C54">
        <w:t>location with respect to the treeline: shrub species located below but within 225 vertical metres of the treeline are not considered to have the potential to reach 5 metres in height within the required timeframe (Newsome et al, 2011)</w:t>
      </w:r>
    </w:p>
    <w:p w14:paraId="170409B1" w14:textId="77777777" w:rsidR="006929CB" w:rsidRPr="00DD1C54" w:rsidRDefault="006929CB" w:rsidP="006929CB">
      <w:pPr>
        <w:pStyle w:val="Bullet"/>
        <w:keepLines/>
        <w:spacing w:line="240" w:lineRule="auto"/>
      </w:pPr>
      <w:r w:rsidRPr="00DD1C54">
        <w:t xml:space="preserve">environmental conditions: a range of environmental conditions limit growth of shrub species in New Zealand. These include soil type, climatic conditions, geothermal activity and salt spray (Newsome et al, 2011). When a shrubland area falls within one of these zones of limitation, it is classed as </w:t>
      </w:r>
      <w:r w:rsidRPr="00DD1C54">
        <w:rPr>
          <w:i/>
          <w:iCs/>
        </w:rPr>
        <w:t>Grassland with woody biomass</w:t>
      </w:r>
    </w:p>
    <w:p w14:paraId="10F48453" w14:textId="77777777" w:rsidR="006929CB" w:rsidRPr="00DD1C54" w:rsidRDefault="006929CB" w:rsidP="006929CB">
      <w:pPr>
        <w:pStyle w:val="Bullet"/>
        <w:spacing w:line="240" w:lineRule="auto"/>
      </w:pPr>
      <w:r w:rsidRPr="00DD1C54">
        <w:t>geographical context: shrubland areas in a grazing context are unlikely to grow to 5 metres in height unless there is evidence of livestock exclusion, such as a fence line or a change to steep terrain (gully or hill), which provides a natural barrier to livestock.</w:t>
      </w:r>
    </w:p>
    <w:p w14:paraId="0F852066" w14:textId="77777777" w:rsidR="006929CB" w:rsidRPr="00DD1C54" w:rsidRDefault="006929CB" w:rsidP="006929CB">
      <w:pPr>
        <w:pStyle w:val="BodyText"/>
      </w:pPr>
      <w:r w:rsidRPr="00DD1C54">
        <w:t>The evidence that the afforestation is human induced includes data from the following.</w:t>
      </w:r>
    </w:p>
    <w:p w14:paraId="01389E08" w14:textId="77777777" w:rsidR="006929CB" w:rsidRPr="00DD1C54" w:rsidRDefault="006929CB" w:rsidP="006929CB">
      <w:pPr>
        <w:pStyle w:val="Bullet"/>
        <w:spacing w:line="240" w:lineRule="auto"/>
      </w:pPr>
      <w:r w:rsidRPr="00DD1C54">
        <w:t xml:space="preserve">NZ ETS forest mapping: if an area has been accepted into the NZ ETS this is considered to </w:t>
      </w:r>
      <w:r w:rsidRPr="00DD1C54">
        <w:rPr>
          <w:spacing w:val="-2"/>
        </w:rPr>
        <w:t xml:space="preserve">be strong evidence of </w:t>
      </w:r>
      <w:r w:rsidRPr="00DD1C54">
        <w:t>afforestation</w:t>
      </w:r>
      <w:r w:rsidRPr="00DD1C54">
        <w:rPr>
          <w:spacing w:val="-2"/>
        </w:rPr>
        <w:t>. The area will have been checked to verify establishment</w:t>
      </w:r>
      <w:r w:rsidRPr="00DD1C54">
        <w:t xml:space="preserve"> date and the potential of the area to grow to 5 metres in height. The fact the land owner has entered the area in the NZ ETS, (with associated application costs) is considered strong evidence of their intention to grow a forest.</w:t>
      </w:r>
    </w:p>
    <w:p w14:paraId="74135C7D" w14:textId="77777777" w:rsidR="006929CB" w:rsidRPr="00DD1C54" w:rsidRDefault="006929CB" w:rsidP="006929CB">
      <w:pPr>
        <w:pStyle w:val="Bullet"/>
        <w:spacing w:line="240" w:lineRule="auto"/>
      </w:pPr>
      <w:r w:rsidRPr="00DD1C54">
        <w:t>Aerial imagery: showing fence lines, spot spraying or regular planting patterns consistent with the establishment of indigenous forest cover.</w:t>
      </w:r>
    </w:p>
    <w:p w14:paraId="25D02179" w14:textId="77777777" w:rsidR="006929CB" w:rsidRDefault="006929CB" w:rsidP="006929CB">
      <w:pPr>
        <w:pStyle w:val="BodyText"/>
      </w:pPr>
      <w:r w:rsidRPr="00DD1C54">
        <w:t xml:space="preserve">The decision tree relating to this classification of shrubland areas is described in the </w:t>
      </w:r>
      <w:r w:rsidRPr="005C7947">
        <w:t>Grassland with woody biomass</w:t>
      </w:r>
      <w:r w:rsidRPr="00DD1C54">
        <w:t xml:space="preserve"> section of the </w:t>
      </w:r>
      <w:r w:rsidRPr="00DD1C54">
        <w:rPr>
          <w:i/>
          <w:iCs/>
        </w:rPr>
        <w:t>Land Use and Carbon Analysis System: Satellite Imagery Interpretation Guide for Land-Use Classes</w:t>
      </w:r>
      <w:r w:rsidRPr="00DD1C54">
        <w:t xml:space="preserve"> (Ministry for the Environment, 2012, p 28).</w:t>
      </w:r>
    </w:p>
    <w:p w14:paraId="20EB5ED5" w14:textId="4C7D06D3" w:rsidR="00892F59" w:rsidRDefault="00892F59">
      <w:pPr>
        <w:spacing w:before="0" w:after="200" w:line="276" w:lineRule="auto"/>
        <w:jc w:val="left"/>
      </w:pPr>
      <w:r>
        <w:br w:type="page"/>
      </w:r>
    </w:p>
    <w:p w14:paraId="3CA0D9ED" w14:textId="3FE8E721" w:rsidR="006929CB" w:rsidRPr="00892F59" w:rsidRDefault="00C272F2" w:rsidP="00892F59">
      <w:pPr>
        <w:pStyle w:val="Heading3"/>
        <w:spacing w:before="0" w:after="360"/>
        <w:rPr>
          <w:color w:val="1B556B" w:themeColor="text2"/>
          <w:sz w:val="36"/>
          <w:szCs w:val="36"/>
        </w:rPr>
      </w:pPr>
      <w:bookmarkStart w:id="1280" w:name="_Toc68786372"/>
      <w:bookmarkStart w:id="1281" w:name="_Toc99659178"/>
      <w:bookmarkStart w:id="1282" w:name="_Toc1143154364"/>
      <w:bookmarkEnd w:id="1275"/>
      <w:bookmarkEnd w:id="1276"/>
      <w:bookmarkEnd w:id="1277"/>
      <w:bookmarkEnd w:id="1278"/>
      <w:bookmarkEnd w:id="1279"/>
      <w:r>
        <w:rPr>
          <w:color w:val="1B556B" w:themeColor="text2"/>
          <w:sz w:val="36"/>
          <w:szCs w:val="36"/>
        </w:rPr>
        <w:t>Annex 2 r</w:t>
      </w:r>
      <w:r w:rsidR="006929CB" w:rsidRPr="00892F59">
        <w:rPr>
          <w:color w:val="1B556B" w:themeColor="text2"/>
          <w:sz w:val="36"/>
          <w:szCs w:val="36"/>
        </w:rPr>
        <w:t>eferences</w:t>
      </w:r>
      <w:bookmarkEnd w:id="1280"/>
      <w:bookmarkEnd w:id="1281"/>
      <w:bookmarkEnd w:id="1282"/>
    </w:p>
    <w:p w14:paraId="01D53111" w14:textId="77777777" w:rsidR="006929CB" w:rsidRPr="00DD1C54" w:rsidRDefault="006929CB" w:rsidP="006929CB">
      <w:pPr>
        <w:pStyle w:val="References"/>
      </w:pPr>
      <w:r w:rsidRPr="00DD1C54">
        <w:t>Dovey, SB, Wakelin SJ. Unpublished. Long-Term Average Carbon Stock Estimation Model. Contract report prepared for the Ministry for the Environment by New Zealand Forest Research Institute Ltd (trading as Scion) in 2024.</w:t>
      </w:r>
    </w:p>
    <w:p w14:paraId="6AC81617" w14:textId="77777777" w:rsidR="006929CB" w:rsidRPr="00DD1C54" w:rsidRDefault="006929CB" w:rsidP="006929CB">
      <w:pPr>
        <w:pStyle w:val="References"/>
      </w:pPr>
      <w:r w:rsidRPr="00DD1C54">
        <w:t>Forest Industry Training and Education Council. 2005. Best Practice Guidelines for Land Preparation. Revised edn. Rotorua: Forest Industry Training and Education Council.</w:t>
      </w:r>
    </w:p>
    <w:p w14:paraId="1904640D" w14:textId="77777777" w:rsidR="006929CB" w:rsidRPr="00DD1C54" w:rsidRDefault="006929CB" w:rsidP="006929CB">
      <w:pPr>
        <w:pStyle w:val="References"/>
      </w:pPr>
      <w:r w:rsidRPr="00DD1C54">
        <w:rPr>
          <w:rFonts w:asciiTheme="minorHAnsi" w:hAnsiTheme="minorHAnsi" w:cstheme="minorHAnsi"/>
        </w:rPr>
        <w:t>Forsell</w:t>
      </w:r>
      <w:r w:rsidRPr="00DD1C54">
        <w:t xml:space="preserve"> N, Korosuo A, Federici S, Gusti M, Rincón-Cristóbal J-J, Rüter S, Sánchez-Jiménez B, Dore C, Brajterman O and Gardiner J. 2018. </w:t>
      </w:r>
      <w:hyperlink r:id="rId211" w:history="1">
        <w:r w:rsidRPr="00DD1C54">
          <w:rPr>
            <w:rStyle w:val="Hyperlink"/>
            <w:i/>
            <w:iCs/>
          </w:rPr>
          <w:t>Guidance on developing and reporting Forest Reference Levels in accordance with Regulation (EU) 2018/841</w:t>
        </w:r>
      </w:hyperlink>
      <w:r w:rsidRPr="00DD1C54">
        <w:t>. Luxembourg: European Commission: Directorate-General for Climate Action, Publications Office. Retrieved 18 May 2020.</w:t>
      </w:r>
    </w:p>
    <w:p w14:paraId="587EFC4C" w14:textId="77777777" w:rsidR="006929CB" w:rsidRPr="00DD1C54" w:rsidRDefault="006929CB" w:rsidP="006929CB">
      <w:pPr>
        <w:pStyle w:val="References"/>
        <w:rPr>
          <w:rFonts w:asciiTheme="minorHAnsi" w:hAnsiTheme="minorHAnsi" w:cstheme="minorHAnsi"/>
          <w:szCs w:val="20"/>
        </w:rPr>
      </w:pPr>
      <w:r w:rsidRPr="00DD1C54">
        <w:rPr>
          <w:rFonts w:asciiTheme="minorHAnsi" w:hAnsiTheme="minorHAnsi" w:cstheme="minorHAnsi"/>
          <w:szCs w:val="20"/>
        </w:rPr>
        <w:t xml:space="preserve">Goulding CJ. Unpublished. A Review of Current Deforestation Activities, Covering Age of Trees Harvested, Methods Used, and the Amount of Material Remaining. Contract report prepared for the Ministry for the Environment by New Zealand Forest Research Institute Limited (trading as Scion). </w:t>
      </w:r>
    </w:p>
    <w:p w14:paraId="1AA1C495" w14:textId="77777777" w:rsidR="006929CB" w:rsidRPr="00DD1C54" w:rsidRDefault="006929CB" w:rsidP="006929CB">
      <w:pPr>
        <w:pStyle w:val="References"/>
        <w:rPr>
          <w:rFonts w:asciiTheme="minorHAnsi" w:hAnsiTheme="minorHAnsi"/>
          <w:color w:val="000000"/>
          <w:shd w:val="clear" w:color="auto" w:fill="FFFFFF"/>
        </w:rPr>
      </w:pPr>
      <w:r w:rsidRPr="00DD1C54">
        <w:rPr>
          <w:rFonts w:asciiTheme="minorHAnsi" w:hAnsiTheme="minorHAnsi"/>
          <w:color w:val="000000"/>
          <w:shd w:val="clear" w:color="auto" w:fill="FFFFFF"/>
        </w:rPr>
        <w:t xml:space="preserve">Grassi G, Pilli R. 2017. </w:t>
      </w:r>
      <w:hyperlink r:id="rId212" w:history="1">
        <w:r w:rsidRPr="00DD1C54">
          <w:rPr>
            <w:rStyle w:val="Hyperlink"/>
            <w:rFonts w:asciiTheme="minorHAnsi" w:hAnsiTheme="minorHAnsi"/>
            <w:shd w:val="clear" w:color="auto" w:fill="FFFFFF"/>
          </w:rPr>
          <w:t>Projecting the EU forest carbon net emissions in line with the “continuation of forest management”: the JRC method</w:t>
        </w:r>
      </w:hyperlink>
      <w:r w:rsidRPr="00DD1C54">
        <w:rPr>
          <w:rFonts w:asciiTheme="minorHAnsi" w:hAnsiTheme="minorHAnsi"/>
          <w:color w:val="000000"/>
          <w:shd w:val="clear" w:color="auto" w:fill="FFFFFF"/>
        </w:rPr>
        <w:t xml:space="preserve">. Luxembourg: Publications Office of the European Commission Joint Research Centre. </w:t>
      </w:r>
      <w:r w:rsidRPr="00DD1C54">
        <w:rPr>
          <w:rFonts w:cs="Arial"/>
          <w:szCs w:val="20"/>
        </w:rPr>
        <w:t>Retrieved</w:t>
      </w:r>
      <w:r w:rsidRPr="00DD1C54">
        <w:t xml:space="preserve"> 12 November 2024.</w:t>
      </w:r>
    </w:p>
    <w:p w14:paraId="4AFF3ADB" w14:textId="77777777" w:rsidR="006929CB" w:rsidRPr="00DD1C54" w:rsidRDefault="006929CB" w:rsidP="006929CB">
      <w:pPr>
        <w:pStyle w:val="References"/>
      </w:pPr>
      <w:r w:rsidRPr="00DD1C54">
        <w:t xml:space="preserve">IPCC. 2006a. Eggleston HS, Buendia L, Miwa K, Ngara T, Tanabe K (eds). </w:t>
      </w:r>
      <w:r w:rsidRPr="00DD1C54">
        <w:rPr>
          <w:i/>
        </w:rPr>
        <w:t>2006</w:t>
      </w:r>
      <w:r w:rsidRPr="00DD1C54">
        <w:t xml:space="preserve"> </w:t>
      </w:r>
      <w:r w:rsidRPr="00DD1C54">
        <w:rPr>
          <w:i/>
        </w:rPr>
        <w:t>IPCC Guidelines for National Greenhouse Gas Inventories. Volume 4. Agriculture, Forestry and Other Land Use.</w:t>
      </w:r>
      <w:r w:rsidRPr="00DD1C54">
        <w:t xml:space="preserve"> </w:t>
      </w:r>
      <w:r w:rsidRPr="00DD1C54">
        <w:rPr>
          <w:i/>
        </w:rPr>
        <w:t>IPCC National Greenhouse Gas Inventories Programme</w:t>
      </w:r>
      <w:r w:rsidRPr="00DD1C54">
        <w:t>. Japan: Published for the IPCC by the Institute for Global Environmental Strategies.</w:t>
      </w:r>
    </w:p>
    <w:p w14:paraId="3C81BC46" w14:textId="77777777" w:rsidR="006929CB" w:rsidRPr="00DD1C54" w:rsidRDefault="006929CB" w:rsidP="006929CB">
      <w:pPr>
        <w:pStyle w:val="References"/>
      </w:pPr>
      <w:r w:rsidRPr="00DD1C54">
        <w:t xml:space="preserve">IPCC. 2006b. Eggleston HS, Buendia L, Miwa K, Ngara T, Tanabe K (eds). </w:t>
      </w:r>
      <w:r w:rsidRPr="00DD1C54">
        <w:rPr>
          <w:i/>
        </w:rPr>
        <w:t>2006 IPCC General Guidance and Reporting, Volume 1. IPCC National Greenhouse Gas Inventories Programme</w:t>
      </w:r>
      <w:r w:rsidRPr="00DD1C54">
        <w:t xml:space="preserve">. Japan: Published for the IPCC by the Institute for Global Environmental Strategies. </w:t>
      </w:r>
    </w:p>
    <w:p w14:paraId="5820A5AA" w14:textId="77777777" w:rsidR="006929CB" w:rsidRPr="00DD1C54" w:rsidRDefault="006929CB" w:rsidP="006929CB">
      <w:pPr>
        <w:pStyle w:val="References"/>
      </w:pPr>
      <w:r w:rsidRPr="00DD1C54">
        <w:t xml:space="preserve">IPCC. 2014. Hiraishi T, Krug T, Tanabe K, Srivastava N, Baasansuren J, Fukuda M, Troxler TG (eds). </w:t>
      </w:r>
      <w:r w:rsidRPr="00DD1C54">
        <w:rPr>
          <w:i/>
          <w:iCs/>
        </w:rPr>
        <w:t>2013 Revised Supplementary Methods and Good Practice Guidance Arising from the Kyoto Protocol</w:t>
      </w:r>
      <w:r w:rsidRPr="00DD1C54">
        <w:t>. Switzerland: IPCC.</w:t>
      </w:r>
    </w:p>
    <w:p w14:paraId="77805B99" w14:textId="77777777" w:rsidR="006929CB" w:rsidRPr="00DD1C54" w:rsidRDefault="006929CB" w:rsidP="006929CB">
      <w:pPr>
        <w:pStyle w:val="References"/>
      </w:pPr>
      <w:r w:rsidRPr="00DD1C54">
        <w:t xml:space="preserve">Manley B. 2009. </w:t>
      </w:r>
      <w:r w:rsidRPr="00DD1C54">
        <w:rPr>
          <w:i/>
        </w:rPr>
        <w:t>2008 Deforestation Intentions Survey</w:t>
      </w:r>
      <w:r w:rsidRPr="00DD1C54">
        <w:t>. Contract report prepared for the Ministry of Agriculture and Forestry by New Zealand School of Forestry, University of Canterbury. Wellington: Ministry of Agriculture and Forestry.</w:t>
      </w:r>
    </w:p>
    <w:p w14:paraId="1246EB8E" w14:textId="77777777" w:rsidR="006929CB" w:rsidRPr="00DD1C54" w:rsidRDefault="006929CB" w:rsidP="006929CB">
      <w:pPr>
        <w:pStyle w:val="References"/>
      </w:pPr>
      <w:r w:rsidRPr="00DD1C54">
        <w:t xml:space="preserve">Manley B. 2023. </w:t>
      </w:r>
      <w:r w:rsidRPr="00DD1C54">
        <w:rPr>
          <w:i/>
          <w:iCs/>
        </w:rPr>
        <w:t>Afforestation and Deforestation Intentions Survey 2022</w:t>
      </w:r>
      <w:r w:rsidRPr="00DD1C54">
        <w:t>. Wellington: Ministry for Primary Industries.</w:t>
      </w:r>
    </w:p>
    <w:p w14:paraId="45C75A83" w14:textId="77777777" w:rsidR="006929CB" w:rsidRPr="00DD1C54" w:rsidRDefault="006929CB" w:rsidP="006929CB">
      <w:pPr>
        <w:pStyle w:val="References"/>
        <w:rPr>
          <w:rFonts w:cs="Calibri"/>
          <w:color w:val="000000" w:themeColor="text1"/>
        </w:rPr>
      </w:pPr>
      <w:r w:rsidRPr="00DD1C54">
        <w:rPr>
          <w:rFonts w:cs="Calibri"/>
          <w:color w:val="000000" w:themeColor="text1"/>
        </w:rPr>
        <w:t xml:space="preserve">Ministry for Primary Industries. 2022. </w:t>
      </w:r>
      <w:r w:rsidRPr="00DD1C54">
        <w:rPr>
          <w:rFonts w:cs="Calibri"/>
          <w:i/>
          <w:iCs/>
          <w:color w:val="000000" w:themeColor="text1"/>
        </w:rPr>
        <w:t>Improved Data on Harvested Wood Products</w:t>
      </w:r>
      <w:r w:rsidRPr="00DD1C54">
        <w:rPr>
          <w:rFonts w:cs="Calibri"/>
          <w:color w:val="000000" w:themeColor="text1"/>
        </w:rPr>
        <w:t xml:space="preserve">. MPI Technical Paper No: 2023/02. Wellington: Ministry for Primary Industries. </w:t>
      </w:r>
    </w:p>
    <w:p w14:paraId="0BE828B6" w14:textId="77777777" w:rsidR="006929CB" w:rsidRPr="00DD1C54" w:rsidRDefault="006929CB" w:rsidP="006929CB">
      <w:pPr>
        <w:pStyle w:val="References"/>
      </w:pPr>
      <w:r w:rsidRPr="00DD1C54">
        <w:t xml:space="preserve">Ministry for Primary Industries. 2023a. </w:t>
      </w:r>
      <w:hyperlink r:id="rId213" w:history="1">
        <w:r w:rsidRPr="00DD1C54">
          <w:rPr>
            <w:rStyle w:val="Hyperlink"/>
            <w:i/>
            <w:color w:val="auto"/>
          </w:rPr>
          <w:t>National Exotic Forest Description as at 1 April 2022</w:t>
        </w:r>
      </w:hyperlink>
      <w:r w:rsidRPr="00DD1C54">
        <w:t>. Wellington: Ministry for Primary Industries. Retrieved 1 June 2023.</w:t>
      </w:r>
    </w:p>
    <w:p w14:paraId="646E8EC7" w14:textId="77777777" w:rsidR="006929CB" w:rsidRPr="00DD1C54" w:rsidRDefault="006929CB" w:rsidP="006929CB">
      <w:pPr>
        <w:pStyle w:val="References"/>
        <w:rPr>
          <w:rFonts w:cs="Calibri"/>
          <w:color w:val="000000" w:themeColor="text1"/>
        </w:rPr>
      </w:pPr>
      <w:r w:rsidRPr="00DD1C54">
        <w:rPr>
          <w:rFonts w:cs="Calibri"/>
          <w:color w:val="000000" w:themeColor="text1"/>
        </w:rPr>
        <w:t xml:space="preserve">Ministry for Primary Industries. 2023b. </w:t>
      </w:r>
      <w:r w:rsidRPr="00DD1C54">
        <w:rPr>
          <w:rFonts w:cs="Calibri"/>
          <w:i/>
          <w:iCs/>
          <w:color w:val="000000" w:themeColor="text1"/>
        </w:rPr>
        <w:t>Wood processing: Roundwood removals, year ended 31 March, 1951 to most recent</w:t>
      </w:r>
      <w:r w:rsidRPr="00DD1C54">
        <w:rPr>
          <w:rFonts w:cs="Calibri"/>
          <w:color w:val="000000" w:themeColor="text1"/>
        </w:rPr>
        <w:t xml:space="preserve">. Wellington: Ministry for Primary Industries. </w:t>
      </w:r>
    </w:p>
    <w:p w14:paraId="00685F22" w14:textId="77777777" w:rsidR="006929CB" w:rsidRPr="00DD1C54" w:rsidRDefault="006929CB" w:rsidP="006929CB">
      <w:pPr>
        <w:pStyle w:val="References"/>
      </w:pPr>
      <w:r w:rsidRPr="00DD1C54">
        <w:t>Ministry for Primary Industries. 2024.</w:t>
      </w:r>
      <w:r w:rsidRPr="00DD1C54">
        <w:rPr>
          <w:i/>
        </w:rPr>
        <w:t xml:space="preserve"> </w:t>
      </w:r>
      <w:hyperlink r:id="rId214" w:history="1">
        <w:r w:rsidRPr="00DD1C54">
          <w:rPr>
            <w:rStyle w:val="Hyperlink"/>
            <w:i/>
          </w:rPr>
          <w:t>An Overview of Forestry in the Emissions Trading Scheme</w:t>
        </w:r>
      </w:hyperlink>
      <w:r w:rsidRPr="00DD1C54">
        <w:t>. Wellington: Ministry for Primary Industries. Retrieved 12 August 2024.</w:t>
      </w:r>
    </w:p>
    <w:p w14:paraId="3F1651FA" w14:textId="77777777" w:rsidR="006929CB" w:rsidRPr="00DD1C54" w:rsidRDefault="006929CB" w:rsidP="006929CB">
      <w:pPr>
        <w:pStyle w:val="References"/>
      </w:pPr>
      <w:r w:rsidRPr="00DD1C54">
        <w:t xml:space="preserve">Ministry for the Environment. 2012. </w:t>
      </w:r>
      <w:r w:rsidRPr="00DD1C54">
        <w:rPr>
          <w:i/>
        </w:rPr>
        <w:t>Land Use and Carbon Analysis System: Satellite imagery interpretation guide for land-use classes</w:t>
      </w:r>
      <w:r w:rsidRPr="00DD1C54">
        <w:t>. 2nd edn. Wellington: Ministry for the Environment.</w:t>
      </w:r>
    </w:p>
    <w:p w14:paraId="5653A742" w14:textId="77777777" w:rsidR="006929CB" w:rsidRDefault="006929CB" w:rsidP="006929CB">
      <w:pPr>
        <w:pStyle w:val="References"/>
      </w:pPr>
      <w:r w:rsidRPr="00DD1C54">
        <w:t xml:space="preserve">Ministry for the Environment. 2024. </w:t>
      </w:r>
      <w:r w:rsidRPr="00DD1C54">
        <w:rPr>
          <w:i/>
        </w:rPr>
        <w:t>New Zealand’s Greenhouse Gas Inventory 1990–2022</w:t>
      </w:r>
      <w:r w:rsidRPr="00DD1C54">
        <w:t>. Wellington: Ministry for the Environment.</w:t>
      </w:r>
    </w:p>
    <w:p w14:paraId="016026B2" w14:textId="3AB0E726" w:rsidR="00B54648" w:rsidRPr="00DD1C54" w:rsidRDefault="00B54648" w:rsidP="006929CB">
      <w:pPr>
        <w:pStyle w:val="References"/>
      </w:pPr>
      <w:r>
        <w:t xml:space="preserve">Ministry for the Environment. 2024. </w:t>
      </w:r>
      <w:r w:rsidR="00346621" w:rsidRPr="0044676F">
        <w:rPr>
          <w:i/>
          <w:iCs/>
        </w:rPr>
        <w:t>Forest reference level for pre-1990 planted forests under the Paris Agreement</w:t>
      </w:r>
      <w:r w:rsidR="00363262">
        <w:rPr>
          <w:i/>
          <w:iCs/>
        </w:rPr>
        <w:t xml:space="preserve">. </w:t>
      </w:r>
      <w:r w:rsidR="00363262" w:rsidRPr="0044676F">
        <w:t>Wellington: Ministry for the Environment.</w:t>
      </w:r>
      <w:r w:rsidR="00346621" w:rsidRPr="0044676F">
        <w:t xml:space="preserve"> </w:t>
      </w:r>
    </w:p>
    <w:p w14:paraId="685EE690" w14:textId="110C089E" w:rsidR="00DD49AD" w:rsidRPr="00DD1C54" w:rsidRDefault="00DD49AD" w:rsidP="00DD49AD">
      <w:pPr>
        <w:pStyle w:val="References"/>
      </w:pPr>
      <w:r>
        <w:t xml:space="preserve">Ministry for the Environment. 2024. </w:t>
      </w:r>
      <w:r w:rsidRPr="006D61D2">
        <w:rPr>
          <w:i/>
          <w:iCs/>
        </w:rPr>
        <w:t xml:space="preserve">Forest reference level for pre-1990 </w:t>
      </w:r>
      <w:r>
        <w:rPr>
          <w:i/>
          <w:iCs/>
        </w:rPr>
        <w:t>natural</w:t>
      </w:r>
      <w:r w:rsidRPr="006D61D2">
        <w:rPr>
          <w:i/>
          <w:iCs/>
        </w:rPr>
        <w:t xml:space="preserve"> forests under the Paris Agreement</w:t>
      </w:r>
      <w:r>
        <w:rPr>
          <w:i/>
          <w:iCs/>
        </w:rPr>
        <w:t xml:space="preserve">. </w:t>
      </w:r>
      <w:r w:rsidRPr="006D61D2">
        <w:t xml:space="preserve">Wellington: Ministry for the Environment. </w:t>
      </w:r>
    </w:p>
    <w:p w14:paraId="6244631F" w14:textId="77777777" w:rsidR="006929CB" w:rsidRPr="00DD1C54" w:rsidRDefault="006929CB" w:rsidP="006929CB">
      <w:pPr>
        <w:pStyle w:val="References"/>
      </w:pPr>
      <w:r w:rsidRPr="00DD1C54">
        <w:t xml:space="preserve">Ministry of Agriculture and Forestry. 2002. </w:t>
      </w:r>
      <w:r w:rsidRPr="00DD1C54">
        <w:rPr>
          <w:i/>
        </w:rPr>
        <w:t>New Zealand Country Report.</w:t>
      </w:r>
      <w:r w:rsidRPr="00DD1C54">
        <w:t xml:space="preserve"> Montreal Process Criteria and Indicators for the Conservation and Sustainable Management of Temperate and Boreal Forests 2003. Ministry of Agriculture and Forestry Technical Paper No: 2002/21, December. Wellington: Ministry of Agriculture and Forestry.</w:t>
      </w:r>
    </w:p>
    <w:p w14:paraId="749B756C" w14:textId="77777777" w:rsidR="006929CB" w:rsidRPr="00DD1C54" w:rsidRDefault="006929CB" w:rsidP="006929CB">
      <w:pPr>
        <w:pStyle w:val="References"/>
      </w:pPr>
      <w:r w:rsidRPr="00DD1C54">
        <w:t xml:space="preserve">Newsome P, Shepherd J, Meurk C, Samle M, Sutherland A, Heke H, Willoughby J. 2011. </w:t>
      </w:r>
      <w:r w:rsidRPr="00DD1C54">
        <w:rPr>
          <w:i/>
        </w:rPr>
        <w:t>2012 Kyoto Land Use Mapping Pilot – Regional image mosaics, environmentally-limiting factors, tree-line assessment and trial land use mapping</w:t>
      </w:r>
      <w:r w:rsidRPr="00DD1C54">
        <w:t>. Wellington: Ministry for the Environment.</w:t>
      </w:r>
    </w:p>
    <w:p w14:paraId="0AF4B649" w14:textId="77777777" w:rsidR="006929CB" w:rsidRPr="00DD1C54" w:rsidRDefault="006929CB" w:rsidP="006929CB">
      <w:pPr>
        <w:pStyle w:val="References"/>
      </w:pPr>
      <w:r w:rsidRPr="00DD1C54">
        <w:t xml:space="preserve">Paul TSH, Wakelin SJ, Dodunski C. Unpublished. The National Forest Inventory 2018–2022 analysis: Yield tables and carbon stocks in planted forests in New Zealand based on a five-year inventory cycle. Contract report prepared for the Ministry for the Environment by New Zealand Forest Research Institute Ltd (trading as Scion) in 2023. </w:t>
      </w:r>
    </w:p>
    <w:p w14:paraId="6901C058" w14:textId="77777777" w:rsidR="006929CB" w:rsidRPr="00DD1C54" w:rsidDel="00362E94" w:rsidRDefault="006929CB" w:rsidP="006929CB">
      <w:pPr>
        <w:pStyle w:val="References"/>
        <w:rPr>
          <w:szCs w:val="20"/>
        </w:rPr>
      </w:pPr>
      <w:r w:rsidRPr="00DD1C54">
        <w:t xml:space="preserve">Robertson KA. 1998. Loss of organic matter and carbon during slash burns in New Zealand exotic forests. </w:t>
      </w:r>
      <w:r w:rsidRPr="00DD1C54">
        <w:rPr>
          <w:i/>
        </w:rPr>
        <w:t>New Zealand Journal of Forestry Science</w:t>
      </w:r>
      <w:r w:rsidRPr="00DD1C54">
        <w:t xml:space="preserve"> 28(2): 221–241.</w:t>
      </w:r>
    </w:p>
    <w:p w14:paraId="033CE828" w14:textId="77777777" w:rsidR="006929CB" w:rsidRPr="00DD1C54" w:rsidRDefault="006929CB" w:rsidP="006929CB">
      <w:pPr>
        <w:spacing w:after="160" w:line="278" w:lineRule="auto"/>
        <w:rPr>
          <w:sz w:val="20"/>
          <w:szCs w:val="20"/>
        </w:rPr>
      </w:pPr>
      <w:r w:rsidRPr="00DD1C54">
        <w:rPr>
          <w:sz w:val="20"/>
          <w:szCs w:val="20"/>
        </w:rPr>
        <w:t>Wakelin SJ. Unpublished</w:t>
      </w:r>
      <w:r w:rsidRPr="00DD1C54" w:rsidDel="00606F8D">
        <w:rPr>
          <w:sz w:val="20"/>
          <w:szCs w:val="20"/>
        </w:rPr>
        <w:t>(</w:t>
      </w:r>
      <w:r w:rsidRPr="00DD1C54">
        <w:rPr>
          <w:sz w:val="20"/>
          <w:szCs w:val="20"/>
        </w:rPr>
        <w:t xml:space="preserve">a). Accounting for Post-1989 Forests under the Paris Agreement: Long-Term Average Carbon Stock and Reference Level. Contract report prepared for the Ministry for the Environment by New Zealand Forest Research Institute Ltd (trading as Scion) in 2024. </w:t>
      </w:r>
    </w:p>
    <w:p w14:paraId="52A3077E" w14:textId="77777777" w:rsidR="006929CB" w:rsidRPr="00DD1C54" w:rsidRDefault="006929CB" w:rsidP="006929CB">
      <w:pPr>
        <w:pStyle w:val="References"/>
        <w:rPr>
          <w:szCs w:val="20"/>
        </w:rPr>
      </w:pPr>
      <w:r w:rsidRPr="00DD1C54">
        <w:rPr>
          <w:szCs w:val="20"/>
        </w:rPr>
        <w:t xml:space="preserve">Wakelin SJ. Unpublished(b). </w:t>
      </w:r>
      <w:r w:rsidRPr="00DD1C54">
        <w:rPr>
          <w:iCs/>
          <w:szCs w:val="20"/>
        </w:rPr>
        <w:t>Annual Updating of the Harvested Wood Products Carbon Accounting Model.</w:t>
      </w:r>
      <w:r w:rsidRPr="00DD1C54">
        <w:rPr>
          <w:szCs w:val="20"/>
        </w:rPr>
        <w:t xml:space="preserve"> Contract report prepared for the Ministry for the Environment by New Zealand Forest Research Institute Ltd (trading as Scion) in 2023.</w:t>
      </w:r>
    </w:p>
    <w:p w14:paraId="5363591F" w14:textId="77777777" w:rsidR="006929CB" w:rsidRPr="00DD1C54" w:rsidRDefault="006929CB" w:rsidP="006929CB">
      <w:pPr>
        <w:pStyle w:val="References"/>
        <w:rPr>
          <w:szCs w:val="20"/>
        </w:rPr>
      </w:pPr>
      <w:r w:rsidRPr="00DD1C54">
        <w:rPr>
          <w:szCs w:val="20"/>
        </w:rPr>
        <w:t xml:space="preserve">Wakelin SJ. Unpublished(c). </w:t>
      </w:r>
      <w:r w:rsidRPr="00DD1C54">
        <w:rPr>
          <w:iCs/>
          <w:szCs w:val="20"/>
        </w:rPr>
        <w:t>Apportioning Wildfire Emissions to Forest Sub-categories in the National Greenhouse Gas Inventory.</w:t>
      </w:r>
      <w:r w:rsidRPr="00DD1C54">
        <w:rPr>
          <w:szCs w:val="20"/>
        </w:rPr>
        <w:t xml:space="preserve"> Contract report prepared for the Ministry for the Environment by New Zealand Forest Research Institute Limited (trading as Scion) in 2011.</w:t>
      </w:r>
    </w:p>
    <w:p w14:paraId="255EDDC5" w14:textId="77777777" w:rsidR="006929CB" w:rsidRPr="00DD1C54" w:rsidRDefault="006929CB" w:rsidP="006929CB">
      <w:pPr>
        <w:pStyle w:val="References"/>
        <w:rPr>
          <w:szCs w:val="20"/>
        </w:rPr>
      </w:pPr>
      <w:r w:rsidRPr="00DD1C54">
        <w:rPr>
          <w:szCs w:val="20"/>
        </w:rPr>
        <w:t xml:space="preserve">Wakelin SJ. Unpublished(d). </w:t>
      </w:r>
      <w:r w:rsidRPr="00DD1C54">
        <w:rPr>
          <w:iCs/>
          <w:szCs w:val="20"/>
        </w:rPr>
        <w:t>Controlled Biomass Burning Emissions for the 2011 Greenhouse Gas Inventory.</w:t>
      </w:r>
      <w:r w:rsidRPr="00DD1C54">
        <w:rPr>
          <w:szCs w:val="20"/>
        </w:rPr>
        <w:t xml:space="preserve"> Contract report prepared for the Ministry for the Environment by New Zealand Forest Research Institute Limited (trading as Scion) in 2012.</w:t>
      </w:r>
    </w:p>
    <w:p w14:paraId="02C1A330" w14:textId="77777777" w:rsidR="006929CB" w:rsidRPr="00DD1C54" w:rsidRDefault="006929CB" w:rsidP="006929CB">
      <w:pPr>
        <w:pStyle w:val="References"/>
        <w:rPr>
          <w:szCs w:val="20"/>
        </w:rPr>
      </w:pPr>
      <w:r w:rsidRPr="00DD1C54">
        <w:rPr>
          <w:szCs w:val="20"/>
        </w:rPr>
        <w:t xml:space="preserve">Wakelin SJ, Manley BR, Dowling LJ. Unpublished. </w:t>
      </w:r>
      <w:r w:rsidRPr="00DD1C54">
        <w:rPr>
          <w:iCs/>
          <w:szCs w:val="20"/>
        </w:rPr>
        <w:t>Options for Calculating the Long-term Average Carbon Stock in Post-1989 Forests.</w:t>
      </w:r>
      <w:r w:rsidRPr="00DD1C54">
        <w:rPr>
          <w:szCs w:val="20"/>
        </w:rPr>
        <w:t xml:space="preserve"> Contract report (Output 58646) prepared for the Ministry for Primary Industries by New Zealand Forest Research Institute Ltd (trading as Scion) in 2017.</w:t>
      </w:r>
    </w:p>
    <w:p w14:paraId="21627488" w14:textId="77777777" w:rsidR="006929CB" w:rsidRPr="00DD1C54" w:rsidRDefault="006929CB" w:rsidP="006929CB">
      <w:pPr>
        <w:pStyle w:val="References"/>
      </w:pPr>
      <w:r w:rsidRPr="00DD1C54">
        <w:t xml:space="preserve">Wekesa A. 2022. The estimation and modelling of carbon stocks from harvested wood products in New Zealand. Doctoral Thesis, University of Canterbury. Christchurch: University of Canterbury. </w:t>
      </w:r>
      <w:hyperlink r:id="rId215" w:history="1">
        <w:r w:rsidRPr="00DD1C54">
          <w:rPr>
            <w:rStyle w:val="Hyperlink"/>
          </w:rPr>
          <w:t>http://dx.doi.org/10.26021/13673</w:t>
        </w:r>
      </w:hyperlink>
      <w:r w:rsidRPr="00DD1C54">
        <w:t xml:space="preserve"> </w:t>
      </w:r>
    </w:p>
    <w:p w14:paraId="591D3702" w14:textId="77777777" w:rsidR="006929CB" w:rsidRPr="00DD1C54" w:rsidRDefault="006929CB" w:rsidP="006929CB"/>
    <w:p w14:paraId="7DE3D63C" w14:textId="77777777" w:rsidR="00854703" w:rsidRDefault="00854703" w:rsidP="009C09AB">
      <w:pPr>
        <w:pStyle w:val="BodyText"/>
        <w:sectPr w:rsidR="00854703" w:rsidSect="006929CB">
          <w:headerReference w:type="even" r:id="rId216"/>
          <w:headerReference w:type="default" r:id="rId217"/>
          <w:footerReference w:type="even" r:id="rId218"/>
          <w:footerReference w:type="default" r:id="rId219"/>
          <w:headerReference w:type="first" r:id="rId220"/>
          <w:pgSz w:w="11906" w:h="16838" w:code="9"/>
          <w:pgMar w:top="1134" w:right="1701" w:bottom="1134" w:left="1701" w:header="567" w:footer="567" w:gutter="0"/>
          <w:cols w:space="708"/>
          <w:docGrid w:linePitch="360"/>
        </w:sectPr>
      </w:pPr>
    </w:p>
    <w:p w14:paraId="0B38B6C8" w14:textId="77777777" w:rsidR="00952628" w:rsidRPr="005B7205" w:rsidRDefault="00952628" w:rsidP="00952628">
      <w:pPr>
        <w:pStyle w:val="Heading1"/>
      </w:pPr>
      <w:bookmarkStart w:id="1283" w:name="_Toc184825555"/>
      <w:r w:rsidRPr="005B7205">
        <w:t>Annex 3: Methodologies used to estimate greenhouse gas emission reductions or removals from policies and measures</w:t>
      </w:r>
      <w:bookmarkEnd w:id="1283"/>
    </w:p>
    <w:p w14:paraId="19C8C93C" w14:textId="050E9D80" w:rsidR="00952628" w:rsidRPr="005B7205" w:rsidRDefault="00952628" w:rsidP="00952628">
      <w:pPr>
        <w:pStyle w:val="Tableheading"/>
      </w:pPr>
      <w:bookmarkStart w:id="1284" w:name="_Toc185407546"/>
      <w:bookmarkStart w:id="1285" w:name="_Toc185427809"/>
      <w:r w:rsidRPr="005B7205">
        <w:t>Table A3.1:</w:t>
      </w:r>
      <w:r w:rsidRPr="005B7205">
        <w:tab/>
        <w:t xml:space="preserve">Methodologies used to </w:t>
      </w:r>
      <w:r w:rsidRPr="003E145F">
        <w:t>estimate</w:t>
      </w:r>
      <w:r w:rsidRPr="005B7205">
        <w:t xml:space="preserve"> greenhouse gas emission reductions or removals from</w:t>
      </w:r>
      <w:r w:rsidR="004076D2">
        <w:t> </w:t>
      </w:r>
      <w:r w:rsidRPr="005B7205">
        <w:t>policies and measures</w:t>
      </w:r>
      <w:bookmarkEnd w:id="1284"/>
      <w:bookmarkEnd w:id="1285"/>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85" w:type="dxa"/>
          <w:right w:w="85" w:type="dxa"/>
        </w:tblCellMar>
        <w:tblLook w:val="04A0" w:firstRow="1" w:lastRow="0" w:firstColumn="1" w:lastColumn="0" w:noHBand="0" w:noVBand="1"/>
      </w:tblPr>
      <w:tblGrid>
        <w:gridCol w:w="2920"/>
        <w:gridCol w:w="5585"/>
      </w:tblGrid>
      <w:tr w:rsidR="00952628" w:rsidRPr="005B7205" w14:paraId="3F75FBD5" w14:textId="77777777" w:rsidTr="00642E32">
        <w:trPr>
          <w:tblHeader/>
        </w:trPr>
        <w:tc>
          <w:tcPr>
            <w:tcW w:w="2920" w:type="dxa"/>
            <w:shd w:val="clear" w:color="auto" w:fill="1B556B" w:themeFill="text2"/>
          </w:tcPr>
          <w:p w14:paraId="46DCCD93" w14:textId="77777777" w:rsidR="00952628" w:rsidRPr="005B7205" w:rsidRDefault="00952628">
            <w:pPr>
              <w:spacing w:before="40" w:after="40" w:line="240" w:lineRule="auto"/>
              <w:jc w:val="left"/>
              <w:rPr>
                <w:rFonts w:cs="Calibri"/>
                <w:b/>
                <w:bCs/>
                <w:color w:val="FFFFFF" w:themeColor="background1"/>
                <w:sz w:val="18"/>
                <w:szCs w:val="18"/>
              </w:rPr>
            </w:pPr>
            <w:r w:rsidRPr="005B7205">
              <w:rPr>
                <w:rFonts w:cs="Calibri"/>
                <w:b/>
                <w:bCs/>
                <w:color w:val="FFFFFF" w:themeColor="background1"/>
                <w:sz w:val="18"/>
                <w:szCs w:val="18"/>
              </w:rPr>
              <w:t>Policy description</w:t>
            </w:r>
          </w:p>
        </w:tc>
        <w:tc>
          <w:tcPr>
            <w:tcW w:w="5585" w:type="dxa"/>
            <w:shd w:val="clear" w:color="auto" w:fill="1B556B" w:themeFill="text2"/>
          </w:tcPr>
          <w:p w14:paraId="1FC764E2" w14:textId="77777777" w:rsidR="00952628" w:rsidRPr="005B7205" w:rsidRDefault="00952628">
            <w:pPr>
              <w:spacing w:before="40" w:after="40" w:line="240" w:lineRule="auto"/>
              <w:jc w:val="left"/>
              <w:rPr>
                <w:rFonts w:cs="Calibri"/>
                <w:b/>
                <w:bCs/>
                <w:color w:val="FFFFFF" w:themeColor="background1"/>
                <w:sz w:val="18"/>
                <w:szCs w:val="18"/>
              </w:rPr>
            </w:pPr>
            <w:r w:rsidRPr="005B7205">
              <w:rPr>
                <w:rFonts w:cs="Calibri"/>
                <w:b/>
                <w:bCs/>
                <w:color w:val="FFFFFF" w:themeColor="background1"/>
                <w:sz w:val="18"/>
                <w:szCs w:val="18"/>
              </w:rPr>
              <w:t>Method description</w:t>
            </w:r>
            <w:r w:rsidRPr="005B7205">
              <w:rPr>
                <w:rStyle w:val="FootnoteReference"/>
                <w:rFonts w:cs="Calibri"/>
                <w:b/>
                <w:bCs/>
                <w:color w:val="FFFFFF" w:themeColor="background1"/>
                <w:sz w:val="18"/>
                <w:szCs w:val="18"/>
              </w:rPr>
              <w:footnoteReference w:id="326"/>
            </w:r>
          </w:p>
        </w:tc>
      </w:tr>
      <w:tr w:rsidR="00952628" w:rsidRPr="005B7205" w14:paraId="5100EB9A" w14:textId="77777777">
        <w:tc>
          <w:tcPr>
            <w:tcW w:w="8505" w:type="dxa"/>
            <w:gridSpan w:val="2"/>
            <w:shd w:val="clear" w:color="auto" w:fill="D2DDE1" w:themeFill="background2"/>
          </w:tcPr>
          <w:p w14:paraId="2C4AEA07" w14:textId="77777777" w:rsidR="00952628" w:rsidRPr="005B7205" w:rsidRDefault="00952628">
            <w:pPr>
              <w:spacing w:before="40" w:after="40" w:line="240" w:lineRule="auto"/>
              <w:jc w:val="left"/>
              <w:rPr>
                <w:rFonts w:cs="Calibri"/>
                <w:b/>
                <w:bCs/>
                <w:color w:val="FFFFFF" w:themeColor="background1"/>
                <w:sz w:val="18"/>
                <w:szCs w:val="18"/>
              </w:rPr>
            </w:pPr>
            <w:r w:rsidRPr="005B7205">
              <w:rPr>
                <w:rFonts w:cs="Calibri"/>
                <w:b/>
                <w:bCs/>
                <w:sz w:val="18"/>
                <w:szCs w:val="18"/>
              </w:rPr>
              <w:t>Overarching policies</w:t>
            </w:r>
          </w:p>
        </w:tc>
      </w:tr>
      <w:tr w:rsidR="00952628" w:rsidRPr="005B7205" w14:paraId="4F55CE3C" w14:textId="77777777">
        <w:tc>
          <w:tcPr>
            <w:tcW w:w="2920" w:type="dxa"/>
            <w:shd w:val="clear" w:color="auto" w:fill="auto"/>
          </w:tcPr>
          <w:p w14:paraId="2B5B63B7" w14:textId="2D944D34" w:rsidR="00952628" w:rsidRPr="005B7205" w:rsidRDefault="0097752C">
            <w:pPr>
              <w:spacing w:before="40" w:after="40" w:line="240" w:lineRule="auto"/>
              <w:jc w:val="left"/>
              <w:rPr>
                <w:rFonts w:cs="Calibri"/>
                <w:color w:val="000000"/>
                <w:sz w:val="18"/>
                <w:szCs w:val="18"/>
              </w:rPr>
            </w:pPr>
            <w:r>
              <w:rPr>
                <w:rFonts w:cs="Calibri"/>
                <w:color w:val="000000"/>
                <w:sz w:val="18"/>
                <w:szCs w:val="18"/>
              </w:rPr>
              <w:t>Climate Strategy</w:t>
            </w:r>
          </w:p>
        </w:tc>
        <w:tc>
          <w:tcPr>
            <w:tcW w:w="5585" w:type="dxa"/>
            <w:shd w:val="clear" w:color="auto" w:fill="auto"/>
          </w:tcPr>
          <w:p w14:paraId="6C0D251E" w14:textId="6A5668A5" w:rsidR="00952628" w:rsidRPr="005B7205" w:rsidRDefault="0097752C">
            <w:pPr>
              <w:spacing w:before="40" w:after="40" w:line="240" w:lineRule="auto"/>
              <w:jc w:val="left"/>
              <w:rPr>
                <w:sz w:val="18"/>
                <w:szCs w:val="18"/>
              </w:rPr>
            </w:pPr>
            <w:r w:rsidRPr="005B7205">
              <w:rPr>
                <w:rFonts w:cs="Calibri"/>
                <w:sz w:val="18"/>
                <w:szCs w:val="18"/>
              </w:rPr>
              <w:t>Not estimated. No direct abatements associated.</w:t>
            </w:r>
          </w:p>
        </w:tc>
      </w:tr>
      <w:tr w:rsidR="00952628" w:rsidRPr="005B7205" w14:paraId="3BC0A515" w14:textId="77777777">
        <w:tc>
          <w:tcPr>
            <w:tcW w:w="2920" w:type="dxa"/>
          </w:tcPr>
          <w:p w14:paraId="29D5A1A6" w14:textId="77777777" w:rsidR="00952628" w:rsidRPr="005B7205" w:rsidRDefault="00952628">
            <w:pPr>
              <w:spacing w:before="40" w:after="40" w:line="240" w:lineRule="auto"/>
              <w:jc w:val="left"/>
              <w:rPr>
                <w:rFonts w:cs="Calibri"/>
                <w:sz w:val="18"/>
                <w:szCs w:val="18"/>
                <w:lang w:eastAsia="en-US"/>
              </w:rPr>
            </w:pPr>
            <w:r w:rsidRPr="005B7205">
              <w:rPr>
                <w:rFonts w:cs="Calibri"/>
                <w:color w:val="000000"/>
                <w:sz w:val="18"/>
                <w:szCs w:val="18"/>
              </w:rPr>
              <w:t xml:space="preserve">New Zealand Emissions Trading Scheme (NZ ETS) </w:t>
            </w:r>
          </w:p>
        </w:tc>
        <w:tc>
          <w:tcPr>
            <w:tcW w:w="5585" w:type="dxa"/>
          </w:tcPr>
          <w:p w14:paraId="03A72C95" w14:textId="77777777" w:rsidR="00952628" w:rsidRPr="005B7205" w:rsidRDefault="00952628">
            <w:pPr>
              <w:spacing w:before="40" w:after="40" w:line="240" w:lineRule="auto"/>
              <w:jc w:val="left"/>
              <w:rPr>
                <w:sz w:val="18"/>
                <w:szCs w:val="18"/>
              </w:rPr>
            </w:pPr>
            <w:r w:rsidRPr="005B7205">
              <w:rPr>
                <w:sz w:val="18"/>
                <w:szCs w:val="18"/>
              </w:rPr>
              <w:t>Agriculture: Forestry driven stock change analysis based on spatial analysis, historical data and trends, and advice from subject matter experts was used to determine impacts on sheep, beef cattle, and deer populations.</w:t>
            </w:r>
          </w:p>
          <w:p w14:paraId="3F660A59" w14:textId="77777777" w:rsidR="00952628" w:rsidRPr="005B7205" w:rsidRDefault="00952628">
            <w:pPr>
              <w:spacing w:before="40" w:after="40" w:line="240" w:lineRule="auto"/>
              <w:jc w:val="left"/>
              <w:rPr>
                <w:sz w:val="18"/>
                <w:szCs w:val="18"/>
              </w:rPr>
            </w:pPr>
            <w:r w:rsidRPr="005B7205">
              <w:rPr>
                <w:sz w:val="18"/>
                <w:szCs w:val="18"/>
              </w:rPr>
              <w:t>Energy: The NZ ETS is applied as an additional cost to fuels and this influences the fuel switching rates within the Supply and Demand Energy Model.</w:t>
            </w:r>
            <w:r>
              <w:rPr>
                <w:sz w:val="18"/>
                <w:szCs w:val="18"/>
              </w:rPr>
              <w:t xml:space="preserve"> </w:t>
            </w:r>
          </w:p>
          <w:p w14:paraId="48A7D757" w14:textId="2F6FAE3D" w:rsidR="00952628" w:rsidRPr="005B7205" w:rsidRDefault="00CB2768">
            <w:pPr>
              <w:spacing w:before="40" w:after="40" w:line="240" w:lineRule="auto"/>
              <w:jc w:val="left"/>
              <w:rPr>
                <w:sz w:val="18"/>
                <w:szCs w:val="18"/>
              </w:rPr>
            </w:pPr>
            <w:r>
              <w:rPr>
                <w:sz w:val="18"/>
                <w:szCs w:val="18"/>
              </w:rPr>
              <w:t>I</w:t>
            </w:r>
            <w:r w:rsidR="007327BF">
              <w:rPr>
                <w:sz w:val="18"/>
                <w:szCs w:val="18"/>
              </w:rPr>
              <w:t xml:space="preserve">ndustrial </w:t>
            </w:r>
            <w:r>
              <w:rPr>
                <w:sz w:val="18"/>
                <w:szCs w:val="18"/>
              </w:rPr>
              <w:t>P</w:t>
            </w:r>
            <w:r w:rsidR="007327BF">
              <w:rPr>
                <w:sz w:val="18"/>
                <w:szCs w:val="18"/>
              </w:rPr>
              <w:t xml:space="preserve">rocesses and </w:t>
            </w:r>
            <w:r>
              <w:rPr>
                <w:sz w:val="18"/>
                <w:szCs w:val="18"/>
              </w:rPr>
              <w:t>P</w:t>
            </w:r>
            <w:r w:rsidR="007327BF">
              <w:rPr>
                <w:sz w:val="18"/>
                <w:szCs w:val="18"/>
              </w:rPr>
              <w:t xml:space="preserve">roduct </w:t>
            </w:r>
            <w:r>
              <w:rPr>
                <w:sz w:val="18"/>
                <w:szCs w:val="18"/>
              </w:rPr>
              <w:t>U</w:t>
            </w:r>
            <w:r w:rsidR="007327BF">
              <w:rPr>
                <w:sz w:val="18"/>
                <w:szCs w:val="18"/>
              </w:rPr>
              <w:t>se (IPPU)</w:t>
            </w:r>
            <w:r w:rsidR="00952628" w:rsidRPr="005B7205">
              <w:rPr>
                <w:sz w:val="18"/>
                <w:szCs w:val="18"/>
              </w:rPr>
              <w:t>: Estimates based on a wide range of stakeholder opinions to assess the relative contributions to historical and future abatement (ie, difference between with existing measures (WEM) and without measures (WOM) scenarios) from the three main synthetic greenhouse gas policies</w:t>
            </w:r>
            <w:r w:rsidR="00052D26">
              <w:rPr>
                <w:sz w:val="18"/>
                <w:szCs w:val="18"/>
              </w:rPr>
              <w:t xml:space="preserve"> (NZ ETS, </w:t>
            </w:r>
            <w:r w:rsidR="00052D26" w:rsidRPr="005B7205">
              <w:rPr>
                <w:sz w:val="18"/>
                <w:szCs w:val="18"/>
              </w:rPr>
              <w:t>Permitting scheme for imports and exports of bulk hydrofluorocarbons</w:t>
            </w:r>
            <w:r w:rsidR="00052D26">
              <w:rPr>
                <w:sz w:val="18"/>
                <w:szCs w:val="18"/>
              </w:rPr>
              <w:t xml:space="preserve">, and </w:t>
            </w:r>
            <w:r w:rsidR="00052D26" w:rsidRPr="005B7205">
              <w:rPr>
                <w:sz w:val="18"/>
                <w:szCs w:val="18"/>
              </w:rPr>
              <w:t>Voluntary product stewardship scheme for refrigerants</w:t>
            </w:r>
            <w:r w:rsidR="00052D26">
              <w:rPr>
                <w:sz w:val="18"/>
                <w:szCs w:val="18"/>
              </w:rPr>
              <w:t>)</w:t>
            </w:r>
            <w:r w:rsidR="00952628" w:rsidRPr="005B7205">
              <w:rPr>
                <w:sz w:val="18"/>
                <w:szCs w:val="18"/>
              </w:rPr>
              <w:t>.</w:t>
            </w:r>
          </w:p>
          <w:p w14:paraId="69FD0ABB" w14:textId="77777777" w:rsidR="00952628" w:rsidRPr="005B7205" w:rsidRDefault="00952628">
            <w:pPr>
              <w:spacing w:before="40" w:after="40" w:line="240" w:lineRule="auto"/>
              <w:jc w:val="left"/>
              <w:rPr>
                <w:sz w:val="18"/>
                <w:szCs w:val="18"/>
              </w:rPr>
            </w:pPr>
            <w:r w:rsidRPr="005B7205">
              <w:rPr>
                <w:sz w:val="18"/>
                <w:szCs w:val="18"/>
              </w:rPr>
              <w:t>Land Use, Land-Use Change and Forestry (LULUCF): See method description for other LULUCF policies below.</w:t>
            </w:r>
          </w:p>
          <w:p w14:paraId="2B9197E1" w14:textId="77777777" w:rsidR="00952628" w:rsidRPr="005B7205" w:rsidRDefault="00952628">
            <w:pPr>
              <w:spacing w:before="40" w:after="40" w:line="240" w:lineRule="auto"/>
              <w:jc w:val="left"/>
              <w:rPr>
                <w:sz w:val="18"/>
                <w:szCs w:val="18"/>
              </w:rPr>
            </w:pPr>
            <w:r w:rsidRPr="005B7205">
              <w:rPr>
                <w:sz w:val="18"/>
                <w:szCs w:val="18"/>
              </w:rPr>
              <w:t>Transport: The NZ ETS is part of transport fuel costs. Its impact on gross transport emissions is estimated through its effects on electric vehicle (EV) uptake and travel demand.</w:t>
            </w:r>
          </w:p>
          <w:p w14:paraId="0B7C5474" w14:textId="6255FACD" w:rsidR="00952628" w:rsidRPr="005B7205" w:rsidRDefault="00952628">
            <w:pPr>
              <w:spacing w:before="40" w:after="40" w:line="240" w:lineRule="auto"/>
              <w:jc w:val="left"/>
              <w:rPr>
                <w:rFonts w:cs="Calibri"/>
                <w:sz w:val="18"/>
                <w:szCs w:val="18"/>
                <w:lang w:eastAsia="en-US"/>
              </w:rPr>
            </w:pPr>
            <w:r w:rsidRPr="005B7205">
              <w:rPr>
                <w:sz w:val="18"/>
                <w:szCs w:val="18"/>
              </w:rPr>
              <w:t xml:space="preserve">Waste: Bottom-up estimates derived from inventory models were used to generate the waste estimates for </w:t>
            </w:r>
            <w:r w:rsidRPr="00FC7AB1">
              <w:rPr>
                <w:i/>
                <w:iCs/>
                <w:sz w:val="18"/>
                <w:szCs w:val="18"/>
              </w:rPr>
              <w:t>New Zealand’s Greenhouse Gas Inventory 1990–2022</w:t>
            </w:r>
            <w:r w:rsidRPr="005B7205">
              <w:rPr>
                <w:sz w:val="18"/>
                <w:szCs w:val="18"/>
              </w:rPr>
              <w:t xml:space="preserve"> (Inventory 2024),</w:t>
            </w:r>
            <w:r w:rsidRPr="005B7205">
              <w:rPr>
                <w:rStyle w:val="FootnoteReference"/>
                <w:sz w:val="18"/>
                <w:szCs w:val="18"/>
              </w:rPr>
              <w:footnoteReference w:id="327"/>
            </w:r>
            <w:r w:rsidRPr="005B7205">
              <w:rPr>
                <w:sz w:val="18"/>
                <w:szCs w:val="18"/>
              </w:rPr>
              <w:t xml:space="preserve"> in line with the 2006 Intergovernmental Panel on Climate Change (IPCC) Guidelines</w:t>
            </w:r>
            <w:r w:rsidR="00000B4C">
              <w:rPr>
                <w:sz w:val="18"/>
                <w:szCs w:val="18"/>
              </w:rPr>
              <w:t xml:space="preserve"> for National Greenhouse Gas Inventories</w:t>
            </w:r>
            <w:r>
              <w:rPr>
                <w:sz w:val="18"/>
                <w:szCs w:val="18"/>
              </w:rPr>
              <w:t>.</w:t>
            </w:r>
            <w:r w:rsidRPr="75ADBAC8">
              <w:rPr>
                <w:rStyle w:val="FootnoteReference"/>
              </w:rPr>
              <w:footnoteReference w:id="328"/>
            </w:r>
            <w:r w:rsidRPr="005B7205">
              <w:rPr>
                <w:sz w:val="18"/>
                <w:szCs w:val="18"/>
              </w:rPr>
              <w:t xml:space="preserve"> </w:t>
            </w:r>
          </w:p>
        </w:tc>
      </w:tr>
      <w:tr w:rsidR="001C4B9F" w:rsidRPr="005B7205" w14:paraId="3AE0D023" w14:textId="77777777">
        <w:tc>
          <w:tcPr>
            <w:tcW w:w="2920" w:type="dxa"/>
          </w:tcPr>
          <w:p w14:paraId="48AA38DA" w14:textId="4DDBE113" w:rsidR="001C4B9F" w:rsidRPr="005B7205" w:rsidRDefault="0097752C">
            <w:pPr>
              <w:spacing w:before="40" w:after="40" w:line="240" w:lineRule="auto"/>
              <w:jc w:val="left"/>
              <w:rPr>
                <w:rFonts w:cs="Calibri"/>
                <w:color w:val="000000"/>
                <w:sz w:val="18"/>
                <w:szCs w:val="18"/>
              </w:rPr>
            </w:pPr>
            <w:r w:rsidRPr="005B7205">
              <w:rPr>
                <w:rFonts w:cs="Calibri"/>
                <w:color w:val="000000"/>
                <w:sz w:val="18"/>
                <w:szCs w:val="18"/>
              </w:rPr>
              <w:t>First emissions reduction plan (ERP1)</w:t>
            </w:r>
          </w:p>
        </w:tc>
        <w:tc>
          <w:tcPr>
            <w:tcW w:w="5585" w:type="dxa"/>
          </w:tcPr>
          <w:p w14:paraId="4553CCB3" w14:textId="07566CD3" w:rsidR="001C4B9F" w:rsidRPr="005B7205" w:rsidRDefault="0097752C">
            <w:pPr>
              <w:spacing w:before="40" w:after="40" w:line="240" w:lineRule="auto"/>
              <w:jc w:val="left"/>
              <w:rPr>
                <w:sz w:val="18"/>
                <w:szCs w:val="18"/>
              </w:rPr>
            </w:pPr>
            <w:r w:rsidRPr="005B7205">
              <w:rPr>
                <w:rFonts w:cs="Calibri"/>
                <w:sz w:val="18"/>
                <w:szCs w:val="18"/>
              </w:rPr>
              <w:t>Not estimated. The policies and associated abatement impacts</w:t>
            </w:r>
            <w:r w:rsidRPr="005B7205">
              <w:rPr>
                <w:sz w:val="18"/>
                <w:szCs w:val="18"/>
              </w:rPr>
              <w:t xml:space="preserve"> attributed to implementing ERP1 are reported by policy and sector rather than as a standalone set.</w:t>
            </w:r>
          </w:p>
        </w:tc>
      </w:tr>
      <w:tr w:rsidR="00952628" w:rsidRPr="005B7205" w14:paraId="0C6E1934" w14:textId="77777777">
        <w:tc>
          <w:tcPr>
            <w:tcW w:w="8505" w:type="dxa"/>
            <w:gridSpan w:val="2"/>
            <w:shd w:val="clear" w:color="auto" w:fill="D2DDE1" w:themeFill="background2"/>
          </w:tcPr>
          <w:p w14:paraId="6889E048" w14:textId="77777777" w:rsidR="00952628" w:rsidRPr="005B7205" w:rsidRDefault="00952628">
            <w:pPr>
              <w:keepNext/>
              <w:spacing w:before="40" w:after="40" w:line="240" w:lineRule="auto"/>
              <w:jc w:val="left"/>
              <w:rPr>
                <w:sz w:val="18"/>
                <w:szCs w:val="18"/>
              </w:rPr>
            </w:pPr>
            <w:r w:rsidRPr="005B7205">
              <w:rPr>
                <w:rFonts w:cs="Calibri"/>
                <w:b/>
                <w:bCs/>
                <w:sz w:val="18"/>
                <w:szCs w:val="18"/>
              </w:rPr>
              <w:t>Funding and finance initiatives</w:t>
            </w:r>
          </w:p>
        </w:tc>
      </w:tr>
      <w:tr w:rsidR="00952628" w:rsidRPr="005B7205" w14:paraId="6BFC30F6" w14:textId="77777777">
        <w:tc>
          <w:tcPr>
            <w:tcW w:w="2920" w:type="dxa"/>
          </w:tcPr>
          <w:p w14:paraId="76C99AB5" w14:textId="77777777" w:rsidR="00952628" w:rsidRPr="005B7205" w:rsidRDefault="00952628" w:rsidP="00A92047">
            <w:pPr>
              <w:spacing w:before="40" w:after="40" w:line="240" w:lineRule="auto"/>
              <w:jc w:val="left"/>
              <w:rPr>
                <w:rFonts w:cs="Calibri"/>
                <w:color w:val="000000"/>
                <w:sz w:val="18"/>
                <w:szCs w:val="18"/>
              </w:rPr>
            </w:pPr>
            <w:r w:rsidRPr="005B7205">
              <w:rPr>
                <w:rFonts w:cs="Calibri"/>
                <w:color w:val="000000"/>
                <w:sz w:val="18"/>
                <w:szCs w:val="18"/>
              </w:rPr>
              <w:t>New Zealand’s Sovereign Green Bond Programme</w:t>
            </w:r>
          </w:p>
        </w:tc>
        <w:tc>
          <w:tcPr>
            <w:tcW w:w="5585" w:type="dxa"/>
          </w:tcPr>
          <w:p w14:paraId="2F410226" w14:textId="77777777" w:rsidR="00952628" w:rsidRPr="005B7205" w:rsidRDefault="00952628" w:rsidP="00A92047">
            <w:pPr>
              <w:spacing w:before="40" w:after="40" w:line="240" w:lineRule="auto"/>
              <w:jc w:val="left"/>
              <w:rPr>
                <w:rFonts w:cs="Calibri"/>
                <w:sz w:val="18"/>
                <w:szCs w:val="18"/>
                <w:lang w:eastAsia="en-US"/>
              </w:rPr>
            </w:pPr>
            <w:r w:rsidRPr="005B7205">
              <w:rPr>
                <w:rFonts w:cs="Calibri"/>
                <w:sz w:val="18"/>
                <w:szCs w:val="18"/>
              </w:rPr>
              <w:t>Not estimated. No direct abatements associated.</w:t>
            </w:r>
          </w:p>
        </w:tc>
      </w:tr>
      <w:tr w:rsidR="00952628" w:rsidRPr="005B7205" w14:paraId="1D41C79A" w14:textId="77777777">
        <w:tc>
          <w:tcPr>
            <w:tcW w:w="2920" w:type="dxa"/>
          </w:tcPr>
          <w:p w14:paraId="44EF404F" w14:textId="77777777" w:rsidR="00952628" w:rsidRPr="005B7205" w:rsidRDefault="00952628" w:rsidP="00A92047">
            <w:pPr>
              <w:spacing w:before="40" w:after="40" w:line="240" w:lineRule="auto"/>
              <w:jc w:val="left"/>
              <w:rPr>
                <w:rFonts w:cs="Calibri"/>
                <w:color w:val="000000"/>
                <w:sz w:val="18"/>
                <w:szCs w:val="18"/>
              </w:rPr>
            </w:pPr>
            <w:r w:rsidRPr="005B7205">
              <w:rPr>
                <w:color w:val="000000"/>
                <w:sz w:val="18"/>
                <w:szCs w:val="18"/>
                <w:lang w:eastAsia="en-US"/>
              </w:rPr>
              <w:t>New Zealand Green Investment Finance Limited (NZGIF)</w:t>
            </w:r>
          </w:p>
        </w:tc>
        <w:tc>
          <w:tcPr>
            <w:tcW w:w="5585" w:type="dxa"/>
          </w:tcPr>
          <w:p w14:paraId="2982E2C1" w14:textId="77777777" w:rsidR="00952628" w:rsidRPr="005B7205" w:rsidRDefault="00952628" w:rsidP="00A92047">
            <w:pPr>
              <w:spacing w:before="40" w:after="40" w:line="240" w:lineRule="auto"/>
              <w:jc w:val="left"/>
              <w:rPr>
                <w:rFonts w:cs="Calibri"/>
                <w:sz w:val="18"/>
                <w:szCs w:val="18"/>
                <w:lang w:eastAsia="en-US"/>
              </w:rPr>
            </w:pPr>
            <w:r w:rsidRPr="005B7205">
              <w:rPr>
                <w:rFonts w:cs="Calibri"/>
                <w:sz w:val="18"/>
                <w:szCs w:val="18"/>
              </w:rPr>
              <w:t>Not estimated. No direct abatements associated.</w:t>
            </w:r>
          </w:p>
        </w:tc>
      </w:tr>
      <w:tr w:rsidR="00952628" w:rsidRPr="005B7205" w14:paraId="35A76978" w14:textId="77777777">
        <w:tc>
          <w:tcPr>
            <w:tcW w:w="2920" w:type="dxa"/>
          </w:tcPr>
          <w:p w14:paraId="7F932F57" w14:textId="226BA851" w:rsidR="00952628" w:rsidRPr="005B7205" w:rsidRDefault="00952628" w:rsidP="00A92047">
            <w:pPr>
              <w:spacing w:before="40" w:after="40" w:line="240" w:lineRule="auto"/>
              <w:jc w:val="left"/>
              <w:rPr>
                <w:color w:val="000000"/>
                <w:sz w:val="18"/>
                <w:szCs w:val="18"/>
                <w:highlight w:val="yellow"/>
                <w:lang w:eastAsia="en-US"/>
              </w:rPr>
            </w:pPr>
            <w:r w:rsidRPr="005B7205">
              <w:rPr>
                <w:color w:val="000000"/>
                <w:sz w:val="18"/>
                <w:szCs w:val="18"/>
                <w:lang w:eastAsia="en-US"/>
              </w:rPr>
              <w:t>Climate</w:t>
            </w:r>
            <w:r w:rsidR="00C227C3">
              <w:rPr>
                <w:color w:val="000000"/>
                <w:sz w:val="18"/>
                <w:szCs w:val="18"/>
                <w:lang w:eastAsia="en-US"/>
              </w:rPr>
              <w:t>-</w:t>
            </w:r>
            <w:r w:rsidRPr="005B7205">
              <w:rPr>
                <w:color w:val="000000"/>
                <w:sz w:val="18"/>
                <w:szCs w:val="18"/>
                <w:lang w:eastAsia="en-US"/>
              </w:rPr>
              <w:t>related disclosures</w:t>
            </w:r>
          </w:p>
        </w:tc>
        <w:tc>
          <w:tcPr>
            <w:tcW w:w="5585" w:type="dxa"/>
          </w:tcPr>
          <w:p w14:paraId="4C8C18FC" w14:textId="77777777" w:rsidR="00952628" w:rsidRPr="005B7205" w:rsidRDefault="00952628" w:rsidP="00A92047">
            <w:pPr>
              <w:spacing w:before="40" w:after="40" w:line="240" w:lineRule="auto"/>
              <w:jc w:val="left"/>
              <w:rPr>
                <w:rFonts w:cs="Calibri"/>
                <w:sz w:val="18"/>
                <w:szCs w:val="18"/>
                <w:lang w:eastAsia="en-US"/>
              </w:rPr>
            </w:pPr>
            <w:r w:rsidRPr="005B7205">
              <w:rPr>
                <w:rFonts w:cs="Calibri"/>
                <w:sz w:val="18"/>
                <w:szCs w:val="18"/>
              </w:rPr>
              <w:t>Not estimated. No direct abatements associated.</w:t>
            </w:r>
          </w:p>
        </w:tc>
      </w:tr>
      <w:tr w:rsidR="00952628" w:rsidRPr="005B7205" w14:paraId="15A434F4" w14:textId="77777777">
        <w:tc>
          <w:tcPr>
            <w:tcW w:w="2920" w:type="dxa"/>
            <w:shd w:val="clear" w:color="auto" w:fill="auto"/>
          </w:tcPr>
          <w:p w14:paraId="7285E5F9" w14:textId="77777777" w:rsidR="00952628" w:rsidRPr="005B7205" w:rsidRDefault="00952628" w:rsidP="00A92047">
            <w:pPr>
              <w:spacing w:before="20" w:after="20" w:line="240" w:lineRule="auto"/>
              <w:jc w:val="left"/>
              <w:rPr>
                <w:rFonts w:cs="Calibri"/>
                <w:sz w:val="18"/>
                <w:szCs w:val="18"/>
              </w:rPr>
            </w:pPr>
            <w:r w:rsidRPr="005B7205">
              <w:rPr>
                <w:rFonts w:cs="Calibri"/>
                <w:sz w:val="18"/>
                <w:szCs w:val="18"/>
              </w:rPr>
              <w:t>State Sector Decarbonisation Fund (SSDF)</w:t>
            </w:r>
          </w:p>
        </w:tc>
        <w:tc>
          <w:tcPr>
            <w:tcW w:w="5585" w:type="dxa"/>
            <w:shd w:val="clear" w:color="auto" w:fill="auto"/>
          </w:tcPr>
          <w:p w14:paraId="15D4894E" w14:textId="77777777" w:rsidR="00952628" w:rsidRPr="005B7205" w:rsidRDefault="00952628" w:rsidP="00A92047">
            <w:pPr>
              <w:spacing w:before="20" w:after="20" w:line="240" w:lineRule="auto"/>
              <w:jc w:val="left"/>
              <w:rPr>
                <w:rFonts w:cs="Calibri"/>
                <w:sz w:val="18"/>
                <w:szCs w:val="18"/>
              </w:rPr>
            </w:pPr>
            <w:r w:rsidRPr="005B7205">
              <w:rPr>
                <w:sz w:val="18"/>
                <w:szCs w:val="18"/>
              </w:rPr>
              <w:t>Emissions reductions from state sector decarbonisation fund activities are calculated as estimated reduction (increase) in fuel use arising from projects times emissions factor of the relevant fuel.</w:t>
            </w:r>
          </w:p>
        </w:tc>
      </w:tr>
      <w:tr w:rsidR="00952628" w:rsidRPr="005B7205" w14:paraId="51992A79" w14:textId="77777777">
        <w:tc>
          <w:tcPr>
            <w:tcW w:w="8505" w:type="dxa"/>
            <w:gridSpan w:val="2"/>
            <w:shd w:val="clear" w:color="auto" w:fill="D2DDE1" w:themeFill="background2"/>
          </w:tcPr>
          <w:p w14:paraId="57903048" w14:textId="77777777" w:rsidR="00952628" w:rsidRPr="005B7205" w:rsidRDefault="00952628">
            <w:pPr>
              <w:spacing w:before="40" w:after="40" w:line="240" w:lineRule="auto"/>
              <w:jc w:val="left"/>
              <w:rPr>
                <w:rFonts w:cs="Calibri"/>
                <w:b/>
                <w:bCs/>
                <w:sz w:val="18"/>
                <w:szCs w:val="18"/>
              </w:rPr>
            </w:pPr>
            <w:r w:rsidRPr="005B7205">
              <w:rPr>
                <w:rFonts w:cs="Calibri"/>
                <w:b/>
                <w:bCs/>
                <w:sz w:val="18"/>
                <w:szCs w:val="18"/>
              </w:rPr>
              <w:t>Energy: strategies</w:t>
            </w:r>
          </w:p>
        </w:tc>
      </w:tr>
      <w:tr w:rsidR="00952628" w:rsidRPr="005B7205" w14:paraId="5B1DAAB0" w14:textId="77777777">
        <w:tc>
          <w:tcPr>
            <w:tcW w:w="2920" w:type="dxa"/>
            <w:shd w:val="clear" w:color="auto" w:fill="auto"/>
          </w:tcPr>
          <w:p w14:paraId="01387D74" w14:textId="77777777" w:rsidR="00952628" w:rsidRPr="005B7205" w:rsidRDefault="00952628">
            <w:pPr>
              <w:spacing w:before="40" w:after="40" w:line="240" w:lineRule="auto"/>
              <w:jc w:val="left"/>
              <w:rPr>
                <w:rFonts w:cs="Calibri"/>
                <w:color w:val="000000"/>
                <w:sz w:val="18"/>
                <w:szCs w:val="18"/>
              </w:rPr>
            </w:pPr>
            <w:r w:rsidRPr="005B7205">
              <w:rPr>
                <w:rFonts w:cs="Calibri"/>
                <w:sz w:val="18"/>
                <w:szCs w:val="18"/>
              </w:rPr>
              <w:t>Electrify NZ</w:t>
            </w:r>
          </w:p>
        </w:tc>
        <w:tc>
          <w:tcPr>
            <w:tcW w:w="5585" w:type="dxa"/>
            <w:shd w:val="clear" w:color="auto" w:fill="FFFFFF" w:themeFill="background1"/>
          </w:tcPr>
          <w:p w14:paraId="6F318DE6" w14:textId="77777777" w:rsidR="00952628" w:rsidRPr="005B7205" w:rsidRDefault="00952628">
            <w:pPr>
              <w:spacing w:before="40" w:after="40" w:line="240" w:lineRule="auto"/>
              <w:jc w:val="left"/>
              <w:rPr>
                <w:rFonts w:cs="Calibri"/>
                <w:color w:val="000000"/>
                <w:sz w:val="18"/>
                <w:szCs w:val="18"/>
              </w:rPr>
            </w:pPr>
            <w:r w:rsidRPr="005B7205">
              <w:rPr>
                <w:rFonts w:cs="Calibri"/>
                <w:color w:val="000000" w:themeColor="text1"/>
                <w:sz w:val="18"/>
                <w:szCs w:val="18"/>
              </w:rPr>
              <w:t xml:space="preserve">Consenting costs reduced for future generation build within model to reflect easier consenting process. Emissions reductions are estimated based on comparison with the counterfactual model with no consenting cost reductions. </w:t>
            </w:r>
          </w:p>
        </w:tc>
      </w:tr>
      <w:tr w:rsidR="00952628" w:rsidRPr="005B7205" w14:paraId="62F59220" w14:textId="77777777">
        <w:tc>
          <w:tcPr>
            <w:tcW w:w="2920" w:type="dxa"/>
            <w:shd w:val="clear" w:color="auto" w:fill="auto"/>
          </w:tcPr>
          <w:p w14:paraId="1C2A0A2A" w14:textId="2FA0620A" w:rsidR="00952628" w:rsidRPr="005B7205" w:rsidRDefault="00952628" w:rsidP="00A92047">
            <w:pPr>
              <w:spacing w:before="40" w:after="40" w:line="240" w:lineRule="auto"/>
              <w:jc w:val="left"/>
              <w:rPr>
                <w:rFonts w:cs="Calibri"/>
                <w:sz w:val="18"/>
                <w:szCs w:val="18"/>
              </w:rPr>
            </w:pPr>
            <w:r w:rsidRPr="005B7205">
              <w:rPr>
                <w:rFonts w:cs="Calibri"/>
                <w:sz w:val="18"/>
                <w:szCs w:val="18"/>
              </w:rPr>
              <w:t xml:space="preserve">Hydrogen </w:t>
            </w:r>
            <w:r w:rsidR="00C01566">
              <w:rPr>
                <w:rFonts w:cs="Calibri"/>
                <w:sz w:val="18"/>
                <w:szCs w:val="18"/>
              </w:rPr>
              <w:t>Action Plan</w:t>
            </w:r>
          </w:p>
        </w:tc>
        <w:tc>
          <w:tcPr>
            <w:tcW w:w="5585" w:type="dxa"/>
            <w:shd w:val="clear" w:color="auto" w:fill="FFFFFF" w:themeFill="background1"/>
          </w:tcPr>
          <w:p w14:paraId="13D4BA23" w14:textId="67620649" w:rsidR="00952628" w:rsidRPr="005B7205" w:rsidRDefault="00952628">
            <w:pPr>
              <w:spacing w:before="40" w:after="40" w:line="240" w:lineRule="auto"/>
              <w:jc w:val="left"/>
              <w:rPr>
                <w:rFonts w:cs="Calibri"/>
                <w:sz w:val="18"/>
                <w:szCs w:val="18"/>
              </w:rPr>
            </w:pPr>
            <w:r w:rsidRPr="005B7205">
              <w:rPr>
                <w:rFonts w:cs="Calibri"/>
                <w:sz w:val="18"/>
                <w:szCs w:val="18"/>
              </w:rPr>
              <w:t>Not estimated. No direct abatements associated</w:t>
            </w:r>
            <w:r w:rsidR="00735FC6">
              <w:rPr>
                <w:rFonts w:cs="Calibri"/>
                <w:sz w:val="18"/>
                <w:szCs w:val="18"/>
              </w:rPr>
              <w:t>.</w:t>
            </w:r>
            <w:r w:rsidRPr="005B7205">
              <w:rPr>
                <w:rFonts w:cs="Calibri"/>
                <w:sz w:val="18"/>
                <w:szCs w:val="18"/>
              </w:rPr>
              <w:t xml:space="preserve"> </w:t>
            </w:r>
          </w:p>
        </w:tc>
      </w:tr>
      <w:tr w:rsidR="00952628" w:rsidRPr="005B7205" w14:paraId="3A145E46" w14:textId="77777777">
        <w:tc>
          <w:tcPr>
            <w:tcW w:w="2920" w:type="dxa"/>
            <w:shd w:val="clear" w:color="auto" w:fill="auto"/>
          </w:tcPr>
          <w:p w14:paraId="01F3C56C" w14:textId="31793102" w:rsidR="00952628" w:rsidRPr="005B7205" w:rsidRDefault="00952628" w:rsidP="00A92047">
            <w:pPr>
              <w:spacing w:before="40" w:after="40" w:line="240" w:lineRule="auto"/>
              <w:jc w:val="left"/>
              <w:rPr>
                <w:rFonts w:cs="Calibri"/>
                <w:sz w:val="18"/>
                <w:szCs w:val="18"/>
              </w:rPr>
            </w:pPr>
            <w:r w:rsidRPr="005B7205">
              <w:rPr>
                <w:rFonts w:cs="Calibri"/>
                <w:sz w:val="18"/>
                <w:szCs w:val="18"/>
              </w:rPr>
              <w:t>Carbon capture</w:t>
            </w:r>
            <w:r w:rsidR="20DF2893" w:rsidRPr="4A526B94">
              <w:rPr>
                <w:rFonts w:cs="Calibri"/>
                <w:sz w:val="18"/>
                <w:szCs w:val="18"/>
              </w:rPr>
              <w:t>,</w:t>
            </w:r>
            <w:r w:rsidRPr="005B7205">
              <w:rPr>
                <w:rFonts w:cs="Calibri"/>
                <w:sz w:val="18"/>
                <w:szCs w:val="18"/>
              </w:rPr>
              <w:t xml:space="preserve"> utilisation and storage (CCUS)</w:t>
            </w:r>
          </w:p>
        </w:tc>
        <w:tc>
          <w:tcPr>
            <w:tcW w:w="5585" w:type="dxa"/>
            <w:shd w:val="clear" w:color="auto" w:fill="FFFFFF" w:themeFill="background1"/>
          </w:tcPr>
          <w:p w14:paraId="7FE97402" w14:textId="04F29B70" w:rsidR="00952628" w:rsidRPr="005B7205" w:rsidRDefault="00E36A15">
            <w:pPr>
              <w:spacing w:before="40" w:after="40" w:line="240" w:lineRule="auto"/>
              <w:jc w:val="left"/>
              <w:rPr>
                <w:rFonts w:cs="Calibri"/>
                <w:sz w:val="18"/>
                <w:szCs w:val="18"/>
              </w:rPr>
            </w:pPr>
            <w:r>
              <w:rPr>
                <w:rFonts w:cs="Calibri"/>
                <w:sz w:val="18"/>
                <w:szCs w:val="18"/>
              </w:rPr>
              <w:t xml:space="preserve">Not estimated. </w:t>
            </w:r>
            <w:r w:rsidR="00AC7A1D">
              <w:rPr>
                <w:rFonts w:cs="Calibri"/>
                <w:sz w:val="18"/>
                <w:szCs w:val="18"/>
              </w:rPr>
              <w:t xml:space="preserve">Modelling updates </w:t>
            </w:r>
            <w:r w:rsidR="00AB568B">
              <w:rPr>
                <w:rFonts w:cs="Calibri"/>
                <w:sz w:val="18"/>
                <w:szCs w:val="18"/>
              </w:rPr>
              <w:t xml:space="preserve">were not </w:t>
            </w:r>
            <w:r w:rsidR="00AC7A1D">
              <w:rPr>
                <w:rFonts w:cs="Calibri"/>
                <w:sz w:val="18"/>
                <w:szCs w:val="18"/>
              </w:rPr>
              <w:t xml:space="preserve">complete </w:t>
            </w:r>
            <w:r w:rsidR="0044429D">
              <w:rPr>
                <w:rFonts w:cs="Calibri"/>
                <w:sz w:val="18"/>
                <w:szCs w:val="18"/>
              </w:rPr>
              <w:t xml:space="preserve">at </w:t>
            </w:r>
            <w:r w:rsidR="00AC7A1D">
              <w:rPr>
                <w:rFonts w:cs="Calibri"/>
                <w:sz w:val="18"/>
                <w:szCs w:val="18"/>
              </w:rPr>
              <w:t xml:space="preserve">time of report preparation. </w:t>
            </w:r>
          </w:p>
        </w:tc>
      </w:tr>
      <w:tr w:rsidR="00952628" w:rsidRPr="005B7205" w14:paraId="2FCB4723" w14:textId="77777777">
        <w:tc>
          <w:tcPr>
            <w:tcW w:w="8505" w:type="dxa"/>
            <w:gridSpan w:val="2"/>
            <w:shd w:val="clear" w:color="auto" w:fill="D2DDE1" w:themeFill="background2"/>
          </w:tcPr>
          <w:p w14:paraId="3A71836A" w14:textId="77777777" w:rsidR="00952628" w:rsidRPr="005B7205" w:rsidRDefault="00952628">
            <w:pPr>
              <w:spacing w:before="40" w:after="40" w:line="240" w:lineRule="auto"/>
              <w:jc w:val="left"/>
              <w:rPr>
                <w:rFonts w:cs="Calibri"/>
                <w:b/>
                <w:bCs/>
                <w:sz w:val="18"/>
                <w:szCs w:val="18"/>
              </w:rPr>
            </w:pPr>
            <w:r w:rsidRPr="005B7205">
              <w:rPr>
                <w:rFonts w:cs="Calibri"/>
                <w:b/>
                <w:bCs/>
                <w:sz w:val="18"/>
                <w:szCs w:val="18"/>
              </w:rPr>
              <w:t>Energy: energy efficiency</w:t>
            </w:r>
          </w:p>
        </w:tc>
      </w:tr>
      <w:tr w:rsidR="00952628" w:rsidRPr="005B7205" w14:paraId="63075349" w14:textId="77777777">
        <w:tc>
          <w:tcPr>
            <w:tcW w:w="2920" w:type="dxa"/>
            <w:shd w:val="clear" w:color="auto" w:fill="auto"/>
          </w:tcPr>
          <w:p w14:paraId="2474C416" w14:textId="77777777" w:rsidR="00952628" w:rsidRPr="005B7205" w:rsidRDefault="00952628">
            <w:pPr>
              <w:spacing w:before="40" w:after="40" w:line="240" w:lineRule="auto"/>
              <w:jc w:val="left"/>
              <w:rPr>
                <w:rFonts w:cs="Calibri"/>
                <w:sz w:val="18"/>
                <w:szCs w:val="18"/>
                <w:lang w:eastAsia="en-US"/>
              </w:rPr>
            </w:pPr>
            <w:r w:rsidRPr="005B7205">
              <w:rPr>
                <w:rFonts w:cs="Calibri"/>
                <w:sz w:val="18"/>
                <w:szCs w:val="18"/>
              </w:rPr>
              <w:t>Equipment Energy Efficiency programme</w:t>
            </w:r>
          </w:p>
        </w:tc>
        <w:tc>
          <w:tcPr>
            <w:tcW w:w="5585" w:type="dxa"/>
            <w:shd w:val="clear" w:color="auto" w:fill="auto"/>
          </w:tcPr>
          <w:p w14:paraId="2E934693" w14:textId="5356EE29" w:rsidR="00952628" w:rsidRPr="005B7205" w:rsidRDefault="00F134E0">
            <w:pPr>
              <w:spacing w:before="40" w:after="40" w:line="240" w:lineRule="auto"/>
              <w:jc w:val="left"/>
              <w:rPr>
                <w:rFonts w:eastAsia="Calibri" w:cs="Calibri"/>
                <w:sz w:val="18"/>
                <w:szCs w:val="18"/>
              </w:rPr>
            </w:pPr>
            <w:r>
              <w:rPr>
                <w:rFonts w:eastAsia="Calibri" w:cs="Calibri"/>
                <w:sz w:val="18"/>
                <w:szCs w:val="18"/>
              </w:rPr>
              <w:t>Not estimated.</w:t>
            </w:r>
          </w:p>
        </w:tc>
      </w:tr>
      <w:tr w:rsidR="00952628" w:rsidRPr="005B7205" w14:paraId="656D22C2" w14:textId="77777777">
        <w:tc>
          <w:tcPr>
            <w:tcW w:w="2920" w:type="dxa"/>
            <w:shd w:val="clear" w:color="auto" w:fill="auto"/>
          </w:tcPr>
          <w:p w14:paraId="2B130837" w14:textId="77777777" w:rsidR="00952628" w:rsidRPr="005B7205" w:rsidRDefault="00952628">
            <w:pPr>
              <w:spacing w:before="40" w:after="40" w:line="240" w:lineRule="auto"/>
              <w:jc w:val="left"/>
              <w:rPr>
                <w:rFonts w:cs="Calibri"/>
                <w:sz w:val="18"/>
                <w:szCs w:val="18"/>
                <w:lang w:eastAsia="en-US"/>
              </w:rPr>
            </w:pPr>
            <w:r w:rsidRPr="005B7205">
              <w:rPr>
                <w:rFonts w:cs="Calibri"/>
                <w:sz w:val="18"/>
                <w:szCs w:val="18"/>
              </w:rPr>
              <w:t xml:space="preserve">Publicly Available Specifications </w:t>
            </w:r>
          </w:p>
        </w:tc>
        <w:tc>
          <w:tcPr>
            <w:tcW w:w="5585" w:type="dxa"/>
            <w:shd w:val="clear" w:color="auto" w:fill="auto"/>
          </w:tcPr>
          <w:p w14:paraId="142EE0A7" w14:textId="77777777" w:rsidR="00952628" w:rsidRPr="005B7205" w:rsidRDefault="00952628">
            <w:pPr>
              <w:keepNext/>
              <w:spacing w:before="40" w:after="40" w:line="240" w:lineRule="auto"/>
              <w:jc w:val="left"/>
              <w:rPr>
                <w:rFonts w:cs="Calibri"/>
                <w:sz w:val="18"/>
                <w:szCs w:val="18"/>
                <w:lang w:eastAsia="en-US"/>
              </w:rPr>
            </w:pPr>
            <w:r w:rsidRPr="005B7205">
              <w:rPr>
                <w:rFonts w:cs="Calibri"/>
                <w:sz w:val="18"/>
                <w:szCs w:val="18"/>
              </w:rPr>
              <w:t xml:space="preserve">Not estimated. No direct abatements associated. </w:t>
            </w:r>
          </w:p>
        </w:tc>
      </w:tr>
      <w:tr w:rsidR="00952628" w:rsidRPr="005B7205" w14:paraId="5182ADA4" w14:textId="77777777">
        <w:tc>
          <w:tcPr>
            <w:tcW w:w="2920" w:type="dxa"/>
            <w:shd w:val="clear" w:color="auto" w:fill="auto"/>
          </w:tcPr>
          <w:p w14:paraId="26DB603E" w14:textId="77777777" w:rsidR="00952628" w:rsidRPr="005B7205" w:rsidRDefault="00952628">
            <w:pPr>
              <w:keepNext/>
              <w:spacing w:before="40" w:after="40" w:line="240" w:lineRule="auto"/>
              <w:jc w:val="left"/>
              <w:rPr>
                <w:rFonts w:cs="Calibri"/>
                <w:sz w:val="18"/>
                <w:szCs w:val="18"/>
              </w:rPr>
            </w:pPr>
            <w:r w:rsidRPr="005B7205">
              <w:rPr>
                <w:rFonts w:cs="Calibri"/>
                <w:sz w:val="18"/>
                <w:szCs w:val="18"/>
              </w:rPr>
              <w:t>Gen Less</w:t>
            </w:r>
          </w:p>
        </w:tc>
        <w:tc>
          <w:tcPr>
            <w:tcW w:w="5585" w:type="dxa"/>
            <w:shd w:val="clear" w:color="auto" w:fill="auto"/>
          </w:tcPr>
          <w:p w14:paraId="4907F65A" w14:textId="77777777" w:rsidR="00952628" w:rsidRPr="005B7205" w:rsidRDefault="00952628">
            <w:pPr>
              <w:keepNext/>
              <w:spacing w:before="40" w:after="40" w:line="240" w:lineRule="auto"/>
              <w:jc w:val="left"/>
              <w:rPr>
                <w:rFonts w:cs="Calibri"/>
                <w:sz w:val="18"/>
                <w:szCs w:val="18"/>
              </w:rPr>
            </w:pPr>
            <w:r w:rsidRPr="005B7205">
              <w:rPr>
                <w:rFonts w:cs="Calibri"/>
                <w:sz w:val="18"/>
                <w:szCs w:val="18"/>
              </w:rPr>
              <w:t>Not estimated. No direct abatements associated.</w:t>
            </w:r>
          </w:p>
        </w:tc>
      </w:tr>
      <w:tr w:rsidR="00952628" w:rsidRPr="005B7205" w14:paraId="1443F7A0" w14:textId="77777777">
        <w:tc>
          <w:tcPr>
            <w:tcW w:w="2920" w:type="dxa"/>
            <w:shd w:val="clear" w:color="auto" w:fill="auto"/>
          </w:tcPr>
          <w:p w14:paraId="1D4C4957" w14:textId="77777777" w:rsidR="00952628" w:rsidRPr="005B7205" w:rsidRDefault="00952628">
            <w:pPr>
              <w:spacing w:before="40" w:after="40" w:line="240" w:lineRule="auto"/>
              <w:jc w:val="left"/>
              <w:rPr>
                <w:rFonts w:cs="Calibri"/>
                <w:color w:val="000000"/>
                <w:sz w:val="18"/>
                <w:szCs w:val="18"/>
              </w:rPr>
            </w:pPr>
            <w:r w:rsidRPr="005B7205">
              <w:rPr>
                <w:rFonts w:cs="Calibri"/>
                <w:color w:val="000000"/>
                <w:sz w:val="18"/>
                <w:szCs w:val="18"/>
              </w:rPr>
              <w:t xml:space="preserve">Support for Energy Education in Communities Programme </w:t>
            </w:r>
          </w:p>
        </w:tc>
        <w:tc>
          <w:tcPr>
            <w:tcW w:w="5585" w:type="dxa"/>
            <w:shd w:val="clear" w:color="auto" w:fill="auto"/>
          </w:tcPr>
          <w:p w14:paraId="12A66381" w14:textId="77777777" w:rsidR="00952628" w:rsidRPr="005B7205" w:rsidRDefault="00952628">
            <w:pPr>
              <w:spacing w:before="40" w:after="40" w:line="240" w:lineRule="auto"/>
              <w:jc w:val="left"/>
              <w:rPr>
                <w:rFonts w:cs="Calibri"/>
                <w:color w:val="000000"/>
                <w:sz w:val="18"/>
                <w:szCs w:val="18"/>
              </w:rPr>
            </w:pPr>
            <w:r w:rsidRPr="005B7205">
              <w:rPr>
                <w:rFonts w:cs="Calibri"/>
                <w:color w:val="000000" w:themeColor="text1"/>
                <w:sz w:val="18"/>
                <w:szCs w:val="18"/>
              </w:rPr>
              <w:t>Not estimated. Not primarily for emissions reductions.</w:t>
            </w:r>
          </w:p>
        </w:tc>
      </w:tr>
      <w:tr w:rsidR="00952628" w:rsidRPr="005B7205" w14:paraId="494FA872" w14:textId="77777777">
        <w:tc>
          <w:tcPr>
            <w:tcW w:w="8505" w:type="dxa"/>
            <w:gridSpan w:val="2"/>
            <w:shd w:val="clear" w:color="auto" w:fill="D2DDE1" w:themeFill="background2"/>
          </w:tcPr>
          <w:p w14:paraId="0E7F6B9A" w14:textId="77777777" w:rsidR="00952628" w:rsidRPr="005B7205" w:rsidRDefault="00952628">
            <w:pPr>
              <w:spacing w:before="40" w:after="40" w:line="240" w:lineRule="auto"/>
              <w:jc w:val="left"/>
              <w:rPr>
                <w:rFonts w:cs="Calibri"/>
                <w:color w:val="000000" w:themeColor="text1"/>
                <w:sz w:val="18"/>
                <w:szCs w:val="18"/>
              </w:rPr>
            </w:pPr>
            <w:r w:rsidRPr="005B7205">
              <w:rPr>
                <w:rFonts w:cs="Calibri"/>
                <w:b/>
                <w:bCs/>
                <w:color w:val="000000"/>
                <w:sz w:val="18"/>
                <w:szCs w:val="18"/>
              </w:rPr>
              <w:t>Energy: business decarbonisation</w:t>
            </w:r>
          </w:p>
        </w:tc>
      </w:tr>
      <w:tr w:rsidR="00952628" w:rsidRPr="005B7205" w14:paraId="12D05130" w14:textId="77777777">
        <w:tc>
          <w:tcPr>
            <w:tcW w:w="2920" w:type="dxa"/>
            <w:shd w:val="clear" w:color="auto" w:fill="auto"/>
          </w:tcPr>
          <w:p w14:paraId="0FFDEB6B" w14:textId="77777777" w:rsidR="00952628" w:rsidRPr="005B7205" w:rsidRDefault="00952628">
            <w:pPr>
              <w:spacing w:before="40" w:after="40" w:line="240" w:lineRule="auto"/>
              <w:jc w:val="left"/>
              <w:rPr>
                <w:rFonts w:cs="Calibri"/>
                <w:b/>
                <w:bCs/>
                <w:color w:val="000000"/>
                <w:sz w:val="18"/>
                <w:szCs w:val="18"/>
              </w:rPr>
            </w:pPr>
            <w:r w:rsidRPr="005B7205">
              <w:rPr>
                <w:rFonts w:cs="Calibri"/>
                <w:color w:val="000000"/>
                <w:sz w:val="18"/>
                <w:szCs w:val="18"/>
              </w:rPr>
              <w:t>Business decarbonisation programmes</w:t>
            </w:r>
          </w:p>
        </w:tc>
        <w:tc>
          <w:tcPr>
            <w:tcW w:w="5585" w:type="dxa"/>
            <w:shd w:val="clear" w:color="auto" w:fill="auto"/>
          </w:tcPr>
          <w:p w14:paraId="1B3D1EB9" w14:textId="77777777" w:rsidR="00952628" w:rsidRPr="005B7205" w:rsidRDefault="00952628">
            <w:pPr>
              <w:spacing w:before="40" w:after="40" w:line="240" w:lineRule="auto"/>
              <w:jc w:val="left"/>
              <w:rPr>
                <w:rFonts w:cs="Calibri"/>
                <w:color w:val="000000" w:themeColor="text1"/>
                <w:sz w:val="18"/>
                <w:szCs w:val="18"/>
              </w:rPr>
            </w:pPr>
            <w:r w:rsidRPr="005B7205">
              <w:rPr>
                <w:rFonts w:cs="Calibri"/>
                <w:color w:val="000000" w:themeColor="text1"/>
                <w:sz w:val="18"/>
                <w:szCs w:val="18"/>
              </w:rPr>
              <w:t>Emission reduction estimates from business programme activities are calculated as estimated reduction (increase) in fuel use arising from projects multiplied by the emissions factor of the relevant fuel.</w:t>
            </w:r>
          </w:p>
        </w:tc>
      </w:tr>
      <w:tr w:rsidR="00952628" w:rsidRPr="005B7205" w14:paraId="0D1E4CF7" w14:textId="77777777">
        <w:tc>
          <w:tcPr>
            <w:tcW w:w="2920" w:type="dxa"/>
            <w:shd w:val="clear" w:color="auto" w:fill="auto"/>
          </w:tcPr>
          <w:p w14:paraId="5CC757D5" w14:textId="77777777" w:rsidR="00952628" w:rsidRPr="005B7205" w:rsidRDefault="00952628">
            <w:pPr>
              <w:spacing w:before="40" w:after="40" w:line="240" w:lineRule="auto"/>
              <w:jc w:val="left"/>
              <w:rPr>
                <w:sz w:val="18"/>
                <w:szCs w:val="18"/>
              </w:rPr>
            </w:pPr>
            <w:r w:rsidRPr="005B7205">
              <w:rPr>
                <w:sz w:val="18"/>
                <w:szCs w:val="18"/>
              </w:rPr>
              <w:t>Energy Transition Accelerator Programme</w:t>
            </w:r>
          </w:p>
        </w:tc>
        <w:tc>
          <w:tcPr>
            <w:tcW w:w="5585" w:type="dxa"/>
            <w:shd w:val="clear" w:color="auto" w:fill="auto"/>
          </w:tcPr>
          <w:p w14:paraId="66816576" w14:textId="17837C97" w:rsidR="00952628" w:rsidRPr="005B7205" w:rsidRDefault="00F52A0D">
            <w:pPr>
              <w:spacing w:before="40" w:after="40" w:line="240" w:lineRule="auto"/>
              <w:jc w:val="left"/>
              <w:rPr>
                <w:rFonts w:eastAsia="Calibri" w:cs="Calibri"/>
                <w:sz w:val="18"/>
                <w:szCs w:val="18"/>
              </w:rPr>
            </w:pPr>
            <w:r>
              <w:rPr>
                <w:rFonts w:eastAsia="Calibri" w:cs="Calibri"/>
                <w:sz w:val="18"/>
                <w:szCs w:val="18"/>
              </w:rPr>
              <w:t>Included elsewhere</w:t>
            </w:r>
            <w:r w:rsidRPr="005B7205">
              <w:rPr>
                <w:rFonts w:eastAsia="Calibri" w:cs="Calibri"/>
                <w:sz w:val="18"/>
                <w:szCs w:val="18"/>
              </w:rPr>
              <w:t>. Abatement impact is included as part of business decarbonisation programmes.</w:t>
            </w:r>
            <w:r w:rsidR="00952628" w:rsidRPr="005B7205">
              <w:rPr>
                <w:rFonts w:eastAsia="Calibri" w:cs="Calibri"/>
                <w:sz w:val="18"/>
                <w:szCs w:val="18"/>
              </w:rPr>
              <w:t xml:space="preserve"> </w:t>
            </w:r>
          </w:p>
        </w:tc>
      </w:tr>
      <w:tr w:rsidR="00952628" w:rsidRPr="005B7205" w14:paraId="10A54840" w14:textId="77777777">
        <w:tc>
          <w:tcPr>
            <w:tcW w:w="2920" w:type="dxa"/>
            <w:shd w:val="clear" w:color="auto" w:fill="auto"/>
          </w:tcPr>
          <w:p w14:paraId="5E7B6530" w14:textId="77777777" w:rsidR="00952628" w:rsidRPr="005B7205" w:rsidRDefault="00952628">
            <w:pPr>
              <w:spacing w:before="40" w:after="40" w:line="240" w:lineRule="auto"/>
              <w:jc w:val="left"/>
              <w:rPr>
                <w:sz w:val="18"/>
                <w:szCs w:val="18"/>
              </w:rPr>
            </w:pPr>
            <w:r w:rsidRPr="005B7205">
              <w:rPr>
                <w:sz w:val="18"/>
                <w:szCs w:val="18"/>
              </w:rPr>
              <w:t>Regional Energy Transition Accelerator</w:t>
            </w:r>
          </w:p>
        </w:tc>
        <w:tc>
          <w:tcPr>
            <w:tcW w:w="5585" w:type="dxa"/>
            <w:shd w:val="clear" w:color="auto" w:fill="auto"/>
          </w:tcPr>
          <w:p w14:paraId="3EE5CAE3" w14:textId="2A4F78D6" w:rsidR="00952628" w:rsidRPr="005B7205" w:rsidRDefault="004303F4">
            <w:pPr>
              <w:spacing w:before="40" w:after="40" w:line="240" w:lineRule="auto"/>
              <w:jc w:val="left"/>
              <w:rPr>
                <w:rFonts w:eastAsia="Calibri" w:cs="Calibri"/>
                <w:sz w:val="18"/>
                <w:szCs w:val="18"/>
              </w:rPr>
            </w:pPr>
            <w:r>
              <w:rPr>
                <w:rFonts w:eastAsia="Calibri" w:cs="Calibri"/>
                <w:sz w:val="18"/>
                <w:szCs w:val="18"/>
              </w:rPr>
              <w:t>Included elsewhere</w:t>
            </w:r>
            <w:r w:rsidR="00952628" w:rsidRPr="005B7205">
              <w:rPr>
                <w:rFonts w:eastAsia="Calibri" w:cs="Calibri"/>
                <w:sz w:val="18"/>
                <w:szCs w:val="18"/>
              </w:rPr>
              <w:t>. Abatement impact is included as part of business decarbonisation programmes.</w:t>
            </w:r>
          </w:p>
        </w:tc>
      </w:tr>
      <w:tr w:rsidR="00952628" w:rsidRPr="005B7205" w14:paraId="4987A29E" w14:textId="77777777">
        <w:tc>
          <w:tcPr>
            <w:tcW w:w="2920" w:type="dxa"/>
            <w:shd w:val="clear" w:color="auto" w:fill="auto"/>
          </w:tcPr>
          <w:p w14:paraId="2FD1744D" w14:textId="77777777" w:rsidR="00952628" w:rsidRPr="005B7205" w:rsidRDefault="00952628">
            <w:pPr>
              <w:spacing w:before="40" w:after="40" w:line="240" w:lineRule="auto"/>
              <w:jc w:val="left"/>
              <w:rPr>
                <w:sz w:val="18"/>
                <w:szCs w:val="18"/>
              </w:rPr>
            </w:pPr>
            <w:r w:rsidRPr="005B7205">
              <w:rPr>
                <w:sz w:val="18"/>
                <w:szCs w:val="18"/>
              </w:rPr>
              <w:t xml:space="preserve">Technology Demonstration Programme </w:t>
            </w:r>
          </w:p>
        </w:tc>
        <w:tc>
          <w:tcPr>
            <w:tcW w:w="5585" w:type="dxa"/>
            <w:shd w:val="clear" w:color="auto" w:fill="auto"/>
          </w:tcPr>
          <w:p w14:paraId="11677888" w14:textId="45DB6443" w:rsidR="00952628" w:rsidRPr="005B7205" w:rsidRDefault="004303F4">
            <w:pPr>
              <w:spacing w:before="40" w:after="40" w:line="240" w:lineRule="auto"/>
              <w:jc w:val="left"/>
              <w:rPr>
                <w:rFonts w:eastAsia="Calibri" w:cs="Calibri"/>
                <w:sz w:val="18"/>
                <w:szCs w:val="18"/>
              </w:rPr>
            </w:pPr>
            <w:r>
              <w:rPr>
                <w:rFonts w:eastAsia="Calibri" w:cs="Calibri"/>
                <w:sz w:val="18"/>
                <w:szCs w:val="18"/>
              </w:rPr>
              <w:t>Included elsewhere</w:t>
            </w:r>
            <w:r w:rsidR="00952628" w:rsidRPr="005B7205">
              <w:rPr>
                <w:rFonts w:eastAsia="Calibri" w:cs="Calibri"/>
                <w:sz w:val="18"/>
                <w:szCs w:val="18"/>
              </w:rPr>
              <w:t>. Abatement impact is included as part of business decarbonisation programmes.</w:t>
            </w:r>
          </w:p>
        </w:tc>
      </w:tr>
      <w:tr w:rsidR="00952628" w:rsidRPr="005B7205" w14:paraId="1753403D" w14:textId="77777777">
        <w:tc>
          <w:tcPr>
            <w:tcW w:w="2920" w:type="dxa"/>
            <w:shd w:val="clear" w:color="auto" w:fill="auto"/>
          </w:tcPr>
          <w:p w14:paraId="73765D7D" w14:textId="77777777" w:rsidR="00952628" w:rsidRPr="005B7205" w:rsidRDefault="00952628">
            <w:pPr>
              <w:spacing w:before="40" w:after="40" w:line="240" w:lineRule="auto"/>
              <w:jc w:val="left"/>
              <w:rPr>
                <w:sz w:val="18"/>
                <w:szCs w:val="18"/>
              </w:rPr>
            </w:pPr>
            <w:r w:rsidRPr="005B7205">
              <w:rPr>
                <w:sz w:val="18"/>
                <w:szCs w:val="18"/>
              </w:rPr>
              <w:t>Sector Decarbonisation Programme</w:t>
            </w:r>
          </w:p>
        </w:tc>
        <w:tc>
          <w:tcPr>
            <w:tcW w:w="5585" w:type="dxa"/>
            <w:shd w:val="clear" w:color="auto" w:fill="auto"/>
          </w:tcPr>
          <w:p w14:paraId="1EED794D" w14:textId="0CA232DD" w:rsidR="00952628" w:rsidRPr="005B7205" w:rsidRDefault="004303F4">
            <w:pPr>
              <w:spacing w:before="40" w:after="40" w:line="240" w:lineRule="auto"/>
              <w:jc w:val="left"/>
              <w:rPr>
                <w:rFonts w:eastAsia="Calibri" w:cs="Calibri"/>
                <w:sz w:val="18"/>
                <w:szCs w:val="18"/>
              </w:rPr>
            </w:pPr>
            <w:r>
              <w:rPr>
                <w:rFonts w:eastAsia="Calibri" w:cs="Calibri"/>
                <w:sz w:val="18"/>
                <w:szCs w:val="18"/>
              </w:rPr>
              <w:t>Included elsewhere</w:t>
            </w:r>
            <w:r w:rsidR="00952628" w:rsidRPr="005B7205">
              <w:rPr>
                <w:rFonts w:eastAsia="Calibri" w:cs="Calibri"/>
                <w:sz w:val="18"/>
                <w:szCs w:val="18"/>
              </w:rPr>
              <w:t>. Abatement impact is included as part of business decarbonisation programmes.</w:t>
            </w:r>
          </w:p>
        </w:tc>
      </w:tr>
      <w:tr w:rsidR="00952628" w:rsidRPr="005B7205" w14:paraId="21D9B53B" w14:textId="77777777">
        <w:tc>
          <w:tcPr>
            <w:tcW w:w="2920" w:type="dxa"/>
            <w:shd w:val="clear" w:color="auto" w:fill="auto"/>
          </w:tcPr>
          <w:p w14:paraId="6FD41FA7" w14:textId="77777777" w:rsidR="00952628" w:rsidRPr="005B7205" w:rsidRDefault="00952628">
            <w:pPr>
              <w:spacing w:before="40" w:after="40" w:line="240" w:lineRule="auto"/>
              <w:jc w:val="left"/>
              <w:rPr>
                <w:rFonts w:cs="Calibri"/>
                <w:color w:val="000000"/>
                <w:sz w:val="18"/>
                <w:szCs w:val="18"/>
              </w:rPr>
            </w:pPr>
            <w:r w:rsidRPr="005B7205">
              <w:rPr>
                <w:sz w:val="18"/>
                <w:szCs w:val="18"/>
              </w:rPr>
              <w:t>Government Investment in Decarbonising Industry (GIDI) Fund</w:t>
            </w:r>
          </w:p>
        </w:tc>
        <w:tc>
          <w:tcPr>
            <w:tcW w:w="5585" w:type="dxa"/>
            <w:shd w:val="clear" w:color="auto" w:fill="auto"/>
          </w:tcPr>
          <w:p w14:paraId="37CF2C0D" w14:textId="77777777" w:rsidR="00952628" w:rsidRPr="005B7205" w:rsidRDefault="00952628">
            <w:pPr>
              <w:spacing w:before="40" w:after="40" w:line="240" w:lineRule="auto"/>
              <w:jc w:val="left"/>
              <w:rPr>
                <w:rFonts w:cs="Calibri"/>
                <w:color w:val="000000"/>
                <w:sz w:val="18"/>
                <w:szCs w:val="18"/>
              </w:rPr>
            </w:pPr>
            <w:r w:rsidRPr="005B7205">
              <w:rPr>
                <w:rFonts w:cs="Calibri"/>
                <w:color w:val="000000" w:themeColor="text1"/>
                <w:sz w:val="18"/>
                <w:szCs w:val="18"/>
              </w:rPr>
              <w:t xml:space="preserve">Emissions reduction from GIDI projects </w:t>
            </w:r>
            <w:r>
              <w:rPr>
                <w:rFonts w:cs="Calibri"/>
                <w:color w:val="000000" w:themeColor="text1"/>
                <w:sz w:val="18"/>
                <w:szCs w:val="18"/>
              </w:rPr>
              <w:t>is</w:t>
            </w:r>
            <w:r w:rsidRPr="005B7205">
              <w:rPr>
                <w:rFonts w:cs="Calibri"/>
                <w:color w:val="000000" w:themeColor="text1"/>
                <w:sz w:val="18"/>
                <w:szCs w:val="18"/>
              </w:rPr>
              <w:t xml:space="preserve"> calculated as estimated reduction (increase) in fuel use arising from projects multiplied by emissions factor of the relevant fuel, against a stated project baseline (what would have happened without project funding).</w:t>
            </w:r>
            <w:r>
              <w:rPr>
                <w:rFonts w:cs="Calibri"/>
                <w:color w:val="000000" w:themeColor="text1"/>
                <w:sz w:val="18"/>
                <w:szCs w:val="18"/>
              </w:rPr>
              <w:t xml:space="preserve"> </w:t>
            </w:r>
          </w:p>
        </w:tc>
      </w:tr>
      <w:tr w:rsidR="00952628" w:rsidRPr="005B7205" w14:paraId="035E9E26" w14:textId="77777777">
        <w:tc>
          <w:tcPr>
            <w:tcW w:w="8505" w:type="dxa"/>
            <w:gridSpan w:val="2"/>
            <w:shd w:val="clear" w:color="auto" w:fill="D2DDE1" w:themeFill="background2"/>
          </w:tcPr>
          <w:p w14:paraId="380A6F5A" w14:textId="77777777" w:rsidR="00952628" w:rsidRPr="005B7205" w:rsidRDefault="00952628" w:rsidP="00A92047">
            <w:pPr>
              <w:spacing w:before="40" w:after="40" w:line="240" w:lineRule="auto"/>
              <w:jc w:val="left"/>
              <w:rPr>
                <w:rFonts w:cs="Calibri"/>
                <w:color w:val="000000" w:themeColor="text1"/>
                <w:sz w:val="18"/>
                <w:szCs w:val="18"/>
              </w:rPr>
            </w:pPr>
            <w:r w:rsidRPr="005B7205">
              <w:rPr>
                <w:rFonts w:cs="Calibri"/>
                <w:b/>
                <w:bCs/>
                <w:sz w:val="18"/>
                <w:szCs w:val="18"/>
              </w:rPr>
              <w:t>Energy: other energy policies</w:t>
            </w:r>
          </w:p>
        </w:tc>
      </w:tr>
      <w:tr w:rsidR="00952628" w:rsidRPr="005B7205" w14:paraId="0E14F475" w14:textId="77777777">
        <w:tc>
          <w:tcPr>
            <w:tcW w:w="2920" w:type="dxa"/>
          </w:tcPr>
          <w:p w14:paraId="5FE5D219" w14:textId="77777777" w:rsidR="00952628" w:rsidRPr="005B7205" w:rsidRDefault="00952628" w:rsidP="00A92047">
            <w:pPr>
              <w:spacing w:before="40" w:after="40" w:line="240" w:lineRule="auto"/>
              <w:jc w:val="left"/>
              <w:rPr>
                <w:rFonts w:cs="Calibri"/>
                <w:color w:val="000000"/>
                <w:sz w:val="18"/>
                <w:szCs w:val="18"/>
              </w:rPr>
            </w:pPr>
            <w:r w:rsidRPr="005B7205">
              <w:rPr>
                <w:rFonts w:cs="Calibri"/>
                <w:color w:val="000000"/>
                <w:sz w:val="18"/>
                <w:szCs w:val="18"/>
              </w:rPr>
              <w:t>Māori and Public Housing Renewable Energy Fund</w:t>
            </w:r>
          </w:p>
        </w:tc>
        <w:tc>
          <w:tcPr>
            <w:tcW w:w="5585" w:type="dxa"/>
          </w:tcPr>
          <w:p w14:paraId="0EB9EF10" w14:textId="77777777" w:rsidR="00952628" w:rsidRPr="005B7205" w:rsidRDefault="00952628">
            <w:pPr>
              <w:keepNext/>
              <w:spacing w:before="40" w:after="40" w:line="240" w:lineRule="auto"/>
              <w:jc w:val="left"/>
              <w:rPr>
                <w:rFonts w:cs="Calibri"/>
                <w:color w:val="000000"/>
                <w:sz w:val="18"/>
                <w:szCs w:val="18"/>
              </w:rPr>
            </w:pPr>
            <w:r w:rsidRPr="005B7205">
              <w:rPr>
                <w:rFonts w:cs="Calibri"/>
                <w:color w:val="000000" w:themeColor="text1"/>
                <w:sz w:val="18"/>
                <w:szCs w:val="18"/>
              </w:rPr>
              <w:t>Not estimated. Not primarily for emissions reductions.</w:t>
            </w:r>
          </w:p>
        </w:tc>
      </w:tr>
      <w:tr w:rsidR="00952628" w:rsidRPr="005B7205" w14:paraId="15ABCF26" w14:textId="77777777">
        <w:tc>
          <w:tcPr>
            <w:tcW w:w="2920" w:type="dxa"/>
          </w:tcPr>
          <w:p w14:paraId="54F2F675" w14:textId="77777777" w:rsidR="00952628" w:rsidRPr="005B7205" w:rsidRDefault="00952628" w:rsidP="00A92047">
            <w:pPr>
              <w:spacing w:before="40" w:after="40" w:line="240" w:lineRule="auto"/>
              <w:jc w:val="left"/>
              <w:rPr>
                <w:rFonts w:cs="Calibri"/>
                <w:color w:val="000000"/>
                <w:sz w:val="18"/>
                <w:szCs w:val="18"/>
              </w:rPr>
            </w:pPr>
            <w:r w:rsidRPr="005B7205">
              <w:rPr>
                <w:rFonts w:cs="Calibri"/>
                <w:color w:val="000000"/>
                <w:sz w:val="18"/>
                <w:szCs w:val="18"/>
              </w:rPr>
              <w:t>Community Renewable Energy Fund</w:t>
            </w:r>
          </w:p>
        </w:tc>
        <w:tc>
          <w:tcPr>
            <w:tcW w:w="5585" w:type="dxa"/>
          </w:tcPr>
          <w:p w14:paraId="07E5CB10" w14:textId="77777777" w:rsidR="00952628" w:rsidRPr="005B7205" w:rsidRDefault="00952628">
            <w:pPr>
              <w:keepNext/>
              <w:spacing w:before="40" w:after="40" w:line="240" w:lineRule="auto"/>
              <w:jc w:val="left"/>
              <w:rPr>
                <w:rFonts w:cs="Calibri"/>
                <w:color w:val="000000" w:themeColor="text1"/>
                <w:sz w:val="18"/>
                <w:szCs w:val="18"/>
              </w:rPr>
            </w:pPr>
            <w:r w:rsidRPr="005B7205">
              <w:rPr>
                <w:rFonts w:cs="Calibri"/>
                <w:color w:val="000000" w:themeColor="text1"/>
                <w:sz w:val="18"/>
                <w:szCs w:val="18"/>
              </w:rPr>
              <w:t>Not estimated. Not primarily for emissions reductions.</w:t>
            </w:r>
          </w:p>
        </w:tc>
      </w:tr>
      <w:tr w:rsidR="00952628" w:rsidRPr="005B7205" w14:paraId="2E220C62" w14:textId="77777777">
        <w:tc>
          <w:tcPr>
            <w:tcW w:w="2920" w:type="dxa"/>
          </w:tcPr>
          <w:p w14:paraId="7B36B054" w14:textId="77777777" w:rsidR="00952628" w:rsidRPr="005B7205" w:rsidRDefault="00952628">
            <w:pPr>
              <w:spacing w:before="40" w:after="40" w:line="240" w:lineRule="auto"/>
              <w:jc w:val="left"/>
              <w:rPr>
                <w:rFonts w:cs="Calibri"/>
                <w:color w:val="000000"/>
                <w:sz w:val="18"/>
                <w:szCs w:val="18"/>
              </w:rPr>
            </w:pPr>
            <w:r w:rsidRPr="005B7205">
              <w:rPr>
                <w:rFonts w:cs="Calibri"/>
                <w:color w:val="000000"/>
                <w:sz w:val="18"/>
                <w:szCs w:val="18"/>
              </w:rPr>
              <w:t>National Direction for Greenhouse Gas Emissions from Industrial Process Heat</w:t>
            </w:r>
          </w:p>
        </w:tc>
        <w:tc>
          <w:tcPr>
            <w:tcW w:w="5585" w:type="dxa"/>
          </w:tcPr>
          <w:p w14:paraId="7C178A50" w14:textId="77777777" w:rsidR="00952628" w:rsidRPr="005B7205" w:rsidRDefault="00952628">
            <w:pPr>
              <w:spacing w:before="40" w:after="40" w:line="240" w:lineRule="auto"/>
              <w:jc w:val="left"/>
              <w:rPr>
                <w:rFonts w:cs="Calibri"/>
                <w:color w:val="000000" w:themeColor="text1"/>
                <w:sz w:val="18"/>
                <w:szCs w:val="18"/>
              </w:rPr>
            </w:pPr>
            <w:r w:rsidRPr="005B7205">
              <w:rPr>
                <w:rFonts w:cs="Calibri"/>
                <w:color w:val="000000" w:themeColor="text1"/>
                <w:sz w:val="18"/>
                <w:szCs w:val="18"/>
              </w:rPr>
              <w:t>The National Direction is included in the WEM model by reducing coal use for applicable sectors and energy uses. These results are compared to model counterfactual results without these changes, to estimate emission reductions.</w:t>
            </w:r>
          </w:p>
        </w:tc>
      </w:tr>
      <w:tr w:rsidR="00952628" w:rsidRPr="005B7205" w14:paraId="5A22F0B0" w14:textId="77777777">
        <w:tc>
          <w:tcPr>
            <w:tcW w:w="8505" w:type="dxa"/>
            <w:gridSpan w:val="2"/>
            <w:shd w:val="clear" w:color="auto" w:fill="D2DDE1" w:themeFill="background2"/>
          </w:tcPr>
          <w:p w14:paraId="6B41E60A" w14:textId="77777777" w:rsidR="00952628" w:rsidRPr="005B7205" w:rsidRDefault="00952628" w:rsidP="00A92047">
            <w:pPr>
              <w:keepNext/>
              <w:spacing w:before="40" w:after="40" w:line="240" w:lineRule="auto"/>
              <w:jc w:val="left"/>
              <w:rPr>
                <w:rFonts w:cs="Calibri"/>
                <w:b/>
                <w:bCs/>
                <w:color w:val="000000"/>
                <w:sz w:val="18"/>
                <w:szCs w:val="18"/>
              </w:rPr>
            </w:pPr>
            <w:r w:rsidRPr="005B7205">
              <w:rPr>
                <w:rFonts w:cs="Calibri"/>
                <w:b/>
                <w:bCs/>
                <w:color w:val="000000"/>
                <w:sz w:val="18"/>
                <w:szCs w:val="18"/>
              </w:rPr>
              <w:t>Energy: Building and construction</w:t>
            </w:r>
          </w:p>
        </w:tc>
      </w:tr>
      <w:tr w:rsidR="00952628" w:rsidRPr="005B7205" w14:paraId="44A4A5AF" w14:textId="77777777">
        <w:tc>
          <w:tcPr>
            <w:tcW w:w="2920" w:type="dxa"/>
          </w:tcPr>
          <w:p w14:paraId="09786EE0" w14:textId="77777777" w:rsidR="00952628" w:rsidRPr="005B7205" w:rsidRDefault="00952628">
            <w:pPr>
              <w:spacing w:before="40" w:after="40" w:line="240" w:lineRule="auto"/>
              <w:jc w:val="left"/>
              <w:rPr>
                <w:sz w:val="18"/>
                <w:szCs w:val="18"/>
              </w:rPr>
            </w:pPr>
            <w:r w:rsidRPr="005B7205">
              <w:rPr>
                <w:sz w:val="18"/>
                <w:szCs w:val="18"/>
              </w:rPr>
              <w:t>Improvements to the energy efficiency requirements in the New</w:t>
            </w:r>
            <w:r>
              <w:rPr>
                <w:sz w:val="18"/>
                <w:szCs w:val="18"/>
              </w:rPr>
              <w:t> </w:t>
            </w:r>
            <w:r w:rsidRPr="005B7205">
              <w:rPr>
                <w:sz w:val="18"/>
                <w:szCs w:val="18"/>
              </w:rPr>
              <w:t xml:space="preserve">Zealand Building Code </w:t>
            </w:r>
          </w:p>
        </w:tc>
        <w:tc>
          <w:tcPr>
            <w:tcW w:w="5585" w:type="dxa"/>
          </w:tcPr>
          <w:p w14:paraId="6C42402B" w14:textId="77777777" w:rsidR="00952628" w:rsidRPr="005B7205" w:rsidRDefault="00952628">
            <w:pPr>
              <w:spacing w:before="40" w:after="40" w:line="240" w:lineRule="auto"/>
              <w:jc w:val="left"/>
              <w:rPr>
                <w:sz w:val="18"/>
                <w:szCs w:val="18"/>
              </w:rPr>
            </w:pPr>
            <w:r w:rsidRPr="005B7205">
              <w:rPr>
                <w:sz w:val="18"/>
                <w:szCs w:val="18"/>
              </w:rPr>
              <w:t>Calculation of per cent reduction using components of energy emissions forecast as baseline, with reduction estimate from Passive House Institute modelling.</w:t>
            </w:r>
          </w:p>
        </w:tc>
      </w:tr>
      <w:tr w:rsidR="00952628" w:rsidRPr="005B7205" w14:paraId="253635C4" w14:textId="77777777">
        <w:tc>
          <w:tcPr>
            <w:tcW w:w="2920" w:type="dxa"/>
          </w:tcPr>
          <w:p w14:paraId="7B751259" w14:textId="77777777" w:rsidR="00952628" w:rsidRPr="005B7205" w:rsidRDefault="00952628">
            <w:pPr>
              <w:spacing w:before="40" w:after="40" w:line="240" w:lineRule="auto"/>
              <w:jc w:val="left"/>
              <w:rPr>
                <w:sz w:val="18"/>
                <w:szCs w:val="18"/>
              </w:rPr>
            </w:pPr>
            <w:r w:rsidRPr="005B7205">
              <w:rPr>
                <w:sz w:val="18"/>
                <w:szCs w:val="18"/>
              </w:rPr>
              <w:t xml:space="preserve">Technical methodologies to measure embodied carbon and operational carbon </w:t>
            </w:r>
          </w:p>
        </w:tc>
        <w:tc>
          <w:tcPr>
            <w:tcW w:w="5585" w:type="dxa"/>
          </w:tcPr>
          <w:p w14:paraId="554DD020" w14:textId="77777777" w:rsidR="00952628" w:rsidRPr="005B7205" w:rsidRDefault="00952628">
            <w:pPr>
              <w:spacing w:before="40" w:after="40" w:line="240" w:lineRule="auto"/>
              <w:jc w:val="left"/>
              <w:rPr>
                <w:sz w:val="18"/>
                <w:szCs w:val="18"/>
              </w:rPr>
            </w:pPr>
            <w:r w:rsidRPr="005B7205">
              <w:rPr>
                <w:sz w:val="18"/>
                <w:szCs w:val="18"/>
              </w:rPr>
              <w:t>Not estimated. No direct abatements associated.</w:t>
            </w:r>
          </w:p>
        </w:tc>
      </w:tr>
      <w:tr w:rsidR="00952628" w:rsidRPr="005B7205" w14:paraId="1C477FBD" w14:textId="77777777">
        <w:tc>
          <w:tcPr>
            <w:tcW w:w="2920" w:type="dxa"/>
          </w:tcPr>
          <w:p w14:paraId="2BB96763" w14:textId="77777777" w:rsidR="00952628" w:rsidRPr="005B7205" w:rsidRDefault="00952628">
            <w:pPr>
              <w:spacing w:before="40" w:after="40" w:line="240" w:lineRule="auto"/>
              <w:jc w:val="left"/>
              <w:rPr>
                <w:sz w:val="18"/>
                <w:szCs w:val="18"/>
              </w:rPr>
            </w:pPr>
            <w:r w:rsidRPr="005B7205">
              <w:rPr>
                <w:sz w:val="18"/>
                <w:szCs w:val="18"/>
              </w:rPr>
              <w:t>Energy performance ratings: National Australian Built Environment Rating System – New Zealand (NABERSNZ</w:t>
            </w:r>
            <w:r w:rsidRPr="005B7205">
              <w:rPr>
                <w:sz w:val="18"/>
                <w:szCs w:val="18"/>
                <w:vertAlign w:val="superscript"/>
              </w:rPr>
              <w:t>TM</w:t>
            </w:r>
            <w:r w:rsidRPr="005B7205">
              <w:rPr>
                <w:sz w:val="18"/>
                <w:szCs w:val="18"/>
              </w:rPr>
              <w:t>)</w:t>
            </w:r>
          </w:p>
        </w:tc>
        <w:tc>
          <w:tcPr>
            <w:tcW w:w="5585" w:type="dxa"/>
          </w:tcPr>
          <w:p w14:paraId="02C009E0" w14:textId="4DD2E38A" w:rsidR="00952628" w:rsidRPr="005B7205" w:rsidRDefault="00954215">
            <w:pPr>
              <w:spacing w:before="40" w:after="40" w:line="240" w:lineRule="auto"/>
              <w:jc w:val="left"/>
              <w:rPr>
                <w:sz w:val="18"/>
                <w:szCs w:val="18"/>
              </w:rPr>
            </w:pPr>
            <w:r w:rsidRPr="005B7205">
              <w:rPr>
                <w:sz w:val="18"/>
                <w:szCs w:val="18"/>
              </w:rPr>
              <w:t>Not estimated.</w:t>
            </w:r>
          </w:p>
        </w:tc>
      </w:tr>
      <w:tr w:rsidR="00952628" w:rsidRPr="005B7205" w14:paraId="642769DB" w14:textId="77777777">
        <w:tc>
          <w:tcPr>
            <w:tcW w:w="2920" w:type="dxa"/>
          </w:tcPr>
          <w:p w14:paraId="7DFC3353" w14:textId="77777777" w:rsidR="00952628" w:rsidRPr="005B7205" w:rsidRDefault="00952628">
            <w:pPr>
              <w:spacing w:before="40" w:after="40" w:line="240" w:lineRule="auto"/>
              <w:jc w:val="left"/>
              <w:rPr>
                <w:rFonts w:cs="Calibri"/>
                <w:sz w:val="18"/>
                <w:szCs w:val="18"/>
              </w:rPr>
            </w:pPr>
            <w:r w:rsidRPr="005B7205">
              <w:rPr>
                <w:sz w:val="18"/>
                <w:szCs w:val="18"/>
              </w:rPr>
              <w:t>Insulation and heating grants: Warmer Kiwi Homes Programme</w:t>
            </w:r>
          </w:p>
        </w:tc>
        <w:tc>
          <w:tcPr>
            <w:tcW w:w="5585" w:type="dxa"/>
          </w:tcPr>
          <w:p w14:paraId="4F49FACD" w14:textId="77777777" w:rsidR="00952628" w:rsidRPr="005B7205" w:rsidRDefault="00952628">
            <w:pPr>
              <w:spacing w:before="40" w:after="40" w:line="240" w:lineRule="auto"/>
              <w:jc w:val="left"/>
              <w:rPr>
                <w:rFonts w:cs="Calibri"/>
                <w:sz w:val="18"/>
                <w:szCs w:val="18"/>
              </w:rPr>
            </w:pPr>
            <w:r w:rsidRPr="005B7205">
              <w:rPr>
                <w:rFonts w:cs="Calibri"/>
                <w:sz w:val="18"/>
                <w:szCs w:val="18"/>
              </w:rPr>
              <w:t xml:space="preserve">Emissions reduction from insulation installs </w:t>
            </w:r>
            <w:r>
              <w:rPr>
                <w:rFonts w:cs="Calibri"/>
                <w:sz w:val="18"/>
                <w:szCs w:val="18"/>
              </w:rPr>
              <w:t>is</w:t>
            </w:r>
            <w:r w:rsidRPr="005B7205">
              <w:rPr>
                <w:rFonts w:cs="Calibri"/>
                <w:sz w:val="18"/>
                <w:szCs w:val="18"/>
              </w:rPr>
              <w:t xml:space="preserve"> calculated as estimated reduction in heating demand use multiplied by emissions factor of the relevant fuel. Reduction estimates are derived from a multi-year study of over 100 homes, measuring actual indoor and outdoor temperature and energy use, before and after insulation treatment.</w:t>
            </w:r>
          </w:p>
        </w:tc>
      </w:tr>
      <w:tr w:rsidR="00952628" w:rsidRPr="005B7205" w14:paraId="55DBFB98" w14:textId="77777777">
        <w:tc>
          <w:tcPr>
            <w:tcW w:w="8505" w:type="dxa"/>
            <w:gridSpan w:val="2"/>
            <w:shd w:val="clear" w:color="auto" w:fill="D2DDE1" w:themeFill="background2"/>
          </w:tcPr>
          <w:p w14:paraId="5714D92A" w14:textId="77777777" w:rsidR="00952628" w:rsidRPr="005B7205" w:rsidRDefault="00952628">
            <w:pPr>
              <w:spacing w:before="40" w:after="40" w:line="240" w:lineRule="auto"/>
              <w:jc w:val="left"/>
              <w:rPr>
                <w:rFonts w:cs="Calibri"/>
                <w:b/>
                <w:bCs/>
                <w:sz w:val="18"/>
                <w:szCs w:val="18"/>
              </w:rPr>
            </w:pPr>
            <w:r w:rsidRPr="005B7205">
              <w:rPr>
                <w:b/>
                <w:sz w:val="18"/>
                <w:szCs w:val="18"/>
              </w:rPr>
              <w:t>Transport</w:t>
            </w:r>
          </w:p>
        </w:tc>
      </w:tr>
      <w:tr w:rsidR="00952628" w:rsidRPr="005B7205" w14:paraId="6F6DEA37" w14:textId="77777777">
        <w:tc>
          <w:tcPr>
            <w:tcW w:w="2920" w:type="dxa"/>
          </w:tcPr>
          <w:p w14:paraId="734FE02A" w14:textId="77777777" w:rsidR="00952628" w:rsidRPr="005B7205" w:rsidRDefault="00952628">
            <w:pPr>
              <w:spacing w:before="40" w:after="40" w:line="240" w:lineRule="auto"/>
              <w:jc w:val="left"/>
              <w:rPr>
                <w:sz w:val="18"/>
                <w:szCs w:val="18"/>
              </w:rPr>
            </w:pPr>
            <w:r w:rsidRPr="005B7205">
              <w:rPr>
                <w:sz w:val="18"/>
                <w:szCs w:val="18"/>
              </w:rPr>
              <w:t>Electric vehicle charging infrastructure</w:t>
            </w:r>
          </w:p>
        </w:tc>
        <w:tc>
          <w:tcPr>
            <w:tcW w:w="5585" w:type="dxa"/>
          </w:tcPr>
          <w:p w14:paraId="5A57A551" w14:textId="77777777" w:rsidR="00952628" w:rsidRPr="005B7205" w:rsidRDefault="00952628">
            <w:pPr>
              <w:spacing w:before="0" w:after="0" w:line="240" w:lineRule="auto"/>
              <w:jc w:val="left"/>
              <w:rPr>
                <w:rFonts w:eastAsia="Calibri" w:cs="Calibri"/>
                <w:color w:val="000000" w:themeColor="text1"/>
                <w:sz w:val="18"/>
                <w:szCs w:val="18"/>
              </w:rPr>
            </w:pPr>
            <w:r w:rsidRPr="005B7205">
              <w:rPr>
                <w:sz w:val="18"/>
                <w:szCs w:val="18"/>
              </w:rPr>
              <w:t>Not estimated. No implementation plan available to assist quantification.</w:t>
            </w:r>
          </w:p>
        </w:tc>
      </w:tr>
      <w:tr w:rsidR="00952628" w:rsidRPr="005B7205" w14:paraId="456B17FB" w14:textId="77777777">
        <w:tc>
          <w:tcPr>
            <w:tcW w:w="2920" w:type="dxa"/>
          </w:tcPr>
          <w:p w14:paraId="66BF3F5B" w14:textId="77777777" w:rsidR="00952628" w:rsidRPr="005B7205" w:rsidRDefault="00952628">
            <w:pPr>
              <w:spacing w:before="40" w:after="40" w:line="240" w:lineRule="auto"/>
              <w:jc w:val="left"/>
              <w:rPr>
                <w:sz w:val="18"/>
                <w:szCs w:val="18"/>
              </w:rPr>
            </w:pPr>
            <w:r w:rsidRPr="005B7205">
              <w:rPr>
                <w:sz w:val="18"/>
                <w:szCs w:val="18"/>
              </w:rPr>
              <w:t>Clean Vehicle Standard and Clean Vehicle Discount Scheme</w:t>
            </w:r>
          </w:p>
        </w:tc>
        <w:tc>
          <w:tcPr>
            <w:tcW w:w="5585" w:type="dxa"/>
          </w:tcPr>
          <w:p w14:paraId="51EE7E2B" w14:textId="77777777" w:rsidR="00952628" w:rsidRPr="005B7205" w:rsidRDefault="00952628">
            <w:pPr>
              <w:spacing w:before="40" w:after="40" w:line="240" w:lineRule="auto"/>
              <w:jc w:val="left"/>
              <w:rPr>
                <w:sz w:val="18"/>
                <w:szCs w:val="18"/>
              </w:rPr>
            </w:pPr>
            <w:r w:rsidRPr="005B7205">
              <w:rPr>
                <w:sz w:val="18"/>
                <w:szCs w:val="18"/>
              </w:rPr>
              <w:t>Using the Vehicle Fleet Model (VFM), primarily based on the impact on EV uptake.</w:t>
            </w:r>
          </w:p>
        </w:tc>
      </w:tr>
      <w:tr w:rsidR="00952628" w:rsidRPr="005B7205" w14:paraId="621A048B" w14:textId="77777777">
        <w:tc>
          <w:tcPr>
            <w:tcW w:w="2920" w:type="dxa"/>
          </w:tcPr>
          <w:p w14:paraId="3883C24A" w14:textId="4585F791" w:rsidR="00952628" w:rsidRPr="005B7205" w:rsidRDefault="004303F4">
            <w:pPr>
              <w:spacing w:before="40" w:after="40" w:line="240" w:lineRule="auto"/>
              <w:jc w:val="left"/>
              <w:rPr>
                <w:sz w:val="18"/>
                <w:szCs w:val="18"/>
              </w:rPr>
            </w:pPr>
            <w:r>
              <w:rPr>
                <w:sz w:val="18"/>
                <w:szCs w:val="18"/>
              </w:rPr>
              <w:t>R</w:t>
            </w:r>
            <w:r w:rsidR="00C01C07">
              <w:rPr>
                <w:sz w:val="18"/>
                <w:szCs w:val="18"/>
              </w:rPr>
              <w:t>oad user charges</w:t>
            </w:r>
            <w:r w:rsidR="00952628" w:rsidRPr="005B7205">
              <w:rPr>
                <w:sz w:val="18"/>
                <w:szCs w:val="18"/>
              </w:rPr>
              <w:t xml:space="preserve"> exemptions for electric vehicles</w:t>
            </w:r>
          </w:p>
        </w:tc>
        <w:tc>
          <w:tcPr>
            <w:tcW w:w="5585" w:type="dxa"/>
          </w:tcPr>
          <w:p w14:paraId="31C15D03" w14:textId="77777777" w:rsidR="00952628" w:rsidRPr="005B7205" w:rsidRDefault="00952628">
            <w:pPr>
              <w:spacing w:before="40" w:after="40" w:line="240" w:lineRule="auto"/>
              <w:jc w:val="left"/>
              <w:rPr>
                <w:sz w:val="18"/>
                <w:szCs w:val="18"/>
              </w:rPr>
            </w:pPr>
            <w:r w:rsidRPr="005B7205">
              <w:rPr>
                <w:sz w:val="18"/>
                <w:szCs w:val="18"/>
              </w:rPr>
              <w:t>Using the VFM, primarily based on the impact on EV uptake.</w:t>
            </w:r>
          </w:p>
        </w:tc>
      </w:tr>
      <w:tr w:rsidR="00952628" w:rsidRPr="005B7205" w14:paraId="5FD2EA35" w14:textId="77777777">
        <w:tc>
          <w:tcPr>
            <w:tcW w:w="2920" w:type="dxa"/>
          </w:tcPr>
          <w:p w14:paraId="1B2D3B24" w14:textId="77777777" w:rsidR="00952628" w:rsidRPr="005B7205" w:rsidRDefault="00952628">
            <w:pPr>
              <w:spacing w:before="40" w:after="40" w:line="240" w:lineRule="auto"/>
              <w:jc w:val="left"/>
              <w:rPr>
                <w:sz w:val="18"/>
                <w:szCs w:val="18"/>
              </w:rPr>
            </w:pPr>
            <w:r w:rsidRPr="005B7205">
              <w:rPr>
                <w:sz w:val="18"/>
                <w:szCs w:val="18"/>
              </w:rPr>
              <w:t>Freight and Supply Chain Strategy</w:t>
            </w:r>
          </w:p>
        </w:tc>
        <w:tc>
          <w:tcPr>
            <w:tcW w:w="5585" w:type="dxa"/>
          </w:tcPr>
          <w:p w14:paraId="3142841C" w14:textId="77777777" w:rsidR="00952628" w:rsidRPr="005B7205" w:rsidRDefault="00952628">
            <w:pPr>
              <w:spacing w:before="0" w:after="0" w:line="240" w:lineRule="auto"/>
              <w:jc w:val="left"/>
              <w:rPr>
                <w:sz w:val="18"/>
                <w:szCs w:val="18"/>
              </w:rPr>
            </w:pPr>
            <w:r w:rsidRPr="005B7205">
              <w:rPr>
                <w:sz w:val="18"/>
                <w:szCs w:val="18"/>
              </w:rPr>
              <w:t>Not estimated. D</w:t>
            </w:r>
            <w:r w:rsidRPr="005B7205">
              <w:rPr>
                <w:rFonts w:eastAsia="Calibri" w:cs="Calibri"/>
                <w:color w:val="000000" w:themeColor="text1"/>
                <w:sz w:val="18"/>
                <w:szCs w:val="18"/>
              </w:rPr>
              <w:t>ifficult to establish a direct relationship between the strategy and vehicle emissions.</w:t>
            </w:r>
          </w:p>
        </w:tc>
      </w:tr>
      <w:tr w:rsidR="00952628" w:rsidRPr="005B7205" w14:paraId="740868A7" w14:textId="77777777">
        <w:tc>
          <w:tcPr>
            <w:tcW w:w="2920" w:type="dxa"/>
          </w:tcPr>
          <w:p w14:paraId="396FCA65" w14:textId="77777777" w:rsidR="00952628" w:rsidRPr="005B7205" w:rsidRDefault="00952628">
            <w:pPr>
              <w:spacing w:before="40" w:after="40" w:line="240" w:lineRule="auto"/>
              <w:jc w:val="left"/>
              <w:rPr>
                <w:sz w:val="18"/>
                <w:szCs w:val="18"/>
              </w:rPr>
            </w:pPr>
            <w:r w:rsidRPr="005B7205">
              <w:rPr>
                <w:sz w:val="18"/>
                <w:szCs w:val="18"/>
              </w:rPr>
              <w:t>Public transport bus decarbonisation</w:t>
            </w:r>
          </w:p>
        </w:tc>
        <w:tc>
          <w:tcPr>
            <w:tcW w:w="5585" w:type="dxa"/>
          </w:tcPr>
          <w:p w14:paraId="10B4680D" w14:textId="77777777" w:rsidR="00952628" w:rsidRPr="005B7205" w:rsidRDefault="00952628">
            <w:pPr>
              <w:spacing w:before="40" w:after="40" w:line="240" w:lineRule="auto"/>
              <w:jc w:val="left"/>
              <w:rPr>
                <w:sz w:val="18"/>
                <w:szCs w:val="18"/>
              </w:rPr>
            </w:pPr>
            <w:r w:rsidRPr="005B7205">
              <w:rPr>
                <w:sz w:val="18"/>
                <w:szCs w:val="18"/>
              </w:rPr>
              <w:t>Using the VFM, primarily based on the impact on EV uptake.</w:t>
            </w:r>
          </w:p>
        </w:tc>
      </w:tr>
      <w:tr w:rsidR="00952628" w:rsidRPr="005B7205" w14:paraId="74690B97" w14:textId="77777777">
        <w:tc>
          <w:tcPr>
            <w:tcW w:w="2920" w:type="dxa"/>
          </w:tcPr>
          <w:p w14:paraId="01A3B5C6" w14:textId="77777777" w:rsidR="00952628" w:rsidRPr="005B7205" w:rsidRDefault="00952628">
            <w:pPr>
              <w:spacing w:before="40" w:after="40" w:line="240" w:lineRule="auto"/>
              <w:jc w:val="left"/>
              <w:rPr>
                <w:sz w:val="18"/>
                <w:szCs w:val="18"/>
              </w:rPr>
            </w:pPr>
            <w:r w:rsidRPr="005B7205">
              <w:rPr>
                <w:sz w:val="18"/>
                <w:szCs w:val="18"/>
              </w:rPr>
              <w:t>Zero-emissions trucks and buses</w:t>
            </w:r>
          </w:p>
        </w:tc>
        <w:tc>
          <w:tcPr>
            <w:tcW w:w="5585" w:type="dxa"/>
          </w:tcPr>
          <w:p w14:paraId="00811E03" w14:textId="77777777" w:rsidR="00952628" w:rsidRPr="005B7205" w:rsidRDefault="00952628">
            <w:pPr>
              <w:spacing w:before="40" w:after="40" w:line="240" w:lineRule="auto"/>
              <w:jc w:val="left"/>
              <w:rPr>
                <w:sz w:val="18"/>
                <w:szCs w:val="18"/>
              </w:rPr>
            </w:pPr>
            <w:r w:rsidRPr="005B7205">
              <w:rPr>
                <w:sz w:val="18"/>
                <w:szCs w:val="18"/>
              </w:rPr>
              <w:t>Not estimated. Unable to develop a robust methodology at the time.</w:t>
            </w:r>
          </w:p>
        </w:tc>
      </w:tr>
      <w:tr w:rsidR="00952628" w:rsidRPr="005B7205" w14:paraId="467625BA" w14:textId="77777777">
        <w:tc>
          <w:tcPr>
            <w:tcW w:w="2920" w:type="dxa"/>
          </w:tcPr>
          <w:p w14:paraId="7CEE9586" w14:textId="77777777" w:rsidR="00952628" w:rsidRPr="005B7205" w:rsidRDefault="00952628">
            <w:pPr>
              <w:spacing w:before="40" w:after="40" w:line="240" w:lineRule="auto"/>
              <w:jc w:val="left"/>
              <w:rPr>
                <w:sz w:val="18"/>
                <w:szCs w:val="18"/>
              </w:rPr>
            </w:pPr>
            <w:r w:rsidRPr="005B7205">
              <w:rPr>
                <w:sz w:val="18"/>
                <w:szCs w:val="18"/>
              </w:rPr>
              <w:t>Low Emissions Transport Fund</w:t>
            </w:r>
          </w:p>
        </w:tc>
        <w:tc>
          <w:tcPr>
            <w:tcW w:w="5585" w:type="dxa"/>
          </w:tcPr>
          <w:p w14:paraId="67EB3C53" w14:textId="77777777" w:rsidR="00952628" w:rsidRPr="005B7205" w:rsidRDefault="00952628">
            <w:pPr>
              <w:spacing w:before="0" w:after="0" w:line="240" w:lineRule="auto"/>
              <w:jc w:val="left"/>
              <w:rPr>
                <w:sz w:val="18"/>
                <w:szCs w:val="18"/>
              </w:rPr>
            </w:pPr>
            <w:r w:rsidRPr="005B7205">
              <w:rPr>
                <w:sz w:val="18"/>
                <w:szCs w:val="18"/>
              </w:rPr>
              <w:t>Not estimated. D</w:t>
            </w:r>
            <w:r w:rsidRPr="005B7205">
              <w:rPr>
                <w:rFonts w:eastAsia="Calibri" w:cs="Calibri"/>
                <w:color w:val="000000" w:themeColor="text1"/>
                <w:sz w:val="18"/>
                <w:szCs w:val="18"/>
              </w:rPr>
              <w:t>ifficult to establish a direct relationship between the programme and vehicle emissions.</w:t>
            </w:r>
          </w:p>
        </w:tc>
      </w:tr>
      <w:tr w:rsidR="00952628" w:rsidRPr="005B7205" w14:paraId="349DE425" w14:textId="77777777">
        <w:tc>
          <w:tcPr>
            <w:tcW w:w="2920" w:type="dxa"/>
          </w:tcPr>
          <w:p w14:paraId="3D9227CA" w14:textId="77777777" w:rsidR="00952628" w:rsidRPr="005B7205" w:rsidRDefault="00952628">
            <w:pPr>
              <w:spacing w:before="40" w:after="40" w:line="240" w:lineRule="auto"/>
              <w:jc w:val="left"/>
              <w:rPr>
                <w:sz w:val="18"/>
                <w:szCs w:val="18"/>
              </w:rPr>
            </w:pPr>
            <w:r w:rsidRPr="005B7205">
              <w:rPr>
                <w:sz w:val="18"/>
                <w:szCs w:val="18"/>
              </w:rPr>
              <w:t>Vehicle Fuel Economy Labelling</w:t>
            </w:r>
          </w:p>
        </w:tc>
        <w:tc>
          <w:tcPr>
            <w:tcW w:w="5585" w:type="dxa"/>
          </w:tcPr>
          <w:p w14:paraId="2B0D3458" w14:textId="77777777" w:rsidR="00952628" w:rsidRPr="005B7205" w:rsidRDefault="00952628">
            <w:pPr>
              <w:spacing w:before="0" w:after="0" w:line="240" w:lineRule="auto"/>
              <w:jc w:val="left"/>
              <w:rPr>
                <w:sz w:val="18"/>
                <w:szCs w:val="18"/>
              </w:rPr>
            </w:pPr>
            <w:r w:rsidRPr="005B7205">
              <w:rPr>
                <w:sz w:val="18"/>
                <w:szCs w:val="18"/>
              </w:rPr>
              <w:t>Not estimated. D</w:t>
            </w:r>
            <w:r w:rsidRPr="005B7205">
              <w:rPr>
                <w:rFonts w:eastAsia="Calibri" w:cs="Calibri"/>
                <w:color w:val="000000" w:themeColor="text1"/>
                <w:sz w:val="18"/>
                <w:szCs w:val="18"/>
              </w:rPr>
              <w:t>ifficult to establish a direct relationship between the programme and vehicle emissions.</w:t>
            </w:r>
          </w:p>
        </w:tc>
      </w:tr>
      <w:tr w:rsidR="00952628" w:rsidRPr="005B7205" w14:paraId="255BBB82" w14:textId="77777777">
        <w:tc>
          <w:tcPr>
            <w:tcW w:w="8505" w:type="dxa"/>
            <w:gridSpan w:val="2"/>
            <w:shd w:val="clear" w:color="auto" w:fill="D2DDE1" w:themeFill="background2"/>
          </w:tcPr>
          <w:p w14:paraId="2846208E" w14:textId="77777777" w:rsidR="00952628" w:rsidRPr="005B7205" w:rsidRDefault="00952628">
            <w:pPr>
              <w:spacing w:before="40" w:after="40" w:line="240" w:lineRule="auto"/>
              <w:jc w:val="left"/>
              <w:rPr>
                <w:b/>
                <w:sz w:val="18"/>
                <w:szCs w:val="18"/>
              </w:rPr>
            </w:pPr>
            <w:r w:rsidRPr="005B7205">
              <w:rPr>
                <w:rFonts w:cs="Calibri"/>
                <w:b/>
                <w:bCs/>
                <w:sz w:val="18"/>
                <w:szCs w:val="18"/>
              </w:rPr>
              <w:t>Industrial Processes and Product Use (IPPU)</w:t>
            </w:r>
          </w:p>
        </w:tc>
      </w:tr>
      <w:tr w:rsidR="00952628" w:rsidRPr="005B7205" w14:paraId="445F6AB6" w14:textId="77777777">
        <w:tc>
          <w:tcPr>
            <w:tcW w:w="2920" w:type="dxa"/>
          </w:tcPr>
          <w:p w14:paraId="4B352E7C" w14:textId="77777777" w:rsidR="00952628" w:rsidRPr="005B7205" w:rsidRDefault="00952628">
            <w:pPr>
              <w:spacing w:before="40" w:after="40" w:line="240" w:lineRule="auto"/>
              <w:jc w:val="left"/>
              <w:rPr>
                <w:sz w:val="18"/>
                <w:szCs w:val="18"/>
              </w:rPr>
            </w:pPr>
            <w:r w:rsidRPr="005B7205">
              <w:rPr>
                <w:sz w:val="18"/>
                <w:szCs w:val="18"/>
              </w:rPr>
              <w:t>Synthetic greenhouse gas levy</w:t>
            </w:r>
          </w:p>
        </w:tc>
        <w:tc>
          <w:tcPr>
            <w:tcW w:w="5585" w:type="dxa"/>
          </w:tcPr>
          <w:p w14:paraId="52453718" w14:textId="5CFC061A" w:rsidR="00952628" w:rsidRPr="005B7205" w:rsidRDefault="00952628">
            <w:pPr>
              <w:spacing w:before="40" w:after="40" w:line="240" w:lineRule="auto"/>
              <w:jc w:val="left"/>
              <w:rPr>
                <w:sz w:val="18"/>
                <w:szCs w:val="18"/>
              </w:rPr>
            </w:pPr>
            <w:r w:rsidRPr="005B7205">
              <w:rPr>
                <w:sz w:val="18"/>
                <w:szCs w:val="18"/>
              </w:rPr>
              <w:t>Not estimated</w:t>
            </w:r>
            <w:r w:rsidR="00245D58">
              <w:rPr>
                <w:sz w:val="18"/>
                <w:szCs w:val="18"/>
              </w:rPr>
              <w:t>.</w:t>
            </w:r>
          </w:p>
        </w:tc>
      </w:tr>
      <w:tr w:rsidR="00952628" w:rsidRPr="005B7205" w14:paraId="3D2B2FB0" w14:textId="77777777">
        <w:tc>
          <w:tcPr>
            <w:tcW w:w="2920" w:type="dxa"/>
          </w:tcPr>
          <w:p w14:paraId="1B8D9D8A" w14:textId="77777777" w:rsidR="00952628" w:rsidRPr="005B7205" w:rsidRDefault="00952628">
            <w:pPr>
              <w:spacing w:before="40" w:after="40" w:line="240" w:lineRule="auto"/>
              <w:jc w:val="left"/>
              <w:rPr>
                <w:sz w:val="18"/>
                <w:szCs w:val="18"/>
              </w:rPr>
            </w:pPr>
            <w:r w:rsidRPr="005B7205">
              <w:rPr>
                <w:sz w:val="18"/>
                <w:szCs w:val="18"/>
              </w:rPr>
              <w:t xml:space="preserve">Permitting scheme for imports and exports of bulk hydrofluorocarbons </w:t>
            </w:r>
          </w:p>
        </w:tc>
        <w:tc>
          <w:tcPr>
            <w:tcW w:w="5585" w:type="dxa"/>
            <w:vMerge w:val="restart"/>
          </w:tcPr>
          <w:p w14:paraId="22E16D4F" w14:textId="79B3313B" w:rsidR="00952628" w:rsidRPr="005B7205" w:rsidRDefault="00952628">
            <w:pPr>
              <w:spacing w:before="40" w:after="40" w:line="240" w:lineRule="auto"/>
              <w:jc w:val="left"/>
              <w:rPr>
                <w:sz w:val="18"/>
                <w:szCs w:val="18"/>
              </w:rPr>
            </w:pPr>
            <w:r w:rsidRPr="005B7205">
              <w:rPr>
                <w:sz w:val="18"/>
                <w:szCs w:val="18"/>
              </w:rPr>
              <w:t>Estimates based on a wide range of stakeholder opinions to assess the relative contributions to historical and future abatement (ie, difference between WEM and WOM scenarios) from the three main synthetic greenhouse gas policies</w:t>
            </w:r>
            <w:r w:rsidR="00DA2F95">
              <w:rPr>
                <w:sz w:val="18"/>
                <w:szCs w:val="18"/>
              </w:rPr>
              <w:t xml:space="preserve"> (NZ ETS, </w:t>
            </w:r>
            <w:r w:rsidR="00347BC9">
              <w:rPr>
                <w:sz w:val="18"/>
                <w:szCs w:val="18"/>
              </w:rPr>
              <w:t>p</w:t>
            </w:r>
            <w:r w:rsidR="00DA2F95">
              <w:rPr>
                <w:sz w:val="18"/>
                <w:szCs w:val="18"/>
              </w:rPr>
              <w:t>ermitting scheme</w:t>
            </w:r>
            <w:r w:rsidR="00052D26" w:rsidRPr="005B7205">
              <w:rPr>
                <w:sz w:val="18"/>
                <w:szCs w:val="18"/>
              </w:rPr>
              <w:t xml:space="preserve"> for imports and exports of bulk hydrofluorocarbons</w:t>
            </w:r>
            <w:r w:rsidR="00052D26">
              <w:rPr>
                <w:sz w:val="18"/>
                <w:szCs w:val="18"/>
              </w:rPr>
              <w:t xml:space="preserve">, and </w:t>
            </w:r>
            <w:r w:rsidR="00347BC9">
              <w:rPr>
                <w:sz w:val="18"/>
                <w:szCs w:val="18"/>
              </w:rPr>
              <w:t>v</w:t>
            </w:r>
            <w:r w:rsidR="00052D26" w:rsidRPr="005B7205">
              <w:rPr>
                <w:sz w:val="18"/>
                <w:szCs w:val="18"/>
              </w:rPr>
              <w:t>oluntary product stewardship scheme for refrigerants</w:t>
            </w:r>
            <w:r w:rsidR="00052D26">
              <w:rPr>
                <w:sz w:val="18"/>
                <w:szCs w:val="18"/>
              </w:rPr>
              <w:t>)</w:t>
            </w:r>
            <w:r w:rsidRPr="005B7205">
              <w:rPr>
                <w:sz w:val="18"/>
                <w:szCs w:val="18"/>
              </w:rPr>
              <w:t>.</w:t>
            </w:r>
          </w:p>
        </w:tc>
      </w:tr>
      <w:tr w:rsidR="00952628" w:rsidRPr="005B7205" w14:paraId="7C5F6556" w14:textId="77777777">
        <w:tc>
          <w:tcPr>
            <w:tcW w:w="2920" w:type="dxa"/>
          </w:tcPr>
          <w:p w14:paraId="3CD1516C" w14:textId="77777777" w:rsidR="00952628" w:rsidRPr="005B7205" w:rsidRDefault="00952628">
            <w:pPr>
              <w:spacing w:before="40" w:after="40" w:line="240" w:lineRule="auto"/>
              <w:jc w:val="left"/>
              <w:rPr>
                <w:sz w:val="18"/>
                <w:szCs w:val="18"/>
              </w:rPr>
            </w:pPr>
            <w:r w:rsidRPr="005B7205">
              <w:rPr>
                <w:sz w:val="18"/>
                <w:szCs w:val="18"/>
              </w:rPr>
              <w:t>Voluntary product stewardship scheme for refrigerants</w:t>
            </w:r>
          </w:p>
        </w:tc>
        <w:tc>
          <w:tcPr>
            <w:tcW w:w="5585" w:type="dxa"/>
            <w:vMerge/>
          </w:tcPr>
          <w:p w14:paraId="452D77F2" w14:textId="77777777" w:rsidR="00952628" w:rsidRPr="005B7205" w:rsidRDefault="00952628">
            <w:pPr>
              <w:spacing w:before="40" w:after="40" w:line="240" w:lineRule="auto"/>
              <w:jc w:val="left"/>
              <w:rPr>
                <w:sz w:val="18"/>
                <w:szCs w:val="18"/>
              </w:rPr>
            </w:pPr>
          </w:p>
        </w:tc>
      </w:tr>
      <w:tr w:rsidR="00952628" w:rsidRPr="005B7205" w14:paraId="3C6C3731" w14:textId="77777777">
        <w:tc>
          <w:tcPr>
            <w:tcW w:w="8505" w:type="dxa"/>
            <w:gridSpan w:val="2"/>
            <w:shd w:val="clear" w:color="auto" w:fill="D2DDE1" w:themeFill="background2"/>
          </w:tcPr>
          <w:p w14:paraId="72BFA00E" w14:textId="77777777" w:rsidR="00952628" w:rsidRPr="005B7205" w:rsidRDefault="00952628">
            <w:pPr>
              <w:spacing w:before="40" w:after="40" w:line="240" w:lineRule="auto"/>
              <w:jc w:val="left"/>
              <w:rPr>
                <w:sz w:val="18"/>
                <w:szCs w:val="18"/>
              </w:rPr>
            </w:pPr>
            <w:r w:rsidRPr="005B7205">
              <w:rPr>
                <w:b/>
                <w:bCs/>
                <w:sz w:val="18"/>
                <w:szCs w:val="18"/>
              </w:rPr>
              <w:t>Agriculture</w:t>
            </w:r>
          </w:p>
        </w:tc>
      </w:tr>
      <w:tr w:rsidR="00952628" w:rsidRPr="005B7205" w14:paraId="52F7CE42" w14:textId="77777777">
        <w:tc>
          <w:tcPr>
            <w:tcW w:w="2920" w:type="dxa"/>
          </w:tcPr>
          <w:p w14:paraId="1E8E2141" w14:textId="77777777" w:rsidR="00952628" w:rsidRPr="005B7205" w:rsidRDefault="00952628">
            <w:pPr>
              <w:spacing w:before="40" w:after="40" w:line="240" w:lineRule="auto"/>
              <w:jc w:val="left"/>
              <w:rPr>
                <w:sz w:val="18"/>
                <w:szCs w:val="18"/>
              </w:rPr>
            </w:pPr>
            <w:r w:rsidRPr="005B7205">
              <w:rPr>
                <w:sz w:val="18"/>
                <w:szCs w:val="18"/>
              </w:rPr>
              <w:t xml:space="preserve">A fair and sustainable pricing system for on-farm agricultural </w:t>
            </w:r>
            <w:r w:rsidRPr="005B7205" w:rsidDel="00DC2EB9">
              <w:rPr>
                <w:sz w:val="18"/>
                <w:szCs w:val="18"/>
              </w:rPr>
              <w:t>emissions</w:t>
            </w:r>
          </w:p>
        </w:tc>
        <w:tc>
          <w:tcPr>
            <w:tcW w:w="5585" w:type="dxa"/>
          </w:tcPr>
          <w:p w14:paraId="4D9E74E8" w14:textId="7C98C672" w:rsidR="00952628" w:rsidRPr="005B7205" w:rsidRDefault="00E36A15">
            <w:pPr>
              <w:spacing w:before="40" w:after="40" w:line="240" w:lineRule="auto"/>
              <w:jc w:val="left"/>
              <w:rPr>
                <w:sz w:val="18"/>
                <w:szCs w:val="18"/>
              </w:rPr>
            </w:pPr>
            <w:r>
              <w:rPr>
                <w:sz w:val="18"/>
                <w:szCs w:val="18"/>
              </w:rPr>
              <w:t xml:space="preserve">Not estimated. </w:t>
            </w:r>
            <w:r w:rsidR="00611AE0">
              <w:rPr>
                <w:rFonts w:cs="Calibri"/>
                <w:sz w:val="18"/>
                <w:szCs w:val="18"/>
              </w:rPr>
              <w:t>Modelling updates were not complete at time of report preparation.</w:t>
            </w:r>
          </w:p>
        </w:tc>
      </w:tr>
      <w:tr w:rsidR="00952628" w:rsidRPr="005B7205" w14:paraId="0E83FF0F" w14:textId="77777777">
        <w:tc>
          <w:tcPr>
            <w:tcW w:w="2920" w:type="dxa"/>
          </w:tcPr>
          <w:p w14:paraId="07B09BFD" w14:textId="77777777" w:rsidR="00952628" w:rsidRPr="005B7205" w:rsidRDefault="00952628">
            <w:pPr>
              <w:spacing w:before="40" w:after="40" w:line="240" w:lineRule="auto"/>
              <w:jc w:val="left"/>
              <w:rPr>
                <w:sz w:val="18"/>
                <w:szCs w:val="18"/>
              </w:rPr>
            </w:pPr>
            <w:r w:rsidRPr="005B7205">
              <w:rPr>
                <w:sz w:val="18"/>
                <w:szCs w:val="18"/>
              </w:rPr>
              <w:t>Centre for Climate Action on Agricultural Emissions</w:t>
            </w:r>
          </w:p>
        </w:tc>
        <w:tc>
          <w:tcPr>
            <w:tcW w:w="5585" w:type="dxa"/>
          </w:tcPr>
          <w:p w14:paraId="1D5CDC81" w14:textId="77777777" w:rsidR="00952628" w:rsidRPr="005B7205" w:rsidRDefault="00952628">
            <w:pPr>
              <w:spacing w:before="40" w:after="40" w:line="240" w:lineRule="auto"/>
              <w:jc w:val="left"/>
              <w:rPr>
                <w:sz w:val="18"/>
                <w:szCs w:val="18"/>
              </w:rPr>
            </w:pPr>
            <w:r w:rsidRPr="005B7205">
              <w:rPr>
                <w:sz w:val="18"/>
                <w:szCs w:val="18"/>
              </w:rPr>
              <w:t>Not estimated. Research-based policy, no direct abatements associated.</w:t>
            </w:r>
          </w:p>
        </w:tc>
      </w:tr>
      <w:tr w:rsidR="00952628" w:rsidRPr="005B7205" w14:paraId="04FAC64D" w14:textId="77777777">
        <w:tc>
          <w:tcPr>
            <w:tcW w:w="2920" w:type="dxa"/>
          </w:tcPr>
          <w:p w14:paraId="78DC8CC8" w14:textId="77777777" w:rsidR="00952628" w:rsidRPr="005B7205" w:rsidRDefault="00952628">
            <w:pPr>
              <w:spacing w:before="40" w:after="40" w:line="240" w:lineRule="auto"/>
              <w:jc w:val="left"/>
              <w:rPr>
                <w:sz w:val="18"/>
                <w:szCs w:val="18"/>
              </w:rPr>
            </w:pPr>
            <w:r w:rsidRPr="005B7205">
              <w:rPr>
                <w:sz w:val="18"/>
                <w:szCs w:val="18"/>
              </w:rPr>
              <w:t>New Zealand Agricultural Greenhouse Gas Research Centre</w:t>
            </w:r>
          </w:p>
        </w:tc>
        <w:tc>
          <w:tcPr>
            <w:tcW w:w="5585" w:type="dxa"/>
          </w:tcPr>
          <w:p w14:paraId="4011C68C" w14:textId="77777777" w:rsidR="00952628" w:rsidRPr="005B7205" w:rsidRDefault="00952628">
            <w:pPr>
              <w:spacing w:before="40" w:after="40" w:line="240" w:lineRule="auto"/>
              <w:jc w:val="left"/>
              <w:rPr>
                <w:sz w:val="18"/>
                <w:szCs w:val="18"/>
              </w:rPr>
            </w:pPr>
            <w:r w:rsidRPr="005B7205">
              <w:rPr>
                <w:sz w:val="18"/>
                <w:szCs w:val="18"/>
              </w:rPr>
              <w:t>Not estimated. Research-based policy, no direct abatements associated.</w:t>
            </w:r>
          </w:p>
        </w:tc>
      </w:tr>
      <w:tr w:rsidR="00952628" w:rsidRPr="005B7205" w14:paraId="5306EAD4" w14:textId="77777777">
        <w:tc>
          <w:tcPr>
            <w:tcW w:w="2920" w:type="dxa"/>
          </w:tcPr>
          <w:p w14:paraId="2396187E" w14:textId="77777777" w:rsidR="00952628" w:rsidRPr="005B7205" w:rsidRDefault="00952628">
            <w:pPr>
              <w:spacing w:before="40" w:after="40" w:line="240" w:lineRule="auto"/>
              <w:jc w:val="left"/>
              <w:rPr>
                <w:sz w:val="18"/>
                <w:szCs w:val="18"/>
              </w:rPr>
            </w:pPr>
            <w:r w:rsidRPr="005B7205">
              <w:rPr>
                <w:sz w:val="18"/>
                <w:szCs w:val="18"/>
              </w:rPr>
              <w:t>Global Research Alliance on Agricultural Greenhouse Gases (GRA)</w:t>
            </w:r>
          </w:p>
        </w:tc>
        <w:tc>
          <w:tcPr>
            <w:tcW w:w="5585" w:type="dxa"/>
          </w:tcPr>
          <w:p w14:paraId="50366D2B" w14:textId="77777777" w:rsidR="00952628" w:rsidRPr="005B7205" w:rsidRDefault="00952628">
            <w:pPr>
              <w:spacing w:before="40" w:after="40" w:line="240" w:lineRule="auto"/>
              <w:jc w:val="left"/>
              <w:rPr>
                <w:sz w:val="18"/>
                <w:szCs w:val="18"/>
              </w:rPr>
            </w:pPr>
            <w:r w:rsidRPr="005B7205">
              <w:rPr>
                <w:sz w:val="18"/>
                <w:szCs w:val="18"/>
              </w:rPr>
              <w:t>Not estimated. Research-based policy, no direct abatements associated.</w:t>
            </w:r>
          </w:p>
        </w:tc>
      </w:tr>
      <w:tr w:rsidR="00952628" w:rsidRPr="005B7205" w14:paraId="45648324" w14:textId="77777777">
        <w:tc>
          <w:tcPr>
            <w:tcW w:w="2920" w:type="dxa"/>
          </w:tcPr>
          <w:p w14:paraId="4B6BA98C" w14:textId="77777777" w:rsidR="00952628" w:rsidRPr="005B7205" w:rsidRDefault="00952628">
            <w:pPr>
              <w:spacing w:before="40" w:after="40" w:line="240" w:lineRule="auto"/>
              <w:jc w:val="left"/>
              <w:rPr>
                <w:sz w:val="18"/>
                <w:szCs w:val="18"/>
              </w:rPr>
            </w:pPr>
            <w:r w:rsidRPr="005B7205">
              <w:rPr>
                <w:sz w:val="18"/>
                <w:szCs w:val="18"/>
              </w:rPr>
              <w:t>Sustainable Food and Fibre Futures</w:t>
            </w:r>
          </w:p>
        </w:tc>
        <w:tc>
          <w:tcPr>
            <w:tcW w:w="5585" w:type="dxa"/>
          </w:tcPr>
          <w:p w14:paraId="7C54343A" w14:textId="77777777" w:rsidR="00952628" w:rsidRPr="005B7205" w:rsidRDefault="00952628">
            <w:pPr>
              <w:spacing w:before="40" w:after="40" w:line="240" w:lineRule="auto"/>
              <w:jc w:val="left"/>
              <w:rPr>
                <w:sz w:val="18"/>
                <w:szCs w:val="18"/>
              </w:rPr>
            </w:pPr>
            <w:r w:rsidRPr="005B7205">
              <w:rPr>
                <w:sz w:val="18"/>
                <w:szCs w:val="18"/>
              </w:rPr>
              <w:t>Not estimated. Research-based policy, no direct abatements associated.</w:t>
            </w:r>
          </w:p>
        </w:tc>
      </w:tr>
      <w:tr w:rsidR="00952628" w:rsidRPr="005B7205" w14:paraId="66976EC9" w14:textId="77777777">
        <w:tc>
          <w:tcPr>
            <w:tcW w:w="2920" w:type="dxa"/>
          </w:tcPr>
          <w:p w14:paraId="3C07CF79" w14:textId="77777777" w:rsidR="00952628" w:rsidRPr="005B7205" w:rsidRDefault="00952628">
            <w:pPr>
              <w:spacing w:before="40" w:after="40" w:line="240" w:lineRule="auto"/>
              <w:jc w:val="left"/>
              <w:rPr>
                <w:sz w:val="18"/>
                <w:szCs w:val="18"/>
              </w:rPr>
            </w:pPr>
            <w:r w:rsidRPr="005B7205">
              <w:rPr>
                <w:sz w:val="18"/>
                <w:szCs w:val="18"/>
              </w:rPr>
              <w:t>Sustainable Land Management and Climate Change Research Programme</w:t>
            </w:r>
          </w:p>
        </w:tc>
        <w:tc>
          <w:tcPr>
            <w:tcW w:w="5585" w:type="dxa"/>
          </w:tcPr>
          <w:p w14:paraId="12AF352B" w14:textId="77777777" w:rsidR="00952628" w:rsidRPr="005B7205" w:rsidRDefault="00952628">
            <w:pPr>
              <w:spacing w:before="40" w:after="40" w:line="240" w:lineRule="auto"/>
              <w:jc w:val="left"/>
              <w:rPr>
                <w:sz w:val="18"/>
                <w:szCs w:val="18"/>
              </w:rPr>
            </w:pPr>
            <w:r w:rsidRPr="005B7205">
              <w:rPr>
                <w:sz w:val="18"/>
                <w:szCs w:val="18"/>
              </w:rPr>
              <w:t>Not estimated. Research-based policy, no direct abatements associated.</w:t>
            </w:r>
          </w:p>
        </w:tc>
      </w:tr>
      <w:tr w:rsidR="00952628" w:rsidRPr="005B7205" w14:paraId="7015199B" w14:textId="77777777">
        <w:tc>
          <w:tcPr>
            <w:tcW w:w="2920" w:type="dxa"/>
          </w:tcPr>
          <w:p w14:paraId="5A820FC0" w14:textId="77777777" w:rsidR="00952628" w:rsidRPr="005B7205" w:rsidRDefault="00952628">
            <w:pPr>
              <w:spacing w:before="40" w:after="40" w:line="240" w:lineRule="auto"/>
              <w:jc w:val="left"/>
              <w:rPr>
                <w:sz w:val="18"/>
                <w:szCs w:val="18"/>
              </w:rPr>
            </w:pPr>
            <w:r w:rsidRPr="005B7205">
              <w:rPr>
                <w:sz w:val="18"/>
                <w:szCs w:val="18"/>
              </w:rPr>
              <w:t>Synthetic nitrogen fertiliser cap (N-cap)</w:t>
            </w:r>
          </w:p>
        </w:tc>
        <w:tc>
          <w:tcPr>
            <w:tcW w:w="5585" w:type="dxa"/>
          </w:tcPr>
          <w:p w14:paraId="4AA326D2" w14:textId="77777777" w:rsidR="00952628" w:rsidRPr="005B7205" w:rsidRDefault="00952628">
            <w:pPr>
              <w:spacing w:before="40" w:after="40" w:line="240" w:lineRule="auto"/>
              <w:jc w:val="left"/>
              <w:rPr>
                <w:sz w:val="18"/>
                <w:szCs w:val="18"/>
              </w:rPr>
            </w:pPr>
            <w:r w:rsidRPr="005B7205">
              <w:rPr>
                <w:sz w:val="18"/>
                <w:szCs w:val="18"/>
              </w:rPr>
              <w:t xml:space="preserve">Simple </w:t>
            </w:r>
            <w:r>
              <w:rPr>
                <w:sz w:val="18"/>
                <w:szCs w:val="18"/>
              </w:rPr>
              <w:t>E</w:t>
            </w:r>
            <w:r w:rsidRPr="005B7205">
              <w:rPr>
                <w:sz w:val="18"/>
                <w:szCs w:val="18"/>
              </w:rPr>
              <w:t xml:space="preserve">xcel-based calculation based on research and advice from subject matter experts to determine impacts on fertiliser use. </w:t>
            </w:r>
          </w:p>
        </w:tc>
      </w:tr>
      <w:tr w:rsidR="00952628" w:rsidRPr="005B7205" w14:paraId="6FF7428C" w14:textId="77777777">
        <w:tc>
          <w:tcPr>
            <w:tcW w:w="2920" w:type="dxa"/>
          </w:tcPr>
          <w:p w14:paraId="74844EE9" w14:textId="6A7499C5" w:rsidR="00952628" w:rsidRPr="005B7205" w:rsidRDefault="00000CF0">
            <w:pPr>
              <w:spacing w:before="40" w:after="40" w:line="240" w:lineRule="auto"/>
              <w:jc w:val="left"/>
              <w:rPr>
                <w:sz w:val="18"/>
                <w:szCs w:val="18"/>
              </w:rPr>
            </w:pPr>
            <w:r>
              <w:rPr>
                <w:sz w:val="18"/>
                <w:szCs w:val="18"/>
              </w:rPr>
              <w:t>Regulations to manage freshwater introduced under the Essential Freshwater package (excluding the impact of the N-cap)</w:t>
            </w:r>
          </w:p>
        </w:tc>
        <w:tc>
          <w:tcPr>
            <w:tcW w:w="5585" w:type="dxa"/>
          </w:tcPr>
          <w:p w14:paraId="12D42760" w14:textId="77777777" w:rsidR="00952628" w:rsidRPr="005B7205" w:rsidRDefault="00952628">
            <w:pPr>
              <w:spacing w:before="40" w:after="40" w:line="240" w:lineRule="auto"/>
              <w:jc w:val="left"/>
              <w:rPr>
                <w:sz w:val="18"/>
                <w:szCs w:val="18"/>
              </w:rPr>
            </w:pPr>
            <w:r w:rsidRPr="005B7205">
              <w:rPr>
                <w:sz w:val="18"/>
                <w:szCs w:val="18"/>
              </w:rPr>
              <w:t xml:space="preserve">Simple </w:t>
            </w:r>
            <w:r>
              <w:rPr>
                <w:sz w:val="18"/>
                <w:szCs w:val="18"/>
              </w:rPr>
              <w:t>E</w:t>
            </w:r>
            <w:r w:rsidRPr="005B7205">
              <w:rPr>
                <w:sz w:val="18"/>
                <w:szCs w:val="18"/>
              </w:rPr>
              <w:t xml:space="preserve">xcel-based calculation based on research and advice from subject matter experts to determine impacts on fertiliser use and dairy cattle populations. </w:t>
            </w:r>
          </w:p>
        </w:tc>
      </w:tr>
      <w:tr w:rsidR="00952628" w:rsidRPr="005B7205" w14:paraId="32C2ECF1" w14:textId="77777777">
        <w:tc>
          <w:tcPr>
            <w:tcW w:w="8505" w:type="dxa"/>
            <w:gridSpan w:val="2"/>
            <w:shd w:val="clear" w:color="auto" w:fill="D2DDE1" w:themeFill="background2"/>
          </w:tcPr>
          <w:p w14:paraId="7BC0E94B" w14:textId="2AF1A2B9" w:rsidR="00952628" w:rsidRPr="005B7205" w:rsidRDefault="00B67BC9">
            <w:pPr>
              <w:spacing w:before="40" w:after="40" w:line="240" w:lineRule="auto"/>
              <w:jc w:val="left"/>
              <w:rPr>
                <w:b/>
                <w:bCs/>
                <w:sz w:val="18"/>
                <w:szCs w:val="18"/>
              </w:rPr>
            </w:pPr>
            <w:r>
              <w:rPr>
                <w:b/>
                <w:bCs/>
                <w:sz w:val="18"/>
                <w:szCs w:val="18"/>
              </w:rPr>
              <w:t>Land Use, Land-Use Change and Forestry</w:t>
            </w:r>
            <w:r w:rsidR="00952628" w:rsidRPr="005B7205">
              <w:rPr>
                <w:b/>
                <w:bCs/>
                <w:sz w:val="18"/>
                <w:szCs w:val="18"/>
              </w:rPr>
              <w:t xml:space="preserve"> (LULUCF)</w:t>
            </w:r>
          </w:p>
        </w:tc>
      </w:tr>
      <w:tr w:rsidR="00952628" w:rsidRPr="005B7205" w14:paraId="59B0C646" w14:textId="77777777">
        <w:tc>
          <w:tcPr>
            <w:tcW w:w="2920" w:type="dxa"/>
            <w:tcBorders>
              <w:top w:val="single" w:sz="4" w:space="0" w:color="1B556B" w:themeColor="text2"/>
              <w:bottom w:val="single" w:sz="4" w:space="0" w:color="1B556B" w:themeColor="text2"/>
            </w:tcBorders>
          </w:tcPr>
          <w:p w14:paraId="7B08956A" w14:textId="77777777" w:rsidR="00952628" w:rsidRPr="005B7205" w:rsidRDefault="00952628">
            <w:pPr>
              <w:spacing w:before="40" w:after="40" w:line="240" w:lineRule="auto"/>
              <w:jc w:val="left"/>
              <w:rPr>
                <w:sz w:val="18"/>
                <w:szCs w:val="18"/>
              </w:rPr>
            </w:pPr>
            <w:r w:rsidRPr="005B7205">
              <w:rPr>
                <w:sz w:val="18"/>
                <w:szCs w:val="18"/>
              </w:rPr>
              <w:t>NZ ETS</w:t>
            </w:r>
          </w:p>
        </w:tc>
        <w:tc>
          <w:tcPr>
            <w:tcW w:w="5585" w:type="dxa"/>
            <w:vMerge w:val="restart"/>
            <w:tcBorders>
              <w:top w:val="single" w:sz="4" w:space="0" w:color="1B556B" w:themeColor="text2"/>
              <w:bottom w:val="single" w:sz="4" w:space="0" w:color="1B556B" w:themeColor="text2"/>
            </w:tcBorders>
          </w:tcPr>
          <w:p w14:paraId="135908BC" w14:textId="77777777" w:rsidR="00952628" w:rsidRPr="005B7205" w:rsidRDefault="00952628">
            <w:pPr>
              <w:spacing w:before="40" w:after="40" w:line="240" w:lineRule="auto"/>
              <w:jc w:val="left"/>
              <w:rPr>
                <w:sz w:val="18"/>
                <w:szCs w:val="18"/>
              </w:rPr>
            </w:pPr>
            <w:r w:rsidRPr="005B7205">
              <w:rPr>
                <w:sz w:val="18"/>
                <w:szCs w:val="18"/>
              </w:rPr>
              <w:t>Bottom-up and based on the initiative start and registered forests to model the mitigation impact. Applies LULUCF accounting rules as described in chapter 2, section 2.3.</w:t>
            </w:r>
            <w:r>
              <w:rPr>
                <w:sz w:val="18"/>
                <w:szCs w:val="18"/>
              </w:rPr>
              <w:t>4</w:t>
            </w:r>
            <w:r w:rsidRPr="005B7205">
              <w:rPr>
                <w:sz w:val="18"/>
                <w:szCs w:val="18"/>
              </w:rPr>
              <w:t>. Only afforestation since the establishment of the initiative is included. This creates a distinction between forests that were established before and after the initiative commenced, and ensures only forests established as a direct result of that initiative are included. The assessment of the historical and projected impact is primarily based on Ministry for Primary Industries data, annual evaluation surveys and external research. The NZ ETS estimates are a combination of ‘additional’ afforestation and ‘reduced’ deforestation that could be attributed to the NZ ETS.</w:t>
            </w:r>
          </w:p>
        </w:tc>
      </w:tr>
      <w:tr w:rsidR="00952628" w:rsidRPr="005B7205" w14:paraId="60EF8E7C" w14:textId="77777777">
        <w:tc>
          <w:tcPr>
            <w:tcW w:w="2920" w:type="dxa"/>
          </w:tcPr>
          <w:p w14:paraId="6DB34B30" w14:textId="77777777" w:rsidR="00952628" w:rsidRPr="005B7205" w:rsidRDefault="00952628">
            <w:pPr>
              <w:spacing w:before="40" w:after="40" w:line="240" w:lineRule="auto"/>
              <w:jc w:val="left"/>
              <w:rPr>
                <w:sz w:val="18"/>
                <w:szCs w:val="18"/>
              </w:rPr>
            </w:pPr>
            <w:r w:rsidRPr="005B7205">
              <w:rPr>
                <w:sz w:val="18"/>
                <w:szCs w:val="18"/>
              </w:rPr>
              <w:t>Afforestation Grant Scheme</w:t>
            </w:r>
          </w:p>
        </w:tc>
        <w:tc>
          <w:tcPr>
            <w:tcW w:w="5585" w:type="dxa"/>
            <w:vMerge/>
          </w:tcPr>
          <w:p w14:paraId="12584F86" w14:textId="77777777" w:rsidR="00952628" w:rsidRPr="005B7205" w:rsidRDefault="00952628">
            <w:pPr>
              <w:spacing w:before="40" w:after="40" w:line="240" w:lineRule="auto"/>
              <w:jc w:val="left"/>
              <w:rPr>
                <w:sz w:val="18"/>
                <w:szCs w:val="18"/>
              </w:rPr>
            </w:pPr>
          </w:p>
        </w:tc>
      </w:tr>
      <w:tr w:rsidR="00952628" w:rsidRPr="005B7205" w14:paraId="07F2B7B3" w14:textId="77777777">
        <w:tc>
          <w:tcPr>
            <w:tcW w:w="2920" w:type="dxa"/>
          </w:tcPr>
          <w:p w14:paraId="613A1DD6" w14:textId="77777777" w:rsidR="00952628" w:rsidRPr="005B7205" w:rsidRDefault="00952628" w:rsidP="00A92047">
            <w:pPr>
              <w:spacing w:before="30" w:after="30" w:line="240" w:lineRule="auto"/>
              <w:jc w:val="left"/>
              <w:rPr>
                <w:sz w:val="18"/>
                <w:szCs w:val="18"/>
              </w:rPr>
            </w:pPr>
            <w:r w:rsidRPr="005B7205">
              <w:rPr>
                <w:sz w:val="18"/>
                <w:szCs w:val="18"/>
              </w:rPr>
              <w:t xml:space="preserve">One Billion Trees </w:t>
            </w:r>
          </w:p>
        </w:tc>
        <w:tc>
          <w:tcPr>
            <w:tcW w:w="5585" w:type="dxa"/>
            <w:vMerge/>
          </w:tcPr>
          <w:p w14:paraId="0D977F13" w14:textId="77777777" w:rsidR="00952628" w:rsidRPr="005B7205" w:rsidRDefault="00952628">
            <w:pPr>
              <w:spacing w:before="30" w:after="30" w:line="240" w:lineRule="auto"/>
              <w:jc w:val="left"/>
              <w:rPr>
                <w:sz w:val="18"/>
                <w:szCs w:val="18"/>
              </w:rPr>
            </w:pPr>
          </w:p>
        </w:tc>
      </w:tr>
      <w:tr w:rsidR="00952628" w:rsidRPr="005B7205" w14:paraId="1DF83701" w14:textId="77777777">
        <w:tc>
          <w:tcPr>
            <w:tcW w:w="2920" w:type="dxa"/>
          </w:tcPr>
          <w:p w14:paraId="057DFF8F" w14:textId="77777777" w:rsidR="00952628" w:rsidRPr="005B7205" w:rsidRDefault="00952628">
            <w:pPr>
              <w:spacing w:before="20" w:after="20" w:line="240" w:lineRule="auto"/>
              <w:jc w:val="left"/>
              <w:rPr>
                <w:sz w:val="18"/>
                <w:szCs w:val="18"/>
              </w:rPr>
            </w:pPr>
            <w:r w:rsidRPr="005B7205">
              <w:rPr>
                <w:sz w:val="18"/>
                <w:szCs w:val="18"/>
              </w:rPr>
              <w:t>Sustainable Land Management Hill Country Erosion Programme</w:t>
            </w:r>
          </w:p>
        </w:tc>
        <w:tc>
          <w:tcPr>
            <w:tcW w:w="5585" w:type="dxa"/>
            <w:vMerge/>
          </w:tcPr>
          <w:p w14:paraId="4DC1C6E6" w14:textId="77777777" w:rsidR="00952628" w:rsidRPr="005B7205" w:rsidRDefault="00952628">
            <w:pPr>
              <w:spacing w:before="20" w:after="20" w:line="240" w:lineRule="auto"/>
              <w:jc w:val="left"/>
              <w:rPr>
                <w:sz w:val="18"/>
                <w:szCs w:val="18"/>
              </w:rPr>
            </w:pPr>
          </w:p>
        </w:tc>
      </w:tr>
      <w:tr w:rsidR="00952628" w:rsidRPr="005B7205" w14:paraId="686949DC" w14:textId="77777777">
        <w:tc>
          <w:tcPr>
            <w:tcW w:w="2920" w:type="dxa"/>
          </w:tcPr>
          <w:p w14:paraId="5662E5D9" w14:textId="77777777" w:rsidR="00952628" w:rsidRPr="005B7205" w:rsidRDefault="00952628">
            <w:pPr>
              <w:spacing w:before="20" w:after="20" w:line="240" w:lineRule="auto"/>
              <w:jc w:val="left"/>
              <w:rPr>
                <w:sz w:val="18"/>
                <w:szCs w:val="18"/>
              </w:rPr>
            </w:pPr>
            <w:r w:rsidRPr="005B7205">
              <w:rPr>
                <w:sz w:val="18"/>
                <w:szCs w:val="18"/>
              </w:rPr>
              <w:t>Erosion Control Funding Programme</w:t>
            </w:r>
          </w:p>
        </w:tc>
        <w:tc>
          <w:tcPr>
            <w:tcW w:w="5585" w:type="dxa"/>
            <w:vMerge/>
          </w:tcPr>
          <w:p w14:paraId="2B18906C" w14:textId="77777777" w:rsidR="00952628" w:rsidRPr="005B7205" w:rsidRDefault="00952628">
            <w:pPr>
              <w:spacing w:before="20" w:after="20" w:line="240" w:lineRule="auto"/>
              <w:jc w:val="left"/>
              <w:rPr>
                <w:sz w:val="18"/>
                <w:szCs w:val="18"/>
              </w:rPr>
            </w:pPr>
          </w:p>
        </w:tc>
      </w:tr>
      <w:tr w:rsidR="00952628" w:rsidRPr="005B7205" w14:paraId="5EF837CF" w14:textId="77777777">
        <w:tc>
          <w:tcPr>
            <w:tcW w:w="2920" w:type="dxa"/>
            <w:tcBorders>
              <w:bottom w:val="single" w:sz="4" w:space="0" w:color="1B556B" w:themeColor="text2"/>
            </w:tcBorders>
          </w:tcPr>
          <w:p w14:paraId="2A4379D4" w14:textId="77777777" w:rsidR="00952628" w:rsidRPr="005B7205" w:rsidRDefault="00952628">
            <w:pPr>
              <w:spacing w:before="20" w:after="20" w:line="240" w:lineRule="auto"/>
              <w:jc w:val="left"/>
              <w:rPr>
                <w:sz w:val="18"/>
                <w:szCs w:val="18"/>
              </w:rPr>
            </w:pPr>
            <w:r w:rsidRPr="005B7205">
              <w:rPr>
                <w:sz w:val="18"/>
                <w:szCs w:val="18"/>
              </w:rPr>
              <w:t>Permanent Forest Sink Initiative (PFSI)</w:t>
            </w:r>
          </w:p>
        </w:tc>
        <w:tc>
          <w:tcPr>
            <w:tcW w:w="5585" w:type="dxa"/>
            <w:vMerge/>
          </w:tcPr>
          <w:p w14:paraId="79A58BFC" w14:textId="77777777" w:rsidR="00952628" w:rsidRPr="005B7205" w:rsidRDefault="00952628">
            <w:pPr>
              <w:keepNext/>
              <w:spacing w:before="20" w:after="20" w:line="240" w:lineRule="auto"/>
              <w:jc w:val="left"/>
              <w:rPr>
                <w:sz w:val="18"/>
                <w:szCs w:val="18"/>
              </w:rPr>
            </w:pPr>
          </w:p>
        </w:tc>
      </w:tr>
      <w:tr w:rsidR="00952628" w:rsidRPr="005B7205" w14:paraId="362D35A3" w14:textId="77777777">
        <w:tc>
          <w:tcPr>
            <w:tcW w:w="2920" w:type="dxa"/>
            <w:tcBorders>
              <w:bottom w:val="single" w:sz="4" w:space="0" w:color="1B556B" w:themeColor="text2"/>
            </w:tcBorders>
          </w:tcPr>
          <w:p w14:paraId="7381E460" w14:textId="1148A112" w:rsidR="00952628" w:rsidRPr="005B7205" w:rsidRDefault="00952628">
            <w:pPr>
              <w:spacing w:before="20" w:after="20" w:line="240" w:lineRule="auto"/>
              <w:jc w:val="left"/>
              <w:rPr>
                <w:sz w:val="18"/>
                <w:szCs w:val="18"/>
              </w:rPr>
            </w:pPr>
            <w:r w:rsidRPr="005B7205">
              <w:rPr>
                <w:sz w:val="18"/>
                <w:szCs w:val="18"/>
              </w:rPr>
              <w:t>Afforestation on Crown</w:t>
            </w:r>
            <w:r w:rsidR="00810643">
              <w:rPr>
                <w:sz w:val="18"/>
                <w:szCs w:val="18"/>
              </w:rPr>
              <w:t>-owned</w:t>
            </w:r>
            <w:r w:rsidRPr="005B7205">
              <w:rPr>
                <w:sz w:val="18"/>
                <w:szCs w:val="18"/>
              </w:rPr>
              <w:t xml:space="preserve"> land</w:t>
            </w:r>
          </w:p>
        </w:tc>
        <w:tc>
          <w:tcPr>
            <w:tcW w:w="5585" w:type="dxa"/>
          </w:tcPr>
          <w:p w14:paraId="59233175" w14:textId="1FA9FDD0" w:rsidR="00952628" w:rsidRPr="005B7205" w:rsidRDefault="00826D3C">
            <w:pPr>
              <w:keepNext/>
              <w:spacing w:before="20" w:after="20" w:line="240" w:lineRule="auto"/>
              <w:jc w:val="left"/>
              <w:rPr>
                <w:sz w:val="18"/>
                <w:szCs w:val="18"/>
              </w:rPr>
            </w:pPr>
            <w:r>
              <w:rPr>
                <w:sz w:val="18"/>
                <w:szCs w:val="18"/>
              </w:rPr>
              <w:t>Not estimated.</w:t>
            </w:r>
            <w:r w:rsidR="00611AE0">
              <w:rPr>
                <w:sz w:val="18"/>
                <w:szCs w:val="18"/>
              </w:rPr>
              <w:t xml:space="preserve"> </w:t>
            </w:r>
            <w:r w:rsidR="00611AE0">
              <w:rPr>
                <w:rFonts w:cs="Calibri"/>
                <w:sz w:val="18"/>
                <w:szCs w:val="18"/>
              </w:rPr>
              <w:t>Modelling updates were not complete at time of report preparation.</w:t>
            </w:r>
          </w:p>
        </w:tc>
      </w:tr>
      <w:tr w:rsidR="00952628" w:rsidRPr="005B7205" w14:paraId="6C9E396C" w14:textId="77777777">
        <w:tc>
          <w:tcPr>
            <w:tcW w:w="2920" w:type="dxa"/>
            <w:shd w:val="clear" w:color="auto" w:fill="auto"/>
          </w:tcPr>
          <w:p w14:paraId="7F6F89C6" w14:textId="77777777" w:rsidR="00952628" w:rsidRPr="005B7205" w:rsidRDefault="00952628">
            <w:pPr>
              <w:spacing w:before="20" w:after="20" w:line="240" w:lineRule="auto"/>
              <w:jc w:val="left"/>
              <w:rPr>
                <w:sz w:val="18"/>
                <w:szCs w:val="18"/>
              </w:rPr>
            </w:pPr>
            <w:r w:rsidRPr="00E8311E">
              <w:rPr>
                <w:sz w:val="18"/>
                <w:szCs w:val="18"/>
                <w:highlight w:val="lightGray"/>
              </w:rPr>
              <w:t>Woody biomass</w:t>
            </w:r>
          </w:p>
        </w:tc>
        <w:tc>
          <w:tcPr>
            <w:tcW w:w="5585" w:type="dxa"/>
          </w:tcPr>
          <w:p w14:paraId="75056FC8" w14:textId="4AC10100" w:rsidR="00952628" w:rsidRPr="005B7205" w:rsidRDefault="00952628">
            <w:pPr>
              <w:keepNext/>
              <w:spacing w:before="20" w:after="20" w:line="240" w:lineRule="auto"/>
              <w:jc w:val="left"/>
              <w:rPr>
                <w:sz w:val="18"/>
                <w:szCs w:val="18"/>
              </w:rPr>
            </w:pPr>
            <w:r w:rsidRPr="005B7205">
              <w:rPr>
                <w:sz w:val="18"/>
                <w:szCs w:val="18"/>
              </w:rPr>
              <w:t>Not estimated</w:t>
            </w:r>
            <w:r w:rsidR="00F134E0">
              <w:rPr>
                <w:sz w:val="18"/>
                <w:szCs w:val="18"/>
              </w:rPr>
              <w:t>.</w:t>
            </w:r>
          </w:p>
        </w:tc>
      </w:tr>
      <w:tr w:rsidR="00952628" w:rsidRPr="005B7205" w14:paraId="39D0CEC7" w14:textId="77777777">
        <w:tc>
          <w:tcPr>
            <w:tcW w:w="2920" w:type="dxa"/>
          </w:tcPr>
          <w:p w14:paraId="0D0DE87C" w14:textId="77777777" w:rsidR="00952628" w:rsidRPr="005B7205" w:rsidRDefault="00952628">
            <w:pPr>
              <w:spacing w:before="40" w:after="40" w:line="240" w:lineRule="auto"/>
              <w:jc w:val="left"/>
              <w:rPr>
                <w:sz w:val="18"/>
                <w:szCs w:val="18"/>
              </w:rPr>
            </w:pPr>
            <w:r w:rsidRPr="005B7205">
              <w:rPr>
                <w:sz w:val="18"/>
                <w:szCs w:val="18"/>
              </w:rPr>
              <w:t xml:space="preserve">Maximising forest carbon programme </w:t>
            </w:r>
          </w:p>
        </w:tc>
        <w:tc>
          <w:tcPr>
            <w:tcW w:w="5585" w:type="dxa"/>
          </w:tcPr>
          <w:p w14:paraId="699CA773" w14:textId="04AC69EF" w:rsidR="00952628" w:rsidRPr="005B7205" w:rsidRDefault="00952628">
            <w:pPr>
              <w:keepNext/>
              <w:spacing w:before="40" w:after="40" w:line="240" w:lineRule="auto"/>
              <w:jc w:val="left"/>
              <w:rPr>
                <w:sz w:val="18"/>
                <w:szCs w:val="18"/>
              </w:rPr>
            </w:pPr>
            <w:r w:rsidRPr="005B7205">
              <w:rPr>
                <w:sz w:val="18"/>
                <w:szCs w:val="18"/>
              </w:rPr>
              <w:t>Not estimated</w:t>
            </w:r>
            <w:r w:rsidR="00F134E0">
              <w:rPr>
                <w:sz w:val="18"/>
                <w:szCs w:val="18"/>
              </w:rPr>
              <w:t>.</w:t>
            </w:r>
          </w:p>
        </w:tc>
      </w:tr>
      <w:tr w:rsidR="00952628" w:rsidRPr="005B7205" w14:paraId="274DA503" w14:textId="77777777">
        <w:tc>
          <w:tcPr>
            <w:tcW w:w="2920" w:type="dxa"/>
          </w:tcPr>
          <w:p w14:paraId="1A9986A1" w14:textId="77777777" w:rsidR="00952628" w:rsidRPr="005B7205" w:rsidRDefault="00952628">
            <w:pPr>
              <w:spacing w:before="40" w:after="40" w:line="240" w:lineRule="auto"/>
              <w:jc w:val="left"/>
              <w:rPr>
                <w:sz w:val="18"/>
                <w:szCs w:val="18"/>
              </w:rPr>
            </w:pPr>
            <w:r w:rsidRPr="005B7205">
              <w:rPr>
                <w:sz w:val="18"/>
                <w:szCs w:val="18"/>
              </w:rPr>
              <w:t>National Environmental Standards for Commercial Forestry</w:t>
            </w:r>
          </w:p>
        </w:tc>
        <w:tc>
          <w:tcPr>
            <w:tcW w:w="5585" w:type="dxa"/>
          </w:tcPr>
          <w:p w14:paraId="0ECE9C44" w14:textId="1E848ADD" w:rsidR="00952628" w:rsidRPr="005B7205" w:rsidRDefault="00952628">
            <w:pPr>
              <w:keepNext/>
              <w:spacing w:before="40" w:after="40" w:line="240" w:lineRule="auto"/>
              <w:jc w:val="left"/>
              <w:rPr>
                <w:sz w:val="18"/>
                <w:szCs w:val="18"/>
              </w:rPr>
            </w:pPr>
            <w:r w:rsidRPr="005B7205">
              <w:rPr>
                <w:sz w:val="18"/>
                <w:szCs w:val="18"/>
              </w:rPr>
              <w:t>Not estimated</w:t>
            </w:r>
            <w:r w:rsidR="00F134E0">
              <w:rPr>
                <w:sz w:val="18"/>
                <w:szCs w:val="18"/>
              </w:rPr>
              <w:t>.</w:t>
            </w:r>
          </w:p>
        </w:tc>
      </w:tr>
      <w:tr w:rsidR="00952628" w:rsidRPr="005B7205" w14:paraId="2DF5B499" w14:textId="77777777">
        <w:tc>
          <w:tcPr>
            <w:tcW w:w="8505" w:type="dxa"/>
            <w:gridSpan w:val="2"/>
            <w:shd w:val="clear" w:color="auto" w:fill="D2DDE1" w:themeFill="background2"/>
          </w:tcPr>
          <w:p w14:paraId="68C0226E" w14:textId="77777777" w:rsidR="00952628" w:rsidRPr="005B7205" w:rsidRDefault="00952628">
            <w:pPr>
              <w:keepNext/>
              <w:spacing w:before="40" w:after="40" w:line="240" w:lineRule="auto"/>
              <w:jc w:val="left"/>
              <w:rPr>
                <w:sz w:val="18"/>
                <w:szCs w:val="18"/>
                <w:highlight w:val="yellow"/>
              </w:rPr>
            </w:pPr>
            <w:r w:rsidRPr="005B7205">
              <w:rPr>
                <w:b/>
                <w:bCs/>
                <w:sz w:val="18"/>
                <w:szCs w:val="18"/>
              </w:rPr>
              <w:t>Waste</w:t>
            </w:r>
          </w:p>
        </w:tc>
      </w:tr>
      <w:tr w:rsidR="00952628" w:rsidRPr="005B7205" w14:paraId="025CDF96" w14:textId="77777777">
        <w:tc>
          <w:tcPr>
            <w:tcW w:w="2920" w:type="dxa"/>
            <w:shd w:val="clear" w:color="auto" w:fill="auto"/>
          </w:tcPr>
          <w:p w14:paraId="461E14DE" w14:textId="77777777" w:rsidR="00952628" w:rsidRPr="005B7205" w:rsidRDefault="00952628">
            <w:pPr>
              <w:spacing w:before="40" w:after="40" w:line="240" w:lineRule="auto"/>
              <w:jc w:val="left"/>
              <w:rPr>
                <w:rFonts w:asciiTheme="minorHAnsi" w:hAnsiTheme="minorHAnsi"/>
                <w:sz w:val="18"/>
                <w:szCs w:val="18"/>
              </w:rPr>
            </w:pPr>
            <w:r w:rsidRPr="005B7205">
              <w:rPr>
                <w:rFonts w:asciiTheme="minorHAnsi" w:hAnsiTheme="minorHAnsi"/>
                <w:sz w:val="18"/>
                <w:szCs w:val="18"/>
              </w:rPr>
              <w:t>Food waste reduction (behaviour change)</w:t>
            </w:r>
          </w:p>
        </w:tc>
        <w:tc>
          <w:tcPr>
            <w:tcW w:w="5585" w:type="dxa"/>
            <w:shd w:val="clear" w:color="auto" w:fill="auto"/>
          </w:tcPr>
          <w:p w14:paraId="0B1366D6" w14:textId="163C05CB" w:rsidR="00952628" w:rsidRPr="005B7205" w:rsidRDefault="00952628">
            <w:pPr>
              <w:keepNext/>
              <w:spacing w:before="40" w:after="40" w:line="240" w:lineRule="auto"/>
              <w:jc w:val="left"/>
              <w:rPr>
                <w:rFonts w:asciiTheme="minorHAnsi" w:hAnsiTheme="minorHAnsi" w:cstheme="minorHAnsi"/>
                <w:sz w:val="18"/>
                <w:szCs w:val="18"/>
              </w:rPr>
            </w:pPr>
            <w:r w:rsidRPr="005B7205">
              <w:rPr>
                <w:sz w:val="18"/>
                <w:szCs w:val="18"/>
              </w:rPr>
              <w:t xml:space="preserve">Bottom-up estimates derived from inventory models were used to generate the waste estimates for Inventory 2024, in line with the 2006 IPCC Guidelines. </w:t>
            </w:r>
          </w:p>
        </w:tc>
      </w:tr>
      <w:tr w:rsidR="00952628" w:rsidRPr="005B7205" w14:paraId="3E58E427" w14:textId="77777777">
        <w:tc>
          <w:tcPr>
            <w:tcW w:w="2920" w:type="dxa"/>
            <w:shd w:val="clear" w:color="auto" w:fill="auto"/>
          </w:tcPr>
          <w:p w14:paraId="3FFA27AD" w14:textId="77777777" w:rsidR="00952628" w:rsidRPr="005B7205" w:rsidRDefault="00952628">
            <w:pPr>
              <w:spacing w:before="40" w:after="40" w:line="240" w:lineRule="auto"/>
              <w:jc w:val="left"/>
              <w:rPr>
                <w:rFonts w:asciiTheme="minorHAnsi" w:hAnsiTheme="minorHAnsi"/>
                <w:sz w:val="18"/>
                <w:szCs w:val="18"/>
              </w:rPr>
            </w:pPr>
            <w:r w:rsidRPr="005B7205">
              <w:rPr>
                <w:rFonts w:asciiTheme="minorHAnsi" w:hAnsiTheme="minorHAnsi"/>
                <w:sz w:val="18"/>
                <w:szCs w:val="18"/>
              </w:rPr>
              <w:t>Limits on organic waste disposal</w:t>
            </w:r>
          </w:p>
        </w:tc>
        <w:tc>
          <w:tcPr>
            <w:tcW w:w="5585" w:type="dxa"/>
            <w:shd w:val="clear" w:color="auto" w:fill="auto"/>
          </w:tcPr>
          <w:p w14:paraId="7AD0FBCD" w14:textId="77777777" w:rsidR="00952628" w:rsidRPr="005B7205" w:rsidRDefault="00952628">
            <w:pPr>
              <w:keepNext/>
              <w:spacing w:before="40" w:after="40" w:line="240" w:lineRule="auto"/>
              <w:jc w:val="left"/>
              <w:rPr>
                <w:sz w:val="18"/>
                <w:szCs w:val="18"/>
              </w:rPr>
            </w:pPr>
            <w:r w:rsidRPr="005B7205">
              <w:rPr>
                <w:sz w:val="18"/>
                <w:szCs w:val="18"/>
              </w:rPr>
              <w:t>Not estimated for the Biennial Transparency Report (BTR).</w:t>
            </w:r>
            <w:r>
              <w:rPr>
                <w:sz w:val="18"/>
                <w:szCs w:val="18"/>
              </w:rPr>
              <w:t xml:space="preserve"> </w:t>
            </w:r>
            <w:r w:rsidRPr="005B7205">
              <w:rPr>
                <w:sz w:val="18"/>
                <w:szCs w:val="18"/>
              </w:rPr>
              <w:t>Policy implementation uncertainty.</w:t>
            </w:r>
          </w:p>
        </w:tc>
      </w:tr>
      <w:tr w:rsidR="00952628" w:rsidRPr="005B7205" w14:paraId="777D3099" w14:textId="77777777">
        <w:tc>
          <w:tcPr>
            <w:tcW w:w="2920" w:type="dxa"/>
            <w:shd w:val="clear" w:color="auto" w:fill="auto"/>
          </w:tcPr>
          <w:p w14:paraId="73358F98" w14:textId="77777777" w:rsidR="00952628" w:rsidRPr="005B7205" w:rsidRDefault="00952628">
            <w:pPr>
              <w:spacing w:before="40" w:after="40" w:line="240" w:lineRule="auto"/>
              <w:jc w:val="left"/>
              <w:rPr>
                <w:rFonts w:asciiTheme="minorHAnsi" w:hAnsiTheme="minorHAnsi"/>
                <w:sz w:val="18"/>
                <w:szCs w:val="18"/>
              </w:rPr>
            </w:pPr>
            <w:r w:rsidRPr="005B7205">
              <w:rPr>
                <w:rFonts w:asciiTheme="minorHAnsi" w:hAnsiTheme="minorHAnsi"/>
                <w:sz w:val="18"/>
                <w:szCs w:val="18"/>
              </w:rPr>
              <w:t xml:space="preserve">Kerbside expansion </w:t>
            </w:r>
          </w:p>
        </w:tc>
        <w:tc>
          <w:tcPr>
            <w:tcW w:w="5585" w:type="dxa"/>
            <w:shd w:val="clear" w:color="auto" w:fill="auto"/>
          </w:tcPr>
          <w:p w14:paraId="68D2BBD8" w14:textId="77777777" w:rsidR="00952628" w:rsidRPr="005B7205" w:rsidRDefault="00952628">
            <w:pPr>
              <w:keepNext/>
              <w:spacing w:before="40" w:after="40" w:line="240" w:lineRule="auto"/>
              <w:jc w:val="left"/>
              <w:rPr>
                <w:sz w:val="18"/>
                <w:szCs w:val="18"/>
              </w:rPr>
            </w:pPr>
            <w:r w:rsidRPr="005B7205">
              <w:rPr>
                <w:sz w:val="18"/>
                <w:szCs w:val="18"/>
              </w:rPr>
              <w:t>Not estimated for the BTR.</w:t>
            </w:r>
            <w:r>
              <w:rPr>
                <w:sz w:val="18"/>
                <w:szCs w:val="18"/>
              </w:rPr>
              <w:t xml:space="preserve"> </w:t>
            </w:r>
            <w:r w:rsidRPr="005B7205">
              <w:rPr>
                <w:sz w:val="18"/>
                <w:szCs w:val="18"/>
              </w:rPr>
              <w:t>Policy implementation uncertainty.</w:t>
            </w:r>
          </w:p>
        </w:tc>
      </w:tr>
      <w:tr w:rsidR="00952628" w:rsidRPr="005B7205" w14:paraId="256E5108" w14:textId="77777777">
        <w:tc>
          <w:tcPr>
            <w:tcW w:w="2920" w:type="dxa"/>
            <w:shd w:val="clear" w:color="auto" w:fill="auto"/>
          </w:tcPr>
          <w:p w14:paraId="18BE4356" w14:textId="77777777" w:rsidR="00952628" w:rsidRPr="005B7205" w:rsidRDefault="00952628">
            <w:pPr>
              <w:spacing w:before="40" w:after="40" w:line="240" w:lineRule="auto"/>
              <w:jc w:val="left"/>
              <w:rPr>
                <w:rFonts w:asciiTheme="minorHAnsi" w:hAnsiTheme="minorHAnsi"/>
                <w:sz w:val="18"/>
                <w:szCs w:val="18"/>
              </w:rPr>
            </w:pPr>
            <w:r w:rsidRPr="005B7205">
              <w:rPr>
                <w:rFonts w:asciiTheme="minorHAnsi" w:hAnsiTheme="minorHAnsi"/>
                <w:sz w:val="18"/>
                <w:szCs w:val="18"/>
              </w:rPr>
              <w:t>Paper waste diversion (business)</w:t>
            </w:r>
          </w:p>
        </w:tc>
        <w:tc>
          <w:tcPr>
            <w:tcW w:w="5585" w:type="dxa"/>
            <w:shd w:val="clear" w:color="auto" w:fill="auto"/>
          </w:tcPr>
          <w:p w14:paraId="562A077E" w14:textId="77777777" w:rsidR="00952628" w:rsidRPr="005B7205" w:rsidRDefault="00952628">
            <w:pPr>
              <w:keepNext/>
              <w:spacing w:before="40" w:after="40" w:line="240" w:lineRule="auto"/>
              <w:jc w:val="left"/>
              <w:rPr>
                <w:sz w:val="18"/>
                <w:szCs w:val="18"/>
              </w:rPr>
            </w:pPr>
            <w:r w:rsidRPr="005B7205">
              <w:rPr>
                <w:sz w:val="18"/>
                <w:szCs w:val="18"/>
              </w:rPr>
              <w:t>Not estimated for the BTR.</w:t>
            </w:r>
            <w:r>
              <w:rPr>
                <w:sz w:val="18"/>
                <w:szCs w:val="18"/>
              </w:rPr>
              <w:t xml:space="preserve"> </w:t>
            </w:r>
            <w:r w:rsidRPr="005B7205">
              <w:rPr>
                <w:sz w:val="18"/>
                <w:szCs w:val="18"/>
              </w:rPr>
              <w:t>Policy implementation uncertainty.</w:t>
            </w:r>
          </w:p>
        </w:tc>
      </w:tr>
      <w:tr w:rsidR="00952628" w:rsidRPr="005B7205" w14:paraId="1255D0DB" w14:textId="77777777">
        <w:tc>
          <w:tcPr>
            <w:tcW w:w="2920" w:type="dxa"/>
            <w:shd w:val="clear" w:color="auto" w:fill="auto"/>
          </w:tcPr>
          <w:p w14:paraId="142754BC" w14:textId="77777777" w:rsidR="00952628" w:rsidRPr="005B7205" w:rsidRDefault="00952628">
            <w:pPr>
              <w:spacing w:before="40" w:after="40" w:line="240" w:lineRule="auto"/>
              <w:jc w:val="left"/>
              <w:rPr>
                <w:rFonts w:asciiTheme="minorHAnsi" w:hAnsiTheme="minorHAnsi"/>
                <w:sz w:val="18"/>
                <w:szCs w:val="18"/>
              </w:rPr>
            </w:pPr>
            <w:r w:rsidRPr="005B7205">
              <w:rPr>
                <w:rFonts w:asciiTheme="minorHAnsi" w:hAnsiTheme="minorHAnsi"/>
                <w:sz w:val="18"/>
                <w:szCs w:val="18"/>
              </w:rPr>
              <w:t>Wood waste reduction and diversion</w:t>
            </w:r>
          </w:p>
        </w:tc>
        <w:tc>
          <w:tcPr>
            <w:tcW w:w="5585" w:type="dxa"/>
            <w:shd w:val="clear" w:color="auto" w:fill="auto"/>
          </w:tcPr>
          <w:p w14:paraId="43EA65F2" w14:textId="17B6ED74" w:rsidR="00952628" w:rsidRPr="005B7205" w:rsidRDefault="00952628">
            <w:pPr>
              <w:keepNext/>
              <w:spacing w:before="40" w:after="40" w:line="240" w:lineRule="auto"/>
              <w:jc w:val="left"/>
              <w:rPr>
                <w:sz w:val="18"/>
                <w:szCs w:val="18"/>
              </w:rPr>
            </w:pPr>
            <w:r w:rsidRPr="005B7205">
              <w:rPr>
                <w:sz w:val="18"/>
                <w:szCs w:val="18"/>
              </w:rPr>
              <w:t xml:space="preserve">Bottom-up estimates derived from inventory models were used to generate the waste estimates for Inventory 2024, in line with the 2006 IPCC Guidelines. </w:t>
            </w:r>
          </w:p>
        </w:tc>
      </w:tr>
      <w:tr w:rsidR="00952628" w:rsidRPr="005B7205" w14:paraId="0CCCD30D" w14:textId="77777777">
        <w:tc>
          <w:tcPr>
            <w:tcW w:w="2920" w:type="dxa"/>
            <w:shd w:val="clear" w:color="auto" w:fill="auto"/>
          </w:tcPr>
          <w:p w14:paraId="013A102B" w14:textId="77777777" w:rsidR="00952628" w:rsidRPr="005B7205" w:rsidRDefault="00952628">
            <w:pPr>
              <w:spacing w:before="40" w:after="40" w:line="240" w:lineRule="auto"/>
              <w:jc w:val="left"/>
              <w:rPr>
                <w:rFonts w:asciiTheme="minorHAnsi" w:hAnsiTheme="minorHAnsi"/>
                <w:sz w:val="18"/>
                <w:szCs w:val="18"/>
              </w:rPr>
            </w:pPr>
            <w:r w:rsidRPr="005B7205">
              <w:rPr>
                <w:rFonts w:asciiTheme="minorHAnsi" w:hAnsiTheme="minorHAnsi"/>
                <w:sz w:val="18"/>
                <w:szCs w:val="18"/>
              </w:rPr>
              <w:t>Landfill gas capture expansion</w:t>
            </w:r>
          </w:p>
        </w:tc>
        <w:tc>
          <w:tcPr>
            <w:tcW w:w="5585" w:type="dxa"/>
            <w:shd w:val="clear" w:color="auto" w:fill="auto"/>
          </w:tcPr>
          <w:p w14:paraId="2B8AF459" w14:textId="77777777" w:rsidR="00952628" w:rsidRPr="005B7205" w:rsidRDefault="00952628">
            <w:pPr>
              <w:keepNext/>
              <w:spacing w:before="40" w:after="40" w:line="240" w:lineRule="auto"/>
              <w:jc w:val="left"/>
              <w:rPr>
                <w:sz w:val="18"/>
                <w:szCs w:val="18"/>
              </w:rPr>
            </w:pPr>
            <w:r w:rsidRPr="005B7205">
              <w:rPr>
                <w:sz w:val="18"/>
                <w:szCs w:val="18"/>
              </w:rPr>
              <w:t xml:space="preserve">Not estimated for the BTR. Policy implementation uncertainty. </w:t>
            </w:r>
          </w:p>
        </w:tc>
      </w:tr>
      <w:tr w:rsidR="00952628" w:rsidRPr="005B7205" w14:paraId="79F38BA2" w14:textId="77777777">
        <w:tc>
          <w:tcPr>
            <w:tcW w:w="2920" w:type="dxa"/>
          </w:tcPr>
          <w:p w14:paraId="28C95B19" w14:textId="64839C39" w:rsidR="00952628" w:rsidRPr="005B7205" w:rsidRDefault="00611D1F">
            <w:pPr>
              <w:spacing w:before="40" w:after="40" w:line="240" w:lineRule="auto"/>
              <w:jc w:val="left"/>
              <w:rPr>
                <w:sz w:val="18"/>
                <w:szCs w:val="18"/>
              </w:rPr>
            </w:pPr>
            <w:r>
              <w:rPr>
                <w:sz w:val="18"/>
                <w:szCs w:val="18"/>
              </w:rPr>
              <w:t>Waste disposal levy</w:t>
            </w:r>
            <w:r w:rsidR="00952628" w:rsidRPr="005B7205">
              <w:rPr>
                <w:sz w:val="18"/>
                <w:szCs w:val="18"/>
              </w:rPr>
              <w:t xml:space="preserve"> under the Waste Minimisation Act 2008</w:t>
            </w:r>
          </w:p>
        </w:tc>
        <w:tc>
          <w:tcPr>
            <w:tcW w:w="5585" w:type="dxa"/>
          </w:tcPr>
          <w:p w14:paraId="4FB8A735" w14:textId="5FC0312A" w:rsidR="00952628" w:rsidRPr="005B7205" w:rsidRDefault="00952628">
            <w:pPr>
              <w:keepNext/>
              <w:spacing w:before="40" w:after="40" w:line="240" w:lineRule="auto"/>
              <w:jc w:val="left"/>
              <w:rPr>
                <w:sz w:val="18"/>
                <w:szCs w:val="18"/>
              </w:rPr>
            </w:pPr>
            <w:r w:rsidRPr="005B7205">
              <w:rPr>
                <w:sz w:val="18"/>
                <w:szCs w:val="18"/>
              </w:rPr>
              <w:t xml:space="preserve">Bottom-up estimates derived from inventory models were used to generate the waste estimates for Inventory 2024, in line with the 2006 IPCC Guidelines. </w:t>
            </w:r>
          </w:p>
        </w:tc>
      </w:tr>
      <w:tr w:rsidR="00952628" w:rsidRPr="005B7205" w14:paraId="0D509150" w14:textId="77777777">
        <w:tc>
          <w:tcPr>
            <w:tcW w:w="2920" w:type="dxa"/>
          </w:tcPr>
          <w:p w14:paraId="0F40B340" w14:textId="77777777" w:rsidR="00952628" w:rsidRPr="005B7205" w:rsidRDefault="00952628">
            <w:pPr>
              <w:spacing w:before="40" w:after="40" w:line="240" w:lineRule="auto"/>
              <w:jc w:val="left"/>
              <w:rPr>
                <w:sz w:val="18"/>
                <w:szCs w:val="18"/>
              </w:rPr>
            </w:pPr>
            <w:r w:rsidRPr="005B7205">
              <w:rPr>
                <w:sz w:val="18"/>
                <w:szCs w:val="18"/>
              </w:rPr>
              <w:t xml:space="preserve">Waste Minimisation Fund </w:t>
            </w:r>
          </w:p>
        </w:tc>
        <w:tc>
          <w:tcPr>
            <w:tcW w:w="5585" w:type="dxa"/>
          </w:tcPr>
          <w:p w14:paraId="40295938" w14:textId="2B70C0EF" w:rsidR="00952628" w:rsidRPr="005B7205" w:rsidRDefault="00952628">
            <w:pPr>
              <w:keepNext/>
              <w:spacing w:before="40" w:after="40" w:line="240" w:lineRule="auto"/>
              <w:jc w:val="left"/>
              <w:rPr>
                <w:sz w:val="18"/>
                <w:szCs w:val="18"/>
              </w:rPr>
            </w:pPr>
            <w:r w:rsidRPr="005B7205">
              <w:rPr>
                <w:sz w:val="18"/>
                <w:szCs w:val="18"/>
              </w:rPr>
              <w:t>Not estimated for the BTR.</w:t>
            </w:r>
            <w:r>
              <w:rPr>
                <w:sz w:val="18"/>
                <w:szCs w:val="18"/>
              </w:rPr>
              <w:t xml:space="preserve"> </w:t>
            </w:r>
            <w:r w:rsidRPr="005B7205">
              <w:rPr>
                <w:sz w:val="18"/>
                <w:szCs w:val="18"/>
              </w:rPr>
              <w:t>Policy implementation uncertainty</w:t>
            </w:r>
            <w:r w:rsidR="00E63EAD">
              <w:rPr>
                <w:sz w:val="18"/>
                <w:szCs w:val="18"/>
              </w:rPr>
              <w:t>.</w:t>
            </w:r>
          </w:p>
        </w:tc>
      </w:tr>
      <w:tr w:rsidR="00952628" w:rsidRPr="005B7205" w14:paraId="3D05FE73" w14:textId="77777777">
        <w:tc>
          <w:tcPr>
            <w:tcW w:w="2920" w:type="dxa"/>
            <w:vAlign w:val="center"/>
          </w:tcPr>
          <w:p w14:paraId="66E366FA" w14:textId="77777777" w:rsidR="00952628" w:rsidRPr="005B7205" w:rsidRDefault="00952628">
            <w:pPr>
              <w:spacing w:before="40" w:after="40" w:line="240" w:lineRule="auto"/>
              <w:jc w:val="left"/>
              <w:rPr>
                <w:sz w:val="18"/>
                <w:szCs w:val="18"/>
              </w:rPr>
            </w:pPr>
            <w:r w:rsidRPr="005B7205">
              <w:rPr>
                <w:sz w:val="18"/>
                <w:szCs w:val="18"/>
              </w:rPr>
              <w:t xml:space="preserve">Product Stewardship </w:t>
            </w:r>
          </w:p>
        </w:tc>
        <w:tc>
          <w:tcPr>
            <w:tcW w:w="5585" w:type="dxa"/>
          </w:tcPr>
          <w:p w14:paraId="3CF27883" w14:textId="2E9BA810" w:rsidR="00952628" w:rsidRPr="005B7205" w:rsidRDefault="00952628">
            <w:pPr>
              <w:keepNext/>
              <w:spacing w:before="40" w:after="40" w:line="240" w:lineRule="auto"/>
              <w:jc w:val="left"/>
              <w:rPr>
                <w:sz w:val="18"/>
                <w:szCs w:val="18"/>
              </w:rPr>
            </w:pPr>
            <w:r w:rsidRPr="005B7205">
              <w:rPr>
                <w:sz w:val="18"/>
                <w:szCs w:val="18"/>
              </w:rPr>
              <w:t>Not estimated for the BTR.</w:t>
            </w:r>
            <w:r>
              <w:rPr>
                <w:sz w:val="18"/>
                <w:szCs w:val="18"/>
              </w:rPr>
              <w:t xml:space="preserve"> </w:t>
            </w:r>
            <w:r w:rsidRPr="005B7205">
              <w:rPr>
                <w:sz w:val="18"/>
                <w:szCs w:val="18"/>
              </w:rPr>
              <w:t>Policy implementation uncertainty</w:t>
            </w:r>
            <w:r w:rsidR="00E63EAD">
              <w:rPr>
                <w:sz w:val="18"/>
                <w:szCs w:val="18"/>
              </w:rPr>
              <w:t>.</w:t>
            </w:r>
          </w:p>
        </w:tc>
      </w:tr>
      <w:tr w:rsidR="00952628" w:rsidRPr="005B7205" w14:paraId="56ABD3F9" w14:textId="77777777">
        <w:tc>
          <w:tcPr>
            <w:tcW w:w="2920" w:type="dxa"/>
          </w:tcPr>
          <w:p w14:paraId="29FF58D8" w14:textId="77777777" w:rsidR="00952628" w:rsidRPr="005B7205" w:rsidRDefault="00952628">
            <w:pPr>
              <w:spacing w:before="40" w:after="40" w:line="240" w:lineRule="auto"/>
              <w:jc w:val="left"/>
              <w:rPr>
                <w:sz w:val="18"/>
                <w:szCs w:val="18"/>
              </w:rPr>
            </w:pPr>
            <w:r w:rsidRPr="005B7205">
              <w:rPr>
                <w:sz w:val="18"/>
                <w:szCs w:val="18"/>
              </w:rPr>
              <w:t xml:space="preserve">National Environmental Standard for Air Quality </w:t>
            </w:r>
          </w:p>
        </w:tc>
        <w:tc>
          <w:tcPr>
            <w:tcW w:w="5585" w:type="dxa"/>
          </w:tcPr>
          <w:p w14:paraId="440032DB" w14:textId="6B2AF0AC" w:rsidR="00952628" w:rsidRPr="005B7205" w:rsidRDefault="00E640D7">
            <w:pPr>
              <w:keepNext/>
              <w:spacing w:before="40" w:after="40" w:line="240" w:lineRule="auto"/>
              <w:jc w:val="left"/>
              <w:rPr>
                <w:sz w:val="18"/>
                <w:szCs w:val="18"/>
              </w:rPr>
            </w:pPr>
            <w:r>
              <w:rPr>
                <w:sz w:val="18"/>
                <w:szCs w:val="18"/>
              </w:rPr>
              <w:t>Included elsewhere. Abatement impact is included within NZ ETS – impact on waste sector emissions.</w:t>
            </w:r>
          </w:p>
        </w:tc>
      </w:tr>
      <w:tr w:rsidR="00952628" w:rsidRPr="005B7205" w14:paraId="452B8C0A" w14:textId="77777777">
        <w:tc>
          <w:tcPr>
            <w:tcW w:w="8505" w:type="dxa"/>
            <w:gridSpan w:val="2"/>
            <w:shd w:val="clear" w:color="auto" w:fill="D2DDE1" w:themeFill="background2"/>
          </w:tcPr>
          <w:p w14:paraId="18EFDE30" w14:textId="77777777" w:rsidR="00952628" w:rsidRPr="005B7205" w:rsidRDefault="00952628">
            <w:pPr>
              <w:keepNext/>
              <w:spacing w:before="40" w:after="40" w:line="240" w:lineRule="auto"/>
              <w:jc w:val="left"/>
              <w:rPr>
                <w:b/>
                <w:bCs/>
                <w:sz w:val="18"/>
                <w:szCs w:val="18"/>
              </w:rPr>
            </w:pPr>
            <w:r w:rsidRPr="005B7205">
              <w:rPr>
                <w:b/>
                <w:bCs/>
                <w:sz w:val="18"/>
                <w:szCs w:val="18"/>
              </w:rPr>
              <w:t>Public sector leadership</w:t>
            </w:r>
          </w:p>
        </w:tc>
      </w:tr>
      <w:tr w:rsidR="00952628" w:rsidRPr="005B7205" w14:paraId="43717C59" w14:textId="77777777">
        <w:tc>
          <w:tcPr>
            <w:tcW w:w="2920" w:type="dxa"/>
          </w:tcPr>
          <w:p w14:paraId="32A822BE" w14:textId="77777777" w:rsidR="00952628" w:rsidRPr="005B7205" w:rsidRDefault="00952628">
            <w:pPr>
              <w:keepNext/>
              <w:spacing w:before="40" w:after="40" w:line="240" w:lineRule="auto"/>
              <w:jc w:val="left"/>
              <w:rPr>
                <w:sz w:val="18"/>
                <w:szCs w:val="18"/>
              </w:rPr>
            </w:pPr>
            <w:r w:rsidRPr="005B7205">
              <w:rPr>
                <w:sz w:val="18"/>
                <w:szCs w:val="18"/>
              </w:rPr>
              <w:t>Carbon Neutral Government Programme</w:t>
            </w:r>
          </w:p>
        </w:tc>
        <w:tc>
          <w:tcPr>
            <w:tcW w:w="5585" w:type="dxa"/>
            <w:vMerge w:val="restart"/>
          </w:tcPr>
          <w:p w14:paraId="5CE47536" w14:textId="2AE12FC9" w:rsidR="00952628" w:rsidRPr="00A92047" w:rsidRDefault="00952628">
            <w:pPr>
              <w:keepNext/>
              <w:spacing w:before="40" w:after="40" w:line="240" w:lineRule="auto"/>
              <w:jc w:val="left"/>
              <w:rPr>
                <w:rFonts w:cs="Calibri"/>
                <w:sz w:val="18"/>
                <w:szCs w:val="18"/>
                <w:lang w:eastAsia="en-US"/>
              </w:rPr>
            </w:pPr>
            <w:r w:rsidRPr="005B7205">
              <w:rPr>
                <w:sz w:val="18"/>
                <w:szCs w:val="18"/>
              </w:rPr>
              <w:t xml:space="preserve">Not estimated. </w:t>
            </w:r>
            <w:r w:rsidRPr="005B7205">
              <w:rPr>
                <w:rFonts w:cs="Calibri"/>
                <w:sz w:val="18"/>
                <w:szCs w:val="18"/>
              </w:rPr>
              <w:t>No direct abatements associated.</w:t>
            </w:r>
          </w:p>
        </w:tc>
      </w:tr>
      <w:tr w:rsidR="00952628" w:rsidRPr="005B7205" w14:paraId="4E983ABA" w14:textId="77777777">
        <w:tc>
          <w:tcPr>
            <w:tcW w:w="2920" w:type="dxa"/>
          </w:tcPr>
          <w:p w14:paraId="73BC331A" w14:textId="77777777" w:rsidR="00952628" w:rsidRPr="005B7205" w:rsidRDefault="00952628">
            <w:pPr>
              <w:spacing w:before="40" w:after="40" w:line="240" w:lineRule="auto"/>
              <w:jc w:val="left"/>
              <w:rPr>
                <w:sz w:val="18"/>
                <w:szCs w:val="18"/>
              </w:rPr>
            </w:pPr>
            <w:r w:rsidRPr="005B7205">
              <w:rPr>
                <w:sz w:val="18"/>
                <w:szCs w:val="18"/>
              </w:rPr>
              <w:t>Sustainable Government Procurement</w:t>
            </w:r>
          </w:p>
        </w:tc>
        <w:tc>
          <w:tcPr>
            <w:tcW w:w="5585" w:type="dxa"/>
            <w:vMerge/>
          </w:tcPr>
          <w:p w14:paraId="1601654F" w14:textId="77777777" w:rsidR="00952628" w:rsidRPr="005B7205" w:rsidRDefault="00952628">
            <w:pPr>
              <w:keepNext/>
              <w:spacing w:before="40" w:after="40" w:line="240" w:lineRule="auto"/>
              <w:jc w:val="left"/>
              <w:rPr>
                <w:sz w:val="18"/>
                <w:szCs w:val="18"/>
              </w:rPr>
            </w:pPr>
          </w:p>
        </w:tc>
      </w:tr>
      <w:tr w:rsidR="00952628" w:rsidRPr="005B7205" w14:paraId="1BAEAA44" w14:textId="77777777">
        <w:tc>
          <w:tcPr>
            <w:tcW w:w="2920" w:type="dxa"/>
          </w:tcPr>
          <w:p w14:paraId="4111BFCC" w14:textId="77777777" w:rsidR="00952628" w:rsidRPr="005B7205" w:rsidRDefault="00952628">
            <w:pPr>
              <w:spacing w:before="40" w:after="40" w:line="240" w:lineRule="auto"/>
              <w:jc w:val="left"/>
              <w:rPr>
                <w:sz w:val="18"/>
                <w:szCs w:val="18"/>
              </w:rPr>
            </w:pPr>
            <w:r w:rsidRPr="005B7205">
              <w:rPr>
                <w:rFonts w:cs="Calibri"/>
                <w:color w:val="000000"/>
                <w:sz w:val="18"/>
                <w:szCs w:val="18"/>
              </w:rPr>
              <w:t>Climate implications of policy assessment</w:t>
            </w:r>
          </w:p>
        </w:tc>
        <w:tc>
          <w:tcPr>
            <w:tcW w:w="5585" w:type="dxa"/>
            <w:vMerge/>
          </w:tcPr>
          <w:p w14:paraId="60F7C0DC" w14:textId="77777777" w:rsidR="00952628" w:rsidRPr="005B7205" w:rsidRDefault="00952628">
            <w:pPr>
              <w:keepNext/>
              <w:spacing w:before="40" w:after="40" w:line="240" w:lineRule="auto"/>
              <w:jc w:val="left"/>
              <w:rPr>
                <w:sz w:val="18"/>
                <w:szCs w:val="18"/>
              </w:rPr>
            </w:pPr>
          </w:p>
        </w:tc>
      </w:tr>
    </w:tbl>
    <w:p w14:paraId="05DBDEEB" w14:textId="608BDA1B" w:rsidR="009C09AB" w:rsidRPr="009C09AB" w:rsidRDefault="009C09AB" w:rsidP="00A7718E">
      <w:pPr>
        <w:pStyle w:val="BodyText"/>
      </w:pPr>
    </w:p>
    <w:sectPr w:rsidR="009C09AB" w:rsidRPr="009C09AB" w:rsidSect="00952628">
      <w:headerReference w:type="even" r:id="rId221"/>
      <w:headerReference w:type="default" r:id="rId222"/>
      <w:footerReference w:type="even" r:id="rId223"/>
      <w:footerReference w:type="default" r:id="rId224"/>
      <w:headerReference w:type="first" r:id="rId225"/>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F62AF1" w14:textId="77777777" w:rsidR="002F2B79" w:rsidRDefault="002F2B79" w:rsidP="0080531E">
      <w:pPr>
        <w:spacing w:before="0" w:after="0" w:line="240" w:lineRule="auto"/>
      </w:pPr>
      <w:r>
        <w:separator/>
      </w:r>
    </w:p>
    <w:p w14:paraId="36DA2D67" w14:textId="77777777" w:rsidR="002F2B79" w:rsidRDefault="002F2B79"/>
  </w:endnote>
  <w:endnote w:type="continuationSeparator" w:id="0">
    <w:p w14:paraId="5D2441E2" w14:textId="77777777" w:rsidR="002F2B79" w:rsidRDefault="002F2B79" w:rsidP="0080531E">
      <w:pPr>
        <w:spacing w:before="0" w:after="0" w:line="240" w:lineRule="auto"/>
      </w:pPr>
      <w:r>
        <w:continuationSeparator/>
      </w:r>
    </w:p>
    <w:p w14:paraId="53005A2F" w14:textId="77777777" w:rsidR="002F2B79" w:rsidRDefault="002F2B79"/>
  </w:endnote>
  <w:endnote w:type="continuationNotice" w:id="1">
    <w:p w14:paraId="7BDD1F71" w14:textId="77777777" w:rsidR="002F2B79" w:rsidRDefault="002F2B7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Lato">
    <w:charset w:val="00"/>
    <w:family w:val="swiss"/>
    <w:pitch w:val="variable"/>
    <w:sig w:usb0="E10002FF" w:usb1="5000ECFF" w:usb2="00000021" w:usb3="00000000" w:csb0="0000019F" w:csb1="00000000"/>
  </w:font>
  <w:font w:name="Arial Narrow">
    <w:charset w:val="00"/>
    <w:family w:val="swiss"/>
    <w:pitch w:val="variable"/>
    <w:sig w:usb0="00000287" w:usb1="00000800" w:usb2="00000000" w:usb3="00000000" w:csb0="0000009F" w:csb1="00000000"/>
  </w:font>
  <w:font w:name="MS Mincho">
    <w:altName w:val="ＭＳ 明朝"/>
    <w:panose1 w:val="02020609040205080304"/>
    <w:charset w:val="80"/>
    <w:family w:val="roman"/>
    <w:pitch w:val="fixed"/>
    <w:sig w:usb0="00000001" w:usb1="08070000" w:usb2="00000010" w:usb3="00000000" w:csb0="00020000"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Arial Bold">
    <w:panose1 w:val="00000000000000000000"/>
    <w:charset w:val="00"/>
    <w:family w:val="roman"/>
    <w:notTrueType/>
    <w:pitch w:val="default"/>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Malgun Gothic Semilight">
    <w:charset w:val="80"/>
    <w:family w:val="swiss"/>
    <w:pitch w:val="variable"/>
    <w:sig w:usb0="B0000AAF" w:usb1="09DF7CFB" w:usb2="00000012" w:usb3="00000000" w:csb0="003E01BD" w:csb1="00000000"/>
  </w:font>
  <w:font w:name="Segoe UI Semibold">
    <w:panose1 w:val="020B0702040204020203"/>
    <w:charset w:val="00"/>
    <w:family w:val="swiss"/>
    <w:pitch w:val="variable"/>
    <w:sig w:usb0="E4002EFF" w:usb1="C000E47F" w:usb2="00000009" w:usb3="00000000" w:csb0="000001FF" w:csb1="00000000"/>
  </w:font>
  <w:font w:name="Aptos Narrow">
    <w:altName w:val="Calibri"/>
    <w:charset w:val="00"/>
    <w:family w:val="swiss"/>
    <w:pitch w:val="variable"/>
    <w:sig w:usb0="20000287" w:usb1="00000003" w:usb2="00000000" w:usb3="00000000" w:csb0="0000019F" w:csb1="00000000"/>
  </w:font>
  <w:font w:name="Calibri-Italic">
    <w:altName w:val="Calibri"/>
    <w:panose1 w:val="00000000000000000000"/>
    <w:charset w:val="00"/>
    <w:family w:val="swiss"/>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2719D4" w14:textId="77777777" w:rsidR="00E5210B" w:rsidRDefault="009F1D7F" w:rsidP="009F1D7F">
    <w:pPr>
      <w:spacing w:before="0" w:after="0" w:line="240" w:lineRule="auto"/>
      <w:jc w:val="left"/>
    </w:pPr>
    <w:r>
      <w:rPr>
        <w:b/>
        <w:bCs/>
        <w:noProof/>
      </w:rPr>
      <w:drawing>
        <wp:inline distT="0" distB="0" distL="0" distR="0" wp14:anchorId="26C00F93" wp14:editId="31225272">
          <wp:extent cx="2239911" cy="538480"/>
          <wp:effectExtent l="0" t="0" r="0" b="0"/>
          <wp:docPr id="16" name="Picture 1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a:picLocks noChangeAspect="1" noChangeArrowheads="1"/>
                  </pic:cNvPicPr>
                </pic:nvPicPr>
                <pic:blipFill rotWithShape="1">
                  <a:blip r:embed="rId1">
                    <a:extLst>
                      <a:ext uri="{28A0092B-C50C-407E-A947-70E740481C1C}">
                        <a14:useLocalDpi xmlns:a14="http://schemas.microsoft.com/office/drawing/2010/main" val="0"/>
                      </a:ext>
                    </a:extLst>
                  </a:blip>
                  <a:srcRect l="3163"/>
                  <a:stretch/>
                </pic:blipFill>
                <pic:spPr bwMode="auto">
                  <a:xfrm>
                    <a:off x="0" y="0"/>
                    <a:ext cx="2319270" cy="557558"/>
                  </a:xfrm>
                  <a:prstGeom prst="rect">
                    <a:avLst/>
                  </a:prstGeom>
                  <a:noFill/>
                  <a:ln>
                    <a:noFill/>
                  </a:ln>
                  <a:extLst>
                    <a:ext uri="{53640926-AAD7-44D8-BBD7-CCE9431645EC}">
                      <a14:shadowObscured xmlns:a14="http://schemas.microsoft.com/office/drawing/2010/main"/>
                    </a:ext>
                  </a:extLst>
                </pic:spPr>
              </pic:pic>
            </a:graphicData>
          </a:graphic>
        </wp:inline>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A29735" w14:textId="3160CD67" w:rsidR="00FD315F" w:rsidRDefault="00FD315F" w:rsidP="00CD25E1">
    <w:pPr>
      <w:pStyle w:val="Footerodd"/>
    </w:pPr>
    <w:r>
      <w:tab/>
      <w:t>Executive summary</w:t>
    </w:r>
    <w:r>
      <w:tab/>
    </w:r>
    <w:r>
      <w:fldChar w:fldCharType="begin"/>
    </w:r>
    <w:r>
      <w:instrText xml:space="preserve"> PAGE   \* MERGEFORMAT </w:instrText>
    </w:r>
    <w:r>
      <w:fldChar w:fldCharType="separate"/>
    </w:r>
    <w:r>
      <w:rPr>
        <w:noProof/>
      </w:rPr>
      <w:t>7</w:t>
    </w:r>
    <w:r>
      <w:rPr>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949B96" w14:textId="10ADFBE4" w:rsidR="008A3E6D" w:rsidRDefault="008A3E6D" w:rsidP="00446689">
    <w:pPr>
      <w:pStyle w:val="Footerodd"/>
    </w:pPr>
    <w:r>
      <w:tab/>
    </w:r>
    <w:r w:rsidR="00DE1C72" w:rsidRPr="00DE1C72">
      <w:t>National inventory report of anthropogenic emissions by sources and removals by sinks of greenhouse gases</w:t>
    </w:r>
    <w:r>
      <w:tab/>
    </w:r>
    <w:r>
      <w:fldChar w:fldCharType="begin"/>
    </w:r>
    <w:r>
      <w:instrText xml:space="preserve"> PAGE   \* MERGEFORMAT </w:instrText>
    </w:r>
    <w:r>
      <w:fldChar w:fldCharType="separate"/>
    </w:r>
    <w:r>
      <w:rPr>
        <w:noProof/>
      </w:rPr>
      <w:t>7</w:t>
    </w:r>
    <w:r>
      <w:rPr>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BB79B9" w14:textId="77777777" w:rsidR="00EF3A77" w:rsidRDefault="00EF3A77" w:rsidP="00CD25E1">
    <w:pPr>
      <w:pStyle w:val="Footereven"/>
    </w:pPr>
    <w:r w:rsidRPr="004F458A">
      <w:rPr>
        <w:b/>
      </w:rPr>
      <w:fldChar w:fldCharType="begin"/>
    </w:r>
    <w:r w:rsidRPr="004F458A">
      <w:instrText xml:space="preserve"> PAGE </w:instrText>
    </w:r>
    <w:r w:rsidRPr="004F458A">
      <w:rPr>
        <w:b/>
      </w:rPr>
      <w:fldChar w:fldCharType="separate"/>
    </w:r>
    <w:r>
      <w:rPr>
        <w:noProof/>
      </w:rPr>
      <w:t>8</w:t>
    </w:r>
    <w:r w:rsidRPr="004F458A">
      <w:rPr>
        <w:b/>
      </w:rPr>
      <w:fldChar w:fldCharType="end"/>
    </w:r>
    <w:r>
      <w:tab/>
    </w:r>
    <w:r w:rsidRPr="00FD315F">
      <w:t>New Zealand’s first Biennial Transparency Report under the Paris Agreement</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4F4A8B" w14:textId="64B3B8FA" w:rsidR="00EF3A77" w:rsidRDefault="00EF3A77" w:rsidP="00CD25E1">
    <w:pPr>
      <w:pStyle w:val="Footerodd"/>
    </w:pPr>
    <w:r>
      <w:tab/>
    </w:r>
    <w:r w:rsidR="00E62246" w:rsidRPr="00E62246">
      <w:t>National circumstances and institutional arrangements</w:t>
    </w:r>
    <w:r>
      <w:tab/>
    </w:r>
    <w:r>
      <w:fldChar w:fldCharType="begin"/>
    </w:r>
    <w:r>
      <w:instrText xml:space="preserve"> PAGE   \* MERGEFORMAT </w:instrText>
    </w:r>
    <w:r>
      <w:fldChar w:fldCharType="separate"/>
    </w:r>
    <w:r>
      <w:rPr>
        <w:noProof/>
      </w:rPr>
      <w:t>7</w:t>
    </w:r>
    <w:r>
      <w:rPr>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BBB38B" w14:textId="77777777" w:rsidR="00A8128F" w:rsidRDefault="00A8128F" w:rsidP="00CD25E1">
    <w:pPr>
      <w:pStyle w:val="Footereven"/>
    </w:pPr>
    <w:r w:rsidRPr="004F458A">
      <w:rPr>
        <w:b/>
      </w:rPr>
      <w:fldChar w:fldCharType="begin"/>
    </w:r>
    <w:r w:rsidRPr="004F458A">
      <w:instrText xml:space="preserve"> PAGE </w:instrText>
    </w:r>
    <w:r w:rsidRPr="004F458A">
      <w:rPr>
        <w:b/>
      </w:rPr>
      <w:fldChar w:fldCharType="separate"/>
    </w:r>
    <w:r>
      <w:rPr>
        <w:noProof/>
      </w:rPr>
      <w:t>8</w:t>
    </w:r>
    <w:r w:rsidRPr="004F458A">
      <w:rPr>
        <w:b/>
      </w:rPr>
      <w:fldChar w:fldCharType="end"/>
    </w:r>
    <w:r>
      <w:tab/>
    </w:r>
    <w:r w:rsidRPr="00FD315F">
      <w:t>New Zealand’s first Biennial Transparency Report under the Paris Agreement</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2BB955" w14:textId="566A583D" w:rsidR="00A8128F" w:rsidRDefault="00A8128F" w:rsidP="00CD25E1">
    <w:pPr>
      <w:pStyle w:val="Footerodd"/>
    </w:pPr>
    <w:r>
      <w:tab/>
    </w:r>
    <w:r w:rsidRPr="00DE5158">
      <w:t>Description of a Party’s nationally determined contribution</w:t>
    </w:r>
    <w:r>
      <w:tab/>
    </w:r>
    <w:r>
      <w:fldChar w:fldCharType="begin"/>
    </w:r>
    <w:r>
      <w:instrText xml:space="preserve"> PAGE   \* MERGEFORMAT </w:instrText>
    </w:r>
    <w:r>
      <w:fldChar w:fldCharType="separate"/>
    </w:r>
    <w:r>
      <w:rPr>
        <w:noProof/>
      </w:rPr>
      <w:t>7</w:t>
    </w:r>
    <w:r>
      <w:rPr>
        <w:noProof/>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0E3318" w14:textId="77777777" w:rsidR="00A8128F" w:rsidRDefault="00A8128F" w:rsidP="00CD25E1">
    <w:pPr>
      <w:pStyle w:val="Footerodd"/>
    </w:pPr>
    <w:r>
      <w:tab/>
    </w:r>
    <w:r w:rsidRPr="008B50D0">
      <w:t>Information necessary to track progress made in implementing and achieving nationally determined contributions</w:t>
    </w:r>
    <w:r>
      <w:tab/>
    </w:r>
    <w:r>
      <w:fldChar w:fldCharType="begin"/>
    </w:r>
    <w:r>
      <w:instrText xml:space="preserve"> PAGE   \* MERGEFORMAT </w:instrText>
    </w:r>
    <w:r>
      <w:fldChar w:fldCharType="separate"/>
    </w:r>
    <w:r>
      <w:rPr>
        <w:noProof/>
      </w:rPr>
      <w:t>7</w:t>
    </w:r>
    <w:r>
      <w:rPr>
        <w:noProof/>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11BFF3" w14:textId="2781E94A" w:rsidR="00A8128F" w:rsidRDefault="00A8128F">
    <w:pPr>
      <w:pStyle w:val="Footerodd"/>
      <w:tabs>
        <w:tab w:val="clear" w:pos="7938"/>
        <w:tab w:val="clear" w:pos="8505"/>
        <w:tab w:val="right" w:pos="13948"/>
        <w:tab w:val="right" w:pos="14515"/>
      </w:tabs>
    </w:pPr>
    <w:r>
      <w:tab/>
    </w:r>
    <w:r w:rsidR="003C3185" w:rsidRPr="008B50D0">
      <w:t>Information necessary to</w:t>
    </w:r>
    <w:r w:rsidR="003C3185">
      <w:t> </w:t>
    </w:r>
    <w:r w:rsidR="003C3185" w:rsidRPr="008B50D0">
      <w:t>track progress made in implementing and achieving nationally determined contributions</w:t>
    </w:r>
    <w:r>
      <w:tab/>
    </w:r>
    <w:r>
      <w:fldChar w:fldCharType="begin"/>
    </w:r>
    <w:r>
      <w:instrText xml:space="preserve"> PAGE   \* MERGEFORMAT </w:instrText>
    </w:r>
    <w:r>
      <w:fldChar w:fldCharType="separate"/>
    </w:r>
    <w:r>
      <w:rPr>
        <w:noProof/>
      </w:rPr>
      <w:t>7</w:t>
    </w:r>
    <w:r>
      <w:rPr>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2EB26B" w14:textId="0324BD8E" w:rsidR="00E9072E" w:rsidRDefault="00E9072E" w:rsidP="00CD25E1">
    <w:pPr>
      <w:pStyle w:val="Footerodd"/>
    </w:pPr>
    <w:r>
      <w:tab/>
    </w:r>
    <w:r w:rsidR="003C3185" w:rsidRPr="008B50D0">
      <w:t>Information necessary to</w:t>
    </w:r>
    <w:r w:rsidR="003C3185">
      <w:t> </w:t>
    </w:r>
    <w:r w:rsidR="003C3185" w:rsidRPr="008B50D0">
      <w:t>track progress made in implementing and achieving nationally determined contributions</w:t>
    </w:r>
    <w:r>
      <w:tab/>
    </w:r>
    <w:r>
      <w:fldChar w:fldCharType="begin"/>
    </w:r>
    <w:r>
      <w:instrText xml:space="preserve"> PAGE   \* MERGEFORMAT </w:instrText>
    </w:r>
    <w:r>
      <w:fldChar w:fldCharType="separate"/>
    </w:r>
    <w:r>
      <w:rPr>
        <w:noProof/>
      </w:rPr>
      <w:t>7</w:t>
    </w:r>
    <w:r>
      <w:rPr>
        <w:noProof/>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3A78C4" w14:textId="77777777" w:rsidR="00652773" w:rsidRDefault="00652773" w:rsidP="00512941">
    <w:pPr>
      <w:pStyle w:val="Footereven"/>
    </w:pPr>
    <w:r w:rsidRPr="004F458A">
      <w:rPr>
        <w:b/>
      </w:rPr>
      <w:fldChar w:fldCharType="begin"/>
    </w:r>
    <w:r w:rsidRPr="004F458A">
      <w:instrText xml:space="preserve"> PAGE </w:instrText>
    </w:r>
    <w:r w:rsidRPr="004F458A">
      <w:rPr>
        <w:b/>
      </w:rPr>
      <w:fldChar w:fldCharType="separate"/>
    </w:r>
    <w:r>
      <w:rPr>
        <w:noProof/>
      </w:rPr>
      <w:t>8</w:t>
    </w:r>
    <w:r w:rsidRPr="004F458A">
      <w:rPr>
        <w:b/>
      </w:rPr>
      <w:fldChar w:fldCharType="end"/>
    </w:r>
    <w:r>
      <w:tab/>
    </w:r>
    <w:r w:rsidRPr="00FD315F">
      <w:t>New Zealand’s first Biennial Transparency Report under the Paris Agreement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8EBB77" w14:textId="77777777" w:rsidR="00E5210B" w:rsidRDefault="00E5210B" w:rsidP="00E65427">
    <w:pPr>
      <w:spacing w:before="240" w:after="0" w:line="240" w:lineRule="auto"/>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3688E2" w14:textId="5A11A389" w:rsidR="00652773" w:rsidRDefault="00652773" w:rsidP="00CD25E1">
    <w:pPr>
      <w:pStyle w:val="Footerodd"/>
    </w:pPr>
    <w:r w:rsidRPr="003D5DBE">
      <w:tab/>
      <w:t>Mitigation policies and measures, actions and plans</w:t>
    </w:r>
    <w:r>
      <w:tab/>
    </w:r>
    <w:r>
      <w:fldChar w:fldCharType="begin"/>
    </w:r>
    <w:r>
      <w:instrText xml:space="preserve"> PAGE   \* MERGEFORMAT </w:instrText>
    </w:r>
    <w:r>
      <w:fldChar w:fldCharType="separate"/>
    </w:r>
    <w:r>
      <w:rPr>
        <w:noProof/>
      </w:rPr>
      <w:t>7</w:t>
    </w:r>
    <w:r>
      <w:rPr>
        <w:noProo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2E300B" w14:textId="58E223D0" w:rsidR="00652773" w:rsidRDefault="00652773">
    <w:pPr>
      <w:pStyle w:val="Footerodd"/>
      <w:tabs>
        <w:tab w:val="clear" w:pos="7938"/>
        <w:tab w:val="clear" w:pos="8505"/>
        <w:tab w:val="right" w:pos="13948"/>
        <w:tab w:val="right" w:pos="14515"/>
      </w:tabs>
    </w:pPr>
    <w:r w:rsidRPr="003D5DBE">
      <w:tab/>
      <w:t>Mitigation policies and measures, actions and plans</w:t>
    </w:r>
    <w:r>
      <w:tab/>
    </w:r>
    <w:r>
      <w:fldChar w:fldCharType="begin"/>
    </w:r>
    <w:r>
      <w:instrText xml:space="preserve"> PAGE   \* MERGEFORMAT </w:instrText>
    </w:r>
    <w:r>
      <w:fldChar w:fldCharType="separate"/>
    </w:r>
    <w:r>
      <w:rPr>
        <w:noProof/>
      </w:rPr>
      <w:t>7</w:t>
    </w:r>
    <w:r>
      <w:rPr>
        <w:noProof/>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47B7B2" w14:textId="58305653" w:rsidR="00296FBE" w:rsidRDefault="00296FBE" w:rsidP="00296FBE">
    <w:pPr>
      <w:pStyle w:val="Footerodd"/>
    </w:pPr>
    <w:r>
      <w:tab/>
    </w:r>
    <w:r w:rsidR="00BB5CAE" w:rsidRPr="00BB5CAE">
      <w:t>Projections of greenhouse gas emissions and removals</w:t>
    </w:r>
    <w:r>
      <w:tab/>
    </w:r>
    <w:r>
      <w:fldChar w:fldCharType="begin"/>
    </w:r>
    <w:r>
      <w:instrText xml:space="preserve"> PAGE   \* MERGEFORMAT </w:instrText>
    </w:r>
    <w:r>
      <w:fldChar w:fldCharType="separate"/>
    </w:r>
    <w:r>
      <w:rPr>
        <w:noProof/>
      </w:rPr>
      <w:t>7</w:t>
    </w:r>
    <w:r>
      <w:rPr>
        <w:noProof/>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2DF0CE" w14:textId="20FCBE54" w:rsidR="00921D1F" w:rsidRDefault="00196B8B" w:rsidP="00196B8B">
    <w:pPr>
      <w:pStyle w:val="Footerodd"/>
    </w:pPr>
    <w:r w:rsidRPr="00196B8B">
      <w:tab/>
      <w:t xml:space="preserve">Projections of indicators necessary to track progress made in implementing and achieving </w:t>
    </w:r>
    <w:r>
      <w:t>NDCs</w:t>
    </w:r>
    <w:r w:rsidR="00921D1F">
      <w:tab/>
    </w:r>
    <w:r w:rsidR="00921D1F">
      <w:fldChar w:fldCharType="begin"/>
    </w:r>
    <w:r w:rsidR="00921D1F">
      <w:instrText xml:space="preserve"> PAGE   \* MERGEFORMAT </w:instrText>
    </w:r>
    <w:r w:rsidR="00921D1F">
      <w:fldChar w:fldCharType="separate"/>
    </w:r>
    <w:r w:rsidR="00921D1F">
      <w:rPr>
        <w:noProof/>
      </w:rPr>
      <w:t>7</w:t>
    </w:r>
    <w:r w:rsidR="00921D1F">
      <w:rPr>
        <w:noProof/>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DBD7F5" w14:textId="77777777" w:rsidR="00697651" w:rsidRDefault="00697651" w:rsidP="00CD25E1">
    <w:pPr>
      <w:pStyle w:val="Footereven"/>
    </w:pPr>
    <w:r w:rsidRPr="004F458A">
      <w:rPr>
        <w:b/>
      </w:rPr>
      <w:fldChar w:fldCharType="begin"/>
    </w:r>
    <w:r w:rsidRPr="004F458A">
      <w:instrText xml:space="preserve"> PAGE </w:instrText>
    </w:r>
    <w:r w:rsidRPr="004F458A">
      <w:rPr>
        <w:b/>
      </w:rPr>
      <w:fldChar w:fldCharType="separate"/>
    </w:r>
    <w:r>
      <w:rPr>
        <w:noProof/>
      </w:rPr>
      <w:t>8</w:t>
    </w:r>
    <w:r w:rsidRPr="004F458A">
      <w:rPr>
        <w:b/>
      </w:rPr>
      <w:fldChar w:fldCharType="end"/>
    </w:r>
    <w:r>
      <w:tab/>
      <w:t>New Zealand’s first Biennial Transparency Report under the Paris Agreement</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5343C5" w14:textId="77777777" w:rsidR="00697651" w:rsidRDefault="00697651" w:rsidP="00CD25E1">
    <w:pPr>
      <w:pStyle w:val="Footerodd"/>
    </w:pPr>
    <w:r w:rsidRPr="00181EF0">
      <w:tab/>
      <w:t>Information related to climate change impacts and adaptation under Article 7 of the Paris Agreement</w:t>
    </w:r>
    <w:r>
      <w:tab/>
    </w:r>
    <w:r>
      <w:fldChar w:fldCharType="begin"/>
    </w:r>
    <w:r>
      <w:instrText xml:space="preserve"> PAGE   \* MERGEFORMAT </w:instrText>
    </w:r>
    <w:r>
      <w:fldChar w:fldCharType="separate"/>
    </w:r>
    <w:r>
      <w:rPr>
        <w:noProof/>
      </w:rPr>
      <w:t>7</w:t>
    </w:r>
    <w:r>
      <w:rPr>
        <w:noProof/>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4AC1AD" w14:textId="77777777" w:rsidR="00697651" w:rsidRDefault="00697651">
    <w:pPr>
      <w:pStyle w:val="Footerodd"/>
      <w:tabs>
        <w:tab w:val="clear" w:pos="7938"/>
        <w:tab w:val="clear" w:pos="8505"/>
        <w:tab w:val="right" w:pos="13948"/>
        <w:tab w:val="right" w:pos="14515"/>
      </w:tabs>
    </w:pPr>
    <w:r w:rsidRPr="00181EF0">
      <w:tab/>
      <w:t>Information related to climate change impacts and adaptation under Article 7 of the Paris Agreement</w:t>
    </w:r>
    <w:r>
      <w:tab/>
    </w:r>
    <w:r>
      <w:fldChar w:fldCharType="begin"/>
    </w:r>
    <w:r>
      <w:instrText xml:space="preserve"> PAGE   \* MERGEFORMAT </w:instrText>
    </w:r>
    <w:r>
      <w:fldChar w:fldCharType="separate"/>
    </w:r>
    <w:r>
      <w:rPr>
        <w:noProof/>
      </w:rPr>
      <w:t>7</w:t>
    </w:r>
    <w:r>
      <w:rPr>
        <w:noProof/>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606B4E" w14:textId="448B23F4" w:rsidR="001075F9" w:rsidRDefault="001075F9" w:rsidP="001075F9">
    <w:pPr>
      <w:pStyle w:val="Footerodd"/>
    </w:pPr>
    <w:r>
      <w:tab/>
    </w:r>
    <w:r w:rsidRPr="00181EF0">
      <w:t>Information related to climate change impacts and adaptation under Article 7 of the Paris Agreement</w:t>
    </w:r>
    <w:r>
      <w:tab/>
    </w:r>
    <w:r>
      <w:fldChar w:fldCharType="begin"/>
    </w:r>
    <w:r>
      <w:instrText xml:space="preserve"> PAGE   \* MERGEFORMAT </w:instrText>
    </w:r>
    <w:r>
      <w:fldChar w:fldCharType="separate"/>
    </w:r>
    <w:r>
      <w:rPr>
        <w:noProof/>
      </w:rPr>
      <w:t>7</w:t>
    </w:r>
    <w:r>
      <w:rPr>
        <w:noProof/>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084333" w14:textId="77777777" w:rsidR="00182E8E" w:rsidRDefault="00182E8E">
    <w:pPr>
      <w:pStyle w:val="Footereven"/>
    </w:pPr>
    <w:r>
      <w:fldChar w:fldCharType="begin"/>
    </w:r>
    <w:r>
      <w:instrText xml:space="preserve"> PAGE   \* MERGEFORMAT </w:instrText>
    </w:r>
    <w:r>
      <w:fldChar w:fldCharType="separate"/>
    </w:r>
    <w:r>
      <w:rPr>
        <w:noProof/>
      </w:rPr>
      <w:t>1</w:t>
    </w:r>
    <w:r>
      <w:rPr>
        <w:noProof/>
      </w:rPr>
      <w:fldChar w:fldCharType="end"/>
    </w:r>
    <w:r>
      <w:rPr>
        <w:noProof/>
      </w:rPr>
      <w:tab/>
    </w:r>
    <w:r>
      <w:t>New Zealand’s first Biennial Transparency Report under the Paris Agreement</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7F5C7B" w14:textId="77777777" w:rsidR="00182E8E" w:rsidRDefault="00182E8E">
    <w:pPr>
      <w:pStyle w:val="Footerodd"/>
    </w:pPr>
    <w:r>
      <w:tab/>
    </w:r>
    <w:r w:rsidRPr="00B824AD">
      <w:t>Financial, technological and capacity-building support</w:t>
    </w:r>
    <w:r>
      <w:tab/>
    </w: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91B5F5" w14:textId="77777777" w:rsidR="004565BA" w:rsidRDefault="00A77C73" w:rsidP="00C858DD">
    <w:pPr>
      <w:pStyle w:val="Footer"/>
      <w:tabs>
        <w:tab w:val="clear" w:pos="4153"/>
        <w:tab w:val="center" w:pos="5245"/>
        <w:tab w:val="left" w:pos="6804"/>
      </w:tabs>
      <w:jc w:val="right"/>
      <w:rPr>
        <w:sz w:val="16"/>
        <w:szCs w:val="16"/>
      </w:rPr>
    </w:pPr>
    <w:r>
      <w:rPr>
        <w:sz w:val="16"/>
        <w:szCs w:val="16"/>
      </w:rPr>
      <w:tab/>
    </w:r>
  </w:p>
  <w:p w14:paraId="3C0252C3" w14:textId="247AAA13" w:rsidR="00E5210B" w:rsidRPr="00A77C73" w:rsidRDefault="00C858DD" w:rsidP="00C858DD">
    <w:pPr>
      <w:pStyle w:val="Footer"/>
      <w:tabs>
        <w:tab w:val="clear" w:pos="4153"/>
        <w:tab w:val="center" w:pos="5245"/>
        <w:tab w:val="left" w:pos="6804"/>
      </w:tabs>
      <w:jc w:val="right"/>
      <w:rPr>
        <w:sz w:val="16"/>
        <w:szCs w:val="16"/>
      </w:rPr>
    </w:pPr>
    <w:r>
      <w:rPr>
        <w:sz w:val="16"/>
        <w:szCs w:val="16"/>
      </w:rPr>
      <w:tab/>
    </w:r>
    <w:r w:rsidR="00A77C73" w:rsidRPr="00A77C73">
      <w:rPr>
        <w:sz w:val="16"/>
        <w:szCs w:val="16"/>
      </w:rPr>
      <w:t>Acknowledgments</w:t>
    </w:r>
    <w:r w:rsidR="00A77C73" w:rsidRPr="00A77C73">
      <w:rPr>
        <w:sz w:val="16"/>
        <w:szCs w:val="16"/>
      </w:rPr>
      <w:tab/>
    </w:r>
    <w:sdt>
      <w:sdtPr>
        <w:rPr>
          <w:sz w:val="16"/>
          <w:szCs w:val="16"/>
        </w:rPr>
        <w:id w:val="-1736077962"/>
        <w:docPartObj>
          <w:docPartGallery w:val="Page Numbers (Bottom of Page)"/>
          <w:docPartUnique/>
        </w:docPartObj>
      </w:sdtPr>
      <w:sdtEndPr>
        <w:rPr>
          <w:noProof/>
        </w:rPr>
      </w:sdtEndPr>
      <w:sdtContent>
        <w:r w:rsidR="00A77C73" w:rsidRPr="00A77C73">
          <w:rPr>
            <w:sz w:val="16"/>
            <w:szCs w:val="16"/>
          </w:rPr>
          <w:fldChar w:fldCharType="begin"/>
        </w:r>
        <w:r w:rsidR="00A77C73" w:rsidRPr="00A77C73">
          <w:rPr>
            <w:sz w:val="16"/>
            <w:szCs w:val="16"/>
          </w:rPr>
          <w:instrText xml:space="preserve"> PAGE   \* MERGEFORMAT </w:instrText>
        </w:r>
        <w:r w:rsidR="00A77C73" w:rsidRPr="00A77C73">
          <w:rPr>
            <w:sz w:val="16"/>
            <w:szCs w:val="16"/>
          </w:rPr>
          <w:fldChar w:fldCharType="separate"/>
        </w:r>
        <w:r w:rsidR="00A77C73" w:rsidRPr="00A77C73">
          <w:rPr>
            <w:noProof/>
            <w:sz w:val="16"/>
            <w:szCs w:val="16"/>
          </w:rPr>
          <w:t>2</w:t>
        </w:r>
        <w:r w:rsidR="00A77C73" w:rsidRPr="00A77C73">
          <w:rPr>
            <w:noProof/>
            <w:sz w:val="16"/>
            <w:szCs w:val="16"/>
          </w:rPr>
          <w:fldChar w:fldCharType="end"/>
        </w:r>
      </w:sdtContent>
    </w:sdt>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8CCB41" w14:textId="77777777" w:rsidR="00182E8E" w:rsidRDefault="00182E8E">
    <w:pPr>
      <w:pStyle w:val="Footer"/>
    </w:pPr>
    <w:r>
      <w:rPr>
        <w:noProof/>
      </w:rPr>
      <mc:AlternateContent>
        <mc:Choice Requires="wps">
          <w:drawing>
            <wp:anchor distT="0" distB="0" distL="0" distR="0" simplePos="0" relativeHeight="251658242" behindDoc="0" locked="0" layoutInCell="1" allowOverlap="1" wp14:anchorId="701A7C7D" wp14:editId="4326C37E">
              <wp:simplePos x="635" y="635"/>
              <wp:positionH relativeFrom="page">
                <wp:align>center</wp:align>
              </wp:positionH>
              <wp:positionV relativeFrom="page">
                <wp:align>bottom</wp:align>
              </wp:positionV>
              <wp:extent cx="443865" cy="443865"/>
              <wp:effectExtent l="0" t="0" r="13335" b="0"/>
              <wp:wrapNone/>
              <wp:docPr id="286197463" name="Text Box 10" descr="IN-CONFIDE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42EACC0" w14:textId="77777777" w:rsidR="00182E8E" w:rsidRPr="005A4341" w:rsidRDefault="00182E8E">
                          <w:pPr>
                            <w:spacing w:after="0"/>
                            <w:rPr>
                              <w:rFonts w:ascii="Segoe UI Semibold" w:eastAsia="Segoe UI Semibold" w:hAnsi="Segoe UI Semibold" w:cs="Segoe UI Semibold"/>
                              <w:noProof/>
                              <w:color w:val="000000"/>
                            </w:rPr>
                          </w:pPr>
                          <w:r w:rsidRPr="005A4341">
                            <w:rPr>
                              <w:rFonts w:ascii="Segoe UI Semibold" w:eastAsia="Segoe UI Semibold" w:hAnsi="Segoe UI Semibold" w:cs="Segoe UI Semibold"/>
                              <w:noProof/>
                              <w:color w:val="000000"/>
                            </w:rPr>
                            <w:t>IN-CONFIDENCE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01A7C7D" id="_x0000_t202" coordsize="21600,21600" o:spt="202" path="m,l,21600r21600,l21600,xe">
              <v:stroke joinstyle="miter"/>
              <v:path gradientshapeok="t" o:connecttype="rect"/>
            </v:shapetype>
            <v:shape id="Text Box 10" o:spid="_x0000_s1045" type="#_x0000_t202" alt="IN-CONFIDENCE" style="position:absolute;left:0;text-align:left;margin-left:0;margin-top:0;width:34.95pt;height:34.9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342EACC0" w14:textId="77777777" w:rsidR="00182E8E" w:rsidRPr="005A4341" w:rsidRDefault="00182E8E">
                    <w:pPr>
                      <w:spacing w:after="0"/>
                      <w:rPr>
                        <w:rFonts w:ascii="Segoe UI Semibold" w:eastAsia="Segoe UI Semibold" w:hAnsi="Segoe UI Semibold" w:cs="Segoe UI Semibold"/>
                        <w:noProof/>
                        <w:color w:val="000000"/>
                      </w:rPr>
                    </w:pPr>
                    <w:r w:rsidRPr="005A4341">
                      <w:rPr>
                        <w:rFonts w:ascii="Segoe UI Semibold" w:eastAsia="Segoe UI Semibold" w:hAnsi="Segoe UI Semibold" w:cs="Segoe UI Semibold"/>
                        <w:noProof/>
                        <w:color w:val="000000"/>
                      </w:rPr>
                      <w:t>IN-CONFIDENCE</w:t>
                    </w:r>
                  </w:p>
                </w:txbxContent>
              </v:textbox>
              <w10:wrap anchorx="page" anchory="page"/>
            </v:shape>
          </w:pict>
        </mc:Fallback>
      </mc:AlternateContent>
    </w:r>
    <w:r>
      <w:fldChar w:fldCharType="begin"/>
    </w:r>
    <w:r>
      <w:instrText xml:space="preserve"> PAGE   \* MERGEFORMAT </w:instrText>
    </w:r>
    <w:r>
      <w:fldChar w:fldCharType="separate"/>
    </w:r>
    <w:r>
      <w:rPr>
        <w:noProof/>
      </w:rPr>
      <w:t>1</w:t>
    </w:r>
    <w:r>
      <w:rPr>
        <w:noProof/>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C57BB6" w14:textId="6E85C437" w:rsidR="00182E8E" w:rsidRPr="00E1656C" w:rsidRDefault="008A5092" w:rsidP="008A5092">
    <w:pPr>
      <w:pStyle w:val="Footereven"/>
    </w:pPr>
    <w:r>
      <w:fldChar w:fldCharType="begin"/>
    </w:r>
    <w:r>
      <w:instrText xml:space="preserve"> PAGE   \* MERGEFORMAT </w:instrText>
    </w:r>
    <w:r>
      <w:fldChar w:fldCharType="separate"/>
    </w:r>
    <w:r>
      <w:t>98</w:t>
    </w:r>
    <w:r>
      <w:rPr>
        <w:noProof/>
      </w:rPr>
      <w:fldChar w:fldCharType="end"/>
    </w:r>
    <w:r>
      <w:rPr>
        <w:noProof/>
      </w:rPr>
      <w:tab/>
    </w:r>
    <w:r>
      <w:t>New Zealand’s first Biennial Transparency Report under the Paris Agreement</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88CFAD" w14:textId="77777777" w:rsidR="00182E8E" w:rsidRDefault="00182E8E">
    <w:pPr>
      <w:pStyle w:val="Footerodd"/>
      <w:tabs>
        <w:tab w:val="clear" w:pos="7938"/>
        <w:tab w:val="clear" w:pos="8505"/>
        <w:tab w:val="right" w:pos="13948"/>
        <w:tab w:val="right" w:pos="14515"/>
      </w:tabs>
    </w:pPr>
    <w:r>
      <w:tab/>
    </w:r>
    <w:r w:rsidRPr="00B824AD">
      <w:t>Financial, technological and capacity-building support</w:t>
    </w:r>
    <w:r>
      <w:t xml:space="preserve"> </w:t>
    </w:r>
    <w:r>
      <w:tab/>
    </w:r>
    <w:r>
      <w:fldChar w:fldCharType="begin"/>
    </w:r>
    <w:r>
      <w:instrText xml:space="preserve"> PAGE   \* MERGEFORMAT </w:instrText>
    </w:r>
    <w:r>
      <w:fldChar w:fldCharType="separate"/>
    </w:r>
    <w:r>
      <w:rPr>
        <w:noProof/>
      </w:rPr>
      <w:t>1</w:t>
    </w:r>
    <w:r>
      <w:rPr>
        <w:noProof/>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0ED678" w14:textId="77777777" w:rsidR="00182E8E" w:rsidRDefault="00182E8E">
    <w:pPr>
      <w:pStyle w:val="Footer"/>
      <w:jc w:val="right"/>
    </w:pPr>
    <w:r>
      <w:rPr>
        <w:noProof/>
      </w:rPr>
      <mc:AlternateContent>
        <mc:Choice Requires="wps">
          <w:drawing>
            <wp:anchor distT="0" distB="0" distL="0" distR="0" simplePos="0" relativeHeight="251658243" behindDoc="0" locked="0" layoutInCell="1" allowOverlap="1" wp14:anchorId="2A2629CB" wp14:editId="151E1E86">
              <wp:simplePos x="635" y="635"/>
              <wp:positionH relativeFrom="page">
                <wp:align>center</wp:align>
              </wp:positionH>
              <wp:positionV relativeFrom="page">
                <wp:align>bottom</wp:align>
              </wp:positionV>
              <wp:extent cx="443865" cy="443865"/>
              <wp:effectExtent l="0" t="0" r="13335" b="0"/>
              <wp:wrapNone/>
              <wp:docPr id="1654544263" name="Text Box 13" descr="IN-CONFIDE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D1E599E" w14:textId="77777777" w:rsidR="00182E8E" w:rsidRPr="005A4341" w:rsidRDefault="00182E8E">
                          <w:pPr>
                            <w:spacing w:after="0"/>
                            <w:rPr>
                              <w:rFonts w:ascii="Segoe UI Semibold" w:eastAsia="Segoe UI Semibold" w:hAnsi="Segoe UI Semibold" w:cs="Segoe UI Semibold"/>
                              <w:noProof/>
                              <w:color w:val="000000"/>
                            </w:rPr>
                          </w:pPr>
                          <w:r w:rsidRPr="005A4341">
                            <w:rPr>
                              <w:rFonts w:ascii="Segoe UI Semibold" w:eastAsia="Segoe UI Semibold" w:hAnsi="Segoe UI Semibold" w:cs="Segoe UI Semibold"/>
                              <w:noProof/>
                              <w:color w:val="000000"/>
                            </w:rPr>
                            <w:t>IN-CONFIDENCE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2629CB" id="_x0000_t202" coordsize="21600,21600" o:spt="202" path="m,l,21600r21600,l21600,xe">
              <v:stroke joinstyle="miter"/>
              <v:path gradientshapeok="t" o:connecttype="rect"/>
            </v:shapetype>
            <v:shape id="Text Box 13" o:spid="_x0000_s1047" type="#_x0000_t202" alt="IN-CONFIDENCE" style="position:absolute;left:0;text-align:left;margin-left:0;margin-top:0;width:34.95pt;height:34.9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3D1E599E" w14:textId="77777777" w:rsidR="00182E8E" w:rsidRPr="005A4341" w:rsidRDefault="00182E8E">
                    <w:pPr>
                      <w:spacing w:after="0"/>
                      <w:rPr>
                        <w:rFonts w:ascii="Segoe UI Semibold" w:eastAsia="Segoe UI Semibold" w:hAnsi="Segoe UI Semibold" w:cs="Segoe UI Semibold"/>
                        <w:noProof/>
                        <w:color w:val="000000"/>
                      </w:rPr>
                    </w:pPr>
                    <w:r w:rsidRPr="005A4341">
                      <w:rPr>
                        <w:rFonts w:ascii="Segoe UI Semibold" w:eastAsia="Segoe UI Semibold" w:hAnsi="Segoe UI Semibold" w:cs="Segoe UI Semibold"/>
                        <w:noProof/>
                        <w:color w:val="000000"/>
                      </w:rPr>
                      <w:t>IN-CONFIDENCE</w:t>
                    </w:r>
                  </w:p>
                </w:txbxContent>
              </v:textbox>
              <w10:wrap anchorx="page" anchory="page"/>
            </v:shape>
          </w:pict>
        </mc:Fallback>
      </mc:AlternateContent>
    </w:r>
    <w:r>
      <w:fldChar w:fldCharType="begin"/>
    </w:r>
    <w:r>
      <w:instrText xml:space="preserve"> PAGE   \* MERGEFORMAT </w:instrText>
    </w:r>
    <w:r>
      <w:fldChar w:fldCharType="separate"/>
    </w:r>
    <w:r>
      <w:rPr>
        <w:noProof/>
      </w:rPr>
      <w:t>1</w:t>
    </w:r>
    <w:r>
      <w:rPr>
        <w:noProof/>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7B0576" w14:textId="1C1B5FA7" w:rsidR="00E1656C" w:rsidRPr="00E1656C" w:rsidRDefault="008A5092" w:rsidP="008A5092">
    <w:pPr>
      <w:pStyle w:val="Footereven"/>
    </w:pPr>
    <w:r>
      <w:fldChar w:fldCharType="begin"/>
    </w:r>
    <w:r>
      <w:instrText xml:space="preserve"> PAGE   \* MERGEFORMAT </w:instrText>
    </w:r>
    <w:r>
      <w:fldChar w:fldCharType="separate"/>
    </w:r>
    <w:r>
      <w:t>98</w:t>
    </w:r>
    <w:r>
      <w:rPr>
        <w:noProof/>
      </w:rPr>
      <w:fldChar w:fldCharType="end"/>
    </w:r>
    <w:r>
      <w:rPr>
        <w:noProof/>
      </w:rPr>
      <w:tab/>
    </w:r>
    <w:r>
      <w:t>New Zealand’s first Biennial Transparency Report under the Paris Agreement</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BE8334" w14:textId="5AD268D4" w:rsidR="008A5092" w:rsidRDefault="008A5092" w:rsidP="008A5092">
    <w:pPr>
      <w:pStyle w:val="Footerodd"/>
    </w:pPr>
    <w:r>
      <w:tab/>
    </w:r>
    <w:r w:rsidRPr="00B824AD">
      <w:t>Financial, technological and capacity-building support</w:t>
    </w:r>
    <w:r>
      <w:t xml:space="preserve"> </w:t>
    </w:r>
    <w:r>
      <w:tab/>
    </w:r>
    <w:r>
      <w:fldChar w:fldCharType="begin"/>
    </w:r>
    <w:r>
      <w:instrText xml:space="preserve"> PAGE   \* MERGEFORMAT </w:instrText>
    </w:r>
    <w:r>
      <w:fldChar w:fldCharType="separate"/>
    </w:r>
    <w:r>
      <w:rPr>
        <w:noProof/>
      </w:rPr>
      <w:t>1</w:t>
    </w:r>
    <w:r>
      <w:rPr>
        <w:noProof/>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35271A" w14:textId="77777777" w:rsidR="009B2872" w:rsidRDefault="009B2872">
    <w:pPr>
      <w:pStyle w:val="Footereven"/>
    </w:pPr>
    <w:r>
      <w:fldChar w:fldCharType="begin"/>
    </w:r>
    <w:r>
      <w:instrText xml:space="preserve"> PAGE   \* MERGEFORMAT </w:instrText>
    </w:r>
    <w:r>
      <w:fldChar w:fldCharType="separate"/>
    </w:r>
    <w:r>
      <w:rPr>
        <w:noProof/>
      </w:rPr>
      <w:t>1</w:t>
    </w:r>
    <w:r>
      <w:rPr>
        <w:noProof/>
      </w:rPr>
      <w:fldChar w:fldCharType="end"/>
    </w:r>
    <w:r>
      <w:rPr>
        <w:noProof/>
      </w:rPr>
      <w:tab/>
    </w:r>
    <w:r>
      <w:t>New Zealand’s first Biennial Transparency Report under the Paris Agreement</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FB5466" w14:textId="77777777" w:rsidR="009B2872" w:rsidRDefault="009B2872">
    <w:pPr>
      <w:pStyle w:val="Footerodd"/>
    </w:pPr>
    <w:r>
      <w:tab/>
    </w:r>
    <w:r w:rsidRPr="003251E2">
      <w:t>Annex I: Common tabular formats for electronic reporting</w:t>
    </w:r>
    <w:r>
      <w:tab/>
    </w:r>
    <w:r>
      <w:fldChar w:fldCharType="begin"/>
    </w:r>
    <w:r>
      <w:instrText xml:space="preserve"> PAGE   \* MERGEFORMAT </w:instrText>
    </w:r>
    <w:r>
      <w:fldChar w:fldCharType="separate"/>
    </w:r>
    <w:r>
      <w:rPr>
        <w:noProof/>
      </w:rPr>
      <w:t>1</w:t>
    </w:r>
    <w:r>
      <w:rPr>
        <w:noProof/>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4F97BC" w14:textId="77777777" w:rsidR="009B2872" w:rsidRPr="00EF3680" w:rsidRDefault="009B2872">
    <w:pPr>
      <w:pStyle w:val="Footereven"/>
    </w:pPr>
    <w:r>
      <w:fldChar w:fldCharType="begin"/>
    </w:r>
    <w:r>
      <w:instrText xml:space="preserve"> PAGE   \* MERGEFORMAT </w:instrText>
    </w:r>
    <w:r>
      <w:fldChar w:fldCharType="separate"/>
    </w:r>
    <w:r>
      <w:t>6</w:t>
    </w:r>
    <w:r>
      <w:rPr>
        <w:noProof/>
      </w:rPr>
      <w:fldChar w:fldCharType="end"/>
    </w:r>
    <w:r>
      <w:rPr>
        <w:noProof/>
      </w:rPr>
      <w:tab/>
    </w:r>
    <w:r>
      <w:t>New Zealand’s first Biennial Transparency Report under the Paris Agreement</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B34C71" w14:textId="77777777" w:rsidR="009B2872" w:rsidRDefault="009B2872">
    <w:pPr>
      <w:pStyle w:val="Footerodd"/>
      <w:tabs>
        <w:tab w:val="clear" w:pos="7938"/>
        <w:tab w:val="clear" w:pos="8505"/>
        <w:tab w:val="right" w:pos="13948"/>
        <w:tab w:val="right" w:pos="14515"/>
      </w:tabs>
    </w:pPr>
    <w:r>
      <w:tab/>
    </w:r>
    <w:r w:rsidRPr="003251E2">
      <w:t>Annex I: Common tabular formats for electronic reporting</w:t>
    </w:r>
    <w:r>
      <w:tab/>
    </w:r>
    <w:r>
      <w:fldChar w:fldCharType="begin"/>
    </w:r>
    <w:r>
      <w:instrText xml:space="preserve"> PAGE   \* MERGEFORMAT </w:instrText>
    </w:r>
    <w:r>
      <w:fldChar w:fldCharType="separate"/>
    </w:r>
    <w:r>
      <w:rPr>
        <w:noProof/>
      </w:rPr>
      <w:t>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31440924"/>
      <w:docPartObj>
        <w:docPartGallery w:val="Page Numbers (Bottom of Page)"/>
        <w:docPartUnique/>
      </w:docPartObj>
    </w:sdtPr>
    <w:sdtContent>
      <w:p w14:paraId="502145D7" w14:textId="47E593A1" w:rsidR="00390C94" w:rsidRPr="00390C94" w:rsidRDefault="00390C94" w:rsidP="00390C94">
        <w:pPr>
          <w:pStyle w:val="Footereven"/>
        </w:pPr>
        <w:r w:rsidRPr="00390C94">
          <w:rPr>
            <w:szCs w:val="16"/>
          </w:rPr>
          <w:fldChar w:fldCharType="begin"/>
        </w:r>
        <w:r w:rsidRPr="00390C94">
          <w:rPr>
            <w:szCs w:val="16"/>
          </w:rPr>
          <w:instrText xml:space="preserve"> PAGE   \* MERGEFORMAT </w:instrText>
        </w:r>
        <w:r w:rsidRPr="00390C94">
          <w:rPr>
            <w:szCs w:val="16"/>
          </w:rPr>
          <w:fldChar w:fldCharType="separate"/>
        </w:r>
        <w:r w:rsidRPr="00390C94">
          <w:rPr>
            <w:noProof/>
            <w:szCs w:val="16"/>
          </w:rPr>
          <w:t>2</w:t>
        </w:r>
        <w:r w:rsidRPr="00390C94">
          <w:rPr>
            <w:noProof/>
            <w:szCs w:val="16"/>
          </w:rPr>
          <w:fldChar w:fldCharType="end"/>
        </w:r>
        <w:r>
          <w:rPr>
            <w:noProof/>
            <w:szCs w:val="16"/>
          </w:rPr>
          <w:tab/>
        </w:r>
        <w:r w:rsidRPr="004E6080">
          <w:t>New Zealand’s first Biennial Transparency Report under the Paris Agreement</w:t>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3B1F4E" w14:textId="68013137" w:rsidR="002111F5" w:rsidRDefault="00E42D0F" w:rsidP="00206169">
    <w:pPr>
      <w:pStyle w:val="Footerodd"/>
      <w:tabs>
        <w:tab w:val="clear" w:pos="7938"/>
        <w:tab w:val="clear" w:pos="8505"/>
      </w:tabs>
      <w:jc w:val="right"/>
    </w:pPr>
    <w:r>
      <w:tab/>
      <w:t>Annex 1</w:t>
    </w:r>
    <w:r w:rsidR="00986B27" w:rsidRPr="00555B90">
      <w:t>: Common tabular formats for the electronic reporting of</w:t>
    </w:r>
    <w:r w:rsidR="00850B5B">
      <w:t xml:space="preserve"> information</w:t>
    </w:r>
    <w:r>
      <w:t xml:space="preserve"> </w:t>
    </w:r>
    <w:r>
      <w:tab/>
    </w:r>
    <w:r>
      <w:fldChar w:fldCharType="begin"/>
    </w:r>
    <w:r>
      <w:instrText xml:space="preserve"> PAGE   \* MERGEFORMAT </w:instrText>
    </w:r>
    <w:r>
      <w:fldChar w:fldCharType="separate"/>
    </w:r>
    <w:r>
      <w:rPr>
        <w:noProof/>
      </w:rPr>
      <w:t>1</w:t>
    </w:r>
    <w:r>
      <w:rPr>
        <w:noProof/>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62A2FB" w14:textId="77777777" w:rsidR="00A62907" w:rsidRPr="004E6080" w:rsidRDefault="00C26094">
    <w:pPr>
      <w:pStyle w:val="Footereven"/>
    </w:pPr>
    <w:r w:rsidRPr="004E6080">
      <w:fldChar w:fldCharType="begin"/>
    </w:r>
    <w:r w:rsidRPr="004E6080">
      <w:instrText xml:space="preserve"> PAGE </w:instrText>
    </w:r>
    <w:r w:rsidRPr="004E6080">
      <w:fldChar w:fldCharType="separate"/>
    </w:r>
    <w:r w:rsidRPr="004E6080">
      <w:t>12</w:t>
    </w:r>
    <w:r w:rsidRPr="004E6080">
      <w:fldChar w:fldCharType="end"/>
    </w:r>
    <w:r w:rsidRPr="004E6080">
      <w:tab/>
      <w:t>New Zealand’s first Biennial Transparency Report under the Paris Agreement</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6B811A" w14:textId="77777777" w:rsidR="00A62907" w:rsidRPr="00555E19" w:rsidRDefault="00C26094">
    <w:pPr>
      <w:pStyle w:val="Footerodd"/>
    </w:pPr>
    <w:r w:rsidRPr="00555E19">
      <w:tab/>
      <w:t>Annex 2: Land Use, Land-Use Change and Forestry (LULUCF) accounting methodology</w:t>
    </w:r>
    <w:r w:rsidRPr="00555E19">
      <w:tab/>
    </w:r>
    <w:r w:rsidRPr="00555E19">
      <w:fldChar w:fldCharType="begin"/>
    </w:r>
    <w:r w:rsidRPr="00555E19">
      <w:instrText xml:space="preserve"> PAGE </w:instrText>
    </w:r>
    <w:r w:rsidRPr="00555E19">
      <w:fldChar w:fldCharType="separate"/>
    </w:r>
    <w:r w:rsidRPr="00555E19">
      <w:t>12</w:t>
    </w:r>
    <w:r w:rsidRPr="00555E19">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B516D0" w14:textId="3CB0ABF5" w:rsidR="00E453AB" w:rsidRDefault="00E5210B" w:rsidP="00CD25E1">
    <w:pPr>
      <w:pStyle w:val="Footereven"/>
    </w:pPr>
    <w:r w:rsidRPr="004F458A">
      <w:rPr>
        <w:b/>
      </w:rPr>
      <w:fldChar w:fldCharType="begin"/>
    </w:r>
    <w:r w:rsidRPr="004F458A">
      <w:instrText xml:space="preserve"> PAGE </w:instrText>
    </w:r>
    <w:r w:rsidRPr="004F458A">
      <w:rPr>
        <w:b/>
      </w:rPr>
      <w:fldChar w:fldCharType="separate"/>
    </w:r>
    <w:r w:rsidR="005D3242">
      <w:rPr>
        <w:noProof/>
      </w:rPr>
      <w:t>8</w:t>
    </w:r>
    <w:r w:rsidRPr="004F458A">
      <w:rPr>
        <w:b/>
      </w:rPr>
      <w:fldChar w:fldCharType="end"/>
    </w:r>
    <w:r>
      <w:tab/>
    </w:r>
    <w:r w:rsidR="00F3596D" w:rsidRPr="004E6080">
      <w:t>New Zealand’s first Biennial Transparency Report under the Paris Agreement</w: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E98CCD" w14:textId="53F0AE0D" w:rsidR="00E453AB" w:rsidRDefault="00E5210B" w:rsidP="00CD25E1">
    <w:pPr>
      <w:pStyle w:val="Footerodd"/>
    </w:pPr>
    <w:r>
      <w:tab/>
    </w:r>
    <w:r w:rsidR="004076D2" w:rsidRPr="005B7205">
      <w:t>Annex 3: Methodologies used to estimate greenhouse gas emission reductions or removals from policies and measures</w:t>
    </w:r>
    <w:r>
      <w:tab/>
    </w:r>
    <w:r w:rsidR="008540A6">
      <w:fldChar w:fldCharType="begin"/>
    </w:r>
    <w:r w:rsidR="008540A6">
      <w:instrText xml:space="preserve"> PAGE   \* MERGEFORMAT </w:instrText>
    </w:r>
    <w:r w:rsidR="008540A6">
      <w:fldChar w:fldCharType="separate"/>
    </w:r>
    <w:r w:rsidR="005D3242">
      <w:rPr>
        <w:noProof/>
      </w:rPr>
      <w:t>7</w:t>
    </w:r>
    <w:r w:rsidR="008540A6">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D8B9E2" w14:textId="32FE5695" w:rsidR="00C858DD" w:rsidRDefault="00DD40D6" w:rsidP="00DD40D6">
    <w:pPr>
      <w:pStyle w:val="Footer"/>
      <w:tabs>
        <w:tab w:val="clear" w:pos="4153"/>
        <w:tab w:val="right" w:pos="7938"/>
      </w:tabs>
      <w:jc w:val="right"/>
    </w:pPr>
    <w:r>
      <w:rPr>
        <w:sz w:val="16"/>
        <w:szCs w:val="16"/>
      </w:rPr>
      <w:tab/>
    </w:r>
    <w:r w:rsidR="00A008F6">
      <w:rPr>
        <w:sz w:val="16"/>
        <w:szCs w:val="16"/>
      </w:rPr>
      <w:t>Acknowledgments</w:t>
    </w:r>
    <w:r w:rsidR="00CB7658">
      <w:rPr>
        <w:sz w:val="16"/>
        <w:szCs w:val="16"/>
      </w:rPr>
      <w:tab/>
    </w:r>
    <w:r w:rsidR="00C858DD" w:rsidRPr="00A77C73">
      <w:rPr>
        <w:sz w:val="16"/>
        <w:szCs w:val="16"/>
      </w:rPr>
      <w:tab/>
    </w:r>
    <w:sdt>
      <w:sdtPr>
        <w:rPr>
          <w:sz w:val="16"/>
          <w:szCs w:val="16"/>
        </w:rPr>
        <w:id w:val="-191295488"/>
        <w:docPartObj>
          <w:docPartGallery w:val="Page Numbers (Bottom of Page)"/>
          <w:docPartUnique/>
        </w:docPartObj>
      </w:sdtPr>
      <w:sdtEndPr>
        <w:rPr>
          <w:noProof/>
        </w:rPr>
      </w:sdtEndPr>
      <w:sdtContent>
        <w:r w:rsidR="00C858DD" w:rsidRPr="00A77C73">
          <w:rPr>
            <w:sz w:val="16"/>
            <w:szCs w:val="16"/>
          </w:rPr>
          <w:fldChar w:fldCharType="begin"/>
        </w:r>
        <w:r w:rsidR="00C858DD">
          <w:instrText xml:space="preserve"> PAGE   \* MERGEFORMAT </w:instrText>
        </w:r>
        <w:r w:rsidR="00C858DD" w:rsidRPr="00A77C73">
          <w:rPr>
            <w:sz w:val="16"/>
            <w:szCs w:val="16"/>
          </w:rPr>
          <w:fldChar w:fldCharType="separate"/>
        </w:r>
        <w:r w:rsidR="00C858DD" w:rsidRPr="00A77C73">
          <w:rPr>
            <w:noProof/>
            <w:sz w:val="16"/>
            <w:szCs w:val="16"/>
          </w:rPr>
          <w:t>2</w:t>
        </w:r>
        <w:r w:rsidR="00C858DD" w:rsidRPr="00A77C73">
          <w:rPr>
            <w:noProof/>
            <w:sz w:val="16"/>
            <w:szCs w:val="16"/>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125955" w14:textId="12F699FF" w:rsidR="00CB7658" w:rsidRDefault="00CB7658" w:rsidP="00DD40D6">
    <w:pPr>
      <w:pStyle w:val="Footer"/>
      <w:tabs>
        <w:tab w:val="clear" w:pos="4153"/>
        <w:tab w:val="right" w:pos="7938"/>
      </w:tabs>
      <w:jc w:val="right"/>
    </w:pPr>
    <w:r>
      <w:rPr>
        <w:sz w:val="16"/>
        <w:szCs w:val="16"/>
      </w:rPr>
      <w:tab/>
      <w:t>Contents</w:t>
    </w:r>
    <w:r>
      <w:rPr>
        <w:sz w:val="16"/>
        <w:szCs w:val="16"/>
      </w:rPr>
      <w:tab/>
    </w:r>
    <w:r w:rsidRPr="00A77C73">
      <w:rPr>
        <w:sz w:val="16"/>
        <w:szCs w:val="16"/>
      </w:rPr>
      <w:tab/>
    </w:r>
    <w:sdt>
      <w:sdtPr>
        <w:rPr>
          <w:sz w:val="16"/>
          <w:szCs w:val="16"/>
        </w:rPr>
        <w:id w:val="-646206030"/>
        <w:docPartObj>
          <w:docPartGallery w:val="Page Numbers (Bottom of Page)"/>
          <w:docPartUnique/>
        </w:docPartObj>
      </w:sdtPr>
      <w:sdtEndPr>
        <w:rPr>
          <w:noProof/>
        </w:rPr>
      </w:sdtEndPr>
      <w:sdtContent>
        <w:r w:rsidRPr="00A77C73">
          <w:rPr>
            <w:sz w:val="16"/>
            <w:szCs w:val="16"/>
          </w:rPr>
          <w:fldChar w:fldCharType="begin"/>
        </w:r>
        <w:r>
          <w:instrText xml:space="preserve"> PAGE   \* MERGEFORMAT </w:instrText>
        </w:r>
        <w:r w:rsidRPr="00A77C73">
          <w:rPr>
            <w:sz w:val="16"/>
            <w:szCs w:val="16"/>
          </w:rPr>
          <w:fldChar w:fldCharType="separate"/>
        </w:r>
        <w:r w:rsidRPr="00A77C73">
          <w:rPr>
            <w:noProof/>
            <w:sz w:val="16"/>
            <w:szCs w:val="16"/>
          </w:rPr>
          <w:t>2</w:t>
        </w:r>
        <w:r w:rsidRPr="00A77C73">
          <w:rPr>
            <w:noProof/>
            <w:sz w:val="16"/>
            <w:szCs w:val="16"/>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75BBE" w14:textId="4081ACE2" w:rsidR="00A01861" w:rsidRDefault="00A01861" w:rsidP="00DD40D6">
    <w:pPr>
      <w:pStyle w:val="Footerodd"/>
    </w:pPr>
    <w:r>
      <w:tab/>
      <w:t>Tables and figures</w:t>
    </w:r>
    <w:r>
      <w:tab/>
    </w:r>
    <w:r>
      <w:fldChar w:fldCharType="begin"/>
    </w:r>
    <w:r>
      <w:instrText xml:space="preserve"> PAGE   \* MERGEFORMAT </w:instrText>
    </w:r>
    <w:r>
      <w:fldChar w:fldCharType="separate"/>
    </w:r>
    <w:r>
      <w:rPr>
        <w:noProof/>
      </w:rPr>
      <w:t>7</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CF89B1" w14:textId="2675DAAD" w:rsidR="00A0569F" w:rsidRDefault="00A0569F" w:rsidP="00CD25E1">
    <w:pPr>
      <w:pStyle w:val="Footerodd"/>
    </w:pPr>
    <w:r>
      <w:tab/>
      <w:t>Abbreviations</w:t>
    </w:r>
    <w:r>
      <w:tab/>
    </w:r>
    <w:r>
      <w:fldChar w:fldCharType="begin"/>
    </w:r>
    <w:r>
      <w:instrText xml:space="preserve"> PAGE   \* MERGEFORMAT </w:instrText>
    </w:r>
    <w:r>
      <w:fldChar w:fldCharType="separate"/>
    </w:r>
    <w:r>
      <w:rPr>
        <w:noProof/>
      </w:rPr>
      <w:t>7</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FDB6C4" w14:textId="682431BA" w:rsidR="008A5C45" w:rsidRDefault="008A5C45" w:rsidP="00CD25E1">
    <w:pPr>
      <w:pStyle w:val="Footerodd"/>
    </w:pPr>
    <w:r>
      <w:tab/>
      <w:t>Minister’s foreword</w:t>
    </w:r>
    <w:r>
      <w:tab/>
    </w:r>
    <w:r>
      <w:fldChar w:fldCharType="begin"/>
    </w:r>
    <w:r>
      <w:instrText xml:space="preserve"> PAGE   \* MERGEFORMAT </w:instrText>
    </w:r>
    <w:r>
      <w:fldChar w:fldCharType="separate"/>
    </w:r>
    <w:r>
      <w:rPr>
        <w:noProof/>
      </w:rPr>
      <w:t>7</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E59023" w14:textId="77777777" w:rsidR="002F2B79" w:rsidRDefault="002F2B79" w:rsidP="00CB5C5F">
      <w:pPr>
        <w:spacing w:before="0" w:after="80" w:line="240" w:lineRule="auto"/>
      </w:pPr>
      <w:r>
        <w:separator/>
      </w:r>
    </w:p>
  </w:footnote>
  <w:footnote w:type="continuationSeparator" w:id="0">
    <w:p w14:paraId="3C54E97B" w14:textId="77777777" w:rsidR="002F2B79" w:rsidRDefault="002F2B79" w:rsidP="0080531E">
      <w:pPr>
        <w:spacing w:before="0" w:after="0" w:line="240" w:lineRule="auto"/>
      </w:pPr>
      <w:r>
        <w:continuationSeparator/>
      </w:r>
    </w:p>
    <w:p w14:paraId="208DE1DF" w14:textId="77777777" w:rsidR="002F2B79" w:rsidRDefault="002F2B79"/>
  </w:footnote>
  <w:footnote w:type="continuationNotice" w:id="1">
    <w:p w14:paraId="03639EBB" w14:textId="77777777" w:rsidR="002F2B79" w:rsidRDefault="002F2B79">
      <w:pPr>
        <w:spacing w:before="0" w:after="0" w:line="240" w:lineRule="auto"/>
      </w:pPr>
    </w:p>
  </w:footnote>
  <w:footnote w:id="2">
    <w:p w14:paraId="77D5F243" w14:textId="259C8CF4" w:rsidR="00B55611" w:rsidRPr="000F7970" w:rsidRDefault="00B55611" w:rsidP="00F733A2">
      <w:pPr>
        <w:pStyle w:val="FootnoteText"/>
        <w:spacing w:after="40"/>
        <w:rPr>
          <w:sz w:val="16"/>
        </w:rPr>
      </w:pPr>
      <w:r w:rsidRPr="00421E2C">
        <w:rPr>
          <w:rStyle w:val="FootnoteReference"/>
        </w:rPr>
        <w:footnoteRef/>
      </w:r>
      <w:r w:rsidRPr="00421E2C">
        <w:tab/>
        <w:t>New Zealand’s ratification of the United Nations Framework Convention on Climate Change</w:t>
      </w:r>
      <w:r w:rsidRPr="00421E2C" w:rsidDel="00605349">
        <w:t xml:space="preserve"> </w:t>
      </w:r>
      <w:r w:rsidRPr="00421E2C">
        <w:t>and the Paris</w:t>
      </w:r>
      <w:r>
        <w:t> </w:t>
      </w:r>
      <w:r w:rsidRPr="00421E2C">
        <w:t>Agreement was extended to include Tokelau, a non-self-governing territory of New Zealand, on 13</w:t>
      </w:r>
      <w:r>
        <w:t> </w:t>
      </w:r>
      <w:r w:rsidRPr="00421E2C">
        <w:t xml:space="preserve">November 2017. For this reason, New Zealand has included GHG emissions and removals estimates from Tokelau in </w:t>
      </w:r>
      <w:r w:rsidR="00B871A4">
        <w:t>the I</w:t>
      </w:r>
      <w:r w:rsidRPr="00421E2C">
        <w:t>nventory since its 2019 submission.</w:t>
      </w:r>
    </w:p>
  </w:footnote>
  <w:footnote w:id="3">
    <w:p w14:paraId="65BBF4D7" w14:textId="77777777" w:rsidR="00B55611" w:rsidRPr="00421E2C" w:rsidRDefault="00B55611" w:rsidP="00F733A2">
      <w:pPr>
        <w:pStyle w:val="FootnoteText"/>
        <w:spacing w:after="40"/>
        <w:rPr>
          <w:rStyle w:val="FooteroddChar"/>
        </w:rPr>
      </w:pPr>
      <w:r w:rsidRPr="00421E2C">
        <w:rPr>
          <w:rStyle w:val="FootnoteReference"/>
        </w:rPr>
        <w:footnoteRef/>
      </w:r>
      <w:r w:rsidRPr="00421E2C">
        <w:tab/>
        <w:t>NF</w:t>
      </w:r>
      <w:r w:rsidRPr="00421E2C">
        <w:rPr>
          <w:vertAlign w:val="subscript"/>
        </w:rPr>
        <w:t>3</w:t>
      </w:r>
      <w:r w:rsidRPr="00421E2C">
        <w:t xml:space="preserve"> emissions do not occur in New Zealand.</w:t>
      </w:r>
    </w:p>
  </w:footnote>
  <w:footnote w:id="4">
    <w:p w14:paraId="76ACC9B9" w14:textId="77777777" w:rsidR="00B55611" w:rsidRDefault="00B55611" w:rsidP="00B55611">
      <w:pPr>
        <w:pStyle w:val="FootnoteText"/>
      </w:pPr>
      <w:r w:rsidRPr="00421E2C">
        <w:rPr>
          <w:rStyle w:val="FootnoteReference"/>
        </w:rPr>
        <w:footnoteRef/>
      </w:r>
      <w:r w:rsidRPr="00421E2C">
        <w:t xml:space="preserve"> </w:t>
      </w:r>
      <w:r w:rsidRPr="00421E2C">
        <w:tab/>
        <w:t xml:space="preserve">Ministry for the Environment. 2024. </w:t>
      </w:r>
      <w:hyperlink r:id="rId1" w:history="1">
        <w:r w:rsidRPr="00421E2C">
          <w:rPr>
            <w:rStyle w:val="Hyperlink"/>
            <w:i/>
            <w:iCs/>
          </w:rPr>
          <w:t>New Zealand’s Greenhouse Gas Inventory 1990–2022</w:t>
        </w:r>
      </w:hyperlink>
      <w:r w:rsidRPr="00421E2C">
        <w:t>. Wellington: Ministry for the Environment.</w:t>
      </w:r>
    </w:p>
  </w:footnote>
  <w:footnote w:id="5">
    <w:p w14:paraId="008EB743" w14:textId="77777777" w:rsidR="00D61191" w:rsidRDefault="00D61191" w:rsidP="00D61191">
      <w:pPr>
        <w:pStyle w:val="FootnoteText"/>
      </w:pPr>
      <w:r>
        <w:rPr>
          <w:rStyle w:val="FootnoteReference"/>
        </w:rPr>
        <w:footnoteRef/>
      </w:r>
      <w:r>
        <w:t xml:space="preserve"> </w:t>
      </w:r>
      <w:r>
        <w:tab/>
        <w:t xml:space="preserve">Jones C. 2016. </w:t>
      </w:r>
      <w:r w:rsidRPr="00076E84">
        <w:rPr>
          <w:i/>
          <w:iCs/>
        </w:rPr>
        <w:t>New Treaty New Tradition: Reconciling New Zealand and Māori Law</w:t>
      </w:r>
      <w:r>
        <w:t>. Wellington: Victoria University Press.</w:t>
      </w:r>
    </w:p>
  </w:footnote>
  <w:footnote w:id="6">
    <w:p w14:paraId="7E19470C" w14:textId="77777777" w:rsidR="00D61191" w:rsidRDefault="00D61191" w:rsidP="00D61191">
      <w:pPr>
        <w:pStyle w:val="FootnoteText"/>
      </w:pPr>
      <w:r>
        <w:rPr>
          <w:rStyle w:val="FootnoteReference"/>
        </w:rPr>
        <w:footnoteRef/>
      </w:r>
      <w:r>
        <w:t xml:space="preserve"> </w:t>
      </w:r>
      <w:r>
        <w:tab/>
      </w:r>
      <w:r w:rsidRPr="002F2E56">
        <w:rPr>
          <w:spacing w:val="-2"/>
        </w:rPr>
        <w:t>An iwi is one of the largest kinship groupings and is generally made up of several hapū that are all descended from a common ancestor. Hapū are clusters of whānau, where the whānau is usually an extended family grouping consisting of children, parents, often grandparents and other closely related kin</w:t>
      </w:r>
      <w:r>
        <w:t xml:space="preserve">. </w:t>
      </w:r>
    </w:p>
  </w:footnote>
  <w:footnote w:id="7">
    <w:p w14:paraId="2AC7A307" w14:textId="77777777" w:rsidR="00D61191" w:rsidRDefault="00D61191" w:rsidP="00D61191">
      <w:pPr>
        <w:pStyle w:val="FootnoteText"/>
      </w:pPr>
      <w:r>
        <w:rPr>
          <w:rStyle w:val="FootnoteReference"/>
        </w:rPr>
        <w:footnoteRef/>
      </w:r>
      <w:r>
        <w:t xml:space="preserve"> </w:t>
      </w:r>
      <w:r>
        <w:tab/>
        <w:t xml:space="preserve">Ministry for the Environment. 2022. </w:t>
      </w:r>
      <w:hyperlink r:id="rId2" w:history="1">
        <w:r w:rsidRPr="00C673CA">
          <w:rPr>
            <w:rStyle w:val="Hyperlink"/>
            <w:i/>
            <w:iCs/>
          </w:rPr>
          <w:t>Climate action for Māori: The national adaptation plan</w:t>
        </w:r>
      </w:hyperlink>
      <w:r>
        <w:rPr>
          <w:i/>
          <w:iCs/>
        </w:rPr>
        <w:t xml:space="preserve">. </w:t>
      </w:r>
      <w:r>
        <w:t>Wellington: Ministry for the Environment.</w:t>
      </w:r>
    </w:p>
  </w:footnote>
  <w:footnote w:id="8">
    <w:p w14:paraId="47C618BC" w14:textId="77777777" w:rsidR="00D61191" w:rsidRPr="00766757" w:rsidRDefault="00D61191" w:rsidP="00D61191">
      <w:pPr>
        <w:pStyle w:val="FootnoteText"/>
        <w:rPr>
          <w:rFonts w:cs="Calibri"/>
          <w:color w:val="000000"/>
          <w:szCs w:val="19"/>
          <w:shd w:val="clear" w:color="auto" w:fill="FFFFFF"/>
        </w:rPr>
      </w:pPr>
      <w:r>
        <w:rPr>
          <w:rStyle w:val="FootnoteReference"/>
        </w:rPr>
        <w:footnoteRef/>
      </w:r>
      <w:r>
        <w:tab/>
      </w:r>
      <w:r>
        <w:rPr>
          <w:rFonts w:cs="Calibri"/>
          <w:color w:val="000000"/>
          <w:szCs w:val="19"/>
          <w:shd w:val="clear" w:color="auto" w:fill="FFFFFF"/>
        </w:rPr>
        <w:t>Ministry for the Environment. 2022. </w:t>
      </w:r>
      <w:hyperlink r:id="rId3" w:tgtFrame="_blank" w:history="1">
        <w:r>
          <w:rPr>
            <w:rFonts w:cs="Calibri"/>
            <w:i/>
            <w:iCs/>
            <w:color w:val="32809C"/>
            <w:szCs w:val="19"/>
            <w:shd w:val="clear" w:color="auto" w:fill="FFFFFF"/>
          </w:rPr>
          <w:t>Aotearoa New Zealand’s first national adaptation plan</w:t>
        </w:r>
        <w:r>
          <w:rPr>
            <w:rFonts w:cs="Calibri"/>
            <w:color w:val="32809C"/>
            <w:szCs w:val="19"/>
            <w:shd w:val="clear" w:color="auto" w:fill="FFFFFF"/>
          </w:rPr>
          <w:t>.</w:t>
        </w:r>
      </w:hyperlink>
      <w:r>
        <w:rPr>
          <w:rFonts w:cs="Calibri"/>
          <w:color w:val="000000"/>
          <w:szCs w:val="19"/>
          <w:shd w:val="clear" w:color="auto" w:fill="FFFFFF"/>
        </w:rPr>
        <w:t xml:space="preserve"> Wellington: Ministry for the Environment. </w:t>
      </w:r>
    </w:p>
  </w:footnote>
  <w:footnote w:id="9">
    <w:p w14:paraId="15AFD24B" w14:textId="77777777" w:rsidR="00D61191" w:rsidRDefault="00D61191" w:rsidP="00D61191">
      <w:pPr>
        <w:pStyle w:val="FootnoteText"/>
      </w:pPr>
      <w:r>
        <w:rPr>
          <w:rStyle w:val="FootnoteReference"/>
        </w:rPr>
        <w:footnoteRef/>
      </w:r>
      <w:r>
        <w:t xml:space="preserve"> </w:t>
      </w:r>
      <w:r>
        <w:tab/>
        <w:t xml:space="preserve">For more detail on the roles of individual agencies, see Public Service Commission. </w:t>
      </w:r>
      <w:hyperlink r:id="rId4" w:history="1">
        <w:r w:rsidRPr="008E4A5C">
          <w:rPr>
            <w:rStyle w:val="Hyperlink"/>
            <w:i/>
            <w:iCs/>
          </w:rPr>
          <w:t>Central government organisations</w:t>
        </w:r>
      </w:hyperlink>
      <w:r>
        <w:t>. Retrieved 12 November 2024.</w:t>
      </w:r>
    </w:p>
  </w:footnote>
  <w:footnote w:id="10">
    <w:p w14:paraId="1523539A" w14:textId="77777777" w:rsidR="00D61191" w:rsidRPr="00E97422" w:rsidRDefault="00D61191" w:rsidP="00D61191">
      <w:pPr>
        <w:pStyle w:val="FootnoteText"/>
      </w:pPr>
      <w:r>
        <w:rPr>
          <w:rStyle w:val="FootnoteReference"/>
        </w:rPr>
        <w:footnoteRef/>
      </w:r>
      <w:r>
        <w:tab/>
        <w:t xml:space="preserve">Stats NZ. 2024. </w:t>
      </w:r>
      <w:hyperlink r:id="rId5" w:history="1">
        <w:r w:rsidRPr="008E4A5C">
          <w:rPr>
            <w:rStyle w:val="Hyperlink"/>
            <w:i/>
            <w:iCs/>
          </w:rPr>
          <w:t>Table Reference: DPE055AA</w:t>
        </w:r>
      </w:hyperlink>
      <w:r>
        <w:rPr>
          <w:i/>
          <w:iCs/>
        </w:rPr>
        <w:t>.</w:t>
      </w:r>
      <w:r>
        <w:t xml:space="preserve"> </w:t>
      </w:r>
    </w:p>
  </w:footnote>
  <w:footnote w:id="11">
    <w:p w14:paraId="074AF1F2" w14:textId="77777777" w:rsidR="00D61191" w:rsidRPr="00AA310F" w:rsidRDefault="00D61191" w:rsidP="00D61191">
      <w:pPr>
        <w:pStyle w:val="FootnoteText"/>
      </w:pPr>
      <w:r>
        <w:rPr>
          <w:rStyle w:val="FootnoteReference"/>
        </w:rPr>
        <w:footnoteRef/>
      </w:r>
      <w:r>
        <w:tab/>
        <w:t xml:space="preserve">Stats NZ. 2023. </w:t>
      </w:r>
      <w:hyperlink r:id="rId6" w:history="1">
        <w:r w:rsidRPr="008E4A5C">
          <w:rPr>
            <w:rStyle w:val="Hyperlink"/>
            <w:i/>
            <w:iCs/>
          </w:rPr>
          <w:t>Table Reference: DPE051AA</w:t>
        </w:r>
      </w:hyperlink>
      <w:r>
        <w:rPr>
          <w:i/>
          <w:iCs/>
        </w:rPr>
        <w:t>.</w:t>
      </w:r>
      <w:r w:rsidDel="008E4A5C">
        <w:rPr>
          <w:i/>
          <w:iCs/>
        </w:rPr>
        <w:t xml:space="preserve"> </w:t>
      </w:r>
    </w:p>
  </w:footnote>
  <w:footnote w:id="12">
    <w:p w14:paraId="613090D4" w14:textId="77777777" w:rsidR="00D61191" w:rsidRPr="00C93605" w:rsidRDefault="00D61191" w:rsidP="00D61191">
      <w:pPr>
        <w:pStyle w:val="FootnoteText"/>
      </w:pPr>
      <w:r>
        <w:rPr>
          <w:rStyle w:val="FootnoteReference"/>
        </w:rPr>
        <w:footnoteRef/>
      </w:r>
      <w:r>
        <w:t xml:space="preserve"> </w:t>
      </w:r>
      <w:r>
        <w:tab/>
        <w:t xml:space="preserve">Stats NZ. 2024. </w:t>
      </w:r>
      <w:hyperlink r:id="rId7" w:history="1">
        <w:r w:rsidRPr="008E4A5C">
          <w:rPr>
            <w:rStyle w:val="Hyperlink"/>
            <w:i/>
            <w:iCs/>
          </w:rPr>
          <w:t>Table Reference: DPE051AA</w:t>
        </w:r>
      </w:hyperlink>
      <w:r>
        <w:rPr>
          <w:i/>
          <w:iCs/>
        </w:rPr>
        <w:t>.</w:t>
      </w:r>
      <w:r w:rsidDel="008E4A5C">
        <w:rPr>
          <w:i/>
          <w:iCs/>
        </w:rPr>
        <w:t xml:space="preserve"> </w:t>
      </w:r>
    </w:p>
  </w:footnote>
  <w:footnote w:id="13">
    <w:p w14:paraId="1F30EC89" w14:textId="330EBA87" w:rsidR="00D61191" w:rsidRDefault="00D61191" w:rsidP="00D61191">
      <w:pPr>
        <w:pStyle w:val="FootnoteText"/>
      </w:pPr>
      <w:r>
        <w:rPr>
          <w:rStyle w:val="FootnoteReference"/>
        </w:rPr>
        <w:footnoteRef/>
      </w:r>
      <w:r>
        <w:t xml:space="preserve"> </w:t>
      </w:r>
      <w:r>
        <w:tab/>
        <w:t xml:space="preserve">Calculated by taking estimated resident population as of June 2023 and dividing by the combined area of the North and South Islands, as provided by Walrond C. 2005. </w:t>
      </w:r>
      <w:hyperlink r:id="rId8" w:history="1">
        <w:r w:rsidRPr="00182771">
          <w:rPr>
            <w:rStyle w:val="Hyperlink"/>
          </w:rPr>
          <w:t>Natural environment: Geography and geology</w:t>
        </w:r>
      </w:hyperlink>
      <w:r>
        <w:t xml:space="preserve">. </w:t>
      </w:r>
      <w:r>
        <w:rPr>
          <w:i/>
          <w:iCs/>
        </w:rPr>
        <w:t xml:space="preserve">Te Ara – the </w:t>
      </w:r>
      <w:r w:rsidR="0062680E">
        <w:rPr>
          <w:i/>
          <w:iCs/>
        </w:rPr>
        <w:t>Encyclopedia</w:t>
      </w:r>
      <w:r>
        <w:rPr>
          <w:i/>
          <w:iCs/>
        </w:rPr>
        <w:t xml:space="preserve"> of New Zealand. </w:t>
      </w:r>
    </w:p>
  </w:footnote>
  <w:footnote w:id="14">
    <w:p w14:paraId="32EEFD3E" w14:textId="77777777" w:rsidR="00D61191" w:rsidRPr="00110C53" w:rsidRDefault="00D61191" w:rsidP="00D61191">
      <w:pPr>
        <w:pStyle w:val="FootnoteText"/>
      </w:pPr>
      <w:r>
        <w:rPr>
          <w:rStyle w:val="FootnoteReference"/>
        </w:rPr>
        <w:footnoteRef/>
      </w:r>
      <w:r>
        <w:t xml:space="preserve"> </w:t>
      </w:r>
      <w:r>
        <w:tab/>
        <w:t xml:space="preserve">United Nations. Department of Economic and Social Affairs, Population Division. 2024. </w:t>
      </w:r>
      <w:hyperlink r:id="rId9" w:history="1">
        <w:r w:rsidRPr="00182771">
          <w:rPr>
            <w:rStyle w:val="Hyperlink"/>
            <w:i/>
            <w:iCs/>
          </w:rPr>
          <w:t>World population prospects 2024</w:t>
        </w:r>
      </w:hyperlink>
      <w:r>
        <w:rPr>
          <w:i/>
          <w:iCs/>
        </w:rPr>
        <w:t>.</w:t>
      </w:r>
    </w:p>
  </w:footnote>
  <w:footnote w:id="15">
    <w:p w14:paraId="1575F337" w14:textId="77777777" w:rsidR="00D61191" w:rsidRDefault="00D61191" w:rsidP="00D61191">
      <w:pPr>
        <w:pStyle w:val="FootnoteText"/>
      </w:pPr>
      <w:r>
        <w:rPr>
          <w:rStyle w:val="FootnoteReference"/>
        </w:rPr>
        <w:footnoteRef/>
      </w:r>
      <w:r>
        <w:t xml:space="preserve"> </w:t>
      </w:r>
      <w:r>
        <w:tab/>
        <w:t xml:space="preserve">Stats NZ. 2022. </w:t>
      </w:r>
      <w:hyperlink r:id="rId10" w:history="1">
        <w:r w:rsidRPr="00182771">
          <w:rPr>
            <w:rStyle w:val="Hyperlink"/>
            <w:i/>
            <w:iCs/>
          </w:rPr>
          <w:t>National population projections: 2022(base)–2073</w:t>
        </w:r>
      </w:hyperlink>
      <w:r>
        <w:rPr>
          <w:i/>
          <w:iCs/>
        </w:rPr>
        <w:t>.</w:t>
      </w:r>
    </w:p>
  </w:footnote>
  <w:footnote w:id="16">
    <w:p w14:paraId="69004797" w14:textId="77777777" w:rsidR="00D61191" w:rsidRPr="007C7B3C" w:rsidRDefault="00D61191" w:rsidP="00D61191">
      <w:pPr>
        <w:pStyle w:val="FootnoteText"/>
      </w:pPr>
      <w:r>
        <w:rPr>
          <w:rStyle w:val="FootnoteReference"/>
        </w:rPr>
        <w:footnoteRef/>
      </w:r>
      <w:r>
        <w:t xml:space="preserve"> </w:t>
      </w:r>
      <w:r>
        <w:tab/>
        <w:t>Stats NZ. 2024.</w:t>
      </w:r>
      <w:hyperlink r:id="rId11" w:history="1">
        <w:r w:rsidRPr="00182771">
          <w:rPr>
            <w:rStyle w:val="Hyperlink"/>
          </w:rPr>
          <w:t xml:space="preserve"> </w:t>
        </w:r>
        <w:r w:rsidRPr="00182771">
          <w:rPr>
            <w:rStyle w:val="Hyperlink"/>
            <w:i/>
            <w:iCs/>
          </w:rPr>
          <w:t>Net migration loss of New Zealand citizens exceeds 50,000</w:t>
        </w:r>
      </w:hyperlink>
      <w:r>
        <w:rPr>
          <w:i/>
          <w:iCs/>
        </w:rPr>
        <w:t>.</w:t>
      </w:r>
      <w:r w:rsidDel="00182771">
        <w:rPr>
          <w:i/>
          <w:iCs/>
        </w:rPr>
        <w:t xml:space="preserve"> </w:t>
      </w:r>
    </w:p>
  </w:footnote>
  <w:footnote w:id="17">
    <w:p w14:paraId="4AC7580D" w14:textId="77777777" w:rsidR="00D61191" w:rsidRPr="00A763D9" w:rsidRDefault="00D61191" w:rsidP="00D61191">
      <w:pPr>
        <w:pStyle w:val="FootnoteText"/>
      </w:pPr>
      <w:r>
        <w:rPr>
          <w:rStyle w:val="FootnoteReference"/>
        </w:rPr>
        <w:footnoteRef/>
      </w:r>
      <w:r>
        <w:t xml:space="preserve"> </w:t>
      </w:r>
      <w:r>
        <w:tab/>
        <w:t xml:space="preserve">Stats NZ. 2024. </w:t>
      </w:r>
      <w:hyperlink r:id="rId12" w:history="1">
        <w:r w:rsidRPr="00182771">
          <w:rPr>
            <w:rStyle w:val="Hyperlink"/>
            <w:i/>
            <w:iCs/>
          </w:rPr>
          <w:t>Net migration remains near record level</w:t>
        </w:r>
      </w:hyperlink>
      <w:r>
        <w:rPr>
          <w:i/>
          <w:iCs/>
        </w:rPr>
        <w:t>.</w:t>
      </w:r>
      <w:r>
        <w:t xml:space="preserve"> </w:t>
      </w:r>
    </w:p>
  </w:footnote>
  <w:footnote w:id="18">
    <w:p w14:paraId="5C89CFA6" w14:textId="77777777" w:rsidR="00D61191" w:rsidRPr="007C631F" w:rsidRDefault="00D61191" w:rsidP="00D61191">
      <w:pPr>
        <w:pStyle w:val="FootnoteText"/>
      </w:pPr>
      <w:r>
        <w:rPr>
          <w:rStyle w:val="FootnoteReference"/>
        </w:rPr>
        <w:footnoteRef/>
      </w:r>
      <w:r>
        <w:t xml:space="preserve"> </w:t>
      </w:r>
      <w:r>
        <w:tab/>
        <w:t xml:space="preserve">Ministry for the Environment and Stats NZ. 2022. </w:t>
      </w:r>
      <w:r>
        <w:rPr>
          <w:i/>
          <w:iCs/>
        </w:rPr>
        <w:t xml:space="preserve">New Zealand’s Environmental Reporting Series: Our marine environment 2022. </w:t>
      </w:r>
      <w:r>
        <w:t xml:space="preserve">Wellington: Ministry for the Environment and Stats NZ. </w:t>
      </w:r>
    </w:p>
  </w:footnote>
  <w:footnote w:id="19">
    <w:p w14:paraId="2DF006D8" w14:textId="77777777" w:rsidR="00D61191" w:rsidRPr="00117C5C" w:rsidRDefault="00D61191" w:rsidP="00D61191">
      <w:pPr>
        <w:pStyle w:val="FootnoteText"/>
      </w:pPr>
      <w:r>
        <w:rPr>
          <w:rStyle w:val="FootnoteReference"/>
        </w:rPr>
        <w:footnoteRef/>
      </w:r>
      <w:r>
        <w:t xml:space="preserve"> </w:t>
      </w:r>
      <w:r>
        <w:tab/>
        <w:t xml:space="preserve">Williams PA, Wiser A, Clarkson B, Stanley MC. 2007. New Zealand’s historically rare terrestrial ecosystems set in a physical and physiognomic framework. </w:t>
      </w:r>
      <w:r>
        <w:rPr>
          <w:i/>
          <w:iCs/>
        </w:rPr>
        <w:t xml:space="preserve">New Zealand Journal of Ecology </w:t>
      </w:r>
      <w:r>
        <w:t xml:space="preserve">31(2): 119–128. </w:t>
      </w:r>
    </w:p>
  </w:footnote>
  <w:footnote w:id="20">
    <w:p w14:paraId="6C4369C1" w14:textId="77777777" w:rsidR="00D61191" w:rsidRPr="00C04E3D" w:rsidRDefault="00D61191" w:rsidP="00D61191">
      <w:pPr>
        <w:pStyle w:val="FootnoteText"/>
      </w:pPr>
      <w:r>
        <w:rPr>
          <w:rStyle w:val="FootnoteReference"/>
        </w:rPr>
        <w:footnoteRef/>
      </w:r>
      <w:r>
        <w:t xml:space="preserve"> </w:t>
      </w:r>
      <w:r>
        <w:tab/>
        <w:t xml:space="preserve">Convention on Biological Diversity. </w:t>
      </w:r>
      <w:hyperlink r:id="rId13" w:history="1">
        <w:r w:rsidRPr="00124A15">
          <w:rPr>
            <w:rStyle w:val="Hyperlink"/>
            <w:i/>
            <w:iCs/>
          </w:rPr>
          <w:t xml:space="preserve">New Zealand – </w:t>
        </w:r>
        <w:r w:rsidRPr="00124A15">
          <w:rPr>
            <w:rStyle w:val="Hyperlink"/>
            <w:i/>
          </w:rPr>
          <w:t>main details</w:t>
        </w:r>
      </w:hyperlink>
      <w:r>
        <w:rPr>
          <w:i/>
          <w:iCs/>
        </w:rPr>
        <w:t>.</w:t>
      </w:r>
      <w:r w:rsidRPr="00114171">
        <w:t xml:space="preserve"> Retrieved 28 August 2024.</w:t>
      </w:r>
      <w:r>
        <w:rPr>
          <w:rStyle w:val="Hyperlink"/>
        </w:rPr>
        <w:t xml:space="preserve"> </w:t>
      </w:r>
    </w:p>
  </w:footnote>
  <w:footnote w:id="21">
    <w:p w14:paraId="713CF06B" w14:textId="77777777" w:rsidR="00D61191" w:rsidRPr="007C2037" w:rsidRDefault="00D61191" w:rsidP="00D61191">
      <w:pPr>
        <w:pStyle w:val="FootnoteText"/>
      </w:pPr>
      <w:r>
        <w:rPr>
          <w:rStyle w:val="FootnoteReference"/>
        </w:rPr>
        <w:footnoteRef/>
      </w:r>
      <w:r>
        <w:t xml:space="preserve"> </w:t>
      </w:r>
      <w:r>
        <w:tab/>
        <w:t xml:space="preserve">Stats NZ. 2024. </w:t>
      </w:r>
      <w:hyperlink r:id="rId14" w:history="1">
        <w:r w:rsidRPr="00114171">
          <w:rPr>
            <w:rStyle w:val="Hyperlink"/>
            <w:i/>
            <w:iCs/>
          </w:rPr>
          <w:t>Gross domestic product (GDP)</w:t>
        </w:r>
      </w:hyperlink>
      <w:r>
        <w:rPr>
          <w:i/>
          <w:iCs/>
        </w:rPr>
        <w:t xml:space="preserve">. </w:t>
      </w:r>
    </w:p>
  </w:footnote>
  <w:footnote w:id="22">
    <w:p w14:paraId="49E03ADF" w14:textId="77777777" w:rsidR="00D61191" w:rsidRPr="0022734F" w:rsidRDefault="00D61191" w:rsidP="00D61191">
      <w:pPr>
        <w:pStyle w:val="FootnoteText"/>
      </w:pPr>
      <w:r>
        <w:rPr>
          <w:rStyle w:val="FootnoteReference"/>
        </w:rPr>
        <w:footnoteRef/>
      </w:r>
      <w:r>
        <w:t xml:space="preserve"> </w:t>
      </w:r>
      <w:r>
        <w:tab/>
        <w:t xml:space="preserve">Annual average calculated based on percentage change from same quarter previous year, ie 2021, Q1 vs 2022, Q1. Stats NZ. 2024. </w:t>
      </w:r>
      <w:hyperlink r:id="rId15" w:history="1">
        <w:r w:rsidRPr="00114171">
          <w:rPr>
            <w:rStyle w:val="Hyperlink"/>
            <w:i/>
            <w:iCs/>
          </w:rPr>
          <w:t>Table Reference: SNE181AA</w:t>
        </w:r>
      </w:hyperlink>
      <w:r>
        <w:rPr>
          <w:i/>
          <w:iCs/>
        </w:rPr>
        <w:t xml:space="preserve">. </w:t>
      </w:r>
    </w:p>
  </w:footnote>
  <w:footnote w:id="23">
    <w:p w14:paraId="3A3F5C8C" w14:textId="77777777" w:rsidR="00D61191" w:rsidRPr="0098692E" w:rsidRDefault="00D61191" w:rsidP="00D61191">
      <w:pPr>
        <w:pStyle w:val="FootnoteText"/>
      </w:pPr>
      <w:r>
        <w:rPr>
          <w:rStyle w:val="FootnoteReference"/>
        </w:rPr>
        <w:footnoteRef/>
      </w:r>
      <w:r>
        <w:t xml:space="preserve"> </w:t>
      </w:r>
      <w:r>
        <w:tab/>
        <w:t xml:space="preserve">Stats NZ. 2022. </w:t>
      </w:r>
      <w:hyperlink r:id="rId16" w:history="1">
        <w:r w:rsidRPr="00872511">
          <w:rPr>
            <w:rStyle w:val="Hyperlink"/>
            <w:i/>
            <w:iCs/>
          </w:rPr>
          <w:t>Gross domestic product: March 2022 quarter</w:t>
        </w:r>
      </w:hyperlink>
      <w:r>
        <w:rPr>
          <w:i/>
          <w:iCs/>
        </w:rPr>
        <w:t>.</w:t>
      </w:r>
      <w:r w:rsidDel="00872511">
        <w:rPr>
          <w:i/>
          <w:iCs/>
        </w:rPr>
        <w:t xml:space="preserve"> </w:t>
      </w:r>
    </w:p>
  </w:footnote>
  <w:footnote w:id="24">
    <w:p w14:paraId="2BCE310A" w14:textId="77777777" w:rsidR="00D61191" w:rsidRPr="00D8476D" w:rsidRDefault="00D61191" w:rsidP="00D61191">
      <w:pPr>
        <w:pStyle w:val="FootnoteText"/>
      </w:pPr>
      <w:r>
        <w:rPr>
          <w:rStyle w:val="FootnoteReference"/>
        </w:rPr>
        <w:footnoteRef/>
      </w:r>
      <w:r>
        <w:t xml:space="preserve"> </w:t>
      </w:r>
      <w:r>
        <w:tab/>
        <w:t xml:space="preserve">Stats NZ. 2024. </w:t>
      </w:r>
      <w:hyperlink r:id="rId17" w:history="1">
        <w:r w:rsidRPr="00872511">
          <w:rPr>
            <w:rStyle w:val="Hyperlink"/>
            <w:i/>
            <w:iCs/>
          </w:rPr>
          <w:t>Gross domestic product: March 2024</w:t>
        </w:r>
      </w:hyperlink>
      <w:r>
        <w:rPr>
          <w:i/>
          <w:iCs/>
        </w:rPr>
        <w:t xml:space="preserve">. </w:t>
      </w:r>
    </w:p>
  </w:footnote>
  <w:footnote w:id="25">
    <w:p w14:paraId="203C1FBB" w14:textId="77777777" w:rsidR="00D61191" w:rsidRDefault="00D61191" w:rsidP="00D61191">
      <w:pPr>
        <w:pStyle w:val="FootnoteText"/>
      </w:pPr>
      <w:r>
        <w:rPr>
          <w:rStyle w:val="FootnoteReference"/>
        </w:rPr>
        <w:footnoteRef/>
      </w:r>
      <w:r>
        <w:t xml:space="preserve"> </w:t>
      </w:r>
      <w:r>
        <w:tab/>
        <w:t xml:space="preserve">Stats NZ. 2023. </w:t>
      </w:r>
      <w:hyperlink r:id="rId18" w:history="1">
        <w:r w:rsidRPr="00872511">
          <w:rPr>
            <w:rStyle w:val="Hyperlink"/>
            <w:i/>
            <w:iCs/>
          </w:rPr>
          <w:t>National accounts (industry production and investment): Year ended March 2022</w:t>
        </w:r>
      </w:hyperlink>
      <w:r>
        <w:rPr>
          <w:i/>
          <w:iCs/>
        </w:rPr>
        <w:t xml:space="preserve">. </w:t>
      </w:r>
    </w:p>
  </w:footnote>
  <w:footnote w:id="26">
    <w:p w14:paraId="3D9A0D45" w14:textId="77777777" w:rsidR="00D61191" w:rsidRDefault="00D61191" w:rsidP="00D61191">
      <w:pPr>
        <w:pStyle w:val="FootnoteText"/>
      </w:pPr>
      <w:r>
        <w:rPr>
          <w:rStyle w:val="FootnoteReference"/>
        </w:rPr>
        <w:footnoteRef/>
      </w:r>
      <w:r>
        <w:tab/>
        <w:t xml:space="preserve">Stats NZ. </w:t>
      </w:r>
      <w:hyperlink r:id="rId19" w:history="1">
        <w:r w:rsidRPr="00CB60BF">
          <w:rPr>
            <w:rStyle w:val="Hyperlink"/>
            <w:i/>
            <w:iCs/>
          </w:rPr>
          <w:t>New Zealand Trade Dashboard</w:t>
        </w:r>
      </w:hyperlink>
      <w:r>
        <w:rPr>
          <w:i/>
          <w:iCs/>
        </w:rPr>
        <w:t xml:space="preserve">. </w:t>
      </w:r>
      <w:r>
        <w:t>Retrieved 12 November 2024.</w:t>
      </w:r>
    </w:p>
  </w:footnote>
  <w:footnote w:id="27">
    <w:p w14:paraId="59FBDCB7" w14:textId="77777777" w:rsidR="00D61191" w:rsidRDefault="00D61191" w:rsidP="00D61191">
      <w:pPr>
        <w:pStyle w:val="FootnoteText"/>
      </w:pPr>
      <w:r>
        <w:rPr>
          <w:rStyle w:val="FootnoteReference"/>
        </w:rPr>
        <w:footnoteRef/>
      </w:r>
      <w:r>
        <w:tab/>
        <w:t xml:space="preserve">Stats NZ. 2024. </w:t>
      </w:r>
      <w:hyperlink r:id="rId20" w:history="1">
        <w:r w:rsidRPr="00CB60BF">
          <w:rPr>
            <w:rStyle w:val="Hyperlink"/>
            <w:i/>
            <w:iCs/>
          </w:rPr>
          <w:t>Table Reference: HLF137AA</w:t>
        </w:r>
      </w:hyperlink>
      <w:r w:rsidRPr="00CB60BF">
        <w:rPr>
          <w:i/>
          <w:iCs/>
        </w:rPr>
        <w:t>.</w:t>
      </w:r>
      <w:r>
        <w:t xml:space="preserve"> </w:t>
      </w:r>
    </w:p>
  </w:footnote>
  <w:footnote w:id="28">
    <w:p w14:paraId="2E4F51B7" w14:textId="77777777" w:rsidR="00D61191" w:rsidRDefault="00D61191" w:rsidP="00D61191">
      <w:pPr>
        <w:pStyle w:val="FootnoteText"/>
      </w:pPr>
      <w:r>
        <w:rPr>
          <w:rStyle w:val="FootnoteReference"/>
        </w:rPr>
        <w:footnoteRef/>
      </w:r>
      <w:r>
        <w:t xml:space="preserve"> </w:t>
      </w:r>
      <w:r>
        <w:tab/>
        <w:t>Energy intensity is calculated as energy use divided by GDP and tells us the amount of energy required to produce each dollar of GDP.</w:t>
      </w:r>
    </w:p>
  </w:footnote>
  <w:footnote w:id="29">
    <w:p w14:paraId="33FEAF46" w14:textId="77777777" w:rsidR="00D61191" w:rsidRPr="00482C86" w:rsidRDefault="00D61191" w:rsidP="00D61191">
      <w:pPr>
        <w:pStyle w:val="FootnoteText"/>
      </w:pPr>
      <w:r>
        <w:rPr>
          <w:rStyle w:val="FootnoteReference"/>
        </w:rPr>
        <w:footnoteRef/>
      </w:r>
      <w:r>
        <w:tab/>
        <w:t xml:space="preserve">Stats NZ. 2024. </w:t>
      </w:r>
      <w:hyperlink r:id="rId21" w:history="1">
        <w:r w:rsidRPr="00CB60BF">
          <w:rPr>
            <w:rStyle w:val="Hyperlink"/>
            <w:i/>
            <w:iCs/>
          </w:rPr>
          <w:t>Greenhouse gas emissions (industry and household): March 2024 quarter</w:t>
        </w:r>
      </w:hyperlink>
      <w:r>
        <w:rPr>
          <w:i/>
          <w:iCs/>
        </w:rPr>
        <w:t xml:space="preserve">. </w:t>
      </w:r>
    </w:p>
  </w:footnote>
  <w:footnote w:id="30">
    <w:p w14:paraId="4C96E972" w14:textId="77777777" w:rsidR="00D61191" w:rsidRPr="00E431AA" w:rsidRDefault="00D61191" w:rsidP="00D61191">
      <w:pPr>
        <w:pStyle w:val="FootnoteText"/>
      </w:pPr>
      <w:r>
        <w:rPr>
          <w:rStyle w:val="FootnoteReference"/>
        </w:rPr>
        <w:footnoteRef/>
      </w:r>
      <w:r>
        <w:tab/>
        <w:t xml:space="preserve">Stats NZ. </w:t>
      </w:r>
      <w:hyperlink r:id="rId22" w:history="1">
        <w:r w:rsidRPr="00AA147D">
          <w:rPr>
            <w:rStyle w:val="Hyperlink"/>
            <w:i/>
            <w:iCs/>
          </w:rPr>
          <w:t>New Zealand Trade Dashboard</w:t>
        </w:r>
      </w:hyperlink>
      <w:r>
        <w:rPr>
          <w:i/>
          <w:iCs/>
        </w:rPr>
        <w:t xml:space="preserve">. </w:t>
      </w:r>
      <w:r>
        <w:t xml:space="preserve">Retrieved </w:t>
      </w:r>
      <w:r w:rsidRPr="00AA147D">
        <w:t>12 November 2024.</w:t>
      </w:r>
    </w:p>
  </w:footnote>
  <w:footnote w:id="31">
    <w:p w14:paraId="54868C29" w14:textId="77777777" w:rsidR="00D61191" w:rsidRDefault="00D61191" w:rsidP="00D61191">
      <w:pPr>
        <w:pStyle w:val="FootnoteText"/>
      </w:pPr>
      <w:r>
        <w:rPr>
          <w:rStyle w:val="FootnoteReference"/>
        </w:rPr>
        <w:footnoteRef/>
      </w:r>
      <w:r>
        <w:t xml:space="preserve"> </w:t>
      </w:r>
      <w:r>
        <w:tab/>
        <w:t xml:space="preserve">Ministry of Foreign Affairs and Trade. </w:t>
      </w:r>
      <w:hyperlink r:id="rId23" w:history="1">
        <w:r w:rsidRPr="00AA147D">
          <w:rPr>
            <w:rStyle w:val="Hyperlink"/>
            <w:i/>
            <w:iCs/>
          </w:rPr>
          <w:t>NZ trade policy</w:t>
        </w:r>
      </w:hyperlink>
      <w:r>
        <w:rPr>
          <w:i/>
          <w:iCs/>
        </w:rPr>
        <w:t xml:space="preserve">. </w:t>
      </w:r>
      <w:r>
        <w:t xml:space="preserve">Retrieved 29 August 2024. </w:t>
      </w:r>
    </w:p>
  </w:footnote>
  <w:footnote w:id="32">
    <w:p w14:paraId="48BBE141" w14:textId="77777777" w:rsidR="00D61191" w:rsidRPr="007E0DB6" w:rsidRDefault="00D61191" w:rsidP="00D61191">
      <w:pPr>
        <w:pStyle w:val="FootnoteText"/>
      </w:pPr>
      <w:r>
        <w:rPr>
          <w:rStyle w:val="FootnoteReference"/>
        </w:rPr>
        <w:footnoteRef/>
      </w:r>
      <w:r>
        <w:tab/>
        <w:t xml:space="preserve">Stats NZ. </w:t>
      </w:r>
      <w:hyperlink r:id="rId24" w:history="1">
        <w:r w:rsidRPr="00AA147D">
          <w:rPr>
            <w:rStyle w:val="Hyperlink"/>
            <w:i/>
            <w:iCs/>
          </w:rPr>
          <w:t>New Zealand Trade Dashboard</w:t>
        </w:r>
      </w:hyperlink>
      <w:r>
        <w:rPr>
          <w:i/>
          <w:iCs/>
        </w:rPr>
        <w:t xml:space="preserve">. </w:t>
      </w:r>
      <w:r>
        <w:t xml:space="preserve">Retrieved </w:t>
      </w:r>
      <w:r w:rsidRPr="00AA147D">
        <w:t>12 November 2024.</w:t>
      </w:r>
    </w:p>
  </w:footnote>
  <w:footnote w:id="33">
    <w:p w14:paraId="6ABD44B7" w14:textId="77777777" w:rsidR="00D61191" w:rsidRPr="00B07BD7" w:rsidRDefault="00D61191" w:rsidP="00D61191">
      <w:pPr>
        <w:pStyle w:val="FootnoteText"/>
      </w:pPr>
      <w:r>
        <w:rPr>
          <w:rStyle w:val="FootnoteReference"/>
        </w:rPr>
        <w:footnoteRef/>
      </w:r>
      <w:r>
        <w:t xml:space="preserve"> </w:t>
      </w:r>
      <w:r>
        <w:tab/>
        <w:t xml:space="preserve">Stats NZ. 2024. </w:t>
      </w:r>
      <w:hyperlink r:id="rId25" w:history="1">
        <w:r w:rsidRPr="00AA147D">
          <w:rPr>
            <w:rStyle w:val="Hyperlink"/>
            <w:i/>
            <w:iCs/>
          </w:rPr>
          <w:t>Tourism satellite account: Year ended March 2023</w:t>
        </w:r>
      </w:hyperlink>
      <w:r>
        <w:rPr>
          <w:i/>
          <w:iCs/>
        </w:rPr>
        <w:t xml:space="preserve">. </w:t>
      </w:r>
      <w:r>
        <w:t>Wellington: Stats NZ.</w:t>
      </w:r>
      <w:r w:rsidDel="00AA147D">
        <w:t xml:space="preserve"> </w:t>
      </w:r>
    </w:p>
  </w:footnote>
  <w:footnote w:id="34">
    <w:p w14:paraId="7A0212F8" w14:textId="77777777" w:rsidR="00D61191" w:rsidRPr="0063441C" w:rsidRDefault="00D61191" w:rsidP="00D61191">
      <w:pPr>
        <w:pStyle w:val="FootnoteText"/>
      </w:pPr>
      <w:r>
        <w:rPr>
          <w:rStyle w:val="FootnoteReference"/>
        </w:rPr>
        <w:footnoteRef/>
      </w:r>
      <w:r>
        <w:tab/>
        <w:t xml:space="preserve">Stats NZ. </w:t>
      </w:r>
      <w:hyperlink r:id="rId26" w:history="1">
        <w:r w:rsidRPr="0063441C">
          <w:rPr>
            <w:rStyle w:val="Hyperlink"/>
            <w:i/>
            <w:iCs/>
          </w:rPr>
          <w:t>New Zealand Trade Dashboard</w:t>
        </w:r>
      </w:hyperlink>
      <w:r>
        <w:rPr>
          <w:i/>
          <w:iCs/>
        </w:rPr>
        <w:t xml:space="preserve">. </w:t>
      </w:r>
      <w:r>
        <w:t>Retrieved 12 November 2024.</w:t>
      </w:r>
    </w:p>
  </w:footnote>
  <w:footnote w:id="35">
    <w:p w14:paraId="3C9EA2EA" w14:textId="77777777" w:rsidR="00D61191" w:rsidRPr="00216563" w:rsidRDefault="00D61191" w:rsidP="00D61191">
      <w:pPr>
        <w:pStyle w:val="FootnoteText"/>
      </w:pPr>
      <w:r>
        <w:rPr>
          <w:rStyle w:val="FootnoteReference"/>
        </w:rPr>
        <w:footnoteRef/>
      </w:r>
      <w:r>
        <w:t xml:space="preserve"> </w:t>
      </w:r>
      <w:r>
        <w:tab/>
        <w:t xml:space="preserve">National Institute of Water and Atmospheric Research. 2017. </w:t>
      </w:r>
      <w:hyperlink r:id="rId27" w:history="1">
        <w:r w:rsidRPr="001F56F4">
          <w:rPr>
            <w:rStyle w:val="Hyperlink"/>
            <w:i/>
            <w:iCs/>
          </w:rPr>
          <w:t>Overview of New Zealand</w:t>
        </w:r>
        <w:r>
          <w:rPr>
            <w:rStyle w:val="Hyperlink"/>
            <w:i/>
            <w:iCs/>
          </w:rPr>
          <w:t>’s</w:t>
        </w:r>
        <w:r w:rsidRPr="001F56F4">
          <w:rPr>
            <w:rStyle w:val="Hyperlink"/>
            <w:i/>
            <w:iCs/>
          </w:rPr>
          <w:t xml:space="preserve"> Climate</w:t>
        </w:r>
      </w:hyperlink>
      <w:r>
        <w:rPr>
          <w:i/>
          <w:iCs/>
        </w:rPr>
        <w:t xml:space="preserve">. </w:t>
      </w:r>
    </w:p>
  </w:footnote>
  <w:footnote w:id="36">
    <w:p w14:paraId="2CDCB75C" w14:textId="77777777" w:rsidR="00D61191" w:rsidRPr="00591876" w:rsidRDefault="00D61191" w:rsidP="00D61191">
      <w:pPr>
        <w:pStyle w:val="FootnoteText"/>
      </w:pPr>
      <w:r>
        <w:rPr>
          <w:rStyle w:val="FootnoteReference"/>
        </w:rPr>
        <w:footnoteRef/>
      </w:r>
      <w:r>
        <w:t xml:space="preserve"> </w:t>
      </w:r>
      <w:r>
        <w:tab/>
        <w:t xml:space="preserve">National Institute of Water and Atmospheric Research. 2024. </w:t>
      </w:r>
      <w:hyperlink r:id="rId28" w:history="1">
        <w:r w:rsidRPr="001F56F4">
          <w:rPr>
            <w:rStyle w:val="Hyperlink"/>
            <w:i/>
            <w:iCs/>
          </w:rPr>
          <w:t>Aotearoa New Zealand Climate Summary: 2023</w:t>
        </w:r>
      </w:hyperlink>
      <w:r>
        <w:rPr>
          <w:i/>
          <w:iCs/>
        </w:rPr>
        <w:t>.</w:t>
      </w:r>
    </w:p>
  </w:footnote>
  <w:footnote w:id="37">
    <w:p w14:paraId="2A7321C9" w14:textId="77777777" w:rsidR="00D61191" w:rsidRDefault="00D61191" w:rsidP="00D61191">
      <w:pPr>
        <w:pStyle w:val="FootnoteText"/>
      </w:pPr>
      <w:r>
        <w:rPr>
          <w:rStyle w:val="FootnoteReference"/>
        </w:rPr>
        <w:footnoteRef/>
      </w:r>
      <w:r>
        <w:tab/>
        <w:t xml:space="preserve">National Institute of Water and Atmospheric Research. 2017. </w:t>
      </w:r>
      <w:hyperlink r:id="rId29" w:history="1">
        <w:r w:rsidRPr="001F56F4">
          <w:rPr>
            <w:rStyle w:val="Hyperlink"/>
            <w:i/>
            <w:iCs/>
          </w:rPr>
          <w:t>Overview of New Zealand</w:t>
        </w:r>
        <w:r>
          <w:rPr>
            <w:rStyle w:val="Hyperlink"/>
            <w:i/>
            <w:iCs/>
          </w:rPr>
          <w:t>’s</w:t>
        </w:r>
        <w:r w:rsidRPr="001F56F4">
          <w:rPr>
            <w:rStyle w:val="Hyperlink"/>
            <w:i/>
            <w:iCs/>
          </w:rPr>
          <w:t xml:space="preserve"> Climate</w:t>
        </w:r>
      </w:hyperlink>
      <w:r>
        <w:rPr>
          <w:i/>
          <w:iCs/>
        </w:rPr>
        <w:t xml:space="preserve">. </w:t>
      </w:r>
    </w:p>
  </w:footnote>
  <w:footnote w:id="38">
    <w:p w14:paraId="1DE3DBF0" w14:textId="77777777" w:rsidR="00D61191" w:rsidRPr="004E7DFA" w:rsidRDefault="00D61191" w:rsidP="00D61191">
      <w:pPr>
        <w:pStyle w:val="FootnoteText"/>
      </w:pPr>
      <w:r>
        <w:rPr>
          <w:rStyle w:val="FootnoteReference"/>
        </w:rPr>
        <w:footnoteRef/>
      </w:r>
      <w:r>
        <w:tab/>
        <w:t xml:space="preserve">Stats NZ. 2017. </w:t>
      </w:r>
      <w:hyperlink r:id="rId30" w:history="1">
        <w:r w:rsidRPr="00477ED5">
          <w:rPr>
            <w:rStyle w:val="Hyperlink"/>
            <w:i/>
            <w:iCs/>
          </w:rPr>
          <w:t>Sunshine Hours</w:t>
        </w:r>
      </w:hyperlink>
      <w:r>
        <w:rPr>
          <w:i/>
          <w:iCs/>
        </w:rPr>
        <w:t xml:space="preserve">. </w:t>
      </w:r>
    </w:p>
  </w:footnote>
  <w:footnote w:id="39">
    <w:p w14:paraId="49793757" w14:textId="77777777" w:rsidR="00D61191" w:rsidRPr="00347D03" w:rsidRDefault="00D61191" w:rsidP="00D61191">
      <w:pPr>
        <w:pStyle w:val="FootnoteText"/>
      </w:pPr>
      <w:r>
        <w:rPr>
          <w:rStyle w:val="FootnoteReference"/>
        </w:rPr>
        <w:footnoteRef/>
      </w:r>
      <w:r>
        <w:t xml:space="preserve"> </w:t>
      </w:r>
      <w:r>
        <w:tab/>
        <w:t xml:space="preserve">Bodeker G, Cullen N, Katurji M, McDonald A, Morgenstern O, Noone D, Renwick J, Revell, L, Tait A. 2022. </w:t>
      </w:r>
      <w:r>
        <w:rPr>
          <w:i/>
          <w:iCs/>
        </w:rPr>
        <w:t xml:space="preserve">Aotearoa New Zealand Climate Change Projections Guidance: Interpreting the Latest IPCC WG1 Findings. </w:t>
      </w:r>
      <w:r>
        <w:t xml:space="preserve">Prepared for the Ministry for the Environment. </w:t>
      </w:r>
    </w:p>
  </w:footnote>
  <w:footnote w:id="40">
    <w:p w14:paraId="4A4CE470" w14:textId="77777777" w:rsidR="00D61191" w:rsidRDefault="00D61191" w:rsidP="00D61191">
      <w:pPr>
        <w:pStyle w:val="FootnoteText"/>
      </w:pPr>
      <w:r>
        <w:rPr>
          <w:rStyle w:val="FootnoteReference"/>
        </w:rPr>
        <w:footnoteRef/>
      </w:r>
      <w:r>
        <w:t xml:space="preserve"> </w:t>
      </w:r>
      <w:r>
        <w:tab/>
        <w:t>National Institute of Water and Atmospheric Research. 2024.</w:t>
      </w:r>
      <w:hyperlink r:id="rId31" w:history="1">
        <w:r w:rsidRPr="00477ED5">
          <w:rPr>
            <w:rStyle w:val="Hyperlink"/>
          </w:rPr>
          <w:t xml:space="preserve"> </w:t>
        </w:r>
        <w:r w:rsidRPr="00477ED5">
          <w:rPr>
            <w:rStyle w:val="Hyperlink"/>
            <w:i/>
            <w:iCs/>
          </w:rPr>
          <w:t>Aotearoa New Zealand Climate Summary: 2023</w:t>
        </w:r>
      </w:hyperlink>
      <w:r>
        <w:rPr>
          <w:i/>
          <w:iCs/>
        </w:rPr>
        <w:t>.</w:t>
      </w:r>
      <w:r w:rsidDel="00477ED5">
        <w:rPr>
          <w:i/>
          <w:iCs/>
        </w:rPr>
        <w:t xml:space="preserve"> </w:t>
      </w:r>
    </w:p>
  </w:footnote>
  <w:footnote w:id="41">
    <w:p w14:paraId="02E482BE" w14:textId="77777777" w:rsidR="00D61191" w:rsidRDefault="00D61191" w:rsidP="00D61191">
      <w:pPr>
        <w:pStyle w:val="FootnoteText"/>
      </w:pPr>
      <w:r>
        <w:rPr>
          <w:rStyle w:val="FootnoteReference"/>
        </w:rPr>
        <w:footnoteRef/>
      </w:r>
      <w:r>
        <w:tab/>
      </w:r>
      <w:r>
        <w:rPr>
          <w:rFonts w:cs="Calibri"/>
          <w:color w:val="000000"/>
          <w:szCs w:val="19"/>
          <w:shd w:val="clear" w:color="auto" w:fill="FFFFFF"/>
        </w:rPr>
        <w:t>Intergovernmental Panel on</w:t>
      </w:r>
      <w:r>
        <w:t xml:space="preserve"> Climate Change.</w:t>
      </w:r>
      <w:r>
        <w:rPr>
          <w:rFonts w:cs="Calibri"/>
          <w:color w:val="000000"/>
          <w:szCs w:val="19"/>
          <w:shd w:val="clear" w:color="auto" w:fill="FFFFFF"/>
        </w:rPr>
        <w:t> 2021. </w:t>
      </w:r>
      <w:hyperlink r:id="rId32" w:history="1">
        <w:r w:rsidRPr="00AF3089">
          <w:rPr>
            <w:rStyle w:val="Hyperlink"/>
            <w:rFonts w:cs="Calibri"/>
            <w:i/>
            <w:iCs/>
            <w:szCs w:val="19"/>
            <w:shd w:val="clear" w:color="auto" w:fill="FFFFFF"/>
          </w:rPr>
          <w:t>Climate Change 2021: The Physical Science Basis. Contribution of Working Group I to the Sixth Assessment Report of the Intergovernmental Panel on Climate Change</w:t>
        </w:r>
      </w:hyperlink>
      <w:r>
        <w:rPr>
          <w:rFonts w:cs="Calibri"/>
          <w:color w:val="000000"/>
          <w:szCs w:val="19"/>
          <w:shd w:val="clear" w:color="auto" w:fill="FFFFFF"/>
        </w:rPr>
        <w:t>. Cambridge: Intergovernmental Panel on Climate Change.</w:t>
      </w:r>
      <w:r w:rsidRPr="004339B3">
        <w:t xml:space="preserve"> </w:t>
      </w:r>
    </w:p>
  </w:footnote>
  <w:footnote w:id="42">
    <w:p w14:paraId="137875A3" w14:textId="3D73FC10" w:rsidR="00D61191" w:rsidRDefault="00D61191" w:rsidP="00D61191">
      <w:pPr>
        <w:pStyle w:val="FootnoteText"/>
      </w:pPr>
      <w:r>
        <w:rPr>
          <w:rStyle w:val="FootnoteReference"/>
        </w:rPr>
        <w:footnoteRef/>
      </w:r>
      <w:r>
        <w:t xml:space="preserve"> </w:t>
      </w:r>
      <w:r>
        <w:tab/>
        <w:t xml:space="preserve">This occurred, on average, across the four main port records. See Stats NZ. 2022. </w:t>
      </w:r>
      <w:hyperlink r:id="rId33" w:history="1">
        <w:r w:rsidRPr="008024CA">
          <w:rPr>
            <w:rStyle w:val="Hyperlink"/>
            <w:i/>
            <w:iCs/>
          </w:rPr>
          <w:t>Coastal sea-level rise</w:t>
        </w:r>
      </w:hyperlink>
      <w:r>
        <w:t>.</w:t>
      </w:r>
    </w:p>
  </w:footnote>
  <w:footnote w:id="43">
    <w:p w14:paraId="0F45B40E" w14:textId="77777777" w:rsidR="00D61191" w:rsidRPr="00733CC9" w:rsidRDefault="00D61191" w:rsidP="00D61191">
      <w:pPr>
        <w:pStyle w:val="FootnoteText"/>
      </w:pPr>
      <w:r>
        <w:rPr>
          <w:rStyle w:val="FootnoteReference"/>
        </w:rPr>
        <w:footnoteRef/>
      </w:r>
      <w:r>
        <w:tab/>
        <w:t xml:space="preserve">Stats NZ. 2022. </w:t>
      </w:r>
      <w:hyperlink r:id="rId34" w:history="1">
        <w:r w:rsidRPr="00477ED5">
          <w:rPr>
            <w:rStyle w:val="Hyperlink"/>
            <w:i/>
            <w:iCs/>
          </w:rPr>
          <w:t>Coastal sea-level rise</w:t>
        </w:r>
      </w:hyperlink>
      <w:r>
        <w:rPr>
          <w:i/>
          <w:iCs/>
        </w:rPr>
        <w:t>.</w:t>
      </w:r>
    </w:p>
  </w:footnote>
  <w:footnote w:id="44">
    <w:p w14:paraId="00192C4C" w14:textId="77777777" w:rsidR="00D61191" w:rsidRDefault="00D61191" w:rsidP="00D61191">
      <w:pPr>
        <w:pStyle w:val="FootnoteText"/>
      </w:pPr>
      <w:r w:rsidRPr="32FA768E">
        <w:rPr>
          <w:rStyle w:val="FootnoteReference"/>
        </w:rPr>
        <w:footnoteRef/>
      </w:r>
      <w:r>
        <w:tab/>
        <w:t xml:space="preserve">Ministry for the Environment. 2024. </w:t>
      </w:r>
      <w:hyperlink r:id="rId35">
        <w:r w:rsidRPr="32FA768E">
          <w:rPr>
            <w:rStyle w:val="Hyperlink"/>
            <w:i/>
            <w:iCs/>
          </w:rPr>
          <w:t>Climate Projections Data</w:t>
        </w:r>
        <w:r>
          <w:rPr>
            <w:rStyle w:val="Hyperlink"/>
            <w:i/>
            <w:iCs/>
          </w:rPr>
          <w:t>set.</w:t>
        </w:r>
      </w:hyperlink>
    </w:p>
  </w:footnote>
  <w:footnote w:id="45">
    <w:p w14:paraId="60C4FD5B" w14:textId="77777777" w:rsidR="00D61191" w:rsidRDefault="00D61191" w:rsidP="00D61191">
      <w:pPr>
        <w:pStyle w:val="FootnoteText"/>
      </w:pPr>
      <w:r>
        <w:rPr>
          <w:rStyle w:val="FootnoteReference"/>
        </w:rPr>
        <w:footnoteRef/>
      </w:r>
      <w:r>
        <w:t xml:space="preserve"> </w:t>
      </w:r>
      <w:r>
        <w:tab/>
        <w:t xml:space="preserve">Ministry for the Environment. 2024. </w:t>
      </w:r>
      <w:hyperlink r:id="rId36">
        <w:r>
          <w:rPr>
            <w:rStyle w:val="Hyperlink"/>
            <w:i/>
            <w:iCs/>
          </w:rPr>
          <w:t>Climate Projections Data</w:t>
        </w:r>
      </w:hyperlink>
      <w:r>
        <w:rPr>
          <w:rStyle w:val="Hyperlink"/>
          <w:i/>
          <w:iCs/>
        </w:rPr>
        <w:t>set.</w:t>
      </w:r>
    </w:p>
  </w:footnote>
  <w:footnote w:id="46">
    <w:p w14:paraId="00386A2D" w14:textId="77777777" w:rsidR="00D61191" w:rsidRPr="009A268F" w:rsidRDefault="00D61191" w:rsidP="00CB6B7C">
      <w:pPr>
        <w:pStyle w:val="FootnoteText"/>
        <w:spacing w:after="40"/>
      </w:pPr>
      <w:r>
        <w:rPr>
          <w:rStyle w:val="FootnoteReference"/>
        </w:rPr>
        <w:footnoteRef/>
      </w:r>
      <w:r>
        <w:tab/>
        <w:t xml:space="preserve">All greenhouse gas emissions data in this section are from: Ministry for the Environment. 2024. </w:t>
      </w:r>
      <w:hyperlink r:id="rId37" w:history="1">
        <w:r w:rsidRPr="00BB0E90">
          <w:rPr>
            <w:rStyle w:val="Hyperlink"/>
            <w:i/>
            <w:iCs/>
          </w:rPr>
          <w:t>New</w:t>
        </w:r>
        <w:r>
          <w:rPr>
            <w:rStyle w:val="Hyperlink"/>
            <w:i/>
            <w:iCs/>
          </w:rPr>
          <w:t> </w:t>
        </w:r>
        <w:r w:rsidRPr="00BB0E90">
          <w:rPr>
            <w:rStyle w:val="Hyperlink"/>
            <w:i/>
            <w:iCs/>
          </w:rPr>
          <w:t>Zealand’s Greenhouse Gas Inventory 1990–2022</w:t>
        </w:r>
      </w:hyperlink>
      <w:r>
        <w:rPr>
          <w:i/>
          <w:iCs/>
        </w:rPr>
        <w:t xml:space="preserve">. </w:t>
      </w:r>
      <w:r>
        <w:t xml:space="preserve">Wellington: Ministry for the Environment. </w:t>
      </w:r>
    </w:p>
  </w:footnote>
  <w:footnote w:id="47">
    <w:p w14:paraId="0F4DE07F" w14:textId="77777777" w:rsidR="00D61191" w:rsidRDefault="00D61191" w:rsidP="00CB6B7C">
      <w:pPr>
        <w:pStyle w:val="FootnoteText"/>
        <w:spacing w:after="40"/>
      </w:pPr>
      <w:r>
        <w:rPr>
          <w:rStyle w:val="FootnoteReference"/>
        </w:rPr>
        <w:footnoteRef/>
      </w:r>
      <w:r>
        <w:t xml:space="preserve"> </w:t>
      </w:r>
      <w:r>
        <w:tab/>
        <w:t xml:space="preserve">Unless otherwise specified, all information in this section comes from: Ministry of Business, Innovation and Employment. </w:t>
      </w:r>
      <w:hyperlink r:id="rId38" w:history="1">
        <w:r w:rsidRPr="007E2252">
          <w:rPr>
            <w:rStyle w:val="Hyperlink"/>
            <w:i/>
            <w:iCs/>
          </w:rPr>
          <w:t>Energy in New Zealand 2024</w:t>
        </w:r>
      </w:hyperlink>
      <w:r>
        <w:rPr>
          <w:i/>
          <w:iCs/>
        </w:rPr>
        <w:t xml:space="preserve">. </w:t>
      </w:r>
      <w:r>
        <w:t xml:space="preserve">Wellington: MBIE. </w:t>
      </w:r>
    </w:p>
  </w:footnote>
  <w:footnote w:id="48">
    <w:p w14:paraId="39AA18B1" w14:textId="77777777" w:rsidR="00D61191" w:rsidRPr="00F9184B" w:rsidRDefault="00D61191" w:rsidP="00CB6B7C">
      <w:pPr>
        <w:pStyle w:val="FootnoteText"/>
        <w:spacing w:after="40"/>
      </w:pPr>
      <w:r>
        <w:rPr>
          <w:rStyle w:val="FootnoteReference"/>
        </w:rPr>
        <w:footnoteRef/>
      </w:r>
      <w:r>
        <w:t xml:space="preserve"> </w:t>
      </w:r>
      <w:r>
        <w:tab/>
        <w:t>1 petajoule = 10</w:t>
      </w:r>
      <w:r>
        <w:rPr>
          <w:vertAlign w:val="superscript"/>
        </w:rPr>
        <w:t>15</w:t>
      </w:r>
      <w:r>
        <w:t xml:space="preserve"> joules. </w:t>
      </w:r>
    </w:p>
  </w:footnote>
  <w:footnote w:id="49">
    <w:p w14:paraId="4D821B1E" w14:textId="77777777" w:rsidR="00D61191" w:rsidRDefault="00D61191" w:rsidP="00CB6B7C">
      <w:pPr>
        <w:pStyle w:val="FootnoteText"/>
        <w:spacing w:after="40"/>
      </w:pPr>
      <w:r>
        <w:rPr>
          <w:rStyle w:val="FootnoteReference"/>
        </w:rPr>
        <w:footnoteRef/>
      </w:r>
      <w:r>
        <w:t xml:space="preserve"> </w:t>
      </w:r>
      <w:r>
        <w:tab/>
        <w:t xml:space="preserve">TPES </w:t>
      </w:r>
      <w:r w:rsidRPr="009B0482">
        <w:t>is calculated as domestic production plus imports, less exports and energy used for international transport.</w:t>
      </w:r>
    </w:p>
  </w:footnote>
  <w:footnote w:id="50">
    <w:p w14:paraId="135731A2" w14:textId="77777777" w:rsidR="00D61191" w:rsidRDefault="00D61191" w:rsidP="00CB6B7C">
      <w:pPr>
        <w:pStyle w:val="FootnoteText"/>
        <w:spacing w:after="40"/>
      </w:pPr>
      <w:r>
        <w:rPr>
          <w:rStyle w:val="FootnoteReference"/>
        </w:rPr>
        <w:footnoteRef/>
      </w:r>
      <w:r>
        <w:t xml:space="preserve"> </w:t>
      </w:r>
      <w:r>
        <w:tab/>
      </w:r>
      <w:r w:rsidRPr="0009610E">
        <w:rPr>
          <w:spacing w:val="-2"/>
        </w:rPr>
        <w:t>Energy self-sufficiency is calculated as domestic energy production divided by total primary energy supply</w:t>
      </w:r>
      <w:r>
        <w:t>.</w:t>
      </w:r>
    </w:p>
  </w:footnote>
  <w:footnote w:id="51">
    <w:p w14:paraId="1317BE44" w14:textId="77777777" w:rsidR="00D61191" w:rsidRDefault="00D61191" w:rsidP="00CB6B7C">
      <w:pPr>
        <w:pStyle w:val="FootnoteText"/>
        <w:spacing w:after="40"/>
      </w:pPr>
      <w:r>
        <w:rPr>
          <w:rStyle w:val="FootnoteReference"/>
        </w:rPr>
        <w:footnoteRef/>
      </w:r>
      <w:r>
        <w:tab/>
        <w:t xml:space="preserve">Ministry of Business, Innovation and Employment. </w:t>
      </w:r>
      <w:hyperlink r:id="rId39" w:history="1">
        <w:r w:rsidRPr="00AC574B">
          <w:rPr>
            <w:rStyle w:val="Hyperlink"/>
            <w:i/>
            <w:iCs/>
          </w:rPr>
          <w:t>Energy in New Zealand 2023</w:t>
        </w:r>
      </w:hyperlink>
      <w:r>
        <w:rPr>
          <w:i/>
          <w:iCs/>
        </w:rPr>
        <w:t xml:space="preserve">. </w:t>
      </w:r>
      <w:r>
        <w:t xml:space="preserve">Wellington: MBIE. </w:t>
      </w:r>
    </w:p>
  </w:footnote>
  <w:footnote w:id="52">
    <w:p w14:paraId="10EAE2D7" w14:textId="77777777" w:rsidR="00D61191" w:rsidRDefault="00D61191" w:rsidP="00D61191">
      <w:pPr>
        <w:pStyle w:val="FootnoteText"/>
      </w:pPr>
      <w:r>
        <w:rPr>
          <w:rStyle w:val="FootnoteReference"/>
        </w:rPr>
        <w:footnoteRef/>
      </w:r>
      <w:r>
        <w:tab/>
        <w:t xml:space="preserve">Ministry for the Environment. 2024. </w:t>
      </w:r>
      <w:hyperlink r:id="rId40" w:history="1">
        <w:r w:rsidRPr="00AC574B">
          <w:rPr>
            <w:rStyle w:val="Hyperlink"/>
            <w:i/>
            <w:iCs/>
          </w:rPr>
          <w:t>New Zealand’s Greenhouse Gas Inventory 1990–2022</w:t>
        </w:r>
      </w:hyperlink>
      <w:r>
        <w:rPr>
          <w:i/>
          <w:iCs/>
        </w:rPr>
        <w:t xml:space="preserve">. </w:t>
      </w:r>
      <w:r>
        <w:t xml:space="preserve">Wellington: Ministry for the Environment. </w:t>
      </w:r>
    </w:p>
  </w:footnote>
  <w:footnote w:id="53">
    <w:p w14:paraId="1E0D050F" w14:textId="77777777" w:rsidR="00D61191" w:rsidRPr="0030020F" w:rsidRDefault="00D61191" w:rsidP="00D61191">
      <w:pPr>
        <w:pStyle w:val="FootnoteText"/>
      </w:pPr>
      <w:r>
        <w:rPr>
          <w:rStyle w:val="FootnoteReference"/>
        </w:rPr>
        <w:footnoteRef/>
      </w:r>
      <w:r>
        <w:t xml:space="preserve"> </w:t>
      </w:r>
      <w:r>
        <w:tab/>
        <w:t xml:space="preserve">Ministry for the Environment. 2024. </w:t>
      </w:r>
      <w:hyperlink r:id="rId41" w:anchor=":~:text=Based%20on%20the%20data%20for,8.8%20t%20CO2%2De." w:history="1">
        <w:r w:rsidRPr="00AC574B">
          <w:rPr>
            <w:rStyle w:val="Hyperlink"/>
            <w:i/>
            <w:iCs/>
          </w:rPr>
          <w:t>New Zealand’s Greenhouse Gas Inventory 1990–2022: Snapshot</w:t>
        </w:r>
      </w:hyperlink>
      <w:r>
        <w:rPr>
          <w:i/>
          <w:iCs/>
        </w:rPr>
        <w:t>.</w:t>
      </w:r>
      <w:r>
        <w:t xml:space="preserve"> Wellington: Ministry for the Environment. </w:t>
      </w:r>
    </w:p>
  </w:footnote>
  <w:footnote w:id="54">
    <w:p w14:paraId="7487D7B4" w14:textId="77777777" w:rsidR="00D61191" w:rsidRPr="00FF25CB" w:rsidRDefault="00D61191" w:rsidP="00D61191">
      <w:pPr>
        <w:pStyle w:val="FootnoteText"/>
      </w:pPr>
      <w:r>
        <w:rPr>
          <w:rStyle w:val="FootnoteReference"/>
        </w:rPr>
        <w:footnoteRef/>
      </w:r>
      <w:r>
        <w:tab/>
        <w:t xml:space="preserve">For a detailed account, see: Ministry of Business, Innovation and Employment. 2015. </w:t>
      </w:r>
      <w:hyperlink r:id="rId42" w:history="1">
        <w:r w:rsidRPr="00886CCA">
          <w:rPr>
            <w:rStyle w:val="Hyperlink"/>
            <w:i/>
            <w:iCs/>
          </w:rPr>
          <w:t>Chronology of New</w:t>
        </w:r>
        <w:r>
          <w:rPr>
            <w:rStyle w:val="Hyperlink"/>
            <w:i/>
            <w:iCs/>
          </w:rPr>
          <w:t> </w:t>
        </w:r>
        <w:r w:rsidRPr="00886CCA">
          <w:rPr>
            <w:rStyle w:val="Hyperlink"/>
            <w:i/>
            <w:iCs/>
          </w:rPr>
          <w:t>Zealand Electricity Reform</w:t>
        </w:r>
      </w:hyperlink>
      <w:r>
        <w:rPr>
          <w:i/>
          <w:iCs/>
        </w:rPr>
        <w:t xml:space="preserve">. </w:t>
      </w:r>
      <w:r>
        <w:t>Wellington: MBIE.</w:t>
      </w:r>
      <w:r w:rsidDel="00886CCA">
        <w:t xml:space="preserve"> </w:t>
      </w:r>
    </w:p>
  </w:footnote>
  <w:footnote w:id="55">
    <w:p w14:paraId="1A6B0AA1" w14:textId="77777777" w:rsidR="00D61191" w:rsidRDefault="00D61191" w:rsidP="00D61191">
      <w:pPr>
        <w:pStyle w:val="FootnoteText"/>
        <w:spacing w:after="40"/>
      </w:pPr>
      <w:r>
        <w:rPr>
          <w:rStyle w:val="FootnoteReference"/>
        </w:rPr>
        <w:footnoteRef/>
      </w:r>
      <w:r>
        <w:t xml:space="preserve"> </w:t>
      </w:r>
      <w:r>
        <w:tab/>
        <w:t xml:space="preserve">Ministry for the Environment. 2024. </w:t>
      </w:r>
      <w:hyperlink r:id="rId43" w:history="1">
        <w:r w:rsidRPr="00886CCA">
          <w:rPr>
            <w:rStyle w:val="Hyperlink"/>
            <w:i/>
            <w:iCs/>
          </w:rPr>
          <w:t>New Zealand’s Greenhouse Gas Inventory 1990–2022</w:t>
        </w:r>
      </w:hyperlink>
      <w:r>
        <w:rPr>
          <w:i/>
          <w:iCs/>
        </w:rPr>
        <w:t xml:space="preserve">. </w:t>
      </w:r>
      <w:r>
        <w:t>Wellington: Ministry for the Environment.</w:t>
      </w:r>
    </w:p>
  </w:footnote>
  <w:footnote w:id="56">
    <w:p w14:paraId="17838E3E" w14:textId="77777777" w:rsidR="00D61191" w:rsidRDefault="00D61191" w:rsidP="00D61191">
      <w:pPr>
        <w:pStyle w:val="FootnoteText"/>
        <w:spacing w:after="40"/>
      </w:pPr>
      <w:r>
        <w:rPr>
          <w:rStyle w:val="FootnoteReference"/>
        </w:rPr>
        <w:footnoteRef/>
      </w:r>
      <w:r>
        <w:t xml:space="preserve"> </w:t>
      </w:r>
      <w:r>
        <w:tab/>
        <w:t xml:space="preserve">Ministry of Business, Innovation and Employment. 2021. </w:t>
      </w:r>
      <w:hyperlink r:id="rId44" w:history="1">
        <w:r w:rsidRPr="00886CCA">
          <w:rPr>
            <w:rStyle w:val="Hyperlink"/>
            <w:i/>
            <w:iCs/>
          </w:rPr>
          <w:t>Data Tables for Oil</w:t>
        </w:r>
      </w:hyperlink>
      <w:r>
        <w:t xml:space="preserve">. </w:t>
      </w:r>
    </w:p>
  </w:footnote>
  <w:footnote w:id="57">
    <w:p w14:paraId="2CF4AC81" w14:textId="77777777" w:rsidR="00D61191" w:rsidRDefault="00D61191" w:rsidP="00D61191">
      <w:pPr>
        <w:pStyle w:val="FootnoteText"/>
        <w:spacing w:after="40"/>
      </w:pPr>
      <w:r>
        <w:rPr>
          <w:rStyle w:val="FootnoteReference"/>
        </w:rPr>
        <w:footnoteRef/>
      </w:r>
      <w:r>
        <w:t xml:space="preserve"> </w:t>
      </w:r>
      <w:r>
        <w:tab/>
        <w:t xml:space="preserve">Ministry of Business, Innovation and Employment. 2024. </w:t>
      </w:r>
      <w:hyperlink r:id="rId45" w:history="1">
        <w:r w:rsidRPr="00886CCA">
          <w:rPr>
            <w:rStyle w:val="Hyperlink"/>
            <w:i/>
            <w:iCs/>
          </w:rPr>
          <w:t>Energy in New Zealand 2024</w:t>
        </w:r>
      </w:hyperlink>
      <w:r>
        <w:t>. Wellington: MBIE.</w:t>
      </w:r>
    </w:p>
  </w:footnote>
  <w:footnote w:id="58">
    <w:p w14:paraId="418A8B62" w14:textId="77777777" w:rsidR="00D61191" w:rsidRPr="00D37A24" w:rsidRDefault="00D61191" w:rsidP="00D61191">
      <w:pPr>
        <w:pStyle w:val="FootnoteText"/>
        <w:spacing w:after="40"/>
      </w:pPr>
      <w:r>
        <w:rPr>
          <w:rStyle w:val="FootnoteReference"/>
        </w:rPr>
        <w:footnoteRef/>
      </w:r>
      <w:r>
        <w:t xml:space="preserve"> </w:t>
      </w:r>
      <w:r>
        <w:tab/>
        <w:t xml:space="preserve">Ministry of Business, Innovation and Employment. </w:t>
      </w:r>
      <w:hyperlink r:id="rId46" w:history="1">
        <w:r w:rsidRPr="00886CCA">
          <w:rPr>
            <w:rStyle w:val="Hyperlink"/>
            <w:i/>
            <w:iCs/>
          </w:rPr>
          <w:t>Energy in New Zealand 2021</w:t>
        </w:r>
      </w:hyperlink>
      <w:r>
        <w:rPr>
          <w:i/>
          <w:iCs/>
        </w:rPr>
        <w:t xml:space="preserve">. </w:t>
      </w:r>
      <w:r>
        <w:t>Wellington: MBIE.</w:t>
      </w:r>
    </w:p>
  </w:footnote>
  <w:footnote w:id="59">
    <w:p w14:paraId="7B12031E" w14:textId="77777777" w:rsidR="00D61191" w:rsidRDefault="00D61191" w:rsidP="00D61191">
      <w:pPr>
        <w:pStyle w:val="FootnoteText"/>
      </w:pPr>
      <w:r>
        <w:rPr>
          <w:rStyle w:val="FootnoteReference"/>
        </w:rPr>
        <w:footnoteRef/>
      </w:r>
      <w:r>
        <w:t xml:space="preserve"> </w:t>
      </w:r>
      <w:r>
        <w:tab/>
        <w:t xml:space="preserve">Unless otherwise specified, all data in this section are from: Ministry of Transport. 2023. </w:t>
      </w:r>
      <w:hyperlink r:id="rId47" w:history="1">
        <w:r w:rsidRPr="00F35283">
          <w:rPr>
            <w:rStyle w:val="Hyperlink"/>
            <w:i/>
            <w:iCs/>
          </w:rPr>
          <w:t>New Zealand Vehicle Fleet Annual Statistics</w:t>
        </w:r>
      </w:hyperlink>
      <w:r>
        <w:rPr>
          <w:i/>
          <w:iCs/>
        </w:rPr>
        <w:t xml:space="preserve">. </w:t>
      </w:r>
    </w:p>
  </w:footnote>
  <w:footnote w:id="60">
    <w:p w14:paraId="7D0E91E7" w14:textId="4D6C235A" w:rsidR="00D61191" w:rsidRPr="00F20280" w:rsidRDefault="00D61191" w:rsidP="00D61191">
      <w:pPr>
        <w:pStyle w:val="FootnoteText"/>
      </w:pPr>
      <w:r>
        <w:rPr>
          <w:rStyle w:val="FootnoteReference"/>
        </w:rPr>
        <w:footnoteRef/>
      </w:r>
      <w:r>
        <w:t xml:space="preserve"> </w:t>
      </w:r>
      <w:r>
        <w:tab/>
        <w:t xml:space="preserve">All greenhouse gas emissions data in this section are from: Ministry for the Environment. 2024. </w:t>
      </w:r>
      <w:hyperlink r:id="rId48" w:history="1">
        <w:r w:rsidRPr="00F35283">
          <w:rPr>
            <w:rStyle w:val="Hyperlink"/>
            <w:i/>
            <w:iCs/>
          </w:rPr>
          <w:t>New</w:t>
        </w:r>
        <w:r w:rsidR="00725EDE">
          <w:rPr>
            <w:rStyle w:val="Hyperlink"/>
            <w:i/>
            <w:iCs/>
          </w:rPr>
          <w:t> </w:t>
        </w:r>
        <w:r w:rsidRPr="00F35283">
          <w:rPr>
            <w:rStyle w:val="Hyperlink"/>
            <w:i/>
            <w:iCs/>
          </w:rPr>
          <w:t>Zealand’s Greenhouse Gas Inventory 1990–2022</w:t>
        </w:r>
      </w:hyperlink>
      <w:r>
        <w:rPr>
          <w:i/>
          <w:iCs/>
        </w:rPr>
        <w:t xml:space="preserve">. </w:t>
      </w:r>
      <w:r>
        <w:t>Wellington: Ministry for the Environment.</w:t>
      </w:r>
      <w:r w:rsidDel="00F35283">
        <w:t xml:space="preserve"> </w:t>
      </w:r>
    </w:p>
  </w:footnote>
  <w:footnote w:id="61">
    <w:p w14:paraId="33003C6F" w14:textId="77777777" w:rsidR="00D61191" w:rsidRDefault="00D61191" w:rsidP="00D61191">
      <w:pPr>
        <w:pStyle w:val="FootnoteText"/>
      </w:pPr>
      <w:r>
        <w:rPr>
          <w:rStyle w:val="FootnoteReference"/>
        </w:rPr>
        <w:footnoteRef/>
      </w:r>
      <w:r>
        <w:tab/>
      </w:r>
      <w:r w:rsidRPr="00F67AC0">
        <w:t xml:space="preserve">Ministry of Transport. 2021. </w:t>
      </w:r>
      <w:hyperlink r:id="rId49" w:history="1">
        <w:r w:rsidRPr="00E20D64">
          <w:rPr>
            <w:rStyle w:val="Hyperlink"/>
            <w:i/>
            <w:iCs/>
          </w:rPr>
          <w:t>New Zealand Vehicle Fleet Annual Statistics</w:t>
        </w:r>
      </w:hyperlink>
      <w:r w:rsidRPr="00F67AC0">
        <w:t xml:space="preserve">. </w:t>
      </w:r>
    </w:p>
  </w:footnote>
  <w:footnote w:id="62">
    <w:p w14:paraId="2B1B4F5C" w14:textId="77777777" w:rsidR="00D61191" w:rsidRDefault="00D61191" w:rsidP="00D61191">
      <w:pPr>
        <w:pStyle w:val="FootnoteText"/>
      </w:pPr>
      <w:r>
        <w:rPr>
          <w:rStyle w:val="FootnoteReference"/>
        </w:rPr>
        <w:footnoteRef/>
      </w:r>
      <w:r>
        <w:t xml:space="preserve"> </w:t>
      </w:r>
      <w:r>
        <w:tab/>
        <w:t xml:space="preserve">Stats NZ. 2024. </w:t>
      </w:r>
      <w:hyperlink r:id="rId50" w:history="1">
        <w:r w:rsidRPr="00CB60BF">
          <w:rPr>
            <w:rStyle w:val="Hyperlink"/>
            <w:i/>
            <w:iCs/>
          </w:rPr>
          <w:t>Table Reference: ITM051AA</w:t>
        </w:r>
      </w:hyperlink>
      <w:r>
        <w:t xml:space="preserve">. </w:t>
      </w:r>
    </w:p>
  </w:footnote>
  <w:footnote w:id="63">
    <w:p w14:paraId="51C03883" w14:textId="77777777" w:rsidR="00D61191" w:rsidRDefault="00D61191" w:rsidP="00D61191">
      <w:pPr>
        <w:pStyle w:val="FootnoteText"/>
      </w:pPr>
      <w:r>
        <w:rPr>
          <w:rStyle w:val="FootnoteReference"/>
        </w:rPr>
        <w:footnoteRef/>
      </w:r>
      <w:r>
        <w:t xml:space="preserve"> </w:t>
      </w:r>
      <w:r>
        <w:tab/>
        <w:t xml:space="preserve">Stats NZ. 2024. </w:t>
      </w:r>
      <w:hyperlink r:id="rId51" w:history="1">
        <w:r w:rsidRPr="00CB60BF">
          <w:rPr>
            <w:rStyle w:val="Hyperlink"/>
            <w:i/>
            <w:iCs/>
          </w:rPr>
          <w:t>Table Reference: OSC004AA</w:t>
        </w:r>
      </w:hyperlink>
      <w:r>
        <w:t xml:space="preserve">. </w:t>
      </w:r>
    </w:p>
  </w:footnote>
  <w:footnote w:id="64">
    <w:p w14:paraId="5644ED5A" w14:textId="77777777" w:rsidR="00D61191" w:rsidRPr="00CB60BF" w:rsidRDefault="00D61191" w:rsidP="00D61191">
      <w:pPr>
        <w:pStyle w:val="FootnoteText"/>
        <w:rPr>
          <w:i/>
          <w:iCs/>
        </w:rPr>
      </w:pPr>
      <w:r>
        <w:rPr>
          <w:rStyle w:val="FootnoteReference"/>
        </w:rPr>
        <w:footnoteRef/>
      </w:r>
      <w:r>
        <w:t xml:space="preserve"> </w:t>
      </w:r>
      <w:r>
        <w:tab/>
        <w:t xml:space="preserve">Stats NZ. 2024. </w:t>
      </w:r>
      <w:hyperlink r:id="rId52" w:history="1">
        <w:r w:rsidRPr="00CB60BF">
          <w:rPr>
            <w:rStyle w:val="Hyperlink"/>
            <w:i/>
            <w:iCs/>
          </w:rPr>
          <w:t>Table Reference: OSC008AA</w:t>
        </w:r>
      </w:hyperlink>
      <w:r w:rsidRPr="00CB60BF">
        <w:rPr>
          <w:i/>
          <w:iCs/>
        </w:rPr>
        <w:t>.</w:t>
      </w:r>
    </w:p>
  </w:footnote>
  <w:footnote w:id="65">
    <w:p w14:paraId="2D5287E3" w14:textId="77777777" w:rsidR="00D61191" w:rsidRPr="007A38BF" w:rsidRDefault="00D61191" w:rsidP="00D61191">
      <w:pPr>
        <w:pStyle w:val="FootnoteText"/>
      </w:pPr>
      <w:r>
        <w:rPr>
          <w:rStyle w:val="FootnoteReference"/>
        </w:rPr>
        <w:footnoteRef/>
      </w:r>
      <w:r>
        <w:t xml:space="preserve"> </w:t>
      </w:r>
      <w:r>
        <w:tab/>
        <w:t xml:space="preserve">Ministry for the Environment. 2024. </w:t>
      </w:r>
      <w:hyperlink r:id="rId53" w:history="1">
        <w:r w:rsidRPr="004663ED">
          <w:rPr>
            <w:rStyle w:val="Hyperlink"/>
            <w:i/>
            <w:iCs/>
          </w:rPr>
          <w:t>New Zealand’s Greenhouse Gas Inventory 1990–2022</w:t>
        </w:r>
      </w:hyperlink>
      <w:r>
        <w:rPr>
          <w:i/>
          <w:iCs/>
        </w:rPr>
        <w:t xml:space="preserve">. </w:t>
      </w:r>
      <w:r>
        <w:t xml:space="preserve">Wellington: Ministry for the Environment. </w:t>
      </w:r>
    </w:p>
  </w:footnote>
  <w:footnote w:id="66">
    <w:p w14:paraId="5233E269" w14:textId="1A56140D" w:rsidR="00D61191" w:rsidRDefault="00D61191" w:rsidP="00D61191">
      <w:pPr>
        <w:pStyle w:val="FootnoteText"/>
      </w:pPr>
      <w:r>
        <w:rPr>
          <w:rStyle w:val="FootnoteReference"/>
        </w:rPr>
        <w:footnoteRef/>
      </w:r>
      <w:r>
        <w:t xml:space="preserve"> </w:t>
      </w:r>
      <w:r w:rsidR="003B7769">
        <w:tab/>
      </w:r>
      <w:r>
        <w:t xml:space="preserve">Stats NZ. 2024. </w:t>
      </w:r>
      <w:hyperlink r:id="rId54" w:history="1">
        <w:r w:rsidRPr="00CB60BF">
          <w:rPr>
            <w:rStyle w:val="Hyperlink"/>
            <w:i/>
            <w:iCs/>
          </w:rPr>
          <w:t>Table Reference: OSC004AA</w:t>
        </w:r>
      </w:hyperlink>
      <w:r>
        <w:t>.</w:t>
      </w:r>
      <w:r w:rsidDel="00CB60BF">
        <w:t xml:space="preserve"> </w:t>
      </w:r>
    </w:p>
  </w:footnote>
  <w:footnote w:id="67">
    <w:p w14:paraId="2B81B2E8" w14:textId="77777777" w:rsidR="00D61191" w:rsidRDefault="00D61191" w:rsidP="00D61191">
      <w:pPr>
        <w:pStyle w:val="FootnoteText"/>
      </w:pPr>
      <w:r>
        <w:rPr>
          <w:rStyle w:val="FootnoteReference"/>
        </w:rPr>
        <w:footnoteRef/>
      </w:r>
      <w:r>
        <w:t xml:space="preserve"> </w:t>
      </w:r>
      <w:r>
        <w:tab/>
        <w:t xml:space="preserve">Stats NZ. 2024. </w:t>
      </w:r>
      <w:hyperlink r:id="rId55" w:history="1">
        <w:r w:rsidRPr="00CB60BF">
          <w:rPr>
            <w:rStyle w:val="Hyperlink"/>
            <w:i/>
            <w:iCs/>
          </w:rPr>
          <w:t>Table Reference: OSC008AA</w:t>
        </w:r>
      </w:hyperlink>
      <w:r>
        <w:t>.</w:t>
      </w:r>
    </w:p>
  </w:footnote>
  <w:footnote w:id="68">
    <w:p w14:paraId="29B9432D" w14:textId="77777777" w:rsidR="00D61191" w:rsidRDefault="00D61191" w:rsidP="00D61191">
      <w:pPr>
        <w:pStyle w:val="FootnoteText"/>
      </w:pPr>
      <w:r>
        <w:rPr>
          <w:rStyle w:val="FootnoteReference"/>
        </w:rPr>
        <w:footnoteRef/>
      </w:r>
      <w:r>
        <w:t xml:space="preserve"> </w:t>
      </w:r>
      <w:r>
        <w:tab/>
        <w:t xml:space="preserve">International Transport Forum. 2018. </w:t>
      </w:r>
      <w:hyperlink r:id="rId56" w:history="1">
        <w:r w:rsidRPr="000B677F">
          <w:rPr>
            <w:rStyle w:val="Hyperlink"/>
            <w:i/>
            <w:iCs/>
          </w:rPr>
          <w:t>Decarbonising Maritime Transport: Pathways to Zero-carbon Shipping by 2035</w:t>
        </w:r>
      </w:hyperlink>
      <w:r>
        <w:t xml:space="preserve">. Paris: OECD Publishing. </w:t>
      </w:r>
    </w:p>
  </w:footnote>
  <w:footnote w:id="69">
    <w:p w14:paraId="4352E778" w14:textId="77777777" w:rsidR="00D61191" w:rsidRPr="007E52C7" w:rsidRDefault="00D61191" w:rsidP="00D61191">
      <w:pPr>
        <w:pStyle w:val="FootnoteText"/>
      </w:pPr>
      <w:r>
        <w:rPr>
          <w:rStyle w:val="FootnoteReference"/>
        </w:rPr>
        <w:footnoteRef/>
      </w:r>
      <w:r>
        <w:t xml:space="preserve"> </w:t>
      </w:r>
      <w:r>
        <w:tab/>
        <w:t xml:space="preserve">International Maritime Organization. 2020. </w:t>
      </w:r>
      <w:hyperlink r:id="rId57" w:history="1">
        <w:r w:rsidRPr="000B677F">
          <w:rPr>
            <w:rStyle w:val="Hyperlink"/>
            <w:i/>
            <w:iCs/>
          </w:rPr>
          <w:t>Fourth IMO Greenhouse Gas Study (2020)</w:t>
        </w:r>
      </w:hyperlink>
      <w:r>
        <w:rPr>
          <w:i/>
          <w:iCs/>
        </w:rPr>
        <w:t>.</w:t>
      </w:r>
      <w:r w:rsidDel="000B677F">
        <w:rPr>
          <w:i/>
          <w:iCs/>
        </w:rPr>
        <w:t xml:space="preserve"> </w:t>
      </w:r>
    </w:p>
  </w:footnote>
  <w:footnote w:id="70">
    <w:p w14:paraId="5E86C36E" w14:textId="77777777" w:rsidR="00D61191" w:rsidRPr="00AA3405" w:rsidRDefault="00D61191" w:rsidP="00D61191">
      <w:pPr>
        <w:pStyle w:val="FootnoteText"/>
      </w:pPr>
      <w:r>
        <w:rPr>
          <w:rStyle w:val="FootnoteReference"/>
        </w:rPr>
        <w:footnoteRef/>
      </w:r>
      <w:r>
        <w:t xml:space="preserve"> </w:t>
      </w:r>
      <w:r>
        <w:tab/>
        <w:t xml:space="preserve">Ministry of Transport. 2022. </w:t>
      </w:r>
      <w:hyperlink r:id="rId58" w:history="1">
        <w:r w:rsidRPr="000B677F">
          <w:rPr>
            <w:rStyle w:val="Hyperlink"/>
            <w:i/>
            <w:iCs/>
          </w:rPr>
          <w:t>New Zealand Supply Chain Issues Paper</w:t>
        </w:r>
      </w:hyperlink>
      <w:r>
        <w:rPr>
          <w:i/>
          <w:iCs/>
        </w:rPr>
        <w:t>.</w:t>
      </w:r>
    </w:p>
  </w:footnote>
  <w:footnote w:id="71">
    <w:p w14:paraId="73042ED2" w14:textId="77777777" w:rsidR="00D61191" w:rsidRDefault="00D61191" w:rsidP="00D61191">
      <w:pPr>
        <w:pStyle w:val="FootnoteText"/>
      </w:pPr>
      <w:r>
        <w:rPr>
          <w:rStyle w:val="FootnoteReference"/>
        </w:rPr>
        <w:footnoteRef/>
      </w:r>
      <w:r>
        <w:t xml:space="preserve"> </w:t>
      </w:r>
      <w:r>
        <w:tab/>
        <w:t xml:space="preserve">Ministry for the Environment. 2024. </w:t>
      </w:r>
      <w:hyperlink r:id="rId59" w:history="1">
        <w:r w:rsidRPr="000B677F">
          <w:rPr>
            <w:rStyle w:val="Hyperlink"/>
            <w:i/>
            <w:iCs/>
          </w:rPr>
          <w:t>New Zealand’s Greenhouse Gas Inventory 1990–2022</w:t>
        </w:r>
      </w:hyperlink>
      <w:r>
        <w:rPr>
          <w:i/>
          <w:iCs/>
        </w:rPr>
        <w:t xml:space="preserve">. </w:t>
      </w:r>
      <w:r>
        <w:t>Wellington: Ministry for the Environment.</w:t>
      </w:r>
    </w:p>
  </w:footnote>
  <w:footnote w:id="72">
    <w:p w14:paraId="028522A8" w14:textId="77777777" w:rsidR="00D61191" w:rsidRPr="00F51DE2" w:rsidRDefault="00D61191" w:rsidP="00D61191">
      <w:pPr>
        <w:pStyle w:val="FootnoteText"/>
      </w:pPr>
      <w:r>
        <w:rPr>
          <w:rStyle w:val="FootnoteReference"/>
        </w:rPr>
        <w:footnoteRef/>
      </w:r>
      <w:r>
        <w:t xml:space="preserve"> </w:t>
      </w:r>
      <w:r>
        <w:tab/>
        <w:t xml:space="preserve">Ministry of Transport. 2021. </w:t>
      </w:r>
      <w:hyperlink r:id="rId60" w:history="1">
        <w:r w:rsidRPr="000B677F">
          <w:rPr>
            <w:rStyle w:val="Hyperlink"/>
            <w:i/>
            <w:iCs/>
          </w:rPr>
          <w:t>The New Zealand Rail Plan</w:t>
        </w:r>
      </w:hyperlink>
      <w:r>
        <w:rPr>
          <w:i/>
          <w:iCs/>
        </w:rPr>
        <w:t xml:space="preserve">. </w:t>
      </w:r>
      <w:r>
        <w:t xml:space="preserve">Wellington: Ministry of Transport. </w:t>
      </w:r>
    </w:p>
  </w:footnote>
  <w:footnote w:id="73">
    <w:p w14:paraId="488F3DF4" w14:textId="77777777" w:rsidR="00D61191" w:rsidRPr="00FA3637" w:rsidRDefault="00D61191" w:rsidP="00D61191">
      <w:pPr>
        <w:pStyle w:val="FootnoteText"/>
      </w:pPr>
      <w:r>
        <w:rPr>
          <w:rStyle w:val="FootnoteReference"/>
        </w:rPr>
        <w:footnoteRef/>
      </w:r>
      <w:r>
        <w:t xml:space="preserve"> </w:t>
      </w:r>
      <w:r>
        <w:tab/>
        <w:t xml:space="preserve">Ministry of Transport. </w:t>
      </w:r>
      <w:hyperlink r:id="rId61" w:history="1">
        <w:r w:rsidRPr="006C0BE6">
          <w:rPr>
            <w:rStyle w:val="Hyperlink"/>
            <w:i/>
            <w:iCs/>
          </w:rPr>
          <w:t>Freight and Logistics: FIGS: Rail</w:t>
        </w:r>
      </w:hyperlink>
      <w:r>
        <w:rPr>
          <w:i/>
          <w:iCs/>
        </w:rPr>
        <w:t>.</w:t>
      </w:r>
      <w:r>
        <w:t xml:space="preserve"> Retrieved 13 November 2024.</w:t>
      </w:r>
    </w:p>
  </w:footnote>
  <w:footnote w:id="74">
    <w:p w14:paraId="3A4898F4" w14:textId="77777777" w:rsidR="00D61191" w:rsidRPr="002F3192" w:rsidRDefault="00D61191" w:rsidP="00D61191">
      <w:pPr>
        <w:pStyle w:val="FootnoteText"/>
      </w:pPr>
      <w:r>
        <w:rPr>
          <w:rStyle w:val="FootnoteReference"/>
        </w:rPr>
        <w:footnoteRef/>
      </w:r>
      <w:r>
        <w:t xml:space="preserve"> </w:t>
      </w:r>
      <w:r>
        <w:tab/>
        <w:t xml:space="preserve">Unless otherwise specified, all information in this section comes from: Ministry for the Environment. 2024. </w:t>
      </w:r>
      <w:hyperlink r:id="rId62" w:history="1">
        <w:r w:rsidRPr="006C0BE6">
          <w:rPr>
            <w:rStyle w:val="Hyperlink"/>
            <w:i/>
            <w:iCs/>
          </w:rPr>
          <w:t>New Zealand’s Greenhouse Gas Inventory 1990–2022</w:t>
        </w:r>
      </w:hyperlink>
      <w:r>
        <w:rPr>
          <w:i/>
          <w:iCs/>
        </w:rPr>
        <w:t xml:space="preserve">. </w:t>
      </w:r>
      <w:r>
        <w:t xml:space="preserve">Wellington: Ministry for the Environment. </w:t>
      </w:r>
    </w:p>
  </w:footnote>
  <w:footnote w:id="75">
    <w:p w14:paraId="0E2094EC" w14:textId="77777777" w:rsidR="00D61191" w:rsidRDefault="00D61191" w:rsidP="00D61191">
      <w:pPr>
        <w:pStyle w:val="FootnoteText"/>
      </w:pPr>
      <w:r>
        <w:rPr>
          <w:rStyle w:val="FootnoteReference"/>
        </w:rPr>
        <w:footnoteRef/>
      </w:r>
      <w:r>
        <w:tab/>
        <w:t xml:space="preserve">Ministry for Primary Industries. 2024. </w:t>
      </w:r>
      <w:hyperlink r:id="rId63" w:history="1">
        <w:r w:rsidRPr="003E39FB">
          <w:rPr>
            <w:rStyle w:val="Hyperlink"/>
            <w:i/>
            <w:iCs/>
          </w:rPr>
          <w:t>Situation and Outlook for Primary Industries</w:t>
        </w:r>
      </w:hyperlink>
      <w:r>
        <w:rPr>
          <w:i/>
          <w:iCs/>
        </w:rPr>
        <w:t xml:space="preserve">. </w:t>
      </w:r>
    </w:p>
  </w:footnote>
  <w:footnote w:id="76">
    <w:p w14:paraId="12FDD1C4" w14:textId="77777777" w:rsidR="00D61191" w:rsidRPr="004E1545" w:rsidRDefault="00D61191" w:rsidP="00D61191">
      <w:pPr>
        <w:pStyle w:val="FootnoteText"/>
      </w:pPr>
      <w:r>
        <w:rPr>
          <w:rStyle w:val="FootnoteReference"/>
        </w:rPr>
        <w:footnoteRef/>
      </w:r>
      <w:r>
        <w:t xml:space="preserve"> </w:t>
      </w:r>
      <w:r>
        <w:tab/>
        <w:t xml:space="preserve">Ministry for the Environment. 2024. </w:t>
      </w:r>
      <w:hyperlink r:id="rId64" w:history="1">
        <w:r w:rsidRPr="001F3BA0">
          <w:rPr>
            <w:rStyle w:val="Hyperlink"/>
            <w:i/>
            <w:iCs/>
          </w:rPr>
          <w:t>New Zealand’s Greenhouse Gas Inventory 1990–2022: Snapshot</w:t>
        </w:r>
      </w:hyperlink>
      <w:r>
        <w:rPr>
          <w:i/>
          <w:iCs/>
        </w:rPr>
        <w:t xml:space="preserve">. </w:t>
      </w:r>
    </w:p>
  </w:footnote>
  <w:footnote w:id="77">
    <w:p w14:paraId="2E65103D" w14:textId="77777777" w:rsidR="00D61191" w:rsidRDefault="00D61191" w:rsidP="00D61191">
      <w:pPr>
        <w:pStyle w:val="FootnoteText"/>
      </w:pPr>
      <w:r>
        <w:rPr>
          <w:rStyle w:val="FootnoteReference"/>
        </w:rPr>
        <w:footnoteRef/>
      </w:r>
      <w:r>
        <w:t xml:space="preserve"> </w:t>
      </w:r>
      <w:r>
        <w:tab/>
        <w:t xml:space="preserve">Ministry for the Environment. 2024. </w:t>
      </w:r>
      <w:hyperlink r:id="rId65" w:history="1">
        <w:r w:rsidRPr="001F3BA0">
          <w:rPr>
            <w:rStyle w:val="Hyperlink"/>
            <w:i/>
            <w:iCs/>
          </w:rPr>
          <w:t>New Zealand’s Greenhouse Gas Inventory 1990–2022</w:t>
        </w:r>
      </w:hyperlink>
      <w:r>
        <w:rPr>
          <w:i/>
          <w:iCs/>
        </w:rPr>
        <w:t>.</w:t>
      </w:r>
      <w:r>
        <w:t xml:space="preserve"> </w:t>
      </w:r>
    </w:p>
  </w:footnote>
  <w:footnote w:id="78">
    <w:p w14:paraId="762CCB4C" w14:textId="77777777" w:rsidR="00D61191" w:rsidRDefault="00D61191" w:rsidP="00D61191">
      <w:pPr>
        <w:pStyle w:val="FootnoteText"/>
      </w:pPr>
      <w:r>
        <w:rPr>
          <w:rStyle w:val="FootnoteReference"/>
        </w:rPr>
        <w:footnoteRef/>
      </w:r>
      <w:r>
        <w:tab/>
        <w:t>Ten-year average from 2013 to 2023.</w:t>
      </w:r>
    </w:p>
  </w:footnote>
  <w:footnote w:id="79">
    <w:p w14:paraId="2F802C54" w14:textId="77777777" w:rsidR="00D61191" w:rsidRPr="0081799D" w:rsidRDefault="00D61191" w:rsidP="00D61191">
      <w:pPr>
        <w:pStyle w:val="FootnoteText"/>
      </w:pPr>
      <w:r>
        <w:rPr>
          <w:rStyle w:val="FootnoteReference"/>
        </w:rPr>
        <w:footnoteRef/>
      </w:r>
      <w:r>
        <w:tab/>
        <w:t xml:space="preserve">Seafood New Zealand (industry body). </w:t>
      </w:r>
      <w:hyperlink r:id="rId66" w:anchor=":~:text=New%20Zealand's%20seafood%20industry%20plays,nutritious%20and%20great%20tasting%20seafood." w:history="1">
        <w:r w:rsidRPr="00273985">
          <w:rPr>
            <w:rStyle w:val="Hyperlink"/>
            <w:i/>
            <w:iCs/>
          </w:rPr>
          <w:t>About Seafood New Zealand</w:t>
        </w:r>
      </w:hyperlink>
      <w:r>
        <w:t>. Retrieved 14 November 2024.</w:t>
      </w:r>
    </w:p>
  </w:footnote>
  <w:footnote w:id="80">
    <w:p w14:paraId="633166F5" w14:textId="77777777" w:rsidR="00D61191" w:rsidRPr="00830E41" w:rsidRDefault="00D61191" w:rsidP="00D61191">
      <w:pPr>
        <w:pStyle w:val="FootnoteText"/>
      </w:pPr>
      <w:r>
        <w:rPr>
          <w:rStyle w:val="FootnoteReference"/>
        </w:rPr>
        <w:footnoteRef/>
      </w:r>
      <w:r>
        <w:tab/>
        <w:t xml:space="preserve">Ministry for Primary Industries. 2024. </w:t>
      </w:r>
      <w:hyperlink r:id="rId67" w:history="1">
        <w:r w:rsidRPr="00273985">
          <w:rPr>
            <w:rStyle w:val="Hyperlink"/>
            <w:i/>
            <w:iCs/>
          </w:rPr>
          <w:t>Situation and Outlook for Primary Industries June 2024 (MPI)</w:t>
        </w:r>
      </w:hyperlink>
      <w:r w:rsidRPr="00830E41">
        <w:t>.</w:t>
      </w:r>
      <w:r>
        <w:t xml:space="preserve"> Wellington:</w:t>
      </w:r>
      <w:r w:rsidRPr="004C2565">
        <w:t xml:space="preserve"> </w:t>
      </w:r>
      <w:r>
        <w:t>Ministry for Primary Industries.</w:t>
      </w:r>
    </w:p>
  </w:footnote>
  <w:footnote w:id="81">
    <w:p w14:paraId="7947BA0A" w14:textId="77777777" w:rsidR="00D61191" w:rsidRDefault="00D61191" w:rsidP="00D61191">
      <w:pPr>
        <w:pStyle w:val="FootnoteText"/>
      </w:pPr>
      <w:r>
        <w:rPr>
          <w:rStyle w:val="FootnoteReference"/>
        </w:rPr>
        <w:footnoteRef/>
      </w:r>
      <w:r>
        <w:tab/>
        <w:t>Fisheries New Zealand. 2021.</w:t>
      </w:r>
      <w:r w:rsidRPr="008B4BF0">
        <w:t xml:space="preserve"> </w:t>
      </w:r>
      <w:r>
        <w:t>NZ</w:t>
      </w:r>
      <w:r w:rsidRPr="008B4BF0">
        <w:t xml:space="preserve"> climate and oceanic setting</w:t>
      </w:r>
      <w:r>
        <w:t xml:space="preserve">. In </w:t>
      </w:r>
      <w:r w:rsidRPr="008B4BF0">
        <w:rPr>
          <w:i/>
          <w:iCs/>
        </w:rPr>
        <w:t>Aquatic Environment and Biodiversity Annual Review </w:t>
      </w:r>
      <w:r w:rsidRPr="008B4BF0">
        <w:t>(</w:t>
      </w:r>
      <w:r w:rsidRPr="008B4BF0">
        <w:rPr>
          <w:i/>
          <w:iCs/>
        </w:rPr>
        <w:t>AEBAR</w:t>
      </w:r>
      <w:r w:rsidRPr="008B4BF0">
        <w:t>)</w:t>
      </w:r>
      <w:r>
        <w:t>.</w:t>
      </w:r>
      <w:r w:rsidRPr="008B4BF0">
        <w:t xml:space="preserve"> </w:t>
      </w:r>
      <w:r>
        <w:t xml:space="preserve">Wellington: Fisheries New Zealand. </w:t>
      </w:r>
      <w:r w:rsidRPr="008B4BF0">
        <w:t>Chapter 12.</w:t>
      </w:r>
    </w:p>
  </w:footnote>
  <w:footnote w:id="82">
    <w:p w14:paraId="4FB90732" w14:textId="77777777" w:rsidR="00D61191" w:rsidRDefault="00D61191" w:rsidP="00D61191">
      <w:pPr>
        <w:pStyle w:val="FootnoteText"/>
      </w:pPr>
      <w:r>
        <w:rPr>
          <w:rStyle w:val="FootnoteReference"/>
        </w:rPr>
        <w:footnoteRef/>
      </w:r>
      <w:r>
        <w:tab/>
        <w:t xml:space="preserve">Stats NZ. </w:t>
      </w:r>
      <w:hyperlink r:id="rId68" w:history="1">
        <w:r w:rsidRPr="00CB4109">
          <w:rPr>
            <w:rStyle w:val="Hyperlink"/>
            <w:i/>
          </w:rPr>
          <w:t>New Zealand Trade Dashboard</w:t>
        </w:r>
      </w:hyperlink>
      <w:r w:rsidRPr="0014289C">
        <w:rPr>
          <w:i/>
        </w:rPr>
        <w:t>.</w:t>
      </w:r>
      <w:r>
        <w:t xml:space="preserve"> Retrieved 13 November 2024. The percentage represents data from year ended June 2023.</w:t>
      </w:r>
    </w:p>
  </w:footnote>
  <w:footnote w:id="83">
    <w:p w14:paraId="0855E2DB" w14:textId="77777777" w:rsidR="00D61191" w:rsidRPr="000B59F9" w:rsidRDefault="00D61191" w:rsidP="00D61191">
      <w:pPr>
        <w:pStyle w:val="FootnoteText"/>
      </w:pPr>
      <w:r>
        <w:rPr>
          <w:rStyle w:val="FootnoteReference"/>
        </w:rPr>
        <w:footnoteRef/>
      </w:r>
      <w:r>
        <w:t xml:space="preserve"> </w:t>
      </w:r>
      <w:r>
        <w:tab/>
        <w:t>NZIER. 2021.</w:t>
      </w:r>
      <w:hyperlink r:id="rId69" w:history="1">
        <w:r w:rsidRPr="00CB4109">
          <w:rPr>
            <w:rStyle w:val="Hyperlink"/>
          </w:rPr>
          <w:t xml:space="preserve"> </w:t>
        </w:r>
        <w:r w:rsidRPr="00CB4109">
          <w:rPr>
            <w:rStyle w:val="Hyperlink"/>
            <w:i/>
            <w:iCs/>
          </w:rPr>
          <w:t>Forestry and Wood Processing Labour Force Survey</w:t>
        </w:r>
      </w:hyperlink>
      <w:r>
        <w:rPr>
          <w:i/>
          <w:iCs/>
        </w:rPr>
        <w:t xml:space="preserve">. </w:t>
      </w:r>
      <w:r>
        <w:t>Report prepared for Ministry for Primary Industries.</w:t>
      </w:r>
      <w:r w:rsidDel="00CB4109">
        <w:t xml:space="preserve"> </w:t>
      </w:r>
    </w:p>
  </w:footnote>
  <w:footnote w:id="84">
    <w:p w14:paraId="61ECAF4B" w14:textId="77777777" w:rsidR="00D61191" w:rsidRDefault="00D61191" w:rsidP="00D61191">
      <w:pPr>
        <w:pStyle w:val="FootnoteText"/>
      </w:pPr>
      <w:r>
        <w:rPr>
          <w:rStyle w:val="FootnoteReference"/>
        </w:rPr>
        <w:footnoteRef/>
      </w:r>
      <w:r>
        <w:t xml:space="preserve"> </w:t>
      </w:r>
      <w:r>
        <w:tab/>
        <w:t xml:space="preserve">Ministry for the Environment. 2024. </w:t>
      </w:r>
      <w:hyperlink r:id="rId70" w:history="1">
        <w:r w:rsidRPr="00CB4109">
          <w:rPr>
            <w:rStyle w:val="Hyperlink"/>
            <w:i/>
            <w:iCs/>
          </w:rPr>
          <w:t>New Zealand’s Greenhouse Gas Inventory 1990–2022</w:t>
        </w:r>
      </w:hyperlink>
      <w:r>
        <w:rPr>
          <w:i/>
          <w:iCs/>
        </w:rPr>
        <w:t xml:space="preserve">. </w:t>
      </w:r>
      <w:r>
        <w:t>Wellington: Ministry for the Environment.</w:t>
      </w:r>
      <w:r w:rsidDel="00CB4109">
        <w:t xml:space="preserve"> </w:t>
      </w:r>
    </w:p>
  </w:footnote>
  <w:footnote w:id="85">
    <w:p w14:paraId="500DB1E1" w14:textId="77777777" w:rsidR="00D61191" w:rsidRDefault="00D61191" w:rsidP="00D61191">
      <w:pPr>
        <w:pStyle w:val="FootnoteText"/>
      </w:pPr>
      <w:r>
        <w:rPr>
          <w:rStyle w:val="FootnoteReference"/>
        </w:rPr>
        <w:footnoteRef/>
      </w:r>
      <w:r>
        <w:t xml:space="preserve"> </w:t>
      </w:r>
      <w:r>
        <w:tab/>
        <w:t xml:space="preserve">Under the UNFCCC, the figures collected for planted and natural forest area equate to the area of ‘forest land’. ‘Forest land’ is defined as: an area of at least 1 ha and 30 m in width that is expected to have at least 30 per cent canopy cover and the potential to exceed 5 m in height. </w:t>
      </w:r>
    </w:p>
  </w:footnote>
  <w:footnote w:id="86">
    <w:p w14:paraId="386DD237" w14:textId="77777777" w:rsidR="00D61191" w:rsidRPr="00521E5F" w:rsidRDefault="00D61191" w:rsidP="00D61191">
      <w:pPr>
        <w:pStyle w:val="FootnoteText"/>
      </w:pPr>
      <w:r>
        <w:rPr>
          <w:rStyle w:val="FootnoteReference"/>
        </w:rPr>
        <w:footnoteRef/>
      </w:r>
      <w:r>
        <w:t xml:space="preserve"> </w:t>
      </w:r>
      <w:r>
        <w:tab/>
        <w:t xml:space="preserve">Ministry for Primary Industries. </w:t>
      </w:r>
      <w:hyperlink r:id="rId71" w:history="1">
        <w:r w:rsidRPr="00CB4109">
          <w:rPr>
            <w:rStyle w:val="Hyperlink"/>
            <w:i/>
            <w:iCs/>
          </w:rPr>
          <w:t>National Exotic Forest Description 2023</w:t>
        </w:r>
      </w:hyperlink>
      <w:r w:rsidRPr="00CB4109">
        <w:rPr>
          <w:i/>
          <w:iCs/>
        </w:rPr>
        <w:t>.</w:t>
      </w:r>
      <w:r w:rsidDel="00566B1B">
        <w:rPr>
          <w:i/>
          <w:iCs/>
        </w:rPr>
        <w:t xml:space="preserve"> </w:t>
      </w:r>
      <w:r>
        <w:t>Retrieved 13 November 2024.</w:t>
      </w:r>
    </w:p>
  </w:footnote>
  <w:footnote w:id="87">
    <w:p w14:paraId="68265AC6" w14:textId="77777777" w:rsidR="00D61191" w:rsidRPr="000A5636" w:rsidRDefault="00D61191" w:rsidP="00D61191">
      <w:pPr>
        <w:pStyle w:val="FootnoteText"/>
      </w:pPr>
      <w:r>
        <w:rPr>
          <w:rStyle w:val="FootnoteReference"/>
        </w:rPr>
        <w:footnoteRef/>
      </w:r>
      <w:r>
        <w:t xml:space="preserve"> </w:t>
      </w:r>
      <w:r>
        <w:tab/>
        <w:t xml:space="preserve">Ministry for Primary Industries. </w:t>
      </w:r>
      <w:hyperlink r:id="rId72" w:history="1">
        <w:r w:rsidRPr="00CB4109">
          <w:rPr>
            <w:rStyle w:val="Hyperlink"/>
            <w:i/>
            <w:iCs/>
          </w:rPr>
          <w:t>About New Zealand’s Forests</w:t>
        </w:r>
      </w:hyperlink>
      <w:r>
        <w:rPr>
          <w:i/>
          <w:iCs/>
        </w:rPr>
        <w:t xml:space="preserve">. </w:t>
      </w:r>
      <w:r>
        <w:t>Retrieved 13 November 2024.</w:t>
      </w:r>
    </w:p>
  </w:footnote>
  <w:footnote w:id="88">
    <w:p w14:paraId="2275531F" w14:textId="77777777" w:rsidR="00D61191" w:rsidRDefault="00D61191" w:rsidP="00D61191">
      <w:pPr>
        <w:pStyle w:val="FootnoteText"/>
      </w:pPr>
      <w:r>
        <w:rPr>
          <w:rStyle w:val="FootnoteReference"/>
        </w:rPr>
        <w:footnoteRef/>
      </w:r>
      <w:r>
        <w:t xml:space="preserve"> </w:t>
      </w:r>
      <w:r>
        <w:tab/>
        <w:t xml:space="preserve">Ministry for the Environment. 2024. </w:t>
      </w:r>
      <w:hyperlink r:id="rId73" w:history="1">
        <w:r w:rsidRPr="00CB4109">
          <w:rPr>
            <w:rStyle w:val="Hyperlink"/>
            <w:i/>
            <w:iCs/>
          </w:rPr>
          <w:t>New Zealand’s Greenhouse Gas Inventory 1990–2022</w:t>
        </w:r>
      </w:hyperlink>
      <w:r>
        <w:rPr>
          <w:i/>
          <w:iCs/>
        </w:rPr>
        <w:t xml:space="preserve">. </w:t>
      </w:r>
      <w:r>
        <w:t xml:space="preserve">Wellington: Ministry for the Environment. </w:t>
      </w:r>
    </w:p>
  </w:footnote>
  <w:footnote w:id="89">
    <w:p w14:paraId="0A02830A" w14:textId="77777777" w:rsidR="00D61191" w:rsidRDefault="00D61191" w:rsidP="00D61191">
      <w:pPr>
        <w:pStyle w:val="FootnoteText"/>
      </w:pPr>
      <w:r>
        <w:rPr>
          <w:rStyle w:val="FootnoteReference"/>
        </w:rPr>
        <w:footnoteRef/>
      </w:r>
      <w:r>
        <w:t xml:space="preserve"> </w:t>
      </w:r>
      <w:r>
        <w:tab/>
        <w:t xml:space="preserve">Ministry for the Environment. 2024. </w:t>
      </w:r>
      <w:hyperlink r:id="rId74" w:history="1">
        <w:r w:rsidRPr="00B746D9">
          <w:rPr>
            <w:rStyle w:val="Hyperlink"/>
            <w:i/>
            <w:iCs/>
          </w:rPr>
          <w:t>New Zealand’s Greenhouse Gas Inventory 1990–2022: Snapshot</w:t>
        </w:r>
      </w:hyperlink>
      <w:r>
        <w:rPr>
          <w:i/>
          <w:iCs/>
        </w:rPr>
        <w:t xml:space="preserve">. </w:t>
      </w:r>
      <w:r>
        <w:t xml:space="preserve">Wellington: Ministry for the Environment. </w:t>
      </w:r>
    </w:p>
  </w:footnote>
  <w:footnote w:id="90">
    <w:p w14:paraId="1D69C1A5" w14:textId="77777777" w:rsidR="00D61191" w:rsidRDefault="00D61191" w:rsidP="00D61191">
      <w:pPr>
        <w:pStyle w:val="FootnoteText"/>
      </w:pPr>
      <w:r>
        <w:rPr>
          <w:rStyle w:val="FootnoteReference"/>
        </w:rPr>
        <w:footnoteRef/>
      </w:r>
      <w:r>
        <w:t xml:space="preserve"> </w:t>
      </w:r>
      <w:r>
        <w:tab/>
        <w:t xml:space="preserve">Ministry for the Environment. 2024. </w:t>
      </w:r>
      <w:hyperlink r:id="rId75" w:history="1">
        <w:r w:rsidRPr="00CB4109">
          <w:rPr>
            <w:rStyle w:val="Hyperlink"/>
            <w:i/>
            <w:iCs/>
          </w:rPr>
          <w:t>New Zealand’s Greenhouse Gas Inventory 1990–2022</w:t>
        </w:r>
      </w:hyperlink>
      <w:r>
        <w:rPr>
          <w:i/>
          <w:iCs/>
        </w:rPr>
        <w:t xml:space="preserve">. </w:t>
      </w:r>
      <w:r>
        <w:t xml:space="preserve">Wellington: Ministry for the Environment. </w:t>
      </w:r>
    </w:p>
  </w:footnote>
  <w:footnote w:id="91">
    <w:p w14:paraId="7D369474" w14:textId="38550A58" w:rsidR="00D61191" w:rsidRPr="0047324F" w:rsidRDefault="00D61191" w:rsidP="00D61191">
      <w:pPr>
        <w:pStyle w:val="FootnoteText"/>
      </w:pPr>
      <w:r>
        <w:rPr>
          <w:rStyle w:val="FootnoteReference"/>
        </w:rPr>
        <w:footnoteRef/>
      </w:r>
      <w:r>
        <w:t xml:space="preserve"> </w:t>
      </w:r>
      <w:r>
        <w:tab/>
        <w:t xml:space="preserve">Rhodes D, Novis J. 2002. </w:t>
      </w:r>
      <w:r>
        <w:rPr>
          <w:i/>
          <w:iCs/>
        </w:rPr>
        <w:t xml:space="preserve">The Impact of Incentives on the Development of Plantation Forest Resources in New Zealand. </w:t>
      </w:r>
      <w:r>
        <w:t xml:space="preserve">MAF Information Paper No 45. Wellington: MAF Policy Division. </w:t>
      </w:r>
    </w:p>
  </w:footnote>
  <w:footnote w:id="92">
    <w:p w14:paraId="31EA2B37" w14:textId="77777777" w:rsidR="00D61191" w:rsidRDefault="00D61191" w:rsidP="00D61191">
      <w:pPr>
        <w:pStyle w:val="FootnoteText"/>
      </w:pPr>
      <w:r>
        <w:rPr>
          <w:rStyle w:val="FootnoteReference"/>
        </w:rPr>
        <w:footnoteRef/>
      </w:r>
      <w:r>
        <w:t xml:space="preserve"> </w:t>
      </w:r>
      <w:r>
        <w:tab/>
        <w:t xml:space="preserve">Ministry for the Environment. 2024. </w:t>
      </w:r>
      <w:hyperlink r:id="rId76" w:history="1">
        <w:r w:rsidRPr="00A867B8">
          <w:rPr>
            <w:rStyle w:val="Hyperlink"/>
            <w:i/>
            <w:iCs/>
          </w:rPr>
          <w:t>New Zealand’s Greenhouse Gas Inventory 1990–2022</w:t>
        </w:r>
      </w:hyperlink>
      <w:r>
        <w:rPr>
          <w:i/>
          <w:iCs/>
        </w:rPr>
        <w:t xml:space="preserve">. </w:t>
      </w:r>
      <w:r>
        <w:t xml:space="preserve">Wellington: Ministry for the Environment. </w:t>
      </w:r>
    </w:p>
  </w:footnote>
  <w:footnote w:id="93">
    <w:p w14:paraId="7F88A73B" w14:textId="77777777" w:rsidR="00D61191" w:rsidRDefault="00D61191" w:rsidP="00D61191">
      <w:pPr>
        <w:pStyle w:val="FootnoteText"/>
      </w:pPr>
      <w:r>
        <w:rPr>
          <w:rStyle w:val="FootnoteReference"/>
        </w:rPr>
        <w:footnoteRef/>
      </w:r>
      <w:r>
        <w:tab/>
        <w:t xml:space="preserve">This estimate includes waste disposed of to Classes 1, 2, 3 and 4 landfills, clean fills and farm dumps. It also includes both the materials recycled here in New Zealand and those sent offshore for recycling. </w:t>
      </w:r>
    </w:p>
  </w:footnote>
  <w:footnote w:id="94">
    <w:p w14:paraId="388482DD" w14:textId="77777777" w:rsidR="00D61191" w:rsidRPr="00636C98" w:rsidRDefault="00D61191" w:rsidP="00D61191">
      <w:pPr>
        <w:pStyle w:val="FootnoteText"/>
      </w:pPr>
      <w:r>
        <w:rPr>
          <w:rStyle w:val="FootnoteReference"/>
        </w:rPr>
        <w:footnoteRef/>
      </w:r>
      <w:r>
        <w:t xml:space="preserve"> </w:t>
      </w:r>
      <w:r>
        <w:rPr>
          <w:rFonts w:ascii="Segoe UI" w:eastAsia="Times New Roman" w:hAnsi="Segoe UI" w:cs="Segoe UI"/>
          <w:sz w:val="18"/>
          <w:szCs w:val="18"/>
        </w:rPr>
        <w:tab/>
        <w:t xml:space="preserve">Ministry for the Environment. 2024. </w:t>
      </w:r>
      <w:hyperlink r:id="rId77" w:history="1">
        <w:r w:rsidRPr="008735C8">
          <w:rPr>
            <w:rStyle w:val="Hyperlink"/>
            <w:rFonts w:ascii="Segoe UI" w:eastAsia="Times New Roman" w:hAnsi="Segoe UI" w:cs="Segoe UI"/>
            <w:i/>
            <w:iCs/>
            <w:sz w:val="18"/>
            <w:szCs w:val="18"/>
          </w:rPr>
          <w:t>Download Waste Data</w:t>
        </w:r>
      </w:hyperlink>
      <w:r>
        <w:rPr>
          <w:rFonts w:ascii="Segoe UI" w:eastAsia="Times New Roman" w:hAnsi="Segoe UI" w:cs="Segoe UI"/>
          <w:i/>
          <w:iCs/>
          <w:sz w:val="18"/>
          <w:szCs w:val="18"/>
        </w:rPr>
        <w:t>.</w:t>
      </w:r>
      <w:r>
        <w:rPr>
          <w:rFonts w:ascii="Segoe UI" w:eastAsia="Times New Roman" w:hAnsi="Segoe UI" w:cs="Segoe UI"/>
          <w:i/>
          <w:sz w:val="18"/>
          <w:szCs w:val="18"/>
        </w:rPr>
        <w:t xml:space="preserve"> </w:t>
      </w:r>
    </w:p>
  </w:footnote>
  <w:footnote w:id="95">
    <w:p w14:paraId="4E9D18A6" w14:textId="77777777" w:rsidR="00D61191" w:rsidRDefault="00D61191" w:rsidP="00D61191">
      <w:pPr>
        <w:pStyle w:val="FootnoteText"/>
      </w:pPr>
      <w:r>
        <w:rPr>
          <w:rStyle w:val="FootnoteReference"/>
        </w:rPr>
        <w:footnoteRef/>
      </w:r>
      <w:r>
        <w:tab/>
      </w:r>
      <w:r w:rsidRPr="00D94140">
        <w:rPr>
          <w:rFonts w:ascii="Segoe UI" w:hAnsi="Segoe UI" w:cs="Segoe UI"/>
          <w:sz w:val="18"/>
          <w:szCs w:val="18"/>
        </w:rPr>
        <w:t xml:space="preserve">Ministry for the Environment. 2024. </w:t>
      </w:r>
      <w:hyperlink r:id="rId78" w:history="1">
        <w:r w:rsidRPr="00E31A79">
          <w:rPr>
            <w:rStyle w:val="Hyperlink"/>
            <w:rFonts w:ascii="Segoe UI" w:hAnsi="Segoe UI" w:cs="Segoe UI"/>
            <w:i/>
            <w:iCs/>
            <w:sz w:val="18"/>
            <w:szCs w:val="18"/>
          </w:rPr>
          <w:t>Waste Facilities and Disposal</w:t>
        </w:r>
      </w:hyperlink>
      <w:r>
        <w:t>.</w:t>
      </w:r>
      <w:r w:rsidRPr="00D94140">
        <w:rPr>
          <w:rFonts w:ascii="Segoe UI" w:hAnsi="Segoe UI" w:cs="Segoe UI"/>
          <w:sz w:val="18"/>
          <w:szCs w:val="18"/>
        </w:rPr>
        <w:t xml:space="preserve"> </w:t>
      </w:r>
    </w:p>
  </w:footnote>
  <w:footnote w:id="96">
    <w:p w14:paraId="7BC77344" w14:textId="77777777" w:rsidR="00D61191" w:rsidRPr="00631247" w:rsidRDefault="00D61191" w:rsidP="00D61191">
      <w:pPr>
        <w:pStyle w:val="FootnoteText"/>
        <w:rPr>
          <w:rFonts w:asciiTheme="minorHAnsi" w:hAnsiTheme="minorHAnsi" w:cstheme="minorHAnsi"/>
          <w:szCs w:val="19"/>
        </w:rPr>
      </w:pPr>
      <w:r w:rsidRPr="00631247">
        <w:rPr>
          <w:rStyle w:val="FootnoteReference"/>
          <w:rFonts w:asciiTheme="minorHAnsi" w:hAnsiTheme="minorHAnsi" w:cstheme="minorHAnsi"/>
          <w:sz w:val="19"/>
          <w:szCs w:val="19"/>
        </w:rPr>
        <w:footnoteRef/>
      </w:r>
      <w:r>
        <w:rPr>
          <w:rFonts w:asciiTheme="minorHAnsi" w:hAnsiTheme="minorHAnsi" w:cstheme="minorHAnsi"/>
          <w:szCs w:val="19"/>
        </w:rPr>
        <w:tab/>
      </w:r>
      <w:r w:rsidRPr="00631247">
        <w:rPr>
          <w:rFonts w:asciiTheme="minorHAnsi" w:hAnsiTheme="minorHAnsi" w:cstheme="minorHAnsi"/>
          <w:szCs w:val="19"/>
        </w:rPr>
        <w:t>SCS Wetherill Environmental. 2002. Unpublished. National Greenhouse Gas Inventory from the Waste Sector 1990</w:t>
      </w:r>
      <w:r>
        <w:rPr>
          <w:rFonts w:asciiTheme="minorHAnsi" w:hAnsiTheme="minorHAnsi" w:cstheme="minorHAnsi"/>
          <w:szCs w:val="19"/>
        </w:rPr>
        <w:t>–</w:t>
      </w:r>
      <w:r w:rsidRPr="00631247">
        <w:rPr>
          <w:rFonts w:asciiTheme="minorHAnsi" w:hAnsiTheme="minorHAnsi" w:cstheme="minorHAnsi"/>
          <w:szCs w:val="19"/>
        </w:rPr>
        <w:t>2020. Report commissioned by the Ministry for the Environment in 2002.</w:t>
      </w:r>
    </w:p>
  </w:footnote>
  <w:footnote w:id="97">
    <w:p w14:paraId="2D9DE52D" w14:textId="77777777" w:rsidR="00D61191" w:rsidRPr="00F24A8A" w:rsidRDefault="00D61191" w:rsidP="00D61191">
      <w:pPr>
        <w:pStyle w:val="FootnoteText"/>
      </w:pPr>
      <w:r>
        <w:rPr>
          <w:rStyle w:val="FootnoteReference"/>
        </w:rPr>
        <w:footnoteRef/>
      </w:r>
      <w:r>
        <w:t xml:space="preserve"> </w:t>
      </w:r>
      <w:r>
        <w:tab/>
        <w:t xml:space="preserve">Ministry for the Environment. 2020. </w:t>
      </w:r>
      <w:hyperlink r:id="rId79" w:history="1">
        <w:r w:rsidRPr="00870743">
          <w:rPr>
            <w:rStyle w:val="Hyperlink"/>
            <w:i/>
            <w:iCs/>
          </w:rPr>
          <w:t>The New Zealand Wastewater Sector</w:t>
        </w:r>
      </w:hyperlink>
      <w:r>
        <w:rPr>
          <w:i/>
          <w:iCs/>
        </w:rPr>
        <w:t xml:space="preserve">. </w:t>
      </w:r>
      <w:r>
        <w:t>Report prepared for the Ministry for the Environment.</w:t>
      </w:r>
    </w:p>
  </w:footnote>
  <w:footnote w:id="98">
    <w:p w14:paraId="1D6DB15D" w14:textId="77777777" w:rsidR="00D61191" w:rsidRDefault="00D61191" w:rsidP="00D61191">
      <w:pPr>
        <w:pStyle w:val="FootnoteText"/>
      </w:pPr>
      <w:r>
        <w:rPr>
          <w:rStyle w:val="FootnoteReference"/>
        </w:rPr>
        <w:footnoteRef/>
      </w:r>
      <w:r>
        <w:t xml:space="preserve"> </w:t>
      </w:r>
      <w:r>
        <w:tab/>
      </w:r>
      <w:hyperlink r:id="rId80" w:history="1">
        <w:r>
          <w:rPr>
            <w:rStyle w:val="Hyperlink"/>
          </w:rPr>
          <w:t>Resource Management (National Environmental Standards for Air Quality) Regulations 2004</w:t>
        </w:r>
      </w:hyperlink>
      <w:r>
        <w:t>.</w:t>
      </w:r>
    </w:p>
  </w:footnote>
  <w:footnote w:id="99">
    <w:p w14:paraId="1439F13D" w14:textId="77777777" w:rsidR="00D61191" w:rsidRDefault="00D61191" w:rsidP="00D61191">
      <w:pPr>
        <w:pStyle w:val="FootnoteText"/>
      </w:pPr>
      <w:r>
        <w:rPr>
          <w:rStyle w:val="FootnoteReference"/>
        </w:rPr>
        <w:footnoteRef/>
      </w:r>
      <w:r>
        <w:t xml:space="preserve"> </w:t>
      </w:r>
      <w:r>
        <w:tab/>
        <w:t xml:space="preserve">Ministry for the Environment. 2024. </w:t>
      </w:r>
      <w:hyperlink r:id="rId81" w:history="1">
        <w:r w:rsidRPr="0092111C">
          <w:rPr>
            <w:rStyle w:val="Hyperlink"/>
            <w:i/>
            <w:iCs/>
          </w:rPr>
          <w:t>New Zealand’s Greenhouse Gas Inventory 1990–2022</w:t>
        </w:r>
      </w:hyperlink>
      <w:r>
        <w:rPr>
          <w:i/>
          <w:iCs/>
        </w:rPr>
        <w:t xml:space="preserve">. </w:t>
      </w:r>
      <w:r>
        <w:t xml:space="preserve">Wellington: Ministry for the Environment. </w:t>
      </w:r>
    </w:p>
  </w:footnote>
  <w:footnote w:id="100">
    <w:p w14:paraId="0DE86A55" w14:textId="20397650" w:rsidR="00D61191" w:rsidRDefault="00D61191" w:rsidP="00D61191">
      <w:pPr>
        <w:pStyle w:val="FootnoteText"/>
      </w:pPr>
      <w:r>
        <w:rPr>
          <w:rStyle w:val="FootnoteReference"/>
        </w:rPr>
        <w:footnoteRef/>
      </w:r>
      <w:r>
        <w:tab/>
        <w:t>The majority of the information in this section is based off of the 2018 census conducted by Stats NZ. These censuses are conducted every five years, most recently completed in 2023. However, the data on housing and infrastructure from the most recent census was published in October 2024</w:t>
      </w:r>
      <w:r w:rsidR="009940AA">
        <w:t>,</w:t>
      </w:r>
      <w:r>
        <w:t xml:space="preserve"> not allowing sufficient time for meaningful analysis for inclusion in this report. </w:t>
      </w:r>
    </w:p>
  </w:footnote>
  <w:footnote w:id="101">
    <w:p w14:paraId="2844090F" w14:textId="77777777" w:rsidR="00D61191" w:rsidRPr="004E43D8" w:rsidRDefault="00D61191" w:rsidP="00D61191">
      <w:pPr>
        <w:pStyle w:val="FootnoteText"/>
      </w:pPr>
      <w:r>
        <w:rPr>
          <w:rStyle w:val="FootnoteReference"/>
        </w:rPr>
        <w:footnoteRef/>
      </w:r>
      <w:r>
        <w:t xml:space="preserve"> </w:t>
      </w:r>
      <w:r>
        <w:tab/>
        <w:t xml:space="preserve">Stats NZ. 2021. </w:t>
      </w:r>
      <w:hyperlink r:id="rId82" w:history="1">
        <w:r w:rsidRPr="00706F58">
          <w:rPr>
            <w:rStyle w:val="Hyperlink"/>
            <w:i/>
            <w:iCs/>
          </w:rPr>
          <w:t>2018 Census Urban Accessibility Dataset</w:t>
        </w:r>
      </w:hyperlink>
      <w:r>
        <w:rPr>
          <w:i/>
          <w:iCs/>
        </w:rPr>
        <w:t xml:space="preserve">. </w:t>
      </w:r>
    </w:p>
  </w:footnote>
  <w:footnote w:id="102">
    <w:p w14:paraId="551C578B" w14:textId="77777777" w:rsidR="00D61191" w:rsidRPr="003F4C78" w:rsidRDefault="00D61191" w:rsidP="00D61191">
      <w:pPr>
        <w:pStyle w:val="FootnoteText"/>
      </w:pPr>
      <w:r>
        <w:rPr>
          <w:rStyle w:val="FootnoteReference"/>
        </w:rPr>
        <w:footnoteRef/>
      </w:r>
      <w:r>
        <w:t xml:space="preserve"> </w:t>
      </w:r>
      <w:r>
        <w:tab/>
        <w:t xml:space="preserve">Stats NZ. 2019. </w:t>
      </w:r>
      <w:hyperlink r:id="rId83" w:history="1">
        <w:r w:rsidRPr="00706F58">
          <w:rPr>
            <w:rStyle w:val="Hyperlink"/>
            <w:i/>
            <w:iCs/>
          </w:rPr>
          <w:t>2018 Census Population and Dwelling Counts</w:t>
        </w:r>
      </w:hyperlink>
      <w:r>
        <w:rPr>
          <w:i/>
          <w:iCs/>
        </w:rPr>
        <w:t xml:space="preserve">. </w:t>
      </w:r>
    </w:p>
  </w:footnote>
  <w:footnote w:id="103">
    <w:p w14:paraId="3B575A32" w14:textId="77777777" w:rsidR="00D61191" w:rsidRDefault="00D61191" w:rsidP="00D61191">
      <w:pPr>
        <w:pStyle w:val="FootnoteText"/>
      </w:pPr>
      <w:r>
        <w:rPr>
          <w:rStyle w:val="FootnoteReference"/>
        </w:rPr>
        <w:footnoteRef/>
      </w:r>
      <w:r>
        <w:t xml:space="preserve"> </w:t>
      </w:r>
      <w:r>
        <w:tab/>
        <w:t xml:space="preserve">Stats NZ. 2021. </w:t>
      </w:r>
      <w:hyperlink r:id="rId84" w:history="1">
        <w:r w:rsidRPr="00706F58">
          <w:rPr>
            <w:rStyle w:val="Hyperlink"/>
            <w:i/>
            <w:iCs/>
          </w:rPr>
          <w:t>2018 Census Urban Accessibility Dataset</w:t>
        </w:r>
      </w:hyperlink>
      <w:r>
        <w:rPr>
          <w:i/>
          <w:iCs/>
        </w:rPr>
        <w:t>.</w:t>
      </w:r>
      <w:r w:rsidDel="00706F58">
        <w:rPr>
          <w:i/>
          <w:iCs/>
        </w:rPr>
        <w:t xml:space="preserve"> </w:t>
      </w:r>
    </w:p>
  </w:footnote>
  <w:footnote w:id="104">
    <w:p w14:paraId="212BFCD1" w14:textId="77777777" w:rsidR="00D61191" w:rsidRPr="005D7617" w:rsidRDefault="00D61191" w:rsidP="00D61191">
      <w:pPr>
        <w:pStyle w:val="FootnoteText"/>
      </w:pPr>
      <w:r>
        <w:rPr>
          <w:rStyle w:val="FootnoteReference"/>
        </w:rPr>
        <w:footnoteRef/>
      </w:r>
      <w:r>
        <w:t xml:space="preserve"> </w:t>
      </w:r>
      <w:r>
        <w:tab/>
        <w:t xml:space="preserve">Stats NZ. 2023. </w:t>
      </w:r>
      <w:hyperlink r:id="rId85" w:anchor=":~:text=Key%20facts,households%20estimate%20%E2%80%93%201%2C976%2C600." w:history="1">
        <w:r w:rsidRPr="00706F58">
          <w:rPr>
            <w:rStyle w:val="Hyperlink"/>
            <w:i/>
            <w:iCs/>
          </w:rPr>
          <w:t>Dwelling and Household Estimates: June 2023 Quarter</w:t>
        </w:r>
      </w:hyperlink>
      <w:r>
        <w:rPr>
          <w:i/>
          <w:iCs/>
        </w:rPr>
        <w:t xml:space="preserve">. </w:t>
      </w:r>
    </w:p>
  </w:footnote>
  <w:footnote w:id="105">
    <w:p w14:paraId="2F8EB0CC" w14:textId="77777777" w:rsidR="00D61191" w:rsidRPr="00962E6D" w:rsidRDefault="00D61191" w:rsidP="00D61191">
      <w:pPr>
        <w:pStyle w:val="FootnoteText"/>
      </w:pPr>
      <w:r>
        <w:rPr>
          <w:rStyle w:val="FootnoteReference"/>
        </w:rPr>
        <w:footnoteRef/>
      </w:r>
      <w:r>
        <w:t xml:space="preserve"> </w:t>
      </w:r>
      <w:r>
        <w:tab/>
        <w:t xml:space="preserve">Stats NZ. 2020. </w:t>
      </w:r>
      <w:hyperlink r:id="rId86" w:history="1">
        <w:r w:rsidRPr="00706F58">
          <w:rPr>
            <w:rStyle w:val="Hyperlink"/>
            <w:i/>
            <w:iCs/>
          </w:rPr>
          <w:t>Housing in Aotearoa: 2020</w:t>
        </w:r>
      </w:hyperlink>
      <w:r>
        <w:rPr>
          <w:i/>
          <w:iCs/>
        </w:rPr>
        <w:t xml:space="preserve">. </w:t>
      </w:r>
    </w:p>
  </w:footnote>
  <w:footnote w:id="106">
    <w:p w14:paraId="102157E8" w14:textId="77777777" w:rsidR="00D61191" w:rsidRDefault="00D61191" w:rsidP="00D61191">
      <w:pPr>
        <w:pStyle w:val="FootnoteText"/>
      </w:pPr>
      <w:r>
        <w:rPr>
          <w:rStyle w:val="FootnoteReference"/>
        </w:rPr>
        <w:footnoteRef/>
      </w:r>
      <w:r>
        <w:tab/>
        <w:t xml:space="preserve">Administrative data include data collected by government agencies on private organisations in the course of conducting their business or services. They are not data collected primarily for statistical purposes. </w:t>
      </w:r>
    </w:p>
  </w:footnote>
  <w:footnote w:id="107">
    <w:p w14:paraId="6A3611EE" w14:textId="77777777" w:rsidR="00D61191" w:rsidRPr="00A17A26" w:rsidRDefault="00D61191" w:rsidP="00D61191">
      <w:pPr>
        <w:pStyle w:val="FootnoteText"/>
      </w:pPr>
      <w:r>
        <w:rPr>
          <w:rStyle w:val="FootnoteReference"/>
        </w:rPr>
        <w:footnoteRef/>
      </w:r>
      <w:r>
        <w:tab/>
      </w:r>
      <w:r w:rsidRPr="00AE4FFF">
        <w:t>Lefale PF, Faiva</w:t>
      </w:r>
      <w:r>
        <w:t xml:space="preserve"> P</w:t>
      </w:r>
      <w:r w:rsidRPr="00AE4FFF">
        <w:t>, Anderson</w:t>
      </w:r>
      <w:r>
        <w:t xml:space="preserve"> CL</w:t>
      </w:r>
      <w:r>
        <w:rPr>
          <w:rFonts w:eastAsia="Calibri" w:cs="Calibri"/>
          <w:szCs w:val="19"/>
        </w:rPr>
        <w:t>.</w:t>
      </w:r>
      <w:r w:rsidRPr="553F3F23">
        <w:rPr>
          <w:rFonts w:eastAsia="Calibri" w:cs="Calibri"/>
          <w:szCs w:val="19"/>
        </w:rPr>
        <w:t xml:space="preserve"> </w:t>
      </w:r>
      <w:r>
        <w:rPr>
          <w:rFonts w:eastAsia="Calibri" w:cs="Calibri"/>
          <w:szCs w:val="19"/>
        </w:rPr>
        <w:t xml:space="preserve">2017. </w:t>
      </w:r>
      <w:hyperlink r:id="rId87" w:history="1">
        <w:r w:rsidRPr="00AE4FFF">
          <w:rPr>
            <w:rStyle w:val="Hyperlink"/>
            <w:i/>
            <w:iCs/>
          </w:rPr>
          <w:t>Living with Change (LivC): An Integrated National Strategy for Enhancing the Resilience of Tokelau to Climate Change and Related Hazards, 2017–30</w:t>
        </w:r>
      </w:hyperlink>
      <w:r w:rsidRPr="553F3F23">
        <w:rPr>
          <w:rFonts w:eastAsia="Calibri" w:cs="Calibri"/>
          <w:szCs w:val="19"/>
        </w:rPr>
        <w:t>.</w:t>
      </w:r>
      <w:r>
        <w:rPr>
          <w:rFonts w:eastAsia="Calibri" w:cs="Calibri"/>
          <w:szCs w:val="19"/>
        </w:rPr>
        <w:t xml:space="preserve"> </w:t>
      </w:r>
      <w:r>
        <w:t>Wellington: Government of Tokelau and LeA International Consultants.</w:t>
      </w:r>
    </w:p>
  </w:footnote>
  <w:footnote w:id="108">
    <w:p w14:paraId="375ACF92" w14:textId="77777777" w:rsidR="00D61191" w:rsidRDefault="00D61191" w:rsidP="00D61191">
      <w:pPr>
        <w:pStyle w:val="FootnoteText"/>
      </w:pPr>
      <w:r>
        <w:rPr>
          <w:rStyle w:val="FootnoteReference"/>
        </w:rPr>
        <w:footnoteRef/>
      </w:r>
      <w:r>
        <w:t xml:space="preserve"> </w:t>
      </w:r>
      <w:r>
        <w:tab/>
      </w:r>
      <w:r w:rsidRPr="00AE4FFF">
        <w:t>Lefale PF, Faiva</w:t>
      </w:r>
      <w:r>
        <w:t xml:space="preserve"> P</w:t>
      </w:r>
      <w:r w:rsidRPr="00AE4FFF">
        <w:t>, Anderson</w:t>
      </w:r>
      <w:r>
        <w:t xml:space="preserve"> CL</w:t>
      </w:r>
      <w:r>
        <w:rPr>
          <w:rFonts w:eastAsia="Calibri" w:cs="Calibri"/>
          <w:szCs w:val="19"/>
        </w:rPr>
        <w:t>.</w:t>
      </w:r>
      <w:r w:rsidRPr="553F3F23">
        <w:rPr>
          <w:rFonts w:eastAsia="Calibri" w:cs="Calibri"/>
          <w:szCs w:val="19"/>
        </w:rPr>
        <w:t xml:space="preserve"> </w:t>
      </w:r>
      <w:r>
        <w:rPr>
          <w:rFonts w:eastAsia="Calibri" w:cs="Calibri"/>
          <w:szCs w:val="19"/>
        </w:rPr>
        <w:t xml:space="preserve">2017. </w:t>
      </w:r>
      <w:hyperlink r:id="rId88" w:history="1">
        <w:r w:rsidRPr="00621301">
          <w:rPr>
            <w:rStyle w:val="Hyperlink"/>
            <w:i/>
            <w:iCs/>
          </w:rPr>
          <w:t>Living with Change (LivC): An Integrated National Strategy for Enhancing the Resilience of Tokelau to Climate Change and Related Hazards, 2017–30: Implementation Plan, 2017–2022</w:t>
        </w:r>
      </w:hyperlink>
      <w:r w:rsidRPr="553F3F23">
        <w:rPr>
          <w:rFonts w:eastAsia="Calibri" w:cs="Calibri"/>
          <w:szCs w:val="19"/>
        </w:rPr>
        <w:t>.</w:t>
      </w:r>
      <w:r>
        <w:rPr>
          <w:rFonts w:eastAsia="Calibri" w:cs="Calibri"/>
          <w:szCs w:val="19"/>
        </w:rPr>
        <w:t xml:space="preserve"> </w:t>
      </w:r>
      <w:r>
        <w:t>Wellington: Government of Tokelau and LeA International Consultants.</w:t>
      </w:r>
      <w:r w:rsidRPr="553F3F23">
        <w:rPr>
          <w:rFonts w:eastAsia="Calibri" w:cs="Calibri"/>
          <w:szCs w:val="19"/>
        </w:rPr>
        <w:t xml:space="preserve"> </w:t>
      </w:r>
    </w:p>
  </w:footnote>
  <w:footnote w:id="109">
    <w:p w14:paraId="56F5DC76" w14:textId="22195DE4" w:rsidR="0039749C" w:rsidRDefault="0039749C" w:rsidP="00E81F20">
      <w:pPr>
        <w:pStyle w:val="Footnote"/>
      </w:pPr>
      <w:r>
        <w:rPr>
          <w:rStyle w:val="FootnoteReference"/>
        </w:rPr>
        <w:footnoteRef/>
      </w:r>
      <w:r w:rsidR="00A6549A">
        <w:t xml:space="preserve"> </w:t>
      </w:r>
      <w:r w:rsidR="00AF157F">
        <w:tab/>
      </w:r>
      <w:r w:rsidR="00AF157F">
        <w:tab/>
      </w:r>
      <w:r w:rsidR="00AC695B" w:rsidRPr="00AC695B">
        <w:t xml:space="preserve">Climate Change Commission. </w:t>
      </w:r>
      <w:hyperlink r:id="rId89" w:history="1">
        <w:r w:rsidR="003A436D" w:rsidRPr="00E81F20">
          <w:rPr>
            <w:rStyle w:val="Hyperlink"/>
            <w:i/>
            <w:iCs/>
          </w:rPr>
          <w:t>Advice to Government</w:t>
        </w:r>
      </w:hyperlink>
      <w:r w:rsidR="003A436D">
        <w:t xml:space="preserve">. </w:t>
      </w:r>
      <w:r w:rsidR="00AC695B" w:rsidRPr="00AC695B">
        <w:t>Retrieved 18 December 2024.  </w:t>
      </w:r>
    </w:p>
  </w:footnote>
  <w:footnote w:id="110">
    <w:p w14:paraId="0EAB6309" w14:textId="53F10EDD" w:rsidR="00DE5696" w:rsidRDefault="00DE5696" w:rsidP="00AF157F">
      <w:pPr>
        <w:pStyle w:val="Footnote"/>
      </w:pPr>
      <w:r>
        <w:rPr>
          <w:rStyle w:val="FootnoteReference"/>
        </w:rPr>
        <w:footnoteRef/>
      </w:r>
      <w:r w:rsidR="00273CAC">
        <w:t xml:space="preserve"> </w:t>
      </w:r>
      <w:r w:rsidR="00AF157F">
        <w:tab/>
      </w:r>
      <w:r w:rsidR="00AF157F">
        <w:tab/>
      </w:r>
      <w:r w:rsidR="004D0D1B" w:rsidRPr="00AC695B">
        <w:t>Climate Change Commission</w:t>
      </w:r>
      <w:r w:rsidR="004D0D1B">
        <w:t>.</w:t>
      </w:r>
      <w:r w:rsidR="005B23E7">
        <w:t xml:space="preserve"> 2024</w:t>
      </w:r>
      <w:r w:rsidR="005B23E7" w:rsidRPr="005B23E7">
        <w:t xml:space="preserve">. </w:t>
      </w:r>
      <w:hyperlink r:id="rId90" w:history="1">
        <w:r w:rsidR="005B23E7" w:rsidRPr="00E81F20">
          <w:rPr>
            <w:rStyle w:val="Hyperlink"/>
          </w:rPr>
          <w:t>Report on the potential domestic contribution to Aotearoa New Zealand's second nationally determined contribution</w:t>
        </w:r>
      </w:hyperlink>
      <w:r w:rsidR="00273CAC">
        <w:t>. Wellington: Climate Change Co</w:t>
      </w:r>
      <w:r w:rsidR="00DF57C5">
        <w:t>m</w:t>
      </w:r>
      <w:r w:rsidR="00273CAC">
        <w:t>mission.</w:t>
      </w:r>
      <w:r w:rsidR="004D0D1B">
        <w:t xml:space="preserve"> </w:t>
      </w:r>
      <w:r>
        <w:t xml:space="preserve"> </w:t>
      </w:r>
    </w:p>
  </w:footnote>
  <w:footnote w:id="111">
    <w:p w14:paraId="31D9F466" w14:textId="77777777" w:rsidR="00D61191" w:rsidRDefault="00D61191" w:rsidP="00D61191">
      <w:pPr>
        <w:pStyle w:val="FootnoteText"/>
      </w:pPr>
      <w:r>
        <w:rPr>
          <w:rStyle w:val="FootnoteReference"/>
        </w:rPr>
        <w:footnoteRef/>
      </w:r>
      <w:r>
        <w:tab/>
      </w:r>
      <w:r w:rsidRPr="00550055">
        <w:t xml:space="preserve">Ministry for the Environment. </w:t>
      </w:r>
      <w:r>
        <w:t xml:space="preserve">2015. </w:t>
      </w:r>
      <w:hyperlink r:id="rId91" w:history="1">
        <w:r w:rsidRPr="00550055">
          <w:rPr>
            <w:rStyle w:val="Hyperlink"/>
            <w:i/>
            <w:iCs/>
          </w:rPr>
          <w:t>New Zealand’s climate change target: Our contribution to the new international climate change agreement: Discussion document</w:t>
        </w:r>
      </w:hyperlink>
      <w:r w:rsidRPr="00550055">
        <w:t xml:space="preserve">. </w:t>
      </w:r>
      <w:r>
        <w:t xml:space="preserve">Wellington: </w:t>
      </w:r>
      <w:r w:rsidRPr="00550055">
        <w:t>Ministry for the Environment.</w:t>
      </w:r>
    </w:p>
  </w:footnote>
  <w:footnote w:id="112">
    <w:p w14:paraId="1181B729" w14:textId="77777777" w:rsidR="00D61191" w:rsidRDefault="00D61191" w:rsidP="00D61191">
      <w:pPr>
        <w:pStyle w:val="FootnoteText"/>
      </w:pPr>
      <w:r>
        <w:rPr>
          <w:rStyle w:val="FootnoteReference"/>
        </w:rPr>
        <w:footnoteRef/>
      </w:r>
      <w:r>
        <w:t xml:space="preserve"> </w:t>
      </w:r>
      <w:r>
        <w:tab/>
      </w:r>
      <w:r w:rsidRPr="00550055">
        <w:t>Climate Change Commission.</w:t>
      </w:r>
      <w:r>
        <w:t xml:space="preserve"> 2021.</w:t>
      </w:r>
      <w:r w:rsidRPr="00550055">
        <w:t xml:space="preserve"> </w:t>
      </w:r>
      <w:hyperlink r:id="rId92" w:history="1">
        <w:r w:rsidRPr="00550055">
          <w:rPr>
            <w:rStyle w:val="Hyperlink"/>
            <w:i/>
            <w:iCs/>
          </w:rPr>
          <w:t>Ināia Tonu Nei: A Low Emissions Future for Aotearoa</w:t>
        </w:r>
      </w:hyperlink>
      <w:r w:rsidRPr="00550055">
        <w:t xml:space="preserve">. </w:t>
      </w:r>
      <w:r>
        <w:t>Wellington: Climate Change Commission.</w:t>
      </w:r>
    </w:p>
  </w:footnote>
  <w:footnote w:id="113">
    <w:p w14:paraId="385C6C06" w14:textId="77777777" w:rsidR="00D61191" w:rsidRDefault="00D61191" w:rsidP="00D61191">
      <w:pPr>
        <w:pStyle w:val="FootnoteText"/>
      </w:pPr>
      <w:r>
        <w:rPr>
          <w:rStyle w:val="FootnoteReference"/>
        </w:rPr>
        <w:footnoteRef/>
      </w:r>
      <w:r>
        <w:t xml:space="preserve"> </w:t>
      </w:r>
      <w:r>
        <w:tab/>
      </w:r>
      <w:r w:rsidRPr="00F3314F">
        <w:t>Ministry of Foreign Affairs and Trade</w:t>
      </w:r>
      <w:r>
        <w:t>. 2023.</w:t>
      </w:r>
      <w:r w:rsidRPr="00F3314F">
        <w:t xml:space="preserve"> </w:t>
      </w:r>
      <w:hyperlink r:id="rId93" w:history="1">
        <w:r w:rsidRPr="00F3314F">
          <w:rPr>
            <w:rStyle w:val="Hyperlink"/>
            <w:i/>
            <w:iCs/>
          </w:rPr>
          <w:t>Updating Aotearoa New Zealand’s Approach to International Climate Change Negotiations</w:t>
        </w:r>
        <w:r>
          <w:rPr>
            <w:rStyle w:val="Hyperlink"/>
            <w:i/>
            <w:iCs/>
          </w:rPr>
          <w:t>:</w:t>
        </w:r>
        <w:r w:rsidRPr="00F3314F">
          <w:rPr>
            <w:rStyle w:val="Hyperlink"/>
            <w:i/>
            <w:iCs/>
          </w:rPr>
          <w:t xml:space="preserve"> Public Consultation</w:t>
        </w:r>
      </w:hyperlink>
      <w:r w:rsidRPr="00F3314F">
        <w:t xml:space="preserve">. </w:t>
      </w:r>
      <w:r>
        <w:t>Wellington:</w:t>
      </w:r>
      <w:r w:rsidRPr="00F3314F">
        <w:t xml:space="preserve"> Ministry of Foreign Affairs and Trade.</w:t>
      </w:r>
    </w:p>
  </w:footnote>
  <w:footnote w:id="114">
    <w:p w14:paraId="647B8241" w14:textId="77777777" w:rsidR="0085327D" w:rsidRDefault="0085327D" w:rsidP="0085327D">
      <w:pPr>
        <w:pStyle w:val="FootnoteText"/>
      </w:pPr>
      <w:r>
        <w:rPr>
          <w:rStyle w:val="FootnoteReference"/>
        </w:rPr>
        <w:footnoteRef/>
      </w:r>
      <w:r>
        <w:t xml:space="preserve"> </w:t>
      </w:r>
      <w:r>
        <w:tab/>
      </w:r>
      <w:r w:rsidRPr="00F3314F">
        <w:t xml:space="preserve">Ministry for the Environment. </w:t>
      </w:r>
      <w:r>
        <w:t xml:space="preserve">2024. </w:t>
      </w:r>
      <w:hyperlink r:id="rId94" w:history="1">
        <w:r w:rsidRPr="00F3314F">
          <w:rPr>
            <w:rStyle w:val="Hyperlink"/>
            <w:i/>
            <w:iCs/>
          </w:rPr>
          <w:t>New Zealand’s second emissions reduction plan (2026–30): Discussion document</w:t>
        </w:r>
      </w:hyperlink>
      <w:r w:rsidRPr="00F3314F">
        <w:t xml:space="preserve">. </w:t>
      </w:r>
      <w:r>
        <w:t xml:space="preserve">Wellington: </w:t>
      </w:r>
      <w:r w:rsidRPr="00550055">
        <w:t>Ministry for the Environment.</w:t>
      </w:r>
    </w:p>
  </w:footnote>
  <w:footnote w:id="115">
    <w:p w14:paraId="55AE2301" w14:textId="034028D6" w:rsidR="75ADBAC8" w:rsidRDefault="75ADBAC8" w:rsidP="00455403">
      <w:pPr>
        <w:pStyle w:val="FootnoteText"/>
      </w:pPr>
      <w:r w:rsidRPr="75ADBAC8">
        <w:rPr>
          <w:rStyle w:val="FootnoteReference"/>
        </w:rPr>
        <w:footnoteRef/>
      </w:r>
      <w:r w:rsidR="3E81A84E">
        <w:t xml:space="preserve"> </w:t>
      </w:r>
      <w:r w:rsidR="00455403">
        <w:tab/>
      </w:r>
      <w:r w:rsidR="3E81A84E" w:rsidRPr="3E81A84E">
        <w:rPr>
          <w:rFonts w:eastAsia="Calibri" w:cs="Calibri"/>
          <w:sz w:val="18"/>
          <w:szCs w:val="18"/>
        </w:rPr>
        <w:t xml:space="preserve">Ministry for the Environment. 2025. </w:t>
      </w:r>
      <w:hyperlink r:id="rId95" w:history="1">
        <w:r w:rsidR="3E81A84E" w:rsidRPr="3E81A84E">
          <w:rPr>
            <w:rFonts w:eastAsia="Calibri" w:cs="Calibri"/>
            <w:i/>
            <w:iCs/>
            <w:color w:val="32809C" w:themeColor="accent2"/>
            <w:sz w:val="18"/>
            <w:szCs w:val="18"/>
          </w:rPr>
          <w:t>New Zealand’s second emissions plan</w:t>
        </w:r>
        <w:r w:rsidR="3E81A84E" w:rsidRPr="3E81A84E">
          <w:rPr>
            <w:rFonts w:eastAsia="Calibri" w:cs="Calibri"/>
            <w:color w:val="32809C" w:themeColor="accent2"/>
            <w:sz w:val="18"/>
            <w:szCs w:val="18"/>
          </w:rPr>
          <w:t>:</w:t>
        </w:r>
        <w:r w:rsidR="3E81A84E" w:rsidRPr="3E81A84E">
          <w:rPr>
            <w:rStyle w:val="Hyperlink"/>
            <w:rFonts w:eastAsia="Calibri" w:cs="Calibri"/>
            <w:i/>
            <w:iCs/>
            <w:sz w:val="18"/>
            <w:szCs w:val="18"/>
          </w:rPr>
          <w:t xml:space="preserve"> 2026–30</w:t>
        </w:r>
      </w:hyperlink>
      <w:r w:rsidR="3E81A84E" w:rsidRPr="3E81A84E">
        <w:rPr>
          <w:rFonts w:eastAsia="Calibri" w:cs="Calibri"/>
          <w:sz w:val="18"/>
          <w:szCs w:val="18"/>
        </w:rPr>
        <w:t>. Wellington: Ministry for the Environment.</w:t>
      </w:r>
    </w:p>
  </w:footnote>
  <w:footnote w:id="116">
    <w:p w14:paraId="073E3B7F" w14:textId="77777777" w:rsidR="00D61191" w:rsidRDefault="00D61191" w:rsidP="00D61191">
      <w:pPr>
        <w:pStyle w:val="FootnoteText"/>
      </w:pPr>
      <w:r>
        <w:rPr>
          <w:rStyle w:val="FootnoteReference"/>
        </w:rPr>
        <w:footnoteRef/>
      </w:r>
      <w:r>
        <w:t xml:space="preserve"> </w:t>
      </w:r>
      <w:r>
        <w:tab/>
      </w:r>
      <w:r w:rsidRPr="007633D7">
        <w:t xml:space="preserve">Ministry for the Environment. </w:t>
      </w:r>
      <w:r>
        <w:t xml:space="preserve">2024. </w:t>
      </w:r>
      <w:hyperlink r:id="rId96" w:history="1">
        <w:r w:rsidRPr="007633D7">
          <w:rPr>
            <w:rStyle w:val="Hyperlink"/>
            <w:i/>
            <w:iCs/>
          </w:rPr>
          <w:t>Annual updates to New Zealand Emissions Trading Scheme limits and price control settings for units 2024: Consultation document</w:t>
        </w:r>
      </w:hyperlink>
      <w:r w:rsidRPr="007633D7">
        <w:t xml:space="preserve">. </w:t>
      </w:r>
      <w:r>
        <w:t xml:space="preserve">Wellington: </w:t>
      </w:r>
      <w:r w:rsidRPr="00550055">
        <w:t>Ministry for the Environment</w:t>
      </w:r>
      <w:r>
        <w:t>.</w:t>
      </w:r>
    </w:p>
  </w:footnote>
  <w:footnote w:id="117">
    <w:p w14:paraId="47C95073" w14:textId="77777777" w:rsidR="00A8128F" w:rsidRPr="00F81E31" w:rsidRDefault="00A8128F" w:rsidP="00A8128F">
      <w:pPr>
        <w:pStyle w:val="FootnoteText"/>
        <w:rPr>
          <w:szCs w:val="19"/>
        </w:rPr>
      </w:pPr>
      <w:r w:rsidRPr="0021192E">
        <w:rPr>
          <w:sz w:val="22"/>
          <w:vertAlign w:val="superscript"/>
        </w:rPr>
        <w:footnoteRef/>
      </w:r>
      <w:r w:rsidRPr="00F81E31">
        <w:rPr>
          <w:szCs w:val="19"/>
        </w:rPr>
        <w:t xml:space="preserve"> </w:t>
      </w:r>
      <w:r>
        <w:rPr>
          <w:szCs w:val="19"/>
        </w:rPr>
        <w:tab/>
        <w:t xml:space="preserve">New Zealand </w:t>
      </w:r>
      <w:r w:rsidRPr="00981ACF">
        <w:rPr>
          <w:szCs w:val="19"/>
        </w:rPr>
        <w:t>Productivity Commission.</w:t>
      </w:r>
      <w:r>
        <w:rPr>
          <w:szCs w:val="19"/>
        </w:rPr>
        <w:t xml:space="preserve"> 2018.</w:t>
      </w:r>
      <w:r w:rsidRPr="00DA49D4">
        <w:rPr>
          <w:rFonts w:ascii="Arial" w:hAnsi="Arial" w:cs="Arial"/>
          <w:sz w:val="20"/>
          <w:szCs w:val="20"/>
        </w:rPr>
        <w:t xml:space="preserve"> </w:t>
      </w:r>
      <w:hyperlink r:id="rId97" w:history="1">
        <w:r>
          <w:rPr>
            <w:rStyle w:val="Hyperlink"/>
            <w:i/>
            <w:iCs/>
            <w:szCs w:val="19"/>
          </w:rPr>
          <w:t>Low emissions economy: Final report</w:t>
        </w:r>
      </w:hyperlink>
      <w:r w:rsidRPr="00981ACF">
        <w:rPr>
          <w:szCs w:val="19"/>
        </w:rPr>
        <w:t xml:space="preserve">. </w:t>
      </w:r>
      <w:r>
        <w:rPr>
          <w:szCs w:val="19"/>
        </w:rPr>
        <w:t>Wellington: New Zealand Productivity Commission</w:t>
      </w:r>
      <w:r w:rsidRPr="00981ACF">
        <w:rPr>
          <w:szCs w:val="19"/>
        </w:rPr>
        <w:t>.</w:t>
      </w:r>
    </w:p>
  </w:footnote>
  <w:footnote w:id="118">
    <w:p w14:paraId="11202984" w14:textId="3A25396C" w:rsidR="00A8128F" w:rsidRDefault="00A8128F" w:rsidP="00A8128F">
      <w:pPr>
        <w:pStyle w:val="FootnoteText"/>
      </w:pPr>
      <w:r w:rsidRPr="0021192E">
        <w:rPr>
          <w:sz w:val="22"/>
          <w:vertAlign w:val="superscript"/>
        </w:rPr>
        <w:footnoteRef/>
      </w:r>
      <w:r>
        <w:t xml:space="preserve"> </w:t>
      </w:r>
      <w:r>
        <w:tab/>
      </w:r>
      <w:r w:rsidRPr="000000DB">
        <w:t xml:space="preserve">IPCC. 2018. </w:t>
      </w:r>
      <w:hyperlink r:id="rId98" w:history="1">
        <w:r w:rsidRPr="000000DB">
          <w:rPr>
            <w:rStyle w:val="Hyperlink"/>
            <w:i/>
            <w:iCs/>
          </w:rPr>
          <w:t>Global Warming of 1.5°C: An IPCC Special Report on the impacts of global warming of 1.5°C</w:t>
        </w:r>
        <w:r w:rsidR="000000DB">
          <w:rPr>
            <w:rStyle w:val="Hyperlink"/>
            <w:i/>
            <w:iCs/>
          </w:rPr>
          <w:t> </w:t>
        </w:r>
        <w:r w:rsidRPr="000000DB">
          <w:rPr>
            <w:rStyle w:val="Hyperlink"/>
            <w:i/>
            <w:iCs/>
          </w:rPr>
          <w:t>above pre-industrial levels and related global greenhouse gas emission pathways, in the context of</w:t>
        </w:r>
        <w:r w:rsidR="000000DB">
          <w:rPr>
            <w:rStyle w:val="Hyperlink"/>
            <w:i/>
            <w:iCs/>
          </w:rPr>
          <w:t> </w:t>
        </w:r>
        <w:r w:rsidRPr="000000DB">
          <w:rPr>
            <w:rStyle w:val="Hyperlink"/>
            <w:i/>
            <w:iCs/>
          </w:rPr>
          <w:t>strengthening the global response to the threat of climate change, sustainable development, and efforts to eradicate poverty</w:t>
        </w:r>
      </w:hyperlink>
      <w:r w:rsidRPr="000000DB">
        <w:t>. Masson-Delmotte V, Zhai P, Pörtner H-O, Roberts D, Skea J, Shukla PR, Pirani</w:t>
      </w:r>
      <w:r w:rsidR="000000DB">
        <w:t> </w:t>
      </w:r>
      <w:r w:rsidRPr="000000DB">
        <w:t>A, Moufouma-Okia W, Péan C, Pidcock R, Connors S, Matthews JBR, Chen Y, Zhou X, Gomis MI, Lonnoy E, Maycock T, Tignor M, Waterfield T (eds). Cambridge, UK and New York, NY, USA: Cambridge University Press.</w:t>
      </w:r>
      <w:r w:rsidRPr="00886897">
        <w:t xml:space="preserve"> </w:t>
      </w:r>
    </w:p>
  </w:footnote>
  <w:footnote w:id="119">
    <w:p w14:paraId="19E56959" w14:textId="77777777" w:rsidR="00A8128F" w:rsidRDefault="00A8128F" w:rsidP="00A8128F">
      <w:pPr>
        <w:pStyle w:val="FootnoteText"/>
      </w:pPr>
      <w:r w:rsidRPr="0021192E">
        <w:rPr>
          <w:sz w:val="22"/>
          <w:vertAlign w:val="superscript"/>
        </w:rPr>
        <w:footnoteRef/>
      </w:r>
      <w:r>
        <w:rPr>
          <w:szCs w:val="19"/>
        </w:rPr>
        <w:t xml:space="preserve"> </w:t>
      </w:r>
      <w:r>
        <w:tab/>
        <w:t xml:space="preserve">Climate Change </w:t>
      </w:r>
      <w:r w:rsidRPr="007C4151">
        <w:rPr>
          <w:szCs w:val="19"/>
        </w:rPr>
        <w:t>Commission</w:t>
      </w:r>
      <w:r w:rsidRPr="000A20CF">
        <w:rPr>
          <w:szCs w:val="19"/>
        </w:rPr>
        <w:t xml:space="preserve"> | He Pou a Rangi</w:t>
      </w:r>
      <w:r>
        <w:rPr>
          <w:szCs w:val="19"/>
        </w:rPr>
        <w:t>.</w:t>
      </w:r>
      <w:r w:rsidRPr="007C4151">
        <w:rPr>
          <w:szCs w:val="19"/>
        </w:rPr>
        <w:t xml:space="preserve"> </w:t>
      </w:r>
      <w:r>
        <w:rPr>
          <w:szCs w:val="19"/>
        </w:rPr>
        <w:t xml:space="preserve">2021. </w:t>
      </w:r>
      <w:hyperlink r:id="rId99" w:history="1">
        <w:r w:rsidRPr="00087E95">
          <w:rPr>
            <w:rStyle w:val="Hyperlink"/>
            <w:i/>
            <w:iCs/>
            <w:szCs w:val="19"/>
          </w:rPr>
          <w:t>Ināia tonu nei: A low emissions future for Aotearoa</w:t>
        </w:r>
      </w:hyperlink>
      <w:r w:rsidRPr="007C4151">
        <w:rPr>
          <w:szCs w:val="19"/>
        </w:rPr>
        <w:t xml:space="preserve">. </w:t>
      </w:r>
      <w:r>
        <w:rPr>
          <w:szCs w:val="19"/>
        </w:rPr>
        <w:t>Wellington: Climate Change Commission</w:t>
      </w:r>
      <w:r w:rsidRPr="00143AAF">
        <w:rPr>
          <w:szCs w:val="19"/>
        </w:rPr>
        <w:t xml:space="preserve"> | He Pou a Rangi</w:t>
      </w:r>
      <w:r w:rsidRPr="007C4151">
        <w:rPr>
          <w:szCs w:val="19"/>
        </w:rPr>
        <w:t>.</w:t>
      </w:r>
    </w:p>
  </w:footnote>
  <w:footnote w:id="120">
    <w:p w14:paraId="11073E3F" w14:textId="77777777" w:rsidR="00A8128F" w:rsidRPr="00DF7C92" w:rsidRDefault="00A8128F" w:rsidP="00A8128F">
      <w:pPr>
        <w:pStyle w:val="FootnoteText"/>
      </w:pPr>
      <w:r w:rsidRPr="0021192E">
        <w:rPr>
          <w:sz w:val="22"/>
          <w:vertAlign w:val="superscript"/>
        </w:rPr>
        <w:footnoteRef/>
      </w:r>
      <w:r>
        <w:t xml:space="preserve"> </w:t>
      </w:r>
      <w:r>
        <w:tab/>
      </w:r>
      <w:hyperlink r:id="rId100" w:history="1">
        <w:r w:rsidRPr="00281AC3">
          <w:rPr>
            <w:rStyle w:val="Hyperlink"/>
          </w:rPr>
          <w:t>Submission under the Paris Agreement New Zealand’s first Nationally Determined Contribution Updated 4</w:t>
        </w:r>
        <w:r>
          <w:rPr>
            <w:rStyle w:val="Hyperlink"/>
          </w:rPr>
          <w:t> </w:t>
        </w:r>
        <w:r w:rsidRPr="00281AC3">
          <w:rPr>
            <w:rStyle w:val="Hyperlink"/>
          </w:rPr>
          <w:t>November 2021</w:t>
        </w:r>
      </w:hyperlink>
      <w:r>
        <w:t>.</w:t>
      </w:r>
      <w:r w:rsidRPr="00993574">
        <w:t xml:space="preserve"> </w:t>
      </w:r>
      <w:r w:rsidRPr="00DF7C92">
        <w:rPr>
          <w:rStyle w:val="Hyperlink"/>
          <w:color w:val="auto"/>
        </w:rPr>
        <w:t>Retrieved 13 November 2024.</w:t>
      </w:r>
    </w:p>
  </w:footnote>
  <w:footnote w:id="121">
    <w:p w14:paraId="362155E1" w14:textId="77777777" w:rsidR="00A8128F" w:rsidRDefault="00A8128F" w:rsidP="00A8128F">
      <w:pPr>
        <w:pStyle w:val="FootnoteText"/>
      </w:pPr>
      <w:r w:rsidRPr="00C64CEB">
        <w:rPr>
          <w:rStyle w:val="FootnoteReference"/>
        </w:rPr>
        <w:footnoteRef/>
      </w:r>
      <w:r>
        <w:t xml:space="preserve"> </w:t>
      </w:r>
      <w:r>
        <w:tab/>
      </w:r>
      <w:r w:rsidRPr="00CF1EF4">
        <w:t>Ministry for the Environment</w:t>
      </w:r>
      <w:r>
        <w:t xml:space="preserve">. 2024. </w:t>
      </w:r>
      <w:hyperlink r:id="rId101" w:history="1">
        <w:r>
          <w:rPr>
            <w:rStyle w:val="Hyperlink"/>
            <w:i/>
            <w:iCs/>
          </w:rPr>
          <w:t>Responding to a changing climate: The Government’s climate strategy</w:t>
        </w:r>
      </w:hyperlink>
      <w:r>
        <w:t>.</w:t>
      </w:r>
      <w:r w:rsidRPr="00682CDE">
        <w:rPr>
          <w:i/>
          <w:iCs/>
        </w:rPr>
        <w:t xml:space="preserve"> </w:t>
      </w:r>
      <w:r w:rsidRPr="00DF7C92">
        <w:rPr>
          <w:rStyle w:val="Hyperlink"/>
          <w:color w:val="auto"/>
        </w:rPr>
        <w:t>Retrieved 13 November 2024.</w:t>
      </w:r>
    </w:p>
  </w:footnote>
  <w:footnote w:id="122">
    <w:p w14:paraId="69D41CB4" w14:textId="3B72163E" w:rsidR="00A8128F" w:rsidRDefault="00A8128F" w:rsidP="00A8128F">
      <w:pPr>
        <w:pStyle w:val="FootnoteText"/>
      </w:pPr>
      <w:r>
        <w:rPr>
          <w:rStyle w:val="FootnoteReference"/>
        </w:rPr>
        <w:footnoteRef/>
      </w:r>
      <w:r>
        <w:t xml:space="preserve"> </w:t>
      </w:r>
      <w:r>
        <w:tab/>
        <w:t>A</w:t>
      </w:r>
      <w:r w:rsidR="00B05B07">
        <w:t>s</w:t>
      </w:r>
      <w:r>
        <w:t xml:space="preserve"> stated in </w:t>
      </w:r>
      <w:r w:rsidR="00C46723">
        <w:t>a</w:t>
      </w:r>
      <w:r w:rsidRPr="005D3034">
        <w:t>ppendix one</w:t>
      </w:r>
      <w:r w:rsidR="00E05F73">
        <w:t xml:space="preserve"> in</w:t>
      </w:r>
      <w:r w:rsidR="006D75BE">
        <w:t xml:space="preserve"> </w:t>
      </w:r>
      <w:hyperlink r:id="rId102" w:history="1">
        <w:r w:rsidR="006D75BE" w:rsidRPr="00281AC3">
          <w:rPr>
            <w:rStyle w:val="Hyperlink"/>
          </w:rPr>
          <w:t>Submission under the Paris Agreement New Zealand’s first Nationally Determined Contribution Updated 4</w:t>
        </w:r>
        <w:r w:rsidR="006D75BE">
          <w:rPr>
            <w:rStyle w:val="Hyperlink"/>
          </w:rPr>
          <w:t> </w:t>
        </w:r>
        <w:r w:rsidR="006D75BE" w:rsidRPr="00281AC3">
          <w:rPr>
            <w:rStyle w:val="Hyperlink"/>
          </w:rPr>
          <w:t>November 2021</w:t>
        </w:r>
      </w:hyperlink>
      <w:r w:rsidR="006D75BE">
        <w:t>.</w:t>
      </w:r>
      <w:r w:rsidR="006D75BE" w:rsidRPr="00993574">
        <w:t xml:space="preserve"> </w:t>
      </w:r>
      <w:r w:rsidR="006D75BE" w:rsidRPr="00DF7C92">
        <w:rPr>
          <w:rStyle w:val="Hyperlink"/>
          <w:color w:val="auto"/>
        </w:rPr>
        <w:t>Retrieved 13 November 2024.</w:t>
      </w:r>
      <w:r>
        <w:t xml:space="preserve"> </w:t>
      </w:r>
    </w:p>
  </w:footnote>
  <w:footnote w:id="123">
    <w:p w14:paraId="095E255F" w14:textId="77777777" w:rsidR="00A8128F" w:rsidRPr="00DF7C92" w:rsidRDefault="00A8128F" w:rsidP="00A8128F">
      <w:pPr>
        <w:pStyle w:val="FootnoteText"/>
      </w:pPr>
      <w:r>
        <w:rPr>
          <w:rStyle w:val="FootnoteReference"/>
        </w:rPr>
        <w:footnoteRef/>
      </w:r>
      <w:r>
        <w:t xml:space="preserve"> </w:t>
      </w:r>
      <w:r>
        <w:tab/>
      </w:r>
      <w:r w:rsidRPr="002951C5">
        <w:t>Organisation for Economic Co-operation and Development</w:t>
      </w:r>
      <w:hyperlink r:id="rId103" w:history="1">
        <w:r>
          <w:rPr>
            <w:rStyle w:val="Hyperlink"/>
          </w:rPr>
          <w:t xml:space="preserve">. </w:t>
        </w:r>
        <w:r w:rsidRPr="00DF7C92">
          <w:rPr>
            <w:rStyle w:val="Hyperlink"/>
            <w:color w:val="auto"/>
          </w:rPr>
          <w:t xml:space="preserve">2021. </w:t>
        </w:r>
        <w:r w:rsidRPr="00D04EB7">
          <w:rPr>
            <w:rStyle w:val="Hyperlink"/>
            <w:i/>
            <w:iCs/>
          </w:rPr>
          <w:t>Renewable energy</w:t>
        </w:r>
        <w:r>
          <w:rPr>
            <w:rStyle w:val="Hyperlink"/>
          </w:rPr>
          <w:t>.</w:t>
        </w:r>
      </w:hyperlink>
      <w:r>
        <w:rPr>
          <w:rStyle w:val="Hyperlink"/>
        </w:rPr>
        <w:t xml:space="preserve"> </w:t>
      </w:r>
      <w:r w:rsidRPr="00DF7C92">
        <w:rPr>
          <w:rStyle w:val="Hyperlink"/>
          <w:color w:val="auto"/>
        </w:rPr>
        <w:t>Retrieved 13 November 2024.</w:t>
      </w:r>
    </w:p>
  </w:footnote>
  <w:footnote w:id="124">
    <w:p w14:paraId="7BCC6A46" w14:textId="4691AF48" w:rsidR="00A8128F" w:rsidRDefault="00A8128F" w:rsidP="00A8128F">
      <w:pPr>
        <w:pStyle w:val="FootnoteText"/>
      </w:pPr>
      <w:r>
        <w:rPr>
          <w:rStyle w:val="FootnoteReference"/>
        </w:rPr>
        <w:footnoteRef/>
      </w:r>
      <w:r>
        <w:t xml:space="preserve"> </w:t>
      </w:r>
      <w:r>
        <w:tab/>
      </w:r>
      <w:r w:rsidR="00E2182C" w:rsidRPr="00E2182C">
        <w:t xml:space="preserve">Emissions intensity is the ratio of greenhouse gas emissions to economic output (gross domestic product). Emissions intensity has decreased because the economy has increased production with fewer emissions. Further information can be found here: Stats NZ. 2024. </w:t>
      </w:r>
      <w:hyperlink r:id="rId104" w:history="1">
        <w:r w:rsidR="00E2182C" w:rsidRPr="00DE01DA">
          <w:rPr>
            <w:rStyle w:val="Hyperlink"/>
            <w:i/>
            <w:iCs/>
          </w:rPr>
          <w:t>Greenhouse gas emissions (industry and household): December 2023 quarter</w:t>
        </w:r>
      </w:hyperlink>
      <w:r w:rsidR="00E2182C" w:rsidRPr="00E2182C">
        <w:t>. Retrieved 14 November 2024.</w:t>
      </w:r>
    </w:p>
  </w:footnote>
  <w:footnote w:id="125">
    <w:p w14:paraId="6C160B8B" w14:textId="77777777" w:rsidR="00A8128F" w:rsidRDefault="00A8128F" w:rsidP="00A8128F">
      <w:pPr>
        <w:pStyle w:val="FootnoteText"/>
      </w:pPr>
      <w:r w:rsidRPr="00C55DEA">
        <w:rPr>
          <w:sz w:val="22"/>
          <w:vertAlign w:val="superscript"/>
        </w:rPr>
        <w:footnoteRef/>
      </w:r>
      <w:r>
        <w:t xml:space="preserve"> </w:t>
      </w:r>
      <w:r>
        <w:tab/>
      </w:r>
      <w:r w:rsidRPr="00AA68B0">
        <w:t>If this central scenario is achieved, as projected, then New Zealand will meet the budget of 305</w:t>
      </w:r>
      <w:r>
        <w:t> </w:t>
      </w:r>
      <w:r w:rsidRPr="00AA68B0">
        <w:t>Mt</w:t>
      </w:r>
      <w:r>
        <w:t xml:space="preserve"> CO</w:t>
      </w:r>
      <w:r w:rsidRPr="00C1011F">
        <w:rPr>
          <w:vertAlign w:val="subscript"/>
        </w:rPr>
        <w:t>2</w:t>
      </w:r>
      <w:r>
        <w:t>e for emissions budget two</w:t>
      </w:r>
      <w:r w:rsidRPr="00AA68B0">
        <w:t>.</w:t>
      </w:r>
      <w:r>
        <w:t xml:space="preserve"> This modelling includes the impact of new second emissions reduction plan policies and updated New Zealand Emissions Trading Scheme unit and price control settings.</w:t>
      </w:r>
    </w:p>
  </w:footnote>
  <w:footnote w:id="126">
    <w:p w14:paraId="24C5C71D" w14:textId="77777777" w:rsidR="00A8128F" w:rsidRDefault="00A8128F" w:rsidP="00A8128F">
      <w:pPr>
        <w:pStyle w:val="FootnoteText"/>
      </w:pPr>
      <w:r w:rsidRPr="00C55DEA">
        <w:rPr>
          <w:sz w:val="22"/>
          <w:vertAlign w:val="superscript"/>
        </w:rPr>
        <w:footnoteRef/>
      </w:r>
      <w:r>
        <w:t xml:space="preserve"> </w:t>
      </w:r>
      <w:r>
        <w:tab/>
        <w:t xml:space="preserve">Climate Change </w:t>
      </w:r>
      <w:r w:rsidRPr="007C4151">
        <w:rPr>
          <w:szCs w:val="19"/>
        </w:rPr>
        <w:t>Commission</w:t>
      </w:r>
      <w:r w:rsidRPr="000A20CF">
        <w:rPr>
          <w:szCs w:val="19"/>
        </w:rPr>
        <w:t xml:space="preserve"> | He Pou a Rangi</w:t>
      </w:r>
      <w:r>
        <w:rPr>
          <w:szCs w:val="19"/>
        </w:rPr>
        <w:t>.</w:t>
      </w:r>
      <w:r w:rsidRPr="007C4151">
        <w:rPr>
          <w:szCs w:val="19"/>
        </w:rPr>
        <w:t xml:space="preserve"> </w:t>
      </w:r>
      <w:r>
        <w:rPr>
          <w:szCs w:val="19"/>
        </w:rPr>
        <w:t xml:space="preserve">2021. </w:t>
      </w:r>
      <w:hyperlink r:id="rId105" w:history="1">
        <w:r w:rsidRPr="00087E95">
          <w:rPr>
            <w:rStyle w:val="Hyperlink"/>
            <w:i/>
            <w:iCs/>
            <w:szCs w:val="19"/>
          </w:rPr>
          <w:t>Ināia tonu nei: A low emissions future for Aotearoa</w:t>
        </w:r>
      </w:hyperlink>
      <w:r w:rsidRPr="007C4151">
        <w:rPr>
          <w:szCs w:val="19"/>
        </w:rPr>
        <w:t xml:space="preserve">. </w:t>
      </w:r>
      <w:r>
        <w:rPr>
          <w:szCs w:val="19"/>
        </w:rPr>
        <w:t>Wellington: Climate Change Commission</w:t>
      </w:r>
      <w:r w:rsidRPr="00143AAF">
        <w:rPr>
          <w:szCs w:val="19"/>
        </w:rPr>
        <w:t xml:space="preserve"> | He Pou a Rangi</w:t>
      </w:r>
      <w:r w:rsidRPr="007C4151">
        <w:rPr>
          <w:szCs w:val="19"/>
        </w:rPr>
        <w:t>.</w:t>
      </w:r>
    </w:p>
  </w:footnote>
  <w:footnote w:id="127">
    <w:p w14:paraId="52746180" w14:textId="77777777" w:rsidR="00A8128F" w:rsidRPr="00DF7C92" w:rsidRDefault="00A8128F" w:rsidP="00A8128F">
      <w:pPr>
        <w:pStyle w:val="FootnoteText"/>
      </w:pPr>
      <w:r w:rsidRPr="00C55DEA">
        <w:rPr>
          <w:sz w:val="22"/>
          <w:vertAlign w:val="superscript"/>
        </w:rPr>
        <w:footnoteRef/>
      </w:r>
      <w:r>
        <w:t xml:space="preserve"> </w:t>
      </w:r>
      <w:r>
        <w:tab/>
        <w:t xml:space="preserve">United Nations. 2015. </w:t>
      </w:r>
      <w:hyperlink r:id="rId106" w:history="1">
        <w:r>
          <w:rPr>
            <w:rStyle w:val="Hyperlink"/>
          </w:rPr>
          <w:t xml:space="preserve">The Paris Agreement. Article 6. </w:t>
        </w:r>
      </w:hyperlink>
      <w:r w:rsidRPr="00DF7C92">
        <w:rPr>
          <w:rStyle w:val="Hyperlink"/>
          <w:color w:val="auto"/>
        </w:rPr>
        <w:t>Retrieved 14 November 2024.</w:t>
      </w:r>
    </w:p>
  </w:footnote>
  <w:footnote w:id="128">
    <w:p w14:paraId="55CD4DA8" w14:textId="77777777" w:rsidR="00A8128F" w:rsidRPr="00FD1B6D" w:rsidRDefault="00A8128F" w:rsidP="0087221C">
      <w:pPr>
        <w:pStyle w:val="FootnoteText"/>
        <w:spacing w:after="40"/>
      </w:pPr>
      <w:r w:rsidRPr="00FD1B6D">
        <w:rPr>
          <w:sz w:val="22"/>
          <w:vertAlign w:val="superscript"/>
        </w:rPr>
        <w:footnoteRef/>
      </w:r>
      <w:r w:rsidRPr="00FD1B6D">
        <w:t xml:space="preserve"> </w:t>
      </w:r>
      <w:r w:rsidRPr="00FD1B6D">
        <w:tab/>
      </w:r>
      <w:hyperlink r:id="rId107" w:history="1">
        <w:r w:rsidRPr="00FD1B6D">
          <w:rPr>
            <w:rStyle w:val="Hyperlink"/>
          </w:rPr>
          <w:t>Joint Statement by the Prime Ministers of Singapore and New Zealand</w:t>
        </w:r>
      </w:hyperlink>
      <w:r w:rsidRPr="00FD1B6D">
        <w:t>. 15 April 2024.</w:t>
      </w:r>
      <w:r w:rsidRPr="00FD1B6D">
        <w:rPr>
          <w:rStyle w:val="Hyperlink"/>
          <w:color w:val="auto"/>
        </w:rPr>
        <w:t xml:space="preserve"> Retrieved 14 November 2024.</w:t>
      </w:r>
    </w:p>
  </w:footnote>
  <w:footnote w:id="129">
    <w:p w14:paraId="4028FDEC" w14:textId="77777777" w:rsidR="00A8128F" w:rsidRPr="00FD1B6D" w:rsidRDefault="00A8128F" w:rsidP="0087221C">
      <w:pPr>
        <w:pStyle w:val="FootnoteText"/>
        <w:spacing w:after="40"/>
      </w:pPr>
      <w:r w:rsidRPr="00FD1B6D">
        <w:rPr>
          <w:sz w:val="22"/>
          <w:vertAlign w:val="superscript"/>
        </w:rPr>
        <w:footnoteRef/>
      </w:r>
      <w:r w:rsidRPr="00FD1B6D">
        <w:t xml:space="preserve"> </w:t>
      </w:r>
      <w:r w:rsidRPr="00FD1B6D">
        <w:tab/>
      </w:r>
      <w:hyperlink r:id="rId108" w:history="1">
        <w:r w:rsidRPr="00FD1B6D">
          <w:rPr>
            <w:rStyle w:val="Hyperlink"/>
          </w:rPr>
          <w:t>Joint Statement by the Prime Minister of the Kingdom of Thailand and the Prime Minister of New Zealand</w:t>
        </w:r>
      </w:hyperlink>
      <w:r w:rsidRPr="00FD1B6D">
        <w:t xml:space="preserve">. 17 April 2024. </w:t>
      </w:r>
      <w:r w:rsidRPr="00FD1B6D">
        <w:rPr>
          <w:rStyle w:val="Hyperlink"/>
          <w:color w:val="auto"/>
        </w:rPr>
        <w:t>Retrieved 14 November 2024.</w:t>
      </w:r>
    </w:p>
  </w:footnote>
  <w:footnote w:id="130">
    <w:p w14:paraId="7FA2230B" w14:textId="68964AAA" w:rsidR="00A8128F" w:rsidRPr="00FD1B6D" w:rsidRDefault="00A8128F" w:rsidP="0087221C">
      <w:pPr>
        <w:pStyle w:val="FootnoteText"/>
        <w:spacing w:after="40"/>
      </w:pPr>
      <w:r w:rsidRPr="00FD1B6D">
        <w:rPr>
          <w:rStyle w:val="FootnoteReference"/>
        </w:rPr>
        <w:footnoteRef/>
      </w:r>
      <w:r w:rsidR="00901346">
        <w:tab/>
      </w:r>
      <w:hyperlink r:id="rId109" w:history="1">
        <w:r w:rsidRPr="00FD1B6D">
          <w:rPr>
            <w:rStyle w:val="Hyperlink"/>
          </w:rPr>
          <w:t>Joint Statement by the Government of the Republic of the Philippines and the Government of New Zealand</w:t>
        </w:r>
      </w:hyperlink>
      <w:r w:rsidR="00F13A00" w:rsidRPr="000A2FA4">
        <w:t>. 19 November 2024. Retrieved 28 November 2024.</w:t>
      </w:r>
    </w:p>
  </w:footnote>
  <w:footnote w:id="131">
    <w:p w14:paraId="0A2754CF" w14:textId="77777777" w:rsidR="00A8128F" w:rsidRDefault="00A8128F" w:rsidP="0087221C">
      <w:pPr>
        <w:pStyle w:val="FootnoteText"/>
        <w:spacing w:after="40"/>
      </w:pPr>
      <w:r w:rsidRPr="00C55DEA">
        <w:rPr>
          <w:sz w:val="22"/>
          <w:vertAlign w:val="superscript"/>
        </w:rPr>
        <w:footnoteRef/>
      </w:r>
      <w:r>
        <w:t xml:space="preserve"> </w:t>
      </w:r>
      <w:r>
        <w:tab/>
      </w:r>
      <w:r w:rsidRPr="00BE1B85">
        <w:t>New Zealand Ministry of Foreign Affairs and Trade</w:t>
      </w:r>
      <w:r>
        <w:t xml:space="preserve">. 2024. </w:t>
      </w:r>
      <w:hyperlink r:id="rId110" w:history="1">
        <w:r w:rsidRPr="000B4A96">
          <w:rPr>
            <w:rStyle w:val="Hyperlink"/>
            <w:i/>
            <w:iCs/>
          </w:rPr>
          <w:t>IPEF overview</w:t>
        </w:r>
        <w:r>
          <w:rPr>
            <w:rStyle w:val="Hyperlink"/>
          </w:rPr>
          <w:t xml:space="preserve">. </w:t>
        </w:r>
      </w:hyperlink>
      <w:r w:rsidRPr="00DF7C92">
        <w:rPr>
          <w:rStyle w:val="Hyperlink"/>
          <w:color w:val="auto"/>
        </w:rPr>
        <w:t>Retrieved 14 November 2024.</w:t>
      </w:r>
    </w:p>
  </w:footnote>
  <w:footnote w:id="132">
    <w:p w14:paraId="21ED4DC3" w14:textId="77777777" w:rsidR="00A8128F" w:rsidRDefault="00A8128F" w:rsidP="0087221C">
      <w:pPr>
        <w:pStyle w:val="FootnoteText"/>
        <w:spacing w:after="40"/>
      </w:pPr>
      <w:r w:rsidRPr="006C6177">
        <w:rPr>
          <w:sz w:val="22"/>
          <w:vertAlign w:val="superscript"/>
        </w:rPr>
        <w:footnoteRef/>
      </w:r>
      <w:r>
        <w:t xml:space="preserve"> </w:t>
      </w:r>
      <w:r>
        <w:tab/>
      </w:r>
      <w:r w:rsidRPr="00473EEF">
        <w:t>Association of Southeast Asian Nations (</w:t>
      </w:r>
      <w:r>
        <w:t xml:space="preserve">ASEAN) countries include Brunei, Cambodia, Indonesia, Lao, Malaysia, Myanmar, Philippines, Singapore, Thailand, Viet Nam. </w:t>
      </w:r>
    </w:p>
  </w:footnote>
  <w:footnote w:id="133">
    <w:p w14:paraId="27CCED09" w14:textId="77777777" w:rsidR="00A8128F" w:rsidRDefault="00A8128F" w:rsidP="00A8128F">
      <w:pPr>
        <w:pStyle w:val="FootnoteText"/>
      </w:pPr>
      <w:r w:rsidRPr="00CE2711">
        <w:rPr>
          <w:sz w:val="22"/>
          <w:vertAlign w:val="superscript"/>
        </w:rPr>
        <w:footnoteRef/>
      </w:r>
      <w:r>
        <w:t xml:space="preserve"> </w:t>
      </w:r>
      <w:r>
        <w:tab/>
      </w:r>
      <w:r w:rsidRPr="00061682">
        <w:t>IPCC. 2013. Stocker TF, Qin D, Plattner G-K, Tignor M, Allen SK, Boschung J, Nauels A, Xia Y, Bex V, Midgley</w:t>
      </w:r>
      <w:r>
        <w:t> </w:t>
      </w:r>
      <w:r w:rsidRPr="00061682">
        <w:t xml:space="preserve">PM (eds). </w:t>
      </w:r>
      <w:r w:rsidRPr="00566016">
        <w:rPr>
          <w:i/>
        </w:rPr>
        <w:t>Climate Change 2013: The Physical Science Basis</w:t>
      </w:r>
      <w:r w:rsidRPr="00061682">
        <w:t>. Contribution of Working Group I to the Fifth Assessment Report of the Intergovernmental Panel on Climate Change. Cambridge: Cambridge University Press.</w:t>
      </w:r>
    </w:p>
  </w:footnote>
  <w:footnote w:id="134">
    <w:p w14:paraId="7BAE38C6" w14:textId="77777777" w:rsidR="00A8128F" w:rsidRDefault="00A8128F" w:rsidP="00A8128F">
      <w:pPr>
        <w:pStyle w:val="FootnoteText"/>
      </w:pPr>
      <w:r w:rsidRPr="00B82136">
        <w:rPr>
          <w:sz w:val="22"/>
          <w:vertAlign w:val="superscript"/>
        </w:rPr>
        <w:footnoteRef/>
      </w:r>
      <w:r>
        <w:t xml:space="preserve"> </w:t>
      </w:r>
      <w:r>
        <w:tab/>
      </w:r>
      <w:r w:rsidRPr="00F7463A">
        <w:t xml:space="preserve">IPCC. 2014. Hiraishi T, Krug T, Tanabe K, Srivastava N, Baasansuren J, Fukuda M, Troxler TG (eds). </w:t>
      </w:r>
      <w:r w:rsidRPr="00F7463A">
        <w:rPr>
          <w:i/>
          <w:iCs/>
        </w:rPr>
        <w:t>2013 Revised Supplementary Methods and Good Practice Guidance Arising from the Kyoto Protocol</w:t>
      </w:r>
      <w:r w:rsidRPr="00F7463A">
        <w:t>. Switzerland: IPCC.</w:t>
      </w:r>
    </w:p>
  </w:footnote>
  <w:footnote w:id="135">
    <w:p w14:paraId="65C50135" w14:textId="77777777" w:rsidR="00A8128F" w:rsidRDefault="00A8128F" w:rsidP="00A8128F">
      <w:pPr>
        <w:pStyle w:val="FootnoteText"/>
      </w:pPr>
      <w:r w:rsidRPr="00B82136">
        <w:rPr>
          <w:sz w:val="22"/>
          <w:vertAlign w:val="superscript"/>
        </w:rPr>
        <w:footnoteRef/>
      </w:r>
      <w:r>
        <w:t xml:space="preserve"> </w:t>
      </w:r>
      <w:r>
        <w:tab/>
      </w:r>
      <w:r w:rsidRPr="00536EB4">
        <w:t xml:space="preserve">IPCC. 2014. Hiraishi T, Krug T, Tanabe K, Srivastava N, Baasansuren J, Fukuda M, Troxler TG (eds). </w:t>
      </w:r>
      <w:r w:rsidRPr="00536EB4">
        <w:rPr>
          <w:i/>
          <w:iCs/>
        </w:rPr>
        <w:t>2013 Revised Supplementary Methods and Good Practice Guidance Arising from the Kyoto Protocol</w:t>
      </w:r>
      <w:r w:rsidRPr="00536EB4">
        <w:t>. Switzerland: IPCC.</w:t>
      </w:r>
    </w:p>
  </w:footnote>
  <w:footnote w:id="136">
    <w:p w14:paraId="51CC4311" w14:textId="77777777" w:rsidR="00A8128F" w:rsidRDefault="00A8128F" w:rsidP="00A8128F">
      <w:pPr>
        <w:pStyle w:val="FootnoteText"/>
      </w:pPr>
      <w:r w:rsidRPr="00B82136">
        <w:rPr>
          <w:sz w:val="22"/>
          <w:vertAlign w:val="superscript"/>
        </w:rPr>
        <w:footnoteRef/>
      </w:r>
      <w:r>
        <w:t xml:space="preserve"> </w:t>
      </w:r>
      <w:r>
        <w:tab/>
      </w:r>
      <w:r w:rsidRPr="004E1BA4">
        <w:t>Wakelin SJ, Manley BR, Dowling LJ</w:t>
      </w:r>
      <w:r>
        <w:t>.</w:t>
      </w:r>
      <w:r w:rsidRPr="004E1BA4">
        <w:t xml:space="preserve"> (Unpublished). </w:t>
      </w:r>
      <w:r w:rsidRPr="004E1BA4">
        <w:rPr>
          <w:i/>
          <w:iCs/>
        </w:rPr>
        <w:t>Options for calculating the long-term average carbon stock in post-1989 forests</w:t>
      </w:r>
      <w:r w:rsidRPr="004E1BA4">
        <w:t>. Contract report (Output 58646) prepared for the Ministry for Primary Industries (MPI) by New Zealand Forest Research Institute Ltd (trading as Scion) in 201</w:t>
      </w:r>
      <w:r>
        <w:t>7.</w:t>
      </w:r>
    </w:p>
  </w:footnote>
  <w:footnote w:id="137">
    <w:p w14:paraId="2435C3D6" w14:textId="77777777" w:rsidR="00A8128F" w:rsidRDefault="00A8128F" w:rsidP="00A8128F">
      <w:pPr>
        <w:pStyle w:val="FootnoteText"/>
      </w:pPr>
      <w:r w:rsidRPr="00B82136">
        <w:rPr>
          <w:sz w:val="22"/>
          <w:vertAlign w:val="superscript"/>
        </w:rPr>
        <w:footnoteRef/>
      </w:r>
      <w:r>
        <w:t xml:space="preserve"> </w:t>
      </w:r>
      <w:r>
        <w:tab/>
      </w:r>
      <w:r w:rsidRPr="006D5F08">
        <w:t xml:space="preserve">Wakelin SJ. Unpublished. </w:t>
      </w:r>
      <w:r w:rsidRPr="006D5F08">
        <w:rPr>
          <w:i/>
          <w:iCs/>
        </w:rPr>
        <w:t>Post-1989 Forest Long-Term Average Carbon Stock and Reference Level.</w:t>
      </w:r>
      <w:r w:rsidRPr="006D5F08">
        <w:t xml:space="preserve"> Contract report prepared for the Ministry for the Environment by New Zealand Forest Research Institute Ltd (trading as Scion) in 2024</w:t>
      </w:r>
      <w:r>
        <w:t>.</w:t>
      </w:r>
    </w:p>
  </w:footnote>
  <w:footnote w:id="138">
    <w:p w14:paraId="3DA6A85B" w14:textId="77777777" w:rsidR="00A8128F" w:rsidRDefault="00A8128F" w:rsidP="00A8128F">
      <w:pPr>
        <w:pStyle w:val="FootnoteText"/>
      </w:pPr>
      <w:r w:rsidRPr="00DA0F8E">
        <w:rPr>
          <w:sz w:val="22"/>
          <w:vertAlign w:val="superscript"/>
        </w:rPr>
        <w:footnoteRef/>
      </w:r>
      <w:r>
        <w:t xml:space="preserve"> </w:t>
      </w:r>
      <w:r>
        <w:tab/>
      </w:r>
      <w:r w:rsidRPr="00715E86">
        <w:t xml:space="preserve">Ministry for the Environment. 2024. </w:t>
      </w:r>
      <w:r w:rsidRPr="00715E86">
        <w:rPr>
          <w:i/>
          <w:iCs/>
        </w:rPr>
        <w:t>New Zealand’s Greenhouse Gas Inventory 1990–2022</w:t>
      </w:r>
      <w:r w:rsidRPr="00715E86">
        <w:t>. Wellington: Ministry for the Environment.</w:t>
      </w:r>
    </w:p>
  </w:footnote>
  <w:footnote w:id="139">
    <w:p w14:paraId="3D958D11" w14:textId="77777777" w:rsidR="00A8128F" w:rsidRDefault="00A8128F" w:rsidP="00A8128F">
      <w:pPr>
        <w:pStyle w:val="FootnoteText"/>
      </w:pPr>
      <w:r w:rsidRPr="00D26D4E">
        <w:rPr>
          <w:sz w:val="22"/>
          <w:vertAlign w:val="superscript"/>
        </w:rPr>
        <w:footnoteRef/>
      </w:r>
      <w:r>
        <w:t xml:space="preserve"> </w:t>
      </w:r>
      <w:r>
        <w:tab/>
      </w:r>
      <w:r w:rsidRPr="008571F7">
        <w:t xml:space="preserve">IPCC. 2006. Eggleston HS, Buendia L, Miwa K, Ngara T, Tanabe K (eds). </w:t>
      </w:r>
      <w:r w:rsidRPr="008571F7">
        <w:rPr>
          <w:i/>
          <w:iCs/>
        </w:rPr>
        <w:t xml:space="preserve">2006 IPCC Guidelines for National Greenhouse Gas Inventories. Volume 1. General Guidance and Reporting. </w:t>
      </w:r>
      <w:r w:rsidRPr="008571F7">
        <w:t>IPCC National Greenhouse Gas Inventories Programme. Japan: Institute for Global Environmental Strategies for IPCC.</w:t>
      </w:r>
    </w:p>
  </w:footnote>
  <w:footnote w:id="140">
    <w:p w14:paraId="2D518F22" w14:textId="77777777" w:rsidR="00A8128F" w:rsidRDefault="00A8128F" w:rsidP="00A8128F">
      <w:pPr>
        <w:pStyle w:val="FootnoteText"/>
      </w:pPr>
      <w:r w:rsidRPr="00D26D4E">
        <w:rPr>
          <w:sz w:val="22"/>
          <w:vertAlign w:val="superscript"/>
        </w:rPr>
        <w:footnoteRef/>
      </w:r>
      <w:r>
        <w:t xml:space="preserve"> </w:t>
      </w:r>
      <w:r>
        <w:tab/>
      </w:r>
      <w:r w:rsidRPr="0008053A">
        <w:t xml:space="preserve">IPCC. 2014. Hiraishi T, Krug T, Tanabe K, Srivastava N, Baasansuren J, Fukuda M, Troxler TG (eds). </w:t>
      </w:r>
      <w:r w:rsidRPr="0008053A">
        <w:rPr>
          <w:i/>
          <w:iCs/>
        </w:rPr>
        <w:t>2013 Revised Supplementary Methods and Good Practice Guidance Arising from the Kyoto Protocol</w:t>
      </w:r>
      <w:r w:rsidRPr="0008053A">
        <w:t>. Switzerland: IPCC.</w:t>
      </w:r>
    </w:p>
  </w:footnote>
  <w:footnote w:id="141">
    <w:p w14:paraId="2CECC98B" w14:textId="77777777" w:rsidR="00A8128F" w:rsidRDefault="00A8128F" w:rsidP="00A8128F">
      <w:pPr>
        <w:pStyle w:val="FootnoteText"/>
      </w:pPr>
      <w:r w:rsidRPr="00D26D4E">
        <w:rPr>
          <w:sz w:val="22"/>
          <w:vertAlign w:val="superscript"/>
        </w:rPr>
        <w:footnoteRef/>
      </w:r>
      <w:r>
        <w:t xml:space="preserve"> </w:t>
      </w:r>
      <w:r>
        <w:tab/>
      </w:r>
      <w:r w:rsidRPr="00D26D4E">
        <w:t>I</w:t>
      </w:r>
      <w:r w:rsidRPr="0008053A">
        <w:t xml:space="preserve">PCC. 2013. Stocker TF, Qin D, Plattner G-K, Tignor M, Allen SK, Boschung J, Nauels A, Xia Y, Bex V, Midgley PM (eds). </w:t>
      </w:r>
      <w:r w:rsidRPr="0008053A">
        <w:rPr>
          <w:i/>
          <w:iCs/>
        </w:rPr>
        <w:t>Climate Change 2013: The Physical Science Basis. Contribution of Working Group I to the Fifth Assessment Report of the Intergovernmental Panel on Climate Change</w:t>
      </w:r>
      <w:r w:rsidRPr="0008053A">
        <w:t>. Cambridge: Cambridge University Press.</w:t>
      </w:r>
    </w:p>
  </w:footnote>
  <w:footnote w:id="142">
    <w:p w14:paraId="12FCAA32" w14:textId="77777777" w:rsidR="00A8128F" w:rsidRDefault="00A8128F" w:rsidP="00A8128F">
      <w:pPr>
        <w:pStyle w:val="FootnoteText"/>
      </w:pPr>
      <w:r w:rsidRPr="00D26D4E">
        <w:rPr>
          <w:sz w:val="22"/>
          <w:vertAlign w:val="superscript"/>
        </w:rPr>
        <w:footnoteRef/>
      </w:r>
      <w:r>
        <w:t xml:space="preserve"> </w:t>
      </w:r>
      <w:r>
        <w:tab/>
      </w:r>
      <w:r w:rsidRPr="0008053A">
        <w:t xml:space="preserve">IPCC. 2006. Eggleston HS, Buendia L, Miwa K, Ngara T, Tanabe K (eds). </w:t>
      </w:r>
      <w:r w:rsidRPr="0008053A">
        <w:rPr>
          <w:i/>
          <w:iCs/>
        </w:rPr>
        <w:t xml:space="preserve">2006 IPCC Guidelines for National Greenhouse Gas Inventories. Volume 1. General Guidance and Reporting. </w:t>
      </w:r>
      <w:r w:rsidRPr="0008053A">
        <w:t>IPCC National Greenhouse Gas Inventories Programme. Japan: Institute for Global Environmental Strategies for IPCC.</w:t>
      </w:r>
    </w:p>
  </w:footnote>
  <w:footnote w:id="143">
    <w:p w14:paraId="021A0BB2" w14:textId="77777777" w:rsidR="00A8128F" w:rsidRDefault="00A8128F" w:rsidP="00A8128F">
      <w:pPr>
        <w:pStyle w:val="FootnoteText"/>
      </w:pPr>
      <w:r w:rsidRPr="00D26D4E">
        <w:rPr>
          <w:sz w:val="22"/>
          <w:vertAlign w:val="superscript"/>
        </w:rPr>
        <w:footnoteRef/>
      </w:r>
      <w:r>
        <w:tab/>
      </w:r>
      <w:r w:rsidRPr="0008053A">
        <w:t xml:space="preserve">IPCC. 2014. Hiraishi T, Krug T, Tanabe K, Srivastava N, Baasansuren J, Fukuda M, Troxler TG (eds). </w:t>
      </w:r>
      <w:r w:rsidRPr="0008053A">
        <w:rPr>
          <w:i/>
          <w:iCs/>
        </w:rPr>
        <w:t>2013 Revised Supplementary Methods and Good Practice Guidance Arising from the Kyoto Protocol</w:t>
      </w:r>
      <w:r w:rsidRPr="0008053A">
        <w:t>. Switzerland: IPCC.</w:t>
      </w:r>
    </w:p>
  </w:footnote>
  <w:footnote w:id="144">
    <w:p w14:paraId="3C3F62BD" w14:textId="77777777" w:rsidR="00A8128F" w:rsidRDefault="00A8128F" w:rsidP="00A8128F">
      <w:pPr>
        <w:pStyle w:val="FootnoteText"/>
      </w:pPr>
      <w:r w:rsidRPr="00D26D4E">
        <w:rPr>
          <w:sz w:val="22"/>
          <w:vertAlign w:val="superscript"/>
        </w:rPr>
        <w:footnoteRef/>
      </w:r>
      <w:r>
        <w:t xml:space="preserve"> </w:t>
      </w:r>
      <w:r>
        <w:tab/>
      </w:r>
      <w:r w:rsidRPr="0008053A">
        <w:t xml:space="preserve">Ministry for the Environment. 2024. </w:t>
      </w:r>
      <w:r w:rsidRPr="0008053A">
        <w:rPr>
          <w:i/>
          <w:iCs/>
        </w:rPr>
        <w:t>New Zealand’s Greenhouse Gas Inventory 1990–2022</w:t>
      </w:r>
      <w:r w:rsidRPr="0008053A">
        <w:t>. Wellington: Ministry for the Environment.</w:t>
      </w:r>
    </w:p>
  </w:footnote>
  <w:footnote w:id="145">
    <w:p w14:paraId="0D8F76E6" w14:textId="77777777" w:rsidR="00652773" w:rsidRDefault="00652773" w:rsidP="00652773">
      <w:pPr>
        <w:pStyle w:val="FootnoteText"/>
        <w:spacing w:after="0"/>
      </w:pPr>
      <w:r>
        <w:rPr>
          <w:rStyle w:val="FootnoteReference"/>
        </w:rPr>
        <w:footnoteRef/>
      </w:r>
      <w:r>
        <w:t xml:space="preserve"> </w:t>
      </w:r>
      <w:r>
        <w:tab/>
      </w:r>
      <w:r w:rsidRPr="004D1492">
        <w:t xml:space="preserve">Ministry for the Environment. 2024. </w:t>
      </w:r>
      <w:hyperlink r:id="rId111" w:history="1">
        <w:r w:rsidRPr="00595E63">
          <w:rPr>
            <w:rStyle w:val="Hyperlink"/>
            <w:i/>
            <w:iCs/>
          </w:rPr>
          <w:t>Responding to a changing climate: The Government’s climate change strategy</w:t>
        </w:r>
      </w:hyperlink>
      <w:r w:rsidRPr="004D1492">
        <w:t>. Retrieved 13 November 2024.</w:t>
      </w:r>
    </w:p>
  </w:footnote>
  <w:footnote w:id="146">
    <w:p w14:paraId="53D0FAB8" w14:textId="77777777" w:rsidR="00652773" w:rsidRDefault="00652773" w:rsidP="00652773">
      <w:pPr>
        <w:pStyle w:val="FootnoteText"/>
      </w:pPr>
      <w:r>
        <w:rPr>
          <w:rStyle w:val="FootnoteReference"/>
        </w:rPr>
        <w:footnoteRef/>
      </w:r>
      <w:r>
        <w:tab/>
      </w:r>
      <w:r w:rsidRPr="009567C4">
        <w:t xml:space="preserve">New Zealand Emissions Trading Scheme </w:t>
      </w:r>
      <w:r>
        <w:t xml:space="preserve">(NZ ETS) coverage is defined slightly differently from </w:t>
      </w:r>
      <w:r w:rsidRPr="00C002C5">
        <w:t xml:space="preserve">Intergovernmental Panel on Climate Change </w:t>
      </w:r>
      <w:r>
        <w:t xml:space="preserve">sectors. </w:t>
      </w:r>
    </w:p>
  </w:footnote>
  <w:footnote w:id="147">
    <w:p w14:paraId="132F4248" w14:textId="77777777" w:rsidR="00652773" w:rsidRDefault="00652773" w:rsidP="00652773">
      <w:pPr>
        <w:pStyle w:val="FootnoteText"/>
      </w:pPr>
      <w:r>
        <w:rPr>
          <w:rStyle w:val="FootnoteReference"/>
        </w:rPr>
        <w:footnoteRef/>
      </w:r>
      <w:r>
        <w:tab/>
        <w:t xml:space="preserve">Only waste emissions from managed landfills are within the NZ ETS. Emissions from unmanaged sites, or wastewater treatment plants, are not covered by the NZ ETS. </w:t>
      </w:r>
    </w:p>
  </w:footnote>
  <w:footnote w:id="148">
    <w:p w14:paraId="170E8B0B" w14:textId="77777777" w:rsidR="00652773" w:rsidRDefault="00652773" w:rsidP="00652773">
      <w:pPr>
        <w:pStyle w:val="FootnoteText"/>
      </w:pPr>
      <w:r>
        <w:rPr>
          <w:rStyle w:val="FootnoteReference"/>
        </w:rPr>
        <w:footnoteRef/>
      </w:r>
      <w:r>
        <w:tab/>
        <w:t>S</w:t>
      </w:r>
      <w:r w:rsidRPr="004738FA">
        <w:t xml:space="preserve">ynthetic </w:t>
      </w:r>
      <w:r>
        <w:t>greenhouse gases are instead covered by a levy if they are contained in imported goods (eg, refrigeration and air-conditioning products).</w:t>
      </w:r>
    </w:p>
  </w:footnote>
  <w:footnote w:id="149">
    <w:p w14:paraId="23F8D208" w14:textId="422771B2" w:rsidR="00652773" w:rsidRDefault="00652773" w:rsidP="00652773">
      <w:pPr>
        <w:pStyle w:val="FootnoteText"/>
      </w:pPr>
      <w:r>
        <w:rPr>
          <w:rStyle w:val="FootnoteReference"/>
        </w:rPr>
        <w:footnoteRef/>
      </w:r>
      <w:r>
        <w:t xml:space="preserve"> </w:t>
      </w:r>
      <w:r>
        <w:tab/>
        <w:t xml:space="preserve">Land that was forest land on 31 December 1989 and was </w:t>
      </w:r>
      <w:r>
        <w:rPr>
          <w:i/>
          <w:iCs/>
        </w:rPr>
        <w:t xml:space="preserve">not </w:t>
      </w:r>
      <w:r>
        <w:t>predomina</w:t>
      </w:r>
      <w:r w:rsidR="00B03EE8">
        <w:t>ntly</w:t>
      </w:r>
      <w:r>
        <w:t xml:space="preserve"> exotic on 31 December 2007 is not included in the NZ ETS. This land is predominantly indigenous forest land and its management is regulated under other environmental legislation.</w:t>
      </w:r>
    </w:p>
  </w:footnote>
  <w:footnote w:id="150">
    <w:p w14:paraId="1B9E36C1" w14:textId="77777777" w:rsidR="00652773" w:rsidRDefault="00652773" w:rsidP="00652773">
      <w:pPr>
        <w:pStyle w:val="FootnoteText"/>
      </w:pPr>
      <w:r>
        <w:rPr>
          <w:rStyle w:val="FootnoteReference"/>
        </w:rPr>
        <w:footnoteRef/>
      </w:r>
      <w:r>
        <w:t xml:space="preserve"> </w:t>
      </w:r>
      <w:r>
        <w:tab/>
      </w:r>
      <w:r w:rsidRPr="00354248">
        <w:t>Forest land is considered deforested when trees are not replanted or land is converted to another non</w:t>
      </w:r>
      <w:r>
        <w:noBreakHyphen/>
      </w:r>
      <w:r w:rsidRPr="00354248">
        <w:t>forest use</w:t>
      </w:r>
      <w:r>
        <w:t>.</w:t>
      </w:r>
    </w:p>
  </w:footnote>
  <w:footnote w:id="151">
    <w:p w14:paraId="1FA74648" w14:textId="77777777" w:rsidR="00652773" w:rsidRDefault="00652773" w:rsidP="00652773">
      <w:pPr>
        <w:pStyle w:val="FootnoteText"/>
      </w:pPr>
      <w:r>
        <w:rPr>
          <w:rStyle w:val="FootnoteReference"/>
        </w:rPr>
        <w:footnoteRef/>
      </w:r>
      <w:r>
        <w:t xml:space="preserve"> </w:t>
      </w:r>
      <w:r>
        <w:tab/>
        <w:t>A</w:t>
      </w:r>
      <w:r w:rsidRPr="00D717AC">
        <w:t xml:space="preserve"> resource consent is an authorisation to undertake an activity or use a resource</w:t>
      </w:r>
      <w:r>
        <w:t>.</w:t>
      </w:r>
    </w:p>
  </w:footnote>
  <w:footnote w:id="152">
    <w:p w14:paraId="6F400C86" w14:textId="77777777" w:rsidR="00652773" w:rsidRDefault="00652773" w:rsidP="00652773">
      <w:pPr>
        <w:pStyle w:val="FootnoteText"/>
      </w:pPr>
      <w:r>
        <w:rPr>
          <w:rStyle w:val="FootnoteReference"/>
        </w:rPr>
        <w:footnoteRef/>
      </w:r>
      <w:r>
        <w:t xml:space="preserve"> </w:t>
      </w:r>
      <w:r>
        <w:tab/>
      </w:r>
      <w:r w:rsidRPr="00723472">
        <w:t xml:space="preserve">National direction provides national resource management policies and standards to support local government policy development and decision-making under the </w:t>
      </w:r>
      <w:r>
        <w:t>Resource Management Act 1991</w:t>
      </w:r>
      <w:r w:rsidRPr="00723472">
        <w:t>. It comprises national policy statements, national environmental standards, national planning standards and</w:t>
      </w:r>
      <w:r>
        <w:t> </w:t>
      </w:r>
      <w:r w:rsidRPr="00723472">
        <w:t>section 360 regulations.</w:t>
      </w:r>
    </w:p>
  </w:footnote>
  <w:footnote w:id="153">
    <w:p w14:paraId="072D5EC1" w14:textId="77777777" w:rsidR="00652773" w:rsidRPr="005E5C93" w:rsidRDefault="00652773" w:rsidP="00652773">
      <w:pPr>
        <w:pStyle w:val="FootnoteText"/>
        <w:spacing w:after="40"/>
        <w:rPr>
          <w:lang w:val="en-US"/>
        </w:rPr>
      </w:pPr>
      <w:r>
        <w:rPr>
          <w:rStyle w:val="FootnoteReference"/>
        </w:rPr>
        <w:footnoteRef/>
      </w:r>
      <w:r>
        <w:t xml:space="preserve"> </w:t>
      </w:r>
      <w:r>
        <w:rPr>
          <w:lang w:val="en-US"/>
        </w:rPr>
        <w:tab/>
      </w:r>
      <w:r w:rsidRPr="003D437F">
        <w:rPr>
          <w:lang w:val="en-US"/>
        </w:rPr>
        <w:t>Ministry of Business, Innovation and Employment</w:t>
      </w:r>
      <w:r>
        <w:rPr>
          <w:lang w:val="en-US"/>
        </w:rPr>
        <w:t>.</w:t>
      </w:r>
      <w:r w:rsidRPr="003D437F">
        <w:rPr>
          <w:lang w:val="en-US"/>
        </w:rPr>
        <w:t xml:space="preserve"> </w:t>
      </w:r>
      <w:hyperlink r:id="rId112" w:history="1">
        <w:r w:rsidRPr="00176028">
          <w:rPr>
            <w:rStyle w:val="Hyperlink"/>
            <w:i/>
            <w:iCs/>
            <w:lang w:val="en-US"/>
          </w:rPr>
          <w:t>Support for Energy Education in Communities</w:t>
        </w:r>
      </w:hyperlink>
      <w:r>
        <w:rPr>
          <w:lang w:val="en-US"/>
        </w:rPr>
        <w:t>. Retrieved 18 November 2024.</w:t>
      </w:r>
    </w:p>
  </w:footnote>
  <w:footnote w:id="154">
    <w:p w14:paraId="7298BF24" w14:textId="77777777" w:rsidR="00652773" w:rsidRDefault="00652773" w:rsidP="00652773">
      <w:pPr>
        <w:pStyle w:val="FootnoteText"/>
      </w:pPr>
      <w:r>
        <w:rPr>
          <w:rStyle w:val="FootnoteReference"/>
        </w:rPr>
        <w:footnoteRef/>
      </w:r>
      <w:r>
        <w:tab/>
      </w:r>
      <w:r w:rsidRPr="009C3840">
        <w:t>NZGBC</w:t>
      </w:r>
      <w:r>
        <w:t xml:space="preserve">. </w:t>
      </w:r>
      <w:hyperlink r:id="rId113" w:history="1">
        <w:r w:rsidRPr="002B145D">
          <w:rPr>
            <w:rStyle w:val="Hyperlink"/>
            <w:i/>
            <w:iCs/>
          </w:rPr>
          <w:t>Homestar</w:t>
        </w:r>
      </w:hyperlink>
      <w:r>
        <w:t>. Retrieved 18 November 2024.</w:t>
      </w:r>
    </w:p>
  </w:footnote>
  <w:footnote w:id="155">
    <w:p w14:paraId="68E9CEA6" w14:textId="77777777" w:rsidR="00652773" w:rsidRDefault="00652773" w:rsidP="00652773">
      <w:pPr>
        <w:pStyle w:val="FootnoteText"/>
      </w:pPr>
      <w:r>
        <w:rPr>
          <w:rStyle w:val="FootnoteReference"/>
        </w:rPr>
        <w:footnoteRef/>
      </w:r>
      <w:r>
        <w:t xml:space="preserve"> </w:t>
      </w:r>
      <w:r>
        <w:tab/>
      </w:r>
      <w:r w:rsidRPr="009C3840">
        <w:t>NZGBC</w:t>
      </w:r>
      <w:r>
        <w:t xml:space="preserve">. </w:t>
      </w:r>
      <w:hyperlink r:id="rId114" w:history="1">
        <w:r w:rsidRPr="00226AB9">
          <w:rPr>
            <w:rStyle w:val="Hyperlink"/>
            <w:i/>
            <w:iCs/>
          </w:rPr>
          <w:t>Introduction to Green Star</w:t>
        </w:r>
      </w:hyperlink>
      <w:r>
        <w:t>. Retrieved 18 November 2024.</w:t>
      </w:r>
    </w:p>
  </w:footnote>
  <w:footnote w:id="156">
    <w:p w14:paraId="6CA998D5" w14:textId="77777777" w:rsidR="00652773" w:rsidRDefault="00652773" w:rsidP="00652773">
      <w:pPr>
        <w:pStyle w:val="FootnoteText"/>
      </w:pPr>
      <w:r>
        <w:rPr>
          <w:rStyle w:val="FootnoteReference"/>
        </w:rPr>
        <w:footnoteRef/>
      </w:r>
      <w:r>
        <w:t xml:space="preserve"> </w:t>
      </w:r>
      <w:r>
        <w:tab/>
      </w:r>
      <w:r w:rsidRPr="00E469E7">
        <w:t>NABERSNZ</w:t>
      </w:r>
      <w:r>
        <w:t xml:space="preserve">. </w:t>
      </w:r>
      <w:hyperlink r:id="rId115" w:history="1">
        <w:r w:rsidRPr="00EB2D8B">
          <w:rPr>
            <w:rStyle w:val="Hyperlink"/>
            <w:i/>
            <w:iCs/>
          </w:rPr>
          <w:t>Welcome to NABERSNZ</w:t>
        </w:r>
      </w:hyperlink>
      <w:r>
        <w:t>. Retrieved 18 November 2024.</w:t>
      </w:r>
    </w:p>
  </w:footnote>
  <w:footnote w:id="157">
    <w:p w14:paraId="41591E1D" w14:textId="77777777" w:rsidR="00652773" w:rsidRDefault="00652773" w:rsidP="00652773">
      <w:pPr>
        <w:pStyle w:val="FootnoteText"/>
      </w:pPr>
      <w:r>
        <w:rPr>
          <w:rStyle w:val="FootnoteReference"/>
        </w:rPr>
        <w:footnoteRef/>
      </w:r>
      <w:r>
        <w:t xml:space="preserve"> </w:t>
      </w:r>
      <w:r>
        <w:tab/>
      </w:r>
      <w:r w:rsidRPr="00C65E65">
        <w:t>Passive House Institute New Zealand</w:t>
      </w:r>
      <w:r>
        <w:t>.</w:t>
      </w:r>
      <w:r w:rsidRPr="000B51EC">
        <w:t xml:space="preserve"> </w:t>
      </w:r>
      <w:hyperlink r:id="rId116" w:history="1">
        <w:r w:rsidRPr="00AD4646">
          <w:rPr>
            <w:rStyle w:val="Hyperlink"/>
            <w:i/>
            <w:iCs/>
          </w:rPr>
          <w:t>Te Tōpūtanga o te Whare Korou ki Aotearoa - Passive House Institute New Zealand</w:t>
        </w:r>
      </w:hyperlink>
      <w:r>
        <w:t>. Retrieved 18 November 2024.</w:t>
      </w:r>
    </w:p>
  </w:footnote>
  <w:footnote w:id="158">
    <w:p w14:paraId="6A70418C" w14:textId="5A3FD0B3" w:rsidR="00652773" w:rsidRPr="00D93781" w:rsidRDefault="00652773" w:rsidP="00652773">
      <w:pPr>
        <w:pStyle w:val="FootnoteText"/>
      </w:pPr>
      <w:r w:rsidRPr="1589F0D6">
        <w:rPr>
          <w:rStyle w:val="FootnoteReference"/>
          <w:rFonts w:eastAsiaTheme="majorEastAsia"/>
        </w:rPr>
        <w:footnoteRef/>
      </w:r>
      <w:r w:rsidRPr="00D93781">
        <w:tab/>
      </w:r>
      <w:r w:rsidRPr="00287DD2">
        <w:rPr>
          <w:lang w:val="en-US"/>
        </w:rPr>
        <w:t xml:space="preserve">Anyone using New Zealand’s roads contributes towards their upkeep. </w:t>
      </w:r>
      <w:r w:rsidR="00287DD2" w:rsidRPr="00287DD2">
        <w:rPr>
          <w:lang w:val="en-US"/>
        </w:rPr>
        <w:t xml:space="preserve">Most road users pay levies in the prices of their fuel. Others, such as drivers of light diesel vehicles and diesel-powered heavy vehicles like trucks, pay imposed fees known as </w:t>
      </w:r>
      <w:r w:rsidR="00B40829">
        <w:rPr>
          <w:lang w:val="en-US"/>
        </w:rPr>
        <w:t>r</w:t>
      </w:r>
      <w:r w:rsidR="00287DD2" w:rsidRPr="00287DD2">
        <w:rPr>
          <w:lang w:val="en-US"/>
        </w:rPr>
        <w:t xml:space="preserve">oad </w:t>
      </w:r>
      <w:r w:rsidR="00B40829">
        <w:rPr>
          <w:lang w:val="en-US"/>
        </w:rPr>
        <w:t>u</w:t>
      </w:r>
      <w:r w:rsidR="00287DD2" w:rsidRPr="00287DD2">
        <w:rPr>
          <w:lang w:val="en-US"/>
        </w:rPr>
        <w:t xml:space="preserve">ser </w:t>
      </w:r>
      <w:r w:rsidR="00B40829">
        <w:rPr>
          <w:lang w:val="en-US"/>
        </w:rPr>
        <w:t>c</w:t>
      </w:r>
      <w:r w:rsidR="00287DD2" w:rsidRPr="00287DD2">
        <w:rPr>
          <w:lang w:val="en-US"/>
        </w:rPr>
        <w:t>harges</w:t>
      </w:r>
      <w:r w:rsidRPr="00D93781">
        <w:t>.</w:t>
      </w:r>
    </w:p>
  </w:footnote>
  <w:footnote w:id="159">
    <w:p w14:paraId="77330B95" w14:textId="77777777" w:rsidR="00652773" w:rsidRDefault="00652773" w:rsidP="00652773">
      <w:pPr>
        <w:pStyle w:val="FootnoteText"/>
      </w:pPr>
      <w:r>
        <w:rPr>
          <w:rStyle w:val="FootnoteReference"/>
        </w:rPr>
        <w:footnoteRef/>
      </w:r>
      <w:r>
        <w:tab/>
        <w:t xml:space="preserve">The aluminium smelting definition in the NZ ETS includes PFC emissions inherent to its manufacturing process. </w:t>
      </w:r>
    </w:p>
  </w:footnote>
  <w:footnote w:id="160">
    <w:p w14:paraId="7C504A7C" w14:textId="77777777" w:rsidR="00652773" w:rsidRPr="00D93781" w:rsidRDefault="00652773" w:rsidP="00652773">
      <w:pPr>
        <w:pStyle w:val="FootnoteText"/>
      </w:pPr>
      <w:r w:rsidRPr="00D93781">
        <w:rPr>
          <w:rStyle w:val="FootnoteReference"/>
          <w:rFonts w:eastAsiaTheme="majorEastAsia"/>
          <w:szCs w:val="18"/>
        </w:rPr>
        <w:footnoteRef/>
      </w:r>
      <w:r w:rsidRPr="00D93781">
        <w:rPr>
          <w:szCs w:val="18"/>
        </w:rPr>
        <w:tab/>
      </w:r>
      <w:r w:rsidRPr="00D93781">
        <w:t>Exporters of HFCs and PFCs are eligible to receive NZUs, as long as they meet prescribed eligibility criteria.</w:t>
      </w:r>
    </w:p>
  </w:footnote>
  <w:footnote w:id="161">
    <w:p w14:paraId="2F4684E3" w14:textId="77777777" w:rsidR="00652773" w:rsidRDefault="00652773" w:rsidP="00652773">
      <w:pPr>
        <w:pStyle w:val="FootnoteText"/>
      </w:pPr>
      <w:r>
        <w:rPr>
          <w:rStyle w:val="FootnoteReference"/>
        </w:rPr>
        <w:footnoteRef/>
      </w:r>
      <w:r>
        <w:t xml:space="preserve"> </w:t>
      </w:r>
      <w:r>
        <w:rPr>
          <w:sz w:val="22"/>
        </w:rPr>
        <w:tab/>
      </w:r>
      <w:r w:rsidRPr="0090327A">
        <w:t>Ministry for Primary Industries.</w:t>
      </w:r>
      <w:r w:rsidRPr="001A0221">
        <w:t xml:space="preserve"> </w:t>
      </w:r>
      <w:hyperlink r:id="rId117" w:history="1">
        <w:r w:rsidRPr="000472ED">
          <w:rPr>
            <w:rStyle w:val="Hyperlink"/>
            <w:i/>
            <w:iCs/>
          </w:rPr>
          <w:t>Centre for Climate Action on Agricultural Emissions</w:t>
        </w:r>
      </w:hyperlink>
      <w:r>
        <w:t>. Retrieved 18 November 2024.</w:t>
      </w:r>
      <w:r>
        <w:rPr>
          <w:sz w:val="22"/>
        </w:rPr>
        <w:t xml:space="preserve"> </w:t>
      </w:r>
    </w:p>
  </w:footnote>
  <w:footnote w:id="162">
    <w:p w14:paraId="3F64CC76" w14:textId="77777777" w:rsidR="00652773" w:rsidRDefault="00652773" w:rsidP="00652773">
      <w:pPr>
        <w:pStyle w:val="FootnoteText"/>
      </w:pPr>
      <w:r>
        <w:rPr>
          <w:rStyle w:val="FootnoteReference"/>
        </w:rPr>
        <w:footnoteRef/>
      </w:r>
      <w:r>
        <w:t xml:space="preserve"> </w:t>
      </w:r>
      <w:r>
        <w:tab/>
      </w:r>
      <w:hyperlink r:id="rId118" w:history="1">
        <w:r w:rsidRPr="00F1139B">
          <w:rPr>
            <w:rStyle w:val="Hyperlink"/>
            <w:i/>
            <w:iCs/>
          </w:rPr>
          <w:t>Global Research Alliance on Agricultural Greenhouse Gases</w:t>
        </w:r>
      </w:hyperlink>
      <w:r>
        <w:t>. Retrieved 18 November 2024.</w:t>
      </w:r>
      <w:r w:rsidRPr="004114D2">
        <w:t xml:space="preserve"> </w:t>
      </w:r>
    </w:p>
  </w:footnote>
  <w:footnote w:id="163">
    <w:p w14:paraId="19049619" w14:textId="77777777" w:rsidR="00652773" w:rsidRDefault="00652773" w:rsidP="00652773">
      <w:pPr>
        <w:pStyle w:val="FootnoteText"/>
      </w:pPr>
      <w:r>
        <w:rPr>
          <w:rStyle w:val="FootnoteReference"/>
        </w:rPr>
        <w:footnoteRef/>
      </w:r>
      <w:r>
        <w:t xml:space="preserve"> </w:t>
      </w:r>
      <w:r>
        <w:tab/>
      </w:r>
      <w:r w:rsidRPr="00876CAF">
        <w:t xml:space="preserve">Ministry for Primary Industries. </w:t>
      </w:r>
      <w:hyperlink r:id="rId119" w:history="1">
        <w:r w:rsidRPr="007F5670">
          <w:rPr>
            <w:rStyle w:val="Hyperlink"/>
            <w:i/>
            <w:iCs/>
          </w:rPr>
          <w:t>Sustainable Food and Fibre Futures</w:t>
        </w:r>
      </w:hyperlink>
      <w:r w:rsidRPr="00876CAF">
        <w:t>. Retrieved 13 November 2022.</w:t>
      </w:r>
    </w:p>
  </w:footnote>
  <w:footnote w:id="164">
    <w:p w14:paraId="5FFEFEA5" w14:textId="77777777" w:rsidR="00652773" w:rsidRPr="00682B45" w:rsidRDefault="00652773" w:rsidP="00652773">
      <w:pPr>
        <w:pStyle w:val="FootnoteText"/>
      </w:pPr>
      <w:r>
        <w:rPr>
          <w:rStyle w:val="FootnoteReference"/>
        </w:rPr>
        <w:footnoteRef/>
      </w:r>
      <w:r>
        <w:t xml:space="preserve"> </w:t>
      </w:r>
      <w:r>
        <w:tab/>
      </w:r>
      <w:r w:rsidRPr="00F54607">
        <w:rPr>
          <w:iCs/>
        </w:rPr>
        <w:t xml:space="preserve">Estimated from the data generated for </w:t>
      </w:r>
      <w:r w:rsidRPr="004F65E7">
        <w:rPr>
          <w:i/>
        </w:rPr>
        <w:t>New Zealand’s Greenhouse Gas Inventory 1990–2022</w:t>
      </w:r>
      <w:r w:rsidRPr="00682B45">
        <w:t>.</w:t>
      </w:r>
      <w:r>
        <w:t xml:space="preserve"> </w:t>
      </w:r>
      <w:r w:rsidRPr="00B30B5F">
        <w:t xml:space="preserve">Ministry for the Environment. 2024. </w:t>
      </w:r>
      <w:r w:rsidRPr="00B30B5F">
        <w:rPr>
          <w:i/>
          <w:iCs/>
        </w:rPr>
        <w:t>New Zealand’s Greenhouse Gas Inventory 1990–2022</w:t>
      </w:r>
      <w:r w:rsidRPr="00B30B5F">
        <w:t>. Wellington: Ministry for the Environment.</w:t>
      </w:r>
    </w:p>
  </w:footnote>
  <w:footnote w:id="165">
    <w:p w14:paraId="547BD74F" w14:textId="77777777" w:rsidR="00652773" w:rsidRDefault="00652773" w:rsidP="00652773">
      <w:pPr>
        <w:pStyle w:val="FootnoteText"/>
      </w:pPr>
      <w:r>
        <w:rPr>
          <w:rStyle w:val="FootnoteReference"/>
        </w:rPr>
        <w:footnoteRef/>
      </w:r>
      <w:r>
        <w:t xml:space="preserve"> </w:t>
      </w:r>
      <w:r>
        <w:tab/>
        <w:t>Closed to new applications</w:t>
      </w:r>
      <w:r w:rsidRPr="004B5368">
        <w:t>.</w:t>
      </w:r>
      <w:r>
        <w:t xml:space="preserve"> </w:t>
      </w:r>
      <w:r w:rsidRPr="00AF4E1A">
        <w:t xml:space="preserve">The </w:t>
      </w:r>
      <w:r>
        <w:t>One Billion Trees</w:t>
      </w:r>
      <w:r w:rsidRPr="00AF4E1A">
        <w:t xml:space="preserve"> </w:t>
      </w:r>
      <w:r>
        <w:t xml:space="preserve">Fund </w:t>
      </w:r>
      <w:r w:rsidRPr="00AF4E1A">
        <w:t>covered direct grants, joint venture and partnership projects.</w:t>
      </w:r>
    </w:p>
  </w:footnote>
  <w:footnote w:id="166">
    <w:p w14:paraId="2DFFC399" w14:textId="77777777" w:rsidR="00652773" w:rsidRPr="004B5368" w:rsidRDefault="00652773" w:rsidP="00652773">
      <w:pPr>
        <w:pStyle w:val="FootnoteText"/>
      </w:pPr>
      <w:r>
        <w:rPr>
          <w:rStyle w:val="FootnoteReference"/>
        </w:rPr>
        <w:footnoteRef/>
      </w:r>
      <w:r w:rsidRPr="004B5368">
        <w:tab/>
        <w:t xml:space="preserve">No longer in place, see section </w:t>
      </w:r>
      <w:r>
        <w:t>2.4.12</w:t>
      </w:r>
      <w:r w:rsidRPr="004B5368">
        <w:t>.</w:t>
      </w:r>
    </w:p>
  </w:footnote>
  <w:footnote w:id="167">
    <w:p w14:paraId="47FF8C83" w14:textId="77777777" w:rsidR="00652773" w:rsidRPr="004B5368" w:rsidRDefault="00652773" w:rsidP="00652773">
      <w:pPr>
        <w:pStyle w:val="FootnoteText"/>
      </w:pPr>
      <w:r>
        <w:rPr>
          <w:rStyle w:val="FootnoteReference"/>
        </w:rPr>
        <w:footnoteRef/>
      </w:r>
      <w:r w:rsidRPr="004B5368">
        <w:tab/>
        <w:t xml:space="preserve">No longer in place, see section </w:t>
      </w:r>
      <w:r>
        <w:t>2.4.12</w:t>
      </w:r>
      <w:r w:rsidRPr="004B5368">
        <w:t>.</w:t>
      </w:r>
    </w:p>
  </w:footnote>
  <w:footnote w:id="168">
    <w:p w14:paraId="31BE65D1" w14:textId="77777777" w:rsidR="00652773" w:rsidRDefault="00652773" w:rsidP="00652773">
      <w:pPr>
        <w:pStyle w:val="FootnoteText"/>
        <w:spacing w:after="40"/>
      </w:pPr>
      <w:r>
        <w:rPr>
          <w:rStyle w:val="FootnoteReference"/>
        </w:rPr>
        <w:footnoteRef/>
      </w:r>
      <w:r>
        <w:t xml:space="preserve"> </w:t>
      </w:r>
      <w:r>
        <w:tab/>
        <w:t xml:space="preserve">Ministry for Primary Industries. </w:t>
      </w:r>
      <w:hyperlink r:id="rId120" w:history="1">
        <w:r w:rsidRPr="006F2261">
          <w:rPr>
            <w:rStyle w:val="Hyperlink"/>
            <w:i/>
            <w:iCs/>
          </w:rPr>
          <w:t>How forest land is defined in the ETS</w:t>
        </w:r>
      </w:hyperlink>
      <w:r>
        <w:t>. Retrieved 9 July 2024.</w:t>
      </w:r>
    </w:p>
  </w:footnote>
  <w:footnote w:id="169">
    <w:p w14:paraId="7054CFCD" w14:textId="77777777" w:rsidR="00652773" w:rsidRPr="005F2862" w:rsidRDefault="00652773" w:rsidP="00652773">
      <w:pPr>
        <w:pStyle w:val="FootnoteText"/>
      </w:pPr>
      <w:r>
        <w:rPr>
          <w:rStyle w:val="FootnoteReference"/>
        </w:rPr>
        <w:footnoteRef/>
      </w:r>
      <w:r>
        <w:tab/>
        <w:t xml:space="preserve">New Zealand Forest Service. 2024. </w:t>
      </w:r>
      <w:hyperlink r:id="rId121" w:history="1">
        <w:r w:rsidRPr="00E129BB">
          <w:rPr>
            <w:rStyle w:val="Hyperlink"/>
            <w:i/>
            <w:iCs/>
          </w:rPr>
          <w:t>Emissions Trading Scheme for forestry as at 31 December 2022</w:t>
        </w:r>
      </w:hyperlink>
      <w:r>
        <w:t>. Retrieved 3 July 2024.</w:t>
      </w:r>
    </w:p>
  </w:footnote>
  <w:footnote w:id="170">
    <w:p w14:paraId="00B4D341" w14:textId="77777777" w:rsidR="00652773" w:rsidRDefault="00652773" w:rsidP="00652773">
      <w:pPr>
        <w:pStyle w:val="FootnoteText"/>
      </w:pPr>
      <w:r w:rsidRPr="1589F0D6">
        <w:rPr>
          <w:rStyle w:val="FootnoteReference"/>
          <w:rFonts w:eastAsiaTheme="majorEastAsia"/>
        </w:rPr>
        <w:footnoteRef/>
      </w:r>
      <w:r>
        <w:tab/>
        <w:t xml:space="preserve">The mandatory emissions return </w:t>
      </w:r>
      <w:r w:rsidRPr="005F2862">
        <w:t>periods</w:t>
      </w:r>
      <w:r>
        <w:t xml:space="preserve"> have been 2008–12, 2013–17 and 2018–22. The current period is 2023–25, then </w:t>
      </w:r>
      <w:r w:rsidRPr="005B33F4">
        <w:t>every five-year period after that (eg, 2026–30).</w:t>
      </w:r>
    </w:p>
  </w:footnote>
  <w:footnote w:id="171">
    <w:p w14:paraId="341907C1" w14:textId="77777777" w:rsidR="00652773" w:rsidRDefault="00652773" w:rsidP="00652773">
      <w:pPr>
        <w:pStyle w:val="FootnoteText"/>
      </w:pPr>
      <w:r w:rsidRPr="003C53AF">
        <w:rPr>
          <w:rStyle w:val="FootnoteReference"/>
        </w:rPr>
        <w:footnoteRef/>
      </w:r>
      <w:r>
        <w:t xml:space="preserve"> </w:t>
      </w:r>
      <w:r>
        <w:tab/>
      </w:r>
      <w:r w:rsidRPr="002A160D">
        <w:rPr>
          <w:rFonts w:eastAsia="Calibri"/>
        </w:rPr>
        <w:t>Forests registered under stock change accounting are required to surrender units back from any loss in forest carbon over the reporting period, whereas those registered under averaging accounting are not required to surrender units back, so long as they are replanted.</w:t>
      </w:r>
    </w:p>
  </w:footnote>
  <w:footnote w:id="172">
    <w:p w14:paraId="3F4B5839" w14:textId="77777777" w:rsidR="00652773" w:rsidRDefault="00652773" w:rsidP="00652773">
      <w:pPr>
        <w:pStyle w:val="FootnoteText"/>
        <w:rPr>
          <w:color w:val="183C47"/>
          <w:sz w:val="22"/>
        </w:rPr>
      </w:pPr>
      <w:r>
        <w:rPr>
          <w:rStyle w:val="FootnoteReference"/>
        </w:rPr>
        <w:footnoteRef/>
      </w:r>
      <w:r>
        <w:tab/>
      </w:r>
      <w:r>
        <w:rPr>
          <w:rFonts w:eastAsia="Calibri"/>
        </w:rPr>
        <w:t>Up to 2 hectares of pre-1990 forest per mandatory emissions return period can be deforested without liability; land owners can avoid pre-1990 deforestation liabilities by establishing an equivalent forest (an offset forest) elsewhere; some land owners can apply for exemptions from deforestation liabilities; and small areas of pre-1990 forest can be cleared without liabilities for the purpose of maintaining best</w:t>
      </w:r>
      <w:r>
        <w:rPr>
          <w:rFonts w:eastAsia="Calibri"/>
        </w:rPr>
        <w:noBreakHyphen/>
        <w:t xml:space="preserve">practice forest management. </w:t>
      </w:r>
    </w:p>
  </w:footnote>
  <w:footnote w:id="173">
    <w:p w14:paraId="48845145" w14:textId="77777777" w:rsidR="00652773" w:rsidRDefault="00652773" w:rsidP="00652773">
      <w:pPr>
        <w:pStyle w:val="FootnoteText"/>
      </w:pPr>
      <w:r>
        <w:rPr>
          <w:rStyle w:val="FootnoteReference"/>
        </w:rPr>
        <w:footnoteRef/>
      </w:r>
      <w:r>
        <w:t xml:space="preserve"> </w:t>
      </w:r>
      <w:r>
        <w:tab/>
        <w:t>Forests registered before 1 January 2023 remain using the stock change accounting method.</w:t>
      </w:r>
    </w:p>
  </w:footnote>
  <w:footnote w:id="174">
    <w:p w14:paraId="172E9C09" w14:textId="77777777" w:rsidR="00652773" w:rsidRDefault="00652773" w:rsidP="00652773">
      <w:pPr>
        <w:pStyle w:val="FootnoteText"/>
      </w:pPr>
      <w:r>
        <w:rPr>
          <w:rStyle w:val="FootnoteReference"/>
        </w:rPr>
        <w:footnoteRef/>
      </w:r>
      <w:r>
        <w:tab/>
        <w:t xml:space="preserve">Ministry for the Environment. </w:t>
      </w:r>
      <w:hyperlink r:id="rId122" w:history="1">
        <w:r w:rsidRPr="006D6106">
          <w:rPr>
            <w:rStyle w:val="Hyperlink"/>
            <w:i/>
            <w:iCs/>
          </w:rPr>
          <w:t>Waste disposal levy</w:t>
        </w:r>
      </w:hyperlink>
      <w:r>
        <w:t>. Retrieved 19 November 2024.</w:t>
      </w:r>
      <w:r w:rsidRPr="00635D0A">
        <w:t xml:space="preserve"> </w:t>
      </w:r>
    </w:p>
  </w:footnote>
  <w:footnote w:id="175">
    <w:p w14:paraId="7224C22F" w14:textId="77777777" w:rsidR="00652773" w:rsidRDefault="00652773" w:rsidP="00652773">
      <w:pPr>
        <w:pStyle w:val="FootnoteText"/>
      </w:pPr>
      <w:r>
        <w:rPr>
          <w:rStyle w:val="FootnoteReference"/>
        </w:rPr>
        <w:footnoteRef/>
      </w:r>
      <w:r>
        <w:t xml:space="preserve"> </w:t>
      </w:r>
      <w:r>
        <w:tab/>
      </w:r>
      <w:r w:rsidRPr="006E72A7">
        <w:t>New</w:t>
      </w:r>
      <w:r>
        <w:t xml:space="preserve"> Zealand Transport Agency. </w:t>
      </w:r>
      <w:hyperlink r:id="rId123" w:history="1">
        <w:r w:rsidRPr="00B107EC">
          <w:rPr>
            <w:rStyle w:val="Hyperlink"/>
            <w:i/>
            <w:iCs/>
          </w:rPr>
          <w:t>Clean Car Standard overview</w:t>
        </w:r>
      </w:hyperlink>
      <w:r>
        <w:t>. Retrieved 19 November 2024.</w:t>
      </w:r>
    </w:p>
  </w:footnote>
  <w:footnote w:id="176">
    <w:p w14:paraId="6A4382F9" w14:textId="77777777" w:rsidR="00F51113" w:rsidRDefault="00F51113" w:rsidP="00B03C45">
      <w:pPr>
        <w:pStyle w:val="FootnoteText"/>
        <w:spacing w:line="240" w:lineRule="auto"/>
      </w:pPr>
      <w:r>
        <w:rPr>
          <w:rStyle w:val="FootnoteReference"/>
        </w:rPr>
        <w:footnoteRef/>
      </w:r>
      <w:r>
        <w:t xml:space="preserve"> </w:t>
      </w:r>
      <w:r>
        <w:tab/>
        <w:t>New Zealand’s domestic emissions targets and budgets do not include Tokelau’s emissions.</w:t>
      </w:r>
    </w:p>
  </w:footnote>
  <w:footnote w:id="177">
    <w:p w14:paraId="3B046FFC" w14:textId="77777777" w:rsidR="00F51113" w:rsidRDefault="00F51113" w:rsidP="00B03C45">
      <w:pPr>
        <w:pStyle w:val="FootnoteText"/>
        <w:spacing w:line="240" w:lineRule="auto"/>
      </w:pPr>
      <w:r>
        <w:rPr>
          <w:rStyle w:val="FootnoteReference"/>
        </w:rPr>
        <w:footnoteRef/>
      </w:r>
      <w:r>
        <w:t xml:space="preserve"> </w:t>
      </w:r>
      <w:r>
        <w:tab/>
        <w:t xml:space="preserve">Ministry for the Environment. 2024. </w:t>
      </w:r>
      <w:hyperlink r:id="rId124" w:history="1">
        <w:r w:rsidRPr="00185EB5">
          <w:rPr>
            <w:rStyle w:val="Hyperlink"/>
            <w:i/>
          </w:rPr>
          <w:t>New Zealand’s Greenhouse Gas Inventory 1990–2022</w:t>
        </w:r>
      </w:hyperlink>
      <w:r w:rsidRPr="00185EB5">
        <w:t>. Wellington: Ministry for the Environment</w:t>
      </w:r>
      <w:r>
        <w:t xml:space="preserve">. </w:t>
      </w:r>
    </w:p>
  </w:footnote>
  <w:footnote w:id="178">
    <w:p w14:paraId="3448F51B" w14:textId="69F71268" w:rsidR="00F51113" w:rsidRDefault="00F51113" w:rsidP="00B03C45">
      <w:pPr>
        <w:pStyle w:val="FootnoteText"/>
        <w:spacing w:line="240" w:lineRule="auto"/>
      </w:pPr>
      <w:r>
        <w:rPr>
          <w:rStyle w:val="FootnoteReference"/>
        </w:rPr>
        <w:footnoteRef/>
      </w:r>
      <w:r>
        <w:t xml:space="preserve"> </w:t>
      </w:r>
      <w:r>
        <w:tab/>
        <w:t xml:space="preserve">Gross emissions are New Zealand’s total emissions from </w:t>
      </w:r>
      <w:r w:rsidR="00611BE9">
        <w:t xml:space="preserve">the </w:t>
      </w:r>
      <w:r>
        <w:t xml:space="preserve">Energy, Transport, </w:t>
      </w:r>
      <w:r w:rsidRPr="00866361">
        <w:t>Industrial Processes and Product Use</w:t>
      </w:r>
      <w:r>
        <w:t xml:space="preserve">, Agriculture, and Waste sectors as well as gross emissions from Tokelau. Net emissions are New Zealand’s gross emissions plus net emissions from the </w:t>
      </w:r>
      <w:r w:rsidRPr="00EE5ABD">
        <w:t>Land Use, Land-Use Change and Forestry</w:t>
      </w:r>
      <w:r>
        <w:t xml:space="preserve"> (LULUCF) sector. </w:t>
      </w:r>
    </w:p>
  </w:footnote>
  <w:footnote w:id="179">
    <w:p w14:paraId="2F418544" w14:textId="1A9B3304" w:rsidR="000A65A5" w:rsidRDefault="000A65A5">
      <w:pPr>
        <w:pStyle w:val="FootnoteText"/>
      </w:pPr>
      <w:r>
        <w:rPr>
          <w:rStyle w:val="FootnoteReference"/>
        </w:rPr>
        <w:footnoteRef/>
      </w:r>
      <w:r>
        <w:t xml:space="preserve"> </w:t>
      </w:r>
      <w:r w:rsidR="00D60BD7">
        <w:tab/>
      </w:r>
      <w:r>
        <w:t>Note ERP2 projections for the LULUCF sector appl</w:t>
      </w:r>
      <w:r w:rsidR="00167A6A">
        <w:t>y</w:t>
      </w:r>
      <w:r>
        <w:t xml:space="preserve"> the same target accounting methodologies as NDC1. </w:t>
      </w:r>
    </w:p>
  </w:footnote>
  <w:footnote w:id="180">
    <w:p w14:paraId="6DEFEF7D" w14:textId="77777777" w:rsidR="00F51113" w:rsidRDefault="00F51113" w:rsidP="00F51113">
      <w:pPr>
        <w:pStyle w:val="FootnoteText"/>
      </w:pPr>
      <w:r>
        <w:rPr>
          <w:rStyle w:val="FootnoteReference"/>
        </w:rPr>
        <w:footnoteRef/>
      </w:r>
      <w:r>
        <w:t xml:space="preserve"> </w:t>
      </w:r>
      <w:r>
        <w:tab/>
        <w:t xml:space="preserve">Ministry for Primary Industries. </w:t>
      </w:r>
      <w:hyperlink r:id="rId125" w:history="1">
        <w:r w:rsidRPr="008B5106">
          <w:rPr>
            <w:rStyle w:val="Hyperlink"/>
            <w:i/>
            <w:iCs/>
          </w:rPr>
          <w:t>One Billion Trees Programme</w:t>
        </w:r>
      </w:hyperlink>
      <w:r>
        <w:t>. Retrieved 28 November 2024.</w:t>
      </w:r>
    </w:p>
  </w:footnote>
  <w:footnote w:id="181">
    <w:p w14:paraId="28C370B8" w14:textId="77777777" w:rsidR="00F51113" w:rsidRDefault="00F51113" w:rsidP="00F51113">
      <w:pPr>
        <w:pStyle w:val="FootnoteText"/>
      </w:pPr>
      <w:r>
        <w:rPr>
          <w:rStyle w:val="FootnoteReference"/>
        </w:rPr>
        <w:footnoteRef/>
      </w:r>
      <w:r>
        <w:t xml:space="preserve"> </w:t>
      </w:r>
      <w:r>
        <w:tab/>
        <w:t>The New Zealand Emissions Trading Scheme was established in 2008.</w:t>
      </w:r>
    </w:p>
  </w:footnote>
  <w:footnote w:id="182">
    <w:p w14:paraId="6CC8024E" w14:textId="77777777" w:rsidR="00F51113" w:rsidRDefault="00F51113" w:rsidP="00F51113">
      <w:pPr>
        <w:pStyle w:val="FootnoteText"/>
      </w:pPr>
      <w:r>
        <w:rPr>
          <w:rStyle w:val="FootnoteReference"/>
        </w:rPr>
        <w:footnoteRef/>
      </w:r>
      <w:r>
        <w:t xml:space="preserve"> </w:t>
      </w:r>
      <w:r>
        <w:tab/>
        <w:t>Emissions projections for the Energy sector only include non-transport energy. Transport energy emissions are accounted for in the Transport sector. This is due to the roles and responsibilities different government agencies have in developing emissions projections.</w:t>
      </w:r>
    </w:p>
  </w:footnote>
  <w:footnote w:id="183">
    <w:p w14:paraId="500D64C5" w14:textId="77777777" w:rsidR="00F51113" w:rsidRPr="004F2A26" w:rsidRDefault="00F51113" w:rsidP="00F51113">
      <w:pPr>
        <w:pStyle w:val="FootnoteText"/>
        <w:spacing w:after="40"/>
        <w:rPr>
          <w:spacing w:val="-2"/>
        </w:rPr>
      </w:pPr>
      <w:r>
        <w:rPr>
          <w:rStyle w:val="FootnoteReference"/>
        </w:rPr>
        <w:footnoteRef/>
      </w:r>
      <w:r>
        <w:t xml:space="preserve"> </w:t>
      </w:r>
      <w:r>
        <w:tab/>
      </w:r>
      <w:r w:rsidRPr="004F2A26">
        <w:rPr>
          <w:spacing w:val="-2"/>
        </w:rPr>
        <w:t xml:space="preserve">Ministry for the Environment. nd. </w:t>
      </w:r>
      <w:hyperlink r:id="rId126" w:history="1">
        <w:r w:rsidRPr="004F2A26">
          <w:rPr>
            <w:rStyle w:val="Hyperlink"/>
            <w:i/>
            <w:iCs/>
            <w:spacing w:val="-2"/>
          </w:rPr>
          <w:t>Kigali Amendment to the Montreal Protocol</w:t>
        </w:r>
      </w:hyperlink>
      <w:r w:rsidRPr="004F2A26">
        <w:rPr>
          <w:spacing w:val="-2"/>
        </w:rPr>
        <w:t>. Retrieved 22 November 2022.</w:t>
      </w:r>
    </w:p>
  </w:footnote>
  <w:footnote w:id="184">
    <w:p w14:paraId="2CDFABEA" w14:textId="77777777" w:rsidR="00F51113" w:rsidRDefault="00F51113" w:rsidP="00F51113">
      <w:pPr>
        <w:pStyle w:val="FootnoteText"/>
        <w:spacing w:after="40"/>
      </w:pPr>
      <w:r>
        <w:rPr>
          <w:rStyle w:val="FootnoteReference"/>
        </w:rPr>
        <w:footnoteRef/>
      </w:r>
      <w:r>
        <w:t xml:space="preserve"> </w:t>
      </w:r>
      <w:r>
        <w:tab/>
        <w:t xml:space="preserve">United Nations. 3 October 2019. </w:t>
      </w:r>
      <w:hyperlink r:id="rId127" w:history="1">
        <w:r w:rsidRPr="008B5106">
          <w:rPr>
            <w:rStyle w:val="Hyperlink"/>
            <w:i/>
            <w:iCs/>
          </w:rPr>
          <w:t>Amendment to the Montreal Protocol on substances that deplete</w:t>
        </w:r>
        <w:r>
          <w:rPr>
            <w:rStyle w:val="Hyperlink"/>
            <w:i/>
            <w:iCs/>
          </w:rPr>
          <w:t xml:space="preserve"> </w:t>
        </w:r>
        <w:r w:rsidRPr="008B5106">
          <w:rPr>
            <w:rStyle w:val="Hyperlink"/>
            <w:i/>
            <w:iCs/>
          </w:rPr>
          <w:t>the ozone layer, New Zealand: Territorial exclusion in respect of Tokelau</w:t>
        </w:r>
      </w:hyperlink>
      <w:r>
        <w:t xml:space="preserve">. Retrieved 5 </w:t>
      </w:r>
      <w:r>
        <w:rPr>
          <w:rStyle w:val="Hyperlink"/>
          <w:color w:val="000000" w:themeColor="text1"/>
        </w:rPr>
        <w:t>November 2019.</w:t>
      </w:r>
    </w:p>
  </w:footnote>
  <w:footnote w:id="185">
    <w:p w14:paraId="1BD2FB63" w14:textId="77777777" w:rsidR="00F51113" w:rsidRPr="00D10228" w:rsidRDefault="00F51113" w:rsidP="00AB56DE">
      <w:pPr>
        <w:pStyle w:val="FootnoteText"/>
        <w:spacing w:after="0"/>
      </w:pPr>
      <w:r>
        <w:rPr>
          <w:rStyle w:val="FootnoteReference"/>
        </w:rPr>
        <w:footnoteRef/>
      </w:r>
      <w:r>
        <w:tab/>
      </w:r>
      <w:r w:rsidRPr="00D10228">
        <w:t xml:space="preserve">Parliamentary Council Office. 2004. </w:t>
      </w:r>
      <w:hyperlink r:id="rId128" w:history="1">
        <w:r w:rsidRPr="00D10228">
          <w:rPr>
            <w:color w:val="32809C" w:themeColor="accent2"/>
          </w:rPr>
          <w:t>Resource Management (National Environmental Standards for Air Quality) Regulations 2004</w:t>
        </w:r>
        <w:r w:rsidRPr="00D10228">
          <w:t>.</w:t>
        </w:r>
      </w:hyperlink>
      <w:r w:rsidRPr="00D10228">
        <w:t xml:space="preserve"> Retrieved 29 November 2024.</w:t>
      </w:r>
    </w:p>
  </w:footnote>
  <w:footnote w:id="186">
    <w:p w14:paraId="0802D478" w14:textId="77777777" w:rsidR="00F51113" w:rsidRDefault="00F51113" w:rsidP="00F51113">
      <w:pPr>
        <w:pStyle w:val="FootnoteText"/>
      </w:pPr>
      <w:r>
        <w:rPr>
          <w:rStyle w:val="FootnoteReference"/>
          <w:sz w:val="16"/>
          <w:szCs w:val="16"/>
        </w:rPr>
        <w:footnoteRef/>
      </w:r>
      <w:r>
        <w:t xml:space="preserve"> </w:t>
      </w:r>
      <w:r>
        <w:tab/>
        <w:t xml:space="preserve">Ministry for the Environment. 2024. </w:t>
      </w:r>
      <w:hyperlink r:id="rId129" w:history="1">
        <w:r w:rsidRPr="008B5106">
          <w:rPr>
            <w:rStyle w:val="Hyperlink"/>
            <w:i/>
            <w:iCs/>
          </w:rPr>
          <w:t>New Zealand’s Greenhouse Gas Inventory 1990–2022</w:t>
        </w:r>
      </w:hyperlink>
      <w:r>
        <w:t>. Wellington: Ministry for the Environment, section 6.1. Retrieved 23 August 2024.</w:t>
      </w:r>
    </w:p>
  </w:footnote>
  <w:footnote w:id="187">
    <w:p w14:paraId="6F9DA85A" w14:textId="458E6F3A" w:rsidR="00F51113" w:rsidRDefault="00F51113" w:rsidP="00F51113">
      <w:pPr>
        <w:pStyle w:val="FootnoteText"/>
      </w:pPr>
      <w:r>
        <w:rPr>
          <w:rStyle w:val="FootnoteReference"/>
        </w:rPr>
        <w:footnoteRef/>
      </w:r>
      <w:r>
        <w:t xml:space="preserve"> </w:t>
      </w:r>
      <w:r>
        <w:tab/>
        <w:t>See Ministry of Transport. 202</w:t>
      </w:r>
      <w:r w:rsidR="00246F91">
        <w:t>4</w:t>
      </w:r>
      <w:r>
        <w:t xml:space="preserve">. </w:t>
      </w:r>
      <w:hyperlink r:id="rId130" w:history="1">
        <w:r w:rsidR="00246F91">
          <w:rPr>
            <w:rStyle w:val="Hyperlink"/>
          </w:rPr>
          <w:t>Vehicle Fleet Model documentation 202405</w:t>
        </w:r>
      </w:hyperlink>
      <w:r w:rsidR="00246F91">
        <w:t>.</w:t>
      </w:r>
      <w:r>
        <w:t xml:space="preserve"> </w:t>
      </w:r>
    </w:p>
  </w:footnote>
  <w:footnote w:id="188">
    <w:p w14:paraId="0E507DB5" w14:textId="77777777" w:rsidR="00F51113" w:rsidRDefault="00F51113" w:rsidP="00F51113">
      <w:pPr>
        <w:pStyle w:val="FootnoteText"/>
      </w:pPr>
      <w:r>
        <w:rPr>
          <w:rStyle w:val="FootnoteReference"/>
        </w:rPr>
        <w:footnoteRef/>
      </w:r>
      <w:r>
        <w:t xml:space="preserve"> </w:t>
      </w:r>
      <w:r>
        <w:tab/>
        <w:t>CSIRO.</w:t>
      </w:r>
      <w:r w:rsidRPr="0074059A">
        <w:t xml:space="preserve"> </w:t>
      </w:r>
      <w:hyperlink r:id="rId131" w:history="1">
        <w:r w:rsidRPr="00FA28A2">
          <w:rPr>
            <w:rStyle w:val="Hyperlink"/>
            <w:i/>
            <w:iCs/>
          </w:rPr>
          <w:t>ADOPT: Adoption Diffusion Outcome Prediction Tool</w:t>
        </w:r>
      </w:hyperlink>
      <w:r>
        <w:t xml:space="preserve">. Retrieved 29 November 2024. </w:t>
      </w:r>
    </w:p>
  </w:footnote>
  <w:footnote w:id="189">
    <w:p w14:paraId="40F349B8" w14:textId="77777777" w:rsidR="00F51113" w:rsidRDefault="00F51113" w:rsidP="00F51113">
      <w:pPr>
        <w:pStyle w:val="FootnoteText"/>
      </w:pPr>
      <w:r>
        <w:rPr>
          <w:rStyle w:val="FootnoteReference"/>
        </w:rPr>
        <w:footnoteRef/>
      </w:r>
      <w:r>
        <w:tab/>
      </w:r>
      <w:r w:rsidRPr="008E7297">
        <w:t>Cyclone Gabrielle was a severe tropical cyclone that devastated parts of the North Island of New Zealand in February 2023</w:t>
      </w:r>
      <w:r>
        <w:t>.</w:t>
      </w:r>
    </w:p>
  </w:footnote>
  <w:footnote w:id="190">
    <w:p w14:paraId="505FDDD3" w14:textId="77777777" w:rsidR="00F51113" w:rsidRDefault="00F51113" w:rsidP="00F51113">
      <w:pPr>
        <w:pStyle w:val="FootnoteText"/>
      </w:pPr>
      <w:r>
        <w:rPr>
          <w:rStyle w:val="FootnoteReference"/>
          <w:sz w:val="16"/>
          <w:szCs w:val="16"/>
        </w:rPr>
        <w:footnoteRef/>
      </w:r>
      <w:r>
        <w:t xml:space="preserve"> </w:t>
      </w:r>
      <w:r>
        <w:tab/>
        <w:t xml:space="preserve">Ministry for the </w:t>
      </w:r>
      <w:r w:rsidRPr="009E38D2">
        <w:t>Environment</w:t>
      </w:r>
      <w:r>
        <w:t xml:space="preserve">. 2024. </w:t>
      </w:r>
      <w:hyperlink r:id="rId132" w:history="1">
        <w:r w:rsidRPr="00FA28A2">
          <w:rPr>
            <w:rStyle w:val="Hyperlink"/>
            <w:i/>
            <w:iCs/>
            <w:szCs w:val="19"/>
          </w:rPr>
          <w:t>New Zealand’s Greenhouse Gas Inventory 1990–2022</w:t>
        </w:r>
      </w:hyperlink>
      <w:r>
        <w:t xml:space="preserve">. Wellington: Ministry for the Environment. </w:t>
      </w:r>
    </w:p>
  </w:footnote>
  <w:footnote w:id="191">
    <w:p w14:paraId="08CDDA85" w14:textId="77777777" w:rsidR="00F51113" w:rsidRDefault="00F51113" w:rsidP="00F51113">
      <w:pPr>
        <w:pStyle w:val="FootnoteText"/>
      </w:pPr>
      <w:r>
        <w:rPr>
          <w:rStyle w:val="FootnoteReference"/>
          <w:sz w:val="16"/>
          <w:szCs w:val="16"/>
        </w:rPr>
        <w:footnoteRef/>
      </w:r>
      <w:r>
        <w:t xml:space="preserve"> </w:t>
      </w:r>
      <w:r>
        <w:tab/>
      </w:r>
      <w:r w:rsidRPr="003038F0">
        <w:rPr>
          <w:spacing w:val="-2"/>
        </w:rPr>
        <w:t xml:space="preserve">Carbon stocks in tall pre-1990 natural forest have previously been reported as being in steady state because the annual net change is not statistically significant (Paul T, Kimberley MO, Beets PN. 2021. Natural forests in New Zealand – a large terrestrial carbon pool in a national state of equilibrium. </w:t>
      </w:r>
      <w:r w:rsidRPr="003038F0">
        <w:rPr>
          <w:i/>
          <w:iCs/>
          <w:spacing w:val="-2"/>
        </w:rPr>
        <w:t>Forest Ecosystems</w:t>
      </w:r>
      <w:r w:rsidRPr="003038F0">
        <w:rPr>
          <w:spacing w:val="-2"/>
        </w:rPr>
        <w:t xml:space="preserve"> 8(34). New Zealand received a recommendation from the Assessment Review Report (L.18, UNFCCC. 2020. </w:t>
      </w:r>
      <w:hyperlink r:id="rId133" w:history="1">
        <w:r w:rsidRPr="003038F0">
          <w:rPr>
            <w:rStyle w:val="Hyperlink"/>
            <w:spacing w:val="-2"/>
            <w:szCs w:val="19"/>
          </w:rPr>
          <w:t>FCCC/ARR/2019/NZL</w:t>
        </w:r>
      </w:hyperlink>
      <w:r w:rsidRPr="003038F0">
        <w:rPr>
          <w:spacing w:val="-2"/>
        </w:rPr>
        <w:t>) to review this position and to report the losses and associated uncertainty occurring in this forest class regardless of the statistical significance. Therefore, the pre-1990 natural forest carbon stock change per hectare estimate has been reported since the 2022 Inventory submission</w:t>
      </w:r>
      <w:r>
        <w:t>.</w:t>
      </w:r>
    </w:p>
  </w:footnote>
  <w:footnote w:id="192">
    <w:p w14:paraId="5C44E540" w14:textId="77777777" w:rsidR="00F51113" w:rsidRDefault="00F51113" w:rsidP="00F51113">
      <w:pPr>
        <w:pStyle w:val="FootnoteText"/>
      </w:pPr>
      <w:r>
        <w:rPr>
          <w:rStyle w:val="FootnoteReference"/>
          <w:sz w:val="16"/>
          <w:szCs w:val="16"/>
        </w:rPr>
        <w:footnoteRef/>
      </w:r>
      <w:r>
        <w:t xml:space="preserve"> </w:t>
      </w:r>
      <w:r>
        <w:tab/>
      </w:r>
      <w:r w:rsidRPr="009E38D2">
        <w:t>Ministry</w:t>
      </w:r>
      <w:r>
        <w:t xml:space="preserve"> for the Environment. 2024. </w:t>
      </w:r>
      <w:hyperlink r:id="rId134" w:history="1">
        <w:r w:rsidRPr="00FA28A2">
          <w:rPr>
            <w:rStyle w:val="Hyperlink"/>
            <w:i/>
            <w:iCs/>
            <w:szCs w:val="19"/>
          </w:rPr>
          <w:t>New Zealand’s Greenhouse Gas Inventory 1990–2022</w:t>
        </w:r>
      </w:hyperlink>
      <w:r>
        <w:t xml:space="preserve">. Wellington: Ministry for the Environment, section 6.3. </w:t>
      </w:r>
    </w:p>
  </w:footnote>
  <w:footnote w:id="193">
    <w:p w14:paraId="5A1BA649" w14:textId="77777777" w:rsidR="00F51113" w:rsidRDefault="00F51113" w:rsidP="00F51113">
      <w:pPr>
        <w:pStyle w:val="FootnoteText"/>
      </w:pPr>
      <w:r>
        <w:rPr>
          <w:rStyle w:val="FootnoteReference"/>
          <w:sz w:val="16"/>
          <w:szCs w:val="16"/>
        </w:rPr>
        <w:footnoteRef/>
      </w:r>
      <w:r>
        <w:t xml:space="preserve"> </w:t>
      </w:r>
      <w:r>
        <w:tab/>
        <w:t xml:space="preserve">Ministry for Primary Industries. 2021. </w:t>
      </w:r>
      <w:hyperlink r:id="rId135" w:history="1">
        <w:r w:rsidRPr="009E38D2">
          <w:rPr>
            <w:rStyle w:val="Hyperlink"/>
            <w:i/>
            <w:iCs/>
            <w:szCs w:val="19"/>
          </w:rPr>
          <w:t>Wood Availability Forecast – New Zealand 2021 to 2060</w:t>
        </w:r>
      </w:hyperlink>
      <w:r>
        <w:t xml:space="preserve">. Wellington: Ministry for Primary Industries. </w:t>
      </w:r>
    </w:p>
  </w:footnote>
  <w:footnote w:id="194">
    <w:p w14:paraId="71C716C8" w14:textId="77777777" w:rsidR="00F51113" w:rsidRDefault="00F51113" w:rsidP="00F51113">
      <w:pPr>
        <w:pStyle w:val="FootnoteText"/>
      </w:pPr>
      <w:r>
        <w:rPr>
          <w:rStyle w:val="FootnoteReference"/>
          <w:sz w:val="16"/>
          <w:szCs w:val="16"/>
        </w:rPr>
        <w:footnoteRef/>
      </w:r>
      <w:r>
        <w:t xml:space="preserve"> </w:t>
      </w:r>
      <w:r>
        <w:tab/>
      </w:r>
      <w:r w:rsidRPr="00FA28A2">
        <w:t>Consistent with the 2022 Greenhouse</w:t>
      </w:r>
      <w:r>
        <w:t xml:space="preserve"> Gas Inventory (section 6.3), any harvesting that occurs in natural forests is captured within the natural forest carbon stock and stock change estimates. Ministry for the Environment. 2024. </w:t>
      </w:r>
      <w:hyperlink r:id="rId136" w:history="1">
        <w:r w:rsidRPr="00FA28A2">
          <w:rPr>
            <w:rStyle w:val="Hyperlink"/>
            <w:i/>
            <w:iCs/>
          </w:rPr>
          <w:t>New Zealand’s Greenhouse Gas Inventory 1990–2022</w:t>
        </w:r>
      </w:hyperlink>
      <w:r>
        <w:t>. Wellington: Ministry for the Environment.</w:t>
      </w:r>
    </w:p>
  </w:footnote>
  <w:footnote w:id="195">
    <w:p w14:paraId="7DC1F5CE" w14:textId="77777777" w:rsidR="00F51113" w:rsidRDefault="00F51113" w:rsidP="00F51113">
      <w:pPr>
        <w:pStyle w:val="FootnoteText"/>
      </w:pPr>
      <w:r>
        <w:rPr>
          <w:rStyle w:val="FootnoteReference"/>
          <w:sz w:val="16"/>
          <w:szCs w:val="16"/>
        </w:rPr>
        <w:footnoteRef/>
      </w:r>
      <w:r>
        <w:t xml:space="preserve"> </w:t>
      </w:r>
      <w:r>
        <w:tab/>
        <w:t xml:space="preserve">Manley B. 2022. </w:t>
      </w:r>
      <w:hyperlink r:id="rId137" w:history="1">
        <w:r w:rsidRPr="00FA28A2">
          <w:rPr>
            <w:rStyle w:val="Hyperlink"/>
            <w:i/>
            <w:iCs/>
          </w:rPr>
          <w:t>Afforestation and Deforestation Intentions Survey 2021: Final report</w:t>
        </w:r>
      </w:hyperlink>
      <w:r>
        <w:t xml:space="preserve">. Prepared for the Ministry for Primary Industries by Professor B Manley, School of Forestry, University of Canterbury. Wellington: Ministry for Primary Industries. Manley B. 2024. </w:t>
      </w:r>
      <w:hyperlink r:id="rId138" w:history="1">
        <w:r w:rsidRPr="00FA28A2">
          <w:rPr>
            <w:rStyle w:val="Hyperlink"/>
            <w:i/>
            <w:iCs/>
          </w:rPr>
          <w:t>Afforestation and Deforestation Intentions Survey 2023: Final report</w:t>
        </w:r>
      </w:hyperlink>
      <w:r>
        <w:t xml:space="preserve">. Prepared for the Ministry for Primary Industries by Professor B Manley, School of Forestry, University of Canterbury. Wellington: Ministry for Primary Industries. </w:t>
      </w:r>
    </w:p>
  </w:footnote>
  <w:footnote w:id="196">
    <w:p w14:paraId="14FFE97B" w14:textId="77777777" w:rsidR="00F51113" w:rsidRPr="00213A95" w:rsidRDefault="00F51113" w:rsidP="00F51113">
      <w:pPr>
        <w:pStyle w:val="FootnoteText"/>
      </w:pPr>
      <w:r>
        <w:rPr>
          <w:rStyle w:val="FootnoteReference"/>
        </w:rPr>
        <w:footnoteRef/>
      </w:r>
      <w:r>
        <w:t xml:space="preserve"> </w:t>
      </w:r>
      <w:r>
        <w:tab/>
        <w:t xml:space="preserve">Manley B. 2022. </w:t>
      </w:r>
      <w:hyperlink r:id="rId139" w:history="1">
        <w:r w:rsidRPr="0034491B">
          <w:rPr>
            <w:rStyle w:val="Hyperlink"/>
            <w:i/>
            <w:iCs/>
          </w:rPr>
          <w:t>Afforestation and Deforestation Intentions Survey 2021: Final report</w:t>
        </w:r>
      </w:hyperlink>
      <w:r>
        <w:t xml:space="preserve">. Manley B. 2024. </w:t>
      </w:r>
      <w:hyperlink r:id="rId140" w:history="1">
        <w:r w:rsidRPr="0034491B">
          <w:rPr>
            <w:rStyle w:val="Hyperlink"/>
            <w:i/>
            <w:iCs/>
          </w:rPr>
          <w:t>Afforestation and Deforestation Intentions Survey 2023: Final report</w:t>
        </w:r>
      </w:hyperlink>
      <w:r>
        <w:t>.</w:t>
      </w:r>
    </w:p>
  </w:footnote>
  <w:footnote w:id="197">
    <w:p w14:paraId="38ACE116" w14:textId="77777777" w:rsidR="00F51113" w:rsidRDefault="00F51113" w:rsidP="00F51113">
      <w:pPr>
        <w:pStyle w:val="FootnoteText"/>
      </w:pPr>
      <w:r>
        <w:rPr>
          <w:rStyle w:val="FootnoteReference"/>
          <w:sz w:val="16"/>
          <w:szCs w:val="16"/>
        </w:rPr>
        <w:footnoteRef/>
      </w:r>
      <w:r>
        <w:t xml:space="preserve"> </w:t>
      </w:r>
      <w:r>
        <w:tab/>
        <w:t xml:space="preserve">Ministry for the Environment. 2024. </w:t>
      </w:r>
      <w:hyperlink r:id="rId141" w:history="1">
        <w:r w:rsidRPr="00FA28A2">
          <w:rPr>
            <w:rStyle w:val="Hyperlink"/>
            <w:i/>
            <w:iCs/>
          </w:rPr>
          <w:t>New Zealand’s Greenhouse Gas Inventory 1990–2022</w:t>
        </w:r>
      </w:hyperlink>
      <w:r>
        <w:t>. Wellington: Ministry for the Environment, table 6.3.7.</w:t>
      </w:r>
    </w:p>
  </w:footnote>
  <w:footnote w:id="198">
    <w:p w14:paraId="5B43D4D1" w14:textId="77777777" w:rsidR="00F51113" w:rsidRDefault="00F51113" w:rsidP="00F51113">
      <w:pPr>
        <w:pStyle w:val="FootnoteText"/>
        <w:rPr>
          <w:sz w:val="20"/>
          <w:szCs w:val="20"/>
        </w:rPr>
      </w:pPr>
      <w:r w:rsidRPr="3E556C17">
        <w:rPr>
          <w:rStyle w:val="FootnoteReference"/>
          <w:sz w:val="16"/>
          <w:szCs w:val="16"/>
        </w:rPr>
        <w:footnoteRef/>
      </w:r>
      <w:r w:rsidRPr="3E556C17">
        <w:t xml:space="preserve"> </w:t>
      </w:r>
      <w:r>
        <w:tab/>
      </w:r>
      <w:r w:rsidRPr="3E556C17">
        <w:t xml:space="preserve">Manley B. 2018. </w:t>
      </w:r>
      <w:hyperlink r:id="rId142" w:history="1">
        <w:r w:rsidRPr="00601BBC">
          <w:rPr>
            <w:rStyle w:val="Hyperlink"/>
            <w:i/>
            <w:iCs/>
          </w:rPr>
          <w:t>Intentions of forest owners following harvest of post-1989 forests</w:t>
        </w:r>
      </w:hyperlink>
      <w:r>
        <w:t>.</w:t>
      </w:r>
      <w:r w:rsidRPr="3E556C17">
        <w:t xml:space="preserve"> MPI Technical Paper No: 2018/55. </w:t>
      </w:r>
      <w:r>
        <w:t xml:space="preserve">Wellington: </w:t>
      </w:r>
      <w:r w:rsidRPr="3E556C17">
        <w:t xml:space="preserve">Ministry for Primary Industries. </w:t>
      </w:r>
    </w:p>
  </w:footnote>
  <w:footnote w:id="199">
    <w:p w14:paraId="54484F3C" w14:textId="77777777" w:rsidR="00F51113" w:rsidRDefault="00F51113" w:rsidP="00F51113">
      <w:pPr>
        <w:pStyle w:val="FootnoteText"/>
      </w:pPr>
      <w:r>
        <w:rPr>
          <w:rStyle w:val="FootnoteReference"/>
          <w:sz w:val="16"/>
          <w:szCs w:val="16"/>
        </w:rPr>
        <w:footnoteRef/>
      </w:r>
      <w:r>
        <w:t xml:space="preserve"> </w:t>
      </w:r>
      <w:r>
        <w:tab/>
        <w:t xml:space="preserve">Manley B. 2024. </w:t>
      </w:r>
      <w:hyperlink r:id="rId143" w:history="1">
        <w:r w:rsidRPr="00FA28A2">
          <w:rPr>
            <w:rStyle w:val="Hyperlink"/>
            <w:i/>
            <w:iCs/>
          </w:rPr>
          <w:t>Afforestation and Deforestation Intentions Survey 2023: Final report</w:t>
        </w:r>
      </w:hyperlink>
      <w:r>
        <w:t xml:space="preserve">. Prepared for the Ministry for Primary Industries by Professor B Manley, School of Forestry, University of Canterbury. Wellington: Ministry for Primary Industries. </w:t>
      </w:r>
    </w:p>
  </w:footnote>
  <w:footnote w:id="200">
    <w:p w14:paraId="75148D8E" w14:textId="77777777" w:rsidR="00F51113" w:rsidRDefault="00F51113" w:rsidP="00F51113">
      <w:pPr>
        <w:pStyle w:val="FootnoteText"/>
      </w:pPr>
      <w:r>
        <w:rPr>
          <w:rStyle w:val="FootnoteReference"/>
          <w:sz w:val="16"/>
          <w:szCs w:val="16"/>
        </w:rPr>
        <w:footnoteRef/>
      </w:r>
      <w:r>
        <w:t xml:space="preserve"> </w:t>
      </w:r>
      <w:r>
        <w:tab/>
        <w:t xml:space="preserve">Manley B. 2019. </w:t>
      </w:r>
      <w:hyperlink r:id="rId144" w:history="1">
        <w:r w:rsidRPr="00FA28A2">
          <w:rPr>
            <w:rStyle w:val="Hyperlink"/>
            <w:i/>
            <w:iCs/>
          </w:rPr>
          <w:t>Impacts of Carbon Prices on Forest Management</w:t>
        </w:r>
      </w:hyperlink>
      <w:r>
        <w:t xml:space="preserve">. Prepared for the Ministry for Primary Industries by Professor B Manley, School of Forestry, University of Canterbury. Wellington: Ministry for </w:t>
      </w:r>
      <w:r w:rsidRPr="005800C7">
        <w:t>Primary</w:t>
      </w:r>
      <w:r>
        <w:t xml:space="preserve"> Industries. </w:t>
      </w:r>
    </w:p>
  </w:footnote>
  <w:footnote w:id="201">
    <w:p w14:paraId="30877BD8" w14:textId="77777777" w:rsidR="00F51113" w:rsidRDefault="00F51113" w:rsidP="00F51113">
      <w:pPr>
        <w:pStyle w:val="FootnoteText"/>
      </w:pPr>
      <w:r>
        <w:rPr>
          <w:rStyle w:val="FootnoteReference"/>
        </w:rPr>
        <w:footnoteRef/>
      </w:r>
      <w:r>
        <w:t xml:space="preserve"> </w:t>
      </w:r>
      <w:r>
        <w:tab/>
        <w:t>Net emissions are gross emissions combined with emissions and removals from the LULUCF sector.</w:t>
      </w:r>
    </w:p>
  </w:footnote>
  <w:footnote w:id="202">
    <w:p w14:paraId="75C9AFA1" w14:textId="77777777" w:rsidR="00921D1F" w:rsidRDefault="00921D1F" w:rsidP="00921D1F">
      <w:pPr>
        <w:pStyle w:val="FootnoteText"/>
      </w:pPr>
      <w:r>
        <w:rPr>
          <w:rStyle w:val="FootnoteReference"/>
        </w:rPr>
        <w:footnoteRef/>
      </w:r>
      <w:r>
        <w:t xml:space="preserve"> </w:t>
      </w:r>
      <w:r>
        <w:tab/>
        <w:t xml:space="preserve">Eligible activities refer to </w:t>
      </w:r>
      <w:r w:rsidRPr="007E42CD">
        <w:t xml:space="preserve">Land Use, Land-Use Change and Forestry </w:t>
      </w:r>
      <w:r>
        <w:t xml:space="preserve">(LULUCF) activities for which accounting methods have been developed by the </w:t>
      </w:r>
      <w:r w:rsidRPr="00A53910">
        <w:t xml:space="preserve">Intergovernmental Panel on Climate Change </w:t>
      </w:r>
      <w:r>
        <w:t>(see IPCC 2014, 2013 Revised Supplementary Methods and Good Practice Guidance Arising from the Kyoto Protocol, Hiraishi T, Krug T, Tanabe K, Srivastava N, Baasansuren J, Fukuda M, Troxler TG (eds). Switzerland: IPCC.</w:t>
      </w:r>
    </w:p>
  </w:footnote>
  <w:footnote w:id="203">
    <w:p w14:paraId="5563A4C7" w14:textId="6F16A9C3" w:rsidR="00921D1F" w:rsidRDefault="00921D1F" w:rsidP="00921D1F">
      <w:pPr>
        <w:pStyle w:val="FootnoteText"/>
      </w:pPr>
      <w:r>
        <w:rPr>
          <w:rStyle w:val="FootnoteReference"/>
        </w:rPr>
        <w:footnoteRef/>
      </w:r>
      <w:r>
        <w:t xml:space="preserve"> </w:t>
      </w:r>
      <w:r>
        <w:tab/>
      </w:r>
      <w:r w:rsidRPr="008571F7">
        <w:t xml:space="preserve">IPCC. 2006. Eggleston HS, Buendia L, Miwa K, Ngara T, Tanabe K (eds). </w:t>
      </w:r>
      <w:r w:rsidRPr="008571F7">
        <w:rPr>
          <w:i/>
          <w:iCs/>
        </w:rPr>
        <w:t xml:space="preserve">2006 IPCC Guidelines for National Greenhouse Gas Inventories. Volume 1. General Guidance and Reporting. </w:t>
      </w:r>
      <w:r w:rsidRPr="008571F7">
        <w:t>IPCC National Greenhouse Gas Inventories Programme. Japan: Institute for Global Environmental Strategies for IPCC.</w:t>
      </w:r>
    </w:p>
  </w:footnote>
  <w:footnote w:id="204">
    <w:p w14:paraId="6AB558B5" w14:textId="77777777" w:rsidR="00921D1F" w:rsidRPr="000343C0" w:rsidRDefault="00921D1F" w:rsidP="00921D1F">
      <w:pPr>
        <w:pStyle w:val="FootnoteText"/>
        <w:rPr>
          <w:rFonts w:cs="Arial"/>
          <w:szCs w:val="16"/>
          <w:lang w:eastAsia="en-GB"/>
        </w:rPr>
      </w:pPr>
      <w:r w:rsidRPr="00FE56D8">
        <w:rPr>
          <w:rStyle w:val="FootnoteReference"/>
          <w:rFonts w:cs="Arial"/>
          <w:sz w:val="16"/>
          <w:szCs w:val="16"/>
        </w:rPr>
        <w:footnoteRef/>
      </w:r>
      <w:r>
        <w:rPr>
          <w:rFonts w:cs="Arial"/>
          <w:szCs w:val="16"/>
          <w:lang w:eastAsia="en-GB"/>
        </w:rPr>
        <w:tab/>
      </w:r>
      <w:r w:rsidRPr="00FE56D8">
        <w:rPr>
          <w:rFonts w:cs="Arial"/>
          <w:szCs w:val="16"/>
          <w:lang w:eastAsia="en-GB"/>
        </w:rPr>
        <w:t xml:space="preserve">Wakelin SJ, Paul TSH, West T, Dowling LJ. </w:t>
      </w:r>
      <w:r>
        <w:rPr>
          <w:rFonts w:cs="Arial"/>
          <w:szCs w:val="16"/>
          <w:lang w:eastAsia="en-GB"/>
        </w:rPr>
        <w:t>U</w:t>
      </w:r>
      <w:r w:rsidRPr="00FE56D8">
        <w:rPr>
          <w:rFonts w:cs="Arial"/>
          <w:szCs w:val="16"/>
          <w:lang w:eastAsia="en-GB"/>
        </w:rPr>
        <w:t xml:space="preserve">npublished. </w:t>
      </w:r>
      <w:r w:rsidRPr="009C02D5">
        <w:rPr>
          <w:rFonts w:cs="Arial"/>
          <w:iCs/>
          <w:szCs w:val="16"/>
          <w:lang w:eastAsia="en-GB"/>
        </w:rPr>
        <w:t>Reporting New Zealand’s Nationally Determined Contribution under the Paris Agreement using Averaging Accounting for Post-1989 Forests</w:t>
      </w:r>
      <w:r w:rsidRPr="00FE56D8">
        <w:rPr>
          <w:rFonts w:cs="Arial"/>
          <w:i/>
          <w:szCs w:val="16"/>
          <w:lang w:eastAsia="en-GB"/>
        </w:rPr>
        <w:t>.</w:t>
      </w:r>
      <w:r w:rsidRPr="00FE56D8">
        <w:rPr>
          <w:rFonts w:cs="Arial"/>
          <w:szCs w:val="16"/>
          <w:lang w:eastAsia="en-GB"/>
        </w:rPr>
        <w:t xml:space="preserve"> Scion.</w:t>
      </w:r>
      <w:r w:rsidRPr="000343C0">
        <w:rPr>
          <w:rFonts w:cs="Arial"/>
          <w:szCs w:val="16"/>
          <w:lang w:eastAsia="en-GB"/>
        </w:rPr>
        <w:t xml:space="preserve"> </w:t>
      </w:r>
    </w:p>
  </w:footnote>
  <w:footnote w:id="205">
    <w:p w14:paraId="4A18FF9B" w14:textId="77777777" w:rsidR="00921D1F" w:rsidRDefault="00921D1F" w:rsidP="00921D1F">
      <w:pPr>
        <w:pStyle w:val="FootnoteText"/>
      </w:pPr>
      <w:r>
        <w:rPr>
          <w:rStyle w:val="FootnoteReference"/>
        </w:rPr>
        <w:footnoteRef/>
      </w:r>
      <w:r>
        <w:t xml:space="preserve"> </w:t>
      </w:r>
      <w:r>
        <w:tab/>
        <w:t xml:space="preserve">Manley B. 2024. </w:t>
      </w:r>
      <w:hyperlink r:id="rId145" w:history="1">
        <w:r w:rsidRPr="009C02D5">
          <w:rPr>
            <w:rStyle w:val="Hyperlink"/>
            <w:i/>
            <w:iCs/>
          </w:rPr>
          <w:t>Afforestation and Deforestation Intentions Survey 2023: Final report</w:t>
        </w:r>
      </w:hyperlink>
      <w:r>
        <w:t xml:space="preserve">. </w:t>
      </w:r>
      <w:r w:rsidRPr="00551F66">
        <w:t>MPI Technical Paper No: 2024/14</w:t>
      </w:r>
      <w:r>
        <w:t xml:space="preserve">. Prepared for the Ministry for Primary Industries by Professor B Manley, School of Forestry, University of Canterbury. Wellington: Ministry for Primary Industries. </w:t>
      </w:r>
    </w:p>
  </w:footnote>
  <w:footnote w:id="206">
    <w:p w14:paraId="3C12ADB5" w14:textId="77777777" w:rsidR="00921D1F" w:rsidRDefault="00921D1F" w:rsidP="00921D1F">
      <w:pPr>
        <w:pStyle w:val="FootnoteText"/>
      </w:pPr>
      <w:r>
        <w:rPr>
          <w:rStyle w:val="FootnoteReference"/>
        </w:rPr>
        <w:footnoteRef/>
      </w:r>
      <w:r>
        <w:t xml:space="preserve"> </w:t>
      </w:r>
      <w:r>
        <w:tab/>
        <w:t xml:space="preserve">Ministry for the Environment. 2024. </w:t>
      </w:r>
      <w:hyperlink r:id="rId146" w:history="1">
        <w:r w:rsidRPr="00185EB5">
          <w:rPr>
            <w:rStyle w:val="Hyperlink"/>
            <w:i/>
          </w:rPr>
          <w:t>New Zealand’s Greenhouse Gas Inventory 1990–2022</w:t>
        </w:r>
      </w:hyperlink>
      <w:r w:rsidRPr="00185EB5">
        <w:t>. Wellington: Ministry for the Environment</w:t>
      </w:r>
      <w:r>
        <w:t>.</w:t>
      </w:r>
    </w:p>
  </w:footnote>
  <w:footnote w:id="207">
    <w:p w14:paraId="339ECEC6" w14:textId="77777777" w:rsidR="00921D1F" w:rsidRPr="008636E7" w:rsidRDefault="00921D1F" w:rsidP="00921D1F">
      <w:pPr>
        <w:pStyle w:val="FootnoteText"/>
      </w:pPr>
      <w:r w:rsidRPr="008636E7">
        <w:rPr>
          <w:rStyle w:val="FootnoteReference"/>
          <w:rFonts w:cs="Arial"/>
        </w:rPr>
        <w:footnoteRef/>
      </w:r>
      <w:r w:rsidRPr="008636E7">
        <w:tab/>
        <w:t xml:space="preserve">Manley B. 2018. </w:t>
      </w:r>
      <w:hyperlink r:id="rId147" w:history="1">
        <w:r w:rsidRPr="008636E7">
          <w:rPr>
            <w:rStyle w:val="Hyperlink"/>
            <w:i/>
            <w:iCs/>
          </w:rPr>
          <w:t>Intentions of Forest Owners Following Harvest of Post-1989 Forests</w:t>
        </w:r>
      </w:hyperlink>
      <w:r w:rsidRPr="008636E7">
        <w:t xml:space="preserve">. MPI Technical Paper No: 2018/55. Wellington: Ministry for Primary Industries. </w:t>
      </w:r>
    </w:p>
  </w:footnote>
  <w:footnote w:id="208">
    <w:p w14:paraId="6E6F497C" w14:textId="77777777" w:rsidR="00921D1F" w:rsidRPr="00C53EB9" w:rsidRDefault="00921D1F" w:rsidP="00921D1F">
      <w:pPr>
        <w:pStyle w:val="FootnoteText"/>
        <w:rPr>
          <w:rStyle w:val="FootnoteReference"/>
          <w:rFonts w:eastAsia="Times New Roman" w:cs="Arial"/>
          <w:sz w:val="16"/>
          <w:szCs w:val="16"/>
        </w:rPr>
      </w:pPr>
      <w:r w:rsidRPr="008636E7">
        <w:rPr>
          <w:rStyle w:val="FootnoteReference"/>
        </w:rPr>
        <w:footnoteRef/>
      </w:r>
      <w:r>
        <w:rPr>
          <w:szCs w:val="16"/>
        </w:rPr>
        <w:tab/>
      </w:r>
      <w:r w:rsidRPr="000343C0">
        <w:rPr>
          <w:szCs w:val="16"/>
        </w:rPr>
        <w:t>With stock change accounting, N</w:t>
      </w:r>
      <w:r>
        <w:rPr>
          <w:szCs w:val="16"/>
        </w:rPr>
        <w:t xml:space="preserve">ew </w:t>
      </w:r>
      <w:r w:rsidRPr="000343C0">
        <w:rPr>
          <w:szCs w:val="16"/>
        </w:rPr>
        <w:t>Z</w:t>
      </w:r>
      <w:r>
        <w:rPr>
          <w:szCs w:val="16"/>
        </w:rPr>
        <w:t>ealand</w:t>
      </w:r>
      <w:r w:rsidRPr="000343C0">
        <w:rPr>
          <w:szCs w:val="16"/>
        </w:rPr>
        <w:t xml:space="preserve"> accounts for short-term changes in forest carbon. The carbon will increase as the forest grows and decrease when it is cleared.</w:t>
      </w:r>
    </w:p>
  </w:footnote>
  <w:footnote w:id="209">
    <w:p w14:paraId="3E6305CB" w14:textId="77777777" w:rsidR="00921D1F" w:rsidRPr="000343C0" w:rsidRDefault="00921D1F" w:rsidP="00921D1F">
      <w:pPr>
        <w:pStyle w:val="FootnoteText"/>
        <w:rPr>
          <w:rFonts w:cs="Arial"/>
          <w:szCs w:val="16"/>
          <w:lang w:eastAsia="en-GB"/>
        </w:rPr>
      </w:pPr>
      <w:r w:rsidRPr="008636E7">
        <w:rPr>
          <w:rStyle w:val="FootnoteReference"/>
          <w:rFonts w:cs="Arial"/>
        </w:rPr>
        <w:footnoteRef/>
      </w:r>
      <w:r>
        <w:rPr>
          <w:szCs w:val="16"/>
        </w:rPr>
        <w:tab/>
      </w:r>
      <w:r w:rsidRPr="000343C0">
        <w:rPr>
          <w:szCs w:val="16"/>
        </w:rPr>
        <w:t xml:space="preserve">The Forest Management Reference Level is a value of annual net emissions and removals from </w:t>
      </w:r>
      <w:r w:rsidRPr="009C02D5">
        <w:rPr>
          <w:i/>
          <w:iCs/>
          <w:szCs w:val="16"/>
        </w:rPr>
        <w:t>Forest management</w:t>
      </w:r>
      <w:r w:rsidRPr="000343C0">
        <w:rPr>
          <w:szCs w:val="16"/>
        </w:rPr>
        <w:t xml:space="preserve">, against which the net emissions and removals reported for </w:t>
      </w:r>
      <w:r w:rsidRPr="009C02D5">
        <w:rPr>
          <w:i/>
          <w:iCs/>
          <w:szCs w:val="16"/>
        </w:rPr>
        <w:t>Forest management</w:t>
      </w:r>
      <w:r w:rsidRPr="000343C0">
        <w:rPr>
          <w:szCs w:val="16"/>
        </w:rPr>
        <w:t xml:space="preserve"> can be compared for accounting purposes. Guidance on how to construct the Forest Management Reference Level is provided </w:t>
      </w:r>
      <w:r>
        <w:rPr>
          <w:szCs w:val="16"/>
        </w:rPr>
        <w:t>in</w:t>
      </w:r>
      <w:r w:rsidRPr="000343C0">
        <w:rPr>
          <w:szCs w:val="16"/>
        </w:rPr>
        <w:t xml:space="preserve"> Appendix II to Decision 2/CMP.6 contained in </w:t>
      </w:r>
      <w:r>
        <w:rPr>
          <w:szCs w:val="16"/>
        </w:rPr>
        <w:t xml:space="preserve">the </w:t>
      </w:r>
      <w:r w:rsidRPr="006E32DE">
        <w:rPr>
          <w:szCs w:val="16"/>
        </w:rPr>
        <w:t xml:space="preserve">United Nations Framework Convention on Climate Change </w:t>
      </w:r>
      <w:r w:rsidRPr="000343C0">
        <w:rPr>
          <w:szCs w:val="16"/>
        </w:rPr>
        <w:t xml:space="preserve">document </w:t>
      </w:r>
      <w:r w:rsidRPr="00824E27">
        <w:t>FCCC/KP/CMP/2010/12/Add.1</w:t>
      </w:r>
      <w:r>
        <w:t xml:space="preserve"> (see </w:t>
      </w:r>
      <w:r w:rsidRPr="005D6346">
        <w:t>United Nations Framework Convention on Climate Change. Part One: Proceedings Contents. United Nations, 2010.</w:t>
      </w:r>
      <w:r>
        <w:t>)</w:t>
      </w:r>
      <w:r w:rsidRPr="000343C0">
        <w:rPr>
          <w:szCs w:val="16"/>
        </w:rPr>
        <w:t xml:space="preserve">. An overview of approaches, methods and elements used in construction of Forest Management Reference Levels is provided in </w:t>
      </w:r>
      <w:r>
        <w:rPr>
          <w:szCs w:val="16"/>
        </w:rPr>
        <w:t>s</w:t>
      </w:r>
      <w:r w:rsidRPr="000343C0">
        <w:rPr>
          <w:szCs w:val="16"/>
        </w:rPr>
        <w:t xml:space="preserve">ection 2.7.5.1 of </w:t>
      </w:r>
      <w:r>
        <w:rPr>
          <w:szCs w:val="16"/>
        </w:rPr>
        <w:t xml:space="preserve">the </w:t>
      </w:r>
      <w:r w:rsidRPr="009C02D5">
        <w:rPr>
          <w:i/>
          <w:iCs/>
          <w:szCs w:val="16"/>
        </w:rPr>
        <w:t>2013 Revised Supplementary Methods and Good Practice Guidance Arising from the Kyoto Protocol</w:t>
      </w:r>
      <w:r>
        <w:rPr>
          <w:szCs w:val="16"/>
        </w:rPr>
        <w:t xml:space="preserve">. </w:t>
      </w:r>
      <w:r w:rsidRPr="00744EF9">
        <w:rPr>
          <w:szCs w:val="16"/>
        </w:rPr>
        <w:t xml:space="preserve">IPCC. 2014. Hiraishi T, Krug T, Tanabe K, Srivastava N, Baasansuren J, Fukuda M, Troxler TG (eds). </w:t>
      </w:r>
      <w:hyperlink r:id="rId148" w:history="1">
        <w:r w:rsidRPr="009C02D5">
          <w:rPr>
            <w:rStyle w:val="Hyperlink"/>
            <w:i/>
            <w:iCs/>
          </w:rPr>
          <w:t>2013 Revised Supplementary Methods and Good Practice Guidance Arising from the Kyoto Protocol</w:t>
        </w:r>
      </w:hyperlink>
      <w:r w:rsidRPr="00744EF9">
        <w:rPr>
          <w:szCs w:val="16"/>
        </w:rPr>
        <w:t>. Switzerland: IPCC.</w:t>
      </w:r>
      <w:r w:rsidRPr="00744EF9" w:rsidDel="001A514C">
        <w:rPr>
          <w:szCs w:val="16"/>
        </w:rPr>
        <w:t xml:space="preserve"> </w:t>
      </w:r>
    </w:p>
  </w:footnote>
  <w:footnote w:id="210">
    <w:p w14:paraId="77E21E60" w14:textId="77777777" w:rsidR="00921D1F" w:rsidRPr="000343C0" w:rsidRDefault="00921D1F" w:rsidP="00921D1F">
      <w:pPr>
        <w:pStyle w:val="FootnoteText"/>
        <w:rPr>
          <w:szCs w:val="16"/>
        </w:rPr>
      </w:pPr>
      <w:r w:rsidRPr="008636E7">
        <w:rPr>
          <w:rStyle w:val="FootnoteReference"/>
        </w:rPr>
        <w:footnoteRef/>
      </w:r>
      <w:r w:rsidRPr="008636E7">
        <w:rPr>
          <w:sz w:val="22"/>
        </w:rPr>
        <w:t xml:space="preserve"> </w:t>
      </w:r>
      <w:r>
        <w:rPr>
          <w:szCs w:val="16"/>
        </w:rPr>
        <w:tab/>
      </w:r>
      <w:r w:rsidRPr="000343C0">
        <w:rPr>
          <w:szCs w:val="16"/>
        </w:rPr>
        <w:t>Currently commissioned to the University of Canterbury School of Forestry.</w:t>
      </w:r>
      <w:r w:rsidRPr="002D345D">
        <w:t xml:space="preserve"> </w:t>
      </w:r>
      <w:r>
        <w:t xml:space="preserve">Manley B. 2024. </w:t>
      </w:r>
      <w:hyperlink r:id="rId149" w:history="1">
        <w:r w:rsidRPr="007D572E">
          <w:rPr>
            <w:rStyle w:val="Hyperlink"/>
            <w:i/>
            <w:iCs/>
          </w:rPr>
          <w:t>Afforestation and Deforestation Intentions Survey 2023: Final report</w:t>
        </w:r>
      </w:hyperlink>
      <w:r>
        <w:t>.</w:t>
      </w:r>
    </w:p>
  </w:footnote>
  <w:footnote w:id="211">
    <w:p w14:paraId="38B43CB7" w14:textId="77777777" w:rsidR="00921D1F" w:rsidRDefault="00921D1F" w:rsidP="00921D1F">
      <w:pPr>
        <w:pStyle w:val="FootnoteText"/>
      </w:pPr>
      <w:r>
        <w:rPr>
          <w:rStyle w:val="FootnoteReference"/>
        </w:rPr>
        <w:footnoteRef/>
      </w:r>
      <w:r>
        <w:t xml:space="preserve"> </w:t>
      </w:r>
      <w:r>
        <w:tab/>
        <w:t xml:space="preserve">Manley B. 2022. </w:t>
      </w:r>
      <w:hyperlink r:id="rId150" w:history="1">
        <w:r w:rsidRPr="0034491B">
          <w:rPr>
            <w:rStyle w:val="Hyperlink"/>
            <w:i/>
            <w:iCs/>
          </w:rPr>
          <w:t>Afforestation and Deforestation Intentions Survey 2021: Final report</w:t>
        </w:r>
      </w:hyperlink>
      <w:r>
        <w:t xml:space="preserve">. Prepared for the Ministry for Primary Industries by Professor B Manley, School of Forestry, University of Canterbury. Wellington: Ministry for Primary Industries. Manley B. 2024. </w:t>
      </w:r>
      <w:hyperlink r:id="rId151" w:history="1">
        <w:r w:rsidRPr="007D572E">
          <w:rPr>
            <w:rStyle w:val="Hyperlink"/>
            <w:i/>
            <w:iCs/>
          </w:rPr>
          <w:t>Afforestation and Deforestation Intentions Survey 2023: Final report</w:t>
        </w:r>
      </w:hyperlink>
      <w:r>
        <w:t>.</w:t>
      </w:r>
    </w:p>
  </w:footnote>
  <w:footnote w:id="212">
    <w:p w14:paraId="758A0B6C" w14:textId="77777777" w:rsidR="00921D1F" w:rsidRPr="000343C0" w:rsidRDefault="00921D1F" w:rsidP="00921D1F">
      <w:pPr>
        <w:pStyle w:val="FootnoteText"/>
        <w:rPr>
          <w:szCs w:val="16"/>
        </w:rPr>
      </w:pPr>
      <w:r w:rsidRPr="00C53EB9">
        <w:rPr>
          <w:rStyle w:val="FootnoteReference"/>
          <w:rFonts w:cs="Arial"/>
          <w:sz w:val="16"/>
          <w:szCs w:val="16"/>
        </w:rPr>
        <w:footnoteRef/>
      </w:r>
      <w:r w:rsidRPr="00C53EB9">
        <w:rPr>
          <w:rStyle w:val="FootnoteReference"/>
          <w:rFonts w:cs="Arial"/>
          <w:sz w:val="16"/>
          <w:szCs w:val="16"/>
        </w:rPr>
        <w:t xml:space="preserve"> </w:t>
      </w:r>
      <w:r>
        <w:rPr>
          <w:rStyle w:val="FootnoteReference"/>
          <w:rFonts w:cs="Arial"/>
          <w:sz w:val="16"/>
          <w:szCs w:val="16"/>
        </w:rPr>
        <w:tab/>
      </w:r>
      <w:r>
        <w:rPr>
          <w:rFonts w:cs="Arial"/>
          <w:szCs w:val="16"/>
        </w:rPr>
        <w:t>Main</w:t>
      </w:r>
      <w:r w:rsidRPr="000343C0">
        <w:rPr>
          <w:rFonts w:cs="Arial"/>
          <w:szCs w:val="16"/>
        </w:rPr>
        <w:t xml:space="preserve"> </w:t>
      </w:r>
      <w:r w:rsidRPr="000343C0">
        <w:rPr>
          <w:szCs w:val="16"/>
        </w:rPr>
        <w:t>factors that can influence future afforestation and deforestation are land availability and price, land</w:t>
      </w:r>
      <w:r>
        <w:rPr>
          <w:szCs w:val="16"/>
        </w:rPr>
        <w:t xml:space="preserve"> </w:t>
      </w:r>
      <w:r w:rsidRPr="000343C0">
        <w:rPr>
          <w:szCs w:val="16"/>
        </w:rPr>
        <w:t>owner preferences, the impact of carbon price, seedling and labour availability, requirement for Overseas Investment Office approval, government policy and local council regulation. The projections also do not consider the complex interaction between supply and demand for N</w:t>
      </w:r>
      <w:r>
        <w:rPr>
          <w:szCs w:val="16"/>
        </w:rPr>
        <w:t xml:space="preserve">ew </w:t>
      </w:r>
      <w:r w:rsidRPr="000343C0">
        <w:rPr>
          <w:szCs w:val="16"/>
        </w:rPr>
        <w:t>Z</w:t>
      </w:r>
      <w:r>
        <w:rPr>
          <w:szCs w:val="16"/>
        </w:rPr>
        <w:t>ealand</w:t>
      </w:r>
      <w:r w:rsidRPr="000343C0">
        <w:rPr>
          <w:szCs w:val="16"/>
        </w:rPr>
        <w:t xml:space="preserve"> E</w:t>
      </w:r>
      <w:r>
        <w:rPr>
          <w:szCs w:val="16"/>
        </w:rPr>
        <w:t xml:space="preserve">missions </w:t>
      </w:r>
      <w:r w:rsidRPr="000343C0">
        <w:rPr>
          <w:szCs w:val="16"/>
        </w:rPr>
        <w:t>T</w:t>
      </w:r>
      <w:r>
        <w:rPr>
          <w:szCs w:val="16"/>
        </w:rPr>
        <w:t xml:space="preserve">rading </w:t>
      </w:r>
      <w:r w:rsidRPr="000343C0">
        <w:rPr>
          <w:szCs w:val="16"/>
        </w:rPr>
        <w:t>S</w:t>
      </w:r>
      <w:r>
        <w:rPr>
          <w:szCs w:val="16"/>
        </w:rPr>
        <w:t>cheme</w:t>
      </w:r>
      <w:r w:rsidRPr="000343C0">
        <w:rPr>
          <w:szCs w:val="16"/>
        </w:rPr>
        <w:t xml:space="preserve"> units (called New Zealand Units or NZUs), which could </w:t>
      </w:r>
      <w:r>
        <w:rPr>
          <w:szCs w:val="16"/>
        </w:rPr>
        <w:t>affect</w:t>
      </w:r>
      <w:r w:rsidRPr="000343C0">
        <w:rPr>
          <w:szCs w:val="16"/>
        </w:rPr>
        <w:t xml:space="preserve"> future carbon prices and, therefore, afforestation rates.</w:t>
      </w:r>
    </w:p>
  </w:footnote>
  <w:footnote w:id="213">
    <w:p w14:paraId="35871F4F" w14:textId="77777777" w:rsidR="00697651" w:rsidRDefault="00697651" w:rsidP="00697651">
      <w:pPr>
        <w:pStyle w:val="FootnoteText"/>
      </w:pPr>
      <w:r>
        <w:rPr>
          <w:rStyle w:val="FootnoteReference"/>
        </w:rPr>
        <w:footnoteRef/>
      </w:r>
      <w:r>
        <w:t xml:space="preserve"> </w:t>
      </w:r>
      <w:r>
        <w:tab/>
      </w:r>
      <w:r w:rsidRPr="00746DA3">
        <w:t>Ministry for the Environment. 2022. </w:t>
      </w:r>
      <w:hyperlink r:id="rId152" w:tgtFrame="_blank" w:history="1">
        <w:r w:rsidRPr="00746DA3">
          <w:rPr>
            <w:rStyle w:val="Hyperlink"/>
            <w:i/>
            <w:iCs/>
          </w:rPr>
          <w:t>Aotearoa New Zealand’s first national adaptation plan</w:t>
        </w:r>
        <w:r w:rsidRPr="00746DA3">
          <w:rPr>
            <w:rStyle w:val="Hyperlink"/>
          </w:rPr>
          <w:t>.</w:t>
        </w:r>
      </w:hyperlink>
      <w:r w:rsidRPr="00746DA3">
        <w:t> Wellington. Ministry for the Environment.</w:t>
      </w:r>
    </w:p>
  </w:footnote>
  <w:footnote w:id="214">
    <w:p w14:paraId="1BC8DF16" w14:textId="77777777" w:rsidR="00697651" w:rsidRDefault="00697651" w:rsidP="00697651">
      <w:pPr>
        <w:pStyle w:val="FootnoteText"/>
      </w:pPr>
      <w:r>
        <w:rPr>
          <w:rStyle w:val="FootnoteReference"/>
        </w:rPr>
        <w:footnoteRef/>
      </w:r>
      <w:r>
        <w:t xml:space="preserve"> </w:t>
      </w:r>
      <w:r>
        <w:tab/>
      </w:r>
      <w:r w:rsidRPr="006335B4">
        <w:t xml:space="preserve">Climate change is also a driver for many risks on the all-of-government </w:t>
      </w:r>
      <w:hyperlink r:id="rId153" w:history="1">
        <w:r w:rsidRPr="00FC2336">
          <w:rPr>
            <w:rStyle w:val="Hyperlink"/>
            <w:i/>
            <w:iCs/>
          </w:rPr>
          <w:t>National Risk Register</w:t>
        </w:r>
      </w:hyperlink>
      <w:r w:rsidRPr="006335B4">
        <w:t xml:space="preserve">, which is led by </w:t>
      </w:r>
      <w:r>
        <w:t>the Department of the Prime Minister and Cabinet</w:t>
      </w:r>
      <w:r w:rsidRPr="006335B4">
        <w:t>, and governed by the National Hazards Board and National Security Board.</w:t>
      </w:r>
    </w:p>
  </w:footnote>
  <w:footnote w:id="215">
    <w:p w14:paraId="04230A1D" w14:textId="317AB70C" w:rsidR="00697651" w:rsidRPr="003D2652" w:rsidRDefault="00697651" w:rsidP="00697651">
      <w:pPr>
        <w:pStyle w:val="FootnoteText"/>
      </w:pPr>
      <w:r>
        <w:rPr>
          <w:rStyle w:val="FootnoteReference"/>
        </w:rPr>
        <w:footnoteRef/>
      </w:r>
      <w:r>
        <w:t xml:space="preserve"> </w:t>
      </w:r>
      <w:r>
        <w:tab/>
        <w:t>F</w:t>
      </w:r>
      <w:r w:rsidRPr="003D2652">
        <w:t xml:space="preserve">or </w:t>
      </w:r>
      <w:r>
        <w:t xml:space="preserve">further information, see </w:t>
      </w:r>
      <w:r w:rsidRPr="00525686">
        <w:rPr>
          <w:rFonts w:cs="Calibri"/>
          <w:color w:val="000000"/>
          <w:szCs w:val="19"/>
          <w:bdr w:val="none" w:sz="0" w:space="0" w:color="auto" w:frame="1"/>
        </w:rPr>
        <w:t xml:space="preserve">Ministry for the Environment </w:t>
      </w:r>
      <w:r w:rsidR="009423DD">
        <w:rPr>
          <w:rFonts w:cs="Calibri"/>
          <w:color w:val="000000"/>
          <w:szCs w:val="19"/>
          <w:bdr w:val="none" w:sz="0" w:space="0" w:color="auto" w:frame="1"/>
        </w:rPr>
        <w:t>and</w:t>
      </w:r>
      <w:r w:rsidR="009423DD" w:rsidRPr="00525686">
        <w:rPr>
          <w:rFonts w:cs="Calibri"/>
          <w:color w:val="000000"/>
          <w:szCs w:val="19"/>
          <w:bdr w:val="none" w:sz="0" w:space="0" w:color="auto" w:frame="1"/>
        </w:rPr>
        <w:t xml:space="preserve"> </w:t>
      </w:r>
      <w:r w:rsidRPr="00525686">
        <w:rPr>
          <w:rFonts w:cs="Calibri"/>
          <w:color w:val="000000"/>
          <w:szCs w:val="19"/>
          <w:bdr w:val="none" w:sz="0" w:space="0" w:color="auto" w:frame="1"/>
        </w:rPr>
        <w:t xml:space="preserve">Stats NZ. 2023. </w:t>
      </w:r>
      <w:hyperlink r:id="rId154" w:history="1">
        <w:r w:rsidRPr="00525686">
          <w:rPr>
            <w:rStyle w:val="Hyperlink"/>
            <w:rFonts w:cs="Calibri"/>
            <w:i/>
            <w:iCs/>
            <w:szCs w:val="19"/>
            <w:bdr w:val="none" w:sz="0" w:space="0" w:color="auto" w:frame="1"/>
          </w:rPr>
          <w:t>New Zealand’s Environmental Reporting Series: Our atmosphere and climate 2023</w:t>
        </w:r>
      </w:hyperlink>
      <w:r w:rsidRPr="00525686">
        <w:rPr>
          <w:rFonts w:cs="Calibri"/>
          <w:color w:val="000000"/>
          <w:szCs w:val="19"/>
          <w:bdr w:val="none" w:sz="0" w:space="0" w:color="auto" w:frame="1"/>
        </w:rPr>
        <w:t>.</w:t>
      </w:r>
      <w:r w:rsidRPr="00525686">
        <w:rPr>
          <w:rFonts w:cs="Calibri"/>
          <w:color w:val="000000"/>
          <w:szCs w:val="19"/>
          <w:bdr w:val="none" w:sz="0" w:space="0" w:color="auto" w:frame="1"/>
        </w:rPr>
        <w:fldChar w:fldCharType="begin"/>
      </w:r>
      <w:r w:rsidRPr="00525686">
        <w:rPr>
          <w:rFonts w:cs="Calibri"/>
          <w:color w:val="000000"/>
          <w:szCs w:val="19"/>
          <w:bdr w:val="none" w:sz="0" w:space="0" w:color="auto" w:frame="1"/>
        </w:rPr>
        <w:instrText>￼￼￼https://environment.govt.nz/assets/publications/Environmental-Reporting/Our-atmosphere-and-climate-2023.pdf</w:instrText>
      </w:r>
      <w:r w:rsidRPr="00525686">
        <w:rPr>
          <w:rFonts w:cs="Calibri"/>
          <w:color w:val="000000"/>
          <w:szCs w:val="19"/>
          <w:bdr w:val="none" w:sz="0" w:space="0" w:color="auto" w:frame="1"/>
        </w:rPr>
        <w:fldChar w:fldCharType="end"/>
      </w:r>
      <w:r w:rsidRPr="00525686">
        <w:rPr>
          <w:rFonts w:cs="Calibri"/>
          <w:color w:val="000000"/>
          <w:szCs w:val="19"/>
          <w:bdr w:val="none" w:sz="0" w:space="0" w:color="auto" w:frame="1"/>
        </w:rPr>
        <w:t xml:space="preserve"> Wellington: </w:t>
      </w:r>
      <w:r w:rsidRPr="00FF307F">
        <w:t>Ministry</w:t>
      </w:r>
      <w:r w:rsidRPr="00525686">
        <w:rPr>
          <w:rFonts w:cs="Calibri"/>
          <w:color w:val="000000"/>
          <w:szCs w:val="19"/>
          <w:bdr w:val="none" w:sz="0" w:space="0" w:color="auto" w:frame="1"/>
        </w:rPr>
        <w:t xml:space="preserve"> for the Environment</w:t>
      </w:r>
      <w:r w:rsidRPr="003D2652">
        <w:t>.</w:t>
      </w:r>
    </w:p>
  </w:footnote>
  <w:footnote w:id="216">
    <w:p w14:paraId="4F47BA13" w14:textId="77777777" w:rsidR="00697651" w:rsidRPr="00900B14" w:rsidRDefault="00697651" w:rsidP="00697651">
      <w:pPr>
        <w:pStyle w:val="FootnoteText"/>
      </w:pPr>
      <w:r>
        <w:rPr>
          <w:rStyle w:val="FootnoteReference"/>
        </w:rPr>
        <w:footnoteRef/>
      </w:r>
      <w:r>
        <w:t xml:space="preserve"> </w:t>
      </w:r>
      <w:r>
        <w:tab/>
        <w:t xml:space="preserve">See </w:t>
      </w:r>
      <w:r w:rsidRPr="00E049F0">
        <w:t>section 3.1.3</w:t>
      </w:r>
      <w:r>
        <w:t xml:space="preserve"> on the Climate Change Commission’s role and section </w:t>
      </w:r>
      <w:r w:rsidRPr="003F350A">
        <w:t>3.</w:t>
      </w:r>
      <w:r>
        <w:t>6</w:t>
      </w:r>
      <w:r w:rsidRPr="003F350A">
        <w:t>.1</w:t>
      </w:r>
      <w:r>
        <w:t xml:space="preserve"> on its first report on the implementation and effectiveness of New Zealand’s first national adaptation plan.</w:t>
      </w:r>
    </w:p>
  </w:footnote>
  <w:footnote w:id="217">
    <w:p w14:paraId="0DBA45F2" w14:textId="77777777" w:rsidR="00697651" w:rsidRDefault="00697651" w:rsidP="00697651">
      <w:pPr>
        <w:pStyle w:val="FootnoteText"/>
      </w:pPr>
      <w:r>
        <w:rPr>
          <w:rStyle w:val="FootnoteReference"/>
        </w:rPr>
        <w:footnoteRef/>
      </w:r>
      <w:r>
        <w:t xml:space="preserve"> </w:t>
      </w:r>
      <w:r>
        <w:tab/>
        <w:t>S</w:t>
      </w:r>
      <w:r w:rsidRPr="000F6CE1">
        <w:t xml:space="preserve">ection 5ZW(8) of the </w:t>
      </w:r>
      <w:hyperlink r:id="rId155" w:anchor="LMS282063" w:history="1">
        <w:r w:rsidRPr="000F6CE1">
          <w:rPr>
            <w:rStyle w:val="Hyperlink"/>
          </w:rPr>
          <w:t>Climate Change Response Act 2002</w:t>
        </w:r>
      </w:hyperlink>
      <w:r>
        <w:t xml:space="preserve"> sets out the</w:t>
      </w:r>
      <w:r w:rsidRPr="007018E9">
        <w:t xml:space="preserve"> </w:t>
      </w:r>
      <w:r w:rsidRPr="000F6CE1">
        <w:t>policy and service delivery organisations</w:t>
      </w:r>
      <w:r>
        <w:t xml:space="preserve"> that are</w:t>
      </w:r>
      <w:r w:rsidRPr="000F6CE1">
        <w:t xml:space="preserve"> subject to this request.</w:t>
      </w:r>
      <w:r>
        <w:t xml:space="preserve"> </w:t>
      </w:r>
    </w:p>
  </w:footnote>
  <w:footnote w:id="218">
    <w:p w14:paraId="3E19FCA0" w14:textId="77777777" w:rsidR="00697651" w:rsidRDefault="00697651" w:rsidP="00697651">
      <w:pPr>
        <w:pStyle w:val="FootnoteText"/>
      </w:pPr>
      <w:r>
        <w:rPr>
          <w:rStyle w:val="FootnoteReference"/>
        </w:rPr>
        <w:footnoteRef/>
      </w:r>
      <w:r>
        <w:t xml:space="preserve"> </w:t>
      </w:r>
      <w:r>
        <w:tab/>
        <w:t xml:space="preserve">See sections 5ZP to 5ZV in the </w:t>
      </w:r>
      <w:hyperlink r:id="rId156" w:anchor="LMS282063" w:history="1">
        <w:r>
          <w:rPr>
            <w:rStyle w:val="Hyperlink"/>
          </w:rPr>
          <w:t>Climate Change Response Act 2002</w:t>
        </w:r>
      </w:hyperlink>
      <w:r>
        <w:t>.</w:t>
      </w:r>
    </w:p>
  </w:footnote>
  <w:footnote w:id="219">
    <w:p w14:paraId="05FD6A4F" w14:textId="77777777" w:rsidR="00697651" w:rsidRDefault="00697651" w:rsidP="00697651">
      <w:pPr>
        <w:pStyle w:val="FootnoteText"/>
      </w:pPr>
      <w:r>
        <w:rPr>
          <w:rStyle w:val="FootnoteReference"/>
        </w:rPr>
        <w:footnoteRef/>
      </w:r>
      <w:r>
        <w:t xml:space="preserve"> </w:t>
      </w:r>
      <w:r>
        <w:tab/>
      </w:r>
      <w:r w:rsidRPr="00D52658">
        <w:t>The Global Goal on Adaptation under article 7.1 of the Paris Agreement is aimed at “enhancing adaptive capacity, strengthening resilience and reducing vulnerability to clim</w:t>
      </w:r>
      <w:r w:rsidRPr="00636181">
        <w:t>ate change” (</w:t>
      </w:r>
      <w:r w:rsidRPr="005446FB">
        <w:t>p 9</w:t>
      </w:r>
      <w:r w:rsidRPr="00636181">
        <w:t>).</w:t>
      </w:r>
    </w:p>
  </w:footnote>
  <w:footnote w:id="220">
    <w:p w14:paraId="65E4068E" w14:textId="77777777" w:rsidR="00697651" w:rsidRDefault="00697651" w:rsidP="00697651">
      <w:pPr>
        <w:pStyle w:val="FootnoteText"/>
      </w:pPr>
      <w:r>
        <w:rPr>
          <w:rStyle w:val="FootnoteReference"/>
        </w:rPr>
        <w:footnoteRef/>
      </w:r>
      <w:r>
        <w:t xml:space="preserve"> </w:t>
      </w:r>
      <w:r>
        <w:tab/>
        <w:t xml:space="preserve">NIWA. 2024. </w:t>
      </w:r>
      <w:hyperlink r:id="rId157" w:anchor=":~:text=2023%20was%20Aotearoa%20New%20Zealand's,the%201991%2D2020%20annual%20average." w:history="1">
        <w:r w:rsidRPr="004F3CDF">
          <w:rPr>
            <w:rStyle w:val="Hyperlink"/>
            <w:i/>
            <w:iCs/>
          </w:rPr>
          <w:t>Annual Climate Summary 2023.</w:t>
        </w:r>
      </w:hyperlink>
      <w:r>
        <w:t xml:space="preserve"> Retrieved 15 October 2024.</w:t>
      </w:r>
    </w:p>
  </w:footnote>
  <w:footnote w:id="221">
    <w:p w14:paraId="77DC55B7" w14:textId="77777777" w:rsidR="00697651" w:rsidRDefault="00697651" w:rsidP="00697651">
      <w:pPr>
        <w:pStyle w:val="FootnoteText"/>
      </w:pPr>
      <w:r w:rsidRPr="734E6AE0">
        <w:rPr>
          <w:rStyle w:val="FootnoteReference"/>
        </w:rPr>
        <w:footnoteRef/>
      </w:r>
      <w:r>
        <w:t xml:space="preserve"> </w:t>
      </w:r>
      <w:r>
        <w:tab/>
      </w:r>
      <w:r>
        <w:rPr>
          <w:rFonts w:cs="Calibri"/>
          <w:color w:val="000000"/>
          <w:szCs w:val="19"/>
          <w:shd w:val="clear" w:color="auto" w:fill="FFFFFF"/>
        </w:rPr>
        <w:t>Intergovernmental Panel on Climate Change. 2022. </w:t>
      </w:r>
      <w:hyperlink r:id="rId158" w:tgtFrame="_blank" w:history="1">
        <w:r>
          <w:rPr>
            <w:rFonts w:cs="Calibri"/>
            <w:i/>
            <w:iCs/>
            <w:color w:val="32809C"/>
            <w:szCs w:val="19"/>
            <w:shd w:val="clear" w:color="auto" w:fill="FFFFFF"/>
          </w:rPr>
          <w:t>Climate Change 2022: Impacts, Adaptation and Vulnerability</w:t>
        </w:r>
      </w:hyperlink>
      <w:r>
        <w:rPr>
          <w:rFonts w:cs="Calibri"/>
          <w:i/>
          <w:iCs/>
          <w:color w:val="000000"/>
          <w:szCs w:val="19"/>
          <w:shd w:val="clear" w:color="auto" w:fill="FFFFFF"/>
        </w:rPr>
        <w:t>.</w:t>
      </w:r>
      <w:r>
        <w:rPr>
          <w:rFonts w:cs="Calibri"/>
          <w:i/>
          <w:color w:val="000000"/>
          <w:szCs w:val="19"/>
          <w:shd w:val="clear" w:color="auto" w:fill="FFFFFF"/>
        </w:rPr>
        <w:t xml:space="preserve"> Contribution of Working Group II to the Sixth Assessment Report of the Intergovernmental Panel on Climate Change</w:t>
      </w:r>
      <w:r>
        <w:rPr>
          <w:rFonts w:cs="Calibri"/>
          <w:color w:val="000000"/>
          <w:szCs w:val="19"/>
          <w:shd w:val="clear" w:color="auto" w:fill="FFFFFF"/>
        </w:rPr>
        <w:t>. Cambridge: Intergovernmental Panel on Climate Change.  </w:t>
      </w:r>
    </w:p>
  </w:footnote>
  <w:footnote w:id="222">
    <w:p w14:paraId="5AD14F68" w14:textId="77777777" w:rsidR="00697651" w:rsidRPr="00412AEC" w:rsidRDefault="00697651" w:rsidP="00697651">
      <w:pPr>
        <w:pStyle w:val="FootnoteText"/>
      </w:pPr>
      <w:r w:rsidRPr="00957B7C">
        <w:rPr>
          <w:rStyle w:val="FootnoteReference"/>
        </w:rPr>
        <w:footnoteRef/>
      </w:r>
      <w:r w:rsidRPr="00412AEC">
        <w:t xml:space="preserve"> </w:t>
      </w:r>
      <w:r>
        <w:tab/>
      </w:r>
      <w:r>
        <w:rPr>
          <w:rFonts w:cs="Calibri"/>
          <w:color w:val="000000"/>
          <w:szCs w:val="19"/>
          <w:shd w:val="clear" w:color="auto" w:fill="FFFFFF"/>
        </w:rPr>
        <w:t>Intergovernmental Panel on Climate Change. 2021. </w:t>
      </w:r>
      <w:hyperlink r:id="rId159" w:tgtFrame="_blank" w:history="1">
        <w:r>
          <w:rPr>
            <w:rFonts w:cs="Calibri"/>
            <w:i/>
            <w:iCs/>
            <w:color w:val="32809C"/>
            <w:szCs w:val="19"/>
            <w:shd w:val="clear" w:color="auto" w:fill="FFFFFF"/>
          </w:rPr>
          <w:t>Climate Change 2021: The Physical Science Basis</w:t>
        </w:r>
      </w:hyperlink>
      <w:r>
        <w:rPr>
          <w:rFonts w:cs="Calibri"/>
          <w:i/>
          <w:iCs/>
          <w:color w:val="000000"/>
          <w:szCs w:val="19"/>
          <w:shd w:val="clear" w:color="auto" w:fill="FFFFFF"/>
        </w:rPr>
        <w:t>.</w:t>
      </w:r>
      <w:r>
        <w:rPr>
          <w:rFonts w:cs="Calibri"/>
          <w:i/>
          <w:color w:val="000000"/>
          <w:szCs w:val="19"/>
          <w:shd w:val="clear" w:color="auto" w:fill="FFFFFF"/>
        </w:rPr>
        <w:t xml:space="preserve"> Contribution of Working Group I to the Sixth Assessment Report of the Intergovernmental Panel on Climate Change</w:t>
      </w:r>
      <w:r>
        <w:rPr>
          <w:rFonts w:cs="Calibri"/>
          <w:color w:val="000000"/>
          <w:szCs w:val="19"/>
          <w:shd w:val="clear" w:color="auto" w:fill="FFFFFF"/>
        </w:rPr>
        <w:t>. Cambridge: Intergovernmental Panel on Climate Change.</w:t>
      </w:r>
    </w:p>
  </w:footnote>
  <w:footnote w:id="223">
    <w:p w14:paraId="2AE0216C" w14:textId="77777777" w:rsidR="00697651" w:rsidRDefault="00697651" w:rsidP="00697651">
      <w:pPr>
        <w:pStyle w:val="FootnoteText"/>
      </w:pPr>
      <w:r w:rsidRPr="27DC67E6">
        <w:rPr>
          <w:rStyle w:val="FootnoteReference"/>
        </w:rPr>
        <w:footnoteRef/>
      </w:r>
      <w:r>
        <w:t xml:space="preserve"> </w:t>
      </w:r>
      <w:r>
        <w:tab/>
        <w:t xml:space="preserve">This occurred, on average, across the four main port records. See Stats NZ. 2022. </w:t>
      </w:r>
      <w:hyperlink r:id="rId160" w:history="1">
        <w:r w:rsidRPr="00DD54E8">
          <w:rPr>
            <w:rStyle w:val="Hyperlink"/>
            <w:i/>
          </w:rPr>
          <w:t>Coastal sea-level rise</w:t>
        </w:r>
      </w:hyperlink>
      <w:r>
        <w:t>. Retrieved 15 October 2024.</w:t>
      </w:r>
    </w:p>
  </w:footnote>
  <w:footnote w:id="224">
    <w:p w14:paraId="736F0180" w14:textId="77777777" w:rsidR="00697651" w:rsidRDefault="00697651" w:rsidP="00697651">
      <w:pPr>
        <w:pStyle w:val="FootnoteText"/>
      </w:pPr>
      <w:r>
        <w:rPr>
          <w:rStyle w:val="FootnoteReference"/>
        </w:rPr>
        <w:footnoteRef/>
      </w:r>
      <w:r>
        <w:t xml:space="preserve"> </w:t>
      </w:r>
      <w:r>
        <w:tab/>
        <w:t xml:space="preserve">Ministry for the Environment. 2024. </w:t>
      </w:r>
      <w:hyperlink r:id="rId161" w:history="1">
        <w:r w:rsidRPr="008A400B">
          <w:rPr>
            <w:rStyle w:val="Hyperlink"/>
            <w:i/>
            <w:iCs/>
          </w:rPr>
          <w:t>New Zealand Climate Projections Dataset.</w:t>
        </w:r>
      </w:hyperlink>
      <w:r>
        <w:t xml:space="preserve"> Retrieved 15 October 2024.</w:t>
      </w:r>
    </w:p>
  </w:footnote>
  <w:footnote w:id="225">
    <w:p w14:paraId="04998078" w14:textId="77777777" w:rsidR="00697651" w:rsidRDefault="00697651" w:rsidP="00697651">
      <w:pPr>
        <w:pStyle w:val="FootnoteText"/>
      </w:pPr>
      <w:r>
        <w:rPr>
          <w:rStyle w:val="FootnoteReference"/>
        </w:rPr>
        <w:footnoteRef/>
      </w:r>
      <w:r>
        <w:t xml:space="preserve"> </w:t>
      </w:r>
      <w:r>
        <w:tab/>
        <w:t xml:space="preserve">Shared </w:t>
      </w:r>
      <w:r w:rsidRPr="00314E29">
        <w:t>socio-economic pathway (SSP) scenarios are global emissions scenarios developed by the Intergovernmental Panel on Climate Change (IPCC). </w:t>
      </w:r>
      <w:r>
        <w:t xml:space="preserve">For further explanation of their use in New Zealand’s climate projections, refer to: </w:t>
      </w:r>
      <w:hyperlink r:id="rId162" w:history="1">
        <w:r>
          <w:rPr>
            <w:rStyle w:val="Hyperlink"/>
            <w:i/>
            <w:iCs/>
          </w:rPr>
          <w:t>Understanding climate variables and scenarios used in the projections</w:t>
        </w:r>
      </w:hyperlink>
      <w:r>
        <w:rPr>
          <w:i/>
          <w:iCs/>
        </w:rPr>
        <w:t>.</w:t>
      </w:r>
    </w:p>
  </w:footnote>
  <w:footnote w:id="226">
    <w:p w14:paraId="0FE21D8A" w14:textId="77777777" w:rsidR="00697651" w:rsidRDefault="00697651" w:rsidP="00697651">
      <w:pPr>
        <w:pStyle w:val="FootnoteText"/>
        <w:spacing w:after="40"/>
      </w:pPr>
      <w:r>
        <w:rPr>
          <w:rStyle w:val="FootnoteReference"/>
        </w:rPr>
        <w:footnoteRef/>
      </w:r>
      <w:r>
        <w:t xml:space="preserve"> </w:t>
      </w:r>
      <w:r>
        <w:tab/>
        <w:t xml:space="preserve">Ministry for the Environment. 2024. </w:t>
      </w:r>
      <w:hyperlink r:id="rId163" w:history="1">
        <w:r w:rsidRPr="008A400B">
          <w:rPr>
            <w:rStyle w:val="Hyperlink"/>
            <w:i/>
            <w:iCs/>
          </w:rPr>
          <w:t>New Zealand Climate Projections Dataset.</w:t>
        </w:r>
      </w:hyperlink>
    </w:p>
  </w:footnote>
  <w:footnote w:id="227">
    <w:p w14:paraId="7093F578" w14:textId="77777777" w:rsidR="00697651" w:rsidRDefault="00697651" w:rsidP="00697651">
      <w:pPr>
        <w:pStyle w:val="FootnoteText"/>
        <w:spacing w:after="40"/>
      </w:pPr>
      <w:r>
        <w:rPr>
          <w:rStyle w:val="FootnoteReference"/>
        </w:rPr>
        <w:footnoteRef/>
      </w:r>
      <w:r>
        <w:t xml:space="preserve"> </w:t>
      </w:r>
      <w:r>
        <w:tab/>
      </w:r>
      <w:r w:rsidRPr="00124EC1">
        <w:t>Lawrence J, Mackey B, Chiew F, Costello MJ, Hennessy K, Lansbury N, Nidumolu UB, Pecl G, Rickards L, Tapper N, Woodward A, Wreford A. 2022</w:t>
      </w:r>
      <w:r>
        <w:t>.</w:t>
      </w:r>
      <w:r w:rsidRPr="00124EC1">
        <w:t xml:space="preserve"> </w:t>
      </w:r>
      <w:hyperlink r:id="rId164" w:history="1">
        <w:r w:rsidRPr="00124EC1">
          <w:rPr>
            <w:rStyle w:val="Hyperlink"/>
          </w:rPr>
          <w:t>Australasia</w:t>
        </w:r>
      </w:hyperlink>
      <w:r w:rsidRPr="00124EC1">
        <w:t>. In: Intergovernmental Panel on Climate Change. </w:t>
      </w:r>
      <w:r w:rsidRPr="00124EC1">
        <w:rPr>
          <w:i/>
          <w:iCs/>
        </w:rPr>
        <w:t>Climate Change 2022: Impacts, adaptation and vulnerability</w:t>
      </w:r>
      <w:r w:rsidRPr="00124EC1">
        <w:t>. </w:t>
      </w:r>
      <w:r>
        <w:t>See sections 11.3.2 and 11.3.5.</w:t>
      </w:r>
    </w:p>
  </w:footnote>
  <w:footnote w:id="228">
    <w:p w14:paraId="773D0197" w14:textId="5130D929" w:rsidR="00697651" w:rsidRPr="003C61FF" w:rsidRDefault="00697651" w:rsidP="00697651">
      <w:pPr>
        <w:pStyle w:val="FootnoteText"/>
        <w:rPr>
          <w:i/>
        </w:rPr>
      </w:pPr>
      <w:r w:rsidRPr="75585833">
        <w:rPr>
          <w:rStyle w:val="FootnoteReference"/>
        </w:rPr>
        <w:footnoteRef/>
      </w:r>
      <w:r>
        <w:t xml:space="preserve"> </w:t>
      </w:r>
      <w:r>
        <w:tab/>
      </w:r>
      <w:r w:rsidRPr="5DF74BA7">
        <w:rPr>
          <w:rFonts w:eastAsia="Calibri" w:cs="Calibri"/>
          <w:color w:val="000000" w:themeColor="text1"/>
        </w:rPr>
        <w:t xml:space="preserve">Ministry for the Environment. 2022. </w:t>
      </w:r>
      <w:hyperlink r:id="rId165" w:history="1">
        <w:r w:rsidRPr="5DF74BA7">
          <w:rPr>
            <w:rStyle w:val="Hyperlink"/>
            <w:rFonts w:eastAsia="Calibri" w:cs="Calibri"/>
            <w:i/>
            <w:iCs/>
          </w:rPr>
          <w:t>Interim guidance on the use of new sea-level rise projections</w:t>
        </w:r>
      </w:hyperlink>
      <w:r w:rsidRPr="5DF74BA7">
        <w:rPr>
          <w:rFonts w:eastAsia="Calibri" w:cs="Calibri"/>
          <w:color w:val="000000" w:themeColor="text1"/>
        </w:rPr>
        <w:t>. Wellington: Ministry for the Environment.</w:t>
      </w:r>
      <w:r w:rsidRPr="75585833">
        <w:t xml:space="preserve"> See table 1 on p</w:t>
      </w:r>
      <w:r>
        <w:t xml:space="preserve">age </w:t>
      </w:r>
      <w:r w:rsidRPr="75585833">
        <w:t>15 of the Interim guidance.</w:t>
      </w:r>
      <w:r w:rsidR="009211B9">
        <w:t xml:space="preserve"> </w:t>
      </w:r>
      <w:r w:rsidR="0094134D">
        <w:t>Note that updated guidance is available</w:t>
      </w:r>
      <w:r w:rsidR="00973497">
        <w:t xml:space="preserve">: </w:t>
      </w:r>
      <w:hyperlink r:id="rId166" w:history="1">
        <w:r w:rsidR="00CF39AE" w:rsidRPr="00596C9D">
          <w:rPr>
            <w:rStyle w:val="Hyperlink"/>
            <w:i/>
            <w:iCs/>
          </w:rPr>
          <w:t>Coastal hazards and climate change guidance</w:t>
        </w:r>
      </w:hyperlink>
      <w:r w:rsidR="00596C9D">
        <w:rPr>
          <w:i/>
          <w:iCs/>
        </w:rPr>
        <w:t>.</w:t>
      </w:r>
    </w:p>
  </w:footnote>
  <w:footnote w:id="229">
    <w:p w14:paraId="7A72E793" w14:textId="77777777" w:rsidR="00697651" w:rsidRDefault="00697651" w:rsidP="00697651">
      <w:pPr>
        <w:pStyle w:val="FootnoteText"/>
      </w:pPr>
      <w:r w:rsidRPr="75585833">
        <w:rPr>
          <w:rStyle w:val="FootnoteReference"/>
        </w:rPr>
        <w:footnoteRef/>
      </w:r>
      <w:r>
        <w:t xml:space="preserve"> </w:t>
      </w:r>
      <w:r>
        <w:tab/>
      </w:r>
      <w:r w:rsidRPr="00BC2338">
        <w:fldChar w:fldCharType="begin"/>
      </w:r>
      <w:r w:rsidRPr="00BC2338">
        <w:instrText>￼￼￼</w:instrText>
      </w:r>
      <w:r w:rsidRPr="00BC2338">
        <w:rPr>
          <w:rStyle w:val="Hyperlink"/>
          <w:rFonts w:eastAsia="Calibri" w:cs="Calibri"/>
          <w:szCs w:val="19"/>
        </w:rPr>
        <w:instrText>NZ SeaRise Programme</w:instrText>
      </w:r>
      <w:r w:rsidRPr="00BC2338">
        <w:fldChar w:fldCharType="end"/>
      </w:r>
      <w:r>
        <w:rPr>
          <w:rFonts w:eastAsia="Calibri" w:cs="Calibri"/>
          <w:color w:val="000000" w:themeColor="text1"/>
          <w:szCs w:val="19"/>
        </w:rPr>
        <w:t>F</w:t>
      </w:r>
      <w:r w:rsidRPr="00BC2338">
        <w:rPr>
          <w:rFonts w:eastAsia="Calibri" w:cs="Calibri"/>
          <w:color w:val="000000" w:themeColor="text1"/>
          <w:szCs w:val="19"/>
        </w:rPr>
        <w:t xml:space="preserve">or </w:t>
      </w:r>
      <w:r>
        <w:t xml:space="preserve">more </w:t>
      </w:r>
      <w:r w:rsidRPr="00BC2338">
        <w:t>information</w:t>
      </w:r>
      <w:r>
        <w:t xml:space="preserve">, see NZ SeaRise. </w:t>
      </w:r>
      <w:hyperlink r:id="rId167" w:history="1">
        <w:r w:rsidRPr="001F6C46">
          <w:rPr>
            <w:rStyle w:val="Hyperlink"/>
          </w:rPr>
          <w:t>Predicting sea-level rise for Aotearoa New Zealand</w:t>
        </w:r>
      </w:hyperlink>
      <w:r w:rsidRPr="00BC2338">
        <w:t>.</w:t>
      </w:r>
      <w:r>
        <w:t xml:space="preserve"> Retrieved 15 October 2024.</w:t>
      </w:r>
    </w:p>
  </w:footnote>
  <w:footnote w:id="230">
    <w:p w14:paraId="252AFDFF" w14:textId="77777777" w:rsidR="00697651" w:rsidRDefault="00697651" w:rsidP="00697651">
      <w:pPr>
        <w:pStyle w:val="FootnoteText"/>
        <w:spacing w:after="50"/>
      </w:pPr>
      <w:r w:rsidRPr="6BCF0FCF">
        <w:rPr>
          <w:rStyle w:val="FootnoteReference"/>
        </w:rPr>
        <w:footnoteRef/>
      </w:r>
      <w:r>
        <w:t xml:space="preserve"> </w:t>
      </w:r>
      <w:r>
        <w:tab/>
      </w:r>
      <w:r w:rsidRPr="6BCF0FCF">
        <w:rPr>
          <w:rFonts w:eastAsia="Calibri" w:cs="Calibri"/>
          <w:color w:val="000000" w:themeColor="text1"/>
          <w:szCs w:val="19"/>
        </w:rPr>
        <w:t>Ministry</w:t>
      </w:r>
      <w:r w:rsidRPr="6BCF0FCF">
        <w:t xml:space="preserve"> for the Environment. 2024. </w:t>
      </w:r>
      <w:hyperlink r:id="rId168" w:history="1">
        <w:r w:rsidRPr="6BCF0FCF">
          <w:rPr>
            <w:rStyle w:val="Hyperlink"/>
            <w:rFonts w:eastAsia="Calibri" w:cs="Calibri"/>
            <w:i/>
            <w:iCs/>
            <w:szCs w:val="19"/>
          </w:rPr>
          <w:t>Ngā Pūmate Takutai me te Ārahitanga Huringa Āhuarangi</w:t>
        </w:r>
        <w:r>
          <w:rPr>
            <w:rStyle w:val="Hyperlink"/>
            <w:rFonts w:eastAsia="Calibri" w:cs="Calibri"/>
            <w:i/>
            <w:iCs/>
            <w:szCs w:val="19"/>
          </w:rPr>
          <w:t>:</w:t>
        </w:r>
        <w:r w:rsidRPr="6BCF0FCF">
          <w:rPr>
            <w:rStyle w:val="Hyperlink"/>
            <w:rFonts w:eastAsia="Calibri" w:cs="Calibri"/>
            <w:i/>
            <w:iCs/>
            <w:szCs w:val="19"/>
          </w:rPr>
          <w:t xml:space="preserve"> Coastal Hazards and Climate Change Guidance</w:t>
        </w:r>
      </w:hyperlink>
      <w:r w:rsidRPr="6BCF0FCF">
        <w:rPr>
          <w:rFonts w:eastAsia="Calibri" w:cs="Calibri"/>
          <w:i/>
          <w:iCs/>
          <w:color w:val="000000" w:themeColor="text1"/>
          <w:szCs w:val="19"/>
        </w:rPr>
        <w:t>.</w:t>
      </w:r>
      <w:r w:rsidRPr="6BCF0FCF">
        <w:rPr>
          <w:rFonts w:eastAsia="Calibri" w:cs="Calibri"/>
          <w:color w:val="000000" w:themeColor="text1"/>
          <w:szCs w:val="19"/>
        </w:rPr>
        <w:t xml:space="preserve"> Wellington: Ministry for the Environment.</w:t>
      </w:r>
      <w:r>
        <w:rPr>
          <w:rFonts w:eastAsia="Calibri" w:cs="Calibri"/>
          <w:color w:val="000000" w:themeColor="text1"/>
          <w:szCs w:val="19"/>
        </w:rPr>
        <w:t xml:space="preserve"> </w:t>
      </w:r>
    </w:p>
  </w:footnote>
  <w:footnote w:id="231">
    <w:p w14:paraId="7D5EE265" w14:textId="77777777" w:rsidR="00697651" w:rsidRPr="00EB20A4" w:rsidRDefault="00697651" w:rsidP="00697651">
      <w:pPr>
        <w:pStyle w:val="FootnoteText"/>
        <w:spacing w:after="50"/>
        <w:rPr>
          <w:lang w:val="en-US"/>
        </w:rPr>
      </w:pPr>
      <w:r w:rsidDel="009478A1">
        <w:rPr>
          <w:rStyle w:val="FootnoteReference"/>
        </w:rPr>
        <w:footnoteRef/>
      </w:r>
      <w:r>
        <w:tab/>
      </w:r>
      <w:r w:rsidRPr="00124EC1" w:rsidDel="009478A1">
        <w:t xml:space="preserve">Lawrence </w:t>
      </w:r>
      <w:r>
        <w:t>et al</w:t>
      </w:r>
      <w:r w:rsidRPr="00124EC1" w:rsidDel="009478A1">
        <w:t>. 2022</w:t>
      </w:r>
      <w:r>
        <w:t>.</w:t>
      </w:r>
      <w:r w:rsidRPr="00124EC1" w:rsidDel="009478A1">
        <w:t xml:space="preserve"> </w:t>
      </w:r>
      <w:hyperlink r:id="rId169" w:history="1">
        <w:r w:rsidRPr="00124EC1" w:rsidDel="009478A1">
          <w:rPr>
            <w:rStyle w:val="Hyperlink"/>
          </w:rPr>
          <w:t>Australasia</w:t>
        </w:r>
      </w:hyperlink>
      <w:r w:rsidRPr="00124EC1" w:rsidDel="009478A1">
        <w:t xml:space="preserve">. </w:t>
      </w:r>
    </w:p>
  </w:footnote>
  <w:footnote w:id="232">
    <w:p w14:paraId="3C2036D3" w14:textId="77777777" w:rsidR="00697651" w:rsidRPr="009F14CF" w:rsidRDefault="00697651" w:rsidP="00697651">
      <w:pPr>
        <w:pStyle w:val="FootnoteText"/>
        <w:spacing w:after="50"/>
        <w:rPr>
          <w:rFonts w:eastAsia="Calibri" w:cs="Calibri"/>
          <w:color w:val="000000" w:themeColor="text1"/>
          <w:szCs w:val="19"/>
        </w:rPr>
      </w:pPr>
      <w:r>
        <w:rPr>
          <w:rStyle w:val="FootnoteReference"/>
        </w:rPr>
        <w:footnoteRef/>
      </w:r>
      <w:r>
        <w:rPr>
          <w:rFonts w:eastAsia="Calibri" w:cs="Calibri"/>
          <w:color w:val="000000" w:themeColor="text1"/>
          <w:szCs w:val="19"/>
        </w:rPr>
        <w:tab/>
      </w:r>
      <w:r w:rsidRPr="6BCF0FCF">
        <w:rPr>
          <w:rFonts w:eastAsia="Calibri" w:cs="Calibri"/>
          <w:color w:val="000000" w:themeColor="text1"/>
          <w:szCs w:val="19"/>
        </w:rPr>
        <w:t xml:space="preserve">Te Puni </w:t>
      </w:r>
      <w:r w:rsidRPr="00DD54E8">
        <w:t xml:space="preserve">Kōkiri. 2023. </w:t>
      </w:r>
      <w:hyperlink r:id="rId170" w:history="1">
        <w:r w:rsidRPr="00A71146">
          <w:rPr>
            <w:rStyle w:val="Hyperlink"/>
            <w:rFonts w:eastAsia="Calibri" w:cs="Calibri"/>
            <w:i/>
            <w:iCs/>
            <w:szCs w:val="19"/>
          </w:rPr>
          <w:t>Understanding Climate Hazards for Hapori Māori</w:t>
        </w:r>
        <w:r>
          <w:rPr>
            <w:rStyle w:val="Hyperlink"/>
            <w:rFonts w:eastAsia="Calibri" w:cs="Calibri"/>
            <w:i/>
            <w:iCs/>
            <w:szCs w:val="19"/>
          </w:rPr>
          <w:t>:</w:t>
        </w:r>
        <w:r w:rsidRPr="00A71146">
          <w:rPr>
            <w:rStyle w:val="Hyperlink"/>
            <w:rFonts w:eastAsia="Calibri" w:cs="Calibri"/>
            <w:i/>
            <w:iCs/>
            <w:szCs w:val="19"/>
          </w:rPr>
          <w:t xml:space="preserve"> Insights for Policy Makers</w:t>
        </w:r>
        <w:r w:rsidRPr="00A71146">
          <w:rPr>
            <w:rStyle w:val="Hyperlink"/>
            <w:rFonts w:eastAsia="Calibri" w:cs="Calibri"/>
            <w:szCs w:val="19"/>
          </w:rPr>
          <w:t>.</w:t>
        </w:r>
      </w:hyperlink>
      <w:r>
        <w:t xml:space="preserve"> Retrieved 15 October 2024.</w:t>
      </w:r>
    </w:p>
  </w:footnote>
  <w:footnote w:id="233">
    <w:p w14:paraId="3AE4197D" w14:textId="77777777" w:rsidR="00697651" w:rsidRDefault="00697651" w:rsidP="00697651">
      <w:pPr>
        <w:pStyle w:val="FootnoteText"/>
        <w:spacing w:after="50"/>
      </w:pPr>
      <w:r w:rsidRPr="6BCF0FCF">
        <w:rPr>
          <w:rStyle w:val="FootnoteReference"/>
        </w:rPr>
        <w:footnoteRef/>
      </w:r>
      <w:r>
        <w:t xml:space="preserve"> </w:t>
      </w:r>
      <w:r>
        <w:tab/>
      </w:r>
      <w:r w:rsidRPr="009F14CF">
        <w:t xml:space="preserve">Deep South Challenge. 2020. </w:t>
      </w:r>
      <w:hyperlink r:id="rId171" w:history="1">
        <w:r w:rsidRPr="00DD54E8">
          <w:rPr>
            <w:rStyle w:val="Hyperlink"/>
            <w:i/>
            <w:iCs/>
          </w:rPr>
          <w:t>Insurance Retreat: Sea Level Rise and the Withdrawal of Residential Insurance in Aotearoa New Zealand</w:t>
        </w:r>
        <w:r w:rsidRPr="00D5163F">
          <w:rPr>
            <w:rStyle w:val="Hyperlink"/>
            <w:i/>
          </w:rPr>
          <w:t>.</w:t>
        </w:r>
        <w:r w:rsidRPr="009F14CF">
          <w:t xml:space="preserve"> Report for the Deep South National Science Challenge.</w:t>
        </w:r>
      </w:hyperlink>
    </w:p>
  </w:footnote>
  <w:footnote w:id="234">
    <w:p w14:paraId="5BB2AC45" w14:textId="77777777" w:rsidR="00697651" w:rsidRDefault="00697651" w:rsidP="00697651">
      <w:pPr>
        <w:pStyle w:val="FootnoteText"/>
        <w:spacing w:after="50"/>
      </w:pPr>
      <w:r>
        <w:rPr>
          <w:rStyle w:val="FootnoteReference"/>
        </w:rPr>
        <w:footnoteRef/>
      </w:r>
      <w:r>
        <w:t xml:space="preserve"> </w:t>
      </w:r>
      <w:r>
        <w:tab/>
        <w:t xml:space="preserve">Paulik R, Zorn C, Wotherspoon L, Sturman J. 2023. </w:t>
      </w:r>
      <w:r w:rsidRPr="00DD54E8">
        <w:t>Modelling national residential building exposure to</w:t>
      </w:r>
      <w:r>
        <w:t> </w:t>
      </w:r>
      <w:r w:rsidRPr="00DD54E8">
        <w:t>flooding hazards.</w:t>
      </w:r>
      <w:r w:rsidRPr="00891725">
        <w:rPr>
          <w:i/>
          <w:iCs/>
        </w:rPr>
        <w:t xml:space="preserve"> </w:t>
      </w:r>
      <w:r w:rsidRPr="00DD54E8">
        <w:rPr>
          <w:i/>
          <w:iCs/>
        </w:rPr>
        <w:t>International Journal of Disaster Risk Reduction</w:t>
      </w:r>
      <w:r>
        <w:t xml:space="preserve"> 94: 103826. </w:t>
      </w:r>
      <w:hyperlink r:id="rId172" w:history="1">
        <w:r w:rsidRPr="00693C9E">
          <w:rPr>
            <w:rStyle w:val="Hyperlink"/>
          </w:rPr>
          <w:t>doi.org/10.1016/j.ijdrr.2023.103826</w:t>
        </w:r>
      </w:hyperlink>
      <w:r>
        <w:t xml:space="preserve"> </w:t>
      </w:r>
    </w:p>
  </w:footnote>
  <w:footnote w:id="235">
    <w:p w14:paraId="7087C76D" w14:textId="4BCD2279" w:rsidR="00697651" w:rsidRDefault="00697651" w:rsidP="00697651">
      <w:pPr>
        <w:pStyle w:val="FootnoteText"/>
      </w:pPr>
      <w:r>
        <w:rPr>
          <w:rStyle w:val="FootnoteReference"/>
        </w:rPr>
        <w:footnoteRef/>
      </w:r>
      <w:r>
        <w:t xml:space="preserve"> </w:t>
      </w:r>
      <w:r>
        <w:tab/>
      </w:r>
      <w:r w:rsidRPr="5332B86B">
        <w:t xml:space="preserve">Ministry for the Environment </w:t>
      </w:r>
      <w:r w:rsidR="00A73A67">
        <w:t>and</w:t>
      </w:r>
      <w:r w:rsidR="00A73A67" w:rsidRPr="5332B86B">
        <w:t xml:space="preserve"> </w:t>
      </w:r>
      <w:r w:rsidRPr="5332B86B">
        <w:t>Stats NZ</w:t>
      </w:r>
      <w:r>
        <w:t>. 2023</w:t>
      </w:r>
      <w:r w:rsidRPr="5332B86B">
        <w:t xml:space="preserve">. </w:t>
      </w:r>
      <w:hyperlink r:id="rId173" w:history="1">
        <w:r w:rsidRPr="00525686">
          <w:rPr>
            <w:rStyle w:val="Hyperlink"/>
            <w:i/>
            <w:iCs/>
          </w:rPr>
          <w:t>Our atmosphere and climate 2023</w:t>
        </w:r>
      </w:hyperlink>
      <w:r w:rsidRPr="5332B86B">
        <w:t>.</w:t>
      </w:r>
      <w:r>
        <w:fldChar w:fldCharType="begin"/>
      </w:r>
      <w:r w:rsidRPr="5332B86B">
        <w:instrText>￼￼￼</w:instrText>
      </w:r>
      <w:r w:rsidRPr="7EC9E417">
        <w:rPr>
          <w:rStyle w:val="Hyperlink"/>
        </w:rPr>
        <w:instrText>https://environment.govt.nz/assets/publications/Environmental-Reporting/Our-atmosphere-and-climate-2023.pdf</w:instrText>
      </w:r>
      <w:r>
        <w:fldChar w:fldCharType="end"/>
      </w:r>
    </w:p>
  </w:footnote>
  <w:footnote w:id="236">
    <w:p w14:paraId="23FAA42C" w14:textId="77777777" w:rsidR="00697651" w:rsidRPr="00497B59" w:rsidRDefault="00697651" w:rsidP="00697651">
      <w:pPr>
        <w:pStyle w:val="FootnoteText"/>
        <w:rPr>
          <w:rFonts w:cs="Calibri"/>
          <w:color w:val="000000"/>
          <w:szCs w:val="19"/>
          <w:shd w:val="clear" w:color="auto" w:fill="FFFFFF"/>
        </w:rPr>
      </w:pPr>
      <w:r>
        <w:rPr>
          <w:rStyle w:val="FootnoteReference"/>
        </w:rPr>
        <w:footnoteRef/>
      </w:r>
      <w:r>
        <w:t xml:space="preserve"> </w:t>
      </w:r>
      <w:r>
        <w:tab/>
        <w:t xml:space="preserve">Purdie J. 2022. </w:t>
      </w:r>
      <w:hyperlink r:id="rId174" w:history="1">
        <w:r w:rsidRPr="00497B59">
          <w:rPr>
            <w:rStyle w:val="Hyperlink"/>
            <w:i/>
            <w:iCs/>
          </w:rPr>
          <w:t>Climate Change Impacts on New Zealand Hydro Catchment Inflows &amp; Wind Speeds</w:t>
        </w:r>
      </w:hyperlink>
      <w:r>
        <w:t>. Prepared for the Ministry of Business, Innovation and Employment by ClimateWorks Ltd. Wellington: Ministry of Business, Innovation and Employment.</w:t>
      </w:r>
    </w:p>
  </w:footnote>
  <w:footnote w:id="237">
    <w:p w14:paraId="61790453" w14:textId="77777777" w:rsidR="00697651" w:rsidRDefault="00697651" w:rsidP="00697651">
      <w:pPr>
        <w:pStyle w:val="FootnoteText"/>
      </w:pPr>
      <w:r>
        <w:rPr>
          <w:rStyle w:val="FootnoteReference"/>
        </w:rPr>
        <w:footnoteRef/>
      </w:r>
      <w:r>
        <w:t xml:space="preserve"> </w:t>
      </w:r>
      <w:r>
        <w:tab/>
      </w:r>
      <w:r w:rsidRPr="00A84DFA">
        <w:t xml:space="preserve">Ministry of Business, Innovation </w:t>
      </w:r>
      <w:r>
        <w:t>and</w:t>
      </w:r>
      <w:r w:rsidRPr="00A84DFA">
        <w:t xml:space="preserve"> Employment</w:t>
      </w:r>
      <w:r>
        <w:t xml:space="preserve">. 2024. </w:t>
      </w:r>
      <w:hyperlink r:id="rId175" w:history="1">
        <w:r w:rsidRPr="000D182C">
          <w:rPr>
            <w:rStyle w:val="Hyperlink"/>
            <w:i/>
            <w:iCs/>
          </w:rPr>
          <w:t>Electricity Demand and Generation Scenarios: Results summary</w:t>
        </w:r>
      </w:hyperlink>
      <w:r>
        <w:t>. Wellington: Ministry of Business, Innovation and Employment.</w:t>
      </w:r>
    </w:p>
  </w:footnote>
  <w:footnote w:id="238">
    <w:p w14:paraId="7AA7C3E8" w14:textId="77777777" w:rsidR="00697651" w:rsidRDefault="00697651" w:rsidP="00697651">
      <w:pPr>
        <w:pStyle w:val="FootnoteText"/>
      </w:pPr>
      <w:r>
        <w:rPr>
          <w:rStyle w:val="FootnoteReference"/>
        </w:rPr>
        <w:footnoteRef/>
      </w:r>
      <w:r>
        <w:t xml:space="preserve"> </w:t>
      </w:r>
      <w:r>
        <w:tab/>
      </w:r>
      <w:r w:rsidRPr="00DA1EDE">
        <w:t xml:space="preserve">Business Continuity Institute. 2019. </w:t>
      </w:r>
      <w:hyperlink r:id="rId176" w:history="1">
        <w:r w:rsidRPr="00525686">
          <w:rPr>
            <w:rStyle w:val="Hyperlink"/>
            <w:i/>
            <w:iCs/>
          </w:rPr>
          <w:t>BCI Supply Chain Resilience Report 2018</w:t>
        </w:r>
      </w:hyperlink>
      <w:r w:rsidRPr="00DA1EDE">
        <w:t>.</w:t>
      </w:r>
      <w:r>
        <w:t xml:space="preserve"> Caversham:</w:t>
      </w:r>
      <w:r w:rsidRPr="007A6DB8">
        <w:t xml:space="preserve"> </w:t>
      </w:r>
      <w:r>
        <w:t>B</w:t>
      </w:r>
      <w:r w:rsidRPr="00DA1EDE">
        <w:t>usiness Continuity Institute.</w:t>
      </w:r>
    </w:p>
  </w:footnote>
  <w:footnote w:id="239">
    <w:p w14:paraId="1113A0BB" w14:textId="77777777" w:rsidR="00697651" w:rsidRDefault="00697651" w:rsidP="00697651">
      <w:pPr>
        <w:pStyle w:val="FootnoteText"/>
      </w:pPr>
      <w:r>
        <w:rPr>
          <w:rStyle w:val="FootnoteReference"/>
        </w:rPr>
        <w:footnoteRef/>
      </w:r>
      <w:r>
        <w:t xml:space="preserve"> </w:t>
      </w:r>
      <w:r>
        <w:tab/>
        <w:t xml:space="preserve">Treasury. 2023. </w:t>
      </w:r>
      <w:hyperlink r:id="rId177" w:history="1">
        <w:r w:rsidRPr="00BB2AA7">
          <w:rPr>
            <w:rStyle w:val="Hyperlink"/>
            <w:i/>
            <w:iCs/>
          </w:rPr>
          <w:t xml:space="preserve">Impacts from </w:t>
        </w:r>
        <w:r>
          <w:rPr>
            <w:rStyle w:val="Hyperlink"/>
            <w:i/>
            <w:iCs/>
          </w:rPr>
          <w:t xml:space="preserve">the </w:t>
        </w:r>
        <w:r w:rsidRPr="00BB2AA7">
          <w:rPr>
            <w:rStyle w:val="Hyperlink"/>
            <w:i/>
            <w:iCs/>
          </w:rPr>
          <w:t>North Island Weather Events</w:t>
        </w:r>
      </w:hyperlink>
      <w:r>
        <w:t>. Retrieved 15 October 2024.</w:t>
      </w:r>
    </w:p>
  </w:footnote>
  <w:footnote w:id="240">
    <w:p w14:paraId="3909ECBE" w14:textId="77777777" w:rsidR="00697651" w:rsidRDefault="00697651" w:rsidP="00697651">
      <w:pPr>
        <w:pStyle w:val="FootnoteText"/>
      </w:pPr>
      <w:r>
        <w:rPr>
          <w:rStyle w:val="FootnoteReference"/>
        </w:rPr>
        <w:footnoteRef/>
      </w:r>
      <w:r>
        <w:t xml:space="preserve"> </w:t>
      </w:r>
      <w:r>
        <w:tab/>
        <w:t>Adams-Kane J, Nicholls K, West T</w:t>
      </w:r>
      <w:r w:rsidRPr="00536950">
        <w:t xml:space="preserve">. 2024. </w:t>
      </w:r>
      <w:hyperlink r:id="rId178" w:history="1">
        <w:r w:rsidRPr="009544AA">
          <w:rPr>
            <w:rStyle w:val="Hyperlink"/>
          </w:rPr>
          <w:t>Climate Stress Test results</w:t>
        </w:r>
      </w:hyperlink>
      <w:r>
        <w:t>.</w:t>
      </w:r>
      <w:r w:rsidRPr="00DD54E8">
        <w:t xml:space="preserve"> </w:t>
      </w:r>
      <w:r w:rsidRPr="00DD54E8">
        <w:rPr>
          <w:i/>
          <w:iCs/>
        </w:rPr>
        <w:t>Reserve Bank of New Zealand</w:t>
      </w:r>
      <w:r w:rsidRPr="00DD54E8">
        <w:t xml:space="preserve"> Bulletin</w:t>
      </w:r>
      <w:r>
        <w:rPr>
          <w:i/>
          <w:iCs/>
        </w:rPr>
        <w:t xml:space="preserve"> </w:t>
      </w:r>
      <w:r>
        <w:t>87(5)</w:t>
      </w:r>
      <w:r w:rsidRPr="00536950">
        <w:t>.</w:t>
      </w:r>
      <w:r>
        <w:t xml:space="preserve"> </w:t>
      </w:r>
    </w:p>
  </w:footnote>
  <w:footnote w:id="241">
    <w:p w14:paraId="4CCC0173" w14:textId="77777777" w:rsidR="00697651" w:rsidRDefault="00697651" w:rsidP="00697651">
      <w:pPr>
        <w:pStyle w:val="FootnoteText"/>
      </w:pPr>
      <w:r>
        <w:rPr>
          <w:rStyle w:val="FootnoteReference"/>
        </w:rPr>
        <w:footnoteRef/>
      </w:r>
      <w:r>
        <w:t xml:space="preserve"> </w:t>
      </w:r>
      <w:r>
        <w:tab/>
        <w:t xml:space="preserve">Ministry for the Environment. 2020. </w:t>
      </w:r>
      <w:hyperlink r:id="rId179" w:history="1">
        <w:r w:rsidRPr="00525686">
          <w:rPr>
            <w:rStyle w:val="Hyperlink"/>
            <w:i/>
            <w:iCs/>
          </w:rPr>
          <w:t xml:space="preserve">National Climate Change Risk Assessment for Aotearoa New Zealand: Main report– Arotakenga Tūraru mō te Huringa Āhuarangi o </w:t>
        </w:r>
        <w:r>
          <w:rPr>
            <w:rStyle w:val="Hyperlink"/>
            <w:i/>
            <w:iCs/>
          </w:rPr>
          <w:t>A</w:t>
        </w:r>
        <w:r w:rsidRPr="00525686">
          <w:rPr>
            <w:rStyle w:val="Hyperlink"/>
            <w:i/>
            <w:iCs/>
          </w:rPr>
          <w:t>otearoa: Pūrongo whakatōpū</w:t>
        </w:r>
      </w:hyperlink>
      <w:r>
        <w:t>. Wellington: Ministry for the Environment.</w:t>
      </w:r>
    </w:p>
  </w:footnote>
  <w:footnote w:id="242">
    <w:p w14:paraId="49607D1B" w14:textId="77777777" w:rsidR="00697651" w:rsidRDefault="00697651" w:rsidP="00697651">
      <w:pPr>
        <w:pStyle w:val="FootnoteText"/>
      </w:pPr>
      <w:r>
        <w:rPr>
          <w:rStyle w:val="FootnoteReference"/>
        </w:rPr>
        <w:footnoteRef/>
      </w:r>
      <w:r>
        <w:t xml:space="preserve"> </w:t>
      </w:r>
      <w:r>
        <w:tab/>
        <w:t xml:space="preserve">Ministry for the Environment. 2019. </w:t>
      </w:r>
      <w:hyperlink r:id="rId180" w:history="1">
        <w:r>
          <w:rPr>
            <w:rStyle w:val="Hyperlink"/>
            <w:i/>
            <w:iCs/>
          </w:rPr>
          <w:t>Arotakenga Huringa Āhuarangi: A Framework for the National Climate Change Risk Assessment for Aotearoa New Zealand</w:t>
        </w:r>
      </w:hyperlink>
      <w:r>
        <w:t>. Wellington: Ministry for the Environment.</w:t>
      </w:r>
    </w:p>
  </w:footnote>
  <w:footnote w:id="243">
    <w:p w14:paraId="15AC56F8" w14:textId="77777777" w:rsidR="00697651" w:rsidRPr="002636A9" w:rsidRDefault="00697651" w:rsidP="00697651">
      <w:pPr>
        <w:pStyle w:val="FootnoteText"/>
        <w:rPr>
          <w:spacing w:val="-2"/>
        </w:rPr>
      </w:pPr>
      <w:r>
        <w:rPr>
          <w:rStyle w:val="FootnoteReference"/>
        </w:rPr>
        <w:footnoteRef/>
      </w:r>
      <w:r>
        <w:t xml:space="preserve"> </w:t>
      </w:r>
      <w:r>
        <w:tab/>
      </w:r>
      <w:r w:rsidRPr="002636A9">
        <w:rPr>
          <w:spacing w:val="-2"/>
        </w:rPr>
        <w:t xml:space="preserve">Ministry for the Environment. 2020. </w:t>
      </w:r>
      <w:hyperlink r:id="rId181" w:history="1">
        <w:r w:rsidRPr="002636A9">
          <w:rPr>
            <w:rStyle w:val="Hyperlink"/>
            <w:i/>
            <w:iCs/>
            <w:spacing w:val="-2"/>
          </w:rPr>
          <w:t>National Climate Change Risk Assessment for Aotearoa New Zealand: Main report</w:t>
        </w:r>
      </w:hyperlink>
      <w:r w:rsidRPr="002636A9">
        <w:rPr>
          <w:spacing w:val="-2"/>
        </w:rPr>
        <w:t>.</w:t>
      </w:r>
    </w:p>
  </w:footnote>
  <w:footnote w:id="244">
    <w:p w14:paraId="0F9119A0" w14:textId="77777777" w:rsidR="00697651" w:rsidRPr="00C45ED6" w:rsidRDefault="00697651" w:rsidP="00697651">
      <w:pPr>
        <w:pStyle w:val="FootnoteText"/>
      </w:pPr>
      <w:r w:rsidRPr="00C45ED6">
        <w:rPr>
          <w:rStyle w:val="FootnoteReference"/>
        </w:rPr>
        <w:footnoteRef/>
      </w:r>
      <w:r w:rsidRPr="00C45ED6">
        <w:t xml:space="preserve"> </w:t>
      </w:r>
      <w:r w:rsidRPr="00C45ED6">
        <w:tab/>
        <w:t>Urgency ratings were based on exposure, adaptive capacity and sensitivity.</w:t>
      </w:r>
    </w:p>
  </w:footnote>
  <w:footnote w:id="245">
    <w:p w14:paraId="4C90C513" w14:textId="77777777" w:rsidR="00697651" w:rsidRPr="00C45ED6" w:rsidRDefault="00697651" w:rsidP="00697651">
      <w:pPr>
        <w:pStyle w:val="FootnoteText"/>
      </w:pPr>
      <w:r w:rsidRPr="00C45ED6">
        <w:rPr>
          <w:rStyle w:val="FootnoteReference"/>
        </w:rPr>
        <w:footnoteRef/>
      </w:r>
      <w:r w:rsidRPr="00C45ED6">
        <w:t xml:space="preserve"> </w:t>
      </w:r>
      <w:r w:rsidRPr="00C45ED6">
        <w:tab/>
        <w:t>Opportunities were not assessed for exposure, vulnerability and consequence, but in terms of decision urgency (in stage 3).</w:t>
      </w:r>
    </w:p>
  </w:footnote>
  <w:footnote w:id="246">
    <w:p w14:paraId="68E53B59" w14:textId="77777777" w:rsidR="00697651" w:rsidRDefault="00697651" w:rsidP="00697651">
      <w:pPr>
        <w:pStyle w:val="FootnoteText"/>
      </w:pPr>
      <w:r w:rsidRPr="00DD54E8">
        <w:rPr>
          <w:rStyle w:val="FootnoteReference"/>
        </w:rPr>
        <w:footnoteRef/>
      </w:r>
      <w:r w:rsidRPr="00DD54E8">
        <w:t xml:space="preserve"> </w:t>
      </w:r>
      <w:r w:rsidRPr="00DD54E8">
        <w:tab/>
        <w:t xml:space="preserve">Risks in the governance domain were </w:t>
      </w:r>
      <w:r>
        <w:t xml:space="preserve">assessed </w:t>
      </w:r>
      <w:r w:rsidRPr="00DD54E8">
        <w:t>in terms of adaptive capacity and their interrelationships with risks in other domains.</w:t>
      </w:r>
    </w:p>
  </w:footnote>
  <w:footnote w:id="247">
    <w:p w14:paraId="3D22B02E" w14:textId="50261B0C" w:rsidR="00697651" w:rsidRDefault="00697651" w:rsidP="00697651">
      <w:pPr>
        <w:pStyle w:val="FootnoteText"/>
      </w:pPr>
      <w:r>
        <w:rPr>
          <w:rStyle w:val="FootnoteReference"/>
        </w:rPr>
        <w:footnoteRef/>
      </w:r>
      <w:r>
        <w:rPr>
          <w:rFonts w:cs="Calibri"/>
        </w:rPr>
        <w:t xml:space="preserve"> </w:t>
      </w:r>
      <w:r>
        <w:rPr>
          <w:rFonts w:cs="Calibri"/>
        </w:rPr>
        <w:tab/>
      </w:r>
      <w:r>
        <w:t xml:space="preserve">Ministry for the Environment. 2020. </w:t>
      </w:r>
      <w:hyperlink r:id="rId182" w:history="1">
        <w:r>
          <w:rPr>
            <w:rStyle w:val="Hyperlink"/>
            <w:i/>
            <w:iCs/>
          </w:rPr>
          <w:t>National Climate Change Risk Assessment for New Zealand –</w:t>
        </w:r>
        <w:r w:rsidR="00A54B13">
          <w:rPr>
            <w:rStyle w:val="Hyperlink"/>
            <w:i/>
            <w:iCs/>
          </w:rPr>
          <w:t> </w:t>
        </w:r>
        <w:r>
          <w:rPr>
            <w:rStyle w:val="Hyperlink"/>
            <w:i/>
            <w:iCs/>
          </w:rPr>
          <w:t>Arotakenga Tūraru mō te Huringa Āhuarangi o Aotearoa: Technical report – Pūrongo whaihanga</w:t>
        </w:r>
      </w:hyperlink>
      <w:r>
        <w:t>. Wellington: Ministry for the Environment.</w:t>
      </w:r>
    </w:p>
  </w:footnote>
  <w:footnote w:id="248">
    <w:p w14:paraId="76CDAF4C" w14:textId="18611B04" w:rsidR="00697651" w:rsidRDefault="00697651" w:rsidP="00697651">
      <w:pPr>
        <w:pStyle w:val="FootnoteText"/>
      </w:pPr>
      <w:r>
        <w:rPr>
          <w:rStyle w:val="FootnoteReference"/>
        </w:rPr>
        <w:footnoteRef/>
      </w:r>
      <w:r>
        <w:t xml:space="preserve"> </w:t>
      </w:r>
      <w:r>
        <w:tab/>
      </w:r>
      <w:r w:rsidRPr="005E2521">
        <w:t xml:space="preserve">Ministry for the Environment. 2020. </w:t>
      </w:r>
      <w:hyperlink r:id="rId183" w:history="1">
        <w:r w:rsidRPr="00DD54E8">
          <w:rPr>
            <w:rStyle w:val="Hyperlink"/>
            <w:i/>
            <w:iCs/>
          </w:rPr>
          <w:t>National Climate Change Risk Assessment for New Zealand –</w:t>
        </w:r>
        <w:r w:rsidR="00A54B13">
          <w:rPr>
            <w:rStyle w:val="Hyperlink"/>
            <w:i/>
            <w:iCs/>
          </w:rPr>
          <w:t> </w:t>
        </w:r>
        <w:r w:rsidRPr="00DD54E8">
          <w:rPr>
            <w:rStyle w:val="Hyperlink"/>
            <w:i/>
            <w:iCs/>
          </w:rPr>
          <w:t>Arotakenga Tūraru mō te Huringa Āhuarangi o Aotearoa: Method report – Pūrongo whakararangi</w:t>
        </w:r>
      </w:hyperlink>
      <w:r w:rsidRPr="005E2521">
        <w:t>. Wellington: Ministry for the Environment</w:t>
      </w:r>
      <w:r w:rsidR="00675AEA">
        <w:t>.</w:t>
      </w:r>
    </w:p>
  </w:footnote>
  <w:footnote w:id="249">
    <w:p w14:paraId="4BCAE79A" w14:textId="77777777" w:rsidR="00697651" w:rsidRDefault="00697651" w:rsidP="00697651">
      <w:pPr>
        <w:pStyle w:val="FootnoteText"/>
      </w:pPr>
      <w:r>
        <w:rPr>
          <w:rStyle w:val="FootnoteReference"/>
        </w:rPr>
        <w:footnoteRef/>
      </w:r>
      <w:r>
        <w:t xml:space="preserve"> </w:t>
      </w:r>
      <w:r>
        <w:tab/>
        <w:t xml:space="preserve">Ministry for the Environment. 2021. </w:t>
      </w:r>
      <w:hyperlink r:id="rId184" w:history="1">
        <w:r>
          <w:rPr>
            <w:rStyle w:val="Hyperlink"/>
            <w:i/>
            <w:iCs/>
          </w:rPr>
          <w:t>He kupu ārahi mō te aromatawai tūraru huringa āhuarangi ā-rohe: A guide to local climate change risk assessments</w:t>
        </w:r>
      </w:hyperlink>
      <w:r>
        <w:t>. Wellington: Ministry for the Environment.</w:t>
      </w:r>
    </w:p>
  </w:footnote>
  <w:footnote w:id="250">
    <w:p w14:paraId="4223D57D" w14:textId="77777777" w:rsidR="00697651" w:rsidRDefault="00697651" w:rsidP="00697651">
      <w:pPr>
        <w:pStyle w:val="FootnoteText"/>
      </w:pPr>
      <w:r>
        <w:rPr>
          <w:rStyle w:val="FootnoteReference"/>
        </w:rPr>
        <w:footnoteRef/>
      </w:r>
      <w:r>
        <w:t xml:space="preserve"> </w:t>
      </w:r>
      <w:r>
        <w:tab/>
        <w:t xml:space="preserve">Ministry for the Environment. 2024. </w:t>
      </w:r>
      <w:hyperlink r:id="rId185" w:history="1">
        <w:r w:rsidRPr="006C5295">
          <w:rPr>
            <w:rStyle w:val="Hyperlink"/>
            <w:i/>
            <w:iCs/>
          </w:rPr>
          <w:t>Coastal hazards and climate change guidance</w:t>
        </w:r>
      </w:hyperlink>
      <w:r>
        <w:t xml:space="preserve">. </w:t>
      </w:r>
    </w:p>
  </w:footnote>
  <w:footnote w:id="251">
    <w:p w14:paraId="73C1EE61" w14:textId="77777777" w:rsidR="00697651" w:rsidRDefault="00697651" w:rsidP="00697651">
      <w:pPr>
        <w:pStyle w:val="FootnoteText"/>
      </w:pPr>
      <w:r>
        <w:rPr>
          <w:rStyle w:val="FootnoteReference"/>
        </w:rPr>
        <w:footnoteRef/>
      </w:r>
      <w:r>
        <w:t xml:space="preserve"> </w:t>
      </w:r>
      <w:r>
        <w:tab/>
        <w:t xml:space="preserve">Aotearoa Circle. 2024. </w:t>
      </w:r>
      <w:hyperlink r:id="rId186" w:history="1">
        <w:r w:rsidRPr="005446FB">
          <w:rPr>
            <w:rStyle w:val="Hyperlink"/>
            <w:i/>
            <w:iCs/>
          </w:rPr>
          <w:t>Reports &amp; Resources</w:t>
        </w:r>
      </w:hyperlink>
      <w:r>
        <w:t>. Retrieved 17 July 2024.</w:t>
      </w:r>
    </w:p>
  </w:footnote>
  <w:footnote w:id="252">
    <w:p w14:paraId="71E2F480" w14:textId="77777777" w:rsidR="00697651" w:rsidRPr="00667BA0" w:rsidRDefault="00697651" w:rsidP="00697651">
      <w:pPr>
        <w:pStyle w:val="FootnoteText"/>
      </w:pPr>
      <w:r>
        <w:rPr>
          <w:rStyle w:val="FootnoteReference"/>
        </w:rPr>
        <w:footnoteRef/>
      </w:r>
      <w:r>
        <w:t xml:space="preserve"> </w:t>
      </w:r>
      <w:r>
        <w:tab/>
      </w:r>
      <w:r w:rsidRPr="00A5260A">
        <w:t xml:space="preserve">Climate Change Commission. 2024. </w:t>
      </w:r>
      <w:hyperlink r:id="rId187" w:history="1">
        <w:r w:rsidRPr="00A5260A">
          <w:rPr>
            <w:rStyle w:val="Hyperlink"/>
            <w:i/>
            <w:iCs/>
          </w:rPr>
          <w:t>Progress Report: National Adaptation Plan (August 2024)</w:t>
        </w:r>
        <w:r>
          <w:rPr>
            <w:rStyle w:val="Hyperlink"/>
            <w:i/>
            <w:iCs/>
          </w:rPr>
          <w:t>:</w:t>
        </w:r>
        <w:r w:rsidRPr="00E776FB">
          <w:rPr>
            <w:rStyle w:val="Hyperlink"/>
            <w:i/>
            <w:iCs/>
          </w:rPr>
          <w:t xml:space="preserve"> Assessing progress on the implementation and effectiveness of the Government’s first national adaptation plan</w:t>
        </w:r>
        <w:r w:rsidRPr="00A5260A">
          <w:rPr>
            <w:rStyle w:val="Hyperlink"/>
            <w:i/>
            <w:iCs/>
          </w:rPr>
          <w:t>.</w:t>
        </w:r>
      </w:hyperlink>
      <w:r>
        <w:t xml:space="preserve"> Wellington: Climate Change Commission.</w:t>
      </w:r>
    </w:p>
  </w:footnote>
  <w:footnote w:id="253">
    <w:p w14:paraId="2ACAB6AE" w14:textId="77777777" w:rsidR="00697651" w:rsidRDefault="00697651" w:rsidP="00697651">
      <w:pPr>
        <w:pStyle w:val="FootnoteText"/>
      </w:pPr>
      <w:r>
        <w:rPr>
          <w:rStyle w:val="FootnoteReference"/>
        </w:rPr>
        <w:footnoteRef/>
      </w:r>
      <w:r>
        <w:t xml:space="preserve"> </w:t>
      </w:r>
      <w:r>
        <w:tab/>
        <w:t>A</w:t>
      </w:r>
      <w:r w:rsidRPr="00D50EC4">
        <w:t xml:space="preserve">t the time of writing this report, </w:t>
      </w:r>
      <w:r>
        <w:t xml:space="preserve">the </w:t>
      </w:r>
      <w:r w:rsidRPr="00D50EC4">
        <w:t xml:space="preserve">Finance and Expenditure Committee </w:t>
      </w:r>
      <w:r>
        <w:t>had recently (1 October 2024)</w:t>
      </w:r>
      <w:r w:rsidRPr="005D7DE3">
        <w:t xml:space="preserve"> </w:t>
      </w:r>
      <w:r w:rsidRPr="00D50EC4">
        <w:t>published</w:t>
      </w:r>
      <w:r>
        <w:t xml:space="preserve"> its final report: </w:t>
      </w:r>
      <w:r w:rsidRPr="00D50EC4">
        <w:t>Finance and Expenditure Committee</w:t>
      </w:r>
      <w:r>
        <w:t xml:space="preserve">. 2024. </w:t>
      </w:r>
      <w:hyperlink r:id="rId188" w:history="1">
        <w:r w:rsidRPr="00DD54E8">
          <w:rPr>
            <w:rStyle w:val="Hyperlink"/>
            <w:i/>
            <w:iCs/>
          </w:rPr>
          <w:t>Inquiry into Climate Adaptation</w:t>
        </w:r>
      </w:hyperlink>
      <w:r>
        <w:t>. Wellington: New Zealand House of Representatives.</w:t>
      </w:r>
    </w:p>
  </w:footnote>
  <w:footnote w:id="254">
    <w:p w14:paraId="3DCF0581" w14:textId="77777777" w:rsidR="00697651" w:rsidRDefault="00697651" w:rsidP="00697651">
      <w:pPr>
        <w:pStyle w:val="FootnoteText"/>
      </w:pPr>
      <w:r>
        <w:rPr>
          <w:rStyle w:val="FootnoteReference"/>
        </w:rPr>
        <w:footnoteRef/>
      </w:r>
      <w:r>
        <w:t xml:space="preserve"> </w:t>
      </w:r>
      <w:r>
        <w:tab/>
      </w:r>
      <w:r w:rsidRPr="769E6C87">
        <w:rPr>
          <w:szCs w:val="19"/>
        </w:rPr>
        <w:t xml:space="preserve">Climate Change Commission. 2024. </w:t>
      </w:r>
      <w:hyperlink r:id="rId189">
        <w:r w:rsidRPr="00DD54E8">
          <w:rPr>
            <w:rStyle w:val="Hyperlink"/>
            <w:i/>
            <w:iCs/>
            <w:szCs w:val="19"/>
          </w:rPr>
          <w:t>Progress Report: National Adaptation Plan</w:t>
        </w:r>
      </w:hyperlink>
      <w:r w:rsidRPr="769E6C87">
        <w:rPr>
          <w:szCs w:val="19"/>
        </w:rPr>
        <w:t>.</w:t>
      </w:r>
    </w:p>
  </w:footnote>
  <w:footnote w:id="255">
    <w:p w14:paraId="4A130CF7" w14:textId="77777777" w:rsidR="00697651" w:rsidRDefault="00697651" w:rsidP="00697651">
      <w:pPr>
        <w:pStyle w:val="FootnoteText"/>
      </w:pPr>
      <w:r>
        <w:rPr>
          <w:rStyle w:val="FootnoteReference"/>
        </w:rPr>
        <w:footnoteRef/>
      </w:r>
      <w:r>
        <w:t xml:space="preserve"> </w:t>
      </w:r>
      <w:r>
        <w:tab/>
      </w:r>
      <w:r w:rsidRPr="00746DA3">
        <w:t>Ministry for the Environment. 2022. </w:t>
      </w:r>
      <w:hyperlink r:id="rId190" w:tgtFrame="_blank" w:history="1">
        <w:r w:rsidRPr="00746DA3">
          <w:rPr>
            <w:rStyle w:val="Hyperlink"/>
            <w:i/>
            <w:iCs/>
          </w:rPr>
          <w:t>Aotearoa New Zealand’s first national adaptation plan</w:t>
        </w:r>
      </w:hyperlink>
      <w:r>
        <w:t>,</w:t>
      </w:r>
      <w:r w:rsidRPr="00746DA3">
        <w:t xml:space="preserve"> </w:t>
      </w:r>
      <w:r>
        <w:t>p 176.</w:t>
      </w:r>
    </w:p>
  </w:footnote>
  <w:footnote w:id="256">
    <w:p w14:paraId="57E5372C" w14:textId="77777777" w:rsidR="00697651" w:rsidRPr="008969AD" w:rsidRDefault="00697651" w:rsidP="00697651">
      <w:pPr>
        <w:pStyle w:val="FootnoteText"/>
        <w:rPr>
          <w:rFonts w:cs="Calibri"/>
          <w:color w:val="000000"/>
          <w:szCs w:val="19"/>
          <w:shd w:val="clear" w:color="auto" w:fill="FFFF00"/>
        </w:rPr>
      </w:pPr>
      <w:r w:rsidRPr="00EC6575">
        <w:rPr>
          <w:rStyle w:val="FootnoteReference"/>
        </w:rPr>
        <w:footnoteRef/>
      </w:r>
      <w:r w:rsidRPr="00EC6575">
        <w:t xml:space="preserve"> </w:t>
      </w:r>
      <w:r w:rsidRPr="00EC6575">
        <w:tab/>
        <w:t xml:space="preserve">Ministry for the Environment. 2024. </w:t>
      </w:r>
      <w:hyperlink r:id="rId191" w:history="1">
        <w:r w:rsidRPr="00EC6575">
          <w:rPr>
            <w:rStyle w:val="Hyperlink"/>
            <w:i/>
            <w:iCs/>
          </w:rPr>
          <w:t>Adaptation preparedness: 2024 update</w:t>
        </w:r>
        <w:r>
          <w:rPr>
            <w:rStyle w:val="Hyperlink"/>
            <w:i/>
            <w:iCs/>
          </w:rPr>
          <w:t>:</w:t>
        </w:r>
        <w:r w:rsidRPr="00EC6575">
          <w:rPr>
            <w:rStyle w:val="Hyperlink"/>
            <w:i/>
            <w:iCs/>
          </w:rPr>
          <w:t xml:space="preserve"> A summary of responses to the second information request from reporting organisations under the Climate Change Response (Zero Carbon) Amendment Act 2019</w:t>
        </w:r>
      </w:hyperlink>
      <w:r w:rsidRPr="00EC6575">
        <w:t>.</w:t>
      </w:r>
      <w:r>
        <w:t xml:space="preserve"> Wellington: Ministry for the Environment.</w:t>
      </w:r>
    </w:p>
  </w:footnote>
  <w:footnote w:id="257">
    <w:p w14:paraId="0F826BDA" w14:textId="77777777" w:rsidR="00697651" w:rsidRDefault="00697651" w:rsidP="00697651">
      <w:pPr>
        <w:pStyle w:val="FootnoteText"/>
      </w:pPr>
      <w:r>
        <w:rPr>
          <w:rStyle w:val="FootnoteReference"/>
        </w:rPr>
        <w:footnoteRef/>
      </w:r>
      <w:r w:rsidRPr="008B3C97">
        <w:t xml:space="preserve"> </w:t>
      </w:r>
      <w:r w:rsidRPr="008B3C97">
        <w:tab/>
      </w:r>
      <w:r>
        <w:t>F</w:t>
      </w:r>
      <w:r w:rsidRPr="008B3C97">
        <w:t>or the submissions from the Finance and Expenditure Committee inquiry</w:t>
      </w:r>
      <w:r>
        <w:t xml:space="preserve">, see New Zealand Parliament. </w:t>
      </w:r>
      <w:hyperlink r:id="rId192" w:history="1">
        <w:r w:rsidRPr="00ED3876">
          <w:rPr>
            <w:rStyle w:val="Hyperlink"/>
          </w:rPr>
          <w:t>Finance and Expenditure</w:t>
        </w:r>
      </w:hyperlink>
      <w:r w:rsidRPr="008B3C97">
        <w:t>.</w:t>
      </w:r>
      <w:r>
        <w:t xml:space="preserve"> Retrieved 15 October 2024.</w:t>
      </w:r>
    </w:p>
  </w:footnote>
  <w:footnote w:id="258">
    <w:p w14:paraId="19704E02" w14:textId="77777777" w:rsidR="00697651" w:rsidRDefault="00697651" w:rsidP="00697651">
      <w:pPr>
        <w:pStyle w:val="FootnoteText"/>
      </w:pPr>
      <w:r>
        <w:rPr>
          <w:rStyle w:val="FootnoteReference"/>
        </w:rPr>
        <w:footnoteRef/>
      </w:r>
      <w:r>
        <w:t xml:space="preserve"> </w:t>
      </w:r>
      <w:r>
        <w:tab/>
      </w:r>
      <w:r w:rsidRPr="00B576A8">
        <w:t xml:space="preserve">Environment Committee. 2024. </w:t>
      </w:r>
      <w:hyperlink r:id="rId193" w:history="1">
        <w:r w:rsidRPr="00B576A8">
          <w:rPr>
            <w:rStyle w:val="Hyperlink"/>
            <w:i/>
            <w:iCs/>
          </w:rPr>
          <w:t>Environment Committee Inquiry into Climate Adaptation – Summary of Submissions</w:t>
        </w:r>
      </w:hyperlink>
      <w:r w:rsidRPr="00B576A8">
        <w:t>.</w:t>
      </w:r>
    </w:p>
  </w:footnote>
  <w:footnote w:id="259">
    <w:p w14:paraId="046D64F8" w14:textId="77777777" w:rsidR="00697651" w:rsidRDefault="00697651" w:rsidP="00697651">
      <w:pPr>
        <w:pStyle w:val="FootnoteText"/>
      </w:pPr>
      <w:r>
        <w:rPr>
          <w:rStyle w:val="FootnoteReference"/>
        </w:rPr>
        <w:footnoteRef/>
      </w:r>
      <w:r>
        <w:t xml:space="preserve"> </w:t>
      </w:r>
      <w:r>
        <w:tab/>
      </w:r>
      <w:r w:rsidRPr="0097740D">
        <w:t xml:space="preserve">Ministry for the Environment. 2023. </w:t>
      </w:r>
      <w:hyperlink r:id="rId194" w:history="1">
        <w:r w:rsidRPr="0097740D">
          <w:rPr>
            <w:rStyle w:val="Hyperlink"/>
            <w:i/>
            <w:iCs/>
          </w:rPr>
          <w:t>Community-led retreat and adaptation funding: Issues and options</w:t>
        </w:r>
      </w:hyperlink>
      <w:r w:rsidRPr="0097740D">
        <w:t>. Wellington: Ministry for the Environment.</w:t>
      </w:r>
    </w:p>
  </w:footnote>
  <w:footnote w:id="260">
    <w:p w14:paraId="73C72115" w14:textId="77777777" w:rsidR="00697651" w:rsidRDefault="00697651" w:rsidP="00697651">
      <w:pPr>
        <w:pStyle w:val="FootnoteText"/>
      </w:pPr>
      <w:r>
        <w:rPr>
          <w:rStyle w:val="FootnoteReference"/>
        </w:rPr>
        <w:footnoteRef/>
      </w:r>
      <w:r>
        <w:t xml:space="preserve"> </w:t>
      </w:r>
      <w:r>
        <w:tab/>
        <w:t xml:space="preserve">Expert Working Group on Managed Retreat. 2023. </w:t>
      </w:r>
      <w:hyperlink r:id="rId195" w:history="1">
        <w:r w:rsidRPr="00530B7B">
          <w:rPr>
            <w:rStyle w:val="Hyperlink"/>
            <w:i/>
            <w:iCs/>
          </w:rPr>
          <w:t>Report of the Expert Working Group on Managed Retreat: A Proposed System for Te Hekenga Rauora/Planned Relocation</w:t>
        </w:r>
      </w:hyperlink>
      <w:r>
        <w:t xml:space="preserve">. Wellington: Expert Working Group on Managed Retreat. </w:t>
      </w:r>
    </w:p>
  </w:footnote>
  <w:footnote w:id="261">
    <w:p w14:paraId="394D1C2A" w14:textId="77777777" w:rsidR="00697651" w:rsidRDefault="00697651" w:rsidP="00697651">
      <w:pPr>
        <w:pStyle w:val="FootnoteText"/>
      </w:pPr>
      <w:r>
        <w:rPr>
          <w:rStyle w:val="FootnoteReference"/>
        </w:rPr>
        <w:footnoteRef/>
      </w:r>
      <w:r>
        <w:t xml:space="preserve"> </w:t>
      </w:r>
      <w:r>
        <w:tab/>
      </w:r>
      <w:r w:rsidRPr="00746DA3">
        <w:t>Ministry for the Environment. 2022. </w:t>
      </w:r>
      <w:hyperlink r:id="rId196" w:tgtFrame="_blank" w:history="1">
        <w:r w:rsidRPr="00746DA3">
          <w:rPr>
            <w:rStyle w:val="Hyperlink"/>
            <w:i/>
            <w:iCs/>
          </w:rPr>
          <w:t>Aotearoa New Zealand’s first national adaptation plan</w:t>
        </w:r>
        <w:r w:rsidRPr="00746DA3">
          <w:rPr>
            <w:rStyle w:val="Hyperlink"/>
          </w:rPr>
          <w:t>.</w:t>
        </w:r>
      </w:hyperlink>
    </w:p>
  </w:footnote>
  <w:footnote w:id="262">
    <w:p w14:paraId="5E3E42B6" w14:textId="77777777" w:rsidR="00697651" w:rsidRDefault="00697651" w:rsidP="00697651">
      <w:pPr>
        <w:pStyle w:val="FootnoteText"/>
      </w:pPr>
      <w:r>
        <w:rPr>
          <w:rStyle w:val="FootnoteReference"/>
        </w:rPr>
        <w:footnoteRef/>
      </w:r>
      <w:r>
        <w:t xml:space="preserve"> </w:t>
      </w:r>
      <w:r>
        <w:tab/>
        <w:t xml:space="preserve">Ministry for the Environment. 2020. </w:t>
      </w:r>
      <w:hyperlink r:id="rId197" w:history="1">
        <w:r>
          <w:rPr>
            <w:rStyle w:val="Hyperlink"/>
            <w:i/>
            <w:iCs/>
          </w:rPr>
          <w:t>National Climate Change Risk Assessment for Aotearoa New Zealand: Main report</w:t>
        </w:r>
      </w:hyperlink>
      <w:r>
        <w:t>.</w:t>
      </w:r>
    </w:p>
  </w:footnote>
  <w:footnote w:id="263">
    <w:p w14:paraId="15921696" w14:textId="77777777" w:rsidR="00697651" w:rsidRDefault="00697651" w:rsidP="00697651">
      <w:pPr>
        <w:pStyle w:val="FootnoteText"/>
      </w:pPr>
      <w:r>
        <w:rPr>
          <w:rStyle w:val="FootnoteReference"/>
        </w:rPr>
        <w:footnoteRef/>
      </w:r>
      <w:r>
        <w:t xml:space="preserve"> </w:t>
      </w:r>
      <w:r>
        <w:tab/>
      </w:r>
      <w:r w:rsidRPr="00BF3ED5">
        <w:t xml:space="preserve">Environment Committee. 2024. </w:t>
      </w:r>
      <w:hyperlink r:id="rId198" w:history="1">
        <w:r w:rsidRPr="00BF3ED5">
          <w:rPr>
            <w:rStyle w:val="Hyperlink"/>
            <w:i/>
          </w:rPr>
          <w:t>Environment Committee Inquiry into Climate Adaptation</w:t>
        </w:r>
        <w:r>
          <w:rPr>
            <w:rStyle w:val="Hyperlink"/>
            <w:i/>
          </w:rPr>
          <w:t>:</w:t>
        </w:r>
        <w:r w:rsidRPr="00BF3ED5">
          <w:rPr>
            <w:rStyle w:val="Hyperlink"/>
            <w:i/>
          </w:rPr>
          <w:t xml:space="preserve"> Summary of Submissions</w:t>
        </w:r>
      </w:hyperlink>
      <w:r w:rsidRPr="00BF3ED5">
        <w:t>.</w:t>
      </w:r>
    </w:p>
  </w:footnote>
  <w:footnote w:id="264">
    <w:p w14:paraId="2079437F" w14:textId="77777777" w:rsidR="00697651" w:rsidRDefault="00697651" w:rsidP="00697651">
      <w:pPr>
        <w:pStyle w:val="FootnoteText"/>
      </w:pPr>
      <w:r>
        <w:rPr>
          <w:rStyle w:val="FootnoteReference"/>
        </w:rPr>
        <w:footnoteRef/>
      </w:r>
      <w:r>
        <w:t xml:space="preserve"> </w:t>
      </w:r>
      <w:r>
        <w:tab/>
        <w:t xml:space="preserve">Ministry for the Environment. 2022. </w:t>
      </w:r>
      <w:hyperlink r:id="rId199" w:history="1">
        <w:r w:rsidRPr="00EC6575">
          <w:rPr>
            <w:rStyle w:val="Hyperlink"/>
            <w:i/>
            <w:iCs/>
          </w:rPr>
          <w:t>Aotearoa New Zealand’s first national adaptation plan: Table of actions</w:t>
        </w:r>
      </w:hyperlink>
      <w:r w:rsidRPr="00EC6575">
        <w:t>. Wellington: Ministry for the Environment.</w:t>
      </w:r>
    </w:p>
  </w:footnote>
  <w:footnote w:id="265">
    <w:p w14:paraId="62B86D4A" w14:textId="77777777" w:rsidR="00697651" w:rsidRDefault="00697651" w:rsidP="00697651">
      <w:pPr>
        <w:pStyle w:val="FootnoteText"/>
      </w:pPr>
      <w:r>
        <w:rPr>
          <w:rStyle w:val="FootnoteReference"/>
        </w:rPr>
        <w:footnoteRef/>
      </w:r>
      <w:r>
        <w:t xml:space="preserve"> </w:t>
      </w:r>
      <w:r>
        <w:tab/>
      </w:r>
      <w:r w:rsidRPr="00AC322C">
        <w:t xml:space="preserve">Environment Committee. 2024. </w:t>
      </w:r>
      <w:hyperlink r:id="rId200" w:history="1">
        <w:r w:rsidRPr="00AC322C">
          <w:rPr>
            <w:rStyle w:val="Hyperlink"/>
            <w:i/>
            <w:iCs/>
          </w:rPr>
          <w:t>Environment Committee Inquiry into Climate Adaptation</w:t>
        </w:r>
        <w:r>
          <w:rPr>
            <w:rStyle w:val="Hyperlink"/>
            <w:i/>
            <w:iCs/>
          </w:rPr>
          <w:t>:</w:t>
        </w:r>
        <w:r w:rsidRPr="00AC322C">
          <w:rPr>
            <w:rStyle w:val="Hyperlink"/>
            <w:i/>
            <w:iCs/>
          </w:rPr>
          <w:t xml:space="preserve"> Summary of Submissions</w:t>
        </w:r>
      </w:hyperlink>
      <w:r w:rsidRPr="00AC322C">
        <w:t>.</w:t>
      </w:r>
    </w:p>
  </w:footnote>
  <w:footnote w:id="266">
    <w:p w14:paraId="1FDD82A9" w14:textId="603B5D97" w:rsidR="00D1319F" w:rsidRDefault="00D1319F">
      <w:pPr>
        <w:pStyle w:val="FootnoteText"/>
      </w:pPr>
      <w:r>
        <w:rPr>
          <w:rStyle w:val="FootnoteReference"/>
        </w:rPr>
        <w:footnoteRef/>
      </w:r>
      <w:r>
        <w:t xml:space="preserve"> </w:t>
      </w:r>
      <w:r>
        <w:tab/>
      </w:r>
      <w:r w:rsidR="00650741" w:rsidRPr="00CF1EF4">
        <w:t>Ministry for the Environment</w:t>
      </w:r>
      <w:r w:rsidR="00650741">
        <w:t xml:space="preserve">. 2024. </w:t>
      </w:r>
      <w:hyperlink r:id="rId201" w:history="1">
        <w:r w:rsidR="00650741">
          <w:rPr>
            <w:rStyle w:val="Hyperlink"/>
            <w:i/>
            <w:iCs/>
          </w:rPr>
          <w:t>Responding to a changing climate: The Government’s climate strategy</w:t>
        </w:r>
      </w:hyperlink>
      <w:r w:rsidR="00650741">
        <w:t>.</w:t>
      </w:r>
      <w:r w:rsidR="00650741" w:rsidRPr="00682CDE">
        <w:rPr>
          <w:i/>
          <w:iCs/>
        </w:rPr>
        <w:t xml:space="preserve"> </w:t>
      </w:r>
      <w:r w:rsidR="00650741" w:rsidRPr="00DF7C92">
        <w:rPr>
          <w:rStyle w:val="Hyperlink"/>
          <w:color w:val="auto"/>
        </w:rPr>
        <w:t>Retrieved 13 November 2024.</w:t>
      </w:r>
    </w:p>
  </w:footnote>
  <w:footnote w:id="267">
    <w:p w14:paraId="2985D5FE" w14:textId="07401D0E" w:rsidR="00C573C1" w:rsidRDefault="00C573C1">
      <w:pPr>
        <w:pStyle w:val="FootnoteText"/>
      </w:pPr>
      <w:r>
        <w:rPr>
          <w:rStyle w:val="FootnoteReference"/>
        </w:rPr>
        <w:footnoteRef/>
      </w:r>
      <w:r>
        <w:t xml:space="preserve"> </w:t>
      </w:r>
      <w:r w:rsidR="00A97E2A">
        <w:tab/>
        <w:t xml:space="preserve">Ministry for the Environment. 2022. </w:t>
      </w:r>
      <w:hyperlink r:id="rId202" w:history="1">
        <w:r w:rsidR="00A0422C" w:rsidRPr="000B5D05">
          <w:rPr>
            <w:rStyle w:val="Hyperlink"/>
            <w:i/>
          </w:rPr>
          <w:t>Adapting to climate change: Our long-term strategy</w:t>
        </w:r>
        <w:r w:rsidR="000D512B" w:rsidRPr="000B5D05">
          <w:rPr>
            <w:rStyle w:val="Hyperlink"/>
            <w:i/>
          </w:rPr>
          <w:t>.</w:t>
        </w:r>
      </w:hyperlink>
    </w:p>
  </w:footnote>
  <w:footnote w:id="268">
    <w:p w14:paraId="32D40C43" w14:textId="77777777" w:rsidR="00697651" w:rsidRDefault="00697651" w:rsidP="00697651">
      <w:pPr>
        <w:pStyle w:val="FootnoteText"/>
      </w:pPr>
      <w:r>
        <w:rPr>
          <w:rStyle w:val="FootnoteReference"/>
        </w:rPr>
        <w:footnoteRef/>
      </w:r>
      <w:r>
        <w:t xml:space="preserve"> </w:t>
      </w:r>
      <w:r>
        <w:tab/>
      </w:r>
      <w:r w:rsidRPr="00D52658">
        <w:t xml:space="preserve">The Global Goal on Adaptation under </w:t>
      </w:r>
      <w:r>
        <w:t>A</w:t>
      </w:r>
      <w:r w:rsidRPr="00D52658">
        <w:t>rticle 7.1 of the Paris Agreement is aimed at “enhancing adaptive capacity, strengthening resilience and reducing vulnerability to clim</w:t>
      </w:r>
      <w:r w:rsidRPr="00636181">
        <w:t>ate change” (</w:t>
      </w:r>
      <w:r w:rsidRPr="005446FB">
        <w:t>p 9</w:t>
      </w:r>
      <w:r w:rsidRPr="00636181">
        <w:t>).</w:t>
      </w:r>
      <w:r w:rsidRPr="00D52658">
        <w:t xml:space="preserve"> </w:t>
      </w:r>
    </w:p>
  </w:footnote>
  <w:footnote w:id="269">
    <w:p w14:paraId="0BE7371E" w14:textId="77777777" w:rsidR="00697651" w:rsidRPr="00EC6575" w:rsidRDefault="00697651" w:rsidP="00697651">
      <w:pPr>
        <w:pStyle w:val="FootnoteText"/>
      </w:pPr>
      <w:r>
        <w:rPr>
          <w:rStyle w:val="FootnoteReference"/>
        </w:rPr>
        <w:footnoteRef/>
      </w:r>
      <w:r>
        <w:t xml:space="preserve"> </w:t>
      </w:r>
      <w:r>
        <w:tab/>
        <w:t xml:space="preserve">Ministry for the Environment. 2022. </w:t>
      </w:r>
      <w:hyperlink r:id="rId203" w:history="1">
        <w:r w:rsidRPr="00EC6575">
          <w:rPr>
            <w:rStyle w:val="Hyperlink"/>
            <w:i/>
            <w:iCs/>
          </w:rPr>
          <w:t>Aotearoa New Zealand’s first national adaptation plan: Table of actions</w:t>
        </w:r>
      </w:hyperlink>
      <w:r w:rsidRPr="00EC6575">
        <w:t xml:space="preserve">. </w:t>
      </w:r>
    </w:p>
  </w:footnote>
  <w:footnote w:id="270">
    <w:p w14:paraId="695384FE" w14:textId="02F8E7C4" w:rsidR="00450E2C" w:rsidRPr="00170768" w:rsidRDefault="00450E2C">
      <w:pPr>
        <w:pStyle w:val="FootnoteText"/>
        <w:rPr>
          <w:i/>
        </w:rPr>
      </w:pPr>
      <w:r>
        <w:rPr>
          <w:rStyle w:val="FootnoteReference"/>
        </w:rPr>
        <w:footnoteRef/>
      </w:r>
      <w:r>
        <w:t xml:space="preserve"> </w:t>
      </w:r>
      <w:r w:rsidR="00955FBD">
        <w:tab/>
        <w:t xml:space="preserve">Ministry for the Environment. 2024. </w:t>
      </w:r>
      <w:hyperlink r:id="rId204" w:history="1">
        <w:r w:rsidR="00955FBD" w:rsidRPr="00955FBD">
          <w:rPr>
            <w:rStyle w:val="Hyperlink"/>
            <w:i/>
            <w:iCs/>
          </w:rPr>
          <w:t>Adaptation framework.</w:t>
        </w:r>
      </w:hyperlink>
    </w:p>
  </w:footnote>
  <w:footnote w:id="271">
    <w:p w14:paraId="403A2608" w14:textId="77777777" w:rsidR="00697651" w:rsidRDefault="00697651" w:rsidP="00697651">
      <w:pPr>
        <w:pStyle w:val="FootnoteText"/>
      </w:pPr>
      <w:r w:rsidRPr="00EC6575">
        <w:rPr>
          <w:rStyle w:val="FootnoteReference"/>
        </w:rPr>
        <w:footnoteRef/>
      </w:r>
      <w:r w:rsidRPr="00EC6575">
        <w:t xml:space="preserve"> </w:t>
      </w:r>
      <w:r w:rsidRPr="00EC6575">
        <w:tab/>
        <w:t xml:space="preserve">Ministry for the Environment. 2024. </w:t>
      </w:r>
      <w:hyperlink r:id="rId205" w:history="1">
        <w:r w:rsidRPr="00EC6575">
          <w:rPr>
            <w:rStyle w:val="Hyperlink"/>
            <w:i/>
            <w:iCs/>
          </w:rPr>
          <w:t>Adaptation preparedness: 2024 update</w:t>
        </w:r>
      </w:hyperlink>
      <w:r w:rsidRPr="00EC6575">
        <w:t>.</w:t>
      </w:r>
      <w:r>
        <w:t xml:space="preserve"> </w:t>
      </w:r>
    </w:p>
  </w:footnote>
  <w:footnote w:id="272">
    <w:p w14:paraId="11D1DA39" w14:textId="77777777" w:rsidR="00697651" w:rsidRDefault="00697651" w:rsidP="00697651">
      <w:pPr>
        <w:pStyle w:val="FootnoteText"/>
      </w:pPr>
      <w:r>
        <w:rPr>
          <w:rStyle w:val="FootnoteReference"/>
        </w:rPr>
        <w:footnoteRef/>
      </w:r>
      <w:r>
        <w:t xml:space="preserve"> </w:t>
      </w:r>
      <w:r>
        <w:tab/>
        <w:t xml:space="preserve">For more examples of sector adaptation strategies and policies, see the NAP1 and Aotearoa Circle’s </w:t>
      </w:r>
      <w:hyperlink r:id="rId206" w:history="1">
        <w:r>
          <w:rPr>
            <w:rStyle w:val="Hyperlink"/>
          </w:rPr>
          <w:t>R</w:t>
        </w:r>
        <w:r w:rsidRPr="00AD529C">
          <w:rPr>
            <w:rStyle w:val="Hyperlink"/>
          </w:rPr>
          <w:t xml:space="preserve">eports </w:t>
        </w:r>
        <w:r>
          <w:rPr>
            <w:rStyle w:val="Hyperlink"/>
          </w:rPr>
          <w:t>&amp;</w:t>
        </w:r>
        <w:r w:rsidRPr="00AD529C">
          <w:rPr>
            <w:rStyle w:val="Hyperlink"/>
          </w:rPr>
          <w:t xml:space="preserve"> </w:t>
        </w:r>
        <w:r>
          <w:rPr>
            <w:rStyle w:val="Hyperlink"/>
          </w:rPr>
          <w:t>R</w:t>
        </w:r>
        <w:r w:rsidRPr="00AD529C">
          <w:rPr>
            <w:rStyle w:val="Hyperlink"/>
          </w:rPr>
          <w:t>esources</w:t>
        </w:r>
      </w:hyperlink>
      <w:r>
        <w:t>.</w:t>
      </w:r>
    </w:p>
  </w:footnote>
  <w:footnote w:id="273">
    <w:p w14:paraId="3AAD83F7" w14:textId="6A93D9AD" w:rsidR="00697651" w:rsidRDefault="00697651" w:rsidP="00697651">
      <w:pPr>
        <w:pStyle w:val="FootnoteText"/>
      </w:pPr>
      <w:r>
        <w:rPr>
          <w:rStyle w:val="FootnoteReference"/>
        </w:rPr>
        <w:footnoteRef/>
      </w:r>
      <w:r>
        <w:t xml:space="preserve"> </w:t>
      </w:r>
      <w:r>
        <w:tab/>
      </w:r>
      <w:r w:rsidRPr="005A4F8B">
        <w:t xml:space="preserve">An example of </w:t>
      </w:r>
      <w:r>
        <w:t>an existing tool</w:t>
      </w:r>
      <w:r w:rsidRPr="005A4F8B">
        <w:t xml:space="preserve"> is </w:t>
      </w:r>
      <w:r>
        <w:t xml:space="preserve">based on </w:t>
      </w:r>
      <w:r w:rsidRPr="005A4F8B">
        <w:t>the updated national climate projections for New Zealand</w:t>
      </w:r>
      <w:r>
        <w:t>, which</w:t>
      </w:r>
      <w:r w:rsidRPr="005A4F8B">
        <w:t xml:space="preserve"> </w:t>
      </w:r>
      <w:r>
        <w:t>are</w:t>
      </w:r>
      <w:r w:rsidRPr="005A4F8B">
        <w:t xml:space="preserve"> freely accessible</w:t>
      </w:r>
      <w:r>
        <w:t>.</w:t>
      </w:r>
      <w:r w:rsidRPr="005A4F8B">
        <w:t xml:space="preserve"> </w:t>
      </w:r>
      <w:r>
        <w:t>A</w:t>
      </w:r>
      <w:r w:rsidRPr="005A4F8B">
        <w:t xml:space="preserve"> geospatial tool to display the climate projections data on a map </w:t>
      </w:r>
      <w:r>
        <w:t xml:space="preserve">was </w:t>
      </w:r>
      <w:r w:rsidRPr="005A4F8B">
        <w:t>released in July 2024.</w:t>
      </w:r>
      <w:r>
        <w:t xml:space="preserve"> See</w:t>
      </w:r>
      <w:r w:rsidRPr="005A4F8B">
        <w:t xml:space="preserve"> </w:t>
      </w:r>
      <w:hyperlink w:anchor="section3312" w:history="1">
        <w:r w:rsidRPr="0014597A">
          <w:rPr>
            <w:rStyle w:val="Hyperlink"/>
          </w:rPr>
          <w:t>section 3.</w:t>
        </w:r>
        <w:r w:rsidR="0014597A">
          <w:rPr>
            <w:rStyle w:val="Hyperlink"/>
          </w:rPr>
          <w:t>3</w:t>
        </w:r>
        <w:r w:rsidRPr="0014597A">
          <w:rPr>
            <w:rStyle w:val="Hyperlink"/>
          </w:rPr>
          <w:t>.1.2</w:t>
        </w:r>
      </w:hyperlink>
      <w:r w:rsidRPr="005A4F8B">
        <w:t xml:space="preserve"> for </w:t>
      </w:r>
      <w:r>
        <w:t>more</w:t>
      </w:r>
      <w:r w:rsidRPr="005A4F8B">
        <w:t xml:space="preserve"> information. </w:t>
      </w:r>
    </w:p>
  </w:footnote>
  <w:footnote w:id="274">
    <w:p w14:paraId="2DAC6A9B" w14:textId="77777777" w:rsidR="00697651" w:rsidRDefault="00697651" w:rsidP="00697651">
      <w:pPr>
        <w:pStyle w:val="FootnoteText"/>
      </w:pPr>
      <w:r>
        <w:rPr>
          <w:rStyle w:val="FootnoteReference"/>
        </w:rPr>
        <w:footnoteRef/>
      </w:r>
      <w:r>
        <w:t xml:space="preserve"> </w:t>
      </w:r>
      <w:r>
        <w:tab/>
        <w:t>Taonga is a</w:t>
      </w:r>
      <w:r w:rsidRPr="009E33C7">
        <w:t xml:space="preserve"> </w:t>
      </w:r>
      <w:r>
        <w:t>word in te reo Māori (the Māori language) that broadly translates to: t</w:t>
      </w:r>
      <w:r w:rsidRPr="00932FBC">
        <w:t>reasure, anything prized – applied to anything considered to be of value, including socially or culturally valuable objects, resources, phenomena, ideas and techniques.</w:t>
      </w:r>
    </w:p>
  </w:footnote>
  <w:footnote w:id="275">
    <w:p w14:paraId="4A8287E9" w14:textId="77777777" w:rsidR="00697651" w:rsidRPr="009E33C7" w:rsidRDefault="00697651" w:rsidP="00697651">
      <w:pPr>
        <w:pStyle w:val="FootnoteText"/>
      </w:pPr>
      <w:r>
        <w:rPr>
          <w:rStyle w:val="FootnoteReference"/>
        </w:rPr>
        <w:footnoteRef/>
      </w:r>
      <w:r>
        <w:t xml:space="preserve"> </w:t>
      </w:r>
      <w:r>
        <w:tab/>
      </w:r>
      <w:r>
        <w:rPr>
          <w:rFonts w:cs="Calibri"/>
          <w:color w:val="000000"/>
          <w:szCs w:val="19"/>
          <w:shd w:val="clear" w:color="auto" w:fill="FFFFFF"/>
        </w:rPr>
        <w:t>Awatere S, King DN, Reid J, Williams L, Masters-Awatere B, Harris P, Tassell-Matamua N, Jones R, Eastwood K, Pirker J, Jackson A-M. 2021. </w:t>
      </w:r>
      <w:hyperlink r:id="rId207" w:tgtFrame="_blank" w:history="1">
        <w:r>
          <w:rPr>
            <w:rFonts w:cs="Calibri"/>
            <w:color w:val="32809C"/>
            <w:szCs w:val="19"/>
            <w:shd w:val="clear" w:color="auto" w:fill="FFFFFF"/>
          </w:rPr>
          <w:t>He huringa āhuarangi, he huringa ao: A changing climate, a changing world</w:t>
        </w:r>
      </w:hyperlink>
      <w:r>
        <w:rPr>
          <w:rFonts w:cs="Calibri"/>
          <w:color w:val="000000"/>
          <w:szCs w:val="19"/>
          <w:shd w:val="clear" w:color="auto" w:fill="FFFFFF"/>
        </w:rPr>
        <w:t xml:space="preserve">. </w:t>
      </w:r>
      <w:r>
        <w:rPr>
          <w:rFonts w:cs="Calibri"/>
          <w:i/>
          <w:iCs/>
          <w:color w:val="000000"/>
          <w:szCs w:val="19"/>
          <w:shd w:val="clear" w:color="auto" w:fill="FFFFFF"/>
        </w:rPr>
        <w:t xml:space="preserve">Te Arotahi </w:t>
      </w:r>
      <w:r>
        <w:rPr>
          <w:rFonts w:cs="Calibri"/>
          <w:color w:val="000000"/>
          <w:szCs w:val="19"/>
          <w:shd w:val="clear" w:color="auto" w:fill="FFFFFF"/>
        </w:rPr>
        <w:t>(7).</w:t>
      </w:r>
    </w:p>
  </w:footnote>
  <w:footnote w:id="276">
    <w:p w14:paraId="0CA4DA0D" w14:textId="77777777" w:rsidR="00697651" w:rsidRDefault="00697651" w:rsidP="00697651">
      <w:pPr>
        <w:pStyle w:val="FootnoteText"/>
      </w:pPr>
      <w:r>
        <w:rPr>
          <w:rStyle w:val="FootnoteReference"/>
        </w:rPr>
        <w:footnoteRef/>
      </w:r>
      <w:r>
        <w:t xml:space="preserve"> </w:t>
      </w:r>
      <w:r>
        <w:tab/>
      </w:r>
      <w:r>
        <w:rPr>
          <w:rFonts w:cs="Calibri"/>
          <w:color w:val="000000"/>
          <w:szCs w:val="19"/>
          <w:shd w:val="clear" w:color="auto" w:fill="FFFFFF"/>
        </w:rPr>
        <w:t>Harmsworth G, Awatere S. 2013.</w:t>
      </w:r>
      <w:r w:rsidRPr="0085240B">
        <w:rPr>
          <w:rFonts w:cs="Calibri"/>
          <w:color w:val="000000"/>
          <w:szCs w:val="19"/>
          <w:shd w:val="clear" w:color="auto" w:fill="FFFFFF"/>
        </w:rPr>
        <w:t xml:space="preserve"> </w:t>
      </w:r>
      <w:hyperlink r:id="rId208" w:history="1">
        <w:r w:rsidRPr="00DD54E8">
          <w:rPr>
            <w:rStyle w:val="Hyperlink"/>
            <w:rFonts w:cs="Calibri"/>
            <w:szCs w:val="19"/>
            <w:shd w:val="clear" w:color="auto" w:fill="FFFFFF"/>
          </w:rPr>
          <w:t>Indigenous Māori knowledge and perspectives of ecosystems.</w:t>
        </w:r>
      </w:hyperlink>
      <w:r>
        <w:fldChar w:fldCharType="begin"/>
      </w:r>
      <w:r w:rsidDel="006D4601">
        <w:instrText xml:space="preserve"> </w:instrText>
      </w:r>
      <w:r>
        <w:fldChar w:fldCharType="separate"/>
      </w:r>
      <w:r>
        <w:rPr>
          <w:rFonts w:cs="Calibri"/>
          <w:i/>
          <w:iCs/>
          <w:color w:val="32809C"/>
          <w:szCs w:val="19"/>
          <w:shd w:val="clear" w:color="auto" w:fill="FFFFFF"/>
        </w:rPr>
        <w:t>Indigenous Māori knowledge and perspectives of ecosystems</w:t>
      </w:r>
      <w:r>
        <w:rPr>
          <w:rFonts w:cs="Calibri"/>
          <w:i/>
          <w:iCs/>
          <w:color w:val="32809C"/>
          <w:szCs w:val="19"/>
          <w:shd w:val="clear" w:color="auto" w:fill="FFFFFF"/>
        </w:rPr>
        <w:fldChar w:fldCharType="end"/>
      </w:r>
      <w:r>
        <w:rPr>
          <w:rFonts w:cs="Calibri"/>
          <w:i/>
          <w:iCs/>
          <w:color w:val="000000"/>
          <w:szCs w:val="19"/>
          <w:shd w:val="clear" w:color="auto" w:fill="FFFFFF"/>
        </w:rPr>
        <w:t xml:space="preserve"> </w:t>
      </w:r>
      <w:r w:rsidRPr="00DD54E8">
        <w:t>In</w:t>
      </w:r>
      <w:r>
        <w:t>: </w:t>
      </w:r>
      <w:r w:rsidRPr="00DD54E8">
        <w:t>JR</w:t>
      </w:r>
      <w:r>
        <w:t> </w:t>
      </w:r>
      <w:r w:rsidRPr="00DD54E8">
        <w:t>Dymond (</w:t>
      </w:r>
      <w:r>
        <w:t>e</w:t>
      </w:r>
      <w:r w:rsidRPr="00DD54E8">
        <w:t>d</w:t>
      </w:r>
      <w:r>
        <w:t>.</w:t>
      </w:r>
      <w:r w:rsidRPr="00DD54E8">
        <w:t>),</w:t>
      </w:r>
      <w:r>
        <w:rPr>
          <w:rFonts w:cs="Calibri"/>
          <w:i/>
          <w:iCs/>
          <w:color w:val="000000"/>
          <w:szCs w:val="19"/>
          <w:shd w:val="clear" w:color="auto" w:fill="FFFFFF"/>
        </w:rPr>
        <w:t xml:space="preserve"> Ecosystem Services in New Zealand: Conditions and Trends</w:t>
      </w:r>
      <w:r>
        <w:rPr>
          <w:rFonts w:cs="Calibri"/>
          <w:color w:val="000000"/>
          <w:szCs w:val="19"/>
          <w:shd w:val="clear" w:color="auto" w:fill="FFFFFF"/>
        </w:rPr>
        <w:t>. Lincoln: Manaaki Whenua Press.</w:t>
      </w:r>
      <w:r w:rsidRPr="004D7B84">
        <w:rPr>
          <w:rFonts w:cs="Calibri"/>
          <w:color w:val="000000"/>
          <w:szCs w:val="19"/>
          <w:shd w:val="clear" w:color="auto" w:fill="FFFFFF"/>
        </w:rPr>
        <w:t xml:space="preserve"> </w:t>
      </w:r>
      <w:r>
        <w:rPr>
          <w:rFonts w:cs="Calibri"/>
          <w:color w:val="000000"/>
          <w:szCs w:val="19"/>
          <w:shd w:val="clear" w:color="auto" w:fill="FFFFFF"/>
        </w:rPr>
        <w:t>pp 274–286.</w:t>
      </w:r>
    </w:p>
  </w:footnote>
  <w:footnote w:id="277">
    <w:p w14:paraId="2B4DE77C" w14:textId="77777777" w:rsidR="00697651" w:rsidRDefault="00697651" w:rsidP="00697651">
      <w:pPr>
        <w:pStyle w:val="FootnoteText"/>
      </w:pPr>
      <w:r>
        <w:rPr>
          <w:rStyle w:val="FootnoteReference"/>
        </w:rPr>
        <w:footnoteRef/>
      </w:r>
      <w:r>
        <w:t xml:space="preserve"> </w:t>
      </w:r>
      <w:r>
        <w:tab/>
        <w:t xml:space="preserve">Smith T. 2011. </w:t>
      </w:r>
      <w:r w:rsidRPr="00B6485A">
        <w:rPr>
          <w:i/>
          <w:iCs/>
        </w:rPr>
        <w:t>Traditional Māori Growing Practices: A Literature Review</w:t>
      </w:r>
      <w:r>
        <w:t>. Te Atawhai o te Ao.</w:t>
      </w:r>
    </w:p>
  </w:footnote>
  <w:footnote w:id="278">
    <w:p w14:paraId="66B653D1" w14:textId="6B477371" w:rsidR="00697651" w:rsidRDefault="00697651" w:rsidP="00697651">
      <w:pPr>
        <w:pStyle w:val="FootnoteText"/>
      </w:pPr>
      <w:r>
        <w:rPr>
          <w:rStyle w:val="FootnoteReference"/>
        </w:rPr>
        <w:footnoteRef/>
      </w:r>
      <w:r>
        <w:t xml:space="preserve"> </w:t>
      </w:r>
      <w:r>
        <w:tab/>
      </w:r>
      <w:r>
        <w:rPr>
          <w:rFonts w:cs="Calibri"/>
          <w:color w:val="000000"/>
          <w:szCs w:val="19"/>
          <w:shd w:val="clear" w:color="auto" w:fill="FFFFFF"/>
        </w:rPr>
        <w:t>Keane-Tuala K. 2015. </w:t>
      </w:r>
      <w:hyperlink r:id="rId209" w:tgtFrame="_blank" w:history="1">
        <w:r w:rsidRPr="00DD54E8">
          <w:rPr>
            <w:rFonts w:cs="Calibri"/>
            <w:color w:val="32809C"/>
            <w:szCs w:val="19"/>
            <w:shd w:val="clear" w:color="auto" w:fill="FFFFFF"/>
          </w:rPr>
          <w:t>Ngā manu – birds</w:t>
        </w:r>
      </w:hyperlink>
      <w:r>
        <w:rPr>
          <w:rFonts w:cs="Calibri"/>
          <w:color w:val="000000"/>
          <w:szCs w:val="19"/>
          <w:shd w:val="clear" w:color="auto" w:fill="FFFFFF"/>
        </w:rPr>
        <w:t>.</w:t>
      </w:r>
      <w:r>
        <w:t xml:space="preserve"> Te Ara – the Encyclopedia of New Zealand. Retrieved 15</w:t>
      </w:r>
      <w:r w:rsidR="00F3270F">
        <w:t> </w:t>
      </w:r>
      <w:r>
        <w:t>October</w:t>
      </w:r>
      <w:r w:rsidR="00F3270F">
        <w:t> </w:t>
      </w:r>
      <w:r>
        <w:t>2024.</w:t>
      </w:r>
    </w:p>
  </w:footnote>
  <w:footnote w:id="279">
    <w:p w14:paraId="7BBA559C" w14:textId="77777777" w:rsidR="00697651" w:rsidRDefault="00697651" w:rsidP="00697651">
      <w:pPr>
        <w:pStyle w:val="FootnoteText"/>
      </w:pPr>
      <w:r>
        <w:rPr>
          <w:rStyle w:val="FootnoteReference"/>
        </w:rPr>
        <w:footnoteRef/>
      </w:r>
      <w:r>
        <w:t xml:space="preserve"> </w:t>
      </w:r>
      <w:r>
        <w:tab/>
      </w:r>
      <w:r>
        <w:rPr>
          <w:rFonts w:cs="Calibri"/>
          <w:color w:val="000000"/>
          <w:szCs w:val="19"/>
          <w:shd w:val="clear" w:color="auto" w:fill="FFFFFF"/>
        </w:rPr>
        <w:t>Awatere et al. 2021. </w:t>
      </w:r>
      <w:hyperlink r:id="rId210" w:tgtFrame="_blank" w:history="1">
        <w:r>
          <w:rPr>
            <w:rFonts w:cs="Calibri"/>
            <w:i/>
            <w:iCs/>
            <w:color w:val="32809C"/>
            <w:szCs w:val="19"/>
            <w:shd w:val="clear" w:color="auto" w:fill="FFFFFF"/>
          </w:rPr>
          <w:t>He huringa āhuarangi, he huringa ao</w:t>
        </w:r>
      </w:hyperlink>
      <w:r>
        <w:rPr>
          <w:rFonts w:cs="Calibri"/>
          <w:color w:val="000000"/>
          <w:szCs w:val="19"/>
          <w:shd w:val="clear" w:color="auto" w:fill="FFFFFF"/>
        </w:rPr>
        <w:t>.</w:t>
      </w:r>
    </w:p>
  </w:footnote>
  <w:footnote w:id="280">
    <w:p w14:paraId="367335F6" w14:textId="77777777" w:rsidR="00697651" w:rsidRPr="005446FB" w:rsidRDefault="00697651" w:rsidP="00697651">
      <w:pPr>
        <w:pStyle w:val="FootnoteText"/>
        <w:rPr>
          <w:lang w:val="fr-FR"/>
        </w:rPr>
      </w:pPr>
      <w:r>
        <w:rPr>
          <w:rStyle w:val="FootnoteReference"/>
        </w:rPr>
        <w:footnoteRef/>
      </w:r>
      <w:r w:rsidRPr="005446FB">
        <w:rPr>
          <w:lang w:val="fr-FR"/>
        </w:rPr>
        <w:t xml:space="preserve"> </w:t>
      </w:r>
      <w:r w:rsidRPr="005446FB">
        <w:rPr>
          <w:lang w:val="fr-FR"/>
        </w:rPr>
        <w:tab/>
        <w:t xml:space="preserve">Te Rūnanga o Ngāi Tahu. </w:t>
      </w:r>
      <w:r w:rsidRPr="009F14CF">
        <w:rPr>
          <w:lang w:val="fr-FR"/>
        </w:rPr>
        <w:t>2022</w:t>
      </w:r>
      <w:r w:rsidRPr="00EB72A0">
        <w:rPr>
          <w:lang w:val="fr-FR"/>
        </w:rPr>
        <w:t>.</w:t>
      </w:r>
      <w:r w:rsidRPr="005446FB">
        <w:rPr>
          <w:lang w:val="fr-FR"/>
        </w:rPr>
        <w:t xml:space="preserve"> </w:t>
      </w:r>
      <w:hyperlink r:id="rId211" w:history="1">
        <w:r w:rsidRPr="005446FB">
          <w:rPr>
            <w:rStyle w:val="Hyperlink"/>
            <w:i/>
            <w:lang w:val="fr-FR"/>
          </w:rPr>
          <w:t>Te Kounga Paparangi Climate Action Plan</w:t>
        </w:r>
      </w:hyperlink>
      <w:r w:rsidRPr="005446FB">
        <w:rPr>
          <w:lang w:val="fr-FR"/>
        </w:rPr>
        <w:t>.</w:t>
      </w:r>
      <w:r w:rsidRPr="00EA35D3">
        <w:rPr>
          <w:lang w:val="fr-FR"/>
        </w:rPr>
        <w:t xml:space="preserve"> </w:t>
      </w:r>
      <w:r w:rsidRPr="005446FB">
        <w:rPr>
          <w:lang w:val="fr-FR"/>
        </w:rPr>
        <w:t>Te Rūnanga o Ngāi Tahu.</w:t>
      </w:r>
    </w:p>
  </w:footnote>
  <w:footnote w:id="281">
    <w:p w14:paraId="7CE9F49B" w14:textId="77777777" w:rsidR="00697651" w:rsidRDefault="00697651" w:rsidP="00697651">
      <w:pPr>
        <w:pStyle w:val="FootnoteText"/>
      </w:pPr>
      <w:r>
        <w:rPr>
          <w:rStyle w:val="FootnoteReference"/>
        </w:rPr>
        <w:footnoteRef/>
      </w:r>
      <w:r w:rsidRPr="005446FB">
        <w:rPr>
          <w:lang w:val="fr-FR"/>
        </w:rPr>
        <w:t xml:space="preserve"> </w:t>
      </w:r>
      <w:r w:rsidRPr="005446FB">
        <w:rPr>
          <w:lang w:val="fr-FR"/>
        </w:rPr>
        <w:tab/>
        <w:t xml:space="preserve">Te Rūnanga o Ngāi Tahu. 2018. </w:t>
      </w:r>
      <w:hyperlink r:id="rId212" w:history="1">
        <w:r w:rsidRPr="005446FB">
          <w:rPr>
            <w:rStyle w:val="Hyperlink"/>
            <w:i/>
            <w:iCs/>
          </w:rPr>
          <w:t>Te Tāhū o te Whāriki (Anchoring the Foundations) Climate Change Strategy</w:t>
        </w:r>
      </w:hyperlink>
      <w:r>
        <w:t>.</w:t>
      </w:r>
      <w:r w:rsidRPr="00EA35D3">
        <w:rPr>
          <w:lang w:val="fr-FR"/>
        </w:rPr>
        <w:t xml:space="preserve"> </w:t>
      </w:r>
      <w:r w:rsidRPr="005446FB">
        <w:rPr>
          <w:lang w:val="fr-FR"/>
        </w:rPr>
        <w:t>Te Rūnanga o Ngāi Tahu.</w:t>
      </w:r>
    </w:p>
  </w:footnote>
  <w:footnote w:id="282">
    <w:p w14:paraId="3659E122" w14:textId="77777777" w:rsidR="00697651" w:rsidRDefault="00697651" w:rsidP="00697651">
      <w:pPr>
        <w:pStyle w:val="FootnoteText"/>
      </w:pPr>
      <w:r>
        <w:rPr>
          <w:rStyle w:val="FootnoteReference"/>
        </w:rPr>
        <w:footnoteRef/>
      </w:r>
      <w:r>
        <w:t xml:space="preserve"> </w:t>
      </w:r>
      <w:r>
        <w:tab/>
        <w:t xml:space="preserve">Te Arawa Lakes Trust. 2021. </w:t>
      </w:r>
      <w:hyperlink r:id="rId213" w:history="1">
        <w:r>
          <w:rPr>
            <w:rStyle w:val="Hyperlink"/>
            <w:i/>
            <w:iCs/>
          </w:rPr>
          <w:t>Te Ara Ki Kōpū Te Arawa Climate Strategy</w:t>
        </w:r>
      </w:hyperlink>
      <w:r>
        <w:t>.</w:t>
      </w:r>
      <w:r w:rsidRPr="00FA28EB">
        <w:t xml:space="preserve"> </w:t>
      </w:r>
      <w:r>
        <w:t>Te Arawa Lakes Trust.</w:t>
      </w:r>
    </w:p>
  </w:footnote>
  <w:footnote w:id="283">
    <w:p w14:paraId="311EB4E3" w14:textId="77777777" w:rsidR="00697651" w:rsidRDefault="00697651" w:rsidP="00697651">
      <w:pPr>
        <w:pStyle w:val="FootnoteText"/>
      </w:pPr>
      <w:r>
        <w:rPr>
          <w:rStyle w:val="FootnoteReference"/>
        </w:rPr>
        <w:footnoteRef/>
      </w:r>
      <w:r>
        <w:t xml:space="preserve"> </w:t>
      </w:r>
      <w:r>
        <w:tab/>
        <w:t xml:space="preserve">Nā Ngā Iwi Ō Maketu. 2022. </w:t>
      </w:r>
      <w:hyperlink r:id="rId214" w:history="1">
        <w:r w:rsidRPr="005446FB">
          <w:rPr>
            <w:rStyle w:val="Hyperlink"/>
            <w:i/>
            <w:iCs/>
          </w:rPr>
          <w:t>He Toka Tū Moana Mō Maketu</w:t>
        </w:r>
        <w:r>
          <w:rPr>
            <w:rStyle w:val="Hyperlink"/>
            <w:i/>
            <w:iCs/>
          </w:rPr>
          <w:t>:</w:t>
        </w:r>
        <w:r w:rsidRPr="005446FB">
          <w:rPr>
            <w:rStyle w:val="Hyperlink"/>
            <w:i/>
            <w:iCs/>
          </w:rPr>
          <w:t xml:space="preserve"> Maketu Climate Change Adaptation Plan</w:t>
        </w:r>
      </w:hyperlink>
      <w:r>
        <w:t>.</w:t>
      </w:r>
      <w:r w:rsidRPr="00FA28EB">
        <w:t xml:space="preserve"> </w:t>
      </w:r>
      <w:r>
        <w:t>Nā Ngā Iwi Ō Maketu.</w:t>
      </w:r>
    </w:p>
  </w:footnote>
  <w:footnote w:id="284">
    <w:p w14:paraId="020E32A6" w14:textId="77777777" w:rsidR="00697651" w:rsidRDefault="00697651" w:rsidP="00697651">
      <w:pPr>
        <w:pStyle w:val="FootnoteText"/>
      </w:pPr>
      <w:r>
        <w:rPr>
          <w:rStyle w:val="FootnoteReference"/>
        </w:rPr>
        <w:footnoteRef/>
      </w:r>
      <w:r>
        <w:t xml:space="preserve"> </w:t>
      </w:r>
      <w:r>
        <w:tab/>
        <w:t xml:space="preserve">For more information, see: Ministry for the Environment. 2023. </w:t>
      </w:r>
      <w:hyperlink r:id="rId215" w:history="1">
        <w:r w:rsidRPr="00DD54E8">
          <w:rPr>
            <w:rStyle w:val="Hyperlink"/>
          </w:rPr>
          <w:t>Navigating our freshwater environment</w:t>
        </w:r>
      </w:hyperlink>
      <w:r w:rsidRPr="001B71FA">
        <w:t>.</w:t>
      </w:r>
    </w:p>
  </w:footnote>
  <w:footnote w:id="285">
    <w:p w14:paraId="75B9B709" w14:textId="2D17BCE1" w:rsidR="00697651" w:rsidRDefault="00697651" w:rsidP="00697651">
      <w:pPr>
        <w:pStyle w:val="FootnoteText"/>
      </w:pPr>
      <w:r>
        <w:rPr>
          <w:rStyle w:val="FootnoteReference"/>
        </w:rPr>
        <w:footnoteRef/>
      </w:r>
      <w:r>
        <w:t xml:space="preserve"> </w:t>
      </w:r>
      <w:r>
        <w:tab/>
        <w:t xml:space="preserve">Te Kaahui o Rauru and Ministry for the Environment. 2021. </w:t>
      </w:r>
      <w:hyperlink r:id="rId216" w:history="1">
        <w:r>
          <w:rPr>
            <w:rStyle w:val="Hyperlink"/>
            <w:i/>
            <w:iCs/>
          </w:rPr>
          <w:t>Ka Mate Kaainga Tahi, Ka Ora Kaainga Rua –</w:t>
        </w:r>
        <w:r w:rsidR="00F3270F">
          <w:rPr>
            <w:rStyle w:val="Hyperlink"/>
            <w:i/>
            <w:iCs/>
          </w:rPr>
          <w:t> </w:t>
        </w:r>
        <w:r>
          <w:rPr>
            <w:rStyle w:val="Hyperlink"/>
            <w:i/>
            <w:iCs/>
          </w:rPr>
          <w:t>The Ngaa Rauru Kiitahi Climate Change Strategy</w:t>
        </w:r>
      </w:hyperlink>
      <w:r w:rsidRPr="000B165B">
        <w:rPr>
          <w:rStyle w:val="Hyperlink"/>
          <w:i/>
          <w:iCs/>
        </w:rPr>
        <w:t>.</w:t>
      </w:r>
      <w:r w:rsidRPr="00E65897">
        <w:t xml:space="preserve"> </w:t>
      </w:r>
      <w:r>
        <w:t>Te Kaahui o Rauru and Ministry for the Environment.</w:t>
      </w:r>
    </w:p>
  </w:footnote>
  <w:footnote w:id="286">
    <w:p w14:paraId="70AFBEF8" w14:textId="77777777" w:rsidR="00697651" w:rsidRDefault="00697651" w:rsidP="00697651">
      <w:pPr>
        <w:pStyle w:val="FootnoteText"/>
      </w:pPr>
      <w:r>
        <w:rPr>
          <w:rStyle w:val="FootnoteReference"/>
        </w:rPr>
        <w:footnoteRef/>
      </w:r>
      <w:r>
        <w:t xml:space="preserve"> </w:t>
      </w:r>
      <w:r>
        <w:tab/>
        <w:t xml:space="preserve">For more information, see: </w:t>
      </w:r>
      <w:r w:rsidRPr="007019F2">
        <w:rPr>
          <w:rFonts w:cs="Calibri"/>
          <w:color w:val="000000"/>
          <w:szCs w:val="19"/>
          <w:shd w:val="clear" w:color="auto" w:fill="FFFFFF"/>
        </w:rPr>
        <w:t>Climate Change Chief Executive</w:t>
      </w:r>
      <w:r>
        <w:rPr>
          <w:rFonts w:cs="Calibri"/>
          <w:color w:val="000000"/>
          <w:szCs w:val="19"/>
          <w:shd w:val="clear" w:color="auto" w:fill="FFFFFF"/>
        </w:rPr>
        <w:t>s</w:t>
      </w:r>
      <w:r w:rsidRPr="007019F2">
        <w:rPr>
          <w:rFonts w:cs="Calibri"/>
          <w:color w:val="000000"/>
          <w:szCs w:val="19"/>
          <w:shd w:val="clear" w:color="auto" w:fill="FFFFFF"/>
        </w:rPr>
        <w:t xml:space="preserve"> Board. 2024.</w:t>
      </w:r>
      <w:r w:rsidRPr="00DD54E8">
        <w:rPr>
          <w:i/>
          <w:iCs/>
        </w:rPr>
        <w:t xml:space="preserve"> </w:t>
      </w:r>
      <w:hyperlink r:id="rId217" w:history="1">
        <w:r w:rsidRPr="00DD54E8">
          <w:rPr>
            <w:rStyle w:val="Hyperlink"/>
            <w:i/>
            <w:iCs/>
          </w:rPr>
          <w:t>Quarterly Progress Report to Climate Priorities Ministerial Group, March 2024</w:t>
        </w:r>
      </w:hyperlink>
      <w:r>
        <w:t xml:space="preserve">. </w:t>
      </w:r>
      <w:r w:rsidRPr="007019F2">
        <w:rPr>
          <w:rFonts w:cs="Calibri"/>
          <w:color w:val="000000"/>
          <w:szCs w:val="19"/>
          <w:shd w:val="clear" w:color="auto" w:fill="FFFFFF"/>
        </w:rPr>
        <w:t>Climate Change Chief Executive</w:t>
      </w:r>
      <w:r>
        <w:rPr>
          <w:rFonts w:cs="Calibri"/>
          <w:color w:val="000000"/>
          <w:szCs w:val="19"/>
          <w:shd w:val="clear" w:color="auto" w:fill="FFFFFF"/>
        </w:rPr>
        <w:t>s</w:t>
      </w:r>
      <w:r w:rsidRPr="007019F2">
        <w:rPr>
          <w:rFonts w:cs="Calibri"/>
          <w:color w:val="000000"/>
          <w:szCs w:val="19"/>
          <w:shd w:val="clear" w:color="auto" w:fill="FFFFFF"/>
        </w:rPr>
        <w:t xml:space="preserve"> Board.</w:t>
      </w:r>
    </w:p>
  </w:footnote>
  <w:footnote w:id="287">
    <w:p w14:paraId="213E13D3" w14:textId="77777777" w:rsidR="00697651" w:rsidRDefault="00697651" w:rsidP="00697651">
      <w:pPr>
        <w:pStyle w:val="FootnoteText"/>
      </w:pPr>
      <w:r>
        <w:rPr>
          <w:rStyle w:val="FootnoteReference"/>
        </w:rPr>
        <w:footnoteRef/>
      </w:r>
      <w:r>
        <w:t xml:space="preserve"> </w:t>
      </w:r>
      <w:r>
        <w:tab/>
        <w:t xml:space="preserve">For a Green rating, </w:t>
      </w:r>
      <w:r w:rsidRPr="00B86241">
        <w:t>confidence</w:t>
      </w:r>
      <w:r w:rsidRPr="001D193A">
        <w:t xml:space="preserve"> </w:t>
      </w:r>
      <w:r>
        <w:t>in the d</w:t>
      </w:r>
      <w:r w:rsidRPr="00B86241">
        <w:t xml:space="preserve">elivery of the action is high, </w:t>
      </w:r>
      <w:r>
        <w:t>with</w:t>
      </w:r>
      <w:r w:rsidRPr="00B86241">
        <w:t xml:space="preserve"> no outstanding risks or issues at this stage </w:t>
      </w:r>
      <w:r>
        <w:t xml:space="preserve">to </w:t>
      </w:r>
      <w:r w:rsidRPr="00B86241">
        <w:t>threaten th</w:t>
      </w:r>
      <w:r>
        <w:t>at</w:t>
      </w:r>
      <w:r w:rsidRPr="00B86241">
        <w:t xml:space="preserve"> delivery</w:t>
      </w:r>
      <w:r>
        <w:t>.</w:t>
      </w:r>
    </w:p>
  </w:footnote>
  <w:footnote w:id="288">
    <w:p w14:paraId="658B567F" w14:textId="77777777" w:rsidR="00697651" w:rsidRDefault="00697651" w:rsidP="00697651">
      <w:pPr>
        <w:pStyle w:val="FootnoteText"/>
      </w:pPr>
      <w:r>
        <w:rPr>
          <w:rStyle w:val="FootnoteReference"/>
        </w:rPr>
        <w:footnoteRef/>
      </w:r>
      <w:r w:rsidRPr="007019F2">
        <w:t xml:space="preserve"> </w:t>
      </w:r>
      <w:r w:rsidRPr="007019F2">
        <w:tab/>
      </w:r>
      <w:r w:rsidRPr="007E6F40">
        <w:t>Climate Change Chief Executive</w:t>
      </w:r>
      <w:r>
        <w:t>s</w:t>
      </w:r>
      <w:r w:rsidRPr="007E6F40">
        <w:t xml:space="preserve"> Board. 2024.</w:t>
      </w:r>
      <w:r w:rsidRPr="007019F2">
        <w:t xml:space="preserve"> </w:t>
      </w:r>
      <w:hyperlink r:id="rId218" w:history="1">
        <w:r w:rsidRPr="007E6F40">
          <w:rPr>
            <w:rStyle w:val="Hyperlink"/>
            <w:i/>
          </w:rPr>
          <w:t>Quarterly Progress Report</w:t>
        </w:r>
      </w:hyperlink>
      <w:r w:rsidRPr="007019F2">
        <w:t>.</w:t>
      </w:r>
    </w:p>
  </w:footnote>
  <w:footnote w:id="289">
    <w:p w14:paraId="2D8245F7" w14:textId="77777777" w:rsidR="00697651" w:rsidRDefault="00697651" w:rsidP="00697651">
      <w:pPr>
        <w:pStyle w:val="FootnoteText"/>
      </w:pPr>
      <w:r>
        <w:rPr>
          <w:rStyle w:val="FootnoteReference"/>
        </w:rPr>
        <w:footnoteRef/>
      </w:r>
      <w:r>
        <w:t xml:space="preserve"> </w:t>
      </w:r>
      <w:r>
        <w:tab/>
      </w:r>
      <w:r w:rsidRPr="00FD2672">
        <w:t xml:space="preserve">Climate Change Commission. 2024. </w:t>
      </w:r>
      <w:hyperlink r:id="rId219" w:history="1">
        <w:r w:rsidRPr="00FD2672">
          <w:rPr>
            <w:rStyle w:val="Hyperlink"/>
            <w:i/>
            <w:iCs/>
          </w:rPr>
          <w:t>Progress report: National Adaptation Plan.</w:t>
        </w:r>
      </w:hyperlink>
    </w:p>
  </w:footnote>
  <w:footnote w:id="290">
    <w:p w14:paraId="79C2E9EC" w14:textId="77777777" w:rsidR="00697651" w:rsidRDefault="00697651" w:rsidP="00697651">
      <w:pPr>
        <w:pStyle w:val="FootnoteText"/>
      </w:pPr>
      <w:r>
        <w:rPr>
          <w:rStyle w:val="FootnoteReference"/>
        </w:rPr>
        <w:footnoteRef/>
      </w:r>
      <w:r>
        <w:t xml:space="preserve"> </w:t>
      </w:r>
      <w:r>
        <w:tab/>
        <w:t xml:space="preserve">HB Coast. </w:t>
      </w:r>
      <w:hyperlink r:id="rId220" w:history="1">
        <w:r w:rsidRPr="009F14CF">
          <w:rPr>
            <w:rStyle w:val="Hyperlink"/>
            <w:i/>
          </w:rPr>
          <w:t>Clifton to Tangoio Coastal Hazards Strategy 2120</w:t>
        </w:r>
      </w:hyperlink>
      <w:r>
        <w:t>. Retrieved 22 July 2024.</w:t>
      </w:r>
    </w:p>
  </w:footnote>
  <w:footnote w:id="291">
    <w:p w14:paraId="4594F0BB" w14:textId="77777777" w:rsidR="00697651" w:rsidRPr="00F25D59" w:rsidRDefault="00697651" w:rsidP="00697651">
      <w:pPr>
        <w:pStyle w:val="FootnoteText"/>
      </w:pPr>
      <w:r>
        <w:rPr>
          <w:rStyle w:val="FootnoteReference"/>
        </w:rPr>
        <w:footnoteRef/>
      </w:r>
      <w:r>
        <w:t xml:space="preserve"> </w:t>
      </w:r>
      <w:r>
        <w:tab/>
      </w:r>
      <w:r w:rsidRPr="00A719BA">
        <w:rPr>
          <w:spacing w:val="-2"/>
        </w:rPr>
        <w:t xml:space="preserve">Otago Regional Council. </w:t>
      </w:r>
      <w:hyperlink r:id="rId221" w:history="1">
        <w:r w:rsidRPr="00A719BA">
          <w:rPr>
            <w:rStyle w:val="Hyperlink"/>
            <w:i/>
            <w:spacing w:val="-2"/>
          </w:rPr>
          <w:t>Head of Lake Whakatipu – Whakatipu-wai-Māori</w:t>
        </w:r>
      </w:hyperlink>
      <w:r w:rsidRPr="00A719BA">
        <w:rPr>
          <w:rStyle w:val="Hyperlink"/>
          <w:color w:val="auto"/>
          <w:spacing w:val="-2"/>
        </w:rPr>
        <w:t>. Retrieved 20 September 2024</w:t>
      </w:r>
      <w:r>
        <w:rPr>
          <w:rStyle w:val="Hyperlink"/>
          <w:color w:val="auto"/>
        </w:rPr>
        <w:t>.</w:t>
      </w:r>
    </w:p>
  </w:footnote>
  <w:footnote w:id="292">
    <w:p w14:paraId="7DE40248" w14:textId="77777777" w:rsidR="00697651" w:rsidRDefault="00697651" w:rsidP="00697651">
      <w:pPr>
        <w:pStyle w:val="FootnoteText"/>
      </w:pPr>
      <w:r>
        <w:rPr>
          <w:rStyle w:val="FootnoteReference"/>
        </w:rPr>
        <w:footnoteRef/>
      </w:r>
      <w:r>
        <w:t xml:space="preserve"> </w:t>
      </w:r>
      <w:r>
        <w:tab/>
        <w:t xml:space="preserve">Dunedin City Council. </w:t>
      </w:r>
      <w:hyperlink r:id="rId222" w:history="1">
        <w:r w:rsidRPr="009F14CF">
          <w:rPr>
            <w:rStyle w:val="Hyperlink"/>
            <w:i/>
          </w:rPr>
          <w:t>South Dunedin Future</w:t>
        </w:r>
      </w:hyperlink>
      <w:r>
        <w:t>. Retrieved 22 July 2024.</w:t>
      </w:r>
    </w:p>
  </w:footnote>
  <w:footnote w:id="293">
    <w:p w14:paraId="2F3887E2" w14:textId="77777777" w:rsidR="00697651" w:rsidRDefault="00697651" w:rsidP="00697651">
      <w:pPr>
        <w:pStyle w:val="FootnoteText"/>
      </w:pPr>
      <w:r>
        <w:rPr>
          <w:rStyle w:val="FootnoteReference"/>
        </w:rPr>
        <w:footnoteRef/>
      </w:r>
      <w:r>
        <w:t xml:space="preserve"> </w:t>
      </w:r>
      <w:r>
        <w:tab/>
        <w:t xml:space="preserve">Thames-Coromandel District Council. </w:t>
      </w:r>
      <w:hyperlink r:id="rId223" w:history="1">
        <w:r w:rsidRPr="009F14CF">
          <w:rPr>
            <w:rStyle w:val="Hyperlink"/>
            <w:i/>
          </w:rPr>
          <w:t>Coastal Activity and Coastal Management Strategy</w:t>
        </w:r>
      </w:hyperlink>
      <w:r>
        <w:t>. Retrieved 22 July 2024.</w:t>
      </w:r>
    </w:p>
  </w:footnote>
  <w:footnote w:id="294">
    <w:p w14:paraId="26C1A92B" w14:textId="77777777" w:rsidR="00697651" w:rsidRDefault="00697651" w:rsidP="00697651">
      <w:pPr>
        <w:pStyle w:val="FootnoteText"/>
      </w:pPr>
      <w:r>
        <w:rPr>
          <w:rStyle w:val="FootnoteReference"/>
        </w:rPr>
        <w:footnoteRef/>
      </w:r>
      <w:r>
        <w:t xml:space="preserve"> </w:t>
      </w:r>
      <w:r>
        <w:tab/>
        <w:t xml:space="preserve">Thames-Coromandel District Council. </w:t>
      </w:r>
      <w:hyperlink r:id="rId224" w:history="1">
        <w:r w:rsidRPr="00087376">
          <w:rPr>
            <w:rStyle w:val="Hyperlink"/>
            <w:i/>
            <w:iCs/>
          </w:rPr>
          <w:t>Shoreline Management Pathways Project</w:t>
        </w:r>
      </w:hyperlink>
      <w:r>
        <w:t>. Retrieved 12 September 2024.</w:t>
      </w:r>
    </w:p>
  </w:footnote>
  <w:footnote w:id="295">
    <w:p w14:paraId="6E8395B5" w14:textId="77777777" w:rsidR="00697651" w:rsidRDefault="00697651" w:rsidP="00697651">
      <w:pPr>
        <w:pStyle w:val="FootnoteText"/>
      </w:pPr>
      <w:r>
        <w:rPr>
          <w:rStyle w:val="FootnoteReference"/>
        </w:rPr>
        <w:footnoteRef/>
      </w:r>
      <w:r>
        <w:t xml:space="preserve"> </w:t>
      </w:r>
      <w:r>
        <w:tab/>
        <w:t xml:space="preserve">Whakatāne District Council. </w:t>
      </w:r>
      <w:hyperlink r:id="rId225" w:history="1">
        <w:r w:rsidRPr="007E6F40">
          <w:rPr>
            <w:rStyle w:val="Hyperlink"/>
            <w:i/>
            <w:iCs/>
          </w:rPr>
          <w:t>Awatarariki Managed Retreat Programme</w:t>
        </w:r>
      </w:hyperlink>
      <w:r>
        <w:rPr>
          <w:rStyle w:val="Hyperlink"/>
          <w:color w:val="auto"/>
        </w:rPr>
        <w:t>. Retrieved 22 July 2024.</w:t>
      </w:r>
      <w:r>
        <w:t xml:space="preserve"> </w:t>
      </w:r>
    </w:p>
  </w:footnote>
  <w:footnote w:id="296">
    <w:p w14:paraId="49133EB5" w14:textId="77777777" w:rsidR="00697651" w:rsidRDefault="00697651" w:rsidP="00697651">
      <w:pPr>
        <w:pStyle w:val="FootnoteText"/>
      </w:pPr>
      <w:r>
        <w:rPr>
          <w:rStyle w:val="FootnoteReference"/>
        </w:rPr>
        <w:footnoteRef/>
      </w:r>
      <w:r>
        <w:t xml:space="preserve"> </w:t>
      </w:r>
      <w:r>
        <w:tab/>
        <w:t xml:space="preserve">For more information, see Whakatāne District Council. </w:t>
      </w:r>
      <w:hyperlink r:id="rId226" w:history="1">
        <w:r>
          <w:rPr>
            <w:rStyle w:val="Hyperlink"/>
          </w:rPr>
          <w:t>Plan Change 1 (Awatarariki Fanhead, Matatā)</w:t>
        </w:r>
      </w:hyperlink>
      <w:r>
        <w:t>. Retrieved 10 October 2024.</w:t>
      </w:r>
    </w:p>
  </w:footnote>
  <w:footnote w:id="297">
    <w:p w14:paraId="02598CA2" w14:textId="4B777C37" w:rsidR="00697651" w:rsidRDefault="00697651" w:rsidP="00697651">
      <w:pPr>
        <w:pStyle w:val="FootnoteText"/>
      </w:pPr>
      <w:r>
        <w:rPr>
          <w:rStyle w:val="FootnoteReference"/>
        </w:rPr>
        <w:footnoteRef/>
      </w:r>
      <w:r>
        <w:t xml:space="preserve"> </w:t>
      </w:r>
      <w:r>
        <w:tab/>
        <w:t xml:space="preserve">Te Kaahui o Rauru and Ministry for the Environment. 2021. </w:t>
      </w:r>
      <w:hyperlink r:id="rId227" w:history="1">
        <w:r>
          <w:rPr>
            <w:rStyle w:val="Hyperlink"/>
            <w:i/>
            <w:iCs/>
          </w:rPr>
          <w:t>Ka Mate Kaainga Tahi, Ka Ora Kaainga Rua –</w:t>
        </w:r>
        <w:r w:rsidR="00634B98">
          <w:rPr>
            <w:rStyle w:val="Hyperlink"/>
            <w:i/>
            <w:iCs/>
          </w:rPr>
          <w:t> </w:t>
        </w:r>
        <w:r>
          <w:rPr>
            <w:rStyle w:val="Hyperlink"/>
            <w:i/>
          </w:rPr>
          <w:t>Ngaa Rauru Kiitahi Climate Change Strategy</w:t>
        </w:r>
      </w:hyperlink>
      <w:r>
        <w:t xml:space="preserve">. </w:t>
      </w:r>
    </w:p>
  </w:footnote>
  <w:footnote w:id="298">
    <w:p w14:paraId="4074E563" w14:textId="77777777" w:rsidR="00697651" w:rsidRDefault="00697651" w:rsidP="00697651">
      <w:pPr>
        <w:pStyle w:val="FootnoteText"/>
      </w:pPr>
      <w:r>
        <w:rPr>
          <w:rStyle w:val="FootnoteReference"/>
        </w:rPr>
        <w:footnoteRef/>
      </w:r>
      <w:r>
        <w:t xml:space="preserve"> </w:t>
      </w:r>
      <w:r>
        <w:tab/>
      </w:r>
      <w:r w:rsidRPr="003C16D0">
        <w:rPr>
          <w:spacing w:val="-2"/>
          <w:lang w:val="fr-FR"/>
        </w:rPr>
        <w:t xml:space="preserve">Te Rūnanga o Ngāi Tahu. 2018. </w:t>
      </w:r>
      <w:hyperlink r:id="rId228" w:history="1">
        <w:r w:rsidRPr="003C16D0">
          <w:rPr>
            <w:rStyle w:val="Hyperlink"/>
            <w:i/>
            <w:iCs/>
            <w:spacing w:val="-2"/>
          </w:rPr>
          <w:t>Te Tāhū o te Whāriki (Anchoring the Foundations) Climate Change Strategy</w:t>
        </w:r>
      </w:hyperlink>
      <w:r>
        <w:t>.</w:t>
      </w:r>
    </w:p>
  </w:footnote>
  <w:footnote w:id="299">
    <w:p w14:paraId="5F90EC32" w14:textId="77777777" w:rsidR="00697651" w:rsidRDefault="00697651" w:rsidP="00697651">
      <w:pPr>
        <w:pStyle w:val="FootnoteText"/>
      </w:pPr>
      <w:r>
        <w:rPr>
          <w:rStyle w:val="FootnoteReference"/>
        </w:rPr>
        <w:footnoteRef/>
      </w:r>
      <w:r>
        <w:t xml:space="preserve"> </w:t>
      </w:r>
      <w:r>
        <w:tab/>
        <w:t xml:space="preserve">Te Rūnanga o Ngāi Tahu. 2022. </w:t>
      </w:r>
      <w:hyperlink r:id="rId229" w:history="1">
        <w:r w:rsidRPr="009F14CF">
          <w:rPr>
            <w:rStyle w:val="Hyperlink"/>
            <w:i/>
          </w:rPr>
          <w:t>Te Kounga Paparangi – Ngāi Tahu Climate Change Action Plan</w:t>
        </w:r>
      </w:hyperlink>
      <w:r>
        <w:t>.</w:t>
      </w:r>
    </w:p>
  </w:footnote>
  <w:footnote w:id="300">
    <w:p w14:paraId="55C213DA" w14:textId="77777777" w:rsidR="00697651" w:rsidRDefault="00697651" w:rsidP="00697651">
      <w:pPr>
        <w:pStyle w:val="FootnoteText"/>
      </w:pPr>
      <w:r>
        <w:rPr>
          <w:rStyle w:val="FootnoteReference"/>
        </w:rPr>
        <w:footnoteRef/>
      </w:r>
      <w:r>
        <w:t xml:space="preserve"> </w:t>
      </w:r>
      <w:r>
        <w:tab/>
        <w:t xml:space="preserve">Te Arawa. 2021. </w:t>
      </w:r>
      <w:hyperlink r:id="rId230" w:history="1">
        <w:r w:rsidRPr="009F14CF">
          <w:rPr>
            <w:rStyle w:val="Hyperlink"/>
            <w:i/>
          </w:rPr>
          <w:t>Te Ara ki Kōpū – Te Arawa Climate Change Strategy</w:t>
        </w:r>
      </w:hyperlink>
      <w:r>
        <w:t>.</w:t>
      </w:r>
    </w:p>
  </w:footnote>
  <w:footnote w:id="301">
    <w:p w14:paraId="11807C4C" w14:textId="77777777" w:rsidR="00697651" w:rsidRDefault="00697651" w:rsidP="00697651">
      <w:pPr>
        <w:pStyle w:val="FootnoteText"/>
      </w:pPr>
      <w:r>
        <w:rPr>
          <w:rStyle w:val="FootnoteReference"/>
        </w:rPr>
        <w:footnoteRef/>
      </w:r>
      <w:r>
        <w:t xml:space="preserve"> </w:t>
      </w:r>
      <w:r>
        <w:tab/>
        <w:t xml:space="preserve">Nā Ngā Iwi Ō Maketu. 2022. </w:t>
      </w:r>
      <w:hyperlink r:id="rId231" w:history="1">
        <w:r w:rsidRPr="005446FB">
          <w:rPr>
            <w:rStyle w:val="Hyperlink"/>
            <w:i/>
            <w:iCs/>
          </w:rPr>
          <w:t>He Toka Tū Moana Mō Maketu</w:t>
        </w:r>
        <w:r>
          <w:rPr>
            <w:rStyle w:val="Hyperlink"/>
            <w:i/>
            <w:iCs/>
          </w:rPr>
          <w:t>:</w:t>
        </w:r>
        <w:r w:rsidRPr="005446FB">
          <w:rPr>
            <w:rStyle w:val="Hyperlink"/>
            <w:i/>
            <w:iCs/>
          </w:rPr>
          <w:t xml:space="preserve"> Maketu Climate Change Adaptation Plan</w:t>
        </w:r>
      </w:hyperlink>
      <w:r>
        <w:t>.</w:t>
      </w:r>
    </w:p>
  </w:footnote>
  <w:footnote w:id="302">
    <w:p w14:paraId="092D2AE2" w14:textId="77777777" w:rsidR="00697651" w:rsidRDefault="00697651" w:rsidP="00697651">
      <w:pPr>
        <w:pStyle w:val="FootnoteText"/>
        <w:spacing w:after="40"/>
      </w:pPr>
      <w:r>
        <w:rPr>
          <w:rStyle w:val="FootnoteReference"/>
        </w:rPr>
        <w:footnoteRef/>
      </w:r>
      <w:r>
        <w:t xml:space="preserve"> </w:t>
      </w:r>
      <w:r>
        <w:tab/>
        <w:t xml:space="preserve">Aotearoa Circle. 2024. </w:t>
      </w:r>
      <w:hyperlink r:id="rId232" w:history="1">
        <w:r w:rsidRPr="005446FB">
          <w:rPr>
            <w:rStyle w:val="Hyperlink"/>
            <w:i/>
            <w:iCs/>
          </w:rPr>
          <w:t>Reports &amp; Resources</w:t>
        </w:r>
      </w:hyperlink>
      <w:r>
        <w:t xml:space="preserve">. </w:t>
      </w:r>
    </w:p>
  </w:footnote>
  <w:footnote w:id="303">
    <w:p w14:paraId="24D2C737" w14:textId="77777777" w:rsidR="00697651" w:rsidRDefault="00697651" w:rsidP="00697651">
      <w:pPr>
        <w:pStyle w:val="FootnoteText"/>
        <w:spacing w:after="40"/>
      </w:pPr>
      <w:r>
        <w:rPr>
          <w:rStyle w:val="FootnoteReference"/>
        </w:rPr>
        <w:footnoteRef/>
      </w:r>
      <w:r>
        <w:t xml:space="preserve"> </w:t>
      </w:r>
      <w:r>
        <w:tab/>
        <w:t xml:space="preserve">External Reporting Board. </w:t>
      </w:r>
      <w:hyperlink r:id="rId233" w:history="1">
        <w:r w:rsidRPr="006F484A">
          <w:rPr>
            <w:rStyle w:val="Hyperlink"/>
            <w:i/>
            <w:iCs/>
          </w:rPr>
          <w:t>Sector-level scenario analysis</w:t>
        </w:r>
      </w:hyperlink>
      <w:r>
        <w:t>. Retrieved 16 September 2024.</w:t>
      </w:r>
    </w:p>
  </w:footnote>
  <w:footnote w:id="304">
    <w:p w14:paraId="45315BC7" w14:textId="77777777" w:rsidR="00697651" w:rsidRDefault="00697651" w:rsidP="00697651">
      <w:pPr>
        <w:pStyle w:val="FootnoteText"/>
        <w:spacing w:after="40"/>
      </w:pPr>
      <w:r>
        <w:rPr>
          <w:rStyle w:val="FootnoteReference"/>
        </w:rPr>
        <w:footnoteRef/>
      </w:r>
      <w:r>
        <w:t xml:space="preserve"> </w:t>
      </w:r>
      <w:r>
        <w:tab/>
      </w:r>
      <w:r w:rsidRPr="00250325">
        <w:t xml:space="preserve">Most of the </w:t>
      </w:r>
      <w:r>
        <w:t>entity</w:t>
      </w:r>
      <w:r w:rsidRPr="00250325">
        <w:t>-level analys</w:t>
      </w:r>
      <w:r>
        <w:t>e</w:t>
      </w:r>
      <w:r w:rsidRPr="00250325">
        <w:t xml:space="preserve">s are completed for </w:t>
      </w:r>
      <w:r>
        <w:t>financial institutions General insurance has been completed, but is not published.</w:t>
      </w:r>
    </w:p>
  </w:footnote>
  <w:footnote w:id="305">
    <w:p w14:paraId="119AB01F" w14:textId="77777777" w:rsidR="00697651" w:rsidRDefault="00697651" w:rsidP="00697651">
      <w:pPr>
        <w:pStyle w:val="FootnoteText"/>
        <w:spacing w:after="40"/>
      </w:pPr>
      <w:r>
        <w:rPr>
          <w:rStyle w:val="FootnoteReference"/>
        </w:rPr>
        <w:footnoteRef/>
      </w:r>
      <w:r>
        <w:t xml:space="preserve"> </w:t>
      </w:r>
      <w:r>
        <w:tab/>
        <w:t xml:space="preserve">Most of the sector-level analyses are completed for the corporate sector. Those not yet completed are media (no active process underway) and telecommunications (in development, not yet published). </w:t>
      </w:r>
    </w:p>
  </w:footnote>
  <w:footnote w:id="306">
    <w:p w14:paraId="76634C08" w14:textId="77777777" w:rsidR="00697651" w:rsidRDefault="00697651" w:rsidP="00697651">
      <w:pPr>
        <w:pStyle w:val="FootnoteText"/>
      </w:pPr>
      <w:r>
        <w:rPr>
          <w:rStyle w:val="FootnoteReference"/>
        </w:rPr>
        <w:footnoteRef/>
      </w:r>
      <w:r>
        <w:t xml:space="preserve"> </w:t>
      </w:r>
      <w:r>
        <w:tab/>
        <w:t xml:space="preserve">For more information, see Reserve Bank of New Zealand. 2024. </w:t>
      </w:r>
      <w:hyperlink r:id="rId234" w:history="1">
        <w:r w:rsidRPr="007A4ED4">
          <w:rPr>
            <w:rStyle w:val="Hyperlink"/>
            <w:i/>
          </w:rPr>
          <w:t>Financial Stability Report – May 2024</w:t>
        </w:r>
      </w:hyperlink>
      <w:r>
        <w:t>. Wellington:</w:t>
      </w:r>
      <w:r w:rsidRPr="00AD35A5">
        <w:t xml:space="preserve"> </w:t>
      </w:r>
      <w:r>
        <w:t>Reserve Bank of New Zealand.</w:t>
      </w:r>
    </w:p>
  </w:footnote>
  <w:footnote w:id="307">
    <w:p w14:paraId="5A68C6A4" w14:textId="77777777" w:rsidR="00697651" w:rsidRPr="00196FCD" w:rsidRDefault="00697651" w:rsidP="00697651">
      <w:pPr>
        <w:pStyle w:val="FootnoteText"/>
        <w:rPr>
          <w:spacing w:val="-2"/>
        </w:rPr>
      </w:pPr>
      <w:r>
        <w:rPr>
          <w:rStyle w:val="FootnoteReference"/>
        </w:rPr>
        <w:footnoteRef/>
      </w:r>
      <w:r>
        <w:t xml:space="preserve"> </w:t>
      </w:r>
      <w:r>
        <w:tab/>
      </w:r>
      <w:r w:rsidRPr="00196FCD">
        <w:rPr>
          <w:spacing w:val="-2"/>
        </w:rPr>
        <w:t xml:space="preserve">Ministry of Business, Innovation and Employment. </w:t>
      </w:r>
      <w:hyperlink r:id="rId235" w:history="1">
        <w:r w:rsidRPr="00196FCD">
          <w:rPr>
            <w:rStyle w:val="Hyperlink"/>
            <w:i/>
            <w:iCs/>
            <w:spacing w:val="-2"/>
          </w:rPr>
          <w:t>National Science Challenges</w:t>
        </w:r>
      </w:hyperlink>
      <w:r w:rsidRPr="00196FCD">
        <w:rPr>
          <w:spacing w:val="-2"/>
        </w:rPr>
        <w:t>. Retrieved 10 October 2024.</w:t>
      </w:r>
    </w:p>
  </w:footnote>
  <w:footnote w:id="308">
    <w:p w14:paraId="0099659D" w14:textId="77777777" w:rsidR="00697651" w:rsidRDefault="00697651" w:rsidP="00697651">
      <w:pPr>
        <w:pStyle w:val="FootnoteText"/>
      </w:pPr>
      <w:r w:rsidRPr="2DBFBFEF">
        <w:rPr>
          <w:rStyle w:val="FootnoteReference"/>
        </w:rPr>
        <w:footnoteRef/>
      </w:r>
      <w:r>
        <w:t xml:space="preserve"> </w:t>
      </w:r>
      <w:r>
        <w:tab/>
      </w:r>
      <w:hyperlink r:id="rId236" w:history="1">
        <w:r w:rsidRPr="2DBFBFEF">
          <w:rPr>
            <w:rStyle w:val="Hyperlink"/>
          </w:rPr>
          <w:t>Natural Hazards and Resilience Platform - GNS Science | Te Pῡ Ao</w:t>
        </w:r>
      </w:hyperlink>
    </w:p>
  </w:footnote>
  <w:footnote w:id="309">
    <w:p w14:paraId="061836F5" w14:textId="77777777" w:rsidR="00182E8E" w:rsidRDefault="00182E8E" w:rsidP="00182E8E">
      <w:pPr>
        <w:pStyle w:val="FootnoteText"/>
      </w:pPr>
      <w:r>
        <w:rPr>
          <w:rStyle w:val="FootnoteReference"/>
        </w:rPr>
        <w:footnoteRef/>
      </w:r>
      <w:r>
        <w:t xml:space="preserve"> </w:t>
      </w:r>
      <w:r>
        <w:tab/>
        <w:t>Ministry of Foreign Affairs and Trade. No date.</w:t>
      </w:r>
      <w:r w:rsidRPr="00A605EE">
        <w:t xml:space="preserve"> </w:t>
      </w:r>
      <w:hyperlink r:id="rId237" w:history="1">
        <w:r w:rsidRPr="00A605EE">
          <w:rPr>
            <w:rStyle w:val="Hyperlink"/>
            <w:i/>
            <w:iCs/>
          </w:rPr>
          <w:t>Aotearoa New Zealand International Climate Finance Strategy – Tuia te Waka a Kiwa</w:t>
        </w:r>
      </w:hyperlink>
      <w:r>
        <w:t>. Wellington: Ministry of Foreign Affairs and Trade.</w:t>
      </w:r>
    </w:p>
  </w:footnote>
  <w:footnote w:id="310">
    <w:p w14:paraId="6A00F931" w14:textId="77777777" w:rsidR="00182E8E" w:rsidRDefault="00182E8E" w:rsidP="00182E8E">
      <w:pPr>
        <w:pStyle w:val="FootnoteText"/>
      </w:pPr>
      <w:r>
        <w:rPr>
          <w:rStyle w:val="FootnoteReference"/>
        </w:rPr>
        <w:footnoteRef/>
      </w:r>
      <w:r>
        <w:t xml:space="preserve"> </w:t>
      </w:r>
      <w:r>
        <w:tab/>
      </w:r>
      <w:r w:rsidRPr="002547C6">
        <w:t>For the 2021</w:t>
      </w:r>
      <w:r>
        <w:t>–</w:t>
      </w:r>
      <w:r w:rsidRPr="002547C6">
        <w:t>22 reporting period</w:t>
      </w:r>
      <w:r>
        <w:t>,</w:t>
      </w:r>
      <w:r w:rsidRPr="002547C6">
        <w:t xml:space="preserve"> no payments were made to multilateral climate change funds, such as the </w:t>
      </w:r>
      <w:bookmarkStart w:id="832" w:name="_Hlk115435715"/>
      <w:r w:rsidRPr="002547C6">
        <w:t>Global Environment Facility</w:t>
      </w:r>
      <w:bookmarkEnd w:id="832"/>
      <w:r w:rsidRPr="002547C6">
        <w:t xml:space="preserve">, the </w:t>
      </w:r>
      <w:bookmarkStart w:id="833" w:name="_Hlk115435733"/>
      <w:r w:rsidRPr="002547C6">
        <w:t>Green Climate Fund</w:t>
      </w:r>
      <w:bookmarkEnd w:id="833"/>
      <w:r w:rsidRPr="002547C6">
        <w:t xml:space="preserve"> and the Adaptation Fund</w:t>
      </w:r>
      <w:r>
        <w:t>, because</w:t>
      </w:r>
      <w:r w:rsidRPr="002547C6">
        <w:t xml:space="preserve"> payments had already been made to these </w:t>
      </w:r>
      <w:r>
        <w:t>f</w:t>
      </w:r>
      <w:r w:rsidRPr="002547C6">
        <w:t>unds for a multi-year period.</w:t>
      </w:r>
      <w:r>
        <w:t xml:space="preserve"> </w:t>
      </w:r>
    </w:p>
  </w:footnote>
  <w:footnote w:id="311">
    <w:p w14:paraId="4264C2BD" w14:textId="77777777" w:rsidR="00182E8E" w:rsidRDefault="00182E8E" w:rsidP="00182E8E">
      <w:pPr>
        <w:pStyle w:val="FootnoteText"/>
      </w:pPr>
      <w:r>
        <w:rPr>
          <w:rStyle w:val="FootnoteReference"/>
        </w:rPr>
        <w:footnoteRef/>
      </w:r>
      <w:r>
        <w:t xml:space="preserve"> </w:t>
      </w:r>
      <w:r>
        <w:tab/>
      </w:r>
      <w:r w:rsidRPr="006A2589">
        <w:rPr>
          <w:rFonts w:eastAsia="Calibri" w:cs="Calibri"/>
          <w:sz w:val="20"/>
          <w:szCs w:val="20"/>
        </w:rPr>
        <w:t>Ministry of Foreign Affairs and Trade</w:t>
      </w:r>
      <w:r>
        <w:t xml:space="preserve">. No date. </w:t>
      </w:r>
      <w:hyperlink r:id="rId238" w:history="1">
        <w:r w:rsidRPr="000A6D34">
          <w:rPr>
            <w:rStyle w:val="Hyperlink"/>
            <w:i/>
            <w:iCs/>
          </w:rPr>
          <w:t>Policy Statement: New Zealand’s International Cooperation for Effective Sustainable Development (ICESD)</w:t>
        </w:r>
      </w:hyperlink>
      <w:r>
        <w:t xml:space="preserve">. Wellington: </w:t>
      </w:r>
      <w:r w:rsidRPr="006A2589">
        <w:rPr>
          <w:rFonts w:eastAsia="Calibri" w:cs="Calibri"/>
          <w:sz w:val="20"/>
          <w:szCs w:val="20"/>
        </w:rPr>
        <w:t>Ministry of Foreign Affairs and</w:t>
      </w:r>
      <w:r>
        <w:rPr>
          <w:rFonts w:eastAsia="Calibri" w:cs="Calibri"/>
          <w:sz w:val="20"/>
          <w:szCs w:val="20"/>
        </w:rPr>
        <w:t> </w:t>
      </w:r>
      <w:r w:rsidRPr="006A2589">
        <w:rPr>
          <w:rFonts w:eastAsia="Calibri" w:cs="Calibri"/>
          <w:sz w:val="20"/>
          <w:szCs w:val="20"/>
        </w:rPr>
        <w:t>Trade</w:t>
      </w:r>
      <w:r>
        <w:t>.</w:t>
      </w:r>
    </w:p>
  </w:footnote>
  <w:footnote w:id="312">
    <w:p w14:paraId="2E8FA2C1" w14:textId="77777777" w:rsidR="00182E8E" w:rsidRDefault="00182E8E" w:rsidP="00182E8E">
      <w:pPr>
        <w:pStyle w:val="FootnoteText"/>
      </w:pPr>
      <w:r>
        <w:rPr>
          <w:rStyle w:val="FootnoteReference"/>
        </w:rPr>
        <w:footnoteRef/>
      </w:r>
      <w:r>
        <w:t xml:space="preserve"> </w:t>
      </w:r>
      <w:r>
        <w:tab/>
      </w:r>
      <w:r w:rsidRPr="00D01796">
        <w:t xml:space="preserve">Pacific Community (SPC). 2017. </w:t>
      </w:r>
      <w:r w:rsidRPr="000A6D34">
        <w:rPr>
          <w:i/>
          <w:iCs/>
        </w:rPr>
        <w:t>Framework for Resilient Development in the Pacific: An Integrated Approach to Address Climate Change and Disaster Risk Management (FRDP) 2017–2030</w:t>
      </w:r>
      <w:r w:rsidRPr="00D01796">
        <w:t xml:space="preserve">. Suva: Pacific Community. Retrieved from </w:t>
      </w:r>
      <w:hyperlink r:id="rId239" w:history="1">
        <w:r w:rsidRPr="00D01796">
          <w:rPr>
            <w:rStyle w:val="Hyperlink"/>
          </w:rPr>
          <w:t>http://gsd.spc.int/frdp/</w:t>
        </w:r>
      </w:hyperlink>
      <w:r>
        <w:rPr>
          <w:rStyle w:val="Hyperlink"/>
        </w:rPr>
        <w:t xml:space="preserve"> </w:t>
      </w:r>
      <w:r>
        <w:t>(30 September 2022)</w:t>
      </w:r>
      <w:r w:rsidRPr="00D01796">
        <w:t>.</w:t>
      </w:r>
    </w:p>
  </w:footnote>
  <w:footnote w:id="313">
    <w:p w14:paraId="576394A3" w14:textId="77777777" w:rsidR="00182E8E" w:rsidRPr="007D40BC" w:rsidRDefault="00182E8E" w:rsidP="00182E8E">
      <w:pPr>
        <w:pStyle w:val="FootnoteText"/>
        <w:rPr>
          <w:highlight w:val="yellow"/>
        </w:rPr>
      </w:pPr>
      <w:r w:rsidRPr="00D01796">
        <w:rPr>
          <w:rStyle w:val="FootnoteReference"/>
        </w:rPr>
        <w:footnoteRef/>
      </w:r>
      <w:r w:rsidRPr="00D01796">
        <w:t xml:space="preserve"> </w:t>
      </w:r>
      <w:r w:rsidRPr="00D01796">
        <w:tab/>
        <w:t xml:space="preserve">Pacific Community (SPC). 2017. </w:t>
      </w:r>
      <w:r w:rsidRPr="000A6D34">
        <w:rPr>
          <w:i/>
          <w:iCs/>
        </w:rPr>
        <w:t>Framework for Resilient Development in the Pacific: An Integrated Approach to Address Climate Change and Disaster Risk Management (FRDP) 2017–2030</w:t>
      </w:r>
      <w:r w:rsidRPr="00D01796">
        <w:t xml:space="preserve">. </w:t>
      </w:r>
    </w:p>
  </w:footnote>
  <w:footnote w:id="314">
    <w:p w14:paraId="2ECB037E" w14:textId="77777777" w:rsidR="009B2872" w:rsidRDefault="009B2872" w:rsidP="009B2872">
      <w:pPr>
        <w:pStyle w:val="FootnoteText"/>
      </w:pPr>
      <w:r>
        <w:rPr>
          <w:rStyle w:val="FootnoteReference"/>
        </w:rPr>
        <w:footnoteRef/>
      </w:r>
      <w:r>
        <w:t xml:space="preserve"> </w:t>
      </w:r>
      <w:r>
        <w:tab/>
      </w:r>
      <w:r w:rsidRPr="00D9605A">
        <w:t>IPCC. 2013. Stocker TF, Qin D, Plattner G-K, Tignor M, Allen SK, Boschung J, Nauels A, Xia Y, Bex V, Midgley PM (eds). Climate Change 2013: The Physical Science Basis. Contribution of Working Group I to the Fifth Assessment Report of the Intergovernmental Panel on Climate Change. Cambridge: Cambridge University Press.</w:t>
      </w:r>
    </w:p>
  </w:footnote>
  <w:footnote w:id="315">
    <w:p w14:paraId="3D51D16A" w14:textId="77777777" w:rsidR="009B2872" w:rsidRDefault="009B2872" w:rsidP="009B2872">
      <w:pPr>
        <w:pStyle w:val="FootnoteText"/>
      </w:pPr>
      <w:r w:rsidRPr="00D26D4E">
        <w:rPr>
          <w:sz w:val="22"/>
          <w:vertAlign w:val="superscript"/>
        </w:rPr>
        <w:footnoteRef/>
      </w:r>
      <w:r>
        <w:t xml:space="preserve"> </w:t>
      </w:r>
      <w:r>
        <w:tab/>
      </w:r>
      <w:r w:rsidRPr="008571F7">
        <w:t xml:space="preserve">IPCC. 2006. Eggleston HS, Buendia L, Miwa K, Ngara T, Tanabe K (eds). </w:t>
      </w:r>
      <w:r w:rsidRPr="008571F7">
        <w:rPr>
          <w:i/>
          <w:iCs/>
        </w:rPr>
        <w:t xml:space="preserve">2006 IPCC Guidelines for National Greenhouse Gas Inventories. Volume 1. General Guidance and Reporting. </w:t>
      </w:r>
      <w:r w:rsidRPr="008571F7">
        <w:t>IPCC National Greenhouse Gas Inventories Programme. Japan: Institute for Global Environmental Strategies for IPCC.</w:t>
      </w:r>
    </w:p>
  </w:footnote>
  <w:footnote w:id="316">
    <w:p w14:paraId="06DBA4C8" w14:textId="77777777" w:rsidR="009B2872" w:rsidRDefault="009B2872" w:rsidP="009B2872">
      <w:pPr>
        <w:pStyle w:val="FootnoteText"/>
      </w:pPr>
      <w:r w:rsidRPr="00D26D4E">
        <w:rPr>
          <w:sz w:val="22"/>
          <w:vertAlign w:val="superscript"/>
        </w:rPr>
        <w:footnoteRef/>
      </w:r>
      <w:r>
        <w:t xml:space="preserve"> </w:t>
      </w:r>
      <w:r>
        <w:tab/>
      </w:r>
      <w:r w:rsidRPr="0008053A">
        <w:t xml:space="preserve">IPCC. 2014. Hiraishi T, Krug T, Tanabe K, Srivastava N, Baasansuren J, Fukuda M, Troxler TG (eds). </w:t>
      </w:r>
      <w:r w:rsidRPr="0008053A">
        <w:rPr>
          <w:i/>
          <w:iCs/>
        </w:rPr>
        <w:t>2013 Revised Supplementary Methods and Good Practice Guidance Arising from the Kyoto Protocol</w:t>
      </w:r>
      <w:r w:rsidRPr="0008053A">
        <w:t>. Switzerland: IPCC.</w:t>
      </w:r>
    </w:p>
  </w:footnote>
  <w:footnote w:id="317">
    <w:p w14:paraId="334D34E5" w14:textId="77777777" w:rsidR="009B2872" w:rsidRDefault="009B2872" w:rsidP="009B2872">
      <w:pPr>
        <w:pStyle w:val="FootnoteText"/>
      </w:pPr>
      <w:r w:rsidRPr="00D26D4E">
        <w:rPr>
          <w:sz w:val="22"/>
          <w:vertAlign w:val="superscript"/>
        </w:rPr>
        <w:footnoteRef/>
      </w:r>
      <w:r>
        <w:t xml:space="preserve"> </w:t>
      </w:r>
      <w:r>
        <w:tab/>
      </w:r>
      <w:r w:rsidRPr="00D26D4E">
        <w:t>I</w:t>
      </w:r>
      <w:r w:rsidRPr="0008053A">
        <w:t xml:space="preserve">PCC. 2013. Stocker TF, Qin D, Plattner G-K, Tignor M, Allen SK, Boschung J, Nauels A, Xia Y, Bex V, Midgley PM (eds). </w:t>
      </w:r>
      <w:r w:rsidRPr="0008053A">
        <w:rPr>
          <w:i/>
          <w:iCs/>
        </w:rPr>
        <w:t>Climate Change 2013: The Physical Science Basis. Contribution of Working Group I to the Fifth Assessment Report of the Intergovernmental Panel on Climate Change</w:t>
      </w:r>
      <w:r w:rsidRPr="0008053A">
        <w:t>. Cambridge: Cambridge University Press.</w:t>
      </w:r>
    </w:p>
  </w:footnote>
  <w:footnote w:id="318">
    <w:p w14:paraId="33F2FD6C" w14:textId="77777777" w:rsidR="009B2872" w:rsidRDefault="009B2872" w:rsidP="009B2872">
      <w:pPr>
        <w:pStyle w:val="FootnoteText"/>
      </w:pPr>
      <w:r w:rsidRPr="00D26D4E">
        <w:rPr>
          <w:sz w:val="22"/>
          <w:vertAlign w:val="superscript"/>
        </w:rPr>
        <w:footnoteRef/>
      </w:r>
      <w:r>
        <w:t xml:space="preserve"> </w:t>
      </w:r>
      <w:r>
        <w:tab/>
      </w:r>
      <w:r w:rsidRPr="0008053A">
        <w:t xml:space="preserve">IPCC. 2006. Eggleston HS, Buendia L, Miwa K, Ngara T, Tanabe K (eds). </w:t>
      </w:r>
      <w:r w:rsidRPr="0008053A">
        <w:rPr>
          <w:i/>
          <w:iCs/>
        </w:rPr>
        <w:t xml:space="preserve">2006 IPCC Guidelines for National Greenhouse Gas Inventories. Volume 1. General Guidance and Reporting. </w:t>
      </w:r>
      <w:r w:rsidRPr="0008053A">
        <w:t>IPCC National Greenhouse Gas Inventories Programme. Japan: Institute for Global Environmental Strategies for IPCC.</w:t>
      </w:r>
    </w:p>
  </w:footnote>
  <w:footnote w:id="319">
    <w:p w14:paraId="0BF0F5F9" w14:textId="77777777" w:rsidR="009B2872" w:rsidRDefault="009B2872" w:rsidP="009B2872">
      <w:pPr>
        <w:pStyle w:val="FootnoteText"/>
      </w:pPr>
      <w:r w:rsidRPr="00D26D4E">
        <w:rPr>
          <w:sz w:val="22"/>
          <w:vertAlign w:val="superscript"/>
        </w:rPr>
        <w:footnoteRef/>
      </w:r>
      <w:r>
        <w:tab/>
      </w:r>
      <w:r w:rsidRPr="0008053A">
        <w:t xml:space="preserve">IPCC. 2014. Hiraishi T, Krug T, Tanabe K, Srivastava N, Baasansuren J, Fukuda M, Troxler TG (eds). </w:t>
      </w:r>
      <w:r w:rsidRPr="0008053A">
        <w:rPr>
          <w:i/>
          <w:iCs/>
        </w:rPr>
        <w:t>2013 Revised Supplementary Methods and Good Practice Guidance Arising from the Kyoto Protocol</w:t>
      </w:r>
      <w:r w:rsidRPr="0008053A">
        <w:t>. Switzerland: IPCC.</w:t>
      </w:r>
    </w:p>
  </w:footnote>
  <w:footnote w:id="320">
    <w:p w14:paraId="36190DDA" w14:textId="77777777" w:rsidR="009B2872" w:rsidRDefault="009B2872" w:rsidP="009B2872">
      <w:pPr>
        <w:pStyle w:val="FootnoteText"/>
      </w:pPr>
      <w:r w:rsidRPr="00D26D4E">
        <w:rPr>
          <w:sz w:val="22"/>
          <w:vertAlign w:val="superscript"/>
        </w:rPr>
        <w:footnoteRef/>
      </w:r>
      <w:r>
        <w:t xml:space="preserve"> </w:t>
      </w:r>
      <w:r>
        <w:tab/>
      </w:r>
      <w:r w:rsidRPr="0008053A">
        <w:t xml:space="preserve">Ministry for the Environment. 2024. </w:t>
      </w:r>
      <w:r w:rsidRPr="0008053A">
        <w:rPr>
          <w:i/>
          <w:iCs/>
        </w:rPr>
        <w:t>New Zealand’s Greenhouse Gas Inventory 1990–2022</w:t>
      </w:r>
      <w:r w:rsidRPr="0008053A">
        <w:t>. Wellington: Ministry for the Environment.</w:t>
      </w:r>
    </w:p>
  </w:footnote>
  <w:footnote w:id="321">
    <w:p w14:paraId="7312727D" w14:textId="77777777" w:rsidR="006929CB" w:rsidRPr="000703EA" w:rsidRDefault="006929CB" w:rsidP="006929CB">
      <w:pPr>
        <w:pStyle w:val="FootnoteText"/>
        <w:rPr>
          <w:lang w:val="es-CO"/>
        </w:rPr>
      </w:pPr>
      <w:r>
        <w:rPr>
          <w:rStyle w:val="FootnoteReference"/>
        </w:rPr>
        <w:footnoteRef/>
      </w:r>
      <w:r>
        <w:t xml:space="preserve"> </w:t>
      </w:r>
      <w:r>
        <w:tab/>
      </w:r>
      <w:hyperlink r:id="rId240" w:history="1">
        <w:r w:rsidRPr="00AA0CFA">
          <w:rPr>
            <w:rStyle w:val="Hyperlink"/>
          </w:rPr>
          <w:t>Submission under the Paris Agreement New Zealand’s first Nationally Determined Contribution Updated 4 November 2021</w:t>
        </w:r>
      </w:hyperlink>
      <w:r>
        <w:t xml:space="preserve">. </w:t>
      </w:r>
    </w:p>
  </w:footnote>
  <w:footnote w:id="322">
    <w:p w14:paraId="25BF2BD5" w14:textId="77777777" w:rsidR="006929CB" w:rsidRPr="007B1156" w:rsidRDefault="006929CB" w:rsidP="006929CB">
      <w:pPr>
        <w:pStyle w:val="FootnoteText"/>
      </w:pPr>
      <w:r w:rsidRPr="005A386A">
        <w:rPr>
          <w:rStyle w:val="FootnoteReference"/>
        </w:rPr>
        <w:footnoteRef/>
      </w:r>
      <w:r w:rsidRPr="005A386A">
        <w:tab/>
        <w:t>Including emissions from harvesting of post-1989 forest.</w:t>
      </w:r>
    </w:p>
  </w:footnote>
  <w:footnote w:id="323">
    <w:p w14:paraId="32015F20" w14:textId="4761C7CF" w:rsidR="006929CB" w:rsidRDefault="006929CB" w:rsidP="006929CB">
      <w:pPr>
        <w:pStyle w:val="FootnoteText"/>
      </w:pPr>
      <w:r>
        <w:rPr>
          <w:rStyle w:val="FootnoteReference"/>
        </w:rPr>
        <w:footnoteRef/>
      </w:r>
      <w:r>
        <w:t xml:space="preserve"> </w:t>
      </w:r>
      <w:r>
        <w:tab/>
        <w:t xml:space="preserve">Note that the </w:t>
      </w:r>
      <w:r w:rsidRPr="00DB03F8">
        <w:t>European Union</w:t>
      </w:r>
      <w:r>
        <w:t xml:space="preserve"> method applies a ‘land-based’ rather than ‘activity-based’ approach, in line with greenhouse gas inventory reporting, so the pre-1990 (</w:t>
      </w:r>
      <w:r w:rsidRPr="009D2E55">
        <w:rPr>
          <w:i/>
          <w:iCs/>
        </w:rPr>
        <w:t xml:space="preserve">Forest </w:t>
      </w:r>
      <w:r>
        <w:rPr>
          <w:i/>
          <w:iCs/>
        </w:rPr>
        <w:t>m</w:t>
      </w:r>
      <w:r w:rsidRPr="009D2E55">
        <w:rPr>
          <w:i/>
          <w:iCs/>
        </w:rPr>
        <w:t>anagement</w:t>
      </w:r>
      <w:r>
        <w:t>) and post-1989 (</w:t>
      </w:r>
      <w:r w:rsidRPr="008F7761">
        <w:rPr>
          <w:i/>
          <w:iCs/>
        </w:rPr>
        <w:t>Afforestation and reforestation</w:t>
      </w:r>
      <w:r>
        <w:t xml:space="preserve">) distinction made under the Kyoto Protocol is not used. New Zealand applies an activity-based approach and, therefore, stratifies this area as that subject to </w:t>
      </w:r>
      <w:r w:rsidRPr="00302EFF">
        <w:rPr>
          <w:i/>
          <w:iCs/>
        </w:rPr>
        <w:t xml:space="preserve">Forest </w:t>
      </w:r>
      <w:r>
        <w:rPr>
          <w:i/>
          <w:iCs/>
        </w:rPr>
        <w:t>m</w:t>
      </w:r>
      <w:r w:rsidRPr="00302EFF">
        <w:rPr>
          <w:i/>
          <w:iCs/>
        </w:rPr>
        <w:t>anagement</w:t>
      </w:r>
      <w:r>
        <w:t xml:space="preserve"> activities (ie, pre-1990 forest area) rather than the area reported under </w:t>
      </w:r>
      <w:r w:rsidRPr="00FC4184">
        <w:rPr>
          <w:i/>
          <w:iCs/>
        </w:rPr>
        <w:t>Forest</w:t>
      </w:r>
      <w:r>
        <w:rPr>
          <w:i/>
          <w:iCs/>
        </w:rPr>
        <w:t xml:space="preserve"> land</w:t>
      </w:r>
      <w:r w:rsidRPr="00FC4184">
        <w:rPr>
          <w:i/>
          <w:iCs/>
        </w:rPr>
        <w:t xml:space="preserve"> remaining </w:t>
      </w:r>
      <w:r>
        <w:rPr>
          <w:i/>
          <w:iCs/>
        </w:rPr>
        <w:t>f</w:t>
      </w:r>
      <w:r w:rsidRPr="00FC4184">
        <w:rPr>
          <w:i/>
          <w:iCs/>
        </w:rPr>
        <w:t>orest</w:t>
      </w:r>
      <w:r>
        <w:rPr>
          <w:i/>
          <w:iCs/>
        </w:rPr>
        <w:t xml:space="preserve"> land</w:t>
      </w:r>
      <w:r>
        <w:t xml:space="preserve"> in the Inventory.</w:t>
      </w:r>
    </w:p>
  </w:footnote>
  <w:footnote w:id="324">
    <w:p w14:paraId="79AB12CE" w14:textId="77777777" w:rsidR="006929CB" w:rsidRDefault="006929CB" w:rsidP="006929CB">
      <w:pPr>
        <w:pStyle w:val="FootnoteText"/>
      </w:pPr>
      <w:r>
        <w:rPr>
          <w:rStyle w:val="FootnoteReference"/>
        </w:rPr>
        <w:footnoteRef/>
      </w:r>
      <w:r>
        <w:t xml:space="preserve"> </w:t>
      </w:r>
      <w:r>
        <w:tab/>
        <w:t xml:space="preserve">The </w:t>
      </w:r>
      <w:r w:rsidRPr="00875372">
        <w:t>years</w:t>
      </w:r>
      <w:r>
        <w:t xml:space="preserve"> 2007 to 2009 were selected, because a trend was detected within the 2000 to 2009 reference period (</w:t>
      </w:r>
      <w:r w:rsidRPr="00A25C30">
        <w:t>Wakelin, unpublished(e)</w:t>
      </w:r>
      <w:r>
        <w:t>).</w:t>
      </w:r>
    </w:p>
  </w:footnote>
  <w:footnote w:id="325">
    <w:p w14:paraId="32FD7447" w14:textId="77777777" w:rsidR="006929CB" w:rsidRDefault="006929CB" w:rsidP="006929CB">
      <w:pPr>
        <w:pStyle w:val="FootnoteText"/>
      </w:pPr>
      <w:r>
        <w:rPr>
          <w:rStyle w:val="FootnoteReference"/>
        </w:rPr>
        <w:footnoteRef/>
      </w:r>
      <w:r>
        <w:t xml:space="preserve"> </w:t>
      </w:r>
      <w:r>
        <w:tab/>
      </w:r>
      <w:r w:rsidRPr="00875372">
        <w:rPr>
          <w:spacing w:val="-2"/>
        </w:rPr>
        <w:t xml:space="preserve">As reported in the </w:t>
      </w:r>
      <w:r w:rsidRPr="00875372">
        <w:rPr>
          <w:i/>
          <w:iCs/>
          <w:spacing w:val="-2"/>
        </w:rPr>
        <w:t>New Zealand Greenhouse Gas Inventory 1990–2022</w:t>
      </w:r>
      <w:r w:rsidRPr="00875372">
        <w:rPr>
          <w:spacing w:val="-2"/>
        </w:rPr>
        <w:t xml:space="preserve"> (Ministry for the Environment, 2024</w:t>
      </w:r>
      <w:r>
        <w:t>).</w:t>
      </w:r>
    </w:p>
  </w:footnote>
  <w:footnote w:id="326">
    <w:p w14:paraId="46B18413" w14:textId="77777777" w:rsidR="00952628" w:rsidRDefault="00952628" w:rsidP="00952628">
      <w:pPr>
        <w:pStyle w:val="FootnoteText"/>
      </w:pPr>
      <w:r>
        <w:rPr>
          <w:rStyle w:val="FootnoteReference"/>
        </w:rPr>
        <w:footnoteRef/>
      </w:r>
      <w:r>
        <w:t xml:space="preserve"> </w:t>
      </w:r>
      <w:r>
        <w:tab/>
        <w:t>Estimates are produced using sector-based emissions projections models.</w:t>
      </w:r>
    </w:p>
  </w:footnote>
  <w:footnote w:id="327">
    <w:p w14:paraId="2324AF96" w14:textId="77777777" w:rsidR="00952628" w:rsidRDefault="00952628" w:rsidP="00952628">
      <w:pPr>
        <w:pStyle w:val="FootnoteText"/>
      </w:pPr>
      <w:r>
        <w:rPr>
          <w:rStyle w:val="FootnoteReference"/>
        </w:rPr>
        <w:footnoteRef/>
      </w:r>
      <w:r>
        <w:t xml:space="preserve"> </w:t>
      </w:r>
      <w:r>
        <w:tab/>
        <w:t xml:space="preserve">Ministry for the Environment. 2024. </w:t>
      </w:r>
      <w:hyperlink r:id="rId241" w:history="1">
        <w:r w:rsidRPr="00970E25">
          <w:rPr>
            <w:rStyle w:val="Hyperlink"/>
            <w:i/>
          </w:rPr>
          <w:t>New Zealand’s Greenhouse Gas Inventory 1990–2022</w:t>
        </w:r>
        <w:r w:rsidRPr="00970E25">
          <w:rPr>
            <w:rStyle w:val="Hyperlink"/>
          </w:rPr>
          <w:t>. Wellington: Ministry for the Environment</w:t>
        </w:r>
      </w:hyperlink>
      <w:r>
        <w:t>.</w:t>
      </w:r>
    </w:p>
  </w:footnote>
  <w:footnote w:id="328">
    <w:p w14:paraId="5170C96F" w14:textId="0A60B9A0" w:rsidR="00952628" w:rsidRDefault="00952628" w:rsidP="00952628">
      <w:pPr>
        <w:pStyle w:val="FootnoteText"/>
      </w:pPr>
      <w:r>
        <w:rPr>
          <w:rStyle w:val="FootnoteReference"/>
        </w:rPr>
        <w:footnoteRef/>
      </w:r>
      <w:r>
        <w:t xml:space="preserve"> </w:t>
      </w:r>
      <w:r>
        <w:tab/>
      </w:r>
      <w:r w:rsidR="007509CD" w:rsidRPr="007509CD">
        <w:t xml:space="preserve">IPCC. 2006. Eggleston HS, Buendia L, Miwa K, Ngara T and Tanabe K. (eds). </w:t>
      </w:r>
      <w:r w:rsidR="007509CD" w:rsidRPr="00E511E1">
        <w:rPr>
          <w:i/>
          <w:iCs/>
        </w:rPr>
        <w:t>2006 IPCC Guidelines for National Greenhouse Gas Inventories</w:t>
      </w:r>
      <w:r w:rsidR="007509CD" w:rsidRPr="007509CD">
        <w:t>. Prepared by the National Greenhouse Gas Inventories Programme. Japan: IGES, Japan: Institute for Global Environmental Strategies for IPCC.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4A7CB3" w14:textId="15C8266B" w:rsidR="00DE7BF8" w:rsidRPr="00DE7BF8" w:rsidRDefault="009F1D7F" w:rsidP="009F1D7F">
    <w:pPr>
      <w:pStyle w:val="Header"/>
      <w:jc w:val="left"/>
      <w:rPr>
        <w:rFonts w:ascii="Calibri" w:hAnsi="Calibri"/>
      </w:rPr>
    </w:pPr>
    <w:r>
      <w:rPr>
        <w:rFonts w:ascii="Calibri" w:hAnsi="Calibri"/>
        <w:noProof/>
      </w:rPr>
      <w:drawing>
        <wp:inline distT="0" distB="0" distL="0" distR="0" wp14:anchorId="028A8952" wp14:editId="17C2C9AF">
          <wp:extent cx="2117598" cy="6953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
                    <a:extLst>
                      <a:ext uri="{28A0092B-C50C-407E-A947-70E740481C1C}">
                        <a14:useLocalDpi xmlns:a14="http://schemas.microsoft.com/office/drawing/2010/main" val="0"/>
                      </a:ext>
                    </a:extLst>
                  </a:blip>
                  <a:srcRect l="3339"/>
                  <a:stretch/>
                </pic:blipFill>
                <pic:spPr bwMode="auto">
                  <a:xfrm>
                    <a:off x="0" y="0"/>
                    <a:ext cx="2117598" cy="695325"/>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F421E5" w14:textId="46337593" w:rsidR="005425A2" w:rsidRDefault="005425A2">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01FC61" w14:textId="7129F180" w:rsidR="005425A2" w:rsidRDefault="005425A2">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04FC08" w14:textId="7122A96B" w:rsidR="005425A2" w:rsidRDefault="005425A2">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146EEF" w14:textId="669159AB" w:rsidR="005425A2" w:rsidRDefault="005425A2">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885FA3" w14:textId="42DFC3D3" w:rsidR="005425A2" w:rsidRDefault="005425A2">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EB9310" w14:textId="1D685E68" w:rsidR="005425A2" w:rsidRDefault="005425A2">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D9B5CF" w14:textId="59CA59B1" w:rsidR="005425A2" w:rsidRDefault="005425A2">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BD528C" w14:textId="6D294D0B" w:rsidR="005425A2" w:rsidRDefault="005425A2">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3C7868" w14:textId="647D9169" w:rsidR="005425A2" w:rsidRDefault="005425A2">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7AEC97" w14:textId="47FA6CB6" w:rsidR="005425A2" w:rsidRDefault="005425A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2665E5" w14:textId="74E1F93F" w:rsidR="00E5210B" w:rsidRDefault="00E5210B" w:rsidP="00587706">
    <w:pPr>
      <w:tabs>
        <w:tab w:val="left" w:pos="1115"/>
      </w:tabs>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7FFDD8" w14:textId="7E72F6E7" w:rsidR="005425A2" w:rsidRDefault="005425A2">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6AD371" w14:textId="1B76F42E" w:rsidR="005425A2" w:rsidRDefault="005425A2">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E6C293" w14:textId="40405112" w:rsidR="005425A2" w:rsidRDefault="005425A2">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F35A5B" w14:textId="4B5F6BAC" w:rsidR="005425A2" w:rsidRDefault="005425A2">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1879F1" w14:textId="26B2949B" w:rsidR="005425A2" w:rsidRDefault="005425A2">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C9C9EF" w14:textId="3D8250B8" w:rsidR="005425A2" w:rsidRDefault="005425A2">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7ACED5" w14:textId="740544FD" w:rsidR="005425A2" w:rsidRDefault="005425A2">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5322D2" w14:textId="093489D0" w:rsidR="005425A2" w:rsidRDefault="005425A2">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B7035F" w14:textId="2BFBC019" w:rsidR="005425A2" w:rsidRDefault="005425A2">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D2CADD" w14:textId="34F90246" w:rsidR="005425A2" w:rsidRDefault="005425A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66DFDC" w14:textId="1C23D289" w:rsidR="00E5210B" w:rsidRDefault="00E5210B">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994C54" w14:textId="4FD91337" w:rsidR="005425A2" w:rsidRDefault="005425A2">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948739" w14:textId="3F979341" w:rsidR="005425A2" w:rsidRDefault="005425A2">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4C9F0E" w14:textId="37A4CE35" w:rsidR="005425A2" w:rsidRDefault="005425A2">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BA3C58" w14:textId="48879F38" w:rsidR="005425A2" w:rsidRDefault="005425A2">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C116E6" w14:textId="55C31260" w:rsidR="005425A2" w:rsidRDefault="005425A2">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DCB40A" w14:textId="4E486973" w:rsidR="005425A2" w:rsidRDefault="005425A2">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62EF37" w14:textId="4B024C00" w:rsidR="005425A2" w:rsidRDefault="005425A2">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D65E52" w14:textId="15F40AA0" w:rsidR="005425A2" w:rsidRDefault="005425A2">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99CFFE" w14:textId="218D2F91" w:rsidR="005425A2" w:rsidRDefault="005425A2">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4C4371" w14:textId="40667FBA" w:rsidR="005425A2" w:rsidRDefault="005425A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48E7E5" w14:textId="3A76A698" w:rsidR="005425A2" w:rsidRDefault="005425A2">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508C47" w14:textId="322A7311" w:rsidR="005425A2" w:rsidRDefault="005425A2">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4938B6" w14:textId="0388E394" w:rsidR="005425A2" w:rsidRDefault="005425A2">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825D09" w14:textId="358F4583" w:rsidR="005425A2" w:rsidRDefault="005425A2">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1FA63F" w14:textId="373EE94C" w:rsidR="005425A2" w:rsidRDefault="005425A2">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846DE7" w14:textId="130532E4" w:rsidR="005425A2" w:rsidRDefault="005425A2">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79E155" w14:textId="497E121F" w:rsidR="005425A2" w:rsidRDefault="005425A2">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7CFCDC" w14:textId="546A7487" w:rsidR="005425A2" w:rsidRDefault="005425A2">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3ADB59" w14:textId="3C24D7CB" w:rsidR="005425A2" w:rsidRDefault="005425A2">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B29B94" w14:textId="6C775FAF" w:rsidR="005425A2" w:rsidRDefault="005425A2">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4C3A1C" w14:textId="0489F912" w:rsidR="005425A2" w:rsidRDefault="005425A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3A62DE" w14:textId="1F47FA37" w:rsidR="005425A2" w:rsidRDefault="005425A2">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4778EE" w14:textId="717B226F" w:rsidR="001E7869" w:rsidRDefault="001E7869" w:rsidP="00CE1463">
    <w:pPr>
      <w:pStyle w:val="Header"/>
      <w:spacing w:before="0" w:after="0"/>
      <w:rPr>
        <w:noProof/>
      </w:rPr>
    </w:pPr>
  </w:p>
  <w:p w14:paraId="0DA616B5" w14:textId="747B2A1B" w:rsidR="00697651" w:rsidRDefault="00697651" w:rsidP="00CE1463">
    <w:pPr>
      <w:pStyle w:val="Header"/>
      <w:spacing w:before="0" w:after="0"/>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74805C" w14:textId="340B4BD7" w:rsidR="005425A2" w:rsidRDefault="005425A2">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6F886F" w14:textId="3A9EADB7" w:rsidR="005425A2" w:rsidRDefault="005425A2">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BE110C" w14:textId="5095C524" w:rsidR="005425A2" w:rsidRDefault="005425A2">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5718DD" w14:textId="1CB8D790" w:rsidR="005425A2" w:rsidRDefault="005425A2">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2B9F54" w14:textId="30693EAA" w:rsidR="005425A2" w:rsidRDefault="005425A2">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8C8B05" w14:textId="7BD37C3B" w:rsidR="005425A2" w:rsidRDefault="005425A2">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76EF68" w14:textId="7B51D7F2" w:rsidR="005425A2" w:rsidRDefault="005425A2">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2B379E" w14:textId="7A326ED9" w:rsidR="00182E8E" w:rsidRDefault="00182E8E">
    <w:pPr>
      <w:pStyle w:val="Header"/>
    </w:pPr>
    <w:r>
      <w:rPr>
        <w:noProof/>
      </w:rPr>
      <mc:AlternateContent>
        <mc:Choice Requires="wps">
          <w:drawing>
            <wp:anchor distT="0" distB="0" distL="0" distR="0" simplePos="0" relativeHeight="251658240" behindDoc="0" locked="0" layoutInCell="1" allowOverlap="1" wp14:anchorId="12E32BDE" wp14:editId="3016A73C">
              <wp:simplePos x="635" y="635"/>
              <wp:positionH relativeFrom="page">
                <wp:align>center</wp:align>
              </wp:positionH>
              <wp:positionV relativeFrom="page">
                <wp:align>top</wp:align>
              </wp:positionV>
              <wp:extent cx="443865" cy="443865"/>
              <wp:effectExtent l="0" t="0" r="13335" b="4445"/>
              <wp:wrapNone/>
              <wp:docPr id="1095372426" name="Text Box 1" descr="IN-CONFIDENC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24A18D8" w14:textId="77777777" w:rsidR="00182E8E" w:rsidRPr="005A4341" w:rsidRDefault="00182E8E">
                          <w:pPr>
                            <w:spacing w:after="0"/>
                            <w:rPr>
                              <w:rFonts w:ascii="Segoe UI Semibold" w:eastAsia="Segoe UI Semibold" w:hAnsi="Segoe UI Semibold" w:cs="Segoe UI Semibold"/>
                              <w:noProof/>
                              <w:color w:val="000000"/>
                            </w:rPr>
                          </w:pPr>
                          <w:r w:rsidRPr="005A4341">
                            <w:rPr>
                              <w:rFonts w:ascii="Segoe UI Semibold" w:eastAsia="Segoe UI Semibold" w:hAnsi="Segoe UI Semibold" w:cs="Segoe UI Semibold"/>
                              <w:noProof/>
                              <w:color w:val="000000"/>
                            </w:rPr>
                            <w:t>IN-CONFIDENCE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2E32BDE" id="_x0000_t202" coordsize="21600,21600" o:spt="202" path="m,l,21600r21600,l21600,xe">
              <v:stroke joinstyle="miter"/>
              <v:path gradientshapeok="t" o:connecttype="rect"/>
            </v:shapetype>
            <v:shape id="Text Box 1" o:spid="_x0000_s1044" type="#_x0000_t202" alt="IN-CONFIDENCE" style="position:absolute;left:0;text-align:left;margin-left:0;margin-top:0;width:34.95pt;height:34.9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224A18D8" w14:textId="77777777" w:rsidR="00182E8E" w:rsidRPr="005A4341" w:rsidRDefault="00182E8E">
                    <w:pPr>
                      <w:spacing w:after="0"/>
                      <w:rPr>
                        <w:rFonts w:ascii="Segoe UI Semibold" w:eastAsia="Segoe UI Semibold" w:hAnsi="Segoe UI Semibold" w:cs="Segoe UI Semibold"/>
                        <w:noProof/>
                        <w:color w:val="000000"/>
                      </w:rPr>
                    </w:pPr>
                    <w:r w:rsidRPr="005A4341">
                      <w:rPr>
                        <w:rFonts w:ascii="Segoe UI Semibold" w:eastAsia="Segoe UI Semibold" w:hAnsi="Segoe UI Semibold" w:cs="Segoe UI Semibold"/>
                        <w:noProof/>
                        <w:color w:val="000000"/>
                      </w:rPr>
                      <w:t>IN-CONFIDENCE</w:t>
                    </w:r>
                  </w:p>
                </w:txbxContent>
              </v:textbox>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0903CF" w14:textId="70E6F7DB" w:rsidR="00182E8E" w:rsidRPr="00E1656C" w:rsidRDefault="00182E8E" w:rsidP="00E1656C">
    <w:pPr>
      <w:pStyle w:val="Header"/>
      <w:spacing w:before="0"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46BF4A" w14:textId="2756C0E9" w:rsidR="005425A2" w:rsidRDefault="005425A2">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2CEB51" w14:textId="67BF6FE9" w:rsidR="00182E8E" w:rsidRDefault="00182E8E">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2705E9" w14:textId="0DD64A24" w:rsidR="00182E8E" w:rsidRDefault="00182E8E">
    <w:pPr>
      <w:pStyle w:val="Header"/>
    </w:pPr>
    <w:r>
      <w:rPr>
        <w:noProof/>
      </w:rPr>
      <mc:AlternateContent>
        <mc:Choice Requires="wps">
          <w:drawing>
            <wp:anchor distT="0" distB="0" distL="0" distR="0" simplePos="0" relativeHeight="251658241" behindDoc="0" locked="0" layoutInCell="1" allowOverlap="1" wp14:anchorId="7E9A8D5D" wp14:editId="0A2E37FA">
              <wp:simplePos x="635" y="635"/>
              <wp:positionH relativeFrom="page">
                <wp:align>center</wp:align>
              </wp:positionH>
              <wp:positionV relativeFrom="page">
                <wp:align>top</wp:align>
              </wp:positionV>
              <wp:extent cx="443865" cy="443865"/>
              <wp:effectExtent l="0" t="0" r="13335" b="4445"/>
              <wp:wrapNone/>
              <wp:docPr id="1375726876" name="Text Box 4" descr="IN-CONFIDENC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7DF033C" w14:textId="77777777" w:rsidR="00182E8E" w:rsidRPr="005A4341" w:rsidRDefault="00182E8E">
                          <w:pPr>
                            <w:spacing w:after="0"/>
                            <w:rPr>
                              <w:rFonts w:ascii="Segoe UI Semibold" w:eastAsia="Segoe UI Semibold" w:hAnsi="Segoe UI Semibold" w:cs="Segoe UI Semibold"/>
                              <w:noProof/>
                              <w:color w:val="000000"/>
                            </w:rPr>
                          </w:pPr>
                          <w:r w:rsidRPr="005A4341">
                            <w:rPr>
                              <w:rFonts w:ascii="Segoe UI Semibold" w:eastAsia="Segoe UI Semibold" w:hAnsi="Segoe UI Semibold" w:cs="Segoe UI Semibold"/>
                              <w:noProof/>
                              <w:color w:val="000000"/>
                            </w:rPr>
                            <w:t>IN-CONFIDENCE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E9A8D5D" id="_x0000_t202" coordsize="21600,21600" o:spt="202" path="m,l,21600r21600,l21600,xe">
              <v:stroke joinstyle="miter"/>
              <v:path gradientshapeok="t" o:connecttype="rect"/>
            </v:shapetype>
            <v:shape id="Text Box 4" o:spid="_x0000_s1046" type="#_x0000_t202" alt="IN-CONFIDENCE" style="position:absolute;left:0;text-align:left;margin-left:0;margin-top:0;width:34.95pt;height:34.9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AmGj+oCgIAABwEAAAOAAAA&#10;AAAAAAAAAAAAAC4CAABkcnMvZTJvRG9jLnhtbFBLAQItABQABgAIAAAAIQDUHg1H2AAAAAMBAAAP&#10;AAAAAAAAAAAAAAAAAGQEAABkcnMvZG93bnJldi54bWxQSwUGAAAAAAQABADzAAAAaQUAAAAA&#10;" filled="f" stroked="f">
              <v:textbox style="mso-fit-shape-to-text:t" inset="0,15pt,0,0">
                <w:txbxContent>
                  <w:p w14:paraId="07DF033C" w14:textId="77777777" w:rsidR="00182E8E" w:rsidRPr="005A4341" w:rsidRDefault="00182E8E">
                    <w:pPr>
                      <w:spacing w:after="0"/>
                      <w:rPr>
                        <w:rFonts w:ascii="Segoe UI Semibold" w:eastAsia="Segoe UI Semibold" w:hAnsi="Segoe UI Semibold" w:cs="Segoe UI Semibold"/>
                        <w:noProof/>
                        <w:color w:val="000000"/>
                      </w:rPr>
                    </w:pPr>
                    <w:r w:rsidRPr="005A4341">
                      <w:rPr>
                        <w:rFonts w:ascii="Segoe UI Semibold" w:eastAsia="Segoe UI Semibold" w:hAnsi="Segoe UI Semibold" w:cs="Segoe UI Semibold"/>
                        <w:noProof/>
                        <w:color w:val="000000"/>
                      </w:rPr>
                      <w:t>IN-CONFIDENCE</w:t>
                    </w:r>
                  </w:p>
                </w:txbxContent>
              </v:textbox>
              <w10:wrap anchorx="page" anchory="page"/>
            </v:shape>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C34547" w14:textId="32C388D1" w:rsidR="005425A2" w:rsidRDefault="005425A2">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712E7B" w14:textId="12648921" w:rsidR="005425A2" w:rsidRDefault="005425A2">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79D6F3" w14:textId="36353874" w:rsidR="005425A2" w:rsidRDefault="005425A2">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718283" w14:textId="7011894A" w:rsidR="005425A2" w:rsidRDefault="005425A2">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20D724" w14:textId="6BCCC1A2" w:rsidR="005425A2" w:rsidRDefault="005425A2">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9A2867" w14:textId="35ED6A3D" w:rsidR="005425A2" w:rsidRDefault="005425A2">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786A52" w14:textId="64CE1FB1" w:rsidR="001E7869" w:rsidRDefault="001E7869">
    <w:pPr>
      <w:rPr>
        <w:noProof/>
      </w:rPr>
    </w:pPr>
  </w:p>
  <w:p w14:paraId="03202423" w14:textId="4B81548F" w:rsidR="009B2872" w:rsidRDefault="009B2872"/>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A6CCD5" w14:textId="3B95D41B" w:rsidR="005425A2" w:rsidRDefault="005425A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D710DF" w14:textId="255093EF" w:rsidR="005425A2" w:rsidRDefault="005425A2">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EB01E1" w14:textId="292D5778" w:rsidR="005425A2" w:rsidRDefault="005425A2">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C1074B" w14:textId="04239A58" w:rsidR="005425A2" w:rsidRDefault="005425A2">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94E5A5" w14:textId="64E4CD0D" w:rsidR="005425A2" w:rsidRDefault="005425A2">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3E9243" w14:textId="7DF6E7B2" w:rsidR="005425A2" w:rsidRDefault="005425A2">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750DD4" w14:textId="3A54F9A1" w:rsidR="005425A2" w:rsidRDefault="005425A2">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9B4A0B" w14:textId="68F9601D" w:rsidR="005425A2" w:rsidRDefault="005425A2">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8DB6A3" w14:textId="389B5692" w:rsidR="005425A2" w:rsidRDefault="005425A2">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4BC4F8" w14:textId="2AB40206" w:rsidR="005425A2" w:rsidRDefault="005425A2">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5A648E" w14:textId="56BE6F14" w:rsidR="005425A2" w:rsidRDefault="005425A2">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59DF3F" w14:textId="41E93571" w:rsidR="005425A2" w:rsidRDefault="005425A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0083E6" w14:textId="3F325474" w:rsidR="005425A2" w:rsidRDefault="005425A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8B8773" w14:textId="08DECDFF" w:rsidR="005425A2" w:rsidRDefault="005425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EA454B4C"/>
    <w:multiLevelType w:val="multilevel"/>
    <w:tmpl w:val="65D4F058"/>
    <w:styleLink w:val="Style61"/>
    <w:lvl w:ilvl="0">
      <w:numFmt w:val="bullet"/>
      <w:pStyle w:val="Keypoints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1" w15:restartNumberingAfterBreak="0">
    <w:nsid w:val="FFFFFF7C"/>
    <w:multiLevelType w:val="singleLevel"/>
    <w:tmpl w:val="CE786C8A"/>
    <w:styleLink w:val="Style211"/>
    <w:lvl w:ilvl="0">
      <w:start w:val="1"/>
      <w:numFmt w:val="decimal"/>
      <w:pStyle w:val="ListNumber5"/>
      <w:lvlText w:val="%1."/>
      <w:lvlJc w:val="left"/>
      <w:pPr>
        <w:tabs>
          <w:tab w:val="num" w:pos="1492"/>
        </w:tabs>
        <w:ind w:left="1492" w:hanging="360"/>
      </w:pPr>
    </w:lvl>
  </w:abstractNum>
  <w:abstractNum w:abstractNumId="2" w15:restartNumberingAfterBreak="0">
    <w:nsid w:val="FFFFFF7D"/>
    <w:multiLevelType w:val="singleLevel"/>
    <w:tmpl w:val="1D6AC9AC"/>
    <w:styleLink w:val="Style311"/>
    <w:lvl w:ilvl="0">
      <w:start w:val="1"/>
      <w:numFmt w:val="decimal"/>
      <w:pStyle w:val="ListNumber4"/>
      <w:lvlText w:val="%1."/>
      <w:lvlJc w:val="left"/>
      <w:pPr>
        <w:tabs>
          <w:tab w:val="num" w:pos="1209"/>
        </w:tabs>
        <w:ind w:left="1209" w:hanging="360"/>
      </w:pPr>
    </w:lvl>
  </w:abstractNum>
  <w:abstractNum w:abstractNumId="3" w15:restartNumberingAfterBreak="0">
    <w:nsid w:val="FFFFFF80"/>
    <w:multiLevelType w:val="singleLevel"/>
    <w:tmpl w:val="548CEFF2"/>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E3000008"/>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132E234E"/>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3F6446A0"/>
    <w:lvl w:ilvl="0">
      <w:start w:val="1"/>
      <w:numFmt w:val="bullet"/>
      <w:pStyle w:val="ListBullet2"/>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25965B84"/>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A91C019E"/>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037983"/>
    <w:multiLevelType w:val="multilevel"/>
    <w:tmpl w:val="B81A7564"/>
    <w:lvl w:ilvl="0">
      <w:start w:val="1"/>
      <w:numFmt w:val="decimal"/>
      <w:lvlText w:val="2.4.4.2.%1"/>
      <w:lvlJc w:val="left"/>
      <w:pPr>
        <w:ind w:left="0" w:firstLine="0"/>
      </w:pPr>
      <w:rPr>
        <w:rFonts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01AA7BF7"/>
    <w:multiLevelType w:val="hybridMultilevel"/>
    <w:tmpl w:val="3466BCDA"/>
    <w:lvl w:ilvl="0" w:tplc="4CBEABC4">
      <w:start w:val="1"/>
      <w:numFmt w:val="bullet"/>
      <w:lvlText w:val=""/>
      <w:lvlJc w:val="left"/>
      <w:pPr>
        <w:ind w:left="1494" w:hanging="360"/>
      </w:pPr>
      <w:rPr>
        <w:rFonts w:ascii="Symbol" w:hAnsi="Symbol" w:hint="default"/>
        <w:b w:val="0"/>
        <w:i w:val="0"/>
        <w:color w:val="000000" w:themeColor="text1"/>
        <w:sz w:val="20"/>
      </w:rPr>
    </w:lvl>
    <w:lvl w:ilvl="1" w:tplc="14090003" w:tentative="1">
      <w:start w:val="1"/>
      <w:numFmt w:val="bullet"/>
      <w:lvlText w:val="o"/>
      <w:lvlJc w:val="left"/>
      <w:pPr>
        <w:ind w:left="2007" w:hanging="360"/>
      </w:pPr>
      <w:rPr>
        <w:rFonts w:ascii="Courier New" w:hAnsi="Courier New" w:cs="Courier New" w:hint="default"/>
      </w:rPr>
    </w:lvl>
    <w:lvl w:ilvl="2" w:tplc="14090005" w:tentative="1">
      <w:start w:val="1"/>
      <w:numFmt w:val="bullet"/>
      <w:lvlText w:val=""/>
      <w:lvlJc w:val="left"/>
      <w:pPr>
        <w:ind w:left="2727" w:hanging="360"/>
      </w:pPr>
      <w:rPr>
        <w:rFonts w:ascii="Wingdings" w:hAnsi="Wingdings" w:hint="default"/>
      </w:rPr>
    </w:lvl>
    <w:lvl w:ilvl="3" w:tplc="14090001" w:tentative="1">
      <w:start w:val="1"/>
      <w:numFmt w:val="bullet"/>
      <w:lvlText w:val=""/>
      <w:lvlJc w:val="left"/>
      <w:pPr>
        <w:ind w:left="3447" w:hanging="360"/>
      </w:pPr>
      <w:rPr>
        <w:rFonts w:ascii="Symbol" w:hAnsi="Symbol" w:hint="default"/>
      </w:rPr>
    </w:lvl>
    <w:lvl w:ilvl="4" w:tplc="14090003" w:tentative="1">
      <w:start w:val="1"/>
      <w:numFmt w:val="bullet"/>
      <w:lvlText w:val="o"/>
      <w:lvlJc w:val="left"/>
      <w:pPr>
        <w:ind w:left="4167" w:hanging="360"/>
      </w:pPr>
      <w:rPr>
        <w:rFonts w:ascii="Courier New" w:hAnsi="Courier New" w:cs="Courier New" w:hint="default"/>
      </w:rPr>
    </w:lvl>
    <w:lvl w:ilvl="5" w:tplc="14090005" w:tentative="1">
      <w:start w:val="1"/>
      <w:numFmt w:val="bullet"/>
      <w:lvlText w:val=""/>
      <w:lvlJc w:val="left"/>
      <w:pPr>
        <w:ind w:left="4887" w:hanging="360"/>
      </w:pPr>
      <w:rPr>
        <w:rFonts w:ascii="Wingdings" w:hAnsi="Wingdings" w:hint="default"/>
      </w:rPr>
    </w:lvl>
    <w:lvl w:ilvl="6" w:tplc="14090001" w:tentative="1">
      <w:start w:val="1"/>
      <w:numFmt w:val="bullet"/>
      <w:lvlText w:val=""/>
      <w:lvlJc w:val="left"/>
      <w:pPr>
        <w:ind w:left="5607" w:hanging="360"/>
      </w:pPr>
      <w:rPr>
        <w:rFonts w:ascii="Symbol" w:hAnsi="Symbol" w:hint="default"/>
      </w:rPr>
    </w:lvl>
    <w:lvl w:ilvl="7" w:tplc="14090003" w:tentative="1">
      <w:start w:val="1"/>
      <w:numFmt w:val="bullet"/>
      <w:lvlText w:val="o"/>
      <w:lvlJc w:val="left"/>
      <w:pPr>
        <w:ind w:left="6327" w:hanging="360"/>
      </w:pPr>
      <w:rPr>
        <w:rFonts w:ascii="Courier New" w:hAnsi="Courier New" w:cs="Courier New" w:hint="default"/>
      </w:rPr>
    </w:lvl>
    <w:lvl w:ilvl="8" w:tplc="14090005" w:tentative="1">
      <w:start w:val="1"/>
      <w:numFmt w:val="bullet"/>
      <w:lvlText w:val=""/>
      <w:lvlJc w:val="left"/>
      <w:pPr>
        <w:ind w:left="7047" w:hanging="360"/>
      </w:pPr>
      <w:rPr>
        <w:rFonts w:ascii="Wingdings" w:hAnsi="Wingdings" w:hint="default"/>
      </w:rPr>
    </w:lvl>
  </w:abstractNum>
  <w:abstractNum w:abstractNumId="11" w15:restartNumberingAfterBreak="0">
    <w:nsid w:val="03103308"/>
    <w:multiLevelType w:val="multilevel"/>
    <w:tmpl w:val="3F3EC314"/>
    <w:lvl w:ilvl="0">
      <w:start w:val="1"/>
      <w:numFmt w:val="decimal"/>
      <w:lvlText w:val="4.2.2.%1"/>
      <w:lvlJc w:val="left"/>
      <w:pPr>
        <w:ind w:left="0" w:firstLine="0"/>
      </w:pPr>
      <w:rPr>
        <w:rFonts w:ascii="Georgia" w:hAnsi="Georgia" w:hint="default"/>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041849F3"/>
    <w:multiLevelType w:val="hybridMultilevel"/>
    <w:tmpl w:val="9234825C"/>
    <w:lvl w:ilvl="0" w:tplc="4AE8F718">
      <w:start w:val="1"/>
      <w:numFmt w:val="lowerLetter"/>
      <w:pStyle w:val="a"/>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3" w15:restartNumberingAfterBreak="0">
    <w:nsid w:val="042F2546"/>
    <w:multiLevelType w:val="multilevel"/>
    <w:tmpl w:val="37901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49D1F3A"/>
    <w:multiLevelType w:val="multilevel"/>
    <w:tmpl w:val="10500C7A"/>
    <w:lvl w:ilvl="0">
      <w:start w:val="1"/>
      <w:numFmt w:val="decimal"/>
      <w:lvlText w:val="2.5.5.%1"/>
      <w:lvlJc w:val="left"/>
      <w:pPr>
        <w:ind w:left="0" w:firstLine="0"/>
      </w:pPr>
      <w:rPr>
        <w:rFonts w:ascii="Georgia" w:hAnsi="Georgia" w:hint="default"/>
        <w:sz w:val="28"/>
        <w:szCs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05891129"/>
    <w:multiLevelType w:val="multilevel"/>
    <w:tmpl w:val="015A1ED6"/>
    <w:lvl w:ilvl="0">
      <w:start w:val="1"/>
      <w:numFmt w:val="decimal"/>
      <w:lvlText w:val="2.4.8.3.%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05ED1386"/>
    <w:multiLevelType w:val="multilevel"/>
    <w:tmpl w:val="6A22FF20"/>
    <w:lvl w:ilvl="0">
      <w:start w:val="1"/>
      <w:numFmt w:val="decimal"/>
      <w:lvlText w:val="2.5.%1"/>
      <w:lvlJc w:val="left"/>
      <w:pPr>
        <w:tabs>
          <w:tab w:val="num" w:pos="1134"/>
        </w:tabs>
        <w:ind w:left="0" w:firstLine="0"/>
      </w:pPr>
      <w:rPr>
        <w:rFonts w:ascii="Georgia" w:hAnsi="Georgia"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07B01102"/>
    <w:multiLevelType w:val="multilevel"/>
    <w:tmpl w:val="80D04C36"/>
    <w:lvl w:ilvl="0">
      <w:start w:val="6"/>
      <w:numFmt w:val="decimal"/>
      <w:lvlText w:val="2.%1"/>
      <w:lvlJc w:val="left"/>
      <w:pPr>
        <w:ind w:left="284" w:firstLine="0"/>
      </w:pPr>
      <w:rPr>
        <w:rFonts w:ascii="Georgia" w:hAnsi="Georgia" w:cs="Arial" w:hint="default"/>
        <w:b/>
        <w:i w:val="0"/>
        <w:sz w:val="48"/>
      </w:rPr>
    </w:lvl>
    <w:lvl w:ilvl="1">
      <w:start w:val="1"/>
      <w:numFmt w:val="lowerLetter"/>
      <w:lvlText w:val="%2."/>
      <w:lvlJc w:val="left"/>
      <w:pPr>
        <w:ind w:left="1724" w:hanging="360"/>
      </w:pPr>
      <w:rPr>
        <w:rFonts w:hint="default"/>
      </w:rPr>
    </w:lvl>
    <w:lvl w:ilvl="2">
      <w:start w:val="1"/>
      <w:numFmt w:val="lowerRoman"/>
      <w:lvlText w:val="%3."/>
      <w:lvlJc w:val="right"/>
      <w:pPr>
        <w:ind w:left="2444" w:hanging="180"/>
      </w:pPr>
      <w:rPr>
        <w:rFonts w:hint="default"/>
      </w:rPr>
    </w:lvl>
    <w:lvl w:ilvl="3">
      <w:start w:val="1"/>
      <w:numFmt w:val="decimal"/>
      <w:lvlText w:val="%4."/>
      <w:lvlJc w:val="left"/>
      <w:pPr>
        <w:ind w:left="3164" w:hanging="360"/>
      </w:pPr>
      <w:rPr>
        <w:rFonts w:hint="default"/>
      </w:rPr>
    </w:lvl>
    <w:lvl w:ilvl="4">
      <w:start w:val="1"/>
      <w:numFmt w:val="lowerLetter"/>
      <w:lvlText w:val="%5."/>
      <w:lvlJc w:val="left"/>
      <w:pPr>
        <w:ind w:left="3884" w:hanging="360"/>
      </w:pPr>
      <w:rPr>
        <w:rFonts w:hint="default"/>
      </w:rPr>
    </w:lvl>
    <w:lvl w:ilvl="5">
      <w:start w:val="1"/>
      <w:numFmt w:val="lowerRoman"/>
      <w:lvlText w:val="%6."/>
      <w:lvlJc w:val="right"/>
      <w:pPr>
        <w:ind w:left="4604" w:hanging="180"/>
      </w:pPr>
      <w:rPr>
        <w:rFonts w:hint="default"/>
      </w:rPr>
    </w:lvl>
    <w:lvl w:ilvl="6">
      <w:start w:val="1"/>
      <w:numFmt w:val="decimal"/>
      <w:lvlText w:val="%7."/>
      <w:lvlJc w:val="left"/>
      <w:pPr>
        <w:ind w:left="5324" w:hanging="360"/>
      </w:pPr>
      <w:rPr>
        <w:rFonts w:hint="default"/>
      </w:rPr>
    </w:lvl>
    <w:lvl w:ilvl="7">
      <w:start w:val="1"/>
      <w:numFmt w:val="lowerLetter"/>
      <w:lvlText w:val="%8."/>
      <w:lvlJc w:val="left"/>
      <w:pPr>
        <w:ind w:left="6044" w:hanging="360"/>
      </w:pPr>
      <w:rPr>
        <w:rFonts w:hint="default"/>
      </w:rPr>
    </w:lvl>
    <w:lvl w:ilvl="8">
      <w:start w:val="1"/>
      <w:numFmt w:val="lowerRoman"/>
      <w:lvlText w:val="%9."/>
      <w:lvlJc w:val="right"/>
      <w:pPr>
        <w:ind w:left="6764" w:hanging="180"/>
      </w:pPr>
      <w:rPr>
        <w:rFonts w:hint="default"/>
      </w:rPr>
    </w:lvl>
  </w:abstractNum>
  <w:abstractNum w:abstractNumId="18" w15:restartNumberingAfterBreak="0">
    <w:nsid w:val="08571610"/>
    <w:multiLevelType w:val="multilevel"/>
    <w:tmpl w:val="94809AF2"/>
    <w:lvl w:ilvl="0">
      <w:start w:val="1"/>
      <w:numFmt w:val="decimal"/>
      <w:lvlText w:val="2.6.%1"/>
      <w:lvlJc w:val="left"/>
      <w:pPr>
        <w:tabs>
          <w:tab w:val="num" w:pos="1134"/>
        </w:tabs>
        <w:ind w:left="0" w:firstLine="0"/>
      </w:pPr>
      <w:rPr>
        <w:rFonts w:ascii="Georgia" w:hAnsi="Georgia"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097E5CDF"/>
    <w:multiLevelType w:val="multilevel"/>
    <w:tmpl w:val="27AA2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A6F6686"/>
    <w:multiLevelType w:val="multilevel"/>
    <w:tmpl w:val="082269AE"/>
    <w:lvl w:ilvl="0">
      <w:start w:val="1"/>
      <w:numFmt w:val="decimal"/>
      <w:lvlText w:val="1.%1"/>
      <w:lvlJc w:val="left"/>
      <w:pPr>
        <w:ind w:left="720" w:hanging="360"/>
      </w:pPr>
      <w:rPr>
        <w:rFonts w:ascii="Corbel" w:hAnsi="Corbel" w:hint="default"/>
        <w:b w:val="0"/>
        <w:i w:val="0"/>
        <w:sz w:val="24"/>
      </w:rPr>
    </w:lvl>
    <w:lvl w:ilvl="1">
      <w:start w:val="1"/>
      <w:numFmt w:val="decimal"/>
      <w:lvlText w:val="1.%2"/>
      <w:lvlJc w:val="left"/>
      <w:pPr>
        <w:ind w:left="851" w:hanging="851"/>
      </w:pPr>
      <w:rPr>
        <w:rFonts w:ascii="Georgia" w:hAnsi="Georgia" w:hint="default"/>
        <w:b/>
        <w:i w:val="0"/>
        <w:sz w:val="36"/>
        <w:szCs w:val="36"/>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0ACF63CE"/>
    <w:multiLevelType w:val="multilevel"/>
    <w:tmpl w:val="1EB68424"/>
    <w:styleLink w:val="Style11"/>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23" w15:restartNumberingAfterBreak="0">
    <w:nsid w:val="0C815D11"/>
    <w:multiLevelType w:val="multilevel"/>
    <w:tmpl w:val="49887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D0830B4"/>
    <w:multiLevelType w:val="multilevel"/>
    <w:tmpl w:val="1EEA7562"/>
    <w:lvl w:ilvl="0">
      <w:start w:val="1"/>
      <w:numFmt w:val="decimal"/>
      <w:lvlText w:val="%1."/>
      <w:lvlJc w:val="left"/>
      <w:pPr>
        <w:tabs>
          <w:tab w:val="num" w:pos="397"/>
        </w:tabs>
        <w:ind w:left="397" w:hanging="397"/>
      </w:pPr>
      <w:rPr>
        <w:rFonts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0E7418A2"/>
    <w:multiLevelType w:val="multilevel"/>
    <w:tmpl w:val="98765D36"/>
    <w:lvl w:ilvl="0">
      <w:start w:val="1"/>
      <w:numFmt w:val="decimal"/>
      <w:lvlText w:val="2.1.%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0EBC6C57"/>
    <w:multiLevelType w:val="multilevel"/>
    <w:tmpl w:val="DA0C9284"/>
    <w:lvl w:ilvl="0">
      <w:start w:val="1"/>
      <w:numFmt w:val="decimal"/>
      <w:lvlText w:val="2.3.4.%1"/>
      <w:lvlJc w:val="left"/>
      <w:pPr>
        <w:ind w:left="1134" w:hanging="1134"/>
      </w:pPr>
      <w:rPr>
        <w:rFonts w:hint="default"/>
      </w:rPr>
    </w:lvl>
    <w:lvl w:ilvl="1">
      <w:start w:val="1"/>
      <w:numFmt w:val="lowerLetter"/>
      <w:lvlText w:val="%2."/>
      <w:lvlJc w:val="left"/>
      <w:pPr>
        <w:ind w:left="1134" w:hanging="1134"/>
      </w:pPr>
      <w:rPr>
        <w:rFonts w:hint="default"/>
      </w:rPr>
    </w:lvl>
    <w:lvl w:ilvl="2">
      <w:start w:val="1"/>
      <w:numFmt w:val="lowerRoman"/>
      <w:lvlText w:val="%3."/>
      <w:lvlJc w:val="right"/>
      <w:pPr>
        <w:ind w:left="1134" w:hanging="1134"/>
      </w:pPr>
      <w:rPr>
        <w:rFonts w:hint="default"/>
      </w:rPr>
    </w:lvl>
    <w:lvl w:ilvl="3">
      <w:start w:val="1"/>
      <w:numFmt w:val="decimal"/>
      <w:lvlText w:val="%4."/>
      <w:lvlJc w:val="left"/>
      <w:pPr>
        <w:ind w:left="1134" w:hanging="1134"/>
      </w:pPr>
      <w:rPr>
        <w:rFonts w:hint="default"/>
      </w:rPr>
    </w:lvl>
    <w:lvl w:ilvl="4">
      <w:start w:val="1"/>
      <w:numFmt w:val="lowerLetter"/>
      <w:lvlText w:val="%5."/>
      <w:lvlJc w:val="left"/>
      <w:pPr>
        <w:ind w:left="1134" w:hanging="1134"/>
      </w:pPr>
      <w:rPr>
        <w:rFonts w:hint="default"/>
      </w:rPr>
    </w:lvl>
    <w:lvl w:ilvl="5">
      <w:start w:val="1"/>
      <w:numFmt w:val="lowerRoman"/>
      <w:lvlText w:val="%6."/>
      <w:lvlJc w:val="righ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right"/>
      <w:pPr>
        <w:ind w:left="1134" w:hanging="1134"/>
      </w:pPr>
      <w:rPr>
        <w:rFonts w:hint="default"/>
      </w:rPr>
    </w:lvl>
  </w:abstractNum>
  <w:abstractNum w:abstractNumId="27" w15:restartNumberingAfterBreak="0">
    <w:nsid w:val="0FDE7D11"/>
    <w:multiLevelType w:val="hybridMultilevel"/>
    <w:tmpl w:val="A8FA06E2"/>
    <w:lvl w:ilvl="0" w:tplc="1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10FA78F9"/>
    <w:multiLevelType w:val="multilevel"/>
    <w:tmpl w:val="54164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19A0300"/>
    <w:multiLevelType w:val="multilevel"/>
    <w:tmpl w:val="ECD42352"/>
    <w:lvl w:ilvl="0">
      <w:start w:val="1"/>
      <w:numFmt w:val="decimal"/>
      <w:lvlText w:val="1.2.%1"/>
      <w:lvlJc w:val="left"/>
      <w:pPr>
        <w:ind w:left="851" w:hanging="851"/>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11AC3076"/>
    <w:multiLevelType w:val="multilevel"/>
    <w:tmpl w:val="B36A9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122961FA"/>
    <w:multiLevelType w:val="multilevel"/>
    <w:tmpl w:val="DF7E6BE8"/>
    <w:lvl w:ilvl="0">
      <w:start w:val="1"/>
      <w:numFmt w:val="decimal"/>
      <w:lvlText w:val="2.2.1.%1"/>
      <w:lvlJc w:val="left"/>
      <w:pPr>
        <w:ind w:left="1134" w:hanging="1134"/>
      </w:pPr>
      <w:rPr>
        <w:rFonts w:hint="default"/>
      </w:rPr>
    </w:lvl>
    <w:lvl w:ilvl="1">
      <w:start w:val="1"/>
      <w:numFmt w:val="lowerLetter"/>
      <w:lvlText w:val="%2."/>
      <w:lvlJc w:val="left"/>
      <w:pPr>
        <w:ind w:left="1134" w:hanging="1134"/>
      </w:pPr>
      <w:rPr>
        <w:rFonts w:hint="default"/>
      </w:rPr>
    </w:lvl>
    <w:lvl w:ilvl="2">
      <w:start w:val="1"/>
      <w:numFmt w:val="lowerRoman"/>
      <w:lvlText w:val="%3."/>
      <w:lvlJc w:val="right"/>
      <w:pPr>
        <w:ind w:left="1134" w:hanging="1134"/>
      </w:pPr>
      <w:rPr>
        <w:rFonts w:hint="default"/>
      </w:rPr>
    </w:lvl>
    <w:lvl w:ilvl="3">
      <w:start w:val="1"/>
      <w:numFmt w:val="decimal"/>
      <w:lvlText w:val="%4."/>
      <w:lvlJc w:val="left"/>
      <w:pPr>
        <w:ind w:left="1134" w:hanging="1134"/>
      </w:pPr>
      <w:rPr>
        <w:rFonts w:hint="default"/>
      </w:rPr>
    </w:lvl>
    <w:lvl w:ilvl="4">
      <w:start w:val="1"/>
      <w:numFmt w:val="lowerLetter"/>
      <w:lvlText w:val="%5."/>
      <w:lvlJc w:val="left"/>
      <w:pPr>
        <w:ind w:left="1134" w:hanging="1134"/>
      </w:pPr>
      <w:rPr>
        <w:rFonts w:hint="default"/>
      </w:rPr>
    </w:lvl>
    <w:lvl w:ilvl="5">
      <w:start w:val="1"/>
      <w:numFmt w:val="lowerRoman"/>
      <w:lvlText w:val="%6."/>
      <w:lvlJc w:val="righ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right"/>
      <w:pPr>
        <w:ind w:left="1134" w:hanging="1134"/>
      </w:pPr>
      <w:rPr>
        <w:rFonts w:hint="default"/>
      </w:rPr>
    </w:lvl>
  </w:abstractNum>
  <w:abstractNum w:abstractNumId="32" w15:restartNumberingAfterBreak="0">
    <w:nsid w:val="138E6B45"/>
    <w:multiLevelType w:val="multilevel"/>
    <w:tmpl w:val="FAE6E01C"/>
    <w:lvl w:ilvl="0">
      <w:start w:val="3"/>
      <w:numFmt w:val="decimal"/>
      <w:lvlText w:val="2.%1"/>
      <w:lvlJc w:val="left"/>
      <w:pPr>
        <w:ind w:left="1134" w:hanging="113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15:restartNumberingAfterBreak="0">
    <w:nsid w:val="13BF3187"/>
    <w:multiLevelType w:val="hybridMultilevel"/>
    <w:tmpl w:val="95788958"/>
    <w:lvl w:ilvl="0" w:tplc="81121B2A">
      <w:numFmt w:val="bullet"/>
      <w:lvlText w:val="•"/>
      <w:lvlJc w:val="left"/>
      <w:pPr>
        <w:ind w:left="1090" w:hanging="730"/>
      </w:pPr>
      <w:rPr>
        <w:rFonts w:ascii="Aptos" w:eastAsia="Aptos" w:hAnsi="Aptos" w:cs="Aptos"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34" w15:restartNumberingAfterBreak="0">
    <w:nsid w:val="140C3B6B"/>
    <w:multiLevelType w:val="multilevel"/>
    <w:tmpl w:val="51208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48D1A29"/>
    <w:multiLevelType w:val="multilevel"/>
    <w:tmpl w:val="AAF86508"/>
    <w:lvl w:ilvl="0">
      <w:start w:val="1"/>
      <w:numFmt w:val="decimal"/>
      <w:lvlText w:val="2.1.9.%1"/>
      <w:lvlJc w:val="left"/>
      <w:pPr>
        <w:tabs>
          <w:tab w:val="num" w:pos="1134"/>
        </w:tabs>
        <w:ind w:left="0" w:firstLine="0"/>
      </w:pPr>
      <w:rPr>
        <w:rFonts w:ascii="Georgia" w:hAnsi="Georgia" w:hint="default"/>
        <w:sz w:val="28"/>
      </w:rPr>
    </w:lvl>
    <w:lvl w:ilvl="1">
      <w:start w:val="1"/>
      <w:numFmt w:val="lowerLetter"/>
      <w:lvlText w:val="%2."/>
      <w:lvlJc w:val="left"/>
      <w:pPr>
        <w:tabs>
          <w:tab w:val="num" w:pos="1701"/>
        </w:tabs>
        <w:ind w:left="0" w:firstLine="0"/>
      </w:pPr>
      <w:rPr>
        <w:rFonts w:hint="default"/>
      </w:rPr>
    </w:lvl>
    <w:lvl w:ilvl="2">
      <w:start w:val="1"/>
      <w:numFmt w:val="lowerRoman"/>
      <w:lvlText w:val="%3."/>
      <w:lvlJc w:val="right"/>
      <w:pPr>
        <w:tabs>
          <w:tab w:val="num" w:pos="1701"/>
        </w:tabs>
        <w:ind w:left="0" w:firstLine="0"/>
      </w:pPr>
      <w:rPr>
        <w:rFonts w:hint="default"/>
      </w:rPr>
    </w:lvl>
    <w:lvl w:ilvl="3">
      <w:start w:val="1"/>
      <w:numFmt w:val="decimal"/>
      <w:lvlText w:val="%4."/>
      <w:lvlJc w:val="left"/>
      <w:pPr>
        <w:tabs>
          <w:tab w:val="num" w:pos="1701"/>
        </w:tabs>
        <w:ind w:left="0" w:firstLine="0"/>
      </w:pPr>
      <w:rPr>
        <w:rFonts w:hint="default"/>
      </w:rPr>
    </w:lvl>
    <w:lvl w:ilvl="4">
      <w:start w:val="1"/>
      <w:numFmt w:val="lowerLetter"/>
      <w:lvlText w:val="%5."/>
      <w:lvlJc w:val="left"/>
      <w:pPr>
        <w:tabs>
          <w:tab w:val="num" w:pos="1701"/>
        </w:tabs>
        <w:ind w:left="0" w:firstLine="0"/>
      </w:pPr>
      <w:rPr>
        <w:rFonts w:hint="default"/>
      </w:rPr>
    </w:lvl>
    <w:lvl w:ilvl="5">
      <w:start w:val="1"/>
      <w:numFmt w:val="lowerRoman"/>
      <w:lvlText w:val="%6."/>
      <w:lvlJc w:val="right"/>
      <w:pPr>
        <w:tabs>
          <w:tab w:val="num" w:pos="1701"/>
        </w:tabs>
        <w:ind w:left="0" w:firstLine="0"/>
      </w:pPr>
      <w:rPr>
        <w:rFonts w:hint="default"/>
      </w:rPr>
    </w:lvl>
    <w:lvl w:ilvl="6">
      <w:start w:val="1"/>
      <w:numFmt w:val="decimal"/>
      <w:lvlText w:val="%7."/>
      <w:lvlJc w:val="left"/>
      <w:pPr>
        <w:tabs>
          <w:tab w:val="num" w:pos="1701"/>
        </w:tabs>
        <w:ind w:left="0" w:firstLine="0"/>
      </w:pPr>
      <w:rPr>
        <w:rFonts w:hint="default"/>
      </w:rPr>
    </w:lvl>
    <w:lvl w:ilvl="7">
      <w:start w:val="1"/>
      <w:numFmt w:val="lowerLetter"/>
      <w:lvlText w:val="%8."/>
      <w:lvlJc w:val="left"/>
      <w:pPr>
        <w:tabs>
          <w:tab w:val="num" w:pos="1701"/>
        </w:tabs>
        <w:ind w:left="0" w:firstLine="0"/>
      </w:pPr>
      <w:rPr>
        <w:rFonts w:hint="default"/>
      </w:rPr>
    </w:lvl>
    <w:lvl w:ilvl="8">
      <w:start w:val="1"/>
      <w:numFmt w:val="lowerRoman"/>
      <w:lvlText w:val="%9."/>
      <w:lvlJc w:val="right"/>
      <w:pPr>
        <w:tabs>
          <w:tab w:val="num" w:pos="1701"/>
        </w:tabs>
        <w:ind w:left="0" w:firstLine="0"/>
      </w:pPr>
      <w:rPr>
        <w:rFonts w:hint="default"/>
      </w:rPr>
    </w:lvl>
  </w:abstractNum>
  <w:abstractNum w:abstractNumId="36" w15:restartNumberingAfterBreak="0">
    <w:nsid w:val="14AB2A4C"/>
    <w:multiLevelType w:val="multilevel"/>
    <w:tmpl w:val="8D44DAC2"/>
    <w:lvl w:ilvl="0">
      <w:start w:val="1"/>
      <w:numFmt w:val="decimal"/>
      <w:lvlText w:val="3.4.1.%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7" w15:restartNumberingAfterBreak="0">
    <w:nsid w:val="178F0FC1"/>
    <w:multiLevelType w:val="multilevel"/>
    <w:tmpl w:val="0046E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183B424C"/>
    <w:multiLevelType w:val="multilevel"/>
    <w:tmpl w:val="36FCB9B4"/>
    <w:lvl w:ilvl="0">
      <w:start w:val="1"/>
      <w:numFmt w:val="decimal"/>
      <w:lvlText w:val="2.6.3.%1"/>
      <w:lvlJc w:val="left"/>
      <w:pPr>
        <w:tabs>
          <w:tab w:val="num" w:pos="1134"/>
        </w:tabs>
        <w:ind w:left="0" w:firstLine="0"/>
      </w:pPr>
      <w:rPr>
        <w:rFonts w:ascii="Georgia" w:hAnsi="Georgia" w:hint="default"/>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9" w15:restartNumberingAfterBreak="0">
    <w:nsid w:val="19104219"/>
    <w:multiLevelType w:val="multilevel"/>
    <w:tmpl w:val="E1D8A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1AA01EA1"/>
    <w:multiLevelType w:val="multilevel"/>
    <w:tmpl w:val="43C0A452"/>
    <w:lvl w:ilvl="0">
      <w:start w:val="5"/>
      <w:numFmt w:val="decimal"/>
      <w:lvlText w:val="2.%1"/>
      <w:lvlJc w:val="left"/>
      <w:pPr>
        <w:ind w:left="0" w:firstLine="0"/>
      </w:pPr>
      <w:rPr>
        <w:rFonts w:ascii="Georgia" w:hAnsi="Georgia" w:hint="default"/>
        <w:b/>
        <w:i w:val="0"/>
        <w:sz w:val="4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1" w15:restartNumberingAfterBreak="0">
    <w:nsid w:val="1ACA6835"/>
    <w:multiLevelType w:val="multilevel"/>
    <w:tmpl w:val="1EEA7562"/>
    <w:lvl w:ilvl="0">
      <w:start w:val="1"/>
      <w:numFmt w:val="decimal"/>
      <w:lvlText w:val="%1."/>
      <w:lvlJc w:val="left"/>
      <w:pPr>
        <w:tabs>
          <w:tab w:val="num" w:pos="397"/>
        </w:tabs>
        <w:ind w:left="397" w:hanging="397"/>
      </w:pPr>
      <w:rPr>
        <w:rFonts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1BF24567"/>
    <w:multiLevelType w:val="hybridMultilevel"/>
    <w:tmpl w:val="F43091B2"/>
    <w:lvl w:ilvl="0" w:tplc="14090001">
      <w:start w:val="1"/>
      <w:numFmt w:val="bullet"/>
      <w:lvlText w:val=""/>
      <w:lvlJc w:val="left"/>
      <w:pPr>
        <w:ind w:left="740" w:hanging="38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1C64618A"/>
    <w:multiLevelType w:val="multilevel"/>
    <w:tmpl w:val="ECECAD50"/>
    <w:lvl w:ilvl="0">
      <w:start w:val="1"/>
      <w:numFmt w:val="decimal"/>
      <w:lvlText w:val="2.4.13.%1"/>
      <w:lvlJc w:val="left"/>
      <w:pPr>
        <w:ind w:left="0" w:firstLine="0"/>
      </w:pPr>
      <w:rPr>
        <w:rFonts w:ascii="Georgia" w:hAnsi="Georgia" w:hint="default"/>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4" w15:restartNumberingAfterBreak="0">
    <w:nsid w:val="1CB20833"/>
    <w:multiLevelType w:val="multilevel"/>
    <w:tmpl w:val="AA02B922"/>
    <w:styleLink w:val="Style8"/>
    <w:lvl w:ilvl="0">
      <w:start w:val="2"/>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45" w15:restartNumberingAfterBreak="0">
    <w:nsid w:val="1D921E56"/>
    <w:multiLevelType w:val="multilevel"/>
    <w:tmpl w:val="0444F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1E1254E2"/>
    <w:multiLevelType w:val="multilevel"/>
    <w:tmpl w:val="63B0C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1F872603"/>
    <w:multiLevelType w:val="multilevel"/>
    <w:tmpl w:val="DE864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1FDF624F"/>
    <w:multiLevelType w:val="hybridMultilevel"/>
    <w:tmpl w:val="7E785C7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9"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50"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51" w15:restartNumberingAfterBreak="0">
    <w:nsid w:val="23C45C38"/>
    <w:multiLevelType w:val="multilevel"/>
    <w:tmpl w:val="15501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242C668E"/>
    <w:multiLevelType w:val="multilevel"/>
    <w:tmpl w:val="8702DBCA"/>
    <w:lvl w:ilvl="0">
      <w:start w:val="1"/>
      <w:numFmt w:val="decimal"/>
      <w:lvlText w:val="3.4.2.%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3" w15:restartNumberingAfterBreak="0">
    <w:nsid w:val="24D53899"/>
    <w:multiLevelType w:val="multilevel"/>
    <w:tmpl w:val="7158B32C"/>
    <w:lvl w:ilvl="0">
      <w:start w:val="1"/>
      <w:numFmt w:val="decimal"/>
      <w:lvlText w:val="3.6.%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4" w15:restartNumberingAfterBreak="0">
    <w:nsid w:val="256E2633"/>
    <w:multiLevelType w:val="multilevel"/>
    <w:tmpl w:val="052A7060"/>
    <w:lvl w:ilvl="0">
      <w:start w:val="1"/>
      <w:numFmt w:val="decimal"/>
      <w:lvlText w:val="2.1.8.%1"/>
      <w:lvlJc w:val="left"/>
      <w:pPr>
        <w:ind w:left="0" w:firstLine="0"/>
      </w:pPr>
      <w:rPr>
        <w:rFonts w:ascii="Georgia" w:hAnsi="Georgia" w:hint="default"/>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5" w15:restartNumberingAfterBreak="0">
    <w:nsid w:val="25DE7FAC"/>
    <w:multiLevelType w:val="multilevel"/>
    <w:tmpl w:val="BEB49C46"/>
    <w:lvl w:ilvl="0">
      <w:start w:val="1"/>
      <w:numFmt w:val="decimal"/>
      <w:lvlText w:val="2.4.12.%1"/>
      <w:lvlJc w:val="left"/>
      <w:pPr>
        <w:ind w:left="0" w:firstLine="0"/>
      </w:pPr>
      <w:rPr>
        <w:rFonts w:ascii="Georgia" w:hAnsi="Georgia" w:hint="default"/>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6" w15:restartNumberingAfterBreak="0">
    <w:nsid w:val="26AB2AE2"/>
    <w:multiLevelType w:val="multilevel"/>
    <w:tmpl w:val="B15A4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26B817A6"/>
    <w:multiLevelType w:val="multilevel"/>
    <w:tmpl w:val="C9E27E3C"/>
    <w:lvl w:ilvl="0">
      <w:start w:val="1"/>
      <w:numFmt w:val="decimal"/>
      <w:lvlText w:val="4.%1"/>
      <w:lvlJc w:val="left"/>
      <w:pPr>
        <w:ind w:left="0" w:firstLine="0"/>
      </w:pPr>
      <w:rPr>
        <w:rFonts w:ascii="Georgia" w:hAnsi="Georgia" w:cs="Arial"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8"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9" w15:restartNumberingAfterBreak="0">
    <w:nsid w:val="27290A1D"/>
    <w:multiLevelType w:val="multilevel"/>
    <w:tmpl w:val="60447CA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0" w15:restartNumberingAfterBreak="0">
    <w:nsid w:val="28C2519B"/>
    <w:multiLevelType w:val="multilevel"/>
    <w:tmpl w:val="041617DA"/>
    <w:lvl w:ilvl="0">
      <w:start w:val="1"/>
      <w:numFmt w:val="decimal"/>
      <w:lvlText w:val="2.4.7.%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1" w15:restartNumberingAfterBreak="0">
    <w:nsid w:val="29333A56"/>
    <w:multiLevelType w:val="multilevel"/>
    <w:tmpl w:val="4C302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2ADD18B6"/>
    <w:multiLevelType w:val="multilevel"/>
    <w:tmpl w:val="0F78DF4E"/>
    <w:lvl w:ilvl="0">
      <w:start w:val="1"/>
      <w:numFmt w:val="decimal"/>
      <w:lvlText w:val="3.5.%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3" w15:restartNumberingAfterBreak="0">
    <w:nsid w:val="2B2148EC"/>
    <w:multiLevelType w:val="multilevel"/>
    <w:tmpl w:val="91D4F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2BEB1810"/>
    <w:multiLevelType w:val="multilevel"/>
    <w:tmpl w:val="63BCAFAA"/>
    <w:lvl w:ilvl="0">
      <w:start w:val="1"/>
      <w:numFmt w:val="decimal"/>
      <w:lvlText w:val="2.1.7.%1"/>
      <w:lvlJc w:val="left"/>
      <w:pPr>
        <w:tabs>
          <w:tab w:val="num" w:pos="1134"/>
        </w:tabs>
        <w:ind w:left="0" w:firstLine="0"/>
      </w:pPr>
      <w:rPr>
        <w:rFonts w:ascii="Georgia" w:hAnsi="Georgia" w:hint="default"/>
        <w:sz w:val="28"/>
      </w:rPr>
    </w:lvl>
    <w:lvl w:ilvl="1">
      <w:start w:val="1"/>
      <w:numFmt w:val="lowerLetter"/>
      <w:lvlText w:val="%2."/>
      <w:lvlJc w:val="left"/>
      <w:pPr>
        <w:tabs>
          <w:tab w:val="num" w:pos="1134"/>
        </w:tabs>
        <w:ind w:left="0" w:firstLine="0"/>
      </w:pPr>
      <w:rPr>
        <w:rFonts w:hint="default"/>
      </w:rPr>
    </w:lvl>
    <w:lvl w:ilvl="2">
      <w:start w:val="1"/>
      <w:numFmt w:val="lowerRoman"/>
      <w:lvlText w:val="%3."/>
      <w:lvlJc w:val="right"/>
      <w:pPr>
        <w:tabs>
          <w:tab w:val="num" w:pos="1134"/>
        </w:tabs>
        <w:ind w:left="0" w:firstLine="0"/>
      </w:pPr>
      <w:rPr>
        <w:rFonts w:hint="default"/>
      </w:rPr>
    </w:lvl>
    <w:lvl w:ilvl="3">
      <w:start w:val="1"/>
      <w:numFmt w:val="decimal"/>
      <w:lvlText w:val="%4."/>
      <w:lvlJc w:val="left"/>
      <w:pPr>
        <w:tabs>
          <w:tab w:val="num" w:pos="1134"/>
        </w:tabs>
        <w:ind w:left="0" w:firstLine="0"/>
      </w:pPr>
      <w:rPr>
        <w:rFonts w:hint="default"/>
      </w:rPr>
    </w:lvl>
    <w:lvl w:ilvl="4">
      <w:start w:val="1"/>
      <w:numFmt w:val="lowerLetter"/>
      <w:lvlText w:val="%5."/>
      <w:lvlJc w:val="left"/>
      <w:pPr>
        <w:tabs>
          <w:tab w:val="num" w:pos="1134"/>
        </w:tabs>
        <w:ind w:left="0" w:firstLine="0"/>
      </w:pPr>
      <w:rPr>
        <w:rFonts w:hint="default"/>
      </w:rPr>
    </w:lvl>
    <w:lvl w:ilvl="5">
      <w:start w:val="1"/>
      <w:numFmt w:val="lowerRoman"/>
      <w:lvlText w:val="%6."/>
      <w:lvlJc w:val="right"/>
      <w:pPr>
        <w:tabs>
          <w:tab w:val="num" w:pos="1134"/>
        </w:tabs>
        <w:ind w:left="0" w:firstLine="0"/>
      </w:pPr>
      <w:rPr>
        <w:rFonts w:hint="default"/>
      </w:rPr>
    </w:lvl>
    <w:lvl w:ilvl="6">
      <w:start w:val="1"/>
      <w:numFmt w:val="decimal"/>
      <w:lvlText w:val="%7."/>
      <w:lvlJc w:val="left"/>
      <w:pPr>
        <w:tabs>
          <w:tab w:val="num" w:pos="1134"/>
        </w:tabs>
        <w:ind w:left="0" w:firstLine="0"/>
      </w:pPr>
      <w:rPr>
        <w:rFonts w:hint="default"/>
      </w:rPr>
    </w:lvl>
    <w:lvl w:ilvl="7">
      <w:start w:val="1"/>
      <w:numFmt w:val="lowerLetter"/>
      <w:lvlText w:val="%8."/>
      <w:lvlJc w:val="left"/>
      <w:pPr>
        <w:tabs>
          <w:tab w:val="num" w:pos="1134"/>
        </w:tabs>
        <w:ind w:left="0" w:firstLine="0"/>
      </w:pPr>
      <w:rPr>
        <w:rFonts w:hint="default"/>
      </w:rPr>
    </w:lvl>
    <w:lvl w:ilvl="8">
      <w:start w:val="1"/>
      <w:numFmt w:val="lowerRoman"/>
      <w:lvlText w:val="%9."/>
      <w:lvlJc w:val="right"/>
      <w:pPr>
        <w:tabs>
          <w:tab w:val="num" w:pos="1134"/>
        </w:tabs>
        <w:ind w:left="0" w:firstLine="0"/>
      </w:pPr>
      <w:rPr>
        <w:rFonts w:hint="default"/>
      </w:rPr>
    </w:lvl>
  </w:abstractNum>
  <w:abstractNum w:abstractNumId="65" w15:restartNumberingAfterBreak="0">
    <w:nsid w:val="2CD7703E"/>
    <w:multiLevelType w:val="multilevel"/>
    <w:tmpl w:val="DCDEB9D0"/>
    <w:styleLink w:val="Style3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6" w15:restartNumberingAfterBreak="0">
    <w:nsid w:val="2D1656CA"/>
    <w:multiLevelType w:val="multilevel"/>
    <w:tmpl w:val="615C9A2C"/>
    <w:lvl w:ilvl="0">
      <w:start w:val="1"/>
      <w:numFmt w:val="decimal"/>
      <w:lvlText w:val="3.8.1.%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7" w15:restartNumberingAfterBreak="0">
    <w:nsid w:val="2D1A6BE2"/>
    <w:multiLevelType w:val="multilevel"/>
    <w:tmpl w:val="BB065508"/>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68" w15:restartNumberingAfterBreak="0">
    <w:nsid w:val="2E4A1203"/>
    <w:multiLevelType w:val="multilevel"/>
    <w:tmpl w:val="64B848F0"/>
    <w:lvl w:ilvl="0">
      <w:start w:val="1"/>
      <w:numFmt w:val="decimal"/>
      <w:lvlText w:val="2.1.6.%1"/>
      <w:lvlJc w:val="left"/>
      <w:pPr>
        <w:tabs>
          <w:tab w:val="num" w:pos="1134"/>
        </w:tabs>
        <w:ind w:left="0" w:firstLine="0"/>
      </w:pPr>
      <w:rPr>
        <w:rFonts w:ascii="Georgia" w:hAnsi="Georgia" w:hint="default"/>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9" w15:restartNumberingAfterBreak="0">
    <w:nsid w:val="2E9B3D97"/>
    <w:multiLevelType w:val="multilevel"/>
    <w:tmpl w:val="01380302"/>
    <w:lvl w:ilvl="0">
      <w:start w:val="1"/>
      <w:numFmt w:val="decimal"/>
      <w:lvlText w:val="2.4.4.5.%1"/>
      <w:lvlJc w:val="left"/>
      <w:pPr>
        <w:ind w:left="0" w:firstLine="0"/>
      </w:pPr>
      <w:rPr>
        <w:rFonts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0" w15:restartNumberingAfterBreak="0">
    <w:nsid w:val="2F0B6AB9"/>
    <w:multiLevelType w:val="multilevel"/>
    <w:tmpl w:val="334A0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2F283C05"/>
    <w:multiLevelType w:val="multilevel"/>
    <w:tmpl w:val="63402E70"/>
    <w:lvl w:ilvl="0">
      <w:start w:val="1"/>
      <w:numFmt w:val="decimal"/>
      <w:lvlText w:val="2.4.4.4.%1"/>
      <w:lvlJc w:val="left"/>
      <w:pPr>
        <w:ind w:left="0" w:firstLine="0"/>
      </w:pPr>
      <w:rPr>
        <w:rFonts w:hint="default"/>
        <w:b/>
        <w:i w:val="0"/>
        <w:sz w:val="24"/>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72"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73" w15:restartNumberingAfterBreak="0">
    <w:nsid w:val="342E7C8A"/>
    <w:multiLevelType w:val="multilevel"/>
    <w:tmpl w:val="8110DF68"/>
    <w:lvl w:ilvl="0">
      <w:start w:val="1"/>
      <w:numFmt w:val="decimal"/>
      <w:lvlText w:val="2.4.%1"/>
      <w:lvlJc w:val="left"/>
      <w:pPr>
        <w:ind w:left="0" w:firstLine="0"/>
      </w:pPr>
      <w:rPr>
        <w:rFonts w:ascii="Georgia" w:hAnsi="Georgia"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4" w15:restartNumberingAfterBreak="0">
    <w:nsid w:val="368D7FFE"/>
    <w:multiLevelType w:val="multilevel"/>
    <w:tmpl w:val="96EAFBE0"/>
    <w:lvl w:ilvl="0">
      <w:start w:val="1"/>
      <w:numFmt w:val="decimal"/>
      <w:lvlText w:val="2.4.8.%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5" w15:restartNumberingAfterBreak="0">
    <w:nsid w:val="37223F31"/>
    <w:multiLevelType w:val="multilevel"/>
    <w:tmpl w:val="C720CCEE"/>
    <w:lvl w:ilvl="0">
      <w:start w:val="1"/>
      <w:numFmt w:val="decimal"/>
      <w:lvlText w:val="2.4.2.%1"/>
      <w:lvlJc w:val="left"/>
      <w:pPr>
        <w:ind w:left="851" w:hanging="851"/>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6" w15:restartNumberingAfterBreak="0">
    <w:nsid w:val="372E0D86"/>
    <w:multiLevelType w:val="multilevel"/>
    <w:tmpl w:val="F2CAE6EA"/>
    <w:lvl w:ilvl="0">
      <w:start w:val="4"/>
      <w:numFmt w:val="decimal"/>
      <w:lvlText w:val="2.%1"/>
      <w:lvlJc w:val="left"/>
      <w:pPr>
        <w:ind w:left="851" w:hanging="851"/>
      </w:pPr>
      <w:rPr>
        <w:rFonts w:ascii="Georgia" w:hAnsi="Georgia"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7" w15:restartNumberingAfterBreak="0">
    <w:nsid w:val="37C360BF"/>
    <w:multiLevelType w:val="multilevel"/>
    <w:tmpl w:val="ECB2F1C0"/>
    <w:lvl w:ilvl="0">
      <w:start w:val="1"/>
      <w:numFmt w:val="decimal"/>
      <w:lvlText w:val="4.3.20.%1"/>
      <w:lvlJc w:val="left"/>
      <w:pPr>
        <w:ind w:left="0" w:firstLine="0"/>
      </w:pPr>
      <w:rPr>
        <w:rFonts w:ascii="Georgia" w:hAnsi="Georgia" w:hint="default"/>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8" w15:restartNumberingAfterBreak="0">
    <w:nsid w:val="37E038DD"/>
    <w:multiLevelType w:val="multilevel"/>
    <w:tmpl w:val="66183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38B24E9D"/>
    <w:multiLevelType w:val="multilevel"/>
    <w:tmpl w:val="2C30B124"/>
    <w:lvl w:ilvl="0">
      <w:start w:val="1"/>
      <w:numFmt w:val="decimal"/>
      <w:lvlText w:val="2.1.1.%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80" w15:restartNumberingAfterBreak="0">
    <w:nsid w:val="38D87112"/>
    <w:multiLevelType w:val="multilevel"/>
    <w:tmpl w:val="D4487EEE"/>
    <w:styleLink w:val="Style81"/>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81" w15:restartNumberingAfterBreak="0">
    <w:nsid w:val="393022C0"/>
    <w:multiLevelType w:val="multilevel"/>
    <w:tmpl w:val="0BA405FE"/>
    <w:lvl w:ilvl="0">
      <w:start w:val="1"/>
      <w:numFmt w:val="decimal"/>
      <w:lvlText w:val="2.1.6.4.%1"/>
      <w:lvlJc w:val="left"/>
      <w:pPr>
        <w:tabs>
          <w:tab w:val="num" w:pos="1134"/>
        </w:tabs>
        <w:ind w:left="0" w:firstLine="0"/>
      </w:pPr>
      <w:rPr>
        <w:rFonts w:ascii="Georgia" w:hAnsi="Georgia" w:hint="default"/>
        <w:sz w:val="24"/>
      </w:rPr>
    </w:lvl>
    <w:lvl w:ilvl="1">
      <w:start w:val="1"/>
      <w:numFmt w:val="lowerLetter"/>
      <w:lvlText w:val="%2."/>
      <w:lvlJc w:val="left"/>
      <w:pPr>
        <w:tabs>
          <w:tab w:val="num" w:pos="1134"/>
        </w:tabs>
        <w:ind w:left="0" w:firstLine="0"/>
      </w:pPr>
      <w:rPr>
        <w:rFonts w:hint="default"/>
      </w:rPr>
    </w:lvl>
    <w:lvl w:ilvl="2">
      <w:start w:val="1"/>
      <w:numFmt w:val="lowerRoman"/>
      <w:lvlText w:val="%3."/>
      <w:lvlJc w:val="right"/>
      <w:pPr>
        <w:tabs>
          <w:tab w:val="num" w:pos="1134"/>
        </w:tabs>
        <w:ind w:left="0" w:firstLine="0"/>
      </w:pPr>
      <w:rPr>
        <w:rFonts w:hint="default"/>
      </w:rPr>
    </w:lvl>
    <w:lvl w:ilvl="3">
      <w:start w:val="1"/>
      <w:numFmt w:val="decimal"/>
      <w:lvlText w:val="%4."/>
      <w:lvlJc w:val="left"/>
      <w:pPr>
        <w:tabs>
          <w:tab w:val="num" w:pos="1134"/>
        </w:tabs>
        <w:ind w:left="0" w:firstLine="0"/>
      </w:pPr>
      <w:rPr>
        <w:rFonts w:hint="default"/>
      </w:rPr>
    </w:lvl>
    <w:lvl w:ilvl="4">
      <w:start w:val="1"/>
      <w:numFmt w:val="lowerLetter"/>
      <w:lvlText w:val="%5."/>
      <w:lvlJc w:val="left"/>
      <w:pPr>
        <w:tabs>
          <w:tab w:val="num" w:pos="1134"/>
        </w:tabs>
        <w:ind w:left="0" w:firstLine="0"/>
      </w:pPr>
      <w:rPr>
        <w:rFonts w:hint="default"/>
      </w:rPr>
    </w:lvl>
    <w:lvl w:ilvl="5">
      <w:start w:val="1"/>
      <w:numFmt w:val="lowerRoman"/>
      <w:lvlText w:val="%6."/>
      <w:lvlJc w:val="right"/>
      <w:pPr>
        <w:tabs>
          <w:tab w:val="num" w:pos="1134"/>
        </w:tabs>
        <w:ind w:left="0" w:firstLine="0"/>
      </w:pPr>
      <w:rPr>
        <w:rFonts w:hint="default"/>
      </w:rPr>
    </w:lvl>
    <w:lvl w:ilvl="6">
      <w:start w:val="1"/>
      <w:numFmt w:val="decimal"/>
      <w:lvlText w:val="%7."/>
      <w:lvlJc w:val="left"/>
      <w:pPr>
        <w:tabs>
          <w:tab w:val="num" w:pos="1134"/>
        </w:tabs>
        <w:ind w:left="0" w:firstLine="0"/>
      </w:pPr>
      <w:rPr>
        <w:rFonts w:hint="default"/>
      </w:rPr>
    </w:lvl>
    <w:lvl w:ilvl="7">
      <w:start w:val="1"/>
      <w:numFmt w:val="lowerLetter"/>
      <w:lvlText w:val="%8."/>
      <w:lvlJc w:val="left"/>
      <w:pPr>
        <w:tabs>
          <w:tab w:val="num" w:pos="1134"/>
        </w:tabs>
        <w:ind w:left="0" w:firstLine="0"/>
      </w:pPr>
      <w:rPr>
        <w:rFonts w:hint="default"/>
      </w:rPr>
    </w:lvl>
    <w:lvl w:ilvl="8">
      <w:start w:val="1"/>
      <w:numFmt w:val="lowerRoman"/>
      <w:lvlText w:val="%9."/>
      <w:lvlJc w:val="right"/>
      <w:pPr>
        <w:tabs>
          <w:tab w:val="num" w:pos="1134"/>
        </w:tabs>
        <w:ind w:left="0" w:firstLine="0"/>
      </w:pPr>
      <w:rPr>
        <w:rFonts w:hint="default"/>
      </w:rPr>
    </w:lvl>
  </w:abstractNum>
  <w:abstractNum w:abstractNumId="82" w15:restartNumberingAfterBreak="0">
    <w:nsid w:val="39A65EF2"/>
    <w:multiLevelType w:val="multilevel"/>
    <w:tmpl w:val="3BF0F4FE"/>
    <w:styleLink w:val="Style91"/>
    <w:lvl w:ilvl="0">
      <w:start w:val="2"/>
      <w:numFmt w:val="decimal"/>
      <w:lvlText w:val="%1."/>
      <w:lvlJc w:val="left"/>
      <w:pPr>
        <w:ind w:left="0" w:firstLine="0"/>
      </w:pPr>
      <w:rPr>
        <w:rFonts w:hint="default"/>
      </w:rPr>
    </w:lvl>
    <w:lvl w:ilvl="1">
      <w:start w:val="1"/>
      <w:numFmt w:val="decimal"/>
      <w:lvlText w:val="%1.%2."/>
      <w:lvlJc w:val="left"/>
      <w:pPr>
        <w:ind w:left="0" w:firstLine="36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3" w15:restartNumberingAfterBreak="0">
    <w:nsid w:val="39B87F38"/>
    <w:multiLevelType w:val="multilevel"/>
    <w:tmpl w:val="2D4E93C6"/>
    <w:lvl w:ilvl="0">
      <w:start w:val="1"/>
      <w:numFmt w:val="decimal"/>
      <w:lvlText w:val="2.4.3.%1"/>
      <w:lvlJc w:val="left"/>
      <w:pPr>
        <w:ind w:left="0" w:firstLine="0"/>
      </w:pPr>
      <w:rPr>
        <w:rFonts w:ascii="Georgia" w:hAnsi="Georgia" w:hint="default"/>
        <w:b/>
        <w:i w:val="0"/>
        <w:sz w:val="28"/>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84" w15:restartNumberingAfterBreak="0">
    <w:nsid w:val="3A1A27FC"/>
    <w:multiLevelType w:val="hybridMultilevel"/>
    <w:tmpl w:val="5316C3F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85" w15:restartNumberingAfterBreak="0">
    <w:nsid w:val="3A353852"/>
    <w:multiLevelType w:val="multilevel"/>
    <w:tmpl w:val="1854C29E"/>
    <w:lvl w:ilvl="0">
      <w:start w:val="1"/>
      <w:numFmt w:val="decimal"/>
      <w:lvlText w:val="3.2.2.%1"/>
      <w:lvlJc w:val="left"/>
      <w:pPr>
        <w:ind w:left="0" w:firstLine="0"/>
      </w:pPr>
      <w:rPr>
        <w:rFonts w:hint="default"/>
      </w:rPr>
    </w:lvl>
    <w:lvl w:ilvl="1">
      <w:start w:val="1"/>
      <w:numFmt w:val="lowerLetter"/>
      <w:lvlText w:val="%2."/>
      <w:lvlJc w:val="left"/>
      <w:pPr>
        <w:ind w:left="1077" w:firstLine="0"/>
      </w:pPr>
      <w:rPr>
        <w:rFonts w:hint="default"/>
      </w:rPr>
    </w:lvl>
    <w:lvl w:ilvl="2">
      <w:start w:val="1"/>
      <w:numFmt w:val="lowerRoman"/>
      <w:lvlText w:val="%3."/>
      <w:lvlJc w:val="right"/>
      <w:pPr>
        <w:ind w:left="2154" w:firstLine="0"/>
      </w:pPr>
      <w:rPr>
        <w:rFonts w:hint="default"/>
      </w:rPr>
    </w:lvl>
    <w:lvl w:ilvl="3">
      <w:start w:val="1"/>
      <w:numFmt w:val="decimal"/>
      <w:lvlText w:val="%4."/>
      <w:lvlJc w:val="left"/>
      <w:pPr>
        <w:ind w:left="3231" w:firstLine="0"/>
      </w:pPr>
      <w:rPr>
        <w:rFonts w:hint="default"/>
      </w:rPr>
    </w:lvl>
    <w:lvl w:ilvl="4">
      <w:start w:val="1"/>
      <w:numFmt w:val="lowerLetter"/>
      <w:lvlText w:val="%5."/>
      <w:lvlJc w:val="left"/>
      <w:pPr>
        <w:ind w:left="4308" w:firstLine="0"/>
      </w:pPr>
      <w:rPr>
        <w:rFonts w:hint="default"/>
      </w:rPr>
    </w:lvl>
    <w:lvl w:ilvl="5">
      <w:start w:val="1"/>
      <w:numFmt w:val="lowerRoman"/>
      <w:lvlText w:val="%6."/>
      <w:lvlJc w:val="right"/>
      <w:pPr>
        <w:ind w:left="5385" w:firstLine="0"/>
      </w:pPr>
      <w:rPr>
        <w:rFonts w:hint="default"/>
      </w:rPr>
    </w:lvl>
    <w:lvl w:ilvl="6">
      <w:start w:val="1"/>
      <w:numFmt w:val="decimal"/>
      <w:lvlText w:val="%7."/>
      <w:lvlJc w:val="left"/>
      <w:pPr>
        <w:ind w:left="6462" w:firstLine="0"/>
      </w:pPr>
      <w:rPr>
        <w:rFonts w:hint="default"/>
      </w:rPr>
    </w:lvl>
    <w:lvl w:ilvl="7">
      <w:start w:val="1"/>
      <w:numFmt w:val="lowerLetter"/>
      <w:lvlText w:val="%8."/>
      <w:lvlJc w:val="left"/>
      <w:pPr>
        <w:ind w:left="7539" w:firstLine="0"/>
      </w:pPr>
      <w:rPr>
        <w:rFonts w:hint="default"/>
      </w:rPr>
    </w:lvl>
    <w:lvl w:ilvl="8">
      <w:start w:val="1"/>
      <w:numFmt w:val="lowerRoman"/>
      <w:lvlText w:val="%9."/>
      <w:lvlJc w:val="right"/>
      <w:pPr>
        <w:ind w:left="8616" w:firstLine="0"/>
      </w:pPr>
      <w:rPr>
        <w:rFonts w:hint="default"/>
      </w:rPr>
    </w:lvl>
  </w:abstractNum>
  <w:abstractNum w:abstractNumId="86" w15:restartNumberingAfterBreak="0">
    <w:nsid w:val="3B112EB9"/>
    <w:multiLevelType w:val="multilevel"/>
    <w:tmpl w:val="58644F0A"/>
    <w:lvl w:ilvl="0">
      <w:start w:val="1"/>
      <w:numFmt w:val="decimal"/>
      <w:lvlText w:val="2.5.2.%1"/>
      <w:lvlJc w:val="left"/>
      <w:pPr>
        <w:tabs>
          <w:tab w:val="num" w:pos="1134"/>
        </w:tabs>
        <w:ind w:left="0" w:firstLine="0"/>
      </w:pPr>
      <w:rPr>
        <w:rFonts w:ascii="Georgia" w:hAnsi="Georgia" w:hint="default"/>
        <w:sz w:val="26"/>
        <w:szCs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7" w15:restartNumberingAfterBreak="0">
    <w:nsid w:val="3B113113"/>
    <w:multiLevelType w:val="multilevel"/>
    <w:tmpl w:val="E79AB6BE"/>
    <w:lvl w:ilvl="0">
      <w:start w:val="1"/>
      <w:numFmt w:val="decimal"/>
      <w:lvlText w:val="3.%1"/>
      <w:lvlJc w:val="left"/>
      <w:pPr>
        <w:ind w:left="0" w:firstLine="0"/>
      </w:pPr>
      <w:rPr>
        <w:rFonts w:ascii="Georgia" w:hAnsi="Georgia" w:cs="Arial" w:hint="default"/>
        <w:b/>
        <w:i w:val="0"/>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8" w15:restartNumberingAfterBreak="0">
    <w:nsid w:val="3B934134"/>
    <w:multiLevelType w:val="hybridMultilevel"/>
    <w:tmpl w:val="67F24C4E"/>
    <w:styleLink w:val="Style41"/>
    <w:lvl w:ilvl="0" w:tplc="DC66E45C">
      <w:start w:val="1"/>
      <w:numFmt w:val="bullet"/>
      <w:pStyle w:val="Keypointsub-bullet"/>
      <w:lvlText w:val="‒"/>
      <w:lvlJc w:val="left"/>
      <w:pPr>
        <w:ind w:left="1400" w:hanging="360"/>
      </w:pPr>
      <w:rPr>
        <w:rFonts w:ascii="Calibri" w:hAnsi="Calibri" w:cs="Times New Roman" w:hint="default"/>
        <w:b w:val="0"/>
        <w:i w:val="0"/>
        <w:sz w:val="20"/>
      </w:rPr>
    </w:lvl>
    <w:lvl w:ilvl="1" w:tplc="14090003" w:tentative="1">
      <w:start w:val="1"/>
      <w:numFmt w:val="bullet"/>
      <w:lvlText w:val="o"/>
      <w:lvlJc w:val="left"/>
      <w:pPr>
        <w:ind w:left="2120" w:hanging="360"/>
      </w:pPr>
      <w:rPr>
        <w:rFonts w:ascii="Courier New" w:hAnsi="Courier New" w:cs="Courier New" w:hint="default"/>
      </w:rPr>
    </w:lvl>
    <w:lvl w:ilvl="2" w:tplc="14090005" w:tentative="1">
      <w:start w:val="1"/>
      <w:numFmt w:val="bullet"/>
      <w:lvlText w:val=""/>
      <w:lvlJc w:val="left"/>
      <w:pPr>
        <w:ind w:left="2840" w:hanging="360"/>
      </w:pPr>
      <w:rPr>
        <w:rFonts w:ascii="Wingdings" w:hAnsi="Wingdings" w:hint="default"/>
      </w:rPr>
    </w:lvl>
    <w:lvl w:ilvl="3" w:tplc="14090001" w:tentative="1">
      <w:start w:val="1"/>
      <w:numFmt w:val="bullet"/>
      <w:lvlText w:val=""/>
      <w:lvlJc w:val="left"/>
      <w:pPr>
        <w:ind w:left="3560" w:hanging="360"/>
      </w:pPr>
      <w:rPr>
        <w:rFonts w:ascii="Symbol" w:hAnsi="Symbol" w:hint="default"/>
      </w:rPr>
    </w:lvl>
    <w:lvl w:ilvl="4" w:tplc="14090003" w:tentative="1">
      <w:start w:val="1"/>
      <w:numFmt w:val="bullet"/>
      <w:lvlText w:val="o"/>
      <w:lvlJc w:val="left"/>
      <w:pPr>
        <w:ind w:left="4280" w:hanging="360"/>
      </w:pPr>
      <w:rPr>
        <w:rFonts w:ascii="Courier New" w:hAnsi="Courier New" w:cs="Courier New" w:hint="default"/>
      </w:rPr>
    </w:lvl>
    <w:lvl w:ilvl="5" w:tplc="14090005" w:tentative="1">
      <w:start w:val="1"/>
      <w:numFmt w:val="bullet"/>
      <w:lvlText w:val=""/>
      <w:lvlJc w:val="left"/>
      <w:pPr>
        <w:ind w:left="5000" w:hanging="360"/>
      </w:pPr>
      <w:rPr>
        <w:rFonts w:ascii="Wingdings" w:hAnsi="Wingdings" w:hint="default"/>
      </w:rPr>
    </w:lvl>
    <w:lvl w:ilvl="6" w:tplc="14090001" w:tentative="1">
      <w:start w:val="1"/>
      <w:numFmt w:val="bullet"/>
      <w:lvlText w:val=""/>
      <w:lvlJc w:val="left"/>
      <w:pPr>
        <w:ind w:left="5720" w:hanging="360"/>
      </w:pPr>
      <w:rPr>
        <w:rFonts w:ascii="Symbol" w:hAnsi="Symbol" w:hint="default"/>
      </w:rPr>
    </w:lvl>
    <w:lvl w:ilvl="7" w:tplc="14090003" w:tentative="1">
      <w:start w:val="1"/>
      <w:numFmt w:val="bullet"/>
      <w:lvlText w:val="o"/>
      <w:lvlJc w:val="left"/>
      <w:pPr>
        <w:ind w:left="6440" w:hanging="360"/>
      </w:pPr>
      <w:rPr>
        <w:rFonts w:ascii="Courier New" w:hAnsi="Courier New" w:cs="Courier New" w:hint="default"/>
      </w:rPr>
    </w:lvl>
    <w:lvl w:ilvl="8" w:tplc="14090005" w:tentative="1">
      <w:start w:val="1"/>
      <w:numFmt w:val="bullet"/>
      <w:lvlText w:val=""/>
      <w:lvlJc w:val="left"/>
      <w:pPr>
        <w:ind w:left="7160" w:hanging="360"/>
      </w:pPr>
      <w:rPr>
        <w:rFonts w:ascii="Wingdings" w:hAnsi="Wingdings" w:hint="default"/>
      </w:rPr>
    </w:lvl>
  </w:abstractNum>
  <w:abstractNum w:abstractNumId="89" w15:restartNumberingAfterBreak="0">
    <w:nsid w:val="3CDF01CA"/>
    <w:multiLevelType w:val="multilevel"/>
    <w:tmpl w:val="9BC8C944"/>
    <w:lvl w:ilvl="0">
      <w:start w:val="1"/>
      <w:numFmt w:val="decimal"/>
      <w:lvlText w:val="2.1.4.%1"/>
      <w:lvlJc w:val="left"/>
      <w:pPr>
        <w:tabs>
          <w:tab w:val="num" w:pos="1077"/>
        </w:tabs>
        <w:ind w:left="0" w:firstLine="0"/>
      </w:pPr>
      <w:rPr>
        <w:rFonts w:hint="default"/>
      </w:rPr>
    </w:lvl>
    <w:lvl w:ilvl="1">
      <w:start w:val="1"/>
      <w:numFmt w:val="lowerLetter"/>
      <w:lvlText w:val="%2."/>
      <w:lvlJc w:val="left"/>
      <w:pPr>
        <w:tabs>
          <w:tab w:val="num" w:pos="1077"/>
        </w:tabs>
        <w:ind w:left="0" w:firstLine="0"/>
      </w:pPr>
      <w:rPr>
        <w:rFonts w:hint="default"/>
      </w:rPr>
    </w:lvl>
    <w:lvl w:ilvl="2">
      <w:start w:val="1"/>
      <w:numFmt w:val="lowerRoman"/>
      <w:lvlText w:val="%3."/>
      <w:lvlJc w:val="right"/>
      <w:pPr>
        <w:tabs>
          <w:tab w:val="num" w:pos="1077"/>
        </w:tabs>
        <w:ind w:left="0" w:firstLine="0"/>
      </w:pPr>
      <w:rPr>
        <w:rFonts w:hint="default"/>
      </w:rPr>
    </w:lvl>
    <w:lvl w:ilvl="3">
      <w:start w:val="1"/>
      <w:numFmt w:val="decimal"/>
      <w:lvlText w:val="%4."/>
      <w:lvlJc w:val="left"/>
      <w:pPr>
        <w:tabs>
          <w:tab w:val="num" w:pos="1077"/>
        </w:tabs>
        <w:ind w:left="0" w:firstLine="0"/>
      </w:pPr>
      <w:rPr>
        <w:rFonts w:hint="default"/>
      </w:rPr>
    </w:lvl>
    <w:lvl w:ilvl="4">
      <w:start w:val="1"/>
      <w:numFmt w:val="lowerLetter"/>
      <w:lvlText w:val="%5."/>
      <w:lvlJc w:val="left"/>
      <w:pPr>
        <w:tabs>
          <w:tab w:val="num" w:pos="1077"/>
        </w:tabs>
        <w:ind w:left="0" w:firstLine="0"/>
      </w:pPr>
      <w:rPr>
        <w:rFonts w:hint="default"/>
      </w:rPr>
    </w:lvl>
    <w:lvl w:ilvl="5">
      <w:start w:val="1"/>
      <w:numFmt w:val="lowerRoman"/>
      <w:lvlText w:val="%6."/>
      <w:lvlJc w:val="right"/>
      <w:pPr>
        <w:tabs>
          <w:tab w:val="num" w:pos="1077"/>
        </w:tabs>
        <w:ind w:left="0" w:firstLine="0"/>
      </w:pPr>
      <w:rPr>
        <w:rFonts w:hint="default"/>
      </w:rPr>
    </w:lvl>
    <w:lvl w:ilvl="6">
      <w:start w:val="1"/>
      <w:numFmt w:val="decimal"/>
      <w:lvlText w:val="%7."/>
      <w:lvlJc w:val="left"/>
      <w:pPr>
        <w:tabs>
          <w:tab w:val="num" w:pos="1077"/>
        </w:tabs>
        <w:ind w:left="0" w:firstLine="0"/>
      </w:pPr>
      <w:rPr>
        <w:rFonts w:hint="default"/>
      </w:rPr>
    </w:lvl>
    <w:lvl w:ilvl="7">
      <w:start w:val="1"/>
      <w:numFmt w:val="lowerLetter"/>
      <w:lvlText w:val="%8."/>
      <w:lvlJc w:val="left"/>
      <w:pPr>
        <w:tabs>
          <w:tab w:val="num" w:pos="1077"/>
        </w:tabs>
        <w:ind w:left="0" w:firstLine="0"/>
      </w:pPr>
      <w:rPr>
        <w:rFonts w:hint="default"/>
      </w:rPr>
    </w:lvl>
    <w:lvl w:ilvl="8">
      <w:start w:val="1"/>
      <w:numFmt w:val="lowerRoman"/>
      <w:lvlText w:val="%9."/>
      <w:lvlJc w:val="right"/>
      <w:pPr>
        <w:tabs>
          <w:tab w:val="num" w:pos="1077"/>
        </w:tabs>
        <w:ind w:left="0" w:firstLine="0"/>
      </w:pPr>
      <w:rPr>
        <w:rFonts w:hint="default"/>
      </w:rPr>
    </w:lvl>
  </w:abstractNum>
  <w:abstractNum w:abstractNumId="90" w15:restartNumberingAfterBreak="0">
    <w:nsid w:val="3CF70C2C"/>
    <w:multiLevelType w:val="hybridMultilevel"/>
    <w:tmpl w:val="70FE51A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1" w15:restartNumberingAfterBreak="0">
    <w:nsid w:val="3D465A16"/>
    <w:multiLevelType w:val="multilevel"/>
    <w:tmpl w:val="7CBA8A44"/>
    <w:styleLink w:val="Style71"/>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2" w15:restartNumberingAfterBreak="0">
    <w:nsid w:val="3E00424E"/>
    <w:multiLevelType w:val="multilevel"/>
    <w:tmpl w:val="C7048956"/>
    <w:lvl w:ilvl="0">
      <w:start w:val="1"/>
      <w:numFmt w:val="decimal"/>
      <w:lvlText w:val="2.5.4.%1"/>
      <w:lvlJc w:val="left"/>
      <w:pPr>
        <w:ind w:left="0" w:firstLine="0"/>
      </w:pPr>
      <w:rPr>
        <w:rFonts w:ascii="Georgia" w:hAnsi="Georgia" w:hint="default"/>
        <w:sz w:val="28"/>
        <w:szCs w:val="24"/>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93" w15:restartNumberingAfterBreak="0">
    <w:nsid w:val="3E701F82"/>
    <w:multiLevelType w:val="multilevel"/>
    <w:tmpl w:val="1FEAD968"/>
    <w:lvl w:ilvl="0">
      <w:start w:val="1"/>
      <w:numFmt w:val="decimal"/>
      <w:lvlText w:val="2.4.6.%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4" w15:restartNumberingAfterBreak="0">
    <w:nsid w:val="3EAD418D"/>
    <w:multiLevelType w:val="multilevel"/>
    <w:tmpl w:val="EBE43054"/>
    <w:lvl w:ilvl="0">
      <w:start w:val="1"/>
      <w:numFmt w:val="decimal"/>
      <w:lvlText w:val="2.4.10.%1"/>
      <w:lvlJc w:val="left"/>
      <w:pPr>
        <w:ind w:left="0" w:firstLine="0"/>
      </w:pPr>
      <w:rPr>
        <w:rFonts w:ascii="Georgia" w:hAnsi="Georgia" w:hint="default"/>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5" w15:restartNumberingAfterBreak="0">
    <w:nsid w:val="3FD225A3"/>
    <w:multiLevelType w:val="multilevel"/>
    <w:tmpl w:val="CEE0F87E"/>
    <w:lvl w:ilvl="0">
      <w:start w:val="1"/>
      <w:numFmt w:val="decimal"/>
      <w:lvlText w:val="2.5.3.%1"/>
      <w:lvlJc w:val="left"/>
      <w:pPr>
        <w:ind w:left="0" w:firstLine="0"/>
      </w:pPr>
      <w:rPr>
        <w:rFonts w:ascii="Georgia" w:hAnsi="Georgia" w:hint="default"/>
        <w:sz w:val="28"/>
        <w:szCs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6" w15:restartNumberingAfterBreak="0">
    <w:nsid w:val="403C7167"/>
    <w:multiLevelType w:val="multilevel"/>
    <w:tmpl w:val="F1644590"/>
    <w:lvl w:ilvl="0">
      <w:start w:val="1"/>
      <w:numFmt w:val="decimal"/>
      <w:lvlText w:val="2.1.6.2.%1"/>
      <w:lvlJc w:val="left"/>
      <w:pPr>
        <w:tabs>
          <w:tab w:val="num" w:pos="1134"/>
        </w:tabs>
        <w:ind w:left="0" w:firstLine="0"/>
      </w:pPr>
      <w:rPr>
        <w:rFonts w:ascii="Georgia" w:hAnsi="Georgia" w:hint="default"/>
        <w:sz w:val="24"/>
      </w:rPr>
    </w:lvl>
    <w:lvl w:ilvl="1">
      <w:start w:val="1"/>
      <w:numFmt w:val="lowerLetter"/>
      <w:lvlText w:val="%2."/>
      <w:lvlJc w:val="left"/>
      <w:pPr>
        <w:tabs>
          <w:tab w:val="num" w:pos="1077"/>
        </w:tabs>
        <w:ind w:left="0" w:firstLine="0"/>
      </w:pPr>
      <w:rPr>
        <w:rFonts w:hint="default"/>
      </w:rPr>
    </w:lvl>
    <w:lvl w:ilvl="2">
      <w:start w:val="1"/>
      <w:numFmt w:val="lowerRoman"/>
      <w:lvlText w:val="%3."/>
      <w:lvlJc w:val="right"/>
      <w:pPr>
        <w:tabs>
          <w:tab w:val="num" w:pos="1077"/>
        </w:tabs>
        <w:ind w:left="0" w:firstLine="0"/>
      </w:pPr>
      <w:rPr>
        <w:rFonts w:hint="default"/>
      </w:rPr>
    </w:lvl>
    <w:lvl w:ilvl="3">
      <w:start w:val="1"/>
      <w:numFmt w:val="decimal"/>
      <w:lvlText w:val="%4."/>
      <w:lvlJc w:val="left"/>
      <w:pPr>
        <w:tabs>
          <w:tab w:val="num" w:pos="1077"/>
        </w:tabs>
        <w:ind w:left="0" w:firstLine="0"/>
      </w:pPr>
      <w:rPr>
        <w:rFonts w:hint="default"/>
      </w:rPr>
    </w:lvl>
    <w:lvl w:ilvl="4">
      <w:start w:val="1"/>
      <w:numFmt w:val="lowerLetter"/>
      <w:lvlText w:val="%5."/>
      <w:lvlJc w:val="left"/>
      <w:pPr>
        <w:tabs>
          <w:tab w:val="num" w:pos="1077"/>
        </w:tabs>
        <w:ind w:left="0" w:firstLine="0"/>
      </w:pPr>
      <w:rPr>
        <w:rFonts w:hint="default"/>
      </w:rPr>
    </w:lvl>
    <w:lvl w:ilvl="5">
      <w:start w:val="1"/>
      <w:numFmt w:val="lowerRoman"/>
      <w:lvlText w:val="%6."/>
      <w:lvlJc w:val="right"/>
      <w:pPr>
        <w:tabs>
          <w:tab w:val="num" w:pos="1077"/>
        </w:tabs>
        <w:ind w:left="0" w:firstLine="0"/>
      </w:pPr>
      <w:rPr>
        <w:rFonts w:hint="default"/>
      </w:rPr>
    </w:lvl>
    <w:lvl w:ilvl="6">
      <w:start w:val="1"/>
      <w:numFmt w:val="decimal"/>
      <w:lvlText w:val="%7."/>
      <w:lvlJc w:val="left"/>
      <w:pPr>
        <w:tabs>
          <w:tab w:val="num" w:pos="1077"/>
        </w:tabs>
        <w:ind w:left="0" w:firstLine="0"/>
      </w:pPr>
      <w:rPr>
        <w:rFonts w:hint="default"/>
      </w:rPr>
    </w:lvl>
    <w:lvl w:ilvl="7">
      <w:start w:val="1"/>
      <w:numFmt w:val="lowerLetter"/>
      <w:lvlText w:val="%8."/>
      <w:lvlJc w:val="left"/>
      <w:pPr>
        <w:tabs>
          <w:tab w:val="num" w:pos="1077"/>
        </w:tabs>
        <w:ind w:left="0" w:firstLine="0"/>
      </w:pPr>
      <w:rPr>
        <w:rFonts w:hint="default"/>
      </w:rPr>
    </w:lvl>
    <w:lvl w:ilvl="8">
      <w:start w:val="1"/>
      <w:numFmt w:val="lowerRoman"/>
      <w:lvlText w:val="%9."/>
      <w:lvlJc w:val="right"/>
      <w:pPr>
        <w:tabs>
          <w:tab w:val="num" w:pos="1077"/>
        </w:tabs>
        <w:ind w:left="0" w:firstLine="0"/>
      </w:pPr>
      <w:rPr>
        <w:rFonts w:hint="default"/>
      </w:rPr>
    </w:lvl>
  </w:abstractNum>
  <w:abstractNum w:abstractNumId="97" w15:restartNumberingAfterBreak="0">
    <w:nsid w:val="408D1720"/>
    <w:multiLevelType w:val="multilevel"/>
    <w:tmpl w:val="E31E8C7A"/>
    <w:lvl w:ilvl="0">
      <w:start w:val="1"/>
      <w:numFmt w:val="decimal"/>
      <w:lvlText w:val="2.5.7.%1"/>
      <w:lvlJc w:val="left"/>
      <w:pPr>
        <w:ind w:left="0" w:firstLine="0"/>
      </w:pPr>
      <w:rPr>
        <w:rFonts w:ascii="Georgia" w:hAnsi="Georgia" w:hint="default"/>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8" w15:restartNumberingAfterBreak="0">
    <w:nsid w:val="415756F1"/>
    <w:multiLevelType w:val="multilevel"/>
    <w:tmpl w:val="84A666BE"/>
    <w:lvl w:ilvl="0">
      <w:start w:val="1"/>
      <w:numFmt w:val="decimal"/>
      <w:lvlText w:val="2.1.5.%1"/>
      <w:lvlJc w:val="left"/>
      <w:pPr>
        <w:tabs>
          <w:tab w:val="num" w:pos="1077"/>
        </w:tabs>
        <w:ind w:left="0" w:firstLine="0"/>
      </w:pPr>
      <w:rPr>
        <w:rFonts w:ascii="Georgia" w:hAnsi="Georgia" w:hint="default"/>
        <w:sz w:val="28"/>
      </w:rPr>
    </w:lvl>
    <w:lvl w:ilvl="1">
      <w:start w:val="1"/>
      <w:numFmt w:val="lowerLetter"/>
      <w:lvlText w:val="%2."/>
      <w:lvlJc w:val="left"/>
      <w:pPr>
        <w:tabs>
          <w:tab w:val="num" w:pos="1077"/>
        </w:tabs>
        <w:ind w:left="0" w:firstLine="0"/>
      </w:pPr>
      <w:rPr>
        <w:rFonts w:hint="default"/>
      </w:rPr>
    </w:lvl>
    <w:lvl w:ilvl="2">
      <w:start w:val="1"/>
      <w:numFmt w:val="lowerRoman"/>
      <w:lvlText w:val="%3."/>
      <w:lvlJc w:val="right"/>
      <w:pPr>
        <w:tabs>
          <w:tab w:val="num" w:pos="1077"/>
        </w:tabs>
        <w:ind w:left="0" w:firstLine="0"/>
      </w:pPr>
      <w:rPr>
        <w:rFonts w:hint="default"/>
      </w:rPr>
    </w:lvl>
    <w:lvl w:ilvl="3">
      <w:start w:val="1"/>
      <w:numFmt w:val="decimal"/>
      <w:lvlText w:val="%4."/>
      <w:lvlJc w:val="left"/>
      <w:pPr>
        <w:tabs>
          <w:tab w:val="num" w:pos="1077"/>
        </w:tabs>
        <w:ind w:left="0" w:firstLine="0"/>
      </w:pPr>
      <w:rPr>
        <w:rFonts w:hint="default"/>
      </w:rPr>
    </w:lvl>
    <w:lvl w:ilvl="4">
      <w:start w:val="1"/>
      <w:numFmt w:val="lowerLetter"/>
      <w:lvlText w:val="%5."/>
      <w:lvlJc w:val="left"/>
      <w:pPr>
        <w:tabs>
          <w:tab w:val="num" w:pos="1077"/>
        </w:tabs>
        <w:ind w:left="0" w:firstLine="0"/>
      </w:pPr>
      <w:rPr>
        <w:rFonts w:hint="default"/>
      </w:rPr>
    </w:lvl>
    <w:lvl w:ilvl="5">
      <w:start w:val="1"/>
      <w:numFmt w:val="lowerRoman"/>
      <w:lvlText w:val="%6."/>
      <w:lvlJc w:val="right"/>
      <w:pPr>
        <w:tabs>
          <w:tab w:val="num" w:pos="1077"/>
        </w:tabs>
        <w:ind w:left="0" w:firstLine="0"/>
      </w:pPr>
      <w:rPr>
        <w:rFonts w:hint="default"/>
      </w:rPr>
    </w:lvl>
    <w:lvl w:ilvl="6">
      <w:start w:val="1"/>
      <w:numFmt w:val="decimal"/>
      <w:lvlText w:val="%7."/>
      <w:lvlJc w:val="left"/>
      <w:pPr>
        <w:tabs>
          <w:tab w:val="num" w:pos="1077"/>
        </w:tabs>
        <w:ind w:left="0" w:firstLine="0"/>
      </w:pPr>
      <w:rPr>
        <w:rFonts w:hint="default"/>
      </w:rPr>
    </w:lvl>
    <w:lvl w:ilvl="7">
      <w:start w:val="1"/>
      <w:numFmt w:val="lowerLetter"/>
      <w:lvlText w:val="%8."/>
      <w:lvlJc w:val="left"/>
      <w:pPr>
        <w:tabs>
          <w:tab w:val="num" w:pos="1077"/>
        </w:tabs>
        <w:ind w:left="0" w:firstLine="0"/>
      </w:pPr>
      <w:rPr>
        <w:rFonts w:hint="default"/>
      </w:rPr>
    </w:lvl>
    <w:lvl w:ilvl="8">
      <w:start w:val="1"/>
      <w:numFmt w:val="lowerRoman"/>
      <w:lvlText w:val="%9."/>
      <w:lvlJc w:val="right"/>
      <w:pPr>
        <w:tabs>
          <w:tab w:val="num" w:pos="1077"/>
        </w:tabs>
        <w:ind w:left="0" w:firstLine="0"/>
      </w:pPr>
      <w:rPr>
        <w:rFonts w:hint="default"/>
      </w:rPr>
    </w:lvl>
  </w:abstractNum>
  <w:abstractNum w:abstractNumId="99" w15:restartNumberingAfterBreak="0">
    <w:nsid w:val="424F1ECB"/>
    <w:multiLevelType w:val="multilevel"/>
    <w:tmpl w:val="AAE49E7C"/>
    <w:lvl w:ilvl="0">
      <w:start w:val="1"/>
      <w:numFmt w:val="decimal"/>
      <w:lvlText w:val="2.1.6.1.%1"/>
      <w:lvlJc w:val="left"/>
      <w:pPr>
        <w:tabs>
          <w:tab w:val="num" w:pos="1134"/>
        </w:tabs>
        <w:ind w:left="0" w:firstLine="0"/>
      </w:pPr>
      <w:rPr>
        <w:rFonts w:ascii="Georgia" w:hAnsi="Georgia" w:hint="default"/>
        <w:sz w:val="24"/>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100" w15:restartNumberingAfterBreak="0">
    <w:nsid w:val="427701FB"/>
    <w:multiLevelType w:val="multilevel"/>
    <w:tmpl w:val="F012ABEA"/>
    <w:lvl w:ilvl="0">
      <w:start w:val="1"/>
      <w:numFmt w:val="bullet"/>
      <w:pStyle w:val="Sub-list"/>
      <w:lvlText w:val=""/>
      <w:lvlJc w:val="left"/>
      <w:pPr>
        <w:tabs>
          <w:tab w:val="num" w:pos="397"/>
        </w:tabs>
        <w:ind w:left="794" w:hanging="39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42A33C12"/>
    <w:multiLevelType w:val="multilevel"/>
    <w:tmpl w:val="57C6A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44BE6B23"/>
    <w:multiLevelType w:val="multilevel"/>
    <w:tmpl w:val="E8AA52EC"/>
    <w:lvl w:ilvl="0">
      <w:start w:val="1"/>
      <w:numFmt w:val="decimal"/>
      <w:lvlText w:val="4.3.11.%1"/>
      <w:lvlJc w:val="left"/>
      <w:pPr>
        <w:ind w:left="0" w:firstLine="0"/>
      </w:pPr>
      <w:rPr>
        <w:rFonts w:ascii="Georgia" w:hAnsi="Georgia" w:hint="default"/>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4"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105" w15:restartNumberingAfterBreak="0">
    <w:nsid w:val="47444EF9"/>
    <w:multiLevelType w:val="hybridMultilevel"/>
    <w:tmpl w:val="F216E60A"/>
    <w:lvl w:ilvl="0" w:tplc="EC46FDD6">
      <w:start w:val="1"/>
      <w:numFmt w:val="bullet"/>
      <w:lvlText w:val=""/>
      <w:lvlJc w:val="left"/>
      <w:pPr>
        <w:ind w:left="720" w:hanging="360"/>
      </w:pPr>
      <w:rPr>
        <w:rFonts w:ascii="Symbol" w:hAnsi="Symbol" w:hint="default"/>
        <w:b w:val="0"/>
        <w:i w:val="0"/>
        <w:color w:val="999999"/>
        <w:sz w:val="20"/>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6" w15:restartNumberingAfterBreak="0">
    <w:nsid w:val="478A3A95"/>
    <w:multiLevelType w:val="multilevel"/>
    <w:tmpl w:val="27569304"/>
    <w:lvl w:ilvl="0">
      <w:start w:val="1"/>
      <w:numFmt w:val="decimal"/>
      <w:lvlText w:val="1.2.2.%1"/>
      <w:lvlJc w:val="left"/>
      <w:pPr>
        <w:ind w:left="1134" w:hanging="1134"/>
      </w:pPr>
      <w:rPr>
        <w:rFonts w:ascii="Georgia" w:hAnsi="Georgia" w:hint="default"/>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7" w15:restartNumberingAfterBreak="0">
    <w:nsid w:val="48856984"/>
    <w:multiLevelType w:val="multilevel"/>
    <w:tmpl w:val="70142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49335D36"/>
    <w:multiLevelType w:val="multilevel"/>
    <w:tmpl w:val="3B244AC0"/>
    <w:lvl w:ilvl="0">
      <w:start w:val="1"/>
      <w:numFmt w:val="decimal"/>
      <w:lvlText w:val="3.2.%1"/>
      <w:lvlJc w:val="left"/>
      <w:pPr>
        <w:ind w:left="0" w:firstLine="0"/>
      </w:pPr>
      <w:rPr>
        <w:rFonts w:hint="default"/>
      </w:rPr>
    </w:lvl>
    <w:lvl w:ilvl="1">
      <w:start w:val="1"/>
      <w:numFmt w:val="lowerLetter"/>
      <w:lvlText w:val="%2."/>
      <w:lvlJc w:val="left"/>
      <w:pPr>
        <w:ind w:left="1418" w:hanging="851"/>
      </w:pPr>
      <w:rPr>
        <w:rFonts w:hint="default"/>
      </w:rPr>
    </w:lvl>
    <w:lvl w:ilvl="2">
      <w:start w:val="1"/>
      <w:numFmt w:val="lowerRoman"/>
      <w:lvlText w:val="%3."/>
      <w:lvlJc w:val="right"/>
      <w:pPr>
        <w:ind w:left="1985" w:hanging="851"/>
      </w:pPr>
      <w:rPr>
        <w:rFonts w:hint="default"/>
      </w:rPr>
    </w:lvl>
    <w:lvl w:ilvl="3">
      <w:start w:val="1"/>
      <w:numFmt w:val="decimal"/>
      <w:lvlText w:val="%4."/>
      <w:lvlJc w:val="left"/>
      <w:pPr>
        <w:ind w:left="2552" w:hanging="851"/>
      </w:pPr>
      <w:rPr>
        <w:rFonts w:hint="default"/>
      </w:rPr>
    </w:lvl>
    <w:lvl w:ilvl="4">
      <w:start w:val="1"/>
      <w:numFmt w:val="lowerLetter"/>
      <w:lvlText w:val="%5."/>
      <w:lvlJc w:val="left"/>
      <w:pPr>
        <w:ind w:left="3119" w:hanging="851"/>
      </w:pPr>
      <w:rPr>
        <w:rFonts w:hint="default"/>
      </w:rPr>
    </w:lvl>
    <w:lvl w:ilvl="5">
      <w:start w:val="1"/>
      <w:numFmt w:val="lowerRoman"/>
      <w:lvlText w:val="%6."/>
      <w:lvlJc w:val="right"/>
      <w:pPr>
        <w:ind w:left="3686" w:hanging="851"/>
      </w:pPr>
      <w:rPr>
        <w:rFonts w:hint="default"/>
      </w:rPr>
    </w:lvl>
    <w:lvl w:ilvl="6">
      <w:start w:val="1"/>
      <w:numFmt w:val="decimal"/>
      <w:lvlText w:val="%7."/>
      <w:lvlJc w:val="left"/>
      <w:pPr>
        <w:ind w:left="4253" w:hanging="851"/>
      </w:pPr>
      <w:rPr>
        <w:rFonts w:hint="default"/>
      </w:rPr>
    </w:lvl>
    <w:lvl w:ilvl="7">
      <w:start w:val="1"/>
      <w:numFmt w:val="lowerLetter"/>
      <w:lvlText w:val="%8."/>
      <w:lvlJc w:val="left"/>
      <w:pPr>
        <w:ind w:left="4820" w:hanging="851"/>
      </w:pPr>
      <w:rPr>
        <w:rFonts w:hint="default"/>
      </w:rPr>
    </w:lvl>
    <w:lvl w:ilvl="8">
      <w:start w:val="1"/>
      <w:numFmt w:val="lowerRoman"/>
      <w:lvlText w:val="%9."/>
      <w:lvlJc w:val="right"/>
      <w:pPr>
        <w:ind w:left="5387" w:hanging="851"/>
      </w:pPr>
      <w:rPr>
        <w:rFonts w:hint="default"/>
      </w:rPr>
    </w:lvl>
  </w:abstractNum>
  <w:abstractNum w:abstractNumId="109" w15:restartNumberingAfterBreak="0">
    <w:nsid w:val="498E089E"/>
    <w:multiLevelType w:val="multilevel"/>
    <w:tmpl w:val="31247E98"/>
    <w:lvl w:ilvl="0">
      <w:start w:val="1"/>
      <w:numFmt w:val="decimal"/>
      <w:lvlText w:val="2.%1"/>
      <w:lvlJc w:val="left"/>
      <w:pPr>
        <w:ind w:left="0" w:firstLine="0"/>
      </w:pPr>
      <w:rPr>
        <w:rFonts w:ascii="Georgia" w:hAnsi="Georgia" w:hint="default"/>
        <w:b/>
        <w:i w:val="0"/>
        <w:sz w:val="4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0" w15:restartNumberingAfterBreak="0">
    <w:nsid w:val="4A8F020C"/>
    <w:multiLevelType w:val="multilevel"/>
    <w:tmpl w:val="FE326DC8"/>
    <w:lvl w:ilvl="0">
      <w:start w:val="1"/>
      <w:numFmt w:val="decimal"/>
      <w:lvlText w:val="2.3.2.%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111" w15:restartNumberingAfterBreak="0">
    <w:nsid w:val="4AEE42C2"/>
    <w:multiLevelType w:val="multilevel"/>
    <w:tmpl w:val="D392391C"/>
    <w:lvl w:ilvl="0">
      <w:start w:val="1"/>
      <w:numFmt w:val="decimal"/>
      <w:lvlText w:val="2.3.%1"/>
      <w:lvlJc w:val="left"/>
      <w:pPr>
        <w:ind w:left="0" w:firstLine="0"/>
      </w:pPr>
      <w:rPr>
        <w:rFonts w:hint="default"/>
      </w:rPr>
    </w:lvl>
    <w:lvl w:ilvl="1">
      <w:start w:val="1"/>
      <w:numFmt w:val="lowerLetter"/>
      <w:lvlText w:val="%2."/>
      <w:lvlJc w:val="left"/>
      <w:pPr>
        <w:ind w:left="1134" w:hanging="1134"/>
      </w:pPr>
      <w:rPr>
        <w:rFonts w:hint="default"/>
      </w:rPr>
    </w:lvl>
    <w:lvl w:ilvl="2">
      <w:start w:val="1"/>
      <w:numFmt w:val="lowerRoman"/>
      <w:lvlText w:val="%3."/>
      <w:lvlJc w:val="right"/>
      <w:pPr>
        <w:ind w:left="1134" w:hanging="1134"/>
      </w:pPr>
      <w:rPr>
        <w:rFonts w:hint="default"/>
      </w:rPr>
    </w:lvl>
    <w:lvl w:ilvl="3">
      <w:start w:val="1"/>
      <w:numFmt w:val="decimal"/>
      <w:lvlText w:val="%4."/>
      <w:lvlJc w:val="left"/>
      <w:pPr>
        <w:ind w:left="1134" w:hanging="1134"/>
      </w:pPr>
      <w:rPr>
        <w:rFonts w:hint="default"/>
      </w:rPr>
    </w:lvl>
    <w:lvl w:ilvl="4">
      <w:start w:val="1"/>
      <w:numFmt w:val="lowerLetter"/>
      <w:lvlText w:val="%5."/>
      <w:lvlJc w:val="left"/>
      <w:pPr>
        <w:ind w:left="1134" w:hanging="1134"/>
      </w:pPr>
      <w:rPr>
        <w:rFonts w:hint="default"/>
      </w:rPr>
    </w:lvl>
    <w:lvl w:ilvl="5">
      <w:start w:val="1"/>
      <w:numFmt w:val="lowerRoman"/>
      <w:lvlText w:val="%6."/>
      <w:lvlJc w:val="righ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right"/>
      <w:pPr>
        <w:ind w:left="1134" w:hanging="1134"/>
      </w:pPr>
      <w:rPr>
        <w:rFonts w:hint="default"/>
      </w:rPr>
    </w:lvl>
  </w:abstractNum>
  <w:abstractNum w:abstractNumId="112" w15:restartNumberingAfterBreak="0">
    <w:nsid w:val="4BAC4DF2"/>
    <w:multiLevelType w:val="multilevel"/>
    <w:tmpl w:val="5B1230DA"/>
    <w:lvl w:ilvl="0">
      <w:start w:val="1"/>
      <w:numFmt w:val="decimal"/>
      <w:lvlText w:val="2.5.6.%1"/>
      <w:lvlJc w:val="left"/>
      <w:pPr>
        <w:ind w:left="0" w:firstLine="0"/>
      </w:pPr>
      <w:rPr>
        <w:rFonts w:ascii="Georgia" w:hAnsi="Georgia" w:hint="default"/>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3" w15:restartNumberingAfterBreak="0">
    <w:nsid w:val="4D4F282D"/>
    <w:multiLevelType w:val="multilevel"/>
    <w:tmpl w:val="FA36A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4F0E1BEC"/>
    <w:multiLevelType w:val="hybridMultilevel"/>
    <w:tmpl w:val="6C8CB9FE"/>
    <w:lvl w:ilvl="0" w:tplc="CEE85A14">
      <w:start w:val="1"/>
      <w:numFmt w:val="bullet"/>
      <w:lvlText w:val=""/>
      <w:lvlJc w:val="left"/>
      <w:pPr>
        <w:tabs>
          <w:tab w:val="num" w:pos="567"/>
        </w:tabs>
        <w:ind w:left="567" w:hanging="567"/>
      </w:pPr>
      <w:rPr>
        <w:rFonts w:ascii="Symbol" w:hAnsi="Symbol" w:hint="default"/>
        <w:b w:val="0"/>
        <w:i w:val="0"/>
        <w:color w:val="999999"/>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4F7205FF"/>
    <w:multiLevelType w:val="multilevel"/>
    <w:tmpl w:val="1B74B194"/>
    <w:lvl w:ilvl="0">
      <w:start w:val="1"/>
      <w:numFmt w:val="decimal"/>
      <w:lvlText w:val="3.3.1.%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6" w15:restartNumberingAfterBreak="0">
    <w:nsid w:val="501168AB"/>
    <w:multiLevelType w:val="multilevel"/>
    <w:tmpl w:val="BAF24B9C"/>
    <w:lvl w:ilvl="0">
      <w:start w:val="1"/>
      <w:numFmt w:val="decimal"/>
      <w:lvlText w:val="4.3.%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7" w15:restartNumberingAfterBreak="0">
    <w:nsid w:val="50301661"/>
    <w:multiLevelType w:val="multilevel"/>
    <w:tmpl w:val="98B62498"/>
    <w:lvl w:ilvl="0">
      <w:start w:val="1"/>
      <w:numFmt w:val="decimal"/>
      <w:lvlText w:val="2.4.8.4.%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8" w15:restartNumberingAfterBreak="0">
    <w:nsid w:val="50E81CE2"/>
    <w:multiLevelType w:val="multilevel"/>
    <w:tmpl w:val="73481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51171EA1"/>
    <w:multiLevelType w:val="multilevel"/>
    <w:tmpl w:val="620AAAC8"/>
    <w:lvl w:ilvl="0">
      <w:start w:val="1"/>
      <w:numFmt w:val="decimal"/>
      <w:lvlText w:val="3.3.%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120" w15:restartNumberingAfterBreak="0">
    <w:nsid w:val="514E672B"/>
    <w:multiLevelType w:val="multilevel"/>
    <w:tmpl w:val="45EE2CA4"/>
    <w:lvl w:ilvl="0">
      <w:start w:val="2"/>
      <w:numFmt w:val="decimal"/>
      <w:lvlText w:val="%1"/>
      <w:lvlJc w:val="left"/>
      <w:pPr>
        <w:ind w:left="990" w:hanging="990"/>
      </w:pPr>
      <w:rPr>
        <w:rFonts w:hint="default"/>
      </w:rPr>
    </w:lvl>
    <w:lvl w:ilvl="1">
      <w:start w:val="4"/>
      <w:numFmt w:val="decimal"/>
      <w:lvlText w:val="%1.%2"/>
      <w:lvlJc w:val="left"/>
      <w:pPr>
        <w:ind w:left="990" w:hanging="990"/>
      </w:pPr>
      <w:rPr>
        <w:rFonts w:hint="default"/>
      </w:rPr>
    </w:lvl>
    <w:lvl w:ilvl="2">
      <w:start w:val="4"/>
      <w:numFmt w:val="decimal"/>
      <w:lvlText w:val="%1.%2.%3"/>
      <w:lvlJc w:val="left"/>
      <w:pPr>
        <w:ind w:left="990" w:hanging="99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1" w15:restartNumberingAfterBreak="0">
    <w:nsid w:val="52C17371"/>
    <w:multiLevelType w:val="multilevel"/>
    <w:tmpl w:val="EC202210"/>
    <w:lvl w:ilvl="0">
      <w:start w:val="1"/>
      <w:numFmt w:val="decimal"/>
      <w:lvlText w:val="2.4.4.4.%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2" w15:restartNumberingAfterBreak="0">
    <w:nsid w:val="531D3834"/>
    <w:multiLevelType w:val="multilevel"/>
    <w:tmpl w:val="77848D6E"/>
    <w:lvl w:ilvl="0">
      <w:start w:val="3"/>
      <w:numFmt w:val="decimal"/>
      <w:lvlText w:val="2.5.7.%1"/>
      <w:lvlJc w:val="left"/>
      <w:pPr>
        <w:ind w:left="0" w:firstLine="0"/>
      </w:pPr>
      <w:rPr>
        <w:rFonts w:ascii="Georgia" w:hAnsi="Georgia" w:hint="default"/>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3" w15:restartNumberingAfterBreak="0">
    <w:nsid w:val="53261B1F"/>
    <w:multiLevelType w:val="multilevel"/>
    <w:tmpl w:val="CF904EE6"/>
    <w:lvl w:ilvl="0">
      <w:start w:val="1"/>
      <w:numFmt w:val="decimal"/>
      <w:lvlText w:val="3.8.%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4"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125" w15:restartNumberingAfterBreak="0">
    <w:nsid w:val="54630E5E"/>
    <w:multiLevelType w:val="multilevel"/>
    <w:tmpl w:val="84B23E78"/>
    <w:lvl w:ilvl="0">
      <w:start w:val="2"/>
      <w:numFmt w:val="decimal"/>
      <w:lvlText w:val="2.%1"/>
      <w:lvlJc w:val="left"/>
      <w:pPr>
        <w:tabs>
          <w:tab w:val="num" w:pos="1134"/>
        </w:tabs>
        <w:ind w:left="0" w:firstLine="0"/>
      </w:pPr>
      <w:rPr>
        <w:rFonts w:ascii="Georgia" w:hAnsi="Georgia" w:hint="default"/>
        <w:b/>
        <w:i w:val="0"/>
        <w:sz w:val="4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6" w15:restartNumberingAfterBreak="0">
    <w:nsid w:val="561646C1"/>
    <w:multiLevelType w:val="multilevel"/>
    <w:tmpl w:val="04EC4804"/>
    <w:styleLink w:val="Style111"/>
    <w:lvl w:ilvl="0">
      <w:start w:val="2"/>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27" w15:restartNumberingAfterBreak="0">
    <w:nsid w:val="57CE5139"/>
    <w:multiLevelType w:val="multilevel"/>
    <w:tmpl w:val="00D06708"/>
    <w:lvl w:ilvl="0">
      <w:start w:val="1"/>
      <w:numFmt w:val="decimal"/>
      <w:lvlText w:val="2.4.4.3.%1"/>
      <w:lvlJc w:val="left"/>
      <w:pPr>
        <w:ind w:left="0" w:firstLine="0"/>
      </w:pPr>
      <w:rPr>
        <w:rFonts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8" w15:restartNumberingAfterBreak="0">
    <w:nsid w:val="58CD6B83"/>
    <w:multiLevelType w:val="multilevel"/>
    <w:tmpl w:val="B8CE4D78"/>
    <w:lvl w:ilvl="0">
      <w:start w:val="1"/>
      <w:numFmt w:val="decimal"/>
      <w:lvlText w:val="2.1.9.2.%1"/>
      <w:lvlJc w:val="left"/>
      <w:pPr>
        <w:tabs>
          <w:tab w:val="num" w:pos="1134"/>
        </w:tabs>
        <w:ind w:left="0" w:firstLine="0"/>
      </w:pPr>
      <w:rPr>
        <w:rFonts w:ascii="Georgia" w:hAnsi="Georgia" w:hint="default"/>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9" w15:restartNumberingAfterBreak="0">
    <w:nsid w:val="58D5322E"/>
    <w:multiLevelType w:val="hybridMultilevel"/>
    <w:tmpl w:val="3BA6A79A"/>
    <w:styleLink w:val="Style32"/>
    <w:lvl w:ilvl="0" w:tplc="DFBA8776">
      <w:start w:val="4"/>
      <w:numFmt w:val="bullet"/>
      <w:lvlText w:val=""/>
      <w:lvlJc w:val="left"/>
      <w:pPr>
        <w:tabs>
          <w:tab w:val="num" w:pos="0"/>
        </w:tabs>
        <w:ind w:left="680" w:hanging="283"/>
      </w:pPr>
      <w:rPr>
        <w:rFonts w:ascii="Symbol" w:eastAsia="Arial Unicode MS" w:hAnsi="Symbol" w:hint="default"/>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5974723B"/>
    <w:multiLevelType w:val="multilevel"/>
    <w:tmpl w:val="368E6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599D3116"/>
    <w:multiLevelType w:val="multilevel"/>
    <w:tmpl w:val="434C1B90"/>
    <w:lvl w:ilvl="0">
      <w:start w:val="1"/>
      <w:numFmt w:val="bullet"/>
      <w:lvlText w:val=""/>
      <w:lvlJc w:val="left"/>
      <w:pPr>
        <w:tabs>
          <w:tab w:val="num" w:pos="794"/>
        </w:tabs>
        <w:ind w:left="794" w:hanging="397"/>
      </w:pPr>
      <w:rPr>
        <w:rFonts w:ascii="Symbol" w:hAnsi="Symbol" w:hint="default"/>
        <w:b w:val="0"/>
        <w:i w:val="0"/>
        <w:caps w:val="0"/>
        <w:strike w:val="0"/>
        <w:dstrike w:val="0"/>
        <w:vanish w:val="0"/>
        <w:color w:val="333333"/>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907"/>
        </w:tabs>
        <w:ind w:left="907" w:hanging="397"/>
      </w:pPr>
      <w:rPr>
        <w:rFonts w:ascii="Symbol" w:hAnsi="Symbol" w:hint="default"/>
        <w:b w:val="0"/>
        <w:i w:val="0"/>
        <w:caps w:val="0"/>
        <w:strike w:val="0"/>
        <w:dstrike w:val="0"/>
        <w:vanish w:val="0"/>
        <w:color w:val="000000"/>
        <w:sz w:val="16"/>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644"/>
        </w:tabs>
        <w:ind w:left="1644" w:hanging="567"/>
      </w:pPr>
      <w:rPr>
        <w:rFonts w:ascii="Symbol" w:hAnsi="Symbol" w:hint="default"/>
        <w:b w:val="0"/>
        <w:i w:val="0"/>
        <w:caps w:val="0"/>
        <w:strike w:val="0"/>
        <w:dstrike w:val="0"/>
        <w:vanish w:val="0"/>
        <w:color w:val="000000"/>
        <w:sz w:val="16"/>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lvlText w:val=""/>
      <w:lvlJc w:val="left"/>
      <w:pPr>
        <w:tabs>
          <w:tab w:val="num" w:pos="2211"/>
        </w:tabs>
        <w:ind w:left="2211" w:hanging="567"/>
      </w:pPr>
      <w:rPr>
        <w:rFonts w:ascii="Symbol" w:hAnsi="Symbol" w:hint="default"/>
        <w:b w:val="0"/>
        <w:i w:val="0"/>
        <w:sz w:val="16"/>
      </w:rPr>
    </w:lvl>
    <w:lvl w:ilvl="4">
      <w:start w:val="1"/>
      <w:numFmt w:val="bullet"/>
      <w:lvlText w:val="o"/>
      <w:lvlJc w:val="left"/>
      <w:pPr>
        <w:tabs>
          <w:tab w:val="num" w:pos="6916"/>
        </w:tabs>
        <w:ind w:left="6916" w:hanging="360"/>
      </w:pPr>
      <w:rPr>
        <w:rFonts w:ascii="Courier New" w:hAnsi="Courier New" w:hint="default"/>
      </w:rPr>
    </w:lvl>
    <w:lvl w:ilvl="5">
      <w:start w:val="1"/>
      <w:numFmt w:val="bullet"/>
      <w:lvlText w:val=""/>
      <w:lvlJc w:val="left"/>
      <w:pPr>
        <w:tabs>
          <w:tab w:val="num" w:pos="7636"/>
        </w:tabs>
        <w:ind w:left="7636" w:hanging="360"/>
      </w:pPr>
      <w:rPr>
        <w:rFonts w:ascii="Wingdings" w:hAnsi="Wingdings" w:hint="default"/>
      </w:rPr>
    </w:lvl>
    <w:lvl w:ilvl="6">
      <w:start w:val="1"/>
      <w:numFmt w:val="bullet"/>
      <w:lvlText w:val=""/>
      <w:lvlJc w:val="left"/>
      <w:pPr>
        <w:tabs>
          <w:tab w:val="num" w:pos="8356"/>
        </w:tabs>
        <w:ind w:left="8356" w:hanging="360"/>
      </w:pPr>
      <w:rPr>
        <w:rFonts w:ascii="Symbol" w:hAnsi="Symbol" w:hint="default"/>
      </w:rPr>
    </w:lvl>
    <w:lvl w:ilvl="7">
      <w:start w:val="1"/>
      <w:numFmt w:val="bullet"/>
      <w:lvlText w:val="o"/>
      <w:lvlJc w:val="left"/>
      <w:pPr>
        <w:tabs>
          <w:tab w:val="num" w:pos="9076"/>
        </w:tabs>
        <w:ind w:left="9076" w:hanging="360"/>
      </w:pPr>
      <w:rPr>
        <w:rFonts w:ascii="Courier New" w:hAnsi="Courier New" w:hint="default"/>
      </w:rPr>
    </w:lvl>
    <w:lvl w:ilvl="8">
      <w:start w:val="1"/>
      <w:numFmt w:val="bullet"/>
      <w:lvlText w:val=""/>
      <w:lvlJc w:val="left"/>
      <w:pPr>
        <w:tabs>
          <w:tab w:val="num" w:pos="9796"/>
        </w:tabs>
        <w:ind w:left="9796" w:hanging="360"/>
      </w:pPr>
      <w:rPr>
        <w:rFonts w:ascii="Wingdings" w:hAnsi="Wingdings" w:hint="default"/>
      </w:rPr>
    </w:lvl>
  </w:abstractNum>
  <w:abstractNum w:abstractNumId="132" w15:restartNumberingAfterBreak="0">
    <w:nsid w:val="5B547D8A"/>
    <w:multiLevelType w:val="multilevel"/>
    <w:tmpl w:val="38B6286A"/>
    <w:lvl w:ilvl="0">
      <w:start w:val="1"/>
      <w:numFmt w:val="decimal"/>
      <w:lvlText w:val="3.5.1.%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3" w15:restartNumberingAfterBreak="0">
    <w:nsid w:val="5BC31579"/>
    <w:multiLevelType w:val="hybridMultilevel"/>
    <w:tmpl w:val="FD0204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4" w15:restartNumberingAfterBreak="0">
    <w:nsid w:val="5D304F8C"/>
    <w:multiLevelType w:val="multilevel"/>
    <w:tmpl w:val="078E0E02"/>
    <w:lvl w:ilvl="0">
      <w:start w:val="4"/>
      <w:numFmt w:val="decimal"/>
      <w:lvlText w:val="2.%1"/>
      <w:lvlJc w:val="left"/>
      <w:pPr>
        <w:ind w:left="0" w:firstLine="0"/>
      </w:pPr>
      <w:rPr>
        <w:rFonts w:ascii="Georgia" w:hAnsi="Georgia" w:cs="Arial" w:hint="default"/>
        <w:b/>
        <w:i w:val="0"/>
        <w:sz w:val="4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5" w15:restartNumberingAfterBreak="0">
    <w:nsid w:val="5F576077"/>
    <w:multiLevelType w:val="hybridMultilevel"/>
    <w:tmpl w:val="E5B83F8A"/>
    <w:lvl w:ilvl="0" w:tplc="205CAE3E">
      <w:start w:val="1"/>
      <w:numFmt w:val="decimal"/>
      <w:lvlText w:val="%1)"/>
      <w:lvlJc w:val="left"/>
      <w:pPr>
        <w:ind w:left="1020" w:hanging="360"/>
      </w:pPr>
    </w:lvl>
    <w:lvl w:ilvl="1" w:tplc="20466D4E">
      <w:start w:val="1"/>
      <w:numFmt w:val="decimal"/>
      <w:lvlText w:val="%2)"/>
      <w:lvlJc w:val="left"/>
      <w:pPr>
        <w:ind w:left="1020" w:hanging="360"/>
      </w:pPr>
    </w:lvl>
    <w:lvl w:ilvl="2" w:tplc="EAB4B8FC">
      <w:start w:val="1"/>
      <w:numFmt w:val="decimal"/>
      <w:lvlText w:val="%3)"/>
      <w:lvlJc w:val="left"/>
      <w:pPr>
        <w:ind w:left="1020" w:hanging="360"/>
      </w:pPr>
    </w:lvl>
    <w:lvl w:ilvl="3" w:tplc="3CFCF678">
      <w:start w:val="1"/>
      <w:numFmt w:val="decimal"/>
      <w:lvlText w:val="%4)"/>
      <w:lvlJc w:val="left"/>
      <w:pPr>
        <w:ind w:left="1020" w:hanging="360"/>
      </w:pPr>
    </w:lvl>
    <w:lvl w:ilvl="4" w:tplc="07C09D48">
      <w:start w:val="1"/>
      <w:numFmt w:val="decimal"/>
      <w:lvlText w:val="%5)"/>
      <w:lvlJc w:val="left"/>
      <w:pPr>
        <w:ind w:left="1020" w:hanging="360"/>
      </w:pPr>
    </w:lvl>
    <w:lvl w:ilvl="5" w:tplc="5516C8B2">
      <w:start w:val="1"/>
      <w:numFmt w:val="decimal"/>
      <w:lvlText w:val="%6)"/>
      <w:lvlJc w:val="left"/>
      <w:pPr>
        <w:ind w:left="1020" w:hanging="360"/>
      </w:pPr>
    </w:lvl>
    <w:lvl w:ilvl="6" w:tplc="E62E1AEA">
      <w:start w:val="1"/>
      <w:numFmt w:val="decimal"/>
      <w:lvlText w:val="%7)"/>
      <w:lvlJc w:val="left"/>
      <w:pPr>
        <w:ind w:left="1020" w:hanging="360"/>
      </w:pPr>
    </w:lvl>
    <w:lvl w:ilvl="7" w:tplc="D01C531C">
      <w:start w:val="1"/>
      <w:numFmt w:val="decimal"/>
      <w:lvlText w:val="%8)"/>
      <w:lvlJc w:val="left"/>
      <w:pPr>
        <w:ind w:left="1020" w:hanging="360"/>
      </w:pPr>
    </w:lvl>
    <w:lvl w:ilvl="8" w:tplc="DB281A92">
      <w:start w:val="1"/>
      <w:numFmt w:val="decimal"/>
      <w:lvlText w:val="%9)"/>
      <w:lvlJc w:val="left"/>
      <w:pPr>
        <w:ind w:left="1020" w:hanging="360"/>
      </w:pPr>
    </w:lvl>
  </w:abstractNum>
  <w:abstractNum w:abstractNumId="136" w15:restartNumberingAfterBreak="0">
    <w:nsid w:val="5F946BF3"/>
    <w:multiLevelType w:val="multilevel"/>
    <w:tmpl w:val="361C4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60020818"/>
    <w:multiLevelType w:val="multilevel"/>
    <w:tmpl w:val="74147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63050253"/>
    <w:multiLevelType w:val="multilevel"/>
    <w:tmpl w:val="03FE900A"/>
    <w:lvl w:ilvl="0">
      <w:start w:val="1"/>
      <w:numFmt w:val="decimal"/>
      <w:lvlText w:val="4.2.%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9" w15:restartNumberingAfterBreak="0">
    <w:nsid w:val="63A15EAA"/>
    <w:multiLevelType w:val="multilevel"/>
    <w:tmpl w:val="E11CA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6488144D"/>
    <w:multiLevelType w:val="hybridMultilevel"/>
    <w:tmpl w:val="F91C354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1" w15:restartNumberingAfterBreak="0">
    <w:nsid w:val="65605087"/>
    <w:multiLevelType w:val="multilevel"/>
    <w:tmpl w:val="1414A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656B13C9"/>
    <w:multiLevelType w:val="multilevel"/>
    <w:tmpl w:val="52FCE7DE"/>
    <w:lvl w:ilvl="0">
      <w:start w:val="1"/>
      <w:numFmt w:val="decimal"/>
      <w:lvlText w:val="2.4.4.%1"/>
      <w:lvlJc w:val="left"/>
      <w:pPr>
        <w:ind w:left="0" w:firstLine="0"/>
      </w:pPr>
      <w:rPr>
        <w:rFonts w:ascii="Georgia" w:hAnsi="Georgia" w:hint="default"/>
        <w:b/>
        <w:i w:val="0"/>
        <w:sz w:val="28"/>
        <w:szCs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3" w15:restartNumberingAfterBreak="0">
    <w:nsid w:val="65B06BCA"/>
    <w:multiLevelType w:val="multilevel"/>
    <w:tmpl w:val="4A9EE1A4"/>
    <w:lvl w:ilvl="0">
      <w:start w:val="2"/>
      <w:numFmt w:val="decimal"/>
      <w:lvlText w:val="2.5.7.%1"/>
      <w:lvlJc w:val="left"/>
      <w:pPr>
        <w:ind w:left="4112" w:firstLine="0"/>
      </w:pPr>
      <w:rPr>
        <w:rFonts w:ascii="Georgia" w:hAnsi="Georgia" w:hint="default"/>
        <w:sz w:val="24"/>
      </w:rPr>
    </w:lvl>
    <w:lvl w:ilvl="1">
      <w:start w:val="1"/>
      <w:numFmt w:val="lowerLetter"/>
      <w:lvlText w:val="%2."/>
      <w:lvlJc w:val="left"/>
      <w:pPr>
        <w:ind w:left="5552" w:hanging="360"/>
      </w:pPr>
      <w:rPr>
        <w:rFonts w:hint="default"/>
      </w:rPr>
    </w:lvl>
    <w:lvl w:ilvl="2">
      <w:start w:val="1"/>
      <w:numFmt w:val="lowerRoman"/>
      <w:lvlText w:val="%3."/>
      <w:lvlJc w:val="right"/>
      <w:pPr>
        <w:ind w:left="6272" w:hanging="180"/>
      </w:pPr>
      <w:rPr>
        <w:rFonts w:hint="default"/>
      </w:rPr>
    </w:lvl>
    <w:lvl w:ilvl="3">
      <w:start w:val="1"/>
      <w:numFmt w:val="decimal"/>
      <w:lvlText w:val="%4."/>
      <w:lvlJc w:val="left"/>
      <w:pPr>
        <w:ind w:left="6992" w:hanging="360"/>
      </w:pPr>
      <w:rPr>
        <w:rFonts w:hint="default"/>
      </w:rPr>
    </w:lvl>
    <w:lvl w:ilvl="4">
      <w:start w:val="1"/>
      <w:numFmt w:val="lowerLetter"/>
      <w:lvlText w:val="%5."/>
      <w:lvlJc w:val="left"/>
      <w:pPr>
        <w:ind w:left="7712" w:hanging="360"/>
      </w:pPr>
      <w:rPr>
        <w:rFonts w:hint="default"/>
      </w:rPr>
    </w:lvl>
    <w:lvl w:ilvl="5">
      <w:start w:val="1"/>
      <w:numFmt w:val="lowerRoman"/>
      <w:lvlText w:val="%6."/>
      <w:lvlJc w:val="right"/>
      <w:pPr>
        <w:ind w:left="8432" w:hanging="180"/>
      </w:pPr>
      <w:rPr>
        <w:rFonts w:hint="default"/>
      </w:rPr>
    </w:lvl>
    <w:lvl w:ilvl="6">
      <w:start w:val="1"/>
      <w:numFmt w:val="decimal"/>
      <w:lvlText w:val="%7."/>
      <w:lvlJc w:val="left"/>
      <w:pPr>
        <w:ind w:left="9152" w:hanging="360"/>
      </w:pPr>
      <w:rPr>
        <w:rFonts w:hint="default"/>
      </w:rPr>
    </w:lvl>
    <w:lvl w:ilvl="7">
      <w:start w:val="1"/>
      <w:numFmt w:val="lowerLetter"/>
      <w:lvlText w:val="%8."/>
      <w:lvlJc w:val="left"/>
      <w:pPr>
        <w:ind w:left="9872" w:hanging="360"/>
      </w:pPr>
      <w:rPr>
        <w:rFonts w:hint="default"/>
      </w:rPr>
    </w:lvl>
    <w:lvl w:ilvl="8">
      <w:start w:val="1"/>
      <w:numFmt w:val="lowerRoman"/>
      <w:lvlText w:val="%9."/>
      <w:lvlJc w:val="right"/>
      <w:pPr>
        <w:ind w:left="10592" w:hanging="180"/>
      </w:pPr>
      <w:rPr>
        <w:rFonts w:hint="default"/>
      </w:rPr>
    </w:lvl>
  </w:abstractNum>
  <w:abstractNum w:abstractNumId="144" w15:restartNumberingAfterBreak="0">
    <w:nsid w:val="6782234E"/>
    <w:multiLevelType w:val="multilevel"/>
    <w:tmpl w:val="2C924CCE"/>
    <w:lvl w:ilvl="0">
      <w:start w:val="1"/>
      <w:numFmt w:val="decimal"/>
      <w:lvlText w:val="2.4.5.%1"/>
      <w:lvlJc w:val="left"/>
      <w:pPr>
        <w:ind w:left="0" w:firstLine="0"/>
      </w:pPr>
      <w:rPr>
        <w:rFonts w:ascii="Georgia" w:hAnsi="Georgia" w:hint="default"/>
        <w:b/>
        <w:i w:val="0"/>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5" w15:restartNumberingAfterBreak="0">
    <w:nsid w:val="68474732"/>
    <w:multiLevelType w:val="multilevel"/>
    <w:tmpl w:val="08502F0C"/>
    <w:styleLink w:val="Style9"/>
    <w:lvl w:ilvl="0">
      <w:start w:val="2"/>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46" w15:restartNumberingAfterBreak="0">
    <w:nsid w:val="6958221E"/>
    <w:multiLevelType w:val="hybridMultilevel"/>
    <w:tmpl w:val="07ACD4E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7" w15:restartNumberingAfterBreak="0">
    <w:nsid w:val="6B585628"/>
    <w:multiLevelType w:val="hybridMultilevel"/>
    <w:tmpl w:val="E372167A"/>
    <w:styleLink w:val="Style12"/>
    <w:lvl w:ilvl="0" w:tplc="FFFFFFFF">
      <w:start w:val="1"/>
      <w:numFmt w:val="bullet"/>
      <w:lvlText w:val=""/>
      <w:lvlJc w:val="left"/>
      <w:pPr>
        <w:ind w:left="720" w:hanging="360"/>
      </w:pPr>
      <w:rPr>
        <w:rFonts w:ascii="Symbol" w:hAnsi="Symbol"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8" w15:restartNumberingAfterBreak="0">
    <w:nsid w:val="6C2B6B28"/>
    <w:multiLevelType w:val="multilevel"/>
    <w:tmpl w:val="5C046AB8"/>
    <w:lvl w:ilvl="0">
      <w:start w:val="1"/>
      <w:numFmt w:val="decimal"/>
      <w:lvlText w:val="2.2.%1"/>
      <w:lvlJc w:val="left"/>
      <w:pPr>
        <w:ind w:left="851" w:hanging="851"/>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9" w15:restartNumberingAfterBreak="0">
    <w:nsid w:val="6C8D370D"/>
    <w:multiLevelType w:val="multilevel"/>
    <w:tmpl w:val="422CF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1" w15:restartNumberingAfterBreak="0">
    <w:nsid w:val="6FAC0C8C"/>
    <w:multiLevelType w:val="singleLevel"/>
    <w:tmpl w:val="DE5AE08C"/>
    <w:styleLink w:val="Style22"/>
    <w:lvl w:ilvl="0">
      <w:start w:val="1"/>
      <w:numFmt w:val="bullet"/>
      <w:lvlText w:val=""/>
      <w:lvlJc w:val="left"/>
      <w:pPr>
        <w:ind w:left="644" w:hanging="360"/>
      </w:pPr>
      <w:rPr>
        <w:rFonts w:ascii="Symbol" w:hAnsi="Symbol" w:hint="default"/>
        <w:color w:val="1B556B"/>
        <w:sz w:val="16"/>
      </w:rPr>
    </w:lvl>
  </w:abstractNum>
  <w:abstractNum w:abstractNumId="152"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153" w15:restartNumberingAfterBreak="0">
    <w:nsid w:val="70192D7D"/>
    <w:multiLevelType w:val="hybridMultilevel"/>
    <w:tmpl w:val="9234825C"/>
    <w:styleLink w:val="Annex2"/>
    <w:lvl w:ilvl="0" w:tplc="4AE8F718">
      <w:start w:val="1"/>
      <w:numFmt w:val="lowerLetter"/>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54" w15:restartNumberingAfterBreak="0">
    <w:nsid w:val="70DB53AD"/>
    <w:multiLevelType w:val="multilevel"/>
    <w:tmpl w:val="85245CD2"/>
    <w:lvl w:ilvl="0">
      <w:start w:val="1"/>
      <w:numFmt w:val="decimal"/>
      <w:lvlText w:val="3.7.%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155" w15:restartNumberingAfterBreak="0">
    <w:nsid w:val="713F4FD3"/>
    <w:multiLevelType w:val="multilevel"/>
    <w:tmpl w:val="43F6B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71DB2A16"/>
    <w:multiLevelType w:val="multilevel"/>
    <w:tmpl w:val="0C383C78"/>
    <w:lvl w:ilvl="0">
      <w:start w:val="1"/>
      <w:numFmt w:val="decimal"/>
      <w:lvlText w:val="2.4.9.%1"/>
      <w:lvlJc w:val="left"/>
      <w:pPr>
        <w:ind w:left="0" w:firstLine="0"/>
      </w:pPr>
      <w:rPr>
        <w:rFonts w:ascii="Georgia" w:hAnsi="Georgia" w:hint="default"/>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7" w15:restartNumberingAfterBreak="0">
    <w:nsid w:val="7224212A"/>
    <w:multiLevelType w:val="multilevel"/>
    <w:tmpl w:val="747E8E5A"/>
    <w:lvl w:ilvl="0">
      <w:start w:val="1"/>
      <w:numFmt w:val="decimal"/>
      <w:lvlText w:val="2.1.8.2.%1"/>
      <w:lvlJc w:val="left"/>
      <w:pPr>
        <w:tabs>
          <w:tab w:val="num" w:pos="1134"/>
        </w:tabs>
        <w:ind w:left="0" w:firstLine="0"/>
      </w:pPr>
      <w:rPr>
        <w:rFonts w:ascii="Georgia" w:hAnsi="Georgia" w:hint="default"/>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8" w15:restartNumberingAfterBreak="0">
    <w:nsid w:val="73794558"/>
    <w:multiLevelType w:val="multilevel"/>
    <w:tmpl w:val="F266E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160" w15:restartNumberingAfterBreak="0">
    <w:nsid w:val="7A7F1D63"/>
    <w:multiLevelType w:val="hybridMultilevel"/>
    <w:tmpl w:val="E648F25E"/>
    <w:lvl w:ilvl="0" w:tplc="B142AF58">
      <w:start w:val="1"/>
      <w:numFmt w:val="bullet"/>
      <w:lvlText w:val=""/>
      <w:lvlJc w:val="left"/>
      <w:pPr>
        <w:ind w:left="360" w:hanging="360"/>
      </w:pPr>
      <w:rPr>
        <w:rFonts w:ascii="Symbol" w:hAnsi="Symbol" w:hint="default"/>
      </w:rPr>
    </w:lvl>
    <w:lvl w:ilvl="1" w:tplc="2E18CEB8">
      <w:start w:val="1"/>
      <w:numFmt w:val="bullet"/>
      <w:lvlText w:val="o"/>
      <w:lvlJc w:val="left"/>
      <w:pPr>
        <w:ind w:left="1440" w:hanging="360"/>
      </w:pPr>
      <w:rPr>
        <w:rFonts w:ascii="Courier New" w:hAnsi="Courier New" w:hint="default"/>
      </w:rPr>
    </w:lvl>
    <w:lvl w:ilvl="2" w:tplc="FE78C644">
      <w:start w:val="1"/>
      <w:numFmt w:val="bullet"/>
      <w:lvlText w:val=""/>
      <w:lvlJc w:val="left"/>
      <w:pPr>
        <w:ind w:left="2160" w:hanging="360"/>
      </w:pPr>
      <w:rPr>
        <w:rFonts w:ascii="Wingdings" w:hAnsi="Wingdings" w:hint="default"/>
      </w:rPr>
    </w:lvl>
    <w:lvl w:ilvl="3" w:tplc="C600829A">
      <w:start w:val="1"/>
      <w:numFmt w:val="bullet"/>
      <w:lvlText w:val=""/>
      <w:lvlJc w:val="left"/>
      <w:pPr>
        <w:ind w:left="2880" w:hanging="360"/>
      </w:pPr>
      <w:rPr>
        <w:rFonts w:ascii="Symbol" w:hAnsi="Symbol" w:hint="default"/>
      </w:rPr>
    </w:lvl>
    <w:lvl w:ilvl="4" w:tplc="AD88F040">
      <w:start w:val="1"/>
      <w:numFmt w:val="bullet"/>
      <w:lvlText w:val="o"/>
      <w:lvlJc w:val="left"/>
      <w:pPr>
        <w:ind w:left="3600" w:hanging="360"/>
      </w:pPr>
      <w:rPr>
        <w:rFonts w:ascii="Courier New" w:hAnsi="Courier New" w:hint="default"/>
      </w:rPr>
    </w:lvl>
    <w:lvl w:ilvl="5" w:tplc="6CE62196">
      <w:start w:val="1"/>
      <w:numFmt w:val="bullet"/>
      <w:lvlText w:val=""/>
      <w:lvlJc w:val="left"/>
      <w:pPr>
        <w:ind w:left="4320" w:hanging="360"/>
      </w:pPr>
      <w:rPr>
        <w:rFonts w:ascii="Wingdings" w:hAnsi="Wingdings" w:hint="default"/>
      </w:rPr>
    </w:lvl>
    <w:lvl w:ilvl="6" w:tplc="0182273C">
      <w:start w:val="1"/>
      <w:numFmt w:val="bullet"/>
      <w:lvlText w:val=""/>
      <w:lvlJc w:val="left"/>
      <w:pPr>
        <w:ind w:left="5040" w:hanging="360"/>
      </w:pPr>
      <w:rPr>
        <w:rFonts w:ascii="Symbol" w:hAnsi="Symbol" w:hint="default"/>
      </w:rPr>
    </w:lvl>
    <w:lvl w:ilvl="7" w:tplc="9956272E">
      <w:start w:val="1"/>
      <w:numFmt w:val="bullet"/>
      <w:lvlText w:val="o"/>
      <w:lvlJc w:val="left"/>
      <w:pPr>
        <w:ind w:left="5760" w:hanging="360"/>
      </w:pPr>
      <w:rPr>
        <w:rFonts w:ascii="Courier New" w:hAnsi="Courier New" w:hint="default"/>
      </w:rPr>
    </w:lvl>
    <w:lvl w:ilvl="8" w:tplc="8884AF58">
      <w:start w:val="1"/>
      <w:numFmt w:val="bullet"/>
      <w:lvlText w:val=""/>
      <w:lvlJc w:val="left"/>
      <w:pPr>
        <w:ind w:left="6480" w:hanging="360"/>
      </w:pPr>
      <w:rPr>
        <w:rFonts w:ascii="Wingdings" w:hAnsi="Wingdings" w:hint="default"/>
      </w:rPr>
    </w:lvl>
  </w:abstractNum>
  <w:abstractNum w:abstractNumId="161" w15:restartNumberingAfterBreak="0">
    <w:nsid w:val="7B041CCF"/>
    <w:multiLevelType w:val="hybridMultilevel"/>
    <w:tmpl w:val="D4708266"/>
    <w:lvl w:ilvl="0" w:tplc="11DA14D4">
      <w:start w:val="1"/>
      <w:numFmt w:val="decimal"/>
      <w:lvlText w:val="%1)"/>
      <w:lvlJc w:val="left"/>
      <w:pPr>
        <w:ind w:left="720" w:hanging="360"/>
      </w:pPr>
    </w:lvl>
    <w:lvl w:ilvl="1" w:tplc="519C4808">
      <w:start w:val="1"/>
      <w:numFmt w:val="decimal"/>
      <w:lvlText w:val="%2)"/>
      <w:lvlJc w:val="left"/>
      <w:pPr>
        <w:ind w:left="720" w:hanging="360"/>
      </w:pPr>
    </w:lvl>
    <w:lvl w:ilvl="2" w:tplc="AF6A0E04">
      <w:start w:val="1"/>
      <w:numFmt w:val="decimal"/>
      <w:lvlText w:val="%3)"/>
      <w:lvlJc w:val="left"/>
      <w:pPr>
        <w:ind w:left="720" w:hanging="360"/>
      </w:pPr>
    </w:lvl>
    <w:lvl w:ilvl="3" w:tplc="FE826D6C">
      <w:start w:val="1"/>
      <w:numFmt w:val="decimal"/>
      <w:lvlText w:val="%4)"/>
      <w:lvlJc w:val="left"/>
      <w:pPr>
        <w:ind w:left="720" w:hanging="360"/>
      </w:pPr>
    </w:lvl>
    <w:lvl w:ilvl="4" w:tplc="67FCAEC0">
      <w:start w:val="1"/>
      <w:numFmt w:val="decimal"/>
      <w:lvlText w:val="%5)"/>
      <w:lvlJc w:val="left"/>
      <w:pPr>
        <w:ind w:left="720" w:hanging="360"/>
      </w:pPr>
    </w:lvl>
    <w:lvl w:ilvl="5" w:tplc="9670C28E">
      <w:start w:val="1"/>
      <w:numFmt w:val="decimal"/>
      <w:lvlText w:val="%6)"/>
      <w:lvlJc w:val="left"/>
      <w:pPr>
        <w:ind w:left="720" w:hanging="360"/>
      </w:pPr>
    </w:lvl>
    <w:lvl w:ilvl="6" w:tplc="72B6393C">
      <w:start w:val="1"/>
      <w:numFmt w:val="decimal"/>
      <w:lvlText w:val="%7)"/>
      <w:lvlJc w:val="left"/>
      <w:pPr>
        <w:ind w:left="720" w:hanging="360"/>
      </w:pPr>
    </w:lvl>
    <w:lvl w:ilvl="7" w:tplc="3564A0C0">
      <w:start w:val="1"/>
      <w:numFmt w:val="decimal"/>
      <w:lvlText w:val="%8)"/>
      <w:lvlJc w:val="left"/>
      <w:pPr>
        <w:ind w:left="720" w:hanging="360"/>
      </w:pPr>
    </w:lvl>
    <w:lvl w:ilvl="8" w:tplc="985EDF60">
      <w:start w:val="1"/>
      <w:numFmt w:val="decimal"/>
      <w:lvlText w:val="%9)"/>
      <w:lvlJc w:val="left"/>
      <w:pPr>
        <w:ind w:left="720" w:hanging="360"/>
      </w:pPr>
    </w:lvl>
  </w:abstractNum>
  <w:abstractNum w:abstractNumId="162" w15:restartNumberingAfterBreak="0">
    <w:nsid w:val="7C0A54F2"/>
    <w:multiLevelType w:val="hybridMultilevel"/>
    <w:tmpl w:val="2124BC8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63" w15:restartNumberingAfterBreak="0">
    <w:nsid w:val="7C3A119E"/>
    <w:multiLevelType w:val="multilevel"/>
    <w:tmpl w:val="2A50C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7C8146AE"/>
    <w:multiLevelType w:val="multilevel"/>
    <w:tmpl w:val="8CEA7B2E"/>
    <w:lvl w:ilvl="0">
      <w:start w:val="1"/>
      <w:numFmt w:val="decimal"/>
      <w:lvlText w:val="3.5.2.%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5" w15:restartNumberingAfterBreak="0">
    <w:nsid w:val="7D4A486F"/>
    <w:multiLevelType w:val="multilevel"/>
    <w:tmpl w:val="BBF2E7A8"/>
    <w:lvl w:ilvl="0">
      <w:start w:val="1"/>
      <w:numFmt w:val="decimal"/>
      <w:lvlText w:val="3.4.%1"/>
      <w:lvlJc w:val="left"/>
      <w:pPr>
        <w:ind w:left="0" w:firstLine="0"/>
      </w:pPr>
      <w:rPr>
        <w:rFonts w:hint="default"/>
      </w:rPr>
    </w:lvl>
    <w:lvl w:ilvl="1">
      <w:start w:val="1"/>
      <w:numFmt w:val="lowerLetter"/>
      <w:lvlText w:val="%2."/>
      <w:lvlJc w:val="left"/>
      <w:pPr>
        <w:ind w:left="1077" w:firstLine="0"/>
      </w:pPr>
      <w:rPr>
        <w:rFonts w:hint="default"/>
      </w:rPr>
    </w:lvl>
    <w:lvl w:ilvl="2">
      <w:start w:val="1"/>
      <w:numFmt w:val="lowerRoman"/>
      <w:lvlText w:val="%3."/>
      <w:lvlJc w:val="right"/>
      <w:pPr>
        <w:ind w:left="2154" w:firstLine="0"/>
      </w:pPr>
      <w:rPr>
        <w:rFonts w:hint="default"/>
      </w:rPr>
    </w:lvl>
    <w:lvl w:ilvl="3">
      <w:start w:val="1"/>
      <w:numFmt w:val="decimal"/>
      <w:lvlText w:val="%4."/>
      <w:lvlJc w:val="left"/>
      <w:pPr>
        <w:ind w:left="3231" w:firstLine="0"/>
      </w:pPr>
      <w:rPr>
        <w:rFonts w:hint="default"/>
      </w:rPr>
    </w:lvl>
    <w:lvl w:ilvl="4">
      <w:start w:val="1"/>
      <w:numFmt w:val="lowerLetter"/>
      <w:lvlText w:val="%5."/>
      <w:lvlJc w:val="left"/>
      <w:pPr>
        <w:ind w:left="4308" w:firstLine="0"/>
      </w:pPr>
      <w:rPr>
        <w:rFonts w:hint="default"/>
      </w:rPr>
    </w:lvl>
    <w:lvl w:ilvl="5">
      <w:start w:val="1"/>
      <w:numFmt w:val="lowerRoman"/>
      <w:lvlText w:val="%6."/>
      <w:lvlJc w:val="right"/>
      <w:pPr>
        <w:ind w:left="5385" w:firstLine="0"/>
      </w:pPr>
      <w:rPr>
        <w:rFonts w:hint="default"/>
      </w:rPr>
    </w:lvl>
    <w:lvl w:ilvl="6">
      <w:start w:val="1"/>
      <w:numFmt w:val="decimal"/>
      <w:lvlText w:val="%7."/>
      <w:lvlJc w:val="left"/>
      <w:pPr>
        <w:ind w:left="6462" w:firstLine="0"/>
      </w:pPr>
      <w:rPr>
        <w:rFonts w:hint="default"/>
      </w:rPr>
    </w:lvl>
    <w:lvl w:ilvl="7">
      <w:start w:val="1"/>
      <w:numFmt w:val="lowerLetter"/>
      <w:lvlText w:val="%8."/>
      <w:lvlJc w:val="left"/>
      <w:pPr>
        <w:ind w:left="7539" w:firstLine="0"/>
      </w:pPr>
      <w:rPr>
        <w:rFonts w:hint="default"/>
      </w:rPr>
    </w:lvl>
    <w:lvl w:ilvl="8">
      <w:start w:val="1"/>
      <w:numFmt w:val="lowerRoman"/>
      <w:lvlText w:val="%9."/>
      <w:lvlJc w:val="right"/>
      <w:pPr>
        <w:ind w:left="8616" w:firstLine="0"/>
      </w:pPr>
      <w:rPr>
        <w:rFonts w:hint="default"/>
      </w:rPr>
    </w:lvl>
  </w:abstractNum>
  <w:abstractNum w:abstractNumId="166" w15:restartNumberingAfterBreak="0">
    <w:nsid w:val="7D696AA2"/>
    <w:multiLevelType w:val="hybridMultilevel"/>
    <w:tmpl w:val="B3C04E72"/>
    <w:lvl w:ilvl="0" w:tplc="52D8A2D8">
      <w:start w:val="1"/>
      <w:numFmt w:val="decimal"/>
      <w:lvlText w:val="2.%1"/>
      <w:lvlJc w:val="left"/>
      <w:pPr>
        <w:ind w:left="720" w:hanging="360"/>
      </w:pPr>
      <w:rPr>
        <w:rFonts w:ascii="Georgia" w:hAnsi="Georgia" w:cs="Arial" w:hint="default"/>
        <w:b/>
        <w:i w:val="0"/>
        <w:sz w:val="48"/>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7" w15:restartNumberingAfterBreak="0">
    <w:nsid w:val="7D9045E0"/>
    <w:multiLevelType w:val="multilevel"/>
    <w:tmpl w:val="15665626"/>
    <w:lvl w:ilvl="0">
      <w:start w:val="1"/>
      <w:numFmt w:val="decimal"/>
      <w:lvlText w:val="3.2.4.%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8" w15:restartNumberingAfterBreak="0">
    <w:nsid w:val="7F7E58F8"/>
    <w:multiLevelType w:val="multilevel"/>
    <w:tmpl w:val="C8D663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7FF76CFF"/>
    <w:multiLevelType w:val="multilevel"/>
    <w:tmpl w:val="E7C07878"/>
    <w:lvl w:ilvl="0">
      <w:start w:val="1"/>
      <w:numFmt w:val="decimal"/>
      <w:lvlText w:val="4.3.16.%1"/>
      <w:lvlJc w:val="left"/>
      <w:pPr>
        <w:ind w:left="0" w:firstLine="0"/>
      </w:pPr>
      <w:rPr>
        <w:rFonts w:ascii="Georgia" w:hAnsi="Georgia" w:hint="default"/>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724991209">
    <w:abstractNumId w:val="72"/>
  </w:num>
  <w:num w:numId="2" w16cid:durableId="1993177408">
    <w:abstractNumId w:val="124"/>
  </w:num>
  <w:num w:numId="3" w16cid:durableId="519121977">
    <w:abstractNumId w:val="100"/>
  </w:num>
  <w:num w:numId="4" w16cid:durableId="892697383">
    <w:abstractNumId w:val="67"/>
  </w:num>
  <w:num w:numId="5" w16cid:durableId="593051814">
    <w:abstractNumId w:val="50"/>
  </w:num>
  <w:num w:numId="6" w16cid:durableId="426385153">
    <w:abstractNumId w:val="104"/>
  </w:num>
  <w:num w:numId="7" w16cid:durableId="21824987">
    <w:abstractNumId w:val="102"/>
  </w:num>
  <w:num w:numId="8" w16cid:durableId="621115200">
    <w:abstractNumId w:val="159"/>
  </w:num>
  <w:num w:numId="9" w16cid:durableId="2099907324">
    <w:abstractNumId w:val="65"/>
  </w:num>
  <w:num w:numId="10" w16cid:durableId="671487379">
    <w:abstractNumId w:val="150"/>
  </w:num>
  <w:num w:numId="11" w16cid:durableId="33772961">
    <w:abstractNumId w:val="22"/>
  </w:num>
  <w:num w:numId="12" w16cid:durableId="1090466685">
    <w:abstractNumId w:val="58"/>
  </w:num>
  <w:num w:numId="13" w16cid:durableId="1016423024">
    <w:abstractNumId w:val="91"/>
  </w:num>
  <w:num w:numId="14" w16cid:durableId="2066682530">
    <w:abstractNumId w:val="49"/>
  </w:num>
  <w:num w:numId="15" w16cid:durableId="1095243796">
    <w:abstractNumId w:val="152"/>
  </w:num>
  <w:num w:numId="16" w16cid:durableId="604963936">
    <w:abstractNumId w:val="20"/>
  </w:num>
  <w:num w:numId="17" w16cid:durableId="757554969">
    <w:abstractNumId w:val="29"/>
  </w:num>
  <w:num w:numId="18" w16cid:durableId="534655849">
    <w:abstractNumId w:val="153"/>
  </w:num>
  <w:num w:numId="19" w16cid:durableId="1087463240">
    <w:abstractNumId w:val="8"/>
  </w:num>
  <w:num w:numId="20" w16cid:durableId="239678969">
    <w:abstractNumId w:val="7"/>
  </w:num>
  <w:num w:numId="21" w16cid:durableId="1552423514">
    <w:abstractNumId w:val="6"/>
  </w:num>
  <w:num w:numId="22" w16cid:durableId="1797411719">
    <w:abstractNumId w:val="5"/>
  </w:num>
  <w:num w:numId="23" w16cid:durableId="1606687810">
    <w:abstractNumId w:val="4"/>
  </w:num>
  <w:num w:numId="24" w16cid:durableId="2083596907">
    <w:abstractNumId w:val="3"/>
  </w:num>
  <w:num w:numId="25" w16cid:durableId="1022366638">
    <w:abstractNumId w:val="12"/>
  </w:num>
  <w:num w:numId="26" w16cid:durableId="186453296">
    <w:abstractNumId w:val="2"/>
  </w:num>
  <w:num w:numId="27" w16cid:durableId="685399240">
    <w:abstractNumId w:val="1"/>
  </w:num>
  <w:num w:numId="28" w16cid:durableId="1264728069">
    <w:abstractNumId w:val="88"/>
  </w:num>
  <w:num w:numId="29" w16cid:durableId="1064714556">
    <w:abstractNumId w:val="0"/>
  </w:num>
  <w:num w:numId="30" w16cid:durableId="1501194082">
    <w:abstractNumId w:val="9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81036379">
    <w:abstractNumId w:val="80"/>
  </w:num>
  <w:num w:numId="32" w16cid:durableId="1055739332">
    <w:abstractNumId w:val="82"/>
  </w:num>
  <w:num w:numId="33" w16cid:durableId="180779345">
    <w:abstractNumId w:val="126"/>
  </w:num>
  <w:num w:numId="34" w16cid:durableId="1275552852">
    <w:abstractNumId w:val="44"/>
  </w:num>
  <w:num w:numId="35" w16cid:durableId="205877302">
    <w:abstractNumId w:val="145"/>
  </w:num>
  <w:num w:numId="36" w16cid:durableId="695083907">
    <w:abstractNumId w:val="25"/>
  </w:num>
  <w:num w:numId="37" w16cid:durableId="658312710">
    <w:abstractNumId w:val="89"/>
  </w:num>
  <w:num w:numId="38" w16cid:durableId="1001472669">
    <w:abstractNumId w:val="98"/>
  </w:num>
  <w:num w:numId="39" w16cid:durableId="1000617061">
    <w:abstractNumId w:val="96"/>
  </w:num>
  <w:num w:numId="40" w16cid:durableId="282736174">
    <w:abstractNumId w:val="81"/>
  </w:num>
  <w:num w:numId="41" w16cid:durableId="2055108450">
    <w:abstractNumId w:val="64"/>
  </w:num>
  <w:num w:numId="42" w16cid:durableId="1930045656">
    <w:abstractNumId w:val="35"/>
  </w:num>
  <w:num w:numId="43" w16cid:durableId="1958484882">
    <w:abstractNumId w:val="128"/>
  </w:num>
  <w:num w:numId="44" w16cid:durableId="1886913448">
    <w:abstractNumId w:val="157"/>
  </w:num>
  <w:num w:numId="45" w16cid:durableId="1609236504">
    <w:abstractNumId w:val="109"/>
  </w:num>
  <w:num w:numId="46" w16cid:durableId="423763427">
    <w:abstractNumId w:val="79"/>
  </w:num>
  <w:num w:numId="47" w16cid:durableId="253128175">
    <w:abstractNumId w:val="99"/>
  </w:num>
  <w:num w:numId="48" w16cid:durableId="739446221">
    <w:abstractNumId w:val="54"/>
  </w:num>
  <w:num w:numId="49" w16cid:durableId="149830787">
    <w:abstractNumId w:val="68"/>
  </w:num>
  <w:num w:numId="50" w16cid:durableId="1796212280">
    <w:abstractNumId w:val="87"/>
  </w:num>
  <w:num w:numId="51" w16cid:durableId="703293308">
    <w:abstractNumId w:val="108"/>
  </w:num>
  <w:num w:numId="52" w16cid:durableId="2075816035">
    <w:abstractNumId w:val="119"/>
  </w:num>
  <w:num w:numId="53" w16cid:durableId="47842603">
    <w:abstractNumId w:val="165"/>
  </w:num>
  <w:num w:numId="54" w16cid:durableId="1188060216">
    <w:abstractNumId w:val="62"/>
  </w:num>
  <w:num w:numId="55" w16cid:durableId="491793401">
    <w:abstractNumId w:val="53"/>
  </w:num>
  <w:num w:numId="56" w16cid:durableId="818839206">
    <w:abstractNumId w:val="154"/>
  </w:num>
  <w:num w:numId="57" w16cid:durableId="2147234737">
    <w:abstractNumId w:val="123"/>
  </w:num>
  <w:num w:numId="58" w16cid:durableId="676032393">
    <w:abstractNumId w:val="85"/>
  </w:num>
  <w:num w:numId="59" w16cid:durableId="1629697550">
    <w:abstractNumId w:val="167"/>
  </w:num>
  <w:num w:numId="60" w16cid:durableId="394667969">
    <w:abstractNumId w:val="115"/>
  </w:num>
  <w:num w:numId="61" w16cid:durableId="814566905">
    <w:abstractNumId w:val="36"/>
  </w:num>
  <w:num w:numId="62" w16cid:durableId="869033722">
    <w:abstractNumId w:val="132"/>
  </w:num>
  <w:num w:numId="63" w16cid:durableId="1270703130">
    <w:abstractNumId w:val="164"/>
  </w:num>
  <w:num w:numId="64" w16cid:durableId="890654756">
    <w:abstractNumId w:val="66"/>
  </w:num>
  <w:num w:numId="65" w16cid:durableId="283661034">
    <w:abstractNumId w:val="52"/>
  </w:num>
  <w:num w:numId="66" w16cid:durableId="1365640503">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767966619">
    <w:abstractNumId w:val="57"/>
  </w:num>
  <w:num w:numId="68" w16cid:durableId="1773160558">
    <w:abstractNumId w:val="138"/>
  </w:num>
  <w:num w:numId="69" w16cid:durableId="1575164474">
    <w:abstractNumId w:val="116"/>
  </w:num>
  <w:num w:numId="70" w16cid:durableId="2051565447">
    <w:abstractNumId w:val="11"/>
  </w:num>
  <w:num w:numId="71" w16cid:durableId="352389899">
    <w:abstractNumId w:val="103"/>
  </w:num>
  <w:num w:numId="72" w16cid:durableId="1464156117">
    <w:abstractNumId w:val="169"/>
  </w:num>
  <w:num w:numId="73" w16cid:durableId="1244224829">
    <w:abstractNumId w:val="77"/>
  </w:num>
  <w:num w:numId="74" w16cid:durableId="1028141061">
    <w:abstractNumId w:val="148"/>
  </w:num>
  <w:num w:numId="75" w16cid:durableId="1955937477">
    <w:abstractNumId w:val="31"/>
  </w:num>
  <w:num w:numId="76" w16cid:durableId="63797376">
    <w:abstractNumId w:val="32"/>
  </w:num>
  <w:num w:numId="77" w16cid:durableId="1418550219">
    <w:abstractNumId w:val="111"/>
  </w:num>
  <w:num w:numId="78" w16cid:durableId="1807703424">
    <w:abstractNumId w:val="110"/>
  </w:num>
  <w:num w:numId="79" w16cid:durableId="1410232497">
    <w:abstractNumId w:val="26"/>
  </w:num>
  <w:num w:numId="80" w16cid:durableId="2104834353">
    <w:abstractNumId w:val="125"/>
  </w:num>
  <w:num w:numId="81" w16cid:durableId="1180047432">
    <w:abstractNumId w:val="73"/>
  </w:num>
  <w:num w:numId="82" w16cid:durableId="855921663">
    <w:abstractNumId w:val="75"/>
  </w:num>
  <w:num w:numId="83" w16cid:durableId="1713336005">
    <w:abstractNumId w:val="83"/>
  </w:num>
  <w:num w:numId="84" w16cid:durableId="628778153">
    <w:abstractNumId w:val="142"/>
  </w:num>
  <w:num w:numId="85" w16cid:durableId="718549510">
    <w:abstractNumId w:val="121"/>
  </w:num>
  <w:num w:numId="86" w16cid:durableId="185410952">
    <w:abstractNumId w:val="9"/>
  </w:num>
  <w:num w:numId="87" w16cid:durableId="359739937">
    <w:abstractNumId w:val="127"/>
  </w:num>
  <w:num w:numId="88" w16cid:durableId="185944530">
    <w:abstractNumId w:val="71"/>
  </w:num>
  <w:num w:numId="89" w16cid:durableId="102767865">
    <w:abstractNumId w:val="69"/>
  </w:num>
  <w:num w:numId="90" w16cid:durableId="819540417">
    <w:abstractNumId w:val="144"/>
  </w:num>
  <w:num w:numId="91" w16cid:durableId="1109275485">
    <w:abstractNumId w:val="93"/>
  </w:num>
  <w:num w:numId="92" w16cid:durableId="1077634736">
    <w:abstractNumId w:val="60"/>
  </w:num>
  <w:num w:numId="93" w16cid:durableId="1726442931">
    <w:abstractNumId w:val="74"/>
  </w:num>
  <w:num w:numId="94" w16cid:durableId="1697341185">
    <w:abstractNumId w:val="15"/>
  </w:num>
  <w:num w:numId="95" w16cid:durableId="1639333129">
    <w:abstractNumId w:val="117"/>
  </w:num>
  <w:num w:numId="96" w16cid:durableId="1694502431">
    <w:abstractNumId w:val="156"/>
  </w:num>
  <w:num w:numId="97" w16cid:durableId="1719355410">
    <w:abstractNumId w:val="55"/>
  </w:num>
  <w:num w:numId="98" w16cid:durableId="1931500463">
    <w:abstractNumId w:val="43"/>
  </w:num>
  <w:num w:numId="99" w16cid:durableId="871964071">
    <w:abstractNumId w:val="94"/>
  </w:num>
  <w:num w:numId="100" w16cid:durableId="407388592">
    <w:abstractNumId w:val="48"/>
  </w:num>
  <w:num w:numId="101" w16cid:durableId="222522632">
    <w:abstractNumId w:val="161"/>
  </w:num>
  <w:num w:numId="102" w16cid:durableId="1513758768">
    <w:abstractNumId w:val="135"/>
  </w:num>
  <w:num w:numId="103" w16cid:durableId="159490040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649434042">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79857329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633801326">
    <w:abstractNumId w:val="106"/>
  </w:num>
  <w:num w:numId="107" w16cid:durableId="906036369">
    <w:abstractNumId w:val="143"/>
  </w:num>
  <w:num w:numId="108" w16cid:durableId="78135757">
    <w:abstractNumId w:val="40"/>
  </w:num>
  <w:num w:numId="109" w16cid:durableId="1005400657">
    <w:abstractNumId w:val="16"/>
  </w:num>
  <w:num w:numId="110" w16cid:durableId="949551782">
    <w:abstractNumId w:val="86"/>
  </w:num>
  <w:num w:numId="111" w16cid:durableId="1598558673">
    <w:abstractNumId w:val="95"/>
  </w:num>
  <w:num w:numId="112" w16cid:durableId="97453664">
    <w:abstractNumId w:val="92"/>
  </w:num>
  <w:num w:numId="113" w16cid:durableId="1636524602">
    <w:abstractNumId w:val="14"/>
  </w:num>
  <w:num w:numId="114" w16cid:durableId="1060714357">
    <w:abstractNumId w:val="112"/>
  </w:num>
  <w:num w:numId="115" w16cid:durableId="771783659">
    <w:abstractNumId w:val="97"/>
  </w:num>
  <w:num w:numId="116" w16cid:durableId="1653483524">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1212425569">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1980530427">
    <w:abstractNumId w:val="21"/>
  </w:num>
  <w:num w:numId="119" w16cid:durableId="429200608">
    <w:abstractNumId w:val="17"/>
  </w:num>
  <w:num w:numId="120" w16cid:durableId="468940797">
    <w:abstractNumId w:val="18"/>
  </w:num>
  <w:num w:numId="121" w16cid:durableId="880871090">
    <w:abstractNumId w:val="38"/>
  </w:num>
  <w:num w:numId="122" w16cid:durableId="1389722901">
    <w:abstractNumId w:val="147"/>
  </w:num>
  <w:num w:numId="123" w16cid:durableId="52012235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1579442154">
    <w:abstractNumId w:val="134"/>
  </w:num>
  <w:num w:numId="125" w16cid:durableId="2128505276">
    <w:abstractNumId w:val="151"/>
  </w:num>
  <w:num w:numId="126" w16cid:durableId="843469711">
    <w:abstractNumId w:val="129"/>
  </w:num>
  <w:num w:numId="127" w16cid:durableId="1319387235">
    <w:abstractNumId w:val="140"/>
  </w:num>
  <w:num w:numId="128" w16cid:durableId="1661734039">
    <w:abstractNumId w:val="76"/>
  </w:num>
  <w:num w:numId="129" w16cid:durableId="2078701352">
    <w:abstractNumId w:val="166"/>
  </w:num>
  <w:num w:numId="130" w16cid:durableId="717708533">
    <w:abstractNumId w:val="160"/>
  </w:num>
  <w:num w:numId="131" w16cid:durableId="1074888443">
    <w:abstractNumId w:val="42"/>
  </w:num>
  <w:num w:numId="132" w16cid:durableId="1110276333">
    <w:abstractNumId w:val="105"/>
  </w:num>
  <w:num w:numId="133" w16cid:durableId="1184595639">
    <w:abstractNumId w:val="131"/>
  </w:num>
  <w:num w:numId="134" w16cid:durableId="2000886061">
    <w:abstractNumId w:val="114"/>
  </w:num>
  <w:num w:numId="135" w16cid:durableId="393239946">
    <w:abstractNumId w:val="10"/>
  </w:num>
  <w:num w:numId="136" w16cid:durableId="1135365436">
    <w:abstractNumId w:val="168"/>
  </w:num>
  <w:num w:numId="137" w16cid:durableId="1419865599">
    <w:abstractNumId w:val="91"/>
  </w:num>
  <w:num w:numId="138" w16cid:durableId="46042019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265581075">
    <w:abstractNumId w:val="163"/>
  </w:num>
  <w:num w:numId="140" w16cid:durableId="1941259884">
    <w:abstractNumId w:val="47"/>
  </w:num>
  <w:num w:numId="141" w16cid:durableId="967278319">
    <w:abstractNumId w:val="141"/>
  </w:num>
  <w:num w:numId="142" w16cid:durableId="637492360">
    <w:abstractNumId w:val="130"/>
  </w:num>
  <w:num w:numId="143" w16cid:durableId="1325278463">
    <w:abstractNumId w:val="56"/>
  </w:num>
  <w:num w:numId="144" w16cid:durableId="1988394624">
    <w:abstractNumId w:val="158"/>
  </w:num>
  <w:num w:numId="145" w16cid:durableId="1060834554">
    <w:abstractNumId w:val="78"/>
  </w:num>
  <w:num w:numId="146" w16cid:durableId="595136353">
    <w:abstractNumId w:val="137"/>
  </w:num>
  <w:num w:numId="147" w16cid:durableId="731317061">
    <w:abstractNumId w:val="136"/>
  </w:num>
  <w:num w:numId="148" w16cid:durableId="641085210">
    <w:abstractNumId w:val="51"/>
  </w:num>
  <w:num w:numId="149" w16cid:durableId="2133546886">
    <w:abstractNumId w:val="23"/>
  </w:num>
  <w:num w:numId="150" w16cid:durableId="664626276">
    <w:abstractNumId w:val="63"/>
  </w:num>
  <w:num w:numId="151" w16cid:durableId="404255790">
    <w:abstractNumId w:val="39"/>
  </w:num>
  <w:num w:numId="152" w16cid:durableId="963078857">
    <w:abstractNumId w:val="37"/>
  </w:num>
  <w:num w:numId="153" w16cid:durableId="25567546">
    <w:abstractNumId w:val="61"/>
  </w:num>
  <w:num w:numId="154" w16cid:durableId="1746567044">
    <w:abstractNumId w:val="45"/>
  </w:num>
  <w:num w:numId="155" w16cid:durableId="133379661">
    <w:abstractNumId w:val="113"/>
  </w:num>
  <w:num w:numId="156" w16cid:durableId="894320096">
    <w:abstractNumId w:val="118"/>
  </w:num>
  <w:num w:numId="157" w16cid:durableId="88889119">
    <w:abstractNumId w:val="46"/>
  </w:num>
  <w:num w:numId="158" w16cid:durableId="397021438">
    <w:abstractNumId w:val="30"/>
  </w:num>
  <w:num w:numId="159" w16cid:durableId="1014963650">
    <w:abstractNumId w:val="149"/>
  </w:num>
  <w:num w:numId="160" w16cid:durableId="2055542808">
    <w:abstractNumId w:val="139"/>
  </w:num>
  <w:num w:numId="161" w16cid:durableId="754204621">
    <w:abstractNumId w:val="155"/>
  </w:num>
  <w:num w:numId="162" w16cid:durableId="944724838">
    <w:abstractNumId w:val="34"/>
  </w:num>
  <w:num w:numId="163" w16cid:durableId="1811434166">
    <w:abstractNumId w:val="70"/>
  </w:num>
  <w:num w:numId="164" w16cid:durableId="849561306">
    <w:abstractNumId w:val="13"/>
  </w:num>
  <w:num w:numId="165" w16cid:durableId="847521556">
    <w:abstractNumId w:val="19"/>
  </w:num>
  <w:num w:numId="166" w16cid:durableId="1266501424">
    <w:abstractNumId w:val="101"/>
  </w:num>
  <w:num w:numId="167" w16cid:durableId="220167616">
    <w:abstractNumId w:val="107"/>
  </w:num>
  <w:num w:numId="168" w16cid:durableId="1106846443">
    <w:abstractNumId w:val="28"/>
  </w:num>
  <w:num w:numId="169" w16cid:durableId="1493910506">
    <w:abstractNumId w:val="90"/>
  </w:num>
  <w:num w:numId="170" w16cid:durableId="695740370">
    <w:abstractNumId w:val="122"/>
  </w:num>
  <w:num w:numId="171" w16cid:durableId="43453507">
    <w:abstractNumId w:val="120"/>
  </w:num>
  <w:num w:numId="172" w16cid:durableId="1883399345">
    <w:abstractNumId w:val="33"/>
  </w:num>
  <w:num w:numId="173" w16cid:durableId="1393235868">
    <w:abstractNumId w:val="146"/>
  </w:num>
  <w:num w:numId="174" w16cid:durableId="393161837">
    <w:abstractNumId w:val="59"/>
  </w:num>
  <w:num w:numId="175" w16cid:durableId="680202650">
    <w:abstractNumId w:val="91"/>
  </w:num>
  <w:num w:numId="176" w16cid:durableId="118187539">
    <w:abstractNumId w:val="91"/>
  </w:num>
  <w:num w:numId="177" w16cid:durableId="1436249417">
    <w:abstractNumId w:val="91"/>
  </w:num>
  <w:num w:numId="178" w16cid:durableId="1159275761">
    <w:abstractNumId w:val="91"/>
  </w:num>
  <w:num w:numId="179" w16cid:durableId="162935506">
    <w:abstractNumId w:val="91"/>
  </w:num>
  <w:num w:numId="180" w16cid:durableId="123475387">
    <w:abstractNumId w:val="91"/>
  </w:num>
  <w:num w:numId="181" w16cid:durableId="1217619345">
    <w:abstractNumId w:val="91"/>
  </w:num>
  <w:num w:numId="182" w16cid:durableId="1331760644">
    <w:abstractNumId w:val="91"/>
  </w:num>
  <w:num w:numId="183" w16cid:durableId="1478108073">
    <w:abstractNumId w:val="84"/>
  </w:num>
  <w:num w:numId="184" w16cid:durableId="194197383">
    <w:abstractNumId w:val="162"/>
  </w:num>
  <w:num w:numId="185" w16cid:durableId="1794127759">
    <w:abstractNumId w:val="50"/>
    <w:lvlOverride w:ilvl="0">
      <w:startOverride w:val="1"/>
    </w:lvlOverride>
  </w:num>
  <w:num w:numId="186" w16cid:durableId="170025081">
    <w:abstractNumId w:val="133"/>
  </w:num>
  <w:num w:numId="187" w16cid:durableId="1381980871">
    <w:abstractNumId w:val="27"/>
  </w:num>
  <w:num w:numId="188" w16cid:durableId="669718399">
    <w:abstractNumId w:val="24"/>
  </w:num>
  <w:num w:numId="189" w16cid:durableId="206723551">
    <w:abstractNumId w:val="41"/>
  </w:num>
  <w:numIdMacAtCleanup w:val="1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9"/>
  <w:removeDateAndTime/>
  <w:attachedTemplate r:id="rId1"/>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150C"/>
    <w:rsid w:val="000000DB"/>
    <w:rsid w:val="00000792"/>
    <w:rsid w:val="00000964"/>
    <w:rsid w:val="00000A21"/>
    <w:rsid w:val="00000B4C"/>
    <w:rsid w:val="00000CF0"/>
    <w:rsid w:val="00000D55"/>
    <w:rsid w:val="00000F04"/>
    <w:rsid w:val="0000104F"/>
    <w:rsid w:val="00001182"/>
    <w:rsid w:val="0000125B"/>
    <w:rsid w:val="000018C6"/>
    <w:rsid w:val="00001CE2"/>
    <w:rsid w:val="000021B6"/>
    <w:rsid w:val="000022DB"/>
    <w:rsid w:val="00002842"/>
    <w:rsid w:val="00002F56"/>
    <w:rsid w:val="00003C4F"/>
    <w:rsid w:val="00003CA7"/>
    <w:rsid w:val="00003F55"/>
    <w:rsid w:val="00003FCA"/>
    <w:rsid w:val="00004037"/>
    <w:rsid w:val="00004748"/>
    <w:rsid w:val="00004E0A"/>
    <w:rsid w:val="00004FD3"/>
    <w:rsid w:val="00005060"/>
    <w:rsid w:val="0000550C"/>
    <w:rsid w:val="00005911"/>
    <w:rsid w:val="00005ADC"/>
    <w:rsid w:val="000060A8"/>
    <w:rsid w:val="000063AB"/>
    <w:rsid w:val="000065E5"/>
    <w:rsid w:val="000068DE"/>
    <w:rsid w:val="00006940"/>
    <w:rsid w:val="00006DF5"/>
    <w:rsid w:val="00006F95"/>
    <w:rsid w:val="00007023"/>
    <w:rsid w:val="0000709F"/>
    <w:rsid w:val="0000713D"/>
    <w:rsid w:val="000071D6"/>
    <w:rsid w:val="0000792B"/>
    <w:rsid w:val="0000798F"/>
    <w:rsid w:val="00007F2D"/>
    <w:rsid w:val="00007FAC"/>
    <w:rsid w:val="00010618"/>
    <w:rsid w:val="00010A9C"/>
    <w:rsid w:val="00010ABA"/>
    <w:rsid w:val="00010E15"/>
    <w:rsid w:val="00010F57"/>
    <w:rsid w:val="0001100C"/>
    <w:rsid w:val="00011188"/>
    <w:rsid w:val="00011269"/>
    <w:rsid w:val="00011DC1"/>
    <w:rsid w:val="00012555"/>
    <w:rsid w:val="0001275E"/>
    <w:rsid w:val="00012A90"/>
    <w:rsid w:val="00012EF0"/>
    <w:rsid w:val="0001357A"/>
    <w:rsid w:val="00013607"/>
    <w:rsid w:val="00013B8D"/>
    <w:rsid w:val="00013E6C"/>
    <w:rsid w:val="00013F9E"/>
    <w:rsid w:val="00014069"/>
    <w:rsid w:val="00014236"/>
    <w:rsid w:val="000145CE"/>
    <w:rsid w:val="000148F6"/>
    <w:rsid w:val="00014AB1"/>
    <w:rsid w:val="00014AD6"/>
    <w:rsid w:val="00014D25"/>
    <w:rsid w:val="00015204"/>
    <w:rsid w:val="00015217"/>
    <w:rsid w:val="000159D2"/>
    <w:rsid w:val="00015C5B"/>
    <w:rsid w:val="0001609B"/>
    <w:rsid w:val="0001623B"/>
    <w:rsid w:val="00016264"/>
    <w:rsid w:val="0001647A"/>
    <w:rsid w:val="00016932"/>
    <w:rsid w:val="00016993"/>
    <w:rsid w:val="000169C4"/>
    <w:rsid w:val="00016CAB"/>
    <w:rsid w:val="00016E5B"/>
    <w:rsid w:val="00016EE3"/>
    <w:rsid w:val="0001749B"/>
    <w:rsid w:val="00017829"/>
    <w:rsid w:val="00017AC5"/>
    <w:rsid w:val="00017D75"/>
    <w:rsid w:val="00017FE5"/>
    <w:rsid w:val="00020199"/>
    <w:rsid w:val="00020408"/>
    <w:rsid w:val="00020424"/>
    <w:rsid w:val="000215B6"/>
    <w:rsid w:val="00021910"/>
    <w:rsid w:val="00021B77"/>
    <w:rsid w:val="0002236F"/>
    <w:rsid w:val="0002278E"/>
    <w:rsid w:val="00022880"/>
    <w:rsid w:val="00022BD6"/>
    <w:rsid w:val="00022D48"/>
    <w:rsid w:val="00022DEA"/>
    <w:rsid w:val="00022E8D"/>
    <w:rsid w:val="00022FEF"/>
    <w:rsid w:val="000232D4"/>
    <w:rsid w:val="0002348A"/>
    <w:rsid w:val="000235B5"/>
    <w:rsid w:val="0002371C"/>
    <w:rsid w:val="00023BDA"/>
    <w:rsid w:val="00023F94"/>
    <w:rsid w:val="0002418D"/>
    <w:rsid w:val="00024708"/>
    <w:rsid w:val="00024EE7"/>
    <w:rsid w:val="00025480"/>
    <w:rsid w:val="000254B9"/>
    <w:rsid w:val="000254FC"/>
    <w:rsid w:val="00025A1C"/>
    <w:rsid w:val="00025BBD"/>
    <w:rsid w:val="00025F63"/>
    <w:rsid w:val="00025F96"/>
    <w:rsid w:val="00025FAB"/>
    <w:rsid w:val="0002611E"/>
    <w:rsid w:val="0002669C"/>
    <w:rsid w:val="000269B1"/>
    <w:rsid w:val="00026A28"/>
    <w:rsid w:val="00026C15"/>
    <w:rsid w:val="00026E89"/>
    <w:rsid w:val="00027171"/>
    <w:rsid w:val="000275A3"/>
    <w:rsid w:val="000279C3"/>
    <w:rsid w:val="00027D2B"/>
    <w:rsid w:val="00030558"/>
    <w:rsid w:val="00030699"/>
    <w:rsid w:val="00030725"/>
    <w:rsid w:val="00030999"/>
    <w:rsid w:val="00030DB8"/>
    <w:rsid w:val="000313E2"/>
    <w:rsid w:val="000313F0"/>
    <w:rsid w:val="00031A83"/>
    <w:rsid w:val="0003213A"/>
    <w:rsid w:val="00032361"/>
    <w:rsid w:val="0003254B"/>
    <w:rsid w:val="000325EE"/>
    <w:rsid w:val="00032A81"/>
    <w:rsid w:val="00032AE5"/>
    <w:rsid w:val="00032B94"/>
    <w:rsid w:val="000337A4"/>
    <w:rsid w:val="00033F2A"/>
    <w:rsid w:val="000340D8"/>
    <w:rsid w:val="0003427D"/>
    <w:rsid w:val="00034384"/>
    <w:rsid w:val="00034548"/>
    <w:rsid w:val="00034576"/>
    <w:rsid w:val="00034DE5"/>
    <w:rsid w:val="00034DFA"/>
    <w:rsid w:val="000353C0"/>
    <w:rsid w:val="00035429"/>
    <w:rsid w:val="00035767"/>
    <w:rsid w:val="000357D9"/>
    <w:rsid w:val="000357ED"/>
    <w:rsid w:val="00035B2A"/>
    <w:rsid w:val="00035E15"/>
    <w:rsid w:val="00035EB3"/>
    <w:rsid w:val="00036001"/>
    <w:rsid w:val="000361BB"/>
    <w:rsid w:val="0003640E"/>
    <w:rsid w:val="0003688A"/>
    <w:rsid w:val="000368FC"/>
    <w:rsid w:val="00036A0D"/>
    <w:rsid w:val="00036A9D"/>
    <w:rsid w:val="00036DA3"/>
    <w:rsid w:val="00036EF2"/>
    <w:rsid w:val="00036FC3"/>
    <w:rsid w:val="000372AF"/>
    <w:rsid w:val="000373F5"/>
    <w:rsid w:val="000379BF"/>
    <w:rsid w:val="000379EB"/>
    <w:rsid w:val="00037A32"/>
    <w:rsid w:val="00037BEC"/>
    <w:rsid w:val="00037D90"/>
    <w:rsid w:val="00037E1E"/>
    <w:rsid w:val="000400D9"/>
    <w:rsid w:val="0004035C"/>
    <w:rsid w:val="00040860"/>
    <w:rsid w:val="000408C1"/>
    <w:rsid w:val="00040CED"/>
    <w:rsid w:val="00040EA1"/>
    <w:rsid w:val="00041603"/>
    <w:rsid w:val="0004179A"/>
    <w:rsid w:val="0004205F"/>
    <w:rsid w:val="00042101"/>
    <w:rsid w:val="00042381"/>
    <w:rsid w:val="000423C6"/>
    <w:rsid w:val="00042428"/>
    <w:rsid w:val="00042864"/>
    <w:rsid w:val="000428E2"/>
    <w:rsid w:val="00042EDB"/>
    <w:rsid w:val="00043545"/>
    <w:rsid w:val="00043D96"/>
    <w:rsid w:val="00043FA4"/>
    <w:rsid w:val="000445E5"/>
    <w:rsid w:val="00044697"/>
    <w:rsid w:val="000446E1"/>
    <w:rsid w:val="00044A50"/>
    <w:rsid w:val="00044C65"/>
    <w:rsid w:val="000450B0"/>
    <w:rsid w:val="000450CD"/>
    <w:rsid w:val="000458C7"/>
    <w:rsid w:val="00045991"/>
    <w:rsid w:val="00045C42"/>
    <w:rsid w:val="00045C8D"/>
    <w:rsid w:val="00045E5C"/>
    <w:rsid w:val="00045F3F"/>
    <w:rsid w:val="00046288"/>
    <w:rsid w:val="000463C2"/>
    <w:rsid w:val="00046884"/>
    <w:rsid w:val="0004707A"/>
    <w:rsid w:val="00047941"/>
    <w:rsid w:val="00047971"/>
    <w:rsid w:val="00047D0D"/>
    <w:rsid w:val="00047F52"/>
    <w:rsid w:val="00047FCF"/>
    <w:rsid w:val="000501F2"/>
    <w:rsid w:val="000505D4"/>
    <w:rsid w:val="00050A22"/>
    <w:rsid w:val="00050A90"/>
    <w:rsid w:val="00050E27"/>
    <w:rsid w:val="000510AF"/>
    <w:rsid w:val="0005144F"/>
    <w:rsid w:val="00051AF1"/>
    <w:rsid w:val="00051B20"/>
    <w:rsid w:val="00051BC6"/>
    <w:rsid w:val="00051D42"/>
    <w:rsid w:val="00051FC8"/>
    <w:rsid w:val="000525DB"/>
    <w:rsid w:val="000528B5"/>
    <w:rsid w:val="00052D26"/>
    <w:rsid w:val="000531F5"/>
    <w:rsid w:val="000536A8"/>
    <w:rsid w:val="000538A1"/>
    <w:rsid w:val="00054073"/>
    <w:rsid w:val="00054A8B"/>
    <w:rsid w:val="0005532A"/>
    <w:rsid w:val="00055375"/>
    <w:rsid w:val="00055981"/>
    <w:rsid w:val="00055AAB"/>
    <w:rsid w:val="00056319"/>
    <w:rsid w:val="00056471"/>
    <w:rsid w:val="000564E7"/>
    <w:rsid w:val="00056770"/>
    <w:rsid w:val="0005697E"/>
    <w:rsid w:val="00056C2C"/>
    <w:rsid w:val="00057386"/>
    <w:rsid w:val="000577A2"/>
    <w:rsid w:val="00057811"/>
    <w:rsid w:val="00057AF2"/>
    <w:rsid w:val="00057EEF"/>
    <w:rsid w:val="0006007F"/>
    <w:rsid w:val="000613AD"/>
    <w:rsid w:val="000619CB"/>
    <w:rsid w:val="00061D4D"/>
    <w:rsid w:val="00061DA6"/>
    <w:rsid w:val="00061FFC"/>
    <w:rsid w:val="00062069"/>
    <w:rsid w:val="00062290"/>
    <w:rsid w:val="00062387"/>
    <w:rsid w:val="00062FA2"/>
    <w:rsid w:val="0006398D"/>
    <w:rsid w:val="000640F0"/>
    <w:rsid w:val="0006434D"/>
    <w:rsid w:val="000643A1"/>
    <w:rsid w:val="00064679"/>
    <w:rsid w:val="00064A13"/>
    <w:rsid w:val="00064AF4"/>
    <w:rsid w:val="00064DB1"/>
    <w:rsid w:val="00064DB6"/>
    <w:rsid w:val="00065636"/>
    <w:rsid w:val="00065BA3"/>
    <w:rsid w:val="00065CD1"/>
    <w:rsid w:val="00065D3B"/>
    <w:rsid w:val="000667E9"/>
    <w:rsid w:val="0006688C"/>
    <w:rsid w:val="000668E2"/>
    <w:rsid w:val="00066CE3"/>
    <w:rsid w:val="00067128"/>
    <w:rsid w:val="000675CD"/>
    <w:rsid w:val="00067872"/>
    <w:rsid w:val="000678AC"/>
    <w:rsid w:val="000678FC"/>
    <w:rsid w:val="00067EB3"/>
    <w:rsid w:val="000700D3"/>
    <w:rsid w:val="000703B2"/>
    <w:rsid w:val="0007049B"/>
    <w:rsid w:val="0007055D"/>
    <w:rsid w:val="000709B8"/>
    <w:rsid w:val="00070FBF"/>
    <w:rsid w:val="000711EE"/>
    <w:rsid w:val="0007171E"/>
    <w:rsid w:val="0007180E"/>
    <w:rsid w:val="00071AE4"/>
    <w:rsid w:val="00071CB5"/>
    <w:rsid w:val="00071CCB"/>
    <w:rsid w:val="00071D03"/>
    <w:rsid w:val="000720C5"/>
    <w:rsid w:val="000721BE"/>
    <w:rsid w:val="0007232B"/>
    <w:rsid w:val="00072466"/>
    <w:rsid w:val="00072DCB"/>
    <w:rsid w:val="00072E63"/>
    <w:rsid w:val="000735A2"/>
    <w:rsid w:val="00073741"/>
    <w:rsid w:val="00074907"/>
    <w:rsid w:val="00074AEE"/>
    <w:rsid w:val="00074DD9"/>
    <w:rsid w:val="0007517E"/>
    <w:rsid w:val="000756F9"/>
    <w:rsid w:val="00075894"/>
    <w:rsid w:val="00075CA7"/>
    <w:rsid w:val="00075FE1"/>
    <w:rsid w:val="00076667"/>
    <w:rsid w:val="00077144"/>
    <w:rsid w:val="00077473"/>
    <w:rsid w:val="00077481"/>
    <w:rsid w:val="000776F9"/>
    <w:rsid w:val="00077762"/>
    <w:rsid w:val="00077EE0"/>
    <w:rsid w:val="0008023D"/>
    <w:rsid w:val="000802F9"/>
    <w:rsid w:val="000804B6"/>
    <w:rsid w:val="00080CBD"/>
    <w:rsid w:val="00080E08"/>
    <w:rsid w:val="00080F0B"/>
    <w:rsid w:val="00080F49"/>
    <w:rsid w:val="0008145A"/>
    <w:rsid w:val="0008162D"/>
    <w:rsid w:val="000817F8"/>
    <w:rsid w:val="00081813"/>
    <w:rsid w:val="00081BB7"/>
    <w:rsid w:val="0008207F"/>
    <w:rsid w:val="00082891"/>
    <w:rsid w:val="000828CD"/>
    <w:rsid w:val="000830E6"/>
    <w:rsid w:val="00083164"/>
    <w:rsid w:val="000831A0"/>
    <w:rsid w:val="000831C8"/>
    <w:rsid w:val="00083634"/>
    <w:rsid w:val="00083C00"/>
    <w:rsid w:val="00083E72"/>
    <w:rsid w:val="00083F5E"/>
    <w:rsid w:val="000846AB"/>
    <w:rsid w:val="00084AEF"/>
    <w:rsid w:val="00084FDB"/>
    <w:rsid w:val="0008505C"/>
    <w:rsid w:val="000850C3"/>
    <w:rsid w:val="00085286"/>
    <w:rsid w:val="00085353"/>
    <w:rsid w:val="0008551C"/>
    <w:rsid w:val="00085C46"/>
    <w:rsid w:val="00086047"/>
    <w:rsid w:val="00086129"/>
    <w:rsid w:val="0008616C"/>
    <w:rsid w:val="000864DE"/>
    <w:rsid w:val="00086665"/>
    <w:rsid w:val="0008666A"/>
    <w:rsid w:val="0008686A"/>
    <w:rsid w:val="00086DAA"/>
    <w:rsid w:val="00087175"/>
    <w:rsid w:val="0008773A"/>
    <w:rsid w:val="00087D29"/>
    <w:rsid w:val="00087D35"/>
    <w:rsid w:val="000901C0"/>
    <w:rsid w:val="00090EFD"/>
    <w:rsid w:val="00090FBA"/>
    <w:rsid w:val="00091192"/>
    <w:rsid w:val="000916C8"/>
    <w:rsid w:val="00091796"/>
    <w:rsid w:val="0009197D"/>
    <w:rsid w:val="00091B6E"/>
    <w:rsid w:val="00091BA2"/>
    <w:rsid w:val="00091C02"/>
    <w:rsid w:val="00091CB0"/>
    <w:rsid w:val="000926EF"/>
    <w:rsid w:val="0009279D"/>
    <w:rsid w:val="00092DEC"/>
    <w:rsid w:val="000932AA"/>
    <w:rsid w:val="00094344"/>
    <w:rsid w:val="0009496A"/>
    <w:rsid w:val="000949DF"/>
    <w:rsid w:val="00094CEF"/>
    <w:rsid w:val="00095091"/>
    <w:rsid w:val="00095120"/>
    <w:rsid w:val="000953C6"/>
    <w:rsid w:val="000953F4"/>
    <w:rsid w:val="0009585D"/>
    <w:rsid w:val="0009590C"/>
    <w:rsid w:val="00095912"/>
    <w:rsid w:val="000959E7"/>
    <w:rsid w:val="00095C45"/>
    <w:rsid w:val="00095E7D"/>
    <w:rsid w:val="0009610E"/>
    <w:rsid w:val="000964DE"/>
    <w:rsid w:val="0009677C"/>
    <w:rsid w:val="00096AEF"/>
    <w:rsid w:val="00096B1F"/>
    <w:rsid w:val="00096D12"/>
    <w:rsid w:val="000972AB"/>
    <w:rsid w:val="000979C5"/>
    <w:rsid w:val="00097B40"/>
    <w:rsid w:val="00097D0E"/>
    <w:rsid w:val="000A07DD"/>
    <w:rsid w:val="000A0A37"/>
    <w:rsid w:val="000A109B"/>
    <w:rsid w:val="000A15FC"/>
    <w:rsid w:val="000A17EA"/>
    <w:rsid w:val="000A1C7A"/>
    <w:rsid w:val="000A2014"/>
    <w:rsid w:val="000A2345"/>
    <w:rsid w:val="000A2394"/>
    <w:rsid w:val="000A2D21"/>
    <w:rsid w:val="000A2FA4"/>
    <w:rsid w:val="000A31C1"/>
    <w:rsid w:val="000A32C5"/>
    <w:rsid w:val="000A3411"/>
    <w:rsid w:val="000A34CA"/>
    <w:rsid w:val="000A35AB"/>
    <w:rsid w:val="000A426F"/>
    <w:rsid w:val="000A4559"/>
    <w:rsid w:val="000A45FD"/>
    <w:rsid w:val="000A470D"/>
    <w:rsid w:val="000A477B"/>
    <w:rsid w:val="000A4D01"/>
    <w:rsid w:val="000A5247"/>
    <w:rsid w:val="000A5364"/>
    <w:rsid w:val="000A558D"/>
    <w:rsid w:val="000A5611"/>
    <w:rsid w:val="000A563C"/>
    <w:rsid w:val="000A59C5"/>
    <w:rsid w:val="000A5DEA"/>
    <w:rsid w:val="000A5EBD"/>
    <w:rsid w:val="000A5FA8"/>
    <w:rsid w:val="000A60AD"/>
    <w:rsid w:val="000A6316"/>
    <w:rsid w:val="000A65A5"/>
    <w:rsid w:val="000A6CFC"/>
    <w:rsid w:val="000A73E9"/>
    <w:rsid w:val="000A7658"/>
    <w:rsid w:val="000A7949"/>
    <w:rsid w:val="000A7981"/>
    <w:rsid w:val="000A7E59"/>
    <w:rsid w:val="000A7F0F"/>
    <w:rsid w:val="000A7F4C"/>
    <w:rsid w:val="000B02BC"/>
    <w:rsid w:val="000B0498"/>
    <w:rsid w:val="000B06EE"/>
    <w:rsid w:val="000B0B7C"/>
    <w:rsid w:val="000B0F36"/>
    <w:rsid w:val="000B11D3"/>
    <w:rsid w:val="000B1788"/>
    <w:rsid w:val="000B1942"/>
    <w:rsid w:val="000B1BED"/>
    <w:rsid w:val="000B1DDB"/>
    <w:rsid w:val="000B1FC1"/>
    <w:rsid w:val="000B2240"/>
    <w:rsid w:val="000B2477"/>
    <w:rsid w:val="000B256D"/>
    <w:rsid w:val="000B2600"/>
    <w:rsid w:val="000B2626"/>
    <w:rsid w:val="000B2F2D"/>
    <w:rsid w:val="000B36F9"/>
    <w:rsid w:val="000B3707"/>
    <w:rsid w:val="000B3EDD"/>
    <w:rsid w:val="000B4074"/>
    <w:rsid w:val="000B4691"/>
    <w:rsid w:val="000B4732"/>
    <w:rsid w:val="000B4BCD"/>
    <w:rsid w:val="000B4C02"/>
    <w:rsid w:val="000B4C3F"/>
    <w:rsid w:val="000B54CA"/>
    <w:rsid w:val="000B57BC"/>
    <w:rsid w:val="000B5914"/>
    <w:rsid w:val="000B5D05"/>
    <w:rsid w:val="000B5EFF"/>
    <w:rsid w:val="000B5F44"/>
    <w:rsid w:val="000B5FDA"/>
    <w:rsid w:val="000B62E9"/>
    <w:rsid w:val="000B66CA"/>
    <w:rsid w:val="000B66DC"/>
    <w:rsid w:val="000B6937"/>
    <w:rsid w:val="000B6B76"/>
    <w:rsid w:val="000B6D1F"/>
    <w:rsid w:val="000B7CE2"/>
    <w:rsid w:val="000C062F"/>
    <w:rsid w:val="000C17E7"/>
    <w:rsid w:val="000C1A70"/>
    <w:rsid w:val="000C2273"/>
    <w:rsid w:val="000C2306"/>
    <w:rsid w:val="000C2C17"/>
    <w:rsid w:val="000C2CA8"/>
    <w:rsid w:val="000C3270"/>
    <w:rsid w:val="000C33DA"/>
    <w:rsid w:val="000C3768"/>
    <w:rsid w:val="000C384C"/>
    <w:rsid w:val="000C3C84"/>
    <w:rsid w:val="000C3F0C"/>
    <w:rsid w:val="000C40F2"/>
    <w:rsid w:val="000C43C9"/>
    <w:rsid w:val="000C4E9C"/>
    <w:rsid w:val="000C577E"/>
    <w:rsid w:val="000C5C44"/>
    <w:rsid w:val="000C5CFD"/>
    <w:rsid w:val="000D04BA"/>
    <w:rsid w:val="000D0B6E"/>
    <w:rsid w:val="000D0D65"/>
    <w:rsid w:val="000D0EEF"/>
    <w:rsid w:val="000D12E0"/>
    <w:rsid w:val="000D14D4"/>
    <w:rsid w:val="000D1944"/>
    <w:rsid w:val="000D1B7E"/>
    <w:rsid w:val="000D1DAB"/>
    <w:rsid w:val="000D1DD9"/>
    <w:rsid w:val="000D2172"/>
    <w:rsid w:val="000D2634"/>
    <w:rsid w:val="000D293C"/>
    <w:rsid w:val="000D2BA4"/>
    <w:rsid w:val="000D2BC1"/>
    <w:rsid w:val="000D2C24"/>
    <w:rsid w:val="000D2D98"/>
    <w:rsid w:val="000D337B"/>
    <w:rsid w:val="000D370F"/>
    <w:rsid w:val="000D385A"/>
    <w:rsid w:val="000D38C2"/>
    <w:rsid w:val="000D3A9D"/>
    <w:rsid w:val="000D3CA7"/>
    <w:rsid w:val="000D3F99"/>
    <w:rsid w:val="000D49E0"/>
    <w:rsid w:val="000D4C34"/>
    <w:rsid w:val="000D4D96"/>
    <w:rsid w:val="000D512B"/>
    <w:rsid w:val="000D54DB"/>
    <w:rsid w:val="000D5AA9"/>
    <w:rsid w:val="000D5B16"/>
    <w:rsid w:val="000D5B34"/>
    <w:rsid w:val="000D5FD6"/>
    <w:rsid w:val="000D6201"/>
    <w:rsid w:val="000D6242"/>
    <w:rsid w:val="000D643E"/>
    <w:rsid w:val="000D6488"/>
    <w:rsid w:val="000D6665"/>
    <w:rsid w:val="000D6B3E"/>
    <w:rsid w:val="000D6F46"/>
    <w:rsid w:val="000D7088"/>
    <w:rsid w:val="000D741C"/>
    <w:rsid w:val="000D770B"/>
    <w:rsid w:val="000D788E"/>
    <w:rsid w:val="000D790D"/>
    <w:rsid w:val="000D7E1F"/>
    <w:rsid w:val="000E0505"/>
    <w:rsid w:val="000E0BF8"/>
    <w:rsid w:val="000E12B0"/>
    <w:rsid w:val="000E184C"/>
    <w:rsid w:val="000E1880"/>
    <w:rsid w:val="000E1BC8"/>
    <w:rsid w:val="000E1D32"/>
    <w:rsid w:val="000E26D8"/>
    <w:rsid w:val="000E26E9"/>
    <w:rsid w:val="000E2815"/>
    <w:rsid w:val="000E2949"/>
    <w:rsid w:val="000E2B94"/>
    <w:rsid w:val="000E3087"/>
    <w:rsid w:val="000E3156"/>
    <w:rsid w:val="000E35B6"/>
    <w:rsid w:val="000E35FF"/>
    <w:rsid w:val="000E37A7"/>
    <w:rsid w:val="000E39D7"/>
    <w:rsid w:val="000E3BB8"/>
    <w:rsid w:val="000E3C52"/>
    <w:rsid w:val="000E3D9B"/>
    <w:rsid w:val="000E3DFD"/>
    <w:rsid w:val="000E3FE0"/>
    <w:rsid w:val="000E4261"/>
    <w:rsid w:val="000E4697"/>
    <w:rsid w:val="000E46FC"/>
    <w:rsid w:val="000E4782"/>
    <w:rsid w:val="000E58C5"/>
    <w:rsid w:val="000E5C80"/>
    <w:rsid w:val="000E5F0F"/>
    <w:rsid w:val="000E6203"/>
    <w:rsid w:val="000E64A2"/>
    <w:rsid w:val="000E64CB"/>
    <w:rsid w:val="000E691D"/>
    <w:rsid w:val="000E704D"/>
    <w:rsid w:val="000E722C"/>
    <w:rsid w:val="000E7333"/>
    <w:rsid w:val="000E755B"/>
    <w:rsid w:val="000E786F"/>
    <w:rsid w:val="000E7DA7"/>
    <w:rsid w:val="000E7FA0"/>
    <w:rsid w:val="000F00BA"/>
    <w:rsid w:val="000F02F8"/>
    <w:rsid w:val="000F0409"/>
    <w:rsid w:val="000F049F"/>
    <w:rsid w:val="000F0642"/>
    <w:rsid w:val="000F06E5"/>
    <w:rsid w:val="000F07C5"/>
    <w:rsid w:val="000F07E4"/>
    <w:rsid w:val="000F07FA"/>
    <w:rsid w:val="000F0B5E"/>
    <w:rsid w:val="000F1D43"/>
    <w:rsid w:val="000F1FFF"/>
    <w:rsid w:val="000F20AA"/>
    <w:rsid w:val="000F21BF"/>
    <w:rsid w:val="000F2651"/>
    <w:rsid w:val="000F29F9"/>
    <w:rsid w:val="000F348D"/>
    <w:rsid w:val="000F364F"/>
    <w:rsid w:val="000F369A"/>
    <w:rsid w:val="000F4463"/>
    <w:rsid w:val="000F4AB0"/>
    <w:rsid w:val="000F4E1A"/>
    <w:rsid w:val="000F5285"/>
    <w:rsid w:val="000F52E0"/>
    <w:rsid w:val="000F53A9"/>
    <w:rsid w:val="000F5C0E"/>
    <w:rsid w:val="000F5C9F"/>
    <w:rsid w:val="000F5E37"/>
    <w:rsid w:val="000F6464"/>
    <w:rsid w:val="000F6628"/>
    <w:rsid w:val="000F6C25"/>
    <w:rsid w:val="000F6EEB"/>
    <w:rsid w:val="000F76EB"/>
    <w:rsid w:val="000F78AE"/>
    <w:rsid w:val="000F78B0"/>
    <w:rsid w:val="000F7E25"/>
    <w:rsid w:val="001007EE"/>
    <w:rsid w:val="00100DF0"/>
    <w:rsid w:val="00100F76"/>
    <w:rsid w:val="0010148E"/>
    <w:rsid w:val="0010253C"/>
    <w:rsid w:val="00102BD1"/>
    <w:rsid w:val="001033BF"/>
    <w:rsid w:val="001039BE"/>
    <w:rsid w:val="001040C6"/>
    <w:rsid w:val="00104447"/>
    <w:rsid w:val="0010453E"/>
    <w:rsid w:val="0010456D"/>
    <w:rsid w:val="001047E8"/>
    <w:rsid w:val="0010486A"/>
    <w:rsid w:val="00104986"/>
    <w:rsid w:val="0010503A"/>
    <w:rsid w:val="0010561C"/>
    <w:rsid w:val="00105B27"/>
    <w:rsid w:val="00105C0F"/>
    <w:rsid w:val="00105D39"/>
    <w:rsid w:val="00105E39"/>
    <w:rsid w:val="00106024"/>
    <w:rsid w:val="00106115"/>
    <w:rsid w:val="00106561"/>
    <w:rsid w:val="00106D63"/>
    <w:rsid w:val="001075F3"/>
    <w:rsid w:val="001075F9"/>
    <w:rsid w:val="00107750"/>
    <w:rsid w:val="0010776A"/>
    <w:rsid w:val="00107A01"/>
    <w:rsid w:val="00107C23"/>
    <w:rsid w:val="00107CAF"/>
    <w:rsid w:val="00107D8A"/>
    <w:rsid w:val="00110307"/>
    <w:rsid w:val="00110C7F"/>
    <w:rsid w:val="00110EE2"/>
    <w:rsid w:val="0011144E"/>
    <w:rsid w:val="00111521"/>
    <w:rsid w:val="00111A47"/>
    <w:rsid w:val="00111A72"/>
    <w:rsid w:val="00111A88"/>
    <w:rsid w:val="0011221A"/>
    <w:rsid w:val="00112559"/>
    <w:rsid w:val="00112AF9"/>
    <w:rsid w:val="00112B3D"/>
    <w:rsid w:val="0011318A"/>
    <w:rsid w:val="00113283"/>
    <w:rsid w:val="001133FB"/>
    <w:rsid w:val="001137AE"/>
    <w:rsid w:val="00113B20"/>
    <w:rsid w:val="0011422B"/>
    <w:rsid w:val="001147B3"/>
    <w:rsid w:val="001148F7"/>
    <w:rsid w:val="001149B2"/>
    <w:rsid w:val="00114C2D"/>
    <w:rsid w:val="00114C56"/>
    <w:rsid w:val="00114F77"/>
    <w:rsid w:val="00115125"/>
    <w:rsid w:val="001152F2"/>
    <w:rsid w:val="001157D7"/>
    <w:rsid w:val="00115867"/>
    <w:rsid w:val="00116231"/>
    <w:rsid w:val="00116382"/>
    <w:rsid w:val="00116484"/>
    <w:rsid w:val="001166BC"/>
    <w:rsid w:val="0011670B"/>
    <w:rsid w:val="00116A3C"/>
    <w:rsid w:val="00116ACF"/>
    <w:rsid w:val="00116D5C"/>
    <w:rsid w:val="00116E1D"/>
    <w:rsid w:val="001172B2"/>
    <w:rsid w:val="001177FA"/>
    <w:rsid w:val="00117839"/>
    <w:rsid w:val="001178DF"/>
    <w:rsid w:val="0011795A"/>
    <w:rsid w:val="00117F9B"/>
    <w:rsid w:val="001206E5"/>
    <w:rsid w:val="00120D58"/>
    <w:rsid w:val="0012114F"/>
    <w:rsid w:val="00121211"/>
    <w:rsid w:val="00121231"/>
    <w:rsid w:val="00121628"/>
    <w:rsid w:val="0012167D"/>
    <w:rsid w:val="00121A3E"/>
    <w:rsid w:val="00121ED5"/>
    <w:rsid w:val="00122189"/>
    <w:rsid w:val="00122280"/>
    <w:rsid w:val="00122D42"/>
    <w:rsid w:val="00123334"/>
    <w:rsid w:val="00123345"/>
    <w:rsid w:val="0012334E"/>
    <w:rsid w:val="00123756"/>
    <w:rsid w:val="00123C46"/>
    <w:rsid w:val="00123EFB"/>
    <w:rsid w:val="00123FE4"/>
    <w:rsid w:val="001240E6"/>
    <w:rsid w:val="001246E7"/>
    <w:rsid w:val="0012470B"/>
    <w:rsid w:val="0012548F"/>
    <w:rsid w:val="00125C75"/>
    <w:rsid w:val="00125C7E"/>
    <w:rsid w:val="00125D0C"/>
    <w:rsid w:val="00125E27"/>
    <w:rsid w:val="00126059"/>
    <w:rsid w:val="001261F5"/>
    <w:rsid w:val="001262AF"/>
    <w:rsid w:val="00126624"/>
    <w:rsid w:val="00126B67"/>
    <w:rsid w:val="00127945"/>
    <w:rsid w:val="00127D94"/>
    <w:rsid w:val="00127E90"/>
    <w:rsid w:val="00127F1F"/>
    <w:rsid w:val="001302C1"/>
    <w:rsid w:val="00130634"/>
    <w:rsid w:val="001306D3"/>
    <w:rsid w:val="00130847"/>
    <w:rsid w:val="00130DAA"/>
    <w:rsid w:val="00130E47"/>
    <w:rsid w:val="00130E4F"/>
    <w:rsid w:val="001310BF"/>
    <w:rsid w:val="00131414"/>
    <w:rsid w:val="0013161A"/>
    <w:rsid w:val="00132057"/>
    <w:rsid w:val="001324D2"/>
    <w:rsid w:val="001328EC"/>
    <w:rsid w:val="00133272"/>
    <w:rsid w:val="0013372F"/>
    <w:rsid w:val="00133746"/>
    <w:rsid w:val="00133E73"/>
    <w:rsid w:val="00133EFB"/>
    <w:rsid w:val="00133FDB"/>
    <w:rsid w:val="00134F4A"/>
    <w:rsid w:val="0013548B"/>
    <w:rsid w:val="001355E8"/>
    <w:rsid w:val="0013560D"/>
    <w:rsid w:val="00135E4E"/>
    <w:rsid w:val="00136246"/>
    <w:rsid w:val="00136330"/>
    <w:rsid w:val="001364D4"/>
    <w:rsid w:val="00136C67"/>
    <w:rsid w:val="001371C8"/>
    <w:rsid w:val="0013724C"/>
    <w:rsid w:val="001372ED"/>
    <w:rsid w:val="001375BB"/>
    <w:rsid w:val="00137AD9"/>
    <w:rsid w:val="00137B2F"/>
    <w:rsid w:val="00137C25"/>
    <w:rsid w:val="00140CE4"/>
    <w:rsid w:val="00140F42"/>
    <w:rsid w:val="00140FEF"/>
    <w:rsid w:val="001410EB"/>
    <w:rsid w:val="001415DB"/>
    <w:rsid w:val="00141720"/>
    <w:rsid w:val="00142388"/>
    <w:rsid w:val="00142929"/>
    <w:rsid w:val="00142B50"/>
    <w:rsid w:val="00142D5A"/>
    <w:rsid w:val="0014308E"/>
    <w:rsid w:val="00143108"/>
    <w:rsid w:val="0014356E"/>
    <w:rsid w:val="00143873"/>
    <w:rsid w:val="001439E9"/>
    <w:rsid w:val="00143C55"/>
    <w:rsid w:val="00143E3F"/>
    <w:rsid w:val="00144C6F"/>
    <w:rsid w:val="00145089"/>
    <w:rsid w:val="001451E7"/>
    <w:rsid w:val="0014597A"/>
    <w:rsid w:val="001462E3"/>
    <w:rsid w:val="00146552"/>
    <w:rsid w:val="00146704"/>
    <w:rsid w:val="00147159"/>
    <w:rsid w:val="0014720C"/>
    <w:rsid w:val="001472C2"/>
    <w:rsid w:val="00147390"/>
    <w:rsid w:val="00147458"/>
    <w:rsid w:val="00147E21"/>
    <w:rsid w:val="0015019E"/>
    <w:rsid w:val="00150439"/>
    <w:rsid w:val="001508FA"/>
    <w:rsid w:val="00150B6C"/>
    <w:rsid w:val="00150BA8"/>
    <w:rsid w:val="00150CAF"/>
    <w:rsid w:val="00150D19"/>
    <w:rsid w:val="001513BB"/>
    <w:rsid w:val="0015181B"/>
    <w:rsid w:val="001518FA"/>
    <w:rsid w:val="00151A9F"/>
    <w:rsid w:val="00151E47"/>
    <w:rsid w:val="00151EAB"/>
    <w:rsid w:val="00151F9B"/>
    <w:rsid w:val="00152B87"/>
    <w:rsid w:val="00152B93"/>
    <w:rsid w:val="0015327A"/>
    <w:rsid w:val="001537A1"/>
    <w:rsid w:val="00153A3E"/>
    <w:rsid w:val="00153A96"/>
    <w:rsid w:val="00153ACE"/>
    <w:rsid w:val="00153D1C"/>
    <w:rsid w:val="001543E2"/>
    <w:rsid w:val="00154931"/>
    <w:rsid w:val="00154B06"/>
    <w:rsid w:val="00155185"/>
    <w:rsid w:val="001551BF"/>
    <w:rsid w:val="001559E0"/>
    <w:rsid w:val="00155B43"/>
    <w:rsid w:val="00155DFD"/>
    <w:rsid w:val="001565A2"/>
    <w:rsid w:val="001567C3"/>
    <w:rsid w:val="001567CE"/>
    <w:rsid w:val="00156A12"/>
    <w:rsid w:val="001573FF"/>
    <w:rsid w:val="00157B3F"/>
    <w:rsid w:val="00157B57"/>
    <w:rsid w:val="00157F8A"/>
    <w:rsid w:val="00160C3D"/>
    <w:rsid w:val="001614ED"/>
    <w:rsid w:val="0016152E"/>
    <w:rsid w:val="00161638"/>
    <w:rsid w:val="00161B24"/>
    <w:rsid w:val="00161C41"/>
    <w:rsid w:val="00161DD5"/>
    <w:rsid w:val="00161EF0"/>
    <w:rsid w:val="00162566"/>
    <w:rsid w:val="00162AA6"/>
    <w:rsid w:val="00162E8D"/>
    <w:rsid w:val="001633A4"/>
    <w:rsid w:val="0016345B"/>
    <w:rsid w:val="001634D6"/>
    <w:rsid w:val="001635BC"/>
    <w:rsid w:val="001639BC"/>
    <w:rsid w:val="001642F1"/>
    <w:rsid w:val="001648DD"/>
    <w:rsid w:val="001652C2"/>
    <w:rsid w:val="001653D0"/>
    <w:rsid w:val="00165705"/>
    <w:rsid w:val="001657C4"/>
    <w:rsid w:val="001657EC"/>
    <w:rsid w:val="00165AC4"/>
    <w:rsid w:val="00165CA7"/>
    <w:rsid w:val="00166389"/>
    <w:rsid w:val="0016645C"/>
    <w:rsid w:val="0016655F"/>
    <w:rsid w:val="0016682C"/>
    <w:rsid w:val="00166E03"/>
    <w:rsid w:val="0016712F"/>
    <w:rsid w:val="001672B0"/>
    <w:rsid w:val="00167465"/>
    <w:rsid w:val="0016749E"/>
    <w:rsid w:val="0016761B"/>
    <w:rsid w:val="0016772A"/>
    <w:rsid w:val="001679E3"/>
    <w:rsid w:val="00167A6A"/>
    <w:rsid w:val="00167E47"/>
    <w:rsid w:val="00167E4C"/>
    <w:rsid w:val="001704F5"/>
    <w:rsid w:val="00170768"/>
    <w:rsid w:val="00170C2B"/>
    <w:rsid w:val="00170F37"/>
    <w:rsid w:val="00171449"/>
    <w:rsid w:val="001714F3"/>
    <w:rsid w:val="0017154E"/>
    <w:rsid w:val="0017199C"/>
    <w:rsid w:val="00171C7E"/>
    <w:rsid w:val="00171F35"/>
    <w:rsid w:val="00172499"/>
    <w:rsid w:val="00172552"/>
    <w:rsid w:val="00172873"/>
    <w:rsid w:val="00172A9B"/>
    <w:rsid w:val="00172CF7"/>
    <w:rsid w:val="00172E4F"/>
    <w:rsid w:val="0017319E"/>
    <w:rsid w:val="001734AD"/>
    <w:rsid w:val="00173A1F"/>
    <w:rsid w:val="00173BC3"/>
    <w:rsid w:val="00174128"/>
    <w:rsid w:val="0017432A"/>
    <w:rsid w:val="001754D8"/>
    <w:rsid w:val="00175B89"/>
    <w:rsid w:val="00175C34"/>
    <w:rsid w:val="00175CEA"/>
    <w:rsid w:val="00175EFA"/>
    <w:rsid w:val="00175F53"/>
    <w:rsid w:val="00175F9A"/>
    <w:rsid w:val="001762FE"/>
    <w:rsid w:val="00176BBB"/>
    <w:rsid w:val="00176DD5"/>
    <w:rsid w:val="00176E98"/>
    <w:rsid w:val="00176F4B"/>
    <w:rsid w:val="00177297"/>
    <w:rsid w:val="001775ED"/>
    <w:rsid w:val="001778E3"/>
    <w:rsid w:val="00177996"/>
    <w:rsid w:val="00177B64"/>
    <w:rsid w:val="00177FD9"/>
    <w:rsid w:val="00180917"/>
    <w:rsid w:val="001809BD"/>
    <w:rsid w:val="00180B3F"/>
    <w:rsid w:val="00180BA4"/>
    <w:rsid w:val="00180C83"/>
    <w:rsid w:val="00180CE5"/>
    <w:rsid w:val="00180E89"/>
    <w:rsid w:val="00180F23"/>
    <w:rsid w:val="00180F84"/>
    <w:rsid w:val="001810B5"/>
    <w:rsid w:val="001813B3"/>
    <w:rsid w:val="001813F1"/>
    <w:rsid w:val="0018175B"/>
    <w:rsid w:val="001820A3"/>
    <w:rsid w:val="00182A8F"/>
    <w:rsid w:val="00182E8E"/>
    <w:rsid w:val="00183050"/>
    <w:rsid w:val="0018332A"/>
    <w:rsid w:val="00183ADF"/>
    <w:rsid w:val="00183D80"/>
    <w:rsid w:val="00183F48"/>
    <w:rsid w:val="001842C8"/>
    <w:rsid w:val="001848FD"/>
    <w:rsid w:val="00184957"/>
    <w:rsid w:val="00185044"/>
    <w:rsid w:val="001850DB"/>
    <w:rsid w:val="0018599C"/>
    <w:rsid w:val="001862E4"/>
    <w:rsid w:val="0018630D"/>
    <w:rsid w:val="001865E2"/>
    <w:rsid w:val="001869EE"/>
    <w:rsid w:val="00186B01"/>
    <w:rsid w:val="00186D00"/>
    <w:rsid w:val="00187038"/>
    <w:rsid w:val="001872FE"/>
    <w:rsid w:val="0018743A"/>
    <w:rsid w:val="00187948"/>
    <w:rsid w:val="001879ED"/>
    <w:rsid w:val="00187DC1"/>
    <w:rsid w:val="00187E64"/>
    <w:rsid w:val="00190279"/>
    <w:rsid w:val="00190525"/>
    <w:rsid w:val="00190624"/>
    <w:rsid w:val="00190760"/>
    <w:rsid w:val="00190885"/>
    <w:rsid w:val="00190A57"/>
    <w:rsid w:val="00190B3F"/>
    <w:rsid w:val="0019122C"/>
    <w:rsid w:val="001915C3"/>
    <w:rsid w:val="00191908"/>
    <w:rsid w:val="00191CE8"/>
    <w:rsid w:val="00192D81"/>
    <w:rsid w:val="00192DF3"/>
    <w:rsid w:val="0019301F"/>
    <w:rsid w:val="00193286"/>
    <w:rsid w:val="001937B8"/>
    <w:rsid w:val="00193D90"/>
    <w:rsid w:val="0019445B"/>
    <w:rsid w:val="00194557"/>
    <w:rsid w:val="00194608"/>
    <w:rsid w:val="00194BB7"/>
    <w:rsid w:val="00194CC5"/>
    <w:rsid w:val="00194CFC"/>
    <w:rsid w:val="00194E96"/>
    <w:rsid w:val="00195115"/>
    <w:rsid w:val="001951B2"/>
    <w:rsid w:val="00195320"/>
    <w:rsid w:val="0019565D"/>
    <w:rsid w:val="00195B5A"/>
    <w:rsid w:val="00195D83"/>
    <w:rsid w:val="00195E1E"/>
    <w:rsid w:val="00195FF3"/>
    <w:rsid w:val="00196B8B"/>
    <w:rsid w:val="00197564"/>
    <w:rsid w:val="00197EC2"/>
    <w:rsid w:val="00197ECE"/>
    <w:rsid w:val="00197FAB"/>
    <w:rsid w:val="001A0EB9"/>
    <w:rsid w:val="001A1CED"/>
    <w:rsid w:val="001A1F32"/>
    <w:rsid w:val="001A279B"/>
    <w:rsid w:val="001A28A4"/>
    <w:rsid w:val="001A2BF5"/>
    <w:rsid w:val="001A2DB1"/>
    <w:rsid w:val="001A2DC3"/>
    <w:rsid w:val="001A2E87"/>
    <w:rsid w:val="001A301A"/>
    <w:rsid w:val="001A301C"/>
    <w:rsid w:val="001A31A5"/>
    <w:rsid w:val="001A33CE"/>
    <w:rsid w:val="001A3869"/>
    <w:rsid w:val="001A38C2"/>
    <w:rsid w:val="001A3CB6"/>
    <w:rsid w:val="001A43F5"/>
    <w:rsid w:val="001A4EDA"/>
    <w:rsid w:val="001A53E4"/>
    <w:rsid w:val="001A5934"/>
    <w:rsid w:val="001A5ADC"/>
    <w:rsid w:val="001A61B4"/>
    <w:rsid w:val="001A65C8"/>
    <w:rsid w:val="001A682A"/>
    <w:rsid w:val="001A6A57"/>
    <w:rsid w:val="001A6CDB"/>
    <w:rsid w:val="001A732E"/>
    <w:rsid w:val="001A7F30"/>
    <w:rsid w:val="001B06E2"/>
    <w:rsid w:val="001B0A0E"/>
    <w:rsid w:val="001B0A3C"/>
    <w:rsid w:val="001B0CD0"/>
    <w:rsid w:val="001B0DD4"/>
    <w:rsid w:val="001B103A"/>
    <w:rsid w:val="001B103D"/>
    <w:rsid w:val="001B10B6"/>
    <w:rsid w:val="001B148F"/>
    <w:rsid w:val="001B1513"/>
    <w:rsid w:val="001B165E"/>
    <w:rsid w:val="001B1767"/>
    <w:rsid w:val="001B1DA2"/>
    <w:rsid w:val="001B1E01"/>
    <w:rsid w:val="001B1EDC"/>
    <w:rsid w:val="001B2453"/>
    <w:rsid w:val="001B3038"/>
    <w:rsid w:val="001B311C"/>
    <w:rsid w:val="001B34F3"/>
    <w:rsid w:val="001B383A"/>
    <w:rsid w:val="001B3890"/>
    <w:rsid w:val="001B3D48"/>
    <w:rsid w:val="001B3EB6"/>
    <w:rsid w:val="001B3EF0"/>
    <w:rsid w:val="001B4005"/>
    <w:rsid w:val="001B47E0"/>
    <w:rsid w:val="001B49B1"/>
    <w:rsid w:val="001B4B49"/>
    <w:rsid w:val="001B50AC"/>
    <w:rsid w:val="001B56C1"/>
    <w:rsid w:val="001B5738"/>
    <w:rsid w:val="001B5AF9"/>
    <w:rsid w:val="001B5D18"/>
    <w:rsid w:val="001B632F"/>
    <w:rsid w:val="001B6600"/>
    <w:rsid w:val="001B68A1"/>
    <w:rsid w:val="001B6A8B"/>
    <w:rsid w:val="001B6B9B"/>
    <w:rsid w:val="001B6C27"/>
    <w:rsid w:val="001B7144"/>
    <w:rsid w:val="001B7312"/>
    <w:rsid w:val="001B733A"/>
    <w:rsid w:val="001B77F3"/>
    <w:rsid w:val="001B788C"/>
    <w:rsid w:val="001B7A24"/>
    <w:rsid w:val="001B7CEF"/>
    <w:rsid w:val="001B7E91"/>
    <w:rsid w:val="001C01A0"/>
    <w:rsid w:val="001C04AA"/>
    <w:rsid w:val="001C0872"/>
    <w:rsid w:val="001C147E"/>
    <w:rsid w:val="001C151B"/>
    <w:rsid w:val="001C19E5"/>
    <w:rsid w:val="001C223C"/>
    <w:rsid w:val="001C374A"/>
    <w:rsid w:val="001C3800"/>
    <w:rsid w:val="001C3B83"/>
    <w:rsid w:val="001C3BB4"/>
    <w:rsid w:val="001C3C7B"/>
    <w:rsid w:val="001C4B9F"/>
    <w:rsid w:val="001C4EAC"/>
    <w:rsid w:val="001C4F69"/>
    <w:rsid w:val="001C4F6D"/>
    <w:rsid w:val="001C52CC"/>
    <w:rsid w:val="001C598A"/>
    <w:rsid w:val="001C6040"/>
    <w:rsid w:val="001C6122"/>
    <w:rsid w:val="001C6587"/>
    <w:rsid w:val="001C67CC"/>
    <w:rsid w:val="001C68C8"/>
    <w:rsid w:val="001C69BE"/>
    <w:rsid w:val="001C6DB5"/>
    <w:rsid w:val="001C71AC"/>
    <w:rsid w:val="001C7316"/>
    <w:rsid w:val="001C768B"/>
    <w:rsid w:val="001C7AFA"/>
    <w:rsid w:val="001C7E5C"/>
    <w:rsid w:val="001D00CC"/>
    <w:rsid w:val="001D01E0"/>
    <w:rsid w:val="001D02B8"/>
    <w:rsid w:val="001D0494"/>
    <w:rsid w:val="001D0744"/>
    <w:rsid w:val="001D07B7"/>
    <w:rsid w:val="001D0C4F"/>
    <w:rsid w:val="001D1719"/>
    <w:rsid w:val="001D171B"/>
    <w:rsid w:val="001D1732"/>
    <w:rsid w:val="001D19B4"/>
    <w:rsid w:val="001D1C2D"/>
    <w:rsid w:val="001D1C58"/>
    <w:rsid w:val="001D1CC9"/>
    <w:rsid w:val="001D1E2E"/>
    <w:rsid w:val="001D2203"/>
    <w:rsid w:val="001D255C"/>
    <w:rsid w:val="001D25B7"/>
    <w:rsid w:val="001D2C65"/>
    <w:rsid w:val="001D2DEF"/>
    <w:rsid w:val="001D30BB"/>
    <w:rsid w:val="001D31FC"/>
    <w:rsid w:val="001D32E6"/>
    <w:rsid w:val="001D3459"/>
    <w:rsid w:val="001D393E"/>
    <w:rsid w:val="001D3B81"/>
    <w:rsid w:val="001D3E67"/>
    <w:rsid w:val="001D44E6"/>
    <w:rsid w:val="001D488C"/>
    <w:rsid w:val="001D4CDF"/>
    <w:rsid w:val="001D4F88"/>
    <w:rsid w:val="001D578D"/>
    <w:rsid w:val="001D5818"/>
    <w:rsid w:val="001D5A42"/>
    <w:rsid w:val="001D6464"/>
    <w:rsid w:val="001D653A"/>
    <w:rsid w:val="001D6BF4"/>
    <w:rsid w:val="001D6D60"/>
    <w:rsid w:val="001D7341"/>
    <w:rsid w:val="001D73EF"/>
    <w:rsid w:val="001D793B"/>
    <w:rsid w:val="001D79AA"/>
    <w:rsid w:val="001D7DEE"/>
    <w:rsid w:val="001E02CB"/>
    <w:rsid w:val="001E0CC2"/>
    <w:rsid w:val="001E13B5"/>
    <w:rsid w:val="001E14FD"/>
    <w:rsid w:val="001E180F"/>
    <w:rsid w:val="001E1C64"/>
    <w:rsid w:val="001E1CEC"/>
    <w:rsid w:val="001E1D85"/>
    <w:rsid w:val="001E1DD8"/>
    <w:rsid w:val="001E1EB7"/>
    <w:rsid w:val="001E2556"/>
    <w:rsid w:val="001E2ECB"/>
    <w:rsid w:val="001E2F27"/>
    <w:rsid w:val="001E3EA3"/>
    <w:rsid w:val="001E4B64"/>
    <w:rsid w:val="001E4BEB"/>
    <w:rsid w:val="001E552A"/>
    <w:rsid w:val="001E57B9"/>
    <w:rsid w:val="001E58DD"/>
    <w:rsid w:val="001E5946"/>
    <w:rsid w:val="001E5E35"/>
    <w:rsid w:val="001E60F1"/>
    <w:rsid w:val="001E6224"/>
    <w:rsid w:val="001E632E"/>
    <w:rsid w:val="001E6755"/>
    <w:rsid w:val="001E6A32"/>
    <w:rsid w:val="001E6E8D"/>
    <w:rsid w:val="001E76D3"/>
    <w:rsid w:val="001E7869"/>
    <w:rsid w:val="001E7C25"/>
    <w:rsid w:val="001E7EE4"/>
    <w:rsid w:val="001E7F74"/>
    <w:rsid w:val="001E7F76"/>
    <w:rsid w:val="001F0035"/>
    <w:rsid w:val="001F0673"/>
    <w:rsid w:val="001F0FAF"/>
    <w:rsid w:val="001F139F"/>
    <w:rsid w:val="001F1CA4"/>
    <w:rsid w:val="001F202A"/>
    <w:rsid w:val="001F23D9"/>
    <w:rsid w:val="001F23E2"/>
    <w:rsid w:val="001F244E"/>
    <w:rsid w:val="001F25D6"/>
    <w:rsid w:val="001F2805"/>
    <w:rsid w:val="001F289B"/>
    <w:rsid w:val="001F2E79"/>
    <w:rsid w:val="001F2F07"/>
    <w:rsid w:val="001F3123"/>
    <w:rsid w:val="001F327C"/>
    <w:rsid w:val="001F376D"/>
    <w:rsid w:val="001F3E86"/>
    <w:rsid w:val="001F418C"/>
    <w:rsid w:val="001F4458"/>
    <w:rsid w:val="001F449E"/>
    <w:rsid w:val="001F48F1"/>
    <w:rsid w:val="001F4B2D"/>
    <w:rsid w:val="001F4BE9"/>
    <w:rsid w:val="001F4CB2"/>
    <w:rsid w:val="001F4DB4"/>
    <w:rsid w:val="001F4E63"/>
    <w:rsid w:val="001F4F40"/>
    <w:rsid w:val="001F50E0"/>
    <w:rsid w:val="001F5388"/>
    <w:rsid w:val="001F565D"/>
    <w:rsid w:val="001F594C"/>
    <w:rsid w:val="001F5C09"/>
    <w:rsid w:val="001F5C6E"/>
    <w:rsid w:val="001F646B"/>
    <w:rsid w:val="001F69ED"/>
    <w:rsid w:val="001F69FC"/>
    <w:rsid w:val="001F6AF6"/>
    <w:rsid w:val="001F6D62"/>
    <w:rsid w:val="001F7675"/>
    <w:rsid w:val="001F7EF5"/>
    <w:rsid w:val="001F7EF6"/>
    <w:rsid w:val="00200231"/>
    <w:rsid w:val="00200D72"/>
    <w:rsid w:val="00200DA1"/>
    <w:rsid w:val="00200FAE"/>
    <w:rsid w:val="0020102D"/>
    <w:rsid w:val="002010E2"/>
    <w:rsid w:val="0020114D"/>
    <w:rsid w:val="00201202"/>
    <w:rsid w:val="00201256"/>
    <w:rsid w:val="00201378"/>
    <w:rsid w:val="002019DE"/>
    <w:rsid w:val="00201B73"/>
    <w:rsid w:val="002022C0"/>
    <w:rsid w:val="00202517"/>
    <w:rsid w:val="0020270D"/>
    <w:rsid w:val="0020294C"/>
    <w:rsid w:val="00202ADB"/>
    <w:rsid w:val="00202BB7"/>
    <w:rsid w:val="00202D25"/>
    <w:rsid w:val="0020349E"/>
    <w:rsid w:val="002037C6"/>
    <w:rsid w:val="00203DF3"/>
    <w:rsid w:val="00203FAA"/>
    <w:rsid w:val="002041B3"/>
    <w:rsid w:val="0020435B"/>
    <w:rsid w:val="00204533"/>
    <w:rsid w:val="0020463C"/>
    <w:rsid w:val="002046A1"/>
    <w:rsid w:val="00204CAD"/>
    <w:rsid w:val="00204F2D"/>
    <w:rsid w:val="002050C9"/>
    <w:rsid w:val="00205566"/>
    <w:rsid w:val="00205578"/>
    <w:rsid w:val="00205689"/>
    <w:rsid w:val="002056D7"/>
    <w:rsid w:val="00205C65"/>
    <w:rsid w:val="00205EC7"/>
    <w:rsid w:val="00206169"/>
    <w:rsid w:val="002063AA"/>
    <w:rsid w:val="00206586"/>
    <w:rsid w:val="00206A83"/>
    <w:rsid w:val="00206ADA"/>
    <w:rsid w:val="00206D4B"/>
    <w:rsid w:val="002078FB"/>
    <w:rsid w:val="00210549"/>
    <w:rsid w:val="0021069E"/>
    <w:rsid w:val="00210804"/>
    <w:rsid w:val="0021088F"/>
    <w:rsid w:val="00210D3E"/>
    <w:rsid w:val="002111F5"/>
    <w:rsid w:val="00211314"/>
    <w:rsid w:val="002113FE"/>
    <w:rsid w:val="0021152B"/>
    <w:rsid w:val="00211737"/>
    <w:rsid w:val="0021181B"/>
    <w:rsid w:val="002122EA"/>
    <w:rsid w:val="0021230F"/>
    <w:rsid w:val="002125B0"/>
    <w:rsid w:val="002125F6"/>
    <w:rsid w:val="00212A82"/>
    <w:rsid w:val="00213469"/>
    <w:rsid w:val="00213756"/>
    <w:rsid w:val="00213763"/>
    <w:rsid w:val="00214EA2"/>
    <w:rsid w:val="00215413"/>
    <w:rsid w:val="002154C7"/>
    <w:rsid w:val="00215AFB"/>
    <w:rsid w:val="00215C8A"/>
    <w:rsid w:val="00215FA0"/>
    <w:rsid w:val="002160FA"/>
    <w:rsid w:val="00216478"/>
    <w:rsid w:val="002166DD"/>
    <w:rsid w:val="002168A2"/>
    <w:rsid w:val="00216DDC"/>
    <w:rsid w:val="00217510"/>
    <w:rsid w:val="00217867"/>
    <w:rsid w:val="002200DE"/>
    <w:rsid w:val="00220161"/>
    <w:rsid w:val="00220178"/>
    <w:rsid w:val="002205E4"/>
    <w:rsid w:val="002209C9"/>
    <w:rsid w:val="00220BC6"/>
    <w:rsid w:val="00220D67"/>
    <w:rsid w:val="00220DAC"/>
    <w:rsid w:val="00220F2A"/>
    <w:rsid w:val="002215F8"/>
    <w:rsid w:val="002218F9"/>
    <w:rsid w:val="00221D99"/>
    <w:rsid w:val="00221F80"/>
    <w:rsid w:val="0022273A"/>
    <w:rsid w:val="00222827"/>
    <w:rsid w:val="002228D2"/>
    <w:rsid w:val="00222A87"/>
    <w:rsid w:val="00222D28"/>
    <w:rsid w:val="00223013"/>
    <w:rsid w:val="00223366"/>
    <w:rsid w:val="002235C0"/>
    <w:rsid w:val="00223A13"/>
    <w:rsid w:val="00223CF4"/>
    <w:rsid w:val="00223DD5"/>
    <w:rsid w:val="0022417C"/>
    <w:rsid w:val="00224220"/>
    <w:rsid w:val="00224363"/>
    <w:rsid w:val="00224398"/>
    <w:rsid w:val="0022489A"/>
    <w:rsid w:val="00224A81"/>
    <w:rsid w:val="00224D97"/>
    <w:rsid w:val="00224E91"/>
    <w:rsid w:val="002255BE"/>
    <w:rsid w:val="002255D5"/>
    <w:rsid w:val="00225B4C"/>
    <w:rsid w:val="00225E1A"/>
    <w:rsid w:val="00225E1E"/>
    <w:rsid w:val="00225EC7"/>
    <w:rsid w:val="00226129"/>
    <w:rsid w:val="0022614D"/>
    <w:rsid w:val="002261F2"/>
    <w:rsid w:val="00226515"/>
    <w:rsid w:val="00226AA2"/>
    <w:rsid w:val="00227218"/>
    <w:rsid w:val="0022770A"/>
    <w:rsid w:val="00227BEE"/>
    <w:rsid w:val="00227C50"/>
    <w:rsid w:val="00227E09"/>
    <w:rsid w:val="00227FB4"/>
    <w:rsid w:val="0023057E"/>
    <w:rsid w:val="00230E57"/>
    <w:rsid w:val="002312BC"/>
    <w:rsid w:val="00231C51"/>
    <w:rsid w:val="00232191"/>
    <w:rsid w:val="002326F8"/>
    <w:rsid w:val="00232C59"/>
    <w:rsid w:val="002334E7"/>
    <w:rsid w:val="002335B5"/>
    <w:rsid w:val="00233684"/>
    <w:rsid w:val="00233785"/>
    <w:rsid w:val="002337E5"/>
    <w:rsid w:val="00233A56"/>
    <w:rsid w:val="00233C06"/>
    <w:rsid w:val="00233DF0"/>
    <w:rsid w:val="00233F24"/>
    <w:rsid w:val="00234BBB"/>
    <w:rsid w:val="00234ED1"/>
    <w:rsid w:val="00234F4C"/>
    <w:rsid w:val="002354FC"/>
    <w:rsid w:val="002356F4"/>
    <w:rsid w:val="00235E46"/>
    <w:rsid w:val="00235F02"/>
    <w:rsid w:val="002360E8"/>
    <w:rsid w:val="00236377"/>
    <w:rsid w:val="00236CCF"/>
    <w:rsid w:val="00236D28"/>
    <w:rsid w:val="00236FE9"/>
    <w:rsid w:val="00237553"/>
    <w:rsid w:val="00237FE4"/>
    <w:rsid w:val="002402EC"/>
    <w:rsid w:val="00240656"/>
    <w:rsid w:val="0024081F"/>
    <w:rsid w:val="00240905"/>
    <w:rsid w:val="00240908"/>
    <w:rsid w:val="00240F43"/>
    <w:rsid w:val="00241014"/>
    <w:rsid w:val="00241610"/>
    <w:rsid w:val="00241AB3"/>
    <w:rsid w:val="00241AED"/>
    <w:rsid w:val="00242692"/>
    <w:rsid w:val="00242819"/>
    <w:rsid w:val="00243182"/>
    <w:rsid w:val="00243517"/>
    <w:rsid w:val="0024376F"/>
    <w:rsid w:val="00243824"/>
    <w:rsid w:val="00243928"/>
    <w:rsid w:val="00243946"/>
    <w:rsid w:val="00243B80"/>
    <w:rsid w:val="00243BC5"/>
    <w:rsid w:val="00243C7D"/>
    <w:rsid w:val="00243E9A"/>
    <w:rsid w:val="00244371"/>
    <w:rsid w:val="00244AF8"/>
    <w:rsid w:val="00244BC5"/>
    <w:rsid w:val="00244E68"/>
    <w:rsid w:val="0024551E"/>
    <w:rsid w:val="002455FE"/>
    <w:rsid w:val="002456C5"/>
    <w:rsid w:val="002458FD"/>
    <w:rsid w:val="00245ABE"/>
    <w:rsid w:val="00245ADC"/>
    <w:rsid w:val="00245C0B"/>
    <w:rsid w:val="00245D58"/>
    <w:rsid w:val="0024610E"/>
    <w:rsid w:val="002466A8"/>
    <w:rsid w:val="00246700"/>
    <w:rsid w:val="00246E02"/>
    <w:rsid w:val="00246EAE"/>
    <w:rsid w:val="00246F91"/>
    <w:rsid w:val="00247116"/>
    <w:rsid w:val="002471E5"/>
    <w:rsid w:val="00247202"/>
    <w:rsid w:val="002473FE"/>
    <w:rsid w:val="00247408"/>
    <w:rsid w:val="0024760F"/>
    <w:rsid w:val="00247657"/>
    <w:rsid w:val="00250275"/>
    <w:rsid w:val="0025061B"/>
    <w:rsid w:val="00251443"/>
    <w:rsid w:val="002517A8"/>
    <w:rsid w:val="00251E86"/>
    <w:rsid w:val="00251EEE"/>
    <w:rsid w:val="00251FEF"/>
    <w:rsid w:val="002525D5"/>
    <w:rsid w:val="00252DA2"/>
    <w:rsid w:val="00252DFD"/>
    <w:rsid w:val="00252EAE"/>
    <w:rsid w:val="00253177"/>
    <w:rsid w:val="002538B8"/>
    <w:rsid w:val="0025396F"/>
    <w:rsid w:val="00254319"/>
    <w:rsid w:val="002544F7"/>
    <w:rsid w:val="002546CA"/>
    <w:rsid w:val="00254748"/>
    <w:rsid w:val="00254A8A"/>
    <w:rsid w:val="00254B6E"/>
    <w:rsid w:val="00254D4C"/>
    <w:rsid w:val="00255128"/>
    <w:rsid w:val="0025520C"/>
    <w:rsid w:val="0025539F"/>
    <w:rsid w:val="00255F19"/>
    <w:rsid w:val="00256105"/>
    <w:rsid w:val="00256388"/>
    <w:rsid w:val="00256617"/>
    <w:rsid w:val="002568F5"/>
    <w:rsid w:val="00256A07"/>
    <w:rsid w:val="00256AD2"/>
    <w:rsid w:val="00256E44"/>
    <w:rsid w:val="00257015"/>
    <w:rsid w:val="002579F3"/>
    <w:rsid w:val="00257A13"/>
    <w:rsid w:val="00257B03"/>
    <w:rsid w:val="00257D28"/>
    <w:rsid w:val="00260432"/>
    <w:rsid w:val="002605A4"/>
    <w:rsid w:val="002606DB"/>
    <w:rsid w:val="00260919"/>
    <w:rsid w:val="00260E7B"/>
    <w:rsid w:val="002612FD"/>
    <w:rsid w:val="00261310"/>
    <w:rsid w:val="002613DC"/>
    <w:rsid w:val="00261755"/>
    <w:rsid w:val="002619F4"/>
    <w:rsid w:val="00261AAA"/>
    <w:rsid w:val="00261AEC"/>
    <w:rsid w:val="00261ED1"/>
    <w:rsid w:val="00262097"/>
    <w:rsid w:val="00262A04"/>
    <w:rsid w:val="00262C90"/>
    <w:rsid w:val="00262D20"/>
    <w:rsid w:val="002634AB"/>
    <w:rsid w:val="002636A9"/>
    <w:rsid w:val="002638E0"/>
    <w:rsid w:val="00263C19"/>
    <w:rsid w:val="00263E9F"/>
    <w:rsid w:val="00264F03"/>
    <w:rsid w:val="00264F8F"/>
    <w:rsid w:val="002655AE"/>
    <w:rsid w:val="002658A5"/>
    <w:rsid w:val="0026591F"/>
    <w:rsid w:val="00265A65"/>
    <w:rsid w:val="00265ADB"/>
    <w:rsid w:val="002660F0"/>
    <w:rsid w:val="002661B8"/>
    <w:rsid w:val="002663FB"/>
    <w:rsid w:val="00266D04"/>
    <w:rsid w:val="002675B6"/>
    <w:rsid w:val="00267A99"/>
    <w:rsid w:val="00267DBF"/>
    <w:rsid w:val="00267EF1"/>
    <w:rsid w:val="00270271"/>
    <w:rsid w:val="00270603"/>
    <w:rsid w:val="00271350"/>
    <w:rsid w:val="00271C02"/>
    <w:rsid w:val="00272174"/>
    <w:rsid w:val="002721A6"/>
    <w:rsid w:val="002722E0"/>
    <w:rsid w:val="002726CB"/>
    <w:rsid w:val="00272ABB"/>
    <w:rsid w:val="00272B0F"/>
    <w:rsid w:val="002730EC"/>
    <w:rsid w:val="00273100"/>
    <w:rsid w:val="002735CC"/>
    <w:rsid w:val="00273A7C"/>
    <w:rsid w:val="00273C4C"/>
    <w:rsid w:val="00273CAC"/>
    <w:rsid w:val="00274007"/>
    <w:rsid w:val="00274588"/>
    <w:rsid w:val="00274A67"/>
    <w:rsid w:val="00274AA2"/>
    <w:rsid w:val="00274DA4"/>
    <w:rsid w:val="002756EF"/>
    <w:rsid w:val="00275708"/>
    <w:rsid w:val="00275B42"/>
    <w:rsid w:val="00275E0D"/>
    <w:rsid w:val="00276864"/>
    <w:rsid w:val="002768CF"/>
    <w:rsid w:val="00276F82"/>
    <w:rsid w:val="002772A5"/>
    <w:rsid w:val="0027769D"/>
    <w:rsid w:val="00280011"/>
    <w:rsid w:val="0028030A"/>
    <w:rsid w:val="002805DF"/>
    <w:rsid w:val="0028065F"/>
    <w:rsid w:val="0028092D"/>
    <w:rsid w:val="002815D9"/>
    <w:rsid w:val="00281628"/>
    <w:rsid w:val="00281B01"/>
    <w:rsid w:val="00281EF2"/>
    <w:rsid w:val="00282158"/>
    <w:rsid w:val="0028227C"/>
    <w:rsid w:val="00282317"/>
    <w:rsid w:val="00282870"/>
    <w:rsid w:val="00282AF4"/>
    <w:rsid w:val="00282B6F"/>
    <w:rsid w:val="00282D25"/>
    <w:rsid w:val="00282DF9"/>
    <w:rsid w:val="0028347D"/>
    <w:rsid w:val="00283A44"/>
    <w:rsid w:val="00283B01"/>
    <w:rsid w:val="0028411B"/>
    <w:rsid w:val="002843E7"/>
    <w:rsid w:val="00284A56"/>
    <w:rsid w:val="00284EAC"/>
    <w:rsid w:val="0028529F"/>
    <w:rsid w:val="002854A2"/>
    <w:rsid w:val="002855F5"/>
    <w:rsid w:val="00285687"/>
    <w:rsid w:val="00285CB6"/>
    <w:rsid w:val="00286D2F"/>
    <w:rsid w:val="002871B2"/>
    <w:rsid w:val="00287545"/>
    <w:rsid w:val="00287583"/>
    <w:rsid w:val="00287649"/>
    <w:rsid w:val="00287DAB"/>
    <w:rsid w:val="00287DD2"/>
    <w:rsid w:val="00287FB6"/>
    <w:rsid w:val="002900C5"/>
    <w:rsid w:val="002901E0"/>
    <w:rsid w:val="0029075B"/>
    <w:rsid w:val="00290823"/>
    <w:rsid w:val="00290BB1"/>
    <w:rsid w:val="00291472"/>
    <w:rsid w:val="002916FA"/>
    <w:rsid w:val="00291A5B"/>
    <w:rsid w:val="00291BC1"/>
    <w:rsid w:val="00291D9F"/>
    <w:rsid w:val="00291F8D"/>
    <w:rsid w:val="002922BB"/>
    <w:rsid w:val="0029233C"/>
    <w:rsid w:val="002925EA"/>
    <w:rsid w:val="00292E8E"/>
    <w:rsid w:val="00292F96"/>
    <w:rsid w:val="002930FF"/>
    <w:rsid w:val="00293351"/>
    <w:rsid w:val="002933CA"/>
    <w:rsid w:val="002936B1"/>
    <w:rsid w:val="002937AD"/>
    <w:rsid w:val="00293A8F"/>
    <w:rsid w:val="00293ABE"/>
    <w:rsid w:val="00293DD9"/>
    <w:rsid w:val="0029407C"/>
    <w:rsid w:val="002941D0"/>
    <w:rsid w:val="00294220"/>
    <w:rsid w:val="0029436C"/>
    <w:rsid w:val="00294EA5"/>
    <w:rsid w:val="00295155"/>
    <w:rsid w:val="00295702"/>
    <w:rsid w:val="00295D51"/>
    <w:rsid w:val="002960FD"/>
    <w:rsid w:val="00296203"/>
    <w:rsid w:val="00296428"/>
    <w:rsid w:val="0029643D"/>
    <w:rsid w:val="00296454"/>
    <w:rsid w:val="00296F6D"/>
    <w:rsid w:val="00296FBE"/>
    <w:rsid w:val="0029706A"/>
    <w:rsid w:val="0029717F"/>
    <w:rsid w:val="002972EE"/>
    <w:rsid w:val="00297925"/>
    <w:rsid w:val="00297958"/>
    <w:rsid w:val="00297F01"/>
    <w:rsid w:val="002A052D"/>
    <w:rsid w:val="002A0DF8"/>
    <w:rsid w:val="002A10F8"/>
    <w:rsid w:val="002A149F"/>
    <w:rsid w:val="002A16AA"/>
    <w:rsid w:val="002A1928"/>
    <w:rsid w:val="002A1F1F"/>
    <w:rsid w:val="002A21B5"/>
    <w:rsid w:val="002A2631"/>
    <w:rsid w:val="002A264C"/>
    <w:rsid w:val="002A2733"/>
    <w:rsid w:val="002A2A0C"/>
    <w:rsid w:val="002A2AC2"/>
    <w:rsid w:val="002A2BB6"/>
    <w:rsid w:val="002A3081"/>
    <w:rsid w:val="002A30E0"/>
    <w:rsid w:val="002A310C"/>
    <w:rsid w:val="002A3521"/>
    <w:rsid w:val="002A35C5"/>
    <w:rsid w:val="002A37E1"/>
    <w:rsid w:val="002A3B61"/>
    <w:rsid w:val="002A3EDC"/>
    <w:rsid w:val="002A402A"/>
    <w:rsid w:val="002A45AA"/>
    <w:rsid w:val="002A4917"/>
    <w:rsid w:val="002A4B0B"/>
    <w:rsid w:val="002A4B6F"/>
    <w:rsid w:val="002A4FFF"/>
    <w:rsid w:val="002A533C"/>
    <w:rsid w:val="002A53CF"/>
    <w:rsid w:val="002A56E1"/>
    <w:rsid w:val="002A59BD"/>
    <w:rsid w:val="002A5CF0"/>
    <w:rsid w:val="002A68C3"/>
    <w:rsid w:val="002A6C32"/>
    <w:rsid w:val="002A6DEF"/>
    <w:rsid w:val="002A75CA"/>
    <w:rsid w:val="002A77A6"/>
    <w:rsid w:val="002A7889"/>
    <w:rsid w:val="002A799A"/>
    <w:rsid w:val="002A7C71"/>
    <w:rsid w:val="002A7DC8"/>
    <w:rsid w:val="002B0550"/>
    <w:rsid w:val="002B05FE"/>
    <w:rsid w:val="002B097D"/>
    <w:rsid w:val="002B0CE9"/>
    <w:rsid w:val="002B0DC8"/>
    <w:rsid w:val="002B11B2"/>
    <w:rsid w:val="002B18F7"/>
    <w:rsid w:val="002B216D"/>
    <w:rsid w:val="002B223D"/>
    <w:rsid w:val="002B2B51"/>
    <w:rsid w:val="002B33A0"/>
    <w:rsid w:val="002B3AAE"/>
    <w:rsid w:val="002B3D41"/>
    <w:rsid w:val="002B3ED7"/>
    <w:rsid w:val="002B4778"/>
    <w:rsid w:val="002B4A83"/>
    <w:rsid w:val="002B55B0"/>
    <w:rsid w:val="002B59B4"/>
    <w:rsid w:val="002B5D7A"/>
    <w:rsid w:val="002B6432"/>
    <w:rsid w:val="002B6498"/>
    <w:rsid w:val="002B6F2A"/>
    <w:rsid w:val="002B6FFF"/>
    <w:rsid w:val="002B70F8"/>
    <w:rsid w:val="002B75B2"/>
    <w:rsid w:val="002B77BA"/>
    <w:rsid w:val="002B79B7"/>
    <w:rsid w:val="002B7A41"/>
    <w:rsid w:val="002B7C13"/>
    <w:rsid w:val="002B7EF1"/>
    <w:rsid w:val="002C141D"/>
    <w:rsid w:val="002C19C0"/>
    <w:rsid w:val="002C1B94"/>
    <w:rsid w:val="002C1D78"/>
    <w:rsid w:val="002C2485"/>
    <w:rsid w:val="002C25E0"/>
    <w:rsid w:val="002C2A2D"/>
    <w:rsid w:val="002C2A60"/>
    <w:rsid w:val="002C2C28"/>
    <w:rsid w:val="002C36C0"/>
    <w:rsid w:val="002C376F"/>
    <w:rsid w:val="002C3928"/>
    <w:rsid w:val="002C3B33"/>
    <w:rsid w:val="002C3BE5"/>
    <w:rsid w:val="002C3F4B"/>
    <w:rsid w:val="002C407B"/>
    <w:rsid w:val="002C4287"/>
    <w:rsid w:val="002C435E"/>
    <w:rsid w:val="002C43BB"/>
    <w:rsid w:val="002C44AB"/>
    <w:rsid w:val="002C4ABC"/>
    <w:rsid w:val="002C4EB4"/>
    <w:rsid w:val="002C500A"/>
    <w:rsid w:val="002C55D6"/>
    <w:rsid w:val="002C5791"/>
    <w:rsid w:val="002C5B08"/>
    <w:rsid w:val="002C5E39"/>
    <w:rsid w:val="002C5FA2"/>
    <w:rsid w:val="002C619E"/>
    <w:rsid w:val="002C6658"/>
    <w:rsid w:val="002C6723"/>
    <w:rsid w:val="002C6B34"/>
    <w:rsid w:val="002C6E1F"/>
    <w:rsid w:val="002C761F"/>
    <w:rsid w:val="002C7879"/>
    <w:rsid w:val="002C7A02"/>
    <w:rsid w:val="002C7B86"/>
    <w:rsid w:val="002C7B9F"/>
    <w:rsid w:val="002C7BD4"/>
    <w:rsid w:val="002D0107"/>
    <w:rsid w:val="002D038B"/>
    <w:rsid w:val="002D062E"/>
    <w:rsid w:val="002D0979"/>
    <w:rsid w:val="002D0D43"/>
    <w:rsid w:val="002D0F62"/>
    <w:rsid w:val="002D121F"/>
    <w:rsid w:val="002D12A4"/>
    <w:rsid w:val="002D15C2"/>
    <w:rsid w:val="002D17A3"/>
    <w:rsid w:val="002D18C2"/>
    <w:rsid w:val="002D18C8"/>
    <w:rsid w:val="002D1DA0"/>
    <w:rsid w:val="002D1F2C"/>
    <w:rsid w:val="002D215C"/>
    <w:rsid w:val="002D23E9"/>
    <w:rsid w:val="002D2B10"/>
    <w:rsid w:val="002D2BDB"/>
    <w:rsid w:val="002D2CF6"/>
    <w:rsid w:val="002D34A5"/>
    <w:rsid w:val="002D386A"/>
    <w:rsid w:val="002D4100"/>
    <w:rsid w:val="002D4578"/>
    <w:rsid w:val="002D46BA"/>
    <w:rsid w:val="002D4700"/>
    <w:rsid w:val="002D477F"/>
    <w:rsid w:val="002D4F48"/>
    <w:rsid w:val="002D519B"/>
    <w:rsid w:val="002D563F"/>
    <w:rsid w:val="002D6187"/>
    <w:rsid w:val="002D621E"/>
    <w:rsid w:val="002D66DA"/>
    <w:rsid w:val="002D688A"/>
    <w:rsid w:val="002D7027"/>
    <w:rsid w:val="002D70DC"/>
    <w:rsid w:val="002D748B"/>
    <w:rsid w:val="002D758B"/>
    <w:rsid w:val="002D7731"/>
    <w:rsid w:val="002D79BC"/>
    <w:rsid w:val="002D7B80"/>
    <w:rsid w:val="002D7E58"/>
    <w:rsid w:val="002E0027"/>
    <w:rsid w:val="002E01B3"/>
    <w:rsid w:val="002E040E"/>
    <w:rsid w:val="002E0520"/>
    <w:rsid w:val="002E07C9"/>
    <w:rsid w:val="002E0AF6"/>
    <w:rsid w:val="002E0B0E"/>
    <w:rsid w:val="002E0D31"/>
    <w:rsid w:val="002E0EFA"/>
    <w:rsid w:val="002E1073"/>
    <w:rsid w:val="002E10F2"/>
    <w:rsid w:val="002E12EC"/>
    <w:rsid w:val="002E146D"/>
    <w:rsid w:val="002E1621"/>
    <w:rsid w:val="002E1685"/>
    <w:rsid w:val="002E1803"/>
    <w:rsid w:val="002E1B6E"/>
    <w:rsid w:val="002E272B"/>
    <w:rsid w:val="002E29F8"/>
    <w:rsid w:val="002E2C52"/>
    <w:rsid w:val="002E2FF9"/>
    <w:rsid w:val="002E342B"/>
    <w:rsid w:val="002E36B3"/>
    <w:rsid w:val="002E390B"/>
    <w:rsid w:val="002E3A0E"/>
    <w:rsid w:val="002E3B81"/>
    <w:rsid w:val="002E3CBE"/>
    <w:rsid w:val="002E3CBF"/>
    <w:rsid w:val="002E3D08"/>
    <w:rsid w:val="002E3E1D"/>
    <w:rsid w:val="002E3EEA"/>
    <w:rsid w:val="002E4D08"/>
    <w:rsid w:val="002E4DA5"/>
    <w:rsid w:val="002E52B8"/>
    <w:rsid w:val="002E540E"/>
    <w:rsid w:val="002E5648"/>
    <w:rsid w:val="002E5DBF"/>
    <w:rsid w:val="002E5E01"/>
    <w:rsid w:val="002E60F5"/>
    <w:rsid w:val="002E6362"/>
    <w:rsid w:val="002E6536"/>
    <w:rsid w:val="002E69F5"/>
    <w:rsid w:val="002E6ADD"/>
    <w:rsid w:val="002E6CAA"/>
    <w:rsid w:val="002E73EC"/>
    <w:rsid w:val="002E7808"/>
    <w:rsid w:val="002E7B4E"/>
    <w:rsid w:val="002E7C34"/>
    <w:rsid w:val="002F023D"/>
    <w:rsid w:val="002F05BD"/>
    <w:rsid w:val="002F100E"/>
    <w:rsid w:val="002F10EC"/>
    <w:rsid w:val="002F1136"/>
    <w:rsid w:val="002F1231"/>
    <w:rsid w:val="002F1521"/>
    <w:rsid w:val="002F15EE"/>
    <w:rsid w:val="002F1B62"/>
    <w:rsid w:val="002F1C3E"/>
    <w:rsid w:val="002F1E4D"/>
    <w:rsid w:val="002F2290"/>
    <w:rsid w:val="002F235A"/>
    <w:rsid w:val="002F26CC"/>
    <w:rsid w:val="002F2B79"/>
    <w:rsid w:val="002F2E1B"/>
    <w:rsid w:val="002F2E56"/>
    <w:rsid w:val="002F349F"/>
    <w:rsid w:val="002F352C"/>
    <w:rsid w:val="002F3632"/>
    <w:rsid w:val="002F381F"/>
    <w:rsid w:val="002F3AFB"/>
    <w:rsid w:val="002F3C41"/>
    <w:rsid w:val="002F3DA1"/>
    <w:rsid w:val="002F493E"/>
    <w:rsid w:val="002F4B63"/>
    <w:rsid w:val="002F4C8E"/>
    <w:rsid w:val="002F4EAB"/>
    <w:rsid w:val="002F5076"/>
    <w:rsid w:val="002F512B"/>
    <w:rsid w:val="002F5837"/>
    <w:rsid w:val="002F5839"/>
    <w:rsid w:val="002F5870"/>
    <w:rsid w:val="002F64D9"/>
    <w:rsid w:val="002F651D"/>
    <w:rsid w:val="002F6648"/>
    <w:rsid w:val="002F6885"/>
    <w:rsid w:val="002F6D66"/>
    <w:rsid w:val="002F6D9A"/>
    <w:rsid w:val="002F6E44"/>
    <w:rsid w:val="002F74FD"/>
    <w:rsid w:val="002F787B"/>
    <w:rsid w:val="002F7974"/>
    <w:rsid w:val="002F7988"/>
    <w:rsid w:val="002F7BF8"/>
    <w:rsid w:val="002F7D01"/>
    <w:rsid w:val="0030005C"/>
    <w:rsid w:val="00300369"/>
    <w:rsid w:val="00300487"/>
    <w:rsid w:val="00300CC5"/>
    <w:rsid w:val="003016C7"/>
    <w:rsid w:val="00301A40"/>
    <w:rsid w:val="00301D0A"/>
    <w:rsid w:val="003027B8"/>
    <w:rsid w:val="0030293F"/>
    <w:rsid w:val="00302947"/>
    <w:rsid w:val="00302C50"/>
    <w:rsid w:val="003031C2"/>
    <w:rsid w:val="0030324C"/>
    <w:rsid w:val="00303861"/>
    <w:rsid w:val="003038F0"/>
    <w:rsid w:val="00304DFA"/>
    <w:rsid w:val="00304FFF"/>
    <w:rsid w:val="00305557"/>
    <w:rsid w:val="0030561F"/>
    <w:rsid w:val="00305ADB"/>
    <w:rsid w:val="00305CA3"/>
    <w:rsid w:val="003063A8"/>
    <w:rsid w:val="0030670C"/>
    <w:rsid w:val="00306E5C"/>
    <w:rsid w:val="003072E0"/>
    <w:rsid w:val="003075FD"/>
    <w:rsid w:val="00307C19"/>
    <w:rsid w:val="00310229"/>
    <w:rsid w:val="00310732"/>
    <w:rsid w:val="00310BC9"/>
    <w:rsid w:val="00310D27"/>
    <w:rsid w:val="00311329"/>
    <w:rsid w:val="003114E4"/>
    <w:rsid w:val="003115EB"/>
    <w:rsid w:val="00311762"/>
    <w:rsid w:val="00311CF8"/>
    <w:rsid w:val="00311E98"/>
    <w:rsid w:val="00312215"/>
    <w:rsid w:val="0031249C"/>
    <w:rsid w:val="003125C3"/>
    <w:rsid w:val="0031262A"/>
    <w:rsid w:val="00312896"/>
    <w:rsid w:val="003130D6"/>
    <w:rsid w:val="00313EAC"/>
    <w:rsid w:val="003142F4"/>
    <w:rsid w:val="0031454E"/>
    <w:rsid w:val="003145FB"/>
    <w:rsid w:val="00315403"/>
    <w:rsid w:val="003155E4"/>
    <w:rsid w:val="00315688"/>
    <w:rsid w:val="0031611F"/>
    <w:rsid w:val="00316FAE"/>
    <w:rsid w:val="0031742D"/>
    <w:rsid w:val="00317820"/>
    <w:rsid w:val="00317A33"/>
    <w:rsid w:val="00320339"/>
    <w:rsid w:val="003204FA"/>
    <w:rsid w:val="00320506"/>
    <w:rsid w:val="00320804"/>
    <w:rsid w:val="003208D6"/>
    <w:rsid w:val="00320958"/>
    <w:rsid w:val="003209C6"/>
    <w:rsid w:val="003209F7"/>
    <w:rsid w:val="003209FE"/>
    <w:rsid w:val="00320BEF"/>
    <w:rsid w:val="00320EBC"/>
    <w:rsid w:val="0032108E"/>
    <w:rsid w:val="00321214"/>
    <w:rsid w:val="003213D5"/>
    <w:rsid w:val="003216A2"/>
    <w:rsid w:val="00321B83"/>
    <w:rsid w:val="00321B85"/>
    <w:rsid w:val="00321F6F"/>
    <w:rsid w:val="00323737"/>
    <w:rsid w:val="00323864"/>
    <w:rsid w:val="00323AD6"/>
    <w:rsid w:val="00323F27"/>
    <w:rsid w:val="00324000"/>
    <w:rsid w:val="003240D6"/>
    <w:rsid w:val="003241F8"/>
    <w:rsid w:val="00324251"/>
    <w:rsid w:val="003242EF"/>
    <w:rsid w:val="00324488"/>
    <w:rsid w:val="00324944"/>
    <w:rsid w:val="00324998"/>
    <w:rsid w:val="00324BBF"/>
    <w:rsid w:val="00324E8A"/>
    <w:rsid w:val="00325339"/>
    <w:rsid w:val="003255AA"/>
    <w:rsid w:val="00326419"/>
    <w:rsid w:val="00326441"/>
    <w:rsid w:val="0032695B"/>
    <w:rsid w:val="003301FC"/>
    <w:rsid w:val="00330EE3"/>
    <w:rsid w:val="00330FFD"/>
    <w:rsid w:val="00331213"/>
    <w:rsid w:val="003314B6"/>
    <w:rsid w:val="00331A20"/>
    <w:rsid w:val="00331CB5"/>
    <w:rsid w:val="00331E0C"/>
    <w:rsid w:val="00331E65"/>
    <w:rsid w:val="00332272"/>
    <w:rsid w:val="0033289C"/>
    <w:rsid w:val="00332AFD"/>
    <w:rsid w:val="00332ED1"/>
    <w:rsid w:val="00333107"/>
    <w:rsid w:val="0033343B"/>
    <w:rsid w:val="0033393C"/>
    <w:rsid w:val="003345C5"/>
    <w:rsid w:val="003349F3"/>
    <w:rsid w:val="00334B51"/>
    <w:rsid w:val="003357EE"/>
    <w:rsid w:val="0033586E"/>
    <w:rsid w:val="003359B0"/>
    <w:rsid w:val="00335A45"/>
    <w:rsid w:val="0033644E"/>
    <w:rsid w:val="003367E2"/>
    <w:rsid w:val="003369B7"/>
    <w:rsid w:val="00336E39"/>
    <w:rsid w:val="00336E64"/>
    <w:rsid w:val="00336EB8"/>
    <w:rsid w:val="00337126"/>
    <w:rsid w:val="00337368"/>
    <w:rsid w:val="003376EF"/>
    <w:rsid w:val="00337B4D"/>
    <w:rsid w:val="00337C7F"/>
    <w:rsid w:val="00340275"/>
    <w:rsid w:val="003407A9"/>
    <w:rsid w:val="00340913"/>
    <w:rsid w:val="00340BA3"/>
    <w:rsid w:val="00340BAF"/>
    <w:rsid w:val="00340C2B"/>
    <w:rsid w:val="00340F9A"/>
    <w:rsid w:val="00341018"/>
    <w:rsid w:val="00341723"/>
    <w:rsid w:val="0034197F"/>
    <w:rsid w:val="00341980"/>
    <w:rsid w:val="003420D9"/>
    <w:rsid w:val="0034231A"/>
    <w:rsid w:val="003423E0"/>
    <w:rsid w:val="00342691"/>
    <w:rsid w:val="0034301A"/>
    <w:rsid w:val="003434C2"/>
    <w:rsid w:val="00343554"/>
    <w:rsid w:val="00343620"/>
    <w:rsid w:val="00343BEB"/>
    <w:rsid w:val="00343D76"/>
    <w:rsid w:val="00344118"/>
    <w:rsid w:val="00344331"/>
    <w:rsid w:val="0034441D"/>
    <w:rsid w:val="00344A1F"/>
    <w:rsid w:val="00344DFD"/>
    <w:rsid w:val="00344FAA"/>
    <w:rsid w:val="003451D3"/>
    <w:rsid w:val="003452B3"/>
    <w:rsid w:val="003461F5"/>
    <w:rsid w:val="00346296"/>
    <w:rsid w:val="00346432"/>
    <w:rsid w:val="00346621"/>
    <w:rsid w:val="00346631"/>
    <w:rsid w:val="00346806"/>
    <w:rsid w:val="00346AAD"/>
    <w:rsid w:val="00346AF7"/>
    <w:rsid w:val="00346D96"/>
    <w:rsid w:val="0034736A"/>
    <w:rsid w:val="0034747C"/>
    <w:rsid w:val="003479C2"/>
    <w:rsid w:val="00347B6C"/>
    <w:rsid w:val="00347BC9"/>
    <w:rsid w:val="0035074E"/>
    <w:rsid w:val="00350B74"/>
    <w:rsid w:val="00350F57"/>
    <w:rsid w:val="0035129A"/>
    <w:rsid w:val="0035151C"/>
    <w:rsid w:val="00351D9F"/>
    <w:rsid w:val="00351F0F"/>
    <w:rsid w:val="00351F4F"/>
    <w:rsid w:val="00352254"/>
    <w:rsid w:val="003522A3"/>
    <w:rsid w:val="00352B71"/>
    <w:rsid w:val="00352CA1"/>
    <w:rsid w:val="00352DD1"/>
    <w:rsid w:val="00353801"/>
    <w:rsid w:val="00353929"/>
    <w:rsid w:val="00353DB8"/>
    <w:rsid w:val="00353F9E"/>
    <w:rsid w:val="003540D1"/>
    <w:rsid w:val="003545BF"/>
    <w:rsid w:val="00354754"/>
    <w:rsid w:val="003549BB"/>
    <w:rsid w:val="00354BEF"/>
    <w:rsid w:val="00354C74"/>
    <w:rsid w:val="0035586A"/>
    <w:rsid w:val="0035604C"/>
    <w:rsid w:val="0035611A"/>
    <w:rsid w:val="00356267"/>
    <w:rsid w:val="00356287"/>
    <w:rsid w:val="003564CF"/>
    <w:rsid w:val="00356672"/>
    <w:rsid w:val="003568EE"/>
    <w:rsid w:val="0035699C"/>
    <w:rsid w:val="003569D2"/>
    <w:rsid w:val="00356C3D"/>
    <w:rsid w:val="0035701B"/>
    <w:rsid w:val="003570AD"/>
    <w:rsid w:val="00357135"/>
    <w:rsid w:val="003574D4"/>
    <w:rsid w:val="00357BAF"/>
    <w:rsid w:val="00357E6C"/>
    <w:rsid w:val="00357E79"/>
    <w:rsid w:val="003604A9"/>
    <w:rsid w:val="00360B75"/>
    <w:rsid w:val="00360FAB"/>
    <w:rsid w:val="00361478"/>
    <w:rsid w:val="0036151C"/>
    <w:rsid w:val="00361A9B"/>
    <w:rsid w:val="00361BFA"/>
    <w:rsid w:val="003622B9"/>
    <w:rsid w:val="00362781"/>
    <w:rsid w:val="003629F3"/>
    <w:rsid w:val="00362CCF"/>
    <w:rsid w:val="0036311C"/>
    <w:rsid w:val="003631DB"/>
    <w:rsid w:val="00363262"/>
    <w:rsid w:val="003634C5"/>
    <w:rsid w:val="0036376A"/>
    <w:rsid w:val="00364316"/>
    <w:rsid w:val="00364524"/>
    <w:rsid w:val="00364801"/>
    <w:rsid w:val="0036513A"/>
    <w:rsid w:val="00365237"/>
    <w:rsid w:val="0036559C"/>
    <w:rsid w:val="0036581D"/>
    <w:rsid w:val="0036587E"/>
    <w:rsid w:val="003658F7"/>
    <w:rsid w:val="00365FE8"/>
    <w:rsid w:val="003660CD"/>
    <w:rsid w:val="003663AB"/>
    <w:rsid w:val="00366AC2"/>
    <w:rsid w:val="00366B08"/>
    <w:rsid w:val="00367496"/>
    <w:rsid w:val="003678BE"/>
    <w:rsid w:val="00367C7C"/>
    <w:rsid w:val="003700F8"/>
    <w:rsid w:val="0037053C"/>
    <w:rsid w:val="00370949"/>
    <w:rsid w:val="00370AC2"/>
    <w:rsid w:val="00370D68"/>
    <w:rsid w:val="003715EA"/>
    <w:rsid w:val="00371C87"/>
    <w:rsid w:val="00371E15"/>
    <w:rsid w:val="00371F9C"/>
    <w:rsid w:val="00372016"/>
    <w:rsid w:val="00372344"/>
    <w:rsid w:val="0037243B"/>
    <w:rsid w:val="0037251C"/>
    <w:rsid w:val="0037272C"/>
    <w:rsid w:val="0037291B"/>
    <w:rsid w:val="00372B9A"/>
    <w:rsid w:val="003731BF"/>
    <w:rsid w:val="003732BD"/>
    <w:rsid w:val="00373753"/>
    <w:rsid w:val="00373890"/>
    <w:rsid w:val="00373DEF"/>
    <w:rsid w:val="00373DFE"/>
    <w:rsid w:val="00374586"/>
    <w:rsid w:val="003745E8"/>
    <w:rsid w:val="00374EB9"/>
    <w:rsid w:val="003751B2"/>
    <w:rsid w:val="0037520A"/>
    <w:rsid w:val="00375287"/>
    <w:rsid w:val="003754E3"/>
    <w:rsid w:val="00375791"/>
    <w:rsid w:val="00375826"/>
    <w:rsid w:val="00375994"/>
    <w:rsid w:val="00375C59"/>
    <w:rsid w:val="00375D10"/>
    <w:rsid w:val="00375DC6"/>
    <w:rsid w:val="00375E05"/>
    <w:rsid w:val="00375E92"/>
    <w:rsid w:val="0037663F"/>
    <w:rsid w:val="00376BB7"/>
    <w:rsid w:val="00376EEE"/>
    <w:rsid w:val="00377049"/>
    <w:rsid w:val="0037762E"/>
    <w:rsid w:val="00377BA1"/>
    <w:rsid w:val="00377D6E"/>
    <w:rsid w:val="00377E71"/>
    <w:rsid w:val="00377F37"/>
    <w:rsid w:val="00377FF0"/>
    <w:rsid w:val="00380616"/>
    <w:rsid w:val="00380A92"/>
    <w:rsid w:val="00380A93"/>
    <w:rsid w:val="00380DF3"/>
    <w:rsid w:val="00381022"/>
    <w:rsid w:val="00381048"/>
    <w:rsid w:val="0038118C"/>
    <w:rsid w:val="003814B8"/>
    <w:rsid w:val="003817DA"/>
    <w:rsid w:val="00381D3F"/>
    <w:rsid w:val="00382048"/>
    <w:rsid w:val="00382369"/>
    <w:rsid w:val="003828B1"/>
    <w:rsid w:val="00382909"/>
    <w:rsid w:val="00382B3A"/>
    <w:rsid w:val="00382EE1"/>
    <w:rsid w:val="0038335A"/>
    <w:rsid w:val="00383B01"/>
    <w:rsid w:val="00383B0B"/>
    <w:rsid w:val="00384258"/>
    <w:rsid w:val="00384396"/>
    <w:rsid w:val="00384740"/>
    <w:rsid w:val="00384DB1"/>
    <w:rsid w:val="00385131"/>
    <w:rsid w:val="00385337"/>
    <w:rsid w:val="0038578A"/>
    <w:rsid w:val="003857CB"/>
    <w:rsid w:val="003858E9"/>
    <w:rsid w:val="00385B21"/>
    <w:rsid w:val="00385C04"/>
    <w:rsid w:val="00385E88"/>
    <w:rsid w:val="0038603F"/>
    <w:rsid w:val="0038620B"/>
    <w:rsid w:val="00386615"/>
    <w:rsid w:val="00386A0D"/>
    <w:rsid w:val="00386BEB"/>
    <w:rsid w:val="00387364"/>
    <w:rsid w:val="0038752C"/>
    <w:rsid w:val="00387530"/>
    <w:rsid w:val="003875BB"/>
    <w:rsid w:val="00387647"/>
    <w:rsid w:val="0038791A"/>
    <w:rsid w:val="00390056"/>
    <w:rsid w:val="0039051E"/>
    <w:rsid w:val="0039055C"/>
    <w:rsid w:val="00390707"/>
    <w:rsid w:val="00390718"/>
    <w:rsid w:val="00390767"/>
    <w:rsid w:val="00390883"/>
    <w:rsid w:val="00390C94"/>
    <w:rsid w:val="00391470"/>
    <w:rsid w:val="003920C4"/>
    <w:rsid w:val="00392184"/>
    <w:rsid w:val="00392652"/>
    <w:rsid w:val="003929D9"/>
    <w:rsid w:val="00392B41"/>
    <w:rsid w:val="00392D0A"/>
    <w:rsid w:val="0039305C"/>
    <w:rsid w:val="00393248"/>
    <w:rsid w:val="003939F1"/>
    <w:rsid w:val="00393F7B"/>
    <w:rsid w:val="0039456F"/>
    <w:rsid w:val="003945C8"/>
    <w:rsid w:val="003947A3"/>
    <w:rsid w:val="0039480D"/>
    <w:rsid w:val="00394972"/>
    <w:rsid w:val="00394F8D"/>
    <w:rsid w:val="00395374"/>
    <w:rsid w:val="00395446"/>
    <w:rsid w:val="003955D1"/>
    <w:rsid w:val="00395F13"/>
    <w:rsid w:val="00396220"/>
    <w:rsid w:val="00396725"/>
    <w:rsid w:val="00396805"/>
    <w:rsid w:val="00396AC3"/>
    <w:rsid w:val="0039749C"/>
    <w:rsid w:val="00397A28"/>
    <w:rsid w:val="00397C74"/>
    <w:rsid w:val="00397E94"/>
    <w:rsid w:val="00397F05"/>
    <w:rsid w:val="003A0442"/>
    <w:rsid w:val="003A0899"/>
    <w:rsid w:val="003A0C20"/>
    <w:rsid w:val="003A0CFF"/>
    <w:rsid w:val="003A0E45"/>
    <w:rsid w:val="003A141B"/>
    <w:rsid w:val="003A1512"/>
    <w:rsid w:val="003A1DD8"/>
    <w:rsid w:val="003A1EB7"/>
    <w:rsid w:val="003A1F25"/>
    <w:rsid w:val="003A23F3"/>
    <w:rsid w:val="003A2D82"/>
    <w:rsid w:val="003A2FC7"/>
    <w:rsid w:val="003A308F"/>
    <w:rsid w:val="003A337C"/>
    <w:rsid w:val="003A3509"/>
    <w:rsid w:val="003A36DA"/>
    <w:rsid w:val="003A38F1"/>
    <w:rsid w:val="003A3D1B"/>
    <w:rsid w:val="003A3F39"/>
    <w:rsid w:val="003A4296"/>
    <w:rsid w:val="003A436D"/>
    <w:rsid w:val="003A4549"/>
    <w:rsid w:val="003A49B3"/>
    <w:rsid w:val="003A4B45"/>
    <w:rsid w:val="003A4B48"/>
    <w:rsid w:val="003A4D40"/>
    <w:rsid w:val="003A5449"/>
    <w:rsid w:val="003A54AB"/>
    <w:rsid w:val="003A55B4"/>
    <w:rsid w:val="003A58E1"/>
    <w:rsid w:val="003A6044"/>
    <w:rsid w:val="003A60D2"/>
    <w:rsid w:val="003A61B6"/>
    <w:rsid w:val="003A623F"/>
    <w:rsid w:val="003A6313"/>
    <w:rsid w:val="003A6325"/>
    <w:rsid w:val="003A71AD"/>
    <w:rsid w:val="003A73E4"/>
    <w:rsid w:val="003A7775"/>
    <w:rsid w:val="003A7D1D"/>
    <w:rsid w:val="003B03F1"/>
    <w:rsid w:val="003B0C04"/>
    <w:rsid w:val="003B0C63"/>
    <w:rsid w:val="003B1688"/>
    <w:rsid w:val="003B17DE"/>
    <w:rsid w:val="003B1820"/>
    <w:rsid w:val="003B1B00"/>
    <w:rsid w:val="003B1FA4"/>
    <w:rsid w:val="003B1FE6"/>
    <w:rsid w:val="003B2214"/>
    <w:rsid w:val="003B243C"/>
    <w:rsid w:val="003B25BF"/>
    <w:rsid w:val="003B2A88"/>
    <w:rsid w:val="003B2D8C"/>
    <w:rsid w:val="003B3106"/>
    <w:rsid w:val="003B326E"/>
    <w:rsid w:val="003B3974"/>
    <w:rsid w:val="003B39E0"/>
    <w:rsid w:val="003B3DAB"/>
    <w:rsid w:val="003B3FE2"/>
    <w:rsid w:val="003B404D"/>
    <w:rsid w:val="003B49C7"/>
    <w:rsid w:val="003B4B34"/>
    <w:rsid w:val="003B4CDA"/>
    <w:rsid w:val="003B4F2D"/>
    <w:rsid w:val="003B5936"/>
    <w:rsid w:val="003B5BD9"/>
    <w:rsid w:val="003B5E24"/>
    <w:rsid w:val="003B64A3"/>
    <w:rsid w:val="003B6BEB"/>
    <w:rsid w:val="003B6DB8"/>
    <w:rsid w:val="003B6DF7"/>
    <w:rsid w:val="003B705F"/>
    <w:rsid w:val="003B72B9"/>
    <w:rsid w:val="003B7769"/>
    <w:rsid w:val="003C0875"/>
    <w:rsid w:val="003C0887"/>
    <w:rsid w:val="003C08AF"/>
    <w:rsid w:val="003C0D51"/>
    <w:rsid w:val="003C1559"/>
    <w:rsid w:val="003C16C8"/>
    <w:rsid w:val="003C1BBA"/>
    <w:rsid w:val="003C1FCD"/>
    <w:rsid w:val="003C2440"/>
    <w:rsid w:val="003C2A18"/>
    <w:rsid w:val="003C2EDD"/>
    <w:rsid w:val="003C3185"/>
    <w:rsid w:val="003C3220"/>
    <w:rsid w:val="003C374B"/>
    <w:rsid w:val="003C386F"/>
    <w:rsid w:val="003C3A47"/>
    <w:rsid w:val="003C3A79"/>
    <w:rsid w:val="003C3C74"/>
    <w:rsid w:val="003C46A4"/>
    <w:rsid w:val="003C48F2"/>
    <w:rsid w:val="003C4C65"/>
    <w:rsid w:val="003C4E30"/>
    <w:rsid w:val="003C5177"/>
    <w:rsid w:val="003C52B0"/>
    <w:rsid w:val="003C574D"/>
    <w:rsid w:val="003C5911"/>
    <w:rsid w:val="003C5CDB"/>
    <w:rsid w:val="003C60C4"/>
    <w:rsid w:val="003C6118"/>
    <w:rsid w:val="003C61FF"/>
    <w:rsid w:val="003C6465"/>
    <w:rsid w:val="003C65E4"/>
    <w:rsid w:val="003C6772"/>
    <w:rsid w:val="003C73FE"/>
    <w:rsid w:val="003C752F"/>
    <w:rsid w:val="003C7712"/>
    <w:rsid w:val="003C776E"/>
    <w:rsid w:val="003C7862"/>
    <w:rsid w:val="003C7E28"/>
    <w:rsid w:val="003C7EA7"/>
    <w:rsid w:val="003C7ECD"/>
    <w:rsid w:val="003D007D"/>
    <w:rsid w:val="003D01A1"/>
    <w:rsid w:val="003D04D6"/>
    <w:rsid w:val="003D04F6"/>
    <w:rsid w:val="003D0542"/>
    <w:rsid w:val="003D0B66"/>
    <w:rsid w:val="003D12DB"/>
    <w:rsid w:val="003D18CC"/>
    <w:rsid w:val="003D2725"/>
    <w:rsid w:val="003D28CA"/>
    <w:rsid w:val="003D3337"/>
    <w:rsid w:val="003D3583"/>
    <w:rsid w:val="003D3791"/>
    <w:rsid w:val="003D391E"/>
    <w:rsid w:val="003D3B6F"/>
    <w:rsid w:val="003D40E8"/>
    <w:rsid w:val="003D4390"/>
    <w:rsid w:val="003D455E"/>
    <w:rsid w:val="003D4E0F"/>
    <w:rsid w:val="003D5785"/>
    <w:rsid w:val="003D5832"/>
    <w:rsid w:val="003D5A2D"/>
    <w:rsid w:val="003D5A9D"/>
    <w:rsid w:val="003D5AB9"/>
    <w:rsid w:val="003D5E37"/>
    <w:rsid w:val="003D6069"/>
    <w:rsid w:val="003D6139"/>
    <w:rsid w:val="003D62C0"/>
    <w:rsid w:val="003D65F6"/>
    <w:rsid w:val="003D68A1"/>
    <w:rsid w:val="003D6911"/>
    <w:rsid w:val="003D6AD6"/>
    <w:rsid w:val="003D6AED"/>
    <w:rsid w:val="003D7AAB"/>
    <w:rsid w:val="003D7E4B"/>
    <w:rsid w:val="003D7E60"/>
    <w:rsid w:val="003E0035"/>
    <w:rsid w:val="003E0558"/>
    <w:rsid w:val="003E092D"/>
    <w:rsid w:val="003E0C14"/>
    <w:rsid w:val="003E0C4D"/>
    <w:rsid w:val="003E0D6F"/>
    <w:rsid w:val="003E1591"/>
    <w:rsid w:val="003E1883"/>
    <w:rsid w:val="003E1ACF"/>
    <w:rsid w:val="003E216C"/>
    <w:rsid w:val="003E236E"/>
    <w:rsid w:val="003E259D"/>
    <w:rsid w:val="003E26BA"/>
    <w:rsid w:val="003E2780"/>
    <w:rsid w:val="003E27E8"/>
    <w:rsid w:val="003E2906"/>
    <w:rsid w:val="003E2969"/>
    <w:rsid w:val="003E2C1A"/>
    <w:rsid w:val="003E2FB6"/>
    <w:rsid w:val="003E2FF9"/>
    <w:rsid w:val="003E303A"/>
    <w:rsid w:val="003E330F"/>
    <w:rsid w:val="003E3478"/>
    <w:rsid w:val="003E383B"/>
    <w:rsid w:val="003E49EA"/>
    <w:rsid w:val="003E4E73"/>
    <w:rsid w:val="003E4E74"/>
    <w:rsid w:val="003E574C"/>
    <w:rsid w:val="003E57C3"/>
    <w:rsid w:val="003E58AC"/>
    <w:rsid w:val="003E5BEA"/>
    <w:rsid w:val="003E5E63"/>
    <w:rsid w:val="003E5F7D"/>
    <w:rsid w:val="003E60D6"/>
    <w:rsid w:val="003E6520"/>
    <w:rsid w:val="003E67E7"/>
    <w:rsid w:val="003E6B25"/>
    <w:rsid w:val="003E6B3C"/>
    <w:rsid w:val="003E6B95"/>
    <w:rsid w:val="003E70FF"/>
    <w:rsid w:val="003E7918"/>
    <w:rsid w:val="003E7E17"/>
    <w:rsid w:val="003E7E9B"/>
    <w:rsid w:val="003E7F1B"/>
    <w:rsid w:val="003E7F6C"/>
    <w:rsid w:val="003F034F"/>
    <w:rsid w:val="003F0A06"/>
    <w:rsid w:val="003F0B41"/>
    <w:rsid w:val="003F1639"/>
    <w:rsid w:val="003F1CBF"/>
    <w:rsid w:val="003F1E39"/>
    <w:rsid w:val="003F229D"/>
    <w:rsid w:val="003F22B4"/>
    <w:rsid w:val="003F25F0"/>
    <w:rsid w:val="003F2863"/>
    <w:rsid w:val="003F2D5B"/>
    <w:rsid w:val="003F3110"/>
    <w:rsid w:val="003F3158"/>
    <w:rsid w:val="003F3EED"/>
    <w:rsid w:val="003F4E07"/>
    <w:rsid w:val="003F5083"/>
    <w:rsid w:val="003F55CD"/>
    <w:rsid w:val="003F582E"/>
    <w:rsid w:val="003F5AD2"/>
    <w:rsid w:val="003F5CA4"/>
    <w:rsid w:val="003F6115"/>
    <w:rsid w:val="003F6D50"/>
    <w:rsid w:val="003F6FFD"/>
    <w:rsid w:val="003F7006"/>
    <w:rsid w:val="003F7507"/>
    <w:rsid w:val="003F7928"/>
    <w:rsid w:val="003F7975"/>
    <w:rsid w:val="003F7C72"/>
    <w:rsid w:val="003F7D10"/>
    <w:rsid w:val="00400150"/>
    <w:rsid w:val="004001D4"/>
    <w:rsid w:val="00400253"/>
    <w:rsid w:val="00400A9F"/>
    <w:rsid w:val="00401000"/>
    <w:rsid w:val="00401061"/>
    <w:rsid w:val="00401685"/>
    <w:rsid w:val="004016C6"/>
    <w:rsid w:val="00401778"/>
    <w:rsid w:val="0040179A"/>
    <w:rsid w:val="00401856"/>
    <w:rsid w:val="00401B5E"/>
    <w:rsid w:val="00401DA0"/>
    <w:rsid w:val="00402560"/>
    <w:rsid w:val="004028A2"/>
    <w:rsid w:val="00402A24"/>
    <w:rsid w:val="00402FEB"/>
    <w:rsid w:val="00403254"/>
    <w:rsid w:val="00403344"/>
    <w:rsid w:val="004034D9"/>
    <w:rsid w:val="00403B80"/>
    <w:rsid w:val="00403C82"/>
    <w:rsid w:val="004043A7"/>
    <w:rsid w:val="00404C44"/>
    <w:rsid w:val="00404EE8"/>
    <w:rsid w:val="0040510D"/>
    <w:rsid w:val="0040512D"/>
    <w:rsid w:val="004053F4"/>
    <w:rsid w:val="0040602F"/>
    <w:rsid w:val="00406859"/>
    <w:rsid w:val="00406992"/>
    <w:rsid w:val="00406AFB"/>
    <w:rsid w:val="00406D1B"/>
    <w:rsid w:val="00407382"/>
    <w:rsid w:val="004076D2"/>
    <w:rsid w:val="0040791B"/>
    <w:rsid w:val="004105A9"/>
    <w:rsid w:val="00410704"/>
    <w:rsid w:val="00410E35"/>
    <w:rsid w:val="00411958"/>
    <w:rsid w:val="00411A47"/>
    <w:rsid w:val="00411B2A"/>
    <w:rsid w:val="00412213"/>
    <w:rsid w:val="004124D2"/>
    <w:rsid w:val="00412973"/>
    <w:rsid w:val="00412A41"/>
    <w:rsid w:val="00412D42"/>
    <w:rsid w:val="00412D5B"/>
    <w:rsid w:val="00412DA4"/>
    <w:rsid w:val="00412EB6"/>
    <w:rsid w:val="0041335B"/>
    <w:rsid w:val="0041351F"/>
    <w:rsid w:val="004137C8"/>
    <w:rsid w:val="00413ADE"/>
    <w:rsid w:val="00413BB5"/>
    <w:rsid w:val="00413BF9"/>
    <w:rsid w:val="00413C25"/>
    <w:rsid w:val="00413CED"/>
    <w:rsid w:val="004142B8"/>
    <w:rsid w:val="004147DE"/>
    <w:rsid w:val="00414FC5"/>
    <w:rsid w:val="00415531"/>
    <w:rsid w:val="004159E0"/>
    <w:rsid w:val="004162A9"/>
    <w:rsid w:val="00416330"/>
    <w:rsid w:val="00417173"/>
    <w:rsid w:val="0041752E"/>
    <w:rsid w:val="004176C7"/>
    <w:rsid w:val="00417877"/>
    <w:rsid w:val="00417D9F"/>
    <w:rsid w:val="00420229"/>
    <w:rsid w:val="00420635"/>
    <w:rsid w:val="0042096C"/>
    <w:rsid w:val="00420DAE"/>
    <w:rsid w:val="00420DBA"/>
    <w:rsid w:val="00420DFD"/>
    <w:rsid w:val="00421311"/>
    <w:rsid w:val="00421349"/>
    <w:rsid w:val="00421E7E"/>
    <w:rsid w:val="00422A8D"/>
    <w:rsid w:val="00422E13"/>
    <w:rsid w:val="00422E23"/>
    <w:rsid w:val="004234C2"/>
    <w:rsid w:val="0042350F"/>
    <w:rsid w:val="00423599"/>
    <w:rsid w:val="004236D1"/>
    <w:rsid w:val="0042384C"/>
    <w:rsid w:val="00423893"/>
    <w:rsid w:val="00423BC9"/>
    <w:rsid w:val="00424326"/>
    <w:rsid w:val="00424478"/>
    <w:rsid w:val="004248D4"/>
    <w:rsid w:val="00424A9D"/>
    <w:rsid w:val="00425162"/>
    <w:rsid w:val="004255B4"/>
    <w:rsid w:val="00425C73"/>
    <w:rsid w:val="00426766"/>
    <w:rsid w:val="004267D0"/>
    <w:rsid w:val="00427275"/>
    <w:rsid w:val="004273AC"/>
    <w:rsid w:val="004279CA"/>
    <w:rsid w:val="00427A82"/>
    <w:rsid w:val="00427ADD"/>
    <w:rsid w:val="00427EA2"/>
    <w:rsid w:val="00427F8E"/>
    <w:rsid w:val="00430115"/>
    <w:rsid w:val="004303F4"/>
    <w:rsid w:val="00430A4B"/>
    <w:rsid w:val="00431422"/>
    <w:rsid w:val="00431ACD"/>
    <w:rsid w:val="00431C46"/>
    <w:rsid w:val="00431F42"/>
    <w:rsid w:val="004320D3"/>
    <w:rsid w:val="0043251F"/>
    <w:rsid w:val="004327E6"/>
    <w:rsid w:val="004329DC"/>
    <w:rsid w:val="00432AC6"/>
    <w:rsid w:val="00432BD4"/>
    <w:rsid w:val="00433021"/>
    <w:rsid w:val="0043346F"/>
    <w:rsid w:val="00433738"/>
    <w:rsid w:val="00433B56"/>
    <w:rsid w:val="00433D94"/>
    <w:rsid w:val="0043434B"/>
    <w:rsid w:val="004347E9"/>
    <w:rsid w:val="0043495B"/>
    <w:rsid w:val="00434C5E"/>
    <w:rsid w:val="0043558B"/>
    <w:rsid w:val="00435765"/>
    <w:rsid w:val="0043585A"/>
    <w:rsid w:val="004358DB"/>
    <w:rsid w:val="00435CC1"/>
    <w:rsid w:val="004360B6"/>
    <w:rsid w:val="004362E5"/>
    <w:rsid w:val="00436356"/>
    <w:rsid w:val="004363B1"/>
    <w:rsid w:val="00436B63"/>
    <w:rsid w:val="004373BF"/>
    <w:rsid w:val="0043761B"/>
    <w:rsid w:val="00437721"/>
    <w:rsid w:val="004379C0"/>
    <w:rsid w:val="00440722"/>
    <w:rsid w:val="00441056"/>
    <w:rsid w:val="0044113B"/>
    <w:rsid w:val="00441209"/>
    <w:rsid w:val="00441377"/>
    <w:rsid w:val="00441A4D"/>
    <w:rsid w:val="00442590"/>
    <w:rsid w:val="004425D9"/>
    <w:rsid w:val="0044288C"/>
    <w:rsid w:val="00443244"/>
    <w:rsid w:val="004432C8"/>
    <w:rsid w:val="004434C0"/>
    <w:rsid w:val="00443839"/>
    <w:rsid w:val="00443A28"/>
    <w:rsid w:val="00443F5A"/>
    <w:rsid w:val="0044429D"/>
    <w:rsid w:val="0044478F"/>
    <w:rsid w:val="00444AF6"/>
    <w:rsid w:val="00444C4B"/>
    <w:rsid w:val="00444F44"/>
    <w:rsid w:val="0044519D"/>
    <w:rsid w:val="00445544"/>
    <w:rsid w:val="00445653"/>
    <w:rsid w:val="00445876"/>
    <w:rsid w:val="00445C0B"/>
    <w:rsid w:val="00446195"/>
    <w:rsid w:val="004464EE"/>
    <w:rsid w:val="00446689"/>
    <w:rsid w:val="0044676F"/>
    <w:rsid w:val="00446AE9"/>
    <w:rsid w:val="0044700B"/>
    <w:rsid w:val="00447199"/>
    <w:rsid w:val="004477F0"/>
    <w:rsid w:val="00447BA0"/>
    <w:rsid w:val="00447CD0"/>
    <w:rsid w:val="00447FC2"/>
    <w:rsid w:val="00450244"/>
    <w:rsid w:val="004502F4"/>
    <w:rsid w:val="004503E8"/>
    <w:rsid w:val="0045053E"/>
    <w:rsid w:val="004506F4"/>
    <w:rsid w:val="004509D1"/>
    <w:rsid w:val="00450A42"/>
    <w:rsid w:val="00450C80"/>
    <w:rsid w:val="00450E2C"/>
    <w:rsid w:val="004513A5"/>
    <w:rsid w:val="004517D8"/>
    <w:rsid w:val="00451AB8"/>
    <w:rsid w:val="00451B61"/>
    <w:rsid w:val="00451D50"/>
    <w:rsid w:val="00451F26"/>
    <w:rsid w:val="004522CA"/>
    <w:rsid w:val="0045253A"/>
    <w:rsid w:val="0045264C"/>
    <w:rsid w:val="00452721"/>
    <w:rsid w:val="00452EC4"/>
    <w:rsid w:val="00452ECF"/>
    <w:rsid w:val="0045312F"/>
    <w:rsid w:val="00453340"/>
    <w:rsid w:val="00453775"/>
    <w:rsid w:val="00453851"/>
    <w:rsid w:val="00453890"/>
    <w:rsid w:val="00453EA1"/>
    <w:rsid w:val="00454380"/>
    <w:rsid w:val="00454608"/>
    <w:rsid w:val="0045470C"/>
    <w:rsid w:val="004552C8"/>
    <w:rsid w:val="0045536C"/>
    <w:rsid w:val="00455403"/>
    <w:rsid w:val="00455A07"/>
    <w:rsid w:val="00455AEB"/>
    <w:rsid w:val="00455B6F"/>
    <w:rsid w:val="0045603C"/>
    <w:rsid w:val="00456053"/>
    <w:rsid w:val="00456068"/>
    <w:rsid w:val="00456138"/>
    <w:rsid w:val="0045629E"/>
    <w:rsid w:val="004563CF"/>
    <w:rsid w:val="00456522"/>
    <w:rsid w:val="004565BA"/>
    <w:rsid w:val="00456896"/>
    <w:rsid w:val="004568C4"/>
    <w:rsid w:val="00456ADA"/>
    <w:rsid w:val="00456B0D"/>
    <w:rsid w:val="00456BE0"/>
    <w:rsid w:val="00456CB9"/>
    <w:rsid w:val="00457135"/>
    <w:rsid w:val="0045718B"/>
    <w:rsid w:val="0045770D"/>
    <w:rsid w:val="0045790F"/>
    <w:rsid w:val="00457914"/>
    <w:rsid w:val="00457D63"/>
    <w:rsid w:val="00457E21"/>
    <w:rsid w:val="0046007E"/>
    <w:rsid w:val="0046008D"/>
    <w:rsid w:val="0046024B"/>
    <w:rsid w:val="004603ED"/>
    <w:rsid w:val="00460C86"/>
    <w:rsid w:val="00460E26"/>
    <w:rsid w:val="00460E36"/>
    <w:rsid w:val="00460EDB"/>
    <w:rsid w:val="00460FCA"/>
    <w:rsid w:val="00461155"/>
    <w:rsid w:val="004616B6"/>
    <w:rsid w:val="00461BDF"/>
    <w:rsid w:val="0046218C"/>
    <w:rsid w:val="004622B3"/>
    <w:rsid w:val="004623D4"/>
    <w:rsid w:val="00462699"/>
    <w:rsid w:val="00463944"/>
    <w:rsid w:val="00463AE9"/>
    <w:rsid w:val="00464830"/>
    <w:rsid w:val="00464D8C"/>
    <w:rsid w:val="00464ED9"/>
    <w:rsid w:val="004650DA"/>
    <w:rsid w:val="0046512A"/>
    <w:rsid w:val="00465234"/>
    <w:rsid w:val="00465B24"/>
    <w:rsid w:val="00466246"/>
    <w:rsid w:val="00466274"/>
    <w:rsid w:val="004665A4"/>
    <w:rsid w:val="00466858"/>
    <w:rsid w:val="00466AF4"/>
    <w:rsid w:val="00466AF7"/>
    <w:rsid w:val="00466CB3"/>
    <w:rsid w:val="00466D0F"/>
    <w:rsid w:val="00467000"/>
    <w:rsid w:val="004671E9"/>
    <w:rsid w:val="0046735E"/>
    <w:rsid w:val="00467544"/>
    <w:rsid w:val="004676BA"/>
    <w:rsid w:val="0046784C"/>
    <w:rsid w:val="0046790F"/>
    <w:rsid w:val="00467D12"/>
    <w:rsid w:val="00467DF7"/>
    <w:rsid w:val="00467ECB"/>
    <w:rsid w:val="004705B6"/>
    <w:rsid w:val="00470961"/>
    <w:rsid w:val="004709B5"/>
    <w:rsid w:val="00470D1A"/>
    <w:rsid w:val="00470D99"/>
    <w:rsid w:val="00470E6D"/>
    <w:rsid w:val="004710C3"/>
    <w:rsid w:val="004710FB"/>
    <w:rsid w:val="004713B0"/>
    <w:rsid w:val="00471459"/>
    <w:rsid w:val="00471906"/>
    <w:rsid w:val="00471D23"/>
    <w:rsid w:val="00472274"/>
    <w:rsid w:val="004722D4"/>
    <w:rsid w:val="00472380"/>
    <w:rsid w:val="00472543"/>
    <w:rsid w:val="00472AD0"/>
    <w:rsid w:val="00472C6B"/>
    <w:rsid w:val="00472D9C"/>
    <w:rsid w:val="00473B60"/>
    <w:rsid w:val="00473CA1"/>
    <w:rsid w:val="00473F7C"/>
    <w:rsid w:val="004740F2"/>
    <w:rsid w:val="004745DC"/>
    <w:rsid w:val="00474605"/>
    <w:rsid w:val="0047495D"/>
    <w:rsid w:val="00474D74"/>
    <w:rsid w:val="00474DCA"/>
    <w:rsid w:val="00474F61"/>
    <w:rsid w:val="00475249"/>
    <w:rsid w:val="004755B7"/>
    <w:rsid w:val="004759AC"/>
    <w:rsid w:val="00475AFF"/>
    <w:rsid w:val="00475D30"/>
    <w:rsid w:val="00476397"/>
    <w:rsid w:val="004765F4"/>
    <w:rsid w:val="004767E3"/>
    <w:rsid w:val="00476B4D"/>
    <w:rsid w:val="00476CBC"/>
    <w:rsid w:val="00476DE4"/>
    <w:rsid w:val="00476E64"/>
    <w:rsid w:val="00476E6C"/>
    <w:rsid w:val="00477282"/>
    <w:rsid w:val="00477451"/>
    <w:rsid w:val="0047748B"/>
    <w:rsid w:val="004774C4"/>
    <w:rsid w:val="0047771D"/>
    <w:rsid w:val="00477947"/>
    <w:rsid w:val="00477B99"/>
    <w:rsid w:val="00480FA1"/>
    <w:rsid w:val="004811D5"/>
    <w:rsid w:val="00481260"/>
    <w:rsid w:val="00481BDB"/>
    <w:rsid w:val="00481E21"/>
    <w:rsid w:val="00481FD7"/>
    <w:rsid w:val="00482DE5"/>
    <w:rsid w:val="00482F0A"/>
    <w:rsid w:val="0048313B"/>
    <w:rsid w:val="004831E2"/>
    <w:rsid w:val="00483266"/>
    <w:rsid w:val="0048340B"/>
    <w:rsid w:val="0048352E"/>
    <w:rsid w:val="004836A9"/>
    <w:rsid w:val="004838F8"/>
    <w:rsid w:val="00483B23"/>
    <w:rsid w:val="00483FCC"/>
    <w:rsid w:val="004840D7"/>
    <w:rsid w:val="004846F4"/>
    <w:rsid w:val="00484A8D"/>
    <w:rsid w:val="004852FB"/>
    <w:rsid w:val="0048559B"/>
    <w:rsid w:val="00485C26"/>
    <w:rsid w:val="00485EC0"/>
    <w:rsid w:val="00486059"/>
    <w:rsid w:val="004860B4"/>
    <w:rsid w:val="00486423"/>
    <w:rsid w:val="0048642F"/>
    <w:rsid w:val="00486964"/>
    <w:rsid w:val="00487115"/>
    <w:rsid w:val="0048754E"/>
    <w:rsid w:val="004875E1"/>
    <w:rsid w:val="00487B37"/>
    <w:rsid w:val="0049021B"/>
    <w:rsid w:val="004902D2"/>
    <w:rsid w:val="00490636"/>
    <w:rsid w:val="00490DB5"/>
    <w:rsid w:val="00490FF0"/>
    <w:rsid w:val="004910FE"/>
    <w:rsid w:val="00491198"/>
    <w:rsid w:val="004917E0"/>
    <w:rsid w:val="00491AC3"/>
    <w:rsid w:val="00491BF6"/>
    <w:rsid w:val="00491FED"/>
    <w:rsid w:val="004922B0"/>
    <w:rsid w:val="004925DE"/>
    <w:rsid w:val="004928E7"/>
    <w:rsid w:val="00492CD9"/>
    <w:rsid w:val="00492F82"/>
    <w:rsid w:val="004936C1"/>
    <w:rsid w:val="00493AB3"/>
    <w:rsid w:val="00493BF9"/>
    <w:rsid w:val="004943C2"/>
    <w:rsid w:val="00494918"/>
    <w:rsid w:val="00494C65"/>
    <w:rsid w:val="00494D6C"/>
    <w:rsid w:val="00494F0C"/>
    <w:rsid w:val="00495557"/>
    <w:rsid w:val="00495728"/>
    <w:rsid w:val="00495A00"/>
    <w:rsid w:val="00495E05"/>
    <w:rsid w:val="00495F2A"/>
    <w:rsid w:val="0049618D"/>
    <w:rsid w:val="004963DC"/>
    <w:rsid w:val="004965EF"/>
    <w:rsid w:val="004967DE"/>
    <w:rsid w:val="00496895"/>
    <w:rsid w:val="0049719D"/>
    <w:rsid w:val="00497498"/>
    <w:rsid w:val="00497F5B"/>
    <w:rsid w:val="00497FCD"/>
    <w:rsid w:val="004A0224"/>
    <w:rsid w:val="004A0D1E"/>
    <w:rsid w:val="004A0D61"/>
    <w:rsid w:val="004A0E32"/>
    <w:rsid w:val="004A0E66"/>
    <w:rsid w:val="004A0EEC"/>
    <w:rsid w:val="004A130F"/>
    <w:rsid w:val="004A17EF"/>
    <w:rsid w:val="004A1BDA"/>
    <w:rsid w:val="004A1CDA"/>
    <w:rsid w:val="004A22DA"/>
    <w:rsid w:val="004A2366"/>
    <w:rsid w:val="004A2700"/>
    <w:rsid w:val="004A295D"/>
    <w:rsid w:val="004A3176"/>
    <w:rsid w:val="004A3224"/>
    <w:rsid w:val="004A360D"/>
    <w:rsid w:val="004A36C8"/>
    <w:rsid w:val="004A3721"/>
    <w:rsid w:val="004A3742"/>
    <w:rsid w:val="004A37B8"/>
    <w:rsid w:val="004A3BC4"/>
    <w:rsid w:val="004A3CC2"/>
    <w:rsid w:val="004A3ED3"/>
    <w:rsid w:val="004A47BC"/>
    <w:rsid w:val="004A4AC6"/>
    <w:rsid w:val="004A4C07"/>
    <w:rsid w:val="004A56F0"/>
    <w:rsid w:val="004A70EF"/>
    <w:rsid w:val="004A7107"/>
    <w:rsid w:val="004A7162"/>
    <w:rsid w:val="004A792D"/>
    <w:rsid w:val="004A7996"/>
    <w:rsid w:val="004B00ED"/>
    <w:rsid w:val="004B0604"/>
    <w:rsid w:val="004B06E9"/>
    <w:rsid w:val="004B0BFB"/>
    <w:rsid w:val="004B107B"/>
    <w:rsid w:val="004B1199"/>
    <w:rsid w:val="004B16C4"/>
    <w:rsid w:val="004B1867"/>
    <w:rsid w:val="004B1AD5"/>
    <w:rsid w:val="004B1B8F"/>
    <w:rsid w:val="004B222A"/>
    <w:rsid w:val="004B2629"/>
    <w:rsid w:val="004B2A64"/>
    <w:rsid w:val="004B3154"/>
    <w:rsid w:val="004B33EA"/>
    <w:rsid w:val="004B3643"/>
    <w:rsid w:val="004B3E00"/>
    <w:rsid w:val="004B41DA"/>
    <w:rsid w:val="004B437F"/>
    <w:rsid w:val="004B4557"/>
    <w:rsid w:val="004B470D"/>
    <w:rsid w:val="004B4764"/>
    <w:rsid w:val="004B4846"/>
    <w:rsid w:val="004B5023"/>
    <w:rsid w:val="004B5394"/>
    <w:rsid w:val="004B5BDD"/>
    <w:rsid w:val="004B5BF8"/>
    <w:rsid w:val="004B635C"/>
    <w:rsid w:val="004B6E9E"/>
    <w:rsid w:val="004B6F83"/>
    <w:rsid w:val="004B701D"/>
    <w:rsid w:val="004B7287"/>
    <w:rsid w:val="004B7318"/>
    <w:rsid w:val="004B7965"/>
    <w:rsid w:val="004B7A70"/>
    <w:rsid w:val="004B7C29"/>
    <w:rsid w:val="004C02D1"/>
    <w:rsid w:val="004C06E5"/>
    <w:rsid w:val="004C0768"/>
    <w:rsid w:val="004C0F6F"/>
    <w:rsid w:val="004C11E0"/>
    <w:rsid w:val="004C1650"/>
    <w:rsid w:val="004C1B7D"/>
    <w:rsid w:val="004C1D2F"/>
    <w:rsid w:val="004C1E3C"/>
    <w:rsid w:val="004C1FBD"/>
    <w:rsid w:val="004C226F"/>
    <w:rsid w:val="004C25F0"/>
    <w:rsid w:val="004C26DD"/>
    <w:rsid w:val="004C2B5D"/>
    <w:rsid w:val="004C2D68"/>
    <w:rsid w:val="004C2EAD"/>
    <w:rsid w:val="004C2F56"/>
    <w:rsid w:val="004C30F8"/>
    <w:rsid w:val="004C327C"/>
    <w:rsid w:val="004C339D"/>
    <w:rsid w:val="004C33E8"/>
    <w:rsid w:val="004C3DF5"/>
    <w:rsid w:val="004C4307"/>
    <w:rsid w:val="004C4309"/>
    <w:rsid w:val="004C49E3"/>
    <w:rsid w:val="004C4E8A"/>
    <w:rsid w:val="004C514A"/>
    <w:rsid w:val="004C5825"/>
    <w:rsid w:val="004C6219"/>
    <w:rsid w:val="004C621C"/>
    <w:rsid w:val="004C645A"/>
    <w:rsid w:val="004C6572"/>
    <w:rsid w:val="004C69D3"/>
    <w:rsid w:val="004C6D4F"/>
    <w:rsid w:val="004C6E1C"/>
    <w:rsid w:val="004C6F19"/>
    <w:rsid w:val="004C71E7"/>
    <w:rsid w:val="004C7541"/>
    <w:rsid w:val="004C7F2A"/>
    <w:rsid w:val="004D0480"/>
    <w:rsid w:val="004D0575"/>
    <w:rsid w:val="004D0D1B"/>
    <w:rsid w:val="004D18C7"/>
    <w:rsid w:val="004D1934"/>
    <w:rsid w:val="004D1995"/>
    <w:rsid w:val="004D1E71"/>
    <w:rsid w:val="004D2082"/>
    <w:rsid w:val="004D22BE"/>
    <w:rsid w:val="004D2833"/>
    <w:rsid w:val="004D2CDF"/>
    <w:rsid w:val="004D33CE"/>
    <w:rsid w:val="004D432C"/>
    <w:rsid w:val="004D45CB"/>
    <w:rsid w:val="004D4AAE"/>
    <w:rsid w:val="004D5407"/>
    <w:rsid w:val="004D557E"/>
    <w:rsid w:val="004D571E"/>
    <w:rsid w:val="004D5837"/>
    <w:rsid w:val="004D5D36"/>
    <w:rsid w:val="004D66EB"/>
    <w:rsid w:val="004D69F8"/>
    <w:rsid w:val="004D6AE3"/>
    <w:rsid w:val="004D7C86"/>
    <w:rsid w:val="004E0197"/>
    <w:rsid w:val="004E0CC1"/>
    <w:rsid w:val="004E0D70"/>
    <w:rsid w:val="004E1122"/>
    <w:rsid w:val="004E1409"/>
    <w:rsid w:val="004E197E"/>
    <w:rsid w:val="004E1A87"/>
    <w:rsid w:val="004E1BB0"/>
    <w:rsid w:val="004E3030"/>
    <w:rsid w:val="004E3054"/>
    <w:rsid w:val="004E3311"/>
    <w:rsid w:val="004E3523"/>
    <w:rsid w:val="004E38EC"/>
    <w:rsid w:val="004E3933"/>
    <w:rsid w:val="004E3BD0"/>
    <w:rsid w:val="004E4549"/>
    <w:rsid w:val="004E4C83"/>
    <w:rsid w:val="004E4D53"/>
    <w:rsid w:val="004E4D84"/>
    <w:rsid w:val="004E4EBC"/>
    <w:rsid w:val="004E5104"/>
    <w:rsid w:val="004E5384"/>
    <w:rsid w:val="004E538E"/>
    <w:rsid w:val="004E5650"/>
    <w:rsid w:val="004E5B06"/>
    <w:rsid w:val="004E5BEA"/>
    <w:rsid w:val="004E5FA8"/>
    <w:rsid w:val="004E624D"/>
    <w:rsid w:val="004E6315"/>
    <w:rsid w:val="004E684C"/>
    <w:rsid w:val="004E6A15"/>
    <w:rsid w:val="004E6CDA"/>
    <w:rsid w:val="004E6FF1"/>
    <w:rsid w:val="004E76DB"/>
    <w:rsid w:val="004E7AA9"/>
    <w:rsid w:val="004E7B64"/>
    <w:rsid w:val="004E7EF8"/>
    <w:rsid w:val="004F002D"/>
    <w:rsid w:val="004F0227"/>
    <w:rsid w:val="004F0626"/>
    <w:rsid w:val="004F0C01"/>
    <w:rsid w:val="004F1CEF"/>
    <w:rsid w:val="004F1D99"/>
    <w:rsid w:val="004F1F90"/>
    <w:rsid w:val="004F1FC9"/>
    <w:rsid w:val="004F231F"/>
    <w:rsid w:val="004F2401"/>
    <w:rsid w:val="004F27EA"/>
    <w:rsid w:val="004F2A44"/>
    <w:rsid w:val="004F2DAD"/>
    <w:rsid w:val="004F34F7"/>
    <w:rsid w:val="004F4756"/>
    <w:rsid w:val="004F545E"/>
    <w:rsid w:val="004F5481"/>
    <w:rsid w:val="004F55D6"/>
    <w:rsid w:val="004F5615"/>
    <w:rsid w:val="004F565A"/>
    <w:rsid w:val="004F571B"/>
    <w:rsid w:val="004F5AC9"/>
    <w:rsid w:val="004F5B0A"/>
    <w:rsid w:val="004F6032"/>
    <w:rsid w:val="004F64BA"/>
    <w:rsid w:val="004F64EB"/>
    <w:rsid w:val="004F6526"/>
    <w:rsid w:val="004F6611"/>
    <w:rsid w:val="004F6D4E"/>
    <w:rsid w:val="004F700F"/>
    <w:rsid w:val="004F79F8"/>
    <w:rsid w:val="004F7A74"/>
    <w:rsid w:val="004F7F4C"/>
    <w:rsid w:val="004F7F70"/>
    <w:rsid w:val="00500250"/>
    <w:rsid w:val="00500264"/>
    <w:rsid w:val="0050072C"/>
    <w:rsid w:val="00500824"/>
    <w:rsid w:val="00500DAB"/>
    <w:rsid w:val="00501144"/>
    <w:rsid w:val="005013EF"/>
    <w:rsid w:val="005019E0"/>
    <w:rsid w:val="00501DC3"/>
    <w:rsid w:val="00502014"/>
    <w:rsid w:val="0050211F"/>
    <w:rsid w:val="005022E7"/>
    <w:rsid w:val="00502A93"/>
    <w:rsid w:val="00502B25"/>
    <w:rsid w:val="00502F4F"/>
    <w:rsid w:val="00503118"/>
    <w:rsid w:val="005031E3"/>
    <w:rsid w:val="005032AB"/>
    <w:rsid w:val="005034B2"/>
    <w:rsid w:val="00503F16"/>
    <w:rsid w:val="00504EB1"/>
    <w:rsid w:val="00506083"/>
    <w:rsid w:val="00506426"/>
    <w:rsid w:val="00506707"/>
    <w:rsid w:val="00506724"/>
    <w:rsid w:val="00506788"/>
    <w:rsid w:val="005068D6"/>
    <w:rsid w:val="00506B86"/>
    <w:rsid w:val="00506EEC"/>
    <w:rsid w:val="00506FD4"/>
    <w:rsid w:val="005106AF"/>
    <w:rsid w:val="005107FF"/>
    <w:rsid w:val="00510CBC"/>
    <w:rsid w:val="0051102D"/>
    <w:rsid w:val="005112A5"/>
    <w:rsid w:val="0051155F"/>
    <w:rsid w:val="00511F48"/>
    <w:rsid w:val="00512448"/>
    <w:rsid w:val="0051253A"/>
    <w:rsid w:val="0051266C"/>
    <w:rsid w:val="00512941"/>
    <w:rsid w:val="00513535"/>
    <w:rsid w:val="00513587"/>
    <w:rsid w:val="0051399C"/>
    <w:rsid w:val="005139B0"/>
    <w:rsid w:val="00513A96"/>
    <w:rsid w:val="00513B72"/>
    <w:rsid w:val="00513CC4"/>
    <w:rsid w:val="00513D82"/>
    <w:rsid w:val="005140D8"/>
    <w:rsid w:val="00514289"/>
    <w:rsid w:val="0051438E"/>
    <w:rsid w:val="00514426"/>
    <w:rsid w:val="0051480D"/>
    <w:rsid w:val="00514C48"/>
    <w:rsid w:val="00514ECB"/>
    <w:rsid w:val="00515277"/>
    <w:rsid w:val="0051565D"/>
    <w:rsid w:val="005158C2"/>
    <w:rsid w:val="00515949"/>
    <w:rsid w:val="00515FEB"/>
    <w:rsid w:val="0051642F"/>
    <w:rsid w:val="005164AD"/>
    <w:rsid w:val="005169DE"/>
    <w:rsid w:val="0051714F"/>
    <w:rsid w:val="00517159"/>
    <w:rsid w:val="005172BC"/>
    <w:rsid w:val="0051754D"/>
    <w:rsid w:val="0051785D"/>
    <w:rsid w:val="00517913"/>
    <w:rsid w:val="00517AD6"/>
    <w:rsid w:val="00517BB6"/>
    <w:rsid w:val="0052005F"/>
    <w:rsid w:val="00520200"/>
    <w:rsid w:val="0052074D"/>
    <w:rsid w:val="005207E9"/>
    <w:rsid w:val="00520B09"/>
    <w:rsid w:val="00520C82"/>
    <w:rsid w:val="00520CF3"/>
    <w:rsid w:val="00520E2D"/>
    <w:rsid w:val="00520F04"/>
    <w:rsid w:val="00521257"/>
    <w:rsid w:val="00521262"/>
    <w:rsid w:val="005216EF"/>
    <w:rsid w:val="00521717"/>
    <w:rsid w:val="00521B03"/>
    <w:rsid w:val="005224B2"/>
    <w:rsid w:val="00523831"/>
    <w:rsid w:val="00523B23"/>
    <w:rsid w:val="00523B99"/>
    <w:rsid w:val="00523DFA"/>
    <w:rsid w:val="00523F44"/>
    <w:rsid w:val="00524241"/>
    <w:rsid w:val="005254BC"/>
    <w:rsid w:val="005256FC"/>
    <w:rsid w:val="00525DB6"/>
    <w:rsid w:val="00526355"/>
    <w:rsid w:val="0052638F"/>
    <w:rsid w:val="00526488"/>
    <w:rsid w:val="00526838"/>
    <w:rsid w:val="00526C27"/>
    <w:rsid w:val="00526DFF"/>
    <w:rsid w:val="005273F1"/>
    <w:rsid w:val="00527473"/>
    <w:rsid w:val="00527EF9"/>
    <w:rsid w:val="005305FF"/>
    <w:rsid w:val="00530C9B"/>
    <w:rsid w:val="00530EB8"/>
    <w:rsid w:val="005314A8"/>
    <w:rsid w:val="00532116"/>
    <w:rsid w:val="00532334"/>
    <w:rsid w:val="00532441"/>
    <w:rsid w:val="005324AF"/>
    <w:rsid w:val="005332D7"/>
    <w:rsid w:val="00533605"/>
    <w:rsid w:val="005339DC"/>
    <w:rsid w:val="0053402C"/>
    <w:rsid w:val="00534090"/>
    <w:rsid w:val="00534ABA"/>
    <w:rsid w:val="00534C44"/>
    <w:rsid w:val="005351FC"/>
    <w:rsid w:val="00535410"/>
    <w:rsid w:val="005358CE"/>
    <w:rsid w:val="0053593F"/>
    <w:rsid w:val="005359A9"/>
    <w:rsid w:val="00535FFF"/>
    <w:rsid w:val="0053616F"/>
    <w:rsid w:val="00536295"/>
    <w:rsid w:val="0053641F"/>
    <w:rsid w:val="005364F2"/>
    <w:rsid w:val="00536613"/>
    <w:rsid w:val="005368AD"/>
    <w:rsid w:val="00536C83"/>
    <w:rsid w:val="00536DE6"/>
    <w:rsid w:val="005370BC"/>
    <w:rsid w:val="005372BE"/>
    <w:rsid w:val="00537AA7"/>
    <w:rsid w:val="00537B35"/>
    <w:rsid w:val="00537BFD"/>
    <w:rsid w:val="00537D75"/>
    <w:rsid w:val="00537DE7"/>
    <w:rsid w:val="00537EC4"/>
    <w:rsid w:val="00537FE4"/>
    <w:rsid w:val="0054027D"/>
    <w:rsid w:val="00541222"/>
    <w:rsid w:val="005412C0"/>
    <w:rsid w:val="00541400"/>
    <w:rsid w:val="005414BE"/>
    <w:rsid w:val="00541A8D"/>
    <w:rsid w:val="00541E6F"/>
    <w:rsid w:val="0054247E"/>
    <w:rsid w:val="005425A2"/>
    <w:rsid w:val="005436FB"/>
    <w:rsid w:val="005440BB"/>
    <w:rsid w:val="00544379"/>
    <w:rsid w:val="00544554"/>
    <w:rsid w:val="00544C8E"/>
    <w:rsid w:val="00544DA0"/>
    <w:rsid w:val="00544E30"/>
    <w:rsid w:val="00544F58"/>
    <w:rsid w:val="005454BD"/>
    <w:rsid w:val="005455E8"/>
    <w:rsid w:val="005457E4"/>
    <w:rsid w:val="00545DB0"/>
    <w:rsid w:val="00545F97"/>
    <w:rsid w:val="0054656F"/>
    <w:rsid w:val="00546657"/>
    <w:rsid w:val="005469BC"/>
    <w:rsid w:val="005469FC"/>
    <w:rsid w:val="00546C49"/>
    <w:rsid w:val="005475E1"/>
    <w:rsid w:val="0054773C"/>
    <w:rsid w:val="00547C1F"/>
    <w:rsid w:val="00547E45"/>
    <w:rsid w:val="0055010B"/>
    <w:rsid w:val="005503F2"/>
    <w:rsid w:val="005505D2"/>
    <w:rsid w:val="00550B7C"/>
    <w:rsid w:val="00550D59"/>
    <w:rsid w:val="00550DA6"/>
    <w:rsid w:val="0055110D"/>
    <w:rsid w:val="00551525"/>
    <w:rsid w:val="0055179B"/>
    <w:rsid w:val="00551F81"/>
    <w:rsid w:val="0055210F"/>
    <w:rsid w:val="00552430"/>
    <w:rsid w:val="005525AA"/>
    <w:rsid w:val="00552C12"/>
    <w:rsid w:val="00552CD7"/>
    <w:rsid w:val="005533BE"/>
    <w:rsid w:val="00553880"/>
    <w:rsid w:val="00553AEE"/>
    <w:rsid w:val="00554AFF"/>
    <w:rsid w:val="00554B30"/>
    <w:rsid w:val="00554ED0"/>
    <w:rsid w:val="00554F30"/>
    <w:rsid w:val="00554FFB"/>
    <w:rsid w:val="005550A2"/>
    <w:rsid w:val="00555757"/>
    <w:rsid w:val="00555F5F"/>
    <w:rsid w:val="00556020"/>
    <w:rsid w:val="00556053"/>
    <w:rsid w:val="005568DE"/>
    <w:rsid w:val="00556CCF"/>
    <w:rsid w:val="00556E1F"/>
    <w:rsid w:val="00557004"/>
    <w:rsid w:val="00557C50"/>
    <w:rsid w:val="00560031"/>
    <w:rsid w:val="00560378"/>
    <w:rsid w:val="005606B6"/>
    <w:rsid w:val="005607B2"/>
    <w:rsid w:val="005608D6"/>
    <w:rsid w:val="005608FC"/>
    <w:rsid w:val="00560A16"/>
    <w:rsid w:val="00560BB4"/>
    <w:rsid w:val="00560C71"/>
    <w:rsid w:val="00560D34"/>
    <w:rsid w:val="00560F19"/>
    <w:rsid w:val="00560F22"/>
    <w:rsid w:val="00561008"/>
    <w:rsid w:val="0056100F"/>
    <w:rsid w:val="0056107B"/>
    <w:rsid w:val="00561C56"/>
    <w:rsid w:val="00561E6B"/>
    <w:rsid w:val="005621D2"/>
    <w:rsid w:val="005621E0"/>
    <w:rsid w:val="00562464"/>
    <w:rsid w:val="005625C0"/>
    <w:rsid w:val="00562D90"/>
    <w:rsid w:val="0056354F"/>
    <w:rsid w:val="00563A23"/>
    <w:rsid w:val="00563A5A"/>
    <w:rsid w:val="00563B5C"/>
    <w:rsid w:val="00563C61"/>
    <w:rsid w:val="00563ECB"/>
    <w:rsid w:val="00563F47"/>
    <w:rsid w:val="005640BB"/>
    <w:rsid w:val="005648E6"/>
    <w:rsid w:val="00564A88"/>
    <w:rsid w:val="00564AFD"/>
    <w:rsid w:val="00564C23"/>
    <w:rsid w:val="00565297"/>
    <w:rsid w:val="00565378"/>
    <w:rsid w:val="00565406"/>
    <w:rsid w:val="00565570"/>
    <w:rsid w:val="005656E2"/>
    <w:rsid w:val="00565739"/>
    <w:rsid w:val="005657DD"/>
    <w:rsid w:val="00565B29"/>
    <w:rsid w:val="00565BE2"/>
    <w:rsid w:val="00565E84"/>
    <w:rsid w:val="00566016"/>
    <w:rsid w:val="00566230"/>
    <w:rsid w:val="005664CC"/>
    <w:rsid w:val="0056664B"/>
    <w:rsid w:val="005668A6"/>
    <w:rsid w:val="00566A65"/>
    <w:rsid w:val="0056720B"/>
    <w:rsid w:val="00567588"/>
    <w:rsid w:val="00567936"/>
    <w:rsid w:val="00567992"/>
    <w:rsid w:val="00567C3C"/>
    <w:rsid w:val="0057029E"/>
    <w:rsid w:val="005702F8"/>
    <w:rsid w:val="005705CE"/>
    <w:rsid w:val="00571231"/>
    <w:rsid w:val="0057130B"/>
    <w:rsid w:val="00571580"/>
    <w:rsid w:val="00571767"/>
    <w:rsid w:val="005718E3"/>
    <w:rsid w:val="00571AE8"/>
    <w:rsid w:val="00571C77"/>
    <w:rsid w:val="00571D01"/>
    <w:rsid w:val="00571E44"/>
    <w:rsid w:val="005721B2"/>
    <w:rsid w:val="005721D1"/>
    <w:rsid w:val="0057387B"/>
    <w:rsid w:val="00573942"/>
    <w:rsid w:val="00573B72"/>
    <w:rsid w:val="00573E61"/>
    <w:rsid w:val="0057411B"/>
    <w:rsid w:val="0057423A"/>
    <w:rsid w:val="00574525"/>
    <w:rsid w:val="00574778"/>
    <w:rsid w:val="0057498F"/>
    <w:rsid w:val="00574DE9"/>
    <w:rsid w:val="00574F0C"/>
    <w:rsid w:val="005751A7"/>
    <w:rsid w:val="005751B0"/>
    <w:rsid w:val="005756A1"/>
    <w:rsid w:val="00575907"/>
    <w:rsid w:val="00575C4A"/>
    <w:rsid w:val="00575DF4"/>
    <w:rsid w:val="0057715F"/>
    <w:rsid w:val="0057765D"/>
    <w:rsid w:val="005777FC"/>
    <w:rsid w:val="005808EB"/>
    <w:rsid w:val="0058091B"/>
    <w:rsid w:val="00580C20"/>
    <w:rsid w:val="00580D37"/>
    <w:rsid w:val="00580ED1"/>
    <w:rsid w:val="00581802"/>
    <w:rsid w:val="00581A64"/>
    <w:rsid w:val="00581FA0"/>
    <w:rsid w:val="00582170"/>
    <w:rsid w:val="00582AEF"/>
    <w:rsid w:val="00582B52"/>
    <w:rsid w:val="00582B90"/>
    <w:rsid w:val="00582C9C"/>
    <w:rsid w:val="00582DE3"/>
    <w:rsid w:val="005831A7"/>
    <w:rsid w:val="00583321"/>
    <w:rsid w:val="0058341E"/>
    <w:rsid w:val="0058388C"/>
    <w:rsid w:val="005843CB"/>
    <w:rsid w:val="005843E4"/>
    <w:rsid w:val="00584773"/>
    <w:rsid w:val="00584F3A"/>
    <w:rsid w:val="0058526E"/>
    <w:rsid w:val="005853AB"/>
    <w:rsid w:val="00585748"/>
    <w:rsid w:val="00585801"/>
    <w:rsid w:val="005859C5"/>
    <w:rsid w:val="00585C79"/>
    <w:rsid w:val="00585FD0"/>
    <w:rsid w:val="00586144"/>
    <w:rsid w:val="00586316"/>
    <w:rsid w:val="005866C6"/>
    <w:rsid w:val="005869C4"/>
    <w:rsid w:val="00586C8F"/>
    <w:rsid w:val="00587706"/>
    <w:rsid w:val="00587785"/>
    <w:rsid w:val="0058788D"/>
    <w:rsid w:val="00587E29"/>
    <w:rsid w:val="00587EC0"/>
    <w:rsid w:val="00587FE6"/>
    <w:rsid w:val="0059031B"/>
    <w:rsid w:val="00590965"/>
    <w:rsid w:val="00591698"/>
    <w:rsid w:val="0059176F"/>
    <w:rsid w:val="005925A2"/>
    <w:rsid w:val="005926F2"/>
    <w:rsid w:val="00592B51"/>
    <w:rsid w:val="00592D2A"/>
    <w:rsid w:val="00593370"/>
    <w:rsid w:val="005935A6"/>
    <w:rsid w:val="005935E2"/>
    <w:rsid w:val="00593B87"/>
    <w:rsid w:val="00593BFF"/>
    <w:rsid w:val="00593C1C"/>
    <w:rsid w:val="00593E94"/>
    <w:rsid w:val="005940DA"/>
    <w:rsid w:val="00594143"/>
    <w:rsid w:val="0059440B"/>
    <w:rsid w:val="00594543"/>
    <w:rsid w:val="00594612"/>
    <w:rsid w:val="00595873"/>
    <w:rsid w:val="00595CDD"/>
    <w:rsid w:val="00595EFD"/>
    <w:rsid w:val="005964BB"/>
    <w:rsid w:val="00596A70"/>
    <w:rsid w:val="00596BD3"/>
    <w:rsid w:val="00596BE7"/>
    <w:rsid w:val="00596C3E"/>
    <w:rsid w:val="00596C9D"/>
    <w:rsid w:val="00596F8C"/>
    <w:rsid w:val="00597399"/>
    <w:rsid w:val="005977DD"/>
    <w:rsid w:val="005A04BD"/>
    <w:rsid w:val="005A0A3F"/>
    <w:rsid w:val="005A0ABF"/>
    <w:rsid w:val="005A0AF4"/>
    <w:rsid w:val="005A114F"/>
    <w:rsid w:val="005A125A"/>
    <w:rsid w:val="005A145F"/>
    <w:rsid w:val="005A1F49"/>
    <w:rsid w:val="005A2197"/>
    <w:rsid w:val="005A21E8"/>
    <w:rsid w:val="005A22DA"/>
    <w:rsid w:val="005A2364"/>
    <w:rsid w:val="005A2480"/>
    <w:rsid w:val="005A281A"/>
    <w:rsid w:val="005A2B2C"/>
    <w:rsid w:val="005A2D6B"/>
    <w:rsid w:val="005A2DFD"/>
    <w:rsid w:val="005A3252"/>
    <w:rsid w:val="005A33F7"/>
    <w:rsid w:val="005A40CF"/>
    <w:rsid w:val="005A410A"/>
    <w:rsid w:val="005A426A"/>
    <w:rsid w:val="005A4385"/>
    <w:rsid w:val="005A479F"/>
    <w:rsid w:val="005A4A9C"/>
    <w:rsid w:val="005A4BAE"/>
    <w:rsid w:val="005A4F39"/>
    <w:rsid w:val="005A5053"/>
    <w:rsid w:val="005A574D"/>
    <w:rsid w:val="005A5B5C"/>
    <w:rsid w:val="005A5B97"/>
    <w:rsid w:val="005A63AC"/>
    <w:rsid w:val="005A66BC"/>
    <w:rsid w:val="005A6BAB"/>
    <w:rsid w:val="005A6E93"/>
    <w:rsid w:val="005A707A"/>
    <w:rsid w:val="005A72BD"/>
    <w:rsid w:val="005A7340"/>
    <w:rsid w:val="005A7F93"/>
    <w:rsid w:val="005B07EA"/>
    <w:rsid w:val="005B0ACE"/>
    <w:rsid w:val="005B0B20"/>
    <w:rsid w:val="005B0B5D"/>
    <w:rsid w:val="005B0BD6"/>
    <w:rsid w:val="005B0C5D"/>
    <w:rsid w:val="005B0EFB"/>
    <w:rsid w:val="005B1060"/>
    <w:rsid w:val="005B12B9"/>
    <w:rsid w:val="005B14B0"/>
    <w:rsid w:val="005B17C1"/>
    <w:rsid w:val="005B1D93"/>
    <w:rsid w:val="005B22E1"/>
    <w:rsid w:val="005B23E7"/>
    <w:rsid w:val="005B255B"/>
    <w:rsid w:val="005B2CDB"/>
    <w:rsid w:val="005B3295"/>
    <w:rsid w:val="005B32FE"/>
    <w:rsid w:val="005B3737"/>
    <w:rsid w:val="005B380A"/>
    <w:rsid w:val="005B3A42"/>
    <w:rsid w:val="005B3C0A"/>
    <w:rsid w:val="005B4463"/>
    <w:rsid w:val="005B4537"/>
    <w:rsid w:val="005B4C75"/>
    <w:rsid w:val="005B5D40"/>
    <w:rsid w:val="005B5D4D"/>
    <w:rsid w:val="005B5EFC"/>
    <w:rsid w:val="005B5FF6"/>
    <w:rsid w:val="005B6412"/>
    <w:rsid w:val="005B6698"/>
    <w:rsid w:val="005B68A7"/>
    <w:rsid w:val="005B6AC3"/>
    <w:rsid w:val="005B6B03"/>
    <w:rsid w:val="005B6BC8"/>
    <w:rsid w:val="005B70B6"/>
    <w:rsid w:val="005B7321"/>
    <w:rsid w:val="005B74C4"/>
    <w:rsid w:val="005B74FD"/>
    <w:rsid w:val="005C0331"/>
    <w:rsid w:val="005C055E"/>
    <w:rsid w:val="005C0678"/>
    <w:rsid w:val="005C0698"/>
    <w:rsid w:val="005C0FA1"/>
    <w:rsid w:val="005C1100"/>
    <w:rsid w:val="005C114E"/>
    <w:rsid w:val="005C1615"/>
    <w:rsid w:val="005C1D98"/>
    <w:rsid w:val="005C1DA5"/>
    <w:rsid w:val="005C1F7F"/>
    <w:rsid w:val="005C2559"/>
    <w:rsid w:val="005C2873"/>
    <w:rsid w:val="005C334C"/>
    <w:rsid w:val="005C34FC"/>
    <w:rsid w:val="005C36E4"/>
    <w:rsid w:val="005C3B5C"/>
    <w:rsid w:val="005C3C7F"/>
    <w:rsid w:val="005C4599"/>
    <w:rsid w:val="005C4BDD"/>
    <w:rsid w:val="005C4BEE"/>
    <w:rsid w:val="005C5143"/>
    <w:rsid w:val="005C5639"/>
    <w:rsid w:val="005C5742"/>
    <w:rsid w:val="005C5B27"/>
    <w:rsid w:val="005C6158"/>
    <w:rsid w:val="005C69D8"/>
    <w:rsid w:val="005C6DE6"/>
    <w:rsid w:val="005C70E0"/>
    <w:rsid w:val="005C72F9"/>
    <w:rsid w:val="005C760E"/>
    <w:rsid w:val="005C7E9E"/>
    <w:rsid w:val="005D0F3F"/>
    <w:rsid w:val="005D10E7"/>
    <w:rsid w:val="005D152B"/>
    <w:rsid w:val="005D1824"/>
    <w:rsid w:val="005D18C9"/>
    <w:rsid w:val="005D1B72"/>
    <w:rsid w:val="005D1C59"/>
    <w:rsid w:val="005D2216"/>
    <w:rsid w:val="005D2272"/>
    <w:rsid w:val="005D2471"/>
    <w:rsid w:val="005D25A3"/>
    <w:rsid w:val="005D2779"/>
    <w:rsid w:val="005D2EBD"/>
    <w:rsid w:val="005D3242"/>
    <w:rsid w:val="005D345B"/>
    <w:rsid w:val="005D3662"/>
    <w:rsid w:val="005D3C9F"/>
    <w:rsid w:val="005D3D64"/>
    <w:rsid w:val="005D3DF7"/>
    <w:rsid w:val="005D3E56"/>
    <w:rsid w:val="005D3FFB"/>
    <w:rsid w:val="005D412A"/>
    <w:rsid w:val="005D41EF"/>
    <w:rsid w:val="005D42FA"/>
    <w:rsid w:val="005D431A"/>
    <w:rsid w:val="005D4575"/>
    <w:rsid w:val="005D4D04"/>
    <w:rsid w:val="005D4E75"/>
    <w:rsid w:val="005D59BF"/>
    <w:rsid w:val="005D610C"/>
    <w:rsid w:val="005D637B"/>
    <w:rsid w:val="005D680A"/>
    <w:rsid w:val="005D6AA3"/>
    <w:rsid w:val="005D6CF7"/>
    <w:rsid w:val="005D7065"/>
    <w:rsid w:val="005D74E7"/>
    <w:rsid w:val="005D76CE"/>
    <w:rsid w:val="005D7771"/>
    <w:rsid w:val="005D784D"/>
    <w:rsid w:val="005D7B10"/>
    <w:rsid w:val="005D7F7B"/>
    <w:rsid w:val="005E039C"/>
    <w:rsid w:val="005E0732"/>
    <w:rsid w:val="005E0B50"/>
    <w:rsid w:val="005E0BE7"/>
    <w:rsid w:val="005E0D9E"/>
    <w:rsid w:val="005E0DCD"/>
    <w:rsid w:val="005E1107"/>
    <w:rsid w:val="005E11C9"/>
    <w:rsid w:val="005E1F81"/>
    <w:rsid w:val="005E34A6"/>
    <w:rsid w:val="005E3A5B"/>
    <w:rsid w:val="005E3BCD"/>
    <w:rsid w:val="005E3FC6"/>
    <w:rsid w:val="005E4118"/>
    <w:rsid w:val="005E462C"/>
    <w:rsid w:val="005E485B"/>
    <w:rsid w:val="005E4A87"/>
    <w:rsid w:val="005E4DA5"/>
    <w:rsid w:val="005E4DD4"/>
    <w:rsid w:val="005E4F20"/>
    <w:rsid w:val="005E503E"/>
    <w:rsid w:val="005E5932"/>
    <w:rsid w:val="005E59C7"/>
    <w:rsid w:val="005E5CA9"/>
    <w:rsid w:val="005E5E7B"/>
    <w:rsid w:val="005E6095"/>
    <w:rsid w:val="005E62E0"/>
    <w:rsid w:val="005E6A3F"/>
    <w:rsid w:val="005E6B03"/>
    <w:rsid w:val="005E6C06"/>
    <w:rsid w:val="005E6DB8"/>
    <w:rsid w:val="005E7228"/>
    <w:rsid w:val="005E7284"/>
    <w:rsid w:val="005E756E"/>
    <w:rsid w:val="005E77BE"/>
    <w:rsid w:val="005E7BAC"/>
    <w:rsid w:val="005E7E82"/>
    <w:rsid w:val="005F099F"/>
    <w:rsid w:val="005F0C27"/>
    <w:rsid w:val="005F0CD7"/>
    <w:rsid w:val="005F0E5C"/>
    <w:rsid w:val="005F0E87"/>
    <w:rsid w:val="005F134E"/>
    <w:rsid w:val="005F1365"/>
    <w:rsid w:val="005F1509"/>
    <w:rsid w:val="005F1AB1"/>
    <w:rsid w:val="005F1B9F"/>
    <w:rsid w:val="005F291C"/>
    <w:rsid w:val="005F2C1F"/>
    <w:rsid w:val="005F2E44"/>
    <w:rsid w:val="005F3102"/>
    <w:rsid w:val="005F3690"/>
    <w:rsid w:val="005F3741"/>
    <w:rsid w:val="005F3986"/>
    <w:rsid w:val="005F39BD"/>
    <w:rsid w:val="005F4229"/>
    <w:rsid w:val="005F461B"/>
    <w:rsid w:val="005F4C57"/>
    <w:rsid w:val="005F5579"/>
    <w:rsid w:val="005F58F6"/>
    <w:rsid w:val="005F5B80"/>
    <w:rsid w:val="005F5DC4"/>
    <w:rsid w:val="005F613E"/>
    <w:rsid w:val="005F66F4"/>
    <w:rsid w:val="005F6774"/>
    <w:rsid w:val="005F6F35"/>
    <w:rsid w:val="005F725C"/>
    <w:rsid w:val="005F7712"/>
    <w:rsid w:val="005F78BB"/>
    <w:rsid w:val="005F79AA"/>
    <w:rsid w:val="005F7BCD"/>
    <w:rsid w:val="005F7C66"/>
    <w:rsid w:val="005F7DE1"/>
    <w:rsid w:val="00600359"/>
    <w:rsid w:val="0060044B"/>
    <w:rsid w:val="006006BF"/>
    <w:rsid w:val="00600D52"/>
    <w:rsid w:val="0060100C"/>
    <w:rsid w:val="006013D7"/>
    <w:rsid w:val="006014DB"/>
    <w:rsid w:val="00601534"/>
    <w:rsid w:val="00601587"/>
    <w:rsid w:val="00601718"/>
    <w:rsid w:val="00602079"/>
    <w:rsid w:val="0060211A"/>
    <w:rsid w:val="006022A7"/>
    <w:rsid w:val="006022F3"/>
    <w:rsid w:val="00602477"/>
    <w:rsid w:val="00602579"/>
    <w:rsid w:val="00602831"/>
    <w:rsid w:val="00602855"/>
    <w:rsid w:val="00602B0B"/>
    <w:rsid w:val="00602BA4"/>
    <w:rsid w:val="00602DA2"/>
    <w:rsid w:val="00602E99"/>
    <w:rsid w:val="00602FF4"/>
    <w:rsid w:val="00603228"/>
    <w:rsid w:val="00603FA1"/>
    <w:rsid w:val="006041A6"/>
    <w:rsid w:val="006041E2"/>
    <w:rsid w:val="00604ACD"/>
    <w:rsid w:val="00604BD9"/>
    <w:rsid w:val="00604C15"/>
    <w:rsid w:val="00604DC2"/>
    <w:rsid w:val="00605225"/>
    <w:rsid w:val="0060523D"/>
    <w:rsid w:val="00605565"/>
    <w:rsid w:val="00605A44"/>
    <w:rsid w:val="00605A99"/>
    <w:rsid w:val="00605BD5"/>
    <w:rsid w:val="00605F1F"/>
    <w:rsid w:val="006060C4"/>
    <w:rsid w:val="006065E8"/>
    <w:rsid w:val="006066C2"/>
    <w:rsid w:val="00606733"/>
    <w:rsid w:val="00606752"/>
    <w:rsid w:val="00606E1C"/>
    <w:rsid w:val="00607398"/>
    <w:rsid w:val="00607C35"/>
    <w:rsid w:val="00607D71"/>
    <w:rsid w:val="00607E23"/>
    <w:rsid w:val="006111CC"/>
    <w:rsid w:val="00611214"/>
    <w:rsid w:val="00611777"/>
    <w:rsid w:val="0061189F"/>
    <w:rsid w:val="00611AE0"/>
    <w:rsid w:val="00611B27"/>
    <w:rsid w:val="00611BE9"/>
    <w:rsid w:val="00611C38"/>
    <w:rsid w:val="00611D1F"/>
    <w:rsid w:val="00611EB7"/>
    <w:rsid w:val="0061219B"/>
    <w:rsid w:val="00612D05"/>
    <w:rsid w:val="00613694"/>
    <w:rsid w:val="00613D6F"/>
    <w:rsid w:val="00613FB6"/>
    <w:rsid w:val="006140C6"/>
    <w:rsid w:val="00614134"/>
    <w:rsid w:val="00614241"/>
    <w:rsid w:val="0061428D"/>
    <w:rsid w:val="00615411"/>
    <w:rsid w:val="006157CA"/>
    <w:rsid w:val="0061599E"/>
    <w:rsid w:val="00615AC7"/>
    <w:rsid w:val="00615D6A"/>
    <w:rsid w:val="006160A7"/>
    <w:rsid w:val="006162E6"/>
    <w:rsid w:val="006166F5"/>
    <w:rsid w:val="00616C16"/>
    <w:rsid w:val="00616C98"/>
    <w:rsid w:val="00616D24"/>
    <w:rsid w:val="00616DA3"/>
    <w:rsid w:val="006171A5"/>
    <w:rsid w:val="00617369"/>
    <w:rsid w:val="0062011E"/>
    <w:rsid w:val="0062029B"/>
    <w:rsid w:val="00620309"/>
    <w:rsid w:val="006204F8"/>
    <w:rsid w:val="00620BC4"/>
    <w:rsid w:val="00621178"/>
    <w:rsid w:val="0062159D"/>
    <w:rsid w:val="00621680"/>
    <w:rsid w:val="006216E1"/>
    <w:rsid w:val="00621841"/>
    <w:rsid w:val="00621900"/>
    <w:rsid w:val="00621904"/>
    <w:rsid w:val="00621B7F"/>
    <w:rsid w:val="00621EC5"/>
    <w:rsid w:val="00622004"/>
    <w:rsid w:val="006223E0"/>
    <w:rsid w:val="006224D0"/>
    <w:rsid w:val="00622BCE"/>
    <w:rsid w:val="00622E29"/>
    <w:rsid w:val="006232F8"/>
    <w:rsid w:val="00623643"/>
    <w:rsid w:val="0062383A"/>
    <w:rsid w:val="00623BB8"/>
    <w:rsid w:val="00623C63"/>
    <w:rsid w:val="00624018"/>
    <w:rsid w:val="006240C4"/>
    <w:rsid w:val="00624B3C"/>
    <w:rsid w:val="00624CA8"/>
    <w:rsid w:val="00624ED3"/>
    <w:rsid w:val="00625304"/>
    <w:rsid w:val="006256E4"/>
    <w:rsid w:val="0062581B"/>
    <w:rsid w:val="00625862"/>
    <w:rsid w:val="00625D73"/>
    <w:rsid w:val="00625F3C"/>
    <w:rsid w:val="00626029"/>
    <w:rsid w:val="00626093"/>
    <w:rsid w:val="006261F4"/>
    <w:rsid w:val="0062680E"/>
    <w:rsid w:val="00627A86"/>
    <w:rsid w:val="00627C23"/>
    <w:rsid w:val="00627F0A"/>
    <w:rsid w:val="00627F76"/>
    <w:rsid w:val="0063047E"/>
    <w:rsid w:val="0063049B"/>
    <w:rsid w:val="00630931"/>
    <w:rsid w:val="00631069"/>
    <w:rsid w:val="0063164E"/>
    <w:rsid w:val="0063191D"/>
    <w:rsid w:val="00631BB4"/>
    <w:rsid w:val="006320C5"/>
    <w:rsid w:val="00632276"/>
    <w:rsid w:val="00633488"/>
    <w:rsid w:val="00633581"/>
    <w:rsid w:val="00633738"/>
    <w:rsid w:val="00633828"/>
    <w:rsid w:val="006339AF"/>
    <w:rsid w:val="00633C47"/>
    <w:rsid w:val="00633E36"/>
    <w:rsid w:val="00634248"/>
    <w:rsid w:val="006345EE"/>
    <w:rsid w:val="006348F7"/>
    <w:rsid w:val="00634B98"/>
    <w:rsid w:val="00634F50"/>
    <w:rsid w:val="006350EB"/>
    <w:rsid w:val="0063512D"/>
    <w:rsid w:val="006356AD"/>
    <w:rsid w:val="006358FB"/>
    <w:rsid w:val="00635AE2"/>
    <w:rsid w:val="00635E0C"/>
    <w:rsid w:val="00635E19"/>
    <w:rsid w:val="00635E1E"/>
    <w:rsid w:val="00635FCB"/>
    <w:rsid w:val="006362B4"/>
    <w:rsid w:val="0063677C"/>
    <w:rsid w:val="00636874"/>
    <w:rsid w:val="00636972"/>
    <w:rsid w:val="00636B69"/>
    <w:rsid w:val="00636BC2"/>
    <w:rsid w:val="00637980"/>
    <w:rsid w:val="00637B9A"/>
    <w:rsid w:val="00637F2C"/>
    <w:rsid w:val="006404B1"/>
    <w:rsid w:val="006404D1"/>
    <w:rsid w:val="00640F43"/>
    <w:rsid w:val="006412CA"/>
    <w:rsid w:val="00641341"/>
    <w:rsid w:val="006419AA"/>
    <w:rsid w:val="00641A43"/>
    <w:rsid w:val="00641AA2"/>
    <w:rsid w:val="00641C5E"/>
    <w:rsid w:val="00641CB7"/>
    <w:rsid w:val="00641E13"/>
    <w:rsid w:val="006420DA"/>
    <w:rsid w:val="00642A0A"/>
    <w:rsid w:val="00642E0B"/>
    <w:rsid w:val="00642E32"/>
    <w:rsid w:val="006433C0"/>
    <w:rsid w:val="00643AC1"/>
    <w:rsid w:val="00643D62"/>
    <w:rsid w:val="00643E0D"/>
    <w:rsid w:val="00643E89"/>
    <w:rsid w:val="006442E6"/>
    <w:rsid w:val="0064446F"/>
    <w:rsid w:val="006446D7"/>
    <w:rsid w:val="006447C7"/>
    <w:rsid w:val="00644A5E"/>
    <w:rsid w:val="00644A6C"/>
    <w:rsid w:val="00644D69"/>
    <w:rsid w:val="00644F90"/>
    <w:rsid w:val="006450FB"/>
    <w:rsid w:val="00645460"/>
    <w:rsid w:val="006457A8"/>
    <w:rsid w:val="00645B6A"/>
    <w:rsid w:val="00645E9D"/>
    <w:rsid w:val="00645EA0"/>
    <w:rsid w:val="00645F76"/>
    <w:rsid w:val="0064672D"/>
    <w:rsid w:val="00646B50"/>
    <w:rsid w:val="00646EB0"/>
    <w:rsid w:val="0064714D"/>
    <w:rsid w:val="0064727D"/>
    <w:rsid w:val="0064729A"/>
    <w:rsid w:val="00647B32"/>
    <w:rsid w:val="00647C27"/>
    <w:rsid w:val="00647CAA"/>
    <w:rsid w:val="00647CB2"/>
    <w:rsid w:val="00647F66"/>
    <w:rsid w:val="00650741"/>
    <w:rsid w:val="0065099A"/>
    <w:rsid w:val="00650F8B"/>
    <w:rsid w:val="00651357"/>
    <w:rsid w:val="006515AC"/>
    <w:rsid w:val="006519E6"/>
    <w:rsid w:val="00651CDE"/>
    <w:rsid w:val="0065204F"/>
    <w:rsid w:val="00652326"/>
    <w:rsid w:val="006523C6"/>
    <w:rsid w:val="006524F6"/>
    <w:rsid w:val="00652773"/>
    <w:rsid w:val="00652907"/>
    <w:rsid w:val="00652E06"/>
    <w:rsid w:val="00652E18"/>
    <w:rsid w:val="00653059"/>
    <w:rsid w:val="006530EF"/>
    <w:rsid w:val="006531DA"/>
    <w:rsid w:val="00653E38"/>
    <w:rsid w:val="00653FC4"/>
    <w:rsid w:val="00654F91"/>
    <w:rsid w:val="00655361"/>
    <w:rsid w:val="0065585B"/>
    <w:rsid w:val="006558EB"/>
    <w:rsid w:val="00656253"/>
    <w:rsid w:val="00656307"/>
    <w:rsid w:val="006564F1"/>
    <w:rsid w:val="006566CB"/>
    <w:rsid w:val="00656799"/>
    <w:rsid w:val="00656861"/>
    <w:rsid w:val="00656964"/>
    <w:rsid w:val="00656B77"/>
    <w:rsid w:val="00656E72"/>
    <w:rsid w:val="006570A8"/>
    <w:rsid w:val="006578A1"/>
    <w:rsid w:val="00657C83"/>
    <w:rsid w:val="006604AB"/>
    <w:rsid w:val="006607E8"/>
    <w:rsid w:val="00660BF6"/>
    <w:rsid w:val="006611ED"/>
    <w:rsid w:val="0066137B"/>
    <w:rsid w:val="0066174E"/>
    <w:rsid w:val="0066178F"/>
    <w:rsid w:val="00661B40"/>
    <w:rsid w:val="00661BAE"/>
    <w:rsid w:val="00661BBB"/>
    <w:rsid w:val="00661D2B"/>
    <w:rsid w:val="00661E57"/>
    <w:rsid w:val="006629E4"/>
    <w:rsid w:val="00662D43"/>
    <w:rsid w:val="0066352E"/>
    <w:rsid w:val="00663702"/>
    <w:rsid w:val="00663783"/>
    <w:rsid w:val="00663B3E"/>
    <w:rsid w:val="00663DD7"/>
    <w:rsid w:val="00663E2A"/>
    <w:rsid w:val="00663E47"/>
    <w:rsid w:val="00663F6C"/>
    <w:rsid w:val="0066442B"/>
    <w:rsid w:val="006644A7"/>
    <w:rsid w:val="00664B6A"/>
    <w:rsid w:val="00664BDE"/>
    <w:rsid w:val="00664D31"/>
    <w:rsid w:val="0066505E"/>
    <w:rsid w:val="006655F9"/>
    <w:rsid w:val="0066565B"/>
    <w:rsid w:val="00665881"/>
    <w:rsid w:val="00665B02"/>
    <w:rsid w:val="00665C44"/>
    <w:rsid w:val="00665CC9"/>
    <w:rsid w:val="00666284"/>
    <w:rsid w:val="0066666F"/>
    <w:rsid w:val="006666C6"/>
    <w:rsid w:val="006667F3"/>
    <w:rsid w:val="006668C7"/>
    <w:rsid w:val="00666A1C"/>
    <w:rsid w:val="00666DC9"/>
    <w:rsid w:val="00667218"/>
    <w:rsid w:val="00667454"/>
    <w:rsid w:val="0066763A"/>
    <w:rsid w:val="00667AEA"/>
    <w:rsid w:val="00667D42"/>
    <w:rsid w:val="006704FA"/>
    <w:rsid w:val="00670687"/>
    <w:rsid w:val="00670DC5"/>
    <w:rsid w:val="00671108"/>
    <w:rsid w:val="006712C6"/>
    <w:rsid w:val="00671652"/>
    <w:rsid w:val="006717A2"/>
    <w:rsid w:val="00671FAA"/>
    <w:rsid w:val="00672008"/>
    <w:rsid w:val="00672357"/>
    <w:rsid w:val="006728E3"/>
    <w:rsid w:val="00672BC6"/>
    <w:rsid w:val="006732EE"/>
    <w:rsid w:val="006735A9"/>
    <w:rsid w:val="006741F6"/>
    <w:rsid w:val="006744FA"/>
    <w:rsid w:val="006747C6"/>
    <w:rsid w:val="0067545F"/>
    <w:rsid w:val="00675AEA"/>
    <w:rsid w:val="00675B49"/>
    <w:rsid w:val="00675DA5"/>
    <w:rsid w:val="00676336"/>
    <w:rsid w:val="00676AF9"/>
    <w:rsid w:val="00677076"/>
    <w:rsid w:val="00677410"/>
    <w:rsid w:val="006779FA"/>
    <w:rsid w:val="00677A03"/>
    <w:rsid w:val="00680482"/>
    <w:rsid w:val="00680730"/>
    <w:rsid w:val="0068075E"/>
    <w:rsid w:val="006808DC"/>
    <w:rsid w:val="006808E1"/>
    <w:rsid w:val="00680F78"/>
    <w:rsid w:val="00681371"/>
    <w:rsid w:val="006816B6"/>
    <w:rsid w:val="006820EB"/>
    <w:rsid w:val="00682128"/>
    <w:rsid w:val="0068220C"/>
    <w:rsid w:val="006829BF"/>
    <w:rsid w:val="00682AB1"/>
    <w:rsid w:val="00682C0E"/>
    <w:rsid w:val="00682E9F"/>
    <w:rsid w:val="00683252"/>
    <w:rsid w:val="0068343A"/>
    <w:rsid w:val="006834D4"/>
    <w:rsid w:val="00683DF3"/>
    <w:rsid w:val="0068413D"/>
    <w:rsid w:val="006842D6"/>
    <w:rsid w:val="006844BA"/>
    <w:rsid w:val="006845A2"/>
    <w:rsid w:val="00684BC4"/>
    <w:rsid w:val="00684BF8"/>
    <w:rsid w:val="00684D9B"/>
    <w:rsid w:val="00685418"/>
    <w:rsid w:val="00685762"/>
    <w:rsid w:val="006858AA"/>
    <w:rsid w:val="00685BCF"/>
    <w:rsid w:val="0068613E"/>
    <w:rsid w:val="006866EE"/>
    <w:rsid w:val="00686E51"/>
    <w:rsid w:val="006871D0"/>
    <w:rsid w:val="0068751F"/>
    <w:rsid w:val="00687B9C"/>
    <w:rsid w:val="00687D9B"/>
    <w:rsid w:val="00687EC0"/>
    <w:rsid w:val="006900D1"/>
    <w:rsid w:val="0069018E"/>
    <w:rsid w:val="00690297"/>
    <w:rsid w:val="00690524"/>
    <w:rsid w:val="0069056B"/>
    <w:rsid w:val="0069115A"/>
    <w:rsid w:val="006912F1"/>
    <w:rsid w:val="00691387"/>
    <w:rsid w:val="0069149D"/>
    <w:rsid w:val="00691A0A"/>
    <w:rsid w:val="00692400"/>
    <w:rsid w:val="006927F2"/>
    <w:rsid w:val="006929CB"/>
    <w:rsid w:val="00692A51"/>
    <w:rsid w:val="006931E1"/>
    <w:rsid w:val="00693917"/>
    <w:rsid w:val="00693D8D"/>
    <w:rsid w:val="00694310"/>
    <w:rsid w:val="006946FC"/>
    <w:rsid w:val="00694700"/>
    <w:rsid w:val="0069479C"/>
    <w:rsid w:val="00694803"/>
    <w:rsid w:val="00694A85"/>
    <w:rsid w:val="00694B41"/>
    <w:rsid w:val="00694CE8"/>
    <w:rsid w:val="0069569E"/>
    <w:rsid w:val="006956C6"/>
    <w:rsid w:val="00695F29"/>
    <w:rsid w:val="00695FF4"/>
    <w:rsid w:val="00696734"/>
    <w:rsid w:val="00696895"/>
    <w:rsid w:val="00696EE3"/>
    <w:rsid w:val="0069715D"/>
    <w:rsid w:val="00697353"/>
    <w:rsid w:val="00697392"/>
    <w:rsid w:val="006973E5"/>
    <w:rsid w:val="00697651"/>
    <w:rsid w:val="00697664"/>
    <w:rsid w:val="00697681"/>
    <w:rsid w:val="0069770C"/>
    <w:rsid w:val="0069795E"/>
    <w:rsid w:val="00697FB7"/>
    <w:rsid w:val="006A015C"/>
    <w:rsid w:val="006A04C7"/>
    <w:rsid w:val="006A0764"/>
    <w:rsid w:val="006A08F2"/>
    <w:rsid w:val="006A093C"/>
    <w:rsid w:val="006A09B4"/>
    <w:rsid w:val="006A09F3"/>
    <w:rsid w:val="006A0AE8"/>
    <w:rsid w:val="006A0D3A"/>
    <w:rsid w:val="006A0F38"/>
    <w:rsid w:val="006A151A"/>
    <w:rsid w:val="006A1E62"/>
    <w:rsid w:val="006A1F42"/>
    <w:rsid w:val="006A26E8"/>
    <w:rsid w:val="006A2A12"/>
    <w:rsid w:val="006A2AAD"/>
    <w:rsid w:val="006A2E8F"/>
    <w:rsid w:val="006A2E9C"/>
    <w:rsid w:val="006A32C3"/>
    <w:rsid w:val="006A33EE"/>
    <w:rsid w:val="006A35E0"/>
    <w:rsid w:val="006A377F"/>
    <w:rsid w:val="006A384A"/>
    <w:rsid w:val="006A3875"/>
    <w:rsid w:val="006A3A9A"/>
    <w:rsid w:val="006A3BD2"/>
    <w:rsid w:val="006A3D40"/>
    <w:rsid w:val="006A40C8"/>
    <w:rsid w:val="006A4628"/>
    <w:rsid w:val="006A49AD"/>
    <w:rsid w:val="006A51B7"/>
    <w:rsid w:val="006A5291"/>
    <w:rsid w:val="006A52DA"/>
    <w:rsid w:val="006A561D"/>
    <w:rsid w:val="006A5A0C"/>
    <w:rsid w:val="006A5BA0"/>
    <w:rsid w:val="006A5BB1"/>
    <w:rsid w:val="006A5C30"/>
    <w:rsid w:val="006A5F88"/>
    <w:rsid w:val="006A638C"/>
    <w:rsid w:val="006A6AEB"/>
    <w:rsid w:val="006A7B2B"/>
    <w:rsid w:val="006A7D95"/>
    <w:rsid w:val="006A7E46"/>
    <w:rsid w:val="006B023A"/>
    <w:rsid w:val="006B0484"/>
    <w:rsid w:val="006B0863"/>
    <w:rsid w:val="006B0CD2"/>
    <w:rsid w:val="006B120D"/>
    <w:rsid w:val="006B13C1"/>
    <w:rsid w:val="006B1995"/>
    <w:rsid w:val="006B2211"/>
    <w:rsid w:val="006B2CC7"/>
    <w:rsid w:val="006B2D07"/>
    <w:rsid w:val="006B3AF9"/>
    <w:rsid w:val="006B3BC3"/>
    <w:rsid w:val="006B3E2C"/>
    <w:rsid w:val="006B40DA"/>
    <w:rsid w:val="006B44C5"/>
    <w:rsid w:val="006B4E42"/>
    <w:rsid w:val="006B555F"/>
    <w:rsid w:val="006B58A8"/>
    <w:rsid w:val="006B6242"/>
    <w:rsid w:val="006B6A2D"/>
    <w:rsid w:val="006B6C7C"/>
    <w:rsid w:val="006B6EA4"/>
    <w:rsid w:val="006B771E"/>
    <w:rsid w:val="006B77BB"/>
    <w:rsid w:val="006B7F8F"/>
    <w:rsid w:val="006B7FC5"/>
    <w:rsid w:val="006C01EC"/>
    <w:rsid w:val="006C055E"/>
    <w:rsid w:val="006C0B2F"/>
    <w:rsid w:val="006C0D13"/>
    <w:rsid w:val="006C0F68"/>
    <w:rsid w:val="006C187F"/>
    <w:rsid w:val="006C19BC"/>
    <w:rsid w:val="006C19D5"/>
    <w:rsid w:val="006C1B44"/>
    <w:rsid w:val="006C1D76"/>
    <w:rsid w:val="006C1F77"/>
    <w:rsid w:val="006C2119"/>
    <w:rsid w:val="006C219A"/>
    <w:rsid w:val="006C2211"/>
    <w:rsid w:val="006C22CB"/>
    <w:rsid w:val="006C2A0C"/>
    <w:rsid w:val="006C2B90"/>
    <w:rsid w:val="006C2BE7"/>
    <w:rsid w:val="006C3031"/>
    <w:rsid w:val="006C3607"/>
    <w:rsid w:val="006C381C"/>
    <w:rsid w:val="006C3990"/>
    <w:rsid w:val="006C3C76"/>
    <w:rsid w:val="006C3ED2"/>
    <w:rsid w:val="006C4233"/>
    <w:rsid w:val="006C42E7"/>
    <w:rsid w:val="006C4422"/>
    <w:rsid w:val="006C4D8D"/>
    <w:rsid w:val="006C4E9A"/>
    <w:rsid w:val="006C53B9"/>
    <w:rsid w:val="006C5A14"/>
    <w:rsid w:val="006C5C94"/>
    <w:rsid w:val="006C5CCA"/>
    <w:rsid w:val="006C625F"/>
    <w:rsid w:val="006C67A6"/>
    <w:rsid w:val="006C6CF2"/>
    <w:rsid w:val="006C6FCA"/>
    <w:rsid w:val="006C70B9"/>
    <w:rsid w:val="006C7240"/>
    <w:rsid w:val="006C7671"/>
    <w:rsid w:val="006C7724"/>
    <w:rsid w:val="006C78A6"/>
    <w:rsid w:val="006C7AB4"/>
    <w:rsid w:val="006D006B"/>
    <w:rsid w:val="006D105C"/>
    <w:rsid w:val="006D1BA4"/>
    <w:rsid w:val="006D1E06"/>
    <w:rsid w:val="006D2E3C"/>
    <w:rsid w:val="006D2EAF"/>
    <w:rsid w:val="006D30E7"/>
    <w:rsid w:val="006D337D"/>
    <w:rsid w:val="006D48E7"/>
    <w:rsid w:val="006D4947"/>
    <w:rsid w:val="006D5046"/>
    <w:rsid w:val="006D51FE"/>
    <w:rsid w:val="006D5B51"/>
    <w:rsid w:val="006D5B77"/>
    <w:rsid w:val="006D5B86"/>
    <w:rsid w:val="006D5F16"/>
    <w:rsid w:val="006D60F7"/>
    <w:rsid w:val="006D63AD"/>
    <w:rsid w:val="006D6764"/>
    <w:rsid w:val="006D6773"/>
    <w:rsid w:val="006D67D9"/>
    <w:rsid w:val="006D6C93"/>
    <w:rsid w:val="006D712B"/>
    <w:rsid w:val="006D71D8"/>
    <w:rsid w:val="006D73A0"/>
    <w:rsid w:val="006D7573"/>
    <w:rsid w:val="006D759F"/>
    <w:rsid w:val="006D75BE"/>
    <w:rsid w:val="006D796C"/>
    <w:rsid w:val="006D7A2B"/>
    <w:rsid w:val="006D7AA2"/>
    <w:rsid w:val="006E0340"/>
    <w:rsid w:val="006E0393"/>
    <w:rsid w:val="006E0661"/>
    <w:rsid w:val="006E06F9"/>
    <w:rsid w:val="006E07A9"/>
    <w:rsid w:val="006E0D91"/>
    <w:rsid w:val="006E0E9C"/>
    <w:rsid w:val="006E1590"/>
    <w:rsid w:val="006E1706"/>
    <w:rsid w:val="006E1A83"/>
    <w:rsid w:val="006E1BD1"/>
    <w:rsid w:val="006E20D6"/>
    <w:rsid w:val="006E3084"/>
    <w:rsid w:val="006E335A"/>
    <w:rsid w:val="006E3CB2"/>
    <w:rsid w:val="006E3DA8"/>
    <w:rsid w:val="006E3FB9"/>
    <w:rsid w:val="006E4FA1"/>
    <w:rsid w:val="006E50A5"/>
    <w:rsid w:val="006E50F7"/>
    <w:rsid w:val="006E580E"/>
    <w:rsid w:val="006E5907"/>
    <w:rsid w:val="006E5BDE"/>
    <w:rsid w:val="006E5DAA"/>
    <w:rsid w:val="006E6122"/>
    <w:rsid w:val="006E6446"/>
    <w:rsid w:val="006E6775"/>
    <w:rsid w:val="006E6FAB"/>
    <w:rsid w:val="006E7006"/>
    <w:rsid w:val="006E7101"/>
    <w:rsid w:val="006E725E"/>
    <w:rsid w:val="006F00E7"/>
    <w:rsid w:val="006F01EA"/>
    <w:rsid w:val="006F0851"/>
    <w:rsid w:val="006F0A3E"/>
    <w:rsid w:val="006F0C3C"/>
    <w:rsid w:val="006F0F6E"/>
    <w:rsid w:val="006F1B22"/>
    <w:rsid w:val="006F1BA4"/>
    <w:rsid w:val="006F2259"/>
    <w:rsid w:val="006F22B5"/>
    <w:rsid w:val="006F23E1"/>
    <w:rsid w:val="006F26B9"/>
    <w:rsid w:val="006F2F8F"/>
    <w:rsid w:val="006F2FDA"/>
    <w:rsid w:val="006F2FE5"/>
    <w:rsid w:val="006F3460"/>
    <w:rsid w:val="006F34FE"/>
    <w:rsid w:val="006F35F7"/>
    <w:rsid w:val="006F3615"/>
    <w:rsid w:val="006F3914"/>
    <w:rsid w:val="006F3FA3"/>
    <w:rsid w:val="006F47E2"/>
    <w:rsid w:val="006F48BA"/>
    <w:rsid w:val="006F4A1F"/>
    <w:rsid w:val="006F4AF9"/>
    <w:rsid w:val="006F4BBB"/>
    <w:rsid w:val="006F54EB"/>
    <w:rsid w:val="006F59F1"/>
    <w:rsid w:val="006F5CC1"/>
    <w:rsid w:val="006F5DDD"/>
    <w:rsid w:val="006F67A5"/>
    <w:rsid w:val="006F67D3"/>
    <w:rsid w:val="006F6E4C"/>
    <w:rsid w:val="006F6F5C"/>
    <w:rsid w:val="006F73BF"/>
    <w:rsid w:val="006F74BB"/>
    <w:rsid w:val="006F762D"/>
    <w:rsid w:val="006F7B5E"/>
    <w:rsid w:val="00700395"/>
    <w:rsid w:val="00700492"/>
    <w:rsid w:val="0070081E"/>
    <w:rsid w:val="007009AC"/>
    <w:rsid w:val="00700A0B"/>
    <w:rsid w:val="00700B42"/>
    <w:rsid w:val="00700B56"/>
    <w:rsid w:val="00701053"/>
    <w:rsid w:val="00701345"/>
    <w:rsid w:val="0070167E"/>
    <w:rsid w:val="00701C90"/>
    <w:rsid w:val="00701E1B"/>
    <w:rsid w:val="00702ED0"/>
    <w:rsid w:val="007030F5"/>
    <w:rsid w:val="00703C09"/>
    <w:rsid w:val="00704312"/>
    <w:rsid w:val="0070434A"/>
    <w:rsid w:val="007048C4"/>
    <w:rsid w:val="00704BCD"/>
    <w:rsid w:val="00704C3B"/>
    <w:rsid w:val="00704CC4"/>
    <w:rsid w:val="00705345"/>
    <w:rsid w:val="007056CF"/>
    <w:rsid w:val="0070638D"/>
    <w:rsid w:val="00706B8F"/>
    <w:rsid w:val="00706DBF"/>
    <w:rsid w:val="00706E13"/>
    <w:rsid w:val="007077CF"/>
    <w:rsid w:val="00707A59"/>
    <w:rsid w:val="00707EAE"/>
    <w:rsid w:val="00707EF8"/>
    <w:rsid w:val="00710363"/>
    <w:rsid w:val="0071046B"/>
    <w:rsid w:val="007109D3"/>
    <w:rsid w:val="00710A12"/>
    <w:rsid w:val="00710AC6"/>
    <w:rsid w:val="00710C1D"/>
    <w:rsid w:val="007110A3"/>
    <w:rsid w:val="00711108"/>
    <w:rsid w:val="00711213"/>
    <w:rsid w:val="007112A1"/>
    <w:rsid w:val="007113F5"/>
    <w:rsid w:val="00711996"/>
    <w:rsid w:val="00711B3B"/>
    <w:rsid w:val="00711BA3"/>
    <w:rsid w:val="00711C9D"/>
    <w:rsid w:val="00711EB8"/>
    <w:rsid w:val="00712A75"/>
    <w:rsid w:val="00712B71"/>
    <w:rsid w:val="00712E55"/>
    <w:rsid w:val="00713023"/>
    <w:rsid w:val="0071322C"/>
    <w:rsid w:val="0071330B"/>
    <w:rsid w:val="007135F8"/>
    <w:rsid w:val="00713732"/>
    <w:rsid w:val="00713779"/>
    <w:rsid w:val="00713989"/>
    <w:rsid w:val="00713DCF"/>
    <w:rsid w:val="00714004"/>
    <w:rsid w:val="0071458E"/>
    <w:rsid w:val="007145C9"/>
    <w:rsid w:val="0071460A"/>
    <w:rsid w:val="00714631"/>
    <w:rsid w:val="00714725"/>
    <w:rsid w:val="00714B6E"/>
    <w:rsid w:val="00714DE0"/>
    <w:rsid w:val="0071512F"/>
    <w:rsid w:val="00715517"/>
    <w:rsid w:val="007155BF"/>
    <w:rsid w:val="007155E0"/>
    <w:rsid w:val="00715CD4"/>
    <w:rsid w:val="00716372"/>
    <w:rsid w:val="00716486"/>
    <w:rsid w:val="00716504"/>
    <w:rsid w:val="007169AC"/>
    <w:rsid w:val="007169DD"/>
    <w:rsid w:val="00716EE0"/>
    <w:rsid w:val="00717679"/>
    <w:rsid w:val="00717B67"/>
    <w:rsid w:val="00717F38"/>
    <w:rsid w:val="00717FA4"/>
    <w:rsid w:val="0072040B"/>
    <w:rsid w:val="00720625"/>
    <w:rsid w:val="007206A2"/>
    <w:rsid w:val="00720937"/>
    <w:rsid w:val="00720B38"/>
    <w:rsid w:val="00720CA7"/>
    <w:rsid w:val="00721072"/>
    <w:rsid w:val="007211FD"/>
    <w:rsid w:val="0072147B"/>
    <w:rsid w:val="0072181E"/>
    <w:rsid w:val="00721AB5"/>
    <w:rsid w:val="00721BFD"/>
    <w:rsid w:val="00722267"/>
    <w:rsid w:val="007222E8"/>
    <w:rsid w:val="007223E3"/>
    <w:rsid w:val="0072285E"/>
    <w:rsid w:val="00722C62"/>
    <w:rsid w:val="0072321F"/>
    <w:rsid w:val="00723295"/>
    <w:rsid w:val="007235AF"/>
    <w:rsid w:val="00723627"/>
    <w:rsid w:val="007238E2"/>
    <w:rsid w:val="007239B4"/>
    <w:rsid w:val="00724076"/>
    <w:rsid w:val="00724446"/>
    <w:rsid w:val="00724584"/>
    <w:rsid w:val="007247E2"/>
    <w:rsid w:val="007249F0"/>
    <w:rsid w:val="00724AA1"/>
    <w:rsid w:val="00724D39"/>
    <w:rsid w:val="0072594D"/>
    <w:rsid w:val="00725A19"/>
    <w:rsid w:val="00725D2F"/>
    <w:rsid w:val="00725DA6"/>
    <w:rsid w:val="00725EDE"/>
    <w:rsid w:val="00725FAC"/>
    <w:rsid w:val="007261D8"/>
    <w:rsid w:val="00726356"/>
    <w:rsid w:val="0072650D"/>
    <w:rsid w:val="00726742"/>
    <w:rsid w:val="007268C7"/>
    <w:rsid w:val="00726AAB"/>
    <w:rsid w:val="00726D79"/>
    <w:rsid w:val="00727077"/>
    <w:rsid w:val="007270DB"/>
    <w:rsid w:val="007275B4"/>
    <w:rsid w:val="007275BB"/>
    <w:rsid w:val="00727635"/>
    <w:rsid w:val="00730608"/>
    <w:rsid w:val="00730A86"/>
    <w:rsid w:val="00730AB4"/>
    <w:rsid w:val="00730EA6"/>
    <w:rsid w:val="00730FF3"/>
    <w:rsid w:val="007311DB"/>
    <w:rsid w:val="007318A7"/>
    <w:rsid w:val="00731B3E"/>
    <w:rsid w:val="00731C15"/>
    <w:rsid w:val="00731C74"/>
    <w:rsid w:val="00732045"/>
    <w:rsid w:val="007322A0"/>
    <w:rsid w:val="007327BF"/>
    <w:rsid w:val="00732ACB"/>
    <w:rsid w:val="00732C1A"/>
    <w:rsid w:val="00732C9E"/>
    <w:rsid w:val="00732F4B"/>
    <w:rsid w:val="007336AF"/>
    <w:rsid w:val="00733CDC"/>
    <w:rsid w:val="00733EEB"/>
    <w:rsid w:val="00734159"/>
    <w:rsid w:val="00734597"/>
    <w:rsid w:val="00734B9A"/>
    <w:rsid w:val="00735695"/>
    <w:rsid w:val="007357BD"/>
    <w:rsid w:val="00735D38"/>
    <w:rsid w:val="00735FC6"/>
    <w:rsid w:val="007360CB"/>
    <w:rsid w:val="00736275"/>
    <w:rsid w:val="00736361"/>
    <w:rsid w:val="00737543"/>
    <w:rsid w:val="00737566"/>
    <w:rsid w:val="00737738"/>
    <w:rsid w:val="00737BD3"/>
    <w:rsid w:val="007403A8"/>
    <w:rsid w:val="00740529"/>
    <w:rsid w:val="00740967"/>
    <w:rsid w:val="00740D11"/>
    <w:rsid w:val="00741555"/>
    <w:rsid w:val="007417CC"/>
    <w:rsid w:val="00741BA2"/>
    <w:rsid w:val="00741CF4"/>
    <w:rsid w:val="00741DCC"/>
    <w:rsid w:val="00741DE2"/>
    <w:rsid w:val="00742143"/>
    <w:rsid w:val="00742179"/>
    <w:rsid w:val="007421A1"/>
    <w:rsid w:val="007427FE"/>
    <w:rsid w:val="00742C51"/>
    <w:rsid w:val="0074320C"/>
    <w:rsid w:val="00743445"/>
    <w:rsid w:val="00744C59"/>
    <w:rsid w:val="00744DF3"/>
    <w:rsid w:val="007453F2"/>
    <w:rsid w:val="00745DEF"/>
    <w:rsid w:val="00745E01"/>
    <w:rsid w:val="00746510"/>
    <w:rsid w:val="0074666B"/>
    <w:rsid w:val="00746728"/>
    <w:rsid w:val="007468D6"/>
    <w:rsid w:val="00746BFF"/>
    <w:rsid w:val="00746E46"/>
    <w:rsid w:val="007473E1"/>
    <w:rsid w:val="00747689"/>
    <w:rsid w:val="00747897"/>
    <w:rsid w:val="00747DD7"/>
    <w:rsid w:val="00747E47"/>
    <w:rsid w:val="00747FA2"/>
    <w:rsid w:val="00750057"/>
    <w:rsid w:val="00750065"/>
    <w:rsid w:val="00750192"/>
    <w:rsid w:val="0075047E"/>
    <w:rsid w:val="007504E1"/>
    <w:rsid w:val="00750544"/>
    <w:rsid w:val="00750720"/>
    <w:rsid w:val="00750804"/>
    <w:rsid w:val="007509AB"/>
    <w:rsid w:val="007509CD"/>
    <w:rsid w:val="00750ECE"/>
    <w:rsid w:val="00751689"/>
    <w:rsid w:val="00751933"/>
    <w:rsid w:val="00751A21"/>
    <w:rsid w:val="00752485"/>
    <w:rsid w:val="007524AA"/>
    <w:rsid w:val="007526DA"/>
    <w:rsid w:val="00752E35"/>
    <w:rsid w:val="00752ED1"/>
    <w:rsid w:val="007532B1"/>
    <w:rsid w:val="007532D7"/>
    <w:rsid w:val="00753744"/>
    <w:rsid w:val="007538A1"/>
    <w:rsid w:val="00753A93"/>
    <w:rsid w:val="00753ABE"/>
    <w:rsid w:val="00753E5A"/>
    <w:rsid w:val="007541C7"/>
    <w:rsid w:val="00754AEC"/>
    <w:rsid w:val="00754D6A"/>
    <w:rsid w:val="007550D0"/>
    <w:rsid w:val="0075517A"/>
    <w:rsid w:val="00755663"/>
    <w:rsid w:val="007562DE"/>
    <w:rsid w:val="00756386"/>
    <w:rsid w:val="00756539"/>
    <w:rsid w:val="00756603"/>
    <w:rsid w:val="00757137"/>
    <w:rsid w:val="00757410"/>
    <w:rsid w:val="007575C0"/>
    <w:rsid w:val="00757834"/>
    <w:rsid w:val="007578D2"/>
    <w:rsid w:val="00757D2F"/>
    <w:rsid w:val="00757F50"/>
    <w:rsid w:val="0076000E"/>
    <w:rsid w:val="0076001A"/>
    <w:rsid w:val="007602FB"/>
    <w:rsid w:val="007606EF"/>
    <w:rsid w:val="0076094C"/>
    <w:rsid w:val="00760A96"/>
    <w:rsid w:val="00760C00"/>
    <w:rsid w:val="00761067"/>
    <w:rsid w:val="007610E9"/>
    <w:rsid w:val="00761402"/>
    <w:rsid w:val="007616CD"/>
    <w:rsid w:val="00761728"/>
    <w:rsid w:val="0076190C"/>
    <w:rsid w:val="00761C6C"/>
    <w:rsid w:val="00761D5D"/>
    <w:rsid w:val="007622A7"/>
    <w:rsid w:val="00762570"/>
    <w:rsid w:val="0076285F"/>
    <w:rsid w:val="00762B72"/>
    <w:rsid w:val="00762DFF"/>
    <w:rsid w:val="00762E10"/>
    <w:rsid w:val="00762E57"/>
    <w:rsid w:val="00762FD7"/>
    <w:rsid w:val="00763295"/>
    <w:rsid w:val="007634D4"/>
    <w:rsid w:val="00763CCB"/>
    <w:rsid w:val="007642B4"/>
    <w:rsid w:val="0076437E"/>
    <w:rsid w:val="007645A6"/>
    <w:rsid w:val="0076463E"/>
    <w:rsid w:val="00764AE2"/>
    <w:rsid w:val="00764BC3"/>
    <w:rsid w:val="00764C45"/>
    <w:rsid w:val="00764C7F"/>
    <w:rsid w:val="00765582"/>
    <w:rsid w:val="00766277"/>
    <w:rsid w:val="007662AA"/>
    <w:rsid w:val="0076656A"/>
    <w:rsid w:val="00766701"/>
    <w:rsid w:val="00766911"/>
    <w:rsid w:val="007669B8"/>
    <w:rsid w:val="00766CC1"/>
    <w:rsid w:val="00767145"/>
    <w:rsid w:val="00767793"/>
    <w:rsid w:val="007678E9"/>
    <w:rsid w:val="007679D8"/>
    <w:rsid w:val="00767CAC"/>
    <w:rsid w:val="00770793"/>
    <w:rsid w:val="00770803"/>
    <w:rsid w:val="00770924"/>
    <w:rsid w:val="00771319"/>
    <w:rsid w:val="007713E8"/>
    <w:rsid w:val="00771627"/>
    <w:rsid w:val="00771794"/>
    <w:rsid w:val="00771CCF"/>
    <w:rsid w:val="00771F7D"/>
    <w:rsid w:val="00772212"/>
    <w:rsid w:val="007722C5"/>
    <w:rsid w:val="007727A4"/>
    <w:rsid w:val="007729A5"/>
    <w:rsid w:val="00772C3E"/>
    <w:rsid w:val="00772F43"/>
    <w:rsid w:val="007736E8"/>
    <w:rsid w:val="00774123"/>
    <w:rsid w:val="00774400"/>
    <w:rsid w:val="00774ACE"/>
    <w:rsid w:val="00774EC0"/>
    <w:rsid w:val="00775823"/>
    <w:rsid w:val="00775AE0"/>
    <w:rsid w:val="00775F57"/>
    <w:rsid w:val="00776573"/>
    <w:rsid w:val="00776584"/>
    <w:rsid w:val="007769EF"/>
    <w:rsid w:val="00776D4F"/>
    <w:rsid w:val="00776DDC"/>
    <w:rsid w:val="007770F9"/>
    <w:rsid w:val="00777179"/>
    <w:rsid w:val="0077738B"/>
    <w:rsid w:val="00777901"/>
    <w:rsid w:val="00777945"/>
    <w:rsid w:val="00777A45"/>
    <w:rsid w:val="00777C61"/>
    <w:rsid w:val="00777D40"/>
    <w:rsid w:val="00777E2E"/>
    <w:rsid w:val="00780765"/>
    <w:rsid w:val="0078082B"/>
    <w:rsid w:val="00780B8D"/>
    <w:rsid w:val="00780B8E"/>
    <w:rsid w:val="00780EE2"/>
    <w:rsid w:val="00781066"/>
    <w:rsid w:val="0078118A"/>
    <w:rsid w:val="0078137A"/>
    <w:rsid w:val="00781649"/>
    <w:rsid w:val="007823D6"/>
    <w:rsid w:val="0078244C"/>
    <w:rsid w:val="0078254E"/>
    <w:rsid w:val="00782628"/>
    <w:rsid w:val="007826AB"/>
    <w:rsid w:val="00782831"/>
    <w:rsid w:val="00782D5A"/>
    <w:rsid w:val="00783218"/>
    <w:rsid w:val="007836E0"/>
    <w:rsid w:val="00783F2D"/>
    <w:rsid w:val="007840E2"/>
    <w:rsid w:val="007848B7"/>
    <w:rsid w:val="00784F5F"/>
    <w:rsid w:val="0078569F"/>
    <w:rsid w:val="00785803"/>
    <w:rsid w:val="00785EB4"/>
    <w:rsid w:val="00785F82"/>
    <w:rsid w:val="0078609A"/>
    <w:rsid w:val="007860EB"/>
    <w:rsid w:val="0078621A"/>
    <w:rsid w:val="00786F85"/>
    <w:rsid w:val="0078731A"/>
    <w:rsid w:val="00787487"/>
    <w:rsid w:val="00787704"/>
    <w:rsid w:val="00787BBB"/>
    <w:rsid w:val="00790464"/>
    <w:rsid w:val="00790482"/>
    <w:rsid w:val="00790589"/>
    <w:rsid w:val="007906F1"/>
    <w:rsid w:val="00790EDA"/>
    <w:rsid w:val="00791291"/>
    <w:rsid w:val="00791349"/>
    <w:rsid w:val="00791830"/>
    <w:rsid w:val="00791D85"/>
    <w:rsid w:val="00791DA2"/>
    <w:rsid w:val="00791DAF"/>
    <w:rsid w:val="007923A6"/>
    <w:rsid w:val="007924CA"/>
    <w:rsid w:val="0079271D"/>
    <w:rsid w:val="00792BCF"/>
    <w:rsid w:val="00792CE3"/>
    <w:rsid w:val="007940C1"/>
    <w:rsid w:val="00794194"/>
    <w:rsid w:val="00794820"/>
    <w:rsid w:val="00794C9F"/>
    <w:rsid w:val="00794CBF"/>
    <w:rsid w:val="00794F6C"/>
    <w:rsid w:val="00795365"/>
    <w:rsid w:val="0079567E"/>
    <w:rsid w:val="00795E1F"/>
    <w:rsid w:val="007961D5"/>
    <w:rsid w:val="00796821"/>
    <w:rsid w:val="00796A6F"/>
    <w:rsid w:val="00796C5D"/>
    <w:rsid w:val="0079752B"/>
    <w:rsid w:val="007977E3"/>
    <w:rsid w:val="00797B06"/>
    <w:rsid w:val="00797B9C"/>
    <w:rsid w:val="00797E6A"/>
    <w:rsid w:val="007A0175"/>
    <w:rsid w:val="007A01A8"/>
    <w:rsid w:val="007A027C"/>
    <w:rsid w:val="007A0483"/>
    <w:rsid w:val="007A0B0D"/>
    <w:rsid w:val="007A0BF7"/>
    <w:rsid w:val="007A1065"/>
    <w:rsid w:val="007A1154"/>
    <w:rsid w:val="007A15C3"/>
    <w:rsid w:val="007A1795"/>
    <w:rsid w:val="007A1A37"/>
    <w:rsid w:val="007A1AE0"/>
    <w:rsid w:val="007A1D2D"/>
    <w:rsid w:val="007A1D6B"/>
    <w:rsid w:val="007A1D86"/>
    <w:rsid w:val="007A2A97"/>
    <w:rsid w:val="007A2B50"/>
    <w:rsid w:val="007A2CDC"/>
    <w:rsid w:val="007A2D8A"/>
    <w:rsid w:val="007A2F32"/>
    <w:rsid w:val="007A32EC"/>
    <w:rsid w:val="007A371B"/>
    <w:rsid w:val="007A3832"/>
    <w:rsid w:val="007A3A0F"/>
    <w:rsid w:val="007A3E60"/>
    <w:rsid w:val="007A3FC3"/>
    <w:rsid w:val="007A407D"/>
    <w:rsid w:val="007A41E8"/>
    <w:rsid w:val="007A42C3"/>
    <w:rsid w:val="007A464F"/>
    <w:rsid w:val="007A4991"/>
    <w:rsid w:val="007A55AB"/>
    <w:rsid w:val="007A6196"/>
    <w:rsid w:val="007A63D5"/>
    <w:rsid w:val="007A64D0"/>
    <w:rsid w:val="007A689A"/>
    <w:rsid w:val="007A68EA"/>
    <w:rsid w:val="007A6934"/>
    <w:rsid w:val="007A6AEC"/>
    <w:rsid w:val="007A6B7D"/>
    <w:rsid w:val="007A6BE0"/>
    <w:rsid w:val="007A6CBA"/>
    <w:rsid w:val="007A6DC8"/>
    <w:rsid w:val="007A6F73"/>
    <w:rsid w:val="007A723B"/>
    <w:rsid w:val="007A7629"/>
    <w:rsid w:val="007A7682"/>
    <w:rsid w:val="007A780B"/>
    <w:rsid w:val="007A787A"/>
    <w:rsid w:val="007A7CB1"/>
    <w:rsid w:val="007A7DC6"/>
    <w:rsid w:val="007A7E8D"/>
    <w:rsid w:val="007A7EA1"/>
    <w:rsid w:val="007B00F8"/>
    <w:rsid w:val="007B0341"/>
    <w:rsid w:val="007B05B8"/>
    <w:rsid w:val="007B0935"/>
    <w:rsid w:val="007B0A36"/>
    <w:rsid w:val="007B0CC3"/>
    <w:rsid w:val="007B1027"/>
    <w:rsid w:val="007B163F"/>
    <w:rsid w:val="007B1691"/>
    <w:rsid w:val="007B174F"/>
    <w:rsid w:val="007B1863"/>
    <w:rsid w:val="007B1D34"/>
    <w:rsid w:val="007B22E0"/>
    <w:rsid w:val="007B25F3"/>
    <w:rsid w:val="007B2622"/>
    <w:rsid w:val="007B28CA"/>
    <w:rsid w:val="007B2F96"/>
    <w:rsid w:val="007B358D"/>
    <w:rsid w:val="007B3C75"/>
    <w:rsid w:val="007B461A"/>
    <w:rsid w:val="007B49E0"/>
    <w:rsid w:val="007B4C5C"/>
    <w:rsid w:val="007B5252"/>
    <w:rsid w:val="007B5401"/>
    <w:rsid w:val="007B5AA0"/>
    <w:rsid w:val="007B5C65"/>
    <w:rsid w:val="007B5FB4"/>
    <w:rsid w:val="007B67D1"/>
    <w:rsid w:val="007B6B2B"/>
    <w:rsid w:val="007B6DC4"/>
    <w:rsid w:val="007B76F2"/>
    <w:rsid w:val="007B7949"/>
    <w:rsid w:val="007B7D30"/>
    <w:rsid w:val="007C0339"/>
    <w:rsid w:val="007C0FA9"/>
    <w:rsid w:val="007C1339"/>
    <w:rsid w:val="007C1D6C"/>
    <w:rsid w:val="007C2413"/>
    <w:rsid w:val="007C25AE"/>
    <w:rsid w:val="007C288C"/>
    <w:rsid w:val="007C3152"/>
    <w:rsid w:val="007C333B"/>
    <w:rsid w:val="007C347E"/>
    <w:rsid w:val="007C3802"/>
    <w:rsid w:val="007C3914"/>
    <w:rsid w:val="007C3CEA"/>
    <w:rsid w:val="007C3D22"/>
    <w:rsid w:val="007C3D92"/>
    <w:rsid w:val="007C3E98"/>
    <w:rsid w:val="007C416B"/>
    <w:rsid w:val="007C423C"/>
    <w:rsid w:val="007C4788"/>
    <w:rsid w:val="007C4855"/>
    <w:rsid w:val="007C55EE"/>
    <w:rsid w:val="007C57CD"/>
    <w:rsid w:val="007C5A8A"/>
    <w:rsid w:val="007C5A8F"/>
    <w:rsid w:val="007C5B38"/>
    <w:rsid w:val="007C628B"/>
    <w:rsid w:val="007C653E"/>
    <w:rsid w:val="007C67CA"/>
    <w:rsid w:val="007C6AD1"/>
    <w:rsid w:val="007C728D"/>
    <w:rsid w:val="007C76E8"/>
    <w:rsid w:val="007D01E6"/>
    <w:rsid w:val="007D035E"/>
    <w:rsid w:val="007D0396"/>
    <w:rsid w:val="007D0644"/>
    <w:rsid w:val="007D0C11"/>
    <w:rsid w:val="007D0E18"/>
    <w:rsid w:val="007D1389"/>
    <w:rsid w:val="007D1393"/>
    <w:rsid w:val="007D1801"/>
    <w:rsid w:val="007D18F4"/>
    <w:rsid w:val="007D1F2A"/>
    <w:rsid w:val="007D1FE0"/>
    <w:rsid w:val="007D1FFE"/>
    <w:rsid w:val="007D20BB"/>
    <w:rsid w:val="007D25D9"/>
    <w:rsid w:val="007D261E"/>
    <w:rsid w:val="007D2DC5"/>
    <w:rsid w:val="007D2E8D"/>
    <w:rsid w:val="007D2F61"/>
    <w:rsid w:val="007D3004"/>
    <w:rsid w:val="007D3671"/>
    <w:rsid w:val="007D38AE"/>
    <w:rsid w:val="007D3D0E"/>
    <w:rsid w:val="007D3D33"/>
    <w:rsid w:val="007D41C2"/>
    <w:rsid w:val="007D42EF"/>
    <w:rsid w:val="007D43D3"/>
    <w:rsid w:val="007D48C3"/>
    <w:rsid w:val="007D4B32"/>
    <w:rsid w:val="007D4F02"/>
    <w:rsid w:val="007D4F52"/>
    <w:rsid w:val="007D4F72"/>
    <w:rsid w:val="007D572D"/>
    <w:rsid w:val="007D5D49"/>
    <w:rsid w:val="007D674C"/>
    <w:rsid w:val="007D677A"/>
    <w:rsid w:val="007D6AA4"/>
    <w:rsid w:val="007D6B7B"/>
    <w:rsid w:val="007D6CF1"/>
    <w:rsid w:val="007D7131"/>
    <w:rsid w:val="007D7AF5"/>
    <w:rsid w:val="007D7BEC"/>
    <w:rsid w:val="007D7C5C"/>
    <w:rsid w:val="007D7CE3"/>
    <w:rsid w:val="007E018F"/>
    <w:rsid w:val="007E051A"/>
    <w:rsid w:val="007E0798"/>
    <w:rsid w:val="007E0EDE"/>
    <w:rsid w:val="007E121A"/>
    <w:rsid w:val="007E12AC"/>
    <w:rsid w:val="007E1480"/>
    <w:rsid w:val="007E16ED"/>
    <w:rsid w:val="007E1B72"/>
    <w:rsid w:val="007E1E65"/>
    <w:rsid w:val="007E1F34"/>
    <w:rsid w:val="007E2322"/>
    <w:rsid w:val="007E25A3"/>
    <w:rsid w:val="007E289C"/>
    <w:rsid w:val="007E2C23"/>
    <w:rsid w:val="007E2F63"/>
    <w:rsid w:val="007E31DE"/>
    <w:rsid w:val="007E3EE3"/>
    <w:rsid w:val="007E4420"/>
    <w:rsid w:val="007E4855"/>
    <w:rsid w:val="007E4A81"/>
    <w:rsid w:val="007E4F82"/>
    <w:rsid w:val="007E57DE"/>
    <w:rsid w:val="007E5902"/>
    <w:rsid w:val="007E5C8E"/>
    <w:rsid w:val="007E6719"/>
    <w:rsid w:val="007E68ED"/>
    <w:rsid w:val="007E69ED"/>
    <w:rsid w:val="007E6A54"/>
    <w:rsid w:val="007E6C72"/>
    <w:rsid w:val="007E6FEF"/>
    <w:rsid w:val="007E745F"/>
    <w:rsid w:val="007E7B2D"/>
    <w:rsid w:val="007E7BD8"/>
    <w:rsid w:val="007E7C63"/>
    <w:rsid w:val="007F0221"/>
    <w:rsid w:val="007F034B"/>
    <w:rsid w:val="007F06A7"/>
    <w:rsid w:val="007F07B9"/>
    <w:rsid w:val="007F0928"/>
    <w:rsid w:val="007F0B16"/>
    <w:rsid w:val="007F0C1A"/>
    <w:rsid w:val="007F0CBA"/>
    <w:rsid w:val="007F118F"/>
    <w:rsid w:val="007F1388"/>
    <w:rsid w:val="007F1547"/>
    <w:rsid w:val="007F15CE"/>
    <w:rsid w:val="007F15D9"/>
    <w:rsid w:val="007F1678"/>
    <w:rsid w:val="007F1E88"/>
    <w:rsid w:val="007F201C"/>
    <w:rsid w:val="007F22D6"/>
    <w:rsid w:val="007F2898"/>
    <w:rsid w:val="007F2CD7"/>
    <w:rsid w:val="007F33BD"/>
    <w:rsid w:val="007F3568"/>
    <w:rsid w:val="007F3CEE"/>
    <w:rsid w:val="007F3D85"/>
    <w:rsid w:val="007F412A"/>
    <w:rsid w:val="007F41AD"/>
    <w:rsid w:val="007F422D"/>
    <w:rsid w:val="007F4DBA"/>
    <w:rsid w:val="007F519C"/>
    <w:rsid w:val="007F534D"/>
    <w:rsid w:val="007F54A2"/>
    <w:rsid w:val="007F54FE"/>
    <w:rsid w:val="007F5535"/>
    <w:rsid w:val="007F5855"/>
    <w:rsid w:val="007F59D5"/>
    <w:rsid w:val="007F5D32"/>
    <w:rsid w:val="007F5E57"/>
    <w:rsid w:val="007F66C8"/>
    <w:rsid w:val="007F67A9"/>
    <w:rsid w:val="007F6BE8"/>
    <w:rsid w:val="007F6EC2"/>
    <w:rsid w:val="007F7197"/>
    <w:rsid w:val="007F72DC"/>
    <w:rsid w:val="007F7382"/>
    <w:rsid w:val="007F77A6"/>
    <w:rsid w:val="007F795F"/>
    <w:rsid w:val="008002AE"/>
    <w:rsid w:val="0080069C"/>
    <w:rsid w:val="008006FD"/>
    <w:rsid w:val="0080148D"/>
    <w:rsid w:val="0080156B"/>
    <w:rsid w:val="00801A3A"/>
    <w:rsid w:val="00801EBE"/>
    <w:rsid w:val="008020D7"/>
    <w:rsid w:val="008025CC"/>
    <w:rsid w:val="00802ACA"/>
    <w:rsid w:val="00802B0A"/>
    <w:rsid w:val="00802ECA"/>
    <w:rsid w:val="0080317E"/>
    <w:rsid w:val="008031D9"/>
    <w:rsid w:val="008032E8"/>
    <w:rsid w:val="0080347A"/>
    <w:rsid w:val="008035C9"/>
    <w:rsid w:val="00803933"/>
    <w:rsid w:val="00803D36"/>
    <w:rsid w:val="00804114"/>
    <w:rsid w:val="00804634"/>
    <w:rsid w:val="008047E8"/>
    <w:rsid w:val="00804F0D"/>
    <w:rsid w:val="008051AF"/>
    <w:rsid w:val="0080531E"/>
    <w:rsid w:val="008055F4"/>
    <w:rsid w:val="00805659"/>
    <w:rsid w:val="008056DF"/>
    <w:rsid w:val="00805C3D"/>
    <w:rsid w:val="00806434"/>
    <w:rsid w:val="00806BBA"/>
    <w:rsid w:val="00806D82"/>
    <w:rsid w:val="00806DC2"/>
    <w:rsid w:val="00806F1D"/>
    <w:rsid w:val="00806FCD"/>
    <w:rsid w:val="00807056"/>
    <w:rsid w:val="008072D1"/>
    <w:rsid w:val="008075D4"/>
    <w:rsid w:val="008077ED"/>
    <w:rsid w:val="00807AB0"/>
    <w:rsid w:val="00807B6F"/>
    <w:rsid w:val="00807E93"/>
    <w:rsid w:val="008100EC"/>
    <w:rsid w:val="00810172"/>
    <w:rsid w:val="00810375"/>
    <w:rsid w:val="00810643"/>
    <w:rsid w:val="008106B6"/>
    <w:rsid w:val="00810762"/>
    <w:rsid w:val="00810858"/>
    <w:rsid w:val="00810EFF"/>
    <w:rsid w:val="00810FD8"/>
    <w:rsid w:val="00811314"/>
    <w:rsid w:val="00811A39"/>
    <w:rsid w:val="00812593"/>
    <w:rsid w:val="00812628"/>
    <w:rsid w:val="0081291B"/>
    <w:rsid w:val="00812FFF"/>
    <w:rsid w:val="0081352C"/>
    <w:rsid w:val="008135E1"/>
    <w:rsid w:val="00813622"/>
    <w:rsid w:val="00813DCF"/>
    <w:rsid w:val="00813FAB"/>
    <w:rsid w:val="0081485C"/>
    <w:rsid w:val="0081498C"/>
    <w:rsid w:val="00814AE1"/>
    <w:rsid w:val="00814B47"/>
    <w:rsid w:val="00814FFE"/>
    <w:rsid w:val="008151EE"/>
    <w:rsid w:val="00815252"/>
    <w:rsid w:val="00815D31"/>
    <w:rsid w:val="0081601F"/>
    <w:rsid w:val="00816064"/>
    <w:rsid w:val="008160E4"/>
    <w:rsid w:val="00816FC8"/>
    <w:rsid w:val="008174AE"/>
    <w:rsid w:val="008174B2"/>
    <w:rsid w:val="008174DD"/>
    <w:rsid w:val="0081793D"/>
    <w:rsid w:val="00817CFF"/>
    <w:rsid w:val="0082000D"/>
    <w:rsid w:val="008202B0"/>
    <w:rsid w:val="0082037E"/>
    <w:rsid w:val="008208E3"/>
    <w:rsid w:val="00820C9C"/>
    <w:rsid w:val="00820DFD"/>
    <w:rsid w:val="00820F55"/>
    <w:rsid w:val="00821057"/>
    <w:rsid w:val="00821512"/>
    <w:rsid w:val="00821572"/>
    <w:rsid w:val="00821809"/>
    <w:rsid w:val="00821C6C"/>
    <w:rsid w:val="00821C76"/>
    <w:rsid w:val="0082209C"/>
    <w:rsid w:val="00822310"/>
    <w:rsid w:val="00822AA2"/>
    <w:rsid w:val="00822C2B"/>
    <w:rsid w:val="00823794"/>
    <w:rsid w:val="008237F4"/>
    <w:rsid w:val="008239CD"/>
    <w:rsid w:val="00823F67"/>
    <w:rsid w:val="00824022"/>
    <w:rsid w:val="0082483A"/>
    <w:rsid w:val="00824A81"/>
    <w:rsid w:val="008257B8"/>
    <w:rsid w:val="008260ED"/>
    <w:rsid w:val="008261B4"/>
    <w:rsid w:val="0082699D"/>
    <w:rsid w:val="00826D3C"/>
    <w:rsid w:val="00826E0E"/>
    <w:rsid w:val="00826E6B"/>
    <w:rsid w:val="00826E8C"/>
    <w:rsid w:val="008275FD"/>
    <w:rsid w:val="00827C7E"/>
    <w:rsid w:val="008301F5"/>
    <w:rsid w:val="00830264"/>
    <w:rsid w:val="0083061F"/>
    <w:rsid w:val="008307DF"/>
    <w:rsid w:val="00830BA1"/>
    <w:rsid w:val="00830EB2"/>
    <w:rsid w:val="008310F7"/>
    <w:rsid w:val="00831267"/>
    <w:rsid w:val="008312F4"/>
    <w:rsid w:val="0083143F"/>
    <w:rsid w:val="00831652"/>
    <w:rsid w:val="008317C3"/>
    <w:rsid w:val="0083185A"/>
    <w:rsid w:val="00831A7E"/>
    <w:rsid w:val="00831E02"/>
    <w:rsid w:val="00831F1C"/>
    <w:rsid w:val="0083202E"/>
    <w:rsid w:val="008320BF"/>
    <w:rsid w:val="008328F5"/>
    <w:rsid w:val="00832DE8"/>
    <w:rsid w:val="0083304F"/>
    <w:rsid w:val="00833372"/>
    <w:rsid w:val="008333B1"/>
    <w:rsid w:val="008333CC"/>
    <w:rsid w:val="008334C9"/>
    <w:rsid w:val="008335A9"/>
    <w:rsid w:val="008336A6"/>
    <w:rsid w:val="00833B4A"/>
    <w:rsid w:val="008340CA"/>
    <w:rsid w:val="00834122"/>
    <w:rsid w:val="00834A0C"/>
    <w:rsid w:val="00834BDF"/>
    <w:rsid w:val="008352C5"/>
    <w:rsid w:val="008358A6"/>
    <w:rsid w:val="008359FB"/>
    <w:rsid w:val="00835C56"/>
    <w:rsid w:val="00835FC0"/>
    <w:rsid w:val="008360FC"/>
    <w:rsid w:val="008369E0"/>
    <w:rsid w:val="00836AFD"/>
    <w:rsid w:val="00836E81"/>
    <w:rsid w:val="008377C1"/>
    <w:rsid w:val="00837C90"/>
    <w:rsid w:val="00837DD1"/>
    <w:rsid w:val="00837EB1"/>
    <w:rsid w:val="0084042B"/>
    <w:rsid w:val="008408D3"/>
    <w:rsid w:val="008409BB"/>
    <w:rsid w:val="00840BA8"/>
    <w:rsid w:val="00840CAE"/>
    <w:rsid w:val="0084184A"/>
    <w:rsid w:val="0084190B"/>
    <w:rsid w:val="00841A80"/>
    <w:rsid w:val="00841C21"/>
    <w:rsid w:val="008423F2"/>
    <w:rsid w:val="008427F5"/>
    <w:rsid w:val="00842A30"/>
    <w:rsid w:val="00842E5C"/>
    <w:rsid w:val="00842F71"/>
    <w:rsid w:val="00843179"/>
    <w:rsid w:val="0084386A"/>
    <w:rsid w:val="008438E6"/>
    <w:rsid w:val="00843C63"/>
    <w:rsid w:val="00843E0E"/>
    <w:rsid w:val="00843E64"/>
    <w:rsid w:val="008441CE"/>
    <w:rsid w:val="008442EA"/>
    <w:rsid w:val="00844377"/>
    <w:rsid w:val="00844589"/>
    <w:rsid w:val="00844794"/>
    <w:rsid w:val="00844FE7"/>
    <w:rsid w:val="008452F1"/>
    <w:rsid w:val="008454F9"/>
    <w:rsid w:val="00845969"/>
    <w:rsid w:val="00845E42"/>
    <w:rsid w:val="00845F37"/>
    <w:rsid w:val="00845FF5"/>
    <w:rsid w:val="00846001"/>
    <w:rsid w:val="0084615D"/>
    <w:rsid w:val="00846243"/>
    <w:rsid w:val="00846302"/>
    <w:rsid w:val="0084642A"/>
    <w:rsid w:val="008465C4"/>
    <w:rsid w:val="00846710"/>
    <w:rsid w:val="00847096"/>
    <w:rsid w:val="0084734E"/>
    <w:rsid w:val="008478ED"/>
    <w:rsid w:val="00847A50"/>
    <w:rsid w:val="00847ADC"/>
    <w:rsid w:val="00847F44"/>
    <w:rsid w:val="00850110"/>
    <w:rsid w:val="008501EC"/>
    <w:rsid w:val="00850B1E"/>
    <w:rsid w:val="00850B5B"/>
    <w:rsid w:val="00850D1C"/>
    <w:rsid w:val="00851244"/>
    <w:rsid w:val="00851728"/>
    <w:rsid w:val="008517DB"/>
    <w:rsid w:val="00851A10"/>
    <w:rsid w:val="00851DD9"/>
    <w:rsid w:val="00851DFF"/>
    <w:rsid w:val="00852927"/>
    <w:rsid w:val="00852A8E"/>
    <w:rsid w:val="00852D1F"/>
    <w:rsid w:val="00853084"/>
    <w:rsid w:val="00853142"/>
    <w:rsid w:val="0085327D"/>
    <w:rsid w:val="0085328D"/>
    <w:rsid w:val="0085329D"/>
    <w:rsid w:val="00853E5D"/>
    <w:rsid w:val="008540A6"/>
    <w:rsid w:val="008540A7"/>
    <w:rsid w:val="0085416A"/>
    <w:rsid w:val="00854420"/>
    <w:rsid w:val="00854481"/>
    <w:rsid w:val="00854703"/>
    <w:rsid w:val="0085507B"/>
    <w:rsid w:val="00855316"/>
    <w:rsid w:val="008553E1"/>
    <w:rsid w:val="00855585"/>
    <w:rsid w:val="008555EF"/>
    <w:rsid w:val="008556D8"/>
    <w:rsid w:val="0085672A"/>
    <w:rsid w:val="00856A54"/>
    <w:rsid w:val="00857343"/>
    <w:rsid w:val="00857591"/>
    <w:rsid w:val="00857E88"/>
    <w:rsid w:val="0086005E"/>
    <w:rsid w:val="008605D9"/>
    <w:rsid w:val="008612DB"/>
    <w:rsid w:val="00861496"/>
    <w:rsid w:val="0086149E"/>
    <w:rsid w:val="008614C2"/>
    <w:rsid w:val="008618E7"/>
    <w:rsid w:val="00861B57"/>
    <w:rsid w:val="00861D20"/>
    <w:rsid w:val="008622A4"/>
    <w:rsid w:val="00862AC4"/>
    <w:rsid w:val="008633AC"/>
    <w:rsid w:val="008634E3"/>
    <w:rsid w:val="00863686"/>
    <w:rsid w:val="0086371F"/>
    <w:rsid w:val="00863B0D"/>
    <w:rsid w:val="00863E08"/>
    <w:rsid w:val="008641CF"/>
    <w:rsid w:val="008644D3"/>
    <w:rsid w:val="00864627"/>
    <w:rsid w:val="00864635"/>
    <w:rsid w:val="00864678"/>
    <w:rsid w:val="008648A0"/>
    <w:rsid w:val="00864C1A"/>
    <w:rsid w:val="00865217"/>
    <w:rsid w:val="008658AA"/>
    <w:rsid w:val="00865CBD"/>
    <w:rsid w:val="00865EEC"/>
    <w:rsid w:val="00866650"/>
    <w:rsid w:val="00866A86"/>
    <w:rsid w:val="00866B58"/>
    <w:rsid w:val="00866E37"/>
    <w:rsid w:val="00866F9E"/>
    <w:rsid w:val="008672E2"/>
    <w:rsid w:val="0086757D"/>
    <w:rsid w:val="00867772"/>
    <w:rsid w:val="008677D4"/>
    <w:rsid w:val="0086793D"/>
    <w:rsid w:val="00867B1C"/>
    <w:rsid w:val="00867B6A"/>
    <w:rsid w:val="00867E72"/>
    <w:rsid w:val="0087085C"/>
    <w:rsid w:val="00870C8B"/>
    <w:rsid w:val="008713D6"/>
    <w:rsid w:val="00871643"/>
    <w:rsid w:val="00871983"/>
    <w:rsid w:val="0087221C"/>
    <w:rsid w:val="0087281D"/>
    <w:rsid w:val="00872A2F"/>
    <w:rsid w:val="00872C4B"/>
    <w:rsid w:val="00873095"/>
    <w:rsid w:val="008732D8"/>
    <w:rsid w:val="00873338"/>
    <w:rsid w:val="00873377"/>
    <w:rsid w:val="008733B7"/>
    <w:rsid w:val="00873577"/>
    <w:rsid w:val="00873739"/>
    <w:rsid w:val="008737C7"/>
    <w:rsid w:val="00873ACC"/>
    <w:rsid w:val="00873AF1"/>
    <w:rsid w:val="00873D6A"/>
    <w:rsid w:val="0087409F"/>
    <w:rsid w:val="00874420"/>
    <w:rsid w:val="008745F5"/>
    <w:rsid w:val="0087487E"/>
    <w:rsid w:val="008749F6"/>
    <w:rsid w:val="00874B52"/>
    <w:rsid w:val="00874D58"/>
    <w:rsid w:val="008750D2"/>
    <w:rsid w:val="00875453"/>
    <w:rsid w:val="00875891"/>
    <w:rsid w:val="00875AB5"/>
    <w:rsid w:val="00875C91"/>
    <w:rsid w:val="00875F85"/>
    <w:rsid w:val="008765FF"/>
    <w:rsid w:val="0087678C"/>
    <w:rsid w:val="00876BF0"/>
    <w:rsid w:val="00876C6B"/>
    <w:rsid w:val="00876CFF"/>
    <w:rsid w:val="00876D0A"/>
    <w:rsid w:val="00876D1E"/>
    <w:rsid w:val="00876DC9"/>
    <w:rsid w:val="00876EB2"/>
    <w:rsid w:val="00876F6E"/>
    <w:rsid w:val="008770B7"/>
    <w:rsid w:val="00877125"/>
    <w:rsid w:val="008777C2"/>
    <w:rsid w:val="00880001"/>
    <w:rsid w:val="008804A2"/>
    <w:rsid w:val="008808E2"/>
    <w:rsid w:val="008810F2"/>
    <w:rsid w:val="0088115E"/>
    <w:rsid w:val="00881511"/>
    <w:rsid w:val="008817AE"/>
    <w:rsid w:val="008817EB"/>
    <w:rsid w:val="008817EF"/>
    <w:rsid w:val="00881F47"/>
    <w:rsid w:val="00882062"/>
    <w:rsid w:val="00882366"/>
    <w:rsid w:val="00882448"/>
    <w:rsid w:val="0088250E"/>
    <w:rsid w:val="008827B1"/>
    <w:rsid w:val="00882991"/>
    <w:rsid w:val="00882D78"/>
    <w:rsid w:val="00882E36"/>
    <w:rsid w:val="00882F1D"/>
    <w:rsid w:val="00883227"/>
    <w:rsid w:val="00883A4D"/>
    <w:rsid w:val="00883B21"/>
    <w:rsid w:val="00883CE6"/>
    <w:rsid w:val="00883F8F"/>
    <w:rsid w:val="00884235"/>
    <w:rsid w:val="008842F8"/>
    <w:rsid w:val="0088431D"/>
    <w:rsid w:val="00884D98"/>
    <w:rsid w:val="0088526B"/>
    <w:rsid w:val="00885285"/>
    <w:rsid w:val="00885335"/>
    <w:rsid w:val="00885410"/>
    <w:rsid w:val="00885508"/>
    <w:rsid w:val="008856D0"/>
    <w:rsid w:val="008856D2"/>
    <w:rsid w:val="00885985"/>
    <w:rsid w:val="00885E98"/>
    <w:rsid w:val="008861D2"/>
    <w:rsid w:val="00886699"/>
    <w:rsid w:val="00886E7C"/>
    <w:rsid w:val="0088709A"/>
    <w:rsid w:val="0088748C"/>
    <w:rsid w:val="00887E7F"/>
    <w:rsid w:val="008901F0"/>
    <w:rsid w:val="00890410"/>
    <w:rsid w:val="008905FC"/>
    <w:rsid w:val="00890B56"/>
    <w:rsid w:val="0089199F"/>
    <w:rsid w:val="00891ADB"/>
    <w:rsid w:val="00891C32"/>
    <w:rsid w:val="00891D7F"/>
    <w:rsid w:val="00891DD1"/>
    <w:rsid w:val="00892265"/>
    <w:rsid w:val="0089233E"/>
    <w:rsid w:val="00892B46"/>
    <w:rsid w:val="00892C49"/>
    <w:rsid w:val="00892DB3"/>
    <w:rsid w:val="00892F59"/>
    <w:rsid w:val="0089330E"/>
    <w:rsid w:val="0089397B"/>
    <w:rsid w:val="00893A4F"/>
    <w:rsid w:val="00893A8E"/>
    <w:rsid w:val="00893D9A"/>
    <w:rsid w:val="00893E27"/>
    <w:rsid w:val="00894021"/>
    <w:rsid w:val="008945F7"/>
    <w:rsid w:val="0089463D"/>
    <w:rsid w:val="0089505D"/>
    <w:rsid w:val="008952AE"/>
    <w:rsid w:val="0089554F"/>
    <w:rsid w:val="008955E6"/>
    <w:rsid w:val="00895B5F"/>
    <w:rsid w:val="00895E79"/>
    <w:rsid w:val="0089637C"/>
    <w:rsid w:val="00896712"/>
    <w:rsid w:val="00896870"/>
    <w:rsid w:val="008969BD"/>
    <w:rsid w:val="0089790C"/>
    <w:rsid w:val="008A02FE"/>
    <w:rsid w:val="008A05F6"/>
    <w:rsid w:val="008A0706"/>
    <w:rsid w:val="008A0A8E"/>
    <w:rsid w:val="008A0E5A"/>
    <w:rsid w:val="008A0FD2"/>
    <w:rsid w:val="008A10A4"/>
    <w:rsid w:val="008A13BD"/>
    <w:rsid w:val="008A1596"/>
    <w:rsid w:val="008A19AD"/>
    <w:rsid w:val="008A1EDF"/>
    <w:rsid w:val="008A2051"/>
    <w:rsid w:val="008A2695"/>
    <w:rsid w:val="008A2AEA"/>
    <w:rsid w:val="008A2DC9"/>
    <w:rsid w:val="008A2FF1"/>
    <w:rsid w:val="008A324D"/>
    <w:rsid w:val="008A32D4"/>
    <w:rsid w:val="008A367F"/>
    <w:rsid w:val="008A375D"/>
    <w:rsid w:val="008A37AF"/>
    <w:rsid w:val="008A3868"/>
    <w:rsid w:val="008A3B9E"/>
    <w:rsid w:val="008A3D62"/>
    <w:rsid w:val="008A3E6D"/>
    <w:rsid w:val="008A4196"/>
    <w:rsid w:val="008A448D"/>
    <w:rsid w:val="008A4862"/>
    <w:rsid w:val="008A4A55"/>
    <w:rsid w:val="008A506F"/>
    <w:rsid w:val="008A5092"/>
    <w:rsid w:val="008A528A"/>
    <w:rsid w:val="008A5298"/>
    <w:rsid w:val="008A535A"/>
    <w:rsid w:val="008A56B5"/>
    <w:rsid w:val="008A5C45"/>
    <w:rsid w:val="008A636D"/>
    <w:rsid w:val="008A647E"/>
    <w:rsid w:val="008A6722"/>
    <w:rsid w:val="008A6883"/>
    <w:rsid w:val="008A6978"/>
    <w:rsid w:val="008A6999"/>
    <w:rsid w:val="008A6AE3"/>
    <w:rsid w:val="008A6F69"/>
    <w:rsid w:val="008A702E"/>
    <w:rsid w:val="008A720F"/>
    <w:rsid w:val="008A7498"/>
    <w:rsid w:val="008A7C72"/>
    <w:rsid w:val="008A7CEC"/>
    <w:rsid w:val="008B0186"/>
    <w:rsid w:val="008B0192"/>
    <w:rsid w:val="008B04F2"/>
    <w:rsid w:val="008B058F"/>
    <w:rsid w:val="008B09F7"/>
    <w:rsid w:val="008B0B21"/>
    <w:rsid w:val="008B0CF1"/>
    <w:rsid w:val="008B0D0E"/>
    <w:rsid w:val="008B1278"/>
    <w:rsid w:val="008B12BB"/>
    <w:rsid w:val="008B1411"/>
    <w:rsid w:val="008B17A2"/>
    <w:rsid w:val="008B1803"/>
    <w:rsid w:val="008B1D26"/>
    <w:rsid w:val="008B25F2"/>
    <w:rsid w:val="008B2643"/>
    <w:rsid w:val="008B2FAE"/>
    <w:rsid w:val="008B3317"/>
    <w:rsid w:val="008B3509"/>
    <w:rsid w:val="008B3604"/>
    <w:rsid w:val="008B393C"/>
    <w:rsid w:val="008B414B"/>
    <w:rsid w:val="008B44FC"/>
    <w:rsid w:val="008B452F"/>
    <w:rsid w:val="008B4E0E"/>
    <w:rsid w:val="008B4FB9"/>
    <w:rsid w:val="008B5621"/>
    <w:rsid w:val="008B5715"/>
    <w:rsid w:val="008B5A2D"/>
    <w:rsid w:val="008B5BC2"/>
    <w:rsid w:val="008B5C0B"/>
    <w:rsid w:val="008B5E54"/>
    <w:rsid w:val="008B5F6F"/>
    <w:rsid w:val="008B60BB"/>
    <w:rsid w:val="008B6354"/>
    <w:rsid w:val="008B672B"/>
    <w:rsid w:val="008B6732"/>
    <w:rsid w:val="008B68EC"/>
    <w:rsid w:val="008B711E"/>
    <w:rsid w:val="008B7304"/>
    <w:rsid w:val="008B7637"/>
    <w:rsid w:val="008B76E7"/>
    <w:rsid w:val="008B77CA"/>
    <w:rsid w:val="008B798C"/>
    <w:rsid w:val="008B7C61"/>
    <w:rsid w:val="008C00C9"/>
    <w:rsid w:val="008C018E"/>
    <w:rsid w:val="008C0231"/>
    <w:rsid w:val="008C042F"/>
    <w:rsid w:val="008C057B"/>
    <w:rsid w:val="008C0A71"/>
    <w:rsid w:val="008C0CAC"/>
    <w:rsid w:val="008C1192"/>
    <w:rsid w:val="008C1235"/>
    <w:rsid w:val="008C13B4"/>
    <w:rsid w:val="008C1424"/>
    <w:rsid w:val="008C1557"/>
    <w:rsid w:val="008C1B8C"/>
    <w:rsid w:val="008C2306"/>
    <w:rsid w:val="008C25F2"/>
    <w:rsid w:val="008C26D1"/>
    <w:rsid w:val="008C29D3"/>
    <w:rsid w:val="008C2A6E"/>
    <w:rsid w:val="008C2B7F"/>
    <w:rsid w:val="008C36AC"/>
    <w:rsid w:val="008C44A9"/>
    <w:rsid w:val="008C44F2"/>
    <w:rsid w:val="008C4594"/>
    <w:rsid w:val="008C4953"/>
    <w:rsid w:val="008C4C47"/>
    <w:rsid w:val="008C4E44"/>
    <w:rsid w:val="008C5832"/>
    <w:rsid w:val="008C5E1A"/>
    <w:rsid w:val="008C618B"/>
    <w:rsid w:val="008C6211"/>
    <w:rsid w:val="008C6255"/>
    <w:rsid w:val="008C684B"/>
    <w:rsid w:val="008C6A34"/>
    <w:rsid w:val="008C6ABD"/>
    <w:rsid w:val="008C6D33"/>
    <w:rsid w:val="008C6F18"/>
    <w:rsid w:val="008C7330"/>
    <w:rsid w:val="008C7685"/>
    <w:rsid w:val="008C7B2B"/>
    <w:rsid w:val="008C7B95"/>
    <w:rsid w:val="008C7E09"/>
    <w:rsid w:val="008D007A"/>
    <w:rsid w:val="008D01CC"/>
    <w:rsid w:val="008D03E9"/>
    <w:rsid w:val="008D042E"/>
    <w:rsid w:val="008D07DE"/>
    <w:rsid w:val="008D0831"/>
    <w:rsid w:val="008D0E40"/>
    <w:rsid w:val="008D1D4A"/>
    <w:rsid w:val="008D1E7F"/>
    <w:rsid w:val="008D22EC"/>
    <w:rsid w:val="008D22EE"/>
    <w:rsid w:val="008D2367"/>
    <w:rsid w:val="008D24C7"/>
    <w:rsid w:val="008D3864"/>
    <w:rsid w:val="008D38B9"/>
    <w:rsid w:val="008D427A"/>
    <w:rsid w:val="008D4DD5"/>
    <w:rsid w:val="008D537C"/>
    <w:rsid w:val="008D5657"/>
    <w:rsid w:val="008D56C2"/>
    <w:rsid w:val="008D5899"/>
    <w:rsid w:val="008D61D3"/>
    <w:rsid w:val="008D6752"/>
    <w:rsid w:val="008D69E7"/>
    <w:rsid w:val="008D6A40"/>
    <w:rsid w:val="008D6FC1"/>
    <w:rsid w:val="008D7606"/>
    <w:rsid w:val="008D797F"/>
    <w:rsid w:val="008D7FC9"/>
    <w:rsid w:val="008E0114"/>
    <w:rsid w:val="008E0140"/>
    <w:rsid w:val="008E0688"/>
    <w:rsid w:val="008E0BEF"/>
    <w:rsid w:val="008E103C"/>
    <w:rsid w:val="008E10FB"/>
    <w:rsid w:val="008E1181"/>
    <w:rsid w:val="008E11B5"/>
    <w:rsid w:val="008E161F"/>
    <w:rsid w:val="008E266D"/>
    <w:rsid w:val="008E2A10"/>
    <w:rsid w:val="008E2E9A"/>
    <w:rsid w:val="008E2F0C"/>
    <w:rsid w:val="008E3105"/>
    <w:rsid w:val="008E34BC"/>
    <w:rsid w:val="008E3893"/>
    <w:rsid w:val="008E3B40"/>
    <w:rsid w:val="008E3E23"/>
    <w:rsid w:val="008E4E17"/>
    <w:rsid w:val="008E547B"/>
    <w:rsid w:val="008E5A64"/>
    <w:rsid w:val="008E5B33"/>
    <w:rsid w:val="008E5C4F"/>
    <w:rsid w:val="008E5CAE"/>
    <w:rsid w:val="008E5DF8"/>
    <w:rsid w:val="008E5DFB"/>
    <w:rsid w:val="008E6D4D"/>
    <w:rsid w:val="008E6EC6"/>
    <w:rsid w:val="008E6EE8"/>
    <w:rsid w:val="008E6F36"/>
    <w:rsid w:val="008E73AF"/>
    <w:rsid w:val="008E7E3B"/>
    <w:rsid w:val="008E7E85"/>
    <w:rsid w:val="008F0250"/>
    <w:rsid w:val="008F02FB"/>
    <w:rsid w:val="008F04BA"/>
    <w:rsid w:val="008F077D"/>
    <w:rsid w:val="008F083F"/>
    <w:rsid w:val="008F0FED"/>
    <w:rsid w:val="008F11F4"/>
    <w:rsid w:val="008F141A"/>
    <w:rsid w:val="008F1952"/>
    <w:rsid w:val="008F1C8A"/>
    <w:rsid w:val="008F201E"/>
    <w:rsid w:val="008F254D"/>
    <w:rsid w:val="008F2603"/>
    <w:rsid w:val="008F272D"/>
    <w:rsid w:val="008F2B27"/>
    <w:rsid w:val="008F310B"/>
    <w:rsid w:val="008F322B"/>
    <w:rsid w:val="008F34CB"/>
    <w:rsid w:val="008F3519"/>
    <w:rsid w:val="008F3AD3"/>
    <w:rsid w:val="008F3CA7"/>
    <w:rsid w:val="008F426E"/>
    <w:rsid w:val="008F4285"/>
    <w:rsid w:val="008F4358"/>
    <w:rsid w:val="008F436E"/>
    <w:rsid w:val="008F443F"/>
    <w:rsid w:val="008F49BB"/>
    <w:rsid w:val="008F573F"/>
    <w:rsid w:val="008F583D"/>
    <w:rsid w:val="008F5DE5"/>
    <w:rsid w:val="008F5E42"/>
    <w:rsid w:val="008F5E86"/>
    <w:rsid w:val="008F63B1"/>
    <w:rsid w:val="008F6733"/>
    <w:rsid w:val="008F6973"/>
    <w:rsid w:val="008F6E6A"/>
    <w:rsid w:val="008F7AA7"/>
    <w:rsid w:val="008F7F94"/>
    <w:rsid w:val="008F7FF1"/>
    <w:rsid w:val="00900745"/>
    <w:rsid w:val="009007DC"/>
    <w:rsid w:val="00900947"/>
    <w:rsid w:val="00900EB8"/>
    <w:rsid w:val="00900FBA"/>
    <w:rsid w:val="00901232"/>
    <w:rsid w:val="00901320"/>
    <w:rsid w:val="00901346"/>
    <w:rsid w:val="00901616"/>
    <w:rsid w:val="0090188E"/>
    <w:rsid w:val="00901DE6"/>
    <w:rsid w:val="00901F23"/>
    <w:rsid w:val="00901F43"/>
    <w:rsid w:val="0090261E"/>
    <w:rsid w:val="00902C66"/>
    <w:rsid w:val="00902E5B"/>
    <w:rsid w:val="009033F7"/>
    <w:rsid w:val="0090353B"/>
    <w:rsid w:val="00903FD9"/>
    <w:rsid w:val="00903FF5"/>
    <w:rsid w:val="0090438C"/>
    <w:rsid w:val="00904519"/>
    <w:rsid w:val="0090480A"/>
    <w:rsid w:val="00904CF5"/>
    <w:rsid w:val="00905105"/>
    <w:rsid w:val="00905259"/>
    <w:rsid w:val="0090556C"/>
    <w:rsid w:val="00905633"/>
    <w:rsid w:val="0090567F"/>
    <w:rsid w:val="0090576C"/>
    <w:rsid w:val="009058A2"/>
    <w:rsid w:val="00905B85"/>
    <w:rsid w:val="00905EAE"/>
    <w:rsid w:val="009060C4"/>
    <w:rsid w:val="009067D7"/>
    <w:rsid w:val="00906C91"/>
    <w:rsid w:val="00906C95"/>
    <w:rsid w:val="00907248"/>
    <w:rsid w:val="00907656"/>
    <w:rsid w:val="00907677"/>
    <w:rsid w:val="0090782A"/>
    <w:rsid w:val="00907E47"/>
    <w:rsid w:val="00910FF9"/>
    <w:rsid w:val="009113C3"/>
    <w:rsid w:val="009115EF"/>
    <w:rsid w:val="009116DD"/>
    <w:rsid w:val="00912637"/>
    <w:rsid w:val="00912972"/>
    <w:rsid w:val="00912BB5"/>
    <w:rsid w:val="00912D1C"/>
    <w:rsid w:val="00913019"/>
    <w:rsid w:val="00913B13"/>
    <w:rsid w:val="00913C06"/>
    <w:rsid w:val="00913C41"/>
    <w:rsid w:val="00913CA7"/>
    <w:rsid w:val="00913F1E"/>
    <w:rsid w:val="00913FB2"/>
    <w:rsid w:val="009140C4"/>
    <w:rsid w:val="00914440"/>
    <w:rsid w:val="009144A9"/>
    <w:rsid w:val="0091468B"/>
    <w:rsid w:val="00914AEB"/>
    <w:rsid w:val="00915094"/>
    <w:rsid w:val="0091526F"/>
    <w:rsid w:val="009153D2"/>
    <w:rsid w:val="00915BC5"/>
    <w:rsid w:val="00915EC3"/>
    <w:rsid w:val="00915F34"/>
    <w:rsid w:val="00915F76"/>
    <w:rsid w:val="00916286"/>
    <w:rsid w:val="00916595"/>
    <w:rsid w:val="00916C47"/>
    <w:rsid w:val="0091715B"/>
    <w:rsid w:val="009171AD"/>
    <w:rsid w:val="00917569"/>
    <w:rsid w:val="0091766D"/>
    <w:rsid w:val="00920174"/>
    <w:rsid w:val="00920290"/>
    <w:rsid w:val="009203E1"/>
    <w:rsid w:val="0092080F"/>
    <w:rsid w:val="009209E8"/>
    <w:rsid w:val="00920A42"/>
    <w:rsid w:val="00920DFD"/>
    <w:rsid w:val="00921071"/>
    <w:rsid w:val="009211B9"/>
    <w:rsid w:val="00921825"/>
    <w:rsid w:val="009218D9"/>
    <w:rsid w:val="009219D2"/>
    <w:rsid w:val="00921A4E"/>
    <w:rsid w:val="00921D1F"/>
    <w:rsid w:val="00921E37"/>
    <w:rsid w:val="00922214"/>
    <w:rsid w:val="00922511"/>
    <w:rsid w:val="009225C3"/>
    <w:rsid w:val="00922F07"/>
    <w:rsid w:val="00923463"/>
    <w:rsid w:val="00923591"/>
    <w:rsid w:val="00923DE9"/>
    <w:rsid w:val="00923E0F"/>
    <w:rsid w:val="0092415B"/>
    <w:rsid w:val="009246A9"/>
    <w:rsid w:val="00925238"/>
    <w:rsid w:val="00925471"/>
    <w:rsid w:val="0092569B"/>
    <w:rsid w:val="00925A37"/>
    <w:rsid w:val="00925ACF"/>
    <w:rsid w:val="00926056"/>
    <w:rsid w:val="0092615D"/>
    <w:rsid w:val="0092635A"/>
    <w:rsid w:val="0092642E"/>
    <w:rsid w:val="009264A5"/>
    <w:rsid w:val="00926546"/>
    <w:rsid w:val="009265A1"/>
    <w:rsid w:val="009266B0"/>
    <w:rsid w:val="00926B07"/>
    <w:rsid w:val="00927160"/>
    <w:rsid w:val="00927700"/>
    <w:rsid w:val="00927FF0"/>
    <w:rsid w:val="009302CB"/>
    <w:rsid w:val="0093036E"/>
    <w:rsid w:val="0093112D"/>
    <w:rsid w:val="00931224"/>
    <w:rsid w:val="0093264C"/>
    <w:rsid w:val="00932762"/>
    <w:rsid w:val="009333D3"/>
    <w:rsid w:val="0093356A"/>
    <w:rsid w:val="00933684"/>
    <w:rsid w:val="009337CD"/>
    <w:rsid w:val="009339B6"/>
    <w:rsid w:val="00933B4C"/>
    <w:rsid w:val="00933DC4"/>
    <w:rsid w:val="0093431B"/>
    <w:rsid w:val="009346D6"/>
    <w:rsid w:val="00934743"/>
    <w:rsid w:val="0093487E"/>
    <w:rsid w:val="00934F4D"/>
    <w:rsid w:val="00934FFE"/>
    <w:rsid w:val="00935338"/>
    <w:rsid w:val="00935C0F"/>
    <w:rsid w:val="009361AE"/>
    <w:rsid w:val="00936405"/>
    <w:rsid w:val="009364BD"/>
    <w:rsid w:val="0093658D"/>
    <w:rsid w:val="00936598"/>
    <w:rsid w:val="009367D8"/>
    <w:rsid w:val="00936B64"/>
    <w:rsid w:val="00936DE9"/>
    <w:rsid w:val="00936F61"/>
    <w:rsid w:val="009379C4"/>
    <w:rsid w:val="0094041A"/>
    <w:rsid w:val="00940803"/>
    <w:rsid w:val="009409E5"/>
    <w:rsid w:val="00940AA8"/>
    <w:rsid w:val="00940D32"/>
    <w:rsid w:val="0094134D"/>
    <w:rsid w:val="0094143D"/>
    <w:rsid w:val="0094143E"/>
    <w:rsid w:val="0094190D"/>
    <w:rsid w:val="00941BE3"/>
    <w:rsid w:val="00941DBB"/>
    <w:rsid w:val="00941F36"/>
    <w:rsid w:val="00942354"/>
    <w:rsid w:val="009423DD"/>
    <w:rsid w:val="0094254B"/>
    <w:rsid w:val="00942681"/>
    <w:rsid w:val="00942753"/>
    <w:rsid w:val="00942A1F"/>
    <w:rsid w:val="00942CC3"/>
    <w:rsid w:val="00942DBA"/>
    <w:rsid w:val="00942DCE"/>
    <w:rsid w:val="00942E56"/>
    <w:rsid w:val="009436A4"/>
    <w:rsid w:val="0094399E"/>
    <w:rsid w:val="00943A7E"/>
    <w:rsid w:val="00943E42"/>
    <w:rsid w:val="00943E5D"/>
    <w:rsid w:val="00944020"/>
    <w:rsid w:val="009445F2"/>
    <w:rsid w:val="00944728"/>
    <w:rsid w:val="00945280"/>
    <w:rsid w:val="009453E8"/>
    <w:rsid w:val="00945664"/>
    <w:rsid w:val="00945AD1"/>
    <w:rsid w:val="00945BB2"/>
    <w:rsid w:val="0094612C"/>
    <w:rsid w:val="00946ECB"/>
    <w:rsid w:val="00946F0C"/>
    <w:rsid w:val="00947268"/>
    <w:rsid w:val="0094750E"/>
    <w:rsid w:val="00947717"/>
    <w:rsid w:val="00947C94"/>
    <w:rsid w:val="00947C9F"/>
    <w:rsid w:val="00947F8D"/>
    <w:rsid w:val="009507C8"/>
    <w:rsid w:val="00950A1A"/>
    <w:rsid w:val="0095115E"/>
    <w:rsid w:val="0095118A"/>
    <w:rsid w:val="0095226B"/>
    <w:rsid w:val="00952468"/>
    <w:rsid w:val="00952628"/>
    <w:rsid w:val="009527BA"/>
    <w:rsid w:val="00953452"/>
    <w:rsid w:val="00954215"/>
    <w:rsid w:val="009546A2"/>
    <w:rsid w:val="009546C5"/>
    <w:rsid w:val="00954767"/>
    <w:rsid w:val="0095487A"/>
    <w:rsid w:val="0095489F"/>
    <w:rsid w:val="009548FB"/>
    <w:rsid w:val="009549BE"/>
    <w:rsid w:val="00954B28"/>
    <w:rsid w:val="00954C1D"/>
    <w:rsid w:val="0095538B"/>
    <w:rsid w:val="00955AD9"/>
    <w:rsid w:val="00955EB9"/>
    <w:rsid w:val="00955FBD"/>
    <w:rsid w:val="009563C9"/>
    <w:rsid w:val="00956F93"/>
    <w:rsid w:val="0095715F"/>
    <w:rsid w:val="009571FF"/>
    <w:rsid w:val="00957AF7"/>
    <w:rsid w:val="00957EAF"/>
    <w:rsid w:val="00960042"/>
    <w:rsid w:val="00960044"/>
    <w:rsid w:val="00960813"/>
    <w:rsid w:val="00960916"/>
    <w:rsid w:val="00960ACA"/>
    <w:rsid w:val="00960C4F"/>
    <w:rsid w:val="00960D91"/>
    <w:rsid w:val="00961BB8"/>
    <w:rsid w:val="0096217C"/>
    <w:rsid w:val="00962441"/>
    <w:rsid w:val="00962909"/>
    <w:rsid w:val="00963180"/>
    <w:rsid w:val="00963277"/>
    <w:rsid w:val="00963901"/>
    <w:rsid w:val="00963E08"/>
    <w:rsid w:val="00964B53"/>
    <w:rsid w:val="00964C3F"/>
    <w:rsid w:val="00964C6C"/>
    <w:rsid w:val="00964E2C"/>
    <w:rsid w:val="00965176"/>
    <w:rsid w:val="00965240"/>
    <w:rsid w:val="00965501"/>
    <w:rsid w:val="00965847"/>
    <w:rsid w:val="00965A3E"/>
    <w:rsid w:val="00965C48"/>
    <w:rsid w:val="0096665B"/>
    <w:rsid w:val="00966D9D"/>
    <w:rsid w:val="00966E4A"/>
    <w:rsid w:val="00967041"/>
    <w:rsid w:val="009679D8"/>
    <w:rsid w:val="00967F5D"/>
    <w:rsid w:val="00970069"/>
    <w:rsid w:val="00970918"/>
    <w:rsid w:val="0097099E"/>
    <w:rsid w:val="00970BB2"/>
    <w:rsid w:val="00971156"/>
    <w:rsid w:val="00971627"/>
    <w:rsid w:val="00971761"/>
    <w:rsid w:val="009718DC"/>
    <w:rsid w:val="00971C06"/>
    <w:rsid w:val="0097216F"/>
    <w:rsid w:val="00972892"/>
    <w:rsid w:val="00972C3B"/>
    <w:rsid w:val="00973057"/>
    <w:rsid w:val="00973497"/>
    <w:rsid w:val="00973504"/>
    <w:rsid w:val="00973620"/>
    <w:rsid w:val="009736B7"/>
    <w:rsid w:val="009737CD"/>
    <w:rsid w:val="00973DDB"/>
    <w:rsid w:val="009745A6"/>
    <w:rsid w:val="009748A2"/>
    <w:rsid w:val="00974B4D"/>
    <w:rsid w:val="00974D50"/>
    <w:rsid w:val="00975118"/>
    <w:rsid w:val="009751AF"/>
    <w:rsid w:val="00975326"/>
    <w:rsid w:val="009754C7"/>
    <w:rsid w:val="00975764"/>
    <w:rsid w:val="009759DA"/>
    <w:rsid w:val="00975A69"/>
    <w:rsid w:val="00975DEA"/>
    <w:rsid w:val="00975FCE"/>
    <w:rsid w:val="009765E6"/>
    <w:rsid w:val="0097665D"/>
    <w:rsid w:val="009766DA"/>
    <w:rsid w:val="0097690E"/>
    <w:rsid w:val="00976D3F"/>
    <w:rsid w:val="0097752C"/>
    <w:rsid w:val="00977CDF"/>
    <w:rsid w:val="0098043F"/>
    <w:rsid w:val="009806EF"/>
    <w:rsid w:val="00980D9B"/>
    <w:rsid w:val="00981038"/>
    <w:rsid w:val="0098106E"/>
    <w:rsid w:val="00981511"/>
    <w:rsid w:val="00981840"/>
    <w:rsid w:val="00981D1C"/>
    <w:rsid w:val="00981E1C"/>
    <w:rsid w:val="00982021"/>
    <w:rsid w:val="00982118"/>
    <w:rsid w:val="009826C7"/>
    <w:rsid w:val="00982B72"/>
    <w:rsid w:val="00982C62"/>
    <w:rsid w:val="00982C91"/>
    <w:rsid w:val="00982F76"/>
    <w:rsid w:val="00982FA3"/>
    <w:rsid w:val="00983502"/>
    <w:rsid w:val="009837EA"/>
    <w:rsid w:val="00983C65"/>
    <w:rsid w:val="009840FD"/>
    <w:rsid w:val="00984701"/>
    <w:rsid w:val="00984847"/>
    <w:rsid w:val="009848CC"/>
    <w:rsid w:val="00984BEC"/>
    <w:rsid w:val="0098532E"/>
    <w:rsid w:val="00985A51"/>
    <w:rsid w:val="00985EB0"/>
    <w:rsid w:val="00985EB8"/>
    <w:rsid w:val="00985FB3"/>
    <w:rsid w:val="009864B2"/>
    <w:rsid w:val="00986566"/>
    <w:rsid w:val="00986B27"/>
    <w:rsid w:val="00986CC1"/>
    <w:rsid w:val="00986F3D"/>
    <w:rsid w:val="00986F4E"/>
    <w:rsid w:val="009870E5"/>
    <w:rsid w:val="00987191"/>
    <w:rsid w:val="0098734A"/>
    <w:rsid w:val="00987A5A"/>
    <w:rsid w:val="00987CB4"/>
    <w:rsid w:val="0099097E"/>
    <w:rsid w:val="00990AE0"/>
    <w:rsid w:val="00990C51"/>
    <w:rsid w:val="00991247"/>
    <w:rsid w:val="009914CE"/>
    <w:rsid w:val="00991896"/>
    <w:rsid w:val="00991CE9"/>
    <w:rsid w:val="00991F57"/>
    <w:rsid w:val="009920AB"/>
    <w:rsid w:val="009921FC"/>
    <w:rsid w:val="0099272B"/>
    <w:rsid w:val="00992860"/>
    <w:rsid w:val="00992876"/>
    <w:rsid w:val="00992A0E"/>
    <w:rsid w:val="00992D80"/>
    <w:rsid w:val="009935D2"/>
    <w:rsid w:val="00993974"/>
    <w:rsid w:val="0099399E"/>
    <w:rsid w:val="009940AA"/>
    <w:rsid w:val="0099413C"/>
    <w:rsid w:val="00994230"/>
    <w:rsid w:val="009942CB"/>
    <w:rsid w:val="0099470D"/>
    <w:rsid w:val="0099479E"/>
    <w:rsid w:val="009948BD"/>
    <w:rsid w:val="00994FB5"/>
    <w:rsid w:val="009951D8"/>
    <w:rsid w:val="00995355"/>
    <w:rsid w:val="009953E6"/>
    <w:rsid w:val="0099567F"/>
    <w:rsid w:val="0099586F"/>
    <w:rsid w:val="00996193"/>
    <w:rsid w:val="00996333"/>
    <w:rsid w:val="009968C8"/>
    <w:rsid w:val="00996958"/>
    <w:rsid w:val="00996CB5"/>
    <w:rsid w:val="0099719E"/>
    <w:rsid w:val="00997A1F"/>
    <w:rsid w:val="00997C44"/>
    <w:rsid w:val="009A0169"/>
    <w:rsid w:val="009A057A"/>
    <w:rsid w:val="009A0989"/>
    <w:rsid w:val="009A0F51"/>
    <w:rsid w:val="009A10FF"/>
    <w:rsid w:val="009A134A"/>
    <w:rsid w:val="009A14EC"/>
    <w:rsid w:val="009A1B56"/>
    <w:rsid w:val="009A1D14"/>
    <w:rsid w:val="009A25DA"/>
    <w:rsid w:val="009A287A"/>
    <w:rsid w:val="009A2A8A"/>
    <w:rsid w:val="009A329E"/>
    <w:rsid w:val="009A3509"/>
    <w:rsid w:val="009A3C93"/>
    <w:rsid w:val="009A3E49"/>
    <w:rsid w:val="009A3FD0"/>
    <w:rsid w:val="009A40EC"/>
    <w:rsid w:val="009A4449"/>
    <w:rsid w:val="009A4911"/>
    <w:rsid w:val="009A51C7"/>
    <w:rsid w:val="009A59EC"/>
    <w:rsid w:val="009A5C56"/>
    <w:rsid w:val="009A5CA8"/>
    <w:rsid w:val="009A6319"/>
    <w:rsid w:val="009A6E15"/>
    <w:rsid w:val="009A6ED0"/>
    <w:rsid w:val="009A706A"/>
    <w:rsid w:val="009A71AB"/>
    <w:rsid w:val="009A7700"/>
    <w:rsid w:val="009A7745"/>
    <w:rsid w:val="009A79AD"/>
    <w:rsid w:val="009A7C3D"/>
    <w:rsid w:val="009A7C9D"/>
    <w:rsid w:val="009A7D77"/>
    <w:rsid w:val="009B0156"/>
    <w:rsid w:val="009B0295"/>
    <w:rsid w:val="009B03EC"/>
    <w:rsid w:val="009B0461"/>
    <w:rsid w:val="009B05BA"/>
    <w:rsid w:val="009B0BDC"/>
    <w:rsid w:val="009B0C02"/>
    <w:rsid w:val="009B1062"/>
    <w:rsid w:val="009B12E4"/>
    <w:rsid w:val="009B131C"/>
    <w:rsid w:val="009B14D7"/>
    <w:rsid w:val="009B1894"/>
    <w:rsid w:val="009B1B0E"/>
    <w:rsid w:val="009B1D09"/>
    <w:rsid w:val="009B1D85"/>
    <w:rsid w:val="009B1EB4"/>
    <w:rsid w:val="009B1EDB"/>
    <w:rsid w:val="009B211B"/>
    <w:rsid w:val="009B2596"/>
    <w:rsid w:val="009B27D3"/>
    <w:rsid w:val="009B2872"/>
    <w:rsid w:val="009B2A01"/>
    <w:rsid w:val="009B2BF7"/>
    <w:rsid w:val="009B32F5"/>
    <w:rsid w:val="009B3378"/>
    <w:rsid w:val="009B33F5"/>
    <w:rsid w:val="009B35BB"/>
    <w:rsid w:val="009B372B"/>
    <w:rsid w:val="009B42B6"/>
    <w:rsid w:val="009B42CC"/>
    <w:rsid w:val="009B43D6"/>
    <w:rsid w:val="009B48E8"/>
    <w:rsid w:val="009B4E05"/>
    <w:rsid w:val="009B4F94"/>
    <w:rsid w:val="009B5081"/>
    <w:rsid w:val="009B53BD"/>
    <w:rsid w:val="009B5D26"/>
    <w:rsid w:val="009B5ECA"/>
    <w:rsid w:val="009B6067"/>
    <w:rsid w:val="009B6944"/>
    <w:rsid w:val="009B6985"/>
    <w:rsid w:val="009B69B3"/>
    <w:rsid w:val="009B6C36"/>
    <w:rsid w:val="009B7011"/>
    <w:rsid w:val="009B71E4"/>
    <w:rsid w:val="009B786D"/>
    <w:rsid w:val="009B7CC3"/>
    <w:rsid w:val="009B7CF6"/>
    <w:rsid w:val="009B7FD1"/>
    <w:rsid w:val="009B7FD3"/>
    <w:rsid w:val="009C0173"/>
    <w:rsid w:val="009C04EE"/>
    <w:rsid w:val="009C0662"/>
    <w:rsid w:val="009C09AB"/>
    <w:rsid w:val="009C0A5E"/>
    <w:rsid w:val="009C0CD4"/>
    <w:rsid w:val="009C0D4B"/>
    <w:rsid w:val="009C15E7"/>
    <w:rsid w:val="009C17C8"/>
    <w:rsid w:val="009C1C53"/>
    <w:rsid w:val="009C1CC3"/>
    <w:rsid w:val="009C2343"/>
    <w:rsid w:val="009C2633"/>
    <w:rsid w:val="009C2CB8"/>
    <w:rsid w:val="009C31CA"/>
    <w:rsid w:val="009C385B"/>
    <w:rsid w:val="009C38BD"/>
    <w:rsid w:val="009C38EC"/>
    <w:rsid w:val="009C3B21"/>
    <w:rsid w:val="009C3CB0"/>
    <w:rsid w:val="009C3E2D"/>
    <w:rsid w:val="009C3E3C"/>
    <w:rsid w:val="009C3E82"/>
    <w:rsid w:val="009C4353"/>
    <w:rsid w:val="009C4898"/>
    <w:rsid w:val="009C49C2"/>
    <w:rsid w:val="009C4D23"/>
    <w:rsid w:val="009C4DCB"/>
    <w:rsid w:val="009C4E2D"/>
    <w:rsid w:val="009C513A"/>
    <w:rsid w:val="009C56D6"/>
    <w:rsid w:val="009C5CE9"/>
    <w:rsid w:val="009C62C0"/>
    <w:rsid w:val="009C6A88"/>
    <w:rsid w:val="009C6DC5"/>
    <w:rsid w:val="009C746C"/>
    <w:rsid w:val="009C765D"/>
    <w:rsid w:val="009C76CB"/>
    <w:rsid w:val="009C7ADA"/>
    <w:rsid w:val="009D000A"/>
    <w:rsid w:val="009D0D99"/>
    <w:rsid w:val="009D151D"/>
    <w:rsid w:val="009D1936"/>
    <w:rsid w:val="009D1A86"/>
    <w:rsid w:val="009D1CE0"/>
    <w:rsid w:val="009D1E12"/>
    <w:rsid w:val="009D2219"/>
    <w:rsid w:val="009D2A72"/>
    <w:rsid w:val="009D2C4B"/>
    <w:rsid w:val="009D2DA9"/>
    <w:rsid w:val="009D2E93"/>
    <w:rsid w:val="009D2EA9"/>
    <w:rsid w:val="009D3038"/>
    <w:rsid w:val="009D34C0"/>
    <w:rsid w:val="009D352E"/>
    <w:rsid w:val="009D35FB"/>
    <w:rsid w:val="009D3F8B"/>
    <w:rsid w:val="009D40EB"/>
    <w:rsid w:val="009D47A6"/>
    <w:rsid w:val="009D4AB3"/>
    <w:rsid w:val="009D4BBE"/>
    <w:rsid w:val="009D4D0A"/>
    <w:rsid w:val="009D4E16"/>
    <w:rsid w:val="009D4E41"/>
    <w:rsid w:val="009D50D9"/>
    <w:rsid w:val="009D51DD"/>
    <w:rsid w:val="009D532A"/>
    <w:rsid w:val="009D55A2"/>
    <w:rsid w:val="009D5893"/>
    <w:rsid w:val="009D58A9"/>
    <w:rsid w:val="009D5904"/>
    <w:rsid w:val="009D59AF"/>
    <w:rsid w:val="009D6620"/>
    <w:rsid w:val="009D695D"/>
    <w:rsid w:val="009D6C54"/>
    <w:rsid w:val="009D6D7D"/>
    <w:rsid w:val="009D7060"/>
    <w:rsid w:val="009D72B0"/>
    <w:rsid w:val="009D77CE"/>
    <w:rsid w:val="009D7DB2"/>
    <w:rsid w:val="009D7DE3"/>
    <w:rsid w:val="009E004A"/>
    <w:rsid w:val="009E066B"/>
    <w:rsid w:val="009E07EE"/>
    <w:rsid w:val="009E097A"/>
    <w:rsid w:val="009E0DDB"/>
    <w:rsid w:val="009E11C1"/>
    <w:rsid w:val="009E1494"/>
    <w:rsid w:val="009E1515"/>
    <w:rsid w:val="009E1AEB"/>
    <w:rsid w:val="009E1CFF"/>
    <w:rsid w:val="009E1F61"/>
    <w:rsid w:val="009E1F6C"/>
    <w:rsid w:val="009E1FEE"/>
    <w:rsid w:val="009E23EA"/>
    <w:rsid w:val="009E2839"/>
    <w:rsid w:val="009E2C7E"/>
    <w:rsid w:val="009E2D24"/>
    <w:rsid w:val="009E2E79"/>
    <w:rsid w:val="009E2EA0"/>
    <w:rsid w:val="009E2F05"/>
    <w:rsid w:val="009E305F"/>
    <w:rsid w:val="009E3075"/>
    <w:rsid w:val="009E3349"/>
    <w:rsid w:val="009E36FF"/>
    <w:rsid w:val="009E37D3"/>
    <w:rsid w:val="009E3D99"/>
    <w:rsid w:val="009E3EC5"/>
    <w:rsid w:val="009E438D"/>
    <w:rsid w:val="009E4446"/>
    <w:rsid w:val="009E5028"/>
    <w:rsid w:val="009E50FB"/>
    <w:rsid w:val="009E5280"/>
    <w:rsid w:val="009E5386"/>
    <w:rsid w:val="009E53CF"/>
    <w:rsid w:val="009E5DD1"/>
    <w:rsid w:val="009E60AD"/>
    <w:rsid w:val="009E644D"/>
    <w:rsid w:val="009E68C8"/>
    <w:rsid w:val="009E69E0"/>
    <w:rsid w:val="009E6AB5"/>
    <w:rsid w:val="009E6DAB"/>
    <w:rsid w:val="009E6F4B"/>
    <w:rsid w:val="009E703C"/>
    <w:rsid w:val="009E70F8"/>
    <w:rsid w:val="009E71BE"/>
    <w:rsid w:val="009E7B08"/>
    <w:rsid w:val="009E7E4C"/>
    <w:rsid w:val="009F00ED"/>
    <w:rsid w:val="009F03A6"/>
    <w:rsid w:val="009F08F5"/>
    <w:rsid w:val="009F0956"/>
    <w:rsid w:val="009F0B45"/>
    <w:rsid w:val="009F0EE5"/>
    <w:rsid w:val="009F0F1A"/>
    <w:rsid w:val="009F1264"/>
    <w:rsid w:val="009F1D7F"/>
    <w:rsid w:val="009F245B"/>
    <w:rsid w:val="009F25E6"/>
    <w:rsid w:val="009F2BE8"/>
    <w:rsid w:val="009F2F09"/>
    <w:rsid w:val="009F3097"/>
    <w:rsid w:val="009F31F9"/>
    <w:rsid w:val="009F396C"/>
    <w:rsid w:val="009F39A7"/>
    <w:rsid w:val="009F3CCD"/>
    <w:rsid w:val="009F3EA3"/>
    <w:rsid w:val="009F4047"/>
    <w:rsid w:val="009F4073"/>
    <w:rsid w:val="009F40B7"/>
    <w:rsid w:val="009F4188"/>
    <w:rsid w:val="009F420A"/>
    <w:rsid w:val="009F4302"/>
    <w:rsid w:val="009F4393"/>
    <w:rsid w:val="009F49E0"/>
    <w:rsid w:val="009F4A1D"/>
    <w:rsid w:val="009F4BAC"/>
    <w:rsid w:val="009F4BE9"/>
    <w:rsid w:val="009F5949"/>
    <w:rsid w:val="009F59F7"/>
    <w:rsid w:val="009F62D3"/>
    <w:rsid w:val="009F66C8"/>
    <w:rsid w:val="009F6B05"/>
    <w:rsid w:val="009F6EFB"/>
    <w:rsid w:val="009F6F92"/>
    <w:rsid w:val="009F7161"/>
    <w:rsid w:val="009F74B1"/>
    <w:rsid w:val="009F7D13"/>
    <w:rsid w:val="00A00092"/>
    <w:rsid w:val="00A00112"/>
    <w:rsid w:val="00A0031B"/>
    <w:rsid w:val="00A007EB"/>
    <w:rsid w:val="00A008B5"/>
    <w:rsid w:val="00A008F6"/>
    <w:rsid w:val="00A00972"/>
    <w:rsid w:val="00A011FA"/>
    <w:rsid w:val="00A01310"/>
    <w:rsid w:val="00A01701"/>
    <w:rsid w:val="00A017B4"/>
    <w:rsid w:val="00A01861"/>
    <w:rsid w:val="00A01C53"/>
    <w:rsid w:val="00A01D38"/>
    <w:rsid w:val="00A021D8"/>
    <w:rsid w:val="00A022AE"/>
    <w:rsid w:val="00A023DD"/>
    <w:rsid w:val="00A02413"/>
    <w:rsid w:val="00A02414"/>
    <w:rsid w:val="00A025B9"/>
    <w:rsid w:val="00A02882"/>
    <w:rsid w:val="00A0295C"/>
    <w:rsid w:val="00A02AAE"/>
    <w:rsid w:val="00A0355C"/>
    <w:rsid w:val="00A036B1"/>
    <w:rsid w:val="00A03A13"/>
    <w:rsid w:val="00A03B95"/>
    <w:rsid w:val="00A03CA9"/>
    <w:rsid w:val="00A03FE5"/>
    <w:rsid w:val="00A040CD"/>
    <w:rsid w:val="00A0421A"/>
    <w:rsid w:val="00A0422C"/>
    <w:rsid w:val="00A04429"/>
    <w:rsid w:val="00A0479E"/>
    <w:rsid w:val="00A04A15"/>
    <w:rsid w:val="00A04E67"/>
    <w:rsid w:val="00A04EB7"/>
    <w:rsid w:val="00A051D3"/>
    <w:rsid w:val="00A0569F"/>
    <w:rsid w:val="00A05BA4"/>
    <w:rsid w:val="00A0632D"/>
    <w:rsid w:val="00A06446"/>
    <w:rsid w:val="00A06697"/>
    <w:rsid w:val="00A0672C"/>
    <w:rsid w:val="00A06B90"/>
    <w:rsid w:val="00A06C40"/>
    <w:rsid w:val="00A07541"/>
    <w:rsid w:val="00A10586"/>
    <w:rsid w:val="00A1089E"/>
    <w:rsid w:val="00A10A48"/>
    <w:rsid w:val="00A10A6B"/>
    <w:rsid w:val="00A10A7B"/>
    <w:rsid w:val="00A10C03"/>
    <w:rsid w:val="00A110DA"/>
    <w:rsid w:val="00A1132B"/>
    <w:rsid w:val="00A11930"/>
    <w:rsid w:val="00A11A6F"/>
    <w:rsid w:val="00A11B54"/>
    <w:rsid w:val="00A11BC2"/>
    <w:rsid w:val="00A11CDC"/>
    <w:rsid w:val="00A11FB5"/>
    <w:rsid w:val="00A1238C"/>
    <w:rsid w:val="00A1263D"/>
    <w:rsid w:val="00A12AF2"/>
    <w:rsid w:val="00A12D8A"/>
    <w:rsid w:val="00A12DAD"/>
    <w:rsid w:val="00A12E6C"/>
    <w:rsid w:val="00A13172"/>
    <w:rsid w:val="00A1319B"/>
    <w:rsid w:val="00A13454"/>
    <w:rsid w:val="00A135A5"/>
    <w:rsid w:val="00A136D0"/>
    <w:rsid w:val="00A13D1A"/>
    <w:rsid w:val="00A13DF5"/>
    <w:rsid w:val="00A13F7B"/>
    <w:rsid w:val="00A14317"/>
    <w:rsid w:val="00A14656"/>
    <w:rsid w:val="00A1485D"/>
    <w:rsid w:val="00A14CB4"/>
    <w:rsid w:val="00A14DC2"/>
    <w:rsid w:val="00A14DD6"/>
    <w:rsid w:val="00A15919"/>
    <w:rsid w:val="00A15D5E"/>
    <w:rsid w:val="00A1606A"/>
    <w:rsid w:val="00A16118"/>
    <w:rsid w:val="00A161F8"/>
    <w:rsid w:val="00A1634E"/>
    <w:rsid w:val="00A163B7"/>
    <w:rsid w:val="00A16687"/>
    <w:rsid w:val="00A166DF"/>
    <w:rsid w:val="00A169FA"/>
    <w:rsid w:val="00A1766A"/>
    <w:rsid w:val="00A17B64"/>
    <w:rsid w:val="00A17BD0"/>
    <w:rsid w:val="00A2006E"/>
    <w:rsid w:val="00A200F4"/>
    <w:rsid w:val="00A2052E"/>
    <w:rsid w:val="00A206C9"/>
    <w:rsid w:val="00A20AEB"/>
    <w:rsid w:val="00A20C27"/>
    <w:rsid w:val="00A20D5B"/>
    <w:rsid w:val="00A20E7D"/>
    <w:rsid w:val="00A216BC"/>
    <w:rsid w:val="00A216F4"/>
    <w:rsid w:val="00A21C4F"/>
    <w:rsid w:val="00A227C4"/>
    <w:rsid w:val="00A22C32"/>
    <w:rsid w:val="00A23163"/>
    <w:rsid w:val="00A235CD"/>
    <w:rsid w:val="00A23931"/>
    <w:rsid w:val="00A23F0A"/>
    <w:rsid w:val="00A23FD6"/>
    <w:rsid w:val="00A240E9"/>
    <w:rsid w:val="00A24A1B"/>
    <w:rsid w:val="00A24A2C"/>
    <w:rsid w:val="00A25317"/>
    <w:rsid w:val="00A25706"/>
    <w:rsid w:val="00A25818"/>
    <w:rsid w:val="00A25D84"/>
    <w:rsid w:val="00A25F14"/>
    <w:rsid w:val="00A26029"/>
    <w:rsid w:val="00A261E8"/>
    <w:rsid w:val="00A262E4"/>
    <w:rsid w:val="00A268EA"/>
    <w:rsid w:val="00A27CF7"/>
    <w:rsid w:val="00A302F5"/>
    <w:rsid w:val="00A3060F"/>
    <w:rsid w:val="00A30A61"/>
    <w:rsid w:val="00A30C08"/>
    <w:rsid w:val="00A31C98"/>
    <w:rsid w:val="00A31CE0"/>
    <w:rsid w:val="00A31F63"/>
    <w:rsid w:val="00A31FA9"/>
    <w:rsid w:val="00A322DB"/>
    <w:rsid w:val="00A32375"/>
    <w:rsid w:val="00A327F7"/>
    <w:rsid w:val="00A328BD"/>
    <w:rsid w:val="00A32E8C"/>
    <w:rsid w:val="00A333BF"/>
    <w:rsid w:val="00A33825"/>
    <w:rsid w:val="00A33826"/>
    <w:rsid w:val="00A3398F"/>
    <w:rsid w:val="00A33E5F"/>
    <w:rsid w:val="00A33EF2"/>
    <w:rsid w:val="00A34234"/>
    <w:rsid w:val="00A3425E"/>
    <w:rsid w:val="00A34951"/>
    <w:rsid w:val="00A35583"/>
    <w:rsid w:val="00A355A1"/>
    <w:rsid w:val="00A3578A"/>
    <w:rsid w:val="00A35C5B"/>
    <w:rsid w:val="00A35DE4"/>
    <w:rsid w:val="00A3606B"/>
    <w:rsid w:val="00A363EF"/>
    <w:rsid w:val="00A3676B"/>
    <w:rsid w:val="00A36870"/>
    <w:rsid w:val="00A36B1D"/>
    <w:rsid w:val="00A36BDF"/>
    <w:rsid w:val="00A36D0E"/>
    <w:rsid w:val="00A36DFE"/>
    <w:rsid w:val="00A370FD"/>
    <w:rsid w:val="00A3728D"/>
    <w:rsid w:val="00A372CF"/>
    <w:rsid w:val="00A3749F"/>
    <w:rsid w:val="00A37662"/>
    <w:rsid w:val="00A3798C"/>
    <w:rsid w:val="00A37AC4"/>
    <w:rsid w:val="00A37DD9"/>
    <w:rsid w:val="00A4019B"/>
    <w:rsid w:val="00A40345"/>
    <w:rsid w:val="00A40B57"/>
    <w:rsid w:val="00A40ED7"/>
    <w:rsid w:val="00A40F83"/>
    <w:rsid w:val="00A41068"/>
    <w:rsid w:val="00A412BA"/>
    <w:rsid w:val="00A41416"/>
    <w:rsid w:val="00A41474"/>
    <w:rsid w:val="00A41558"/>
    <w:rsid w:val="00A41AEC"/>
    <w:rsid w:val="00A41D53"/>
    <w:rsid w:val="00A4200D"/>
    <w:rsid w:val="00A424BF"/>
    <w:rsid w:val="00A4258E"/>
    <w:rsid w:val="00A432D1"/>
    <w:rsid w:val="00A43716"/>
    <w:rsid w:val="00A438BD"/>
    <w:rsid w:val="00A439EE"/>
    <w:rsid w:val="00A43AB0"/>
    <w:rsid w:val="00A43AB2"/>
    <w:rsid w:val="00A440AD"/>
    <w:rsid w:val="00A442C5"/>
    <w:rsid w:val="00A44712"/>
    <w:rsid w:val="00A44AF5"/>
    <w:rsid w:val="00A44B8B"/>
    <w:rsid w:val="00A45A5E"/>
    <w:rsid w:val="00A45EC4"/>
    <w:rsid w:val="00A4657C"/>
    <w:rsid w:val="00A47212"/>
    <w:rsid w:val="00A474EA"/>
    <w:rsid w:val="00A4788C"/>
    <w:rsid w:val="00A479C3"/>
    <w:rsid w:val="00A5016D"/>
    <w:rsid w:val="00A501B2"/>
    <w:rsid w:val="00A5023F"/>
    <w:rsid w:val="00A502C1"/>
    <w:rsid w:val="00A5034A"/>
    <w:rsid w:val="00A50693"/>
    <w:rsid w:val="00A5070F"/>
    <w:rsid w:val="00A5097B"/>
    <w:rsid w:val="00A5098E"/>
    <w:rsid w:val="00A50ADB"/>
    <w:rsid w:val="00A50FFA"/>
    <w:rsid w:val="00A5110D"/>
    <w:rsid w:val="00A51DBD"/>
    <w:rsid w:val="00A51F47"/>
    <w:rsid w:val="00A52B57"/>
    <w:rsid w:val="00A52C64"/>
    <w:rsid w:val="00A539D1"/>
    <w:rsid w:val="00A539F6"/>
    <w:rsid w:val="00A540BE"/>
    <w:rsid w:val="00A54194"/>
    <w:rsid w:val="00A547BD"/>
    <w:rsid w:val="00A54B13"/>
    <w:rsid w:val="00A54DAE"/>
    <w:rsid w:val="00A550DC"/>
    <w:rsid w:val="00A558F2"/>
    <w:rsid w:val="00A56ADF"/>
    <w:rsid w:val="00A56D3B"/>
    <w:rsid w:val="00A570CC"/>
    <w:rsid w:val="00A57450"/>
    <w:rsid w:val="00A57479"/>
    <w:rsid w:val="00A57B24"/>
    <w:rsid w:val="00A57C08"/>
    <w:rsid w:val="00A600D9"/>
    <w:rsid w:val="00A604CD"/>
    <w:rsid w:val="00A60653"/>
    <w:rsid w:val="00A6099E"/>
    <w:rsid w:val="00A609FE"/>
    <w:rsid w:val="00A61537"/>
    <w:rsid w:val="00A61BA9"/>
    <w:rsid w:val="00A6222E"/>
    <w:rsid w:val="00A62413"/>
    <w:rsid w:val="00A625EE"/>
    <w:rsid w:val="00A62907"/>
    <w:rsid w:val="00A62DD8"/>
    <w:rsid w:val="00A62F99"/>
    <w:rsid w:val="00A63325"/>
    <w:rsid w:val="00A63409"/>
    <w:rsid w:val="00A637A0"/>
    <w:rsid w:val="00A63A1E"/>
    <w:rsid w:val="00A63ECD"/>
    <w:rsid w:val="00A64093"/>
    <w:rsid w:val="00A640EB"/>
    <w:rsid w:val="00A64259"/>
    <w:rsid w:val="00A64815"/>
    <w:rsid w:val="00A65043"/>
    <w:rsid w:val="00A65102"/>
    <w:rsid w:val="00A6532E"/>
    <w:rsid w:val="00A6549A"/>
    <w:rsid w:val="00A656C5"/>
    <w:rsid w:val="00A657B0"/>
    <w:rsid w:val="00A65FE5"/>
    <w:rsid w:val="00A66604"/>
    <w:rsid w:val="00A6685B"/>
    <w:rsid w:val="00A66DF9"/>
    <w:rsid w:val="00A6711A"/>
    <w:rsid w:val="00A674D3"/>
    <w:rsid w:val="00A704E4"/>
    <w:rsid w:val="00A70F6E"/>
    <w:rsid w:val="00A710C3"/>
    <w:rsid w:val="00A710D0"/>
    <w:rsid w:val="00A7136A"/>
    <w:rsid w:val="00A71489"/>
    <w:rsid w:val="00A719BA"/>
    <w:rsid w:val="00A71C44"/>
    <w:rsid w:val="00A72296"/>
    <w:rsid w:val="00A730C6"/>
    <w:rsid w:val="00A731A8"/>
    <w:rsid w:val="00A732E5"/>
    <w:rsid w:val="00A732FA"/>
    <w:rsid w:val="00A7388E"/>
    <w:rsid w:val="00A73A67"/>
    <w:rsid w:val="00A73F88"/>
    <w:rsid w:val="00A74089"/>
    <w:rsid w:val="00A7413F"/>
    <w:rsid w:val="00A74544"/>
    <w:rsid w:val="00A74548"/>
    <w:rsid w:val="00A74C2B"/>
    <w:rsid w:val="00A74DF2"/>
    <w:rsid w:val="00A74E1E"/>
    <w:rsid w:val="00A74E4D"/>
    <w:rsid w:val="00A7592E"/>
    <w:rsid w:val="00A75D40"/>
    <w:rsid w:val="00A762AA"/>
    <w:rsid w:val="00A76C1F"/>
    <w:rsid w:val="00A76C91"/>
    <w:rsid w:val="00A76DA4"/>
    <w:rsid w:val="00A7718E"/>
    <w:rsid w:val="00A77C73"/>
    <w:rsid w:val="00A77F08"/>
    <w:rsid w:val="00A803FC"/>
    <w:rsid w:val="00A8071A"/>
    <w:rsid w:val="00A80920"/>
    <w:rsid w:val="00A80DD9"/>
    <w:rsid w:val="00A80FCA"/>
    <w:rsid w:val="00A8128F"/>
    <w:rsid w:val="00A815C1"/>
    <w:rsid w:val="00A81B0F"/>
    <w:rsid w:val="00A81C02"/>
    <w:rsid w:val="00A81CBC"/>
    <w:rsid w:val="00A823BF"/>
    <w:rsid w:val="00A82424"/>
    <w:rsid w:val="00A824B5"/>
    <w:rsid w:val="00A82506"/>
    <w:rsid w:val="00A82590"/>
    <w:rsid w:val="00A82CA1"/>
    <w:rsid w:val="00A834B3"/>
    <w:rsid w:val="00A837CE"/>
    <w:rsid w:val="00A83A0D"/>
    <w:rsid w:val="00A83A49"/>
    <w:rsid w:val="00A83AE1"/>
    <w:rsid w:val="00A83DB5"/>
    <w:rsid w:val="00A83FBA"/>
    <w:rsid w:val="00A8429E"/>
    <w:rsid w:val="00A84636"/>
    <w:rsid w:val="00A849C9"/>
    <w:rsid w:val="00A84F49"/>
    <w:rsid w:val="00A84FE1"/>
    <w:rsid w:val="00A85080"/>
    <w:rsid w:val="00A85337"/>
    <w:rsid w:val="00A857AF"/>
    <w:rsid w:val="00A85D77"/>
    <w:rsid w:val="00A8626D"/>
    <w:rsid w:val="00A86350"/>
    <w:rsid w:val="00A86406"/>
    <w:rsid w:val="00A86526"/>
    <w:rsid w:val="00A86853"/>
    <w:rsid w:val="00A86A29"/>
    <w:rsid w:val="00A86B75"/>
    <w:rsid w:val="00A86E75"/>
    <w:rsid w:val="00A86F33"/>
    <w:rsid w:val="00A8715B"/>
    <w:rsid w:val="00A900B2"/>
    <w:rsid w:val="00A9059A"/>
    <w:rsid w:val="00A9065F"/>
    <w:rsid w:val="00A90789"/>
    <w:rsid w:val="00A909A2"/>
    <w:rsid w:val="00A90B0E"/>
    <w:rsid w:val="00A90F1D"/>
    <w:rsid w:val="00A9114E"/>
    <w:rsid w:val="00A91212"/>
    <w:rsid w:val="00A91AA1"/>
    <w:rsid w:val="00A91B8B"/>
    <w:rsid w:val="00A91C8C"/>
    <w:rsid w:val="00A91F0D"/>
    <w:rsid w:val="00A92047"/>
    <w:rsid w:val="00A9235A"/>
    <w:rsid w:val="00A9242C"/>
    <w:rsid w:val="00A92848"/>
    <w:rsid w:val="00A92FF7"/>
    <w:rsid w:val="00A93069"/>
    <w:rsid w:val="00A944E2"/>
    <w:rsid w:val="00A94534"/>
    <w:rsid w:val="00A9468F"/>
    <w:rsid w:val="00A946DD"/>
    <w:rsid w:val="00A94985"/>
    <w:rsid w:val="00A9498D"/>
    <w:rsid w:val="00A94D7C"/>
    <w:rsid w:val="00A95335"/>
    <w:rsid w:val="00A95400"/>
    <w:rsid w:val="00A95495"/>
    <w:rsid w:val="00A9566B"/>
    <w:rsid w:val="00A958B2"/>
    <w:rsid w:val="00A95D6D"/>
    <w:rsid w:val="00A9657F"/>
    <w:rsid w:val="00A96863"/>
    <w:rsid w:val="00A9699A"/>
    <w:rsid w:val="00A970DD"/>
    <w:rsid w:val="00A972A7"/>
    <w:rsid w:val="00A9797D"/>
    <w:rsid w:val="00A97AB1"/>
    <w:rsid w:val="00A97D88"/>
    <w:rsid w:val="00A97DBD"/>
    <w:rsid w:val="00A97DFA"/>
    <w:rsid w:val="00A97E2A"/>
    <w:rsid w:val="00AA015F"/>
    <w:rsid w:val="00AA0B6B"/>
    <w:rsid w:val="00AA0C3A"/>
    <w:rsid w:val="00AA0F2D"/>
    <w:rsid w:val="00AA12A3"/>
    <w:rsid w:val="00AA1723"/>
    <w:rsid w:val="00AA190D"/>
    <w:rsid w:val="00AA1FA2"/>
    <w:rsid w:val="00AA1FDD"/>
    <w:rsid w:val="00AA22C3"/>
    <w:rsid w:val="00AA230D"/>
    <w:rsid w:val="00AA2782"/>
    <w:rsid w:val="00AA2A26"/>
    <w:rsid w:val="00AA3687"/>
    <w:rsid w:val="00AA379F"/>
    <w:rsid w:val="00AA3DD0"/>
    <w:rsid w:val="00AA3F0F"/>
    <w:rsid w:val="00AA4941"/>
    <w:rsid w:val="00AA49E9"/>
    <w:rsid w:val="00AA4AD6"/>
    <w:rsid w:val="00AA4DB9"/>
    <w:rsid w:val="00AA5475"/>
    <w:rsid w:val="00AA54A1"/>
    <w:rsid w:val="00AA5764"/>
    <w:rsid w:val="00AA5876"/>
    <w:rsid w:val="00AA5CAE"/>
    <w:rsid w:val="00AA6123"/>
    <w:rsid w:val="00AA6A6C"/>
    <w:rsid w:val="00AA6A8A"/>
    <w:rsid w:val="00AA6C57"/>
    <w:rsid w:val="00AA6D5C"/>
    <w:rsid w:val="00AA6D7A"/>
    <w:rsid w:val="00AA6DD8"/>
    <w:rsid w:val="00AA6FA3"/>
    <w:rsid w:val="00AA70BB"/>
    <w:rsid w:val="00AA71F4"/>
    <w:rsid w:val="00AA757C"/>
    <w:rsid w:val="00AA7864"/>
    <w:rsid w:val="00AA7BBC"/>
    <w:rsid w:val="00AA7CD5"/>
    <w:rsid w:val="00AA7F10"/>
    <w:rsid w:val="00AB0391"/>
    <w:rsid w:val="00AB0416"/>
    <w:rsid w:val="00AB0499"/>
    <w:rsid w:val="00AB054B"/>
    <w:rsid w:val="00AB0F8B"/>
    <w:rsid w:val="00AB2151"/>
    <w:rsid w:val="00AB242F"/>
    <w:rsid w:val="00AB276B"/>
    <w:rsid w:val="00AB2A57"/>
    <w:rsid w:val="00AB2B41"/>
    <w:rsid w:val="00AB2C59"/>
    <w:rsid w:val="00AB2C8A"/>
    <w:rsid w:val="00AB41B6"/>
    <w:rsid w:val="00AB42B6"/>
    <w:rsid w:val="00AB4D67"/>
    <w:rsid w:val="00AB4DB4"/>
    <w:rsid w:val="00AB51E5"/>
    <w:rsid w:val="00AB5422"/>
    <w:rsid w:val="00AB545D"/>
    <w:rsid w:val="00AB54D7"/>
    <w:rsid w:val="00AB568B"/>
    <w:rsid w:val="00AB56DE"/>
    <w:rsid w:val="00AB570A"/>
    <w:rsid w:val="00AB57D3"/>
    <w:rsid w:val="00AB5DBD"/>
    <w:rsid w:val="00AB6886"/>
    <w:rsid w:val="00AB6AE4"/>
    <w:rsid w:val="00AB6E00"/>
    <w:rsid w:val="00AB6F37"/>
    <w:rsid w:val="00AB6F5A"/>
    <w:rsid w:val="00AB74BC"/>
    <w:rsid w:val="00AB769E"/>
    <w:rsid w:val="00AB7D55"/>
    <w:rsid w:val="00AB7EAA"/>
    <w:rsid w:val="00AC0309"/>
    <w:rsid w:val="00AC0681"/>
    <w:rsid w:val="00AC06F7"/>
    <w:rsid w:val="00AC0E86"/>
    <w:rsid w:val="00AC154B"/>
    <w:rsid w:val="00AC1838"/>
    <w:rsid w:val="00AC1B72"/>
    <w:rsid w:val="00AC1DAD"/>
    <w:rsid w:val="00AC26FE"/>
    <w:rsid w:val="00AC27B3"/>
    <w:rsid w:val="00AC350D"/>
    <w:rsid w:val="00AC3568"/>
    <w:rsid w:val="00AC359B"/>
    <w:rsid w:val="00AC3841"/>
    <w:rsid w:val="00AC3CF2"/>
    <w:rsid w:val="00AC407C"/>
    <w:rsid w:val="00AC42B3"/>
    <w:rsid w:val="00AC47EC"/>
    <w:rsid w:val="00AC47FE"/>
    <w:rsid w:val="00AC4E5D"/>
    <w:rsid w:val="00AC5184"/>
    <w:rsid w:val="00AC5206"/>
    <w:rsid w:val="00AC53A0"/>
    <w:rsid w:val="00AC572E"/>
    <w:rsid w:val="00AC659E"/>
    <w:rsid w:val="00AC6809"/>
    <w:rsid w:val="00AC695B"/>
    <w:rsid w:val="00AC6C53"/>
    <w:rsid w:val="00AC6D8D"/>
    <w:rsid w:val="00AC6E85"/>
    <w:rsid w:val="00AC706A"/>
    <w:rsid w:val="00AC7245"/>
    <w:rsid w:val="00AC7284"/>
    <w:rsid w:val="00AC75BD"/>
    <w:rsid w:val="00AC777B"/>
    <w:rsid w:val="00AC7A1D"/>
    <w:rsid w:val="00AC7CE6"/>
    <w:rsid w:val="00AC7E04"/>
    <w:rsid w:val="00AD02A3"/>
    <w:rsid w:val="00AD0828"/>
    <w:rsid w:val="00AD09BA"/>
    <w:rsid w:val="00AD09BF"/>
    <w:rsid w:val="00AD0AED"/>
    <w:rsid w:val="00AD0B0A"/>
    <w:rsid w:val="00AD0B13"/>
    <w:rsid w:val="00AD0E35"/>
    <w:rsid w:val="00AD0E69"/>
    <w:rsid w:val="00AD0F36"/>
    <w:rsid w:val="00AD103D"/>
    <w:rsid w:val="00AD159C"/>
    <w:rsid w:val="00AD17FA"/>
    <w:rsid w:val="00AD19EC"/>
    <w:rsid w:val="00AD1A57"/>
    <w:rsid w:val="00AD1D11"/>
    <w:rsid w:val="00AD23CD"/>
    <w:rsid w:val="00AD2717"/>
    <w:rsid w:val="00AD27B9"/>
    <w:rsid w:val="00AD3695"/>
    <w:rsid w:val="00AD3845"/>
    <w:rsid w:val="00AD3C42"/>
    <w:rsid w:val="00AD3D8F"/>
    <w:rsid w:val="00AD3DC4"/>
    <w:rsid w:val="00AD3E7B"/>
    <w:rsid w:val="00AD3F2D"/>
    <w:rsid w:val="00AD3FA7"/>
    <w:rsid w:val="00AD4FF4"/>
    <w:rsid w:val="00AD4FF9"/>
    <w:rsid w:val="00AD531D"/>
    <w:rsid w:val="00AD5941"/>
    <w:rsid w:val="00AD600C"/>
    <w:rsid w:val="00AD632C"/>
    <w:rsid w:val="00AD634C"/>
    <w:rsid w:val="00AD638D"/>
    <w:rsid w:val="00AD63D6"/>
    <w:rsid w:val="00AD650B"/>
    <w:rsid w:val="00AD6738"/>
    <w:rsid w:val="00AD6CD5"/>
    <w:rsid w:val="00AD716C"/>
    <w:rsid w:val="00AD733B"/>
    <w:rsid w:val="00AD7629"/>
    <w:rsid w:val="00AD7CA7"/>
    <w:rsid w:val="00AE0040"/>
    <w:rsid w:val="00AE025F"/>
    <w:rsid w:val="00AE09D4"/>
    <w:rsid w:val="00AE0CFC"/>
    <w:rsid w:val="00AE0F3B"/>
    <w:rsid w:val="00AE108D"/>
    <w:rsid w:val="00AE157C"/>
    <w:rsid w:val="00AE184D"/>
    <w:rsid w:val="00AE1C03"/>
    <w:rsid w:val="00AE1CD0"/>
    <w:rsid w:val="00AE23E3"/>
    <w:rsid w:val="00AE281D"/>
    <w:rsid w:val="00AE2B0B"/>
    <w:rsid w:val="00AE2DA9"/>
    <w:rsid w:val="00AE2F02"/>
    <w:rsid w:val="00AE2F65"/>
    <w:rsid w:val="00AE30C4"/>
    <w:rsid w:val="00AE317E"/>
    <w:rsid w:val="00AE34E4"/>
    <w:rsid w:val="00AE35A5"/>
    <w:rsid w:val="00AE3D9B"/>
    <w:rsid w:val="00AE3EB1"/>
    <w:rsid w:val="00AE3FB6"/>
    <w:rsid w:val="00AE44E9"/>
    <w:rsid w:val="00AE4592"/>
    <w:rsid w:val="00AE4748"/>
    <w:rsid w:val="00AE4A27"/>
    <w:rsid w:val="00AE4BAB"/>
    <w:rsid w:val="00AE4C37"/>
    <w:rsid w:val="00AE4E2A"/>
    <w:rsid w:val="00AE5058"/>
    <w:rsid w:val="00AE5CE5"/>
    <w:rsid w:val="00AE5CF9"/>
    <w:rsid w:val="00AE5DB6"/>
    <w:rsid w:val="00AE5E29"/>
    <w:rsid w:val="00AE623A"/>
    <w:rsid w:val="00AE6C3C"/>
    <w:rsid w:val="00AE702E"/>
    <w:rsid w:val="00AE70C0"/>
    <w:rsid w:val="00AE73E0"/>
    <w:rsid w:val="00AE76E5"/>
    <w:rsid w:val="00AE7821"/>
    <w:rsid w:val="00AE78F0"/>
    <w:rsid w:val="00AE7A2C"/>
    <w:rsid w:val="00AE7BC5"/>
    <w:rsid w:val="00AF03C0"/>
    <w:rsid w:val="00AF0560"/>
    <w:rsid w:val="00AF10D1"/>
    <w:rsid w:val="00AF11FC"/>
    <w:rsid w:val="00AF157F"/>
    <w:rsid w:val="00AF166F"/>
    <w:rsid w:val="00AF1C03"/>
    <w:rsid w:val="00AF1DDC"/>
    <w:rsid w:val="00AF278E"/>
    <w:rsid w:val="00AF27B6"/>
    <w:rsid w:val="00AF3649"/>
    <w:rsid w:val="00AF39AF"/>
    <w:rsid w:val="00AF3E3B"/>
    <w:rsid w:val="00AF3E5A"/>
    <w:rsid w:val="00AF440E"/>
    <w:rsid w:val="00AF46FE"/>
    <w:rsid w:val="00AF486F"/>
    <w:rsid w:val="00AF49C6"/>
    <w:rsid w:val="00AF548B"/>
    <w:rsid w:val="00AF55E0"/>
    <w:rsid w:val="00AF5666"/>
    <w:rsid w:val="00AF5870"/>
    <w:rsid w:val="00AF6619"/>
    <w:rsid w:val="00AF6629"/>
    <w:rsid w:val="00AF6CFD"/>
    <w:rsid w:val="00AF75CF"/>
    <w:rsid w:val="00AF7803"/>
    <w:rsid w:val="00AF7B46"/>
    <w:rsid w:val="00AF7B83"/>
    <w:rsid w:val="00AF7B87"/>
    <w:rsid w:val="00AF7DC1"/>
    <w:rsid w:val="00AF7E38"/>
    <w:rsid w:val="00B000AE"/>
    <w:rsid w:val="00B003E6"/>
    <w:rsid w:val="00B0040B"/>
    <w:rsid w:val="00B00830"/>
    <w:rsid w:val="00B00AB5"/>
    <w:rsid w:val="00B00CC0"/>
    <w:rsid w:val="00B00F5C"/>
    <w:rsid w:val="00B016CD"/>
    <w:rsid w:val="00B016E7"/>
    <w:rsid w:val="00B01984"/>
    <w:rsid w:val="00B019C1"/>
    <w:rsid w:val="00B01AD3"/>
    <w:rsid w:val="00B01CF3"/>
    <w:rsid w:val="00B0218A"/>
    <w:rsid w:val="00B02219"/>
    <w:rsid w:val="00B0236E"/>
    <w:rsid w:val="00B02506"/>
    <w:rsid w:val="00B02ACE"/>
    <w:rsid w:val="00B03913"/>
    <w:rsid w:val="00B03C45"/>
    <w:rsid w:val="00B03EE8"/>
    <w:rsid w:val="00B04ADA"/>
    <w:rsid w:val="00B04BA1"/>
    <w:rsid w:val="00B04CEA"/>
    <w:rsid w:val="00B05224"/>
    <w:rsid w:val="00B05607"/>
    <w:rsid w:val="00B05A08"/>
    <w:rsid w:val="00B05B07"/>
    <w:rsid w:val="00B05F0B"/>
    <w:rsid w:val="00B05F14"/>
    <w:rsid w:val="00B06737"/>
    <w:rsid w:val="00B06F56"/>
    <w:rsid w:val="00B0784C"/>
    <w:rsid w:val="00B07AB4"/>
    <w:rsid w:val="00B07B24"/>
    <w:rsid w:val="00B07BED"/>
    <w:rsid w:val="00B07CE9"/>
    <w:rsid w:val="00B101D5"/>
    <w:rsid w:val="00B10267"/>
    <w:rsid w:val="00B10633"/>
    <w:rsid w:val="00B106CC"/>
    <w:rsid w:val="00B10912"/>
    <w:rsid w:val="00B10B08"/>
    <w:rsid w:val="00B10FC3"/>
    <w:rsid w:val="00B1142D"/>
    <w:rsid w:val="00B11790"/>
    <w:rsid w:val="00B11924"/>
    <w:rsid w:val="00B11974"/>
    <w:rsid w:val="00B11A78"/>
    <w:rsid w:val="00B11AEE"/>
    <w:rsid w:val="00B11C80"/>
    <w:rsid w:val="00B11CFB"/>
    <w:rsid w:val="00B1202B"/>
    <w:rsid w:val="00B12111"/>
    <w:rsid w:val="00B121AA"/>
    <w:rsid w:val="00B12AD8"/>
    <w:rsid w:val="00B12C16"/>
    <w:rsid w:val="00B12FA3"/>
    <w:rsid w:val="00B1362A"/>
    <w:rsid w:val="00B13B64"/>
    <w:rsid w:val="00B13E18"/>
    <w:rsid w:val="00B13EF7"/>
    <w:rsid w:val="00B13F05"/>
    <w:rsid w:val="00B14037"/>
    <w:rsid w:val="00B14109"/>
    <w:rsid w:val="00B14410"/>
    <w:rsid w:val="00B1486D"/>
    <w:rsid w:val="00B14EFB"/>
    <w:rsid w:val="00B14F68"/>
    <w:rsid w:val="00B150D6"/>
    <w:rsid w:val="00B15373"/>
    <w:rsid w:val="00B153FA"/>
    <w:rsid w:val="00B15639"/>
    <w:rsid w:val="00B15D15"/>
    <w:rsid w:val="00B15E42"/>
    <w:rsid w:val="00B15EEE"/>
    <w:rsid w:val="00B16198"/>
    <w:rsid w:val="00B16298"/>
    <w:rsid w:val="00B16A2C"/>
    <w:rsid w:val="00B16D85"/>
    <w:rsid w:val="00B16FB6"/>
    <w:rsid w:val="00B17022"/>
    <w:rsid w:val="00B17A92"/>
    <w:rsid w:val="00B17B4E"/>
    <w:rsid w:val="00B17C23"/>
    <w:rsid w:val="00B20198"/>
    <w:rsid w:val="00B2049E"/>
    <w:rsid w:val="00B20C5C"/>
    <w:rsid w:val="00B216A6"/>
    <w:rsid w:val="00B21736"/>
    <w:rsid w:val="00B217AB"/>
    <w:rsid w:val="00B218B1"/>
    <w:rsid w:val="00B21A33"/>
    <w:rsid w:val="00B21C8F"/>
    <w:rsid w:val="00B21E15"/>
    <w:rsid w:val="00B224AA"/>
    <w:rsid w:val="00B22670"/>
    <w:rsid w:val="00B22998"/>
    <w:rsid w:val="00B229FE"/>
    <w:rsid w:val="00B22E60"/>
    <w:rsid w:val="00B2302B"/>
    <w:rsid w:val="00B236F7"/>
    <w:rsid w:val="00B23C05"/>
    <w:rsid w:val="00B23CF4"/>
    <w:rsid w:val="00B23EF9"/>
    <w:rsid w:val="00B24345"/>
    <w:rsid w:val="00B24363"/>
    <w:rsid w:val="00B2456E"/>
    <w:rsid w:val="00B2467E"/>
    <w:rsid w:val="00B24885"/>
    <w:rsid w:val="00B24979"/>
    <w:rsid w:val="00B24C6C"/>
    <w:rsid w:val="00B250A5"/>
    <w:rsid w:val="00B2536A"/>
    <w:rsid w:val="00B25651"/>
    <w:rsid w:val="00B259E2"/>
    <w:rsid w:val="00B25AF8"/>
    <w:rsid w:val="00B2620A"/>
    <w:rsid w:val="00B26937"/>
    <w:rsid w:val="00B26B3F"/>
    <w:rsid w:val="00B270C5"/>
    <w:rsid w:val="00B2768B"/>
    <w:rsid w:val="00B27B59"/>
    <w:rsid w:val="00B30243"/>
    <w:rsid w:val="00B30421"/>
    <w:rsid w:val="00B3048D"/>
    <w:rsid w:val="00B307ED"/>
    <w:rsid w:val="00B30A81"/>
    <w:rsid w:val="00B30DC8"/>
    <w:rsid w:val="00B3152B"/>
    <w:rsid w:val="00B315BB"/>
    <w:rsid w:val="00B31977"/>
    <w:rsid w:val="00B31A31"/>
    <w:rsid w:val="00B31EDA"/>
    <w:rsid w:val="00B32006"/>
    <w:rsid w:val="00B3235A"/>
    <w:rsid w:val="00B328C9"/>
    <w:rsid w:val="00B32AFF"/>
    <w:rsid w:val="00B3325F"/>
    <w:rsid w:val="00B333FE"/>
    <w:rsid w:val="00B3382B"/>
    <w:rsid w:val="00B338CC"/>
    <w:rsid w:val="00B33D95"/>
    <w:rsid w:val="00B35094"/>
    <w:rsid w:val="00B350F0"/>
    <w:rsid w:val="00B35415"/>
    <w:rsid w:val="00B357AC"/>
    <w:rsid w:val="00B35992"/>
    <w:rsid w:val="00B35AE6"/>
    <w:rsid w:val="00B35E4B"/>
    <w:rsid w:val="00B35FCC"/>
    <w:rsid w:val="00B36449"/>
    <w:rsid w:val="00B36518"/>
    <w:rsid w:val="00B365DF"/>
    <w:rsid w:val="00B36B9F"/>
    <w:rsid w:val="00B3775D"/>
    <w:rsid w:val="00B378A1"/>
    <w:rsid w:val="00B378CC"/>
    <w:rsid w:val="00B37E2E"/>
    <w:rsid w:val="00B405EF"/>
    <w:rsid w:val="00B406BE"/>
    <w:rsid w:val="00B40829"/>
    <w:rsid w:val="00B4084E"/>
    <w:rsid w:val="00B4089A"/>
    <w:rsid w:val="00B411ED"/>
    <w:rsid w:val="00B412E3"/>
    <w:rsid w:val="00B414B8"/>
    <w:rsid w:val="00B41615"/>
    <w:rsid w:val="00B418D2"/>
    <w:rsid w:val="00B41FD8"/>
    <w:rsid w:val="00B420DF"/>
    <w:rsid w:val="00B42505"/>
    <w:rsid w:val="00B428E2"/>
    <w:rsid w:val="00B42A2C"/>
    <w:rsid w:val="00B42A5C"/>
    <w:rsid w:val="00B42A98"/>
    <w:rsid w:val="00B42C64"/>
    <w:rsid w:val="00B42F5D"/>
    <w:rsid w:val="00B4333F"/>
    <w:rsid w:val="00B435EE"/>
    <w:rsid w:val="00B4420D"/>
    <w:rsid w:val="00B448EF"/>
    <w:rsid w:val="00B45120"/>
    <w:rsid w:val="00B453AD"/>
    <w:rsid w:val="00B4577E"/>
    <w:rsid w:val="00B467F4"/>
    <w:rsid w:val="00B4724C"/>
    <w:rsid w:val="00B47493"/>
    <w:rsid w:val="00B474C8"/>
    <w:rsid w:val="00B474DF"/>
    <w:rsid w:val="00B47915"/>
    <w:rsid w:val="00B5027D"/>
    <w:rsid w:val="00B50841"/>
    <w:rsid w:val="00B50BBD"/>
    <w:rsid w:val="00B50E18"/>
    <w:rsid w:val="00B50E62"/>
    <w:rsid w:val="00B5104B"/>
    <w:rsid w:val="00B51387"/>
    <w:rsid w:val="00B513A9"/>
    <w:rsid w:val="00B51568"/>
    <w:rsid w:val="00B51610"/>
    <w:rsid w:val="00B5167B"/>
    <w:rsid w:val="00B51A8F"/>
    <w:rsid w:val="00B51E34"/>
    <w:rsid w:val="00B51F2C"/>
    <w:rsid w:val="00B5203C"/>
    <w:rsid w:val="00B520E3"/>
    <w:rsid w:val="00B52336"/>
    <w:rsid w:val="00B52B86"/>
    <w:rsid w:val="00B53110"/>
    <w:rsid w:val="00B5388C"/>
    <w:rsid w:val="00B54648"/>
    <w:rsid w:val="00B54D0F"/>
    <w:rsid w:val="00B54D3A"/>
    <w:rsid w:val="00B54DA9"/>
    <w:rsid w:val="00B55005"/>
    <w:rsid w:val="00B552E9"/>
    <w:rsid w:val="00B55611"/>
    <w:rsid w:val="00B55CED"/>
    <w:rsid w:val="00B55D57"/>
    <w:rsid w:val="00B55E0E"/>
    <w:rsid w:val="00B55E9D"/>
    <w:rsid w:val="00B55F80"/>
    <w:rsid w:val="00B56336"/>
    <w:rsid w:val="00B56406"/>
    <w:rsid w:val="00B56480"/>
    <w:rsid w:val="00B56595"/>
    <w:rsid w:val="00B565D6"/>
    <w:rsid w:val="00B5709B"/>
    <w:rsid w:val="00B576A4"/>
    <w:rsid w:val="00B57998"/>
    <w:rsid w:val="00B57CD0"/>
    <w:rsid w:val="00B57DA9"/>
    <w:rsid w:val="00B600D5"/>
    <w:rsid w:val="00B60177"/>
    <w:rsid w:val="00B60639"/>
    <w:rsid w:val="00B60669"/>
    <w:rsid w:val="00B60AEA"/>
    <w:rsid w:val="00B6158B"/>
    <w:rsid w:val="00B61A02"/>
    <w:rsid w:val="00B61E3B"/>
    <w:rsid w:val="00B61FAF"/>
    <w:rsid w:val="00B626E1"/>
    <w:rsid w:val="00B6273E"/>
    <w:rsid w:val="00B62FC1"/>
    <w:rsid w:val="00B6308E"/>
    <w:rsid w:val="00B63492"/>
    <w:rsid w:val="00B63657"/>
    <w:rsid w:val="00B6371A"/>
    <w:rsid w:val="00B63D58"/>
    <w:rsid w:val="00B63EDF"/>
    <w:rsid w:val="00B642E4"/>
    <w:rsid w:val="00B64E8A"/>
    <w:rsid w:val="00B65239"/>
    <w:rsid w:val="00B65397"/>
    <w:rsid w:val="00B65567"/>
    <w:rsid w:val="00B65588"/>
    <w:rsid w:val="00B658D1"/>
    <w:rsid w:val="00B65997"/>
    <w:rsid w:val="00B66064"/>
    <w:rsid w:val="00B6674A"/>
    <w:rsid w:val="00B66876"/>
    <w:rsid w:val="00B66995"/>
    <w:rsid w:val="00B66CF9"/>
    <w:rsid w:val="00B66DF8"/>
    <w:rsid w:val="00B66FC2"/>
    <w:rsid w:val="00B671A1"/>
    <w:rsid w:val="00B6738A"/>
    <w:rsid w:val="00B675A6"/>
    <w:rsid w:val="00B6794D"/>
    <w:rsid w:val="00B67987"/>
    <w:rsid w:val="00B67B55"/>
    <w:rsid w:val="00B67BC9"/>
    <w:rsid w:val="00B67C6C"/>
    <w:rsid w:val="00B704DE"/>
    <w:rsid w:val="00B7052A"/>
    <w:rsid w:val="00B70C61"/>
    <w:rsid w:val="00B70E5A"/>
    <w:rsid w:val="00B71790"/>
    <w:rsid w:val="00B71F3C"/>
    <w:rsid w:val="00B71F88"/>
    <w:rsid w:val="00B7220D"/>
    <w:rsid w:val="00B722F7"/>
    <w:rsid w:val="00B725FC"/>
    <w:rsid w:val="00B72911"/>
    <w:rsid w:val="00B72A93"/>
    <w:rsid w:val="00B72BC6"/>
    <w:rsid w:val="00B737B8"/>
    <w:rsid w:val="00B7393E"/>
    <w:rsid w:val="00B73EEC"/>
    <w:rsid w:val="00B742F3"/>
    <w:rsid w:val="00B744D8"/>
    <w:rsid w:val="00B749B6"/>
    <w:rsid w:val="00B7509A"/>
    <w:rsid w:val="00B75785"/>
    <w:rsid w:val="00B75947"/>
    <w:rsid w:val="00B75C3A"/>
    <w:rsid w:val="00B7613E"/>
    <w:rsid w:val="00B763DD"/>
    <w:rsid w:val="00B766C1"/>
    <w:rsid w:val="00B76966"/>
    <w:rsid w:val="00B76B96"/>
    <w:rsid w:val="00B76EFB"/>
    <w:rsid w:val="00B77129"/>
    <w:rsid w:val="00B773FE"/>
    <w:rsid w:val="00B778B6"/>
    <w:rsid w:val="00B77A86"/>
    <w:rsid w:val="00B77C37"/>
    <w:rsid w:val="00B77F91"/>
    <w:rsid w:val="00B807BF"/>
    <w:rsid w:val="00B80910"/>
    <w:rsid w:val="00B809B1"/>
    <w:rsid w:val="00B80C56"/>
    <w:rsid w:val="00B80E8E"/>
    <w:rsid w:val="00B818E1"/>
    <w:rsid w:val="00B82543"/>
    <w:rsid w:val="00B82998"/>
    <w:rsid w:val="00B83070"/>
    <w:rsid w:val="00B83364"/>
    <w:rsid w:val="00B833DC"/>
    <w:rsid w:val="00B834B0"/>
    <w:rsid w:val="00B837F6"/>
    <w:rsid w:val="00B83DAE"/>
    <w:rsid w:val="00B8420C"/>
    <w:rsid w:val="00B845CB"/>
    <w:rsid w:val="00B84770"/>
    <w:rsid w:val="00B8494B"/>
    <w:rsid w:val="00B84B18"/>
    <w:rsid w:val="00B84B2D"/>
    <w:rsid w:val="00B84E3A"/>
    <w:rsid w:val="00B84FB4"/>
    <w:rsid w:val="00B8593D"/>
    <w:rsid w:val="00B85A60"/>
    <w:rsid w:val="00B85C4A"/>
    <w:rsid w:val="00B85E10"/>
    <w:rsid w:val="00B86549"/>
    <w:rsid w:val="00B86589"/>
    <w:rsid w:val="00B86778"/>
    <w:rsid w:val="00B86B19"/>
    <w:rsid w:val="00B86F2A"/>
    <w:rsid w:val="00B870FE"/>
    <w:rsid w:val="00B871A4"/>
    <w:rsid w:val="00B87209"/>
    <w:rsid w:val="00B872AD"/>
    <w:rsid w:val="00B8743A"/>
    <w:rsid w:val="00B8755C"/>
    <w:rsid w:val="00B8756E"/>
    <w:rsid w:val="00B87DF9"/>
    <w:rsid w:val="00B9002B"/>
    <w:rsid w:val="00B900F7"/>
    <w:rsid w:val="00B91370"/>
    <w:rsid w:val="00B91951"/>
    <w:rsid w:val="00B91A58"/>
    <w:rsid w:val="00B91D63"/>
    <w:rsid w:val="00B91D70"/>
    <w:rsid w:val="00B91DA2"/>
    <w:rsid w:val="00B91EAD"/>
    <w:rsid w:val="00B91ECA"/>
    <w:rsid w:val="00B920B9"/>
    <w:rsid w:val="00B930D2"/>
    <w:rsid w:val="00B937CD"/>
    <w:rsid w:val="00B938BC"/>
    <w:rsid w:val="00B93997"/>
    <w:rsid w:val="00B939C1"/>
    <w:rsid w:val="00B93C98"/>
    <w:rsid w:val="00B9480F"/>
    <w:rsid w:val="00B94A2F"/>
    <w:rsid w:val="00B94E49"/>
    <w:rsid w:val="00B95112"/>
    <w:rsid w:val="00B956BF"/>
    <w:rsid w:val="00B9608E"/>
    <w:rsid w:val="00B96337"/>
    <w:rsid w:val="00B9636E"/>
    <w:rsid w:val="00B96DA9"/>
    <w:rsid w:val="00B96E0A"/>
    <w:rsid w:val="00B97613"/>
    <w:rsid w:val="00B976BB"/>
    <w:rsid w:val="00B979CE"/>
    <w:rsid w:val="00BA01A7"/>
    <w:rsid w:val="00BA0224"/>
    <w:rsid w:val="00BA02C7"/>
    <w:rsid w:val="00BA037D"/>
    <w:rsid w:val="00BA03FF"/>
    <w:rsid w:val="00BA05C8"/>
    <w:rsid w:val="00BA09AA"/>
    <w:rsid w:val="00BA0AD5"/>
    <w:rsid w:val="00BA0CA0"/>
    <w:rsid w:val="00BA0E3C"/>
    <w:rsid w:val="00BA0E63"/>
    <w:rsid w:val="00BA128F"/>
    <w:rsid w:val="00BA1B9A"/>
    <w:rsid w:val="00BA1F74"/>
    <w:rsid w:val="00BA1FE7"/>
    <w:rsid w:val="00BA24AF"/>
    <w:rsid w:val="00BA2632"/>
    <w:rsid w:val="00BA2A73"/>
    <w:rsid w:val="00BA2A97"/>
    <w:rsid w:val="00BA2B1D"/>
    <w:rsid w:val="00BA3779"/>
    <w:rsid w:val="00BA3D14"/>
    <w:rsid w:val="00BA3FC6"/>
    <w:rsid w:val="00BA435A"/>
    <w:rsid w:val="00BA47DB"/>
    <w:rsid w:val="00BA4A77"/>
    <w:rsid w:val="00BA4B41"/>
    <w:rsid w:val="00BA4E06"/>
    <w:rsid w:val="00BA4F3D"/>
    <w:rsid w:val="00BA54BA"/>
    <w:rsid w:val="00BA5603"/>
    <w:rsid w:val="00BA56D9"/>
    <w:rsid w:val="00BA58D9"/>
    <w:rsid w:val="00BA5A81"/>
    <w:rsid w:val="00BA5C10"/>
    <w:rsid w:val="00BA5F00"/>
    <w:rsid w:val="00BA6194"/>
    <w:rsid w:val="00BA672A"/>
    <w:rsid w:val="00BA6812"/>
    <w:rsid w:val="00BA6A5C"/>
    <w:rsid w:val="00BA6C1A"/>
    <w:rsid w:val="00BA7A4B"/>
    <w:rsid w:val="00BA7B53"/>
    <w:rsid w:val="00BA7EEE"/>
    <w:rsid w:val="00BB00D5"/>
    <w:rsid w:val="00BB0AC7"/>
    <w:rsid w:val="00BB0AEE"/>
    <w:rsid w:val="00BB0F1D"/>
    <w:rsid w:val="00BB0F32"/>
    <w:rsid w:val="00BB2008"/>
    <w:rsid w:val="00BB2522"/>
    <w:rsid w:val="00BB2793"/>
    <w:rsid w:val="00BB29DF"/>
    <w:rsid w:val="00BB2CFC"/>
    <w:rsid w:val="00BB2E72"/>
    <w:rsid w:val="00BB34DC"/>
    <w:rsid w:val="00BB35D0"/>
    <w:rsid w:val="00BB3AC4"/>
    <w:rsid w:val="00BB4668"/>
    <w:rsid w:val="00BB4999"/>
    <w:rsid w:val="00BB4BCD"/>
    <w:rsid w:val="00BB52EB"/>
    <w:rsid w:val="00BB56C7"/>
    <w:rsid w:val="00BB57AE"/>
    <w:rsid w:val="00BB58C0"/>
    <w:rsid w:val="00BB5B62"/>
    <w:rsid w:val="00BB5CAE"/>
    <w:rsid w:val="00BB5FCE"/>
    <w:rsid w:val="00BB6502"/>
    <w:rsid w:val="00BB6681"/>
    <w:rsid w:val="00BB6761"/>
    <w:rsid w:val="00BB6BCD"/>
    <w:rsid w:val="00BB70F9"/>
    <w:rsid w:val="00BB7817"/>
    <w:rsid w:val="00BB785B"/>
    <w:rsid w:val="00BB7C9B"/>
    <w:rsid w:val="00BC0005"/>
    <w:rsid w:val="00BC02A5"/>
    <w:rsid w:val="00BC03AA"/>
    <w:rsid w:val="00BC0C30"/>
    <w:rsid w:val="00BC0D29"/>
    <w:rsid w:val="00BC1527"/>
    <w:rsid w:val="00BC1E9E"/>
    <w:rsid w:val="00BC2306"/>
    <w:rsid w:val="00BC2435"/>
    <w:rsid w:val="00BC2A24"/>
    <w:rsid w:val="00BC2E77"/>
    <w:rsid w:val="00BC2F31"/>
    <w:rsid w:val="00BC31EE"/>
    <w:rsid w:val="00BC3F15"/>
    <w:rsid w:val="00BC4036"/>
    <w:rsid w:val="00BC468C"/>
    <w:rsid w:val="00BC46BD"/>
    <w:rsid w:val="00BC4F0A"/>
    <w:rsid w:val="00BC509F"/>
    <w:rsid w:val="00BC51D2"/>
    <w:rsid w:val="00BC531D"/>
    <w:rsid w:val="00BC53A6"/>
    <w:rsid w:val="00BC550A"/>
    <w:rsid w:val="00BC593E"/>
    <w:rsid w:val="00BC5A01"/>
    <w:rsid w:val="00BC5DE0"/>
    <w:rsid w:val="00BC5F1E"/>
    <w:rsid w:val="00BC5F2E"/>
    <w:rsid w:val="00BC5F9C"/>
    <w:rsid w:val="00BC64BE"/>
    <w:rsid w:val="00BC655B"/>
    <w:rsid w:val="00BC7155"/>
    <w:rsid w:val="00BC71C4"/>
    <w:rsid w:val="00BC733B"/>
    <w:rsid w:val="00BC7550"/>
    <w:rsid w:val="00BD0076"/>
    <w:rsid w:val="00BD027F"/>
    <w:rsid w:val="00BD0414"/>
    <w:rsid w:val="00BD046A"/>
    <w:rsid w:val="00BD0742"/>
    <w:rsid w:val="00BD0A97"/>
    <w:rsid w:val="00BD0B72"/>
    <w:rsid w:val="00BD141C"/>
    <w:rsid w:val="00BD153B"/>
    <w:rsid w:val="00BD257C"/>
    <w:rsid w:val="00BD2668"/>
    <w:rsid w:val="00BD297B"/>
    <w:rsid w:val="00BD2C77"/>
    <w:rsid w:val="00BD348B"/>
    <w:rsid w:val="00BD3924"/>
    <w:rsid w:val="00BD3D02"/>
    <w:rsid w:val="00BD4221"/>
    <w:rsid w:val="00BD450F"/>
    <w:rsid w:val="00BD4512"/>
    <w:rsid w:val="00BD46FD"/>
    <w:rsid w:val="00BD4A41"/>
    <w:rsid w:val="00BD4F61"/>
    <w:rsid w:val="00BD51DC"/>
    <w:rsid w:val="00BD52AA"/>
    <w:rsid w:val="00BD58C3"/>
    <w:rsid w:val="00BD5CD5"/>
    <w:rsid w:val="00BD5F30"/>
    <w:rsid w:val="00BD62D4"/>
    <w:rsid w:val="00BD6FE6"/>
    <w:rsid w:val="00BD716E"/>
    <w:rsid w:val="00BD732F"/>
    <w:rsid w:val="00BD7899"/>
    <w:rsid w:val="00BE01C1"/>
    <w:rsid w:val="00BE086F"/>
    <w:rsid w:val="00BE1061"/>
    <w:rsid w:val="00BE1321"/>
    <w:rsid w:val="00BE1553"/>
    <w:rsid w:val="00BE18CF"/>
    <w:rsid w:val="00BE1AC8"/>
    <w:rsid w:val="00BE1C8E"/>
    <w:rsid w:val="00BE1FAD"/>
    <w:rsid w:val="00BE2058"/>
    <w:rsid w:val="00BE2893"/>
    <w:rsid w:val="00BE2A14"/>
    <w:rsid w:val="00BE2C3F"/>
    <w:rsid w:val="00BE2EB4"/>
    <w:rsid w:val="00BE2F5A"/>
    <w:rsid w:val="00BE30B1"/>
    <w:rsid w:val="00BE3226"/>
    <w:rsid w:val="00BE355B"/>
    <w:rsid w:val="00BE3632"/>
    <w:rsid w:val="00BE37D3"/>
    <w:rsid w:val="00BE522A"/>
    <w:rsid w:val="00BE575C"/>
    <w:rsid w:val="00BE57B5"/>
    <w:rsid w:val="00BE5919"/>
    <w:rsid w:val="00BE5FD1"/>
    <w:rsid w:val="00BE67F5"/>
    <w:rsid w:val="00BE6881"/>
    <w:rsid w:val="00BE6C37"/>
    <w:rsid w:val="00BE6C79"/>
    <w:rsid w:val="00BE7557"/>
    <w:rsid w:val="00BE765A"/>
    <w:rsid w:val="00BE7A7C"/>
    <w:rsid w:val="00BE7CC9"/>
    <w:rsid w:val="00BF058D"/>
    <w:rsid w:val="00BF0A44"/>
    <w:rsid w:val="00BF0CEC"/>
    <w:rsid w:val="00BF132C"/>
    <w:rsid w:val="00BF19D9"/>
    <w:rsid w:val="00BF19ED"/>
    <w:rsid w:val="00BF19F5"/>
    <w:rsid w:val="00BF1A44"/>
    <w:rsid w:val="00BF1EDF"/>
    <w:rsid w:val="00BF2267"/>
    <w:rsid w:val="00BF2415"/>
    <w:rsid w:val="00BF2B1E"/>
    <w:rsid w:val="00BF2F07"/>
    <w:rsid w:val="00BF31E6"/>
    <w:rsid w:val="00BF332D"/>
    <w:rsid w:val="00BF3806"/>
    <w:rsid w:val="00BF45F6"/>
    <w:rsid w:val="00BF487A"/>
    <w:rsid w:val="00BF4D3D"/>
    <w:rsid w:val="00BF5343"/>
    <w:rsid w:val="00BF5847"/>
    <w:rsid w:val="00BF5B8C"/>
    <w:rsid w:val="00BF5D30"/>
    <w:rsid w:val="00BF62E7"/>
    <w:rsid w:val="00BF62F8"/>
    <w:rsid w:val="00BF6637"/>
    <w:rsid w:val="00BF66B7"/>
    <w:rsid w:val="00BF6A68"/>
    <w:rsid w:val="00BF7152"/>
    <w:rsid w:val="00BF73F0"/>
    <w:rsid w:val="00BF75B1"/>
    <w:rsid w:val="00BF75C9"/>
    <w:rsid w:val="00BF77CE"/>
    <w:rsid w:val="00BF7B8E"/>
    <w:rsid w:val="00BF7BD3"/>
    <w:rsid w:val="00BF7C10"/>
    <w:rsid w:val="00C00352"/>
    <w:rsid w:val="00C003F8"/>
    <w:rsid w:val="00C004D2"/>
    <w:rsid w:val="00C007C0"/>
    <w:rsid w:val="00C007CE"/>
    <w:rsid w:val="00C00A22"/>
    <w:rsid w:val="00C00F18"/>
    <w:rsid w:val="00C0141C"/>
    <w:rsid w:val="00C01566"/>
    <w:rsid w:val="00C0172F"/>
    <w:rsid w:val="00C017D2"/>
    <w:rsid w:val="00C01976"/>
    <w:rsid w:val="00C01C07"/>
    <w:rsid w:val="00C01D39"/>
    <w:rsid w:val="00C0200C"/>
    <w:rsid w:val="00C020A8"/>
    <w:rsid w:val="00C023B7"/>
    <w:rsid w:val="00C024D8"/>
    <w:rsid w:val="00C02633"/>
    <w:rsid w:val="00C02A72"/>
    <w:rsid w:val="00C02DD3"/>
    <w:rsid w:val="00C02EE6"/>
    <w:rsid w:val="00C02F0E"/>
    <w:rsid w:val="00C03181"/>
    <w:rsid w:val="00C034A4"/>
    <w:rsid w:val="00C03935"/>
    <w:rsid w:val="00C039B7"/>
    <w:rsid w:val="00C03DD0"/>
    <w:rsid w:val="00C04445"/>
    <w:rsid w:val="00C044F2"/>
    <w:rsid w:val="00C04705"/>
    <w:rsid w:val="00C04A7F"/>
    <w:rsid w:val="00C04E2B"/>
    <w:rsid w:val="00C051AA"/>
    <w:rsid w:val="00C056B0"/>
    <w:rsid w:val="00C05B51"/>
    <w:rsid w:val="00C05F9F"/>
    <w:rsid w:val="00C060A0"/>
    <w:rsid w:val="00C06755"/>
    <w:rsid w:val="00C06FDB"/>
    <w:rsid w:val="00C07171"/>
    <w:rsid w:val="00C07187"/>
    <w:rsid w:val="00C073E1"/>
    <w:rsid w:val="00C075C9"/>
    <w:rsid w:val="00C0768E"/>
    <w:rsid w:val="00C07830"/>
    <w:rsid w:val="00C07F90"/>
    <w:rsid w:val="00C07FAD"/>
    <w:rsid w:val="00C10139"/>
    <w:rsid w:val="00C10516"/>
    <w:rsid w:val="00C106C4"/>
    <w:rsid w:val="00C10D16"/>
    <w:rsid w:val="00C111EA"/>
    <w:rsid w:val="00C1127B"/>
    <w:rsid w:val="00C1138F"/>
    <w:rsid w:val="00C1182C"/>
    <w:rsid w:val="00C119AD"/>
    <w:rsid w:val="00C11D5D"/>
    <w:rsid w:val="00C120B4"/>
    <w:rsid w:val="00C120FC"/>
    <w:rsid w:val="00C1228D"/>
    <w:rsid w:val="00C12322"/>
    <w:rsid w:val="00C12347"/>
    <w:rsid w:val="00C138D3"/>
    <w:rsid w:val="00C13FED"/>
    <w:rsid w:val="00C14101"/>
    <w:rsid w:val="00C141F6"/>
    <w:rsid w:val="00C14542"/>
    <w:rsid w:val="00C14DFA"/>
    <w:rsid w:val="00C14E7D"/>
    <w:rsid w:val="00C15722"/>
    <w:rsid w:val="00C15AF5"/>
    <w:rsid w:val="00C16105"/>
    <w:rsid w:val="00C1619A"/>
    <w:rsid w:val="00C1645C"/>
    <w:rsid w:val="00C16897"/>
    <w:rsid w:val="00C169AB"/>
    <w:rsid w:val="00C16B3A"/>
    <w:rsid w:val="00C16E99"/>
    <w:rsid w:val="00C17E64"/>
    <w:rsid w:val="00C200C9"/>
    <w:rsid w:val="00C208F6"/>
    <w:rsid w:val="00C20CC8"/>
    <w:rsid w:val="00C2117E"/>
    <w:rsid w:val="00C21206"/>
    <w:rsid w:val="00C218FD"/>
    <w:rsid w:val="00C21C3A"/>
    <w:rsid w:val="00C21D8E"/>
    <w:rsid w:val="00C221A0"/>
    <w:rsid w:val="00C221CA"/>
    <w:rsid w:val="00C22417"/>
    <w:rsid w:val="00C22428"/>
    <w:rsid w:val="00C22525"/>
    <w:rsid w:val="00C227C3"/>
    <w:rsid w:val="00C22B56"/>
    <w:rsid w:val="00C22D54"/>
    <w:rsid w:val="00C22F2E"/>
    <w:rsid w:val="00C23429"/>
    <w:rsid w:val="00C234C0"/>
    <w:rsid w:val="00C23B9A"/>
    <w:rsid w:val="00C23DBB"/>
    <w:rsid w:val="00C23FE1"/>
    <w:rsid w:val="00C240AE"/>
    <w:rsid w:val="00C2410D"/>
    <w:rsid w:val="00C241FA"/>
    <w:rsid w:val="00C242AC"/>
    <w:rsid w:val="00C24BAF"/>
    <w:rsid w:val="00C254CC"/>
    <w:rsid w:val="00C25F8B"/>
    <w:rsid w:val="00C25FA4"/>
    <w:rsid w:val="00C26094"/>
    <w:rsid w:val="00C2639F"/>
    <w:rsid w:val="00C265C0"/>
    <w:rsid w:val="00C26B9E"/>
    <w:rsid w:val="00C26C86"/>
    <w:rsid w:val="00C27142"/>
    <w:rsid w:val="00C272B5"/>
    <w:rsid w:val="00C272EF"/>
    <w:rsid w:val="00C272F2"/>
    <w:rsid w:val="00C2732B"/>
    <w:rsid w:val="00C2753F"/>
    <w:rsid w:val="00C276A8"/>
    <w:rsid w:val="00C2793A"/>
    <w:rsid w:val="00C27975"/>
    <w:rsid w:val="00C27CDE"/>
    <w:rsid w:val="00C27DE7"/>
    <w:rsid w:val="00C27FAD"/>
    <w:rsid w:val="00C300A8"/>
    <w:rsid w:val="00C300BC"/>
    <w:rsid w:val="00C30212"/>
    <w:rsid w:val="00C307F3"/>
    <w:rsid w:val="00C3111C"/>
    <w:rsid w:val="00C318F7"/>
    <w:rsid w:val="00C319D2"/>
    <w:rsid w:val="00C31F85"/>
    <w:rsid w:val="00C32534"/>
    <w:rsid w:val="00C32569"/>
    <w:rsid w:val="00C326EE"/>
    <w:rsid w:val="00C32798"/>
    <w:rsid w:val="00C32951"/>
    <w:rsid w:val="00C32C02"/>
    <w:rsid w:val="00C32E29"/>
    <w:rsid w:val="00C33022"/>
    <w:rsid w:val="00C33235"/>
    <w:rsid w:val="00C33677"/>
    <w:rsid w:val="00C33813"/>
    <w:rsid w:val="00C33A76"/>
    <w:rsid w:val="00C33B42"/>
    <w:rsid w:val="00C33C0B"/>
    <w:rsid w:val="00C33C86"/>
    <w:rsid w:val="00C33D3E"/>
    <w:rsid w:val="00C33EFD"/>
    <w:rsid w:val="00C34137"/>
    <w:rsid w:val="00C3476B"/>
    <w:rsid w:val="00C35024"/>
    <w:rsid w:val="00C35240"/>
    <w:rsid w:val="00C3535B"/>
    <w:rsid w:val="00C368B3"/>
    <w:rsid w:val="00C36E6E"/>
    <w:rsid w:val="00C36F07"/>
    <w:rsid w:val="00C37023"/>
    <w:rsid w:val="00C37214"/>
    <w:rsid w:val="00C372E8"/>
    <w:rsid w:val="00C37F9A"/>
    <w:rsid w:val="00C404C5"/>
    <w:rsid w:val="00C40547"/>
    <w:rsid w:val="00C406EC"/>
    <w:rsid w:val="00C409B3"/>
    <w:rsid w:val="00C409DC"/>
    <w:rsid w:val="00C40B1B"/>
    <w:rsid w:val="00C40E20"/>
    <w:rsid w:val="00C40E88"/>
    <w:rsid w:val="00C40F35"/>
    <w:rsid w:val="00C40FCB"/>
    <w:rsid w:val="00C410DD"/>
    <w:rsid w:val="00C415FE"/>
    <w:rsid w:val="00C416A3"/>
    <w:rsid w:val="00C41785"/>
    <w:rsid w:val="00C41CB9"/>
    <w:rsid w:val="00C41FC1"/>
    <w:rsid w:val="00C42079"/>
    <w:rsid w:val="00C42220"/>
    <w:rsid w:val="00C42289"/>
    <w:rsid w:val="00C42906"/>
    <w:rsid w:val="00C43259"/>
    <w:rsid w:val="00C43476"/>
    <w:rsid w:val="00C434C2"/>
    <w:rsid w:val="00C43505"/>
    <w:rsid w:val="00C43940"/>
    <w:rsid w:val="00C43C2D"/>
    <w:rsid w:val="00C43F44"/>
    <w:rsid w:val="00C44342"/>
    <w:rsid w:val="00C443CB"/>
    <w:rsid w:val="00C44694"/>
    <w:rsid w:val="00C44744"/>
    <w:rsid w:val="00C44BCD"/>
    <w:rsid w:val="00C44F58"/>
    <w:rsid w:val="00C45466"/>
    <w:rsid w:val="00C457C1"/>
    <w:rsid w:val="00C45AF0"/>
    <w:rsid w:val="00C46442"/>
    <w:rsid w:val="00C4656D"/>
    <w:rsid w:val="00C46625"/>
    <w:rsid w:val="00C46723"/>
    <w:rsid w:val="00C46870"/>
    <w:rsid w:val="00C47545"/>
    <w:rsid w:val="00C47593"/>
    <w:rsid w:val="00C47657"/>
    <w:rsid w:val="00C47693"/>
    <w:rsid w:val="00C47748"/>
    <w:rsid w:val="00C478EF"/>
    <w:rsid w:val="00C47C6B"/>
    <w:rsid w:val="00C47CF5"/>
    <w:rsid w:val="00C47E9E"/>
    <w:rsid w:val="00C5044B"/>
    <w:rsid w:val="00C505E9"/>
    <w:rsid w:val="00C506BD"/>
    <w:rsid w:val="00C5095D"/>
    <w:rsid w:val="00C50E55"/>
    <w:rsid w:val="00C50F84"/>
    <w:rsid w:val="00C5122E"/>
    <w:rsid w:val="00C51426"/>
    <w:rsid w:val="00C51622"/>
    <w:rsid w:val="00C51FB3"/>
    <w:rsid w:val="00C5223C"/>
    <w:rsid w:val="00C524DC"/>
    <w:rsid w:val="00C524FB"/>
    <w:rsid w:val="00C52857"/>
    <w:rsid w:val="00C52A35"/>
    <w:rsid w:val="00C52DA8"/>
    <w:rsid w:val="00C52E71"/>
    <w:rsid w:val="00C53213"/>
    <w:rsid w:val="00C53917"/>
    <w:rsid w:val="00C541DE"/>
    <w:rsid w:val="00C547F0"/>
    <w:rsid w:val="00C54AAC"/>
    <w:rsid w:val="00C54C0F"/>
    <w:rsid w:val="00C54C11"/>
    <w:rsid w:val="00C54C67"/>
    <w:rsid w:val="00C54E65"/>
    <w:rsid w:val="00C56324"/>
    <w:rsid w:val="00C5653B"/>
    <w:rsid w:val="00C565A3"/>
    <w:rsid w:val="00C56655"/>
    <w:rsid w:val="00C566D3"/>
    <w:rsid w:val="00C56F3C"/>
    <w:rsid w:val="00C5710C"/>
    <w:rsid w:val="00C573C1"/>
    <w:rsid w:val="00C577F7"/>
    <w:rsid w:val="00C57F07"/>
    <w:rsid w:val="00C60667"/>
    <w:rsid w:val="00C60674"/>
    <w:rsid w:val="00C60B0F"/>
    <w:rsid w:val="00C61309"/>
    <w:rsid w:val="00C6134F"/>
    <w:rsid w:val="00C61AB9"/>
    <w:rsid w:val="00C61F84"/>
    <w:rsid w:val="00C61FDE"/>
    <w:rsid w:val="00C62B02"/>
    <w:rsid w:val="00C62C53"/>
    <w:rsid w:val="00C62C67"/>
    <w:rsid w:val="00C62FC5"/>
    <w:rsid w:val="00C62FF7"/>
    <w:rsid w:val="00C63135"/>
    <w:rsid w:val="00C6356E"/>
    <w:rsid w:val="00C63787"/>
    <w:rsid w:val="00C637DC"/>
    <w:rsid w:val="00C63EC5"/>
    <w:rsid w:val="00C63EE8"/>
    <w:rsid w:val="00C6423B"/>
    <w:rsid w:val="00C6432E"/>
    <w:rsid w:val="00C64505"/>
    <w:rsid w:val="00C649FA"/>
    <w:rsid w:val="00C65273"/>
    <w:rsid w:val="00C652A6"/>
    <w:rsid w:val="00C6541F"/>
    <w:rsid w:val="00C654BB"/>
    <w:rsid w:val="00C65718"/>
    <w:rsid w:val="00C65C81"/>
    <w:rsid w:val="00C65EC4"/>
    <w:rsid w:val="00C6617F"/>
    <w:rsid w:val="00C666DE"/>
    <w:rsid w:val="00C66772"/>
    <w:rsid w:val="00C66D2B"/>
    <w:rsid w:val="00C67129"/>
    <w:rsid w:val="00C6713B"/>
    <w:rsid w:val="00C67177"/>
    <w:rsid w:val="00C67580"/>
    <w:rsid w:val="00C6781C"/>
    <w:rsid w:val="00C678E7"/>
    <w:rsid w:val="00C67EA1"/>
    <w:rsid w:val="00C67F6D"/>
    <w:rsid w:val="00C7058E"/>
    <w:rsid w:val="00C70779"/>
    <w:rsid w:val="00C70AEE"/>
    <w:rsid w:val="00C71351"/>
    <w:rsid w:val="00C71D15"/>
    <w:rsid w:val="00C7210F"/>
    <w:rsid w:val="00C72126"/>
    <w:rsid w:val="00C7234D"/>
    <w:rsid w:val="00C7244E"/>
    <w:rsid w:val="00C726C9"/>
    <w:rsid w:val="00C72705"/>
    <w:rsid w:val="00C72801"/>
    <w:rsid w:val="00C728BA"/>
    <w:rsid w:val="00C729CD"/>
    <w:rsid w:val="00C72B53"/>
    <w:rsid w:val="00C72C0A"/>
    <w:rsid w:val="00C72C7C"/>
    <w:rsid w:val="00C72DC8"/>
    <w:rsid w:val="00C73202"/>
    <w:rsid w:val="00C736F6"/>
    <w:rsid w:val="00C73E67"/>
    <w:rsid w:val="00C73F06"/>
    <w:rsid w:val="00C73FAD"/>
    <w:rsid w:val="00C74357"/>
    <w:rsid w:val="00C744D3"/>
    <w:rsid w:val="00C7483D"/>
    <w:rsid w:val="00C74AE1"/>
    <w:rsid w:val="00C74D0A"/>
    <w:rsid w:val="00C74F0C"/>
    <w:rsid w:val="00C75730"/>
    <w:rsid w:val="00C757B8"/>
    <w:rsid w:val="00C759F2"/>
    <w:rsid w:val="00C75AD2"/>
    <w:rsid w:val="00C75BC1"/>
    <w:rsid w:val="00C763E5"/>
    <w:rsid w:val="00C76906"/>
    <w:rsid w:val="00C76916"/>
    <w:rsid w:val="00C76B7C"/>
    <w:rsid w:val="00C76CC7"/>
    <w:rsid w:val="00C76F81"/>
    <w:rsid w:val="00C774C7"/>
    <w:rsid w:val="00C77576"/>
    <w:rsid w:val="00C776A4"/>
    <w:rsid w:val="00C77E06"/>
    <w:rsid w:val="00C77EF6"/>
    <w:rsid w:val="00C800DD"/>
    <w:rsid w:val="00C80155"/>
    <w:rsid w:val="00C8024F"/>
    <w:rsid w:val="00C804F2"/>
    <w:rsid w:val="00C80626"/>
    <w:rsid w:val="00C806AB"/>
    <w:rsid w:val="00C80760"/>
    <w:rsid w:val="00C80920"/>
    <w:rsid w:val="00C80966"/>
    <w:rsid w:val="00C80AEE"/>
    <w:rsid w:val="00C80B03"/>
    <w:rsid w:val="00C81407"/>
    <w:rsid w:val="00C8145E"/>
    <w:rsid w:val="00C816D7"/>
    <w:rsid w:val="00C81F54"/>
    <w:rsid w:val="00C8243F"/>
    <w:rsid w:val="00C826E9"/>
    <w:rsid w:val="00C8289B"/>
    <w:rsid w:val="00C8289F"/>
    <w:rsid w:val="00C82BB2"/>
    <w:rsid w:val="00C82D3B"/>
    <w:rsid w:val="00C82D54"/>
    <w:rsid w:val="00C82F3B"/>
    <w:rsid w:val="00C8334F"/>
    <w:rsid w:val="00C837C4"/>
    <w:rsid w:val="00C83829"/>
    <w:rsid w:val="00C83A5B"/>
    <w:rsid w:val="00C83D31"/>
    <w:rsid w:val="00C83D9F"/>
    <w:rsid w:val="00C83EDD"/>
    <w:rsid w:val="00C8428A"/>
    <w:rsid w:val="00C8439C"/>
    <w:rsid w:val="00C84BF1"/>
    <w:rsid w:val="00C84CA2"/>
    <w:rsid w:val="00C84EEF"/>
    <w:rsid w:val="00C853B7"/>
    <w:rsid w:val="00C8545A"/>
    <w:rsid w:val="00C858DD"/>
    <w:rsid w:val="00C85A36"/>
    <w:rsid w:val="00C85C6F"/>
    <w:rsid w:val="00C85CD1"/>
    <w:rsid w:val="00C85F00"/>
    <w:rsid w:val="00C86C56"/>
    <w:rsid w:val="00C8773E"/>
    <w:rsid w:val="00C87A34"/>
    <w:rsid w:val="00C87DB7"/>
    <w:rsid w:val="00C87EDA"/>
    <w:rsid w:val="00C90601"/>
    <w:rsid w:val="00C90642"/>
    <w:rsid w:val="00C90A3E"/>
    <w:rsid w:val="00C90D16"/>
    <w:rsid w:val="00C9116A"/>
    <w:rsid w:val="00C9133A"/>
    <w:rsid w:val="00C913D8"/>
    <w:rsid w:val="00C91E02"/>
    <w:rsid w:val="00C9265D"/>
    <w:rsid w:val="00C92824"/>
    <w:rsid w:val="00C92E75"/>
    <w:rsid w:val="00C9313B"/>
    <w:rsid w:val="00C93174"/>
    <w:rsid w:val="00C934D2"/>
    <w:rsid w:val="00C937BA"/>
    <w:rsid w:val="00C93AAD"/>
    <w:rsid w:val="00C93ACB"/>
    <w:rsid w:val="00C93BFE"/>
    <w:rsid w:val="00C949FC"/>
    <w:rsid w:val="00C9569D"/>
    <w:rsid w:val="00C960CF"/>
    <w:rsid w:val="00C9613B"/>
    <w:rsid w:val="00C96627"/>
    <w:rsid w:val="00C96672"/>
    <w:rsid w:val="00C96678"/>
    <w:rsid w:val="00C96772"/>
    <w:rsid w:val="00C96CFA"/>
    <w:rsid w:val="00C96DB7"/>
    <w:rsid w:val="00C96E5A"/>
    <w:rsid w:val="00C96EB5"/>
    <w:rsid w:val="00C97207"/>
    <w:rsid w:val="00C9743B"/>
    <w:rsid w:val="00C97913"/>
    <w:rsid w:val="00CA00F7"/>
    <w:rsid w:val="00CA0257"/>
    <w:rsid w:val="00CA0917"/>
    <w:rsid w:val="00CA0AC3"/>
    <w:rsid w:val="00CA0BFB"/>
    <w:rsid w:val="00CA102B"/>
    <w:rsid w:val="00CA1090"/>
    <w:rsid w:val="00CA1596"/>
    <w:rsid w:val="00CA18A7"/>
    <w:rsid w:val="00CA283D"/>
    <w:rsid w:val="00CA29D1"/>
    <w:rsid w:val="00CA2DD6"/>
    <w:rsid w:val="00CA3247"/>
    <w:rsid w:val="00CA3342"/>
    <w:rsid w:val="00CA33C1"/>
    <w:rsid w:val="00CA3601"/>
    <w:rsid w:val="00CA3752"/>
    <w:rsid w:val="00CA3999"/>
    <w:rsid w:val="00CA39C0"/>
    <w:rsid w:val="00CA4E4D"/>
    <w:rsid w:val="00CA5AD3"/>
    <w:rsid w:val="00CA5C6D"/>
    <w:rsid w:val="00CA62DD"/>
    <w:rsid w:val="00CA6352"/>
    <w:rsid w:val="00CA69BA"/>
    <w:rsid w:val="00CA6DE3"/>
    <w:rsid w:val="00CA6FE3"/>
    <w:rsid w:val="00CA7247"/>
    <w:rsid w:val="00CA77A5"/>
    <w:rsid w:val="00CA7A7B"/>
    <w:rsid w:val="00CA7DE6"/>
    <w:rsid w:val="00CA7EE9"/>
    <w:rsid w:val="00CB0339"/>
    <w:rsid w:val="00CB04EF"/>
    <w:rsid w:val="00CB05AD"/>
    <w:rsid w:val="00CB0DCA"/>
    <w:rsid w:val="00CB0DD3"/>
    <w:rsid w:val="00CB0FA7"/>
    <w:rsid w:val="00CB110E"/>
    <w:rsid w:val="00CB11F8"/>
    <w:rsid w:val="00CB1254"/>
    <w:rsid w:val="00CB19AF"/>
    <w:rsid w:val="00CB21B9"/>
    <w:rsid w:val="00CB225B"/>
    <w:rsid w:val="00CB26E1"/>
    <w:rsid w:val="00CB2768"/>
    <w:rsid w:val="00CB28D6"/>
    <w:rsid w:val="00CB2A1D"/>
    <w:rsid w:val="00CB2EF5"/>
    <w:rsid w:val="00CB3153"/>
    <w:rsid w:val="00CB31CD"/>
    <w:rsid w:val="00CB33E4"/>
    <w:rsid w:val="00CB384B"/>
    <w:rsid w:val="00CB3AD7"/>
    <w:rsid w:val="00CB407C"/>
    <w:rsid w:val="00CB4230"/>
    <w:rsid w:val="00CB431B"/>
    <w:rsid w:val="00CB444E"/>
    <w:rsid w:val="00CB45A2"/>
    <w:rsid w:val="00CB4A77"/>
    <w:rsid w:val="00CB4AD0"/>
    <w:rsid w:val="00CB4B6E"/>
    <w:rsid w:val="00CB4EA5"/>
    <w:rsid w:val="00CB52D0"/>
    <w:rsid w:val="00CB557F"/>
    <w:rsid w:val="00CB592B"/>
    <w:rsid w:val="00CB5B49"/>
    <w:rsid w:val="00CB5C5F"/>
    <w:rsid w:val="00CB600E"/>
    <w:rsid w:val="00CB6176"/>
    <w:rsid w:val="00CB6299"/>
    <w:rsid w:val="00CB65B8"/>
    <w:rsid w:val="00CB6B7C"/>
    <w:rsid w:val="00CB6B8A"/>
    <w:rsid w:val="00CB6CDF"/>
    <w:rsid w:val="00CB70E2"/>
    <w:rsid w:val="00CB7264"/>
    <w:rsid w:val="00CB72D9"/>
    <w:rsid w:val="00CB730F"/>
    <w:rsid w:val="00CB740B"/>
    <w:rsid w:val="00CB761C"/>
    <w:rsid w:val="00CB7658"/>
    <w:rsid w:val="00CB76B5"/>
    <w:rsid w:val="00CB793C"/>
    <w:rsid w:val="00CB7AD6"/>
    <w:rsid w:val="00CC0068"/>
    <w:rsid w:val="00CC01A8"/>
    <w:rsid w:val="00CC0495"/>
    <w:rsid w:val="00CC04A7"/>
    <w:rsid w:val="00CC0AC5"/>
    <w:rsid w:val="00CC0EEB"/>
    <w:rsid w:val="00CC110F"/>
    <w:rsid w:val="00CC11B8"/>
    <w:rsid w:val="00CC1AF9"/>
    <w:rsid w:val="00CC1C47"/>
    <w:rsid w:val="00CC1D47"/>
    <w:rsid w:val="00CC20E0"/>
    <w:rsid w:val="00CC25B4"/>
    <w:rsid w:val="00CC25CB"/>
    <w:rsid w:val="00CC2601"/>
    <w:rsid w:val="00CC2691"/>
    <w:rsid w:val="00CC2818"/>
    <w:rsid w:val="00CC2862"/>
    <w:rsid w:val="00CC2EE4"/>
    <w:rsid w:val="00CC2F7A"/>
    <w:rsid w:val="00CC304E"/>
    <w:rsid w:val="00CC3930"/>
    <w:rsid w:val="00CC3A70"/>
    <w:rsid w:val="00CC4033"/>
    <w:rsid w:val="00CC40B8"/>
    <w:rsid w:val="00CC4F14"/>
    <w:rsid w:val="00CC5444"/>
    <w:rsid w:val="00CC5631"/>
    <w:rsid w:val="00CC57B1"/>
    <w:rsid w:val="00CC5ADB"/>
    <w:rsid w:val="00CC62A6"/>
    <w:rsid w:val="00CC676C"/>
    <w:rsid w:val="00CC72C4"/>
    <w:rsid w:val="00CC7A11"/>
    <w:rsid w:val="00CC7AE1"/>
    <w:rsid w:val="00CD012C"/>
    <w:rsid w:val="00CD044A"/>
    <w:rsid w:val="00CD047F"/>
    <w:rsid w:val="00CD04A8"/>
    <w:rsid w:val="00CD051B"/>
    <w:rsid w:val="00CD083E"/>
    <w:rsid w:val="00CD12E5"/>
    <w:rsid w:val="00CD1B02"/>
    <w:rsid w:val="00CD1B44"/>
    <w:rsid w:val="00CD1C6D"/>
    <w:rsid w:val="00CD1DB1"/>
    <w:rsid w:val="00CD1DF1"/>
    <w:rsid w:val="00CD1FBC"/>
    <w:rsid w:val="00CD2081"/>
    <w:rsid w:val="00CD22B5"/>
    <w:rsid w:val="00CD22F4"/>
    <w:rsid w:val="00CD25E1"/>
    <w:rsid w:val="00CD28E4"/>
    <w:rsid w:val="00CD2CD9"/>
    <w:rsid w:val="00CD367C"/>
    <w:rsid w:val="00CD36B2"/>
    <w:rsid w:val="00CD3CC3"/>
    <w:rsid w:val="00CD454A"/>
    <w:rsid w:val="00CD4F54"/>
    <w:rsid w:val="00CD4FFE"/>
    <w:rsid w:val="00CD53F0"/>
    <w:rsid w:val="00CD57FA"/>
    <w:rsid w:val="00CD5A6E"/>
    <w:rsid w:val="00CD5BA4"/>
    <w:rsid w:val="00CD5EF9"/>
    <w:rsid w:val="00CD6BBD"/>
    <w:rsid w:val="00CD6D57"/>
    <w:rsid w:val="00CD6E42"/>
    <w:rsid w:val="00CD6F72"/>
    <w:rsid w:val="00CD711F"/>
    <w:rsid w:val="00CD74A7"/>
    <w:rsid w:val="00CD79B2"/>
    <w:rsid w:val="00CD7D29"/>
    <w:rsid w:val="00CD7E4D"/>
    <w:rsid w:val="00CE0283"/>
    <w:rsid w:val="00CE0C49"/>
    <w:rsid w:val="00CE0D0F"/>
    <w:rsid w:val="00CE0F64"/>
    <w:rsid w:val="00CE0FF8"/>
    <w:rsid w:val="00CE1463"/>
    <w:rsid w:val="00CE157C"/>
    <w:rsid w:val="00CE15E7"/>
    <w:rsid w:val="00CE1770"/>
    <w:rsid w:val="00CE17AE"/>
    <w:rsid w:val="00CE19DC"/>
    <w:rsid w:val="00CE1AF6"/>
    <w:rsid w:val="00CE1C36"/>
    <w:rsid w:val="00CE2298"/>
    <w:rsid w:val="00CE240E"/>
    <w:rsid w:val="00CE27E0"/>
    <w:rsid w:val="00CE2E98"/>
    <w:rsid w:val="00CE2EEB"/>
    <w:rsid w:val="00CE3064"/>
    <w:rsid w:val="00CE31A1"/>
    <w:rsid w:val="00CE31A4"/>
    <w:rsid w:val="00CE39E4"/>
    <w:rsid w:val="00CE4282"/>
    <w:rsid w:val="00CE4681"/>
    <w:rsid w:val="00CE54E1"/>
    <w:rsid w:val="00CE55B6"/>
    <w:rsid w:val="00CE5856"/>
    <w:rsid w:val="00CE5BDE"/>
    <w:rsid w:val="00CE5C4C"/>
    <w:rsid w:val="00CE6A6D"/>
    <w:rsid w:val="00CE6D2A"/>
    <w:rsid w:val="00CE774C"/>
    <w:rsid w:val="00CE7C43"/>
    <w:rsid w:val="00CF012E"/>
    <w:rsid w:val="00CF04D4"/>
    <w:rsid w:val="00CF089A"/>
    <w:rsid w:val="00CF0B4C"/>
    <w:rsid w:val="00CF0BD6"/>
    <w:rsid w:val="00CF0F10"/>
    <w:rsid w:val="00CF1680"/>
    <w:rsid w:val="00CF1BD7"/>
    <w:rsid w:val="00CF21A5"/>
    <w:rsid w:val="00CF2244"/>
    <w:rsid w:val="00CF24AB"/>
    <w:rsid w:val="00CF2518"/>
    <w:rsid w:val="00CF292B"/>
    <w:rsid w:val="00CF2DDE"/>
    <w:rsid w:val="00CF340E"/>
    <w:rsid w:val="00CF344A"/>
    <w:rsid w:val="00CF368C"/>
    <w:rsid w:val="00CF39A0"/>
    <w:rsid w:val="00CF39AE"/>
    <w:rsid w:val="00CF3D1C"/>
    <w:rsid w:val="00CF3D46"/>
    <w:rsid w:val="00CF3D4A"/>
    <w:rsid w:val="00CF3FCD"/>
    <w:rsid w:val="00CF4079"/>
    <w:rsid w:val="00CF44D2"/>
    <w:rsid w:val="00CF4713"/>
    <w:rsid w:val="00CF482E"/>
    <w:rsid w:val="00CF48A2"/>
    <w:rsid w:val="00CF4B12"/>
    <w:rsid w:val="00CF504E"/>
    <w:rsid w:val="00CF508A"/>
    <w:rsid w:val="00CF5132"/>
    <w:rsid w:val="00CF56DC"/>
    <w:rsid w:val="00CF58FE"/>
    <w:rsid w:val="00CF5C91"/>
    <w:rsid w:val="00CF5E9D"/>
    <w:rsid w:val="00CF5EBE"/>
    <w:rsid w:val="00CF66A7"/>
    <w:rsid w:val="00CF6708"/>
    <w:rsid w:val="00CF75B7"/>
    <w:rsid w:val="00CF7716"/>
    <w:rsid w:val="00CF783B"/>
    <w:rsid w:val="00CF7D97"/>
    <w:rsid w:val="00CF7EEC"/>
    <w:rsid w:val="00D001C2"/>
    <w:rsid w:val="00D0069C"/>
    <w:rsid w:val="00D00779"/>
    <w:rsid w:val="00D00888"/>
    <w:rsid w:val="00D009D8"/>
    <w:rsid w:val="00D0103E"/>
    <w:rsid w:val="00D0117B"/>
    <w:rsid w:val="00D012E1"/>
    <w:rsid w:val="00D01318"/>
    <w:rsid w:val="00D01665"/>
    <w:rsid w:val="00D01865"/>
    <w:rsid w:val="00D01C30"/>
    <w:rsid w:val="00D01D1E"/>
    <w:rsid w:val="00D02536"/>
    <w:rsid w:val="00D02580"/>
    <w:rsid w:val="00D02758"/>
    <w:rsid w:val="00D031EC"/>
    <w:rsid w:val="00D03BF7"/>
    <w:rsid w:val="00D03F1E"/>
    <w:rsid w:val="00D0428E"/>
    <w:rsid w:val="00D04426"/>
    <w:rsid w:val="00D0465C"/>
    <w:rsid w:val="00D0482F"/>
    <w:rsid w:val="00D04A33"/>
    <w:rsid w:val="00D04BA2"/>
    <w:rsid w:val="00D056A1"/>
    <w:rsid w:val="00D05871"/>
    <w:rsid w:val="00D05892"/>
    <w:rsid w:val="00D05A18"/>
    <w:rsid w:val="00D062B4"/>
    <w:rsid w:val="00D06824"/>
    <w:rsid w:val="00D06C03"/>
    <w:rsid w:val="00D06F20"/>
    <w:rsid w:val="00D075BF"/>
    <w:rsid w:val="00D1037A"/>
    <w:rsid w:val="00D10493"/>
    <w:rsid w:val="00D1096D"/>
    <w:rsid w:val="00D10D09"/>
    <w:rsid w:val="00D113A6"/>
    <w:rsid w:val="00D1163E"/>
    <w:rsid w:val="00D11672"/>
    <w:rsid w:val="00D1199F"/>
    <w:rsid w:val="00D11A00"/>
    <w:rsid w:val="00D12362"/>
    <w:rsid w:val="00D12A4F"/>
    <w:rsid w:val="00D1319F"/>
    <w:rsid w:val="00D1390B"/>
    <w:rsid w:val="00D13DD2"/>
    <w:rsid w:val="00D1416B"/>
    <w:rsid w:val="00D14505"/>
    <w:rsid w:val="00D14C15"/>
    <w:rsid w:val="00D14DDB"/>
    <w:rsid w:val="00D1515C"/>
    <w:rsid w:val="00D15AA5"/>
    <w:rsid w:val="00D15CB3"/>
    <w:rsid w:val="00D15F51"/>
    <w:rsid w:val="00D16189"/>
    <w:rsid w:val="00D16ED5"/>
    <w:rsid w:val="00D17C42"/>
    <w:rsid w:val="00D202B1"/>
    <w:rsid w:val="00D20662"/>
    <w:rsid w:val="00D20C68"/>
    <w:rsid w:val="00D21291"/>
    <w:rsid w:val="00D218CD"/>
    <w:rsid w:val="00D21994"/>
    <w:rsid w:val="00D21B90"/>
    <w:rsid w:val="00D21C8A"/>
    <w:rsid w:val="00D21F8A"/>
    <w:rsid w:val="00D22829"/>
    <w:rsid w:val="00D2288B"/>
    <w:rsid w:val="00D2297E"/>
    <w:rsid w:val="00D229DF"/>
    <w:rsid w:val="00D22DE5"/>
    <w:rsid w:val="00D23292"/>
    <w:rsid w:val="00D233BD"/>
    <w:rsid w:val="00D233D7"/>
    <w:rsid w:val="00D234ED"/>
    <w:rsid w:val="00D236E6"/>
    <w:rsid w:val="00D23A93"/>
    <w:rsid w:val="00D23CBB"/>
    <w:rsid w:val="00D23D34"/>
    <w:rsid w:val="00D242D1"/>
    <w:rsid w:val="00D2481E"/>
    <w:rsid w:val="00D24A6B"/>
    <w:rsid w:val="00D24EB7"/>
    <w:rsid w:val="00D2510D"/>
    <w:rsid w:val="00D25651"/>
    <w:rsid w:val="00D25806"/>
    <w:rsid w:val="00D258A5"/>
    <w:rsid w:val="00D25B83"/>
    <w:rsid w:val="00D25E9D"/>
    <w:rsid w:val="00D25F1C"/>
    <w:rsid w:val="00D26DE6"/>
    <w:rsid w:val="00D26EE7"/>
    <w:rsid w:val="00D2790E"/>
    <w:rsid w:val="00D2796C"/>
    <w:rsid w:val="00D2797F"/>
    <w:rsid w:val="00D27B1E"/>
    <w:rsid w:val="00D306F7"/>
    <w:rsid w:val="00D30718"/>
    <w:rsid w:val="00D309F4"/>
    <w:rsid w:val="00D30B69"/>
    <w:rsid w:val="00D313AA"/>
    <w:rsid w:val="00D31441"/>
    <w:rsid w:val="00D31668"/>
    <w:rsid w:val="00D3194D"/>
    <w:rsid w:val="00D31A4A"/>
    <w:rsid w:val="00D31C10"/>
    <w:rsid w:val="00D31DBB"/>
    <w:rsid w:val="00D322FB"/>
    <w:rsid w:val="00D32475"/>
    <w:rsid w:val="00D32599"/>
    <w:rsid w:val="00D3269E"/>
    <w:rsid w:val="00D32EF4"/>
    <w:rsid w:val="00D3357B"/>
    <w:rsid w:val="00D33B1E"/>
    <w:rsid w:val="00D33C30"/>
    <w:rsid w:val="00D33D7A"/>
    <w:rsid w:val="00D33F81"/>
    <w:rsid w:val="00D3458E"/>
    <w:rsid w:val="00D34850"/>
    <w:rsid w:val="00D349BA"/>
    <w:rsid w:val="00D35060"/>
    <w:rsid w:val="00D352B7"/>
    <w:rsid w:val="00D361DB"/>
    <w:rsid w:val="00D3652E"/>
    <w:rsid w:val="00D369D4"/>
    <w:rsid w:val="00D36AD7"/>
    <w:rsid w:val="00D36C9B"/>
    <w:rsid w:val="00D37302"/>
    <w:rsid w:val="00D373E9"/>
    <w:rsid w:val="00D37549"/>
    <w:rsid w:val="00D3762B"/>
    <w:rsid w:val="00D37A9F"/>
    <w:rsid w:val="00D37C61"/>
    <w:rsid w:val="00D403FF"/>
    <w:rsid w:val="00D404C4"/>
    <w:rsid w:val="00D40813"/>
    <w:rsid w:val="00D40CE9"/>
    <w:rsid w:val="00D41061"/>
    <w:rsid w:val="00D41906"/>
    <w:rsid w:val="00D42115"/>
    <w:rsid w:val="00D42616"/>
    <w:rsid w:val="00D428D4"/>
    <w:rsid w:val="00D42EDA"/>
    <w:rsid w:val="00D42EFD"/>
    <w:rsid w:val="00D43241"/>
    <w:rsid w:val="00D433C4"/>
    <w:rsid w:val="00D43A3B"/>
    <w:rsid w:val="00D4407F"/>
    <w:rsid w:val="00D445AD"/>
    <w:rsid w:val="00D44D7B"/>
    <w:rsid w:val="00D44EA8"/>
    <w:rsid w:val="00D4504D"/>
    <w:rsid w:val="00D457D1"/>
    <w:rsid w:val="00D458AA"/>
    <w:rsid w:val="00D45B34"/>
    <w:rsid w:val="00D46101"/>
    <w:rsid w:val="00D46338"/>
    <w:rsid w:val="00D46511"/>
    <w:rsid w:val="00D46BA2"/>
    <w:rsid w:val="00D46D70"/>
    <w:rsid w:val="00D46DF0"/>
    <w:rsid w:val="00D4720C"/>
    <w:rsid w:val="00D47234"/>
    <w:rsid w:val="00D47281"/>
    <w:rsid w:val="00D47581"/>
    <w:rsid w:val="00D5000E"/>
    <w:rsid w:val="00D50295"/>
    <w:rsid w:val="00D5069A"/>
    <w:rsid w:val="00D50E43"/>
    <w:rsid w:val="00D513C4"/>
    <w:rsid w:val="00D51469"/>
    <w:rsid w:val="00D51B4C"/>
    <w:rsid w:val="00D520CB"/>
    <w:rsid w:val="00D52B45"/>
    <w:rsid w:val="00D530EB"/>
    <w:rsid w:val="00D5322D"/>
    <w:rsid w:val="00D53393"/>
    <w:rsid w:val="00D535B6"/>
    <w:rsid w:val="00D53D1F"/>
    <w:rsid w:val="00D53D56"/>
    <w:rsid w:val="00D53DE5"/>
    <w:rsid w:val="00D54099"/>
    <w:rsid w:val="00D54552"/>
    <w:rsid w:val="00D5488D"/>
    <w:rsid w:val="00D54F60"/>
    <w:rsid w:val="00D55235"/>
    <w:rsid w:val="00D55B94"/>
    <w:rsid w:val="00D55D78"/>
    <w:rsid w:val="00D561AC"/>
    <w:rsid w:val="00D56473"/>
    <w:rsid w:val="00D564B7"/>
    <w:rsid w:val="00D566CE"/>
    <w:rsid w:val="00D567E2"/>
    <w:rsid w:val="00D5699E"/>
    <w:rsid w:val="00D56A7C"/>
    <w:rsid w:val="00D56A84"/>
    <w:rsid w:val="00D56EEE"/>
    <w:rsid w:val="00D570A9"/>
    <w:rsid w:val="00D572B2"/>
    <w:rsid w:val="00D57941"/>
    <w:rsid w:val="00D579DD"/>
    <w:rsid w:val="00D57AAD"/>
    <w:rsid w:val="00D57F53"/>
    <w:rsid w:val="00D608F0"/>
    <w:rsid w:val="00D60BD7"/>
    <w:rsid w:val="00D60CAB"/>
    <w:rsid w:val="00D610FD"/>
    <w:rsid w:val="00D61191"/>
    <w:rsid w:val="00D612AF"/>
    <w:rsid w:val="00D612B5"/>
    <w:rsid w:val="00D617FC"/>
    <w:rsid w:val="00D6185C"/>
    <w:rsid w:val="00D619F3"/>
    <w:rsid w:val="00D61D60"/>
    <w:rsid w:val="00D62292"/>
    <w:rsid w:val="00D6267D"/>
    <w:rsid w:val="00D626D1"/>
    <w:rsid w:val="00D62A5B"/>
    <w:rsid w:val="00D62B43"/>
    <w:rsid w:val="00D62ECD"/>
    <w:rsid w:val="00D62FFC"/>
    <w:rsid w:val="00D636A4"/>
    <w:rsid w:val="00D63748"/>
    <w:rsid w:val="00D639F0"/>
    <w:rsid w:val="00D63B54"/>
    <w:rsid w:val="00D63BEF"/>
    <w:rsid w:val="00D63C1B"/>
    <w:rsid w:val="00D63D04"/>
    <w:rsid w:val="00D63D76"/>
    <w:rsid w:val="00D6486A"/>
    <w:rsid w:val="00D64BFF"/>
    <w:rsid w:val="00D64DE1"/>
    <w:rsid w:val="00D64E3F"/>
    <w:rsid w:val="00D65098"/>
    <w:rsid w:val="00D653D0"/>
    <w:rsid w:val="00D655DF"/>
    <w:rsid w:val="00D65B53"/>
    <w:rsid w:val="00D65B9A"/>
    <w:rsid w:val="00D66227"/>
    <w:rsid w:val="00D6692A"/>
    <w:rsid w:val="00D66E55"/>
    <w:rsid w:val="00D66E5A"/>
    <w:rsid w:val="00D672DA"/>
    <w:rsid w:val="00D674E9"/>
    <w:rsid w:val="00D6799A"/>
    <w:rsid w:val="00D67BEA"/>
    <w:rsid w:val="00D67F91"/>
    <w:rsid w:val="00D7009C"/>
    <w:rsid w:val="00D7011F"/>
    <w:rsid w:val="00D70253"/>
    <w:rsid w:val="00D707A3"/>
    <w:rsid w:val="00D70DA5"/>
    <w:rsid w:val="00D70F17"/>
    <w:rsid w:val="00D712DA"/>
    <w:rsid w:val="00D719EF"/>
    <w:rsid w:val="00D72327"/>
    <w:rsid w:val="00D727E0"/>
    <w:rsid w:val="00D72B87"/>
    <w:rsid w:val="00D72C72"/>
    <w:rsid w:val="00D74160"/>
    <w:rsid w:val="00D74633"/>
    <w:rsid w:val="00D75C38"/>
    <w:rsid w:val="00D75D22"/>
    <w:rsid w:val="00D75DA5"/>
    <w:rsid w:val="00D7627D"/>
    <w:rsid w:val="00D7646A"/>
    <w:rsid w:val="00D76C58"/>
    <w:rsid w:val="00D76CF2"/>
    <w:rsid w:val="00D76E7C"/>
    <w:rsid w:val="00D77108"/>
    <w:rsid w:val="00D77E09"/>
    <w:rsid w:val="00D800E6"/>
    <w:rsid w:val="00D8019D"/>
    <w:rsid w:val="00D80B40"/>
    <w:rsid w:val="00D81244"/>
    <w:rsid w:val="00D812CF"/>
    <w:rsid w:val="00D8155B"/>
    <w:rsid w:val="00D81581"/>
    <w:rsid w:val="00D81623"/>
    <w:rsid w:val="00D816D5"/>
    <w:rsid w:val="00D81D1B"/>
    <w:rsid w:val="00D81E79"/>
    <w:rsid w:val="00D825A5"/>
    <w:rsid w:val="00D825B7"/>
    <w:rsid w:val="00D8263B"/>
    <w:rsid w:val="00D8284F"/>
    <w:rsid w:val="00D8290E"/>
    <w:rsid w:val="00D82AD1"/>
    <w:rsid w:val="00D82BCC"/>
    <w:rsid w:val="00D82E6E"/>
    <w:rsid w:val="00D83040"/>
    <w:rsid w:val="00D8323B"/>
    <w:rsid w:val="00D8329D"/>
    <w:rsid w:val="00D8331C"/>
    <w:rsid w:val="00D83489"/>
    <w:rsid w:val="00D83655"/>
    <w:rsid w:val="00D83703"/>
    <w:rsid w:val="00D8398F"/>
    <w:rsid w:val="00D83D13"/>
    <w:rsid w:val="00D83E0E"/>
    <w:rsid w:val="00D83F92"/>
    <w:rsid w:val="00D84012"/>
    <w:rsid w:val="00D841AC"/>
    <w:rsid w:val="00D8442D"/>
    <w:rsid w:val="00D8454D"/>
    <w:rsid w:val="00D84774"/>
    <w:rsid w:val="00D85370"/>
    <w:rsid w:val="00D8589D"/>
    <w:rsid w:val="00D85A81"/>
    <w:rsid w:val="00D85B6B"/>
    <w:rsid w:val="00D85BDB"/>
    <w:rsid w:val="00D86466"/>
    <w:rsid w:val="00D870E8"/>
    <w:rsid w:val="00D87423"/>
    <w:rsid w:val="00D87452"/>
    <w:rsid w:val="00D87485"/>
    <w:rsid w:val="00D874C2"/>
    <w:rsid w:val="00D87BFD"/>
    <w:rsid w:val="00D87C14"/>
    <w:rsid w:val="00D907CB"/>
    <w:rsid w:val="00D912CA"/>
    <w:rsid w:val="00D91896"/>
    <w:rsid w:val="00D91BF2"/>
    <w:rsid w:val="00D91F34"/>
    <w:rsid w:val="00D926E9"/>
    <w:rsid w:val="00D93322"/>
    <w:rsid w:val="00D93C1C"/>
    <w:rsid w:val="00D94026"/>
    <w:rsid w:val="00D94120"/>
    <w:rsid w:val="00D9496F"/>
    <w:rsid w:val="00D949F2"/>
    <w:rsid w:val="00D94CE2"/>
    <w:rsid w:val="00D9503E"/>
    <w:rsid w:val="00D951DD"/>
    <w:rsid w:val="00D952ED"/>
    <w:rsid w:val="00D95313"/>
    <w:rsid w:val="00D957FA"/>
    <w:rsid w:val="00D95B6C"/>
    <w:rsid w:val="00D95E86"/>
    <w:rsid w:val="00D96539"/>
    <w:rsid w:val="00D9664C"/>
    <w:rsid w:val="00D967F7"/>
    <w:rsid w:val="00D96B12"/>
    <w:rsid w:val="00D96F15"/>
    <w:rsid w:val="00D97404"/>
    <w:rsid w:val="00D975A3"/>
    <w:rsid w:val="00D979D0"/>
    <w:rsid w:val="00D97A52"/>
    <w:rsid w:val="00D97AAC"/>
    <w:rsid w:val="00DA0354"/>
    <w:rsid w:val="00DA08CA"/>
    <w:rsid w:val="00DA0A3A"/>
    <w:rsid w:val="00DA0D32"/>
    <w:rsid w:val="00DA0F37"/>
    <w:rsid w:val="00DA101A"/>
    <w:rsid w:val="00DA119D"/>
    <w:rsid w:val="00DA122C"/>
    <w:rsid w:val="00DA1A06"/>
    <w:rsid w:val="00DA1CD0"/>
    <w:rsid w:val="00DA2C86"/>
    <w:rsid w:val="00DA2F95"/>
    <w:rsid w:val="00DA2FD5"/>
    <w:rsid w:val="00DA310B"/>
    <w:rsid w:val="00DA37B5"/>
    <w:rsid w:val="00DA411F"/>
    <w:rsid w:val="00DA4434"/>
    <w:rsid w:val="00DA4838"/>
    <w:rsid w:val="00DA4989"/>
    <w:rsid w:val="00DA49D9"/>
    <w:rsid w:val="00DA5721"/>
    <w:rsid w:val="00DA5A6D"/>
    <w:rsid w:val="00DA5F9B"/>
    <w:rsid w:val="00DA6173"/>
    <w:rsid w:val="00DA6255"/>
    <w:rsid w:val="00DA6359"/>
    <w:rsid w:val="00DA6559"/>
    <w:rsid w:val="00DA67EF"/>
    <w:rsid w:val="00DA6B93"/>
    <w:rsid w:val="00DA6D95"/>
    <w:rsid w:val="00DA7477"/>
    <w:rsid w:val="00DA7573"/>
    <w:rsid w:val="00DA7BD4"/>
    <w:rsid w:val="00DA7D30"/>
    <w:rsid w:val="00DB005D"/>
    <w:rsid w:val="00DB0191"/>
    <w:rsid w:val="00DB0204"/>
    <w:rsid w:val="00DB0359"/>
    <w:rsid w:val="00DB0951"/>
    <w:rsid w:val="00DB0EF6"/>
    <w:rsid w:val="00DB0F8A"/>
    <w:rsid w:val="00DB109B"/>
    <w:rsid w:val="00DB1A89"/>
    <w:rsid w:val="00DB1FD9"/>
    <w:rsid w:val="00DB22FB"/>
    <w:rsid w:val="00DB23E1"/>
    <w:rsid w:val="00DB26A8"/>
    <w:rsid w:val="00DB27CF"/>
    <w:rsid w:val="00DB2DDD"/>
    <w:rsid w:val="00DB3007"/>
    <w:rsid w:val="00DB324C"/>
    <w:rsid w:val="00DB3A3F"/>
    <w:rsid w:val="00DB3B29"/>
    <w:rsid w:val="00DB3DF2"/>
    <w:rsid w:val="00DB3FD3"/>
    <w:rsid w:val="00DB4453"/>
    <w:rsid w:val="00DB44D3"/>
    <w:rsid w:val="00DB462A"/>
    <w:rsid w:val="00DB4729"/>
    <w:rsid w:val="00DB49F1"/>
    <w:rsid w:val="00DB4B1F"/>
    <w:rsid w:val="00DB4D55"/>
    <w:rsid w:val="00DB5998"/>
    <w:rsid w:val="00DB5F2A"/>
    <w:rsid w:val="00DB5F50"/>
    <w:rsid w:val="00DB63A7"/>
    <w:rsid w:val="00DB6A2B"/>
    <w:rsid w:val="00DB6F45"/>
    <w:rsid w:val="00DB72B7"/>
    <w:rsid w:val="00DB7451"/>
    <w:rsid w:val="00DB7546"/>
    <w:rsid w:val="00DB75C5"/>
    <w:rsid w:val="00DB765B"/>
    <w:rsid w:val="00DB782D"/>
    <w:rsid w:val="00DB7DB9"/>
    <w:rsid w:val="00DB7DF8"/>
    <w:rsid w:val="00DC0120"/>
    <w:rsid w:val="00DC02C7"/>
    <w:rsid w:val="00DC0409"/>
    <w:rsid w:val="00DC04E4"/>
    <w:rsid w:val="00DC0624"/>
    <w:rsid w:val="00DC0FC3"/>
    <w:rsid w:val="00DC1A58"/>
    <w:rsid w:val="00DC1AC0"/>
    <w:rsid w:val="00DC1AEA"/>
    <w:rsid w:val="00DC1CDD"/>
    <w:rsid w:val="00DC1D8E"/>
    <w:rsid w:val="00DC1E3A"/>
    <w:rsid w:val="00DC1E57"/>
    <w:rsid w:val="00DC20A5"/>
    <w:rsid w:val="00DC20C3"/>
    <w:rsid w:val="00DC227A"/>
    <w:rsid w:val="00DC2360"/>
    <w:rsid w:val="00DC26E4"/>
    <w:rsid w:val="00DC2BAE"/>
    <w:rsid w:val="00DC2C42"/>
    <w:rsid w:val="00DC2CEE"/>
    <w:rsid w:val="00DC3257"/>
    <w:rsid w:val="00DC3279"/>
    <w:rsid w:val="00DC33F7"/>
    <w:rsid w:val="00DC3AAF"/>
    <w:rsid w:val="00DC3BC1"/>
    <w:rsid w:val="00DC3BF1"/>
    <w:rsid w:val="00DC3CFC"/>
    <w:rsid w:val="00DC3DE5"/>
    <w:rsid w:val="00DC45A6"/>
    <w:rsid w:val="00DC45D4"/>
    <w:rsid w:val="00DC4A56"/>
    <w:rsid w:val="00DC4B4A"/>
    <w:rsid w:val="00DC4D1D"/>
    <w:rsid w:val="00DC4D87"/>
    <w:rsid w:val="00DC5083"/>
    <w:rsid w:val="00DC51BA"/>
    <w:rsid w:val="00DC54EB"/>
    <w:rsid w:val="00DC580A"/>
    <w:rsid w:val="00DC5B50"/>
    <w:rsid w:val="00DC5F6E"/>
    <w:rsid w:val="00DC64C7"/>
    <w:rsid w:val="00DC66BC"/>
    <w:rsid w:val="00DC6BF0"/>
    <w:rsid w:val="00DC70A7"/>
    <w:rsid w:val="00DC727F"/>
    <w:rsid w:val="00DC7E78"/>
    <w:rsid w:val="00DC7F31"/>
    <w:rsid w:val="00DD0246"/>
    <w:rsid w:val="00DD0493"/>
    <w:rsid w:val="00DD0924"/>
    <w:rsid w:val="00DD09B8"/>
    <w:rsid w:val="00DD09F8"/>
    <w:rsid w:val="00DD0AFD"/>
    <w:rsid w:val="00DD0CBC"/>
    <w:rsid w:val="00DD0CBF"/>
    <w:rsid w:val="00DD1071"/>
    <w:rsid w:val="00DD1102"/>
    <w:rsid w:val="00DD12FD"/>
    <w:rsid w:val="00DD1576"/>
    <w:rsid w:val="00DD1CDB"/>
    <w:rsid w:val="00DD208E"/>
    <w:rsid w:val="00DD2893"/>
    <w:rsid w:val="00DD3132"/>
    <w:rsid w:val="00DD3C27"/>
    <w:rsid w:val="00DD3DA7"/>
    <w:rsid w:val="00DD40D6"/>
    <w:rsid w:val="00DD4571"/>
    <w:rsid w:val="00DD4717"/>
    <w:rsid w:val="00DD49AD"/>
    <w:rsid w:val="00DD4B47"/>
    <w:rsid w:val="00DD4F74"/>
    <w:rsid w:val="00DD50E0"/>
    <w:rsid w:val="00DD51BA"/>
    <w:rsid w:val="00DD531F"/>
    <w:rsid w:val="00DD556C"/>
    <w:rsid w:val="00DD5737"/>
    <w:rsid w:val="00DD586B"/>
    <w:rsid w:val="00DD5E81"/>
    <w:rsid w:val="00DD605F"/>
    <w:rsid w:val="00DD66A9"/>
    <w:rsid w:val="00DD66F8"/>
    <w:rsid w:val="00DD6C46"/>
    <w:rsid w:val="00DD6C7A"/>
    <w:rsid w:val="00DD6F44"/>
    <w:rsid w:val="00DD72E4"/>
    <w:rsid w:val="00DD7436"/>
    <w:rsid w:val="00DD7669"/>
    <w:rsid w:val="00DD7719"/>
    <w:rsid w:val="00DD7B9A"/>
    <w:rsid w:val="00DD7CCA"/>
    <w:rsid w:val="00DE0165"/>
    <w:rsid w:val="00DE01DA"/>
    <w:rsid w:val="00DE025F"/>
    <w:rsid w:val="00DE0738"/>
    <w:rsid w:val="00DE0794"/>
    <w:rsid w:val="00DE0A9E"/>
    <w:rsid w:val="00DE0BDE"/>
    <w:rsid w:val="00DE0C8E"/>
    <w:rsid w:val="00DE0E28"/>
    <w:rsid w:val="00DE0EA0"/>
    <w:rsid w:val="00DE10CF"/>
    <w:rsid w:val="00DE1270"/>
    <w:rsid w:val="00DE1C72"/>
    <w:rsid w:val="00DE1E1E"/>
    <w:rsid w:val="00DE1FC1"/>
    <w:rsid w:val="00DE223E"/>
    <w:rsid w:val="00DE245C"/>
    <w:rsid w:val="00DE2B63"/>
    <w:rsid w:val="00DE2D33"/>
    <w:rsid w:val="00DE306C"/>
    <w:rsid w:val="00DE347E"/>
    <w:rsid w:val="00DE34EB"/>
    <w:rsid w:val="00DE3522"/>
    <w:rsid w:val="00DE3592"/>
    <w:rsid w:val="00DE35E9"/>
    <w:rsid w:val="00DE3667"/>
    <w:rsid w:val="00DE3799"/>
    <w:rsid w:val="00DE3E78"/>
    <w:rsid w:val="00DE41F8"/>
    <w:rsid w:val="00DE4B9D"/>
    <w:rsid w:val="00DE4EBD"/>
    <w:rsid w:val="00DE4F24"/>
    <w:rsid w:val="00DE50EA"/>
    <w:rsid w:val="00DE5114"/>
    <w:rsid w:val="00DE526A"/>
    <w:rsid w:val="00DE545C"/>
    <w:rsid w:val="00DE5696"/>
    <w:rsid w:val="00DE5B43"/>
    <w:rsid w:val="00DE5C9F"/>
    <w:rsid w:val="00DE69F8"/>
    <w:rsid w:val="00DE69FA"/>
    <w:rsid w:val="00DE6C11"/>
    <w:rsid w:val="00DE7009"/>
    <w:rsid w:val="00DE7322"/>
    <w:rsid w:val="00DE734E"/>
    <w:rsid w:val="00DE7370"/>
    <w:rsid w:val="00DE7517"/>
    <w:rsid w:val="00DE7887"/>
    <w:rsid w:val="00DE7BF8"/>
    <w:rsid w:val="00DE7E6B"/>
    <w:rsid w:val="00DF020D"/>
    <w:rsid w:val="00DF0777"/>
    <w:rsid w:val="00DF09F1"/>
    <w:rsid w:val="00DF0DC3"/>
    <w:rsid w:val="00DF0EBA"/>
    <w:rsid w:val="00DF14F9"/>
    <w:rsid w:val="00DF1C2D"/>
    <w:rsid w:val="00DF1C95"/>
    <w:rsid w:val="00DF1FAE"/>
    <w:rsid w:val="00DF2AD9"/>
    <w:rsid w:val="00DF394F"/>
    <w:rsid w:val="00DF3995"/>
    <w:rsid w:val="00DF3A47"/>
    <w:rsid w:val="00DF3B45"/>
    <w:rsid w:val="00DF3B9C"/>
    <w:rsid w:val="00DF40C8"/>
    <w:rsid w:val="00DF4305"/>
    <w:rsid w:val="00DF51EC"/>
    <w:rsid w:val="00DF54D0"/>
    <w:rsid w:val="00DF5716"/>
    <w:rsid w:val="00DF57C5"/>
    <w:rsid w:val="00DF580C"/>
    <w:rsid w:val="00DF5C1A"/>
    <w:rsid w:val="00DF65E6"/>
    <w:rsid w:val="00DF6931"/>
    <w:rsid w:val="00DF6BCB"/>
    <w:rsid w:val="00DF6D45"/>
    <w:rsid w:val="00DF7042"/>
    <w:rsid w:val="00DF71E7"/>
    <w:rsid w:val="00DF7396"/>
    <w:rsid w:val="00DF7712"/>
    <w:rsid w:val="00DF78FD"/>
    <w:rsid w:val="00DF79BF"/>
    <w:rsid w:val="00DF7E77"/>
    <w:rsid w:val="00DF7EFE"/>
    <w:rsid w:val="00DF7F44"/>
    <w:rsid w:val="00E00563"/>
    <w:rsid w:val="00E00C5B"/>
    <w:rsid w:val="00E00E15"/>
    <w:rsid w:val="00E00F63"/>
    <w:rsid w:val="00E0108C"/>
    <w:rsid w:val="00E01210"/>
    <w:rsid w:val="00E01511"/>
    <w:rsid w:val="00E015C5"/>
    <w:rsid w:val="00E01C4A"/>
    <w:rsid w:val="00E01D50"/>
    <w:rsid w:val="00E02032"/>
    <w:rsid w:val="00E0253C"/>
    <w:rsid w:val="00E02664"/>
    <w:rsid w:val="00E02C4D"/>
    <w:rsid w:val="00E02DAD"/>
    <w:rsid w:val="00E02DB3"/>
    <w:rsid w:val="00E031A5"/>
    <w:rsid w:val="00E033FB"/>
    <w:rsid w:val="00E0341B"/>
    <w:rsid w:val="00E0348F"/>
    <w:rsid w:val="00E035A6"/>
    <w:rsid w:val="00E038F5"/>
    <w:rsid w:val="00E03D67"/>
    <w:rsid w:val="00E03EE1"/>
    <w:rsid w:val="00E040A4"/>
    <w:rsid w:val="00E04392"/>
    <w:rsid w:val="00E04510"/>
    <w:rsid w:val="00E046F5"/>
    <w:rsid w:val="00E04784"/>
    <w:rsid w:val="00E04AB1"/>
    <w:rsid w:val="00E04E2C"/>
    <w:rsid w:val="00E04EB1"/>
    <w:rsid w:val="00E053F9"/>
    <w:rsid w:val="00E05569"/>
    <w:rsid w:val="00E056EB"/>
    <w:rsid w:val="00E05835"/>
    <w:rsid w:val="00E059FD"/>
    <w:rsid w:val="00E05A6C"/>
    <w:rsid w:val="00E05F33"/>
    <w:rsid w:val="00E05F59"/>
    <w:rsid w:val="00E05F73"/>
    <w:rsid w:val="00E0655D"/>
    <w:rsid w:val="00E06AF3"/>
    <w:rsid w:val="00E06B9A"/>
    <w:rsid w:val="00E06CC2"/>
    <w:rsid w:val="00E0730F"/>
    <w:rsid w:val="00E07579"/>
    <w:rsid w:val="00E1024A"/>
    <w:rsid w:val="00E108C3"/>
    <w:rsid w:val="00E10B17"/>
    <w:rsid w:val="00E10B67"/>
    <w:rsid w:val="00E10C28"/>
    <w:rsid w:val="00E10CCB"/>
    <w:rsid w:val="00E12574"/>
    <w:rsid w:val="00E12742"/>
    <w:rsid w:val="00E12AB6"/>
    <w:rsid w:val="00E12AB9"/>
    <w:rsid w:val="00E12B67"/>
    <w:rsid w:val="00E12F53"/>
    <w:rsid w:val="00E130C5"/>
    <w:rsid w:val="00E13235"/>
    <w:rsid w:val="00E135BB"/>
    <w:rsid w:val="00E141D3"/>
    <w:rsid w:val="00E14389"/>
    <w:rsid w:val="00E14528"/>
    <w:rsid w:val="00E1462B"/>
    <w:rsid w:val="00E14941"/>
    <w:rsid w:val="00E14947"/>
    <w:rsid w:val="00E14BBC"/>
    <w:rsid w:val="00E15202"/>
    <w:rsid w:val="00E1526B"/>
    <w:rsid w:val="00E1534B"/>
    <w:rsid w:val="00E15408"/>
    <w:rsid w:val="00E15743"/>
    <w:rsid w:val="00E1577C"/>
    <w:rsid w:val="00E15C52"/>
    <w:rsid w:val="00E15EDA"/>
    <w:rsid w:val="00E15F0B"/>
    <w:rsid w:val="00E160E8"/>
    <w:rsid w:val="00E16199"/>
    <w:rsid w:val="00E16311"/>
    <w:rsid w:val="00E1656C"/>
    <w:rsid w:val="00E1702C"/>
    <w:rsid w:val="00E175D9"/>
    <w:rsid w:val="00E1799E"/>
    <w:rsid w:val="00E179BA"/>
    <w:rsid w:val="00E17AAA"/>
    <w:rsid w:val="00E17FDE"/>
    <w:rsid w:val="00E17FF2"/>
    <w:rsid w:val="00E200CA"/>
    <w:rsid w:val="00E20AF2"/>
    <w:rsid w:val="00E20CC5"/>
    <w:rsid w:val="00E2126B"/>
    <w:rsid w:val="00E2182C"/>
    <w:rsid w:val="00E21ACA"/>
    <w:rsid w:val="00E21E24"/>
    <w:rsid w:val="00E22AB6"/>
    <w:rsid w:val="00E22B80"/>
    <w:rsid w:val="00E22BFD"/>
    <w:rsid w:val="00E22C0E"/>
    <w:rsid w:val="00E22CFF"/>
    <w:rsid w:val="00E22F9B"/>
    <w:rsid w:val="00E231CD"/>
    <w:rsid w:val="00E231E1"/>
    <w:rsid w:val="00E23639"/>
    <w:rsid w:val="00E23888"/>
    <w:rsid w:val="00E23A30"/>
    <w:rsid w:val="00E23B9C"/>
    <w:rsid w:val="00E23CE3"/>
    <w:rsid w:val="00E23CF7"/>
    <w:rsid w:val="00E23E76"/>
    <w:rsid w:val="00E23FCC"/>
    <w:rsid w:val="00E243B6"/>
    <w:rsid w:val="00E245A8"/>
    <w:rsid w:val="00E24882"/>
    <w:rsid w:val="00E249DB"/>
    <w:rsid w:val="00E249DE"/>
    <w:rsid w:val="00E24A06"/>
    <w:rsid w:val="00E253A3"/>
    <w:rsid w:val="00E25402"/>
    <w:rsid w:val="00E25790"/>
    <w:rsid w:val="00E259B0"/>
    <w:rsid w:val="00E25AF8"/>
    <w:rsid w:val="00E2615B"/>
    <w:rsid w:val="00E265F7"/>
    <w:rsid w:val="00E26650"/>
    <w:rsid w:val="00E26AEC"/>
    <w:rsid w:val="00E26B7B"/>
    <w:rsid w:val="00E27060"/>
    <w:rsid w:val="00E27074"/>
    <w:rsid w:val="00E270DF"/>
    <w:rsid w:val="00E2757B"/>
    <w:rsid w:val="00E2792D"/>
    <w:rsid w:val="00E27C2F"/>
    <w:rsid w:val="00E3006C"/>
    <w:rsid w:val="00E3050F"/>
    <w:rsid w:val="00E30828"/>
    <w:rsid w:val="00E30A23"/>
    <w:rsid w:val="00E30B37"/>
    <w:rsid w:val="00E30C06"/>
    <w:rsid w:val="00E30F53"/>
    <w:rsid w:val="00E3109C"/>
    <w:rsid w:val="00E311D1"/>
    <w:rsid w:val="00E3166F"/>
    <w:rsid w:val="00E31850"/>
    <w:rsid w:val="00E31C2D"/>
    <w:rsid w:val="00E31C8F"/>
    <w:rsid w:val="00E322D8"/>
    <w:rsid w:val="00E32432"/>
    <w:rsid w:val="00E338F9"/>
    <w:rsid w:val="00E33B1E"/>
    <w:rsid w:val="00E34121"/>
    <w:rsid w:val="00E34277"/>
    <w:rsid w:val="00E344EA"/>
    <w:rsid w:val="00E3491F"/>
    <w:rsid w:val="00E35439"/>
    <w:rsid w:val="00E35460"/>
    <w:rsid w:val="00E35936"/>
    <w:rsid w:val="00E35E9E"/>
    <w:rsid w:val="00E3621B"/>
    <w:rsid w:val="00E3661A"/>
    <w:rsid w:val="00E36A15"/>
    <w:rsid w:val="00E36F43"/>
    <w:rsid w:val="00E3711B"/>
    <w:rsid w:val="00E37BFB"/>
    <w:rsid w:val="00E37F0C"/>
    <w:rsid w:val="00E37FC3"/>
    <w:rsid w:val="00E402F6"/>
    <w:rsid w:val="00E40944"/>
    <w:rsid w:val="00E40992"/>
    <w:rsid w:val="00E40ADF"/>
    <w:rsid w:val="00E40F94"/>
    <w:rsid w:val="00E4113C"/>
    <w:rsid w:val="00E41272"/>
    <w:rsid w:val="00E418E3"/>
    <w:rsid w:val="00E41B46"/>
    <w:rsid w:val="00E41D5B"/>
    <w:rsid w:val="00E41F6D"/>
    <w:rsid w:val="00E423DE"/>
    <w:rsid w:val="00E42424"/>
    <w:rsid w:val="00E426B8"/>
    <w:rsid w:val="00E4289C"/>
    <w:rsid w:val="00E42D0F"/>
    <w:rsid w:val="00E42F07"/>
    <w:rsid w:val="00E43038"/>
    <w:rsid w:val="00E434A2"/>
    <w:rsid w:val="00E435DD"/>
    <w:rsid w:val="00E4370F"/>
    <w:rsid w:val="00E43C52"/>
    <w:rsid w:val="00E43CB3"/>
    <w:rsid w:val="00E4441D"/>
    <w:rsid w:val="00E44939"/>
    <w:rsid w:val="00E44E54"/>
    <w:rsid w:val="00E453AB"/>
    <w:rsid w:val="00E45890"/>
    <w:rsid w:val="00E462E6"/>
    <w:rsid w:val="00E463A0"/>
    <w:rsid w:val="00E464C2"/>
    <w:rsid w:val="00E46DA0"/>
    <w:rsid w:val="00E47333"/>
    <w:rsid w:val="00E47839"/>
    <w:rsid w:val="00E505A6"/>
    <w:rsid w:val="00E50CAF"/>
    <w:rsid w:val="00E50F7C"/>
    <w:rsid w:val="00E511E1"/>
    <w:rsid w:val="00E51949"/>
    <w:rsid w:val="00E519A2"/>
    <w:rsid w:val="00E51CDE"/>
    <w:rsid w:val="00E51DD0"/>
    <w:rsid w:val="00E51E06"/>
    <w:rsid w:val="00E51ED8"/>
    <w:rsid w:val="00E5210B"/>
    <w:rsid w:val="00E5212D"/>
    <w:rsid w:val="00E52B3E"/>
    <w:rsid w:val="00E52C7C"/>
    <w:rsid w:val="00E52CB5"/>
    <w:rsid w:val="00E5318C"/>
    <w:rsid w:val="00E53631"/>
    <w:rsid w:val="00E53790"/>
    <w:rsid w:val="00E5388F"/>
    <w:rsid w:val="00E53FA2"/>
    <w:rsid w:val="00E541FD"/>
    <w:rsid w:val="00E54239"/>
    <w:rsid w:val="00E54272"/>
    <w:rsid w:val="00E542BC"/>
    <w:rsid w:val="00E54521"/>
    <w:rsid w:val="00E54617"/>
    <w:rsid w:val="00E5484B"/>
    <w:rsid w:val="00E55794"/>
    <w:rsid w:val="00E558A8"/>
    <w:rsid w:val="00E55918"/>
    <w:rsid w:val="00E55F9D"/>
    <w:rsid w:val="00E56023"/>
    <w:rsid w:val="00E5682F"/>
    <w:rsid w:val="00E56942"/>
    <w:rsid w:val="00E56AEA"/>
    <w:rsid w:val="00E56D6E"/>
    <w:rsid w:val="00E56D7B"/>
    <w:rsid w:val="00E56FEF"/>
    <w:rsid w:val="00E577F9"/>
    <w:rsid w:val="00E57B4A"/>
    <w:rsid w:val="00E57BF8"/>
    <w:rsid w:val="00E57F2F"/>
    <w:rsid w:val="00E57FB5"/>
    <w:rsid w:val="00E604B7"/>
    <w:rsid w:val="00E6097C"/>
    <w:rsid w:val="00E60F14"/>
    <w:rsid w:val="00E61308"/>
    <w:rsid w:val="00E61468"/>
    <w:rsid w:val="00E61B23"/>
    <w:rsid w:val="00E61EA2"/>
    <w:rsid w:val="00E61F37"/>
    <w:rsid w:val="00E62246"/>
    <w:rsid w:val="00E6256C"/>
    <w:rsid w:val="00E625BE"/>
    <w:rsid w:val="00E6284B"/>
    <w:rsid w:val="00E628B1"/>
    <w:rsid w:val="00E62D07"/>
    <w:rsid w:val="00E62DF6"/>
    <w:rsid w:val="00E63035"/>
    <w:rsid w:val="00E63188"/>
    <w:rsid w:val="00E63610"/>
    <w:rsid w:val="00E63A22"/>
    <w:rsid w:val="00E63B8F"/>
    <w:rsid w:val="00E63EAD"/>
    <w:rsid w:val="00E63ED3"/>
    <w:rsid w:val="00E640D7"/>
    <w:rsid w:val="00E6465A"/>
    <w:rsid w:val="00E646B5"/>
    <w:rsid w:val="00E64785"/>
    <w:rsid w:val="00E6480A"/>
    <w:rsid w:val="00E64F8B"/>
    <w:rsid w:val="00E65032"/>
    <w:rsid w:val="00E653AB"/>
    <w:rsid w:val="00E65427"/>
    <w:rsid w:val="00E6543F"/>
    <w:rsid w:val="00E6553F"/>
    <w:rsid w:val="00E65A15"/>
    <w:rsid w:val="00E65E70"/>
    <w:rsid w:val="00E661C0"/>
    <w:rsid w:val="00E66323"/>
    <w:rsid w:val="00E663F5"/>
    <w:rsid w:val="00E666C1"/>
    <w:rsid w:val="00E669B8"/>
    <w:rsid w:val="00E66E97"/>
    <w:rsid w:val="00E67C01"/>
    <w:rsid w:val="00E70142"/>
    <w:rsid w:val="00E70BD6"/>
    <w:rsid w:val="00E70E62"/>
    <w:rsid w:val="00E7109B"/>
    <w:rsid w:val="00E71305"/>
    <w:rsid w:val="00E71D45"/>
    <w:rsid w:val="00E71E3E"/>
    <w:rsid w:val="00E72383"/>
    <w:rsid w:val="00E724D2"/>
    <w:rsid w:val="00E728D1"/>
    <w:rsid w:val="00E7298D"/>
    <w:rsid w:val="00E729C6"/>
    <w:rsid w:val="00E72D9F"/>
    <w:rsid w:val="00E72E2F"/>
    <w:rsid w:val="00E738D4"/>
    <w:rsid w:val="00E73C41"/>
    <w:rsid w:val="00E73F2B"/>
    <w:rsid w:val="00E74933"/>
    <w:rsid w:val="00E74EDC"/>
    <w:rsid w:val="00E75652"/>
    <w:rsid w:val="00E75737"/>
    <w:rsid w:val="00E75875"/>
    <w:rsid w:val="00E75886"/>
    <w:rsid w:val="00E759F1"/>
    <w:rsid w:val="00E75BE7"/>
    <w:rsid w:val="00E75CD5"/>
    <w:rsid w:val="00E75D6E"/>
    <w:rsid w:val="00E75E3F"/>
    <w:rsid w:val="00E75E70"/>
    <w:rsid w:val="00E76007"/>
    <w:rsid w:val="00E76181"/>
    <w:rsid w:val="00E7651B"/>
    <w:rsid w:val="00E76DB5"/>
    <w:rsid w:val="00E770F2"/>
    <w:rsid w:val="00E7712E"/>
    <w:rsid w:val="00E776D4"/>
    <w:rsid w:val="00E777CD"/>
    <w:rsid w:val="00E77EAC"/>
    <w:rsid w:val="00E80833"/>
    <w:rsid w:val="00E808DF"/>
    <w:rsid w:val="00E81069"/>
    <w:rsid w:val="00E81403"/>
    <w:rsid w:val="00E817AD"/>
    <w:rsid w:val="00E817EF"/>
    <w:rsid w:val="00E817FD"/>
    <w:rsid w:val="00E8184F"/>
    <w:rsid w:val="00E819FF"/>
    <w:rsid w:val="00E81EF2"/>
    <w:rsid w:val="00E81F20"/>
    <w:rsid w:val="00E820F1"/>
    <w:rsid w:val="00E825A8"/>
    <w:rsid w:val="00E828D5"/>
    <w:rsid w:val="00E82D81"/>
    <w:rsid w:val="00E82DB6"/>
    <w:rsid w:val="00E82E26"/>
    <w:rsid w:val="00E83259"/>
    <w:rsid w:val="00E836AB"/>
    <w:rsid w:val="00E837EA"/>
    <w:rsid w:val="00E839BE"/>
    <w:rsid w:val="00E83CAC"/>
    <w:rsid w:val="00E83E5A"/>
    <w:rsid w:val="00E845A7"/>
    <w:rsid w:val="00E84863"/>
    <w:rsid w:val="00E849A1"/>
    <w:rsid w:val="00E84A97"/>
    <w:rsid w:val="00E84C89"/>
    <w:rsid w:val="00E84D38"/>
    <w:rsid w:val="00E84D48"/>
    <w:rsid w:val="00E84DE3"/>
    <w:rsid w:val="00E84FAC"/>
    <w:rsid w:val="00E8565F"/>
    <w:rsid w:val="00E85E56"/>
    <w:rsid w:val="00E860DD"/>
    <w:rsid w:val="00E865CF"/>
    <w:rsid w:val="00E86652"/>
    <w:rsid w:val="00E86DA3"/>
    <w:rsid w:val="00E8713D"/>
    <w:rsid w:val="00E87202"/>
    <w:rsid w:val="00E872AA"/>
    <w:rsid w:val="00E87384"/>
    <w:rsid w:val="00E87B44"/>
    <w:rsid w:val="00E87E71"/>
    <w:rsid w:val="00E90329"/>
    <w:rsid w:val="00E90366"/>
    <w:rsid w:val="00E90504"/>
    <w:rsid w:val="00E9072E"/>
    <w:rsid w:val="00E910D5"/>
    <w:rsid w:val="00E910FC"/>
    <w:rsid w:val="00E91108"/>
    <w:rsid w:val="00E9119D"/>
    <w:rsid w:val="00E91A1E"/>
    <w:rsid w:val="00E91AF2"/>
    <w:rsid w:val="00E922C4"/>
    <w:rsid w:val="00E92A2D"/>
    <w:rsid w:val="00E937FA"/>
    <w:rsid w:val="00E93B36"/>
    <w:rsid w:val="00E93EFB"/>
    <w:rsid w:val="00E943AE"/>
    <w:rsid w:val="00E94430"/>
    <w:rsid w:val="00E946D8"/>
    <w:rsid w:val="00E947B0"/>
    <w:rsid w:val="00E947CF"/>
    <w:rsid w:val="00E94C5C"/>
    <w:rsid w:val="00E955EA"/>
    <w:rsid w:val="00E95669"/>
    <w:rsid w:val="00E95D82"/>
    <w:rsid w:val="00E95E31"/>
    <w:rsid w:val="00E95F21"/>
    <w:rsid w:val="00E961D3"/>
    <w:rsid w:val="00E96273"/>
    <w:rsid w:val="00E96B2E"/>
    <w:rsid w:val="00E96E97"/>
    <w:rsid w:val="00E97361"/>
    <w:rsid w:val="00E97D49"/>
    <w:rsid w:val="00EA0251"/>
    <w:rsid w:val="00EA02DE"/>
    <w:rsid w:val="00EA0769"/>
    <w:rsid w:val="00EA0E75"/>
    <w:rsid w:val="00EA1065"/>
    <w:rsid w:val="00EA1434"/>
    <w:rsid w:val="00EA1D25"/>
    <w:rsid w:val="00EA27E3"/>
    <w:rsid w:val="00EA28B7"/>
    <w:rsid w:val="00EA2AB3"/>
    <w:rsid w:val="00EA2C5A"/>
    <w:rsid w:val="00EA2EBE"/>
    <w:rsid w:val="00EA3AEC"/>
    <w:rsid w:val="00EA3C3E"/>
    <w:rsid w:val="00EA4106"/>
    <w:rsid w:val="00EA4694"/>
    <w:rsid w:val="00EA48D3"/>
    <w:rsid w:val="00EA4983"/>
    <w:rsid w:val="00EA4D3E"/>
    <w:rsid w:val="00EA5347"/>
    <w:rsid w:val="00EA546B"/>
    <w:rsid w:val="00EA5479"/>
    <w:rsid w:val="00EA57C5"/>
    <w:rsid w:val="00EA593A"/>
    <w:rsid w:val="00EA5D7E"/>
    <w:rsid w:val="00EA5F09"/>
    <w:rsid w:val="00EA5F31"/>
    <w:rsid w:val="00EA5F92"/>
    <w:rsid w:val="00EA64B4"/>
    <w:rsid w:val="00EA65F1"/>
    <w:rsid w:val="00EA6665"/>
    <w:rsid w:val="00EA6935"/>
    <w:rsid w:val="00EA6967"/>
    <w:rsid w:val="00EA6D3B"/>
    <w:rsid w:val="00EA6F44"/>
    <w:rsid w:val="00EA7346"/>
    <w:rsid w:val="00EA748D"/>
    <w:rsid w:val="00EA7613"/>
    <w:rsid w:val="00EA793B"/>
    <w:rsid w:val="00EA7A7E"/>
    <w:rsid w:val="00EB0413"/>
    <w:rsid w:val="00EB05DA"/>
    <w:rsid w:val="00EB0761"/>
    <w:rsid w:val="00EB09B4"/>
    <w:rsid w:val="00EB0BA8"/>
    <w:rsid w:val="00EB0D69"/>
    <w:rsid w:val="00EB0EB0"/>
    <w:rsid w:val="00EB1244"/>
    <w:rsid w:val="00EB15AE"/>
    <w:rsid w:val="00EB190F"/>
    <w:rsid w:val="00EB1A2B"/>
    <w:rsid w:val="00EB235B"/>
    <w:rsid w:val="00EB260A"/>
    <w:rsid w:val="00EB2FA2"/>
    <w:rsid w:val="00EB31A3"/>
    <w:rsid w:val="00EB325B"/>
    <w:rsid w:val="00EB335F"/>
    <w:rsid w:val="00EB3405"/>
    <w:rsid w:val="00EB39CB"/>
    <w:rsid w:val="00EB3E22"/>
    <w:rsid w:val="00EB3F4F"/>
    <w:rsid w:val="00EB411D"/>
    <w:rsid w:val="00EB4447"/>
    <w:rsid w:val="00EB5370"/>
    <w:rsid w:val="00EB53D7"/>
    <w:rsid w:val="00EB5AF9"/>
    <w:rsid w:val="00EB5B4A"/>
    <w:rsid w:val="00EB6498"/>
    <w:rsid w:val="00EB693B"/>
    <w:rsid w:val="00EB6AE4"/>
    <w:rsid w:val="00EB6E2F"/>
    <w:rsid w:val="00EB7BA9"/>
    <w:rsid w:val="00EB7D75"/>
    <w:rsid w:val="00EC0206"/>
    <w:rsid w:val="00EC0757"/>
    <w:rsid w:val="00EC0B20"/>
    <w:rsid w:val="00EC0B3A"/>
    <w:rsid w:val="00EC0EE7"/>
    <w:rsid w:val="00EC0EFF"/>
    <w:rsid w:val="00EC0F73"/>
    <w:rsid w:val="00EC15C7"/>
    <w:rsid w:val="00EC1C1E"/>
    <w:rsid w:val="00EC1C3A"/>
    <w:rsid w:val="00EC1F51"/>
    <w:rsid w:val="00EC20B3"/>
    <w:rsid w:val="00EC20FB"/>
    <w:rsid w:val="00EC210A"/>
    <w:rsid w:val="00EC2375"/>
    <w:rsid w:val="00EC26A8"/>
    <w:rsid w:val="00EC26CD"/>
    <w:rsid w:val="00EC2AE0"/>
    <w:rsid w:val="00EC2B1D"/>
    <w:rsid w:val="00EC2ECD"/>
    <w:rsid w:val="00EC337C"/>
    <w:rsid w:val="00EC3ADE"/>
    <w:rsid w:val="00EC4093"/>
    <w:rsid w:val="00EC4233"/>
    <w:rsid w:val="00EC43D8"/>
    <w:rsid w:val="00EC4544"/>
    <w:rsid w:val="00EC4A85"/>
    <w:rsid w:val="00EC4AF3"/>
    <w:rsid w:val="00EC4B13"/>
    <w:rsid w:val="00EC4F0C"/>
    <w:rsid w:val="00EC5001"/>
    <w:rsid w:val="00EC51FB"/>
    <w:rsid w:val="00EC5621"/>
    <w:rsid w:val="00EC575D"/>
    <w:rsid w:val="00EC57B2"/>
    <w:rsid w:val="00EC58F4"/>
    <w:rsid w:val="00EC5C74"/>
    <w:rsid w:val="00EC5ED0"/>
    <w:rsid w:val="00EC6310"/>
    <w:rsid w:val="00EC650B"/>
    <w:rsid w:val="00EC7808"/>
    <w:rsid w:val="00EC7B25"/>
    <w:rsid w:val="00EC7BFA"/>
    <w:rsid w:val="00EC7FEC"/>
    <w:rsid w:val="00ED042E"/>
    <w:rsid w:val="00ED06AB"/>
    <w:rsid w:val="00ED08AC"/>
    <w:rsid w:val="00ED0A67"/>
    <w:rsid w:val="00ED0CF1"/>
    <w:rsid w:val="00ED1295"/>
    <w:rsid w:val="00ED1DC7"/>
    <w:rsid w:val="00ED2077"/>
    <w:rsid w:val="00ED2725"/>
    <w:rsid w:val="00ED2E1A"/>
    <w:rsid w:val="00ED2F68"/>
    <w:rsid w:val="00ED3257"/>
    <w:rsid w:val="00ED34D1"/>
    <w:rsid w:val="00ED3626"/>
    <w:rsid w:val="00ED367F"/>
    <w:rsid w:val="00ED4206"/>
    <w:rsid w:val="00ED4A73"/>
    <w:rsid w:val="00ED4D75"/>
    <w:rsid w:val="00ED5254"/>
    <w:rsid w:val="00ED58A2"/>
    <w:rsid w:val="00ED58C3"/>
    <w:rsid w:val="00ED5C71"/>
    <w:rsid w:val="00ED5EEE"/>
    <w:rsid w:val="00ED6435"/>
    <w:rsid w:val="00ED667C"/>
    <w:rsid w:val="00ED6F37"/>
    <w:rsid w:val="00ED74DB"/>
    <w:rsid w:val="00ED7966"/>
    <w:rsid w:val="00ED7D5E"/>
    <w:rsid w:val="00ED7DE1"/>
    <w:rsid w:val="00ED7F2E"/>
    <w:rsid w:val="00EE01CC"/>
    <w:rsid w:val="00EE040A"/>
    <w:rsid w:val="00EE04EE"/>
    <w:rsid w:val="00EE1760"/>
    <w:rsid w:val="00EE179E"/>
    <w:rsid w:val="00EE248D"/>
    <w:rsid w:val="00EE287D"/>
    <w:rsid w:val="00EE2AB4"/>
    <w:rsid w:val="00EE2CF5"/>
    <w:rsid w:val="00EE2D49"/>
    <w:rsid w:val="00EE37D2"/>
    <w:rsid w:val="00EE399A"/>
    <w:rsid w:val="00EE3B32"/>
    <w:rsid w:val="00EE3CFF"/>
    <w:rsid w:val="00EE3F39"/>
    <w:rsid w:val="00EE414C"/>
    <w:rsid w:val="00EE44FE"/>
    <w:rsid w:val="00EE479C"/>
    <w:rsid w:val="00EE4A2B"/>
    <w:rsid w:val="00EE5406"/>
    <w:rsid w:val="00EE5585"/>
    <w:rsid w:val="00EE5EF8"/>
    <w:rsid w:val="00EE6964"/>
    <w:rsid w:val="00EE6A1D"/>
    <w:rsid w:val="00EE6D18"/>
    <w:rsid w:val="00EE7D8D"/>
    <w:rsid w:val="00EE7E3F"/>
    <w:rsid w:val="00EE7E7A"/>
    <w:rsid w:val="00EF0D39"/>
    <w:rsid w:val="00EF0E96"/>
    <w:rsid w:val="00EF1230"/>
    <w:rsid w:val="00EF1787"/>
    <w:rsid w:val="00EF1808"/>
    <w:rsid w:val="00EF1B4E"/>
    <w:rsid w:val="00EF223B"/>
    <w:rsid w:val="00EF2853"/>
    <w:rsid w:val="00EF28F8"/>
    <w:rsid w:val="00EF29DE"/>
    <w:rsid w:val="00EF2B9C"/>
    <w:rsid w:val="00EF2E5A"/>
    <w:rsid w:val="00EF383D"/>
    <w:rsid w:val="00EF3978"/>
    <w:rsid w:val="00EF3A77"/>
    <w:rsid w:val="00EF3AAC"/>
    <w:rsid w:val="00EF43A6"/>
    <w:rsid w:val="00EF46A3"/>
    <w:rsid w:val="00EF4D42"/>
    <w:rsid w:val="00EF4FD1"/>
    <w:rsid w:val="00EF506E"/>
    <w:rsid w:val="00EF5115"/>
    <w:rsid w:val="00EF528E"/>
    <w:rsid w:val="00EF5318"/>
    <w:rsid w:val="00EF583A"/>
    <w:rsid w:val="00EF5DAC"/>
    <w:rsid w:val="00EF7014"/>
    <w:rsid w:val="00EF708A"/>
    <w:rsid w:val="00EF72C3"/>
    <w:rsid w:val="00EF72D7"/>
    <w:rsid w:val="00EF7803"/>
    <w:rsid w:val="00EF7835"/>
    <w:rsid w:val="00EF79CE"/>
    <w:rsid w:val="00EF7FD5"/>
    <w:rsid w:val="00F00152"/>
    <w:rsid w:val="00F00255"/>
    <w:rsid w:val="00F00352"/>
    <w:rsid w:val="00F00850"/>
    <w:rsid w:val="00F008AE"/>
    <w:rsid w:val="00F00B1B"/>
    <w:rsid w:val="00F00E37"/>
    <w:rsid w:val="00F00EBA"/>
    <w:rsid w:val="00F010EE"/>
    <w:rsid w:val="00F01383"/>
    <w:rsid w:val="00F0162B"/>
    <w:rsid w:val="00F0167D"/>
    <w:rsid w:val="00F0177A"/>
    <w:rsid w:val="00F019D5"/>
    <w:rsid w:val="00F020AB"/>
    <w:rsid w:val="00F02198"/>
    <w:rsid w:val="00F023A3"/>
    <w:rsid w:val="00F02500"/>
    <w:rsid w:val="00F02550"/>
    <w:rsid w:val="00F027A7"/>
    <w:rsid w:val="00F02D86"/>
    <w:rsid w:val="00F032E2"/>
    <w:rsid w:val="00F037E3"/>
    <w:rsid w:val="00F03E0B"/>
    <w:rsid w:val="00F03FF2"/>
    <w:rsid w:val="00F04AC2"/>
    <w:rsid w:val="00F04C89"/>
    <w:rsid w:val="00F04F9E"/>
    <w:rsid w:val="00F06A47"/>
    <w:rsid w:val="00F06E0B"/>
    <w:rsid w:val="00F0717F"/>
    <w:rsid w:val="00F0747A"/>
    <w:rsid w:val="00F07849"/>
    <w:rsid w:val="00F07882"/>
    <w:rsid w:val="00F07883"/>
    <w:rsid w:val="00F078A1"/>
    <w:rsid w:val="00F07EFD"/>
    <w:rsid w:val="00F10177"/>
    <w:rsid w:val="00F10623"/>
    <w:rsid w:val="00F10999"/>
    <w:rsid w:val="00F10D71"/>
    <w:rsid w:val="00F10D83"/>
    <w:rsid w:val="00F1196B"/>
    <w:rsid w:val="00F11A67"/>
    <w:rsid w:val="00F11A6A"/>
    <w:rsid w:val="00F11FD4"/>
    <w:rsid w:val="00F12541"/>
    <w:rsid w:val="00F126BD"/>
    <w:rsid w:val="00F13281"/>
    <w:rsid w:val="00F13433"/>
    <w:rsid w:val="00F134E0"/>
    <w:rsid w:val="00F134FC"/>
    <w:rsid w:val="00F1350E"/>
    <w:rsid w:val="00F1364B"/>
    <w:rsid w:val="00F13A00"/>
    <w:rsid w:val="00F13B14"/>
    <w:rsid w:val="00F13C13"/>
    <w:rsid w:val="00F13C51"/>
    <w:rsid w:val="00F13D79"/>
    <w:rsid w:val="00F14419"/>
    <w:rsid w:val="00F14653"/>
    <w:rsid w:val="00F1470E"/>
    <w:rsid w:val="00F147A5"/>
    <w:rsid w:val="00F14A4C"/>
    <w:rsid w:val="00F14AA7"/>
    <w:rsid w:val="00F14D8F"/>
    <w:rsid w:val="00F15884"/>
    <w:rsid w:val="00F15B8E"/>
    <w:rsid w:val="00F15EC4"/>
    <w:rsid w:val="00F15F3D"/>
    <w:rsid w:val="00F16665"/>
    <w:rsid w:val="00F16E04"/>
    <w:rsid w:val="00F16FB0"/>
    <w:rsid w:val="00F1733B"/>
    <w:rsid w:val="00F17474"/>
    <w:rsid w:val="00F17830"/>
    <w:rsid w:val="00F17C89"/>
    <w:rsid w:val="00F17D40"/>
    <w:rsid w:val="00F17F54"/>
    <w:rsid w:val="00F2010F"/>
    <w:rsid w:val="00F201C4"/>
    <w:rsid w:val="00F201CC"/>
    <w:rsid w:val="00F20487"/>
    <w:rsid w:val="00F20B24"/>
    <w:rsid w:val="00F20B5F"/>
    <w:rsid w:val="00F20E46"/>
    <w:rsid w:val="00F20F65"/>
    <w:rsid w:val="00F2106D"/>
    <w:rsid w:val="00F21982"/>
    <w:rsid w:val="00F21C29"/>
    <w:rsid w:val="00F21F54"/>
    <w:rsid w:val="00F22337"/>
    <w:rsid w:val="00F225A6"/>
    <w:rsid w:val="00F22627"/>
    <w:rsid w:val="00F22D65"/>
    <w:rsid w:val="00F22DAD"/>
    <w:rsid w:val="00F23175"/>
    <w:rsid w:val="00F23ED1"/>
    <w:rsid w:val="00F23F4D"/>
    <w:rsid w:val="00F23FB0"/>
    <w:rsid w:val="00F2429E"/>
    <w:rsid w:val="00F245EB"/>
    <w:rsid w:val="00F2480A"/>
    <w:rsid w:val="00F24853"/>
    <w:rsid w:val="00F24891"/>
    <w:rsid w:val="00F24B9F"/>
    <w:rsid w:val="00F24CA6"/>
    <w:rsid w:val="00F24CD6"/>
    <w:rsid w:val="00F25194"/>
    <w:rsid w:val="00F25516"/>
    <w:rsid w:val="00F25660"/>
    <w:rsid w:val="00F256AE"/>
    <w:rsid w:val="00F25773"/>
    <w:rsid w:val="00F257FA"/>
    <w:rsid w:val="00F25AE8"/>
    <w:rsid w:val="00F25EDB"/>
    <w:rsid w:val="00F25FF7"/>
    <w:rsid w:val="00F26004"/>
    <w:rsid w:val="00F26092"/>
    <w:rsid w:val="00F26AD5"/>
    <w:rsid w:val="00F26ADF"/>
    <w:rsid w:val="00F270E8"/>
    <w:rsid w:val="00F27195"/>
    <w:rsid w:val="00F27EF5"/>
    <w:rsid w:val="00F27FDB"/>
    <w:rsid w:val="00F30222"/>
    <w:rsid w:val="00F30251"/>
    <w:rsid w:val="00F305CC"/>
    <w:rsid w:val="00F31462"/>
    <w:rsid w:val="00F3179A"/>
    <w:rsid w:val="00F31C1A"/>
    <w:rsid w:val="00F31D54"/>
    <w:rsid w:val="00F31E28"/>
    <w:rsid w:val="00F32357"/>
    <w:rsid w:val="00F326D5"/>
    <w:rsid w:val="00F3270F"/>
    <w:rsid w:val="00F32A8B"/>
    <w:rsid w:val="00F32C70"/>
    <w:rsid w:val="00F32DA1"/>
    <w:rsid w:val="00F3350E"/>
    <w:rsid w:val="00F33F01"/>
    <w:rsid w:val="00F34178"/>
    <w:rsid w:val="00F34E02"/>
    <w:rsid w:val="00F3549E"/>
    <w:rsid w:val="00F35561"/>
    <w:rsid w:val="00F3596D"/>
    <w:rsid w:val="00F35A21"/>
    <w:rsid w:val="00F35AD0"/>
    <w:rsid w:val="00F365A7"/>
    <w:rsid w:val="00F3681C"/>
    <w:rsid w:val="00F36F29"/>
    <w:rsid w:val="00F37196"/>
    <w:rsid w:val="00F375D2"/>
    <w:rsid w:val="00F3769D"/>
    <w:rsid w:val="00F3775F"/>
    <w:rsid w:val="00F37B75"/>
    <w:rsid w:val="00F404F4"/>
    <w:rsid w:val="00F40AB0"/>
    <w:rsid w:val="00F40C99"/>
    <w:rsid w:val="00F4143E"/>
    <w:rsid w:val="00F418EE"/>
    <w:rsid w:val="00F41AB5"/>
    <w:rsid w:val="00F41CC5"/>
    <w:rsid w:val="00F41D25"/>
    <w:rsid w:val="00F423C2"/>
    <w:rsid w:val="00F42739"/>
    <w:rsid w:val="00F42E6E"/>
    <w:rsid w:val="00F42EDE"/>
    <w:rsid w:val="00F433F8"/>
    <w:rsid w:val="00F433FE"/>
    <w:rsid w:val="00F435CE"/>
    <w:rsid w:val="00F43627"/>
    <w:rsid w:val="00F43781"/>
    <w:rsid w:val="00F438F9"/>
    <w:rsid w:val="00F44354"/>
    <w:rsid w:val="00F4463C"/>
    <w:rsid w:val="00F446CA"/>
    <w:rsid w:val="00F451F5"/>
    <w:rsid w:val="00F45310"/>
    <w:rsid w:val="00F454DC"/>
    <w:rsid w:val="00F45DBF"/>
    <w:rsid w:val="00F473A5"/>
    <w:rsid w:val="00F473F3"/>
    <w:rsid w:val="00F474B8"/>
    <w:rsid w:val="00F478CA"/>
    <w:rsid w:val="00F47CE2"/>
    <w:rsid w:val="00F501F3"/>
    <w:rsid w:val="00F5053E"/>
    <w:rsid w:val="00F50A98"/>
    <w:rsid w:val="00F50B7C"/>
    <w:rsid w:val="00F50E5F"/>
    <w:rsid w:val="00F51113"/>
    <w:rsid w:val="00F5133D"/>
    <w:rsid w:val="00F51357"/>
    <w:rsid w:val="00F51460"/>
    <w:rsid w:val="00F51667"/>
    <w:rsid w:val="00F521DC"/>
    <w:rsid w:val="00F52634"/>
    <w:rsid w:val="00F52A0D"/>
    <w:rsid w:val="00F52DF9"/>
    <w:rsid w:val="00F53199"/>
    <w:rsid w:val="00F53217"/>
    <w:rsid w:val="00F5323D"/>
    <w:rsid w:val="00F5390C"/>
    <w:rsid w:val="00F53A77"/>
    <w:rsid w:val="00F53B3B"/>
    <w:rsid w:val="00F53E3E"/>
    <w:rsid w:val="00F541A1"/>
    <w:rsid w:val="00F549EF"/>
    <w:rsid w:val="00F54A83"/>
    <w:rsid w:val="00F54B09"/>
    <w:rsid w:val="00F54BEA"/>
    <w:rsid w:val="00F54E8A"/>
    <w:rsid w:val="00F54FD8"/>
    <w:rsid w:val="00F55192"/>
    <w:rsid w:val="00F55597"/>
    <w:rsid w:val="00F559A8"/>
    <w:rsid w:val="00F559DA"/>
    <w:rsid w:val="00F55C21"/>
    <w:rsid w:val="00F55C78"/>
    <w:rsid w:val="00F55E5F"/>
    <w:rsid w:val="00F55F6D"/>
    <w:rsid w:val="00F56231"/>
    <w:rsid w:val="00F564C5"/>
    <w:rsid w:val="00F5653C"/>
    <w:rsid w:val="00F56767"/>
    <w:rsid w:val="00F56989"/>
    <w:rsid w:val="00F56A2A"/>
    <w:rsid w:val="00F5732E"/>
    <w:rsid w:val="00F5736B"/>
    <w:rsid w:val="00F57429"/>
    <w:rsid w:val="00F57880"/>
    <w:rsid w:val="00F578EE"/>
    <w:rsid w:val="00F57E8B"/>
    <w:rsid w:val="00F57F61"/>
    <w:rsid w:val="00F60053"/>
    <w:rsid w:val="00F60742"/>
    <w:rsid w:val="00F6081A"/>
    <w:rsid w:val="00F608AB"/>
    <w:rsid w:val="00F60931"/>
    <w:rsid w:val="00F60BE7"/>
    <w:rsid w:val="00F60C49"/>
    <w:rsid w:val="00F6159C"/>
    <w:rsid w:val="00F615C7"/>
    <w:rsid w:val="00F61714"/>
    <w:rsid w:val="00F617E1"/>
    <w:rsid w:val="00F61C46"/>
    <w:rsid w:val="00F61DF1"/>
    <w:rsid w:val="00F6238F"/>
    <w:rsid w:val="00F625FF"/>
    <w:rsid w:val="00F632BE"/>
    <w:rsid w:val="00F63672"/>
    <w:rsid w:val="00F63E15"/>
    <w:rsid w:val="00F63E59"/>
    <w:rsid w:val="00F64BE0"/>
    <w:rsid w:val="00F65733"/>
    <w:rsid w:val="00F65B68"/>
    <w:rsid w:val="00F6619C"/>
    <w:rsid w:val="00F675CC"/>
    <w:rsid w:val="00F67830"/>
    <w:rsid w:val="00F67846"/>
    <w:rsid w:val="00F67B42"/>
    <w:rsid w:val="00F700F6"/>
    <w:rsid w:val="00F70603"/>
    <w:rsid w:val="00F70789"/>
    <w:rsid w:val="00F708A9"/>
    <w:rsid w:val="00F70B72"/>
    <w:rsid w:val="00F70DEF"/>
    <w:rsid w:val="00F70EA3"/>
    <w:rsid w:val="00F71398"/>
    <w:rsid w:val="00F7180F"/>
    <w:rsid w:val="00F71FC3"/>
    <w:rsid w:val="00F7294C"/>
    <w:rsid w:val="00F72C45"/>
    <w:rsid w:val="00F72C5F"/>
    <w:rsid w:val="00F733A2"/>
    <w:rsid w:val="00F73549"/>
    <w:rsid w:val="00F740C2"/>
    <w:rsid w:val="00F74D41"/>
    <w:rsid w:val="00F75782"/>
    <w:rsid w:val="00F7629D"/>
    <w:rsid w:val="00F7669F"/>
    <w:rsid w:val="00F76DA8"/>
    <w:rsid w:val="00F77540"/>
    <w:rsid w:val="00F777E3"/>
    <w:rsid w:val="00F7788E"/>
    <w:rsid w:val="00F77BF2"/>
    <w:rsid w:val="00F8020B"/>
    <w:rsid w:val="00F80304"/>
    <w:rsid w:val="00F80331"/>
    <w:rsid w:val="00F80C1D"/>
    <w:rsid w:val="00F81130"/>
    <w:rsid w:val="00F8149F"/>
    <w:rsid w:val="00F8188C"/>
    <w:rsid w:val="00F818F7"/>
    <w:rsid w:val="00F8191A"/>
    <w:rsid w:val="00F827EF"/>
    <w:rsid w:val="00F82A30"/>
    <w:rsid w:val="00F83179"/>
    <w:rsid w:val="00F8325D"/>
    <w:rsid w:val="00F832A9"/>
    <w:rsid w:val="00F832B0"/>
    <w:rsid w:val="00F83307"/>
    <w:rsid w:val="00F833A5"/>
    <w:rsid w:val="00F84019"/>
    <w:rsid w:val="00F8439C"/>
    <w:rsid w:val="00F844D3"/>
    <w:rsid w:val="00F84629"/>
    <w:rsid w:val="00F8497E"/>
    <w:rsid w:val="00F84B71"/>
    <w:rsid w:val="00F84F0E"/>
    <w:rsid w:val="00F8519E"/>
    <w:rsid w:val="00F8559A"/>
    <w:rsid w:val="00F85772"/>
    <w:rsid w:val="00F85FB4"/>
    <w:rsid w:val="00F85FF5"/>
    <w:rsid w:val="00F86BB4"/>
    <w:rsid w:val="00F86EC9"/>
    <w:rsid w:val="00F870F5"/>
    <w:rsid w:val="00F87553"/>
    <w:rsid w:val="00F87BD7"/>
    <w:rsid w:val="00F901E0"/>
    <w:rsid w:val="00F902D2"/>
    <w:rsid w:val="00F90894"/>
    <w:rsid w:val="00F908BA"/>
    <w:rsid w:val="00F9091B"/>
    <w:rsid w:val="00F90ABE"/>
    <w:rsid w:val="00F90B12"/>
    <w:rsid w:val="00F90CBD"/>
    <w:rsid w:val="00F9109E"/>
    <w:rsid w:val="00F91454"/>
    <w:rsid w:val="00F9177E"/>
    <w:rsid w:val="00F91E4F"/>
    <w:rsid w:val="00F91FDF"/>
    <w:rsid w:val="00F92421"/>
    <w:rsid w:val="00F9252D"/>
    <w:rsid w:val="00F92733"/>
    <w:rsid w:val="00F92AA1"/>
    <w:rsid w:val="00F92B48"/>
    <w:rsid w:val="00F92DFE"/>
    <w:rsid w:val="00F92FC0"/>
    <w:rsid w:val="00F92FDC"/>
    <w:rsid w:val="00F931D2"/>
    <w:rsid w:val="00F93431"/>
    <w:rsid w:val="00F93A4A"/>
    <w:rsid w:val="00F93C29"/>
    <w:rsid w:val="00F93D27"/>
    <w:rsid w:val="00F94375"/>
    <w:rsid w:val="00F9471F"/>
    <w:rsid w:val="00F948A1"/>
    <w:rsid w:val="00F94945"/>
    <w:rsid w:val="00F94988"/>
    <w:rsid w:val="00F95109"/>
    <w:rsid w:val="00F9547D"/>
    <w:rsid w:val="00F95DD6"/>
    <w:rsid w:val="00F96370"/>
    <w:rsid w:val="00F96938"/>
    <w:rsid w:val="00F96AA4"/>
    <w:rsid w:val="00F96AF0"/>
    <w:rsid w:val="00F97112"/>
    <w:rsid w:val="00F97361"/>
    <w:rsid w:val="00F97940"/>
    <w:rsid w:val="00F97BA3"/>
    <w:rsid w:val="00F97EA2"/>
    <w:rsid w:val="00F97EC3"/>
    <w:rsid w:val="00F97F0D"/>
    <w:rsid w:val="00FA0106"/>
    <w:rsid w:val="00FA030A"/>
    <w:rsid w:val="00FA0AF6"/>
    <w:rsid w:val="00FA0B0A"/>
    <w:rsid w:val="00FA11CF"/>
    <w:rsid w:val="00FA121C"/>
    <w:rsid w:val="00FA1407"/>
    <w:rsid w:val="00FA1A3C"/>
    <w:rsid w:val="00FA1A68"/>
    <w:rsid w:val="00FA1A95"/>
    <w:rsid w:val="00FA1B11"/>
    <w:rsid w:val="00FA1B1A"/>
    <w:rsid w:val="00FA2747"/>
    <w:rsid w:val="00FA28A6"/>
    <w:rsid w:val="00FA2A33"/>
    <w:rsid w:val="00FA2C8F"/>
    <w:rsid w:val="00FA2CF7"/>
    <w:rsid w:val="00FA2DA0"/>
    <w:rsid w:val="00FA2EA6"/>
    <w:rsid w:val="00FA3410"/>
    <w:rsid w:val="00FA360B"/>
    <w:rsid w:val="00FA3662"/>
    <w:rsid w:val="00FA3860"/>
    <w:rsid w:val="00FA3A50"/>
    <w:rsid w:val="00FA3C98"/>
    <w:rsid w:val="00FA4763"/>
    <w:rsid w:val="00FA4830"/>
    <w:rsid w:val="00FA4F60"/>
    <w:rsid w:val="00FA4FF6"/>
    <w:rsid w:val="00FA5032"/>
    <w:rsid w:val="00FA5486"/>
    <w:rsid w:val="00FA5493"/>
    <w:rsid w:val="00FA62DE"/>
    <w:rsid w:val="00FA64D3"/>
    <w:rsid w:val="00FA6980"/>
    <w:rsid w:val="00FA6B24"/>
    <w:rsid w:val="00FA6C25"/>
    <w:rsid w:val="00FA6CA8"/>
    <w:rsid w:val="00FA6CDF"/>
    <w:rsid w:val="00FA7A91"/>
    <w:rsid w:val="00FA7AFE"/>
    <w:rsid w:val="00FA7BB5"/>
    <w:rsid w:val="00FA7C85"/>
    <w:rsid w:val="00FB0316"/>
    <w:rsid w:val="00FB094F"/>
    <w:rsid w:val="00FB0ABB"/>
    <w:rsid w:val="00FB0B68"/>
    <w:rsid w:val="00FB0E27"/>
    <w:rsid w:val="00FB0EB4"/>
    <w:rsid w:val="00FB11A6"/>
    <w:rsid w:val="00FB12A6"/>
    <w:rsid w:val="00FB12D8"/>
    <w:rsid w:val="00FB176A"/>
    <w:rsid w:val="00FB1BDD"/>
    <w:rsid w:val="00FB1CDC"/>
    <w:rsid w:val="00FB1CE5"/>
    <w:rsid w:val="00FB238A"/>
    <w:rsid w:val="00FB2446"/>
    <w:rsid w:val="00FB2BB7"/>
    <w:rsid w:val="00FB2C81"/>
    <w:rsid w:val="00FB2CD3"/>
    <w:rsid w:val="00FB36CE"/>
    <w:rsid w:val="00FB3BC4"/>
    <w:rsid w:val="00FB3E8D"/>
    <w:rsid w:val="00FB3F9C"/>
    <w:rsid w:val="00FB3FDE"/>
    <w:rsid w:val="00FB4676"/>
    <w:rsid w:val="00FB4C60"/>
    <w:rsid w:val="00FB4CD5"/>
    <w:rsid w:val="00FB53D3"/>
    <w:rsid w:val="00FB5552"/>
    <w:rsid w:val="00FB5789"/>
    <w:rsid w:val="00FB5C29"/>
    <w:rsid w:val="00FB5F3A"/>
    <w:rsid w:val="00FB6674"/>
    <w:rsid w:val="00FB6AA9"/>
    <w:rsid w:val="00FB6AD4"/>
    <w:rsid w:val="00FB7B06"/>
    <w:rsid w:val="00FB7CB4"/>
    <w:rsid w:val="00FB7EB9"/>
    <w:rsid w:val="00FB7EDE"/>
    <w:rsid w:val="00FB7F22"/>
    <w:rsid w:val="00FC00F3"/>
    <w:rsid w:val="00FC01D3"/>
    <w:rsid w:val="00FC0A18"/>
    <w:rsid w:val="00FC0A33"/>
    <w:rsid w:val="00FC11AC"/>
    <w:rsid w:val="00FC12B7"/>
    <w:rsid w:val="00FC12EF"/>
    <w:rsid w:val="00FC1416"/>
    <w:rsid w:val="00FC14B2"/>
    <w:rsid w:val="00FC16B4"/>
    <w:rsid w:val="00FC1823"/>
    <w:rsid w:val="00FC1969"/>
    <w:rsid w:val="00FC1B43"/>
    <w:rsid w:val="00FC1DDC"/>
    <w:rsid w:val="00FC1F0B"/>
    <w:rsid w:val="00FC2198"/>
    <w:rsid w:val="00FC2247"/>
    <w:rsid w:val="00FC26A4"/>
    <w:rsid w:val="00FC2C93"/>
    <w:rsid w:val="00FC3017"/>
    <w:rsid w:val="00FC319B"/>
    <w:rsid w:val="00FC325A"/>
    <w:rsid w:val="00FC329F"/>
    <w:rsid w:val="00FC33ED"/>
    <w:rsid w:val="00FC365E"/>
    <w:rsid w:val="00FC3C2A"/>
    <w:rsid w:val="00FC41B1"/>
    <w:rsid w:val="00FC43AD"/>
    <w:rsid w:val="00FC4710"/>
    <w:rsid w:val="00FC49CC"/>
    <w:rsid w:val="00FC54F3"/>
    <w:rsid w:val="00FC5861"/>
    <w:rsid w:val="00FC5866"/>
    <w:rsid w:val="00FC5876"/>
    <w:rsid w:val="00FC62F5"/>
    <w:rsid w:val="00FC6CC7"/>
    <w:rsid w:val="00FC71F7"/>
    <w:rsid w:val="00FC731E"/>
    <w:rsid w:val="00FC799A"/>
    <w:rsid w:val="00FC7BFA"/>
    <w:rsid w:val="00FC7F75"/>
    <w:rsid w:val="00FD035A"/>
    <w:rsid w:val="00FD1514"/>
    <w:rsid w:val="00FD17FA"/>
    <w:rsid w:val="00FD19F1"/>
    <w:rsid w:val="00FD1A7E"/>
    <w:rsid w:val="00FD221D"/>
    <w:rsid w:val="00FD26C1"/>
    <w:rsid w:val="00FD2816"/>
    <w:rsid w:val="00FD2CC3"/>
    <w:rsid w:val="00FD315F"/>
    <w:rsid w:val="00FD31BF"/>
    <w:rsid w:val="00FD3497"/>
    <w:rsid w:val="00FD3BAE"/>
    <w:rsid w:val="00FD3CBF"/>
    <w:rsid w:val="00FD3CC7"/>
    <w:rsid w:val="00FD4148"/>
    <w:rsid w:val="00FD4572"/>
    <w:rsid w:val="00FD49EE"/>
    <w:rsid w:val="00FD4D5B"/>
    <w:rsid w:val="00FD510C"/>
    <w:rsid w:val="00FD571C"/>
    <w:rsid w:val="00FD5ED0"/>
    <w:rsid w:val="00FD6453"/>
    <w:rsid w:val="00FD663D"/>
    <w:rsid w:val="00FD67FD"/>
    <w:rsid w:val="00FD70AA"/>
    <w:rsid w:val="00FD711D"/>
    <w:rsid w:val="00FD7CB2"/>
    <w:rsid w:val="00FD7D46"/>
    <w:rsid w:val="00FD7D8B"/>
    <w:rsid w:val="00FE05F9"/>
    <w:rsid w:val="00FE0AF2"/>
    <w:rsid w:val="00FE0C0A"/>
    <w:rsid w:val="00FE0F9A"/>
    <w:rsid w:val="00FE10AB"/>
    <w:rsid w:val="00FE1502"/>
    <w:rsid w:val="00FE150C"/>
    <w:rsid w:val="00FE1C47"/>
    <w:rsid w:val="00FE22DD"/>
    <w:rsid w:val="00FE2932"/>
    <w:rsid w:val="00FE2939"/>
    <w:rsid w:val="00FE2CFB"/>
    <w:rsid w:val="00FE2DB5"/>
    <w:rsid w:val="00FE32FD"/>
    <w:rsid w:val="00FE3E17"/>
    <w:rsid w:val="00FE3F54"/>
    <w:rsid w:val="00FE4A60"/>
    <w:rsid w:val="00FE4F24"/>
    <w:rsid w:val="00FE54E0"/>
    <w:rsid w:val="00FE55F0"/>
    <w:rsid w:val="00FE5CB0"/>
    <w:rsid w:val="00FE5F55"/>
    <w:rsid w:val="00FE6331"/>
    <w:rsid w:val="00FE685B"/>
    <w:rsid w:val="00FE69F7"/>
    <w:rsid w:val="00FE6A29"/>
    <w:rsid w:val="00FE6C12"/>
    <w:rsid w:val="00FE71C7"/>
    <w:rsid w:val="00FE7894"/>
    <w:rsid w:val="00FE7E81"/>
    <w:rsid w:val="00FF0117"/>
    <w:rsid w:val="00FF01FA"/>
    <w:rsid w:val="00FF0229"/>
    <w:rsid w:val="00FF092A"/>
    <w:rsid w:val="00FF0F73"/>
    <w:rsid w:val="00FF21B5"/>
    <w:rsid w:val="00FF21C3"/>
    <w:rsid w:val="00FF2A11"/>
    <w:rsid w:val="00FF2AA0"/>
    <w:rsid w:val="00FF2E0A"/>
    <w:rsid w:val="00FF341D"/>
    <w:rsid w:val="00FF3F6C"/>
    <w:rsid w:val="00FF4083"/>
    <w:rsid w:val="00FF4603"/>
    <w:rsid w:val="00FF4745"/>
    <w:rsid w:val="00FF4AE3"/>
    <w:rsid w:val="00FF4B07"/>
    <w:rsid w:val="00FF4BFC"/>
    <w:rsid w:val="00FF4C11"/>
    <w:rsid w:val="00FF4F6A"/>
    <w:rsid w:val="00FF5100"/>
    <w:rsid w:val="00FF558F"/>
    <w:rsid w:val="00FF56B9"/>
    <w:rsid w:val="00FF57E8"/>
    <w:rsid w:val="00FF58A0"/>
    <w:rsid w:val="00FF58C0"/>
    <w:rsid w:val="00FF5948"/>
    <w:rsid w:val="00FF65FC"/>
    <w:rsid w:val="00FF6B71"/>
    <w:rsid w:val="00FF6EDF"/>
    <w:rsid w:val="00FF6EEA"/>
    <w:rsid w:val="00FF74B0"/>
    <w:rsid w:val="00FF77DF"/>
    <w:rsid w:val="00FF7887"/>
    <w:rsid w:val="00FF7ABB"/>
    <w:rsid w:val="00FF7B99"/>
    <w:rsid w:val="00FF7D92"/>
    <w:rsid w:val="01AC7B87"/>
    <w:rsid w:val="02BC5A47"/>
    <w:rsid w:val="038756EF"/>
    <w:rsid w:val="04A19AAF"/>
    <w:rsid w:val="04BF459F"/>
    <w:rsid w:val="04C680B5"/>
    <w:rsid w:val="05FBD049"/>
    <w:rsid w:val="06DC7C1C"/>
    <w:rsid w:val="07A5272A"/>
    <w:rsid w:val="07B35F68"/>
    <w:rsid w:val="07F0363D"/>
    <w:rsid w:val="0A0E786C"/>
    <w:rsid w:val="0A74B772"/>
    <w:rsid w:val="0DB68C34"/>
    <w:rsid w:val="0E490587"/>
    <w:rsid w:val="0EA11933"/>
    <w:rsid w:val="0F968691"/>
    <w:rsid w:val="0FB0F79E"/>
    <w:rsid w:val="1056972A"/>
    <w:rsid w:val="11841532"/>
    <w:rsid w:val="11D650BF"/>
    <w:rsid w:val="11F3FC36"/>
    <w:rsid w:val="1590CB4C"/>
    <w:rsid w:val="15B293F9"/>
    <w:rsid w:val="15D5FD6D"/>
    <w:rsid w:val="169ABA49"/>
    <w:rsid w:val="16E20AEB"/>
    <w:rsid w:val="1795C046"/>
    <w:rsid w:val="190854FC"/>
    <w:rsid w:val="1A7C5420"/>
    <w:rsid w:val="1CB79C22"/>
    <w:rsid w:val="1D7F5925"/>
    <w:rsid w:val="1E2FE3C0"/>
    <w:rsid w:val="1ED3CC3E"/>
    <w:rsid w:val="1EF1FB77"/>
    <w:rsid w:val="1F07A576"/>
    <w:rsid w:val="1F8754A7"/>
    <w:rsid w:val="1FCA18AD"/>
    <w:rsid w:val="2066AB80"/>
    <w:rsid w:val="20DF2893"/>
    <w:rsid w:val="21E8D980"/>
    <w:rsid w:val="220BAD67"/>
    <w:rsid w:val="22533EB3"/>
    <w:rsid w:val="22E40F49"/>
    <w:rsid w:val="23EA804F"/>
    <w:rsid w:val="2691A7A7"/>
    <w:rsid w:val="26B6C509"/>
    <w:rsid w:val="26D05C70"/>
    <w:rsid w:val="2C8818FD"/>
    <w:rsid w:val="2D51065D"/>
    <w:rsid w:val="2ECA8D8C"/>
    <w:rsid w:val="2F719D9E"/>
    <w:rsid w:val="31B56F3A"/>
    <w:rsid w:val="332CD020"/>
    <w:rsid w:val="3402BDDE"/>
    <w:rsid w:val="34DEE29D"/>
    <w:rsid w:val="352CF62B"/>
    <w:rsid w:val="357055CA"/>
    <w:rsid w:val="35EA6B71"/>
    <w:rsid w:val="36F244F7"/>
    <w:rsid w:val="38A2F838"/>
    <w:rsid w:val="39D74573"/>
    <w:rsid w:val="3C04B035"/>
    <w:rsid w:val="3C65D0AC"/>
    <w:rsid w:val="3C9E4C8A"/>
    <w:rsid w:val="3DB42D64"/>
    <w:rsid w:val="3E2581C5"/>
    <w:rsid w:val="3E5D65CE"/>
    <w:rsid w:val="3E81A84E"/>
    <w:rsid w:val="3EC09E99"/>
    <w:rsid w:val="3F562250"/>
    <w:rsid w:val="43373914"/>
    <w:rsid w:val="44413312"/>
    <w:rsid w:val="444612BE"/>
    <w:rsid w:val="458BF655"/>
    <w:rsid w:val="4639016F"/>
    <w:rsid w:val="46765893"/>
    <w:rsid w:val="46B89AD6"/>
    <w:rsid w:val="470C14ED"/>
    <w:rsid w:val="471DB67B"/>
    <w:rsid w:val="474D9021"/>
    <w:rsid w:val="47DB09AF"/>
    <w:rsid w:val="47E65A42"/>
    <w:rsid w:val="4A4BF095"/>
    <w:rsid w:val="4A526B94"/>
    <w:rsid w:val="4BF5B8C5"/>
    <w:rsid w:val="4C83F0C2"/>
    <w:rsid w:val="4C9DDB89"/>
    <w:rsid w:val="4E7A4A9A"/>
    <w:rsid w:val="4FBC5342"/>
    <w:rsid w:val="4FCB8E4B"/>
    <w:rsid w:val="4FE1F563"/>
    <w:rsid w:val="5148FC28"/>
    <w:rsid w:val="52307215"/>
    <w:rsid w:val="529B4896"/>
    <w:rsid w:val="52F4F204"/>
    <w:rsid w:val="55B1BDBA"/>
    <w:rsid w:val="572469E1"/>
    <w:rsid w:val="575FA61F"/>
    <w:rsid w:val="57BA9CC6"/>
    <w:rsid w:val="57E88D59"/>
    <w:rsid w:val="58060911"/>
    <w:rsid w:val="59BE6D99"/>
    <w:rsid w:val="5B393D27"/>
    <w:rsid w:val="5C5C7E74"/>
    <w:rsid w:val="5CF1955E"/>
    <w:rsid w:val="5D2CDA62"/>
    <w:rsid w:val="5DBFEDA2"/>
    <w:rsid w:val="603E3645"/>
    <w:rsid w:val="607D6513"/>
    <w:rsid w:val="61A1707E"/>
    <w:rsid w:val="6299004B"/>
    <w:rsid w:val="68565C3E"/>
    <w:rsid w:val="6A95B282"/>
    <w:rsid w:val="6A97B9B4"/>
    <w:rsid w:val="6B7A1E9D"/>
    <w:rsid w:val="6CDF3160"/>
    <w:rsid w:val="6DEC4C97"/>
    <w:rsid w:val="6ED438F5"/>
    <w:rsid w:val="70576631"/>
    <w:rsid w:val="71454015"/>
    <w:rsid w:val="73FC66DE"/>
    <w:rsid w:val="74181210"/>
    <w:rsid w:val="74F3A436"/>
    <w:rsid w:val="75128604"/>
    <w:rsid w:val="75ADBAC8"/>
    <w:rsid w:val="75E28518"/>
    <w:rsid w:val="7654F482"/>
    <w:rsid w:val="76AA25F6"/>
    <w:rsid w:val="771BDD85"/>
    <w:rsid w:val="78C1E085"/>
    <w:rsid w:val="79D250F2"/>
    <w:rsid w:val="7B1A3D64"/>
    <w:rsid w:val="7CAAF578"/>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8E87659"/>
  <w14:defaultImageDpi w14:val="330"/>
  <w15:docId w15:val="{FFC97AD9-E074-442E-A975-62B8C67A5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qFormat="1"/>
    <w:lsdException w:name="annotation text" w:semiHidden="1" w:qFormat="1"/>
    <w:lsdException w:name="header" w:semiHidden="1" w:uiPriority="0" w:unhideWhenUsed="1" w:qFormat="1"/>
    <w:lsdException w:name="footer" w:semiHidden="1" w:unhideWhenUsed="1" w:qFormat="1"/>
    <w:lsdException w:name="index heading" w:semiHidden="1"/>
    <w:lsdException w:name="caption" w:semiHidden="1" w:uiPriority="0" w:unhideWhenUsed="1" w:qFormat="1"/>
    <w:lsdException w:name="table of figures" w:semiHidden="1" w:unhideWhenUsed="1"/>
    <w:lsdException w:name="envelope address" w:semiHidden="1"/>
    <w:lsdException w:name="envelope return" w:semiHidden="1"/>
    <w:lsdException w:name="footnote reference" w:semiHidden="1" w:uiPriority="0" w:unhideWhenUsed="1" w:qFormat="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lsdException w:name="toa heading" w:semiHidden="1" w:unhideWhenUsed="1"/>
    <w:lsdException w:name="List" w:semiHidden="1" w:uiPriority="0"/>
    <w:lsdException w:name="List Bullet" w:semiHidden="1" w:uiPriority="0" w:qFormat="1"/>
    <w:lsdException w:name="List Number" w:semiHidden="1" w:qFormat="1"/>
    <w:lsdException w:name="List 2" w:semiHidden="1"/>
    <w:lsdException w:name="List 3" w:semiHidden="1"/>
    <w:lsdException w:name="List 4" w:semiHidden="1"/>
    <w:lsdException w:name="List 5" w:semiHidden="1"/>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lsdException w:name="List Number 3" w:semiHidden="1"/>
    <w:lsdException w:name="List Number 4" w:semiHidden="1"/>
    <w:lsdException w:name="List Number 5" w:semiHidden="1"/>
    <w:lsdException w:name="Title" w:uiPriority="0" w:qFormat="1"/>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qFormat="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uiPriority="0"/>
    <w:lsdException w:name="Body Text 3" w:semiHidden="1"/>
    <w:lsdException w:name="Body Text Indent 2" w:semiHidden="1" w:qFormat="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iPriority="0"/>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0"/>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2891"/>
    <w:pPr>
      <w:spacing w:before="120" w:after="120" w:line="280" w:lineRule="atLeast"/>
      <w:jc w:val="both"/>
    </w:pPr>
    <w:rPr>
      <w:rFonts w:ascii="Calibri" w:eastAsiaTheme="minorEastAsia" w:hAnsi="Calibri"/>
      <w:lang w:eastAsia="en-NZ"/>
    </w:rPr>
  </w:style>
  <w:style w:type="paragraph" w:styleId="Heading1">
    <w:name w:val="heading 1"/>
    <w:aliases w:val="Heading 1 MFAT"/>
    <w:basedOn w:val="Normal"/>
    <w:next w:val="BodyText"/>
    <w:link w:val="Heading1Char"/>
    <w:qFormat/>
    <w:rsid w:val="00585FD0"/>
    <w:pPr>
      <w:keepNext/>
      <w:tabs>
        <w:tab w:val="left" w:pos="851"/>
      </w:tabs>
      <w:spacing w:before="0" w:after="360" w:line="600" w:lineRule="atLeast"/>
      <w:jc w:val="left"/>
      <w:outlineLvl w:val="0"/>
    </w:pPr>
    <w:rPr>
      <w:rFonts w:ascii="Georgia" w:eastAsiaTheme="majorEastAsia" w:hAnsi="Georgia" w:cstheme="majorBidi"/>
      <w:b/>
      <w:bCs/>
      <w:color w:val="1B556B"/>
      <w:sz w:val="48"/>
      <w:szCs w:val="28"/>
    </w:rPr>
  </w:style>
  <w:style w:type="paragraph" w:styleId="Heading2">
    <w:name w:val="heading 2"/>
    <w:aliases w:val="Heading 2 MFAT"/>
    <w:basedOn w:val="Normal"/>
    <w:next w:val="BodyText"/>
    <w:link w:val="Heading2Char"/>
    <w:qFormat/>
    <w:rsid w:val="001C01A0"/>
    <w:pPr>
      <w:keepNext/>
      <w:tabs>
        <w:tab w:val="left" w:pos="1134"/>
      </w:tabs>
      <w:spacing w:before="360" w:after="0" w:line="440" w:lineRule="atLeast"/>
      <w:jc w:val="left"/>
      <w:outlineLvl w:val="1"/>
    </w:pPr>
    <w:rPr>
      <w:rFonts w:ascii="Georgia" w:eastAsiaTheme="majorEastAsia" w:hAnsi="Georgia" w:cstheme="majorBidi"/>
      <w:b/>
      <w:bCs/>
      <w:color w:val="1B556B"/>
      <w:sz w:val="36"/>
      <w:szCs w:val="26"/>
    </w:rPr>
  </w:style>
  <w:style w:type="paragraph" w:styleId="Heading3">
    <w:name w:val="heading 3"/>
    <w:aliases w:val="Heading 3 MFAT"/>
    <w:basedOn w:val="Normal"/>
    <w:next w:val="BodyText"/>
    <w:link w:val="Heading3Char"/>
    <w:qFormat/>
    <w:rsid w:val="000E2949"/>
    <w:pPr>
      <w:keepNext/>
      <w:tabs>
        <w:tab w:val="left" w:pos="1134"/>
      </w:tabs>
      <w:spacing w:before="240" w:after="0" w:line="360" w:lineRule="atLeas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6362B4"/>
    <w:pPr>
      <w:outlineLvl w:val="3"/>
    </w:pPr>
    <w:rPr>
      <w:sz w:val="24"/>
    </w:rPr>
  </w:style>
  <w:style w:type="paragraph" w:styleId="Heading5">
    <w:name w:val="heading 5"/>
    <w:basedOn w:val="Normal"/>
    <w:next w:val="BodyText"/>
    <w:link w:val="Heading5Char"/>
    <w:qFormat/>
    <w:rsid w:val="00B71790"/>
    <w:pPr>
      <w:keepNext/>
      <w:spacing w:before="240" w:after="0" w:line="240" w:lineRule="auto"/>
      <w:jc w:val="left"/>
      <w:outlineLvl w:val="4"/>
    </w:pPr>
    <w:rPr>
      <w:rFonts w:eastAsiaTheme="majorEastAsia" w:cstheme="majorBidi"/>
      <w:i/>
      <w:sz w:val="24"/>
    </w:rPr>
  </w:style>
  <w:style w:type="paragraph" w:styleId="Heading6">
    <w:name w:val="heading 6"/>
    <w:basedOn w:val="Normal"/>
    <w:next w:val="Normal"/>
    <w:link w:val="Heading6Char"/>
    <w:qFormat/>
    <w:rsid w:val="007211FD"/>
    <w:pPr>
      <w:keepNext/>
      <w:spacing w:before="240" w:after="0"/>
      <w:jc w:val="left"/>
      <w:outlineLvl w:val="5"/>
    </w:pPr>
    <w:rPr>
      <w:rFonts w:eastAsia="Times New Roman" w:cs="Calibri"/>
      <w:bCs/>
      <w:i/>
      <w:iCs/>
      <w:szCs w:val="20"/>
      <w:lang w:eastAsia="en-US"/>
    </w:rPr>
  </w:style>
  <w:style w:type="paragraph" w:styleId="Heading7">
    <w:name w:val="heading 7"/>
    <w:aliases w:val=" Char15,Char15"/>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aliases w:val=" Char14,Char14"/>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aliases w:val=" Char13,Char13"/>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MFAT Char"/>
    <w:basedOn w:val="DefaultParagraphFont"/>
    <w:link w:val="Heading1"/>
    <w:rsid w:val="00585FD0"/>
    <w:rPr>
      <w:rFonts w:ascii="Georgia" w:eastAsiaTheme="majorEastAsia" w:hAnsi="Georgia" w:cstheme="majorBidi"/>
      <w:b/>
      <w:bCs/>
      <w:color w:val="1B556B"/>
      <w:sz w:val="48"/>
      <w:szCs w:val="28"/>
      <w:lang w:eastAsia="en-NZ"/>
    </w:rPr>
  </w:style>
  <w:style w:type="character" w:customStyle="1" w:styleId="Heading2Char">
    <w:name w:val="Heading 2 Char"/>
    <w:aliases w:val="Heading 2 MFAT Char"/>
    <w:basedOn w:val="DefaultParagraphFont"/>
    <w:link w:val="Heading2"/>
    <w:rsid w:val="001C01A0"/>
    <w:rPr>
      <w:rFonts w:ascii="Georgia" w:eastAsiaTheme="majorEastAsia" w:hAnsi="Georgia" w:cstheme="majorBidi"/>
      <w:b/>
      <w:bCs/>
      <w:color w:val="1B556B"/>
      <w:sz w:val="36"/>
      <w:szCs w:val="26"/>
      <w:lang w:eastAsia="en-NZ"/>
    </w:rPr>
  </w:style>
  <w:style w:type="character" w:customStyle="1" w:styleId="Heading3Char">
    <w:name w:val="Heading 3 Char"/>
    <w:aliases w:val="Heading 3 MFAT Char"/>
    <w:basedOn w:val="DefaultParagraphFont"/>
    <w:link w:val="Heading3"/>
    <w:rsid w:val="000E2949"/>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5A281A"/>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B71790"/>
    <w:rPr>
      <w:rFonts w:ascii="Calibri" w:eastAsiaTheme="majorEastAsia" w:hAnsi="Calibri" w:cstheme="majorBidi"/>
      <w:i/>
      <w:sz w:val="24"/>
      <w:lang w:eastAsia="en-NZ"/>
    </w:rPr>
  </w:style>
  <w:style w:type="paragraph" w:styleId="BodyText">
    <w:name w:val="Body Text"/>
    <w:aliases w:val="Body Text MFAT"/>
    <w:basedOn w:val="Normal"/>
    <w:link w:val="BodyTextChar"/>
    <w:qFormat/>
    <w:rsid w:val="00EA64B4"/>
    <w:pPr>
      <w:jc w:val="left"/>
    </w:pPr>
  </w:style>
  <w:style w:type="character" w:customStyle="1" w:styleId="BodyTextChar">
    <w:name w:val="Body Text Char"/>
    <w:aliases w:val="Body Text MFAT Char"/>
    <w:basedOn w:val="DefaultParagraphFont"/>
    <w:link w:val="BodyText"/>
    <w:rsid w:val="00EA64B4"/>
    <w:rPr>
      <w:rFonts w:ascii="Calibri" w:eastAsiaTheme="minorEastAsia" w:hAnsi="Calibri"/>
      <w:lang w:eastAsia="en-NZ"/>
    </w:rPr>
  </w:style>
  <w:style w:type="table" w:styleId="TableGrid">
    <w:name w:val="Table Grid"/>
    <w:aliases w:val="RS Table Grid a"/>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er MFAT"/>
    <w:basedOn w:val="Normal"/>
    <w:link w:val="HeaderChar"/>
    <w:qFormat/>
    <w:rsid w:val="00EA64B4"/>
    <w:pPr>
      <w:jc w:val="center"/>
    </w:pPr>
    <w:rPr>
      <w:rFonts w:ascii="Arial" w:hAnsi="Arial"/>
      <w:sz w:val="16"/>
    </w:rPr>
  </w:style>
  <w:style w:type="character" w:customStyle="1" w:styleId="HeaderChar">
    <w:name w:val="Header Char"/>
    <w:aliases w:val="Header MFAT Char"/>
    <w:basedOn w:val="DefaultParagraphFont"/>
    <w:link w:val="Header"/>
    <w:rsid w:val="00F03FF2"/>
    <w:rPr>
      <w:rFonts w:ascii="Arial" w:eastAsiaTheme="minorEastAsia" w:hAnsi="Arial"/>
      <w:sz w:val="16"/>
      <w:lang w:eastAsia="en-NZ"/>
    </w:rPr>
  </w:style>
  <w:style w:type="paragraph" w:styleId="Quote">
    <w:name w:val="Quote"/>
    <w:basedOn w:val="Normal"/>
    <w:next w:val="BodyText"/>
    <w:link w:val="QuoteChar"/>
    <w:uiPriority w:val="29"/>
    <w:qFormat/>
    <w:rsid w:val="00684D9B"/>
    <w:pPr>
      <w:spacing w:before="60" w:after="60"/>
      <w:ind w:left="567" w:right="567"/>
      <w:jc w:val="left"/>
    </w:pPr>
    <w:rPr>
      <w:sz w:val="20"/>
    </w:rPr>
  </w:style>
  <w:style w:type="character" w:customStyle="1" w:styleId="QuoteChar">
    <w:name w:val="Quote Char"/>
    <w:basedOn w:val="DefaultParagraphFont"/>
    <w:link w:val="Quote"/>
    <w:uiPriority w:val="29"/>
    <w:rsid w:val="00082891"/>
    <w:rPr>
      <w:rFonts w:ascii="Calibri" w:eastAsiaTheme="minorEastAsia" w:hAnsi="Calibri"/>
      <w:sz w:val="20"/>
      <w:lang w:eastAsia="en-NZ"/>
    </w:rPr>
  </w:style>
  <w:style w:type="paragraph" w:customStyle="1" w:styleId="Bullet">
    <w:name w:val="Bullet"/>
    <w:basedOn w:val="Normal"/>
    <w:link w:val="BulletChar"/>
    <w:qFormat/>
    <w:rsid w:val="002F512B"/>
    <w:pPr>
      <w:numPr>
        <w:numId w:val="13"/>
      </w:numPr>
      <w:spacing w:before="0"/>
      <w:jc w:val="left"/>
    </w:pPr>
    <w:rPr>
      <w:rFonts w:eastAsia="Times New Roman" w:cs="Times New Roman"/>
      <w:szCs w:val="20"/>
    </w:rPr>
  </w:style>
  <w:style w:type="paragraph" w:customStyle="1" w:styleId="Heading">
    <w:name w:val="Heading"/>
    <w:basedOn w:val="Heading1"/>
    <w:next w:val="Normal"/>
    <w:semiHidden/>
    <w:rsid w:val="00F06E0B"/>
  </w:style>
  <w:style w:type="paragraph" w:styleId="Footer">
    <w:name w:val="footer"/>
    <w:aliases w:val=" Char10,Char10,Footer MFAT"/>
    <w:basedOn w:val="Normal"/>
    <w:link w:val="FooterChar"/>
    <w:uiPriority w:val="99"/>
    <w:qFormat/>
    <w:rsid w:val="00EA64B4"/>
    <w:pPr>
      <w:tabs>
        <w:tab w:val="center" w:pos="4153"/>
        <w:tab w:val="right" w:pos="8306"/>
      </w:tabs>
    </w:pPr>
  </w:style>
  <w:style w:type="character" w:customStyle="1" w:styleId="FooterChar">
    <w:name w:val="Footer Char"/>
    <w:aliases w:val=" Char10 Char,Char10 Char,Footer MFAT Char"/>
    <w:basedOn w:val="DefaultParagraphFont"/>
    <w:link w:val="Footer"/>
    <w:uiPriority w:val="99"/>
    <w:rsid w:val="00F03FF2"/>
    <w:rPr>
      <w:rFonts w:ascii="Calibri" w:eastAsiaTheme="minorEastAsia" w:hAnsi="Calibri"/>
      <w:lang w:eastAsia="en-NZ"/>
    </w:rPr>
  </w:style>
  <w:style w:type="paragraph" w:customStyle="1" w:styleId="Sub-list">
    <w:name w:val="Sub-list"/>
    <w:basedOn w:val="Normal"/>
    <w:qFormat/>
    <w:rsid w:val="006065E8"/>
    <w:pPr>
      <w:numPr>
        <w:numId w:val="3"/>
      </w:numPr>
      <w:tabs>
        <w:tab w:val="left" w:pos="794"/>
      </w:tabs>
      <w:spacing w:before="0"/>
      <w:jc w:val="left"/>
    </w:pPr>
  </w:style>
  <w:style w:type="paragraph" w:customStyle="1" w:styleId="Figureheading">
    <w:name w:val="Figure heading"/>
    <w:basedOn w:val="Normal"/>
    <w:next w:val="BodyText"/>
    <w:link w:val="FigureheadingChar"/>
    <w:qFormat/>
    <w:rsid w:val="00201256"/>
    <w:pPr>
      <w:keepNext/>
      <w:spacing w:line="260" w:lineRule="atLeast"/>
      <w:ind w:left="1134" w:hanging="1134"/>
      <w:jc w:val="left"/>
    </w:pPr>
    <w:rPr>
      <w:b/>
      <w:sz w:val="20"/>
    </w:rPr>
  </w:style>
  <w:style w:type="character" w:styleId="FootnoteReference">
    <w:name w:val="footnote reference"/>
    <w:qFormat/>
    <w:rsid w:val="00EA0E75"/>
    <w:rPr>
      <w:rFonts w:ascii="Calibri" w:hAnsi="Calibri"/>
      <w:color w:val="auto"/>
      <w:sz w:val="22"/>
      <w:vertAlign w:val="superscript"/>
    </w:rPr>
  </w:style>
  <w:style w:type="paragraph" w:styleId="FootnoteText">
    <w:name w:val="footnote text"/>
    <w:basedOn w:val="Normal"/>
    <w:link w:val="FootnoteTextChar"/>
    <w:uiPriority w:val="99"/>
    <w:qFormat/>
    <w:rsid w:val="00DB22FB"/>
    <w:pPr>
      <w:spacing w:before="0" w:after="60" w:line="240" w:lineRule="atLeast"/>
      <w:ind w:left="397" w:hanging="397"/>
      <w:jc w:val="left"/>
    </w:pPr>
    <w:rPr>
      <w:sz w:val="19"/>
    </w:rPr>
  </w:style>
  <w:style w:type="character" w:customStyle="1" w:styleId="FootnoteTextChar">
    <w:name w:val="Footnote Text Char"/>
    <w:basedOn w:val="DefaultParagraphFont"/>
    <w:link w:val="FootnoteText"/>
    <w:uiPriority w:val="99"/>
    <w:rsid w:val="00DB22FB"/>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semiHidden/>
    <w:rsid w:val="00EA64B4"/>
    <w:pPr>
      <w:jc w:val="left"/>
    </w:pPr>
  </w:style>
  <w:style w:type="paragraph" w:customStyle="1" w:styleId="Note">
    <w:name w:val="Note"/>
    <w:basedOn w:val="BodyText"/>
    <w:next w:val="Normal"/>
    <w:link w:val="NoteChar"/>
    <w:uiPriority w:val="1"/>
    <w:qFormat/>
    <w:rsid w:val="008D042E"/>
    <w:pPr>
      <w:spacing w:line="240" w:lineRule="atLeast"/>
    </w:pPr>
    <w:rPr>
      <w:sz w:val="18"/>
    </w:rPr>
  </w:style>
  <w:style w:type="paragraph" w:customStyle="1" w:styleId="References">
    <w:name w:val="References"/>
    <w:basedOn w:val="Normal"/>
    <w:link w:val="ReferencesChar"/>
    <w:uiPriority w:val="99"/>
    <w:qFormat/>
    <w:rsid w:val="00554B30"/>
    <w:pPr>
      <w:spacing w:before="0" w:line="260" w:lineRule="atLeast"/>
      <w:jc w:val="left"/>
    </w:pPr>
    <w:rPr>
      <w:sz w:val="20"/>
    </w:rPr>
  </w:style>
  <w:style w:type="paragraph" w:customStyle="1" w:styleId="Source">
    <w:name w:val="Source"/>
    <w:basedOn w:val="Normal"/>
    <w:next w:val="Normal"/>
    <w:uiPriority w:val="1"/>
    <w:qFormat/>
    <w:rsid w:val="008D042E"/>
    <w:pPr>
      <w:tabs>
        <w:tab w:val="left" w:pos="680"/>
      </w:tabs>
      <w:spacing w:line="240" w:lineRule="atLeast"/>
      <w:jc w:val="left"/>
    </w:pPr>
    <w:rPr>
      <w:sz w:val="18"/>
    </w:rPr>
  </w:style>
  <w:style w:type="paragraph" w:styleId="Title">
    <w:name w:val="Title"/>
    <w:aliases w:val="Title MFAT"/>
    <w:basedOn w:val="Normal"/>
    <w:link w:val="TitleChar"/>
    <w:uiPriority w:val="2"/>
    <w:qFormat/>
    <w:rsid w:val="004A3CC2"/>
    <w:pPr>
      <w:spacing w:line="360" w:lineRule="auto"/>
      <w:jc w:val="center"/>
    </w:pPr>
    <w:rPr>
      <w:rFonts w:ascii="Georgia" w:hAnsi="Georgia"/>
      <w:b/>
      <w:color w:val="1B556B"/>
      <w:sz w:val="56"/>
    </w:rPr>
  </w:style>
  <w:style w:type="character" w:customStyle="1" w:styleId="TitleChar">
    <w:name w:val="Title Char"/>
    <w:aliases w:val="Title MFAT Char"/>
    <w:basedOn w:val="DefaultParagraphFont"/>
    <w:link w:val="Title"/>
    <w:uiPriority w:val="2"/>
    <w:rsid w:val="00082891"/>
    <w:rPr>
      <w:rFonts w:ascii="Georgia" w:eastAsiaTheme="minorEastAsia" w:hAnsi="Georgia"/>
      <w:b/>
      <w:color w:val="1B556B"/>
      <w:sz w:val="56"/>
      <w:lang w:eastAsia="en-NZ"/>
    </w:rPr>
  </w:style>
  <w:style w:type="paragraph" w:styleId="Subtitle">
    <w:name w:val="Subtitle"/>
    <w:basedOn w:val="Title"/>
    <w:link w:val="SubtitleChar"/>
    <w:qFormat/>
    <w:rsid w:val="004A3CC2"/>
    <w:pPr>
      <w:spacing w:before="600" w:line="240" w:lineRule="auto"/>
    </w:pPr>
    <w:rPr>
      <w:sz w:val="36"/>
      <w:szCs w:val="36"/>
    </w:rPr>
  </w:style>
  <w:style w:type="character" w:customStyle="1" w:styleId="SubtitleChar">
    <w:name w:val="Subtitle Char"/>
    <w:basedOn w:val="DefaultParagraphFont"/>
    <w:link w:val="Subtitle"/>
    <w:rsid w:val="00082891"/>
    <w:rPr>
      <w:rFonts w:ascii="Georgia" w:eastAsiaTheme="minorEastAsia" w:hAnsi="Georgia"/>
      <w:b/>
      <w:color w:val="1B556B"/>
      <w:sz w:val="36"/>
      <w:szCs w:val="36"/>
      <w:lang w:eastAsia="en-NZ"/>
    </w:rPr>
  </w:style>
  <w:style w:type="paragraph" w:customStyle="1" w:styleId="Tableheading">
    <w:name w:val="Table heading"/>
    <w:basedOn w:val="Normal"/>
    <w:next w:val="Normal"/>
    <w:link w:val="TableheadingChar"/>
    <w:qFormat/>
    <w:rsid w:val="00EA64B4"/>
    <w:pPr>
      <w:keepNext/>
      <w:ind w:left="1134" w:hanging="1134"/>
      <w:jc w:val="left"/>
    </w:pPr>
    <w:rPr>
      <w:b/>
      <w:sz w:val="20"/>
    </w:rPr>
  </w:style>
  <w:style w:type="paragraph" w:customStyle="1" w:styleId="TableText">
    <w:name w:val="TableText"/>
    <w:basedOn w:val="Normal"/>
    <w:link w:val="TableTextChar"/>
    <w:qFormat/>
    <w:rsid w:val="00EA64B4"/>
    <w:pPr>
      <w:spacing w:before="60" w:after="60" w:line="240" w:lineRule="atLeast"/>
      <w:jc w:val="left"/>
    </w:pPr>
    <w:rPr>
      <w:sz w:val="18"/>
    </w:rPr>
  </w:style>
  <w:style w:type="paragraph" w:customStyle="1" w:styleId="TableTextbold">
    <w:name w:val="TableText bold"/>
    <w:basedOn w:val="TableText"/>
    <w:link w:val="TableTextboldChar"/>
    <w:qFormat/>
    <w:rsid w:val="00EA64B4"/>
    <w:rPr>
      <w:b/>
    </w:rPr>
  </w:style>
  <w:style w:type="paragraph" w:styleId="TOC1">
    <w:name w:val="toc 1"/>
    <w:basedOn w:val="Normal"/>
    <w:next w:val="Normal"/>
    <w:uiPriority w:val="39"/>
    <w:qFormat/>
    <w:rsid w:val="003115EB"/>
    <w:pPr>
      <w:tabs>
        <w:tab w:val="left" w:pos="567"/>
        <w:tab w:val="right" w:pos="8505"/>
      </w:tabs>
      <w:spacing w:before="280" w:after="0" w:line="240" w:lineRule="auto"/>
      <w:ind w:right="567"/>
      <w:jc w:val="left"/>
    </w:pPr>
    <w:rPr>
      <w:kern w:val="2"/>
      <w:szCs w:val="24"/>
      <w14:ligatures w14:val="standardContextual"/>
    </w:rPr>
  </w:style>
  <w:style w:type="paragraph" w:styleId="TOC2">
    <w:name w:val="toc 2"/>
    <w:basedOn w:val="Normal"/>
    <w:next w:val="Normal"/>
    <w:uiPriority w:val="39"/>
    <w:qFormat/>
    <w:rsid w:val="006523C6"/>
    <w:pPr>
      <w:tabs>
        <w:tab w:val="right" w:pos="8505"/>
      </w:tabs>
      <w:spacing w:before="60" w:after="60" w:line="240" w:lineRule="auto"/>
      <w:ind w:left="1247" w:right="567" w:hanging="680"/>
      <w:jc w:val="left"/>
    </w:pPr>
    <w:rPr>
      <w:noProof/>
    </w:r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link w:val="FooteroddChar"/>
    <w:uiPriority w:val="2"/>
    <w:qFormat/>
    <w:rsid w:val="00EA64B4"/>
    <w:pPr>
      <w:tabs>
        <w:tab w:val="right" w:pos="7938"/>
        <w:tab w:val="right" w:pos="8505"/>
      </w:tabs>
      <w:jc w:val="left"/>
    </w:pPr>
    <w:rPr>
      <w:sz w:val="16"/>
    </w:rPr>
  </w:style>
  <w:style w:type="paragraph" w:customStyle="1" w:styleId="Footereven">
    <w:name w:val="Footer even"/>
    <w:basedOn w:val="Normal"/>
    <w:uiPriority w:val="2"/>
    <w:qFormat/>
    <w:rsid w:val="00EA64B4"/>
    <w:pPr>
      <w:tabs>
        <w:tab w:val="left" w:pos="567"/>
      </w:tabs>
    </w:pPr>
    <w:rPr>
      <w:sz w:val="16"/>
    </w:rPr>
  </w:style>
  <w:style w:type="paragraph" w:customStyle="1" w:styleId="Numberedparagraph">
    <w:name w:val="Numbered paragraph"/>
    <w:basedOn w:val="Normal"/>
    <w:uiPriority w:val="1"/>
    <w:qFormat/>
    <w:rsid w:val="005B6698"/>
    <w:pPr>
      <w:numPr>
        <w:numId w:val="4"/>
      </w:numPr>
      <w:spacing w:before="0"/>
      <w:jc w:val="left"/>
    </w:pPr>
  </w:style>
  <w:style w:type="paragraph" w:customStyle="1" w:styleId="Sub-lista">
    <w:name w:val="Sub-list a"/>
    <w:aliases w:val="b"/>
    <w:basedOn w:val="Normal"/>
    <w:uiPriority w:val="2"/>
    <w:rsid w:val="00E21ACA"/>
    <w:pPr>
      <w:numPr>
        <w:numId w:val="5"/>
      </w:numPr>
      <w:spacing w:before="0"/>
      <w:ind w:left="794" w:hanging="397"/>
      <w:jc w:val="left"/>
    </w:pPr>
  </w:style>
  <w:style w:type="paragraph" w:styleId="EndnoteText">
    <w:name w:val="endnote text"/>
    <w:aliases w:val=" Char3,Char3"/>
    <w:basedOn w:val="Normal"/>
    <w:link w:val="EndnoteTextChar"/>
    <w:semiHidden/>
    <w:rsid w:val="00EA64B4"/>
    <w:pPr>
      <w:spacing w:after="60"/>
    </w:pPr>
    <w:rPr>
      <w:sz w:val="20"/>
    </w:rPr>
  </w:style>
  <w:style w:type="character" w:customStyle="1" w:styleId="EndnoteTextChar">
    <w:name w:val="Endnote Text Char"/>
    <w:aliases w:val=" Char3 Char,Char3 Char"/>
    <w:basedOn w:val="DefaultParagraphFont"/>
    <w:link w:val="EndnoteText"/>
    <w:semiHidden/>
    <w:rsid w:val="00EA64B4"/>
    <w:rPr>
      <w:rFonts w:ascii="Calibri" w:eastAsiaTheme="minorEastAsia" w:hAnsi="Calibri"/>
      <w:sz w:val="20"/>
      <w:lang w:eastAsia="en-NZ"/>
    </w:rPr>
  </w:style>
  <w:style w:type="paragraph" w:styleId="TOC3">
    <w:name w:val="toc 3"/>
    <w:basedOn w:val="TOC2"/>
    <w:next w:val="Normal"/>
    <w:autoRedefine/>
    <w:uiPriority w:val="39"/>
    <w:qFormat/>
    <w:rsid w:val="00DB44D3"/>
    <w:pPr>
      <w:ind w:left="1985" w:hanging="737"/>
    </w:pPr>
  </w:style>
  <w:style w:type="paragraph" w:styleId="TableofFigures">
    <w:name w:val="table of figures"/>
    <w:basedOn w:val="Normal"/>
    <w:next w:val="Normal"/>
    <w:uiPriority w:val="99"/>
    <w:rsid w:val="00F71FC3"/>
    <w:pPr>
      <w:spacing w:before="0"/>
      <w:ind w:left="1304" w:right="567" w:hanging="1304"/>
      <w:jc w:val="left"/>
    </w:pPr>
  </w:style>
  <w:style w:type="paragraph" w:customStyle="1" w:styleId="Sub-listi">
    <w:name w:val="Sub-list i"/>
    <w:aliases w:val="ii"/>
    <w:basedOn w:val="BodyText"/>
    <w:rsid w:val="00EA64B4"/>
    <w:pPr>
      <w:numPr>
        <w:numId w:val="6"/>
      </w:numPr>
      <w:spacing w:before="60" w:after="60"/>
    </w:pPr>
  </w:style>
  <w:style w:type="paragraph" w:customStyle="1" w:styleId="TableBullet">
    <w:name w:val="TableBullet"/>
    <w:basedOn w:val="Normal"/>
    <w:qFormat/>
    <w:rsid w:val="00523DFA"/>
    <w:pPr>
      <w:numPr>
        <w:numId w:val="7"/>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8"/>
      </w:numPr>
      <w:ind w:left="568" w:hanging="284"/>
    </w:pPr>
  </w:style>
  <w:style w:type="paragraph" w:styleId="ListParagraph">
    <w:name w:val="List Paragraph"/>
    <w:aliases w:val="List Paragraph1,Recommendation,List Paragraph11,TOC style,lp1,Bullet OSM,Proposal Bullet List,Rec para,Dot pt,F5 List Paragraph,List Paragraph Char Char Char,Indicator Text,Numbered Para 1,Colorful List - Accent 11,L,bulleted list,Body,列出"/>
    <w:basedOn w:val="Normal"/>
    <w:link w:val="ListParagraphChar"/>
    <w:uiPriority w:val="34"/>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aliases w:val=" Char5,Char5"/>
    <w:basedOn w:val="Normal"/>
    <w:link w:val="CommentSubjectChar"/>
    <w:semiHidden/>
    <w:rsid w:val="00E21ACA"/>
    <w:rPr>
      <w:b/>
      <w:bCs/>
      <w:sz w:val="20"/>
    </w:rPr>
  </w:style>
  <w:style w:type="character" w:customStyle="1" w:styleId="CommentSubjectChar">
    <w:name w:val="Comment Subject Char"/>
    <w:aliases w:val=" Char5 Char,Char5 Char"/>
    <w:basedOn w:val="DefaultParagraphFont"/>
    <w:link w:val="CommentSubject"/>
    <w:semiHidden/>
    <w:rsid w:val="00AB54D7"/>
    <w:rPr>
      <w:rFonts w:ascii="Calibri" w:eastAsiaTheme="minorEastAsia" w:hAnsi="Calibri"/>
      <w:b/>
      <w:bCs/>
      <w:sz w:val="20"/>
      <w:lang w:eastAsia="en-NZ"/>
    </w:rPr>
  </w:style>
  <w:style w:type="paragraph" w:styleId="BalloonText">
    <w:name w:val="Balloon Text"/>
    <w:aliases w:val=" Char6,Char6"/>
    <w:basedOn w:val="Normal"/>
    <w:link w:val="BalloonTextChar"/>
    <w:semiHidden/>
    <w:unhideWhenUsed/>
    <w:rsid w:val="00EA64B4"/>
    <w:rPr>
      <w:rFonts w:ascii="Tahoma" w:hAnsi="Tahoma"/>
      <w:sz w:val="16"/>
      <w:szCs w:val="16"/>
    </w:rPr>
  </w:style>
  <w:style w:type="character" w:customStyle="1" w:styleId="BalloonTextChar">
    <w:name w:val="Balloon Text Char"/>
    <w:aliases w:val=" Char6 Char,Char6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qFormat/>
    <w:rsid w:val="00EA64B4"/>
    <w:rPr>
      <w:b/>
      <w:bCs/>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character" w:customStyle="1" w:styleId="Heading6Char">
    <w:name w:val="Heading 6 Char"/>
    <w:basedOn w:val="DefaultParagraphFont"/>
    <w:link w:val="Heading6"/>
    <w:rsid w:val="007211FD"/>
    <w:rPr>
      <w:rFonts w:ascii="Calibri" w:eastAsia="Times New Roman" w:hAnsi="Calibri" w:cs="Calibri"/>
      <w:bCs/>
      <w:i/>
      <w:iCs/>
      <w:szCs w:val="20"/>
    </w:rPr>
  </w:style>
  <w:style w:type="character" w:customStyle="1" w:styleId="Heading7Char">
    <w:name w:val="Heading 7 Char"/>
    <w:aliases w:val=" Char15 Char,Char15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aliases w:val=" Char14 Char,Char14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aliases w:val=" Char13 Char,Char13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uiPriority w:val="39"/>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aliases w:val="Caption MFAT"/>
    <w:basedOn w:val="Normal"/>
    <w:next w:val="Normal"/>
    <w:link w:val="CaptionChar"/>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2F512B"/>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style>
  <w:style w:type="numbering" w:customStyle="1" w:styleId="Style2">
    <w:name w:val="Style2"/>
    <w:uiPriority w:val="99"/>
    <w:rsid w:val="008E0688"/>
    <w:pPr>
      <w:numPr>
        <w:numId w:val="10"/>
      </w:numPr>
    </w:pPr>
  </w:style>
  <w:style w:type="paragraph" w:customStyle="1" w:styleId="Greenbullet-casestudytables">
    <w:name w:val="Green bullet - case study tables"/>
    <w:basedOn w:val="Greentext-casestudytables"/>
    <w:uiPriority w:val="1"/>
    <w:semiHidden/>
    <w:rsid w:val="00C15722"/>
    <w:pPr>
      <w:numPr>
        <w:numId w:val="11"/>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12"/>
      </w:numPr>
    </w:pPr>
  </w:style>
  <w:style w:type="paragraph" w:customStyle="1" w:styleId="Boxtext">
    <w:name w:val="Box text"/>
    <w:basedOn w:val="Normal"/>
    <w:uiPriority w:val="1"/>
    <w:qFormat/>
    <w:rsid w:val="00DB6A2B"/>
    <w:pPr>
      <w:spacing w:line="260" w:lineRule="atLeast"/>
      <w:ind w:left="284" w:right="284"/>
      <w:jc w:val="left"/>
    </w:pPr>
    <w:rPr>
      <w:color w:val="1B556B"/>
      <w:sz w:val="20"/>
    </w:rPr>
  </w:style>
  <w:style w:type="paragraph" w:customStyle="1" w:styleId="Boxbullet">
    <w:name w:val="Box bullet"/>
    <w:basedOn w:val="Boxtext"/>
    <w:link w:val="BoxbulletChar"/>
    <w:uiPriority w:val="1"/>
    <w:qFormat/>
    <w:rsid w:val="005D3242"/>
    <w:pPr>
      <w:numPr>
        <w:numId w:val="2"/>
      </w:numPr>
      <w:tabs>
        <w:tab w:val="left" w:pos="680"/>
      </w:tabs>
      <w:spacing w:before="0"/>
      <w:ind w:left="681" w:hanging="397"/>
    </w:pPr>
    <w:rPr>
      <w:rFonts w:cs="Times New Roman"/>
      <w:szCs w:val="20"/>
    </w:rPr>
  </w:style>
  <w:style w:type="paragraph" w:customStyle="1" w:styleId="Boxheading">
    <w:name w:val="Box heading"/>
    <w:basedOn w:val="Boxtext"/>
    <w:next w:val="Boxtext"/>
    <w:link w:val="BoxheadingChar"/>
    <w:uiPriority w:val="11"/>
    <w:qFormat/>
    <w:rsid w:val="00DB6A2B"/>
    <w:pPr>
      <w:keepNext/>
      <w:spacing w:before="240" w:after="0"/>
    </w:pPr>
    <w:rPr>
      <w:rFonts w:cs="Times New Roman"/>
      <w:b/>
      <w:sz w:val="22"/>
      <w:szCs w:val="20"/>
    </w:rPr>
  </w:style>
  <w:style w:type="paragraph" w:customStyle="1" w:styleId="Boxsub-bullet">
    <w:name w:val="Box sub-bullet"/>
    <w:basedOn w:val="Boxtext"/>
    <w:uiPriority w:val="1"/>
    <w:qFormat/>
    <w:rsid w:val="00DB6A2B"/>
    <w:pPr>
      <w:numPr>
        <w:numId w:val="14"/>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15"/>
      </w:numPr>
      <w:spacing w:before="0"/>
      <w:ind w:left="1077" w:hanging="397"/>
    </w:pPr>
  </w:style>
  <w:style w:type="character" w:customStyle="1" w:styleId="TableheadingChar">
    <w:name w:val="Table heading Char"/>
    <w:basedOn w:val="DefaultParagraphFont"/>
    <w:link w:val="Tableheading"/>
    <w:rsid w:val="00B55611"/>
    <w:rPr>
      <w:rFonts w:ascii="Calibri" w:eastAsiaTheme="minorEastAsia" w:hAnsi="Calibri"/>
      <w:b/>
      <w:sz w:val="20"/>
      <w:lang w:eastAsia="en-NZ"/>
    </w:rPr>
  </w:style>
  <w:style w:type="character" w:customStyle="1" w:styleId="TableTextChar">
    <w:name w:val="TableText Char"/>
    <w:basedOn w:val="DefaultParagraphFont"/>
    <w:link w:val="TableText"/>
    <w:rsid w:val="00B55611"/>
    <w:rPr>
      <w:rFonts w:ascii="Calibri" w:eastAsiaTheme="minorEastAsia" w:hAnsi="Calibri"/>
      <w:sz w:val="18"/>
      <w:lang w:eastAsia="en-NZ"/>
    </w:rPr>
  </w:style>
  <w:style w:type="paragraph" w:customStyle="1" w:styleId="TableTextBold0">
    <w:name w:val="TableText Bold"/>
    <w:basedOn w:val="TableText"/>
    <w:link w:val="TableTextBoldChar0"/>
    <w:qFormat/>
    <w:rsid w:val="00B55611"/>
    <w:pPr>
      <w:tabs>
        <w:tab w:val="left" w:pos="567"/>
      </w:tabs>
    </w:pPr>
    <w:rPr>
      <w:rFonts w:eastAsia="Times New Roman" w:cs="Calibri"/>
      <w:b/>
      <w:szCs w:val="20"/>
      <w:lang w:eastAsia="en-US"/>
    </w:rPr>
  </w:style>
  <w:style w:type="character" w:customStyle="1" w:styleId="TableTextBoldChar0">
    <w:name w:val="TableText Bold Char"/>
    <w:link w:val="TableTextBold0"/>
    <w:rsid w:val="00082891"/>
    <w:rPr>
      <w:rFonts w:ascii="Calibri" w:eastAsia="Times New Roman" w:hAnsi="Calibri" w:cs="Calibri"/>
      <w:b/>
      <w:sz w:val="18"/>
      <w:szCs w:val="20"/>
    </w:rPr>
  </w:style>
  <w:style w:type="character" w:customStyle="1" w:styleId="FigureheadingChar">
    <w:name w:val="Figure heading Char"/>
    <w:link w:val="Figureheading"/>
    <w:locked/>
    <w:rsid w:val="00201256"/>
    <w:rPr>
      <w:rFonts w:ascii="Calibri" w:eastAsiaTheme="minorEastAsia" w:hAnsi="Calibri"/>
      <w:b/>
      <w:sz w:val="20"/>
      <w:lang w:eastAsia="en-NZ"/>
    </w:rPr>
  </w:style>
  <w:style w:type="character" w:customStyle="1" w:styleId="FooteroddChar">
    <w:name w:val="Footer odd Char"/>
    <w:basedOn w:val="DefaultParagraphFont"/>
    <w:link w:val="Footerodd"/>
    <w:uiPriority w:val="2"/>
    <w:rsid w:val="00B55611"/>
    <w:rPr>
      <w:rFonts w:ascii="Calibri" w:eastAsiaTheme="minorEastAsia" w:hAnsi="Calibri"/>
      <w:sz w:val="16"/>
      <w:lang w:eastAsia="en-NZ"/>
    </w:rPr>
  </w:style>
  <w:style w:type="paragraph" w:customStyle="1" w:styleId="Noteundertable">
    <w:name w:val="Note under table"/>
    <w:basedOn w:val="Note"/>
    <w:link w:val="NoteundertableChar"/>
    <w:qFormat/>
    <w:rsid w:val="00B55611"/>
    <w:pPr>
      <w:widowControl w:val="0"/>
      <w:tabs>
        <w:tab w:val="left" w:pos="567"/>
      </w:tabs>
      <w:adjustRightInd w:val="0"/>
      <w:spacing w:line="240" w:lineRule="auto"/>
      <w:ind w:left="567" w:hanging="567"/>
      <w:textAlignment w:val="baseline"/>
    </w:pPr>
    <w:rPr>
      <w:rFonts w:eastAsia="Times New Roman" w:cs="Times New Roman"/>
    </w:rPr>
  </w:style>
  <w:style w:type="character" w:customStyle="1" w:styleId="NoteundertableChar">
    <w:name w:val="Note under table Char"/>
    <w:basedOn w:val="DefaultParagraphFont"/>
    <w:link w:val="Noteundertable"/>
    <w:rsid w:val="00B55611"/>
    <w:rPr>
      <w:rFonts w:ascii="Calibri" w:eastAsia="Times New Roman" w:hAnsi="Calibri" w:cs="Times New Roman"/>
      <w:sz w:val="18"/>
      <w:lang w:eastAsia="en-NZ"/>
    </w:rPr>
  </w:style>
  <w:style w:type="paragraph" w:customStyle="1" w:styleId="Tableboldblue">
    <w:name w:val="Table bold blue"/>
    <w:basedOn w:val="Normal"/>
    <w:qFormat/>
    <w:rsid w:val="00D41906"/>
    <w:pPr>
      <w:spacing w:before="60" w:after="60" w:line="240" w:lineRule="auto"/>
      <w:jc w:val="left"/>
    </w:pPr>
    <w:rPr>
      <w:rFonts w:eastAsia="Calibri" w:cs="Calibri"/>
      <w:b/>
      <w:color w:val="1B556B" w:themeColor="text2"/>
      <w:sz w:val="18"/>
      <w:szCs w:val="24"/>
      <w:lang w:eastAsia="en-US"/>
    </w:rPr>
  </w:style>
  <w:style w:type="paragraph" w:styleId="CommentText">
    <w:name w:val="annotation text"/>
    <w:aliases w:val="Char7"/>
    <w:basedOn w:val="Normal"/>
    <w:link w:val="CommentTextChar"/>
    <w:uiPriority w:val="99"/>
    <w:qFormat/>
    <w:pPr>
      <w:spacing w:line="240" w:lineRule="auto"/>
    </w:pPr>
    <w:rPr>
      <w:sz w:val="20"/>
      <w:szCs w:val="20"/>
    </w:rPr>
  </w:style>
  <w:style w:type="character" w:customStyle="1" w:styleId="CommentTextChar">
    <w:name w:val="Comment Text Char"/>
    <w:aliases w:val="Char7 Char"/>
    <w:basedOn w:val="DefaultParagraphFont"/>
    <w:link w:val="CommentText"/>
    <w:uiPriority w:val="99"/>
    <w:qFormat/>
    <w:rsid w:val="00082891"/>
    <w:rPr>
      <w:rFonts w:ascii="Calibri" w:eastAsiaTheme="minorEastAsia" w:hAnsi="Calibri"/>
      <w:sz w:val="20"/>
      <w:szCs w:val="20"/>
      <w:lang w:eastAsia="en-NZ"/>
    </w:rPr>
  </w:style>
  <w:style w:type="paragraph" w:customStyle="1" w:styleId="Boxa">
    <w:name w:val="Box a"/>
    <w:aliases w:val="b list"/>
    <w:basedOn w:val="Sub-listi"/>
    <w:semiHidden/>
    <w:qFormat/>
    <w:rsid w:val="00D61191"/>
    <w:pPr>
      <w:numPr>
        <w:numId w:val="0"/>
      </w:numPr>
      <w:pBdr>
        <w:top w:val="single" w:sz="6" w:space="15" w:color="0092CF"/>
        <w:left w:val="single" w:sz="6" w:space="15" w:color="0092CF"/>
        <w:bottom w:val="single" w:sz="6" w:space="15" w:color="0092CF"/>
        <w:right w:val="single" w:sz="6" w:space="15" w:color="0092CF"/>
      </w:pBdr>
      <w:tabs>
        <w:tab w:val="num" w:pos="360"/>
        <w:tab w:val="left" w:pos="426"/>
      </w:tabs>
      <w:spacing w:before="120" w:after="0"/>
      <w:ind w:left="1724" w:right="284" w:hanging="360"/>
    </w:pPr>
    <w:rPr>
      <w:color w:val="0092CF"/>
      <w:sz w:val="20"/>
      <w:szCs w:val="20"/>
    </w:rPr>
  </w:style>
  <w:style w:type="paragraph" w:customStyle="1" w:styleId="BoxBullet0">
    <w:name w:val="Box Bullet"/>
    <w:basedOn w:val="Normal"/>
    <w:uiPriority w:val="2"/>
    <w:semiHidden/>
    <w:rsid w:val="00D61191"/>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0">
    <w:name w:val="BoxHeading"/>
    <w:basedOn w:val="Normal"/>
    <w:next w:val="Normal"/>
    <w:uiPriority w:val="2"/>
    <w:semiHidden/>
    <w:rsid w:val="00D61191"/>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styleId="UnresolvedMention">
    <w:name w:val="Unresolved Mention"/>
    <w:basedOn w:val="DefaultParagraphFont"/>
    <w:uiPriority w:val="99"/>
    <w:semiHidden/>
    <w:unhideWhenUsed/>
    <w:rsid w:val="00D61191"/>
    <w:rPr>
      <w:color w:val="605E5C"/>
      <w:shd w:val="clear" w:color="auto" w:fill="E1DFDD"/>
    </w:rPr>
  </w:style>
  <w:style w:type="character" w:styleId="Mention">
    <w:name w:val="Mention"/>
    <w:basedOn w:val="DefaultParagraphFont"/>
    <w:uiPriority w:val="99"/>
    <w:rsid w:val="00D61191"/>
    <w:rPr>
      <w:color w:val="2B579A"/>
      <w:shd w:val="clear" w:color="auto" w:fill="E1DFDD"/>
    </w:rPr>
  </w:style>
  <w:style w:type="table" w:customStyle="1" w:styleId="TableGrid1">
    <w:name w:val="Table Grid1"/>
    <w:basedOn w:val="TableNormal"/>
    <w:next w:val="TableGrid"/>
    <w:uiPriority w:val="59"/>
    <w:rsid w:val="00D61191"/>
    <w:pPr>
      <w:spacing w:after="0" w:line="240" w:lineRule="auto"/>
    </w:pPr>
    <w:rPr>
      <w:rFonts w:ascii="Calibri" w:eastAsia="Calibri" w:hAnsi="Calibri" w:cs="Times New Roman"/>
      <w:sz w:val="24"/>
      <w:szCs w:val="24"/>
      <w:lang w:val="en-AU"/>
    </w:rPr>
    <w:tblPr>
      <w:tblInd w:w="0" w:type="nil"/>
      <w:tblBorders>
        <w:top w:val="single" w:sz="4" w:space="0" w:color="1B556B" w:themeColor="text2"/>
        <w:bottom w:val="single" w:sz="4" w:space="0" w:color="1B556B" w:themeColor="text2"/>
        <w:insideH w:val="single" w:sz="4" w:space="0" w:color="1B556B" w:themeColor="text2"/>
        <w:insideV w:val="single" w:sz="4" w:space="0" w:color="1B556B" w:themeColor="text2"/>
      </w:tblBorders>
    </w:tblPr>
  </w:style>
  <w:style w:type="character" w:customStyle="1" w:styleId="NoteChar">
    <w:name w:val="Note Char"/>
    <w:link w:val="Note"/>
    <w:uiPriority w:val="1"/>
    <w:rsid w:val="00D61191"/>
    <w:rPr>
      <w:rFonts w:ascii="Calibri" w:eastAsiaTheme="minorEastAsia" w:hAnsi="Calibri"/>
      <w:sz w:val="18"/>
      <w:lang w:eastAsia="en-NZ"/>
    </w:rPr>
  </w:style>
  <w:style w:type="table" w:customStyle="1" w:styleId="Table-Grid">
    <w:name w:val="Table-Grid"/>
    <w:basedOn w:val="TableNormal"/>
    <w:uiPriority w:val="99"/>
    <w:rsid w:val="00D61191"/>
    <w:pPr>
      <w:spacing w:after="0" w:line="240" w:lineRule="auto"/>
    </w:pPr>
    <w:rPr>
      <w:rFonts w:ascii="Calibri" w:eastAsia="Times New Roman" w:hAnsi="Calibri" w:cs="Times New Roman"/>
      <w:sz w:val="18"/>
      <w:szCs w:val="20"/>
    </w:rPr>
    <w:tblPr>
      <w:tblBorders>
        <w:top w:val="single" w:sz="4" w:space="0" w:color="1B556B" w:themeColor="text2"/>
        <w:bottom w:val="single" w:sz="4" w:space="0" w:color="1B556B" w:themeColor="text2"/>
        <w:insideH w:val="single" w:sz="4" w:space="0" w:color="1B556B" w:themeColor="text2"/>
        <w:insideV w:val="single" w:sz="4" w:space="0" w:color="1B556B" w:themeColor="text2"/>
      </w:tblBorders>
      <w:tblCellMar>
        <w:top w:w="57" w:type="dxa"/>
        <w:left w:w="85" w:type="dxa"/>
        <w:bottom w:w="57" w:type="dxa"/>
        <w:right w:w="0" w:type="dxa"/>
      </w:tblCellMar>
    </w:tblPr>
    <w:tcPr>
      <w:shd w:val="clear" w:color="auto" w:fill="FFFFFF" w:themeFill="background1"/>
    </w:tcPr>
  </w:style>
  <w:style w:type="paragraph" w:styleId="NormalWeb">
    <w:name w:val="Normal (Web)"/>
    <w:basedOn w:val="Normal"/>
    <w:uiPriority w:val="99"/>
    <w:rsid w:val="00D61191"/>
    <w:pPr>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BoxbulletChar">
    <w:name w:val="Box bullet Char"/>
    <w:link w:val="Boxbullet"/>
    <w:uiPriority w:val="1"/>
    <w:locked/>
    <w:rsid w:val="00D61191"/>
    <w:rPr>
      <w:rFonts w:ascii="Calibri" w:eastAsiaTheme="minorEastAsia" w:hAnsi="Calibri" w:cs="Times New Roman"/>
      <w:color w:val="1B556B"/>
      <w:sz w:val="20"/>
      <w:szCs w:val="20"/>
      <w:lang w:eastAsia="en-NZ"/>
    </w:rPr>
  </w:style>
  <w:style w:type="character" w:customStyle="1" w:styleId="BoxheadingChar">
    <w:name w:val="Box heading Char"/>
    <w:link w:val="Boxheading"/>
    <w:uiPriority w:val="11"/>
    <w:locked/>
    <w:rsid w:val="00082891"/>
    <w:rPr>
      <w:rFonts w:ascii="Calibri" w:eastAsiaTheme="minorEastAsia" w:hAnsi="Calibri" w:cs="Times New Roman"/>
      <w:b/>
      <w:color w:val="1B556B"/>
      <w:szCs w:val="20"/>
      <w:lang w:eastAsia="en-NZ"/>
    </w:rPr>
  </w:style>
  <w:style w:type="table" w:customStyle="1" w:styleId="RSTableGrida1">
    <w:name w:val="RS Table Grid a1"/>
    <w:basedOn w:val="TableNormal"/>
    <w:next w:val="TableGrid"/>
    <w:uiPriority w:val="59"/>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rsid w:val="00D61191"/>
    <w:pPr>
      <w:spacing w:after="0" w:line="240" w:lineRule="auto"/>
    </w:pPr>
    <w:rPr>
      <w:rFonts w:ascii="Calibri" w:eastAsia="Calibri" w:hAnsi="Calibri" w:cs="Times New Roman"/>
      <w:sz w:val="24"/>
      <w:szCs w:val="24"/>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ableTextboldChar">
    <w:name w:val="TableText bold Char"/>
    <w:basedOn w:val="TableTextChar"/>
    <w:link w:val="TableTextbold"/>
    <w:rsid w:val="00D61191"/>
    <w:rPr>
      <w:rFonts w:ascii="Calibri" w:eastAsiaTheme="minorEastAsia" w:hAnsi="Calibri"/>
      <w:b/>
      <w:sz w:val="18"/>
      <w:lang w:eastAsia="en-NZ"/>
    </w:rPr>
  </w:style>
  <w:style w:type="paragraph" w:customStyle="1" w:styleId="Default">
    <w:name w:val="Default"/>
    <w:rsid w:val="00D61191"/>
    <w:pPr>
      <w:autoSpaceDE w:val="0"/>
      <w:autoSpaceDN w:val="0"/>
      <w:adjustRightInd w:val="0"/>
      <w:spacing w:after="0" w:line="240" w:lineRule="auto"/>
    </w:pPr>
    <w:rPr>
      <w:rFonts w:ascii="Calibri" w:eastAsia="Calibri" w:hAnsi="Calibri" w:cs="Calibri"/>
      <w:color w:val="000000"/>
      <w:sz w:val="24"/>
      <w:szCs w:val="24"/>
      <w:lang w:eastAsia="en-NZ"/>
    </w:rPr>
  </w:style>
  <w:style w:type="paragraph" w:customStyle="1" w:styleId="Blueboxtext">
    <w:name w:val="Blue box text"/>
    <w:basedOn w:val="Normal"/>
    <w:uiPriority w:val="11"/>
    <w:semiHidden/>
    <w:qFormat/>
    <w:rsid w:val="00D61191"/>
    <w:pPr>
      <w:spacing w:line="260" w:lineRule="atLeast"/>
      <w:ind w:left="284" w:right="284"/>
      <w:jc w:val="left"/>
    </w:pPr>
    <w:rPr>
      <w:rFonts w:eastAsia="Times New Roman" w:cs="Times New Roman"/>
      <w:color w:val="1C556C"/>
      <w:sz w:val="20"/>
    </w:rPr>
  </w:style>
  <w:style w:type="paragraph" w:customStyle="1" w:styleId="Blue-boxbullet">
    <w:name w:val="Blue-box bullet"/>
    <w:basedOn w:val="Blueboxtext"/>
    <w:uiPriority w:val="11"/>
    <w:semiHidden/>
    <w:qFormat/>
    <w:rsid w:val="00D61191"/>
    <w:pPr>
      <w:tabs>
        <w:tab w:val="left" w:pos="680"/>
      </w:tabs>
      <w:spacing w:before="0"/>
      <w:ind w:left="644" w:hanging="360"/>
    </w:pPr>
    <w:rPr>
      <w:szCs w:val="20"/>
    </w:rPr>
  </w:style>
  <w:style w:type="paragraph" w:customStyle="1" w:styleId="Blueboxheading">
    <w:name w:val="Blue box heading"/>
    <w:basedOn w:val="Blueboxtext"/>
    <w:next w:val="Blueboxtext"/>
    <w:uiPriority w:val="11"/>
    <w:semiHidden/>
    <w:qFormat/>
    <w:rsid w:val="00D61191"/>
    <w:pPr>
      <w:keepNext/>
      <w:spacing w:before="240" w:after="0"/>
    </w:pPr>
    <w:rPr>
      <w:rFonts w:ascii="Georgia" w:hAnsi="Georgia"/>
      <w:b/>
      <w:szCs w:val="20"/>
    </w:rPr>
  </w:style>
  <w:style w:type="paragraph" w:customStyle="1" w:styleId="Blue-boxsub-bullet">
    <w:name w:val="Blue-box sub-bullet"/>
    <w:basedOn w:val="Blueboxtext"/>
    <w:uiPriority w:val="11"/>
    <w:semiHidden/>
    <w:qFormat/>
    <w:rsid w:val="00D61191"/>
    <w:pPr>
      <w:spacing w:before="0"/>
      <w:ind w:left="1077" w:hanging="397"/>
    </w:pPr>
    <w:rPr>
      <w:szCs w:val="20"/>
    </w:rPr>
  </w:style>
  <w:style w:type="paragraph" w:customStyle="1" w:styleId="CTFTableheading">
    <w:name w:val="CTF Table heading"/>
    <w:basedOn w:val="Tableheading"/>
    <w:next w:val="BodyText"/>
    <w:uiPriority w:val="99"/>
    <w:rsid w:val="00D61191"/>
    <w:pPr>
      <w:tabs>
        <w:tab w:val="left" w:pos="1134"/>
      </w:tabs>
      <w:spacing w:line="260" w:lineRule="atLeast"/>
      <w:ind w:left="0" w:firstLine="0"/>
    </w:pPr>
    <w:rPr>
      <w:rFonts w:eastAsia="Times New Roman" w:cs="Times New Roman"/>
      <w:b w:val="0"/>
      <w:i/>
    </w:rPr>
  </w:style>
  <w:style w:type="table" w:styleId="GridTable2-Accent1">
    <w:name w:val="Grid Table 2 Accent 1"/>
    <w:basedOn w:val="TableNormal"/>
    <w:uiPriority w:val="47"/>
    <w:rsid w:val="00D61191"/>
    <w:pPr>
      <w:spacing w:after="0" w:line="240" w:lineRule="auto"/>
    </w:pPr>
    <w:tblPr>
      <w:tblStyleRowBandSize w:val="1"/>
      <w:tblStyleColBandSize w:val="1"/>
      <w:tblBorders>
        <w:top w:val="single" w:sz="2" w:space="0" w:color="4CAAD0" w:themeColor="accent1" w:themeTint="99"/>
        <w:bottom w:val="single" w:sz="2" w:space="0" w:color="4CAAD0" w:themeColor="accent1" w:themeTint="99"/>
        <w:insideH w:val="single" w:sz="2" w:space="0" w:color="4CAAD0" w:themeColor="accent1" w:themeTint="99"/>
        <w:insideV w:val="single" w:sz="2" w:space="0" w:color="4CAAD0" w:themeColor="accent1" w:themeTint="99"/>
      </w:tblBorders>
    </w:tblPr>
    <w:tblStylePr w:type="firstRow">
      <w:rPr>
        <w:b/>
        <w:bCs/>
      </w:rPr>
      <w:tblPr/>
      <w:tcPr>
        <w:tcBorders>
          <w:top w:val="nil"/>
          <w:bottom w:val="single" w:sz="12" w:space="0" w:color="4CAAD0" w:themeColor="accent1" w:themeTint="99"/>
          <w:insideH w:val="nil"/>
          <w:insideV w:val="nil"/>
        </w:tcBorders>
        <w:shd w:val="clear" w:color="auto" w:fill="FFFFFF" w:themeFill="background1"/>
      </w:tcPr>
    </w:tblStylePr>
    <w:tblStylePr w:type="lastRow">
      <w:rPr>
        <w:b/>
        <w:bCs/>
      </w:rPr>
      <w:tblPr/>
      <w:tcPr>
        <w:tcBorders>
          <w:top w:val="double" w:sz="2" w:space="0" w:color="4CAAD0"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3E2EF" w:themeFill="accent1" w:themeFillTint="33"/>
      </w:tcPr>
    </w:tblStylePr>
    <w:tblStylePr w:type="band1Horz">
      <w:tblPr/>
      <w:tcPr>
        <w:shd w:val="clear" w:color="auto" w:fill="C3E2EF" w:themeFill="accent1" w:themeFillTint="33"/>
      </w:tcPr>
    </w:tblStylePr>
  </w:style>
  <w:style w:type="character" w:customStyle="1" w:styleId="UnresolvedMention1">
    <w:name w:val="Unresolved Mention1"/>
    <w:basedOn w:val="DefaultParagraphFont"/>
    <w:uiPriority w:val="99"/>
    <w:semiHidden/>
    <w:unhideWhenUsed/>
    <w:rsid w:val="00D61191"/>
    <w:rPr>
      <w:color w:val="605E5C"/>
      <w:shd w:val="clear" w:color="auto" w:fill="E1DFDD"/>
    </w:rPr>
  </w:style>
  <w:style w:type="paragraph" w:styleId="NoSpacing">
    <w:name w:val="No Spacing"/>
    <w:uiPriority w:val="1"/>
    <w:qFormat/>
    <w:rsid w:val="00D61191"/>
    <w:pPr>
      <w:spacing w:after="0" w:line="240" w:lineRule="auto"/>
      <w:jc w:val="both"/>
    </w:pPr>
    <w:rPr>
      <w:rFonts w:ascii="Calibri" w:hAnsi="Calibri"/>
      <w:lang w:eastAsia="en-NZ"/>
    </w:rPr>
  </w:style>
  <w:style w:type="paragraph" w:styleId="Bibliography">
    <w:name w:val="Bibliography"/>
    <w:basedOn w:val="Normal"/>
    <w:next w:val="Normal"/>
    <w:uiPriority w:val="37"/>
    <w:semiHidden/>
    <w:rsid w:val="00D61191"/>
    <w:pPr>
      <w:spacing w:before="0" w:after="160" w:line="259" w:lineRule="auto"/>
      <w:jc w:val="left"/>
    </w:pPr>
    <w:rPr>
      <w:rFonts w:eastAsia="Calibri" w:cs="Times New Roman"/>
      <w:lang w:eastAsia="en-US"/>
    </w:rPr>
  </w:style>
  <w:style w:type="paragraph" w:customStyle="1" w:styleId="Footnote">
    <w:name w:val="Footnote"/>
    <w:basedOn w:val="Normal"/>
    <w:uiPriority w:val="23"/>
    <w:rsid w:val="00D61191"/>
    <w:pPr>
      <w:spacing w:before="0" w:after="60" w:line="240" w:lineRule="atLeast"/>
      <w:ind w:left="284" w:hanging="284"/>
      <w:jc w:val="left"/>
    </w:pPr>
    <w:rPr>
      <w:sz w:val="19"/>
    </w:rPr>
  </w:style>
  <w:style w:type="paragraph" w:styleId="ListNumber2">
    <w:name w:val="List Number 2"/>
    <w:basedOn w:val="Normal"/>
    <w:uiPriority w:val="99"/>
    <w:semiHidden/>
    <w:unhideWhenUsed/>
    <w:rsid w:val="00D61191"/>
    <w:pPr>
      <w:tabs>
        <w:tab w:val="num" w:pos="643"/>
      </w:tabs>
      <w:ind w:left="643" w:hanging="360"/>
      <w:contextualSpacing/>
    </w:pPr>
  </w:style>
  <w:style w:type="character" w:styleId="PageNumber">
    <w:name w:val="page number"/>
    <w:rsid w:val="00D61191"/>
    <w:rPr>
      <w:rFonts w:ascii="Verdana" w:hAnsi="Verdana"/>
      <w:sz w:val="18"/>
      <w:lang w:val="en-US"/>
    </w:rPr>
  </w:style>
  <w:style w:type="paragraph" w:styleId="PlainText">
    <w:name w:val="Plain Text"/>
    <w:aliases w:val=" Char2,Char2"/>
    <w:basedOn w:val="Normal"/>
    <w:link w:val="PlainTextChar"/>
    <w:uiPriority w:val="99"/>
    <w:semiHidden/>
    <w:unhideWhenUsed/>
    <w:rsid w:val="00D61191"/>
    <w:pPr>
      <w:spacing w:before="0" w:after="0" w:line="240" w:lineRule="auto"/>
      <w:jc w:val="left"/>
    </w:pPr>
    <w:rPr>
      <w:rFonts w:eastAsiaTheme="minorHAnsi" w:cs="Calibri"/>
      <w:lang w:eastAsia="en-US"/>
    </w:rPr>
  </w:style>
  <w:style w:type="character" w:customStyle="1" w:styleId="PlainTextChar">
    <w:name w:val="Plain Text Char"/>
    <w:aliases w:val=" Char2 Char,Char2 Char"/>
    <w:basedOn w:val="DefaultParagraphFont"/>
    <w:link w:val="PlainText"/>
    <w:uiPriority w:val="99"/>
    <w:semiHidden/>
    <w:rsid w:val="00D61191"/>
    <w:rPr>
      <w:rFonts w:ascii="Calibri" w:hAnsi="Calibri" w:cs="Calibri"/>
    </w:rPr>
  </w:style>
  <w:style w:type="character" w:customStyle="1" w:styleId="UnresolvedMention2">
    <w:name w:val="Unresolved Mention2"/>
    <w:basedOn w:val="DefaultParagraphFont"/>
    <w:uiPriority w:val="99"/>
    <w:semiHidden/>
    <w:unhideWhenUsed/>
    <w:rsid w:val="00D61191"/>
    <w:rPr>
      <w:color w:val="605E5C"/>
      <w:shd w:val="clear" w:color="auto" w:fill="E1DFDD"/>
    </w:rPr>
  </w:style>
  <w:style w:type="character" w:styleId="Emphasis">
    <w:name w:val="Emphasis"/>
    <w:basedOn w:val="DefaultParagraphFont"/>
    <w:uiPriority w:val="20"/>
    <w:qFormat/>
    <w:rsid w:val="00D61191"/>
    <w:rPr>
      <w:i/>
      <w:iCs/>
    </w:rPr>
  </w:style>
  <w:style w:type="character" w:customStyle="1" w:styleId="UnresolvedMention3">
    <w:name w:val="Unresolved Mention3"/>
    <w:basedOn w:val="DefaultParagraphFont"/>
    <w:uiPriority w:val="99"/>
    <w:semiHidden/>
    <w:unhideWhenUsed/>
    <w:rsid w:val="00D61191"/>
    <w:rPr>
      <w:color w:val="605E5C"/>
      <w:shd w:val="clear" w:color="auto" w:fill="E1DFDD"/>
    </w:rPr>
  </w:style>
  <w:style w:type="paragraph" w:customStyle="1" w:styleId="CASESTUDYHEADING0">
    <w:name w:val="CASE STUDY HEADING"/>
    <w:basedOn w:val="BodyText"/>
    <w:uiPriority w:val="11"/>
    <w:semiHidden/>
    <w:qFormat/>
    <w:rsid w:val="00D61191"/>
    <w:pPr>
      <w:spacing w:before="0" w:after="0"/>
    </w:pPr>
    <w:rPr>
      <w:rFonts w:eastAsia="Times New Roman" w:cs="Times New Roman"/>
      <w:color w:val="FFFFFF" w:themeColor="background1"/>
      <w:sz w:val="24"/>
      <w:szCs w:val="24"/>
    </w:rPr>
  </w:style>
  <w:style w:type="paragraph" w:customStyle="1" w:styleId="Tablecaption">
    <w:name w:val="Table caption"/>
    <w:basedOn w:val="Normal"/>
    <w:link w:val="TablecaptionChar"/>
    <w:semiHidden/>
    <w:qFormat/>
    <w:rsid w:val="00D61191"/>
    <w:pPr>
      <w:keepNext/>
      <w:spacing w:before="240" w:after="60" w:line="240" w:lineRule="auto"/>
      <w:ind w:left="1134" w:hanging="1134"/>
    </w:pPr>
    <w:rPr>
      <w:rFonts w:asciiTheme="minorHAnsi" w:eastAsia="Times New Roman" w:hAnsiTheme="minorHAnsi" w:cs="Times New Roman"/>
      <w:b/>
      <w:bCs/>
      <w:i/>
      <w:sz w:val="20"/>
      <w:szCs w:val="18"/>
      <w:lang w:eastAsia="en-US"/>
    </w:rPr>
  </w:style>
  <w:style w:type="character" w:customStyle="1" w:styleId="TablecaptionChar">
    <w:name w:val="Table caption Char"/>
    <w:basedOn w:val="DefaultParagraphFont"/>
    <w:link w:val="Tablecaption"/>
    <w:semiHidden/>
    <w:rsid w:val="00D61191"/>
    <w:rPr>
      <w:rFonts w:eastAsia="Times New Roman" w:cs="Times New Roman"/>
      <w:b/>
      <w:bCs/>
      <w:i/>
      <w:sz w:val="20"/>
      <w:szCs w:val="18"/>
    </w:rPr>
  </w:style>
  <w:style w:type="table" w:customStyle="1" w:styleId="TableGrid12">
    <w:name w:val="Table Grid12"/>
    <w:basedOn w:val="TableNormal"/>
    <w:next w:val="TableGrid"/>
    <w:uiPriority w:val="59"/>
    <w:rsid w:val="00D61191"/>
    <w:pPr>
      <w:spacing w:after="0" w:line="240" w:lineRule="auto"/>
    </w:pPr>
    <w:rPr>
      <w:rFonts w:ascii="Calibri" w:eastAsia="Calibri" w:hAnsi="Calibri" w:cs="Times New Roman"/>
      <w:sz w:val="24"/>
      <w:szCs w:val="24"/>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8">
    <w:name w:val="Table Grid8"/>
    <w:basedOn w:val="TableNormal"/>
    <w:next w:val="TableGrid"/>
    <w:uiPriority w:val="59"/>
    <w:rsid w:val="00D61191"/>
    <w:pPr>
      <w:spacing w:after="0" w:line="240" w:lineRule="auto"/>
    </w:pPr>
    <w:rPr>
      <w:sz w:val="24"/>
      <w:szCs w:val="24"/>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LightList-Accent1">
    <w:name w:val="Light List Accent 1"/>
    <w:basedOn w:val="TableNormal"/>
    <w:uiPriority w:val="61"/>
    <w:rsid w:val="00D61191"/>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table" w:styleId="LightGrid-Accent1">
    <w:name w:val="Light Grid Accent 1"/>
    <w:basedOn w:val="TableNormal"/>
    <w:uiPriority w:val="62"/>
    <w:rsid w:val="00D61191"/>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styleId="ColorfulList-Accent6">
    <w:name w:val="Colorful List Accent 6"/>
    <w:basedOn w:val="TableNormal"/>
    <w:uiPriority w:val="72"/>
    <w:rsid w:val="00D61191"/>
    <w:pPr>
      <w:spacing w:before="120" w:after="0" w:line="240" w:lineRule="auto"/>
      <w:jc w:val="both"/>
    </w:pPr>
    <w:rPr>
      <w:rFonts w:ascii="Arial" w:eastAsia="Times New Roman" w:hAnsi="Arial" w:cs="Times New Roman"/>
      <w:color w:val="000000" w:themeColor="text1"/>
      <w:sz w:val="16"/>
      <w:szCs w:val="20"/>
      <w:lang w:eastAsia="en-NZ"/>
    </w:rPr>
    <w:tblPr>
      <w:tblStyleRowBandSize w:val="1"/>
      <w:tblStyleColBandSize w:val="1"/>
    </w:tblPr>
    <w:tcPr>
      <w:shd w:val="clear" w:color="auto" w:fill="FFFFFF" w:themeFill="background1"/>
    </w:tcPr>
    <w:tblStylePr w:type="firstRow">
      <w:rPr>
        <w:b/>
        <w:bCs/>
        <w:color w:val="FFFFFF" w:themeColor="background1"/>
      </w:rPr>
      <w:tblPr/>
      <w:tcPr>
        <w:tcBorders>
          <w:bottom w:val="single" w:sz="12" w:space="0" w:color="FFFFFF" w:themeColor="background1"/>
        </w:tcBorders>
        <w:shd w:val="clear" w:color="auto" w:fill="45B29E" w:themeFill="accent5" w:themeFillShade="CC"/>
      </w:tcPr>
    </w:tblStylePr>
    <w:tblStylePr w:type="lastRow">
      <w:rPr>
        <w:b/>
        <w:bCs/>
        <w:color w:val="45B29E" w:themeColor="accent5" w:themeShade="CC"/>
      </w:rPr>
      <w:tblPr/>
      <w:tcPr>
        <w:tcBorders>
          <w:top w:val="single" w:sz="12" w:space="0" w:color="000000" w:themeColor="text1"/>
        </w:tcBorders>
        <w:shd w:val="clear" w:color="auto" w:fill="FFFFFF" w:themeFill="background1"/>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paragraph" w:styleId="DocumentMap">
    <w:name w:val="Document Map"/>
    <w:aliases w:val=" Char1,Char1"/>
    <w:basedOn w:val="Normal"/>
    <w:link w:val="DocumentMapChar"/>
    <w:semiHidden/>
    <w:unhideWhenUsed/>
    <w:rsid w:val="00D61191"/>
    <w:pPr>
      <w:spacing w:after="0" w:line="240" w:lineRule="auto"/>
      <w:ind w:left="567"/>
    </w:pPr>
    <w:rPr>
      <w:rFonts w:ascii="Tahoma" w:eastAsia="Times New Roman" w:hAnsi="Tahoma" w:cs="Tahoma"/>
      <w:sz w:val="16"/>
      <w:szCs w:val="16"/>
    </w:rPr>
  </w:style>
  <w:style w:type="character" w:customStyle="1" w:styleId="DocumentMapChar">
    <w:name w:val="Document Map Char"/>
    <w:aliases w:val=" Char1 Char,Char1 Char"/>
    <w:basedOn w:val="DefaultParagraphFont"/>
    <w:link w:val="DocumentMap"/>
    <w:semiHidden/>
    <w:rsid w:val="00D61191"/>
    <w:rPr>
      <w:rFonts w:ascii="Tahoma" w:eastAsia="Times New Roman" w:hAnsi="Tahoma" w:cs="Tahoma"/>
      <w:sz w:val="16"/>
      <w:szCs w:val="16"/>
      <w:lang w:eastAsia="en-NZ"/>
    </w:rPr>
  </w:style>
  <w:style w:type="character" w:styleId="HTMLCite">
    <w:name w:val="HTML Cite"/>
    <w:uiPriority w:val="99"/>
    <w:semiHidden/>
    <w:unhideWhenUsed/>
    <w:rsid w:val="00D61191"/>
    <w:rPr>
      <w:i w:val="0"/>
      <w:iCs w:val="0"/>
      <w:color w:val="388222"/>
    </w:rPr>
  </w:style>
  <w:style w:type="paragraph" w:styleId="TOCHeading">
    <w:name w:val="TOC Heading"/>
    <w:basedOn w:val="Heading1"/>
    <w:next w:val="Normal"/>
    <w:uiPriority w:val="39"/>
    <w:semiHidden/>
    <w:qFormat/>
    <w:rsid w:val="00D61191"/>
    <w:pPr>
      <w:keepLines/>
      <w:tabs>
        <w:tab w:val="clear" w:pos="851"/>
      </w:tabs>
      <w:spacing w:before="480" w:after="0" w:line="280" w:lineRule="atLeast"/>
      <w:ind w:left="680" w:hanging="680"/>
      <w:jc w:val="both"/>
      <w:outlineLvl w:val="9"/>
    </w:pPr>
    <w:rPr>
      <w:rFonts w:asciiTheme="majorHAnsi" w:hAnsiTheme="majorHAnsi"/>
      <w:color w:val="153F50" w:themeColor="accent1" w:themeShade="BF"/>
      <w:sz w:val="28"/>
    </w:rPr>
  </w:style>
  <w:style w:type="character" w:customStyle="1" w:styleId="ColorfulGrid-Accent1Char">
    <w:name w:val="Colorful Grid - Accent 1 Char"/>
    <w:link w:val="ColorfulGrid-Accent1"/>
    <w:rsid w:val="00D61191"/>
    <w:rPr>
      <w:rFonts w:ascii="Times New Roman" w:eastAsia="Times New Roman" w:hAnsi="Times New Roman" w:cs="Times New Roman"/>
      <w:sz w:val="20"/>
      <w:szCs w:val="20"/>
    </w:rPr>
  </w:style>
  <w:style w:type="table" w:styleId="ColorfulGrid-Accent1">
    <w:name w:val="Colorful Grid Accent 1"/>
    <w:basedOn w:val="TableNormal"/>
    <w:link w:val="ColorfulGrid-Accent1Char"/>
    <w:rsid w:val="00D61191"/>
    <w:pPr>
      <w:spacing w:before="120" w:after="0" w:line="240" w:lineRule="auto"/>
      <w:ind w:left="567"/>
      <w:jc w:val="both"/>
    </w:pPr>
    <w:rPr>
      <w:rFonts w:ascii="Times New Roman" w:eastAsia="Times New Roman" w:hAnsi="Times New Roman" w:cs="Times New Roman"/>
      <w:sz w:val="20"/>
      <w:szCs w:val="2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character" w:customStyle="1" w:styleId="ReferencesChar">
    <w:name w:val="References Char"/>
    <w:link w:val="References"/>
    <w:uiPriority w:val="99"/>
    <w:rsid w:val="00D61191"/>
    <w:rPr>
      <w:rFonts w:ascii="Calibri" w:eastAsiaTheme="minorEastAsia" w:hAnsi="Calibri"/>
      <w:sz w:val="20"/>
      <w:lang w:eastAsia="en-NZ"/>
    </w:rPr>
  </w:style>
  <w:style w:type="paragraph" w:styleId="TOC5">
    <w:name w:val="toc 5"/>
    <w:basedOn w:val="Normal"/>
    <w:next w:val="Normal"/>
    <w:autoRedefine/>
    <w:uiPriority w:val="39"/>
    <w:semiHidden/>
    <w:rsid w:val="00D61191"/>
    <w:pPr>
      <w:spacing w:before="0" w:after="0"/>
      <w:ind w:left="880"/>
      <w:jc w:val="left"/>
    </w:pPr>
    <w:rPr>
      <w:rFonts w:asciiTheme="minorHAnsi" w:hAnsiTheme="minorHAnsi" w:cstheme="minorHAnsi"/>
      <w:sz w:val="20"/>
      <w:szCs w:val="20"/>
    </w:rPr>
  </w:style>
  <w:style w:type="paragraph" w:styleId="TOC6">
    <w:name w:val="toc 6"/>
    <w:basedOn w:val="Normal"/>
    <w:next w:val="Normal"/>
    <w:autoRedefine/>
    <w:uiPriority w:val="39"/>
    <w:semiHidden/>
    <w:rsid w:val="00D61191"/>
    <w:pPr>
      <w:spacing w:before="0" w:after="0"/>
      <w:ind w:left="1100"/>
      <w:jc w:val="left"/>
    </w:pPr>
    <w:rPr>
      <w:rFonts w:asciiTheme="minorHAnsi" w:hAnsiTheme="minorHAnsi" w:cstheme="minorHAnsi"/>
      <w:sz w:val="20"/>
      <w:szCs w:val="20"/>
    </w:rPr>
  </w:style>
  <w:style w:type="paragraph" w:styleId="TOC7">
    <w:name w:val="toc 7"/>
    <w:basedOn w:val="Normal"/>
    <w:next w:val="Normal"/>
    <w:autoRedefine/>
    <w:uiPriority w:val="39"/>
    <w:semiHidden/>
    <w:rsid w:val="00D61191"/>
    <w:pPr>
      <w:spacing w:before="0" w:after="0"/>
      <w:ind w:left="1320"/>
      <w:jc w:val="left"/>
    </w:pPr>
    <w:rPr>
      <w:rFonts w:asciiTheme="minorHAnsi" w:hAnsiTheme="minorHAnsi" w:cstheme="minorHAnsi"/>
      <w:sz w:val="20"/>
      <w:szCs w:val="20"/>
    </w:rPr>
  </w:style>
  <w:style w:type="paragraph" w:styleId="TOC8">
    <w:name w:val="toc 8"/>
    <w:basedOn w:val="Normal"/>
    <w:next w:val="Normal"/>
    <w:autoRedefine/>
    <w:uiPriority w:val="39"/>
    <w:semiHidden/>
    <w:rsid w:val="00D61191"/>
    <w:pPr>
      <w:spacing w:before="0" w:after="0"/>
      <w:ind w:left="1540"/>
      <w:jc w:val="left"/>
    </w:pPr>
    <w:rPr>
      <w:rFonts w:asciiTheme="minorHAnsi" w:hAnsiTheme="minorHAnsi" w:cstheme="minorHAnsi"/>
      <w:sz w:val="20"/>
      <w:szCs w:val="20"/>
    </w:rPr>
  </w:style>
  <w:style w:type="paragraph" w:styleId="TOC9">
    <w:name w:val="toc 9"/>
    <w:basedOn w:val="Normal"/>
    <w:next w:val="Normal"/>
    <w:autoRedefine/>
    <w:uiPriority w:val="39"/>
    <w:semiHidden/>
    <w:rsid w:val="00D61191"/>
    <w:pPr>
      <w:spacing w:before="0" w:after="0"/>
      <w:ind w:left="1760"/>
      <w:jc w:val="left"/>
    </w:pPr>
    <w:rPr>
      <w:rFonts w:asciiTheme="minorHAnsi" w:hAnsiTheme="minorHAnsi" w:cstheme="minorHAnsi"/>
      <w:sz w:val="20"/>
      <w:szCs w:val="20"/>
    </w:rPr>
  </w:style>
  <w:style w:type="table" w:styleId="LightShading-Accent3">
    <w:name w:val="Light Shading Accent 3"/>
    <w:basedOn w:val="TableNormal"/>
    <w:uiPriority w:val="60"/>
    <w:rsid w:val="00D61191"/>
    <w:pPr>
      <w:spacing w:before="120" w:after="0" w:line="240" w:lineRule="auto"/>
      <w:ind w:left="567"/>
      <w:jc w:val="both"/>
    </w:pPr>
    <w:rPr>
      <w:color w:val="88C6BE" w:themeColor="accent3" w:themeShade="BF"/>
    </w:rPr>
    <w:tblPr>
      <w:tblStyleRowBandSize w:val="1"/>
      <w:tblStyleColBandSize w:val="1"/>
      <w:tblBorders>
        <w:top w:val="single" w:sz="8" w:space="0" w:color="D5EBE8" w:themeColor="accent3"/>
        <w:bottom w:val="single" w:sz="8" w:space="0" w:color="D5EBE8" w:themeColor="accent3"/>
      </w:tblBorders>
    </w:tblPr>
    <w:tblStylePr w:type="fir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la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AF9" w:themeFill="accent3" w:themeFillTint="3F"/>
      </w:tcPr>
    </w:tblStylePr>
    <w:tblStylePr w:type="band1Horz">
      <w:tblPr/>
      <w:tcPr>
        <w:tcBorders>
          <w:left w:val="nil"/>
          <w:right w:val="nil"/>
          <w:insideH w:val="nil"/>
          <w:insideV w:val="nil"/>
        </w:tcBorders>
        <w:shd w:val="clear" w:color="auto" w:fill="F4FAF9" w:themeFill="accent3" w:themeFillTint="3F"/>
      </w:tcPr>
    </w:tblStylePr>
  </w:style>
  <w:style w:type="table" w:styleId="ColorfulList-Accent4">
    <w:name w:val="Colorful List Accent 4"/>
    <w:basedOn w:val="TableNormal"/>
    <w:uiPriority w:val="72"/>
    <w:rsid w:val="00D61191"/>
    <w:pPr>
      <w:spacing w:before="120" w:after="0" w:line="240" w:lineRule="auto"/>
      <w:ind w:left="567"/>
      <w:jc w:val="both"/>
    </w:pPr>
    <w:rPr>
      <w:color w:val="000000" w:themeColor="text1"/>
    </w:rPr>
    <w:tblPr>
      <w:tblStyleRowBandSize w:val="1"/>
      <w:tblStyleColBandSize w:val="1"/>
    </w:tblPr>
    <w:tcPr>
      <w:shd w:val="clear" w:color="auto" w:fill="E6F8F5" w:themeFill="accent4" w:themeFillTint="19"/>
    </w:tcPr>
    <w:tblStylePr w:type="firstRow">
      <w:rPr>
        <w:b/>
        <w:bCs/>
        <w:color w:val="FFFFFF" w:themeColor="background1"/>
      </w:rPr>
      <w:tblPr/>
      <w:tcPr>
        <w:tcBorders>
          <w:bottom w:val="single" w:sz="12" w:space="0" w:color="FFFFFF" w:themeColor="background1"/>
        </w:tcBorders>
        <w:shd w:val="clear" w:color="auto" w:fill="98CEC6" w:themeFill="accent3" w:themeFillShade="CC"/>
      </w:tcPr>
    </w:tblStylePr>
    <w:tblStylePr w:type="lastRow">
      <w:rPr>
        <w:b/>
        <w:bCs/>
        <w:color w:val="98C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EDE6" w:themeFill="accent4" w:themeFillTint="3F"/>
      </w:tcPr>
    </w:tblStylePr>
    <w:tblStylePr w:type="band1Horz">
      <w:tblPr/>
      <w:tcPr>
        <w:shd w:val="clear" w:color="auto" w:fill="CEF1EA" w:themeFill="accent4" w:themeFillTint="33"/>
      </w:tcPr>
    </w:tblStylePr>
  </w:style>
  <w:style w:type="table" w:styleId="MediumShading1-Accent3">
    <w:name w:val="Medium Shading 1 Accent 3"/>
    <w:basedOn w:val="TableNormal"/>
    <w:uiPriority w:val="63"/>
    <w:rsid w:val="00D61191"/>
    <w:pPr>
      <w:spacing w:before="120" w:after="0" w:line="240" w:lineRule="auto"/>
      <w:ind w:left="567"/>
      <w:jc w:val="both"/>
    </w:pPr>
    <w:tblPr>
      <w:tblStyleRowBandSize w:val="1"/>
      <w:tblStyleColBandSize w:val="1"/>
      <w:tbl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single" w:sz="8" w:space="0" w:color="DFF0ED" w:themeColor="accent3" w:themeTint="BF"/>
      </w:tblBorders>
    </w:tblPr>
    <w:tblStylePr w:type="firstRow">
      <w:pPr>
        <w:spacing w:before="0" w:after="0" w:line="240" w:lineRule="auto"/>
      </w:pPr>
      <w:rPr>
        <w:b/>
        <w:bCs/>
        <w:color w:val="FFFFFF" w:themeColor="background1"/>
      </w:rPr>
      <w:tblPr/>
      <w:tcPr>
        <w:tc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shd w:val="clear" w:color="auto" w:fill="D5EBE8" w:themeFill="accent3"/>
      </w:tcPr>
    </w:tblStylePr>
    <w:tblStylePr w:type="lastRow">
      <w:pPr>
        <w:spacing w:before="0" w:after="0" w:line="240" w:lineRule="auto"/>
      </w:pPr>
      <w:rPr>
        <w:b/>
        <w:bCs/>
      </w:rPr>
      <w:tblPr/>
      <w:tcPr>
        <w:tcBorders>
          <w:top w:val="double" w:sz="6"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FAF9" w:themeFill="accent3" w:themeFillTint="3F"/>
      </w:tcPr>
    </w:tblStylePr>
    <w:tblStylePr w:type="band1Horz">
      <w:tblPr/>
      <w:tcPr>
        <w:tcBorders>
          <w:insideH w:val="nil"/>
          <w:insideV w:val="nil"/>
        </w:tcBorders>
        <w:shd w:val="clear" w:color="auto" w:fill="F4FAF9" w:themeFill="accent3" w:themeFillTint="3F"/>
      </w:tcPr>
    </w:tblStylePr>
    <w:tblStylePr w:type="band2Horz">
      <w:tblPr/>
      <w:tcPr>
        <w:tcBorders>
          <w:insideH w:val="nil"/>
          <w:insideV w:val="nil"/>
        </w:tcBorders>
      </w:tcPr>
    </w:tblStylePr>
  </w:style>
  <w:style w:type="table" w:styleId="LightList-Accent4">
    <w:name w:val="Light List Accent 4"/>
    <w:basedOn w:val="TableNormal"/>
    <w:uiPriority w:val="61"/>
    <w:rsid w:val="00D61191"/>
    <w:pPr>
      <w:spacing w:before="120" w:after="0" w:line="240" w:lineRule="auto"/>
      <w:ind w:left="567"/>
      <w:jc w:val="both"/>
    </w:pPr>
    <w:tblPr>
      <w:tblStyleRowBandSize w:val="1"/>
      <w:tblStyleColBandSize w:val="1"/>
      <w:tblBorders>
        <w:top w:val="single" w:sz="8" w:space="0" w:color="2C9986" w:themeColor="accent4"/>
        <w:left w:val="single" w:sz="8" w:space="0" w:color="2C9986" w:themeColor="accent4"/>
        <w:bottom w:val="single" w:sz="8" w:space="0" w:color="2C9986" w:themeColor="accent4"/>
        <w:right w:val="single" w:sz="8" w:space="0" w:color="2C9986" w:themeColor="accent4"/>
      </w:tblBorders>
    </w:tblPr>
    <w:tblStylePr w:type="firstRow">
      <w:pPr>
        <w:spacing w:before="0" w:after="0" w:line="240" w:lineRule="auto"/>
      </w:pPr>
      <w:rPr>
        <w:b/>
        <w:bCs/>
        <w:color w:val="FFFFFF" w:themeColor="background1"/>
      </w:rPr>
      <w:tblPr/>
      <w:tcPr>
        <w:shd w:val="clear" w:color="auto" w:fill="2C9986" w:themeFill="accent4"/>
      </w:tcPr>
    </w:tblStylePr>
    <w:tblStylePr w:type="lastRow">
      <w:pPr>
        <w:spacing w:before="0" w:after="0" w:line="240" w:lineRule="auto"/>
      </w:pPr>
      <w:rPr>
        <w:b/>
        <w:bCs/>
      </w:rPr>
      <w:tblPr/>
      <w:tcPr>
        <w:tcBorders>
          <w:top w:val="double" w:sz="6" w:space="0" w:color="2C9986" w:themeColor="accent4"/>
          <w:left w:val="single" w:sz="8" w:space="0" w:color="2C9986" w:themeColor="accent4"/>
          <w:bottom w:val="single" w:sz="8" w:space="0" w:color="2C9986" w:themeColor="accent4"/>
          <w:right w:val="single" w:sz="8" w:space="0" w:color="2C9986" w:themeColor="accent4"/>
        </w:tcBorders>
      </w:tcPr>
    </w:tblStylePr>
    <w:tblStylePr w:type="firstCol">
      <w:rPr>
        <w:b/>
        <w:bCs/>
      </w:rPr>
    </w:tblStylePr>
    <w:tblStylePr w:type="lastCol">
      <w:rPr>
        <w:b/>
        <w:bCs/>
      </w:rPr>
    </w:tblStylePr>
    <w:tblStylePr w:type="band1Vert">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tblStylePr w:type="band1Horz">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style>
  <w:style w:type="table" w:styleId="ColorfulGrid-Accent3">
    <w:name w:val="Colorful Grid Accent 3"/>
    <w:basedOn w:val="TableNormal"/>
    <w:uiPriority w:val="73"/>
    <w:rsid w:val="00D61191"/>
    <w:pPr>
      <w:spacing w:before="120" w:after="0" w:line="240" w:lineRule="auto"/>
      <w:ind w:left="567"/>
      <w:jc w:val="both"/>
    </w:pPr>
    <w:rPr>
      <w:color w:val="000000" w:themeColor="text1"/>
    </w:rPr>
    <w:tblPr>
      <w:tblStyleRowBandSize w:val="1"/>
      <w:tblStyleColBandSize w:val="1"/>
      <w:tblBorders>
        <w:insideH w:val="single" w:sz="4" w:space="0" w:color="FFFFFF" w:themeColor="background1"/>
      </w:tblBorders>
    </w:tblPr>
    <w:tcPr>
      <w:shd w:val="clear" w:color="auto" w:fill="F6FBFA" w:themeFill="accent3" w:themeFillTint="33"/>
    </w:tcPr>
    <w:tblStylePr w:type="firstRow">
      <w:rPr>
        <w:b/>
        <w:bCs/>
      </w:rPr>
      <w:tblPr/>
      <w:tcPr>
        <w:shd w:val="clear" w:color="auto" w:fill="EEF7F5" w:themeFill="accent3" w:themeFillTint="66"/>
      </w:tcPr>
    </w:tblStylePr>
    <w:tblStylePr w:type="lastRow">
      <w:rPr>
        <w:b/>
        <w:bCs/>
        <w:color w:val="000000" w:themeColor="text1"/>
      </w:rPr>
      <w:tblPr/>
      <w:tcPr>
        <w:shd w:val="clear" w:color="auto" w:fill="EEF7F5" w:themeFill="accent3" w:themeFillTint="66"/>
      </w:tcPr>
    </w:tblStylePr>
    <w:tblStylePr w:type="firstCol">
      <w:rPr>
        <w:color w:val="FFFFFF" w:themeColor="background1"/>
      </w:rPr>
      <w:tblPr/>
      <w:tcPr>
        <w:shd w:val="clear" w:color="auto" w:fill="88C6BE" w:themeFill="accent3" w:themeFillShade="BF"/>
      </w:tcPr>
    </w:tblStylePr>
    <w:tblStylePr w:type="lastCol">
      <w:rPr>
        <w:color w:val="FFFFFF" w:themeColor="background1"/>
      </w:rPr>
      <w:tblPr/>
      <w:tcPr>
        <w:shd w:val="clear" w:color="auto" w:fill="88C6BE" w:themeFill="accent3" w:themeFillShade="BF"/>
      </w:tcPr>
    </w:tblStylePr>
    <w:tblStylePr w:type="band1Vert">
      <w:tblPr/>
      <w:tcPr>
        <w:shd w:val="clear" w:color="auto" w:fill="EAF5F3" w:themeFill="accent3" w:themeFillTint="7F"/>
      </w:tcPr>
    </w:tblStylePr>
    <w:tblStylePr w:type="band1Horz">
      <w:tblPr/>
      <w:tcPr>
        <w:shd w:val="clear" w:color="auto" w:fill="EAF5F3" w:themeFill="accent3" w:themeFillTint="7F"/>
      </w:tcPr>
    </w:tblStylePr>
  </w:style>
  <w:style w:type="table" w:customStyle="1" w:styleId="GridTable1Light-Accent41">
    <w:name w:val="Grid Table 1 Light - Accent 41"/>
    <w:basedOn w:val="TableNormal"/>
    <w:uiPriority w:val="46"/>
    <w:rsid w:val="00D61191"/>
    <w:pPr>
      <w:spacing w:before="120" w:after="0" w:line="240" w:lineRule="auto"/>
      <w:ind w:left="567"/>
      <w:jc w:val="both"/>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TableGrid2">
    <w:name w:val="Table Grid2"/>
    <w:basedOn w:val="TableNormal"/>
    <w:next w:val="TableGrid"/>
    <w:uiPriority w:val="59"/>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1">
    <w:name w:val="Colorful Grid - Accent 11"/>
    <w:basedOn w:val="TableNormal"/>
    <w:next w:val="ColorfulGrid-Accent1"/>
    <w:rsid w:val="00D61191"/>
    <w:pPr>
      <w:spacing w:after="0" w:line="240" w:lineRule="auto"/>
    </w:pPr>
    <w:rPr>
      <w:rFonts w:ascii="Times New Roman" w:eastAsia="Times New Roman" w:hAnsi="Times New Roman" w:cs="Times New Roman"/>
      <w:sz w:val="20"/>
      <w:szCs w:val="20"/>
      <w:lang w:val="x-none" w:eastAsia="x-none" w:bidi="x-none"/>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1">
    <w:name w:val="Table-Grid1"/>
    <w:basedOn w:val="TableNormal"/>
    <w:uiPriority w:val="99"/>
    <w:rsid w:val="00D61191"/>
    <w:pPr>
      <w:spacing w:after="0" w:line="240" w:lineRule="auto"/>
    </w:pPr>
    <w:rPr>
      <w:rFonts w:ascii="Times New Roman" w:eastAsia="Times New Roman" w:hAnsi="Times New Roman" w:cs="Times New Roman"/>
      <w:sz w:val="20"/>
      <w:szCs w:val="20"/>
      <w:lang w:eastAsia="en-NZ"/>
    </w:rPr>
    <w:tblPr>
      <w:tblBorders>
        <w:top w:val="single" w:sz="6" w:space="0" w:color="808080"/>
        <w:bottom w:val="single" w:sz="6" w:space="0" w:color="808080"/>
      </w:tblBorders>
      <w:tblCellMar>
        <w:top w:w="57" w:type="dxa"/>
        <w:left w:w="85" w:type="dxa"/>
        <w:bottom w:w="57" w:type="dxa"/>
        <w:right w:w="0" w:type="dxa"/>
      </w:tblCellMar>
    </w:tblPr>
    <w:tcPr>
      <w:shd w:val="clear" w:color="auto" w:fill="FFFFFF"/>
    </w:tcPr>
  </w:style>
  <w:style w:type="table" w:customStyle="1" w:styleId="LightShading-Accent31">
    <w:name w:val="Light Shading - Accent 31"/>
    <w:basedOn w:val="TableNormal"/>
    <w:next w:val="LightShading-Accent3"/>
    <w:uiPriority w:val="60"/>
    <w:rsid w:val="00D61191"/>
    <w:pPr>
      <w:spacing w:after="0" w:line="240" w:lineRule="auto"/>
    </w:pPr>
    <w:rPr>
      <w:rFonts w:ascii="Calibri" w:eastAsia="Calibri" w:hAnsi="Calibri" w:cs="Times New Roman"/>
      <w:color w:val="76923C"/>
      <w:sz w:val="20"/>
      <w:szCs w:val="20"/>
      <w:lang w:eastAsia="en-NZ"/>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ColorfulList-Accent41">
    <w:name w:val="Colorful List - Accent 41"/>
    <w:basedOn w:val="TableNormal"/>
    <w:next w:val="ColorfulList-Accent4"/>
    <w:uiPriority w:val="72"/>
    <w:rsid w:val="00D61191"/>
    <w:pPr>
      <w:spacing w:after="0" w:line="240" w:lineRule="auto"/>
    </w:pPr>
    <w:rPr>
      <w:rFonts w:ascii="Calibri" w:eastAsia="Calibri" w:hAnsi="Calibri" w:cs="Times New Roman"/>
      <w:color w:val="000000"/>
      <w:sz w:val="20"/>
      <w:szCs w:val="20"/>
      <w:lang w:eastAsia="en-NZ"/>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MediumShading1-Accent31">
    <w:name w:val="Medium Shading 1 - Accent 31"/>
    <w:basedOn w:val="TableNormal"/>
    <w:next w:val="MediumShading1-Accent3"/>
    <w:uiPriority w:val="63"/>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List-Accent41">
    <w:name w:val="Light List - Accent 41"/>
    <w:basedOn w:val="TableNormal"/>
    <w:next w:val="LightList-Accent4"/>
    <w:uiPriority w:val="61"/>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ColorfulGrid-Accent31">
    <w:name w:val="Colorful Grid - Accent 31"/>
    <w:basedOn w:val="TableNormal"/>
    <w:next w:val="ColorfulGrid-Accent3"/>
    <w:uiPriority w:val="73"/>
    <w:rsid w:val="00D61191"/>
    <w:pPr>
      <w:spacing w:after="0" w:line="240" w:lineRule="auto"/>
    </w:pPr>
    <w:rPr>
      <w:rFonts w:ascii="Calibri" w:eastAsia="Calibri" w:hAnsi="Calibri" w:cs="Times New Roman"/>
      <w:color w:val="000000"/>
      <w:sz w:val="20"/>
      <w:szCs w:val="20"/>
      <w:lang w:eastAsia="en-NZ"/>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LightList-Accent31">
    <w:name w:val="Light List - Accent 31"/>
    <w:basedOn w:val="TableNormal"/>
    <w:next w:val="LightList-Accent3"/>
    <w:uiPriority w:val="61"/>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GridTable1LightAccent41">
    <w:name w:val="Grid Table 1 Light Accent 41"/>
    <w:basedOn w:val="TableNormal"/>
    <w:uiPriority w:val="46"/>
    <w:rsid w:val="00D61191"/>
    <w:pPr>
      <w:spacing w:after="0" w:line="240" w:lineRule="auto"/>
    </w:pPr>
    <w:rPr>
      <w:rFonts w:ascii="Calibri" w:eastAsia="Times New Roman" w:hAnsi="Calibri" w:cs="Times New Roman"/>
      <w:sz w:val="20"/>
      <w:szCs w:val="20"/>
      <w:lang w:eastAsia="en-NZ"/>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table" w:customStyle="1" w:styleId="TableGrid3">
    <w:name w:val="Table Grid3"/>
    <w:basedOn w:val="TableNormal"/>
    <w:next w:val="TableGrid"/>
    <w:uiPriority w:val="59"/>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61191"/>
    <w:pPr>
      <w:spacing w:after="0" w:line="240" w:lineRule="auto"/>
    </w:pPr>
    <w:rPr>
      <w:sz w:val="24"/>
      <w:szCs w:val="24"/>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
    <w:name w:val="Table Grid11"/>
    <w:basedOn w:val="TableNormal"/>
    <w:next w:val="TableGrid"/>
    <w:uiPriority w:val="59"/>
    <w:rsid w:val="00D61191"/>
    <w:pPr>
      <w:spacing w:after="0" w:line="240" w:lineRule="auto"/>
    </w:pPr>
    <w:rPr>
      <w:rFonts w:ascii="Calibri" w:eastAsia="Calibri" w:hAnsi="Calibri" w:cs="Times New Roman"/>
      <w:sz w:val="24"/>
      <w:szCs w:val="24"/>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ColorfulList-Accent61">
    <w:name w:val="Colorful List - Accent 61"/>
    <w:basedOn w:val="TableNormal"/>
    <w:next w:val="ColorfulList-Accent6"/>
    <w:uiPriority w:val="72"/>
    <w:rsid w:val="00D61191"/>
    <w:pPr>
      <w:spacing w:before="120" w:after="0" w:line="240" w:lineRule="auto"/>
      <w:jc w:val="both"/>
    </w:pPr>
    <w:rPr>
      <w:rFonts w:ascii="Arial" w:eastAsia="Times New Roman" w:hAnsi="Arial" w:cs="Times New Roman"/>
      <w:color w:val="000000" w:themeColor="text1"/>
      <w:sz w:val="16"/>
      <w:szCs w:val="20"/>
      <w:lang w:eastAsia="en-NZ"/>
    </w:rPr>
    <w:tblPr>
      <w:tblStyleRowBandSize w:val="1"/>
      <w:tblStyleColBandSize w:val="1"/>
    </w:tblPr>
    <w:tcPr>
      <w:shd w:val="clear" w:color="auto" w:fill="FFFFFF" w:themeFill="background1"/>
    </w:tcPr>
    <w:tblStylePr w:type="firstRow">
      <w:rPr>
        <w:b/>
        <w:bCs/>
        <w:color w:val="FFFFFF" w:themeColor="background1"/>
      </w:rPr>
      <w:tblPr/>
      <w:tcPr>
        <w:tcBorders>
          <w:bottom w:val="single" w:sz="12" w:space="0" w:color="FFFFFF" w:themeColor="background1"/>
        </w:tcBorders>
        <w:shd w:val="clear" w:color="auto" w:fill="45B29E" w:themeFill="accent5" w:themeFillShade="CC"/>
      </w:tcPr>
    </w:tblStylePr>
    <w:tblStylePr w:type="lastRow">
      <w:rPr>
        <w:b/>
        <w:bCs/>
        <w:color w:val="45B29E" w:themeColor="accent5" w:themeShade="CC"/>
      </w:rPr>
      <w:tblPr/>
      <w:tcPr>
        <w:tcBorders>
          <w:top w:val="single" w:sz="12" w:space="0" w:color="000000" w:themeColor="text1"/>
        </w:tcBorders>
        <w:shd w:val="clear" w:color="auto" w:fill="FFFFFF" w:themeFill="background1"/>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table" w:customStyle="1" w:styleId="TableGrid5">
    <w:name w:val="Table Grid5"/>
    <w:basedOn w:val="TableNormal"/>
    <w:next w:val="TableGrid"/>
    <w:rsid w:val="00D61191"/>
    <w:pPr>
      <w:spacing w:before="120" w:after="0" w:line="240" w:lineRule="auto"/>
      <w:ind w:left="567"/>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2">
    <w:name w:val="Colorful Grid - Accent 12"/>
    <w:basedOn w:val="TableNormal"/>
    <w:next w:val="ColorfulGrid-Accent1"/>
    <w:rsid w:val="00D61191"/>
    <w:pPr>
      <w:spacing w:before="120" w:after="0" w:line="240" w:lineRule="auto"/>
      <w:ind w:left="567"/>
      <w:jc w:val="both"/>
    </w:pPr>
    <w:rPr>
      <w:rFonts w:ascii="Times New Roman" w:eastAsia="Times New Roman" w:hAnsi="Times New Roman" w:cs="Times New Roman"/>
      <w:sz w:val="20"/>
      <w:szCs w:val="2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2">
    <w:name w:val="Table-Grid2"/>
    <w:basedOn w:val="TableNormal"/>
    <w:uiPriority w:val="99"/>
    <w:rsid w:val="00D61191"/>
    <w:pPr>
      <w:spacing w:before="120" w:after="0" w:line="240" w:lineRule="auto"/>
      <w:ind w:left="567"/>
      <w:jc w:val="both"/>
    </w:pPr>
    <w:rPr>
      <w:rFonts w:ascii="Times New Roman" w:eastAsia="Times New Roman" w:hAnsi="Times New Roman" w:cs="Times New Roman"/>
      <w:sz w:val="20"/>
      <w:szCs w:val="20"/>
    </w:rPr>
    <w:tblPr>
      <w:tblBorders>
        <w:top w:val="single" w:sz="6" w:space="0" w:color="808080" w:themeColor="background1" w:themeShade="80"/>
        <w:bottom w:val="single" w:sz="6" w:space="0" w:color="808080" w:themeColor="background1" w:themeShade="80"/>
      </w:tblBorders>
      <w:tblCellMar>
        <w:top w:w="57" w:type="dxa"/>
        <w:left w:w="85" w:type="dxa"/>
        <w:bottom w:w="57" w:type="dxa"/>
        <w:right w:w="0" w:type="dxa"/>
      </w:tblCellMar>
    </w:tblPr>
    <w:tcPr>
      <w:shd w:val="clear" w:color="auto" w:fill="FFFFFF" w:themeFill="background1"/>
    </w:tcPr>
  </w:style>
  <w:style w:type="table" w:customStyle="1" w:styleId="LightShading-Accent32">
    <w:name w:val="Light Shading - Accent 32"/>
    <w:basedOn w:val="TableNormal"/>
    <w:next w:val="LightShading-Accent3"/>
    <w:uiPriority w:val="60"/>
    <w:rsid w:val="00D61191"/>
    <w:pPr>
      <w:spacing w:before="120" w:after="0" w:line="240" w:lineRule="auto"/>
      <w:ind w:left="567"/>
      <w:jc w:val="both"/>
    </w:pPr>
    <w:rPr>
      <w:color w:val="88C6BE" w:themeColor="accent3" w:themeShade="BF"/>
    </w:rPr>
    <w:tblPr>
      <w:tblStyleRowBandSize w:val="1"/>
      <w:tblStyleColBandSize w:val="1"/>
      <w:tblBorders>
        <w:top w:val="single" w:sz="8" w:space="0" w:color="D5EBE8" w:themeColor="accent3"/>
        <w:bottom w:val="single" w:sz="8" w:space="0" w:color="D5EBE8" w:themeColor="accent3"/>
      </w:tblBorders>
    </w:tblPr>
    <w:tblStylePr w:type="fir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la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AF9" w:themeFill="accent3" w:themeFillTint="3F"/>
      </w:tcPr>
    </w:tblStylePr>
    <w:tblStylePr w:type="band1Horz">
      <w:tblPr/>
      <w:tcPr>
        <w:tcBorders>
          <w:left w:val="nil"/>
          <w:right w:val="nil"/>
          <w:insideH w:val="nil"/>
          <w:insideV w:val="nil"/>
        </w:tcBorders>
        <w:shd w:val="clear" w:color="auto" w:fill="F4FAF9" w:themeFill="accent3" w:themeFillTint="3F"/>
      </w:tcPr>
    </w:tblStylePr>
  </w:style>
  <w:style w:type="table" w:customStyle="1" w:styleId="ColorfulList-Accent42">
    <w:name w:val="Colorful List - Accent 42"/>
    <w:basedOn w:val="TableNormal"/>
    <w:next w:val="ColorfulList-Accent4"/>
    <w:uiPriority w:val="72"/>
    <w:rsid w:val="00D61191"/>
    <w:pPr>
      <w:spacing w:before="120" w:after="0" w:line="240" w:lineRule="auto"/>
      <w:ind w:left="567"/>
      <w:jc w:val="both"/>
    </w:pPr>
    <w:rPr>
      <w:color w:val="000000" w:themeColor="text1"/>
    </w:rPr>
    <w:tblPr>
      <w:tblStyleRowBandSize w:val="1"/>
      <w:tblStyleColBandSize w:val="1"/>
    </w:tblPr>
    <w:tcPr>
      <w:shd w:val="clear" w:color="auto" w:fill="E6F8F5" w:themeFill="accent4" w:themeFillTint="19"/>
    </w:tcPr>
    <w:tblStylePr w:type="firstRow">
      <w:rPr>
        <w:b/>
        <w:bCs/>
        <w:color w:val="FFFFFF" w:themeColor="background1"/>
      </w:rPr>
      <w:tblPr/>
      <w:tcPr>
        <w:tcBorders>
          <w:bottom w:val="single" w:sz="12" w:space="0" w:color="FFFFFF" w:themeColor="background1"/>
        </w:tcBorders>
        <w:shd w:val="clear" w:color="auto" w:fill="98CEC6" w:themeFill="accent3" w:themeFillShade="CC"/>
      </w:tcPr>
    </w:tblStylePr>
    <w:tblStylePr w:type="lastRow">
      <w:rPr>
        <w:b/>
        <w:bCs/>
        <w:color w:val="98C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EDE6" w:themeFill="accent4" w:themeFillTint="3F"/>
      </w:tcPr>
    </w:tblStylePr>
    <w:tblStylePr w:type="band1Horz">
      <w:tblPr/>
      <w:tcPr>
        <w:shd w:val="clear" w:color="auto" w:fill="CEF1EA" w:themeFill="accent4" w:themeFillTint="33"/>
      </w:tcPr>
    </w:tblStylePr>
  </w:style>
  <w:style w:type="table" w:customStyle="1" w:styleId="MediumShading1-Accent32">
    <w:name w:val="Medium Shading 1 - Accent 32"/>
    <w:basedOn w:val="TableNormal"/>
    <w:next w:val="MediumShading1-Accent3"/>
    <w:uiPriority w:val="63"/>
    <w:rsid w:val="00D61191"/>
    <w:pPr>
      <w:spacing w:before="120" w:after="0" w:line="240" w:lineRule="auto"/>
      <w:ind w:left="567"/>
      <w:jc w:val="both"/>
    </w:pPr>
    <w:tblPr>
      <w:tblStyleRowBandSize w:val="1"/>
      <w:tblStyleColBandSize w:val="1"/>
      <w:tbl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single" w:sz="8" w:space="0" w:color="DFF0ED" w:themeColor="accent3" w:themeTint="BF"/>
      </w:tblBorders>
    </w:tblPr>
    <w:tblStylePr w:type="firstRow">
      <w:pPr>
        <w:spacing w:before="0" w:after="0" w:line="240" w:lineRule="auto"/>
      </w:pPr>
      <w:rPr>
        <w:b/>
        <w:bCs/>
        <w:color w:val="FFFFFF" w:themeColor="background1"/>
      </w:rPr>
      <w:tblPr/>
      <w:tcPr>
        <w:tc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shd w:val="clear" w:color="auto" w:fill="D5EBE8" w:themeFill="accent3"/>
      </w:tcPr>
    </w:tblStylePr>
    <w:tblStylePr w:type="lastRow">
      <w:pPr>
        <w:spacing w:before="0" w:after="0" w:line="240" w:lineRule="auto"/>
      </w:pPr>
      <w:rPr>
        <w:b/>
        <w:bCs/>
      </w:rPr>
      <w:tblPr/>
      <w:tcPr>
        <w:tcBorders>
          <w:top w:val="double" w:sz="6"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FAF9" w:themeFill="accent3" w:themeFillTint="3F"/>
      </w:tcPr>
    </w:tblStylePr>
    <w:tblStylePr w:type="band1Horz">
      <w:tblPr/>
      <w:tcPr>
        <w:tcBorders>
          <w:insideH w:val="nil"/>
          <w:insideV w:val="nil"/>
        </w:tcBorders>
        <w:shd w:val="clear" w:color="auto" w:fill="F4FAF9" w:themeFill="accent3" w:themeFillTint="3F"/>
      </w:tcPr>
    </w:tblStylePr>
    <w:tblStylePr w:type="band2Horz">
      <w:tblPr/>
      <w:tcPr>
        <w:tcBorders>
          <w:insideH w:val="nil"/>
          <w:insideV w:val="nil"/>
        </w:tcBorders>
      </w:tcPr>
    </w:tblStylePr>
  </w:style>
  <w:style w:type="table" w:customStyle="1" w:styleId="LightList-Accent42">
    <w:name w:val="Light List - Accent 42"/>
    <w:basedOn w:val="TableNormal"/>
    <w:next w:val="LightList-Accent4"/>
    <w:uiPriority w:val="61"/>
    <w:rsid w:val="00D61191"/>
    <w:pPr>
      <w:spacing w:before="120" w:after="0" w:line="240" w:lineRule="auto"/>
      <w:ind w:left="567"/>
      <w:jc w:val="both"/>
    </w:pPr>
    <w:tblPr>
      <w:tblStyleRowBandSize w:val="1"/>
      <w:tblStyleColBandSize w:val="1"/>
      <w:tblBorders>
        <w:top w:val="single" w:sz="8" w:space="0" w:color="2C9986" w:themeColor="accent4"/>
        <w:left w:val="single" w:sz="8" w:space="0" w:color="2C9986" w:themeColor="accent4"/>
        <w:bottom w:val="single" w:sz="8" w:space="0" w:color="2C9986" w:themeColor="accent4"/>
        <w:right w:val="single" w:sz="8" w:space="0" w:color="2C9986" w:themeColor="accent4"/>
      </w:tblBorders>
    </w:tblPr>
    <w:tblStylePr w:type="firstRow">
      <w:pPr>
        <w:spacing w:before="0" w:after="0" w:line="240" w:lineRule="auto"/>
      </w:pPr>
      <w:rPr>
        <w:b/>
        <w:bCs/>
        <w:color w:val="FFFFFF" w:themeColor="background1"/>
      </w:rPr>
      <w:tblPr/>
      <w:tcPr>
        <w:shd w:val="clear" w:color="auto" w:fill="2C9986" w:themeFill="accent4"/>
      </w:tcPr>
    </w:tblStylePr>
    <w:tblStylePr w:type="lastRow">
      <w:pPr>
        <w:spacing w:before="0" w:after="0" w:line="240" w:lineRule="auto"/>
      </w:pPr>
      <w:rPr>
        <w:b/>
        <w:bCs/>
      </w:rPr>
      <w:tblPr/>
      <w:tcPr>
        <w:tcBorders>
          <w:top w:val="double" w:sz="6" w:space="0" w:color="2C9986" w:themeColor="accent4"/>
          <w:left w:val="single" w:sz="8" w:space="0" w:color="2C9986" w:themeColor="accent4"/>
          <w:bottom w:val="single" w:sz="8" w:space="0" w:color="2C9986" w:themeColor="accent4"/>
          <w:right w:val="single" w:sz="8" w:space="0" w:color="2C9986" w:themeColor="accent4"/>
        </w:tcBorders>
      </w:tcPr>
    </w:tblStylePr>
    <w:tblStylePr w:type="firstCol">
      <w:rPr>
        <w:b/>
        <w:bCs/>
      </w:rPr>
    </w:tblStylePr>
    <w:tblStylePr w:type="lastCol">
      <w:rPr>
        <w:b/>
        <w:bCs/>
      </w:rPr>
    </w:tblStylePr>
    <w:tblStylePr w:type="band1Vert">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tblStylePr w:type="band1Horz">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style>
  <w:style w:type="table" w:customStyle="1" w:styleId="ColorfulGrid-Accent32">
    <w:name w:val="Colorful Grid - Accent 32"/>
    <w:basedOn w:val="TableNormal"/>
    <w:next w:val="ColorfulGrid-Accent3"/>
    <w:uiPriority w:val="73"/>
    <w:rsid w:val="00D61191"/>
    <w:pPr>
      <w:spacing w:before="120" w:after="0" w:line="240" w:lineRule="auto"/>
      <w:ind w:left="567"/>
      <w:jc w:val="both"/>
    </w:pPr>
    <w:rPr>
      <w:color w:val="000000" w:themeColor="text1"/>
    </w:rPr>
    <w:tblPr>
      <w:tblStyleRowBandSize w:val="1"/>
      <w:tblStyleColBandSize w:val="1"/>
      <w:tblBorders>
        <w:insideH w:val="single" w:sz="4" w:space="0" w:color="FFFFFF" w:themeColor="background1"/>
      </w:tblBorders>
    </w:tblPr>
    <w:tcPr>
      <w:shd w:val="clear" w:color="auto" w:fill="F6FBFA" w:themeFill="accent3" w:themeFillTint="33"/>
    </w:tcPr>
    <w:tblStylePr w:type="firstRow">
      <w:rPr>
        <w:b/>
        <w:bCs/>
      </w:rPr>
      <w:tblPr/>
      <w:tcPr>
        <w:shd w:val="clear" w:color="auto" w:fill="EEF7F5" w:themeFill="accent3" w:themeFillTint="66"/>
      </w:tcPr>
    </w:tblStylePr>
    <w:tblStylePr w:type="lastRow">
      <w:rPr>
        <w:b/>
        <w:bCs/>
        <w:color w:val="000000" w:themeColor="text1"/>
      </w:rPr>
      <w:tblPr/>
      <w:tcPr>
        <w:shd w:val="clear" w:color="auto" w:fill="EEF7F5" w:themeFill="accent3" w:themeFillTint="66"/>
      </w:tcPr>
    </w:tblStylePr>
    <w:tblStylePr w:type="firstCol">
      <w:rPr>
        <w:color w:val="FFFFFF" w:themeColor="background1"/>
      </w:rPr>
      <w:tblPr/>
      <w:tcPr>
        <w:shd w:val="clear" w:color="auto" w:fill="88C6BE" w:themeFill="accent3" w:themeFillShade="BF"/>
      </w:tcPr>
    </w:tblStylePr>
    <w:tblStylePr w:type="lastCol">
      <w:rPr>
        <w:color w:val="FFFFFF" w:themeColor="background1"/>
      </w:rPr>
      <w:tblPr/>
      <w:tcPr>
        <w:shd w:val="clear" w:color="auto" w:fill="88C6BE" w:themeFill="accent3" w:themeFillShade="BF"/>
      </w:tcPr>
    </w:tblStylePr>
    <w:tblStylePr w:type="band1Vert">
      <w:tblPr/>
      <w:tcPr>
        <w:shd w:val="clear" w:color="auto" w:fill="EAF5F3" w:themeFill="accent3" w:themeFillTint="7F"/>
      </w:tcPr>
    </w:tblStylePr>
    <w:tblStylePr w:type="band1Horz">
      <w:tblPr/>
      <w:tcPr>
        <w:shd w:val="clear" w:color="auto" w:fill="EAF5F3" w:themeFill="accent3" w:themeFillTint="7F"/>
      </w:tcPr>
    </w:tblStylePr>
  </w:style>
  <w:style w:type="table" w:customStyle="1" w:styleId="LightList-Accent32">
    <w:name w:val="Light List - Accent 32"/>
    <w:basedOn w:val="TableNormal"/>
    <w:next w:val="LightList-Accent3"/>
    <w:uiPriority w:val="61"/>
    <w:rsid w:val="00D61191"/>
    <w:pPr>
      <w:spacing w:before="120" w:after="0" w:line="240" w:lineRule="auto"/>
      <w:ind w:left="567"/>
      <w:jc w:val="both"/>
    </w:p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table" w:customStyle="1" w:styleId="GridTable1LightAccent42">
    <w:name w:val="Grid Table 1 Light Accent 42"/>
    <w:basedOn w:val="TableNormal"/>
    <w:uiPriority w:val="46"/>
    <w:rsid w:val="00D61191"/>
    <w:pPr>
      <w:spacing w:before="120" w:after="0" w:line="240" w:lineRule="auto"/>
      <w:ind w:left="567"/>
      <w:jc w:val="both"/>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TableGrid6">
    <w:name w:val="Table Grid6"/>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D61191"/>
    <w:pPr>
      <w:spacing w:after="0" w:line="240" w:lineRule="auto"/>
    </w:pPr>
    <w:rPr>
      <w:rFonts w:eastAsiaTheme="minorEastAsia"/>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415">
    <w:name w:val="Grid Table 1 Light - Accent 415"/>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character" w:customStyle="1" w:styleId="Mention1">
    <w:name w:val="Mention1"/>
    <w:basedOn w:val="DefaultParagraphFont"/>
    <w:uiPriority w:val="99"/>
    <w:semiHidden/>
    <w:unhideWhenUsed/>
    <w:rsid w:val="00D61191"/>
    <w:rPr>
      <w:color w:val="2B579A"/>
      <w:shd w:val="clear" w:color="auto" w:fill="E6E6E6"/>
    </w:rPr>
  </w:style>
  <w:style w:type="table" w:customStyle="1" w:styleId="GridTable1Light1">
    <w:name w:val="Grid Table 1 Light1"/>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9">
    <w:name w:val="Table Grid9"/>
    <w:basedOn w:val="TableNormal"/>
    <w:next w:val="TableGrid"/>
    <w:uiPriority w:val="59"/>
    <w:rsid w:val="00D61191"/>
    <w:pPr>
      <w:spacing w:after="0" w:line="240" w:lineRule="auto"/>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2">
    <w:name w:val="Light Shading - Accent 12"/>
    <w:basedOn w:val="TableNormal"/>
    <w:next w:val="LightShading-Accent1"/>
    <w:uiPriority w:val="60"/>
    <w:rsid w:val="00D61191"/>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2">
    <w:name w:val="Light List - Accent 12"/>
    <w:basedOn w:val="TableNormal"/>
    <w:next w:val="LightList-Accent1"/>
    <w:uiPriority w:val="61"/>
    <w:rsid w:val="00D61191"/>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table" w:customStyle="1" w:styleId="LightGrid-Accent12">
    <w:name w:val="Light Grid - Accent 12"/>
    <w:basedOn w:val="TableNormal"/>
    <w:next w:val="LightGrid-Accent1"/>
    <w:uiPriority w:val="62"/>
    <w:rsid w:val="00D61191"/>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ColorfulList-Accent62">
    <w:name w:val="Colorful List - Accent 62"/>
    <w:basedOn w:val="TableNormal"/>
    <w:next w:val="ColorfulList-Accent6"/>
    <w:uiPriority w:val="72"/>
    <w:rsid w:val="00D61191"/>
    <w:pPr>
      <w:spacing w:before="120" w:after="0" w:line="240" w:lineRule="auto"/>
      <w:jc w:val="both"/>
    </w:pPr>
    <w:rPr>
      <w:rFonts w:ascii="Arial" w:eastAsia="Times New Roman" w:hAnsi="Arial" w:cs="Times New Roman"/>
      <w:color w:val="000000" w:themeColor="text1"/>
      <w:sz w:val="16"/>
      <w:szCs w:val="20"/>
      <w:lang w:eastAsia="en-NZ"/>
    </w:rPr>
    <w:tblPr>
      <w:tblStyleRowBandSize w:val="1"/>
      <w:tblStyleColBandSize w:val="1"/>
    </w:tblPr>
    <w:tcPr>
      <w:shd w:val="clear" w:color="auto" w:fill="FFFFFF" w:themeFill="background1"/>
    </w:tcPr>
    <w:tblStylePr w:type="firstRow">
      <w:rPr>
        <w:b/>
        <w:bCs/>
        <w:color w:val="FFFFFF" w:themeColor="background1"/>
      </w:rPr>
      <w:tblPr/>
      <w:tcPr>
        <w:tcBorders>
          <w:bottom w:val="single" w:sz="12" w:space="0" w:color="FFFFFF" w:themeColor="background1"/>
        </w:tcBorders>
        <w:shd w:val="clear" w:color="auto" w:fill="45B29E" w:themeFill="accent5" w:themeFillShade="CC"/>
      </w:tcPr>
    </w:tblStylePr>
    <w:tblStylePr w:type="lastRow">
      <w:rPr>
        <w:b/>
        <w:bCs/>
        <w:color w:val="45B29E" w:themeColor="accent5" w:themeShade="CC"/>
      </w:rPr>
      <w:tblPr/>
      <w:tcPr>
        <w:tcBorders>
          <w:top w:val="single" w:sz="12" w:space="0" w:color="000000" w:themeColor="text1"/>
        </w:tcBorders>
        <w:shd w:val="clear" w:color="auto" w:fill="FFFFFF" w:themeFill="background1"/>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table" w:customStyle="1" w:styleId="TableGrid13">
    <w:name w:val="Table Grid13"/>
    <w:basedOn w:val="TableNormal"/>
    <w:next w:val="TableGrid"/>
    <w:rsid w:val="00D61191"/>
    <w:pPr>
      <w:spacing w:before="120" w:after="0" w:line="240" w:lineRule="auto"/>
      <w:ind w:left="567"/>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3">
    <w:name w:val="Colorful Grid - Accent 13"/>
    <w:basedOn w:val="TableNormal"/>
    <w:next w:val="ColorfulGrid-Accent1"/>
    <w:rsid w:val="00D61191"/>
    <w:pPr>
      <w:spacing w:before="120" w:after="0" w:line="240" w:lineRule="auto"/>
      <w:ind w:left="567"/>
      <w:jc w:val="both"/>
    </w:pPr>
    <w:rPr>
      <w:rFonts w:ascii="Times New Roman" w:eastAsia="Times New Roman" w:hAnsi="Times New Roman" w:cs="Times New Roman"/>
      <w:sz w:val="20"/>
      <w:szCs w:val="2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3">
    <w:name w:val="Table-Grid3"/>
    <w:basedOn w:val="TableNormal"/>
    <w:uiPriority w:val="99"/>
    <w:rsid w:val="00D61191"/>
    <w:pPr>
      <w:spacing w:before="120" w:after="0" w:line="240" w:lineRule="auto"/>
      <w:ind w:left="567"/>
      <w:jc w:val="both"/>
    </w:pPr>
    <w:rPr>
      <w:rFonts w:ascii="Times New Roman" w:eastAsia="Times New Roman" w:hAnsi="Times New Roman" w:cs="Times New Roman"/>
      <w:sz w:val="20"/>
      <w:szCs w:val="20"/>
    </w:rPr>
    <w:tblPr>
      <w:tblBorders>
        <w:top w:val="single" w:sz="6" w:space="0" w:color="808080" w:themeColor="background1" w:themeShade="80"/>
        <w:bottom w:val="single" w:sz="6" w:space="0" w:color="808080" w:themeColor="background1" w:themeShade="80"/>
      </w:tblBorders>
      <w:tblCellMar>
        <w:top w:w="57" w:type="dxa"/>
        <w:left w:w="85" w:type="dxa"/>
        <w:bottom w:w="57" w:type="dxa"/>
        <w:right w:w="0" w:type="dxa"/>
      </w:tblCellMar>
    </w:tblPr>
    <w:tcPr>
      <w:shd w:val="clear" w:color="auto" w:fill="FFFFFF" w:themeFill="background1"/>
    </w:tcPr>
  </w:style>
  <w:style w:type="table" w:customStyle="1" w:styleId="LightShading-Accent33">
    <w:name w:val="Light Shading - Accent 33"/>
    <w:basedOn w:val="TableNormal"/>
    <w:next w:val="LightShading-Accent3"/>
    <w:uiPriority w:val="60"/>
    <w:rsid w:val="00D61191"/>
    <w:pPr>
      <w:spacing w:before="120" w:after="0" w:line="240" w:lineRule="auto"/>
      <w:ind w:left="567"/>
      <w:jc w:val="both"/>
    </w:pPr>
    <w:rPr>
      <w:color w:val="88C6BE" w:themeColor="accent3" w:themeShade="BF"/>
    </w:rPr>
    <w:tblPr>
      <w:tblStyleRowBandSize w:val="1"/>
      <w:tblStyleColBandSize w:val="1"/>
      <w:tblBorders>
        <w:top w:val="single" w:sz="8" w:space="0" w:color="D5EBE8" w:themeColor="accent3"/>
        <w:bottom w:val="single" w:sz="8" w:space="0" w:color="D5EBE8" w:themeColor="accent3"/>
      </w:tblBorders>
    </w:tblPr>
    <w:tblStylePr w:type="fir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la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AF9" w:themeFill="accent3" w:themeFillTint="3F"/>
      </w:tcPr>
    </w:tblStylePr>
    <w:tblStylePr w:type="band1Horz">
      <w:tblPr/>
      <w:tcPr>
        <w:tcBorders>
          <w:left w:val="nil"/>
          <w:right w:val="nil"/>
          <w:insideH w:val="nil"/>
          <w:insideV w:val="nil"/>
        </w:tcBorders>
        <w:shd w:val="clear" w:color="auto" w:fill="F4FAF9" w:themeFill="accent3" w:themeFillTint="3F"/>
      </w:tcPr>
    </w:tblStylePr>
  </w:style>
  <w:style w:type="table" w:customStyle="1" w:styleId="ColorfulList-Accent43">
    <w:name w:val="Colorful List - Accent 43"/>
    <w:basedOn w:val="TableNormal"/>
    <w:next w:val="ColorfulList-Accent4"/>
    <w:uiPriority w:val="72"/>
    <w:rsid w:val="00D61191"/>
    <w:pPr>
      <w:spacing w:before="120" w:after="0" w:line="240" w:lineRule="auto"/>
      <w:ind w:left="567"/>
      <w:jc w:val="both"/>
    </w:pPr>
    <w:rPr>
      <w:color w:val="000000" w:themeColor="text1"/>
    </w:rPr>
    <w:tblPr>
      <w:tblStyleRowBandSize w:val="1"/>
      <w:tblStyleColBandSize w:val="1"/>
    </w:tblPr>
    <w:tcPr>
      <w:shd w:val="clear" w:color="auto" w:fill="E6F8F5" w:themeFill="accent4" w:themeFillTint="19"/>
    </w:tcPr>
    <w:tblStylePr w:type="firstRow">
      <w:rPr>
        <w:b/>
        <w:bCs/>
        <w:color w:val="FFFFFF" w:themeColor="background1"/>
      </w:rPr>
      <w:tblPr/>
      <w:tcPr>
        <w:tcBorders>
          <w:bottom w:val="single" w:sz="12" w:space="0" w:color="FFFFFF" w:themeColor="background1"/>
        </w:tcBorders>
        <w:shd w:val="clear" w:color="auto" w:fill="98CEC6" w:themeFill="accent3" w:themeFillShade="CC"/>
      </w:tcPr>
    </w:tblStylePr>
    <w:tblStylePr w:type="lastRow">
      <w:rPr>
        <w:b/>
        <w:bCs/>
        <w:color w:val="98C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EDE6" w:themeFill="accent4" w:themeFillTint="3F"/>
      </w:tcPr>
    </w:tblStylePr>
    <w:tblStylePr w:type="band1Horz">
      <w:tblPr/>
      <w:tcPr>
        <w:shd w:val="clear" w:color="auto" w:fill="CEF1EA" w:themeFill="accent4" w:themeFillTint="33"/>
      </w:tcPr>
    </w:tblStylePr>
  </w:style>
  <w:style w:type="table" w:customStyle="1" w:styleId="MediumShading1-Accent33">
    <w:name w:val="Medium Shading 1 - Accent 33"/>
    <w:basedOn w:val="TableNormal"/>
    <w:next w:val="MediumShading1-Accent3"/>
    <w:uiPriority w:val="63"/>
    <w:rsid w:val="00D61191"/>
    <w:pPr>
      <w:spacing w:before="120" w:after="0" w:line="240" w:lineRule="auto"/>
      <w:ind w:left="567"/>
      <w:jc w:val="both"/>
    </w:pPr>
    <w:tblPr>
      <w:tblStyleRowBandSize w:val="1"/>
      <w:tblStyleColBandSize w:val="1"/>
      <w:tbl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single" w:sz="8" w:space="0" w:color="DFF0ED" w:themeColor="accent3" w:themeTint="BF"/>
      </w:tblBorders>
    </w:tblPr>
    <w:tblStylePr w:type="firstRow">
      <w:pPr>
        <w:spacing w:before="0" w:after="0" w:line="240" w:lineRule="auto"/>
      </w:pPr>
      <w:rPr>
        <w:b/>
        <w:bCs/>
        <w:color w:val="FFFFFF" w:themeColor="background1"/>
      </w:rPr>
      <w:tblPr/>
      <w:tcPr>
        <w:tc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shd w:val="clear" w:color="auto" w:fill="D5EBE8" w:themeFill="accent3"/>
      </w:tcPr>
    </w:tblStylePr>
    <w:tblStylePr w:type="lastRow">
      <w:pPr>
        <w:spacing w:before="0" w:after="0" w:line="240" w:lineRule="auto"/>
      </w:pPr>
      <w:rPr>
        <w:b/>
        <w:bCs/>
      </w:rPr>
      <w:tblPr/>
      <w:tcPr>
        <w:tcBorders>
          <w:top w:val="double" w:sz="6"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FAF9" w:themeFill="accent3" w:themeFillTint="3F"/>
      </w:tcPr>
    </w:tblStylePr>
    <w:tblStylePr w:type="band1Horz">
      <w:tblPr/>
      <w:tcPr>
        <w:tcBorders>
          <w:insideH w:val="nil"/>
          <w:insideV w:val="nil"/>
        </w:tcBorders>
        <w:shd w:val="clear" w:color="auto" w:fill="F4FAF9" w:themeFill="accent3" w:themeFillTint="3F"/>
      </w:tcPr>
    </w:tblStylePr>
    <w:tblStylePr w:type="band2Horz">
      <w:tblPr/>
      <w:tcPr>
        <w:tcBorders>
          <w:insideH w:val="nil"/>
          <w:insideV w:val="nil"/>
        </w:tcBorders>
      </w:tcPr>
    </w:tblStylePr>
  </w:style>
  <w:style w:type="table" w:customStyle="1" w:styleId="LightList-Accent43">
    <w:name w:val="Light List - Accent 43"/>
    <w:basedOn w:val="TableNormal"/>
    <w:next w:val="LightList-Accent4"/>
    <w:uiPriority w:val="61"/>
    <w:rsid w:val="00D61191"/>
    <w:pPr>
      <w:spacing w:before="120" w:after="0" w:line="240" w:lineRule="auto"/>
      <w:ind w:left="567"/>
      <w:jc w:val="both"/>
    </w:pPr>
    <w:tblPr>
      <w:tblStyleRowBandSize w:val="1"/>
      <w:tblStyleColBandSize w:val="1"/>
      <w:tblBorders>
        <w:top w:val="single" w:sz="8" w:space="0" w:color="2C9986" w:themeColor="accent4"/>
        <w:left w:val="single" w:sz="8" w:space="0" w:color="2C9986" w:themeColor="accent4"/>
        <w:bottom w:val="single" w:sz="8" w:space="0" w:color="2C9986" w:themeColor="accent4"/>
        <w:right w:val="single" w:sz="8" w:space="0" w:color="2C9986" w:themeColor="accent4"/>
      </w:tblBorders>
    </w:tblPr>
    <w:tblStylePr w:type="firstRow">
      <w:pPr>
        <w:spacing w:before="0" w:after="0" w:line="240" w:lineRule="auto"/>
      </w:pPr>
      <w:rPr>
        <w:b/>
        <w:bCs/>
        <w:color w:val="FFFFFF" w:themeColor="background1"/>
      </w:rPr>
      <w:tblPr/>
      <w:tcPr>
        <w:shd w:val="clear" w:color="auto" w:fill="2C9986" w:themeFill="accent4"/>
      </w:tcPr>
    </w:tblStylePr>
    <w:tblStylePr w:type="lastRow">
      <w:pPr>
        <w:spacing w:before="0" w:after="0" w:line="240" w:lineRule="auto"/>
      </w:pPr>
      <w:rPr>
        <w:b/>
        <w:bCs/>
      </w:rPr>
      <w:tblPr/>
      <w:tcPr>
        <w:tcBorders>
          <w:top w:val="double" w:sz="6" w:space="0" w:color="2C9986" w:themeColor="accent4"/>
          <w:left w:val="single" w:sz="8" w:space="0" w:color="2C9986" w:themeColor="accent4"/>
          <w:bottom w:val="single" w:sz="8" w:space="0" w:color="2C9986" w:themeColor="accent4"/>
          <w:right w:val="single" w:sz="8" w:space="0" w:color="2C9986" w:themeColor="accent4"/>
        </w:tcBorders>
      </w:tcPr>
    </w:tblStylePr>
    <w:tblStylePr w:type="firstCol">
      <w:rPr>
        <w:b/>
        <w:bCs/>
      </w:rPr>
    </w:tblStylePr>
    <w:tblStylePr w:type="lastCol">
      <w:rPr>
        <w:b/>
        <w:bCs/>
      </w:rPr>
    </w:tblStylePr>
    <w:tblStylePr w:type="band1Vert">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tblStylePr w:type="band1Horz">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style>
  <w:style w:type="table" w:customStyle="1" w:styleId="ColorfulGrid-Accent33">
    <w:name w:val="Colorful Grid - Accent 33"/>
    <w:basedOn w:val="TableNormal"/>
    <w:next w:val="ColorfulGrid-Accent3"/>
    <w:uiPriority w:val="73"/>
    <w:rsid w:val="00D61191"/>
    <w:pPr>
      <w:spacing w:before="120" w:after="0" w:line="240" w:lineRule="auto"/>
      <w:ind w:left="567"/>
      <w:jc w:val="both"/>
    </w:pPr>
    <w:rPr>
      <w:color w:val="000000" w:themeColor="text1"/>
    </w:rPr>
    <w:tblPr>
      <w:tblStyleRowBandSize w:val="1"/>
      <w:tblStyleColBandSize w:val="1"/>
      <w:tblBorders>
        <w:insideH w:val="single" w:sz="4" w:space="0" w:color="FFFFFF" w:themeColor="background1"/>
      </w:tblBorders>
    </w:tblPr>
    <w:tcPr>
      <w:shd w:val="clear" w:color="auto" w:fill="F6FBFA" w:themeFill="accent3" w:themeFillTint="33"/>
    </w:tcPr>
    <w:tblStylePr w:type="firstRow">
      <w:rPr>
        <w:b/>
        <w:bCs/>
      </w:rPr>
      <w:tblPr/>
      <w:tcPr>
        <w:shd w:val="clear" w:color="auto" w:fill="EEF7F5" w:themeFill="accent3" w:themeFillTint="66"/>
      </w:tcPr>
    </w:tblStylePr>
    <w:tblStylePr w:type="lastRow">
      <w:rPr>
        <w:b/>
        <w:bCs/>
        <w:color w:val="000000" w:themeColor="text1"/>
      </w:rPr>
      <w:tblPr/>
      <w:tcPr>
        <w:shd w:val="clear" w:color="auto" w:fill="EEF7F5" w:themeFill="accent3" w:themeFillTint="66"/>
      </w:tcPr>
    </w:tblStylePr>
    <w:tblStylePr w:type="firstCol">
      <w:rPr>
        <w:color w:val="FFFFFF" w:themeColor="background1"/>
      </w:rPr>
      <w:tblPr/>
      <w:tcPr>
        <w:shd w:val="clear" w:color="auto" w:fill="88C6BE" w:themeFill="accent3" w:themeFillShade="BF"/>
      </w:tcPr>
    </w:tblStylePr>
    <w:tblStylePr w:type="lastCol">
      <w:rPr>
        <w:color w:val="FFFFFF" w:themeColor="background1"/>
      </w:rPr>
      <w:tblPr/>
      <w:tcPr>
        <w:shd w:val="clear" w:color="auto" w:fill="88C6BE" w:themeFill="accent3" w:themeFillShade="BF"/>
      </w:tcPr>
    </w:tblStylePr>
    <w:tblStylePr w:type="band1Vert">
      <w:tblPr/>
      <w:tcPr>
        <w:shd w:val="clear" w:color="auto" w:fill="EAF5F3" w:themeFill="accent3" w:themeFillTint="7F"/>
      </w:tcPr>
    </w:tblStylePr>
    <w:tblStylePr w:type="band1Horz">
      <w:tblPr/>
      <w:tcPr>
        <w:shd w:val="clear" w:color="auto" w:fill="EAF5F3" w:themeFill="accent3" w:themeFillTint="7F"/>
      </w:tcPr>
    </w:tblStylePr>
  </w:style>
  <w:style w:type="table" w:customStyle="1" w:styleId="LightList-Accent33">
    <w:name w:val="Light List - Accent 33"/>
    <w:basedOn w:val="TableNormal"/>
    <w:next w:val="LightList-Accent3"/>
    <w:uiPriority w:val="61"/>
    <w:rsid w:val="00D61191"/>
    <w:pPr>
      <w:spacing w:before="120" w:after="0" w:line="240" w:lineRule="auto"/>
      <w:ind w:left="567"/>
      <w:jc w:val="both"/>
    </w:p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table" w:customStyle="1" w:styleId="GridTable1LightAccent43">
    <w:name w:val="Grid Table 1 Light Accent 43"/>
    <w:basedOn w:val="TableNormal"/>
    <w:uiPriority w:val="46"/>
    <w:rsid w:val="00D61191"/>
    <w:pPr>
      <w:spacing w:before="120" w:after="0" w:line="240" w:lineRule="auto"/>
      <w:ind w:left="567"/>
      <w:jc w:val="both"/>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TableGrid21">
    <w:name w:val="Table Grid21"/>
    <w:basedOn w:val="TableNormal"/>
    <w:next w:val="TableGrid"/>
    <w:uiPriority w:val="59"/>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11">
    <w:name w:val="Colorful Grid - Accent 111"/>
    <w:basedOn w:val="TableNormal"/>
    <w:next w:val="ColorfulGrid-Accent1"/>
    <w:rsid w:val="00D61191"/>
    <w:pPr>
      <w:spacing w:after="0" w:line="240" w:lineRule="auto"/>
    </w:pPr>
    <w:rPr>
      <w:rFonts w:ascii="Times New Roman" w:eastAsia="Times New Roman" w:hAnsi="Times New Roman" w:cs="Times New Roman"/>
      <w:sz w:val="20"/>
      <w:szCs w:val="20"/>
      <w:lang w:val="x-none" w:eastAsia="x-none" w:bidi="x-none"/>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11">
    <w:name w:val="Table-Grid11"/>
    <w:basedOn w:val="TableNormal"/>
    <w:uiPriority w:val="99"/>
    <w:rsid w:val="00D61191"/>
    <w:pPr>
      <w:spacing w:after="0" w:line="240" w:lineRule="auto"/>
    </w:pPr>
    <w:rPr>
      <w:rFonts w:ascii="Times New Roman" w:eastAsia="Times New Roman" w:hAnsi="Times New Roman" w:cs="Times New Roman"/>
      <w:sz w:val="20"/>
      <w:szCs w:val="20"/>
      <w:lang w:eastAsia="en-NZ"/>
    </w:rPr>
    <w:tblPr>
      <w:tblBorders>
        <w:top w:val="single" w:sz="6" w:space="0" w:color="808080"/>
        <w:bottom w:val="single" w:sz="6" w:space="0" w:color="808080"/>
      </w:tblBorders>
      <w:tblCellMar>
        <w:top w:w="57" w:type="dxa"/>
        <w:left w:w="85" w:type="dxa"/>
        <w:bottom w:w="57" w:type="dxa"/>
        <w:right w:w="0" w:type="dxa"/>
      </w:tblCellMar>
    </w:tblPr>
    <w:tcPr>
      <w:shd w:val="clear" w:color="auto" w:fill="FFFFFF"/>
    </w:tcPr>
  </w:style>
  <w:style w:type="table" w:customStyle="1" w:styleId="LightShading-Accent311">
    <w:name w:val="Light Shading - Accent 311"/>
    <w:basedOn w:val="TableNormal"/>
    <w:next w:val="LightShading-Accent3"/>
    <w:uiPriority w:val="60"/>
    <w:rsid w:val="00D61191"/>
    <w:pPr>
      <w:spacing w:after="0" w:line="240" w:lineRule="auto"/>
    </w:pPr>
    <w:rPr>
      <w:rFonts w:ascii="Calibri" w:eastAsia="Calibri" w:hAnsi="Calibri" w:cs="Times New Roman"/>
      <w:color w:val="76923C"/>
      <w:sz w:val="20"/>
      <w:szCs w:val="20"/>
      <w:lang w:eastAsia="en-NZ"/>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ColorfulList-Accent411">
    <w:name w:val="Colorful List - Accent 411"/>
    <w:basedOn w:val="TableNormal"/>
    <w:next w:val="ColorfulList-Accent4"/>
    <w:uiPriority w:val="72"/>
    <w:rsid w:val="00D61191"/>
    <w:pPr>
      <w:spacing w:after="0" w:line="240" w:lineRule="auto"/>
    </w:pPr>
    <w:rPr>
      <w:rFonts w:ascii="Calibri" w:eastAsia="Calibri" w:hAnsi="Calibri" w:cs="Times New Roman"/>
      <w:color w:val="000000"/>
      <w:sz w:val="20"/>
      <w:szCs w:val="20"/>
      <w:lang w:eastAsia="en-NZ"/>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MediumShading1-Accent311">
    <w:name w:val="Medium Shading 1 - Accent 311"/>
    <w:basedOn w:val="TableNormal"/>
    <w:next w:val="MediumShading1-Accent3"/>
    <w:uiPriority w:val="63"/>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List-Accent411">
    <w:name w:val="Light List - Accent 411"/>
    <w:basedOn w:val="TableNormal"/>
    <w:next w:val="LightList-Accent4"/>
    <w:uiPriority w:val="61"/>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ColorfulGrid-Accent311">
    <w:name w:val="Colorful Grid - Accent 311"/>
    <w:basedOn w:val="TableNormal"/>
    <w:next w:val="ColorfulGrid-Accent3"/>
    <w:uiPriority w:val="73"/>
    <w:rsid w:val="00D61191"/>
    <w:pPr>
      <w:spacing w:after="0" w:line="240" w:lineRule="auto"/>
    </w:pPr>
    <w:rPr>
      <w:rFonts w:ascii="Calibri" w:eastAsia="Calibri" w:hAnsi="Calibri" w:cs="Times New Roman"/>
      <w:color w:val="000000"/>
      <w:sz w:val="20"/>
      <w:szCs w:val="20"/>
      <w:lang w:eastAsia="en-NZ"/>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LightList-Accent311">
    <w:name w:val="Light List - Accent 311"/>
    <w:basedOn w:val="TableNormal"/>
    <w:next w:val="LightList-Accent3"/>
    <w:uiPriority w:val="61"/>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GridTable1LightAccent411">
    <w:name w:val="Grid Table 1 Light Accent 411"/>
    <w:basedOn w:val="TableNormal"/>
    <w:uiPriority w:val="46"/>
    <w:rsid w:val="00D61191"/>
    <w:pPr>
      <w:spacing w:after="0" w:line="240" w:lineRule="auto"/>
    </w:pPr>
    <w:rPr>
      <w:rFonts w:ascii="Calibri" w:eastAsia="Times New Roman" w:hAnsi="Calibri" w:cs="Times New Roman"/>
      <w:sz w:val="20"/>
      <w:szCs w:val="20"/>
      <w:lang w:eastAsia="en-NZ"/>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table" w:customStyle="1" w:styleId="TableGrid31">
    <w:name w:val="Table Grid31"/>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D61191"/>
    <w:pPr>
      <w:spacing w:after="0" w:line="240" w:lineRule="auto"/>
    </w:pPr>
    <w:rPr>
      <w:sz w:val="24"/>
      <w:szCs w:val="24"/>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1">
    <w:name w:val="Table Grid111"/>
    <w:basedOn w:val="TableNormal"/>
    <w:next w:val="TableGrid"/>
    <w:uiPriority w:val="59"/>
    <w:rsid w:val="00D61191"/>
    <w:pPr>
      <w:spacing w:after="0" w:line="240" w:lineRule="auto"/>
    </w:pPr>
    <w:rPr>
      <w:rFonts w:ascii="Calibri" w:eastAsia="Calibri" w:hAnsi="Calibri" w:cs="Times New Roman"/>
      <w:sz w:val="24"/>
      <w:szCs w:val="24"/>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ColorfulList-Accent611">
    <w:name w:val="Colorful List - Accent 611"/>
    <w:basedOn w:val="TableNormal"/>
    <w:next w:val="ColorfulList-Accent6"/>
    <w:uiPriority w:val="72"/>
    <w:rsid w:val="00D61191"/>
    <w:pPr>
      <w:spacing w:before="120" w:after="0" w:line="240" w:lineRule="auto"/>
      <w:jc w:val="both"/>
    </w:pPr>
    <w:rPr>
      <w:rFonts w:ascii="Arial" w:eastAsia="Times New Roman" w:hAnsi="Arial" w:cs="Times New Roman"/>
      <w:color w:val="000000" w:themeColor="text1"/>
      <w:sz w:val="16"/>
      <w:szCs w:val="20"/>
      <w:lang w:eastAsia="en-NZ"/>
    </w:rPr>
    <w:tblPr>
      <w:tblStyleRowBandSize w:val="1"/>
      <w:tblStyleColBandSize w:val="1"/>
    </w:tblPr>
    <w:tcPr>
      <w:shd w:val="clear" w:color="auto" w:fill="FFFFFF" w:themeFill="background1"/>
    </w:tcPr>
    <w:tblStylePr w:type="firstRow">
      <w:rPr>
        <w:b/>
        <w:bCs/>
        <w:color w:val="FFFFFF" w:themeColor="background1"/>
      </w:rPr>
      <w:tblPr/>
      <w:tcPr>
        <w:tcBorders>
          <w:bottom w:val="single" w:sz="12" w:space="0" w:color="FFFFFF" w:themeColor="background1"/>
        </w:tcBorders>
        <w:shd w:val="clear" w:color="auto" w:fill="45B29E" w:themeFill="accent5" w:themeFillShade="CC"/>
      </w:tcPr>
    </w:tblStylePr>
    <w:tblStylePr w:type="lastRow">
      <w:rPr>
        <w:b/>
        <w:bCs/>
        <w:color w:val="45B29E" w:themeColor="accent5" w:themeShade="CC"/>
      </w:rPr>
      <w:tblPr/>
      <w:tcPr>
        <w:tcBorders>
          <w:top w:val="single" w:sz="12" w:space="0" w:color="000000" w:themeColor="text1"/>
        </w:tcBorders>
        <w:shd w:val="clear" w:color="auto" w:fill="FFFFFF" w:themeFill="background1"/>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table" w:customStyle="1" w:styleId="TableGrid51">
    <w:name w:val="Table Grid51"/>
    <w:basedOn w:val="TableNormal"/>
    <w:next w:val="TableGrid"/>
    <w:rsid w:val="00D61191"/>
    <w:pPr>
      <w:spacing w:before="120" w:after="0" w:line="240" w:lineRule="auto"/>
      <w:ind w:left="567"/>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21">
    <w:name w:val="Colorful Grid - Accent 121"/>
    <w:basedOn w:val="TableNormal"/>
    <w:next w:val="ColorfulGrid-Accent1"/>
    <w:rsid w:val="00D61191"/>
    <w:pPr>
      <w:spacing w:before="120" w:after="0" w:line="240" w:lineRule="auto"/>
      <w:ind w:left="567"/>
      <w:jc w:val="both"/>
    </w:pPr>
    <w:rPr>
      <w:rFonts w:ascii="Times New Roman" w:eastAsia="Times New Roman" w:hAnsi="Times New Roman" w:cs="Times New Roman"/>
      <w:sz w:val="20"/>
      <w:szCs w:val="2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21">
    <w:name w:val="Table-Grid21"/>
    <w:basedOn w:val="TableNormal"/>
    <w:uiPriority w:val="99"/>
    <w:rsid w:val="00D61191"/>
    <w:pPr>
      <w:spacing w:before="120" w:after="0" w:line="240" w:lineRule="auto"/>
      <w:ind w:left="567"/>
      <w:jc w:val="both"/>
    </w:pPr>
    <w:rPr>
      <w:rFonts w:ascii="Times New Roman" w:eastAsia="Times New Roman" w:hAnsi="Times New Roman" w:cs="Times New Roman"/>
      <w:sz w:val="20"/>
      <w:szCs w:val="20"/>
    </w:rPr>
    <w:tblPr>
      <w:tblBorders>
        <w:top w:val="single" w:sz="6" w:space="0" w:color="808080" w:themeColor="background1" w:themeShade="80"/>
        <w:bottom w:val="single" w:sz="6" w:space="0" w:color="808080" w:themeColor="background1" w:themeShade="80"/>
      </w:tblBorders>
      <w:tblCellMar>
        <w:top w:w="57" w:type="dxa"/>
        <w:left w:w="85" w:type="dxa"/>
        <w:bottom w:w="57" w:type="dxa"/>
        <w:right w:w="0" w:type="dxa"/>
      </w:tblCellMar>
    </w:tblPr>
    <w:tcPr>
      <w:shd w:val="clear" w:color="auto" w:fill="FFFFFF" w:themeFill="background1"/>
    </w:tcPr>
  </w:style>
  <w:style w:type="table" w:customStyle="1" w:styleId="LightShading-Accent321">
    <w:name w:val="Light Shading - Accent 321"/>
    <w:basedOn w:val="TableNormal"/>
    <w:next w:val="LightShading-Accent3"/>
    <w:uiPriority w:val="60"/>
    <w:rsid w:val="00D61191"/>
    <w:pPr>
      <w:spacing w:before="120" w:after="0" w:line="240" w:lineRule="auto"/>
      <w:ind w:left="567"/>
      <w:jc w:val="both"/>
    </w:pPr>
    <w:rPr>
      <w:color w:val="88C6BE" w:themeColor="accent3" w:themeShade="BF"/>
    </w:rPr>
    <w:tblPr>
      <w:tblStyleRowBandSize w:val="1"/>
      <w:tblStyleColBandSize w:val="1"/>
      <w:tblBorders>
        <w:top w:val="single" w:sz="8" w:space="0" w:color="D5EBE8" w:themeColor="accent3"/>
        <w:bottom w:val="single" w:sz="8" w:space="0" w:color="D5EBE8" w:themeColor="accent3"/>
      </w:tblBorders>
    </w:tblPr>
    <w:tblStylePr w:type="fir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la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AF9" w:themeFill="accent3" w:themeFillTint="3F"/>
      </w:tcPr>
    </w:tblStylePr>
    <w:tblStylePr w:type="band1Horz">
      <w:tblPr/>
      <w:tcPr>
        <w:tcBorders>
          <w:left w:val="nil"/>
          <w:right w:val="nil"/>
          <w:insideH w:val="nil"/>
          <w:insideV w:val="nil"/>
        </w:tcBorders>
        <w:shd w:val="clear" w:color="auto" w:fill="F4FAF9" w:themeFill="accent3" w:themeFillTint="3F"/>
      </w:tcPr>
    </w:tblStylePr>
  </w:style>
  <w:style w:type="table" w:customStyle="1" w:styleId="ColorfulList-Accent421">
    <w:name w:val="Colorful List - Accent 421"/>
    <w:basedOn w:val="TableNormal"/>
    <w:next w:val="ColorfulList-Accent4"/>
    <w:uiPriority w:val="72"/>
    <w:rsid w:val="00D61191"/>
    <w:pPr>
      <w:spacing w:before="120" w:after="0" w:line="240" w:lineRule="auto"/>
      <w:ind w:left="567"/>
      <w:jc w:val="both"/>
    </w:pPr>
    <w:rPr>
      <w:color w:val="000000" w:themeColor="text1"/>
    </w:rPr>
    <w:tblPr>
      <w:tblStyleRowBandSize w:val="1"/>
      <w:tblStyleColBandSize w:val="1"/>
    </w:tblPr>
    <w:tcPr>
      <w:shd w:val="clear" w:color="auto" w:fill="E6F8F5" w:themeFill="accent4" w:themeFillTint="19"/>
    </w:tcPr>
    <w:tblStylePr w:type="firstRow">
      <w:rPr>
        <w:b/>
        <w:bCs/>
        <w:color w:val="FFFFFF" w:themeColor="background1"/>
      </w:rPr>
      <w:tblPr/>
      <w:tcPr>
        <w:tcBorders>
          <w:bottom w:val="single" w:sz="12" w:space="0" w:color="FFFFFF" w:themeColor="background1"/>
        </w:tcBorders>
        <w:shd w:val="clear" w:color="auto" w:fill="98CEC6" w:themeFill="accent3" w:themeFillShade="CC"/>
      </w:tcPr>
    </w:tblStylePr>
    <w:tblStylePr w:type="lastRow">
      <w:rPr>
        <w:b/>
        <w:bCs/>
        <w:color w:val="98C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EDE6" w:themeFill="accent4" w:themeFillTint="3F"/>
      </w:tcPr>
    </w:tblStylePr>
    <w:tblStylePr w:type="band1Horz">
      <w:tblPr/>
      <w:tcPr>
        <w:shd w:val="clear" w:color="auto" w:fill="CEF1EA" w:themeFill="accent4" w:themeFillTint="33"/>
      </w:tcPr>
    </w:tblStylePr>
  </w:style>
  <w:style w:type="table" w:customStyle="1" w:styleId="MediumShading1-Accent321">
    <w:name w:val="Medium Shading 1 - Accent 321"/>
    <w:basedOn w:val="TableNormal"/>
    <w:next w:val="MediumShading1-Accent3"/>
    <w:uiPriority w:val="63"/>
    <w:rsid w:val="00D61191"/>
    <w:pPr>
      <w:spacing w:before="120" w:after="0" w:line="240" w:lineRule="auto"/>
      <w:ind w:left="567"/>
      <w:jc w:val="both"/>
    </w:pPr>
    <w:tblPr>
      <w:tblStyleRowBandSize w:val="1"/>
      <w:tblStyleColBandSize w:val="1"/>
      <w:tbl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single" w:sz="8" w:space="0" w:color="DFF0ED" w:themeColor="accent3" w:themeTint="BF"/>
      </w:tblBorders>
    </w:tblPr>
    <w:tblStylePr w:type="firstRow">
      <w:pPr>
        <w:spacing w:before="0" w:after="0" w:line="240" w:lineRule="auto"/>
      </w:pPr>
      <w:rPr>
        <w:b/>
        <w:bCs/>
        <w:color w:val="FFFFFF" w:themeColor="background1"/>
      </w:rPr>
      <w:tblPr/>
      <w:tcPr>
        <w:tc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shd w:val="clear" w:color="auto" w:fill="D5EBE8" w:themeFill="accent3"/>
      </w:tcPr>
    </w:tblStylePr>
    <w:tblStylePr w:type="lastRow">
      <w:pPr>
        <w:spacing w:before="0" w:after="0" w:line="240" w:lineRule="auto"/>
      </w:pPr>
      <w:rPr>
        <w:b/>
        <w:bCs/>
      </w:rPr>
      <w:tblPr/>
      <w:tcPr>
        <w:tcBorders>
          <w:top w:val="double" w:sz="6"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FAF9" w:themeFill="accent3" w:themeFillTint="3F"/>
      </w:tcPr>
    </w:tblStylePr>
    <w:tblStylePr w:type="band1Horz">
      <w:tblPr/>
      <w:tcPr>
        <w:tcBorders>
          <w:insideH w:val="nil"/>
          <w:insideV w:val="nil"/>
        </w:tcBorders>
        <w:shd w:val="clear" w:color="auto" w:fill="F4FAF9" w:themeFill="accent3" w:themeFillTint="3F"/>
      </w:tcPr>
    </w:tblStylePr>
    <w:tblStylePr w:type="band2Horz">
      <w:tblPr/>
      <w:tcPr>
        <w:tcBorders>
          <w:insideH w:val="nil"/>
          <w:insideV w:val="nil"/>
        </w:tcBorders>
      </w:tcPr>
    </w:tblStylePr>
  </w:style>
  <w:style w:type="table" w:customStyle="1" w:styleId="LightList-Accent421">
    <w:name w:val="Light List - Accent 421"/>
    <w:basedOn w:val="TableNormal"/>
    <w:next w:val="LightList-Accent4"/>
    <w:uiPriority w:val="61"/>
    <w:rsid w:val="00D61191"/>
    <w:pPr>
      <w:spacing w:before="120" w:after="0" w:line="240" w:lineRule="auto"/>
      <w:ind w:left="567"/>
      <w:jc w:val="both"/>
    </w:pPr>
    <w:tblPr>
      <w:tblStyleRowBandSize w:val="1"/>
      <w:tblStyleColBandSize w:val="1"/>
      <w:tblBorders>
        <w:top w:val="single" w:sz="8" w:space="0" w:color="2C9986" w:themeColor="accent4"/>
        <w:left w:val="single" w:sz="8" w:space="0" w:color="2C9986" w:themeColor="accent4"/>
        <w:bottom w:val="single" w:sz="8" w:space="0" w:color="2C9986" w:themeColor="accent4"/>
        <w:right w:val="single" w:sz="8" w:space="0" w:color="2C9986" w:themeColor="accent4"/>
      </w:tblBorders>
    </w:tblPr>
    <w:tblStylePr w:type="firstRow">
      <w:pPr>
        <w:spacing w:before="0" w:after="0" w:line="240" w:lineRule="auto"/>
      </w:pPr>
      <w:rPr>
        <w:b/>
        <w:bCs/>
        <w:color w:val="FFFFFF" w:themeColor="background1"/>
      </w:rPr>
      <w:tblPr/>
      <w:tcPr>
        <w:shd w:val="clear" w:color="auto" w:fill="2C9986" w:themeFill="accent4"/>
      </w:tcPr>
    </w:tblStylePr>
    <w:tblStylePr w:type="lastRow">
      <w:pPr>
        <w:spacing w:before="0" w:after="0" w:line="240" w:lineRule="auto"/>
      </w:pPr>
      <w:rPr>
        <w:b/>
        <w:bCs/>
      </w:rPr>
      <w:tblPr/>
      <w:tcPr>
        <w:tcBorders>
          <w:top w:val="double" w:sz="6" w:space="0" w:color="2C9986" w:themeColor="accent4"/>
          <w:left w:val="single" w:sz="8" w:space="0" w:color="2C9986" w:themeColor="accent4"/>
          <w:bottom w:val="single" w:sz="8" w:space="0" w:color="2C9986" w:themeColor="accent4"/>
          <w:right w:val="single" w:sz="8" w:space="0" w:color="2C9986" w:themeColor="accent4"/>
        </w:tcBorders>
      </w:tcPr>
    </w:tblStylePr>
    <w:tblStylePr w:type="firstCol">
      <w:rPr>
        <w:b/>
        <w:bCs/>
      </w:rPr>
    </w:tblStylePr>
    <w:tblStylePr w:type="lastCol">
      <w:rPr>
        <w:b/>
        <w:bCs/>
      </w:rPr>
    </w:tblStylePr>
    <w:tblStylePr w:type="band1Vert">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tblStylePr w:type="band1Horz">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style>
  <w:style w:type="table" w:customStyle="1" w:styleId="ColorfulGrid-Accent321">
    <w:name w:val="Colorful Grid - Accent 321"/>
    <w:basedOn w:val="TableNormal"/>
    <w:next w:val="ColorfulGrid-Accent3"/>
    <w:uiPriority w:val="73"/>
    <w:rsid w:val="00D61191"/>
    <w:pPr>
      <w:spacing w:before="120" w:after="0" w:line="240" w:lineRule="auto"/>
      <w:ind w:left="567"/>
      <w:jc w:val="both"/>
    </w:pPr>
    <w:rPr>
      <w:color w:val="000000" w:themeColor="text1"/>
    </w:rPr>
    <w:tblPr>
      <w:tblStyleRowBandSize w:val="1"/>
      <w:tblStyleColBandSize w:val="1"/>
      <w:tblBorders>
        <w:insideH w:val="single" w:sz="4" w:space="0" w:color="FFFFFF" w:themeColor="background1"/>
      </w:tblBorders>
    </w:tblPr>
    <w:tcPr>
      <w:shd w:val="clear" w:color="auto" w:fill="F6FBFA" w:themeFill="accent3" w:themeFillTint="33"/>
    </w:tcPr>
    <w:tblStylePr w:type="firstRow">
      <w:rPr>
        <w:b/>
        <w:bCs/>
      </w:rPr>
      <w:tblPr/>
      <w:tcPr>
        <w:shd w:val="clear" w:color="auto" w:fill="EEF7F5" w:themeFill="accent3" w:themeFillTint="66"/>
      </w:tcPr>
    </w:tblStylePr>
    <w:tblStylePr w:type="lastRow">
      <w:rPr>
        <w:b/>
        <w:bCs/>
        <w:color w:val="000000" w:themeColor="text1"/>
      </w:rPr>
      <w:tblPr/>
      <w:tcPr>
        <w:shd w:val="clear" w:color="auto" w:fill="EEF7F5" w:themeFill="accent3" w:themeFillTint="66"/>
      </w:tcPr>
    </w:tblStylePr>
    <w:tblStylePr w:type="firstCol">
      <w:rPr>
        <w:color w:val="FFFFFF" w:themeColor="background1"/>
      </w:rPr>
      <w:tblPr/>
      <w:tcPr>
        <w:shd w:val="clear" w:color="auto" w:fill="88C6BE" w:themeFill="accent3" w:themeFillShade="BF"/>
      </w:tcPr>
    </w:tblStylePr>
    <w:tblStylePr w:type="lastCol">
      <w:rPr>
        <w:color w:val="FFFFFF" w:themeColor="background1"/>
      </w:rPr>
      <w:tblPr/>
      <w:tcPr>
        <w:shd w:val="clear" w:color="auto" w:fill="88C6BE" w:themeFill="accent3" w:themeFillShade="BF"/>
      </w:tcPr>
    </w:tblStylePr>
    <w:tblStylePr w:type="band1Vert">
      <w:tblPr/>
      <w:tcPr>
        <w:shd w:val="clear" w:color="auto" w:fill="EAF5F3" w:themeFill="accent3" w:themeFillTint="7F"/>
      </w:tcPr>
    </w:tblStylePr>
    <w:tblStylePr w:type="band1Horz">
      <w:tblPr/>
      <w:tcPr>
        <w:shd w:val="clear" w:color="auto" w:fill="EAF5F3" w:themeFill="accent3" w:themeFillTint="7F"/>
      </w:tcPr>
    </w:tblStylePr>
  </w:style>
  <w:style w:type="table" w:customStyle="1" w:styleId="LightList-Accent321">
    <w:name w:val="Light List - Accent 321"/>
    <w:basedOn w:val="TableNormal"/>
    <w:next w:val="LightList-Accent3"/>
    <w:uiPriority w:val="61"/>
    <w:rsid w:val="00D61191"/>
    <w:pPr>
      <w:spacing w:before="120" w:after="0" w:line="240" w:lineRule="auto"/>
      <w:ind w:left="567"/>
      <w:jc w:val="both"/>
    </w:p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table" w:customStyle="1" w:styleId="GridTable1LightAccent421">
    <w:name w:val="Grid Table 1 Light Accent 421"/>
    <w:basedOn w:val="TableNormal"/>
    <w:uiPriority w:val="46"/>
    <w:rsid w:val="00D61191"/>
    <w:pPr>
      <w:spacing w:before="120" w:after="0" w:line="240" w:lineRule="auto"/>
      <w:ind w:left="567"/>
      <w:jc w:val="both"/>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TableGrid61">
    <w:name w:val="Table Grid61"/>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D61191"/>
    <w:pPr>
      <w:spacing w:after="0" w:line="240" w:lineRule="auto"/>
    </w:pPr>
    <w:rPr>
      <w:rFonts w:eastAsiaTheme="minorEastAsia"/>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411">
    <w:name w:val="Grid Table 1 Light - Accent 411"/>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GridTable1Light11">
    <w:name w:val="Grid Table 1 Light11"/>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LightShading-Accent111">
    <w:name w:val="Light Shading - Accent 111"/>
    <w:basedOn w:val="TableNormal"/>
    <w:uiPriority w:val="60"/>
    <w:rsid w:val="00D61191"/>
    <w:pPr>
      <w:spacing w:after="0" w:line="240" w:lineRule="auto"/>
    </w:pPr>
    <w:rPr>
      <w:rFonts w:ascii="Calibri" w:eastAsia="Calibri" w:hAnsi="Calibri" w:cs="Times New Roman"/>
      <w:color w:val="365F91"/>
      <w:sz w:val="20"/>
      <w:szCs w:val="20"/>
      <w:lang w:eastAsia="en-NZ"/>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1">
    <w:name w:val="Light List - Accent 111"/>
    <w:basedOn w:val="TableNormal"/>
    <w:uiPriority w:val="61"/>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11">
    <w:name w:val="Light Grid - Accent 111"/>
    <w:basedOn w:val="TableNormal"/>
    <w:uiPriority w:val="62"/>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Lato" w:eastAsia="Times New Roman" w:hAnsi="Lato"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Lato" w:eastAsia="Times New Roman" w:hAnsi="Lato"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Lato" w:eastAsia="Times New Roman" w:hAnsi="Lato" w:cs="Times New Roman"/>
        <w:b/>
        <w:bCs/>
      </w:rPr>
    </w:tblStylePr>
    <w:tblStylePr w:type="lastCol">
      <w:rPr>
        <w:rFonts w:ascii="Lato" w:eastAsia="Times New Roman" w:hAnsi="Lato"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81">
    <w:name w:val="Table Grid81"/>
    <w:basedOn w:val="TableNormal"/>
    <w:next w:val="TableGrid"/>
    <w:uiPriority w:val="59"/>
    <w:rsid w:val="00D61191"/>
    <w:pPr>
      <w:spacing w:after="0" w:line="240" w:lineRule="auto"/>
    </w:pPr>
    <w:rPr>
      <w:sz w:val="24"/>
      <w:szCs w:val="24"/>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21">
    <w:name w:val="Table Grid121"/>
    <w:basedOn w:val="TableNormal"/>
    <w:next w:val="TableGrid"/>
    <w:uiPriority w:val="59"/>
    <w:rsid w:val="00D61191"/>
    <w:pPr>
      <w:spacing w:after="0" w:line="240" w:lineRule="auto"/>
    </w:pPr>
    <w:rPr>
      <w:rFonts w:ascii="Calibri" w:eastAsia="Calibri" w:hAnsi="Calibri" w:cs="Times New Roman"/>
      <w:sz w:val="24"/>
      <w:szCs w:val="24"/>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0">
    <w:name w:val="Table Grid10"/>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4">
    <w:name w:val="Colorful Grid - Accent 14"/>
    <w:basedOn w:val="TableNormal"/>
    <w:next w:val="ColorfulGrid-Accent1"/>
    <w:rsid w:val="00D61191"/>
    <w:pPr>
      <w:spacing w:after="0" w:line="240" w:lineRule="auto"/>
    </w:pPr>
    <w:rPr>
      <w:rFonts w:ascii="Times New Roman" w:eastAsia="Times New Roman" w:hAnsi="Times New Roman" w:cs="Times New Roman"/>
      <w:sz w:val="20"/>
      <w:szCs w:val="2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4">
    <w:name w:val="Table-Grid4"/>
    <w:basedOn w:val="TableNormal"/>
    <w:uiPriority w:val="99"/>
    <w:rsid w:val="00D61191"/>
    <w:pPr>
      <w:spacing w:after="0" w:line="240" w:lineRule="auto"/>
    </w:pPr>
    <w:rPr>
      <w:rFonts w:ascii="Times New Roman" w:eastAsia="Times New Roman" w:hAnsi="Times New Roman" w:cs="Times New Roman"/>
      <w:sz w:val="20"/>
      <w:szCs w:val="20"/>
    </w:rPr>
    <w:tblPr>
      <w:tblBorders>
        <w:top w:val="single" w:sz="6" w:space="0" w:color="808080" w:themeColor="background1" w:themeShade="80"/>
        <w:bottom w:val="single" w:sz="6" w:space="0" w:color="808080" w:themeColor="background1" w:themeShade="80"/>
      </w:tblBorders>
      <w:tblCellMar>
        <w:top w:w="57" w:type="dxa"/>
        <w:left w:w="85" w:type="dxa"/>
        <w:bottom w:w="57" w:type="dxa"/>
        <w:right w:w="0" w:type="dxa"/>
      </w:tblCellMar>
    </w:tblPr>
    <w:tcPr>
      <w:shd w:val="clear" w:color="auto" w:fill="FFFFFF" w:themeFill="background1"/>
    </w:tcPr>
  </w:style>
  <w:style w:type="table" w:customStyle="1" w:styleId="LightShading-Accent34">
    <w:name w:val="Light Shading - Accent 34"/>
    <w:basedOn w:val="TableNormal"/>
    <w:next w:val="LightShading-Accent3"/>
    <w:uiPriority w:val="60"/>
    <w:rsid w:val="00D61191"/>
    <w:pPr>
      <w:spacing w:after="0" w:line="240" w:lineRule="auto"/>
    </w:pPr>
    <w:rPr>
      <w:color w:val="88C6BE" w:themeColor="accent3" w:themeShade="BF"/>
    </w:rPr>
    <w:tblPr>
      <w:tblStyleRowBandSize w:val="1"/>
      <w:tblStyleColBandSize w:val="1"/>
      <w:tblBorders>
        <w:top w:val="single" w:sz="8" w:space="0" w:color="D5EBE8" w:themeColor="accent3"/>
        <w:bottom w:val="single" w:sz="8" w:space="0" w:color="D5EBE8" w:themeColor="accent3"/>
      </w:tblBorders>
    </w:tblPr>
    <w:tblStylePr w:type="fir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la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AF9" w:themeFill="accent3" w:themeFillTint="3F"/>
      </w:tcPr>
    </w:tblStylePr>
    <w:tblStylePr w:type="band1Horz">
      <w:tblPr/>
      <w:tcPr>
        <w:tcBorders>
          <w:left w:val="nil"/>
          <w:right w:val="nil"/>
          <w:insideH w:val="nil"/>
          <w:insideV w:val="nil"/>
        </w:tcBorders>
        <w:shd w:val="clear" w:color="auto" w:fill="F4FAF9" w:themeFill="accent3" w:themeFillTint="3F"/>
      </w:tcPr>
    </w:tblStylePr>
  </w:style>
  <w:style w:type="table" w:customStyle="1" w:styleId="ColorfulList-Accent44">
    <w:name w:val="Colorful List - Accent 44"/>
    <w:basedOn w:val="TableNormal"/>
    <w:next w:val="ColorfulList-Accent4"/>
    <w:uiPriority w:val="72"/>
    <w:rsid w:val="00D61191"/>
    <w:pPr>
      <w:spacing w:after="0" w:line="240" w:lineRule="auto"/>
    </w:pPr>
    <w:rPr>
      <w:color w:val="000000" w:themeColor="text1"/>
    </w:rPr>
    <w:tblPr>
      <w:tblStyleRowBandSize w:val="1"/>
      <w:tblStyleColBandSize w:val="1"/>
    </w:tblPr>
    <w:tcPr>
      <w:shd w:val="clear" w:color="auto" w:fill="E6F8F5" w:themeFill="accent4" w:themeFillTint="19"/>
    </w:tcPr>
    <w:tblStylePr w:type="firstRow">
      <w:rPr>
        <w:b/>
        <w:bCs/>
        <w:color w:val="FFFFFF" w:themeColor="background1"/>
      </w:rPr>
      <w:tblPr/>
      <w:tcPr>
        <w:tcBorders>
          <w:bottom w:val="single" w:sz="12" w:space="0" w:color="FFFFFF" w:themeColor="background1"/>
        </w:tcBorders>
        <w:shd w:val="clear" w:color="auto" w:fill="98CEC6" w:themeFill="accent3" w:themeFillShade="CC"/>
      </w:tcPr>
    </w:tblStylePr>
    <w:tblStylePr w:type="lastRow">
      <w:rPr>
        <w:b/>
        <w:bCs/>
        <w:color w:val="98C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EDE6" w:themeFill="accent4" w:themeFillTint="3F"/>
      </w:tcPr>
    </w:tblStylePr>
    <w:tblStylePr w:type="band1Horz">
      <w:tblPr/>
      <w:tcPr>
        <w:shd w:val="clear" w:color="auto" w:fill="CEF1EA" w:themeFill="accent4" w:themeFillTint="33"/>
      </w:tcPr>
    </w:tblStylePr>
  </w:style>
  <w:style w:type="table" w:customStyle="1" w:styleId="MediumShading1-Accent34">
    <w:name w:val="Medium Shading 1 - Accent 34"/>
    <w:basedOn w:val="TableNormal"/>
    <w:next w:val="MediumShading1-Accent3"/>
    <w:uiPriority w:val="63"/>
    <w:rsid w:val="00D61191"/>
    <w:pPr>
      <w:spacing w:after="0" w:line="240" w:lineRule="auto"/>
    </w:pPr>
    <w:tblPr>
      <w:tblStyleRowBandSize w:val="1"/>
      <w:tblStyleColBandSize w:val="1"/>
      <w:tbl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single" w:sz="8" w:space="0" w:color="DFF0ED" w:themeColor="accent3" w:themeTint="BF"/>
      </w:tblBorders>
    </w:tblPr>
    <w:tblStylePr w:type="firstRow">
      <w:pPr>
        <w:spacing w:before="0" w:after="0" w:line="240" w:lineRule="auto"/>
      </w:pPr>
      <w:rPr>
        <w:b/>
        <w:bCs/>
        <w:color w:val="FFFFFF" w:themeColor="background1"/>
      </w:rPr>
      <w:tblPr/>
      <w:tcPr>
        <w:tc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shd w:val="clear" w:color="auto" w:fill="D5EBE8" w:themeFill="accent3"/>
      </w:tcPr>
    </w:tblStylePr>
    <w:tblStylePr w:type="lastRow">
      <w:pPr>
        <w:spacing w:before="0" w:after="0" w:line="240" w:lineRule="auto"/>
      </w:pPr>
      <w:rPr>
        <w:b/>
        <w:bCs/>
      </w:rPr>
      <w:tblPr/>
      <w:tcPr>
        <w:tcBorders>
          <w:top w:val="double" w:sz="6"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FAF9" w:themeFill="accent3" w:themeFillTint="3F"/>
      </w:tcPr>
    </w:tblStylePr>
    <w:tblStylePr w:type="band1Horz">
      <w:tblPr/>
      <w:tcPr>
        <w:tcBorders>
          <w:insideH w:val="nil"/>
          <w:insideV w:val="nil"/>
        </w:tcBorders>
        <w:shd w:val="clear" w:color="auto" w:fill="F4FAF9" w:themeFill="accent3" w:themeFillTint="3F"/>
      </w:tcPr>
    </w:tblStylePr>
    <w:tblStylePr w:type="band2Horz">
      <w:tblPr/>
      <w:tcPr>
        <w:tcBorders>
          <w:insideH w:val="nil"/>
          <w:insideV w:val="nil"/>
        </w:tcBorders>
      </w:tcPr>
    </w:tblStylePr>
  </w:style>
  <w:style w:type="table" w:customStyle="1" w:styleId="LightList-Accent44">
    <w:name w:val="Light List - Accent 44"/>
    <w:basedOn w:val="TableNormal"/>
    <w:next w:val="LightList-Accent4"/>
    <w:uiPriority w:val="61"/>
    <w:rsid w:val="00D61191"/>
    <w:pPr>
      <w:spacing w:after="0" w:line="240" w:lineRule="auto"/>
    </w:pPr>
    <w:tblPr>
      <w:tblStyleRowBandSize w:val="1"/>
      <w:tblStyleColBandSize w:val="1"/>
      <w:tblBorders>
        <w:top w:val="single" w:sz="8" w:space="0" w:color="2C9986" w:themeColor="accent4"/>
        <w:left w:val="single" w:sz="8" w:space="0" w:color="2C9986" w:themeColor="accent4"/>
        <w:bottom w:val="single" w:sz="8" w:space="0" w:color="2C9986" w:themeColor="accent4"/>
        <w:right w:val="single" w:sz="8" w:space="0" w:color="2C9986" w:themeColor="accent4"/>
      </w:tblBorders>
    </w:tblPr>
    <w:tblStylePr w:type="firstRow">
      <w:pPr>
        <w:spacing w:before="0" w:after="0" w:line="240" w:lineRule="auto"/>
      </w:pPr>
      <w:rPr>
        <w:b/>
        <w:bCs/>
        <w:color w:val="FFFFFF" w:themeColor="background1"/>
      </w:rPr>
      <w:tblPr/>
      <w:tcPr>
        <w:shd w:val="clear" w:color="auto" w:fill="2C9986" w:themeFill="accent4"/>
      </w:tcPr>
    </w:tblStylePr>
    <w:tblStylePr w:type="lastRow">
      <w:pPr>
        <w:spacing w:before="0" w:after="0" w:line="240" w:lineRule="auto"/>
      </w:pPr>
      <w:rPr>
        <w:b/>
        <w:bCs/>
      </w:rPr>
      <w:tblPr/>
      <w:tcPr>
        <w:tcBorders>
          <w:top w:val="double" w:sz="6" w:space="0" w:color="2C9986" w:themeColor="accent4"/>
          <w:left w:val="single" w:sz="8" w:space="0" w:color="2C9986" w:themeColor="accent4"/>
          <w:bottom w:val="single" w:sz="8" w:space="0" w:color="2C9986" w:themeColor="accent4"/>
          <w:right w:val="single" w:sz="8" w:space="0" w:color="2C9986" w:themeColor="accent4"/>
        </w:tcBorders>
      </w:tcPr>
    </w:tblStylePr>
    <w:tblStylePr w:type="firstCol">
      <w:rPr>
        <w:b/>
        <w:bCs/>
      </w:rPr>
    </w:tblStylePr>
    <w:tblStylePr w:type="lastCol">
      <w:rPr>
        <w:b/>
        <w:bCs/>
      </w:rPr>
    </w:tblStylePr>
    <w:tblStylePr w:type="band1Vert">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tblStylePr w:type="band1Horz">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style>
  <w:style w:type="table" w:customStyle="1" w:styleId="ColorfulGrid-Accent34">
    <w:name w:val="Colorful Grid - Accent 34"/>
    <w:basedOn w:val="TableNormal"/>
    <w:next w:val="ColorfulGrid-Accent3"/>
    <w:uiPriority w:val="73"/>
    <w:rsid w:val="00D61191"/>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6FBFA" w:themeFill="accent3" w:themeFillTint="33"/>
    </w:tcPr>
    <w:tblStylePr w:type="firstRow">
      <w:rPr>
        <w:b/>
        <w:bCs/>
      </w:rPr>
      <w:tblPr/>
      <w:tcPr>
        <w:shd w:val="clear" w:color="auto" w:fill="EEF7F5" w:themeFill="accent3" w:themeFillTint="66"/>
      </w:tcPr>
    </w:tblStylePr>
    <w:tblStylePr w:type="lastRow">
      <w:rPr>
        <w:b/>
        <w:bCs/>
        <w:color w:val="000000" w:themeColor="text1"/>
      </w:rPr>
      <w:tblPr/>
      <w:tcPr>
        <w:shd w:val="clear" w:color="auto" w:fill="EEF7F5" w:themeFill="accent3" w:themeFillTint="66"/>
      </w:tcPr>
    </w:tblStylePr>
    <w:tblStylePr w:type="firstCol">
      <w:rPr>
        <w:color w:val="FFFFFF" w:themeColor="background1"/>
      </w:rPr>
      <w:tblPr/>
      <w:tcPr>
        <w:shd w:val="clear" w:color="auto" w:fill="88C6BE" w:themeFill="accent3" w:themeFillShade="BF"/>
      </w:tcPr>
    </w:tblStylePr>
    <w:tblStylePr w:type="lastCol">
      <w:rPr>
        <w:color w:val="FFFFFF" w:themeColor="background1"/>
      </w:rPr>
      <w:tblPr/>
      <w:tcPr>
        <w:shd w:val="clear" w:color="auto" w:fill="88C6BE" w:themeFill="accent3" w:themeFillShade="BF"/>
      </w:tcPr>
    </w:tblStylePr>
    <w:tblStylePr w:type="band1Vert">
      <w:tblPr/>
      <w:tcPr>
        <w:shd w:val="clear" w:color="auto" w:fill="EAF5F3" w:themeFill="accent3" w:themeFillTint="7F"/>
      </w:tcPr>
    </w:tblStylePr>
    <w:tblStylePr w:type="band1Horz">
      <w:tblPr/>
      <w:tcPr>
        <w:shd w:val="clear" w:color="auto" w:fill="EAF5F3" w:themeFill="accent3" w:themeFillTint="7F"/>
      </w:tcPr>
    </w:tblStylePr>
  </w:style>
  <w:style w:type="table" w:customStyle="1" w:styleId="LightList-Accent34">
    <w:name w:val="Light List - Accent 34"/>
    <w:basedOn w:val="TableNormal"/>
    <w:next w:val="LightList-Accent3"/>
    <w:uiPriority w:val="61"/>
    <w:rsid w:val="00D61191"/>
    <w:pPr>
      <w:spacing w:after="0" w:line="240" w:lineRule="auto"/>
    </w:p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table" w:customStyle="1" w:styleId="GridTable1LightAccent44">
    <w:name w:val="Grid Table 1 Light Accent 44"/>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GridTable1Light-Accent412">
    <w:name w:val="Grid Table 1 Light - Accent 412"/>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character" w:customStyle="1" w:styleId="FootnoteTextChar1">
    <w:name w:val="Footnote Text Char1"/>
    <w:aliases w:val="fn Char1,Geneva 9 Char1,Font: Geneva 9 Char1,Boston 10 Char1,f Char1,ft Char2,Fotnotstext Char Char1,ft Char Char1,single space Char1,FOOTNOTES Char1,ADB Char1,single space1 Char1,footnote text1 Char1,FOOTNOTES1 Char1,fn1 Char1"/>
    <w:basedOn w:val="DefaultParagraphFont"/>
    <w:uiPriority w:val="99"/>
    <w:semiHidden/>
    <w:rsid w:val="00D61191"/>
    <w:rPr>
      <w:sz w:val="20"/>
      <w:szCs w:val="20"/>
    </w:rPr>
  </w:style>
  <w:style w:type="character" w:customStyle="1" w:styleId="CommentTextChar1">
    <w:name w:val="Comment Text Char1"/>
    <w:aliases w:val="Char7 Char1"/>
    <w:basedOn w:val="DefaultParagraphFont"/>
    <w:uiPriority w:val="99"/>
    <w:semiHidden/>
    <w:rsid w:val="00D61191"/>
    <w:rPr>
      <w:sz w:val="20"/>
      <w:szCs w:val="20"/>
    </w:rPr>
  </w:style>
  <w:style w:type="character" w:customStyle="1" w:styleId="FooterChar1">
    <w:name w:val="Footer Char1"/>
    <w:aliases w:val="Footer MFAT Char1,Char10 Char1"/>
    <w:basedOn w:val="DefaultParagraphFont"/>
    <w:semiHidden/>
    <w:rsid w:val="00D61191"/>
  </w:style>
  <w:style w:type="table" w:customStyle="1" w:styleId="TableGrid14">
    <w:name w:val="Table Grid14"/>
    <w:basedOn w:val="TableNormal"/>
    <w:next w:val="TableGrid"/>
    <w:uiPriority w:val="59"/>
    <w:rsid w:val="00D61191"/>
    <w:pPr>
      <w:spacing w:after="0" w:line="240" w:lineRule="auto"/>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3">
    <w:name w:val="Light Shading - Accent 13"/>
    <w:basedOn w:val="TableNormal"/>
    <w:next w:val="LightShading-Accent1"/>
    <w:uiPriority w:val="60"/>
    <w:rsid w:val="00D61191"/>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3">
    <w:name w:val="Light List - Accent 13"/>
    <w:basedOn w:val="TableNormal"/>
    <w:next w:val="LightList-Accent1"/>
    <w:uiPriority w:val="61"/>
    <w:rsid w:val="00D61191"/>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table" w:customStyle="1" w:styleId="LightGrid-Accent13">
    <w:name w:val="Light Grid - Accent 13"/>
    <w:basedOn w:val="TableNormal"/>
    <w:next w:val="LightGrid-Accent1"/>
    <w:uiPriority w:val="62"/>
    <w:rsid w:val="00D61191"/>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ColorfulList-Accent63">
    <w:name w:val="Colorful List - Accent 63"/>
    <w:basedOn w:val="TableNormal"/>
    <w:next w:val="ColorfulList-Accent6"/>
    <w:uiPriority w:val="72"/>
    <w:rsid w:val="00D61191"/>
    <w:pPr>
      <w:spacing w:before="120" w:after="0" w:line="240" w:lineRule="auto"/>
      <w:jc w:val="both"/>
    </w:pPr>
    <w:rPr>
      <w:rFonts w:ascii="Arial" w:eastAsia="Times New Roman" w:hAnsi="Arial" w:cs="Times New Roman"/>
      <w:color w:val="000000" w:themeColor="text1"/>
      <w:sz w:val="16"/>
      <w:szCs w:val="20"/>
      <w:lang w:eastAsia="en-NZ"/>
    </w:rPr>
    <w:tblPr>
      <w:tblStyleRowBandSize w:val="1"/>
      <w:tblStyleColBandSize w:val="1"/>
    </w:tblPr>
    <w:tcPr>
      <w:shd w:val="clear" w:color="auto" w:fill="FFFFFF" w:themeFill="background1"/>
    </w:tcPr>
    <w:tblStylePr w:type="firstRow">
      <w:rPr>
        <w:b/>
        <w:bCs/>
        <w:color w:val="FFFFFF" w:themeColor="background1"/>
      </w:rPr>
      <w:tblPr/>
      <w:tcPr>
        <w:tcBorders>
          <w:bottom w:val="single" w:sz="12" w:space="0" w:color="FFFFFF" w:themeColor="background1"/>
        </w:tcBorders>
        <w:shd w:val="clear" w:color="auto" w:fill="45B29E" w:themeFill="accent5" w:themeFillShade="CC"/>
      </w:tcPr>
    </w:tblStylePr>
    <w:tblStylePr w:type="lastRow">
      <w:rPr>
        <w:b/>
        <w:bCs/>
        <w:color w:val="45B29E" w:themeColor="accent5" w:themeShade="CC"/>
      </w:rPr>
      <w:tblPr/>
      <w:tcPr>
        <w:tcBorders>
          <w:top w:val="single" w:sz="12" w:space="0" w:color="000000" w:themeColor="text1"/>
        </w:tcBorders>
        <w:shd w:val="clear" w:color="auto" w:fill="FFFFFF" w:themeFill="background1"/>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table" w:customStyle="1" w:styleId="TableGrid15">
    <w:name w:val="Table Grid15"/>
    <w:basedOn w:val="TableNormal"/>
    <w:next w:val="TableGrid"/>
    <w:rsid w:val="00D61191"/>
    <w:pPr>
      <w:spacing w:before="120" w:after="0" w:line="240" w:lineRule="auto"/>
      <w:ind w:left="567"/>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5">
    <w:name w:val="Colorful Grid - Accent 15"/>
    <w:basedOn w:val="TableNormal"/>
    <w:next w:val="ColorfulGrid-Accent1"/>
    <w:rsid w:val="00D61191"/>
    <w:pPr>
      <w:spacing w:before="120" w:after="0" w:line="240" w:lineRule="auto"/>
      <w:ind w:left="567"/>
      <w:jc w:val="both"/>
    </w:pPr>
    <w:rPr>
      <w:rFonts w:ascii="Times New Roman" w:eastAsia="Times New Roman" w:hAnsi="Times New Roman" w:cs="Times New Roman"/>
      <w:sz w:val="20"/>
      <w:szCs w:val="2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5">
    <w:name w:val="Table-Grid5"/>
    <w:basedOn w:val="TableNormal"/>
    <w:uiPriority w:val="99"/>
    <w:rsid w:val="00D61191"/>
    <w:pPr>
      <w:spacing w:before="120" w:after="0" w:line="240" w:lineRule="auto"/>
      <w:ind w:left="567"/>
      <w:jc w:val="both"/>
    </w:pPr>
    <w:rPr>
      <w:rFonts w:ascii="Times New Roman" w:eastAsia="Times New Roman" w:hAnsi="Times New Roman" w:cs="Times New Roman"/>
      <w:sz w:val="20"/>
      <w:szCs w:val="20"/>
    </w:rPr>
    <w:tblPr>
      <w:tblBorders>
        <w:top w:val="single" w:sz="6" w:space="0" w:color="808080" w:themeColor="background1" w:themeShade="80"/>
        <w:bottom w:val="single" w:sz="6" w:space="0" w:color="808080" w:themeColor="background1" w:themeShade="80"/>
      </w:tblBorders>
      <w:tblCellMar>
        <w:top w:w="57" w:type="dxa"/>
        <w:left w:w="85" w:type="dxa"/>
        <w:bottom w:w="57" w:type="dxa"/>
        <w:right w:w="0" w:type="dxa"/>
      </w:tblCellMar>
    </w:tblPr>
    <w:tcPr>
      <w:shd w:val="clear" w:color="auto" w:fill="FFFFFF" w:themeFill="background1"/>
    </w:tcPr>
  </w:style>
  <w:style w:type="table" w:customStyle="1" w:styleId="LightShading-Accent35">
    <w:name w:val="Light Shading - Accent 35"/>
    <w:basedOn w:val="TableNormal"/>
    <w:next w:val="LightShading-Accent3"/>
    <w:uiPriority w:val="60"/>
    <w:rsid w:val="00D61191"/>
    <w:pPr>
      <w:spacing w:before="120" w:after="0" w:line="240" w:lineRule="auto"/>
      <w:ind w:left="567"/>
      <w:jc w:val="both"/>
    </w:pPr>
    <w:rPr>
      <w:color w:val="88C6BE" w:themeColor="accent3" w:themeShade="BF"/>
    </w:rPr>
    <w:tblPr>
      <w:tblStyleRowBandSize w:val="1"/>
      <w:tblStyleColBandSize w:val="1"/>
      <w:tblBorders>
        <w:top w:val="single" w:sz="8" w:space="0" w:color="D5EBE8" w:themeColor="accent3"/>
        <w:bottom w:val="single" w:sz="8" w:space="0" w:color="D5EBE8" w:themeColor="accent3"/>
      </w:tblBorders>
    </w:tblPr>
    <w:tblStylePr w:type="fir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la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AF9" w:themeFill="accent3" w:themeFillTint="3F"/>
      </w:tcPr>
    </w:tblStylePr>
    <w:tblStylePr w:type="band1Horz">
      <w:tblPr/>
      <w:tcPr>
        <w:tcBorders>
          <w:left w:val="nil"/>
          <w:right w:val="nil"/>
          <w:insideH w:val="nil"/>
          <w:insideV w:val="nil"/>
        </w:tcBorders>
        <w:shd w:val="clear" w:color="auto" w:fill="F4FAF9" w:themeFill="accent3" w:themeFillTint="3F"/>
      </w:tcPr>
    </w:tblStylePr>
  </w:style>
  <w:style w:type="table" w:customStyle="1" w:styleId="ColorfulList-Accent45">
    <w:name w:val="Colorful List - Accent 45"/>
    <w:basedOn w:val="TableNormal"/>
    <w:next w:val="ColorfulList-Accent4"/>
    <w:uiPriority w:val="72"/>
    <w:rsid w:val="00D61191"/>
    <w:pPr>
      <w:spacing w:before="120" w:after="0" w:line="240" w:lineRule="auto"/>
      <w:ind w:left="567"/>
      <w:jc w:val="both"/>
    </w:pPr>
    <w:rPr>
      <w:color w:val="000000" w:themeColor="text1"/>
    </w:rPr>
    <w:tblPr>
      <w:tblStyleRowBandSize w:val="1"/>
      <w:tblStyleColBandSize w:val="1"/>
    </w:tblPr>
    <w:tcPr>
      <w:shd w:val="clear" w:color="auto" w:fill="E6F8F5" w:themeFill="accent4" w:themeFillTint="19"/>
    </w:tcPr>
    <w:tblStylePr w:type="firstRow">
      <w:rPr>
        <w:b/>
        <w:bCs/>
        <w:color w:val="FFFFFF" w:themeColor="background1"/>
      </w:rPr>
      <w:tblPr/>
      <w:tcPr>
        <w:tcBorders>
          <w:bottom w:val="single" w:sz="12" w:space="0" w:color="FFFFFF" w:themeColor="background1"/>
        </w:tcBorders>
        <w:shd w:val="clear" w:color="auto" w:fill="98CEC6" w:themeFill="accent3" w:themeFillShade="CC"/>
      </w:tcPr>
    </w:tblStylePr>
    <w:tblStylePr w:type="lastRow">
      <w:rPr>
        <w:b/>
        <w:bCs/>
        <w:color w:val="98C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EDE6" w:themeFill="accent4" w:themeFillTint="3F"/>
      </w:tcPr>
    </w:tblStylePr>
    <w:tblStylePr w:type="band1Horz">
      <w:tblPr/>
      <w:tcPr>
        <w:shd w:val="clear" w:color="auto" w:fill="CEF1EA" w:themeFill="accent4" w:themeFillTint="33"/>
      </w:tcPr>
    </w:tblStylePr>
  </w:style>
  <w:style w:type="table" w:customStyle="1" w:styleId="MediumShading1-Accent35">
    <w:name w:val="Medium Shading 1 - Accent 35"/>
    <w:basedOn w:val="TableNormal"/>
    <w:next w:val="MediumShading1-Accent3"/>
    <w:uiPriority w:val="63"/>
    <w:rsid w:val="00D61191"/>
    <w:pPr>
      <w:spacing w:before="120" w:after="0" w:line="240" w:lineRule="auto"/>
      <w:ind w:left="567"/>
      <w:jc w:val="both"/>
    </w:pPr>
    <w:tblPr>
      <w:tblStyleRowBandSize w:val="1"/>
      <w:tblStyleColBandSize w:val="1"/>
      <w:tbl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single" w:sz="8" w:space="0" w:color="DFF0ED" w:themeColor="accent3" w:themeTint="BF"/>
      </w:tblBorders>
    </w:tblPr>
    <w:tblStylePr w:type="firstRow">
      <w:pPr>
        <w:spacing w:before="0" w:after="0" w:line="240" w:lineRule="auto"/>
      </w:pPr>
      <w:rPr>
        <w:b/>
        <w:bCs/>
        <w:color w:val="FFFFFF" w:themeColor="background1"/>
      </w:rPr>
      <w:tblPr/>
      <w:tcPr>
        <w:tc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shd w:val="clear" w:color="auto" w:fill="D5EBE8" w:themeFill="accent3"/>
      </w:tcPr>
    </w:tblStylePr>
    <w:tblStylePr w:type="lastRow">
      <w:pPr>
        <w:spacing w:before="0" w:after="0" w:line="240" w:lineRule="auto"/>
      </w:pPr>
      <w:rPr>
        <w:b/>
        <w:bCs/>
      </w:rPr>
      <w:tblPr/>
      <w:tcPr>
        <w:tcBorders>
          <w:top w:val="double" w:sz="6"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FAF9" w:themeFill="accent3" w:themeFillTint="3F"/>
      </w:tcPr>
    </w:tblStylePr>
    <w:tblStylePr w:type="band1Horz">
      <w:tblPr/>
      <w:tcPr>
        <w:tcBorders>
          <w:insideH w:val="nil"/>
          <w:insideV w:val="nil"/>
        </w:tcBorders>
        <w:shd w:val="clear" w:color="auto" w:fill="F4FAF9" w:themeFill="accent3" w:themeFillTint="3F"/>
      </w:tcPr>
    </w:tblStylePr>
    <w:tblStylePr w:type="band2Horz">
      <w:tblPr/>
      <w:tcPr>
        <w:tcBorders>
          <w:insideH w:val="nil"/>
          <w:insideV w:val="nil"/>
        </w:tcBorders>
      </w:tcPr>
    </w:tblStylePr>
  </w:style>
  <w:style w:type="table" w:customStyle="1" w:styleId="LightList-Accent45">
    <w:name w:val="Light List - Accent 45"/>
    <w:basedOn w:val="TableNormal"/>
    <w:next w:val="LightList-Accent4"/>
    <w:uiPriority w:val="61"/>
    <w:rsid w:val="00D61191"/>
    <w:pPr>
      <w:spacing w:before="120" w:after="0" w:line="240" w:lineRule="auto"/>
      <w:ind w:left="567"/>
      <w:jc w:val="both"/>
    </w:pPr>
    <w:tblPr>
      <w:tblStyleRowBandSize w:val="1"/>
      <w:tblStyleColBandSize w:val="1"/>
      <w:tblBorders>
        <w:top w:val="single" w:sz="8" w:space="0" w:color="2C9986" w:themeColor="accent4"/>
        <w:left w:val="single" w:sz="8" w:space="0" w:color="2C9986" w:themeColor="accent4"/>
        <w:bottom w:val="single" w:sz="8" w:space="0" w:color="2C9986" w:themeColor="accent4"/>
        <w:right w:val="single" w:sz="8" w:space="0" w:color="2C9986" w:themeColor="accent4"/>
      </w:tblBorders>
    </w:tblPr>
    <w:tblStylePr w:type="firstRow">
      <w:pPr>
        <w:spacing w:before="0" w:after="0" w:line="240" w:lineRule="auto"/>
      </w:pPr>
      <w:rPr>
        <w:b/>
        <w:bCs/>
        <w:color w:val="FFFFFF" w:themeColor="background1"/>
      </w:rPr>
      <w:tblPr/>
      <w:tcPr>
        <w:shd w:val="clear" w:color="auto" w:fill="2C9986" w:themeFill="accent4"/>
      </w:tcPr>
    </w:tblStylePr>
    <w:tblStylePr w:type="lastRow">
      <w:pPr>
        <w:spacing w:before="0" w:after="0" w:line="240" w:lineRule="auto"/>
      </w:pPr>
      <w:rPr>
        <w:b/>
        <w:bCs/>
      </w:rPr>
      <w:tblPr/>
      <w:tcPr>
        <w:tcBorders>
          <w:top w:val="double" w:sz="6" w:space="0" w:color="2C9986" w:themeColor="accent4"/>
          <w:left w:val="single" w:sz="8" w:space="0" w:color="2C9986" w:themeColor="accent4"/>
          <w:bottom w:val="single" w:sz="8" w:space="0" w:color="2C9986" w:themeColor="accent4"/>
          <w:right w:val="single" w:sz="8" w:space="0" w:color="2C9986" w:themeColor="accent4"/>
        </w:tcBorders>
      </w:tcPr>
    </w:tblStylePr>
    <w:tblStylePr w:type="firstCol">
      <w:rPr>
        <w:b/>
        <w:bCs/>
      </w:rPr>
    </w:tblStylePr>
    <w:tblStylePr w:type="lastCol">
      <w:rPr>
        <w:b/>
        <w:bCs/>
      </w:rPr>
    </w:tblStylePr>
    <w:tblStylePr w:type="band1Vert">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tblStylePr w:type="band1Horz">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style>
  <w:style w:type="table" w:customStyle="1" w:styleId="ColorfulGrid-Accent35">
    <w:name w:val="Colorful Grid - Accent 35"/>
    <w:basedOn w:val="TableNormal"/>
    <w:next w:val="ColorfulGrid-Accent3"/>
    <w:uiPriority w:val="73"/>
    <w:rsid w:val="00D61191"/>
    <w:pPr>
      <w:spacing w:before="120" w:after="0" w:line="240" w:lineRule="auto"/>
      <w:ind w:left="567"/>
      <w:jc w:val="both"/>
    </w:pPr>
    <w:rPr>
      <w:color w:val="000000" w:themeColor="text1"/>
    </w:rPr>
    <w:tblPr>
      <w:tblStyleRowBandSize w:val="1"/>
      <w:tblStyleColBandSize w:val="1"/>
      <w:tblBorders>
        <w:insideH w:val="single" w:sz="4" w:space="0" w:color="FFFFFF" w:themeColor="background1"/>
      </w:tblBorders>
    </w:tblPr>
    <w:tcPr>
      <w:shd w:val="clear" w:color="auto" w:fill="F6FBFA" w:themeFill="accent3" w:themeFillTint="33"/>
    </w:tcPr>
    <w:tblStylePr w:type="firstRow">
      <w:rPr>
        <w:b/>
        <w:bCs/>
      </w:rPr>
      <w:tblPr/>
      <w:tcPr>
        <w:shd w:val="clear" w:color="auto" w:fill="EEF7F5" w:themeFill="accent3" w:themeFillTint="66"/>
      </w:tcPr>
    </w:tblStylePr>
    <w:tblStylePr w:type="lastRow">
      <w:rPr>
        <w:b/>
        <w:bCs/>
        <w:color w:val="000000" w:themeColor="text1"/>
      </w:rPr>
      <w:tblPr/>
      <w:tcPr>
        <w:shd w:val="clear" w:color="auto" w:fill="EEF7F5" w:themeFill="accent3" w:themeFillTint="66"/>
      </w:tcPr>
    </w:tblStylePr>
    <w:tblStylePr w:type="firstCol">
      <w:rPr>
        <w:color w:val="FFFFFF" w:themeColor="background1"/>
      </w:rPr>
      <w:tblPr/>
      <w:tcPr>
        <w:shd w:val="clear" w:color="auto" w:fill="88C6BE" w:themeFill="accent3" w:themeFillShade="BF"/>
      </w:tcPr>
    </w:tblStylePr>
    <w:tblStylePr w:type="lastCol">
      <w:rPr>
        <w:color w:val="FFFFFF" w:themeColor="background1"/>
      </w:rPr>
      <w:tblPr/>
      <w:tcPr>
        <w:shd w:val="clear" w:color="auto" w:fill="88C6BE" w:themeFill="accent3" w:themeFillShade="BF"/>
      </w:tcPr>
    </w:tblStylePr>
    <w:tblStylePr w:type="band1Vert">
      <w:tblPr/>
      <w:tcPr>
        <w:shd w:val="clear" w:color="auto" w:fill="EAF5F3" w:themeFill="accent3" w:themeFillTint="7F"/>
      </w:tcPr>
    </w:tblStylePr>
    <w:tblStylePr w:type="band1Horz">
      <w:tblPr/>
      <w:tcPr>
        <w:shd w:val="clear" w:color="auto" w:fill="EAF5F3" w:themeFill="accent3" w:themeFillTint="7F"/>
      </w:tcPr>
    </w:tblStylePr>
  </w:style>
  <w:style w:type="table" w:customStyle="1" w:styleId="LightList-Accent35">
    <w:name w:val="Light List - Accent 35"/>
    <w:basedOn w:val="TableNormal"/>
    <w:next w:val="LightList-Accent3"/>
    <w:uiPriority w:val="61"/>
    <w:rsid w:val="00D61191"/>
    <w:pPr>
      <w:spacing w:before="120" w:after="0" w:line="240" w:lineRule="auto"/>
      <w:ind w:left="567"/>
      <w:jc w:val="both"/>
    </w:p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table" w:customStyle="1" w:styleId="GridTable1Light-Accent413">
    <w:name w:val="Grid Table 1 Light - Accent 413"/>
    <w:basedOn w:val="TableNormal"/>
    <w:uiPriority w:val="46"/>
    <w:rsid w:val="00D61191"/>
    <w:pPr>
      <w:spacing w:before="120" w:after="0" w:line="240" w:lineRule="auto"/>
      <w:ind w:left="567"/>
      <w:jc w:val="both"/>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TableGrid22">
    <w:name w:val="Table Grid22"/>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12">
    <w:name w:val="Colorful Grid - Accent 112"/>
    <w:basedOn w:val="TableNormal"/>
    <w:next w:val="ColorfulGrid-Accent1"/>
    <w:rsid w:val="00D61191"/>
    <w:pPr>
      <w:spacing w:after="0" w:line="240" w:lineRule="auto"/>
    </w:pPr>
    <w:rPr>
      <w:rFonts w:ascii="Times New Roman" w:eastAsia="Times New Roman" w:hAnsi="Times New Roman" w:cs="Times New Roman"/>
      <w:sz w:val="20"/>
      <w:szCs w:val="20"/>
      <w:lang w:val="x-none" w:eastAsia="x-none" w:bidi="x-none"/>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12">
    <w:name w:val="Table-Grid12"/>
    <w:basedOn w:val="TableNormal"/>
    <w:uiPriority w:val="99"/>
    <w:rsid w:val="00D61191"/>
    <w:pPr>
      <w:spacing w:after="0" w:line="240" w:lineRule="auto"/>
    </w:pPr>
    <w:rPr>
      <w:rFonts w:ascii="Times New Roman" w:eastAsia="Times New Roman" w:hAnsi="Times New Roman" w:cs="Times New Roman"/>
      <w:sz w:val="20"/>
      <w:szCs w:val="20"/>
      <w:lang w:eastAsia="en-NZ"/>
    </w:rPr>
    <w:tblPr>
      <w:tblBorders>
        <w:top w:val="single" w:sz="6" w:space="0" w:color="808080"/>
        <w:bottom w:val="single" w:sz="6" w:space="0" w:color="808080"/>
      </w:tblBorders>
      <w:tblCellMar>
        <w:top w:w="57" w:type="dxa"/>
        <w:left w:w="85" w:type="dxa"/>
        <w:bottom w:w="57" w:type="dxa"/>
        <w:right w:w="0" w:type="dxa"/>
      </w:tblCellMar>
    </w:tblPr>
    <w:tcPr>
      <w:shd w:val="clear" w:color="auto" w:fill="FFFFFF"/>
    </w:tcPr>
  </w:style>
  <w:style w:type="table" w:customStyle="1" w:styleId="LightShading-Accent312">
    <w:name w:val="Light Shading - Accent 312"/>
    <w:basedOn w:val="TableNormal"/>
    <w:next w:val="LightShading-Accent3"/>
    <w:uiPriority w:val="60"/>
    <w:rsid w:val="00D61191"/>
    <w:pPr>
      <w:spacing w:after="0" w:line="240" w:lineRule="auto"/>
    </w:pPr>
    <w:rPr>
      <w:rFonts w:ascii="Calibri" w:eastAsia="Calibri" w:hAnsi="Calibri" w:cs="Times New Roman"/>
      <w:color w:val="76923C"/>
      <w:sz w:val="20"/>
      <w:szCs w:val="20"/>
      <w:lang w:eastAsia="en-NZ"/>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ColorfulList-Accent412">
    <w:name w:val="Colorful List - Accent 412"/>
    <w:basedOn w:val="TableNormal"/>
    <w:next w:val="ColorfulList-Accent4"/>
    <w:uiPriority w:val="72"/>
    <w:rsid w:val="00D61191"/>
    <w:pPr>
      <w:spacing w:after="0" w:line="240" w:lineRule="auto"/>
    </w:pPr>
    <w:rPr>
      <w:rFonts w:ascii="Calibri" w:eastAsia="Calibri" w:hAnsi="Calibri" w:cs="Times New Roman"/>
      <w:color w:val="000000"/>
      <w:sz w:val="20"/>
      <w:szCs w:val="20"/>
      <w:lang w:eastAsia="en-NZ"/>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MediumShading1-Accent312">
    <w:name w:val="Medium Shading 1 - Accent 312"/>
    <w:basedOn w:val="TableNormal"/>
    <w:next w:val="MediumShading1-Accent3"/>
    <w:uiPriority w:val="63"/>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List-Accent412">
    <w:name w:val="Light List - Accent 412"/>
    <w:basedOn w:val="TableNormal"/>
    <w:next w:val="LightList-Accent4"/>
    <w:uiPriority w:val="61"/>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ColorfulGrid-Accent312">
    <w:name w:val="Colorful Grid - Accent 312"/>
    <w:basedOn w:val="TableNormal"/>
    <w:next w:val="ColorfulGrid-Accent3"/>
    <w:uiPriority w:val="73"/>
    <w:rsid w:val="00D61191"/>
    <w:pPr>
      <w:spacing w:after="0" w:line="240" w:lineRule="auto"/>
    </w:pPr>
    <w:rPr>
      <w:rFonts w:ascii="Calibri" w:eastAsia="Calibri" w:hAnsi="Calibri" w:cs="Times New Roman"/>
      <w:color w:val="000000"/>
      <w:sz w:val="20"/>
      <w:szCs w:val="20"/>
      <w:lang w:eastAsia="en-NZ"/>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LightList-Accent312">
    <w:name w:val="Light List - Accent 312"/>
    <w:basedOn w:val="TableNormal"/>
    <w:next w:val="LightList-Accent3"/>
    <w:uiPriority w:val="61"/>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GridTable1LightAccent412">
    <w:name w:val="Grid Table 1 Light Accent 412"/>
    <w:basedOn w:val="TableNormal"/>
    <w:uiPriority w:val="46"/>
    <w:rsid w:val="00D61191"/>
    <w:pPr>
      <w:spacing w:after="0" w:line="240" w:lineRule="auto"/>
    </w:pPr>
    <w:rPr>
      <w:rFonts w:ascii="Calibri" w:eastAsia="Times New Roman" w:hAnsi="Calibri" w:cs="Times New Roman"/>
      <w:sz w:val="20"/>
      <w:szCs w:val="20"/>
      <w:lang w:eastAsia="en-NZ"/>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table" w:customStyle="1" w:styleId="TableGrid32">
    <w:name w:val="Table Grid32"/>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D61191"/>
    <w:pPr>
      <w:spacing w:after="0" w:line="240" w:lineRule="auto"/>
    </w:pPr>
    <w:rPr>
      <w:sz w:val="24"/>
      <w:szCs w:val="24"/>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2">
    <w:name w:val="Table Grid112"/>
    <w:basedOn w:val="TableNormal"/>
    <w:next w:val="TableGrid"/>
    <w:uiPriority w:val="59"/>
    <w:rsid w:val="00D61191"/>
    <w:pPr>
      <w:spacing w:after="0" w:line="240" w:lineRule="auto"/>
    </w:pPr>
    <w:rPr>
      <w:rFonts w:ascii="Calibri" w:eastAsia="Calibri" w:hAnsi="Calibri" w:cs="Times New Roman"/>
      <w:sz w:val="24"/>
      <w:szCs w:val="24"/>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ColorfulList-Accent612">
    <w:name w:val="Colorful List - Accent 612"/>
    <w:basedOn w:val="TableNormal"/>
    <w:next w:val="ColorfulList-Accent6"/>
    <w:uiPriority w:val="72"/>
    <w:rsid w:val="00D61191"/>
    <w:pPr>
      <w:spacing w:before="120" w:after="0" w:line="240" w:lineRule="auto"/>
      <w:jc w:val="both"/>
    </w:pPr>
    <w:rPr>
      <w:rFonts w:ascii="Arial" w:eastAsia="Times New Roman" w:hAnsi="Arial" w:cs="Times New Roman"/>
      <w:color w:val="000000" w:themeColor="text1"/>
      <w:sz w:val="16"/>
      <w:szCs w:val="20"/>
      <w:lang w:eastAsia="en-NZ"/>
    </w:rPr>
    <w:tblPr>
      <w:tblStyleRowBandSize w:val="1"/>
      <w:tblStyleColBandSize w:val="1"/>
    </w:tblPr>
    <w:tcPr>
      <w:shd w:val="clear" w:color="auto" w:fill="FFFFFF" w:themeFill="background1"/>
    </w:tcPr>
    <w:tblStylePr w:type="firstRow">
      <w:rPr>
        <w:b/>
        <w:bCs/>
        <w:color w:val="FFFFFF" w:themeColor="background1"/>
      </w:rPr>
      <w:tblPr/>
      <w:tcPr>
        <w:tcBorders>
          <w:bottom w:val="single" w:sz="12" w:space="0" w:color="FFFFFF" w:themeColor="background1"/>
        </w:tcBorders>
        <w:shd w:val="clear" w:color="auto" w:fill="45B29E" w:themeFill="accent5" w:themeFillShade="CC"/>
      </w:tcPr>
    </w:tblStylePr>
    <w:tblStylePr w:type="lastRow">
      <w:rPr>
        <w:b/>
        <w:bCs/>
        <w:color w:val="45B29E" w:themeColor="accent5" w:themeShade="CC"/>
      </w:rPr>
      <w:tblPr/>
      <w:tcPr>
        <w:tcBorders>
          <w:top w:val="single" w:sz="12" w:space="0" w:color="000000" w:themeColor="text1"/>
        </w:tcBorders>
        <w:shd w:val="clear" w:color="auto" w:fill="FFFFFF" w:themeFill="background1"/>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table" w:customStyle="1" w:styleId="TableGrid52">
    <w:name w:val="Table Grid52"/>
    <w:basedOn w:val="TableNormal"/>
    <w:next w:val="TableGrid"/>
    <w:rsid w:val="00D61191"/>
    <w:pPr>
      <w:spacing w:before="120" w:after="0" w:line="240" w:lineRule="auto"/>
      <w:ind w:left="567"/>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22">
    <w:name w:val="Colorful Grid - Accent 122"/>
    <w:basedOn w:val="TableNormal"/>
    <w:next w:val="ColorfulGrid-Accent1"/>
    <w:rsid w:val="00D61191"/>
    <w:pPr>
      <w:spacing w:before="120" w:after="0" w:line="240" w:lineRule="auto"/>
      <w:ind w:left="567"/>
      <w:jc w:val="both"/>
    </w:pPr>
    <w:rPr>
      <w:rFonts w:ascii="Times New Roman" w:eastAsia="Times New Roman" w:hAnsi="Times New Roman" w:cs="Times New Roman"/>
      <w:sz w:val="20"/>
      <w:szCs w:val="2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22">
    <w:name w:val="Table-Grid22"/>
    <w:basedOn w:val="TableNormal"/>
    <w:uiPriority w:val="99"/>
    <w:rsid w:val="00D61191"/>
    <w:pPr>
      <w:spacing w:before="120" w:after="0" w:line="240" w:lineRule="auto"/>
      <w:ind w:left="567"/>
      <w:jc w:val="both"/>
    </w:pPr>
    <w:rPr>
      <w:rFonts w:ascii="Times New Roman" w:eastAsia="Times New Roman" w:hAnsi="Times New Roman" w:cs="Times New Roman"/>
      <w:sz w:val="20"/>
      <w:szCs w:val="20"/>
    </w:rPr>
    <w:tblPr>
      <w:tblBorders>
        <w:top w:val="single" w:sz="6" w:space="0" w:color="808080" w:themeColor="background1" w:themeShade="80"/>
        <w:bottom w:val="single" w:sz="6" w:space="0" w:color="808080" w:themeColor="background1" w:themeShade="80"/>
      </w:tblBorders>
      <w:tblCellMar>
        <w:top w:w="57" w:type="dxa"/>
        <w:left w:w="85" w:type="dxa"/>
        <w:bottom w:w="57" w:type="dxa"/>
        <w:right w:w="0" w:type="dxa"/>
      </w:tblCellMar>
    </w:tblPr>
    <w:tcPr>
      <w:shd w:val="clear" w:color="auto" w:fill="FFFFFF" w:themeFill="background1"/>
    </w:tcPr>
  </w:style>
  <w:style w:type="table" w:customStyle="1" w:styleId="LightShading-Accent322">
    <w:name w:val="Light Shading - Accent 322"/>
    <w:basedOn w:val="TableNormal"/>
    <w:next w:val="LightShading-Accent3"/>
    <w:uiPriority w:val="60"/>
    <w:rsid w:val="00D61191"/>
    <w:pPr>
      <w:spacing w:before="120" w:after="0" w:line="240" w:lineRule="auto"/>
      <w:ind w:left="567"/>
      <w:jc w:val="both"/>
    </w:pPr>
    <w:rPr>
      <w:color w:val="88C6BE" w:themeColor="accent3" w:themeShade="BF"/>
    </w:rPr>
    <w:tblPr>
      <w:tblStyleRowBandSize w:val="1"/>
      <w:tblStyleColBandSize w:val="1"/>
      <w:tblBorders>
        <w:top w:val="single" w:sz="8" w:space="0" w:color="D5EBE8" w:themeColor="accent3"/>
        <w:bottom w:val="single" w:sz="8" w:space="0" w:color="D5EBE8" w:themeColor="accent3"/>
      </w:tblBorders>
    </w:tblPr>
    <w:tblStylePr w:type="fir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la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AF9" w:themeFill="accent3" w:themeFillTint="3F"/>
      </w:tcPr>
    </w:tblStylePr>
    <w:tblStylePr w:type="band1Horz">
      <w:tblPr/>
      <w:tcPr>
        <w:tcBorders>
          <w:left w:val="nil"/>
          <w:right w:val="nil"/>
          <w:insideH w:val="nil"/>
          <w:insideV w:val="nil"/>
        </w:tcBorders>
        <w:shd w:val="clear" w:color="auto" w:fill="F4FAF9" w:themeFill="accent3" w:themeFillTint="3F"/>
      </w:tcPr>
    </w:tblStylePr>
  </w:style>
  <w:style w:type="table" w:customStyle="1" w:styleId="ColorfulList-Accent422">
    <w:name w:val="Colorful List - Accent 422"/>
    <w:basedOn w:val="TableNormal"/>
    <w:next w:val="ColorfulList-Accent4"/>
    <w:uiPriority w:val="72"/>
    <w:rsid w:val="00D61191"/>
    <w:pPr>
      <w:spacing w:before="120" w:after="0" w:line="240" w:lineRule="auto"/>
      <w:ind w:left="567"/>
      <w:jc w:val="both"/>
    </w:pPr>
    <w:rPr>
      <w:color w:val="000000" w:themeColor="text1"/>
    </w:rPr>
    <w:tblPr>
      <w:tblStyleRowBandSize w:val="1"/>
      <w:tblStyleColBandSize w:val="1"/>
    </w:tblPr>
    <w:tcPr>
      <w:shd w:val="clear" w:color="auto" w:fill="E6F8F5" w:themeFill="accent4" w:themeFillTint="19"/>
    </w:tcPr>
    <w:tblStylePr w:type="firstRow">
      <w:rPr>
        <w:b/>
        <w:bCs/>
        <w:color w:val="FFFFFF" w:themeColor="background1"/>
      </w:rPr>
      <w:tblPr/>
      <w:tcPr>
        <w:tcBorders>
          <w:bottom w:val="single" w:sz="12" w:space="0" w:color="FFFFFF" w:themeColor="background1"/>
        </w:tcBorders>
        <w:shd w:val="clear" w:color="auto" w:fill="98CEC6" w:themeFill="accent3" w:themeFillShade="CC"/>
      </w:tcPr>
    </w:tblStylePr>
    <w:tblStylePr w:type="lastRow">
      <w:rPr>
        <w:b/>
        <w:bCs/>
        <w:color w:val="98C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EDE6" w:themeFill="accent4" w:themeFillTint="3F"/>
      </w:tcPr>
    </w:tblStylePr>
    <w:tblStylePr w:type="band1Horz">
      <w:tblPr/>
      <w:tcPr>
        <w:shd w:val="clear" w:color="auto" w:fill="CEF1EA" w:themeFill="accent4" w:themeFillTint="33"/>
      </w:tcPr>
    </w:tblStylePr>
  </w:style>
  <w:style w:type="table" w:customStyle="1" w:styleId="MediumShading1-Accent322">
    <w:name w:val="Medium Shading 1 - Accent 322"/>
    <w:basedOn w:val="TableNormal"/>
    <w:next w:val="MediumShading1-Accent3"/>
    <w:uiPriority w:val="63"/>
    <w:rsid w:val="00D61191"/>
    <w:pPr>
      <w:spacing w:before="120" w:after="0" w:line="240" w:lineRule="auto"/>
      <w:ind w:left="567"/>
      <w:jc w:val="both"/>
    </w:pPr>
    <w:tblPr>
      <w:tblStyleRowBandSize w:val="1"/>
      <w:tblStyleColBandSize w:val="1"/>
      <w:tbl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single" w:sz="8" w:space="0" w:color="DFF0ED" w:themeColor="accent3" w:themeTint="BF"/>
      </w:tblBorders>
    </w:tblPr>
    <w:tblStylePr w:type="firstRow">
      <w:pPr>
        <w:spacing w:before="0" w:after="0" w:line="240" w:lineRule="auto"/>
      </w:pPr>
      <w:rPr>
        <w:b/>
        <w:bCs/>
        <w:color w:val="FFFFFF" w:themeColor="background1"/>
      </w:rPr>
      <w:tblPr/>
      <w:tcPr>
        <w:tc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shd w:val="clear" w:color="auto" w:fill="D5EBE8" w:themeFill="accent3"/>
      </w:tcPr>
    </w:tblStylePr>
    <w:tblStylePr w:type="lastRow">
      <w:pPr>
        <w:spacing w:before="0" w:after="0" w:line="240" w:lineRule="auto"/>
      </w:pPr>
      <w:rPr>
        <w:b/>
        <w:bCs/>
      </w:rPr>
      <w:tblPr/>
      <w:tcPr>
        <w:tcBorders>
          <w:top w:val="double" w:sz="6"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FAF9" w:themeFill="accent3" w:themeFillTint="3F"/>
      </w:tcPr>
    </w:tblStylePr>
    <w:tblStylePr w:type="band1Horz">
      <w:tblPr/>
      <w:tcPr>
        <w:tcBorders>
          <w:insideH w:val="nil"/>
          <w:insideV w:val="nil"/>
        </w:tcBorders>
        <w:shd w:val="clear" w:color="auto" w:fill="F4FAF9" w:themeFill="accent3" w:themeFillTint="3F"/>
      </w:tcPr>
    </w:tblStylePr>
    <w:tblStylePr w:type="band2Horz">
      <w:tblPr/>
      <w:tcPr>
        <w:tcBorders>
          <w:insideH w:val="nil"/>
          <w:insideV w:val="nil"/>
        </w:tcBorders>
      </w:tcPr>
    </w:tblStylePr>
  </w:style>
  <w:style w:type="table" w:customStyle="1" w:styleId="LightList-Accent422">
    <w:name w:val="Light List - Accent 422"/>
    <w:basedOn w:val="TableNormal"/>
    <w:next w:val="LightList-Accent4"/>
    <w:uiPriority w:val="61"/>
    <w:rsid w:val="00D61191"/>
    <w:pPr>
      <w:spacing w:before="120" w:after="0" w:line="240" w:lineRule="auto"/>
      <w:ind w:left="567"/>
      <w:jc w:val="both"/>
    </w:pPr>
    <w:tblPr>
      <w:tblStyleRowBandSize w:val="1"/>
      <w:tblStyleColBandSize w:val="1"/>
      <w:tblBorders>
        <w:top w:val="single" w:sz="8" w:space="0" w:color="2C9986" w:themeColor="accent4"/>
        <w:left w:val="single" w:sz="8" w:space="0" w:color="2C9986" w:themeColor="accent4"/>
        <w:bottom w:val="single" w:sz="8" w:space="0" w:color="2C9986" w:themeColor="accent4"/>
        <w:right w:val="single" w:sz="8" w:space="0" w:color="2C9986" w:themeColor="accent4"/>
      </w:tblBorders>
    </w:tblPr>
    <w:tblStylePr w:type="firstRow">
      <w:pPr>
        <w:spacing w:before="0" w:after="0" w:line="240" w:lineRule="auto"/>
      </w:pPr>
      <w:rPr>
        <w:b/>
        <w:bCs/>
        <w:color w:val="FFFFFF" w:themeColor="background1"/>
      </w:rPr>
      <w:tblPr/>
      <w:tcPr>
        <w:shd w:val="clear" w:color="auto" w:fill="2C9986" w:themeFill="accent4"/>
      </w:tcPr>
    </w:tblStylePr>
    <w:tblStylePr w:type="lastRow">
      <w:pPr>
        <w:spacing w:before="0" w:after="0" w:line="240" w:lineRule="auto"/>
      </w:pPr>
      <w:rPr>
        <w:b/>
        <w:bCs/>
      </w:rPr>
      <w:tblPr/>
      <w:tcPr>
        <w:tcBorders>
          <w:top w:val="double" w:sz="6" w:space="0" w:color="2C9986" w:themeColor="accent4"/>
          <w:left w:val="single" w:sz="8" w:space="0" w:color="2C9986" w:themeColor="accent4"/>
          <w:bottom w:val="single" w:sz="8" w:space="0" w:color="2C9986" w:themeColor="accent4"/>
          <w:right w:val="single" w:sz="8" w:space="0" w:color="2C9986" w:themeColor="accent4"/>
        </w:tcBorders>
      </w:tcPr>
    </w:tblStylePr>
    <w:tblStylePr w:type="firstCol">
      <w:rPr>
        <w:b/>
        <w:bCs/>
      </w:rPr>
    </w:tblStylePr>
    <w:tblStylePr w:type="lastCol">
      <w:rPr>
        <w:b/>
        <w:bCs/>
      </w:rPr>
    </w:tblStylePr>
    <w:tblStylePr w:type="band1Vert">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tblStylePr w:type="band1Horz">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style>
  <w:style w:type="table" w:customStyle="1" w:styleId="ColorfulGrid-Accent322">
    <w:name w:val="Colorful Grid - Accent 322"/>
    <w:basedOn w:val="TableNormal"/>
    <w:next w:val="ColorfulGrid-Accent3"/>
    <w:uiPriority w:val="73"/>
    <w:rsid w:val="00D61191"/>
    <w:pPr>
      <w:spacing w:before="120" w:after="0" w:line="240" w:lineRule="auto"/>
      <w:ind w:left="567"/>
      <w:jc w:val="both"/>
    </w:pPr>
    <w:rPr>
      <w:color w:val="000000" w:themeColor="text1"/>
    </w:rPr>
    <w:tblPr>
      <w:tblStyleRowBandSize w:val="1"/>
      <w:tblStyleColBandSize w:val="1"/>
      <w:tblBorders>
        <w:insideH w:val="single" w:sz="4" w:space="0" w:color="FFFFFF" w:themeColor="background1"/>
      </w:tblBorders>
    </w:tblPr>
    <w:tcPr>
      <w:shd w:val="clear" w:color="auto" w:fill="F6FBFA" w:themeFill="accent3" w:themeFillTint="33"/>
    </w:tcPr>
    <w:tblStylePr w:type="firstRow">
      <w:rPr>
        <w:b/>
        <w:bCs/>
      </w:rPr>
      <w:tblPr/>
      <w:tcPr>
        <w:shd w:val="clear" w:color="auto" w:fill="EEF7F5" w:themeFill="accent3" w:themeFillTint="66"/>
      </w:tcPr>
    </w:tblStylePr>
    <w:tblStylePr w:type="lastRow">
      <w:rPr>
        <w:b/>
        <w:bCs/>
        <w:color w:val="000000" w:themeColor="text1"/>
      </w:rPr>
      <w:tblPr/>
      <w:tcPr>
        <w:shd w:val="clear" w:color="auto" w:fill="EEF7F5" w:themeFill="accent3" w:themeFillTint="66"/>
      </w:tcPr>
    </w:tblStylePr>
    <w:tblStylePr w:type="firstCol">
      <w:rPr>
        <w:color w:val="FFFFFF" w:themeColor="background1"/>
      </w:rPr>
      <w:tblPr/>
      <w:tcPr>
        <w:shd w:val="clear" w:color="auto" w:fill="88C6BE" w:themeFill="accent3" w:themeFillShade="BF"/>
      </w:tcPr>
    </w:tblStylePr>
    <w:tblStylePr w:type="lastCol">
      <w:rPr>
        <w:color w:val="FFFFFF" w:themeColor="background1"/>
      </w:rPr>
      <w:tblPr/>
      <w:tcPr>
        <w:shd w:val="clear" w:color="auto" w:fill="88C6BE" w:themeFill="accent3" w:themeFillShade="BF"/>
      </w:tcPr>
    </w:tblStylePr>
    <w:tblStylePr w:type="band1Vert">
      <w:tblPr/>
      <w:tcPr>
        <w:shd w:val="clear" w:color="auto" w:fill="EAF5F3" w:themeFill="accent3" w:themeFillTint="7F"/>
      </w:tcPr>
    </w:tblStylePr>
    <w:tblStylePr w:type="band1Horz">
      <w:tblPr/>
      <w:tcPr>
        <w:shd w:val="clear" w:color="auto" w:fill="EAF5F3" w:themeFill="accent3" w:themeFillTint="7F"/>
      </w:tcPr>
    </w:tblStylePr>
  </w:style>
  <w:style w:type="table" w:customStyle="1" w:styleId="LightList-Accent322">
    <w:name w:val="Light List - Accent 322"/>
    <w:basedOn w:val="TableNormal"/>
    <w:next w:val="LightList-Accent3"/>
    <w:uiPriority w:val="61"/>
    <w:rsid w:val="00D61191"/>
    <w:pPr>
      <w:spacing w:before="120" w:after="0" w:line="240" w:lineRule="auto"/>
      <w:ind w:left="567"/>
      <w:jc w:val="both"/>
    </w:p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table" w:customStyle="1" w:styleId="GridTable1LightAccent422">
    <w:name w:val="Grid Table 1 Light Accent 422"/>
    <w:basedOn w:val="TableNormal"/>
    <w:uiPriority w:val="46"/>
    <w:rsid w:val="00D61191"/>
    <w:pPr>
      <w:spacing w:before="120" w:after="0" w:line="240" w:lineRule="auto"/>
      <w:ind w:left="567"/>
      <w:jc w:val="both"/>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TableGrid62">
    <w:name w:val="Table Grid62"/>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D61191"/>
    <w:pPr>
      <w:spacing w:after="0" w:line="240" w:lineRule="auto"/>
    </w:pPr>
    <w:rPr>
      <w:rFonts w:eastAsiaTheme="minorEastAsia"/>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4111">
    <w:name w:val="Grid Table 1 Light - Accent 4111"/>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GridTable1Light12">
    <w:name w:val="Grid Table 1 Light12"/>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16">
    <w:name w:val="Table Grid16"/>
    <w:basedOn w:val="TableNormal"/>
    <w:next w:val="TableGrid"/>
    <w:uiPriority w:val="59"/>
    <w:rsid w:val="00D61191"/>
    <w:pPr>
      <w:spacing w:after="0" w:line="240" w:lineRule="auto"/>
    </w:pPr>
    <w:rPr>
      <w:rFonts w:eastAsiaTheme="minorEastAsia"/>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414">
    <w:name w:val="Grid Table 1 Light - Accent 414"/>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GridTable1Light13">
    <w:name w:val="Grid Table 1 Light13"/>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ColorfulList-Accent64">
    <w:name w:val="Colorful List - Accent 64"/>
    <w:basedOn w:val="TableNormal"/>
    <w:next w:val="ColorfulList-Accent6"/>
    <w:uiPriority w:val="72"/>
    <w:rsid w:val="00D61191"/>
    <w:pPr>
      <w:spacing w:before="120" w:after="0" w:line="240" w:lineRule="auto"/>
      <w:jc w:val="both"/>
    </w:pPr>
    <w:rPr>
      <w:rFonts w:ascii="Arial" w:eastAsia="Times New Roman" w:hAnsi="Arial" w:cs="Times New Roman"/>
      <w:color w:val="000000" w:themeColor="text1"/>
      <w:sz w:val="16"/>
      <w:szCs w:val="20"/>
      <w:lang w:eastAsia="en-NZ"/>
    </w:rPr>
    <w:tblPr>
      <w:tblStyleRowBandSize w:val="1"/>
      <w:tblStyleColBandSize w:val="1"/>
    </w:tblPr>
    <w:tcPr>
      <w:shd w:val="clear" w:color="auto" w:fill="FFFFFF" w:themeFill="background1"/>
    </w:tcPr>
    <w:tblStylePr w:type="firstRow">
      <w:rPr>
        <w:b/>
        <w:bCs/>
        <w:color w:val="FFFFFF" w:themeColor="background1"/>
      </w:rPr>
      <w:tblPr/>
      <w:tcPr>
        <w:tcBorders>
          <w:bottom w:val="single" w:sz="12" w:space="0" w:color="FFFFFF" w:themeColor="background1"/>
        </w:tcBorders>
        <w:shd w:val="clear" w:color="auto" w:fill="45B29E" w:themeFill="accent5" w:themeFillShade="CC"/>
      </w:tcPr>
    </w:tblStylePr>
    <w:tblStylePr w:type="lastRow">
      <w:rPr>
        <w:b/>
        <w:bCs/>
        <w:color w:val="45B29E" w:themeColor="accent5" w:themeShade="CC"/>
      </w:rPr>
      <w:tblPr/>
      <w:tcPr>
        <w:tcBorders>
          <w:top w:val="single" w:sz="12" w:space="0" w:color="000000" w:themeColor="text1"/>
        </w:tcBorders>
        <w:shd w:val="clear" w:color="auto" w:fill="FFFFFF" w:themeFill="background1"/>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table" w:customStyle="1" w:styleId="TableGrid17">
    <w:name w:val="Table Grid17"/>
    <w:basedOn w:val="TableNormal"/>
    <w:next w:val="TableGrid"/>
    <w:rsid w:val="00D61191"/>
    <w:pPr>
      <w:spacing w:before="120" w:after="0" w:line="240" w:lineRule="auto"/>
      <w:ind w:left="567"/>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6">
    <w:name w:val="Colorful Grid - Accent 16"/>
    <w:basedOn w:val="TableNormal"/>
    <w:next w:val="ColorfulGrid-Accent1"/>
    <w:rsid w:val="00D61191"/>
    <w:pPr>
      <w:spacing w:before="120" w:after="0" w:line="240" w:lineRule="auto"/>
      <w:ind w:left="567"/>
      <w:jc w:val="both"/>
    </w:pPr>
    <w:rPr>
      <w:rFonts w:ascii="Times New Roman" w:eastAsia="Times New Roman" w:hAnsi="Times New Roman" w:cs="Times New Roman"/>
      <w:sz w:val="20"/>
      <w:szCs w:val="2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6">
    <w:name w:val="Table-Grid6"/>
    <w:basedOn w:val="TableNormal"/>
    <w:uiPriority w:val="99"/>
    <w:rsid w:val="00D61191"/>
    <w:pPr>
      <w:spacing w:before="120" w:after="0" w:line="240" w:lineRule="auto"/>
      <w:ind w:left="567"/>
      <w:jc w:val="both"/>
    </w:pPr>
    <w:rPr>
      <w:rFonts w:ascii="Times New Roman" w:eastAsia="Times New Roman" w:hAnsi="Times New Roman" w:cs="Times New Roman"/>
      <w:sz w:val="20"/>
      <w:szCs w:val="20"/>
    </w:rPr>
    <w:tblPr>
      <w:tblBorders>
        <w:top w:val="single" w:sz="6" w:space="0" w:color="808080" w:themeColor="background1" w:themeShade="80"/>
        <w:bottom w:val="single" w:sz="6" w:space="0" w:color="808080" w:themeColor="background1" w:themeShade="80"/>
      </w:tblBorders>
      <w:tblCellMar>
        <w:top w:w="57" w:type="dxa"/>
        <w:left w:w="85" w:type="dxa"/>
        <w:bottom w:w="57" w:type="dxa"/>
        <w:right w:w="0" w:type="dxa"/>
      </w:tblCellMar>
    </w:tblPr>
    <w:tcPr>
      <w:shd w:val="clear" w:color="auto" w:fill="FFFFFF" w:themeFill="background1"/>
    </w:tcPr>
  </w:style>
  <w:style w:type="table" w:customStyle="1" w:styleId="LightShading-Accent36">
    <w:name w:val="Light Shading - Accent 36"/>
    <w:basedOn w:val="TableNormal"/>
    <w:next w:val="LightShading-Accent3"/>
    <w:uiPriority w:val="60"/>
    <w:rsid w:val="00D61191"/>
    <w:pPr>
      <w:spacing w:before="120" w:after="0" w:line="240" w:lineRule="auto"/>
      <w:ind w:left="567"/>
      <w:jc w:val="both"/>
    </w:pPr>
    <w:rPr>
      <w:color w:val="88C6BE" w:themeColor="accent3" w:themeShade="BF"/>
    </w:rPr>
    <w:tblPr>
      <w:tblStyleRowBandSize w:val="1"/>
      <w:tblStyleColBandSize w:val="1"/>
      <w:tblBorders>
        <w:top w:val="single" w:sz="8" w:space="0" w:color="D5EBE8" w:themeColor="accent3"/>
        <w:bottom w:val="single" w:sz="8" w:space="0" w:color="D5EBE8" w:themeColor="accent3"/>
      </w:tblBorders>
    </w:tblPr>
    <w:tblStylePr w:type="fir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la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AF9" w:themeFill="accent3" w:themeFillTint="3F"/>
      </w:tcPr>
    </w:tblStylePr>
    <w:tblStylePr w:type="band1Horz">
      <w:tblPr/>
      <w:tcPr>
        <w:tcBorders>
          <w:left w:val="nil"/>
          <w:right w:val="nil"/>
          <w:insideH w:val="nil"/>
          <w:insideV w:val="nil"/>
        </w:tcBorders>
        <w:shd w:val="clear" w:color="auto" w:fill="F4FAF9" w:themeFill="accent3" w:themeFillTint="3F"/>
      </w:tcPr>
    </w:tblStylePr>
  </w:style>
  <w:style w:type="table" w:customStyle="1" w:styleId="ColorfulList-Accent46">
    <w:name w:val="Colorful List - Accent 46"/>
    <w:basedOn w:val="TableNormal"/>
    <w:next w:val="ColorfulList-Accent4"/>
    <w:uiPriority w:val="72"/>
    <w:rsid w:val="00D61191"/>
    <w:pPr>
      <w:spacing w:before="120" w:after="0" w:line="240" w:lineRule="auto"/>
      <w:ind w:left="567"/>
      <w:jc w:val="both"/>
    </w:pPr>
    <w:rPr>
      <w:color w:val="000000" w:themeColor="text1"/>
    </w:rPr>
    <w:tblPr>
      <w:tblStyleRowBandSize w:val="1"/>
      <w:tblStyleColBandSize w:val="1"/>
    </w:tblPr>
    <w:tcPr>
      <w:shd w:val="clear" w:color="auto" w:fill="E6F8F5" w:themeFill="accent4" w:themeFillTint="19"/>
    </w:tcPr>
    <w:tblStylePr w:type="firstRow">
      <w:rPr>
        <w:b/>
        <w:bCs/>
        <w:color w:val="FFFFFF" w:themeColor="background1"/>
      </w:rPr>
      <w:tblPr/>
      <w:tcPr>
        <w:tcBorders>
          <w:bottom w:val="single" w:sz="12" w:space="0" w:color="FFFFFF" w:themeColor="background1"/>
        </w:tcBorders>
        <w:shd w:val="clear" w:color="auto" w:fill="98CEC6" w:themeFill="accent3" w:themeFillShade="CC"/>
      </w:tcPr>
    </w:tblStylePr>
    <w:tblStylePr w:type="lastRow">
      <w:rPr>
        <w:b/>
        <w:bCs/>
        <w:color w:val="98C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EDE6" w:themeFill="accent4" w:themeFillTint="3F"/>
      </w:tcPr>
    </w:tblStylePr>
    <w:tblStylePr w:type="band1Horz">
      <w:tblPr/>
      <w:tcPr>
        <w:shd w:val="clear" w:color="auto" w:fill="CEF1EA" w:themeFill="accent4" w:themeFillTint="33"/>
      </w:tcPr>
    </w:tblStylePr>
  </w:style>
  <w:style w:type="table" w:customStyle="1" w:styleId="MediumShading1-Accent36">
    <w:name w:val="Medium Shading 1 - Accent 36"/>
    <w:basedOn w:val="TableNormal"/>
    <w:next w:val="MediumShading1-Accent3"/>
    <w:uiPriority w:val="63"/>
    <w:rsid w:val="00D61191"/>
    <w:pPr>
      <w:spacing w:before="120" w:after="0" w:line="240" w:lineRule="auto"/>
      <w:ind w:left="567"/>
      <w:jc w:val="both"/>
    </w:pPr>
    <w:tblPr>
      <w:tblStyleRowBandSize w:val="1"/>
      <w:tblStyleColBandSize w:val="1"/>
      <w:tbl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single" w:sz="8" w:space="0" w:color="DFF0ED" w:themeColor="accent3" w:themeTint="BF"/>
      </w:tblBorders>
    </w:tblPr>
    <w:tblStylePr w:type="firstRow">
      <w:pPr>
        <w:spacing w:before="0" w:after="0" w:line="240" w:lineRule="auto"/>
      </w:pPr>
      <w:rPr>
        <w:b/>
        <w:bCs/>
        <w:color w:val="FFFFFF" w:themeColor="background1"/>
      </w:rPr>
      <w:tblPr/>
      <w:tcPr>
        <w:tc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shd w:val="clear" w:color="auto" w:fill="D5EBE8" w:themeFill="accent3"/>
      </w:tcPr>
    </w:tblStylePr>
    <w:tblStylePr w:type="lastRow">
      <w:pPr>
        <w:spacing w:before="0" w:after="0" w:line="240" w:lineRule="auto"/>
      </w:pPr>
      <w:rPr>
        <w:b/>
        <w:bCs/>
      </w:rPr>
      <w:tblPr/>
      <w:tcPr>
        <w:tcBorders>
          <w:top w:val="double" w:sz="6"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FAF9" w:themeFill="accent3" w:themeFillTint="3F"/>
      </w:tcPr>
    </w:tblStylePr>
    <w:tblStylePr w:type="band1Horz">
      <w:tblPr/>
      <w:tcPr>
        <w:tcBorders>
          <w:insideH w:val="nil"/>
          <w:insideV w:val="nil"/>
        </w:tcBorders>
        <w:shd w:val="clear" w:color="auto" w:fill="F4FAF9" w:themeFill="accent3" w:themeFillTint="3F"/>
      </w:tcPr>
    </w:tblStylePr>
    <w:tblStylePr w:type="band2Horz">
      <w:tblPr/>
      <w:tcPr>
        <w:tcBorders>
          <w:insideH w:val="nil"/>
          <w:insideV w:val="nil"/>
        </w:tcBorders>
      </w:tcPr>
    </w:tblStylePr>
  </w:style>
  <w:style w:type="table" w:customStyle="1" w:styleId="LightList-Accent46">
    <w:name w:val="Light List - Accent 46"/>
    <w:basedOn w:val="TableNormal"/>
    <w:next w:val="LightList-Accent4"/>
    <w:uiPriority w:val="61"/>
    <w:rsid w:val="00D61191"/>
    <w:pPr>
      <w:spacing w:before="120" w:after="0" w:line="240" w:lineRule="auto"/>
      <w:ind w:left="567"/>
      <w:jc w:val="both"/>
    </w:pPr>
    <w:tblPr>
      <w:tblStyleRowBandSize w:val="1"/>
      <w:tblStyleColBandSize w:val="1"/>
      <w:tblBorders>
        <w:top w:val="single" w:sz="8" w:space="0" w:color="2C9986" w:themeColor="accent4"/>
        <w:left w:val="single" w:sz="8" w:space="0" w:color="2C9986" w:themeColor="accent4"/>
        <w:bottom w:val="single" w:sz="8" w:space="0" w:color="2C9986" w:themeColor="accent4"/>
        <w:right w:val="single" w:sz="8" w:space="0" w:color="2C9986" w:themeColor="accent4"/>
      </w:tblBorders>
    </w:tblPr>
    <w:tblStylePr w:type="firstRow">
      <w:pPr>
        <w:spacing w:before="0" w:after="0" w:line="240" w:lineRule="auto"/>
      </w:pPr>
      <w:rPr>
        <w:b/>
        <w:bCs/>
        <w:color w:val="FFFFFF" w:themeColor="background1"/>
      </w:rPr>
      <w:tblPr/>
      <w:tcPr>
        <w:shd w:val="clear" w:color="auto" w:fill="2C9986" w:themeFill="accent4"/>
      </w:tcPr>
    </w:tblStylePr>
    <w:tblStylePr w:type="lastRow">
      <w:pPr>
        <w:spacing w:before="0" w:after="0" w:line="240" w:lineRule="auto"/>
      </w:pPr>
      <w:rPr>
        <w:b/>
        <w:bCs/>
      </w:rPr>
      <w:tblPr/>
      <w:tcPr>
        <w:tcBorders>
          <w:top w:val="double" w:sz="6" w:space="0" w:color="2C9986" w:themeColor="accent4"/>
          <w:left w:val="single" w:sz="8" w:space="0" w:color="2C9986" w:themeColor="accent4"/>
          <w:bottom w:val="single" w:sz="8" w:space="0" w:color="2C9986" w:themeColor="accent4"/>
          <w:right w:val="single" w:sz="8" w:space="0" w:color="2C9986" w:themeColor="accent4"/>
        </w:tcBorders>
      </w:tcPr>
    </w:tblStylePr>
    <w:tblStylePr w:type="firstCol">
      <w:rPr>
        <w:b/>
        <w:bCs/>
      </w:rPr>
    </w:tblStylePr>
    <w:tblStylePr w:type="lastCol">
      <w:rPr>
        <w:b/>
        <w:bCs/>
      </w:rPr>
    </w:tblStylePr>
    <w:tblStylePr w:type="band1Vert">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tblStylePr w:type="band1Horz">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style>
  <w:style w:type="table" w:customStyle="1" w:styleId="ColorfulGrid-Accent36">
    <w:name w:val="Colorful Grid - Accent 36"/>
    <w:basedOn w:val="TableNormal"/>
    <w:next w:val="ColorfulGrid-Accent3"/>
    <w:uiPriority w:val="73"/>
    <w:rsid w:val="00D61191"/>
    <w:pPr>
      <w:spacing w:before="120" w:after="0" w:line="240" w:lineRule="auto"/>
      <w:ind w:left="567"/>
      <w:jc w:val="both"/>
    </w:pPr>
    <w:rPr>
      <w:color w:val="000000" w:themeColor="text1"/>
    </w:rPr>
    <w:tblPr>
      <w:tblStyleRowBandSize w:val="1"/>
      <w:tblStyleColBandSize w:val="1"/>
      <w:tblBorders>
        <w:insideH w:val="single" w:sz="4" w:space="0" w:color="FFFFFF" w:themeColor="background1"/>
      </w:tblBorders>
    </w:tblPr>
    <w:tcPr>
      <w:shd w:val="clear" w:color="auto" w:fill="F6FBFA" w:themeFill="accent3" w:themeFillTint="33"/>
    </w:tcPr>
    <w:tblStylePr w:type="firstRow">
      <w:rPr>
        <w:b/>
        <w:bCs/>
      </w:rPr>
      <w:tblPr/>
      <w:tcPr>
        <w:shd w:val="clear" w:color="auto" w:fill="EEF7F5" w:themeFill="accent3" w:themeFillTint="66"/>
      </w:tcPr>
    </w:tblStylePr>
    <w:tblStylePr w:type="lastRow">
      <w:rPr>
        <w:b/>
        <w:bCs/>
        <w:color w:val="000000" w:themeColor="text1"/>
      </w:rPr>
      <w:tblPr/>
      <w:tcPr>
        <w:shd w:val="clear" w:color="auto" w:fill="EEF7F5" w:themeFill="accent3" w:themeFillTint="66"/>
      </w:tcPr>
    </w:tblStylePr>
    <w:tblStylePr w:type="firstCol">
      <w:rPr>
        <w:color w:val="FFFFFF" w:themeColor="background1"/>
      </w:rPr>
      <w:tblPr/>
      <w:tcPr>
        <w:shd w:val="clear" w:color="auto" w:fill="88C6BE" w:themeFill="accent3" w:themeFillShade="BF"/>
      </w:tcPr>
    </w:tblStylePr>
    <w:tblStylePr w:type="lastCol">
      <w:rPr>
        <w:color w:val="FFFFFF" w:themeColor="background1"/>
      </w:rPr>
      <w:tblPr/>
      <w:tcPr>
        <w:shd w:val="clear" w:color="auto" w:fill="88C6BE" w:themeFill="accent3" w:themeFillShade="BF"/>
      </w:tcPr>
    </w:tblStylePr>
    <w:tblStylePr w:type="band1Vert">
      <w:tblPr/>
      <w:tcPr>
        <w:shd w:val="clear" w:color="auto" w:fill="EAF5F3" w:themeFill="accent3" w:themeFillTint="7F"/>
      </w:tcPr>
    </w:tblStylePr>
    <w:tblStylePr w:type="band1Horz">
      <w:tblPr/>
      <w:tcPr>
        <w:shd w:val="clear" w:color="auto" w:fill="EAF5F3" w:themeFill="accent3" w:themeFillTint="7F"/>
      </w:tcPr>
    </w:tblStylePr>
  </w:style>
  <w:style w:type="table" w:customStyle="1" w:styleId="LightList-Accent36">
    <w:name w:val="Light List - Accent 36"/>
    <w:basedOn w:val="TableNormal"/>
    <w:next w:val="LightList-Accent3"/>
    <w:uiPriority w:val="61"/>
    <w:rsid w:val="00D61191"/>
    <w:pPr>
      <w:spacing w:before="120" w:after="0" w:line="240" w:lineRule="auto"/>
      <w:ind w:left="567"/>
      <w:jc w:val="both"/>
    </w:p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table" w:customStyle="1" w:styleId="GridTable1LightAccent45">
    <w:name w:val="Grid Table 1 Light Accent 45"/>
    <w:basedOn w:val="TableNormal"/>
    <w:uiPriority w:val="46"/>
    <w:rsid w:val="00D61191"/>
    <w:pPr>
      <w:spacing w:before="120" w:after="0" w:line="240" w:lineRule="auto"/>
      <w:ind w:left="567"/>
      <w:jc w:val="both"/>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TableGrid18">
    <w:name w:val="Table Grid18"/>
    <w:basedOn w:val="TableNormal"/>
    <w:next w:val="TableGrid"/>
    <w:uiPriority w:val="59"/>
    <w:rsid w:val="00D61191"/>
    <w:pPr>
      <w:spacing w:after="0" w:line="240" w:lineRule="auto"/>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4">
    <w:name w:val="Light Shading - Accent 14"/>
    <w:basedOn w:val="TableNormal"/>
    <w:next w:val="LightShading-Accent1"/>
    <w:uiPriority w:val="60"/>
    <w:rsid w:val="00D61191"/>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4">
    <w:name w:val="Light List - Accent 14"/>
    <w:basedOn w:val="TableNormal"/>
    <w:next w:val="LightList-Accent1"/>
    <w:uiPriority w:val="61"/>
    <w:rsid w:val="00D61191"/>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table" w:customStyle="1" w:styleId="LightGrid-Accent14">
    <w:name w:val="Light Grid - Accent 14"/>
    <w:basedOn w:val="TableNormal"/>
    <w:next w:val="LightGrid-Accent1"/>
    <w:uiPriority w:val="62"/>
    <w:rsid w:val="00D61191"/>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ColorfulList-Accent65">
    <w:name w:val="Colorful List - Accent 65"/>
    <w:basedOn w:val="TableNormal"/>
    <w:next w:val="ColorfulList-Accent6"/>
    <w:uiPriority w:val="72"/>
    <w:rsid w:val="00D61191"/>
    <w:pPr>
      <w:spacing w:before="120" w:after="0" w:line="240" w:lineRule="auto"/>
      <w:jc w:val="both"/>
    </w:pPr>
    <w:rPr>
      <w:rFonts w:ascii="Arial" w:eastAsia="Times New Roman" w:hAnsi="Arial" w:cs="Times New Roman"/>
      <w:color w:val="000000" w:themeColor="text1"/>
      <w:sz w:val="16"/>
      <w:szCs w:val="20"/>
      <w:lang w:eastAsia="en-NZ"/>
    </w:rPr>
    <w:tblPr>
      <w:tblStyleRowBandSize w:val="1"/>
      <w:tblStyleColBandSize w:val="1"/>
    </w:tblPr>
    <w:tcPr>
      <w:shd w:val="clear" w:color="auto" w:fill="FFFFFF" w:themeFill="background1"/>
    </w:tcPr>
    <w:tblStylePr w:type="firstRow">
      <w:rPr>
        <w:b/>
        <w:bCs/>
        <w:color w:val="FFFFFF" w:themeColor="background1"/>
      </w:rPr>
      <w:tblPr/>
      <w:tcPr>
        <w:tcBorders>
          <w:bottom w:val="single" w:sz="12" w:space="0" w:color="FFFFFF" w:themeColor="background1"/>
        </w:tcBorders>
        <w:shd w:val="clear" w:color="auto" w:fill="45B29E" w:themeFill="accent5" w:themeFillShade="CC"/>
      </w:tcPr>
    </w:tblStylePr>
    <w:tblStylePr w:type="lastRow">
      <w:rPr>
        <w:b/>
        <w:bCs/>
        <w:color w:val="45B29E" w:themeColor="accent5" w:themeShade="CC"/>
      </w:rPr>
      <w:tblPr/>
      <w:tcPr>
        <w:tcBorders>
          <w:top w:val="single" w:sz="12" w:space="0" w:color="000000" w:themeColor="text1"/>
        </w:tcBorders>
        <w:shd w:val="clear" w:color="auto" w:fill="FFFFFF" w:themeFill="background1"/>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table" w:customStyle="1" w:styleId="TableGrid19">
    <w:name w:val="Table Grid19"/>
    <w:basedOn w:val="TableNormal"/>
    <w:next w:val="TableGrid"/>
    <w:rsid w:val="00D61191"/>
    <w:pPr>
      <w:spacing w:before="120" w:after="0" w:line="240" w:lineRule="auto"/>
      <w:ind w:left="567"/>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7">
    <w:name w:val="Colorful Grid - Accent 17"/>
    <w:basedOn w:val="TableNormal"/>
    <w:next w:val="ColorfulGrid-Accent1"/>
    <w:rsid w:val="00D61191"/>
    <w:pPr>
      <w:spacing w:before="120" w:after="0" w:line="240" w:lineRule="auto"/>
      <w:ind w:left="567"/>
      <w:jc w:val="both"/>
    </w:pPr>
    <w:rPr>
      <w:rFonts w:ascii="Times New Roman" w:eastAsia="Times New Roman" w:hAnsi="Times New Roman" w:cs="Times New Roman"/>
      <w:sz w:val="20"/>
      <w:szCs w:val="2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7">
    <w:name w:val="Table-Grid7"/>
    <w:basedOn w:val="TableNormal"/>
    <w:uiPriority w:val="99"/>
    <w:rsid w:val="00D61191"/>
    <w:pPr>
      <w:spacing w:before="120" w:after="0" w:line="240" w:lineRule="auto"/>
      <w:ind w:left="567"/>
      <w:jc w:val="both"/>
    </w:pPr>
    <w:rPr>
      <w:rFonts w:ascii="Times New Roman" w:eastAsia="Times New Roman" w:hAnsi="Times New Roman" w:cs="Times New Roman"/>
      <w:sz w:val="20"/>
      <w:szCs w:val="20"/>
    </w:rPr>
    <w:tblPr>
      <w:tblBorders>
        <w:top w:val="single" w:sz="6" w:space="0" w:color="808080" w:themeColor="background1" w:themeShade="80"/>
        <w:bottom w:val="single" w:sz="6" w:space="0" w:color="808080" w:themeColor="background1" w:themeShade="80"/>
      </w:tblBorders>
      <w:tblCellMar>
        <w:top w:w="57" w:type="dxa"/>
        <w:left w:w="85" w:type="dxa"/>
        <w:bottom w:w="57" w:type="dxa"/>
        <w:right w:w="0" w:type="dxa"/>
      </w:tblCellMar>
    </w:tblPr>
    <w:tcPr>
      <w:shd w:val="clear" w:color="auto" w:fill="FFFFFF" w:themeFill="background1"/>
    </w:tcPr>
  </w:style>
  <w:style w:type="table" w:customStyle="1" w:styleId="LightShading-Accent37">
    <w:name w:val="Light Shading - Accent 37"/>
    <w:basedOn w:val="TableNormal"/>
    <w:next w:val="LightShading-Accent3"/>
    <w:uiPriority w:val="60"/>
    <w:rsid w:val="00D61191"/>
    <w:pPr>
      <w:spacing w:before="120" w:after="0" w:line="240" w:lineRule="auto"/>
      <w:ind w:left="567"/>
      <w:jc w:val="both"/>
    </w:pPr>
    <w:rPr>
      <w:color w:val="88C6BE" w:themeColor="accent3" w:themeShade="BF"/>
    </w:rPr>
    <w:tblPr>
      <w:tblStyleRowBandSize w:val="1"/>
      <w:tblStyleColBandSize w:val="1"/>
      <w:tblBorders>
        <w:top w:val="single" w:sz="8" w:space="0" w:color="D5EBE8" w:themeColor="accent3"/>
        <w:bottom w:val="single" w:sz="8" w:space="0" w:color="D5EBE8" w:themeColor="accent3"/>
      </w:tblBorders>
    </w:tblPr>
    <w:tblStylePr w:type="fir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la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AF9" w:themeFill="accent3" w:themeFillTint="3F"/>
      </w:tcPr>
    </w:tblStylePr>
    <w:tblStylePr w:type="band1Horz">
      <w:tblPr/>
      <w:tcPr>
        <w:tcBorders>
          <w:left w:val="nil"/>
          <w:right w:val="nil"/>
          <w:insideH w:val="nil"/>
          <w:insideV w:val="nil"/>
        </w:tcBorders>
        <w:shd w:val="clear" w:color="auto" w:fill="F4FAF9" w:themeFill="accent3" w:themeFillTint="3F"/>
      </w:tcPr>
    </w:tblStylePr>
  </w:style>
  <w:style w:type="table" w:customStyle="1" w:styleId="ColorfulList-Accent47">
    <w:name w:val="Colorful List - Accent 47"/>
    <w:basedOn w:val="TableNormal"/>
    <w:next w:val="ColorfulList-Accent4"/>
    <w:uiPriority w:val="72"/>
    <w:rsid w:val="00D61191"/>
    <w:pPr>
      <w:spacing w:before="120" w:after="0" w:line="240" w:lineRule="auto"/>
      <w:ind w:left="567"/>
      <w:jc w:val="both"/>
    </w:pPr>
    <w:rPr>
      <w:color w:val="000000" w:themeColor="text1"/>
    </w:rPr>
    <w:tblPr>
      <w:tblStyleRowBandSize w:val="1"/>
      <w:tblStyleColBandSize w:val="1"/>
    </w:tblPr>
    <w:tcPr>
      <w:shd w:val="clear" w:color="auto" w:fill="E6F8F5" w:themeFill="accent4" w:themeFillTint="19"/>
    </w:tcPr>
    <w:tblStylePr w:type="firstRow">
      <w:rPr>
        <w:b/>
        <w:bCs/>
        <w:color w:val="FFFFFF" w:themeColor="background1"/>
      </w:rPr>
      <w:tblPr/>
      <w:tcPr>
        <w:tcBorders>
          <w:bottom w:val="single" w:sz="12" w:space="0" w:color="FFFFFF" w:themeColor="background1"/>
        </w:tcBorders>
        <w:shd w:val="clear" w:color="auto" w:fill="98CEC6" w:themeFill="accent3" w:themeFillShade="CC"/>
      </w:tcPr>
    </w:tblStylePr>
    <w:tblStylePr w:type="lastRow">
      <w:rPr>
        <w:b/>
        <w:bCs/>
        <w:color w:val="98C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EDE6" w:themeFill="accent4" w:themeFillTint="3F"/>
      </w:tcPr>
    </w:tblStylePr>
    <w:tblStylePr w:type="band1Horz">
      <w:tblPr/>
      <w:tcPr>
        <w:shd w:val="clear" w:color="auto" w:fill="CEF1EA" w:themeFill="accent4" w:themeFillTint="33"/>
      </w:tcPr>
    </w:tblStylePr>
  </w:style>
  <w:style w:type="table" w:customStyle="1" w:styleId="MediumShading1-Accent37">
    <w:name w:val="Medium Shading 1 - Accent 37"/>
    <w:basedOn w:val="TableNormal"/>
    <w:next w:val="MediumShading1-Accent3"/>
    <w:uiPriority w:val="63"/>
    <w:rsid w:val="00D61191"/>
    <w:pPr>
      <w:spacing w:before="120" w:after="0" w:line="240" w:lineRule="auto"/>
      <w:ind w:left="567"/>
      <w:jc w:val="both"/>
    </w:pPr>
    <w:tblPr>
      <w:tblStyleRowBandSize w:val="1"/>
      <w:tblStyleColBandSize w:val="1"/>
      <w:tbl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single" w:sz="8" w:space="0" w:color="DFF0ED" w:themeColor="accent3" w:themeTint="BF"/>
      </w:tblBorders>
    </w:tblPr>
    <w:tblStylePr w:type="firstRow">
      <w:pPr>
        <w:spacing w:before="0" w:after="0" w:line="240" w:lineRule="auto"/>
      </w:pPr>
      <w:rPr>
        <w:b/>
        <w:bCs/>
        <w:color w:val="FFFFFF" w:themeColor="background1"/>
      </w:rPr>
      <w:tblPr/>
      <w:tcPr>
        <w:tc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shd w:val="clear" w:color="auto" w:fill="D5EBE8" w:themeFill="accent3"/>
      </w:tcPr>
    </w:tblStylePr>
    <w:tblStylePr w:type="lastRow">
      <w:pPr>
        <w:spacing w:before="0" w:after="0" w:line="240" w:lineRule="auto"/>
      </w:pPr>
      <w:rPr>
        <w:b/>
        <w:bCs/>
      </w:rPr>
      <w:tblPr/>
      <w:tcPr>
        <w:tcBorders>
          <w:top w:val="double" w:sz="6"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FAF9" w:themeFill="accent3" w:themeFillTint="3F"/>
      </w:tcPr>
    </w:tblStylePr>
    <w:tblStylePr w:type="band1Horz">
      <w:tblPr/>
      <w:tcPr>
        <w:tcBorders>
          <w:insideH w:val="nil"/>
          <w:insideV w:val="nil"/>
        </w:tcBorders>
        <w:shd w:val="clear" w:color="auto" w:fill="F4FAF9" w:themeFill="accent3" w:themeFillTint="3F"/>
      </w:tcPr>
    </w:tblStylePr>
    <w:tblStylePr w:type="band2Horz">
      <w:tblPr/>
      <w:tcPr>
        <w:tcBorders>
          <w:insideH w:val="nil"/>
          <w:insideV w:val="nil"/>
        </w:tcBorders>
      </w:tcPr>
    </w:tblStylePr>
  </w:style>
  <w:style w:type="table" w:customStyle="1" w:styleId="LightList-Accent47">
    <w:name w:val="Light List - Accent 47"/>
    <w:basedOn w:val="TableNormal"/>
    <w:next w:val="LightList-Accent4"/>
    <w:uiPriority w:val="61"/>
    <w:rsid w:val="00D61191"/>
    <w:pPr>
      <w:spacing w:before="120" w:after="0" w:line="240" w:lineRule="auto"/>
      <w:ind w:left="567"/>
      <w:jc w:val="both"/>
    </w:pPr>
    <w:tblPr>
      <w:tblStyleRowBandSize w:val="1"/>
      <w:tblStyleColBandSize w:val="1"/>
      <w:tblBorders>
        <w:top w:val="single" w:sz="8" w:space="0" w:color="2C9986" w:themeColor="accent4"/>
        <w:left w:val="single" w:sz="8" w:space="0" w:color="2C9986" w:themeColor="accent4"/>
        <w:bottom w:val="single" w:sz="8" w:space="0" w:color="2C9986" w:themeColor="accent4"/>
        <w:right w:val="single" w:sz="8" w:space="0" w:color="2C9986" w:themeColor="accent4"/>
      </w:tblBorders>
    </w:tblPr>
    <w:tblStylePr w:type="firstRow">
      <w:pPr>
        <w:spacing w:before="0" w:after="0" w:line="240" w:lineRule="auto"/>
      </w:pPr>
      <w:rPr>
        <w:b/>
        <w:bCs/>
        <w:color w:val="FFFFFF" w:themeColor="background1"/>
      </w:rPr>
      <w:tblPr/>
      <w:tcPr>
        <w:shd w:val="clear" w:color="auto" w:fill="2C9986" w:themeFill="accent4"/>
      </w:tcPr>
    </w:tblStylePr>
    <w:tblStylePr w:type="lastRow">
      <w:pPr>
        <w:spacing w:before="0" w:after="0" w:line="240" w:lineRule="auto"/>
      </w:pPr>
      <w:rPr>
        <w:b/>
        <w:bCs/>
      </w:rPr>
      <w:tblPr/>
      <w:tcPr>
        <w:tcBorders>
          <w:top w:val="double" w:sz="6" w:space="0" w:color="2C9986" w:themeColor="accent4"/>
          <w:left w:val="single" w:sz="8" w:space="0" w:color="2C9986" w:themeColor="accent4"/>
          <w:bottom w:val="single" w:sz="8" w:space="0" w:color="2C9986" w:themeColor="accent4"/>
          <w:right w:val="single" w:sz="8" w:space="0" w:color="2C9986" w:themeColor="accent4"/>
        </w:tcBorders>
      </w:tcPr>
    </w:tblStylePr>
    <w:tblStylePr w:type="firstCol">
      <w:rPr>
        <w:b/>
        <w:bCs/>
      </w:rPr>
    </w:tblStylePr>
    <w:tblStylePr w:type="lastCol">
      <w:rPr>
        <w:b/>
        <w:bCs/>
      </w:rPr>
    </w:tblStylePr>
    <w:tblStylePr w:type="band1Vert">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tblStylePr w:type="band1Horz">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style>
  <w:style w:type="table" w:customStyle="1" w:styleId="ColorfulGrid-Accent37">
    <w:name w:val="Colorful Grid - Accent 37"/>
    <w:basedOn w:val="TableNormal"/>
    <w:next w:val="ColorfulGrid-Accent3"/>
    <w:uiPriority w:val="73"/>
    <w:rsid w:val="00D61191"/>
    <w:pPr>
      <w:spacing w:before="120" w:after="0" w:line="240" w:lineRule="auto"/>
      <w:ind w:left="567"/>
      <w:jc w:val="both"/>
    </w:pPr>
    <w:rPr>
      <w:color w:val="000000" w:themeColor="text1"/>
    </w:rPr>
    <w:tblPr>
      <w:tblStyleRowBandSize w:val="1"/>
      <w:tblStyleColBandSize w:val="1"/>
      <w:tblBorders>
        <w:insideH w:val="single" w:sz="4" w:space="0" w:color="FFFFFF" w:themeColor="background1"/>
      </w:tblBorders>
    </w:tblPr>
    <w:tcPr>
      <w:shd w:val="clear" w:color="auto" w:fill="F6FBFA" w:themeFill="accent3" w:themeFillTint="33"/>
    </w:tcPr>
    <w:tblStylePr w:type="firstRow">
      <w:rPr>
        <w:b/>
        <w:bCs/>
      </w:rPr>
      <w:tblPr/>
      <w:tcPr>
        <w:shd w:val="clear" w:color="auto" w:fill="EEF7F5" w:themeFill="accent3" w:themeFillTint="66"/>
      </w:tcPr>
    </w:tblStylePr>
    <w:tblStylePr w:type="lastRow">
      <w:rPr>
        <w:b/>
        <w:bCs/>
        <w:color w:val="000000" w:themeColor="text1"/>
      </w:rPr>
      <w:tblPr/>
      <w:tcPr>
        <w:shd w:val="clear" w:color="auto" w:fill="EEF7F5" w:themeFill="accent3" w:themeFillTint="66"/>
      </w:tcPr>
    </w:tblStylePr>
    <w:tblStylePr w:type="firstCol">
      <w:rPr>
        <w:color w:val="FFFFFF" w:themeColor="background1"/>
      </w:rPr>
      <w:tblPr/>
      <w:tcPr>
        <w:shd w:val="clear" w:color="auto" w:fill="88C6BE" w:themeFill="accent3" w:themeFillShade="BF"/>
      </w:tcPr>
    </w:tblStylePr>
    <w:tblStylePr w:type="lastCol">
      <w:rPr>
        <w:color w:val="FFFFFF" w:themeColor="background1"/>
      </w:rPr>
      <w:tblPr/>
      <w:tcPr>
        <w:shd w:val="clear" w:color="auto" w:fill="88C6BE" w:themeFill="accent3" w:themeFillShade="BF"/>
      </w:tcPr>
    </w:tblStylePr>
    <w:tblStylePr w:type="band1Vert">
      <w:tblPr/>
      <w:tcPr>
        <w:shd w:val="clear" w:color="auto" w:fill="EAF5F3" w:themeFill="accent3" w:themeFillTint="7F"/>
      </w:tcPr>
    </w:tblStylePr>
    <w:tblStylePr w:type="band1Horz">
      <w:tblPr/>
      <w:tcPr>
        <w:shd w:val="clear" w:color="auto" w:fill="EAF5F3" w:themeFill="accent3" w:themeFillTint="7F"/>
      </w:tcPr>
    </w:tblStylePr>
  </w:style>
  <w:style w:type="table" w:customStyle="1" w:styleId="LightList-Accent37">
    <w:name w:val="Light List - Accent 37"/>
    <w:basedOn w:val="TableNormal"/>
    <w:next w:val="LightList-Accent3"/>
    <w:uiPriority w:val="61"/>
    <w:rsid w:val="00D61191"/>
    <w:pPr>
      <w:spacing w:before="120" w:after="0" w:line="240" w:lineRule="auto"/>
      <w:ind w:left="567"/>
      <w:jc w:val="both"/>
    </w:p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table" w:customStyle="1" w:styleId="GridTable1Light-Accent416">
    <w:name w:val="Grid Table 1 Light - Accent 416"/>
    <w:basedOn w:val="TableNormal"/>
    <w:uiPriority w:val="46"/>
    <w:rsid w:val="00D61191"/>
    <w:pPr>
      <w:spacing w:before="120" w:after="0" w:line="240" w:lineRule="auto"/>
      <w:ind w:left="567"/>
      <w:jc w:val="both"/>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TableGrid23">
    <w:name w:val="Table Grid23"/>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13">
    <w:name w:val="Colorful Grid - Accent 113"/>
    <w:basedOn w:val="TableNormal"/>
    <w:next w:val="ColorfulGrid-Accent1"/>
    <w:rsid w:val="00D61191"/>
    <w:pPr>
      <w:spacing w:after="0" w:line="240" w:lineRule="auto"/>
    </w:pPr>
    <w:rPr>
      <w:rFonts w:ascii="Times New Roman" w:eastAsia="Times New Roman" w:hAnsi="Times New Roman" w:cs="Times New Roman"/>
      <w:sz w:val="20"/>
      <w:szCs w:val="20"/>
      <w:lang w:val="x-none" w:eastAsia="x-none" w:bidi="x-none"/>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13">
    <w:name w:val="Table-Grid13"/>
    <w:basedOn w:val="TableNormal"/>
    <w:uiPriority w:val="99"/>
    <w:rsid w:val="00D61191"/>
    <w:pPr>
      <w:spacing w:after="0" w:line="240" w:lineRule="auto"/>
    </w:pPr>
    <w:rPr>
      <w:rFonts w:ascii="Times New Roman" w:eastAsia="Times New Roman" w:hAnsi="Times New Roman" w:cs="Times New Roman"/>
      <w:sz w:val="20"/>
      <w:szCs w:val="20"/>
      <w:lang w:eastAsia="en-NZ"/>
    </w:rPr>
    <w:tblPr>
      <w:tblBorders>
        <w:top w:val="single" w:sz="6" w:space="0" w:color="808080"/>
        <w:bottom w:val="single" w:sz="6" w:space="0" w:color="808080"/>
      </w:tblBorders>
      <w:tblCellMar>
        <w:top w:w="57" w:type="dxa"/>
        <w:left w:w="85" w:type="dxa"/>
        <w:bottom w:w="57" w:type="dxa"/>
        <w:right w:w="0" w:type="dxa"/>
      </w:tblCellMar>
    </w:tblPr>
    <w:tcPr>
      <w:shd w:val="clear" w:color="auto" w:fill="FFFFFF"/>
    </w:tcPr>
  </w:style>
  <w:style w:type="table" w:customStyle="1" w:styleId="LightShading-Accent313">
    <w:name w:val="Light Shading - Accent 313"/>
    <w:basedOn w:val="TableNormal"/>
    <w:next w:val="LightShading-Accent3"/>
    <w:uiPriority w:val="60"/>
    <w:rsid w:val="00D61191"/>
    <w:pPr>
      <w:spacing w:after="0" w:line="240" w:lineRule="auto"/>
    </w:pPr>
    <w:rPr>
      <w:rFonts w:ascii="Calibri" w:eastAsia="Calibri" w:hAnsi="Calibri" w:cs="Times New Roman"/>
      <w:color w:val="76923C"/>
      <w:sz w:val="20"/>
      <w:szCs w:val="20"/>
      <w:lang w:eastAsia="en-NZ"/>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ColorfulList-Accent413">
    <w:name w:val="Colorful List - Accent 413"/>
    <w:basedOn w:val="TableNormal"/>
    <w:next w:val="ColorfulList-Accent4"/>
    <w:uiPriority w:val="72"/>
    <w:rsid w:val="00D61191"/>
    <w:pPr>
      <w:spacing w:after="0" w:line="240" w:lineRule="auto"/>
    </w:pPr>
    <w:rPr>
      <w:rFonts w:ascii="Calibri" w:eastAsia="Calibri" w:hAnsi="Calibri" w:cs="Times New Roman"/>
      <w:color w:val="000000"/>
      <w:sz w:val="20"/>
      <w:szCs w:val="20"/>
      <w:lang w:eastAsia="en-NZ"/>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MediumShading1-Accent313">
    <w:name w:val="Medium Shading 1 - Accent 313"/>
    <w:basedOn w:val="TableNormal"/>
    <w:next w:val="MediumShading1-Accent3"/>
    <w:uiPriority w:val="63"/>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List-Accent413">
    <w:name w:val="Light List - Accent 413"/>
    <w:basedOn w:val="TableNormal"/>
    <w:next w:val="LightList-Accent4"/>
    <w:uiPriority w:val="61"/>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ColorfulGrid-Accent313">
    <w:name w:val="Colorful Grid - Accent 313"/>
    <w:basedOn w:val="TableNormal"/>
    <w:next w:val="ColorfulGrid-Accent3"/>
    <w:uiPriority w:val="73"/>
    <w:rsid w:val="00D61191"/>
    <w:pPr>
      <w:spacing w:after="0" w:line="240" w:lineRule="auto"/>
    </w:pPr>
    <w:rPr>
      <w:rFonts w:ascii="Calibri" w:eastAsia="Calibri" w:hAnsi="Calibri" w:cs="Times New Roman"/>
      <w:color w:val="000000"/>
      <w:sz w:val="20"/>
      <w:szCs w:val="20"/>
      <w:lang w:eastAsia="en-NZ"/>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LightList-Accent313">
    <w:name w:val="Light List - Accent 313"/>
    <w:basedOn w:val="TableNormal"/>
    <w:next w:val="LightList-Accent3"/>
    <w:uiPriority w:val="61"/>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GridTable1LightAccent413">
    <w:name w:val="Grid Table 1 Light Accent 413"/>
    <w:basedOn w:val="TableNormal"/>
    <w:uiPriority w:val="46"/>
    <w:rsid w:val="00D61191"/>
    <w:pPr>
      <w:spacing w:after="0" w:line="240" w:lineRule="auto"/>
    </w:pPr>
    <w:rPr>
      <w:rFonts w:ascii="Calibri" w:eastAsia="Times New Roman" w:hAnsi="Calibri" w:cs="Times New Roman"/>
      <w:sz w:val="20"/>
      <w:szCs w:val="20"/>
      <w:lang w:eastAsia="en-NZ"/>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table" w:customStyle="1" w:styleId="TableGrid33">
    <w:name w:val="Table Grid33"/>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D61191"/>
    <w:pPr>
      <w:spacing w:after="0" w:line="240" w:lineRule="auto"/>
    </w:pPr>
    <w:rPr>
      <w:sz w:val="24"/>
      <w:szCs w:val="24"/>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3">
    <w:name w:val="Table Grid113"/>
    <w:basedOn w:val="TableNormal"/>
    <w:next w:val="TableGrid"/>
    <w:uiPriority w:val="59"/>
    <w:rsid w:val="00D61191"/>
    <w:pPr>
      <w:spacing w:after="0" w:line="240" w:lineRule="auto"/>
    </w:pPr>
    <w:rPr>
      <w:rFonts w:ascii="Calibri" w:eastAsia="Calibri" w:hAnsi="Calibri" w:cs="Times New Roman"/>
      <w:sz w:val="24"/>
      <w:szCs w:val="24"/>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ColorfulList-Accent613">
    <w:name w:val="Colorful List - Accent 613"/>
    <w:basedOn w:val="TableNormal"/>
    <w:next w:val="ColorfulList-Accent6"/>
    <w:uiPriority w:val="72"/>
    <w:rsid w:val="00D61191"/>
    <w:pPr>
      <w:spacing w:before="120" w:after="0" w:line="240" w:lineRule="auto"/>
      <w:jc w:val="both"/>
    </w:pPr>
    <w:rPr>
      <w:rFonts w:ascii="Arial" w:eastAsia="Times New Roman" w:hAnsi="Arial" w:cs="Times New Roman"/>
      <w:color w:val="000000" w:themeColor="text1"/>
      <w:sz w:val="16"/>
      <w:szCs w:val="20"/>
      <w:lang w:eastAsia="en-NZ"/>
    </w:rPr>
    <w:tblPr>
      <w:tblStyleRowBandSize w:val="1"/>
      <w:tblStyleColBandSize w:val="1"/>
    </w:tblPr>
    <w:tcPr>
      <w:shd w:val="clear" w:color="auto" w:fill="FFFFFF" w:themeFill="background1"/>
    </w:tcPr>
    <w:tblStylePr w:type="firstRow">
      <w:rPr>
        <w:b/>
        <w:bCs/>
        <w:color w:val="FFFFFF" w:themeColor="background1"/>
      </w:rPr>
      <w:tblPr/>
      <w:tcPr>
        <w:tcBorders>
          <w:bottom w:val="single" w:sz="12" w:space="0" w:color="FFFFFF" w:themeColor="background1"/>
        </w:tcBorders>
        <w:shd w:val="clear" w:color="auto" w:fill="45B29E" w:themeFill="accent5" w:themeFillShade="CC"/>
      </w:tcPr>
    </w:tblStylePr>
    <w:tblStylePr w:type="lastRow">
      <w:rPr>
        <w:b/>
        <w:bCs/>
        <w:color w:val="45B29E" w:themeColor="accent5" w:themeShade="CC"/>
      </w:rPr>
      <w:tblPr/>
      <w:tcPr>
        <w:tcBorders>
          <w:top w:val="single" w:sz="12" w:space="0" w:color="000000" w:themeColor="text1"/>
        </w:tcBorders>
        <w:shd w:val="clear" w:color="auto" w:fill="FFFFFF" w:themeFill="background1"/>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table" w:customStyle="1" w:styleId="TableGrid53">
    <w:name w:val="Table Grid53"/>
    <w:basedOn w:val="TableNormal"/>
    <w:next w:val="TableGrid"/>
    <w:rsid w:val="00D61191"/>
    <w:pPr>
      <w:spacing w:before="120" w:after="0" w:line="240" w:lineRule="auto"/>
      <w:ind w:left="567"/>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23">
    <w:name w:val="Colorful Grid - Accent 123"/>
    <w:basedOn w:val="TableNormal"/>
    <w:next w:val="ColorfulGrid-Accent1"/>
    <w:rsid w:val="00D61191"/>
    <w:pPr>
      <w:spacing w:before="120" w:after="0" w:line="240" w:lineRule="auto"/>
      <w:ind w:left="567"/>
      <w:jc w:val="both"/>
    </w:pPr>
    <w:rPr>
      <w:rFonts w:ascii="Times New Roman" w:eastAsia="Times New Roman" w:hAnsi="Times New Roman" w:cs="Times New Roman"/>
      <w:sz w:val="20"/>
      <w:szCs w:val="2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23">
    <w:name w:val="Table-Grid23"/>
    <w:basedOn w:val="TableNormal"/>
    <w:uiPriority w:val="99"/>
    <w:rsid w:val="00D61191"/>
    <w:pPr>
      <w:spacing w:before="120" w:after="0" w:line="240" w:lineRule="auto"/>
      <w:ind w:left="567"/>
      <w:jc w:val="both"/>
    </w:pPr>
    <w:rPr>
      <w:rFonts w:ascii="Times New Roman" w:eastAsia="Times New Roman" w:hAnsi="Times New Roman" w:cs="Times New Roman"/>
      <w:sz w:val="20"/>
      <w:szCs w:val="20"/>
    </w:rPr>
    <w:tblPr>
      <w:tblBorders>
        <w:top w:val="single" w:sz="6" w:space="0" w:color="808080" w:themeColor="background1" w:themeShade="80"/>
        <w:bottom w:val="single" w:sz="6" w:space="0" w:color="808080" w:themeColor="background1" w:themeShade="80"/>
      </w:tblBorders>
      <w:tblCellMar>
        <w:top w:w="57" w:type="dxa"/>
        <w:left w:w="85" w:type="dxa"/>
        <w:bottom w:w="57" w:type="dxa"/>
        <w:right w:w="0" w:type="dxa"/>
      </w:tblCellMar>
    </w:tblPr>
    <w:tcPr>
      <w:shd w:val="clear" w:color="auto" w:fill="FFFFFF" w:themeFill="background1"/>
    </w:tcPr>
  </w:style>
  <w:style w:type="table" w:customStyle="1" w:styleId="LightShading-Accent323">
    <w:name w:val="Light Shading - Accent 323"/>
    <w:basedOn w:val="TableNormal"/>
    <w:next w:val="LightShading-Accent3"/>
    <w:uiPriority w:val="60"/>
    <w:rsid w:val="00D61191"/>
    <w:pPr>
      <w:spacing w:before="120" w:after="0" w:line="240" w:lineRule="auto"/>
      <w:ind w:left="567"/>
      <w:jc w:val="both"/>
    </w:pPr>
    <w:rPr>
      <w:color w:val="88C6BE" w:themeColor="accent3" w:themeShade="BF"/>
    </w:rPr>
    <w:tblPr>
      <w:tblStyleRowBandSize w:val="1"/>
      <w:tblStyleColBandSize w:val="1"/>
      <w:tblBorders>
        <w:top w:val="single" w:sz="8" w:space="0" w:color="D5EBE8" w:themeColor="accent3"/>
        <w:bottom w:val="single" w:sz="8" w:space="0" w:color="D5EBE8" w:themeColor="accent3"/>
      </w:tblBorders>
    </w:tblPr>
    <w:tblStylePr w:type="fir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la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AF9" w:themeFill="accent3" w:themeFillTint="3F"/>
      </w:tcPr>
    </w:tblStylePr>
    <w:tblStylePr w:type="band1Horz">
      <w:tblPr/>
      <w:tcPr>
        <w:tcBorders>
          <w:left w:val="nil"/>
          <w:right w:val="nil"/>
          <w:insideH w:val="nil"/>
          <w:insideV w:val="nil"/>
        </w:tcBorders>
        <w:shd w:val="clear" w:color="auto" w:fill="F4FAF9" w:themeFill="accent3" w:themeFillTint="3F"/>
      </w:tcPr>
    </w:tblStylePr>
  </w:style>
  <w:style w:type="table" w:customStyle="1" w:styleId="ColorfulList-Accent423">
    <w:name w:val="Colorful List - Accent 423"/>
    <w:basedOn w:val="TableNormal"/>
    <w:next w:val="ColorfulList-Accent4"/>
    <w:uiPriority w:val="72"/>
    <w:rsid w:val="00D61191"/>
    <w:pPr>
      <w:spacing w:before="120" w:after="0" w:line="240" w:lineRule="auto"/>
      <w:ind w:left="567"/>
      <w:jc w:val="both"/>
    </w:pPr>
    <w:rPr>
      <w:color w:val="000000" w:themeColor="text1"/>
    </w:rPr>
    <w:tblPr>
      <w:tblStyleRowBandSize w:val="1"/>
      <w:tblStyleColBandSize w:val="1"/>
    </w:tblPr>
    <w:tcPr>
      <w:shd w:val="clear" w:color="auto" w:fill="E6F8F5" w:themeFill="accent4" w:themeFillTint="19"/>
    </w:tcPr>
    <w:tblStylePr w:type="firstRow">
      <w:rPr>
        <w:b/>
        <w:bCs/>
        <w:color w:val="FFFFFF" w:themeColor="background1"/>
      </w:rPr>
      <w:tblPr/>
      <w:tcPr>
        <w:tcBorders>
          <w:bottom w:val="single" w:sz="12" w:space="0" w:color="FFFFFF" w:themeColor="background1"/>
        </w:tcBorders>
        <w:shd w:val="clear" w:color="auto" w:fill="98CEC6" w:themeFill="accent3" w:themeFillShade="CC"/>
      </w:tcPr>
    </w:tblStylePr>
    <w:tblStylePr w:type="lastRow">
      <w:rPr>
        <w:b/>
        <w:bCs/>
        <w:color w:val="98C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EDE6" w:themeFill="accent4" w:themeFillTint="3F"/>
      </w:tcPr>
    </w:tblStylePr>
    <w:tblStylePr w:type="band1Horz">
      <w:tblPr/>
      <w:tcPr>
        <w:shd w:val="clear" w:color="auto" w:fill="CEF1EA" w:themeFill="accent4" w:themeFillTint="33"/>
      </w:tcPr>
    </w:tblStylePr>
  </w:style>
  <w:style w:type="table" w:customStyle="1" w:styleId="MediumShading1-Accent323">
    <w:name w:val="Medium Shading 1 - Accent 323"/>
    <w:basedOn w:val="TableNormal"/>
    <w:next w:val="MediumShading1-Accent3"/>
    <w:uiPriority w:val="63"/>
    <w:rsid w:val="00D61191"/>
    <w:pPr>
      <w:spacing w:before="120" w:after="0" w:line="240" w:lineRule="auto"/>
      <w:ind w:left="567"/>
      <w:jc w:val="both"/>
    </w:pPr>
    <w:tblPr>
      <w:tblStyleRowBandSize w:val="1"/>
      <w:tblStyleColBandSize w:val="1"/>
      <w:tbl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single" w:sz="8" w:space="0" w:color="DFF0ED" w:themeColor="accent3" w:themeTint="BF"/>
      </w:tblBorders>
    </w:tblPr>
    <w:tblStylePr w:type="firstRow">
      <w:pPr>
        <w:spacing w:before="0" w:after="0" w:line="240" w:lineRule="auto"/>
      </w:pPr>
      <w:rPr>
        <w:b/>
        <w:bCs/>
        <w:color w:val="FFFFFF" w:themeColor="background1"/>
      </w:rPr>
      <w:tblPr/>
      <w:tcPr>
        <w:tc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shd w:val="clear" w:color="auto" w:fill="D5EBE8" w:themeFill="accent3"/>
      </w:tcPr>
    </w:tblStylePr>
    <w:tblStylePr w:type="lastRow">
      <w:pPr>
        <w:spacing w:before="0" w:after="0" w:line="240" w:lineRule="auto"/>
      </w:pPr>
      <w:rPr>
        <w:b/>
        <w:bCs/>
      </w:rPr>
      <w:tblPr/>
      <w:tcPr>
        <w:tcBorders>
          <w:top w:val="double" w:sz="6"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FAF9" w:themeFill="accent3" w:themeFillTint="3F"/>
      </w:tcPr>
    </w:tblStylePr>
    <w:tblStylePr w:type="band1Horz">
      <w:tblPr/>
      <w:tcPr>
        <w:tcBorders>
          <w:insideH w:val="nil"/>
          <w:insideV w:val="nil"/>
        </w:tcBorders>
        <w:shd w:val="clear" w:color="auto" w:fill="F4FAF9" w:themeFill="accent3" w:themeFillTint="3F"/>
      </w:tcPr>
    </w:tblStylePr>
    <w:tblStylePr w:type="band2Horz">
      <w:tblPr/>
      <w:tcPr>
        <w:tcBorders>
          <w:insideH w:val="nil"/>
          <w:insideV w:val="nil"/>
        </w:tcBorders>
      </w:tcPr>
    </w:tblStylePr>
  </w:style>
  <w:style w:type="table" w:customStyle="1" w:styleId="LightList-Accent423">
    <w:name w:val="Light List - Accent 423"/>
    <w:basedOn w:val="TableNormal"/>
    <w:next w:val="LightList-Accent4"/>
    <w:uiPriority w:val="61"/>
    <w:rsid w:val="00D61191"/>
    <w:pPr>
      <w:spacing w:before="120" w:after="0" w:line="240" w:lineRule="auto"/>
      <w:ind w:left="567"/>
      <w:jc w:val="both"/>
    </w:pPr>
    <w:tblPr>
      <w:tblStyleRowBandSize w:val="1"/>
      <w:tblStyleColBandSize w:val="1"/>
      <w:tblBorders>
        <w:top w:val="single" w:sz="8" w:space="0" w:color="2C9986" w:themeColor="accent4"/>
        <w:left w:val="single" w:sz="8" w:space="0" w:color="2C9986" w:themeColor="accent4"/>
        <w:bottom w:val="single" w:sz="8" w:space="0" w:color="2C9986" w:themeColor="accent4"/>
        <w:right w:val="single" w:sz="8" w:space="0" w:color="2C9986" w:themeColor="accent4"/>
      </w:tblBorders>
    </w:tblPr>
    <w:tblStylePr w:type="firstRow">
      <w:pPr>
        <w:spacing w:before="0" w:after="0" w:line="240" w:lineRule="auto"/>
      </w:pPr>
      <w:rPr>
        <w:b/>
        <w:bCs/>
        <w:color w:val="FFFFFF" w:themeColor="background1"/>
      </w:rPr>
      <w:tblPr/>
      <w:tcPr>
        <w:shd w:val="clear" w:color="auto" w:fill="2C9986" w:themeFill="accent4"/>
      </w:tcPr>
    </w:tblStylePr>
    <w:tblStylePr w:type="lastRow">
      <w:pPr>
        <w:spacing w:before="0" w:after="0" w:line="240" w:lineRule="auto"/>
      </w:pPr>
      <w:rPr>
        <w:b/>
        <w:bCs/>
      </w:rPr>
      <w:tblPr/>
      <w:tcPr>
        <w:tcBorders>
          <w:top w:val="double" w:sz="6" w:space="0" w:color="2C9986" w:themeColor="accent4"/>
          <w:left w:val="single" w:sz="8" w:space="0" w:color="2C9986" w:themeColor="accent4"/>
          <w:bottom w:val="single" w:sz="8" w:space="0" w:color="2C9986" w:themeColor="accent4"/>
          <w:right w:val="single" w:sz="8" w:space="0" w:color="2C9986" w:themeColor="accent4"/>
        </w:tcBorders>
      </w:tcPr>
    </w:tblStylePr>
    <w:tblStylePr w:type="firstCol">
      <w:rPr>
        <w:b/>
        <w:bCs/>
      </w:rPr>
    </w:tblStylePr>
    <w:tblStylePr w:type="lastCol">
      <w:rPr>
        <w:b/>
        <w:bCs/>
      </w:rPr>
    </w:tblStylePr>
    <w:tblStylePr w:type="band1Vert">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tblStylePr w:type="band1Horz">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style>
  <w:style w:type="table" w:customStyle="1" w:styleId="ColorfulGrid-Accent323">
    <w:name w:val="Colorful Grid - Accent 323"/>
    <w:basedOn w:val="TableNormal"/>
    <w:next w:val="ColorfulGrid-Accent3"/>
    <w:uiPriority w:val="73"/>
    <w:rsid w:val="00D61191"/>
    <w:pPr>
      <w:spacing w:before="120" w:after="0" w:line="240" w:lineRule="auto"/>
      <w:ind w:left="567"/>
      <w:jc w:val="both"/>
    </w:pPr>
    <w:rPr>
      <w:color w:val="000000" w:themeColor="text1"/>
    </w:rPr>
    <w:tblPr>
      <w:tblStyleRowBandSize w:val="1"/>
      <w:tblStyleColBandSize w:val="1"/>
      <w:tblBorders>
        <w:insideH w:val="single" w:sz="4" w:space="0" w:color="FFFFFF" w:themeColor="background1"/>
      </w:tblBorders>
    </w:tblPr>
    <w:tcPr>
      <w:shd w:val="clear" w:color="auto" w:fill="F6FBFA" w:themeFill="accent3" w:themeFillTint="33"/>
    </w:tcPr>
    <w:tblStylePr w:type="firstRow">
      <w:rPr>
        <w:b/>
        <w:bCs/>
      </w:rPr>
      <w:tblPr/>
      <w:tcPr>
        <w:shd w:val="clear" w:color="auto" w:fill="EEF7F5" w:themeFill="accent3" w:themeFillTint="66"/>
      </w:tcPr>
    </w:tblStylePr>
    <w:tblStylePr w:type="lastRow">
      <w:rPr>
        <w:b/>
        <w:bCs/>
        <w:color w:val="000000" w:themeColor="text1"/>
      </w:rPr>
      <w:tblPr/>
      <w:tcPr>
        <w:shd w:val="clear" w:color="auto" w:fill="EEF7F5" w:themeFill="accent3" w:themeFillTint="66"/>
      </w:tcPr>
    </w:tblStylePr>
    <w:tblStylePr w:type="firstCol">
      <w:rPr>
        <w:color w:val="FFFFFF" w:themeColor="background1"/>
      </w:rPr>
      <w:tblPr/>
      <w:tcPr>
        <w:shd w:val="clear" w:color="auto" w:fill="88C6BE" w:themeFill="accent3" w:themeFillShade="BF"/>
      </w:tcPr>
    </w:tblStylePr>
    <w:tblStylePr w:type="lastCol">
      <w:rPr>
        <w:color w:val="FFFFFF" w:themeColor="background1"/>
      </w:rPr>
      <w:tblPr/>
      <w:tcPr>
        <w:shd w:val="clear" w:color="auto" w:fill="88C6BE" w:themeFill="accent3" w:themeFillShade="BF"/>
      </w:tcPr>
    </w:tblStylePr>
    <w:tblStylePr w:type="band1Vert">
      <w:tblPr/>
      <w:tcPr>
        <w:shd w:val="clear" w:color="auto" w:fill="EAF5F3" w:themeFill="accent3" w:themeFillTint="7F"/>
      </w:tcPr>
    </w:tblStylePr>
    <w:tblStylePr w:type="band1Horz">
      <w:tblPr/>
      <w:tcPr>
        <w:shd w:val="clear" w:color="auto" w:fill="EAF5F3" w:themeFill="accent3" w:themeFillTint="7F"/>
      </w:tcPr>
    </w:tblStylePr>
  </w:style>
  <w:style w:type="table" w:customStyle="1" w:styleId="LightList-Accent323">
    <w:name w:val="Light List - Accent 323"/>
    <w:basedOn w:val="TableNormal"/>
    <w:next w:val="LightList-Accent3"/>
    <w:uiPriority w:val="61"/>
    <w:rsid w:val="00D61191"/>
    <w:pPr>
      <w:spacing w:before="120" w:after="0" w:line="240" w:lineRule="auto"/>
      <w:ind w:left="567"/>
      <w:jc w:val="both"/>
    </w:p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table" w:customStyle="1" w:styleId="GridTable1LightAccent423">
    <w:name w:val="Grid Table 1 Light Accent 423"/>
    <w:basedOn w:val="TableNormal"/>
    <w:uiPriority w:val="46"/>
    <w:rsid w:val="00D61191"/>
    <w:pPr>
      <w:spacing w:before="120" w:after="0" w:line="240" w:lineRule="auto"/>
      <w:ind w:left="567"/>
      <w:jc w:val="both"/>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TableGrid63">
    <w:name w:val="Table Grid63"/>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59"/>
    <w:rsid w:val="00D61191"/>
    <w:pPr>
      <w:spacing w:after="0" w:line="240" w:lineRule="auto"/>
    </w:pPr>
    <w:rPr>
      <w:rFonts w:eastAsiaTheme="minorEastAsia"/>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4151">
    <w:name w:val="Grid Table 1 Light - Accent 4151"/>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GridTable1Light14">
    <w:name w:val="Grid Table 1 Light14"/>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LightShading-Accent112">
    <w:name w:val="Light Shading - Accent 112"/>
    <w:basedOn w:val="TableNormal"/>
    <w:uiPriority w:val="60"/>
    <w:rsid w:val="00D61191"/>
    <w:pPr>
      <w:spacing w:after="0" w:line="240" w:lineRule="auto"/>
    </w:pPr>
    <w:rPr>
      <w:rFonts w:ascii="Calibri" w:eastAsia="Calibri" w:hAnsi="Calibri" w:cs="Times New Roman"/>
      <w:color w:val="365F91"/>
      <w:sz w:val="20"/>
      <w:szCs w:val="20"/>
      <w:lang w:eastAsia="en-NZ"/>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2">
    <w:name w:val="Light List - Accent 112"/>
    <w:basedOn w:val="TableNormal"/>
    <w:uiPriority w:val="61"/>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12">
    <w:name w:val="Light Grid - Accent 112"/>
    <w:basedOn w:val="TableNormal"/>
    <w:uiPriority w:val="62"/>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Lato" w:eastAsia="Times New Roman" w:hAnsi="Lato"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Lato" w:eastAsia="Times New Roman" w:hAnsi="Lato"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Lato" w:eastAsia="Times New Roman" w:hAnsi="Lato" w:cs="Times New Roman"/>
        <w:b/>
        <w:bCs/>
      </w:rPr>
    </w:tblStylePr>
    <w:tblStylePr w:type="lastCol">
      <w:rPr>
        <w:rFonts w:ascii="Lato" w:eastAsia="Times New Roman" w:hAnsi="Lato"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82">
    <w:name w:val="Table Grid82"/>
    <w:basedOn w:val="TableNormal"/>
    <w:next w:val="TableGrid"/>
    <w:uiPriority w:val="59"/>
    <w:rsid w:val="00D61191"/>
    <w:pPr>
      <w:spacing w:after="0" w:line="240" w:lineRule="auto"/>
    </w:pPr>
    <w:rPr>
      <w:sz w:val="24"/>
      <w:szCs w:val="24"/>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22">
    <w:name w:val="Table Grid122"/>
    <w:basedOn w:val="TableNormal"/>
    <w:next w:val="TableGrid"/>
    <w:uiPriority w:val="59"/>
    <w:rsid w:val="00D61191"/>
    <w:pPr>
      <w:spacing w:after="0" w:line="240" w:lineRule="auto"/>
    </w:pPr>
    <w:rPr>
      <w:rFonts w:ascii="Calibri" w:eastAsia="Calibri" w:hAnsi="Calibri" w:cs="Times New Roman"/>
      <w:sz w:val="24"/>
      <w:szCs w:val="24"/>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91">
    <w:name w:val="Table Grid91"/>
    <w:basedOn w:val="TableNormal"/>
    <w:next w:val="TableGrid"/>
    <w:uiPriority w:val="59"/>
    <w:rsid w:val="00D61191"/>
    <w:pPr>
      <w:spacing w:after="0" w:line="240" w:lineRule="auto"/>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21">
    <w:name w:val="Light Shading - Accent 121"/>
    <w:basedOn w:val="TableNormal"/>
    <w:next w:val="LightShading-Accent1"/>
    <w:uiPriority w:val="60"/>
    <w:rsid w:val="00D61191"/>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21">
    <w:name w:val="Light List - Accent 121"/>
    <w:basedOn w:val="TableNormal"/>
    <w:next w:val="LightList-Accent1"/>
    <w:uiPriority w:val="61"/>
    <w:rsid w:val="00D61191"/>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table" w:customStyle="1" w:styleId="LightGrid-Accent121">
    <w:name w:val="Light Grid - Accent 121"/>
    <w:basedOn w:val="TableNormal"/>
    <w:next w:val="LightGrid-Accent1"/>
    <w:uiPriority w:val="62"/>
    <w:rsid w:val="00D61191"/>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ColorfulList-Accent621">
    <w:name w:val="Colorful List - Accent 621"/>
    <w:basedOn w:val="TableNormal"/>
    <w:next w:val="ColorfulList-Accent6"/>
    <w:uiPriority w:val="72"/>
    <w:rsid w:val="00D61191"/>
    <w:pPr>
      <w:spacing w:before="120" w:after="0" w:line="240" w:lineRule="auto"/>
      <w:jc w:val="both"/>
    </w:pPr>
    <w:rPr>
      <w:rFonts w:ascii="Arial" w:eastAsia="Times New Roman" w:hAnsi="Arial" w:cs="Times New Roman"/>
      <w:color w:val="000000" w:themeColor="text1"/>
      <w:sz w:val="16"/>
      <w:szCs w:val="20"/>
      <w:lang w:eastAsia="en-NZ"/>
    </w:rPr>
    <w:tblPr>
      <w:tblStyleRowBandSize w:val="1"/>
      <w:tblStyleColBandSize w:val="1"/>
    </w:tblPr>
    <w:tcPr>
      <w:shd w:val="clear" w:color="auto" w:fill="FFFFFF" w:themeFill="background1"/>
    </w:tcPr>
    <w:tblStylePr w:type="firstRow">
      <w:rPr>
        <w:b/>
        <w:bCs/>
        <w:color w:val="FFFFFF" w:themeColor="background1"/>
      </w:rPr>
      <w:tblPr/>
      <w:tcPr>
        <w:tcBorders>
          <w:bottom w:val="single" w:sz="12" w:space="0" w:color="FFFFFF" w:themeColor="background1"/>
        </w:tcBorders>
        <w:shd w:val="clear" w:color="auto" w:fill="45B29E" w:themeFill="accent5" w:themeFillShade="CC"/>
      </w:tcPr>
    </w:tblStylePr>
    <w:tblStylePr w:type="lastRow">
      <w:rPr>
        <w:b/>
        <w:bCs/>
        <w:color w:val="45B29E" w:themeColor="accent5" w:themeShade="CC"/>
      </w:rPr>
      <w:tblPr/>
      <w:tcPr>
        <w:tcBorders>
          <w:top w:val="single" w:sz="12" w:space="0" w:color="000000" w:themeColor="text1"/>
        </w:tcBorders>
        <w:shd w:val="clear" w:color="auto" w:fill="FFFFFF" w:themeFill="background1"/>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table" w:customStyle="1" w:styleId="TableGrid131">
    <w:name w:val="Table Grid131"/>
    <w:basedOn w:val="TableNormal"/>
    <w:next w:val="TableGrid"/>
    <w:rsid w:val="00D61191"/>
    <w:pPr>
      <w:spacing w:before="120" w:after="0" w:line="240" w:lineRule="auto"/>
      <w:ind w:left="567"/>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31">
    <w:name w:val="Colorful Grid - Accent 131"/>
    <w:basedOn w:val="TableNormal"/>
    <w:next w:val="ColorfulGrid-Accent1"/>
    <w:rsid w:val="00D61191"/>
    <w:pPr>
      <w:spacing w:before="120" w:after="0" w:line="240" w:lineRule="auto"/>
      <w:ind w:left="567"/>
      <w:jc w:val="both"/>
    </w:pPr>
    <w:rPr>
      <w:rFonts w:ascii="Times New Roman" w:eastAsia="Times New Roman" w:hAnsi="Times New Roman" w:cs="Times New Roman"/>
      <w:sz w:val="20"/>
      <w:szCs w:val="2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31">
    <w:name w:val="Table-Grid31"/>
    <w:basedOn w:val="TableNormal"/>
    <w:uiPriority w:val="99"/>
    <w:rsid w:val="00D61191"/>
    <w:pPr>
      <w:spacing w:before="120" w:after="0" w:line="240" w:lineRule="auto"/>
      <w:ind w:left="567"/>
      <w:jc w:val="both"/>
    </w:pPr>
    <w:rPr>
      <w:rFonts w:ascii="Times New Roman" w:eastAsia="Times New Roman" w:hAnsi="Times New Roman" w:cs="Times New Roman"/>
      <w:sz w:val="20"/>
      <w:szCs w:val="20"/>
    </w:rPr>
    <w:tblPr>
      <w:tblBorders>
        <w:top w:val="single" w:sz="6" w:space="0" w:color="808080" w:themeColor="background1" w:themeShade="80"/>
        <w:bottom w:val="single" w:sz="6" w:space="0" w:color="808080" w:themeColor="background1" w:themeShade="80"/>
      </w:tblBorders>
      <w:tblCellMar>
        <w:top w:w="57" w:type="dxa"/>
        <w:left w:w="85" w:type="dxa"/>
        <w:bottom w:w="57" w:type="dxa"/>
        <w:right w:w="0" w:type="dxa"/>
      </w:tblCellMar>
    </w:tblPr>
    <w:tcPr>
      <w:shd w:val="clear" w:color="auto" w:fill="FFFFFF" w:themeFill="background1"/>
    </w:tcPr>
  </w:style>
  <w:style w:type="table" w:customStyle="1" w:styleId="LightShading-Accent331">
    <w:name w:val="Light Shading - Accent 331"/>
    <w:basedOn w:val="TableNormal"/>
    <w:next w:val="LightShading-Accent3"/>
    <w:uiPriority w:val="60"/>
    <w:rsid w:val="00D61191"/>
    <w:pPr>
      <w:spacing w:before="120" w:after="0" w:line="240" w:lineRule="auto"/>
      <w:ind w:left="567"/>
      <w:jc w:val="both"/>
    </w:pPr>
    <w:rPr>
      <w:color w:val="88C6BE" w:themeColor="accent3" w:themeShade="BF"/>
    </w:rPr>
    <w:tblPr>
      <w:tblStyleRowBandSize w:val="1"/>
      <w:tblStyleColBandSize w:val="1"/>
      <w:tblBorders>
        <w:top w:val="single" w:sz="8" w:space="0" w:color="D5EBE8" w:themeColor="accent3"/>
        <w:bottom w:val="single" w:sz="8" w:space="0" w:color="D5EBE8" w:themeColor="accent3"/>
      </w:tblBorders>
    </w:tblPr>
    <w:tblStylePr w:type="fir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la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AF9" w:themeFill="accent3" w:themeFillTint="3F"/>
      </w:tcPr>
    </w:tblStylePr>
    <w:tblStylePr w:type="band1Horz">
      <w:tblPr/>
      <w:tcPr>
        <w:tcBorders>
          <w:left w:val="nil"/>
          <w:right w:val="nil"/>
          <w:insideH w:val="nil"/>
          <w:insideV w:val="nil"/>
        </w:tcBorders>
        <w:shd w:val="clear" w:color="auto" w:fill="F4FAF9" w:themeFill="accent3" w:themeFillTint="3F"/>
      </w:tcPr>
    </w:tblStylePr>
  </w:style>
  <w:style w:type="table" w:customStyle="1" w:styleId="ColorfulList-Accent431">
    <w:name w:val="Colorful List - Accent 431"/>
    <w:basedOn w:val="TableNormal"/>
    <w:next w:val="ColorfulList-Accent4"/>
    <w:uiPriority w:val="72"/>
    <w:rsid w:val="00D61191"/>
    <w:pPr>
      <w:spacing w:before="120" w:after="0" w:line="240" w:lineRule="auto"/>
      <w:ind w:left="567"/>
      <w:jc w:val="both"/>
    </w:pPr>
    <w:rPr>
      <w:color w:val="000000" w:themeColor="text1"/>
    </w:rPr>
    <w:tblPr>
      <w:tblStyleRowBandSize w:val="1"/>
      <w:tblStyleColBandSize w:val="1"/>
    </w:tblPr>
    <w:tcPr>
      <w:shd w:val="clear" w:color="auto" w:fill="E6F8F5" w:themeFill="accent4" w:themeFillTint="19"/>
    </w:tcPr>
    <w:tblStylePr w:type="firstRow">
      <w:rPr>
        <w:b/>
        <w:bCs/>
        <w:color w:val="FFFFFF" w:themeColor="background1"/>
      </w:rPr>
      <w:tblPr/>
      <w:tcPr>
        <w:tcBorders>
          <w:bottom w:val="single" w:sz="12" w:space="0" w:color="FFFFFF" w:themeColor="background1"/>
        </w:tcBorders>
        <w:shd w:val="clear" w:color="auto" w:fill="98CEC6" w:themeFill="accent3" w:themeFillShade="CC"/>
      </w:tcPr>
    </w:tblStylePr>
    <w:tblStylePr w:type="lastRow">
      <w:rPr>
        <w:b/>
        <w:bCs/>
        <w:color w:val="98C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EDE6" w:themeFill="accent4" w:themeFillTint="3F"/>
      </w:tcPr>
    </w:tblStylePr>
    <w:tblStylePr w:type="band1Horz">
      <w:tblPr/>
      <w:tcPr>
        <w:shd w:val="clear" w:color="auto" w:fill="CEF1EA" w:themeFill="accent4" w:themeFillTint="33"/>
      </w:tcPr>
    </w:tblStylePr>
  </w:style>
  <w:style w:type="table" w:customStyle="1" w:styleId="MediumShading1-Accent331">
    <w:name w:val="Medium Shading 1 - Accent 331"/>
    <w:basedOn w:val="TableNormal"/>
    <w:next w:val="MediumShading1-Accent3"/>
    <w:uiPriority w:val="63"/>
    <w:rsid w:val="00D61191"/>
    <w:pPr>
      <w:spacing w:before="120" w:after="0" w:line="240" w:lineRule="auto"/>
      <w:ind w:left="567"/>
      <w:jc w:val="both"/>
    </w:pPr>
    <w:tblPr>
      <w:tblStyleRowBandSize w:val="1"/>
      <w:tblStyleColBandSize w:val="1"/>
      <w:tbl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single" w:sz="8" w:space="0" w:color="DFF0ED" w:themeColor="accent3" w:themeTint="BF"/>
      </w:tblBorders>
    </w:tblPr>
    <w:tblStylePr w:type="firstRow">
      <w:pPr>
        <w:spacing w:before="0" w:after="0" w:line="240" w:lineRule="auto"/>
      </w:pPr>
      <w:rPr>
        <w:b/>
        <w:bCs/>
        <w:color w:val="FFFFFF" w:themeColor="background1"/>
      </w:rPr>
      <w:tblPr/>
      <w:tcPr>
        <w:tc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shd w:val="clear" w:color="auto" w:fill="D5EBE8" w:themeFill="accent3"/>
      </w:tcPr>
    </w:tblStylePr>
    <w:tblStylePr w:type="lastRow">
      <w:pPr>
        <w:spacing w:before="0" w:after="0" w:line="240" w:lineRule="auto"/>
      </w:pPr>
      <w:rPr>
        <w:b/>
        <w:bCs/>
      </w:rPr>
      <w:tblPr/>
      <w:tcPr>
        <w:tcBorders>
          <w:top w:val="double" w:sz="6"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FAF9" w:themeFill="accent3" w:themeFillTint="3F"/>
      </w:tcPr>
    </w:tblStylePr>
    <w:tblStylePr w:type="band1Horz">
      <w:tblPr/>
      <w:tcPr>
        <w:tcBorders>
          <w:insideH w:val="nil"/>
          <w:insideV w:val="nil"/>
        </w:tcBorders>
        <w:shd w:val="clear" w:color="auto" w:fill="F4FAF9" w:themeFill="accent3" w:themeFillTint="3F"/>
      </w:tcPr>
    </w:tblStylePr>
    <w:tblStylePr w:type="band2Horz">
      <w:tblPr/>
      <w:tcPr>
        <w:tcBorders>
          <w:insideH w:val="nil"/>
          <w:insideV w:val="nil"/>
        </w:tcBorders>
      </w:tcPr>
    </w:tblStylePr>
  </w:style>
  <w:style w:type="table" w:customStyle="1" w:styleId="LightList-Accent431">
    <w:name w:val="Light List - Accent 431"/>
    <w:basedOn w:val="TableNormal"/>
    <w:next w:val="LightList-Accent4"/>
    <w:uiPriority w:val="61"/>
    <w:rsid w:val="00D61191"/>
    <w:pPr>
      <w:spacing w:before="120" w:after="0" w:line="240" w:lineRule="auto"/>
      <w:ind w:left="567"/>
      <w:jc w:val="both"/>
    </w:pPr>
    <w:tblPr>
      <w:tblStyleRowBandSize w:val="1"/>
      <w:tblStyleColBandSize w:val="1"/>
      <w:tblBorders>
        <w:top w:val="single" w:sz="8" w:space="0" w:color="2C9986" w:themeColor="accent4"/>
        <w:left w:val="single" w:sz="8" w:space="0" w:color="2C9986" w:themeColor="accent4"/>
        <w:bottom w:val="single" w:sz="8" w:space="0" w:color="2C9986" w:themeColor="accent4"/>
        <w:right w:val="single" w:sz="8" w:space="0" w:color="2C9986" w:themeColor="accent4"/>
      </w:tblBorders>
    </w:tblPr>
    <w:tblStylePr w:type="firstRow">
      <w:pPr>
        <w:spacing w:before="0" w:after="0" w:line="240" w:lineRule="auto"/>
      </w:pPr>
      <w:rPr>
        <w:b/>
        <w:bCs/>
        <w:color w:val="FFFFFF" w:themeColor="background1"/>
      </w:rPr>
      <w:tblPr/>
      <w:tcPr>
        <w:shd w:val="clear" w:color="auto" w:fill="2C9986" w:themeFill="accent4"/>
      </w:tcPr>
    </w:tblStylePr>
    <w:tblStylePr w:type="lastRow">
      <w:pPr>
        <w:spacing w:before="0" w:after="0" w:line="240" w:lineRule="auto"/>
      </w:pPr>
      <w:rPr>
        <w:b/>
        <w:bCs/>
      </w:rPr>
      <w:tblPr/>
      <w:tcPr>
        <w:tcBorders>
          <w:top w:val="double" w:sz="6" w:space="0" w:color="2C9986" w:themeColor="accent4"/>
          <w:left w:val="single" w:sz="8" w:space="0" w:color="2C9986" w:themeColor="accent4"/>
          <w:bottom w:val="single" w:sz="8" w:space="0" w:color="2C9986" w:themeColor="accent4"/>
          <w:right w:val="single" w:sz="8" w:space="0" w:color="2C9986" w:themeColor="accent4"/>
        </w:tcBorders>
      </w:tcPr>
    </w:tblStylePr>
    <w:tblStylePr w:type="firstCol">
      <w:rPr>
        <w:b/>
        <w:bCs/>
      </w:rPr>
    </w:tblStylePr>
    <w:tblStylePr w:type="lastCol">
      <w:rPr>
        <w:b/>
        <w:bCs/>
      </w:rPr>
    </w:tblStylePr>
    <w:tblStylePr w:type="band1Vert">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tblStylePr w:type="band1Horz">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style>
  <w:style w:type="table" w:customStyle="1" w:styleId="ColorfulGrid-Accent331">
    <w:name w:val="Colorful Grid - Accent 331"/>
    <w:basedOn w:val="TableNormal"/>
    <w:next w:val="ColorfulGrid-Accent3"/>
    <w:uiPriority w:val="73"/>
    <w:rsid w:val="00D61191"/>
    <w:pPr>
      <w:spacing w:before="120" w:after="0" w:line="240" w:lineRule="auto"/>
      <w:ind w:left="567"/>
      <w:jc w:val="both"/>
    </w:pPr>
    <w:rPr>
      <w:color w:val="000000" w:themeColor="text1"/>
    </w:rPr>
    <w:tblPr>
      <w:tblStyleRowBandSize w:val="1"/>
      <w:tblStyleColBandSize w:val="1"/>
      <w:tblBorders>
        <w:insideH w:val="single" w:sz="4" w:space="0" w:color="FFFFFF" w:themeColor="background1"/>
      </w:tblBorders>
    </w:tblPr>
    <w:tcPr>
      <w:shd w:val="clear" w:color="auto" w:fill="F6FBFA" w:themeFill="accent3" w:themeFillTint="33"/>
    </w:tcPr>
    <w:tblStylePr w:type="firstRow">
      <w:rPr>
        <w:b/>
        <w:bCs/>
      </w:rPr>
      <w:tblPr/>
      <w:tcPr>
        <w:shd w:val="clear" w:color="auto" w:fill="EEF7F5" w:themeFill="accent3" w:themeFillTint="66"/>
      </w:tcPr>
    </w:tblStylePr>
    <w:tblStylePr w:type="lastRow">
      <w:rPr>
        <w:b/>
        <w:bCs/>
        <w:color w:val="000000" w:themeColor="text1"/>
      </w:rPr>
      <w:tblPr/>
      <w:tcPr>
        <w:shd w:val="clear" w:color="auto" w:fill="EEF7F5" w:themeFill="accent3" w:themeFillTint="66"/>
      </w:tcPr>
    </w:tblStylePr>
    <w:tblStylePr w:type="firstCol">
      <w:rPr>
        <w:color w:val="FFFFFF" w:themeColor="background1"/>
      </w:rPr>
      <w:tblPr/>
      <w:tcPr>
        <w:shd w:val="clear" w:color="auto" w:fill="88C6BE" w:themeFill="accent3" w:themeFillShade="BF"/>
      </w:tcPr>
    </w:tblStylePr>
    <w:tblStylePr w:type="lastCol">
      <w:rPr>
        <w:color w:val="FFFFFF" w:themeColor="background1"/>
      </w:rPr>
      <w:tblPr/>
      <w:tcPr>
        <w:shd w:val="clear" w:color="auto" w:fill="88C6BE" w:themeFill="accent3" w:themeFillShade="BF"/>
      </w:tcPr>
    </w:tblStylePr>
    <w:tblStylePr w:type="band1Vert">
      <w:tblPr/>
      <w:tcPr>
        <w:shd w:val="clear" w:color="auto" w:fill="EAF5F3" w:themeFill="accent3" w:themeFillTint="7F"/>
      </w:tcPr>
    </w:tblStylePr>
    <w:tblStylePr w:type="band1Horz">
      <w:tblPr/>
      <w:tcPr>
        <w:shd w:val="clear" w:color="auto" w:fill="EAF5F3" w:themeFill="accent3" w:themeFillTint="7F"/>
      </w:tcPr>
    </w:tblStylePr>
  </w:style>
  <w:style w:type="table" w:customStyle="1" w:styleId="LightList-Accent331">
    <w:name w:val="Light List - Accent 331"/>
    <w:basedOn w:val="TableNormal"/>
    <w:next w:val="LightList-Accent3"/>
    <w:uiPriority w:val="61"/>
    <w:rsid w:val="00D61191"/>
    <w:pPr>
      <w:spacing w:before="120" w:after="0" w:line="240" w:lineRule="auto"/>
      <w:ind w:left="567"/>
      <w:jc w:val="both"/>
    </w:p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table" w:customStyle="1" w:styleId="GridTable1LightAccent431">
    <w:name w:val="Grid Table 1 Light Accent 431"/>
    <w:basedOn w:val="TableNormal"/>
    <w:uiPriority w:val="46"/>
    <w:rsid w:val="00D61191"/>
    <w:pPr>
      <w:spacing w:before="120" w:after="0" w:line="240" w:lineRule="auto"/>
      <w:ind w:left="567"/>
      <w:jc w:val="both"/>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TableGrid211">
    <w:name w:val="Table Grid211"/>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111">
    <w:name w:val="Colorful Grid - Accent 1111"/>
    <w:basedOn w:val="TableNormal"/>
    <w:next w:val="ColorfulGrid-Accent1"/>
    <w:rsid w:val="00D61191"/>
    <w:pPr>
      <w:spacing w:after="0" w:line="240" w:lineRule="auto"/>
    </w:pPr>
    <w:rPr>
      <w:rFonts w:ascii="Times New Roman" w:eastAsia="Times New Roman" w:hAnsi="Times New Roman" w:cs="Times New Roman"/>
      <w:sz w:val="20"/>
      <w:szCs w:val="20"/>
      <w:lang w:val="x-none" w:eastAsia="x-none" w:bidi="x-none"/>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111">
    <w:name w:val="Table-Grid111"/>
    <w:basedOn w:val="TableNormal"/>
    <w:uiPriority w:val="99"/>
    <w:rsid w:val="00D61191"/>
    <w:pPr>
      <w:spacing w:after="0" w:line="240" w:lineRule="auto"/>
    </w:pPr>
    <w:rPr>
      <w:rFonts w:ascii="Times New Roman" w:eastAsia="Times New Roman" w:hAnsi="Times New Roman" w:cs="Times New Roman"/>
      <w:sz w:val="20"/>
      <w:szCs w:val="20"/>
      <w:lang w:eastAsia="en-NZ"/>
    </w:rPr>
    <w:tblPr>
      <w:tblBorders>
        <w:top w:val="single" w:sz="6" w:space="0" w:color="808080"/>
        <w:bottom w:val="single" w:sz="6" w:space="0" w:color="808080"/>
      </w:tblBorders>
      <w:tblCellMar>
        <w:top w:w="57" w:type="dxa"/>
        <w:left w:w="85" w:type="dxa"/>
        <w:bottom w:w="57" w:type="dxa"/>
        <w:right w:w="0" w:type="dxa"/>
      </w:tblCellMar>
    </w:tblPr>
    <w:tcPr>
      <w:shd w:val="clear" w:color="auto" w:fill="FFFFFF"/>
    </w:tcPr>
  </w:style>
  <w:style w:type="table" w:customStyle="1" w:styleId="LightShading-Accent3111">
    <w:name w:val="Light Shading - Accent 3111"/>
    <w:basedOn w:val="TableNormal"/>
    <w:next w:val="LightShading-Accent3"/>
    <w:uiPriority w:val="60"/>
    <w:rsid w:val="00D61191"/>
    <w:pPr>
      <w:spacing w:after="0" w:line="240" w:lineRule="auto"/>
    </w:pPr>
    <w:rPr>
      <w:rFonts w:ascii="Calibri" w:eastAsia="Calibri" w:hAnsi="Calibri" w:cs="Times New Roman"/>
      <w:color w:val="76923C"/>
      <w:sz w:val="20"/>
      <w:szCs w:val="20"/>
      <w:lang w:eastAsia="en-NZ"/>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ColorfulList-Accent4111">
    <w:name w:val="Colorful List - Accent 4111"/>
    <w:basedOn w:val="TableNormal"/>
    <w:next w:val="ColorfulList-Accent4"/>
    <w:uiPriority w:val="72"/>
    <w:rsid w:val="00D61191"/>
    <w:pPr>
      <w:spacing w:after="0" w:line="240" w:lineRule="auto"/>
    </w:pPr>
    <w:rPr>
      <w:rFonts w:ascii="Calibri" w:eastAsia="Calibri" w:hAnsi="Calibri" w:cs="Times New Roman"/>
      <w:color w:val="000000"/>
      <w:sz w:val="20"/>
      <w:szCs w:val="20"/>
      <w:lang w:eastAsia="en-NZ"/>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MediumShading1-Accent3111">
    <w:name w:val="Medium Shading 1 - Accent 3111"/>
    <w:basedOn w:val="TableNormal"/>
    <w:next w:val="MediumShading1-Accent3"/>
    <w:uiPriority w:val="63"/>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List-Accent4111">
    <w:name w:val="Light List - Accent 4111"/>
    <w:basedOn w:val="TableNormal"/>
    <w:next w:val="LightList-Accent4"/>
    <w:uiPriority w:val="61"/>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ColorfulGrid-Accent3111">
    <w:name w:val="Colorful Grid - Accent 3111"/>
    <w:basedOn w:val="TableNormal"/>
    <w:next w:val="ColorfulGrid-Accent3"/>
    <w:uiPriority w:val="73"/>
    <w:rsid w:val="00D61191"/>
    <w:pPr>
      <w:spacing w:after="0" w:line="240" w:lineRule="auto"/>
    </w:pPr>
    <w:rPr>
      <w:rFonts w:ascii="Calibri" w:eastAsia="Calibri" w:hAnsi="Calibri" w:cs="Times New Roman"/>
      <w:color w:val="000000"/>
      <w:sz w:val="20"/>
      <w:szCs w:val="20"/>
      <w:lang w:eastAsia="en-NZ"/>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LightList-Accent3111">
    <w:name w:val="Light List - Accent 3111"/>
    <w:basedOn w:val="TableNormal"/>
    <w:next w:val="LightList-Accent3"/>
    <w:uiPriority w:val="61"/>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GridTable1LightAccent4111">
    <w:name w:val="Grid Table 1 Light Accent 4111"/>
    <w:basedOn w:val="TableNormal"/>
    <w:uiPriority w:val="46"/>
    <w:rsid w:val="00D61191"/>
    <w:pPr>
      <w:spacing w:after="0" w:line="240" w:lineRule="auto"/>
    </w:pPr>
    <w:rPr>
      <w:rFonts w:ascii="Calibri" w:eastAsia="Times New Roman" w:hAnsi="Calibri" w:cs="Times New Roman"/>
      <w:sz w:val="20"/>
      <w:szCs w:val="20"/>
      <w:lang w:eastAsia="en-NZ"/>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table" w:customStyle="1" w:styleId="TableGrid311">
    <w:name w:val="Table Grid311"/>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D61191"/>
    <w:pPr>
      <w:spacing w:after="0" w:line="240" w:lineRule="auto"/>
    </w:pPr>
    <w:rPr>
      <w:sz w:val="24"/>
      <w:szCs w:val="24"/>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11">
    <w:name w:val="Table Grid1111"/>
    <w:basedOn w:val="TableNormal"/>
    <w:next w:val="TableGrid"/>
    <w:uiPriority w:val="59"/>
    <w:rsid w:val="00D61191"/>
    <w:pPr>
      <w:spacing w:after="0" w:line="240" w:lineRule="auto"/>
    </w:pPr>
    <w:rPr>
      <w:rFonts w:ascii="Calibri" w:eastAsia="Calibri" w:hAnsi="Calibri" w:cs="Times New Roman"/>
      <w:sz w:val="24"/>
      <w:szCs w:val="24"/>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ColorfulList-Accent6111">
    <w:name w:val="Colorful List - Accent 6111"/>
    <w:basedOn w:val="TableNormal"/>
    <w:next w:val="ColorfulList-Accent6"/>
    <w:uiPriority w:val="72"/>
    <w:rsid w:val="00D61191"/>
    <w:pPr>
      <w:spacing w:before="120" w:after="0" w:line="240" w:lineRule="auto"/>
      <w:jc w:val="both"/>
    </w:pPr>
    <w:rPr>
      <w:rFonts w:ascii="Arial" w:eastAsia="Times New Roman" w:hAnsi="Arial" w:cs="Times New Roman"/>
      <w:color w:val="000000" w:themeColor="text1"/>
      <w:sz w:val="16"/>
      <w:szCs w:val="20"/>
      <w:lang w:eastAsia="en-NZ"/>
    </w:rPr>
    <w:tblPr>
      <w:tblStyleRowBandSize w:val="1"/>
      <w:tblStyleColBandSize w:val="1"/>
    </w:tblPr>
    <w:tcPr>
      <w:shd w:val="clear" w:color="auto" w:fill="FFFFFF" w:themeFill="background1"/>
    </w:tcPr>
    <w:tblStylePr w:type="firstRow">
      <w:rPr>
        <w:b/>
        <w:bCs/>
        <w:color w:val="FFFFFF" w:themeColor="background1"/>
      </w:rPr>
      <w:tblPr/>
      <w:tcPr>
        <w:tcBorders>
          <w:bottom w:val="single" w:sz="12" w:space="0" w:color="FFFFFF" w:themeColor="background1"/>
        </w:tcBorders>
        <w:shd w:val="clear" w:color="auto" w:fill="45B29E" w:themeFill="accent5" w:themeFillShade="CC"/>
      </w:tcPr>
    </w:tblStylePr>
    <w:tblStylePr w:type="lastRow">
      <w:rPr>
        <w:b/>
        <w:bCs/>
        <w:color w:val="45B29E" w:themeColor="accent5" w:themeShade="CC"/>
      </w:rPr>
      <w:tblPr/>
      <w:tcPr>
        <w:tcBorders>
          <w:top w:val="single" w:sz="12" w:space="0" w:color="000000" w:themeColor="text1"/>
        </w:tcBorders>
        <w:shd w:val="clear" w:color="auto" w:fill="FFFFFF" w:themeFill="background1"/>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table" w:customStyle="1" w:styleId="TableGrid511">
    <w:name w:val="Table Grid511"/>
    <w:basedOn w:val="TableNormal"/>
    <w:next w:val="TableGrid"/>
    <w:rsid w:val="00D61191"/>
    <w:pPr>
      <w:spacing w:before="120" w:after="0" w:line="240" w:lineRule="auto"/>
      <w:ind w:left="567"/>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211">
    <w:name w:val="Colorful Grid - Accent 1211"/>
    <w:basedOn w:val="TableNormal"/>
    <w:next w:val="ColorfulGrid-Accent1"/>
    <w:rsid w:val="00D61191"/>
    <w:pPr>
      <w:spacing w:before="120" w:after="0" w:line="240" w:lineRule="auto"/>
      <w:ind w:left="567"/>
      <w:jc w:val="both"/>
    </w:pPr>
    <w:rPr>
      <w:rFonts w:ascii="Times New Roman" w:eastAsia="Times New Roman" w:hAnsi="Times New Roman" w:cs="Times New Roman"/>
      <w:sz w:val="20"/>
      <w:szCs w:val="2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211">
    <w:name w:val="Table-Grid211"/>
    <w:basedOn w:val="TableNormal"/>
    <w:uiPriority w:val="99"/>
    <w:rsid w:val="00D61191"/>
    <w:pPr>
      <w:spacing w:before="120" w:after="0" w:line="240" w:lineRule="auto"/>
      <w:ind w:left="567"/>
      <w:jc w:val="both"/>
    </w:pPr>
    <w:rPr>
      <w:rFonts w:ascii="Times New Roman" w:eastAsia="Times New Roman" w:hAnsi="Times New Roman" w:cs="Times New Roman"/>
      <w:sz w:val="20"/>
      <w:szCs w:val="20"/>
    </w:rPr>
    <w:tblPr>
      <w:tblBorders>
        <w:top w:val="single" w:sz="6" w:space="0" w:color="808080" w:themeColor="background1" w:themeShade="80"/>
        <w:bottom w:val="single" w:sz="6" w:space="0" w:color="808080" w:themeColor="background1" w:themeShade="80"/>
      </w:tblBorders>
      <w:tblCellMar>
        <w:top w:w="57" w:type="dxa"/>
        <w:left w:w="85" w:type="dxa"/>
        <w:bottom w:w="57" w:type="dxa"/>
        <w:right w:w="0" w:type="dxa"/>
      </w:tblCellMar>
    </w:tblPr>
    <w:tcPr>
      <w:shd w:val="clear" w:color="auto" w:fill="FFFFFF" w:themeFill="background1"/>
    </w:tcPr>
  </w:style>
  <w:style w:type="table" w:customStyle="1" w:styleId="LightShading-Accent3211">
    <w:name w:val="Light Shading - Accent 3211"/>
    <w:basedOn w:val="TableNormal"/>
    <w:next w:val="LightShading-Accent3"/>
    <w:uiPriority w:val="60"/>
    <w:rsid w:val="00D61191"/>
    <w:pPr>
      <w:spacing w:before="120" w:after="0" w:line="240" w:lineRule="auto"/>
      <w:ind w:left="567"/>
      <w:jc w:val="both"/>
    </w:pPr>
    <w:rPr>
      <w:color w:val="88C6BE" w:themeColor="accent3" w:themeShade="BF"/>
    </w:rPr>
    <w:tblPr>
      <w:tblStyleRowBandSize w:val="1"/>
      <w:tblStyleColBandSize w:val="1"/>
      <w:tblBorders>
        <w:top w:val="single" w:sz="8" w:space="0" w:color="D5EBE8" w:themeColor="accent3"/>
        <w:bottom w:val="single" w:sz="8" w:space="0" w:color="D5EBE8" w:themeColor="accent3"/>
      </w:tblBorders>
    </w:tblPr>
    <w:tblStylePr w:type="fir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la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AF9" w:themeFill="accent3" w:themeFillTint="3F"/>
      </w:tcPr>
    </w:tblStylePr>
    <w:tblStylePr w:type="band1Horz">
      <w:tblPr/>
      <w:tcPr>
        <w:tcBorders>
          <w:left w:val="nil"/>
          <w:right w:val="nil"/>
          <w:insideH w:val="nil"/>
          <w:insideV w:val="nil"/>
        </w:tcBorders>
        <w:shd w:val="clear" w:color="auto" w:fill="F4FAF9" w:themeFill="accent3" w:themeFillTint="3F"/>
      </w:tcPr>
    </w:tblStylePr>
  </w:style>
  <w:style w:type="table" w:customStyle="1" w:styleId="ColorfulList-Accent4211">
    <w:name w:val="Colorful List - Accent 4211"/>
    <w:basedOn w:val="TableNormal"/>
    <w:next w:val="ColorfulList-Accent4"/>
    <w:uiPriority w:val="72"/>
    <w:rsid w:val="00D61191"/>
    <w:pPr>
      <w:spacing w:before="120" w:after="0" w:line="240" w:lineRule="auto"/>
      <w:ind w:left="567"/>
      <w:jc w:val="both"/>
    </w:pPr>
    <w:rPr>
      <w:color w:val="000000" w:themeColor="text1"/>
    </w:rPr>
    <w:tblPr>
      <w:tblStyleRowBandSize w:val="1"/>
      <w:tblStyleColBandSize w:val="1"/>
    </w:tblPr>
    <w:tcPr>
      <w:shd w:val="clear" w:color="auto" w:fill="E6F8F5" w:themeFill="accent4" w:themeFillTint="19"/>
    </w:tcPr>
    <w:tblStylePr w:type="firstRow">
      <w:rPr>
        <w:b/>
        <w:bCs/>
        <w:color w:val="FFFFFF" w:themeColor="background1"/>
      </w:rPr>
      <w:tblPr/>
      <w:tcPr>
        <w:tcBorders>
          <w:bottom w:val="single" w:sz="12" w:space="0" w:color="FFFFFF" w:themeColor="background1"/>
        </w:tcBorders>
        <w:shd w:val="clear" w:color="auto" w:fill="98CEC6" w:themeFill="accent3" w:themeFillShade="CC"/>
      </w:tcPr>
    </w:tblStylePr>
    <w:tblStylePr w:type="lastRow">
      <w:rPr>
        <w:b/>
        <w:bCs/>
        <w:color w:val="98C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EDE6" w:themeFill="accent4" w:themeFillTint="3F"/>
      </w:tcPr>
    </w:tblStylePr>
    <w:tblStylePr w:type="band1Horz">
      <w:tblPr/>
      <w:tcPr>
        <w:shd w:val="clear" w:color="auto" w:fill="CEF1EA" w:themeFill="accent4" w:themeFillTint="33"/>
      </w:tcPr>
    </w:tblStylePr>
  </w:style>
  <w:style w:type="table" w:customStyle="1" w:styleId="MediumShading1-Accent3211">
    <w:name w:val="Medium Shading 1 - Accent 3211"/>
    <w:basedOn w:val="TableNormal"/>
    <w:next w:val="MediumShading1-Accent3"/>
    <w:uiPriority w:val="63"/>
    <w:rsid w:val="00D61191"/>
    <w:pPr>
      <w:spacing w:before="120" w:after="0" w:line="240" w:lineRule="auto"/>
      <w:ind w:left="567"/>
      <w:jc w:val="both"/>
    </w:pPr>
    <w:tblPr>
      <w:tblStyleRowBandSize w:val="1"/>
      <w:tblStyleColBandSize w:val="1"/>
      <w:tbl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single" w:sz="8" w:space="0" w:color="DFF0ED" w:themeColor="accent3" w:themeTint="BF"/>
      </w:tblBorders>
    </w:tblPr>
    <w:tblStylePr w:type="firstRow">
      <w:pPr>
        <w:spacing w:before="0" w:after="0" w:line="240" w:lineRule="auto"/>
      </w:pPr>
      <w:rPr>
        <w:b/>
        <w:bCs/>
        <w:color w:val="FFFFFF" w:themeColor="background1"/>
      </w:rPr>
      <w:tblPr/>
      <w:tcPr>
        <w:tc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shd w:val="clear" w:color="auto" w:fill="D5EBE8" w:themeFill="accent3"/>
      </w:tcPr>
    </w:tblStylePr>
    <w:tblStylePr w:type="lastRow">
      <w:pPr>
        <w:spacing w:before="0" w:after="0" w:line="240" w:lineRule="auto"/>
      </w:pPr>
      <w:rPr>
        <w:b/>
        <w:bCs/>
      </w:rPr>
      <w:tblPr/>
      <w:tcPr>
        <w:tcBorders>
          <w:top w:val="double" w:sz="6"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FAF9" w:themeFill="accent3" w:themeFillTint="3F"/>
      </w:tcPr>
    </w:tblStylePr>
    <w:tblStylePr w:type="band1Horz">
      <w:tblPr/>
      <w:tcPr>
        <w:tcBorders>
          <w:insideH w:val="nil"/>
          <w:insideV w:val="nil"/>
        </w:tcBorders>
        <w:shd w:val="clear" w:color="auto" w:fill="F4FAF9" w:themeFill="accent3" w:themeFillTint="3F"/>
      </w:tcPr>
    </w:tblStylePr>
    <w:tblStylePr w:type="band2Horz">
      <w:tblPr/>
      <w:tcPr>
        <w:tcBorders>
          <w:insideH w:val="nil"/>
          <w:insideV w:val="nil"/>
        </w:tcBorders>
      </w:tcPr>
    </w:tblStylePr>
  </w:style>
  <w:style w:type="table" w:customStyle="1" w:styleId="LightList-Accent4211">
    <w:name w:val="Light List - Accent 4211"/>
    <w:basedOn w:val="TableNormal"/>
    <w:next w:val="LightList-Accent4"/>
    <w:uiPriority w:val="61"/>
    <w:rsid w:val="00D61191"/>
    <w:pPr>
      <w:spacing w:before="120" w:after="0" w:line="240" w:lineRule="auto"/>
      <w:ind w:left="567"/>
      <w:jc w:val="both"/>
    </w:pPr>
    <w:tblPr>
      <w:tblStyleRowBandSize w:val="1"/>
      <w:tblStyleColBandSize w:val="1"/>
      <w:tblBorders>
        <w:top w:val="single" w:sz="8" w:space="0" w:color="2C9986" w:themeColor="accent4"/>
        <w:left w:val="single" w:sz="8" w:space="0" w:color="2C9986" w:themeColor="accent4"/>
        <w:bottom w:val="single" w:sz="8" w:space="0" w:color="2C9986" w:themeColor="accent4"/>
        <w:right w:val="single" w:sz="8" w:space="0" w:color="2C9986" w:themeColor="accent4"/>
      </w:tblBorders>
    </w:tblPr>
    <w:tblStylePr w:type="firstRow">
      <w:pPr>
        <w:spacing w:before="0" w:after="0" w:line="240" w:lineRule="auto"/>
      </w:pPr>
      <w:rPr>
        <w:b/>
        <w:bCs/>
        <w:color w:val="FFFFFF" w:themeColor="background1"/>
      </w:rPr>
      <w:tblPr/>
      <w:tcPr>
        <w:shd w:val="clear" w:color="auto" w:fill="2C9986" w:themeFill="accent4"/>
      </w:tcPr>
    </w:tblStylePr>
    <w:tblStylePr w:type="lastRow">
      <w:pPr>
        <w:spacing w:before="0" w:after="0" w:line="240" w:lineRule="auto"/>
      </w:pPr>
      <w:rPr>
        <w:b/>
        <w:bCs/>
      </w:rPr>
      <w:tblPr/>
      <w:tcPr>
        <w:tcBorders>
          <w:top w:val="double" w:sz="6" w:space="0" w:color="2C9986" w:themeColor="accent4"/>
          <w:left w:val="single" w:sz="8" w:space="0" w:color="2C9986" w:themeColor="accent4"/>
          <w:bottom w:val="single" w:sz="8" w:space="0" w:color="2C9986" w:themeColor="accent4"/>
          <w:right w:val="single" w:sz="8" w:space="0" w:color="2C9986" w:themeColor="accent4"/>
        </w:tcBorders>
      </w:tcPr>
    </w:tblStylePr>
    <w:tblStylePr w:type="firstCol">
      <w:rPr>
        <w:b/>
        <w:bCs/>
      </w:rPr>
    </w:tblStylePr>
    <w:tblStylePr w:type="lastCol">
      <w:rPr>
        <w:b/>
        <w:bCs/>
      </w:rPr>
    </w:tblStylePr>
    <w:tblStylePr w:type="band1Vert">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tblStylePr w:type="band1Horz">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style>
  <w:style w:type="table" w:customStyle="1" w:styleId="ColorfulGrid-Accent3211">
    <w:name w:val="Colorful Grid - Accent 3211"/>
    <w:basedOn w:val="TableNormal"/>
    <w:next w:val="ColorfulGrid-Accent3"/>
    <w:uiPriority w:val="73"/>
    <w:rsid w:val="00D61191"/>
    <w:pPr>
      <w:spacing w:before="120" w:after="0" w:line="240" w:lineRule="auto"/>
      <w:ind w:left="567"/>
      <w:jc w:val="both"/>
    </w:pPr>
    <w:rPr>
      <w:color w:val="000000" w:themeColor="text1"/>
    </w:rPr>
    <w:tblPr>
      <w:tblStyleRowBandSize w:val="1"/>
      <w:tblStyleColBandSize w:val="1"/>
      <w:tblBorders>
        <w:insideH w:val="single" w:sz="4" w:space="0" w:color="FFFFFF" w:themeColor="background1"/>
      </w:tblBorders>
    </w:tblPr>
    <w:tcPr>
      <w:shd w:val="clear" w:color="auto" w:fill="F6FBFA" w:themeFill="accent3" w:themeFillTint="33"/>
    </w:tcPr>
    <w:tblStylePr w:type="firstRow">
      <w:rPr>
        <w:b/>
        <w:bCs/>
      </w:rPr>
      <w:tblPr/>
      <w:tcPr>
        <w:shd w:val="clear" w:color="auto" w:fill="EEF7F5" w:themeFill="accent3" w:themeFillTint="66"/>
      </w:tcPr>
    </w:tblStylePr>
    <w:tblStylePr w:type="lastRow">
      <w:rPr>
        <w:b/>
        <w:bCs/>
        <w:color w:val="000000" w:themeColor="text1"/>
      </w:rPr>
      <w:tblPr/>
      <w:tcPr>
        <w:shd w:val="clear" w:color="auto" w:fill="EEF7F5" w:themeFill="accent3" w:themeFillTint="66"/>
      </w:tcPr>
    </w:tblStylePr>
    <w:tblStylePr w:type="firstCol">
      <w:rPr>
        <w:color w:val="FFFFFF" w:themeColor="background1"/>
      </w:rPr>
      <w:tblPr/>
      <w:tcPr>
        <w:shd w:val="clear" w:color="auto" w:fill="88C6BE" w:themeFill="accent3" w:themeFillShade="BF"/>
      </w:tcPr>
    </w:tblStylePr>
    <w:tblStylePr w:type="lastCol">
      <w:rPr>
        <w:color w:val="FFFFFF" w:themeColor="background1"/>
      </w:rPr>
      <w:tblPr/>
      <w:tcPr>
        <w:shd w:val="clear" w:color="auto" w:fill="88C6BE" w:themeFill="accent3" w:themeFillShade="BF"/>
      </w:tcPr>
    </w:tblStylePr>
    <w:tblStylePr w:type="band1Vert">
      <w:tblPr/>
      <w:tcPr>
        <w:shd w:val="clear" w:color="auto" w:fill="EAF5F3" w:themeFill="accent3" w:themeFillTint="7F"/>
      </w:tcPr>
    </w:tblStylePr>
    <w:tblStylePr w:type="band1Horz">
      <w:tblPr/>
      <w:tcPr>
        <w:shd w:val="clear" w:color="auto" w:fill="EAF5F3" w:themeFill="accent3" w:themeFillTint="7F"/>
      </w:tcPr>
    </w:tblStylePr>
  </w:style>
  <w:style w:type="table" w:customStyle="1" w:styleId="LightList-Accent3211">
    <w:name w:val="Light List - Accent 3211"/>
    <w:basedOn w:val="TableNormal"/>
    <w:next w:val="LightList-Accent3"/>
    <w:uiPriority w:val="61"/>
    <w:rsid w:val="00D61191"/>
    <w:pPr>
      <w:spacing w:before="120" w:after="0" w:line="240" w:lineRule="auto"/>
      <w:ind w:left="567"/>
      <w:jc w:val="both"/>
    </w:p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table" w:customStyle="1" w:styleId="GridTable1LightAccent4211">
    <w:name w:val="Grid Table 1 Light Accent 4211"/>
    <w:basedOn w:val="TableNormal"/>
    <w:uiPriority w:val="46"/>
    <w:rsid w:val="00D61191"/>
    <w:pPr>
      <w:spacing w:before="120" w:after="0" w:line="240" w:lineRule="auto"/>
      <w:ind w:left="567"/>
      <w:jc w:val="both"/>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TableGrid611">
    <w:name w:val="Table Grid611"/>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59"/>
    <w:rsid w:val="00D61191"/>
    <w:pPr>
      <w:spacing w:after="0" w:line="240" w:lineRule="auto"/>
    </w:pPr>
    <w:rPr>
      <w:rFonts w:eastAsiaTheme="minorEastAsia"/>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4112">
    <w:name w:val="Grid Table 1 Light - Accent 4112"/>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GridTable1Light111">
    <w:name w:val="Grid Table 1 Light111"/>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LightShading-Accent1111">
    <w:name w:val="Light Shading - Accent 1111"/>
    <w:basedOn w:val="TableNormal"/>
    <w:uiPriority w:val="60"/>
    <w:rsid w:val="00D61191"/>
    <w:pPr>
      <w:spacing w:after="0" w:line="240" w:lineRule="auto"/>
    </w:pPr>
    <w:rPr>
      <w:rFonts w:ascii="Calibri" w:eastAsia="Calibri" w:hAnsi="Calibri" w:cs="Times New Roman"/>
      <w:color w:val="365F91"/>
      <w:sz w:val="20"/>
      <w:szCs w:val="20"/>
      <w:lang w:eastAsia="en-NZ"/>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11">
    <w:name w:val="Light List - Accent 1111"/>
    <w:basedOn w:val="TableNormal"/>
    <w:uiPriority w:val="61"/>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111">
    <w:name w:val="Light Grid - Accent 1111"/>
    <w:basedOn w:val="TableNormal"/>
    <w:uiPriority w:val="62"/>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Lato" w:eastAsia="Times New Roman" w:hAnsi="Lato"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Lato" w:eastAsia="Times New Roman" w:hAnsi="Lato"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Lato" w:eastAsia="Times New Roman" w:hAnsi="Lato" w:cs="Times New Roman"/>
        <w:b/>
        <w:bCs/>
      </w:rPr>
    </w:tblStylePr>
    <w:tblStylePr w:type="lastCol">
      <w:rPr>
        <w:rFonts w:ascii="Lato" w:eastAsia="Times New Roman" w:hAnsi="Lato"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811">
    <w:name w:val="Table Grid811"/>
    <w:basedOn w:val="TableNormal"/>
    <w:next w:val="TableGrid"/>
    <w:uiPriority w:val="59"/>
    <w:rsid w:val="00D61191"/>
    <w:pPr>
      <w:spacing w:after="0" w:line="240" w:lineRule="auto"/>
    </w:pPr>
    <w:rPr>
      <w:sz w:val="24"/>
      <w:szCs w:val="24"/>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211">
    <w:name w:val="Table Grid1211"/>
    <w:basedOn w:val="TableNormal"/>
    <w:next w:val="TableGrid"/>
    <w:uiPriority w:val="59"/>
    <w:rsid w:val="00D61191"/>
    <w:pPr>
      <w:spacing w:after="0" w:line="240" w:lineRule="auto"/>
    </w:pPr>
    <w:rPr>
      <w:rFonts w:ascii="Calibri" w:eastAsia="Calibri" w:hAnsi="Calibri" w:cs="Times New Roman"/>
      <w:sz w:val="24"/>
      <w:szCs w:val="24"/>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01">
    <w:name w:val="Table Grid101"/>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41">
    <w:name w:val="Colorful Grid - Accent 141"/>
    <w:basedOn w:val="TableNormal"/>
    <w:next w:val="ColorfulGrid-Accent1"/>
    <w:rsid w:val="00D61191"/>
    <w:pPr>
      <w:spacing w:after="0" w:line="240" w:lineRule="auto"/>
    </w:pPr>
    <w:rPr>
      <w:rFonts w:ascii="Times New Roman" w:eastAsia="Times New Roman" w:hAnsi="Times New Roman" w:cs="Times New Roman"/>
      <w:sz w:val="20"/>
      <w:szCs w:val="2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41">
    <w:name w:val="Table-Grid41"/>
    <w:basedOn w:val="TableNormal"/>
    <w:uiPriority w:val="99"/>
    <w:rsid w:val="00D61191"/>
    <w:pPr>
      <w:spacing w:after="0" w:line="240" w:lineRule="auto"/>
    </w:pPr>
    <w:rPr>
      <w:rFonts w:ascii="Times New Roman" w:eastAsia="Times New Roman" w:hAnsi="Times New Roman" w:cs="Times New Roman"/>
      <w:sz w:val="20"/>
      <w:szCs w:val="20"/>
    </w:rPr>
    <w:tblPr>
      <w:tblBorders>
        <w:top w:val="single" w:sz="6" w:space="0" w:color="808080" w:themeColor="background1" w:themeShade="80"/>
        <w:bottom w:val="single" w:sz="6" w:space="0" w:color="808080" w:themeColor="background1" w:themeShade="80"/>
      </w:tblBorders>
      <w:tblCellMar>
        <w:top w:w="57" w:type="dxa"/>
        <w:left w:w="85" w:type="dxa"/>
        <w:bottom w:w="57" w:type="dxa"/>
        <w:right w:w="0" w:type="dxa"/>
      </w:tblCellMar>
    </w:tblPr>
    <w:tcPr>
      <w:shd w:val="clear" w:color="auto" w:fill="FFFFFF" w:themeFill="background1"/>
    </w:tcPr>
  </w:style>
  <w:style w:type="table" w:customStyle="1" w:styleId="LightShading-Accent341">
    <w:name w:val="Light Shading - Accent 341"/>
    <w:basedOn w:val="TableNormal"/>
    <w:next w:val="LightShading-Accent3"/>
    <w:uiPriority w:val="60"/>
    <w:rsid w:val="00D61191"/>
    <w:pPr>
      <w:spacing w:after="0" w:line="240" w:lineRule="auto"/>
    </w:pPr>
    <w:rPr>
      <w:color w:val="88C6BE" w:themeColor="accent3" w:themeShade="BF"/>
    </w:rPr>
    <w:tblPr>
      <w:tblStyleRowBandSize w:val="1"/>
      <w:tblStyleColBandSize w:val="1"/>
      <w:tblBorders>
        <w:top w:val="single" w:sz="8" w:space="0" w:color="D5EBE8" w:themeColor="accent3"/>
        <w:bottom w:val="single" w:sz="8" w:space="0" w:color="D5EBE8" w:themeColor="accent3"/>
      </w:tblBorders>
    </w:tblPr>
    <w:tblStylePr w:type="fir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la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AF9" w:themeFill="accent3" w:themeFillTint="3F"/>
      </w:tcPr>
    </w:tblStylePr>
    <w:tblStylePr w:type="band1Horz">
      <w:tblPr/>
      <w:tcPr>
        <w:tcBorders>
          <w:left w:val="nil"/>
          <w:right w:val="nil"/>
          <w:insideH w:val="nil"/>
          <w:insideV w:val="nil"/>
        </w:tcBorders>
        <w:shd w:val="clear" w:color="auto" w:fill="F4FAF9" w:themeFill="accent3" w:themeFillTint="3F"/>
      </w:tcPr>
    </w:tblStylePr>
  </w:style>
  <w:style w:type="table" w:customStyle="1" w:styleId="ColorfulList-Accent441">
    <w:name w:val="Colorful List - Accent 441"/>
    <w:basedOn w:val="TableNormal"/>
    <w:next w:val="ColorfulList-Accent4"/>
    <w:uiPriority w:val="72"/>
    <w:rsid w:val="00D61191"/>
    <w:pPr>
      <w:spacing w:after="0" w:line="240" w:lineRule="auto"/>
    </w:pPr>
    <w:rPr>
      <w:color w:val="000000" w:themeColor="text1"/>
    </w:rPr>
    <w:tblPr>
      <w:tblStyleRowBandSize w:val="1"/>
      <w:tblStyleColBandSize w:val="1"/>
    </w:tblPr>
    <w:tcPr>
      <w:shd w:val="clear" w:color="auto" w:fill="E6F8F5" w:themeFill="accent4" w:themeFillTint="19"/>
    </w:tcPr>
    <w:tblStylePr w:type="firstRow">
      <w:rPr>
        <w:b/>
        <w:bCs/>
        <w:color w:val="FFFFFF" w:themeColor="background1"/>
      </w:rPr>
      <w:tblPr/>
      <w:tcPr>
        <w:tcBorders>
          <w:bottom w:val="single" w:sz="12" w:space="0" w:color="FFFFFF" w:themeColor="background1"/>
        </w:tcBorders>
        <w:shd w:val="clear" w:color="auto" w:fill="98CEC6" w:themeFill="accent3" w:themeFillShade="CC"/>
      </w:tcPr>
    </w:tblStylePr>
    <w:tblStylePr w:type="lastRow">
      <w:rPr>
        <w:b/>
        <w:bCs/>
        <w:color w:val="98C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EDE6" w:themeFill="accent4" w:themeFillTint="3F"/>
      </w:tcPr>
    </w:tblStylePr>
    <w:tblStylePr w:type="band1Horz">
      <w:tblPr/>
      <w:tcPr>
        <w:shd w:val="clear" w:color="auto" w:fill="CEF1EA" w:themeFill="accent4" w:themeFillTint="33"/>
      </w:tcPr>
    </w:tblStylePr>
  </w:style>
  <w:style w:type="table" w:customStyle="1" w:styleId="MediumShading1-Accent341">
    <w:name w:val="Medium Shading 1 - Accent 341"/>
    <w:basedOn w:val="TableNormal"/>
    <w:next w:val="MediumShading1-Accent3"/>
    <w:uiPriority w:val="63"/>
    <w:rsid w:val="00D61191"/>
    <w:pPr>
      <w:spacing w:after="0" w:line="240" w:lineRule="auto"/>
    </w:pPr>
    <w:tblPr>
      <w:tblStyleRowBandSize w:val="1"/>
      <w:tblStyleColBandSize w:val="1"/>
      <w:tbl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single" w:sz="8" w:space="0" w:color="DFF0ED" w:themeColor="accent3" w:themeTint="BF"/>
      </w:tblBorders>
    </w:tblPr>
    <w:tblStylePr w:type="firstRow">
      <w:pPr>
        <w:spacing w:before="0" w:after="0" w:line="240" w:lineRule="auto"/>
      </w:pPr>
      <w:rPr>
        <w:b/>
        <w:bCs/>
        <w:color w:val="FFFFFF" w:themeColor="background1"/>
      </w:rPr>
      <w:tblPr/>
      <w:tcPr>
        <w:tc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shd w:val="clear" w:color="auto" w:fill="D5EBE8" w:themeFill="accent3"/>
      </w:tcPr>
    </w:tblStylePr>
    <w:tblStylePr w:type="lastRow">
      <w:pPr>
        <w:spacing w:before="0" w:after="0" w:line="240" w:lineRule="auto"/>
      </w:pPr>
      <w:rPr>
        <w:b/>
        <w:bCs/>
      </w:rPr>
      <w:tblPr/>
      <w:tcPr>
        <w:tcBorders>
          <w:top w:val="double" w:sz="6"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FAF9" w:themeFill="accent3" w:themeFillTint="3F"/>
      </w:tcPr>
    </w:tblStylePr>
    <w:tblStylePr w:type="band1Horz">
      <w:tblPr/>
      <w:tcPr>
        <w:tcBorders>
          <w:insideH w:val="nil"/>
          <w:insideV w:val="nil"/>
        </w:tcBorders>
        <w:shd w:val="clear" w:color="auto" w:fill="F4FAF9" w:themeFill="accent3" w:themeFillTint="3F"/>
      </w:tcPr>
    </w:tblStylePr>
    <w:tblStylePr w:type="band2Horz">
      <w:tblPr/>
      <w:tcPr>
        <w:tcBorders>
          <w:insideH w:val="nil"/>
          <w:insideV w:val="nil"/>
        </w:tcBorders>
      </w:tcPr>
    </w:tblStylePr>
  </w:style>
  <w:style w:type="table" w:customStyle="1" w:styleId="LightList-Accent441">
    <w:name w:val="Light List - Accent 441"/>
    <w:basedOn w:val="TableNormal"/>
    <w:next w:val="LightList-Accent4"/>
    <w:uiPriority w:val="61"/>
    <w:rsid w:val="00D61191"/>
    <w:pPr>
      <w:spacing w:after="0" w:line="240" w:lineRule="auto"/>
    </w:pPr>
    <w:tblPr>
      <w:tblStyleRowBandSize w:val="1"/>
      <w:tblStyleColBandSize w:val="1"/>
      <w:tblBorders>
        <w:top w:val="single" w:sz="8" w:space="0" w:color="2C9986" w:themeColor="accent4"/>
        <w:left w:val="single" w:sz="8" w:space="0" w:color="2C9986" w:themeColor="accent4"/>
        <w:bottom w:val="single" w:sz="8" w:space="0" w:color="2C9986" w:themeColor="accent4"/>
        <w:right w:val="single" w:sz="8" w:space="0" w:color="2C9986" w:themeColor="accent4"/>
      </w:tblBorders>
    </w:tblPr>
    <w:tblStylePr w:type="firstRow">
      <w:pPr>
        <w:spacing w:before="0" w:after="0" w:line="240" w:lineRule="auto"/>
      </w:pPr>
      <w:rPr>
        <w:b/>
        <w:bCs/>
        <w:color w:val="FFFFFF" w:themeColor="background1"/>
      </w:rPr>
      <w:tblPr/>
      <w:tcPr>
        <w:shd w:val="clear" w:color="auto" w:fill="2C9986" w:themeFill="accent4"/>
      </w:tcPr>
    </w:tblStylePr>
    <w:tblStylePr w:type="lastRow">
      <w:pPr>
        <w:spacing w:before="0" w:after="0" w:line="240" w:lineRule="auto"/>
      </w:pPr>
      <w:rPr>
        <w:b/>
        <w:bCs/>
      </w:rPr>
      <w:tblPr/>
      <w:tcPr>
        <w:tcBorders>
          <w:top w:val="double" w:sz="6" w:space="0" w:color="2C9986" w:themeColor="accent4"/>
          <w:left w:val="single" w:sz="8" w:space="0" w:color="2C9986" w:themeColor="accent4"/>
          <w:bottom w:val="single" w:sz="8" w:space="0" w:color="2C9986" w:themeColor="accent4"/>
          <w:right w:val="single" w:sz="8" w:space="0" w:color="2C9986" w:themeColor="accent4"/>
        </w:tcBorders>
      </w:tcPr>
    </w:tblStylePr>
    <w:tblStylePr w:type="firstCol">
      <w:rPr>
        <w:b/>
        <w:bCs/>
      </w:rPr>
    </w:tblStylePr>
    <w:tblStylePr w:type="lastCol">
      <w:rPr>
        <w:b/>
        <w:bCs/>
      </w:rPr>
    </w:tblStylePr>
    <w:tblStylePr w:type="band1Vert">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tblStylePr w:type="band1Horz">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style>
  <w:style w:type="table" w:customStyle="1" w:styleId="ColorfulGrid-Accent341">
    <w:name w:val="Colorful Grid - Accent 341"/>
    <w:basedOn w:val="TableNormal"/>
    <w:next w:val="ColorfulGrid-Accent3"/>
    <w:uiPriority w:val="73"/>
    <w:rsid w:val="00D61191"/>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6FBFA" w:themeFill="accent3" w:themeFillTint="33"/>
    </w:tcPr>
    <w:tblStylePr w:type="firstRow">
      <w:rPr>
        <w:b/>
        <w:bCs/>
      </w:rPr>
      <w:tblPr/>
      <w:tcPr>
        <w:shd w:val="clear" w:color="auto" w:fill="EEF7F5" w:themeFill="accent3" w:themeFillTint="66"/>
      </w:tcPr>
    </w:tblStylePr>
    <w:tblStylePr w:type="lastRow">
      <w:rPr>
        <w:b/>
        <w:bCs/>
        <w:color w:val="000000" w:themeColor="text1"/>
      </w:rPr>
      <w:tblPr/>
      <w:tcPr>
        <w:shd w:val="clear" w:color="auto" w:fill="EEF7F5" w:themeFill="accent3" w:themeFillTint="66"/>
      </w:tcPr>
    </w:tblStylePr>
    <w:tblStylePr w:type="firstCol">
      <w:rPr>
        <w:color w:val="FFFFFF" w:themeColor="background1"/>
      </w:rPr>
      <w:tblPr/>
      <w:tcPr>
        <w:shd w:val="clear" w:color="auto" w:fill="88C6BE" w:themeFill="accent3" w:themeFillShade="BF"/>
      </w:tcPr>
    </w:tblStylePr>
    <w:tblStylePr w:type="lastCol">
      <w:rPr>
        <w:color w:val="FFFFFF" w:themeColor="background1"/>
      </w:rPr>
      <w:tblPr/>
      <w:tcPr>
        <w:shd w:val="clear" w:color="auto" w:fill="88C6BE" w:themeFill="accent3" w:themeFillShade="BF"/>
      </w:tcPr>
    </w:tblStylePr>
    <w:tblStylePr w:type="band1Vert">
      <w:tblPr/>
      <w:tcPr>
        <w:shd w:val="clear" w:color="auto" w:fill="EAF5F3" w:themeFill="accent3" w:themeFillTint="7F"/>
      </w:tcPr>
    </w:tblStylePr>
    <w:tblStylePr w:type="band1Horz">
      <w:tblPr/>
      <w:tcPr>
        <w:shd w:val="clear" w:color="auto" w:fill="EAF5F3" w:themeFill="accent3" w:themeFillTint="7F"/>
      </w:tcPr>
    </w:tblStylePr>
  </w:style>
  <w:style w:type="table" w:customStyle="1" w:styleId="LightList-Accent341">
    <w:name w:val="Light List - Accent 341"/>
    <w:basedOn w:val="TableNormal"/>
    <w:next w:val="LightList-Accent3"/>
    <w:uiPriority w:val="61"/>
    <w:rsid w:val="00D61191"/>
    <w:pPr>
      <w:spacing w:after="0" w:line="240" w:lineRule="auto"/>
    </w:p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table" w:customStyle="1" w:styleId="GridTable1LightAccent441">
    <w:name w:val="Grid Table 1 Light Accent 441"/>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GridTable1Light-Accent4121">
    <w:name w:val="Grid Table 1 Light - Accent 4121"/>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TableGrid141">
    <w:name w:val="Table Grid141"/>
    <w:basedOn w:val="TableNormal"/>
    <w:next w:val="TableGrid"/>
    <w:uiPriority w:val="59"/>
    <w:rsid w:val="00D61191"/>
    <w:pPr>
      <w:spacing w:after="0" w:line="240" w:lineRule="auto"/>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31">
    <w:name w:val="Light Shading - Accent 131"/>
    <w:basedOn w:val="TableNormal"/>
    <w:next w:val="LightShading-Accent1"/>
    <w:uiPriority w:val="60"/>
    <w:rsid w:val="00D61191"/>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31">
    <w:name w:val="Light List - Accent 131"/>
    <w:basedOn w:val="TableNormal"/>
    <w:next w:val="LightList-Accent1"/>
    <w:uiPriority w:val="61"/>
    <w:rsid w:val="00D61191"/>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table" w:customStyle="1" w:styleId="LightGrid-Accent131">
    <w:name w:val="Light Grid - Accent 131"/>
    <w:basedOn w:val="TableNormal"/>
    <w:next w:val="LightGrid-Accent1"/>
    <w:uiPriority w:val="62"/>
    <w:rsid w:val="00D61191"/>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ColorfulList-Accent631">
    <w:name w:val="Colorful List - Accent 631"/>
    <w:basedOn w:val="TableNormal"/>
    <w:next w:val="ColorfulList-Accent6"/>
    <w:uiPriority w:val="72"/>
    <w:rsid w:val="00D61191"/>
    <w:pPr>
      <w:spacing w:before="120" w:after="0" w:line="240" w:lineRule="auto"/>
      <w:jc w:val="both"/>
    </w:pPr>
    <w:rPr>
      <w:rFonts w:ascii="Arial" w:eastAsia="Times New Roman" w:hAnsi="Arial" w:cs="Times New Roman"/>
      <w:color w:val="000000" w:themeColor="text1"/>
      <w:sz w:val="16"/>
      <w:szCs w:val="20"/>
      <w:lang w:eastAsia="en-NZ"/>
    </w:rPr>
    <w:tblPr>
      <w:tblStyleRowBandSize w:val="1"/>
      <w:tblStyleColBandSize w:val="1"/>
    </w:tblPr>
    <w:tcPr>
      <w:shd w:val="clear" w:color="auto" w:fill="FFFFFF" w:themeFill="background1"/>
    </w:tcPr>
    <w:tblStylePr w:type="firstRow">
      <w:rPr>
        <w:b/>
        <w:bCs/>
        <w:color w:val="FFFFFF" w:themeColor="background1"/>
      </w:rPr>
      <w:tblPr/>
      <w:tcPr>
        <w:tcBorders>
          <w:bottom w:val="single" w:sz="12" w:space="0" w:color="FFFFFF" w:themeColor="background1"/>
        </w:tcBorders>
        <w:shd w:val="clear" w:color="auto" w:fill="45B29E" w:themeFill="accent5" w:themeFillShade="CC"/>
      </w:tcPr>
    </w:tblStylePr>
    <w:tblStylePr w:type="lastRow">
      <w:rPr>
        <w:b/>
        <w:bCs/>
        <w:color w:val="45B29E" w:themeColor="accent5" w:themeShade="CC"/>
      </w:rPr>
      <w:tblPr/>
      <w:tcPr>
        <w:tcBorders>
          <w:top w:val="single" w:sz="12" w:space="0" w:color="000000" w:themeColor="text1"/>
        </w:tcBorders>
        <w:shd w:val="clear" w:color="auto" w:fill="FFFFFF" w:themeFill="background1"/>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table" w:customStyle="1" w:styleId="TableGrid151">
    <w:name w:val="Table Grid151"/>
    <w:basedOn w:val="TableNormal"/>
    <w:next w:val="TableGrid"/>
    <w:rsid w:val="00D61191"/>
    <w:pPr>
      <w:spacing w:before="120" w:after="0" w:line="240" w:lineRule="auto"/>
      <w:ind w:left="567"/>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51">
    <w:name w:val="Colorful Grid - Accent 151"/>
    <w:basedOn w:val="TableNormal"/>
    <w:next w:val="ColorfulGrid-Accent1"/>
    <w:rsid w:val="00D61191"/>
    <w:pPr>
      <w:spacing w:before="120" w:after="0" w:line="240" w:lineRule="auto"/>
      <w:ind w:left="567"/>
      <w:jc w:val="both"/>
    </w:pPr>
    <w:rPr>
      <w:rFonts w:ascii="Times New Roman" w:eastAsia="Times New Roman" w:hAnsi="Times New Roman" w:cs="Times New Roman"/>
      <w:sz w:val="20"/>
      <w:szCs w:val="2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51">
    <w:name w:val="Table-Grid51"/>
    <w:basedOn w:val="TableNormal"/>
    <w:uiPriority w:val="99"/>
    <w:rsid w:val="00D61191"/>
    <w:pPr>
      <w:spacing w:before="120" w:after="0" w:line="240" w:lineRule="auto"/>
      <w:ind w:left="567"/>
      <w:jc w:val="both"/>
    </w:pPr>
    <w:rPr>
      <w:rFonts w:ascii="Times New Roman" w:eastAsia="Times New Roman" w:hAnsi="Times New Roman" w:cs="Times New Roman"/>
      <w:sz w:val="20"/>
      <w:szCs w:val="20"/>
    </w:rPr>
    <w:tblPr>
      <w:tblBorders>
        <w:top w:val="single" w:sz="6" w:space="0" w:color="808080" w:themeColor="background1" w:themeShade="80"/>
        <w:bottom w:val="single" w:sz="6" w:space="0" w:color="808080" w:themeColor="background1" w:themeShade="80"/>
      </w:tblBorders>
      <w:tblCellMar>
        <w:top w:w="57" w:type="dxa"/>
        <w:left w:w="85" w:type="dxa"/>
        <w:bottom w:w="57" w:type="dxa"/>
        <w:right w:w="0" w:type="dxa"/>
      </w:tblCellMar>
    </w:tblPr>
    <w:tcPr>
      <w:shd w:val="clear" w:color="auto" w:fill="FFFFFF" w:themeFill="background1"/>
    </w:tcPr>
  </w:style>
  <w:style w:type="table" w:customStyle="1" w:styleId="LightShading-Accent351">
    <w:name w:val="Light Shading - Accent 351"/>
    <w:basedOn w:val="TableNormal"/>
    <w:next w:val="LightShading-Accent3"/>
    <w:uiPriority w:val="60"/>
    <w:rsid w:val="00D61191"/>
    <w:pPr>
      <w:spacing w:before="120" w:after="0" w:line="240" w:lineRule="auto"/>
      <w:ind w:left="567"/>
      <w:jc w:val="both"/>
    </w:pPr>
    <w:rPr>
      <w:color w:val="88C6BE" w:themeColor="accent3" w:themeShade="BF"/>
    </w:rPr>
    <w:tblPr>
      <w:tblStyleRowBandSize w:val="1"/>
      <w:tblStyleColBandSize w:val="1"/>
      <w:tblBorders>
        <w:top w:val="single" w:sz="8" w:space="0" w:color="D5EBE8" w:themeColor="accent3"/>
        <w:bottom w:val="single" w:sz="8" w:space="0" w:color="D5EBE8" w:themeColor="accent3"/>
      </w:tblBorders>
    </w:tblPr>
    <w:tblStylePr w:type="fir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la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AF9" w:themeFill="accent3" w:themeFillTint="3F"/>
      </w:tcPr>
    </w:tblStylePr>
    <w:tblStylePr w:type="band1Horz">
      <w:tblPr/>
      <w:tcPr>
        <w:tcBorders>
          <w:left w:val="nil"/>
          <w:right w:val="nil"/>
          <w:insideH w:val="nil"/>
          <w:insideV w:val="nil"/>
        </w:tcBorders>
        <w:shd w:val="clear" w:color="auto" w:fill="F4FAF9" w:themeFill="accent3" w:themeFillTint="3F"/>
      </w:tcPr>
    </w:tblStylePr>
  </w:style>
  <w:style w:type="table" w:customStyle="1" w:styleId="ColorfulList-Accent451">
    <w:name w:val="Colorful List - Accent 451"/>
    <w:basedOn w:val="TableNormal"/>
    <w:next w:val="ColorfulList-Accent4"/>
    <w:uiPriority w:val="72"/>
    <w:rsid w:val="00D61191"/>
    <w:pPr>
      <w:spacing w:before="120" w:after="0" w:line="240" w:lineRule="auto"/>
      <w:ind w:left="567"/>
      <w:jc w:val="both"/>
    </w:pPr>
    <w:rPr>
      <w:color w:val="000000" w:themeColor="text1"/>
    </w:rPr>
    <w:tblPr>
      <w:tblStyleRowBandSize w:val="1"/>
      <w:tblStyleColBandSize w:val="1"/>
    </w:tblPr>
    <w:tcPr>
      <w:shd w:val="clear" w:color="auto" w:fill="E6F8F5" w:themeFill="accent4" w:themeFillTint="19"/>
    </w:tcPr>
    <w:tblStylePr w:type="firstRow">
      <w:rPr>
        <w:b/>
        <w:bCs/>
        <w:color w:val="FFFFFF" w:themeColor="background1"/>
      </w:rPr>
      <w:tblPr/>
      <w:tcPr>
        <w:tcBorders>
          <w:bottom w:val="single" w:sz="12" w:space="0" w:color="FFFFFF" w:themeColor="background1"/>
        </w:tcBorders>
        <w:shd w:val="clear" w:color="auto" w:fill="98CEC6" w:themeFill="accent3" w:themeFillShade="CC"/>
      </w:tcPr>
    </w:tblStylePr>
    <w:tblStylePr w:type="lastRow">
      <w:rPr>
        <w:b/>
        <w:bCs/>
        <w:color w:val="98C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EDE6" w:themeFill="accent4" w:themeFillTint="3F"/>
      </w:tcPr>
    </w:tblStylePr>
    <w:tblStylePr w:type="band1Horz">
      <w:tblPr/>
      <w:tcPr>
        <w:shd w:val="clear" w:color="auto" w:fill="CEF1EA" w:themeFill="accent4" w:themeFillTint="33"/>
      </w:tcPr>
    </w:tblStylePr>
  </w:style>
  <w:style w:type="table" w:customStyle="1" w:styleId="MediumShading1-Accent351">
    <w:name w:val="Medium Shading 1 - Accent 351"/>
    <w:basedOn w:val="TableNormal"/>
    <w:next w:val="MediumShading1-Accent3"/>
    <w:uiPriority w:val="63"/>
    <w:rsid w:val="00D61191"/>
    <w:pPr>
      <w:spacing w:before="120" w:after="0" w:line="240" w:lineRule="auto"/>
      <w:ind w:left="567"/>
      <w:jc w:val="both"/>
    </w:pPr>
    <w:tblPr>
      <w:tblStyleRowBandSize w:val="1"/>
      <w:tblStyleColBandSize w:val="1"/>
      <w:tbl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single" w:sz="8" w:space="0" w:color="DFF0ED" w:themeColor="accent3" w:themeTint="BF"/>
      </w:tblBorders>
    </w:tblPr>
    <w:tblStylePr w:type="firstRow">
      <w:pPr>
        <w:spacing w:before="0" w:after="0" w:line="240" w:lineRule="auto"/>
      </w:pPr>
      <w:rPr>
        <w:b/>
        <w:bCs/>
        <w:color w:val="FFFFFF" w:themeColor="background1"/>
      </w:rPr>
      <w:tblPr/>
      <w:tcPr>
        <w:tc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shd w:val="clear" w:color="auto" w:fill="D5EBE8" w:themeFill="accent3"/>
      </w:tcPr>
    </w:tblStylePr>
    <w:tblStylePr w:type="lastRow">
      <w:pPr>
        <w:spacing w:before="0" w:after="0" w:line="240" w:lineRule="auto"/>
      </w:pPr>
      <w:rPr>
        <w:b/>
        <w:bCs/>
      </w:rPr>
      <w:tblPr/>
      <w:tcPr>
        <w:tcBorders>
          <w:top w:val="double" w:sz="6"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FAF9" w:themeFill="accent3" w:themeFillTint="3F"/>
      </w:tcPr>
    </w:tblStylePr>
    <w:tblStylePr w:type="band1Horz">
      <w:tblPr/>
      <w:tcPr>
        <w:tcBorders>
          <w:insideH w:val="nil"/>
          <w:insideV w:val="nil"/>
        </w:tcBorders>
        <w:shd w:val="clear" w:color="auto" w:fill="F4FAF9" w:themeFill="accent3" w:themeFillTint="3F"/>
      </w:tcPr>
    </w:tblStylePr>
    <w:tblStylePr w:type="band2Horz">
      <w:tblPr/>
      <w:tcPr>
        <w:tcBorders>
          <w:insideH w:val="nil"/>
          <w:insideV w:val="nil"/>
        </w:tcBorders>
      </w:tcPr>
    </w:tblStylePr>
  </w:style>
  <w:style w:type="table" w:customStyle="1" w:styleId="LightList-Accent451">
    <w:name w:val="Light List - Accent 451"/>
    <w:basedOn w:val="TableNormal"/>
    <w:next w:val="LightList-Accent4"/>
    <w:uiPriority w:val="61"/>
    <w:rsid w:val="00D61191"/>
    <w:pPr>
      <w:spacing w:before="120" w:after="0" w:line="240" w:lineRule="auto"/>
      <w:ind w:left="567"/>
      <w:jc w:val="both"/>
    </w:pPr>
    <w:tblPr>
      <w:tblStyleRowBandSize w:val="1"/>
      <w:tblStyleColBandSize w:val="1"/>
      <w:tblBorders>
        <w:top w:val="single" w:sz="8" w:space="0" w:color="2C9986" w:themeColor="accent4"/>
        <w:left w:val="single" w:sz="8" w:space="0" w:color="2C9986" w:themeColor="accent4"/>
        <w:bottom w:val="single" w:sz="8" w:space="0" w:color="2C9986" w:themeColor="accent4"/>
        <w:right w:val="single" w:sz="8" w:space="0" w:color="2C9986" w:themeColor="accent4"/>
      </w:tblBorders>
    </w:tblPr>
    <w:tblStylePr w:type="firstRow">
      <w:pPr>
        <w:spacing w:before="0" w:after="0" w:line="240" w:lineRule="auto"/>
      </w:pPr>
      <w:rPr>
        <w:b/>
        <w:bCs/>
        <w:color w:val="FFFFFF" w:themeColor="background1"/>
      </w:rPr>
      <w:tblPr/>
      <w:tcPr>
        <w:shd w:val="clear" w:color="auto" w:fill="2C9986" w:themeFill="accent4"/>
      </w:tcPr>
    </w:tblStylePr>
    <w:tblStylePr w:type="lastRow">
      <w:pPr>
        <w:spacing w:before="0" w:after="0" w:line="240" w:lineRule="auto"/>
      </w:pPr>
      <w:rPr>
        <w:b/>
        <w:bCs/>
      </w:rPr>
      <w:tblPr/>
      <w:tcPr>
        <w:tcBorders>
          <w:top w:val="double" w:sz="6" w:space="0" w:color="2C9986" w:themeColor="accent4"/>
          <w:left w:val="single" w:sz="8" w:space="0" w:color="2C9986" w:themeColor="accent4"/>
          <w:bottom w:val="single" w:sz="8" w:space="0" w:color="2C9986" w:themeColor="accent4"/>
          <w:right w:val="single" w:sz="8" w:space="0" w:color="2C9986" w:themeColor="accent4"/>
        </w:tcBorders>
      </w:tcPr>
    </w:tblStylePr>
    <w:tblStylePr w:type="firstCol">
      <w:rPr>
        <w:b/>
        <w:bCs/>
      </w:rPr>
    </w:tblStylePr>
    <w:tblStylePr w:type="lastCol">
      <w:rPr>
        <w:b/>
        <w:bCs/>
      </w:rPr>
    </w:tblStylePr>
    <w:tblStylePr w:type="band1Vert">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tblStylePr w:type="band1Horz">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style>
  <w:style w:type="table" w:customStyle="1" w:styleId="ColorfulGrid-Accent351">
    <w:name w:val="Colorful Grid - Accent 351"/>
    <w:basedOn w:val="TableNormal"/>
    <w:next w:val="ColorfulGrid-Accent3"/>
    <w:uiPriority w:val="73"/>
    <w:rsid w:val="00D61191"/>
    <w:pPr>
      <w:spacing w:before="120" w:after="0" w:line="240" w:lineRule="auto"/>
      <w:ind w:left="567"/>
      <w:jc w:val="both"/>
    </w:pPr>
    <w:rPr>
      <w:color w:val="000000" w:themeColor="text1"/>
    </w:rPr>
    <w:tblPr>
      <w:tblStyleRowBandSize w:val="1"/>
      <w:tblStyleColBandSize w:val="1"/>
      <w:tblBorders>
        <w:insideH w:val="single" w:sz="4" w:space="0" w:color="FFFFFF" w:themeColor="background1"/>
      </w:tblBorders>
    </w:tblPr>
    <w:tcPr>
      <w:shd w:val="clear" w:color="auto" w:fill="F6FBFA" w:themeFill="accent3" w:themeFillTint="33"/>
    </w:tcPr>
    <w:tblStylePr w:type="firstRow">
      <w:rPr>
        <w:b/>
        <w:bCs/>
      </w:rPr>
      <w:tblPr/>
      <w:tcPr>
        <w:shd w:val="clear" w:color="auto" w:fill="EEF7F5" w:themeFill="accent3" w:themeFillTint="66"/>
      </w:tcPr>
    </w:tblStylePr>
    <w:tblStylePr w:type="lastRow">
      <w:rPr>
        <w:b/>
        <w:bCs/>
        <w:color w:val="000000" w:themeColor="text1"/>
      </w:rPr>
      <w:tblPr/>
      <w:tcPr>
        <w:shd w:val="clear" w:color="auto" w:fill="EEF7F5" w:themeFill="accent3" w:themeFillTint="66"/>
      </w:tcPr>
    </w:tblStylePr>
    <w:tblStylePr w:type="firstCol">
      <w:rPr>
        <w:color w:val="FFFFFF" w:themeColor="background1"/>
      </w:rPr>
      <w:tblPr/>
      <w:tcPr>
        <w:shd w:val="clear" w:color="auto" w:fill="88C6BE" w:themeFill="accent3" w:themeFillShade="BF"/>
      </w:tcPr>
    </w:tblStylePr>
    <w:tblStylePr w:type="lastCol">
      <w:rPr>
        <w:color w:val="FFFFFF" w:themeColor="background1"/>
      </w:rPr>
      <w:tblPr/>
      <w:tcPr>
        <w:shd w:val="clear" w:color="auto" w:fill="88C6BE" w:themeFill="accent3" w:themeFillShade="BF"/>
      </w:tcPr>
    </w:tblStylePr>
    <w:tblStylePr w:type="band1Vert">
      <w:tblPr/>
      <w:tcPr>
        <w:shd w:val="clear" w:color="auto" w:fill="EAF5F3" w:themeFill="accent3" w:themeFillTint="7F"/>
      </w:tcPr>
    </w:tblStylePr>
    <w:tblStylePr w:type="band1Horz">
      <w:tblPr/>
      <w:tcPr>
        <w:shd w:val="clear" w:color="auto" w:fill="EAF5F3" w:themeFill="accent3" w:themeFillTint="7F"/>
      </w:tcPr>
    </w:tblStylePr>
  </w:style>
  <w:style w:type="table" w:customStyle="1" w:styleId="LightList-Accent351">
    <w:name w:val="Light List - Accent 351"/>
    <w:basedOn w:val="TableNormal"/>
    <w:next w:val="LightList-Accent3"/>
    <w:uiPriority w:val="61"/>
    <w:rsid w:val="00D61191"/>
    <w:pPr>
      <w:spacing w:before="120" w:after="0" w:line="240" w:lineRule="auto"/>
      <w:ind w:left="567"/>
      <w:jc w:val="both"/>
    </w:p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table" w:customStyle="1" w:styleId="GridTable1Light-Accent4131">
    <w:name w:val="Grid Table 1 Light - Accent 4131"/>
    <w:basedOn w:val="TableNormal"/>
    <w:uiPriority w:val="46"/>
    <w:rsid w:val="00D61191"/>
    <w:pPr>
      <w:spacing w:before="120" w:after="0" w:line="240" w:lineRule="auto"/>
      <w:ind w:left="567"/>
      <w:jc w:val="both"/>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TableGrid221">
    <w:name w:val="Table Grid221"/>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121">
    <w:name w:val="Colorful Grid - Accent 1121"/>
    <w:basedOn w:val="TableNormal"/>
    <w:next w:val="ColorfulGrid-Accent1"/>
    <w:rsid w:val="00D61191"/>
    <w:pPr>
      <w:spacing w:after="0" w:line="240" w:lineRule="auto"/>
    </w:pPr>
    <w:rPr>
      <w:rFonts w:ascii="Times New Roman" w:eastAsia="Times New Roman" w:hAnsi="Times New Roman" w:cs="Times New Roman"/>
      <w:sz w:val="20"/>
      <w:szCs w:val="20"/>
      <w:lang w:val="x-none" w:eastAsia="x-none" w:bidi="x-none"/>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121">
    <w:name w:val="Table-Grid121"/>
    <w:basedOn w:val="TableNormal"/>
    <w:uiPriority w:val="99"/>
    <w:rsid w:val="00D61191"/>
    <w:pPr>
      <w:spacing w:after="0" w:line="240" w:lineRule="auto"/>
    </w:pPr>
    <w:rPr>
      <w:rFonts w:ascii="Times New Roman" w:eastAsia="Times New Roman" w:hAnsi="Times New Roman" w:cs="Times New Roman"/>
      <w:sz w:val="20"/>
      <w:szCs w:val="20"/>
      <w:lang w:eastAsia="en-NZ"/>
    </w:rPr>
    <w:tblPr>
      <w:tblBorders>
        <w:top w:val="single" w:sz="6" w:space="0" w:color="808080"/>
        <w:bottom w:val="single" w:sz="6" w:space="0" w:color="808080"/>
      </w:tblBorders>
      <w:tblCellMar>
        <w:top w:w="57" w:type="dxa"/>
        <w:left w:w="85" w:type="dxa"/>
        <w:bottom w:w="57" w:type="dxa"/>
        <w:right w:w="0" w:type="dxa"/>
      </w:tblCellMar>
    </w:tblPr>
    <w:tcPr>
      <w:shd w:val="clear" w:color="auto" w:fill="FFFFFF"/>
    </w:tcPr>
  </w:style>
  <w:style w:type="table" w:customStyle="1" w:styleId="LightShading-Accent3121">
    <w:name w:val="Light Shading - Accent 3121"/>
    <w:basedOn w:val="TableNormal"/>
    <w:next w:val="LightShading-Accent3"/>
    <w:uiPriority w:val="60"/>
    <w:rsid w:val="00D61191"/>
    <w:pPr>
      <w:spacing w:after="0" w:line="240" w:lineRule="auto"/>
    </w:pPr>
    <w:rPr>
      <w:rFonts w:ascii="Calibri" w:eastAsia="Calibri" w:hAnsi="Calibri" w:cs="Times New Roman"/>
      <w:color w:val="76923C"/>
      <w:sz w:val="20"/>
      <w:szCs w:val="20"/>
      <w:lang w:eastAsia="en-NZ"/>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ColorfulList-Accent4121">
    <w:name w:val="Colorful List - Accent 4121"/>
    <w:basedOn w:val="TableNormal"/>
    <w:next w:val="ColorfulList-Accent4"/>
    <w:uiPriority w:val="72"/>
    <w:rsid w:val="00D61191"/>
    <w:pPr>
      <w:spacing w:after="0" w:line="240" w:lineRule="auto"/>
    </w:pPr>
    <w:rPr>
      <w:rFonts w:ascii="Calibri" w:eastAsia="Calibri" w:hAnsi="Calibri" w:cs="Times New Roman"/>
      <w:color w:val="000000"/>
      <w:sz w:val="20"/>
      <w:szCs w:val="20"/>
      <w:lang w:eastAsia="en-NZ"/>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MediumShading1-Accent3121">
    <w:name w:val="Medium Shading 1 - Accent 3121"/>
    <w:basedOn w:val="TableNormal"/>
    <w:next w:val="MediumShading1-Accent3"/>
    <w:uiPriority w:val="63"/>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List-Accent4121">
    <w:name w:val="Light List - Accent 4121"/>
    <w:basedOn w:val="TableNormal"/>
    <w:next w:val="LightList-Accent4"/>
    <w:uiPriority w:val="61"/>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ColorfulGrid-Accent3121">
    <w:name w:val="Colorful Grid - Accent 3121"/>
    <w:basedOn w:val="TableNormal"/>
    <w:next w:val="ColorfulGrid-Accent3"/>
    <w:uiPriority w:val="73"/>
    <w:rsid w:val="00D61191"/>
    <w:pPr>
      <w:spacing w:after="0" w:line="240" w:lineRule="auto"/>
    </w:pPr>
    <w:rPr>
      <w:rFonts w:ascii="Calibri" w:eastAsia="Calibri" w:hAnsi="Calibri" w:cs="Times New Roman"/>
      <w:color w:val="000000"/>
      <w:sz w:val="20"/>
      <w:szCs w:val="20"/>
      <w:lang w:eastAsia="en-NZ"/>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LightList-Accent3121">
    <w:name w:val="Light List - Accent 3121"/>
    <w:basedOn w:val="TableNormal"/>
    <w:next w:val="LightList-Accent3"/>
    <w:uiPriority w:val="61"/>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GridTable1LightAccent4121">
    <w:name w:val="Grid Table 1 Light Accent 4121"/>
    <w:basedOn w:val="TableNormal"/>
    <w:uiPriority w:val="46"/>
    <w:rsid w:val="00D61191"/>
    <w:pPr>
      <w:spacing w:after="0" w:line="240" w:lineRule="auto"/>
    </w:pPr>
    <w:rPr>
      <w:rFonts w:ascii="Calibri" w:eastAsia="Times New Roman" w:hAnsi="Calibri" w:cs="Times New Roman"/>
      <w:sz w:val="20"/>
      <w:szCs w:val="20"/>
      <w:lang w:eastAsia="en-NZ"/>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table" w:customStyle="1" w:styleId="TableGrid321">
    <w:name w:val="Table Grid321"/>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uiPriority w:val="59"/>
    <w:rsid w:val="00D61191"/>
    <w:pPr>
      <w:spacing w:after="0" w:line="240" w:lineRule="auto"/>
    </w:pPr>
    <w:rPr>
      <w:sz w:val="24"/>
      <w:szCs w:val="24"/>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21">
    <w:name w:val="Table Grid1121"/>
    <w:basedOn w:val="TableNormal"/>
    <w:next w:val="TableGrid"/>
    <w:uiPriority w:val="59"/>
    <w:rsid w:val="00D61191"/>
    <w:pPr>
      <w:spacing w:after="0" w:line="240" w:lineRule="auto"/>
    </w:pPr>
    <w:rPr>
      <w:rFonts w:ascii="Calibri" w:eastAsia="Calibri" w:hAnsi="Calibri" w:cs="Times New Roman"/>
      <w:sz w:val="24"/>
      <w:szCs w:val="24"/>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ColorfulList-Accent6121">
    <w:name w:val="Colorful List - Accent 6121"/>
    <w:basedOn w:val="TableNormal"/>
    <w:next w:val="ColorfulList-Accent6"/>
    <w:uiPriority w:val="72"/>
    <w:rsid w:val="00D61191"/>
    <w:pPr>
      <w:spacing w:before="120" w:after="0" w:line="240" w:lineRule="auto"/>
      <w:jc w:val="both"/>
    </w:pPr>
    <w:rPr>
      <w:rFonts w:ascii="Arial" w:eastAsia="Times New Roman" w:hAnsi="Arial" w:cs="Times New Roman"/>
      <w:color w:val="000000" w:themeColor="text1"/>
      <w:sz w:val="16"/>
      <w:szCs w:val="20"/>
      <w:lang w:eastAsia="en-NZ"/>
    </w:rPr>
    <w:tblPr>
      <w:tblStyleRowBandSize w:val="1"/>
      <w:tblStyleColBandSize w:val="1"/>
    </w:tblPr>
    <w:tcPr>
      <w:shd w:val="clear" w:color="auto" w:fill="FFFFFF" w:themeFill="background1"/>
    </w:tcPr>
    <w:tblStylePr w:type="firstRow">
      <w:rPr>
        <w:b/>
        <w:bCs/>
        <w:color w:val="FFFFFF" w:themeColor="background1"/>
      </w:rPr>
      <w:tblPr/>
      <w:tcPr>
        <w:tcBorders>
          <w:bottom w:val="single" w:sz="12" w:space="0" w:color="FFFFFF" w:themeColor="background1"/>
        </w:tcBorders>
        <w:shd w:val="clear" w:color="auto" w:fill="45B29E" w:themeFill="accent5" w:themeFillShade="CC"/>
      </w:tcPr>
    </w:tblStylePr>
    <w:tblStylePr w:type="lastRow">
      <w:rPr>
        <w:b/>
        <w:bCs/>
        <w:color w:val="45B29E" w:themeColor="accent5" w:themeShade="CC"/>
      </w:rPr>
      <w:tblPr/>
      <w:tcPr>
        <w:tcBorders>
          <w:top w:val="single" w:sz="12" w:space="0" w:color="000000" w:themeColor="text1"/>
        </w:tcBorders>
        <w:shd w:val="clear" w:color="auto" w:fill="FFFFFF" w:themeFill="background1"/>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table" w:customStyle="1" w:styleId="TableGrid521">
    <w:name w:val="Table Grid521"/>
    <w:basedOn w:val="TableNormal"/>
    <w:next w:val="TableGrid"/>
    <w:rsid w:val="00D61191"/>
    <w:pPr>
      <w:spacing w:before="120" w:after="0" w:line="240" w:lineRule="auto"/>
      <w:ind w:left="567"/>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221">
    <w:name w:val="Colorful Grid - Accent 1221"/>
    <w:basedOn w:val="TableNormal"/>
    <w:next w:val="ColorfulGrid-Accent1"/>
    <w:rsid w:val="00D61191"/>
    <w:pPr>
      <w:spacing w:before="120" w:after="0" w:line="240" w:lineRule="auto"/>
      <w:ind w:left="567"/>
      <w:jc w:val="both"/>
    </w:pPr>
    <w:rPr>
      <w:rFonts w:ascii="Times New Roman" w:eastAsia="Times New Roman" w:hAnsi="Times New Roman" w:cs="Times New Roman"/>
      <w:sz w:val="20"/>
      <w:szCs w:val="2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221">
    <w:name w:val="Table-Grid221"/>
    <w:basedOn w:val="TableNormal"/>
    <w:uiPriority w:val="99"/>
    <w:rsid w:val="00D61191"/>
    <w:pPr>
      <w:spacing w:before="120" w:after="0" w:line="240" w:lineRule="auto"/>
      <w:ind w:left="567"/>
      <w:jc w:val="both"/>
    </w:pPr>
    <w:rPr>
      <w:rFonts w:ascii="Times New Roman" w:eastAsia="Times New Roman" w:hAnsi="Times New Roman" w:cs="Times New Roman"/>
      <w:sz w:val="20"/>
      <w:szCs w:val="20"/>
    </w:rPr>
    <w:tblPr>
      <w:tblBorders>
        <w:top w:val="single" w:sz="6" w:space="0" w:color="808080" w:themeColor="background1" w:themeShade="80"/>
        <w:bottom w:val="single" w:sz="6" w:space="0" w:color="808080" w:themeColor="background1" w:themeShade="80"/>
      </w:tblBorders>
      <w:tblCellMar>
        <w:top w:w="57" w:type="dxa"/>
        <w:left w:w="85" w:type="dxa"/>
        <w:bottom w:w="57" w:type="dxa"/>
        <w:right w:w="0" w:type="dxa"/>
      </w:tblCellMar>
    </w:tblPr>
    <w:tcPr>
      <w:shd w:val="clear" w:color="auto" w:fill="FFFFFF" w:themeFill="background1"/>
    </w:tcPr>
  </w:style>
  <w:style w:type="table" w:customStyle="1" w:styleId="LightShading-Accent3221">
    <w:name w:val="Light Shading - Accent 3221"/>
    <w:basedOn w:val="TableNormal"/>
    <w:next w:val="LightShading-Accent3"/>
    <w:uiPriority w:val="60"/>
    <w:rsid w:val="00D61191"/>
    <w:pPr>
      <w:spacing w:before="120" w:after="0" w:line="240" w:lineRule="auto"/>
      <w:ind w:left="567"/>
      <w:jc w:val="both"/>
    </w:pPr>
    <w:rPr>
      <w:color w:val="88C6BE" w:themeColor="accent3" w:themeShade="BF"/>
    </w:rPr>
    <w:tblPr>
      <w:tblStyleRowBandSize w:val="1"/>
      <w:tblStyleColBandSize w:val="1"/>
      <w:tblBorders>
        <w:top w:val="single" w:sz="8" w:space="0" w:color="D5EBE8" w:themeColor="accent3"/>
        <w:bottom w:val="single" w:sz="8" w:space="0" w:color="D5EBE8" w:themeColor="accent3"/>
      </w:tblBorders>
    </w:tblPr>
    <w:tblStylePr w:type="fir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la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AF9" w:themeFill="accent3" w:themeFillTint="3F"/>
      </w:tcPr>
    </w:tblStylePr>
    <w:tblStylePr w:type="band1Horz">
      <w:tblPr/>
      <w:tcPr>
        <w:tcBorders>
          <w:left w:val="nil"/>
          <w:right w:val="nil"/>
          <w:insideH w:val="nil"/>
          <w:insideV w:val="nil"/>
        </w:tcBorders>
        <w:shd w:val="clear" w:color="auto" w:fill="F4FAF9" w:themeFill="accent3" w:themeFillTint="3F"/>
      </w:tcPr>
    </w:tblStylePr>
  </w:style>
  <w:style w:type="table" w:customStyle="1" w:styleId="ColorfulList-Accent4221">
    <w:name w:val="Colorful List - Accent 4221"/>
    <w:basedOn w:val="TableNormal"/>
    <w:next w:val="ColorfulList-Accent4"/>
    <w:uiPriority w:val="72"/>
    <w:rsid w:val="00D61191"/>
    <w:pPr>
      <w:spacing w:before="120" w:after="0" w:line="240" w:lineRule="auto"/>
      <w:ind w:left="567"/>
      <w:jc w:val="both"/>
    </w:pPr>
    <w:rPr>
      <w:color w:val="000000" w:themeColor="text1"/>
    </w:rPr>
    <w:tblPr>
      <w:tblStyleRowBandSize w:val="1"/>
      <w:tblStyleColBandSize w:val="1"/>
    </w:tblPr>
    <w:tcPr>
      <w:shd w:val="clear" w:color="auto" w:fill="E6F8F5" w:themeFill="accent4" w:themeFillTint="19"/>
    </w:tcPr>
    <w:tblStylePr w:type="firstRow">
      <w:rPr>
        <w:b/>
        <w:bCs/>
        <w:color w:val="FFFFFF" w:themeColor="background1"/>
      </w:rPr>
      <w:tblPr/>
      <w:tcPr>
        <w:tcBorders>
          <w:bottom w:val="single" w:sz="12" w:space="0" w:color="FFFFFF" w:themeColor="background1"/>
        </w:tcBorders>
        <w:shd w:val="clear" w:color="auto" w:fill="98CEC6" w:themeFill="accent3" w:themeFillShade="CC"/>
      </w:tcPr>
    </w:tblStylePr>
    <w:tblStylePr w:type="lastRow">
      <w:rPr>
        <w:b/>
        <w:bCs/>
        <w:color w:val="98C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EDE6" w:themeFill="accent4" w:themeFillTint="3F"/>
      </w:tcPr>
    </w:tblStylePr>
    <w:tblStylePr w:type="band1Horz">
      <w:tblPr/>
      <w:tcPr>
        <w:shd w:val="clear" w:color="auto" w:fill="CEF1EA" w:themeFill="accent4" w:themeFillTint="33"/>
      </w:tcPr>
    </w:tblStylePr>
  </w:style>
  <w:style w:type="table" w:customStyle="1" w:styleId="MediumShading1-Accent3221">
    <w:name w:val="Medium Shading 1 - Accent 3221"/>
    <w:basedOn w:val="TableNormal"/>
    <w:next w:val="MediumShading1-Accent3"/>
    <w:uiPriority w:val="63"/>
    <w:rsid w:val="00D61191"/>
    <w:pPr>
      <w:spacing w:before="120" w:after="0" w:line="240" w:lineRule="auto"/>
      <w:ind w:left="567"/>
      <w:jc w:val="both"/>
    </w:pPr>
    <w:tblPr>
      <w:tblStyleRowBandSize w:val="1"/>
      <w:tblStyleColBandSize w:val="1"/>
      <w:tbl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single" w:sz="8" w:space="0" w:color="DFF0ED" w:themeColor="accent3" w:themeTint="BF"/>
      </w:tblBorders>
    </w:tblPr>
    <w:tblStylePr w:type="firstRow">
      <w:pPr>
        <w:spacing w:before="0" w:after="0" w:line="240" w:lineRule="auto"/>
      </w:pPr>
      <w:rPr>
        <w:b/>
        <w:bCs/>
        <w:color w:val="FFFFFF" w:themeColor="background1"/>
      </w:rPr>
      <w:tblPr/>
      <w:tcPr>
        <w:tc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shd w:val="clear" w:color="auto" w:fill="D5EBE8" w:themeFill="accent3"/>
      </w:tcPr>
    </w:tblStylePr>
    <w:tblStylePr w:type="lastRow">
      <w:pPr>
        <w:spacing w:before="0" w:after="0" w:line="240" w:lineRule="auto"/>
      </w:pPr>
      <w:rPr>
        <w:b/>
        <w:bCs/>
      </w:rPr>
      <w:tblPr/>
      <w:tcPr>
        <w:tcBorders>
          <w:top w:val="double" w:sz="6"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FAF9" w:themeFill="accent3" w:themeFillTint="3F"/>
      </w:tcPr>
    </w:tblStylePr>
    <w:tblStylePr w:type="band1Horz">
      <w:tblPr/>
      <w:tcPr>
        <w:tcBorders>
          <w:insideH w:val="nil"/>
          <w:insideV w:val="nil"/>
        </w:tcBorders>
        <w:shd w:val="clear" w:color="auto" w:fill="F4FAF9" w:themeFill="accent3" w:themeFillTint="3F"/>
      </w:tcPr>
    </w:tblStylePr>
    <w:tblStylePr w:type="band2Horz">
      <w:tblPr/>
      <w:tcPr>
        <w:tcBorders>
          <w:insideH w:val="nil"/>
          <w:insideV w:val="nil"/>
        </w:tcBorders>
      </w:tcPr>
    </w:tblStylePr>
  </w:style>
  <w:style w:type="table" w:customStyle="1" w:styleId="LightList-Accent4221">
    <w:name w:val="Light List - Accent 4221"/>
    <w:basedOn w:val="TableNormal"/>
    <w:next w:val="LightList-Accent4"/>
    <w:uiPriority w:val="61"/>
    <w:rsid w:val="00D61191"/>
    <w:pPr>
      <w:spacing w:before="120" w:after="0" w:line="240" w:lineRule="auto"/>
      <w:ind w:left="567"/>
      <w:jc w:val="both"/>
    </w:pPr>
    <w:tblPr>
      <w:tblStyleRowBandSize w:val="1"/>
      <w:tblStyleColBandSize w:val="1"/>
      <w:tblBorders>
        <w:top w:val="single" w:sz="8" w:space="0" w:color="2C9986" w:themeColor="accent4"/>
        <w:left w:val="single" w:sz="8" w:space="0" w:color="2C9986" w:themeColor="accent4"/>
        <w:bottom w:val="single" w:sz="8" w:space="0" w:color="2C9986" w:themeColor="accent4"/>
        <w:right w:val="single" w:sz="8" w:space="0" w:color="2C9986" w:themeColor="accent4"/>
      </w:tblBorders>
    </w:tblPr>
    <w:tblStylePr w:type="firstRow">
      <w:pPr>
        <w:spacing w:before="0" w:after="0" w:line="240" w:lineRule="auto"/>
      </w:pPr>
      <w:rPr>
        <w:b/>
        <w:bCs/>
        <w:color w:val="FFFFFF" w:themeColor="background1"/>
      </w:rPr>
      <w:tblPr/>
      <w:tcPr>
        <w:shd w:val="clear" w:color="auto" w:fill="2C9986" w:themeFill="accent4"/>
      </w:tcPr>
    </w:tblStylePr>
    <w:tblStylePr w:type="lastRow">
      <w:pPr>
        <w:spacing w:before="0" w:after="0" w:line="240" w:lineRule="auto"/>
      </w:pPr>
      <w:rPr>
        <w:b/>
        <w:bCs/>
      </w:rPr>
      <w:tblPr/>
      <w:tcPr>
        <w:tcBorders>
          <w:top w:val="double" w:sz="6" w:space="0" w:color="2C9986" w:themeColor="accent4"/>
          <w:left w:val="single" w:sz="8" w:space="0" w:color="2C9986" w:themeColor="accent4"/>
          <w:bottom w:val="single" w:sz="8" w:space="0" w:color="2C9986" w:themeColor="accent4"/>
          <w:right w:val="single" w:sz="8" w:space="0" w:color="2C9986" w:themeColor="accent4"/>
        </w:tcBorders>
      </w:tcPr>
    </w:tblStylePr>
    <w:tblStylePr w:type="firstCol">
      <w:rPr>
        <w:b/>
        <w:bCs/>
      </w:rPr>
    </w:tblStylePr>
    <w:tblStylePr w:type="lastCol">
      <w:rPr>
        <w:b/>
        <w:bCs/>
      </w:rPr>
    </w:tblStylePr>
    <w:tblStylePr w:type="band1Vert">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tblStylePr w:type="band1Horz">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style>
  <w:style w:type="table" w:customStyle="1" w:styleId="ColorfulGrid-Accent3221">
    <w:name w:val="Colorful Grid - Accent 3221"/>
    <w:basedOn w:val="TableNormal"/>
    <w:next w:val="ColorfulGrid-Accent3"/>
    <w:uiPriority w:val="73"/>
    <w:rsid w:val="00D61191"/>
    <w:pPr>
      <w:spacing w:before="120" w:after="0" w:line="240" w:lineRule="auto"/>
      <w:ind w:left="567"/>
      <w:jc w:val="both"/>
    </w:pPr>
    <w:rPr>
      <w:color w:val="000000" w:themeColor="text1"/>
    </w:rPr>
    <w:tblPr>
      <w:tblStyleRowBandSize w:val="1"/>
      <w:tblStyleColBandSize w:val="1"/>
      <w:tblBorders>
        <w:insideH w:val="single" w:sz="4" w:space="0" w:color="FFFFFF" w:themeColor="background1"/>
      </w:tblBorders>
    </w:tblPr>
    <w:tcPr>
      <w:shd w:val="clear" w:color="auto" w:fill="F6FBFA" w:themeFill="accent3" w:themeFillTint="33"/>
    </w:tcPr>
    <w:tblStylePr w:type="firstRow">
      <w:rPr>
        <w:b/>
        <w:bCs/>
      </w:rPr>
      <w:tblPr/>
      <w:tcPr>
        <w:shd w:val="clear" w:color="auto" w:fill="EEF7F5" w:themeFill="accent3" w:themeFillTint="66"/>
      </w:tcPr>
    </w:tblStylePr>
    <w:tblStylePr w:type="lastRow">
      <w:rPr>
        <w:b/>
        <w:bCs/>
        <w:color w:val="000000" w:themeColor="text1"/>
      </w:rPr>
      <w:tblPr/>
      <w:tcPr>
        <w:shd w:val="clear" w:color="auto" w:fill="EEF7F5" w:themeFill="accent3" w:themeFillTint="66"/>
      </w:tcPr>
    </w:tblStylePr>
    <w:tblStylePr w:type="firstCol">
      <w:rPr>
        <w:color w:val="FFFFFF" w:themeColor="background1"/>
      </w:rPr>
      <w:tblPr/>
      <w:tcPr>
        <w:shd w:val="clear" w:color="auto" w:fill="88C6BE" w:themeFill="accent3" w:themeFillShade="BF"/>
      </w:tcPr>
    </w:tblStylePr>
    <w:tblStylePr w:type="lastCol">
      <w:rPr>
        <w:color w:val="FFFFFF" w:themeColor="background1"/>
      </w:rPr>
      <w:tblPr/>
      <w:tcPr>
        <w:shd w:val="clear" w:color="auto" w:fill="88C6BE" w:themeFill="accent3" w:themeFillShade="BF"/>
      </w:tcPr>
    </w:tblStylePr>
    <w:tblStylePr w:type="band1Vert">
      <w:tblPr/>
      <w:tcPr>
        <w:shd w:val="clear" w:color="auto" w:fill="EAF5F3" w:themeFill="accent3" w:themeFillTint="7F"/>
      </w:tcPr>
    </w:tblStylePr>
    <w:tblStylePr w:type="band1Horz">
      <w:tblPr/>
      <w:tcPr>
        <w:shd w:val="clear" w:color="auto" w:fill="EAF5F3" w:themeFill="accent3" w:themeFillTint="7F"/>
      </w:tcPr>
    </w:tblStylePr>
  </w:style>
  <w:style w:type="table" w:customStyle="1" w:styleId="LightList-Accent3221">
    <w:name w:val="Light List - Accent 3221"/>
    <w:basedOn w:val="TableNormal"/>
    <w:next w:val="LightList-Accent3"/>
    <w:uiPriority w:val="61"/>
    <w:rsid w:val="00D61191"/>
    <w:pPr>
      <w:spacing w:before="120" w:after="0" w:line="240" w:lineRule="auto"/>
      <w:ind w:left="567"/>
      <w:jc w:val="both"/>
    </w:p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table" w:customStyle="1" w:styleId="GridTable1LightAccent4221">
    <w:name w:val="Grid Table 1 Light Accent 4221"/>
    <w:basedOn w:val="TableNormal"/>
    <w:uiPriority w:val="46"/>
    <w:rsid w:val="00D61191"/>
    <w:pPr>
      <w:spacing w:before="120" w:after="0" w:line="240" w:lineRule="auto"/>
      <w:ind w:left="567"/>
      <w:jc w:val="both"/>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TableGrid621">
    <w:name w:val="Table Grid621"/>
    <w:basedOn w:val="TableNormal"/>
    <w:next w:val="TableGrid"/>
    <w:rsid w:val="00D6119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next w:val="TableGrid"/>
    <w:uiPriority w:val="59"/>
    <w:rsid w:val="00D61191"/>
    <w:pPr>
      <w:spacing w:after="0" w:line="240" w:lineRule="auto"/>
    </w:pPr>
    <w:rPr>
      <w:rFonts w:eastAsiaTheme="minorEastAsia"/>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41111">
    <w:name w:val="Grid Table 1 Light - Accent 41111"/>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GridTable1Light121">
    <w:name w:val="Grid Table 1 Light121"/>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161">
    <w:name w:val="Table Grid161"/>
    <w:basedOn w:val="TableNormal"/>
    <w:next w:val="TableGrid"/>
    <w:uiPriority w:val="59"/>
    <w:rsid w:val="00D61191"/>
    <w:pPr>
      <w:spacing w:after="0" w:line="240" w:lineRule="auto"/>
    </w:pPr>
    <w:rPr>
      <w:rFonts w:eastAsiaTheme="minorEastAsia"/>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4141">
    <w:name w:val="Grid Table 1 Light - Accent 4141"/>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table" w:customStyle="1" w:styleId="GridTable1Light131">
    <w:name w:val="Grid Table 1 Light131"/>
    <w:basedOn w:val="TableNormal"/>
    <w:uiPriority w:val="46"/>
    <w:rsid w:val="00D61191"/>
    <w:pPr>
      <w:spacing w:after="0" w:line="240" w:lineRule="auto"/>
    </w:pPr>
    <w:rPr>
      <w:rFonts w:eastAsiaTheme="minorEastAsia"/>
      <w:lang w:eastAsia="en-NZ"/>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ColorfulList-Accent641">
    <w:name w:val="Colorful List - Accent 641"/>
    <w:basedOn w:val="TableNormal"/>
    <w:next w:val="ColorfulList-Accent6"/>
    <w:uiPriority w:val="72"/>
    <w:rsid w:val="00D61191"/>
    <w:pPr>
      <w:spacing w:before="120" w:after="0" w:line="240" w:lineRule="auto"/>
      <w:jc w:val="both"/>
    </w:pPr>
    <w:rPr>
      <w:rFonts w:ascii="Arial" w:eastAsia="Times New Roman" w:hAnsi="Arial" w:cs="Times New Roman"/>
      <w:color w:val="000000" w:themeColor="text1"/>
      <w:sz w:val="16"/>
      <w:szCs w:val="20"/>
      <w:lang w:eastAsia="en-NZ"/>
    </w:rPr>
    <w:tblPr>
      <w:tblStyleRowBandSize w:val="1"/>
      <w:tblStyleColBandSize w:val="1"/>
    </w:tblPr>
    <w:tcPr>
      <w:shd w:val="clear" w:color="auto" w:fill="FFFFFF" w:themeFill="background1"/>
    </w:tcPr>
    <w:tblStylePr w:type="firstRow">
      <w:rPr>
        <w:b/>
        <w:bCs/>
        <w:color w:val="FFFFFF" w:themeColor="background1"/>
      </w:rPr>
      <w:tblPr/>
      <w:tcPr>
        <w:tcBorders>
          <w:bottom w:val="single" w:sz="12" w:space="0" w:color="FFFFFF" w:themeColor="background1"/>
        </w:tcBorders>
        <w:shd w:val="clear" w:color="auto" w:fill="45B29E" w:themeFill="accent5" w:themeFillShade="CC"/>
      </w:tcPr>
    </w:tblStylePr>
    <w:tblStylePr w:type="lastRow">
      <w:rPr>
        <w:b/>
        <w:bCs/>
        <w:color w:val="45B29E" w:themeColor="accent5" w:themeShade="CC"/>
      </w:rPr>
      <w:tblPr/>
      <w:tcPr>
        <w:tcBorders>
          <w:top w:val="single" w:sz="12" w:space="0" w:color="000000" w:themeColor="text1"/>
        </w:tcBorders>
        <w:shd w:val="clear" w:color="auto" w:fill="FFFFFF" w:themeFill="background1"/>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table" w:customStyle="1" w:styleId="TableGrid171">
    <w:name w:val="Table Grid171"/>
    <w:basedOn w:val="TableNormal"/>
    <w:next w:val="TableGrid"/>
    <w:rsid w:val="00D61191"/>
    <w:pPr>
      <w:spacing w:before="120" w:after="0" w:line="240" w:lineRule="auto"/>
      <w:ind w:left="567"/>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61">
    <w:name w:val="Colorful Grid - Accent 161"/>
    <w:basedOn w:val="TableNormal"/>
    <w:next w:val="ColorfulGrid-Accent1"/>
    <w:rsid w:val="00D61191"/>
    <w:pPr>
      <w:spacing w:before="120" w:after="0" w:line="240" w:lineRule="auto"/>
      <w:ind w:left="567"/>
      <w:jc w:val="both"/>
    </w:pPr>
    <w:rPr>
      <w:rFonts w:ascii="Times New Roman" w:eastAsia="Times New Roman" w:hAnsi="Times New Roman" w:cs="Times New Roman"/>
      <w:sz w:val="20"/>
      <w:szCs w:val="2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61">
    <w:name w:val="Table-Grid61"/>
    <w:basedOn w:val="TableNormal"/>
    <w:uiPriority w:val="99"/>
    <w:rsid w:val="00D61191"/>
    <w:pPr>
      <w:spacing w:before="120" w:after="0" w:line="240" w:lineRule="auto"/>
      <w:ind w:left="567"/>
      <w:jc w:val="both"/>
    </w:pPr>
    <w:rPr>
      <w:rFonts w:ascii="Times New Roman" w:eastAsia="Times New Roman" w:hAnsi="Times New Roman" w:cs="Times New Roman"/>
      <w:sz w:val="20"/>
      <w:szCs w:val="20"/>
    </w:rPr>
    <w:tblPr>
      <w:tblBorders>
        <w:top w:val="single" w:sz="6" w:space="0" w:color="808080" w:themeColor="background1" w:themeShade="80"/>
        <w:bottom w:val="single" w:sz="6" w:space="0" w:color="808080" w:themeColor="background1" w:themeShade="80"/>
      </w:tblBorders>
      <w:tblCellMar>
        <w:top w:w="57" w:type="dxa"/>
        <w:left w:w="85" w:type="dxa"/>
        <w:bottom w:w="57" w:type="dxa"/>
        <w:right w:w="0" w:type="dxa"/>
      </w:tblCellMar>
    </w:tblPr>
    <w:tcPr>
      <w:shd w:val="clear" w:color="auto" w:fill="FFFFFF" w:themeFill="background1"/>
    </w:tcPr>
  </w:style>
  <w:style w:type="table" w:customStyle="1" w:styleId="LightShading-Accent361">
    <w:name w:val="Light Shading - Accent 361"/>
    <w:basedOn w:val="TableNormal"/>
    <w:next w:val="LightShading-Accent3"/>
    <w:uiPriority w:val="60"/>
    <w:rsid w:val="00D61191"/>
    <w:pPr>
      <w:spacing w:before="120" w:after="0" w:line="240" w:lineRule="auto"/>
      <w:ind w:left="567"/>
      <w:jc w:val="both"/>
    </w:pPr>
    <w:rPr>
      <w:color w:val="88C6BE" w:themeColor="accent3" w:themeShade="BF"/>
    </w:rPr>
    <w:tblPr>
      <w:tblStyleRowBandSize w:val="1"/>
      <w:tblStyleColBandSize w:val="1"/>
      <w:tblBorders>
        <w:top w:val="single" w:sz="8" w:space="0" w:color="D5EBE8" w:themeColor="accent3"/>
        <w:bottom w:val="single" w:sz="8" w:space="0" w:color="D5EBE8" w:themeColor="accent3"/>
      </w:tblBorders>
    </w:tblPr>
    <w:tblStylePr w:type="fir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lastRow">
      <w:pPr>
        <w:spacing w:before="0" w:after="0" w:line="240" w:lineRule="auto"/>
      </w:pPr>
      <w:rPr>
        <w:b/>
        <w:bCs/>
      </w:rPr>
      <w:tblPr/>
      <w:tcPr>
        <w:tcBorders>
          <w:top w:val="single" w:sz="8" w:space="0" w:color="D5EBE8" w:themeColor="accent3"/>
          <w:left w:val="nil"/>
          <w:bottom w:val="single" w:sz="8" w:space="0" w:color="D5EBE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AF9" w:themeFill="accent3" w:themeFillTint="3F"/>
      </w:tcPr>
    </w:tblStylePr>
    <w:tblStylePr w:type="band1Horz">
      <w:tblPr/>
      <w:tcPr>
        <w:tcBorders>
          <w:left w:val="nil"/>
          <w:right w:val="nil"/>
          <w:insideH w:val="nil"/>
          <w:insideV w:val="nil"/>
        </w:tcBorders>
        <w:shd w:val="clear" w:color="auto" w:fill="F4FAF9" w:themeFill="accent3" w:themeFillTint="3F"/>
      </w:tcPr>
    </w:tblStylePr>
  </w:style>
  <w:style w:type="table" w:customStyle="1" w:styleId="ColorfulList-Accent461">
    <w:name w:val="Colorful List - Accent 461"/>
    <w:basedOn w:val="TableNormal"/>
    <w:next w:val="ColorfulList-Accent4"/>
    <w:uiPriority w:val="72"/>
    <w:rsid w:val="00D61191"/>
    <w:pPr>
      <w:spacing w:before="120" w:after="0" w:line="240" w:lineRule="auto"/>
      <w:ind w:left="567"/>
      <w:jc w:val="both"/>
    </w:pPr>
    <w:rPr>
      <w:color w:val="000000" w:themeColor="text1"/>
    </w:rPr>
    <w:tblPr>
      <w:tblStyleRowBandSize w:val="1"/>
      <w:tblStyleColBandSize w:val="1"/>
    </w:tblPr>
    <w:tcPr>
      <w:shd w:val="clear" w:color="auto" w:fill="E6F8F5" w:themeFill="accent4" w:themeFillTint="19"/>
    </w:tcPr>
    <w:tblStylePr w:type="firstRow">
      <w:rPr>
        <w:b/>
        <w:bCs/>
        <w:color w:val="FFFFFF" w:themeColor="background1"/>
      </w:rPr>
      <w:tblPr/>
      <w:tcPr>
        <w:tcBorders>
          <w:bottom w:val="single" w:sz="12" w:space="0" w:color="FFFFFF" w:themeColor="background1"/>
        </w:tcBorders>
        <w:shd w:val="clear" w:color="auto" w:fill="98CEC6" w:themeFill="accent3" w:themeFillShade="CC"/>
      </w:tcPr>
    </w:tblStylePr>
    <w:tblStylePr w:type="lastRow">
      <w:rPr>
        <w:b/>
        <w:bCs/>
        <w:color w:val="98C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EDE6" w:themeFill="accent4" w:themeFillTint="3F"/>
      </w:tcPr>
    </w:tblStylePr>
    <w:tblStylePr w:type="band1Horz">
      <w:tblPr/>
      <w:tcPr>
        <w:shd w:val="clear" w:color="auto" w:fill="CEF1EA" w:themeFill="accent4" w:themeFillTint="33"/>
      </w:tcPr>
    </w:tblStylePr>
  </w:style>
  <w:style w:type="table" w:customStyle="1" w:styleId="MediumShading1-Accent361">
    <w:name w:val="Medium Shading 1 - Accent 361"/>
    <w:basedOn w:val="TableNormal"/>
    <w:next w:val="MediumShading1-Accent3"/>
    <w:uiPriority w:val="63"/>
    <w:rsid w:val="00D61191"/>
    <w:pPr>
      <w:spacing w:before="120" w:after="0" w:line="240" w:lineRule="auto"/>
      <w:ind w:left="567"/>
      <w:jc w:val="both"/>
    </w:pPr>
    <w:tblPr>
      <w:tblStyleRowBandSize w:val="1"/>
      <w:tblStyleColBandSize w:val="1"/>
      <w:tbl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single" w:sz="8" w:space="0" w:color="DFF0ED" w:themeColor="accent3" w:themeTint="BF"/>
      </w:tblBorders>
    </w:tblPr>
    <w:tblStylePr w:type="firstRow">
      <w:pPr>
        <w:spacing w:before="0" w:after="0" w:line="240" w:lineRule="auto"/>
      </w:pPr>
      <w:rPr>
        <w:b/>
        <w:bCs/>
        <w:color w:val="FFFFFF" w:themeColor="background1"/>
      </w:rPr>
      <w:tblPr/>
      <w:tcPr>
        <w:tcBorders>
          <w:top w:val="single" w:sz="8"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shd w:val="clear" w:color="auto" w:fill="D5EBE8" w:themeFill="accent3"/>
      </w:tcPr>
    </w:tblStylePr>
    <w:tblStylePr w:type="lastRow">
      <w:pPr>
        <w:spacing w:before="0" w:after="0" w:line="240" w:lineRule="auto"/>
      </w:pPr>
      <w:rPr>
        <w:b/>
        <w:bCs/>
      </w:rPr>
      <w:tblPr/>
      <w:tcPr>
        <w:tcBorders>
          <w:top w:val="double" w:sz="6" w:space="0" w:color="DFF0ED" w:themeColor="accent3" w:themeTint="BF"/>
          <w:left w:val="single" w:sz="8" w:space="0" w:color="DFF0ED" w:themeColor="accent3" w:themeTint="BF"/>
          <w:bottom w:val="single" w:sz="8" w:space="0" w:color="DFF0ED" w:themeColor="accent3" w:themeTint="BF"/>
          <w:right w:val="single" w:sz="8" w:space="0" w:color="DFF0E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FAF9" w:themeFill="accent3" w:themeFillTint="3F"/>
      </w:tcPr>
    </w:tblStylePr>
    <w:tblStylePr w:type="band1Horz">
      <w:tblPr/>
      <w:tcPr>
        <w:tcBorders>
          <w:insideH w:val="nil"/>
          <w:insideV w:val="nil"/>
        </w:tcBorders>
        <w:shd w:val="clear" w:color="auto" w:fill="F4FAF9" w:themeFill="accent3" w:themeFillTint="3F"/>
      </w:tcPr>
    </w:tblStylePr>
    <w:tblStylePr w:type="band2Horz">
      <w:tblPr/>
      <w:tcPr>
        <w:tcBorders>
          <w:insideH w:val="nil"/>
          <w:insideV w:val="nil"/>
        </w:tcBorders>
      </w:tcPr>
    </w:tblStylePr>
  </w:style>
  <w:style w:type="table" w:customStyle="1" w:styleId="LightList-Accent461">
    <w:name w:val="Light List - Accent 461"/>
    <w:basedOn w:val="TableNormal"/>
    <w:next w:val="LightList-Accent4"/>
    <w:uiPriority w:val="61"/>
    <w:rsid w:val="00D61191"/>
    <w:pPr>
      <w:spacing w:before="120" w:after="0" w:line="240" w:lineRule="auto"/>
      <w:ind w:left="567"/>
      <w:jc w:val="both"/>
    </w:pPr>
    <w:tblPr>
      <w:tblStyleRowBandSize w:val="1"/>
      <w:tblStyleColBandSize w:val="1"/>
      <w:tblBorders>
        <w:top w:val="single" w:sz="8" w:space="0" w:color="2C9986" w:themeColor="accent4"/>
        <w:left w:val="single" w:sz="8" w:space="0" w:color="2C9986" w:themeColor="accent4"/>
        <w:bottom w:val="single" w:sz="8" w:space="0" w:color="2C9986" w:themeColor="accent4"/>
        <w:right w:val="single" w:sz="8" w:space="0" w:color="2C9986" w:themeColor="accent4"/>
      </w:tblBorders>
    </w:tblPr>
    <w:tblStylePr w:type="firstRow">
      <w:pPr>
        <w:spacing w:before="0" w:after="0" w:line="240" w:lineRule="auto"/>
      </w:pPr>
      <w:rPr>
        <w:b/>
        <w:bCs/>
        <w:color w:val="FFFFFF" w:themeColor="background1"/>
      </w:rPr>
      <w:tblPr/>
      <w:tcPr>
        <w:shd w:val="clear" w:color="auto" w:fill="2C9986" w:themeFill="accent4"/>
      </w:tcPr>
    </w:tblStylePr>
    <w:tblStylePr w:type="lastRow">
      <w:pPr>
        <w:spacing w:before="0" w:after="0" w:line="240" w:lineRule="auto"/>
      </w:pPr>
      <w:rPr>
        <w:b/>
        <w:bCs/>
      </w:rPr>
      <w:tblPr/>
      <w:tcPr>
        <w:tcBorders>
          <w:top w:val="double" w:sz="6" w:space="0" w:color="2C9986" w:themeColor="accent4"/>
          <w:left w:val="single" w:sz="8" w:space="0" w:color="2C9986" w:themeColor="accent4"/>
          <w:bottom w:val="single" w:sz="8" w:space="0" w:color="2C9986" w:themeColor="accent4"/>
          <w:right w:val="single" w:sz="8" w:space="0" w:color="2C9986" w:themeColor="accent4"/>
        </w:tcBorders>
      </w:tcPr>
    </w:tblStylePr>
    <w:tblStylePr w:type="firstCol">
      <w:rPr>
        <w:b/>
        <w:bCs/>
      </w:rPr>
    </w:tblStylePr>
    <w:tblStylePr w:type="lastCol">
      <w:rPr>
        <w:b/>
        <w:bCs/>
      </w:rPr>
    </w:tblStylePr>
    <w:tblStylePr w:type="band1Vert">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tblStylePr w:type="band1Horz">
      <w:tblPr/>
      <w:tcPr>
        <w:tcBorders>
          <w:top w:val="single" w:sz="8" w:space="0" w:color="2C9986" w:themeColor="accent4"/>
          <w:left w:val="single" w:sz="8" w:space="0" w:color="2C9986" w:themeColor="accent4"/>
          <w:bottom w:val="single" w:sz="8" w:space="0" w:color="2C9986" w:themeColor="accent4"/>
          <w:right w:val="single" w:sz="8" w:space="0" w:color="2C9986" w:themeColor="accent4"/>
        </w:tcBorders>
      </w:tcPr>
    </w:tblStylePr>
  </w:style>
  <w:style w:type="table" w:customStyle="1" w:styleId="ColorfulGrid-Accent361">
    <w:name w:val="Colorful Grid - Accent 361"/>
    <w:basedOn w:val="TableNormal"/>
    <w:next w:val="ColorfulGrid-Accent3"/>
    <w:uiPriority w:val="73"/>
    <w:rsid w:val="00D61191"/>
    <w:pPr>
      <w:spacing w:before="120" w:after="0" w:line="240" w:lineRule="auto"/>
      <w:ind w:left="567"/>
      <w:jc w:val="both"/>
    </w:pPr>
    <w:rPr>
      <w:color w:val="000000" w:themeColor="text1"/>
    </w:rPr>
    <w:tblPr>
      <w:tblStyleRowBandSize w:val="1"/>
      <w:tblStyleColBandSize w:val="1"/>
      <w:tblBorders>
        <w:insideH w:val="single" w:sz="4" w:space="0" w:color="FFFFFF" w:themeColor="background1"/>
      </w:tblBorders>
    </w:tblPr>
    <w:tcPr>
      <w:shd w:val="clear" w:color="auto" w:fill="F6FBFA" w:themeFill="accent3" w:themeFillTint="33"/>
    </w:tcPr>
    <w:tblStylePr w:type="firstRow">
      <w:rPr>
        <w:b/>
        <w:bCs/>
      </w:rPr>
      <w:tblPr/>
      <w:tcPr>
        <w:shd w:val="clear" w:color="auto" w:fill="EEF7F5" w:themeFill="accent3" w:themeFillTint="66"/>
      </w:tcPr>
    </w:tblStylePr>
    <w:tblStylePr w:type="lastRow">
      <w:rPr>
        <w:b/>
        <w:bCs/>
        <w:color w:val="000000" w:themeColor="text1"/>
      </w:rPr>
      <w:tblPr/>
      <w:tcPr>
        <w:shd w:val="clear" w:color="auto" w:fill="EEF7F5" w:themeFill="accent3" w:themeFillTint="66"/>
      </w:tcPr>
    </w:tblStylePr>
    <w:tblStylePr w:type="firstCol">
      <w:rPr>
        <w:color w:val="FFFFFF" w:themeColor="background1"/>
      </w:rPr>
      <w:tblPr/>
      <w:tcPr>
        <w:shd w:val="clear" w:color="auto" w:fill="88C6BE" w:themeFill="accent3" w:themeFillShade="BF"/>
      </w:tcPr>
    </w:tblStylePr>
    <w:tblStylePr w:type="lastCol">
      <w:rPr>
        <w:color w:val="FFFFFF" w:themeColor="background1"/>
      </w:rPr>
      <w:tblPr/>
      <w:tcPr>
        <w:shd w:val="clear" w:color="auto" w:fill="88C6BE" w:themeFill="accent3" w:themeFillShade="BF"/>
      </w:tcPr>
    </w:tblStylePr>
    <w:tblStylePr w:type="band1Vert">
      <w:tblPr/>
      <w:tcPr>
        <w:shd w:val="clear" w:color="auto" w:fill="EAF5F3" w:themeFill="accent3" w:themeFillTint="7F"/>
      </w:tcPr>
    </w:tblStylePr>
    <w:tblStylePr w:type="band1Horz">
      <w:tblPr/>
      <w:tcPr>
        <w:shd w:val="clear" w:color="auto" w:fill="EAF5F3" w:themeFill="accent3" w:themeFillTint="7F"/>
      </w:tcPr>
    </w:tblStylePr>
  </w:style>
  <w:style w:type="table" w:customStyle="1" w:styleId="LightList-Accent361">
    <w:name w:val="Light List - Accent 361"/>
    <w:basedOn w:val="TableNormal"/>
    <w:next w:val="LightList-Accent3"/>
    <w:uiPriority w:val="61"/>
    <w:rsid w:val="00D61191"/>
    <w:pPr>
      <w:spacing w:before="120" w:after="0" w:line="240" w:lineRule="auto"/>
      <w:ind w:left="567"/>
      <w:jc w:val="both"/>
    </w:p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table" w:customStyle="1" w:styleId="GridTable1LightAccent451">
    <w:name w:val="Grid Table 1 Light Accent 451"/>
    <w:basedOn w:val="TableNormal"/>
    <w:uiPriority w:val="46"/>
    <w:rsid w:val="00D61191"/>
    <w:pPr>
      <w:spacing w:before="120" w:after="0" w:line="240" w:lineRule="auto"/>
      <w:ind w:left="567"/>
      <w:jc w:val="both"/>
    </w:pPr>
    <w:rPr>
      <w:rFonts w:eastAsiaTheme="minorEastAsia"/>
      <w:lang w:eastAsia="en-NZ"/>
    </w:rPr>
    <w:tblPr>
      <w:tblStyleRowBandSize w:val="1"/>
      <w:tblStyleColBandSize w:val="1"/>
      <w:tblBorders>
        <w:top w:val="single" w:sz="4" w:space="0" w:color="9DE3D6" w:themeColor="accent4" w:themeTint="66"/>
        <w:left w:val="single" w:sz="4" w:space="0" w:color="9DE3D6" w:themeColor="accent4" w:themeTint="66"/>
        <w:bottom w:val="single" w:sz="4" w:space="0" w:color="9DE3D6" w:themeColor="accent4" w:themeTint="66"/>
        <w:right w:val="single" w:sz="4" w:space="0" w:color="9DE3D6" w:themeColor="accent4" w:themeTint="66"/>
        <w:insideH w:val="single" w:sz="4" w:space="0" w:color="9DE3D6" w:themeColor="accent4" w:themeTint="66"/>
        <w:insideV w:val="single" w:sz="4" w:space="0" w:color="9DE3D6" w:themeColor="accent4" w:themeTint="66"/>
      </w:tblBorders>
    </w:tblPr>
    <w:tblStylePr w:type="firstRow">
      <w:rPr>
        <w:b/>
        <w:bCs/>
      </w:rPr>
      <w:tblPr/>
      <w:tcPr>
        <w:tcBorders>
          <w:bottom w:val="single" w:sz="12" w:space="0" w:color="6DD5C2" w:themeColor="accent4" w:themeTint="99"/>
        </w:tcBorders>
      </w:tcPr>
    </w:tblStylePr>
    <w:tblStylePr w:type="lastRow">
      <w:rPr>
        <w:b/>
        <w:bCs/>
      </w:rPr>
      <w:tblPr/>
      <w:tcPr>
        <w:tcBorders>
          <w:top w:val="double" w:sz="2" w:space="0" w:color="6DD5C2" w:themeColor="accent4" w:themeTint="99"/>
        </w:tcBorders>
      </w:tcPr>
    </w:tblStylePr>
    <w:tblStylePr w:type="firstCol">
      <w:rPr>
        <w:b/>
        <w:bCs/>
      </w:rPr>
    </w:tblStylePr>
    <w:tblStylePr w:type="lastCol">
      <w:rPr>
        <w:b/>
        <w:bCs/>
      </w:rPr>
    </w:tblStylePr>
  </w:style>
  <w:style w:type="paragraph" w:customStyle="1" w:styleId="Tabletext0">
    <w:name w:val="Table text"/>
    <w:basedOn w:val="Normal"/>
    <w:uiPriority w:val="16"/>
    <w:rsid w:val="00D61191"/>
    <w:pPr>
      <w:tabs>
        <w:tab w:val="left" w:pos="567"/>
      </w:tabs>
      <w:spacing w:before="0" w:after="0" w:line="240" w:lineRule="auto"/>
      <w:jc w:val="left"/>
    </w:pPr>
    <w:rPr>
      <w:rFonts w:ascii="Verdana" w:eastAsia="Times New Roman" w:hAnsi="Verdana" w:cs="Times New Roman"/>
      <w:sz w:val="18"/>
      <w:szCs w:val="24"/>
      <w:lang w:eastAsia="en-US"/>
    </w:rPr>
  </w:style>
  <w:style w:type="table" w:customStyle="1" w:styleId="TableGrid110">
    <w:name w:val="Table Grid110"/>
    <w:basedOn w:val="TableNormal"/>
    <w:next w:val="TableGrid"/>
    <w:rsid w:val="00D61191"/>
    <w:pPr>
      <w:spacing w:after="0" w:line="240" w:lineRule="auto"/>
    </w:pPr>
    <w:rPr>
      <w:rFonts w:ascii="Calibri" w:eastAsia="Calibri" w:hAnsi="Calibri" w:cs="Times New Roman"/>
      <w:sz w:val="24"/>
      <w:szCs w:val="24"/>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4">
    <w:name w:val="Table Grid114"/>
    <w:basedOn w:val="TableNormal"/>
    <w:next w:val="TableGrid"/>
    <w:rsid w:val="00D61191"/>
    <w:pPr>
      <w:spacing w:after="0" w:line="240" w:lineRule="auto"/>
    </w:pPr>
    <w:rPr>
      <w:rFonts w:ascii="Calibri" w:eastAsia="Calibri" w:hAnsi="Calibri" w:cs="Times New Roman"/>
      <w:sz w:val="24"/>
      <w:szCs w:val="24"/>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page-intro">
    <w:name w:val="page-intro"/>
    <w:basedOn w:val="Normal"/>
    <w:uiPriority w:val="99"/>
    <w:semiHidden/>
    <w:rsid w:val="00D61191"/>
    <w:pP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TablesText">
    <w:name w:val="Tables Text"/>
    <w:basedOn w:val="Normal"/>
    <w:semiHidden/>
    <w:rsid w:val="00D61191"/>
    <w:pPr>
      <w:spacing w:before="0" w:after="0" w:line="240" w:lineRule="auto"/>
      <w:jc w:val="left"/>
    </w:pPr>
    <w:rPr>
      <w:rFonts w:ascii="Arial Narrow" w:eastAsiaTheme="minorHAnsi" w:hAnsi="Arial Narrow" w:cs="Calibri"/>
      <w:sz w:val="20"/>
      <w:szCs w:val="20"/>
      <w:lang w:eastAsia="en-US"/>
    </w:rPr>
  </w:style>
  <w:style w:type="table" w:customStyle="1" w:styleId="MinistryfortheEnvironment">
    <w:name w:val="Ministry for the Environment"/>
    <w:basedOn w:val="TableNormal"/>
    <w:uiPriority w:val="99"/>
    <w:rsid w:val="00D61191"/>
    <w:pPr>
      <w:spacing w:after="0" w:line="240" w:lineRule="auto"/>
    </w:pPr>
    <w:rPr>
      <w:rFonts w:ascii="Calibri" w:eastAsia="Calibri" w:hAnsi="Calibri" w:cs="Times New Roman"/>
      <w:sz w:val="20"/>
      <w:szCs w:val="20"/>
      <w:lang w:eastAsia="en-NZ"/>
    </w:rPr>
    <w:tblPr>
      <w:tblBorders>
        <w:bottom w:val="single" w:sz="4" w:space="0" w:color="1B556B" w:themeColor="text2"/>
        <w:insideH w:val="single" w:sz="4" w:space="0" w:color="1B556B" w:themeColor="text2"/>
        <w:insideV w:val="single" w:sz="4" w:space="0" w:color="1B556B" w:themeColor="text2"/>
      </w:tblBorders>
      <w:tblCellMar>
        <w:bottom w:w="57" w:type="dxa"/>
      </w:tblCellMar>
    </w:tblPr>
    <w:tblStylePr w:type="firstRow">
      <w:rPr>
        <w:b/>
        <w:color w:val="FFFFFF" w:themeColor="background1"/>
      </w:rPr>
      <w:tblPr/>
      <w:tcPr>
        <w:shd w:val="clear" w:color="auto" w:fill="1B556B" w:themeFill="text2"/>
      </w:tcPr>
    </w:tblStylePr>
  </w:style>
  <w:style w:type="table" w:customStyle="1" w:styleId="CaseStudy">
    <w:name w:val="Case Study"/>
    <w:basedOn w:val="TableNormal"/>
    <w:uiPriority w:val="99"/>
    <w:rsid w:val="00D61191"/>
    <w:pPr>
      <w:spacing w:after="0" w:line="240" w:lineRule="auto"/>
    </w:pPr>
    <w:tblPr>
      <w:tblCellMar>
        <w:top w:w="113" w:type="dxa"/>
        <w:left w:w="284" w:type="dxa"/>
        <w:bottom w:w="113" w:type="dxa"/>
        <w:right w:w="284" w:type="dxa"/>
      </w:tblCellMar>
    </w:tblPr>
    <w:tcPr>
      <w:shd w:val="clear" w:color="auto" w:fill="CFE5E5"/>
    </w:tcPr>
    <w:tblStylePr w:type="firstRow">
      <w:rPr>
        <w:b/>
        <w:i w:val="0"/>
        <w:caps/>
        <w:smallCaps w:val="0"/>
        <w:color w:val="FFFFFF" w:themeColor="background1"/>
        <w:sz w:val="24"/>
      </w:rPr>
      <w:tblPr/>
      <w:tcPr>
        <w:shd w:val="clear" w:color="auto" w:fill="0F7B7D"/>
      </w:tcPr>
    </w:tblStylePr>
  </w:style>
  <w:style w:type="paragraph" w:customStyle="1" w:styleId="PullQuote">
    <w:name w:val="Pull Quote"/>
    <w:basedOn w:val="BodyText"/>
    <w:uiPriority w:val="6"/>
    <w:semiHidden/>
    <w:qFormat/>
    <w:rsid w:val="00D61191"/>
    <w:pPr>
      <w:spacing w:before="0" w:after="200"/>
      <w:ind w:left="283" w:right="284"/>
      <w:jc w:val="both"/>
    </w:pPr>
    <w:rPr>
      <w:rFonts w:eastAsia="Times New Roman" w:cs="Times New Roman"/>
      <w:color w:val="FFFFFF" w:themeColor="background1"/>
      <w:sz w:val="24"/>
      <w:szCs w:val="24"/>
    </w:rPr>
  </w:style>
  <w:style w:type="table" w:customStyle="1" w:styleId="BlueBox">
    <w:name w:val="Blue Box"/>
    <w:basedOn w:val="TableNormal"/>
    <w:uiPriority w:val="99"/>
    <w:rsid w:val="00D61191"/>
    <w:pPr>
      <w:spacing w:after="0" w:line="240" w:lineRule="auto"/>
    </w:pPr>
    <w:tblPr/>
    <w:tcPr>
      <w:shd w:val="clear" w:color="auto" w:fill="D2DDE2"/>
    </w:tcPr>
  </w:style>
  <w:style w:type="character" w:customStyle="1" w:styleId="CaptionChar">
    <w:name w:val="Caption Char"/>
    <w:aliases w:val="Caption MFAT Char"/>
    <w:basedOn w:val="DefaultParagraphFont"/>
    <w:link w:val="Caption"/>
    <w:rsid w:val="00D61191"/>
    <w:rPr>
      <w:rFonts w:ascii="Times New Roman" w:eastAsia="Times New Roman" w:hAnsi="Times New Roman" w:cs="Times New Roman"/>
      <w:b/>
      <w:bCs/>
      <w:color w:val="1C556C" w:themeColor="accent1"/>
      <w:sz w:val="18"/>
      <w:szCs w:val="18"/>
    </w:rPr>
  </w:style>
  <w:style w:type="table" w:customStyle="1" w:styleId="StyleNIR">
    <w:name w:val="Style_NIR"/>
    <w:basedOn w:val="TableNormal"/>
    <w:uiPriority w:val="99"/>
    <w:rsid w:val="00D61191"/>
    <w:pPr>
      <w:spacing w:before="120" w:after="0" w:line="240" w:lineRule="auto"/>
      <w:jc w:val="both"/>
    </w:pPr>
    <w:rPr>
      <w:rFonts w:ascii="Arial" w:eastAsia="Times New Roman" w:hAnsi="Arial" w:cs="Times New Roman"/>
      <w:sz w:val="16"/>
      <w:szCs w:val="20"/>
      <w:lang w:eastAsia="en-NZ"/>
    </w:rPr>
    <w:tblPr/>
    <w:tblStylePr w:type="firstRow">
      <w:rPr>
        <w:rFonts w:ascii="Arial" w:hAnsi="Arial"/>
        <w:b/>
      </w:rPr>
      <w:tblPr/>
      <w:tcPr>
        <w:shd w:val="clear" w:color="auto" w:fill="FFFFFF" w:themeFill="background1"/>
      </w:tcPr>
    </w:tblStylePr>
  </w:style>
  <w:style w:type="table" w:customStyle="1" w:styleId="StyleNIR1">
    <w:name w:val="Style_NIR1"/>
    <w:basedOn w:val="TableNormal"/>
    <w:uiPriority w:val="99"/>
    <w:rsid w:val="00D61191"/>
    <w:pPr>
      <w:spacing w:before="120" w:after="0" w:line="240" w:lineRule="auto"/>
      <w:jc w:val="both"/>
    </w:pPr>
    <w:rPr>
      <w:rFonts w:ascii="Arial" w:eastAsia="Times New Roman" w:hAnsi="Arial" w:cs="Times New Roman"/>
      <w:sz w:val="16"/>
      <w:szCs w:val="20"/>
      <w:lang w:eastAsia="en-NZ"/>
    </w:rPr>
    <w:tblPr/>
    <w:tblStylePr w:type="firstRow">
      <w:rPr>
        <w:rFonts w:ascii="Arial" w:hAnsi="Arial"/>
        <w:b/>
      </w:rPr>
      <w:tblPr/>
      <w:tcPr>
        <w:shd w:val="clear" w:color="auto" w:fill="FFFFFF" w:themeFill="background1"/>
      </w:tcPr>
    </w:tblStylePr>
  </w:style>
  <w:style w:type="table" w:customStyle="1" w:styleId="StyleNIR2">
    <w:name w:val="Style_NIR2"/>
    <w:basedOn w:val="TableNormal"/>
    <w:uiPriority w:val="99"/>
    <w:rsid w:val="00D61191"/>
    <w:pPr>
      <w:spacing w:before="120" w:after="0" w:line="240" w:lineRule="auto"/>
      <w:jc w:val="both"/>
    </w:pPr>
    <w:rPr>
      <w:rFonts w:ascii="Arial" w:eastAsia="Times New Roman" w:hAnsi="Arial" w:cs="Times New Roman"/>
      <w:sz w:val="16"/>
      <w:szCs w:val="20"/>
      <w:lang w:eastAsia="en-NZ"/>
    </w:rPr>
    <w:tblPr/>
    <w:tblStylePr w:type="firstRow">
      <w:rPr>
        <w:rFonts w:ascii="Arial" w:hAnsi="Arial"/>
        <w:b/>
      </w:rPr>
      <w:tblPr/>
      <w:tcPr>
        <w:shd w:val="clear" w:color="auto" w:fill="FFFFFF" w:themeFill="background1"/>
      </w:tcPr>
    </w:tblStylePr>
  </w:style>
  <w:style w:type="table" w:customStyle="1" w:styleId="StyleNIR11">
    <w:name w:val="Style_NIR11"/>
    <w:basedOn w:val="TableNormal"/>
    <w:uiPriority w:val="99"/>
    <w:rsid w:val="00D61191"/>
    <w:pPr>
      <w:spacing w:before="120" w:after="0" w:line="240" w:lineRule="auto"/>
      <w:jc w:val="both"/>
    </w:pPr>
    <w:rPr>
      <w:rFonts w:ascii="Arial" w:eastAsia="Times New Roman" w:hAnsi="Arial" w:cs="Times New Roman"/>
      <w:sz w:val="16"/>
      <w:szCs w:val="20"/>
      <w:lang w:eastAsia="en-NZ"/>
    </w:rPr>
    <w:tblPr/>
    <w:tblStylePr w:type="firstRow">
      <w:rPr>
        <w:rFonts w:ascii="Arial" w:hAnsi="Arial"/>
        <w:b/>
      </w:rPr>
      <w:tblPr/>
      <w:tcPr>
        <w:shd w:val="clear" w:color="auto" w:fill="FFFFFF" w:themeFill="background1"/>
      </w:tcPr>
    </w:tblStylePr>
  </w:style>
  <w:style w:type="table" w:customStyle="1" w:styleId="StyleNIR3">
    <w:name w:val="Style_NIR3"/>
    <w:basedOn w:val="TableNormal"/>
    <w:uiPriority w:val="99"/>
    <w:rsid w:val="00D61191"/>
    <w:pPr>
      <w:spacing w:before="120" w:after="0" w:line="240" w:lineRule="auto"/>
      <w:jc w:val="both"/>
    </w:pPr>
    <w:rPr>
      <w:rFonts w:ascii="Arial" w:eastAsia="Times New Roman" w:hAnsi="Arial" w:cs="Times New Roman"/>
      <w:sz w:val="16"/>
      <w:szCs w:val="20"/>
      <w:lang w:eastAsia="en-NZ"/>
    </w:rPr>
    <w:tblPr/>
    <w:tblStylePr w:type="firstRow">
      <w:rPr>
        <w:rFonts w:ascii="Arial" w:hAnsi="Arial"/>
        <w:b/>
      </w:rPr>
      <w:tblPr/>
      <w:tcPr>
        <w:shd w:val="clear" w:color="auto" w:fill="FFFFFF" w:themeFill="background1"/>
      </w:tcPr>
    </w:tblStylePr>
  </w:style>
  <w:style w:type="table" w:customStyle="1" w:styleId="StyleNIR12">
    <w:name w:val="Style_NIR12"/>
    <w:basedOn w:val="TableNormal"/>
    <w:uiPriority w:val="99"/>
    <w:rsid w:val="00D61191"/>
    <w:pPr>
      <w:spacing w:before="120" w:after="0" w:line="240" w:lineRule="auto"/>
      <w:jc w:val="both"/>
    </w:pPr>
    <w:rPr>
      <w:rFonts w:ascii="Arial" w:eastAsia="Times New Roman" w:hAnsi="Arial" w:cs="Times New Roman"/>
      <w:sz w:val="16"/>
      <w:szCs w:val="20"/>
      <w:lang w:eastAsia="en-NZ"/>
    </w:rPr>
    <w:tblPr/>
    <w:tblStylePr w:type="firstRow">
      <w:rPr>
        <w:rFonts w:ascii="Arial" w:hAnsi="Arial"/>
        <w:b/>
      </w:rPr>
      <w:tblPr/>
      <w:tcPr>
        <w:shd w:val="clear" w:color="auto" w:fill="FFFFFF" w:themeFill="background1"/>
      </w:tcPr>
    </w:tblStylePr>
  </w:style>
  <w:style w:type="table" w:customStyle="1" w:styleId="StyleNIR13">
    <w:name w:val="Style_NIR13"/>
    <w:basedOn w:val="TableNormal"/>
    <w:uiPriority w:val="99"/>
    <w:rsid w:val="00D61191"/>
    <w:pPr>
      <w:spacing w:before="120" w:after="0" w:line="240" w:lineRule="auto"/>
      <w:jc w:val="both"/>
    </w:pPr>
    <w:rPr>
      <w:rFonts w:ascii="Arial" w:eastAsia="Times New Roman" w:hAnsi="Arial" w:cs="Times New Roman"/>
      <w:sz w:val="16"/>
      <w:szCs w:val="20"/>
      <w:lang w:eastAsia="en-NZ"/>
    </w:rPr>
    <w:tblPr/>
    <w:tblStylePr w:type="firstRow">
      <w:rPr>
        <w:rFonts w:ascii="Arial" w:hAnsi="Arial"/>
        <w:b/>
      </w:rPr>
      <w:tblPr/>
      <w:tcPr>
        <w:shd w:val="clear" w:color="auto" w:fill="FFFFFF" w:themeFill="background1"/>
      </w:tcPr>
    </w:tblStylePr>
  </w:style>
  <w:style w:type="table" w:customStyle="1" w:styleId="StyleNIR21">
    <w:name w:val="Style_NIR21"/>
    <w:basedOn w:val="TableNormal"/>
    <w:uiPriority w:val="99"/>
    <w:rsid w:val="00D61191"/>
    <w:pPr>
      <w:spacing w:before="120" w:after="0" w:line="240" w:lineRule="auto"/>
      <w:jc w:val="both"/>
    </w:pPr>
    <w:rPr>
      <w:rFonts w:ascii="Arial" w:eastAsia="Times New Roman" w:hAnsi="Arial" w:cs="Times New Roman"/>
      <w:sz w:val="16"/>
      <w:szCs w:val="20"/>
      <w:lang w:eastAsia="en-NZ"/>
    </w:rPr>
    <w:tblPr/>
    <w:tblStylePr w:type="firstRow">
      <w:rPr>
        <w:rFonts w:ascii="Arial" w:hAnsi="Arial"/>
        <w:b/>
      </w:rPr>
      <w:tblPr/>
      <w:tcPr>
        <w:shd w:val="clear" w:color="auto" w:fill="FFFFFF" w:themeFill="background1"/>
      </w:tcPr>
    </w:tblStylePr>
  </w:style>
  <w:style w:type="table" w:customStyle="1" w:styleId="StyleNIR111">
    <w:name w:val="Style_NIR111"/>
    <w:basedOn w:val="TableNormal"/>
    <w:uiPriority w:val="99"/>
    <w:rsid w:val="00D61191"/>
    <w:pPr>
      <w:spacing w:before="120" w:after="0" w:line="240" w:lineRule="auto"/>
      <w:jc w:val="both"/>
    </w:pPr>
    <w:rPr>
      <w:rFonts w:ascii="Arial" w:eastAsia="Times New Roman" w:hAnsi="Arial" w:cs="Times New Roman"/>
      <w:sz w:val="16"/>
      <w:szCs w:val="20"/>
      <w:lang w:eastAsia="en-NZ"/>
    </w:rPr>
    <w:tblPr/>
    <w:tblStylePr w:type="firstRow">
      <w:rPr>
        <w:rFonts w:ascii="Arial" w:hAnsi="Arial"/>
        <w:b/>
      </w:rPr>
      <w:tblPr/>
      <w:tcPr>
        <w:shd w:val="clear" w:color="auto" w:fill="FFFFFF" w:themeFill="background1"/>
      </w:tcPr>
    </w:tblStylePr>
  </w:style>
  <w:style w:type="table" w:customStyle="1" w:styleId="StyleNIR31">
    <w:name w:val="Style_NIR31"/>
    <w:basedOn w:val="TableNormal"/>
    <w:uiPriority w:val="99"/>
    <w:rsid w:val="00D61191"/>
    <w:pPr>
      <w:spacing w:before="120" w:after="0" w:line="240" w:lineRule="auto"/>
      <w:jc w:val="both"/>
    </w:pPr>
    <w:rPr>
      <w:rFonts w:ascii="Arial" w:eastAsia="Times New Roman" w:hAnsi="Arial" w:cs="Times New Roman"/>
      <w:sz w:val="16"/>
      <w:szCs w:val="20"/>
      <w:lang w:eastAsia="en-NZ"/>
    </w:rPr>
    <w:tblPr/>
    <w:tblStylePr w:type="firstRow">
      <w:rPr>
        <w:rFonts w:ascii="Arial" w:hAnsi="Arial"/>
        <w:b/>
      </w:rPr>
      <w:tblPr/>
      <w:tcPr>
        <w:shd w:val="clear" w:color="auto" w:fill="FFFFFF" w:themeFill="background1"/>
      </w:tcPr>
    </w:tblStylePr>
  </w:style>
  <w:style w:type="table" w:customStyle="1" w:styleId="StyleNIR121">
    <w:name w:val="Style_NIR121"/>
    <w:basedOn w:val="TableNormal"/>
    <w:uiPriority w:val="99"/>
    <w:rsid w:val="00D61191"/>
    <w:pPr>
      <w:spacing w:before="120" w:after="0" w:line="240" w:lineRule="auto"/>
      <w:jc w:val="both"/>
    </w:pPr>
    <w:rPr>
      <w:rFonts w:ascii="Arial" w:eastAsia="Times New Roman" w:hAnsi="Arial" w:cs="Times New Roman"/>
      <w:sz w:val="16"/>
      <w:szCs w:val="20"/>
      <w:lang w:eastAsia="en-NZ"/>
    </w:rPr>
    <w:tblPr/>
    <w:tblStylePr w:type="firstRow">
      <w:rPr>
        <w:rFonts w:ascii="Arial" w:hAnsi="Arial"/>
        <w:b/>
      </w:rPr>
      <w:tblPr/>
      <w:tcPr>
        <w:shd w:val="clear" w:color="auto" w:fill="FFFFFF" w:themeFill="background1"/>
      </w:tcPr>
    </w:tblStylePr>
  </w:style>
  <w:style w:type="table" w:customStyle="1" w:styleId="StyleNIR41">
    <w:name w:val="Style_NIR41"/>
    <w:basedOn w:val="TableNormal"/>
    <w:uiPriority w:val="99"/>
    <w:rsid w:val="00D61191"/>
    <w:pPr>
      <w:spacing w:before="120" w:after="0" w:line="240" w:lineRule="auto"/>
      <w:jc w:val="both"/>
    </w:pPr>
    <w:rPr>
      <w:rFonts w:ascii="Arial" w:eastAsia="Times New Roman" w:hAnsi="Arial" w:cs="Times New Roman"/>
      <w:sz w:val="16"/>
      <w:szCs w:val="20"/>
      <w:lang w:eastAsia="en-NZ"/>
    </w:rPr>
    <w:tblPr/>
    <w:tblStylePr w:type="firstRow">
      <w:rPr>
        <w:rFonts w:ascii="Arial" w:hAnsi="Arial"/>
        <w:b/>
      </w:rPr>
      <w:tblPr/>
      <w:tcPr>
        <w:shd w:val="clear" w:color="auto" w:fill="FFFFFF" w:themeFill="background1"/>
      </w:tcPr>
    </w:tblStylePr>
  </w:style>
  <w:style w:type="paragraph" w:customStyle="1" w:styleId="Heading1notTOC">
    <w:name w:val="Heading 1 not TOC"/>
    <w:basedOn w:val="Heading1"/>
    <w:semiHidden/>
    <w:qFormat/>
    <w:rsid w:val="00D61191"/>
    <w:pPr>
      <w:spacing w:line="240" w:lineRule="auto"/>
      <w:ind w:left="851" w:hanging="851"/>
    </w:pPr>
  </w:style>
  <w:style w:type="paragraph" w:customStyle="1" w:styleId="Heading2notforTOC">
    <w:name w:val="Heading 2 not for TOC"/>
    <w:basedOn w:val="Heading2"/>
    <w:qFormat/>
    <w:rsid w:val="006E0393"/>
  </w:style>
  <w:style w:type="table" w:styleId="ListTable3-Accent1">
    <w:name w:val="List Table 3 Accent 1"/>
    <w:basedOn w:val="TableNormal"/>
    <w:uiPriority w:val="48"/>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4" w:space="0" w:color="1C556C" w:themeColor="accent1"/>
        <w:left w:val="single" w:sz="4" w:space="0" w:color="1C556C" w:themeColor="accent1"/>
        <w:bottom w:val="single" w:sz="4" w:space="0" w:color="1C556C" w:themeColor="accent1"/>
        <w:right w:val="single" w:sz="4" w:space="0" w:color="1C556C" w:themeColor="accent1"/>
      </w:tblBorders>
    </w:tblPr>
    <w:tblStylePr w:type="firstRow">
      <w:rPr>
        <w:b/>
        <w:bCs/>
        <w:color w:val="FFFFFF" w:themeColor="background1"/>
      </w:rPr>
      <w:tblPr/>
      <w:tcPr>
        <w:shd w:val="clear" w:color="auto" w:fill="1C556C" w:themeFill="accent1"/>
      </w:tcPr>
    </w:tblStylePr>
    <w:tblStylePr w:type="lastRow">
      <w:rPr>
        <w:b/>
        <w:bCs/>
      </w:rPr>
      <w:tblPr/>
      <w:tcPr>
        <w:tcBorders>
          <w:top w:val="double" w:sz="4" w:space="0" w:color="1C556C"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C556C" w:themeColor="accent1"/>
          <w:right w:val="single" w:sz="4" w:space="0" w:color="1C556C" w:themeColor="accent1"/>
        </w:tcBorders>
      </w:tcPr>
    </w:tblStylePr>
    <w:tblStylePr w:type="band1Horz">
      <w:tblPr/>
      <w:tcPr>
        <w:tcBorders>
          <w:top w:val="single" w:sz="4" w:space="0" w:color="1C556C" w:themeColor="accent1"/>
          <w:bottom w:val="single" w:sz="4" w:space="0" w:color="1C556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556C" w:themeColor="accent1"/>
          <w:left w:val="nil"/>
        </w:tcBorders>
      </w:tcPr>
    </w:tblStylePr>
    <w:tblStylePr w:type="swCell">
      <w:tblPr/>
      <w:tcPr>
        <w:tcBorders>
          <w:top w:val="double" w:sz="4" w:space="0" w:color="1C556C" w:themeColor="accent1"/>
          <w:right w:val="nil"/>
        </w:tcBorders>
      </w:tcPr>
    </w:tblStylePr>
  </w:style>
  <w:style w:type="table" w:styleId="GridTable4-Accent2">
    <w:name w:val="Grid Table 4 Accent 2"/>
    <w:basedOn w:val="TableNormal"/>
    <w:uiPriority w:val="49"/>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4" w:space="0" w:color="74B9D2" w:themeColor="accent2" w:themeTint="99"/>
        <w:left w:val="single" w:sz="4" w:space="0" w:color="74B9D2" w:themeColor="accent2" w:themeTint="99"/>
        <w:bottom w:val="single" w:sz="4" w:space="0" w:color="74B9D2" w:themeColor="accent2" w:themeTint="99"/>
        <w:right w:val="single" w:sz="4" w:space="0" w:color="74B9D2" w:themeColor="accent2" w:themeTint="99"/>
        <w:insideH w:val="single" w:sz="4" w:space="0" w:color="74B9D2" w:themeColor="accent2" w:themeTint="99"/>
        <w:insideV w:val="single" w:sz="4" w:space="0" w:color="74B9D2" w:themeColor="accent2" w:themeTint="99"/>
      </w:tblBorders>
    </w:tblPr>
    <w:tblStylePr w:type="firstRow">
      <w:rPr>
        <w:b/>
        <w:bCs/>
        <w:color w:val="FFFFFF" w:themeColor="background1"/>
      </w:rPr>
      <w:tblPr/>
      <w:tcPr>
        <w:tcBorders>
          <w:top w:val="single" w:sz="4" w:space="0" w:color="32809C" w:themeColor="accent2"/>
          <w:left w:val="single" w:sz="4" w:space="0" w:color="32809C" w:themeColor="accent2"/>
          <w:bottom w:val="single" w:sz="4" w:space="0" w:color="32809C" w:themeColor="accent2"/>
          <w:right w:val="single" w:sz="4" w:space="0" w:color="32809C" w:themeColor="accent2"/>
          <w:insideH w:val="nil"/>
          <w:insideV w:val="nil"/>
        </w:tcBorders>
        <w:shd w:val="clear" w:color="auto" w:fill="32809C" w:themeFill="accent2"/>
      </w:tcPr>
    </w:tblStylePr>
    <w:tblStylePr w:type="lastRow">
      <w:rPr>
        <w:b/>
        <w:bCs/>
      </w:rPr>
      <w:tblPr/>
      <w:tcPr>
        <w:tcBorders>
          <w:top w:val="double" w:sz="4" w:space="0" w:color="32809C" w:themeColor="accent2"/>
        </w:tcBorders>
      </w:tcPr>
    </w:tblStylePr>
    <w:tblStylePr w:type="firstCol">
      <w:rPr>
        <w:b/>
        <w:bCs/>
      </w:rPr>
    </w:tblStylePr>
    <w:tblStylePr w:type="lastCol">
      <w:rPr>
        <w:b/>
        <w:bCs/>
      </w:rPr>
    </w:tblStylePr>
    <w:tblStylePr w:type="band1Vert">
      <w:tblPr/>
      <w:tcPr>
        <w:shd w:val="clear" w:color="auto" w:fill="D0E7F0" w:themeFill="accent2" w:themeFillTint="33"/>
      </w:tcPr>
    </w:tblStylePr>
    <w:tblStylePr w:type="band1Horz">
      <w:tblPr/>
      <w:tcPr>
        <w:shd w:val="clear" w:color="auto" w:fill="D0E7F0" w:themeFill="accent2" w:themeFillTint="33"/>
      </w:tcPr>
    </w:tblStylePr>
  </w:style>
  <w:style w:type="table" w:styleId="GridTable4-Accent1">
    <w:name w:val="Grid Table 4 Accent 1"/>
    <w:basedOn w:val="TableNormal"/>
    <w:uiPriority w:val="49"/>
    <w:rsid w:val="00D61191"/>
    <w:pPr>
      <w:spacing w:after="0" w:line="240" w:lineRule="auto"/>
    </w:pPr>
    <w:rPr>
      <w:rFonts w:ascii="Calibri" w:eastAsia="Calibri" w:hAnsi="Calibri" w:cs="Times New Roman"/>
      <w:sz w:val="20"/>
      <w:szCs w:val="20"/>
      <w:lang w:eastAsia="en-NZ"/>
    </w:rPr>
    <w:tblPr>
      <w:tblStyleRowBandSize w:val="1"/>
      <w:tblStyleColBandSize w:val="1"/>
      <w:tblBorders>
        <w:top w:val="single" w:sz="4" w:space="0" w:color="4CAAD0" w:themeColor="accent1" w:themeTint="99"/>
        <w:left w:val="single" w:sz="4" w:space="0" w:color="4CAAD0" w:themeColor="accent1" w:themeTint="99"/>
        <w:bottom w:val="single" w:sz="4" w:space="0" w:color="4CAAD0" w:themeColor="accent1" w:themeTint="99"/>
        <w:right w:val="single" w:sz="4" w:space="0" w:color="4CAAD0" w:themeColor="accent1" w:themeTint="99"/>
        <w:insideH w:val="single" w:sz="4" w:space="0" w:color="4CAAD0" w:themeColor="accent1" w:themeTint="99"/>
        <w:insideV w:val="single" w:sz="4" w:space="0" w:color="4CAAD0" w:themeColor="accent1" w:themeTint="99"/>
      </w:tblBorders>
    </w:tblPr>
    <w:tblStylePr w:type="firstRow">
      <w:rPr>
        <w:b/>
        <w:bCs/>
        <w:color w:val="FFFFFF" w:themeColor="background1"/>
      </w:rPr>
      <w:tblPr/>
      <w:tcPr>
        <w:tcBorders>
          <w:top w:val="single" w:sz="4" w:space="0" w:color="1C556C" w:themeColor="accent1"/>
          <w:left w:val="single" w:sz="4" w:space="0" w:color="1C556C" w:themeColor="accent1"/>
          <w:bottom w:val="single" w:sz="4" w:space="0" w:color="1C556C" w:themeColor="accent1"/>
          <w:right w:val="single" w:sz="4" w:space="0" w:color="1C556C" w:themeColor="accent1"/>
          <w:insideH w:val="nil"/>
          <w:insideV w:val="nil"/>
        </w:tcBorders>
        <w:shd w:val="clear" w:color="auto" w:fill="1C556C" w:themeFill="accent1"/>
      </w:tcPr>
    </w:tblStylePr>
    <w:tblStylePr w:type="lastRow">
      <w:rPr>
        <w:b/>
        <w:bCs/>
      </w:rPr>
      <w:tblPr/>
      <w:tcPr>
        <w:tcBorders>
          <w:top w:val="double" w:sz="4" w:space="0" w:color="1C556C" w:themeColor="accent1"/>
        </w:tcBorders>
      </w:tcPr>
    </w:tblStylePr>
    <w:tblStylePr w:type="firstCol">
      <w:rPr>
        <w:b/>
        <w:bCs/>
      </w:rPr>
    </w:tblStylePr>
    <w:tblStylePr w:type="lastCol">
      <w:rPr>
        <w:b/>
        <w:bCs/>
      </w:rPr>
    </w:tblStylePr>
    <w:tblStylePr w:type="band1Vert">
      <w:tblPr/>
      <w:tcPr>
        <w:shd w:val="clear" w:color="auto" w:fill="C3E2EF" w:themeFill="accent1" w:themeFillTint="33"/>
      </w:tcPr>
    </w:tblStylePr>
    <w:tblStylePr w:type="band1Horz">
      <w:tblPr/>
      <w:tcPr>
        <w:shd w:val="clear" w:color="auto" w:fill="C3E2EF" w:themeFill="accent1" w:themeFillTint="33"/>
      </w:tcPr>
    </w:tblStylePr>
  </w:style>
  <w:style w:type="paragraph" w:styleId="ListBullet">
    <w:name w:val="List Bullet"/>
    <w:aliases w:val="MFAT List Bullet"/>
    <w:basedOn w:val="Normal"/>
    <w:qFormat/>
    <w:rsid w:val="00D61191"/>
    <w:pPr>
      <w:numPr>
        <w:numId w:val="19"/>
      </w:numPr>
      <w:contextualSpacing/>
    </w:pPr>
    <w:rPr>
      <w:rFonts w:eastAsia="Times New Roman" w:cs="Times New Roman"/>
    </w:rPr>
  </w:style>
  <w:style w:type="paragraph" w:styleId="ListNumber">
    <w:name w:val="List Number"/>
    <w:aliases w:val="MFAT List Number"/>
    <w:basedOn w:val="Normal"/>
    <w:uiPriority w:val="99"/>
    <w:qFormat/>
    <w:rsid w:val="00D61191"/>
    <w:pPr>
      <w:numPr>
        <w:numId w:val="20"/>
      </w:numPr>
      <w:contextualSpacing/>
    </w:pPr>
    <w:rPr>
      <w:rFonts w:eastAsia="Times New Roman" w:cs="Times New Roman"/>
    </w:rPr>
  </w:style>
  <w:style w:type="paragraph" w:customStyle="1" w:styleId="Blockquote">
    <w:name w:val="Blockquote"/>
    <w:basedOn w:val="Normal"/>
    <w:semiHidden/>
    <w:rsid w:val="00D61191"/>
    <w:pPr>
      <w:spacing w:before="0" w:after="0" w:line="240" w:lineRule="auto"/>
      <w:ind w:left="567" w:right="567"/>
      <w:jc w:val="left"/>
    </w:pPr>
    <w:rPr>
      <w:rFonts w:eastAsia="Times New Roman" w:cs="Times New Roman"/>
      <w:i/>
      <w:sz w:val="20"/>
    </w:rPr>
  </w:style>
  <w:style w:type="paragraph" w:customStyle="1" w:styleId="Box">
    <w:name w:val="Box"/>
    <w:basedOn w:val="Normal"/>
    <w:next w:val="Normal"/>
    <w:uiPriority w:val="2"/>
    <w:semiHidden/>
    <w:rsid w:val="00D61191"/>
    <w:pPr>
      <w:pBdr>
        <w:top w:val="single" w:sz="6" w:space="15" w:color="auto"/>
        <w:left w:val="single" w:sz="6" w:space="15" w:color="auto"/>
        <w:bottom w:val="single" w:sz="6" w:space="15" w:color="auto"/>
        <w:right w:val="single" w:sz="6" w:space="15" w:color="auto"/>
      </w:pBdr>
      <w:spacing w:before="0" w:after="0" w:line="240" w:lineRule="auto"/>
      <w:ind w:right="284"/>
      <w:jc w:val="left"/>
    </w:pPr>
    <w:rPr>
      <w:rFonts w:eastAsia="Times New Roman" w:cs="Times New Roman"/>
      <w:sz w:val="20"/>
    </w:rPr>
  </w:style>
  <w:style w:type="paragraph" w:customStyle="1" w:styleId="ContentsHeading">
    <w:name w:val="ContentsHeading"/>
    <w:basedOn w:val="Heading"/>
    <w:next w:val="BodyText"/>
    <w:uiPriority w:val="2"/>
    <w:semiHidden/>
    <w:rsid w:val="00D61191"/>
    <w:pPr>
      <w:pBdr>
        <w:bottom w:val="single" w:sz="4" w:space="4" w:color="365F91"/>
      </w:pBdr>
      <w:tabs>
        <w:tab w:val="clear" w:pos="851"/>
      </w:tabs>
      <w:spacing w:after="480" w:line="240" w:lineRule="auto"/>
      <w:outlineLvl w:val="9"/>
    </w:pPr>
    <w:rPr>
      <w:rFonts w:eastAsia="Times New Roman" w:cs="Times New Roman"/>
      <w:szCs w:val="22"/>
    </w:rPr>
  </w:style>
  <w:style w:type="character" w:customStyle="1" w:styleId="CommentSubjectChar1">
    <w:name w:val="Comment Subject Char1"/>
    <w:aliases w:val="Char5 Char1"/>
    <w:basedOn w:val="CommentTextChar"/>
    <w:uiPriority w:val="99"/>
    <w:semiHidden/>
    <w:rsid w:val="00D61191"/>
    <w:rPr>
      <w:rFonts w:ascii="Calibri" w:eastAsia="Times New Roman" w:hAnsi="Calibri" w:cs="Times New Roman"/>
      <w:b/>
      <w:bCs/>
      <w:sz w:val="20"/>
      <w:szCs w:val="20"/>
      <w:lang w:eastAsia="en-NZ"/>
    </w:rPr>
  </w:style>
  <w:style w:type="paragraph" w:styleId="BodyText2">
    <w:name w:val="Body Text 2"/>
    <w:aliases w:val=" Char4,Char4"/>
    <w:basedOn w:val="Normal"/>
    <w:link w:val="BodyText2Char"/>
    <w:semiHidden/>
    <w:rsid w:val="00D61191"/>
    <w:pPr>
      <w:spacing w:before="0" w:line="480" w:lineRule="auto"/>
      <w:jc w:val="left"/>
    </w:pPr>
    <w:rPr>
      <w:rFonts w:ascii="Times New Roman" w:eastAsia="Times New Roman" w:hAnsi="Times New Roman" w:cs="Times New Roman"/>
      <w:lang w:eastAsia="en-US"/>
    </w:rPr>
  </w:style>
  <w:style w:type="character" w:customStyle="1" w:styleId="BodyText2Char">
    <w:name w:val="Body Text 2 Char"/>
    <w:aliases w:val=" Char4 Char,Char4 Char"/>
    <w:basedOn w:val="DefaultParagraphFont"/>
    <w:link w:val="BodyText2"/>
    <w:semiHidden/>
    <w:rsid w:val="00D61191"/>
    <w:rPr>
      <w:rFonts w:ascii="Times New Roman" w:eastAsia="Times New Roman" w:hAnsi="Times New Roman" w:cs="Times New Roman"/>
    </w:rPr>
  </w:style>
  <w:style w:type="character" w:customStyle="1" w:styleId="EndnoteTextChar1">
    <w:name w:val="Endnote Text Char1"/>
    <w:aliases w:val="Char3 Char1"/>
    <w:basedOn w:val="DefaultParagraphFont"/>
    <w:uiPriority w:val="99"/>
    <w:semiHidden/>
    <w:rsid w:val="00D61191"/>
    <w:rPr>
      <w:rFonts w:ascii="Calibri" w:eastAsia="Times New Roman" w:hAnsi="Calibri" w:cs="Times New Roman"/>
      <w:sz w:val="20"/>
      <w:szCs w:val="20"/>
      <w:lang w:eastAsia="en-NZ"/>
    </w:rPr>
  </w:style>
  <w:style w:type="character" w:customStyle="1" w:styleId="PlainTextChar1">
    <w:name w:val="Plain Text Char1"/>
    <w:aliases w:val="Char2 Char1"/>
    <w:uiPriority w:val="99"/>
    <w:semiHidden/>
    <w:rsid w:val="00D61191"/>
    <w:rPr>
      <w:rFonts w:ascii="Courier New" w:hAnsi="Courier New" w:cs="Courier New"/>
      <w:lang w:eastAsia="en-US"/>
    </w:rPr>
  </w:style>
  <w:style w:type="paragraph" w:styleId="ListBullet2">
    <w:name w:val="List Bullet 2"/>
    <w:basedOn w:val="ListBullet"/>
    <w:semiHidden/>
    <w:rsid w:val="00D61191"/>
    <w:pPr>
      <w:numPr>
        <w:numId w:val="21"/>
      </w:numPr>
      <w:spacing w:before="0" w:line="240" w:lineRule="auto"/>
      <w:contextualSpacing w:val="0"/>
      <w:jc w:val="left"/>
    </w:pPr>
    <w:rPr>
      <w:rFonts w:ascii="Arial" w:hAnsi="Arial"/>
      <w:sz w:val="24"/>
      <w:lang w:eastAsia="en-US"/>
    </w:rPr>
  </w:style>
  <w:style w:type="paragraph" w:styleId="ListBullet3">
    <w:name w:val="List Bullet 3"/>
    <w:basedOn w:val="ListBullet2"/>
    <w:semiHidden/>
    <w:rsid w:val="00D61191"/>
    <w:pPr>
      <w:numPr>
        <w:numId w:val="22"/>
      </w:numPr>
      <w:tabs>
        <w:tab w:val="num" w:pos="1080"/>
      </w:tabs>
    </w:pPr>
  </w:style>
  <w:style w:type="paragraph" w:styleId="ListBullet4">
    <w:name w:val="List Bullet 4"/>
    <w:basedOn w:val="ListBullet3"/>
    <w:semiHidden/>
    <w:rsid w:val="00D61191"/>
    <w:pPr>
      <w:numPr>
        <w:numId w:val="23"/>
      </w:numPr>
      <w:tabs>
        <w:tab w:val="clear" w:pos="1080"/>
        <w:tab w:val="left" w:pos="1435"/>
      </w:tabs>
    </w:pPr>
  </w:style>
  <w:style w:type="paragraph" w:styleId="ListBullet5">
    <w:name w:val="List Bullet 5"/>
    <w:basedOn w:val="ListBullet4"/>
    <w:semiHidden/>
    <w:rsid w:val="00D61191"/>
    <w:pPr>
      <w:numPr>
        <w:numId w:val="24"/>
      </w:numPr>
      <w:tabs>
        <w:tab w:val="clear" w:pos="1435"/>
        <w:tab w:val="num" w:pos="360"/>
        <w:tab w:val="num" w:pos="1794"/>
      </w:tabs>
    </w:pPr>
  </w:style>
  <w:style w:type="paragraph" w:customStyle="1" w:styleId="a">
    <w:name w:val="(a)"/>
    <w:aliases w:val="(b) list"/>
    <w:basedOn w:val="Normal"/>
    <w:semiHidden/>
    <w:rsid w:val="00D61191"/>
    <w:pPr>
      <w:numPr>
        <w:numId w:val="25"/>
      </w:numPr>
      <w:tabs>
        <w:tab w:val="num" w:pos="360"/>
      </w:tabs>
      <w:spacing w:before="0" w:after="0" w:line="240" w:lineRule="auto"/>
      <w:jc w:val="left"/>
    </w:pPr>
    <w:rPr>
      <w:rFonts w:ascii="Times New Roman" w:eastAsia="Times New Roman" w:hAnsi="Times New Roman" w:cs="Times New Roman"/>
      <w:szCs w:val="20"/>
    </w:rPr>
  </w:style>
  <w:style w:type="table" w:styleId="Table3Deffects3">
    <w:name w:val="Table 3D effects 3"/>
    <w:basedOn w:val="TableNormal"/>
    <w:rsid w:val="00D61191"/>
    <w:pPr>
      <w:spacing w:after="0" w:line="240" w:lineRule="auto"/>
    </w:pPr>
    <w:rPr>
      <w:rFonts w:ascii="Times New Roman" w:eastAsia="Times New Roman" w:hAnsi="Times New Roman" w:cs="Times New Roman"/>
      <w:i/>
      <w:sz w:val="20"/>
      <w:szCs w:val="20"/>
      <w:lang w:eastAsia="en-NZ"/>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FootnoteCharacters">
    <w:name w:val="Footnote Characters"/>
    <w:semiHidden/>
    <w:rsid w:val="00D61191"/>
    <w:rPr>
      <w:vertAlign w:val="superscript"/>
    </w:rPr>
  </w:style>
  <w:style w:type="character" w:customStyle="1" w:styleId="EndnoteCharacters">
    <w:name w:val="Endnote Characters"/>
    <w:semiHidden/>
    <w:rsid w:val="00D61191"/>
    <w:rPr>
      <w:vertAlign w:val="superscript"/>
    </w:rPr>
  </w:style>
  <w:style w:type="paragraph" w:styleId="List">
    <w:name w:val="List"/>
    <w:basedOn w:val="BodyText"/>
    <w:semiHidden/>
    <w:rsid w:val="00D61191"/>
    <w:pPr>
      <w:suppressAutoHyphens/>
      <w:spacing w:line="240" w:lineRule="auto"/>
    </w:pPr>
    <w:rPr>
      <w:rFonts w:eastAsia="Times New Roman" w:cs="Times New Roman"/>
      <w:lang w:eastAsia="ar-SA"/>
    </w:rPr>
  </w:style>
  <w:style w:type="paragraph" w:customStyle="1" w:styleId="Index">
    <w:name w:val="Index"/>
    <w:basedOn w:val="Normal"/>
    <w:semiHidden/>
    <w:rsid w:val="00D61191"/>
    <w:pPr>
      <w:suppressLineNumbers/>
      <w:suppressAutoHyphens/>
      <w:spacing w:before="0" w:line="240" w:lineRule="auto"/>
      <w:jc w:val="left"/>
    </w:pPr>
    <w:rPr>
      <w:rFonts w:ascii="Times New Roman" w:eastAsia="Times New Roman" w:hAnsi="Times New Roman" w:cs="Times New Roman"/>
      <w:lang w:eastAsia="ar-SA"/>
    </w:rPr>
  </w:style>
  <w:style w:type="paragraph" w:styleId="NormalIndent">
    <w:name w:val="Normal Indent"/>
    <w:aliases w:val="Normal Indent MFAT"/>
    <w:basedOn w:val="Normal"/>
    <w:uiPriority w:val="99"/>
    <w:qFormat/>
    <w:rsid w:val="00D61191"/>
    <w:pPr>
      <w:spacing w:before="0" w:line="240" w:lineRule="auto"/>
      <w:ind w:left="567" w:right="567"/>
      <w:jc w:val="left"/>
    </w:pPr>
    <w:rPr>
      <w:rFonts w:ascii="Times New Roman" w:eastAsia="Times New Roman" w:hAnsi="Times New Roman" w:cs="Times New Roman"/>
      <w:lang w:eastAsia="en-US"/>
    </w:rPr>
  </w:style>
  <w:style w:type="character" w:styleId="BookTitle">
    <w:name w:val="Book Title"/>
    <w:uiPriority w:val="33"/>
    <w:qFormat/>
    <w:rsid w:val="00D61191"/>
    <w:rPr>
      <w:b/>
      <w:bCs/>
      <w:smallCaps/>
      <w:spacing w:val="5"/>
    </w:rPr>
  </w:style>
  <w:style w:type="table" w:styleId="MediumShading1-Accent1">
    <w:name w:val="Medium Shading 1 Accent 1"/>
    <w:basedOn w:val="TableProfessional"/>
    <w:uiPriority w:val="63"/>
    <w:rsid w:val="00D61191"/>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TableProfessional">
    <w:name w:val="Table Professional"/>
    <w:basedOn w:val="TableNormal"/>
    <w:uiPriority w:val="99"/>
    <w:semiHidden/>
    <w:unhideWhenUsed/>
    <w:rsid w:val="00D61191"/>
    <w:pPr>
      <w:spacing w:after="120" w:line="240" w:lineRule="auto"/>
      <w:jc w:val="both"/>
    </w:pPr>
    <w:rPr>
      <w:rFonts w:ascii="Arial" w:eastAsia="Times New Roman" w:hAnsi="Arial"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PlaceholderText">
    <w:name w:val="Placeholder Text"/>
    <w:uiPriority w:val="99"/>
    <w:semiHidden/>
    <w:rsid w:val="00D61191"/>
    <w:rPr>
      <w:color w:val="808080"/>
    </w:rPr>
  </w:style>
  <w:style w:type="character" w:styleId="IntenseEmphasis">
    <w:name w:val="Intense Emphasis"/>
    <w:uiPriority w:val="21"/>
    <w:qFormat/>
    <w:rsid w:val="00D61191"/>
    <w:rPr>
      <w:b w:val="0"/>
      <w:bCs/>
      <w:i w:val="0"/>
      <w:iCs/>
      <w:color w:val="4F81BD"/>
    </w:rPr>
  </w:style>
  <w:style w:type="character" w:customStyle="1" w:styleId="BodyText3Char">
    <w:name w:val="Body Text 3 Char"/>
    <w:link w:val="BodyText3"/>
    <w:uiPriority w:val="99"/>
    <w:semiHidden/>
    <w:rsid w:val="00D61191"/>
    <w:rPr>
      <w:rFonts w:eastAsia="MS Mincho"/>
      <w:sz w:val="16"/>
      <w:szCs w:val="16"/>
      <w:lang w:eastAsia="ja-JP"/>
    </w:rPr>
  </w:style>
  <w:style w:type="paragraph" w:styleId="BodyText3">
    <w:name w:val="Body Text 3"/>
    <w:basedOn w:val="Normal"/>
    <w:link w:val="BodyText3Char"/>
    <w:uiPriority w:val="99"/>
    <w:semiHidden/>
    <w:rsid w:val="00D61191"/>
    <w:pPr>
      <w:spacing w:before="0" w:line="240" w:lineRule="auto"/>
      <w:jc w:val="left"/>
    </w:pPr>
    <w:rPr>
      <w:rFonts w:asciiTheme="minorHAnsi" w:eastAsia="MS Mincho" w:hAnsiTheme="minorHAnsi"/>
      <w:sz w:val="16"/>
      <w:szCs w:val="16"/>
      <w:lang w:eastAsia="ja-JP"/>
    </w:rPr>
  </w:style>
  <w:style w:type="character" w:customStyle="1" w:styleId="BodyText3Char1">
    <w:name w:val="Body Text 3 Char1"/>
    <w:basedOn w:val="DefaultParagraphFont"/>
    <w:uiPriority w:val="99"/>
    <w:semiHidden/>
    <w:rsid w:val="00D61191"/>
    <w:rPr>
      <w:rFonts w:ascii="Calibri" w:eastAsiaTheme="minorEastAsia" w:hAnsi="Calibri"/>
      <w:sz w:val="16"/>
      <w:szCs w:val="16"/>
      <w:lang w:eastAsia="en-NZ"/>
    </w:rPr>
  </w:style>
  <w:style w:type="character" w:customStyle="1" w:styleId="BodyTextFirstIndentChar">
    <w:name w:val="Body Text First Indent Char"/>
    <w:link w:val="BodyTextFirstIndent"/>
    <w:uiPriority w:val="99"/>
    <w:semiHidden/>
    <w:rsid w:val="00D61191"/>
    <w:rPr>
      <w:rFonts w:eastAsia="MS Mincho"/>
      <w:lang w:eastAsia="ja-JP"/>
    </w:rPr>
  </w:style>
  <w:style w:type="paragraph" w:styleId="BodyTextFirstIndent">
    <w:name w:val="Body Text First Indent"/>
    <w:basedOn w:val="BodyText"/>
    <w:link w:val="BodyTextFirstIndentChar"/>
    <w:uiPriority w:val="99"/>
    <w:semiHidden/>
    <w:rsid w:val="00D61191"/>
    <w:pPr>
      <w:spacing w:line="240" w:lineRule="auto"/>
      <w:ind w:firstLine="360"/>
    </w:pPr>
    <w:rPr>
      <w:rFonts w:asciiTheme="minorHAnsi" w:eastAsia="MS Mincho" w:hAnsiTheme="minorHAnsi"/>
      <w:lang w:eastAsia="ja-JP"/>
    </w:rPr>
  </w:style>
  <w:style w:type="character" w:customStyle="1" w:styleId="BodyTextFirstIndentChar1">
    <w:name w:val="Body Text First Indent Char1"/>
    <w:basedOn w:val="BodyTextChar"/>
    <w:uiPriority w:val="99"/>
    <w:semiHidden/>
    <w:rsid w:val="00D61191"/>
    <w:rPr>
      <w:rFonts w:ascii="Calibri" w:eastAsiaTheme="minorEastAsia" w:hAnsi="Calibri"/>
      <w:lang w:eastAsia="en-NZ"/>
    </w:rPr>
  </w:style>
  <w:style w:type="character" w:customStyle="1" w:styleId="BodyTextIndentChar">
    <w:name w:val="Body Text Indent Char"/>
    <w:aliases w:val="Body Text Indent MFAT Char"/>
    <w:link w:val="BodyTextIndent"/>
    <w:uiPriority w:val="99"/>
    <w:rsid w:val="00D61191"/>
    <w:rPr>
      <w:rFonts w:eastAsia="MS Mincho"/>
      <w:lang w:eastAsia="ja-JP"/>
    </w:rPr>
  </w:style>
  <w:style w:type="paragraph" w:styleId="BodyTextIndent">
    <w:name w:val="Body Text Indent"/>
    <w:aliases w:val="Body Text Indent MFAT"/>
    <w:basedOn w:val="Normal"/>
    <w:link w:val="BodyTextIndentChar"/>
    <w:uiPriority w:val="99"/>
    <w:qFormat/>
    <w:rsid w:val="00D61191"/>
    <w:pPr>
      <w:spacing w:before="0" w:line="240" w:lineRule="auto"/>
      <w:ind w:left="283"/>
      <w:jc w:val="left"/>
    </w:pPr>
    <w:rPr>
      <w:rFonts w:asciiTheme="minorHAnsi" w:eastAsia="MS Mincho" w:hAnsiTheme="minorHAnsi"/>
      <w:lang w:eastAsia="ja-JP"/>
    </w:rPr>
  </w:style>
  <w:style w:type="character" w:customStyle="1" w:styleId="BodyTextIndentChar1">
    <w:name w:val="Body Text Indent Char1"/>
    <w:basedOn w:val="DefaultParagraphFont"/>
    <w:uiPriority w:val="99"/>
    <w:semiHidden/>
    <w:rsid w:val="00D61191"/>
    <w:rPr>
      <w:rFonts w:ascii="Calibri" w:eastAsiaTheme="minorEastAsia" w:hAnsi="Calibri"/>
      <w:lang w:eastAsia="en-NZ"/>
    </w:rPr>
  </w:style>
  <w:style w:type="character" w:customStyle="1" w:styleId="BodyTextFirstIndent2Char">
    <w:name w:val="Body Text First Indent 2 Char"/>
    <w:link w:val="BodyTextFirstIndent2"/>
    <w:uiPriority w:val="99"/>
    <w:semiHidden/>
    <w:rsid w:val="00D61191"/>
    <w:rPr>
      <w:rFonts w:eastAsia="MS Mincho"/>
      <w:lang w:eastAsia="ja-JP"/>
    </w:rPr>
  </w:style>
  <w:style w:type="paragraph" w:styleId="BodyTextFirstIndent2">
    <w:name w:val="Body Text First Indent 2"/>
    <w:basedOn w:val="BodyTextIndent"/>
    <w:link w:val="BodyTextFirstIndent2Char"/>
    <w:uiPriority w:val="99"/>
    <w:semiHidden/>
    <w:rsid w:val="00D61191"/>
    <w:pPr>
      <w:spacing w:after="0"/>
      <w:ind w:left="360" w:firstLine="360"/>
    </w:pPr>
  </w:style>
  <w:style w:type="character" w:customStyle="1" w:styleId="BodyTextFirstIndent2Char1">
    <w:name w:val="Body Text First Indent 2 Char1"/>
    <w:basedOn w:val="BodyTextIndentChar1"/>
    <w:uiPriority w:val="99"/>
    <w:semiHidden/>
    <w:rsid w:val="00D61191"/>
    <w:rPr>
      <w:rFonts w:ascii="Calibri" w:eastAsiaTheme="minorEastAsia" w:hAnsi="Calibri"/>
      <w:lang w:eastAsia="en-NZ"/>
    </w:rPr>
  </w:style>
  <w:style w:type="character" w:customStyle="1" w:styleId="BodyTextIndent2Char">
    <w:name w:val="Body Text Indent 2 Char"/>
    <w:link w:val="BodyTextIndent2"/>
    <w:uiPriority w:val="99"/>
    <w:rsid w:val="00D61191"/>
    <w:rPr>
      <w:rFonts w:eastAsia="MS Mincho"/>
      <w:lang w:eastAsia="ja-JP"/>
    </w:rPr>
  </w:style>
  <w:style w:type="paragraph" w:styleId="BodyTextIndent2">
    <w:name w:val="Body Text Indent 2"/>
    <w:basedOn w:val="Normal"/>
    <w:link w:val="BodyTextIndent2Char"/>
    <w:uiPriority w:val="99"/>
    <w:qFormat/>
    <w:rsid w:val="00D61191"/>
    <w:pPr>
      <w:spacing w:before="0" w:line="480" w:lineRule="auto"/>
      <w:ind w:left="283"/>
      <w:jc w:val="left"/>
    </w:pPr>
    <w:rPr>
      <w:rFonts w:asciiTheme="minorHAnsi" w:eastAsia="MS Mincho" w:hAnsiTheme="minorHAnsi"/>
      <w:lang w:eastAsia="ja-JP"/>
    </w:rPr>
  </w:style>
  <w:style w:type="character" w:customStyle="1" w:styleId="BodyTextIndent2Char1">
    <w:name w:val="Body Text Indent 2 Char1"/>
    <w:basedOn w:val="DefaultParagraphFont"/>
    <w:uiPriority w:val="99"/>
    <w:semiHidden/>
    <w:rsid w:val="00D61191"/>
    <w:rPr>
      <w:rFonts w:ascii="Calibri" w:eastAsiaTheme="minorEastAsia" w:hAnsi="Calibri"/>
      <w:lang w:eastAsia="en-NZ"/>
    </w:rPr>
  </w:style>
  <w:style w:type="character" w:customStyle="1" w:styleId="BodyTextIndent3Char">
    <w:name w:val="Body Text Indent 3 Char"/>
    <w:link w:val="BodyTextIndent3"/>
    <w:uiPriority w:val="99"/>
    <w:semiHidden/>
    <w:rsid w:val="00D61191"/>
    <w:rPr>
      <w:rFonts w:eastAsia="MS Mincho"/>
      <w:sz w:val="16"/>
      <w:szCs w:val="16"/>
      <w:lang w:eastAsia="ja-JP"/>
    </w:rPr>
  </w:style>
  <w:style w:type="paragraph" w:styleId="BodyTextIndent3">
    <w:name w:val="Body Text Indent 3"/>
    <w:basedOn w:val="Normal"/>
    <w:link w:val="BodyTextIndent3Char"/>
    <w:uiPriority w:val="99"/>
    <w:semiHidden/>
    <w:rsid w:val="00D61191"/>
    <w:pPr>
      <w:spacing w:before="0" w:line="240" w:lineRule="auto"/>
      <w:ind w:left="283"/>
      <w:jc w:val="left"/>
    </w:pPr>
    <w:rPr>
      <w:rFonts w:asciiTheme="minorHAnsi" w:eastAsia="MS Mincho" w:hAnsiTheme="minorHAnsi"/>
      <w:sz w:val="16"/>
      <w:szCs w:val="16"/>
      <w:lang w:eastAsia="ja-JP"/>
    </w:rPr>
  </w:style>
  <w:style w:type="character" w:customStyle="1" w:styleId="BodyTextIndent3Char1">
    <w:name w:val="Body Text Indent 3 Char1"/>
    <w:basedOn w:val="DefaultParagraphFont"/>
    <w:uiPriority w:val="99"/>
    <w:semiHidden/>
    <w:rsid w:val="00D61191"/>
    <w:rPr>
      <w:rFonts w:ascii="Calibri" w:eastAsiaTheme="minorEastAsia" w:hAnsi="Calibri"/>
      <w:sz w:val="16"/>
      <w:szCs w:val="16"/>
      <w:lang w:eastAsia="en-NZ"/>
    </w:rPr>
  </w:style>
  <w:style w:type="character" w:customStyle="1" w:styleId="ClosingChar">
    <w:name w:val="Closing Char"/>
    <w:link w:val="Closing"/>
    <w:uiPriority w:val="99"/>
    <w:semiHidden/>
    <w:rsid w:val="00D61191"/>
    <w:rPr>
      <w:rFonts w:eastAsia="MS Mincho"/>
      <w:lang w:eastAsia="ja-JP"/>
    </w:rPr>
  </w:style>
  <w:style w:type="paragraph" w:styleId="Closing">
    <w:name w:val="Closing"/>
    <w:basedOn w:val="Normal"/>
    <w:link w:val="ClosingChar"/>
    <w:uiPriority w:val="99"/>
    <w:semiHidden/>
    <w:rsid w:val="00D61191"/>
    <w:pPr>
      <w:spacing w:before="0" w:after="0" w:line="240" w:lineRule="auto"/>
      <w:ind w:left="4252"/>
      <w:jc w:val="left"/>
    </w:pPr>
    <w:rPr>
      <w:rFonts w:asciiTheme="minorHAnsi" w:eastAsia="MS Mincho" w:hAnsiTheme="minorHAnsi"/>
      <w:lang w:eastAsia="ja-JP"/>
    </w:rPr>
  </w:style>
  <w:style w:type="character" w:customStyle="1" w:styleId="ClosingChar1">
    <w:name w:val="Closing Char1"/>
    <w:basedOn w:val="DefaultParagraphFont"/>
    <w:uiPriority w:val="99"/>
    <w:semiHidden/>
    <w:rsid w:val="00D61191"/>
    <w:rPr>
      <w:rFonts w:ascii="Calibri" w:eastAsiaTheme="minorEastAsia" w:hAnsi="Calibri"/>
      <w:lang w:eastAsia="en-NZ"/>
    </w:rPr>
  </w:style>
  <w:style w:type="character" w:customStyle="1" w:styleId="DateChar">
    <w:name w:val="Date Char"/>
    <w:link w:val="Date"/>
    <w:uiPriority w:val="99"/>
    <w:semiHidden/>
    <w:rsid w:val="00D61191"/>
    <w:rPr>
      <w:rFonts w:eastAsia="MS Mincho"/>
      <w:lang w:eastAsia="ja-JP"/>
    </w:rPr>
  </w:style>
  <w:style w:type="paragraph" w:styleId="Date">
    <w:name w:val="Date"/>
    <w:basedOn w:val="Normal"/>
    <w:next w:val="Normal"/>
    <w:link w:val="DateChar"/>
    <w:uiPriority w:val="99"/>
    <w:semiHidden/>
    <w:rsid w:val="00D61191"/>
    <w:pPr>
      <w:spacing w:before="0" w:after="0" w:line="240" w:lineRule="auto"/>
      <w:jc w:val="left"/>
    </w:pPr>
    <w:rPr>
      <w:rFonts w:asciiTheme="minorHAnsi" w:eastAsia="MS Mincho" w:hAnsiTheme="minorHAnsi"/>
      <w:lang w:eastAsia="ja-JP"/>
    </w:rPr>
  </w:style>
  <w:style w:type="character" w:customStyle="1" w:styleId="DateChar1">
    <w:name w:val="Date Char1"/>
    <w:basedOn w:val="DefaultParagraphFont"/>
    <w:uiPriority w:val="99"/>
    <w:semiHidden/>
    <w:rsid w:val="00D61191"/>
    <w:rPr>
      <w:rFonts w:ascii="Calibri" w:eastAsiaTheme="minorEastAsia" w:hAnsi="Calibri"/>
      <w:lang w:eastAsia="en-NZ"/>
    </w:rPr>
  </w:style>
  <w:style w:type="character" w:customStyle="1" w:styleId="E-mailSignatureChar">
    <w:name w:val="E-mail Signature Char"/>
    <w:link w:val="E-mailSignature"/>
    <w:uiPriority w:val="99"/>
    <w:semiHidden/>
    <w:rsid w:val="00D61191"/>
    <w:rPr>
      <w:rFonts w:eastAsia="MS Mincho"/>
      <w:lang w:eastAsia="ja-JP"/>
    </w:rPr>
  </w:style>
  <w:style w:type="paragraph" w:styleId="E-mailSignature">
    <w:name w:val="E-mail Signature"/>
    <w:basedOn w:val="Normal"/>
    <w:link w:val="E-mailSignatureChar"/>
    <w:uiPriority w:val="99"/>
    <w:semiHidden/>
    <w:rsid w:val="00D61191"/>
    <w:pPr>
      <w:spacing w:before="0" w:after="0" w:line="240" w:lineRule="auto"/>
      <w:jc w:val="left"/>
    </w:pPr>
    <w:rPr>
      <w:rFonts w:asciiTheme="minorHAnsi" w:eastAsia="MS Mincho" w:hAnsiTheme="minorHAnsi"/>
      <w:lang w:eastAsia="ja-JP"/>
    </w:rPr>
  </w:style>
  <w:style w:type="character" w:customStyle="1" w:styleId="E-mailSignatureChar1">
    <w:name w:val="E-mail Signature Char1"/>
    <w:basedOn w:val="DefaultParagraphFont"/>
    <w:uiPriority w:val="99"/>
    <w:semiHidden/>
    <w:rsid w:val="00D61191"/>
    <w:rPr>
      <w:rFonts w:ascii="Calibri" w:eastAsiaTheme="minorEastAsia" w:hAnsi="Calibri"/>
      <w:lang w:eastAsia="en-NZ"/>
    </w:rPr>
  </w:style>
  <w:style w:type="character" w:customStyle="1" w:styleId="HTMLAddressChar">
    <w:name w:val="HTML Address Char"/>
    <w:link w:val="HTMLAddress"/>
    <w:uiPriority w:val="99"/>
    <w:semiHidden/>
    <w:rsid w:val="00D61191"/>
    <w:rPr>
      <w:rFonts w:eastAsia="MS Mincho"/>
      <w:i/>
      <w:iCs/>
      <w:lang w:eastAsia="ja-JP"/>
    </w:rPr>
  </w:style>
  <w:style w:type="paragraph" w:styleId="HTMLAddress">
    <w:name w:val="HTML Address"/>
    <w:basedOn w:val="Normal"/>
    <w:link w:val="HTMLAddressChar"/>
    <w:uiPriority w:val="99"/>
    <w:semiHidden/>
    <w:rsid w:val="00D61191"/>
    <w:pPr>
      <w:spacing w:before="0" w:after="0" w:line="240" w:lineRule="auto"/>
      <w:jc w:val="left"/>
    </w:pPr>
    <w:rPr>
      <w:rFonts w:asciiTheme="minorHAnsi" w:eastAsia="MS Mincho" w:hAnsiTheme="minorHAnsi"/>
      <w:i/>
      <w:iCs/>
      <w:lang w:eastAsia="ja-JP"/>
    </w:rPr>
  </w:style>
  <w:style w:type="character" w:customStyle="1" w:styleId="HTMLAddressChar1">
    <w:name w:val="HTML Address Char1"/>
    <w:basedOn w:val="DefaultParagraphFont"/>
    <w:uiPriority w:val="99"/>
    <w:semiHidden/>
    <w:rsid w:val="00D61191"/>
    <w:rPr>
      <w:rFonts w:ascii="Calibri" w:eastAsiaTheme="minorEastAsia" w:hAnsi="Calibri"/>
      <w:i/>
      <w:iCs/>
      <w:lang w:eastAsia="en-NZ"/>
    </w:rPr>
  </w:style>
  <w:style w:type="character" w:customStyle="1" w:styleId="HTMLPreformattedChar">
    <w:name w:val="HTML Preformatted Char"/>
    <w:link w:val="HTMLPreformatted"/>
    <w:uiPriority w:val="99"/>
    <w:semiHidden/>
    <w:rsid w:val="00D61191"/>
    <w:rPr>
      <w:rFonts w:ascii="Consolas" w:eastAsia="MS Mincho" w:hAnsi="Consolas"/>
      <w:lang w:eastAsia="ja-JP"/>
    </w:rPr>
  </w:style>
  <w:style w:type="paragraph" w:styleId="HTMLPreformatted">
    <w:name w:val="HTML Preformatted"/>
    <w:basedOn w:val="Normal"/>
    <w:link w:val="HTMLPreformattedChar"/>
    <w:uiPriority w:val="99"/>
    <w:semiHidden/>
    <w:rsid w:val="00D61191"/>
    <w:pPr>
      <w:spacing w:before="0" w:after="0" w:line="240" w:lineRule="auto"/>
      <w:jc w:val="left"/>
    </w:pPr>
    <w:rPr>
      <w:rFonts w:ascii="Consolas" w:eastAsia="MS Mincho" w:hAnsi="Consolas"/>
      <w:lang w:eastAsia="ja-JP"/>
    </w:rPr>
  </w:style>
  <w:style w:type="character" w:customStyle="1" w:styleId="HTMLPreformattedChar1">
    <w:name w:val="HTML Preformatted Char1"/>
    <w:basedOn w:val="DefaultParagraphFont"/>
    <w:uiPriority w:val="99"/>
    <w:semiHidden/>
    <w:rsid w:val="00D61191"/>
    <w:rPr>
      <w:rFonts w:ascii="Consolas" w:eastAsiaTheme="minorEastAsia" w:hAnsi="Consolas"/>
      <w:sz w:val="20"/>
      <w:szCs w:val="20"/>
      <w:lang w:eastAsia="en-NZ"/>
    </w:rPr>
  </w:style>
  <w:style w:type="character" w:customStyle="1" w:styleId="MacroTextChar">
    <w:name w:val="Macro Text Char"/>
    <w:link w:val="MacroText"/>
    <w:uiPriority w:val="99"/>
    <w:semiHidden/>
    <w:rsid w:val="00D61191"/>
    <w:rPr>
      <w:rFonts w:ascii="Consolas" w:hAnsi="Consolas"/>
    </w:rPr>
  </w:style>
  <w:style w:type="paragraph" w:styleId="MacroText">
    <w:name w:val="macro"/>
    <w:link w:val="MacroTextChar"/>
    <w:uiPriority w:val="99"/>
    <w:semiHidden/>
    <w:rsid w:val="00D61191"/>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hAnsi="Consolas"/>
    </w:rPr>
  </w:style>
  <w:style w:type="character" w:customStyle="1" w:styleId="MacroTextChar1">
    <w:name w:val="Macro Text Char1"/>
    <w:basedOn w:val="DefaultParagraphFont"/>
    <w:uiPriority w:val="99"/>
    <w:semiHidden/>
    <w:rsid w:val="00D61191"/>
    <w:rPr>
      <w:rFonts w:ascii="Consolas" w:eastAsiaTheme="minorEastAsia" w:hAnsi="Consolas"/>
      <w:sz w:val="20"/>
      <w:szCs w:val="20"/>
      <w:lang w:eastAsia="en-NZ"/>
    </w:rPr>
  </w:style>
  <w:style w:type="character" w:customStyle="1" w:styleId="MessageHeaderChar">
    <w:name w:val="Message Header Char"/>
    <w:link w:val="MessageHeader"/>
    <w:uiPriority w:val="99"/>
    <w:semiHidden/>
    <w:rsid w:val="00D61191"/>
    <w:rPr>
      <w:rFonts w:ascii="Arial" w:eastAsia="MS Mincho" w:hAnsi="Arial"/>
      <w:sz w:val="24"/>
      <w:szCs w:val="24"/>
      <w:shd w:val="pct20" w:color="auto" w:fill="auto"/>
      <w:lang w:eastAsia="ja-JP"/>
    </w:rPr>
  </w:style>
  <w:style w:type="paragraph" w:styleId="MessageHeader">
    <w:name w:val="Message Header"/>
    <w:basedOn w:val="Normal"/>
    <w:link w:val="MessageHeaderChar"/>
    <w:uiPriority w:val="99"/>
    <w:semiHidden/>
    <w:rsid w:val="00D61191"/>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jc w:val="left"/>
    </w:pPr>
    <w:rPr>
      <w:rFonts w:ascii="Arial" w:eastAsia="MS Mincho" w:hAnsi="Arial"/>
      <w:sz w:val="24"/>
      <w:szCs w:val="24"/>
      <w:lang w:eastAsia="ja-JP"/>
    </w:rPr>
  </w:style>
  <w:style w:type="character" w:customStyle="1" w:styleId="MessageHeaderChar1">
    <w:name w:val="Message Header Char1"/>
    <w:basedOn w:val="DefaultParagraphFont"/>
    <w:uiPriority w:val="99"/>
    <w:semiHidden/>
    <w:rsid w:val="00D61191"/>
    <w:rPr>
      <w:rFonts w:asciiTheme="majorHAnsi" w:eastAsiaTheme="majorEastAsia" w:hAnsiTheme="majorHAnsi" w:cstheme="majorBidi"/>
      <w:sz w:val="24"/>
      <w:szCs w:val="24"/>
      <w:shd w:val="pct20" w:color="auto" w:fill="auto"/>
      <w:lang w:eastAsia="en-NZ"/>
    </w:rPr>
  </w:style>
  <w:style w:type="character" w:customStyle="1" w:styleId="NoteHeadingChar">
    <w:name w:val="Note Heading Char"/>
    <w:link w:val="NoteHeading"/>
    <w:uiPriority w:val="99"/>
    <w:semiHidden/>
    <w:rsid w:val="00D61191"/>
    <w:rPr>
      <w:rFonts w:eastAsia="MS Mincho"/>
      <w:lang w:eastAsia="ja-JP"/>
    </w:rPr>
  </w:style>
  <w:style w:type="paragraph" w:styleId="NoteHeading">
    <w:name w:val="Note Heading"/>
    <w:basedOn w:val="Normal"/>
    <w:next w:val="Normal"/>
    <w:link w:val="NoteHeadingChar"/>
    <w:uiPriority w:val="99"/>
    <w:semiHidden/>
    <w:rsid w:val="00D61191"/>
    <w:pPr>
      <w:spacing w:before="0" w:after="0" w:line="240" w:lineRule="auto"/>
      <w:jc w:val="left"/>
    </w:pPr>
    <w:rPr>
      <w:rFonts w:asciiTheme="minorHAnsi" w:eastAsia="MS Mincho" w:hAnsiTheme="minorHAnsi"/>
      <w:lang w:eastAsia="ja-JP"/>
    </w:rPr>
  </w:style>
  <w:style w:type="character" w:customStyle="1" w:styleId="NoteHeadingChar1">
    <w:name w:val="Note Heading Char1"/>
    <w:basedOn w:val="DefaultParagraphFont"/>
    <w:uiPriority w:val="99"/>
    <w:semiHidden/>
    <w:rsid w:val="00D61191"/>
    <w:rPr>
      <w:rFonts w:ascii="Calibri" w:eastAsiaTheme="minorEastAsia" w:hAnsi="Calibri"/>
      <w:lang w:eastAsia="en-NZ"/>
    </w:rPr>
  </w:style>
  <w:style w:type="character" w:customStyle="1" w:styleId="SalutationChar">
    <w:name w:val="Salutation Char"/>
    <w:link w:val="Salutation"/>
    <w:uiPriority w:val="99"/>
    <w:semiHidden/>
    <w:rsid w:val="00D61191"/>
    <w:rPr>
      <w:rFonts w:eastAsia="MS Mincho"/>
      <w:lang w:eastAsia="ja-JP"/>
    </w:rPr>
  </w:style>
  <w:style w:type="paragraph" w:styleId="Salutation">
    <w:name w:val="Salutation"/>
    <w:basedOn w:val="Normal"/>
    <w:next w:val="Normal"/>
    <w:link w:val="SalutationChar"/>
    <w:uiPriority w:val="99"/>
    <w:semiHidden/>
    <w:rsid w:val="00D61191"/>
    <w:pPr>
      <w:spacing w:before="0" w:after="0" w:line="240" w:lineRule="auto"/>
      <w:jc w:val="left"/>
    </w:pPr>
    <w:rPr>
      <w:rFonts w:asciiTheme="minorHAnsi" w:eastAsia="MS Mincho" w:hAnsiTheme="minorHAnsi"/>
      <w:lang w:eastAsia="ja-JP"/>
    </w:rPr>
  </w:style>
  <w:style w:type="character" w:customStyle="1" w:styleId="SalutationChar1">
    <w:name w:val="Salutation Char1"/>
    <w:basedOn w:val="DefaultParagraphFont"/>
    <w:uiPriority w:val="99"/>
    <w:semiHidden/>
    <w:rsid w:val="00D61191"/>
    <w:rPr>
      <w:rFonts w:ascii="Calibri" w:eastAsiaTheme="minorEastAsia" w:hAnsi="Calibri"/>
      <w:lang w:eastAsia="en-NZ"/>
    </w:rPr>
  </w:style>
  <w:style w:type="character" w:customStyle="1" w:styleId="SignatureChar">
    <w:name w:val="Signature Char"/>
    <w:link w:val="Signature"/>
    <w:uiPriority w:val="99"/>
    <w:semiHidden/>
    <w:rsid w:val="00D61191"/>
    <w:rPr>
      <w:rFonts w:eastAsia="MS Mincho"/>
      <w:lang w:eastAsia="ja-JP"/>
    </w:rPr>
  </w:style>
  <w:style w:type="paragraph" w:styleId="Signature">
    <w:name w:val="Signature"/>
    <w:basedOn w:val="Normal"/>
    <w:link w:val="SignatureChar"/>
    <w:uiPriority w:val="99"/>
    <w:semiHidden/>
    <w:rsid w:val="00D61191"/>
    <w:pPr>
      <w:spacing w:before="0" w:after="0" w:line="240" w:lineRule="auto"/>
      <w:ind w:left="4252"/>
      <w:jc w:val="left"/>
    </w:pPr>
    <w:rPr>
      <w:rFonts w:asciiTheme="minorHAnsi" w:eastAsia="MS Mincho" w:hAnsiTheme="minorHAnsi"/>
      <w:lang w:eastAsia="ja-JP"/>
    </w:rPr>
  </w:style>
  <w:style w:type="character" w:customStyle="1" w:styleId="SignatureChar1">
    <w:name w:val="Signature Char1"/>
    <w:basedOn w:val="DefaultParagraphFont"/>
    <w:uiPriority w:val="99"/>
    <w:semiHidden/>
    <w:rsid w:val="00D61191"/>
    <w:rPr>
      <w:rFonts w:ascii="Calibri" w:eastAsiaTheme="minorEastAsia" w:hAnsi="Calibri"/>
      <w:lang w:eastAsia="en-NZ"/>
    </w:rPr>
  </w:style>
  <w:style w:type="paragraph" w:styleId="BlockText">
    <w:name w:val="Block Text"/>
    <w:basedOn w:val="Normal"/>
    <w:uiPriority w:val="99"/>
    <w:semiHidden/>
    <w:rsid w:val="00D61191"/>
    <w:pPr>
      <w:pBdr>
        <w:top w:val="single" w:sz="2" w:space="10" w:color="4F81BD" w:shadow="1"/>
        <w:left w:val="single" w:sz="2" w:space="10" w:color="4F81BD" w:shadow="1"/>
        <w:bottom w:val="single" w:sz="2" w:space="10" w:color="4F81BD" w:shadow="1"/>
        <w:right w:val="single" w:sz="2" w:space="10" w:color="4F81BD" w:shadow="1"/>
      </w:pBdr>
      <w:spacing w:before="60" w:after="180" w:line="240" w:lineRule="auto"/>
      <w:ind w:left="1152" w:right="1152"/>
      <w:jc w:val="left"/>
    </w:pPr>
    <w:rPr>
      <w:rFonts w:ascii="Arial" w:eastAsia="Times New Roman" w:hAnsi="Arial" w:cs="Times New Roman"/>
      <w:i/>
      <w:iCs/>
      <w:color w:val="4F81BD"/>
      <w:szCs w:val="20"/>
      <w:lang w:eastAsia="en-US"/>
    </w:rPr>
  </w:style>
  <w:style w:type="paragraph" w:styleId="EnvelopeAddress">
    <w:name w:val="envelope address"/>
    <w:basedOn w:val="Normal"/>
    <w:uiPriority w:val="99"/>
    <w:semiHidden/>
    <w:unhideWhenUsed/>
    <w:rsid w:val="00D61191"/>
    <w:pPr>
      <w:framePr w:w="7920" w:h="1980" w:hRule="exact" w:hSpace="180" w:wrap="auto" w:hAnchor="page" w:xAlign="center" w:yAlign="bottom"/>
      <w:spacing w:before="60" w:after="180" w:line="240" w:lineRule="auto"/>
      <w:ind w:left="2880"/>
      <w:jc w:val="left"/>
    </w:pPr>
    <w:rPr>
      <w:rFonts w:ascii="Arial" w:eastAsia="Times New Roman" w:hAnsi="Arial" w:cs="Times New Roman"/>
      <w:sz w:val="24"/>
      <w:szCs w:val="24"/>
      <w:lang w:eastAsia="en-US"/>
    </w:rPr>
  </w:style>
  <w:style w:type="paragraph" w:styleId="EnvelopeReturn">
    <w:name w:val="envelope return"/>
    <w:basedOn w:val="Normal"/>
    <w:uiPriority w:val="99"/>
    <w:semiHidden/>
    <w:unhideWhenUsed/>
    <w:rsid w:val="00D61191"/>
    <w:pPr>
      <w:spacing w:before="60" w:after="180" w:line="240" w:lineRule="auto"/>
      <w:jc w:val="left"/>
    </w:pPr>
    <w:rPr>
      <w:rFonts w:ascii="Arial" w:eastAsia="Times New Roman" w:hAnsi="Arial" w:cs="Times New Roman"/>
      <w:sz w:val="20"/>
      <w:szCs w:val="20"/>
      <w:lang w:eastAsia="en-US"/>
    </w:rPr>
  </w:style>
  <w:style w:type="paragraph" w:styleId="Index1">
    <w:name w:val="index 1"/>
    <w:basedOn w:val="Normal"/>
    <w:next w:val="Normal"/>
    <w:autoRedefine/>
    <w:uiPriority w:val="99"/>
    <w:semiHidden/>
    <w:unhideWhenUsed/>
    <w:rsid w:val="00D61191"/>
    <w:pPr>
      <w:spacing w:before="60" w:after="180" w:line="240" w:lineRule="auto"/>
      <w:ind w:left="220" w:hanging="220"/>
      <w:jc w:val="left"/>
    </w:pPr>
    <w:rPr>
      <w:rFonts w:ascii="Times New Roman" w:eastAsia="Times New Roman" w:hAnsi="Times New Roman" w:cs="Times New Roman"/>
      <w:szCs w:val="20"/>
      <w:lang w:eastAsia="en-US"/>
    </w:rPr>
  </w:style>
  <w:style w:type="paragraph" w:styleId="Index2">
    <w:name w:val="index 2"/>
    <w:basedOn w:val="Normal"/>
    <w:next w:val="Normal"/>
    <w:autoRedefine/>
    <w:uiPriority w:val="99"/>
    <w:semiHidden/>
    <w:unhideWhenUsed/>
    <w:rsid w:val="00D61191"/>
    <w:pPr>
      <w:spacing w:before="60" w:after="180" w:line="240" w:lineRule="auto"/>
      <w:ind w:left="440" w:hanging="220"/>
      <w:jc w:val="left"/>
    </w:pPr>
    <w:rPr>
      <w:rFonts w:ascii="Times New Roman" w:eastAsia="Times New Roman" w:hAnsi="Times New Roman" w:cs="Times New Roman"/>
      <w:szCs w:val="20"/>
      <w:lang w:eastAsia="en-US"/>
    </w:rPr>
  </w:style>
  <w:style w:type="paragraph" w:styleId="Index3">
    <w:name w:val="index 3"/>
    <w:basedOn w:val="Normal"/>
    <w:next w:val="Normal"/>
    <w:autoRedefine/>
    <w:uiPriority w:val="99"/>
    <w:semiHidden/>
    <w:unhideWhenUsed/>
    <w:rsid w:val="00D61191"/>
    <w:pPr>
      <w:spacing w:before="60" w:after="180" w:line="240" w:lineRule="auto"/>
      <w:ind w:left="660" w:hanging="220"/>
      <w:jc w:val="left"/>
    </w:pPr>
    <w:rPr>
      <w:rFonts w:ascii="Times New Roman" w:eastAsia="Times New Roman" w:hAnsi="Times New Roman" w:cs="Times New Roman"/>
      <w:szCs w:val="20"/>
      <w:lang w:eastAsia="en-US"/>
    </w:rPr>
  </w:style>
  <w:style w:type="paragraph" w:styleId="Index4">
    <w:name w:val="index 4"/>
    <w:basedOn w:val="Normal"/>
    <w:next w:val="Normal"/>
    <w:autoRedefine/>
    <w:uiPriority w:val="99"/>
    <w:semiHidden/>
    <w:unhideWhenUsed/>
    <w:rsid w:val="00D61191"/>
    <w:pPr>
      <w:spacing w:before="60" w:after="180" w:line="240" w:lineRule="auto"/>
      <w:ind w:left="880" w:hanging="220"/>
      <w:jc w:val="left"/>
    </w:pPr>
    <w:rPr>
      <w:rFonts w:ascii="Times New Roman" w:eastAsia="Times New Roman" w:hAnsi="Times New Roman" w:cs="Times New Roman"/>
      <w:szCs w:val="20"/>
      <w:lang w:eastAsia="en-US"/>
    </w:rPr>
  </w:style>
  <w:style w:type="paragraph" w:styleId="Index5">
    <w:name w:val="index 5"/>
    <w:basedOn w:val="Normal"/>
    <w:next w:val="Normal"/>
    <w:autoRedefine/>
    <w:uiPriority w:val="99"/>
    <w:semiHidden/>
    <w:unhideWhenUsed/>
    <w:rsid w:val="00D61191"/>
    <w:pPr>
      <w:spacing w:before="60" w:after="180" w:line="240" w:lineRule="auto"/>
      <w:ind w:left="1100" w:hanging="220"/>
      <w:jc w:val="left"/>
    </w:pPr>
    <w:rPr>
      <w:rFonts w:ascii="Times New Roman" w:eastAsia="Times New Roman" w:hAnsi="Times New Roman" w:cs="Times New Roman"/>
      <w:szCs w:val="20"/>
      <w:lang w:eastAsia="en-US"/>
    </w:rPr>
  </w:style>
  <w:style w:type="paragraph" w:styleId="Index6">
    <w:name w:val="index 6"/>
    <w:basedOn w:val="Normal"/>
    <w:next w:val="Normal"/>
    <w:autoRedefine/>
    <w:uiPriority w:val="99"/>
    <w:semiHidden/>
    <w:unhideWhenUsed/>
    <w:rsid w:val="00D61191"/>
    <w:pPr>
      <w:spacing w:before="60" w:after="180" w:line="240" w:lineRule="auto"/>
      <w:ind w:left="1320" w:hanging="220"/>
      <w:jc w:val="left"/>
    </w:pPr>
    <w:rPr>
      <w:rFonts w:ascii="Times New Roman" w:eastAsia="Times New Roman" w:hAnsi="Times New Roman" w:cs="Times New Roman"/>
      <w:szCs w:val="20"/>
      <w:lang w:eastAsia="en-US"/>
    </w:rPr>
  </w:style>
  <w:style w:type="paragraph" w:styleId="Index7">
    <w:name w:val="index 7"/>
    <w:basedOn w:val="Normal"/>
    <w:next w:val="Normal"/>
    <w:autoRedefine/>
    <w:uiPriority w:val="99"/>
    <w:semiHidden/>
    <w:unhideWhenUsed/>
    <w:rsid w:val="00D61191"/>
    <w:pPr>
      <w:spacing w:before="60" w:after="180" w:line="240" w:lineRule="auto"/>
      <w:ind w:left="1540" w:hanging="220"/>
      <w:jc w:val="left"/>
    </w:pPr>
    <w:rPr>
      <w:rFonts w:ascii="Times New Roman" w:eastAsia="Times New Roman" w:hAnsi="Times New Roman" w:cs="Times New Roman"/>
      <w:szCs w:val="20"/>
      <w:lang w:eastAsia="en-US"/>
    </w:rPr>
  </w:style>
  <w:style w:type="paragraph" w:styleId="Index8">
    <w:name w:val="index 8"/>
    <w:basedOn w:val="Normal"/>
    <w:next w:val="Normal"/>
    <w:autoRedefine/>
    <w:uiPriority w:val="99"/>
    <w:semiHidden/>
    <w:unhideWhenUsed/>
    <w:rsid w:val="00D61191"/>
    <w:pPr>
      <w:spacing w:before="60" w:after="180" w:line="240" w:lineRule="auto"/>
      <w:ind w:left="1760" w:hanging="220"/>
      <w:jc w:val="left"/>
    </w:pPr>
    <w:rPr>
      <w:rFonts w:ascii="Times New Roman" w:eastAsia="Times New Roman" w:hAnsi="Times New Roman" w:cs="Times New Roman"/>
      <w:szCs w:val="20"/>
      <w:lang w:eastAsia="en-US"/>
    </w:rPr>
  </w:style>
  <w:style w:type="paragraph" w:styleId="Index9">
    <w:name w:val="index 9"/>
    <w:basedOn w:val="Normal"/>
    <w:next w:val="Normal"/>
    <w:autoRedefine/>
    <w:uiPriority w:val="99"/>
    <w:semiHidden/>
    <w:unhideWhenUsed/>
    <w:rsid w:val="00D61191"/>
    <w:pPr>
      <w:spacing w:before="60" w:after="180" w:line="240" w:lineRule="auto"/>
      <w:ind w:left="1980" w:hanging="220"/>
      <w:jc w:val="left"/>
    </w:pPr>
    <w:rPr>
      <w:rFonts w:ascii="Times New Roman" w:eastAsia="Times New Roman" w:hAnsi="Times New Roman" w:cs="Times New Roman"/>
      <w:szCs w:val="20"/>
      <w:lang w:eastAsia="en-US"/>
    </w:rPr>
  </w:style>
  <w:style w:type="paragraph" w:styleId="IndexHeading">
    <w:name w:val="index heading"/>
    <w:basedOn w:val="Normal"/>
    <w:next w:val="Index1"/>
    <w:uiPriority w:val="99"/>
    <w:semiHidden/>
    <w:unhideWhenUsed/>
    <w:rsid w:val="00D61191"/>
    <w:pPr>
      <w:spacing w:before="60" w:after="180" w:line="240" w:lineRule="auto"/>
      <w:jc w:val="left"/>
    </w:pPr>
    <w:rPr>
      <w:rFonts w:ascii="Arial" w:eastAsia="Times New Roman" w:hAnsi="Arial" w:cs="Times New Roman"/>
      <w:b/>
      <w:bCs/>
      <w:szCs w:val="20"/>
      <w:lang w:eastAsia="en-US"/>
    </w:rPr>
  </w:style>
  <w:style w:type="paragraph" w:styleId="List2">
    <w:name w:val="List 2"/>
    <w:basedOn w:val="Normal"/>
    <w:uiPriority w:val="99"/>
    <w:semiHidden/>
    <w:unhideWhenUsed/>
    <w:rsid w:val="00D61191"/>
    <w:pPr>
      <w:spacing w:before="60" w:after="180" w:line="240" w:lineRule="auto"/>
      <w:ind w:left="566" w:hanging="283"/>
      <w:contextualSpacing/>
      <w:jc w:val="left"/>
    </w:pPr>
    <w:rPr>
      <w:rFonts w:ascii="Times New Roman" w:eastAsia="Times New Roman" w:hAnsi="Times New Roman" w:cs="Times New Roman"/>
      <w:szCs w:val="20"/>
      <w:lang w:eastAsia="en-US"/>
    </w:rPr>
  </w:style>
  <w:style w:type="paragraph" w:styleId="List3">
    <w:name w:val="List 3"/>
    <w:basedOn w:val="Normal"/>
    <w:uiPriority w:val="99"/>
    <w:semiHidden/>
    <w:unhideWhenUsed/>
    <w:rsid w:val="00D61191"/>
    <w:pPr>
      <w:spacing w:before="60" w:after="180" w:line="240" w:lineRule="auto"/>
      <w:ind w:left="849" w:hanging="283"/>
      <w:contextualSpacing/>
      <w:jc w:val="left"/>
    </w:pPr>
    <w:rPr>
      <w:rFonts w:ascii="Times New Roman" w:eastAsia="Times New Roman" w:hAnsi="Times New Roman" w:cs="Times New Roman"/>
      <w:szCs w:val="20"/>
      <w:lang w:eastAsia="en-US"/>
    </w:rPr>
  </w:style>
  <w:style w:type="paragraph" w:styleId="List4">
    <w:name w:val="List 4"/>
    <w:basedOn w:val="Normal"/>
    <w:uiPriority w:val="99"/>
    <w:semiHidden/>
    <w:unhideWhenUsed/>
    <w:rsid w:val="00D61191"/>
    <w:pPr>
      <w:spacing w:before="60" w:after="180" w:line="240" w:lineRule="auto"/>
      <w:ind w:left="1132" w:hanging="283"/>
      <w:contextualSpacing/>
      <w:jc w:val="left"/>
    </w:pPr>
    <w:rPr>
      <w:rFonts w:ascii="Times New Roman" w:eastAsia="Times New Roman" w:hAnsi="Times New Roman" w:cs="Times New Roman"/>
      <w:szCs w:val="20"/>
      <w:lang w:eastAsia="en-US"/>
    </w:rPr>
  </w:style>
  <w:style w:type="paragraph" w:styleId="List5">
    <w:name w:val="List 5"/>
    <w:basedOn w:val="Normal"/>
    <w:uiPriority w:val="99"/>
    <w:semiHidden/>
    <w:unhideWhenUsed/>
    <w:rsid w:val="00D61191"/>
    <w:pPr>
      <w:spacing w:before="60" w:after="180" w:line="240" w:lineRule="auto"/>
      <w:ind w:left="1415" w:hanging="283"/>
      <w:contextualSpacing/>
      <w:jc w:val="left"/>
    </w:pPr>
    <w:rPr>
      <w:rFonts w:ascii="Times New Roman" w:eastAsia="Times New Roman" w:hAnsi="Times New Roman" w:cs="Times New Roman"/>
      <w:szCs w:val="20"/>
      <w:lang w:eastAsia="en-US"/>
    </w:rPr>
  </w:style>
  <w:style w:type="paragraph" w:styleId="ListContinue">
    <w:name w:val="List Continue"/>
    <w:basedOn w:val="Normal"/>
    <w:uiPriority w:val="99"/>
    <w:semiHidden/>
    <w:unhideWhenUsed/>
    <w:rsid w:val="00D61191"/>
    <w:pPr>
      <w:spacing w:before="60" w:line="240" w:lineRule="auto"/>
      <w:ind w:left="283"/>
      <w:contextualSpacing/>
      <w:jc w:val="left"/>
    </w:pPr>
    <w:rPr>
      <w:rFonts w:ascii="Times New Roman" w:eastAsia="Times New Roman" w:hAnsi="Times New Roman" w:cs="Times New Roman"/>
      <w:szCs w:val="20"/>
      <w:lang w:eastAsia="en-US"/>
    </w:rPr>
  </w:style>
  <w:style w:type="paragraph" w:styleId="ListContinue2">
    <w:name w:val="List Continue 2"/>
    <w:basedOn w:val="Normal"/>
    <w:uiPriority w:val="99"/>
    <w:semiHidden/>
    <w:unhideWhenUsed/>
    <w:rsid w:val="00D61191"/>
    <w:pPr>
      <w:spacing w:before="60" w:line="240" w:lineRule="auto"/>
      <w:ind w:left="566"/>
      <w:contextualSpacing/>
      <w:jc w:val="left"/>
    </w:pPr>
    <w:rPr>
      <w:rFonts w:ascii="Times New Roman" w:eastAsia="Times New Roman" w:hAnsi="Times New Roman" w:cs="Times New Roman"/>
      <w:szCs w:val="20"/>
      <w:lang w:eastAsia="en-US"/>
    </w:rPr>
  </w:style>
  <w:style w:type="paragraph" w:styleId="ListContinue3">
    <w:name w:val="List Continue 3"/>
    <w:basedOn w:val="Normal"/>
    <w:uiPriority w:val="99"/>
    <w:semiHidden/>
    <w:unhideWhenUsed/>
    <w:rsid w:val="00D61191"/>
    <w:pPr>
      <w:spacing w:before="60" w:line="240" w:lineRule="auto"/>
      <w:ind w:left="849"/>
      <w:contextualSpacing/>
      <w:jc w:val="left"/>
    </w:pPr>
    <w:rPr>
      <w:rFonts w:ascii="Times New Roman" w:eastAsia="Times New Roman" w:hAnsi="Times New Roman" w:cs="Times New Roman"/>
      <w:szCs w:val="20"/>
      <w:lang w:eastAsia="en-US"/>
    </w:rPr>
  </w:style>
  <w:style w:type="paragraph" w:styleId="ListContinue4">
    <w:name w:val="List Continue 4"/>
    <w:basedOn w:val="Normal"/>
    <w:uiPriority w:val="99"/>
    <w:semiHidden/>
    <w:unhideWhenUsed/>
    <w:rsid w:val="00D61191"/>
    <w:pPr>
      <w:spacing w:before="60" w:line="240" w:lineRule="auto"/>
      <w:ind w:left="1132"/>
      <w:contextualSpacing/>
      <w:jc w:val="left"/>
    </w:pPr>
    <w:rPr>
      <w:rFonts w:ascii="Times New Roman" w:eastAsia="Times New Roman" w:hAnsi="Times New Roman" w:cs="Times New Roman"/>
      <w:szCs w:val="20"/>
      <w:lang w:eastAsia="en-US"/>
    </w:rPr>
  </w:style>
  <w:style w:type="paragraph" w:styleId="ListContinue5">
    <w:name w:val="List Continue 5"/>
    <w:basedOn w:val="Normal"/>
    <w:uiPriority w:val="99"/>
    <w:semiHidden/>
    <w:unhideWhenUsed/>
    <w:rsid w:val="00D61191"/>
    <w:pPr>
      <w:spacing w:before="60" w:line="240" w:lineRule="auto"/>
      <w:ind w:left="1415"/>
      <w:contextualSpacing/>
      <w:jc w:val="left"/>
    </w:pPr>
    <w:rPr>
      <w:rFonts w:ascii="Times New Roman" w:eastAsia="Times New Roman" w:hAnsi="Times New Roman" w:cs="Times New Roman"/>
      <w:szCs w:val="20"/>
      <w:lang w:eastAsia="en-US"/>
    </w:rPr>
  </w:style>
  <w:style w:type="paragraph" w:styleId="ListNumber3">
    <w:name w:val="List Number 3"/>
    <w:basedOn w:val="Normal"/>
    <w:uiPriority w:val="99"/>
    <w:semiHidden/>
    <w:unhideWhenUsed/>
    <w:rsid w:val="00D61191"/>
    <w:pPr>
      <w:tabs>
        <w:tab w:val="num" w:pos="926"/>
      </w:tabs>
      <w:spacing w:before="60" w:after="180" w:line="240" w:lineRule="auto"/>
      <w:ind w:left="926" w:hanging="360"/>
      <w:contextualSpacing/>
      <w:jc w:val="left"/>
    </w:pPr>
    <w:rPr>
      <w:rFonts w:ascii="Times New Roman" w:eastAsia="Times New Roman" w:hAnsi="Times New Roman" w:cs="Times New Roman"/>
      <w:szCs w:val="20"/>
      <w:lang w:eastAsia="en-US"/>
    </w:rPr>
  </w:style>
  <w:style w:type="paragraph" w:styleId="ListNumber4">
    <w:name w:val="List Number 4"/>
    <w:basedOn w:val="Normal"/>
    <w:uiPriority w:val="99"/>
    <w:semiHidden/>
    <w:unhideWhenUsed/>
    <w:rsid w:val="00D61191"/>
    <w:pPr>
      <w:numPr>
        <w:numId w:val="26"/>
      </w:numPr>
      <w:tabs>
        <w:tab w:val="num" w:pos="360"/>
      </w:tabs>
      <w:spacing w:before="60" w:after="180" w:line="240" w:lineRule="auto"/>
      <w:contextualSpacing/>
      <w:jc w:val="left"/>
    </w:pPr>
    <w:rPr>
      <w:rFonts w:ascii="Times New Roman" w:eastAsia="Times New Roman" w:hAnsi="Times New Roman" w:cs="Times New Roman"/>
      <w:szCs w:val="20"/>
      <w:lang w:eastAsia="en-US"/>
    </w:rPr>
  </w:style>
  <w:style w:type="paragraph" w:styleId="ListNumber5">
    <w:name w:val="List Number 5"/>
    <w:basedOn w:val="Normal"/>
    <w:uiPriority w:val="99"/>
    <w:semiHidden/>
    <w:unhideWhenUsed/>
    <w:rsid w:val="00D61191"/>
    <w:pPr>
      <w:numPr>
        <w:numId w:val="27"/>
      </w:numPr>
      <w:tabs>
        <w:tab w:val="num" w:pos="360"/>
      </w:tabs>
      <w:spacing w:before="60" w:after="180" w:line="240" w:lineRule="auto"/>
      <w:ind w:firstLine="0"/>
      <w:contextualSpacing/>
      <w:jc w:val="left"/>
    </w:pPr>
    <w:rPr>
      <w:rFonts w:ascii="Times New Roman" w:eastAsia="Times New Roman" w:hAnsi="Times New Roman" w:cs="Times New Roman"/>
      <w:szCs w:val="20"/>
      <w:lang w:eastAsia="en-US"/>
    </w:rPr>
  </w:style>
  <w:style w:type="paragraph" w:styleId="TableofAuthorities">
    <w:name w:val="table of authorities"/>
    <w:basedOn w:val="Normal"/>
    <w:next w:val="Normal"/>
    <w:uiPriority w:val="99"/>
    <w:semiHidden/>
    <w:unhideWhenUsed/>
    <w:rsid w:val="00D61191"/>
    <w:pPr>
      <w:spacing w:before="60" w:after="180" w:line="240" w:lineRule="auto"/>
      <w:ind w:left="220" w:hanging="220"/>
      <w:jc w:val="left"/>
    </w:pPr>
    <w:rPr>
      <w:rFonts w:ascii="Times New Roman" w:eastAsia="Times New Roman" w:hAnsi="Times New Roman" w:cs="Times New Roman"/>
      <w:szCs w:val="20"/>
      <w:lang w:eastAsia="en-US"/>
    </w:rPr>
  </w:style>
  <w:style w:type="paragraph" w:styleId="TOAHeading">
    <w:name w:val="toa heading"/>
    <w:basedOn w:val="Normal"/>
    <w:next w:val="Normal"/>
    <w:uiPriority w:val="99"/>
    <w:semiHidden/>
    <w:rsid w:val="00D61191"/>
    <w:pPr>
      <w:spacing w:after="180" w:line="240" w:lineRule="auto"/>
      <w:jc w:val="left"/>
    </w:pPr>
    <w:rPr>
      <w:rFonts w:ascii="Arial" w:eastAsia="Times New Roman" w:hAnsi="Arial" w:cs="Times New Roman"/>
      <w:b/>
      <w:bCs/>
      <w:sz w:val="24"/>
      <w:szCs w:val="24"/>
      <w:lang w:eastAsia="en-US"/>
    </w:rPr>
  </w:style>
  <w:style w:type="paragraph" w:customStyle="1" w:styleId="Headline">
    <w:name w:val="Headline"/>
    <w:basedOn w:val="Normal"/>
    <w:next w:val="Normal"/>
    <w:semiHidden/>
    <w:rsid w:val="00D61191"/>
    <w:pPr>
      <w:spacing w:before="60" w:after="180" w:line="240" w:lineRule="auto"/>
      <w:jc w:val="left"/>
    </w:pPr>
    <w:rPr>
      <w:rFonts w:ascii="Times New Roman" w:eastAsia="Times New Roman" w:hAnsi="Times New Roman" w:cs="Times New Roman"/>
      <w:b/>
      <w:sz w:val="48"/>
      <w:szCs w:val="20"/>
      <w:lang w:eastAsia="en-US"/>
    </w:rPr>
  </w:style>
  <w:style w:type="paragraph" w:customStyle="1" w:styleId="Bulletindent">
    <w:name w:val="Bullet indent"/>
    <w:basedOn w:val="Bullet"/>
    <w:next w:val="BodyText"/>
    <w:semiHidden/>
    <w:qFormat/>
    <w:rsid w:val="00D61191"/>
    <w:pPr>
      <w:numPr>
        <w:numId w:val="0"/>
      </w:numPr>
      <w:tabs>
        <w:tab w:val="left" w:pos="397"/>
        <w:tab w:val="left" w:pos="794"/>
      </w:tabs>
      <w:spacing w:line="240" w:lineRule="auto"/>
      <w:ind w:left="794" w:hanging="397"/>
    </w:pPr>
    <w:rPr>
      <w:szCs w:val="22"/>
    </w:rPr>
  </w:style>
  <w:style w:type="paragraph" w:customStyle="1" w:styleId="Acknowledgements">
    <w:name w:val="Acknowledgements"/>
    <w:basedOn w:val="Normal"/>
    <w:semiHidden/>
    <w:rsid w:val="00D61191"/>
    <w:pPr>
      <w:spacing w:before="60" w:after="60" w:line="240" w:lineRule="auto"/>
      <w:jc w:val="left"/>
    </w:pPr>
    <w:rPr>
      <w:rFonts w:ascii="Times New Roman" w:eastAsia="Times New Roman" w:hAnsi="Times New Roman" w:cs="Times New Roman"/>
      <w:szCs w:val="20"/>
      <w:lang w:eastAsia="en-US"/>
    </w:rPr>
  </w:style>
  <w:style w:type="paragraph" w:customStyle="1" w:styleId="Acknowledgementsbolditalics">
    <w:name w:val="Acknowledgements bold italics"/>
    <w:basedOn w:val="Normal"/>
    <w:semiHidden/>
    <w:rsid w:val="00D61191"/>
    <w:pPr>
      <w:spacing w:before="160" w:after="0" w:line="240" w:lineRule="auto"/>
      <w:jc w:val="left"/>
    </w:pPr>
    <w:rPr>
      <w:rFonts w:ascii="Times New Roman" w:eastAsia="Times New Roman" w:hAnsi="Times New Roman" w:cs="Times New Roman"/>
      <w:b/>
      <w:i/>
      <w:szCs w:val="20"/>
      <w:lang w:eastAsia="en-US"/>
    </w:rPr>
  </w:style>
  <w:style w:type="numbering" w:customStyle="1" w:styleId="NoList1">
    <w:name w:val="No List1"/>
    <w:next w:val="NoList"/>
    <w:uiPriority w:val="99"/>
    <w:semiHidden/>
    <w:unhideWhenUsed/>
    <w:rsid w:val="00D61191"/>
  </w:style>
  <w:style w:type="character" w:customStyle="1" w:styleId="PlainTextChar2">
    <w:name w:val="Plain Text Char2"/>
    <w:basedOn w:val="DefaultParagraphFont"/>
    <w:uiPriority w:val="99"/>
    <w:semiHidden/>
    <w:rsid w:val="00D61191"/>
    <w:rPr>
      <w:rFonts w:ascii="Consolas" w:eastAsia="Times New Roman" w:hAnsi="Consolas" w:cs="Times New Roman"/>
      <w:sz w:val="21"/>
      <w:szCs w:val="21"/>
      <w:lang w:eastAsia="en-NZ"/>
    </w:rPr>
  </w:style>
  <w:style w:type="paragraph" w:customStyle="1" w:styleId="Bulletfirst">
    <w:name w:val="Bullet first"/>
    <w:basedOn w:val="Bullet"/>
    <w:semiHidden/>
    <w:qFormat/>
    <w:rsid w:val="00D61191"/>
    <w:pPr>
      <w:numPr>
        <w:numId w:val="0"/>
      </w:numPr>
      <w:tabs>
        <w:tab w:val="left" w:pos="397"/>
      </w:tabs>
      <w:spacing w:line="240" w:lineRule="auto"/>
      <w:ind w:left="851" w:hanging="284"/>
    </w:pPr>
    <w:rPr>
      <w:szCs w:val="22"/>
    </w:rPr>
  </w:style>
  <w:style w:type="paragraph" w:customStyle="1" w:styleId="Bulletlast">
    <w:name w:val="Bullet last"/>
    <w:basedOn w:val="Bullet"/>
    <w:semiHidden/>
    <w:qFormat/>
    <w:rsid w:val="00D61191"/>
    <w:pPr>
      <w:numPr>
        <w:numId w:val="0"/>
      </w:numPr>
      <w:tabs>
        <w:tab w:val="left" w:pos="397"/>
      </w:tabs>
      <w:spacing w:line="240" w:lineRule="auto"/>
      <w:ind w:left="397" w:hanging="397"/>
    </w:pPr>
    <w:rPr>
      <w:szCs w:val="22"/>
    </w:rPr>
  </w:style>
  <w:style w:type="numbering" w:customStyle="1" w:styleId="NoList2">
    <w:name w:val="No List2"/>
    <w:next w:val="NoList"/>
    <w:uiPriority w:val="99"/>
    <w:semiHidden/>
    <w:unhideWhenUsed/>
    <w:rsid w:val="00D61191"/>
  </w:style>
  <w:style w:type="table" w:customStyle="1" w:styleId="Table3Deffects31">
    <w:name w:val="Table 3D effects 31"/>
    <w:basedOn w:val="TableNormal"/>
    <w:next w:val="Table3Deffects3"/>
    <w:rsid w:val="00D61191"/>
    <w:pPr>
      <w:spacing w:after="0" w:line="240" w:lineRule="auto"/>
    </w:pPr>
    <w:rPr>
      <w:rFonts w:ascii="Times New Roman" w:eastAsia="Times New Roman" w:hAnsi="Times New Roman" w:cs="Times New Roman"/>
      <w:i/>
      <w:sz w:val="20"/>
      <w:szCs w:val="20"/>
      <w:lang w:eastAsia="en-NZ"/>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MediumShading1-Accent11">
    <w:name w:val="Medium Shading 1 - Accent 11"/>
    <w:basedOn w:val="TableProfessional"/>
    <w:next w:val="MediumShading1-Accent1"/>
    <w:uiPriority w:val="63"/>
    <w:rsid w:val="00D61191"/>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Professional1">
    <w:name w:val="Table Professional1"/>
    <w:basedOn w:val="TableNormal"/>
    <w:next w:val="TableProfessional"/>
    <w:uiPriority w:val="99"/>
    <w:semiHidden/>
    <w:unhideWhenUsed/>
    <w:rsid w:val="00D61191"/>
    <w:pPr>
      <w:spacing w:after="120" w:line="240" w:lineRule="auto"/>
      <w:jc w:val="both"/>
    </w:pPr>
    <w:rPr>
      <w:rFonts w:ascii="Arial" w:eastAsia="Times New Roman" w:hAnsi="Arial"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NoList11">
    <w:name w:val="No List11"/>
    <w:next w:val="NoList"/>
    <w:uiPriority w:val="99"/>
    <w:semiHidden/>
    <w:unhideWhenUsed/>
    <w:rsid w:val="00D61191"/>
  </w:style>
  <w:style w:type="paragraph" w:customStyle="1" w:styleId="BoxSubbullet">
    <w:name w:val="Box Subbullet"/>
    <w:basedOn w:val="BoxBullet0"/>
    <w:uiPriority w:val="2"/>
    <w:semiHidden/>
    <w:qFormat/>
    <w:rsid w:val="00D61191"/>
    <w:pPr>
      <w:tabs>
        <w:tab w:val="clear" w:pos="851"/>
        <w:tab w:val="left" w:pos="567"/>
        <w:tab w:val="left" w:pos="680"/>
      </w:tabs>
      <w:ind w:left="1135" w:hanging="851"/>
    </w:pPr>
    <w:rPr>
      <w:rFonts w:ascii="Calibri" w:hAnsi="Calibri"/>
      <w:szCs w:val="22"/>
      <w:lang w:eastAsia="en-NZ"/>
    </w:rPr>
  </w:style>
  <w:style w:type="paragraph" w:customStyle="1" w:styleId="Keypointshead">
    <w:name w:val="Key points head"/>
    <w:basedOn w:val="BoxHeading0"/>
    <w:semiHidden/>
    <w:qFormat/>
    <w:rsid w:val="00D61191"/>
    <w:pPr>
      <w:pBdr>
        <w:top w:val="none" w:sz="0" w:space="0" w:color="auto"/>
        <w:left w:val="none" w:sz="0" w:space="0" w:color="auto"/>
        <w:bottom w:val="none" w:sz="0" w:space="0" w:color="auto"/>
        <w:right w:val="none" w:sz="0" w:space="0" w:color="auto"/>
      </w:pBdr>
      <w:ind w:left="0"/>
      <w:jc w:val="left"/>
    </w:pPr>
    <w:rPr>
      <w:rFonts w:ascii="Calibri" w:hAnsi="Calibri"/>
      <w:sz w:val="19"/>
      <w:szCs w:val="19"/>
      <w:lang w:eastAsia="en-NZ"/>
    </w:rPr>
  </w:style>
  <w:style w:type="paragraph" w:customStyle="1" w:styleId="Keypointsbullet">
    <w:name w:val="Key points bullet"/>
    <w:basedOn w:val="BoxBullet0"/>
    <w:semiHidden/>
    <w:qFormat/>
    <w:rsid w:val="00D61191"/>
    <w:pPr>
      <w:numPr>
        <w:numId w:val="29"/>
      </w:numPr>
      <w:pBdr>
        <w:top w:val="none" w:sz="0" w:space="0" w:color="auto"/>
        <w:left w:val="none" w:sz="0" w:space="0" w:color="auto"/>
        <w:bottom w:val="none" w:sz="0" w:space="0" w:color="auto"/>
        <w:right w:val="none" w:sz="0" w:space="0" w:color="auto"/>
      </w:pBdr>
      <w:tabs>
        <w:tab w:val="num" w:pos="360"/>
      </w:tabs>
      <w:spacing w:before="100"/>
    </w:pPr>
    <w:rPr>
      <w:rFonts w:ascii="Calibri" w:hAnsi="Calibri"/>
      <w:sz w:val="18"/>
      <w:szCs w:val="18"/>
      <w:lang w:eastAsia="en-NZ"/>
    </w:rPr>
  </w:style>
  <w:style w:type="paragraph" w:customStyle="1" w:styleId="Keypointsub-bullet">
    <w:name w:val="Key point sub-bullet"/>
    <w:basedOn w:val="BoxSubbullet"/>
    <w:semiHidden/>
    <w:qFormat/>
    <w:rsid w:val="00D61191"/>
    <w:pPr>
      <w:numPr>
        <w:numId w:val="28"/>
      </w:numPr>
      <w:pBdr>
        <w:top w:val="none" w:sz="0" w:space="0" w:color="auto"/>
        <w:left w:val="none" w:sz="0" w:space="0" w:color="auto"/>
        <w:bottom w:val="none" w:sz="0" w:space="0" w:color="auto"/>
        <w:right w:val="none" w:sz="0" w:space="0" w:color="auto"/>
      </w:pBdr>
      <w:tabs>
        <w:tab w:val="clear" w:pos="567"/>
        <w:tab w:val="clear" w:pos="680"/>
        <w:tab w:val="num" w:pos="360"/>
      </w:tabs>
      <w:ind w:hanging="851"/>
    </w:pPr>
    <w:rPr>
      <w:sz w:val="18"/>
      <w:szCs w:val="18"/>
    </w:rPr>
  </w:style>
  <w:style w:type="paragraph" w:customStyle="1" w:styleId="Keypointstext">
    <w:name w:val="Key points text"/>
    <w:basedOn w:val="Keypointshead"/>
    <w:semiHidden/>
    <w:qFormat/>
    <w:rsid w:val="00D61191"/>
    <w:pPr>
      <w:spacing w:before="120" w:after="120"/>
    </w:pPr>
    <w:rPr>
      <w:b w:val="0"/>
    </w:rPr>
  </w:style>
  <w:style w:type="table" w:customStyle="1" w:styleId="ListTable3-Accent11">
    <w:name w:val="List Table 3 - Accent 11"/>
    <w:basedOn w:val="TableNormal"/>
    <w:uiPriority w:val="48"/>
    <w:rsid w:val="00D61191"/>
    <w:pPr>
      <w:spacing w:before="120" w:after="0" w:line="240" w:lineRule="auto"/>
      <w:jc w:val="both"/>
    </w:pPr>
    <w:rPr>
      <w:rFonts w:ascii="Calibri" w:eastAsia="Calibri" w:hAnsi="Calibri" w:cs="Times New Roman"/>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customStyle="1" w:styleId="TableText2">
    <w:name w:val="TableText 2"/>
    <w:basedOn w:val="TableText"/>
    <w:semiHidden/>
    <w:qFormat/>
    <w:rsid w:val="00D61191"/>
    <w:pPr>
      <w:ind w:left="737"/>
    </w:pPr>
    <w:rPr>
      <w:rFonts w:eastAsia="Times New Roman" w:cs="Times New Roman"/>
      <w:sz w:val="16"/>
    </w:rPr>
  </w:style>
  <w:style w:type="paragraph" w:customStyle="1" w:styleId="TableText1">
    <w:name w:val="TableText 1"/>
    <w:basedOn w:val="TableText"/>
    <w:semiHidden/>
    <w:qFormat/>
    <w:rsid w:val="00D61191"/>
    <w:pPr>
      <w:ind w:left="397"/>
    </w:pPr>
    <w:rPr>
      <w:rFonts w:eastAsia="Times New Roman" w:cs="Times New Roman"/>
      <w:sz w:val="16"/>
    </w:rPr>
  </w:style>
  <w:style w:type="paragraph" w:customStyle="1" w:styleId="Sub-bulletdash">
    <w:name w:val="Sub-bullet dash"/>
    <w:basedOn w:val="Normal"/>
    <w:uiPriority w:val="6"/>
    <w:qFormat/>
    <w:rsid w:val="00D61191"/>
    <w:pPr>
      <w:tabs>
        <w:tab w:val="num" w:pos="397"/>
        <w:tab w:val="left" w:pos="794"/>
      </w:tabs>
      <w:spacing w:before="0"/>
      <w:ind w:left="397"/>
      <w:jc w:val="left"/>
    </w:pPr>
    <w:rPr>
      <w:rFonts w:eastAsia="Times New Roman" w:cs="Times New Roman"/>
    </w:rPr>
  </w:style>
  <w:style w:type="table" w:customStyle="1" w:styleId="ListTable3-Accent110">
    <w:name w:val="List Table 3 - Accent 110"/>
    <w:basedOn w:val="TableNormal"/>
    <w:uiPriority w:val="48"/>
    <w:rsid w:val="00D61191"/>
    <w:pPr>
      <w:spacing w:before="120" w:after="0" w:line="240" w:lineRule="auto"/>
      <w:jc w:val="both"/>
    </w:pPr>
    <w:rPr>
      <w:rFonts w:ascii="Calibri" w:eastAsia="Calibri" w:hAnsi="Calibri" w:cs="Times New Roman"/>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character" w:customStyle="1" w:styleId="Heading8Char1">
    <w:name w:val="Heading 8 Char1"/>
    <w:aliases w:val="Char14 Char1"/>
    <w:semiHidden/>
    <w:rsid w:val="00D61191"/>
    <w:rPr>
      <w:rFonts w:ascii="Calibri Light" w:eastAsia="Times New Roman" w:hAnsi="Calibri Light" w:cs="Times New Roman"/>
      <w:color w:val="272727"/>
      <w:sz w:val="21"/>
      <w:szCs w:val="21"/>
      <w:lang w:eastAsia="en-US"/>
    </w:rPr>
  </w:style>
  <w:style w:type="character" w:customStyle="1" w:styleId="CommentTextChar2">
    <w:name w:val="Comment Text Char2"/>
    <w:basedOn w:val="DefaultParagraphFont"/>
    <w:uiPriority w:val="99"/>
    <w:semiHidden/>
    <w:rsid w:val="00D61191"/>
  </w:style>
  <w:style w:type="character" w:customStyle="1" w:styleId="BulletsChar">
    <w:name w:val="Bullets Char"/>
    <w:link w:val="Bullets"/>
    <w:semiHidden/>
    <w:rsid w:val="00D61191"/>
  </w:style>
  <w:style w:type="paragraph" w:customStyle="1" w:styleId="Bullets">
    <w:name w:val="Bullets"/>
    <w:basedOn w:val="Normal"/>
    <w:link w:val="BulletsChar"/>
    <w:semiHidden/>
    <w:rsid w:val="00D61191"/>
    <w:pPr>
      <w:tabs>
        <w:tab w:val="left" w:pos="397"/>
      </w:tabs>
      <w:spacing w:after="0" w:line="240" w:lineRule="auto"/>
      <w:ind w:left="397" w:hanging="397"/>
      <w:jc w:val="left"/>
    </w:pPr>
    <w:rPr>
      <w:rFonts w:asciiTheme="minorHAnsi" w:eastAsiaTheme="minorHAnsi" w:hAnsiTheme="minorHAnsi"/>
      <w:lang w:eastAsia="en-US"/>
    </w:rPr>
  </w:style>
  <w:style w:type="numbering" w:customStyle="1" w:styleId="Annex">
    <w:name w:val="Annex"/>
    <w:uiPriority w:val="99"/>
    <w:rsid w:val="00D61191"/>
  </w:style>
  <w:style w:type="paragraph" w:customStyle="1" w:styleId="Contentssubhead">
    <w:name w:val="Contents subhead"/>
    <w:basedOn w:val="ContentsHeading"/>
    <w:uiPriority w:val="2"/>
    <w:semiHidden/>
    <w:qFormat/>
    <w:rsid w:val="00D61191"/>
    <w:pPr>
      <w:pBdr>
        <w:bottom w:val="none" w:sz="0" w:space="0" w:color="auto"/>
      </w:pBdr>
      <w:outlineLvl w:val="0"/>
    </w:pPr>
    <w:rPr>
      <w:sz w:val="40"/>
    </w:rPr>
  </w:style>
  <w:style w:type="paragraph" w:customStyle="1" w:styleId="TableHeading0">
    <w:name w:val="Table Heading"/>
    <w:basedOn w:val="TableText"/>
    <w:semiHidden/>
    <w:rsid w:val="00D61191"/>
    <w:pPr>
      <w:tabs>
        <w:tab w:val="left" w:pos="567"/>
      </w:tabs>
      <w:spacing w:line="240" w:lineRule="auto"/>
    </w:pPr>
    <w:rPr>
      <w:rFonts w:ascii="Arial Bold" w:eastAsia="Times New Roman" w:hAnsi="Arial Bold" w:cs="Times New Roman"/>
      <w:b/>
      <w:noProof/>
      <w:sz w:val="16"/>
      <w:szCs w:val="16"/>
    </w:rPr>
  </w:style>
  <w:style w:type="numbering" w:customStyle="1" w:styleId="Annex1">
    <w:name w:val="Annex1"/>
    <w:uiPriority w:val="99"/>
    <w:rsid w:val="00D61191"/>
  </w:style>
  <w:style w:type="numbering" w:customStyle="1" w:styleId="Annex11">
    <w:name w:val="Annex11"/>
    <w:uiPriority w:val="99"/>
    <w:rsid w:val="00D61191"/>
  </w:style>
  <w:style w:type="character" w:customStyle="1" w:styleId="Heading9Char1">
    <w:name w:val="Heading 9 Char1"/>
    <w:aliases w:val="Char13 Char1"/>
    <w:semiHidden/>
    <w:rsid w:val="00D61191"/>
    <w:rPr>
      <w:rFonts w:ascii="Calibri Light" w:eastAsia="Times New Roman" w:hAnsi="Calibri Light" w:cs="Times New Roman"/>
      <w:i/>
      <w:iCs/>
      <w:color w:val="272727"/>
      <w:sz w:val="21"/>
      <w:szCs w:val="21"/>
      <w:lang w:eastAsia="en-US"/>
    </w:rPr>
  </w:style>
  <w:style w:type="paragraph" w:customStyle="1" w:styleId="Headerleft">
    <w:name w:val="Header left"/>
    <w:basedOn w:val="Normal"/>
    <w:semiHidden/>
    <w:rsid w:val="00D61191"/>
    <w:pPr>
      <w:suppressLineNumbers/>
      <w:tabs>
        <w:tab w:val="center" w:pos="3968"/>
        <w:tab w:val="right" w:pos="7937"/>
      </w:tabs>
      <w:suppressAutoHyphens/>
      <w:spacing w:before="0" w:line="240" w:lineRule="auto"/>
      <w:jc w:val="left"/>
    </w:pPr>
    <w:rPr>
      <w:rFonts w:ascii="Times New Roman" w:eastAsia="Times New Roman" w:hAnsi="Times New Roman" w:cs="Times New Roman"/>
      <w:lang w:eastAsia="ar-SA"/>
    </w:rPr>
  </w:style>
  <w:style w:type="character" w:customStyle="1" w:styleId="QuoteChar1">
    <w:name w:val="Quote Char1"/>
    <w:uiPriority w:val="29"/>
    <w:semiHidden/>
    <w:rsid w:val="00D61191"/>
    <w:rPr>
      <w:rFonts w:ascii="Times New Roman" w:hAnsi="Times New Roman"/>
      <w:i/>
      <w:iCs/>
      <w:color w:val="000000"/>
      <w:lang w:eastAsia="en-US"/>
    </w:rPr>
  </w:style>
  <w:style w:type="character" w:customStyle="1" w:styleId="NIRTitleChar">
    <w:name w:val="NIR Title Char"/>
    <w:link w:val="NIRTitle"/>
    <w:semiHidden/>
    <w:locked/>
    <w:rsid w:val="00D61191"/>
    <w:rPr>
      <w:rFonts w:ascii="Calibri Light" w:eastAsia="Malgun Gothic" w:hAnsi="Calibri Light"/>
      <w:color w:val="323E4F"/>
      <w:spacing w:val="5"/>
      <w:kern w:val="28"/>
      <w:sz w:val="52"/>
      <w:szCs w:val="52"/>
    </w:rPr>
  </w:style>
  <w:style w:type="paragraph" w:customStyle="1" w:styleId="NIRTitle">
    <w:name w:val="NIR Title"/>
    <w:basedOn w:val="Title"/>
    <w:link w:val="NIRTitleChar"/>
    <w:semiHidden/>
    <w:qFormat/>
    <w:rsid w:val="00D61191"/>
    <w:pPr>
      <w:pBdr>
        <w:bottom w:val="single" w:sz="8" w:space="4" w:color="5B9BD5"/>
      </w:pBdr>
      <w:spacing w:before="0" w:after="300" w:line="240" w:lineRule="auto"/>
      <w:contextualSpacing/>
      <w:jc w:val="both"/>
    </w:pPr>
    <w:rPr>
      <w:rFonts w:ascii="Calibri Light" w:eastAsia="Malgun Gothic" w:hAnsi="Calibri Light"/>
      <w:b w:val="0"/>
      <w:color w:val="323E4F"/>
      <w:spacing w:val="5"/>
      <w:kern w:val="28"/>
      <w:sz w:val="52"/>
      <w:szCs w:val="52"/>
      <w:lang w:eastAsia="en-US"/>
    </w:rPr>
  </w:style>
  <w:style w:type="paragraph" w:customStyle="1" w:styleId="msonormal0">
    <w:name w:val="msonormal"/>
    <w:basedOn w:val="Normal"/>
    <w:rsid w:val="00D61191"/>
    <w:pPr>
      <w:widowControl w:val="0"/>
      <w:adjustRightInd w:val="0"/>
      <w:spacing w:before="100" w:beforeAutospacing="1" w:after="100" w:afterAutospacing="1" w:line="240" w:lineRule="auto"/>
      <w:jc w:val="left"/>
    </w:pPr>
    <w:rPr>
      <w:rFonts w:ascii="Times New Roman" w:eastAsia="Times New Roman" w:hAnsi="Times New Roman" w:cs="Times New Roman"/>
      <w:szCs w:val="24"/>
      <w:lang w:val="en-GB" w:eastAsia="en-GB"/>
    </w:rPr>
  </w:style>
  <w:style w:type="character" w:customStyle="1" w:styleId="BodyText2Char1">
    <w:name w:val="Body Text 2 Char1"/>
    <w:aliases w:val="Char4 Char1"/>
    <w:semiHidden/>
    <w:rsid w:val="00D61191"/>
    <w:rPr>
      <w:rFonts w:ascii="Times New Roman" w:hAnsi="Times New Roman"/>
      <w:sz w:val="22"/>
      <w:lang w:eastAsia="en-US"/>
    </w:rPr>
  </w:style>
  <w:style w:type="character" w:customStyle="1" w:styleId="DocumentMapChar1">
    <w:name w:val="Document Map Char1"/>
    <w:aliases w:val="Char1 Char1"/>
    <w:semiHidden/>
    <w:rsid w:val="00D61191"/>
    <w:rPr>
      <w:rFonts w:ascii="Segoe UI" w:hAnsi="Segoe UI" w:cs="Segoe UI"/>
      <w:sz w:val="16"/>
      <w:szCs w:val="16"/>
      <w:lang w:eastAsia="en-US"/>
    </w:rPr>
  </w:style>
  <w:style w:type="character" w:customStyle="1" w:styleId="BalloonTextChar1">
    <w:name w:val="Balloon Text Char1"/>
    <w:aliases w:val="Char6 Char1"/>
    <w:semiHidden/>
    <w:rsid w:val="00D61191"/>
    <w:rPr>
      <w:rFonts w:ascii="Segoe UI" w:hAnsi="Segoe UI" w:cs="Segoe UI"/>
      <w:sz w:val="18"/>
      <w:szCs w:val="18"/>
      <w:lang w:eastAsia="en-US"/>
    </w:rPr>
  </w:style>
  <w:style w:type="character" w:customStyle="1" w:styleId="TOCHeadingChar">
    <w:name w:val="TOC_Heading Char"/>
    <w:link w:val="TOCHeading0"/>
    <w:semiHidden/>
    <w:locked/>
    <w:rsid w:val="00D61191"/>
    <w:rPr>
      <w:rFonts w:ascii="Arial" w:hAnsi="Arial" w:cs="Arial"/>
      <w:b/>
      <w:bCs/>
      <w:caps/>
      <w:color w:val="666666"/>
      <w:sz w:val="32"/>
      <w:szCs w:val="32"/>
      <w:lang w:val="en-AU"/>
    </w:rPr>
  </w:style>
  <w:style w:type="paragraph" w:customStyle="1" w:styleId="TOCHeading0">
    <w:name w:val="TOC_Heading"/>
    <w:basedOn w:val="Normal"/>
    <w:link w:val="TOCHeadingChar"/>
    <w:semiHidden/>
    <w:rsid w:val="00D61191"/>
    <w:pPr>
      <w:keepNext/>
      <w:spacing w:before="0" w:after="360" w:line="240" w:lineRule="auto"/>
      <w:jc w:val="left"/>
      <w:outlineLvl w:val="0"/>
    </w:pPr>
    <w:rPr>
      <w:rFonts w:ascii="Arial" w:eastAsiaTheme="minorHAnsi" w:hAnsi="Arial" w:cs="Arial"/>
      <w:b/>
      <w:bCs/>
      <w:caps/>
      <w:color w:val="666666"/>
      <w:sz w:val="32"/>
      <w:szCs w:val="32"/>
      <w:lang w:val="en-AU" w:eastAsia="en-US"/>
    </w:rPr>
  </w:style>
  <w:style w:type="table" w:customStyle="1" w:styleId="PlainTable51">
    <w:name w:val="Plain Table 51"/>
    <w:basedOn w:val="TableNormal"/>
    <w:uiPriority w:val="45"/>
    <w:rsid w:val="00D61191"/>
    <w:pPr>
      <w:spacing w:after="0" w:line="240" w:lineRule="auto"/>
    </w:pPr>
    <w:rPr>
      <w:rFonts w:ascii="Times New Roman" w:eastAsia="Times New Roman" w:hAnsi="Times New Roman" w:cs="Times New Roman"/>
      <w:sz w:val="20"/>
      <w:szCs w:val="20"/>
      <w:lang w:eastAsia="en-NZ"/>
    </w:rPr>
    <w:tblPr>
      <w:tblStyleRowBandSize w:val="1"/>
      <w:tblStyleColBandSize w:val="1"/>
      <w:tblInd w:w="0" w:type="nil"/>
    </w:tblPr>
    <w:tblStylePr w:type="firstRow">
      <w:rPr>
        <w:rFonts w:ascii="Calibri Light" w:eastAsia="Times New Roman" w:hAnsi="Calibri Light" w:cs="Times New Roman" w:hint="default"/>
        <w:i/>
        <w:iCs/>
        <w:sz w:val="26"/>
        <w:szCs w:val="26"/>
      </w:rPr>
      <w:tblPr/>
      <w:tcPr>
        <w:tcBorders>
          <w:bottom w:val="single" w:sz="4" w:space="0" w:color="7F7F7F"/>
        </w:tcBorders>
        <w:shd w:val="clear" w:color="auto" w:fill="FFFFFF"/>
      </w:tcPr>
    </w:tblStylePr>
    <w:tblStylePr w:type="lastRow">
      <w:rPr>
        <w:rFonts w:ascii="Calibri Light" w:eastAsia="Times New Roman" w:hAnsi="Calibri Light" w:cs="Times New Roman" w:hint="default"/>
        <w:i/>
        <w:iCs/>
        <w:sz w:val="26"/>
        <w:szCs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hint="default"/>
        <w:i/>
        <w:iCs/>
        <w:sz w:val="26"/>
        <w:szCs w:val="26"/>
      </w:rPr>
      <w:tblPr/>
      <w:tcPr>
        <w:tcBorders>
          <w:right w:val="single" w:sz="4" w:space="0" w:color="7F7F7F"/>
        </w:tcBorders>
        <w:shd w:val="clear" w:color="auto" w:fill="FFFFFF"/>
      </w:tcPr>
    </w:tblStylePr>
    <w:tblStylePr w:type="lastCol">
      <w:rPr>
        <w:rFonts w:ascii="Calibri Light" w:eastAsia="Times New Roman" w:hAnsi="Calibri Light" w:cs="Times New Roman" w:hint="default"/>
        <w:i/>
        <w:iCs/>
        <w:sz w:val="26"/>
        <w:szCs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21">
    <w:name w:val="Plain Table 21"/>
    <w:basedOn w:val="TableNormal"/>
    <w:uiPriority w:val="42"/>
    <w:rsid w:val="00D61191"/>
    <w:pPr>
      <w:spacing w:after="0" w:line="240" w:lineRule="auto"/>
    </w:pPr>
    <w:rPr>
      <w:rFonts w:ascii="Times New Roman" w:eastAsia="Times New Roman" w:hAnsi="Times New Roman" w:cs="Times New Roman"/>
      <w:sz w:val="20"/>
      <w:szCs w:val="20"/>
      <w:lang w:eastAsia="en-NZ"/>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Style4">
    <w:name w:val="Style4"/>
    <w:uiPriority w:val="99"/>
    <w:rsid w:val="00D61191"/>
  </w:style>
  <w:style w:type="numbering" w:customStyle="1" w:styleId="Style6">
    <w:name w:val="Style6"/>
    <w:uiPriority w:val="99"/>
    <w:rsid w:val="00D61191"/>
  </w:style>
  <w:style w:type="numbering" w:customStyle="1" w:styleId="Style7">
    <w:name w:val="Style7"/>
    <w:uiPriority w:val="99"/>
    <w:rsid w:val="00D61191"/>
  </w:style>
  <w:style w:type="numbering" w:customStyle="1" w:styleId="Style8">
    <w:name w:val="Style8"/>
    <w:uiPriority w:val="99"/>
    <w:rsid w:val="00D61191"/>
    <w:pPr>
      <w:numPr>
        <w:numId w:val="34"/>
      </w:numPr>
    </w:pPr>
  </w:style>
  <w:style w:type="numbering" w:customStyle="1" w:styleId="Style9">
    <w:name w:val="Style9"/>
    <w:uiPriority w:val="99"/>
    <w:rsid w:val="00D61191"/>
    <w:pPr>
      <w:numPr>
        <w:numId w:val="35"/>
      </w:numPr>
    </w:pPr>
  </w:style>
  <w:style w:type="table" w:customStyle="1" w:styleId="RSTableGrida3">
    <w:name w:val="RS Table Grid a3"/>
    <w:basedOn w:val="TableNormal"/>
    <w:next w:val="TableGrid"/>
    <w:uiPriority w:val="59"/>
    <w:rsid w:val="00697651"/>
    <w:pPr>
      <w:spacing w:after="0" w:line="240" w:lineRule="auto"/>
      <w:jc w:val="both"/>
    </w:pPr>
    <w:rPr>
      <w:rFonts w:ascii="Wingdings" w:eastAsia="Wingdings" w:hAnsi="Wingdings" w:cs="Wingdings"/>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geNumbers">
    <w:name w:val="Page Numbers"/>
    <w:basedOn w:val="Normal"/>
    <w:uiPriority w:val="26"/>
    <w:rsid w:val="00182E8E"/>
    <w:pPr>
      <w:framePr w:wrap="around" w:vAnchor="text" w:hAnchor="page" w:xAlign="center" w:y="1"/>
      <w:spacing w:line="240" w:lineRule="auto"/>
      <w:jc w:val="center"/>
    </w:pPr>
    <w:rPr>
      <w:sz w:val="18"/>
    </w:rPr>
  </w:style>
  <w:style w:type="paragraph" w:customStyle="1" w:styleId="Number">
    <w:name w:val="Number"/>
    <w:link w:val="NumberChar"/>
    <w:uiPriority w:val="25"/>
    <w:rsid w:val="00182E8E"/>
    <w:pPr>
      <w:spacing w:before="120" w:after="120" w:line="288" w:lineRule="auto"/>
    </w:pPr>
    <w:rPr>
      <w:rFonts w:ascii="Verdana" w:eastAsia="Times New Roman" w:hAnsi="Verdana" w:cs="Times New Roman"/>
      <w:sz w:val="20"/>
      <w:szCs w:val="20"/>
    </w:rPr>
  </w:style>
  <w:style w:type="character" w:customStyle="1" w:styleId="NumberChar">
    <w:name w:val="Number Char"/>
    <w:link w:val="Number"/>
    <w:uiPriority w:val="25"/>
    <w:rsid w:val="00182E8E"/>
    <w:rPr>
      <w:rFonts w:ascii="Verdana" w:eastAsia="Times New Roman" w:hAnsi="Verdana" w:cs="Times New Roman"/>
      <w:sz w:val="20"/>
      <w:szCs w:val="20"/>
    </w:rPr>
  </w:style>
  <w:style w:type="paragraph" w:customStyle="1" w:styleId="TOC11">
    <w:name w:val="TOC 11"/>
    <w:basedOn w:val="Normal"/>
    <w:uiPriority w:val="17"/>
    <w:semiHidden/>
    <w:rsid w:val="00182E8E"/>
    <w:pPr>
      <w:spacing w:before="180" w:line="240" w:lineRule="auto"/>
    </w:pPr>
  </w:style>
  <w:style w:type="paragraph" w:customStyle="1" w:styleId="TOC21">
    <w:name w:val="TOC 21"/>
    <w:basedOn w:val="Normal"/>
    <w:uiPriority w:val="18"/>
    <w:semiHidden/>
    <w:rsid w:val="00182E8E"/>
    <w:pPr>
      <w:spacing w:line="240" w:lineRule="auto"/>
      <w:ind w:left="284"/>
    </w:pPr>
    <w:rPr>
      <w:sz w:val="18"/>
    </w:rPr>
  </w:style>
  <w:style w:type="paragraph" w:customStyle="1" w:styleId="TOC31">
    <w:name w:val="TOC 31"/>
    <w:basedOn w:val="Normal"/>
    <w:uiPriority w:val="19"/>
    <w:semiHidden/>
    <w:rsid w:val="00182E8E"/>
    <w:pPr>
      <w:spacing w:before="60" w:line="240" w:lineRule="auto"/>
      <w:ind w:left="567"/>
    </w:pPr>
    <w:rPr>
      <w:sz w:val="18"/>
    </w:rPr>
  </w:style>
  <w:style w:type="table" w:customStyle="1" w:styleId="StyleNIR4">
    <w:name w:val="Style_NIR4"/>
    <w:basedOn w:val="TableNormal"/>
    <w:uiPriority w:val="99"/>
    <w:rsid w:val="00200D72"/>
    <w:pPr>
      <w:spacing w:before="120" w:after="0" w:line="240" w:lineRule="auto"/>
      <w:jc w:val="both"/>
    </w:pPr>
    <w:rPr>
      <w:rFonts w:ascii="Arial" w:eastAsia="Times New Roman" w:hAnsi="Arial" w:cs="Times New Roman"/>
      <w:sz w:val="16"/>
      <w:szCs w:val="20"/>
      <w:lang w:eastAsia="en-NZ"/>
    </w:rPr>
    <w:tblPr/>
    <w:tblStylePr w:type="firstRow">
      <w:rPr>
        <w:rFonts w:ascii="Arial" w:hAnsi="Arial"/>
        <w:b/>
      </w:rPr>
      <w:tblPr/>
      <w:tcPr>
        <w:shd w:val="clear" w:color="auto" w:fill="FFFFFF" w:themeFill="background1"/>
      </w:tcPr>
    </w:tblStylePr>
  </w:style>
  <w:style w:type="table" w:customStyle="1" w:styleId="StyleNIR5">
    <w:name w:val="Style_NIR5"/>
    <w:basedOn w:val="TableNormal"/>
    <w:uiPriority w:val="99"/>
    <w:rsid w:val="00200D72"/>
    <w:pPr>
      <w:spacing w:before="120" w:after="0" w:line="240" w:lineRule="auto"/>
      <w:jc w:val="both"/>
    </w:pPr>
    <w:rPr>
      <w:rFonts w:ascii="Arial" w:eastAsia="Times New Roman" w:hAnsi="Arial" w:cs="Times New Roman"/>
      <w:sz w:val="16"/>
      <w:szCs w:val="20"/>
      <w:lang w:eastAsia="en-NZ"/>
    </w:rPr>
    <w:tblPr/>
    <w:tblStylePr w:type="firstRow">
      <w:rPr>
        <w:rFonts w:ascii="Arial" w:hAnsi="Arial"/>
        <w:b/>
      </w:rPr>
      <w:tblPr/>
      <w:tcPr>
        <w:shd w:val="clear" w:color="auto" w:fill="FFFFFF" w:themeFill="background1"/>
      </w:tcPr>
    </w:tblStylePr>
  </w:style>
  <w:style w:type="paragraph" w:customStyle="1" w:styleId="StyleHeading6Before6pt">
    <w:name w:val="Style Heading 6 + Before:  6 pt"/>
    <w:basedOn w:val="Heading6"/>
    <w:uiPriority w:val="99"/>
    <w:semiHidden/>
    <w:rsid w:val="00200D72"/>
    <w:pPr>
      <w:spacing w:before="120" w:line="240" w:lineRule="auto"/>
      <w:ind w:left="1152" w:hanging="1152"/>
    </w:pPr>
    <w:rPr>
      <w:rFonts w:eastAsiaTheme="minorEastAsia" w:cstheme="minorBidi"/>
      <w:bCs w:val="0"/>
      <w:iCs w:val="0"/>
      <w:szCs w:val="22"/>
      <w:lang w:eastAsia="en-NZ"/>
    </w:rPr>
  </w:style>
  <w:style w:type="character" w:customStyle="1" w:styleId="Heading7Char1">
    <w:name w:val="Heading 7 Char1"/>
    <w:aliases w:val="Char15 Char1"/>
    <w:semiHidden/>
    <w:rsid w:val="00200D72"/>
    <w:rPr>
      <w:rFonts w:ascii="Calibri Light" w:eastAsia="Times New Roman" w:hAnsi="Calibri Light" w:cs="Times New Roman"/>
      <w:i/>
      <w:iCs/>
      <w:color w:val="1F4D78"/>
      <w:sz w:val="22"/>
      <w:lang w:eastAsia="en-US"/>
    </w:rPr>
  </w:style>
  <w:style w:type="paragraph" w:styleId="IntenseQuote">
    <w:name w:val="Intense Quote"/>
    <w:basedOn w:val="Normal"/>
    <w:next w:val="Normal"/>
    <w:link w:val="IntenseQuoteChar"/>
    <w:uiPriority w:val="30"/>
    <w:qFormat/>
    <w:rsid w:val="00200D72"/>
    <w:pPr>
      <w:pBdr>
        <w:top w:val="single" w:sz="4" w:space="10" w:color="153F50" w:themeColor="accent1" w:themeShade="BF"/>
        <w:bottom w:val="single" w:sz="4" w:space="10" w:color="153F50" w:themeColor="accent1" w:themeShade="BF"/>
      </w:pBdr>
      <w:spacing w:before="360" w:after="360"/>
      <w:ind w:left="864" w:right="864"/>
      <w:jc w:val="center"/>
    </w:pPr>
    <w:rPr>
      <w:i/>
      <w:iCs/>
      <w:color w:val="153F50" w:themeColor="accent1" w:themeShade="BF"/>
    </w:rPr>
  </w:style>
  <w:style w:type="character" w:customStyle="1" w:styleId="IntenseQuoteChar">
    <w:name w:val="Intense Quote Char"/>
    <w:basedOn w:val="DefaultParagraphFont"/>
    <w:link w:val="IntenseQuote"/>
    <w:uiPriority w:val="30"/>
    <w:rsid w:val="00082891"/>
    <w:rPr>
      <w:rFonts w:ascii="Calibri" w:eastAsiaTheme="minorEastAsia" w:hAnsi="Calibri"/>
      <w:i/>
      <w:iCs/>
      <w:color w:val="153F50" w:themeColor="accent1" w:themeShade="BF"/>
      <w:lang w:eastAsia="en-NZ"/>
    </w:rPr>
  </w:style>
  <w:style w:type="character" w:styleId="IntenseReference">
    <w:name w:val="Intense Reference"/>
    <w:basedOn w:val="DefaultParagraphFont"/>
    <w:uiPriority w:val="32"/>
    <w:qFormat/>
    <w:rsid w:val="00200D72"/>
    <w:rPr>
      <w:b/>
      <w:bCs/>
      <w:smallCaps/>
      <w:color w:val="153F50" w:themeColor="accent1" w:themeShade="BF"/>
      <w:spacing w:val="5"/>
    </w:rPr>
  </w:style>
  <w:style w:type="character" w:customStyle="1" w:styleId="ListParagraphChar">
    <w:name w:val="List Paragraph Char"/>
    <w:aliases w:val="List Paragraph1 Char,Recommendation Char,List Paragraph11 Char,TOC style Char,lp1 Char,Bullet OSM Char,Proposal Bullet List Char,Rec para Char,Dot pt Char,F5 List Paragraph Char,List Paragraph Char Char Char Char,Indicator Text Char"/>
    <w:link w:val="ListParagraph"/>
    <w:uiPriority w:val="34"/>
    <w:qFormat/>
    <w:rsid w:val="00082891"/>
    <w:rPr>
      <w:rFonts w:ascii="Times New Roman" w:eastAsiaTheme="minorEastAsia" w:hAnsi="Times New Roman"/>
      <w:szCs w:val="20"/>
      <w:lang w:eastAsia="en-GB"/>
    </w:rPr>
  </w:style>
  <w:style w:type="table" w:customStyle="1" w:styleId="MediumShading1-Accent21">
    <w:name w:val="Medium Shading 1 - Accent 21"/>
    <w:basedOn w:val="TableNormal"/>
    <w:next w:val="MediumShading1-Accent2"/>
    <w:uiPriority w:val="63"/>
    <w:rsid w:val="00F51113"/>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customStyle="1" w:styleId="LightList-Accent51">
    <w:name w:val="Light List - Accent 51"/>
    <w:basedOn w:val="TableNormal"/>
    <w:next w:val="LightList-Accent5"/>
    <w:uiPriority w:val="61"/>
    <w:rsid w:val="00F51113"/>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customStyle="1" w:styleId="LightGrid-Accent51">
    <w:name w:val="Light Grid - Accent 51"/>
    <w:basedOn w:val="TableNormal"/>
    <w:next w:val="LightGrid-Accent5"/>
    <w:uiPriority w:val="62"/>
    <w:rsid w:val="00F51113"/>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numbering" w:customStyle="1" w:styleId="Style21">
    <w:name w:val="Style21"/>
    <w:uiPriority w:val="99"/>
    <w:rsid w:val="00F51113"/>
  </w:style>
  <w:style w:type="paragraph" w:customStyle="1" w:styleId="Sub-bullet">
    <w:name w:val="Sub-bullet"/>
    <w:basedOn w:val="Normal"/>
    <w:uiPriority w:val="1"/>
    <w:rsid w:val="00F51113"/>
    <w:pPr>
      <w:tabs>
        <w:tab w:val="num" w:pos="0"/>
      </w:tabs>
      <w:spacing w:after="0" w:line="240" w:lineRule="auto"/>
      <w:ind w:left="680" w:hanging="283"/>
    </w:pPr>
    <w:rPr>
      <w:rFonts w:ascii="Times New Roman" w:eastAsia="Times New Roman" w:hAnsi="Times New Roman" w:cs="Times New Roman"/>
      <w:szCs w:val="20"/>
    </w:rPr>
  </w:style>
  <w:style w:type="paragraph" w:customStyle="1" w:styleId="Heading2forTOC">
    <w:name w:val="Heading 2 for TOC"/>
    <w:basedOn w:val="Normal"/>
    <w:semiHidden/>
    <w:qFormat/>
    <w:rsid w:val="00F51113"/>
    <w:pPr>
      <w:spacing w:before="240" w:line="240" w:lineRule="auto"/>
    </w:pPr>
  </w:style>
  <w:style w:type="table" w:styleId="ListTable4-Accent1">
    <w:name w:val="List Table 4 Accent 1"/>
    <w:basedOn w:val="TableNormal"/>
    <w:uiPriority w:val="49"/>
    <w:rsid w:val="00F51113"/>
    <w:pPr>
      <w:spacing w:after="0" w:line="240" w:lineRule="auto"/>
    </w:pPr>
    <w:tblPr>
      <w:tblStyleRowBandSize w:val="1"/>
      <w:tblStyleColBandSize w:val="1"/>
      <w:tblBorders>
        <w:top w:val="single" w:sz="4" w:space="0" w:color="4CAAD0" w:themeColor="accent1" w:themeTint="99"/>
        <w:left w:val="single" w:sz="4" w:space="0" w:color="4CAAD0" w:themeColor="accent1" w:themeTint="99"/>
        <w:bottom w:val="single" w:sz="4" w:space="0" w:color="4CAAD0" w:themeColor="accent1" w:themeTint="99"/>
        <w:right w:val="single" w:sz="4" w:space="0" w:color="4CAAD0" w:themeColor="accent1" w:themeTint="99"/>
        <w:insideH w:val="single" w:sz="4" w:space="0" w:color="4CAAD0" w:themeColor="accent1" w:themeTint="99"/>
      </w:tblBorders>
    </w:tblPr>
    <w:tblStylePr w:type="firstRow">
      <w:rPr>
        <w:b/>
        <w:bCs/>
        <w:color w:val="FFFFFF" w:themeColor="background1"/>
      </w:rPr>
      <w:tblPr/>
      <w:tcPr>
        <w:tcBorders>
          <w:top w:val="single" w:sz="4" w:space="0" w:color="1C556C" w:themeColor="accent1"/>
          <w:left w:val="single" w:sz="4" w:space="0" w:color="1C556C" w:themeColor="accent1"/>
          <w:bottom w:val="single" w:sz="4" w:space="0" w:color="1C556C" w:themeColor="accent1"/>
          <w:right w:val="single" w:sz="4" w:space="0" w:color="1C556C" w:themeColor="accent1"/>
          <w:insideH w:val="nil"/>
        </w:tcBorders>
        <w:shd w:val="clear" w:color="auto" w:fill="1C556C" w:themeFill="accent1"/>
      </w:tcPr>
    </w:tblStylePr>
    <w:tblStylePr w:type="lastRow">
      <w:rPr>
        <w:b/>
        <w:bCs/>
      </w:rPr>
      <w:tblPr/>
      <w:tcPr>
        <w:tcBorders>
          <w:top w:val="double" w:sz="4" w:space="0" w:color="4CAAD0" w:themeColor="accent1" w:themeTint="99"/>
        </w:tcBorders>
      </w:tcPr>
    </w:tblStylePr>
    <w:tblStylePr w:type="firstCol">
      <w:rPr>
        <w:b/>
        <w:bCs/>
      </w:rPr>
    </w:tblStylePr>
    <w:tblStylePr w:type="lastCol">
      <w:rPr>
        <w:b/>
        <w:bCs/>
      </w:rPr>
    </w:tblStylePr>
    <w:tblStylePr w:type="band1Vert">
      <w:tblPr/>
      <w:tcPr>
        <w:shd w:val="clear" w:color="auto" w:fill="C3E2EF" w:themeFill="accent1" w:themeFillTint="33"/>
      </w:tcPr>
    </w:tblStylePr>
    <w:tblStylePr w:type="band1Horz">
      <w:tblPr/>
      <w:tcPr>
        <w:shd w:val="clear" w:color="auto" w:fill="C3E2EF" w:themeFill="accent1" w:themeFillTint="33"/>
      </w:tcPr>
    </w:tblStylePr>
  </w:style>
  <w:style w:type="table" w:styleId="PlainTable2">
    <w:name w:val="Plain Table 2"/>
    <w:basedOn w:val="TableNormal"/>
    <w:uiPriority w:val="42"/>
    <w:rsid w:val="00F51113"/>
    <w:pPr>
      <w:spacing w:after="0" w:line="240" w:lineRule="auto"/>
    </w:pPr>
    <w:rPr>
      <w:rFonts w:ascii="Times New Roman" w:eastAsia="Times New Roman" w:hAnsi="Times New Roman" w:cs="Times New Roman"/>
      <w:sz w:val="20"/>
      <w:szCs w:val="20"/>
      <w:lang w:eastAsia="en-NZ"/>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Style11">
    <w:name w:val="Style11"/>
    <w:uiPriority w:val="99"/>
    <w:rsid w:val="00921D1F"/>
    <w:pPr>
      <w:numPr>
        <w:numId w:val="118"/>
      </w:numPr>
    </w:pPr>
  </w:style>
  <w:style w:type="numbering" w:customStyle="1" w:styleId="Style31">
    <w:name w:val="Style31"/>
    <w:uiPriority w:val="99"/>
    <w:rsid w:val="00921D1F"/>
    <w:pPr>
      <w:numPr>
        <w:numId w:val="9"/>
      </w:numPr>
    </w:pPr>
  </w:style>
  <w:style w:type="paragraph" w:customStyle="1" w:styleId="Heading2notTOC">
    <w:name w:val="Heading 2 not TOC"/>
    <w:basedOn w:val="Heading2"/>
    <w:semiHidden/>
    <w:qFormat/>
    <w:rsid w:val="00921D1F"/>
    <w:pPr>
      <w:tabs>
        <w:tab w:val="clear" w:pos="1134"/>
        <w:tab w:val="left" w:pos="851"/>
      </w:tabs>
    </w:pPr>
  </w:style>
  <w:style w:type="paragraph" w:customStyle="1" w:styleId="Heading1notforTOC">
    <w:name w:val="Heading 1 not for TOC"/>
    <w:basedOn w:val="Heading1"/>
    <w:rsid w:val="00921D1F"/>
  </w:style>
  <w:style w:type="paragraph" w:customStyle="1" w:styleId="Heading70">
    <w:name w:val="Heading7"/>
    <w:basedOn w:val="BodyText"/>
    <w:link w:val="Heading7Char0"/>
    <w:semiHidden/>
    <w:qFormat/>
    <w:rsid w:val="00921D1F"/>
    <w:rPr>
      <w:i/>
      <w:iCs/>
    </w:rPr>
  </w:style>
  <w:style w:type="character" w:customStyle="1" w:styleId="Heading7Char0">
    <w:name w:val="Heading7 Char"/>
    <w:basedOn w:val="BodyTextChar"/>
    <w:link w:val="Heading70"/>
    <w:semiHidden/>
    <w:rsid w:val="00082891"/>
    <w:rPr>
      <w:rFonts w:ascii="Calibri" w:eastAsiaTheme="minorEastAsia" w:hAnsi="Calibri"/>
      <w:i/>
      <w:iCs/>
      <w:lang w:eastAsia="en-NZ"/>
    </w:rPr>
  </w:style>
  <w:style w:type="paragraph" w:customStyle="1" w:styleId="Figure">
    <w:name w:val="Figure"/>
    <w:basedOn w:val="Normal"/>
    <w:next w:val="BodyText"/>
    <w:link w:val="FigureChar"/>
    <w:uiPriority w:val="1"/>
    <w:qFormat/>
    <w:rsid w:val="00A8128F"/>
    <w:pPr>
      <w:keepNext/>
      <w:spacing w:line="240" w:lineRule="auto"/>
      <w:ind w:left="1247" w:hanging="1247"/>
      <w:jc w:val="left"/>
    </w:pPr>
    <w:rPr>
      <w:rFonts w:eastAsia="Times New Roman" w:cs="Times New Roman"/>
      <w:b/>
      <w:sz w:val="18"/>
    </w:rPr>
  </w:style>
  <w:style w:type="paragraph" w:customStyle="1" w:styleId="Table">
    <w:name w:val="Table"/>
    <w:basedOn w:val="Normal"/>
    <w:next w:val="BodyText"/>
    <w:link w:val="TableChar"/>
    <w:rsid w:val="00A8128F"/>
    <w:pPr>
      <w:keepNext/>
      <w:spacing w:line="240" w:lineRule="auto"/>
      <w:ind w:left="1247" w:hanging="1247"/>
      <w:jc w:val="left"/>
    </w:pPr>
    <w:rPr>
      <w:rFonts w:eastAsia="Times New Roman" w:cs="Times New Roman"/>
      <w:b/>
      <w:sz w:val="18"/>
    </w:rPr>
  </w:style>
  <w:style w:type="character" w:customStyle="1" w:styleId="FigureChar">
    <w:name w:val="Figure Char"/>
    <w:link w:val="Figure"/>
    <w:uiPriority w:val="1"/>
    <w:rsid w:val="00A8128F"/>
    <w:rPr>
      <w:rFonts w:ascii="Calibri" w:eastAsia="Times New Roman" w:hAnsi="Calibri" w:cs="Times New Roman"/>
      <w:b/>
      <w:sz w:val="18"/>
      <w:lang w:eastAsia="en-NZ"/>
    </w:rPr>
  </w:style>
  <w:style w:type="character" w:customStyle="1" w:styleId="TableChar">
    <w:name w:val="Table Char"/>
    <w:link w:val="Table"/>
    <w:locked/>
    <w:rsid w:val="00A8128F"/>
    <w:rPr>
      <w:rFonts w:ascii="Calibri" w:eastAsia="Times New Roman" w:hAnsi="Calibri" w:cs="Times New Roman"/>
      <w:b/>
      <w:sz w:val="18"/>
      <w:lang w:eastAsia="en-NZ"/>
    </w:rPr>
  </w:style>
  <w:style w:type="numbering" w:customStyle="1" w:styleId="Style12">
    <w:name w:val="Style12"/>
    <w:uiPriority w:val="99"/>
    <w:rsid w:val="001B68A1"/>
    <w:pPr>
      <w:numPr>
        <w:numId w:val="122"/>
      </w:numPr>
    </w:pPr>
  </w:style>
  <w:style w:type="numbering" w:customStyle="1" w:styleId="Style22">
    <w:name w:val="Style22"/>
    <w:uiPriority w:val="99"/>
    <w:rsid w:val="001B68A1"/>
    <w:pPr>
      <w:numPr>
        <w:numId w:val="125"/>
      </w:numPr>
    </w:pPr>
  </w:style>
  <w:style w:type="numbering" w:customStyle="1" w:styleId="Style32">
    <w:name w:val="Style32"/>
    <w:uiPriority w:val="99"/>
    <w:rsid w:val="001B68A1"/>
    <w:pPr>
      <w:numPr>
        <w:numId w:val="126"/>
      </w:numPr>
    </w:pPr>
  </w:style>
  <w:style w:type="table" w:customStyle="1" w:styleId="LightGrid-Accent1112">
    <w:name w:val="Light Grid - Accent 1112"/>
    <w:basedOn w:val="TableNormal"/>
    <w:uiPriority w:val="62"/>
    <w:rsid w:val="008A3868"/>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Malgun Gothic Semilight" w:eastAsia="Times New Roman" w:hAnsi="@Malgun Gothic Semi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Malgun Gothic Semilight" w:eastAsia="Times New Roman" w:hAnsi="@Malgun Gothic Semi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algun Gothic Semilight" w:eastAsia="Times New Roman" w:hAnsi="@Malgun Gothic Semilight" w:cs="Times New Roman"/>
        <w:b/>
        <w:bCs/>
      </w:rPr>
    </w:tblStylePr>
    <w:tblStylePr w:type="lastCol">
      <w:rPr>
        <w:rFonts w:ascii="@Malgun Gothic Semilight" w:eastAsia="Times New Roman" w:hAnsi="@Malgun Gothic Semi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21">
    <w:name w:val="Light Grid - Accent 1121"/>
    <w:basedOn w:val="TableNormal"/>
    <w:uiPriority w:val="62"/>
    <w:rsid w:val="008A3868"/>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Malgun Gothic Semilight" w:eastAsia="Times New Roman" w:hAnsi="@Malgun Gothic Semi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Malgun Gothic Semilight" w:eastAsia="Times New Roman" w:hAnsi="@Malgun Gothic Semi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algun Gothic Semilight" w:eastAsia="Times New Roman" w:hAnsi="@Malgun Gothic Semilight" w:cs="Times New Roman"/>
        <w:b/>
        <w:bCs/>
      </w:rPr>
    </w:tblStylePr>
    <w:tblStylePr w:type="lastCol">
      <w:rPr>
        <w:rFonts w:ascii="@Malgun Gothic Semilight" w:eastAsia="Times New Roman" w:hAnsi="@Malgun Gothic Semi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111">
    <w:name w:val="Light Grid - Accent 11111"/>
    <w:basedOn w:val="TableNormal"/>
    <w:uiPriority w:val="62"/>
    <w:rsid w:val="008A3868"/>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Malgun Gothic Semilight" w:eastAsia="Times New Roman" w:hAnsi="@Malgun Gothic Semi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Malgun Gothic Semilight" w:eastAsia="Times New Roman" w:hAnsi="@Malgun Gothic Semi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algun Gothic Semilight" w:eastAsia="Times New Roman" w:hAnsi="@Malgun Gothic Semilight" w:cs="Times New Roman"/>
        <w:b/>
        <w:bCs/>
      </w:rPr>
    </w:tblStylePr>
    <w:tblStylePr w:type="lastCol">
      <w:rPr>
        <w:rFonts w:ascii="@Malgun Gothic Semilight" w:eastAsia="Times New Roman" w:hAnsi="@Malgun Gothic Semi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2">
    <w:name w:val="Medium Shading 1 - Accent 12"/>
    <w:basedOn w:val="TableProfessional"/>
    <w:next w:val="MediumShading1-Accent1"/>
    <w:uiPriority w:val="63"/>
    <w:rsid w:val="001B68A1"/>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11">
    <w:name w:val="Medium Shading 1 - Accent 111"/>
    <w:basedOn w:val="TableProfessional"/>
    <w:next w:val="MediumShading1-Accent1"/>
    <w:uiPriority w:val="63"/>
    <w:rsid w:val="001B68A1"/>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numbering" w:customStyle="1" w:styleId="Annex2">
    <w:name w:val="Annex2"/>
    <w:uiPriority w:val="99"/>
    <w:rsid w:val="008A3868"/>
    <w:pPr>
      <w:numPr>
        <w:numId w:val="18"/>
      </w:numPr>
    </w:pPr>
  </w:style>
  <w:style w:type="paragraph" w:customStyle="1" w:styleId="TOC10">
    <w:name w:val="TOC1"/>
    <w:basedOn w:val="Normal"/>
    <w:uiPriority w:val="17"/>
    <w:rsid w:val="008A3868"/>
    <w:pPr>
      <w:spacing w:before="180" w:line="240" w:lineRule="auto"/>
    </w:pPr>
  </w:style>
  <w:style w:type="paragraph" w:customStyle="1" w:styleId="TOC20">
    <w:name w:val="TOC2"/>
    <w:basedOn w:val="Normal"/>
    <w:uiPriority w:val="18"/>
    <w:rsid w:val="008A3868"/>
    <w:pPr>
      <w:spacing w:line="240" w:lineRule="auto"/>
      <w:ind w:left="284"/>
    </w:pPr>
    <w:rPr>
      <w:sz w:val="18"/>
    </w:rPr>
  </w:style>
  <w:style w:type="paragraph" w:customStyle="1" w:styleId="TOC30">
    <w:name w:val="TOC3"/>
    <w:basedOn w:val="Normal"/>
    <w:uiPriority w:val="19"/>
    <w:rsid w:val="008A3868"/>
    <w:pPr>
      <w:spacing w:before="60" w:line="240" w:lineRule="auto"/>
      <w:ind w:left="567"/>
    </w:pPr>
    <w:rPr>
      <w:sz w:val="18"/>
    </w:rPr>
  </w:style>
  <w:style w:type="paragraph" w:customStyle="1" w:styleId="PageNumbersMFAT">
    <w:name w:val="Page Numbers MFAT"/>
    <w:basedOn w:val="Normal"/>
    <w:uiPriority w:val="26"/>
    <w:qFormat/>
    <w:rsid w:val="008A3868"/>
    <w:pPr>
      <w:framePr w:wrap="around" w:vAnchor="text" w:hAnchor="page" w:xAlign="center" w:y="1"/>
      <w:spacing w:line="240" w:lineRule="auto"/>
      <w:jc w:val="center"/>
    </w:pPr>
    <w:rPr>
      <w:sz w:val="18"/>
    </w:rPr>
  </w:style>
  <w:style w:type="paragraph" w:customStyle="1" w:styleId="TOC1MFAT">
    <w:name w:val="TOC1 MFAT"/>
    <w:basedOn w:val="Normal"/>
    <w:uiPriority w:val="17"/>
    <w:qFormat/>
    <w:rsid w:val="008A3868"/>
    <w:pPr>
      <w:spacing w:before="180" w:line="240" w:lineRule="auto"/>
    </w:pPr>
  </w:style>
  <w:style w:type="paragraph" w:customStyle="1" w:styleId="TOC2MFAT">
    <w:name w:val="TOC2 MFAT"/>
    <w:basedOn w:val="Normal"/>
    <w:uiPriority w:val="18"/>
    <w:qFormat/>
    <w:rsid w:val="008A3868"/>
    <w:pPr>
      <w:spacing w:line="240" w:lineRule="auto"/>
      <w:ind w:left="284"/>
    </w:pPr>
    <w:rPr>
      <w:sz w:val="18"/>
    </w:rPr>
  </w:style>
  <w:style w:type="paragraph" w:customStyle="1" w:styleId="TOC3MFAT">
    <w:name w:val="TOC3 MFAT"/>
    <w:basedOn w:val="Normal"/>
    <w:uiPriority w:val="19"/>
    <w:qFormat/>
    <w:rsid w:val="008A3868"/>
    <w:pPr>
      <w:spacing w:before="60" w:line="240" w:lineRule="auto"/>
      <w:ind w:left="567"/>
    </w:pPr>
    <w:rPr>
      <w:sz w:val="18"/>
    </w:rPr>
  </w:style>
  <w:style w:type="paragraph" w:customStyle="1" w:styleId="FootnoteMFAT">
    <w:name w:val="Footnote MFAT"/>
    <w:basedOn w:val="Normal"/>
    <w:uiPriority w:val="23"/>
    <w:qFormat/>
    <w:rsid w:val="008A3868"/>
    <w:rPr>
      <w:sz w:val="16"/>
    </w:rPr>
  </w:style>
  <w:style w:type="paragraph" w:customStyle="1" w:styleId="NumberMFAT">
    <w:name w:val="Number MFAT"/>
    <w:link w:val="NumberMFATChar"/>
    <w:uiPriority w:val="25"/>
    <w:qFormat/>
    <w:rsid w:val="008A3868"/>
    <w:pPr>
      <w:spacing w:before="120" w:after="120" w:line="288" w:lineRule="auto"/>
    </w:pPr>
    <w:rPr>
      <w:rFonts w:ascii="Verdana" w:eastAsia="Times New Roman" w:hAnsi="Verdana" w:cs="Times New Roman"/>
      <w:sz w:val="20"/>
      <w:szCs w:val="20"/>
    </w:rPr>
  </w:style>
  <w:style w:type="character" w:customStyle="1" w:styleId="NumberMFATChar">
    <w:name w:val="Number MFAT Char"/>
    <w:link w:val="NumberMFAT"/>
    <w:uiPriority w:val="25"/>
    <w:rsid w:val="008A3868"/>
    <w:rPr>
      <w:rFonts w:ascii="Verdana" w:eastAsia="Times New Roman" w:hAnsi="Verdana" w:cs="Times New Roman"/>
      <w:sz w:val="20"/>
      <w:szCs w:val="20"/>
    </w:rPr>
  </w:style>
  <w:style w:type="numbering" w:customStyle="1" w:styleId="Style41">
    <w:name w:val="Style41"/>
    <w:uiPriority w:val="99"/>
    <w:rsid w:val="008A3868"/>
    <w:pPr>
      <w:numPr>
        <w:numId w:val="28"/>
      </w:numPr>
    </w:pPr>
  </w:style>
  <w:style w:type="numbering" w:customStyle="1" w:styleId="Style61">
    <w:name w:val="Style61"/>
    <w:uiPriority w:val="99"/>
    <w:rsid w:val="008A3868"/>
    <w:pPr>
      <w:numPr>
        <w:numId w:val="29"/>
      </w:numPr>
    </w:pPr>
  </w:style>
  <w:style w:type="numbering" w:customStyle="1" w:styleId="Style71">
    <w:name w:val="Style71"/>
    <w:uiPriority w:val="99"/>
    <w:rsid w:val="008A3868"/>
    <w:pPr>
      <w:numPr>
        <w:numId w:val="13"/>
      </w:numPr>
    </w:pPr>
  </w:style>
  <w:style w:type="numbering" w:customStyle="1" w:styleId="Style81">
    <w:name w:val="Style81"/>
    <w:uiPriority w:val="99"/>
    <w:rsid w:val="008A3868"/>
    <w:pPr>
      <w:numPr>
        <w:numId w:val="31"/>
      </w:numPr>
    </w:pPr>
  </w:style>
  <w:style w:type="numbering" w:customStyle="1" w:styleId="Style91">
    <w:name w:val="Style91"/>
    <w:uiPriority w:val="99"/>
    <w:rsid w:val="008A3868"/>
    <w:pPr>
      <w:numPr>
        <w:numId w:val="32"/>
      </w:numPr>
    </w:pPr>
  </w:style>
  <w:style w:type="numbering" w:customStyle="1" w:styleId="Style211">
    <w:name w:val="Style211"/>
    <w:uiPriority w:val="99"/>
    <w:rsid w:val="008A3868"/>
    <w:pPr>
      <w:numPr>
        <w:numId w:val="27"/>
      </w:numPr>
    </w:pPr>
  </w:style>
  <w:style w:type="numbering" w:customStyle="1" w:styleId="Style111">
    <w:name w:val="Style111"/>
    <w:uiPriority w:val="99"/>
    <w:rsid w:val="008A3868"/>
    <w:pPr>
      <w:numPr>
        <w:numId w:val="33"/>
      </w:numPr>
    </w:pPr>
  </w:style>
  <w:style w:type="numbering" w:customStyle="1" w:styleId="Style311">
    <w:name w:val="Style311"/>
    <w:uiPriority w:val="99"/>
    <w:rsid w:val="008A3868"/>
    <w:pPr>
      <w:numPr>
        <w:numId w:val="26"/>
      </w:numPr>
    </w:pPr>
  </w:style>
  <w:style w:type="paragraph" w:customStyle="1" w:styleId="BulletPoints">
    <w:name w:val="Bullet Points"/>
    <w:basedOn w:val="Normal"/>
    <w:link w:val="BulletPointsChar"/>
    <w:uiPriority w:val="6"/>
    <w:rsid w:val="00BD2C77"/>
    <w:pPr>
      <w:overflowPunct w:val="0"/>
      <w:autoSpaceDE w:val="0"/>
      <w:autoSpaceDN w:val="0"/>
      <w:adjustRightInd w:val="0"/>
      <w:ind w:left="567" w:hanging="567"/>
      <w:textAlignment w:val="baseline"/>
    </w:pPr>
    <w:rPr>
      <w:szCs w:val="20"/>
    </w:rPr>
  </w:style>
  <w:style w:type="character" w:customStyle="1" w:styleId="BulletPointsChar">
    <w:name w:val="Bullet Points Char"/>
    <w:link w:val="BulletPoints"/>
    <w:uiPriority w:val="6"/>
    <w:rsid w:val="00BD2C77"/>
    <w:rPr>
      <w:rFonts w:ascii="Calibri" w:eastAsiaTheme="minorEastAsia" w:hAnsi="Calibri"/>
      <w:szCs w:val="20"/>
      <w:lang w:eastAsia="en-NZ"/>
    </w:rPr>
  </w:style>
  <w:style w:type="paragraph" w:customStyle="1" w:styleId="DocumentID">
    <w:name w:val="Document ID"/>
    <w:basedOn w:val="Normal"/>
    <w:uiPriority w:val="21"/>
    <w:rsid w:val="00BD2C77"/>
    <w:rPr>
      <w:rFonts w:cs="Arial"/>
      <w:sz w:val="14"/>
    </w:rPr>
  </w:style>
  <w:style w:type="paragraph" w:customStyle="1" w:styleId="BulletPoints2">
    <w:name w:val="Bullet Points 2"/>
    <w:basedOn w:val="Normal"/>
    <w:uiPriority w:val="8"/>
    <w:rsid w:val="00BD2C77"/>
    <w:pPr>
      <w:spacing w:before="60"/>
    </w:pPr>
  </w:style>
  <w:style w:type="paragraph" w:customStyle="1" w:styleId="SecurityClassification">
    <w:name w:val="Security Classification"/>
    <w:basedOn w:val="Normal"/>
    <w:next w:val="Normal"/>
    <w:uiPriority w:val="27"/>
    <w:rsid w:val="00BD2C77"/>
    <w:pPr>
      <w:jc w:val="center"/>
    </w:pPr>
    <w:rPr>
      <w:rFonts w:cs="Arial"/>
      <w:bCs/>
      <w:caps/>
      <w:szCs w:val="20"/>
    </w:rPr>
  </w:style>
  <w:style w:type="paragraph" w:customStyle="1" w:styleId="Bulletpointsindent">
    <w:name w:val="Bullet points indent"/>
    <w:basedOn w:val="BulletPoints"/>
    <w:uiPriority w:val="7"/>
    <w:rsid w:val="00BD2C77"/>
    <w:pPr>
      <w:ind w:left="0" w:firstLine="0"/>
    </w:pPr>
  </w:style>
  <w:style w:type="paragraph" w:customStyle="1" w:styleId="Bulletpointsindent2">
    <w:name w:val="Bullet points indent 2"/>
    <w:basedOn w:val="BulletPoints2"/>
    <w:uiPriority w:val="9"/>
    <w:rsid w:val="00BD2C77"/>
  </w:style>
  <w:style w:type="paragraph" w:customStyle="1" w:styleId="BulletPointsMFAT">
    <w:name w:val="Bullet Points MFAT"/>
    <w:basedOn w:val="Normal"/>
    <w:link w:val="BulletPointsMFATChar"/>
    <w:uiPriority w:val="6"/>
    <w:qFormat/>
    <w:rsid w:val="00BD2C77"/>
    <w:pPr>
      <w:overflowPunct w:val="0"/>
      <w:autoSpaceDE w:val="0"/>
      <w:autoSpaceDN w:val="0"/>
      <w:adjustRightInd w:val="0"/>
      <w:textAlignment w:val="baseline"/>
    </w:pPr>
    <w:rPr>
      <w:szCs w:val="20"/>
    </w:rPr>
  </w:style>
  <w:style w:type="character" w:customStyle="1" w:styleId="BulletPointsMFATChar">
    <w:name w:val="Bullet Points MFAT Char"/>
    <w:link w:val="BulletPointsMFAT"/>
    <w:uiPriority w:val="6"/>
    <w:rsid w:val="00BD2C77"/>
    <w:rPr>
      <w:rFonts w:ascii="Calibri" w:eastAsiaTheme="minorEastAsia" w:hAnsi="Calibri"/>
      <w:szCs w:val="20"/>
      <w:lang w:eastAsia="en-NZ"/>
    </w:rPr>
  </w:style>
  <w:style w:type="paragraph" w:customStyle="1" w:styleId="DocumentIDMFAT">
    <w:name w:val="Document ID MFAT"/>
    <w:basedOn w:val="Normal"/>
    <w:uiPriority w:val="21"/>
    <w:qFormat/>
    <w:rsid w:val="00BD2C77"/>
    <w:rPr>
      <w:rFonts w:cs="Arial"/>
      <w:sz w:val="14"/>
    </w:rPr>
  </w:style>
  <w:style w:type="paragraph" w:customStyle="1" w:styleId="BulletPoints2MFAT">
    <w:name w:val="Bullet Points 2 MFAT"/>
    <w:basedOn w:val="Normal"/>
    <w:uiPriority w:val="8"/>
    <w:qFormat/>
    <w:rsid w:val="00BD2C77"/>
    <w:pPr>
      <w:tabs>
        <w:tab w:val="num" w:pos="794"/>
      </w:tabs>
      <w:spacing w:before="60"/>
      <w:ind w:left="794" w:hanging="397"/>
    </w:pPr>
  </w:style>
  <w:style w:type="paragraph" w:customStyle="1" w:styleId="TableheadingMFAT">
    <w:name w:val="Table heading MFAT"/>
    <w:basedOn w:val="Normal"/>
    <w:next w:val="Normal"/>
    <w:uiPriority w:val="15"/>
    <w:qFormat/>
    <w:rsid w:val="00BD2C77"/>
    <w:pPr>
      <w:spacing w:line="240" w:lineRule="auto"/>
    </w:pPr>
    <w:rPr>
      <w:caps/>
      <w:sz w:val="16"/>
    </w:rPr>
  </w:style>
  <w:style w:type="paragraph" w:customStyle="1" w:styleId="TabletextMFAT">
    <w:name w:val="Table text MFAT"/>
    <w:basedOn w:val="Normal"/>
    <w:uiPriority w:val="16"/>
    <w:qFormat/>
    <w:rsid w:val="00BD2C77"/>
    <w:pPr>
      <w:spacing w:line="240" w:lineRule="auto"/>
    </w:pPr>
    <w:rPr>
      <w:sz w:val="18"/>
    </w:rPr>
  </w:style>
  <w:style w:type="paragraph" w:customStyle="1" w:styleId="SecurityClassificationMFAT">
    <w:name w:val="Security Classification MFAT"/>
    <w:basedOn w:val="Normal"/>
    <w:next w:val="Normal"/>
    <w:uiPriority w:val="27"/>
    <w:qFormat/>
    <w:rsid w:val="00BD2C77"/>
    <w:pPr>
      <w:jc w:val="center"/>
    </w:pPr>
    <w:rPr>
      <w:rFonts w:cs="Arial"/>
      <w:bCs/>
      <w:caps/>
      <w:szCs w:val="20"/>
    </w:rPr>
  </w:style>
  <w:style w:type="paragraph" w:customStyle="1" w:styleId="BulletpointsindentMFAT">
    <w:name w:val="Bullet points indent MFAT"/>
    <w:basedOn w:val="BulletPointsMFAT"/>
    <w:uiPriority w:val="7"/>
    <w:qFormat/>
    <w:rsid w:val="00BD2C77"/>
    <w:pPr>
      <w:tabs>
        <w:tab w:val="num" w:pos="794"/>
      </w:tabs>
      <w:ind w:left="794" w:hanging="397"/>
    </w:pPr>
  </w:style>
  <w:style w:type="paragraph" w:customStyle="1" w:styleId="Bulletpointsindent2MFAT">
    <w:name w:val="Bullet points indent 2 MFAT"/>
    <w:basedOn w:val="BulletPoints2MFAT"/>
    <w:uiPriority w:val="9"/>
    <w:qFormat/>
    <w:rsid w:val="00BD2C77"/>
    <w:pPr>
      <w:tabs>
        <w:tab w:val="clear" w:pos="794"/>
      </w:tabs>
      <w:ind w:left="1494" w:hanging="360"/>
    </w:pPr>
  </w:style>
  <w:style w:type="paragraph" w:customStyle="1" w:styleId="xl65">
    <w:name w:val="xl65"/>
    <w:basedOn w:val="Normal"/>
    <w:rsid w:val="00BD2C77"/>
    <w:pP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66">
    <w:name w:val="xl66"/>
    <w:basedOn w:val="Normal"/>
    <w:rsid w:val="00BD2C77"/>
    <w:pPr>
      <w:shd w:val="clear" w:color="000000" w:fill="FFFFFF"/>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67">
    <w:name w:val="xl67"/>
    <w:basedOn w:val="Normal"/>
    <w:rsid w:val="00BD2C77"/>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68">
    <w:name w:val="xl68"/>
    <w:basedOn w:val="Normal"/>
    <w:rsid w:val="00BD2C77"/>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18"/>
      <w:szCs w:val="18"/>
    </w:rPr>
  </w:style>
  <w:style w:type="paragraph" w:customStyle="1" w:styleId="xl69">
    <w:name w:val="xl69"/>
    <w:basedOn w:val="Normal"/>
    <w:rsid w:val="00BD2C77"/>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rPr>
  </w:style>
  <w:style w:type="paragraph" w:customStyle="1" w:styleId="xl70">
    <w:name w:val="xl70"/>
    <w:basedOn w:val="Normal"/>
    <w:rsid w:val="00BD2C77"/>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71">
    <w:name w:val="xl71"/>
    <w:basedOn w:val="Normal"/>
    <w:rsid w:val="00BD2C77"/>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rPr>
  </w:style>
  <w:style w:type="paragraph" w:customStyle="1" w:styleId="xl72">
    <w:name w:val="xl72"/>
    <w:basedOn w:val="Normal"/>
    <w:rsid w:val="00BD2C77"/>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rPr>
  </w:style>
  <w:style w:type="paragraph" w:customStyle="1" w:styleId="xl73">
    <w:name w:val="xl73"/>
    <w:basedOn w:val="Normal"/>
    <w:rsid w:val="00BD2C77"/>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74">
    <w:name w:val="xl74"/>
    <w:basedOn w:val="Normal"/>
    <w:rsid w:val="00BD2C77"/>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18"/>
      <w:szCs w:val="18"/>
    </w:rPr>
  </w:style>
  <w:style w:type="paragraph" w:customStyle="1" w:styleId="xl75">
    <w:name w:val="xl75"/>
    <w:basedOn w:val="Normal"/>
    <w:rsid w:val="00BD2C77"/>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18"/>
      <w:szCs w:val="18"/>
    </w:rPr>
  </w:style>
  <w:style w:type="paragraph" w:customStyle="1" w:styleId="xl76">
    <w:name w:val="xl76"/>
    <w:basedOn w:val="Normal"/>
    <w:rsid w:val="00BD2C77"/>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77">
    <w:name w:val="xl77"/>
    <w:basedOn w:val="Normal"/>
    <w:rsid w:val="00BD2C77"/>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800000"/>
      <w:sz w:val="18"/>
      <w:szCs w:val="18"/>
    </w:rPr>
  </w:style>
  <w:style w:type="paragraph" w:customStyle="1" w:styleId="xl78">
    <w:name w:val="xl78"/>
    <w:basedOn w:val="Normal"/>
    <w:rsid w:val="00BD2C77"/>
    <w:pPr>
      <w:pBdr>
        <w:bottom w:val="single" w:sz="8" w:space="0" w:color="auto"/>
        <w:right w:val="single" w:sz="8" w:space="0" w:color="auto"/>
      </w:pBdr>
      <w:shd w:val="clear" w:color="000000" w:fill="FFFFFF"/>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79">
    <w:name w:val="xl79"/>
    <w:basedOn w:val="Normal"/>
    <w:rsid w:val="00BD2C77"/>
    <w:pPr>
      <w:pBdr>
        <w:bottom w:val="single" w:sz="8" w:space="0" w:color="auto"/>
        <w:right w:val="single" w:sz="8" w:space="0" w:color="auto"/>
      </w:pBdr>
      <w:shd w:val="clear" w:color="000000" w:fill="FFFFFF"/>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80">
    <w:name w:val="xl80"/>
    <w:basedOn w:val="Normal"/>
    <w:rsid w:val="00BD2C77"/>
    <w:pPr>
      <w:shd w:val="clear" w:color="000000" w:fill="FFFFFF"/>
      <w:spacing w:before="100" w:beforeAutospacing="1" w:after="100" w:afterAutospacing="1" w:line="240" w:lineRule="auto"/>
      <w:ind w:firstLineChars="700" w:firstLine="700"/>
      <w:jc w:val="left"/>
      <w:textAlignment w:val="center"/>
    </w:pPr>
    <w:rPr>
      <w:rFonts w:ascii="Times New Roman" w:eastAsia="Times New Roman" w:hAnsi="Times New Roman" w:cs="Times New Roman"/>
      <w:b/>
      <w:bCs/>
      <w:sz w:val="20"/>
      <w:szCs w:val="20"/>
    </w:rPr>
  </w:style>
  <w:style w:type="paragraph" w:customStyle="1" w:styleId="xl81">
    <w:name w:val="xl81"/>
    <w:basedOn w:val="Normal"/>
    <w:rsid w:val="00BD2C77"/>
    <w:pPr>
      <w:spacing w:before="100" w:beforeAutospacing="1" w:after="100" w:afterAutospacing="1" w:line="240" w:lineRule="auto"/>
      <w:jc w:val="left"/>
    </w:pPr>
    <w:rPr>
      <w:rFonts w:ascii="Arial" w:eastAsia="Times New Roman" w:hAnsi="Arial" w:cs="Arial"/>
      <w:b/>
      <w:bCs/>
      <w:sz w:val="18"/>
      <w:szCs w:val="18"/>
    </w:rPr>
  </w:style>
  <w:style w:type="paragraph" w:customStyle="1" w:styleId="xl82">
    <w:name w:val="xl82"/>
    <w:basedOn w:val="Normal"/>
    <w:rsid w:val="00BD2C77"/>
    <w:pPr>
      <w:pBdr>
        <w:left w:val="single" w:sz="8"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w:eastAsia="Times New Roman" w:hAnsi="Arial" w:cs="Arial"/>
      <w:color w:val="000000"/>
      <w:sz w:val="18"/>
      <w:szCs w:val="18"/>
    </w:rPr>
  </w:style>
  <w:style w:type="paragraph" w:customStyle="1" w:styleId="xl83">
    <w:name w:val="xl83"/>
    <w:basedOn w:val="Normal"/>
    <w:rsid w:val="00BD2C77"/>
    <w:pPr>
      <w:pBdr>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color w:val="000000"/>
      <w:sz w:val="18"/>
      <w:szCs w:val="18"/>
    </w:rPr>
  </w:style>
  <w:style w:type="paragraph" w:customStyle="1" w:styleId="xl84">
    <w:name w:val="xl84"/>
    <w:basedOn w:val="Normal"/>
    <w:rsid w:val="00BD2C77"/>
    <w:pPr>
      <w:pBdr>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color w:val="000000"/>
      <w:sz w:val="18"/>
      <w:szCs w:val="18"/>
    </w:rPr>
  </w:style>
  <w:style w:type="paragraph" w:customStyle="1" w:styleId="xl85">
    <w:name w:val="xl85"/>
    <w:basedOn w:val="Normal"/>
    <w:rsid w:val="00BD2C77"/>
    <w:pPr>
      <w:pBdr>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w:eastAsia="Times New Roman" w:hAnsi="Arial" w:cs="Arial"/>
      <w:color w:val="000000"/>
      <w:sz w:val="18"/>
      <w:szCs w:val="18"/>
    </w:rPr>
  </w:style>
  <w:style w:type="paragraph" w:customStyle="1" w:styleId="xl86">
    <w:name w:val="xl86"/>
    <w:basedOn w:val="Normal"/>
    <w:rsid w:val="00BD2C77"/>
    <w:pPr>
      <w:pBdr>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w:eastAsia="Times New Roman" w:hAnsi="Arial" w:cs="Arial"/>
      <w:color w:val="000000"/>
      <w:sz w:val="18"/>
      <w:szCs w:val="18"/>
    </w:rPr>
  </w:style>
  <w:style w:type="paragraph" w:customStyle="1" w:styleId="xl87">
    <w:name w:val="xl87"/>
    <w:basedOn w:val="Normal"/>
    <w:rsid w:val="00BD2C77"/>
    <w:pPr>
      <w:shd w:val="clear" w:color="000000" w:fill="FFFF00"/>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88">
    <w:name w:val="xl88"/>
    <w:basedOn w:val="Normal"/>
    <w:rsid w:val="00BD2C77"/>
    <w:pPr>
      <w:pBdr>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89">
    <w:name w:val="xl89"/>
    <w:basedOn w:val="Normal"/>
    <w:rsid w:val="00BD2C77"/>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90">
    <w:name w:val="xl90"/>
    <w:basedOn w:val="Normal"/>
    <w:rsid w:val="00BD2C77"/>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91">
    <w:name w:val="xl91"/>
    <w:basedOn w:val="Normal"/>
    <w:rsid w:val="00BD2C77"/>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92">
    <w:name w:val="xl92"/>
    <w:basedOn w:val="Normal"/>
    <w:rsid w:val="00BD2C77"/>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1214467">
      <w:bodyDiv w:val="1"/>
      <w:marLeft w:val="0"/>
      <w:marRight w:val="0"/>
      <w:marTop w:val="0"/>
      <w:marBottom w:val="0"/>
      <w:divBdr>
        <w:top w:val="none" w:sz="0" w:space="0" w:color="auto"/>
        <w:left w:val="none" w:sz="0" w:space="0" w:color="auto"/>
        <w:bottom w:val="none" w:sz="0" w:space="0" w:color="auto"/>
        <w:right w:val="none" w:sz="0" w:space="0" w:color="auto"/>
      </w:divBdr>
      <w:divsChild>
        <w:div w:id="257249526">
          <w:marLeft w:val="0"/>
          <w:marRight w:val="0"/>
          <w:marTop w:val="0"/>
          <w:marBottom w:val="0"/>
          <w:divBdr>
            <w:top w:val="none" w:sz="0" w:space="0" w:color="auto"/>
            <w:left w:val="none" w:sz="0" w:space="0" w:color="auto"/>
            <w:bottom w:val="none" w:sz="0" w:space="0" w:color="auto"/>
            <w:right w:val="none" w:sz="0" w:space="0" w:color="auto"/>
          </w:divBdr>
        </w:div>
        <w:div w:id="566889633">
          <w:marLeft w:val="0"/>
          <w:marRight w:val="0"/>
          <w:marTop w:val="0"/>
          <w:marBottom w:val="0"/>
          <w:divBdr>
            <w:top w:val="none" w:sz="0" w:space="0" w:color="auto"/>
            <w:left w:val="none" w:sz="0" w:space="0" w:color="auto"/>
            <w:bottom w:val="none" w:sz="0" w:space="0" w:color="auto"/>
            <w:right w:val="none" w:sz="0" w:space="0" w:color="auto"/>
          </w:divBdr>
        </w:div>
        <w:div w:id="1228809026">
          <w:marLeft w:val="0"/>
          <w:marRight w:val="0"/>
          <w:marTop w:val="0"/>
          <w:marBottom w:val="0"/>
          <w:divBdr>
            <w:top w:val="none" w:sz="0" w:space="0" w:color="auto"/>
            <w:left w:val="none" w:sz="0" w:space="0" w:color="auto"/>
            <w:bottom w:val="none" w:sz="0" w:space="0" w:color="auto"/>
            <w:right w:val="none" w:sz="0" w:space="0" w:color="auto"/>
          </w:divBdr>
          <w:divsChild>
            <w:div w:id="1741361675">
              <w:marLeft w:val="-75"/>
              <w:marRight w:val="0"/>
              <w:marTop w:val="30"/>
              <w:marBottom w:val="30"/>
              <w:divBdr>
                <w:top w:val="none" w:sz="0" w:space="0" w:color="auto"/>
                <w:left w:val="none" w:sz="0" w:space="0" w:color="auto"/>
                <w:bottom w:val="none" w:sz="0" w:space="0" w:color="auto"/>
                <w:right w:val="none" w:sz="0" w:space="0" w:color="auto"/>
              </w:divBdr>
              <w:divsChild>
                <w:div w:id="22677291">
                  <w:marLeft w:val="0"/>
                  <w:marRight w:val="0"/>
                  <w:marTop w:val="0"/>
                  <w:marBottom w:val="0"/>
                  <w:divBdr>
                    <w:top w:val="none" w:sz="0" w:space="0" w:color="auto"/>
                    <w:left w:val="none" w:sz="0" w:space="0" w:color="auto"/>
                    <w:bottom w:val="none" w:sz="0" w:space="0" w:color="auto"/>
                    <w:right w:val="none" w:sz="0" w:space="0" w:color="auto"/>
                  </w:divBdr>
                  <w:divsChild>
                    <w:div w:id="223760700">
                      <w:marLeft w:val="0"/>
                      <w:marRight w:val="0"/>
                      <w:marTop w:val="0"/>
                      <w:marBottom w:val="0"/>
                      <w:divBdr>
                        <w:top w:val="none" w:sz="0" w:space="0" w:color="auto"/>
                        <w:left w:val="none" w:sz="0" w:space="0" w:color="auto"/>
                        <w:bottom w:val="none" w:sz="0" w:space="0" w:color="auto"/>
                        <w:right w:val="none" w:sz="0" w:space="0" w:color="auto"/>
                      </w:divBdr>
                    </w:div>
                  </w:divsChild>
                </w:div>
                <w:div w:id="31075907">
                  <w:marLeft w:val="0"/>
                  <w:marRight w:val="0"/>
                  <w:marTop w:val="0"/>
                  <w:marBottom w:val="0"/>
                  <w:divBdr>
                    <w:top w:val="none" w:sz="0" w:space="0" w:color="auto"/>
                    <w:left w:val="none" w:sz="0" w:space="0" w:color="auto"/>
                    <w:bottom w:val="none" w:sz="0" w:space="0" w:color="auto"/>
                    <w:right w:val="none" w:sz="0" w:space="0" w:color="auto"/>
                  </w:divBdr>
                  <w:divsChild>
                    <w:div w:id="336275545">
                      <w:marLeft w:val="0"/>
                      <w:marRight w:val="0"/>
                      <w:marTop w:val="0"/>
                      <w:marBottom w:val="0"/>
                      <w:divBdr>
                        <w:top w:val="none" w:sz="0" w:space="0" w:color="auto"/>
                        <w:left w:val="none" w:sz="0" w:space="0" w:color="auto"/>
                        <w:bottom w:val="none" w:sz="0" w:space="0" w:color="auto"/>
                        <w:right w:val="none" w:sz="0" w:space="0" w:color="auto"/>
                      </w:divBdr>
                    </w:div>
                  </w:divsChild>
                </w:div>
                <w:div w:id="35471118">
                  <w:marLeft w:val="0"/>
                  <w:marRight w:val="0"/>
                  <w:marTop w:val="0"/>
                  <w:marBottom w:val="0"/>
                  <w:divBdr>
                    <w:top w:val="none" w:sz="0" w:space="0" w:color="auto"/>
                    <w:left w:val="none" w:sz="0" w:space="0" w:color="auto"/>
                    <w:bottom w:val="none" w:sz="0" w:space="0" w:color="auto"/>
                    <w:right w:val="none" w:sz="0" w:space="0" w:color="auto"/>
                  </w:divBdr>
                  <w:divsChild>
                    <w:div w:id="469135858">
                      <w:marLeft w:val="0"/>
                      <w:marRight w:val="0"/>
                      <w:marTop w:val="0"/>
                      <w:marBottom w:val="0"/>
                      <w:divBdr>
                        <w:top w:val="none" w:sz="0" w:space="0" w:color="auto"/>
                        <w:left w:val="none" w:sz="0" w:space="0" w:color="auto"/>
                        <w:bottom w:val="none" w:sz="0" w:space="0" w:color="auto"/>
                        <w:right w:val="none" w:sz="0" w:space="0" w:color="auto"/>
                      </w:divBdr>
                    </w:div>
                  </w:divsChild>
                </w:div>
                <w:div w:id="40205057">
                  <w:marLeft w:val="0"/>
                  <w:marRight w:val="0"/>
                  <w:marTop w:val="0"/>
                  <w:marBottom w:val="0"/>
                  <w:divBdr>
                    <w:top w:val="none" w:sz="0" w:space="0" w:color="auto"/>
                    <w:left w:val="none" w:sz="0" w:space="0" w:color="auto"/>
                    <w:bottom w:val="none" w:sz="0" w:space="0" w:color="auto"/>
                    <w:right w:val="none" w:sz="0" w:space="0" w:color="auto"/>
                  </w:divBdr>
                  <w:divsChild>
                    <w:div w:id="1677538634">
                      <w:marLeft w:val="0"/>
                      <w:marRight w:val="0"/>
                      <w:marTop w:val="0"/>
                      <w:marBottom w:val="0"/>
                      <w:divBdr>
                        <w:top w:val="none" w:sz="0" w:space="0" w:color="auto"/>
                        <w:left w:val="none" w:sz="0" w:space="0" w:color="auto"/>
                        <w:bottom w:val="none" w:sz="0" w:space="0" w:color="auto"/>
                        <w:right w:val="none" w:sz="0" w:space="0" w:color="auto"/>
                      </w:divBdr>
                    </w:div>
                  </w:divsChild>
                </w:div>
                <w:div w:id="50472211">
                  <w:marLeft w:val="0"/>
                  <w:marRight w:val="0"/>
                  <w:marTop w:val="0"/>
                  <w:marBottom w:val="0"/>
                  <w:divBdr>
                    <w:top w:val="none" w:sz="0" w:space="0" w:color="auto"/>
                    <w:left w:val="none" w:sz="0" w:space="0" w:color="auto"/>
                    <w:bottom w:val="none" w:sz="0" w:space="0" w:color="auto"/>
                    <w:right w:val="none" w:sz="0" w:space="0" w:color="auto"/>
                  </w:divBdr>
                  <w:divsChild>
                    <w:div w:id="1456027131">
                      <w:marLeft w:val="0"/>
                      <w:marRight w:val="0"/>
                      <w:marTop w:val="0"/>
                      <w:marBottom w:val="0"/>
                      <w:divBdr>
                        <w:top w:val="none" w:sz="0" w:space="0" w:color="auto"/>
                        <w:left w:val="none" w:sz="0" w:space="0" w:color="auto"/>
                        <w:bottom w:val="none" w:sz="0" w:space="0" w:color="auto"/>
                        <w:right w:val="none" w:sz="0" w:space="0" w:color="auto"/>
                      </w:divBdr>
                    </w:div>
                  </w:divsChild>
                </w:div>
                <w:div w:id="70544451">
                  <w:marLeft w:val="0"/>
                  <w:marRight w:val="0"/>
                  <w:marTop w:val="0"/>
                  <w:marBottom w:val="0"/>
                  <w:divBdr>
                    <w:top w:val="none" w:sz="0" w:space="0" w:color="auto"/>
                    <w:left w:val="none" w:sz="0" w:space="0" w:color="auto"/>
                    <w:bottom w:val="none" w:sz="0" w:space="0" w:color="auto"/>
                    <w:right w:val="none" w:sz="0" w:space="0" w:color="auto"/>
                  </w:divBdr>
                  <w:divsChild>
                    <w:div w:id="38476145">
                      <w:marLeft w:val="0"/>
                      <w:marRight w:val="0"/>
                      <w:marTop w:val="0"/>
                      <w:marBottom w:val="0"/>
                      <w:divBdr>
                        <w:top w:val="none" w:sz="0" w:space="0" w:color="auto"/>
                        <w:left w:val="none" w:sz="0" w:space="0" w:color="auto"/>
                        <w:bottom w:val="none" w:sz="0" w:space="0" w:color="auto"/>
                        <w:right w:val="none" w:sz="0" w:space="0" w:color="auto"/>
                      </w:divBdr>
                    </w:div>
                  </w:divsChild>
                </w:div>
                <w:div w:id="80874321">
                  <w:marLeft w:val="0"/>
                  <w:marRight w:val="0"/>
                  <w:marTop w:val="0"/>
                  <w:marBottom w:val="0"/>
                  <w:divBdr>
                    <w:top w:val="none" w:sz="0" w:space="0" w:color="auto"/>
                    <w:left w:val="none" w:sz="0" w:space="0" w:color="auto"/>
                    <w:bottom w:val="none" w:sz="0" w:space="0" w:color="auto"/>
                    <w:right w:val="none" w:sz="0" w:space="0" w:color="auto"/>
                  </w:divBdr>
                  <w:divsChild>
                    <w:div w:id="1597518408">
                      <w:marLeft w:val="0"/>
                      <w:marRight w:val="0"/>
                      <w:marTop w:val="0"/>
                      <w:marBottom w:val="0"/>
                      <w:divBdr>
                        <w:top w:val="none" w:sz="0" w:space="0" w:color="auto"/>
                        <w:left w:val="none" w:sz="0" w:space="0" w:color="auto"/>
                        <w:bottom w:val="none" w:sz="0" w:space="0" w:color="auto"/>
                        <w:right w:val="none" w:sz="0" w:space="0" w:color="auto"/>
                      </w:divBdr>
                    </w:div>
                  </w:divsChild>
                </w:div>
                <w:div w:id="82847482">
                  <w:marLeft w:val="0"/>
                  <w:marRight w:val="0"/>
                  <w:marTop w:val="0"/>
                  <w:marBottom w:val="0"/>
                  <w:divBdr>
                    <w:top w:val="none" w:sz="0" w:space="0" w:color="auto"/>
                    <w:left w:val="none" w:sz="0" w:space="0" w:color="auto"/>
                    <w:bottom w:val="none" w:sz="0" w:space="0" w:color="auto"/>
                    <w:right w:val="none" w:sz="0" w:space="0" w:color="auto"/>
                  </w:divBdr>
                  <w:divsChild>
                    <w:div w:id="596645102">
                      <w:marLeft w:val="0"/>
                      <w:marRight w:val="0"/>
                      <w:marTop w:val="0"/>
                      <w:marBottom w:val="0"/>
                      <w:divBdr>
                        <w:top w:val="none" w:sz="0" w:space="0" w:color="auto"/>
                        <w:left w:val="none" w:sz="0" w:space="0" w:color="auto"/>
                        <w:bottom w:val="none" w:sz="0" w:space="0" w:color="auto"/>
                        <w:right w:val="none" w:sz="0" w:space="0" w:color="auto"/>
                      </w:divBdr>
                    </w:div>
                  </w:divsChild>
                </w:div>
                <w:div w:id="106779514">
                  <w:marLeft w:val="0"/>
                  <w:marRight w:val="0"/>
                  <w:marTop w:val="0"/>
                  <w:marBottom w:val="0"/>
                  <w:divBdr>
                    <w:top w:val="none" w:sz="0" w:space="0" w:color="auto"/>
                    <w:left w:val="none" w:sz="0" w:space="0" w:color="auto"/>
                    <w:bottom w:val="none" w:sz="0" w:space="0" w:color="auto"/>
                    <w:right w:val="none" w:sz="0" w:space="0" w:color="auto"/>
                  </w:divBdr>
                  <w:divsChild>
                    <w:div w:id="705913653">
                      <w:marLeft w:val="0"/>
                      <w:marRight w:val="0"/>
                      <w:marTop w:val="0"/>
                      <w:marBottom w:val="0"/>
                      <w:divBdr>
                        <w:top w:val="none" w:sz="0" w:space="0" w:color="auto"/>
                        <w:left w:val="none" w:sz="0" w:space="0" w:color="auto"/>
                        <w:bottom w:val="none" w:sz="0" w:space="0" w:color="auto"/>
                        <w:right w:val="none" w:sz="0" w:space="0" w:color="auto"/>
                      </w:divBdr>
                    </w:div>
                  </w:divsChild>
                </w:div>
                <w:div w:id="127627784">
                  <w:marLeft w:val="0"/>
                  <w:marRight w:val="0"/>
                  <w:marTop w:val="0"/>
                  <w:marBottom w:val="0"/>
                  <w:divBdr>
                    <w:top w:val="none" w:sz="0" w:space="0" w:color="auto"/>
                    <w:left w:val="none" w:sz="0" w:space="0" w:color="auto"/>
                    <w:bottom w:val="none" w:sz="0" w:space="0" w:color="auto"/>
                    <w:right w:val="none" w:sz="0" w:space="0" w:color="auto"/>
                  </w:divBdr>
                  <w:divsChild>
                    <w:div w:id="2083868768">
                      <w:marLeft w:val="0"/>
                      <w:marRight w:val="0"/>
                      <w:marTop w:val="0"/>
                      <w:marBottom w:val="0"/>
                      <w:divBdr>
                        <w:top w:val="none" w:sz="0" w:space="0" w:color="auto"/>
                        <w:left w:val="none" w:sz="0" w:space="0" w:color="auto"/>
                        <w:bottom w:val="none" w:sz="0" w:space="0" w:color="auto"/>
                        <w:right w:val="none" w:sz="0" w:space="0" w:color="auto"/>
                      </w:divBdr>
                    </w:div>
                  </w:divsChild>
                </w:div>
                <w:div w:id="139618211">
                  <w:marLeft w:val="0"/>
                  <w:marRight w:val="0"/>
                  <w:marTop w:val="0"/>
                  <w:marBottom w:val="0"/>
                  <w:divBdr>
                    <w:top w:val="none" w:sz="0" w:space="0" w:color="auto"/>
                    <w:left w:val="none" w:sz="0" w:space="0" w:color="auto"/>
                    <w:bottom w:val="none" w:sz="0" w:space="0" w:color="auto"/>
                    <w:right w:val="none" w:sz="0" w:space="0" w:color="auto"/>
                  </w:divBdr>
                  <w:divsChild>
                    <w:div w:id="613633373">
                      <w:marLeft w:val="0"/>
                      <w:marRight w:val="0"/>
                      <w:marTop w:val="0"/>
                      <w:marBottom w:val="0"/>
                      <w:divBdr>
                        <w:top w:val="none" w:sz="0" w:space="0" w:color="auto"/>
                        <w:left w:val="none" w:sz="0" w:space="0" w:color="auto"/>
                        <w:bottom w:val="none" w:sz="0" w:space="0" w:color="auto"/>
                        <w:right w:val="none" w:sz="0" w:space="0" w:color="auto"/>
                      </w:divBdr>
                    </w:div>
                  </w:divsChild>
                </w:div>
                <w:div w:id="141897833">
                  <w:marLeft w:val="0"/>
                  <w:marRight w:val="0"/>
                  <w:marTop w:val="0"/>
                  <w:marBottom w:val="0"/>
                  <w:divBdr>
                    <w:top w:val="none" w:sz="0" w:space="0" w:color="auto"/>
                    <w:left w:val="none" w:sz="0" w:space="0" w:color="auto"/>
                    <w:bottom w:val="none" w:sz="0" w:space="0" w:color="auto"/>
                    <w:right w:val="none" w:sz="0" w:space="0" w:color="auto"/>
                  </w:divBdr>
                  <w:divsChild>
                    <w:div w:id="1002509791">
                      <w:marLeft w:val="0"/>
                      <w:marRight w:val="0"/>
                      <w:marTop w:val="0"/>
                      <w:marBottom w:val="0"/>
                      <w:divBdr>
                        <w:top w:val="none" w:sz="0" w:space="0" w:color="auto"/>
                        <w:left w:val="none" w:sz="0" w:space="0" w:color="auto"/>
                        <w:bottom w:val="none" w:sz="0" w:space="0" w:color="auto"/>
                        <w:right w:val="none" w:sz="0" w:space="0" w:color="auto"/>
                      </w:divBdr>
                    </w:div>
                  </w:divsChild>
                </w:div>
                <w:div w:id="148641230">
                  <w:marLeft w:val="0"/>
                  <w:marRight w:val="0"/>
                  <w:marTop w:val="0"/>
                  <w:marBottom w:val="0"/>
                  <w:divBdr>
                    <w:top w:val="none" w:sz="0" w:space="0" w:color="auto"/>
                    <w:left w:val="none" w:sz="0" w:space="0" w:color="auto"/>
                    <w:bottom w:val="none" w:sz="0" w:space="0" w:color="auto"/>
                    <w:right w:val="none" w:sz="0" w:space="0" w:color="auto"/>
                  </w:divBdr>
                  <w:divsChild>
                    <w:div w:id="755327070">
                      <w:marLeft w:val="0"/>
                      <w:marRight w:val="0"/>
                      <w:marTop w:val="0"/>
                      <w:marBottom w:val="0"/>
                      <w:divBdr>
                        <w:top w:val="none" w:sz="0" w:space="0" w:color="auto"/>
                        <w:left w:val="none" w:sz="0" w:space="0" w:color="auto"/>
                        <w:bottom w:val="none" w:sz="0" w:space="0" w:color="auto"/>
                        <w:right w:val="none" w:sz="0" w:space="0" w:color="auto"/>
                      </w:divBdr>
                    </w:div>
                  </w:divsChild>
                </w:div>
                <w:div w:id="150873569">
                  <w:marLeft w:val="0"/>
                  <w:marRight w:val="0"/>
                  <w:marTop w:val="0"/>
                  <w:marBottom w:val="0"/>
                  <w:divBdr>
                    <w:top w:val="none" w:sz="0" w:space="0" w:color="auto"/>
                    <w:left w:val="none" w:sz="0" w:space="0" w:color="auto"/>
                    <w:bottom w:val="none" w:sz="0" w:space="0" w:color="auto"/>
                    <w:right w:val="none" w:sz="0" w:space="0" w:color="auto"/>
                  </w:divBdr>
                  <w:divsChild>
                    <w:div w:id="28605719">
                      <w:marLeft w:val="0"/>
                      <w:marRight w:val="0"/>
                      <w:marTop w:val="0"/>
                      <w:marBottom w:val="0"/>
                      <w:divBdr>
                        <w:top w:val="none" w:sz="0" w:space="0" w:color="auto"/>
                        <w:left w:val="none" w:sz="0" w:space="0" w:color="auto"/>
                        <w:bottom w:val="none" w:sz="0" w:space="0" w:color="auto"/>
                        <w:right w:val="none" w:sz="0" w:space="0" w:color="auto"/>
                      </w:divBdr>
                    </w:div>
                  </w:divsChild>
                </w:div>
                <w:div w:id="152917604">
                  <w:marLeft w:val="0"/>
                  <w:marRight w:val="0"/>
                  <w:marTop w:val="0"/>
                  <w:marBottom w:val="0"/>
                  <w:divBdr>
                    <w:top w:val="none" w:sz="0" w:space="0" w:color="auto"/>
                    <w:left w:val="none" w:sz="0" w:space="0" w:color="auto"/>
                    <w:bottom w:val="none" w:sz="0" w:space="0" w:color="auto"/>
                    <w:right w:val="none" w:sz="0" w:space="0" w:color="auto"/>
                  </w:divBdr>
                  <w:divsChild>
                    <w:div w:id="2135126708">
                      <w:marLeft w:val="0"/>
                      <w:marRight w:val="0"/>
                      <w:marTop w:val="0"/>
                      <w:marBottom w:val="0"/>
                      <w:divBdr>
                        <w:top w:val="none" w:sz="0" w:space="0" w:color="auto"/>
                        <w:left w:val="none" w:sz="0" w:space="0" w:color="auto"/>
                        <w:bottom w:val="none" w:sz="0" w:space="0" w:color="auto"/>
                        <w:right w:val="none" w:sz="0" w:space="0" w:color="auto"/>
                      </w:divBdr>
                    </w:div>
                  </w:divsChild>
                </w:div>
                <w:div w:id="154540003">
                  <w:marLeft w:val="0"/>
                  <w:marRight w:val="0"/>
                  <w:marTop w:val="0"/>
                  <w:marBottom w:val="0"/>
                  <w:divBdr>
                    <w:top w:val="none" w:sz="0" w:space="0" w:color="auto"/>
                    <w:left w:val="none" w:sz="0" w:space="0" w:color="auto"/>
                    <w:bottom w:val="none" w:sz="0" w:space="0" w:color="auto"/>
                    <w:right w:val="none" w:sz="0" w:space="0" w:color="auto"/>
                  </w:divBdr>
                  <w:divsChild>
                    <w:div w:id="18623892">
                      <w:marLeft w:val="0"/>
                      <w:marRight w:val="0"/>
                      <w:marTop w:val="0"/>
                      <w:marBottom w:val="0"/>
                      <w:divBdr>
                        <w:top w:val="none" w:sz="0" w:space="0" w:color="auto"/>
                        <w:left w:val="none" w:sz="0" w:space="0" w:color="auto"/>
                        <w:bottom w:val="none" w:sz="0" w:space="0" w:color="auto"/>
                        <w:right w:val="none" w:sz="0" w:space="0" w:color="auto"/>
                      </w:divBdr>
                    </w:div>
                  </w:divsChild>
                </w:div>
                <w:div w:id="162355292">
                  <w:marLeft w:val="0"/>
                  <w:marRight w:val="0"/>
                  <w:marTop w:val="0"/>
                  <w:marBottom w:val="0"/>
                  <w:divBdr>
                    <w:top w:val="none" w:sz="0" w:space="0" w:color="auto"/>
                    <w:left w:val="none" w:sz="0" w:space="0" w:color="auto"/>
                    <w:bottom w:val="none" w:sz="0" w:space="0" w:color="auto"/>
                    <w:right w:val="none" w:sz="0" w:space="0" w:color="auto"/>
                  </w:divBdr>
                  <w:divsChild>
                    <w:div w:id="2076389313">
                      <w:marLeft w:val="0"/>
                      <w:marRight w:val="0"/>
                      <w:marTop w:val="0"/>
                      <w:marBottom w:val="0"/>
                      <w:divBdr>
                        <w:top w:val="none" w:sz="0" w:space="0" w:color="auto"/>
                        <w:left w:val="none" w:sz="0" w:space="0" w:color="auto"/>
                        <w:bottom w:val="none" w:sz="0" w:space="0" w:color="auto"/>
                        <w:right w:val="none" w:sz="0" w:space="0" w:color="auto"/>
                      </w:divBdr>
                    </w:div>
                  </w:divsChild>
                </w:div>
                <w:div w:id="193999674">
                  <w:marLeft w:val="0"/>
                  <w:marRight w:val="0"/>
                  <w:marTop w:val="0"/>
                  <w:marBottom w:val="0"/>
                  <w:divBdr>
                    <w:top w:val="none" w:sz="0" w:space="0" w:color="auto"/>
                    <w:left w:val="none" w:sz="0" w:space="0" w:color="auto"/>
                    <w:bottom w:val="none" w:sz="0" w:space="0" w:color="auto"/>
                    <w:right w:val="none" w:sz="0" w:space="0" w:color="auto"/>
                  </w:divBdr>
                  <w:divsChild>
                    <w:div w:id="1213032946">
                      <w:marLeft w:val="0"/>
                      <w:marRight w:val="0"/>
                      <w:marTop w:val="0"/>
                      <w:marBottom w:val="0"/>
                      <w:divBdr>
                        <w:top w:val="none" w:sz="0" w:space="0" w:color="auto"/>
                        <w:left w:val="none" w:sz="0" w:space="0" w:color="auto"/>
                        <w:bottom w:val="none" w:sz="0" w:space="0" w:color="auto"/>
                        <w:right w:val="none" w:sz="0" w:space="0" w:color="auto"/>
                      </w:divBdr>
                    </w:div>
                  </w:divsChild>
                </w:div>
                <w:div w:id="208346824">
                  <w:marLeft w:val="0"/>
                  <w:marRight w:val="0"/>
                  <w:marTop w:val="0"/>
                  <w:marBottom w:val="0"/>
                  <w:divBdr>
                    <w:top w:val="none" w:sz="0" w:space="0" w:color="auto"/>
                    <w:left w:val="none" w:sz="0" w:space="0" w:color="auto"/>
                    <w:bottom w:val="none" w:sz="0" w:space="0" w:color="auto"/>
                    <w:right w:val="none" w:sz="0" w:space="0" w:color="auto"/>
                  </w:divBdr>
                  <w:divsChild>
                    <w:div w:id="492180852">
                      <w:marLeft w:val="0"/>
                      <w:marRight w:val="0"/>
                      <w:marTop w:val="0"/>
                      <w:marBottom w:val="0"/>
                      <w:divBdr>
                        <w:top w:val="none" w:sz="0" w:space="0" w:color="auto"/>
                        <w:left w:val="none" w:sz="0" w:space="0" w:color="auto"/>
                        <w:bottom w:val="none" w:sz="0" w:space="0" w:color="auto"/>
                        <w:right w:val="none" w:sz="0" w:space="0" w:color="auto"/>
                      </w:divBdr>
                    </w:div>
                  </w:divsChild>
                </w:div>
                <w:div w:id="227082323">
                  <w:marLeft w:val="0"/>
                  <w:marRight w:val="0"/>
                  <w:marTop w:val="0"/>
                  <w:marBottom w:val="0"/>
                  <w:divBdr>
                    <w:top w:val="none" w:sz="0" w:space="0" w:color="auto"/>
                    <w:left w:val="none" w:sz="0" w:space="0" w:color="auto"/>
                    <w:bottom w:val="none" w:sz="0" w:space="0" w:color="auto"/>
                    <w:right w:val="none" w:sz="0" w:space="0" w:color="auto"/>
                  </w:divBdr>
                  <w:divsChild>
                    <w:div w:id="1467432104">
                      <w:marLeft w:val="0"/>
                      <w:marRight w:val="0"/>
                      <w:marTop w:val="0"/>
                      <w:marBottom w:val="0"/>
                      <w:divBdr>
                        <w:top w:val="none" w:sz="0" w:space="0" w:color="auto"/>
                        <w:left w:val="none" w:sz="0" w:space="0" w:color="auto"/>
                        <w:bottom w:val="none" w:sz="0" w:space="0" w:color="auto"/>
                        <w:right w:val="none" w:sz="0" w:space="0" w:color="auto"/>
                      </w:divBdr>
                    </w:div>
                  </w:divsChild>
                </w:div>
                <w:div w:id="228270603">
                  <w:marLeft w:val="0"/>
                  <w:marRight w:val="0"/>
                  <w:marTop w:val="0"/>
                  <w:marBottom w:val="0"/>
                  <w:divBdr>
                    <w:top w:val="none" w:sz="0" w:space="0" w:color="auto"/>
                    <w:left w:val="none" w:sz="0" w:space="0" w:color="auto"/>
                    <w:bottom w:val="none" w:sz="0" w:space="0" w:color="auto"/>
                    <w:right w:val="none" w:sz="0" w:space="0" w:color="auto"/>
                  </w:divBdr>
                  <w:divsChild>
                    <w:div w:id="1635796500">
                      <w:marLeft w:val="0"/>
                      <w:marRight w:val="0"/>
                      <w:marTop w:val="0"/>
                      <w:marBottom w:val="0"/>
                      <w:divBdr>
                        <w:top w:val="none" w:sz="0" w:space="0" w:color="auto"/>
                        <w:left w:val="none" w:sz="0" w:space="0" w:color="auto"/>
                        <w:bottom w:val="none" w:sz="0" w:space="0" w:color="auto"/>
                        <w:right w:val="none" w:sz="0" w:space="0" w:color="auto"/>
                      </w:divBdr>
                    </w:div>
                  </w:divsChild>
                </w:div>
                <w:div w:id="234362313">
                  <w:marLeft w:val="0"/>
                  <w:marRight w:val="0"/>
                  <w:marTop w:val="0"/>
                  <w:marBottom w:val="0"/>
                  <w:divBdr>
                    <w:top w:val="none" w:sz="0" w:space="0" w:color="auto"/>
                    <w:left w:val="none" w:sz="0" w:space="0" w:color="auto"/>
                    <w:bottom w:val="none" w:sz="0" w:space="0" w:color="auto"/>
                    <w:right w:val="none" w:sz="0" w:space="0" w:color="auto"/>
                  </w:divBdr>
                  <w:divsChild>
                    <w:div w:id="932326844">
                      <w:marLeft w:val="0"/>
                      <w:marRight w:val="0"/>
                      <w:marTop w:val="0"/>
                      <w:marBottom w:val="0"/>
                      <w:divBdr>
                        <w:top w:val="none" w:sz="0" w:space="0" w:color="auto"/>
                        <w:left w:val="none" w:sz="0" w:space="0" w:color="auto"/>
                        <w:bottom w:val="none" w:sz="0" w:space="0" w:color="auto"/>
                        <w:right w:val="none" w:sz="0" w:space="0" w:color="auto"/>
                      </w:divBdr>
                    </w:div>
                  </w:divsChild>
                </w:div>
                <w:div w:id="255867855">
                  <w:marLeft w:val="0"/>
                  <w:marRight w:val="0"/>
                  <w:marTop w:val="0"/>
                  <w:marBottom w:val="0"/>
                  <w:divBdr>
                    <w:top w:val="none" w:sz="0" w:space="0" w:color="auto"/>
                    <w:left w:val="none" w:sz="0" w:space="0" w:color="auto"/>
                    <w:bottom w:val="none" w:sz="0" w:space="0" w:color="auto"/>
                    <w:right w:val="none" w:sz="0" w:space="0" w:color="auto"/>
                  </w:divBdr>
                  <w:divsChild>
                    <w:div w:id="954864952">
                      <w:marLeft w:val="0"/>
                      <w:marRight w:val="0"/>
                      <w:marTop w:val="0"/>
                      <w:marBottom w:val="0"/>
                      <w:divBdr>
                        <w:top w:val="none" w:sz="0" w:space="0" w:color="auto"/>
                        <w:left w:val="none" w:sz="0" w:space="0" w:color="auto"/>
                        <w:bottom w:val="none" w:sz="0" w:space="0" w:color="auto"/>
                        <w:right w:val="none" w:sz="0" w:space="0" w:color="auto"/>
                      </w:divBdr>
                    </w:div>
                  </w:divsChild>
                </w:div>
                <w:div w:id="265355829">
                  <w:marLeft w:val="0"/>
                  <w:marRight w:val="0"/>
                  <w:marTop w:val="0"/>
                  <w:marBottom w:val="0"/>
                  <w:divBdr>
                    <w:top w:val="none" w:sz="0" w:space="0" w:color="auto"/>
                    <w:left w:val="none" w:sz="0" w:space="0" w:color="auto"/>
                    <w:bottom w:val="none" w:sz="0" w:space="0" w:color="auto"/>
                    <w:right w:val="none" w:sz="0" w:space="0" w:color="auto"/>
                  </w:divBdr>
                  <w:divsChild>
                    <w:div w:id="911354186">
                      <w:marLeft w:val="0"/>
                      <w:marRight w:val="0"/>
                      <w:marTop w:val="0"/>
                      <w:marBottom w:val="0"/>
                      <w:divBdr>
                        <w:top w:val="none" w:sz="0" w:space="0" w:color="auto"/>
                        <w:left w:val="none" w:sz="0" w:space="0" w:color="auto"/>
                        <w:bottom w:val="none" w:sz="0" w:space="0" w:color="auto"/>
                        <w:right w:val="none" w:sz="0" w:space="0" w:color="auto"/>
                      </w:divBdr>
                    </w:div>
                  </w:divsChild>
                </w:div>
                <w:div w:id="275916808">
                  <w:marLeft w:val="0"/>
                  <w:marRight w:val="0"/>
                  <w:marTop w:val="0"/>
                  <w:marBottom w:val="0"/>
                  <w:divBdr>
                    <w:top w:val="none" w:sz="0" w:space="0" w:color="auto"/>
                    <w:left w:val="none" w:sz="0" w:space="0" w:color="auto"/>
                    <w:bottom w:val="none" w:sz="0" w:space="0" w:color="auto"/>
                    <w:right w:val="none" w:sz="0" w:space="0" w:color="auto"/>
                  </w:divBdr>
                  <w:divsChild>
                    <w:div w:id="1648822420">
                      <w:marLeft w:val="0"/>
                      <w:marRight w:val="0"/>
                      <w:marTop w:val="0"/>
                      <w:marBottom w:val="0"/>
                      <w:divBdr>
                        <w:top w:val="none" w:sz="0" w:space="0" w:color="auto"/>
                        <w:left w:val="none" w:sz="0" w:space="0" w:color="auto"/>
                        <w:bottom w:val="none" w:sz="0" w:space="0" w:color="auto"/>
                        <w:right w:val="none" w:sz="0" w:space="0" w:color="auto"/>
                      </w:divBdr>
                    </w:div>
                  </w:divsChild>
                </w:div>
                <w:div w:id="285746429">
                  <w:marLeft w:val="0"/>
                  <w:marRight w:val="0"/>
                  <w:marTop w:val="0"/>
                  <w:marBottom w:val="0"/>
                  <w:divBdr>
                    <w:top w:val="none" w:sz="0" w:space="0" w:color="auto"/>
                    <w:left w:val="none" w:sz="0" w:space="0" w:color="auto"/>
                    <w:bottom w:val="none" w:sz="0" w:space="0" w:color="auto"/>
                    <w:right w:val="none" w:sz="0" w:space="0" w:color="auto"/>
                  </w:divBdr>
                  <w:divsChild>
                    <w:div w:id="374816452">
                      <w:marLeft w:val="0"/>
                      <w:marRight w:val="0"/>
                      <w:marTop w:val="0"/>
                      <w:marBottom w:val="0"/>
                      <w:divBdr>
                        <w:top w:val="none" w:sz="0" w:space="0" w:color="auto"/>
                        <w:left w:val="none" w:sz="0" w:space="0" w:color="auto"/>
                        <w:bottom w:val="none" w:sz="0" w:space="0" w:color="auto"/>
                        <w:right w:val="none" w:sz="0" w:space="0" w:color="auto"/>
                      </w:divBdr>
                    </w:div>
                  </w:divsChild>
                </w:div>
                <w:div w:id="287975828">
                  <w:marLeft w:val="0"/>
                  <w:marRight w:val="0"/>
                  <w:marTop w:val="0"/>
                  <w:marBottom w:val="0"/>
                  <w:divBdr>
                    <w:top w:val="none" w:sz="0" w:space="0" w:color="auto"/>
                    <w:left w:val="none" w:sz="0" w:space="0" w:color="auto"/>
                    <w:bottom w:val="none" w:sz="0" w:space="0" w:color="auto"/>
                    <w:right w:val="none" w:sz="0" w:space="0" w:color="auto"/>
                  </w:divBdr>
                  <w:divsChild>
                    <w:div w:id="631639965">
                      <w:marLeft w:val="0"/>
                      <w:marRight w:val="0"/>
                      <w:marTop w:val="0"/>
                      <w:marBottom w:val="0"/>
                      <w:divBdr>
                        <w:top w:val="none" w:sz="0" w:space="0" w:color="auto"/>
                        <w:left w:val="none" w:sz="0" w:space="0" w:color="auto"/>
                        <w:bottom w:val="none" w:sz="0" w:space="0" w:color="auto"/>
                        <w:right w:val="none" w:sz="0" w:space="0" w:color="auto"/>
                      </w:divBdr>
                    </w:div>
                  </w:divsChild>
                </w:div>
                <w:div w:id="289868392">
                  <w:marLeft w:val="0"/>
                  <w:marRight w:val="0"/>
                  <w:marTop w:val="0"/>
                  <w:marBottom w:val="0"/>
                  <w:divBdr>
                    <w:top w:val="none" w:sz="0" w:space="0" w:color="auto"/>
                    <w:left w:val="none" w:sz="0" w:space="0" w:color="auto"/>
                    <w:bottom w:val="none" w:sz="0" w:space="0" w:color="auto"/>
                    <w:right w:val="none" w:sz="0" w:space="0" w:color="auto"/>
                  </w:divBdr>
                  <w:divsChild>
                    <w:div w:id="53285166">
                      <w:marLeft w:val="0"/>
                      <w:marRight w:val="0"/>
                      <w:marTop w:val="0"/>
                      <w:marBottom w:val="0"/>
                      <w:divBdr>
                        <w:top w:val="none" w:sz="0" w:space="0" w:color="auto"/>
                        <w:left w:val="none" w:sz="0" w:space="0" w:color="auto"/>
                        <w:bottom w:val="none" w:sz="0" w:space="0" w:color="auto"/>
                        <w:right w:val="none" w:sz="0" w:space="0" w:color="auto"/>
                      </w:divBdr>
                    </w:div>
                  </w:divsChild>
                </w:div>
                <w:div w:id="303506219">
                  <w:marLeft w:val="0"/>
                  <w:marRight w:val="0"/>
                  <w:marTop w:val="0"/>
                  <w:marBottom w:val="0"/>
                  <w:divBdr>
                    <w:top w:val="none" w:sz="0" w:space="0" w:color="auto"/>
                    <w:left w:val="none" w:sz="0" w:space="0" w:color="auto"/>
                    <w:bottom w:val="none" w:sz="0" w:space="0" w:color="auto"/>
                    <w:right w:val="none" w:sz="0" w:space="0" w:color="auto"/>
                  </w:divBdr>
                  <w:divsChild>
                    <w:div w:id="983319397">
                      <w:marLeft w:val="0"/>
                      <w:marRight w:val="0"/>
                      <w:marTop w:val="0"/>
                      <w:marBottom w:val="0"/>
                      <w:divBdr>
                        <w:top w:val="none" w:sz="0" w:space="0" w:color="auto"/>
                        <w:left w:val="none" w:sz="0" w:space="0" w:color="auto"/>
                        <w:bottom w:val="none" w:sz="0" w:space="0" w:color="auto"/>
                        <w:right w:val="none" w:sz="0" w:space="0" w:color="auto"/>
                      </w:divBdr>
                    </w:div>
                  </w:divsChild>
                </w:div>
                <w:div w:id="307825262">
                  <w:marLeft w:val="0"/>
                  <w:marRight w:val="0"/>
                  <w:marTop w:val="0"/>
                  <w:marBottom w:val="0"/>
                  <w:divBdr>
                    <w:top w:val="none" w:sz="0" w:space="0" w:color="auto"/>
                    <w:left w:val="none" w:sz="0" w:space="0" w:color="auto"/>
                    <w:bottom w:val="none" w:sz="0" w:space="0" w:color="auto"/>
                    <w:right w:val="none" w:sz="0" w:space="0" w:color="auto"/>
                  </w:divBdr>
                  <w:divsChild>
                    <w:div w:id="83890411">
                      <w:marLeft w:val="0"/>
                      <w:marRight w:val="0"/>
                      <w:marTop w:val="0"/>
                      <w:marBottom w:val="0"/>
                      <w:divBdr>
                        <w:top w:val="none" w:sz="0" w:space="0" w:color="auto"/>
                        <w:left w:val="none" w:sz="0" w:space="0" w:color="auto"/>
                        <w:bottom w:val="none" w:sz="0" w:space="0" w:color="auto"/>
                        <w:right w:val="none" w:sz="0" w:space="0" w:color="auto"/>
                      </w:divBdr>
                    </w:div>
                  </w:divsChild>
                </w:div>
                <w:div w:id="329914970">
                  <w:marLeft w:val="0"/>
                  <w:marRight w:val="0"/>
                  <w:marTop w:val="0"/>
                  <w:marBottom w:val="0"/>
                  <w:divBdr>
                    <w:top w:val="none" w:sz="0" w:space="0" w:color="auto"/>
                    <w:left w:val="none" w:sz="0" w:space="0" w:color="auto"/>
                    <w:bottom w:val="none" w:sz="0" w:space="0" w:color="auto"/>
                    <w:right w:val="none" w:sz="0" w:space="0" w:color="auto"/>
                  </w:divBdr>
                  <w:divsChild>
                    <w:div w:id="196240718">
                      <w:marLeft w:val="0"/>
                      <w:marRight w:val="0"/>
                      <w:marTop w:val="0"/>
                      <w:marBottom w:val="0"/>
                      <w:divBdr>
                        <w:top w:val="none" w:sz="0" w:space="0" w:color="auto"/>
                        <w:left w:val="none" w:sz="0" w:space="0" w:color="auto"/>
                        <w:bottom w:val="none" w:sz="0" w:space="0" w:color="auto"/>
                        <w:right w:val="none" w:sz="0" w:space="0" w:color="auto"/>
                      </w:divBdr>
                    </w:div>
                  </w:divsChild>
                </w:div>
                <w:div w:id="330301533">
                  <w:marLeft w:val="0"/>
                  <w:marRight w:val="0"/>
                  <w:marTop w:val="0"/>
                  <w:marBottom w:val="0"/>
                  <w:divBdr>
                    <w:top w:val="none" w:sz="0" w:space="0" w:color="auto"/>
                    <w:left w:val="none" w:sz="0" w:space="0" w:color="auto"/>
                    <w:bottom w:val="none" w:sz="0" w:space="0" w:color="auto"/>
                    <w:right w:val="none" w:sz="0" w:space="0" w:color="auto"/>
                  </w:divBdr>
                  <w:divsChild>
                    <w:div w:id="412747356">
                      <w:marLeft w:val="0"/>
                      <w:marRight w:val="0"/>
                      <w:marTop w:val="0"/>
                      <w:marBottom w:val="0"/>
                      <w:divBdr>
                        <w:top w:val="none" w:sz="0" w:space="0" w:color="auto"/>
                        <w:left w:val="none" w:sz="0" w:space="0" w:color="auto"/>
                        <w:bottom w:val="none" w:sz="0" w:space="0" w:color="auto"/>
                        <w:right w:val="none" w:sz="0" w:space="0" w:color="auto"/>
                      </w:divBdr>
                    </w:div>
                  </w:divsChild>
                </w:div>
                <w:div w:id="335619857">
                  <w:marLeft w:val="0"/>
                  <w:marRight w:val="0"/>
                  <w:marTop w:val="0"/>
                  <w:marBottom w:val="0"/>
                  <w:divBdr>
                    <w:top w:val="none" w:sz="0" w:space="0" w:color="auto"/>
                    <w:left w:val="none" w:sz="0" w:space="0" w:color="auto"/>
                    <w:bottom w:val="none" w:sz="0" w:space="0" w:color="auto"/>
                    <w:right w:val="none" w:sz="0" w:space="0" w:color="auto"/>
                  </w:divBdr>
                  <w:divsChild>
                    <w:div w:id="813521453">
                      <w:marLeft w:val="0"/>
                      <w:marRight w:val="0"/>
                      <w:marTop w:val="0"/>
                      <w:marBottom w:val="0"/>
                      <w:divBdr>
                        <w:top w:val="none" w:sz="0" w:space="0" w:color="auto"/>
                        <w:left w:val="none" w:sz="0" w:space="0" w:color="auto"/>
                        <w:bottom w:val="none" w:sz="0" w:space="0" w:color="auto"/>
                        <w:right w:val="none" w:sz="0" w:space="0" w:color="auto"/>
                      </w:divBdr>
                    </w:div>
                  </w:divsChild>
                </w:div>
                <w:div w:id="340084122">
                  <w:marLeft w:val="0"/>
                  <w:marRight w:val="0"/>
                  <w:marTop w:val="0"/>
                  <w:marBottom w:val="0"/>
                  <w:divBdr>
                    <w:top w:val="none" w:sz="0" w:space="0" w:color="auto"/>
                    <w:left w:val="none" w:sz="0" w:space="0" w:color="auto"/>
                    <w:bottom w:val="none" w:sz="0" w:space="0" w:color="auto"/>
                    <w:right w:val="none" w:sz="0" w:space="0" w:color="auto"/>
                  </w:divBdr>
                  <w:divsChild>
                    <w:div w:id="1767264716">
                      <w:marLeft w:val="0"/>
                      <w:marRight w:val="0"/>
                      <w:marTop w:val="0"/>
                      <w:marBottom w:val="0"/>
                      <w:divBdr>
                        <w:top w:val="none" w:sz="0" w:space="0" w:color="auto"/>
                        <w:left w:val="none" w:sz="0" w:space="0" w:color="auto"/>
                        <w:bottom w:val="none" w:sz="0" w:space="0" w:color="auto"/>
                        <w:right w:val="none" w:sz="0" w:space="0" w:color="auto"/>
                      </w:divBdr>
                    </w:div>
                  </w:divsChild>
                </w:div>
                <w:div w:id="343216210">
                  <w:marLeft w:val="0"/>
                  <w:marRight w:val="0"/>
                  <w:marTop w:val="0"/>
                  <w:marBottom w:val="0"/>
                  <w:divBdr>
                    <w:top w:val="none" w:sz="0" w:space="0" w:color="auto"/>
                    <w:left w:val="none" w:sz="0" w:space="0" w:color="auto"/>
                    <w:bottom w:val="none" w:sz="0" w:space="0" w:color="auto"/>
                    <w:right w:val="none" w:sz="0" w:space="0" w:color="auto"/>
                  </w:divBdr>
                  <w:divsChild>
                    <w:div w:id="2066027435">
                      <w:marLeft w:val="0"/>
                      <w:marRight w:val="0"/>
                      <w:marTop w:val="0"/>
                      <w:marBottom w:val="0"/>
                      <w:divBdr>
                        <w:top w:val="none" w:sz="0" w:space="0" w:color="auto"/>
                        <w:left w:val="none" w:sz="0" w:space="0" w:color="auto"/>
                        <w:bottom w:val="none" w:sz="0" w:space="0" w:color="auto"/>
                        <w:right w:val="none" w:sz="0" w:space="0" w:color="auto"/>
                      </w:divBdr>
                    </w:div>
                  </w:divsChild>
                </w:div>
                <w:div w:id="360907178">
                  <w:marLeft w:val="0"/>
                  <w:marRight w:val="0"/>
                  <w:marTop w:val="0"/>
                  <w:marBottom w:val="0"/>
                  <w:divBdr>
                    <w:top w:val="none" w:sz="0" w:space="0" w:color="auto"/>
                    <w:left w:val="none" w:sz="0" w:space="0" w:color="auto"/>
                    <w:bottom w:val="none" w:sz="0" w:space="0" w:color="auto"/>
                    <w:right w:val="none" w:sz="0" w:space="0" w:color="auto"/>
                  </w:divBdr>
                  <w:divsChild>
                    <w:div w:id="1787578837">
                      <w:marLeft w:val="0"/>
                      <w:marRight w:val="0"/>
                      <w:marTop w:val="0"/>
                      <w:marBottom w:val="0"/>
                      <w:divBdr>
                        <w:top w:val="none" w:sz="0" w:space="0" w:color="auto"/>
                        <w:left w:val="none" w:sz="0" w:space="0" w:color="auto"/>
                        <w:bottom w:val="none" w:sz="0" w:space="0" w:color="auto"/>
                        <w:right w:val="none" w:sz="0" w:space="0" w:color="auto"/>
                      </w:divBdr>
                    </w:div>
                  </w:divsChild>
                </w:div>
                <w:div w:id="366756180">
                  <w:marLeft w:val="0"/>
                  <w:marRight w:val="0"/>
                  <w:marTop w:val="0"/>
                  <w:marBottom w:val="0"/>
                  <w:divBdr>
                    <w:top w:val="none" w:sz="0" w:space="0" w:color="auto"/>
                    <w:left w:val="none" w:sz="0" w:space="0" w:color="auto"/>
                    <w:bottom w:val="none" w:sz="0" w:space="0" w:color="auto"/>
                    <w:right w:val="none" w:sz="0" w:space="0" w:color="auto"/>
                  </w:divBdr>
                  <w:divsChild>
                    <w:div w:id="1074157861">
                      <w:marLeft w:val="0"/>
                      <w:marRight w:val="0"/>
                      <w:marTop w:val="0"/>
                      <w:marBottom w:val="0"/>
                      <w:divBdr>
                        <w:top w:val="none" w:sz="0" w:space="0" w:color="auto"/>
                        <w:left w:val="none" w:sz="0" w:space="0" w:color="auto"/>
                        <w:bottom w:val="none" w:sz="0" w:space="0" w:color="auto"/>
                        <w:right w:val="none" w:sz="0" w:space="0" w:color="auto"/>
                      </w:divBdr>
                    </w:div>
                  </w:divsChild>
                </w:div>
                <w:div w:id="370426130">
                  <w:marLeft w:val="0"/>
                  <w:marRight w:val="0"/>
                  <w:marTop w:val="0"/>
                  <w:marBottom w:val="0"/>
                  <w:divBdr>
                    <w:top w:val="none" w:sz="0" w:space="0" w:color="auto"/>
                    <w:left w:val="none" w:sz="0" w:space="0" w:color="auto"/>
                    <w:bottom w:val="none" w:sz="0" w:space="0" w:color="auto"/>
                    <w:right w:val="none" w:sz="0" w:space="0" w:color="auto"/>
                  </w:divBdr>
                  <w:divsChild>
                    <w:div w:id="652414657">
                      <w:marLeft w:val="0"/>
                      <w:marRight w:val="0"/>
                      <w:marTop w:val="0"/>
                      <w:marBottom w:val="0"/>
                      <w:divBdr>
                        <w:top w:val="none" w:sz="0" w:space="0" w:color="auto"/>
                        <w:left w:val="none" w:sz="0" w:space="0" w:color="auto"/>
                        <w:bottom w:val="none" w:sz="0" w:space="0" w:color="auto"/>
                        <w:right w:val="none" w:sz="0" w:space="0" w:color="auto"/>
                      </w:divBdr>
                    </w:div>
                  </w:divsChild>
                </w:div>
                <w:div w:id="374282627">
                  <w:marLeft w:val="0"/>
                  <w:marRight w:val="0"/>
                  <w:marTop w:val="0"/>
                  <w:marBottom w:val="0"/>
                  <w:divBdr>
                    <w:top w:val="none" w:sz="0" w:space="0" w:color="auto"/>
                    <w:left w:val="none" w:sz="0" w:space="0" w:color="auto"/>
                    <w:bottom w:val="none" w:sz="0" w:space="0" w:color="auto"/>
                    <w:right w:val="none" w:sz="0" w:space="0" w:color="auto"/>
                  </w:divBdr>
                  <w:divsChild>
                    <w:div w:id="370374835">
                      <w:marLeft w:val="0"/>
                      <w:marRight w:val="0"/>
                      <w:marTop w:val="0"/>
                      <w:marBottom w:val="0"/>
                      <w:divBdr>
                        <w:top w:val="none" w:sz="0" w:space="0" w:color="auto"/>
                        <w:left w:val="none" w:sz="0" w:space="0" w:color="auto"/>
                        <w:bottom w:val="none" w:sz="0" w:space="0" w:color="auto"/>
                        <w:right w:val="none" w:sz="0" w:space="0" w:color="auto"/>
                      </w:divBdr>
                    </w:div>
                  </w:divsChild>
                </w:div>
                <w:div w:id="375932028">
                  <w:marLeft w:val="0"/>
                  <w:marRight w:val="0"/>
                  <w:marTop w:val="0"/>
                  <w:marBottom w:val="0"/>
                  <w:divBdr>
                    <w:top w:val="none" w:sz="0" w:space="0" w:color="auto"/>
                    <w:left w:val="none" w:sz="0" w:space="0" w:color="auto"/>
                    <w:bottom w:val="none" w:sz="0" w:space="0" w:color="auto"/>
                    <w:right w:val="none" w:sz="0" w:space="0" w:color="auto"/>
                  </w:divBdr>
                  <w:divsChild>
                    <w:div w:id="1216548128">
                      <w:marLeft w:val="0"/>
                      <w:marRight w:val="0"/>
                      <w:marTop w:val="0"/>
                      <w:marBottom w:val="0"/>
                      <w:divBdr>
                        <w:top w:val="none" w:sz="0" w:space="0" w:color="auto"/>
                        <w:left w:val="none" w:sz="0" w:space="0" w:color="auto"/>
                        <w:bottom w:val="none" w:sz="0" w:space="0" w:color="auto"/>
                        <w:right w:val="none" w:sz="0" w:space="0" w:color="auto"/>
                      </w:divBdr>
                    </w:div>
                  </w:divsChild>
                </w:div>
                <w:div w:id="387924417">
                  <w:marLeft w:val="0"/>
                  <w:marRight w:val="0"/>
                  <w:marTop w:val="0"/>
                  <w:marBottom w:val="0"/>
                  <w:divBdr>
                    <w:top w:val="none" w:sz="0" w:space="0" w:color="auto"/>
                    <w:left w:val="none" w:sz="0" w:space="0" w:color="auto"/>
                    <w:bottom w:val="none" w:sz="0" w:space="0" w:color="auto"/>
                    <w:right w:val="none" w:sz="0" w:space="0" w:color="auto"/>
                  </w:divBdr>
                  <w:divsChild>
                    <w:div w:id="438644416">
                      <w:marLeft w:val="0"/>
                      <w:marRight w:val="0"/>
                      <w:marTop w:val="0"/>
                      <w:marBottom w:val="0"/>
                      <w:divBdr>
                        <w:top w:val="none" w:sz="0" w:space="0" w:color="auto"/>
                        <w:left w:val="none" w:sz="0" w:space="0" w:color="auto"/>
                        <w:bottom w:val="none" w:sz="0" w:space="0" w:color="auto"/>
                        <w:right w:val="none" w:sz="0" w:space="0" w:color="auto"/>
                      </w:divBdr>
                    </w:div>
                  </w:divsChild>
                </w:div>
                <w:div w:id="400448297">
                  <w:marLeft w:val="0"/>
                  <w:marRight w:val="0"/>
                  <w:marTop w:val="0"/>
                  <w:marBottom w:val="0"/>
                  <w:divBdr>
                    <w:top w:val="none" w:sz="0" w:space="0" w:color="auto"/>
                    <w:left w:val="none" w:sz="0" w:space="0" w:color="auto"/>
                    <w:bottom w:val="none" w:sz="0" w:space="0" w:color="auto"/>
                    <w:right w:val="none" w:sz="0" w:space="0" w:color="auto"/>
                  </w:divBdr>
                  <w:divsChild>
                    <w:div w:id="1744374742">
                      <w:marLeft w:val="0"/>
                      <w:marRight w:val="0"/>
                      <w:marTop w:val="0"/>
                      <w:marBottom w:val="0"/>
                      <w:divBdr>
                        <w:top w:val="none" w:sz="0" w:space="0" w:color="auto"/>
                        <w:left w:val="none" w:sz="0" w:space="0" w:color="auto"/>
                        <w:bottom w:val="none" w:sz="0" w:space="0" w:color="auto"/>
                        <w:right w:val="none" w:sz="0" w:space="0" w:color="auto"/>
                      </w:divBdr>
                    </w:div>
                  </w:divsChild>
                </w:div>
                <w:div w:id="403572292">
                  <w:marLeft w:val="0"/>
                  <w:marRight w:val="0"/>
                  <w:marTop w:val="0"/>
                  <w:marBottom w:val="0"/>
                  <w:divBdr>
                    <w:top w:val="none" w:sz="0" w:space="0" w:color="auto"/>
                    <w:left w:val="none" w:sz="0" w:space="0" w:color="auto"/>
                    <w:bottom w:val="none" w:sz="0" w:space="0" w:color="auto"/>
                    <w:right w:val="none" w:sz="0" w:space="0" w:color="auto"/>
                  </w:divBdr>
                  <w:divsChild>
                    <w:div w:id="1334986541">
                      <w:marLeft w:val="0"/>
                      <w:marRight w:val="0"/>
                      <w:marTop w:val="0"/>
                      <w:marBottom w:val="0"/>
                      <w:divBdr>
                        <w:top w:val="none" w:sz="0" w:space="0" w:color="auto"/>
                        <w:left w:val="none" w:sz="0" w:space="0" w:color="auto"/>
                        <w:bottom w:val="none" w:sz="0" w:space="0" w:color="auto"/>
                        <w:right w:val="none" w:sz="0" w:space="0" w:color="auto"/>
                      </w:divBdr>
                    </w:div>
                  </w:divsChild>
                </w:div>
                <w:div w:id="406848737">
                  <w:marLeft w:val="0"/>
                  <w:marRight w:val="0"/>
                  <w:marTop w:val="0"/>
                  <w:marBottom w:val="0"/>
                  <w:divBdr>
                    <w:top w:val="none" w:sz="0" w:space="0" w:color="auto"/>
                    <w:left w:val="none" w:sz="0" w:space="0" w:color="auto"/>
                    <w:bottom w:val="none" w:sz="0" w:space="0" w:color="auto"/>
                    <w:right w:val="none" w:sz="0" w:space="0" w:color="auto"/>
                  </w:divBdr>
                  <w:divsChild>
                    <w:div w:id="36051150">
                      <w:marLeft w:val="0"/>
                      <w:marRight w:val="0"/>
                      <w:marTop w:val="0"/>
                      <w:marBottom w:val="0"/>
                      <w:divBdr>
                        <w:top w:val="none" w:sz="0" w:space="0" w:color="auto"/>
                        <w:left w:val="none" w:sz="0" w:space="0" w:color="auto"/>
                        <w:bottom w:val="none" w:sz="0" w:space="0" w:color="auto"/>
                        <w:right w:val="none" w:sz="0" w:space="0" w:color="auto"/>
                      </w:divBdr>
                    </w:div>
                  </w:divsChild>
                </w:div>
                <w:div w:id="435709445">
                  <w:marLeft w:val="0"/>
                  <w:marRight w:val="0"/>
                  <w:marTop w:val="0"/>
                  <w:marBottom w:val="0"/>
                  <w:divBdr>
                    <w:top w:val="none" w:sz="0" w:space="0" w:color="auto"/>
                    <w:left w:val="none" w:sz="0" w:space="0" w:color="auto"/>
                    <w:bottom w:val="none" w:sz="0" w:space="0" w:color="auto"/>
                    <w:right w:val="none" w:sz="0" w:space="0" w:color="auto"/>
                  </w:divBdr>
                  <w:divsChild>
                    <w:div w:id="816532516">
                      <w:marLeft w:val="0"/>
                      <w:marRight w:val="0"/>
                      <w:marTop w:val="0"/>
                      <w:marBottom w:val="0"/>
                      <w:divBdr>
                        <w:top w:val="none" w:sz="0" w:space="0" w:color="auto"/>
                        <w:left w:val="none" w:sz="0" w:space="0" w:color="auto"/>
                        <w:bottom w:val="none" w:sz="0" w:space="0" w:color="auto"/>
                        <w:right w:val="none" w:sz="0" w:space="0" w:color="auto"/>
                      </w:divBdr>
                    </w:div>
                  </w:divsChild>
                </w:div>
                <w:div w:id="441653275">
                  <w:marLeft w:val="0"/>
                  <w:marRight w:val="0"/>
                  <w:marTop w:val="0"/>
                  <w:marBottom w:val="0"/>
                  <w:divBdr>
                    <w:top w:val="none" w:sz="0" w:space="0" w:color="auto"/>
                    <w:left w:val="none" w:sz="0" w:space="0" w:color="auto"/>
                    <w:bottom w:val="none" w:sz="0" w:space="0" w:color="auto"/>
                    <w:right w:val="none" w:sz="0" w:space="0" w:color="auto"/>
                  </w:divBdr>
                  <w:divsChild>
                    <w:div w:id="1449204525">
                      <w:marLeft w:val="0"/>
                      <w:marRight w:val="0"/>
                      <w:marTop w:val="0"/>
                      <w:marBottom w:val="0"/>
                      <w:divBdr>
                        <w:top w:val="none" w:sz="0" w:space="0" w:color="auto"/>
                        <w:left w:val="none" w:sz="0" w:space="0" w:color="auto"/>
                        <w:bottom w:val="none" w:sz="0" w:space="0" w:color="auto"/>
                        <w:right w:val="none" w:sz="0" w:space="0" w:color="auto"/>
                      </w:divBdr>
                    </w:div>
                  </w:divsChild>
                </w:div>
                <w:div w:id="456068432">
                  <w:marLeft w:val="0"/>
                  <w:marRight w:val="0"/>
                  <w:marTop w:val="0"/>
                  <w:marBottom w:val="0"/>
                  <w:divBdr>
                    <w:top w:val="none" w:sz="0" w:space="0" w:color="auto"/>
                    <w:left w:val="none" w:sz="0" w:space="0" w:color="auto"/>
                    <w:bottom w:val="none" w:sz="0" w:space="0" w:color="auto"/>
                    <w:right w:val="none" w:sz="0" w:space="0" w:color="auto"/>
                  </w:divBdr>
                  <w:divsChild>
                    <w:div w:id="1104810870">
                      <w:marLeft w:val="0"/>
                      <w:marRight w:val="0"/>
                      <w:marTop w:val="0"/>
                      <w:marBottom w:val="0"/>
                      <w:divBdr>
                        <w:top w:val="none" w:sz="0" w:space="0" w:color="auto"/>
                        <w:left w:val="none" w:sz="0" w:space="0" w:color="auto"/>
                        <w:bottom w:val="none" w:sz="0" w:space="0" w:color="auto"/>
                        <w:right w:val="none" w:sz="0" w:space="0" w:color="auto"/>
                      </w:divBdr>
                    </w:div>
                  </w:divsChild>
                </w:div>
                <w:div w:id="466436918">
                  <w:marLeft w:val="0"/>
                  <w:marRight w:val="0"/>
                  <w:marTop w:val="0"/>
                  <w:marBottom w:val="0"/>
                  <w:divBdr>
                    <w:top w:val="none" w:sz="0" w:space="0" w:color="auto"/>
                    <w:left w:val="none" w:sz="0" w:space="0" w:color="auto"/>
                    <w:bottom w:val="none" w:sz="0" w:space="0" w:color="auto"/>
                    <w:right w:val="none" w:sz="0" w:space="0" w:color="auto"/>
                  </w:divBdr>
                  <w:divsChild>
                    <w:div w:id="317346212">
                      <w:marLeft w:val="0"/>
                      <w:marRight w:val="0"/>
                      <w:marTop w:val="0"/>
                      <w:marBottom w:val="0"/>
                      <w:divBdr>
                        <w:top w:val="none" w:sz="0" w:space="0" w:color="auto"/>
                        <w:left w:val="none" w:sz="0" w:space="0" w:color="auto"/>
                        <w:bottom w:val="none" w:sz="0" w:space="0" w:color="auto"/>
                        <w:right w:val="none" w:sz="0" w:space="0" w:color="auto"/>
                      </w:divBdr>
                    </w:div>
                  </w:divsChild>
                </w:div>
                <w:div w:id="474834869">
                  <w:marLeft w:val="0"/>
                  <w:marRight w:val="0"/>
                  <w:marTop w:val="0"/>
                  <w:marBottom w:val="0"/>
                  <w:divBdr>
                    <w:top w:val="none" w:sz="0" w:space="0" w:color="auto"/>
                    <w:left w:val="none" w:sz="0" w:space="0" w:color="auto"/>
                    <w:bottom w:val="none" w:sz="0" w:space="0" w:color="auto"/>
                    <w:right w:val="none" w:sz="0" w:space="0" w:color="auto"/>
                  </w:divBdr>
                  <w:divsChild>
                    <w:div w:id="1929388966">
                      <w:marLeft w:val="0"/>
                      <w:marRight w:val="0"/>
                      <w:marTop w:val="0"/>
                      <w:marBottom w:val="0"/>
                      <w:divBdr>
                        <w:top w:val="none" w:sz="0" w:space="0" w:color="auto"/>
                        <w:left w:val="none" w:sz="0" w:space="0" w:color="auto"/>
                        <w:bottom w:val="none" w:sz="0" w:space="0" w:color="auto"/>
                        <w:right w:val="none" w:sz="0" w:space="0" w:color="auto"/>
                      </w:divBdr>
                    </w:div>
                  </w:divsChild>
                </w:div>
                <w:div w:id="480198577">
                  <w:marLeft w:val="0"/>
                  <w:marRight w:val="0"/>
                  <w:marTop w:val="0"/>
                  <w:marBottom w:val="0"/>
                  <w:divBdr>
                    <w:top w:val="none" w:sz="0" w:space="0" w:color="auto"/>
                    <w:left w:val="none" w:sz="0" w:space="0" w:color="auto"/>
                    <w:bottom w:val="none" w:sz="0" w:space="0" w:color="auto"/>
                    <w:right w:val="none" w:sz="0" w:space="0" w:color="auto"/>
                  </w:divBdr>
                  <w:divsChild>
                    <w:div w:id="1367369185">
                      <w:marLeft w:val="0"/>
                      <w:marRight w:val="0"/>
                      <w:marTop w:val="0"/>
                      <w:marBottom w:val="0"/>
                      <w:divBdr>
                        <w:top w:val="none" w:sz="0" w:space="0" w:color="auto"/>
                        <w:left w:val="none" w:sz="0" w:space="0" w:color="auto"/>
                        <w:bottom w:val="none" w:sz="0" w:space="0" w:color="auto"/>
                        <w:right w:val="none" w:sz="0" w:space="0" w:color="auto"/>
                      </w:divBdr>
                    </w:div>
                  </w:divsChild>
                </w:div>
                <w:div w:id="482699807">
                  <w:marLeft w:val="0"/>
                  <w:marRight w:val="0"/>
                  <w:marTop w:val="0"/>
                  <w:marBottom w:val="0"/>
                  <w:divBdr>
                    <w:top w:val="none" w:sz="0" w:space="0" w:color="auto"/>
                    <w:left w:val="none" w:sz="0" w:space="0" w:color="auto"/>
                    <w:bottom w:val="none" w:sz="0" w:space="0" w:color="auto"/>
                    <w:right w:val="none" w:sz="0" w:space="0" w:color="auto"/>
                  </w:divBdr>
                  <w:divsChild>
                    <w:div w:id="674070317">
                      <w:marLeft w:val="0"/>
                      <w:marRight w:val="0"/>
                      <w:marTop w:val="0"/>
                      <w:marBottom w:val="0"/>
                      <w:divBdr>
                        <w:top w:val="none" w:sz="0" w:space="0" w:color="auto"/>
                        <w:left w:val="none" w:sz="0" w:space="0" w:color="auto"/>
                        <w:bottom w:val="none" w:sz="0" w:space="0" w:color="auto"/>
                        <w:right w:val="none" w:sz="0" w:space="0" w:color="auto"/>
                      </w:divBdr>
                    </w:div>
                  </w:divsChild>
                </w:div>
                <w:div w:id="483202336">
                  <w:marLeft w:val="0"/>
                  <w:marRight w:val="0"/>
                  <w:marTop w:val="0"/>
                  <w:marBottom w:val="0"/>
                  <w:divBdr>
                    <w:top w:val="none" w:sz="0" w:space="0" w:color="auto"/>
                    <w:left w:val="none" w:sz="0" w:space="0" w:color="auto"/>
                    <w:bottom w:val="none" w:sz="0" w:space="0" w:color="auto"/>
                    <w:right w:val="none" w:sz="0" w:space="0" w:color="auto"/>
                  </w:divBdr>
                  <w:divsChild>
                    <w:div w:id="148182405">
                      <w:marLeft w:val="0"/>
                      <w:marRight w:val="0"/>
                      <w:marTop w:val="0"/>
                      <w:marBottom w:val="0"/>
                      <w:divBdr>
                        <w:top w:val="none" w:sz="0" w:space="0" w:color="auto"/>
                        <w:left w:val="none" w:sz="0" w:space="0" w:color="auto"/>
                        <w:bottom w:val="none" w:sz="0" w:space="0" w:color="auto"/>
                        <w:right w:val="none" w:sz="0" w:space="0" w:color="auto"/>
                      </w:divBdr>
                    </w:div>
                  </w:divsChild>
                </w:div>
                <w:div w:id="505831308">
                  <w:marLeft w:val="0"/>
                  <w:marRight w:val="0"/>
                  <w:marTop w:val="0"/>
                  <w:marBottom w:val="0"/>
                  <w:divBdr>
                    <w:top w:val="none" w:sz="0" w:space="0" w:color="auto"/>
                    <w:left w:val="none" w:sz="0" w:space="0" w:color="auto"/>
                    <w:bottom w:val="none" w:sz="0" w:space="0" w:color="auto"/>
                    <w:right w:val="none" w:sz="0" w:space="0" w:color="auto"/>
                  </w:divBdr>
                  <w:divsChild>
                    <w:div w:id="191843407">
                      <w:marLeft w:val="0"/>
                      <w:marRight w:val="0"/>
                      <w:marTop w:val="0"/>
                      <w:marBottom w:val="0"/>
                      <w:divBdr>
                        <w:top w:val="none" w:sz="0" w:space="0" w:color="auto"/>
                        <w:left w:val="none" w:sz="0" w:space="0" w:color="auto"/>
                        <w:bottom w:val="none" w:sz="0" w:space="0" w:color="auto"/>
                        <w:right w:val="none" w:sz="0" w:space="0" w:color="auto"/>
                      </w:divBdr>
                    </w:div>
                  </w:divsChild>
                </w:div>
                <w:div w:id="512381247">
                  <w:marLeft w:val="0"/>
                  <w:marRight w:val="0"/>
                  <w:marTop w:val="0"/>
                  <w:marBottom w:val="0"/>
                  <w:divBdr>
                    <w:top w:val="none" w:sz="0" w:space="0" w:color="auto"/>
                    <w:left w:val="none" w:sz="0" w:space="0" w:color="auto"/>
                    <w:bottom w:val="none" w:sz="0" w:space="0" w:color="auto"/>
                    <w:right w:val="none" w:sz="0" w:space="0" w:color="auto"/>
                  </w:divBdr>
                  <w:divsChild>
                    <w:div w:id="1310869283">
                      <w:marLeft w:val="0"/>
                      <w:marRight w:val="0"/>
                      <w:marTop w:val="0"/>
                      <w:marBottom w:val="0"/>
                      <w:divBdr>
                        <w:top w:val="none" w:sz="0" w:space="0" w:color="auto"/>
                        <w:left w:val="none" w:sz="0" w:space="0" w:color="auto"/>
                        <w:bottom w:val="none" w:sz="0" w:space="0" w:color="auto"/>
                        <w:right w:val="none" w:sz="0" w:space="0" w:color="auto"/>
                      </w:divBdr>
                    </w:div>
                  </w:divsChild>
                </w:div>
                <w:div w:id="517040126">
                  <w:marLeft w:val="0"/>
                  <w:marRight w:val="0"/>
                  <w:marTop w:val="0"/>
                  <w:marBottom w:val="0"/>
                  <w:divBdr>
                    <w:top w:val="none" w:sz="0" w:space="0" w:color="auto"/>
                    <w:left w:val="none" w:sz="0" w:space="0" w:color="auto"/>
                    <w:bottom w:val="none" w:sz="0" w:space="0" w:color="auto"/>
                    <w:right w:val="none" w:sz="0" w:space="0" w:color="auto"/>
                  </w:divBdr>
                  <w:divsChild>
                    <w:div w:id="751121202">
                      <w:marLeft w:val="0"/>
                      <w:marRight w:val="0"/>
                      <w:marTop w:val="0"/>
                      <w:marBottom w:val="0"/>
                      <w:divBdr>
                        <w:top w:val="none" w:sz="0" w:space="0" w:color="auto"/>
                        <w:left w:val="none" w:sz="0" w:space="0" w:color="auto"/>
                        <w:bottom w:val="none" w:sz="0" w:space="0" w:color="auto"/>
                        <w:right w:val="none" w:sz="0" w:space="0" w:color="auto"/>
                      </w:divBdr>
                    </w:div>
                  </w:divsChild>
                </w:div>
                <w:div w:id="578446102">
                  <w:marLeft w:val="0"/>
                  <w:marRight w:val="0"/>
                  <w:marTop w:val="0"/>
                  <w:marBottom w:val="0"/>
                  <w:divBdr>
                    <w:top w:val="none" w:sz="0" w:space="0" w:color="auto"/>
                    <w:left w:val="none" w:sz="0" w:space="0" w:color="auto"/>
                    <w:bottom w:val="none" w:sz="0" w:space="0" w:color="auto"/>
                    <w:right w:val="none" w:sz="0" w:space="0" w:color="auto"/>
                  </w:divBdr>
                  <w:divsChild>
                    <w:div w:id="1088424094">
                      <w:marLeft w:val="0"/>
                      <w:marRight w:val="0"/>
                      <w:marTop w:val="0"/>
                      <w:marBottom w:val="0"/>
                      <w:divBdr>
                        <w:top w:val="none" w:sz="0" w:space="0" w:color="auto"/>
                        <w:left w:val="none" w:sz="0" w:space="0" w:color="auto"/>
                        <w:bottom w:val="none" w:sz="0" w:space="0" w:color="auto"/>
                        <w:right w:val="none" w:sz="0" w:space="0" w:color="auto"/>
                      </w:divBdr>
                    </w:div>
                  </w:divsChild>
                </w:div>
                <w:div w:id="595863102">
                  <w:marLeft w:val="0"/>
                  <w:marRight w:val="0"/>
                  <w:marTop w:val="0"/>
                  <w:marBottom w:val="0"/>
                  <w:divBdr>
                    <w:top w:val="none" w:sz="0" w:space="0" w:color="auto"/>
                    <w:left w:val="none" w:sz="0" w:space="0" w:color="auto"/>
                    <w:bottom w:val="none" w:sz="0" w:space="0" w:color="auto"/>
                    <w:right w:val="none" w:sz="0" w:space="0" w:color="auto"/>
                  </w:divBdr>
                  <w:divsChild>
                    <w:div w:id="21250574">
                      <w:marLeft w:val="0"/>
                      <w:marRight w:val="0"/>
                      <w:marTop w:val="0"/>
                      <w:marBottom w:val="0"/>
                      <w:divBdr>
                        <w:top w:val="none" w:sz="0" w:space="0" w:color="auto"/>
                        <w:left w:val="none" w:sz="0" w:space="0" w:color="auto"/>
                        <w:bottom w:val="none" w:sz="0" w:space="0" w:color="auto"/>
                        <w:right w:val="none" w:sz="0" w:space="0" w:color="auto"/>
                      </w:divBdr>
                    </w:div>
                  </w:divsChild>
                </w:div>
                <w:div w:id="622883737">
                  <w:marLeft w:val="0"/>
                  <w:marRight w:val="0"/>
                  <w:marTop w:val="0"/>
                  <w:marBottom w:val="0"/>
                  <w:divBdr>
                    <w:top w:val="none" w:sz="0" w:space="0" w:color="auto"/>
                    <w:left w:val="none" w:sz="0" w:space="0" w:color="auto"/>
                    <w:bottom w:val="none" w:sz="0" w:space="0" w:color="auto"/>
                    <w:right w:val="none" w:sz="0" w:space="0" w:color="auto"/>
                  </w:divBdr>
                  <w:divsChild>
                    <w:div w:id="261038070">
                      <w:marLeft w:val="0"/>
                      <w:marRight w:val="0"/>
                      <w:marTop w:val="0"/>
                      <w:marBottom w:val="0"/>
                      <w:divBdr>
                        <w:top w:val="none" w:sz="0" w:space="0" w:color="auto"/>
                        <w:left w:val="none" w:sz="0" w:space="0" w:color="auto"/>
                        <w:bottom w:val="none" w:sz="0" w:space="0" w:color="auto"/>
                        <w:right w:val="none" w:sz="0" w:space="0" w:color="auto"/>
                      </w:divBdr>
                    </w:div>
                  </w:divsChild>
                </w:div>
                <w:div w:id="639656595">
                  <w:marLeft w:val="0"/>
                  <w:marRight w:val="0"/>
                  <w:marTop w:val="0"/>
                  <w:marBottom w:val="0"/>
                  <w:divBdr>
                    <w:top w:val="none" w:sz="0" w:space="0" w:color="auto"/>
                    <w:left w:val="none" w:sz="0" w:space="0" w:color="auto"/>
                    <w:bottom w:val="none" w:sz="0" w:space="0" w:color="auto"/>
                    <w:right w:val="none" w:sz="0" w:space="0" w:color="auto"/>
                  </w:divBdr>
                  <w:divsChild>
                    <w:div w:id="2052723054">
                      <w:marLeft w:val="0"/>
                      <w:marRight w:val="0"/>
                      <w:marTop w:val="0"/>
                      <w:marBottom w:val="0"/>
                      <w:divBdr>
                        <w:top w:val="none" w:sz="0" w:space="0" w:color="auto"/>
                        <w:left w:val="none" w:sz="0" w:space="0" w:color="auto"/>
                        <w:bottom w:val="none" w:sz="0" w:space="0" w:color="auto"/>
                        <w:right w:val="none" w:sz="0" w:space="0" w:color="auto"/>
                      </w:divBdr>
                    </w:div>
                  </w:divsChild>
                </w:div>
                <w:div w:id="643268443">
                  <w:marLeft w:val="0"/>
                  <w:marRight w:val="0"/>
                  <w:marTop w:val="0"/>
                  <w:marBottom w:val="0"/>
                  <w:divBdr>
                    <w:top w:val="none" w:sz="0" w:space="0" w:color="auto"/>
                    <w:left w:val="none" w:sz="0" w:space="0" w:color="auto"/>
                    <w:bottom w:val="none" w:sz="0" w:space="0" w:color="auto"/>
                    <w:right w:val="none" w:sz="0" w:space="0" w:color="auto"/>
                  </w:divBdr>
                  <w:divsChild>
                    <w:div w:id="1870946081">
                      <w:marLeft w:val="0"/>
                      <w:marRight w:val="0"/>
                      <w:marTop w:val="0"/>
                      <w:marBottom w:val="0"/>
                      <w:divBdr>
                        <w:top w:val="none" w:sz="0" w:space="0" w:color="auto"/>
                        <w:left w:val="none" w:sz="0" w:space="0" w:color="auto"/>
                        <w:bottom w:val="none" w:sz="0" w:space="0" w:color="auto"/>
                        <w:right w:val="none" w:sz="0" w:space="0" w:color="auto"/>
                      </w:divBdr>
                    </w:div>
                  </w:divsChild>
                </w:div>
                <w:div w:id="643855644">
                  <w:marLeft w:val="0"/>
                  <w:marRight w:val="0"/>
                  <w:marTop w:val="0"/>
                  <w:marBottom w:val="0"/>
                  <w:divBdr>
                    <w:top w:val="none" w:sz="0" w:space="0" w:color="auto"/>
                    <w:left w:val="none" w:sz="0" w:space="0" w:color="auto"/>
                    <w:bottom w:val="none" w:sz="0" w:space="0" w:color="auto"/>
                    <w:right w:val="none" w:sz="0" w:space="0" w:color="auto"/>
                  </w:divBdr>
                  <w:divsChild>
                    <w:div w:id="1276791934">
                      <w:marLeft w:val="0"/>
                      <w:marRight w:val="0"/>
                      <w:marTop w:val="0"/>
                      <w:marBottom w:val="0"/>
                      <w:divBdr>
                        <w:top w:val="none" w:sz="0" w:space="0" w:color="auto"/>
                        <w:left w:val="none" w:sz="0" w:space="0" w:color="auto"/>
                        <w:bottom w:val="none" w:sz="0" w:space="0" w:color="auto"/>
                        <w:right w:val="none" w:sz="0" w:space="0" w:color="auto"/>
                      </w:divBdr>
                    </w:div>
                  </w:divsChild>
                </w:div>
                <w:div w:id="645430717">
                  <w:marLeft w:val="0"/>
                  <w:marRight w:val="0"/>
                  <w:marTop w:val="0"/>
                  <w:marBottom w:val="0"/>
                  <w:divBdr>
                    <w:top w:val="none" w:sz="0" w:space="0" w:color="auto"/>
                    <w:left w:val="none" w:sz="0" w:space="0" w:color="auto"/>
                    <w:bottom w:val="none" w:sz="0" w:space="0" w:color="auto"/>
                    <w:right w:val="none" w:sz="0" w:space="0" w:color="auto"/>
                  </w:divBdr>
                  <w:divsChild>
                    <w:div w:id="308751547">
                      <w:marLeft w:val="0"/>
                      <w:marRight w:val="0"/>
                      <w:marTop w:val="0"/>
                      <w:marBottom w:val="0"/>
                      <w:divBdr>
                        <w:top w:val="none" w:sz="0" w:space="0" w:color="auto"/>
                        <w:left w:val="none" w:sz="0" w:space="0" w:color="auto"/>
                        <w:bottom w:val="none" w:sz="0" w:space="0" w:color="auto"/>
                        <w:right w:val="none" w:sz="0" w:space="0" w:color="auto"/>
                      </w:divBdr>
                    </w:div>
                  </w:divsChild>
                </w:div>
                <w:div w:id="652373661">
                  <w:marLeft w:val="0"/>
                  <w:marRight w:val="0"/>
                  <w:marTop w:val="0"/>
                  <w:marBottom w:val="0"/>
                  <w:divBdr>
                    <w:top w:val="none" w:sz="0" w:space="0" w:color="auto"/>
                    <w:left w:val="none" w:sz="0" w:space="0" w:color="auto"/>
                    <w:bottom w:val="none" w:sz="0" w:space="0" w:color="auto"/>
                    <w:right w:val="none" w:sz="0" w:space="0" w:color="auto"/>
                  </w:divBdr>
                  <w:divsChild>
                    <w:div w:id="1376585619">
                      <w:marLeft w:val="0"/>
                      <w:marRight w:val="0"/>
                      <w:marTop w:val="0"/>
                      <w:marBottom w:val="0"/>
                      <w:divBdr>
                        <w:top w:val="none" w:sz="0" w:space="0" w:color="auto"/>
                        <w:left w:val="none" w:sz="0" w:space="0" w:color="auto"/>
                        <w:bottom w:val="none" w:sz="0" w:space="0" w:color="auto"/>
                        <w:right w:val="none" w:sz="0" w:space="0" w:color="auto"/>
                      </w:divBdr>
                    </w:div>
                  </w:divsChild>
                </w:div>
                <w:div w:id="654456065">
                  <w:marLeft w:val="0"/>
                  <w:marRight w:val="0"/>
                  <w:marTop w:val="0"/>
                  <w:marBottom w:val="0"/>
                  <w:divBdr>
                    <w:top w:val="none" w:sz="0" w:space="0" w:color="auto"/>
                    <w:left w:val="none" w:sz="0" w:space="0" w:color="auto"/>
                    <w:bottom w:val="none" w:sz="0" w:space="0" w:color="auto"/>
                    <w:right w:val="none" w:sz="0" w:space="0" w:color="auto"/>
                  </w:divBdr>
                  <w:divsChild>
                    <w:div w:id="2100178798">
                      <w:marLeft w:val="0"/>
                      <w:marRight w:val="0"/>
                      <w:marTop w:val="0"/>
                      <w:marBottom w:val="0"/>
                      <w:divBdr>
                        <w:top w:val="none" w:sz="0" w:space="0" w:color="auto"/>
                        <w:left w:val="none" w:sz="0" w:space="0" w:color="auto"/>
                        <w:bottom w:val="none" w:sz="0" w:space="0" w:color="auto"/>
                        <w:right w:val="none" w:sz="0" w:space="0" w:color="auto"/>
                      </w:divBdr>
                    </w:div>
                  </w:divsChild>
                </w:div>
                <w:div w:id="662205004">
                  <w:marLeft w:val="0"/>
                  <w:marRight w:val="0"/>
                  <w:marTop w:val="0"/>
                  <w:marBottom w:val="0"/>
                  <w:divBdr>
                    <w:top w:val="none" w:sz="0" w:space="0" w:color="auto"/>
                    <w:left w:val="none" w:sz="0" w:space="0" w:color="auto"/>
                    <w:bottom w:val="none" w:sz="0" w:space="0" w:color="auto"/>
                    <w:right w:val="none" w:sz="0" w:space="0" w:color="auto"/>
                  </w:divBdr>
                  <w:divsChild>
                    <w:div w:id="584386041">
                      <w:marLeft w:val="0"/>
                      <w:marRight w:val="0"/>
                      <w:marTop w:val="0"/>
                      <w:marBottom w:val="0"/>
                      <w:divBdr>
                        <w:top w:val="none" w:sz="0" w:space="0" w:color="auto"/>
                        <w:left w:val="none" w:sz="0" w:space="0" w:color="auto"/>
                        <w:bottom w:val="none" w:sz="0" w:space="0" w:color="auto"/>
                        <w:right w:val="none" w:sz="0" w:space="0" w:color="auto"/>
                      </w:divBdr>
                    </w:div>
                  </w:divsChild>
                </w:div>
                <w:div w:id="665672436">
                  <w:marLeft w:val="0"/>
                  <w:marRight w:val="0"/>
                  <w:marTop w:val="0"/>
                  <w:marBottom w:val="0"/>
                  <w:divBdr>
                    <w:top w:val="none" w:sz="0" w:space="0" w:color="auto"/>
                    <w:left w:val="none" w:sz="0" w:space="0" w:color="auto"/>
                    <w:bottom w:val="none" w:sz="0" w:space="0" w:color="auto"/>
                    <w:right w:val="none" w:sz="0" w:space="0" w:color="auto"/>
                  </w:divBdr>
                  <w:divsChild>
                    <w:div w:id="789320633">
                      <w:marLeft w:val="0"/>
                      <w:marRight w:val="0"/>
                      <w:marTop w:val="0"/>
                      <w:marBottom w:val="0"/>
                      <w:divBdr>
                        <w:top w:val="none" w:sz="0" w:space="0" w:color="auto"/>
                        <w:left w:val="none" w:sz="0" w:space="0" w:color="auto"/>
                        <w:bottom w:val="none" w:sz="0" w:space="0" w:color="auto"/>
                        <w:right w:val="none" w:sz="0" w:space="0" w:color="auto"/>
                      </w:divBdr>
                    </w:div>
                  </w:divsChild>
                </w:div>
                <w:div w:id="670256090">
                  <w:marLeft w:val="0"/>
                  <w:marRight w:val="0"/>
                  <w:marTop w:val="0"/>
                  <w:marBottom w:val="0"/>
                  <w:divBdr>
                    <w:top w:val="none" w:sz="0" w:space="0" w:color="auto"/>
                    <w:left w:val="none" w:sz="0" w:space="0" w:color="auto"/>
                    <w:bottom w:val="none" w:sz="0" w:space="0" w:color="auto"/>
                    <w:right w:val="none" w:sz="0" w:space="0" w:color="auto"/>
                  </w:divBdr>
                  <w:divsChild>
                    <w:div w:id="350452902">
                      <w:marLeft w:val="0"/>
                      <w:marRight w:val="0"/>
                      <w:marTop w:val="0"/>
                      <w:marBottom w:val="0"/>
                      <w:divBdr>
                        <w:top w:val="none" w:sz="0" w:space="0" w:color="auto"/>
                        <w:left w:val="none" w:sz="0" w:space="0" w:color="auto"/>
                        <w:bottom w:val="none" w:sz="0" w:space="0" w:color="auto"/>
                        <w:right w:val="none" w:sz="0" w:space="0" w:color="auto"/>
                      </w:divBdr>
                    </w:div>
                  </w:divsChild>
                </w:div>
                <w:div w:id="672142807">
                  <w:marLeft w:val="0"/>
                  <w:marRight w:val="0"/>
                  <w:marTop w:val="0"/>
                  <w:marBottom w:val="0"/>
                  <w:divBdr>
                    <w:top w:val="none" w:sz="0" w:space="0" w:color="auto"/>
                    <w:left w:val="none" w:sz="0" w:space="0" w:color="auto"/>
                    <w:bottom w:val="none" w:sz="0" w:space="0" w:color="auto"/>
                    <w:right w:val="none" w:sz="0" w:space="0" w:color="auto"/>
                  </w:divBdr>
                  <w:divsChild>
                    <w:div w:id="1475488385">
                      <w:marLeft w:val="0"/>
                      <w:marRight w:val="0"/>
                      <w:marTop w:val="0"/>
                      <w:marBottom w:val="0"/>
                      <w:divBdr>
                        <w:top w:val="none" w:sz="0" w:space="0" w:color="auto"/>
                        <w:left w:val="none" w:sz="0" w:space="0" w:color="auto"/>
                        <w:bottom w:val="none" w:sz="0" w:space="0" w:color="auto"/>
                        <w:right w:val="none" w:sz="0" w:space="0" w:color="auto"/>
                      </w:divBdr>
                    </w:div>
                  </w:divsChild>
                </w:div>
                <w:div w:id="672221811">
                  <w:marLeft w:val="0"/>
                  <w:marRight w:val="0"/>
                  <w:marTop w:val="0"/>
                  <w:marBottom w:val="0"/>
                  <w:divBdr>
                    <w:top w:val="none" w:sz="0" w:space="0" w:color="auto"/>
                    <w:left w:val="none" w:sz="0" w:space="0" w:color="auto"/>
                    <w:bottom w:val="none" w:sz="0" w:space="0" w:color="auto"/>
                    <w:right w:val="none" w:sz="0" w:space="0" w:color="auto"/>
                  </w:divBdr>
                  <w:divsChild>
                    <w:div w:id="1969049900">
                      <w:marLeft w:val="0"/>
                      <w:marRight w:val="0"/>
                      <w:marTop w:val="0"/>
                      <w:marBottom w:val="0"/>
                      <w:divBdr>
                        <w:top w:val="none" w:sz="0" w:space="0" w:color="auto"/>
                        <w:left w:val="none" w:sz="0" w:space="0" w:color="auto"/>
                        <w:bottom w:val="none" w:sz="0" w:space="0" w:color="auto"/>
                        <w:right w:val="none" w:sz="0" w:space="0" w:color="auto"/>
                      </w:divBdr>
                    </w:div>
                  </w:divsChild>
                </w:div>
                <w:div w:id="675813283">
                  <w:marLeft w:val="0"/>
                  <w:marRight w:val="0"/>
                  <w:marTop w:val="0"/>
                  <w:marBottom w:val="0"/>
                  <w:divBdr>
                    <w:top w:val="none" w:sz="0" w:space="0" w:color="auto"/>
                    <w:left w:val="none" w:sz="0" w:space="0" w:color="auto"/>
                    <w:bottom w:val="none" w:sz="0" w:space="0" w:color="auto"/>
                    <w:right w:val="none" w:sz="0" w:space="0" w:color="auto"/>
                  </w:divBdr>
                  <w:divsChild>
                    <w:div w:id="1489520346">
                      <w:marLeft w:val="0"/>
                      <w:marRight w:val="0"/>
                      <w:marTop w:val="0"/>
                      <w:marBottom w:val="0"/>
                      <w:divBdr>
                        <w:top w:val="none" w:sz="0" w:space="0" w:color="auto"/>
                        <w:left w:val="none" w:sz="0" w:space="0" w:color="auto"/>
                        <w:bottom w:val="none" w:sz="0" w:space="0" w:color="auto"/>
                        <w:right w:val="none" w:sz="0" w:space="0" w:color="auto"/>
                      </w:divBdr>
                    </w:div>
                  </w:divsChild>
                </w:div>
                <w:div w:id="682435799">
                  <w:marLeft w:val="0"/>
                  <w:marRight w:val="0"/>
                  <w:marTop w:val="0"/>
                  <w:marBottom w:val="0"/>
                  <w:divBdr>
                    <w:top w:val="none" w:sz="0" w:space="0" w:color="auto"/>
                    <w:left w:val="none" w:sz="0" w:space="0" w:color="auto"/>
                    <w:bottom w:val="none" w:sz="0" w:space="0" w:color="auto"/>
                    <w:right w:val="none" w:sz="0" w:space="0" w:color="auto"/>
                  </w:divBdr>
                  <w:divsChild>
                    <w:div w:id="1830560291">
                      <w:marLeft w:val="0"/>
                      <w:marRight w:val="0"/>
                      <w:marTop w:val="0"/>
                      <w:marBottom w:val="0"/>
                      <w:divBdr>
                        <w:top w:val="none" w:sz="0" w:space="0" w:color="auto"/>
                        <w:left w:val="none" w:sz="0" w:space="0" w:color="auto"/>
                        <w:bottom w:val="none" w:sz="0" w:space="0" w:color="auto"/>
                        <w:right w:val="none" w:sz="0" w:space="0" w:color="auto"/>
                      </w:divBdr>
                    </w:div>
                  </w:divsChild>
                </w:div>
                <w:div w:id="689721828">
                  <w:marLeft w:val="0"/>
                  <w:marRight w:val="0"/>
                  <w:marTop w:val="0"/>
                  <w:marBottom w:val="0"/>
                  <w:divBdr>
                    <w:top w:val="none" w:sz="0" w:space="0" w:color="auto"/>
                    <w:left w:val="none" w:sz="0" w:space="0" w:color="auto"/>
                    <w:bottom w:val="none" w:sz="0" w:space="0" w:color="auto"/>
                    <w:right w:val="none" w:sz="0" w:space="0" w:color="auto"/>
                  </w:divBdr>
                  <w:divsChild>
                    <w:div w:id="95055424">
                      <w:marLeft w:val="0"/>
                      <w:marRight w:val="0"/>
                      <w:marTop w:val="0"/>
                      <w:marBottom w:val="0"/>
                      <w:divBdr>
                        <w:top w:val="none" w:sz="0" w:space="0" w:color="auto"/>
                        <w:left w:val="none" w:sz="0" w:space="0" w:color="auto"/>
                        <w:bottom w:val="none" w:sz="0" w:space="0" w:color="auto"/>
                        <w:right w:val="none" w:sz="0" w:space="0" w:color="auto"/>
                      </w:divBdr>
                    </w:div>
                  </w:divsChild>
                </w:div>
                <w:div w:id="689839112">
                  <w:marLeft w:val="0"/>
                  <w:marRight w:val="0"/>
                  <w:marTop w:val="0"/>
                  <w:marBottom w:val="0"/>
                  <w:divBdr>
                    <w:top w:val="none" w:sz="0" w:space="0" w:color="auto"/>
                    <w:left w:val="none" w:sz="0" w:space="0" w:color="auto"/>
                    <w:bottom w:val="none" w:sz="0" w:space="0" w:color="auto"/>
                    <w:right w:val="none" w:sz="0" w:space="0" w:color="auto"/>
                  </w:divBdr>
                  <w:divsChild>
                    <w:div w:id="1662470247">
                      <w:marLeft w:val="0"/>
                      <w:marRight w:val="0"/>
                      <w:marTop w:val="0"/>
                      <w:marBottom w:val="0"/>
                      <w:divBdr>
                        <w:top w:val="none" w:sz="0" w:space="0" w:color="auto"/>
                        <w:left w:val="none" w:sz="0" w:space="0" w:color="auto"/>
                        <w:bottom w:val="none" w:sz="0" w:space="0" w:color="auto"/>
                        <w:right w:val="none" w:sz="0" w:space="0" w:color="auto"/>
                      </w:divBdr>
                    </w:div>
                  </w:divsChild>
                </w:div>
                <w:div w:id="701520509">
                  <w:marLeft w:val="0"/>
                  <w:marRight w:val="0"/>
                  <w:marTop w:val="0"/>
                  <w:marBottom w:val="0"/>
                  <w:divBdr>
                    <w:top w:val="none" w:sz="0" w:space="0" w:color="auto"/>
                    <w:left w:val="none" w:sz="0" w:space="0" w:color="auto"/>
                    <w:bottom w:val="none" w:sz="0" w:space="0" w:color="auto"/>
                    <w:right w:val="none" w:sz="0" w:space="0" w:color="auto"/>
                  </w:divBdr>
                  <w:divsChild>
                    <w:div w:id="621420644">
                      <w:marLeft w:val="0"/>
                      <w:marRight w:val="0"/>
                      <w:marTop w:val="0"/>
                      <w:marBottom w:val="0"/>
                      <w:divBdr>
                        <w:top w:val="none" w:sz="0" w:space="0" w:color="auto"/>
                        <w:left w:val="none" w:sz="0" w:space="0" w:color="auto"/>
                        <w:bottom w:val="none" w:sz="0" w:space="0" w:color="auto"/>
                        <w:right w:val="none" w:sz="0" w:space="0" w:color="auto"/>
                      </w:divBdr>
                    </w:div>
                  </w:divsChild>
                </w:div>
                <w:div w:id="713844726">
                  <w:marLeft w:val="0"/>
                  <w:marRight w:val="0"/>
                  <w:marTop w:val="0"/>
                  <w:marBottom w:val="0"/>
                  <w:divBdr>
                    <w:top w:val="none" w:sz="0" w:space="0" w:color="auto"/>
                    <w:left w:val="none" w:sz="0" w:space="0" w:color="auto"/>
                    <w:bottom w:val="none" w:sz="0" w:space="0" w:color="auto"/>
                    <w:right w:val="none" w:sz="0" w:space="0" w:color="auto"/>
                  </w:divBdr>
                  <w:divsChild>
                    <w:div w:id="918247515">
                      <w:marLeft w:val="0"/>
                      <w:marRight w:val="0"/>
                      <w:marTop w:val="0"/>
                      <w:marBottom w:val="0"/>
                      <w:divBdr>
                        <w:top w:val="none" w:sz="0" w:space="0" w:color="auto"/>
                        <w:left w:val="none" w:sz="0" w:space="0" w:color="auto"/>
                        <w:bottom w:val="none" w:sz="0" w:space="0" w:color="auto"/>
                        <w:right w:val="none" w:sz="0" w:space="0" w:color="auto"/>
                      </w:divBdr>
                    </w:div>
                  </w:divsChild>
                </w:div>
                <w:div w:id="717555529">
                  <w:marLeft w:val="0"/>
                  <w:marRight w:val="0"/>
                  <w:marTop w:val="0"/>
                  <w:marBottom w:val="0"/>
                  <w:divBdr>
                    <w:top w:val="none" w:sz="0" w:space="0" w:color="auto"/>
                    <w:left w:val="none" w:sz="0" w:space="0" w:color="auto"/>
                    <w:bottom w:val="none" w:sz="0" w:space="0" w:color="auto"/>
                    <w:right w:val="none" w:sz="0" w:space="0" w:color="auto"/>
                  </w:divBdr>
                  <w:divsChild>
                    <w:div w:id="416246813">
                      <w:marLeft w:val="0"/>
                      <w:marRight w:val="0"/>
                      <w:marTop w:val="0"/>
                      <w:marBottom w:val="0"/>
                      <w:divBdr>
                        <w:top w:val="none" w:sz="0" w:space="0" w:color="auto"/>
                        <w:left w:val="none" w:sz="0" w:space="0" w:color="auto"/>
                        <w:bottom w:val="none" w:sz="0" w:space="0" w:color="auto"/>
                        <w:right w:val="none" w:sz="0" w:space="0" w:color="auto"/>
                      </w:divBdr>
                    </w:div>
                  </w:divsChild>
                </w:div>
                <w:div w:id="719281059">
                  <w:marLeft w:val="0"/>
                  <w:marRight w:val="0"/>
                  <w:marTop w:val="0"/>
                  <w:marBottom w:val="0"/>
                  <w:divBdr>
                    <w:top w:val="none" w:sz="0" w:space="0" w:color="auto"/>
                    <w:left w:val="none" w:sz="0" w:space="0" w:color="auto"/>
                    <w:bottom w:val="none" w:sz="0" w:space="0" w:color="auto"/>
                    <w:right w:val="none" w:sz="0" w:space="0" w:color="auto"/>
                  </w:divBdr>
                  <w:divsChild>
                    <w:div w:id="1882981464">
                      <w:marLeft w:val="0"/>
                      <w:marRight w:val="0"/>
                      <w:marTop w:val="0"/>
                      <w:marBottom w:val="0"/>
                      <w:divBdr>
                        <w:top w:val="none" w:sz="0" w:space="0" w:color="auto"/>
                        <w:left w:val="none" w:sz="0" w:space="0" w:color="auto"/>
                        <w:bottom w:val="none" w:sz="0" w:space="0" w:color="auto"/>
                        <w:right w:val="none" w:sz="0" w:space="0" w:color="auto"/>
                      </w:divBdr>
                    </w:div>
                  </w:divsChild>
                </w:div>
                <w:div w:id="746730592">
                  <w:marLeft w:val="0"/>
                  <w:marRight w:val="0"/>
                  <w:marTop w:val="0"/>
                  <w:marBottom w:val="0"/>
                  <w:divBdr>
                    <w:top w:val="none" w:sz="0" w:space="0" w:color="auto"/>
                    <w:left w:val="none" w:sz="0" w:space="0" w:color="auto"/>
                    <w:bottom w:val="none" w:sz="0" w:space="0" w:color="auto"/>
                    <w:right w:val="none" w:sz="0" w:space="0" w:color="auto"/>
                  </w:divBdr>
                  <w:divsChild>
                    <w:div w:id="2135564638">
                      <w:marLeft w:val="0"/>
                      <w:marRight w:val="0"/>
                      <w:marTop w:val="0"/>
                      <w:marBottom w:val="0"/>
                      <w:divBdr>
                        <w:top w:val="none" w:sz="0" w:space="0" w:color="auto"/>
                        <w:left w:val="none" w:sz="0" w:space="0" w:color="auto"/>
                        <w:bottom w:val="none" w:sz="0" w:space="0" w:color="auto"/>
                        <w:right w:val="none" w:sz="0" w:space="0" w:color="auto"/>
                      </w:divBdr>
                    </w:div>
                  </w:divsChild>
                </w:div>
                <w:div w:id="764766795">
                  <w:marLeft w:val="0"/>
                  <w:marRight w:val="0"/>
                  <w:marTop w:val="0"/>
                  <w:marBottom w:val="0"/>
                  <w:divBdr>
                    <w:top w:val="none" w:sz="0" w:space="0" w:color="auto"/>
                    <w:left w:val="none" w:sz="0" w:space="0" w:color="auto"/>
                    <w:bottom w:val="none" w:sz="0" w:space="0" w:color="auto"/>
                    <w:right w:val="none" w:sz="0" w:space="0" w:color="auto"/>
                  </w:divBdr>
                  <w:divsChild>
                    <w:div w:id="662005615">
                      <w:marLeft w:val="0"/>
                      <w:marRight w:val="0"/>
                      <w:marTop w:val="0"/>
                      <w:marBottom w:val="0"/>
                      <w:divBdr>
                        <w:top w:val="none" w:sz="0" w:space="0" w:color="auto"/>
                        <w:left w:val="none" w:sz="0" w:space="0" w:color="auto"/>
                        <w:bottom w:val="none" w:sz="0" w:space="0" w:color="auto"/>
                        <w:right w:val="none" w:sz="0" w:space="0" w:color="auto"/>
                      </w:divBdr>
                    </w:div>
                  </w:divsChild>
                </w:div>
                <w:div w:id="815881664">
                  <w:marLeft w:val="0"/>
                  <w:marRight w:val="0"/>
                  <w:marTop w:val="0"/>
                  <w:marBottom w:val="0"/>
                  <w:divBdr>
                    <w:top w:val="none" w:sz="0" w:space="0" w:color="auto"/>
                    <w:left w:val="none" w:sz="0" w:space="0" w:color="auto"/>
                    <w:bottom w:val="none" w:sz="0" w:space="0" w:color="auto"/>
                    <w:right w:val="none" w:sz="0" w:space="0" w:color="auto"/>
                  </w:divBdr>
                  <w:divsChild>
                    <w:div w:id="1103767135">
                      <w:marLeft w:val="0"/>
                      <w:marRight w:val="0"/>
                      <w:marTop w:val="0"/>
                      <w:marBottom w:val="0"/>
                      <w:divBdr>
                        <w:top w:val="none" w:sz="0" w:space="0" w:color="auto"/>
                        <w:left w:val="none" w:sz="0" w:space="0" w:color="auto"/>
                        <w:bottom w:val="none" w:sz="0" w:space="0" w:color="auto"/>
                        <w:right w:val="none" w:sz="0" w:space="0" w:color="auto"/>
                      </w:divBdr>
                    </w:div>
                  </w:divsChild>
                </w:div>
                <w:div w:id="815954425">
                  <w:marLeft w:val="0"/>
                  <w:marRight w:val="0"/>
                  <w:marTop w:val="0"/>
                  <w:marBottom w:val="0"/>
                  <w:divBdr>
                    <w:top w:val="none" w:sz="0" w:space="0" w:color="auto"/>
                    <w:left w:val="none" w:sz="0" w:space="0" w:color="auto"/>
                    <w:bottom w:val="none" w:sz="0" w:space="0" w:color="auto"/>
                    <w:right w:val="none" w:sz="0" w:space="0" w:color="auto"/>
                  </w:divBdr>
                  <w:divsChild>
                    <w:div w:id="540215928">
                      <w:marLeft w:val="0"/>
                      <w:marRight w:val="0"/>
                      <w:marTop w:val="0"/>
                      <w:marBottom w:val="0"/>
                      <w:divBdr>
                        <w:top w:val="none" w:sz="0" w:space="0" w:color="auto"/>
                        <w:left w:val="none" w:sz="0" w:space="0" w:color="auto"/>
                        <w:bottom w:val="none" w:sz="0" w:space="0" w:color="auto"/>
                        <w:right w:val="none" w:sz="0" w:space="0" w:color="auto"/>
                      </w:divBdr>
                    </w:div>
                  </w:divsChild>
                </w:div>
                <w:div w:id="832065515">
                  <w:marLeft w:val="0"/>
                  <w:marRight w:val="0"/>
                  <w:marTop w:val="0"/>
                  <w:marBottom w:val="0"/>
                  <w:divBdr>
                    <w:top w:val="none" w:sz="0" w:space="0" w:color="auto"/>
                    <w:left w:val="none" w:sz="0" w:space="0" w:color="auto"/>
                    <w:bottom w:val="none" w:sz="0" w:space="0" w:color="auto"/>
                    <w:right w:val="none" w:sz="0" w:space="0" w:color="auto"/>
                  </w:divBdr>
                  <w:divsChild>
                    <w:div w:id="1506747462">
                      <w:marLeft w:val="0"/>
                      <w:marRight w:val="0"/>
                      <w:marTop w:val="0"/>
                      <w:marBottom w:val="0"/>
                      <w:divBdr>
                        <w:top w:val="none" w:sz="0" w:space="0" w:color="auto"/>
                        <w:left w:val="none" w:sz="0" w:space="0" w:color="auto"/>
                        <w:bottom w:val="none" w:sz="0" w:space="0" w:color="auto"/>
                        <w:right w:val="none" w:sz="0" w:space="0" w:color="auto"/>
                      </w:divBdr>
                    </w:div>
                  </w:divsChild>
                </w:div>
                <w:div w:id="832529902">
                  <w:marLeft w:val="0"/>
                  <w:marRight w:val="0"/>
                  <w:marTop w:val="0"/>
                  <w:marBottom w:val="0"/>
                  <w:divBdr>
                    <w:top w:val="none" w:sz="0" w:space="0" w:color="auto"/>
                    <w:left w:val="none" w:sz="0" w:space="0" w:color="auto"/>
                    <w:bottom w:val="none" w:sz="0" w:space="0" w:color="auto"/>
                    <w:right w:val="none" w:sz="0" w:space="0" w:color="auto"/>
                  </w:divBdr>
                  <w:divsChild>
                    <w:div w:id="1437170484">
                      <w:marLeft w:val="0"/>
                      <w:marRight w:val="0"/>
                      <w:marTop w:val="0"/>
                      <w:marBottom w:val="0"/>
                      <w:divBdr>
                        <w:top w:val="none" w:sz="0" w:space="0" w:color="auto"/>
                        <w:left w:val="none" w:sz="0" w:space="0" w:color="auto"/>
                        <w:bottom w:val="none" w:sz="0" w:space="0" w:color="auto"/>
                        <w:right w:val="none" w:sz="0" w:space="0" w:color="auto"/>
                      </w:divBdr>
                    </w:div>
                  </w:divsChild>
                </w:div>
                <w:div w:id="835145467">
                  <w:marLeft w:val="0"/>
                  <w:marRight w:val="0"/>
                  <w:marTop w:val="0"/>
                  <w:marBottom w:val="0"/>
                  <w:divBdr>
                    <w:top w:val="none" w:sz="0" w:space="0" w:color="auto"/>
                    <w:left w:val="none" w:sz="0" w:space="0" w:color="auto"/>
                    <w:bottom w:val="none" w:sz="0" w:space="0" w:color="auto"/>
                    <w:right w:val="none" w:sz="0" w:space="0" w:color="auto"/>
                  </w:divBdr>
                  <w:divsChild>
                    <w:div w:id="1567301839">
                      <w:marLeft w:val="0"/>
                      <w:marRight w:val="0"/>
                      <w:marTop w:val="0"/>
                      <w:marBottom w:val="0"/>
                      <w:divBdr>
                        <w:top w:val="none" w:sz="0" w:space="0" w:color="auto"/>
                        <w:left w:val="none" w:sz="0" w:space="0" w:color="auto"/>
                        <w:bottom w:val="none" w:sz="0" w:space="0" w:color="auto"/>
                        <w:right w:val="none" w:sz="0" w:space="0" w:color="auto"/>
                      </w:divBdr>
                    </w:div>
                  </w:divsChild>
                </w:div>
                <w:div w:id="839589091">
                  <w:marLeft w:val="0"/>
                  <w:marRight w:val="0"/>
                  <w:marTop w:val="0"/>
                  <w:marBottom w:val="0"/>
                  <w:divBdr>
                    <w:top w:val="none" w:sz="0" w:space="0" w:color="auto"/>
                    <w:left w:val="none" w:sz="0" w:space="0" w:color="auto"/>
                    <w:bottom w:val="none" w:sz="0" w:space="0" w:color="auto"/>
                    <w:right w:val="none" w:sz="0" w:space="0" w:color="auto"/>
                  </w:divBdr>
                  <w:divsChild>
                    <w:div w:id="152337818">
                      <w:marLeft w:val="0"/>
                      <w:marRight w:val="0"/>
                      <w:marTop w:val="0"/>
                      <w:marBottom w:val="0"/>
                      <w:divBdr>
                        <w:top w:val="none" w:sz="0" w:space="0" w:color="auto"/>
                        <w:left w:val="none" w:sz="0" w:space="0" w:color="auto"/>
                        <w:bottom w:val="none" w:sz="0" w:space="0" w:color="auto"/>
                        <w:right w:val="none" w:sz="0" w:space="0" w:color="auto"/>
                      </w:divBdr>
                    </w:div>
                  </w:divsChild>
                </w:div>
                <w:div w:id="840702510">
                  <w:marLeft w:val="0"/>
                  <w:marRight w:val="0"/>
                  <w:marTop w:val="0"/>
                  <w:marBottom w:val="0"/>
                  <w:divBdr>
                    <w:top w:val="none" w:sz="0" w:space="0" w:color="auto"/>
                    <w:left w:val="none" w:sz="0" w:space="0" w:color="auto"/>
                    <w:bottom w:val="none" w:sz="0" w:space="0" w:color="auto"/>
                    <w:right w:val="none" w:sz="0" w:space="0" w:color="auto"/>
                  </w:divBdr>
                  <w:divsChild>
                    <w:div w:id="2018530872">
                      <w:marLeft w:val="0"/>
                      <w:marRight w:val="0"/>
                      <w:marTop w:val="0"/>
                      <w:marBottom w:val="0"/>
                      <w:divBdr>
                        <w:top w:val="none" w:sz="0" w:space="0" w:color="auto"/>
                        <w:left w:val="none" w:sz="0" w:space="0" w:color="auto"/>
                        <w:bottom w:val="none" w:sz="0" w:space="0" w:color="auto"/>
                        <w:right w:val="none" w:sz="0" w:space="0" w:color="auto"/>
                      </w:divBdr>
                    </w:div>
                  </w:divsChild>
                </w:div>
                <w:div w:id="849026249">
                  <w:marLeft w:val="0"/>
                  <w:marRight w:val="0"/>
                  <w:marTop w:val="0"/>
                  <w:marBottom w:val="0"/>
                  <w:divBdr>
                    <w:top w:val="none" w:sz="0" w:space="0" w:color="auto"/>
                    <w:left w:val="none" w:sz="0" w:space="0" w:color="auto"/>
                    <w:bottom w:val="none" w:sz="0" w:space="0" w:color="auto"/>
                    <w:right w:val="none" w:sz="0" w:space="0" w:color="auto"/>
                  </w:divBdr>
                  <w:divsChild>
                    <w:div w:id="1780444929">
                      <w:marLeft w:val="0"/>
                      <w:marRight w:val="0"/>
                      <w:marTop w:val="0"/>
                      <w:marBottom w:val="0"/>
                      <w:divBdr>
                        <w:top w:val="none" w:sz="0" w:space="0" w:color="auto"/>
                        <w:left w:val="none" w:sz="0" w:space="0" w:color="auto"/>
                        <w:bottom w:val="none" w:sz="0" w:space="0" w:color="auto"/>
                        <w:right w:val="none" w:sz="0" w:space="0" w:color="auto"/>
                      </w:divBdr>
                    </w:div>
                  </w:divsChild>
                </w:div>
                <w:div w:id="856768601">
                  <w:marLeft w:val="0"/>
                  <w:marRight w:val="0"/>
                  <w:marTop w:val="0"/>
                  <w:marBottom w:val="0"/>
                  <w:divBdr>
                    <w:top w:val="none" w:sz="0" w:space="0" w:color="auto"/>
                    <w:left w:val="none" w:sz="0" w:space="0" w:color="auto"/>
                    <w:bottom w:val="none" w:sz="0" w:space="0" w:color="auto"/>
                    <w:right w:val="none" w:sz="0" w:space="0" w:color="auto"/>
                  </w:divBdr>
                  <w:divsChild>
                    <w:div w:id="2006321137">
                      <w:marLeft w:val="0"/>
                      <w:marRight w:val="0"/>
                      <w:marTop w:val="0"/>
                      <w:marBottom w:val="0"/>
                      <w:divBdr>
                        <w:top w:val="none" w:sz="0" w:space="0" w:color="auto"/>
                        <w:left w:val="none" w:sz="0" w:space="0" w:color="auto"/>
                        <w:bottom w:val="none" w:sz="0" w:space="0" w:color="auto"/>
                        <w:right w:val="none" w:sz="0" w:space="0" w:color="auto"/>
                      </w:divBdr>
                    </w:div>
                  </w:divsChild>
                </w:div>
                <w:div w:id="860629331">
                  <w:marLeft w:val="0"/>
                  <w:marRight w:val="0"/>
                  <w:marTop w:val="0"/>
                  <w:marBottom w:val="0"/>
                  <w:divBdr>
                    <w:top w:val="none" w:sz="0" w:space="0" w:color="auto"/>
                    <w:left w:val="none" w:sz="0" w:space="0" w:color="auto"/>
                    <w:bottom w:val="none" w:sz="0" w:space="0" w:color="auto"/>
                    <w:right w:val="none" w:sz="0" w:space="0" w:color="auto"/>
                  </w:divBdr>
                  <w:divsChild>
                    <w:div w:id="697051340">
                      <w:marLeft w:val="0"/>
                      <w:marRight w:val="0"/>
                      <w:marTop w:val="0"/>
                      <w:marBottom w:val="0"/>
                      <w:divBdr>
                        <w:top w:val="none" w:sz="0" w:space="0" w:color="auto"/>
                        <w:left w:val="none" w:sz="0" w:space="0" w:color="auto"/>
                        <w:bottom w:val="none" w:sz="0" w:space="0" w:color="auto"/>
                        <w:right w:val="none" w:sz="0" w:space="0" w:color="auto"/>
                      </w:divBdr>
                    </w:div>
                  </w:divsChild>
                </w:div>
                <w:div w:id="869074393">
                  <w:marLeft w:val="0"/>
                  <w:marRight w:val="0"/>
                  <w:marTop w:val="0"/>
                  <w:marBottom w:val="0"/>
                  <w:divBdr>
                    <w:top w:val="none" w:sz="0" w:space="0" w:color="auto"/>
                    <w:left w:val="none" w:sz="0" w:space="0" w:color="auto"/>
                    <w:bottom w:val="none" w:sz="0" w:space="0" w:color="auto"/>
                    <w:right w:val="none" w:sz="0" w:space="0" w:color="auto"/>
                  </w:divBdr>
                  <w:divsChild>
                    <w:div w:id="1730956748">
                      <w:marLeft w:val="0"/>
                      <w:marRight w:val="0"/>
                      <w:marTop w:val="0"/>
                      <w:marBottom w:val="0"/>
                      <w:divBdr>
                        <w:top w:val="none" w:sz="0" w:space="0" w:color="auto"/>
                        <w:left w:val="none" w:sz="0" w:space="0" w:color="auto"/>
                        <w:bottom w:val="none" w:sz="0" w:space="0" w:color="auto"/>
                        <w:right w:val="none" w:sz="0" w:space="0" w:color="auto"/>
                      </w:divBdr>
                    </w:div>
                  </w:divsChild>
                </w:div>
                <w:div w:id="869608353">
                  <w:marLeft w:val="0"/>
                  <w:marRight w:val="0"/>
                  <w:marTop w:val="0"/>
                  <w:marBottom w:val="0"/>
                  <w:divBdr>
                    <w:top w:val="none" w:sz="0" w:space="0" w:color="auto"/>
                    <w:left w:val="none" w:sz="0" w:space="0" w:color="auto"/>
                    <w:bottom w:val="none" w:sz="0" w:space="0" w:color="auto"/>
                    <w:right w:val="none" w:sz="0" w:space="0" w:color="auto"/>
                  </w:divBdr>
                  <w:divsChild>
                    <w:div w:id="1095438488">
                      <w:marLeft w:val="0"/>
                      <w:marRight w:val="0"/>
                      <w:marTop w:val="0"/>
                      <w:marBottom w:val="0"/>
                      <w:divBdr>
                        <w:top w:val="none" w:sz="0" w:space="0" w:color="auto"/>
                        <w:left w:val="none" w:sz="0" w:space="0" w:color="auto"/>
                        <w:bottom w:val="none" w:sz="0" w:space="0" w:color="auto"/>
                        <w:right w:val="none" w:sz="0" w:space="0" w:color="auto"/>
                      </w:divBdr>
                    </w:div>
                  </w:divsChild>
                </w:div>
                <w:div w:id="925263423">
                  <w:marLeft w:val="0"/>
                  <w:marRight w:val="0"/>
                  <w:marTop w:val="0"/>
                  <w:marBottom w:val="0"/>
                  <w:divBdr>
                    <w:top w:val="none" w:sz="0" w:space="0" w:color="auto"/>
                    <w:left w:val="none" w:sz="0" w:space="0" w:color="auto"/>
                    <w:bottom w:val="none" w:sz="0" w:space="0" w:color="auto"/>
                    <w:right w:val="none" w:sz="0" w:space="0" w:color="auto"/>
                  </w:divBdr>
                  <w:divsChild>
                    <w:div w:id="1447776019">
                      <w:marLeft w:val="0"/>
                      <w:marRight w:val="0"/>
                      <w:marTop w:val="0"/>
                      <w:marBottom w:val="0"/>
                      <w:divBdr>
                        <w:top w:val="none" w:sz="0" w:space="0" w:color="auto"/>
                        <w:left w:val="none" w:sz="0" w:space="0" w:color="auto"/>
                        <w:bottom w:val="none" w:sz="0" w:space="0" w:color="auto"/>
                        <w:right w:val="none" w:sz="0" w:space="0" w:color="auto"/>
                      </w:divBdr>
                    </w:div>
                  </w:divsChild>
                </w:div>
                <w:div w:id="928729898">
                  <w:marLeft w:val="0"/>
                  <w:marRight w:val="0"/>
                  <w:marTop w:val="0"/>
                  <w:marBottom w:val="0"/>
                  <w:divBdr>
                    <w:top w:val="none" w:sz="0" w:space="0" w:color="auto"/>
                    <w:left w:val="none" w:sz="0" w:space="0" w:color="auto"/>
                    <w:bottom w:val="none" w:sz="0" w:space="0" w:color="auto"/>
                    <w:right w:val="none" w:sz="0" w:space="0" w:color="auto"/>
                  </w:divBdr>
                  <w:divsChild>
                    <w:div w:id="2012944410">
                      <w:marLeft w:val="0"/>
                      <w:marRight w:val="0"/>
                      <w:marTop w:val="0"/>
                      <w:marBottom w:val="0"/>
                      <w:divBdr>
                        <w:top w:val="none" w:sz="0" w:space="0" w:color="auto"/>
                        <w:left w:val="none" w:sz="0" w:space="0" w:color="auto"/>
                        <w:bottom w:val="none" w:sz="0" w:space="0" w:color="auto"/>
                        <w:right w:val="none" w:sz="0" w:space="0" w:color="auto"/>
                      </w:divBdr>
                    </w:div>
                  </w:divsChild>
                </w:div>
                <w:div w:id="943075502">
                  <w:marLeft w:val="0"/>
                  <w:marRight w:val="0"/>
                  <w:marTop w:val="0"/>
                  <w:marBottom w:val="0"/>
                  <w:divBdr>
                    <w:top w:val="none" w:sz="0" w:space="0" w:color="auto"/>
                    <w:left w:val="none" w:sz="0" w:space="0" w:color="auto"/>
                    <w:bottom w:val="none" w:sz="0" w:space="0" w:color="auto"/>
                    <w:right w:val="none" w:sz="0" w:space="0" w:color="auto"/>
                  </w:divBdr>
                  <w:divsChild>
                    <w:div w:id="483280278">
                      <w:marLeft w:val="0"/>
                      <w:marRight w:val="0"/>
                      <w:marTop w:val="0"/>
                      <w:marBottom w:val="0"/>
                      <w:divBdr>
                        <w:top w:val="none" w:sz="0" w:space="0" w:color="auto"/>
                        <w:left w:val="none" w:sz="0" w:space="0" w:color="auto"/>
                        <w:bottom w:val="none" w:sz="0" w:space="0" w:color="auto"/>
                        <w:right w:val="none" w:sz="0" w:space="0" w:color="auto"/>
                      </w:divBdr>
                    </w:div>
                  </w:divsChild>
                </w:div>
                <w:div w:id="998925216">
                  <w:marLeft w:val="0"/>
                  <w:marRight w:val="0"/>
                  <w:marTop w:val="0"/>
                  <w:marBottom w:val="0"/>
                  <w:divBdr>
                    <w:top w:val="none" w:sz="0" w:space="0" w:color="auto"/>
                    <w:left w:val="none" w:sz="0" w:space="0" w:color="auto"/>
                    <w:bottom w:val="none" w:sz="0" w:space="0" w:color="auto"/>
                    <w:right w:val="none" w:sz="0" w:space="0" w:color="auto"/>
                  </w:divBdr>
                  <w:divsChild>
                    <w:div w:id="36442058">
                      <w:marLeft w:val="0"/>
                      <w:marRight w:val="0"/>
                      <w:marTop w:val="0"/>
                      <w:marBottom w:val="0"/>
                      <w:divBdr>
                        <w:top w:val="none" w:sz="0" w:space="0" w:color="auto"/>
                        <w:left w:val="none" w:sz="0" w:space="0" w:color="auto"/>
                        <w:bottom w:val="none" w:sz="0" w:space="0" w:color="auto"/>
                        <w:right w:val="none" w:sz="0" w:space="0" w:color="auto"/>
                      </w:divBdr>
                    </w:div>
                  </w:divsChild>
                </w:div>
                <w:div w:id="1013923370">
                  <w:marLeft w:val="0"/>
                  <w:marRight w:val="0"/>
                  <w:marTop w:val="0"/>
                  <w:marBottom w:val="0"/>
                  <w:divBdr>
                    <w:top w:val="none" w:sz="0" w:space="0" w:color="auto"/>
                    <w:left w:val="none" w:sz="0" w:space="0" w:color="auto"/>
                    <w:bottom w:val="none" w:sz="0" w:space="0" w:color="auto"/>
                    <w:right w:val="none" w:sz="0" w:space="0" w:color="auto"/>
                  </w:divBdr>
                  <w:divsChild>
                    <w:div w:id="1931740685">
                      <w:marLeft w:val="0"/>
                      <w:marRight w:val="0"/>
                      <w:marTop w:val="0"/>
                      <w:marBottom w:val="0"/>
                      <w:divBdr>
                        <w:top w:val="none" w:sz="0" w:space="0" w:color="auto"/>
                        <w:left w:val="none" w:sz="0" w:space="0" w:color="auto"/>
                        <w:bottom w:val="none" w:sz="0" w:space="0" w:color="auto"/>
                        <w:right w:val="none" w:sz="0" w:space="0" w:color="auto"/>
                      </w:divBdr>
                    </w:div>
                  </w:divsChild>
                </w:div>
                <w:div w:id="1029068700">
                  <w:marLeft w:val="0"/>
                  <w:marRight w:val="0"/>
                  <w:marTop w:val="0"/>
                  <w:marBottom w:val="0"/>
                  <w:divBdr>
                    <w:top w:val="none" w:sz="0" w:space="0" w:color="auto"/>
                    <w:left w:val="none" w:sz="0" w:space="0" w:color="auto"/>
                    <w:bottom w:val="none" w:sz="0" w:space="0" w:color="auto"/>
                    <w:right w:val="none" w:sz="0" w:space="0" w:color="auto"/>
                  </w:divBdr>
                  <w:divsChild>
                    <w:div w:id="2077584139">
                      <w:marLeft w:val="0"/>
                      <w:marRight w:val="0"/>
                      <w:marTop w:val="0"/>
                      <w:marBottom w:val="0"/>
                      <w:divBdr>
                        <w:top w:val="none" w:sz="0" w:space="0" w:color="auto"/>
                        <w:left w:val="none" w:sz="0" w:space="0" w:color="auto"/>
                        <w:bottom w:val="none" w:sz="0" w:space="0" w:color="auto"/>
                        <w:right w:val="none" w:sz="0" w:space="0" w:color="auto"/>
                      </w:divBdr>
                    </w:div>
                  </w:divsChild>
                </w:div>
                <w:div w:id="1031877659">
                  <w:marLeft w:val="0"/>
                  <w:marRight w:val="0"/>
                  <w:marTop w:val="0"/>
                  <w:marBottom w:val="0"/>
                  <w:divBdr>
                    <w:top w:val="none" w:sz="0" w:space="0" w:color="auto"/>
                    <w:left w:val="none" w:sz="0" w:space="0" w:color="auto"/>
                    <w:bottom w:val="none" w:sz="0" w:space="0" w:color="auto"/>
                    <w:right w:val="none" w:sz="0" w:space="0" w:color="auto"/>
                  </w:divBdr>
                  <w:divsChild>
                    <w:div w:id="1403718385">
                      <w:marLeft w:val="0"/>
                      <w:marRight w:val="0"/>
                      <w:marTop w:val="0"/>
                      <w:marBottom w:val="0"/>
                      <w:divBdr>
                        <w:top w:val="none" w:sz="0" w:space="0" w:color="auto"/>
                        <w:left w:val="none" w:sz="0" w:space="0" w:color="auto"/>
                        <w:bottom w:val="none" w:sz="0" w:space="0" w:color="auto"/>
                        <w:right w:val="none" w:sz="0" w:space="0" w:color="auto"/>
                      </w:divBdr>
                    </w:div>
                  </w:divsChild>
                </w:div>
                <w:div w:id="1040126797">
                  <w:marLeft w:val="0"/>
                  <w:marRight w:val="0"/>
                  <w:marTop w:val="0"/>
                  <w:marBottom w:val="0"/>
                  <w:divBdr>
                    <w:top w:val="none" w:sz="0" w:space="0" w:color="auto"/>
                    <w:left w:val="none" w:sz="0" w:space="0" w:color="auto"/>
                    <w:bottom w:val="none" w:sz="0" w:space="0" w:color="auto"/>
                    <w:right w:val="none" w:sz="0" w:space="0" w:color="auto"/>
                  </w:divBdr>
                  <w:divsChild>
                    <w:div w:id="395394981">
                      <w:marLeft w:val="0"/>
                      <w:marRight w:val="0"/>
                      <w:marTop w:val="0"/>
                      <w:marBottom w:val="0"/>
                      <w:divBdr>
                        <w:top w:val="none" w:sz="0" w:space="0" w:color="auto"/>
                        <w:left w:val="none" w:sz="0" w:space="0" w:color="auto"/>
                        <w:bottom w:val="none" w:sz="0" w:space="0" w:color="auto"/>
                        <w:right w:val="none" w:sz="0" w:space="0" w:color="auto"/>
                      </w:divBdr>
                    </w:div>
                  </w:divsChild>
                </w:div>
                <w:div w:id="1040326436">
                  <w:marLeft w:val="0"/>
                  <w:marRight w:val="0"/>
                  <w:marTop w:val="0"/>
                  <w:marBottom w:val="0"/>
                  <w:divBdr>
                    <w:top w:val="none" w:sz="0" w:space="0" w:color="auto"/>
                    <w:left w:val="none" w:sz="0" w:space="0" w:color="auto"/>
                    <w:bottom w:val="none" w:sz="0" w:space="0" w:color="auto"/>
                    <w:right w:val="none" w:sz="0" w:space="0" w:color="auto"/>
                  </w:divBdr>
                  <w:divsChild>
                    <w:div w:id="347176540">
                      <w:marLeft w:val="0"/>
                      <w:marRight w:val="0"/>
                      <w:marTop w:val="0"/>
                      <w:marBottom w:val="0"/>
                      <w:divBdr>
                        <w:top w:val="none" w:sz="0" w:space="0" w:color="auto"/>
                        <w:left w:val="none" w:sz="0" w:space="0" w:color="auto"/>
                        <w:bottom w:val="none" w:sz="0" w:space="0" w:color="auto"/>
                        <w:right w:val="none" w:sz="0" w:space="0" w:color="auto"/>
                      </w:divBdr>
                    </w:div>
                  </w:divsChild>
                </w:div>
                <w:div w:id="1045906722">
                  <w:marLeft w:val="0"/>
                  <w:marRight w:val="0"/>
                  <w:marTop w:val="0"/>
                  <w:marBottom w:val="0"/>
                  <w:divBdr>
                    <w:top w:val="none" w:sz="0" w:space="0" w:color="auto"/>
                    <w:left w:val="none" w:sz="0" w:space="0" w:color="auto"/>
                    <w:bottom w:val="none" w:sz="0" w:space="0" w:color="auto"/>
                    <w:right w:val="none" w:sz="0" w:space="0" w:color="auto"/>
                  </w:divBdr>
                  <w:divsChild>
                    <w:div w:id="654844028">
                      <w:marLeft w:val="0"/>
                      <w:marRight w:val="0"/>
                      <w:marTop w:val="0"/>
                      <w:marBottom w:val="0"/>
                      <w:divBdr>
                        <w:top w:val="none" w:sz="0" w:space="0" w:color="auto"/>
                        <w:left w:val="none" w:sz="0" w:space="0" w:color="auto"/>
                        <w:bottom w:val="none" w:sz="0" w:space="0" w:color="auto"/>
                        <w:right w:val="none" w:sz="0" w:space="0" w:color="auto"/>
                      </w:divBdr>
                    </w:div>
                  </w:divsChild>
                </w:div>
                <w:div w:id="1046298482">
                  <w:marLeft w:val="0"/>
                  <w:marRight w:val="0"/>
                  <w:marTop w:val="0"/>
                  <w:marBottom w:val="0"/>
                  <w:divBdr>
                    <w:top w:val="none" w:sz="0" w:space="0" w:color="auto"/>
                    <w:left w:val="none" w:sz="0" w:space="0" w:color="auto"/>
                    <w:bottom w:val="none" w:sz="0" w:space="0" w:color="auto"/>
                    <w:right w:val="none" w:sz="0" w:space="0" w:color="auto"/>
                  </w:divBdr>
                  <w:divsChild>
                    <w:div w:id="1776443730">
                      <w:marLeft w:val="0"/>
                      <w:marRight w:val="0"/>
                      <w:marTop w:val="0"/>
                      <w:marBottom w:val="0"/>
                      <w:divBdr>
                        <w:top w:val="none" w:sz="0" w:space="0" w:color="auto"/>
                        <w:left w:val="none" w:sz="0" w:space="0" w:color="auto"/>
                        <w:bottom w:val="none" w:sz="0" w:space="0" w:color="auto"/>
                        <w:right w:val="none" w:sz="0" w:space="0" w:color="auto"/>
                      </w:divBdr>
                    </w:div>
                  </w:divsChild>
                </w:div>
                <w:div w:id="1054623527">
                  <w:marLeft w:val="0"/>
                  <w:marRight w:val="0"/>
                  <w:marTop w:val="0"/>
                  <w:marBottom w:val="0"/>
                  <w:divBdr>
                    <w:top w:val="none" w:sz="0" w:space="0" w:color="auto"/>
                    <w:left w:val="none" w:sz="0" w:space="0" w:color="auto"/>
                    <w:bottom w:val="none" w:sz="0" w:space="0" w:color="auto"/>
                    <w:right w:val="none" w:sz="0" w:space="0" w:color="auto"/>
                  </w:divBdr>
                  <w:divsChild>
                    <w:div w:id="1550994686">
                      <w:marLeft w:val="0"/>
                      <w:marRight w:val="0"/>
                      <w:marTop w:val="0"/>
                      <w:marBottom w:val="0"/>
                      <w:divBdr>
                        <w:top w:val="none" w:sz="0" w:space="0" w:color="auto"/>
                        <w:left w:val="none" w:sz="0" w:space="0" w:color="auto"/>
                        <w:bottom w:val="none" w:sz="0" w:space="0" w:color="auto"/>
                        <w:right w:val="none" w:sz="0" w:space="0" w:color="auto"/>
                      </w:divBdr>
                    </w:div>
                  </w:divsChild>
                </w:div>
                <w:div w:id="1055004514">
                  <w:marLeft w:val="0"/>
                  <w:marRight w:val="0"/>
                  <w:marTop w:val="0"/>
                  <w:marBottom w:val="0"/>
                  <w:divBdr>
                    <w:top w:val="none" w:sz="0" w:space="0" w:color="auto"/>
                    <w:left w:val="none" w:sz="0" w:space="0" w:color="auto"/>
                    <w:bottom w:val="none" w:sz="0" w:space="0" w:color="auto"/>
                    <w:right w:val="none" w:sz="0" w:space="0" w:color="auto"/>
                  </w:divBdr>
                  <w:divsChild>
                    <w:div w:id="1828133985">
                      <w:marLeft w:val="0"/>
                      <w:marRight w:val="0"/>
                      <w:marTop w:val="0"/>
                      <w:marBottom w:val="0"/>
                      <w:divBdr>
                        <w:top w:val="none" w:sz="0" w:space="0" w:color="auto"/>
                        <w:left w:val="none" w:sz="0" w:space="0" w:color="auto"/>
                        <w:bottom w:val="none" w:sz="0" w:space="0" w:color="auto"/>
                        <w:right w:val="none" w:sz="0" w:space="0" w:color="auto"/>
                      </w:divBdr>
                    </w:div>
                  </w:divsChild>
                </w:div>
                <w:div w:id="1060254436">
                  <w:marLeft w:val="0"/>
                  <w:marRight w:val="0"/>
                  <w:marTop w:val="0"/>
                  <w:marBottom w:val="0"/>
                  <w:divBdr>
                    <w:top w:val="none" w:sz="0" w:space="0" w:color="auto"/>
                    <w:left w:val="none" w:sz="0" w:space="0" w:color="auto"/>
                    <w:bottom w:val="none" w:sz="0" w:space="0" w:color="auto"/>
                    <w:right w:val="none" w:sz="0" w:space="0" w:color="auto"/>
                  </w:divBdr>
                  <w:divsChild>
                    <w:div w:id="1566455967">
                      <w:marLeft w:val="0"/>
                      <w:marRight w:val="0"/>
                      <w:marTop w:val="0"/>
                      <w:marBottom w:val="0"/>
                      <w:divBdr>
                        <w:top w:val="none" w:sz="0" w:space="0" w:color="auto"/>
                        <w:left w:val="none" w:sz="0" w:space="0" w:color="auto"/>
                        <w:bottom w:val="none" w:sz="0" w:space="0" w:color="auto"/>
                        <w:right w:val="none" w:sz="0" w:space="0" w:color="auto"/>
                      </w:divBdr>
                    </w:div>
                  </w:divsChild>
                </w:div>
                <w:div w:id="1066414615">
                  <w:marLeft w:val="0"/>
                  <w:marRight w:val="0"/>
                  <w:marTop w:val="0"/>
                  <w:marBottom w:val="0"/>
                  <w:divBdr>
                    <w:top w:val="none" w:sz="0" w:space="0" w:color="auto"/>
                    <w:left w:val="none" w:sz="0" w:space="0" w:color="auto"/>
                    <w:bottom w:val="none" w:sz="0" w:space="0" w:color="auto"/>
                    <w:right w:val="none" w:sz="0" w:space="0" w:color="auto"/>
                  </w:divBdr>
                  <w:divsChild>
                    <w:div w:id="110056225">
                      <w:marLeft w:val="0"/>
                      <w:marRight w:val="0"/>
                      <w:marTop w:val="0"/>
                      <w:marBottom w:val="0"/>
                      <w:divBdr>
                        <w:top w:val="none" w:sz="0" w:space="0" w:color="auto"/>
                        <w:left w:val="none" w:sz="0" w:space="0" w:color="auto"/>
                        <w:bottom w:val="none" w:sz="0" w:space="0" w:color="auto"/>
                        <w:right w:val="none" w:sz="0" w:space="0" w:color="auto"/>
                      </w:divBdr>
                    </w:div>
                  </w:divsChild>
                </w:div>
                <w:div w:id="1094861976">
                  <w:marLeft w:val="0"/>
                  <w:marRight w:val="0"/>
                  <w:marTop w:val="0"/>
                  <w:marBottom w:val="0"/>
                  <w:divBdr>
                    <w:top w:val="none" w:sz="0" w:space="0" w:color="auto"/>
                    <w:left w:val="none" w:sz="0" w:space="0" w:color="auto"/>
                    <w:bottom w:val="none" w:sz="0" w:space="0" w:color="auto"/>
                    <w:right w:val="none" w:sz="0" w:space="0" w:color="auto"/>
                  </w:divBdr>
                  <w:divsChild>
                    <w:div w:id="1908149047">
                      <w:marLeft w:val="0"/>
                      <w:marRight w:val="0"/>
                      <w:marTop w:val="0"/>
                      <w:marBottom w:val="0"/>
                      <w:divBdr>
                        <w:top w:val="none" w:sz="0" w:space="0" w:color="auto"/>
                        <w:left w:val="none" w:sz="0" w:space="0" w:color="auto"/>
                        <w:bottom w:val="none" w:sz="0" w:space="0" w:color="auto"/>
                        <w:right w:val="none" w:sz="0" w:space="0" w:color="auto"/>
                      </w:divBdr>
                    </w:div>
                  </w:divsChild>
                </w:div>
                <w:div w:id="1101603655">
                  <w:marLeft w:val="0"/>
                  <w:marRight w:val="0"/>
                  <w:marTop w:val="0"/>
                  <w:marBottom w:val="0"/>
                  <w:divBdr>
                    <w:top w:val="none" w:sz="0" w:space="0" w:color="auto"/>
                    <w:left w:val="none" w:sz="0" w:space="0" w:color="auto"/>
                    <w:bottom w:val="none" w:sz="0" w:space="0" w:color="auto"/>
                    <w:right w:val="none" w:sz="0" w:space="0" w:color="auto"/>
                  </w:divBdr>
                  <w:divsChild>
                    <w:div w:id="976835958">
                      <w:marLeft w:val="0"/>
                      <w:marRight w:val="0"/>
                      <w:marTop w:val="0"/>
                      <w:marBottom w:val="0"/>
                      <w:divBdr>
                        <w:top w:val="none" w:sz="0" w:space="0" w:color="auto"/>
                        <w:left w:val="none" w:sz="0" w:space="0" w:color="auto"/>
                        <w:bottom w:val="none" w:sz="0" w:space="0" w:color="auto"/>
                        <w:right w:val="none" w:sz="0" w:space="0" w:color="auto"/>
                      </w:divBdr>
                    </w:div>
                  </w:divsChild>
                </w:div>
                <w:div w:id="1110929039">
                  <w:marLeft w:val="0"/>
                  <w:marRight w:val="0"/>
                  <w:marTop w:val="0"/>
                  <w:marBottom w:val="0"/>
                  <w:divBdr>
                    <w:top w:val="none" w:sz="0" w:space="0" w:color="auto"/>
                    <w:left w:val="none" w:sz="0" w:space="0" w:color="auto"/>
                    <w:bottom w:val="none" w:sz="0" w:space="0" w:color="auto"/>
                    <w:right w:val="none" w:sz="0" w:space="0" w:color="auto"/>
                  </w:divBdr>
                  <w:divsChild>
                    <w:div w:id="707536493">
                      <w:marLeft w:val="0"/>
                      <w:marRight w:val="0"/>
                      <w:marTop w:val="0"/>
                      <w:marBottom w:val="0"/>
                      <w:divBdr>
                        <w:top w:val="none" w:sz="0" w:space="0" w:color="auto"/>
                        <w:left w:val="none" w:sz="0" w:space="0" w:color="auto"/>
                        <w:bottom w:val="none" w:sz="0" w:space="0" w:color="auto"/>
                        <w:right w:val="none" w:sz="0" w:space="0" w:color="auto"/>
                      </w:divBdr>
                    </w:div>
                  </w:divsChild>
                </w:div>
                <w:div w:id="1137409597">
                  <w:marLeft w:val="0"/>
                  <w:marRight w:val="0"/>
                  <w:marTop w:val="0"/>
                  <w:marBottom w:val="0"/>
                  <w:divBdr>
                    <w:top w:val="none" w:sz="0" w:space="0" w:color="auto"/>
                    <w:left w:val="none" w:sz="0" w:space="0" w:color="auto"/>
                    <w:bottom w:val="none" w:sz="0" w:space="0" w:color="auto"/>
                    <w:right w:val="none" w:sz="0" w:space="0" w:color="auto"/>
                  </w:divBdr>
                  <w:divsChild>
                    <w:div w:id="712119513">
                      <w:marLeft w:val="0"/>
                      <w:marRight w:val="0"/>
                      <w:marTop w:val="0"/>
                      <w:marBottom w:val="0"/>
                      <w:divBdr>
                        <w:top w:val="none" w:sz="0" w:space="0" w:color="auto"/>
                        <w:left w:val="none" w:sz="0" w:space="0" w:color="auto"/>
                        <w:bottom w:val="none" w:sz="0" w:space="0" w:color="auto"/>
                        <w:right w:val="none" w:sz="0" w:space="0" w:color="auto"/>
                      </w:divBdr>
                    </w:div>
                  </w:divsChild>
                </w:div>
                <w:div w:id="1147941149">
                  <w:marLeft w:val="0"/>
                  <w:marRight w:val="0"/>
                  <w:marTop w:val="0"/>
                  <w:marBottom w:val="0"/>
                  <w:divBdr>
                    <w:top w:val="none" w:sz="0" w:space="0" w:color="auto"/>
                    <w:left w:val="none" w:sz="0" w:space="0" w:color="auto"/>
                    <w:bottom w:val="none" w:sz="0" w:space="0" w:color="auto"/>
                    <w:right w:val="none" w:sz="0" w:space="0" w:color="auto"/>
                  </w:divBdr>
                  <w:divsChild>
                    <w:div w:id="1500346718">
                      <w:marLeft w:val="0"/>
                      <w:marRight w:val="0"/>
                      <w:marTop w:val="0"/>
                      <w:marBottom w:val="0"/>
                      <w:divBdr>
                        <w:top w:val="none" w:sz="0" w:space="0" w:color="auto"/>
                        <w:left w:val="none" w:sz="0" w:space="0" w:color="auto"/>
                        <w:bottom w:val="none" w:sz="0" w:space="0" w:color="auto"/>
                        <w:right w:val="none" w:sz="0" w:space="0" w:color="auto"/>
                      </w:divBdr>
                    </w:div>
                  </w:divsChild>
                </w:div>
                <w:div w:id="1154033000">
                  <w:marLeft w:val="0"/>
                  <w:marRight w:val="0"/>
                  <w:marTop w:val="0"/>
                  <w:marBottom w:val="0"/>
                  <w:divBdr>
                    <w:top w:val="none" w:sz="0" w:space="0" w:color="auto"/>
                    <w:left w:val="none" w:sz="0" w:space="0" w:color="auto"/>
                    <w:bottom w:val="none" w:sz="0" w:space="0" w:color="auto"/>
                    <w:right w:val="none" w:sz="0" w:space="0" w:color="auto"/>
                  </w:divBdr>
                  <w:divsChild>
                    <w:div w:id="148793920">
                      <w:marLeft w:val="0"/>
                      <w:marRight w:val="0"/>
                      <w:marTop w:val="0"/>
                      <w:marBottom w:val="0"/>
                      <w:divBdr>
                        <w:top w:val="none" w:sz="0" w:space="0" w:color="auto"/>
                        <w:left w:val="none" w:sz="0" w:space="0" w:color="auto"/>
                        <w:bottom w:val="none" w:sz="0" w:space="0" w:color="auto"/>
                        <w:right w:val="none" w:sz="0" w:space="0" w:color="auto"/>
                      </w:divBdr>
                    </w:div>
                  </w:divsChild>
                </w:div>
                <w:div w:id="1161119023">
                  <w:marLeft w:val="0"/>
                  <w:marRight w:val="0"/>
                  <w:marTop w:val="0"/>
                  <w:marBottom w:val="0"/>
                  <w:divBdr>
                    <w:top w:val="none" w:sz="0" w:space="0" w:color="auto"/>
                    <w:left w:val="none" w:sz="0" w:space="0" w:color="auto"/>
                    <w:bottom w:val="none" w:sz="0" w:space="0" w:color="auto"/>
                    <w:right w:val="none" w:sz="0" w:space="0" w:color="auto"/>
                  </w:divBdr>
                  <w:divsChild>
                    <w:div w:id="2045523240">
                      <w:marLeft w:val="0"/>
                      <w:marRight w:val="0"/>
                      <w:marTop w:val="0"/>
                      <w:marBottom w:val="0"/>
                      <w:divBdr>
                        <w:top w:val="none" w:sz="0" w:space="0" w:color="auto"/>
                        <w:left w:val="none" w:sz="0" w:space="0" w:color="auto"/>
                        <w:bottom w:val="none" w:sz="0" w:space="0" w:color="auto"/>
                        <w:right w:val="none" w:sz="0" w:space="0" w:color="auto"/>
                      </w:divBdr>
                    </w:div>
                  </w:divsChild>
                </w:div>
                <w:div w:id="1163467056">
                  <w:marLeft w:val="0"/>
                  <w:marRight w:val="0"/>
                  <w:marTop w:val="0"/>
                  <w:marBottom w:val="0"/>
                  <w:divBdr>
                    <w:top w:val="none" w:sz="0" w:space="0" w:color="auto"/>
                    <w:left w:val="none" w:sz="0" w:space="0" w:color="auto"/>
                    <w:bottom w:val="none" w:sz="0" w:space="0" w:color="auto"/>
                    <w:right w:val="none" w:sz="0" w:space="0" w:color="auto"/>
                  </w:divBdr>
                  <w:divsChild>
                    <w:div w:id="1981500009">
                      <w:marLeft w:val="0"/>
                      <w:marRight w:val="0"/>
                      <w:marTop w:val="0"/>
                      <w:marBottom w:val="0"/>
                      <w:divBdr>
                        <w:top w:val="none" w:sz="0" w:space="0" w:color="auto"/>
                        <w:left w:val="none" w:sz="0" w:space="0" w:color="auto"/>
                        <w:bottom w:val="none" w:sz="0" w:space="0" w:color="auto"/>
                        <w:right w:val="none" w:sz="0" w:space="0" w:color="auto"/>
                      </w:divBdr>
                    </w:div>
                  </w:divsChild>
                </w:div>
                <w:div w:id="1182163408">
                  <w:marLeft w:val="0"/>
                  <w:marRight w:val="0"/>
                  <w:marTop w:val="0"/>
                  <w:marBottom w:val="0"/>
                  <w:divBdr>
                    <w:top w:val="none" w:sz="0" w:space="0" w:color="auto"/>
                    <w:left w:val="none" w:sz="0" w:space="0" w:color="auto"/>
                    <w:bottom w:val="none" w:sz="0" w:space="0" w:color="auto"/>
                    <w:right w:val="none" w:sz="0" w:space="0" w:color="auto"/>
                  </w:divBdr>
                  <w:divsChild>
                    <w:div w:id="296689728">
                      <w:marLeft w:val="0"/>
                      <w:marRight w:val="0"/>
                      <w:marTop w:val="0"/>
                      <w:marBottom w:val="0"/>
                      <w:divBdr>
                        <w:top w:val="none" w:sz="0" w:space="0" w:color="auto"/>
                        <w:left w:val="none" w:sz="0" w:space="0" w:color="auto"/>
                        <w:bottom w:val="none" w:sz="0" w:space="0" w:color="auto"/>
                        <w:right w:val="none" w:sz="0" w:space="0" w:color="auto"/>
                      </w:divBdr>
                    </w:div>
                  </w:divsChild>
                </w:div>
                <w:div w:id="1199702400">
                  <w:marLeft w:val="0"/>
                  <w:marRight w:val="0"/>
                  <w:marTop w:val="0"/>
                  <w:marBottom w:val="0"/>
                  <w:divBdr>
                    <w:top w:val="none" w:sz="0" w:space="0" w:color="auto"/>
                    <w:left w:val="none" w:sz="0" w:space="0" w:color="auto"/>
                    <w:bottom w:val="none" w:sz="0" w:space="0" w:color="auto"/>
                    <w:right w:val="none" w:sz="0" w:space="0" w:color="auto"/>
                  </w:divBdr>
                  <w:divsChild>
                    <w:div w:id="1524050065">
                      <w:marLeft w:val="0"/>
                      <w:marRight w:val="0"/>
                      <w:marTop w:val="0"/>
                      <w:marBottom w:val="0"/>
                      <w:divBdr>
                        <w:top w:val="none" w:sz="0" w:space="0" w:color="auto"/>
                        <w:left w:val="none" w:sz="0" w:space="0" w:color="auto"/>
                        <w:bottom w:val="none" w:sz="0" w:space="0" w:color="auto"/>
                        <w:right w:val="none" w:sz="0" w:space="0" w:color="auto"/>
                      </w:divBdr>
                    </w:div>
                  </w:divsChild>
                </w:div>
                <w:div w:id="1207570245">
                  <w:marLeft w:val="0"/>
                  <w:marRight w:val="0"/>
                  <w:marTop w:val="0"/>
                  <w:marBottom w:val="0"/>
                  <w:divBdr>
                    <w:top w:val="none" w:sz="0" w:space="0" w:color="auto"/>
                    <w:left w:val="none" w:sz="0" w:space="0" w:color="auto"/>
                    <w:bottom w:val="none" w:sz="0" w:space="0" w:color="auto"/>
                    <w:right w:val="none" w:sz="0" w:space="0" w:color="auto"/>
                  </w:divBdr>
                  <w:divsChild>
                    <w:div w:id="1815903603">
                      <w:marLeft w:val="0"/>
                      <w:marRight w:val="0"/>
                      <w:marTop w:val="0"/>
                      <w:marBottom w:val="0"/>
                      <w:divBdr>
                        <w:top w:val="none" w:sz="0" w:space="0" w:color="auto"/>
                        <w:left w:val="none" w:sz="0" w:space="0" w:color="auto"/>
                        <w:bottom w:val="none" w:sz="0" w:space="0" w:color="auto"/>
                        <w:right w:val="none" w:sz="0" w:space="0" w:color="auto"/>
                      </w:divBdr>
                    </w:div>
                  </w:divsChild>
                </w:div>
                <w:div w:id="1216087216">
                  <w:marLeft w:val="0"/>
                  <w:marRight w:val="0"/>
                  <w:marTop w:val="0"/>
                  <w:marBottom w:val="0"/>
                  <w:divBdr>
                    <w:top w:val="none" w:sz="0" w:space="0" w:color="auto"/>
                    <w:left w:val="none" w:sz="0" w:space="0" w:color="auto"/>
                    <w:bottom w:val="none" w:sz="0" w:space="0" w:color="auto"/>
                    <w:right w:val="none" w:sz="0" w:space="0" w:color="auto"/>
                  </w:divBdr>
                  <w:divsChild>
                    <w:div w:id="196624504">
                      <w:marLeft w:val="0"/>
                      <w:marRight w:val="0"/>
                      <w:marTop w:val="0"/>
                      <w:marBottom w:val="0"/>
                      <w:divBdr>
                        <w:top w:val="none" w:sz="0" w:space="0" w:color="auto"/>
                        <w:left w:val="none" w:sz="0" w:space="0" w:color="auto"/>
                        <w:bottom w:val="none" w:sz="0" w:space="0" w:color="auto"/>
                        <w:right w:val="none" w:sz="0" w:space="0" w:color="auto"/>
                      </w:divBdr>
                    </w:div>
                  </w:divsChild>
                </w:div>
                <w:div w:id="1229808900">
                  <w:marLeft w:val="0"/>
                  <w:marRight w:val="0"/>
                  <w:marTop w:val="0"/>
                  <w:marBottom w:val="0"/>
                  <w:divBdr>
                    <w:top w:val="none" w:sz="0" w:space="0" w:color="auto"/>
                    <w:left w:val="none" w:sz="0" w:space="0" w:color="auto"/>
                    <w:bottom w:val="none" w:sz="0" w:space="0" w:color="auto"/>
                    <w:right w:val="none" w:sz="0" w:space="0" w:color="auto"/>
                  </w:divBdr>
                  <w:divsChild>
                    <w:div w:id="1224097064">
                      <w:marLeft w:val="0"/>
                      <w:marRight w:val="0"/>
                      <w:marTop w:val="0"/>
                      <w:marBottom w:val="0"/>
                      <w:divBdr>
                        <w:top w:val="none" w:sz="0" w:space="0" w:color="auto"/>
                        <w:left w:val="none" w:sz="0" w:space="0" w:color="auto"/>
                        <w:bottom w:val="none" w:sz="0" w:space="0" w:color="auto"/>
                        <w:right w:val="none" w:sz="0" w:space="0" w:color="auto"/>
                      </w:divBdr>
                    </w:div>
                  </w:divsChild>
                </w:div>
                <w:div w:id="1286231578">
                  <w:marLeft w:val="0"/>
                  <w:marRight w:val="0"/>
                  <w:marTop w:val="0"/>
                  <w:marBottom w:val="0"/>
                  <w:divBdr>
                    <w:top w:val="none" w:sz="0" w:space="0" w:color="auto"/>
                    <w:left w:val="none" w:sz="0" w:space="0" w:color="auto"/>
                    <w:bottom w:val="none" w:sz="0" w:space="0" w:color="auto"/>
                    <w:right w:val="none" w:sz="0" w:space="0" w:color="auto"/>
                  </w:divBdr>
                  <w:divsChild>
                    <w:div w:id="589242465">
                      <w:marLeft w:val="0"/>
                      <w:marRight w:val="0"/>
                      <w:marTop w:val="0"/>
                      <w:marBottom w:val="0"/>
                      <w:divBdr>
                        <w:top w:val="none" w:sz="0" w:space="0" w:color="auto"/>
                        <w:left w:val="none" w:sz="0" w:space="0" w:color="auto"/>
                        <w:bottom w:val="none" w:sz="0" w:space="0" w:color="auto"/>
                        <w:right w:val="none" w:sz="0" w:space="0" w:color="auto"/>
                      </w:divBdr>
                    </w:div>
                  </w:divsChild>
                </w:div>
                <w:div w:id="1292249075">
                  <w:marLeft w:val="0"/>
                  <w:marRight w:val="0"/>
                  <w:marTop w:val="0"/>
                  <w:marBottom w:val="0"/>
                  <w:divBdr>
                    <w:top w:val="none" w:sz="0" w:space="0" w:color="auto"/>
                    <w:left w:val="none" w:sz="0" w:space="0" w:color="auto"/>
                    <w:bottom w:val="none" w:sz="0" w:space="0" w:color="auto"/>
                    <w:right w:val="none" w:sz="0" w:space="0" w:color="auto"/>
                  </w:divBdr>
                  <w:divsChild>
                    <w:div w:id="481432105">
                      <w:marLeft w:val="0"/>
                      <w:marRight w:val="0"/>
                      <w:marTop w:val="0"/>
                      <w:marBottom w:val="0"/>
                      <w:divBdr>
                        <w:top w:val="none" w:sz="0" w:space="0" w:color="auto"/>
                        <w:left w:val="none" w:sz="0" w:space="0" w:color="auto"/>
                        <w:bottom w:val="none" w:sz="0" w:space="0" w:color="auto"/>
                        <w:right w:val="none" w:sz="0" w:space="0" w:color="auto"/>
                      </w:divBdr>
                    </w:div>
                  </w:divsChild>
                </w:div>
                <w:div w:id="1310204776">
                  <w:marLeft w:val="0"/>
                  <w:marRight w:val="0"/>
                  <w:marTop w:val="0"/>
                  <w:marBottom w:val="0"/>
                  <w:divBdr>
                    <w:top w:val="none" w:sz="0" w:space="0" w:color="auto"/>
                    <w:left w:val="none" w:sz="0" w:space="0" w:color="auto"/>
                    <w:bottom w:val="none" w:sz="0" w:space="0" w:color="auto"/>
                    <w:right w:val="none" w:sz="0" w:space="0" w:color="auto"/>
                  </w:divBdr>
                  <w:divsChild>
                    <w:div w:id="1275096671">
                      <w:marLeft w:val="0"/>
                      <w:marRight w:val="0"/>
                      <w:marTop w:val="0"/>
                      <w:marBottom w:val="0"/>
                      <w:divBdr>
                        <w:top w:val="none" w:sz="0" w:space="0" w:color="auto"/>
                        <w:left w:val="none" w:sz="0" w:space="0" w:color="auto"/>
                        <w:bottom w:val="none" w:sz="0" w:space="0" w:color="auto"/>
                        <w:right w:val="none" w:sz="0" w:space="0" w:color="auto"/>
                      </w:divBdr>
                    </w:div>
                  </w:divsChild>
                </w:div>
                <w:div w:id="1325233212">
                  <w:marLeft w:val="0"/>
                  <w:marRight w:val="0"/>
                  <w:marTop w:val="0"/>
                  <w:marBottom w:val="0"/>
                  <w:divBdr>
                    <w:top w:val="none" w:sz="0" w:space="0" w:color="auto"/>
                    <w:left w:val="none" w:sz="0" w:space="0" w:color="auto"/>
                    <w:bottom w:val="none" w:sz="0" w:space="0" w:color="auto"/>
                    <w:right w:val="none" w:sz="0" w:space="0" w:color="auto"/>
                  </w:divBdr>
                  <w:divsChild>
                    <w:div w:id="1381519421">
                      <w:marLeft w:val="0"/>
                      <w:marRight w:val="0"/>
                      <w:marTop w:val="0"/>
                      <w:marBottom w:val="0"/>
                      <w:divBdr>
                        <w:top w:val="none" w:sz="0" w:space="0" w:color="auto"/>
                        <w:left w:val="none" w:sz="0" w:space="0" w:color="auto"/>
                        <w:bottom w:val="none" w:sz="0" w:space="0" w:color="auto"/>
                        <w:right w:val="none" w:sz="0" w:space="0" w:color="auto"/>
                      </w:divBdr>
                    </w:div>
                  </w:divsChild>
                </w:div>
                <w:div w:id="1333265884">
                  <w:marLeft w:val="0"/>
                  <w:marRight w:val="0"/>
                  <w:marTop w:val="0"/>
                  <w:marBottom w:val="0"/>
                  <w:divBdr>
                    <w:top w:val="none" w:sz="0" w:space="0" w:color="auto"/>
                    <w:left w:val="none" w:sz="0" w:space="0" w:color="auto"/>
                    <w:bottom w:val="none" w:sz="0" w:space="0" w:color="auto"/>
                    <w:right w:val="none" w:sz="0" w:space="0" w:color="auto"/>
                  </w:divBdr>
                  <w:divsChild>
                    <w:div w:id="443351252">
                      <w:marLeft w:val="0"/>
                      <w:marRight w:val="0"/>
                      <w:marTop w:val="0"/>
                      <w:marBottom w:val="0"/>
                      <w:divBdr>
                        <w:top w:val="none" w:sz="0" w:space="0" w:color="auto"/>
                        <w:left w:val="none" w:sz="0" w:space="0" w:color="auto"/>
                        <w:bottom w:val="none" w:sz="0" w:space="0" w:color="auto"/>
                        <w:right w:val="none" w:sz="0" w:space="0" w:color="auto"/>
                      </w:divBdr>
                    </w:div>
                  </w:divsChild>
                </w:div>
                <w:div w:id="1350791964">
                  <w:marLeft w:val="0"/>
                  <w:marRight w:val="0"/>
                  <w:marTop w:val="0"/>
                  <w:marBottom w:val="0"/>
                  <w:divBdr>
                    <w:top w:val="none" w:sz="0" w:space="0" w:color="auto"/>
                    <w:left w:val="none" w:sz="0" w:space="0" w:color="auto"/>
                    <w:bottom w:val="none" w:sz="0" w:space="0" w:color="auto"/>
                    <w:right w:val="none" w:sz="0" w:space="0" w:color="auto"/>
                  </w:divBdr>
                  <w:divsChild>
                    <w:div w:id="2046633932">
                      <w:marLeft w:val="0"/>
                      <w:marRight w:val="0"/>
                      <w:marTop w:val="0"/>
                      <w:marBottom w:val="0"/>
                      <w:divBdr>
                        <w:top w:val="none" w:sz="0" w:space="0" w:color="auto"/>
                        <w:left w:val="none" w:sz="0" w:space="0" w:color="auto"/>
                        <w:bottom w:val="none" w:sz="0" w:space="0" w:color="auto"/>
                        <w:right w:val="none" w:sz="0" w:space="0" w:color="auto"/>
                      </w:divBdr>
                    </w:div>
                  </w:divsChild>
                </w:div>
                <w:div w:id="1353068456">
                  <w:marLeft w:val="0"/>
                  <w:marRight w:val="0"/>
                  <w:marTop w:val="0"/>
                  <w:marBottom w:val="0"/>
                  <w:divBdr>
                    <w:top w:val="none" w:sz="0" w:space="0" w:color="auto"/>
                    <w:left w:val="none" w:sz="0" w:space="0" w:color="auto"/>
                    <w:bottom w:val="none" w:sz="0" w:space="0" w:color="auto"/>
                    <w:right w:val="none" w:sz="0" w:space="0" w:color="auto"/>
                  </w:divBdr>
                  <w:divsChild>
                    <w:div w:id="972060856">
                      <w:marLeft w:val="0"/>
                      <w:marRight w:val="0"/>
                      <w:marTop w:val="0"/>
                      <w:marBottom w:val="0"/>
                      <w:divBdr>
                        <w:top w:val="none" w:sz="0" w:space="0" w:color="auto"/>
                        <w:left w:val="none" w:sz="0" w:space="0" w:color="auto"/>
                        <w:bottom w:val="none" w:sz="0" w:space="0" w:color="auto"/>
                        <w:right w:val="none" w:sz="0" w:space="0" w:color="auto"/>
                      </w:divBdr>
                    </w:div>
                  </w:divsChild>
                </w:div>
                <w:div w:id="1406679542">
                  <w:marLeft w:val="0"/>
                  <w:marRight w:val="0"/>
                  <w:marTop w:val="0"/>
                  <w:marBottom w:val="0"/>
                  <w:divBdr>
                    <w:top w:val="none" w:sz="0" w:space="0" w:color="auto"/>
                    <w:left w:val="none" w:sz="0" w:space="0" w:color="auto"/>
                    <w:bottom w:val="none" w:sz="0" w:space="0" w:color="auto"/>
                    <w:right w:val="none" w:sz="0" w:space="0" w:color="auto"/>
                  </w:divBdr>
                  <w:divsChild>
                    <w:div w:id="1628005842">
                      <w:marLeft w:val="0"/>
                      <w:marRight w:val="0"/>
                      <w:marTop w:val="0"/>
                      <w:marBottom w:val="0"/>
                      <w:divBdr>
                        <w:top w:val="none" w:sz="0" w:space="0" w:color="auto"/>
                        <w:left w:val="none" w:sz="0" w:space="0" w:color="auto"/>
                        <w:bottom w:val="none" w:sz="0" w:space="0" w:color="auto"/>
                        <w:right w:val="none" w:sz="0" w:space="0" w:color="auto"/>
                      </w:divBdr>
                    </w:div>
                  </w:divsChild>
                </w:div>
                <w:div w:id="1452015834">
                  <w:marLeft w:val="0"/>
                  <w:marRight w:val="0"/>
                  <w:marTop w:val="0"/>
                  <w:marBottom w:val="0"/>
                  <w:divBdr>
                    <w:top w:val="none" w:sz="0" w:space="0" w:color="auto"/>
                    <w:left w:val="none" w:sz="0" w:space="0" w:color="auto"/>
                    <w:bottom w:val="none" w:sz="0" w:space="0" w:color="auto"/>
                    <w:right w:val="none" w:sz="0" w:space="0" w:color="auto"/>
                  </w:divBdr>
                  <w:divsChild>
                    <w:div w:id="83381462">
                      <w:marLeft w:val="0"/>
                      <w:marRight w:val="0"/>
                      <w:marTop w:val="0"/>
                      <w:marBottom w:val="0"/>
                      <w:divBdr>
                        <w:top w:val="none" w:sz="0" w:space="0" w:color="auto"/>
                        <w:left w:val="none" w:sz="0" w:space="0" w:color="auto"/>
                        <w:bottom w:val="none" w:sz="0" w:space="0" w:color="auto"/>
                        <w:right w:val="none" w:sz="0" w:space="0" w:color="auto"/>
                      </w:divBdr>
                    </w:div>
                  </w:divsChild>
                </w:div>
                <w:div w:id="1456411186">
                  <w:marLeft w:val="0"/>
                  <w:marRight w:val="0"/>
                  <w:marTop w:val="0"/>
                  <w:marBottom w:val="0"/>
                  <w:divBdr>
                    <w:top w:val="none" w:sz="0" w:space="0" w:color="auto"/>
                    <w:left w:val="none" w:sz="0" w:space="0" w:color="auto"/>
                    <w:bottom w:val="none" w:sz="0" w:space="0" w:color="auto"/>
                    <w:right w:val="none" w:sz="0" w:space="0" w:color="auto"/>
                  </w:divBdr>
                  <w:divsChild>
                    <w:div w:id="1962951266">
                      <w:marLeft w:val="0"/>
                      <w:marRight w:val="0"/>
                      <w:marTop w:val="0"/>
                      <w:marBottom w:val="0"/>
                      <w:divBdr>
                        <w:top w:val="none" w:sz="0" w:space="0" w:color="auto"/>
                        <w:left w:val="none" w:sz="0" w:space="0" w:color="auto"/>
                        <w:bottom w:val="none" w:sz="0" w:space="0" w:color="auto"/>
                        <w:right w:val="none" w:sz="0" w:space="0" w:color="auto"/>
                      </w:divBdr>
                    </w:div>
                  </w:divsChild>
                </w:div>
                <w:div w:id="1465924084">
                  <w:marLeft w:val="0"/>
                  <w:marRight w:val="0"/>
                  <w:marTop w:val="0"/>
                  <w:marBottom w:val="0"/>
                  <w:divBdr>
                    <w:top w:val="none" w:sz="0" w:space="0" w:color="auto"/>
                    <w:left w:val="none" w:sz="0" w:space="0" w:color="auto"/>
                    <w:bottom w:val="none" w:sz="0" w:space="0" w:color="auto"/>
                    <w:right w:val="none" w:sz="0" w:space="0" w:color="auto"/>
                  </w:divBdr>
                  <w:divsChild>
                    <w:div w:id="1511987401">
                      <w:marLeft w:val="0"/>
                      <w:marRight w:val="0"/>
                      <w:marTop w:val="0"/>
                      <w:marBottom w:val="0"/>
                      <w:divBdr>
                        <w:top w:val="none" w:sz="0" w:space="0" w:color="auto"/>
                        <w:left w:val="none" w:sz="0" w:space="0" w:color="auto"/>
                        <w:bottom w:val="none" w:sz="0" w:space="0" w:color="auto"/>
                        <w:right w:val="none" w:sz="0" w:space="0" w:color="auto"/>
                      </w:divBdr>
                    </w:div>
                  </w:divsChild>
                </w:div>
                <w:div w:id="1474054310">
                  <w:marLeft w:val="0"/>
                  <w:marRight w:val="0"/>
                  <w:marTop w:val="0"/>
                  <w:marBottom w:val="0"/>
                  <w:divBdr>
                    <w:top w:val="none" w:sz="0" w:space="0" w:color="auto"/>
                    <w:left w:val="none" w:sz="0" w:space="0" w:color="auto"/>
                    <w:bottom w:val="none" w:sz="0" w:space="0" w:color="auto"/>
                    <w:right w:val="none" w:sz="0" w:space="0" w:color="auto"/>
                  </w:divBdr>
                  <w:divsChild>
                    <w:div w:id="2079086730">
                      <w:marLeft w:val="0"/>
                      <w:marRight w:val="0"/>
                      <w:marTop w:val="0"/>
                      <w:marBottom w:val="0"/>
                      <w:divBdr>
                        <w:top w:val="none" w:sz="0" w:space="0" w:color="auto"/>
                        <w:left w:val="none" w:sz="0" w:space="0" w:color="auto"/>
                        <w:bottom w:val="none" w:sz="0" w:space="0" w:color="auto"/>
                        <w:right w:val="none" w:sz="0" w:space="0" w:color="auto"/>
                      </w:divBdr>
                    </w:div>
                  </w:divsChild>
                </w:div>
                <w:div w:id="1479348253">
                  <w:marLeft w:val="0"/>
                  <w:marRight w:val="0"/>
                  <w:marTop w:val="0"/>
                  <w:marBottom w:val="0"/>
                  <w:divBdr>
                    <w:top w:val="none" w:sz="0" w:space="0" w:color="auto"/>
                    <w:left w:val="none" w:sz="0" w:space="0" w:color="auto"/>
                    <w:bottom w:val="none" w:sz="0" w:space="0" w:color="auto"/>
                    <w:right w:val="none" w:sz="0" w:space="0" w:color="auto"/>
                  </w:divBdr>
                  <w:divsChild>
                    <w:div w:id="1874533230">
                      <w:marLeft w:val="0"/>
                      <w:marRight w:val="0"/>
                      <w:marTop w:val="0"/>
                      <w:marBottom w:val="0"/>
                      <w:divBdr>
                        <w:top w:val="none" w:sz="0" w:space="0" w:color="auto"/>
                        <w:left w:val="none" w:sz="0" w:space="0" w:color="auto"/>
                        <w:bottom w:val="none" w:sz="0" w:space="0" w:color="auto"/>
                        <w:right w:val="none" w:sz="0" w:space="0" w:color="auto"/>
                      </w:divBdr>
                    </w:div>
                  </w:divsChild>
                </w:div>
                <w:div w:id="1489328407">
                  <w:marLeft w:val="0"/>
                  <w:marRight w:val="0"/>
                  <w:marTop w:val="0"/>
                  <w:marBottom w:val="0"/>
                  <w:divBdr>
                    <w:top w:val="none" w:sz="0" w:space="0" w:color="auto"/>
                    <w:left w:val="none" w:sz="0" w:space="0" w:color="auto"/>
                    <w:bottom w:val="none" w:sz="0" w:space="0" w:color="auto"/>
                    <w:right w:val="none" w:sz="0" w:space="0" w:color="auto"/>
                  </w:divBdr>
                  <w:divsChild>
                    <w:div w:id="1926112558">
                      <w:marLeft w:val="0"/>
                      <w:marRight w:val="0"/>
                      <w:marTop w:val="0"/>
                      <w:marBottom w:val="0"/>
                      <w:divBdr>
                        <w:top w:val="none" w:sz="0" w:space="0" w:color="auto"/>
                        <w:left w:val="none" w:sz="0" w:space="0" w:color="auto"/>
                        <w:bottom w:val="none" w:sz="0" w:space="0" w:color="auto"/>
                        <w:right w:val="none" w:sz="0" w:space="0" w:color="auto"/>
                      </w:divBdr>
                    </w:div>
                  </w:divsChild>
                </w:div>
                <w:div w:id="1540506502">
                  <w:marLeft w:val="0"/>
                  <w:marRight w:val="0"/>
                  <w:marTop w:val="0"/>
                  <w:marBottom w:val="0"/>
                  <w:divBdr>
                    <w:top w:val="none" w:sz="0" w:space="0" w:color="auto"/>
                    <w:left w:val="none" w:sz="0" w:space="0" w:color="auto"/>
                    <w:bottom w:val="none" w:sz="0" w:space="0" w:color="auto"/>
                    <w:right w:val="none" w:sz="0" w:space="0" w:color="auto"/>
                  </w:divBdr>
                  <w:divsChild>
                    <w:div w:id="1089930766">
                      <w:marLeft w:val="0"/>
                      <w:marRight w:val="0"/>
                      <w:marTop w:val="0"/>
                      <w:marBottom w:val="0"/>
                      <w:divBdr>
                        <w:top w:val="none" w:sz="0" w:space="0" w:color="auto"/>
                        <w:left w:val="none" w:sz="0" w:space="0" w:color="auto"/>
                        <w:bottom w:val="none" w:sz="0" w:space="0" w:color="auto"/>
                        <w:right w:val="none" w:sz="0" w:space="0" w:color="auto"/>
                      </w:divBdr>
                    </w:div>
                  </w:divsChild>
                </w:div>
                <w:div w:id="1564095086">
                  <w:marLeft w:val="0"/>
                  <w:marRight w:val="0"/>
                  <w:marTop w:val="0"/>
                  <w:marBottom w:val="0"/>
                  <w:divBdr>
                    <w:top w:val="none" w:sz="0" w:space="0" w:color="auto"/>
                    <w:left w:val="none" w:sz="0" w:space="0" w:color="auto"/>
                    <w:bottom w:val="none" w:sz="0" w:space="0" w:color="auto"/>
                    <w:right w:val="none" w:sz="0" w:space="0" w:color="auto"/>
                  </w:divBdr>
                  <w:divsChild>
                    <w:div w:id="1568877066">
                      <w:marLeft w:val="0"/>
                      <w:marRight w:val="0"/>
                      <w:marTop w:val="0"/>
                      <w:marBottom w:val="0"/>
                      <w:divBdr>
                        <w:top w:val="none" w:sz="0" w:space="0" w:color="auto"/>
                        <w:left w:val="none" w:sz="0" w:space="0" w:color="auto"/>
                        <w:bottom w:val="none" w:sz="0" w:space="0" w:color="auto"/>
                        <w:right w:val="none" w:sz="0" w:space="0" w:color="auto"/>
                      </w:divBdr>
                    </w:div>
                  </w:divsChild>
                </w:div>
                <w:div w:id="1570385789">
                  <w:marLeft w:val="0"/>
                  <w:marRight w:val="0"/>
                  <w:marTop w:val="0"/>
                  <w:marBottom w:val="0"/>
                  <w:divBdr>
                    <w:top w:val="none" w:sz="0" w:space="0" w:color="auto"/>
                    <w:left w:val="none" w:sz="0" w:space="0" w:color="auto"/>
                    <w:bottom w:val="none" w:sz="0" w:space="0" w:color="auto"/>
                    <w:right w:val="none" w:sz="0" w:space="0" w:color="auto"/>
                  </w:divBdr>
                  <w:divsChild>
                    <w:div w:id="2108696995">
                      <w:marLeft w:val="0"/>
                      <w:marRight w:val="0"/>
                      <w:marTop w:val="0"/>
                      <w:marBottom w:val="0"/>
                      <w:divBdr>
                        <w:top w:val="none" w:sz="0" w:space="0" w:color="auto"/>
                        <w:left w:val="none" w:sz="0" w:space="0" w:color="auto"/>
                        <w:bottom w:val="none" w:sz="0" w:space="0" w:color="auto"/>
                        <w:right w:val="none" w:sz="0" w:space="0" w:color="auto"/>
                      </w:divBdr>
                    </w:div>
                  </w:divsChild>
                </w:div>
                <w:div w:id="1591085356">
                  <w:marLeft w:val="0"/>
                  <w:marRight w:val="0"/>
                  <w:marTop w:val="0"/>
                  <w:marBottom w:val="0"/>
                  <w:divBdr>
                    <w:top w:val="none" w:sz="0" w:space="0" w:color="auto"/>
                    <w:left w:val="none" w:sz="0" w:space="0" w:color="auto"/>
                    <w:bottom w:val="none" w:sz="0" w:space="0" w:color="auto"/>
                    <w:right w:val="none" w:sz="0" w:space="0" w:color="auto"/>
                  </w:divBdr>
                  <w:divsChild>
                    <w:div w:id="1424763522">
                      <w:marLeft w:val="0"/>
                      <w:marRight w:val="0"/>
                      <w:marTop w:val="0"/>
                      <w:marBottom w:val="0"/>
                      <w:divBdr>
                        <w:top w:val="none" w:sz="0" w:space="0" w:color="auto"/>
                        <w:left w:val="none" w:sz="0" w:space="0" w:color="auto"/>
                        <w:bottom w:val="none" w:sz="0" w:space="0" w:color="auto"/>
                        <w:right w:val="none" w:sz="0" w:space="0" w:color="auto"/>
                      </w:divBdr>
                    </w:div>
                  </w:divsChild>
                </w:div>
                <w:div w:id="1609315365">
                  <w:marLeft w:val="0"/>
                  <w:marRight w:val="0"/>
                  <w:marTop w:val="0"/>
                  <w:marBottom w:val="0"/>
                  <w:divBdr>
                    <w:top w:val="none" w:sz="0" w:space="0" w:color="auto"/>
                    <w:left w:val="none" w:sz="0" w:space="0" w:color="auto"/>
                    <w:bottom w:val="none" w:sz="0" w:space="0" w:color="auto"/>
                    <w:right w:val="none" w:sz="0" w:space="0" w:color="auto"/>
                  </w:divBdr>
                  <w:divsChild>
                    <w:div w:id="264928020">
                      <w:marLeft w:val="0"/>
                      <w:marRight w:val="0"/>
                      <w:marTop w:val="0"/>
                      <w:marBottom w:val="0"/>
                      <w:divBdr>
                        <w:top w:val="none" w:sz="0" w:space="0" w:color="auto"/>
                        <w:left w:val="none" w:sz="0" w:space="0" w:color="auto"/>
                        <w:bottom w:val="none" w:sz="0" w:space="0" w:color="auto"/>
                        <w:right w:val="none" w:sz="0" w:space="0" w:color="auto"/>
                      </w:divBdr>
                    </w:div>
                  </w:divsChild>
                </w:div>
                <w:div w:id="1617639261">
                  <w:marLeft w:val="0"/>
                  <w:marRight w:val="0"/>
                  <w:marTop w:val="0"/>
                  <w:marBottom w:val="0"/>
                  <w:divBdr>
                    <w:top w:val="none" w:sz="0" w:space="0" w:color="auto"/>
                    <w:left w:val="none" w:sz="0" w:space="0" w:color="auto"/>
                    <w:bottom w:val="none" w:sz="0" w:space="0" w:color="auto"/>
                    <w:right w:val="none" w:sz="0" w:space="0" w:color="auto"/>
                  </w:divBdr>
                  <w:divsChild>
                    <w:div w:id="2022202804">
                      <w:marLeft w:val="0"/>
                      <w:marRight w:val="0"/>
                      <w:marTop w:val="0"/>
                      <w:marBottom w:val="0"/>
                      <w:divBdr>
                        <w:top w:val="none" w:sz="0" w:space="0" w:color="auto"/>
                        <w:left w:val="none" w:sz="0" w:space="0" w:color="auto"/>
                        <w:bottom w:val="none" w:sz="0" w:space="0" w:color="auto"/>
                        <w:right w:val="none" w:sz="0" w:space="0" w:color="auto"/>
                      </w:divBdr>
                    </w:div>
                  </w:divsChild>
                </w:div>
                <w:div w:id="1618176106">
                  <w:marLeft w:val="0"/>
                  <w:marRight w:val="0"/>
                  <w:marTop w:val="0"/>
                  <w:marBottom w:val="0"/>
                  <w:divBdr>
                    <w:top w:val="none" w:sz="0" w:space="0" w:color="auto"/>
                    <w:left w:val="none" w:sz="0" w:space="0" w:color="auto"/>
                    <w:bottom w:val="none" w:sz="0" w:space="0" w:color="auto"/>
                    <w:right w:val="none" w:sz="0" w:space="0" w:color="auto"/>
                  </w:divBdr>
                  <w:divsChild>
                    <w:div w:id="598489188">
                      <w:marLeft w:val="0"/>
                      <w:marRight w:val="0"/>
                      <w:marTop w:val="0"/>
                      <w:marBottom w:val="0"/>
                      <w:divBdr>
                        <w:top w:val="none" w:sz="0" w:space="0" w:color="auto"/>
                        <w:left w:val="none" w:sz="0" w:space="0" w:color="auto"/>
                        <w:bottom w:val="none" w:sz="0" w:space="0" w:color="auto"/>
                        <w:right w:val="none" w:sz="0" w:space="0" w:color="auto"/>
                      </w:divBdr>
                    </w:div>
                  </w:divsChild>
                </w:div>
                <w:div w:id="1620916736">
                  <w:marLeft w:val="0"/>
                  <w:marRight w:val="0"/>
                  <w:marTop w:val="0"/>
                  <w:marBottom w:val="0"/>
                  <w:divBdr>
                    <w:top w:val="none" w:sz="0" w:space="0" w:color="auto"/>
                    <w:left w:val="none" w:sz="0" w:space="0" w:color="auto"/>
                    <w:bottom w:val="none" w:sz="0" w:space="0" w:color="auto"/>
                    <w:right w:val="none" w:sz="0" w:space="0" w:color="auto"/>
                  </w:divBdr>
                  <w:divsChild>
                    <w:div w:id="1483699291">
                      <w:marLeft w:val="0"/>
                      <w:marRight w:val="0"/>
                      <w:marTop w:val="0"/>
                      <w:marBottom w:val="0"/>
                      <w:divBdr>
                        <w:top w:val="none" w:sz="0" w:space="0" w:color="auto"/>
                        <w:left w:val="none" w:sz="0" w:space="0" w:color="auto"/>
                        <w:bottom w:val="none" w:sz="0" w:space="0" w:color="auto"/>
                        <w:right w:val="none" w:sz="0" w:space="0" w:color="auto"/>
                      </w:divBdr>
                    </w:div>
                  </w:divsChild>
                </w:div>
                <w:div w:id="1653832684">
                  <w:marLeft w:val="0"/>
                  <w:marRight w:val="0"/>
                  <w:marTop w:val="0"/>
                  <w:marBottom w:val="0"/>
                  <w:divBdr>
                    <w:top w:val="none" w:sz="0" w:space="0" w:color="auto"/>
                    <w:left w:val="none" w:sz="0" w:space="0" w:color="auto"/>
                    <w:bottom w:val="none" w:sz="0" w:space="0" w:color="auto"/>
                    <w:right w:val="none" w:sz="0" w:space="0" w:color="auto"/>
                  </w:divBdr>
                  <w:divsChild>
                    <w:div w:id="178660390">
                      <w:marLeft w:val="0"/>
                      <w:marRight w:val="0"/>
                      <w:marTop w:val="0"/>
                      <w:marBottom w:val="0"/>
                      <w:divBdr>
                        <w:top w:val="none" w:sz="0" w:space="0" w:color="auto"/>
                        <w:left w:val="none" w:sz="0" w:space="0" w:color="auto"/>
                        <w:bottom w:val="none" w:sz="0" w:space="0" w:color="auto"/>
                        <w:right w:val="none" w:sz="0" w:space="0" w:color="auto"/>
                      </w:divBdr>
                    </w:div>
                  </w:divsChild>
                </w:div>
                <w:div w:id="1691877515">
                  <w:marLeft w:val="0"/>
                  <w:marRight w:val="0"/>
                  <w:marTop w:val="0"/>
                  <w:marBottom w:val="0"/>
                  <w:divBdr>
                    <w:top w:val="none" w:sz="0" w:space="0" w:color="auto"/>
                    <w:left w:val="none" w:sz="0" w:space="0" w:color="auto"/>
                    <w:bottom w:val="none" w:sz="0" w:space="0" w:color="auto"/>
                    <w:right w:val="none" w:sz="0" w:space="0" w:color="auto"/>
                  </w:divBdr>
                  <w:divsChild>
                    <w:div w:id="936132785">
                      <w:marLeft w:val="0"/>
                      <w:marRight w:val="0"/>
                      <w:marTop w:val="0"/>
                      <w:marBottom w:val="0"/>
                      <w:divBdr>
                        <w:top w:val="none" w:sz="0" w:space="0" w:color="auto"/>
                        <w:left w:val="none" w:sz="0" w:space="0" w:color="auto"/>
                        <w:bottom w:val="none" w:sz="0" w:space="0" w:color="auto"/>
                        <w:right w:val="none" w:sz="0" w:space="0" w:color="auto"/>
                      </w:divBdr>
                    </w:div>
                  </w:divsChild>
                </w:div>
                <w:div w:id="1693606660">
                  <w:marLeft w:val="0"/>
                  <w:marRight w:val="0"/>
                  <w:marTop w:val="0"/>
                  <w:marBottom w:val="0"/>
                  <w:divBdr>
                    <w:top w:val="none" w:sz="0" w:space="0" w:color="auto"/>
                    <w:left w:val="none" w:sz="0" w:space="0" w:color="auto"/>
                    <w:bottom w:val="none" w:sz="0" w:space="0" w:color="auto"/>
                    <w:right w:val="none" w:sz="0" w:space="0" w:color="auto"/>
                  </w:divBdr>
                  <w:divsChild>
                    <w:div w:id="1876380807">
                      <w:marLeft w:val="0"/>
                      <w:marRight w:val="0"/>
                      <w:marTop w:val="0"/>
                      <w:marBottom w:val="0"/>
                      <w:divBdr>
                        <w:top w:val="none" w:sz="0" w:space="0" w:color="auto"/>
                        <w:left w:val="none" w:sz="0" w:space="0" w:color="auto"/>
                        <w:bottom w:val="none" w:sz="0" w:space="0" w:color="auto"/>
                        <w:right w:val="none" w:sz="0" w:space="0" w:color="auto"/>
                      </w:divBdr>
                    </w:div>
                  </w:divsChild>
                </w:div>
                <w:div w:id="1700930219">
                  <w:marLeft w:val="0"/>
                  <w:marRight w:val="0"/>
                  <w:marTop w:val="0"/>
                  <w:marBottom w:val="0"/>
                  <w:divBdr>
                    <w:top w:val="none" w:sz="0" w:space="0" w:color="auto"/>
                    <w:left w:val="none" w:sz="0" w:space="0" w:color="auto"/>
                    <w:bottom w:val="none" w:sz="0" w:space="0" w:color="auto"/>
                    <w:right w:val="none" w:sz="0" w:space="0" w:color="auto"/>
                  </w:divBdr>
                  <w:divsChild>
                    <w:div w:id="2001611528">
                      <w:marLeft w:val="0"/>
                      <w:marRight w:val="0"/>
                      <w:marTop w:val="0"/>
                      <w:marBottom w:val="0"/>
                      <w:divBdr>
                        <w:top w:val="none" w:sz="0" w:space="0" w:color="auto"/>
                        <w:left w:val="none" w:sz="0" w:space="0" w:color="auto"/>
                        <w:bottom w:val="none" w:sz="0" w:space="0" w:color="auto"/>
                        <w:right w:val="none" w:sz="0" w:space="0" w:color="auto"/>
                      </w:divBdr>
                    </w:div>
                  </w:divsChild>
                </w:div>
                <w:div w:id="1704134008">
                  <w:marLeft w:val="0"/>
                  <w:marRight w:val="0"/>
                  <w:marTop w:val="0"/>
                  <w:marBottom w:val="0"/>
                  <w:divBdr>
                    <w:top w:val="none" w:sz="0" w:space="0" w:color="auto"/>
                    <w:left w:val="none" w:sz="0" w:space="0" w:color="auto"/>
                    <w:bottom w:val="none" w:sz="0" w:space="0" w:color="auto"/>
                    <w:right w:val="none" w:sz="0" w:space="0" w:color="auto"/>
                  </w:divBdr>
                  <w:divsChild>
                    <w:div w:id="1170363948">
                      <w:marLeft w:val="0"/>
                      <w:marRight w:val="0"/>
                      <w:marTop w:val="0"/>
                      <w:marBottom w:val="0"/>
                      <w:divBdr>
                        <w:top w:val="none" w:sz="0" w:space="0" w:color="auto"/>
                        <w:left w:val="none" w:sz="0" w:space="0" w:color="auto"/>
                        <w:bottom w:val="none" w:sz="0" w:space="0" w:color="auto"/>
                        <w:right w:val="none" w:sz="0" w:space="0" w:color="auto"/>
                      </w:divBdr>
                    </w:div>
                  </w:divsChild>
                </w:div>
                <w:div w:id="1726298687">
                  <w:marLeft w:val="0"/>
                  <w:marRight w:val="0"/>
                  <w:marTop w:val="0"/>
                  <w:marBottom w:val="0"/>
                  <w:divBdr>
                    <w:top w:val="none" w:sz="0" w:space="0" w:color="auto"/>
                    <w:left w:val="none" w:sz="0" w:space="0" w:color="auto"/>
                    <w:bottom w:val="none" w:sz="0" w:space="0" w:color="auto"/>
                    <w:right w:val="none" w:sz="0" w:space="0" w:color="auto"/>
                  </w:divBdr>
                  <w:divsChild>
                    <w:div w:id="1094476866">
                      <w:marLeft w:val="0"/>
                      <w:marRight w:val="0"/>
                      <w:marTop w:val="0"/>
                      <w:marBottom w:val="0"/>
                      <w:divBdr>
                        <w:top w:val="none" w:sz="0" w:space="0" w:color="auto"/>
                        <w:left w:val="none" w:sz="0" w:space="0" w:color="auto"/>
                        <w:bottom w:val="none" w:sz="0" w:space="0" w:color="auto"/>
                        <w:right w:val="none" w:sz="0" w:space="0" w:color="auto"/>
                      </w:divBdr>
                    </w:div>
                  </w:divsChild>
                </w:div>
                <w:div w:id="1739747659">
                  <w:marLeft w:val="0"/>
                  <w:marRight w:val="0"/>
                  <w:marTop w:val="0"/>
                  <w:marBottom w:val="0"/>
                  <w:divBdr>
                    <w:top w:val="none" w:sz="0" w:space="0" w:color="auto"/>
                    <w:left w:val="none" w:sz="0" w:space="0" w:color="auto"/>
                    <w:bottom w:val="none" w:sz="0" w:space="0" w:color="auto"/>
                    <w:right w:val="none" w:sz="0" w:space="0" w:color="auto"/>
                  </w:divBdr>
                  <w:divsChild>
                    <w:div w:id="490800885">
                      <w:marLeft w:val="0"/>
                      <w:marRight w:val="0"/>
                      <w:marTop w:val="0"/>
                      <w:marBottom w:val="0"/>
                      <w:divBdr>
                        <w:top w:val="none" w:sz="0" w:space="0" w:color="auto"/>
                        <w:left w:val="none" w:sz="0" w:space="0" w:color="auto"/>
                        <w:bottom w:val="none" w:sz="0" w:space="0" w:color="auto"/>
                        <w:right w:val="none" w:sz="0" w:space="0" w:color="auto"/>
                      </w:divBdr>
                    </w:div>
                  </w:divsChild>
                </w:div>
                <w:div w:id="1743260230">
                  <w:marLeft w:val="0"/>
                  <w:marRight w:val="0"/>
                  <w:marTop w:val="0"/>
                  <w:marBottom w:val="0"/>
                  <w:divBdr>
                    <w:top w:val="none" w:sz="0" w:space="0" w:color="auto"/>
                    <w:left w:val="none" w:sz="0" w:space="0" w:color="auto"/>
                    <w:bottom w:val="none" w:sz="0" w:space="0" w:color="auto"/>
                    <w:right w:val="none" w:sz="0" w:space="0" w:color="auto"/>
                  </w:divBdr>
                  <w:divsChild>
                    <w:div w:id="1071002193">
                      <w:marLeft w:val="0"/>
                      <w:marRight w:val="0"/>
                      <w:marTop w:val="0"/>
                      <w:marBottom w:val="0"/>
                      <w:divBdr>
                        <w:top w:val="none" w:sz="0" w:space="0" w:color="auto"/>
                        <w:left w:val="none" w:sz="0" w:space="0" w:color="auto"/>
                        <w:bottom w:val="none" w:sz="0" w:space="0" w:color="auto"/>
                        <w:right w:val="none" w:sz="0" w:space="0" w:color="auto"/>
                      </w:divBdr>
                    </w:div>
                  </w:divsChild>
                </w:div>
                <w:div w:id="1758019307">
                  <w:marLeft w:val="0"/>
                  <w:marRight w:val="0"/>
                  <w:marTop w:val="0"/>
                  <w:marBottom w:val="0"/>
                  <w:divBdr>
                    <w:top w:val="none" w:sz="0" w:space="0" w:color="auto"/>
                    <w:left w:val="none" w:sz="0" w:space="0" w:color="auto"/>
                    <w:bottom w:val="none" w:sz="0" w:space="0" w:color="auto"/>
                    <w:right w:val="none" w:sz="0" w:space="0" w:color="auto"/>
                  </w:divBdr>
                  <w:divsChild>
                    <w:div w:id="1487235492">
                      <w:marLeft w:val="0"/>
                      <w:marRight w:val="0"/>
                      <w:marTop w:val="0"/>
                      <w:marBottom w:val="0"/>
                      <w:divBdr>
                        <w:top w:val="none" w:sz="0" w:space="0" w:color="auto"/>
                        <w:left w:val="none" w:sz="0" w:space="0" w:color="auto"/>
                        <w:bottom w:val="none" w:sz="0" w:space="0" w:color="auto"/>
                        <w:right w:val="none" w:sz="0" w:space="0" w:color="auto"/>
                      </w:divBdr>
                    </w:div>
                  </w:divsChild>
                </w:div>
                <w:div w:id="1764253319">
                  <w:marLeft w:val="0"/>
                  <w:marRight w:val="0"/>
                  <w:marTop w:val="0"/>
                  <w:marBottom w:val="0"/>
                  <w:divBdr>
                    <w:top w:val="none" w:sz="0" w:space="0" w:color="auto"/>
                    <w:left w:val="none" w:sz="0" w:space="0" w:color="auto"/>
                    <w:bottom w:val="none" w:sz="0" w:space="0" w:color="auto"/>
                    <w:right w:val="none" w:sz="0" w:space="0" w:color="auto"/>
                  </w:divBdr>
                  <w:divsChild>
                    <w:div w:id="358241916">
                      <w:marLeft w:val="0"/>
                      <w:marRight w:val="0"/>
                      <w:marTop w:val="0"/>
                      <w:marBottom w:val="0"/>
                      <w:divBdr>
                        <w:top w:val="none" w:sz="0" w:space="0" w:color="auto"/>
                        <w:left w:val="none" w:sz="0" w:space="0" w:color="auto"/>
                        <w:bottom w:val="none" w:sz="0" w:space="0" w:color="auto"/>
                        <w:right w:val="none" w:sz="0" w:space="0" w:color="auto"/>
                      </w:divBdr>
                    </w:div>
                  </w:divsChild>
                </w:div>
                <w:div w:id="1773473629">
                  <w:marLeft w:val="0"/>
                  <w:marRight w:val="0"/>
                  <w:marTop w:val="0"/>
                  <w:marBottom w:val="0"/>
                  <w:divBdr>
                    <w:top w:val="none" w:sz="0" w:space="0" w:color="auto"/>
                    <w:left w:val="none" w:sz="0" w:space="0" w:color="auto"/>
                    <w:bottom w:val="none" w:sz="0" w:space="0" w:color="auto"/>
                    <w:right w:val="none" w:sz="0" w:space="0" w:color="auto"/>
                  </w:divBdr>
                  <w:divsChild>
                    <w:div w:id="2124376161">
                      <w:marLeft w:val="0"/>
                      <w:marRight w:val="0"/>
                      <w:marTop w:val="0"/>
                      <w:marBottom w:val="0"/>
                      <w:divBdr>
                        <w:top w:val="none" w:sz="0" w:space="0" w:color="auto"/>
                        <w:left w:val="none" w:sz="0" w:space="0" w:color="auto"/>
                        <w:bottom w:val="none" w:sz="0" w:space="0" w:color="auto"/>
                        <w:right w:val="none" w:sz="0" w:space="0" w:color="auto"/>
                      </w:divBdr>
                    </w:div>
                  </w:divsChild>
                </w:div>
                <w:div w:id="1780636398">
                  <w:marLeft w:val="0"/>
                  <w:marRight w:val="0"/>
                  <w:marTop w:val="0"/>
                  <w:marBottom w:val="0"/>
                  <w:divBdr>
                    <w:top w:val="none" w:sz="0" w:space="0" w:color="auto"/>
                    <w:left w:val="none" w:sz="0" w:space="0" w:color="auto"/>
                    <w:bottom w:val="none" w:sz="0" w:space="0" w:color="auto"/>
                    <w:right w:val="none" w:sz="0" w:space="0" w:color="auto"/>
                  </w:divBdr>
                  <w:divsChild>
                    <w:div w:id="274364574">
                      <w:marLeft w:val="0"/>
                      <w:marRight w:val="0"/>
                      <w:marTop w:val="0"/>
                      <w:marBottom w:val="0"/>
                      <w:divBdr>
                        <w:top w:val="none" w:sz="0" w:space="0" w:color="auto"/>
                        <w:left w:val="none" w:sz="0" w:space="0" w:color="auto"/>
                        <w:bottom w:val="none" w:sz="0" w:space="0" w:color="auto"/>
                        <w:right w:val="none" w:sz="0" w:space="0" w:color="auto"/>
                      </w:divBdr>
                    </w:div>
                  </w:divsChild>
                </w:div>
                <w:div w:id="1780953389">
                  <w:marLeft w:val="0"/>
                  <w:marRight w:val="0"/>
                  <w:marTop w:val="0"/>
                  <w:marBottom w:val="0"/>
                  <w:divBdr>
                    <w:top w:val="none" w:sz="0" w:space="0" w:color="auto"/>
                    <w:left w:val="none" w:sz="0" w:space="0" w:color="auto"/>
                    <w:bottom w:val="none" w:sz="0" w:space="0" w:color="auto"/>
                    <w:right w:val="none" w:sz="0" w:space="0" w:color="auto"/>
                  </w:divBdr>
                  <w:divsChild>
                    <w:div w:id="1090006996">
                      <w:marLeft w:val="0"/>
                      <w:marRight w:val="0"/>
                      <w:marTop w:val="0"/>
                      <w:marBottom w:val="0"/>
                      <w:divBdr>
                        <w:top w:val="none" w:sz="0" w:space="0" w:color="auto"/>
                        <w:left w:val="none" w:sz="0" w:space="0" w:color="auto"/>
                        <w:bottom w:val="none" w:sz="0" w:space="0" w:color="auto"/>
                        <w:right w:val="none" w:sz="0" w:space="0" w:color="auto"/>
                      </w:divBdr>
                    </w:div>
                  </w:divsChild>
                </w:div>
                <w:div w:id="1787037212">
                  <w:marLeft w:val="0"/>
                  <w:marRight w:val="0"/>
                  <w:marTop w:val="0"/>
                  <w:marBottom w:val="0"/>
                  <w:divBdr>
                    <w:top w:val="none" w:sz="0" w:space="0" w:color="auto"/>
                    <w:left w:val="none" w:sz="0" w:space="0" w:color="auto"/>
                    <w:bottom w:val="none" w:sz="0" w:space="0" w:color="auto"/>
                    <w:right w:val="none" w:sz="0" w:space="0" w:color="auto"/>
                  </w:divBdr>
                  <w:divsChild>
                    <w:div w:id="1248267861">
                      <w:marLeft w:val="0"/>
                      <w:marRight w:val="0"/>
                      <w:marTop w:val="0"/>
                      <w:marBottom w:val="0"/>
                      <w:divBdr>
                        <w:top w:val="none" w:sz="0" w:space="0" w:color="auto"/>
                        <w:left w:val="none" w:sz="0" w:space="0" w:color="auto"/>
                        <w:bottom w:val="none" w:sz="0" w:space="0" w:color="auto"/>
                        <w:right w:val="none" w:sz="0" w:space="0" w:color="auto"/>
                      </w:divBdr>
                    </w:div>
                  </w:divsChild>
                </w:div>
                <w:div w:id="1790583970">
                  <w:marLeft w:val="0"/>
                  <w:marRight w:val="0"/>
                  <w:marTop w:val="0"/>
                  <w:marBottom w:val="0"/>
                  <w:divBdr>
                    <w:top w:val="none" w:sz="0" w:space="0" w:color="auto"/>
                    <w:left w:val="none" w:sz="0" w:space="0" w:color="auto"/>
                    <w:bottom w:val="none" w:sz="0" w:space="0" w:color="auto"/>
                    <w:right w:val="none" w:sz="0" w:space="0" w:color="auto"/>
                  </w:divBdr>
                  <w:divsChild>
                    <w:div w:id="1272544241">
                      <w:marLeft w:val="0"/>
                      <w:marRight w:val="0"/>
                      <w:marTop w:val="0"/>
                      <w:marBottom w:val="0"/>
                      <w:divBdr>
                        <w:top w:val="none" w:sz="0" w:space="0" w:color="auto"/>
                        <w:left w:val="none" w:sz="0" w:space="0" w:color="auto"/>
                        <w:bottom w:val="none" w:sz="0" w:space="0" w:color="auto"/>
                        <w:right w:val="none" w:sz="0" w:space="0" w:color="auto"/>
                      </w:divBdr>
                    </w:div>
                  </w:divsChild>
                </w:div>
                <w:div w:id="1792935649">
                  <w:marLeft w:val="0"/>
                  <w:marRight w:val="0"/>
                  <w:marTop w:val="0"/>
                  <w:marBottom w:val="0"/>
                  <w:divBdr>
                    <w:top w:val="none" w:sz="0" w:space="0" w:color="auto"/>
                    <w:left w:val="none" w:sz="0" w:space="0" w:color="auto"/>
                    <w:bottom w:val="none" w:sz="0" w:space="0" w:color="auto"/>
                    <w:right w:val="none" w:sz="0" w:space="0" w:color="auto"/>
                  </w:divBdr>
                  <w:divsChild>
                    <w:div w:id="143621051">
                      <w:marLeft w:val="0"/>
                      <w:marRight w:val="0"/>
                      <w:marTop w:val="0"/>
                      <w:marBottom w:val="0"/>
                      <w:divBdr>
                        <w:top w:val="none" w:sz="0" w:space="0" w:color="auto"/>
                        <w:left w:val="none" w:sz="0" w:space="0" w:color="auto"/>
                        <w:bottom w:val="none" w:sz="0" w:space="0" w:color="auto"/>
                        <w:right w:val="none" w:sz="0" w:space="0" w:color="auto"/>
                      </w:divBdr>
                    </w:div>
                  </w:divsChild>
                </w:div>
                <w:div w:id="1796823947">
                  <w:marLeft w:val="0"/>
                  <w:marRight w:val="0"/>
                  <w:marTop w:val="0"/>
                  <w:marBottom w:val="0"/>
                  <w:divBdr>
                    <w:top w:val="none" w:sz="0" w:space="0" w:color="auto"/>
                    <w:left w:val="none" w:sz="0" w:space="0" w:color="auto"/>
                    <w:bottom w:val="none" w:sz="0" w:space="0" w:color="auto"/>
                    <w:right w:val="none" w:sz="0" w:space="0" w:color="auto"/>
                  </w:divBdr>
                  <w:divsChild>
                    <w:div w:id="2130274150">
                      <w:marLeft w:val="0"/>
                      <w:marRight w:val="0"/>
                      <w:marTop w:val="0"/>
                      <w:marBottom w:val="0"/>
                      <w:divBdr>
                        <w:top w:val="none" w:sz="0" w:space="0" w:color="auto"/>
                        <w:left w:val="none" w:sz="0" w:space="0" w:color="auto"/>
                        <w:bottom w:val="none" w:sz="0" w:space="0" w:color="auto"/>
                        <w:right w:val="none" w:sz="0" w:space="0" w:color="auto"/>
                      </w:divBdr>
                    </w:div>
                  </w:divsChild>
                </w:div>
                <w:div w:id="1806460533">
                  <w:marLeft w:val="0"/>
                  <w:marRight w:val="0"/>
                  <w:marTop w:val="0"/>
                  <w:marBottom w:val="0"/>
                  <w:divBdr>
                    <w:top w:val="none" w:sz="0" w:space="0" w:color="auto"/>
                    <w:left w:val="none" w:sz="0" w:space="0" w:color="auto"/>
                    <w:bottom w:val="none" w:sz="0" w:space="0" w:color="auto"/>
                    <w:right w:val="none" w:sz="0" w:space="0" w:color="auto"/>
                  </w:divBdr>
                  <w:divsChild>
                    <w:div w:id="853108729">
                      <w:marLeft w:val="0"/>
                      <w:marRight w:val="0"/>
                      <w:marTop w:val="0"/>
                      <w:marBottom w:val="0"/>
                      <w:divBdr>
                        <w:top w:val="none" w:sz="0" w:space="0" w:color="auto"/>
                        <w:left w:val="none" w:sz="0" w:space="0" w:color="auto"/>
                        <w:bottom w:val="none" w:sz="0" w:space="0" w:color="auto"/>
                        <w:right w:val="none" w:sz="0" w:space="0" w:color="auto"/>
                      </w:divBdr>
                    </w:div>
                  </w:divsChild>
                </w:div>
                <w:div w:id="1811481877">
                  <w:marLeft w:val="0"/>
                  <w:marRight w:val="0"/>
                  <w:marTop w:val="0"/>
                  <w:marBottom w:val="0"/>
                  <w:divBdr>
                    <w:top w:val="none" w:sz="0" w:space="0" w:color="auto"/>
                    <w:left w:val="none" w:sz="0" w:space="0" w:color="auto"/>
                    <w:bottom w:val="none" w:sz="0" w:space="0" w:color="auto"/>
                    <w:right w:val="none" w:sz="0" w:space="0" w:color="auto"/>
                  </w:divBdr>
                  <w:divsChild>
                    <w:div w:id="1747459230">
                      <w:marLeft w:val="0"/>
                      <w:marRight w:val="0"/>
                      <w:marTop w:val="0"/>
                      <w:marBottom w:val="0"/>
                      <w:divBdr>
                        <w:top w:val="none" w:sz="0" w:space="0" w:color="auto"/>
                        <w:left w:val="none" w:sz="0" w:space="0" w:color="auto"/>
                        <w:bottom w:val="none" w:sz="0" w:space="0" w:color="auto"/>
                        <w:right w:val="none" w:sz="0" w:space="0" w:color="auto"/>
                      </w:divBdr>
                    </w:div>
                  </w:divsChild>
                </w:div>
                <w:div w:id="1833791302">
                  <w:marLeft w:val="0"/>
                  <w:marRight w:val="0"/>
                  <w:marTop w:val="0"/>
                  <w:marBottom w:val="0"/>
                  <w:divBdr>
                    <w:top w:val="none" w:sz="0" w:space="0" w:color="auto"/>
                    <w:left w:val="none" w:sz="0" w:space="0" w:color="auto"/>
                    <w:bottom w:val="none" w:sz="0" w:space="0" w:color="auto"/>
                    <w:right w:val="none" w:sz="0" w:space="0" w:color="auto"/>
                  </w:divBdr>
                  <w:divsChild>
                    <w:div w:id="1645499634">
                      <w:marLeft w:val="0"/>
                      <w:marRight w:val="0"/>
                      <w:marTop w:val="0"/>
                      <w:marBottom w:val="0"/>
                      <w:divBdr>
                        <w:top w:val="none" w:sz="0" w:space="0" w:color="auto"/>
                        <w:left w:val="none" w:sz="0" w:space="0" w:color="auto"/>
                        <w:bottom w:val="none" w:sz="0" w:space="0" w:color="auto"/>
                        <w:right w:val="none" w:sz="0" w:space="0" w:color="auto"/>
                      </w:divBdr>
                    </w:div>
                  </w:divsChild>
                </w:div>
                <w:div w:id="1866749234">
                  <w:marLeft w:val="0"/>
                  <w:marRight w:val="0"/>
                  <w:marTop w:val="0"/>
                  <w:marBottom w:val="0"/>
                  <w:divBdr>
                    <w:top w:val="none" w:sz="0" w:space="0" w:color="auto"/>
                    <w:left w:val="none" w:sz="0" w:space="0" w:color="auto"/>
                    <w:bottom w:val="none" w:sz="0" w:space="0" w:color="auto"/>
                    <w:right w:val="none" w:sz="0" w:space="0" w:color="auto"/>
                  </w:divBdr>
                  <w:divsChild>
                    <w:div w:id="264925652">
                      <w:marLeft w:val="0"/>
                      <w:marRight w:val="0"/>
                      <w:marTop w:val="0"/>
                      <w:marBottom w:val="0"/>
                      <w:divBdr>
                        <w:top w:val="none" w:sz="0" w:space="0" w:color="auto"/>
                        <w:left w:val="none" w:sz="0" w:space="0" w:color="auto"/>
                        <w:bottom w:val="none" w:sz="0" w:space="0" w:color="auto"/>
                        <w:right w:val="none" w:sz="0" w:space="0" w:color="auto"/>
                      </w:divBdr>
                    </w:div>
                  </w:divsChild>
                </w:div>
                <w:div w:id="1887254203">
                  <w:marLeft w:val="0"/>
                  <w:marRight w:val="0"/>
                  <w:marTop w:val="0"/>
                  <w:marBottom w:val="0"/>
                  <w:divBdr>
                    <w:top w:val="none" w:sz="0" w:space="0" w:color="auto"/>
                    <w:left w:val="none" w:sz="0" w:space="0" w:color="auto"/>
                    <w:bottom w:val="none" w:sz="0" w:space="0" w:color="auto"/>
                    <w:right w:val="none" w:sz="0" w:space="0" w:color="auto"/>
                  </w:divBdr>
                  <w:divsChild>
                    <w:div w:id="1517578467">
                      <w:marLeft w:val="0"/>
                      <w:marRight w:val="0"/>
                      <w:marTop w:val="0"/>
                      <w:marBottom w:val="0"/>
                      <w:divBdr>
                        <w:top w:val="none" w:sz="0" w:space="0" w:color="auto"/>
                        <w:left w:val="none" w:sz="0" w:space="0" w:color="auto"/>
                        <w:bottom w:val="none" w:sz="0" w:space="0" w:color="auto"/>
                        <w:right w:val="none" w:sz="0" w:space="0" w:color="auto"/>
                      </w:divBdr>
                    </w:div>
                  </w:divsChild>
                </w:div>
                <w:div w:id="1891072068">
                  <w:marLeft w:val="0"/>
                  <w:marRight w:val="0"/>
                  <w:marTop w:val="0"/>
                  <w:marBottom w:val="0"/>
                  <w:divBdr>
                    <w:top w:val="none" w:sz="0" w:space="0" w:color="auto"/>
                    <w:left w:val="none" w:sz="0" w:space="0" w:color="auto"/>
                    <w:bottom w:val="none" w:sz="0" w:space="0" w:color="auto"/>
                    <w:right w:val="none" w:sz="0" w:space="0" w:color="auto"/>
                  </w:divBdr>
                  <w:divsChild>
                    <w:div w:id="787167055">
                      <w:marLeft w:val="0"/>
                      <w:marRight w:val="0"/>
                      <w:marTop w:val="0"/>
                      <w:marBottom w:val="0"/>
                      <w:divBdr>
                        <w:top w:val="none" w:sz="0" w:space="0" w:color="auto"/>
                        <w:left w:val="none" w:sz="0" w:space="0" w:color="auto"/>
                        <w:bottom w:val="none" w:sz="0" w:space="0" w:color="auto"/>
                        <w:right w:val="none" w:sz="0" w:space="0" w:color="auto"/>
                      </w:divBdr>
                    </w:div>
                  </w:divsChild>
                </w:div>
                <w:div w:id="1910530412">
                  <w:marLeft w:val="0"/>
                  <w:marRight w:val="0"/>
                  <w:marTop w:val="0"/>
                  <w:marBottom w:val="0"/>
                  <w:divBdr>
                    <w:top w:val="none" w:sz="0" w:space="0" w:color="auto"/>
                    <w:left w:val="none" w:sz="0" w:space="0" w:color="auto"/>
                    <w:bottom w:val="none" w:sz="0" w:space="0" w:color="auto"/>
                    <w:right w:val="none" w:sz="0" w:space="0" w:color="auto"/>
                  </w:divBdr>
                  <w:divsChild>
                    <w:div w:id="1246496615">
                      <w:marLeft w:val="0"/>
                      <w:marRight w:val="0"/>
                      <w:marTop w:val="0"/>
                      <w:marBottom w:val="0"/>
                      <w:divBdr>
                        <w:top w:val="none" w:sz="0" w:space="0" w:color="auto"/>
                        <w:left w:val="none" w:sz="0" w:space="0" w:color="auto"/>
                        <w:bottom w:val="none" w:sz="0" w:space="0" w:color="auto"/>
                        <w:right w:val="none" w:sz="0" w:space="0" w:color="auto"/>
                      </w:divBdr>
                    </w:div>
                  </w:divsChild>
                </w:div>
                <w:div w:id="1913925512">
                  <w:marLeft w:val="0"/>
                  <w:marRight w:val="0"/>
                  <w:marTop w:val="0"/>
                  <w:marBottom w:val="0"/>
                  <w:divBdr>
                    <w:top w:val="none" w:sz="0" w:space="0" w:color="auto"/>
                    <w:left w:val="none" w:sz="0" w:space="0" w:color="auto"/>
                    <w:bottom w:val="none" w:sz="0" w:space="0" w:color="auto"/>
                    <w:right w:val="none" w:sz="0" w:space="0" w:color="auto"/>
                  </w:divBdr>
                  <w:divsChild>
                    <w:div w:id="1196381706">
                      <w:marLeft w:val="0"/>
                      <w:marRight w:val="0"/>
                      <w:marTop w:val="0"/>
                      <w:marBottom w:val="0"/>
                      <w:divBdr>
                        <w:top w:val="none" w:sz="0" w:space="0" w:color="auto"/>
                        <w:left w:val="none" w:sz="0" w:space="0" w:color="auto"/>
                        <w:bottom w:val="none" w:sz="0" w:space="0" w:color="auto"/>
                        <w:right w:val="none" w:sz="0" w:space="0" w:color="auto"/>
                      </w:divBdr>
                    </w:div>
                  </w:divsChild>
                </w:div>
                <w:div w:id="1938442029">
                  <w:marLeft w:val="0"/>
                  <w:marRight w:val="0"/>
                  <w:marTop w:val="0"/>
                  <w:marBottom w:val="0"/>
                  <w:divBdr>
                    <w:top w:val="none" w:sz="0" w:space="0" w:color="auto"/>
                    <w:left w:val="none" w:sz="0" w:space="0" w:color="auto"/>
                    <w:bottom w:val="none" w:sz="0" w:space="0" w:color="auto"/>
                    <w:right w:val="none" w:sz="0" w:space="0" w:color="auto"/>
                  </w:divBdr>
                  <w:divsChild>
                    <w:div w:id="827206629">
                      <w:marLeft w:val="0"/>
                      <w:marRight w:val="0"/>
                      <w:marTop w:val="0"/>
                      <w:marBottom w:val="0"/>
                      <w:divBdr>
                        <w:top w:val="none" w:sz="0" w:space="0" w:color="auto"/>
                        <w:left w:val="none" w:sz="0" w:space="0" w:color="auto"/>
                        <w:bottom w:val="none" w:sz="0" w:space="0" w:color="auto"/>
                        <w:right w:val="none" w:sz="0" w:space="0" w:color="auto"/>
                      </w:divBdr>
                    </w:div>
                  </w:divsChild>
                </w:div>
                <w:div w:id="1961262943">
                  <w:marLeft w:val="0"/>
                  <w:marRight w:val="0"/>
                  <w:marTop w:val="0"/>
                  <w:marBottom w:val="0"/>
                  <w:divBdr>
                    <w:top w:val="none" w:sz="0" w:space="0" w:color="auto"/>
                    <w:left w:val="none" w:sz="0" w:space="0" w:color="auto"/>
                    <w:bottom w:val="none" w:sz="0" w:space="0" w:color="auto"/>
                    <w:right w:val="none" w:sz="0" w:space="0" w:color="auto"/>
                  </w:divBdr>
                  <w:divsChild>
                    <w:div w:id="1058478225">
                      <w:marLeft w:val="0"/>
                      <w:marRight w:val="0"/>
                      <w:marTop w:val="0"/>
                      <w:marBottom w:val="0"/>
                      <w:divBdr>
                        <w:top w:val="none" w:sz="0" w:space="0" w:color="auto"/>
                        <w:left w:val="none" w:sz="0" w:space="0" w:color="auto"/>
                        <w:bottom w:val="none" w:sz="0" w:space="0" w:color="auto"/>
                        <w:right w:val="none" w:sz="0" w:space="0" w:color="auto"/>
                      </w:divBdr>
                    </w:div>
                  </w:divsChild>
                </w:div>
                <w:div w:id="1964577552">
                  <w:marLeft w:val="0"/>
                  <w:marRight w:val="0"/>
                  <w:marTop w:val="0"/>
                  <w:marBottom w:val="0"/>
                  <w:divBdr>
                    <w:top w:val="none" w:sz="0" w:space="0" w:color="auto"/>
                    <w:left w:val="none" w:sz="0" w:space="0" w:color="auto"/>
                    <w:bottom w:val="none" w:sz="0" w:space="0" w:color="auto"/>
                    <w:right w:val="none" w:sz="0" w:space="0" w:color="auto"/>
                  </w:divBdr>
                  <w:divsChild>
                    <w:div w:id="948009171">
                      <w:marLeft w:val="0"/>
                      <w:marRight w:val="0"/>
                      <w:marTop w:val="0"/>
                      <w:marBottom w:val="0"/>
                      <w:divBdr>
                        <w:top w:val="none" w:sz="0" w:space="0" w:color="auto"/>
                        <w:left w:val="none" w:sz="0" w:space="0" w:color="auto"/>
                        <w:bottom w:val="none" w:sz="0" w:space="0" w:color="auto"/>
                        <w:right w:val="none" w:sz="0" w:space="0" w:color="auto"/>
                      </w:divBdr>
                    </w:div>
                  </w:divsChild>
                </w:div>
                <w:div w:id="1967420481">
                  <w:marLeft w:val="0"/>
                  <w:marRight w:val="0"/>
                  <w:marTop w:val="0"/>
                  <w:marBottom w:val="0"/>
                  <w:divBdr>
                    <w:top w:val="none" w:sz="0" w:space="0" w:color="auto"/>
                    <w:left w:val="none" w:sz="0" w:space="0" w:color="auto"/>
                    <w:bottom w:val="none" w:sz="0" w:space="0" w:color="auto"/>
                    <w:right w:val="none" w:sz="0" w:space="0" w:color="auto"/>
                  </w:divBdr>
                  <w:divsChild>
                    <w:div w:id="1548566986">
                      <w:marLeft w:val="0"/>
                      <w:marRight w:val="0"/>
                      <w:marTop w:val="0"/>
                      <w:marBottom w:val="0"/>
                      <w:divBdr>
                        <w:top w:val="none" w:sz="0" w:space="0" w:color="auto"/>
                        <w:left w:val="none" w:sz="0" w:space="0" w:color="auto"/>
                        <w:bottom w:val="none" w:sz="0" w:space="0" w:color="auto"/>
                        <w:right w:val="none" w:sz="0" w:space="0" w:color="auto"/>
                      </w:divBdr>
                    </w:div>
                  </w:divsChild>
                </w:div>
                <w:div w:id="1979645987">
                  <w:marLeft w:val="0"/>
                  <w:marRight w:val="0"/>
                  <w:marTop w:val="0"/>
                  <w:marBottom w:val="0"/>
                  <w:divBdr>
                    <w:top w:val="none" w:sz="0" w:space="0" w:color="auto"/>
                    <w:left w:val="none" w:sz="0" w:space="0" w:color="auto"/>
                    <w:bottom w:val="none" w:sz="0" w:space="0" w:color="auto"/>
                    <w:right w:val="none" w:sz="0" w:space="0" w:color="auto"/>
                  </w:divBdr>
                  <w:divsChild>
                    <w:div w:id="681973845">
                      <w:marLeft w:val="0"/>
                      <w:marRight w:val="0"/>
                      <w:marTop w:val="0"/>
                      <w:marBottom w:val="0"/>
                      <w:divBdr>
                        <w:top w:val="none" w:sz="0" w:space="0" w:color="auto"/>
                        <w:left w:val="none" w:sz="0" w:space="0" w:color="auto"/>
                        <w:bottom w:val="none" w:sz="0" w:space="0" w:color="auto"/>
                        <w:right w:val="none" w:sz="0" w:space="0" w:color="auto"/>
                      </w:divBdr>
                    </w:div>
                  </w:divsChild>
                </w:div>
                <w:div w:id="1980837403">
                  <w:marLeft w:val="0"/>
                  <w:marRight w:val="0"/>
                  <w:marTop w:val="0"/>
                  <w:marBottom w:val="0"/>
                  <w:divBdr>
                    <w:top w:val="none" w:sz="0" w:space="0" w:color="auto"/>
                    <w:left w:val="none" w:sz="0" w:space="0" w:color="auto"/>
                    <w:bottom w:val="none" w:sz="0" w:space="0" w:color="auto"/>
                    <w:right w:val="none" w:sz="0" w:space="0" w:color="auto"/>
                  </w:divBdr>
                  <w:divsChild>
                    <w:div w:id="1902402246">
                      <w:marLeft w:val="0"/>
                      <w:marRight w:val="0"/>
                      <w:marTop w:val="0"/>
                      <w:marBottom w:val="0"/>
                      <w:divBdr>
                        <w:top w:val="none" w:sz="0" w:space="0" w:color="auto"/>
                        <w:left w:val="none" w:sz="0" w:space="0" w:color="auto"/>
                        <w:bottom w:val="none" w:sz="0" w:space="0" w:color="auto"/>
                        <w:right w:val="none" w:sz="0" w:space="0" w:color="auto"/>
                      </w:divBdr>
                    </w:div>
                  </w:divsChild>
                </w:div>
                <w:div w:id="1984038460">
                  <w:marLeft w:val="0"/>
                  <w:marRight w:val="0"/>
                  <w:marTop w:val="0"/>
                  <w:marBottom w:val="0"/>
                  <w:divBdr>
                    <w:top w:val="none" w:sz="0" w:space="0" w:color="auto"/>
                    <w:left w:val="none" w:sz="0" w:space="0" w:color="auto"/>
                    <w:bottom w:val="none" w:sz="0" w:space="0" w:color="auto"/>
                    <w:right w:val="none" w:sz="0" w:space="0" w:color="auto"/>
                  </w:divBdr>
                  <w:divsChild>
                    <w:div w:id="1795562311">
                      <w:marLeft w:val="0"/>
                      <w:marRight w:val="0"/>
                      <w:marTop w:val="0"/>
                      <w:marBottom w:val="0"/>
                      <w:divBdr>
                        <w:top w:val="none" w:sz="0" w:space="0" w:color="auto"/>
                        <w:left w:val="none" w:sz="0" w:space="0" w:color="auto"/>
                        <w:bottom w:val="none" w:sz="0" w:space="0" w:color="auto"/>
                        <w:right w:val="none" w:sz="0" w:space="0" w:color="auto"/>
                      </w:divBdr>
                    </w:div>
                  </w:divsChild>
                </w:div>
                <w:div w:id="1987128339">
                  <w:marLeft w:val="0"/>
                  <w:marRight w:val="0"/>
                  <w:marTop w:val="0"/>
                  <w:marBottom w:val="0"/>
                  <w:divBdr>
                    <w:top w:val="none" w:sz="0" w:space="0" w:color="auto"/>
                    <w:left w:val="none" w:sz="0" w:space="0" w:color="auto"/>
                    <w:bottom w:val="none" w:sz="0" w:space="0" w:color="auto"/>
                    <w:right w:val="none" w:sz="0" w:space="0" w:color="auto"/>
                  </w:divBdr>
                  <w:divsChild>
                    <w:div w:id="486550918">
                      <w:marLeft w:val="0"/>
                      <w:marRight w:val="0"/>
                      <w:marTop w:val="0"/>
                      <w:marBottom w:val="0"/>
                      <w:divBdr>
                        <w:top w:val="none" w:sz="0" w:space="0" w:color="auto"/>
                        <w:left w:val="none" w:sz="0" w:space="0" w:color="auto"/>
                        <w:bottom w:val="none" w:sz="0" w:space="0" w:color="auto"/>
                        <w:right w:val="none" w:sz="0" w:space="0" w:color="auto"/>
                      </w:divBdr>
                    </w:div>
                  </w:divsChild>
                </w:div>
                <w:div w:id="1990092816">
                  <w:marLeft w:val="0"/>
                  <w:marRight w:val="0"/>
                  <w:marTop w:val="0"/>
                  <w:marBottom w:val="0"/>
                  <w:divBdr>
                    <w:top w:val="none" w:sz="0" w:space="0" w:color="auto"/>
                    <w:left w:val="none" w:sz="0" w:space="0" w:color="auto"/>
                    <w:bottom w:val="none" w:sz="0" w:space="0" w:color="auto"/>
                    <w:right w:val="none" w:sz="0" w:space="0" w:color="auto"/>
                  </w:divBdr>
                  <w:divsChild>
                    <w:div w:id="1532650015">
                      <w:marLeft w:val="0"/>
                      <w:marRight w:val="0"/>
                      <w:marTop w:val="0"/>
                      <w:marBottom w:val="0"/>
                      <w:divBdr>
                        <w:top w:val="none" w:sz="0" w:space="0" w:color="auto"/>
                        <w:left w:val="none" w:sz="0" w:space="0" w:color="auto"/>
                        <w:bottom w:val="none" w:sz="0" w:space="0" w:color="auto"/>
                        <w:right w:val="none" w:sz="0" w:space="0" w:color="auto"/>
                      </w:divBdr>
                    </w:div>
                  </w:divsChild>
                </w:div>
                <w:div w:id="1992709568">
                  <w:marLeft w:val="0"/>
                  <w:marRight w:val="0"/>
                  <w:marTop w:val="0"/>
                  <w:marBottom w:val="0"/>
                  <w:divBdr>
                    <w:top w:val="none" w:sz="0" w:space="0" w:color="auto"/>
                    <w:left w:val="none" w:sz="0" w:space="0" w:color="auto"/>
                    <w:bottom w:val="none" w:sz="0" w:space="0" w:color="auto"/>
                    <w:right w:val="none" w:sz="0" w:space="0" w:color="auto"/>
                  </w:divBdr>
                  <w:divsChild>
                    <w:div w:id="1214148369">
                      <w:marLeft w:val="0"/>
                      <w:marRight w:val="0"/>
                      <w:marTop w:val="0"/>
                      <w:marBottom w:val="0"/>
                      <w:divBdr>
                        <w:top w:val="none" w:sz="0" w:space="0" w:color="auto"/>
                        <w:left w:val="none" w:sz="0" w:space="0" w:color="auto"/>
                        <w:bottom w:val="none" w:sz="0" w:space="0" w:color="auto"/>
                        <w:right w:val="none" w:sz="0" w:space="0" w:color="auto"/>
                      </w:divBdr>
                    </w:div>
                  </w:divsChild>
                </w:div>
                <w:div w:id="2000036425">
                  <w:marLeft w:val="0"/>
                  <w:marRight w:val="0"/>
                  <w:marTop w:val="0"/>
                  <w:marBottom w:val="0"/>
                  <w:divBdr>
                    <w:top w:val="none" w:sz="0" w:space="0" w:color="auto"/>
                    <w:left w:val="none" w:sz="0" w:space="0" w:color="auto"/>
                    <w:bottom w:val="none" w:sz="0" w:space="0" w:color="auto"/>
                    <w:right w:val="none" w:sz="0" w:space="0" w:color="auto"/>
                  </w:divBdr>
                  <w:divsChild>
                    <w:div w:id="1815679113">
                      <w:marLeft w:val="0"/>
                      <w:marRight w:val="0"/>
                      <w:marTop w:val="0"/>
                      <w:marBottom w:val="0"/>
                      <w:divBdr>
                        <w:top w:val="none" w:sz="0" w:space="0" w:color="auto"/>
                        <w:left w:val="none" w:sz="0" w:space="0" w:color="auto"/>
                        <w:bottom w:val="none" w:sz="0" w:space="0" w:color="auto"/>
                        <w:right w:val="none" w:sz="0" w:space="0" w:color="auto"/>
                      </w:divBdr>
                    </w:div>
                  </w:divsChild>
                </w:div>
                <w:div w:id="2000185084">
                  <w:marLeft w:val="0"/>
                  <w:marRight w:val="0"/>
                  <w:marTop w:val="0"/>
                  <w:marBottom w:val="0"/>
                  <w:divBdr>
                    <w:top w:val="none" w:sz="0" w:space="0" w:color="auto"/>
                    <w:left w:val="none" w:sz="0" w:space="0" w:color="auto"/>
                    <w:bottom w:val="none" w:sz="0" w:space="0" w:color="auto"/>
                    <w:right w:val="none" w:sz="0" w:space="0" w:color="auto"/>
                  </w:divBdr>
                  <w:divsChild>
                    <w:div w:id="1659504056">
                      <w:marLeft w:val="0"/>
                      <w:marRight w:val="0"/>
                      <w:marTop w:val="0"/>
                      <w:marBottom w:val="0"/>
                      <w:divBdr>
                        <w:top w:val="none" w:sz="0" w:space="0" w:color="auto"/>
                        <w:left w:val="none" w:sz="0" w:space="0" w:color="auto"/>
                        <w:bottom w:val="none" w:sz="0" w:space="0" w:color="auto"/>
                        <w:right w:val="none" w:sz="0" w:space="0" w:color="auto"/>
                      </w:divBdr>
                    </w:div>
                  </w:divsChild>
                </w:div>
                <w:div w:id="2011711030">
                  <w:marLeft w:val="0"/>
                  <w:marRight w:val="0"/>
                  <w:marTop w:val="0"/>
                  <w:marBottom w:val="0"/>
                  <w:divBdr>
                    <w:top w:val="none" w:sz="0" w:space="0" w:color="auto"/>
                    <w:left w:val="none" w:sz="0" w:space="0" w:color="auto"/>
                    <w:bottom w:val="none" w:sz="0" w:space="0" w:color="auto"/>
                    <w:right w:val="none" w:sz="0" w:space="0" w:color="auto"/>
                  </w:divBdr>
                  <w:divsChild>
                    <w:div w:id="2071995988">
                      <w:marLeft w:val="0"/>
                      <w:marRight w:val="0"/>
                      <w:marTop w:val="0"/>
                      <w:marBottom w:val="0"/>
                      <w:divBdr>
                        <w:top w:val="none" w:sz="0" w:space="0" w:color="auto"/>
                        <w:left w:val="none" w:sz="0" w:space="0" w:color="auto"/>
                        <w:bottom w:val="none" w:sz="0" w:space="0" w:color="auto"/>
                        <w:right w:val="none" w:sz="0" w:space="0" w:color="auto"/>
                      </w:divBdr>
                    </w:div>
                  </w:divsChild>
                </w:div>
                <w:div w:id="2012173433">
                  <w:marLeft w:val="0"/>
                  <w:marRight w:val="0"/>
                  <w:marTop w:val="0"/>
                  <w:marBottom w:val="0"/>
                  <w:divBdr>
                    <w:top w:val="none" w:sz="0" w:space="0" w:color="auto"/>
                    <w:left w:val="none" w:sz="0" w:space="0" w:color="auto"/>
                    <w:bottom w:val="none" w:sz="0" w:space="0" w:color="auto"/>
                    <w:right w:val="none" w:sz="0" w:space="0" w:color="auto"/>
                  </w:divBdr>
                  <w:divsChild>
                    <w:div w:id="1126242192">
                      <w:marLeft w:val="0"/>
                      <w:marRight w:val="0"/>
                      <w:marTop w:val="0"/>
                      <w:marBottom w:val="0"/>
                      <w:divBdr>
                        <w:top w:val="none" w:sz="0" w:space="0" w:color="auto"/>
                        <w:left w:val="none" w:sz="0" w:space="0" w:color="auto"/>
                        <w:bottom w:val="none" w:sz="0" w:space="0" w:color="auto"/>
                        <w:right w:val="none" w:sz="0" w:space="0" w:color="auto"/>
                      </w:divBdr>
                    </w:div>
                  </w:divsChild>
                </w:div>
                <w:div w:id="2016959464">
                  <w:marLeft w:val="0"/>
                  <w:marRight w:val="0"/>
                  <w:marTop w:val="0"/>
                  <w:marBottom w:val="0"/>
                  <w:divBdr>
                    <w:top w:val="none" w:sz="0" w:space="0" w:color="auto"/>
                    <w:left w:val="none" w:sz="0" w:space="0" w:color="auto"/>
                    <w:bottom w:val="none" w:sz="0" w:space="0" w:color="auto"/>
                    <w:right w:val="none" w:sz="0" w:space="0" w:color="auto"/>
                  </w:divBdr>
                  <w:divsChild>
                    <w:div w:id="1366442312">
                      <w:marLeft w:val="0"/>
                      <w:marRight w:val="0"/>
                      <w:marTop w:val="0"/>
                      <w:marBottom w:val="0"/>
                      <w:divBdr>
                        <w:top w:val="none" w:sz="0" w:space="0" w:color="auto"/>
                        <w:left w:val="none" w:sz="0" w:space="0" w:color="auto"/>
                        <w:bottom w:val="none" w:sz="0" w:space="0" w:color="auto"/>
                        <w:right w:val="none" w:sz="0" w:space="0" w:color="auto"/>
                      </w:divBdr>
                    </w:div>
                  </w:divsChild>
                </w:div>
                <w:div w:id="2033190873">
                  <w:marLeft w:val="0"/>
                  <w:marRight w:val="0"/>
                  <w:marTop w:val="0"/>
                  <w:marBottom w:val="0"/>
                  <w:divBdr>
                    <w:top w:val="none" w:sz="0" w:space="0" w:color="auto"/>
                    <w:left w:val="none" w:sz="0" w:space="0" w:color="auto"/>
                    <w:bottom w:val="none" w:sz="0" w:space="0" w:color="auto"/>
                    <w:right w:val="none" w:sz="0" w:space="0" w:color="auto"/>
                  </w:divBdr>
                  <w:divsChild>
                    <w:div w:id="332221612">
                      <w:marLeft w:val="0"/>
                      <w:marRight w:val="0"/>
                      <w:marTop w:val="0"/>
                      <w:marBottom w:val="0"/>
                      <w:divBdr>
                        <w:top w:val="none" w:sz="0" w:space="0" w:color="auto"/>
                        <w:left w:val="none" w:sz="0" w:space="0" w:color="auto"/>
                        <w:bottom w:val="none" w:sz="0" w:space="0" w:color="auto"/>
                        <w:right w:val="none" w:sz="0" w:space="0" w:color="auto"/>
                      </w:divBdr>
                    </w:div>
                  </w:divsChild>
                </w:div>
                <w:div w:id="2039816167">
                  <w:marLeft w:val="0"/>
                  <w:marRight w:val="0"/>
                  <w:marTop w:val="0"/>
                  <w:marBottom w:val="0"/>
                  <w:divBdr>
                    <w:top w:val="none" w:sz="0" w:space="0" w:color="auto"/>
                    <w:left w:val="none" w:sz="0" w:space="0" w:color="auto"/>
                    <w:bottom w:val="none" w:sz="0" w:space="0" w:color="auto"/>
                    <w:right w:val="none" w:sz="0" w:space="0" w:color="auto"/>
                  </w:divBdr>
                  <w:divsChild>
                    <w:div w:id="819346289">
                      <w:marLeft w:val="0"/>
                      <w:marRight w:val="0"/>
                      <w:marTop w:val="0"/>
                      <w:marBottom w:val="0"/>
                      <w:divBdr>
                        <w:top w:val="none" w:sz="0" w:space="0" w:color="auto"/>
                        <w:left w:val="none" w:sz="0" w:space="0" w:color="auto"/>
                        <w:bottom w:val="none" w:sz="0" w:space="0" w:color="auto"/>
                        <w:right w:val="none" w:sz="0" w:space="0" w:color="auto"/>
                      </w:divBdr>
                    </w:div>
                  </w:divsChild>
                </w:div>
                <w:div w:id="2069915431">
                  <w:marLeft w:val="0"/>
                  <w:marRight w:val="0"/>
                  <w:marTop w:val="0"/>
                  <w:marBottom w:val="0"/>
                  <w:divBdr>
                    <w:top w:val="none" w:sz="0" w:space="0" w:color="auto"/>
                    <w:left w:val="none" w:sz="0" w:space="0" w:color="auto"/>
                    <w:bottom w:val="none" w:sz="0" w:space="0" w:color="auto"/>
                    <w:right w:val="none" w:sz="0" w:space="0" w:color="auto"/>
                  </w:divBdr>
                  <w:divsChild>
                    <w:div w:id="527765902">
                      <w:marLeft w:val="0"/>
                      <w:marRight w:val="0"/>
                      <w:marTop w:val="0"/>
                      <w:marBottom w:val="0"/>
                      <w:divBdr>
                        <w:top w:val="none" w:sz="0" w:space="0" w:color="auto"/>
                        <w:left w:val="none" w:sz="0" w:space="0" w:color="auto"/>
                        <w:bottom w:val="none" w:sz="0" w:space="0" w:color="auto"/>
                        <w:right w:val="none" w:sz="0" w:space="0" w:color="auto"/>
                      </w:divBdr>
                    </w:div>
                  </w:divsChild>
                </w:div>
                <w:div w:id="2090348555">
                  <w:marLeft w:val="0"/>
                  <w:marRight w:val="0"/>
                  <w:marTop w:val="0"/>
                  <w:marBottom w:val="0"/>
                  <w:divBdr>
                    <w:top w:val="none" w:sz="0" w:space="0" w:color="auto"/>
                    <w:left w:val="none" w:sz="0" w:space="0" w:color="auto"/>
                    <w:bottom w:val="none" w:sz="0" w:space="0" w:color="auto"/>
                    <w:right w:val="none" w:sz="0" w:space="0" w:color="auto"/>
                  </w:divBdr>
                  <w:divsChild>
                    <w:div w:id="1440024279">
                      <w:marLeft w:val="0"/>
                      <w:marRight w:val="0"/>
                      <w:marTop w:val="0"/>
                      <w:marBottom w:val="0"/>
                      <w:divBdr>
                        <w:top w:val="none" w:sz="0" w:space="0" w:color="auto"/>
                        <w:left w:val="none" w:sz="0" w:space="0" w:color="auto"/>
                        <w:bottom w:val="none" w:sz="0" w:space="0" w:color="auto"/>
                        <w:right w:val="none" w:sz="0" w:space="0" w:color="auto"/>
                      </w:divBdr>
                    </w:div>
                  </w:divsChild>
                </w:div>
                <w:div w:id="2120681115">
                  <w:marLeft w:val="0"/>
                  <w:marRight w:val="0"/>
                  <w:marTop w:val="0"/>
                  <w:marBottom w:val="0"/>
                  <w:divBdr>
                    <w:top w:val="none" w:sz="0" w:space="0" w:color="auto"/>
                    <w:left w:val="none" w:sz="0" w:space="0" w:color="auto"/>
                    <w:bottom w:val="none" w:sz="0" w:space="0" w:color="auto"/>
                    <w:right w:val="none" w:sz="0" w:space="0" w:color="auto"/>
                  </w:divBdr>
                  <w:divsChild>
                    <w:div w:id="855656303">
                      <w:marLeft w:val="0"/>
                      <w:marRight w:val="0"/>
                      <w:marTop w:val="0"/>
                      <w:marBottom w:val="0"/>
                      <w:divBdr>
                        <w:top w:val="none" w:sz="0" w:space="0" w:color="auto"/>
                        <w:left w:val="none" w:sz="0" w:space="0" w:color="auto"/>
                        <w:bottom w:val="none" w:sz="0" w:space="0" w:color="auto"/>
                        <w:right w:val="none" w:sz="0" w:space="0" w:color="auto"/>
                      </w:divBdr>
                    </w:div>
                  </w:divsChild>
                </w:div>
                <w:div w:id="2125541363">
                  <w:marLeft w:val="0"/>
                  <w:marRight w:val="0"/>
                  <w:marTop w:val="0"/>
                  <w:marBottom w:val="0"/>
                  <w:divBdr>
                    <w:top w:val="none" w:sz="0" w:space="0" w:color="auto"/>
                    <w:left w:val="none" w:sz="0" w:space="0" w:color="auto"/>
                    <w:bottom w:val="none" w:sz="0" w:space="0" w:color="auto"/>
                    <w:right w:val="none" w:sz="0" w:space="0" w:color="auto"/>
                  </w:divBdr>
                  <w:divsChild>
                    <w:div w:id="724529814">
                      <w:marLeft w:val="0"/>
                      <w:marRight w:val="0"/>
                      <w:marTop w:val="0"/>
                      <w:marBottom w:val="0"/>
                      <w:divBdr>
                        <w:top w:val="none" w:sz="0" w:space="0" w:color="auto"/>
                        <w:left w:val="none" w:sz="0" w:space="0" w:color="auto"/>
                        <w:bottom w:val="none" w:sz="0" w:space="0" w:color="auto"/>
                        <w:right w:val="none" w:sz="0" w:space="0" w:color="auto"/>
                      </w:divBdr>
                    </w:div>
                  </w:divsChild>
                </w:div>
                <w:div w:id="2143764161">
                  <w:marLeft w:val="0"/>
                  <w:marRight w:val="0"/>
                  <w:marTop w:val="0"/>
                  <w:marBottom w:val="0"/>
                  <w:divBdr>
                    <w:top w:val="none" w:sz="0" w:space="0" w:color="auto"/>
                    <w:left w:val="none" w:sz="0" w:space="0" w:color="auto"/>
                    <w:bottom w:val="none" w:sz="0" w:space="0" w:color="auto"/>
                    <w:right w:val="none" w:sz="0" w:space="0" w:color="auto"/>
                  </w:divBdr>
                  <w:divsChild>
                    <w:div w:id="156436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322585932">
      <w:bodyDiv w:val="1"/>
      <w:marLeft w:val="0"/>
      <w:marRight w:val="0"/>
      <w:marTop w:val="0"/>
      <w:marBottom w:val="0"/>
      <w:divBdr>
        <w:top w:val="none" w:sz="0" w:space="0" w:color="auto"/>
        <w:left w:val="none" w:sz="0" w:space="0" w:color="auto"/>
        <w:bottom w:val="none" w:sz="0" w:space="0" w:color="auto"/>
        <w:right w:val="none" w:sz="0" w:space="0" w:color="auto"/>
      </w:divBdr>
      <w:divsChild>
        <w:div w:id="7997545">
          <w:marLeft w:val="0"/>
          <w:marRight w:val="0"/>
          <w:marTop w:val="0"/>
          <w:marBottom w:val="0"/>
          <w:divBdr>
            <w:top w:val="none" w:sz="0" w:space="0" w:color="auto"/>
            <w:left w:val="none" w:sz="0" w:space="0" w:color="auto"/>
            <w:bottom w:val="none" w:sz="0" w:space="0" w:color="auto"/>
            <w:right w:val="none" w:sz="0" w:space="0" w:color="auto"/>
          </w:divBdr>
        </w:div>
        <w:div w:id="204873090">
          <w:marLeft w:val="0"/>
          <w:marRight w:val="0"/>
          <w:marTop w:val="0"/>
          <w:marBottom w:val="0"/>
          <w:divBdr>
            <w:top w:val="none" w:sz="0" w:space="0" w:color="auto"/>
            <w:left w:val="none" w:sz="0" w:space="0" w:color="auto"/>
            <w:bottom w:val="none" w:sz="0" w:space="0" w:color="auto"/>
            <w:right w:val="none" w:sz="0" w:space="0" w:color="auto"/>
          </w:divBdr>
        </w:div>
        <w:div w:id="299195756">
          <w:marLeft w:val="0"/>
          <w:marRight w:val="0"/>
          <w:marTop w:val="0"/>
          <w:marBottom w:val="0"/>
          <w:divBdr>
            <w:top w:val="none" w:sz="0" w:space="0" w:color="auto"/>
            <w:left w:val="none" w:sz="0" w:space="0" w:color="auto"/>
            <w:bottom w:val="none" w:sz="0" w:space="0" w:color="auto"/>
            <w:right w:val="none" w:sz="0" w:space="0" w:color="auto"/>
          </w:divBdr>
        </w:div>
        <w:div w:id="331761620">
          <w:marLeft w:val="0"/>
          <w:marRight w:val="0"/>
          <w:marTop w:val="0"/>
          <w:marBottom w:val="0"/>
          <w:divBdr>
            <w:top w:val="none" w:sz="0" w:space="0" w:color="auto"/>
            <w:left w:val="none" w:sz="0" w:space="0" w:color="auto"/>
            <w:bottom w:val="none" w:sz="0" w:space="0" w:color="auto"/>
            <w:right w:val="none" w:sz="0" w:space="0" w:color="auto"/>
          </w:divBdr>
        </w:div>
        <w:div w:id="381832720">
          <w:marLeft w:val="0"/>
          <w:marRight w:val="0"/>
          <w:marTop w:val="0"/>
          <w:marBottom w:val="0"/>
          <w:divBdr>
            <w:top w:val="none" w:sz="0" w:space="0" w:color="auto"/>
            <w:left w:val="none" w:sz="0" w:space="0" w:color="auto"/>
            <w:bottom w:val="none" w:sz="0" w:space="0" w:color="auto"/>
            <w:right w:val="none" w:sz="0" w:space="0" w:color="auto"/>
          </w:divBdr>
        </w:div>
        <w:div w:id="598215854">
          <w:marLeft w:val="0"/>
          <w:marRight w:val="0"/>
          <w:marTop w:val="0"/>
          <w:marBottom w:val="0"/>
          <w:divBdr>
            <w:top w:val="none" w:sz="0" w:space="0" w:color="auto"/>
            <w:left w:val="none" w:sz="0" w:space="0" w:color="auto"/>
            <w:bottom w:val="none" w:sz="0" w:space="0" w:color="auto"/>
            <w:right w:val="none" w:sz="0" w:space="0" w:color="auto"/>
          </w:divBdr>
        </w:div>
        <w:div w:id="790438667">
          <w:marLeft w:val="0"/>
          <w:marRight w:val="0"/>
          <w:marTop w:val="0"/>
          <w:marBottom w:val="0"/>
          <w:divBdr>
            <w:top w:val="none" w:sz="0" w:space="0" w:color="auto"/>
            <w:left w:val="none" w:sz="0" w:space="0" w:color="auto"/>
            <w:bottom w:val="none" w:sz="0" w:space="0" w:color="auto"/>
            <w:right w:val="none" w:sz="0" w:space="0" w:color="auto"/>
          </w:divBdr>
        </w:div>
        <w:div w:id="1259867064">
          <w:marLeft w:val="0"/>
          <w:marRight w:val="0"/>
          <w:marTop w:val="0"/>
          <w:marBottom w:val="0"/>
          <w:divBdr>
            <w:top w:val="none" w:sz="0" w:space="0" w:color="auto"/>
            <w:left w:val="none" w:sz="0" w:space="0" w:color="auto"/>
            <w:bottom w:val="none" w:sz="0" w:space="0" w:color="auto"/>
            <w:right w:val="none" w:sz="0" w:space="0" w:color="auto"/>
          </w:divBdr>
        </w:div>
        <w:div w:id="1262761229">
          <w:marLeft w:val="0"/>
          <w:marRight w:val="0"/>
          <w:marTop w:val="0"/>
          <w:marBottom w:val="0"/>
          <w:divBdr>
            <w:top w:val="none" w:sz="0" w:space="0" w:color="auto"/>
            <w:left w:val="none" w:sz="0" w:space="0" w:color="auto"/>
            <w:bottom w:val="none" w:sz="0" w:space="0" w:color="auto"/>
            <w:right w:val="none" w:sz="0" w:space="0" w:color="auto"/>
          </w:divBdr>
        </w:div>
        <w:div w:id="1720010482">
          <w:marLeft w:val="0"/>
          <w:marRight w:val="0"/>
          <w:marTop w:val="0"/>
          <w:marBottom w:val="0"/>
          <w:divBdr>
            <w:top w:val="none" w:sz="0" w:space="0" w:color="auto"/>
            <w:left w:val="none" w:sz="0" w:space="0" w:color="auto"/>
            <w:bottom w:val="none" w:sz="0" w:space="0" w:color="auto"/>
            <w:right w:val="none" w:sz="0" w:space="0" w:color="auto"/>
          </w:divBdr>
        </w:div>
        <w:div w:id="1886987357">
          <w:marLeft w:val="0"/>
          <w:marRight w:val="0"/>
          <w:marTop w:val="0"/>
          <w:marBottom w:val="0"/>
          <w:divBdr>
            <w:top w:val="none" w:sz="0" w:space="0" w:color="auto"/>
            <w:left w:val="none" w:sz="0" w:space="0" w:color="auto"/>
            <w:bottom w:val="none" w:sz="0" w:space="0" w:color="auto"/>
            <w:right w:val="none" w:sz="0" w:space="0" w:color="auto"/>
          </w:divBdr>
        </w:div>
        <w:div w:id="2002002123">
          <w:marLeft w:val="0"/>
          <w:marRight w:val="0"/>
          <w:marTop w:val="0"/>
          <w:marBottom w:val="0"/>
          <w:divBdr>
            <w:top w:val="none" w:sz="0" w:space="0" w:color="auto"/>
            <w:left w:val="none" w:sz="0" w:space="0" w:color="auto"/>
            <w:bottom w:val="none" w:sz="0" w:space="0" w:color="auto"/>
            <w:right w:val="none" w:sz="0" w:space="0" w:color="auto"/>
          </w:divBdr>
        </w:div>
        <w:div w:id="2142920404">
          <w:marLeft w:val="0"/>
          <w:marRight w:val="0"/>
          <w:marTop w:val="0"/>
          <w:marBottom w:val="0"/>
          <w:divBdr>
            <w:top w:val="none" w:sz="0" w:space="0" w:color="auto"/>
            <w:left w:val="none" w:sz="0" w:space="0" w:color="auto"/>
            <w:bottom w:val="none" w:sz="0" w:space="0" w:color="auto"/>
            <w:right w:val="none" w:sz="0" w:space="0" w:color="auto"/>
          </w:divBdr>
        </w:div>
      </w:divsChild>
    </w:div>
    <w:div w:id="576593059">
      <w:bodyDiv w:val="1"/>
      <w:marLeft w:val="0"/>
      <w:marRight w:val="0"/>
      <w:marTop w:val="0"/>
      <w:marBottom w:val="0"/>
      <w:divBdr>
        <w:top w:val="none" w:sz="0" w:space="0" w:color="auto"/>
        <w:left w:val="none" w:sz="0" w:space="0" w:color="auto"/>
        <w:bottom w:val="none" w:sz="0" w:space="0" w:color="auto"/>
        <w:right w:val="none" w:sz="0" w:space="0" w:color="auto"/>
      </w:divBdr>
      <w:divsChild>
        <w:div w:id="577204867">
          <w:marLeft w:val="0"/>
          <w:marRight w:val="0"/>
          <w:marTop w:val="0"/>
          <w:marBottom w:val="0"/>
          <w:divBdr>
            <w:top w:val="none" w:sz="0" w:space="0" w:color="auto"/>
            <w:left w:val="none" w:sz="0" w:space="0" w:color="auto"/>
            <w:bottom w:val="none" w:sz="0" w:space="0" w:color="auto"/>
            <w:right w:val="none" w:sz="0" w:space="0" w:color="auto"/>
          </w:divBdr>
        </w:div>
        <w:div w:id="1246526086">
          <w:marLeft w:val="0"/>
          <w:marRight w:val="0"/>
          <w:marTop w:val="0"/>
          <w:marBottom w:val="0"/>
          <w:divBdr>
            <w:top w:val="none" w:sz="0" w:space="0" w:color="auto"/>
            <w:left w:val="none" w:sz="0" w:space="0" w:color="auto"/>
            <w:bottom w:val="none" w:sz="0" w:space="0" w:color="auto"/>
            <w:right w:val="none" w:sz="0" w:space="0" w:color="auto"/>
          </w:divBdr>
        </w:div>
        <w:div w:id="1250892340">
          <w:marLeft w:val="0"/>
          <w:marRight w:val="0"/>
          <w:marTop w:val="0"/>
          <w:marBottom w:val="0"/>
          <w:divBdr>
            <w:top w:val="none" w:sz="0" w:space="0" w:color="auto"/>
            <w:left w:val="none" w:sz="0" w:space="0" w:color="auto"/>
            <w:bottom w:val="none" w:sz="0" w:space="0" w:color="auto"/>
            <w:right w:val="none" w:sz="0" w:space="0" w:color="auto"/>
          </w:divBdr>
          <w:divsChild>
            <w:div w:id="709305652">
              <w:marLeft w:val="-75"/>
              <w:marRight w:val="0"/>
              <w:marTop w:val="30"/>
              <w:marBottom w:val="30"/>
              <w:divBdr>
                <w:top w:val="none" w:sz="0" w:space="0" w:color="auto"/>
                <w:left w:val="none" w:sz="0" w:space="0" w:color="auto"/>
                <w:bottom w:val="none" w:sz="0" w:space="0" w:color="auto"/>
                <w:right w:val="none" w:sz="0" w:space="0" w:color="auto"/>
              </w:divBdr>
              <w:divsChild>
                <w:div w:id="12653479">
                  <w:marLeft w:val="0"/>
                  <w:marRight w:val="0"/>
                  <w:marTop w:val="0"/>
                  <w:marBottom w:val="0"/>
                  <w:divBdr>
                    <w:top w:val="none" w:sz="0" w:space="0" w:color="auto"/>
                    <w:left w:val="none" w:sz="0" w:space="0" w:color="auto"/>
                    <w:bottom w:val="none" w:sz="0" w:space="0" w:color="auto"/>
                    <w:right w:val="none" w:sz="0" w:space="0" w:color="auto"/>
                  </w:divBdr>
                  <w:divsChild>
                    <w:div w:id="2062050344">
                      <w:marLeft w:val="0"/>
                      <w:marRight w:val="0"/>
                      <w:marTop w:val="0"/>
                      <w:marBottom w:val="0"/>
                      <w:divBdr>
                        <w:top w:val="none" w:sz="0" w:space="0" w:color="auto"/>
                        <w:left w:val="none" w:sz="0" w:space="0" w:color="auto"/>
                        <w:bottom w:val="none" w:sz="0" w:space="0" w:color="auto"/>
                        <w:right w:val="none" w:sz="0" w:space="0" w:color="auto"/>
                      </w:divBdr>
                    </w:div>
                  </w:divsChild>
                </w:div>
                <w:div w:id="23019667">
                  <w:marLeft w:val="0"/>
                  <w:marRight w:val="0"/>
                  <w:marTop w:val="0"/>
                  <w:marBottom w:val="0"/>
                  <w:divBdr>
                    <w:top w:val="none" w:sz="0" w:space="0" w:color="auto"/>
                    <w:left w:val="none" w:sz="0" w:space="0" w:color="auto"/>
                    <w:bottom w:val="none" w:sz="0" w:space="0" w:color="auto"/>
                    <w:right w:val="none" w:sz="0" w:space="0" w:color="auto"/>
                  </w:divBdr>
                  <w:divsChild>
                    <w:div w:id="913198355">
                      <w:marLeft w:val="0"/>
                      <w:marRight w:val="0"/>
                      <w:marTop w:val="0"/>
                      <w:marBottom w:val="0"/>
                      <w:divBdr>
                        <w:top w:val="none" w:sz="0" w:space="0" w:color="auto"/>
                        <w:left w:val="none" w:sz="0" w:space="0" w:color="auto"/>
                        <w:bottom w:val="none" w:sz="0" w:space="0" w:color="auto"/>
                        <w:right w:val="none" w:sz="0" w:space="0" w:color="auto"/>
                      </w:divBdr>
                    </w:div>
                  </w:divsChild>
                </w:div>
                <w:div w:id="31612066">
                  <w:marLeft w:val="0"/>
                  <w:marRight w:val="0"/>
                  <w:marTop w:val="0"/>
                  <w:marBottom w:val="0"/>
                  <w:divBdr>
                    <w:top w:val="none" w:sz="0" w:space="0" w:color="auto"/>
                    <w:left w:val="none" w:sz="0" w:space="0" w:color="auto"/>
                    <w:bottom w:val="none" w:sz="0" w:space="0" w:color="auto"/>
                    <w:right w:val="none" w:sz="0" w:space="0" w:color="auto"/>
                  </w:divBdr>
                  <w:divsChild>
                    <w:div w:id="274095164">
                      <w:marLeft w:val="0"/>
                      <w:marRight w:val="0"/>
                      <w:marTop w:val="0"/>
                      <w:marBottom w:val="0"/>
                      <w:divBdr>
                        <w:top w:val="none" w:sz="0" w:space="0" w:color="auto"/>
                        <w:left w:val="none" w:sz="0" w:space="0" w:color="auto"/>
                        <w:bottom w:val="none" w:sz="0" w:space="0" w:color="auto"/>
                        <w:right w:val="none" w:sz="0" w:space="0" w:color="auto"/>
                      </w:divBdr>
                    </w:div>
                  </w:divsChild>
                </w:div>
                <w:div w:id="37710933">
                  <w:marLeft w:val="0"/>
                  <w:marRight w:val="0"/>
                  <w:marTop w:val="0"/>
                  <w:marBottom w:val="0"/>
                  <w:divBdr>
                    <w:top w:val="none" w:sz="0" w:space="0" w:color="auto"/>
                    <w:left w:val="none" w:sz="0" w:space="0" w:color="auto"/>
                    <w:bottom w:val="none" w:sz="0" w:space="0" w:color="auto"/>
                    <w:right w:val="none" w:sz="0" w:space="0" w:color="auto"/>
                  </w:divBdr>
                  <w:divsChild>
                    <w:div w:id="1612203933">
                      <w:marLeft w:val="0"/>
                      <w:marRight w:val="0"/>
                      <w:marTop w:val="0"/>
                      <w:marBottom w:val="0"/>
                      <w:divBdr>
                        <w:top w:val="none" w:sz="0" w:space="0" w:color="auto"/>
                        <w:left w:val="none" w:sz="0" w:space="0" w:color="auto"/>
                        <w:bottom w:val="none" w:sz="0" w:space="0" w:color="auto"/>
                        <w:right w:val="none" w:sz="0" w:space="0" w:color="auto"/>
                      </w:divBdr>
                    </w:div>
                  </w:divsChild>
                </w:div>
                <w:div w:id="46035856">
                  <w:marLeft w:val="0"/>
                  <w:marRight w:val="0"/>
                  <w:marTop w:val="0"/>
                  <w:marBottom w:val="0"/>
                  <w:divBdr>
                    <w:top w:val="none" w:sz="0" w:space="0" w:color="auto"/>
                    <w:left w:val="none" w:sz="0" w:space="0" w:color="auto"/>
                    <w:bottom w:val="none" w:sz="0" w:space="0" w:color="auto"/>
                    <w:right w:val="none" w:sz="0" w:space="0" w:color="auto"/>
                  </w:divBdr>
                  <w:divsChild>
                    <w:div w:id="1487471166">
                      <w:marLeft w:val="0"/>
                      <w:marRight w:val="0"/>
                      <w:marTop w:val="0"/>
                      <w:marBottom w:val="0"/>
                      <w:divBdr>
                        <w:top w:val="none" w:sz="0" w:space="0" w:color="auto"/>
                        <w:left w:val="none" w:sz="0" w:space="0" w:color="auto"/>
                        <w:bottom w:val="none" w:sz="0" w:space="0" w:color="auto"/>
                        <w:right w:val="none" w:sz="0" w:space="0" w:color="auto"/>
                      </w:divBdr>
                    </w:div>
                  </w:divsChild>
                </w:div>
                <w:div w:id="50033743">
                  <w:marLeft w:val="0"/>
                  <w:marRight w:val="0"/>
                  <w:marTop w:val="0"/>
                  <w:marBottom w:val="0"/>
                  <w:divBdr>
                    <w:top w:val="none" w:sz="0" w:space="0" w:color="auto"/>
                    <w:left w:val="none" w:sz="0" w:space="0" w:color="auto"/>
                    <w:bottom w:val="none" w:sz="0" w:space="0" w:color="auto"/>
                    <w:right w:val="none" w:sz="0" w:space="0" w:color="auto"/>
                  </w:divBdr>
                  <w:divsChild>
                    <w:div w:id="616567873">
                      <w:marLeft w:val="0"/>
                      <w:marRight w:val="0"/>
                      <w:marTop w:val="0"/>
                      <w:marBottom w:val="0"/>
                      <w:divBdr>
                        <w:top w:val="none" w:sz="0" w:space="0" w:color="auto"/>
                        <w:left w:val="none" w:sz="0" w:space="0" w:color="auto"/>
                        <w:bottom w:val="none" w:sz="0" w:space="0" w:color="auto"/>
                        <w:right w:val="none" w:sz="0" w:space="0" w:color="auto"/>
                      </w:divBdr>
                    </w:div>
                  </w:divsChild>
                </w:div>
                <w:div w:id="65225045">
                  <w:marLeft w:val="0"/>
                  <w:marRight w:val="0"/>
                  <w:marTop w:val="0"/>
                  <w:marBottom w:val="0"/>
                  <w:divBdr>
                    <w:top w:val="none" w:sz="0" w:space="0" w:color="auto"/>
                    <w:left w:val="none" w:sz="0" w:space="0" w:color="auto"/>
                    <w:bottom w:val="none" w:sz="0" w:space="0" w:color="auto"/>
                    <w:right w:val="none" w:sz="0" w:space="0" w:color="auto"/>
                  </w:divBdr>
                  <w:divsChild>
                    <w:div w:id="142311059">
                      <w:marLeft w:val="0"/>
                      <w:marRight w:val="0"/>
                      <w:marTop w:val="0"/>
                      <w:marBottom w:val="0"/>
                      <w:divBdr>
                        <w:top w:val="none" w:sz="0" w:space="0" w:color="auto"/>
                        <w:left w:val="none" w:sz="0" w:space="0" w:color="auto"/>
                        <w:bottom w:val="none" w:sz="0" w:space="0" w:color="auto"/>
                        <w:right w:val="none" w:sz="0" w:space="0" w:color="auto"/>
                      </w:divBdr>
                    </w:div>
                  </w:divsChild>
                </w:div>
                <w:div w:id="84155913">
                  <w:marLeft w:val="0"/>
                  <w:marRight w:val="0"/>
                  <w:marTop w:val="0"/>
                  <w:marBottom w:val="0"/>
                  <w:divBdr>
                    <w:top w:val="none" w:sz="0" w:space="0" w:color="auto"/>
                    <w:left w:val="none" w:sz="0" w:space="0" w:color="auto"/>
                    <w:bottom w:val="none" w:sz="0" w:space="0" w:color="auto"/>
                    <w:right w:val="none" w:sz="0" w:space="0" w:color="auto"/>
                  </w:divBdr>
                  <w:divsChild>
                    <w:div w:id="1739089830">
                      <w:marLeft w:val="0"/>
                      <w:marRight w:val="0"/>
                      <w:marTop w:val="0"/>
                      <w:marBottom w:val="0"/>
                      <w:divBdr>
                        <w:top w:val="none" w:sz="0" w:space="0" w:color="auto"/>
                        <w:left w:val="none" w:sz="0" w:space="0" w:color="auto"/>
                        <w:bottom w:val="none" w:sz="0" w:space="0" w:color="auto"/>
                        <w:right w:val="none" w:sz="0" w:space="0" w:color="auto"/>
                      </w:divBdr>
                    </w:div>
                  </w:divsChild>
                </w:div>
                <w:div w:id="86120192">
                  <w:marLeft w:val="0"/>
                  <w:marRight w:val="0"/>
                  <w:marTop w:val="0"/>
                  <w:marBottom w:val="0"/>
                  <w:divBdr>
                    <w:top w:val="none" w:sz="0" w:space="0" w:color="auto"/>
                    <w:left w:val="none" w:sz="0" w:space="0" w:color="auto"/>
                    <w:bottom w:val="none" w:sz="0" w:space="0" w:color="auto"/>
                    <w:right w:val="none" w:sz="0" w:space="0" w:color="auto"/>
                  </w:divBdr>
                  <w:divsChild>
                    <w:div w:id="1472557404">
                      <w:marLeft w:val="0"/>
                      <w:marRight w:val="0"/>
                      <w:marTop w:val="0"/>
                      <w:marBottom w:val="0"/>
                      <w:divBdr>
                        <w:top w:val="none" w:sz="0" w:space="0" w:color="auto"/>
                        <w:left w:val="none" w:sz="0" w:space="0" w:color="auto"/>
                        <w:bottom w:val="none" w:sz="0" w:space="0" w:color="auto"/>
                        <w:right w:val="none" w:sz="0" w:space="0" w:color="auto"/>
                      </w:divBdr>
                    </w:div>
                  </w:divsChild>
                </w:div>
                <w:div w:id="111629899">
                  <w:marLeft w:val="0"/>
                  <w:marRight w:val="0"/>
                  <w:marTop w:val="0"/>
                  <w:marBottom w:val="0"/>
                  <w:divBdr>
                    <w:top w:val="none" w:sz="0" w:space="0" w:color="auto"/>
                    <w:left w:val="none" w:sz="0" w:space="0" w:color="auto"/>
                    <w:bottom w:val="none" w:sz="0" w:space="0" w:color="auto"/>
                    <w:right w:val="none" w:sz="0" w:space="0" w:color="auto"/>
                  </w:divBdr>
                  <w:divsChild>
                    <w:div w:id="1179124986">
                      <w:marLeft w:val="0"/>
                      <w:marRight w:val="0"/>
                      <w:marTop w:val="0"/>
                      <w:marBottom w:val="0"/>
                      <w:divBdr>
                        <w:top w:val="none" w:sz="0" w:space="0" w:color="auto"/>
                        <w:left w:val="none" w:sz="0" w:space="0" w:color="auto"/>
                        <w:bottom w:val="none" w:sz="0" w:space="0" w:color="auto"/>
                        <w:right w:val="none" w:sz="0" w:space="0" w:color="auto"/>
                      </w:divBdr>
                    </w:div>
                  </w:divsChild>
                </w:div>
                <w:div w:id="120658958">
                  <w:marLeft w:val="0"/>
                  <w:marRight w:val="0"/>
                  <w:marTop w:val="0"/>
                  <w:marBottom w:val="0"/>
                  <w:divBdr>
                    <w:top w:val="none" w:sz="0" w:space="0" w:color="auto"/>
                    <w:left w:val="none" w:sz="0" w:space="0" w:color="auto"/>
                    <w:bottom w:val="none" w:sz="0" w:space="0" w:color="auto"/>
                    <w:right w:val="none" w:sz="0" w:space="0" w:color="auto"/>
                  </w:divBdr>
                  <w:divsChild>
                    <w:div w:id="1714840713">
                      <w:marLeft w:val="0"/>
                      <w:marRight w:val="0"/>
                      <w:marTop w:val="0"/>
                      <w:marBottom w:val="0"/>
                      <w:divBdr>
                        <w:top w:val="none" w:sz="0" w:space="0" w:color="auto"/>
                        <w:left w:val="none" w:sz="0" w:space="0" w:color="auto"/>
                        <w:bottom w:val="none" w:sz="0" w:space="0" w:color="auto"/>
                        <w:right w:val="none" w:sz="0" w:space="0" w:color="auto"/>
                      </w:divBdr>
                    </w:div>
                  </w:divsChild>
                </w:div>
                <w:div w:id="129829067">
                  <w:marLeft w:val="0"/>
                  <w:marRight w:val="0"/>
                  <w:marTop w:val="0"/>
                  <w:marBottom w:val="0"/>
                  <w:divBdr>
                    <w:top w:val="none" w:sz="0" w:space="0" w:color="auto"/>
                    <w:left w:val="none" w:sz="0" w:space="0" w:color="auto"/>
                    <w:bottom w:val="none" w:sz="0" w:space="0" w:color="auto"/>
                    <w:right w:val="none" w:sz="0" w:space="0" w:color="auto"/>
                  </w:divBdr>
                  <w:divsChild>
                    <w:div w:id="861211992">
                      <w:marLeft w:val="0"/>
                      <w:marRight w:val="0"/>
                      <w:marTop w:val="0"/>
                      <w:marBottom w:val="0"/>
                      <w:divBdr>
                        <w:top w:val="none" w:sz="0" w:space="0" w:color="auto"/>
                        <w:left w:val="none" w:sz="0" w:space="0" w:color="auto"/>
                        <w:bottom w:val="none" w:sz="0" w:space="0" w:color="auto"/>
                        <w:right w:val="none" w:sz="0" w:space="0" w:color="auto"/>
                      </w:divBdr>
                    </w:div>
                  </w:divsChild>
                </w:div>
                <w:div w:id="139808107">
                  <w:marLeft w:val="0"/>
                  <w:marRight w:val="0"/>
                  <w:marTop w:val="0"/>
                  <w:marBottom w:val="0"/>
                  <w:divBdr>
                    <w:top w:val="none" w:sz="0" w:space="0" w:color="auto"/>
                    <w:left w:val="none" w:sz="0" w:space="0" w:color="auto"/>
                    <w:bottom w:val="none" w:sz="0" w:space="0" w:color="auto"/>
                    <w:right w:val="none" w:sz="0" w:space="0" w:color="auto"/>
                  </w:divBdr>
                  <w:divsChild>
                    <w:div w:id="1746952956">
                      <w:marLeft w:val="0"/>
                      <w:marRight w:val="0"/>
                      <w:marTop w:val="0"/>
                      <w:marBottom w:val="0"/>
                      <w:divBdr>
                        <w:top w:val="none" w:sz="0" w:space="0" w:color="auto"/>
                        <w:left w:val="none" w:sz="0" w:space="0" w:color="auto"/>
                        <w:bottom w:val="none" w:sz="0" w:space="0" w:color="auto"/>
                        <w:right w:val="none" w:sz="0" w:space="0" w:color="auto"/>
                      </w:divBdr>
                    </w:div>
                  </w:divsChild>
                </w:div>
                <w:div w:id="141050020">
                  <w:marLeft w:val="0"/>
                  <w:marRight w:val="0"/>
                  <w:marTop w:val="0"/>
                  <w:marBottom w:val="0"/>
                  <w:divBdr>
                    <w:top w:val="none" w:sz="0" w:space="0" w:color="auto"/>
                    <w:left w:val="none" w:sz="0" w:space="0" w:color="auto"/>
                    <w:bottom w:val="none" w:sz="0" w:space="0" w:color="auto"/>
                    <w:right w:val="none" w:sz="0" w:space="0" w:color="auto"/>
                  </w:divBdr>
                  <w:divsChild>
                    <w:div w:id="1437865435">
                      <w:marLeft w:val="0"/>
                      <w:marRight w:val="0"/>
                      <w:marTop w:val="0"/>
                      <w:marBottom w:val="0"/>
                      <w:divBdr>
                        <w:top w:val="none" w:sz="0" w:space="0" w:color="auto"/>
                        <w:left w:val="none" w:sz="0" w:space="0" w:color="auto"/>
                        <w:bottom w:val="none" w:sz="0" w:space="0" w:color="auto"/>
                        <w:right w:val="none" w:sz="0" w:space="0" w:color="auto"/>
                      </w:divBdr>
                    </w:div>
                  </w:divsChild>
                </w:div>
                <w:div w:id="142746603">
                  <w:marLeft w:val="0"/>
                  <w:marRight w:val="0"/>
                  <w:marTop w:val="0"/>
                  <w:marBottom w:val="0"/>
                  <w:divBdr>
                    <w:top w:val="none" w:sz="0" w:space="0" w:color="auto"/>
                    <w:left w:val="none" w:sz="0" w:space="0" w:color="auto"/>
                    <w:bottom w:val="none" w:sz="0" w:space="0" w:color="auto"/>
                    <w:right w:val="none" w:sz="0" w:space="0" w:color="auto"/>
                  </w:divBdr>
                  <w:divsChild>
                    <w:div w:id="898632395">
                      <w:marLeft w:val="0"/>
                      <w:marRight w:val="0"/>
                      <w:marTop w:val="0"/>
                      <w:marBottom w:val="0"/>
                      <w:divBdr>
                        <w:top w:val="none" w:sz="0" w:space="0" w:color="auto"/>
                        <w:left w:val="none" w:sz="0" w:space="0" w:color="auto"/>
                        <w:bottom w:val="none" w:sz="0" w:space="0" w:color="auto"/>
                        <w:right w:val="none" w:sz="0" w:space="0" w:color="auto"/>
                      </w:divBdr>
                    </w:div>
                  </w:divsChild>
                </w:div>
                <w:div w:id="174853132">
                  <w:marLeft w:val="0"/>
                  <w:marRight w:val="0"/>
                  <w:marTop w:val="0"/>
                  <w:marBottom w:val="0"/>
                  <w:divBdr>
                    <w:top w:val="none" w:sz="0" w:space="0" w:color="auto"/>
                    <w:left w:val="none" w:sz="0" w:space="0" w:color="auto"/>
                    <w:bottom w:val="none" w:sz="0" w:space="0" w:color="auto"/>
                    <w:right w:val="none" w:sz="0" w:space="0" w:color="auto"/>
                  </w:divBdr>
                  <w:divsChild>
                    <w:div w:id="150029557">
                      <w:marLeft w:val="0"/>
                      <w:marRight w:val="0"/>
                      <w:marTop w:val="0"/>
                      <w:marBottom w:val="0"/>
                      <w:divBdr>
                        <w:top w:val="none" w:sz="0" w:space="0" w:color="auto"/>
                        <w:left w:val="none" w:sz="0" w:space="0" w:color="auto"/>
                        <w:bottom w:val="none" w:sz="0" w:space="0" w:color="auto"/>
                        <w:right w:val="none" w:sz="0" w:space="0" w:color="auto"/>
                      </w:divBdr>
                    </w:div>
                  </w:divsChild>
                </w:div>
                <w:div w:id="178157519">
                  <w:marLeft w:val="0"/>
                  <w:marRight w:val="0"/>
                  <w:marTop w:val="0"/>
                  <w:marBottom w:val="0"/>
                  <w:divBdr>
                    <w:top w:val="none" w:sz="0" w:space="0" w:color="auto"/>
                    <w:left w:val="none" w:sz="0" w:space="0" w:color="auto"/>
                    <w:bottom w:val="none" w:sz="0" w:space="0" w:color="auto"/>
                    <w:right w:val="none" w:sz="0" w:space="0" w:color="auto"/>
                  </w:divBdr>
                  <w:divsChild>
                    <w:div w:id="1324771212">
                      <w:marLeft w:val="0"/>
                      <w:marRight w:val="0"/>
                      <w:marTop w:val="0"/>
                      <w:marBottom w:val="0"/>
                      <w:divBdr>
                        <w:top w:val="none" w:sz="0" w:space="0" w:color="auto"/>
                        <w:left w:val="none" w:sz="0" w:space="0" w:color="auto"/>
                        <w:bottom w:val="none" w:sz="0" w:space="0" w:color="auto"/>
                        <w:right w:val="none" w:sz="0" w:space="0" w:color="auto"/>
                      </w:divBdr>
                    </w:div>
                  </w:divsChild>
                </w:div>
                <w:div w:id="181748755">
                  <w:marLeft w:val="0"/>
                  <w:marRight w:val="0"/>
                  <w:marTop w:val="0"/>
                  <w:marBottom w:val="0"/>
                  <w:divBdr>
                    <w:top w:val="none" w:sz="0" w:space="0" w:color="auto"/>
                    <w:left w:val="none" w:sz="0" w:space="0" w:color="auto"/>
                    <w:bottom w:val="none" w:sz="0" w:space="0" w:color="auto"/>
                    <w:right w:val="none" w:sz="0" w:space="0" w:color="auto"/>
                  </w:divBdr>
                  <w:divsChild>
                    <w:div w:id="216279360">
                      <w:marLeft w:val="0"/>
                      <w:marRight w:val="0"/>
                      <w:marTop w:val="0"/>
                      <w:marBottom w:val="0"/>
                      <w:divBdr>
                        <w:top w:val="none" w:sz="0" w:space="0" w:color="auto"/>
                        <w:left w:val="none" w:sz="0" w:space="0" w:color="auto"/>
                        <w:bottom w:val="none" w:sz="0" w:space="0" w:color="auto"/>
                        <w:right w:val="none" w:sz="0" w:space="0" w:color="auto"/>
                      </w:divBdr>
                    </w:div>
                  </w:divsChild>
                </w:div>
                <w:div w:id="198400419">
                  <w:marLeft w:val="0"/>
                  <w:marRight w:val="0"/>
                  <w:marTop w:val="0"/>
                  <w:marBottom w:val="0"/>
                  <w:divBdr>
                    <w:top w:val="none" w:sz="0" w:space="0" w:color="auto"/>
                    <w:left w:val="none" w:sz="0" w:space="0" w:color="auto"/>
                    <w:bottom w:val="none" w:sz="0" w:space="0" w:color="auto"/>
                    <w:right w:val="none" w:sz="0" w:space="0" w:color="auto"/>
                  </w:divBdr>
                  <w:divsChild>
                    <w:div w:id="1011837186">
                      <w:marLeft w:val="0"/>
                      <w:marRight w:val="0"/>
                      <w:marTop w:val="0"/>
                      <w:marBottom w:val="0"/>
                      <w:divBdr>
                        <w:top w:val="none" w:sz="0" w:space="0" w:color="auto"/>
                        <w:left w:val="none" w:sz="0" w:space="0" w:color="auto"/>
                        <w:bottom w:val="none" w:sz="0" w:space="0" w:color="auto"/>
                        <w:right w:val="none" w:sz="0" w:space="0" w:color="auto"/>
                      </w:divBdr>
                    </w:div>
                  </w:divsChild>
                </w:div>
                <w:div w:id="201092256">
                  <w:marLeft w:val="0"/>
                  <w:marRight w:val="0"/>
                  <w:marTop w:val="0"/>
                  <w:marBottom w:val="0"/>
                  <w:divBdr>
                    <w:top w:val="none" w:sz="0" w:space="0" w:color="auto"/>
                    <w:left w:val="none" w:sz="0" w:space="0" w:color="auto"/>
                    <w:bottom w:val="none" w:sz="0" w:space="0" w:color="auto"/>
                    <w:right w:val="none" w:sz="0" w:space="0" w:color="auto"/>
                  </w:divBdr>
                  <w:divsChild>
                    <w:div w:id="1407260697">
                      <w:marLeft w:val="0"/>
                      <w:marRight w:val="0"/>
                      <w:marTop w:val="0"/>
                      <w:marBottom w:val="0"/>
                      <w:divBdr>
                        <w:top w:val="none" w:sz="0" w:space="0" w:color="auto"/>
                        <w:left w:val="none" w:sz="0" w:space="0" w:color="auto"/>
                        <w:bottom w:val="none" w:sz="0" w:space="0" w:color="auto"/>
                        <w:right w:val="none" w:sz="0" w:space="0" w:color="auto"/>
                      </w:divBdr>
                    </w:div>
                  </w:divsChild>
                </w:div>
                <w:div w:id="211693618">
                  <w:marLeft w:val="0"/>
                  <w:marRight w:val="0"/>
                  <w:marTop w:val="0"/>
                  <w:marBottom w:val="0"/>
                  <w:divBdr>
                    <w:top w:val="none" w:sz="0" w:space="0" w:color="auto"/>
                    <w:left w:val="none" w:sz="0" w:space="0" w:color="auto"/>
                    <w:bottom w:val="none" w:sz="0" w:space="0" w:color="auto"/>
                    <w:right w:val="none" w:sz="0" w:space="0" w:color="auto"/>
                  </w:divBdr>
                  <w:divsChild>
                    <w:div w:id="1833640699">
                      <w:marLeft w:val="0"/>
                      <w:marRight w:val="0"/>
                      <w:marTop w:val="0"/>
                      <w:marBottom w:val="0"/>
                      <w:divBdr>
                        <w:top w:val="none" w:sz="0" w:space="0" w:color="auto"/>
                        <w:left w:val="none" w:sz="0" w:space="0" w:color="auto"/>
                        <w:bottom w:val="none" w:sz="0" w:space="0" w:color="auto"/>
                        <w:right w:val="none" w:sz="0" w:space="0" w:color="auto"/>
                      </w:divBdr>
                    </w:div>
                  </w:divsChild>
                </w:div>
                <w:div w:id="220601700">
                  <w:marLeft w:val="0"/>
                  <w:marRight w:val="0"/>
                  <w:marTop w:val="0"/>
                  <w:marBottom w:val="0"/>
                  <w:divBdr>
                    <w:top w:val="none" w:sz="0" w:space="0" w:color="auto"/>
                    <w:left w:val="none" w:sz="0" w:space="0" w:color="auto"/>
                    <w:bottom w:val="none" w:sz="0" w:space="0" w:color="auto"/>
                    <w:right w:val="none" w:sz="0" w:space="0" w:color="auto"/>
                  </w:divBdr>
                  <w:divsChild>
                    <w:div w:id="78140996">
                      <w:marLeft w:val="0"/>
                      <w:marRight w:val="0"/>
                      <w:marTop w:val="0"/>
                      <w:marBottom w:val="0"/>
                      <w:divBdr>
                        <w:top w:val="none" w:sz="0" w:space="0" w:color="auto"/>
                        <w:left w:val="none" w:sz="0" w:space="0" w:color="auto"/>
                        <w:bottom w:val="none" w:sz="0" w:space="0" w:color="auto"/>
                        <w:right w:val="none" w:sz="0" w:space="0" w:color="auto"/>
                      </w:divBdr>
                    </w:div>
                  </w:divsChild>
                </w:div>
                <w:div w:id="222183069">
                  <w:marLeft w:val="0"/>
                  <w:marRight w:val="0"/>
                  <w:marTop w:val="0"/>
                  <w:marBottom w:val="0"/>
                  <w:divBdr>
                    <w:top w:val="none" w:sz="0" w:space="0" w:color="auto"/>
                    <w:left w:val="none" w:sz="0" w:space="0" w:color="auto"/>
                    <w:bottom w:val="none" w:sz="0" w:space="0" w:color="auto"/>
                    <w:right w:val="none" w:sz="0" w:space="0" w:color="auto"/>
                  </w:divBdr>
                  <w:divsChild>
                    <w:div w:id="1591622420">
                      <w:marLeft w:val="0"/>
                      <w:marRight w:val="0"/>
                      <w:marTop w:val="0"/>
                      <w:marBottom w:val="0"/>
                      <w:divBdr>
                        <w:top w:val="none" w:sz="0" w:space="0" w:color="auto"/>
                        <w:left w:val="none" w:sz="0" w:space="0" w:color="auto"/>
                        <w:bottom w:val="none" w:sz="0" w:space="0" w:color="auto"/>
                        <w:right w:val="none" w:sz="0" w:space="0" w:color="auto"/>
                      </w:divBdr>
                    </w:div>
                  </w:divsChild>
                </w:div>
                <w:div w:id="224024310">
                  <w:marLeft w:val="0"/>
                  <w:marRight w:val="0"/>
                  <w:marTop w:val="0"/>
                  <w:marBottom w:val="0"/>
                  <w:divBdr>
                    <w:top w:val="none" w:sz="0" w:space="0" w:color="auto"/>
                    <w:left w:val="none" w:sz="0" w:space="0" w:color="auto"/>
                    <w:bottom w:val="none" w:sz="0" w:space="0" w:color="auto"/>
                    <w:right w:val="none" w:sz="0" w:space="0" w:color="auto"/>
                  </w:divBdr>
                  <w:divsChild>
                    <w:div w:id="1947808705">
                      <w:marLeft w:val="0"/>
                      <w:marRight w:val="0"/>
                      <w:marTop w:val="0"/>
                      <w:marBottom w:val="0"/>
                      <w:divBdr>
                        <w:top w:val="none" w:sz="0" w:space="0" w:color="auto"/>
                        <w:left w:val="none" w:sz="0" w:space="0" w:color="auto"/>
                        <w:bottom w:val="none" w:sz="0" w:space="0" w:color="auto"/>
                        <w:right w:val="none" w:sz="0" w:space="0" w:color="auto"/>
                      </w:divBdr>
                    </w:div>
                  </w:divsChild>
                </w:div>
                <w:div w:id="245462529">
                  <w:marLeft w:val="0"/>
                  <w:marRight w:val="0"/>
                  <w:marTop w:val="0"/>
                  <w:marBottom w:val="0"/>
                  <w:divBdr>
                    <w:top w:val="none" w:sz="0" w:space="0" w:color="auto"/>
                    <w:left w:val="none" w:sz="0" w:space="0" w:color="auto"/>
                    <w:bottom w:val="none" w:sz="0" w:space="0" w:color="auto"/>
                    <w:right w:val="none" w:sz="0" w:space="0" w:color="auto"/>
                  </w:divBdr>
                  <w:divsChild>
                    <w:div w:id="1623606891">
                      <w:marLeft w:val="0"/>
                      <w:marRight w:val="0"/>
                      <w:marTop w:val="0"/>
                      <w:marBottom w:val="0"/>
                      <w:divBdr>
                        <w:top w:val="none" w:sz="0" w:space="0" w:color="auto"/>
                        <w:left w:val="none" w:sz="0" w:space="0" w:color="auto"/>
                        <w:bottom w:val="none" w:sz="0" w:space="0" w:color="auto"/>
                        <w:right w:val="none" w:sz="0" w:space="0" w:color="auto"/>
                      </w:divBdr>
                    </w:div>
                  </w:divsChild>
                </w:div>
                <w:div w:id="249050134">
                  <w:marLeft w:val="0"/>
                  <w:marRight w:val="0"/>
                  <w:marTop w:val="0"/>
                  <w:marBottom w:val="0"/>
                  <w:divBdr>
                    <w:top w:val="none" w:sz="0" w:space="0" w:color="auto"/>
                    <w:left w:val="none" w:sz="0" w:space="0" w:color="auto"/>
                    <w:bottom w:val="none" w:sz="0" w:space="0" w:color="auto"/>
                    <w:right w:val="none" w:sz="0" w:space="0" w:color="auto"/>
                  </w:divBdr>
                  <w:divsChild>
                    <w:div w:id="703867987">
                      <w:marLeft w:val="0"/>
                      <w:marRight w:val="0"/>
                      <w:marTop w:val="0"/>
                      <w:marBottom w:val="0"/>
                      <w:divBdr>
                        <w:top w:val="none" w:sz="0" w:space="0" w:color="auto"/>
                        <w:left w:val="none" w:sz="0" w:space="0" w:color="auto"/>
                        <w:bottom w:val="none" w:sz="0" w:space="0" w:color="auto"/>
                        <w:right w:val="none" w:sz="0" w:space="0" w:color="auto"/>
                      </w:divBdr>
                    </w:div>
                  </w:divsChild>
                </w:div>
                <w:div w:id="258803457">
                  <w:marLeft w:val="0"/>
                  <w:marRight w:val="0"/>
                  <w:marTop w:val="0"/>
                  <w:marBottom w:val="0"/>
                  <w:divBdr>
                    <w:top w:val="none" w:sz="0" w:space="0" w:color="auto"/>
                    <w:left w:val="none" w:sz="0" w:space="0" w:color="auto"/>
                    <w:bottom w:val="none" w:sz="0" w:space="0" w:color="auto"/>
                    <w:right w:val="none" w:sz="0" w:space="0" w:color="auto"/>
                  </w:divBdr>
                  <w:divsChild>
                    <w:div w:id="1351101250">
                      <w:marLeft w:val="0"/>
                      <w:marRight w:val="0"/>
                      <w:marTop w:val="0"/>
                      <w:marBottom w:val="0"/>
                      <w:divBdr>
                        <w:top w:val="none" w:sz="0" w:space="0" w:color="auto"/>
                        <w:left w:val="none" w:sz="0" w:space="0" w:color="auto"/>
                        <w:bottom w:val="none" w:sz="0" w:space="0" w:color="auto"/>
                        <w:right w:val="none" w:sz="0" w:space="0" w:color="auto"/>
                      </w:divBdr>
                    </w:div>
                  </w:divsChild>
                </w:div>
                <w:div w:id="261452712">
                  <w:marLeft w:val="0"/>
                  <w:marRight w:val="0"/>
                  <w:marTop w:val="0"/>
                  <w:marBottom w:val="0"/>
                  <w:divBdr>
                    <w:top w:val="none" w:sz="0" w:space="0" w:color="auto"/>
                    <w:left w:val="none" w:sz="0" w:space="0" w:color="auto"/>
                    <w:bottom w:val="none" w:sz="0" w:space="0" w:color="auto"/>
                    <w:right w:val="none" w:sz="0" w:space="0" w:color="auto"/>
                  </w:divBdr>
                  <w:divsChild>
                    <w:div w:id="680818136">
                      <w:marLeft w:val="0"/>
                      <w:marRight w:val="0"/>
                      <w:marTop w:val="0"/>
                      <w:marBottom w:val="0"/>
                      <w:divBdr>
                        <w:top w:val="none" w:sz="0" w:space="0" w:color="auto"/>
                        <w:left w:val="none" w:sz="0" w:space="0" w:color="auto"/>
                        <w:bottom w:val="none" w:sz="0" w:space="0" w:color="auto"/>
                        <w:right w:val="none" w:sz="0" w:space="0" w:color="auto"/>
                      </w:divBdr>
                    </w:div>
                  </w:divsChild>
                </w:div>
                <w:div w:id="269288835">
                  <w:marLeft w:val="0"/>
                  <w:marRight w:val="0"/>
                  <w:marTop w:val="0"/>
                  <w:marBottom w:val="0"/>
                  <w:divBdr>
                    <w:top w:val="none" w:sz="0" w:space="0" w:color="auto"/>
                    <w:left w:val="none" w:sz="0" w:space="0" w:color="auto"/>
                    <w:bottom w:val="none" w:sz="0" w:space="0" w:color="auto"/>
                    <w:right w:val="none" w:sz="0" w:space="0" w:color="auto"/>
                  </w:divBdr>
                  <w:divsChild>
                    <w:div w:id="1248805406">
                      <w:marLeft w:val="0"/>
                      <w:marRight w:val="0"/>
                      <w:marTop w:val="0"/>
                      <w:marBottom w:val="0"/>
                      <w:divBdr>
                        <w:top w:val="none" w:sz="0" w:space="0" w:color="auto"/>
                        <w:left w:val="none" w:sz="0" w:space="0" w:color="auto"/>
                        <w:bottom w:val="none" w:sz="0" w:space="0" w:color="auto"/>
                        <w:right w:val="none" w:sz="0" w:space="0" w:color="auto"/>
                      </w:divBdr>
                    </w:div>
                  </w:divsChild>
                </w:div>
                <w:div w:id="277371291">
                  <w:marLeft w:val="0"/>
                  <w:marRight w:val="0"/>
                  <w:marTop w:val="0"/>
                  <w:marBottom w:val="0"/>
                  <w:divBdr>
                    <w:top w:val="none" w:sz="0" w:space="0" w:color="auto"/>
                    <w:left w:val="none" w:sz="0" w:space="0" w:color="auto"/>
                    <w:bottom w:val="none" w:sz="0" w:space="0" w:color="auto"/>
                    <w:right w:val="none" w:sz="0" w:space="0" w:color="auto"/>
                  </w:divBdr>
                  <w:divsChild>
                    <w:div w:id="955597405">
                      <w:marLeft w:val="0"/>
                      <w:marRight w:val="0"/>
                      <w:marTop w:val="0"/>
                      <w:marBottom w:val="0"/>
                      <w:divBdr>
                        <w:top w:val="none" w:sz="0" w:space="0" w:color="auto"/>
                        <w:left w:val="none" w:sz="0" w:space="0" w:color="auto"/>
                        <w:bottom w:val="none" w:sz="0" w:space="0" w:color="auto"/>
                        <w:right w:val="none" w:sz="0" w:space="0" w:color="auto"/>
                      </w:divBdr>
                    </w:div>
                  </w:divsChild>
                </w:div>
                <w:div w:id="277758908">
                  <w:marLeft w:val="0"/>
                  <w:marRight w:val="0"/>
                  <w:marTop w:val="0"/>
                  <w:marBottom w:val="0"/>
                  <w:divBdr>
                    <w:top w:val="none" w:sz="0" w:space="0" w:color="auto"/>
                    <w:left w:val="none" w:sz="0" w:space="0" w:color="auto"/>
                    <w:bottom w:val="none" w:sz="0" w:space="0" w:color="auto"/>
                    <w:right w:val="none" w:sz="0" w:space="0" w:color="auto"/>
                  </w:divBdr>
                  <w:divsChild>
                    <w:div w:id="2005887864">
                      <w:marLeft w:val="0"/>
                      <w:marRight w:val="0"/>
                      <w:marTop w:val="0"/>
                      <w:marBottom w:val="0"/>
                      <w:divBdr>
                        <w:top w:val="none" w:sz="0" w:space="0" w:color="auto"/>
                        <w:left w:val="none" w:sz="0" w:space="0" w:color="auto"/>
                        <w:bottom w:val="none" w:sz="0" w:space="0" w:color="auto"/>
                        <w:right w:val="none" w:sz="0" w:space="0" w:color="auto"/>
                      </w:divBdr>
                    </w:div>
                  </w:divsChild>
                </w:div>
                <w:div w:id="278531028">
                  <w:marLeft w:val="0"/>
                  <w:marRight w:val="0"/>
                  <w:marTop w:val="0"/>
                  <w:marBottom w:val="0"/>
                  <w:divBdr>
                    <w:top w:val="none" w:sz="0" w:space="0" w:color="auto"/>
                    <w:left w:val="none" w:sz="0" w:space="0" w:color="auto"/>
                    <w:bottom w:val="none" w:sz="0" w:space="0" w:color="auto"/>
                    <w:right w:val="none" w:sz="0" w:space="0" w:color="auto"/>
                  </w:divBdr>
                  <w:divsChild>
                    <w:div w:id="856771336">
                      <w:marLeft w:val="0"/>
                      <w:marRight w:val="0"/>
                      <w:marTop w:val="0"/>
                      <w:marBottom w:val="0"/>
                      <w:divBdr>
                        <w:top w:val="none" w:sz="0" w:space="0" w:color="auto"/>
                        <w:left w:val="none" w:sz="0" w:space="0" w:color="auto"/>
                        <w:bottom w:val="none" w:sz="0" w:space="0" w:color="auto"/>
                        <w:right w:val="none" w:sz="0" w:space="0" w:color="auto"/>
                      </w:divBdr>
                    </w:div>
                  </w:divsChild>
                </w:div>
                <w:div w:id="284891398">
                  <w:marLeft w:val="0"/>
                  <w:marRight w:val="0"/>
                  <w:marTop w:val="0"/>
                  <w:marBottom w:val="0"/>
                  <w:divBdr>
                    <w:top w:val="none" w:sz="0" w:space="0" w:color="auto"/>
                    <w:left w:val="none" w:sz="0" w:space="0" w:color="auto"/>
                    <w:bottom w:val="none" w:sz="0" w:space="0" w:color="auto"/>
                    <w:right w:val="none" w:sz="0" w:space="0" w:color="auto"/>
                  </w:divBdr>
                  <w:divsChild>
                    <w:div w:id="1486629664">
                      <w:marLeft w:val="0"/>
                      <w:marRight w:val="0"/>
                      <w:marTop w:val="0"/>
                      <w:marBottom w:val="0"/>
                      <w:divBdr>
                        <w:top w:val="none" w:sz="0" w:space="0" w:color="auto"/>
                        <w:left w:val="none" w:sz="0" w:space="0" w:color="auto"/>
                        <w:bottom w:val="none" w:sz="0" w:space="0" w:color="auto"/>
                        <w:right w:val="none" w:sz="0" w:space="0" w:color="auto"/>
                      </w:divBdr>
                    </w:div>
                  </w:divsChild>
                </w:div>
                <w:div w:id="289438327">
                  <w:marLeft w:val="0"/>
                  <w:marRight w:val="0"/>
                  <w:marTop w:val="0"/>
                  <w:marBottom w:val="0"/>
                  <w:divBdr>
                    <w:top w:val="none" w:sz="0" w:space="0" w:color="auto"/>
                    <w:left w:val="none" w:sz="0" w:space="0" w:color="auto"/>
                    <w:bottom w:val="none" w:sz="0" w:space="0" w:color="auto"/>
                    <w:right w:val="none" w:sz="0" w:space="0" w:color="auto"/>
                  </w:divBdr>
                  <w:divsChild>
                    <w:div w:id="853226477">
                      <w:marLeft w:val="0"/>
                      <w:marRight w:val="0"/>
                      <w:marTop w:val="0"/>
                      <w:marBottom w:val="0"/>
                      <w:divBdr>
                        <w:top w:val="none" w:sz="0" w:space="0" w:color="auto"/>
                        <w:left w:val="none" w:sz="0" w:space="0" w:color="auto"/>
                        <w:bottom w:val="none" w:sz="0" w:space="0" w:color="auto"/>
                        <w:right w:val="none" w:sz="0" w:space="0" w:color="auto"/>
                      </w:divBdr>
                    </w:div>
                  </w:divsChild>
                </w:div>
                <w:div w:id="295837937">
                  <w:marLeft w:val="0"/>
                  <w:marRight w:val="0"/>
                  <w:marTop w:val="0"/>
                  <w:marBottom w:val="0"/>
                  <w:divBdr>
                    <w:top w:val="none" w:sz="0" w:space="0" w:color="auto"/>
                    <w:left w:val="none" w:sz="0" w:space="0" w:color="auto"/>
                    <w:bottom w:val="none" w:sz="0" w:space="0" w:color="auto"/>
                    <w:right w:val="none" w:sz="0" w:space="0" w:color="auto"/>
                  </w:divBdr>
                  <w:divsChild>
                    <w:div w:id="714617563">
                      <w:marLeft w:val="0"/>
                      <w:marRight w:val="0"/>
                      <w:marTop w:val="0"/>
                      <w:marBottom w:val="0"/>
                      <w:divBdr>
                        <w:top w:val="none" w:sz="0" w:space="0" w:color="auto"/>
                        <w:left w:val="none" w:sz="0" w:space="0" w:color="auto"/>
                        <w:bottom w:val="none" w:sz="0" w:space="0" w:color="auto"/>
                        <w:right w:val="none" w:sz="0" w:space="0" w:color="auto"/>
                      </w:divBdr>
                    </w:div>
                  </w:divsChild>
                </w:div>
                <w:div w:id="299652282">
                  <w:marLeft w:val="0"/>
                  <w:marRight w:val="0"/>
                  <w:marTop w:val="0"/>
                  <w:marBottom w:val="0"/>
                  <w:divBdr>
                    <w:top w:val="none" w:sz="0" w:space="0" w:color="auto"/>
                    <w:left w:val="none" w:sz="0" w:space="0" w:color="auto"/>
                    <w:bottom w:val="none" w:sz="0" w:space="0" w:color="auto"/>
                    <w:right w:val="none" w:sz="0" w:space="0" w:color="auto"/>
                  </w:divBdr>
                  <w:divsChild>
                    <w:div w:id="45423408">
                      <w:marLeft w:val="0"/>
                      <w:marRight w:val="0"/>
                      <w:marTop w:val="0"/>
                      <w:marBottom w:val="0"/>
                      <w:divBdr>
                        <w:top w:val="none" w:sz="0" w:space="0" w:color="auto"/>
                        <w:left w:val="none" w:sz="0" w:space="0" w:color="auto"/>
                        <w:bottom w:val="none" w:sz="0" w:space="0" w:color="auto"/>
                        <w:right w:val="none" w:sz="0" w:space="0" w:color="auto"/>
                      </w:divBdr>
                    </w:div>
                  </w:divsChild>
                </w:div>
                <w:div w:id="311721389">
                  <w:marLeft w:val="0"/>
                  <w:marRight w:val="0"/>
                  <w:marTop w:val="0"/>
                  <w:marBottom w:val="0"/>
                  <w:divBdr>
                    <w:top w:val="none" w:sz="0" w:space="0" w:color="auto"/>
                    <w:left w:val="none" w:sz="0" w:space="0" w:color="auto"/>
                    <w:bottom w:val="none" w:sz="0" w:space="0" w:color="auto"/>
                    <w:right w:val="none" w:sz="0" w:space="0" w:color="auto"/>
                  </w:divBdr>
                  <w:divsChild>
                    <w:div w:id="1569027704">
                      <w:marLeft w:val="0"/>
                      <w:marRight w:val="0"/>
                      <w:marTop w:val="0"/>
                      <w:marBottom w:val="0"/>
                      <w:divBdr>
                        <w:top w:val="none" w:sz="0" w:space="0" w:color="auto"/>
                        <w:left w:val="none" w:sz="0" w:space="0" w:color="auto"/>
                        <w:bottom w:val="none" w:sz="0" w:space="0" w:color="auto"/>
                        <w:right w:val="none" w:sz="0" w:space="0" w:color="auto"/>
                      </w:divBdr>
                    </w:div>
                  </w:divsChild>
                </w:div>
                <w:div w:id="318507866">
                  <w:marLeft w:val="0"/>
                  <w:marRight w:val="0"/>
                  <w:marTop w:val="0"/>
                  <w:marBottom w:val="0"/>
                  <w:divBdr>
                    <w:top w:val="none" w:sz="0" w:space="0" w:color="auto"/>
                    <w:left w:val="none" w:sz="0" w:space="0" w:color="auto"/>
                    <w:bottom w:val="none" w:sz="0" w:space="0" w:color="auto"/>
                    <w:right w:val="none" w:sz="0" w:space="0" w:color="auto"/>
                  </w:divBdr>
                  <w:divsChild>
                    <w:div w:id="1071344538">
                      <w:marLeft w:val="0"/>
                      <w:marRight w:val="0"/>
                      <w:marTop w:val="0"/>
                      <w:marBottom w:val="0"/>
                      <w:divBdr>
                        <w:top w:val="none" w:sz="0" w:space="0" w:color="auto"/>
                        <w:left w:val="none" w:sz="0" w:space="0" w:color="auto"/>
                        <w:bottom w:val="none" w:sz="0" w:space="0" w:color="auto"/>
                        <w:right w:val="none" w:sz="0" w:space="0" w:color="auto"/>
                      </w:divBdr>
                    </w:div>
                  </w:divsChild>
                </w:div>
                <w:div w:id="327094323">
                  <w:marLeft w:val="0"/>
                  <w:marRight w:val="0"/>
                  <w:marTop w:val="0"/>
                  <w:marBottom w:val="0"/>
                  <w:divBdr>
                    <w:top w:val="none" w:sz="0" w:space="0" w:color="auto"/>
                    <w:left w:val="none" w:sz="0" w:space="0" w:color="auto"/>
                    <w:bottom w:val="none" w:sz="0" w:space="0" w:color="auto"/>
                    <w:right w:val="none" w:sz="0" w:space="0" w:color="auto"/>
                  </w:divBdr>
                  <w:divsChild>
                    <w:div w:id="400714767">
                      <w:marLeft w:val="0"/>
                      <w:marRight w:val="0"/>
                      <w:marTop w:val="0"/>
                      <w:marBottom w:val="0"/>
                      <w:divBdr>
                        <w:top w:val="none" w:sz="0" w:space="0" w:color="auto"/>
                        <w:left w:val="none" w:sz="0" w:space="0" w:color="auto"/>
                        <w:bottom w:val="none" w:sz="0" w:space="0" w:color="auto"/>
                        <w:right w:val="none" w:sz="0" w:space="0" w:color="auto"/>
                      </w:divBdr>
                    </w:div>
                  </w:divsChild>
                </w:div>
                <w:div w:id="328799245">
                  <w:marLeft w:val="0"/>
                  <w:marRight w:val="0"/>
                  <w:marTop w:val="0"/>
                  <w:marBottom w:val="0"/>
                  <w:divBdr>
                    <w:top w:val="none" w:sz="0" w:space="0" w:color="auto"/>
                    <w:left w:val="none" w:sz="0" w:space="0" w:color="auto"/>
                    <w:bottom w:val="none" w:sz="0" w:space="0" w:color="auto"/>
                    <w:right w:val="none" w:sz="0" w:space="0" w:color="auto"/>
                  </w:divBdr>
                  <w:divsChild>
                    <w:div w:id="220406663">
                      <w:marLeft w:val="0"/>
                      <w:marRight w:val="0"/>
                      <w:marTop w:val="0"/>
                      <w:marBottom w:val="0"/>
                      <w:divBdr>
                        <w:top w:val="none" w:sz="0" w:space="0" w:color="auto"/>
                        <w:left w:val="none" w:sz="0" w:space="0" w:color="auto"/>
                        <w:bottom w:val="none" w:sz="0" w:space="0" w:color="auto"/>
                        <w:right w:val="none" w:sz="0" w:space="0" w:color="auto"/>
                      </w:divBdr>
                    </w:div>
                  </w:divsChild>
                </w:div>
                <w:div w:id="344481973">
                  <w:marLeft w:val="0"/>
                  <w:marRight w:val="0"/>
                  <w:marTop w:val="0"/>
                  <w:marBottom w:val="0"/>
                  <w:divBdr>
                    <w:top w:val="none" w:sz="0" w:space="0" w:color="auto"/>
                    <w:left w:val="none" w:sz="0" w:space="0" w:color="auto"/>
                    <w:bottom w:val="none" w:sz="0" w:space="0" w:color="auto"/>
                    <w:right w:val="none" w:sz="0" w:space="0" w:color="auto"/>
                  </w:divBdr>
                  <w:divsChild>
                    <w:div w:id="1154877411">
                      <w:marLeft w:val="0"/>
                      <w:marRight w:val="0"/>
                      <w:marTop w:val="0"/>
                      <w:marBottom w:val="0"/>
                      <w:divBdr>
                        <w:top w:val="none" w:sz="0" w:space="0" w:color="auto"/>
                        <w:left w:val="none" w:sz="0" w:space="0" w:color="auto"/>
                        <w:bottom w:val="none" w:sz="0" w:space="0" w:color="auto"/>
                        <w:right w:val="none" w:sz="0" w:space="0" w:color="auto"/>
                      </w:divBdr>
                    </w:div>
                  </w:divsChild>
                </w:div>
                <w:div w:id="350492648">
                  <w:marLeft w:val="0"/>
                  <w:marRight w:val="0"/>
                  <w:marTop w:val="0"/>
                  <w:marBottom w:val="0"/>
                  <w:divBdr>
                    <w:top w:val="none" w:sz="0" w:space="0" w:color="auto"/>
                    <w:left w:val="none" w:sz="0" w:space="0" w:color="auto"/>
                    <w:bottom w:val="none" w:sz="0" w:space="0" w:color="auto"/>
                    <w:right w:val="none" w:sz="0" w:space="0" w:color="auto"/>
                  </w:divBdr>
                  <w:divsChild>
                    <w:div w:id="1809203946">
                      <w:marLeft w:val="0"/>
                      <w:marRight w:val="0"/>
                      <w:marTop w:val="0"/>
                      <w:marBottom w:val="0"/>
                      <w:divBdr>
                        <w:top w:val="none" w:sz="0" w:space="0" w:color="auto"/>
                        <w:left w:val="none" w:sz="0" w:space="0" w:color="auto"/>
                        <w:bottom w:val="none" w:sz="0" w:space="0" w:color="auto"/>
                        <w:right w:val="none" w:sz="0" w:space="0" w:color="auto"/>
                      </w:divBdr>
                    </w:div>
                  </w:divsChild>
                </w:div>
                <w:div w:id="357506663">
                  <w:marLeft w:val="0"/>
                  <w:marRight w:val="0"/>
                  <w:marTop w:val="0"/>
                  <w:marBottom w:val="0"/>
                  <w:divBdr>
                    <w:top w:val="none" w:sz="0" w:space="0" w:color="auto"/>
                    <w:left w:val="none" w:sz="0" w:space="0" w:color="auto"/>
                    <w:bottom w:val="none" w:sz="0" w:space="0" w:color="auto"/>
                    <w:right w:val="none" w:sz="0" w:space="0" w:color="auto"/>
                  </w:divBdr>
                  <w:divsChild>
                    <w:div w:id="355393">
                      <w:marLeft w:val="0"/>
                      <w:marRight w:val="0"/>
                      <w:marTop w:val="0"/>
                      <w:marBottom w:val="0"/>
                      <w:divBdr>
                        <w:top w:val="none" w:sz="0" w:space="0" w:color="auto"/>
                        <w:left w:val="none" w:sz="0" w:space="0" w:color="auto"/>
                        <w:bottom w:val="none" w:sz="0" w:space="0" w:color="auto"/>
                        <w:right w:val="none" w:sz="0" w:space="0" w:color="auto"/>
                      </w:divBdr>
                    </w:div>
                  </w:divsChild>
                </w:div>
                <w:div w:id="359741001">
                  <w:marLeft w:val="0"/>
                  <w:marRight w:val="0"/>
                  <w:marTop w:val="0"/>
                  <w:marBottom w:val="0"/>
                  <w:divBdr>
                    <w:top w:val="none" w:sz="0" w:space="0" w:color="auto"/>
                    <w:left w:val="none" w:sz="0" w:space="0" w:color="auto"/>
                    <w:bottom w:val="none" w:sz="0" w:space="0" w:color="auto"/>
                    <w:right w:val="none" w:sz="0" w:space="0" w:color="auto"/>
                  </w:divBdr>
                  <w:divsChild>
                    <w:div w:id="775633321">
                      <w:marLeft w:val="0"/>
                      <w:marRight w:val="0"/>
                      <w:marTop w:val="0"/>
                      <w:marBottom w:val="0"/>
                      <w:divBdr>
                        <w:top w:val="none" w:sz="0" w:space="0" w:color="auto"/>
                        <w:left w:val="none" w:sz="0" w:space="0" w:color="auto"/>
                        <w:bottom w:val="none" w:sz="0" w:space="0" w:color="auto"/>
                        <w:right w:val="none" w:sz="0" w:space="0" w:color="auto"/>
                      </w:divBdr>
                    </w:div>
                  </w:divsChild>
                </w:div>
                <w:div w:id="361055926">
                  <w:marLeft w:val="0"/>
                  <w:marRight w:val="0"/>
                  <w:marTop w:val="0"/>
                  <w:marBottom w:val="0"/>
                  <w:divBdr>
                    <w:top w:val="none" w:sz="0" w:space="0" w:color="auto"/>
                    <w:left w:val="none" w:sz="0" w:space="0" w:color="auto"/>
                    <w:bottom w:val="none" w:sz="0" w:space="0" w:color="auto"/>
                    <w:right w:val="none" w:sz="0" w:space="0" w:color="auto"/>
                  </w:divBdr>
                  <w:divsChild>
                    <w:div w:id="892741565">
                      <w:marLeft w:val="0"/>
                      <w:marRight w:val="0"/>
                      <w:marTop w:val="0"/>
                      <w:marBottom w:val="0"/>
                      <w:divBdr>
                        <w:top w:val="none" w:sz="0" w:space="0" w:color="auto"/>
                        <w:left w:val="none" w:sz="0" w:space="0" w:color="auto"/>
                        <w:bottom w:val="none" w:sz="0" w:space="0" w:color="auto"/>
                        <w:right w:val="none" w:sz="0" w:space="0" w:color="auto"/>
                      </w:divBdr>
                    </w:div>
                  </w:divsChild>
                </w:div>
                <w:div w:id="366298908">
                  <w:marLeft w:val="0"/>
                  <w:marRight w:val="0"/>
                  <w:marTop w:val="0"/>
                  <w:marBottom w:val="0"/>
                  <w:divBdr>
                    <w:top w:val="none" w:sz="0" w:space="0" w:color="auto"/>
                    <w:left w:val="none" w:sz="0" w:space="0" w:color="auto"/>
                    <w:bottom w:val="none" w:sz="0" w:space="0" w:color="auto"/>
                    <w:right w:val="none" w:sz="0" w:space="0" w:color="auto"/>
                  </w:divBdr>
                  <w:divsChild>
                    <w:div w:id="530457142">
                      <w:marLeft w:val="0"/>
                      <w:marRight w:val="0"/>
                      <w:marTop w:val="0"/>
                      <w:marBottom w:val="0"/>
                      <w:divBdr>
                        <w:top w:val="none" w:sz="0" w:space="0" w:color="auto"/>
                        <w:left w:val="none" w:sz="0" w:space="0" w:color="auto"/>
                        <w:bottom w:val="none" w:sz="0" w:space="0" w:color="auto"/>
                        <w:right w:val="none" w:sz="0" w:space="0" w:color="auto"/>
                      </w:divBdr>
                    </w:div>
                  </w:divsChild>
                </w:div>
                <w:div w:id="371422615">
                  <w:marLeft w:val="0"/>
                  <w:marRight w:val="0"/>
                  <w:marTop w:val="0"/>
                  <w:marBottom w:val="0"/>
                  <w:divBdr>
                    <w:top w:val="none" w:sz="0" w:space="0" w:color="auto"/>
                    <w:left w:val="none" w:sz="0" w:space="0" w:color="auto"/>
                    <w:bottom w:val="none" w:sz="0" w:space="0" w:color="auto"/>
                    <w:right w:val="none" w:sz="0" w:space="0" w:color="auto"/>
                  </w:divBdr>
                  <w:divsChild>
                    <w:div w:id="1865943898">
                      <w:marLeft w:val="0"/>
                      <w:marRight w:val="0"/>
                      <w:marTop w:val="0"/>
                      <w:marBottom w:val="0"/>
                      <w:divBdr>
                        <w:top w:val="none" w:sz="0" w:space="0" w:color="auto"/>
                        <w:left w:val="none" w:sz="0" w:space="0" w:color="auto"/>
                        <w:bottom w:val="none" w:sz="0" w:space="0" w:color="auto"/>
                        <w:right w:val="none" w:sz="0" w:space="0" w:color="auto"/>
                      </w:divBdr>
                    </w:div>
                  </w:divsChild>
                </w:div>
                <w:div w:id="392385334">
                  <w:marLeft w:val="0"/>
                  <w:marRight w:val="0"/>
                  <w:marTop w:val="0"/>
                  <w:marBottom w:val="0"/>
                  <w:divBdr>
                    <w:top w:val="none" w:sz="0" w:space="0" w:color="auto"/>
                    <w:left w:val="none" w:sz="0" w:space="0" w:color="auto"/>
                    <w:bottom w:val="none" w:sz="0" w:space="0" w:color="auto"/>
                    <w:right w:val="none" w:sz="0" w:space="0" w:color="auto"/>
                  </w:divBdr>
                  <w:divsChild>
                    <w:div w:id="1845439165">
                      <w:marLeft w:val="0"/>
                      <w:marRight w:val="0"/>
                      <w:marTop w:val="0"/>
                      <w:marBottom w:val="0"/>
                      <w:divBdr>
                        <w:top w:val="none" w:sz="0" w:space="0" w:color="auto"/>
                        <w:left w:val="none" w:sz="0" w:space="0" w:color="auto"/>
                        <w:bottom w:val="none" w:sz="0" w:space="0" w:color="auto"/>
                        <w:right w:val="none" w:sz="0" w:space="0" w:color="auto"/>
                      </w:divBdr>
                    </w:div>
                  </w:divsChild>
                </w:div>
                <w:div w:id="397482400">
                  <w:marLeft w:val="0"/>
                  <w:marRight w:val="0"/>
                  <w:marTop w:val="0"/>
                  <w:marBottom w:val="0"/>
                  <w:divBdr>
                    <w:top w:val="none" w:sz="0" w:space="0" w:color="auto"/>
                    <w:left w:val="none" w:sz="0" w:space="0" w:color="auto"/>
                    <w:bottom w:val="none" w:sz="0" w:space="0" w:color="auto"/>
                    <w:right w:val="none" w:sz="0" w:space="0" w:color="auto"/>
                  </w:divBdr>
                  <w:divsChild>
                    <w:div w:id="1240865427">
                      <w:marLeft w:val="0"/>
                      <w:marRight w:val="0"/>
                      <w:marTop w:val="0"/>
                      <w:marBottom w:val="0"/>
                      <w:divBdr>
                        <w:top w:val="none" w:sz="0" w:space="0" w:color="auto"/>
                        <w:left w:val="none" w:sz="0" w:space="0" w:color="auto"/>
                        <w:bottom w:val="none" w:sz="0" w:space="0" w:color="auto"/>
                        <w:right w:val="none" w:sz="0" w:space="0" w:color="auto"/>
                      </w:divBdr>
                    </w:div>
                  </w:divsChild>
                </w:div>
                <w:div w:id="402066185">
                  <w:marLeft w:val="0"/>
                  <w:marRight w:val="0"/>
                  <w:marTop w:val="0"/>
                  <w:marBottom w:val="0"/>
                  <w:divBdr>
                    <w:top w:val="none" w:sz="0" w:space="0" w:color="auto"/>
                    <w:left w:val="none" w:sz="0" w:space="0" w:color="auto"/>
                    <w:bottom w:val="none" w:sz="0" w:space="0" w:color="auto"/>
                    <w:right w:val="none" w:sz="0" w:space="0" w:color="auto"/>
                  </w:divBdr>
                  <w:divsChild>
                    <w:div w:id="225267031">
                      <w:marLeft w:val="0"/>
                      <w:marRight w:val="0"/>
                      <w:marTop w:val="0"/>
                      <w:marBottom w:val="0"/>
                      <w:divBdr>
                        <w:top w:val="none" w:sz="0" w:space="0" w:color="auto"/>
                        <w:left w:val="none" w:sz="0" w:space="0" w:color="auto"/>
                        <w:bottom w:val="none" w:sz="0" w:space="0" w:color="auto"/>
                        <w:right w:val="none" w:sz="0" w:space="0" w:color="auto"/>
                      </w:divBdr>
                    </w:div>
                  </w:divsChild>
                </w:div>
                <w:div w:id="402871179">
                  <w:marLeft w:val="0"/>
                  <w:marRight w:val="0"/>
                  <w:marTop w:val="0"/>
                  <w:marBottom w:val="0"/>
                  <w:divBdr>
                    <w:top w:val="none" w:sz="0" w:space="0" w:color="auto"/>
                    <w:left w:val="none" w:sz="0" w:space="0" w:color="auto"/>
                    <w:bottom w:val="none" w:sz="0" w:space="0" w:color="auto"/>
                    <w:right w:val="none" w:sz="0" w:space="0" w:color="auto"/>
                  </w:divBdr>
                  <w:divsChild>
                    <w:div w:id="742334070">
                      <w:marLeft w:val="0"/>
                      <w:marRight w:val="0"/>
                      <w:marTop w:val="0"/>
                      <w:marBottom w:val="0"/>
                      <w:divBdr>
                        <w:top w:val="none" w:sz="0" w:space="0" w:color="auto"/>
                        <w:left w:val="none" w:sz="0" w:space="0" w:color="auto"/>
                        <w:bottom w:val="none" w:sz="0" w:space="0" w:color="auto"/>
                        <w:right w:val="none" w:sz="0" w:space="0" w:color="auto"/>
                      </w:divBdr>
                    </w:div>
                  </w:divsChild>
                </w:div>
                <w:div w:id="415714262">
                  <w:marLeft w:val="0"/>
                  <w:marRight w:val="0"/>
                  <w:marTop w:val="0"/>
                  <w:marBottom w:val="0"/>
                  <w:divBdr>
                    <w:top w:val="none" w:sz="0" w:space="0" w:color="auto"/>
                    <w:left w:val="none" w:sz="0" w:space="0" w:color="auto"/>
                    <w:bottom w:val="none" w:sz="0" w:space="0" w:color="auto"/>
                    <w:right w:val="none" w:sz="0" w:space="0" w:color="auto"/>
                  </w:divBdr>
                  <w:divsChild>
                    <w:div w:id="1068459973">
                      <w:marLeft w:val="0"/>
                      <w:marRight w:val="0"/>
                      <w:marTop w:val="0"/>
                      <w:marBottom w:val="0"/>
                      <w:divBdr>
                        <w:top w:val="none" w:sz="0" w:space="0" w:color="auto"/>
                        <w:left w:val="none" w:sz="0" w:space="0" w:color="auto"/>
                        <w:bottom w:val="none" w:sz="0" w:space="0" w:color="auto"/>
                        <w:right w:val="none" w:sz="0" w:space="0" w:color="auto"/>
                      </w:divBdr>
                    </w:div>
                  </w:divsChild>
                </w:div>
                <w:div w:id="426930185">
                  <w:marLeft w:val="0"/>
                  <w:marRight w:val="0"/>
                  <w:marTop w:val="0"/>
                  <w:marBottom w:val="0"/>
                  <w:divBdr>
                    <w:top w:val="none" w:sz="0" w:space="0" w:color="auto"/>
                    <w:left w:val="none" w:sz="0" w:space="0" w:color="auto"/>
                    <w:bottom w:val="none" w:sz="0" w:space="0" w:color="auto"/>
                    <w:right w:val="none" w:sz="0" w:space="0" w:color="auto"/>
                  </w:divBdr>
                  <w:divsChild>
                    <w:div w:id="509563200">
                      <w:marLeft w:val="0"/>
                      <w:marRight w:val="0"/>
                      <w:marTop w:val="0"/>
                      <w:marBottom w:val="0"/>
                      <w:divBdr>
                        <w:top w:val="none" w:sz="0" w:space="0" w:color="auto"/>
                        <w:left w:val="none" w:sz="0" w:space="0" w:color="auto"/>
                        <w:bottom w:val="none" w:sz="0" w:space="0" w:color="auto"/>
                        <w:right w:val="none" w:sz="0" w:space="0" w:color="auto"/>
                      </w:divBdr>
                    </w:div>
                  </w:divsChild>
                </w:div>
                <w:div w:id="431825671">
                  <w:marLeft w:val="0"/>
                  <w:marRight w:val="0"/>
                  <w:marTop w:val="0"/>
                  <w:marBottom w:val="0"/>
                  <w:divBdr>
                    <w:top w:val="none" w:sz="0" w:space="0" w:color="auto"/>
                    <w:left w:val="none" w:sz="0" w:space="0" w:color="auto"/>
                    <w:bottom w:val="none" w:sz="0" w:space="0" w:color="auto"/>
                    <w:right w:val="none" w:sz="0" w:space="0" w:color="auto"/>
                  </w:divBdr>
                  <w:divsChild>
                    <w:div w:id="828791865">
                      <w:marLeft w:val="0"/>
                      <w:marRight w:val="0"/>
                      <w:marTop w:val="0"/>
                      <w:marBottom w:val="0"/>
                      <w:divBdr>
                        <w:top w:val="none" w:sz="0" w:space="0" w:color="auto"/>
                        <w:left w:val="none" w:sz="0" w:space="0" w:color="auto"/>
                        <w:bottom w:val="none" w:sz="0" w:space="0" w:color="auto"/>
                        <w:right w:val="none" w:sz="0" w:space="0" w:color="auto"/>
                      </w:divBdr>
                    </w:div>
                  </w:divsChild>
                </w:div>
                <w:div w:id="438185135">
                  <w:marLeft w:val="0"/>
                  <w:marRight w:val="0"/>
                  <w:marTop w:val="0"/>
                  <w:marBottom w:val="0"/>
                  <w:divBdr>
                    <w:top w:val="none" w:sz="0" w:space="0" w:color="auto"/>
                    <w:left w:val="none" w:sz="0" w:space="0" w:color="auto"/>
                    <w:bottom w:val="none" w:sz="0" w:space="0" w:color="auto"/>
                    <w:right w:val="none" w:sz="0" w:space="0" w:color="auto"/>
                  </w:divBdr>
                  <w:divsChild>
                    <w:div w:id="2093120541">
                      <w:marLeft w:val="0"/>
                      <w:marRight w:val="0"/>
                      <w:marTop w:val="0"/>
                      <w:marBottom w:val="0"/>
                      <w:divBdr>
                        <w:top w:val="none" w:sz="0" w:space="0" w:color="auto"/>
                        <w:left w:val="none" w:sz="0" w:space="0" w:color="auto"/>
                        <w:bottom w:val="none" w:sz="0" w:space="0" w:color="auto"/>
                        <w:right w:val="none" w:sz="0" w:space="0" w:color="auto"/>
                      </w:divBdr>
                    </w:div>
                  </w:divsChild>
                </w:div>
                <w:div w:id="468285833">
                  <w:marLeft w:val="0"/>
                  <w:marRight w:val="0"/>
                  <w:marTop w:val="0"/>
                  <w:marBottom w:val="0"/>
                  <w:divBdr>
                    <w:top w:val="none" w:sz="0" w:space="0" w:color="auto"/>
                    <w:left w:val="none" w:sz="0" w:space="0" w:color="auto"/>
                    <w:bottom w:val="none" w:sz="0" w:space="0" w:color="auto"/>
                    <w:right w:val="none" w:sz="0" w:space="0" w:color="auto"/>
                  </w:divBdr>
                  <w:divsChild>
                    <w:div w:id="1127242796">
                      <w:marLeft w:val="0"/>
                      <w:marRight w:val="0"/>
                      <w:marTop w:val="0"/>
                      <w:marBottom w:val="0"/>
                      <w:divBdr>
                        <w:top w:val="none" w:sz="0" w:space="0" w:color="auto"/>
                        <w:left w:val="none" w:sz="0" w:space="0" w:color="auto"/>
                        <w:bottom w:val="none" w:sz="0" w:space="0" w:color="auto"/>
                        <w:right w:val="none" w:sz="0" w:space="0" w:color="auto"/>
                      </w:divBdr>
                    </w:div>
                  </w:divsChild>
                </w:div>
                <w:div w:id="508251488">
                  <w:marLeft w:val="0"/>
                  <w:marRight w:val="0"/>
                  <w:marTop w:val="0"/>
                  <w:marBottom w:val="0"/>
                  <w:divBdr>
                    <w:top w:val="none" w:sz="0" w:space="0" w:color="auto"/>
                    <w:left w:val="none" w:sz="0" w:space="0" w:color="auto"/>
                    <w:bottom w:val="none" w:sz="0" w:space="0" w:color="auto"/>
                    <w:right w:val="none" w:sz="0" w:space="0" w:color="auto"/>
                  </w:divBdr>
                  <w:divsChild>
                    <w:div w:id="1149595129">
                      <w:marLeft w:val="0"/>
                      <w:marRight w:val="0"/>
                      <w:marTop w:val="0"/>
                      <w:marBottom w:val="0"/>
                      <w:divBdr>
                        <w:top w:val="none" w:sz="0" w:space="0" w:color="auto"/>
                        <w:left w:val="none" w:sz="0" w:space="0" w:color="auto"/>
                        <w:bottom w:val="none" w:sz="0" w:space="0" w:color="auto"/>
                        <w:right w:val="none" w:sz="0" w:space="0" w:color="auto"/>
                      </w:divBdr>
                    </w:div>
                  </w:divsChild>
                </w:div>
                <w:div w:id="523372030">
                  <w:marLeft w:val="0"/>
                  <w:marRight w:val="0"/>
                  <w:marTop w:val="0"/>
                  <w:marBottom w:val="0"/>
                  <w:divBdr>
                    <w:top w:val="none" w:sz="0" w:space="0" w:color="auto"/>
                    <w:left w:val="none" w:sz="0" w:space="0" w:color="auto"/>
                    <w:bottom w:val="none" w:sz="0" w:space="0" w:color="auto"/>
                    <w:right w:val="none" w:sz="0" w:space="0" w:color="auto"/>
                  </w:divBdr>
                  <w:divsChild>
                    <w:div w:id="780877549">
                      <w:marLeft w:val="0"/>
                      <w:marRight w:val="0"/>
                      <w:marTop w:val="0"/>
                      <w:marBottom w:val="0"/>
                      <w:divBdr>
                        <w:top w:val="none" w:sz="0" w:space="0" w:color="auto"/>
                        <w:left w:val="none" w:sz="0" w:space="0" w:color="auto"/>
                        <w:bottom w:val="none" w:sz="0" w:space="0" w:color="auto"/>
                        <w:right w:val="none" w:sz="0" w:space="0" w:color="auto"/>
                      </w:divBdr>
                    </w:div>
                  </w:divsChild>
                </w:div>
                <w:div w:id="524713684">
                  <w:marLeft w:val="0"/>
                  <w:marRight w:val="0"/>
                  <w:marTop w:val="0"/>
                  <w:marBottom w:val="0"/>
                  <w:divBdr>
                    <w:top w:val="none" w:sz="0" w:space="0" w:color="auto"/>
                    <w:left w:val="none" w:sz="0" w:space="0" w:color="auto"/>
                    <w:bottom w:val="none" w:sz="0" w:space="0" w:color="auto"/>
                    <w:right w:val="none" w:sz="0" w:space="0" w:color="auto"/>
                  </w:divBdr>
                  <w:divsChild>
                    <w:div w:id="501047997">
                      <w:marLeft w:val="0"/>
                      <w:marRight w:val="0"/>
                      <w:marTop w:val="0"/>
                      <w:marBottom w:val="0"/>
                      <w:divBdr>
                        <w:top w:val="none" w:sz="0" w:space="0" w:color="auto"/>
                        <w:left w:val="none" w:sz="0" w:space="0" w:color="auto"/>
                        <w:bottom w:val="none" w:sz="0" w:space="0" w:color="auto"/>
                        <w:right w:val="none" w:sz="0" w:space="0" w:color="auto"/>
                      </w:divBdr>
                    </w:div>
                  </w:divsChild>
                </w:div>
                <w:div w:id="530265550">
                  <w:marLeft w:val="0"/>
                  <w:marRight w:val="0"/>
                  <w:marTop w:val="0"/>
                  <w:marBottom w:val="0"/>
                  <w:divBdr>
                    <w:top w:val="none" w:sz="0" w:space="0" w:color="auto"/>
                    <w:left w:val="none" w:sz="0" w:space="0" w:color="auto"/>
                    <w:bottom w:val="none" w:sz="0" w:space="0" w:color="auto"/>
                    <w:right w:val="none" w:sz="0" w:space="0" w:color="auto"/>
                  </w:divBdr>
                  <w:divsChild>
                    <w:div w:id="1386223655">
                      <w:marLeft w:val="0"/>
                      <w:marRight w:val="0"/>
                      <w:marTop w:val="0"/>
                      <w:marBottom w:val="0"/>
                      <w:divBdr>
                        <w:top w:val="none" w:sz="0" w:space="0" w:color="auto"/>
                        <w:left w:val="none" w:sz="0" w:space="0" w:color="auto"/>
                        <w:bottom w:val="none" w:sz="0" w:space="0" w:color="auto"/>
                        <w:right w:val="none" w:sz="0" w:space="0" w:color="auto"/>
                      </w:divBdr>
                    </w:div>
                  </w:divsChild>
                </w:div>
                <w:div w:id="572937741">
                  <w:marLeft w:val="0"/>
                  <w:marRight w:val="0"/>
                  <w:marTop w:val="0"/>
                  <w:marBottom w:val="0"/>
                  <w:divBdr>
                    <w:top w:val="none" w:sz="0" w:space="0" w:color="auto"/>
                    <w:left w:val="none" w:sz="0" w:space="0" w:color="auto"/>
                    <w:bottom w:val="none" w:sz="0" w:space="0" w:color="auto"/>
                    <w:right w:val="none" w:sz="0" w:space="0" w:color="auto"/>
                  </w:divBdr>
                  <w:divsChild>
                    <w:div w:id="1114666734">
                      <w:marLeft w:val="0"/>
                      <w:marRight w:val="0"/>
                      <w:marTop w:val="0"/>
                      <w:marBottom w:val="0"/>
                      <w:divBdr>
                        <w:top w:val="none" w:sz="0" w:space="0" w:color="auto"/>
                        <w:left w:val="none" w:sz="0" w:space="0" w:color="auto"/>
                        <w:bottom w:val="none" w:sz="0" w:space="0" w:color="auto"/>
                        <w:right w:val="none" w:sz="0" w:space="0" w:color="auto"/>
                      </w:divBdr>
                    </w:div>
                  </w:divsChild>
                </w:div>
                <w:div w:id="587732793">
                  <w:marLeft w:val="0"/>
                  <w:marRight w:val="0"/>
                  <w:marTop w:val="0"/>
                  <w:marBottom w:val="0"/>
                  <w:divBdr>
                    <w:top w:val="none" w:sz="0" w:space="0" w:color="auto"/>
                    <w:left w:val="none" w:sz="0" w:space="0" w:color="auto"/>
                    <w:bottom w:val="none" w:sz="0" w:space="0" w:color="auto"/>
                    <w:right w:val="none" w:sz="0" w:space="0" w:color="auto"/>
                  </w:divBdr>
                  <w:divsChild>
                    <w:div w:id="1852179717">
                      <w:marLeft w:val="0"/>
                      <w:marRight w:val="0"/>
                      <w:marTop w:val="0"/>
                      <w:marBottom w:val="0"/>
                      <w:divBdr>
                        <w:top w:val="none" w:sz="0" w:space="0" w:color="auto"/>
                        <w:left w:val="none" w:sz="0" w:space="0" w:color="auto"/>
                        <w:bottom w:val="none" w:sz="0" w:space="0" w:color="auto"/>
                        <w:right w:val="none" w:sz="0" w:space="0" w:color="auto"/>
                      </w:divBdr>
                    </w:div>
                  </w:divsChild>
                </w:div>
                <w:div w:id="640771845">
                  <w:marLeft w:val="0"/>
                  <w:marRight w:val="0"/>
                  <w:marTop w:val="0"/>
                  <w:marBottom w:val="0"/>
                  <w:divBdr>
                    <w:top w:val="none" w:sz="0" w:space="0" w:color="auto"/>
                    <w:left w:val="none" w:sz="0" w:space="0" w:color="auto"/>
                    <w:bottom w:val="none" w:sz="0" w:space="0" w:color="auto"/>
                    <w:right w:val="none" w:sz="0" w:space="0" w:color="auto"/>
                  </w:divBdr>
                  <w:divsChild>
                    <w:div w:id="1061640923">
                      <w:marLeft w:val="0"/>
                      <w:marRight w:val="0"/>
                      <w:marTop w:val="0"/>
                      <w:marBottom w:val="0"/>
                      <w:divBdr>
                        <w:top w:val="none" w:sz="0" w:space="0" w:color="auto"/>
                        <w:left w:val="none" w:sz="0" w:space="0" w:color="auto"/>
                        <w:bottom w:val="none" w:sz="0" w:space="0" w:color="auto"/>
                        <w:right w:val="none" w:sz="0" w:space="0" w:color="auto"/>
                      </w:divBdr>
                    </w:div>
                  </w:divsChild>
                </w:div>
                <w:div w:id="667170723">
                  <w:marLeft w:val="0"/>
                  <w:marRight w:val="0"/>
                  <w:marTop w:val="0"/>
                  <w:marBottom w:val="0"/>
                  <w:divBdr>
                    <w:top w:val="none" w:sz="0" w:space="0" w:color="auto"/>
                    <w:left w:val="none" w:sz="0" w:space="0" w:color="auto"/>
                    <w:bottom w:val="none" w:sz="0" w:space="0" w:color="auto"/>
                    <w:right w:val="none" w:sz="0" w:space="0" w:color="auto"/>
                  </w:divBdr>
                  <w:divsChild>
                    <w:div w:id="1587182511">
                      <w:marLeft w:val="0"/>
                      <w:marRight w:val="0"/>
                      <w:marTop w:val="0"/>
                      <w:marBottom w:val="0"/>
                      <w:divBdr>
                        <w:top w:val="none" w:sz="0" w:space="0" w:color="auto"/>
                        <w:left w:val="none" w:sz="0" w:space="0" w:color="auto"/>
                        <w:bottom w:val="none" w:sz="0" w:space="0" w:color="auto"/>
                        <w:right w:val="none" w:sz="0" w:space="0" w:color="auto"/>
                      </w:divBdr>
                    </w:div>
                  </w:divsChild>
                </w:div>
                <w:div w:id="668558713">
                  <w:marLeft w:val="0"/>
                  <w:marRight w:val="0"/>
                  <w:marTop w:val="0"/>
                  <w:marBottom w:val="0"/>
                  <w:divBdr>
                    <w:top w:val="none" w:sz="0" w:space="0" w:color="auto"/>
                    <w:left w:val="none" w:sz="0" w:space="0" w:color="auto"/>
                    <w:bottom w:val="none" w:sz="0" w:space="0" w:color="auto"/>
                    <w:right w:val="none" w:sz="0" w:space="0" w:color="auto"/>
                  </w:divBdr>
                  <w:divsChild>
                    <w:div w:id="474640723">
                      <w:marLeft w:val="0"/>
                      <w:marRight w:val="0"/>
                      <w:marTop w:val="0"/>
                      <w:marBottom w:val="0"/>
                      <w:divBdr>
                        <w:top w:val="none" w:sz="0" w:space="0" w:color="auto"/>
                        <w:left w:val="none" w:sz="0" w:space="0" w:color="auto"/>
                        <w:bottom w:val="none" w:sz="0" w:space="0" w:color="auto"/>
                        <w:right w:val="none" w:sz="0" w:space="0" w:color="auto"/>
                      </w:divBdr>
                    </w:div>
                  </w:divsChild>
                </w:div>
                <w:div w:id="715930028">
                  <w:marLeft w:val="0"/>
                  <w:marRight w:val="0"/>
                  <w:marTop w:val="0"/>
                  <w:marBottom w:val="0"/>
                  <w:divBdr>
                    <w:top w:val="none" w:sz="0" w:space="0" w:color="auto"/>
                    <w:left w:val="none" w:sz="0" w:space="0" w:color="auto"/>
                    <w:bottom w:val="none" w:sz="0" w:space="0" w:color="auto"/>
                    <w:right w:val="none" w:sz="0" w:space="0" w:color="auto"/>
                  </w:divBdr>
                  <w:divsChild>
                    <w:div w:id="1529758656">
                      <w:marLeft w:val="0"/>
                      <w:marRight w:val="0"/>
                      <w:marTop w:val="0"/>
                      <w:marBottom w:val="0"/>
                      <w:divBdr>
                        <w:top w:val="none" w:sz="0" w:space="0" w:color="auto"/>
                        <w:left w:val="none" w:sz="0" w:space="0" w:color="auto"/>
                        <w:bottom w:val="none" w:sz="0" w:space="0" w:color="auto"/>
                        <w:right w:val="none" w:sz="0" w:space="0" w:color="auto"/>
                      </w:divBdr>
                    </w:div>
                  </w:divsChild>
                </w:div>
                <w:div w:id="717323197">
                  <w:marLeft w:val="0"/>
                  <w:marRight w:val="0"/>
                  <w:marTop w:val="0"/>
                  <w:marBottom w:val="0"/>
                  <w:divBdr>
                    <w:top w:val="none" w:sz="0" w:space="0" w:color="auto"/>
                    <w:left w:val="none" w:sz="0" w:space="0" w:color="auto"/>
                    <w:bottom w:val="none" w:sz="0" w:space="0" w:color="auto"/>
                    <w:right w:val="none" w:sz="0" w:space="0" w:color="auto"/>
                  </w:divBdr>
                  <w:divsChild>
                    <w:div w:id="805659623">
                      <w:marLeft w:val="0"/>
                      <w:marRight w:val="0"/>
                      <w:marTop w:val="0"/>
                      <w:marBottom w:val="0"/>
                      <w:divBdr>
                        <w:top w:val="none" w:sz="0" w:space="0" w:color="auto"/>
                        <w:left w:val="none" w:sz="0" w:space="0" w:color="auto"/>
                        <w:bottom w:val="none" w:sz="0" w:space="0" w:color="auto"/>
                        <w:right w:val="none" w:sz="0" w:space="0" w:color="auto"/>
                      </w:divBdr>
                    </w:div>
                  </w:divsChild>
                </w:div>
                <w:div w:id="727000747">
                  <w:marLeft w:val="0"/>
                  <w:marRight w:val="0"/>
                  <w:marTop w:val="0"/>
                  <w:marBottom w:val="0"/>
                  <w:divBdr>
                    <w:top w:val="none" w:sz="0" w:space="0" w:color="auto"/>
                    <w:left w:val="none" w:sz="0" w:space="0" w:color="auto"/>
                    <w:bottom w:val="none" w:sz="0" w:space="0" w:color="auto"/>
                    <w:right w:val="none" w:sz="0" w:space="0" w:color="auto"/>
                  </w:divBdr>
                  <w:divsChild>
                    <w:div w:id="901670363">
                      <w:marLeft w:val="0"/>
                      <w:marRight w:val="0"/>
                      <w:marTop w:val="0"/>
                      <w:marBottom w:val="0"/>
                      <w:divBdr>
                        <w:top w:val="none" w:sz="0" w:space="0" w:color="auto"/>
                        <w:left w:val="none" w:sz="0" w:space="0" w:color="auto"/>
                        <w:bottom w:val="none" w:sz="0" w:space="0" w:color="auto"/>
                        <w:right w:val="none" w:sz="0" w:space="0" w:color="auto"/>
                      </w:divBdr>
                    </w:div>
                  </w:divsChild>
                </w:div>
                <w:div w:id="729696754">
                  <w:marLeft w:val="0"/>
                  <w:marRight w:val="0"/>
                  <w:marTop w:val="0"/>
                  <w:marBottom w:val="0"/>
                  <w:divBdr>
                    <w:top w:val="none" w:sz="0" w:space="0" w:color="auto"/>
                    <w:left w:val="none" w:sz="0" w:space="0" w:color="auto"/>
                    <w:bottom w:val="none" w:sz="0" w:space="0" w:color="auto"/>
                    <w:right w:val="none" w:sz="0" w:space="0" w:color="auto"/>
                  </w:divBdr>
                  <w:divsChild>
                    <w:div w:id="342782398">
                      <w:marLeft w:val="0"/>
                      <w:marRight w:val="0"/>
                      <w:marTop w:val="0"/>
                      <w:marBottom w:val="0"/>
                      <w:divBdr>
                        <w:top w:val="none" w:sz="0" w:space="0" w:color="auto"/>
                        <w:left w:val="none" w:sz="0" w:space="0" w:color="auto"/>
                        <w:bottom w:val="none" w:sz="0" w:space="0" w:color="auto"/>
                        <w:right w:val="none" w:sz="0" w:space="0" w:color="auto"/>
                      </w:divBdr>
                    </w:div>
                  </w:divsChild>
                </w:div>
                <w:div w:id="730806634">
                  <w:marLeft w:val="0"/>
                  <w:marRight w:val="0"/>
                  <w:marTop w:val="0"/>
                  <w:marBottom w:val="0"/>
                  <w:divBdr>
                    <w:top w:val="none" w:sz="0" w:space="0" w:color="auto"/>
                    <w:left w:val="none" w:sz="0" w:space="0" w:color="auto"/>
                    <w:bottom w:val="none" w:sz="0" w:space="0" w:color="auto"/>
                    <w:right w:val="none" w:sz="0" w:space="0" w:color="auto"/>
                  </w:divBdr>
                  <w:divsChild>
                    <w:div w:id="852037951">
                      <w:marLeft w:val="0"/>
                      <w:marRight w:val="0"/>
                      <w:marTop w:val="0"/>
                      <w:marBottom w:val="0"/>
                      <w:divBdr>
                        <w:top w:val="none" w:sz="0" w:space="0" w:color="auto"/>
                        <w:left w:val="none" w:sz="0" w:space="0" w:color="auto"/>
                        <w:bottom w:val="none" w:sz="0" w:space="0" w:color="auto"/>
                        <w:right w:val="none" w:sz="0" w:space="0" w:color="auto"/>
                      </w:divBdr>
                    </w:div>
                  </w:divsChild>
                </w:div>
                <w:div w:id="754206718">
                  <w:marLeft w:val="0"/>
                  <w:marRight w:val="0"/>
                  <w:marTop w:val="0"/>
                  <w:marBottom w:val="0"/>
                  <w:divBdr>
                    <w:top w:val="none" w:sz="0" w:space="0" w:color="auto"/>
                    <w:left w:val="none" w:sz="0" w:space="0" w:color="auto"/>
                    <w:bottom w:val="none" w:sz="0" w:space="0" w:color="auto"/>
                    <w:right w:val="none" w:sz="0" w:space="0" w:color="auto"/>
                  </w:divBdr>
                  <w:divsChild>
                    <w:div w:id="26414866">
                      <w:marLeft w:val="0"/>
                      <w:marRight w:val="0"/>
                      <w:marTop w:val="0"/>
                      <w:marBottom w:val="0"/>
                      <w:divBdr>
                        <w:top w:val="none" w:sz="0" w:space="0" w:color="auto"/>
                        <w:left w:val="none" w:sz="0" w:space="0" w:color="auto"/>
                        <w:bottom w:val="none" w:sz="0" w:space="0" w:color="auto"/>
                        <w:right w:val="none" w:sz="0" w:space="0" w:color="auto"/>
                      </w:divBdr>
                    </w:div>
                  </w:divsChild>
                </w:div>
                <w:div w:id="768041001">
                  <w:marLeft w:val="0"/>
                  <w:marRight w:val="0"/>
                  <w:marTop w:val="0"/>
                  <w:marBottom w:val="0"/>
                  <w:divBdr>
                    <w:top w:val="none" w:sz="0" w:space="0" w:color="auto"/>
                    <w:left w:val="none" w:sz="0" w:space="0" w:color="auto"/>
                    <w:bottom w:val="none" w:sz="0" w:space="0" w:color="auto"/>
                    <w:right w:val="none" w:sz="0" w:space="0" w:color="auto"/>
                  </w:divBdr>
                  <w:divsChild>
                    <w:div w:id="709577507">
                      <w:marLeft w:val="0"/>
                      <w:marRight w:val="0"/>
                      <w:marTop w:val="0"/>
                      <w:marBottom w:val="0"/>
                      <w:divBdr>
                        <w:top w:val="none" w:sz="0" w:space="0" w:color="auto"/>
                        <w:left w:val="none" w:sz="0" w:space="0" w:color="auto"/>
                        <w:bottom w:val="none" w:sz="0" w:space="0" w:color="auto"/>
                        <w:right w:val="none" w:sz="0" w:space="0" w:color="auto"/>
                      </w:divBdr>
                    </w:div>
                  </w:divsChild>
                </w:div>
                <w:div w:id="774590785">
                  <w:marLeft w:val="0"/>
                  <w:marRight w:val="0"/>
                  <w:marTop w:val="0"/>
                  <w:marBottom w:val="0"/>
                  <w:divBdr>
                    <w:top w:val="none" w:sz="0" w:space="0" w:color="auto"/>
                    <w:left w:val="none" w:sz="0" w:space="0" w:color="auto"/>
                    <w:bottom w:val="none" w:sz="0" w:space="0" w:color="auto"/>
                    <w:right w:val="none" w:sz="0" w:space="0" w:color="auto"/>
                  </w:divBdr>
                  <w:divsChild>
                    <w:div w:id="541291629">
                      <w:marLeft w:val="0"/>
                      <w:marRight w:val="0"/>
                      <w:marTop w:val="0"/>
                      <w:marBottom w:val="0"/>
                      <w:divBdr>
                        <w:top w:val="none" w:sz="0" w:space="0" w:color="auto"/>
                        <w:left w:val="none" w:sz="0" w:space="0" w:color="auto"/>
                        <w:bottom w:val="none" w:sz="0" w:space="0" w:color="auto"/>
                        <w:right w:val="none" w:sz="0" w:space="0" w:color="auto"/>
                      </w:divBdr>
                    </w:div>
                  </w:divsChild>
                </w:div>
                <w:div w:id="792670395">
                  <w:marLeft w:val="0"/>
                  <w:marRight w:val="0"/>
                  <w:marTop w:val="0"/>
                  <w:marBottom w:val="0"/>
                  <w:divBdr>
                    <w:top w:val="none" w:sz="0" w:space="0" w:color="auto"/>
                    <w:left w:val="none" w:sz="0" w:space="0" w:color="auto"/>
                    <w:bottom w:val="none" w:sz="0" w:space="0" w:color="auto"/>
                    <w:right w:val="none" w:sz="0" w:space="0" w:color="auto"/>
                  </w:divBdr>
                  <w:divsChild>
                    <w:div w:id="2080051049">
                      <w:marLeft w:val="0"/>
                      <w:marRight w:val="0"/>
                      <w:marTop w:val="0"/>
                      <w:marBottom w:val="0"/>
                      <w:divBdr>
                        <w:top w:val="none" w:sz="0" w:space="0" w:color="auto"/>
                        <w:left w:val="none" w:sz="0" w:space="0" w:color="auto"/>
                        <w:bottom w:val="none" w:sz="0" w:space="0" w:color="auto"/>
                        <w:right w:val="none" w:sz="0" w:space="0" w:color="auto"/>
                      </w:divBdr>
                    </w:div>
                  </w:divsChild>
                </w:div>
                <w:div w:id="798953989">
                  <w:marLeft w:val="0"/>
                  <w:marRight w:val="0"/>
                  <w:marTop w:val="0"/>
                  <w:marBottom w:val="0"/>
                  <w:divBdr>
                    <w:top w:val="none" w:sz="0" w:space="0" w:color="auto"/>
                    <w:left w:val="none" w:sz="0" w:space="0" w:color="auto"/>
                    <w:bottom w:val="none" w:sz="0" w:space="0" w:color="auto"/>
                    <w:right w:val="none" w:sz="0" w:space="0" w:color="auto"/>
                  </w:divBdr>
                  <w:divsChild>
                    <w:div w:id="660045294">
                      <w:marLeft w:val="0"/>
                      <w:marRight w:val="0"/>
                      <w:marTop w:val="0"/>
                      <w:marBottom w:val="0"/>
                      <w:divBdr>
                        <w:top w:val="none" w:sz="0" w:space="0" w:color="auto"/>
                        <w:left w:val="none" w:sz="0" w:space="0" w:color="auto"/>
                        <w:bottom w:val="none" w:sz="0" w:space="0" w:color="auto"/>
                        <w:right w:val="none" w:sz="0" w:space="0" w:color="auto"/>
                      </w:divBdr>
                    </w:div>
                  </w:divsChild>
                </w:div>
                <w:div w:id="807673728">
                  <w:marLeft w:val="0"/>
                  <w:marRight w:val="0"/>
                  <w:marTop w:val="0"/>
                  <w:marBottom w:val="0"/>
                  <w:divBdr>
                    <w:top w:val="none" w:sz="0" w:space="0" w:color="auto"/>
                    <w:left w:val="none" w:sz="0" w:space="0" w:color="auto"/>
                    <w:bottom w:val="none" w:sz="0" w:space="0" w:color="auto"/>
                    <w:right w:val="none" w:sz="0" w:space="0" w:color="auto"/>
                  </w:divBdr>
                  <w:divsChild>
                    <w:div w:id="2022509243">
                      <w:marLeft w:val="0"/>
                      <w:marRight w:val="0"/>
                      <w:marTop w:val="0"/>
                      <w:marBottom w:val="0"/>
                      <w:divBdr>
                        <w:top w:val="none" w:sz="0" w:space="0" w:color="auto"/>
                        <w:left w:val="none" w:sz="0" w:space="0" w:color="auto"/>
                        <w:bottom w:val="none" w:sz="0" w:space="0" w:color="auto"/>
                        <w:right w:val="none" w:sz="0" w:space="0" w:color="auto"/>
                      </w:divBdr>
                    </w:div>
                  </w:divsChild>
                </w:div>
                <w:div w:id="810709328">
                  <w:marLeft w:val="0"/>
                  <w:marRight w:val="0"/>
                  <w:marTop w:val="0"/>
                  <w:marBottom w:val="0"/>
                  <w:divBdr>
                    <w:top w:val="none" w:sz="0" w:space="0" w:color="auto"/>
                    <w:left w:val="none" w:sz="0" w:space="0" w:color="auto"/>
                    <w:bottom w:val="none" w:sz="0" w:space="0" w:color="auto"/>
                    <w:right w:val="none" w:sz="0" w:space="0" w:color="auto"/>
                  </w:divBdr>
                  <w:divsChild>
                    <w:div w:id="586812695">
                      <w:marLeft w:val="0"/>
                      <w:marRight w:val="0"/>
                      <w:marTop w:val="0"/>
                      <w:marBottom w:val="0"/>
                      <w:divBdr>
                        <w:top w:val="none" w:sz="0" w:space="0" w:color="auto"/>
                        <w:left w:val="none" w:sz="0" w:space="0" w:color="auto"/>
                        <w:bottom w:val="none" w:sz="0" w:space="0" w:color="auto"/>
                        <w:right w:val="none" w:sz="0" w:space="0" w:color="auto"/>
                      </w:divBdr>
                    </w:div>
                  </w:divsChild>
                </w:div>
                <w:div w:id="815144968">
                  <w:marLeft w:val="0"/>
                  <w:marRight w:val="0"/>
                  <w:marTop w:val="0"/>
                  <w:marBottom w:val="0"/>
                  <w:divBdr>
                    <w:top w:val="none" w:sz="0" w:space="0" w:color="auto"/>
                    <w:left w:val="none" w:sz="0" w:space="0" w:color="auto"/>
                    <w:bottom w:val="none" w:sz="0" w:space="0" w:color="auto"/>
                    <w:right w:val="none" w:sz="0" w:space="0" w:color="auto"/>
                  </w:divBdr>
                  <w:divsChild>
                    <w:div w:id="515508836">
                      <w:marLeft w:val="0"/>
                      <w:marRight w:val="0"/>
                      <w:marTop w:val="0"/>
                      <w:marBottom w:val="0"/>
                      <w:divBdr>
                        <w:top w:val="none" w:sz="0" w:space="0" w:color="auto"/>
                        <w:left w:val="none" w:sz="0" w:space="0" w:color="auto"/>
                        <w:bottom w:val="none" w:sz="0" w:space="0" w:color="auto"/>
                        <w:right w:val="none" w:sz="0" w:space="0" w:color="auto"/>
                      </w:divBdr>
                    </w:div>
                  </w:divsChild>
                </w:div>
                <w:div w:id="833687733">
                  <w:marLeft w:val="0"/>
                  <w:marRight w:val="0"/>
                  <w:marTop w:val="0"/>
                  <w:marBottom w:val="0"/>
                  <w:divBdr>
                    <w:top w:val="none" w:sz="0" w:space="0" w:color="auto"/>
                    <w:left w:val="none" w:sz="0" w:space="0" w:color="auto"/>
                    <w:bottom w:val="none" w:sz="0" w:space="0" w:color="auto"/>
                    <w:right w:val="none" w:sz="0" w:space="0" w:color="auto"/>
                  </w:divBdr>
                  <w:divsChild>
                    <w:div w:id="986007041">
                      <w:marLeft w:val="0"/>
                      <w:marRight w:val="0"/>
                      <w:marTop w:val="0"/>
                      <w:marBottom w:val="0"/>
                      <w:divBdr>
                        <w:top w:val="none" w:sz="0" w:space="0" w:color="auto"/>
                        <w:left w:val="none" w:sz="0" w:space="0" w:color="auto"/>
                        <w:bottom w:val="none" w:sz="0" w:space="0" w:color="auto"/>
                        <w:right w:val="none" w:sz="0" w:space="0" w:color="auto"/>
                      </w:divBdr>
                    </w:div>
                  </w:divsChild>
                </w:div>
                <w:div w:id="834684673">
                  <w:marLeft w:val="0"/>
                  <w:marRight w:val="0"/>
                  <w:marTop w:val="0"/>
                  <w:marBottom w:val="0"/>
                  <w:divBdr>
                    <w:top w:val="none" w:sz="0" w:space="0" w:color="auto"/>
                    <w:left w:val="none" w:sz="0" w:space="0" w:color="auto"/>
                    <w:bottom w:val="none" w:sz="0" w:space="0" w:color="auto"/>
                    <w:right w:val="none" w:sz="0" w:space="0" w:color="auto"/>
                  </w:divBdr>
                  <w:divsChild>
                    <w:div w:id="407465462">
                      <w:marLeft w:val="0"/>
                      <w:marRight w:val="0"/>
                      <w:marTop w:val="0"/>
                      <w:marBottom w:val="0"/>
                      <w:divBdr>
                        <w:top w:val="none" w:sz="0" w:space="0" w:color="auto"/>
                        <w:left w:val="none" w:sz="0" w:space="0" w:color="auto"/>
                        <w:bottom w:val="none" w:sz="0" w:space="0" w:color="auto"/>
                        <w:right w:val="none" w:sz="0" w:space="0" w:color="auto"/>
                      </w:divBdr>
                    </w:div>
                  </w:divsChild>
                </w:div>
                <w:div w:id="834875773">
                  <w:marLeft w:val="0"/>
                  <w:marRight w:val="0"/>
                  <w:marTop w:val="0"/>
                  <w:marBottom w:val="0"/>
                  <w:divBdr>
                    <w:top w:val="none" w:sz="0" w:space="0" w:color="auto"/>
                    <w:left w:val="none" w:sz="0" w:space="0" w:color="auto"/>
                    <w:bottom w:val="none" w:sz="0" w:space="0" w:color="auto"/>
                    <w:right w:val="none" w:sz="0" w:space="0" w:color="auto"/>
                  </w:divBdr>
                  <w:divsChild>
                    <w:div w:id="1838378243">
                      <w:marLeft w:val="0"/>
                      <w:marRight w:val="0"/>
                      <w:marTop w:val="0"/>
                      <w:marBottom w:val="0"/>
                      <w:divBdr>
                        <w:top w:val="none" w:sz="0" w:space="0" w:color="auto"/>
                        <w:left w:val="none" w:sz="0" w:space="0" w:color="auto"/>
                        <w:bottom w:val="none" w:sz="0" w:space="0" w:color="auto"/>
                        <w:right w:val="none" w:sz="0" w:space="0" w:color="auto"/>
                      </w:divBdr>
                    </w:div>
                  </w:divsChild>
                </w:div>
                <w:div w:id="849685649">
                  <w:marLeft w:val="0"/>
                  <w:marRight w:val="0"/>
                  <w:marTop w:val="0"/>
                  <w:marBottom w:val="0"/>
                  <w:divBdr>
                    <w:top w:val="none" w:sz="0" w:space="0" w:color="auto"/>
                    <w:left w:val="none" w:sz="0" w:space="0" w:color="auto"/>
                    <w:bottom w:val="none" w:sz="0" w:space="0" w:color="auto"/>
                    <w:right w:val="none" w:sz="0" w:space="0" w:color="auto"/>
                  </w:divBdr>
                  <w:divsChild>
                    <w:div w:id="1980062858">
                      <w:marLeft w:val="0"/>
                      <w:marRight w:val="0"/>
                      <w:marTop w:val="0"/>
                      <w:marBottom w:val="0"/>
                      <w:divBdr>
                        <w:top w:val="none" w:sz="0" w:space="0" w:color="auto"/>
                        <w:left w:val="none" w:sz="0" w:space="0" w:color="auto"/>
                        <w:bottom w:val="none" w:sz="0" w:space="0" w:color="auto"/>
                        <w:right w:val="none" w:sz="0" w:space="0" w:color="auto"/>
                      </w:divBdr>
                    </w:div>
                  </w:divsChild>
                </w:div>
                <w:div w:id="863594382">
                  <w:marLeft w:val="0"/>
                  <w:marRight w:val="0"/>
                  <w:marTop w:val="0"/>
                  <w:marBottom w:val="0"/>
                  <w:divBdr>
                    <w:top w:val="none" w:sz="0" w:space="0" w:color="auto"/>
                    <w:left w:val="none" w:sz="0" w:space="0" w:color="auto"/>
                    <w:bottom w:val="none" w:sz="0" w:space="0" w:color="auto"/>
                    <w:right w:val="none" w:sz="0" w:space="0" w:color="auto"/>
                  </w:divBdr>
                  <w:divsChild>
                    <w:div w:id="508184108">
                      <w:marLeft w:val="0"/>
                      <w:marRight w:val="0"/>
                      <w:marTop w:val="0"/>
                      <w:marBottom w:val="0"/>
                      <w:divBdr>
                        <w:top w:val="none" w:sz="0" w:space="0" w:color="auto"/>
                        <w:left w:val="none" w:sz="0" w:space="0" w:color="auto"/>
                        <w:bottom w:val="none" w:sz="0" w:space="0" w:color="auto"/>
                        <w:right w:val="none" w:sz="0" w:space="0" w:color="auto"/>
                      </w:divBdr>
                    </w:div>
                  </w:divsChild>
                </w:div>
                <w:div w:id="890388436">
                  <w:marLeft w:val="0"/>
                  <w:marRight w:val="0"/>
                  <w:marTop w:val="0"/>
                  <w:marBottom w:val="0"/>
                  <w:divBdr>
                    <w:top w:val="none" w:sz="0" w:space="0" w:color="auto"/>
                    <w:left w:val="none" w:sz="0" w:space="0" w:color="auto"/>
                    <w:bottom w:val="none" w:sz="0" w:space="0" w:color="auto"/>
                    <w:right w:val="none" w:sz="0" w:space="0" w:color="auto"/>
                  </w:divBdr>
                  <w:divsChild>
                    <w:div w:id="991254415">
                      <w:marLeft w:val="0"/>
                      <w:marRight w:val="0"/>
                      <w:marTop w:val="0"/>
                      <w:marBottom w:val="0"/>
                      <w:divBdr>
                        <w:top w:val="none" w:sz="0" w:space="0" w:color="auto"/>
                        <w:left w:val="none" w:sz="0" w:space="0" w:color="auto"/>
                        <w:bottom w:val="none" w:sz="0" w:space="0" w:color="auto"/>
                        <w:right w:val="none" w:sz="0" w:space="0" w:color="auto"/>
                      </w:divBdr>
                    </w:div>
                  </w:divsChild>
                </w:div>
                <w:div w:id="903030594">
                  <w:marLeft w:val="0"/>
                  <w:marRight w:val="0"/>
                  <w:marTop w:val="0"/>
                  <w:marBottom w:val="0"/>
                  <w:divBdr>
                    <w:top w:val="none" w:sz="0" w:space="0" w:color="auto"/>
                    <w:left w:val="none" w:sz="0" w:space="0" w:color="auto"/>
                    <w:bottom w:val="none" w:sz="0" w:space="0" w:color="auto"/>
                    <w:right w:val="none" w:sz="0" w:space="0" w:color="auto"/>
                  </w:divBdr>
                  <w:divsChild>
                    <w:div w:id="511796586">
                      <w:marLeft w:val="0"/>
                      <w:marRight w:val="0"/>
                      <w:marTop w:val="0"/>
                      <w:marBottom w:val="0"/>
                      <w:divBdr>
                        <w:top w:val="none" w:sz="0" w:space="0" w:color="auto"/>
                        <w:left w:val="none" w:sz="0" w:space="0" w:color="auto"/>
                        <w:bottom w:val="none" w:sz="0" w:space="0" w:color="auto"/>
                        <w:right w:val="none" w:sz="0" w:space="0" w:color="auto"/>
                      </w:divBdr>
                    </w:div>
                  </w:divsChild>
                </w:div>
                <w:div w:id="913975986">
                  <w:marLeft w:val="0"/>
                  <w:marRight w:val="0"/>
                  <w:marTop w:val="0"/>
                  <w:marBottom w:val="0"/>
                  <w:divBdr>
                    <w:top w:val="none" w:sz="0" w:space="0" w:color="auto"/>
                    <w:left w:val="none" w:sz="0" w:space="0" w:color="auto"/>
                    <w:bottom w:val="none" w:sz="0" w:space="0" w:color="auto"/>
                    <w:right w:val="none" w:sz="0" w:space="0" w:color="auto"/>
                  </w:divBdr>
                  <w:divsChild>
                    <w:div w:id="372580612">
                      <w:marLeft w:val="0"/>
                      <w:marRight w:val="0"/>
                      <w:marTop w:val="0"/>
                      <w:marBottom w:val="0"/>
                      <w:divBdr>
                        <w:top w:val="none" w:sz="0" w:space="0" w:color="auto"/>
                        <w:left w:val="none" w:sz="0" w:space="0" w:color="auto"/>
                        <w:bottom w:val="none" w:sz="0" w:space="0" w:color="auto"/>
                        <w:right w:val="none" w:sz="0" w:space="0" w:color="auto"/>
                      </w:divBdr>
                    </w:div>
                  </w:divsChild>
                </w:div>
                <w:div w:id="914976559">
                  <w:marLeft w:val="0"/>
                  <w:marRight w:val="0"/>
                  <w:marTop w:val="0"/>
                  <w:marBottom w:val="0"/>
                  <w:divBdr>
                    <w:top w:val="none" w:sz="0" w:space="0" w:color="auto"/>
                    <w:left w:val="none" w:sz="0" w:space="0" w:color="auto"/>
                    <w:bottom w:val="none" w:sz="0" w:space="0" w:color="auto"/>
                    <w:right w:val="none" w:sz="0" w:space="0" w:color="auto"/>
                  </w:divBdr>
                  <w:divsChild>
                    <w:div w:id="1972321599">
                      <w:marLeft w:val="0"/>
                      <w:marRight w:val="0"/>
                      <w:marTop w:val="0"/>
                      <w:marBottom w:val="0"/>
                      <w:divBdr>
                        <w:top w:val="none" w:sz="0" w:space="0" w:color="auto"/>
                        <w:left w:val="none" w:sz="0" w:space="0" w:color="auto"/>
                        <w:bottom w:val="none" w:sz="0" w:space="0" w:color="auto"/>
                        <w:right w:val="none" w:sz="0" w:space="0" w:color="auto"/>
                      </w:divBdr>
                    </w:div>
                  </w:divsChild>
                </w:div>
                <w:div w:id="924995227">
                  <w:marLeft w:val="0"/>
                  <w:marRight w:val="0"/>
                  <w:marTop w:val="0"/>
                  <w:marBottom w:val="0"/>
                  <w:divBdr>
                    <w:top w:val="none" w:sz="0" w:space="0" w:color="auto"/>
                    <w:left w:val="none" w:sz="0" w:space="0" w:color="auto"/>
                    <w:bottom w:val="none" w:sz="0" w:space="0" w:color="auto"/>
                    <w:right w:val="none" w:sz="0" w:space="0" w:color="auto"/>
                  </w:divBdr>
                  <w:divsChild>
                    <w:div w:id="390471834">
                      <w:marLeft w:val="0"/>
                      <w:marRight w:val="0"/>
                      <w:marTop w:val="0"/>
                      <w:marBottom w:val="0"/>
                      <w:divBdr>
                        <w:top w:val="none" w:sz="0" w:space="0" w:color="auto"/>
                        <w:left w:val="none" w:sz="0" w:space="0" w:color="auto"/>
                        <w:bottom w:val="none" w:sz="0" w:space="0" w:color="auto"/>
                        <w:right w:val="none" w:sz="0" w:space="0" w:color="auto"/>
                      </w:divBdr>
                    </w:div>
                  </w:divsChild>
                </w:div>
                <w:div w:id="947540585">
                  <w:marLeft w:val="0"/>
                  <w:marRight w:val="0"/>
                  <w:marTop w:val="0"/>
                  <w:marBottom w:val="0"/>
                  <w:divBdr>
                    <w:top w:val="none" w:sz="0" w:space="0" w:color="auto"/>
                    <w:left w:val="none" w:sz="0" w:space="0" w:color="auto"/>
                    <w:bottom w:val="none" w:sz="0" w:space="0" w:color="auto"/>
                    <w:right w:val="none" w:sz="0" w:space="0" w:color="auto"/>
                  </w:divBdr>
                  <w:divsChild>
                    <w:div w:id="1637686082">
                      <w:marLeft w:val="0"/>
                      <w:marRight w:val="0"/>
                      <w:marTop w:val="0"/>
                      <w:marBottom w:val="0"/>
                      <w:divBdr>
                        <w:top w:val="none" w:sz="0" w:space="0" w:color="auto"/>
                        <w:left w:val="none" w:sz="0" w:space="0" w:color="auto"/>
                        <w:bottom w:val="none" w:sz="0" w:space="0" w:color="auto"/>
                        <w:right w:val="none" w:sz="0" w:space="0" w:color="auto"/>
                      </w:divBdr>
                    </w:div>
                  </w:divsChild>
                </w:div>
                <w:div w:id="956788422">
                  <w:marLeft w:val="0"/>
                  <w:marRight w:val="0"/>
                  <w:marTop w:val="0"/>
                  <w:marBottom w:val="0"/>
                  <w:divBdr>
                    <w:top w:val="none" w:sz="0" w:space="0" w:color="auto"/>
                    <w:left w:val="none" w:sz="0" w:space="0" w:color="auto"/>
                    <w:bottom w:val="none" w:sz="0" w:space="0" w:color="auto"/>
                    <w:right w:val="none" w:sz="0" w:space="0" w:color="auto"/>
                  </w:divBdr>
                  <w:divsChild>
                    <w:div w:id="1360473703">
                      <w:marLeft w:val="0"/>
                      <w:marRight w:val="0"/>
                      <w:marTop w:val="0"/>
                      <w:marBottom w:val="0"/>
                      <w:divBdr>
                        <w:top w:val="none" w:sz="0" w:space="0" w:color="auto"/>
                        <w:left w:val="none" w:sz="0" w:space="0" w:color="auto"/>
                        <w:bottom w:val="none" w:sz="0" w:space="0" w:color="auto"/>
                        <w:right w:val="none" w:sz="0" w:space="0" w:color="auto"/>
                      </w:divBdr>
                    </w:div>
                  </w:divsChild>
                </w:div>
                <w:div w:id="965693602">
                  <w:marLeft w:val="0"/>
                  <w:marRight w:val="0"/>
                  <w:marTop w:val="0"/>
                  <w:marBottom w:val="0"/>
                  <w:divBdr>
                    <w:top w:val="none" w:sz="0" w:space="0" w:color="auto"/>
                    <w:left w:val="none" w:sz="0" w:space="0" w:color="auto"/>
                    <w:bottom w:val="none" w:sz="0" w:space="0" w:color="auto"/>
                    <w:right w:val="none" w:sz="0" w:space="0" w:color="auto"/>
                  </w:divBdr>
                  <w:divsChild>
                    <w:div w:id="337774847">
                      <w:marLeft w:val="0"/>
                      <w:marRight w:val="0"/>
                      <w:marTop w:val="0"/>
                      <w:marBottom w:val="0"/>
                      <w:divBdr>
                        <w:top w:val="none" w:sz="0" w:space="0" w:color="auto"/>
                        <w:left w:val="none" w:sz="0" w:space="0" w:color="auto"/>
                        <w:bottom w:val="none" w:sz="0" w:space="0" w:color="auto"/>
                        <w:right w:val="none" w:sz="0" w:space="0" w:color="auto"/>
                      </w:divBdr>
                    </w:div>
                  </w:divsChild>
                </w:div>
                <w:div w:id="975725306">
                  <w:marLeft w:val="0"/>
                  <w:marRight w:val="0"/>
                  <w:marTop w:val="0"/>
                  <w:marBottom w:val="0"/>
                  <w:divBdr>
                    <w:top w:val="none" w:sz="0" w:space="0" w:color="auto"/>
                    <w:left w:val="none" w:sz="0" w:space="0" w:color="auto"/>
                    <w:bottom w:val="none" w:sz="0" w:space="0" w:color="auto"/>
                    <w:right w:val="none" w:sz="0" w:space="0" w:color="auto"/>
                  </w:divBdr>
                  <w:divsChild>
                    <w:div w:id="2008903212">
                      <w:marLeft w:val="0"/>
                      <w:marRight w:val="0"/>
                      <w:marTop w:val="0"/>
                      <w:marBottom w:val="0"/>
                      <w:divBdr>
                        <w:top w:val="none" w:sz="0" w:space="0" w:color="auto"/>
                        <w:left w:val="none" w:sz="0" w:space="0" w:color="auto"/>
                        <w:bottom w:val="none" w:sz="0" w:space="0" w:color="auto"/>
                        <w:right w:val="none" w:sz="0" w:space="0" w:color="auto"/>
                      </w:divBdr>
                    </w:div>
                  </w:divsChild>
                </w:div>
                <w:div w:id="978075709">
                  <w:marLeft w:val="0"/>
                  <w:marRight w:val="0"/>
                  <w:marTop w:val="0"/>
                  <w:marBottom w:val="0"/>
                  <w:divBdr>
                    <w:top w:val="none" w:sz="0" w:space="0" w:color="auto"/>
                    <w:left w:val="none" w:sz="0" w:space="0" w:color="auto"/>
                    <w:bottom w:val="none" w:sz="0" w:space="0" w:color="auto"/>
                    <w:right w:val="none" w:sz="0" w:space="0" w:color="auto"/>
                  </w:divBdr>
                  <w:divsChild>
                    <w:div w:id="1659262183">
                      <w:marLeft w:val="0"/>
                      <w:marRight w:val="0"/>
                      <w:marTop w:val="0"/>
                      <w:marBottom w:val="0"/>
                      <w:divBdr>
                        <w:top w:val="none" w:sz="0" w:space="0" w:color="auto"/>
                        <w:left w:val="none" w:sz="0" w:space="0" w:color="auto"/>
                        <w:bottom w:val="none" w:sz="0" w:space="0" w:color="auto"/>
                        <w:right w:val="none" w:sz="0" w:space="0" w:color="auto"/>
                      </w:divBdr>
                    </w:div>
                  </w:divsChild>
                </w:div>
                <w:div w:id="979382063">
                  <w:marLeft w:val="0"/>
                  <w:marRight w:val="0"/>
                  <w:marTop w:val="0"/>
                  <w:marBottom w:val="0"/>
                  <w:divBdr>
                    <w:top w:val="none" w:sz="0" w:space="0" w:color="auto"/>
                    <w:left w:val="none" w:sz="0" w:space="0" w:color="auto"/>
                    <w:bottom w:val="none" w:sz="0" w:space="0" w:color="auto"/>
                    <w:right w:val="none" w:sz="0" w:space="0" w:color="auto"/>
                  </w:divBdr>
                  <w:divsChild>
                    <w:div w:id="727652498">
                      <w:marLeft w:val="0"/>
                      <w:marRight w:val="0"/>
                      <w:marTop w:val="0"/>
                      <w:marBottom w:val="0"/>
                      <w:divBdr>
                        <w:top w:val="none" w:sz="0" w:space="0" w:color="auto"/>
                        <w:left w:val="none" w:sz="0" w:space="0" w:color="auto"/>
                        <w:bottom w:val="none" w:sz="0" w:space="0" w:color="auto"/>
                        <w:right w:val="none" w:sz="0" w:space="0" w:color="auto"/>
                      </w:divBdr>
                    </w:div>
                  </w:divsChild>
                </w:div>
                <w:div w:id="986007520">
                  <w:marLeft w:val="0"/>
                  <w:marRight w:val="0"/>
                  <w:marTop w:val="0"/>
                  <w:marBottom w:val="0"/>
                  <w:divBdr>
                    <w:top w:val="none" w:sz="0" w:space="0" w:color="auto"/>
                    <w:left w:val="none" w:sz="0" w:space="0" w:color="auto"/>
                    <w:bottom w:val="none" w:sz="0" w:space="0" w:color="auto"/>
                    <w:right w:val="none" w:sz="0" w:space="0" w:color="auto"/>
                  </w:divBdr>
                  <w:divsChild>
                    <w:div w:id="628824534">
                      <w:marLeft w:val="0"/>
                      <w:marRight w:val="0"/>
                      <w:marTop w:val="0"/>
                      <w:marBottom w:val="0"/>
                      <w:divBdr>
                        <w:top w:val="none" w:sz="0" w:space="0" w:color="auto"/>
                        <w:left w:val="none" w:sz="0" w:space="0" w:color="auto"/>
                        <w:bottom w:val="none" w:sz="0" w:space="0" w:color="auto"/>
                        <w:right w:val="none" w:sz="0" w:space="0" w:color="auto"/>
                      </w:divBdr>
                    </w:div>
                  </w:divsChild>
                </w:div>
                <w:div w:id="1000230924">
                  <w:marLeft w:val="0"/>
                  <w:marRight w:val="0"/>
                  <w:marTop w:val="0"/>
                  <w:marBottom w:val="0"/>
                  <w:divBdr>
                    <w:top w:val="none" w:sz="0" w:space="0" w:color="auto"/>
                    <w:left w:val="none" w:sz="0" w:space="0" w:color="auto"/>
                    <w:bottom w:val="none" w:sz="0" w:space="0" w:color="auto"/>
                    <w:right w:val="none" w:sz="0" w:space="0" w:color="auto"/>
                  </w:divBdr>
                  <w:divsChild>
                    <w:div w:id="650332867">
                      <w:marLeft w:val="0"/>
                      <w:marRight w:val="0"/>
                      <w:marTop w:val="0"/>
                      <w:marBottom w:val="0"/>
                      <w:divBdr>
                        <w:top w:val="none" w:sz="0" w:space="0" w:color="auto"/>
                        <w:left w:val="none" w:sz="0" w:space="0" w:color="auto"/>
                        <w:bottom w:val="none" w:sz="0" w:space="0" w:color="auto"/>
                        <w:right w:val="none" w:sz="0" w:space="0" w:color="auto"/>
                      </w:divBdr>
                    </w:div>
                  </w:divsChild>
                </w:div>
                <w:div w:id="1010647485">
                  <w:marLeft w:val="0"/>
                  <w:marRight w:val="0"/>
                  <w:marTop w:val="0"/>
                  <w:marBottom w:val="0"/>
                  <w:divBdr>
                    <w:top w:val="none" w:sz="0" w:space="0" w:color="auto"/>
                    <w:left w:val="none" w:sz="0" w:space="0" w:color="auto"/>
                    <w:bottom w:val="none" w:sz="0" w:space="0" w:color="auto"/>
                    <w:right w:val="none" w:sz="0" w:space="0" w:color="auto"/>
                  </w:divBdr>
                  <w:divsChild>
                    <w:div w:id="257182166">
                      <w:marLeft w:val="0"/>
                      <w:marRight w:val="0"/>
                      <w:marTop w:val="0"/>
                      <w:marBottom w:val="0"/>
                      <w:divBdr>
                        <w:top w:val="none" w:sz="0" w:space="0" w:color="auto"/>
                        <w:left w:val="none" w:sz="0" w:space="0" w:color="auto"/>
                        <w:bottom w:val="none" w:sz="0" w:space="0" w:color="auto"/>
                        <w:right w:val="none" w:sz="0" w:space="0" w:color="auto"/>
                      </w:divBdr>
                    </w:div>
                  </w:divsChild>
                </w:div>
                <w:div w:id="1019236800">
                  <w:marLeft w:val="0"/>
                  <w:marRight w:val="0"/>
                  <w:marTop w:val="0"/>
                  <w:marBottom w:val="0"/>
                  <w:divBdr>
                    <w:top w:val="none" w:sz="0" w:space="0" w:color="auto"/>
                    <w:left w:val="none" w:sz="0" w:space="0" w:color="auto"/>
                    <w:bottom w:val="none" w:sz="0" w:space="0" w:color="auto"/>
                    <w:right w:val="none" w:sz="0" w:space="0" w:color="auto"/>
                  </w:divBdr>
                  <w:divsChild>
                    <w:div w:id="1027440053">
                      <w:marLeft w:val="0"/>
                      <w:marRight w:val="0"/>
                      <w:marTop w:val="0"/>
                      <w:marBottom w:val="0"/>
                      <w:divBdr>
                        <w:top w:val="none" w:sz="0" w:space="0" w:color="auto"/>
                        <w:left w:val="none" w:sz="0" w:space="0" w:color="auto"/>
                        <w:bottom w:val="none" w:sz="0" w:space="0" w:color="auto"/>
                        <w:right w:val="none" w:sz="0" w:space="0" w:color="auto"/>
                      </w:divBdr>
                    </w:div>
                  </w:divsChild>
                </w:div>
                <w:div w:id="1020743818">
                  <w:marLeft w:val="0"/>
                  <w:marRight w:val="0"/>
                  <w:marTop w:val="0"/>
                  <w:marBottom w:val="0"/>
                  <w:divBdr>
                    <w:top w:val="none" w:sz="0" w:space="0" w:color="auto"/>
                    <w:left w:val="none" w:sz="0" w:space="0" w:color="auto"/>
                    <w:bottom w:val="none" w:sz="0" w:space="0" w:color="auto"/>
                    <w:right w:val="none" w:sz="0" w:space="0" w:color="auto"/>
                  </w:divBdr>
                  <w:divsChild>
                    <w:div w:id="2081052533">
                      <w:marLeft w:val="0"/>
                      <w:marRight w:val="0"/>
                      <w:marTop w:val="0"/>
                      <w:marBottom w:val="0"/>
                      <w:divBdr>
                        <w:top w:val="none" w:sz="0" w:space="0" w:color="auto"/>
                        <w:left w:val="none" w:sz="0" w:space="0" w:color="auto"/>
                        <w:bottom w:val="none" w:sz="0" w:space="0" w:color="auto"/>
                        <w:right w:val="none" w:sz="0" w:space="0" w:color="auto"/>
                      </w:divBdr>
                    </w:div>
                  </w:divsChild>
                </w:div>
                <w:div w:id="1021669394">
                  <w:marLeft w:val="0"/>
                  <w:marRight w:val="0"/>
                  <w:marTop w:val="0"/>
                  <w:marBottom w:val="0"/>
                  <w:divBdr>
                    <w:top w:val="none" w:sz="0" w:space="0" w:color="auto"/>
                    <w:left w:val="none" w:sz="0" w:space="0" w:color="auto"/>
                    <w:bottom w:val="none" w:sz="0" w:space="0" w:color="auto"/>
                    <w:right w:val="none" w:sz="0" w:space="0" w:color="auto"/>
                  </w:divBdr>
                  <w:divsChild>
                    <w:div w:id="105855869">
                      <w:marLeft w:val="0"/>
                      <w:marRight w:val="0"/>
                      <w:marTop w:val="0"/>
                      <w:marBottom w:val="0"/>
                      <w:divBdr>
                        <w:top w:val="none" w:sz="0" w:space="0" w:color="auto"/>
                        <w:left w:val="none" w:sz="0" w:space="0" w:color="auto"/>
                        <w:bottom w:val="none" w:sz="0" w:space="0" w:color="auto"/>
                        <w:right w:val="none" w:sz="0" w:space="0" w:color="auto"/>
                      </w:divBdr>
                    </w:div>
                  </w:divsChild>
                </w:div>
                <w:div w:id="1052538475">
                  <w:marLeft w:val="0"/>
                  <w:marRight w:val="0"/>
                  <w:marTop w:val="0"/>
                  <w:marBottom w:val="0"/>
                  <w:divBdr>
                    <w:top w:val="none" w:sz="0" w:space="0" w:color="auto"/>
                    <w:left w:val="none" w:sz="0" w:space="0" w:color="auto"/>
                    <w:bottom w:val="none" w:sz="0" w:space="0" w:color="auto"/>
                    <w:right w:val="none" w:sz="0" w:space="0" w:color="auto"/>
                  </w:divBdr>
                  <w:divsChild>
                    <w:div w:id="30543151">
                      <w:marLeft w:val="0"/>
                      <w:marRight w:val="0"/>
                      <w:marTop w:val="0"/>
                      <w:marBottom w:val="0"/>
                      <w:divBdr>
                        <w:top w:val="none" w:sz="0" w:space="0" w:color="auto"/>
                        <w:left w:val="none" w:sz="0" w:space="0" w:color="auto"/>
                        <w:bottom w:val="none" w:sz="0" w:space="0" w:color="auto"/>
                        <w:right w:val="none" w:sz="0" w:space="0" w:color="auto"/>
                      </w:divBdr>
                    </w:div>
                  </w:divsChild>
                </w:div>
                <w:div w:id="1071847038">
                  <w:marLeft w:val="0"/>
                  <w:marRight w:val="0"/>
                  <w:marTop w:val="0"/>
                  <w:marBottom w:val="0"/>
                  <w:divBdr>
                    <w:top w:val="none" w:sz="0" w:space="0" w:color="auto"/>
                    <w:left w:val="none" w:sz="0" w:space="0" w:color="auto"/>
                    <w:bottom w:val="none" w:sz="0" w:space="0" w:color="auto"/>
                    <w:right w:val="none" w:sz="0" w:space="0" w:color="auto"/>
                  </w:divBdr>
                  <w:divsChild>
                    <w:div w:id="669411307">
                      <w:marLeft w:val="0"/>
                      <w:marRight w:val="0"/>
                      <w:marTop w:val="0"/>
                      <w:marBottom w:val="0"/>
                      <w:divBdr>
                        <w:top w:val="none" w:sz="0" w:space="0" w:color="auto"/>
                        <w:left w:val="none" w:sz="0" w:space="0" w:color="auto"/>
                        <w:bottom w:val="none" w:sz="0" w:space="0" w:color="auto"/>
                        <w:right w:val="none" w:sz="0" w:space="0" w:color="auto"/>
                      </w:divBdr>
                    </w:div>
                  </w:divsChild>
                </w:div>
                <w:div w:id="1099375768">
                  <w:marLeft w:val="0"/>
                  <w:marRight w:val="0"/>
                  <w:marTop w:val="0"/>
                  <w:marBottom w:val="0"/>
                  <w:divBdr>
                    <w:top w:val="none" w:sz="0" w:space="0" w:color="auto"/>
                    <w:left w:val="none" w:sz="0" w:space="0" w:color="auto"/>
                    <w:bottom w:val="none" w:sz="0" w:space="0" w:color="auto"/>
                    <w:right w:val="none" w:sz="0" w:space="0" w:color="auto"/>
                  </w:divBdr>
                  <w:divsChild>
                    <w:div w:id="842746443">
                      <w:marLeft w:val="0"/>
                      <w:marRight w:val="0"/>
                      <w:marTop w:val="0"/>
                      <w:marBottom w:val="0"/>
                      <w:divBdr>
                        <w:top w:val="none" w:sz="0" w:space="0" w:color="auto"/>
                        <w:left w:val="none" w:sz="0" w:space="0" w:color="auto"/>
                        <w:bottom w:val="none" w:sz="0" w:space="0" w:color="auto"/>
                        <w:right w:val="none" w:sz="0" w:space="0" w:color="auto"/>
                      </w:divBdr>
                    </w:div>
                  </w:divsChild>
                </w:div>
                <w:div w:id="1104691467">
                  <w:marLeft w:val="0"/>
                  <w:marRight w:val="0"/>
                  <w:marTop w:val="0"/>
                  <w:marBottom w:val="0"/>
                  <w:divBdr>
                    <w:top w:val="none" w:sz="0" w:space="0" w:color="auto"/>
                    <w:left w:val="none" w:sz="0" w:space="0" w:color="auto"/>
                    <w:bottom w:val="none" w:sz="0" w:space="0" w:color="auto"/>
                    <w:right w:val="none" w:sz="0" w:space="0" w:color="auto"/>
                  </w:divBdr>
                  <w:divsChild>
                    <w:div w:id="546642243">
                      <w:marLeft w:val="0"/>
                      <w:marRight w:val="0"/>
                      <w:marTop w:val="0"/>
                      <w:marBottom w:val="0"/>
                      <w:divBdr>
                        <w:top w:val="none" w:sz="0" w:space="0" w:color="auto"/>
                        <w:left w:val="none" w:sz="0" w:space="0" w:color="auto"/>
                        <w:bottom w:val="none" w:sz="0" w:space="0" w:color="auto"/>
                        <w:right w:val="none" w:sz="0" w:space="0" w:color="auto"/>
                      </w:divBdr>
                    </w:div>
                  </w:divsChild>
                </w:div>
                <w:div w:id="1107507448">
                  <w:marLeft w:val="0"/>
                  <w:marRight w:val="0"/>
                  <w:marTop w:val="0"/>
                  <w:marBottom w:val="0"/>
                  <w:divBdr>
                    <w:top w:val="none" w:sz="0" w:space="0" w:color="auto"/>
                    <w:left w:val="none" w:sz="0" w:space="0" w:color="auto"/>
                    <w:bottom w:val="none" w:sz="0" w:space="0" w:color="auto"/>
                    <w:right w:val="none" w:sz="0" w:space="0" w:color="auto"/>
                  </w:divBdr>
                  <w:divsChild>
                    <w:div w:id="1759712166">
                      <w:marLeft w:val="0"/>
                      <w:marRight w:val="0"/>
                      <w:marTop w:val="0"/>
                      <w:marBottom w:val="0"/>
                      <w:divBdr>
                        <w:top w:val="none" w:sz="0" w:space="0" w:color="auto"/>
                        <w:left w:val="none" w:sz="0" w:space="0" w:color="auto"/>
                        <w:bottom w:val="none" w:sz="0" w:space="0" w:color="auto"/>
                        <w:right w:val="none" w:sz="0" w:space="0" w:color="auto"/>
                      </w:divBdr>
                    </w:div>
                  </w:divsChild>
                </w:div>
                <w:div w:id="1125150185">
                  <w:marLeft w:val="0"/>
                  <w:marRight w:val="0"/>
                  <w:marTop w:val="0"/>
                  <w:marBottom w:val="0"/>
                  <w:divBdr>
                    <w:top w:val="none" w:sz="0" w:space="0" w:color="auto"/>
                    <w:left w:val="none" w:sz="0" w:space="0" w:color="auto"/>
                    <w:bottom w:val="none" w:sz="0" w:space="0" w:color="auto"/>
                    <w:right w:val="none" w:sz="0" w:space="0" w:color="auto"/>
                  </w:divBdr>
                  <w:divsChild>
                    <w:div w:id="684357245">
                      <w:marLeft w:val="0"/>
                      <w:marRight w:val="0"/>
                      <w:marTop w:val="0"/>
                      <w:marBottom w:val="0"/>
                      <w:divBdr>
                        <w:top w:val="none" w:sz="0" w:space="0" w:color="auto"/>
                        <w:left w:val="none" w:sz="0" w:space="0" w:color="auto"/>
                        <w:bottom w:val="none" w:sz="0" w:space="0" w:color="auto"/>
                        <w:right w:val="none" w:sz="0" w:space="0" w:color="auto"/>
                      </w:divBdr>
                    </w:div>
                  </w:divsChild>
                </w:div>
                <w:div w:id="1132596912">
                  <w:marLeft w:val="0"/>
                  <w:marRight w:val="0"/>
                  <w:marTop w:val="0"/>
                  <w:marBottom w:val="0"/>
                  <w:divBdr>
                    <w:top w:val="none" w:sz="0" w:space="0" w:color="auto"/>
                    <w:left w:val="none" w:sz="0" w:space="0" w:color="auto"/>
                    <w:bottom w:val="none" w:sz="0" w:space="0" w:color="auto"/>
                    <w:right w:val="none" w:sz="0" w:space="0" w:color="auto"/>
                  </w:divBdr>
                  <w:divsChild>
                    <w:div w:id="295532894">
                      <w:marLeft w:val="0"/>
                      <w:marRight w:val="0"/>
                      <w:marTop w:val="0"/>
                      <w:marBottom w:val="0"/>
                      <w:divBdr>
                        <w:top w:val="none" w:sz="0" w:space="0" w:color="auto"/>
                        <w:left w:val="none" w:sz="0" w:space="0" w:color="auto"/>
                        <w:bottom w:val="none" w:sz="0" w:space="0" w:color="auto"/>
                        <w:right w:val="none" w:sz="0" w:space="0" w:color="auto"/>
                      </w:divBdr>
                    </w:div>
                  </w:divsChild>
                </w:div>
                <w:div w:id="1134062641">
                  <w:marLeft w:val="0"/>
                  <w:marRight w:val="0"/>
                  <w:marTop w:val="0"/>
                  <w:marBottom w:val="0"/>
                  <w:divBdr>
                    <w:top w:val="none" w:sz="0" w:space="0" w:color="auto"/>
                    <w:left w:val="none" w:sz="0" w:space="0" w:color="auto"/>
                    <w:bottom w:val="none" w:sz="0" w:space="0" w:color="auto"/>
                    <w:right w:val="none" w:sz="0" w:space="0" w:color="auto"/>
                  </w:divBdr>
                  <w:divsChild>
                    <w:div w:id="1631744473">
                      <w:marLeft w:val="0"/>
                      <w:marRight w:val="0"/>
                      <w:marTop w:val="0"/>
                      <w:marBottom w:val="0"/>
                      <w:divBdr>
                        <w:top w:val="none" w:sz="0" w:space="0" w:color="auto"/>
                        <w:left w:val="none" w:sz="0" w:space="0" w:color="auto"/>
                        <w:bottom w:val="none" w:sz="0" w:space="0" w:color="auto"/>
                        <w:right w:val="none" w:sz="0" w:space="0" w:color="auto"/>
                      </w:divBdr>
                    </w:div>
                  </w:divsChild>
                </w:div>
                <w:div w:id="1137143064">
                  <w:marLeft w:val="0"/>
                  <w:marRight w:val="0"/>
                  <w:marTop w:val="0"/>
                  <w:marBottom w:val="0"/>
                  <w:divBdr>
                    <w:top w:val="none" w:sz="0" w:space="0" w:color="auto"/>
                    <w:left w:val="none" w:sz="0" w:space="0" w:color="auto"/>
                    <w:bottom w:val="none" w:sz="0" w:space="0" w:color="auto"/>
                    <w:right w:val="none" w:sz="0" w:space="0" w:color="auto"/>
                  </w:divBdr>
                  <w:divsChild>
                    <w:div w:id="1258905165">
                      <w:marLeft w:val="0"/>
                      <w:marRight w:val="0"/>
                      <w:marTop w:val="0"/>
                      <w:marBottom w:val="0"/>
                      <w:divBdr>
                        <w:top w:val="none" w:sz="0" w:space="0" w:color="auto"/>
                        <w:left w:val="none" w:sz="0" w:space="0" w:color="auto"/>
                        <w:bottom w:val="none" w:sz="0" w:space="0" w:color="auto"/>
                        <w:right w:val="none" w:sz="0" w:space="0" w:color="auto"/>
                      </w:divBdr>
                    </w:div>
                  </w:divsChild>
                </w:div>
                <w:div w:id="1146514137">
                  <w:marLeft w:val="0"/>
                  <w:marRight w:val="0"/>
                  <w:marTop w:val="0"/>
                  <w:marBottom w:val="0"/>
                  <w:divBdr>
                    <w:top w:val="none" w:sz="0" w:space="0" w:color="auto"/>
                    <w:left w:val="none" w:sz="0" w:space="0" w:color="auto"/>
                    <w:bottom w:val="none" w:sz="0" w:space="0" w:color="auto"/>
                    <w:right w:val="none" w:sz="0" w:space="0" w:color="auto"/>
                  </w:divBdr>
                  <w:divsChild>
                    <w:div w:id="1293243706">
                      <w:marLeft w:val="0"/>
                      <w:marRight w:val="0"/>
                      <w:marTop w:val="0"/>
                      <w:marBottom w:val="0"/>
                      <w:divBdr>
                        <w:top w:val="none" w:sz="0" w:space="0" w:color="auto"/>
                        <w:left w:val="none" w:sz="0" w:space="0" w:color="auto"/>
                        <w:bottom w:val="none" w:sz="0" w:space="0" w:color="auto"/>
                        <w:right w:val="none" w:sz="0" w:space="0" w:color="auto"/>
                      </w:divBdr>
                    </w:div>
                  </w:divsChild>
                </w:div>
                <w:div w:id="1183666429">
                  <w:marLeft w:val="0"/>
                  <w:marRight w:val="0"/>
                  <w:marTop w:val="0"/>
                  <w:marBottom w:val="0"/>
                  <w:divBdr>
                    <w:top w:val="none" w:sz="0" w:space="0" w:color="auto"/>
                    <w:left w:val="none" w:sz="0" w:space="0" w:color="auto"/>
                    <w:bottom w:val="none" w:sz="0" w:space="0" w:color="auto"/>
                    <w:right w:val="none" w:sz="0" w:space="0" w:color="auto"/>
                  </w:divBdr>
                  <w:divsChild>
                    <w:div w:id="836530950">
                      <w:marLeft w:val="0"/>
                      <w:marRight w:val="0"/>
                      <w:marTop w:val="0"/>
                      <w:marBottom w:val="0"/>
                      <w:divBdr>
                        <w:top w:val="none" w:sz="0" w:space="0" w:color="auto"/>
                        <w:left w:val="none" w:sz="0" w:space="0" w:color="auto"/>
                        <w:bottom w:val="none" w:sz="0" w:space="0" w:color="auto"/>
                        <w:right w:val="none" w:sz="0" w:space="0" w:color="auto"/>
                      </w:divBdr>
                    </w:div>
                  </w:divsChild>
                </w:div>
                <w:div w:id="1184368361">
                  <w:marLeft w:val="0"/>
                  <w:marRight w:val="0"/>
                  <w:marTop w:val="0"/>
                  <w:marBottom w:val="0"/>
                  <w:divBdr>
                    <w:top w:val="none" w:sz="0" w:space="0" w:color="auto"/>
                    <w:left w:val="none" w:sz="0" w:space="0" w:color="auto"/>
                    <w:bottom w:val="none" w:sz="0" w:space="0" w:color="auto"/>
                    <w:right w:val="none" w:sz="0" w:space="0" w:color="auto"/>
                  </w:divBdr>
                  <w:divsChild>
                    <w:div w:id="1843935398">
                      <w:marLeft w:val="0"/>
                      <w:marRight w:val="0"/>
                      <w:marTop w:val="0"/>
                      <w:marBottom w:val="0"/>
                      <w:divBdr>
                        <w:top w:val="none" w:sz="0" w:space="0" w:color="auto"/>
                        <w:left w:val="none" w:sz="0" w:space="0" w:color="auto"/>
                        <w:bottom w:val="none" w:sz="0" w:space="0" w:color="auto"/>
                        <w:right w:val="none" w:sz="0" w:space="0" w:color="auto"/>
                      </w:divBdr>
                    </w:div>
                  </w:divsChild>
                </w:div>
                <w:div w:id="1185630539">
                  <w:marLeft w:val="0"/>
                  <w:marRight w:val="0"/>
                  <w:marTop w:val="0"/>
                  <w:marBottom w:val="0"/>
                  <w:divBdr>
                    <w:top w:val="none" w:sz="0" w:space="0" w:color="auto"/>
                    <w:left w:val="none" w:sz="0" w:space="0" w:color="auto"/>
                    <w:bottom w:val="none" w:sz="0" w:space="0" w:color="auto"/>
                    <w:right w:val="none" w:sz="0" w:space="0" w:color="auto"/>
                  </w:divBdr>
                  <w:divsChild>
                    <w:div w:id="1555653247">
                      <w:marLeft w:val="0"/>
                      <w:marRight w:val="0"/>
                      <w:marTop w:val="0"/>
                      <w:marBottom w:val="0"/>
                      <w:divBdr>
                        <w:top w:val="none" w:sz="0" w:space="0" w:color="auto"/>
                        <w:left w:val="none" w:sz="0" w:space="0" w:color="auto"/>
                        <w:bottom w:val="none" w:sz="0" w:space="0" w:color="auto"/>
                        <w:right w:val="none" w:sz="0" w:space="0" w:color="auto"/>
                      </w:divBdr>
                    </w:div>
                  </w:divsChild>
                </w:div>
                <w:div w:id="1212033899">
                  <w:marLeft w:val="0"/>
                  <w:marRight w:val="0"/>
                  <w:marTop w:val="0"/>
                  <w:marBottom w:val="0"/>
                  <w:divBdr>
                    <w:top w:val="none" w:sz="0" w:space="0" w:color="auto"/>
                    <w:left w:val="none" w:sz="0" w:space="0" w:color="auto"/>
                    <w:bottom w:val="none" w:sz="0" w:space="0" w:color="auto"/>
                    <w:right w:val="none" w:sz="0" w:space="0" w:color="auto"/>
                  </w:divBdr>
                  <w:divsChild>
                    <w:div w:id="1256861177">
                      <w:marLeft w:val="0"/>
                      <w:marRight w:val="0"/>
                      <w:marTop w:val="0"/>
                      <w:marBottom w:val="0"/>
                      <w:divBdr>
                        <w:top w:val="none" w:sz="0" w:space="0" w:color="auto"/>
                        <w:left w:val="none" w:sz="0" w:space="0" w:color="auto"/>
                        <w:bottom w:val="none" w:sz="0" w:space="0" w:color="auto"/>
                        <w:right w:val="none" w:sz="0" w:space="0" w:color="auto"/>
                      </w:divBdr>
                    </w:div>
                  </w:divsChild>
                </w:div>
                <w:div w:id="1212573466">
                  <w:marLeft w:val="0"/>
                  <w:marRight w:val="0"/>
                  <w:marTop w:val="0"/>
                  <w:marBottom w:val="0"/>
                  <w:divBdr>
                    <w:top w:val="none" w:sz="0" w:space="0" w:color="auto"/>
                    <w:left w:val="none" w:sz="0" w:space="0" w:color="auto"/>
                    <w:bottom w:val="none" w:sz="0" w:space="0" w:color="auto"/>
                    <w:right w:val="none" w:sz="0" w:space="0" w:color="auto"/>
                  </w:divBdr>
                  <w:divsChild>
                    <w:div w:id="1131484126">
                      <w:marLeft w:val="0"/>
                      <w:marRight w:val="0"/>
                      <w:marTop w:val="0"/>
                      <w:marBottom w:val="0"/>
                      <w:divBdr>
                        <w:top w:val="none" w:sz="0" w:space="0" w:color="auto"/>
                        <w:left w:val="none" w:sz="0" w:space="0" w:color="auto"/>
                        <w:bottom w:val="none" w:sz="0" w:space="0" w:color="auto"/>
                        <w:right w:val="none" w:sz="0" w:space="0" w:color="auto"/>
                      </w:divBdr>
                    </w:div>
                  </w:divsChild>
                </w:div>
                <w:div w:id="1228028533">
                  <w:marLeft w:val="0"/>
                  <w:marRight w:val="0"/>
                  <w:marTop w:val="0"/>
                  <w:marBottom w:val="0"/>
                  <w:divBdr>
                    <w:top w:val="none" w:sz="0" w:space="0" w:color="auto"/>
                    <w:left w:val="none" w:sz="0" w:space="0" w:color="auto"/>
                    <w:bottom w:val="none" w:sz="0" w:space="0" w:color="auto"/>
                    <w:right w:val="none" w:sz="0" w:space="0" w:color="auto"/>
                  </w:divBdr>
                  <w:divsChild>
                    <w:div w:id="234827257">
                      <w:marLeft w:val="0"/>
                      <w:marRight w:val="0"/>
                      <w:marTop w:val="0"/>
                      <w:marBottom w:val="0"/>
                      <w:divBdr>
                        <w:top w:val="none" w:sz="0" w:space="0" w:color="auto"/>
                        <w:left w:val="none" w:sz="0" w:space="0" w:color="auto"/>
                        <w:bottom w:val="none" w:sz="0" w:space="0" w:color="auto"/>
                        <w:right w:val="none" w:sz="0" w:space="0" w:color="auto"/>
                      </w:divBdr>
                    </w:div>
                  </w:divsChild>
                </w:div>
                <w:div w:id="1229147077">
                  <w:marLeft w:val="0"/>
                  <w:marRight w:val="0"/>
                  <w:marTop w:val="0"/>
                  <w:marBottom w:val="0"/>
                  <w:divBdr>
                    <w:top w:val="none" w:sz="0" w:space="0" w:color="auto"/>
                    <w:left w:val="none" w:sz="0" w:space="0" w:color="auto"/>
                    <w:bottom w:val="none" w:sz="0" w:space="0" w:color="auto"/>
                    <w:right w:val="none" w:sz="0" w:space="0" w:color="auto"/>
                  </w:divBdr>
                  <w:divsChild>
                    <w:div w:id="422535814">
                      <w:marLeft w:val="0"/>
                      <w:marRight w:val="0"/>
                      <w:marTop w:val="0"/>
                      <w:marBottom w:val="0"/>
                      <w:divBdr>
                        <w:top w:val="none" w:sz="0" w:space="0" w:color="auto"/>
                        <w:left w:val="none" w:sz="0" w:space="0" w:color="auto"/>
                        <w:bottom w:val="none" w:sz="0" w:space="0" w:color="auto"/>
                        <w:right w:val="none" w:sz="0" w:space="0" w:color="auto"/>
                      </w:divBdr>
                    </w:div>
                  </w:divsChild>
                </w:div>
                <w:div w:id="1237203410">
                  <w:marLeft w:val="0"/>
                  <w:marRight w:val="0"/>
                  <w:marTop w:val="0"/>
                  <w:marBottom w:val="0"/>
                  <w:divBdr>
                    <w:top w:val="none" w:sz="0" w:space="0" w:color="auto"/>
                    <w:left w:val="none" w:sz="0" w:space="0" w:color="auto"/>
                    <w:bottom w:val="none" w:sz="0" w:space="0" w:color="auto"/>
                    <w:right w:val="none" w:sz="0" w:space="0" w:color="auto"/>
                  </w:divBdr>
                  <w:divsChild>
                    <w:div w:id="1467704212">
                      <w:marLeft w:val="0"/>
                      <w:marRight w:val="0"/>
                      <w:marTop w:val="0"/>
                      <w:marBottom w:val="0"/>
                      <w:divBdr>
                        <w:top w:val="none" w:sz="0" w:space="0" w:color="auto"/>
                        <w:left w:val="none" w:sz="0" w:space="0" w:color="auto"/>
                        <w:bottom w:val="none" w:sz="0" w:space="0" w:color="auto"/>
                        <w:right w:val="none" w:sz="0" w:space="0" w:color="auto"/>
                      </w:divBdr>
                    </w:div>
                  </w:divsChild>
                </w:div>
                <w:div w:id="1238370007">
                  <w:marLeft w:val="0"/>
                  <w:marRight w:val="0"/>
                  <w:marTop w:val="0"/>
                  <w:marBottom w:val="0"/>
                  <w:divBdr>
                    <w:top w:val="none" w:sz="0" w:space="0" w:color="auto"/>
                    <w:left w:val="none" w:sz="0" w:space="0" w:color="auto"/>
                    <w:bottom w:val="none" w:sz="0" w:space="0" w:color="auto"/>
                    <w:right w:val="none" w:sz="0" w:space="0" w:color="auto"/>
                  </w:divBdr>
                  <w:divsChild>
                    <w:div w:id="407272048">
                      <w:marLeft w:val="0"/>
                      <w:marRight w:val="0"/>
                      <w:marTop w:val="0"/>
                      <w:marBottom w:val="0"/>
                      <w:divBdr>
                        <w:top w:val="none" w:sz="0" w:space="0" w:color="auto"/>
                        <w:left w:val="none" w:sz="0" w:space="0" w:color="auto"/>
                        <w:bottom w:val="none" w:sz="0" w:space="0" w:color="auto"/>
                        <w:right w:val="none" w:sz="0" w:space="0" w:color="auto"/>
                      </w:divBdr>
                    </w:div>
                  </w:divsChild>
                </w:div>
                <w:div w:id="1239167658">
                  <w:marLeft w:val="0"/>
                  <w:marRight w:val="0"/>
                  <w:marTop w:val="0"/>
                  <w:marBottom w:val="0"/>
                  <w:divBdr>
                    <w:top w:val="none" w:sz="0" w:space="0" w:color="auto"/>
                    <w:left w:val="none" w:sz="0" w:space="0" w:color="auto"/>
                    <w:bottom w:val="none" w:sz="0" w:space="0" w:color="auto"/>
                    <w:right w:val="none" w:sz="0" w:space="0" w:color="auto"/>
                  </w:divBdr>
                  <w:divsChild>
                    <w:div w:id="1156072108">
                      <w:marLeft w:val="0"/>
                      <w:marRight w:val="0"/>
                      <w:marTop w:val="0"/>
                      <w:marBottom w:val="0"/>
                      <w:divBdr>
                        <w:top w:val="none" w:sz="0" w:space="0" w:color="auto"/>
                        <w:left w:val="none" w:sz="0" w:space="0" w:color="auto"/>
                        <w:bottom w:val="none" w:sz="0" w:space="0" w:color="auto"/>
                        <w:right w:val="none" w:sz="0" w:space="0" w:color="auto"/>
                      </w:divBdr>
                    </w:div>
                  </w:divsChild>
                </w:div>
                <w:div w:id="1263296426">
                  <w:marLeft w:val="0"/>
                  <w:marRight w:val="0"/>
                  <w:marTop w:val="0"/>
                  <w:marBottom w:val="0"/>
                  <w:divBdr>
                    <w:top w:val="none" w:sz="0" w:space="0" w:color="auto"/>
                    <w:left w:val="none" w:sz="0" w:space="0" w:color="auto"/>
                    <w:bottom w:val="none" w:sz="0" w:space="0" w:color="auto"/>
                    <w:right w:val="none" w:sz="0" w:space="0" w:color="auto"/>
                  </w:divBdr>
                  <w:divsChild>
                    <w:div w:id="217084865">
                      <w:marLeft w:val="0"/>
                      <w:marRight w:val="0"/>
                      <w:marTop w:val="0"/>
                      <w:marBottom w:val="0"/>
                      <w:divBdr>
                        <w:top w:val="none" w:sz="0" w:space="0" w:color="auto"/>
                        <w:left w:val="none" w:sz="0" w:space="0" w:color="auto"/>
                        <w:bottom w:val="none" w:sz="0" w:space="0" w:color="auto"/>
                        <w:right w:val="none" w:sz="0" w:space="0" w:color="auto"/>
                      </w:divBdr>
                    </w:div>
                  </w:divsChild>
                </w:div>
                <w:div w:id="1278945272">
                  <w:marLeft w:val="0"/>
                  <w:marRight w:val="0"/>
                  <w:marTop w:val="0"/>
                  <w:marBottom w:val="0"/>
                  <w:divBdr>
                    <w:top w:val="none" w:sz="0" w:space="0" w:color="auto"/>
                    <w:left w:val="none" w:sz="0" w:space="0" w:color="auto"/>
                    <w:bottom w:val="none" w:sz="0" w:space="0" w:color="auto"/>
                    <w:right w:val="none" w:sz="0" w:space="0" w:color="auto"/>
                  </w:divBdr>
                  <w:divsChild>
                    <w:div w:id="684744192">
                      <w:marLeft w:val="0"/>
                      <w:marRight w:val="0"/>
                      <w:marTop w:val="0"/>
                      <w:marBottom w:val="0"/>
                      <w:divBdr>
                        <w:top w:val="none" w:sz="0" w:space="0" w:color="auto"/>
                        <w:left w:val="none" w:sz="0" w:space="0" w:color="auto"/>
                        <w:bottom w:val="none" w:sz="0" w:space="0" w:color="auto"/>
                        <w:right w:val="none" w:sz="0" w:space="0" w:color="auto"/>
                      </w:divBdr>
                    </w:div>
                  </w:divsChild>
                </w:div>
                <w:div w:id="1308168345">
                  <w:marLeft w:val="0"/>
                  <w:marRight w:val="0"/>
                  <w:marTop w:val="0"/>
                  <w:marBottom w:val="0"/>
                  <w:divBdr>
                    <w:top w:val="none" w:sz="0" w:space="0" w:color="auto"/>
                    <w:left w:val="none" w:sz="0" w:space="0" w:color="auto"/>
                    <w:bottom w:val="none" w:sz="0" w:space="0" w:color="auto"/>
                    <w:right w:val="none" w:sz="0" w:space="0" w:color="auto"/>
                  </w:divBdr>
                  <w:divsChild>
                    <w:div w:id="760293924">
                      <w:marLeft w:val="0"/>
                      <w:marRight w:val="0"/>
                      <w:marTop w:val="0"/>
                      <w:marBottom w:val="0"/>
                      <w:divBdr>
                        <w:top w:val="none" w:sz="0" w:space="0" w:color="auto"/>
                        <w:left w:val="none" w:sz="0" w:space="0" w:color="auto"/>
                        <w:bottom w:val="none" w:sz="0" w:space="0" w:color="auto"/>
                        <w:right w:val="none" w:sz="0" w:space="0" w:color="auto"/>
                      </w:divBdr>
                    </w:div>
                  </w:divsChild>
                </w:div>
                <w:div w:id="1320844460">
                  <w:marLeft w:val="0"/>
                  <w:marRight w:val="0"/>
                  <w:marTop w:val="0"/>
                  <w:marBottom w:val="0"/>
                  <w:divBdr>
                    <w:top w:val="none" w:sz="0" w:space="0" w:color="auto"/>
                    <w:left w:val="none" w:sz="0" w:space="0" w:color="auto"/>
                    <w:bottom w:val="none" w:sz="0" w:space="0" w:color="auto"/>
                    <w:right w:val="none" w:sz="0" w:space="0" w:color="auto"/>
                  </w:divBdr>
                  <w:divsChild>
                    <w:div w:id="1245989044">
                      <w:marLeft w:val="0"/>
                      <w:marRight w:val="0"/>
                      <w:marTop w:val="0"/>
                      <w:marBottom w:val="0"/>
                      <w:divBdr>
                        <w:top w:val="none" w:sz="0" w:space="0" w:color="auto"/>
                        <w:left w:val="none" w:sz="0" w:space="0" w:color="auto"/>
                        <w:bottom w:val="none" w:sz="0" w:space="0" w:color="auto"/>
                        <w:right w:val="none" w:sz="0" w:space="0" w:color="auto"/>
                      </w:divBdr>
                    </w:div>
                  </w:divsChild>
                </w:div>
                <w:div w:id="1333683595">
                  <w:marLeft w:val="0"/>
                  <w:marRight w:val="0"/>
                  <w:marTop w:val="0"/>
                  <w:marBottom w:val="0"/>
                  <w:divBdr>
                    <w:top w:val="none" w:sz="0" w:space="0" w:color="auto"/>
                    <w:left w:val="none" w:sz="0" w:space="0" w:color="auto"/>
                    <w:bottom w:val="none" w:sz="0" w:space="0" w:color="auto"/>
                    <w:right w:val="none" w:sz="0" w:space="0" w:color="auto"/>
                  </w:divBdr>
                  <w:divsChild>
                    <w:div w:id="516189384">
                      <w:marLeft w:val="0"/>
                      <w:marRight w:val="0"/>
                      <w:marTop w:val="0"/>
                      <w:marBottom w:val="0"/>
                      <w:divBdr>
                        <w:top w:val="none" w:sz="0" w:space="0" w:color="auto"/>
                        <w:left w:val="none" w:sz="0" w:space="0" w:color="auto"/>
                        <w:bottom w:val="none" w:sz="0" w:space="0" w:color="auto"/>
                        <w:right w:val="none" w:sz="0" w:space="0" w:color="auto"/>
                      </w:divBdr>
                    </w:div>
                  </w:divsChild>
                </w:div>
                <w:div w:id="1339847044">
                  <w:marLeft w:val="0"/>
                  <w:marRight w:val="0"/>
                  <w:marTop w:val="0"/>
                  <w:marBottom w:val="0"/>
                  <w:divBdr>
                    <w:top w:val="none" w:sz="0" w:space="0" w:color="auto"/>
                    <w:left w:val="none" w:sz="0" w:space="0" w:color="auto"/>
                    <w:bottom w:val="none" w:sz="0" w:space="0" w:color="auto"/>
                    <w:right w:val="none" w:sz="0" w:space="0" w:color="auto"/>
                  </w:divBdr>
                  <w:divsChild>
                    <w:div w:id="971056503">
                      <w:marLeft w:val="0"/>
                      <w:marRight w:val="0"/>
                      <w:marTop w:val="0"/>
                      <w:marBottom w:val="0"/>
                      <w:divBdr>
                        <w:top w:val="none" w:sz="0" w:space="0" w:color="auto"/>
                        <w:left w:val="none" w:sz="0" w:space="0" w:color="auto"/>
                        <w:bottom w:val="none" w:sz="0" w:space="0" w:color="auto"/>
                        <w:right w:val="none" w:sz="0" w:space="0" w:color="auto"/>
                      </w:divBdr>
                    </w:div>
                  </w:divsChild>
                </w:div>
                <w:div w:id="1355494505">
                  <w:marLeft w:val="0"/>
                  <w:marRight w:val="0"/>
                  <w:marTop w:val="0"/>
                  <w:marBottom w:val="0"/>
                  <w:divBdr>
                    <w:top w:val="none" w:sz="0" w:space="0" w:color="auto"/>
                    <w:left w:val="none" w:sz="0" w:space="0" w:color="auto"/>
                    <w:bottom w:val="none" w:sz="0" w:space="0" w:color="auto"/>
                    <w:right w:val="none" w:sz="0" w:space="0" w:color="auto"/>
                  </w:divBdr>
                  <w:divsChild>
                    <w:div w:id="484199798">
                      <w:marLeft w:val="0"/>
                      <w:marRight w:val="0"/>
                      <w:marTop w:val="0"/>
                      <w:marBottom w:val="0"/>
                      <w:divBdr>
                        <w:top w:val="none" w:sz="0" w:space="0" w:color="auto"/>
                        <w:left w:val="none" w:sz="0" w:space="0" w:color="auto"/>
                        <w:bottom w:val="none" w:sz="0" w:space="0" w:color="auto"/>
                        <w:right w:val="none" w:sz="0" w:space="0" w:color="auto"/>
                      </w:divBdr>
                    </w:div>
                  </w:divsChild>
                </w:div>
                <w:div w:id="1357148739">
                  <w:marLeft w:val="0"/>
                  <w:marRight w:val="0"/>
                  <w:marTop w:val="0"/>
                  <w:marBottom w:val="0"/>
                  <w:divBdr>
                    <w:top w:val="none" w:sz="0" w:space="0" w:color="auto"/>
                    <w:left w:val="none" w:sz="0" w:space="0" w:color="auto"/>
                    <w:bottom w:val="none" w:sz="0" w:space="0" w:color="auto"/>
                    <w:right w:val="none" w:sz="0" w:space="0" w:color="auto"/>
                  </w:divBdr>
                  <w:divsChild>
                    <w:div w:id="1563325971">
                      <w:marLeft w:val="0"/>
                      <w:marRight w:val="0"/>
                      <w:marTop w:val="0"/>
                      <w:marBottom w:val="0"/>
                      <w:divBdr>
                        <w:top w:val="none" w:sz="0" w:space="0" w:color="auto"/>
                        <w:left w:val="none" w:sz="0" w:space="0" w:color="auto"/>
                        <w:bottom w:val="none" w:sz="0" w:space="0" w:color="auto"/>
                        <w:right w:val="none" w:sz="0" w:space="0" w:color="auto"/>
                      </w:divBdr>
                    </w:div>
                  </w:divsChild>
                </w:div>
                <w:div w:id="1358114537">
                  <w:marLeft w:val="0"/>
                  <w:marRight w:val="0"/>
                  <w:marTop w:val="0"/>
                  <w:marBottom w:val="0"/>
                  <w:divBdr>
                    <w:top w:val="none" w:sz="0" w:space="0" w:color="auto"/>
                    <w:left w:val="none" w:sz="0" w:space="0" w:color="auto"/>
                    <w:bottom w:val="none" w:sz="0" w:space="0" w:color="auto"/>
                    <w:right w:val="none" w:sz="0" w:space="0" w:color="auto"/>
                  </w:divBdr>
                  <w:divsChild>
                    <w:div w:id="490175165">
                      <w:marLeft w:val="0"/>
                      <w:marRight w:val="0"/>
                      <w:marTop w:val="0"/>
                      <w:marBottom w:val="0"/>
                      <w:divBdr>
                        <w:top w:val="none" w:sz="0" w:space="0" w:color="auto"/>
                        <w:left w:val="none" w:sz="0" w:space="0" w:color="auto"/>
                        <w:bottom w:val="none" w:sz="0" w:space="0" w:color="auto"/>
                        <w:right w:val="none" w:sz="0" w:space="0" w:color="auto"/>
                      </w:divBdr>
                    </w:div>
                  </w:divsChild>
                </w:div>
                <w:div w:id="1371497120">
                  <w:marLeft w:val="0"/>
                  <w:marRight w:val="0"/>
                  <w:marTop w:val="0"/>
                  <w:marBottom w:val="0"/>
                  <w:divBdr>
                    <w:top w:val="none" w:sz="0" w:space="0" w:color="auto"/>
                    <w:left w:val="none" w:sz="0" w:space="0" w:color="auto"/>
                    <w:bottom w:val="none" w:sz="0" w:space="0" w:color="auto"/>
                    <w:right w:val="none" w:sz="0" w:space="0" w:color="auto"/>
                  </w:divBdr>
                  <w:divsChild>
                    <w:div w:id="1941061105">
                      <w:marLeft w:val="0"/>
                      <w:marRight w:val="0"/>
                      <w:marTop w:val="0"/>
                      <w:marBottom w:val="0"/>
                      <w:divBdr>
                        <w:top w:val="none" w:sz="0" w:space="0" w:color="auto"/>
                        <w:left w:val="none" w:sz="0" w:space="0" w:color="auto"/>
                        <w:bottom w:val="none" w:sz="0" w:space="0" w:color="auto"/>
                        <w:right w:val="none" w:sz="0" w:space="0" w:color="auto"/>
                      </w:divBdr>
                    </w:div>
                  </w:divsChild>
                </w:div>
                <w:div w:id="1406338644">
                  <w:marLeft w:val="0"/>
                  <w:marRight w:val="0"/>
                  <w:marTop w:val="0"/>
                  <w:marBottom w:val="0"/>
                  <w:divBdr>
                    <w:top w:val="none" w:sz="0" w:space="0" w:color="auto"/>
                    <w:left w:val="none" w:sz="0" w:space="0" w:color="auto"/>
                    <w:bottom w:val="none" w:sz="0" w:space="0" w:color="auto"/>
                    <w:right w:val="none" w:sz="0" w:space="0" w:color="auto"/>
                  </w:divBdr>
                  <w:divsChild>
                    <w:div w:id="1613710346">
                      <w:marLeft w:val="0"/>
                      <w:marRight w:val="0"/>
                      <w:marTop w:val="0"/>
                      <w:marBottom w:val="0"/>
                      <w:divBdr>
                        <w:top w:val="none" w:sz="0" w:space="0" w:color="auto"/>
                        <w:left w:val="none" w:sz="0" w:space="0" w:color="auto"/>
                        <w:bottom w:val="none" w:sz="0" w:space="0" w:color="auto"/>
                        <w:right w:val="none" w:sz="0" w:space="0" w:color="auto"/>
                      </w:divBdr>
                    </w:div>
                  </w:divsChild>
                </w:div>
                <w:div w:id="1421297549">
                  <w:marLeft w:val="0"/>
                  <w:marRight w:val="0"/>
                  <w:marTop w:val="0"/>
                  <w:marBottom w:val="0"/>
                  <w:divBdr>
                    <w:top w:val="none" w:sz="0" w:space="0" w:color="auto"/>
                    <w:left w:val="none" w:sz="0" w:space="0" w:color="auto"/>
                    <w:bottom w:val="none" w:sz="0" w:space="0" w:color="auto"/>
                    <w:right w:val="none" w:sz="0" w:space="0" w:color="auto"/>
                  </w:divBdr>
                  <w:divsChild>
                    <w:div w:id="140661501">
                      <w:marLeft w:val="0"/>
                      <w:marRight w:val="0"/>
                      <w:marTop w:val="0"/>
                      <w:marBottom w:val="0"/>
                      <w:divBdr>
                        <w:top w:val="none" w:sz="0" w:space="0" w:color="auto"/>
                        <w:left w:val="none" w:sz="0" w:space="0" w:color="auto"/>
                        <w:bottom w:val="none" w:sz="0" w:space="0" w:color="auto"/>
                        <w:right w:val="none" w:sz="0" w:space="0" w:color="auto"/>
                      </w:divBdr>
                    </w:div>
                  </w:divsChild>
                </w:div>
                <w:div w:id="1441300191">
                  <w:marLeft w:val="0"/>
                  <w:marRight w:val="0"/>
                  <w:marTop w:val="0"/>
                  <w:marBottom w:val="0"/>
                  <w:divBdr>
                    <w:top w:val="none" w:sz="0" w:space="0" w:color="auto"/>
                    <w:left w:val="none" w:sz="0" w:space="0" w:color="auto"/>
                    <w:bottom w:val="none" w:sz="0" w:space="0" w:color="auto"/>
                    <w:right w:val="none" w:sz="0" w:space="0" w:color="auto"/>
                  </w:divBdr>
                  <w:divsChild>
                    <w:div w:id="1652978578">
                      <w:marLeft w:val="0"/>
                      <w:marRight w:val="0"/>
                      <w:marTop w:val="0"/>
                      <w:marBottom w:val="0"/>
                      <w:divBdr>
                        <w:top w:val="none" w:sz="0" w:space="0" w:color="auto"/>
                        <w:left w:val="none" w:sz="0" w:space="0" w:color="auto"/>
                        <w:bottom w:val="none" w:sz="0" w:space="0" w:color="auto"/>
                        <w:right w:val="none" w:sz="0" w:space="0" w:color="auto"/>
                      </w:divBdr>
                    </w:div>
                  </w:divsChild>
                </w:div>
                <w:div w:id="1447386231">
                  <w:marLeft w:val="0"/>
                  <w:marRight w:val="0"/>
                  <w:marTop w:val="0"/>
                  <w:marBottom w:val="0"/>
                  <w:divBdr>
                    <w:top w:val="none" w:sz="0" w:space="0" w:color="auto"/>
                    <w:left w:val="none" w:sz="0" w:space="0" w:color="auto"/>
                    <w:bottom w:val="none" w:sz="0" w:space="0" w:color="auto"/>
                    <w:right w:val="none" w:sz="0" w:space="0" w:color="auto"/>
                  </w:divBdr>
                  <w:divsChild>
                    <w:div w:id="886333115">
                      <w:marLeft w:val="0"/>
                      <w:marRight w:val="0"/>
                      <w:marTop w:val="0"/>
                      <w:marBottom w:val="0"/>
                      <w:divBdr>
                        <w:top w:val="none" w:sz="0" w:space="0" w:color="auto"/>
                        <w:left w:val="none" w:sz="0" w:space="0" w:color="auto"/>
                        <w:bottom w:val="none" w:sz="0" w:space="0" w:color="auto"/>
                        <w:right w:val="none" w:sz="0" w:space="0" w:color="auto"/>
                      </w:divBdr>
                    </w:div>
                  </w:divsChild>
                </w:div>
                <w:div w:id="1448039301">
                  <w:marLeft w:val="0"/>
                  <w:marRight w:val="0"/>
                  <w:marTop w:val="0"/>
                  <w:marBottom w:val="0"/>
                  <w:divBdr>
                    <w:top w:val="none" w:sz="0" w:space="0" w:color="auto"/>
                    <w:left w:val="none" w:sz="0" w:space="0" w:color="auto"/>
                    <w:bottom w:val="none" w:sz="0" w:space="0" w:color="auto"/>
                    <w:right w:val="none" w:sz="0" w:space="0" w:color="auto"/>
                  </w:divBdr>
                  <w:divsChild>
                    <w:div w:id="55737832">
                      <w:marLeft w:val="0"/>
                      <w:marRight w:val="0"/>
                      <w:marTop w:val="0"/>
                      <w:marBottom w:val="0"/>
                      <w:divBdr>
                        <w:top w:val="none" w:sz="0" w:space="0" w:color="auto"/>
                        <w:left w:val="none" w:sz="0" w:space="0" w:color="auto"/>
                        <w:bottom w:val="none" w:sz="0" w:space="0" w:color="auto"/>
                        <w:right w:val="none" w:sz="0" w:space="0" w:color="auto"/>
                      </w:divBdr>
                    </w:div>
                  </w:divsChild>
                </w:div>
                <w:div w:id="1449619198">
                  <w:marLeft w:val="0"/>
                  <w:marRight w:val="0"/>
                  <w:marTop w:val="0"/>
                  <w:marBottom w:val="0"/>
                  <w:divBdr>
                    <w:top w:val="none" w:sz="0" w:space="0" w:color="auto"/>
                    <w:left w:val="none" w:sz="0" w:space="0" w:color="auto"/>
                    <w:bottom w:val="none" w:sz="0" w:space="0" w:color="auto"/>
                    <w:right w:val="none" w:sz="0" w:space="0" w:color="auto"/>
                  </w:divBdr>
                  <w:divsChild>
                    <w:div w:id="1741050995">
                      <w:marLeft w:val="0"/>
                      <w:marRight w:val="0"/>
                      <w:marTop w:val="0"/>
                      <w:marBottom w:val="0"/>
                      <w:divBdr>
                        <w:top w:val="none" w:sz="0" w:space="0" w:color="auto"/>
                        <w:left w:val="none" w:sz="0" w:space="0" w:color="auto"/>
                        <w:bottom w:val="none" w:sz="0" w:space="0" w:color="auto"/>
                        <w:right w:val="none" w:sz="0" w:space="0" w:color="auto"/>
                      </w:divBdr>
                    </w:div>
                  </w:divsChild>
                </w:div>
                <w:div w:id="1465074430">
                  <w:marLeft w:val="0"/>
                  <w:marRight w:val="0"/>
                  <w:marTop w:val="0"/>
                  <w:marBottom w:val="0"/>
                  <w:divBdr>
                    <w:top w:val="none" w:sz="0" w:space="0" w:color="auto"/>
                    <w:left w:val="none" w:sz="0" w:space="0" w:color="auto"/>
                    <w:bottom w:val="none" w:sz="0" w:space="0" w:color="auto"/>
                    <w:right w:val="none" w:sz="0" w:space="0" w:color="auto"/>
                  </w:divBdr>
                  <w:divsChild>
                    <w:div w:id="73623922">
                      <w:marLeft w:val="0"/>
                      <w:marRight w:val="0"/>
                      <w:marTop w:val="0"/>
                      <w:marBottom w:val="0"/>
                      <w:divBdr>
                        <w:top w:val="none" w:sz="0" w:space="0" w:color="auto"/>
                        <w:left w:val="none" w:sz="0" w:space="0" w:color="auto"/>
                        <w:bottom w:val="none" w:sz="0" w:space="0" w:color="auto"/>
                        <w:right w:val="none" w:sz="0" w:space="0" w:color="auto"/>
                      </w:divBdr>
                    </w:div>
                  </w:divsChild>
                </w:div>
                <w:div w:id="1477529707">
                  <w:marLeft w:val="0"/>
                  <w:marRight w:val="0"/>
                  <w:marTop w:val="0"/>
                  <w:marBottom w:val="0"/>
                  <w:divBdr>
                    <w:top w:val="none" w:sz="0" w:space="0" w:color="auto"/>
                    <w:left w:val="none" w:sz="0" w:space="0" w:color="auto"/>
                    <w:bottom w:val="none" w:sz="0" w:space="0" w:color="auto"/>
                    <w:right w:val="none" w:sz="0" w:space="0" w:color="auto"/>
                  </w:divBdr>
                  <w:divsChild>
                    <w:div w:id="1119033758">
                      <w:marLeft w:val="0"/>
                      <w:marRight w:val="0"/>
                      <w:marTop w:val="0"/>
                      <w:marBottom w:val="0"/>
                      <w:divBdr>
                        <w:top w:val="none" w:sz="0" w:space="0" w:color="auto"/>
                        <w:left w:val="none" w:sz="0" w:space="0" w:color="auto"/>
                        <w:bottom w:val="none" w:sz="0" w:space="0" w:color="auto"/>
                        <w:right w:val="none" w:sz="0" w:space="0" w:color="auto"/>
                      </w:divBdr>
                    </w:div>
                  </w:divsChild>
                </w:div>
                <w:div w:id="1505628243">
                  <w:marLeft w:val="0"/>
                  <w:marRight w:val="0"/>
                  <w:marTop w:val="0"/>
                  <w:marBottom w:val="0"/>
                  <w:divBdr>
                    <w:top w:val="none" w:sz="0" w:space="0" w:color="auto"/>
                    <w:left w:val="none" w:sz="0" w:space="0" w:color="auto"/>
                    <w:bottom w:val="none" w:sz="0" w:space="0" w:color="auto"/>
                    <w:right w:val="none" w:sz="0" w:space="0" w:color="auto"/>
                  </w:divBdr>
                  <w:divsChild>
                    <w:div w:id="1505825632">
                      <w:marLeft w:val="0"/>
                      <w:marRight w:val="0"/>
                      <w:marTop w:val="0"/>
                      <w:marBottom w:val="0"/>
                      <w:divBdr>
                        <w:top w:val="none" w:sz="0" w:space="0" w:color="auto"/>
                        <w:left w:val="none" w:sz="0" w:space="0" w:color="auto"/>
                        <w:bottom w:val="none" w:sz="0" w:space="0" w:color="auto"/>
                        <w:right w:val="none" w:sz="0" w:space="0" w:color="auto"/>
                      </w:divBdr>
                    </w:div>
                  </w:divsChild>
                </w:div>
                <w:div w:id="1515727810">
                  <w:marLeft w:val="0"/>
                  <w:marRight w:val="0"/>
                  <w:marTop w:val="0"/>
                  <w:marBottom w:val="0"/>
                  <w:divBdr>
                    <w:top w:val="none" w:sz="0" w:space="0" w:color="auto"/>
                    <w:left w:val="none" w:sz="0" w:space="0" w:color="auto"/>
                    <w:bottom w:val="none" w:sz="0" w:space="0" w:color="auto"/>
                    <w:right w:val="none" w:sz="0" w:space="0" w:color="auto"/>
                  </w:divBdr>
                  <w:divsChild>
                    <w:div w:id="768618792">
                      <w:marLeft w:val="0"/>
                      <w:marRight w:val="0"/>
                      <w:marTop w:val="0"/>
                      <w:marBottom w:val="0"/>
                      <w:divBdr>
                        <w:top w:val="none" w:sz="0" w:space="0" w:color="auto"/>
                        <w:left w:val="none" w:sz="0" w:space="0" w:color="auto"/>
                        <w:bottom w:val="none" w:sz="0" w:space="0" w:color="auto"/>
                        <w:right w:val="none" w:sz="0" w:space="0" w:color="auto"/>
                      </w:divBdr>
                    </w:div>
                  </w:divsChild>
                </w:div>
                <w:div w:id="1519779957">
                  <w:marLeft w:val="0"/>
                  <w:marRight w:val="0"/>
                  <w:marTop w:val="0"/>
                  <w:marBottom w:val="0"/>
                  <w:divBdr>
                    <w:top w:val="none" w:sz="0" w:space="0" w:color="auto"/>
                    <w:left w:val="none" w:sz="0" w:space="0" w:color="auto"/>
                    <w:bottom w:val="none" w:sz="0" w:space="0" w:color="auto"/>
                    <w:right w:val="none" w:sz="0" w:space="0" w:color="auto"/>
                  </w:divBdr>
                  <w:divsChild>
                    <w:div w:id="251283176">
                      <w:marLeft w:val="0"/>
                      <w:marRight w:val="0"/>
                      <w:marTop w:val="0"/>
                      <w:marBottom w:val="0"/>
                      <w:divBdr>
                        <w:top w:val="none" w:sz="0" w:space="0" w:color="auto"/>
                        <w:left w:val="none" w:sz="0" w:space="0" w:color="auto"/>
                        <w:bottom w:val="none" w:sz="0" w:space="0" w:color="auto"/>
                        <w:right w:val="none" w:sz="0" w:space="0" w:color="auto"/>
                      </w:divBdr>
                    </w:div>
                  </w:divsChild>
                </w:div>
                <w:div w:id="1521968399">
                  <w:marLeft w:val="0"/>
                  <w:marRight w:val="0"/>
                  <w:marTop w:val="0"/>
                  <w:marBottom w:val="0"/>
                  <w:divBdr>
                    <w:top w:val="none" w:sz="0" w:space="0" w:color="auto"/>
                    <w:left w:val="none" w:sz="0" w:space="0" w:color="auto"/>
                    <w:bottom w:val="none" w:sz="0" w:space="0" w:color="auto"/>
                    <w:right w:val="none" w:sz="0" w:space="0" w:color="auto"/>
                  </w:divBdr>
                  <w:divsChild>
                    <w:div w:id="806583364">
                      <w:marLeft w:val="0"/>
                      <w:marRight w:val="0"/>
                      <w:marTop w:val="0"/>
                      <w:marBottom w:val="0"/>
                      <w:divBdr>
                        <w:top w:val="none" w:sz="0" w:space="0" w:color="auto"/>
                        <w:left w:val="none" w:sz="0" w:space="0" w:color="auto"/>
                        <w:bottom w:val="none" w:sz="0" w:space="0" w:color="auto"/>
                        <w:right w:val="none" w:sz="0" w:space="0" w:color="auto"/>
                      </w:divBdr>
                    </w:div>
                  </w:divsChild>
                </w:div>
                <w:div w:id="1530532466">
                  <w:marLeft w:val="0"/>
                  <w:marRight w:val="0"/>
                  <w:marTop w:val="0"/>
                  <w:marBottom w:val="0"/>
                  <w:divBdr>
                    <w:top w:val="none" w:sz="0" w:space="0" w:color="auto"/>
                    <w:left w:val="none" w:sz="0" w:space="0" w:color="auto"/>
                    <w:bottom w:val="none" w:sz="0" w:space="0" w:color="auto"/>
                    <w:right w:val="none" w:sz="0" w:space="0" w:color="auto"/>
                  </w:divBdr>
                  <w:divsChild>
                    <w:div w:id="1286546440">
                      <w:marLeft w:val="0"/>
                      <w:marRight w:val="0"/>
                      <w:marTop w:val="0"/>
                      <w:marBottom w:val="0"/>
                      <w:divBdr>
                        <w:top w:val="none" w:sz="0" w:space="0" w:color="auto"/>
                        <w:left w:val="none" w:sz="0" w:space="0" w:color="auto"/>
                        <w:bottom w:val="none" w:sz="0" w:space="0" w:color="auto"/>
                        <w:right w:val="none" w:sz="0" w:space="0" w:color="auto"/>
                      </w:divBdr>
                    </w:div>
                  </w:divsChild>
                </w:div>
                <w:div w:id="1531609012">
                  <w:marLeft w:val="0"/>
                  <w:marRight w:val="0"/>
                  <w:marTop w:val="0"/>
                  <w:marBottom w:val="0"/>
                  <w:divBdr>
                    <w:top w:val="none" w:sz="0" w:space="0" w:color="auto"/>
                    <w:left w:val="none" w:sz="0" w:space="0" w:color="auto"/>
                    <w:bottom w:val="none" w:sz="0" w:space="0" w:color="auto"/>
                    <w:right w:val="none" w:sz="0" w:space="0" w:color="auto"/>
                  </w:divBdr>
                  <w:divsChild>
                    <w:div w:id="1994410702">
                      <w:marLeft w:val="0"/>
                      <w:marRight w:val="0"/>
                      <w:marTop w:val="0"/>
                      <w:marBottom w:val="0"/>
                      <w:divBdr>
                        <w:top w:val="none" w:sz="0" w:space="0" w:color="auto"/>
                        <w:left w:val="none" w:sz="0" w:space="0" w:color="auto"/>
                        <w:bottom w:val="none" w:sz="0" w:space="0" w:color="auto"/>
                        <w:right w:val="none" w:sz="0" w:space="0" w:color="auto"/>
                      </w:divBdr>
                    </w:div>
                  </w:divsChild>
                </w:div>
                <w:div w:id="1556509242">
                  <w:marLeft w:val="0"/>
                  <w:marRight w:val="0"/>
                  <w:marTop w:val="0"/>
                  <w:marBottom w:val="0"/>
                  <w:divBdr>
                    <w:top w:val="none" w:sz="0" w:space="0" w:color="auto"/>
                    <w:left w:val="none" w:sz="0" w:space="0" w:color="auto"/>
                    <w:bottom w:val="none" w:sz="0" w:space="0" w:color="auto"/>
                    <w:right w:val="none" w:sz="0" w:space="0" w:color="auto"/>
                  </w:divBdr>
                  <w:divsChild>
                    <w:div w:id="880629448">
                      <w:marLeft w:val="0"/>
                      <w:marRight w:val="0"/>
                      <w:marTop w:val="0"/>
                      <w:marBottom w:val="0"/>
                      <w:divBdr>
                        <w:top w:val="none" w:sz="0" w:space="0" w:color="auto"/>
                        <w:left w:val="none" w:sz="0" w:space="0" w:color="auto"/>
                        <w:bottom w:val="none" w:sz="0" w:space="0" w:color="auto"/>
                        <w:right w:val="none" w:sz="0" w:space="0" w:color="auto"/>
                      </w:divBdr>
                    </w:div>
                  </w:divsChild>
                </w:div>
                <w:div w:id="1561668606">
                  <w:marLeft w:val="0"/>
                  <w:marRight w:val="0"/>
                  <w:marTop w:val="0"/>
                  <w:marBottom w:val="0"/>
                  <w:divBdr>
                    <w:top w:val="none" w:sz="0" w:space="0" w:color="auto"/>
                    <w:left w:val="none" w:sz="0" w:space="0" w:color="auto"/>
                    <w:bottom w:val="none" w:sz="0" w:space="0" w:color="auto"/>
                    <w:right w:val="none" w:sz="0" w:space="0" w:color="auto"/>
                  </w:divBdr>
                  <w:divsChild>
                    <w:div w:id="348870194">
                      <w:marLeft w:val="0"/>
                      <w:marRight w:val="0"/>
                      <w:marTop w:val="0"/>
                      <w:marBottom w:val="0"/>
                      <w:divBdr>
                        <w:top w:val="none" w:sz="0" w:space="0" w:color="auto"/>
                        <w:left w:val="none" w:sz="0" w:space="0" w:color="auto"/>
                        <w:bottom w:val="none" w:sz="0" w:space="0" w:color="auto"/>
                        <w:right w:val="none" w:sz="0" w:space="0" w:color="auto"/>
                      </w:divBdr>
                    </w:div>
                  </w:divsChild>
                </w:div>
                <w:div w:id="1567296820">
                  <w:marLeft w:val="0"/>
                  <w:marRight w:val="0"/>
                  <w:marTop w:val="0"/>
                  <w:marBottom w:val="0"/>
                  <w:divBdr>
                    <w:top w:val="none" w:sz="0" w:space="0" w:color="auto"/>
                    <w:left w:val="none" w:sz="0" w:space="0" w:color="auto"/>
                    <w:bottom w:val="none" w:sz="0" w:space="0" w:color="auto"/>
                    <w:right w:val="none" w:sz="0" w:space="0" w:color="auto"/>
                  </w:divBdr>
                  <w:divsChild>
                    <w:div w:id="181869179">
                      <w:marLeft w:val="0"/>
                      <w:marRight w:val="0"/>
                      <w:marTop w:val="0"/>
                      <w:marBottom w:val="0"/>
                      <w:divBdr>
                        <w:top w:val="none" w:sz="0" w:space="0" w:color="auto"/>
                        <w:left w:val="none" w:sz="0" w:space="0" w:color="auto"/>
                        <w:bottom w:val="none" w:sz="0" w:space="0" w:color="auto"/>
                        <w:right w:val="none" w:sz="0" w:space="0" w:color="auto"/>
                      </w:divBdr>
                    </w:div>
                  </w:divsChild>
                </w:div>
                <w:div w:id="1576086478">
                  <w:marLeft w:val="0"/>
                  <w:marRight w:val="0"/>
                  <w:marTop w:val="0"/>
                  <w:marBottom w:val="0"/>
                  <w:divBdr>
                    <w:top w:val="none" w:sz="0" w:space="0" w:color="auto"/>
                    <w:left w:val="none" w:sz="0" w:space="0" w:color="auto"/>
                    <w:bottom w:val="none" w:sz="0" w:space="0" w:color="auto"/>
                    <w:right w:val="none" w:sz="0" w:space="0" w:color="auto"/>
                  </w:divBdr>
                  <w:divsChild>
                    <w:div w:id="904343438">
                      <w:marLeft w:val="0"/>
                      <w:marRight w:val="0"/>
                      <w:marTop w:val="0"/>
                      <w:marBottom w:val="0"/>
                      <w:divBdr>
                        <w:top w:val="none" w:sz="0" w:space="0" w:color="auto"/>
                        <w:left w:val="none" w:sz="0" w:space="0" w:color="auto"/>
                        <w:bottom w:val="none" w:sz="0" w:space="0" w:color="auto"/>
                        <w:right w:val="none" w:sz="0" w:space="0" w:color="auto"/>
                      </w:divBdr>
                    </w:div>
                  </w:divsChild>
                </w:div>
                <w:div w:id="1587954795">
                  <w:marLeft w:val="0"/>
                  <w:marRight w:val="0"/>
                  <w:marTop w:val="0"/>
                  <w:marBottom w:val="0"/>
                  <w:divBdr>
                    <w:top w:val="none" w:sz="0" w:space="0" w:color="auto"/>
                    <w:left w:val="none" w:sz="0" w:space="0" w:color="auto"/>
                    <w:bottom w:val="none" w:sz="0" w:space="0" w:color="auto"/>
                    <w:right w:val="none" w:sz="0" w:space="0" w:color="auto"/>
                  </w:divBdr>
                  <w:divsChild>
                    <w:div w:id="5906507">
                      <w:marLeft w:val="0"/>
                      <w:marRight w:val="0"/>
                      <w:marTop w:val="0"/>
                      <w:marBottom w:val="0"/>
                      <w:divBdr>
                        <w:top w:val="none" w:sz="0" w:space="0" w:color="auto"/>
                        <w:left w:val="none" w:sz="0" w:space="0" w:color="auto"/>
                        <w:bottom w:val="none" w:sz="0" w:space="0" w:color="auto"/>
                        <w:right w:val="none" w:sz="0" w:space="0" w:color="auto"/>
                      </w:divBdr>
                    </w:div>
                  </w:divsChild>
                </w:div>
                <w:div w:id="1604412897">
                  <w:marLeft w:val="0"/>
                  <w:marRight w:val="0"/>
                  <w:marTop w:val="0"/>
                  <w:marBottom w:val="0"/>
                  <w:divBdr>
                    <w:top w:val="none" w:sz="0" w:space="0" w:color="auto"/>
                    <w:left w:val="none" w:sz="0" w:space="0" w:color="auto"/>
                    <w:bottom w:val="none" w:sz="0" w:space="0" w:color="auto"/>
                    <w:right w:val="none" w:sz="0" w:space="0" w:color="auto"/>
                  </w:divBdr>
                  <w:divsChild>
                    <w:div w:id="1095175762">
                      <w:marLeft w:val="0"/>
                      <w:marRight w:val="0"/>
                      <w:marTop w:val="0"/>
                      <w:marBottom w:val="0"/>
                      <w:divBdr>
                        <w:top w:val="none" w:sz="0" w:space="0" w:color="auto"/>
                        <w:left w:val="none" w:sz="0" w:space="0" w:color="auto"/>
                        <w:bottom w:val="none" w:sz="0" w:space="0" w:color="auto"/>
                        <w:right w:val="none" w:sz="0" w:space="0" w:color="auto"/>
                      </w:divBdr>
                    </w:div>
                  </w:divsChild>
                </w:div>
                <w:div w:id="1619220581">
                  <w:marLeft w:val="0"/>
                  <w:marRight w:val="0"/>
                  <w:marTop w:val="0"/>
                  <w:marBottom w:val="0"/>
                  <w:divBdr>
                    <w:top w:val="none" w:sz="0" w:space="0" w:color="auto"/>
                    <w:left w:val="none" w:sz="0" w:space="0" w:color="auto"/>
                    <w:bottom w:val="none" w:sz="0" w:space="0" w:color="auto"/>
                    <w:right w:val="none" w:sz="0" w:space="0" w:color="auto"/>
                  </w:divBdr>
                  <w:divsChild>
                    <w:div w:id="1172644158">
                      <w:marLeft w:val="0"/>
                      <w:marRight w:val="0"/>
                      <w:marTop w:val="0"/>
                      <w:marBottom w:val="0"/>
                      <w:divBdr>
                        <w:top w:val="none" w:sz="0" w:space="0" w:color="auto"/>
                        <w:left w:val="none" w:sz="0" w:space="0" w:color="auto"/>
                        <w:bottom w:val="none" w:sz="0" w:space="0" w:color="auto"/>
                        <w:right w:val="none" w:sz="0" w:space="0" w:color="auto"/>
                      </w:divBdr>
                    </w:div>
                  </w:divsChild>
                </w:div>
                <w:div w:id="1626352411">
                  <w:marLeft w:val="0"/>
                  <w:marRight w:val="0"/>
                  <w:marTop w:val="0"/>
                  <w:marBottom w:val="0"/>
                  <w:divBdr>
                    <w:top w:val="none" w:sz="0" w:space="0" w:color="auto"/>
                    <w:left w:val="none" w:sz="0" w:space="0" w:color="auto"/>
                    <w:bottom w:val="none" w:sz="0" w:space="0" w:color="auto"/>
                    <w:right w:val="none" w:sz="0" w:space="0" w:color="auto"/>
                  </w:divBdr>
                  <w:divsChild>
                    <w:div w:id="1824079258">
                      <w:marLeft w:val="0"/>
                      <w:marRight w:val="0"/>
                      <w:marTop w:val="0"/>
                      <w:marBottom w:val="0"/>
                      <w:divBdr>
                        <w:top w:val="none" w:sz="0" w:space="0" w:color="auto"/>
                        <w:left w:val="none" w:sz="0" w:space="0" w:color="auto"/>
                        <w:bottom w:val="none" w:sz="0" w:space="0" w:color="auto"/>
                        <w:right w:val="none" w:sz="0" w:space="0" w:color="auto"/>
                      </w:divBdr>
                    </w:div>
                  </w:divsChild>
                </w:div>
                <w:div w:id="1635089987">
                  <w:marLeft w:val="0"/>
                  <w:marRight w:val="0"/>
                  <w:marTop w:val="0"/>
                  <w:marBottom w:val="0"/>
                  <w:divBdr>
                    <w:top w:val="none" w:sz="0" w:space="0" w:color="auto"/>
                    <w:left w:val="none" w:sz="0" w:space="0" w:color="auto"/>
                    <w:bottom w:val="none" w:sz="0" w:space="0" w:color="auto"/>
                    <w:right w:val="none" w:sz="0" w:space="0" w:color="auto"/>
                  </w:divBdr>
                  <w:divsChild>
                    <w:div w:id="1123378733">
                      <w:marLeft w:val="0"/>
                      <w:marRight w:val="0"/>
                      <w:marTop w:val="0"/>
                      <w:marBottom w:val="0"/>
                      <w:divBdr>
                        <w:top w:val="none" w:sz="0" w:space="0" w:color="auto"/>
                        <w:left w:val="none" w:sz="0" w:space="0" w:color="auto"/>
                        <w:bottom w:val="none" w:sz="0" w:space="0" w:color="auto"/>
                        <w:right w:val="none" w:sz="0" w:space="0" w:color="auto"/>
                      </w:divBdr>
                    </w:div>
                  </w:divsChild>
                </w:div>
                <w:div w:id="1642881599">
                  <w:marLeft w:val="0"/>
                  <w:marRight w:val="0"/>
                  <w:marTop w:val="0"/>
                  <w:marBottom w:val="0"/>
                  <w:divBdr>
                    <w:top w:val="none" w:sz="0" w:space="0" w:color="auto"/>
                    <w:left w:val="none" w:sz="0" w:space="0" w:color="auto"/>
                    <w:bottom w:val="none" w:sz="0" w:space="0" w:color="auto"/>
                    <w:right w:val="none" w:sz="0" w:space="0" w:color="auto"/>
                  </w:divBdr>
                  <w:divsChild>
                    <w:div w:id="1026950647">
                      <w:marLeft w:val="0"/>
                      <w:marRight w:val="0"/>
                      <w:marTop w:val="0"/>
                      <w:marBottom w:val="0"/>
                      <w:divBdr>
                        <w:top w:val="none" w:sz="0" w:space="0" w:color="auto"/>
                        <w:left w:val="none" w:sz="0" w:space="0" w:color="auto"/>
                        <w:bottom w:val="none" w:sz="0" w:space="0" w:color="auto"/>
                        <w:right w:val="none" w:sz="0" w:space="0" w:color="auto"/>
                      </w:divBdr>
                    </w:div>
                  </w:divsChild>
                </w:div>
                <w:div w:id="1649481484">
                  <w:marLeft w:val="0"/>
                  <w:marRight w:val="0"/>
                  <w:marTop w:val="0"/>
                  <w:marBottom w:val="0"/>
                  <w:divBdr>
                    <w:top w:val="none" w:sz="0" w:space="0" w:color="auto"/>
                    <w:left w:val="none" w:sz="0" w:space="0" w:color="auto"/>
                    <w:bottom w:val="none" w:sz="0" w:space="0" w:color="auto"/>
                    <w:right w:val="none" w:sz="0" w:space="0" w:color="auto"/>
                  </w:divBdr>
                  <w:divsChild>
                    <w:div w:id="541789087">
                      <w:marLeft w:val="0"/>
                      <w:marRight w:val="0"/>
                      <w:marTop w:val="0"/>
                      <w:marBottom w:val="0"/>
                      <w:divBdr>
                        <w:top w:val="none" w:sz="0" w:space="0" w:color="auto"/>
                        <w:left w:val="none" w:sz="0" w:space="0" w:color="auto"/>
                        <w:bottom w:val="none" w:sz="0" w:space="0" w:color="auto"/>
                        <w:right w:val="none" w:sz="0" w:space="0" w:color="auto"/>
                      </w:divBdr>
                    </w:div>
                  </w:divsChild>
                </w:div>
                <w:div w:id="1656183541">
                  <w:marLeft w:val="0"/>
                  <w:marRight w:val="0"/>
                  <w:marTop w:val="0"/>
                  <w:marBottom w:val="0"/>
                  <w:divBdr>
                    <w:top w:val="none" w:sz="0" w:space="0" w:color="auto"/>
                    <w:left w:val="none" w:sz="0" w:space="0" w:color="auto"/>
                    <w:bottom w:val="none" w:sz="0" w:space="0" w:color="auto"/>
                    <w:right w:val="none" w:sz="0" w:space="0" w:color="auto"/>
                  </w:divBdr>
                  <w:divsChild>
                    <w:div w:id="110560052">
                      <w:marLeft w:val="0"/>
                      <w:marRight w:val="0"/>
                      <w:marTop w:val="0"/>
                      <w:marBottom w:val="0"/>
                      <w:divBdr>
                        <w:top w:val="none" w:sz="0" w:space="0" w:color="auto"/>
                        <w:left w:val="none" w:sz="0" w:space="0" w:color="auto"/>
                        <w:bottom w:val="none" w:sz="0" w:space="0" w:color="auto"/>
                        <w:right w:val="none" w:sz="0" w:space="0" w:color="auto"/>
                      </w:divBdr>
                    </w:div>
                  </w:divsChild>
                </w:div>
                <w:div w:id="1677226848">
                  <w:marLeft w:val="0"/>
                  <w:marRight w:val="0"/>
                  <w:marTop w:val="0"/>
                  <w:marBottom w:val="0"/>
                  <w:divBdr>
                    <w:top w:val="none" w:sz="0" w:space="0" w:color="auto"/>
                    <w:left w:val="none" w:sz="0" w:space="0" w:color="auto"/>
                    <w:bottom w:val="none" w:sz="0" w:space="0" w:color="auto"/>
                    <w:right w:val="none" w:sz="0" w:space="0" w:color="auto"/>
                  </w:divBdr>
                  <w:divsChild>
                    <w:div w:id="1443570643">
                      <w:marLeft w:val="0"/>
                      <w:marRight w:val="0"/>
                      <w:marTop w:val="0"/>
                      <w:marBottom w:val="0"/>
                      <w:divBdr>
                        <w:top w:val="none" w:sz="0" w:space="0" w:color="auto"/>
                        <w:left w:val="none" w:sz="0" w:space="0" w:color="auto"/>
                        <w:bottom w:val="none" w:sz="0" w:space="0" w:color="auto"/>
                        <w:right w:val="none" w:sz="0" w:space="0" w:color="auto"/>
                      </w:divBdr>
                    </w:div>
                  </w:divsChild>
                </w:div>
                <w:div w:id="1677727965">
                  <w:marLeft w:val="0"/>
                  <w:marRight w:val="0"/>
                  <w:marTop w:val="0"/>
                  <w:marBottom w:val="0"/>
                  <w:divBdr>
                    <w:top w:val="none" w:sz="0" w:space="0" w:color="auto"/>
                    <w:left w:val="none" w:sz="0" w:space="0" w:color="auto"/>
                    <w:bottom w:val="none" w:sz="0" w:space="0" w:color="auto"/>
                    <w:right w:val="none" w:sz="0" w:space="0" w:color="auto"/>
                  </w:divBdr>
                  <w:divsChild>
                    <w:div w:id="335301763">
                      <w:marLeft w:val="0"/>
                      <w:marRight w:val="0"/>
                      <w:marTop w:val="0"/>
                      <w:marBottom w:val="0"/>
                      <w:divBdr>
                        <w:top w:val="none" w:sz="0" w:space="0" w:color="auto"/>
                        <w:left w:val="none" w:sz="0" w:space="0" w:color="auto"/>
                        <w:bottom w:val="none" w:sz="0" w:space="0" w:color="auto"/>
                        <w:right w:val="none" w:sz="0" w:space="0" w:color="auto"/>
                      </w:divBdr>
                    </w:div>
                  </w:divsChild>
                </w:div>
                <w:div w:id="1685934241">
                  <w:marLeft w:val="0"/>
                  <w:marRight w:val="0"/>
                  <w:marTop w:val="0"/>
                  <w:marBottom w:val="0"/>
                  <w:divBdr>
                    <w:top w:val="none" w:sz="0" w:space="0" w:color="auto"/>
                    <w:left w:val="none" w:sz="0" w:space="0" w:color="auto"/>
                    <w:bottom w:val="none" w:sz="0" w:space="0" w:color="auto"/>
                    <w:right w:val="none" w:sz="0" w:space="0" w:color="auto"/>
                  </w:divBdr>
                  <w:divsChild>
                    <w:div w:id="1299261082">
                      <w:marLeft w:val="0"/>
                      <w:marRight w:val="0"/>
                      <w:marTop w:val="0"/>
                      <w:marBottom w:val="0"/>
                      <w:divBdr>
                        <w:top w:val="none" w:sz="0" w:space="0" w:color="auto"/>
                        <w:left w:val="none" w:sz="0" w:space="0" w:color="auto"/>
                        <w:bottom w:val="none" w:sz="0" w:space="0" w:color="auto"/>
                        <w:right w:val="none" w:sz="0" w:space="0" w:color="auto"/>
                      </w:divBdr>
                    </w:div>
                  </w:divsChild>
                </w:div>
                <w:div w:id="1686862092">
                  <w:marLeft w:val="0"/>
                  <w:marRight w:val="0"/>
                  <w:marTop w:val="0"/>
                  <w:marBottom w:val="0"/>
                  <w:divBdr>
                    <w:top w:val="none" w:sz="0" w:space="0" w:color="auto"/>
                    <w:left w:val="none" w:sz="0" w:space="0" w:color="auto"/>
                    <w:bottom w:val="none" w:sz="0" w:space="0" w:color="auto"/>
                    <w:right w:val="none" w:sz="0" w:space="0" w:color="auto"/>
                  </w:divBdr>
                  <w:divsChild>
                    <w:div w:id="1439330628">
                      <w:marLeft w:val="0"/>
                      <w:marRight w:val="0"/>
                      <w:marTop w:val="0"/>
                      <w:marBottom w:val="0"/>
                      <w:divBdr>
                        <w:top w:val="none" w:sz="0" w:space="0" w:color="auto"/>
                        <w:left w:val="none" w:sz="0" w:space="0" w:color="auto"/>
                        <w:bottom w:val="none" w:sz="0" w:space="0" w:color="auto"/>
                        <w:right w:val="none" w:sz="0" w:space="0" w:color="auto"/>
                      </w:divBdr>
                    </w:div>
                  </w:divsChild>
                </w:div>
                <w:div w:id="1690136111">
                  <w:marLeft w:val="0"/>
                  <w:marRight w:val="0"/>
                  <w:marTop w:val="0"/>
                  <w:marBottom w:val="0"/>
                  <w:divBdr>
                    <w:top w:val="none" w:sz="0" w:space="0" w:color="auto"/>
                    <w:left w:val="none" w:sz="0" w:space="0" w:color="auto"/>
                    <w:bottom w:val="none" w:sz="0" w:space="0" w:color="auto"/>
                    <w:right w:val="none" w:sz="0" w:space="0" w:color="auto"/>
                  </w:divBdr>
                  <w:divsChild>
                    <w:div w:id="293221832">
                      <w:marLeft w:val="0"/>
                      <w:marRight w:val="0"/>
                      <w:marTop w:val="0"/>
                      <w:marBottom w:val="0"/>
                      <w:divBdr>
                        <w:top w:val="none" w:sz="0" w:space="0" w:color="auto"/>
                        <w:left w:val="none" w:sz="0" w:space="0" w:color="auto"/>
                        <w:bottom w:val="none" w:sz="0" w:space="0" w:color="auto"/>
                        <w:right w:val="none" w:sz="0" w:space="0" w:color="auto"/>
                      </w:divBdr>
                    </w:div>
                  </w:divsChild>
                </w:div>
                <w:div w:id="1690176710">
                  <w:marLeft w:val="0"/>
                  <w:marRight w:val="0"/>
                  <w:marTop w:val="0"/>
                  <w:marBottom w:val="0"/>
                  <w:divBdr>
                    <w:top w:val="none" w:sz="0" w:space="0" w:color="auto"/>
                    <w:left w:val="none" w:sz="0" w:space="0" w:color="auto"/>
                    <w:bottom w:val="none" w:sz="0" w:space="0" w:color="auto"/>
                    <w:right w:val="none" w:sz="0" w:space="0" w:color="auto"/>
                  </w:divBdr>
                  <w:divsChild>
                    <w:div w:id="2013098678">
                      <w:marLeft w:val="0"/>
                      <w:marRight w:val="0"/>
                      <w:marTop w:val="0"/>
                      <w:marBottom w:val="0"/>
                      <w:divBdr>
                        <w:top w:val="none" w:sz="0" w:space="0" w:color="auto"/>
                        <w:left w:val="none" w:sz="0" w:space="0" w:color="auto"/>
                        <w:bottom w:val="none" w:sz="0" w:space="0" w:color="auto"/>
                        <w:right w:val="none" w:sz="0" w:space="0" w:color="auto"/>
                      </w:divBdr>
                    </w:div>
                  </w:divsChild>
                </w:div>
                <w:div w:id="1698920760">
                  <w:marLeft w:val="0"/>
                  <w:marRight w:val="0"/>
                  <w:marTop w:val="0"/>
                  <w:marBottom w:val="0"/>
                  <w:divBdr>
                    <w:top w:val="none" w:sz="0" w:space="0" w:color="auto"/>
                    <w:left w:val="none" w:sz="0" w:space="0" w:color="auto"/>
                    <w:bottom w:val="none" w:sz="0" w:space="0" w:color="auto"/>
                    <w:right w:val="none" w:sz="0" w:space="0" w:color="auto"/>
                  </w:divBdr>
                  <w:divsChild>
                    <w:div w:id="715350676">
                      <w:marLeft w:val="0"/>
                      <w:marRight w:val="0"/>
                      <w:marTop w:val="0"/>
                      <w:marBottom w:val="0"/>
                      <w:divBdr>
                        <w:top w:val="none" w:sz="0" w:space="0" w:color="auto"/>
                        <w:left w:val="none" w:sz="0" w:space="0" w:color="auto"/>
                        <w:bottom w:val="none" w:sz="0" w:space="0" w:color="auto"/>
                        <w:right w:val="none" w:sz="0" w:space="0" w:color="auto"/>
                      </w:divBdr>
                    </w:div>
                  </w:divsChild>
                </w:div>
                <w:div w:id="1739399225">
                  <w:marLeft w:val="0"/>
                  <w:marRight w:val="0"/>
                  <w:marTop w:val="0"/>
                  <w:marBottom w:val="0"/>
                  <w:divBdr>
                    <w:top w:val="none" w:sz="0" w:space="0" w:color="auto"/>
                    <w:left w:val="none" w:sz="0" w:space="0" w:color="auto"/>
                    <w:bottom w:val="none" w:sz="0" w:space="0" w:color="auto"/>
                    <w:right w:val="none" w:sz="0" w:space="0" w:color="auto"/>
                  </w:divBdr>
                  <w:divsChild>
                    <w:div w:id="1398701918">
                      <w:marLeft w:val="0"/>
                      <w:marRight w:val="0"/>
                      <w:marTop w:val="0"/>
                      <w:marBottom w:val="0"/>
                      <w:divBdr>
                        <w:top w:val="none" w:sz="0" w:space="0" w:color="auto"/>
                        <w:left w:val="none" w:sz="0" w:space="0" w:color="auto"/>
                        <w:bottom w:val="none" w:sz="0" w:space="0" w:color="auto"/>
                        <w:right w:val="none" w:sz="0" w:space="0" w:color="auto"/>
                      </w:divBdr>
                    </w:div>
                  </w:divsChild>
                </w:div>
                <w:div w:id="1789933879">
                  <w:marLeft w:val="0"/>
                  <w:marRight w:val="0"/>
                  <w:marTop w:val="0"/>
                  <w:marBottom w:val="0"/>
                  <w:divBdr>
                    <w:top w:val="none" w:sz="0" w:space="0" w:color="auto"/>
                    <w:left w:val="none" w:sz="0" w:space="0" w:color="auto"/>
                    <w:bottom w:val="none" w:sz="0" w:space="0" w:color="auto"/>
                    <w:right w:val="none" w:sz="0" w:space="0" w:color="auto"/>
                  </w:divBdr>
                  <w:divsChild>
                    <w:div w:id="1802115076">
                      <w:marLeft w:val="0"/>
                      <w:marRight w:val="0"/>
                      <w:marTop w:val="0"/>
                      <w:marBottom w:val="0"/>
                      <w:divBdr>
                        <w:top w:val="none" w:sz="0" w:space="0" w:color="auto"/>
                        <w:left w:val="none" w:sz="0" w:space="0" w:color="auto"/>
                        <w:bottom w:val="none" w:sz="0" w:space="0" w:color="auto"/>
                        <w:right w:val="none" w:sz="0" w:space="0" w:color="auto"/>
                      </w:divBdr>
                    </w:div>
                  </w:divsChild>
                </w:div>
                <w:div w:id="1791778988">
                  <w:marLeft w:val="0"/>
                  <w:marRight w:val="0"/>
                  <w:marTop w:val="0"/>
                  <w:marBottom w:val="0"/>
                  <w:divBdr>
                    <w:top w:val="none" w:sz="0" w:space="0" w:color="auto"/>
                    <w:left w:val="none" w:sz="0" w:space="0" w:color="auto"/>
                    <w:bottom w:val="none" w:sz="0" w:space="0" w:color="auto"/>
                    <w:right w:val="none" w:sz="0" w:space="0" w:color="auto"/>
                  </w:divBdr>
                  <w:divsChild>
                    <w:div w:id="1808357648">
                      <w:marLeft w:val="0"/>
                      <w:marRight w:val="0"/>
                      <w:marTop w:val="0"/>
                      <w:marBottom w:val="0"/>
                      <w:divBdr>
                        <w:top w:val="none" w:sz="0" w:space="0" w:color="auto"/>
                        <w:left w:val="none" w:sz="0" w:space="0" w:color="auto"/>
                        <w:bottom w:val="none" w:sz="0" w:space="0" w:color="auto"/>
                        <w:right w:val="none" w:sz="0" w:space="0" w:color="auto"/>
                      </w:divBdr>
                    </w:div>
                  </w:divsChild>
                </w:div>
                <w:div w:id="1821772052">
                  <w:marLeft w:val="0"/>
                  <w:marRight w:val="0"/>
                  <w:marTop w:val="0"/>
                  <w:marBottom w:val="0"/>
                  <w:divBdr>
                    <w:top w:val="none" w:sz="0" w:space="0" w:color="auto"/>
                    <w:left w:val="none" w:sz="0" w:space="0" w:color="auto"/>
                    <w:bottom w:val="none" w:sz="0" w:space="0" w:color="auto"/>
                    <w:right w:val="none" w:sz="0" w:space="0" w:color="auto"/>
                  </w:divBdr>
                  <w:divsChild>
                    <w:div w:id="361325861">
                      <w:marLeft w:val="0"/>
                      <w:marRight w:val="0"/>
                      <w:marTop w:val="0"/>
                      <w:marBottom w:val="0"/>
                      <w:divBdr>
                        <w:top w:val="none" w:sz="0" w:space="0" w:color="auto"/>
                        <w:left w:val="none" w:sz="0" w:space="0" w:color="auto"/>
                        <w:bottom w:val="none" w:sz="0" w:space="0" w:color="auto"/>
                        <w:right w:val="none" w:sz="0" w:space="0" w:color="auto"/>
                      </w:divBdr>
                    </w:div>
                  </w:divsChild>
                </w:div>
                <w:div w:id="1830822197">
                  <w:marLeft w:val="0"/>
                  <w:marRight w:val="0"/>
                  <w:marTop w:val="0"/>
                  <w:marBottom w:val="0"/>
                  <w:divBdr>
                    <w:top w:val="none" w:sz="0" w:space="0" w:color="auto"/>
                    <w:left w:val="none" w:sz="0" w:space="0" w:color="auto"/>
                    <w:bottom w:val="none" w:sz="0" w:space="0" w:color="auto"/>
                    <w:right w:val="none" w:sz="0" w:space="0" w:color="auto"/>
                  </w:divBdr>
                  <w:divsChild>
                    <w:div w:id="1889339028">
                      <w:marLeft w:val="0"/>
                      <w:marRight w:val="0"/>
                      <w:marTop w:val="0"/>
                      <w:marBottom w:val="0"/>
                      <w:divBdr>
                        <w:top w:val="none" w:sz="0" w:space="0" w:color="auto"/>
                        <w:left w:val="none" w:sz="0" w:space="0" w:color="auto"/>
                        <w:bottom w:val="none" w:sz="0" w:space="0" w:color="auto"/>
                        <w:right w:val="none" w:sz="0" w:space="0" w:color="auto"/>
                      </w:divBdr>
                    </w:div>
                  </w:divsChild>
                </w:div>
                <w:div w:id="1865753023">
                  <w:marLeft w:val="0"/>
                  <w:marRight w:val="0"/>
                  <w:marTop w:val="0"/>
                  <w:marBottom w:val="0"/>
                  <w:divBdr>
                    <w:top w:val="none" w:sz="0" w:space="0" w:color="auto"/>
                    <w:left w:val="none" w:sz="0" w:space="0" w:color="auto"/>
                    <w:bottom w:val="none" w:sz="0" w:space="0" w:color="auto"/>
                    <w:right w:val="none" w:sz="0" w:space="0" w:color="auto"/>
                  </w:divBdr>
                  <w:divsChild>
                    <w:div w:id="1968970340">
                      <w:marLeft w:val="0"/>
                      <w:marRight w:val="0"/>
                      <w:marTop w:val="0"/>
                      <w:marBottom w:val="0"/>
                      <w:divBdr>
                        <w:top w:val="none" w:sz="0" w:space="0" w:color="auto"/>
                        <w:left w:val="none" w:sz="0" w:space="0" w:color="auto"/>
                        <w:bottom w:val="none" w:sz="0" w:space="0" w:color="auto"/>
                        <w:right w:val="none" w:sz="0" w:space="0" w:color="auto"/>
                      </w:divBdr>
                    </w:div>
                  </w:divsChild>
                </w:div>
                <w:div w:id="1874803573">
                  <w:marLeft w:val="0"/>
                  <w:marRight w:val="0"/>
                  <w:marTop w:val="0"/>
                  <w:marBottom w:val="0"/>
                  <w:divBdr>
                    <w:top w:val="none" w:sz="0" w:space="0" w:color="auto"/>
                    <w:left w:val="none" w:sz="0" w:space="0" w:color="auto"/>
                    <w:bottom w:val="none" w:sz="0" w:space="0" w:color="auto"/>
                    <w:right w:val="none" w:sz="0" w:space="0" w:color="auto"/>
                  </w:divBdr>
                  <w:divsChild>
                    <w:div w:id="1884250522">
                      <w:marLeft w:val="0"/>
                      <w:marRight w:val="0"/>
                      <w:marTop w:val="0"/>
                      <w:marBottom w:val="0"/>
                      <w:divBdr>
                        <w:top w:val="none" w:sz="0" w:space="0" w:color="auto"/>
                        <w:left w:val="none" w:sz="0" w:space="0" w:color="auto"/>
                        <w:bottom w:val="none" w:sz="0" w:space="0" w:color="auto"/>
                        <w:right w:val="none" w:sz="0" w:space="0" w:color="auto"/>
                      </w:divBdr>
                    </w:div>
                  </w:divsChild>
                </w:div>
                <w:div w:id="1876699305">
                  <w:marLeft w:val="0"/>
                  <w:marRight w:val="0"/>
                  <w:marTop w:val="0"/>
                  <w:marBottom w:val="0"/>
                  <w:divBdr>
                    <w:top w:val="none" w:sz="0" w:space="0" w:color="auto"/>
                    <w:left w:val="none" w:sz="0" w:space="0" w:color="auto"/>
                    <w:bottom w:val="none" w:sz="0" w:space="0" w:color="auto"/>
                    <w:right w:val="none" w:sz="0" w:space="0" w:color="auto"/>
                  </w:divBdr>
                  <w:divsChild>
                    <w:div w:id="587353456">
                      <w:marLeft w:val="0"/>
                      <w:marRight w:val="0"/>
                      <w:marTop w:val="0"/>
                      <w:marBottom w:val="0"/>
                      <w:divBdr>
                        <w:top w:val="none" w:sz="0" w:space="0" w:color="auto"/>
                        <w:left w:val="none" w:sz="0" w:space="0" w:color="auto"/>
                        <w:bottom w:val="none" w:sz="0" w:space="0" w:color="auto"/>
                        <w:right w:val="none" w:sz="0" w:space="0" w:color="auto"/>
                      </w:divBdr>
                    </w:div>
                  </w:divsChild>
                </w:div>
                <w:div w:id="1877814783">
                  <w:marLeft w:val="0"/>
                  <w:marRight w:val="0"/>
                  <w:marTop w:val="0"/>
                  <w:marBottom w:val="0"/>
                  <w:divBdr>
                    <w:top w:val="none" w:sz="0" w:space="0" w:color="auto"/>
                    <w:left w:val="none" w:sz="0" w:space="0" w:color="auto"/>
                    <w:bottom w:val="none" w:sz="0" w:space="0" w:color="auto"/>
                    <w:right w:val="none" w:sz="0" w:space="0" w:color="auto"/>
                  </w:divBdr>
                  <w:divsChild>
                    <w:div w:id="1309439050">
                      <w:marLeft w:val="0"/>
                      <w:marRight w:val="0"/>
                      <w:marTop w:val="0"/>
                      <w:marBottom w:val="0"/>
                      <w:divBdr>
                        <w:top w:val="none" w:sz="0" w:space="0" w:color="auto"/>
                        <w:left w:val="none" w:sz="0" w:space="0" w:color="auto"/>
                        <w:bottom w:val="none" w:sz="0" w:space="0" w:color="auto"/>
                        <w:right w:val="none" w:sz="0" w:space="0" w:color="auto"/>
                      </w:divBdr>
                    </w:div>
                  </w:divsChild>
                </w:div>
                <w:div w:id="1883134607">
                  <w:marLeft w:val="0"/>
                  <w:marRight w:val="0"/>
                  <w:marTop w:val="0"/>
                  <w:marBottom w:val="0"/>
                  <w:divBdr>
                    <w:top w:val="none" w:sz="0" w:space="0" w:color="auto"/>
                    <w:left w:val="none" w:sz="0" w:space="0" w:color="auto"/>
                    <w:bottom w:val="none" w:sz="0" w:space="0" w:color="auto"/>
                    <w:right w:val="none" w:sz="0" w:space="0" w:color="auto"/>
                  </w:divBdr>
                  <w:divsChild>
                    <w:div w:id="6565867">
                      <w:marLeft w:val="0"/>
                      <w:marRight w:val="0"/>
                      <w:marTop w:val="0"/>
                      <w:marBottom w:val="0"/>
                      <w:divBdr>
                        <w:top w:val="none" w:sz="0" w:space="0" w:color="auto"/>
                        <w:left w:val="none" w:sz="0" w:space="0" w:color="auto"/>
                        <w:bottom w:val="none" w:sz="0" w:space="0" w:color="auto"/>
                        <w:right w:val="none" w:sz="0" w:space="0" w:color="auto"/>
                      </w:divBdr>
                    </w:div>
                  </w:divsChild>
                </w:div>
                <w:div w:id="1888250831">
                  <w:marLeft w:val="0"/>
                  <w:marRight w:val="0"/>
                  <w:marTop w:val="0"/>
                  <w:marBottom w:val="0"/>
                  <w:divBdr>
                    <w:top w:val="none" w:sz="0" w:space="0" w:color="auto"/>
                    <w:left w:val="none" w:sz="0" w:space="0" w:color="auto"/>
                    <w:bottom w:val="none" w:sz="0" w:space="0" w:color="auto"/>
                    <w:right w:val="none" w:sz="0" w:space="0" w:color="auto"/>
                  </w:divBdr>
                  <w:divsChild>
                    <w:div w:id="2076389762">
                      <w:marLeft w:val="0"/>
                      <w:marRight w:val="0"/>
                      <w:marTop w:val="0"/>
                      <w:marBottom w:val="0"/>
                      <w:divBdr>
                        <w:top w:val="none" w:sz="0" w:space="0" w:color="auto"/>
                        <w:left w:val="none" w:sz="0" w:space="0" w:color="auto"/>
                        <w:bottom w:val="none" w:sz="0" w:space="0" w:color="auto"/>
                        <w:right w:val="none" w:sz="0" w:space="0" w:color="auto"/>
                      </w:divBdr>
                    </w:div>
                  </w:divsChild>
                </w:div>
                <w:div w:id="1907453576">
                  <w:marLeft w:val="0"/>
                  <w:marRight w:val="0"/>
                  <w:marTop w:val="0"/>
                  <w:marBottom w:val="0"/>
                  <w:divBdr>
                    <w:top w:val="none" w:sz="0" w:space="0" w:color="auto"/>
                    <w:left w:val="none" w:sz="0" w:space="0" w:color="auto"/>
                    <w:bottom w:val="none" w:sz="0" w:space="0" w:color="auto"/>
                    <w:right w:val="none" w:sz="0" w:space="0" w:color="auto"/>
                  </w:divBdr>
                  <w:divsChild>
                    <w:div w:id="1014108421">
                      <w:marLeft w:val="0"/>
                      <w:marRight w:val="0"/>
                      <w:marTop w:val="0"/>
                      <w:marBottom w:val="0"/>
                      <w:divBdr>
                        <w:top w:val="none" w:sz="0" w:space="0" w:color="auto"/>
                        <w:left w:val="none" w:sz="0" w:space="0" w:color="auto"/>
                        <w:bottom w:val="none" w:sz="0" w:space="0" w:color="auto"/>
                        <w:right w:val="none" w:sz="0" w:space="0" w:color="auto"/>
                      </w:divBdr>
                    </w:div>
                  </w:divsChild>
                </w:div>
                <w:div w:id="1917201159">
                  <w:marLeft w:val="0"/>
                  <w:marRight w:val="0"/>
                  <w:marTop w:val="0"/>
                  <w:marBottom w:val="0"/>
                  <w:divBdr>
                    <w:top w:val="none" w:sz="0" w:space="0" w:color="auto"/>
                    <w:left w:val="none" w:sz="0" w:space="0" w:color="auto"/>
                    <w:bottom w:val="none" w:sz="0" w:space="0" w:color="auto"/>
                    <w:right w:val="none" w:sz="0" w:space="0" w:color="auto"/>
                  </w:divBdr>
                  <w:divsChild>
                    <w:div w:id="1418137174">
                      <w:marLeft w:val="0"/>
                      <w:marRight w:val="0"/>
                      <w:marTop w:val="0"/>
                      <w:marBottom w:val="0"/>
                      <w:divBdr>
                        <w:top w:val="none" w:sz="0" w:space="0" w:color="auto"/>
                        <w:left w:val="none" w:sz="0" w:space="0" w:color="auto"/>
                        <w:bottom w:val="none" w:sz="0" w:space="0" w:color="auto"/>
                        <w:right w:val="none" w:sz="0" w:space="0" w:color="auto"/>
                      </w:divBdr>
                    </w:div>
                  </w:divsChild>
                </w:div>
                <w:div w:id="1964537970">
                  <w:marLeft w:val="0"/>
                  <w:marRight w:val="0"/>
                  <w:marTop w:val="0"/>
                  <w:marBottom w:val="0"/>
                  <w:divBdr>
                    <w:top w:val="none" w:sz="0" w:space="0" w:color="auto"/>
                    <w:left w:val="none" w:sz="0" w:space="0" w:color="auto"/>
                    <w:bottom w:val="none" w:sz="0" w:space="0" w:color="auto"/>
                    <w:right w:val="none" w:sz="0" w:space="0" w:color="auto"/>
                  </w:divBdr>
                  <w:divsChild>
                    <w:div w:id="117189291">
                      <w:marLeft w:val="0"/>
                      <w:marRight w:val="0"/>
                      <w:marTop w:val="0"/>
                      <w:marBottom w:val="0"/>
                      <w:divBdr>
                        <w:top w:val="none" w:sz="0" w:space="0" w:color="auto"/>
                        <w:left w:val="none" w:sz="0" w:space="0" w:color="auto"/>
                        <w:bottom w:val="none" w:sz="0" w:space="0" w:color="auto"/>
                        <w:right w:val="none" w:sz="0" w:space="0" w:color="auto"/>
                      </w:divBdr>
                    </w:div>
                  </w:divsChild>
                </w:div>
                <w:div w:id="1990472637">
                  <w:marLeft w:val="0"/>
                  <w:marRight w:val="0"/>
                  <w:marTop w:val="0"/>
                  <w:marBottom w:val="0"/>
                  <w:divBdr>
                    <w:top w:val="none" w:sz="0" w:space="0" w:color="auto"/>
                    <w:left w:val="none" w:sz="0" w:space="0" w:color="auto"/>
                    <w:bottom w:val="none" w:sz="0" w:space="0" w:color="auto"/>
                    <w:right w:val="none" w:sz="0" w:space="0" w:color="auto"/>
                  </w:divBdr>
                  <w:divsChild>
                    <w:div w:id="363487682">
                      <w:marLeft w:val="0"/>
                      <w:marRight w:val="0"/>
                      <w:marTop w:val="0"/>
                      <w:marBottom w:val="0"/>
                      <w:divBdr>
                        <w:top w:val="none" w:sz="0" w:space="0" w:color="auto"/>
                        <w:left w:val="none" w:sz="0" w:space="0" w:color="auto"/>
                        <w:bottom w:val="none" w:sz="0" w:space="0" w:color="auto"/>
                        <w:right w:val="none" w:sz="0" w:space="0" w:color="auto"/>
                      </w:divBdr>
                    </w:div>
                  </w:divsChild>
                </w:div>
                <w:div w:id="1997026188">
                  <w:marLeft w:val="0"/>
                  <w:marRight w:val="0"/>
                  <w:marTop w:val="0"/>
                  <w:marBottom w:val="0"/>
                  <w:divBdr>
                    <w:top w:val="none" w:sz="0" w:space="0" w:color="auto"/>
                    <w:left w:val="none" w:sz="0" w:space="0" w:color="auto"/>
                    <w:bottom w:val="none" w:sz="0" w:space="0" w:color="auto"/>
                    <w:right w:val="none" w:sz="0" w:space="0" w:color="auto"/>
                  </w:divBdr>
                  <w:divsChild>
                    <w:div w:id="1716000999">
                      <w:marLeft w:val="0"/>
                      <w:marRight w:val="0"/>
                      <w:marTop w:val="0"/>
                      <w:marBottom w:val="0"/>
                      <w:divBdr>
                        <w:top w:val="none" w:sz="0" w:space="0" w:color="auto"/>
                        <w:left w:val="none" w:sz="0" w:space="0" w:color="auto"/>
                        <w:bottom w:val="none" w:sz="0" w:space="0" w:color="auto"/>
                        <w:right w:val="none" w:sz="0" w:space="0" w:color="auto"/>
                      </w:divBdr>
                    </w:div>
                  </w:divsChild>
                </w:div>
                <w:div w:id="1998193843">
                  <w:marLeft w:val="0"/>
                  <w:marRight w:val="0"/>
                  <w:marTop w:val="0"/>
                  <w:marBottom w:val="0"/>
                  <w:divBdr>
                    <w:top w:val="none" w:sz="0" w:space="0" w:color="auto"/>
                    <w:left w:val="none" w:sz="0" w:space="0" w:color="auto"/>
                    <w:bottom w:val="none" w:sz="0" w:space="0" w:color="auto"/>
                    <w:right w:val="none" w:sz="0" w:space="0" w:color="auto"/>
                  </w:divBdr>
                  <w:divsChild>
                    <w:div w:id="1263148391">
                      <w:marLeft w:val="0"/>
                      <w:marRight w:val="0"/>
                      <w:marTop w:val="0"/>
                      <w:marBottom w:val="0"/>
                      <w:divBdr>
                        <w:top w:val="none" w:sz="0" w:space="0" w:color="auto"/>
                        <w:left w:val="none" w:sz="0" w:space="0" w:color="auto"/>
                        <w:bottom w:val="none" w:sz="0" w:space="0" w:color="auto"/>
                        <w:right w:val="none" w:sz="0" w:space="0" w:color="auto"/>
                      </w:divBdr>
                    </w:div>
                  </w:divsChild>
                </w:div>
                <w:div w:id="2027630362">
                  <w:marLeft w:val="0"/>
                  <w:marRight w:val="0"/>
                  <w:marTop w:val="0"/>
                  <w:marBottom w:val="0"/>
                  <w:divBdr>
                    <w:top w:val="none" w:sz="0" w:space="0" w:color="auto"/>
                    <w:left w:val="none" w:sz="0" w:space="0" w:color="auto"/>
                    <w:bottom w:val="none" w:sz="0" w:space="0" w:color="auto"/>
                    <w:right w:val="none" w:sz="0" w:space="0" w:color="auto"/>
                  </w:divBdr>
                  <w:divsChild>
                    <w:div w:id="1810244230">
                      <w:marLeft w:val="0"/>
                      <w:marRight w:val="0"/>
                      <w:marTop w:val="0"/>
                      <w:marBottom w:val="0"/>
                      <w:divBdr>
                        <w:top w:val="none" w:sz="0" w:space="0" w:color="auto"/>
                        <w:left w:val="none" w:sz="0" w:space="0" w:color="auto"/>
                        <w:bottom w:val="none" w:sz="0" w:space="0" w:color="auto"/>
                        <w:right w:val="none" w:sz="0" w:space="0" w:color="auto"/>
                      </w:divBdr>
                    </w:div>
                  </w:divsChild>
                </w:div>
                <w:div w:id="2057700171">
                  <w:marLeft w:val="0"/>
                  <w:marRight w:val="0"/>
                  <w:marTop w:val="0"/>
                  <w:marBottom w:val="0"/>
                  <w:divBdr>
                    <w:top w:val="none" w:sz="0" w:space="0" w:color="auto"/>
                    <w:left w:val="none" w:sz="0" w:space="0" w:color="auto"/>
                    <w:bottom w:val="none" w:sz="0" w:space="0" w:color="auto"/>
                    <w:right w:val="none" w:sz="0" w:space="0" w:color="auto"/>
                  </w:divBdr>
                  <w:divsChild>
                    <w:div w:id="1108234846">
                      <w:marLeft w:val="0"/>
                      <w:marRight w:val="0"/>
                      <w:marTop w:val="0"/>
                      <w:marBottom w:val="0"/>
                      <w:divBdr>
                        <w:top w:val="none" w:sz="0" w:space="0" w:color="auto"/>
                        <w:left w:val="none" w:sz="0" w:space="0" w:color="auto"/>
                        <w:bottom w:val="none" w:sz="0" w:space="0" w:color="auto"/>
                        <w:right w:val="none" w:sz="0" w:space="0" w:color="auto"/>
                      </w:divBdr>
                    </w:div>
                  </w:divsChild>
                </w:div>
                <w:div w:id="2091847012">
                  <w:marLeft w:val="0"/>
                  <w:marRight w:val="0"/>
                  <w:marTop w:val="0"/>
                  <w:marBottom w:val="0"/>
                  <w:divBdr>
                    <w:top w:val="none" w:sz="0" w:space="0" w:color="auto"/>
                    <w:left w:val="none" w:sz="0" w:space="0" w:color="auto"/>
                    <w:bottom w:val="none" w:sz="0" w:space="0" w:color="auto"/>
                    <w:right w:val="none" w:sz="0" w:space="0" w:color="auto"/>
                  </w:divBdr>
                  <w:divsChild>
                    <w:div w:id="1143278045">
                      <w:marLeft w:val="0"/>
                      <w:marRight w:val="0"/>
                      <w:marTop w:val="0"/>
                      <w:marBottom w:val="0"/>
                      <w:divBdr>
                        <w:top w:val="none" w:sz="0" w:space="0" w:color="auto"/>
                        <w:left w:val="none" w:sz="0" w:space="0" w:color="auto"/>
                        <w:bottom w:val="none" w:sz="0" w:space="0" w:color="auto"/>
                        <w:right w:val="none" w:sz="0" w:space="0" w:color="auto"/>
                      </w:divBdr>
                    </w:div>
                  </w:divsChild>
                </w:div>
                <w:div w:id="2097483485">
                  <w:marLeft w:val="0"/>
                  <w:marRight w:val="0"/>
                  <w:marTop w:val="0"/>
                  <w:marBottom w:val="0"/>
                  <w:divBdr>
                    <w:top w:val="none" w:sz="0" w:space="0" w:color="auto"/>
                    <w:left w:val="none" w:sz="0" w:space="0" w:color="auto"/>
                    <w:bottom w:val="none" w:sz="0" w:space="0" w:color="auto"/>
                    <w:right w:val="none" w:sz="0" w:space="0" w:color="auto"/>
                  </w:divBdr>
                  <w:divsChild>
                    <w:div w:id="920411332">
                      <w:marLeft w:val="0"/>
                      <w:marRight w:val="0"/>
                      <w:marTop w:val="0"/>
                      <w:marBottom w:val="0"/>
                      <w:divBdr>
                        <w:top w:val="none" w:sz="0" w:space="0" w:color="auto"/>
                        <w:left w:val="none" w:sz="0" w:space="0" w:color="auto"/>
                        <w:bottom w:val="none" w:sz="0" w:space="0" w:color="auto"/>
                        <w:right w:val="none" w:sz="0" w:space="0" w:color="auto"/>
                      </w:divBdr>
                    </w:div>
                  </w:divsChild>
                </w:div>
                <w:div w:id="2101102033">
                  <w:marLeft w:val="0"/>
                  <w:marRight w:val="0"/>
                  <w:marTop w:val="0"/>
                  <w:marBottom w:val="0"/>
                  <w:divBdr>
                    <w:top w:val="none" w:sz="0" w:space="0" w:color="auto"/>
                    <w:left w:val="none" w:sz="0" w:space="0" w:color="auto"/>
                    <w:bottom w:val="none" w:sz="0" w:space="0" w:color="auto"/>
                    <w:right w:val="none" w:sz="0" w:space="0" w:color="auto"/>
                  </w:divBdr>
                  <w:divsChild>
                    <w:div w:id="166747719">
                      <w:marLeft w:val="0"/>
                      <w:marRight w:val="0"/>
                      <w:marTop w:val="0"/>
                      <w:marBottom w:val="0"/>
                      <w:divBdr>
                        <w:top w:val="none" w:sz="0" w:space="0" w:color="auto"/>
                        <w:left w:val="none" w:sz="0" w:space="0" w:color="auto"/>
                        <w:bottom w:val="none" w:sz="0" w:space="0" w:color="auto"/>
                        <w:right w:val="none" w:sz="0" w:space="0" w:color="auto"/>
                      </w:divBdr>
                    </w:div>
                  </w:divsChild>
                </w:div>
                <w:div w:id="2102411850">
                  <w:marLeft w:val="0"/>
                  <w:marRight w:val="0"/>
                  <w:marTop w:val="0"/>
                  <w:marBottom w:val="0"/>
                  <w:divBdr>
                    <w:top w:val="none" w:sz="0" w:space="0" w:color="auto"/>
                    <w:left w:val="none" w:sz="0" w:space="0" w:color="auto"/>
                    <w:bottom w:val="none" w:sz="0" w:space="0" w:color="auto"/>
                    <w:right w:val="none" w:sz="0" w:space="0" w:color="auto"/>
                  </w:divBdr>
                  <w:divsChild>
                    <w:div w:id="60060043">
                      <w:marLeft w:val="0"/>
                      <w:marRight w:val="0"/>
                      <w:marTop w:val="0"/>
                      <w:marBottom w:val="0"/>
                      <w:divBdr>
                        <w:top w:val="none" w:sz="0" w:space="0" w:color="auto"/>
                        <w:left w:val="none" w:sz="0" w:space="0" w:color="auto"/>
                        <w:bottom w:val="none" w:sz="0" w:space="0" w:color="auto"/>
                        <w:right w:val="none" w:sz="0" w:space="0" w:color="auto"/>
                      </w:divBdr>
                    </w:div>
                  </w:divsChild>
                </w:div>
                <w:div w:id="2114207619">
                  <w:marLeft w:val="0"/>
                  <w:marRight w:val="0"/>
                  <w:marTop w:val="0"/>
                  <w:marBottom w:val="0"/>
                  <w:divBdr>
                    <w:top w:val="none" w:sz="0" w:space="0" w:color="auto"/>
                    <w:left w:val="none" w:sz="0" w:space="0" w:color="auto"/>
                    <w:bottom w:val="none" w:sz="0" w:space="0" w:color="auto"/>
                    <w:right w:val="none" w:sz="0" w:space="0" w:color="auto"/>
                  </w:divBdr>
                  <w:divsChild>
                    <w:div w:id="1283725167">
                      <w:marLeft w:val="0"/>
                      <w:marRight w:val="0"/>
                      <w:marTop w:val="0"/>
                      <w:marBottom w:val="0"/>
                      <w:divBdr>
                        <w:top w:val="none" w:sz="0" w:space="0" w:color="auto"/>
                        <w:left w:val="none" w:sz="0" w:space="0" w:color="auto"/>
                        <w:bottom w:val="none" w:sz="0" w:space="0" w:color="auto"/>
                        <w:right w:val="none" w:sz="0" w:space="0" w:color="auto"/>
                      </w:divBdr>
                    </w:div>
                  </w:divsChild>
                </w:div>
                <w:div w:id="2137871826">
                  <w:marLeft w:val="0"/>
                  <w:marRight w:val="0"/>
                  <w:marTop w:val="0"/>
                  <w:marBottom w:val="0"/>
                  <w:divBdr>
                    <w:top w:val="none" w:sz="0" w:space="0" w:color="auto"/>
                    <w:left w:val="none" w:sz="0" w:space="0" w:color="auto"/>
                    <w:bottom w:val="none" w:sz="0" w:space="0" w:color="auto"/>
                    <w:right w:val="none" w:sz="0" w:space="0" w:color="auto"/>
                  </w:divBdr>
                  <w:divsChild>
                    <w:div w:id="2093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1379229">
      <w:bodyDiv w:val="1"/>
      <w:marLeft w:val="0"/>
      <w:marRight w:val="0"/>
      <w:marTop w:val="0"/>
      <w:marBottom w:val="0"/>
      <w:divBdr>
        <w:top w:val="none" w:sz="0" w:space="0" w:color="auto"/>
        <w:left w:val="none" w:sz="0" w:space="0" w:color="auto"/>
        <w:bottom w:val="none" w:sz="0" w:space="0" w:color="auto"/>
        <w:right w:val="none" w:sz="0" w:space="0" w:color="auto"/>
      </w:divBdr>
    </w:div>
    <w:div w:id="765736704">
      <w:bodyDiv w:val="1"/>
      <w:marLeft w:val="0"/>
      <w:marRight w:val="0"/>
      <w:marTop w:val="0"/>
      <w:marBottom w:val="0"/>
      <w:divBdr>
        <w:top w:val="none" w:sz="0" w:space="0" w:color="auto"/>
        <w:left w:val="none" w:sz="0" w:space="0" w:color="auto"/>
        <w:bottom w:val="none" w:sz="0" w:space="0" w:color="auto"/>
        <w:right w:val="none" w:sz="0" w:space="0" w:color="auto"/>
      </w:divBdr>
      <w:divsChild>
        <w:div w:id="20135490">
          <w:marLeft w:val="0"/>
          <w:marRight w:val="0"/>
          <w:marTop w:val="0"/>
          <w:marBottom w:val="0"/>
          <w:divBdr>
            <w:top w:val="none" w:sz="0" w:space="0" w:color="auto"/>
            <w:left w:val="none" w:sz="0" w:space="0" w:color="auto"/>
            <w:bottom w:val="none" w:sz="0" w:space="0" w:color="auto"/>
            <w:right w:val="none" w:sz="0" w:space="0" w:color="auto"/>
          </w:divBdr>
          <w:divsChild>
            <w:div w:id="1534608062">
              <w:marLeft w:val="0"/>
              <w:marRight w:val="0"/>
              <w:marTop w:val="0"/>
              <w:marBottom w:val="0"/>
              <w:divBdr>
                <w:top w:val="none" w:sz="0" w:space="0" w:color="auto"/>
                <w:left w:val="none" w:sz="0" w:space="0" w:color="auto"/>
                <w:bottom w:val="none" w:sz="0" w:space="0" w:color="auto"/>
                <w:right w:val="none" w:sz="0" w:space="0" w:color="auto"/>
              </w:divBdr>
            </w:div>
          </w:divsChild>
        </w:div>
        <w:div w:id="25372922">
          <w:marLeft w:val="0"/>
          <w:marRight w:val="0"/>
          <w:marTop w:val="0"/>
          <w:marBottom w:val="0"/>
          <w:divBdr>
            <w:top w:val="none" w:sz="0" w:space="0" w:color="auto"/>
            <w:left w:val="none" w:sz="0" w:space="0" w:color="auto"/>
            <w:bottom w:val="none" w:sz="0" w:space="0" w:color="auto"/>
            <w:right w:val="none" w:sz="0" w:space="0" w:color="auto"/>
          </w:divBdr>
          <w:divsChild>
            <w:div w:id="2084985909">
              <w:marLeft w:val="0"/>
              <w:marRight w:val="0"/>
              <w:marTop w:val="0"/>
              <w:marBottom w:val="0"/>
              <w:divBdr>
                <w:top w:val="none" w:sz="0" w:space="0" w:color="auto"/>
                <w:left w:val="none" w:sz="0" w:space="0" w:color="auto"/>
                <w:bottom w:val="none" w:sz="0" w:space="0" w:color="auto"/>
                <w:right w:val="none" w:sz="0" w:space="0" w:color="auto"/>
              </w:divBdr>
            </w:div>
          </w:divsChild>
        </w:div>
        <w:div w:id="27151331">
          <w:marLeft w:val="0"/>
          <w:marRight w:val="0"/>
          <w:marTop w:val="0"/>
          <w:marBottom w:val="0"/>
          <w:divBdr>
            <w:top w:val="none" w:sz="0" w:space="0" w:color="auto"/>
            <w:left w:val="none" w:sz="0" w:space="0" w:color="auto"/>
            <w:bottom w:val="none" w:sz="0" w:space="0" w:color="auto"/>
            <w:right w:val="none" w:sz="0" w:space="0" w:color="auto"/>
          </w:divBdr>
          <w:divsChild>
            <w:div w:id="1066413573">
              <w:marLeft w:val="0"/>
              <w:marRight w:val="0"/>
              <w:marTop w:val="0"/>
              <w:marBottom w:val="0"/>
              <w:divBdr>
                <w:top w:val="none" w:sz="0" w:space="0" w:color="auto"/>
                <w:left w:val="none" w:sz="0" w:space="0" w:color="auto"/>
                <w:bottom w:val="none" w:sz="0" w:space="0" w:color="auto"/>
                <w:right w:val="none" w:sz="0" w:space="0" w:color="auto"/>
              </w:divBdr>
            </w:div>
          </w:divsChild>
        </w:div>
        <w:div w:id="27537711">
          <w:marLeft w:val="0"/>
          <w:marRight w:val="0"/>
          <w:marTop w:val="0"/>
          <w:marBottom w:val="0"/>
          <w:divBdr>
            <w:top w:val="none" w:sz="0" w:space="0" w:color="auto"/>
            <w:left w:val="none" w:sz="0" w:space="0" w:color="auto"/>
            <w:bottom w:val="none" w:sz="0" w:space="0" w:color="auto"/>
            <w:right w:val="none" w:sz="0" w:space="0" w:color="auto"/>
          </w:divBdr>
          <w:divsChild>
            <w:div w:id="1848254820">
              <w:marLeft w:val="0"/>
              <w:marRight w:val="0"/>
              <w:marTop w:val="0"/>
              <w:marBottom w:val="0"/>
              <w:divBdr>
                <w:top w:val="none" w:sz="0" w:space="0" w:color="auto"/>
                <w:left w:val="none" w:sz="0" w:space="0" w:color="auto"/>
                <w:bottom w:val="none" w:sz="0" w:space="0" w:color="auto"/>
                <w:right w:val="none" w:sz="0" w:space="0" w:color="auto"/>
              </w:divBdr>
            </w:div>
          </w:divsChild>
        </w:div>
        <w:div w:id="43919210">
          <w:marLeft w:val="0"/>
          <w:marRight w:val="0"/>
          <w:marTop w:val="0"/>
          <w:marBottom w:val="0"/>
          <w:divBdr>
            <w:top w:val="none" w:sz="0" w:space="0" w:color="auto"/>
            <w:left w:val="none" w:sz="0" w:space="0" w:color="auto"/>
            <w:bottom w:val="none" w:sz="0" w:space="0" w:color="auto"/>
            <w:right w:val="none" w:sz="0" w:space="0" w:color="auto"/>
          </w:divBdr>
          <w:divsChild>
            <w:div w:id="1249271614">
              <w:marLeft w:val="0"/>
              <w:marRight w:val="0"/>
              <w:marTop w:val="0"/>
              <w:marBottom w:val="0"/>
              <w:divBdr>
                <w:top w:val="none" w:sz="0" w:space="0" w:color="auto"/>
                <w:left w:val="none" w:sz="0" w:space="0" w:color="auto"/>
                <w:bottom w:val="none" w:sz="0" w:space="0" w:color="auto"/>
                <w:right w:val="none" w:sz="0" w:space="0" w:color="auto"/>
              </w:divBdr>
            </w:div>
          </w:divsChild>
        </w:div>
        <w:div w:id="82725920">
          <w:marLeft w:val="0"/>
          <w:marRight w:val="0"/>
          <w:marTop w:val="0"/>
          <w:marBottom w:val="0"/>
          <w:divBdr>
            <w:top w:val="none" w:sz="0" w:space="0" w:color="auto"/>
            <w:left w:val="none" w:sz="0" w:space="0" w:color="auto"/>
            <w:bottom w:val="none" w:sz="0" w:space="0" w:color="auto"/>
            <w:right w:val="none" w:sz="0" w:space="0" w:color="auto"/>
          </w:divBdr>
          <w:divsChild>
            <w:div w:id="1899902866">
              <w:marLeft w:val="0"/>
              <w:marRight w:val="0"/>
              <w:marTop w:val="0"/>
              <w:marBottom w:val="0"/>
              <w:divBdr>
                <w:top w:val="none" w:sz="0" w:space="0" w:color="auto"/>
                <w:left w:val="none" w:sz="0" w:space="0" w:color="auto"/>
                <w:bottom w:val="none" w:sz="0" w:space="0" w:color="auto"/>
                <w:right w:val="none" w:sz="0" w:space="0" w:color="auto"/>
              </w:divBdr>
            </w:div>
          </w:divsChild>
        </w:div>
        <w:div w:id="90904991">
          <w:marLeft w:val="0"/>
          <w:marRight w:val="0"/>
          <w:marTop w:val="0"/>
          <w:marBottom w:val="0"/>
          <w:divBdr>
            <w:top w:val="none" w:sz="0" w:space="0" w:color="auto"/>
            <w:left w:val="none" w:sz="0" w:space="0" w:color="auto"/>
            <w:bottom w:val="none" w:sz="0" w:space="0" w:color="auto"/>
            <w:right w:val="none" w:sz="0" w:space="0" w:color="auto"/>
          </w:divBdr>
          <w:divsChild>
            <w:div w:id="2019959453">
              <w:marLeft w:val="0"/>
              <w:marRight w:val="0"/>
              <w:marTop w:val="0"/>
              <w:marBottom w:val="0"/>
              <w:divBdr>
                <w:top w:val="none" w:sz="0" w:space="0" w:color="auto"/>
                <w:left w:val="none" w:sz="0" w:space="0" w:color="auto"/>
                <w:bottom w:val="none" w:sz="0" w:space="0" w:color="auto"/>
                <w:right w:val="none" w:sz="0" w:space="0" w:color="auto"/>
              </w:divBdr>
            </w:div>
          </w:divsChild>
        </w:div>
        <w:div w:id="97406200">
          <w:marLeft w:val="0"/>
          <w:marRight w:val="0"/>
          <w:marTop w:val="0"/>
          <w:marBottom w:val="0"/>
          <w:divBdr>
            <w:top w:val="none" w:sz="0" w:space="0" w:color="auto"/>
            <w:left w:val="none" w:sz="0" w:space="0" w:color="auto"/>
            <w:bottom w:val="none" w:sz="0" w:space="0" w:color="auto"/>
            <w:right w:val="none" w:sz="0" w:space="0" w:color="auto"/>
          </w:divBdr>
          <w:divsChild>
            <w:div w:id="1208449693">
              <w:marLeft w:val="0"/>
              <w:marRight w:val="0"/>
              <w:marTop w:val="0"/>
              <w:marBottom w:val="0"/>
              <w:divBdr>
                <w:top w:val="none" w:sz="0" w:space="0" w:color="auto"/>
                <w:left w:val="none" w:sz="0" w:space="0" w:color="auto"/>
                <w:bottom w:val="none" w:sz="0" w:space="0" w:color="auto"/>
                <w:right w:val="none" w:sz="0" w:space="0" w:color="auto"/>
              </w:divBdr>
            </w:div>
          </w:divsChild>
        </w:div>
        <w:div w:id="114909284">
          <w:marLeft w:val="0"/>
          <w:marRight w:val="0"/>
          <w:marTop w:val="0"/>
          <w:marBottom w:val="0"/>
          <w:divBdr>
            <w:top w:val="none" w:sz="0" w:space="0" w:color="auto"/>
            <w:left w:val="none" w:sz="0" w:space="0" w:color="auto"/>
            <w:bottom w:val="none" w:sz="0" w:space="0" w:color="auto"/>
            <w:right w:val="none" w:sz="0" w:space="0" w:color="auto"/>
          </w:divBdr>
          <w:divsChild>
            <w:div w:id="291248096">
              <w:marLeft w:val="0"/>
              <w:marRight w:val="0"/>
              <w:marTop w:val="0"/>
              <w:marBottom w:val="0"/>
              <w:divBdr>
                <w:top w:val="none" w:sz="0" w:space="0" w:color="auto"/>
                <w:left w:val="none" w:sz="0" w:space="0" w:color="auto"/>
                <w:bottom w:val="none" w:sz="0" w:space="0" w:color="auto"/>
                <w:right w:val="none" w:sz="0" w:space="0" w:color="auto"/>
              </w:divBdr>
            </w:div>
          </w:divsChild>
        </w:div>
        <w:div w:id="116146934">
          <w:marLeft w:val="0"/>
          <w:marRight w:val="0"/>
          <w:marTop w:val="0"/>
          <w:marBottom w:val="0"/>
          <w:divBdr>
            <w:top w:val="none" w:sz="0" w:space="0" w:color="auto"/>
            <w:left w:val="none" w:sz="0" w:space="0" w:color="auto"/>
            <w:bottom w:val="none" w:sz="0" w:space="0" w:color="auto"/>
            <w:right w:val="none" w:sz="0" w:space="0" w:color="auto"/>
          </w:divBdr>
          <w:divsChild>
            <w:div w:id="201022631">
              <w:marLeft w:val="0"/>
              <w:marRight w:val="0"/>
              <w:marTop w:val="0"/>
              <w:marBottom w:val="0"/>
              <w:divBdr>
                <w:top w:val="none" w:sz="0" w:space="0" w:color="auto"/>
                <w:left w:val="none" w:sz="0" w:space="0" w:color="auto"/>
                <w:bottom w:val="none" w:sz="0" w:space="0" w:color="auto"/>
                <w:right w:val="none" w:sz="0" w:space="0" w:color="auto"/>
              </w:divBdr>
            </w:div>
          </w:divsChild>
        </w:div>
        <w:div w:id="119734757">
          <w:marLeft w:val="0"/>
          <w:marRight w:val="0"/>
          <w:marTop w:val="0"/>
          <w:marBottom w:val="0"/>
          <w:divBdr>
            <w:top w:val="none" w:sz="0" w:space="0" w:color="auto"/>
            <w:left w:val="none" w:sz="0" w:space="0" w:color="auto"/>
            <w:bottom w:val="none" w:sz="0" w:space="0" w:color="auto"/>
            <w:right w:val="none" w:sz="0" w:space="0" w:color="auto"/>
          </w:divBdr>
          <w:divsChild>
            <w:div w:id="926233043">
              <w:marLeft w:val="0"/>
              <w:marRight w:val="0"/>
              <w:marTop w:val="0"/>
              <w:marBottom w:val="0"/>
              <w:divBdr>
                <w:top w:val="none" w:sz="0" w:space="0" w:color="auto"/>
                <w:left w:val="none" w:sz="0" w:space="0" w:color="auto"/>
                <w:bottom w:val="none" w:sz="0" w:space="0" w:color="auto"/>
                <w:right w:val="none" w:sz="0" w:space="0" w:color="auto"/>
              </w:divBdr>
            </w:div>
          </w:divsChild>
        </w:div>
        <w:div w:id="120270270">
          <w:marLeft w:val="0"/>
          <w:marRight w:val="0"/>
          <w:marTop w:val="0"/>
          <w:marBottom w:val="0"/>
          <w:divBdr>
            <w:top w:val="none" w:sz="0" w:space="0" w:color="auto"/>
            <w:left w:val="none" w:sz="0" w:space="0" w:color="auto"/>
            <w:bottom w:val="none" w:sz="0" w:space="0" w:color="auto"/>
            <w:right w:val="none" w:sz="0" w:space="0" w:color="auto"/>
          </w:divBdr>
          <w:divsChild>
            <w:div w:id="1724060547">
              <w:marLeft w:val="0"/>
              <w:marRight w:val="0"/>
              <w:marTop w:val="0"/>
              <w:marBottom w:val="0"/>
              <w:divBdr>
                <w:top w:val="none" w:sz="0" w:space="0" w:color="auto"/>
                <w:left w:val="none" w:sz="0" w:space="0" w:color="auto"/>
                <w:bottom w:val="none" w:sz="0" w:space="0" w:color="auto"/>
                <w:right w:val="none" w:sz="0" w:space="0" w:color="auto"/>
              </w:divBdr>
            </w:div>
          </w:divsChild>
        </w:div>
        <w:div w:id="133261246">
          <w:marLeft w:val="0"/>
          <w:marRight w:val="0"/>
          <w:marTop w:val="0"/>
          <w:marBottom w:val="0"/>
          <w:divBdr>
            <w:top w:val="none" w:sz="0" w:space="0" w:color="auto"/>
            <w:left w:val="none" w:sz="0" w:space="0" w:color="auto"/>
            <w:bottom w:val="none" w:sz="0" w:space="0" w:color="auto"/>
            <w:right w:val="none" w:sz="0" w:space="0" w:color="auto"/>
          </w:divBdr>
          <w:divsChild>
            <w:div w:id="1622682994">
              <w:marLeft w:val="0"/>
              <w:marRight w:val="0"/>
              <w:marTop w:val="0"/>
              <w:marBottom w:val="0"/>
              <w:divBdr>
                <w:top w:val="none" w:sz="0" w:space="0" w:color="auto"/>
                <w:left w:val="none" w:sz="0" w:space="0" w:color="auto"/>
                <w:bottom w:val="none" w:sz="0" w:space="0" w:color="auto"/>
                <w:right w:val="none" w:sz="0" w:space="0" w:color="auto"/>
              </w:divBdr>
            </w:div>
          </w:divsChild>
        </w:div>
        <w:div w:id="137653764">
          <w:marLeft w:val="0"/>
          <w:marRight w:val="0"/>
          <w:marTop w:val="0"/>
          <w:marBottom w:val="0"/>
          <w:divBdr>
            <w:top w:val="none" w:sz="0" w:space="0" w:color="auto"/>
            <w:left w:val="none" w:sz="0" w:space="0" w:color="auto"/>
            <w:bottom w:val="none" w:sz="0" w:space="0" w:color="auto"/>
            <w:right w:val="none" w:sz="0" w:space="0" w:color="auto"/>
          </w:divBdr>
          <w:divsChild>
            <w:div w:id="1444573038">
              <w:marLeft w:val="0"/>
              <w:marRight w:val="0"/>
              <w:marTop w:val="0"/>
              <w:marBottom w:val="0"/>
              <w:divBdr>
                <w:top w:val="none" w:sz="0" w:space="0" w:color="auto"/>
                <w:left w:val="none" w:sz="0" w:space="0" w:color="auto"/>
                <w:bottom w:val="none" w:sz="0" w:space="0" w:color="auto"/>
                <w:right w:val="none" w:sz="0" w:space="0" w:color="auto"/>
              </w:divBdr>
            </w:div>
          </w:divsChild>
        </w:div>
        <w:div w:id="139688818">
          <w:marLeft w:val="0"/>
          <w:marRight w:val="0"/>
          <w:marTop w:val="0"/>
          <w:marBottom w:val="0"/>
          <w:divBdr>
            <w:top w:val="none" w:sz="0" w:space="0" w:color="auto"/>
            <w:left w:val="none" w:sz="0" w:space="0" w:color="auto"/>
            <w:bottom w:val="none" w:sz="0" w:space="0" w:color="auto"/>
            <w:right w:val="none" w:sz="0" w:space="0" w:color="auto"/>
          </w:divBdr>
          <w:divsChild>
            <w:div w:id="1244754762">
              <w:marLeft w:val="0"/>
              <w:marRight w:val="0"/>
              <w:marTop w:val="0"/>
              <w:marBottom w:val="0"/>
              <w:divBdr>
                <w:top w:val="none" w:sz="0" w:space="0" w:color="auto"/>
                <w:left w:val="none" w:sz="0" w:space="0" w:color="auto"/>
                <w:bottom w:val="none" w:sz="0" w:space="0" w:color="auto"/>
                <w:right w:val="none" w:sz="0" w:space="0" w:color="auto"/>
              </w:divBdr>
            </w:div>
          </w:divsChild>
        </w:div>
        <w:div w:id="154419501">
          <w:marLeft w:val="0"/>
          <w:marRight w:val="0"/>
          <w:marTop w:val="0"/>
          <w:marBottom w:val="0"/>
          <w:divBdr>
            <w:top w:val="none" w:sz="0" w:space="0" w:color="auto"/>
            <w:left w:val="none" w:sz="0" w:space="0" w:color="auto"/>
            <w:bottom w:val="none" w:sz="0" w:space="0" w:color="auto"/>
            <w:right w:val="none" w:sz="0" w:space="0" w:color="auto"/>
          </w:divBdr>
          <w:divsChild>
            <w:div w:id="1499342340">
              <w:marLeft w:val="0"/>
              <w:marRight w:val="0"/>
              <w:marTop w:val="0"/>
              <w:marBottom w:val="0"/>
              <w:divBdr>
                <w:top w:val="none" w:sz="0" w:space="0" w:color="auto"/>
                <w:left w:val="none" w:sz="0" w:space="0" w:color="auto"/>
                <w:bottom w:val="none" w:sz="0" w:space="0" w:color="auto"/>
                <w:right w:val="none" w:sz="0" w:space="0" w:color="auto"/>
              </w:divBdr>
            </w:div>
          </w:divsChild>
        </w:div>
        <w:div w:id="160506471">
          <w:marLeft w:val="0"/>
          <w:marRight w:val="0"/>
          <w:marTop w:val="0"/>
          <w:marBottom w:val="0"/>
          <w:divBdr>
            <w:top w:val="none" w:sz="0" w:space="0" w:color="auto"/>
            <w:left w:val="none" w:sz="0" w:space="0" w:color="auto"/>
            <w:bottom w:val="none" w:sz="0" w:space="0" w:color="auto"/>
            <w:right w:val="none" w:sz="0" w:space="0" w:color="auto"/>
          </w:divBdr>
          <w:divsChild>
            <w:div w:id="1924147383">
              <w:marLeft w:val="0"/>
              <w:marRight w:val="0"/>
              <w:marTop w:val="0"/>
              <w:marBottom w:val="0"/>
              <w:divBdr>
                <w:top w:val="none" w:sz="0" w:space="0" w:color="auto"/>
                <w:left w:val="none" w:sz="0" w:space="0" w:color="auto"/>
                <w:bottom w:val="none" w:sz="0" w:space="0" w:color="auto"/>
                <w:right w:val="none" w:sz="0" w:space="0" w:color="auto"/>
              </w:divBdr>
            </w:div>
          </w:divsChild>
        </w:div>
        <w:div w:id="170487441">
          <w:marLeft w:val="0"/>
          <w:marRight w:val="0"/>
          <w:marTop w:val="0"/>
          <w:marBottom w:val="0"/>
          <w:divBdr>
            <w:top w:val="none" w:sz="0" w:space="0" w:color="auto"/>
            <w:left w:val="none" w:sz="0" w:space="0" w:color="auto"/>
            <w:bottom w:val="none" w:sz="0" w:space="0" w:color="auto"/>
            <w:right w:val="none" w:sz="0" w:space="0" w:color="auto"/>
          </w:divBdr>
          <w:divsChild>
            <w:div w:id="1883979831">
              <w:marLeft w:val="0"/>
              <w:marRight w:val="0"/>
              <w:marTop w:val="0"/>
              <w:marBottom w:val="0"/>
              <w:divBdr>
                <w:top w:val="none" w:sz="0" w:space="0" w:color="auto"/>
                <w:left w:val="none" w:sz="0" w:space="0" w:color="auto"/>
                <w:bottom w:val="none" w:sz="0" w:space="0" w:color="auto"/>
                <w:right w:val="none" w:sz="0" w:space="0" w:color="auto"/>
              </w:divBdr>
            </w:div>
          </w:divsChild>
        </w:div>
        <w:div w:id="179974367">
          <w:marLeft w:val="0"/>
          <w:marRight w:val="0"/>
          <w:marTop w:val="0"/>
          <w:marBottom w:val="0"/>
          <w:divBdr>
            <w:top w:val="none" w:sz="0" w:space="0" w:color="auto"/>
            <w:left w:val="none" w:sz="0" w:space="0" w:color="auto"/>
            <w:bottom w:val="none" w:sz="0" w:space="0" w:color="auto"/>
            <w:right w:val="none" w:sz="0" w:space="0" w:color="auto"/>
          </w:divBdr>
          <w:divsChild>
            <w:div w:id="975993147">
              <w:marLeft w:val="0"/>
              <w:marRight w:val="0"/>
              <w:marTop w:val="0"/>
              <w:marBottom w:val="0"/>
              <w:divBdr>
                <w:top w:val="none" w:sz="0" w:space="0" w:color="auto"/>
                <w:left w:val="none" w:sz="0" w:space="0" w:color="auto"/>
                <w:bottom w:val="none" w:sz="0" w:space="0" w:color="auto"/>
                <w:right w:val="none" w:sz="0" w:space="0" w:color="auto"/>
              </w:divBdr>
            </w:div>
          </w:divsChild>
        </w:div>
        <w:div w:id="184490780">
          <w:marLeft w:val="0"/>
          <w:marRight w:val="0"/>
          <w:marTop w:val="0"/>
          <w:marBottom w:val="0"/>
          <w:divBdr>
            <w:top w:val="none" w:sz="0" w:space="0" w:color="auto"/>
            <w:left w:val="none" w:sz="0" w:space="0" w:color="auto"/>
            <w:bottom w:val="none" w:sz="0" w:space="0" w:color="auto"/>
            <w:right w:val="none" w:sz="0" w:space="0" w:color="auto"/>
          </w:divBdr>
          <w:divsChild>
            <w:div w:id="1186750124">
              <w:marLeft w:val="0"/>
              <w:marRight w:val="0"/>
              <w:marTop w:val="0"/>
              <w:marBottom w:val="0"/>
              <w:divBdr>
                <w:top w:val="none" w:sz="0" w:space="0" w:color="auto"/>
                <w:left w:val="none" w:sz="0" w:space="0" w:color="auto"/>
                <w:bottom w:val="none" w:sz="0" w:space="0" w:color="auto"/>
                <w:right w:val="none" w:sz="0" w:space="0" w:color="auto"/>
              </w:divBdr>
            </w:div>
          </w:divsChild>
        </w:div>
        <w:div w:id="184634629">
          <w:marLeft w:val="0"/>
          <w:marRight w:val="0"/>
          <w:marTop w:val="0"/>
          <w:marBottom w:val="0"/>
          <w:divBdr>
            <w:top w:val="none" w:sz="0" w:space="0" w:color="auto"/>
            <w:left w:val="none" w:sz="0" w:space="0" w:color="auto"/>
            <w:bottom w:val="none" w:sz="0" w:space="0" w:color="auto"/>
            <w:right w:val="none" w:sz="0" w:space="0" w:color="auto"/>
          </w:divBdr>
          <w:divsChild>
            <w:div w:id="552815268">
              <w:marLeft w:val="0"/>
              <w:marRight w:val="0"/>
              <w:marTop w:val="0"/>
              <w:marBottom w:val="0"/>
              <w:divBdr>
                <w:top w:val="none" w:sz="0" w:space="0" w:color="auto"/>
                <w:left w:val="none" w:sz="0" w:space="0" w:color="auto"/>
                <w:bottom w:val="none" w:sz="0" w:space="0" w:color="auto"/>
                <w:right w:val="none" w:sz="0" w:space="0" w:color="auto"/>
              </w:divBdr>
            </w:div>
          </w:divsChild>
        </w:div>
        <w:div w:id="191574087">
          <w:marLeft w:val="0"/>
          <w:marRight w:val="0"/>
          <w:marTop w:val="0"/>
          <w:marBottom w:val="0"/>
          <w:divBdr>
            <w:top w:val="none" w:sz="0" w:space="0" w:color="auto"/>
            <w:left w:val="none" w:sz="0" w:space="0" w:color="auto"/>
            <w:bottom w:val="none" w:sz="0" w:space="0" w:color="auto"/>
            <w:right w:val="none" w:sz="0" w:space="0" w:color="auto"/>
          </w:divBdr>
          <w:divsChild>
            <w:div w:id="160656895">
              <w:marLeft w:val="0"/>
              <w:marRight w:val="0"/>
              <w:marTop w:val="0"/>
              <w:marBottom w:val="0"/>
              <w:divBdr>
                <w:top w:val="none" w:sz="0" w:space="0" w:color="auto"/>
                <w:left w:val="none" w:sz="0" w:space="0" w:color="auto"/>
                <w:bottom w:val="none" w:sz="0" w:space="0" w:color="auto"/>
                <w:right w:val="none" w:sz="0" w:space="0" w:color="auto"/>
              </w:divBdr>
            </w:div>
          </w:divsChild>
        </w:div>
        <w:div w:id="192769920">
          <w:marLeft w:val="0"/>
          <w:marRight w:val="0"/>
          <w:marTop w:val="0"/>
          <w:marBottom w:val="0"/>
          <w:divBdr>
            <w:top w:val="none" w:sz="0" w:space="0" w:color="auto"/>
            <w:left w:val="none" w:sz="0" w:space="0" w:color="auto"/>
            <w:bottom w:val="none" w:sz="0" w:space="0" w:color="auto"/>
            <w:right w:val="none" w:sz="0" w:space="0" w:color="auto"/>
          </w:divBdr>
          <w:divsChild>
            <w:div w:id="525019015">
              <w:marLeft w:val="0"/>
              <w:marRight w:val="0"/>
              <w:marTop w:val="0"/>
              <w:marBottom w:val="0"/>
              <w:divBdr>
                <w:top w:val="none" w:sz="0" w:space="0" w:color="auto"/>
                <w:left w:val="none" w:sz="0" w:space="0" w:color="auto"/>
                <w:bottom w:val="none" w:sz="0" w:space="0" w:color="auto"/>
                <w:right w:val="none" w:sz="0" w:space="0" w:color="auto"/>
              </w:divBdr>
            </w:div>
          </w:divsChild>
        </w:div>
        <w:div w:id="200099667">
          <w:marLeft w:val="0"/>
          <w:marRight w:val="0"/>
          <w:marTop w:val="0"/>
          <w:marBottom w:val="0"/>
          <w:divBdr>
            <w:top w:val="none" w:sz="0" w:space="0" w:color="auto"/>
            <w:left w:val="none" w:sz="0" w:space="0" w:color="auto"/>
            <w:bottom w:val="none" w:sz="0" w:space="0" w:color="auto"/>
            <w:right w:val="none" w:sz="0" w:space="0" w:color="auto"/>
          </w:divBdr>
          <w:divsChild>
            <w:div w:id="1677222075">
              <w:marLeft w:val="0"/>
              <w:marRight w:val="0"/>
              <w:marTop w:val="0"/>
              <w:marBottom w:val="0"/>
              <w:divBdr>
                <w:top w:val="none" w:sz="0" w:space="0" w:color="auto"/>
                <w:left w:val="none" w:sz="0" w:space="0" w:color="auto"/>
                <w:bottom w:val="none" w:sz="0" w:space="0" w:color="auto"/>
                <w:right w:val="none" w:sz="0" w:space="0" w:color="auto"/>
              </w:divBdr>
            </w:div>
          </w:divsChild>
        </w:div>
        <w:div w:id="211577836">
          <w:marLeft w:val="0"/>
          <w:marRight w:val="0"/>
          <w:marTop w:val="0"/>
          <w:marBottom w:val="0"/>
          <w:divBdr>
            <w:top w:val="none" w:sz="0" w:space="0" w:color="auto"/>
            <w:left w:val="none" w:sz="0" w:space="0" w:color="auto"/>
            <w:bottom w:val="none" w:sz="0" w:space="0" w:color="auto"/>
            <w:right w:val="none" w:sz="0" w:space="0" w:color="auto"/>
          </w:divBdr>
          <w:divsChild>
            <w:div w:id="1413743336">
              <w:marLeft w:val="0"/>
              <w:marRight w:val="0"/>
              <w:marTop w:val="0"/>
              <w:marBottom w:val="0"/>
              <w:divBdr>
                <w:top w:val="none" w:sz="0" w:space="0" w:color="auto"/>
                <w:left w:val="none" w:sz="0" w:space="0" w:color="auto"/>
                <w:bottom w:val="none" w:sz="0" w:space="0" w:color="auto"/>
                <w:right w:val="none" w:sz="0" w:space="0" w:color="auto"/>
              </w:divBdr>
            </w:div>
          </w:divsChild>
        </w:div>
        <w:div w:id="215555993">
          <w:marLeft w:val="0"/>
          <w:marRight w:val="0"/>
          <w:marTop w:val="0"/>
          <w:marBottom w:val="0"/>
          <w:divBdr>
            <w:top w:val="none" w:sz="0" w:space="0" w:color="auto"/>
            <w:left w:val="none" w:sz="0" w:space="0" w:color="auto"/>
            <w:bottom w:val="none" w:sz="0" w:space="0" w:color="auto"/>
            <w:right w:val="none" w:sz="0" w:space="0" w:color="auto"/>
          </w:divBdr>
          <w:divsChild>
            <w:div w:id="1391733950">
              <w:marLeft w:val="0"/>
              <w:marRight w:val="0"/>
              <w:marTop w:val="0"/>
              <w:marBottom w:val="0"/>
              <w:divBdr>
                <w:top w:val="none" w:sz="0" w:space="0" w:color="auto"/>
                <w:left w:val="none" w:sz="0" w:space="0" w:color="auto"/>
                <w:bottom w:val="none" w:sz="0" w:space="0" w:color="auto"/>
                <w:right w:val="none" w:sz="0" w:space="0" w:color="auto"/>
              </w:divBdr>
            </w:div>
          </w:divsChild>
        </w:div>
        <w:div w:id="229703962">
          <w:marLeft w:val="0"/>
          <w:marRight w:val="0"/>
          <w:marTop w:val="0"/>
          <w:marBottom w:val="0"/>
          <w:divBdr>
            <w:top w:val="none" w:sz="0" w:space="0" w:color="auto"/>
            <w:left w:val="none" w:sz="0" w:space="0" w:color="auto"/>
            <w:bottom w:val="none" w:sz="0" w:space="0" w:color="auto"/>
            <w:right w:val="none" w:sz="0" w:space="0" w:color="auto"/>
          </w:divBdr>
          <w:divsChild>
            <w:div w:id="551427958">
              <w:marLeft w:val="0"/>
              <w:marRight w:val="0"/>
              <w:marTop w:val="0"/>
              <w:marBottom w:val="0"/>
              <w:divBdr>
                <w:top w:val="none" w:sz="0" w:space="0" w:color="auto"/>
                <w:left w:val="none" w:sz="0" w:space="0" w:color="auto"/>
                <w:bottom w:val="none" w:sz="0" w:space="0" w:color="auto"/>
                <w:right w:val="none" w:sz="0" w:space="0" w:color="auto"/>
              </w:divBdr>
            </w:div>
          </w:divsChild>
        </w:div>
        <w:div w:id="238560443">
          <w:marLeft w:val="0"/>
          <w:marRight w:val="0"/>
          <w:marTop w:val="0"/>
          <w:marBottom w:val="0"/>
          <w:divBdr>
            <w:top w:val="none" w:sz="0" w:space="0" w:color="auto"/>
            <w:left w:val="none" w:sz="0" w:space="0" w:color="auto"/>
            <w:bottom w:val="none" w:sz="0" w:space="0" w:color="auto"/>
            <w:right w:val="none" w:sz="0" w:space="0" w:color="auto"/>
          </w:divBdr>
          <w:divsChild>
            <w:div w:id="25565726">
              <w:marLeft w:val="0"/>
              <w:marRight w:val="0"/>
              <w:marTop w:val="0"/>
              <w:marBottom w:val="0"/>
              <w:divBdr>
                <w:top w:val="none" w:sz="0" w:space="0" w:color="auto"/>
                <w:left w:val="none" w:sz="0" w:space="0" w:color="auto"/>
                <w:bottom w:val="none" w:sz="0" w:space="0" w:color="auto"/>
                <w:right w:val="none" w:sz="0" w:space="0" w:color="auto"/>
              </w:divBdr>
            </w:div>
          </w:divsChild>
        </w:div>
        <w:div w:id="252592226">
          <w:marLeft w:val="0"/>
          <w:marRight w:val="0"/>
          <w:marTop w:val="0"/>
          <w:marBottom w:val="0"/>
          <w:divBdr>
            <w:top w:val="none" w:sz="0" w:space="0" w:color="auto"/>
            <w:left w:val="none" w:sz="0" w:space="0" w:color="auto"/>
            <w:bottom w:val="none" w:sz="0" w:space="0" w:color="auto"/>
            <w:right w:val="none" w:sz="0" w:space="0" w:color="auto"/>
          </w:divBdr>
          <w:divsChild>
            <w:div w:id="1196431505">
              <w:marLeft w:val="0"/>
              <w:marRight w:val="0"/>
              <w:marTop w:val="0"/>
              <w:marBottom w:val="0"/>
              <w:divBdr>
                <w:top w:val="none" w:sz="0" w:space="0" w:color="auto"/>
                <w:left w:val="none" w:sz="0" w:space="0" w:color="auto"/>
                <w:bottom w:val="none" w:sz="0" w:space="0" w:color="auto"/>
                <w:right w:val="none" w:sz="0" w:space="0" w:color="auto"/>
              </w:divBdr>
            </w:div>
          </w:divsChild>
        </w:div>
        <w:div w:id="279148349">
          <w:marLeft w:val="0"/>
          <w:marRight w:val="0"/>
          <w:marTop w:val="0"/>
          <w:marBottom w:val="0"/>
          <w:divBdr>
            <w:top w:val="none" w:sz="0" w:space="0" w:color="auto"/>
            <w:left w:val="none" w:sz="0" w:space="0" w:color="auto"/>
            <w:bottom w:val="none" w:sz="0" w:space="0" w:color="auto"/>
            <w:right w:val="none" w:sz="0" w:space="0" w:color="auto"/>
          </w:divBdr>
          <w:divsChild>
            <w:div w:id="2125297503">
              <w:marLeft w:val="0"/>
              <w:marRight w:val="0"/>
              <w:marTop w:val="0"/>
              <w:marBottom w:val="0"/>
              <w:divBdr>
                <w:top w:val="none" w:sz="0" w:space="0" w:color="auto"/>
                <w:left w:val="none" w:sz="0" w:space="0" w:color="auto"/>
                <w:bottom w:val="none" w:sz="0" w:space="0" w:color="auto"/>
                <w:right w:val="none" w:sz="0" w:space="0" w:color="auto"/>
              </w:divBdr>
            </w:div>
          </w:divsChild>
        </w:div>
        <w:div w:id="292254693">
          <w:marLeft w:val="0"/>
          <w:marRight w:val="0"/>
          <w:marTop w:val="0"/>
          <w:marBottom w:val="0"/>
          <w:divBdr>
            <w:top w:val="none" w:sz="0" w:space="0" w:color="auto"/>
            <w:left w:val="none" w:sz="0" w:space="0" w:color="auto"/>
            <w:bottom w:val="none" w:sz="0" w:space="0" w:color="auto"/>
            <w:right w:val="none" w:sz="0" w:space="0" w:color="auto"/>
          </w:divBdr>
          <w:divsChild>
            <w:div w:id="802042260">
              <w:marLeft w:val="0"/>
              <w:marRight w:val="0"/>
              <w:marTop w:val="0"/>
              <w:marBottom w:val="0"/>
              <w:divBdr>
                <w:top w:val="none" w:sz="0" w:space="0" w:color="auto"/>
                <w:left w:val="none" w:sz="0" w:space="0" w:color="auto"/>
                <w:bottom w:val="none" w:sz="0" w:space="0" w:color="auto"/>
                <w:right w:val="none" w:sz="0" w:space="0" w:color="auto"/>
              </w:divBdr>
            </w:div>
          </w:divsChild>
        </w:div>
        <w:div w:id="302081083">
          <w:marLeft w:val="0"/>
          <w:marRight w:val="0"/>
          <w:marTop w:val="0"/>
          <w:marBottom w:val="0"/>
          <w:divBdr>
            <w:top w:val="none" w:sz="0" w:space="0" w:color="auto"/>
            <w:left w:val="none" w:sz="0" w:space="0" w:color="auto"/>
            <w:bottom w:val="none" w:sz="0" w:space="0" w:color="auto"/>
            <w:right w:val="none" w:sz="0" w:space="0" w:color="auto"/>
          </w:divBdr>
          <w:divsChild>
            <w:div w:id="843280542">
              <w:marLeft w:val="0"/>
              <w:marRight w:val="0"/>
              <w:marTop w:val="0"/>
              <w:marBottom w:val="0"/>
              <w:divBdr>
                <w:top w:val="none" w:sz="0" w:space="0" w:color="auto"/>
                <w:left w:val="none" w:sz="0" w:space="0" w:color="auto"/>
                <w:bottom w:val="none" w:sz="0" w:space="0" w:color="auto"/>
                <w:right w:val="none" w:sz="0" w:space="0" w:color="auto"/>
              </w:divBdr>
            </w:div>
          </w:divsChild>
        </w:div>
        <w:div w:id="306130216">
          <w:marLeft w:val="0"/>
          <w:marRight w:val="0"/>
          <w:marTop w:val="0"/>
          <w:marBottom w:val="0"/>
          <w:divBdr>
            <w:top w:val="none" w:sz="0" w:space="0" w:color="auto"/>
            <w:left w:val="none" w:sz="0" w:space="0" w:color="auto"/>
            <w:bottom w:val="none" w:sz="0" w:space="0" w:color="auto"/>
            <w:right w:val="none" w:sz="0" w:space="0" w:color="auto"/>
          </w:divBdr>
          <w:divsChild>
            <w:div w:id="1079250478">
              <w:marLeft w:val="0"/>
              <w:marRight w:val="0"/>
              <w:marTop w:val="0"/>
              <w:marBottom w:val="0"/>
              <w:divBdr>
                <w:top w:val="none" w:sz="0" w:space="0" w:color="auto"/>
                <w:left w:val="none" w:sz="0" w:space="0" w:color="auto"/>
                <w:bottom w:val="none" w:sz="0" w:space="0" w:color="auto"/>
                <w:right w:val="none" w:sz="0" w:space="0" w:color="auto"/>
              </w:divBdr>
            </w:div>
          </w:divsChild>
        </w:div>
        <w:div w:id="312414333">
          <w:marLeft w:val="0"/>
          <w:marRight w:val="0"/>
          <w:marTop w:val="0"/>
          <w:marBottom w:val="0"/>
          <w:divBdr>
            <w:top w:val="none" w:sz="0" w:space="0" w:color="auto"/>
            <w:left w:val="none" w:sz="0" w:space="0" w:color="auto"/>
            <w:bottom w:val="none" w:sz="0" w:space="0" w:color="auto"/>
            <w:right w:val="none" w:sz="0" w:space="0" w:color="auto"/>
          </w:divBdr>
          <w:divsChild>
            <w:div w:id="1549024467">
              <w:marLeft w:val="0"/>
              <w:marRight w:val="0"/>
              <w:marTop w:val="0"/>
              <w:marBottom w:val="0"/>
              <w:divBdr>
                <w:top w:val="none" w:sz="0" w:space="0" w:color="auto"/>
                <w:left w:val="none" w:sz="0" w:space="0" w:color="auto"/>
                <w:bottom w:val="none" w:sz="0" w:space="0" w:color="auto"/>
                <w:right w:val="none" w:sz="0" w:space="0" w:color="auto"/>
              </w:divBdr>
            </w:div>
          </w:divsChild>
        </w:div>
        <w:div w:id="325206470">
          <w:marLeft w:val="0"/>
          <w:marRight w:val="0"/>
          <w:marTop w:val="0"/>
          <w:marBottom w:val="0"/>
          <w:divBdr>
            <w:top w:val="none" w:sz="0" w:space="0" w:color="auto"/>
            <w:left w:val="none" w:sz="0" w:space="0" w:color="auto"/>
            <w:bottom w:val="none" w:sz="0" w:space="0" w:color="auto"/>
            <w:right w:val="none" w:sz="0" w:space="0" w:color="auto"/>
          </w:divBdr>
          <w:divsChild>
            <w:div w:id="1892495601">
              <w:marLeft w:val="0"/>
              <w:marRight w:val="0"/>
              <w:marTop w:val="0"/>
              <w:marBottom w:val="0"/>
              <w:divBdr>
                <w:top w:val="none" w:sz="0" w:space="0" w:color="auto"/>
                <w:left w:val="none" w:sz="0" w:space="0" w:color="auto"/>
                <w:bottom w:val="none" w:sz="0" w:space="0" w:color="auto"/>
                <w:right w:val="none" w:sz="0" w:space="0" w:color="auto"/>
              </w:divBdr>
            </w:div>
          </w:divsChild>
        </w:div>
        <w:div w:id="330834878">
          <w:marLeft w:val="0"/>
          <w:marRight w:val="0"/>
          <w:marTop w:val="0"/>
          <w:marBottom w:val="0"/>
          <w:divBdr>
            <w:top w:val="none" w:sz="0" w:space="0" w:color="auto"/>
            <w:left w:val="none" w:sz="0" w:space="0" w:color="auto"/>
            <w:bottom w:val="none" w:sz="0" w:space="0" w:color="auto"/>
            <w:right w:val="none" w:sz="0" w:space="0" w:color="auto"/>
          </w:divBdr>
          <w:divsChild>
            <w:div w:id="1275212804">
              <w:marLeft w:val="0"/>
              <w:marRight w:val="0"/>
              <w:marTop w:val="0"/>
              <w:marBottom w:val="0"/>
              <w:divBdr>
                <w:top w:val="none" w:sz="0" w:space="0" w:color="auto"/>
                <w:left w:val="none" w:sz="0" w:space="0" w:color="auto"/>
                <w:bottom w:val="none" w:sz="0" w:space="0" w:color="auto"/>
                <w:right w:val="none" w:sz="0" w:space="0" w:color="auto"/>
              </w:divBdr>
            </w:div>
          </w:divsChild>
        </w:div>
        <w:div w:id="345907302">
          <w:marLeft w:val="0"/>
          <w:marRight w:val="0"/>
          <w:marTop w:val="0"/>
          <w:marBottom w:val="0"/>
          <w:divBdr>
            <w:top w:val="none" w:sz="0" w:space="0" w:color="auto"/>
            <w:left w:val="none" w:sz="0" w:space="0" w:color="auto"/>
            <w:bottom w:val="none" w:sz="0" w:space="0" w:color="auto"/>
            <w:right w:val="none" w:sz="0" w:space="0" w:color="auto"/>
          </w:divBdr>
          <w:divsChild>
            <w:div w:id="326641437">
              <w:marLeft w:val="0"/>
              <w:marRight w:val="0"/>
              <w:marTop w:val="0"/>
              <w:marBottom w:val="0"/>
              <w:divBdr>
                <w:top w:val="none" w:sz="0" w:space="0" w:color="auto"/>
                <w:left w:val="none" w:sz="0" w:space="0" w:color="auto"/>
                <w:bottom w:val="none" w:sz="0" w:space="0" w:color="auto"/>
                <w:right w:val="none" w:sz="0" w:space="0" w:color="auto"/>
              </w:divBdr>
            </w:div>
          </w:divsChild>
        </w:div>
        <w:div w:id="376515306">
          <w:marLeft w:val="0"/>
          <w:marRight w:val="0"/>
          <w:marTop w:val="0"/>
          <w:marBottom w:val="0"/>
          <w:divBdr>
            <w:top w:val="none" w:sz="0" w:space="0" w:color="auto"/>
            <w:left w:val="none" w:sz="0" w:space="0" w:color="auto"/>
            <w:bottom w:val="none" w:sz="0" w:space="0" w:color="auto"/>
            <w:right w:val="none" w:sz="0" w:space="0" w:color="auto"/>
          </w:divBdr>
          <w:divsChild>
            <w:div w:id="162203909">
              <w:marLeft w:val="0"/>
              <w:marRight w:val="0"/>
              <w:marTop w:val="0"/>
              <w:marBottom w:val="0"/>
              <w:divBdr>
                <w:top w:val="none" w:sz="0" w:space="0" w:color="auto"/>
                <w:left w:val="none" w:sz="0" w:space="0" w:color="auto"/>
                <w:bottom w:val="none" w:sz="0" w:space="0" w:color="auto"/>
                <w:right w:val="none" w:sz="0" w:space="0" w:color="auto"/>
              </w:divBdr>
            </w:div>
          </w:divsChild>
        </w:div>
        <w:div w:id="393551272">
          <w:marLeft w:val="0"/>
          <w:marRight w:val="0"/>
          <w:marTop w:val="0"/>
          <w:marBottom w:val="0"/>
          <w:divBdr>
            <w:top w:val="none" w:sz="0" w:space="0" w:color="auto"/>
            <w:left w:val="none" w:sz="0" w:space="0" w:color="auto"/>
            <w:bottom w:val="none" w:sz="0" w:space="0" w:color="auto"/>
            <w:right w:val="none" w:sz="0" w:space="0" w:color="auto"/>
          </w:divBdr>
          <w:divsChild>
            <w:div w:id="1226257936">
              <w:marLeft w:val="0"/>
              <w:marRight w:val="0"/>
              <w:marTop w:val="0"/>
              <w:marBottom w:val="0"/>
              <w:divBdr>
                <w:top w:val="none" w:sz="0" w:space="0" w:color="auto"/>
                <w:left w:val="none" w:sz="0" w:space="0" w:color="auto"/>
                <w:bottom w:val="none" w:sz="0" w:space="0" w:color="auto"/>
                <w:right w:val="none" w:sz="0" w:space="0" w:color="auto"/>
              </w:divBdr>
            </w:div>
          </w:divsChild>
        </w:div>
        <w:div w:id="406613679">
          <w:marLeft w:val="0"/>
          <w:marRight w:val="0"/>
          <w:marTop w:val="0"/>
          <w:marBottom w:val="0"/>
          <w:divBdr>
            <w:top w:val="none" w:sz="0" w:space="0" w:color="auto"/>
            <w:left w:val="none" w:sz="0" w:space="0" w:color="auto"/>
            <w:bottom w:val="none" w:sz="0" w:space="0" w:color="auto"/>
            <w:right w:val="none" w:sz="0" w:space="0" w:color="auto"/>
          </w:divBdr>
          <w:divsChild>
            <w:div w:id="46151718">
              <w:marLeft w:val="0"/>
              <w:marRight w:val="0"/>
              <w:marTop w:val="0"/>
              <w:marBottom w:val="0"/>
              <w:divBdr>
                <w:top w:val="none" w:sz="0" w:space="0" w:color="auto"/>
                <w:left w:val="none" w:sz="0" w:space="0" w:color="auto"/>
                <w:bottom w:val="none" w:sz="0" w:space="0" w:color="auto"/>
                <w:right w:val="none" w:sz="0" w:space="0" w:color="auto"/>
              </w:divBdr>
            </w:div>
          </w:divsChild>
        </w:div>
        <w:div w:id="409548636">
          <w:marLeft w:val="0"/>
          <w:marRight w:val="0"/>
          <w:marTop w:val="0"/>
          <w:marBottom w:val="0"/>
          <w:divBdr>
            <w:top w:val="none" w:sz="0" w:space="0" w:color="auto"/>
            <w:left w:val="none" w:sz="0" w:space="0" w:color="auto"/>
            <w:bottom w:val="none" w:sz="0" w:space="0" w:color="auto"/>
            <w:right w:val="none" w:sz="0" w:space="0" w:color="auto"/>
          </w:divBdr>
          <w:divsChild>
            <w:div w:id="987132793">
              <w:marLeft w:val="0"/>
              <w:marRight w:val="0"/>
              <w:marTop w:val="0"/>
              <w:marBottom w:val="0"/>
              <w:divBdr>
                <w:top w:val="none" w:sz="0" w:space="0" w:color="auto"/>
                <w:left w:val="none" w:sz="0" w:space="0" w:color="auto"/>
                <w:bottom w:val="none" w:sz="0" w:space="0" w:color="auto"/>
                <w:right w:val="none" w:sz="0" w:space="0" w:color="auto"/>
              </w:divBdr>
            </w:div>
          </w:divsChild>
        </w:div>
        <w:div w:id="430199232">
          <w:marLeft w:val="0"/>
          <w:marRight w:val="0"/>
          <w:marTop w:val="0"/>
          <w:marBottom w:val="0"/>
          <w:divBdr>
            <w:top w:val="none" w:sz="0" w:space="0" w:color="auto"/>
            <w:left w:val="none" w:sz="0" w:space="0" w:color="auto"/>
            <w:bottom w:val="none" w:sz="0" w:space="0" w:color="auto"/>
            <w:right w:val="none" w:sz="0" w:space="0" w:color="auto"/>
          </w:divBdr>
          <w:divsChild>
            <w:div w:id="1329559144">
              <w:marLeft w:val="0"/>
              <w:marRight w:val="0"/>
              <w:marTop w:val="0"/>
              <w:marBottom w:val="0"/>
              <w:divBdr>
                <w:top w:val="none" w:sz="0" w:space="0" w:color="auto"/>
                <w:left w:val="none" w:sz="0" w:space="0" w:color="auto"/>
                <w:bottom w:val="none" w:sz="0" w:space="0" w:color="auto"/>
                <w:right w:val="none" w:sz="0" w:space="0" w:color="auto"/>
              </w:divBdr>
            </w:div>
          </w:divsChild>
        </w:div>
        <w:div w:id="442237902">
          <w:marLeft w:val="0"/>
          <w:marRight w:val="0"/>
          <w:marTop w:val="0"/>
          <w:marBottom w:val="0"/>
          <w:divBdr>
            <w:top w:val="none" w:sz="0" w:space="0" w:color="auto"/>
            <w:left w:val="none" w:sz="0" w:space="0" w:color="auto"/>
            <w:bottom w:val="none" w:sz="0" w:space="0" w:color="auto"/>
            <w:right w:val="none" w:sz="0" w:space="0" w:color="auto"/>
          </w:divBdr>
          <w:divsChild>
            <w:div w:id="1245186473">
              <w:marLeft w:val="0"/>
              <w:marRight w:val="0"/>
              <w:marTop w:val="0"/>
              <w:marBottom w:val="0"/>
              <w:divBdr>
                <w:top w:val="none" w:sz="0" w:space="0" w:color="auto"/>
                <w:left w:val="none" w:sz="0" w:space="0" w:color="auto"/>
                <w:bottom w:val="none" w:sz="0" w:space="0" w:color="auto"/>
                <w:right w:val="none" w:sz="0" w:space="0" w:color="auto"/>
              </w:divBdr>
            </w:div>
          </w:divsChild>
        </w:div>
        <w:div w:id="445782589">
          <w:marLeft w:val="0"/>
          <w:marRight w:val="0"/>
          <w:marTop w:val="0"/>
          <w:marBottom w:val="0"/>
          <w:divBdr>
            <w:top w:val="none" w:sz="0" w:space="0" w:color="auto"/>
            <w:left w:val="none" w:sz="0" w:space="0" w:color="auto"/>
            <w:bottom w:val="none" w:sz="0" w:space="0" w:color="auto"/>
            <w:right w:val="none" w:sz="0" w:space="0" w:color="auto"/>
          </w:divBdr>
          <w:divsChild>
            <w:div w:id="629894356">
              <w:marLeft w:val="0"/>
              <w:marRight w:val="0"/>
              <w:marTop w:val="0"/>
              <w:marBottom w:val="0"/>
              <w:divBdr>
                <w:top w:val="none" w:sz="0" w:space="0" w:color="auto"/>
                <w:left w:val="none" w:sz="0" w:space="0" w:color="auto"/>
                <w:bottom w:val="none" w:sz="0" w:space="0" w:color="auto"/>
                <w:right w:val="none" w:sz="0" w:space="0" w:color="auto"/>
              </w:divBdr>
            </w:div>
          </w:divsChild>
        </w:div>
        <w:div w:id="448015392">
          <w:marLeft w:val="0"/>
          <w:marRight w:val="0"/>
          <w:marTop w:val="0"/>
          <w:marBottom w:val="0"/>
          <w:divBdr>
            <w:top w:val="none" w:sz="0" w:space="0" w:color="auto"/>
            <w:left w:val="none" w:sz="0" w:space="0" w:color="auto"/>
            <w:bottom w:val="none" w:sz="0" w:space="0" w:color="auto"/>
            <w:right w:val="none" w:sz="0" w:space="0" w:color="auto"/>
          </w:divBdr>
          <w:divsChild>
            <w:div w:id="238251340">
              <w:marLeft w:val="0"/>
              <w:marRight w:val="0"/>
              <w:marTop w:val="0"/>
              <w:marBottom w:val="0"/>
              <w:divBdr>
                <w:top w:val="none" w:sz="0" w:space="0" w:color="auto"/>
                <w:left w:val="none" w:sz="0" w:space="0" w:color="auto"/>
                <w:bottom w:val="none" w:sz="0" w:space="0" w:color="auto"/>
                <w:right w:val="none" w:sz="0" w:space="0" w:color="auto"/>
              </w:divBdr>
            </w:div>
          </w:divsChild>
        </w:div>
        <w:div w:id="458956125">
          <w:marLeft w:val="0"/>
          <w:marRight w:val="0"/>
          <w:marTop w:val="0"/>
          <w:marBottom w:val="0"/>
          <w:divBdr>
            <w:top w:val="none" w:sz="0" w:space="0" w:color="auto"/>
            <w:left w:val="none" w:sz="0" w:space="0" w:color="auto"/>
            <w:bottom w:val="none" w:sz="0" w:space="0" w:color="auto"/>
            <w:right w:val="none" w:sz="0" w:space="0" w:color="auto"/>
          </w:divBdr>
          <w:divsChild>
            <w:div w:id="981351879">
              <w:marLeft w:val="0"/>
              <w:marRight w:val="0"/>
              <w:marTop w:val="0"/>
              <w:marBottom w:val="0"/>
              <w:divBdr>
                <w:top w:val="none" w:sz="0" w:space="0" w:color="auto"/>
                <w:left w:val="none" w:sz="0" w:space="0" w:color="auto"/>
                <w:bottom w:val="none" w:sz="0" w:space="0" w:color="auto"/>
                <w:right w:val="none" w:sz="0" w:space="0" w:color="auto"/>
              </w:divBdr>
            </w:div>
          </w:divsChild>
        </w:div>
        <w:div w:id="468478757">
          <w:marLeft w:val="0"/>
          <w:marRight w:val="0"/>
          <w:marTop w:val="0"/>
          <w:marBottom w:val="0"/>
          <w:divBdr>
            <w:top w:val="none" w:sz="0" w:space="0" w:color="auto"/>
            <w:left w:val="none" w:sz="0" w:space="0" w:color="auto"/>
            <w:bottom w:val="none" w:sz="0" w:space="0" w:color="auto"/>
            <w:right w:val="none" w:sz="0" w:space="0" w:color="auto"/>
          </w:divBdr>
          <w:divsChild>
            <w:div w:id="1688829731">
              <w:marLeft w:val="0"/>
              <w:marRight w:val="0"/>
              <w:marTop w:val="0"/>
              <w:marBottom w:val="0"/>
              <w:divBdr>
                <w:top w:val="none" w:sz="0" w:space="0" w:color="auto"/>
                <w:left w:val="none" w:sz="0" w:space="0" w:color="auto"/>
                <w:bottom w:val="none" w:sz="0" w:space="0" w:color="auto"/>
                <w:right w:val="none" w:sz="0" w:space="0" w:color="auto"/>
              </w:divBdr>
            </w:div>
          </w:divsChild>
        </w:div>
        <w:div w:id="482502889">
          <w:marLeft w:val="0"/>
          <w:marRight w:val="0"/>
          <w:marTop w:val="0"/>
          <w:marBottom w:val="0"/>
          <w:divBdr>
            <w:top w:val="none" w:sz="0" w:space="0" w:color="auto"/>
            <w:left w:val="none" w:sz="0" w:space="0" w:color="auto"/>
            <w:bottom w:val="none" w:sz="0" w:space="0" w:color="auto"/>
            <w:right w:val="none" w:sz="0" w:space="0" w:color="auto"/>
          </w:divBdr>
          <w:divsChild>
            <w:div w:id="1285846105">
              <w:marLeft w:val="0"/>
              <w:marRight w:val="0"/>
              <w:marTop w:val="0"/>
              <w:marBottom w:val="0"/>
              <w:divBdr>
                <w:top w:val="none" w:sz="0" w:space="0" w:color="auto"/>
                <w:left w:val="none" w:sz="0" w:space="0" w:color="auto"/>
                <w:bottom w:val="none" w:sz="0" w:space="0" w:color="auto"/>
                <w:right w:val="none" w:sz="0" w:space="0" w:color="auto"/>
              </w:divBdr>
            </w:div>
          </w:divsChild>
        </w:div>
        <w:div w:id="482819420">
          <w:marLeft w:val="0"/>
          <w:marRight w:val="0"/>
          <w:marTop w:val="0"/>
          <w:marBottom w:val="0"/>
          <w:divBdr>
            <w:top w:val="none" w:sz="0" w:space="0" w:color="auto"/>
            <w:left w:val="none" w:sz="0" w:space="0" w:color="auto"/>
            <w:bottom w:val="none" w:sz="0" w:space="0" w:color="auto"/>
            <w:right w:val="none" w:sz="0" w:space="0" w:color="auto"/>
          </w:divBdr>
          <w:divsChild>
            <w:div w:id="2055304901">
              <w:marLeft w:val="0"/>
              <w:marRight w:val="0"/>
              <w:marTop w:val="0"/>
              <w:marBottom w:val="0"/>
              <w:divBdr>
                <w:top w:val="none" w:sz="0" w:space="0" w:color="auto"/>
                <w:left w:val="none" w:sz="0" w:space="0" w:color="auto"/>
                <w:bottom w:val="none" w:sz="0" w:space="0" w:color="auto"/>
                <w:right w:val="none" w:sz="0" w:space="0" w:color="auto"/>
              </w:divBdr>
            </w:div>
          </w:divsChild>
        </w:div>
        <w:div w:id="492649164">
          <w:marLeft w:val="0"/>
          <w:marRight w:val="0"/>
          <w:marTop w:val="0"/>
          <w:marBottom w:val="0"/>
          <w:divBdr>
            <w:top w:val="none" w:sz="0" w:space="0" w:color="auto"/>
            <w:left w:val="none" w:sz="0" w:space="0" w:color="auto"/>
            <w:bottom w:val="none" w:sz="0" w:space="0" w:color="auto"/>
            <w:right w:val="none" w:sz="0" w:space="0" w:color="auto"/>
          </w:divBdr>
          <w:divsChild>
            <w:div w:id="806237976">
              <w:marLeft w:val="0"/>
              <w:marRight w:val="0"/>
              <w:marTop w:val="0"/>
              <w:marBottom w:val="0"/>
              <w:divBdr>
                <w:top w:val="none" w:sz="0" w:space="0" w:color="auto"/>
                <w:left w:val="none" w:sz="0" w:space="0" w:color="auto"/>
                <w:bottom w:val="none" w:sz="0" w:space="0" w:color="auto"/>
                <w:right w:val="none" w:sz="0" w:space="0" w:color="auto"/>
              </w:divBdr>
            </w:div>
          </w:divsChild>
        </w:div>
        <w:div w:id="501089383">
          <w:marLeft w:val="0"/>
          <w:marRight w:val="0"/>
          <w:marTop w:val="0"/>
          <w:marBottom w:val="0"/>
          <w:divBdr>
            <w:top w:val="none" w:sz="0" w:space="0" w:color="auto"/>
            <w:left w:val="none" w:sz="0" w:space="0" w:color="auto"/>
            <w:bottom w:val="none" w:sz="0" w:space="0" w:color="auto"/>
            <w:right w:val="none" w:sz="0" w:space="0" w:color="auto"/>
          </w:divBdr>
          <w:divsChild>
            <w:div w:id="553471042">
              <w:marLeft w:val="0"/>
              <w:marRight w:val="0"/>
              <w:marTop w:val="0"/>
              <w:marBottom w:val="0"/>
              <w:divBdr>
                <w:top w:val="none" w:sz="0" w:space="0" w:color="auto"/>
                <w:left w:val="none" w:sz="0" w:space="0" w:color="auto"/>
                <w:bottom w:val="none" w:sz="0" w:space="0" w:color="auto"/>
                <w:right w:val="none" w:sz="0" w:space="0" w:color="auto"/>
              </w:divBdr>
            </w:div>
          </w:divsChild>
        </w:div>
        <w:div w:id="519665940">
          <w:marLeft w:val="0"/>
          <w:marRight w:val="0"/>
          <w:marTop w:val="0"/>
          <w:marBottom w:val="0"/>
          <w:divBdr>
            <w:top w:val="none" w:sz="0" w:space="0" w:color="auto"/>
            <w:left w:val="none" w:sz="0" w:space="0" w:color="auto"/>
            <w:bottom w:val="none" w:sz="0" w:space="0" w:color="auto"/>
            <w:right w:val="none" w:sz="0" w:space="0" w:color="auto"/>
          </w:divBdr>
          <w:divsChild>
            <w:div w:id="729964675">
              <w:marLeft w:val="0"/>
              <w:marRight w:val="0"/>
              <w:marTop w:val="0"/>
              <w:marBottom w:val="0"/>
              <w:divBdr>
                <w:top w:val="none" w:sz="0" w:space="0" w:color="auto"/>
                <w:left w:val="none" w:sz="0" w:space="0" w:color="auto"/>
                <w:bottom w:val="none" w:sz="0" w:space="0" w:color="auto"/>
                <w:right w:val="none" w:sz="0" w:space="0" w:color="auto"/>
              </w:divBdr>
            </w:div>
          </w:divsChild>
        </w:div>
        <w:div w:id="519851760">
          <w:marLeft w:val="0"/>
          <w:marRight w:val="0"/>
          <w:marTop w:val="0"/>
          <w:marBottom w:val="0"/>
          <w:divBdr>
            <w:top w:val="none" w:sz="0" w:space="0" w:color="auto"/>
            <w:left w:val="none" w:sz="0" w:space="0" w:color="auto"/>
            <w:bottom w:val="none" w:sz="0" w:space="0" w:color="auto"/>
            <w:right w:val="none" w:sz="0" w:space="0" w:color="auto"/>
          </w:divBdr>
          <w:divsChild>
            <w:div w:id="527330409">
              <w:marLeft w:val="0"/>
              <w:marRight w:val="0"/>
              <w:marTop w:val="0"/>
              <w:marBottom w:val="0"/>
              <w:divBdr>
                <w:top w:val="none" w:sz="0" w:space="0" w:color="auto"/>
                <w:left w:val="none" w:sz="0" w:space="0" w:color="auto"/>
                <w:bottom w:val="none" w:sz="0" w:space="0" w:color="auto"/>
                <w:right w:val="none" w:sz="0" w:space="0" w:color="auto"/>
              </w:divBdr>
            </w:div>
          </w:divsChild>
        </w:div>
        <w:div w:id="537357847">
          <w:marLeft w:val="0"/>
          <w:marRight w:val="0"/>
          <w:marTop w:val="0"/>
          <w:marBottom w:val="0"/>
          <w:divBdr>
            <w:top w:val="none" w:sz="0" w:space="0" w:color="auto"/>
            <w:left w:val="none" w:sz="0" w:space="0" w:color="auto"/>
            <w:bottom w:val="none" w:sz="0" w:space="0" w:color="auto"/>
            <w:right w:val="none" w:sz="0" w:space="0" w:color="auto"/>
          </w:divBdr>
          <w:divsChild>
            <w:div w:id="1825900008">
              <w:marLeft w:val="0"/>
              <w:marRight w:val="0"/>
              <w:marTop w:val="0"/>
              <w:marBottom w:val="0"/>
              <w:divBdr>
                <w:top w:val="none" w:sz="0" w:space="0" w:color="auto"/>
                <w:left w:val="none" w:sz="0" w:space="0" w:color="auto"/>
                <w:bottom w:val="none" w:sz="0" w:space="0" w:color="auto"/>
                <w:right w:val="none" w:sz="0" w:space="0" w:color="auto"/>
              </w:divBdr>
            </w:div>
          </w:divsChild>
        </w:div>
        <w:div w:id="540479100">
          <w:marLeft w:val="0"/>
          <w:marRight w:val="0"/>
          <w:marTop w:val="0"/>
          <w:marBottom w:val="0"/>
          <w:divBdr>
            <w:top w:val="none" w:sz="0" w:space="0" w:color="auto"/>
            <w:left w:val="none" w:sz="0" w:space="0" w:color="auto"/>
            <w:bottom w:val="none" w:sz="0" w:space="0" w:color="auto"/>
            <w:right w:val="none" w:sz="0" w:space="0" w:color="auto"/>
          </w:divBdr>
          <w:divsChild>
            <w:div w:id="1042242304">
              <w:marLeft w:val="0"/>
              <w:marRight w:val="0"/>
              <w:marTop w:val="0"/>
              <w:marBottom w:val="0"/>
              <w:divBdr>
                <w:top w:val="none" w:sz="0" w:space="0" w:color="auto"/>
                <w:left w:val="none" w:sz="0" w:space="0" w:color="auto"/>
                <w:bottom w:val="none" w:sz="0" w:space="0" w:color="auto"/>
                <w:right w:val="none" w:sz="0" w:space="0" w:color="auto"/>
              </w:divBdr>
            </w:div>
          </w:divsChild>
        </w:div>
        <w:div w:id="542064913">
          <w:marLeft w:val="0"/>
          <w:marRight w:val="0"/>
          <w:marTop w:val="0"/>
          <w:marBottom w:val="0"/>
          <w:divBdr>
            <w:top w:val="none" w:sz="0" w:space="0" w:color="auto"/>
            <w:left w:val="none" w:sz="0" w:space="0" w:color="auto"/>
            <w:bottom w:val="none" w:sz="0" w:space="0" w:color="auto"/>
            <w:right w:val="none" w:sz="0" w:space="0" w:color="auto"/>
          </w:divBdr>
          <w:divsChild>
            <w:div w:id="1300108717">
              <w:marLeft w:val="0"/>
              <w:marRight w:val="0"/>
              <w:marTop w:val="0"/>
              <w:marBottom w:val="0"/>
              <w:divBdr>
                <w:top w:val="none" w:sz="0" w:space="0" w:color="auto"/>
                <w:left w:val="none" w:sz="0" w:space="0" w:color="auto"/>
                <w:bottom w:val="none" w:sz="0" w:space="0" w:color="auto"/>
                <w:right w:val="none" w:sz="0" w:space="0" w:color="auto"/>
              </w:divBdr>
            </w:div>
          </w:divsChild>
        </w:div>
        <w:div w:id="547568379">
          <w:marLeft w:val="0"/>
          <w:marRight w:val="0"/>
          <w:marTop w:val="0"/>
          <w:marBottom w:val="0"/>
          <w:divBdr>
            <w:top w:val="none" w:sz="0" w:space="0" w:color="auto"/>
            <w:left w:val="none" w:sz="0" w:space="0" w:color="auto"/>
            <w:bottom w:val="none" w:sz="0" w:space="0" w:color="auto"/>
            <w:right w:val="none" w:sz="0" w:space="0" w:color="auto"/>
          </w:divBdr>
          <w:divsChild>
            <w:div w:id="1876045328">
              <w:marLeft w:val="0"/>
              <w:marRight w:val="0"/>
              <w:marTop w:val="0"/>
              <w:marBottom w:val="0"/>
              <w:divBdr>
                <w:top w:val="none" w:sz="0" w:space="0" w:color="auto"/>
                <w:left w:val="none" w:sz="0" w:space="0" w:color="auto"/>
                <w:bottom w:val="none" w:sz="0" w:space="0" w:color="auto"/>
                <w:right w:val="none" w:sz="0" w:space="0" w:color="auto"/>
              </w:divBdr>
            </w:div>
          </w:divsChild>
        </w:div>
        <w:div w:id="561408736">
          <w:marLeft w:val="0"/>
          <w:marRight w:val="0"/>
          <w:marTop w:val="0"/>
          <w:marBottom w:val="0"/>
          <w:divBdr>
            <w:top w:val="none" w:sz="0" w:space="0" w:color="auto"/>
            <w:left w:val="none" w:sz="0" w:space="0" w:color="auto"/>
            <w:bottom w:val="none" w:sz="0" w:space="0" w:color="auto"/>
            <w:right w:val="none" w:sz="0" w:space="0" w:color="auto"/>
          </w:divBdr>
          <w:divsChild>
            <w:div w:id="1551578590">
              <w:marLeft w:val="0"/>
              <w:marRight w:val="0"/>
              <w:marTop w:val="0"/>
              <w:marBottom w:val="0"/>
              <w:divBdr>
                <w:top w:val="none" w:sz="0" w:space="0" w:color="auto"/>
                <w:left w:val="none" w:sz="0" w:space="0" w:color="auto"/>
                <w:bottom w:val="none" w:sz="0" w:space="0" w:color="auto"/>
                <w:right w:val="none" w:sz="0" w:space="0" w:color="auto"/>
              </w:divBdr>
            </w:div>
          </w:divsChild>
        </w:div>
        <w:div w:id="613638537">
          <w:marLeft w:val="0"/>
          <w:marRight w:val="0"/>
          <w:marTop w:val="0"/>
          <w:marBottom w:val="0"/>
          <w:divBdr>
            <w:top w:val="none" w:sz="0" w:space="0" w:color="auto"/>
            <w:left w:val="none" w:sz="0" w:space="0" w:color="auto"/>
            <w:bottom w:val="none" w:sz="0" w:space="0" w:color="auto"/>
            <w:right w:val="none" w:sz="0" w:space="0" w:color="auto"/>
          </w:divBdr>
          <w:divsChild>
            <w:div w:id="1687100676">
              <w:marLeft w:val="0"/>
              <w:marRight w:val="0"/>
              <w:marTop w:val="0"/>
              <w:marBottom w:val="0"/>
              <w:divBdr>
                <w:top w:val="none" w:sz="0" w:space="0" w:color="auto"/>
                <w:left w:val="none" w:sz="0" w:space="0" w:color="auto"/>
                <w:bottom w:val="none" w:sz="0" w:space="0" w:color="auto"/>
                <w:right w:val="none" w:sz="0" w:space="0" w:color="auto"/>
              </w:divBdr>
            </w:div>
          </w:divsChild>
        </w:div>
        <w:div w:id="622854542">
          <w:marLeft w:val="0"/>
          <w:marRight w:val="0"/>
          <w:marTop w:val="0"/>
          <w:marBottom w:val="0"/>
          <w:divBdr>
            <w:top w:val="none" w:sz="0" w:space="0" w:color="auto"/>
            <w:left w:val="none" w:sz="0" w:space="0" w:color="auto"/>
            <w:bottom w:val="none" w:sz="0" w:space="0" w:color="auto"/>
            <w:right w:val="none" w:sz="0" w:space="0" w:color="auto"/>
          </w:divBdr>
          <w:divsChild>
            <w:div w:id="2105102936">
              <w:marLeft w:val="0"/>
              <w:marRight w:val="0"/>
              <w:marTop w:val="0"/>
              <w:marBottom w:val="0"/>
              <w:divBdr>
                <w:top w:val="none" w:sz="0" w:space="0" w:color="auto"/>
                <w:left w:val="none" w:sz="0" w:space="0" w:color="auto"/>
                <w:bottom w:val="none" w:sz="0" w:space="0" w:color="auto"/>
                <w:right w:val="none" w:sz="0" w:space="0" w:color="auto"/>
              </w:divBdr>
            </w:div>
          </w:divsChild>
        </w:div>
        <w:div w:id="628629980">
          <w:marLeft w:val="0"/>
          <w:marRight w:val="0"/>
          <w:marTop w:val="0"/>
          <w:marBottom w:val="0"/>
          <w:divBdr>
            <w:top w:val="none" w:sz="0" w:space="0" w:color="auto"/>
            <w:left w:val="none" w:sz="0" w:space="0" w:color="auto"/>
            <w:bottom w:val="none" w:sz="0" w:space="0" w:color="auto"/>
            <w:right w:val="none" w:sz="0" w:space="0" w:color="auto"/>
          </w:divBdr>
          <w:divsChild>
            <w:div w:id="562717871">
              <w:marLeft w:val="0"/>
              <w:marRight w:val="0"/>
              <w:marTop w:val="0"/>
              <w:marBottom w:val="0"/>
              <w:divBdr>
                <w:top w:val="none" w:sz="0" w:space="0" w:color="auto"/>
                <w:left w:val="none" w:sz="0" w:space="0" w:color="auto"/>
                <w:bottom w:val="none" w:sz="0" w:space="0" w:color="auto"/>
                <w:right w:val="none" w:sz="0" w:space="0" w:color="auto"/>
              </w:divBdr>
            </w:div>
          </w:divsChild>
        </w:div>
        <w:div w:id="641616614">
          <w:marLeft w:val="0"/>
          <w:marRight w:val="0"/>
          <w:marTop w:val="0"/>
          <w:marBottom w:val="0"/>
          <w:divBdr>
            <w:top w:val="none" w:sz="0" w:space="0" w:color="auto"/>
            <w:left w:val="none" w:sz="0" w:space="0" w:color="auto"/>
            <w:bottom w:val="none" w:sz="0" w:space="0" w:color="auto"/>
            <w:right w:val="none" w:sz="0" w:space="0" w:color="auto"/>
          </w:divBdr>
          <w:divsChild>
            <w:div w:id="851456475">
              <w:marLeft w:val="0"/>
              <w:marRight w:val="0"/>
              <w:marTop w:val="0"/>
              <w:marBottom w:val="0"/>
              <w:divBdr>
                <w:top w:val="none" w:sz="0" w:space="0" w:color="auto"/>
                <w:left w:val="none" w:sz="0" w:space="0" w:color="auto"/>
                <w:bottom w:val="none" w:sz="0" w:space="0" w:color="auto"/>
                <w:right w:val="none" w:sz="0" w:space="0" w:color="auto"/>
              </w:divBdr>
            </w:div>
          </w:divsChild>
        </w:div>
        <w:div w:id="669406870">
          <w:marLeft w:val="0"/>
          <w:marRight w:val="0"/>
          <w:marTop w:val="0"/>
          <w:marBottom w:val="0"/>
          <w:divBdr>
            <w:top w:val="none" w:sz="0" w:space="0" w:color="auto"/>
            <w:left w:val="none" w:sz="0" w:space="0" w:color="auto"/>
            <w:bottom w:val="none" w:sz="0" w:space="0" w:color="auto"/>
            <w:right w:val="none" w:sz="0" w:space="0" w:color="auto"/>
          </w:divBdr>
          <w:divsChild>
            <w:div w:id="1764717827">
              <w:marLeft w:val="0"/>
              <w:marRight w:val="0"/>
              <w:marTop w:val="0"/>
              <w:marBottom w:val="0"/>
              <w:divBdr>
                <w:top w:val="none" w:sz="0" w:space="0" w:color="auto"/>
                <w:left w:val="none" w:sz="0" w:space="0" w:color="auto"/>
                <w:bottom w:val="none" w:sz="0" w:space="0" w:color="auto"/>
                <w:right w:val="none" w:sz="0" w:space="0" w:color="auto"/>
              </w:divBdr>
            </w:div>
          </w:divsChild>
        </w:div>
        <w:div w:id="672991209">
          <w:marLeft w:val="0"/>
          <w:marRight w:val="0"/>
          <w:marTop w:val="0"/>
          <w:marBottom w:val="0"/>
          <w:divBdr>
            <w:top w:val="none" w:sz="0" w:space="0" w:color="auto"/>
            <w:left w:val="none" w:sz="0" w:space="0" w:color="auto"/>
            <w:bottom w:val="none" w:sz="0" w:space="0" w:color="auto"/>
            <w:right w:val="none" w:sz="0" w:space="0" w:color="auto"/>
          </w:divBdr>
          <w:divsChild>
            <w:div w:id="1159420275">
              <w:marLeft w:val="0"/>
              <w:marRight w:val="0"/>
              <w:marTop w:val="0"/>
              <w:marBottom w:val="0"/>
              <w:divBdr>
                <w:top w:val="none" w:sz="0" w:space="0" w:color="auto"/>
                <w:left w:val="none" w:sz="0" w:space="0" w:color="auto"/>
                <w:bottom w:val="none" w:sz="0" w:space="0" w:color="auto"/>
                <w:right w:val="none" w:sz="0" w:space="0" w:color="auto"/>
              </w:divBdr>
            </w:div>
          </w:divsChild>
        </w:div>
        <w:div w:id="673534833">
          <w:marLeft w:val="0"/>
          <w:marRight w:val="0"/>
          <w:marTop w:val="0"/>
          <w:marBottom w:val="0"/>
          <w:divBdr>
            <w:top w:val="none" w:sz="0" w:space="0" w:color="auto"/>
            <w:left w:val="none" w:sz="0" w:space="0" w:color="auto"/>
            <w:bottom w:val="none" w:sz="0" w:space="0" w:color="auto"/>
            <w:right w:val="none" w:sz="0" w:space="0" w:color="auto"/>
          </w:divBdr>
          <w:divsChild>
            <w:div w:id="1242375131">
              <w:marLeft w:val="0"/>
              <w:marRight w:val="0"/>
              <w:marTop w:val="0"/>
              <w:marBottom w:val="0"/>
              <w:divBdr>
                <w:top w:val="none" w:sz="0" w:space="0" w:color="auto"/>
                <w:left w:val="none" w:sz="0" w:space="0" w:color="auto"/>
                <w:bottom w:val="none" w:sz="0" w:space="0" w:color="auto"/>
                <w:right w:val="none" w:sz="0" w:space="0" w:color="auto"/>
              </w:divBdr>
            </w:div>
          </w:divsChild>
        </w:div>
        <w:div w:id="690305971">
          <w:marLeft w:val="0"/>
          <w:marRight w:val="0"/>
          <w:marTop w:val="0"/>
          <w:marBottom w:val="0"/>
          <w:divBdr>
            <w:top w:val="none" w:sz="0" w:space="0" w:color="auto"/>
            <w:left w:val="none" w:sz="0" w:space="0" w:color="auto"/>
            <w:bottom w:val="none" w:sz="0" w:space="0" w:color="auto"/>
            <w:right w:val="none" w:sz="0" w:space="0" w:color="auto"/>
          </w:divBdr>
          <w:divsChild>
            <w:div w:id="355815434">
              <w:marLeft w:val="0"/>
              <w:marRight w:val="0"/>
              <w:marTop w:val="0"/>
              <w:marBottom w:val="0"/>
              <w:divBdr>
                <w:top w:val="none" w:sz="0" w:space="0" w:color="auto"/>
                <w:left w:val="none" w:sz="0" w:space="0" w:color="auto"/>
                <w:bottom w:val="none" w:sz="0" w:space="0" w:color="auto"/>
                <w:right w:val="none" w:sz="0" w:space="0" w:color="auto"/>
              </w:divBdr>
            </w:div>
          </w:divsChild>
        </w:div>
        <w:div w:id="705174695">
          <w:marLeft w:val="0"/>
          <w:marRight w:val="0"/>
          <w:marTop w:val="0"/>
          <w:marBottom w:val="0"/>
          <w:divBdr>
            <w:top w:val="none" w:sz="0" w:space="0" w:color="auto"/>
            <w:left w:val="none" w:sz="0" w:space="0" w:color="auto"/>
            <w:bottom w:val="none" w:sz="0" w:space="0" w:color="auto"/>
            <w:right w:val="none" w:sz="0" w:space="0" w:color="auto"/>
          </w:divBdr>
          <w:divsChild>
            <w:div w:id="2062972237">
              <w:marLeft w:val="0"/>
              <w:marRight w:val="0"/>
              <w:marTop w:val="0"/>
              <w:marBottom w:val="0"/>
              <w:divBdr>
                <w:top w:val="none" w:sz="0" w:space="0" w:color="auto"/>
                <w:left w:val="none" w:sz="0" w:space="0" w:color="auto"/>
                <w:bottom w:val="none" w:sz="0" w:space="0" w:color="auto"/>
                <w:right w:val="none" w:sz="0" w:space="0" w:color="auto"/>
              </w:divBdr>
            </w:div>
          </w:divsChild>
        </w:div>
        <w:div w:id="713576399">
          <w:marLeft w:val="0"/>
          <w:marRight w:val="0"/>
          <w:marTop w:val="0"/>
          <w:marBottom w:val="0"/>
          <w:divBdr>
            <w:top w:val="none" w:sz="0" w:space="0" w:color="auto"/>
            <w:left w:val="none" w:sz="0" w:space="0" w:color="auto"/>
            <w:bottom w:val="none" w:sz="0" w:space="0" w:color="auto"/>
            <w:right w:val="none" w:sz="0" w:space="0" w:color="auto"/>
          </w:divBdr>
          <w:divsChild>
            <w:div w:id="423304529">
              <w:marLeft w:val="0"/>
              <w:marRight w:val="0"/>
              <w:marTop w:val="0"/>
              <w:marBottom w:val="0"/>
              <w:divBdr>
                <w:top w:val="none" w:sz="0" w:space="0" w:color="auto"/>
                <w:left w:val="none" w:sz="0" w:space="0" w:color="auto"/>
                <w:bottom w:val="none" w:sz="0" w:space="0" w:color="auto"/>
                <w:right w:val="none" w:sz="0" w:space="0" w:color="auto"/>
              </w:divBdr>
            </w:div>
          </w:divsChild>
        </w:div>
        <w:div w:id="715158978">
          <w:marLeft w:val="0"/>
          <w:marRight w:val="0"/>
          <w:marTop w:val="0"/>
          <w:marBottom w:val="0"/>
          <w:divBdr>
            <w:top w:val="none" w:sz="0" w:space="0" w:color="auto"/>
            <w:left w:val="none" w:sz="0" w:space="0" w:color="auto"/>
            <w:bottom w:val="none" w:sz="0" w:space="0" w:color="auto"/>
            <w:right w:val="none" w:sz="0" w:space="0" w:color="auto"/>
          </w:divBdr>
          <w:divsChild>
            <w:div w:id="1935895794">
              <w:marLeft w:val="0"/>
              <w:marRight w:val="0"/>
              <w:marTop w:val="0"/>
              <w:marBottom w:val="0"/>
              <w:divBdr>
                <w:top w:val="none" w:sz="0" w:space="0" w:color="auto"/>
                <w:left w:val="none" w:sz="0" w:space="0" w:color="auto"/>
                <w:bottom w:val="none" w:sz="0" w:space="0" w:color="auto"/>
                <w:right w:val="none" w:sz="0" w:space="0" w:color="auto"/>
              </w:divBdr>
            </w:div>
          </w:divsChild>
        </w:div>
        <w:div w:id="716777789">
          <w:marLeft w:val="0"/>
          <w:marRight w:val="0"/>
          <w:marTop w:val="0"/>
          <w:marBottom w:val="0"/>
          <w:divBdr>
            <w:top w:val="none" w:sz="0" w:space="0" w:color="auto"/>
            <w:left w:val="none" w:sz="0" w:space="0" w:color="auto"/>
            <w:bottom w:val="none" w:sz="0" w:space="0" w:color="auto"/>
            <w:right w:val="none" w:sz="0" w:space="0" w:color="auto"/>
          </w:divBdr>
          <w:divsChild>
            <w:div w:id="2134866667">
              <w:marLeft w:val="0"/>
              <w:marRight w:val="0"/>
              <w:marTop w:val="0"/>
              <w:marBottom w:val="0"/>
              <w:divBdr>
                <w:top w:val="none" w:sz="0" w:space="0" w:color="auto"/>
                <w:left w:val="none" w:sz="0" w:space="0" w:color="auto"/>
                <w:bottom w:val="none" w:sz="0" w:space="0" w:color="auto"/>
                <w:right w:val="none" w:sz="0" w:space="0" w:color="auto"/>
              </w:divBdr>
            </w:div>
          </w:divsChild>
        </w:div>
        <w:div w:id="722875006">
          <w:marLeft w:val="0"/>
          <w:marRight w:val="0"/>
          <w:marTop w:val="0"/>
          <w:marBottom w:val="0"/>
          <w:divBdr>
            <w:top w:val="none" w:sz="0" w:space="0" w:color="auto"/>
            <w:left w:val="none" w:sz="0" w:space="0" w:color="auto"/>
            <w:bottom w:val="none" w:sz="0" w:space="0" w:color="auto"/>
            <w:right w:val="none" w:sz="0" w:space="0" w:color="auto"/>
          </w:divBdr>
          <w:divsChild>
            <w:div w:id="961107251">
              <w:marLeft w:val="0"/>
              <w:marRight w:val="0"/>
              <w:marTop w:val="0"/>
              <w:marBottom w:val="0"/>
              <w:divBdr>
                <w:top w:val="none" w:sz="0" w:space="0" w:color="auto"/>
                <w:left w:val="none" w:sz="0" w:space="0" w:color="auto"/>
                <w:bottom w:val="none" w:sz="0" w:space="0" w:color="auto"/>
                <w:right w:val="none" w:sz="0" w:space="0" w:color="auto"/>
              </w:divBdr>
            </w:div>
          </w:divsChild>
        </w:div>
        <w:div w:id="742800620">
          <w:marLeft w:val="0"/>
          <w:marRight w:val="0"/>
          <w:marTop w:val="0"/>
          <w:marBottom w:val="0"/>
          <w:divBdr>
            <w:top w:val="none" w:sz="0" w:space="0" w:color="auto"/>
            <w:left w:val="none" w:sz="0" w:space="0" w:color="auto"/>
            <w:bottom w:val="none" w:sz="0" w:space="0" w:color="auto"/>
            <w:right w:val="none" w:sz="0" w:space="0" w:color="auto"/>
          </w:divBdr>
          <w:divsChild>
            <w:div w:id="221867804">
              <w:marLeft w:val="0"/>
              <w:marRight w:val="0"/>
              <w:marTop w:val="0"/>
              <w:marBottom w:val="0"/>
              <w:divBdr>
                <w:top w:val="none" w:sz="0" w:space="0" w:color="auto"/>
                <w:left w:val="none" w:sz="0" w:space="0" w:color="auto"/>
                <w:bottom w:val="none" w:sz="0" w:space="0" w:color="auto"/>
                <w:right w:val="none" w:sz="0" w:space="0" w:color="auto"/>
              </w:divBdr>
            </w:div>
          </w:divsChild>
        </w:div>
        <w:div w:id="751004692">
          <w:marLeft w:val="0"/>
          <w:marRight w:val="0"/>
          <w:marTop w:val="0"/>
          <w:marBottom w:val="0"/>
          <w:divBdr>
            <w:top w:val="none" w:sz="0" w:space="0" w:color="auto"/>
            <w:left w:val="none" w:sz="0" w:space="0" w:color="auto"/>
            <w:bottom w:val="none" w:sz="0" w:space="0" w:color="auto"/>
            <w:right w:val="none" w:sz="0" w:space="0" w:color="auto"/>
          </w:divBdr>
          <w:divsChild>
            <w:div w:id="484011157">
              <w:marLeft w:val="0"/>
              <w:marRight w:val="0"/>
              <w:marTop w:val="0"/>
              <w:marBottom w:val="0"/>
              <w:divBdr>
                <w:top w:val="none" w:sz="0" w:space="0" w:color="auto"/>
                <w:left w:val="none" w:sz="0" w:space="0" w:color="auto"/>
                <w:bottom w:val="none" w:sz="0" w:space="0" w:color="auto"/>
                <w:right w:val="none" w:sz="0" w:space="0" w:color="auto"/>
              </w:divBdr>
            </w:div>
          </w:divsChild>
        </w:div>
        <w:div w:id="755785210">
          <w:marLeft w:val="0"/>
          <w:marRight w:val="0"/>
          <w:marTop w:val="0"/>
          <w:marBottom w:val="0"/>
          <w:divBdr>
            <w:top w:val="none" w:sz="0" w:space="0" w:color="auto"/>
            <w:left w:val="none" w:sz="0" w:space="0" w:color="auto"/>
            <w:bottom w:val="none" w:sz="0" w:space="0" w:color="auto"/>
            <w:right w:val="none" w:sz="0" w:space="0" w:color="auto"/>
          </w:divBdr>
          <w:divsChild>
            <w:div w:id="1673532378">
              <w:marLeft w:val="0"/>
              <w:marRight w:val="0"/>
              <w:marTop w:val="0"/>
              <w:marBottom w:val="0"/>
              <w:divBdr>
                <w:top w:val="none" w:sz="0" w:space="0" w:color="auto"/>
                <w:left w:val="none" w:sz="0" w:space="0" w:color="auto"/>
                <w:bottom w:val="none" w:sz="0" w:space="0" w:color="auto"/>
                <w:right w:val="none" w:sz="0" w:space="0" w:color="auto"/>
              </w:divBdr>
            </w:div>
          </w:divsChild>
        </w:div>
        <w:div w:id="759328406">
          <w:marLeft w:val="0"/>
          <w:marRight w:val="0"/>
          <w:marTop w:val="0"/>
          <w:marBottom w:val="0"/>
          <w:divBdr>
            <w:top w:val="none" w:sz="0" w:space="0" w:color="auto"/>
            <w:left w:val="none" w:sz="0" w:space="0" w:color="auto"/>
            <w:bottom w:val="none" w:sz="0" w:space="0" w:color="auto"/>
            <w:right w:val="none" w:sz="0" w:space="0" w:color="auto"/>
          </w:divBdr>
          <w:divsChild>
            <w:div w:id="788352727">
              <w:marLeft w:val="0"/>
              <w:marRight w:val="0"/>
              <w:marTop w:val="0"/>
              <w:marBottom w:val="0"/>
              <w:divBdr>
                <w:top w:val="none" w:sz="0" w:space="0" w:color="auto"/>
                <w:left w:val="none" w:sz="0" w:space="0" w:color="auto"/>
                <w:bottom w:val="none" w:sz="0" w:space="0" w:color="auto"/>
                <w:right w:val="none" w:sz="0" w:space="0" w:color="auto"/>
              </w:divBdr>
            </w:div>
          </w:divsChild>
        </w:div>
        <w:div w:id="762646813">
          <w:marLeft w:val="0"/>
          <w:marRight w:val="0"/>
          <w:marTop w:val="0"/>
          <w:marBottom w:val="0"/>
          <w:divBdr>
            <w:top w:val="none" w:sz="0" w:space="0" w:color="auto"/>
            <w:left w:val="none" w:sz="0" w:space="0" w:color="auto"/>
            <w:bottom w:val="none" w:sz="0" w:space="0" w:color="auto"/>
            <w:right w:val="none" w:sz="0" w:space="0" w:color="auto"/>
          </w:divBdr>
          <w:divsChild>
            <w:div w:id="639308959">
              <w:marLeft w:val="0"/>
              <w:marRight w:val="0"/>
              <w:marTop w:val="0"/>
              <w:marBottom w:val="0"/>
              <w:divBdr>
                <w:top w:val="none" w:sz="0" w:space="0" w:color="auto"/>
                <w:left w:val="none" w:sz="0" w:space="0" w:color="auto"/>
                <w:bottom w:val="none" w:sz="0" w:space="0" w:color="auto"/>
                <w:right w:val="none" w:sz="0" w:space="0" w:color="auto"/>
              </w:divBdr>
            </w:div>
          </w:divsChild>
        </w:div>
        <w:div w:id="800152441">
          <w:marLeft w:val="0"/>
          <w:marRight w:val="0"/>
          <w:marTop w:val="0"/>
          <w:marBottom w:val="0"/>
          <w:divBdr>
            <w:top w:val="none" w:sz="0" w:space="0" w:color="auto"/>
            <w:left w:val="none" w:sz="0" w:space="0" w:color="auto"/>
            <w:bottom w:val="none" w:sz="0" w:space="0" w:color="auto"/>
            <w:right w:val="none" w:sz="0" w:space="0" w:color="auto"/>
          </w:divBdr>
          <w:divsChild>
            <w:div w:id="866215030">
              <w:marLeft w:val="0"/>
              <w:marRight w:val="0"/>
              <w:marTop w:val="0"/>
              <w:marBottom w:val="0"/>
              <w:divBdr>
                <w:top w:val="none" w:sz="0" w:space="0" w:color="auto"/>
                <w:left w:val="none" w:sz="0" w:space="0" w:color="auto"/>
                <w:bottom w:val="none" w:sz="0" w:space="0" w:color="auto"/>
                <w:right w:val="none" w:sz="0" w:space="0" w:color="auto"/>
              </w:divBdr>
            </w:div>
          </w:divsChild>
        </w:div>
        <w:div w:id="801265126">
          <w:marLeft w:val="0"/>
          <w:marRight w:val="0"/>
          <w:marTop w:val="0"/>
          <w:marBottom w:val="0"/>
          <w:divBdr>
            <w:top w:val="none" w:sz="0" w:space="0" w:color="auto"/>
            <w:left w:val="none" w:sz="0" w:space="0" w:color="auto"/>
            <w:bottom w:val="none" w:sz="0" w:space="0" w:color="auto"/>
            <w:right w:val="none" w:sz="0" w:space="0" w:color="auto"/>
          </w:divBdr>
          <w:divsChild>
            <w:div w:id="1700275564">
              <w:marLeft w:val="0"/>
              <w:marRight w:val="0"/>
              <w:marTop w:val="0"/>
              <w:marBottom w:val="0"/>
              <w:divBdr>
                <w:top w:val="none" w:sz="0" w:space="0" w:color="auto"/>
                <w:left w:val="none" w:sz="0" w:space="0" w:color="auto"/>
                <w:bottom w:val="none" w:sz="0" w:space="0" w:color="auto"/>
                <w:right w:val="none" w:sz="0" w:space="0" w:color="auto"/>
              </w:divBdr>
            </w:div>
          </w:divsChild>
        </w:div>
        <w:div w:id="812674534">
          <w:marLeft w:val="0"/>
          <w:marRight w:val="0"/>
          <w:marTop w:val="0"/>
          <w:marBottom w:val="0"/>
          <w:divBdr>
            <w:top w:val="none" w:sz="0" w:space="0" w:color="auto"/>
            <w:left w:val="none" w:sz="0" w:space="0" w:color="auto"/>
            <w:bottom w:val="none" w:sz="0" w:space="0" w:color="auto"/>
            <w:right w:val="none" w:sz="0" w:space="0" w:color="auto"/>
          </w:divBdr>
          <w:divsChild>
            <w:div w:id="176426493">
              <w:marLeft w:val="0"/>
              <w:marRight w:val="0"/>
              <w:marTop w:val="0"/>
              <w:marBottom w:val="0"/>
              <w:divBdr>
                <w:top w:val="none" w:sz="0" w:space="0" w:color="auto"/>
                <w:left w:val="none" w:sz="0" w:space="0" w:color="auto"/>
                <w:bottom w:val="none" w:sz="0" w:space="0" w:color="auto"/>
                <w:right w:val="none" w:sz="0" w:space="0" w:color="auto"/>
              </w:divBdr>
            </w:div>
          </w:divsChild>
        </w:div>
        <w:div w:id="826440457">
          <w:marLeft w:val="0"/>
          <w:marRight w:val="0"/>
          <w:marTop w:val="0"/>
          <w:marBottom w:val="0"/>
          <w:divBdr>
            <w:top w:val="none" w:sz="0" w:space="0" w:color="auto"/>
            <w:left w:val="none" w:sz="0" w:space="0" w:color="auto"/>
            <w:bottom w:val="none" w:sz="0" w:space="0" w:color="auto"/>
            <w:right w:val="none" w:sz="0" w:space="0" w:color="auto"/>
          </w:divBdr>
          <w:divsChild>
            <w:div w:id="1445423346">
              <w:marLeft w:val="0"/>
              <w:marRight w:val="0"/>
              <w:marTop w:val="0"/>
              <w:marBottom w:val="0"/>
              <w:divBdr>
                <w:top w:val="none" w:sz="0" w:space="0" w:color="auto"/>
                <w:left w:val="none" w:sz="0" w:space="0" w:color="auto"/>
                <w:bottom w:val="none" w:sz="0" w:space="0" w:color="auto"/>
                <w:right w:val="none" w:sz="0" w:space="0" w:color="auto"/>
              </w:divBdr>
            </w:div>
          </w:divsChild>
        </w:div>
        <w:div w:id="836962250">
          <w:marLeft w:val="0"/>
          <w:marRight w:val="0"/>
          <w:marTop w:val="0"/>
          <w:marBottom w:val="0"/>
          <w:divBdr>
            <w:top w:val="none" w:sz="0" w:space="0" w:color="auto"/>
            <w:left w:val="none" w:sz="0" w:space="0" w:color="auto"/>
            <w:bottom w:val="none" w:sz="0" w:space="0" w:color="auto"/>
            <w:right w:val="none" w:sz="0" w:space="0" w:color="auto"/>
          </w:divBdr>
          <w:divsChild>
            <w:div w:id="65423957">
              <w:marLeft w:val="0"/>
              <w:marRight w:val="0"/>
              <w:marTop w:val="0"/>
              <w:marBottom w:val="0"/>
              <w:divBdr>
                <w:top w:val="none" w:sz="0" w:space="0" w:color="auto"/>
                <w:left w:val="none" w:sz="0" w:space="0" w:color="auto"/>
                <w:bottom w:val="none" w:sz="0" w:space="0" w:color="auto"/>
                <w:right w:val="none" w:sz="0" w:space="0" w:color="auto"/>
              </w:divBdr>
            </w:div>
          </w:divsChild>
        </w:div>
        <w:div w:id="842669391">
          <w:marLeft w:val="0"/>
          <w:marRight w:val="0"/>
          <w:marTop w:val="0"/>
          <w:marBottom w:val="0"/>
          <w:divBdr>
            <w:top w:val="none" w:sz="0" w:space="0" w:color="auto"/>
            <w:left w:val="none" w:sz="0" w:space="0" w:color="auto"/>
            <w:bottom w:val="none" w:sz="0" w:space="0" w:color="auto"/>
            <w:right w:val="none" w:sz="0" w:space="0" w:color="auto"/>
          </w:divBdr>
          <w:divsChild>
            <w:div w:id="198781566">
              <w:marLeft w:val="0"/>
              <w:marRight w:val="0"/>
              <w:marTop w:val="0"/>
              <w:marBottom w:val="0"/>
              <w:divBdr>
                <w:top w:val="none" w:sz="0" w:space="0" w:color="auto"/>
                <w:left w:val="none" w:sz="0" w:space="0" w:color="auto"/>
                <w:bottom w:val="none" w:sz="0" w:space="0" w:color="auto"/>
                <w:right w:val="none" w:sz="0" w:space="0" w:color="auto"/>
              </w:divBdr>
            </w:div>
          </w:divsChild>
        </w:div>
        <w:div w:id="858395262">
          <w:marLeft w:val="0"/>
          <w:marRight w:val="0"/>
          <w:marTop w:val="0"/>
          <w:marBottom w:val="0"/>
          <w:divBdr>
            <w:top w:val="none" w:sz="0" w:space="0" w:color="auto"/>
            <w:left w:val="none" w:sz="0" w:space="0" w:color="auto"/>
            <w:bottom w:val="none" w:sz="0" w:space="0" w:color="auto"/>
            <w:right w:val="none" w:sz="0" w:space="0" w:color="auto"/>
          </w:divBdr>
          <w:divsChild>
            <w:div w:id="1563827143">
              <w:marLeft w:val="0"/>
              <w:marRight w:val="0"/>
              <w:marTop w:val="0"/>
              <w:marBottom w:val="0"/>
              <w:divBdr>
                <w:top w:val="none" w:sz="0" w:space="0" w:color="auto"/>
                <w:left w:val="none" w:sz="0" w:space="0" w:color="auto"/>
                <w:bottom w:val="none" w:sz="0" w:space="0" w:color="auto"/>
                <w:right w:val="none" w:sz="0" w:space="0" w:color="auto"/>
              </w:divBdr>
            </w:div>
          </w:divsChild>
        </w:div>
        <w:div w:id="869028803">
          <w:marLeft w:val="0"/>
          <w:marRight w:val="0"/>
          <w:marTop w:val="0"/>
          <w:marBottom w:val="0"/>
          <w:divBdr>
            <w:top w:val="none" w:sz="0" w:space="0" w:color="auto"/>
            <w:left w:val="none" w:sz="0" w:space="0" w:color="auto"/>
            <w:bottom w:val="none" w:sz="0" w:space="0" w:color="auto"/>
            <w:right w:val="none" w:sz="0" w:space="0" w:color="auto"/>
          </w:divBdr>
          <w:divsChild>
            <w:div w:id="1522351410">
              <w:marLeft w:val="0"/>
              <w:marRight w:val="0"/>
              <w:marTop w:val="0"/>
              <w:marBottom w:val="0"/>
              <w:divBdr>
                <w:top w:val="none" w:sz="0" w:space="0" w:color="auto"/>
                <w:left w:val="none" w:sz="0" w:space="0" w:color="auto"/>
                <w:bottom w:val="none" w:sz="0" w:space="0" w:color="auto"/>
                <w:right w:val="none" w:sz="0" w:space="0" w:color="auto"/>
              </w:divBdr>
            </w:div>
          </w:divsChild>
        </w:div>
        <w:div w:id="878589435">
          <w:marLeft w:val="0"/>
          <w:marRight w:val="0"/>
          <w:marTop w:val="0"/>
          <w:marBottom w:val="0"/>
          <w:divBdr>
            <w:top w:val="none" w:sz="0" w:space="0" w:color="auto"/>
            <w:left w:val="none" w:sz="0" w:space="0" w:color="auto"/>
            <w:bottom w:val="none" w:sz="0" w:space="0" w:color="auto"/>
            <w:right w:val="none" w:sz="0" w:space="0" w:color="auto"/>
          </w:divBdr>
          <w:divsChild>
            <w:div w:id="1362822656">
              <w:marLeft w:val="0"/>
              <w:marRight w:val="0"/>
              <w:marTop w:val="0"/>
              <w:marBottom w:val="0"/>
              <w:divBdr>
                <w:top w:val="none" w:sz="0" w:space="0" w:color="auto"/>
                <w:left w:val="none" w:sz="0" w:space="0" w:color="auto"/>
                <w:bottom w:val="none" w:sz="0" w:space="0" w:color="auto"/>
                <w:right w:val="none" w:sz="0" w:space="0" w:color="auto"/>
              </w:divBdr>
            </w:div>
          </w:divsChild>
        </w:div>
        <w:div w:id="879586513">
          <w:marLeft w:val="0"/>
          <w:marRight w:val="0"/>
          <w:marTop w:val="0"/>
          <w:marBottom w:val="0"/>
          <w:divBdr>
            <w:top w:val="none" w:sz="0" w:space="0" w:color="auto"/>
            <w:left w:val="none" w:sz="0" w:space="0" w:color="auto"/>
            <w:bottom w:val="none" w:sz="0" w:space="0" w:color="auto"/>
            <w:right w:val="none" w:sz="0" w:space="0" w:color="auto"/>
          </w:divBdr>
          <w:divsChild>
            <w:div w:id="1994751223">
              <w:marLeft w:val="0"/>
              <w:marRight w:val="0"/>
              <w:marTop w:val="0"/>
              <w:marBottom w:val="0"/>
              <w:divBdr>
                <w:top w:val="none" w:sz="0" w:space="0" w:color="auto"/>
                <w:left w:val="none" w:sz="0" w:space="0" w:color="auto"/>
                <w:bottom w:val="none" w:sz="0" w:space="0" w:color="auto"/>
                <w:right w:val="none" w:sz="0" w:space="0" w:color="auto"/>
              </w:divBdr>
            </w:div>
          </w:divsChild>
        </w:div>
        <w:div w:id="881285166">
          <w:marLeft w:val="0"/>
          <w:marRight w:val="0"/>
          <w:marTop w:val="0"/>
          <w:marBottom w:val="0"/>
          <w:divBdr>
            <w:top w:val="none" w:sz="0" w:space="0" w:color="auto"/>
            <w:left w:val="none" w:sz="0" w:space="0" w:color="auto"/>
            <w:bottom w:val="none" w:sz="0" w:space="0" w:color="auto"/>
            <w:right w:val="none" w:sz="0" w:space="0" w:color="auto"/>
          </w:divBdr>
          <w:divsChild>
            <w:div w:id="792133877">
              <w:marLeft w:val="0"/>
              <w:marRight w:val="0"/>
              <w:marTop w:val="0"/>
              <w:marBottom w:val="0"/>
              <w:divBdr>
                <w:top w:val="none" w:sz="0" w:space="0" w:color="auto"/>
                <w:left w:val="none" w:sz="0" w:space="0" w:color="auto"/>
                <w:bottom w:val="none" w:sz="0" w:space="0" w:color="auto"/>
                <w:right w:val="none" w:sz="0" w:space="0" w:color="auto"/>
              </w:divBdr>
            </w:div>
          </w:divsChild>
        </w:div>
        <w:div w:id="906842870">
          <w:marLeft w:val="0"/>
          <w:marRight w:val="0"/>
          <w:marTop w:val="0"/>
          <w:marBottom w:val="0"/>
          <w:divBdr>
            <w:top w:val="none" w:sz="0" w:space="0" w:color="auto"/>
            <w:left w:val="none" w:sz="0" w:space="0" w:color="auto"/>
            <w:bottom w:val="none" w:sz="0" w:space="0" w:color="auto"/>
            <w:right w:val="none" w:sz="0" w:space="0" w:color="auto"/>
          </w:divBdr>
          <w:divsChild>
            <w:div w:id="329791917">
              <w:marLeft w:val="0"/>
              <w:marRight w:val="0"/>
              <w:marTop w:val="0"/>
              <w:marBottom w:val="0"/>
              <w:divBdr>
                <w:top w:val="none" w:sz="0" w:space="0" w:color="auto"/>
                <w:left w:val="none" w:sz="0" w:space="0" w:color="auto"/>
                <w:bottom w:val="none" w:sz="0" w:space="0" w:color="auto"/>
                <w:right w:val="none" w:sz="0" w:space="0" w:color="auto"/>
              </w:divBdr>
            </w:div>
          </w:divsChild>
        </w:div>
        <w:div w:id="920989321">
          <w:marLeft w:val="0"/>
          <w:marRight w:val="0"/>
          <w:marTop w:val="0"/>
          <w:marBottom w:val="0"/>
          <w:divBdr>
            <w:top w:val="none" w:sz="0" w:space="0" w:color="auto"/>
            <w:left w:val="none" w:sz="0" w:space="0" w:color="auto"/>
            <w:bottom w:val="none" w:sz="0" w:space="0" w:color="auto"/>
            <w:right w:val="none" w:sz="0" w:space="0" w:color="auto"/>
          </w:divBdr>
          <w:divsChild>
            <w:div w:id="2049140661">
              <w:marLeft w:val="0"/>
              <w:marRight w:val="0"/>
              <w:marTop w:val="0"/>
              <w:marBottom w:val="0"/>
              <w:divBdr>
                <w:top w:val="none" w:sz="0" w:space="0" w:color="auto"/>
                <w:left w:val="none" w:sz="0" w:space="0" w:color="auto"/>
                <w:bottom w:val="none" w:sz="0" w:space="0" w:color="auto"/>
                <w:right w:val="none" w:sz="0" w:space="0" w:color="auto"/>
              </w:divBdr>
            </w:div>
          </w:divsChild>
        </w:div>
        <w:div w:id="932784420">
          <w:marLeft w:val="0"/>
          <w:marRight w:val="0"/>
          <w:marTop w:val="0"/>
          <w:marBottom w:val="0"/>
          <w:divBdr>
            <w:top w:val="none" w:sz="0" w:space="0" w:color="auto"/>
            <w:left w:val="none" w:sz="0" w:space="0" w:color="auto"/>
            <w:bottom w:val="none" w:sz="0" w:space="0" w:color="auto"/>
            <w:right w:val="none" w:sz="0" w:space="0" w:color="auto"/>
          </w:divBdr>
          <w:divsChild>
            <w:div w:id="46614841">
              <w:marLeft w:val="0"/>
              <w:marRight w:val="0"/>
              <w:marTop w:val="0"/>
              <w:marBottom w:val="0"/>
              <w:divBdr>
                <w:top w:val="none" w:sz="0" w:space="0" w:color="auto"/>
                <w:left w:val="none" w:sz="0" w:space="0" w:color="auto"/>
                <w:bottom w:val="none" w:sz="0" w:space="0" w:color="auto"/>
                <w:right w:val="none" w:sz="0" w:space="0" w:color="auto"/>
              </w:divBdr>
            </w:div>
          </w:divsChild>
        </w:div>
        <w:div w:id="973560660">
          <w:marLeft w:val="0"/>
          <w:marRight w:val="0"/>
          <w:marTop w:val="0"/>
          <w:marBottom w:val="0"/>
          <w:divBdr>
            <w:top w:val="none" w:sz="0" w:space="0" w:color="auto"/>
            <w:left w:val="none" w:sz="0" w:space="0" w:color="auto"/>
            <w:bottom w:val="none" w:sz="0" w:space="0" w:color="auto"/>
            <w:right w:val="none" w:sz="0" w:space="0" w:color="auto"/>
          </w:divBdr>
          <w:divsChild>
            <w:div w:id="641154044">
              <w:marLeft w:val="0"/>
              <w:marRight w:val="0"/>
              <w:marTop w:val="0"/>
              <w:marBottom w:val="0"/>
              <w:divBdr>
                <w:top w:val="none" w:sz="0" w:space="0" w:color="auto"/>
                <w:left w:val="none" w:sz="0" w:space="0" w:color="auto"/>
                <w:bottom w:val="none" w:sz="0" w:space="0" w:color="auto"/>
                <w:right w:val="none" w:sz="0" w:space="0" w:color="auto"/>
              </w:divBdr>
            </w:div>
          </w:divsChild>
        </w:div>
        <w:div w:id="978194257">
          <w:marLeft w:val="0"/>
          <w:marRight w:val="0"/>
          <w:marTop w:val="0"/>
          <w:marBottom w:val="0"/>
          <w:divBdr>
            <w:top w:val="none" w:sz="0" w:space="0" w:color="auto"/>
            <w:left w:val="none" w:sz="0" w:space="0" w:color="auto"/>
            <w:bottom w:val="none" w:sz="0" w:space="0" w:color="auto"/>
            <w:right w:val="none" w:sz="0" w:space="0" w:color="auto"/>
          </w:divBdr>
          <w:divsChild>
            <w:div w:id="869686967">
              <w:marLeft w:val="0"/>
              <w:marRight w:val="0"/>
              <w:marTop w:val="0"/>
              <w:marBottom w:val="0"/>
              <w:divBdr>
                <w:top w:val="none" w:sz="0" w:space="0" w:color="auto"/>
                <w:left w:val="none" w:sz="0" w:space="0" w:color="auto"/>
                <w:bottom w:val="none" w:sz="0" w:space="0" w:color="auto"/>
                <w:right w:val="none" w:sz="0" w:space="0" w:color="auto"/>
              </w:divBdr>
            </w:div>
          </w:divsChild>
        </w:div>
        <w:div w:id="990056190">
          <w:marLeft w:val="0"/>
          <w:marRight w:val="0"/>
          <w:marTop w:val="0"/>
          <w:marBottom w:val="0"/>
          <w:divBdr>
            <w:top w:val="none" w:sz="0" w:space="0" w:color="auto"/>
            <w:left w:val="none" w:sz="0" w:space="0" w:color="auto"/>
            <w:bottom w:val="none" w:sz="0" w:space="0" w:color="auto"/>
            <w:right w:val="none" w:sz="0" w:space="0" w:color="auto"/>
          </w:divBdr>
          <w:divsChild>
            <w:div w:id="1648437562">
              <w:marLeft w:val="0"/>
              <w:marRight w:val="0"/>
              <w:marTop w:val="0"/>
              <w:marBottom w:val="0"/>
              <w:divBdr>
                <w:top w:val="none" w:sz="0" w:space="0" w:color="auto"/>
                <w:left w:val="none" w:sz="0" w:space="0" w:color="auto"/>
                <w:bottom w:val="none" w:sz="0" w:space="0" w:color="auto"/>
                <w:right w:val="none" w:sz="0" w:space="0" w:color="auto"/>
              </w:divBdr>
            </w:div>
          </w:divsChild>
        </w:div>
        <w:div w:id="992374234">
          <w:marLeft w:val="0"/>
          <w:marRight w:val="0"/>
          <w:marTop w:val="0"/>
          <w:marBottom w:val="0"/>
          <w:divBdr>
            <w:top w:val="none" w:sz="0" w:space="0" w:color="auto"/>
            <w:left w:val="none" w:sz="0" w:space="0" w:color="auto"/>
            <w:bottom w:val="none" w:sz="0" w:space="0" w:color="auto"/>
            <w:right w:val="none" w:sz="0" w:space="0" w:color="auto"/>
          </w:divBdr>
          <w:divsChild>
            <w:div w:id="647779736">
              <w:marLeft w:val="0"/>
              <w:marRight w:val="0"/>
              <w:marTop w:val="0"/>
              <w:marBottom w:val="0"/>
              <w:divBdr>
                <w:top w:val="none" w:sz="0" w:space="0" w:color="auto"/>
                <w:left w:val="none" w:sz="0" w:space="0" w:color="auto"/>
                <w:bottom w:val="none" w:sz="0" w:space="0" w:color="auto"/>
                <w:right w:val="none" w:sz="0" w:space="0" w:color="auto"/>
              </w:divBdr>
            </w:div>
          </w:divsChild>
        </w:div>
        <w:div w:id="993030094">
          <w:marLeft w:val="0"/>
          <w:marRight w:val="0"/>
          <w:marTop w:val="0"/>
          <w:marBottom w:val="0"/>
          <w:divBdr>
            <w:top w:val="none" w:sz="0" w:space="0" w:color="auto"/>
            <w:left w:val="none" w:sz="0" w:space="0" w:color="auto"/>
            <w:bottom w:val="none" w:sz="0" w:space="0" w:color="auto"/>
            <w:right w:val="none" w:sz="0" w:space="0" w:color="auto"/>
          </w:divBdr>
          <w:divsChild>
            <w:div w:id="715357267">
              <w:marLeft w:val="0"/>
              <w:marRight w:val="0"/>
              <w:marTop w:val="0"/>
              <w:marBottom w:val="0"/>
              <w:divBdr>
                <w:top w:val="none" w:sz="0" w:space="0" w:color="auto"/>
                <w:left w:val="none" w:sz="0" w:space="0" w:color="auto"/>
                <w:bottom w:val="none" w:sz="0" w:space="0" w:color="auto"/>
                <w:right w:val="none" w:sz="0" w:space="0" w:color="auto"/>
              </w:divBdr>
            </w:div>
          </w:divsChild>
        </w:div>
        <w:div w:id="1009059676">
          <w:marLeft w:val="0"/>
          <w:marRight w:val="0"/>
          <w:marTop w:val="0"/>
          <w:marBottom w:val="0"/>
          <w:divBdr>
            <w:top w:val="none" w:sz="0" w:space="0" w:color="auto"/>
            <w:left w:val="none" w:sz="0" w:space="0" w:color="auto"/>
            <w:bottom w:val="none" w:sz="0" w:space="0" w:color="auto"/>
            <w:right w:val="none" w:sz="0" w:space="0" w:color="auto"/>
          </w:divBdr>
          <w:divsChild>
            <w:div w:id="1294363150">
              <w:marLeft w:val="0"/>
              <w:marRight w:val="0"/>
              <w:marTop w:val="0"/>
              <w:marBottom w:val="0"/>
              <w:divBdr>
                <w:top w:val="none" w:sz="0" w:space="0" w:color="auto"/>
                <w:left w:val="none" w:sz="0" w:space="0" w:color="auto"/>
                <w:bottom w:val="none" w:sz="0" w:space="0" w:color="auto"/>
                <w:right w:val="none" w:sz="0" w:space="0" w:color="auto"/>
              </w:divBdr>
            </w:div>
          </w:divsChild>
        </w:div>
        <w:div w:id="1020276669">
          <w:marLeft w:val="0"/>
          <w:marRight w:val="0"/>
          <w:marTop w:val="0"/>
          <w:marBottom w:val="0"/>
          <w:divBdr>
            <w:top w:val="none" w:sz="0" w:space="0" w:color="auto"/>
            <w:left w:val="none" w:sz="0" w:space="0" w:color="auto"/>
            <w:bottom w:val="none" w:sz="0" w:space="0" w:color="auto"/>
            <w:right w:val="none" w:sz="0" w:space="0" w:color="auto"/>
          </w:divBdr>
          <w:divsChild>
            <w:div w:id="1370451534">
              <w:marLeft w:val="0"/>
              <w:marRight w:val="0"/>
              <w:marTop w:val="0"/>
              <w:marBottom w:val="0"/>
              <w:divBdr>
                <w:top w:val="none" w:sz="0" w:space="0" w:color="auto"/>
                <w:left w:val="none" w:sz="0" w:space="0" w:color="auto"/>
                <w:bottom w:val="none" w:sz="0" w:space="0" w:color="auto"/>
                <w:right w:val="none" w:sz="0" w:space="0" w:color="auto"/>
              </w:divBdr>
            </w:div>
          </w:divsChild>
        </w:div>
        <w:div w:id="1035545547">
          <w:marLeft w:val="0"/>
          <w:marRight w:val="0"/>
          <w:marTop w:val="0"/>
          <w:marBottom w:val="0"/>
          <w:divBdr>
            <w:top w:val="none" w:sz="0" w:space="0" w:color="auto"/>
            <w:left w:val="none" w:sz="0" w:space="0" w:color="auto"/>
            <w:bottom w:val="none" w:sz="0" w:space="0" w:color="auto"/>
            <w:right w:val="none" w:sz="0" w:space="0" w:color="auto"/>
          </w:divBdr>
          <w:divsChild>
            <w:div w:id="1069890509">
              <w:marLeft w:val="0"/>
              <w:marRight w:val="0"/>
              <w:marTop w:val="0"/>
              <w:marBottom w:val="0"/>
              <w:divBdr>
                <w:top w:val="none" w:sz="0" w:space="0" w:color="auto"/>
                <w:left w:val="none" w:sz="0" w:space="0" w:color="auto"/>
                <w:bottom w:val="none" w:sz="0" w:space="0" w:color="auto"/>
                <w:right w:val="none" w:sz="0" w:space="0" w:color="auto"/>
              </w:divBdr>
            </w:div>
          </w:divsChild>
        </w:div>
        <w:div w:id="1048143044">
          <w:marLeft w:val="0"/>
          <w:marRight w:val="0"/>
          <w:marTop w:val="0"/>
          <w:marBottom w:val="0"/>
          <w:divBdr>
            <w:top w:val="none" w:sz="0" w:space="0" w:color="auto"/>
            <w:left w:val="none" w:sz="0" w:space="0" w:color="auto"/>
            <w:bottom w:val="none" w:sz="0" w:space="0" w:color="auto"/>
            <w:right w:val="none" w:sz="0" w:space="0" w:color="auto"/>
          </w:divBdr>
          <w:divsChild>
            <w:div w:id="52312980">
              <w:marLeft w:val="0"/>
              <w:marRight w:val="0"/>
              <w:marTop w:val="0"/>
              <w:marBottom w:val="0"/>
              <w:divBdr>
                <w:top w:val="none" w:sz="0" w:space="0" w:color="auto"/>
                <w:left w:val="none" w:sz="0" w:space="0" w:color="auto"/>
                <w:bottom w:val="none" w:sz="0" w:space="0" w:color="auto"/>
                <w:right w:val="none" w:sz="0" w:space="0" w:color="auto"/>
              </w:divBdr>
            </w:div>
          </w:divsChild>
        </w:div>
        <w:div w:id="1049575880">
          <w:marLeft w:val="0"/>
          <w:marRight w:val="0"/>
          <w:marTop w:val="0"/>
          <w:marBottom w:val="0"/>
          <w:divBdr>
            <w:top w:val="none" w:sz="0" w:space="0" w:color="auto"/>
            <w:left w:val="none" w:sz="0" w:space="0" w:color="auto"/>
            <w:bottom w:val="none" w:sz="0" w:space="0" w:color="auto"/>
            <w:right w:val="none" w:sz="0" w:space="0" w:color="auto"/>
          </w:divBdr>
          <w:divsChild>
            <w:div w:id="546188269">
              <w:marLeft w:val="0"/>
              <w:marRight w:val="0"/>
              <w:marTop w:val="0"/>
              <w:marBottom w:val="0"/>
              <w:divBdr>
                <w:top w:val="none" w:sz="0" w:space="0" w:color="auto"/>
                <w:left w:val="none" w:sz="0" w:space="0" w:color="auto"/>
                <w:bottom w:val="none" w:sz="0" w:space="0" w:color="auto"/>
                <w:right w:val="none" w:sz="0" w:space="0" w:color="auto"/>
              </w:divBdr>
            </w:div>
          </w:divsChild>
        </w:div>
        <w:div w:id="1052076633">
          <w:marLeft w:val="0"/>
          <w:marRight w:val="0"/>
          <w:marTop w:val="0"/>
          <w:marBottom w:val="0"/>
          <w:divBdr>
            <w:top w:val="none" w:sz="0" w:space="0" w:color="auto"/>
            <w:left w:val="none" w:sz="0" w:space="0" w:color="auto"/>
            <w:bottom w:val="none" w:sz="0" w:space="0" w:color="auto"/>
            <w:right w:val="none" w:sz="0" w:space="0" w:color="auto"/>
          </w:divBdr>
          <w:divsChild>
            <w:div w:id="1801143676">
              <w:marLeft w:val="0"/>
              <w:marRight w:val="0"/>
              <w:marTop w:val="0"/>
              <w:marBottom w:val="0"/>
              <w:divBdr>
                <w:top w:val="none" w:sz="0" w:space="0" w:color="auto"/>
                <w:left w:val="none" w:sz="0" w:space="0" w:color="auto"/>
                <w:bottom w:val="none" w:sz="0" w:space="0" w:color="auto"/>
                <w:right w:val="none" w:sz="0" w:space="0" w:color="auto"/>
              </w:divBdr>
            </w:div>
          </w:divsChild>
        </w:div>
        <w:div w:id="1055205027">
          <w:marLeft w:val="0"/>
          <w:marRight w:val="0"/>
          <w:marTop w:val="0"/>
          <w:marBottom w:val="0"/>
          <w:divBdr>
            <w:top w:val="none" w:sz="0" w:space="0" w:color="auto"/>
            <w:left w:val="none" w:sz="0" w:space="0" w:color="auto"/>
            <w:bottom w:val="none" w:sz="0" w:space="0" w:color="auto"/>
            <w:right w:val="none" w:sz="0" w:space="0" w:color="auto"/>
          </w:divBdr>
          <w:divsChild>
            <w:div w:id="834228355">
              <w:marLeft w:val="0"/>
              <w:marRight w:val="0"/>
              <w:marTop w:val="0"/>
              <w:marBottom w:val="0"/>
              <w:divBdr>
                <w:top w:val="none" w:sz="0" w:space="0" w:color="auto"/>
                <w:left w:val="none" w:sz="0" w:space="0" w:color="auto"/>
                <w:bottom w:val="none" w:sz="0" w:space="0" w:color="auto"/>
                <w:right w:val="none" w:sz="0" w:space="0" w:color="auto"/>
              </w:divBdr>
            </w:div>
          </w:divsChild>
        </w:div>
        <w:div w:id="1083140718">
          <w:marLeft w:val="0"/>
          <w:marRight w:val="0"/>
          <w:marTop w:val="0"/>
          <w:marBottom w:val="0"/>
          <w:divBdr>
            <w:top w:val="none" w:sz="0" w:space="0" w:color="auto"/>
            <w:left w:val="none" w:sz="0" w:space="0" w:color="auto"/>
            <w:bottom w:val="none" w:sz="0" w:space="0" w:color="auto"/>
            <w:right w:val="none" w:sz="0" w:space="0" w:color="auto"/>
          </w:divBdr>
          <w:divsChild>
            <w:div w:id="1207330568">
              <w:marLeft w:val="0"/>
              <w:marRight w:val="0"/>
              <w:marTop w:val="0"/>
              <w:marBottom w:val="0"/>
              <w:divBdr>
                <w:top w:val="none" w:sz="0" w:space="0" w:color="auto"/>
                <w:left w:val="none" w:sz="0" w:space="0" w:color="auto"/>
                <w:bottom w:val="none" w:sz="0" w:space="0" w:color="auto"/>
                <w:right w:val="none" w:sz="0" w:space="0" w:color="auto"/>
              </w:divBdr>
            </w:div>
          </w:divsChild>
        </w:div>
        <w:div w:id="1116144891">
          <w:marLeft w:val="0"/>
          <w:marRight w:val="0"/>
          <w:marTop w:val="0"/>
          <w:marBottom w:val="0"/>
          <w:divBdr>
            <w:top w:val="none" w:sz="0" w:space="0" w:color="auto"/>
            <w:left w:val="none" w:sz="0" w:space="0" w:color="auto"/>
            <w:bottom w:val="none" w:sz="0" w:space="0" w:color="auto"/>
            <w:right w:val="none" w:sz="0" w:space="0" w:color="auto"/>
          </w:divBdr>
          <w:divsChild>
            <w:div w:id="511838887">
              <w:marLeft w:val="0"/>
              <w:marRight w:val="0"/>
              <w:marTop w:val="0"/>
              <w:marBottom w:val="0"/>
              <w:divBdr>
                <w:top w:val="none" w:sz="0" w:space="0" w:color="auto"/>
                <w:left w:val="none" w:sz="0" w:space="0" w:color="auto"/>
                <w:bottom w:val="none" w:sz="0" w:space="0" w:color="auto"/>
                <w:right w:val="none" w:sz="0" w:space="0" w:color="auto"/>
              </w:divBdr>
            </w:div>
          </w:divsChild>
        </w:div>
        <w:div w:id="1120606909">
          <w:marLeft w:val="0"/>
          <w:marRight w:val="0"/>
          <w:marTop w:val="0"/>
          <w:marBottom w:val="0"/>
          <w:divBdr>
            <w:top w:val="none" w:sz="0" w:space="0" w:color="auto"/>
            <w:left w:val="none" w:sz="0" w:space="0" w:color="auto"/>
            <w:bottom w:val="none" w:sz="0" w:space="0" w:color="auto"/>
            <w:right w:val="none" w:sz="0" w:space="0" w:color="auto"/>
          </w:divBdr>
          <w:divsChild>
            <w:div w:id="1487477753">
              <w:marLeft w:val="0"/>
              <w:marRight w:val="0"/>
              <w:marTop w:val="0"/>
              <w:marBottom w:val="0"/>
              <w:divBdr>
                <w:top w:val="none" w:sz="0" w:space="0" w:color="auto"/>
                <w:left w:val="none" w:sz="0" w:space="0" w:color="auto"/>
                <w:bottom w:val="none" w:sz="0" w:space="0" w:color="auto"/>
                <w:right w:val="none" w:sz="0" w:space="0" w:color="auto"/>
              </w:divBdr>
            </w:div>
          </w:divsChild>
        </w:div>
        <w:div w:id="1122965665">
          <w:marLeft w:val="0"/>
          <w:marRight w:val="0"/>
          <w:marTop w:val="0"/>
          <w:marBottom w:val="0"/>
          <w:divBdr>
            <w:top w:val="none" w:sz="0" w:space="0" w:color="auto"/>
            <w:left w:val="none" w:sz="0" w:space="0" w:color="auto"/>
            <w:bottom w:val="none" w:sz="0" w:space="0" w:color="auto"/>
            <w:right w:val="none" w:sz="0" w:space="0" w:color="auto"/>
          </w:divBdr>
          <w:divsChild>
            <w:div w:id="2140487850">
              <w:marLeft w:val="0"/>
              <w:marRight w:val="0"/>
              <w:marTop w:val="0"/>
              <w:marBottom w:val="0"/>
              <w:divBdr>
                <w:top w:val="none" w:sz="0" w:space="0" w:color="auto"/>
                <w:left w:val="none" w:sz="0" w:space="0" w:color="auto"/>
                <w:bottom w:val="none" w:sz="0" w:space="0" w:color="auto"/>
                <w:right w:val="none" w:sz="0" w:space="0" w:color="auto"/>
              </w:divBdr>
            </w:div>
          </w:divsChild>
        </w:div>
        <w:div w:id="1149518027">
          <w:marLeft w:val="0"/>
          <w:marRight w:val="0"/>
          <w:marTop w:val="0"/>
          <w:marBottom w:val="0"/>
          <w:divBdr>
            <w:top w:val="none" w:sz="0" w:space="0" w:color="auto"/>
            <w:left w:val="none" w:sz="0" w:space="0" w:color="auto"/>
            <w:bottom w:val="none" w:sz="0" w:space="0" w:color="auto"/>
            <w:right w:val="none" w:sz="0" w:space="0" w:color="auto"/>
          </w:divBdr>
          <w:divsChild>
            <w:div w:id="707222653">
              <w:marLeft w:val="0"/>
              <w:marRight w:val="0"/>
              <w:marTop w:val="0"/>
              <w:marBottom w:val="0"/>
              <w:divBdr>
                <w:top w:val="none" w:sz="0" w:space="0" w:color="auto"/>
                <w:left w:val="none" w:sz="0" w:space="0" w:color="auto"/>
                <w:bottom w:val="none" w:sz="0" w:space="0" w:color="auto"/>
                <w:right w:val="none" w:sz="0" w:space="0" w:color="auto"/>
              </w:divBdr>
            </w:div>
          </w:divsChild>
        </w:div>
        <w:div w:id="1186947387">
          <w:marLeft w:val="0"/>
          <w:marRight w:val="0"/>
          <w:marTop w:val="0"/>
          <w:marBottom w:val="0"/>
          <w:divBdr>
            <w:top w:val="none" w:sz="0" w:space="0" w:color="auto"/>
            <w:left w:val="none" w:sz="0" w:space="0" w:color="auto"/>
            <w:bottom w:val="none" w:sz="0" w:space="0" w:color="auto"/>
            <w:right w:val="none" w:sz="0" w:space="0" w:color="auto"/>
          </w:divBdr>
          <w:divsChild>
            <w:div w:id="1454984339">
              <w:marLeft w:val="0"/>
              <w:marRight w:val="0"/>
              <w:marTop w:val="0"/>
              <w:marBottom w:val="0"/>
              <w:divBdr>
                <w:top w:val="none" w:sz="0" w:space="0" w:color="auto"/>
                <w:left w:val="none" w:sz="0" w:space="0" w:color="auto"/>
                <w:bottom w:val="none" w:sz="0" w:space="0" w:color="auto"/>
                <w:right w:val="none" w:sz="0" w:space="0" w:color="auto"/>
              </w:divBdr>
            </w:div>
          </w:divsChild>
        </w:div>
        <w:div w:id="1201014419">
          <w:marLeft w:val="0"/>
          <w:marRight w:val="0"/>
          <w:marTop w:val="0"/>
          <w:marBottom w:val="0"/>
          <w:divBdr>
            <w:top w:val="none" w:sz="0" w:space="0" w:color="auto"/>
            <w:left w:val="none" w:sz="0" w:space="0" w:color="auto"/>
            <w:bottom w:val="none" w:sz="0" w:space="0" w:color="auto"/>
            <w:right w:val="none" w:sz="0" w:space="0" w:color="auto"/>
          </w:divBdr>
          <w:divsChild>
            <w:div w:id="851260305">
              <w:marLeft w:val="0"/>
              <w:marRight w:val="0"/>
              <w:marTop w:val="0"/>
              <w:marBottom w:val="0"/>
              <w:divBdr>
                <w:top w:val="none" w:sz="0" w:space="0" w:color="auto"/>
                <w:left w:val="none" w:sz="0" w:space="0" w:color="auto"/>
                <w:bottom w:val="none" w:sz="0" w:space="0" w:color="auto"/>
                <w:right w:val="none" w:sz="0" w:space="0" w:color="auto"/>
              </w:divBdr>
            </w:div>
          </w:divsChild>
        </w:div>
        <w:div w:id="1206139788">
          <w:marLeft w:val="0"/>
          <w:marRight w:val="0"/>
          <w:marTop w:val="0"/>
          <w:marBottom w:val="0"/>
          <w:divBdr>
            <w:top w:val="none" w:sz="0" w:space="0" w:color="auto"/>
            <w:left w:val="none" w:sz="0" w:space="0" w:color="auto"/>
            <w:bottom w:val="none" w:sz="0" w:space="0" w:color="auto"/>
            <w:right w:val="none" w:sz="0" w:space="0" w:color="auto"/>
          </w:divBdr>
          <w:divsChild>
            <w:div w:id="900871867">
              <w:marLeft w:val="0"/>
              <w:marRight w:val="0"/>
              <w:marTop w:val="0"/>
              <w:marBottom w:val="0"/>
              <w:divBdr>
                <w:top w:val="none" w:sz="0" w:space="0" w:color="auto"/>
                <w:left w:val="none" w:sz="0" w:space="0" w:color="auto"/>
                <w:bottom w:val="none" w:sz="0" w:space="0" w:color="auto"/>
                <w:right w:val="none" w:sz="0" w:space="0" w:color="auto"/>
              </w:divBdr>
            </w:div>
          </w:divsChild>
        </w:div>
        <w:div w:id="1222671662">
          <w:marLeft w:val="0"/>
          <w:marRight w:val="0"/>
          <w:marTop w:val="0"/>
          <w:marBottom w:val="0"/>
          <w:divBdr>
            <w:top w:val="none" w:sz="0" w:space="0" w:color="auto"/>
            <w:left w:val="none" w:sz="0" w:space="0" w:color="auto"/>
            <w:bottom w:val="none" w:sz="0" w:space="0" w:color="auto"/>
            <w:right w:val="none" w:sz="0" w:space="0" w:color="auto"/>
          </w:divBdr>
          <w:divsChild>
            <w:div w:id="435712030">
              <w:marLeft w:val="0"/>
              <w:marRight w:val="0"/>
              <w:marTop w:val="0"/>
              <w:marBottom w:val="0"/>
              <w:divBdr>
                <w:top w:val="none" w:sz="0" w:space="0" w:color="auto"/>
                <w:left w:val="none" w:sz="0" w:space="0" w:color="auto"/>
                <w:bottom w:val="none" w:sz="0" w:space="0" w:color="auto"/>
                <w:right w:val="none" w:sz="0" w:space="0" w:color="auto"/>
              </w:divBdr>
            </w:div>
          </w:divsChild>
        </w:div>
        <w:div w:id="1239750866">
          <w:marLeft w:val="0"/>
          <w:marRight w:val="0"/>
          <w:marTop w:val="0"/>
          <w:marBottom w:val="0"/>
          <w:divBdr>
            <w:top w:val="none" w:sz="0" w:space="0" w:color="auto"/>
            <w:left w:val="none" w:sz="0" w:space="0" w:color="auto"/>
            <w:bottom w:val="none" w:sz="0" w:space="0" w:color="auto"/>
            <w:right w:val="none" w:sz="0" w:space="0" w:color="auto"/>
          </w:divBdr>
          <w:divsChild>
            <w:div w:id="380524222">
              <w:marLeft w:val="0"/>
              <w:marRight w:val="0"/>
              <w:marTop w:val="0"/>
              <w:marBottom w:val="0"/>
              <w:divBdr>
                <w:top w:val="none" w:sz="0" w:space="0" w:color="auto"/>
                <w:left w:val="none" w:sz="0" w:space="0" w:color="auto"/>
                <w:bottom w:val="none" w:sz="0" w:space="0" w:color="auto"/>
                <w:right w:val="none" w:sz="0" w:space="0" w:color="auto"/>
              </w:divBdr>
            </w:div>
          </w:divsChild>
        </w:div>
        <w:div w:id="1270819991">
          <w:marLeft w:val="0"/>
          <w:marRight w:val="0"/>
          <w:marTop w:val="0"/>
          <w:marBottom w:val="0"/>
          <w:divBdr>
            <w:top w:val="none" w:sz="0" w:space="0" w:color="auto"/>
            <w:left w:val="none" w:sz="0" w:space="0" w:color="auto"/>
            <w:bottom w:val="none" w:sz="0" w:space="0" w:color="auto"/>
            <w:right w:val="none" w:sz="0" w:space="0" w:color="auto"/>
          </w:divBdr>
          <w:divsChild>
            <w:div w:id="539515128">
              <w:marLeft w:val="0"/>
              <w:marRight w:val="0"/>
              <w:marTop w:val="0"/>
              <w:marBottom w:val="0"/>
              <w:divBdr>
                <w:top w:val="none" w:sz="0" w:space="0" w:color="auto"/>
                <w:left w:val="none" w:sz="0" w:space="0" w:color="auto"/>
                <w:bottom w:val="none" w:sz="0" w:space="0" w:color="auto"/>
                <w:right w:val="none" w:sz="0" w:space="0" w:color="auto"/>
              </w:divBdr>
            </w:div>
          </w:divsChild>
        </w:div>
        <w:div w:id="1271670781">
          <w:marLeft w:val="0"/>
          <w:marRight w:val="0"/>
          <w:marTop w:val="0"/>
          <w:marBottom w:val="0"/>
          <w:divBdr>
            <w:top w:val="none" w:sz="0" w:space="0" w:color="auto"/>
            <w:left w:val="none" w:sz="0" w:space="0" w:color="auto"/>
            <w:bottom w:val="none" w:sz="0" w:space="0" w:color="auto"/>
            <w:right w:val="none" w:sz="0" w:space="0" w:color="auto"/>
          </w:divBdr>
          <w:divsChild>
            <w:div w:id="1681009432">
              <w:marLeft w:val="0"/>
              <w:marRight w:val="0"/>
              <w:marTop w:val="0"/>
              <w:marBottom w:val="0"/>
              <w:divBdr>
                <w:top w:val="none" w:sz="0" w:space="0" w:color="auto"/>
                <w:left w:val="none" w:sz="0" w:space="0" w:color="auto"/>
                <w:bottom w:val="none" w:sz="0" w:space="0" w:color="auto"/>
                <w:right w:val="none" w:sz="0" w:space="0" w:color="auto"/>
              </w:divBdr>
            </w:div>
          </w:divsChild>
        </w:div>
        <w:div w:id="1274826464">
          <w:marLeft w:val="0"/>
          <w:marRight w:val="0"/>
          <w:marTop w:val="0"/>
          <w:marBottom w:val="0"/>
          <w:divBdr>
            <w:top w:val="none" w:sz="0" w:space="0" w:color="auto"/>
            <w:left w:val="none" w:sz="0" w:space="0" w:color="auto"/>
            <w:bottom w:val="none" w:sz="0" w:space="0" w:color="auto"/>
            <w:right w:val="none" w:sz="0" w:space="0" w:color="auto"/>
          </w:divBdr>
          <w:divsChild>
            <w:div w:id="883836421">
              <w:marLeft w:val="0"/>
              <w:marRight w:val="0"/>
              <w:marTop w:val="0"/>
              <w:marBottom w:val="0"/>
              <w:divBdr>
                <w:top w:val="none" w:sz="0" w:space="0" w:color="auto"/>
                <w:left w:val="none" w:sz="0" w:space="0" w:color="auto"/>
                <w:bottom w:val="none" w:sz="0" w:space="0" w:color="auto"/>
                <w:right w:val="none" w:sz="0" w:space="0" w:color="auto"/>
              </w:divBdr>
            </w:div>
          </w:divsChild>
        </w:div>
        <w:div w:id="1276139538">
          <w:marLeft w:val="0"/>
          <w:marRight w:val="0"/>
          <w:marTop w:val="0"/>
          <w:marBottom w:val="0"/>
          <w:divBdr>
            <w:top w:val="none" w:sz="0" w:space="0" w:color="auto"/>
            <w:left w:val="none" w:sz="0" w:space="0" w:color="auto"/>
            <w:bottom w:val="none" w:sz="0" w:space="0" w:color="auto"/>
            <w:right w:val="none" w:sz="0" w:space="0" w:color="auto"/>
          </w:divBdr>
          <w:divsChild>
            <w:div w:id="1595892268">
              <w:marLeft w:val="0"/>
              <w:marRight w:val="0"/>
              <w:marTop w:val="0"/>
              <w:marBottom w:val="0"/>
              <w:divBdr>
                <w:top w:val="none" w:sz="0" w:space="0" w:color="auto"/>
                <w:left w:val="none" w:sz="0" w:space="0" w:color="auto"/>
                <w:bottom w:val="none" w:sz="0" w:space="0" w:color="auto"/>
                <w:right w:val="none" w:sz="0" w:space="0" w:color="auto"/>
              </w:divBdr>
            </w:div>
          </w:divsChild>
        </w:div>
        <w:div w:id="1297640092">
          <w:marLeft w:val="0"/>
          <w:marRight w:val="0"/>
          <w:marTop w:val="0"/>
          <w:marBottom w:val="0"/>
          <w:divBdr>
            <w:top w:val="none" w:sz="0" w:space="0" w:color="auto"/>
            <w:left w:val="none" w:sz="0" w:space="0" w:color="auto"/>
            <w:bottom w:val="none" w:sz="0" w:space="0" w:color="auto"/>
            <w:right w:val="none" w:sz="0" w:space="0" w:color="auto"/>
          </w:divBdr>
          <w:divsChild>
            <w:div w:id="1484080829">
              <w:marLeft w:val="0"/>
              <w:marRight w:val="0"/>
              <w:marTop w:val="0"/>
              <w:marBottom w:val="0"/>
              <w:divBdr>
                <w:top w:val="none" w:sz="0" w:space="0" w:color="auto"/>
                <w:left w:val="none" w:sz="0" w:space="0" w:color="auto"/>
                <w:bottom w:val="none" w:sz="0" w:space="0" w:color="auto"/>
                <w:right w:val="none" w:sz="0" w:space="0" w:color="auto"/>
              </w:divBdr>
            </w:div>
          </w:divsChild>
        </w:div>
        <w:div w:id="1328286300">
          <w:marLeft w:val="0"/>
          <w:marRight w:val="0"/>
          <w:marTop w:val="0"/>
          <w:marBottom w:val="0"/>
          <w:divBdr>
            <w:top w:val="none" w:sz="0" w:space="0" w:color="auto"/>
            <w:left w:val="none" w:sz="0" w:space="0" w:color="auto"/>
            <w:bottom w:val="none" w:sz="0" w:space="0" w:color="auto"/>
            <w:right w:val="none" w:sz="0" w:space="0" w:color="auto"/>
          </w:divBdr>
          <w:divsChild>
            <w:div w:id="1472478384">
              <w:marLeft w:val="0"/>
              <w:marRight w:val="0"/>
              <w:marTop w:val="0"/>
              <w:marBottom w:val="0"/>
              <w:divBdr>
                <w:top w:val="none" w:sz="0" w:space="0" w:color="auto"/>
                <w:left w:val="none" w:sz="0" w:space="0" w:color="auto"/>
                <w:bottom w:val="none" w:sz="0" w:space="0" w:color="auto"/>
                <w:right w:val="none" w:sz="0" w:space="0" w:color="auto"/>
              </w:divBdr>
            </w:div>
          </w:divsChild>
        </w:div>
        <w:div w:id="1333486456">
          <w:marLeft w:val="0"/>
          <w:marRight w:val="0"/>
          <w:marTop w:val="0"/>
          <w:marBottom w:val="0"/>
          <w:divBdr>
            <w:top w:val="none" w:sz="0" w:space="0" w:color="auto"/>
            <w:left w:val="none" w:sz="0" w:space="0" w:color="auto"/>
            <w:bottom w:val="none" w:sz="0" w:space="0" w:color="auto"/>
            <w:right w:val="none" w:sz="0" w:space="0" w:color="auto"/>
          </w:divBdr>
          <w:divsChild>
            <w:div w:id="432944150">
              <w:marLeft w:val="0"/>
              <w:marRight w:val="0"/>
              <w:marTop w:val="0"/>
              <w:marBottom w:val="0"/>
              <w:divBdr>
                <w:top w:val="none" w:sz="0" w:space="0" w:color="auto"/>
                <w:left w:val="none" w:sz="0" w:space="0" w:color="auto"/>
                <w:bottom w:val="none" w:sz="0" w:space="0" w:color="auto"/>
                <w:right w:val="none" w:sz="0" w:space="0" w:color="auto"/>
              </w:divBdr>
            </w:div>
          </w:divsChild>
        </w:div>
        <w:div w:id="1338073150">
          <w:marLeft w:val="0"/>
          <w:marRight w:val="0"/>
          <w:marTop w:val="0"/>
          <w:marBottom w:val="0"/>
          <w:divBdr>
            <w:top w:val="none" w:sz="0" w:space="0" w:color="auto"/>
            <w:left w:val="none" w:sz="0" w:space="0" w:color="auto"/>
            <w:bottom w:val="none" w:sz="0" w:space="0" w:color="auto"/>
            <w:right w:val="none" w:sz="0" w:space="0" w:color="auto"/>
          </w:divBdr>
          <w:divsChild>
            <w:div w:id="1113863687">
              <w:marLeft w:val="0"/>
              <w:marRight w:val="0"/>
              <w:marTop w:val="0"/>
              <w:marBottom w:val="0"/>
              <w:divBdr>
                <w:top w:val="none" w:sz="0" w:space="0" w:color="auto"/>
                <w:left w:val="none" w:sz="0" w:space="0" w:color="auto"/>
                <w:bottom w:val="none" w:sz="0" w:space="0" w:color="auto"/>
                <w:right w:val="none" w:sz="0" w:space="0" w:color="auto"/>
              </w:divBdr>
            </w:div>
          </w:divsChild>
        </w:div>
        <w:div w:id="1339961267">
          <w:marLeft w:val="0"/>
          <w:marRight w:val="0"/>
          <w:marTop w:val="0"/>
          <w:marBottom w:val="0"/>
          <w:divBdr>
            <w:top w:val="none" w:sz="0" w:space="0" w:color="auto"/>
            <w:left w:val="none" w:sz="0" w:space="0" w:color="auto"/>
            <w:bottom w:val="none" w:sz="0" w:space="0" w:color="auto"/>
            <w:right w:val="none" w:sz="0" w:space="0" w:color="auto"/>
          </w:divBdr>
          <w:divsChild>
            <w:div w:id="428811786">
              <w:marLeft w:val="0"/>
              <w:marRight w:val="0"/>
              <w:marTop w:val="0"/>
              <w:marBottom w:val="0"/>
              <w:divBdr>
                <w:top w:val="none" w:sz="0" w:space="0" w:color="auto"/>
                <w:left w:val="none" w:sz="0" w:space="0" w:color="auto"/>
                <w:bottom w:val="none" w:sz="0" w:space="0" w:color="auto"/>
                <w:right w:val="none" w:sz="0" w:space="0" w:color="auto"/>
              </w:divBdr>
            </w:div>
          </w:divsChild>
        </w:div>
        <w:div w:id="1348681008">
          <w:marLeft w:val="0"/>
          <w:marRight w:val="0"/>
          <w:marTop w:val="0"/>
          <w:marBottom w:val="0"/>
          <w:divBdr>
            <w:top w:val="none" w:sz="0" w:space="0" w:color="auto"/>
            <w:left w:val="none" w:sz="0" w:space="0" w:color="auto"/>
            <w:bottom w:val="none" w:sz="0" w:space="0" w:color="auto"/>
            <w:right w:val="none" w:sz="0" w:space="0" w:color="auto"/>
          </w:divBdr>
          <w:divsChild>
            <w:div w:id="1428622362">
              <w:marLeft w:val="0"/>
              <w:marRight w:val="0"/>
              <w:marTop w:val="0"/>
              <w:marBottom w:val="0"/>
              <w:divBdr>
                <w:top w:val="none" w:sz="0" w:space="0" w:color="auto"/>
                <w:left w:val="none" w:sz="0" w:space="0" w:color="auto"/>
                <w:bottom w:val="none" w:sz="0" w:space="0" w:color="auto"/>
                <w:right w:val="none" w:sz="0" w:space="0" w:color="auto"/>
              </w:divBdr>
            </w:div>
          </w:divsChild>
        </w:div>
        <w:div w:id="1361131253">
          <w:marLeft w:val="0"/>
          <w:marRight w:val="0"/>
          <w:marTop w:val="0"/>
          <w:marBottom w:val="0"/>
          <w:divBdr>
            <w:top w:val="none" w:sz="0" w:space="0" w:color="auto"/>
            <w:left w:val="none" w:sz="0" w:space="0" w:color="auto"/>
            <w:bottom w:val="none" w:sz="0" w:space="0" w:color="auto"/>
            <w:right w:val="none" w:sz="0" w:space="0" w:color="auto"/>
          </w:divBdr>
          <w:divsChild>
            <w:div w:id="1964537456">
              <w:marLeft w:val="0"/>
              <w:marRight w:val="0"/>
              <w:marTop w:val="0"/>
              <w:marBottom w:val="0"/>
              <w:divBdr>
                <w:top w:val="none" w:sz="0" w:space="0" w:color="auto"/>
                <w:left w:val="none" w:sz="0" w:space="0" w:color="auto"/>
                <w:bottom w:val="none" w:sz="0" w:space="0" w:color="auto"/>
                <w:right w:val="none" w:sz="0" w:space="0" w:color="auto"/>
              </w:divBdr>
            </w:div>
          </w:divsChild>
        </w:div>
        <w:div w:id="1368749636">
          <w:marLeft w:val="0"/>
          <w:marRight w:val="0"/>
          <w:marTop w:val="0"/>
          <w:marBottom w:val="0"/>
          <w:divBdr>
            <w:top w:val="none" w:sz="0" w:space="0" w:color="auto"/>
            <w:left w:val="none" w:sz="0" w:space="0" w:color="auto"/>
            <w:bottom w:val="none" w:sz="0" w:space="0" w:color="auto"/>
            <w:right w:val="none" w:sz="0" w:space="0" w:color="auto"/>
          </w:divBdr>
          <w:divsChild>
            <w:div w:id="1061633878">
              <w:marLeft w:val="0"/>
              <w:marRight w:val="0"/>
              <w:marTop w:val="0"/>
              <w:marBottom w:val="0"/>
              <w:divBdr>
                <w:top w:val="none" w:sz="0" w:space="0" w:color="auto"/>
                <w:left w:val="none" w:sz="0" w:space="0" w:color="auto"/>
                <w:bottom w:val="none" w:sz="0" w:space="0" w:color="auto"/>
                <w:right w:val="none" w:sz="0" w:space="0" w:color="auto"/>
              </w:divBdr>
            </w:div>
          </w:divsChild>
        </w:div>
        <w:div w:id="1387533653">
          <w:marLeft w:val="0"/>
          <w:marRight w:val="0"/>
          <w:marTop w:val="0"/>
          <w:marBottom w:val="0"/>
          <w:divBdr>
            <w:top w:val="none" w:sz="0" w:space="0" w:color="auto"/>
            <w:left w:val="none" w:sz="0" w:space="0" w:color="auto"/>
            <w:bottom w:val="none" w:sz="0" w:space="0" w:color="auto"/>
            <w:right w:val="none" w:sz="0" w:space="0" w:color="auto"/>
          </w:divBdr>
          <w:divsChild>
            <w:div w:id="243103808">
              <w:marLeft w:val="0"/>
              <w:marRight w:val="0"/>
              <w:marTop w:val="0"/>
              <w:marBottom w:val="0"/>
              <w:divBdr>
                <w:top w:val="none" w:sz="0" w:space="0" w:color="auto"/>
                <w:left w:val="none" w:sz="0" w:space="0" w:color="auto"/>
                <w:bottom w:val="none" w:sz="0" w:space="0" w:color="auto"/>
                <w:right w:val="none" w:sz="0" w:space="0" w:color="auto"/>
              </w:divBdr>
            </w:div>
          </w:divsChild>
        </w:div>
        <w:div w:id="1394113006">
          <w:marLeft w:val="0"/>
          <w:marRight w:val="0"/>
          <w:marTop w:val="0"/>
          <w:marBottom w:val="0"/>
          <w:divBdr>
            <w:top w:val="none" w:sz="0" w:space="0" w:color="auto"/>
            <w:left w:val="none" w:sz="0" w:space="0" w:color="auto"/>
            <w:bottom w:val="none" w:sz="0" w:space="0" w:color="auto"/>
            <w:right w:val="none" w:sz="0" w:space="0" w:color="auto"/>
          </w:divBdr>
          <w:divsChild>
            <w:div w:id="1771587768">
              <w:marLeft w:val="0"/>
              <w:marRight w:val="0"/>
              <w:marTop w:val="0"/>
              <w:marBottom w:val="0"/>
              <w:divBdr>
                <w:top w:val="none" w:sz="0" w:space="0" w:color="auto"/>
                <w:left w:val="none" w:sz="0" w:space="0" w:color="auto"/>
                <w:bottom w:val="none" w:sz="0" w:space="0" w:color="auto"/>
                <w:right w:val="none" w:sz="0" w:space="0" w:color="auto"/>
              </w:divBdr>
            </w:div>
          </w:divsChild>
        </w:div>
        <w:div w:id="1397822189">
          <w:marLeft w:val="0"/>
          <w:marRight w:val="0"/>
          <w:marTop w:val="0"/>
          <w:marBottom w:val="0"/>
          <w:divBdr>
            <w:top w:val="none" w:sz="0" w:space="0" w:color="auto"/>
            <w:left w:val="none" w:sz="0" w:space="0" w:color="auto"/>
            <w:bottom w:val="none" w:sz="0" w:space="0" w:color="auto"/>
            <w:right w:val="none" w:sz="0" w:space="0" w:color="auto"/>
          </w:divBdr>
          <w:divsChild>
            <w:div w:id="1566603755">
              <w:marLeft w:val="0"/>
              <w:marRight w:val="0"/>
              <w:marTop w:val="0"/>
              <w:marBottom w:val="0"/>
              <w:divBdr>
                <w:top w:val="none" w:sz="0" w:space="0" w:color="auto"/>
                <w:left w:val="none" w:sz="0" w:space="0" w:color="auto"/>
                <w:bottom w:val="none" w:sz="0" w:space="0" w:color="auto"/>
                <w:right w:val="none" w:sz="0" w:space="0" w:color="auto"/>
              </w:divBdr>
            </w:div>
          </w:divsChild>
        </w:div>
        <w:div w:id="1399591258">
          <w:marLeft w:val="0"/>
          <w:marRight w:val="0"/>
          <w:marTop w:val="0"/>
          <w:marBottom w:val="0"/>
          <w:divBdr>
            <w:top w:val="none" w:sz="0" w:space="0" w:color="auto"/>
            <w:left w:val="none" w:sz="0" w:space="0" w:color="auto"/>
            <w:bottom w:val="none" w:sz="0" w:space="0" w:color="auto"/>
            <w:right w:val="none" w:sz="0" w:space="0" w:color="auto"/>
          </w:divBdr>
          <w:divsChild>
            <w:div w:id="76364836">
              <w:marLeft w:val="0"/>
              <w:marRight w:val="0"/>
              <w:marTop w:val="0"/>
              <w:marBottom w:val="0"/>
              <w:divBdr>
                <w:top w:val="none" w:sz="0" w:space="0" w:color="auto"/>
                <w:left w:val="none" w:sz="0" w:space="0" w:color="auto"/>
                <w:bottom w:val="none" w:sz="0" w:space="0" w:color="auto"/>
                <w:right w:val="none" w:sz="0" w:space="0" w:color="auto"/>
              </w:divBdr>
            </w:div>
          </w:divsChild>
        </w:div>
        <w:div w:id="1429043132">
          <w:marLeft w:val="0"/>
          <w:marRight w:val="0"/>
          <w:marTop w:val="0"/>
          <w:marBottom w:val="0"/>
          <w:divBdr>
            <w:top w:val="none" w:sz="0" w:space="0" w:color="auto"/>
            <w:left w:val="none" w:sz="0" w:space="0" w:color="auto"/>
            <w:bottom w:val="none" w:sz="0" w:space="0" w:color="auto"/>
            <w:right w:val="none" w:sz="0" w:space="0" w:color="auto"/>
          </w:divBdr>
          <w:divsChild>
            <w:div w:id="220866011">
              <w:marLeft w:val="0"/>
              <w:marRight w:val="0"/>
              <w:marTop w:val="0"/>
              <w:marBottom w:val="0"/>
              <w:divBdr>
                <w:top w:val="none" w:sz="0" w:space="0" w:color="auto"/>
                <w:left w:val="none" w:sz="0" w:space="0" w:color="auto"/>
                <w:bottom w:val="none" w:sz="0" w:space="0" w:color="auto"/>
                <w:right w:val="none" w:sz="0" w:space="0" w:color="auto"/>
              </w:divBdr>
            </w:div>
          </w:divsChild>
        </w:div>
        <w:div w:id="1429930849">
          <w:marLeft w:val="0"/>
          <w:marRight w:val="0"/>
          <w:marTop w:val="0"/>
          <w:marBottom w:val="0"/>
          <w:divBdr>
            <w:top w:val="none" w:sz="0" w:space="0" w:color="auto"/>
            <w:left w:val="none" w:sz="0" w:space="0" w:color="auto"/>
            <w:bottom w:val="none" w:sz="0" w:space="0" w:color="auto"/>
            <w:right w:val="none" w:sz="0" w:space="0" w:color="auto"/>
          </w:divBdr>
          <w:divsChild>
            <w:div w:id="1433818684">
              <w:marLeft w:val="0"/>
              <w:marRight w:val="0"/>
              <w:marTop w:val="0"/>
              <w:marBottom w:val="0"/>
              <w:divBdr>
                <w:top w:val="none" w:sz="0" w:space="0" w:color="auto"/>
                <w:left w:val="none" w:sz="0" w:space="0" w:color="auto"/>
                <w:bottom w:val="none" w:sz="0" w:space="0" w:color="auto"/>
                <w:right w:val="none" w:sz="0" w:space="0" w:color="auto"/>
              </w:divBdr>
            </w:div>
          </w:divsChild>
        </w:div>
        <w:div w:id="1433162026">
          <w:marLeft w:val="0"/>
          <w:marRight w:val="0"/>
          <w:marTop w:val="0"/>
          <w:marBottom w:val="0"/>
          <w:divBdr>
            <w:top w:val="none" w:sz="0" w:space="0" w:color="auto"/>
            <w:left w:val="none" w:sz="0" w:space="0" w:color="auto"/>
            <w:bottom w:val="none" w:sz="0" w:space="0" w:color="auto"/>
            <w:right w:val="none" w:sz="0" w:space="0" w:color="auto"/>
          </w:divBdr>
          <w:divsChild>
            <w:div w:id="522943846">
              <w:marLeft w:val="0"/>
              <w:marRight w:val="0"/>
              <w:marTop w:val="0"/>
              <w:marBottom w:val="0"/>
              <w:divBdr>
                <w:top w:val="none" w:sz="0" w:space="0" w:color="auto"/>
                <w:left w:val="none" w:sz="0" w:space="0" w:color="auto"/>
                <w:bottom w:val="none" w:sz="0" w:space="0" w:color="auto"/>
                <w:right w:val="none" w:sz="0" w:space="0" w:color="auto"/>
              </w:divBdr>
            </w:div>
          </w:divsChild>
        </w:div>
        <w:div w:id="1434668581">
          <w:marLeft w:val="0"/>
          <w:marRight w:val="0"/>
          <w:marTop w:val="0"/>
          <w:marBottom w:val="0"/>
          <w:divBdr>
            <w:top w:val="none" w:sz="0" w:space="0" w:color="auto"/>
            <w:left w:val="none" w:sz="0" w:space="0" w:color="auto"/>
            <w:bottom w:val="none" w:sz="0" w:space="0" w:color="auto"/>
            <w:right w:val="none" w:sz="0" w:space="0" w:color="auto"/>
          </w:divBdr>
          <w:divsChild>
            <w:div w:id="1075392467">
              <w:marLeft w:val="0"/>
              <w:marRight w:val="0"/>
              <w:marTop w:val="0"/>
              <w:marBottom w:val="0"/>
              <w:divBdr>
                <w:top w:val="none" w:sz="0" w:space="0" w:color="auto"/>
                <w:left w:val="none" w:sz="0" w:space="0" w:color="auto"/>
                <w:bottom w:val="none" w:sz="0" w:space="0" w:color="auto"/>
                <w:right w:val="none" w:sz="0" w:space="0" w:color="auto"/>
              </w:divBdr>
            </w:div>
          </w:divsChild>
        </w:div>
        <w:div w:id="1436439384">
          <w:marLeft w:val="0"/>
          <w:marRight w:val="0"/>
          <w:marTop w:val="0"/>
          <w:marBottom w:val="0"/>
          <w:divBdr>
            <w:top w:val="none" w:sz="0" w:space="0" w:color="auto"/>
            <w:left w:val="none" w:sz="0" w:space="0" w:color="auto"/>
            <w:bottom w:val="none" w:sz="0" w:space="0" w:color="auto"/>
            <w:right w:val="none" w:sz="0" w:space="0" w:color="auto"/>
          </w:divBdr>
          <w:divsChild>
            <w:div w:id="1808277518">
              <w:marLeft w:val="0"/>
              <w:marRight w:val="0"/>
              <w:marTop w:val="0"/>
              <w:marBottom w:val="0"/>
              <w:divBdr>
                <w:top w:val="none" w:sz="0" w:space="0" w:color="auto"/>
                <w:left w:val="none" w:sz="0" w:space="0" w:color="auto"/>
                <w:bottom w:val="none" w:sz="0" w:space="0" w:color="auto"/>
                <w:right w:val="none" w:sz="0" w:space="0" w:color="auto"/>
              </w:divBdr>
            </w:div>
          </w:divsChild>
        </w:div>
        <w:div w:id="1438480154">
          <w:marLeft w:val="0"/>
          <w:marRight w:val="0"/>
          <w:marTop w:val="0"/>
          <w:marBottom w:val="0"/>
          <w:divBdr>
            <w:top w:val="none" w:sz="0" w:space="0" w:color="auto"/>
            <w:left w:val="none" w:sz="0" w:space="0" w:color="auto"/>
            <w:bottom w:val="none" w:sz="0" w:space="0" w:color="auto"/>
            <w:right w:val="none" w:sz="0" w:space="0" w:color="auto"/>
          </w:divBdr>
          <w:divsChild>
            <w:div w:id="992105950">
              <w:marLeft w:val="0"/>
              <w:marRight w:val="0"/>
              <w:marTop w:val="0"/>
              <w:marBottom w:val="0"/>
              <w:divBdr>
                <w:top w:val="none" w:sz="0" w:space="0" w:color="auto"/>
                <w:left w:val="none" w:sz="0" w:space="0" w:color="auto"/>
                <w:bottom w:val="none" w:sz="0" w:space="0" w:color="auto"/>
                <w:right w:val="none" w:sz="0" w:space="0" w:color="auto"/>
              </w:divBdr>
            </w:div>
          </w:divsChild>
        </w:div>
        <w:div w:id="1452016492">
          <w:marLeft w:val="0"/>
          <w:marRight w:val="0"/>
          <w:marTop w:val="0"/>
          <w:marBottom w:val="0"/>
          <w:divBdr>
            <w:top w:val="none" w:sz="0" w:space="0" w:color="auto"/>
            <w:left w:val="none" w:sz="0" w:space="0" w:color="auto"/>
            <w:bottom w:val="none" w:sz="0" w:space="0" w:color="auto"/>
            <w:right w:val="none" w:sz="0" w:space="0" w:color="auto"/>
          </w:divBdr>
          <w:divsChild>
            <w:div w:id="1826433980">
              <w:marLeft w:val="0"/>
              <w:marRight w:val="0"/>
              <w:marTop w:val="0"/>
              <w:marBottom w:val="0"/>
              <w:divBdr>
                <w:top w:val="none" w:sz="0" w:space="0" w:color="auto"/>
                <w:left w:val="none" w:sz="0" w:space="0" w:color="auto"/>
                <w:bottom w:val="none" w:sz="0" w:space="0" w:color="auto"/>
                <w:right w:val="none" w:sz="0" w:space="0" w:color="auto"/>
              </w:divBdr>
            </w:div>
          </w:divsChild>
        </w:div>
        <w:div w:id="1467623948">
          <w:marLeft w:val="0"/>
          <w:marRight w:val="0"/>
          <w:marTop w:val="0"/>
          <w:marBottom w:val="0"/>
          <w:divBdr>
            <w:top w:val="none" w:sz="0" w:space="0" w:color="auto"/>
            <w:left w:val="none" w:sz="0" w:space="0" w:color="auto"/>
            <w:bottom w:val="none" w:sz="0" w:space="0" w:color="auto"/>
            <w:right w:val="none" w:sz="0" w:space="0" w:color="auto"/>
          </w:divBdr>
          <w:divsChild>
            <w:div w:id="132916319">
              <w:marLeft w:val="0"/>
              <w:marRight w:val="0"/>
              <w:marTop w:val="0"/>
              <w:marBottom w:val="0"/>
              <w:divBdr>
                <w:top w:val="none" w:sz="0" w:space="0" w:color="auto"/>
                <w:left w:val="none" w:sz="0" w:space="0" w:color="auto"/>
                <w:bottom w:val="none" w:sz="0" w:space="0" w:color="auto"/>
                <w:right w:val="none" w:sz="0" w:space="0" w:color="auto"/>
              </w:divBdr>
            </w:div>
          </w:divsChild>
        </w:div>
        <w:div w:id="1472089395">
          <w:marLeft w:val="0"/>
          <w:marRight w:val="0"/>
          <w:marTop w:val="0"/>
          <w:marBottom w:val="0"/>
          <w:divBdr>
            <w:top w:val="none" w:sz="0" w:space="0" w:color="auto"/>
            <w:left w:val="none" w:sz="0" w:space="0" w:color="auto"/>
            <w:bottom w:val="none" w:sz="0" w:space="0" w:color="auto"/>
            <w:right w:val="none" w:sz="0" w:space="0" w:color="auto"/>
          </w:divBdr>
          <w:divsChild>
            <w:div w:id="683481686">
              <w:marLeft w:val="0"/>
              <w:marRight w:val="0"/>
              <w:marTop w:val="0"/>
              <w:marBottom w:val="0"/>
              <w:divBdr>
                <w:top w:val="none" w:sz="0" w:space="0" w:color="auto"/>
                <w:left w:val="none" w:sz="0" w:space="0" w:color="auto"/>
                <w:bottom w:val="none" w:sz="0" w:space="0" w:color="auto"/>
                <w:right w:val="none" w:sz="0" w:space="0" w:color="auto"/>
              </w:divBdr>
            </w:div>
          </w:divsChild>
        </w:div>
        <w:div w:id="1473790917">
          <w:marLeft w:val="0"/>
          <w:marRight w:val="0"/>
          <w:marTop w:val="0"/>
          <w:marBottom w:val="0"/>
          <w:divBdr>
            <w:top w:val="none" w:sz="0" w:space="0" w:color="auto"/>
            <w:left w:val="none" w:sz="0" w:space="0" w:color="auto"/>
            <w:bottom w:val="none" w:sz="0" w:space="0" w:color="auto"/>
            <w:right w:val="none" w:sz="0" w:space="0" w:color="auto"/>
          </w:divBdr>
          <w:divsChild>
            <w:div w:id="381489766">
              <w:marLeft w:val="0"/>
              <w:marRight w:val="0"/>
              <w:marTop w:val="0"/>
              <w:marBottom w:val="0"/>
              <w:divBdr>
                <w:top w:val="none" w:sz="0" w:space="0" w:color="auto"/>
                <w:left w:val="none" w:sz="0" w:space="0" w:color="auto"/>
                <w:bottom w:val="none" w:sz="0" w:space="0" w:color="auto"/>
                <w:right w:val="none" w:sz="0" w:space="0" w:color="auto"/>
              </w:divBdr>
            </w:div>
          </w:divsChild>
        </w:div>
        <w:div w:id="1478645292">
          <w:marLeft w:val="0"/>
          <w:marRight w:val="0"/>
          <w:marTop w:val="0"/>
          <w:marBottom w:val="0"/>
          <w:divBdr>
            <w:top w:val="none" w:sz="0" w:space="0" w:color="auto"/>
            <w:left w:val="none" w:sz="0" w:space="0" w:color="auto"/>
            <w:bottom w:val="none" w:sz="0" w:space="0" w:color="auto"/>
            <w:right w:val="none" w:sz="0" w:space="0" w:color="auto"/>
          </w:divBdr>
          <w:divsChild>
            <w:div w:id="113524449">
              <w:marLeft w:val="0"/>
              <w:marRight w:val="0"/>
              <w:marTop w:val="0"/>
              <w:marBottom w:val="0"/>
              <w:divBdr>
                <w:top w:val="none" w:sz="0" w:space="0" w:color="auto"/>
                <w:left w:val="none" w:sz="0" w:space="0" w:color="auto"/>
                <w:bottom w:val="none" w:sz="0" w:space="0" w:color="auto"/>
                <w:right w:val="none" w:sz="0" w:space="0" w:color="auto"/>
              </w:divBdr>
            </w:div>
          </w:divsChild>
        </w:div>
        <w:div w:id="1487281498">
          <w:marLeft w:val="0"/>
          <w:marRight w:val="0"/>
          <w:marTop w:val="0"/>
          <w:marBottom w:val="0"/>
          <w:divBdr>
            <w:top w:val="none" w:sz="0" w:space="0" w:color="auto"/>
            <w:left w:val="none" w:sz="0" w:space="0" w:color="auto"/>
            <w:bottom w:val="none" w:sz="0" w:space="0" w:color="auto"/>
            <w:right w:val="none" w:sz="0" w:space="0" w:color="auto"/>
          </w:divBdr>
          <w:divsChild>
            <w:div w:id="796724180">
              <w:marLeft w:val="0"/>
              <w:marRight w:val="0"/>
              <w:marTop w:val="0"/>
              <w:marBottom w:val="0"/>
              <w:divBdr>
                <w:top w:val="none" w:sz="0" w:space="0" w:color="auto"/>
                <w:left w:val="none" w:sz="0" w:space="0" w:color="auto"/>
                <w:bottom w:val="none" w:sz="0" w:space="0" w:color="auto"/>
                <w:right w:val="none" w:sz="0" w:space="0" w:color="auto"/>
              </w:divBdr>
            </w:div>
          </w:divsChild>
        </w:div>
        <w:div w:id="1490291216">
          <w:marLeft w:val="0"/>
          <w:marRight w:val="0"/>
          <w:marTop w:val="0"/>
          <w:marBottom w:val="0"/>
          <w:divBdr>
            <w:top w:val="none" w:sz="0" w:space="0" w:color="auto"/>
            <w:left w:val="none" w:sz="0" w:space="0" w:color="auto"/>
            <w:bottom w:val="none" w:sz="0" w:space="0" w:color="auto"/>
            <w:right w:val="none" w:sz="0" w:space="0" w:color="auto"/>
          </w:divBdr>
          <w:divsChild>
            <w:div w:id="1112166074">
              <w:marLeft w:val="0"/>
              <w:marRight w:val="0"/>
              <w:marTop w:val="0"/>
              <w:marBottom w:val="0"/>
              <w:divBdr>
                <w:top w:val="none" w:sz="0" w:space="0" w:color="auto"/>
                <w:left w:val="none" w:sz="0" w:space="0" w:color="auto"/>
                <w:bottom w:val="none" w:sz="0" w:space="0" w:color="auto"/>
                <w:right w:val="none" w:sz="0" w:space="0" w:color="auto"/>
              </w:divBdr>
            </w:div>
          </w:divsChild>
        </w:div>
        <w:div w:id="1508134192">
          <w:marLeft w:val="0"/>
          <w:marRight w:val="0"/>
          <w:marTop w:val="0"/>
          <w:marBottom w:val="0"/>
          <w:divBdr>
            <w:top w:val="none" w:sz="0" w:space="0" w:color="auto"/>
            <w:left w:val="none" w:sz="0" w:space="0" w:color="auto"/>
            <w:bottom w:val="none" w:sz="0" w:space="0" w:color="auto"/>
            <w:right w:val="none" w:sz="0" w:space="0" w:color="auto"/>
          </w:divBdr>
          <w:divsChild>
            <w:div w:id="949630955">
              <w:marLeft w:val="0"/>
              <w:marRight w:val="0"/>
              <w:marTop w:val="0"/>
              <w:marBottom w:val="0"/>
              <w:divBdr>
                <w:top w:val="none" w:sz="0" w:space="0" w:color="auto"/>
                <w:left w:val="none" w:sz="0" w:space="0" w:color="auto"/>
                <w:bottom w:val="none" w:sz="0" w:space="0" w:color="auto"/>
                <w:right w:val="none" w:sz="0" w:space="0" w:color="auto"/>
              </w:divBdr>
            </w:div>
          </w:divsChild>
        </w:div>
        <w:div w:id="1508442970">
          <w:marLeft w:val="0"/>
          <w:marRight w:val="0"/>
          <w:marTop w:val="0"/>
          <w:marBottom w:val="0"/>
          <w:divBdr>
            <w:top w:val="none" w:sz="0" w:space="0" w:color="auto"/>
            <w:left w:val="none" w:sz="0" w:space="0" w:color="auto"/>
            <w:bottom w:val="none" w:sz="0" w:space="0" w:color="auto"/>
            <w:right w:val="none" w:sz="0" w:space="0" w:color="auto"/>
          </w:divBdr>
          <w:divsChild>
            <w:div w:id="228031199">
              <w:marLeft w:val="0"/>
              <w:marRight w:val="0"/>
              <w:marTop w:val="0"/>
              <w:marBottom w:val="0"/>
              <w:divBdr>
                <w:top w:val="none" w:sz="0" w:space="0" w:color="auto"/>
                <w:left w:val="none" w:sz="0" w:space="0" w:color="auto"/>
                <w:bottom w:val="none" w:sz="0" w:space="0" w:color="auto"/>
                <w:right w:val="none" w:sz="0" w:space="0" w:color="auto"/>
              </w:divBdr>
            </w:div>
          </w:divsChild>
        </w:div>
        <w:div w:id="1509713377">
          <w:marLeft w:val="0"/>
          <w:marRight w:val="0"/>
          <w:marTop w:val="0"/>
          <w:marBottom w:val="0"/>
          <w:divBdr>
            <w:top w:val="none" w:sz="0" w:space="0" w:color="auto"/>
            <w:left w:val="none" w:sz="0" w:space="0" w:color="auto"/>
            <w:bottom w:val="none" w:sz="0" w:space="0" w:color="auto"/>
            <w:right w:val="none" w:sz="0" w:space="0" w:color="auto"/>
          </w:divBdr>
          <w:divsChild>
            <w:div w:id="1732652144">
              <w:marLeft w:val="0"/>
              <w:marRight w:val="0"/>
              <w:marTop w:val="0"/>
              <w:marBottom w:val="0"/>
              <w:divBdr>
                <w:top w:val="none" w:sz="0" w:space="0" w:color="auto"/>
                <w:left w:val="none" w:sz="0" w:space="0" w:color="auto"/>
                <w:bottom w:val="none" w:sz="0" w:space="0" w:color="auto"/>
                <w:right w:val="none" w:sz="0" w:space="0" w:color="auto"/>
              </w:divBdr>
            </w:div>
          </w:divsChild>
        </w:div>
        <w:div w:id="1509950041">
          <w:marLeft w:val="0"/>
          <w:marRight w:val="0"/>
          <w:marTop w:val="0"/>
          <w:marBottom w:val="0"/>
          <w:divBdr>
            <w:top w:val="none" w:sz="0" w:space="0" w:color="auto"/>
            <w:left w:val="none" w:sz="0" w:space="0" w:color="auto"/>
            <w:bottom w:val="none" w:sz="0" w:space="0" w:color="auto"/>
            <w:right w:val="none" w:sz="0" w:space="0" w:color="auto"/>
          </w:divBdr>
          <w:divsChild>
            <w:div w:id="727070236">
              <w:marLeft w:val="0"/>
              <w:marRight w:val="0"/>
              <w:marTop w:val="0"/>
              <w:marBottom w:val="0"/>
              <w:divBdr>
                <w:top w:val="none" w:sz="0" w:space="0" w:color="auto"/>
                <w:left w:val="none" w:sz="0" w:space="0" w:color="auto"/>
                <w:bottom w:val="none" w:sz="0" w:space="0" w:color="auto"/>
                <w:right w:val="none" w:sz="0" w:space="0" w:color="auto"/>
              </w:divBdr>
            </w:div>
          </w:divsChild>
        </w:div>
        <w:div w:id="1527014077">
          <w:marLeft w:val="0"/>
          <w:marRight w:val="0"/>
          <w:marTop w:val="0"/>
          <w:marBottom w:val="0"/>
          <w:divBdr>
            <w:top w:val="none" w:sz="0" w:space="0" w:color="auto"/>
            <w:left w:val="none" w:sz="0" w:space="0" w:color="auto"/>
            <w:bottom w:val="none" w:sz="0" w:space="0" w:color="auto"/>
            <w:right w:val="none" w:sz="0" w:space="0" w:color="auto"/>
          </w:divBdr>
          <w:divsChild>
            <w:div w:id="779227329">
              <w:marLeft w:val="0"/>
              <w:marRight w:val="0"/>
              <w:marTop w:val="0"/>
              <w:marBottom w:val="0"/>
              <w:divBdr>
                <w:top w:val="none" w:sz="0" w:space="0" w:color="auto"/>
                <w:left w:val="none" w:sz="0" w:space="0" w:color="auto"/>
                <w:bottom w:val="none" w:sz="0" w:space="0" w:color="auto"/>
                <w:right w:val="none" w:sz="0" w:space="0" w:color="auto"/>
              </w:divBdr>
            </w:div>
          </w:divsChild>
        </w:div>
        <w:div w:id="1562711998">
          <w:marLeft w:val="0"/>
          <w:marRight w:val="0"/>
          <w:marTop w:val="0"/>
          <w:marBottom w:val="0"/>
          <w:divBdr>
            <w:top w:val="none" w:sz="0" w:space="0" w:color="auto"/>
            <w:left w:val="none" w:sz="0" w:space="0" w:color="auto"/>
            <w:bottom w:val="none" w:sz="0" w:space="0" w:color="auto"/>
            <w:right w:val="none" w:sz="0" w:space="0" w:color="auto"/>
          </w:divBdr>
          <w:divsChild>
            <w:div w:id="1208949911">
              <w:marLeft w:val="0"/>
              <w:marRight w:val="0"/>
              <w:marTop w:val="0"/>
              <w:marBottom w:val="0"/>
              <w:divBdr>
                <w:top w:val="none" w:sz="0" w:space="0" w:color="auto"/>
                <w:left w:val="none" w:sz="0" w:space="0" w:color="auto"/>
                <w:bottom w:val="none" w:sz="0" w:space="0" w:color="auto"/>
                <w:right w:val="none" w:sz="0" w:space="0" w:color="auto"/>
              </w:divBdr>
            </w:div>
          </w:divsChild>
        </w:div>
        <w:div w:id="1567884388">
          <w:marLeft w:val="0"/>
          <w:marRight w:val="0"/>
          <w:marTop w:val="0"/>
          <w:marBottom w:val="0"/>
          <w:divBdr>
            <w:top w:val="none" w:sz="0" w:space="0" w:color="auto"/>
            <w:left w:val="none" w:sz="0" w:space="0" w:color="auto"/>
            <w:bottom w:val="none" w:sz="0" w:space="0" w:color="auto"/>
            <w:right w:val="none" w:sz="0" w:space="0" w:color="auto"/>
          </w:divBdr>
          <w:divsChild>
            <w:div w:id="1785225055">
              <w:marLeft w:val="0"/>
              <w:marRight w:val="0"/>
              <w:marTop w:val="0"/>
              <w:marBottom w:val="0"/>
              <w:divBdr>
                <w:top w:val="none" w:sz="0" w:space="0" w:color="auto"/>
                <w:left w:val="none" w:sz="0" w:space="0" w:color="auto"/>
                <w:bottom w:val="none" w:sz="0" w:space="0" w:color="auto"/>
                <w:right w:val="none" w:sz="0" w:space="0" w:color="auto"/>
              </w:divBdr>
            </w:div>
          </w:divsChild>
        </w:div>
        <w:div w:id="1575698291">
          <w:marLeft w:val="0"/>
          <w:marRight w:val="0"/>
          <w:marTop w:val="0"/>
          <w:marBottom w:val="0"/>
          <w:divBdr>
            <w:top w:val="none" w:sz="0" w:space="0" w:color="auto"/>
            <w:left w:val="none" w:sz="0" w:space="0" w:color="auto"/>
            <w:bottom w:val="none" w:sz="0" w:space="0" w:color="auto"/>
            <w:right w:val="none" w:sz="0" w:space="0" w:color="auto"/>
          </w:divBdr>
          <w:divsChild>
            <w:div w:id="2004621216">
              <w:marLeft w:val="0"/>
              <w:marRight w:val="0"/>
              <w:marTop w:val="0"/>
              <w:marBottom w:val="0"/>
              <w:divBdr>
                <w:top w:val="none" w:sz="0" w:space="0" w:color="auto"/>
                <w:left w:val="none" w:sz="0" w:space="0" w:color="auto"/>
                <w:bottom w:val="none" w:sz="0" w:space="0" w:color="auto"/>
                <w:right w:val="none" w:sz="0" w:space="0" w:color="auto"/>
              </w:divBdr>
            </w:div>
          </w:divsChild>
        </w:div>
        <w:div w:id="1592540094">
          <w:marLeft w:val="0"/>
          <w:marRight w:val="0"/>
          <w:marTop w:val="0"/>
          <w:marBottom w:val="0"/>
          <w:divBdr>
            <w:top w:val="none" w:sz="0" w:space="0" w:color="auto"/>
            <w:left w:val="none" w:sz="0" w:space="0" w:color="auto"/>
            <w:bottom w:val="none" w:sz="0" w:space="0" w:color="auto"/>
            <w:right w:val="none" w:sz="0" w:space="0" w:color="auto"/>
          </w:divBdr>
          <w:divsChild>
            <w:div w:id="885682423">
              <w:marLeft w:val="0"/>
              <w:marRight w:val="0"/>
              <w:marTop w:val="0"/>
              <w:marBottom w:val="0"/>
              <w:divBdr>
                <w:top w:val="none" w:sz="0" w:space="0" w:color="auto"/>
                <w:left w:val="none" w:sz="0" w:space="0" w:color="auto"/>
                <w:bottom w:val="none" w:sz="0" w:space="0" w:color="auto"/>
                <w:right w:val="none" w:sz="0" w:space="0" w:color="auto"/>
              </w:divBdr>
            </w:div>
          </w:divsChild>
        </w:div>
        <w:div w:id="1616325691">
          <w:marLeft w:val="0"/>
          <w:marRight w:val="0"/>
          <w:marTop w:val="0"/>
          <w:marBottom w:val="0"/>
          <w:divBdr>
            <w:top w:val="none" w:sz="0" w:space="0" w:color="auto"/>
            <w:left w:val="none" w:sz="0" w:space="0" w:color="auto"/>
            <w:bottom w:val="none" w:sz="0" w:space="0" w:color="auto"/>
            <w:right w:val="none" w:sz="0" w:space="0" w:color="auto"/>
          </w:divBdr>
          <w:divsChild>
            <w:div w:id="2040928250">
              <w:marLeft w:val="0"/>
              <w:marRight w:val="0"/>
              <w:marTop w:val="0"/>
              <w:marBottom w:val="0"/>
              <w:divBdr>
                <w:top w:val="none" w:sz="0" w:space="0" w:color="auto"/>
                <w:left w:val="none" w:sz="0" w:space="0" w:color="auto"/>
                <w:bottom w:val="none" w:sz="0" w:space="0" w:color="auto"/>
                <w:right w:val="none" w:sz="0" w:space="0" w:color="auto"/>
              </w:divBdr>
            </w:div>
          </w:divsChild>
        </w:div>
        <w:div w:id="1650480172">
          <w:marLeft w:val="0"/>
          <w:marRight w:val="0"/>
          <w:marTop w:val="0"/>
          <w:marBottom w:val="0"/>
          <w:divBdr>
            <w:top w:val="none" w:sz="0" w:space="0" w:color="auto"/>
            <w:left w:val="none" w:sz="0" w:space="0" w:color="auto"/>
            <w:bottom w:val="none" w:sz="0" w:space="0" w:color="auto"/>
            <w:right w:val="none" w:sz="0" w:space="0" w:color="auto"/>
          </w:divBdr>
          <w:divsChild>
            <w:div w:id="2119641293">
              <w:marLeft w:val="0"/>
              <w:marRight w:val="0"/>
              <w:marTop w:val="0"/>
              <w:marBottom w:val="0"/>
              <w:divBdr>
                <w:top w:val="none" w:sz="0" w:space="0" w:color="auto"/>
                <w:left w:val="none" w:sz="0" w:space="0" w:color="auto"/>
                <w:bottom w:val="none" w:sz="0" w:space="0" w:color="auto"/>
                <w:right w:val="none" w:sz="0" w:space="0" w:color="auto"/>
              </w:divBdr>
            </w:div>
          </w:divsChild>
        </w:div>
        <w:div w:id="1657875104">
          <w:marLeft w:val="0"/>
          <w:marRight w:val="0"/>
          <w:marTop w:val="0"/>
          <w:marBottom w:val="0"/>
          <w:divBdr>
            <w:top w:val="none" w:sz="0" w:space="0" w:color="auto"/>
            <w:left w:val="none" w:sz="0" w:space="0" w:color="auto"/>
            <w:bottom w:val="none" w:sz="0" w:space="0" w:color="auto"/>
            <w:right w:val="none" w:sz="0" w:space="0" w:color="auto"/>
          </w:divBdr>
          <w:divsChild>
            <w:div w:id="1182663683">
              <w:marLeft w:val="0"/>
              <w:marRight w:val="0"/>
              <w:marTop w:val="0"/>
              <w:marBottom w:val="0"/>
              <w:divBdr>
                <w:top w:val="none" w:sz="0" w:space="0" w:color="auto"/>
                <w:left w:val="none" w:sz="0" w:space="0" w:color="auto"/>
                <w:bottom w:val="none" w:sz="0" w:space="0" w:color="auto"/>
                <w:right w:val="none" w:sz="0" w:space="0" w:color="auto"/>
              </w:divBdr>
            </w:div>
          </w:divsChild>
        </w:div>
        <w:div w:id="1679846618">
          <w:marLeft w:val="0"/>
          <w:marRight w:val="0"/>
          <w:marTop w:val="0"/>
          <w:marBottom w:val="0"/>
          <w:divBdr>
            <w:top w:val="none" w:sz="0" w:space="0" w:color="auto"/>
            <w:left w:val="none" w:sz="0" w:space="0" w:color="auto"/>
            <w:bottom w:val="none" w:sz="0" w:space="0" w:color="auto"/>
            <w:right w:val="none" w:sz="0" w:space="0" w:color="auto"/>
          </w:divBdr>
          <w:divsChild>
            <w:div w:id="756706938">
              <w:marLeft w:val="0"/>
              <w:marRight w:val="0"/>
              <w:marTop w:val="0"/>
              <w:marBottom w:val="0"/>
              <w:divBdr>
                <w:top w:val="none" w:sz="0" w:space="0" w:color="auto"/>
                <w:left w:val="none" w:sz="0" w:space="0" w:color="auto"/>
                <w:bottom w:val="none" w:sz="0" w:space="0" w:color="auto"/>
                <w:right w:val="none" w:sz="0" w:space="0" w:color="auto"/>
              </w:divBdr>
            </w:div>
          </w:divsChild>
        </w:div>
        <w:div w:id="1704818579">
          <w:marLeft w:val="0"/>
          <w:marRight w:val="0"/>
          <w:marTop w:val="0"/>
          <w:marBottom w:val="0"/>
          <w:divBdr>
            <w:top w:val="none" w:sz="0" w:space="0" w:color="auto"/>
            <w:left w:val="none" w:sz="0" w:space="0" w:color="auto"/>
            <w:bottom w:val="none" w:sz="0" w:space="0" w:color="auto"/>
            <w:right w:val="none" w:sz="0" w:space="0" w:color="auto"/>
          </w:divBdr>
          <w:divsChild>
            <w:div w:id="765687088">
              <w:marLeft w:val="0"/>
              <w:marRight w:val="0"/>
              <w:marTop w:val="0"/>
              <w:marBottom w:val="0"/>
              <w:divBdr>
                <w:top w:val="none" w:sz="0" w:space="0" w:color="auto"/>
                <w:left w:val="none" w:sz="0" w:space="0" w:color="auto"/>
                <w:bottom w:val="none" w:sz="0" w:space="0" w:color="auto"/>
                <w:right w:val="none" w:sz="0" w:space="0" w:color="auto"/>
              </w:divBdr>
            </w:div>
          </w:divsChild>
        </w:div>
        <w:div w:id="1715034197">
          <w:marLeft w:val="0"/>
          <w:marRight w:val="0"/>
          <w:marTop w:val="0"/>
          <w:marBottom w:val="0"/>
          <w:divBdr>
            <w:top w:val="none" w:sz="0" w:space="0" w:color="auto"/>
            <w:left w:val="none" w:sz="0" w:space="0" w:color="auto"/>
            <w:bottom w:val="none" w:sz="0" w:space="0" w:color="auto"/>
            <w:right w:val="none" w:sz="0" w:space="0" w:color="auto"/>
          </w:divBdr>
          <w:divsChild>
            <w:div w:id="2079088232">
              <w:marLeft w:val="0"/>
              <w:marRight w:val="0"/>
              <w:marTop w:val="0"/>
              <w:marBottom w:val="0"/>
              <w:divBdr>
                <w:top w:val="none" w:sz="0" w:space="0" w:color="auto"/>
                <w:left w:val="none" w:sz="0" w:space="0" w:color="auto"/>
                <w:bottom w:val="none" w:sz="0" w:space="0" w:color="auto"/>
                <w:right w:val="none" w:sz="0" w:space="0" w:color="auto"/>
              </w:divBdr>
            </w:div>
          </w:divsChild>
        </w:div>
        <w:div w:id="1723752089">
          <w:marLeft w:val="0"/>
          <w:marRight w:val="0"/>
          <w:marTop w:val="0"/>
          <w:marBottom w:val="0"/>
          <w:divBdr>
            <w:top w:val="none" w:sz="0" w:space="0" w:color="auto"/>
            <w:left w:val="none" w:sz="0" w:space="0" w:color="auto"/>
            <w:bottom w:val="none" w:sz="0" w:space="0" w:color="auto"/>
            <w:right w:val="none" w:sz="0" w:space="0" w:color="auto"/>
          </w:divBdr>
          <w:divsChild>
            <w:div w:id="301232185">
              <w:marLeft w:val="0"/>
              <w:marRight w:val="0"/>
              <w:marTop w:val="0"/>
              <w:marBottom w:val="0"/>
              <w:divBdr>
                <w:top w:val="none" w:sz="0" w:space="0" w:color="auto"/>
                <w:left w:val="none" w:sz="0" w:space="0" w:color="auto"/>
                <w:bottom w:val="none" w:sz="0" w:space="0" w:color="auto"/>
                <w:right w:val="none" w:sz="0" w:space="0" w:color="auto"/>
              </w:divBdr>
            </w:div>
          </w:divsChild>
        </w:div>
        <w:div w:id="1756903111">
          <w:marLeft w:val="0"/>
          <w:marRight w:val="0"/>
          <w:marTop w:val="0"/>
          <w:marBottom w:val="0"/>
          <w:divBdr>
            <w:top w:val="none" w:sz="0" w:space="0" w:color="auto"/>
            <w:left w:val="none" w:sz="0" w:space="0" w:color="auto"/>
            <w:bottom w:val="none" w:sz="0" w:space="0" w:color="auto"/>
            <w:right w:val="none" w:sz="0" w:space="0" w:color="auto"/>
          </w:divBdr>
          <w:divsChild>
            <w:div w:id="2106995355">
              <w:marLeft w:val="0"/>
              <w:marRight w:val="0"/>
              <w:marTop w:val="0"/>
              <w:marBottom w:val="0"/>
              <w:divBdr>
                <w:top w:val="none" w:sz="0" w:space="0" w:color="auto"/>
                <w:left w:val="none" w:sz="0" w:space="0" w:color="auto"/>
                <w:bottom w:val="none" w:sz="0" w:space="0" w:color="auto"/>
                <w:right w:val="none" w:sz="0" w:space="0" w:color="auto"/>
              </w:divBdr>
            </w:div>
          </w:divsChild>
        </w:div>
        <w:div w:id="1764104638">
          <w:marLeft w:val="0"/>
          <w:marRight w:val="0"/>
          <w:marTop w:val="0"/>
          <w:marBottom w:val="0"/>
          <w:divBdr>
            <w:top w:val="none" w:sz="0" w:space="0" w:color="auto"/>
            <w:left w:val="none" w:sz="0" w:space="0" w:color="auto"/>
            <w:bottom w:val="none" w:sz="0" w:space="0" w:color="auto"/>
            <w:right w:val="none" w:sz="0" w:space="0" w:color="auto"/>
          </w:divBdr>
          <w:divsChild>
            <w:div w:id="1186291358">
              <w:marLeft w:val="0"/>
              <w:marRight w:val="0"/>
              <w:marTop w:val="0"/>
              <w:marBottom w:val="0"/>
              <w:divBdr>
                <w:top w:val="none" w:sz="0" w:space="0" w:color="auto"/>
                <w:left w:val="none" w:sz="0" w:space="0" w:color="auto"/>
                <w:bottom w:val="none" w:sz="0" w:space="0" w:color="auto"/>
                <w:right w:val="none" w:sz="0" w:space="0" w:color="auto"/>
              </w:divBdr>
            </w:div>
          </w:divsChild>
        </w:div>
        <w:div w:id="1770419324">
          <w:marLeft w:val="0"/>
          <w:marRight w:val="0"/>
          <w:marTop w:val="0"/>
          <w:marBottom w:val="0"/>
          <w:divBdr>
            <w:top w:val="none" w:sz="0" w:space="0" w:color="auto"/>
            <w:left w:val="none" w:sz="0" w:space="0" w:color="auto"/>
            <w:bottom w:val="none" w:sz="0" w:space="0" w:color="auto"/>
            <w:right w:val="none" w:sz="0" w:space="0" w:color="auto"/>
          </w:divBdr>
          <w:divsChild>
            <w:div w:id="1710956872">
              <w:marLeft w:val="0"/>
              <w:marRight w:val="0"/>
              <w:marTop w:val="0"/>
              <w:marBottom w:val="0"/>
              <w:divBdr>
                <w:top w:val="none" w:sz="0" w:space="0" w:color="auto"/>
                <w:left w:val="none" w:sz="0" w:space="0" w:color="auto"/>
                <w:bottom w:val="none" w:sz="0" w:space="0" w:color="auto"/>
                <w:right w:val="none" w:sz="0" w:space="0" w:color="auto"/>
              </w:divBdr>
            </w:div>
          </w:divsChild>
        </w:div>
        <w:div w:id="1783063577">
          <w:marLeft w:val="0"/>
          <w:marRight w:val="0"/>
          <w:marTop w:val="0"/>
          <w:marBottom w:val="0"/>
          <w:divBdr>
            <w:top w:val="none" w:sz="0" w:space="0" w:color="auto"/>
            <w:left w:val="none" w:sz="0" w:space="0" w:color="auto"/>
            <w:bottom w:val="none" w:sz="0" w:space="0" w:color="auto"/>
            <w:right w:val="none" w:sz="0" w:space="0" w:color="auto"/>
          </w:divBdr>
          <w:divsChild>
            <w:div w:id="590508927">
              <w:marLeft w:val="0"/>
              <w:marRight w:val="0"/>
              <w:marTop w:val="0"/>
              <w:marBottom w:val="0"/>
              <w:divBdr>
                <w:top w:val="none" w:sz="0" w:space="0" w:color="auto"/>
                <w:left w:val="none" w:sz="0" w:space="0" w:color="auto"/>
                <w:bottom w:val="none" w:sz="0" w:space="0" w:color="auto"/>
                <w:right w:val="none" w:sz="0" w:space="0" w:color="auto"/>
              </w:divBdr>
            </w:div>
          </w:divsChild>
        </w:div>
        <w:div w:id="1783957235">
          <w:marLeft w:val="0"/>
          <w:marRight w:val="0"/>
          <w:marTop w:val="0"/>
          <w:marBottom w:val="0"/>
          <w:divBdr>
            <w:top w:val="none" w:sz="0" w:space="0" w:color="auto"/>
            <w:left w:val="none" w:sz="0" w:space="0" w:color="auto"/>
            <w:bottom w:val="none" w:sz="0" w:space="0" w:color="auto"/>
            <w:right w:val="none" w:sz="0" w:space="0" w:color="auto"/>
          </w:divBdr>
          <w:divsChild>
            <w:div w:id="989141600">
              <w:marLeft w:val="0"/>
              <w:marRight w:val="0"/>
              <w:marTop w:val="0"/>
              <w:marBottom w:val="0"/>
              <w:divBdr>
                <w:top w:val="none" w:sz="0" w:space="0" w:color="auto"/>
                <w:left w:val="none" w:sz="0" w:space="0" w:color="auto"/>
                <w:bottom w:val="none" w:sz="0" w:space="0" w:color="auto"/>
                <w:right w:val="none" w:sz="0" w:space="0" w:color="auto"/>
              </w:divBdr>
            </w:div>
          </w:divsChild>
        </w:div>
        <w:div w:id="1793212299">
          <w:marLeft w:val="0"/>
          <w:marRight w:val="0"/>
          <w:marTop w:val="0"/>
          <w:marBottom w:val="0"/>
          <w:divBdr>
            <w:top w:val="none" w:sz="0" w:space="0" w:color="auto"/>
            <w:left w:val="none" w:sz="0" w:space="0" w:color="auto"/>
            <w:bottom w:val="none" w:sz="0" w:space="0" w:color="auto"/>
            <w:right w:val="none" w:sz="0" w:space="0" w:color="auto"/>
          </w:divBdr>
          <w:divsChild>
            <w:div w:id="130171935">
              <w:marLeft w:val="0"/>
              <w:marRight w:val="0"/>
              <w:marTop w:val="0"/>
              <w:marBottom w:val="0"/>
              <w:divBdr>
                <w:top w:val="none" w:sz="0" w:space="0" w:color="auto"/>
                <w:left w:val="none" w:sz="0" w:space="0" w:color="auto"/>
                <w:bottom w:val="none" w:sz="0" w:space="0" w:color="auto"/>
                <w:right w:val="none" w:sz="0" w:space="0" w:color="auto"/>
              </w:divBdr>
            </w:div>
          </w:divsChild>
        </w:div>
        <w:div w:id="1797987159">
          <w:marLeft w:val="0"/>
          <w:marRight w:val="0"/>
          <w:marTop w:val="0"/>
          <w:marBottom w:val="0"/>
          <w:divBdr>
            <w:top w:val="none" w:sz="0" w:space="0" w:color="auto"/>
            <w:left w:val="none" w:sz="0" w:space="0" w:color="auto"/>
            <w:bottom w:val="none" w:sz="0" w:space="0" w:color="auto"/>
            <w:right w:val="none" w:sz="0" w:space="0" w:color="auto"/>
          </w:divBdr>
          <w:divsChild>
            <w:div w:id="1845823581">
              <w:marLeft w:val="0"/>
              <w:marRight w:val="0"/>
              <w:marTop w:val="0"/>
              <w:marBottom w:val="0"/>
              <w:divBdr>
                <w:top w:val="none" w:sz="0" w:space="0" w:color="auto"/>
                <w:left w:val="none" w:sz="0" w:space="0" w:color="auto"/>
                <w:bottom w:val="none" w:sz="0" w:space="0" w:color="auto"/>
                <w:right w:val="none" w:sz="0" w:space="0" w:color="auto"/>
              </w:divBdr>
            </w:div>
          </w:divsChild>
        </w:div>
        <w:div w:id="1816215237">
          <w:marLeft w:val="0"/>
          <w:marRight w:val="0"/>
          <w:marTop w:val="0"/>
          <w:marBottom w:val="0"/>
          <w:divBdr>
            <w:top w:val="none" w:sz="0" w:space="0" w:color="auto"/>
            <w:left w:val="none" w:sz="0" w:space="0" w:color="auto"/>
            <w:bottom w:val="none" w:sz="0" w:space="0" w:color="auto"/>
            <w:right w:val="none" w:sz="0" w:space="0" w:color="auto"/>
          </w:divBdr>
          <w:divsChild>
            <w:div w:id="2056269773">
              <w:marLeft w:val="0"/>
              <w:marRight w:val="0"/>
              <w:marTop w:val="0"/>
              <w:marBottom w:val="0"/>
              <w:divBdr>
                <w:top w:val="none" w:sz="0" w:space="0" w:color="auto"/>
                <w:left w:val="none" w:sz="0" w:space="0" w:color="auto"/>
                <w:bottom w:val="none" w:sz="0" w:space="0" w:color="auto"/>
                <w:right w:val="none" w:sz="0" w:space="0" w:color="auto"/>
              </w:divBdr>
            </w:div>
          </w:divsChild>
        </w:div>
        <w:div w:id="1837258239">
          <w:marLeft w:val="0"/>
          <w:marRight w:val="0"/>
          <w:marTop w:val="0"/>
          <w:marBottom w:val="0"/>
          <w:divBdr>
            <w:top w:val="none" w:sz="0" w:space="0" w:color="auto"/>
            <w:left w:val="none" w:sz="0" w:space="0" w:color="auto"/>
            <w:bottom w:val="none" w:sz="0" w:space="0" w:color="auto"/>
            <w:right w:val="none" w:sz="0" w:space="0" w:color="auto"/>
          </w:divBdr>
          <w:divsChild>
            <w:div w:id="1719238484">
              <w:marLeft w:val="0"/>
              <w:marRight w:val="0"/>
              <w:marTop w:val="0"/>
              <w:marBottom w:val="0"/>
              <w:divBdr>
                <w:top w:val="none" w:sz="0" w:space="0" w:color="auto"/>
                <w:left w:val="none" w:sz="0" w:space="0" w:color="auto"/>
                <w:bottom w:val="none" w:sz="0" w:space="0" w:color="auto"/>
                <w:right w:val="none" w:sz="0" w:space="0" w:color="auto"/>
              </w:divBdr>
            </w:div>
          </w:divsChild>
        </w:div>
        <w:div w:id="1837262011">
          <w:marLeft w:val="0"/>
          <w:marRight w:val="0"/>
          <w:marTop w:val="0"/>
          <w:marBottom w:val="0"/>
          <w:divBdr>
            <w:top w:val="none" w:sz="0" w:space="0" w:color="auto"/>
            <w:left w:val="none" w:sz="0" w:space="0" w:color="auto"/>
            <w:bottom w:val="none" w:sz="0" w:space="0" w:color="auto"/>
            <w:right w:val="none" w:sz="0" w:space="0" w:color="auto"/>
          </w:divBdr>
          <w:divsChild>
            <w:div w:id="225771599">
              <w:marLeft w:val="0"/>
              <w:marRight w:val="0"/>
              <w:marTop w:val="0"/>
              <w:marBottom w:val="0"/>
              <w:divBdr>
                <w:top w:val="none" w:sz="0" w:space="0" w:color="auto"/>
                <w:left w:val="none" w:sz="0" w:space="0" w:color="auto"/>
                <w:bottom w:val="none" w:sz="0" w:space="0" w:color="auto"/>
                <w:right w:val="none" w:sz="0" w:space="0" w:color="auto"/>
              </w:divBdr>
            </w:div>
          </w:divsChild>
        </w:div>
        <w:div w:id="1838575074">
          <w:marLeft w:val="0"/>
          <w:marRight w:val="0"/>
          <w:marTop w:val="0"/>
          <w:marBottom w:val="0"/>
          <w:divBdr>
            <w:top w:val="none" w:sz="0" w:space="0" w:color="auto"/>
            <w:left w:val="none" w:sz="0" w:space="0" w:color="auto"/>
            <w:bottom w:val="none" w:sz="0" w:space="0" w:color="auto"/>
            <w:right w:val="none" w:sz="0" w:space="0" w:color="auto"/>
          </w:divBdr>
          <w:divsChild>
            <w:div w:id="1084229272">
              <w:marLeft w:val="0"/>
              <w:marRight w:val="0"/>
              <w:marTop w:val="0"/>
              <w:marBottom w:val="0"/>
              <w:divBdr>
                <w:top w:val="none" w:sz="0" w:space="0" w:color="auto"/>
                <w:left w:val="none" w:sz="0" w:space="0" w:color="auto"/>
                <w:bottom w:val="none" w:sz="0" w:space="0" w:color="auto"/>
                <w:right w:val="none" w:sz="0" w:space="0" w:color="auto"/>
              </w:divBdr>
            </w:div>
          </w:divsChild>
        </w:div>
        <w:div w:id="1867211392">
          <w:marLeft w:val="0"/>
          <w:marRight w:val="0"/>
          <w:marTop w:val="0"/>
          <w:marBottom w:val="0"/>
          <w:divBdr>
            <w:top w:val="none" w:sz="0" w:space="0" w:color="auto"/>
            <w:left w:val="none" w:sz="0" w:space="0" w:color="auto"/>
            <w:bottom w:val="none" w:sz="0" w:space="0" w:color="auto"/>
            <w:right w:val="none" w:sz="0" w:space="0" w:color="auto"/>
          </w:divBdr>
          <w:divsChild>
            <w:div w:id="157498729">
              <w:marLeft w:val="0"/>
              <w:marRight w:val="0"/>
              <w:marTop w:val="0"/>
              <w:marBottom w:val="0"/>
              <w:divBdr>
                <w:top w:val="none" w:sz="0" w:space="0" w:color="auto"/>
                <w:left w:val="none" w:sz="0" w:space="0" w:color="auto"/>
                <w:bottom w:val="none" w:sz="0" w:space="0" w:color="auto"/>
                <w:right w:val="none" w:sz="0" w:space="0" w:color="auto"/>
              </w:divBdr>
            </w:div>
          </w:divsChild>
        </w:div>
        <w:div w:id="1870411895">
          <w:marLeft w:val="0"/>
          <w:marRight w:val="0"/>
          <w:marTop w:val="0"/>
          <w:marBottom w:val="0"/>
          <w:divBdr>
            <w:top w:val="none" w:sz="0" w:space="0" w:color="auto"/>
            <w:left w:val="none" w:sz="0" w:space="0" w:color="auto"/>
            <w:bottom w:val="none" w:sz="0" w:space="0" w:color="auto"/>
            <w:right w:val="none" w:sz="0" w:space="0" w:color="auto"/>
          </w:divBdr>
          <w:divsChild>
            <w:div w:id="101850754">
              <w:marLeft w:val="0"/>
              <w:marRight w:val="0"/>
              <w:marTop w:val="0"/>
              <w:marBottom w:val="0"/>
              <w:divBdr>
                <w:top w:val="none" w:sz="0" w:space="0" w:color="auto"/>
                <w:left w:val="none" w:sz="0" w:space="0" w:color="auto"/>
                <w:bottom w:val="none" w:sz="0" w:space="0" w:color="auto"/>
                <w:right w:val="none" w:sz="0" w:space="0" w:color="auto"/>
              </w:divBdr>
            </w:div>
          </w:divsChild>
        </w:div>
        <w:div w:id="1870795647">
          <w:marLeft w:val="0"/>
          <w:marRight w:val="0"/>
          <w:marTop w:val="0"/>
          <w:marBottom w:val="0"/>
          <w:divBdr>
            <w:top w:val="none" w:sz="0" w:space="0" w:color="auto"/>
            <w:left w:val="none" w:sz="0" w:space="0" w:color="auto"/>
            <w:bottom w:val="none" w:sz="0" w:space="0" w:color="auto"/>
            <w:right w:val="none" w:sz="0" w:space="0" w:color="auto"/>
          </w:divBdr>
          <w:divsChild>
            <w:div w:id="1408965864">
              <w:marLeft w:val="0"/>
              <w:marRight w:val="0"/>
              <w:marTop w:val="0"/>
              <w:marBottom w:val="0"/>
              <w:divBdr>
                <w:top w:val="none" w:sz="0" w:space="0" w:color="auto"/>
                <w:left w:val="none" w:sz="0" w:space="0" w:color="auto"/>
                <w:bottom w:val="none" w:sz="0" w:space="0" w:color="auto"/>
                <w:right w:val="none" w:sz="0" w:space="0" w:color="auto"/>
              </w:divBdr>
            </w:div>
          </w:divsChild>
        </w:div>
        <w:div w:id="1871337225">
          <w:marLeft w:val="0"/>
          <w:marRight w:val="0"/>
          <w:marTop w:val="0"/>
          <w:marBottom w:val="0"/>
          <w:divBdr>
            <w:top w:val="none" w:sz="0" w:space="0" w:color="auto"/>
            <w:left w:val="none" w:sz="0" w:space="0" w:color="auto"/>
            <w:bottom w:val="none" w:sz="0" w:space="0" w:color="auto"/>
            <w:right w:val="none" w:sz="0" w:space="0" w:color="auto"/>
          </w:divBdr>
          <w:divsChild>
            <w:div w:id="1753551139">
              <w:marLeft w:val="0"/>
              <w:marRight w:val="0"/>
              <w:marTop w:val="0"/>
              <w:marBottom w:val="0"/>
              <w:divBdr>
                <w:top w:val="none" w:sz="0" w:space="0" w:color="auto"/>
                <w:left w:val="none" w:sz="0" w:space="0" w:color="auto"/>
                <w:bottom w:val="none" w:sz="0" w:space="0" w:color="auto"/>
                <w:right w:val="none" w:sz="0" w:space="0" w:color="auto"/>
              </w:divBdr>
            </w:div>
          </w:divsChild>
        </w:div>
        <w:div w:id="1872299504">
          <w:marLeft w:val="0"/>
          <w:marRight w:val="0"/>
          <w:marTop w:val="0"/>
          <w:marBottom w:val="0"/>
          <w:divBdr>
            <w:top w:val="none" w:sz="0" w:space="0" w:color="auto"/>
            <w:left w:val="none" w:sz="0" w:space="0" w:color="auto"/>
            <w:bottom w:val="none" w:sz="0" w:space="0" w:color="auto"/>
            <w:right w:val="none" w:sz="0" w:space="0" w:color="auto"/>
          </w:divBdr>
          <w:divsChild>
            <w:div w:id="1961643760">
              <w:marLeft w:val="0"/>
              <w:marRight w:val="0"/>
              <w:marTop w:val="0"/>
              <w:marBottom w:val="0"/>
              <w:divBdr>
                <w:top w:val="none" w:sz="0" w:space="0" w:color="auto"/>
                <w:left w:val="none" w:sz="0" w:space="0" w:color="auto"/>
                <w:bottom w:val="none" w:sz="0" w:space="0" w:color="auto"/>
                <w:right w:val="none" w:sz="0" w:space="0" w:color="auto"/>
              </w:divBdr>
            </w:div>
          </w:divsChild>
        </w:div>
        <w:div w:id="1902137971">
          <w:marLeft w:val="0"/>
          <w:marRight w:val="0"/>
          <w:marTop w:val="0"/>
          <w:marBottom w:val="0"/>
          <w:divBdr>
            <w:top w:val="none" w:sz="0" w:space="0" w:color="auto"/>
            <w:left w:val="none" w:sz="0" w:space="0" w:color="auto"/>
            <w:bottom w:val="none" w:sz="0" w:space="0" w:color="auto"/>
            <w:right w:val="none" w:sz="0" w:space="0" w:color="auto"/>
          </w:divBdr>
          <w:divsChild>
            <w:div w:id="267197445">
              <w:marLeft w:val="0"/>
              <w:marRight w:val="0"/>
              <w:marTop w:val="0"/>
              <w:marBottom w:val="0"/>
              <w:divBdr>
                <w:top w:val="none" w:sz="0" w:space="0" w:color="auto"/>
                <w:left w:val="none" w:sz="0" w:space="0" w:color="auto"/>
                <w:bottom w:val="none" w:sz="0" w:space="0" w:color="auto"/>
                <w:right w:val="none" w:sz="0" w:space="0" w:color="auto"/>
              </w:divBdr>
            </w:div>
          </w:divsChild>
        </w:div>
        <w:div w:id="1912542184">
          <w:marLeft w:val="0"/>
          <w:marRight w:val="0"/>
          <w:marTop w:val="0"/>
          <w:marBottom w:val="0"/>
          <w:divBdr>
            <w:top w:val="none" w:sz="0" w:space="0" w:color="auto"/>
            <w:left w:val="none" w:sz="0" w:space="0" w:color="auto"/>
            <w:bottom w:val="none" w:sz="0" w:space="0" w:color="auto"/>
            <w:right w:val="none" w:sz="0" w:space="0" w:color="auto"/>
          </w:divBdr>
          <w:divsChild>
            <w:div w:id="776565934">
              <w:marLeft w:val="0"/>
              <w:marRight w:val="0"/>
              <w:marTop w:val="0"/>
              <w:marBottom w:val="0"/>
              <w:divBdr>
                <w:top w:val="none" w:sz="0" w:space="0" w:color="auto"/>
                <w:left w:val="none" w:sz="0" w:space="0" w:color="auto"/>
                <w:bottom w:val="none" w:sz="0" w:space="0" w:color="auto"/>
                <w:right w:val="none" w:sz="0" w:space="0" w:color="auto"/>
              </w:divBdr>
            </w:div>
          </w:divsChild>
        </w:div>
        <w:div w:id="1917520368">
          <w:marLeft w:val="0"/>
          <w:marRight w:val="0"/>
          <w:marTop w:val="0"/>
          <w:marBottom w:val="0"/>
          <w:divBdr>
            <w:top w:val="none" w:sz="0" w:space="0" w:color="auto"/>
            <w:left w:val="none" w:sz="0" w:space="0" w:color="auto"/>
            <w:bottom w:val="none" w:sz="0" w:space="0" w:color="auto"/>
            <w:right w:val="none" w:sz="0" w:space="0" w:color="auto"/>
          </w:divBdr>
          <w:divsChild>
            <w:div w:id="1135758051">
              <w:marLeft w:val="0"/>
              <w:marRight w:val="0"/>
              <w:marTop w:val="0"/>
              <w:marBottom w:val="0"/>
              <w:divBdr>
                <w:top w:val="none" w:sz="0" w:space="0" w:color="auto"/>
                <w:left w:val="none" w:sz="0" w:space="0" w:color="auto"/>
                <w:bottom w:val="none" w:sz="0" w:space="0" w:color="auto"/>
                <w:right w:val="none" w:sz="0" w:space="0" w:color="auto"/>
              </w:divBdr>
            </w:div>
          </w:divsChild>
        </w:div>
        <w:div w:id="1919746468">
          <w:marLeft w:val="0"/>
          <w:marRight w:val="0"/>
          <w:marTop w:val="0"/>
          <w:marBottom w:val="0"/>
          <w:divBdr>
            <w:top w:val="none" w:sz="0" w:space="0" w:color="auto"/>
            <w:left w:val="none" w:sz="0" w:space="0" w:color="auto"/>
            <w:bottom w:val="none" w:sz="0" w:space="0" w:color="auto"/>
            <w:right w:val="none" w:sz="0" w:space="0" w:color="auto"/>
          </w:divBdr>
          <w:divsChild>
            <w:div w:id="994799103">
              <w:marLeft w:val="0"/>
              <w:marRight w:val="0"/>
              <w:marTop w:val="0"/>
              <w:marBottom w:val="0"/>
              <w:divBdr>
                <w:top w:val="none" w:sz="0" w:space="0" w:color="auto"/>
                <w:left w:val="none" w:sz="0" w:space="0" w:color="auto"/>
                <w:bottom w:val="none" w:sz="0" w:space="0" w:color="auto"/>
                <w:right w:val="none" w:sz="0" w:space="0" w:color="auto"/>
              </w:divBdr>
            </w:div>
          </w:divsChild>
        </w:div>
        <w:div w:id="1923371819">
          <w:marLeft w:val="0"/>
          <w:marRight w:val="0"/>
          <w:marTop w:val="0"/>
          <w:marBottom w:val="0"/>
          <w:divBdr>
            <w:top w:val="none" w:sz="0" w:space="0" w:color="auto"/>
            <w:left w:val="none" w:sz="0" w:space="0" w:color="auto"/>
            <w:bottom w:val="none" w:sz="0" w:space="0" w:color="auto"/>
            <w:right w:val="none" w:sz="0" w:space="0" w:color="auto"/>
          </w:divBdr>
          <w:divsChild>
            <w:div w:id="1729306082">
              <w:marLeft w:val="0"/>
              <w:marRight w:val="0"/>
              <w:marTop w:val="0"/>
              <w:marBottom w:val="0"/>
              <w:divBdr>
                <w:top w:val="none" w:sz="0" w:space="0" w:color="auto"/>
                <w:left w:val="none" w:sz="0" w:space="0" w:color="auto"/>
                <w:bottom w:val="none" w:sz="0" w:space="0" w:color="auto"/>
                <w:right w:val="none" w:sz="0" w:space="0" w:color="auto"/>
              </w:divBdr>
            </w:div>
          </w:divsChild>
        </w:div>
        <w:div w:id="1946233573">
          <w:marLeft w:val="0"/>
          <w:marRight w:val="0"/>
          <w:marTop w:val="0"/>
          <w:marBottom w:val="0"/>
          <w:divBdr>
            <w:top w:val="none" w:sz="0" w:space="0" w:color="auto"/>
            <w:left w:val="none" w:sz="0" w:space="0" w:color="auto"/>
            <w:bottom w:val="none" w:sz="0" w:space="0" w:color="auto"/>
            <w:right w:val="none" w:sz="0" w:space="0" w:color="auto"/>
          </w:divBdr>
          <w:divsChild>
            <w:div w:id="311721215">
              <w:marLeft w:val="0"/>
              <w:marRight w:val="0"/>
              <w:marTop w:val="0"/>
              <w:marBottom w:val="0"/>
              <w:divBdr>
                <w:top w:val="none" w:sz="0" w:space="0" w:color="auto"/>
                <w:left w:val="none" w:sz="0" w:space="0" w:color="auto"/>
                <w:bottom w:val="none" w:sz="0" w:space="0" w:color="auto"/>
                <w:right w:val="none" w:sz="0" w:space="0" w:color="auto"/>
              </w:divBdr>
            </w:div>
          </w:divsChild>
        </w:div>
        <w:div w:id="1950241362">
          <w:marLeft w:val="0"/>
          <w:marRight w:val="0"/>
          <w:marTop w:val="0"/>
          <w:marBottom w:val="0"/>
          <w:divBdr>
            <w:top w:val="none" w:sz="0" w:space="0" w:color="auto"/>
            <w:left w:val="none" w:sz="0" w:space="0" w:color="auto"/>
            <w:bottom w:val="none" w:sz="0" w:space="0" w:color="auto"/>
            <w:right w:val="none" w:sz="0" w:space="0" w:color="auto"/>
          </w:divBdr>
          <w:divsChild>
            <w:div w:id="1131050235">
              <w:marLeft w:val="0"/>
              <w:marRight w:val="0"/>
              <w:marTop w:val="0"/>
              <w:marBottom w:val="0"/>
              <w:divBdr>
                <w:top w:val="none" w:sz="0" w:space="0" w:color="auto"/>
                <w:left w:val="none" w:sz="0" w:space="0" w:color="auto"/>
                <w:bottom w:val="none" w:sz="0" w:space="0" w:color="auto"/>
                <w:right w:val="none" w:sz="0" w:space="0" w:color="auto"/>
              </w:divBdr>
            </w:div>
          </w:divsChild>
        </w:div>
        <w:div w:id="1951162809">
          <w:marLeft w:val="0"/>
          <w:marRight w:val="0"/>
          <w:marTop w:val="0"/>
          <w:marBottom w:val="0"/>
          <w:divBdr>
            <w:top w:val="none" w:sz="0" w:space="0" w:color="auto"/>
            <w:left w:val="none" w:sz="0" w:space="0" w:color="auto"/>
            <w:bottom w:val="none" w:sz="0" w:space="0" w:color="auto"/>
            <w:right w:val="none" w:sz="0" w:space="0" w:color="auto"/>
          </w:divBdr>
          <w:divsChild>
            <w:div w:id="1811365845">
              <w:marLeft w:val="0"/>
              <w:marRight w:val="0"/>
              <w:marTop w:val="0"/>
              <w:marBottom w:val="0"/>
              <w:divBdr>
                <w:top w:val="none" w:sz="0" w:space="0" w:color="auto"/>
                <w:left w:val="none" w:sz="0" w:space="0" w:color="auto"/>
                <w:bottom w:val="none" w:sz="0" w:space="0" w:color="auto"/>
                <w:right w:val="none" w:sz="0" w:space="0" w:color="auto"/>
              </w:divBdr>
            </w:div>
          </w:divsChild>
        </w:div>
        <w:div w:id="1971937034">
          <w:marLeft w:val="0"/>
          <w:marRight w:val="0"/>
          <w:marTop w:val="0"/>
          <w:marBottom w:val="0"/>
          <w:divBdr>
            <w:top w:val="none" w:sz="0" w:space="0" w:color="auto"/>
            <w:left w:val="none" w:sz="0" w:space="0" w:color="auto"/>
            <w:bottom w:val="none" w:sz="0" w:space="0" w:color="auto"/>
            <w:right w:val="none" w:sz="0" w:space="0" w:color="auto"/>
          </w:divBdr>
          <w:divsChild>
            <w:div w:id="1489513858">
              <w:marLeft w:val="0"/>
              <w:marRight w:val="0"/>
              <w:marTop w:val="0"/>
              <w:marBottom w:val="0"/>
              <w:divBdr>
                <w:top w:val="none" w:sz="0" w:space="0" w:color="auto"/>
                <w:left w:val="none" w:sz="0" w:space="0" w:color="auto"/>
                <w:bottom w:val="none" w:sz="0" w:space="0" w:color="auto"/>
                <w:right w:val="none" w:sz="0" w:space="0" w:color="auto"/>
              </w:divBdr>
            </w:div>
          </w:divsChild>
        </w:div>
        <w:div w:id="1991204424">
          <w:marLeft w:val="0"/>
          <w:marRight w:val="0"/>
          <w:marTop w:val="0"/>
          <w:marBottom w:val="0"/>
          <w:divBdr>
            <w:top w:val="none" w:sz="0" w:space="0" w:color="auto"/>
            <w:left w:val="none" w:sz="0" w:space="0" w:color="auto"/>
            <w:bottom w:val="none" w:sz="0" w:space="0" w:color="auto"/>
            <w:right w:val="none" w:sz="0" w:space="0" w:color="auto"/>
          </w:divBdr>
          <w:divsChild>
            <w:div w:id="1052771708">
              <w:marLeft w:val="0"/>
              <w:marRight w:val="0"/>
              <w:marTop w:val="0"/>
              <w:marBottom w:val="0"/>
              <w:divBdr>
                <w:top w:val="none" w:sz="0" w:space="0" w:color="auto"/>
                <w:left w:val="none" w:sz="0" w:space="0" w:color="auto"/>
                <w:bottom w:val="none" w:sz="0" w:space="0" w:color="auto"/>
                <w:right w:val="none" w:sz="0" w:space="0" w:color="auto"/>
              </w:divBdr>
            </w:div>
          </w:divsChild>
        </w:div>
        <w:div w:id="1996955802">
          <w:marLeft w:val="0"/>
          <w:marRight w:val="0"/>
          <w:marTop w:val="0"/>
          <w:marBottom w:val="0"/>
          <w:divBdr>
            <w:top w:val="none" w:sz="0" w:space="0" w:color="auto"/>
            <w:left w:val="none" w:sz="0" w:space="0" w:color="auto"/>
            <w:bottom w:val="none" w:sz="0" w:space="0" w:color="auto"/>
            <w:right w:val="none" w:sz="0" w:space="0" w:color="auto"/>
          </w:divBdr>
          <w:divsChild>
            <w:div w:id="2140875408">
              <w:marLeft w:val="0"/>
              <w:marRight w:val="0"/>
              <w:marTop w:val="0"/>
              <w:marBottom w:val="0"/>
              <w:divBdr>
                <w:top w:val="none" w:sz="0" w:space="0" w:color="auto"/>
                <w:left w:val="none" w:sz="0" w:space="0" w:color="auto"/>
                <w:bottom w:val="none" w:sz="0" w:space="0" w:color="auto"/>
                <w:right w:val="none" w:sz="0" w:space="0" w:color="auto"/>
              </w:divBdr>
            </w:div>
          </w:divsChild>
        </w:div>
        <w:div w:id="1997418847">
          <w:marLeft w:val="0"/>
          <w:marRight w:val="0"/>
          <w:marTop w:val="0"/>
          <w:marBottom w:val="0"/>
          <w:divBdr>
            <w:top w:val="none" w:sz="0" w:space="0" w:color="auto"/>
            <w:left w:val="none" w:sz="0" w:space="0" w:color="auto"/>
            <w:bottom w:val="none" w:sz="0" w:space="0" w:color="auto"/>
            <w:right w:val="none" w:sz="0" w:space="0" w:color="auto"/>
          </w:divBdr>
          <w:divsChild>
            <w:div w:id="499782330">
              <w:marLeft w:val="0"/>
              <w:marRight w:val="0"/>
              <w:marTop w:val="0"/>
              <w:marBottom w:val="0"/>
              <w:divBdr>
                <w:top w:val="none" w:sz="0" w:space="0" w:color="auto"/>
                <w:left w:val="none" w:sz="0" w:space="0" w:color="auto"/>
                <w:bottom w:val="none" w:sz="0" w:space="0" w:color="auto"/>
                <w:right w:val="none" w:sz="0" w:space="0" w:color="auto"/>
              </w:divBdr>
            </w:div>
          </w:divsChild>
        </w:div>
        <w:div w:id="2004045422">
          <w:marLeft w:val="0"/>
          <w:marRight w:val="0"/>
          <w:marTop w:val="0"/>
          <w:marBottom w:val="0"/>
          <w:divBdr>
            <w:top w:val="none" w:sz="0" w:space="0" w:color="auto"/>
            <w:left w:val="none" w:sz="0" w:space="0" w:color="auto"/>
            <w:bottom w:val="none" w:sz="0" w:space="0" w:color="auto"/>
            <w:right w:val="none" w:sz="0" w:space="0" w:color="auto"/>
          </w:divBdr>
          <w:divsChild>
            <w:div w:id="372654354">
              <w:marLeft w:val="0"/>
              <w:marRight w:val="0"/>
              <w:marTop w:val="0"/>
              <w:marBottom w:val="0"/>
              <w:divBdr>
                <w:top w:val="none" w:sz="0" w:space="0" w:color="auto"/>
                <w:left w:val="none" w:sz="0" w:space="0" w:color="auto"/>
                <w:bottom w:val="none" w:sz="0" w:space="0" w:color="auto"/>
                <w:right w:val="none" w:sz="0" w:space="0" w:color="auto"/>
              </w:divBdr>
            </w:div>
          </w:divsChild>
        </w:div>
        <w:div w:id="2006589568">
          <w:marLeft w:val="0"/>
          <w:marRight w:val="0"/>
          <w:marTop w:val="0"/>
          <w:marBottom w:val="0"/>
          <w:divBdr>
            <w:top w:val="none" w:sz="0" w:space="0" w:color="auto"/>
            <w:left w:val="none" w:sz="0" w:space="0" w:color="auto"/>
            <w:bottom w:val="none" w:sz="0" w:space="0" w:color="auto"/>
            <w:right w:val="none" w:sz="0" w:space="0" w:color="auto"/>
          </w:divBdr>
          <w:divsChild>
            <w:div w:id="1644232747">
              <w:marLeft w:val="0"/>
              <w:marRight w:val="0"/>
              <w:marTop w:val="0"/>
              <w:marBottom w:val="0"/>
              <w:divBdr>
                <w:top w:val="none" w:sz="0" w:space="0" w:color="auto"/>
                <w:left w:val="none" w:sz="0" w:space="0" w:color="auto"/>
                <w:bottom w:val="none" w:sz="0" w:space="0" w:color="auto"/>
                <w:right w:val="none" w:sz="0" w:space="0" w:color="auto"/>
              </w:divBdr>
            </w:div>
          </w:divsChild>
        </w:div>
        <w:div w:id="2016111259">
          <w:marLeft w:val="0"/>
          <w:marRight w:val="0"/>
          <w:marTop w:val="0"/>
          <w:marBottom w:val="0"/>
          <w:divBdr>
            <w:top w:val="none" w:sz="0" w:space="0" w:color="auto"/>
            <w:left w:val="none" w:sz="0" w:space="0" w:color="auto"/>
            <w:bottom w:val="none" w:sz="0" w:space="0" w:color="auto"/>
            <w:right w:val="none" w:sz="0" w:space="0" w:color="auto"/>
          </w:divBdr>
          <w:divsChild>
            <w:div w:id="2056814113">
              <w:marLeft w:val="0"/>
              <w:marRight w:val="0"/>
              <w:marTop w:val="0"/>
              <w:marBottom w:val="0"/>
              <w:divBdr>
                <w:top w:val="none" w:sz="0" w:space="0" w:color="auto"/>
                <w:left w:val="none" w:sz="0" w:space="0" w:color="auto"/>
                <w:bottom w:val="none" w:sz="0" w:space="0" w:color="auto"/>
                <w:right w:val="none" w:sz="0" w:space="0" w:color="auto"/>
              </w:divBdr>
            </w:div>
          </w:divsChild>
        </w:div>
        <w:div w:id="2052919993">
          <w:marLeft w:val="0"/>
          <w:marRight w:val="0"/>
          <w:marTop w:val="0"/>
          <w:marBottom w:val="0"/>
          <w:divBdr>
            <w:top w:val="none" w:sz="0" w:space="0" w:color="auto"/>
            <w:left w:val="none" w:sz="0" w:space="0" w:color="auto"/>
            <w:bottom w:val="none" w:sz="0" w:space="0" w:color="auto"/>
            <w:right w:val="none" w:sz="0" w:space="0" w:color="auto"/>
          </w:divBdr>
          <w:divsChild>
            <w:div w:id="1722946791">
              <w:marLeft w:val="0"/>
              <w:marRight w:val="0"/>
              <w:marTop w:val="0"/>
              <w:marBottom w:val="0"/>
              <w:divBdr>
                <w:top w:val="none" w:sz="0" w:space="0" w:color="auto"/>
                <w:left w:val="none" w:sz="0" w:space="0" w:color="auto"/>
                <w:bottom w:val="none" w:sz="0" w:space="0" w:color="auto"/>
                <w:right w:val="none" w:sz="0" w:space="0" w:color="auto"/>
              </w:divBdr>
            </w:div>
          </w:divsChild>
        </w:div>
        <w:div w:id="2065786104">
          <w:marLeft w:val="0"/>
          <w:marRight w:val="0"/>
          <w:marTop w:val="0"/>
          <w:marBottom w:val="0"/>
          <w:divBdr>
            <w:top w:val="none" w:sz="0" w:space="0" w:color="auto"/>
            <w:left w:val="none" w:sz="0" w:space="0" w:color="auto"/>
            <w:bottom w:val="none" w:sz="0" w:space="0" w:color="auto"/>
            <w:right w:val="none" w:sz="0" w:space="0" w:color="auto"/>
          </w:divBdr>
          <w:divsChild>
            <w:div w:id="1533765212">
              <w:marLeft w:val="0"/>
              <w:marRight w:val="0"/>
              <w:marTop w:val="0"/>
              <w:marBottom w:val="0"/>
              <w:divBdr>
                <w:top w:val="none" w:sz="0" w:space="0" w:color="auto"/>
                <w:left w:val="none" w:sz="0" w:space="0" w:color="auto"/>
                <w:bottom w:val="none" w:sz="0" w:space="0" w:color="auto"/>
                <w:right w:val="none" w:sz="0" w:space="0" w:color="auto"/>
              </w:divBdr>
            </w:div>
          </w:divsChild>
        </w:div>
        <w:div w:id="2067953314">
          <w:marLeft w:val="0"/>
          <w:marRight w:val="0"/>
          <w:marTop w:val="0"/>
          <w:marBottom w:val="0"/>
          <w:divBdr>
            <w:top w:val="none" w:sz="0" w:space="0" w:color="auto"/>
            <w:left w:val="none" w:sz="0" w:space="0" w:color="auto"/>
            <w:bottom w:val="none" w:sz="0" w:space="0" w:color="auto"/>
            <w:right w:val="none" w:sz="0" w:space="0" w:color="auto"/>
          </w:divBdr>
          <w:divsChild>
            <w:div w:id="305013348">
              <w:marLeft w:val="0"/>
              <w:marRight w:val="0"/>
              <w:marTop w:val="0"/>
              <w:marBottom w:val="0"/>
              <w:divBdr>
                <w:top w:val="none" w:sz="0" w:space="0" w:color="auto"/>
                <w:left w:val="none" w:sz="0" w:space="0" w:color="auto"/>
                <w:bottom w:val="none" w:sz="0" w:space="0" w:color="auto"/>
                <w:right w:val="none" w:sz="0" w:space="0" w:color="auto"/>
              </w:divBdr>
            </w:div>
          </w:divsChild>
        </w:div>
        <w:div w:id="2088066563">
          <w:marLeft w:val="0"/>
          <w:marRight w:val="0"/>
          <w:marTop w:val="0"/>
          <w:marBottom w:val="0"/>
          <w:divBdr>
            <w:top w:val="none" w:sz="0" w:space="0" w:color="auto"/>
            <w:left w:val="none" w:sz="0" w:space="0" w:color="auto"/>
            <w:bottom w:val="none" w:sz="0" w:space="0" w:color="auto"/>
            <w:right w:val="none" w:sz="0" w:space="0" w:color="auto"/>
          </w:divBdr>
          <w:divsChild>
            <w:div w:id="2114662957">
              <w:marLeft w:val="0"/>
              <w:marRight w:val="0"/>
              <w:marTop w:val="0"/>
              <w:marBottom w:val="0"/>
              <w:divBdr>
                <w:top w:val="none" w:sz="0" w:space="0" w:color="auto"/>
                <w:left w:val="none" w:sz="0" w:space="0" w:color="auto"/>
                <w:bottom w:val="none" w:sz="0" w:space="0" w:color="auto"/>
                <w:right w:val="none" w:sz="0" w:space="0" w:color="auto"/>
              </w:divBdr>
            </w:div>
          </w:divsChild>
        </w:div>
        <w:div w:id="2107144605">
          <w:marLeft w:val="0"/>
          <w:marRight w:val="0"/>
          <w:marTop w:val="0"/>
          <w:marBottom w:val="0"/>
          <w:divBdr>
            <w:top w:val="none" w:sz="0" w:space="0" w:color="auto"/>
            <w:left w:val="none" w:sz="0" w:space="0" w:color="auto"/>
            <w:bottom w:val="none" w:sz="0" w:space="0" w:color="auto"/>
            <w:right w:val="none" w:sz="0" w:space="0" w:color="auto"/>
          </w:divBdr>
          <w:divsChild>
            <w:div w:id="202837303">
              <w:marLeft w:val="0"/>
              <w:marRight w:val="0"/>
              <w:marTop w:val="0"/>
              <w:marBottom w:val="0"/>
              <w:divBdr>
                <w:top w:val="none" w:sz="0" w:space="0" w:color="auto"/>
                <w:left w:val="none" w:sz="0" w:space="0" w:color="auto"/>
                <w:bottom w:val="none" w:sz="0" w:space="0" w:color="auto"/>
                <w:right w:val="none" w:sz="0" w:space="0" w:color="auto"/>
              </w:divBdr>
            </w:div>
          </w:divsChild>
        </w:div>
        <w:div w:id="2115593496">
          <w:marLeft w:val="0"/>
          <w:marRight w:val="0"/>
          <w:marTop w:val="0"/>
          <w:marBottom w:val="0"/>
          <w:divBdr>
            <w:top w:val="none" w:sz="0" w:space="0" w:color="auto"/>
            <w:left w:val="none" w:sz="0" w:space="0" w:color="auto"/>
            <w:bottom w:val="none" w:sz="0" w:space="0" w:color="auto"/>
            <w:right w:val="none" w:sz="0" w:space="0" w:color="auto"/>
          </w:divBdr>
          <w:divsChild>
            <w:div w:id="1684472819">
              <w:marLeft w:val="0"/>
              <w:marRight w:val="0"/>
              <w:marTop w:val="0"/>
              <w:marBottom w:val="0"/>
              <w:divBdr>
                <w:top w:val="none" w:sz="0" w:space="0" w:color="auto"/>
                <w:left w:val="none" w:sz="0" w:space="0" w:color="auto"/>
                <w:bottom w:val="none" w:sz="0" w:space="0" w:color="auto"/>
                <w:right w:val="none" w:sz="0" w:space="0" w:color="auto"/>
              </w:divBdr>
            </w:div>
          </w:divsChild>
        </w:div>
        <w:div w:id="2115900472">
          <w:marLeft w:val="0"/>
          <w:marRight w:val="0"/>
          <w:marTop w:val="0"/>
          <w:marBottom w:val="0"/>
          <w:divBdr>
            <w:top w:val="none" w:sz="0" w:space="0" w:color="auto"/>
            <w:left w:val="none" w:sz="0" w:space="0" w:color="auto"/>
            <w:bottom w:val="none" w:sz="0" w:space="0" w:color="auto"/>
            <w:right w:val="none" w:sz="0" w:space="0" w:color="auto"/>
          </w:divBdr>
          <w:divsChild>
            <w:div w:id="1615164277">
              <w:marLeft w:val="0"/>
              <w:marRight w:val="0"/>
              <w:marTop w:val="0"/>
              <w:marBottom w:val="0"/>
              <w:divBdr>
                <w:top w:val="none" w:sz="0" w:space="0" w:color="auto"/>
                <w:left w:val="none" w:sz="0" w:space="0" w:color="auto"/>
                <w:bottom w:val="none" w:sz="0" w:space="0" w:color="auto"/>
                <w:right w:val="none" w:sz="0" w:space="0" w:color="auto"/>
              </w:divBdr>
            </w:div>
          </w:divsChild>
        </w:div>
        <w:div w:id="2137599380">
          <w:marLeft w:val="0"/>
          <w:marRight w:val="0"/>
          <w:marTop w:val="0"/>
          <w:marBottom w:val="0"/>
          <w:divBdr>
            <w:top w:val="none" w:sz="0" w:space="0" w:color="auto"/>
            <w:left w:val="none" w:sz="0" w:space="0" w:color="auto"/>
            <w:bottom w:val="none" w:sz="0" w:space="0" w:color="auto"/>
            <w:right w:val="none" w:sz="0" w:space="0" w:color="auto"/>
          </w:divBdr>
          <w:divsChild>
            <w:div w:id="1144928470">
              <w:marLeft w:val="0"/>
              <w:marRight w:val="0"/>
              <w:marTop w:val="0"/>
              <w:marBottom w:val="0"/>
              <w:divBdr>
                <w:top w:val="none" w:sz="0" w:space="0" w:color="auto"/>
                <w:left w:val="none" w:sz="0" w:space="0" w:color="auto"/>
                <w:bottom w:val="none" w:sz="0" w:space="0" w:color="auto"/>
                <w:right w:val="none" w:sz="0" w:space="0" w:color="auto"/>
              </w:divBdr>
            </w:div>
          </w:divsChild>
        </w:div>
        <w:div w:id="2142842587">
          <w:marLeft w:val="0"/>
          <w:marRight w:val="0"/>
          <w:marTop w:val="0"/>
          <w:marBottom w:val="0"/>
          <w:divBdr>
            <w:top w:val="none" w:sz="0" w:space="0" w:color="auto"/>
            <w:left w:val="none" w:sz="0" w:space="0" w:color="auto"/>
            <w:bottom w:val="none" w:sz="0" w:space="0" w:color="auto"/>
            <w:right w:val="none" w:sz="0" w:space="0" w:color="auto"/>
          </w:divBdr>
          <w:divsChild>
            <w:div w:id="847140997">
              <w:marLeft w:val="0"/>
              <w:marRight w:val="0"/>
              <w:marTop w:val="0"/>
              <w:marBottom w:val="0"/>
              <w:divBdr>
                <w:top w:val="none" w:sz="0" w:space="0" w:color="auto"/>
                <w:left w:val="none" w:sz="0" w:space="0" w:color="auto"/>
                <w:bottom w:val="none" w:sz="0" w:space="0" w:color="auto"/>
                <w:right w:val="none" w:sz="0" w:space="0" w:color="auto"/>
              </w:divBdr>
            </w:div>
          </w:divsChild>
        </w:div>
        <w:div w:id="2146773235">
          <w:marLeft w:val="0"/>
          <w:marRight w:val="0"/>
          <w:marTop w:val="0"/>
          <w:marBottom w:val="0"/>
          <w:divBdr>
            <w:top w:val="none" w:sz="0" w:space="0" w:color="auto"/>
            <w:left w:val="none" w:sz="0" w:space="0" w:color="auto"/>
            <w:bottom w:val="none" w:sz="0" w:space="0" w:color="auto"/>
            <w:right w:val="none" w:sz="0" w:space="0" w:color="auto"/>
          </w:divBdr>
          <w:divsChild>
            <w:div w:id="76588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853041">
      <w:bodyDiv w:val="1"/>
      <w:marLeft w:val="0"/>
      <w:marRight w:val="0"/>
      <w:marTop w:val="0"/>
      <w:marBottom w:val="0"/>
      <w:divBdr>
        <w:top w:val="none" w:sz="0" w:space="0" w:color="auto"/>
        <w:left w:val="none" w:sz="0" w:space="0" w:color="auto"/>
        <w:bottom w:val="none" w:sz="0" w:space="0" w:color="auto"/>
        <w:right w:val="none" w:sz="0" w:space="0" w:color="auto"/>
      </w:divBdr>
      <w:divsChild>
        <w:div w:id="53621232">
          <w:marLeft w:val="0"/>
          <w:marRight w:val="0"/>
          <w:marTop w:val="0"/>
          <w:marBottom w:val="0"/>
          <w:divBdr>
            <w:top w:val="none" w:sz="0" w:space="0" w:color="auto"/>
            <w:left w:val="none" w:sz="0" w:space="0" w:color="auto"/>
            <w:bottom w:val="none" w:sz="0" w:space="0" w:color="auto"/>
            <w:right w:val="none" w:sz="0" w:space="0" w:color="auto"/>
          </w:divBdr>
        </w:div>
        <w:div w:id="67193872">
          <w:marLeft w:val="0"/>
          <w:marRight w:val="0"/>
          <w:marTop w:val="0"/>
          <w:marBottom w:val="0"/>
          <w:divBdr>
            <w:top w:val="none" w:sz="0" w:space="0" w:color="auto"/>
            <w:left w:val="none" w:sz="0" w:space="0" w:color="auto"/>
            <w:bottom w:val="none" w:sz="0" w:space="0" w:color="auto"/>
            <w:right w:val="none" w:sz="0" w:space="0" w:color="auto"/>
          </w:divBdr>
        </w:div>
        <w:div w:id="333608152">
          <w:marLeft w:val="0"/>
          <w:marRight w:val="0"/>
          <w:marTop w:val="0"/>
          <w:marBottom w:val="0"/>
          <w:divBdr>
            <w:top w:val="none" w:sz="0" w:space="0" w:color="auto"/>
            <w:left w:val="none" w:sz="0" w:space="0" w:color="auto"/>
            <w:bottom w:val="none" w:sz="0" w:space="0" w:color="auto"/>
            <w:right w:val="none" w:sz="0" w:space="0" w:color="auto"/>
          </w:divBdr>
        </w:div>
        <w:div w:id="494734676">
          <w:marLeft w:val="0"/>
          <w:marRight w:val="0"/>
          <w:marTop w:val="0"/>
          <w:marBottom w:val="0"/>
          <w:divBdr>
            <w:top w:val="none" w:sz="0" w:space="0" w:color="auto"/>
            <w:left w:val="none" w:sz="0" w:space="0" w:color="auto"/>
            <w:bottom w:val="none" w:sz="0" w:space="0" w:color="auto"/>
            <w:right w:val="none" w:sz="0" w:space="0" w:color="auto"/>
          </w:divBdr>
        </w:div>
        <w:div w:id="538661791">
          <w:marLeft w:val="0"/>
          <w:marRight w:val="0"/>
          <w:marTop w:val="0"/>
          <w:marBottom w:val="0"/>
          <w:divBdr>
            <w:top w:val="none" w:sz="0" w:space="0" w:color="auto"/>
            <w:left w:val="none" w:sz="0" w:space="0" w:color="auto"/>
            <w:bottom w:val="none" w:sz="0" w:space="0" w:color="auto"/>
            <w:right w:val="none" w:sz="0" w:space="0" w:color="auto"/>
          </w:divBdr>
        </w:div>
        <w:div w:id="564730553">
          <w:marLeft w:val="0"/>
          <w:marRight w:val="0"/>
          <w:marTop w:val="0"/>
          <w:marBottom w:val="0"/>
          <w:divBdr>
            <w:top w:val="none" w:sz="0" w:space="0" w:color="auto"/>
            <w:left w:val="none" w:sz="0" w:space="0" w:color="auto"/>
            <w:bottom w:val="none" w:sz="0" w:space="0" w:color="auto"/>
            <w:right w:val="none" w:sz="0" w:space="0" w:color="auto"/>
          </w:divBdr>
        </w:div>
        <w:div w:id="797838268">
          <w:marLeft w:val="0"/>
          <w:marRight w:val="0"/>
          <w:marTop w:val="0"/>
          <w:marBottom w:val="0"/>
          <w:divBdr>
            <w:top w:val="none" w:sz="0" w:space="0" w:color="auto"/>
            <w:left w:val="none" w:sz="0" w:space="0" w:color="auto"/>
            <w:bottom w:val="none" w:sz="0" w:space="0" w:color="auto"/>
            <w:right w:val="none" w:sz="0" w:space="0" w:color="auto"/>
          </w:divBdr>
        </w:div>
        <w:div w:id="815612762">
          <w:marLeft w:val="0"/>
          <w:marRight w:val="0"/>
          <w:marTop w:val="0"/>
          <w:marBottom w:val="0"/>
          <w:divBdr>
            <w:top w:val="none" w:sz="0" w:space="0" w:color="auto"/>
            <w:left w:val="none" w:sz="0" w:space="0" w:color="auto"/>
            <w:bottom w:val="none" w:sz="0" w:space="0" w:color="auto"/>
            <w:right w:val="none" w:sz="0" w:space="0" w:color="auto"/>
          </w:divBdr>
        </w:div>
        <w:div w:id="818614800">
          <w:marLeft w:val="0"/>
          <w:marRight w:val="0"/>
          <w:marTop w:val="0"/>
          <w:marBottom w:val="0"/>
          <w:divBdr>
            <w:top w:val="none" w:sz="0" w:space="0" w:color="auto"/>
            <w:left w:val="none" w:sz="0" w:space="0" w:color="auto"/>
            <w:bottom w:val="none" w:sz="0" w:space="0" w:color="auto"/>
            <w:right w:val="none" w:sz="0" w:space="0" w:color="auto"/>
          </w:divBdr>
        </w:div>
        <w:div w:id="924267346">
          <w:marLeft w:val="0"/>
          <w:marRight w:val="0"/>
          <w:marTop w:val="0"/>
          <w:marBottom w:val="0"/>
          <w:divBdr>
            <w:top w:val="none" w:sz="0" w:space="0" w:color="auto"/>
            <w:left w:val="none" w:sz="0" w:space="0" w:color="auto"/>
            <w:bottom w:val="none" w:sz="0" w:space="0" w:color="auto"/>
            <w:right w:val="none" w:sz="0" w:space="0" w:color="auto"/>
          </w:divBdr>
        </w:div>
        <w:div w:id="982857150">
          <w:marLeft w:val="0"/>
          <w:marRight w:val="0"/>
          <w:marTop w:val="0"/>
          <w:marBottom w:val="0"/>
          <w:divBdr>
            <w:top w:val="none" w:sz="0" w:space="0" w:color="auto"/>
            <w:left w:val="none" w:sz="0" w:space="0" w:color="auto"/>
            <w:bottom w:val="none" w:sz="0" w:space="0" w:color="auto"/>
            <w:right w:val="none" w:sz="0" w:space="0" w:color="auto"/>
          </w:divBdr>
        </w:div>
        <w:div w:id="1140222163">
          <w:marLeft w:val="0"/>
          <w:marRight w:val="0"/>
          <w:marTop w:val="0"/>
          <w:marBottom w:val="0"/>
          <w:divBdr>
            <w:top w:val="none" w:sz="0" w:space="0" w:color="auto"/>
            <w:left w:val="none" w:sz="0" w:space="0" w:color="auto"/>
            <w:bottom w:val="none" w:sz="0" w:space="0" w:color="auto"/>
            <w:right w:val="none" w:sz="0" w:space="0" w:color="auto"/>
          </w:divBdr>
        </w:div>
        <w:div w:id="1183278650">
          <w:marLeft w:val="0"/>
          <w:marRight w:val="0"/>
          <w:marTop w:val="0"/>
          <w:marBottom w:val="0"/>
          <w:divBdr>
            <w:top w:val="none" w:sz="0" w:space="0" w:color="auto"/>
            <w:left w:val="none" w:sz="0" w:space="0" w:color="auto"/>
            <w:bottom w:val="none" w:sz="0" w:space="0" w:color="auto"/>
            <w:right w:val="none" w:sz="0" w:space="0" w:color="auto"/>
          </w:divBdr>
        </w:div>
        <w:div w:id="1234506041">
          <w:marLeft w:val="0"/>
          <w:marRight w:val="0"/>
          <w:marTop w:val="0"/>
          <w:marBottom w:val="0"/>
          <w:divBdr>
            <w:top w:val="none" w:sz="0" w:space="0" w:color="auto"/>
            <w:left w:val="none" w:sz="0" w:space="0" w:color="auto"/>
            <w:bottom w:val="none" w:sz="0" w:space="0" w:color="auto"/>
            <w:right w:val="none" w:sz="0" w:space="0" w:color="auto"/>
          </w:divBdr>
        </w:div>
        <w:div w:id="1327052138">
          <w:marLeft w:val="0"/>
          <w:marRight w:val="0"/>
          <w:marTop w:val="0"/>
          <w:marBottom w:val="0"/>
          <w:divBdr>
            <w:top w:val="none" w:sz="0" w:space="0" w:color="auto"/>
            <w:left w:val="none" w:sz="0" w:space="0" w:color="auto"/>
            <w:bottom w:val="none" w:sz="0" w:space="0" w:color="auto"/>
            <w:right w:val="none" w:sz="0" w:space="0" w:color="auto"/>
          </w:divBdr>
        </w:div>
        <w:div w:id="1334260745">
          <w:marLeft w:val="0"/>
          <w:marRight w:val="0"/>
          <w:marTop w:val="0"/>
          <w:marBottom w:val="0"/>
          <w:divBdr>
            <w:top w:val="none" w:sz="0" w:space="0" w:color="auto"/>
            <w:left w:val="none" w:sz="0" w:space="0" w:color="auto"/>
            <w:bottom w:val="none" w:sz="0" w:space="0" w:color="auto"/>
            <w:right w:val="none" w:sz="0" w:space="0" w:color="auto"/>
          </w:divBdr>
        </w:div>
        <w:div w:id="1443038903">
          <w:marLeft w:val="0"/>
          <w:marRight w:val="0"/>
          <w:marTop w:val="0"/>
          <w:marBottom w:val="0"/>
          <w:divBdr>
            <w:top w:val="none" w:sz="0" w:space="0" w:color="auto"/>
            <w:left w:val="none" w:sz="0" w:space="0" w:color="auto"/>
            <w:bottom w:val="none" w:sz="0" w:space="0" w:color="auto"/>
            <w:right w:val="none" w:sz="0" w:space="0" w:color="auto"/>
          </w:divBdr>
        </w:div>
        <w:div w:id="1695224481">
          <w:marLeft w:val="0"/>
          <w:marRight w:val="0"/>
          <w:marTop w:val="0"/>
          <w:marBottom w:val="0"/>
          <w:divBdr>
            <w:top w:val="none" w:sz="0" w:space="0" w:color="auto"/>
            <w:left w:val="none" w:sz="0" w:space="0" w:color="auto"/>
            <w:bottom w:val="none" w:sz="0" w:space="0" w:color="auto"/>
            <w:right w:val="none" w:sz="0" w:space="0" w:color="auto"/>
          </w:divBdr>
        </w:div>
        <w:div w:id="1712267471">
          <w:marLeft w:val="0"/>
          <w:marRight w:val="0"/>
          <w:marTop w:val="0"/>
          <w:marBottom w:val="0"/>
          <w:divBdr>
            <w:top w:val="none" w:sz="0" w:space="0" w:color="auto"/>
            <w:left w:val="none" w:sz="0" w:space="0" w:color="auto"/>
            <w:bottom w:val="none" w:sz="0" w:space="0" w:color="auto"/>
            <w:right w:val="none" w:sz="0" w:space="0" w:color="auto"/>
          </w:divBdr>
        </w:div>
        <w:div w:id="2010135628">
          <w:marLeft w:val="0"/>
          <w:marRight w:val="0"/>
          <w:marTop w:val="0"/>
          <w:marBottom w:val="0"/>
          <w:divBdr>
            <w:top w:val="none" w:sz="0" w:space="0" w:color="auto"/>
            <w:left w:val="none" w:sz="0" w:space="0" w:color="auto"/>
            <w:bottom w:val="none" w:sz="0" w:space="0" w:color="auto"/>
            <w:right w:val="none" w:sz="0" w:space="0" w:color="auto"/>
          </w:divBdr>
        </w:div>
        <w:div w:id="2140024597">
          <w:marLeft w:val="0"/>
          <w:marRight w:val="0"/>
          <w:marTop w:val="0"/>
          <w:marBottom w:val="0"/>
          <w:divBdr>
            <w:top w:val="none" w:sz="0" w:space="0" w:color="auto"/>
            <w:left w:val="none" w:sz="0" w:space="0" w:color="auto"/>
            <w:bottom w:val="none" w:sz="0" w:space="0" w:color="auto"/>
            <w:right w:val="none" w:sz="0" w:space="0" w:color="auto"/>
          </w:divBdr>
        </w:div>
      </w:divsChild>
    </w:div>
    <w:div w:id="831606785">
      <w:bodyDiv w:val="1"/>
      <w:marLeft w:val="0"/>
      <w:marRight w:val="0"/>
      <w:marTop w:val="0"/>
      <w:marBottom w:val="0"/>
      <w:divBdr>
        <w:top w:val="none" w:sz="0" w:space="0" w:color="auto"/>
        <w:left w:val="none" w:sz="0" w:space="0" w:color="auto"/>
        <w:bottom w:val="none" w:sz="0" w:space="0" w:color="auto"/>
        <w:right w:val="none" w:sz="0" w:space="0" w:color="auto"/>
      </w:divBdr>
    </w:div>
    <w:div w:id="937759212">
      <w:bodyDiv w:val="1"/>
      <w:marLeft w:val="0"/>
      <w:marRight w:val="0"/>
      <w:marTop w:val="0"/>
      <w:marBottom w:val="0"/>
      <w:divBdr>
        <w:top w:val="none" w:sz="0" w:space="0" w:color="auto"/>
        <w:left w:val="none" w:sz="0" w:space="0" w:color="auto"/>
        <w:bottom w:val="none" w:sz="0" w:space="0" w:color="auto"/>
        <w:right w:val="none" w:sz="0" w:space="0" w:color="auto"/>
      </w:divBdr>
      <w:divsChild>
        <w:div w:id="18553947">
          <w:marLeft w:val="0"/>
          <w:marRight w:val="0"/>
          <w:marTop w:val="0"/>
          <w:marBottom w:val="0"/>
          <w:divBdr>
            <w:top w:val="none" w:sz="0" w:space="0" w:color="auto"/>
            <w:left w:val="none" w:sz="0" w:space="0" w:color="auto"/>
            <w:bottom w:val="none" w:sz="0" w:space="0" w:color="auto"/>
            <w:right w:val="none" w:sz="0" w:space="0" w:color="auto"/>
          </w:divBdr>
          <w:divsChild>
            <w:div w:id="864711294">
              <w:marLeft w:val="0"/>
              <w:marRight w:val="0"/>
              <w:marTop w:val="0"/>
              <w:marBottom w:val="0"/>
              <w:divBdr>
                <w:top w:val="none" w:sz="0" w:space="0" w:color="auto"/>
                <w:left w:val="none" w:sz="0" w:space="0" w:color="auto"/>
                <w:bottom w:val="none" w:sz="0" w:space="0" w:color="auto"/>
                <w:right w:val="none" w:sz="0" w:space="0" w:color="auto"/>
              </w:divBdr>
            </w:div>
          </w:divsChild>
        </w:div>
        <w:div w:id="20127260">
          <w:marLeft w:val="0"/>
          <w:marRight w:val="0"/>
          <w:marTop w:val="0"/>
          <w:marBottom w:val="0"/>
          <w:divBdr>
            <w:top w:val="none" w:sz="0" w:space="0" w:color="auto"/>
            <w:left w:val="none" w:sz="0" w:space="0" w:color="auto"/>
            <w:bottom w:val="none" w:sz="0" w:space="0" w:color="auto"/>
            <w:right w:val="none" w:sz="0" w:space="0" w:color="auto"/>
          </w:divBdr>
          <w:divsChild>
            <w:div w:id="833227263">
              <w:marLeft w:val="0"/>
              <w:marRight w:val="0"/>
              <w:marTop w:val="0"/>
              <w:marBottom w:val="0"/>
              <w:divBdr>
                <w:top w:val="none" w:sz="0" w:space="0" w:color="auto"/>
                <w:left w:val="none" w:sz="0" w:space="0" w:color="auto"/>
                <w:bottom w:val="none" w:sz="0" w:space="0" w:color="auto"/>
                <w:right w:val="none" w:sz="0" w:space="0" w:color="auto"/>
              </w:divBdr>
            </w:div>
          </w:divsChild>
        </w:div>
        <w:div w:id="37361638">
          <w:marLeft w:val="0"/>
          <w:marRight w:val="0"/>
          <w:marTop w:val="0"/>
          <w:marBottom w:val="0"/>
          <w:divBdr>
            <w:top w:val="none" w:sz="0" w:space="0" w:color="auto"/>
            <w:left w:val="none" w:sz="0" w:space="0" w:color="auto"/>
            <w:bottom w:val="none" w:sz="0" w:space="0" w:color="auto"/>
            <w:right w:val="none" w:sz="0" w:space="0" w:color="auto"/>
          </w:divBdr>
          <w:divsChild>
            <w:div w:id="48968457">
              <w:marLeft w:val="0"/>
              <w:marRight w:val="0"/>
              <w:marTop w:val="0"/>
              <w:marBottom w:val="0"/>
              <w:divBdr>
                <w:top w:val="none" w:sz="0" w:space="0" w:color="auto"/>
                <w:left w:val="none" w:sz="0" w:space="0" w:color="auto"/>
                <w:bottom w:val="none" w:sz="0" w:space="0" w:color="auto"/>
                <w:right w:val="none" w:sz="0" w:space="0" w:color="auto"/>
              </w:divBdr>
            </w:div>
          </w:divsChild>
        </w:div>
        <w:div w:id="66615806">
          <w:marLeft w:val="0"/>
          <w:marRight w:val="0"/>
          <w:marTop w:val="0"/>
          <w:marBottom w:val="0"/>
          <w:divBdr>
            <w:top w:val="none" w:sz="0" w:space="0" w:color="auto"/>
            <w:left w:val="none" w:sz="0" w:space="0" w:color="auto"/>
            <w:bottom w:val="none" w:sz="0" w:space="0" w:color="auto"/>
            <w:right w:val="none" w:sz="0" w:space="0" w:color="auto"/>
          </w:divBdr>
          <w:divsChild>
            <w:div w:id="188447235">
              <w:marLeft w:val="0"/>
              <w:marRight w:val="0"/>
              <w:marTop w:val="0"/>
              <w:marBottom w:val="0"/>
              <w:divBdr>
                <w:top w:val="none" w:sz="0" w:space="0" w:color="auto"/>
                <w:left w:val="none" w:sz="0" w:space="0" w:color="auto"/>
                <w:bottom w:val="none" w:sz="0" w:space="0" w:color="auto"/>
                <w:right w:val="none" w:sz="0" w:space="0" w:color="auto"/>
              </w:divBdr>
            </w:div>
          </w:divsChild>
        </w:div>
        <w:div w:id="101343168">
          <w:marLeft w:val="0"/>
          <w:marRight w:val="0"/>
          <w:marTop w:val="0"/>
          <w:marBottom w:val="0"/>
          <w:divBdr>
            <w:top w:val="none" w:sz="0" w:space="0" w:color="auto"/>
            <w:left w:val="none" w:sz="0" w:space="0" w:color="auto"/>
            <w:bottom w:val="none" w:sz="0" w:space="0" w:color="auto"/>
            <w:right w:val="none" w:sz="0" w:space="0" w:color="auto"/>
          </w:divBdr>
          <w:divsChild>
            <w:div w:id="1243024168">
              <w:marLeft w:val="0"/>
              <w:marRight w:val="0"/>
              <w:marTop w:val="0"/>
              <w:marBottom w:val="0"/>
              <w:divBdr>
                <w:top w:val="none" w:sz="0" w:space="0" w:color="auto"/>
                <w:left w:val="none" w:sz="0" w:space="0" w:color="auto"/>
                <w:bottom w:val="none" w:sz="0" w:space="0" w:color="auto"/>
                <w:right w:val="none" w:sz="0" w:space="0" w:color="auto"/>
              </w:divBdr>
            </w:div>
          </w:divsChild>
        </w:div>
        <w:div w:id="116875584">
          <w:marLeft w:val="0"/>
          <w:marRight w:val="0"/>
          <w:marTop w:val="0"/>
          <w:marBottom w:val="0"/>
          <w:divBdr>
            <w:top w:val="none" w:sz="0" w:space="0" w:color="auto"/>
            <w:left w:val="none" w:sz="0" w:space="0" w:color="auto"/>
            <w:bottom w:val="none" w:sz="0" w:space="0" w:color="auto"/>
            <w:right w:val="none" w:sz="0" w:space="0" w:color="auto"/>
          </w:divBdr>
          <w:divsChild>
            <w:div w:id="940837395">
              <w:marLeft w:val="0"/>
              <w:marRight w:val="0"/>
              <w:marTop w:val="0"/>
              <w:marBottom w:val="0"/>
              <w:divBdr>
                <w:top w:val="none" w:sz="0" w:space="0" w:color="auto"/>
                <w:left w:val="none" w:sz="0" w:space="0" w:color="auto"/>
                <w:bottom w:val="none" w:sz="0" w:space="0" w:color="auto"/>
                <w:right w:val="none" w:sz="0" w:space="0" w:color="auto"/>
              </w:divBdr>
            </w:div>
          </w:divsChild>
        </w:div>
        <w:div w:id="119232205">
          <w:marLeft w:val="0"/>
          <w:marRight w:val="0"/>
          <w:marTop w:val="0"/>
          <w:marBottom w:val="0"/>
          <w:divBdr>
            <w:top w:val="none" w:sz="0" w:space="0" w:color="auto"/>
            <w:left w:val="none" w:sz="0" w:space="0" w:color="auto"/>
            <w:bottom w:val="none" w:sz="0" w:space="0" w:color="auto"/>
            <w:right w:val="none" w:sz="0" w:space="0" w:color="auto"/>
          </w:divBdr>
          <w:divsChild>
            <w:div w:id="1627544813">
              <w:marLeft w:val="0"/>
              <w:marRight w:val="0"/>
              <w:marTop w:val="0"/>
              <w:marBottom w:val="0"/>
              <w:divBdr>
                <w:top w:val="none" w:sz="0" w:space="0" w:color="auto"/>
                <w:left w:val="none" w:sz="0" w:space="0" w:color="auto"/>
                <w:bottom w:val="none" w:sz="0" w:space="0" w:color="auto"/>
                <w:right w:val="none" w:sz="0" w:space="0" w:color="auto"/>
              </w:divBdr>
            </w:div>
          </w:divsChild>
        </w:div>
        <w:div w:id="123735571">
          <w:marLeft w:val="0"/>
          <w:marRight w:val="0"/>
          <w:marTop w:val="0"/>
          <w:marBottom w:val="0"/>
          <w:divBdr>
            <w:top w:val="none" w:sz="0" w:space="0" w:color="auto"/>
            <w:left w:val="none" w:sz="0" w:space="0" w:color="auto"/>
            <w:bottom w:val="none" w:sz="0" w:space="0" w:color="auto"/>
            <w:right w:val="none" w:sz="0" w:space="0" w:color="auto"/>
          </w:divBdr>
          <w:divsChild>
            <w:div w:id="2063483532">
              <w:marLeft w:val="0"/>
              <w:marRight w:val="0"/>
              <w:marTop w:val="0"/>
              <w:marBottom w:val="0"/>
              <w:divBdr>
                <w:top w:val="none" w:sz="0" w:space="0" w:color="auto"/>
                <w:left w:val="none" w:sz="0" w:space="0" w:color="auto"/>
                <w:bottom w:val="none" w:sz="0" w:space="0" w:color="auto"/>
                <w:right w:val="none" w:sz="0" w:space="0" w:color="auto"/>
              </w:divBdr>
            </w:div>
          </w:divsChild>
        </w:div>
        <w:div w:id="139152385">
          <w:marLeft w:val="0"/>
          <w:marRight w:val="0"/>
          <w:marTop w:val="0"/>
          <w:marBottom w:val="0"/>
          <w:divBdr>
            <w:top w:val="none" w:sz="0" w:space="0" w:color="auto"/>
            <w:left w:val="none" w:sz="0" w:space="0" w:color="auto"/>
            <w:bottom w:val="none" w:sz="0" w:space="0" w:color="auto"/>
            <w:right w:val="none" w:sz="0" w:space="0" w:color="auto"/>
          </w:divBdr>
          <w:divsChild>
            <w:div w:id="1920598310">
              <w:marLeft w:val="0"/>
              <w:marRight w:val="0"/>
              <w:marTop w:val="0"/>
              <w:marBottom w:val="0"/>
              <w:divBdr>
                <w:top w:val="none" w:sz="0" w:space="0" w:color="auto"/>
                <w:left w:val="none" w:sz="0" w:space="0" w:color="auto"/>
                <w:bottom w:val="none" w:sz="0" w:space="0" w:color="auto"/>
                <w:right w:val="none" w:sz="0" w:space="0" w:color="auto"/>
              </w:divBdr>
            </w:div>
          </w:divsChild>
        </w:div>
        <w:div w:id="154103374">
          <w:marLeft w:val="0"/>
          <w:marRight w:val="0"/>
          <w:marTop w:val="0"/>
          <w:marBottom w:val="0"/>
          <w:divBdr>
            <w:top w:val="none" w:sz="0" w:space="0" w:color="auto"/>
            <w:left w:val="none" w:sz="0" w:space="0" w:color="auto"/>
            <w:bottom w:val="none" w:sz="0" w:space="0" w:color="auto"/>
            <w:right w:val="none" w:sz="0" w:space="0" w:color="auto"/>
          </w:divBdr>
          <w:divsChild>
            <w:div w:id="1196583737">
              <w:marLeft w:val="0"/>
              <w:marRight w:val="0"/>
              <w:marTop w:val="0"/>
              <w:marBottom w:val="0"/>
              <w:divBdr>
                <w:top w:val="none" w:sz="0" w:space="0" w:color="auto"/>
                <w:left w:val="none" w:sz="0" w:space="0" w:color="auto"/>
                <w:bottom w:val="none" w:sz="0" w:space="0" w:color="auto"/>
                <w:right w:val="none" w:sz="0" w:space="0" w:color="auto"/>
              </w:divBdr>
            </w:div>
          </w:divsChild>
        </w:div>
        <w:div w:id="203375106">
          <w:marLeft w:val="0"/>
          <w:marRight w:val="0"/>
          <w:marTop w:val="0"/>
          <w:marBottom w:val="0"/>
          <w:divBdr>
            <w:top w:val="none" w:sz="0" w:space="0" w:color="auto"/>
            <w:left w:val="none" w:sz="0" w:space="0" w:color="auto"/>
            <w:bottom w:val="none" w:sz="0" w:space="0" w:color="auto"/>
            <w:right w:val="none" w:sz="0" w:space="0" w:color="auto"/>
          </w:divBdr>
          <w:divsChild>
            <w:div w:id="1557736822">
              <w:marLeft w:val="0"/>
              <w:marRight w:val="0"/>
              <w:marTop w:val="0"/>
              <w:marBottom w:val="0"/>
              <w:divBdr>
                <w:top w:val="none" w:sz="0" w:space="0" w:color="auto"/>
                <w:left w:val="none" w:sz="0" w:space="0" w:color="auto"/>
                <w:bottom w:val="none" w:sz="0" w:space="0" w:color="auto"/>
                <w:right w:val="none" w:sz="0" w:space="0" w:color="auto"/>
              </w:divBdr>
            </w:div>
          </w:divsChild>
        </w:div>
        <w:div w:id="203711678">
          <w:marLeft w:val="0"/>
          <w:marRight w:val="0"/>
          <w:marTop w:val="0"/>
          <w:marBottom w:val="0"/>
          <w:divBdr>
            <w:top w:val="none" w:sz="0" w:space="0" w:color="auto"/>
            <w:left w:val="none" w:sz="0" w:space="0" w:color="auto"/>
            <w:bottom w:val="none" w:sz="0" w:space="0" w:color="auto"/>
            <w:right w:val="none" w:sz="0" w:space="0" w:color="auto"/>
          </w:divBdr>
          <w:divsChild>
            <w:div w:id="1898782189">
              <w:marLeft w:val="0"/>
              <w:marRight w:val="0"/>
              <w:marTop w:val="0"/>
              <w:marBottom w:val="0"/>
              <w:divBdr>
                <w:top w:val="none" w:sz="0" w:space="0" w:color="auto"/>
                <w:left w:val="none" w:sz="0" w:space="0" w:color="auto"/>
                <w:bottom w:val="none" w:sz="0" w:space="0" w:color="auto"/>
                <w:right w:val="none" w:sz="0" w:space="0" w:color="auto"/>
              </w:divBdr>
            </w:div>
          </w:divsChild>
        </w:div>
        <w:div w:id="225192147">
          <w:marLeft w:val="0"/>
          <w:marRight w:val="0"/>
          <w:marTop w:val="0"/>
          <w:marBottom w:val="0"/>
          <w:divBdr>
            <w:top w:val="none" w:sz="0" w:space="0" w:color="auto"/>
            <w:left w:val="none" w:sz="0" w:space="0" w:color="auto"/>
            <w:bottom w:val="none" w:sz="0" w:space="0" w:color="auto"/>
            <w:right w:val="none" w:sz="0" w:space="0" w:color="auto"/>
          </w:divBdr>
          <w:divsChild>
            <w:div w:id="1561358151">
              <w:marLeft w:val="0"/>
              <w:marRight w:val="0"/>
              <w:marTop w:val="0"/>
              <w:marBottom w:val="0"/>
              <w:divBdr>
                <w:top w:val="none" w:sz="0" w:space="0" w:color="auto"/>
                <w:left w:val="none" w:sz="0" w:space="0" w:color="auto"/>
                <w:bottom w:val="none" w:sz="0" w:space="0" w:color="auto"/>
                <w:right w:val="none" w:sz="0" w:space="0" w:color="auto"/>
              </w:divBdr>
            </w:div>
          </w:divsChild>
        </w:div>
        <w:div w:id="236601356">
          <w:marLeft w:val="0"/>
          <w:marRight w:val="0"/>
          <w:marTop w:val="0"/>
          <w:marBottom w:val="0"/>
          <w:divBdr>
            <w:top w:val="none" w:sz="0" w:space="0" w:color="auto"/>
            <w:left w:val="none" w:sz="0" w:space="0" w:color="auto"/>
            <w:bottom w:val="none" w:sz="0" w:space="0" w:color="auto"/>
            <w:right w:val="none" w:sz="0" w:space="0" w:color="auto"/>
          </w:divBdr>
          <w:divsChild>
            <w:div w:id="1543980377">
              <w:marLeft w:val="0"/>
              <w:marRight w:val="0"/>
              <w:marTop w:val="0"/>
              <w:marBottom w:val="0"/>
              <w:divBdr>
                <w:top w:val="none" w:sz="0" w:space="0" w:color="auto"/>
                <w:left w:val="none" w:sz="0" w:space="0" w:color="auto"/>
                <w:bottom w:val="none" w:sz="0" w:space="0" w:color="auto"/>
                <w:right w:val="none" w:sz="0" w:space="0" w:color="auto"/>
              </w:divBdr>
            </w:div>
          </w:divsChild>
        </w:div>
        <w:div w:id="255988837">
          <w:marLeft w:val="0"/>
          <w:marRight w:val="0"/>
          <w:marTop w:val="0"/>
          <w:marBottom w:val="0"/>
          <w:divBdr>
            <w:top w:val="none" w:sz="0" w:space="0" w:color="auto"/>
            <w:left w:val="none" w:sz="0" w:space="0" w:color="auto"/>
            <w:bottom w:val="none" w:sz="0" w:space="0" w:color="auto"/>
            <w:right w:val="none" w:sz="0" w:space="0" w:color="auto"/>
          </w:divBdr>
          <w:divsChild>
            <w:div w:id="127626561">
              <w:marLeft w:val="0"/>
              <w:marRight w:val="0"/>
              <w:marTop w:val="0"/>
              <w:marBottom w:val="0"/>
              <w:divBdr>
                <w:top w:val="none" w:sz="0" w:space="0" w:color="auto"/>
                <w:left w:val="none" w:sz="0" w:space="0" w:color="auto"/>
                <w:bottom w:val="none" w:sz="0" w:space="0" w:color="auto"/>
                <w:right w:val="none" w:sz="0" w:space="0" w:color="auto"/>
              </w:divBdr>
            </w:div>
          </w:divsChild>
        </w:div>
        <w:div w:id="257836144">
          <w:marLeft w:val="0"/>
          <w:marRight w:val="0"/>
          <w:marTop w:val="0"/>
          <w:marBottom w:val="0"/>
          <w:divBdr>
            <w:top w:val="none" w:sz="0" w:space="0" w:color="auto"/>
            <w:left w:val="none" w:sz="0" w:space="0" w:color="auto"/>
            <w:bottom w:val="none" w:sz="0" w:space="0" w:color="auto"/>
            <w:right w:val="none" w:sz="0" w:space="0" w:color="auto"/>
          </w:divBdr>
          <w:divsChild>
            <w:div w:id="1465780775">
              <w:marLeft w:val="0"/>
              <w:marRight w:val="0"/>
              <w:marTop w:val="0"/>
              <w:marBottom w:val="0"/>
              <w:divBdr>
                <w:top w:val="none" w:sz="0" w:space="0" w:color="auto"/>
                <w:left w:val="none" w:sz="0" w:space="0" w:color="auto"/>
                <w:bottom w:val="none" w:sz="0" w:space="0" w:color="auto"/>
                <w:right w:val="none" w:sz="0" w:space="0" w:color="auto"/>
              </w:divBdr>
            </w:div>
          </w:divsChild>
        </w:div>
        <w:div w:id="273171820">
          <w:marLeft w:val="0"/>
          <w:marRight w:val="0"/>
          <w:marTop w:val="0"/>
          <w:marBottom w:val="0"/>
          <w:divBdr>
            <w:top w:val="none" w:sz="0" w:space="0" w:color="auto"/>
            <w:left w:val="none" w:sz="0" w:space="0" w:color="auto"/>
            <w:bottom w:val="none" w:sz="0" w:space="0" w:color="auto"/>
            <w:right w:val="none" w:sz="0" w:space="0" w:color="auto"/>
          </w:divBdr>
          <w:divsChild>
            <w:div w:id="2135363786">
              <w:marLeft w:val="0"/>
              <w:marRight w:val="0"/>
              <w:marTop w:val="0"/>
              <w:marBottom w:val="0"/>
              <w:divBdr>
                <w:top w:val="none" w:sz="0" w:space="0" w:color="auto"/>
                <w:left w:val="none" w:sz="0" w:space="0" w:color="auto"/>
                <w:bottom w:val="none" w:sz="0" w:space="0" w:color="auto"/>
                <w:right w:val="none" w:sz="0" w:space="0" w:color="auto"/>
              </w:divBdr>
            </w:div>
          </w:divsChild>
        </w:div>
        <w:div w:id="273945711">
          <w:marLeft w:val="0"/>
          <w:marRight w:val="0"/>
          <w:marTop w:val="0"/>
          <w:marBottom w:val="0"/>
          <w:divBdr>
            <w:top w:val="none" w:sz="0" w:space="0" w:color="auto"/>
            <w:left w:val="none" w:sz="0" w:space="0" w:color="auto"/>
            <w:bottom w:val="none" w:sz="0" w:space="0" w:color="auto"/>
            <w:right w:val="none" w:sz="0" w:space="0" w:color="auto"/>
          </w:divBdr>
          <w:divsChild>
            <w:div w:id="126974878">
              <w:marLeft w:val="0"/>
              <w:marRight w:val="0"/>
              <w:marTop w:val="0"/>
              <w:marBottom w:val="0"/>
              <w:divBdr>
                <w:top w:val="none" w:sz="0" w:space="0" w:color="auto"/>
                <w:left w:val="none" w:sz="0" w:space="0" w:color="auto"/>
                <w:bottom w:val="none" w:sz="0" w:space="0" w:color="auto"/>
                <w:right w:val="none" w:sz="0" w:space="0" w:color="auto"/>
              </w:divBdr>
            </w:div>
          </w:divsChild>
        </w:div>
        <w:div w:id="300155660">
          <w:marLeft w:val="0"/>
          <w:marRight w:val="0"/>
          <w:marTop w:val="0"/>
          <w:marBottom w:val="0"/>
          <w:divBdr>
            <w:top w:val="none" w:sz="0" w:space="0" w:color="auto"/>
            <w:left w:val="none" w:sz="0" w:space="0" w:color="auto"/>
            <w:bottom w:val="none" w:sz="0" w:space="0" w:color="auto"/>
            <w:right w:val="none" w:sz="0" w:space="0" w:color="auto"/>
          </w:divBdr>
          <w:divsChild>
            <w:div w:id="637880118">
              <w:marLeft w:val="0"/>
              <w:marRight w:val="0"/>
              <w:marTop w:val="0"/>
              <w:marBottom w:val="0"/>
              <w:divBdr>
                <w:top w:val="none" w:sz="0" w:space="0" w:color="auto"/>
                <w:left w:val="none" w:sz="0" w:space="0" w:color="auto"/>
                <w:bottom w:val="none" w:sz="0" w:space="0" w:color="auto"/>
                <w:right w:val="none" w:sz="0" w:space="0" w:color="auto"/>
              </w:divBdr>
            </w:div>
          </w:divsChild>
        </w:div>
        <w:div w:id="302276365">
          <w:marLeft w:val="0"/>
          <w:marRight w:val="0"/>
          <w:marTop w:val="0"/>
          <w:marBottom w:val="0"/>
          <w:divBdr>
            <w:top w:val="none" w:sz="0" w:space="0" w:color="auto"/>
            <w:left w:val="none" w:sz="0" w:space="0" w:color="auto"/>
            <w:bottom w:val="none" w:sz="0" w:space="0" w:color="auto"/>
            <w:right w:val="none" w:sz="0" w:space="0" w:color="auto"/>
          </w:divBdr>
          <w:divsChild>
            <w:div w:id="50272672">
              <w:marLeft w:val="0"/>
              <w:marRight w:val="0"/>
              <w:marTop w:val="0"/>
              <w:marBottom w:val="0"/>
              <w:divBdr>
                <w:top w:val="none" w:sz="0" w:space="0" w:color="auto"/>
                <w:left w:val="none" w:sz="0" w:space="0" w:color="auto"/>
                <w:bottom w:val="none" w:sz="0" w:space="0" w:color="auto"/>
                <w:right w:val="none" w:sz="0" w:space="0" w:color="auto"/>
              </w:divBdr>
            </w:div>
          </w:divsChild>
        </w:div>
        <w:div w:id="311259534">
          <w:marLeft w:val="0"/>
          <w:marRight w:val="0"/>
          <w:marTop w:val="0"/>
          <w:marBottom w:val="0"/>
          <w:divBdr>
            <w:top w:val="none" w:sz="0" w:space="0" w:color="auto"/>
            <w:left w:val="none" w:sz="0" w:space="0" w:color="auto"/>
            <w:bottom w:val="none" w:sz="0" w:space="0" w:color="auto"/>
            <w:right w:val="none" w:sz="0" w:space="0" w:color="auto"/>
          </w:divBdr>
          <w:divsChild>
            <w:div w:id="492113641">
              <w:marLeft w:val="0"/>
              <w:marRight w:val="0"/>
              <w:marTop w:val="0"/>
              <w:marBottom w:val="0"/>
              <w:divBdr>
                <w:top w:val="none" w:sz="0" w:space="0" w:color="auto"/>
                <w:left w:val="none" w:sz="0" w:space="0" w:color="auto"/>
                <w:bottom w:val="none" w:sz="0" w:space="0" w:color="auto"/>
                <w:right w:val="none" w:sz="0" w:space="0" w:color="auto"/>
              </w:divBdr>
            </w:div>
          </w:divsChild>
        </w:div>
        <w:div w:id="313995251">
          <w:marLeft w:val="0"/>
          <w:marRight w:val="0"/>
          <w:marTop w:val="0"/>
          <w:marBottom w:val="0"/>
          <w:divBdr>
            <w:top w:val="none" w:sz="0" w:space="0" w:color="auto"/>
            <w:left w:val="none" w:sz="0" w:space="0" w:color="auto"/>
            <w:bottom w:val="none" w:sz="0" w:space="0" w:color="auto"/>
            <w:right w:val="none" w:sz="0" w:space="0" w:color="auto"/>
          </w:divBdr>
          <w:divsChild>
            <w:div w:id="2027556075">
              <w:marLeft w:val="0"/>
              <w:marRight w:val="0"/>
              <w:marTop w:val="0"/>
              <w:marBottom w:val="0"/>
              <w:divBdr>
                <w:top w:val="none" w:sz="0" w:space="0" w:color="auto"/>
                <w:left w:val="none" w:sz="0" w:space="0" w:color="auto"/>
                <w:bottom w:val="none" w:sz="0" w:space="0" w:color="auto"/>
                <w:right w:val="none" w:sz="0" w:space="0" w:color="auto"/>
              </w:divBdr>
            </w:div>
          </w:divsChild>
        </w:div>
        <w:div w:id="322512070">
          <w:marLeft w:val="0"/>
          <w:marRight w:val="0"/>
          <w:marTop w:val="0"/>
          <w:marBottom w:val="0"/>
          <w:divBdr>
            <w:top w:val="none" w:sz="0" w:space="0" w:color="auto"/>
            <w:left w:val="none" w:sz="0" w:space="0" w:color="auto"/>
            <w:bottom w:val="none" w:sz="0" w:space="0" w:color="auto"/>
            <w:right w:val="none" w:sz="0" w:space="0" w:color="auto"/>
          </w:divBdr>
          <w:divsChild>
            <w:div w:id="1279607660">
              <w:marLeft w:val="0"/>
              <w:marRight w:val="0"/>
              <w:marTop w:val="0"/>
              <w:marBottom w:val="0"/>
              <w:divBdr>
                <w:top w:val="none" w:sz="0" w:space="0" w:color="auto"/>
                <w:left w:val="none" w:sz="0" w:space="0" w:color="auto"/>
                <w:bottom w:val="none" w:sz="0" w:space="0" w:color="auto"/>
                <w:right w:val="none" w:sz="0" w:space="0" w:color="auto"/>
              </w:divBdr>
            </w:div>
          </w:divsChild>
        </w:div>
        <w:div w:id="324406530">
          <w:marLeft w:val="0"/>
          <w:marRight w:val="0"/>
          <w:marTop w:val="0"/>
          <w:marBottom w:val="0"/>
          <w:divBdr>
            <w:top w:val="none" w:sz="0" w:space="0" w:color="auto"/>
            <w:left w:val="none" w:sz="0" w:space="0" w:color="auto"/>
            <w:bottom w:val="none" w:sz="0" w:space="0" w:color="auto"/>
            <w:right w:val="none" w:sz="0" w:space="0" w:color="auto"/>
          </w:divBdr>
          <w:divsChild>
            <w:div w:id="2034530209">
              <w:marLeft w:val="0"/>
              <w:marRight w:val="0"/>
              <w:marTop w:val="0"/>
              <w:marBottom w:val="0"/>
              <w:divBdr>
                <w:top w:val="none" w:sz="0" w:space="0" w:color="auto"/>
                <w:left w:val="none" w:sz="0" w:space="0" w:color="auto"/>
                <w:bottom w:val="none" w:sz="0" w:space="0" w:color="auto"/>
                <w:right w:val="none" w:sz="0" w:space="0" w:color="auto"/>
              </w:divBdr>
            </w:div>
          </w:divsChild>
        </w:div>
        <w:div w:id="330717277">
          <w:marLeft w:val="0"/>
          <w:marRight w:val="0"/>
          <w:marTop w:val="0"/>
          <w:marBottom w:val="0"/>
          <w:divBdr>
            <w:top w:val="none" w:sz="0" w:space="0" w:color="auto"/>
            <w:left w:val="none" w:sz="0" w:space="0" w:color="auto"/>
            <w:bottom w:val="none" w:sz="0" w:space="0" w:color="auto"/>
            <w:right w:val="none" w:sz="0" w:space="0" w:color="auto"/>
          </w:divBdr>
          <w:divsChild>
            <w:div w:id="1038361783">
              <w:marLeft w:val="0"/>
              <w:marRight w:val="0"/>
              <w:marTop w:val="0"/>
              <w:marBottom w:val="0"/>
              <w:divBdr>
                <w:top w:val="none" w:sz="0" w:space="0" w:color="auto"/>
                <w:left w:val="none" w:sz="0" w:space="0" w:color="auto"/>
                <w:bottom w:val="none" w:sz="0" w:space="0" w:color="auto"/>
                <w:right w:val="none" w:sz="0" w:space="0" w:color="auto"/>
              </w:divBdr>
            </w:div>
          </w:divsChild>
        </w:div>
        <w:div w:id="336422043">
          <w:marLeft w:val="0"/>
          <w:marRight w:val="0"/>
          <w:marTop w:val="0"/>
          <w:marBottom w:val="0"/>
          <w:divBdr>
            <w:top w:val="none" w:sz="0" w:space="0" w:color="auto"/>
            <w:left w:val="none" w:sz="0" w:space="0" w:color="auto"/>
            <w:bottom w:val="none" w:sz="0" w:space="0" w:color="auto"/>
            <w:right w:val="none" w:sz="0" w:space="0" w:color="auto"/>
          </w:divBdr>
          <w:divsChild>
            <w:div w:id="1108350741">
              <w:marLeft w:val="0"/>
              <w:marRight w:val="0"/>
              <w:marTop w:val="0"/>
              <w:marBottom w:val="0"/>
              <w:divBdr>
                <w:top w:val="none" w:sz="0" w:space="0" w:color="auto"/>
                <w:left w:val="none" w:sz="0" w:space="0" w:color="auto"/>
                <w:bottom w:val="none" w:sz="0" w:space="0" w:color="auto"/>
                <w:right w:val="none" w:sz="0" w:space="0" w:color="auto"/>
              </w:divBdr>
            </w:div>
          </w:divsChild>
        </w:div>
        <w:div w:id="338198275">
          <w:marLeft w:val="0"/>
          <w:marRight w:val="0"/>
          <w:marTop w:val="0"/>
          <w:marBottom w:val="0"/>
          <w:divBdr>
            <w:top w:val="none" w:sz="0" w:space="0" w:color="auto"/>
            <w:left w:val="none" w:sz="0" w:space="0" w:color="auto"/>
            <w:bottom w:val="none" w:sz="0" w:space="0" w:color="auto"/>
            <w:right w:val="none" w:sz="0" w:space="0" w:color="auto"/>
          </w:divBdr>
          <w:divsChild>
            <w:div w:id="1564173189">
              <w:marLeft w:val="0"/>
              <w:marRight w:val="0"/>
              <w:marTop w:val="0"/>
              <w:marBottom w:val="0"/>
              <w:divBdr>
                <w:top w:val="none" w:sz="0" w:space="0" w:color="auto"/>
                <w:left w:val="none" w:sz="0" w:space="0" w:color="auto"/>
                <w:bottom w:val="none" w:sz="0" w:space="0" w:color="auto"/>
                <w:right w:val="none" w:sz="0" w:space="0" w:color="auto"/>
              </w:divBdr>
            </w:div>
          </w:divsChild>
        </w:div>
        <w:div w:id="348916995">
          <w:marLeft w:val="0"/>
          <w:marRight w:val="0"/>
          <w:marTop w:val="0"/>
          <w:marBottom w:val="0"/>
          <w:divBdr>
            <w:top w:val="none" w:sz="0" w:space="0" w:color="auto"/>
            <w:left w:val="none" w:sz="0" w:space="0" w:color="auto"/>
            <w:bottom w:val="none" w:sz="0" w:space="0" w:color="auto"/>
            <w:right w:val="none" w:sz="0" w:space="0" w:color="auto"/>
          </w:divBdr>
          <w:divsChild>
            <w:div w:id="75979419">
              <w:marLeft w:val="0"/>
              <w:marRight w:val="0"/>
              <w:marTop w:val="0"/>
              <w:marBottom w:val="0"/>
              <w:divBdr>
                <w:top w:val="none" w:sz="0" w:space="0" w:color="auto"/>
                <w:left w:val="none" w:sz="0" w:space="0" w:color="auto"/>
                <w:bottom w:val="none" w:sz="0" w:space="0" w:color="auto"/>
                <w:right w:val="none" w:sz="0" w:space="0" w:color="auto"/>
              </w:divBdr>
            </w:div>
          </w:divsChild>
        </w:div>
        <w:div w:id="374627226">
          <w:marLeft w:val="0"/>
          <w:marRight w:val="0"/>
          <w:marTop w:val="0"/>
          <w:marBottom w:val="0"/>
          <w:divBdr>
            <w:top w:val="none" w:sz="0" w:space="0" w:color="auto"/>
            <w:left w:val="none" w:sz="0" w:space="0" w:color="auto"/>
            <w:bottom w:val="none" w:sz="0" w:space="0" w:color="auto"/>
            <w:right w:val="none" w:sz="0" w:space="0" w:color="auto"/>
          </w:divBdr>
          <w:divsChild>
            <w:div w:id="1811246355">
              <w:marLeft w:val="0"/>
              <w:marRight w:val="0"/>
              <w:marTop w:val="0"/>
              <w:marBottom w:val="0"/>
              <w:divBdr>
                <w:top w:val="none" w:sz="0" w:space="0" w:color="auto"/>
                <w:left w:val="none" w:sz="0" w:space="0" w:color="auto"/>
                <w:bottom w:val="none" w:sz="0" w:space="0" w:color="auto"/>
                <w:right w:val="none" w:sz="0" w:space="0" w:color="auto"/>
              </w:divBdr>
            </w:div>
          </w:divsChild>
        </w:div>
        <w:div w:id="379087237">
          <w:marLeft w:val="0"/>
          <w:marRight w:val="0"/>
          <w:marTop w:val="0"/>
          <w:marBottom w:val="0"/>
          <w:divBdr>
            <w:top w:val="none" w:sz="0" w:space="0" w:color="auto"/>
            <w:left w:val="none" w:sz="0" w:space="0" w:color="auto"/>
            <w:bottom w:val="none" w:sz="0" w:space="0" w:color="auto"/>
            <w:right w:val="none" w:sz="0" w:space="0" w:color="auto"/>
          </w:divBdr>
          <w:divsChild>
            <w:div w:id="483550729">
              <w:marLeft w:val="0"/>
              <w:marRight w:val="0"/>
              <w:marTop w:val="0"/>
              <w:marBottom w:val="0"/>
              <w:divBdr>
                <w:top w:val="none" w:sz="0" w:space="0" w:color="auto"/>
                <w:left w:val="none" w:sz="0" w:space="0" w:color="auto"/>
                <w:bottom w:val="none" w:sz="0" w:space="0" w:color="auto"/>
                <w:right w:val="none" w:sz="0" w:space="0" w:color="auto"/>
              </w:divBdr>
            </w:div>
          </w:divsChild>
        </w:div>
        <w:div w:id="388573434">
          <w:marLeft w:val="0"/>
          <w:marRight w:val="0"/>
          <w:marTop w:val="0"/>
          <w:marBottom w:val="0"/>
          <w:divBdr>
            <w:top w:val="none" w:sz="0" w:space="0" w:color="auto"/>
            <w:left w:val="none" w:sz="0" w:space="0" w:color="auto"/>
            <w:bottom w:val="none" w:sz="0" w:space="0" w:color="auto"/>
            <w:right w:val="none" w:sz="0" w:space="0" w:color="auto"/>
          </w:divBdr>
          <w:divsChild>
            <w:div w:id="1903324995">
              <w:marLeft w:val="0"/>
              <w:marRight w:val="0"/>
              <w:marTop w:val="0"/>
              <w:marBottom w:val="0"/>
              <w:divBdr>
                <w:top w:val="none" w:sz="0" w:space="0" w:color="auto"/>
                <w:left w:val="none" w:sz="0" w:space="0" w:color="auto"/>
                <w:bottom w:val="none" w:sz="0" w:space="0" w:color="auto"/>
                <w:right w:val="none" w:sz="0" w:space="0" w:color="auto"/>
              </w:divBdr>
            </w:div>
          </w:divsChild>
        </w:div>
        <w:div w:id="389351457">
          <w:marLeft w:val="0"/>
          <w:marRight w:val="0"/>
          <w:marTop w:val="0"/>
          <w:marBottom w:val="0"/>
          <w:divBdr>
            <w:top w:val="none" w:sz="0" w:space="0" w:color="auto"/>
            <w:left w:val="none" w:sz="0" w:space="0" w:color="auto"/>
            <w:bottom w:val="none" w:sz="0" w:space="0" w:color="auto"/>
            <w:right w:val="none" w:sz="0" w:space="0" w:color="auto"/>
          </w:divBdr>
          <w:divsChild>
            <w:div w:id="1296643029">
              <w:marLeft w:val="0"/>
              <w:marRight w:val="0"/>
              <w:marTop w:val="0"/>
              <w:marBottom w:val="0"/>
              <w:divBdr>
                <w:top w:val="none" w:sz="0" w:space="0" w:color="auto"/>
                <w:left w:val="none" w:sz="0" w:space="0" w:color="auto"/>
                <w:bottom w:val="none" w:sz="0" w:space="0" w:color="auto"/>
                <w:right w:val="none" w:sz="0" w:space="0" w:color="auto"/>
              </w:divBdr>
            </w:div>
          </w:divsChild>
        </w:div>
        <w:div w:id="394668148">
          <w:marLeft w:val="0"/>
          <w:marRight w:val="0"/>
          <w:marTop w:val="0"/>
          <w:marBottom w:val="0"/>
          <w:divBdr>
            <w:top w:val="none" w:sz="0" w:space="0" w:color="auto"/>
            <w:left w:val="none" w:sz="0" w:space="0" w:color="auto"/>
            <w:bottom w:val="none" w:sz="0" w:space="0" w:color="auto"/>
            <w:right w:val="none" w:sz="0" w:space="0" w:color="auto"/>
          </w:divBdr>
          <w:divsChild>
            <w:div w:id="188496640">
              <w:marLeft w:val="0"/>
              <w:marRight w:val="0"/>
              <w:marTop w:val="0"/>
              <w:marBottom w:val="0"/>
              <w:divBdr>
                <w:top w:val="none" w:sz="0" w:space="0" w:color="auto"/>
                <w:left w:val="none" w:sz="0" w:space="0" w:color="auto"/>
                <w:bottom w:val="none" w:sz="0" w:space="0" w:color="auto"/>
                <w:right w:val="none" w:sz="0" w:space="0" w:color="auto"/>
              </w:divBdr>
            </w:div>
          </w:divsChild>
        </w:div>
        <w:div w:id="418798137">
          <w:marLeft w:val="0"/>
          <w:marRight w:val="0"/>
          <w:marTop w:val="0"/>
          <w:marBottom w:val="0"/>
          <w:divBdr>
            <w:top w:val="none" w:sz="0" w:space="0" w:color="auto"/>
            <w:left w:val="none" w:sz="0" w:space="0" w:color="auto"/>
            <w:bottom w:val="none" w:sz="0" w:space="0" w:color="auto"/>
            <w:right w:val="none" w:sz="0" w:space="0" w:color="auto"/>
          </w:divBdr>
          <w:divsChild>
            <w:div w:id="1087112923">
              <w:marLeft w:val="0"/>
              <w:marRight w:val="0"/>
              <w:marTop w:val="0"/>
              <w:marBottom w:val="0"/>
              <w:divBdr>
                <w:top w:val="none" w:sz="0" w:space="0" w:color="auto"/>
                <w:left w:val="none" w:sz="0" w:space="0" w:color="auto"/>
                <w:bottom w:val="none" w:sz="0" w:space="0" w:color="auto"/>
                <w:right w:val="none" w:sz="0" w:space="0" w:color="auto"/>
              </w:divBdr>
            </w:div>
          </w:divsChild>
        </w:div>
        <w:div w:id="453519110">
          <w:marLeft w:val="0"/>
          <w:marRight w:val="0"/>
          <w:marTop w:val="0"/>
          <w:marBottom w:val="0"/>
          <w:divBdr>
            <w:top w:val="none" w:sz="0" w:space="0" w:color="auto"/>
            <w:left w:val="none" w:sz="0" w:space="0" w:color="auto"/>
            <w:bottom w:val="none" w:sz="0" w:space="0" w:color="auto"/>
            <w:right w:val="none" w:sz="0" w:space="0" w:color="auto"/>
          </w:divBdr>
          <w:divsChild>
            <w:div w:id="1434126097">
              <w:marLeft w:val="0"/>
              <w:marRight w:val="0"/>
              <w:marTop w:val="0"/>
              <w:marBottom w:val="0"/>
              <w:divBdr>
                <w:top w:val="none" w:sz="0" w:space="0" w:color="auto"/>
                <w:left w:val="none" w:sz="0" w:space="0" w:color="auto"/>
                <w:bottom w:val="none" w:sz="0" w:space="0" w:color="auto"/>
                <w:right w:val="none" w:sz="0" w:space="0" w:color="auto"/>
              </w:divBdr>
            </w:div>
          </w:divsChild>
        </w:div>
        <w:div w:id="472330502">
          <w:marLeft w:val="0"/>
          <w:marRight w:val="0"/>
          <w:marTop w:val="0"/>
          <w:marBottom w:val="0"/>
          <w:divBdr>
            <w:top w:val="none" w:sz="0" w:space="0" w:color="auto"/>
            <w:left w:val="none" w:sz="0" w:space="0" w:color="auto"/>
            <w:bottom w:val="none" w:sz="0" w:space="0" w:color="auto"/>
            <w:right w:val="none" w:sz="0" w:space="0" w:color="auto"/>
          </w:divBdr>
          <w:divsChild>
            <w:div w:id="882408097">
              <w:marLeft w:val="0"/>
              <w:marRight w:val="0"/>
              <w:marTop w:val="0"/>
              <w:marBottom w:val="0"/>
              <w:divBdr>
                <w:top w:val="none" w:sz="0" w:space="0" w:color="auto"/>
                <w:left w:val="none" w:sz="0" w:space="0" w:color="auto"/>
                <w:bottom w:val="none" w:sz="0" w:space="0" w:color="auto"/>
                <w:right w:val="none" w:sz="0" w:space="0" w:color="auto"/>
              </w:divBdr>
            </w:div>
          </w:divsChild>
        </w:div>
        <w:div w:id="518736362">
          <w:marLeft w:val="0"/>
          <w:marRight w:val="0"/>
          <w:marTop w:val="0"/>
          <w:marBottom w:val="0"/>
          <w:divBdr>
            <w:top w:val="none" w:sz="0" w:space="0" w:color="auto"/>
            <w:left w:val="none" w:sz="0" w:space="0" w:color="auto"/>
            <w:bottom w:val="none" w:sz="0" w:space="0" w:color="auto"/>
            <w:right w:val="none" w:sz="0" w:space="0" w:color="auto"/>
          </w:divBdr>
          <w:divsChild>
            <w:div w:id="1478494483">
              <w:marLeft w:val="0"/>
              <w:marRight w:val="0"/>
              <w:marTop w:val="0"/>
              <w:marBottom w:val="0"/>
              <w:divBdr>
                <w:top w:val="none" w:sz="0" w:space="0" w:color="auto"/>
                <w:left w:val="none" w:sz="0" w:space="0" w:color="auto"/>
                <w:bottom w:val="none" w:sz="0" w:space="0" w:color="auto"/>
                <w:right w:val="none" w:sz="0" w:space="0" w:color="auto"/>
              </w:divBdr>
            </w:div>
          </w:divsChild>
        </w:div>
        <w:div w:id="522865324">
          <w:marLeft w:val="0"/>
          <w:marRight w:val="0"/>
          <w:marTop w:val="0"/>
          <w:marBottom w:val="0"/>
          <w:divBdr>
            <w:top w:val="none" w:sz="0" w:space="0" w:color="auto"/>
            <w:left w:val="none" w:sz="0" w:space="0" w:color="auto"/>
            <w:bottom w:val="none" w:sz="0" w:space="0" w:color="auto"/>
            <w:right w:val="none" w:sz="0" w:space="0" w:color="auto"/>
          </w:divBdr>
          <w:divsChild>
            <w:div w:id="770978210">
              <w:marLeft w:val="0"/>
              <w:marRight w:val="0"/>
              <w:marTop w:val="0"/>
              <w:marBottom w:val="0"/>
              <w:divBdr>
                <w:top w:val="none" w:sz="0" w:space="0" w:color="auto"/>
                <w:left w:val="none" w:sz="0" w:space="0" w:color="auto"/>
                <w:bottom w:val="none" w:sz="0" w:space="0" w:color="auto"/>
                <w:right w:val="none" w:sz="0" w:space="0" w:color="auto"/>
              </w:divBdr>
            </w:div>
          </w:divsChild>
        </w:div>
        <w:div w:id="523834893">
          <w:marLeft w:val="0"/>
          <w:marRight w:val="0"/>
          <w:marTop w:val="0"/>
          <w:marBottom w:val="0"/>
          <w:divBdr>
            <w:top w:val="none" w:sz="0" w:space="0" w:color="auto"/>
            <w:left w:val="none" w:sz="0" w:space="0" w:color="auto"/>
            <w:bottom w:val="none" w:sz="0" w:space="0" w:color="auto"/>
            <w:right w:val="none" w:sz="0" w:space="0" w:color="auto"/>
          </w:divBdr>
          <w:divsChild>
            <w:div w:id="148450214">
              <w:marLeft w:val="0"/>
              <w:marRight w:val="0"/>
              <w:marTop w:val="0"/>
              <w:marBottom w:val="0"/>
              <w:divBdr>
                <w:top w:val="none" w:sz="0" w:space="0" w:color="auto"/>
                <w:left w:val="none" w:sz="0" w:space="0" w:color="auto"/>
                <w:bottom w:val="none" w:sz="0" w:space="0" w:color="auto"/>
                <w:right w:val="none" w:sz="0" w:space="0" w:color="auto"/>
              </w:divBdr>
            </w:div>
          </w:divsChild>
        </w:div>
        <w:div w:id="526649500">
          <w:marLeft w:val="0"/>
          <w:marRight w:val="0"/>
          <w:marTop w:val="0"/>
          <w:marBottom w:val="0"/>
          <w:divBdr>
            <w:top w:val="none" w:sz="0" w:space="0" w:color="auto"/>
            <w:left w:val="none" w:sz="0" w:space="0" w:color="auto"/>
            <w:bottom w:val="none" w:sz="0" w:space="0" w:color="auto"/>
            <w:right w:val="none" w:sz="0" w:space="0" w:color="auto"/>
          </w:divBdr>
          <w:divsChild>
            <w:div w:id="2146386996">
              <w:marLeft w:val="0"/>
              <w:marRight w:val="0"/>
              <w:marTop w:val="0"/>
              <w:marBottom w:val="0"/>
              <w:divBdr>
                <w:top w:val="none" w:sz="0" w:space="0" w:color="auto"/>
                <w:left w:val="none" w:sz="0" w:space="0" w:color="auto"/>
                <w:bottom w:val="none" w:sz="0" w:space="0" w:color="auto"/>
                <w:right w:val="none" w:sz="0" w:space="0" w:color="auto"/>
              </w:divBdr>
            </w:div>
          </w:divsChild>
        </w:div>
        <w:div w:id="540172026">
          <w:marLeft w:val="0"/>
          <w:marRight w:val="0"/>
          <w:marTop w:val="0"/>
          <w:marBottom w:val="0"/>
          <w:divBdr>
            <w:top w:val="none" w:sz="0" w:space="0" w:color="auto"/>
            <w:left w:val="none" w:sz="0" w:space="0" w:color="auto"/>
            <w:bottom w:val="none" w:sz="0" w:space="0" w:color="auto"/>
            <w:right w:val="none" w:sz="0" w:space="0" w:color="auto"/>
          </w:divBdr>
          <w:divsChild>
            <w:div w:id="237717630">
              <w:marLeft w:val="0"/>
              <w:marRight w:val="0"/>
              <w:marTop w:val="0"/>
              <w:marBottom w:val="0"/>
              <w:divBdr>
                <w:top w:val="none" w:sz="0" w:space="0" w:color="auto"/>
                <w:left w:val="none" w:sz="0" w:space="0" w:color="auto"/>
                <w:bottom w:val="none" w:sz="0" w:space="0" w:color="auto"/>
                <w:right w:val="none" w:sz="0" w:space="0" w:color="auto"/>
              </w:divBdr>
            </w:div>
          </w:divsChild>
        </w:div>
        <w:div w:id="572662690">
          <w:marLeft w:val="0"/>
          <w:marRight w:val="0"/>
          <w:marTop w:val="0"/>
          <w:marBottom w:val="0"/>
          <w:divBdr>
            <w:top w:val="none" w:sz="0" w:space="0" w:color="auto"/>
            <w:left w:val="none" w:sz="0" w:space="0" w:color="auto"/>
            <w:bottom w:val="none" w:sz="0" w:space="0" w:color="auto"/>
            <w:right w:val="none" w:sz="0" w:space="0" w:color="auto"/>
          </w:divBdr>
          <w:divsChild>
            <w:div w:id="704596498">
              <w:marLeft w:val="0"/>
              <w:marRight w:val="0"/>
              <w:marTop w:val="0"/>
              <w:marBottom w:val="0"/>
              <w:divBdr>
                <w:top w:val="none" w:sz="0" w:space="0" w:color="auto"/>
                <w:left w:val="none" w:sz="0" w:space="0" w:color="auto"/>
                <w:bottom w:val="none" w:sz="0" w:space="0" w:color="auto"/>
                <w:right w:val="none" w:sz="0" w:space="0" w:color="auto"/>
              </w:divBdr>
            </w:div>
          </w:divsChild>
        </w:div>
        <w:div w:id="585917912">
          <w:marLeft w:val="0"/>
          <w:marRight w:val="0"/>
          <w:marTop w:val="0"/>
          <w:marBottom w:val="0"/>
          <w:divBdr>
            <w:top w:val="none" w:sz="0" w:space="0" w:color="auto"/>
            <w:left w:val="none" w:sz="0" w:space="0" w:color="auto"/>
            <w:bottom w:val="none" w:sz="0" w:space="0" w:color="auto"/>
            <w:right w:val="none" w:sz="0" w:space="0" w:color="auto"/>
          </w:divBdr>
          <w:divsChild>
            <w:div w:id="1373768979">
              <w:marLeft w:val="0"/>
              <w:marRight w:val="0"/>
              <w:marTop w:val="0"/>
              <w:marBottom w:val="0"/>
              <w:divBdr>
                <w:top w:val="none" w:sz="0" w:space="0" w:color="auto"/>
                <w:left w:val="none" w:sz="0" w:space="0" w:color="auto"/>
                <w:bottom w:val="none" w:sz="0" w:space="0" w:color="auto"/>
                <w:right w:val="none" w:sz="0" w:space="0" w:color="auto"/>
              </w:divBdr>
            </w:div>
          </w:divsChild>
        </w:div>
        <w:div w:id="586618339">
          <w:marLeft w:val="0"/>
          <w:marRight w:val="0"/>
          <w:marTop w:val="0"/>
          <w:marBottom w:val="0"/>
          <w:divBdr>
            <w:top w:val="none" w:sz="0" w:space="0" w:color="auto"/>
            <w:left w:val="none" w:sz="0" w:space="0" w:color="auto"/>
            <w:bottom w:val="none" w:sz="0" w:space="0" w:color="auto"/>
            <w:right w:val="none" w:sz="0" w:space="0" w:color="auto"/>
          </w:divBdr>
          <w:divsChild>
            <w:div w:id="625811879">
              <w:marLeft w:val="0"/>
              <w:marRight w:val="0"/>
              <w:marTop w:val="0"/>
              <w:marBottom w:val="0"/>
              <w:divBdr>
                <w:top w:val="none" w:sz="0" w:space="0" w:color="auto"/>
                <w:left w:val="none" w:sz="0" w:space="0" w:color="auto"/>
                <w:bottom w:val="none" w:sz="0" w:space="0" w:color="auto"/>
                <w:right w:val="none" w:sz="0" w:space="0" w:color="auto"/>
              </w:divBdr>
            </w:div>
          </w:divsChild>
        </w:div>
        <w:div w:id="597713274">
          <w:marLeft w:val="0"/>
          <w:marRight w:val="0"/>
          <w:marTop w:val="0"/>
          <w:marBottom w:val="0"/>
          <w:divBdr>
            <w:top w:val="none" w:sz="0" w:space="0" w:color="auto"/>
            <w:left w:val="none" w:sz="0" w:space="0" w:color="auto"/>
            <w:bottom w:val="none" w:sz="0" w:space="0" w:color="auto"/>
            <w:right w:val="none" w:sz="0" w:space="0" w:color="auto"/>
          </w:divBdr>
          <w:divsChild>
            <w:div w:id="1662585027">
              <w:marLeft w:val="0"/>
              <w:marRight w:val="0"/>
              <w:marTop w:val="0"/>
              <w:marBottom w:val="0"/>
              <w:divBdr>
                <w:top w:val="none" w:sz="0" w:space="0" w:color="auto"/>
                <w:left w:val="none" w:sz="0" w:space="0" w:color="auto"/>
                <w:bottom w:val="none" w:sz="0" w:space="0" w:color="auto"/>
                <w:right w:val="none" w:sz="0" w:space="0" w:color="auto"/>
              </w:divBdr>
            </w:div>
          </w:divsChild>
        </w:div>
        <w:div w:id="600647708">
          <w:marLeft w:val="0"/>
          <w:marRight w:val="0"/>
          <w:marTop w:val="0"/>
          <w:marBottom w:val="0"/>
          <w:divBdr>
            <w:top w:val="none" w:sz="0" w:space="0" w:color="auto"/>
            <w:left w:val="none" w:sz="0" w:space="0" w:color="auto"/>
            <w:bottom w:val="none" w:sz="0" w:space="0" w:color="auto"/>
            <w:right w:val="none" w:sz="0" w:space="0" w:color="auto"/>
          </w:divBdr>
          <w:divsChild>
            <w:div w:id="14357246">
              <w:marLeft w:val="0"/>
              <w:marRight w:val="0"/>
              <w:marTop w:val="0"/>
              <w:marBottom w:val="0"/>
              <w:divBdr>
                <w:top w:val="none" w:sz="0" w:space="0" w:color="auto"/>
                <w:left w:val="none" w:sz="0" w:space="0" w:color="auto"/>
                <w:bottom w:val="none" w:sz="0" w:space="0" w:color="auto"/>
                <w:right w:val="none" w:sz="0" w:space="0" w:color="auto"/>
              </w:divBdr>
            </w:div>
          </w:divsChild>
        </w:div>
        <w:div w:id="606470768">
          <w:marLeft w:val="0"/>
          <w:marRight w:val="0"/>
          <w:marTop w:val="0"/>
          <w:marBottom w:val="0"/>
          <w:divBdr>
            <w:top w:val="none" w:sz="0" w:space="0" w:color="auto"/>
            <w:left w:val="none" w:sz="0" w:space="0" w:color="auto"/>
            <w:bottom w:val="none" w:sz="0" w:space="0" w:color="auto"/>
            <w:right w:val="none" w:sz="0" w:space="0" w:color="auto"/>
          </w:divBdr>
          <w:divsChild>
            <w:div w:id="1646665608">
              <w:marLeft w:val="0"/>
              <w:marRight w:val="0"/>
              <w:marTop w:val="0"/>
              <w:marBottom w:val="0"/>
              <w:divBdr>
                <w:top w:val="none" w:sz="0" w:space="0" w:color="auto"/>
                <w:left w:val="none" w:sz="0" w:space="0" w:color="auto"/>
                <w:bottom w:val="none" w:sz="0" w:space="0" w:color="auto"/>
                <w:right w:val="none" w:sz="0" w:space="0" w:color="auto"/>
              </w:divBdr>
            </w:div>
          </w:divsChild>
        </w:div>
        <w:div w:id="607004243">
          <w:marLeft w:val="0"/>
          <w:marRight w:val="0"/>
          <w:marTop w:val="0"/>
          <w:marBottom w:val="0"/>
          <w:divBdr>
            <w:top w:val="none" w:sz="0" w:space="0" w:color="auto"/>
            <w:left w:val="none" w:sz="0" w:space="0" w:color="auto"/>
            <w:bottom w:val="none" w:sz="0" w:space="0" w:color="auto"/>
            <w:right w:val="none" w:sz="0" w:space="0" w:color="auto"/>
          </w:divBdr>
          <w:divsChild>
            <w:div w:id="324359311">
              <w:marLeft w:val="0"/>
              <w:marRight w:val="0"/>
              <w:marTop w:val="0"/>
              <w:marBottom w:val="0"/>
              <w:divBdr>
                <w:top w:val="none" w:sz="0" w:space="0" w:color="auto"/>
                <w:left w:val="none" w:sz="0" w:space="0" w:color="auto"/>
                <w:bottom w:val="none" w:sz="0" w:space="0" w:color="auto"/>
                <w:right w:val="none" w:sz="0" w:space="0" w:color="auto"/>
              </w:divBdr>
            </w:div>
          </w:divsChild>
        </w:div>
        <w:div w:id="639072584">
          <w:marLeft w:val="0"/>
          <w:marRight w:val="0"/>
          <w:marTop w:val="0"/>
          <w:marBottom w:val="0"/>
          <w:divBdr>
            <w:top w:val="none" w:sz="0" w:space="0" w:color="auto"/>
            <w:left w:val="none" w:sz="0" w:space="0" w:color="auto"/>
            <w:bottom w:val="none" w:sz="0" w:space="0" w:color="auto"/>
            <w:right w:val="none" w:sz="0" w:space="0" w:color="auto"/>
          </w:divBdr>
          <w:divsChild>
            <w:div w:id="976837879">
              <w:marLeft w:val="0"/>
              <w:marRight w:val="0"/>
              <w:marTop w:val="0"/>
              <w:marBottom w:val="0"/>
              <w:divBdr>
                <w:top w:val="none" w:sz="0" w:space="0" w:color="auto"/>
                <w:left w:val="none" w:sz="0" w:space="0" w:color="auto"/>
                <w:bottom w:val="none" w:sz="0" w:space="0" w:color="auto"/>
                <w:right w:val="none" w:sz="0" w:space="0" w:color="auto"/>
              </w:divBdr>
            </w:div>
          </w:divsChild>
        </w:div>
        <w:div w:id="640381854">
          <w:marLeft w:val="0"/>
          <w:marRight w:val="0"/>
          <w:marTop w:val="0"/>
          <w:marBottom w:val="0"/>
          <w:divBdr>
            <w:top w:val="none" w:sz="0" w:space="0" w:color="auto"/>
            <w:left w:val="none" w:sz="0" w:space="0" w:color="auto"/>
            <w:bottom w:val="none" w:sz="0" w:space="0" w:color="auto"/>
            <w:right w:val="none" w:sz="0" w:space="0" w:color="auto"/>
          </w:divBdr>
          <w:divsChild>
            <w:div w:id="1548182943">
              <w:marLeft w:val="0"/>
              <w:marRight w:val="0"/>
              <w:marTop w:val="0"/>
              <w:marBottom w:val="0"/>
              <w:divBdr>
                <w:top w:val="none" w:sz="0" w:space="0" w:color="auto"/>
                <w:left w:val="none" w:sz="0" w:space="0" w:color="auto"/>
                <w:bottom w:val="none" w:sz="0" w:space="0" w:color="auto"/>
                <w:right w:val="none" w:sz="0" w:space="0" w:color="auto"/>
              </w:divBdr>
            </w:div>
          </w:divsChild>
        </w:div>
        <w:div w:id="640421556">
          <w:marLeft w:val="0"/>
          <w:marRight w:val="0"/>
          <w:marTop w:val="0"/>
          <w:marBottom w:val="0"/>
          <w:divBdr>
            <w:top w:val="none" w:sz="0" w:space="0" w:color="auto"/>
            <w:left w:val="none" w:sz="0" w:space="0" w:color="auto"/>
            <w:bottom w:val="none" w:sz="0" w:space="0" w:color="auto"/>
            <w:right w:val="none" w:sz="0" w:space="0" w:color="auto"/>
          </w:divBdr>
          <w:divsChild>
            <w:div w:id="1107776632">
              <w:marLeft w:val="0"/>
              <w:marRight w:val="0"/>
              <w:marTop w:val="0"/>
              <w:marBottom w:val="0"/>
              <w:divBdr>
                <w:top w:val="none" w:sz="0" w:space="0" w:color="auto"/>
                <w:left w:val="none" w:sz="0" w:space="0" w:color="auto"/>
                <w:bottom w:val="none" w:sz="0" w:space="0" w:color="auto"/>
                <w:right w:val="none" w:sz="0" w:space="0" w:color="auto"/>
              </w:divBdr>
            </w:div>
          </w:divsChild>
        </w:div>
        <w:div w:id="653802948">
          <w:marLeft w:val="0"/>
          <w:marRight w:val="0"/>
          <w:marTop w:val="0"/>
          <w:marBottom w:val="0"/>
          <w:divBdr>
            <w:top w:val="none" w:sz="0" w:space="0" w:color="auto"/>
            <w:left w:val="none" w:sz="0" w:space="0" w:color="auto"/>
            <w:bottom w:val="none" w:sz="0" w:space="0" w:color="auto"/>
            <w:right w:val="none" w:sz="0" w:space="0" w:color="auto"/>
          </w:divBdr>
          <w:divsChild>
            <w:div w:id="1865896586">
              <w:marLeft w:val="0"/>
              <w:marRight w:val="0"/>
              <w:marTop w:val="0"/>
              <w:marBottom w:val="0"/>
              <w:divBdr>
                <w:top w:val="none" w:sz="0" w:space="0" w:color="auto"/>
                <w:left w:val="none" w:sz="0" w:space="0" w:color="auto"/>
                <w:bottom w:val="none" w:sz="0" w:space="0" w:color="auto"/>
                <w:right w:val="none" w:sz="0" w:space="0" w:color="auto"/>
              </w:divBdr>
            </w:div>
          </w:divsChild>
        </w:div>
        <w:div w:id="655456991">
          <w:marLeft w:val="0"/>
          <w:marRight w:val="0"/>
          <w:marTop w:val="0"/>
          <w:marBottom w:val="0"/>
          <w:divBdr>
            <w:top w:val="none" w:sz="0" w:space="0" w:color="auto"/>
            <w:left w:val="none" w:sz="0" w:space="0" w:color="auto"/>
            <w:bottom w:val="none" w:sz="0" w:space="0" w:color="auto"/>
            <w:right w:val="none" w:sz="0" w:space="0" w:color="auto"/>
          </w:divBdr>
          <w:divsChild>
            <w:div w:id="682559246">
              <w:marLeft w:val="0"/>
              <w:marRight w:val="0"/>
              <w:marTop w:val="0"/>
              <w:marBottom w:val="0"/>
              <w:divBdr>
                <w:top w:val="none" w:sz="0" w:space="0" w:color="auto"/>
                <w:left w:val="none" w:sz="0" w:space="0" w:color="auto"/>
                <w:bottom w:val="none" w:sz="0" w:space="0" w:color="auto"/>
                <w:right w:val="none" w:sz="0" w:space="0" w:color="auto"/>
              </w:divBdr>
            </w:div>
          </w:divsChild>
        </w:div>
        <w:div w:id="656227927">
          <w:marLeft w:val="0"/>
          <w:marRight w:val="0"/>
          <w:marTop w:val="0"/>
          <w:marBottom w:val="0"/>
          <w:divBdr>
            <w:top w:val="none" w:sz="0" w:space="0" w:color="auto"/>
            <w:left w:val="none" w:sz="0" w:space="0" w:color="auto"/>
            <w:bottom w:val="none" w:sz="0" w:space="0" w:color="auto"/>
            <w:right w:val="none" w:sz="0" w:space="0" w:color="auto"/>
          </w:divBdr>
          <w:divsChild>
            <w:div w:id="583534116">
              <w:marLeft w:val="0"/>
              <w:marRight w:val="0"/>
              <w:marTop w:val="0"/>
              <w:marBottom w:val="0"/>
              <w:divBdr>
                <w:top w:val="none" w:sz="0" w:space="0" w:color="auto"/>
                <w:left w:val="none" w:sz="0" w:space="0" w:color="auto"/>
                <w:bottom w:val="none" w:sz="0" w:space="0" w:color="auto"/>
                <w:right w:val="none" w:sz="0" w:space="0" w:color="auto"/>
              </w:divBdr>
            </w:div>
          </w:divsChild>
        </w:div>
        <w:div w:id="663557671">
          <w:marLeft w:val="0"/>
          <w:marRight w:val="0"/>
          <w:marTop w:val="0"/>
          <w:marBottom w:val="0"/>
          <w:divBdr>
            <w:top w:val="none" w:sz="0" w:space="0" w:color="auto"/>
            <w:left w:val="none" w:sz="0" w:space="0" w:color="auto"/>
            <w:bottom w:val="none" w:sz="0" w:space="0" w:color="auto"/>
            <w:right w:val="none" w:sz="0" w:space="0" w:color="auto"/>
          </w:divBdr>
          <w:divsChild>
            <w:div w:id="1659185900">
              <w:marLeft w:val="0"/>
              <w:marRight w:val="0"/>
              <w:marTop w:val="0"/>
              <w:marBottom w:val="0"/>
              <w:divBdr>
                <w:top w:val="none" w:sz="0" w:space="0" w:color="auto"/>
                <w:left w:val="none" w:sz="0" w:space="0" w:color="auto"/>
                <w:bottom w:val="none" w:sz="0" w:space="0" w:color="auto"/>
                <w:right w:val="none" w:sz="0" w:space="0" w:color="auto"/>
              </w:divBdr>
            </w:div>
          </w:divsChild>
        </w:div>
        <w:div w:id="679625132">
          <w:marLeft w:val="0"/>
          <w:marRight w:val="0"/>
          <w:marTop w:val="0"/>
          <w:marBottom w:val="0"/>
          <w:divBdr>
            <w:top w:val="none" w:sz="0" w:space="0" w:color="auto"/>
            <w:left w:val="none" w:sz="0" w:space="0" w:color="auto"/>
            <w:bottom w:val="none" w:sz="0" w:space="0" w:color="auto"/>
            <w:right w:val="none" w:sz="0" w:space="0" w:color="auto"/>
          </w:divBdr>
          <w:divsChild>
            <w:div w:id="1813789521">
              <w:marLeft w:val="0"/>
              <w:marRight w:val="0"/>
              <w:marTop w:val="0"/>
              <w:marBottom w:val="0"/>
              <w:divBdr>
                <w:top w:val="none" w:sz="0" w:space="0" w:color="auto"/>
                <w:left w:val="none" w:sz="0" w:space="0" w:color="auto"/>
                <w:bottom w:val="none" w:sz="0" w:space="0" w:color="auto"/>
                <w:right w:val="none" w:sz="0" w:space="0" w:color="auto"/>
              </w:divBdr>
            </w:div>
          </w:divsChild>
        </w:div>
        <w:div w:id="681863262">
          <w:marLeft w:val="0"/>
          <w:marRight w:val="0"/>
          <w:marTop w:val="0"/>
          <w:marBottom w:val="0"/>
          <w:divBdr>
            <w:top w:val="none" w:sz="0" w:space="0" w:color="auto"/>
            <w:left w:val="none" w:sz="0" w:space="0" w:color="auto"/>
            <w:bottom w:val="none" w:sz="0" w:space="0" w:color="auto"/>
            <w:right w:val="none" w:sz="0" w:space="0" w:color="auto"/>
          </w:divBdr>
          <w:divsChild>
            <w:div w:id="1733507968">
              <w:marLeft w:val="0"/>
              <w:marRight w:val="0"/>
              <w:marTop w:val="0"/>
              <w:marBottom w:val="0"/>
              <w:divBdr>
                <w:top w:val="none" w:sz="0" w:space="0" w:color="auto"/>
                <w:left w:val="none" w:sz="0" w:space="0" w:color="auto"/>
                <w:bottom w:val="none" w:sz="0" w:space="0" w:color="auto"/>
                <w:right w:val="none" w:sz="0" w:space="0" w:color="auto"/>
              </w:divBdr>
            </w:div>
          </w:divsChild>
        </w:div>
        <w:div w:id="684138015">
          <w:marLeft w:val="0"/>
          <w:marRight w:val="0"/>
          <w:marTop w:val="0"/>
          <w:marBottom w:val="0"/>
          <w:divBdr>
            <w:top w:val="none" w:sz="0" w:space="0" w:color="auto"/>
            <w:left w:val="none" w:sz="0" w:space="0" w:color="auto"/>
            <w:bottom w:val="none" w:sz="0" w:space="0" w:color="auto"/>
            <w:right w:val="none" w:sz="0" w:space="0" w:color="auto"/>
          </w:divBdr>
          <w:divsChild>
            <w:div w:id="1463310960">
              <w:marLeft w:val="0"/>
              <w:marRight w:val="0"/>
              <w:marTop w:val="0"/>
              <w:marBottom w:val="0"/>
              <w:divBdr>
                <w:top w:val="none" w:sz="0" w:space="0" w:color="auto"/>
                <w:left w:val="none" w:sz="0" w:space="0" w:color="auto"/>
                <w:bottom w:val="none" w:sz="0" w:space="0" w:color="auto"/>
                <w:right w:val="none" w:sz="0" w:space="0" w:color="auto"/>
              </w:divBdr>
            </w:div>
          </w:divsChild>
        </w:div>
        <w:div w:id="695810361">
          <w:marLeft w:val="0"/>
          <w:marRight w:val="0"/>
          <w:marTop w:val="0"/>
          <w:marBottom w:val="0"/>
          <w:divBdr>
            <w:top w:val="none" w:sz="0" w:space="0" w:color="auto"/>
            <w:left w:val="none" w:sz="0" w:space="0" w:color="auto"/>
            <w:bottom w:val="none" w:sz="0" w:space="0" w:color="auto"/>
            <w:right w:val="none" w:sz="0" w:space="0" w:color="auto"/>
          </w:divBdr>
          <w:divsChild>
            <w:div w:id="56243441">
              <w:marLeft w:val="0"/>
              <w:marRight w:val="0"/>
              <w:marTop w:val="0"/>
              <w:marBottom w:val="0"/>
              <w:divBdr>
                <w:top w:val="none" w:sz="0" w:space="0" w:color="auto"/>
                <w:left w:val="none" w:sz="0" w:space="0" w:color="auto"/>
                <w:bottom w:val="none" w:sz="0" w:space="0" w:color="auto"/>
                <w:right w:val="none" w:sz="0" w:space="0" w:color="auto"/>
              </w:divBdr>
            </w:div>
          </w:divsChild>
        </w:div>
        <w:div w:id="696925138">
          <w:marLeft w:val="0"/>
          <w:marRight w:val="0"/>
          <w:marTop w:val="0"/>
          <w:marBottom w:val="0"/>
          <w:divBdr>
            <w:top w:val="none" w:sz="0" w:space="0" w:color="auto"/>
            <w:left w:val="none" w:sz="0" w:space="0" w:color="auto"/>
            <w:bottom w:val="none" w:sz="0" w:space="0" w:color="auto"/>
            <w:right w:val="none" w:sz="0" w:space="0" w:color="auto"/>
          </w:divBdr>
          <w:divsChild>
            <w:div w:id="1707367098">
              <w:marLeft w:val="0"/>
              <w:marRight w:val="0"/>
              <w:marTop w:val="0"/>
              <w:marBottom w:val="0"/>
              <w:divBdr>
                <w:top w:val="none" w:sz="0" w:space="0" w:color="auto"/>
                <w:left w:val="none" w:sz="0" w:space="0" w:color="auto"/>
                <w:bottom w:val="none" w:sz="0" w:space="0" w:color="auto"/>
                <w:right w:val="none" w:sz="0" w:space="0" w:color="auto"/>
              </w:divBdr>
            </w:div>
          </w:divsChild>
        </w:div>
        <w:div w:id="700399171">
          <w:marLeft w:val="0"/>
          <w:marRight w:val="0"/>
          <w:marTop w:val="0"/>
          <w:marBottom w:val="0"/>
          <w:divBdr>
            <w:top w:val="none" w:sz="0" w:space="0" w:color="auto"/>
            <w:left w:val="none" w:sz="0" w:space="0" w:color="auto"/>
            <w:bottom w:val="none" w:sz="0" w:space="0" w:color="auto"/>
            <w:right w:val="none" w:sz="0" w:space="0" w:color="auto"/>
          </w:divBdr>
          <w:divsChild>
            <w:div w:id="1703893236">
              <w:marLeft w:val="0"/>
              <w:marRight w:val="0"/>
              <w:marTop w:val="0"/>
              <w:marBottom w:val="0"/>
              <w:divBdr>
                <w:top w:val="none" w:sz="0" w:space="0" w:color="auto"/>
                <w:left w:val="none" w:sz="0" w:space="0" w:color="auto"/>
                <w:bottom w:val="none" w:sz="0" w:space="0" w:color="auto"/>
                <w:right w:val="none" w:sz="0" w:space="0" w:color="auto"/>
              </w:divBdr>
            </w:div>
          </w:divsChild>
        </w:div>
        <w:div w:id="703136685">
          <w:marLeft w:val="0"/>
          <w:marRight w:val="0"/>
          <w:marTop w:val="0"/>
          <w:marBottom w:val="0"/>
          <w:divBdr>
            <w:top w:val="none" w:sz="0" w:space="0" w:color="auto"/>
            <w:left w:val="none" w:sz="0" w:space="0" w:color="auto"/>
            <w:bottom w:val="none" w:sz="0" w:space="0" w:color="auto"/>
            <w:right w:val="none" w:sz="0" w:space="0" w:color="auto"/>
          </w:divBdr>
          <w:divsChild>
            <w:div w:id="1144741482">
              <w:marLeft w:val="0"/>
              <w:marRight w:val="0"/>
              <w:marTop w:val="0"/>
              <w:marBottom w:val="0"/>
              <w:divBdr>
                <w:top w:val="none" w:sz="0" w:space="0" w:color="auto"/>
                <w:left w:val="none" w:sz="0" w:space="0" w:color="auto"/>
                <w:bottom w:val="none" w:sz="0" w:space="0" w:color="auto"/>
                <w:right w:val="none" w:sz="0" w:space="0" w:color="auto"/>
              </w:divBdr>
            </w:div>
          </w:divsChild>
        </w:div>
        <w:div w:id="715353557">
          <w:marLeft w:val="0"/>
          <w:marRight w:val="0"/>
          <w:marTop w:val="0"/>
          <w:marBottom w:val="0"/>
          <w:divBdr>
            <w:top w:val="none" w:sz="0" w:space="0" w:color="auto"/>
            <w:left w:val="none" w:sz="0" w:space="0" w:color="auto"/>
            <w:bottom w:val="none" w:sz="0" w:space="0" w:color="auto"/>
            <w:right w:val="none" w:sz="0" w:space="0" w:color="auto"/>
          </w:divBdr>
          <w:divsChild>
            <w:div w:id="919947403">
              <w:marLeft w:val="0"/>
              <w:marRight w:val="0"/>
              <w:marTop w:val="0"/>
              <w:marBottom w:val="0"/>
              <w:divBdr>
                <w:top w:val="none" w:sz="0" w:space="0" w:color="auto"/>
                <w:left w:val="none" w:sz="0" w:space="0" w:color="auto"/>
                <w:bottom w:val="none" w:sz="0" w:space="0" w:color="auto"/>
                <w:right w:val="none" w:sz="0" w:space="0" w:color="auto"/>
              </w:divBdr>
            </w:div>
          </w:divsChild>
        </w:div>
        <w:div w:id="719330487">
          <w:marLeft w:val="0"/>
          <w:marRight w:val="0"/>
          <w:marTop w:val="0"/>
          <w:marBottom w:val="0"/>
          <w:divBdr>
            <w:top w:val="none" w:sz="0" w:space="0" w:color="auto"/>
            <w:left w:val="none" w:sz="0" w:space="0" w:color="auto"/>
            <w:bottom w:val="none" w:sz="0" w:space="0" w:color="auto"/>
            <w:right w:val="none" w:sz="0" w:space="0" w:color="auto"/>
          </w:divBdr>
          <w:divsChild>
            <w:div w:id="177354703">
              <w:marLeft w:val="0"/>
              <w:marRight w:val="0"/>
              <w:marTop w:val="0"/>
              <w:marBottom w:val="0"/>
              <w:divBdr>
                <w:top w:val="none" w:sz="0" w:space="0" w:color="auto"/>
                <w:left w:val="none" w:sz="0" w:space="0" w:color="auto"/>
                <w:bottom w:val="none" w:sz="0" w:space="0" w:color="auto"/>
                <w:right w:val="none" w:sz="0" w:space="0" w:color="auto"/>
              </w:divBdr>
            </w:div>
          </w:divsChild>
        </w:div>
        <w:div w:id="750544584">
          <w:marLeft w:val="0"/>
          <w:marRight w:val="0"/>
          <w:marTop w:val="0"/>
          <w:marBottom w:val="0"/>
          <w:divBdr>
            <w:top w:val="none" w:sz="0" w:space="0" w:color="auto"/>
            <w:left w:val="none" w:sz="0" w:space="0" w:color="auto"/>
            <w:bottom w:val="none" w:sz="0" w:space="0" w:color="auto"/>
            <w:right w:val="none" w:sz="0" w:space="0" w:color="auto"/>
          </w:divBdr>
          <w:divsChild>
            <w:div w:id="1510019698">
              <w:marLeft w:val="0"/>
              <w:marRight w:val="0"/>
              <w:marTop w:val="0"/>
              <w:marBottom w:val="0"/>
              <w:divBdr>
                <w:top w:val="none" w:sz="0" w:space="0" w:color="auto"/>
                <w:left w:val="none" w:sz="0" w:space="0" w:color="auto"/>
                <w:bottom w:val="none" w:sz="0" w:space="0" w:color="auto"/>
                <w:right w:val="none" w:sz="0" w:space="0" w:color="auto"/>
              </w:divBdr>
            </w:div>
          </w:divsChild>
        </w:div>
        <w:div w:id="762922846">
          <w:marLeft w:val="0"/>
          <w:marRight w:val="0"/>
          <w:marTop w:val="0"/>
          <w:marBottom w:val="0"/>
          <w:divBdr>
            <w:top w:val="none" w:sz="0" w:space="0" w:color="auto"/>
            <w:left w:val="none" w:sz="0" w:space="0" w:color="auto"/>
            <w:bottom w:val="none" w:sz="0" w:space="0" w:color="auto"/>
            <w:right w:val="none" w:sz="0" w:space="0" w:color="auto"/>
          </w:divBdr>
          <w:divsChild>
            <w:div w:id="215776433">
              <w:marLeft w:val="0"/>
              <w:marRight w:val="0"/>
              <w:marTop w:val="0"/>
              <w:marBottom w:val="0"/>
              <w:divBdr>
                <w:top w:val="none" w:sz="0" w:space="0" w:color="auto"/>
                <w:left w:val="none" w:sz="0" w:space="0" w:color="auto"/>
                <w:bottom w:val="none" w:sz="0" w:space="0" w:color="auto"/>
                <w:right w:val="none" w:sz="0" w:space="0" w:color="auto"/>
              </w:divBdr>
            </w:div>
          </w:divsChild>
        </w:div>
        <w:div w:id="771555702">
          <w:marLeft w:val="0"/>
          <w:marRight w:val="0"/>
          <w:marTop w:val="0"/>
          <w:marBottom w:val="0"/>
          <w:divBdr>
            <w:top w:val="none" w:sz="0" w:space="0" w:color="auto"/>
            <w:left w:val="none" w:sz="0" w:space="0" w:color="auto"/>
            <w:bottom w:val="none" w:sz="0" w:space="0" w:color="auto"/>
            <w:right w:val="none" w:sz="0" w:space="0" w:color="auto"/>
          </w:divBdr>
          <w:divsChild>
            <w:div w:id="765661987">
              <w:marLeft w:val="0"/>
              <w:marRight w:val="0"/>
              <w:marTop w:val="0"/>
              <w:marBottom w:val="0"/>
              <w:divBdr>
                <w:top w:val="none" w:sz="0" w:space="0" w:color="auto"/>
                <w:left w:val="none" w:sz="0" w:space="0" w:color="auto"/>
                <w:bottom w:val="none" w:sz="0" w:space="0" w:color="auto"/>
                <w:right w:val="none" w:sz="0" w:space="0" w:color="auto"/>
              </w:divBdr>
            </w:div>
          </w:divsChild>
        </w:div>
        <w:div w:id="771585305">
          <w:marLeft w:val="0"/>
          <w:marRight w:val="0"/>
          <w:marTop w:val="0"/>
          <w:marBottom w:val="0"/>
          <w:divBdr>
            <w:top w:val="none" w:sz="0" w:space="0" w:color="auto"/>
            <w:left w:val="none" w:sz="0" w:space="0" w:color="auto"/>
            <w:bottom w:val="none" w:sz="0" w:space="0" w:color="auto"/>
            <w:right w:val="none" w:sz="0" w:space="0" w:color="auto"/>
          </w:divBdr>
          <w:divsChild>
            <w:div w:id="1874687999">
              <w:marLeft w:val="0"/>
              <w:marRight w:val="0"/>
              <w:marTop w:val="0"/>
              <w:marBottom w:val="0"/>
              <w:divBdr>
                <w:top w:val="none" w:sz="0" w:space="0" w:color="auto"/>
                <w:left w:val="none" w:sz="0" w:space="0" w:color="auto"/>
                <w:bottom w:val="none" w:sz="0" w:space="0" w:color="auto"/>
                <w:right w:val="none" w:sz="0" w:space="0" w:color="auto"/>
              </w:divBdr>
            </w:div>
          </w:divsChild>
        </w:div>
        <w:div w:id="781920962">
          <w:marLeft w:val="0"/>
          <w:marRight w:val="0"/>
          <w:marTop w:val="0"/>
          <w:marBottom w:val="0"/>
          <w:divBdr>
            <w:top w:val="none" w:sz="0" w:space="0" w:color="auto"/>
            <w:left w:val="none" w:sz="0" w:space="0" w:color="auto"/>
            <w:bottom w:val="none" w:sz="0" w:space="0" w:color="auto"/>
            <w:right w:val="none" w:sz="0" w:space="0" w:color="auto"/>
          </w:divBdr>
          <w:divsChild>
            <w:div w:id="1243294080">
              <w:marLeft w:val="0"/>
              <w:marRight w:val="0"/>
              <w:marTop w:val="0"/>
              <w:marBottom w:val="0"/>
              <w:divBdr>
                <w:top w:val="none" w:sz="0" w:space="0" w:color="auto"/>
                <w:left w:val="none" w:sz="0" w:space="0" w:color="auto"/>
                <w:bottom w:val="none" w:sz="0" w:space="0" w:color="auto"/>
                <w:right w:val="none" w:sz="0" w:space="0" w:color="auto"/>
              </w:divBdr>
            </w:div>
          </w:divsChild>
        </w:div>
        <w:div w:id="786584099">
          <w:marLeft w:val="0"/>
          <w:marRight w:val="0"/>
          <w:marTop w:val="0"/>
          <w:marBottom w:val="0"/>
          <w:divBdr>
            <w:top w:val="none" w:sz="0" w:space="0" w:color="auto"/>
            <w:left w:val="none" w:sz="0" w:space="0" w:color="auto"/>
            <w:bottom w:val="none" w:sz="0" w:space="0" w:color="auto"/>
            <w:right w:val="none" w:sz="0" w:space="0" w:color="auto"/>
          </w:divBdr>
          <w:divsChild>
            <w:div w:id="423722010">
              <w:marLeft w:val="0"/>
              <w:marRight w:val="0"/>
              <w:marTop w:val="0"/>
              <w:marBottom w:val="0"/>
              <w:divBdr>
                <w:top w:val="none" w:sz="0" w:space="0" w:color="auto"/>
                <w:left w:val="none" w:sz="0" w:space="0" w:color="auto"/>
                <w:bottom w:val="none" w:sz="0" w:space="0" w:color="auto"/>
                <w:right w:val="none" w:sz="0" w:space="0" w:color="auto"/>
              </w:divBdr>
            </w:div>
          </w:divsChild>
        </w:div>
        <w:div w:id="792750930">
          <w:marLeft w:val="0"/>
          <w:marRight w:val="0"/>
          <w:marTop w:val="0"/>
          <w:marBottom w:val="0"/>
          <w:divBdr>
            <w:top w:val="none" w:sz="0" w:space="0" w:color="auto"/>
            <w:left w:val="none" w:sz="0" w:space="0" w:color="auto"/>
            <w:bottom w:val="none" w:sz="0" w:space="0" w:color="auto"/>
            <w:right w:val="none" w:sz="0" w:space="0" w:color="auto"/>
          </w:divBdr>
          <w:divsChild>
            <w:div w:id="604582676">
              <w:marLeft w:val="0"/>
              <w:marRight w:val="0"/>
              <w:marTop w:val="0"/>
              <w:marBottom w:val="0"/>
              <w:divBdr>
                <w:top w:val="none" w:sz="0" w:space="0" w:color="auto"/>
                <w:left w:val="none" w:sz="0" w:space="0" w:color="auto"/>
                <w:bottom w:val="none" w:sz="0" w:space="0" w:color="auto"/>
                <w:right w:val="none" w:sz="0" w:space="0" w:color="auto"/>
              </w:divBdr>
            </w:div>
          </w:divsChild>
        </w:div>
        <w:div w:id="798647767">
          <w:marLeft w:val="0"/>
          <w:marRight w:val="0"/>
          <w:marTop w:val="0"/>
          <w:marBottom w:val="0"/>
          <w:divBdr>
            <w:top w:val="none" w:sz="0" w:space="0" w:color="auto"/>
            <w:left w:val="none" w:sz="0" w:space="0" w:color="auto"/>
            <w:bottom w:val="none" w:sz="0" w:space="0" w:color="auto"/>
            <w:right w:val="none" w:sz="0" w:space="0" w:color="auto"/>
          </w:divBdr>
          <w:divsChild>
            <w:div w:id="1543324408">
              <w:marLeft w:val="0"/>
              <w:marRight w:val="0"/>
              <w:marTop w:val="0"/>
              <w:marBottom w:val="0"/>
              <w:divBdr>
                <w:top w:val="none" w:sz="0" w:space="0" w:color="auto"/>
                <w:left w:val="none" w:sz="0" w:space="0" w:color="auto"/>
                <w:bottom w:val="none" w:sz="0" w:space="0" w:color="auto"/>
                <w:right w:val="none" w:sz="0" w:space="0" w:color="auto"/>
              </w:divBdr>
            </w:div>
          </w:divsChild>
        </w:div>
        <w:div w:id="812255113">
          <w:marLeft w:val="0"/>
          <w:marRight w:val="0"/>
          <w:marTop w:val="0"/>
          <w:marBottom w:val="0"/>
          <w:divBdr>
            <w:top w:val="none" w:sz="0" w:space="0" w:color="auto"/>
            <w:left w:val="none" w:sz="0" w:space="0" w:color="auto"/>
            <w:bottom w:val="none" w:sz="0" w:space="0" w:color="auto"/>
            <w:right w:val="none" w:sz="0" w:space="0" w:color="auto"/>
          </w:divBdr>
          <w:divsChild>
            <w:div w:id="1232697380">
              <w:marLeft w:val="0"/>
              <w:marRight w:val="0"/>
              <w:marTop w:val="0"/>
              <w:marBottom w:val="0"/>
              <w:divBdr>
                <w:top w:val="none" w:sz="0" w:space="0" w:color="auto"/>
                <w:left w:val="none" w:sz="0" w:space="0" w:color="auto"/>
                <w:bottom w:val="none" w:sz="0" w:space="0" w:color="auto"/>
                <w:right w:val="none" w:sz="0" w:space="0" w:color="auto"/>
              </w:divBdr>
            </w:div>
          </w:divsChild>
        </w:div>
        <w:div w:id="813453113">
          <w:marLeft w:val="0"/>
          <w:marRight w:val="0"/>
          <w:marTop w:val="0"/>
          <w:marBottom w:val="0"/>
          <w:divBdr>
            <w:top w:val="none" w:sz="0" w:space="0" w:color="auto"/>
            <w:left w:val="none" w:sz="0" w:space="0" w:color="auto"/>
            <w:bottom w:val="none" w:sz="0" w:space="0" w:color="auto"/>
            <w:right w:val="none" w:sz="0" w:space="0" w:color="auto"/>
          </w:divBdr>
          <w:divsChild>
            <w:div w:id="2052029346">
              <w:marLeft w:val="0"/>
              <w:marRight w:val="0"/>
              <w:marTop w:val="0"/>
              <w:marBottom w:val="0"/>
              <w:divBdr>
                <w:top w:val="none" w:sz="0" w:space="0" w:color="auto"/>
                <w:left w:val="none" w:sz="0" w:space="0" w:color="auto"/>
                <w:bottom w:val="none" w:sz="0" w:space="0" w:color="auto"/>
                <w:right w:val="none" w:sz="0" w:space="0" w:color="auto"/>
              </w:divBdr>
            </w:div>
          </w:divsChild>
        </w:div>
        <w:div w:id="822697235">
          <w:marLeft w:val="0"/>
          <w:marRight w:val="0"/>
          <w:marTop w:val="0"/>
          <w:marBottom w:val="0"/>
          <w:divBdr>
            <w:top w:val="none" w:sz="0" w:space="0" w:color="auto"/>
            <w:left w:val="none" w:sz="0" w:space="0" w:color="auto"/>
            <w:bottom w:val="none" w:sz="0" w:space="0" w:color="auto"/>
            <w:right w:val="none" w:sz="0" w:space="0" w:color="auto"/>
          </w:divBdr>
          <w:divsChild>
            <w:div w:id="1546680753">
              <w:marLeft w:val="0"/>
              <w:marRight w:val="0"/>
              <w:marTop w:val="0"/>
              <w:marBottom w:val="0"/>
              <w:divBdr>
                <w:top w:val="none" w:sz="0" w:space="0" w:color="auto"/>
                <w:left w:val="none" w:sz="0" w:space="0" w:color="auto"/>
                <w:bottom w:val="none" w:sz="0" w:space="0" w:color="auto"/>
                <w:right w:val="none" w:sz="0" w:space="0" w:color="auto"/>
              </w:divBdr>
            </w:div>
          </w:divsChild>
        </w:div>
        <w:div w:id="831874564">
          <w:marLeft w:val="0"/>
          <w:marRight w:val="0"/>
          <w:marTop w:val="0"/>
          <w:marBottom w:val="0"/>
          <w:divBdr>
            <w:top w:val="none" w:sz="0" w:space="0" w:color="auto"/>
            <w:left w:val="none" w:sz="0" w:space="0" w:color="auto"/>
            <w:bottom w:val="none" w:sz="0" w:space="0" w:color="auto"/>
            <w:right w:val="none" w:sz="0" w:space="0" w:color="auto"/>
          </w:divBdr>
          <w:divsChild>
            <w:div w:id="1015765323">
              <w:marLeft w:val="0"/>
              <w:marRight w:val="0"/>
              <w:marTop w:val="0"/>
              <w:marBottom w:val="0"/>
              <w:divBdr>
                <w:top w:val="none" w:sz="0" w:space="0" w:color="auto"/>
                <w:left w:val="none" w:sz="0" w:space="0" w:color="auto"/>
                <w:bottom w:val="none" w:sz="0" w:space="0" w:color="auto"/>
                <w:right w:val="none" w:sz="0" w:space="0" w:color="auto"/>
              </w:divBdr>
            </w:div>
          </w:divsChild>
        </w:div>
        <w:div w:id="839661306">
          <w:marLeft w:val="0"/>
          <w:marRight w:val="0"/>
          <w:marTop w:val="0"/>
          <w:marBottom w:val="0"/>
          <w:divBdr>
            <w:top w:val="none" w:sz="0" w:space="0" w:color="auto"/>
            <w:left w:val="none" w:sz="0" w:space="0" w:color="auto"/>
            <w:bottom w:val="none" w:sz="0" w:space="0" w:color="auto"/>
            <w:right w:val="none" w:sz="0" w:space="0" w:color="auto"/>
          </w:divBdr>
          <w:divsChild>
            <w:div w:id="1381051002">
              <w:marLeft w:val="0"/>
              <w:marRight w:val="0"/>
              <w:marTop w:val="0"/>
              <w:marBottom w:val="0"/>
              <w:divBdr>
                <w:top w:val="none" w:sz="0" w:space="0" w:color="auto"/>
                <w:left w:val="none" w:sz="0" w:space="0" w:color="auto"/>
                <w:bottom w:val="none" w:sz="0" w:space="0" w:color="auto"/>
                <w:right w:val="none" w:sz="0" w:space="0" w:color="auto"/>
              </w:divBdr>
            </w:div>
          </w:divsChild>
        </w:div>
        <w:div w:id="869604758">
          <w:marLeft w:val="0"/>
          <w:marRight w:val="0"/>
          <w:marTop w:val="0"/>
          <w:marBottom w:val="0"/>
          <w:divBdr>
            <w:top w:val="none" w:sz="0" w:space="0" w:color="auto"/>
            <w:left w:val="none" w:sz="0" w:space="0" w:color="auto"/>
            <w:bottom w:val="none" w:sz="0" w:space="0" w:color="auto"/>
            <w:right w:val="none" w:sz="0" w:space="0" w:color="auto"/>
          </w:divBdr>
          <w:divsChild>
            <w:div w:id="878248681">
              <w:marLeft w:val="0"/>
              <w:marRight w:val="0"/>
              <w:marTop w:val="0"/>
              <w:marBottom w:val="0"/>
              <w:divBdr>
                <w:top w:val="none" w:sz="0" w:space="0" w:color="auto"/>
                <w:left w:val="none" w:sz="0" w:space="0" w:color="auto"/>
                <w:bottom w:val="none" w:sz="0" w:space="0" w:color="auto"/>
                <w:right w:val="none" w:sz="0" w:space="0" w:color="auto"/>
              </w:divBdr>
            </w:div>
          </w:divsChild>
        </w:div>
        <w:div w:id="873537459">
          <w:marLeft w:val="0"/>
          <w:marRight w:val="0"/>
          <w:marTop w:val="0"/>
          <w:marBottom w:val="0"/>
          <w:divBdr>
            <w:top w:val="none" w:sz="0" w:space="0" w:color="auto"/>
            <w:left w:val="none" w:sz="0" w:space="0" w:color="auto"/>
            <w:bottom w:val="none" w:sz="0" w:space="0" w:color="auto"/>
            <w:right w:val="none" w:sz="0" w:space="0" w:color="auto"/>
          </w:divBdr>
          <w:divsChild>
            <w:div w:id="1696539682">
              <w:marLeft w:val="0"/>
              <w:marRight w:val="0"/>
              <w:marTop w:val="0"/>
              <w:marBottom w:val="0"/>
              <w:divBdr>
                <w:top w:val="none" w:sz="0" w:space="0" w:color="auto"/>
                <w:left w:val="none" w:sz="0" w:space="0" w:color="auto"/>
                <w:bottom w:val="none" w:sz="0" w:space="0" w:color="auto"/>
                <w:right w:val="none" w:sz="0" w:space="0" w:color="auto"/>
              </w:divBdr>
            </w:div>
          </w:divsChild>
        </w:div>
        <w:div w:id="876162013">
          <w:marLeft w:val="0"/>
          <w:marRight w:val="0"/>
          <w:marTop w:val="0"/>
          <w:marBottom w:val="0"/>
          <w:divBdr>
            <w:top w:val="none" w:sz="0" w:space="0" w:color="auto"/>
            <w:left w:val="none" w:sz="0" w:space="0" w:color="auto"/>
            <w:bottom w:val="none" w:sz="0" w:space="0" w:color="auto"/>
            <w:right w:val="none" w:sz="0" w:space="0" w:color="auto"/>
          </w:divBdr>
          <w:divsChild>
            <w:div w:id="418792501">
              <w:marLeft w:val="0"/>
              <w:marRight w:val="0"/>
              <w:marTop w:val="0"/>
              <w:marBottom w:val="0"/>
              <w:divBdr>
                <w:top w:val="none" w:sz="0" w:space="0" w:color="auto"/>
                <w:left w:val="none" w:sz="0" w:space="0" w:color="auto"/>
                <w:bottom w:val="none" w:sz="0" w:space="0" w:color="auto"/>
                <w:right w:val="none" w:sz="0" w:space="0" w:color="auto"/>
              </w:divBdr>
            </w:div>
          </w:divsChild>
        </w:div>
        <w:div w:id="881863384">
          <w:marLeft w:val="0"/>
          <w:marRight w:val="0"/>
          <w:marTop w:val="0"/>
          <w:marBottom w:val="0"/>
          <w:divBdr>
            <w:top w:val="none" w:sz="0" w:space="0" w:color="auto"/>
            <w:left w:val="none" w:sz="0" w:space="0" w:color="auto"/>
            <w:bottom w:val="none" w:sz="0" w:space="0" w:color="auto"/>
            <w:right w:val="none" w:sz="0" w:space="0" w:color="auto"/>
          </w:divBdr>
          <w:divsChild>
            <w:div w:id="397436606">
              <w:marLeft w:val="0"/>
              <w:marRight w:val="0"/>
              <w:marTop w:val="0"/>
              <w:marBottom w:val="0"/>
              <w:divBdr>
                <w:top w:val="none" w:sz="0" w:space="0" w:color="auto"/>
                <w:left w:val="none" w:sz="0" w:space="0" w:color="auto"/>
                <w:bottom w:val="none" w:sz="0" w:space="0" w:color="auto"/>
                <w:right w:val="none" w:sz="0" w:space="0" w:color="auto"/>
              </w:divBdr>
            </w:div>
          </w:divsChild>
        </w:div>
        <w:div w:id="884566022">
          <w:marLeft w:val="0"/>
          <w:marRight w:val="0"/>
          <w:marTop w:val="0"/>
          <w:marBottom w:val="0"/>
          <w:divBdr>
            <w:top w:val="none" w:sz="0" w:space="0" w:color="auto"/>
            <w:left w:val="none" w:sz="0" w:space="0" w:color="auto"/>
            <w:bottom w:val="none" w:sz="0" w:space="0" w:color="auto"/>
            <w:right w:val="none" w:sz="0" w:space="0" w:color="auto"/>
          </w:divBdr>
          <w:divsChild>
            <w:div w:id="1945529817">
              <w:marLeft w:val="0"/>
              <w:marRight w:val="0"/>
              <w:marTop w:val="0"/>
              <w:marBottom w:val="0"/>
              <w:divBdr>
                <w:top w:val="none" w:sz="0" w:space="0" w:color="auto"/>
                <w:left w:val="none" w:sz="0" w:space="0" w:color="auto"/>
                <w:bottom w:val="none" w:sz="0" w:space="0" w:color="auto"/>
                <w:right w:val="none" w:sz="0" w:space="0" w:color="auto"/>
              </w:divBdr>
            </w:div>
          </w:divsChild>
        </w:div>
        <w:div w:id="901524065">
          <w:marLeft w:val="0"/>
          <w:marRight w:val="0"/>
          <w:marTop w:val="0"/>
          <w:marBottom w:val="0"/>
          <w:divBdr>
            <w:top w:val="none" w:sz="0" w:space="0" w:color="auto"/>
            <w:left w:val="none" w:sz="0" w:space="0" w:color="auto"/>
            <w:bottom w:val="none" w:sz="0" w:space="0" w:color="auto"/>
            <w:right w:val="none" w:sz="0" w:space="0" w:color="auto"/>
          </w:divBdr>
          <w:divsChild>
            <w:div w:id="1292636092">
              <w:marLeft w:val="0"/>
              <w:marRight w:val="0"/>
              <w:marTop w:val="0"/>
              <w:marBottom w:val="0"/>
              <w:divBdr>
                <w:top w:val="none" w:sz="0" w:space="0" w:color="auto"/>
                <w:left w:val="none" w:sz="0" w:space="0" w:color="auto"/>
                <w:bottom w:val="none" w:sz="0" w:space="0" w:color="auto"/>
                <w:right w:val="none" w:sz="0" w:space="0" w:color="auto"/>
              </w:divBdr>
            </w:div>
          </w:divsChild>
        </w:div>
        <w:div w:id="934289112">
          <w:marLeft w:val="0"/>
          <w:marRight w:val="0"/>
          <w:marTop w:val="0"/>
          <w:marBottom w:val="0"/>
          <w:divBdr>
            <w:top w:val="none" w:sz="0" w:space="0" w:color="auto"/>
            <w:left w:val="none" w:sz="0" w:space="0" w:color="auto"/>
            <w:bottom w:val="none" w:sz="0" w:space="0" w:color="auto"/>
            <w:right w:val="none" w:sz="0" w:space="0" w:color="auto"/>
          </w:divBdr>
          <w:divsChild>
            <w:div w:id="1088574341">
              <w:marLeft w:val="0"/>
              <w:marRight w:val="0"/>
              <w:marTop w:val="0"/>
              <w:marBottom w:val="0"/>
              <w:divBdr>
                <w:top w:val="none" w:sz="0" w:space="0" w:color="auto"/>
                <w:left w:val="none" w:sz="0" w:space="0" w:color="auto"/>
                <w:bottom w:val="none" w:sz="0" w:space="0" w:color="auto"/>
                <w:right w:val="none" w:sz="0" w:space="0" w:color="auto"/>
              </w:divBdr>
            </w:div>
          </w:divsChild>
        </w:div>
        <w:div w:id="938753355">
          <w:marLeft w:val="0"/>
          <w:marRight w:val="0"/>
          <w:marTop w:val="0"/>
          <w:marBottom w:val="0"/>
          <w:divBdr>
            <w:top w:val="none" w:sz="0" w:space="0" w:color="auto"/>
            <w:left w:val="none" w:sz="0" w:space="0" w:color="auto"/>
            <w:bottom w:val="none" w:sz="0" w:space="0" w:color="auto"/>
            <w:right w:val="none" w:sz="0" w:space="0" w:color="auto"/>
          </w:divBdr>
          <w:divsChild>
            <w:div w:id="107966436">
              <w:marLeft w:val="0"/>
              <w:marRight w:val="0"/>
              <w:marTop w:val="0"/>
              <w:marBottom w:val="0"/>
              <w:divBdr>
                <w:top w:val="none" w:sz="0" w:space="0" w:color="auto"/>
                <w:left w:val="none" w:sz="0" w:space="0" w:color="auto"/>
                <w:bottom w:val="none" w:sz="0" w:space="0" w:color="auto"/>
                <w:right w:val="none" w:sz="0" w:space="0" w:color="auto"/>
              </w:divBdr>
            </w:div>
          </w:divsChild>
        </w:div>
        <w:div w:id="951739510">
          <w:marLeft w:val="0"/>
          <w:marRight w:val="0"/>
          <w:marTop w:val="0"/>
          <w:marBottom w:val="0"/>
          <w:divBdr>
            <w:top w:val="none" w:sz="0" w:space="0" w:color="auto"/>
            <w:left w:val="none" w:sz="0" w:space="0" w:color="auto"/>
            <w:bottom w:val="none" w:sz="0" w:space="0" w:color="auto"/>
            <w:right w:val="none" w:sz="0" w:space="0" w:color="auto"/>
          </w:divBdr>
          <w:divsChild>
            <w:div w:id="404299056">
              <w:marLeft w:val="0"/>
              <w:marRight w:val="0"/>
              <w:marTop w:val="0"/>
              <w:marBottom w:val="0"/>
              <w:divBdr>
                <w:top w:val="none" w:sz="0" w:space="0" w:color="auto"/>
                <w:left w:val="none" w:sz="0" w:space="0" w:color="auto"/>
                <w:bottom w:val="none" w:sz="0" w:space="0" w:color="auto"/>
                <w:right w:val="none" w:sz="0" w:space="0" w:color="auto"/>
              </w:divBdr>
            </w:div>
          </w:divsChild>
        </w:div>
        <w:div w:id="965743537">
          <w:marLeft w:val="0"/>
          <w:marRight w:val="0"/>
          <w:marTop w:val="0"/>
          <w:marBottom w:val="0"/>
          <w:divBdr>
            <w:top w:val="none" w:sz="0" w:space="0" w:color="auto"/>
            <w:left w:val="none" w:sz="0" w:space="0" w:color="auto"/>
            <w:bottom w:val="none" w:sz="0" w:space="0" w:color="auto"/>
            <w:right w:val="none" w:sz="0" w:space="0" w:color="auto"/>
          </w:divBdr>
          <w:divsChild>
            <w:div w:id="1681154406">
              <w:marLeft w:val="0"/>
              <w:marRight w:val="0"/>
              <w:marTop w:val="0"/>
              <w:marBottom w:val="0"/>
              <w:divBdr>
                <w:top w:val="none" w:sz="0" w:space="0" w:color="auto"/>
                <w:left w:val="none" w:sz="0" w:space="0" w:color="auto"/>
                <w:bottom w:val="none" w:sz="0" w:space="0" w:color="auto"/>
                <w:right w:val="none" w:sz="0" w:space="0" w:color="auto"/>
              </w:divBdr>
            </w:div>
          </w:divsChild>
        </w:div>
        <w:div w:id="974456559">
          <w:marLeft w:val="0"/>
          <w:marRight w:val="0"/>
          <w:marTop w:val="0"/>
          <w:marBottom w:val="0"/>
          <w:divBdr>
            <w:top w:val="none" w:sz="0" w:space="0" w:color="auto"/>
            <w:left w:val="none" w:sz="0" w:space="0" w:color="auto"/>
            <w:bottom w:val="none" w:sz="0" w:space="0" w:color="auto"/>
            <w:right w:val="none" w:sz="0" w:space="0" w:color="auto"/>
          </w:divBdr>
          <w:divsChild>
            <w:div w:id="1908150755">
              <w:marLeft w:val="0"/>
              <w:marRight w:val="0"/>
              <w:marTop w:val="0"/>
              <w:marBottom w:val="0"/>
              <w:divBdr>
                <w:top w:val="none" w:sz="0" w:space="0" w:color="auto"/>
                <w:left w:val="none" w:sz="0" w:space="0" w:color="auto"/>
                <w:bottom w:val="none" w:sz="0" w:space="0" w:color="auto"/>
                <w:right w:val="none" w:sz="0" w:space="0" w:color="auto"/>
              </w:divBdr>
            </w:div>
          </w:divsChild>
        </w:div>
        <w:div w:id="976954684">
          <w:marLeft w:val="0"/>
          <w:marRight w:val="0"/>
          <w:marTop w:val="0"/>
          <w:marBottom w:val="0"/>
          <w:divBdr>
            <w:top w:val="none" w:sz="0" w:space="0" w:color="auto"/>
            <w:left w:val="none" w:sz="0" w:space="0" w:color="auto"/>
            <w:bottom w:val="none" w:sz="0" w:space="0" w:color="auto"/>
            <w:right w:val="none" w:sz="0" w:space="0" w:color="auto"/>
          </w:divBdr>
          <w:divsChild>
            <w:div w:id="1921861852">
              <w:marLeft w:val="0"/>
              <w:marRight w:val="0"/>
              <w:marTop w:val="0"/>
              <w:marBottom w:val="0"/>
              <w:divBdr>
                <w:top w:val="none" w:sz="0" w:space="0" w:color="auto"/>
                <w:left w:val="none" w:sz="0" w:space="0" w:color="auto"/>
                <w:bottom w:val="none" w:sz="0" w:space="0" w:color="auto"/>
                <w:right w:val="none" w:sz="0" w:space="0" w:color="auto"/>
              </w:divBdr>
            </w:div>
          </w:divsChild>
        </w:div>
        <w:div w:id="977299956">
          <w:marLeft w:val="0"/>
          <w:marRight w:val="0"/>
          <w:marTop w:val="0"/>
          <w:marBottom w:val="0"/>
          <w:divBdr>
            <w:top w:val="none" w:sz="0" w:space="0" w:color="auto"/>
            <w:left w:val="none" w:sz="0" w:space="0" w:color="auto"/>
            <w:bottom w:val="none" w:sz="0" w:space="0" w:color="auto"/>
            <w:right w:val="none" w:sz="0" w:space="0" w:color="auto"/>
          </w:divBdr>
          <w:divsChild>
            <w:div w:id="2111007639">
              <w:marLeft w:val="0"/>
              <w:marRight w:val="0"/>
              <w:marTop w:val="0"/>
              <w:marBottom w:val="0"/>
              <w:divBdr>
                <w:top w:val="none" w:sz="0" w:space="0" w:color="auto"/>
                <w:left w:val="none" w:sz="0" w:space="0" w:color="auto"/>
                <w:bottom w:val="none" w:sz="0" w:space="0" w:color="auto"/>
                <w:right w:val="none" w:sz="0" w:space="0" w:color="auto"/>
              </w:divBdr>
            </w:div>
          </w:divsChild>
        </w:div>
        <w:div w:id="998772680">
          <w:marLeft w:val="0"/>
          <w:marRight w:val="0"/>
          <w:marTop w:val="0"/>
          <w:marBottom w:val="0"/>
          <w:divBdr>
            <w:top w:val="none" w:sz="0" w:space="0" w:color="auto"/>
            <w:left w:val="none" w:sz="0" w:space="0" w:color="auto"/>
            <w:bottom w:val="none" w:sz="0" w:space="0" w:color="auto"/>
            <w:right w:val="none" w:sz="0" w:space="0" w:color="auto"/>
          </w:divBdr>
          <w:divsChild>
            <w:div w:id="1063869835">
              <w:marLeft w:val="0"/>
              <w:marRight w:val="0"/>
              <w:marTop w:val="0"/>
              <w:marBottom w:val="0"/>
              <w:divBdr>
                <w:top w:val="none" w:sz="0" w:space="0" w:color="auto"/>
                <w:left w:val="none" w:sz="0" w:space="0" w:color="auto"/>
                <w:bottom w:val="none" w:sz="0" w:space="0" w:color="auto"/>
                <w:right w:val="none" w:sz="0" w:space="0" w:color="auto"/>
              </w:divBdr>
            </w:div>
          </w:divsChild>
        </w:div>
        <w:div w:id="1003700420">
          <w:marLeft w:val="0"/>
          <w:marRight w:val="0"/>
          <w:marTop w:val="0"/>
          <w:marBottom w:val="0"/>
          <w:divBdr>
            <w:top w:val="none" w:sz="0" w:space="0" w:color="auto"/>
            <w:left w:val="none" w:sz="0" w:space="0" w:color="auto"/>
            <w:bottom w:val="none" w:sz="0" w:space="0" w:color="auto"/>
            <w:right w:val="none" w:sz="0" w:space="0" w:color="auto"/>
          </w:divBdr>
          <w:divsChild>
            <w:div w:id="826822303">
              <w:marLeft w:val="0"/>
              <w:marRight w:val="0"/>
              <w:marTop w:val="0"/>
              <w:marBottom w:val="0"/>
              <w:divBdr>
                <w:top w:val="none" w:sz="0" w:space="0" w:color="auto"/>
                <w:left w:val="none" w:sz="0" w:space="0" w:color="auto"/>
                <w:bottom w:val="none" w:sz="0" w:space="0" w:color="auto"/>
                <w:right w:val="none" w:sz="0" w:space="0" w:color="auto"/>
              </w:divBdr>
            </w:div>
          </w:divsChild>
        </w:div>
        <w:div w:id="1006860806">
          <w:marLeft w:val="0"/>
          <w:marRight w:val="0"/>
          <w:marTop w:val="0"/>
          <w:marBottom w:val="0"/>
          <w:divBdr>
            <w:top w:val="none" w:sz="0" w:space="0" w:color="auto"/>
            <w:left w:val="none" w:sz="0" w:space="0" w:color="auto"/>
            <w:bottom w:val="none" w:sz="0" w:space="0" w:color="auto"/>
            <w:right w:val="none" w:sz="0" w:space="0" w:color="auto"/>
          </w:divBdr>
          <w:divsChild>
            <w:div w:id="2057856072">
              <w:marLeft w:val="0"/>
              <w:marRight w:val="0"/>
              <w:marTop w:val="0"/>
              <w:marBottom w:val="0"/>
              <w:divBdr>
                <w:top w:val="none" w:sz="0" w:space="0" w:color="auto"/>
                <w:left w:val="none" w:sz="0" w:space="0" w:color="auto"/>
                <w:bottom w:val="none" w:sz="0" w:space="0" w:color="auto"/>
                <w:right w:val="none" w:sz="0" w:space="0" w:color="auto"/>
              </w:divBdr>
            </w:div>
          </w:divsChild>
        </w:div>
        <w:div w:id="1008947919">
          <w:marLeft w:val="0"/>
          <w:marRight w:val="0"/>
          <w:marTop w:val="0"/>
          <w:marBottom w:val="0"/>
          <w:divBdr>
            <w:top w:val="none" w:sz="0" w:space="0" w:color="auto"/>
            <w:left w:val="none" w:sz="0" w:space="0" w:color="auto"/>
            <w:bottom w:val="none" w:sz="0" w:space="0" w:color="auto"/>
            <w:right w:val="none" w:sz="0" w:space="0" w:color="auto"/>
          </w:divBdr>
          <w:divsChild>
            <w:div w:id="362176380">
              <w:marLeft w:val="0"/>
              <w:marRight w:val="0"/>
              <w:marTop w:val="0"/>
              <w:marBottom w:val="0"/>
              <w:divBdr>
                <w:top w:val="none" w:sz="0" w:space="0" w:color="auto"/>
                <w:left w:val="none" w:sz="0" w:space="0" w:color="auto"/>
                <w:bottom w:val="none" w:sz="0" w:space="0" w:color="auto"/>
                <w:right w:val="none" w:sz="0" w:space="0" w:color="auto"/>
              </w:divBdr>
            </w:div>
          </w:divsChild>
        </w:div>
        <w:div w:id="1011176777">
          <w:marLeft w:val="0"/>
          <w:marRight w:val="0"/>
          <w:marTop w:val="0"/>
          <w:marBottom w:val="0"/>
          <w:divBdr>
            <w:top w:val="none" w:sz="0" w:space="0" w:color="auto"/>
            <w:left w:val="none" w:sz="0" w:space="0" w:color="auto"/>
            <w:bottom w:val="none" w:sz="0" w:space="0" w:color="auto"/>
            <w:right w:val="none" w:sz="0" w:space="0" w:color="auto"/>
          </w:divBdr>
          <w:divsChild>
            <w:div w:id="1005328884">
              <w:marLeft w:val="0"/>
              <w:marRight w:val="0"/>
              <w:marTop w:val="0"/>
              <w:marBottom w:val="0"/>
              <w:divBdr>
                <w:top w:val="none" w:sz="0" w:space="0" w:color="auto"/>
                <w:left w:val="none" w:sz="0" w:space="0" w:color="auto"/>
                <w:bottom w:val="none" w:sz="0" w:space="0" w:color="auto"/>
                <w:right w:val="none" w:sz="0" w:space="0" w:color="auto"/>
              </w:divBdr>
            </w:div>
          </w:divsChild>
        </w:div>
        <w:div w:id="1012493024">
          <w:marLeft w:val="0"/>
          <w:marRight w:val="0"/>
          <w:marTop w:val="0"/>
          <w:marBottom w:val="0"/>
          <w:divBdr>
            <w:top w:val="none" w:sz="0" w:space="0" w:color="auto"/>
            <w:left w:val="none" w:sz="0" w:space="0" w:color="auto"/>
            <w:bottom w:val="none" w:sz="0" w:space="0" w:color="auto"/>
            <w:right w:val="none" w:sz="0" w:space="0" w:color="auto"/>
          </w:divBdr>
          <w:divsChild>
            <w:div w:id="1487940929">
              <w:marLeft w:val="0"/>
              <w:marRight w:val="0"/>
              <w:marTop w:val="0"/>
              <w:marBottom w:val="0"/>
              <w:divBdr>
                <w:top w:val="none" w:sz="0" w:space="0" w:color="auto"/>
                <w:left w:val="none" w:sz="0" w:space="0" w:color="auto"/>
                <w:bottom w:val="none" w:sz="0" w:space="0" w:color="auto"/>
                <w:right w:val="none" w:sz="0" w:space="0" w:color="auto"/>
              </w:divBdr>
            </w:div>
          </w:divsChild>
        </w:div>
        <w:div w:id="1014267223">
          <w:marLeft w:val="0"/>
          <w:marRight w:val="0"/>
          <w:marTop w:val="0"/>
          <w:marBottom w:val="0"/>
          <w:divBdr>
            <w:top w:val="none" w:sz="0" w:space="0" w:color="auto"/>
            <w:left w:val="none" w:sz="0" w:space="0" w:color="auto"/>
            <w:bottom w:val="none" w:sz="0" w:space="0" w:color="auto"/>
            <w:right w:val="none" w:sz="0" w:space="0" w:color="auto"/>
          </w:divBdr>
          <w:divsChild>
            <w:div w:id="1931693980">
              <w:marLeft w:val="0"/>
              <w:marRight w:val="0"/>
              <w:marTop w:val="0"/>
              <w:marBottom w:val="0"/>
              <w:divBdr>
                <w:top w:val="none" w:sz="0" w:space="0" w:color="auto"/>
                <w:left w:val="none" w:sz="0" w:space="0" w:color="auto"/>
                <w:bottom w:val="none" w:sz="0" w:space="0" w:color="auto"/>
                <w:right w:val="none" w:sz="0" w:space="0" w:color="auto"/>
              </w:divBdr>
            </w:div>
          </w:divsChild>
        </w:div>
        <w:div w:id="1019896006">
          <w:marLeft w:val="0"/>
          <w:marRight w:val="0"/>
          <w:marTop w:val="0"/>
          <w:marBottom w:val="0"/>
          <w:divBdr>
            <w:top w:val="none" w:sz="0" w:space="0" w:color="auto"/>
            <w:left w:val="none" w:sz="0" w:space="0" w:color="auto"/>
            <w:bottom w:val="none" w:sz="0" w:space="0" w:color="auto"/>
            <w:right w:val="none" w:sz="0" w:space="0" w:color="auto"/>
          </w:divBdr>
          <w:divsChild>
            <w:div w:id="444540058">
              <w:marLeft w:val="0"/>
              <w:marRight w:val="0"/>
              <w:marTop w:val="0"/>
              <w:marBottom w:val="0"/>
              <w:divBdr>
                <w:top w:val="none" w:sz="0" w:space="0" w:color="auto"/>
                <w:left w:val="none" w:sz="0" w:space="0" w:color="auto"/>
                <w:bottom w:val="none" w:sz="0" w:space="0" w:color="auto"/>
                <w:right w:val="none" w:sz="0" w:space="0" w:color="auto"/>
              </w:divBdr>
            </w:div>
          </w:divsChild>
        </w:div>
        <w:div w:id="1020857110">
          <w:marLeft w:val="0"/>
          <w:marRight w:val="0"/>
          <w:marTop w:val="0"/>
          <w:marBottom w:val="0"/>
          <w:divBdr>
            <w:top w:val="none" w:sz="0" w:space="0" w:color="auto"/>
            <w:left w:val="none" w:sz="0" w:space="0" w:color="auto"/>
            <w:bottom w:val="none" w:sz="0" w:space="0" w:color="auto"/>
            <w:right w:val="none" w:sz="0" w:space="0" w:color="auto"/>
          </w:divBdr>
          <w:divsChild>
            <w:div w:id="992677764">
              <w:marLeft w:val="0"/>
              <w:marRight w:val="0"/>
              <w:marTop w:val="0"/>
              <w:marBottom w:val="0"/>
              <w:divBdr>
                <w:top w:val="none" w:sz="0" w:space="0" w:color="auto"/>
                <w:left w:val="none" w:sz="0" w:space="0" w:color="auto"/>
                <w:bottom w:val="none" w:sz="0" w:space="0" w:color="auto"/>
                <w:right w:val="none" w:sz="0" w:space="0" w:color="auto"/>
              </w:divBdr>
            </w:div>
          </w:divsChild>
        </w:div>
        <w:div w:id="1048801198">
          <w:marLeft w:val="0"/>
          <w:marRight w:val="0"/>
          <w:marTop w:val="0"/>
          <w:marBottom w:val="0"/>
          <w:divBdr>
            <w:top w:val="none" w:sz="0" w:space="0" w:color="auto"/>
            <w:left w:val="none" w:sz="0" w:space="0" w:color="auto"/>
            <w:bottom w:val="none" w:sz="0" w:space="0" w:color="auto"/>
            <w:right w:val="none" w:sz="0" w:space="0" w:color="auto"/>
          </w:divBdr>
          <w:divsChild>
            <w:div w:id="1492525457">
              <w:marLeft w:val="0"/>
              <w:marRight w:val="0"/>
              <w:marTop w:val="0"/>
              <w:marBottom w:val="0"/>
              <w:divBdr>
                <w:top w:val="none" w:sz="0" w:space="0" w:color="auto"/>
                <w:left w:val="none" w:sz="0" w:space="0" w:color="auto"/>
                <w:bottom w:val="none" w:sz="0" w:space="0" w:color="auto"/>
                <w:right w:val="none" w:sz="0" w:space="0" w:color="auto"/>
              </w:divBdr>
            </w:div>
          </w:divsChild>
        </w:div>
        <w:div w:id="1053768628">
          <w:marLeft w:val="0"/>
          <w:marRight w:val="0"/>
          <w:marTop w:val="0"/>
          <w:marBottom w:val="0"/>
          <w:divBdr>
            <w:top w:val="none" w:sz="0" w:space="0" w:color="auto"/>
            <w:left w:val="none" w:sz="0" w:space="0" w:color="auto"/>
            <w:bottom w:val="none" w:sz="0" w:space="0" w:color="auto"/>
            <w:right w:val="none" w:sz="0" w:space="0" w:color="auto"/>
          </w:divBdr>
          <w:divsChild>
            <w:div w:id="493879888">
              <w:marLeft w:val="0"/>
              <w:marRight w:val="0"/>
              <w:marTop w:val="0"/>
              <w:marBottom w:val="0"/>
              <w:divBdr>
                <w:top w:val="none" w:sz="0" w:space="0" w:color="auto"/>
                <w:left w:val="none" w:sz="0" w:space="0" w:color="auto"/>
                <w:bottom w:val="none" w:sz="0" w:space="0" w:color="auto"/>
                <w:right w:val="none" w:sz="0" w:space="0" w:color="auto"/>
              </w:divBdr>
            </w:div>
          </w:divsChild>
        </w:div>
        <w:div w:id="1082945110">
          <w:marLeft w:val="0"/>
          <w:marRight w:val="0"/>
          <w:marTop w:val="0"/>
          <w:marBottom w:val="0"/>
          <w:divBdr>
            <w:top w:val="none" w:sz="0" w:space="0" w:color="auto"/>
            <w:left w:val="none" w:sz="0" w:space="0" w:color="auto"/>
            <w:bottom w:val="none" w:sz="0" w:space="0" w:color="auto"/>
            <w:right w:val="none" w:sz="0" w:space="0" w:color="auto"/>
          </w:divBdr>
          <w:divsChild>
            <w:div w:id="987248058">
              <w:marLeft w:val="0"/>
              <w:marRight w:val="0"/>
              <w:marTop w:val="0"/>
              <w:marBottom w:val="0"/>
              <w:divBdr>
                <w:top w:val="none" w:sz="0" w:space="0" w:color="auto"/>
                <w:left w:val="none" w:sz="0" w:space="0" w:color="auto"/>
                <w:bottom w:val="none" w:sz="0" w:space="0" w:color="auto"/>
                <w:right w:val="none" w:sz="0" w:space="0" w:color="auto"/>
              </w:divBdr>
            </w:div>
          </w:divsChild>
        </w:div>
        <w:div w:id="1084961716">
          <w:marLeft w:val="0"/>
          <w:marRight w:val="0"/>
          <w:marTop w:val="0"/>
          <w:marBottom w:val="0"/>
          <w:divBdr>
            <w:top w:val="none" w:sz="0" w:space="0" w:color="auto"/>
            <w:left w:val="none" w:sz="0" w:space="0" w:color="auto"/>
            <w:bottom w:val="none" w:sz="0" w:space="0" w:color="auto"/>
            <w:right w:val="none" w:sz="0" w:space="0" w:color="auto"/>
          </w:divBdr>
          <w:divsChild>
            <w:div w:id="696152193">
              <w:marLeft w:val="0"/>
              <w:marRight w:val="0"/>
              <w:marTop w:val="0"/>
              <w:marBottom w:val="0"/>
              <w:divBdr>
                <w:top w:val="none" w:sz="0" w:space="0" w:color="auto"/>
                <w:left w:val="none" w:sz="0" w:space="0" w:color="auto"/>
                <w:bottom w:val="none" w:sz="0" w:space="0" w:color="auto"/>
                <w:right w:val="none" w:sz="0" w:space="0" w:color="auto"/>
              </w:divBdr>
            </w:div>
          </w:divsChild>
        </w:div>
        <w:div w:id="1099330248">
          <w:marLeft w:val="0"/>
          <w:marRight w:val="0"/>
          <w:marTop w:val="0"/>
          <w:marBottom w:val="0"/>
          <w:divBdr>
            <w:top w:val="none" w:sz="0" w:space="0" w:color="auto"/>
            <w:left w:val="none" w:sz="0" w:space="0" w:color="auto"/>
            <w:bottom w:val="none" w:sz="0" w:space="0" w:color="auto"/>
            <w:right w:val="none" w:sz="0" w:space="0" w:color="auto"/>
          </w:divBdr>
          <w:divsChild>
            <w:div w:id="1398548975">
              <w:marLeft w:val="0"/>
              <w:marRight w:val="0"/>
              <w:marTop w:val="0"/>
              <w:marBottom w:val="0"/>
              <w:divBdr>
                <w:top w:val="none" w:sz="0" w:space="0" w:color="auto"/>
                <w:left w:val="none" w:sz="0" w:space="0" w:color="auto"/>
                <w:bottom w:val="none" w:sz="0" w:space="0" w:color="auto"/>
                <w:right w:val="none" w:sz="0" w:space="0" w:color="auto"/>
              </w:divBdr>
            </w:div>
          </w:divsChild>
        </w:div>
        <w:div w:id="1103456222">
          <w:marLeft w:val="0"/>
          <w:marRight w:val="0"/>
          <w:marTop w:val="0"/>
          <w:marBottom w:val="0"/>
          <w:divBdr>
            <w:top w:val="none" w:sz="0" w:space="0" w:color="auto"/>
            <w:left w:val="none" w:sz="0" w:space="0" w:color="auto"/>
            <w:bottom w:val="none" w:sz="0" w:space="0" w:color="auto"/>
            <w:right w:val="none" w:sz="0" w:space="0" w:color="auto"/>
          </w:divBdr>
          <w:divsChild>
            <w:div w:id="605505436">
              <w:marLeft w:val="0"/>
              <w:marRight w:val="0"/>
              <w:marTop w:val="0"/>
              <w:marBottom w:val="0"/>
              <w:divBdr>
                <w:top w:val="none" w:sz="0" w:space="0" w:color="auto"/>
                <w:left w:val="none" w:sz="0" w:space="0" w:color="auto"/>
                <w:bottom w:val="none" w:sz="0" w:space="0" w:color="auto"/>
                <w:right w:val="none" w:sz="0" w:space="0" w:color="auto"/>
              </w:divBdr>
            </w:div>
          </w:divsChild>
        </w:div>
        <w:div w:id="1124035096">
          <w:marLeft w:val="0"/>
          <w:marRight w:val="0"/>
          <w:marTop w:val="0"/>
          <w:marBottom w:val="0"/>
          <w:divBdr>
            <w:top w:val="none" w:sz="0" w:space="0" w:color="auto"/>
            <w:left w:val="none" w:sz="0" w:space="0" w:color="auto"/>
            <w:bottom w:val="none" w:sz="0" w:space="0" w:color="auto"/>
            <w:right w:val="none" w:sz="0" w:space="0" w:color="auto"/>
          </w:divBdr>
          <w:divsChild>
            <w:div w:id="1571233135">
              <w:marLeft w:val="0"/>
              <w:marRight w:val="0"/>
              <w:marTop w:val="0"/>
              <w:marBottom w:val="0"/>
              <w:divBdr>
                <w:top w:val="none" w:sz="0" w:space="0" w:color="auto"/>
                <w:left w:val="none" w:sz="0" w:space="0" w:color="auto"/>
                <w:bottom w:val="none" w:sz="0" w:space="0" w:color="auto"/>
                <w:right w:val="none" w:sz="0" w:space="0" w:color="auto"/>
              </w:divBdr>
            </w:div>
          </w:divsChild>
        </w:div>
        <w:div w:id="1136332806">
          <w:marLeft w:val="0"/>
          <w:marRight w:val="0"/>
          <w:marTop w:val="0"/>
          <w:marBottom w:val="0"/>
          <w:divBdr>
            <w:top w:val="none" w:sz="0" w:space="0" w:color="auto"/>
            <w:left w:val="none" w:sz="0" w:space="0" w:color="auto"/>
            <w:bottom w:val="none" w:sz="0" w:space="0" w:color="auto"/>
            <w:right w:val="none" w:sz="0" w:space="0" w:color="auto"/>
          </w:divBdr>
          <w:divsChild>
            <w:div w:id="2109084692">
              <w:marLeft w:val="0"/>
              <w:marRight w:val="0"/>
              <w:marTop w:val="0"/>
              <w:marBottom w:val="0"/>
              <w:divBdr>
                <w:top w:val="none" w:sz="0" w:space="0" w:color="auto"/>
                <w:left w:val="none" w:sz="0" w:space="0" w:color="auto"/>
                <w:bottom w:val="none" w:sz="0" w:space="0" w:color="auto"/>
                <w:right w:val="none" w:sz="0" w:space="0" w:color="auto"/>
              </w:divBdr>
            </w:div>
          </w:divsChild>
        </w:div>
        <w:div w:id="1142623391">
          <w:marLeft w:val="0"/>
          <w:marRight w:val="0"/>
          <w:marTop w:val="0"/>
          <w:marBottom w:val="0"/>
          <w:divBdr>
            <w:top w:val="none" w:sz="0" w:space="0" w:color="auto"/>
            <w:left w:val="none" w:sz="0" w:space="0" w:color="auto"/>
            <w:bottom w:val="none" w:sz="0" w:space="0" w:color="auto"/>
            <w:right w:val="none" w:sz="0" w:space="0" w:color="auto"/>
          </w:divBdr>
          <w:divsChild>
            <w:div w:id="1161047171">
              <w:marLeft w:val="0"/>
              <w:marRight w:val="0"/>
              <w:marTop w:val="0"/>
              <w:marBottom w:val="0"/>
              <w:divBdr>
                <w:top w:val="none" w:sz="0" w:space="0" w:color="auto"/>
                <w:left w:val="none" w:sz="0" w:space="0" w:color="auto"/>
                <w:bottom w:val="none" w:sz="0" w:space="0" w:color="auto"/>
                <w:right w:val="none" w:sz="0" w:space="0" w:color="auto"/>
              </w:divBdr>
            </w:div>
          </w:divsChild>
        </w:div>
        <w:div w:id="1152677391">
          <w:marLeft w:val="0"/>
          <w:marRight w:val="0"/>
          <w:marTop w:val="0"/>
          <w:marBottom w:val="0"/>
          <w:divBdr>
            <w:top w:val="none" w:sz="0" w:space="0" w:color="auto"/>
            <w:left w:val="none" w:sz="0" w:space="0" w:color="auto"/>
            <w:bottom w:val="none" w:sz="0" w:space="0" w:color="auto"/>
            <w:right w:val="none" w:sz="0" w:space="0" w:color="auto"/>
          </w:divBdr>
          <w:divsChild>
            <w:div w:id="1770009675">
              <w:marLeft w:val="0"/>
              <w:marRight w:val="0"/>
              <w:marTop w:val="0"/>
              <w:marBottom w:val="0"/>
              <w:divBdr>
                <w:top w:val="none" w:sz="0" w:space="0" w:color="auto"/>
                <w:left w:val="none" w:sz="0" w:space="0" w:color="auto"/>
                <w:bottom w:val="none" w:sz="0" w:space="0" w:color="auto"/>
                <w:right w:val="none" w:sz="0" w:space="0" w:color="auto"/>
              </w:divBdr>
            </w:div>
          </w:divsChild>
        </w:div>
        <w:div w:id="1189562383">
          <w:marLeft w:val="0"/>
          <w:marRight w:val="0"/>
          <w:marTop w:val="0"/>
          <w:marBottom w:val="0"/>
          <w:divBdr>
            <w:top w:val="none" w:sz="0" w:space="0" w:color="auto"/>
            <w:left w:val="none" w:sz="0" w:space="0" w:color="auto"/>
            <w:bottom w:val="none" w:sz="0" w:space="0" w:color="auto"/>
            <w:right w:val="none" w:sz="0" w:space="0" w:color="auto"/>
          </w:divBdr>
          <w:divsChild>
            <w:div w:id="1188905847">
              <w:marLeft w:val="0"/>
              <w:marRight w:val="0"/>
              <w:marTop w:val="0"/>
              <w:marBottom w:val="0"/>
              <w:divBdr>
                <w:top w:val="none" w:sz="0" w:space="0" w:color="auto"/>
                <w:left w:val="none" w:sz="0" w:space="0" w:color="auto"/>
                <w:bottom w:val="none" w:sz="0" w:space="0" w:color="auto"/>
                <w:right w:val="none" w:sz="0" w:space="0" w:color="auto"/>
              </w:divBdr>
            </w:div>
          </w:divsChild>
        </w:div>
        <w:div w:id="1193879333">
          <w:marLeft w:val="0"/>
          <w:marRight w:val="0"/>
          <w:marTop w:val="0"/>
          <w:marBottom w:val="0"/>
          <w:divBdr>
            <w:top w:val="none" w:sz="0" w:space="0" w:color="auto"/>
            <w:left w:val="none" w:sz="0" w:space="0" w:color="auto"/>
            <w:bottom w:val="none" w:sz="0" w:space="0" w:color="auto"/>
            <w:right w:val="none" w:sz="0" w:space="0" w:color="auto"/>
          </w:divBdr>
          <w:divsChild>
            <w:div w:id="684481177">
              <w:marLeft w:val="0"/>
              <w:marRight w:val="0"/>
              <w:marTop w:val="0"/>
              <w:marBottom w:val="0"/>
              <w:divBdr>
                <w:top w:val="none" w:sz="0" w:space="0" w:color="auto"/>
                <w:left w:val="none" w:sz="0" w:space="0" w:color="auto"/>
                <w:bottom w:val="none" w:sz="0" w:space="0" w:color="auto"/>
                <w:right w:val="none" w:sz="0" w:space="0" w:color="auto"/>
              </w:divBdr>
            </w:div>
          </w:divsChild>
        </w:div>
        <w:div w:id="1209875978">
          <w:marLeft w:val="0"/>
          <w:marRight w:val="0"/>
          <w:marTop w:val="0"/>
          <w:marBottom w:val="0"/>
          <w:divBdr>
            <w:top w:val="none" w:sz="0" w:space="0" w:color="auto"/>
            <w:left w:val="none" w:sz="0" w:space="0" w:color="auto"/>
            <w:bottom w:val="none" w:sz="0" w:space="0" w:color="auto"/>
            <w:right w:val="none" w:sz="0" w:space="0" w:color="auto"/>
          </w:divBdr>
          <w:divsChild>
            <w:div w:id="237374810">
              <w:marLeft w:val="0"/>
              <w:marRight w:val="0"/>
              <w:marTop w:val="0"/>
              <w:marBottom w:val="0"/>
              <w:divBdr>
                <w:top w:val="none" w:sz="0" w:space="0" w:color="auto"/>
                <w:left w:val="none" w:sz="0" w:space="0" w:color="auto"/>
                <w:bottom w:val="none" w:sz="0" w:space="0" w:color="auto"/>
                <w:right w:val="none" w:sz="0" w:space="0" w:color="auto"/>
              </w:divBdr>
            </w:div>
          </w:divsChild>
        </w:div>
        <w:div w:id="1249342772">
          <w:marLeft w:val="0"/>
          <w:marRight w:val="0"/>
          <w:marTop w:val="0"/>
          <w:marBottom w:val="0"/>
          <w:divBdr>
            <w:top w:val="none" w:sz="0" w:space="0" w:color="auto"/>
            <w:left w:val="none" w:sz="0" w:space="0" w:color="auto"/>
            <w:bottom w:val="none" w:sz="0" w:space="0" w:color="auto"/>
            <w:right w:val="none" w:sz="0" w:space="0" w:color="auto"/>
          </w:divBdr>
          <w:divsChild>
            <w:div w:id="307981812">
              <w:marLeft w:val="0"/>
              <w:marRight w:val="0"/>
              <w:marTop w:val="0"/>
              <w:marBottom w:val="0"/>
              <w:divBdr>
                <w:top w:val="none" w:sz="0" w:space="0" w:color="auto"/>
                <w:left w:val="none" w:sz="0" w:space="0" w:color="auto"/>
                <w:bottom w:val="none" w:sz="0" w:space="0" w:color="auto"/>
                <w:right w:val="none" w:sz="0" w:space="0" w:color="auto"/>
              </w:divBdr>
            </w:div>
          </w:divsChild>
        </w:div>
        <w:div w:id="1251349164">
          <w:marLeft w:val="0"/>
          <w:marRight w:val="0"/>
          <w:marTop w:val="0"/>
          <w:marBottom w:val="0"/>
          <w:divBdr>
            <w:top w:val="none" w:sz="0" w:space="0" w:color="auto"/>
            <w:left w:val="none" w:sz="0" w:space="0" w:color="auto"/>
            <w:bottom w:val="none" w:sz="0" w:space="0" w:color="auto"/>
            <w:right w:val="none" w:sz="0" w:space="0" w:color="auto"/>
          </w:divBdr>
          <w:divsChild>
            <w:div w:id="1659192176">
              <w:marLeft w:val="0"/>
              <w:marRight w:val="0"/>
              <w:marTop w:val="0"/>
              <w:marBottom w:val="0"/>
              <w:divBdr>
                <w:top w:val="none" w:sz="0" w:space="0" w:color="auto"/>
                <w:left w:val="none" w:sz="0" w:space="0" w:color="auto"/>
                <w:bottom w:val="none" w:sz="0" w:space="0" w:color="auto"/>
                <w:right w:val="none" w:sz="0" w:space="0" w:color="auto"/>
              </w:divBdr>
            </w:div>
          </w:divsChild>
        </w:div>
        <w:div w:id="1273629200">
          <w:marLeft w:val="0"/>
          <w:marRight w:val="0"/>
          <w:marTop w:val="0"/>
          <w:marBottom w:val="0"/>
          <w:divBdr>
            <w:top w:val="none" w:sz="0" w:space="0" w:color="auto"/>
            <w:left w:val="none" w:sz="0" w:space="0" w:color="auto"/>
            <w:bottom w:val="none" w:sz="0" w:space="0" w:color="auto"/>
            <w:right w:val="none" w:sz="0" w:space="0" w:color="auto"/>
          </w:divBdr>
          <w:divsChild>
            <w:div w:id="179399386">
              <w:marLeft w:val="0"/>
              <w:marRight w:val="0"/>
              <w:marTop w:val="0"/>
              <w:marBottom w:val="0"/>
              <w:divBdr>
                <w:top w:val="none" w:sz="0" w:space="0" w:color="auto"/>
                <w:left w:val="none" w:sz="0" w:space="0" w:color="auto"/>
                <w:bottom w:val="none" w:sz="0" w:space="0" w:color="auto"/>
                <w:right w:val="none" w:sz="0" w:space="0" w:color="auto"/>
              </w:divBdr>
            </w:div>
          </w:divsChild>
        </w:div>
        <w:div w:id="1282834363">
          <w:marLeft w:val="0"/>
          <w:marRight w:val="0"/>
          <w:marTop w:val="0"/>
          <w:marBottom w:val="0"/>
          <w:divBdr>
            <w:top w:val="none" w:sz="0" w:space="0" w:color="auto"/>
            <w:left w:val="none" w:sz="0" w:space="0" w:color="auto"/>
            <w:bottom w:val="none" w:sz="0" w:space="0" w:color="auto"/>
            <w:right w:val="none" w:sz="0" w:space="0" w:color="auto"/>
          </w:divBdr>
          <w:divsChild>
            <w:div w:id="576086732">
              <w:marLeft w:val="0"/>
              <w:marRight w:val="0"/>
              <w:marTop w:val="0"/>
              <w:marBottom w:val="0"/>
              <w:divBdr>
                <w:top w:val="none" w:sz="0" w:space="0" w:color="auto"/>
                <w:left w:val="none" w:sz="0" w:space="0" w:color="auto"/>
                <w:bottom w:val="none" w:sz="0" w:space="0" w:color="auto"/>
                <w:right w:val="none" w:sz="0" w:space="0" w:color="auto"/>
              </w:divBdr>
            </w:div>
          </w:divsChild>
        </w:div>
        <w:div w:id="1296983870">
          <w:marLeft w:val="0"/>
          <w:marRight w:val="0"/>
          <w:marTop w:val="0"/>
          <w:marBottom w:val="0"/>
          <w:divBdr>
            <w:top w:val="none" w:sz="0" w:space="0" w:color="auto"/>
            <w:left w:val="none" w:sz="0" w:space="0" w:color="auto"/>
            <w:bottom w:val="none" w:sz="0" w:space="0" w:color="auto"/>
            <w:right w:val="none" w:sz="0" w:space="0" w:color="auto"/>
          </w:divBdr>
          <w:divsChild>
            <w:div w:id="284584459">
              <w:marLeft w:val="0"/>
              <w:marRight w:val="0"/>
              <w:marTop w:val="0"/>
              <w:marBottom w:val="0"/>
              <w:divBdr>
                <w:top w:val="none" w:sz="0" w:space="0" w:color="auto"/>
                <w:left w:val="none" w:sz="0" w:space="0" w:color="auto"/>
                <w:bottom w:val="none" w:sz="0" w:space="0" w:color="auto"/>
                <w:right w:val="none" w:sz="0" w:space="0" w:color="auto"/>
              </w:divBdr>
            </w:div>
          </w:divsChild>
        </w:div>
        <w:div w:id="1306930262">
          <w:marLeft w:val="0"/>
          <w:marRight w:val="0"/>
          <w:marTop w:val="0"/>
          <w:marBottom w:val="0"/>
          <w:divBdr>
            <w:top w:val="none" w:sz="0" w:space="0" w:color="auto"/>
            <w:left w:val="none" w:sz="0" w:space="0" w:color="auto"/>
            <w:bottom w:val="none" w:sz="0" w:space="0" w:color="auto"/>
            <w:right w:val="none" w:sz="0" w:space="0" w:color="auto"/>
          </w:divBdr>
          <w:divsChild>
            <w:div w:id="931746003">
              <w:marLeft w:val="0"/>
              <w:marRight w:val="0"/>
              <w:marTop w:val="0"/>
              <w:marBottom w:val="0"/>
              <w:divBdr>
                <w:top w:val="none" w:sz="0" w:space="0" w:color="auto"/>
                <w:left w:val="none" w:sz="0" w:space="0" w:color="auto"/>
                <w:bottom w:val="none" w:sz="0" w:space="0" w:color="auto"/>
                <w:right w:val="none" w:sz="0" w:space="0" w:color="auto"/>
              </w:divBdr>
            </w:div>
          </w:divsChild>
        </w:div>
        <w:div w:id="1320697880">
          <w:marLeft w:val="0"/>
          <w:marRight w:val="0"/>
          <w:marTop w:val="0"/>
          <w:marBottom w:val="0"/>
          <w:divBdr>
            <w:top w:val="none" w:sz="0" w:space="0" w:color="auto"/>
            <w:left w:val="none" w:sz="0" w:space="0" w:color="auto"/>
            <w:bottom w:val="none" w:sz="0" w:space="0" w:color="auto"/>
            <w:right w:val="none" w:sz="0" w:space="0" w:color="auto"/>
          </w:divBdr>
          <w:divsChild>
            <w:div w:id="738941210">
              <w:marLeft w:val="0"/>
              <w:marRight w:val="0"/>
              <w:marTop w:val="0"/>
              <w:marBottom w:val="0"/>
              <w:divBdr>
                <w:top w:val="none" w:sz="0" w:space="0" w:color="auto"/>
                <w:left w:val="none" w:sz="0" w:space="0" w:color="auto"/>
                <w:bottom w:val="none" w:sz="0" w:space="0" w:color="auto"/>
                <w:right w:val="none" w:sz="0" w:space="0" w:color="auto"/>
              </w:divBdr>
            </w:div>
          </w:divsChild>
        </w:div>
        <w:div w:id="1335109018">
          <w:marLeft w:val="0"/>
          <w:marRight w:val="0"/>
          <w:marTop w:val="0"/>
          <w:marBottom w:val="0"/>
          <w:divBdr>
            <w:top w:val="none" w:sz="0" w:space="0" w:color="auto"/>
            <w:left w:val="none" w:sz="0" w:space="0" w:color="auto"/>
            <w:bottom w:val="none" w:sz="0" w:space="0" w:color="auto"/>
            <w:right w:val="none" w:sz="0" w:space="0" w:color="auto"/>
          </w:divBdr>
          <w:divsChild>
            <w:div w:id="383482670">
              <w:marLeft w:val="0"/>
              <w:marRight w:val="0"/>
              <w:marTop w:val="0"/>
              <w:marBottom w:val="0"/>
              <w:divBdr>
                <w:top w:val="none" w:sz="0" w:space="0" w:color="auto"/>
                <w:left w:val="none" w:sz="0" w:space="0" w:color="auto"/>
                <w:bottom w:val="none" w:sz="0" w:space="0" w:color="auto"/>
                <w:right w:val="none" w:sz="0" w:space="0" w:color="auto"/>
              </w:divBdr>
            </w:div>
          </w:divsChild>
        </w:div>
        <w:div w:id="1335762440">
          <w:marLeft w:val="0"/>
          <w:marRight w:val="0"/>
          <w:marTop w:val="0"/>
          <w:marBottom w:val="0"/>
          <w:divBdr>
            <w:top w:val="none" w:sz="0" w:space="0" w:color="auto"/>
            <w:left w:val="none" w:sz="0" w:space="0" w:color="auto"/>
            <w:bottom w:val="none" w:sz="0" w:space="0" w:color="auto"/>
            <w:right w:val="none" w:sz="0" w:space="0" w:color="auto"/>
          </w:divBdr>
          <w:divsChild>
            <w:div w:id="1007825689">
              <w:marLeft w:val="0"/>
              <w:marRight w:val="0"/>
              <w:marTop w:val="0"/>
              <w:marBottom w:val="0"/>
              <w:divBdr>
                <w:top w:val="none" w:sz="0" w:space="0" w:color="auto"/>
                <w:left w:val="none" w:sz="0" w:space="0" w:color="auto"/>
                <w:bottom w:val="none" w:sz="0" w:space="0" w:color="auto"/>
                <w:right w:val="none" w:sz="0" w:space="0" w:color="auto"/>
              </w:divBdr>
            </w:div>
          </w:divsChild>
        </w:div>
        <w:div w:id="1339622945">
          <w:marLeft w:val="0"/>
          <w:marRight w:val="0"/>
          <w:marTop w:val="0"/>
          <w:marBottom w:val="0"/>
          <w:divBdr>
            <w:top w:val="none" w:sz="0" w:space="0" w:color="auto"/>
            <w:left w:val="none" w:sz="0" w:space="0" w:color="auto"/>
            <w:bottom w:val="none" w:sz="0" w:space="0" w:color="auto"/>
            <w:right w:val="none" w:sz="0" w:space="0" w:color="auto"/>
          </w:divBdr>
          <w:divsChild>
            <w:div w:id="128792001">
              <w:marLeft w:val="0"/>
              <w:marRight w:val="0"/>
              <w:marTop w:val="0"/>
              <w:marBottom w:val="0"/>
              <w:divBdr>
                <w:top w:val="none" w:sz="0" w:space="0" w:color="auto"/>
                <w:left w:val="none" w:sz="0" w:space="0" w:color="auto"/>
                <w:bottom w:val="none" w:sz="0" w:space="0" w:color="auto"/>
                <w:right w:val="none" w:sz="0" w:space="0" w:color="auto"/>
              </w:divBdr>
            </w:div>
          </w:divsChild>
        </w:div>
        <w:div w:id="1345277811">
          <w:marLeft w:val="0"/>
          <w:marRight w:val="0"/>
          <w:marTop w:val="0"/>
          <w:marBottom w:val="0"/>
          <w:divBdr>
            <w:top w:val="none" w:sz="0" w:space="0" w:color="auto"/>
            <w:left w:val="none" w:sz="0" w:space="0" w:color="auto"/>
            <w:bottom w:val="none" w:sz="0" w:space="0" w:color="auto"/>
            <w:right w:val="none" w:sz="0" w:space="0" w:color="auto"/>
          </w:divBdr>
          <w:divsChild>
            <w:div w:id="619531421">
              <w:marLeft w:val="0"/>
              <w:marRight w:val="0"/>
              <w:marTop w:val="0"/>
              <w:marBottom w:val="0"/>
              <w:divBdr>
                <w:top w:val="none" w:sz="0" w:space="0" w:color="auto"/>
                <w:left w:val="none" w:sz="0" w:space="0" w:color="auto"/>
                <w:bottom w:val="none" w:sz="0" w:space="0" w:color="auto"/>
                <w:right w:val="none" w:sz="0" w:space="0" w:color="auto"/>
              </w:divBdr>
            </w:div>
          </w:divsChild>
        </w:div>
        <w:div w:id="1354529599">
          <w:marLeft w:val="0"/>
          <w:marRight w:val="0"/>
          <w:marTop w:val="0"/>
          <w:marBottom w:val="0"/>
          <w:divBdr>
            <w:top w:val="none" w:sz="0" w:space="0" w:color="auto"/>
            <w:left w:val="none" w:sz="0" w:space="0" w:color="auto"/>
            <w:bottom w:val="none" w:sz="0" w:space="0" w:color="auto"/>
            <w:right w:val="none" w:sz="0" w:space="0" w:color="auto"/>
          </w:divBdr>
          <w:divsChild>
            <w:div w:id="684982591">
              <w:marLeft w:val="0"/>
              <w:marRight w:val="0"/>
              <w:marTop w:val="0"/>
              <w:marBottom w:val="0"/>
              <w:divBdr>
                <w:top w:val="none" w:sz="0" w:space="0" w:color="auto"/>
                <w:left w:val="none" w:sz="0" w:space="0" w:color="auto"/>
                <w:bottom w:val="none" w:sz="0" w:space="0" w:color="auto"/>
                <w:right w:val="none" w:sz="0" w:space="0" w:color="auto"/>
              </w:divBdr>
            </w:div>
          </w:divsChild>
        </w:div>
        <w:div w:id="1363898135">
          <w:marLeft w:val="0"/>
          <w:marRight w:val="0"/>
          <w:marTop w:val="0"/>
          <w:marBottom w:val="0"/>
          <w:divBdr>
            <w:top w:val="none" w:sz="0" w:space="0" w:color="auto"/>
            <w:left w:val="none" w:sz="0" w:space="0" w:color="auto"/>
            <w:bottom w:val="none" w:sz="0" w:space="0" w:color="auto"/>
            <w:right w:val="none" w:sz="0" w:space="0" w:color="auto"/>
          </w:divBdr>
          <w:divsChild>
            <w:div w:id="108210444">
              <w:marLeft w:val="0"/>
              <w:marRight w:val="0"/>
              <w:marTop w:val="0"/>
              <w:marBottom w:val="0"/>
              <w:divBdr>
                <w:top w:val="none" w:sz="0" w:space="0" w:color="auto"/>
                <w:left w:val="none" w:sz="0" w:space="0" w:color="auto"/>
                <w:bottom w:val="none" w:sz="0" w:space="0" w:color="auto"/>
                <w:right w:val="none" w:sz="0" w:space="0" w:color="auto"/>
              </w:divBdr>
            </w:div>
          </w:divsChild>
        </w:div>
        <w:div w:id="1370839501">
          <w:marLeft w:val="0"/>
          <w:marRight w:val="0"/>
          <w:marTop w:val="0"/>
          <w:marBottom w:val="0"/>
          <w:divBdr>
            <w:top w:val="none" w:sz="0" w:space="0" w:color="auto"/>
            <w:left w:val="none" w:sz="0" w:space="0" w:color="auto"/>
            <w:bottom w:val="none" w:sz="0" w:space="0" w:color="auto"/>
            <w:right w:val="none" w:sz="0" w:space="0" w:color="auto"/>
          </w:divBdr>
          <w:divsChild>
            <w:div w:id="1952128881">
              <w:marLeft w:val="0"/>
              <w:marRight w:val="0"/>
              <w:marTop w:val="0"/>
              <w:marBottom w:val="0"/>
              <w:divBdr>
                <w:top w:val="none" w:sz="0" w:space="0" w:color="auto"/>
                <w:left w:val="none" w:sz="0" w:space="0" w:color="auto"/>
                <w:bottom w:val="none" w:sz="0" w:space="0" w:color="auto"/>
                <w:right w:val="none" w:sz="0" w:space="0" w:color="auto"/>
              </w:divBdr>
            </w:div>
          </w:divsChild>
        </w:div>
        <w:div w:id="1377506031">
          <w:marLeft w:val="0"/>
          <w:marRight w:val="0"/>
          <w:marTop w:val="0"/>
          <w:marBottom w:val="0"/>
          <w:divBdr>
            <w:top w:val="none" w:sz="0" w:space="0" w:color="auto"/>
            <w:left w:val="none" w:sz="0" w:space="0" w:color="auto"/>
            <w:bottom w:val="none" w:sz="0" w:space="0" w:color="auto"/>
            <w:right w:val="none" w:sz="0" w:space="0" w:color="auto"/>
          </w:divBdr>
          <w:divsChild>
            <w:div w:id="1817918540">
              <w:marLeft w:val="0"/>
              <w:marRight w:val="0"/>
              <w:marTop w:val="0"/>
              <w:marBottom w:val="0"/>
              <w:divBdr>
                <w:top w:val="none" w:sz="0" w:space="0" w:color="auto"/>
                <w:left w:val="none" w:sz="0" w:space="0" w:color="auto"/>
                <w:bottom w:val="none" w:sz="0" w:space="0" w:color="auto"/>
                <w:right w:val="none" w:sz="0" w:space="0" w:color="auto"/>
              </w:divBdr>
            </w:div>
          </w:divsChild>
        </w:div>
        <w:div w:id="1381713368">
          <w:marLeft w:val="0"/>
          <w:marRight w:val="0"/>
          <w:marTop w:val="0"/>
          <w:marBottom w:val="0"/>
          <w:divBdr>
            <w:top w:val="none" w:sz="0" w:space="0" w:color="auto"/>
            <w:left w:val="none" w:sz="0" w:space="0" w:color="auto"/>
            <w:bottom w:val="none" w:sz="0" w:space="0" w:color="auto"/>
            <w:right w:val="none" w:sz="0" w:space="0" w:color="auto"/>
          </w:divBdr>
          <w:divsChild>
            <w:div w:id="1674843523">
              <w:marLeft w:val="0"/>
              <w:marRight w:val="0"/>
              <w:marTop w:val="0"/>
              <w:marBottom w:val="0"/>
              <w:divBdr>
                <w:top w:val="none" w:sz="0" w:space="0" w:color="auto"/>
                <w:left w:val="none" w:sz="0" w:space="0" w:color="auto"/>
                <w:bottom w:val="none" w:sz="0" w:space="0" w:color="auto"/>
                <w:right w:val="none" w:sz="0" w:space="0" w:color="auto"/>
              </w:divBdr>
            </w:div>
          </w:divsChild>
        </w:div>
        <w:div w:id="1396706621">
          <w:marLeft w:val="0"/>
          <w:marRight w:val="0"/>
          <w:marTop w:val="0"/>
          <w:marBottom w:val="0"/>
          <w:divBdr>
            <w:top w:val="none" w:sz="0" w:space="0" w:color="auto"/>
            <w:left w:val="none" w:sz="0" w:space="0" w:color="auto"/>
            <w:bottom w:val="none" w:sz="0" w:space="0" w:color="auto"/>
            <w:right w:val="none" w:sz="0" w:space="0" w:color="auto"/>
          </w:divBdr>
          <w:divsChild>
            <w:div w:id="403987491">
              <w:marLeft w:val="0"/>
              <w:marRight w:val="0"/>
              <w:marTop w:val="0"/>
              <w:marBottom w:val="0"/>
              <w:divBdr>
                <w:top w:val="none" w:sz="0" w:space="0" w:color="auto"/>
                <w:left w:val="none" w:sz="0" w:space="0" w:color="auto"/>
                <w:bottom w:val="none" w:sz="0" w:space="0" w:color="auto"/>
                <w:right w:val="none" w:sz="0" w:space="0" w:color="auto"/>
              </w:divBdr>
            </w:div>
          </w:divsChild>
        </w:div>
        <w:div w:id="1428303479">
          <w:marLeft w:val="0"/>
          <w:marRight w:val="0"/>
          <w:marTop w:val="0"/>
          <w:marBottom w:val="0"/>
          <w:divBdr>
            <w:top w:val="none" w:sz="0" w:space="0" w:color="auto"/>
            <w:left w:val="none" w:sz="0" w:space="0" w:color="auto"/>
            <w:bottom w:val="none" w:sz="0" w:space="0" w:color="auto"/>
            <w:right w:val="none" w:sz="0" w:space="0" w:color="auto"/>
          </w:divBdr>
          <w:divsChild>
            <w:div w:id="1547571971">
              <w:marLeft w:val="0"/>
              <w:marRight w:val="0"/>
              <w:marTop w:val="0"/>
              <w:marBottom w:val="0"/>
              <w:divBdr>
                <w:top w:val="none" w:sz="0" w:space="0" w:color="auto"/>
                <w:left w:val="none" w:sz="0" w:space="0" w:color="auto"/>
                <w:bottom w:val="none" w:sz="0" w:space="0" w:color="auto"/>
                <w:right w:val="none" w:sz="0" w:space="0" w:color="auto"/>
              </w:divBdr>
            </w:div>
          </w:divsChild>
        </w:div>
        <w:div w:id="1429348604">
          <w:marLeft w:val="0"/>
          <w:marRight w:val="0"/>
          <w:marTop w:val="0"/>
          <w:marBottom w:val="0"/>
          <w:divBdr>
            <w:top w:val="none" w:sz="0" w:space="0" w:color="auto"/>
            <w:left w:val="none" w:sz="0" w:space="0" w:color="auto"/>
            <w:bottom w:val="none" w:sz="0" w:space="0" w:color="auto"/>
            <w:right w:val="none" w:sz="0" w:space="0" w:color="auto"/>
          </w:divBdr>
          <w:divsChild>
            <w:div w:id="636763439">
              <w:marLeft w:val="0"/>
              <w:marRight w:val="0"/>
              <w:marTop w:val="0"/>
              <w:marBottom w:val="0"/>
              <w:divBdr>
                <w:top w:val="none" w:sz="0" w:space="0" w:color="auto"/>
                <w:left w:val="none" w:sz="0" w:space="0" w:color="auto"/>
                <w:bottom w:val="none" w:sz="0" w:space="0" w:color="auto"/>
                <w:right w:val="none" w:sz="0" w:space="0" w:color="auto"/>
              </w:divBdr>
            </w:div>
          </w:divsChild>
        </w:div>
        <w:div w:id="1434477023">
          <w:marLeft w:val="0"/>
          <w:marRight w:val="0"/>
          <w:marTop w:val="0"/>
          <w:marBottom w:val="0"/>
          <w:divBdr>
            <w:top w:val="none" w:sz="0" w:space="0" w:color="auto"/>
            <w:left w:val="none" w:sz="0" w:space="0" w:color="auto"/>
            <w:bottom w:val="none" w:sz="0" w:space="0" w:color="auto"/>
            <w:right w:val="none" w:sz="0" w:space="0" w:color="auto"/>
          </w:divBdr>
          <w:divsChild>
            <w:div w:id="1324580164">
              <w:marLeft w:val="0"/>
              <w:marRight w:val="0"/>
              <w:marTop w:val="0"/>
              <w:marBottom w:val="0"/>
              <w:divBdr>
                <w:top w:val="none" w:sz="0" w:space="0" w:color="auto"/>
                <w:left w:val="none" w:sz="0" w:space="0" w:color="auto"/>
                <w:bottom w:val="none" w:sz="0" w:space="0" w:color="auto"/>
                <w:right w:val="none" w:sz="0" w:space="0" w:color="auto"/>
              </w:divBdr>
            </w:div>
          </w:divsChild>
        </w:div>
        <w:div w:id="1439596414">
          <w:marLeft w:val="0"/>
          <w:marRight w:val="0"/>
          <w:marTop w:val="0"/>
          <w:marBottom w:val="0"/>
          <w:divBdr>
            <w:top w:val="none" w:sz="0" w:space="0" w:color="auto"/>
            <w:left w:val="none" w:sz="0" w:space="0" w:color="auto"/>
            <w:bottom w:val="none" w:sz="0" w:space="0" w:color="auto"/>
            <w:right w:val="none" w:sz="0" w:space="0" w:color="auto"/>
          </w:divBdr>
          <w:divsChild>
            <w:div w:id="1930313094">
              <w:marLeft w:val="0"/>
              <w:marRight w:val="0"/>
              <w:marTop w:val="0"/>
              <w:marBottom w:val="0"/>
              <w:divBdr>
                <w:top w:val="none" w:sz="0" w:space="0" w:color="auto"/>
                <w:left w:val="none" w:sz="0" w:space="0" w:color="auto"/>
                <w:bottom w:val="none" w:sz="0" w:space="0" w:color="auto"/>
                <w:right w:val="none" w:sz="0" w:space="0" w:color="auto"/>
              </w:divBdr>
            </w:div>
          </w:divsChild>
        </w:div>
        <w:div w:id="1441877545">
          <w:marLeft w:val="0"/>
          <w:marRight w:val="0"/>
          <w:marTop w:val="0"/>
          <w:marBottom w:val="0"/>
          <w:divBdr>
            <w:top w:val="none" w:sz="0" w:space="0" w:color="auto"/>
            <w:left w:val="none" w:sz="0" w:space="0" w:color="auto"/>
            <w:bottom w:val="none" w:sz="0" w:space="0" w:color="auto"/>
            <w:right w:val="none" w:sz="0" w:space="0" w:color="auto"/>
          </w:divBdr>
          <w:divsChild>
            <w:div w:id="559512837">
              <w:marLeft w:val="0"/>
              <w:marRight w:val="0"/>
              <w:marTop w:val="0"/>
              <w:marBottom w:val="0"/>
              <w:divBdr>
                <w:top w:val="none" w:sz="0" w:space="0" w:color="auto"/>
                <w:left w:val="none" w:sz="0" w:space="0" w:color="auto"/>
                <w:bottom w:val="none" w:sz="0" w:space="0" w:color="auto"/>
                <w:right w:val="none" w:sz="0" w:space="0" w:color="auto"/>
              </w:divBdr>
            </w:div>
          </w:divsChild>
        </w:div>
        <w:div w:id="1453328697">
          <w:marLeft w:val="0"/>
          <w:marRight w:val="0"/>
          <w:marTop w:val="0"/>
          <w:marBottom w:val="0"/>
          <w:divBdr>
            <w:top w:val="none" w:sz="0" w:space="0" w:color="auto"/>
            <w:left w:val="none" w:sz="0" w:space="0" w:color="auto"/>
            <w:bottom w:val="none" w:sz="0" w:space="0" w:color="auto"/>
            <w:right w:val="none" w:sz="0" w:space="0" w:color="auto"/>
          </w:divBdr>
          <w:divsChild>
            <w:div w:id="418020046">
              <w:marLeft w:val="0"/>
              <w:marRight w:val="0"/>
              <w:marTop w:val="0"/>
              <w:marBottom w:val="0"/>
              <w:divBdr>
                <w:top w:val="none" w:sz="0" w:space="0" w:color="auto"/>
                <w:left w:val="none" w:sz="0" w:space="0" w:color="auto"/>
                <w:bottom w:val="none" w:sz="0" w:space="0" w:color="auto"/>
                <w:right w:val="none" w:sz="0" w:space="0" w:color="auto"/>
              </w:divBdr>
            </w:div>
          </w:divsChild>
        </w:div>
        <w:div w:id="1453665535">
          <w:marLeft w:val="0"/>
          <w:marRight w:val="0"/>
          <w:marTop w:val="0"/>
          <w:marBottom w:val="0"/>
          <w:divBdr>
            <w:top w:val="none" w:sz="0" w:space="0" w:color="auto"/>
            <w:left w:val="none" w:sz="0" w:space="0" w:color="auto"/>
            <w:bottom w:val="none" w:sz="0" w:space="0" w:color="auto"/>
            <w:right w:val="none" w:sz="0" w:space="0" w:color="auto"/>
          </w:divBdr>
          <w:divsChild>
            <w:div w:id="2045052637">
              <w:marLeft w:val="0"/>
              <w:marRight w:val="0"/>
              <w:marTop w:val="0"/>
              <w:marBottom w:val="0"/>
              <w:divBdr>
                <w:top w:val="none" w:sz="0" w:space="0" w:color="auto"/>
                <w:left w:val="none" w:sz="0" w:space="0" w:color="auto"/>
                <w:bottom w:val="none" w:sz="0" w:space="0" w:color="auto"/>
                <w:right w:val="none" w:sz="0" w:space="0" w:color="auto"/>
              </w:divBdr>
            </w:div>
          </w:divsChild>
        </w:div>
        <w:div w:id="1465275060">
          <w:marLeft w:val="0"/>
          <w:marRight w:val="0"/>
          <w:marTop w:val="0"/>
          <w:marBottom w:val="0"/>
          <w:divBdr>
            <w:top w:val="none" w:sz="0" w:space="0" w:color="auto"/>
            <w:left w:val="none" w:sz="0" w:space="0" w:color="auto"/>
            <w:bottom w:val="none" w:sz="0" w:space="0" w:color="auto"/>
            <w:right w:val="none" w:sz="0" w:space="0" w:color="auto"/>
          </w:divBdr>
          <w:divsChild>
            <w:div w:id="922228209">
              <w:marLeft w:val="0"/>
              <w:marRight w:val="0"/>
              <w:marTop w:val="0"/>
              <w:marBottom w:val="0"/>
              <w:divBdr>
                <w:top w:val="none" w:sz="0" w:space="0" w:color="auto"/>
                <w:left w:val="none" w:sz="0" w:space="0" w:color="auto"/>
                <w:bottom w:val="none" w:sz="0" w:space="0" w:color="auto"/>
                <w:right w:val="none" w:sz="0" w:space="0" w:color="auto"/>
              </w:divBdr>
            </w:div>
          </w:divsChild>
        </w:div>
        <w:div w:id="1475298372">
          <w:marLeft w:val="0"/>
          <w:marRight w:val="0"/>
          <w:marTop w:val="0"/>
          <w:marBottom w:val="0"/>
          <w:divBdr>
            <w:top w:val="none" w:sz="0" w:space="0" w:color="auto"/>
            <w:left w:val="none" w:sz="0" w:space="0" w:color="auto"/>
            <w:bottom w:val="none" w:sz="0" w:space="0" w:color="auto"/>
            <w:right w:val="none" w:sz="0" w:space="0" w:color="auto"/>
          </w:divBdr>
          <w:divsChild>
            <w:div w:id="190068939">
              <w:marLeft w:val="0"/>
              <w:marRight w:val="0"/>
              <w:marTop w:val="0"/>
              <w:marBottom w:val="0"/>
              <w:divBdr>
                <w:top w:val="none" w:sz="0" w:space="0" w:color="auto"/>
                <w:left w:val="none" w:sz="0" w:space="0" w:color="auto"/>
                <w:bottom w:val="none" w:sz="0" w:space="0" w:color="auto"/>
                <w:right w:val="none" w:sz="0" w:space="0" w:color="auto"/>
              </w:divBdr>
            </w:div>
          </w:divsChild>
        </w:div>
        <w:div w:id="1492140308">
          <w:marLeft w:val="0"/>
          <w:marRight w:val="0"/>
          <w:marTop w:val="0"/>
          <w:marBottom w:val="0"/>
          <w:divBdr>
            <w:top w:val="none" w:sz="0" w:space="0" w:color="auto"/>
            <w:left w:val="none" w:sz="0" w:space="0" w:color="auto"/>
            <w:bottom w:val="none" w:sz="0" w:space="0" w:color="auto"/>
            <w:right w:val="none" w:sz="0" w:space="0" w:color="auto"/>
          </w:divBdr>
          <w:divsChild>
            <w:div w:id="1129931829">
              <w:marLeft w:val="0"/>
              <w:marRight w:val="0"/>
              <w:marTop w:val="0"/>
              <w:marBottom w:val="0"/>
              <w:divBdr>
                <w:top w:val="none" w:sz="0" w:space="0" w:color="auto"/>
                <w:left w:val="none" w:sz="0" w:space="0" w:color="auto"/>
                <w:bottom w:val="none" w:sz="0" w:space="0" w:color="auto"/>
                <w:right w:val="none" w:sz="0" w:space="0" w:color="auto"/>
              </w:divBdr>
            </w:div>
          </w:divsChild>
        </w:div>
        <w:div w:id="1498424641">
          <w:marLeft w:val="0"/>
          <w:marRight w:val="0"/>
          <w:marTop w:val="0"/>
          <w:marBottom w:val="0"/>
          <w:divBdr>
            <w:top w:val="none" w:sz="0" w:space="0" w:color="auto"/>
            <w:left w:val="none" w:sz="0" w:space="0" w:color="auto"/>
            <w:bottom w:val="none" w:sz="0" w:space="0" w:color="auto"/>
            <w:right w:val="none" w:sz="0" w:space="0" w:color="auto"/>
          </w:divBdr>
          <w:divsChild>
            <w:div w:id="889729143">
              <w:marLeft w:val="0"/>
              <w:marRight w:val="0"/>
              <w:marTop w:val="0"/>
              <w:marBottom w:val="0"/>
              <w:divBdr>
                <w:top w:val="none" w:sz="0" w:space="0" w:color="auto"/>
                <w:left w:val="none" w:sz="0" w:space="0" w:color="auto"/>
                <w:bottom w:val="none" w:sz="0" w:space="0" w:color="auto"/>
                <w:right w:val="none" w:sz="0" w:space="0" w:color="auto"/>
              </w:divBdr>
            </w:div>
          </w:divsChild>
        </w:div>
        <w:div w:id="1536313367">
          <w:marLeft w:val="0"/>
          <w:marRight w:val="0"/>
          <w:marTop w:val="0"/>
          <w:marBottom w:val="0"/>
          <w:divBdr>
            <w:top w:val="none" w:sz="0" w:space="0" w:color="auto"/>
            <w:left w:val="none" w:sz="0" w:space="0" w:color="auto"/>
            <w:bottom w:val="none" w:sz="0" w:space="0" w:color="auto"/>
            <w:right w:val="none" w:sz="0" w:space="0" w:color="auto"/>
          </w:divBdr>
          <w:divsChild>
            <w:div w:id="280235365">
              <w:marLeft w:val="0"/>
              <w:marRight w:val="0"/>
              <w:marTop w:val="0"/>
              <w:marBottom w:val="0"/>
              <w:divBdr>
                <w:top w:val="none" w:sz="0" w:space="0" w:color="auto"/>
                <w:left w:val="none" w:sz="0" w:space="0" w:color="auto"/>
                <w:bottom w:val="none" w:sz="0" w:space="0" w:color="auto"/>
                <w:right w:val="none" w:sz="0" w:space="0" w:color="auto"/>
              </w:divBdr>
            </w:div>
          </w:divsChild>
        </w:div>
        <w:div w:id="1558784812">
          <w:marLeft w:val="0"/>
          <w:marRight w:val="0"/>
          <w:marTop w:val="0"/>
          <w:marBottom w:val="0"/>
          <w:divBdr>
            <w:top w:val="none" w:sz="0" w:space="0" w:color="auto"/>
            <w:left w:val="none" w:sz="0" w:space="0" w:color="auto"/>
            <w:bottom w:val="none" w:sz="0" w:space="0" w:color="auto"/>
            <w:right w:val="none" w:sz="0" w:space="0" w:color="auto"/>
          </w:divBdr>
          <w:divsChild>
            <w:div w:id="2142844063">
              <w:marLeft w:val="0"/>
              <w:marRight w:val="0"/>
              <w:marTop w:val="0"/>
              <w:marBottom w:val="0"/>
              <w:divBdr>
                <w:top w:val="none" w:sz="0" w:space="0" w:color="auto"/>
                <w:left w:val="none" w:sz="0" w:space="0" w:color="auto"/>
                <w:bottom w:val="none" w:sz="0" w:space="0" w:color="auto"/>
                <w:right w:val="none" w:sz="0" w:space="0" w:color="auto"/>
              </w:divBdr>
            </w:div>
          </w:divsChild>
        </w:div>
        <w:div w:id="1582565541">
          <w:marLeft w:val="0"/>
          <w:marRight w:val="0"/>
          <w:marTop w:val="0"/>
          <w:marBottom w:val="0"/>
          <w:divBdr>
            <w:top w:val="none" w:sz="0" w:space="0" w:color="auto"/>
            <w:left w:val="none" w:sz="0" w:space="0" w:color="auto"/>
            <w:bottom w:val="none" w:sz="0" w:space="0" w:color="auto"/>
            <w:right w:val="none" w:sz="0" w:space="0" w:color="auto"/>
          </w:divBdr>
          <w:divsChild>
            <w:div w:id="898323875">
              <w:marLeft w:val="0"/>
              <w:marRight w:val="0"/>
              <w:marTop w:val="0"/>
              <w:marBottom w:val="0"/>
              <w:divBdr>
                <w:top w:val="none" w:sz="0" w:space="0" w:color="auto"/>
                <w:left w:val="none" w:sz="0" w:space="0" w:color="auto"/>
                <w:bottom w:val="none" w:sz="0" w:space="0" w:color="auto"/>
                <w:right w:val="none" w:sz="0" w:space="0" w:color="auto"/>
              </w:divBdr>
            </w:div>
          </w:divsChild>
        </w:div>
        <w:div w:id="1614899269">
          <w:marLeft w:val="0"/>
          <w:marRight w:val="0"/>
          <w:marTop w:val="0"/>
          <w:marBottom w:val="0"/>
          <w:divBdr>
            <w:top w:val="none" w:sz="0" w:space="0" w:color="auto"/>
            <w:left w:val="none" w:sz="0" w:space="0" w:color="auto"/>
            <w:bottom w:val="none" w:sz="0" w:space="0" w:color="auto"/>
            <w:right w:val="none" w:sz="0" w:space="0" w:color="auto"/>
          </w:divBdr>
          <w:divsChild>
            <w:div w:id="1689061829">
              <w:marLeft w:val="0"/>
              <w:marRight w:val="0"/>
              <w:marTop w:val="0"/>
              <w:marBottom w:val="0"/>
              <w:divBdr>
                <w:top w:val="none" w:sz="0" w:space="0" w:color="auto"/>
                <w:left w:val="none" w:sz="0" w:space="0" w:color="auto"/>
                <w:bottom w:val="none" w:sz="0" w:space="0" w:color="auto"/>
                <w:right w:val="none" w:sz="0" w:space="0" w:color="auto"/>
              </w:divBdr>
            </w:div>
          </w:divsChild>
        </w:div>
        <w:div w:id="1618484332">
          <w:marLeft w:val="0"/>
          <w:marRight w:val="0"/>
          <w:marTop w:val="0"/>
          <w:marBottom w:val="0"/>
          <w:divBdr>
            <w:top w:val="none" w:sz="0" w:space="0" w:color="auto"/>
            <w:left w:val="none" w:sz="0" w:space="0" w:color="auto"/>
            <w:bottom w:val="none" w:sz="0" w:space="0" w:color="auto"/>
            <w:right w:val="none" w:sz="0" w:space="0" w:color="auto"/>
          </w:divBdr>
          <w:divsChild>
            <w:div w:id="582446330">
              <w:marLeft w:val="0"/>
              <w:marRight w:val="0"/>
              <w:marTop w:val="0"/>
              <w:marBottom w:val="0"/>
              <w:divBdr>
                <w:top w:val="none" w:sz="0" w:space="0" w:color="auto"/>
                <w:left w:val="none" w:sz="0" w:space="0" w:color="auto"/>
                <w:bottom w:val="none" w:sz="0" w:space="0" w:color="auto"/>
                <w:right w:val="none" w:sz="0" w:space="0" w:color="auto"/>
              </w:divBdr>
            </w:div>
          </w:divsChild>
        </w:div>
        <w:div w:id="1642685627">
          <w:marLeft w:val="0"/>
          <w:marRight w:val="0"/>
          <w:marTop w:val="0"/>
          <w:marBottom w:val="0"/>
          <w:divBdr>
            <w:top w:val="none" w:sz="0" w:space="0" w:color="auto"/>
            <w:left w:val="none" w:sz="0" w:space="0" w:color="auto"/>
            <w:bottom w:val="none" w:sz="0" w:space="0" w:color="auto"/>
            <w:right w:val="none" w:sz="0" w:space="0" w:color="auto"/>
          </w:divBdr>
          <w:divsChild>
            <w:div w:id="1388454103">
              <w:marLeft w:val="0"/>
              <w:marRight w:val="0"/>
              <w:marTop w:val="0"/>
              <w:marBottom w:val="0"/>
              <w:divBdr>
                <w:top w:val="none" w:sz="0" w:space="0" w:color="auto"/>
                <w:left w:val="none" w:sz="0" w:space="0" w:color="auto"/>
                <w:bottom w:val="none" w:sz="0" w:space="0" w:color="auto"/>
                <w:right w:val="none" w:sz="0" w:space="0" w:color="auto"/>
              </w:divBdr>
            </w:div>
          </w:divsChild>
        </w:div>
        <w:div w:id="1646859082">
          <w:marLeft w:val="0"/>
          <w:marRight w:val="0"/>
          <w:marTop w:val="0"/>
          <w:marBottom w:val="0"/>
          <w:divBdr>
            <w:top w:val="none" w:sz="0" w:space="0" w:color="auto"/>
            <w:left w:val="none" w:sz="0" w:space="0" w:color="auto"/>
            <w:bottom w:val="none" w:sz="0" w:space="0" w:color="auto"/>
            <w:right w:val="none" w:sz="0" w:space="0" w:color="auto"/>
          </w:divBdr>
          <w:divsChild>
            <w:div w:id="247813372">
              <w:marLeft w:val="0"/>
              <w:marRight w:val="0"/>
              <w:marTop w:val="0"/>
              <w:marBottom w:val="0"/>
              <w:divBdr>
                <w:top w:val="none" w:sz="0" w:space="0" w:color="auto"/>
                <w:left w:val="none" w:sz="0" w:space="0" w:color="auto"/>
                <w:bottom w:val="none" w:sz="0" w:space="0" w:color="auto"/>
                <w:right w:val="none" w:sz="0" w:space="0" w:color="auto"/>
              </w:divBdr>
            </w:div>
          </w:divsChild>
        </w:div>
        <w:div w:id="1664968160">
          <w:marLeft w:val="0"/>
          <w:marRight w:val="0"/>
          <w:marTop w:val="0"/>
          <w:marBottom w:val="0"/>
          <w:divBdr>
            <w:top w:val="none" w:sz="0" w:space="0" w:color="auto"/>
            <w:left w:val="none" w:sz="0" w:space="0" w:color="auto"/>
            <w:bottom w:val="none" w:sz="0" w:space="0" w:color="auto"/>
            <w:right w:val="none" w:sz="0" w:space="0" w:color="auto"/>
          </w:divBdr>
          <w:divsChild>
            <w:div w:id="1742487742">
              <w:marLeft w:val="0"/>
              <w:marRight w:val="0"/>
              <w:marTop w:val="0"/>
              <w:marBottom w:val="0"/>
              <w:divBdr>
                <w:top w:val="none" w:sz="0" w:space="0" w:color="auto"/>
                <w:left w:val="none" w:sz="0" w:space="0" w:color="auto"/>
                <w:bottom w:val="none" w:sz="0" w:space="0" w:color="auto"/>
                <w:right w:val="none" w:sz="0" w:space="0" w:color="auto"/>
              </w:divBdr>
            </w:div>
          </w:divsChild>
        </w:div>
        <w:div w:id="1666859784">
          <w:marLeft w:val="0"/>
          <w:marRight w:val="0"/>
          <w:marTop w:val="0"/>
          <w:marBottom w:val="0"/>
          <w:divBdr>
            <w:top w:val="none" w:sz="0" w:space="0" w:color="auto"/>
            <w:left w:val="none" w:sz="0" w:space="0" w:color="auto"/>
            <w:bottom w:val="none" w:sz="0" w:space="0" w:color="auto"/>
            <w:right w:val="none" w:sz="0" w:space="0" w:color="auto"/>
          </w:divBdr>
          <w:divsChild>
            <w:div w:id="414085404">
              <w:marLeft w:val="0"/>
              <w:marRight w:val="0"/>
              <w:marTop w:val="0"/>
              <w:marBottom w:val="0"/>
              <w:divBdr>
                <w:top w:val="none" w:sz="0" w:space="0" w:color="auto"/>
                <w:left w:val="none" w:sz="0" w:space="0" w:color="auto"/>
                <w:bottom w:val="none" w:sz="0" w:space="0" w:color="auto"/>
                <w:right w:val="none" w:sz="0" w:space="0" w:color="auto"/>
              </w:divBdr>
            </w:div>
          </w:divsChild>
        </w:div>
        <w:div w:id="1682470918">
          <w:marLeft w:val="0"/>
          <w:marRight w:val="0"/>
          <w:marTop w:val="0"/>
          <w:marBottom w:val="0"/>
          <w:divBdr>
            <w:top w:val="none" w:sz="0" w:space="0" w:color="auto"/>
            <w:left w:val="none" w:sz="0" w:space="0" w:color="auto"/>
            <w:bottom w:val="none" w:sz="0" w:space="0" w:color="auto"/>
            <w:right w:val="none" w:sz="0" w:space="0" w:color="auto"/>
          </w:divBdr>
          <w:divsChild>
            <w:div w:id="2060010059">
              <w:marLeft w:val="0"/>
              <w:marRight w:val="0"/>
              <w:marTop w:val="0"/>
              <w:marBottom w:val="0"/>
              <w:divBdr>
                <w:top w:val="none" w:sz="0" w:space="0" w:color="auto"/>
                <w:left w:val="none" w:sz="0" w:space="0" w:color="auto"/>
                <w:bottom w:val="none" w:sz="0" w:space="0" w:color="auto"/>
                <w:right w:val="none" w:sz="0" w:space="0" w:color="auto"/>
              </w:divBdr>
            </w:div>
          </w:divsChild>
        </w:div>
        <w:div w:id="1688679334">
          <w:marLeft w:val="0"/>
          <w:marRight w:val="0"/>
          <w:marTop w:val="0"/>
          <w:marBottom w:val="0"/>
          <w:divBdr>
            <w:top w:val="none" w:sz="0" w:space="0" w:color="auto"/>
            <w:left w:val="none" w:sz="0" w:space="0" w:color="auto"/>
            <w:bottom w:val="none" w:sz="0" w:space="0" w:color="auto"/>
            <w:right w:val="none" w:sz="0" w:space="0" w:color="auto"/>
          </w:divBdr>
          <w:divsChild>
            <w:div w:id="579755491">
              <w:marLeft w:val="0"/>
              <w:marRight w:val="0"/>
              <w:marTop w:val="0"/>
              <w:marBottom w:val="0"/>
              <w:divBdr>
                <w:top w:val="none" w:sz="0" w:space="0" w:color="auto"/>
                <w:left w:val="none" w:sz="0" w:space="0" w:color="auto"/>
                <w:bottom w:val="none" w:sz="0" w:space="0" w:color="auto"/>
                <w:right w:val="none" w:sz="0" w:space="0" w:color="auto"/>
              </w:divBdr>
            </w:div>
          </w:divsChild>
        </w:div>
        <w:div w:id="1699887037">
          <w:marLeft w:val="0"/>
          <w:marRight w:val="0"/>
          <w:marTop w:val="0"/>
          <w:marBottom w:val="0"/>
          <w:divBdr>
            <w:top w:val="none" w:sz="0" w:space="0" w:color="auto"/>
            <w:left w:val="none" w:sz="0" w:space="0" w:color="auto"/>
            <w:bottom w:val="none" w:sz="0" w:space="0" w:color="auto"/>
            <w:right w:val="none" w:sz="0" w:space="0" w:color="auto"/>
          </w:divBdr>
          <w:divsChild>
            <w:div w:id="75252273">
              <w:marLeft w:val="0"/>
              <w:marRight w:val="0"/>
              <w:marTop w:val="0"/>
              <w:marBottom w:val="0"/>
              <w:divBdr>
                <w:top w:val="none" w:sz="0" w:space="0" w:color="auto"/>
                <w:left w:val="none" w:sz="0" w:space="0" w:color="auto"/>
                <w:bottom w:val="none" w:sz="0" w:space="0" w:color="auto"/>
                <w:right w:val="none" w:sz="0" w:space="0" w:color="auto"/>
              </w:divBdr>
            </w:div>
          </w:divsChild>
        </w:div>
        <w:div w:id="1703245283">
          <w:marLeft w:val="0"/>
          <w:marRight w:val="0"/>
          <w:marTop w:val="0"/>
          <w:marBottom w:val="0"/>
          <w:divBdr>
            <w:top w:val="none" w:sz="0" w:space="0" w:color="auto"/>
            <w:left w:val="none" w:sz="0" w:space="0" w:color="auto"/>
            <w:bottom w:val="none" w:sz="0" w:space="0" w:color="auto"/>
            <w:right w:val="none" w:sz="0" w:space="0" w:color="auto"/>
          </w:divBdr>
          <w:divsChild>
            <w:div w:id="462623014">
              <w:marLeft w:val="0"/>
              <w:marRight w:val="0"/>
              <w:marTop w:val="0"/>
              <w:marBottom w:val="0"/>
              <w:divBdr>
                <w:top w:val="none" w:sz="0" w:space="0" w:color="auto"/>
                <w:left w:val="none" w:sz="0" w:space="0" w:color="auto"/>
                <w:bottom w:val="none" w:sz="0" w:space="0" w:color="auto"/>
                <w:right w:val="none" w:sz="0" w:space="0" w:color="auto"/>
              </w:divBdr>
            </w:div>
          </w:divsChild>
        </w:div>
        <w:div w:id="1705252164">
          <w:marLeft w:val="0"/>
          <w:marRight w:val="0"/>
          <w:marTop w:val="0"/>
          <w:marBottom w:val="0"/>
          <w:divBdr>
            <w:top w:val="none" w:sz="0" w:space="0" w:color="auto"/>
            <w:left w:val="none" w:sz="0" w:space="0" w:color="auto"/>
            <w:bottom w:val="none" w:sz="0" w:space="0" w:color="auto"/>
            <w:right w:val="none" w:sz="0" w:space="0" w:color="auto"/>
          </w:divBdr>
          <w:divsChild>
            <w:div w:id="980116970">
              <w:marLeft w:val="0"/>
              <w:marRight w:val="0"/>
              <w:marTop w:val="0"/>
              <w:marBottom w:val="0"/>
              <w:divBdr>
                <w:top w:val="none" w:sz="0" w:space="0" w:color="auto"/>
                <w:left w:val="none" w:sz="0" w:space="0" w:color="auto"/>
                <w:bottom w:val="none" w:sz="0" w:space="0" w:color="auto"/>
                <w:right w:val="none" w:sz="0" w:space="0" w:color="auto"/>
              </w:divBdr>
            </w:div>
          </w:divsChild>
        </w:div>
        <w:div w:id="1708598661">
          <w:marLeft w:val="0"/>
          <w:marRight w:val="0"/>
          <w:marTop w:val="0"/>
          <w:marBottom w:val="0"/>
          <w:divBdr>
            <w:top w:val="none" w:sz="0" w:space="0" w:color="auto"/>
            <w:left w:val="none" w:sz="0" w:space="0" w:color="auto"/>
            <w:bottom w:val="none" w:sz="0" w:space="0" w:color="auto"/>
            <w:right w:val="none" w:sz="0" w:space="0" w:color="auto"/>
          </w:divBdr>
          <w:divsChild>
            <w:div w:id="2076396558">
              <w:marLeft w:val="0"/>
              <w:marRight w:val="0"/>
              <w:marTop w:val="0"/>
              <w:marBottom w:val="0"/>
              <w:divBdr>
                <w:top w:val="none" w:sz="0" w:space="0" w:color="auto"/>
                <w:left w:val="none" w:sz="0" w:space="0" w:color="auto"/>
                <w:bottom w:val="none" w:sz="0" w:space="0" w:color="auto"/>
                <w:right w:val="none" w:sz="0" w:space="0" w:color="auto"/>
              </w:divBdr>
            </w:div>
          </w:divsChild>
        </w:div>
        <w:div w:id="1721517554">
          <w:marLeft w:val="0"/>
          <w:marRight w:val="0"/>
          <w:marTop w:val="0"/>
          <w:marBottom w:val="0"/>
          <w:divBdr>
            <w:top w:val="none" w:sz="0" w:space="0" w:color="auto"/>
            <w:left w:val="none" w:sz="0" w:space="0" w:color="auto"/>
            <w:bottom w:val="none" w:sz="0" w:space="0" w:color="auto"/>
            <w:right w:val="none" w:sz="0" w:space="0" w:color="auto"/>
          </w:divBdr>
          <w:divsChild>
            <w:div w:id="453444724">
              <w:marLeft w:val="0"/>
              <w:marRight w:val="0"/>
              <w:marTop w:val="0"/>
              <w:marBottom w:val="0"/>
              <w:divBdr>
                <w:top w:val="none" w:sz="0" w:space="0" w:color="auto"/>
                <w:left w:val="none" w:sz="0" w:space="0" w:color="auto"/>
                <w:bottom w:val="none" w:sz="0" w:space="0" w:color="auto"/>
                <w:right w:val="none" w:sz="0" w:space="0" w:color="auto"/>
              </w:divBdr>
            </w:div>
          </w:divsChild>
        </w:div>
        <w:div w:id="1729451115">
          <w:marLeft w:val="0"/>
          <w:marRight w:val="0"/>
          <w:marTop w:val="0"/>
          <w:marBottom w:val="0"/>
          <w:divBdr>
            <w:top w:val="none" w:sz="0" w:space="0" w:color="auto"/>
            <w:left w:val="none" w:sz="0" w:space="0" w:color="auto"/>
            <w:bottom w:val="none" w:sz="0" w:space="0" w:color="auto"/>
            <w:right w:val="none" w:sz="0" w:space="0" w:color="auto"/>
          </w:divBdr>
          <w:divsChild>
            <w:div w:id="1385330752">
              <w:marLeft w:val="0"/>
              <w:marRight w:val="0"/>
              <w:marTop w:val="0"/>
              <w:marBottom w:val="0"/>
              <w:divBdr>
                <w:top w:val="none" w:sz="0" w:space="0" w:color="auto"/>
                <w:left w:val="none" w:sz="0" w:space="0" w:color="auto"/>
                <w:bottom w:val="none" w:sz="0" w:space="0" w:color="auto"/>
                <w:right w:val="none" w:sz="0" w:space="0" w:color="auto"/>
              </w:divBdr>
            </w:div>
          </w:divsChild>
        </w:div>
        <w:div w:id="1731031694">
          <w:marLeft w:val="0"/>
          <w:marRight w:val="0"/>
          <w:marTop w:val="0"/>
          <w:marBottom w:val="0"/>
          <w:divBdr>
            <w:top w:val="none" w:sz="0" w:space="0" w:color="auto"/>
            <w:left w:val="none" w:sz="0" w:space="0" w:color="auto"/>
            <w:bottom w:val="none" w:sz="0" w:space="0" w:color="auto"/>
            <w:right w:val="none" w:sz="0" w:space="0" w:color="auto"/>
          </w:divBdr>
          <w:divsChild>
            <w:div w:id="482084704">
              <w:marLeft w:val="0"/>
              <w:marRight w:val="0"/>
              <w:marTop w:val="0"/>
              <w:marBottom w:val="0"/>
              <w:divBdr>
                <w:top w:val="none" w:sz="0" w:space="0" w:color="auto"/>
                <w:left w:val="none" w:sz="0" w:space="0" w:color="auto"/>
                <w:bottom w:val="none" w:sz="0" w:space="0" w:color="auto"/>
                <w:right w:val="none" w:sz="0" w:space="0" w:color="auto"/>
              </w:divBdr>
            </w:div>
          </w:divsChild>
        </w:div>
        <w:div w:id="1744182172">
          <w:marLeft w:val="0"/>
          <w:marRight w:val="0"/>
          <w:marTop w:val="0"/>
          <w:marBottom w:val="0"/>
          <w:divBdr>
            <w:top w:val="none" w:sz="0" w:space="0" w:color="auto"/>
            <w:left w:val="none" w:sz="0" w:space="0" w:color="auto"/>
            <w:bottom w:val="none" w:sz="0" w:space="0" w:color="auto"/>
            <w:right w:val="none" w:sz="0" w:space="0" w:color="auto"/>
          </w:divBdr>
          <w:divsChild>
            <w:div w:id="83651344">
              <w:marLeft w:val="0"/>
              <w:marRight w:val="0"/>
              <w:marTop w:val="0"/>
              <w:marBottom w:val="0"/>
              <w:divBdr>
                <w:top w:val="none" w:sz="0" w:space="0" w:color="auto"/>
                <w:left w:val="none" w:sz="0" w:space="0" w:color="auto"/>
                <w:bottom w:val="none" w:sz="0" w:space="0" w:color="auto"/>
                <w:right w:val="none" w:sz="0" w:space="0" w:color="auto"/>
              </w:divBdr>
            </w:div>
          </w:divsChild>
        </w:div>
        <w:div w:id="1751583298">
          <w:marLeft w:val="0"/>
          <w:marRight w:val="0"/>
          <w:marTop w:val="0"/>
          <w:marBottom w:val="0"/>
          <w:divBdr>
            <w:top w:val="none" w:sz="0" w:space="0" w:color="auto"/>
            <w:left w:val="none" w:sz="0" w:space="0" w:color="auto"/>
            <w:bottom w:val="none" w:sz="0" w:space="0" w:color="auto"/>
            <w:right w:val="none" w:sz="0" w:space="0" w:color="auto"/>
          </w:divBdr>
          <w:divsChild>
            <w:div w:id="1183129815">
              <w:marLeft w:val="0"/>
              <w:marRight w:val="0"/>
              <w:marTop w:val="0"/>
              <w:marBottom w:val="0"/>
              <w:divBdr>
                <w:top w:val="none" w:sz="0" w:space="0" w:color="auto"/>
                <w:left w:val="none" w:sz="0" w:space="0" w:color="auto"/>
                <w:bottom w:val="none" w:sz="0" w:space="0" w:color="auto"/>
                <w:right w:val="none" w:sz="0" w:space="0" w:color="auto"/>
              </w:divBdr>
            </w:div>
          </w:divsChild>
        </w:div>
        <w:div w:id="1772969678">
          <w:marLeft w:val="0"/>
          <w:marRight w:val="0"/>
          <w:marTop w:val="0"/>
          <w:marBottom w:val="0"/>
          <w:divBdr>
            <w:top w:val="none" w:sz="0" w:space="0" w:color="auto"/>
            <w:left w:val="none" w:sz="0" w:space="0" w:color="auto"/>
            <w:bottom w:val="none" w:sz="0" w:space="0" w:color="auto"/>
            <w:right w:val="none" w:sz="0" w:space="0" w:color="auto"/>
          </w:divBdr>
          <w:divsChild>
            <w:div w:id="1452044639">
              <w:marLeft w:val="0"/>
              <w:marRight w:val="0"/>
              <w:marTop w:val="0"/>
              <w:marBottom w:val="0"/>
              <w:divBdr>
                <w:top w:val="none" w:sz="0" w:space="0" w:color="auto"/>
                <w:left w:val="none" w:sz="0" w:space="0" w:color="auto"/>
                <w:bottom w:val="none" w:sz="0" w:space="0" w:color="auto"/>
                <w:right w:val="none" w:sz="0" w:space="0" w:color="auto"/>
              </w:divBdr>
            </w:div>
          </w:divsChild>
        </w:div>
        <w:div w:id="1783262942">
          <w:marLeft w:val="0"/>
          <w:marRight w:val="0"/>
          <w:marTop w:val="0"/>
          <w:marBottom w:val="0"/>
          <w:divBdr>
            <w:top w:val="none" w:sz="0" w:space="0" w:color="auto"/>
            <w:left w:val="none" w:sz="0" w:space="0" w:color="auto"/>
            <w:bottom w:val="none" w:sz="0" w:space="0" w:color="auto"/>
            <w:right w:val="none" w:sz="0" w:space="0" w:color="auto"/>
          </w:divBdr>
          <w:divsChild>
            <w:div w:id="1719474791">
              <w:marLeft w:val="0"/>
              <w:marRight w:val="0"/>
              <w:marTop w:val="0"/>
              <w:marBottom w:val="0"/>
              <w:divBdr>
                <w:top w:val="none" w:sz="0" w:space="0" w:color="auto"/>
                <w:left w:val="none" w:sz="0" w:space="0" w:color="auto"/>
                <w:bottom w:val="none" w:sz="0" w:space="0" w:color="auto"/>
                <w:right w:val="none" w:sz="0" w:space="0" w:color="auto"/>
              </w:divBdr>
            </w:div>
          </w:divsChild>
        </w:div>
        <w:div w:id="1802268386">
          <w:marLeft w:val="0"/>
          <w:marRight w:val="0"/>
          <w:marTop w:val="0"/>
          <w:marBottom w:val="0"/>
          <w:divBdr>
            <w:top w:val="none" w:sz="0" w:space="0" w:color="auto"/>
            <w:left w:val="none" w:sz="0" w:space="0" w:color="auto"/>
            <w:bottom w:val="none" w:sz="0" w:space="0" w:color="auto"/>
            <w:right w:val="none" w:sz="0" w:space="0" w:color="auto"/>
          </w:divBdr>
          <w:divsChild>
            <w:div w:id="2079286869">
              <w:marLeft w:val="0"/>
              <w:marRight w:val="0"/>
              <w:marTop w:val="0"/>
              <w:marBottom w:val="0"/>
              <w:divBdr>
                <w:top w:val="none" w:sz="0" w:space="0" w:color="auto"/>
                <w:left w:val="none" w:sz="0" w:space="0" w:color="auto"/>
                <w:bottom w:val="none" w:sz="0" w:space="0" w:color="auto"/>
                <w:right w:val="none" w:sz="0" w:space="0" w:color="auto"/>
              </w:divBdr>
            </w:div>
          </w:divsChild>
        </w:div>
        <w:div w:id="1813862990">
          <w:marLeft w:val="0"/>
          <w:marRight w:val="0"/>
          <w:marTop w:val="0"/>
          <w:marBottom w:val="0"/>
          <w:divBdr>
            <w:top w:val="none" w:sz="0" w:space="0" w:color="auto"/>
            <w:left w:val="none" w:sz="0" w:space="0" w:color="auto"/>
            <w:bottom w:val="none" w:sz="0" w:space="0" w:color="auto"/>
            <w:right w:val="none" w:sz="0" w:space="0" w:color="auto"/>
          </w:divBdr>
          <w:divsChild>
            <w:div w:id="1594510521">
              <w:marLeft w:val="0"/>
              <w:marRight w:val="0"/>
              <w:marTop w:val="0"/>
              <w:marBottom w:val="0"/>
              <w:divBdr>
                <w:top w:val="none" w:sz="0" w:space="0" w:color="auto"/>
                <w:left w:val="none" w:sz="0" w:space="0" w:color="auto"/>
                <w:bottom w:val="none" w:sz="0" w:space="0" w:color="auto"/>
                <w:right w:val="none" w:sz="0" w:space="0" w:color="auto"/>
              </w:divBdr>
            </w:div>
          </w:divsChild>
        </w:div>
        <w:div w:id="1816681900">
          <w:marLeft w:val="0"/>
          <w:marRight w:val="0"/>
          <w:marTop w:val="0"/>
          <w:marBottom w:val="0"/>
          <w:divBdr>
            <w:top w:val="none" w:sz="0" w:space="0" w:color="auto"/>
            <w:left w:val="none" w:sz="0" w:space="0" w:color="auto"/>
            <w:bottom w:val="none" w:sz="0" w:space="0" w:color="auto"/>
            <w:right w:val="none" w:sz="0" w:space="0" w:color="auto"/>
          </w:divBdr>
          <w:divsChild>
            <w:div w:id="1826314336">
              <w:marLeft w:val="0"/>
              <w:marRight w:val="0"/>
              <w:marTop w:val="0"/>
              <w:marBottom w:val="0"/>
              <w:divBdr>
                <w:top w:val="none" w:sz="0" w:space="0" w:color="auto"/>
                <w:left w:val="none" w:sz="0" w:space="0" w:color="auto"/>
                <w:bottom w:val="none" w:sz="0" w:space="0" w:color="auto"/>
                <w:right w:val="none" w:sz="0" w:space="0" w:color="auto"/>
              </w:divBdr>
            </w:div>
          </w:divsChild>
        </w:div>
        <w:div w:id="1827936769">
          <w:marLeft w:val="0"/>
          <w:marRight w:val="0"/>
          <w:marTop w:val="0"/>
          <w:marBottom w:val="0"/>
          <w:divBdr>
            <w:top w:val="none" w:sz="0" w:space="0" w:color="auto"/>
            <w:left w:val="none" w:sz="0" w:space="0" w:color="auto"/>
            <w:bottom w:val="none" w:sz="0" w:space="0" w:color="auto"/>
            <w:right w:val="none" w:sz="0" w:space="0" w:color="auto"/>
          </w:divBdr>
          <w:divsChild>
            <w:div w:id="332148589">
              <w:marLeft w:val="0"/>
              <w:marRight w:val="0"/>
              <w:marTop w:val="0"/>
              <w:marBottom w:val="0"/>
              <w:divBdr>
                <w:top w:val="none" w:sz="0" w:space="0" w:color="auto"/>
                <w:left w:val="none" w:sz="0" w:space="0" w:color="auto"/>
                <w:bottom w:val="none" w:sz="0" w:space="0" w:color="auto"/>
                <w:right w:val="none" w:sz="0" w:space="0" w:color="auto"/>
              </w:divBdr>
            </w:div>
          </w:divsChild>
        </w:div>
        <w:div w:id="1831484503">
          <w:marLeft w:val="0"/>
          <w:marRight w:val="0"/>
          <w:marTop w:val="0"/>
          <w:marBottom w:val="0"/>
          <w:divBdr>
            <w:top w:val="none" w:sz="0" w:space="0" w:color="auto"/>
            <w:left w:val="none" w:sz="0" w:space="0" w:color="auto"/>
            <w:bottom w:val="none" w:sz="0" w:space="0" w:color="auto"/>
            <w:right w:val="none" w:sz="0" w:space="0" w:color="auto"/>
          </w:divBdr>
          <w:divsChild>
            <w:div w:id="135725646">
              <w:marLeft w:val="0"/>
              <w:marRight w:val="0"/>
              <w:marTop w:val="0"/>
              <w:marBottom w:val="0"/>
              <w:divBdr>
                <w:top w:val="none" w:sz="0" w:space="0" w:color="auto"/>
                <w:left w:val="none" w:sz="0" w:space="0" w:color="auto"/>
                <w:bottom w:val="none" w:sz="0" w:space="0" w:color="auto"/>
                <w:right w:val="none" w:sz="0" w:space="0" w:color="auto"/>
              </w:divBdr>
            </w:div>
          </w:divsChild>
        </w:div>
        <w:div w:id="1832522278">
          <w:marLeft w:val="0"/>
          <w:marRight w:val="0"/>
          <w:marTop w:val="0"/>
          <w:marBottom w:val="0"/>
          <w:divBdr>
            <w:top w:val="none" w:sz="0" w:space="0" w:color="auto"/>
            <w:left w:val="none" w:sz="0" w:space="0" w:color="auto"/>
            <w:bottom w:val="none" w:sz="0" w:space="0" w:color="auto"/>
            <w:right w:val="none" w:sz="0" w:space="0" w:color="auto"/>
          </w:divBdr>
          <w:divsChild>
            <w:div w:id="1324359104">
              <w:marLeft w:val="0"/>
              <w:marRight w:val="0"/>
              <w:marTop w:val="0"/>
              <w:marBottom w:val="0"/>
              <w:divBdr>
                <w:top w:val="none" w:sz="0" w:space="0" w:color="auto"/>
                <w:left w:val="none" w:sz="0" w:space="0" w:color="auto"/>
                <w:bottom w:val="none" w:sz="0" w:space="0" w:color="auto"/>
                <w:right w:val="none" w:sz="0" w:space="0" w:color="auto"/>
              </w:divBdr>
            </w:div>
          </w:divsChild>
        </w:div>
        <w:div w:id="1836146601">
          <w:marLeft w:val="0"/>
          <w:marRight w:val="0"/>
          <w:marTop w:val="0"/>
          <w:marBottom w:val="0"/>
          <w:divBdr>
            <w:top w:val="none" w:sz="0" w:space="0" w:color="auto"/>
            <w:left w:val="none" w:sz="0" w:space="0" w:color="auto"/>
            <w:bottom w:val="none" w:sz="0" w:space="0" w:color="auto"/>
            <w:right w:val="none" w:sz="0" w:space="0" w:color="auto"/>
          </w:divBdr>
          <w:divsChild>
            <w:div w:id="1255942103">
              <w:marLeft w:val="0"/>
              <w:marRight w:val="0"/>
              <w:marTop w:val="0"/>
              <w:marBottom w:val="0"/>
              <w:divBdr>
                <w:top w:val="none" w:sz="0" w:space="0" w:color="auto"/>
                <w:left w:val="none" w:sz="0" w:space="0" w:color="auto"/>
                <w:bottom w:val="none" w:sz="0" w:space="0" w:color="auto"/>
                <w:right w:val="none" w:sz="0" w:space="0" w:color="auto"/>
              </w:divBdr>
            </w:div>
          </w:divsChild>
        </w:div>
        <w:div w:id="1845584559">
          <w:marLeft w:val="0"/>
          <w:marRight w:val="0"/>
          <w:marTop w:val="0"/>
          <w:marBottom w:val="0"/>
          <w:divBdr>
            <w:top w:val="none" w:sz="0" w:space="0" w:color="auto"/>
            <w:left w:val="none" w:sz="0" w:space="0" w:color="auto"/>
            <w:bottom w:val="none" w:sz="0" w:space="0" w:color="auto"/>
            <w:right w:val="none" w:sz="0" w:space="0" w:color="auto"/>
          </w:divBdr>
          <w:divsChild>
            <w:div w:id="1695577342">
              <w:marLeft w:val="0"/>
              <w:marRight w:val="0"/>
              <w:marTop w:val="0"/>
              <w:marBottom w:val="0"/>
              <w:divBdr>
                <w:top w:val="none" w:sz="0" w:space="0" w:color="auto"/>
                <w:left w:val="none" w:sz="0" w:space="0" w:color="auto"/>
                <w:bottom w:val="none" w:sz="0" w:space="0" w:color="auto"/>
                <w:right w:val="none" w:sz="0" w:space="0" w:color="auto"/>
              </w:divBdr>
            </w:div>
          </w:divsChild>
        </w:div>
        <w:div w:id="1846553150">
          <w:marLeft w:val="0"/>
          <w:marRight w:val="0"/>
          <w:marTop w:val="0"/>
          <w:marBottom w:val="0"/>
          <w:divBdr>
            <w:top w:val="none" w:sz="0" w:space="0" w:color="auto"/>
            <w:left w:val="none" w:sz="0" w:space="0" w:color="auto"/>
            <w:bottom w:val="none" w:sz="0" w:space="0" w:color="auto"/>
            <w:right w:val="none" w:sz="0" w:space="0" w:color="auto"/>
          </w:divBdr>
          <w:divsChild>
            <w:div w:id="1524635456">
              <w:marLeft w:val="0"/>
              <w:marRight w:val="0"/>
              <w:marTop w:val="0"/>
              <w:marBottom w:val="0"/>
              <w:divBdr>
                <w:top w:val="none" w:sz="0" w:space="0" w:color="auto"/>
                <w:left w:val="none" w:sz="0" w:space="0" w:color="auto"/>
                <w:bottom w:val="none" w:sz="0" w:space="0" w:color="auto"/>
                <w:right w:val="none" w:sz="0" w:space="0" w:color="auto"/>
              </w:divBdr>
            </w:div>
          </w:divsChild>
        </w:div>
        <w:div w:id="1851336590">
          <w:marLeft w:val="0"/>
          <w:marRight w:val="0"/>
          <w:marTop w:val="0"/>
          <w:marBottom w:val="0"/>
          <w:divBdr>
            <w:top w:val="none" w:sz="0" w:space="0" w:color="auto"/>
            <w:left w:val="none" w:sz="0" w:space="0" w:color="auto"/>
            <w:bottom w:val="none" w:sz="0" w:space="0" w:color="auto"/>
            <w:right w:val="none" w:sz="0" w:space="0" w:color="auto"/>
          </w:divBdr>
          <w:divsChild>
            <w:div w:id="1823234801">
              <w:marLeft w:val="0"/>
              <w:marRight w:val="0"/>
              <w:marTop w:val="0"/>
              <w:marBottom w:val="0"/>
              <w:divBdr>
                <w:top w:val="none" w:sz="0" w:space="0" w:color="auto"/>
                <w:left w:val="none" w:sz="0" w:space="0" w:color="auto"/>
                <w:bottom w:val="none" w:sz="0" w:space="0" w:color="auto"/>
                <w:right w:val="none" w:sz="0" w:space="0" w:color="auto"/>
              </w:divBdr>
            </w:div>
          </w:divsChild>
        </w:div>
        <w:div w:id="1858079636">
          <w:marLeft w:val="0"/>
          <w:marRight w:val="0"/>
          <w:marTop w:val="0"/>
          <w:marBottom w:val="0"/>
          <w:divBdr>
            <w:top w:val="none" w:sz="0" w:space="0" w:color="auto"/>
            <w:left w:val="none" w:sz="0" w:space="0" w:color="auto"/>
            <w:bottom w:val="none" w:sz="0" w:space="0" w:color="auto"/>
            <w:right w:val="none" w:sz="0" w:space="0" w:color="auto"/>
          </w:divBdr>
          <w:divsChild>
            <w:div w:id="520582388">
              <w:marLeft w:val="0"/>
              <w:marRight w:val="0"/>
              <w:marTop w:val="0"/>
              <w:marBottom w:val="0"/>
              <w:divBdr>
                <w:top w:val="none" w:sz="0" w:space="0" w:color="auto"/>
                <w:left w:val="none" w:sz="0" w:space="0" w:color="auto"/>
                <w:bottom w:val="none" w:sz="0" w:space="0" w:color="auto"/>
                <w:right w:val="none" w:sz="0" w:space="0" w:color="auto"/>
              </w:divBdr>
            </w:div>
          </w:divsChild>
        </w:div>
        <w:div w:id="1859078832">
          <w:marLeft w:val="0"/>
          <w:marRight w:val="0"/>
          <w:marTop w:val="0"/>
          <w:marBottom w:val="0"/>
          <w:divBdr>
            <w:top w:val="none" w:sz="0" w:space="0" w:color="auto"/>
            <w:left w:val="none" w:sz="0" w:space="0" w:color="auto"/>
            <w:bottom w:val="none" w:sz="0" w:space="0" w:color="auto"/>
            <w:right w:val="none" w:sz="0" w:space="0" w:color="auto"/>
          </w:divBdr>
          <w:divsChild>
            <w:div w:id="997422585">
              <w:marLeft w:val="0"/>
              <w:marRight w:val="0"/>
              <w:marTop w:val="0"/>
              <w:marBottom w:val="0"/>
              <w:divBdr>
                <w:top w:val="none" w:sz="0" w:space="0" w:color="auto"/>
                <w:left w:val="none" w:sz="0" w:space="0" w:color="auto"/>
                <w:bottom w:val="none" w:sz="0" w:space="0" w:color="auto"/>
                <w:right w:val="none" w:sz="0" w:space="0" w:color="auto"/>
              </w:divBdr>
            </w:div>
          </w:divsChild>
        </w:div>
        <w:div w:id="1873108872">
          <w:marLeft w:val="0"/>
          <w:marRight w:val="0"/>
          <w:marTop w:val="0"/>
          <w:marBottom w:val="0"/>
          <w:divBdr>
            <w:top w:val="none" w:sz="0" w:space="0" w:color="auto"/>
            <w:left w:val="none" w:sz="0" w:space="0" w:color="auto"/>
            <w:bottom w:val="none" w:sz="0" w:space="0" w:color="auto"/>
            <w:right w:val="none" w:sz="0" w:space="0" w:color="auto"/>
          </w:divBdr>
          <w:divsChild>
            <w:div w:id="1558662135">
              <w:marLeft w:val="0"/>
              <w:marRight w:val="0"/>
              <w:marTop w:val="0"/>
              <w:marBottom w:val="0"/>
              <w:divBdr>
                <w:top w:val="none" w:sz="0" w:space="0" w:color="auto"/>
                <w:left w:val="none" w:sz="0" w:space="0" w:color="auto"/>
                <w:bottom w:val="none" w:sz="0" w:space="0" w:color="auto"/>
                <w:right w:val="none" w:sz="0" w:space="0" w:color="auto"/>
              </w:divBdr>
            </w:div>
          </w:divsChild>
        </w:div>
        <w:div w:id="1873687092">
          <w:marLeft w:val="0"/>
          <w:marRight w:val="0"/>
          <w:marTop w:val="0"/>
          <w:marBottom w:val="0"/>
          <w:divBdr>
            <w:top w:val="none" w:sz="0" w:space="0" w:color="auto"/>
            <w:left w:val="none" w:sz="0" w:space="0" w:color="auto"/>
            <w:bottom w:val="none" w:sz="0" w:space="0" w:color="auto"/>
            <w:right w:val="none" w:sz="0" w:space="0" w:color="auto"/>
          </w:divBdr>
          <w:divsChild>
            <w:div w:id="233855439">
              <w:marLeft w:val="0"/>
              <w:marRight w:val="0"/>
              <w:marTop w:val="0"/>
              <w:marBottom w:val="0"/>
              <w:divBdr>
                <w:top w:val="none" w:sz="0" w:space="0" w:color="auto"/>
                <w:left w:val="none" w:sz="0" w:space="0" w:color="auto"/>
                <w:bottom w:val="none" w:sz="0" w:space="0" w:color="auto"/>
                <w:right w:val="none" w:sz="0" w:space="0" w:color="auto"/>
              </w:divBdr>
            </w:div>
          </w:divsChild>
        </w:div>
        <w:div w:id="1876234049">
          <w:marLeft w:val="0"/>
          <w:marRight w:val="0"/>
          <w:marTop w:val="0"/>
          <w:marBottom w:val="0"/>
          <w:divBdr>
            <w:top w:val="none" w:sz="0" w:space="0" w:color="auto"/>
            <w:left w:val="none" w:sz="0" w:space="0" w:color="auto"/>
            <w:bottom w:val="none" w:sz="0" w:space="0" w:color="auto"/>
            <w:right w:val="none" w:sz="0" w:space="0" w:color="auto"/>
          </w:divBdr>
          <w:divsChild>
            <w:div w:id="963773443">
              <w:marLeft w:val="0"/>
              <w:marRight w:val="0"/>
              <w:marTop w:val="0"/>
              <w:marBottom w:val="0"/>
              <w:divBdr>
                <w:top w:val="none" w:sz="0" w:space="0" w:color="auto"/>
                <w:left w:val="none" w:sz="0" w:space="0" w:color="auto"/>
                <w:bottom w:val="none" w:sz="0" w:space="0" w:color="auto"/>
                <w:right w:val="none" w:sz="0" w:space="0" w:color="auto"/>
              </w:divBdr>
            </w:div>
          </w:divsChild>
        </w:div>
        <w:div w:id="1904490487">
          <w:marLeft w:val="0"/>
          <w:marRight w:val="0"/>
          <w:marTop w:val="0"/>
          <w:marBottom w:val="0"/>
          <w:divBdr>
            <w:top w:val="none" w:sz="0" w:space="0" w:color="auto"/>
            <w:left w:val="none" w:sz="0" w:space="0" w:color="auto"/>
            <w:bottom w:val="none" w:sz="0" w:space="0" w:color="auto"/>
            <w:right w:val="none" w:sz="0" w:space="0" w:color="auto"/>
          </w:divBdr>
          <w:divsChild>
            <w:div w:id="633104684">
              <w:marLeft w:val="0"/>
              <w:marRight w:val="0"/>
              <w:marTop w:val="0"/>
              <w:marBottom w:val="0"/>
              <w:divBdr>
                <w:top w:val="none" w:sz="0" w:space="0" w:color="auto"/>
                <w:left w:val="none" w:sz="0" w:space="0" w:color="auto"/>
                <w:bottom w:val="none" w:sz="0" w:space="0" w:color="auto"/>
                <w:right w:val="none" w:sz="0" w:space="0" w:color="auto"/>
              </w:divBdr>
            </w:div>
          </w:divsChild>
        </w:div>
        <w:div w:id="1906064684">
          <w:marLeft w:val="0"/>
          <w:marRight w:val="0"/>
          <w:marTop w:val="0"/>
          <w:marBottom w:val="0"/>
          <w:divBdr>
            <w:top w:val="none" w:sz="0" w:space="0" w:color="auto"/>
            <w:left w:val="none" w:sz="0" w:space="0" w:color="auto"/>
            <w:bottom w:val="none" w:sz="0" w:space="0" w:color="auto"/>
            <w:right w:val="none" w:sz="0" w:space="0" w:color="auto"/>
          </w:divBdr>
          <w:divsChild>
            <w:div w:id="665329976">
              <w:marLeft w:val="0"/>
              <w:marRight w:val="0"/>
              <w:marTop w:val="0"/>
              <w:marBottom w:val="0"/>
              <w:divBdr>
                <w:top w:val="none" w:sz="0" w:space="0" w:color="auto"/>
                <w:left w:val="none" w:sz="0" w:space="0" w:color="auto"/>
                <w:bottom w:val="none" w:sz="0" w:space="0" w:color="auto"/>
                <w:right w:val="none" w:sz="0" w:space="0" w:color="auto"/>
              </w:divBdr>
            </w:div>
          </w:divsChild>
        </w:div>
        <w:div w:id="1907298115">
          <w:marLeft w:val="0"/>
          <w:marRight w:val="0"/>
          <w:marTop w:val="0"/>
          <w:marBottom w:val="0"/>
          <w:divBdr>
            <w:top w:val="none" w:sz="0" w:space="0" w:color="auto"/>
            <w:left w:val="none" w:sz="0" w:space="0" w:color="auto"/>
            <w:bottom w:val="none" w:sz="0" w:space="0" w:color="auto"/>
            <w:right w:val="none" w:sz="0" w:space="0" w:color="auto"/>
          </w:divBdr>
          <w:divsChild>
            <w:div w:id="185020649">
              <w:marLeft w:val="0"/>
              <w:marRight w:val="0"/>
              <w:marTop w:val="0"/>
              <w:marBottom w:val="0"/>
              <w:divBdr>
                <w:top w:val="none" w:sz="0" w:space="0" w:color="auto"/>
                <w:left w:val="none" w:sz="0" w:space="0" w:color="auto"/>
                <w:bottom w:val="none" w:sz="0" w:space="0" w:color="auto"/>
                <w:right w:val="none" w:sz="0" w:space="0" w:color="auto"/>
              </w:divBdr>
            </w:div>
          </w:divsChild>
        </w:div>
        <w:div w:id="1942756150">
          <w:marLeft w:val="0"/>
          <w:marRight w:val="0"/>
          <w:marTop w:val="0"/>
          <w:marBottom w:val="0"/>
          <w:divBdr>
            <w:top w:val="none" w:sz="0" w:space="0" w:color="auto"/>
            <w:left w:val="none" w:sz="0" w:space="0" w:color="auto"/>
            <w:bottom w:val="none" w:sz="0" w:space="0" w:color="auto"/>
            <w:right w:val="none" w:sz="0" w:space="0" w:color="auto"/>
          </w:divBdr>
          <w:divsChild>
            <w:div w:id="1087002516">
              <w:marLeft w:val="0"/>
              <w:marRight w:val="0"/>
              <w:marTop w:val="0"/>
              <w:marBottom w:val="0"/>
              <w:divBdr>
                <w:top w:val="none" w:sz="0" w:space="0" w:color="auto"/>
                <w:left w:val="none" w:sz="0" w:space="0" w:color="auto"/>
                <w:bottom w:val="none" w:sz="0" w:space="0" w:color="auto"/>
                <w:right w:val="none" w:sz="0" w:space="0" w:color="auto"/>
              </w:divBdr>
            </w:div>
          </w:divsChild>
        </w:div>
        <w:div w:id="1943688536">
          <w:marLeft w:val="0"/>
          <w:marRight w:val="0"/>
          <w:marTop w:val="0"/>
          <w:marBottom w:val="0"/>
          <w:divBdr>
            <w:top w:val="none" w:sz="0" w:space="0" w:color="auto"/>
            <w:left w:val="none" w:sz="0" w:space="0" w:color="auto"/>
            <w:bottom w:val="none" w:sz="0" w:space="0" w:color="auto"/>
            <w:right w:val="none" w:sz="0" w:space="0" w:color="auto"/>
          </w:divBdr>
          <w:divsChild>
            <w:div w:id="1712341823">
              <w:marLeft w:val="0"/>
              <w:marRight w:val="0"/>
              <w:marTop w:val="0"/>
              <w:marBottom w:val="0"/>
              <w:divBdr>
                <w:top w:val="none" w:sz="0" w:space="0" w:color="auto"/>
                <w:left w:val="none" w:sz="0" w:space="0" w:color="auto"/>
                <w:bottom w:val="none" w:sz="0" w:space="0" w:color="auto"/>
                <w:right w:val="none" w:sz="0" w:space="0" w:color="auto"/>
              </w:divBdr>
            </w:div>
          </w:divsChild>
        </w:div>
        <w:div w:id="1946497608">
          <w:marLeft w:val="0"/>
          <w:marRight w:val="0"/>
          <w:marTop w:val="0"/>
          <w:marBottom w:val="0"/>
          <w:divBdr>
            <w:top w:val="none" w:sz="0" w:space="0" w:color="auto"/>
            <w:left w:val="none" w:sz="0" w:space="0" w:color="auto"/>
            <w:bottom w:val="none" w:sz="0" w:space="0" w:color="auto"/>
            <w:right w:val="none" w:sz="0" w:space="0" w:color="auto"/>
          </w:divBdr>
          <w:divsChild>
            <w:div w:id="1898977021">
              <w:marLeft w:val="0"/>
              <w:marRight w:val="0"/>
              <w:marTop w:val="0"/>
              <w:marBottom w:val="0"/>
              <w:divBdr>
                <w:top w:val="none" w:sz="0" w:space="0" w:color="auto"/>
                <w:left w:val="none" w:sz="0" w:space="0" w:color="auto"/>
                <w:bottom w:val="none" w:sz="0" w:space="0" w:color="auto"/>
                <w:right w:val="none" w:sz="0" w:space="0" w:color="auto"/>
              </w:divBdr>
            </w:div>
          </w:divsChild>
        </w:div>
        <w:div w:id="1950351703">
          <w:marLeft w:val="0"/>
          <w:marRight w:val="0"/>
          <w:marTop w:val="0"/>
          <w:marBottom w:val="0"/>
          <w:divBdr>
            <w:top w:val="none" w:sz="0" w:space="0" w:color="auto"/>
            <w:left w:val="none" w:sz="0" w:space="0" w:color="auto"/>
            <w:bottom w:val="none" w:sz="0" w:space="0" w:color="auto"/>
            <w:right w:val="none" w:sz="0" w:space="0" w:color="auto"/>
          </w:divBdr>
          <w:divsChild>
            <w:div w:id="2093963066">
              <w:marLeft w:val="0"/>
              <w:marRight w:val="0"/>
              <w:marTop w:val="0"/>
              <w:marBottom w:val="0"/>
              <w:divBdr>
                <w:top w:val="none" w:sz="0" w:space="0" w:color="auto"/>
                <w:left w:val="none" w:sz="0" w:space="0" w:color="auto"/>
                <w:bottom w:val="none" w:sz="0" w:space="0" w:color="auto"/>
                <w:right w:val="none" w:sz="0" w:space="0" w:color="auto"/>
              </w:divBdr>
            </w:div>
          </w:divsChild>
        </w:div>
        <w:div w:id="1978417457">
          <w:marLeft w:val="0"/>
          <w:marRight w:val="0"/>
          <w:marTop w:val="0"/>
          <w:marBottom w:val="0"/>
          <w:divBdr>
            <w:top w:val="none" w:sz="0" w:space="0" w:color="auto"/>
            <w:left w:val="none" w:sz="0" w:space="0" w:color="auto"/>
            <w:bottom w:val="none" w:sz="0" w:space="0" w:color="auto"/>
            <w:right w:val="none" w:sz="0" w:space="0" w:color="auto"/>
          </w:divBdr>
          <w:divsChild>
            <w:div w:id="107823575">
              <w:marLeft w:val="0"/>
              <w:marRight w:val="0"/>
              <w:marTop w:val="0"/>
              <w:marBottom w:val="0"/>
              <w:divBdr>
                <w:top w:val="none" w:sz="0" w:space="0" w:color="auto"/>
                <w:left w:val="none" w:sz="0" w:space="0" w:color="auto"/>
                <w:bottom w:val="none" w:sz="0" w:space="0" w:color="auto"/>
                <w:right w:val="none" w:sz="0" w:space="0" w:color="auto"/>
              </w:divBdr>
            </w:div>
          </w:divsChild>
        </w:div>
        <w:div w:id="1990206136">
          <w:marLeft w:val="0"/>
          <w:marRight w:val="0"/>
          <w:marTop w:val="0"/>
          <w:marBottom w:val="0"/>
          <w:divBdr>
            <w:top w:val="none" w:sz="0" w:space="0" w:color="auto"/>
            <w:left w:val="none" w:sz="0" w:space="0" w:color="auto"/>
            <w:bottom w:val="none" w:sz="0" w:space="0" w:color="auto"/>
            <w:right w:val="none" w:sz="0" w:space="0" w:color="auto"/>
          </w:divBdr>
          <w:divsChild>
            <w:div w:id="1121604780">
              <w:marLeft w:val="0"/>
              <w:marRight w:val="0"/>
              <w:marTop w:val="0"/>
              <w:marBottom w:val="0"/>
              <w:divBdr>
                <w:top w:val="none" w:sz="0" w:space="0" w:color="auto"/>
                <w:left w:val="none" w:sz="0" w:space="0" w:color="auto"/>
                <w:bottom w:val="none" w:sz="0" w:space="0" w:color="auto"/>
                <w:right w:val="none" w:sz="0" w:space="0" w:color="auto"/>
              </w:divBdr>
            </w:div>
          </w:divsChild>
        </w:div>
        <w:div w:id="1998148046">
          <w:marLeft w:val="0"/>
          <w:marRight w:val="0"/>
          <w:marTop w:val="0"/>
          <w:marBottom w:val="0"/>
          <w:divBdr>
            <w:top w:val="none" w:sz="0" w:space="0" w:color="auto"/>
            <w:left w:val="none" w:sz="0" w:space="0" w:color="auto"/>
            <w:bottom w:val="none" w:sz="0" w:space="0" w:color="auto"/>
            <w:right w:val="none" w:sz="0" w:space="0" w:color="auto"/>
          </w:divBdr>
          <w:divsChild>
            <w:div w:id="1683892787">
              <w:marLeft w:val="0"/>
              <w:marRight w:val="0"/>
              <w:marTop w:val="0"/>
              <w:marBottom w:val="0"/>
              <w:divBdr>
                <w:top w:val="none" w:sz="0" w:space="0" w:color="auto"/>
                <w:left w:val="none" w:sz="0" w:space="0" w:color="auto"/>
                <w:bottom w:val="none" w:sz="0" w:space="0" w:color="auto"/>
                <w:right w:val="none" w:sz="0" w:space="0" w:color="auto"/>
              </w:divBdr>
            </w:div>
          </w:divsChild>
        </w:div>
        <w:div w:id="2005819392">
          <w:marLeft w:val="0"/>
          <w:marRight w:val="0"/>
          <w:marTop w:val="0"/>
          <w:marBottom w:val="0"/>
          <w:divBdr>
            <w:top w:val="none" w:sz="0" w:space="0" w:color="auto"/>
            <w:left w:val="none" w:sz="0" w:space="0" w:color="auto"/>
            <w:bottom w:val="none" w:sz="0" w:space="0" w:color="auto"/>
            <w:right w:val="none" w:sz="0" w:space="0" w:color="auto"/>
          </w:divBdr>
          <w:divsChild>
            <w:div w:id="907307475">
              <w:marLeft w:val="0"/>
              <w:marRight w:val="0"/>
              <w:marTop w:val="0"/>
              <w:marBottom w:val="0"/>
              <w:divBdr>
                <w:top w:val="none" w:sz="0" w:space="0" w:color="auto"/>
                <w:left w:val="none" w:sz="0" w:space="0" w:color="auto"/>
                <w:bottom w:val="none" w:sz="0" w:space="0" w:color="auto"/>
                <w:right w:val="none" w:sz="0" w:space="0" w:color="auto"/>
              </w:divBdr>
            </w:div>
          </w:divsChild>
        </w:div>
        <w:div w:id="2027635433">
          <w:marLeft w:val="0"/>
          <w:marRight w:val="0"/>
          <w:marTop w:val="0"/>
          <w:marBottom w:val="0"/>
          <w:divBdr>
            <w:top w:val="none" w:sz="0" w:space="0" w:color="auto"/>
            <w:left w:val="none" w:sz="0" w:space="0" w:color="auto"/>
            <w:bottom w:val="none" w:sz="0" w:space="0" w:color="auto"/>
            <w:right w:val="none" w:sz="0" w:space="0" w:color="auto"/>
          </w:divBdr>
          <w:divsChild>
            <w:div w:id="1993175838">
              <w:marLeft w:val="0"/>
              <w:marRight w:val="0"/>
              <w:marTop w:val="0"/>
              <w:marBottom w:val="0"/>
              <w:divBdr>
                <w:top w:val="none" w:sz="0" w:space="0" w:color="auto"/>
                <w:left w:val="none" w:sz="0" w:space="0" w:color="auto"/>
                <w:bottom w:val="none" w:sz="0" w:space="0" w:color="auto"/>
                <w:right w:val="none" w:sz="0" w:space="0" w:color="auto"/>
              </w:divBdr>
            </w:div>
          </w:divsChild>
        </w:div>
        <w:div w:id="2055618801">
          <w:marLeft w:val="0"/>
          <w:marRight w:val="0"/>
          <w:marTop w:val="0"/>
          <w:marBottom w:val="0"/>
          <w:divBdr>
            <w:top w:val="none" w:sz="0" w:space="0" w:color="auto"/>
            <w:left w:val="none" w:sz="0" w:space="0" w:color="auto"/>
            <w:bottom w:val="none" w:sz="0" w:space="0" w:color="auto"/>
            <w:right w:val="none" w:sz="0" w:space="0" w:color="auto"/>
          </w:divBdr>
          <w:divsChild>
            <w:div w:id="1381133156">
              <w:marLeft w:val="0"/>
              <w:marRight w:val="0"/>
              <w:marTop w:val="0"/>
              <w:marBottom w:val="0"/>
              <w:divBdr>
                <w:top w:val="none" w:sz="0" w:space="0" w:color="auto"/>
                <w:left w:val="none" w:sz="0" w:space="0" w:color="auto"/>
                <w:bottom w:val="none" w:sz="0" w:space="0" w:color="auto"/>
                <w:right w:val="none" w:sz="0" w:space="0" w:color="auto"/>
              </w:divBdr>
            </w:div>
          </w:divsChild>
        </w:div>
        <w:div w:id="2058043610">
          <w:marLeft w:val="0"/>
          <w:marRight w:val="0"/>
          <w:marTop w:val="0"/>
          <w:marBottom w:val="0"/>
          <w:divBdr>
            <w:top w:val="none" w:sz="0" w:space="0" w:color="auto"/>
            <w:left w:val="none" w:sz="0" w:space="0" w:color="auto"/>
            <w:bottom w:val="none" w:sz="0" w:space="0" w:color="auto"/>
            <w:right w:val="none" w:sz="0" w:space="0" w:color="auto"/>
          </w:divBdr>
          <w:divsChild>
            <w:div w:id="819342569">
              <w:marLeft w:val="0"/>
              <w:marRight w:val="0"/>
              <w:marTop w:val="0"/>
              <w:marBottom w:val="0"/>
              <w:divBdr>
                <w:top w:val="none" w:sz="0" w:space="0" w:color="auto"/>
                <w:left w:val="none" w:sz="0" w:space="0" w:color="auto"/>
                <w:bottom w:val="none" w:sz="0" w:space="0" w:color="auto"/>
                <w:right w:val="none" w:sz="0" w:space="0" w:color="auto"/>
              </w:divBdr>
            </w:div>
          </w:divsChild>
        </w:div>
        <w:div w:id="2061436049">
          <w:marLeft w:val="0"/>
          <w:marRight w:val="0"/>
          <w:marTop w:val="0"/>
          <w:marBottom w:val="0"/>
          <w:divBdr>
            <w:top w:val="none" w:sz="0" w:space="0" w:color="auto"/>
            <w:left w:val="none" w:sz="0" w:space="0" w:color="auto"/>
            <w:bottom w:val="none" w:sz="0" w:space="0" w:color="auto"/>
            <w:right w:val="none" w:sz="0" w:space="0" w:color="auto"/>
          </w:divBdr>
          <w:divsChild>
            <w:div w:id="1098452202">
              <w:marLeft w:val="0"/>
              <w:marRight w:val="0"/>
              <w:marTop w:val="0"/>
              <w:marBottom w:val="0"/>
              <w:divBdr>
                <w:top w:val="none" w:sz="0" w:space="0" w:color="auto"/>
                <w:left w:val="none" w:sz="0" w:space="0" w:color="auto"/>
                <w:bottom w:val="none" w:sz="0" w:space="0" w:color="auto"/>
                <w:right w:val="none" w:sz="0" w:space="0" w:color="auto"/>
              </w:divBdr>
            </w:div>
          </w:divsChild>
        </w:div>
        <w:div w:id="2075662292">
          <w:marLeft w:val="0"/>
          <w:marRight w:val="0"/>
          <w:marTop w:val="0"/>
          <w:marBottom w:val="0"/>
          <w:divBdr>
            <w:top w:val="none" w:sz="0" w:space="0" w:color="auto"/>
            <w:left w:val="none" w:sz="0" w:space="0" w:color="auto"/>
            <w:bottom w:val="none" w:sz="0" w:space="0" w:color="auto"/>
            <w:right w:val="none" w:sz="0" w:space="0" w:color="auto"/>
          </w:divBdr>
          <w:divsChild>
            <w:div w:id="1628662915">
              <w:marLeft w:val="0"/>
              <w:marRight w:val="0"/>
              <w:marTop w:val="0"/>
              <w:marBottom w:val="0"/>
              <w:divBdr>
                <w:top w:val="none" w:sz="0" w:space="0" w:color="auto"/>
                <w:left w:val="none" w:sz="0" w:space="0" w:color="auto"/>
                <w:bottom w:val="none" w:sz="0" w:space="0" w:color="auto"/>
                <w:right w:val="none" w:sz="0" w:space="0" w:color="auto"/>
              </w:divBdr>
            </w:div>
          </w:divsChild>
        </w:div>
        <w:div w:id="2078046653">
          <w:marLeft w:val="0"/>
          <w:marRight w:val="0"/>
          <w:marTop w:val="0"/>
          <w:marBottom w:val="0"/>
          <w:divBdr>
            <w:top w:val="none" w:sz="0" w:space="0" w:color="auto"/>
            <w:left w:val="none" w:sz="0" w:space="0" w:color="auto"/>
            <w:bottom w:val="none" w:sz="0" w:space="0" w:color="auto"/>
            <w:right w:val="none" w:sz="0" w:space="0" w:color="auto"/>
          </w:divBdr>
          <w:divsChild>
            <w:div w:id="486745838">
              <w:marLeft w:val="0"/>
              <w:marRight w:val="0"/>
              <w:marTop w:val="0"/>
              <w:marBottom w:val="0"/>
              <w:divBdr>
                <w:top w:val="none" w:sz="0" w:space="0" w:color="auto"/>
                <w:left w:val="none" w:sz="0" w:space="0" w:color="auto"/>
                <w:bottom w:val="none" w:sz="0" w:space="0" w:color="auto"/>
                <w:right w:val="none" w:sz="0" w:space="0" w:color="auto"/>
              </w:divBdr>
            </w:div>
          </w:divsChild>
        </w:div>
        <w:div w:id="2081712276">
          <w:marLeft w:val="0"/>
          <w:marRight w:val="0"/>
          <w:marTop w:val="0"/>
          <w:marBottom w:val="0"/>
          <w:divBdr>
            <w:top w:val="none" w:sz="0" w:space="0" w:color="auto"/>
            <w:left w:val="none" w:sz="0" w:space="0" w:color="auto"/>
            <w:bottom w:val="none" w:sz="0" w:space="0" w:color="auto"/>
            <w:right w:val="none" w:sz="0" w:space="0" w:color="auto"/>
          </w:divBdr>
          <w:divsChild>
            <w:div w:id="1266302637">
              <w:marLeft w:val="0"/>
              <w:marRight w:val="0"/>
              <w:marTop w:val="0"/>
              <w:marBottom w:val="0"/>
              <w:divBdr>
                <w:top w:val="none" w:sz="0" w:space="0" w:color="auto"/>
                <w:left w:val="none" w:sz="0" w:space="0" w:color="auto"/>
                <w:bottom w:val="none" w:sz="0" w:space="0" w:color="auto"/>
                <w:right w:val="none" w:sz="0" w:space="0" w:color="auto"/>
              </w:divBdr>
            </w:div>
          </w:divsChild>
        </w:div>
        <w:div w:id="2097818613">
          <w:marLeft w:val="0"/>
          <w:marRight w:val="0"/>
          <w:marTop w:val="0"/>
          <w:marBottom w:val="0"/>
          <w:divBdr>
            <w:top w:val="none" w:sz="0" w:space="0" w:color="auto"/>
            <w:left w:val="none" w:sz="0" w:space="0" w:color="auto"/>
            <w:bottom w:val="none" w:sz="0" w:space="0" w:color="auto"/>
            <w:right w:val="none" w:sz="0" w:space="0" w:color="auto"/>
          </w:divBdr>
          <w:divsChild>
            <w:div w:id="1606692500">
              <w:marLeft w:val="0"/>
              <w:marRight w:val="0"/>
              <w:marTop w:val="0"/>
              <w:marBottom w:val="0"/>
              <w:divBdr>
                <w:top w:val="none" w:sz="0" w:space="0" w:color="auto"/>
                <w:left w:val="none" w:sz="0" w:space="0" w:color="auto"/>
                <w:bottom w:val="none" w:sz="0" w:space="0" w:color="auto"/>
                <w:right w:val="none" w:sz="0" w:space="0" w:color="auto"/>
              </w:divBdr>
            </w:div>
          </w:divsChild>
        </w:div>
        <w:div w:id="2117283645">
          <w:marLeft w:val="0"/>
          <w:marRight w:val="0"/>
          <w:marTop w:val="0"/>
          <w:marBottom w:val="0"/>
          <w:divBdr>
            <w:top w:val="none" w:sz="0" w:space="0" w:color="auto"/>
            <w:left w:val="none" w:sz="0" w:space="0" w:color="auto"/>
            <w:bottom w:val="none" w:sz="0" w:space="0" w:color="auto"/>
            <w:right w:val="none" w:sz="0" w:space="0" w:color="auto"/>
          </w:divBdr>
          <w:divsChild>
            <w:div w:id="274599557">
              <w:marLeft w:val="0"/>
              <w:marRight w:val="0"/>
              <w:marTop w:val="0"/>
              <w:marBottom w:val="0"/>
              <w:divBdr>
                <w:top w:val="none" w:sz="0" w:space="0" w:color="auto"/>
                <w:left w:val="none" w:sz="0" w:space="0" w:color="auto"/>
                <w:bottom w:val="none" w:sz="0" w:space="0" w:color="auto"/>
                <w:right w:val="none" w:sz="0" w:space="0" w:color="auto"/>
              </w:divBdr>
            </w:div>
          </w:divsChild>
        </w:div>
        <w:div w:id="2135248410">
          <w:marLeft w:val="0"/>
          <w:marRight w:val="0"/>
          <w:marTop w:val="0"/>
          <w:marBottom w:val="0"/>
          <w:divBdr>
            <w:top w:val="none" w:sz="0" w:space="0" w:color="auto"/>
            <w:left w:val="none" w:sz="0" w:space="0" w:color="auto"/>
            <w:bottom w:val="none" w:sz="0" w:space="0" w:color="auto"/>
            <w:right w:val="none" w:sz="0" w:space="0" w:color="auto"/>
          </w:divBdr>
          <w:divsChild>
            <w:div w:id="77151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123032">
      <w:bodyDiv w:val="1"/>
      <w:marLeft w:val="0"/>
      <w:marRight w:val="0"/>
      <w:marTop w:val="0"/>
      <w:marBottom w:val="0"/>
      <w:divBdr>
        <w:top w:val="none" w:sz="0" w:space="0" w:color="auto"/>
        <w:left w:val="none" w:sz="0" w:space="0" w:color="auto"/>
        <w:bottom w:val="none" w:sz="0" w:space="0" w:color="auto"/>
        <w:right w:val="none" w:sz="0" w:space="0" w:color="auto"/>
      </w:divBdr>
      <w:divsChild>
        <w:div w:id="946740415">
          <w:marLeft w:val="0"/>
          <w:marRight w:val="0"/>
          <w:marTop w:val="0"/>
          <w:marBottom w:val="0"/>
          <w:divBdr>
            <w:top w:val="none" w:sz="0" w:space="0" w:color="auto"/>
            <w:left w:val="none" w:sz="0" w:space="0" w:color="auto"/>
            <w:bottom w:val="none" w:sz="0" w:space="0" w:color="auto"/>
            <w:right w:val="none" w:sz="0" w:space="0" w:color="auto"/>
          </w:divBdr>
        </w:div>
        <w:div w:id="1693997911">
          <w:marLeft w:val="0"/>
          <w:marRight w:val="0"/>
          <w:marTop w:val="0"/>
          <w:marBottom w:val="0"/>
          <w:divBdr>
            <w:top w:val="none" w:sz="0" w:space="0" w:color="auto"/>
            <w:left w:val="none" w:sz="0" w:space="0" w:color="auto"/>
            <w:bottom w:val="none" w:sz="0" w:space="0" w:color="auto"/>
            <w:right w:val="none" w:sz="0" w:space="0" w:color="auto"/>
          </w:divBdr>
        </w:div>
        <w:div w:id="1787039523">
          <w:marLeft w:val="0"/>
          <w:marRight w:val="0"/>
          <w:marTop w:val="0"/>
          <w:marBottom w:val="0"/>
          <w:divBdr>
            <w:top w:val="none" w:sz="0" w:space="0" w:color="auto"/>
            <w:left w:val="none" w:sz="0" w:space="0" w:color="auto"/>
            <w:bottom w:val="none" w:sz="0" w:space="0" w:color="auto"/>
            <w:right w:val="none" w:sz="0" w:space="0" w:color="auto"/>
          </w:divBdr>
          <w:divsChild>
            <w:div w:id="887959778">
              <w:marLeft w:val="-75"/>
              <w:marRight w:val="0"/>
              <w:marTop w:val="30"/>
              <w:marBottom w:val="30"/>
              <w:divBdr>
                <w:top w:val="none" w:sz="0" w:space="0" w:color="auto"/>
                <w:left w:val="none" w:sz="0" w:space="0" w:color="auto"/>
                <w:bottom w:val="none" w:sz="0" w:space="0" w:color="auto"/>
                <w:right w:val="none" w:sz="0" w:space="0" w:color="auto"/>
              </w:divBdr>
              <w:divsChild>
                <w:div w:id="401904">
                  <w:marLeft w:val="0"/>
                  <w:marRight w:val="0"/>
                  <w:marTop w:val="0"/>
                  <w:marBottom w:val="0"/>
                  <w:divBdr>
                    <w:top w:val="none" w:sz="0" w:space="0" w:color="auto"/>
                    <w:left w:val="none" w:sz="0" w:space="0" w:color="auto"/>
                    <w:bottom w:val="none" w:sz="0" w:space="0" w:color="auto"/>
                    <w:right w:val="none" w:sz="0" w:space="0" w:color="auto"/>
                  </w:divBdr>
                  <w:divsChild>
                    <w:div w:id="408508165">
                      <w:marLeft w:val="0"/>
                      <w:marRight w:val="0"/>
                      <w:marTop w:val="0"/>
                      <w:marBottom w:val="0"/>
                      <w:divBdr>
                        <w:top w:val="none" w:sz="0" w:space="0" w:color="auto"/>
                        <w:left w:val="none" w:sz="0" w:space="0" w:color="auto"/>
                        <w:bottom w:val="none" w:sz="0" w:space="0" w:color="auto"/>
                        <w:right w:val="none" w:sz="0" w:space="0" w:color="auto"/>
                      </w:divBdr>
                    </w:div>
                  </w:divsChild>
                </w:div>
                <w:div w:id="1249171">
                  <w:marLeft w:val="0"/>
                  <w:marRight w:val="0"/>
                  <w:marTop w:val="0"/>
                  <w:marBottom w:val="0"/>
                  <w:divBdr>
                    <w:top w:val="none" w:sz="0" w:space="0" w:color="auto"/>
                    <w:left w:val="none" w:sz="0" w:space="0" w:color="auto"/>
                    <w:bottom w:val="none" w:sz="0" w:space="0" w:color="auto"/>
                    <w:right w:val="none" w:sz="0" w:space="0" w:color="auto"/>
                  </w:divBdr>
                  <w:divsChild>
                    <w:div w:id="1626429333">
                      <w:marLeft w:val="0"/>
                      <w:marRight w:val="0"/>
                      <w:marTop w:val="0"/>
                      <w:marBottom w:val="0"/>
                      <w:divBdr>
                        <w:top w:val="none" w:sz="0" w:space="0" w:color="auto"/>
                        <w:left w:val="none" w:sz="0" w:space="0" w:color="auto"/>
                        <w:bottom w:val="none" w:sz="0" w:space="0" w:color="auto"/>
                        <w:right w:val="none" w:sz="0" w:space="0" w:color="auto"/>
                      </w:divBdr>
                    </w:div>
                  </w:divsChild>
                </w:div>
                <w:div w:id="9307621">
                  <w:marLeft w:val="0"/>
                  <w:marRight w:val="0"/>
                  <w:marTop w:val="0"/>
                  <w:marBottom w:val="0"/>
                  <w:divBdr>
                    <w:top w:val="none" w:sz="0" w:space="0" w:color="auto"/>
                    <w:left w:val="none" w:sz="0" w:space="0" w:color="auto"/>
                    <w:bottom w:val="none" w:sz="0" w:space="0" w:color="auto"/>
                    <w:right w:val="none" w:sz="0" w:space="0" w:color="auto"/>
                  </w:divBdr>
                  <w:divsChild>
                    <w:div w:id="830218402">
                      <w:marLeft w:val="0"/>
                      <w:marRight w:val="0"/>
                      <w:marTop w:val="0"/>
                      <w:marBottom w:val="0"/>
                      <w:divBdr>
                        <w:top w:val="none" w:sz="0" w:space="0" w:color="auto"/>
                        <w:left w:val="none" w:sz="0" w:space="0" w:color="auto"/>
                        <w:bottom w:val="none" w:sz="0" w:space="0" w:color="auto"/>
                        <w:right w:val="none" w:sz="0" w:space="0" w:color="auto"/>
                      </w:divBdr>
                    </w:div>
                  </w:divsChild>
                </w:div>
                <w:div w:id="16975141">
                  <w:marLeft w:val="0"/>
                  <w:marRight w:val="0"/>
                  <w:marTop w:val="0"/>
                  <w:marBottom w:val="0"/>
                  <w:divBdr>
                    <w:top w:val="none" w:sz="0" w:space="0" w:color="auto"/>
                    <w:left w:val="none" w:sz="0" w:space="0" w:color="auto"/>
                    <w:bottom w:val="none" w:sz="0" w:space="0" w:color="auto"/>
                    <w:right w:val="none" w:sz="0" w:space="0" w:color="auto"/>
                  </w:divBdr>
                  <w:divsChild>
                    <w:div w:id="533079049">
                      <w:marLeft w:val="0"/>
                      <w:marRight w:val="0"/>
                      <w:marTop w:val="0"/>
                      <w:marBottom w:val="0"/>
                      <w:divBdr>
                        <w:top w:val="none" w:sz="0" w:space="0" w:color="auto"/>
                        <w:left w:val="none" w:sz="0" w:space="0" w:color="auto"/>
                        <w:bottom w:val="none" w:sz="0" w:space="0" w:color="auto"/>
                        <w:right w:val="none" w:sz="0" w:space="0" w:color="auto"/>
                      </w:divBdr>
                    </w:div>
                  </w:divsChild>
                </w:div>
                <w:div w:id="29187753">
                  <w:marLeft w:val="0"/>
                  <w:marRight w:val="0"/>
                  <w:marTop w:val="0"/>
                  <w:marBottom w:val="0"/>
                  <w:divBdr>
                    <w:top w:val="none" w:sz="0" w:space="0" w:color="auto"/>
                    <w:left w:val="none" w:sz="0" w:space="0" w:color="auto"/>
                    <w:bottom w:val="none" w:sz="0" w:space="0" w:color="auto"/>
                    <w:right w:val="none" w:sz="0" w:space="0" w:color="auto"/>
                  </w:divBdr>
                  <w:divsChild>
                    <w:div w:id="631908665">
                      <w:marLeft w:val="0"/>
                      <w:marRight w:val="0"/>
                      <w:marTop w:val="0"/>
                      <w:marBottom w:val="0"/>
                      <w:divBdr>
                        <w:top w:val="none" w:sz="0" w:space="0" w:color="auto"/>
                        <w:left w:val="none" w:sz="0" w:space="0" w:color="auto"/>
                        <w:bottom w:val="none" w:sz="0" w:space="0" w:color="auto"/>
                        <w:right w:val="none" w:sz="0" w:space="0" w:color="auto"/>
                      </w:divBdr>
                    </w:div>
                  </w:divsChild>
                </w:div>
                <w:div w:id="51119852">
                  <w:marLeft w:val="0"/>
                  <w:marRight w:val="0"/>
                  <w:marTop w:val="0"/>
                  <w:marBottom w:val="0"/>
                  <w:divBdr>
                    <w:top w:val="none" w:sz="0" w:space="0" w:color="auto"/>
                    <w:left w:val="none" w:sz="0" w:space="0" w:color="auto"/>
                    <w:bottom w:val="none" w:sz="0" w:space="0" w:color="auto"/>
                    <w:right w:val="none" w:sz="0" w:space="0" w:color="auto"/>
                  </w:divBdr>
                  <w:divsChild>
                    <w:div w:id="25453841">
                      <w:marLeft w:val="0"/>
                      <w:marRight w:val="0"/>
                      <w:marTop w:val="0"/>
                      <w:marBottom w:val="0"/>
                      <w:divBdr>
                        <w:top w:val="none" w:sz="0" w:space="0" w:color="auto"/>
                        <w:left w:val="none" w:sz="0" w:space="0" w:color="auto"/>
                        <w:bottom w:val="none" w:sz="0" w:space="0" w:color="auto"/>
                        <w:right w:val="none" w:sz="0" w:space="0" w:color="auto"/>
                      </w:divBdr>
                    </w:div>
                    <w:div w:id="1188252210">
                      <w:marLeft w:val="0"/>
                      <w:marRight w:val="0"/>
                      <w:marTop w:val="0"/>
                      <w:marBottom w:val="0"/>
                      <w:divBdr>
                        <w:top w:val="none" w:sz="0" w:space="0" w:color="auto"/>
                        <w:left w:val="none" w:sz="0" w:space="0" w:color="auto"/>
                        <w:bottom w:val="none" w:sz="0" w:space="0" w:color="auto"/>
                        <w:right w:val="none" w:sz="0" w:space="0" w:color="auto"/>
                      </w:divBdr>
                    </w:div>
                    <w:div w:id="1765228644">
                      <w:marLeft w:val="0"/>
                      <w:marRight w:val="0"/>
                      <w:marTop w:val="0"/>
                      <w:marBottom w:val="0"/>
                      <w:divBdr>
                        <w:top w:val="none" w:sz="0" w:space="0" w:color="auto"/>
                        <w:left w:val="none" w:sz="0" w:space="0" w:color="auto"/>
                        <w:bottom w:val="none" w:sz="0" w:space="0" w:color="auto"/>
                        <w:right w:val="none" w:sz="0" w:space="0" w:color="auto"/>
                      </w:divBdr>
                    </w:div>
                  </w:divsChild>
                </w:div>
                <w:div w:id="51732327">
                  <w:marLeft w:val="0"/>
                  <w:marRight w:val="0"/>
                  <w:marTop w:val="0"/>
                  <w:marBottom w:val="0"/>
                  <w:divBdr>
                    <w:top w:val="none" w:sz="0" w:space="0" w:color="auto"/>
                    <w:left w:val="none" w:sz="0" w:space="0" w:color="auto"/>
                    <w:bottom w:val="none" w:sz="0" w:space="0" w:color="auto"/>
                    <w:right w:val="none" w:sz="0" w:space="0" w:color="auto"/>
                  </w:divBdr>
                  <w:divsChild>
                    <w:div w:id="371808252">
                      <w:marLeft w:val="0"/>
                      <w:marRight w:val="0"/>
                      <w:marTop w:val="0"/>
                      <w:marBottom w:val="0"/>
                      <w:divBdr>
                        <w:top w:val="none" w:sz="0" w:space="0" w:color="auto"/>
                        <w:left w:val="none" w:sz="0" w:space="0" w:color="auto"/>
                        <w:bottom w:val="none" w:sz="0" w:space="0" w:color="auto"/>
                        <w:right w:val="none" w:sz="0" w:space="0" w:color="auto"/>
                      </w:divBdr>
                    </w:div>
                  </w:divsChild>
                </w:div>
                <w:div w:id="55977057">
                  <w:marLeft w:val="0"/>
                  <w:marRight w:val="0"/>
                  <w:marTop w:val="0"/>
                  <w:marBottom w:val="0"/>
                  <w:divBdr>
                    <w:top w:val="none" w:sz="0" w:space="0" w:color="auto"/>
                    <w:left w:val="none" w:sz="0" w:space="0" w:color="auto"/>
                    <w:bottom w:val="none" w:sz="0" w:space="0" w:color="auto"/>
                    <w:right w:val="none" w:sz="0" w:space="0" w:color="auto"/>
                  </w:divBdr>
                  <w:divsChild>
                    <w:div w:id="225264378">
                      <w:marLeft w:val="0"/>
                      <w:marRight w:val="0"/>
                      <w:marTop w:val="0"/>
                      <w:marBottom w:val="0"/>
                      <w:divBdr>
                        <w:top w:val="none" w:sz="0" w:space="0" w:color="auto"/>
                        <w:left w:val="none" w:sz="0" w:space="0" w:color="auto"/>
                        <w:bottom w:val="none" w:sz="0" w:space="0" w:color="auto"/>
                        <w:right w:val="none" w:sz="0" w:space="0" w:color="auto"/>
                      </w:divBdr>
                    </w:div>
                  </w:divsChild>
                </w:div>
                <w:div w:id="64038985">
                  <w:marLeft w:val="0"/>
                  <w:marRight w:val="0"/>
                  <w:marTop w:val="0"/>
                  <w:marBottom w:val="0"/>
                  <w:divBdr>
                    <w:top w:val="none" w:sz="0" w:space="0" w:color="auto"/>
                    <w:left w:val="none" w:sz="0" w:space="0" w:color="auto"/>
                    <w:bottom w:val="none" w:sz="0" w:space="0" w:color="auto"/>
                    <w:right w:val="none" w:sz="0" w:space="0" w:color="auto"/>
                  </w:divBdr>
                  <w:divsChild>
                    <w:div w:id="136773959">
                      <w:marLeft w:val="0"/>
                      <w:marRight w:val="0"/>
                      <w:marTop w:val="0"/>
                      <w:marBottom w:val="0"/>
                      <w:divBdr>
                        <w:top w:val="none" w:sz="0" w:space="0" w:color="auto"/>
                        <w:left w:val="none" w:sz="0" w:space="0" w:color="auto"/>
                        <w:bottom w:val="none" w:sz="0" w:space="0" w:color="auto"/>
                        <w:right w:val="none" w:sz="0" w:space="0" w:color="auto"/>
                      </w:divBdr>
                    </w:div>
                  </w:divsChild>
                </w:div>
                <w:div w:id="100728845">
                  <w:marLeft w:val="0"/>
                  <w:marRight w:val="0"/>
                  <w:marTop w:val="0"/>
                  <w:marBottom w:val="0"/>
                  <w:divBdr>
                    <w:top w:val="none" w:sz="0" w:space="0" w:color="auto"/>
                    <w:left w:val="none" w:sz="0" w:space="0" w:color="auto"/>
                    <w:bottom w:val="none" w:sz="0" w:space="0" w:color="auto"/>
                    <w:right w:val="none" w:sz="0" w:space="0" w:color="auto"/>
                  </w:divBdr>
                  <w:divsChild>
                    <w:div w:id="721562647">
                      <w:marLeft w:val="0"/>
                      <w:marRight w:val="0"/>
                      <w:marTop w:val="0"/>
                      <w:marBottom w:val="0"/>
                      <w:divBdr>
                        <w:top w:val="none" w:sz="0" w:space="0" w:color="auto"/>
                        <w:left w:val="none" w:sz="0" w:space="0" w:color="auto"/>
                        <w:bottom w:val="none" w:sz="0" w:space="0" w:color="auto"/>
                        <w:right w:val="none" w:sz="0" w:space="0" w:color="auto"/>
                      </w:divBdr>
                    </w:div>
                  </w:divsChild>
                </w:div>
                <w:div w:id="106433078">
                  <w:marLeft w:val="0"/>
                  <w:marRight w:val="0"/>
                  <w:marTop w:val="0"/>
                  <w:marBottom w:val="0"/>
                  <w:divBdr>
                    <w:top w:val="none" w:sz="0" w:space="0" w:color="auto"/>
                    <w:left w:val="none" w:sz="0" w:space="0" w:color="auto"/>
                    <w:bottom w:val="none" w:sz="0" w:space="0" w:color="auto"/>
                    <w:right w:val="none" w:sz="0" w:space="0" w:color="auto"/>
                  </w:divBdr>
                  <w:divsChild>
                    <w:div w:id="621110619">
                      <w:marLeft w:val="0"/>
                      <w:marRight w:val="0"/>
                      <w:marTop w:val="0"/>
                      <w:marBottom w:val="0"/>
                      <w:divBdr>
                        <w:top w:val="none" w:sz="0" w:space="0" w:color="auto"/>
                        <w:left w:val="none" w:sz="0" w:space="0" w:color="auto"/>
                        <w:bottom w:val="none" w:sz="0" w:space="0" w:color="auto"/>
                        <w:right w:val="none" w:sz="0" w:space="0" w:color="auto"/>
                      </w:divBdr>
                    </w:div>
                  </w:divsChild>
                </w:div>
                <w:div w:id="120154131">
                  <w:marLeft w:val="0"/>
                  <w:marRight w:val="0"/>
                  <w:marTop w:val="0"/>
                  <w:marBottom w:val="0"/>
                  <w:divBdr>
                    <w:top w:val="none" w:sz="0" w:space="0" w:color="auto"/>
                    <w:left w:val="none" w:sz="0" w:space="0" w:color="auto"/>
                    <w:bottom w:val="none" w:sz="0" w:space="0" w:color="auto"/>
                    <w:right w:val="none" w:sz="0" w:space="0" w:color="auto"/>
                  </w:divBdr>
                  <w:divsChild>
                    <w:div w:id="54281518">
                      <w:marLeft w:val="0"/>
                      <w:marRight w:val="0"/>
                      <w:marTop w:val="0"/>
                      <w:marBottom w:val="0"/>
                      <w:divBdr>
                        <w:top w:val="none" w:sz="0" w:space="0" w:color="auto"/>
                        <w:left w:val="none" w:sz="0" w:space="0" w:color="auto"/>
                        <w:bottom w:val="none" w:sz="0" w:space="0" w:color="auto"/>
                        <w:right w:val="none" w:sz="0" w:space="0" w:color="auto"/>
                      </w:divBdr>
                    </w:div>
                  </w:divsChild>
                </w:div>
                <w:div w:id="124351760">
                  <w:marLeft w:val="0"/>
                  <w:marRight w:val="0"/>
                  <w:marTop w:val="0"/>
                  <w:marBottom w:val="0"/>
                  <w:divBdr>
                    <w:top w:val="none" w:sz="0" w:space="0" w:color="auto"/>
                    <w:left w:val="none" w:sz="0" w:space="0" w:color="auto"/>
                    <w:bottom w:val="none" w:sz="0" w:space="0" w:color="auto"/>
                    <w:right w:val="none" w:sz="0" w:space="0" w:color="auto"/>
                  </w:divBdr>
                  <w:divsChild>
                    <w:div w:id="1212762951">
                      <w:marLeft w:val="0"/>
                      <w:marRight w:val="0"/>
                      <w:marTop w:val="0"/>
                      <w:marBottom w:val="0"/>
                      <w:divBdr>
                        <w:top w:val="none" w:sz="0" w:space="0" w:color="auto"/>
                        <w:left w:val="none" w:sz="0" w:space="0" w:color="auto"/>
                        <w:bottom w:val="none" w:sz="0" w:space="0" w:color="auto"/>
                        <w:right w:val="none" w:sz="0" w:space="0" w:color="auto"/>
                      </w:divBdr>
                    </w:div>
                  </w:divsChild>
                </w:div>
                <w:div w:id="131215515">
                  <w:marLeft w:val="0"/>
                  <w:marRight w:val="0"/>
                  <w:marTop w:val="0"/>
                  <w:marBottom w:val="0"/>
                  <w:divBdr>
                    <w:top w:val="none" w:sz="0" w:space="0" w:color="auto"/>
                    <w:left w:val="none" w:sz="0" w:space="0" w:color="auto"/>
                    <w:bottom w:val="none" w:sz="0" w:space="0" w:color="auto"/>
                    <w:right w:val="none" w:sz="0" w:space="0" w:color="auto"/>
                  </w:divBdr>
                  <w:divsChild>
                    <w:div w:id="1065180340">
                      <w:marLeft w:val="0"/>
                      <w:marRight w:val="0"/>
                      <w:marTop w:val="0"/>
                      <w:marBottom w:val="0"/>
                      <w:divBdr>
                        <w:top w:val="none" w:sz="0" w:space="0" w:color="auto"/>
                        <w:left w:val="none" w:sz="0" w:space="0" w:color="auto"/>
                        <w:bottom w:val="none" w:sz="0" w:space="0" w:color="auto"/>
                        <w:right w:val="none" w:sz="0" w:space="0" w:color="auto"/>
                      </w:divBdr>
                    </w:div>
                  </w:divsChild>
                </w:div>
                <w:div w:id="149249939">
                  <w:marLeft w:val="0"/>
                  <w:marRight w:val="0"/>
                  <w:marTop w:val="0"/>
                  <w:marBottom w:val="0"/>
                  <w:divBdr>
                    <w:top w:val="none" w:sz="0" w:space="0" w:color="auto"/>
                    <w:left w:val="none" w:sz="0" w:space="0" w:color="auto"/>
                    <w:bottom w:val="none" w:sz="0" w:space="0" w:color="auto"/>
                    <w:right w:val="none" w:sz="0" w:space="0" w:color="auto"/>
                  </w:divBdr>
                  <w:divsChild>
                    <w:div w:id="666834232">
                      <w:marLeft w:val="0"/>
                      <w:marRight w:val="0"/>
                      <w:marTop w:val="0"/>
                      <w:marBottom w:val="0"/>
                      <w:divBdr>
                        <w:top w:val="none" w:sz="0" w:space="0" w:color="auto"/>
                        <w:left w:val="none" w:sz="0" w:space="0" w:color="auto"/>
                        <w:bottom w:val="none" w:sz="0" w:space="0" w:color="auto"/>
                        <w:right w:val="none" w:sz="0" w:space="0" w:color="auto"/>
                      </w:divBdr>
                    </w:div>
                  </w:divsChild>
                </w:div>
                <w:div w:id="152336190">
                  <w:marLeft w:val="0"/>
                  <w:marRight w:val="0"/>
                  <w:marTop w:val="0"/>
                  <w:marBottom w:val="0"/>
                  <w:divBdr>
                    <w:top w:val="none" w:sz="0" w:space="0" w:color="auto"/>
                    <w:left w:val="none" w:sz="0" w:space="0" w:color="auto"/>
                    <w:bottom w:val="none" w:sz="0" w:space="0" w:color="auto"/>
                    <w:right w:val="none" w:sz="0" w:space="0" w:color="auto"/>
                  </w:divBdr>
                  <w:divsChild>
                    <w:div w:id="712773026">
                      <w:marLeft w:val="0"/>
                      <w:marRight w:val="0"/>
                      <w:marTop w:val="0"/>
                      <w:marBottom w:val="0"/>
                      <w:divBdr>
                        <w:top w:val="none" w:sz="0" w:space="0" w:color="auto"/>
                        <w:left w:val="none" w:sz="0" w:space="0" w:color="auto"/>
                        <w:bottom w:val="none" w:sz="0" w:space="0" w:color="auto"/>
                        <w:right w:val="none" w:sz="0" w:space="0" w:color="auto"/>
                      </w:divBdr>
                    </w:div>
                  </w:divsChild>
                </w:div>
                <w:div w:id="157309491">
                  <w:marLeft w:val="0"/>
                  <w:marRight w:val="0"/>
                  <w:marTop w:val="0"/>
                  <w:marBottom w:val="0"/>
                  <w:divBdr>
                    <w:top w:val="none" w:sz="0" w:space="0" w:color="auto"/>
                    <w:left w:val="none" w:sz="0" w:space="0" w:color="auto"/>
                    <w:bottom w:val="none" w:sz="0" w:space="0" w:color="auto"/>
                    <w:right w:val="none" w:sz="0" w:space="0" w:color="auto"/>
                  </w:divBdr>
                  <w:divsChild>
                    <w:div w:id="661347571">
                      <w:marLeft w:val="0"/>
                      <w:marRight w:val="0"/>
                      <w:marTop w:val="0"/>
                      <w:marBottom w:val="0"/>
                      <w:divBdr>
                        <w:top w:val="none" w:sz="0" w:space="0" w:color="auto"/>
                        <w:left w:val="none" w:sz="0" w:space="0" w:color="auto"/>
                        <w:bottom w:val="none" w:sz="0" w:space="0" w:color="auto"/>
                        <w:right w:val="none" w:sz="0" w:space="0" w:color="auto"/>
                      </w:divBdr>
                    </w:div>
                  </w:divsChild>
                </w:div>
                <w:div w:id="162744183">
                  <w:marLeft w:val="0"/>
                  <w:marRight w:val="0"/>
                  <w:marTop w:val="0"/>
                  <w:marBottom w:val="0"/>
                  <w:divBdr>
                    <w:top w:val="none" w:sz="0" w:space="0" w:color="auto"/>
                    <w:left w:val="none" w:sz="0" w:space="0" w:color="auto"/>
                    <w:bottom w:val="none" w:sz="0" w:space="0" w:color="auto"/>
                    <w:right w:val="none" w:sz="0" w:space="0" w:color="auto"/>
                  </w:divBdr>
                  <w:divsChild>
                    <w:div w:id="68314099">
                      <w:marLeft w:val="0"/>
                      <w:marRight w:val="0"/>
                      <w:marTop w:val="0"/>
                      <w:marBottom w:val="0"/>
                      <w:divBdr>
                        <w:top w:val="none" w:sz="0" w:space="0" w:color="auto"/>
                        <w:left w:val="none" w:sz="0" w:space="0" w:color="auto"/>
                        <w:bottom w:val="none" w:sz="0" w:space="0" w:color="auto"/>
                        <w:right w:val="none" w:sz="0" w:space="0" w:color="auto"/>
                      </w:divBdr>
                    </w:div>
                  </w:divsChild>
                </w:div>
                <w:div w:id="201403525">
                  <w:marLeft w:val="0"/>
                  <w:marRight w:val="0"/>
                  <w:marTop w:val="0"/>
                  <w:marBottom w:val="0"/>
                  <w:divBdr>
                    <w:top w:val="none" w:sz="0" w:space="0" w:color="auto"/>
                    <w:left w:val="none" w:sz="0" w:space="0" w:color="auto"/>
                    <w:bottom w:val="none" w:sz="0" w:space="0" w:color="auto"/>
                    <w:right w:val="none" w:sz="0" w:space="0" w:color="auto"/>
                  </w:divBdr>
                  <w:divsChild>
                    <w:div w:id="310404947">
                      <w:marLeft w:val="0"/>
                      <w:marRight w:val="0"/>
                      <w:marTop w:val="0"/>
                      <w:marBottom w:val="0"/>
                      <w:divBdr>
                        <w:top w:val="none" w:sz="0" w:space="0" w:color="auto"/>
                        <w:left w:val="none" w:sz="0" w:space="0" w:color="auto"/>
                        <w:bottom w:val="none" w:sz="0" w:space="0" w:color="auto"/>
                        <w:right w:val="none" w:sz="0" w:space="0" w:color="auto"/>
                      </w:divBdr>
                    </w:div>
                  </w:divsChild>
                </w:div>
                <w:div w:id="225650648">
                  <w:marLeft w:val="0"/>
                  <w:marRight w:val="0"/>
                  <w:marTop w:val="0"/>
                  <w:marBottom w:val="0"/>
                  <w:divBdr>
                    <w:top w:val="none" w:sz="0" w:space="0" w:color="auto"/>
                    <w:left w:val="none" w:sz="0" w:space="0" w:color="auto"/>
                    <w:bottom w:val="none" w:sz="0" w:space="0" w:color="auto"/>
                    <w:right w:val="none" w:sz="0" w:space="0" w:color="auto"/>
                  </w:divBdr>
                  <w:divsChild>
                    <w:div w:id="689717253">
                      <w:marLeft w:val="0"/>
                      <w:marRight w:val="0"/>
                      <w:marTop w:val="0"/>
                      <w:marBottom w:val="0"/>
                      <w:divBdr>
                        <w:top w:val="none" w:sz="0" w:space="0" w:color="auto"/>
                        <w:left w:val="none" w:sz="0" w:space="0" w:color="auto"/>
                        <w:bottom w:val="none" w:sz="0" w:space="0" w:color="auto"/>
                        <w:right w:val="none" w:sz="0" w:space="0" w:color="auto"/>
                      </w:divBdr>
                    </w:div>
                  </w:divsChild>
                </w:div>
                <w:div w:id="228157757">
                  <w:marLeft w:val="0"/>
                  <w:marRight w:val="0"/>
                  <w:marTop w:val="0"/>
                  <w:marBottom w:val="0"/>
                  <w:divBdr>
                    <w:top w:val="none" w:sz="0" w:space="0" w:color="auto"/>
                    <w:left w:val="none" w:sz="0" w:space="0" w:color="auto"/>
                    <w:bottom w:val="none" w:sz="0" w:space="0" w:color="auto"/>
                    <w:right w:val="none" w:sz="0" w:space="0" w:color="auto"/>
                  </w:divBdr>
                  <w:divsChild>
                    <w:div w:id="48771739">
                      <w:marLeft w:val="0"/>
                      <w:marRight w:val="0"/>
                      <w:marTop w:val="0"/>
                      <w:marBottom w:val="0"/>
                      <w:divBdr>
                        <w:top w:val="none" w:sz="0" w:space="0" w:color="auto"/>
                        <w:left w:val="none" w:sz="0" w:space="0" w:color="auto"/>
                        <w:bottom w:val="none" w:sz="0" w:space="0" w:color="auto"/>
                        <w:right w:val="none" w:sz="0" w:space="0" w:color="auto"/>
                      </w:divBdr>
                    </w:div>
                  </w:divsChild>
                </w:div>
                <w:div w:id="229539494">
                  <w:marLeft w:val="0"/>
                  <w:marRight w:val="0"/>
                  <w:marTop w:val="0"/>
                  <w:marBottom w:val="0"/>
                  <w:divBdr>
                    <w:top w:val="none" w:sz="0" w:space="0" w:color="auto"/>
                    <w:left w:val="none" w:sz="0" w:space="0" w:color="auto"/>
                    <w:bottom w:val="none" w:sz="0" w:space="0" w:color="auto"/>
                    <w:right w:val="none" w:sz="0" w:space="0" w:color="auto"/>
                  </w:divBdr>
                  <w:divsChild>
                    <w:div w:id="760375927">
                      <w:marLeft w:val="0"/>
                      <w:marRight w:val="0"/>
                      <w:marTop w:val="0"/>
                      <w:marBottom w:val="0"/>
                      <w:divBdr>
                        <w:top w:val="none" w:sz="0" w:space="0" w:color="auto"/>
                        <w:left w:val="none" w:sz="0" w:space="0" w:color="auto"/>
                        <w:bottom w:val="none" w:sz="0" w:space="0" w:color="auto"/>
                        <w:right w:val="none" w:sz="0" w:space="0" w:color="auto"/>
                      </w:divBdr>
                    </w:div>
                  </w:divsChild>
                </w:div>
                <w:div w:id="236284288">
                  <w:marLeft w:val="0"/>
                  <w:marRight w:val="0"/>
                  <w:marTop w:val="0"/>
                  <w:marBottom w:val="0"/>
                  <w:divBdr>
                    <w:top w:val="none" w:sz="0" w:space="0" w:color="auto"/>
                    <w:left w:val="none" w:sz="0" w:space="0" w:color="auto"/>
                    <w:bottom w:val="none" w:sz="0" w:space="0" w:color="auto"/>
                    <w:right w:val="none" w:sz="0" w:space="0" w:color="auto"/>
                  </w:divBdr>
                  <w:divsChild>
                    <w:div w:id="51080517">
                      <w:marLeft w:val="0"/>
                      <w:marRight w:val="0"/>
                      <w:marTop w:val="0"/>
                      <w:marBottom w:val="0"/>
                      <w:divBdr>
                        <w:top w:val="none" w:sz="0" w:space="0" w:color="auto"/>
                        <w:left w:val="none" w:sz="0" w:space="0" w:color="auto"/>
                        <w:bottom w:val="none" w:sz="0" w:space="0" w:color="auto"/>
                        <w:right w:val="none" w:sz="0" w:space="0" w:color="auto"/>
                      </w:divBdr>
                    </w:div>
                  </w:divsChild>
                </w:div>
                <w:div w:id="237642937">
                  <w:marLeft w:val="0"/>
                  <w:marRight w:val="0"/>
                  <w:marTop w:val="0"/>
                  <w:marBottom w:val="0"/>
                  <w:divBdr>
                    <w:top w:val="none" w:sz="0" w:space="0" w:color="auto"/>
                    <w:left w:val="none" w:sz="0" w:space="0" w:color="auto"/>
                    <w:bottom w:val="none" w:sz="0" w:space="0" w:color="auto"/>
                    <w:right w:val="none" w:sz="0" w:space="0" w:color="auto"/>
                  </w:divBdr>
                  <w:divsChild>
                    <w:div w:id="541595326">
                      <w:marLeft w:val="0"/>
                      <w:marRight w:val="0"/>
                      <w:marTop w:val="0"/>
                      <w:marBottom w:val="0"/>
                      <w:divBdr>
                        <w:top w:val="none" w:sz="0" w:space="0" w:color="auto"/>
                        <w:left w:val="none" w:sz="0" w:space="0" w:color="auto"/>
                        <w:bottom w:val="none" w:sz="0" w:space="0" w:color="auto"/>
                        <w:right w:val="none" w:sz="0" w:space="0" w:color="auto"/>
                      </w:divBdr>
                    </w:div>
                  </w:divsChild>
                </w:div>
                <w:div w:id="238712584">
                  <w:marLeft w:val="0"/>
                  <w:marRight w:val="0"/>
                  <w:marTop w:val="0"/>
                  <w:marBottom w:val="0"/>
                  <w:divBdr>
                    <w:top w:val="none" w:sz="0" w:space="0" w:color="auto"/>
                    <w:left w:val="none" w:sz="0" w:space="0" w:color="auto"/>
                    <w:bottom w:val="none" w:sz="0" w:space="0" w:color="auto"/>
                    <w:right w:val="none" w:sz="0" w:space="0" w:color="auto"/>
                  </w:divBdr>
                  <w:divsChild>
                    <w:div w:id="40834230">
                      <w:marLeft w:val="0"/>
                      <w:marRight w:val="0"/>
                      <w:marTop w:val="0"/>
                      <w:marBottom w:val="0"/>
                      <w:divBdr>
                        <w:top w:val="none" w:sz="0" w:space="0" w:color="auto"/>
                        <w:left w:val="none" w:sz="0" w:space="0" w:color="auto"/>
                        <w:bottom w:val="none" w:sz="0" w:space="0" w:color="auto"/>
                        <w:right w:val="none" w:sz="0" w:space="0" w:color="auto"/>
                      </w:divBdr>
                    </w:div>
                  </w:divsChild>
                </w:div>
                <w:div w:id="269169288">
                  <w:marLeft w:val="0"/>
                  <w:marRight w:val="0"/>
                  <w:marTop w:val="0"/>
                  <w:marBottom w:val="0"/>
                  <w:divBdr>
                    <w:top w:val="none" w:sz="0" w:space="0" w:color="auto"/>
                    <w:left w:val="none" w:sz="0" w:space="0" w:color="auto"/>
                    <w:bottom w:val="none" w:sz="0" w:space="0" w:color="auto"/>
                    <w:right w:val="none" w:sz="0" w:space="0" w:color="auto"/>
                  </w:divBdr>
                  <w:divsChild>
                    <w:div w:id="1901094676">
                      <w:marLeft w:val="0"/>
                      <w:marRight w:val="0"/>
                      <w:marTop w:val="0"/>
                      <w:marBottom w:val="0"/>
                      <w:divBdr>
                        <w:top w:val="none" w:sz="0" w:space="0" w:color="auto"/>
                        <w:left w:val="none" w:sz="0" w:space="0" w:color="auto"/>
                        <w:bottom w:val="none" w:sz="0" w:space="0" w:color="auto"/>
                        <w:right w:val="none" w:sz="0" w:space="0" w:color="auto"/>
                      </w:divBdr>
                    </w:div>
                  </w:divsChild>
                </w:div>
                <w:div w:id="298148055">
                  <w:marLeft w:val="0"/>
                  <w:marRight w:val="0"/>
                  <w:marTop w:val="0"/>
                  <w:marBottom w:val="0"/>
                  <w:divBdr>
                    <w:top w:val="none" w:sz="0" w:space="0" w:color="auto"/>
                    <w:left w:val="none" w:sz="0" w:space="0" w:color="auto"/>
                    <w:bottom w:val="none" w:sz="0" w:space="0" w:color="auto"/>
                    <w:right w:val="none" w:sz="0" w:space="0" w:color="auto"/>
                  </w:divBdr>
                  <w:divsChild>
                    <w:div w:id="1445467038">
                      <w:marLeft w:val="0"/>
                      <w:marRight w:val="0"/>
                      <w:marTop w:val="0"/>
                      <w:marBottom w:val="0"/>
                      <w:divBdr>
                        <w:top w:val="none" w:sz="0" w:space="0" w:color="auto"/>
                        <w:left w:val="none" w:sz="0" w:space="0" w:color="auto"/>
                        <w:bottom w:val="none" w:sz="0" w:space="0" w:color="auto"/>
                        <w:right w:val="none" w:sz="0" w:space="0" w:color="auto"/>
                      </w:divBdr>
                    </w:div>
                  </w:divsChild>
                </w:div>
                <w:div w:id="304895232">
                  <w:marLeft w:val="0"/>
                  <w:marRight w:val="0"/>
                  <w:marTop w:val="0"/>
                  <w:marBottom w:val="0"/>
                  <w:divBdr>
                    <w:top w:val="none" w:sz="0" w:space="0" w:color="auto"/>
                    <w:left w:val="none" w:sz="0" w:space="0" w:color="auto"/>
                    <w:bottom w:val="none" w:sz="0" w:space="0" w:color="auto"/>
                    <w:right w:val="none" w:sz="0" w:space="0" w:color="auto"/>
                  </w:divBdr>
                  <w:divsChild>
                    <w:div w:id="951740841">
                      <w:marLeft w:val="0"/>
                      <w:marRight w:val="0"/>
                      <w:marTop w:val="0"/>
                      <w:marBottom w:val="0"/>
                      <w:divBdr>
                        <w:top w:val="none" w:sz="0" w:space="0" w:color="auto"/>
                        <w:left w:val="none" w:sz="0" w:space="0" w:color="auto"/>
                        <w:bottom w:val="none" w:sz="0" w:space="0" w:color="auto"/>
                        <w:right w:val="none" w:sz="0" w:space="0" w:color="auto"/>
                      </w:divBdr>
                    </w:div>
                  </w:divsChild>
                </w:div>
                <w:div w:id="313683203">
                  <w:marLeft w:val="0"/>
                  <w:marRight w:val="0"/>
                  <w:marTop w:val="0"/>
                  <w:marBottom w:val="0"/>
                  <w:divBdr>
                    <w:top w:val="none" w:sz="0" w:space="0" w:color="auto"/>
                    <w:left w:val="none" w:sz="0" w:space="0" w:color="auto"/>
                    <w:bottom w:val="none" w:sz="0" w:space="0" w:color="auto"/>
                    <w:right w:val="none" w:sz="0" w:space="0" w:color="auto"/>
                  </w:divBdr>
                  <w:divsChild>
                    <w:div w:id="1120033445">
                      <w:marLeft w:val="0"/>
                      <w:marRight w:val="0"/>
                      <w:marTop w:val="0"/>
                      <w:marBottom w:val="0"/>
                      <w:divBdr>
                        <w:top w:val="none" w:sz="0" w:space="0" w:color="auto"/>
                        <w:left w:val="none" w:sz="0" w:space="0" w:color="auto"/>
                        <w:bottom w:val="none" w:sz="0" w:space="0" w:color="auto"/>
                        <w:right w:val="none" w:sz="0" w:space="0" w:color="auto"/>
                      </w:divBdr>
                    </w:div>
                  </w:divsChild>
                </w:div>
                <w:div w:id="319425122">
                  <w:marLeft w:val="0"/>
                  <w:marRight w:val="0"/>
                  <w:marTop w:val="0"/>
                  <w:marBottom w:val="0"/>
                  <w:divBdr>
                    <w:top w:val="none" w:sz="0" w:space="0" w:color="auto"/>
                    <w:left w:val="none" w:sz="0" w:space="0" w:color="auto"/>
                    <w:bottom w:val="none" w:sz="0" w:space="0" w:color="auto"/>
                    <w:right w:val="none" w:sz="0" w:space="0" w:color="auto"/>
                  </w:divBdr>
                  <w:divsChild>
                    <w:div w:id="617566631">
                      <w:marLeft w:val="0"/>
                      <w:marRight w:val="0"/>
                      <w:marTop w:val="0"/>
                      <w:marBottom w:val="0"/>
                      <w:divBdr>
                        <w:top w:val="none" w:sz="0" w:space="0" w:color="auto"/>
                        <w:left w:val="none" w:sz="0" w:space="0" w:color="auto"/>
                        <w:bottom w:val="none" w:sz="0" w:space="0" w:color="auto"/>
                        <w:right w:val="none" w:sz="0" w:space="0" w:color="auto"/>
                      </w:divBdr>
                    </w:div>
                  </w:divsChild>
                </w:div>
                <w:div w:id="320743604">
                  <w:marLeft w:val="0"/>
                  <w:marRight w:val="0"/>
                  <w:marTop w:val="0"/>
                  <w:marBottom w:val="0"/>
                  <w:divBdr>
                    <w:top w:val="none" w:sz="0" w:space="0" w:color="auto"/>
                    <w:left w:val="none" w:sz="0" w:space="0" w:color="auto"/>
                    <w:bottom w:val="none" w:sz="0" w:space="0" w:color="auto"/>
                    <w:right w:val="none" w:sz="0" w:space="0" w:color="auto"/>
                  </w:divBdr>
                  <w:divsChild>
                    <w:div w:id="928463173">
                      <w:marLeft w:val="0"/>
                      <w:marRight w:val="0"/>
                      <w:marTop w:val="0"/>
                      <w:marBottom w:val="0"/>
                      <w:divBdr>
                        <w:top w:val="none" w:sz="0" w:space="0" w:color="auto"/>
                        <w:left w:val="none" w:sz="0" w:space="0" w:color="auto"/>
                        <w:bottom w:val="none" w:sz="0" w:space="0" w:color="auto"/>
                        <w:right w:val="none" w:sz="0" w:space="0" w:color="auto"/>
                      </w:divBdr>
                    </w:div>
                  </w:divsChild>
                </w:div>
                <w:div w:id="321393414">
                  <w:marLeft w:val="0"/>
                  <w:marRight w:val="0"/>
                  <w:marTop w:val="0"/>
                  <w:marBottom w:val="0"/>
                  <w:divBdr>
                    <w:top w:val="none" w:sz="0" w:space="0" w:color="auto"/>
                    <w:left w:val="none" w:sz="0" w:space="0" w:color="auto"/>
                    <w:bottom w:val="none" w:sz="0" w:space="0" w:color="auto"/>
                    <w:right w:val="none" w:sz="0" w:space="0" w:color="auto"/>
                  </w:divBdr>
                  <w:divsChild>
                    <w:div w:id="1731996739">
                      <w:marLeft w:val="0"/>
                      <w:marRight w:val="0"/>
                      <w:marTop w:val="0"/>
                      <w:marBottom w:val="0"/>
                      <w:divBdr>
                        <w:top w:val="none" w:sz="0" w:space="0" w:color="auto"/>
                        <w:left w:val="none" w:sz="0" w:space="0" w:color="auto"/>
                        <w:bottom w:val="none" w:sz="0" w:space="0" w:color="auto"/>
                        <w:right w:val="none" w:sz="0" w:space="0" w:color="auto"/>
                      </w:divBdr>
                    </w:div>
                  </w:divsChild>
                </w:div>
                <w:div w:id="323626277">
                  <w:marLeft w:val="0"/>
                  <w:marRight w:val="0"/>
                  <w:marTop w:val="0"/>
                  <w:marBottom w:val="0"/>
                  <w:divBdr>
                    <w:top w:val="none" w:sz="0" w:space="0" w:color="auto"/>
                    <w:left w:val="none" w:sz="0" w:space="0" w:color="auto"/>
                    <w:bottom w:val="none" w:sz="0" w:space="0" w:color="auto"/>
                    <w:right w:val="none" w:sz="0" w:space="0" w:color="auto"/>
                  </w:divBdr>
                  <w:divsChild>
                    <w:div w:id="948663318">
                      <w:marLeft w:val="0"/>
                      <w:marRight w:val="0"/>
                      <w:marTop w:val="0"/>
                      <w:marBottom w:val="0"/>
                      <w:divBdr>
                        <w:top w:val="none" w:sz="0" w:space="0" w:color="auto"/>
                        <w:left w:val="none" w:sz="0" w:space="0" w:color="auto"/>
                        <w:bottom w:val="none" w:sz="0" w:space="0" w:color="auto"/>
                        <w:right w:val="none" w:sz="0" w:space="0" w:color="auto"/>
                      </w:divBdr>
                    </w:div>
                  </w:divsChild>
                </w:div>
                <w:div w:id="336420107">
                  <w:marLeft w:val="0"/>
                  <w:marRight w:val="0"/>
                  <w:marTop w:val="0"/>
                  <w:marBottom w:val="0"/>
                  <w:divBdr>
                    <w:top w:val="none" w:sz="0" w:space="0" w:color="auto"/>
                    <w:left w:val="none" w:sz="0" w:space="0" w:color="auto"/>
                    <w:bottom w:val="none" w:sz="0" w:space="0" w:color="auto"/>
                    <w:right w:val="none" w:sz="0" w:space="0" w:color="auto"/>
                  </w:divBdr>
                  <w:divsChild>
                    <w:div w:id="1941139267">
                      <w:marLeft w:val="0"/>
                      <w:marRight w:val="0"/>
                      <w:marTop w:val="0"/>
                      <w:marBottom w:val="0"/>
                      <w:divBdr>
                        <w:top w:val="none" w:sz="0" w:space="0" w:color="auto"/>
                        <w:left w:val="none" w:sz="0" w:space="0" w:color="auto"/>
                        <w:bottom w:val="none" w:sz="0" w:space="0" w:color="auto"/>
                        <w:right w:val="none" w:sz="0" w:space="0" w:color="auto"/>
                      </w:divBdr>
                    </w:div>
                  </w:divsChild>
                </w:div>
                <w:div w:id="353194878">
                  <w:marLeft w:val="0"/>
                  <w:marRight w:val="0"/>
                  <w:marTop w:val="0"/>
                  <w:marBottom w:val="0"/>
                  <w:divBdr>
                    <w:top w:val="none" w:sz="0" w:space="0" w:color="auto"/>
                    <w:left w:val="none" w:sz="0" w:space="0" w:color="auto"/>
                    <w:bottom w:val="none" w:sz="0" w:space="0" w:color="auto"/>
                    <w:right w:val="none" w:sz="0" w:space="0" w:color="auto"/>
                  </w:divBdr>
                  <w:divsChild>
                    <w:div w:id="1120958696">
                      <w:marLeft w:val="0"/>
                      <w:marRight w:val="0"/>
                      <w:marTop w:val="0"/>
                      <w:marBottom w:val="0"/>
                      <w:divBdr>
                        <w:top w:val="none" w:sz="0" w:space="0" w:color="auto"/>
                        <w:left w:val="none" w:sz="0" w:space="0" w:color="auto"/>
                        <w:bottom w:val="none" w:sz="0" w:space="0" w:color="auto"/>
                        <w:right w:val="none" w:sz="0" w:space="0" w:color="auto"/>
                      </w:divBdr>
                    </w:div>
                  </w:divsChild>
                </w:div>
                <w:div w:id="358744257">
                  <w:marLeft w:val="0"/>
                  <w:marRight w:val="0"/>
                  <w:marTop w:val="0"/>
                  <w:marBottom w:val="0"/>
                  <w:divBdr>
                    <w:top w:val="none" w:sz="0" w:space="0" w:color="auto"/>
                    <w:left w:val="none" w:sz="0" w:space="0" w:color="auto"/>
                    <w:bottom w:val="none" w:sz="0" w:space="0" w:color="auto"/>
                    <w:right w:val="none" w:sz="0" w:space="0" w:color="auto"/>
                  </w:divBdr>
                  <w:divsChild>
                    <w:div w:id="927956883">
                      <w:marLeft w:val="0"/>
                      <w:marRight w:val="0"/>
                      <w:marTop w:val="0"/>
                      <w:marBottom w:val="0"/>
                      <w:divBdr>
                        <w:top w:val="none" w:sz="0" w:space="0" w:color="auto"/>
                        <w:left w:val="none" w:sz="0" w:space="0" w:color="auto"/>
                        <w:bottom w:val="none" w:sz="0" w:space="0" w:color="auto"/>
                        <w:right w:val="none" w:sz="0" w:space="0" w:color="auto"/>
                      </w:divBdr>
                    </w:div>
                    <w:div w:id="1207328114">
                      <w:marLeft w:val="0"/>
                      <w:marRight w:val="0"/>
                      <w:marTop w:val="0"/>
                      <w:marBottom w:val="0"/>
                      <w:divBdr>
                        <w:top w:val="none" w:sz="0" w:space="0" w:color="auto"/>
                        <w:left w:val="none" w:sz="0" w:space="0" w:color="auto"/>
                        <w:bottom w:val="none" w:sz="0" w:space="0" w:color="auto"/>
                        <w:right w:val="none" w:sz="0" w:space="0" w:color="auto"/>
                      </w:divBdr>
                    </w:div>
                  </w:divsChild>
                </w:div>
                <w:div w:id="362638223">
                  <w:marLeft w:val="0"/>
                  <w:marRight w:val="0"/>
                  <w:marTop w:val="0"/>
                  <w:marBottom w:val="0"/>
                  <w:divBdr>
                    <w:top w:val="none" w:sz="0" w:space="0" w:color="auto"/>
                    <w:left w:val="none" w:sz="0" w:space="0" w:color="auto"/>
                    <w:bottom w:val="none" w:sz="0" w:space="0" w:color="auto"/>
                    <w:right w:val="none" w:sz="0" w:space="0" w:color="auto"/>
                  </w:divBdr>
                  <w:divsChild>
                    <w:div w:id="1757555662">
                      <w:marLeft w:val="0"/>
                      <w:marRight w:val="0"/>
                      <w:marTop w:val="0"/>
                      <w:marBottom w:val="0"/>
                      <w:divBdr>
                        <w:top w:val="none" w:sz="0" w:space="0" w:color="auto"/>
                        <w:left w:val="none" w:sz="0" w:space="0" w:color="auto"/>
                        <w:bottom w:val="none" w:sz="0" w:space="0" w:color="auto"/>
                        <w:right w:val="none" w:sz="0" w:space="0" w:color="auto"/>
                      </w:divBdr>
                    </w:div>
                  </w:divsChild>
                </w:div>
                <w:div w:id="364330964">
                  <w:marLeft w:val="0"/>
                  <w:marRight w:val="0"/>
                  <w:marTop w:val="0"/>
                  <w:marBottom w:val="0"/>
                  <w:divBdr>
                    <w:top w:val="none" w:sz="0" w:space="0" w:color="auto"/>
                    <w:left w:val="none" w:sz="0" w:space="0" w:color="auto"/>
                    <w:bottom w:val="none" w:sz="0" w:space="0" w:color="auto"/>
                    <w:right w:val="none" w:sz="0" w:space="0" w:color="auto"/>
                  </w:divBdr>
                  <w:divsChild>
                    <w:div w:id="1580554110">
                      <w:marLeft w:val="0"/>
                      <w:marRight w:val="0"/>
                      <w:marTop w:val="0"/>
                      <w:marBottom w:val="0"/>
                      <w:divBdr>
                        <w:top w:val="none" w:sz="0" w:space="0" w:color="auto"/>
                        <w:left w:val="none" w:sz="0" w:space="0" w:color="auto"/>
                        <w:bottom w:val="none" w:sz="0" w:space="0" w:color="auto"/>
                        <w:right w:val="none" w:sz="0" w:space="0" w:color="auto"/>
                      </w:divBdr>
                    </w:div>
                  </w:divsChild>
                </w:div>
                <w:div w:id="386800872">
                  <w:marLeft w:val="0"/>
                  <w:marRight w:val="0"/>
                  <w:marTop w:val="0"/>
                  <w:marBottom w:val="0"/>
                  <w:divBdr>
                    <w:top w:val="none" w:sz="0" w:space="0" w:color="auto"/>
                    <w:left w:val="none" w:sz="0" w:space="0" w:color="auto"/>
                    <w:bottom w:val="none" w:sz="0" w:space="0" w:color="auto"/>
                    <w:right w:val="none" w:sz="0" w:space="0" w:color="auto"/>
                  </w:divBdr>
                  <w:divsChild>
                    <w:div w:id="1605722776">
                      <w:marLeft w:val="0"/>
                      <w:marRight w:val="0"/>
                      <w:marTop w:val="0"/>
                      <w:marBottom w:val="0"/>
                      <w:divBdr>
                        <w:top w:val="none" w:sz="0" w:space="0" w:color="auto"/>
                        <w:left w:val="none" w:sz="0" w:space="0" w:color="auto"/>
                        <w:bottom w:val="none" w:sz="0" w:space="0" w:color="auto"/>
                        <w:right w:val="none" w:sz="0" w:space="0" w:color="auto"/>
                      </w:divBdr>
                    </w:div>
                  </w:divsChild>
                </w:div>
                <w:div w:id="387999191">
                  <w:marLeft w:val="0"/>
                  <w:marRight w:val="0"/>
                  <w:marTop w:val="0"/>
                  <w:marBottom w:val="0"/>
                  <w:divBdr>
                    <w:top w:val="none" w:sz="0" w:space="0" w:color="auto"/>
                    <w:left w:val="none" w:sz="0" w:space="0" w:color="auto"/>
                    <w:bottom w:val="none" w:sz="0" w:space="0" w:color="auto"/>
                    <w:right w:val="none" w:sz="0" w:space="0" w:color="auto"/>
                  </w:divBdr>
                  <w:divsChild>
                    <w:div w:id="653797042">
                      <w:marLeft w:val="0"/>
                      <w:marRight w:val="0"/>
                      <w:marTop w:val="0"/>
                      <w:marBottom w:val="0"/>
                      <w:divBdr>
                        <w:top w:val="none" w:sz="0" w:space="0" w:color="auto"/>
                        <w:left w:val="none" w:sz="0" w:space="0" w:color="auto"/>
                        <w:bottom w:val="none" w:sz="0" w:space="0" w:color="auto"/>
                        <w:right w:val="none" w:sz="0" w:space="0" w:color="auto"/>
                      </w:divBdr>
                    </w:div>
                  </w:divsChild>
                </w:div>
                <w:div w:id="390035005">
                  <w:marLeft w:val="0"/>
                  <w:marRight w:val="0"/>
                  <w:marTop w:val="0"/>
                  <w:marBottom w:val="0"/>
                  <w:divBdr>
                    <w:top w:val="none" w:sz="0" w:space="0" w:color="auto"/>
                    <w:left w:val="none" w:sz="0" w:space="0" w:color="auto"/>
                    <w:bottom w:val="none" w:sz="0" w:space="0" w:color="auto"/>
                    <w:right w:val="none" w:sz="0" w:space="0" w:color="auto"/>
                  </w:divBdr>
                  <w:divsChild>
                    <w:div w:id="173419954">
                      <w:marLeft w:val="0"/>
                      <w:marRight w:val="0"/>
                      <w:marTop w:val="0"/>
                      <w:marBottom w:val="0"/>
                      <w:divBdr>
                        <w:top w:val="none" w:sz="0" w:space="0" w:color="auto"/>
                        <w:left w:val="none" w:sz="0" w:space="0" w:color="auto"/>
                        <w:bottom w:val="none" w:sz="0" w:space="0" w:color="auto"/>
                        <w:right w:val="none" w:sz="0" w:space="0" w:color="auto"/>
                      </w:divBdr>
                    </w:div>
                  </w:divsChild>
                </w:div>
                <w:div w:id="393703034">
                  <w:marLeft w:val="0"/>
                  <w:marRight w:val="0"/>
                  <w:marTop w:val="0"/>
                  <w:marBottom w:val="0"/>
                  <w:divBdr>
                    <w:top w:val="none" w:sz="0" w:space="0" w:color="auto"/>
                    <w:left w:val="none" w:sz="0" w:space="0" w:color="auto"/>
                    <w:bottom w:val="none" w:sz="0" w:space="0" w:color="auto"/>
                    <w:right w:val="none" w:sz="0" w:space="0" w:color="auto"/>
                  </w:divBdr>
                  <w:divsChild>
                    <w:div w:id="1459451713">
                      <w:marLeft w:val="0"/>
                      <w:marRight w:val="0"/>
                      <w:marTop w:val="0"/>
                      <w:marBottom w:val="0"/>
                      <w:divBdr>
                        <w:top w:val="none" w:sz="0" w:space="0" w:color="auto"/>
                        <w:left w:val="none" w:sz="0" w:space="0" w:color="auto"/>
                        <w:bottom w:val="none" w:sz="0" w:space="0" w:color="auto"/>
                        <w:right w:val="none" w:sz="0" w:space="0" w:color="auto"/>
                      </w:divBdr>
                    </w:div>
                  </w:divsChild>
                </w:div>
                <w:div w:id="403383709">
                  <w:marLeft w:val="0"/>
                  <w:marRight w:val="0"/>
                  <w:marTop w:val="0"/>
                  <w:marBottom w:val="0"/>
                  <w:divBdr>
                    <w:top w:val="none" w:sz="0" w:space="0" w:color="auto"/>
                    <w:left w:val="none" w:sz="0" w:space="0" w:color="auto"/>
                    <w:bottom w:val="none" w:sz="0" w:space="0" w:color="auto"/>
                    <w:right w:val="none" w:sz="0" w:space="0" w:color="auto"/>
                  </w:divBdr>
                  <w:divsChild>
                    <w:div w:id="934166223">
                      <w:marLeft w:val="0"/>
                      <w:marRight w:val="0"/>
                      <w:marTop w:val="0"/>
                      <w:marBottom w:val="0"/>
                      <w:divBdr>
                        <w:top w:val="none" w:sz="0" w:space="0" w:color="auto"/>
                        <w:left w:val="none" w:sz="0" w:space="0" w:color="auto"/>
                        <w:bottom w:val="none" w:sz="0" w:space="0" w:color="auto"/>
                        <w:right w:val="none" w:sz="0" w:space="0" w:color="auto"/>
                      </w:divBdr>
                    </w:div>
                  </w:divsChild>
                </w:div>
                <w:div w:id="404685900">
                  <w:marLeft w:val="0"/>
                  <w:marRight w:val="0"/>
                  <w:marTop w:val="0"/>
                  <w:marBottom w:val="0"/>
                  <w:divBdr>
                    <w:top w:val="none" w:sz="0" w:space="0" w:color="auto"/>
                    <w:left w:val="none" w:sz="0" w:space="0" w:color="auto"/>
                    <w:bottom w:val="none" w:sz="0" w:space="0" w:color="auto"/>
                    <w:right w:val="none" w:sz="0" w:space="0" w:color="auto"/>
                  </w:divBdr>
                  <w:divsChild>
                    <w:div w:id="1498768809">
                      <w:marLeft w:val="0"/>
                      <w:marRight w:val="0"/>
                      <w:marTop w:val="0"/>
                      <w:marBottom w:val="0"/>
                      <w:divBdr>
                        <w:top w:val="none" w:sz="0" w:space="0" w:color="auto"/>
                        <w:left w:val="none" w:sz="0" w:space="0" w:color="auto"/>
                        <w:bottom w:val="none" w:sz="0" w:space="0" w:color="auto"/>
                        <w:right w:val="none" w:sz="0" w:space="0" w:color="auto"/>
                      </w:divBdr>
                    </w:div>
                  </w:divsChild>
                </w:div>
                <w:div w:id="411241461">
                  <w:marLeft w:val="0"/>
                  <w:marRight w:val="0"/>
                  <w:marTop w:val="0"/>
                  <w:marBottom w:val="0"/>
                  <w:divBdr>
                    <w:top w:val="none" w:sz="0" w:space="0" w:color="auto"/>
                    <w:left w:val="none" w:sz="0" w:space="0" w:color="auto"/>
                    <w:bottom w:val="none" w:sz="0" w:space="0" w:color="auto"/>
                    <w:right w:val="none" w:sz="0" w:space="0" w:color="auto"/>
                  </w:divBdr>
                  <w:divsChild>
                    <w:div w:id="1693529739">
                      <w:marLeft w:val="0"/>
                      <w:marRight w:val="0"/>
                      <w:marTop w:val="0"/>
                      <w:marBottom w:val="0"/>
                      <w:divBdr>
                        <w:top w:val="none" w:sz="0" w:space="0" w:color="auto"/>
                        <w:left w:val="none" w:sz="0" w:space="0" w:color="auto"/>
                        <w:bottom w:val="none" w:sz="0" w:space="0" w:color="auto"/>
                        <w:right w:val="none" w:sz="0" w:space="0" w:color="auto"/>
                      </w:divBdr>
                    </w:div>
                  </w:divsChild>
                </w:div>
                <w:div w:id="426969338">
                  <w:marLeft w:val="0"/>
                  <w:marRight w:val="0"/>
                  <w:marTop w:val="0"/>
                  <w:marBottom w:val="0"/>
                  <w:divBdr>
                    <w:top w:val="none" w:sz="0" w:space="0" w:color="auto"/>
                    <w:left w:val="none" w:sz="0" w:space="0" w:color="auto"/>
                    <w:bottom w:val="none" w:sz="0" w:space="0" w:color="auto"/>
                    <w:right w:val="none" w:sz="0" w:space="0" w:color="auto"/>
                  </w:divBdr>
                  <w:divsChild>
                    <w:div w:id="89860613">
                      <w:marLeft w:val="0"/>
                      <w:marRight w:val="0"/>
                      <w:marTop w:val="0"/>
                      <w:marBottom w:val="0"/>
                      <w:divBdr>
                        <w:top w:val="none" w:sz="0" w:space="0" w:color="auto"/>
                        <w:left w:val="none" w:sz="0" w:space="0" w:color="auto"/>
                        <w:bottom w:val="none" w:sz="0" w:space="0" w:color="auto"/>
                        <w:right w:val="none" w:sz="0" w:space="0" w:color="auto"/>
                      </w:divBdr>
                    </w:div>
                  </w:divsChild>
                </w:div>
                <w:div w:id="440804643">
                  <w:marLeft w:val="0"/>
                  <w:marRight w:val="0"/>
                  <w:marTop w:val="0"/>
                  <w:marBottom w:val="0"/>
                  <w:divBdr>
                    <w:top w:val="none" w:sz="0" w:space="0" w:color="auto"/>
                    <w:left w:val="none" w:sz="0" w:space="0" w:color="auto"/>
                    <w:bottom w:val="none" w:sz="0" w:space="0" w:color="auto"/>
                    <w:right w:val="none" w:sz="0" w:space="0" w:color="auto"/>
                  </w:divBdr>
                  <w:divsChild>
                    <w:div w:id="1340041831">
                      <w:marLeft w:val="0"/>
                      <w:marRight w:val="0"/>
                      <w:marTop w:val="0"/>
                      <w:marBottom w:val="0"/>
                      <w:divBdr>
                        <w:top w:val="none" w:sz="0" w:space="0" w:color="auto"/>
                        <w:left w:val="none" w:sz="0" w:space="0" w:color="auto"/>
                        <w:bottom w:val="none" w:sz="0" w:space="0" w:color="auto"/>
                        <w:right w:val="none" w:sz="0" w:space="0" w:color="auto"/>
                      </w:divBdr>
                    </w:div>
                  </w:divsChild>
                </w:div>
                <w:div w:id="445388972">
                  <w:marLeft w:val="0"/>
                  <w:marRight w:val="0"/>
                  <w:marTop w:val="0"/>
                  <w:marBottom w:val="0"/>
                  <w:divBdr>
                    <w:top w:val="none" w:sz="0" w:space="0" w:color="auto"/>
                    <w:left w:val="none" w:sz="0" w:space="0" w:color="auto"/>
                    <w:bottom w:val="none" w:sz="0" w:space="0" w:color="auto"/>
                    <w:right w:val="none" w:sz="0" w:space="0" w:color="auto"/>
                  </w:divBdr>
                  <w:divsChild>
                    <w:div w:id="1090128677">
                      <w:marLeft w:val="0"/>
                      <w:marRight w:val="0"/>
                      <w:marTop w:val="0"/>
                      <w:marBottom w:val="0"/>
                      <w:divBdr>
                        <w:top w:val="none" w:sz="0" w:space="0" w:color="auto"/>
                        <w:left w:val="none" w:sz="0" w:space="0" w:color="auto"/>
                        <w:bottom w:val="none" w:sz="0" w:space="0" w:color="auto"/>
                        <w:right w:val="none" w:sz="0" w:space="0" w:color="auto"/>
                      </w:divBdr>
                    </w:div>
                  </w:divsChild>
                </w:div>
                <w:div w:id="452795414">
                  <w:marLeft w:val="0"/>
                  <w:marRight w:val="0"/>
                  <w:marTop w:val="0"/>
                  <w:marBottom w:val="0"/>
                  <w:divBdr>
                    <w:top w:val="none" w:sz="0" w:space="0" w:color="auto"/>
                    <w:left w:val="none" w:sz="0" w:space="0" w:color="auto"/>
                    <w:bottom w:val="none" w:sz="0" w:space="0" w:color="auto"/>
                    <w:right w:val="none" w:sz="0" w:space="0" w:color="auto"/>
                  </w:divBdr>
                  <w:divsChild>
                    <w:div w:id="112797296">
                      <w:marLeft w:val="0"/>
                      <w:marRight w:val="0"/>
                      <w:marTop w:val="0"/>
                      <w:marBottom w:val="0"/>
                      <w:divBdr>
                        <w:top w:val="none" w:sz="0" w:space="0" w:color="auto"/>
                        <w:left w:val="none" w:sz="0" w:space="0" w:color="auto"/>
                        <w:bottom w:val="none" w:sz="0" w:space="0" w:color="auto"/>
                        <w:right w:val="none" w:sz="0" w:space="0" w:color="auto"/>
                      </w:divBdr>
                    </w:div>
                  </w:divsChild>
                </w:div>
                <w:div w:id="457842961">
                  <w:marLeft w:val="0"/>
                  <w:marRight w:val="0"/>
                  <w:marTop w:val="0"/>
                  <w:marBottom w:val="0"/>
                  <w:divBdr>
                    <w:top w:val="none" w:sz="0" w:space="0" w:color="auto"/>
                    <w:left w:val="none" w:sz="0" w:space="0" w:color="auto"/>
                    <w:bottom w:val="none" w:sz="0" w:space="0" w:color="auto"/>
                    <w:right w:val="none" w:sz="0" w:space="0" w:color="auto"/>
                  </w:divBdr>
                  <w:divsChild>
                    <w:div w:id="966425292">
                      <w:marLeft w:val="0"/>
                      <w:marRight w:val="0"/>
                      <w:marTop w:val="0"/>
                      <w:marBottom w:val="0"/>
                      <w:divBdr>
                        <w:top w:val="none" w:sz="0" w:space="0" w:color="auto"/>
                        <w:left w:val="none" w:sz="0" w:space="0" w:color="auto"/>
                        <w:bottom w:val="none" w:sz="0" w:space="0" w:color="auto"/>
                        <w:right w:val="none" w:sz="0" w:space="0" w:color="auto"/>
                      </w:divBdr>
                    </w:div>
                  </w:divsChild>
                </w:div>
                <w:div w:id="472718161">
                  <w:marLeft w:val="0"/>
                  <w:marRight w:val="0"/>
                  <w:marTop w:val="0"/>
                  <w:marBottom w:val="0"/>
                  <w:divBdr>
                    <w:top w:val="none" w:sz="0" w:space="0" w:color="auto"/>
                    <w:left w:val="none" w:sz="0" w:space="0" w:color="auto"/>
                    <w:bottom w:val="none" w:sz="0" w:space="0" w:color="auto"/>
                    <w:right w:val="none" w:sz="0" w:space="0" w:color="auto"/>
                  </w:divBdr>
                  <w:divsChild>
                    <w:div w:id="1287933648">
                      <w:marLeft w:val="0"/>
                      <w:marRight w:val="0"/>
                      <w:marTop w:val="0"/>
                      <w:marBottom w:val="0"/>
                      <w:divBdr>
                        <w:top w:val="none" w:sz="0" w:space="0" w:color="auto"/>
                        <w:left w:val="none" w:sz="0" w:space="0" w:color="auto"/>
                        <w:bottom w:val="none" w:sz="0" w:space="0" w:color="auto"/>
                        <w:right w:val="none" w:sz="0" w:space="0" w:color="auto"/>
                      </w:divBdr>
                    </w:div>
                    <w:div w:id="1829517348">
                      <w:marLeft w:val="0"/>
                      <w:marRight w:val="0"/>
                      <w:marTop w:val="0"/>
                      <w:marBottom w:val="0"/>
                      <w:divBdr>
                        <w:top w:val="none" w:sz="0" w:space="0" w:color="auto"/>
                        <w:left w:val="none" w:sz="0" w:space="0" w:color="auto"/>
                        <w:bottom w:val="none" w:sz="0" w:space="0" w:color="auto"/>
                        <w:right w:val="none" w:sz="0" w:space="0" w:color="auto"/>
                      </w:divBdr>
                    </w:div>
                  </w:divsChild>
                </w:div>
                <w:div w:id="493617728">
                  <w:marLeft w:val="0"/>
                  <w:marRight w:val="0"/>
                  <w:marTop w:val="0"/>
                  <w:marBottom w:val="0"/>
                  <w:divBdr>
                    <w:top w:val="none" w:sz="0" w:space="0" w:color="auto"/>
                    <w:left w:val="none" w:sz="0" w:space="0" w:color="auto"/>
                    <w:bottom w:val="none" w:sz="0" w:space="0" w:color="auto"/>
                    <w:right w:val="none" w:sz="0" w:space="0" w:color="auto"/>
                  </w:divBdr>
                  <w:divsChild>
                    <w:div w:id="1049036618">
                      <w:marLeft w:val="0"/>
                      <w:marRight w:val="0"/>
                      <w:marTop w:val="0"/>
                      <w:marBottom w:val="0"/>
                      <w:divBdr>
                        <w:top w:val="none" w:sz="0" w:space="0" w:color="auto"/>
                        <w:left w:val="none" w:sz="0" w:space="0" w:color="auto"/>
                        <w:bottom w:val="none" w:sz="0" w:space="0" w:color="auto"/>
                        <w:right w:val="none" w:sz="0" w:space="0" w:color="auto"/>
                      </w:divBdr>
                    </w:div>
                  </w:divsChild>
                </w:div>
                <w:div w:id="514804971">
                  <w:marLeft w:val="0"/>
                  <w:marRight w:val="0"/>
                  <w:marTop w:val="0"/>
                  <w:marBottom w:val="0"/>
                  <w:divBdr>
                    <w:top w:val="none" w:sz="0" w:space="0" w:color="auto"/>
                    <w:left w:val="none" w:sz="0" w:space="0" w:color="auto"/>
                    <w:bottom w:val="none" w:sz="0" w:space="0" w:color="auto"/>
                    <w:right w:val="none" w:sz="0" w:space="0" w:color="auto"/>
                  </w:divBdr>
                  <w:divsChild>
                    <w:div w:id="661810234">
                      <w:marLeft w:val="0"/>
                      <w:marRight w:val="0"/>
                      <w:marTop w:val="0"/>
                      <w:marBottom w:val="0"/>
                      <w:divBdr>
                        <w:top w:val="none" w:sz="0" w:space="0" w:color="auto"/>
                        <w:left w:val="none" w:sz="0" w:space="0" w:color="auto"/>
                        <w:bottom w:val="none" w:sz="0" w:space="0" w:color="auto"/>
                        <w:right w:val="none" w:sz="0" w:space="0" w:color="auto"/>
                      </w:divBdr>
                    </w:div>
                  </w:divsChild>
                </w:div>
                <w:div w:id="535703735">
                  <w:marLeft w:val="0"/>
                  <w:marRight w:val="0"/>
                  <w:marTop w:val="0"/>
                  <w:marBottom w:val="0"/>
                  <w:divBdr>
                    <w:top w:val="none" w:sz="0" w:space="0" w:color="auto"/>
                    <w:left w:val="none" w:sz="0" w:space="0" w:color="auto"/>
                    <w:bottom w:val="none" w:sz="0" w:space="0" w:color="auto"/>
                    <w:right w:val="none" w:sz="0" w:space="0" w:color="auto"/>
                  </w:divBdr>
                  <w:divsChild>
                    <w:div w:id="596989438">
                      <w:marLeft w:val="0"/>
                      <w:marRight w:val="0"/>
                      <w:marTop w:val="0"/>
                      <w:marBottom w:val="0"/>
                      <w:divBdr>
                        <w:top w:val="none" w:sz="0" w:space="0" w:color="auto"/>
                        <w:left w:val="none" w:sz="0" w:space="0" w:color="auto"/>
                        <w:bottom w:val="none" w:sz="0" w:space="0" w:color="auto"/>
                        <w:right w:val="none" w:sz="0" w:space="0" w:color="auto"/>
                      </w:divBdr>
                    </w:div>
                  </w:divsChild>
                </w:div>
                <w:div w:id="559099218">
                  <w:marLeft w:val="0"/>
                  <w:marRight w:val="0"/>
                  <w:marTop w:val="0"/>
                  <w:marBottom w:val="0"/>
                  <w:divBdr>
                    <w:top w:val="none" w:sz="0" w:space="0" w:color="auto"/>
                    <w:left w:val="none" w:sz="0" w:space="0" w:color="auto"/>
                    <w:bottom w:val="none" w:sz="0" w:space="0" w:color="auto"/>
                    <w:right w:val="none" w:sz="0" w:space="0" w:color="auto"/>
                  </w:divBdr>
                  <w:divsChild>
                    <w:div w:id="425853693">
                      <w:marLeft w:val="0"/>
                      <w:marRight w:val="0"/>
                      <w:marTop w:val="0"/>
                      <w:marBottom w:val="0"/>
                      <w:divBdr>
                        <w:top w:val="none" w:sz="0" w:space="0" w:color="auto"/>
                        <w:left w:val="none" w:sz="0" w:space="0" w:color="auto"/>
                        <w:bottom w:val="none" w:sz="0" w:space="0" w:color="auto"/>
                        <w:right w:val="none" w:sz="0" w:space="0" w:color="auto"/>
                      </w:divBdr>
                    </w:div>
                  </w:divsChild>
                </w:div>
                <w:div w:id="562565692">
                  <w:marLeft w:val="0"/>
                  <w:marRight w:val="0"/>
                  <w:marTop w:val="0"/>
                  <w:marBottom w:val="0"/>
                  <w:divBdr>
                    <w:top w:val="none" w:sz="0" w:space="0" w:color="auto"/>
                    <w:left w:val="none" w:sz="0" w:space="0" w:color="auto"/>
                    <w:bottom w:val="none" w:sz="0" w:space="0" w:color="auto"/>
                    <w:right w:val="none" w:sz="0" w:space="0" w:color="auto"/>
                  </w:divBdr>
                  <w:divsChild>
                    <w:div w:id="122191485">
                      <w:marLeft w:val="0"/>
                      <w:marRight w:val="0"/>
                      <w:marTop w:val="0"/>
                      <w:marBottom w:val="0"/>
                      <w:divBdr>
                        <w:top w:val="none" w:sz="0" w:space="0" w:color="auto"/>
                        <w:left w:val="none" w:sz="0" w:space="0" w:color="auto"/>
                        <w:bottom w:val="none" w:sz="0" w:space="0" w:color="auto"/>
                        <w:right w:val="none" w:sz="0" w:space="0" w:color="auto"/>
                      </w:divBdr>
                    </w:div>
                  </w:divsChild>
                </w:div>
                <w:div w:id="572470378">
                  <w:marLeft w:val="0"/>
                  <w:marRight w:val="0"/>
                  <w:marTop w:val="0"/>
                  <w:marBottom w:val="0"/>
                  <w:divBdr>
                    <w:top w:val="none" w:sz="0" w:space="0" w:color="auto"/>
                    <w:left w:val="none" w:sz="0" w:space="0" w:color="auto"/>
                    <w:bottom w:val="none" w:sz="0" w:space="0" w:color="auto"/>
                    <w:right w:val="none" w:sz="0" w:space="0" w:color="auto"/>
                  </w:divBdr>
                  <w:divsChild>
                    <w:div w:id="1480266154">
                      <w:marLeft w:val="0"/>
                      <w:marRight w:val="0"/>
                      <w:marTop w:val="0"/>
                      <w:marBottom w:val="0"/>
                      <w:divBdr>
                        <w:top w:val="none" w:sz="0" w:space="0" w:color="auto"/>
                        <w:left w:val="none" w:sz="0" w:space="0" w:color="auto"/>
                        <w:bottom w:val="none" w:sz="0" w:space="0" w:color="auto"/>
                        <w:right w:val="none" w:sz="0" w:space="0" w:color="auto"/>
                      </w:divBdr>
                    </w:div>
                  </w:divsChild>
                </w:div>
                <w:div w:id="579559069">
                  <w:marLeft w:val="0"/>
                  <w:marRight w:val="0"/>
                  <w:marTop w:val="0"/>
                  <w:marBottom w:val="0"/>
                  <w:divBdr>
                    <w:top w:val="none" w:sz="0" w:space="0" w:color="auto"/>
                    <w:left w:val="none" w:sz="0" w:space="0" w:color="auto"/>
                    <w:bottom w:val="none" w:sz="0" w:space="0" w:color="auto"/>
                    <w:right w:val="none" w:sz="0" w:space="0" w:color="auto"/>
                  </w:divBdr>
                  <w:divsChild>
                    <w:div w:id="1773473931">
                      <w:marLeft w:val="0"/>
                      <w:marRight w:val="0"/>
                      <w:marTop w:val="0"/>
                      <w:marBottom w:val="0"/>
                      <w:divBdr>
                        <w:top w:val="none" w:sz="0" w:space="0" w:color="auto"/>
                        <w:left w:val="none" w:sz="0" w:space="0" w:color="auto"/>
                        <w:bottom w:val="none" w:sz="0" w:space="0" w:color="auto"/>
                        <w:right w:val="none" w:sz="0" w:space="0" w:color="auto"/>
                      </w:divBdr>
                    </w:div>
                  </w:divsChild>
                </w:div>
                <w:div w:id="587691919">
                  <w:marLeft w:val="0"/>
                  <w:marRight w:val="0"/>
                  <w:marTop w:val="0"/>
                  <w:marBottom w:val="0"/>
                  <w:divBdr>
                    <w:top w:val="none" w:sz="0" w:space="0" w:color="auto"/>
                    <w:left w:val="none" w:sz="0" w:space="0" w:color="auto"/>
                    <w:bottom w:val="none" w:sz="0" w:space="0" w:color="auto"/>
                    <w:right w:val="none" w:sz="0" w:space="0" w:color="auto"/>
                  </w:divBdr>
                  <w:divsChild>
                    <w:div w:id="250549831">
                      <w:marLeft w:val="0"/>
                      <w:marRight w:val="0"/>
                      <w:marTop w:val="0"/>
                      <w:marBottom w:val="0"/>
                      <w:divBdr>
                        <w:top w:val="none" w:sz="0" w:space="0" w:color="auto"/>
                        <w:left w:val="none" w:sz="0" w:space="0" w:color="auto"/>
                        <w:bottom w:val="none" w:sz="0" w:space="0" w:color="auto"/>
                        <w:right w:val="none" w:sz="0" w:space="0" w:color="auto"/>
                      </w:divBdr>
                    </w:div>
                  </w:divsChild>
                </w:div>
                <w:div w:id="588276646">
                  <w:marLeft w:val="0"/>
                  <w:marRight w:val="0"/>
                  <w:marTop w:val="0"/>
                  <w:marBottom w:val="0"/>
                  <w:divBdr>
                    <w:top w:val="none" w:sz="0" w:space="0" w:color="auto"/>
                    <w:left w:val="none" w:sz="0" w:space="0" w:color="auto"/>
                    <w:bottom w:val="none" w:sz="0" w:space="0" w:color="auto"/>
                    <w:right w:val="none" w:sz="0" w:space="0" w:color="auto"/>
                  </w:divBdr>
                  <w:divsChild>
                    <w:div w:id="660155970">
                      <w:marLeft w:val="0"/>
                      <w:marRight w:val="0"/>
                      <w:marTop w:val="0"/>
                      <w:marBottom w:val="0"/>
                      <w:divBdr>
                        <w:top w:val="none" w:sz="0" w:space="0" w:color="auto"/>
                        <w:left w:val="none" w:sz="0" w:space="0" w:color="auto"/>
                        <w:bottom w:val="none" w:sz="0" w:space="0" w:color="auto"/>
                        <w:right w:val="none" w:sz="0" w:space="0" w:color="auto"/>
                      </w:divBdr>
                    </w:div>
                  </w:divsChild>
                </w:div>
                <w:div w:id="600070026">
                  <w:marLeft w:val="0"/>
                  <w:marRight w:val="0"/>
                  <w:marTop w:val="0"/>
                  <w:marBottom w:val="0"/>
                  <w:divBdr>
                    <w:top w:val="none" w:sz="0" w:space="0" w:color="auto"/>
                    <w:left w:val="none" w:sz="0" w:space="0" w:color="auto"/>
                    <w:bottom w:val="none" w:sz="0" w:space="0" w:color="auto"/>
                    <w:right w:val="none" w:sz="0" w:space="0" w:color="auto"/>
                  </w:divBdr>
                  <w:divsChild>
                    <w:div w:id="2092195647">
                      <w:marLeft w:val="0"/>
                      <w:marRight w:val="0"/>
                      <w:marTop w:val="0"/>
                      <w:marBottom w:val="0"/>
                      <w:divBdr>
                        <w:top w:val="none" w:sz="0" w:space="0" w:color="auto"/>
                        <w:left w:val="none" w:sz="0" w:space="0" w:color="auto"/>
                        <w:bottom w:val="none" w:sz="0" w:space="0" w:color="auto"/>
                        <w:right w:val="none" w:sz="0" w:space="0" w:color="auto"/>
                      </w:divBdr>
                    </w:div>
                  </w:divsChild>
                </w:div>
                <w:div w:id="600380228">
                  <w:marLeft w:val="0"/>
                  <w:marRight w:val="0"/>
                  <w:marTop w:val="0"/>
                  <w:marBottom w:val="0"/>
                  <w:divBdr>
                    <w:top w:val="none" w:sz="0" w:space="0" w:color="auto"/>
                    <w:left w:val="none" w:sz="0" w:space="0" w:color="auto"/>
                    <w:bottom w:val="none" w:sz="0" w:space="0" w:color="auto"/>
                    <w:right w:val="none" w:sz="0" w:space="0" w:color="auto"/>
                  </w:divBdr>
                  <w:divsChild>
                    <w:div w:id="2075079858">
                      <w:marLeft w:val="0"/>
                      <w:marRight w:val="0"/>
                      <w:marTop w:val="0"/>
                      <w:marBottom w:val="0"/>
                      <w:divBdr>
                        <w:top w:val="none" w:sz="0" w:space="0" w:color="auto"/>
                        <w:left w:val="none" w:sz="0" w:space="0" w:color="auto"/>
                        <w:bottom w:val="none" w:sz="0" w:space="0" w:color="auto"/>
                        <w:right w:val="none" w:sz="0" w:space="0" w:color="auto"/>
                      </w:divBdr>
                    </w:div>
                  </w:divsChild>
                </w:div>
                <w:div w:id="603224150">
                  <w:marLeft w:val="0"/>
                  <w:marRight w:val="0"/>
                  <w:marTop w:val="0"/>
                  <w:marBottom w:val="0"/>
                  <w:divBdr>
                    <w:top w:val="none" w:sz="0" w:space="0" w:color="auto"/>
                    <w:left w:val="none" w:sz="0" w:space="0" w:color="auto"/>
                    <w:bottom w:val="none" w:sz="0" w:space="0" w:color="auto"/>
                    <w:right w:val="none" w:sz="0" w:space="0" w:color="auto"/>
                  </w:divBdr>
                  <w:divsChild>
                    <w:div w:id="1203397199">
                      <w:marLeft w:val="0"/>
                      <w:marRight w:val="0"/>
                      <w:marTop w:val="0"/>
                      <w:marBottom w:val="0"/>
                      <w:divBdr>
                        <w:top w:val="none" w:sz="0" w:space="0" w:color="auto"/>
                        <w:left w:val="none" w:sz="0" w:space="0" w:color="auto"/>
                        <w:bottom w:val="none" w:sz="0" w:space="0" w:color="auto"/>
                        <w:right w:val="none" w:sz="0" w:space="0" w:color="auto"/>
                      </w:divBdr>
                    </w:div>
                  </w:divsChild>
                </w:div>
                <w:div w:id="609318126">
                  <w:marLeft w:val="0"/>
                  <w:marRight w:val="0"/>
                  <w:marTop w:val="0"/>
                  <w:marBottom w:val="0"/>
                  <w:divBdr>
                    <w:top w:val="none" w:sz="0" w:space="0" w:color="auto"/>
                    <w:left w:val="none" w:sz="0" w:space="0" w:color="auto"/>
                    <w:bottom w:val="none" w:sz="0" w:space="0" w:color="auto"/>
                    <w:right w:val="none" w:sz="0" w:space="0" w:color="auto"/>
                  </w:divBdr>
                  <w:divsChild>
                    <w:div w:id="1993482797">
                      <w:marLeft w:val="0"/>
                      <w:marRight w:val="0"/>
                      <w:marTop w:val="0"/>
                      <w:marBottom w:val="0"/>
                      <w:divBdr>
                        <w:top w:val="none" w:sz="0" w:space="0" w:color="auto"/>
                        <w:left w:val="none" w:sz="0" w:space="0" w:color="auto"/>
                        <w:bottom w:val="none" w:sz="0" w:space="0" w:color="auto"/>
                        <w:right w:val="none" w:sz="0" w:space="0" w:color="auto"/>
                      </w:divBdr>
                    </w:div>
                  </w:divsChild>
                </w:div>
                <w:div w:id="612513806">
                  <w:marLeft w:val="0"/>
                  <w:marRight w:val="0"/>
                  <w:marTop w:val="0"/>
                  <w:marBottom w:val="0"/>
                  <w:divBdr>
                    <w:top w:val="none" w:sz="0" w:space="0" w:color="auto"/>
                    <w:left w:val="none" w:sz="0" w:space="0" w:color="auto"/>
                    <w:bottom w:val="none" w:sz="0" w:space="0" w:color="auto"/>
                    <w:right w:val="none" w:sz="0" w:space="0" w:color="auto"/>
                  </w:divBdr>
                  <w:divsChild>
                    <w:div w:id="729695441">
                      <w:marLeft w:val="0"/>
                      <w:marRight w:val="0"/>
                      <w:marTop w:val="0"/>
                      <w:marBottom w:val="0"/>
                      <w:divBdr>
                        <w:top w:val="none" w:sz="0" w:space="0" w:color="auto"/>
                        <w:left w:val="none" w:sz="0" w:space="0" w:color="auto"/>
                        <w:bottom w:val="none" w:sz="0" w:space="0" w:color="auto"/>
                        <w:right w:val="none" w:sz="0" w:space="0" w:color="auto"/>
                      </w:divBdr>
                    </w:div>
                  </w:divsChild>
                </w:div>
                <w:div w:id="635335143">
                  <w:marLeft w:val="0"/>
                  <w:marRight w:val="0"/>
                  <w:marTop w:val="0"/>
                  <w:marBottom w:val="0"/>
                  <w:divBdr>
                    <w:top w:val="none" w:sz="0" w:space="0" w:color="auto"/>
                    <w:left w:val="none" w:sz="0" w:space="0" w:color="auto"/>
                    <w:bottom w:val="none" w:sz="0" w:space="0" w:color="auto"/>
                    <w:right w:val="none" w:sz="0" w:space="0" w:color="auto"/>
                  </w:divBdr>
                  <w:divsChild>
                    <w:div w:id="468473589">
                      <w:marLeft w:val="0"/>
                      <w:marRight w:val="0"/>
                      <w:marTop w:val="0"/>
                      <w:marBottom w:val="0"/>
                      <w:divBdr>
                        <w:top w:val="none" w:sz="0" w:space="0" w:color="auto"/>
                        <w:left w:val="none" w:sz="0" w:space="0" w:color="auto"/>
                        <w:bottom w:val="none" w:sz="0" w:space="0" w:color="auto"/>
                        <w:right w:val="none" w:sz="0" w:space="0" w:color="auto"/>
                      </w:divBdr>
                    </w:div>
                  </w:divsChild>
                </w:div>
                <w:div w:id="657611799">
                  <w:marLeft w:val="0"/>
                  <w:marRight w:val="0"/>
                  <w:marTop w:val="0"/>
                  <w:marBottom w:val="0"/>
                  <w:divBdr>
                    <w:top w:val="none" w:sz="0" w:space="0" w:color="auto"/>
                    <w:left w:val="none" w:sz="0" w:space="0" w:color="auto"/>
                    <w:bottom w:val="none" w:sz="0" w:space="0" w:color="auto"/>
                    <w:right w:val="none" w:sz="0" w:space="0" w:color="auto"/>
                  </w:divBdr>
                  <w:divsChild>
                    <w:div w:id="61294648">
                      <w:marLeft w:val="0"/>
                      <w:marRight w:val="0"/>
                      <w:marTop w:val="0"/>
                      <w:marBottom w:val="0"/>
                      <w:divBdr>
                        <w:top w:val="none" w:sz="0" w:space="0" w:color="auto"/>
                        <w:left w:val="none" w:sz="0" w:space="0" w:color="auto"/>
                        <w:bottom w:val="none" w:sz="0" w:space="0" w:color="auto"/>
                        <w:right w:val="none" w:sz="0" w:space="0" w:color="auto"/>
                      </w:divBdr>
                    </w:div>
                  </w:divsChild>
                </w:div>
                <w:div w:id="680666891">
                  <w:marLeft w:val="0"/>
                  <w:marRight w:val="0"/>
                  <w:marTop w:val="0"/>
                  <w:marBottom w:val="0"/>
                  <w:divBdr>
                    <w:top w:val="none" w:sz="0" w:space="0" w:color="auto"/>
                    <w:left w:val="none" w:sz="0" w:space="0" w:color="auto"/>
                    <w:bottom w:val="none" w:sz="0" w:space="0" w:color="auto"/>
                    <w:right w:val="none" w:sz="0" w:space="0" w:color="auto"/>
                  </w:divBdr>
                  <w:divsChild>
                    <w:div w:id="1259218494">
                      <w:marLeft w:val="0"/>
                      <w:marRight w:val="0"/>
                      <w:marTop w:val="0"/>
                      <w:marBottom w:val="0"/>
                      <w:divBdr>
                        <w:top w:val="none" w:sz="0" w:space="0" w:color="auto"/>
                        <w:left w:val="none" w:sz="0" w:space="0" w:color="auto"/>
                        <w:bottom w:val="none" w:sz="0" w:space="0" w:color="auto"/>
                        <w:right w:val="none" w:sz="0" w:space="0" w:color="auto"/>
                      </w:divBdr>
                    </w:div>
                  </w:divsChild>
                </w:div>
                <w:div w:id="683939105">
                  <w:marLeft w:val="0"/>
                  <w:marRight w:val="0"/>
                  <w:marTop w:val="0"/>
                  <w:marBottom w:val="0"/>
                  <w:divBdr>
                    <w:top w:val="none" w:sz="0" w:space="0" w:color="auto"/>
                    <w:left w:val="none" w:sz="0" w:space="0" w:color="auto"/>
                    <w:bottom w:val="none" w:sz="0" w:space="0" w:color="auto"/>
                    <w:right w:val="none" w:sz="0" w:space="0" w:color="auto"/>
                  </w:divBdr>
                  <w:divsChild>
                    <w:div w:id="1219241610">
                      <w:marLeft w:val="0"/>
                      <w:marRight w:val="0"/>
                      <w:marTop w:val="0"/>
                      <w:marBottom w:val="0"/>
                      <w:divBdr>
                        <w:top w:val="none" w:sz="0" w:space="0" w:color="auto"/>
                        <w:left w:val="none" w:sz="0" w:space="0" w:color="auto"/>
                        <w:bottom w:val="none" w:sz="0" w:space="0" w:color="auto"/>
                        <w:right w:val="none" w:sz="0" w:space="0" w:color="auto"/>
                      </w:divBdr>
                    </w:div>
                    <w:div w:id="2130394861">
                      <w:marLeft w:val="0"/>
                      <w:marRight w:val="0"/>
                      <w:marTop w:val="0"/>
                      <w:marBottom w:val="0"/>
                      <w:divBdr>
                        <w:top w:val="none" w:sz="0" w:space="0" w:color="auto"/>
                        <w:left w:val="none" w:sz="0" w:space="0" w:color="auto"/>
                        <w:bottom w:val="none" w:sz="0" w:space="0" w:color="auto"/>
                        <w:right w:val="none" w:sz="0" w:space="0" w:color="auto"/>
                      </w:divBdr>
                    </w:div>
                  </w:divsChild>
                </w:div>
                <w:div w:id="685986277">
                  <w:marLeft w:val="0"/>
                  <w:marRight w:val="0"/>
                  <w:marTop w:val="0"/>
                  <w:marBottom w:val="0"/>
                  <w:divBdr>
                    <w:top w:val="none" w:sz="0" w:space="0" w:color="auto"/>
                    <w:left w:val="none" w:sz="0" w:space="0" w:color="auto"/>
                    <w:bottom w:val="none" w:sz="0" w:space="0" w:color="auto"/>
                    <w:right w:val="none" w:sz="0" w:space="0" w:color="auto"/>
                  </w:divBdr>
                  <w:divsChild>
                    <w:div w:id="1318144493">
                      <w:marLeft w:val="0"/>
                      <w:marRight w:val="0"/>
                      <w:marTop w:val="0"/>
                      <w:marBottom w:val="0"/>
                      <w:divBdr>
                        <w:top w:val="none" w:sz="0" w:space="0" w:color="auto"/>
                        <w:left w:val="none" w:sz="0" w:space="0" w:color="auto"/>
                        <w:bottom w:val="none" w:sz="0" w:space="0" w:color="auto"/>
                        <w:right w:val="none" w:sz="0" w:space="0" w:color="auto"/>
                      </w:divBdr>
                    </w:div>
                  </w:divsChild>
                </w:div>
                <w:div w:id="686517646">
                  <w:marLeft w:val="0"/>
                  <w:marRight w:val="0"/>
                  <w:marTop w:val="0"/>
                  <w:marBottom w:val="0"/>
                  <w:divBdr>
                    <w:top w:val="none" w:sz="0" w:space="0" w:color="auto"/>
                    <w:left w:val="none" w:sz="0" w:space="0" w:color="auto"/>
                    <w:bottom w:val="none" w:sz="0" w:space="0" w:color="auto"/>
                    <w:right w:val="none" w:sz="0" w:space="0" w:color="auto"/>
                  </w:divBdr>
                  <w:divsChild>
                    <w:div w:id="1398939221">
                      <w:marLeft w:val="0"/>
                      <w:marRight w:val="0"/>
                      <w:marTop w:val="0"/>
                      <w:marBottom w:val="0"/>
                      <w:divBdr>
                        <w:top w:val="none" w:sz="0" w:space="0" w:color="auto"/>
                        <w:left w:val="none" w:sz="0" w:space="0" w:color="auto"/>
                        <w:bottom w:val="none" w:sz="0" w:space="0" w:color="auto"/>
                        <w:right w:val="none" w:sz="0" w:space="0" w:color="auto"/>
                      </w:divBdr>
                    </w:div>
                  </w:divsChild>
                </w:div>
                <w:div w:id="709300411">
                  <w:marLeft w:val="0"/>
                  <w:marRight w:val="0"/>
                  <w:marTop w:val="0"/>
                  <w:marBottom w:val="0"/>
                  <w:divBdr>
                    <w:top w:val="none" w:sz="0" w:space="0" w:color="auto"/>
                    <w:left w:val="none" w:sz="0" w:space="0" w:color="auto"/>
                    <w:bottom w:val="none" w:sz="0" w:space="0" w:color="auto"/>
                    <w:right w:val="none" w:sz="0" w:space="0" w:color="auto"/>
                  </w:divBdr>
                  <w:divsChild>
                    <w:div w:id="1915048740">
                      <w:marLeft w:val="0"/>
                      <w:marRight w:val="0"/>
                      <w:marTop w:val="0"/>
                      <w:marBottom w:val="0"/>
                      <w:divBdr>
                        <w:top w:val="none" w:sz="0" w:space="0" w:color="auto"/>
                        <w:left w:val="none" w:sz="0" w:space="0" w:color="auto"/>
                        <w:bottom w:val="none" w:sz="0" w:space="0" w:color="auto"/>
                        <w:right w:val="none" w:sz="0" w:space="0" w:color="auto"/>
                      </w:divBdr>
                    </w:div>
                  </w:divsChild>
                </w:div>
                <w:div w:id="728571921">
                  <w:marLeft w:val="0"/>
                  <w:marRight w:val="0"/>
                  <w:marTop w:val="0"/>
                  <w:marBottom w:val="0"/>
                  <w:divBdr>
                    <w:top w:val="none" w:sz="0" w:space="0" w:color="auto"/>
                    <w:left w:val="none" w:sz="0" w:space="0" w:color="auto"/>
                    <w:bottom w:val="none" w:sz="0" w:space="0" w:color="auto"/>
                    <w:right w:val="none" w:sz="0" w:space="0" w:color="auto"/>
                  </w:divBdr>
                  <w:divsChild>
                    <w:div w:id="2124840076">
                      <w:marLeft w:val="0"/>
                      <w:marRight w:val="0"/>
                      <w:marTop w:val="0"/>
                      <w:marBottom w:val="0"/>
                      <w:divBdr>
                        <w:top w:val="none" w:sz="0" w:space="0" w:color="auto"/>
                        <w:left w:val="none" w:sz="0" w:space="0" w:color="auto"/>
                        <w:bottom w:val="none" w:sz="0" w:space="0" w:color="auto"/>
                        <w:right w:val="none" w:sz="0" w:space="0" w:color="auto"/>
                      </w:divBdr>
                    </w:div>
                  </w:divsChild>
                </w:div>
                <w:div w:id="730621051">
                  <w:marLeft w:val="0"/>
                  <w:marRight w:val="0"/>
                  <w:marTop w:val="0"/>
                  <w:marBottom w:val="0"/>
                  <w:divBdr>
                    <w:top w:val="none" w:sz="0" w:space="0" w:color="auto"/>
                    <w:left w:val="none" w:sz="0" w:space="0" w:color="auto"/>
                    <w:bottom w:val="none" w:sz="0" w:space="0" w:color="auto"/>
                    <w:right w:val="none" w:sz="0" w:space="0" w:color="auto"/>
                  </w:divBdr>
                  <w:divsChild>
                    <w:div w:id="1945846376">
                      <w:marLeft w:val="0"/>
                      <w:marRight w:val="0"/>
                      <w:marTop w:val="0"/>
                      <w:marBottom w:val="0"/>
                      <w:divBdr>
                        <w:top w:val="none" w:sz="0" w:space="0" w:color="auto"/>
                        <w:left w:val="none" w:sz="0" w:space="0" w:color="auto"/>
                        <w:bottom w:val="none" w:sz="0" w:space="0" w:color="auto"/>
                        <w:right w:val="none" w:sz="0" w:space="0" w:color="auto"/>
                      </w:divBdr>
                    </w:div>
                  </w:divsChild>
                </w:div>
                <w:div w:id="758913194">
                  <w:marLeft w:val="0"/>
                  <w:marRight w:val="0"/>
                  <w:marTop w:val="0"/>
                  <w:marBottom w:val="0"/>
                  <w:divBdr>
                    <w:top w:val="none" w:sz="0" w:space="0" w:color="auto"/>
                    <w:left w:val="none" w:sz="0" w:space="0" w:color="auto"/>
                    <w:bottom w:val="none" w:sz="0" w:space="0" w:color="auto"/>
                    <w:right w:val="none" w:sz="0" w:space="0" w:color="auto"/>
                  </w:divBdr>
                  <w:divsChild>
                    <w:div w:id="1866480625">
                      <w:marLeft w:val="0"/>
                      <w:marRight w:val="0"/>
                      <w:marTop w:val="0"/>
                      <w:marBottom w:val="0"/>
                      <w:divBdr>
                        <w:top w:val="none" w:sz="0" w:space="0" w:color="auto"/>
                        <w:left w:val="none" w:sz="0" w:space="0" w:color="auto"/>
                        <w:bottom w:val="none" w:sz="0" w:space="0" w:color="auto"/>
                        <w:right w:val="none" w:sz="0" w:space="0" w:color="auto"/>
                      </w:divBdr>
                    </w:div>
                  </w:divsChild>
                </w:div>
                <w:div w:id="775445558">
                  <w:marLeft w:val="0"/>
                  <w:marRight w:val="0"/>
                  <w:marTop w:val="0"/>
                  <w:marBottom w:val="0"/>
                  <w:divBdr>
                    <w:top w:val="none" w:sz="0" w:space="0" w:color="auto"/>
                    <w:left w:val="none" w:sz="0" w:space="0" w:color="auto"/>
                    <w:bottom w:val="none" w:sz="0" w:space="0" w:color="auto"/>
                    <w:right w:val="none" w:sz="0" w:space="0" w:color="auto"/>
                  </w:divBdr>
                  <w:divsChild>
                    <w:div w:id="1928690871">
                      <w:marLeft w:val="0"/>
                      <w:marRight w:val="0"/>
                      <w:marTop w:val="0"/>
                      <w:marBottom w:val="0"/>
                      <w:divBdr>
                        <w:top w:val="none" w:sz="0" w:space="0" w:color="auto"/>
                        <w:left w:val="none" w:sz="0" w:space="0" w:color="auto"/>
                        <w:bottom w:val="none" w:sz="0" w:space="0" w:color="auto"/>
                        <w:right w:val="none" w:sz="0" w:space="0" w:color="auto"/>
                      </w:divBdr>
                    </w:div>
                  </w:divsChild>
                </w:div>
                <w:div w:id="782921019">
                  <w:marLeft w:val="0"/>
                  <w:marRight w:val="0"/>
                  <w:marTop w:val="0"/>
                  <w:marBottom w:val="0"/>
                  <w:divBdr>
                    <w:top w:val="none" w:sz="0" w:space="0" w:color="auto"/>
                    <w:left w:val="none" w:sz="0" w:space="0" w:color="auto"/>
                    <w:bottom w:val="none" w:sz="0" w:space="0" w:color="auto"/>
                    <w:right w:val="none" w:sz="0" w:space="0" w:color="auto"/>
                  </w:divBdr>
                  <w:divsChild>
                    <w:div w:id="2128498121">
                      <w:marLeft w:val="0"/>
                      <w:marRight w:val="0"/>
                      <w:marTop w:val="0"/>
                      <w:marBottom w:val="0"/>
                      <w:divBdr>
                        <w:top w:val="none" w:sz="0" w:space="0" w:color="auto"/>
                        <w:left w:val="none" w:sz="0" w:space="0" w:color="auto"/>
                        <w:bottom w:val="none" w:sz="0" w:space="0" w:color="auto"/>
                        <w:right w:val="none" w:sz="0" w:space="0" w:color="auto"/>
                      </w:divBdr>
                    </w:div>
                  </w:divsChild>
                </w:div>
                <w:div w:id="807015837">
                  <w:marLeft w:val="0"/>
                  <w:marRight w:val="0"/>
                  <w:marTop w:val="0"/>
                  <w:marBottom w:val="0"/>
                  <w:divBdr>
                    <w:top w:val="none" w:sz="0" w:space="0" w:color="auto"/>
                    <w:left w:val="none" w:sz="0" w:space="0" w:color="auto"/>
                    <w:bottom w:val="none" w:sz="0" w:space="0" w:color="auto"/>
                    <w:right w:val="none" w:sz="0" w:space="0" w:color="auto"/>
                  </w:divBdr>
                  <w:divsChild>
                    <w:div w:id="1680159872">
                      <w:marLeft w:val="0"/>
                      <w:marRight w:val="0"/>
                      <w:marTop w:val="0"/>
                      <w:marBottom w:val="0"/>
                      <w:divBdr>
                        <w:top w:val="none" w:sz="0" w:space="0" w:color="auto"/>
                        <w:left w:val="none" w:sz="0" w:space="0" w:color="auto"/>
                        <w:bottom w:val="none" w:sz="0" w:space="0" w:color="auto"/>
                        <w:right w:val="none" w:sz="0" w:space="0" w:color="auto"/>
                      </w:divBdr>
                    </w:div>
                  </w:divsChild>
                </w:div>
                <w:div w:id="809975433">
                  <w:marLeft w:val="0"/>
                  <w:marRight w:val="0"/>
                  <w:marTop w:val="0"/>
                  <w:marBottom w:val="0"/>
                  <w:divBdr>
                    <w:top w:val="none" w:sz="0" w:space="0" w:color="auto"/>
                    <w:left w:val="none" w:sz="0" w:space="0" w:color="auto"/>
                    <w:bottom w:val="none" w:sz="0" w:space="0" w:color="auto"/>
                    <w:right w:val="none" w:sz="0" w:space="0" w:color="auto"/>
                  </w:divBdr>
                  <w:divsChild>
                    <w:div w:id="1070077568">
                      <w:marLeft w:val="0"/>
                      <w:marRight w:val="0"/>
                      <w:marTop w:val="0"/>
                      <w:marBottom w:val="0"/>
                      <w:divBdr>
                        <w:top w:val="none" w:sz="0" w:space="0" w:color="auto"/>
                        <w:left w:val="none" w:sz="0" w:space="0" w:color="auto"/>
                        <w:bottom w:val="none" w:sz="0" w:space="0" w:color="auto"/>
                        <w:right w:val="none" w:sz="0" w:space="0" w:color="auto"/>
                      </w:divBdr>
                    </w:div>
                  </w:divsChild>
                </w:div>
                <w:div w:id="813528741">
                  <w:marLeft w:val="0"/>
                  <w:marRight w:val="0"/>
                  <w:marTop w:val="0"/>
                  <w:marBottom w:val="0"/>
                  <w:divBdr>
                    <w:top w:val="none" w:sz="0" w:space="0" w:color="auto"/>
                    <w:left w:val="none" w:sz="0" w:space="0" w:color="auto"/>
                    <w:bottom w:val="none" w:sz="0" w:space="0" w:color="auto"/>
                    <w:right w:val="none" w:sz="0" w:space="0" w:color="auto"/>
                  </w:divBdr>
                  <w:divsChild>
                    <w:div w:id="2107384792">
                      <w:marLeft w:val="0"/>
                      <w:marRight w:val="0"/>
                      <w:marTop w:val="0"/>
                      <w:marBottom w:val="0"/>
                      <w:divBdr>
                        <w:top w:val="none" w:sz="0" w:space="0" w:color="auto"/>
                        <w:left w:val="none" w:sz="0" w:space="0" w:color="auto"/>
                        <w:bottom w:val="none" w:sz="0" w:space="0" w:color="auto"/>
                        <w:right w:val="none" w:sz="0" w:space="0" w:color="auto"/>
                      </w:divBdr>
                    </w:div>
                  </w:divsChild>
                </w:div>
                <w:div w:id="842429512">
                  <w:marLeft w:val="0"/>
                  <w:marRight w:val="0"/>
                  <w:marTop w:val="0"/>
                  <w:marBottom w:val="0"/>
                  <w:divBdr>
                    <w:top w:val="none" w:sz="0" w:space="0" w:color="auto"/>
                    <w:left w:val="none" w:sz="0" w:space="0" w:color="auto"/>
                    <w:bottom w:val="none" w:sz="0" w:space="0" w:color="auto"/>
                    <w:right w:val="none" w:sz="0" w:space="0" w:color="auto"/>
                  </w:divBdr>
                  <w:divsChild>
                    <w:div w:id="1386953133">
                      <w:marLeft w:val="0"/>
                      <w:marRight w:val="0"/>
                      <w:marTop w:val="0"/>
                      <w:marBottom w:val="0"/>
                      <w:divBdr>
                        <w:top w:val="none" w:sz="0" w:space="0" w:color="auto"/>
                        <w:left w:val="none" w:sz="0" w:space="0" w:color="auto"/>
                        <w:bottom w:val="none" w:sz="0" w:space="0" w:color="auto"/>
                        <w:right w:val="none" w:sz="0" w:space="0" w:color="auto"/>
                      </w:divBdr>
                    </w:div>
                  </w:divsChild>
                </w:div>
                <w:div w:id="873075554">
                  <w:marLeft w:val="0"/>
                  <w:marRight w:val="0"/>
                  <w:marTop w:val="0"/>
                  <w:marBottom w:val="0"/>
                  <w:divBdr>
                    <w:top w:val="none" w:sz="0" w:space="0" w:color="auto"/>
                    <w:left w:val="none" w:sz="0" w:space="0" w:color="auto"/>
                    <w:bottom w:val="none" w:sz="0" w:space="0" w:color="auto"/>
                    <w:right w:val="none" w:sz="0" w:space="0" w:color="auto"/>
                  </w:divBdr>
                  <w:divsChild>
                    <w:div w:id="2054885699">
                      <w:marLeft w:val="0"/>
                      <w:marRight w:val="0"/>
                      <w:marTop w:val="0"/>
                      <w:marBottom w:val="0"/>
                      <w:divBdr>
                        <w:top w:val="none" w:sz="0" w:space="0" w:color="auto"/>
                        <w:left w:val="none" w:sz="0" w:space="0" w:color="auto"/>
                        <w:bottom w:val="none" w:sz="0" w:space="0" w:color="auto"/>
                        <w:right w:val="none" w:sz="0" w:space="0" w:color="auto"/>
                      </w:divBdr>
                    </w:div>
                  </w:divsChild>
                </w:div>
                <w:div w:id="889148565">
                  <w:marLeft w:val="0"/>
                  <w:marRight w:val="0"/>
                  <w:marTop w:val="0"/>
                  <w:marBottom w:val="0"/>
                  <w:divBdr>
                    <w:top w:val="none" w:sz="0" w:space="0" w:color="auto"/>
                    <w:left w:val="none" w:sz="0" w:space="0" w:color="auto"/>
                    <w:bottom w:val="none" w:sz="0" w:space="0" w:color="auto"/>
                    <w:right w:val="none" w:sz="0" w:space="0" w:color="auto"/>
                  </w:divBdr>
                  <w:divsChild>
                    <w:div w:id="479730881">
                      <w:marLeft w:val="0"/>
                      <w:marRight w:val="0"/>
                      <w:marTop w:val="0"/>
                      <w:marBottom w:val="0"/>
                      <w:divBdr>
                        <w:top w:val="none" w:sz="0" w:space="0" w:color="auto"/>
                        <w:left w:val="none" w:sz="0" w:space="0" w:color="auto"/>
                        <w:bottom w:val="none" w:sz="0" w:space="0" w:color="auto"/>
                        <w:right w:val="none" w:sz="0" w:space="0" w:color="auto"/>
                      </w:divBdr>
                    </w:div>
                  </w:divsChild>
                </w:div>
                <w:div w:id="896818031">
                  <w:marLeft w:val="0"/>
                  <w:marRight w:val="0"/>
                  <w:marTop w:val="0"/>
                  <w:marBottom w:val="0"/>
                  <w:divBdr>
                    <w:top w:val="none" w:sz="0" w:space="0" w:color="auto"/>
                    <w:left w:val="none" w:sz="0" w:space="0" w:color="auto"/>
                    <w:bottom w:val="none" w:sz="0" w:space="0" w:color="auto"/>
                    <w:right w:val="none" w:sz="0" w:space="0" w:color="auto"/>
                  </w:divBdr>
                  <w:divsChild>
                    <w:div w:id="656760219">
                      <w:marLeft w:val="0"/>
                      <w:marRight w:val="0"/>
                      <w:marTop w:val="0"/>
                      <w:marBottom w:val="0"/>
                      <w:divBdr>
                        <w:top w:val="none" w:sz="0" w:space="0" w:color="auto"/>
                        <w:left w:val="none" w:sz="0" w:space="0" w:color="auto"/>
                        <w:bottom w:val="none" w:sz="0" w:space="0" w:color="auto"/>
                        <w:right w:val="none" w:sz="0" w:space="0" w:color="auto"/>
                      </w:divBdr>
                    </w:div>
                  </w:divsChild>
                </w:div>
                <w:div w:id="931626896">
                  <w:marLeft w:val="0"/>
                  <w:marRight w:val="0"/>
                  <w:marTop w:val="0"/>
                  <w:marBottom w:val="0"/>
                  <w:divBdr>
                    <w:top w:val="none" w:sz="0" w:space="0" w:color="auto"/>
                    <w:left w:val="none" w:sz="0" w:space="0" w:color="auto"/>
                    <w:bottom w:val="none" w:sz="0" w:space="0" w:color="auto"/>
                    <w:right w:val="none" w:sz="0" w:space="0" w:color="auto"/>
                  </w:divBdr>
                  <w:divsChild>
                    <w:div w:id="1270746708">
                      <w:marLeft w:val="0"/>
                      <w:marRight w:val="0"/>
                      <w:marTop w:val="0"/>
                      <w:marBottom w:val="0"/>
                      <w:divBdr>
                        <w:top w:val="none" w:sz="0" w:space="0" w:color="auto"/>
                        <w:left w:val="none" w:sz="0" w:space="0" w:color="auto"/>
                        <w:bottom w:val="none" w:sz="0" w:space="0" w:color="auto"/>
                        <w:right w:val="none" w:sz="0" w:space="0" w:color="auto"/>
                      </w:divBdr>
                    </w:div>
                  </w:divsChild>
                </w:div>
                <w:div w:id="945506310">
                  <w:marLeft w:val="0"/>
                  <w:marRight w:val="0"/>
                  <w:marTop w:val="0"/>
                  <w:marBottom w:val="0"/>
                  <w:divBdr>
                    <w:top w:val="none" w:sz="0" w:space="0" w:color="auto"/>
                    <w:left w:val="none" w:sz="0" w:space="0" w:color="auto"/>
                    <w:bottom w:val="none" w:sz="0" w:space="0" w:color="auto"/>
                    <w:right w:val="none" w:sz="0" w:space="0" w:color="auto"/>
                  </w:divBdr>
                  <w:divsChild>
                    <w:div w:id="1679768688">
                      <w:marLeft w:val="0"/>
                      <w:marRight w:val="0"/>
                      <w:marTop w:val="0"/>
                      <w:marBottom w:val="0"/>
                      <w:divBdr>
                        <w:top w:val="none" w:sz="0" w:space="0" w:color="auto"/>
                        <w:left w:val="none" w:sz="0" w:space="0" w:color="auto"/>
                        <w:bottom w:val="none" w:sz="0" w:space="0" w:color="auto"/>
                        <w:right w:val="none" w:sz="0" w:space="0" w:color="auto"/>
                      </w:divBdr>
                    </w:div>
                  </w:divsChild>
                </w:div>
                <w:div w:id="954560007">
                  <w:marLeft w:val="0"/>
                  <w:marRight w:val="0"/>
                  <w:marTop w:val="0"/>
                  <w:marBottom w:val="0"/>
                  <w:divBdr>
                    <w:top w:val="none" w:sz="0" w:space="0" w:color="auto"/>
                    <w:left w:val="none" w:sz="0" w:space="0" w:color="auto"/>
                    <w:bottom w:val="none" w:sz="0" w:space="0" w:color="auto"/>
                    <w:right w:val="none" w:sz="0" w:space="0" w:color="auto"/>
                  </w:divBdr>
                  <w:divsChild>
                    <w:div w:id="1537886211">
                      <w:marLeft w:val="0"/>
                      <w:marRight w:val="0"/>
                      <w:marTop w:val="0"/>
                      <w:marBottom w:val="0"/>
                      <w:divBdr>
                        <w:top w:val="none" w:sz="0" w:space="0" w:color="auto"/>
                        <w:left w:val="none" w:sz="0" w:space="0" w:color="auto"/>
                        <w:bottom w:val="none" w:sz="0" w:space="0" w:color="auto"/>
                        <w:right w:val="none" w:sz="0" w:space="0" w:color="auto"/>
                      </w:divBdr>
                    </w:div>
                  </w:divsChild>
                </w:div>
                <w:div w:id="959264997">
                  <w:marLeft w:val="0"/>
                  <w:marRight w:val="0"/>
                  <w:marTop w:val="0"/>
                  <w:marBottom w:val="0"/>
                  <w:divBdr>
                    <w:top w:val="none" w:sz="0" w:space="0" w:color="auto"/>
                    <w:left w:val="none" w:sz="0" w:space="0" w:color="auto"/>
                    <w:bottom w:val="none" w:sz="0" w:space="0" w:color="auto"/>
                    <w:right w:val="none" w:sz="0" w:space="0" w:color="auto"/>
                  </w:divBdr>
                  <w:divsChild>
                    <w:div w:id="491218799">
                      <w:marLeft w:val="0"/>
                      <w:marRight w:val="0"/>
                      <w:marTop w:val="0"/>
                      <w:marBottom w:val="0"/>
                      <w:divBdr>
                        <w:top w:val="none" w:sz="0" w:space="0" w:color="auto"/>
                        <w:left w:val="none" w:sz="0" w:space="0" w:color="auto"/>
                        <w:bottom w:val="none" w:sz="0" w:space="0" w:color="auto"/>
                        <w:right w:val="none" w:sz="0" w:space="0" w:color="auto"/>
                      </w:divBdr>
                    </w:div>
                  </w:divsChild>
                </w:div>
                <w:div w:id="965234386">
                  <w:marLeft w:val="0"/>
                  <w:marRight w:val="0"/>
                  <w:marTop w:val="0"/>
                  <w:marBottom w:val="0"/>
                  <w:divBdr>
                    <w:top w:val="none" w:sz="0" w:space="0" w:color="auto"/>
                    <w:left w:val="none" w:sz="0" w:space="0" w:color="auto"/>
                    <w:bottom w:val="none" w:sz="0" w:space="0" w:color="auto"/>
                    <w:right w:val="none" w:sz="0" w:space="0" w:color="auto"/>
                  </w:divBdr>
                  <w:divsChild>
                    <w:div w:id="714620744">
                      <w:marLeft w:val="0"/>
                      <w:marRight w:val="0"/>
                      <w:marTop w:val="0"/>
                      <w:marBottom w:val="0"/>
                      <w:divBdr>
                        <w:top w:val="none" w:sz="0" w:space="0" w:color="auto"/>
                        <w:left w:val="none" w:sz="0" w:space="0" w:color="auto"/>
                        <w:bottom w:val="none" w:sz="0" w:space="0" w:color="auto"/>
                        <w:right w:val="none" w:sz="0" w:space="0" w:color="auto"/>
                      </w:divBdr>
                    </w:div>
                  </w:divsChild>
                </w:div>
                <w:div w:id="968047103">
                  <w:marLeft w:val="0"/>
                  <w:marRight w:val="0"/>
                  <w:marTop w:val="0"/>
                  <w:marBottom w:val="0"/>
                  <w:divBdr>
                    <w:top w:val="none" w:sz="0" w:space="0" w:color="auto"/>
                    <w:left w:val="none" w:sz="0" w:space="0" w:color="auto"/>
                    <w:bottom w:val="none" w:sz="0" w:space="0" w:color="auto"/>
                    <w:right w:val="none" w:sz="0" w:space="0" w:color="auto"/>
                  </w:divBdr>
                  <w:divsChild>
                    <w:div w:id="929318561">
                      <w:marLeft w:val="0"/>
                      <w:marRight w:val="0"/>
                      <w:marTop w:val="0"/>
                      <w:marBottom w:val="0"/>
                      <w:divBdr>
                        <w:top w:val="none" w:sz="0" w:space="0" w:color="auto"/>
                        <w:left w:val="none" w:sz="0" w:space="0" w:color="auto"/>
                        <w:bottom w:val="none" w:sz="0" w:space="0" w:color="auto"/>
                        <w:right w:val="none" w:sz="0" w:space="0" w:color="auto"/>
                      </w:divBdr>
                    </w:div>
                  </w:divsChild>
                </w:div>
                <w:div w:id="970786777">
                  <w:marLeft w:val="0"/>
                  <w:marRight w:val="0"/>
                  <w:marTop w:val="0"/>
                  <w:marBottom w:val="0"/>
                  <w:divBdr>
                    <w:top w:val="none" w:sz="0" w:space="0" w:color="auto"/>
                    <w:left w:val="none" w:sz="0" w:space="0" w:color="auto"/>
                    <w:bottom w:val="none" w:sz="0" w:space="0" w:color="auto"/>
                    <w:right w:val="none" w:sz="0" w:space="0" w:color="auto"/>
                  </w:divBdr>
                  <w:divsChild>
                    <w:div w:id="950630557">
                      <w:marLeft w:val="0"/>
                      <w:marRight w:val="0"/>
                      <w:marTop w:val="0"/>
                      <w:marBottom w:val="0"/>
                      <w:divBdr>
                        <w:top w:val="none" w:sz="0" w:space="0" w:color="auto"/>
                        <w:left w:val="none" w:sz="0" w:space="0" w:color="auto"/>
                        <w:bottom w:val="none" w:sz="0" w:space="0" w:color="auto"/>
                        <w:right w:val="none" w:sz="0" w:space="0" w:color="auto"/>
                      </w:divBdr>
                    </w:div>
                  </w:divsChild>
                </w:div>
                <w:div w:id="1022704656">
                  <w:marLeft w:val="0"/>
                  <w:marRight w:val="0"/>
                  <w:marTop w:val="0"/>
                  <w:marBottom w:val="0"/>
                  <w:divBdr>
                    <w:top w:val="none" w:sz="0" w:space="0" w:color="auto"/>
                    <w:left w:val="none" w:sz="0" w:space="0" w:color="auto"/>
                    <w:bottom w:val="none" w:sz="0" w:space="0" w:color="auto"/>
                    <w:right w:val="none" w:sz="0" w:space="0" w:color="auto"/>
                  </w:divBdr>
                  <w:divsChild>
                    <w:div w:id="28606378">
                      <w:marLeft w:val="0"/>
                      <w:marRight w:val="0"/>
                      <w:marTop w:val="0"/>
                      <w:marBottom w:val="0"/>
                      <w:divBdr>
                        <w:top w:val="none" w:sz="0" w:space="0" w:color="auto"/>
                        <w:left w:val="none" w:sz="0" w:space="0" w:color="auto"/>
                        <w:bottom w:val="none" w:sz="0" w:space="0" w:color="auto"/>
                        <w:right w:val="none" w:sz="0" w:space="0" w:color="auto"/>
                      </w:divBdr>
                    </w:div>
                  </w:divsChild>
                </w:div>
                <w:div w:id="1026834803">
                  <w:marLeft w:val="0"/>
                  <w:marRight w:val="0"/>
                  <w:marTop w:val="0"/>
                  <w:marBottom w:val="0"/>
                  <w:divBdr>
                    <w:top w:val="none" w:sz="0" w:space="0" w:color="auto"/>
                    <w:left w:val="none" w:sz="0" w:space="0" w:color="auto"/>
                    <w:bottom w:val="none" w:sz="0" w:space="0" w:color="auto"/>
                    <w:right w:val="none" w:sz="0" w:space="0" w:color="auto"/>
                  </w:divBdr>
                  <w:divsChild>
                    <w:div w:id="256331746">
                      <w:marLeft w:val="0"/>
                      <w:marRight w:val="0"/>
                      <w:marTop w:val="0"/>
                      <w:marBottom w:val="0"/>
                      <w:divBdr>
                        <w:top w:val="none" w:sz="0" w:space="0" w:color="auto"/>
                        <w:left w:val="none" w:sz="0" w:space="0" w:color="auto"/>
                        <w:bottom w:val="none" w:sz="0" w:space="0" w:color="auto"/>
                        <w:right w:val="none" w:sz="0" w:space="0" w:color="auto"/>
                      </w:divBdr>
                    </w:div>
                  </w:divsChild>
                </w:div>
                <w:div w:id="1030373431">
                  <w:marLeft w:val="0"/>
                  <w:marRight w:val="0"/>
                  <w:marTop w:val="0"/>
                  <w:marBottom w:val="0"/>
                  <w:divBdr>
                    <w:top w:val="none" w:sz="0" w:space="0" w:color="auto"/>
                    <w:left w:val="none" w:sz="0" w:space="0" w:color="auto"/>
                    <w:bottom w:val="none" w:sz="0" w:space="0" w:color="auto"/>
                    <w:right w:val="none" w:sz="0" w:space="0" w:color="auto"/>
                  </w:divBdr>
                  <w:divsChild>
                    <w:div w:id="733242396">
                      <w:marLeft w:val="0"/>
                      <w:marRight w:val="0"/>
                      <w:marTop w:val="0"/>
                      <w:marBottom w:val="0"/>
                      <w:divBdr>
                        <w:top w:val="none" w:sz="0" w:space="0" w:color="auto"/>
                        <w:left w:val="none" w:sz="0" w:space="0" w:color="auto"/>
                        <w:bottom w:val="none" w:sz="0" w:space="0" w:color="auto"/>
                        <w:right w:val="none" w:sz="0" w:space="0" w:color="auto"/>
                      </w:divBdr>
                    </w:div>
                  </w:divsChild>
                </w:div>
                <w:div w:id="1033001773">
                  <w:marLeft w:val="0"/>
                  <w:marRight w:val="0"/>
                  <w:marTop w:val="0"/>
                  <w:marBottom w:val="0"/>
                  <w:divBdr>
                    <w:top w:val="none" w:sz="0" w:space="0" w:color="auto"/>
                    <w:left w:val="none" w:sz="0" w:space="0" w:color="auto"/>
                    <w:bottom w:val="none" w:sz="0" w:space="0" w:color="auto"/>
                    <w:right w:val="none" w:sz="0" w:space="0" w:color="auto"/>
                  </w:divBdr>
                  <w:divsChild>
                    <w:div w:id="216010484">
                      <w:marLeft w:val="0"/>
                      <w:marRight w:val="0"/>
                      <w:marTop w:val="0"/>
                      <w:marBottom w:val="0"/>
                      <w:divBdr>
                        <w:top w:val="none" w:sz="0" w:space="0" w:color="auto"/>
                        <w:left w:val="none" w:sz="0" w:space="0" w:color="auto"/>
                        <w:bottom w:val="none" w:sz="0" w:space="0" w:color="auto"/>
                        <w:right w:val="none" w:sz="0" w:space="0" w:color="auto"/>
                      </w:divBdr>
                    </w:div>
                  </w:divsChild>
                </w:div>
                <w:div w:id="1048799178">
                  <w:marLeft w:val="0"/>
                  <w:marRight w:val="0"/>
                  <w:marTop w:val="0"/>
                  <w:marBottom w:val="0"/>
                  <w:divBdr>
                    <w:top w:val="none" w:sz="0" w:space="0" w:color="auto"/>
                    <w:left w:val="none" w:sz="0" w:space="0" w:color="auto"/>
                    <w:bottom w:val="none" w:sz="0" w:space="0" w:color="auto"/>
                    <w:right w:val="none" w:sz="0" w:space="0" w:color="auto"/>
                  </w:divBdr>
                  <w:divsChild>
                    <w:div w:id="966663412">
                      <w:marLeft w:val="0"/>
                      <w:marRight w:val="0"/>
                      <w:marTop w:val="0"/>
                      <w:marBottom w:val="0"/>
                      <w:divBdr>
                        <w:top w:val="none" w:sz="0" w:space="0" w:color="auto"/>
                        <w:left w:val="none" w:sz="0" w:space="0" w:color="auto"/>
                        <w:bottom w:val="none" w:sz="0" w:space="0" w:color="auto"/>
                        <w:right w:val="none" w:sz="0" w:space="0" w:color="auto"/>
                      </w:divBdr>
                    </w:div>
                  </w:divsChild>
                </w:div>
                <w:div w:id="1057247240">
                  <w:marLeft w:val="0"/>
                  <w:marRight w:val="0"/>
                  <w:marTop w:val="0"/>
                  <w:marBottom w:val="0"/>
                  <w:divBdr>
                    <w:top w:val="none" w:sz="0" w:space="0" w:color="auto"/>
                    <w:left w:val="none" w:sz="0" w:space="0" w:color="auto"/>
                    <w:bottom w:val="none" w:sz="0" w:space="0" w:color="auto"/>
                    <w:right w:val="none" w:sz="0" w:space="0" w:color="auto"/>
                  </w:divBdr>
                  <w:divsChild>
                    <w:div w:id="2085255945">
                      <w:marLeft w:val="0"/>
                      <w:marRight w:val="0"/>
                      <w:marTop w:val="0"/>
                      <w:marBottom w:val="0"/>
                      <w:divBdr>
                        <w:top w:val="none" w:sz="0" w:space="0" w:color="auto"/>
                        <w:left w:val="none" w:sz="0" w:space="0" w:color="auto"/>
                        <w:bottom w:val="none" w:sz="0" w:space="0" w:color="auto"/>
                        <w:right w:val="none" w:sz="0" w:space="0" w:color="auto"/>
                      </w:divBdr>
                    </w:div>
                  </w:divsChild>
                </w:div>
                <w:div w:id="1063722824">
                  <w:marLeft w:val="0"/>
                  <w:marRight w:val="0"/>
                  <w:marTop w:val="0"/>
                  <w:marBottom w:val="0"/>
                  <w:divBdr>
                    <w:top w:val="none" w:sz="0" w:space="0" w:color="auto"/>
                    <w:left w:val="none" w:sz="0" w:space="0" w:color="auto"/>
                    <w:bottom w:val="none" w:sz="0" w:space="0" w:color="auto"/>
                    <w:right w:val="none" w:sz="0" w:space="0" w:color="auto"/>
                  </w:divBdr>
                  <w:divsChild>
                    <w:div w:id="86658555">
                      <w:marLeft w:val="0"/>
                      <w:marRight w:val="0"/>
                      <w:marTop w:val="0"/>
                      <w:marBottom w:val="0"/>
                      <w:divBdr>
                        <w:top w:val="none" w:sz="0" w:space="0" w:color="auto"/>
                        <w:left w:val="none" w:sz="0" w:space="0" w:color="auto"/>
                        <w:bottom w:val="none" w:sz="0" w:space="0" w:color="auto"/>
                        <w:right w:val="none" w:sz="0" w:space="0" w:color="auto"/>
                      </w:divBdr>
                    </w:div>
                  </w:divsChild>
                </w:div>
                <w:div w:id="1085151222">
                  <w:marLeft w:val="0"/>
                  <w:marRight w:val="0"/>
                  <w:marTop w:val="0"/>
                  <w:marBottom w:val="0"/>
                  <w:divBdr>
                    <w:top w:val="none" w:sz="0" w:space="0" w:color="auto"/>
                    <w:left w:val="none" w:sz="0" w:space="0" w:color="auto"/>
                    <w:bottom w:val="none" w:sz="0" w:space="0" w:color="auto"/>
                    <w:right w:val="none" w:sz="0" w:space="0" w:color="auto"/>
                  </w:divBdr>
                  <w:divsChild>
                    <w:div w:id="1860125362">
                      <w:marLeft w:val="0"/>
                      <w:marRight w:val="0"/>
                      <w:marTop w:val="0"/>
                      <w:marBottom w:val="0"/>
                      <w:divBdr>
                        <w:top w:val="none" w:sz="0" w:space="0" w:color="auto"/>
                        <w:left w:val="none" w:sz="0" w:space="0" w:color="auto"/>
                        <w:bottom w:val="none" w:sz="0" w:space="0" w:color="auto"/>
                        <w:right w:val="none" w:sz="0" w:space="0" w:color="auto"/>
                      </w:divBdr>
                    </w:div>
                  </w:divsChild>
                </w:div>
                <w:div w:id="1090930811">
                  <w:marLeft w:val="0"/>
                  <w:marRight w:val="0"/>
                  <w:marTop w:val="0"/>
                  <w:marBottom w:val="0"/>
                  <w:divBdr>
                    <w:top w:val="none" w:sz="0" w:space="0" w:color="auto"/>
                    <w:left w:val="none" w:sz="0" w:space="0" w:color="auto"/>
                    <w:bottom w:val="none" w:sz="0" w:space="0" w:color="auto"/>
                    <w:right w:val="none" w:sz="0" w:space="0" w:color="auto"/>
                  </w:divBdr>
                  <w:divsChild>
                    <w:div w:id="854733449">
                      <w:marLeft w:val="0"/>
                      <w:marRight w:val="0"/>
                      <w:marTop w:val="0"/>
                      <w:marBottom w:val="0"/>
                      <w:divBdr>
                        <w:top w:val="none" w:sz="0" w:space="0" w:color="auto"/>
                        <w:left w:val="none" w:sz="0" w:space="0" w:color="auto"/>
                        <w:bottom w:val="none" w:sz="0" w:space="0" w:color="auto"/>
                        <w:right w:val="none" w:sz="0" w:space="0" w:color="auto"/>
                      </w:divBdr>
                    </w:div>
                  </w:divsChild>
                </w:div>
                <w:div w:id="1094089123">
                  <w:marLeft w:val="0"/>
                  <w:marRight w:val="0"/>
                  <w:marTop w:val="0"/>
                  <w:marBottom w:val="0"/>
                  <w:divBdr>
                    <w:top w:val="none" w:sz="0" w:space="0" w:color="auto"/>
                    <w:left w:val="none" w:sz="0" w:space="0" w:color="auto"/>
                    <w:bottom w:val="none" w:sz="0" w:space="0" w:color="auto"/>
                    <w:right w:val="none" w:sz="0" w:space="0" w:color="auto"/>
                  </w:divBdr>
                  <w:divsChild>
                    <w:div w:id="23405746">
                      <w:marLeft w:val="0"/>
                      <w:marRight w:val="0"/>
                      <w:marTop w:val="0"/>
                      <w:marBottom w:val="0"/>
                      <w:divBdr>
                        <w:top w:val="none" w:sz="0" w:space="0" w:color="auto"/>
                        <w:left w:val="none" w:sz="0" w:space="0" w:color="auto"/>
                        <w:bottom w:val="none" w:sz="0" w:space="0" w:color="auto"/>
                        <w:right w:val="none" w:sz="0" w:space="0" w:color="auto"/>
                      </w:divBdr>
                    </w:div>
                  </w:divsChild>
                </w:div>
                <w:div w:id="1107651661">
                  <w:marLeft w:val="0"/>
                  <w:marRight w:val="0"/>
                  <w:marTop w:val="0"/>
                  <w:marBottom w:val="0"/>
                  <w:divBdr>
                    <w:top w:val="none" w:sz="0" w:space="0" w:color="auto"/>
                    <w:left w:val="none" w:sz="0" w:space="0" w:color="auto"/>
                    <w:bottom w:val="none" w:sz="0" w:space="0" w:color="auto"/>
                    <w:right w:val="none" w:sz="0" w:space="0" w:color="auto"/>
                  </w:divBdr>
                  <w:divsChild>
                    <w:div w:id="529532743">
                      <w:marLeft w:val="0"/>
                      <w:marRight w:val="0"/>
                      <w:marTop w:val="0"/>
                      <w:marBottom w:val="0"/>
                      <w:divBdr>
                        <w:top w:val="none" w:sz="0" w:space="0" w:color="auto"/>
                        <w:left w:val="none" w:sz="0" w:space="0" w:color="auto"/>
                        <w:bottom w:val="none" w:sz="0" w:space="0" w:color="auto"/>
                        <w:right w:val="none" w:sz="0" w:space="0" w:color="auto"/>
                      </w:divBdr>
                    </w:div>
                  </w:divsChild>
                </w:div>
                <w:div w:id="1122648599">
                  <w:marLeft w:val="0"/>
                  <w:marRight w:val="0"/>
                  <w:marTop w:val="0"/>
                  <w:marBottom w:val="0"/>
                  <w:divBdr>
                    <w:top w:val="none" w:sz="0" w:space="0" w:color="auto"/>
                    <w:left w:val="none" w:sz="0" w:space="0" w:color="auto"/>
                    <w:bottom w:val="none" w:sz="0" w:space="0" w:color="auto"/>
                    <w:right w:val="none" w:sz="0" w:space="0" w:color="auto"/>
                  </w:divBdr>
                  <w:divsChild>
                    <w:div w:id="689531716">
                      <w:marLeft w:val="0"/>
                      <w:marRight w:val="0"/>
                      <w:marTop w:val="0"/>
                      <w:marBottom w:val="0"/>
                      <w:divBdr>
                        <w:top w:val="none" w:sz="0" w:space="0" w:color="auto"/>
                        <w:left w:val="none" w:sz="0" w:space="0" w:color="auto"/>
                        <w:bottom w:val="none" w:sz="0" w:space="0" w:color="auto"/>
                        <w:right w:val="none" w:sz="0" w:space="0" w:color="auto"/>
                      </w:divBdr>
                    </w:div>
                  </w:divsChild>
                </w:div>
                <w:div w:id="1128010944">
                  <w:marLeft w:val="0"/>
                  <w:marRight w:val="0"/>
                  <w:marTop w:val="0"/>
                  <w:marBottom w:val="0"/>
                  <w:divBdr>
                    <w:top w:val="none" w:sz="0" w:space="0" w:color="auto"/>
                    <w:left w:val="none" w:sz="0" w:space="0" w:color="auto"/>
                    <w:bottom w:val="none" w:sz="0" w:space="0" w:color="auto"/>
                    <w:right w:val="none" w:sz="0" w:space="0" w:color="auto"/>
                  </w:divBdr>
                  <w:divsChild>
                    <w:div w:id="122432206">
                      <w:marLeft w:val="0"/>
                      <w:marRight w:val="0"/>
                      <w:marTop w:val="0"/>
                      <w:marBottom w:val="0"/>
                      <w:divBdr>
                        <w:top w:val="none" w:sz="0" w:space="0" w:color="auto"/>
                        <w:left w:val="none" w:sz="0" w:space="0" w:color="auto"/>
                        <w:bottom w:val="none" w:sz="0" w:space="0" w:color="auto"/>
                        <w:right w:val="none" w:sz="0" w:space="0" w:color="auto"/>
                      </w:divBdr>
                    </w:div>
                  </w:divsChild>
                </w:div>
                <w:div w:id="1135878825">
                  <w:marLeft w:val="0"/>
                  <w:marRight w:val="0"/>
                  <w:marTop w:val="0"/>
                  <w:marBottom w:val="0"/>
                  <w:divBdr>
                    <w:top w:val="none" w:sz="0" w:space="0" w:color="auto"/>
                    <w:left w:val="none" w:sz="0" w:space="0" w:color="auto"/>
                    <w:bottom w:val="none" w:sz="0" w:space="0" w:color="auto"/>
                    <w:right w:val="none" w:sz="0" w:space="0" w:color="auto"/>
                  </w:divBdr>
                  <w:divsChild>
                    <w:div w:id="284654022">
                      <w:marLeft w:val="0"/>
                      <w:marRight w:val="0"/>
                      <w:marTop w:val="0"/>
                      <w:marBottom w:val="0"/>
                      <w:divBdr>
                        <w:top w:val="none" w:sz="0" w:space="0" w:color="auto"/>
                        <w:left w:val="none" w:sz="0" w:space="0" w:color="auto"/>
                        <w:bottom w:val="none" w:sz="0" w:space="0" w:color="auto"/>
                        <w:right w:val="none" w:sz="0" w:space="0" w:color="auto"/>
                      </w:divBdr>
                    </w:div>
                  </w:divsChild>
                </w:div>
                <w:div w:id="1152597778">
                  <w:marLeft w:val="0"/>
                  <w:marRight w:val="0"/>
                  <w:marTop w:val="0"/>
                  <w:marBottom w:val="0"/>
                  <w:divBdr>
                    <w:top w:val="none" w:sz="0" w:space="0" w:color="auto"/>
                    <w:left w:val="none" w:sz="0" w:space="0" w:color="auto"/>
                    <w:bottom w:val="none" w:sz="0" w:space="0" w:color="auto"/>
                    <w:right w:val="none" w:sz="0" w:space="0" w:color="auto"/>
                  </w:divBdr>
                  <w:divsChild>
                    <w:div w:id="42096928">
                      <w:marLeft w:val="0"/>
                      <w:marRight w:val="0"/>
                      <w:marTop w:val="0"/>
                      <w:marBottom w:val="0"/>
                      <w:divBdr>
                        <w:top w:val="none" w:sz="0" w:space="0" w:color="auto"/>
                        <w:left w:val="none" w:sz="0" w:space="0" w:color="auto"/>
                        <w:bottom w:val="none" w:sz="0" w:space="0" w:color="auto"/>
                        <w:right w:val="none" w:sz="0" w:space="0" w:color="auto"/>
                      </w:divBdr>
                    </w:div>
                  </w:divsChild>
                </w:div>
                <w:div w:id="1155415975">
                  <w:marLeft w:val="0"/>
                  <w:marRight w:val="0"/>
                  <w:marTop w:val="0"/>
                  <w:marBottom w:val="0"/>
                  <w:divBdr>
                    <w:top w:val="none" w:sz="0" w:space="0" w:color="auto"/>
                    <w:left w:val="none" w:sz="0" w:space="0" w:color="auto"/>
                    <w:bottom w:val="none" w:sz="0" w:space="0" w:color="auto"/>
                    <w:right w:val="none" w:sz="0" w:space="0" w:color="auto"/>
                  </w:divBdr>
                  <w:divsChild>
                    <w:div w:id="657273327">
                      <w:marLeft w:val="0"/>
                      <w:marRight w:val="0"/>
                      <w:marTop w:val="0"/>
                      <w:marBottom w:val="0"/>
                      <w:divBdr>
                        <w:top w:val="none" w:sz="0" w:space="0" w:color="auto"/>
                        <w:left w:val="none" w:sz="0" w:space="0" w:color="auto"/>
                        <w:bottom w:val="none" w:sz="0" w:space="0" w:color="auto"/>
                        <w:right w:val="none" w:sz="0" w:space="0" w:color="auto"/>
                      </w:divBdr>
                    </w:div>
                  </w:divsChild>
                </w:div>
                <w:div w:id="1156530187">
                  <w:marLeft w:val="0"/>
                  <w:marRight w:val="0"/>
                  <w:marTop w:val="0"/>
                  <w:marBottom w:val="0"/>
                  <w:divBdr>
                    <w:top w:val="none" w:sz="0" w:space="0" w:color="auto"/>
                    <w:left w:val="none" w:sz="0" w:space="0" w:color="auto"/>
                    <w:bottom w:val="none" w:sz="0" w:space="0" w:color="auto"/>
                    <w:right w:val="none" w:sz="0" w:space="0" w:color="auto"/>
                  </w:divBdr>
                  <w:divsChild>
                    <w:div w:id="1666591659">
                      <w:marLeft w:val="0"/>
                      <w:marRight w:val="0"/>
                      <w:marTop w:val="0"/>
                      <w:marBottom w:val="0"/>
                      <w:divBdr>
                        <w:top w:val="none" w:sz="0" w:space="0" w:color="auto"/>
                        <w:left w:val="none" w:sz="0" w:space="0" w:color="auto"/>
                        <w:bottom w:val="none" w:sz="0" w:space="0" w:color="auto"/>
                        <w:right w:val="none" w:sz="0" w:space="0" w:color="auto"/>
                      </w:divBdr>
                    </w:div>
                  </w:divsChild>
                </w:div>
                <w:div w:id="1175992877">
                  <w:marLeft w:val="0"/>
                  <w:marRight w:val="0"/>
                  <w:marTop w:val="0"/>
                  <w:marBottom w:val="0"/>
                  <w:divBdr>
                    <w:top w:val="none" w:sz="0" w:space="0" w:color="auto"/>
                    <w:left w:val="none" w:sz="0" w:space="0" w:color="auto"/>
                    <w:bottom w:val="none" w:sz="0" w:space="0" w:color="auto"/>
                    <w:right w:val="none" w:sz="0" w:space="0" w:color="auto"/>
                  </w:divBdr>
                  <w:divsChild>
                    <w:div w:id="1332290945">
                      <w:marLeft w:val="0"/>
                      <w:marRight w:val="0"/>
                      <w:marTop w:val="0"/>
                      <w:marBottom w:val="0"/>
                      <w:divBdr>
                        <w:top w:val="none" w:sz="0" w:space="0" w:color="auto"/>
                        <w:left w:val="none" w:sz="0" w:space="0" w:color="auto"/>
                        <w:bottom w:val="none" w:sz="0" w:space="0" w:color="auto"/>
                        <w:right w:val="none" w:sz="0" w:space="0" w:color="auto"/>
                      </w:divBdr>
                    </w:div>
                  </w:divsChild>
                </w:div>
                <w:div w:id="1185287895">
                  <w:marLeft w:val="0"/>
                  <w:marRight w:val="0"/>
                  <w:marTop w:val="0"/>
                  <w:marBottom w:val="0"/>
                  <w:divBdr>
                    <w:top w:val="none" w:sz="0" w:space="0" w:color="auto"/>
                    <w:left w:val="none" w:sz="0" w:space="0" w:color="auto"/>
                    <w:bottom w:val="none" w:sz="0" w:space="0" w:color="auto"/>
                    <w:right w:val="none" w:sz="0" w:space="0" w:color="auto"/>
                  </w:divBdr>
                  <w:divsChild>
                    <w:div w:id="1933973794">
                      <w:marLeft w:val="0"/>
                      <w:marRight w:val="0"/>
                      <w:marTop w:val="0"/>
                      <w:marBottom w:val="0"/>
                      <w:divBdr>
                        <w:top w:val="none" w:sz="0" w:space="0" w:color="auto"/>
                        <w:left w:val="none" w:sz="0" w:space="0" w:color="auto"/>
                        <w:bottom w:val="none" w:sz="0" w:space="0" w:color="auto"/>
                        <w:right w:val="none" w:sz="0" w:space="0" w:color="auto"/>
                      </w:divBdr>
                    </w:div>
                  </w:divsChild>
                </w:div>
                <w:div w:id="1188374045">
                  <w:marLeft w:val="0"/>
                  <w:marRight w:val="0"/>
                  <w:marTop w:val="0"/>
                  <w:marBottom w:val="0"/>
                  <w:divBdr>
                    <w:top w:val="none" w:sz="0" w:space="0" w:color="auto"/>
                    <w:left w:val="none" w:sz="0" w:space="0" w:color="auto"/>
                    <w:bottom w:val="none" w:sz="0" w:space="0" w:color="auto"/>
                    <w:right w:val="none" w:sz="0" w:space="0" w:color="auto"/>
                  </w:divBdr>
                  <w:divsChild>
                    <w:div w:id="610169976">
                      <w:marLeft w:val="0"/>
                      <w:marRight w:val="0"/>
                      <w:marTop w:val="0"/>
                      <w:marBottom w:val="0"/>
                      <w:divBdr>
                        <w:top w:val="none" w:sz="0" w:space="0" w:color="auto"/>
                        <w:left w:val="none" w:sz="0" w:space="0" w:color="auto"/>
                        <w:bottom w:val="none" w:sz="0" w:space="0" w:color="auto"/>
                        <w:right w:val="none" w:sz="0" w:space="0" w:color="auto"/>
                      </w:divBdr>
                    </w:div>
                  </w:divsChild>
                </w:div>
                <w:div w:id="1203515888">
                  <w:marLeft w:val="0"/>
                  <w:marRight w:val="0"/>
                  <w:marTop w:val="0"/>
                  <w:marBottom w:val="0"/>
                  <w:divBdr>
                    <w:top w:val="none" w:sz="0" w:space="0" w:color="auto"/>
                    <w:left w:val="none" w:sz="0" w:space="0" w:color="auto"/>
                    <w:bottom w:val="none" w:sz="0" w:space="0" w:color="auto"/>
                    <w:right w:val="none" w:sz="0" w:space="0" w:color="auto"/>
                  </w:divBdr>
                  <w:divsChild>
                    <w:div w:id="1018510182">
                      <w:marLeft w:val="0"/>
                      <w:marRight w:val="0"/>
                      <w:marTop w:val="0"/>
                      <w:marBottom w:val="0"/>
                      <w:divBdr>
                        <w:top w:val="none" w:sz="0" w:space="0" w:color="auto"/>
                        <w:left w:val="none" w:sz="0" w:space="0" w:color="auto"/>
                        <w:bottom w:val="none" w:sz="0" w:space="0" w:color="auto"/>
                        <w:right w:val="none" w:sz="0" w:space="0" w:color="auto"/>
                      </w:divBdr>
                    </w:div>
                  </w:divsChild>
                </w:div>
                <w:div w:id="1231960188">
                  <w:marLeft w:val="0"/>
                  <w:marRight w:val="0"/>
                  <w:marTop w:val="0"/>
                  <w:marBottom w:val="0"/>
                  <w:divBdr>
                    <w:top w:val="none" w:sz="0" w:space="0" w:color="auto"/>
                    <w:left w:val="none" w:sz="0" w:space="0" w:color="auto"/>
                    <w:bottom w:val="none" w:sz="0" w:space="0" w:color="auto"/>
                    <w:right w:val="none" w:sz="0" w:space="0" w:color="auto"/>
                  </w:divBdr>
                  <w:divsChild>
                    <w:div w:id="1190946925">
                      <w:marLeft w:val="0"/>
                      <w:marRight w:val="0"/>
                      <w:marTop w:val="0"/>
                      <w:marBottom w:val="0"/>
                      <w:divBdr>
                        <w:top w:val="none" w:sz="0" w:space="0" w:color="auto"/>
                        <w:left w:val="none" w:sz="0" w:space="0" w:color="auto"/>
                        <w:bottom w:val="none" w:sz="0" w:space="0" w:color="auto"/>
                        <w:right w:val="none" w:sz="0" w:space="0" w:color="auto"/>
                      </w:divBdr>
                    </w:div>
                  </w:divsChild>
                </w:div>
                <w:div w:id="1234119513">
                  <w:marLeft w:val="0"/>
                  <w:marRight w:val="0"/>
                  <w:marTop w:val="0"/>
                  <w:marBottom w:val="0"/>
                  <w:divBdr>
                    <w:top w:val="none" w:sz="0" w:space="0" w:color="auto"/>
                    <w:left w:val="none" w:sz="0" w:space="0" w:color="auto"/>
                    <w:bottom w:val="none" w:sz="0" w:space="0" w:color="auto"/>
                    <w:right w:val="none" w:sz="0" w:space="0" w:color="auto"/>
                  </w:divBdr>
                  <w:divsChild>
                    <w:div w:id="1294211302">
                      <w:marLeft w:val="0"/>
                      <w:marRight w:val="0"/>
                      <w:marTop w:val="0"/>
                      <w:marBottom w:val="0"/>
                      <w:divBdr>
                        <w:top w:val="none" w:sz="0" w:space="0" w:color="auto"/>
                        <w:left w:val="none" w:sz="0" w:space="0" w:color="auto"/>
                        <w:bottom w:val="none" w:sz="0" w:space="0" w:color="auto"/>
                        <w:right w:val="none" w:sz="0" w:space="0" w:color="auto"/>
                      </w:divBdr>
                    </w:div>
                  </w:divsChild>
                </w:div>
                <w:div w:id="1244148083">
                  <w:marLeft w:val="0"/>
                  <w:marRight w:val="0"/>
                  <w:marTop w:val="0"/>
                  <w:marBottom w:val="0"/>
                  <w:divBdr>
                    <w:top w:val="none" w:sz="0" w:space="0" w:color="auto"/>
                    <w:left w:val="none" w:sz="0" w:space="0" w:color="auto"/>
                    <w:bottom w:val="none" w:sz="0" w:space="0" w:color="auto"/>
                    <w:right w:val="none" w:sz="0" w:space="0" w:color="auto"/>
                  </w:divBdr>
                  <w:divsChild>
                    <w:div w:id="738819887">
                      <w:marLeft w:val="0"/>
                      <w:marRight w:val="0"/>
                      <w:marTop w:val="0"/>
                      <w:marBottom w:val="0"/>
                      <w:divBdr>
                        <w:top w:val="none" w:sz="0" w:space="0" w:color="auto"/>
                        <w:left w:val="none" w:sz="0" w:space="0" w:color="auto"/>
                        <w:bottom w:val="none" w:sz="0" w:space="0" w:color="auto"/>
                        <w:right w:val="none" w:sz="0" w:space="0" w:color="auto"/>
                      </w:divBdr>
                    </w:div>
                  </w:divsChild>
                </w:div>
                <w:div w:id="1254513264">
                  <w:marLeft w:val="0"/>
                  <w:marRight w:val="0"/>
                  <w:marTop w:val="0"/>
                  <w:marBottom w:val="0"/>
                  <w:divBdr>
                    <w:top w:val="none" w:sz="0" w:space="0" w:color="auto"/>
                    <w:left w:val="none" w:sz="0" w:space="0" w:color="auto"/>
                    <w:bottom w:val="none" w:sz="0" w:space="0" w:color="auto"/>
                    <w:right w:val="none" w:sz="0" w:space="0" w:color="auto"/>
                  </w:divBdr>
                  <w:divsChild>
                    <w:div w:id="1916012012">
                      <w:marLeft w:val="0"/>
                      <w:marRight w:val="0"/>
                      <w:marTop w:val="0"/>
                      <w:marBottom w:val="0"/>
                      <w:divBdr>
                        <w:top w:val="none" w:sz="0" w:space="0" w:color="auto"/>
                        <w:left w:val="none" w:sz="0" w:space="0" w:color="auto"/>
                        <w:bottom w:val="none" w:sz="0" w:space="0" w:color="auto"/>
                        <w:right w:val="none" w:sz="0" w:space="0" w:color="auto"/>
                      </w:divBdr>
                    </w:div>
                  </w:divsChild>
                </w:div>
                <w:div w:id="1274942971">
                  <w:marLeft w:val="0"/>
                  <w:marRight w:val="0"/>
                  <w:marTop w:val="0"/>
                  <w:marBottom w:val="0"/>
                  <w:divBdr>
                    <w:top w:val="none" w:sz="0" w:space="0" w:color="auto"/>
                    <w:left w:val="none" w:sz="0" w:space="0" w:color="auto"/>
                    <w:bottom w:val="none" w:sz="0" w:space="0" w:color="auto"/>
                    <w:right w:val="none" w:sz="0" w:space="0" w:color="auto"/>
                  </w:divBdr>
                  <w:divsChild>
                    <w:div w:id="415250935">
                      <w:marLeft w:val="0"/>
                      <w:marRight w:val="0"/>
                      <w:marTop w:val="0"/>
                      <w:marBottom w:val="0"/>
                      <w:divBdr>
                        <w:top w:val="none" w:sz="0" w:space="0" w:color="auto"/>
                        <w:left w:val="none" w:sz="0" w:space="0" w:color="auto"/>
                        <w:bottom w:val="none" w:sz="0" w:space="0" w:color="auto"/>
                        <w:right w:val="none" w:sz="0" w:space="0" w:color="auto"/>
                      </w:divBdr>
                    </w:div>
                  </w:divsChild>
                </w:div>
                <w:div w:id="1288852073">
                  <w:marLeft w:val="0"/>
                  <w:marRight w:val="0"/>
                  <w:marTop w:val="0"/>
                  <w:marBottom w:val="0"/>
                  <w:divBdr>
                    <w:top w:val="none" w:sz="0" w:space="0" w:color="auto"/>
                    <w:left w:val="none" w:sz="0" w:space="0" w:color="auto"/>
                    <w:bottom w:val="none" w:sz="0" w:space="0" w:color="auto"/>
                    <w:right w:val="none" w:sz="0" w:space="0" w:color="auto"/>
                  </w:divBdr>
                  <w:divsChild>
                    <w:div w:id="1930002389">
                      <w:marLeft w:val="0"/>
                      <w:marRight w:val="0"/>
                      <w:marTop w:val="0"/>
                      <w:marBottom w:val="0"/>
                      <w:divBdr>
                        <w:top w:val="none" w:sz="0" w:space="0" w:color="auto"/>
                        <w:left w:val="none" w:sz="0" w:space="0" w:color="auto"/>
                        <w:bottom w:val="none" w:sz="0" w:space="0" w:color="auto"/>
                        <w:right w:val="none" w:sz="0" w:space="0" w:color="auto"/>
                      </w:divBdr>
                    </w:div>
                  </w:divsChild>
                </w:div>
                <w:div w:id="1293440003">
                  <w:marLeft w:val="0"/>
                  <w:marRight w:val="0"/>
                  <w:marTop w:val="0"/>
                  <w:marBottom w:val="0"/>
                  <w:divBdr>
                    <w:top w:val="none" w:sz="0" w:space="0" w:color="auto"/>
                    <w:left w:val="none" w:sz="0" w:space="0" w:color="auto"/>
                    <w:bottom w:val="none" w:sz="0" w:space="0" w:color="auto"/>
                    <w:right w:val="none" w:sz="0" w:space="0" w:color="auto"/>
                  </w:divBdr>
                  <w:divsChild>
                    <w:div w:id="1997567516">
                      <w:marLeft w:val="0"/>
                      <w:marRight w:val="0"/>
                      <w:marTop w:val="0"/>
                      <w:marBottom w:val="0"/>
                      <w:divBdr>
                        <w:top w:val="none" w:sz="0" w:space="0" w:color="auto"/>
                        <w:left w:val="none" w:sz="0" w:space="0" w:color="auto"/>
                        <w:bottom w:val="none" w:sz="0" w:space="0" w:color="auto"/>
                        <w:right w:val="none" w:sz="0" w:space="0" w:color="auto"/>
                      </w:divBdr>
                    </w:div>
                  </w:divsChild>
                </w:div>
                <w:div w:id="1295134800">
                  <w:marLeft w:val="0"/>
                  <w:marRight w:val="0"/>
                  <w:marTop w:val="0"/>
                  <w:marBottom w:val="0"/>
                  <w:divBdr>
                    <w:top w:val="none" w:sz="0" w:space="0" w:color="auto"/>
                    <w:left w:val="none" w:sz="0" w:space="0" w:color="auto"/>
                    <w:bottom w:val="none" w:sz="0" w:space="0" w:color="auto"/>
                    <w:right w:val="none" w:sz="0" w:space="0" w:color="auto"/>
                  </w:divBdr>
                  <w:divsChild>
                    <w:div w:id="1432050967">
                      <w:marLeft w:val="0"/>
                      <w:marRight w:val="0"/>
                      <w:marTop w:val="0"/>
                      <w:marBottom w:val="0"/>
                      <w:divBdr>
                        <w:top w:val="none" w:sz="0" w:space="0" w:color="auto"/>
                        <w:left w:val="none" w:sz="0" w:space="0" w:color="auto"/>
                        <w:bottom w:val="none" w:sz="0" w:space="0" w:color="auto"/>
                        <w:right w:val="none" w:sz="0" w:space="0" w:color="auto"/>
                      </w:divBdr>
                    </w:div>
                  </w:divsChild>
                </w:div>
                <w:div w:id="1295211409">
                  <w:marLeft w:val="0"/>
                  <w:marRight w:val="0"/>
                  <w:marTop w:val="0"/>
                  <w:marBottom w:val="0"/>
                  <w:divBdr>
                    <w:top w:val="none" w:sz="0" w:space="0" w:color="auto"/>
                    <w:left w:val="none" w:sz="0" w:space="0" w:color="auto"/>
                    <w:bottom w:val="none" w:sz="0" w:space="0" w:color="auto"/>
                    <w:right w:val="none" w:sz="0" w:space="0" w:color="auto"/>
                  </w:divBdr>
                  <w:divsChild>
                    <w:div w:id="1688410429">
                      <w:marLeft w:val="0"/>
                      <w:marRight w:val="0"/>
                      <w:marTop w:val="0"/>
                      <w:marBottom w:val="0"/>
                      <w:divBdr>
                        <w:top w:val="none" w:sz="0" w:space="0" w:color="auto"/>
                        <w:left w:val="none" w:sz="0" w:space="0" w:color="auto"/>
                        <w:bottom w:val="none" w:sz="0" w:space="0" w:color="auto"/>
                        <w:right w:val="none" w:sz="0" w:space="0" w:color="auto"/>
                      </w:divBdr>
                    </w:div>
                  </w:divsChild>
                </w:div>
                <w:div w:id="1305431931">
                  <w:marLeft w:val="0"/>
                  <w:marRight w:val="0"/>
                  <w:marTop w:val="0"/>
                  <w:marBottom w:val="0"/>
                  <w:divBdr>
                    <w:top w:val="none" w:sz="0" w:space="0" w:color="auto"/>
                    <w:left w:val="none" w:sz="0" w:space="0" w:color="auto"/>
                    <w:bottom w:val="none" w:sz="0" w:space="0" w:color="auto"/>
                    <w:right w:val="none" w:sz="0" w:space="0" w:color="auto"/>
                  </w:divBdr>
                  <w:divsChild>
                    <w:div w:id="259722850">
                      <w:marLeft w:val="0"/>
                      <w:marRight w:val="0"/>
                      <w:marTop w:val="0"/>
                      <w:marBottom w:val="0"/>
                      <w:divBdr>
                        <w:top w:val="none" w:sz="0" w:space="0" w:color="auto"/>
                        <w:left w:val="none" w:sz="0" w:space="0" w:color="auto"/>
                        <w:bottom w:val="none" w:sz="0" w:space="0" w:color="auto"/>
                        <w:right w:val="none" w:sz="0" w:space="0" w:color="auto"/>
                      </w:divBdr>
                    </w:div>
                  </w:divsChild>
                </w:div>
                <w:div w:id="1320959292">
                  <w:marLeft w:val="0"/>
                  <w:marRight w:val="0"/>
                  <w:marTop w:val="0"/>
                  <w:marBottom w:val="0"/>
                  <w:divBdr>
                    <w:top w:val="none" w:sz="0" w:space="0" w:color="auto"/>
                    <w:left w:val="none" w:sz="0" w:space="0" w:color="auto"/>
                    <w:bottom w:val="none" w:sz="0" w:space="0" w:color="auto"/>
                    <w:right w:val="none" w:sz="0" w:space="0" w:color="auto"/>
                  </w:divBdr>
                  <w:divsChild>
                    <w:div w:id="64454324">
                      <w:marLeft w:val="0"/>
                      <w:marRight w:val="0"/>
                      <w:marTop w:val="0"/>
                      <w:marBottom w:val="0"/>
                      <w:divBdr>
                        <w:top w:val="none" w:sz="0" w:space="0" w:color="auto"/>
                        <w:left w:val="none" w:sz="0" w:space="0" w:color="auto"/>
                        <w:bottom w:val="none" w:sz="0" w:space="0" w:color="auto"/>
                        <w:right w:val="none" w:sz="0" w:space="0" w:color="auto"/>
                      </w:divBdr>
                    </w:div>
                    <w:div w:id="1707682074">
                      <w:marLeft w:val="0"/>
                      <w:marRight w:val="0"/>
                      <w:marTop w:val="0"/>
                      <w:marBottom w:val="0"/>
                      <w:divBdr>
                        <w:top w:val="none" w:sz="0" w:space="0" w:color="auto"/>
                        <w:left w:val="none" w:sz="0" w:space="0" w:color="auto"/>
                        <w:bottom w:val="none" w:sz="0" w:space="0" w:color="auto"/>
                        <w:right w:val="none" w:sz="0" w:space="0" w:color="auto"/>
                      </w:divBdr>
                    </w:div>
                  </w:divsChild>
                </w:div>
                <w:div w:id="1327782480">
                  <w:marLeft w:val="0"/>
                  <w:marRight w:val="0"/>
                  <w:marTop w:val="0"/>
                  <w:marBottom w:val="0"/>
                  <w:divBdr>
                    <w:top w:val="none" w:sz="0" w:space="0" w:color="auto"/>
                    <w:left w:val="none" w:sz="0" w:space="0" w:color="auto"/>
                    <w:bottom w:val="none" w:sz="0" w:space="0" w:color="auto"/>
                    <w:right w:val="none" w:sz="0" w:space="0" w:color="auto"/>
                  </w:divBdr>
                  <w:divsChild>
                    <w:div w:id="1849175469">
                      <w:marLeft w:val="0"/>
                      <w:marRight w:val="0"/>
                      <w:marTop w:val="0"/>
                      <w:marBottom w:val="0"/>
                      <w:divBdr>
                        <w:top w:val="none" w:sz="0" w:space="0" w:color="auto"/>
                        <w:left w:val="none" w:sz="0" w:space="0" w:color="auto"/>
                        <w:bottom w:val="none" w:sz="0" w:space="0" w:color="auto"/>
                        <w:right w:val="none" w:sz="0" w:space="0" w:color="auto"/>
                      </w:divBdr>
                    </w:div>
                  </w:divsChild>
                </w:div>
                <w:div w:id="1342732464">
                  <w:marLeft w:val="0"/>
                  <w:marRight w:val="0"/>
                  <w:marTop w:val="0"/>
                  <w:marBottom w:val="0"/>
                  <w:divBdr>
                    <w:top w:val="none" w:sz="0" w:space="0" w:color="auto"/>
                    <w:left w:val="none" w:sz="0" w:space="0" w:color="auto"/>
                    <w:bottom w:val="none" w:sz="0" w:space="0" w:color="auto"/>
                    <w:right w:val="none" w:sz="0" w:space="0" w:color="auto"/>
                  </w:divBdr>
                  <w:divsChild>
                    <w:div w:id="1244023295">
                      <w:marLeft w:val="0"/>
                      <w:marRight w:val="0"/>
                      <w:marTop w:val="0"/>
                      <w:marBottom w:val="0"/>
                      <w:divBdr>
                        <w:top w:val="none" w:sz="0" w:space="0" w:color="auto"/>
                        <w:left w:val="none" w:sz="0" w:space="0" w:color="auto"/>
                        <w:bottom w:val="none" w:sz="0" w:space="0" w:color="auto"/>
                        <w:right w:val="none" w:sz="0" w:space="0" w:color="auto"/>
                      </w:divBdr>
                    </w:div>
                  </w:divsChild>
                </w:div>
                <w:div w:id="1378507063">
                  <w:marLeft w:val="0"/>
                  <w:marRight w:val="0"/>
                  <w:marTop w:val="0"/>
                  <w:marBottom w:val="0"/>
                  <w:divBdr>
                    <w:top w:val="none" w:sz="0" w:space="0" w:color="auto"/>
                    <w:left w:val="none" w:sz="0" w:space="0" w:color="auto"/>
                    <w:bottom w:val="none" w:sz="0" w:space="0" w:color="auto"/>
                    <w:right w:val="none" w:sz="0" w:space="0" w:color="auto"/>
                  </w:divBdr>
                  <w:divsChild>
                    <w:div w:id="659575486">
                      <w:marLeft w:val="0"/>
                      <w:marRight w:val="0"/>
                      <w:marTop w:val="0"/>
                      <w:marBottom w:val="0"/>
                      <w:divBdr>
                        <w:top w:val="none" w:sz="0" w:space="0" w:color="auto"/>
                        <w:left w:val="none" w:sz="0" w:space="0" w:color="auto"/>
                        <w:bottom w:val="none" w:sz="0" w:space="0" w:color="auto"/>
                        <w:right w:val="none" w:sz="0" w:space="0" w:color="auto"/>
                      </w:divBdr>
                    </w:div>
                  </w:divsChild>
                </w:div>
                <w:div w:id="1477256860">
                  <w:marLeft w:val="0"/>
                  <w:marRight w:val="0"/>
                  <w:marTop w:val="0"/>
                  <w:marBottom w:val="0"/>
                  <w:divBdr>
                    <w:top w:val="none" w:sz="0" w:space="0" w:color="auto"/>
                    <w:left w:val="none" w:sz="0" w:space="0" w:color="auto"/>
                    <w:bottom w:val="none" w:sz="0" w:space="0" w:color="auto"/>
                    <w:right w:val="none" w:sz="0" w:space="0" w:color="auto"/>
                  </w:divBdr>
                  <w:divsChild>
                    <w:div w:id="364402683">
                      <w:marLeft w:val="0"/>
                      <w:marRight w:val="0"/>
                      <w:marTop w:val="0"/>
                      <w:marBottom w:val="0"/>
                      <w:divBdr>
                        <w:top w:val="none" w:sz="0" w:space="0" w:color="auto"/>
                        <w:left w:val="none" w:sz="0" w:space="0" w:color="auto"/>
                        <w:bottom w:val="none" w:sz="0" w:space="0" w:color="auto"/>
                        <w:right w:val="none" w:sz="0" w:space="0" w:color="auto"/>
                      </w:divBdr>
                    </w:div>
                  </w:divsChild>
                </w:div>
                <w:div w:id="1491601367">
                  <w:marLeft w:val="0"/>
                  <w:marRight w:val="0"/>
                  <w:marTop w:val="0"/>
                  <w:marBottom w:val="0"/>
                  <w:divBdr>
                    <w:top w:val="none" w:sz="0" w:space="0" w:color="auto"/>
                    <w:left w:val="none" w:sz="0" w:space="0" w:color="auto"/>
                    <w:bottom w:val="none" w:sz="0" w:space="0" w:color="auto"/>
                    <w:right w:val="none" w:sz="0" w:space="0" w:color="auto"/>
                  </w:divBdr>
                  <w:divsChild>
                    <w:div w:id="750543020">
                      <w:marLeft w:val="0"/>
                      <w:marRight w:val="0"/>
                      <w:marTop w:val="0"/>
                      <w:marBottom w:val="0"/>
                      <w:divBdr>
                        <w:top w:val="none" w:sz="0" w:space="0" w:color="auto"/>
                        <w:left w:val="none" w:sz="0" w:space="0" w:color="auto"/>
                        <w:bottom w:val="none" w:sz="0" w:space="0" w:color="auto"/>
                        <w:right w:val="none" w:sz="0" w:space="0" w:color="auto"/>
                      </w:divBdr>
                    </w:div>
                  </w:divsChild>
                </w:div>
                <w:div w:id="1496341259">
                  <w:marLeft w:val="0"/>
                  <w:marRight w:val="0"/>
                  <w:marTop w:val="0"/>
                  <w:marBottom w:val="0"/>
                  <w:divBdr>
                    <w:top w:val="none" w:sz="0" w:space="0" w:color="auto"/>
                    <w:left w:val="none" w:sz="0" w:space="0" w:color="auto"/>
                    <w:bottom w:val="none" w:sz="0" w:space="0" w:color="auto"/>
                    <w:right w:val="none" w:sz="0" w:space="0" w:color="auto"/>
                  </w:divBdr>
                  <w:divsChild>
                    <w:div w:id="1675260091">
                      <w:marLeft w:val="0"/>
                      <w:marRight w:val="0"/>
                      <w:marTop w:val="0"/>
                      <w:marBottom w:val="0"/>
                      <w:divBdr>
                        <w:top w:val="none" w:sz="0" w:space="0" w:color="auto"/>
                        <w:left w:val="none" w:sz="0" w:space="0" w:color="auto"/>
                        <w:bottom w:val="none" w:sz="0" w:space="0" w:color="auto"/>
                        <w:right w:val="none" w:sz="0" w:space="0" w:color="auto"/>
                      </w:divBdr>
                    </w:div>
                  </w:divsChild>
                </w:div>
                <w:div w:id="1496457797">
                  <w:marLeft w:val="0"/>
                  <w:marRight w:val="0"/>
                  <w:marTop w:val="0"/>
                  <w:marBottom w:val="0"/>
                  <w:divBdr>
                    <w:top w:val="none" w:sz="0" w:space="0" w:color="auto"/>
                    <w:left w:val="none" w:sz="0" w:space="0" w:color="auto"/>
                    <w:bottom w:val="none" w:sz="0" w:space="0" w:color="auto"/>
                    <w:right w:val="none" w:sz="0" w:space="0" w:color="auto"/>
                  </w:divBdr>
                  <w:divsChild>
                    <w:div w:id="773012066">
                      <w:marLeft w:val="0"/>
                      <w:marRight w:val="0"/>
                      <w:marTop w:val="0"/>
                      <w:marBottom w:val="0"/>
                      <w:divBdr>
                        <w:top w:val="none" w:sz="0" w:space="0" w:color="auto"/>
                        <w:left w:val="none" w:sz="0" w:space="0" w:color="auto"/>
                        <w:bottom w:val="none" w:sz="0" w:space="0" w:color="auto"/>
                        <w:right w:val="none" w:sz="0" w:space="0" w:color="auto"/>
                      </w:divBdr>
                    </w:div>
                  </w:divsChild>
                </w:div>
                <w:div w:id="1523543556">
                  <w:marLeft w:val="0"/>
                  <w:marRight w:val="0"/>
                  <w:marTop w:val="0"/>
                  <w:marBottom w:val="0"/>
                  <w:divBdr>
                    <w:top w:val="none" w:sz="0" w:space="0" w:color="auto"/>
                    <w:left w:val="none" w:sz="0" w:space="0" w:color="auto"/>
                    <w:bottom w:val="none" w:sz="0" w:space="0" w:color="auto"/>
                    <w:right w:val="none" w:sz="0" w:space="0" w:color="auto"/>
                  </w:divBdr>
                  <w:divsChild>
                    <w:div w:id="2042389847">
                      <w:marLeft w:val="0"/>
                      <w:marRight w:val="0"/>
                      <w:marTop w:val="0"/>
                      <w:marBottom w:val="0"/>
                      <w:divBdr>
                        <w:top w:val="none" w:sz="0" w:space="0" w:color="auto"/>
                        <w:left w:val="none" w:sz="0" w:space="0" w:color="auto"/>
                        <w:bottom w:val="none" w:sz="0" w:space="0" w:color="auto"/>
                        <w:right w:val="none" w:sz="0" w:space="0" w:color="auto"/>
                      </w:divBdr>
                    </w:div>
                  </w:divsChild>
                </w:div>
                <w:div w:id="1536654074">
                  <w:marLeft w:val="0"/>
                  <w:marRight w:val="0"/>
                  <w:marTop w:val="0"/>
                  <w:marBottom w:val="0"/>
                  <w:divBdr>
                    <w:top w:val="none" w:sz="0" w:space="0" w:color="auto"/>
                    <w:left w:val="none" w:sz="0" w:space="0" w:color="auto"/>
                    <w:bottom w:val="none" w:sz="0" w:space="0" w:color="auto"/>
                    <w:right w:val="none" w:sz="0" w:space="0" w:color="auto"/>
                  </w:divBdr>
                  <w:divsChild>
                    <w:div w:id="796029842">
                      <w:marLeft w:val="0"/>
                      <w:marRight w:val="0"/>
                      <w:marTop w:val="0"/>
                      <w:marBottom w:val="0"/>
                      <w:divBdr>
                        <w:top w:val="none" w:sz="0" w:space="0" w:color="auto"/>
                        <w:left w:val="none" w:sz="0" w:space="0" w:color="auto"/>
                        <w:bottom w:val="none" w:sz="0" w:space="0" w:color="auto"/>
                        <w:right w:val="none" w:sz="0" w:space="0" w:color="auto"/>
                      </w:divBdr>
                    </w:div>
                  </w:divsChild>
                </w:div>
                <w:div w:id="1536771144">
                  <w:marLeft w:val="0"/>
                  <w:marRight w:val="0"/>
                  <w:marTop w:val="0"/>
                  <w:marBottom w:val="0"/>
                  <w:divBdr>
                    <w:top w:val="none" w:sz="0" w:space="0" w:color="auto"/>
                    <w:left w:val="none" w:sz="0" w:space="0" w:color="auto"/>
                    <w:bottom w:val="none" w:sz="0" w:space="0" w:color="auto"/>
                    <w:right w:val="none" w:sz="0" w:space="0" w:color="auto"/>
                  </w:divBdr>
                  <w:divsChild>
                    <w:div w:id="692655795">
                      <w:marLeft w:val="0"/>
                      <w:marRight w:val="0"/>
                      <w:marTop w:val="0"/>
                      <w:marBottom w:val="0"/>
                      <w:divBdr>
                        <w:top w:val="none" w:sz="0" w:space="0" w:color="auto"/>
                        <w:left w:val="none" w:sz="0" w:space="0" w:color="auto"/>
                        <w:bottom w:val="none" w:sz="0" w:space="0" w:color="auto"/>
                        <w:right w:val="none" w:sz="0" w:space="0" w:color="auto"/>
                      </w:divBdr>
                    </w:div>
                  </w:divsChild>
                </w:div>
                <w:div w:id="1540050799">
                  <w:marLeft w:val="0"/>
                  <w:marRight w:val="0"/>
                  <w:marTop w:val="0"/>
                  <w:marBottom w:val="0"/>
                  <w:divBdr>
                    <w:top w:val="none" w:sz="0" w:space="0" w:color="auto"/>
                    <w:left w:val="none" w:sz="0" w:space="0" w:color="auto"/>
                    <w:bottom w:val="none" w:sz="0" w:space="0" w:color="auto"/>
                    <w:right w:val="none" w:sz="0" w:space="0" w:color="auto"/>
                  </w:divBdr>
                  <w:divsChild>
                    <w:div w:id="1653826843">
                      <w:marLeft w:val="0"/>
                      <w:marRight w:val="0"/>
                      <w:marTop w:val="0"/>
                      <w:marBottom w:val="0"/>
                      <w:divBdr>
                        <w:top w:val="none" w:sz="0" w:space="0" w:color="auto"/>
                        <w:left w:val="none" w:sz="0" w:space="0" w:color="auto"/>
                        <w:bottom w:val="none" w:sz="0" w:space="0" w:color="auto"/>
                        <w:right w:val="none" w:sz="0" w:space="0" w:color="auto"/>
                      </w:divBdr>
                    </w:div>
                  </w:divsChild>
                </w:div>
                <w:div w:id="1557082604">
                  <w:marLeft w:val="0"/>
                  <w:marRight w:val="0"/>
                  <w:marTop w:val="0"/>
                  <w:marBottom w:val="0"/>
                  <w:divBdr>
                    <w:top w:val="none" w:sz="0" w:space="0" w:color="auto"/>
                    <w:left w:val="none" w:sz="0" w:space="0" w:color="auto"/>
                    <w:bottom w:val="none" w:sz="0" w:space="0" w:color="auto"/>
                    <w:right w:val="none" w:sz="0" w:space="0" w:color="auto"/>
                  </w:divBdr>
                  <w:divsChild>
                    <w:div w:id="379938819">
                      <w:marLeft w:val="0"/>
                      <w:marRight w:val="0"/>
                      <w:marTop w:val="0"/>
                      <w:marBottom w:val="0"/>
                      <w:divBdr>
                        <w:top w:val="none" w:sz="0" w:space="0" w:color="auto"/>
                        <w:left w:val="none" w:sz="0" w:space="0" w:color="auto"/>
                        <w:bottom w:val="none" w:sz="0" w:space="0" w:color="auto"/>
                        <w:right w:val="none" w:sz="0" w:space="0" w:color="auto"/>
                      </w:divBdr>
                    </w:div>
                  </w:divsChild>
                </w:div>
                <w:div w:id="1557736803">
                  <w:marLeft w:val="0"/>
                  <w:marRight w:val="0"/>
                  <w:marTop w:val="0"/>
                  <w:marBottom w:val="0"/>
                  <w:divBdr>
                    <w:top w:val="none" w:sz="0" w:space="0" w:color="auto"/>
                    <w:left w:val="none" w:sz="0" w:space="0" w:color="auto"/>
                    <w:bottom w:val="none" w:sz="0" w:space="0" w:color="auto"/>
                    <w:right w:val="none" w:sz="0" w:space="0" w:color="auto"/>
                  </w:divBdr>
                  <w:divsChild>
                    <w:div w:id="1997873026">
                      <w:marLeft w:val="0"/>
                      <w:marRight w:val="0"/>
                      <w:marTop w:val="0"/>
                      <w:marBottom w:val="0"/>
                      <w:divBdr>
                        <w:top w:val="none" w:sz="0" w:space="0" w:color="auto"/>
                        <w:left w:val="none" w:sz="0" w:space="0" w:color="auto"/>
                        <w:bottom w:val="none" w:sz="0" w:space="0" w:color="auto"/>
                        <w:right w:val="none" w:sz="0" w:space="0" w:color="auto"/>
                      </w:divBdr>
                    </w:div>
                  </w:divsChild>
                </w:div>
                <w:div w:id="1602760275">
                  <w:marLeft w:val="0"/>
                  <w:marRight w:val="0"/>
                  <w:marTop w:val="0"/>
                  <w:marBottom w:val="0"/>
                  <w:divBdr>
                    <w:top w:val="none" w:sz="0" w:space="0" w:color="auto"/>
                    <w:left w:val="none" w:sz="0" w:space="0" w:color="auto"/>
                    <w:bottom w:val="none" w:sz="0" w:space="0" w:color="auto"/>
                    <w:right w:val="none" w:sz="0" w:space="0" w:color="auto"/>
                  </w:divBdr>
                  <w:divsChild>
                    <w:div w:id="1255938362">
                      <w:marLeft w:val="0"/>
                      <w:marRight w:val="0"/>
                      <w:marTop w:val="0"/>
                      <w:marBottom w:val="0"/>
                      <w:divBdr>
                        <w:top w:val="none" w:sz="0" w:space="0" w:color="auto"/>
                        <w:left w:val="none" w:sz="0" w:space="0" w:color="auto"/>
                        <w:bottom w:val="none" w:sz="0" w:space="0" w:color="auto"/>
                        <w:right w:val="none" w:sz="0" w:space="0" w:color="auto"/>
                      </w:divBdr>
                    </w:div>
                  </w:divsChild>
                </w:div>
                <w:div w:id="1609700554">
                  <w:marLeft w:val="0"/>
                  <w:marRight w:val="0"/>
                  <w:marTop w:val="0"/>
                  <w:marBottom w:val="0"/>
                  <w:divBdr>
                    <w:top w:val="none" w:sz="0" w:space="0" w:color="auto"/>
                    <w:left w:val="none" w:sz="0" w:space="0" w:color="auto"/>
                    <w:bottom w:val="none" w:sz="0" w:space="0" w:color="auto"/>
                    <w:right w:val="none" w:sz="0" w:space="0" w:color="auto"/>
                  </w:divBdr>
                  <w:divsChild>
                    <w:div w:id="1478761039">
                      <w:marLeft w:val="0"/>
                      <w:marRight w:val="0"/>
                      <w:marTop w:val="0"/>
                      <w:marBottom w:val="0"/>
                      <w:divBdr>
                        <w:top w:val="none" w:sz="0" w:space="0" w:color="auto"/>
                        <w:left w:val="none" w:sz="0" w:space="0" w:color="auto"/>
                        <w:bottom w:val="none" w:sz="0" w:space="0" w:color="auto"/>
                        <w:right w:val="none" w:sz="0" w:space="0" w:color="auto"/>
                      </w:divBdr>
                    </w:div>
                  </w:divsChild>
                </w:div>
                <w:div w:id="1616331047">
                  <w:marLeft w:val="0"/>
                  <w:marRight w:val="0"/>
                  <w:marTop w:val="0"/>
                  <w:marBottom w:val="0"/>
                  <w:divBdr>
                    <w:top w:val="none" w:sz="0" w:space="0" w:color="auto"/>
                    <w:left w:val="none" w:sz="0" w:space="0" w:color="auto"/>
                    <w:bottom w:val="none" w:sz="0" w:space="0" w:color="auto"/>
                    <w:right w:val="none" w:sz="0" w:space="0" w:color="auto"/>
                  </w:divBdr>
                  <w:divsChild>
                    <w:div w:id="1373918780">
                      <w:marLeft w:val="0"/>
                      <w:marRight w:val="0"/>
                      <w:marTop w:val="0"/>
                      <w:marBottom w:val="0"/>
                      <w:divBdr>
                        <w:top w:val="none" w:sz="0" w:space="0" w:color="auto"/>
                        <w:left w:val="none" w:sz="0" w:space="0" w:color="auto"/>
                        <w:bottom w:val="none" w:sz="0" w:space="0" w:color="auto"/>
                        <w:right w:val="none" w:sz="0" w:space="0" w:color="auto"/>
                      </w:divBdr>
                    </w:div>
                  </w:divsChild>
                </w:div>
                <w:div w:id="1622221588">
                  <w:marLeft w:val="0"/>
                  <w:marRight w:val="0"/>
                  <w:marTop w:val="0"/>
                  <w:marBottom w:val="0"/>
                  <w:divBdr>
                    <w:top w:val="none" w:sz="0" w:space="0" w:color="auto"/>
                    <w:left w:val="none" w:sz="0" w:space="0" w:color="auto"/>
                    <w:bottom w:val="none" w:sz="0" w:space="0" w:color="auto"/>
                    <w:right w:val="none" w:sz="0" w:space="0" w:color="auto"/>
                  </w:divBdr>
                  <w:divsChild>
                    <w:div w:id="1933199541">
                      <w:marLeft w:val="0"/>
                      <w:marRight w:val="0"/>
                      <w:marTop w:val="0"/>
                      <w:marBottom w:val="0"/>
                      <w:divBdr>
                        <w:top w:val="none" w:sz="0" w:space="0" w:color="auto"/>
                        <w:left w:val="none" w:sz="0" w:space="0" w:color="auto"/>
                        <w:bottom w:val="none" w:sz="0" w:space="0" w:color="auto"/>
                        <w:right w:val="none" w:sz="0" w:space="0" w:color="auto"/>
                      </w:divBdr>
                    </w:div>
                  </w:divsChild>
                </w:div>
                <w:div w:id="1637107248">
                  <w:marLeft w:val="0"/>
                  <w:marRight w:val="0"/>
                  <w:marTop w:val="0"/>
                  <w:marBottom w:val="0"/>
                  <w:divBdr>
                    <w:top w:val="none" w:sz="0" w:space="0" w:color="auto"/>
                    <w:left w:val="none" w:sz="0" w:space="0" w:color="auto"/>
                    <w:bottom w:val="none" w:sz="0" w:space="0" w:color="auto"/>
                    <w:right w:val="none" w:sz="0" w:space="0" w:color="auto"/>
                  </w:divBdr>
                  <w:divsChild>
                    <w:div w:id="1035927614">
                      <w:marLeft w:val="0"/>
                      <w:marRight w:val="0"/>
                      <w:marTop w:val="0"/>
                      <w:marBottom w:val="0"/>
                      <w:divBdr>
                        <w:top w:val="none" w:sz="0" w:space="0" w:color="auto"/>
                        <w:left w:val="none" w:sz="0" w:space="0" w:color="auto"/>
                        <w:bottom w:val="none" w:sz="0" w:space="0" w:color="auto"/>
                        <w:right w:val="none" w:sz="0" w:space="0" w:color="auto"/>
                      </w:divBdr>
                    </w:div>
                  </w:divsChild>
                </w:div>
                <w:div w:id="1640497171">
                  <w:marLeft w:val="0"/>
                  <w:marRight w:val="0"/>
                  <w:marTop w:val="0"/>
                  <w:marBottom w:val="0"/>
                  <w:divBdr>
                    <w:top w:val="none" w:sz="0" w:space="0" w:color="auto"/>
                    <w:left w:val="none" w:sz="0" w:space="0" w:color="auto"/>
                    <w:bottom w:val="none" w:sz="0" w:space="0" w:color="auto"/>
                    <w:right w:val="none" w:sz="0" w:space="0" w:color="auto"/>
                  </w:divBdr>
                  <w:divsChild>
                    <w:div w:id="890076695">
                      <w:marLeft w:val="0"/>
                      <w:marRight w:val="0"/>
                      <w:marTop w:val="0"/>
                      <w:marBottom w:val="0"/>
                      <w:divBdr>
                        <w:top w:val="none" w:sz="0" w:space="0" w:color="auto"/>
                        <w:left w:val="none" w:sz="0" w:space="0" w:color="auto"/>
                        <w:bottom w:val="none" w:sz="0" w:space="0" w:color="auto"/>
                        <w:right w:val="none" w:sz="0" w:space="0" w:color="auto"/>
                      </w:divBdr>
                    </w:div>
                  </w:divsChild>
                </w:div>
                <w:div w:id="1674795373">
                  <w:marLeft w:val="0"/>
                  <w:marRight w:val="0"/>
                  <w:marTop w:val="0"/>
                  <w:marBottom w:val="0"/>
                  <w:divBdr>
                    <w:top w:val="none" w:sz="0" w:space="0" w:color="auto"/>
                    <w:left w:val="none" w:sz="0" w:space="0" w:color="auto"/>
                    <w:bottom w:val="none" w:sz="0" w:space="0" w:color="auto"/>
                    <w:right w:val="none" w:sz="0" w:space="0" w:color="auto"/>
                  </w:divBdr>
                  <w:divsChild>
                    <w:div w:id="476265652">
                      <w:marLeft w:val="0"/>
                      <w:marRight w:val="0"/>
                      <w:marTop w:val="0"/>
                      <w:marBottom w:val="0"/>
                      <w:divBdr>
                        <w:top w:val="none" w:sz="0" w:space="0" w:color="auto"/>
                        <w:left w:val="none" w:sz="0" w:space="0" w:color="auto"/>
                        <w:bottom w:val="none" w:sz="0" w:space="0" w:color="auto"/>
                        <w:right w:val="none" w:sz="0" w:space="0" w:color="auto"/>
                      </w:divBdr>
                    </w:div>
                  </w:divsChild>
                </w:div>
                <w:div w:id="1688868902">
                  <w:marLeft w:val="0"/>
                  <w:marRight w:val="0"/>
                  <w:marTop w:val="0"/>
                  <w:marBottom w:val="0"/>
                  <w:divBdr>
                    <w:top w:val="none" w:sz="0" w:space="0" w:color="auto"/>
                    <w:left w:val="none" w:sz="0" w:space="0" w:color="auto"/>
                    <w:bottom w:val="none" w:sz="0" w:space="0" w:color="auto"/>
                    <w:right w:val="none" w:sz="0" w:space="0" w:color="auto"/>
                  </w:divBdr>
                  <w:divsChild>
                    <w:div w:id="1016536075">
                      <w:marLeft w:val="0"/>
                      <w:marRight w:val="0"/>
                      <w:marTop w:val="0"/>
                      <w:marBottom w:val="0"/>
                      <w:divBdr>
                        <w:top w:val="none" w:sz="0" w:space="0" w:color="auto"/>
                        <w:left w:val="none" w:sz="0" w:space="0" w:color="auto"/>
                        <w:bottom w:val="none" w:sz="0" w:space="0" w:color="auto"/>
                        <w:right w:val="none" w:sz="0" w:space="0" w:color="auto"/>
                      </w:divBdr>
                    </w:div>
                  </w:divsChild>
                </w:div>
                <w:div w:id="1689326524">
                  <w:marLeft w:val="0"/>
                  <w:marRight w:val="0"/>
                  <w:marTop w:val="0"/>
                  <w:marBottom w:val="0"/>
                  <w:divBdr>
                    <w:top w:val="none" w:sz="0" w:space="0" w:color="auto"/>
                    <w:left w:val="none" w:sz="0" w:space="0" w:color="auto"/>
                    <w:bottom w:val="none" w:sz="0" w:space="0" w:color="auto"/>
                    <w:right w:val="none" w:sz="0" w:space="0" w:color="auto"/>
                  </w:divBdr>
                  <w:divsChild>
                    <w:div w:id="1131553704">
                      <w:marLeft w:val="0"/>
                      <w:marRight w:val="0"/>
                      <w:marTop w:val="0"/>
                      <w:marBottom w:val="0"/>
                      <w:divBdr>
                        <w:top w:val="none" w:sz="0" w:space="0" w:color="auto"/>
                        <w:left w:val="none" w:sz="0" w:space="0" w:color="auto"/>
                        <w:bottom w:val="none" w:sz="0" w:space="0" w:color="auto"/>
                        <w:right w:val="none" w:sz="0" w:space="0" w:color="auto"/>
                      </w:divBdr>
                    </w:div>
                  </w:divsChild>
                </w:div>
                <w:div w:id="1706784133">
                  <w:marLeft w:val="0"/>
                  <w:marRight w:val="0"/>
                  <w:marTop w:val="0"/>
                  <w:marBottom w:val="0"/>
                  <w:divBdr>
                    <w:top w:val="none" w:sz="0" w:space="0" w:color="auto"/>
                    <w:left w:val="none" w:sz="0" w:space="0" w:color="auto"/>
                    <w:bottom w:val="none" w:sz="0" w:space="0" w:color="auto"/>
                    <w:right w:val="none" w:sz="0" w:space="0" w:color="auto"/>
                  </w:divBdr>
                  <w:divsChild>
                    <w:div w:id="751663962">
                      <w:marLeft w:val="0"/>
                      <w:marRight w:val="0"/>
                      <w:marTop w:val="0"/>
                      <w:marBottom w:val="0"/>
                      <w:divBdr>
                        <w:top w:val="none" w:sz="0" w:space="0" w:color="auto"/>
                        <w:left w:val="none" w:sz="0" w:space="0" w:color="auto"/>
                        <w:bottom w:val="none" w:sz="0" w:space="0" w:color="auto"/>
                        <w:right w:val="none" w:sz="0" w:space="0" w:color="auto"/>
                      </w:divBdr>
                    </w:div>
                  </w:divsChild>
                </w:div>
                <w:div w:id="1720980360">
                  <w:marLeft w:val="0"/>
                  <w:marRight w:val="0"/>
                  <w:marTop w:val="0"/>
                  <w:marBottom w:val="0"/>
                  <w:divBdr>
                    <w:top w:val="none" w:sz="0" w:space="0" w:color="auto"/>
                    <w:left w:val="none" w:sz="0" w:space="0" w:color="auto"/>
                    <w:bottom w:val="none" w:sz="0" w:space="0" w:color="auto"/>
                    <w:right w:val="none" w:sz="0" w:space="0" w:color="auto"/>
                  </w:divBdr>
                  <w:divsChild>
                    <w:div w:id="2024089078">
                      <w:marLeft w:val="0"/>
                      <w:marRight w:val="0"/>
                      <w:marTop w:val="0"/>
                      <w:marBottom w:val="0"/>
                      <w:divBdr>
                        <w:top w:val="none" w:sz="0" w:space="0" w:color="auto"/>
                        <w:left w:val="none" w:sz="0" w:space="0" w:color="auto"/>
                        <w:bottom w:val="none" w:sz="0" w:space="0" w:color="auto"/>
                        <w:right w:val="none" w:sz="0" w:space="0" w:color="auto"/>
                      </w:divBdr>
                    </w:div>
                  </w:divsChild>
                </w:div>
                <w:div w:id="1722943748">
                  <w:marLeft w:val="0"/>
                  <w:marRight w:val="0"/>
                  <w:marTop w:val="0"/>
                  <w:marBottom w:val="0"/>
                  <w:divBdr>
                    <w:top w:val="none" w:sz="0" w:space="0" w:color="auto"/>
                    <w:left w:val="none" w:sz="0" w:space="0" w:color="auto"/>
                    <w:bottom w:val="none" w:sz="0" w:space="0" w:color="auto"/>
                    <w:right w:val="none" w:sz="0" w:space="0" w:color="auto"/>
                  </w:divBdr>
                  <w:divsChild>
                    <w:div w:id="2140493522">
                      <w:marLeft w:val="0"/>
                      <w:marRight w:val="0"/>
                      <w:marTop w:val="0"/>
                      <w:marBottom w:val="0"/>
                      <w:divBdr>
                        <w:top w:val="none" w:sz="0" w:space="0" w:color="auto"/>
                        <w:left w:val="none" w:sz="0" w:space="0" w:color="auto"/>
                        <w:bottom w:val="none" w:sz="0" w:space="0" w:color="auto"/>
                        <w:right w:val="none" w:sz="0" w:space="0" w:color="auto"/>
                      </w:divBdr>
                    </w:div>
                  </w:divsChild>
                </w:div>
                <w:div w:id="1727147557">
                  <w:marLeft w:val="0"/>
                  <w:marRight w:val="0"/>
                  <w:marTop w:val="0"/>
                  <w:marBottom w:val="0"/>
                  <w:divBdr>
                    <w:top w:val="none" w:sz="0" w:space="0" w:color="auto"/>
                    <w:left w:val="none" w:sz="0" w:space="0" w:color="auto"/>
                    <w:bottom w:val="none" w:sz="0" w:space="0" w:color="auto"/>
                    <w:right w:val="none" w:sz="0" w:space="0" w:color="auto"/>
                  </w:divBdr>
                  <w:divsChild>
                    <w:div w:id="1067722644">
                      <w:marLeft w:val="0"/>
                      <w:marRight w:val="0"/>
                      <w:marTop w:val="0"/>
                      <w:marBottom w:val="0"/>
                      <w:divBdr>
                        <w:top w:val="none" w:sz="0" w:space="0" w:color="auto"/>
                        <w:left w:val="none" w:sz="0" w:space="0" w:color="auto"/>
                        <w:bottom w:val="none" w:sz="0" w:space="0" w:color="auto"/>
                        <w:right w:val="none" w:sz="0" w:space="0" w:color="auto"/>
                      </w:divBdr>
                    </w:div>
                  </w:divsChild>
                </w:div>
                <w:div w:id="1741054781">
                  <w:marLeft w:val="0"/>
                  <w:marRight w:val="0"/>
                  <w:marTop w:val="0"/>
                  <w:marBottom w:val="0"/>
                  <w:divBdr>
                    <w:top w:val="none" w:sz="0" w:space="0" w:color="auto"/>
                    <w:left w:val="none" w:sz="0" w:space="0" w:color="auto"/>
                    <w:bottom w:val="none" w:sz="0" w:space="0" w:color="auto"/>
                    <w:right w:val="none" w:sz="0" w:space="0" w:color="auto"/>
                  </w:divBdr>
                  <w:divsChild>
                    <w:div w:id="443891652">
                      <w:marLeft w:val="0"/>
                      <w:marRight w:val="0"/>
                      <w:marTop w:val="0"/>
                      <w:marBottom w:val="0"/>
                      <w:divBdr>
                        <w:top w:val="none" w:sz="0" w:space="0" w:color="auto"/>
                        <w:left w:val="none" w:sz="0" w:space="0" w:color="auto"/>
                        <w:bottom w:val="none" w:sz="0" w:space="0" w:color="auto"/>
                        <w:right w:val="none" w:sz="0" w:space="0" w:color="auto"/>
                      </w:divBdr>
                    </w:div>
                  </w:divsChild>
                </w:div>
                <w:div w:id="1760716857">
                  <w:marLeft w:val="0"/>
                  <w:marRight w:val="0"/>
                  <w:marTop w:val="0"/>
                  <w:marBottom w:val="0"/>
                  <w:divBdr>
                    <w:top w:val="none" w:sz="0" w:space="0" w:color="auto"/>
                    <w:left w:val="none" w:sz="0" w:space="0" w:color="auto"/>
                    <w:bottom w:val="none" w:sz="0" w:space="0" w:color="auto"/>
                    <w:right w:val="none" w:sz="0" w:space="0" w:color="auto"/>
                  </w:divBdr>
                  <w:divsChild>
                    <w:div w:id="923302343">
                      <w:marLeft w:val="0"/>
                      <w:marRight w:val="0"/>
                      <w:marTop w:val="0"/>
                      <w:marBottom w:val="0"/>
                      <w:divBdr>
                        <w:top w:val="none" w:sz="0" w:space="0" w:color="auto"/>
                        <w:left w:val="none" w:sz="0" w:space="0" w:color="auto"/>
                        <w:bottom w:val="none" w:sz="0" w:space="0" w:color="auto"/>
                        <w:right w:val="none" w:sz="0" w:space="0" w:color="auto"/>
                      </w:divBdr>
                    </w:div>
                  </w:divsChild>
                </w:div>
                <w:div w:id="1780880490">
                  <w:marLeft w:val="0"/>
                  <w:marRight w:val="0"/>
                  <w:marTop w:val="0"/>
                  <w:marBottom w:val="0"/>
                  <w:divBdr>
                    <w:top w:val="none" w:sz="0" w:space="0" w:color="auto"/>
                    <w:left w:val="none" w:sz="0" w:space="0" w:color="auto"/>
                    <w:bottom w:val="none" w:sz="0" w:space="0" w:color="auto"/>
                    <w:right w:val="none" w:sz="0" w:space="0" w:color="auto"/>
                  </w:divBdr>
                  <w:divsChild>
                    <w:div w:id="1803495636">
                      <w:marLeft w:val="0"/>
                      <w:marRight w:val="0"/>
                      <w:marTop w:val="0"/>
                      <w:marBottom w:val="0"/>
                      <w:divBdr>
                        <w:top w:val="none" w:sz="0" w:space="0" w:color="auto"/>
                        <w:left w:val="none" w:sz="0" w:space="0" w:color="auto"/>
                        <w:bottom w:val="none" w:sz="0" w:space="0" w:color="auto"/>
                        <w:right w:val="none" w:sz="0" w:space="0" w:color="auto"/>
                      </w:divBdr>
                    </w:div>
                  </w:divsChild>
                </w:div>
                <w:div w:id="1792820339">
                  <w:marLeft w:val="0"/>
                  <w:marRight w:val="0"/>
                  <w:marTop w:val="0"/>
                  <w:marBottom w:val="0"/>
                  <w:divBdr>
                    <w:top w:val="none" w:sz="0" w:space="0" w:color="auto"/>
                    <w:left w:val="none" w:sz="0" w:space="0" w:color="auto"/>
                    <w:bottom w:val="none" w:sz="0" w:space="0" w:color="auto"/>
                    <w:right w:val="none" w:sz="0" w:space="0" w:color="auto"/>
                  </w:divBdr>
                  <w:divsChild>
                    <w:div w:id="1748384952">
                      <w:marLeft w:val="0"/>
                      <w:marRight w:val="0"/>
                      <w:marTop w:val="0"/>
                      <w:marBottom w:val="0"/>
                      <w:divBdr>
                        <w:top w:val="none" w:sz="0" w:space="0" w:color="auto"/>
                        <w:left w:val="none" w:sz="0" w:space="0" w:color="auto"/>
                        <w:bottom w:val="none" w:sz="0" w:space="0" w:color="auto"/>
                        <w:right w:val="none" w:sz="0" w:space="0" w:color="auto"/>
                      </w:divBdr>
                    </w:div>
                  </w:divsChild>
                </w:div>
                <w:div w:id="1810515800">
                  <w:marLeft w:val="0"/>
                  <w:marRight w:val="0"/>
                  <w:marTop w:val="0"/>
                  <w:marBottom w:val="0"/>
                  <w:divBdr>
                    <w:top w:val="none" w:sz="0" w:space="0" w:color="auto"/>
                    <w:left w:val="none" w:sz="0" w:space="0" w:color="auto"/>
                    <w:bottom w:val="none" w:sz="0" w:space="0" w:color="auto"/>
                    <w:right w:val="none" w:sz="0" w:space="0" w:color="auto"/>
                  </w:divBdr>
                  <w:divsChild>
                    <w:div w:id="861209383">
                      <w:marLeft w:val="0"/>
                      <w:marRight w:val="0"/>
                      <w:marTop w:val="0"/>
                      <w:marBottom w:val="0"/>
                      <w:divBdr>
                        <w:top w:val="none" w:sz="0" w:space="0" w:color="auto"/>
                        <w:left w:val="none" w:sz="0" w:space="0" w:color="auto"/>
                        <w:bottom w:val="none" w:sz="0" w:space="0" w:color="auto"/>
                        <w:right w:val="none" w:sz="0" w:space="0" w:color="auto"/>
                      </w:divBdr>
                    </w:div>
                  </w:divsChild>
                </w:div>
                <w:div w:id="1815560509">
                  <w:marLeft w:val="0"/>
                  <w:marRight w:val="0"/>
                  <w:marTop w:val="0"/>
                  <w:marBottom w:val="0"/>
                  <w:divBdr>
                    <w:top w:val="none" w:sz="0" w:space="0" w:color="auto"/>
                    <w:left w:val="none" w:sz="0" w:space="0" w:color="auto"/>
                    <w:bottom w:val="none" w:sz="0" w:space="0" w:color="auto"/>
                    <w:right w:val="none" w:sz="0" w:space="0" w:color="auto"/>
                  </w:divBdr>
                  <w:divsChild>
                    <w:div w:id="759914118">
                      <w:marLeft w:val="0"/>
                      <w:marRight w:val="0"/>
                      <w:marTop w:val="0"/>
                      <w:marBottom w:val="0"/>
                      <w:divBdr>
                        <w:top w:val="none" w:sz="0" w:space="0" w:color="auto"/>
                        <w:left w:val="none" w:sz="0" w:space="0" w:color="auto"/>
                        <w:bottom w:val="none" w:sz="0" w:space="0" w:color="auto"/>
                        <w:right w:val="none" w:sz="0" w:space="0" w:color="auto"/>
                      </w:divBdr>
                    </w:div>
                  </w:divsChild>
                </w:div>
                <w:div w:id="1818918893">
                  <w:marLeft w:val="0"/>
                  <w:marRight w:val="0"/>
                  <w:marTop w:val="0"/>
                  <w:marBottom w:val="0"/>
                  <w:divBdr>
                    <w:top w:val="none" w:sz="0" w:space="0" w:color="auto"/>
                    <w:left w:val="none" w:sz="0" w:space="0" w:color="auto"/>
                    <w:bottom w:val="none" w:sz="0" w:space="0" w:color="auto"/>
                    <w:right w:val="none" w:sz="0" w:space="0" w:color="auto"/>
                  </w:divBdr>
                  <w:divsChild>
                    <w:div w:id="1968655411">
                      <w:marLeft w:val="0"/>
                      <w:marRight w:val="0"/>
                      <w:marTop w:val="0"/>
                      <w:marBottom w:val="0"/>
                      <w:divBdr>
                        <w:top w:val="none" w:sz="0" w:space="0" w:color="auto"/>
                        <w:left w:val="none" w:sz="0" w:space="0" w:color="auto"/>
                        <w:bottom w:val="none" w:sz="0" w:space="0" w:color="auto"/>
                        <w:right w:val="none" w:sz="0" w:space="0" w:color="auto"/>
                      </w:divBdr>
                    </w:div>
                  </w:divsChild>
                </w:div>
                <w:div w:id="1844397802">
                  <w:marLeft w:val="0"/>
                  <w:marRight w:val="0"/>
                  <w:marTop w:val="0"/>
                  <w:marBottom w:val="0"/>
                  <w:divBdr>
                    <w:top w:val="none" w:sz="0" w:space="0" w:color="auto"/>
                    <w:left w:val="none" w:sz="0" w:space="0" w:color="auto"/>
                    <w:bottom w:val="none" w:sz="0" w:space="0" w:color="auto"/>
                    <w:right w:val="none" w:sz="0" w:space="0" w:color="auto"/>
                  </w:divBdr>
                  <w:divsChild>
                    <w:div w:id="1934849392">
                      <w:marLeft w:val="0"/>
                      <w:marRight w:val="0"/>
                      <w:marTop w:val="0"/>
                      <w:marBottom w:val="0"/>
                      <w:divBdr>
                        <w:top w:val="none" w:sz="0" w:space="0" w:color="auto"/>
                        <w:left w:val="none" w:sz="0" w:space="0" w:color="auto"/>
                        <w:bottom w:val="none" w:sz="0" w:space="0" w:color="auto"/>
                        <w:right w:val="none" w:sz="0" w:space="0" w:color="auto"/>
                      </w:divBdr>
                    </w:div>
                  </w:divsChild>
                </w:div>
                <w:div w:id="1846627286">
                  <w:marLeft w:val="0"/>
                  <w:marRight w:val="0"/>
                  <w:marTop w:val="0"/>
                  <w:marBottom w:val="0"/>
                  <w:divBdr>
                    <w:top w:val="none" w:sz="0" w:space="0" w:color="auto"/>
                    <w:left w:val="none" w:sz="0" w:space="0" w:color="auto"/>
                    <w:bottom w:val="none" w:sz="0" w:space="0" w:color="auto"/>
                    <w:right w:val="none" w:sz="0" w:space="0" w:color="auto"/>
                  </w:divBdr>
                  <w:divsChild>
                    <w:div w:id="883982064">
                      <w:marLeft w:val="0"/>
                      <w:marRight w:val="0"/>
                      <w:marTop w:val="0"/>
                      <w:marBottom w:val="0"/>
                      <w:divBdr>
                        <w:top w:val="none" w:sz="0" w:space="0" w:color="auto"/>
                        <w:left w:val="none" w:sz="0" w:space="0" w:color="auto"/>
                        <w:bottom w:val="none" w:sz="0" w:space="0" w:color="auto"/>
                        <w:right w:val="none" w:sz="0" w:space="0" w:color="auto"/>
                      </w:divBdr>
                    </w:div>
                  </w:divsChild>
                </w:div>
                <w:div w:id="1869220355">
                  <w:marLeft w:val="0"/>
                  <w:marRight w:val="0"/>
                  <w:marTop w:val="0"/>
                  <w:marBottom w:val="0"/>
                  <w:divBdr>
                    <w:top w:val="none" w:sz="0" w:space="0" w:color="auto"/>
                    <w:left w:val="none" w:sz="0" w:space="0" w:color="auto"/>
                    <w:bottom w:val="none" w:sz="0" w:space="0" w:color="auto"/>
                    <w:right w:val="none" w:sz="0" w:space="0" w:color="auto"/>
                  </w:divBdr>
                  <w:divsChild>
                    <w:div w:id="1325426271">
                      <w:marLeft w:val="0"/>
                      <w:marRight w:val="0"/>
                      <w:marTop w:val="0"/>
                      <w:marBottom w:val="0"/>
                      <w:divBdr>
                        <w:top w:val="none" w:sz="0" w:space="0" w:color="auto"/>
                        <w:left w:val="none" w:sz="0" w:space="0" w:color="auto"/>
                        <w:bottom w:val="none" w:sz="0" w:space="0" w:color="auto"/>
                        <w:right w:val="none" w:sz="0" w:space="0" w:color="auto"/>
                      </w:divBdr>
                    </w:div>
                  </w:divsChild>
                </w:div>
                <w:div w:id="1876262108">
                  <w:marLeft w:val="0"/>
                  <w:marRight w:val="0"/>
                  <w:marTop w:val="0"/>
                  <w:marBottom w:val="0"/>
                  <w:divBdr>
                    <w:top w:val="none" w:sz="0" w:space="0" w:color="auto"/>
                    <w:left w:val="none" w:sz="0" w:space="0" w:color="auto"/>
                    <w:bottom w:val="none" w:sz="0" w:space="0" w:color="auto"/>
                    <w:right w:val="none" w:sz="0" w:space="0" w:color="auto"/>
                  </w:divBdr>
                  <w:divsChild>
                    <w:div w:id="798258454">
                      <w:marLeft w:val="0"/>
                      <w:marRight w:val="0"/>
                      <w:marTop w:val="0"/>
                      <w:marBottom w:val="0"/>
                      <w:divBdr>
                        <w:top w:val="none" w:sz="0" w:space="0" w:color="auto"/>
                        <w:left w:val="none" w:sz="0" w:space="0" w:color="auto"/>
                        <w:bottom w:val="none" w:sz="0" w:space="0" w:color="auto"/>
                        <w:right w:val="none" w:sz="0" w:space="0" w:color="auto"/>
                      </w:divBdr>
                    </w:div>
                    <w:div w:id="1276521346">
                      <w:marLeft w:val="0"/>
                      <w:marRight w:val="0"/>
                      <w:marTop w:val="0"/>
                      <w:marBottom w:val="0"/>
                      <w:divBdr>
                        <w:top w:val="none" w:sz="0" w:space="0" w:color="auto"/>
                        <w:left w:val="none" w:sz="0" w:space="0" w:color="auto"/>
                        <w:bottom w:val="none" w:sz="0" w:space="0" w:color="auto"/>
                        <w:right w:val="none" w:sz="0" w:space="0" w:color="auto"/>
                      </w:divBdr>
                    </w:div>
                  </w:divsChild>
                </w:div>
                <w:div w:id="1908564860">
                  <w:marLeft w:val="0"/>
                  <w:marRight w:val="0"/>
                  <w:marTop w:val="0"/>
                  <w:marBottom w:val="0"/>
                  <w:divBdr>
                    <w:top w:val="none" w:sz="0" w:space="0" w:color="auto"/>
                    <w:left w:val="none" w:sz="0" w:space="0" w:color="auto"/>
                    <w:bottom w:val="none" w:sz="0" w:space="0" w:color="auto"/>
                    <w:right w:val="none" w:sz="0" w:space="0" w:color="auto"/>
                  </w:divBdr>
                  <w:divsChild>
                    <w:div w:id="1963533938">
                      <w:marLeft w:val="0"/>
                      <w:marRight w:val="0"/>
                      <w:marTop w:val="0"/>
                      <w:marBottom w:val="0"/>
                      <w:divBdr>
                        <w:top w:val="none" w:sz="0" w:space="0" w:color="auto"/>
                        <w:left w:val="none" w:sz="0" w:space="0" w:color="auto"/>
                        <w:bottom w:val="none" w:sz="0" w:space="0" w:color="auto"/>
                        <w:right w:val="none" w:sz="0" w:space="0" w:color="auto"/>
                      </w:divBdr>
                    </w:div>
                  </w:divsChild>
                </w:div>
                <w:div w:id="1918055048">
                  <w:marLeft w:val="0"/>
                  <w:marRight w:val="0"/>
                  <w:marTop w:val="0"/>
                  <w:marBottom w:val="0"/>
                  <w:divBdr>
                    <w:top w:val="none" w:sz="0" w:space="0" w:color="auto"/>
                    <w:left w:val="none" w:sz="0" w:space="0" w:color="auto"/>
                    <w:bottom w:val="none" w:sz="0" w:space="0" w:color="auto"/>
                    <w:right w:val="none" w:sz="0" w:space="0" w:color="auto"/>
                  </w:divBdr>
                  <w:divsChild>
                    <w:div w:id="1477801785">
                      <w:marLeft w:val="0"/>
                      <w:marRight w:val="0"/>
                      <w:marTop w:val="0"/>
                      <w:marBottom w:val="0"/>
                      <w:divBdr>
                        <w:top w:val="none" w:sz="0" w:space="0" w:color="auto"/>
                        <w:left w:val="none" w:sz="0" w:space="0" w:color="auto"/>
                        <w:bottom w:val="none" w:sz="0" w:space="0" w:color="auto"/>
                        <w:right w:val="none" w:sz="0" w:space="0" w:color="auto"/>
                      </w:divBdr>
                    </w:div>
                  </w:divsChild>
                </w:div>
                <w:div w:id="1934511559">
                  <w:marLeft w:val="0"/>
                  <w:marRight w:val="0"/>
                  <w:marTop w:val="0"/>
                  <w:marBottom w:val="0"/>
                  <w:divBdr>
                    <w:top w:val="none" w:sz="0" w:space="0" w:color="auto"/>
                    <w:left w:val="none" w:sz="0" w:space="0" w:color="auto"/>
                    <w:bottom w:val="none" w:sz="0" w:space="0" w:color="auto"/>
                    <w:right w:val="none" w:sz="0" w:space="0" w:color="auto"/>
                  </w:divBdr>
                  <w:divsChild>
                    <w:div w:id="1621916924">
                      <w:marLeft w:val="0"/>
                      <w:marRight w:val="0"/>
                      <w:marTop w:val="0"/>
                      <w:marBottom w:val="0"/>
                      <w:divBdr>
                        <w:top w:val="none" w:sz="0" w:space="0" w:color="auto"/>
                        <w:left w:val="none" w:sz="0" w:space="0" w:color="auto"/>
                        <w:bottom w:val="none" w:sz="0" w:space="0" w:color="auto"/>
                        <w:right w:val="none" w:sz="0" w:space="0" w:color="auto"/>
                      </w:divBdr>
                    </w:div>
                  </w:divsChild>
                </w:div>
                <w:div w:id="1943148178">
                  <w:marLeft w:val="0"/>
                  <w:marRight w:val="0"/>
                  <w:marTop w:val="0"/>
                  <w:marBottom w:val="0"/>
                  <w:divBdr>
                    <w:top w:val="none" w:sz="0" w:space="0" w:color="auto"/>
                    <w:left w:val="none" w:sz="0" w:space="0" w:color="auto"/>
                    <w:bottom w:val="none" w:sz="0" w:space="0" w:color="auto"/>
                    <w:right w:val="none" w:sz="0" w:space="0" w:color="auto"/>
                  </w:divBdr>
                  <w:divsChild>
                    <w:div w:id="612786729">
                      <w:marLeft w:val="0"/>
                      <w:marRight w:val="0"/>
                      <w:marTop w:val="0"/>
                      <w:marBottom w:val="0"/>
                      <w:divBdr>
                        <w:top w:val="none" w:sz="0" w:space="0" w:color="auto"/>
                        <w:left w:val="none" w:sz="0" w:space="0" w:color="auto"/>
                        <w:bottom w:val="none" w:sz="0" w:space="0" w:color="auto"/>
                        <w:right w:val="none" w:sz="0" w:space="0" w:color="auto"/>
                      </w:divBdr>
                    </w:div>
                  </w:divsChild>
                </w:div>
                <w:div w:id="1952666213">
                  <w:marLeft w:val="0"/>
                  <w:marRight w:val="0"/>
                  <w:marTop w:val="0"/>
                  <w:marBottom w:val="0"/>
                  <w:divBdr>
                    <w:top w:val="none" w:sz="0" w:space="0" w:color="auto"/>
                    <w:left w:val="none" w:sz="0" w:space="0" w:color="auto"/>
                    <w:bottom w:val="none" w:sz="0" w:space="0" w:color="auto"/>
                    <w:right w:val="none" w:sz="0" w:space="0" w:color="auto"/>
                  </w:divBdr>
                  <w:divsChild>
                    <w:div w:id="555816037">
                      <w:marLeft w:val="0"/>
                      <w:marRight w:val="0"/>
                      <w:marTop w:val="0"/>
                      <w:marBottom w:val="0"/>
                      <w:divBdr>
                        <w:top w:val="none" w:sz="0" w:space="0" w:color="auto"/>
                        <w:left w:val="none" w:sz="0" w:space="0" w:color="auto"/>
                        <w:bottom w:val="none" w:sz="0" w:space="0" w:color="auto"/>
                        <w:right w:val="none" w:sz="0" w:space="0" w:color="auto"/>
                      </w:divBdr>
                    </w:div>
                  </w:divsChild>
                </w:div>
                <w:div w:id="1955015651">
                  <w:marLeft w:val="0"/>
                  <w:marRight w:val="0"/>
                  <w:marTop w:val="0"/>
                  <w:marBottom w:val="0"/>
                  <w:divBdr>
                    <w:top w:val="none" w:sz="0" w:space="0" w:color="auto"/>
                    <w:left w:val="none" w:sz="0" w:space="0" w:color="auto"/>
                    <w:bottom w:val="none" w:sz="0" w:space="0" w:color="auto"/>
                    <w:right w:val="none" w:sz="0" w:space="0" w:color="auto"/>
                  </w:divBdr>
                  <w:divsChild>
                    <w:div w:id="1587033285">
                      <w:marLeft w:val="0"/>
                      <w:marRight w:val="0"/>
                      <w:marTop w:val="0"/>
                      <w:marBottom w:val="0"/>
                      <w:divBdr>
                        <w:top w:val="none" w:sz="0" w:space="0" w:color="auto"/>
                        <w:left w:val="none" w:sz="0" w:space="0" w:color="auto"/>
                        <w:bottom w:val="none" w:sz="0" w:space="0" w:color="auto"/>
                        <w:right w:val="none" w:sz="0" w:space="0" w:color="auto"/>
                      </w:divBdr>
                    </w:div>
                  </w:divsChild>
                </w:div>
                <w:div w:id="1957443935">
                  <w:marLeft w:val="0"/>
                  <w:marRight w:val="0"/>
                  <w:marTop w:val="0"/>
                  <w:marBottom w:val="0"/>
                  <w:divBdr>
                    <w:top w:val="none" w:sz="0" w:space="0" w:color="auto"/>
                    <w:left w:val="none" w:sz="0" w:space="0" w:color="auto"/>
                    <w:bottom w:val="none" w:sz="0" w:space="0" w:color="auto"/>
                    <w:right w:val="none" w:sz="0" w:space="0" w:color="auto"/>
                  </w:divBdr>
                  <w:divsChild>
                    <w:div w:id="831602121">
                      <w:marLeft w:val="0"/>
                      <w:marRight w:val="0"/>
                      <w:marTop w:val="0"/>
                      <w:marBottom w:val="0"/>
                      <w:divBdr>
                        <w:top w:val="none" w:sz="0" w:space="0" w:color="auto"/>
                        <w:left w:val="none" w:sz="0" w:space="0" w:color="auto"/>
                        <w:bottom w:val="none" w:sz="0" w:space="0" w:color="auto"/>
                        <w:right w:val="none" w:sz="0" w:space="0" w:color="auto"/>
                      </w:divBdr>
                    </w:div>
                  </w:divsChild>
                </w:div>
                <w:div w:id="1958297962">
                  <w:marLeft w:val="0"/>
                  <w:marRight w:val="0"/>
                  <w:marTop w:val="0"/>
                  <w:marBottom w:val="0"/>
                  <w:divBdr>
                    <w:top w:val="none" w:sz="0" w:space="0" w:color="auto"/>
                    <w:left w:val="none" w:sz="0" w:space="0" w:color="auto"/>
                    <w:bottom w:val="none" w:sz="0" w:space="0" w:color="auto"/>
                    <w:right w:val="none" w:sz="0" w:space="0" w:color="auto"/>
                  </w:divBdr>
                  <w:divsChild>
                    <w:div w:id="302269454">
                      <w:marLeft w:val="0"/>
                      <w:marRight w:val="0"/>
                      <w:marTop w:val="0"/>
                      <w:marBottom w:val="0"/>
                      <w:divBdr>
                        <w:top w:val="none" w:sz="0" w:space="0" w:color="auto"/>
                        <w:left w:val="none" w:sz="0" w:space="0" w:color="auto"/>
                        <w:bottom w:val="none" w:sz="0" w:space="0" w:color="auto"/>
                        <w:right w:val="none" w:sz="0" w:space="0" w:color="auto"/>
                      </w:divBdr>
                    </w:div>
                  </w:divsChild>
                </w:div>
                <w:div w:id="1976330811">
                  <w:marLeft w:val="0"/>
                  <w:marRight w:val="0"/>
                  <w:marTop w:val="0"/>
                  <w:marBottom w:val="0"/>
                  <w:divBdr>
                    <w:top w:val="none" w:sz="0" w:space="0" w:color="auto"/>
                    <w:left w:val="none" w:sz="0" w:space="0" w:color="auto"/>
                    <w:bottom w:val="none" w:sz="0" w:space="0" w:color="auto"/>
                    <w:right w:val="none" w:sz="0" w:space="0" w:color="auto"/>
                  </w:divBdr>
                  <w:divsChild>
                    <w:div w:id="434595810">
                      <w:marLeft w:val="0"/>
                      <w:marRight w:val="0"/>
                      <w:marTop w:val="0"/>
                      <w:marBottom w:val="0"/>
                      <w:divBdr>
                        <w:top w:val="none" w:sz="0" w:space="0" w:color="auto"/>
                        <w:left w:val="none" w:sz="0" w:space="0" w:color="auto"/>
                        <w:bottom w:val="none" w:sz="0" w:space="0" w:color="auto"/>
                        <w:right w:val="none" w:sz="0" w:space="0" w:color="auto"/>
                      </w:divBdr>
                    </w:div>
                  </w:divsChild>
                </w:div>
                <w:div w:id="1985894221">
                  <w:marLeft w:val="0"/>
                  <w:marRight w:val="0"/>
                  <w:marTop w:val="0"/>
                  <w:marBottom w:val="0"/>
                  <w:divBdr>
                    <w:top w:val="none" w:sz="0" w:space="0" w:color="auto"/>
                    <w:left w:val="none" w:sz="0" w:space="0" w:color="auto"/>
                    <w:bottom w:val="none" w:sz="0" w:space="0" w:color="auto"/>
                    <w:right w:val="none" w:sz="0" w:space="0" w:color="auto"/>
                  </w:divBdr>
                  <w:divsChild>
                    <w:div w:id="531848568">
                      <w:marLeft w:val="0"/>
                      <w:marRight w:val="0"/>
                      <w:marTop w:val="0"/>
                      <w:marBottom w:val="0"/>
                      <w:divBdr>
                        <w:top w:val="none" w:sz="0" w:space="0" w:color="auto"/>
                        <w:left w:val="none" w:sz="0" w:space="0" w:color="auto"/>
                        <w:bottom w:val="none" w:sz="0" w:space="0" w:color="auto"/>
                        <w:right w:val="none" w:sz="0" w:space="0" w:color="auto"/>
                      </w:divBdr>
                    </w:div>
                  </w:divsChild>
                </w:div>
                <w:div w:id="2005815143">
                  <w:marLeft w:val="0"/>
                  <w:marRight w:val="0"/>
                  <w:marTop w:val="0"/>
                  <w:marBottom w:val="0"/>
                  <w:divBdr>
                    <w:top w:val="none" w:sz="0" w:space="0" w:color="auto"/>
                    <w:left w:val="none" w:sz="0" w:space="0" w:color="auto"/>
                    <w:bottom w:val="none" w:sz="0" w:space="0" w:color="auto"/>
                    <w:right w:val="none" w:sz="0" w:space="0" w:color="auto"/>
                  </w:divBdr>
                  <w:divsChild>
                    <w:div w:id="1164278809">
                      <w:marLeft w:val="0"/>
                      <w:marRight w:val="0"/>
                      <w:marTop w:val="0"/>
                      <w:marBottom w:val="0"/>
                      <w:divBdr>
                        <w:top w:val="none" w:sz="0" w:space="0" w:color="auto"/>
                        <w:left w:val="none" w:sz="0" w:space="0" w:color="auto"/>
                        <w:bottom w:val="none" w:sz="0" w:space="0" w:color="auto"/>
                        <w:right w:val="none" w:sz="0" w:space="0" w:color="auto"/>
                      </w:divBdr>
                    </w:div>
                  </w:divsChild>
                </w:div>
                <w:div w:id="2009552419">
                  <w:marLeft w:val="0"/>
                  <w:marRight w:val="0"/>
                  <w:marTop w:val="0"/>
                  <w:marBottom w:val="0"/>
                  <w:divBdr>
                    <w:top w:val="none" w:sz="0" w:space="0" w:color="auto"/>
                    <w:left w:val="none" w:sz="0" w:space="0" w:color="auto"/>
                    <w:bottom w:val="none" w:sz="0" w:space="0" w:color="auto"/>
                    <w:right w:val="none" w:sz="0" w:space="0" w:color="auto"/>
                  </w:divBdr>
                  <w:divsChild>
                    <w:div w:id="1693409036">
                      <w:marLeft w:val="0"/>
                      <w:marRight w:val="0"/>
                      <w:marTop w:val="0"/>
                      <w:marBottom w:val="0"/>
                      <w:divBdr>
                        <w:top w:val="none" w:sz="0" w:space="0" w:color="auto"/>
                        <w:left w:val="none" w:sz="0" w:space="0" w:color="auto"/>
                        <w:bottom w:val="none" w:sz="0" w:space="0" w:color="auto"/>
                        <w:right w:val="none" w:sz="0" w:space="0" w:color="auto"/>
                      </w:divBdr>
                    </w:div>
                  </w:divsChild>
                </w:div>
                <w:div w:id="2031568361">
                  <w:marLeft w:val="0"/>
                  <w:marRight w:val="0"/>
                  <w:marTop w:val="0"/>
                  <w:marBottom w:val="0"/>
                  <w:divBdr>
                    <w:top w:val="none" w:sz="0" w:space="0" w:color="auto"/>
                    <w:left w:val="none" w:sz="0" w:space="0" w:color="auto"/>
                    <w:bottom w:val="none" w:sz="0" w:space="0" w:color="auto"/>
                    <w:right w:val="none" w:sz="0" w:space="0" w:color="auto"/>
                  </w:divBdr>
                  <w:divsChild>
                    <w:div w:id="1884975729">
                      <w:marLeft w:val="0"/>
                      <w:marRight w:val="0"/>
                      <w:marTop w:val="0"/>
                      <w:marBottom w:val="0"/>
                      <w:divBdr>
                        <w:top w:val="none" w:sz="0" w:space="0" w:color="auto"/>
                        <w:left w:val="none" w:sz="0" w:space="0" w:color="auto"/>
                        <w:bottom w:val="none" w:sz="0" w:space="0" w:color="auto"/>
                        <w:right w:val="none" w:sz="0" w:space="0" w:color="auto"/>
                      </w:divBdr>
                    </w:div>
                  </w:divsChild>
                </w:div>
                <w:div w:id="2034960279">
                  <w:marLeft w:val="0"/>
                  <w:marRight w:val="0"/>
                  <w:marTop w:val="0"/>
                  <w:marBottom w:val="0"/>
                  <w:divBdr>
                    <w:top w:val="none" w:sz="0" w:space="0" w:color="auto"/>
                    <w:left w:val="none" w:sz="0" w:space="0" w:color="auto"/>
                    <w:bottom w:val="none" w:sz="0" w:space="0" w:color="auto"/>
                    <w:right w:val="none" w:sz="0" w:space="0" w:color="auto"/>
                  </w:divBdr>
                  <w:divsChild>
                    <w:div w:id="1423844031">
                      <w:marLeft w:val="0"/>
                      <w:marRight w:val="0"/>
                      <w:marTop w:val="0"/>
                      <w:marBottom w:val="0"/>
                      <w:divBdr>
                        <w:top w:val="none" w:sz="0" w:space="0" w:color="auto"/>
                        <w:left w:val="none" w:sz="0" w:space="0" w:color="auto"/>
                        <w:bottom w:val="none" w:sz="0" w:space="0" w:color="auto"/>
                        <w:right w:val="none" w:sz="0" w:space="0" w:color="auto"/>
                      </w:divBdr>
                    </w:div>
                  </w:divsChild>
                </w:div>
                <w:div w:id="2043051714">
                  <w:marLeft w:val="0"/>
                  <w:marRight w:val="0"/>
                  <w:marTop w:val="0"/>
                  <w:marBottom w:val="0"/>
                  <w:divBdr>
                    <w:top w:val="none" w:sz="0" w:space="0" w:color="auto"/>
                    <w:left w:val="none" w:sz="0" w:space="0" w:color="auto"/>
                    <w:bottom w:val="none" w:sz="0" w:space="0" w:color="auto"/>
                    <w:right w:val="none" w:sz="0" w:space="0" w:color="auto"/>
                  </w:divBdr>
                  <w:divsChild>
                    <w:div w:id="2002273501">
                      <w:marLeft w:val="0"/>
                      <w:marRight w:val="0"/>
                      <w:marTop w:val="0"/>
                      <w:marBottom w:val="0"/>
                      <w:divBdr>
                        <w:top w:val="none" w:sz="0" w:space="0" w:color="auto"/>
                        <w:left w:val="none" w:sz="0" w:space="0" w:color="auto"/>
                        <w:bottom w:val="none" w:sz="0" w:space="0" w:color="auto"/>
                        <w:right w:val="none" w:sz="0" w:space="0" w:color="auto"/>
                      </w:divBdr>
                    </w:div>
                  </w:divsChild>
                </w:div>
                <w:div w:id="2056658702">
                  <w:marLeft w:val="0"/>
                  <w:marRight w:val="0"/>
                  <w:marTop w:val="0"/>
                  <w:marBottom w:val="0"/>
                  <w:divBdr>
                    <w:top w:val="none" w:sz="0" w:space="0" w:color="auto"/>
                    <w:left w:val="none" w:sz="0" w:space="0" w:color="auto"/>
                    <w:bottom w:val="none" w:sz="0" w:space="0" w:color="auto"/>
                    <w:right w:val="none" w:sz="0" w:space="0" w:color="auto"/>
                  </w:divBdr>
                  <w:divsChild>
                    <w:div w:id="961883846">
                      <w:marLeft w:val="0"/>
                      <w:marRight w:val="0"/>
                      <w:marTop w:val="0"/>
                      <w:marBottom w:val="0"/>
                      <w:divBdr>
                        <w:top w:val="none" w:sz="0" w:space="0" w:color="auto"/>
                        <w:left w:val="none" w:sz="0" w:space="0" w:color="auto"/>
                        <w:bottom w:val="none" w:sz="0" w:space="0" w:color="auto"/>
                        <w:right w:val="none" w:sz="0" w:space="0" w:color="auto"/>
                      </w:divBdr>
                    </w:div>
                  </w:divsChild>
                </w:div>
                <w:div w:id="2063409657">
                  <w:marLeft w:val="0"/>
                  <w:marRight w:val="0"/>
                  <w:marTop w:val="0"/>
                  <w:marBottom w:val="0"/>
                  <w:divBdr>
                    <w:top w:val="none" w:sz="0" w:space="0" w:color="auto"/>
                    <w:left w:val="none" w:sz="0" w:space="0" w:color="auto"/>
                    <w:bottom w:val="none" w:sz="0" w:space="0" w:color="auto"/>
                    <w:right w:val="none" w:sz="0" w:space="0" w:color="auto"/>
                  </w:divBdr>
                  <w:divsChild>
                    <w:div w:id="402996992">
                      <w:marLeft w:val="0"/>
                      <w:marRight w:val="0"/>
                      <w:marTop w:val="0"/>
                      <w:marBottom w:val="0"/>
                      <w:divBdr>
                        <w:top w:val="none" w:sz="0" w:space="0" w:color="auto"/>
                        <w:left w:val="none" w:sz="0" w:space="0" w:color="auto"/>
                        <w:bottom w:val="none" w:sz="0" w:space="0" w:color="auto"/>
                        <w:right w:val="none" w:sz="0" w:space="0" w:color="auto"/>
                      </w:divBdr>
                    </w:div>
                  </w:divsChild>
                </w:div>
                <w:div w:id="2070155218">
                  <w:marLeft w:val="0"/>
                  <w:marRight w:val="0"/>
                  <w:marTop w:val="0"/>
                  <w:marBottom w:val="0"/>
                  <w:divBdr>
                    <w:top w:val="none" w:sz="0" w:space="0" w:color="auto"/>
                    <w:left w:val="none" w:sz="0" w:space="0" w:color="auto"/>
                    <w:bottom w:val="none" w:sz="0" w:space="0" w:color="auto"/>
                    <w:right w:val="none" w:sz="0" w:space="0" w:color="auto"/>
                  </w:divBdr>
                  <w:divsChild>
                    <w:div w:id="521552033">
                      <w:marLeft w:val="0"/>
                      <w:marRight w:val="0"/>
                      <w:marTop w:val="0"/>
                      <w:marBottom w:val="0"/>
                      <w:divBdr>
                        <w:top w:val="none" w:sz="0" w:space="0" w:color="auto"/>
                        <w:left w:val="none" w:sz="0" w:space="0" w:color="auto"/>
                        <w:bottom w:val="none" w:sz="0" w:space="0" w:color="auto"/>
                        <w:right w:val="none" w:sz="0" w:space="0" w:color="auto"/>
                      </w:divBdr>
                    </w:div>
                  </w:divsChild>
                </w:div>
                <w:div w:id="2077436116">
                  <w:marLeft w:val="0"/>
                  <w:marRight w:val="0"/>
                  <w:marTop w:val="0"/>
                  <w:marBottom w:val="0"/>
                  <w:divBdr>
                    <w:top w:val="none" w:sz="0" w:space="0" w:color="auto"/>
                    <w:left w:val="none" w:sz="0" w:space="0" w:color="auto"/>
                    <w:bottom w:val="none" w:sz="0" w:space="0" w:color="auto"/>
                    <w:right w:val="none" w:sz="0" w:space="0" w:color="auto"/>
                  </w:divBdr>
                  <w:divsChild>
                    <w:div w:id="553393437">
                      <w:marLeft w:val="0"/>
                      <w:marRight w:val="0"/>
                      <w:marTop w:val="0"/>
                      <w:marBottom w:val="0"/>
                      <w:divBdr>
                        <w:top w:val="none" w:sz="0" w:space="0" w:color="auto"/>
                        <w:left w:val="none" w:sz="0" w:space="0" w:color="auto"/>
                        <w:bottom w:val="none" w:sz="0" w:space="0" w:color="auto"/>
                        <w:right w:val="none" w:sz="0" w:space="0" w:color="auto"/>
                      </w:divBdr>
                    </w:div>
                  </w:divsChild>
                </w:div>
                <w:div w:id="2100980894">
                  <w:marLeft w:val="0"/>
                  <w:marRight w:val="0"/>
                  <w:marTop w:val="0"/>
                  <w:marBottom w:val="0"/>
                  <w:divBdr>
                    <w:top w:val="none" w:sz="0" w:space="0" w:color="auto"/>
                    <w:left w:val="none" w:sz="0" w:space="0" w:color="auto"/>
                    <w:bottom w:val="none" w:sz="0" w:space="0" w:color="auto"/>
                    <w:right w:val="none" w:sz="0" w:space="0" w:color="auto"/>
                  </w:divBdr>
                  <w:divsChild>
                    <w:div w:id="1397629777">
                      <w:marLeft w:val="0"/>
                      <w:marRight w:val="0"/>
                      <w:marTop w:val="0"/>
                      <w:marBottom w:val="0"/>
                      <w:divBdr>
                        <w:top w:val="none" w:sz="0" w:space="0" w:color="auto"/>
                        <w:left w:val="none" w:sz="0" w:space="0" w:color="auto"/>
                        <w:bottom w:val="none" w:sz="0" w:space="0" w:color="auto"/>
                        <w:right w:val="none" w:sz="0" w:space="0" w:color="auto"/>
                      </w:divBdr>
                    </w:div>
                  </w:divsChild>
                </w:div>
                <w:div w:id="2103182751">
                  <w:marLeft w:val="0"/>
                  <w:marRight w:val="0"/>
                  <w:marTop w:val="0"/>
                  <w:marBottom w:val="0"/>
                  <w:divBdr>
                    <w:top w:val="none" w:sz="0" w:space="0" w:color="auto"/>
                    <w:left w:val="none" w:sz="0" w:space="0" w:color="auto"/>
                    <w:bottom w:val="none" w:sz="0" w:space="0" w:color="auto"/>
                    <w:right w:val="none" w:sz="0" w:space="0" w:color="auto"/>
                  </w:divBdr>
                  <w:divsChild>
                    <w:div w:id="1462504742">
                      <w:marLeft w:val="0"/>
                      <w:marRight w:val="0"/>
                      <w:marTop w:val="0"/>
                      <w:marBottom w:val="0"/>
                      <w:divBdr>
                        <w:top w:val="none" w:sz="0" w:space="0" w:color="auto"/>
                        <w:left w:val="none" w:sz="0" w:space="0" w:color="auto"/>
                        <w:bottom w:val="none" w:sz="0" w:space="0" w:color="auto"/>
                        <w:right w:val="none" w:sz="0" w:space="0" w:color="auto"/>
                      </w:divBdr>
                    </w:div>
                  </w:divsChild>
                </w:div>
                <w:div w:id="2111464119">
                  <w:marLeft w:val="0"/>
                  <w:marRight w:val="0"/>
                  <w:marTop w:val="0"/>
                  <w:marBottom w:val="0"/>
                  <w:divBdr>
                    <w:top w:val="none" w:sz="0" w:space="0" w:color="auto"/>
                    <w:left w:val="none" w:sz="0" w:space="0" w:color="auto"/>
                    <w:bottom w:val="none" w:sz="0" w:space="0" w:color="auto"/>
                    <w:right w:val="none" w:sz="0" w:space="0" w:color="auto"/>
                  </w:divBdr>
                  <w:divsChild>
                    <w:div w:id="825129902">
                      <w:marLeft w:val="0"/>
                      <w:marRight w:val="0"/>
                      <w:marTop w:val="0"/>
                      <w:marBottom w:val="0"/>
                      <w:divBdr>
                        <w:top w:val="none" w:sz="0" w:space="0" w:color="auto"/>
                        <w:left w:val="none" w:sz="0" w:space="0" w:color="auto"/>
                        <w:bottom w:val="none" w:sz="0" w:space="0" w:color="auto"/>
                        <w:right w:val="none" w:sz="0" w:space="0" w:color="auto"/>
                      </w:divBdr>
                    </w:div>
                  </w:divsChild>
                </w:div>
                <w:div w:id="2113159087">
                  <w:marLeft w:val="0"/>
                  <w:marRight w:val="0"/>
                  <w:marTop w:val="0"/>
                  <w:marBottom w:val="0"/>
                  <w:divBdr>
                    <w:top w:val="none" w:sz="0" w:space="0" w:color="auto"/>
                    <w:left w:val="none" w:sz="0" w:space="0" w:color="auto"/>
                    <w:bottom w:val="none" w:sz="0" w:space="0" w:color="auto"/>
                    <w:right w:val="none" w:sz="0" w:space="0" w:color="auto"/>
                  </w:divBdr>
                  <w:divsChild>
                    <w:div w:id="2060082870">
                      <w:marLeft w:val="0"/>
                      <w:marRight w:val="0"/>
                      <w:marTop w:val="0"/>
                      <w:marBottom w:val="0"/>
                      <w:divBdr>
                        <w:top w:val="none" w:sz="0" w:space="0" w:color="auto"/>
                        <w:left w:val="none" w:sz="0" w:space="0" w:color="auto"/>
                        <w:bottom w:val="none" w:sz="0" w:space="0" w:color="auto"/>
                        <w:right w:val="none" w:sz="0" w:space="0" w:color="auto"/>
                      </w:divBdr>
                    </w:div>
                  </w:divsChild>
                </w:div>
                <w:div w:id="2128768098">
                  <w:marLeft w:val="0"/>
                  <w:marRight w:val="0"/>
                  <w:marTop w:val="0"/>
                  <w:marBottom w:val="0"/>
                  <w:divBdr>
                    <w:top w:val="none" w:sz="0" w:space="0" w:color="auto"/>
                    <w:left w:val="none" w:sz="0" w:space="0" w:color="auto"/>
                    <w:bottom w:val="none" w:sz="0" w:space="0" w:color="auto"/>
                    <w:right w:val="none" w:sz="0" w:space="0" w:color="auto"/>
                  </w:divBdr>
                  <w:divsChild>
                    <w:div w:id="1575895348">
                      <w:marLeft w:val="0"/>
                      <w:marRight w:val="0"/>
                      <w:marTop w:val="0"/>
                      <w:marBottom w:val="0"/>
                      <w:divBdr>
                        <w:top w:val="none" w:sz="0" w:space="0" w:color="auto"/>
                        <w:left w:val="none" w:sz="0" w:space="0" w:color="auto"/>
                        <w:bottom w:val="none" w:sz="0" w:space="0" w:color="auto"/>
                        <w:right w:val="none" w:sz="0" w:space="0" w:color="auto"/>
                      </w:divBdr>
                    </w:div>
                  </w:divsChild>
                </w:div>
                <w:div w:id="2147239060">
                  <w:marLeft w:val="0"/>
                  <w:marRight w:val="0"/>
                  <w:marTop w:val="0"/>
                  <w:marBottom w:val="0"/>
                  <w:divBdr>
                    <w:top w:val="none" w:sz="0" w:space="0" w:color="auto"/>
                    <w:left w:val="none" w:sz="0" w:space="0" w:color="auto"/>
                    <w:bottom w:val="none" w:sz="0" w:space="0" w:color="auto"/>
                    <w:right w:val="none" w:sz="0" w:space="0" w:color="auto"/>
                  </w:divBdr>
                  <w:divsChild>
                    <w:div w:id="1548835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1629359">
      <w:bodyDiv w:val="1"/>
      <w:marLeft w:val="0"/>
      <w:marRight w:val="0"/>
      <w:marTop w:val="0"/>
      <w:marBottom w:val="0"/>
      <w:divBdr>
        <w:top w:val="none" w:sz="0" w:space="0" w:color="auto"/>
        <w:left w:val="none" w:sz="0" w:space="0" w:color="auto"/>
        <w:bottom w:val="none" w:sz="0" w:space="0" w:color="auto"/>
        <w:right w:val="none" w:sz="0" w:space="0" w:color="auto"/>
      </w:divBdr>
      <w:divsChild>
        <w:div w:id="42291643">
          <w:marLeft w:val="0"/>
          <w:marRight w:val="0"/>
          <w:marTop w:val="0"/>
          <w:marBottom w:val="0"/>
          <w:divBdr>
            <w:top w:val="none" w:sz="0" w:space="0" w:color="auto"/>
            <w:left w:val="none" w:sz="0" w:space="0" w:color="auto"/>
            <w:bottom w:val="none" w:sz="0" w:space="0" w:color="auto"/>
            <w:right w:val="none" w:sz="0" w:space="0" w:color="auto"/>
          </w:divBdr>
        </w:div>
        <w:div w:id="47657993">
          <w:marLeft w:val="0"/>
          <w:marRight w:val="0"/>
          <w:marTop w:val="0"/>
          <w:marBottom w:val="0"/>
          <w:divBdr>
            <w:top w:val="none" w:sz="0" w:space="0" w:color="auto"/>
            <w:left w:val="none" w:sz="0" w:space="0" w:color="auto"/>
            <w:bottom w:val="none" w:sz="0" w:space="0" w:color="auto"/>
            <w:right w:val="none" w:sz="0" w:space="0" w:color="auto"/>
          </w:divBdr>
        </w:div>
        <w:div w:id="84958336">
          <w:marLeft w:val="0"/>
          <w:marRight w:val="0"/>
          <w:marTop w:val="0"/>
          <w:marBottom w:val="0"/>
          <w:divBdr>
            <w:top w:val="none" w:sz="0" w:space="0" w:color="auto"/>
            <w:left w:val="none" w:sz="0" w:space="0" w:color="auto"/>
            <w:bottom w:val="none" w:sz="0" w:space="0" w:color="auto"/>
            <w:right w:val="none" w:sz="0" w:space="0" w:color="auto"/>
          </w:divBdr>
        </w:div>
        <w:div w:id="374308211">
          <w:marLeft w:val="0"/>
          <w:marRight w:val="0"/>
          <w:marTop w:val="0"/>
          <w:marBottom w:val="0"/>
          <w:divBdr>
            <w:top w:val="none" w:sz="0" w:space="0" w:color="auto"/>
            <w:left w:val="none" w:sz="0" w:space="0" w:color="auto"/>
            <w:bottom w:val="none" w:sz="0" w:space="0" w:color="auto"/>
            <w:right w:val="none" w:sz="0" w:space="0" w:color="auto"/>
          </w:divBdr>
        </w:div>
        <w:div w:id="380718201">
          <w:marLeft w:val="0"/>
          <w:marRight w:val="0"/>
          <w:marTop w:val="0"/>
          <w:marBottom w:val="0"/>
          <w:divBdr>
            <w:top w:val="none" w:sz="0" w:space="0" w:color="auto"/>
            <w:left w:val="none" w:sz="0" w:space="0" w:color="auto"/>
            <w:bottom w:val="none" w:sz="0" w:space="0" w:color="auto"/>
            <w:right w:val="none" w:sz="0" w:space="0" w:color="auto"/>
          </w:divBdr>
        </w:div>
        <w:div w:id="407926075">
          <w:marLeft w:val="0"/>
          <w:marRight w:val="0"/>
          <w:marTop w:val="0"/>
          <w:marBottom w:val="0"/>
          <w:divBdr>
            <w:top w:val="none" w:sz="0" w:space="0" w:color="auto"/>
            <w:left w:val="none" w:sz="0" w:space="0" w:color="auto"/>
            <w:bottom w:val="none" w:sz="0" w:space="0" w:color="auto"/>
            <w:right w:val="none" w:sz="0" w:space="0" w:color="auto"/>
          </w:divBdr>
        </w:div>
        <w:div w:id="790519261">
          <w:marLeft w:val="0"/>
          <w:marRight w:val="0"/>
          <w:marTop w:val="0"/>
          <w:marBottom w:val="0"/>
          <w:divBdr>
            <w:top w:val="none" w:sz="0" w:space="0" w:color="auto"/>
            <w:left w:val="none" w:sz="0" w:space="0" w:color="auto"/>
            <w:bottom w:val="none" w:sz="0" w:space="0" w:color="auto"/>
            <w:right w:val="none" w:sz="0" w:space="0" w:color="auto"/>
          </w:divBdr>
        </w:div>
        <w:div w:id="1047216034">
          <w:marLeft w:val="0"/>
          <w:marRight w:val="0"/>
          <w:marTop w:val="0"/>
          <w:marBottom w:val="0"/>
          <w:divBdr>
            <w:top w:val="none" w:sz="0" w:space="0" w:color="auto"/>
            <w:left w:val="none" w:sz="0" w:space="0" w:color="auto"/>
            <w:bottom w:val="none" w:sz="0" w:space="0" w:color="auto"/>
            <w:right w:val="none" w:sz="0" w:space="0" w:color="auto"/>
          </w:divBdr>
        </w:div>
        <w:div w:id="1058824683">
          <w:marLeft w:val="0"/>
          <w:marRight w:val="0"/>
          <w:marTop w:val="0"/>
          <w:marBottom w:val="0"/>
          <w:divBdr>
            <w:top w:val="none" w:sz="0" w:space="0" w:color="auto"/>
            <w:left w:val="none" w:sz="0" w:space="0" w:color="auto"/>
            <w:bottom w:val="none" w:sz="0" w:space="0" w:color="auto"/>
            <w:right w:val="none" w:sz="0" w:space="0" w:color="auto"/>
          </w:divBdr>
        </w:div>
        <w:div w:id="1100874883">
          <w:marLeft w:val="0"/>
          <w:marRight w:val="0"/>
          <w:marTop w:val="0"/>
          <w:marBottom w:val="0"/>
          <w:divBdr>
            <w:top w:val="none" w:sz="0" w:space="0" w:color="auto"/>
            <w:left w:val="none" w:sz="0" w:space="0" w:color="auto"/>
            <w:bottom w:val="none" w:sz="0" w:space="0" w:color="auto"/>
            <w:right w:val="none" w:sz="0" w:space="0" w:color="auto"/>
          </w:divBdr>
        </w:div>
        <w:div w:id="1231111248">
          <w:marLeft w:val="0"/>
          <w:marRight w:val="0"/>
          <w:marTop w:val="0"/>
          <w:marBottom w:val="0"/>
          <w:divBdr>
            <w:top w:val="none" w:sz="0" w:space="0" w:color="auto"/>
            <w:left w:val="none" w:sz="0" w:space="0" w:color="auto"/>
            <w:bottom w:val="none" w:sz="0" w:space="0" w:color="auto"/>
            <w:right w:val="none" w:sz="0" w:space="0" w:color="auto"/>
          </w:divBdr>
        </w:div>
        <w:div w:id="1444156434">
          <w:marLeft w:val="0"/>
          <w:marRight w:val="0"/>
          <w:marTop w:val="0"/>
          <w:marBottom w:val="0"/>
          <w:divBdr>
            <w:top w:val="none" w:sz="0" w:space="0" w:color="auto"/>
            <w:left w:val="none" w:sz="0" w:space="0" w:color="auto"/>
            <w:bottom w:val="none" w:sz="0" w:space="0" w:color="auto"/>
            <w:right w:val="none" w:sz="0" w:space="0" w:color="auto"/>
          </w:divBdr>
        </w:div>
        <w:div w:id="1524978776">
          <w:marLeft w:val="0"/>
          <w:marRight w:val="0"/>
          <w:marTop w:val="0"/>
          <w:marBottom w:val="0"/>
          <w:divBdr>
            <w:top w:val="none" w:sz="0" w:space="0" w:color="auto"/>
            <w:left w:val="none" w:sz="0" w:space="0" w:color="auto"/>
            <w:bottom w:val="none" w:sz="0" w:space="0" w:color="auto"/>
            <w:right w:val="none" w:sz="0" w:space="0" w:color="auto"/>
          </w:divBdr>
        </w:div>
        <w:div w:id="1533759842">
          <w:marLeft w:val="0"/>
          <w:marRight w:val="0"/>
          <w:marTop w:val="0"/>
          <w:marBottom w:val="0"/>
          <w:divBdr>
            <w:top w:val="none" w:sz="0" w:space="0" w:color="auto"/>
            <w:left w:val="none" w:sz="0" w:space="0" w:color="auto"/>
            <w:bottom w:val="none" w:sz="0" w:space="0" w:color="auto"/>
            <w:right w:val="none" w:sz="0" w:space="0" w:color="auto"/>
          </w:divBdr>
        </w:div>
        <w:div w:id="1553082487">
          <w:marLeft w:val="0"/>
          <w:marRight w:val="0"/>
          <w:marTop w:val="0"/>
          <w:marBottom w:val="0"/>
          <w:divBdr>
            <w:top w:val="none" w:sz="0" w:space="0" w:color="auto"/>
            <w:left w:val="none" w:sz="0" w:space="0" w:color="auto"/>
            <w:bottom w:val="none" w:sz="0" w:space="0" w:color="auto"/>
            <w:right w:val="none" w:sz="0" w:space="0" w:color="auto"/>
          </w:divBdr>
        </w:div>
        <w:div w:id="1557475977">
          <w:marLeft w:val="0"/>
          <w:marRight w:val="0"/>
          <w:marTop w:val="0"/>
          <w:marBottom w:val="0"/>
          <w:divBdr>
            <w:top w:val="none" w:sz="0" w:space="0" w:color="auto"/>
            <w:left w:val="none" w:sz="0" w:space="0" w:color="auto"/>
            <w:bottom w:val="none" w:sz="0" w:space="0" w:color="auto"/>
            <w:right w:val="none" w:sz="0" w:space="0" w:color="auto"/>
          </w:divBdr>
        </w:div>
        <w:div w:id="1602835867">
          <w:marLeft w:val="0"/>
          <w:marRight w:val="0"/>
          <w:marTop w:val="0"/>
          <w:marBottom w:val="0"/>
          <w:divBdr>
            <w:top w:val="none" w:sz="0" w:space="0" w:color="auto"/>
            <w:left w:val="none" w:sz="0" w:space="0" w:color="auto"/>
            <w:bottom w:val="none" w:sz="0" w:space="0" w:color="auto"/>
            <w:right w:val="none" w:sz="0" w:space="0" w:color="auto"/>
          </w:divBdr>
        </w:div>
        <w:div w:id="1708679034">
          <w:marLeft w:val="0"/>
          <w:marRight w:val="0"/>
          <w:marTop w:val="0"/>
          <w:marBottom w:val="0"/>
          <w:divBdr>
            <w:top w:val="none" w:sz="0" w:space="0" w:color="auto"/>
            <w:left w:val="none" w:sz="0" w:space="0" w:color="auto"/>
            <w:bottom w:val="none" w:sz="0" w:space="0" w:color="auto"/>
            <w:right w:val="none" w:sz="0" w:space="0" w:color="auto"/>
          </w:divBdr>
        </w:div>
        <w:div w:id="1831436037">
          <w:marLeft w:val="0"/>
          <w:marRight w:val="0"/>
          <w:marTop w:val="0"/>
          <w:marBottom w:val="0"/>
          <w:divBdr>
            <w:top w:val="none" w:sz="0" w:space="0" w:color="auto"/>
            <w:left w:val="none" w:sz="0" w:space="0" w:color="auto"/>
            <w:bottom w:val="none" w:sz="0" w:space="0" w:color="auto"/>
            <w:right w:val="none" w:sz="0" w:space="0" w:color="auto"/>
          </w:divBdr>
        </w:div>
        <w:div w:id="1956519807">
          <w:marLeft w:val="0"/>
          <w:marRight w:val="0"/>
          <w:marTop w:val="0"/>
          <w:marBottom w:val="0"/>
          <w:divBdr>
            <w:top w:val="none" w:sz="0" w:space="0" w:color="auto"/>
            <w:left w:val="none" w:sz="0" w:space="0" w:color="auto"/>
            <w:bottom w:val="none" w:sz="0" w:space="0" w:color="auto"/>
            <w:right w:val="none" w:sz="0" w:space="0" w:color="auto"/>
          </w:divBdr>
        </w:div>
        <w:div w:id="2093502565">
          <w:marLeft w:val="0"/>
          <w:marRight w:val="0"/>
          <w:marTop w:val="0"/>
          <w:marBottom w:val="0"/>
          <w:divBdr>
            <w:top w:val="none" w:sz="0" w:space="0" w:color="auto"/>
            <w:left w:val="none" w:sz="0" w:space="0" w:color="auto"/>
            <w:bottom w:val="none" w:sz="0" w:space="0" w:color="auto"/>
            <w:right w:val="none" w:sz="0" w:space="0" w:color="auto"/>
          </w:divBdr>
        </w:div>
      </w:divsChild>
    </w:div>
    <w:div w:id="1183935522">
      <w:bodyDiv w:val="1"/>
      <w:marLeft w:val="0"/>
      <w:marRight w:val="0"/>
      <w:marTop w:val="0"/>
      <w:marBottom w:val="0"/>
      <w:divBdr>
        <w:top w:val="none" w:sz="0" w:space="0" w:color="auto"/>
        <w:left w:val="none" w:sz="0" w:space="0" w:color="auto"/>
        <w:bottom w:val="none" w:sz="0" w:space="0" w:color="auto"/>
        <w:right w:val="none" w:sz="0" w:space="0" w:color="auto"/>
      </w:divBdr>
    </w:div>
    <w:div w:id="1468548758">
      <w:bodyDiv w:val="1"/>
      <w:marLeft w:val="0"/>
      <w:marRight w:val="0"/>
      <w:marTop w:val="0"/>
      <w:marBottom w:val="0"/>
      <w:divBdr>
        <w:top w:val="none" w:sz="0" w:space="0" w:color="auto"/>
        <w:left w:val="none" w:sz="0" w:space="0" w:color="auto"/>
        <w:bottom w:val="none" w:sz="0" w:space="0" w:color="auto"/>
        <w:right w:val="none" w:sz="0" w:space="0" w:color="auto"/>
      </w:divBdr>
      <w:divsChild>
        <w:div w:id="324286313">
          <w:marLeft w:val="0"/>
          <w:marRight w:val="0"/>
          <w:marTop w:val="0"/>
          <w:marBottom w:val="0"/>
          <w:divBdr>
            <w:top w:val="none" w:sz="0" w:space="0" w:color="auto"/>
            <w:left w:val="none" w:sz="0" w:space="0" w:color="auto"/>
            <w:bottom w:val="none" w:sz="0" w:space="0" w:color="auto"/>
            <w:right w:val="none" w:sz="0" w:space="0" w:color="auto"/>
          </w:divBdr>
          <w:divsChild>
            <w:div w:id="2069525075">
              <w:marLeft w:val="-75"/>
              <w:marRight w:val="0"/>
              <w:marTop w:val="30"/>
              <w:marBottom w:val="30"/>
              <w:divBdr>
                <w:top w:val="none" w:sz="0" w:space="0" w:color="auto"/>
                <w:left w:val="none" w:sz="0" w:space="0" w:color="auto"/>
                <w:bottom w:val="none" w:sz="0" w:space="0" w:color="auto"/>
                <w:right w:val="none" w:sz="0" w:space="0" w:color="auto"/>
              </w:divBdr>
              <w:divsChild>
                <w:div w:id="18439493">
                  <w:marLeft w:val="0"/>
                  <w:marRight w:val="0"/>
                  <w:marTop w:val="0"/>
                  <w:marBottom w:val="0"/>
                  <w:divBdr>
                    <w:top w:val="none" w:sz="0" w:space="0" w:color="auto"/>
                    <w:left w:val="none" w:sz="0" w:space="0" w:color="auto"/>
                    <w:bottom w:val="none" w:sz="0" w:space="0" w:color="auto"/>
                    <w:right w:val="none" w:sz="0" w:space="0" w:color="auto"/>
                  </w:divBdr>
                  <w:divsChild>
                    <w:div w:id="1504903371">
                      <w:marLeft w:val="0"/>
                      <w:marRight w:val="0"/>
                      <w:marTop w:val="0"/>
                      <w:marBottom w:val="0"/>
                      <w:divBdr>
                        <w:top w:val="none" w:sz="0" w:space="0" w:color="auto"/>
                        <w:left w:val="none" w:sz="0" w:space="0" w:color="auto"/>
                        <w:bottom w:val="none" w:sz="0" w:space="0" w:color="auto"/>
                        <w:right w:val="none" w:sz="0" w:space="0" w:color="auto"/>
                      </w:divBdr>
                    </w:div>
                  </w:divsChild>
                </w:div>
                <w:div w:id="28260259">
                  <w:marLeft w:val="0"/>
                  <w:marRight w:val="0"/>
                  <w:marTop w:val="0"/>
                  <w:marBottom w:val="0"/>
                  <w:divBdr>
                    <w:top w:val="none" w:sz="0" w:space="0" w:color="auto"/>
                    <w:left w:val="none" w:sz="0" w:space="0" w:color="auto"/>
                    <w:bottom w:val="none" w:sz="0" w:space="0" w:color="auto"/>
                    <w:right w:val="none" w:sz="0" w:space="0" w:color="auto"/>
                  </w:divBdr>
                  <w:divsChild>
                    <w:div w:id="1309045384">
                      <w:marLeft w:val="0"/>
                      <w:marRight w:val="0"/>
                      <w:marTop w:val="0"/>
                      <w:marBottom w:val="0"/>
                      <w:divBdr>
                        <w:top w:val="none" w:sz="0" w:space="0" w:color="auto"/>
                        <w:left w:val="none" w:sz="0" w:space="0" w:color="auto"/>
                        <w:bottom w:val="none" w:sz="0" w:space="0" w:color="auto"/>
                        <w:right w:val="none" w:sz="0" w:space="0" w:color="auto"/>
                      </w:divBdr>
                    </w:div>
                    <w:div w:id="1317495667">
                      <w:marLeft w:val="0"/>
                      <w:marRight w:val="0"/>
                      <w:marTop w:val="0"/>
                      <w:marBottom w:val="0"/>
                      <w:divBdr>
                        <w:top w:val="none" w:sz="0" w:space="0" w:color="auto"/>
                        <w:left w:val="none" w:sz="0" w:space="0" w:color="auto"/>
                        <w:bottom w:val="none" w:sz="0" w:space="0" w:color="auto"/>
                        <w:right w:val="none" w:sz="0" w:space="0" w:color="auto"/>
                      </w:divBdr>
                    </w:div>
                  </w:divsChild>
                </w:div>
                <w:div w:id="35855020">
                  <w:marLeft w:val="0"/>
                  <w:marRight w:val="0"/>
                  <w:marTop w:val="0"/>
                  <w:marBottom w:val="0"/>
                  <w:divBdr>
                    <w:top w:val="none" w:sz="0" w:space="0" w:color="auto"/>
                    <w:left w:val="none" w:sz="0" w:space="0" w:color="auto"/>
                    <w:bottom w:val="none" w:sz="0" w:space="0" w:color="auto"/>
                    <w:right w:val="none" w:sz="0" w:space="0" w:color="auto"/>
                  </w:divBdr>
                  <w:divsChild>
                    <w:div w:id="1860462089">
                      <w:marLeft w:val="0"/>
                      <w:marRight w:val="0"/>
                      <w:marTop w:val="0"/>
                      <w:marBottom w:val="0"/>
                      <w:divBdr>
                        <w:top w:val="none" w:sz="0" w:space="0" w:color="auto"/>
                        <w:left w:val="none" w:sz="0" w:space="0" w:color="auto"/>
                        <w:bottom w:val="none" w:sz="0" w:space="0" w:color="auto"/>
                        <w:right w:val="none" w:sz="0" w:space="0" w:color="auto"/>
                      </w:divBdr>
                    </w:div>
                  </w:divsChild>
                </w:div>
                <w:div w:id="36322328">
                  <w:marLeft w:val="0"/>
                  <w:marRight w:val="0"/>
                  <w:marTop w:val="0"/>
                  <w:marBottom w:val="0"/>
                  <w:divBdr>
                    <w:top w:val="none" w:sz="0" w:space="0" w:color="auto"/>
                    <w:left w:val="none" w:sz="0" w:space="0" w:color="auto"/>
                    <w:bottom w:val="none" w:sz="0" w:space="0" w:color="auto"/>
                    <w:right w:val="none" w:sz="0" w:space="0" w:color="auto"/>
                  </w:divBdr>
                  <w:divsChild>
                    <w:div w:id="746731969">
                      <w:marLeft w:val="0"/>
                      <w:marRight w:val="0"/>
                      <w:marTop w:val="0"/>
                      <w:marBottom w:val="0"/>
                      <w:divBdr>
                        <w:top w:val="none" w:sz="0" w:space="0" w:color="auto"/>
                        <w:left w:val="none" w:sz="0" w:space="0" w:color="auto"/>
                        <w:bottom w:val="none" w:sz="0" w:space="0" w:color="auto"/>
                        <w:right w:val="none" w:sz="0" w:space="0" w:color="auto"/>
                      </w:divBdr>
                    </w:div>
                    <w:div w:id="1244755052">
                      <w:marLeft w:val="0"/>
                      <w:marRight w:val="0"/>
                      <w:marTop w:val="0"/>
                      <w:marBottom w:val="0"/>
                      <w:divBdr>
                        <w:top w:val="none" w:sz="0" w:space="0" w:color="auto"/>
                        <w:left w:val="none" w:sz="0" w:space="0" w:color="auto"/>
                        <w:bottom w:val="none" w:sz="0" w:space="0" w:color="auto"/>
                        <w:right w:val="none" w:sz="0" w:space="0" w:color="auto"/>
                      </w:divBdr>
                    </w:div>
                  </w:divsChild>
                </w:div>
                <w:div w:id="40907775">
                  <w:marLeft w:val="0"/>
                  <w:marRight w:val="0"/>
                  <w:marTop w:val="0"/>
                  <w:marBottom w:val="0"/>
                  <w:divBdr>
                    <w:top w:val="none" w:sz="0" w:space="0" w:color="auto"/>
                    <w:left w:val="none" w:sz="0" w:space="0" w:color="auto"/>
                    <w:bottom w:val="none" w:sz="0" w:space="0" w:color="auto"/>
                    <w:right w:val="none" w:sz="0" w:space="0" w:color="auto"/>
                  </w:divBdr>
                  <w:divsChild>
                    <w:div w:id="680009523">
                      <w:marLeft w:val="0"/>
                      <w:marRight w:val="0"/>
                      <w:marTop w:val="0"/>
                      <w:marBottom w:val="0"/>
                      <w:divBdr>
                        <w:top w:val="none" w:sz="0" w:space="0" w:color="auto"/>
                        <w:left w:val="none" w:sz="0" w:space="0" w:color="auto"/>
                        <w:bottom w:val="none" w:sz="0" w:space="0" w:color="auto"/>
                        <w:right w:val="none" w:sz="0" w:space="0" w:color="auto"/>
                      </w:divBdr>
                    </w:div>
                  </w:divsChild>
                </w:div>
                <w:div w:id="48959490">
                  <w:marLeft w:val="0"/>
                  <w:marRight w:val="0"/>
                  <w:marTop w:val="0"/>
                  <w:marBottom w:val="0"/>
                  <w:divBdr>
                    <w:top w:val="none" w:sz="0" w:space="0" w:color="auto"/>
                    <w:left w:val="none" w:sz="0" w:space="0" w:color="auto"/>
                    <w:bottom w:val="none" w:sz="0" w:space="0" w:color="auto"/>
                    <w:right w:val="none" w:sz="0" w:space="0" w:color="auto"/>
                  </w:divBdr>
                  <w:divsChild>
                    <w:div w:id="494148740">
                      <w:marLeft w:val="0"/>
                      <w:marRight w:val="0"/>
                      <w:marTop w:val="0"/>
                      <w:marBottom w:val="0"/>
                      <w:divBdr>
                        <w:top w:val="none" w:sz="0" w:space="0" w:color="auto"/>
                        <w:left w:val="none" w:sz="0" w:space="0" w:color="auto"/>
                        <w:bottom w:val="none" w:sz="0" w:space="0" w:color="auto"/>
                        <w:right w:val="none" w:sz="0" w:space="0" w:color="auto"/>
                      </w:divBdr>
                    </w:div>
                  </w:divsChild>
                </w:div>
                <w:div w:id="51084786">
                  <w:marLeft w:val="0"/>
                  <w:marRight w:val="0"/>
                  <w:marTop w:val="0"/>
                  <w:marBottom w:val="0"/>
                  <w:divBdr>
                    <w:top w:val="none" w:sz="0" w:space="0" w:color="auto"/>
                    <w:left w:val="none" w:sz="0" w:space="0" w:color="auto"/>
                    <w:bottom w:val="none" w:sz="0" w:space="0" w:color="auto"/>
                    <w:right w:val="none" w:sz="0" w:space="0" w:color="auto"/>
                  </w:divBdr>
                  <w:divsChild>
                    <w:div w:id="1906184657">
                      <w:marLeft w:val="0"/>
                      <w:marRight w:val="0"/>
                      <w:marTop w:val="0"/>
                      <w:marBottom w:val="0"/>
                      <w:divBdr>
                        <w:top w:val="none" w:sz="0" w:space="0" w:color="auto"/>
                        <w:left w:val="none" w:sz="0" w:space="0" w:color="auto"/>
                        <w:bottom w:val="none" w:sz="0" w:space="0" w:color="auto"/>
                        <w:right w:val="none" w:sz="0" w:space="0" w:color="auto"/>
                      </w:divBdr>
                    </w:div>
                  </w:divsChild>
                </w:div>
                <w:div w:id="51655850">
                  <w:marLeft w:val="0"/>
                  <w:marRight w:val="0"/>
                  <w:marTop w:val="0"/>
                  <w:marBottom w:val="0"/>
                  <w:divBdr>
                    <w:top w:val="none" w:sz="0" w:space="0" w:color="auto"/>
                    <w:left w:val="none" w:sz="0" w:space="0" w:color="auto"/>
                    <w:bottom w:val="none" w:sz="0" w:space="0" w:color="auto"/>
                    <w:right w:val="none" w:sz="0" w:space="0" w:color="auto"/>
                  </w:divBdr>
                  <w:divsChild>
                    <w:div w:id="1056855653">
                      <w:marLeft w:val="0"/>
                      <w:marRight w:val="0"/>
                      <w:marTop w:val="0"/>
                      <w:marBottom w:val="0"/>
                      <w:divBdr>
                        <w:top w:val="none" w:sz="0" w:space="0" w:color="auto"/>
                        <w:left w:val="none" w:sz="0" w:space="0" w:color="auto"/>
                        <w:bottom w:val="none" w:sz="0" w:space="0" w:color="auto"/>
                        <w:right w:val="none" w:sz="0" w:space="0" w:color="auto"/>
                      </w:divBdr>
                    </w:div>
                  </w:divsChild>
                </w:div>
                <w:div w:id="104467822">
                  <w:marLeft w:val="0"/>
                  <w:marRight w:val="0"/>
                  <w:marTop w:val="0"/>
                  <w:marBottom w:val="0"/>
                  <w:divBdr>
                    <w:top w:val="none" w:sz="0" w:space="0" w:color="auto"/>
                    <w:left w:val="none" w:sz="0" w:space="0" w:color="auto"/>
                    <w:bottom w:val="none" w:sz="0" w:space="0" w:color="auto"/>
                    <w:right w:val="none" w:sz="0" w:space="0" w:color="auto"/>
                  </w:divBdr>
                  <w:divsChild>
                    <w:div w:id="821316813">
                      <w:marLeft w:val="0"/>
                      <w:marRight w:val="0"/>
                      <w:marTop w:val="0"/>
                      <w:marBottom w:val="0"/>
                      <w:divBdr>
                        <w:top w:val="none" w:sz="0" w:space="0" w:color="auto"/>
                        <w:left w:val="none" w:sz="0" w:space="0" w:color="auto"/>
                        <w:bottom w:val="none" w:sz="0" w:space="0" w:color="auto"/>
                        <w:right w:val="none" w:sz="0" w:space="0" w:color="auto"/>
                      </w:divBdr>
                    </w:div>
                  </w:divsChild>
                </w:div>
                <w:div w:id="110980272">
                  <w:marLeft w:val="0"/>
                  <w:marRight w:val="0"/>
                  <w:marTop w:val="0"/>
                  <w:marBottom w:val="0"/>
                  <w:divBdr>
                    <w:top w:val="none" w:sz="0" w:space="0" w:color="auto"/>
                    <w:left w:val="none" w:sz="0" w:space="0" w:color="auto"/>
                    <w:bottom w:val="none" w:sz="0" w:space="0" w:color="auto"/>
                    <w:right w:val="none" w:sz="0" w:space="0" w:color="auto"/>
                  </w:divBdr>
                  <w:divsChild>
                    <w:div w:id="33698536">
                      <w:marLeft w:val="0"/>
                      <w:marRight w:val="0"/>
                      <w:marTop w:val="0"/>
                      <w:marBottom w:val="0"/>
                      <w:divBdr>
                        <w:top w:val="none" w:sz="0" w:space="0" w:color="auto"/>
                        <w:left w:val="none" w:sz="0" w:space="0" w:color="auto"/>
                        <w:bottom w:val="none" w:sz="0" w:space="0" w:color="auto"/>
                        <w:right w:val="none" w:sz="0" w:space="0" w:color="auto"/>
                      </w:divBdr>
                    </w:div>
                  </w:divsChild>
                </w:div>
                <w:div w:id="114064191">
                  <w:marLeft w:val="0"/>
                  <w:marRight w:val="0"/>
                  <w:marTop w:val="0"/>
                  <w:marBottom w:val="0"/>
                  <w:divBdr>
                    <w:top w:val="none" w:sz="0" w:space="0" w:color="auto"/>
                    <w:left w:val="none" w:sz="0" w:space="0" w:color="auto"/>
                    <w:bottom w:val="none" w:sz="0" w:space="0" w:color="auto"/>
                    <w:right w:val="none" w:sz="0" w:space="0" w:color="auto"/>
                  </w:divBdr>
                  <w:divsChild>
                    <w:div w:id="1329482030">
                      <w:marLeft w:val="0"/>
                      <w:marRight w:val="0"/>
                      <w:marTop w:val="0"/>
                      <w:marBottom w:val="0"/>
                      <w:divBdr>
                        <w:top w:val="none" w:sz="0" w:space="0" w:color="auto"/>
                        <w:left w:val="none" w:sz="0" w:space="0" w:color="auto"/>
                        <w:bottom w:val="none" w:sz="0" w:space="0" w:color="auto"/>
                        <w:right w:val="none" w:sz="0" w:space="0" w:color="auto"/>
                      </w:divBdr>
                    </w:div>
                  </w:divsChild>
                </w:div>
                <w:div w:id="124199937">
                  <w:marLeft w:val="0"/>
                  <w:marRight w:val="0"/>
                  <w:marTop w:val="0"/>
                  <w:marBottom w:val="0"/>
                  <w:divBdr>
                    <w:top w:val="none" w:sz="0" w:space="0" w:color="auto"/>
                    <w:left w:val="none" w:sz="0" w:space="0" w:color="auto"/>
                    <w:bottom w:val="none" w:sz="0" w:space="0" w:color="auto"/>
                    <w:right w:val="none" w:sz="0" w:space="0" w:color="auto"/>
                  </w:divBdr>
                  <w:divsChild>
                    <w:div w:id="649603455">
                      <w:marLeft w:val="0"/>
                      <w:marRight w:val="0"/>
                      <w:marTop w:val="0"/>
                      <w:marBottom w:val="0"/>
                      <w:divBdr>
                        <w:top w:val="none" w:sz="0" w:space="0" w:color="auto"/>
                        <w:left w:val="none" w:sz="0" w:space="0" w:color="auto"/>
                        <w:bottom w:val="none" w:sz="0" w:space="0" w:color="auto"/>
                        <w:right w:val="none" w:sz="0" w:space="0" w:color="auto"/>
                      </w:divBdr>
                    </w:div>
                  </w:divsChild>
                </w:div>
                <w:div w:id="125203726">
                  <w:marLeft w:val="0"/>
                  <w:marRight w:val="0"/>
                  <w:marTop w:val="0"/>
                  <w:marBottom w:val="0"/>
                  <w:divBdr>
                    <w:top w:val="none" w:sz="0" w:space="0" w:color="auto"/>
                    <w:left w:val="none" w:sz="0" w:space="0" w:color="auto"/>
                    <w:bottom w:val="none" w:sz="0" w:space="0" w:color="auto"/>
                    <w:right w:val="none" w:sz="0" w:space="0" w:color="auto"/>
                  </w:divBdr>
                  <w:divsChild>
                    <w:div w:id="1864712217">
                      <w:marLeft w:val="0"/>
                      <w:marRight w:val="0"/>
                      <w:marTop w:val="0"/>
                      <w:marBottom w:val="0"/>
                      <w:divBdr>
                        <w:top w:val="none" w:sz="0" w:space="0" w:color="auto"/>
                        <w:left w:val="none" w:sz="0" w:space="0" w:color="auto"/>
                        <w:bottom w:val="none" w:sz="0" w:space="0" w:color="auto"/>
                        <w:right w:val="none" w:sz="0" w:space="0" w:color="auto"/>
                      </w:divBdr>
                    </w:div>
                  </w:divsChild>
                </w:div>
                <w:div w:id="133455512">
                  <w:marLeft w:val="0"/>
                  <w:marRight w:val="0"/>
                  <w:marTop w:val="0"/>
                  <w:marBottom w:val="0"/>
                  <w:divBdr>
                    <w:top w:val="none" w:sz="0" w:space="0" w:color="auto"/>
                    <w:left w:val="none" w:sz="0" w:space="0" w:color="auto"/>
                    <w:bottom w:val="none" w:sz="0" w:space="0" w:color="auto"/>
                    <w:right w:val="none" w:sz="0" w:space="0" w:color="auto"/>
                  </w:divBdr>
                  <w:divsChild>
                    <w:div w:id="817114999">
                      <w:marLeft w:val="0"/>
                      <w:marRight w:val="0"/>
                      <w:marTop w:val="0"/>
                      <w:marBottom w:val="0"/>
                      <w:divBdr>
                        <w:top w:val="none" w:sz="0" w:space="0" w:color="auto"/>
                        <w:left w:val="none" w:sz="0" w:space="0" w:color="auto"/>
                        <w:bottom w:val="none" w:sz="0" w:space="0" w:color="auto"/>
                        <w:right w:val="none" w:sz="0" w:space="0" w:color="auto"/>
                      </w:divBdr>
                    </w:div>
                  </w:divsChild>
                </w:div>
                <w:div w:id="136455447">
                  <w:marLeft w:val="0"/>
                  <w:marRight w:val="0"/>
                  <w:marTop w:val="0"/>
                  <w:marBottom w:val="0"/>
                  <w:divBdr>
                    <w:top w:val="none" w:sz="0" w:space="0" w:color="auto"/>
                    <w:left w:val="none" w:sz="0" w:space="0" w:color="auto"/>
                    <w:bottom w:val="none" w:sz="0" w:space="0" w:color="auto"/>
                    <w:right w:val="none" w:sz="0" w:space="0" w:color="auto"/>
                  </w:divBdr>
                  <w:divsChild>
                    <w:div w:id="1769034568">
                      <w:marLeft w:val="0"/>
                      <w:marRight w:val="0"/>
                      <w:marTop w:val="0"/>
                      <w:marBottom w:val="0"/>
                      <w:divBdr>
                        <w:top w:val="none" w:sz="0" w:space="0" w:color="auto"/>
                        <w:left w:val="none" w:sz="0" w:space="0" w:color="auto"/>
                        <w:bottom w:val="none" w:sz="0" w:space="0" w:color="auto"/>
                        <w:right w:val="none" w:sz="0" w:space="0" w:color="auto"/>
                      </w:divBdr>
                    </w:div>
                  </w:divsChild>
                </w:div>
                <w:div w:id="145318630">
                  <w:marLeft w:val="0"/>
                  <w:marRight w:val="0"/>
                  <w:marTop w:val="0"/>
                  <w:marBottom w:val="0"/>
                  <w:divBdr>
                    <w:top w:val="none" w:sz="0" w:space="0" w:color="auto"/>
                    <w:left w:val="none" w:sz="0" w:space="0" w:color="auto"/>
                    <w:bottom w:val="none" w:sz="0" w:space="0" w:color="auto"/>
                    <w:right w:val="none" w:sz="0" w:space="0" w:color="auto"/>
                  </w:divBdr>
                  <w:divsChild>
                    <w:div w:id="565842448">
                      <w:marLeft w:val="0"/>
                      <w:marRight w:val="0"/>
                      <w:marTop w:val="0"/>
                      <w:marBottom w:val="0"/>
                      <w:divBdr>
                        <w:top w:val="none" w:sz="0" w:space="0" w:color="auto"/>
                        <w:left w:val="none" w:sz="0" w:space="0" w:color="auto"/>
                        <w:bottom w:val="none" w:sz="0" w:space="0" w:color="auto"/>
                        <w:right w:val="none" w:sz="0" w:space="0" w:color="auto"/>
                      </w:divBdr>
                    </w:div>
                  </w:divsChild>
                </w:div>
                <w:div w:id="161509071">
                  <w:marLeft w:val="0"/>
                  <w:marRight w:val="0"/>
                  <w:marTop w:val="0"/>
                  <w:marBottom w:val="0"/>
                  <w:divBdr>
                    <w:top w:val="none" w:sz="0" w:space="0" w:color="auto"/>
                    <w:left w:val="none" w:sz="0" w:space="0" w:color="auto"/>
                    <w:bottom w:val="none" w:sz="0" w:space="0" w:color="auto"/>
                    <w:right w:val="none" w:sz="0" w:space="0" w:color="auto"/>
                  </w:divBdr>
                  <w:divsChild>
                    <w:div w:id="457066554">
                      <w:marLeft w:val="0"/>
                      <w:marRight w:val="0"/>
                      <w:marTop w:val="0"/>
                      <w:marBottom w:val="0"/>
                      <w:divBdr>
                        <w:top w:val="none" w:sz="0" w:space="0" w:color="auto"/>
                        <w:left w:val="none" w:sz="0" w:space="0" w:color="auto"/>
                        <w:bottom w:val="none" w:sz="0" w:space="0" w:color="auto"/>
                        <w:right w:val="none" w:sz="0" w:space="0" w:color="auto"/>
                      </w:divBdr>
                    </w:div>
                  </w:divsChild>
                </w:div>
                <w:div w:id="170530962">
                  <w:marLeft w:val="0"/>
                  <w:marRight w:val="0"/>
                  <w:marTop w:val="0"/>
                  <w:marBottom w:val="0"/>
                  <w:divBdr>
                    <w:top w:val="none" w:sz="0" w:space="0" w:color="auto"/>
                    <w:left w:val="none" w:sz="0" w:space="0" w:color="auto"/>
                    <w:bottom w:val="none" w:sz="0" w:space="0" w:color="auto"/>
                    <w:right w:val="none" w:sz="0" w:space="0" w:color="auto"/>
                  </w:divBdr>
                  <w:divsChild>
                    <w:div w:id="645663655">
                      <w:marLeft w:val="0"/>
                      <w:marRight w:val="0"/>
                      <w:marTop w:val="0"/>
                      <w:marBottom w:val="0"/>
                      <w:divBdr>
                        <w:top w:val="none" w:sz="0" w:space="0" w:color="auto"/>
                        <w:left w:val="none" w:sz="0" w:space="0" w:color="auto"/>
                        <w:bottom w:val="none" w:sz="0" w:space="0" w:color="auto"/>
                        <w:right w:val="none" w:sz="0" w:space="0" w:color="auto"/>
                      </w:divBdr>
                    </w:div>
                  </w:divsChild>
                </w:div>
                <w:div w:id="172233848">
                  <w:marLeft w:val="0"/>
                  <w:marRight w:val="0"/>
                  <w:marTop w:val="0"/>
                  <w:marBottom w:val="0"/>
                  <w:divBdr>
                    <w:top w:val="none" w:sz="0" w:space="0" w:color="auto"/>
                    <w:left w:val="none" w:sz="0" w:space="0" w:color="auto"/>
                    <w:bottom w:val="none" w:sz="0" w:space="0" w:color="auto"/>
                    <w:right w:val="none" w:sz="0" w:space="0" w:color="auto"/>
                  </w:divBdr>
                  <w:divsChild>
                    <w:div w:id="1807627248">
                      <w:marLeft w:val="0"/>
                      <w:marRight w:val="0"/>
                      <w:marTop w:val="0"/>
                      <w:marBottom w:val="0"/>
                      <w:divBdr>
                        <w:top w:val="none" w:sz="0" w:space="0" w:color="auto"/>
                        <w:left w:val="none" w:sz="0" w:space="0" w:color="auto"/>
                        <w:bottom w:val="none" w:sz="0" w:space="0" w:color="auto"/>
                        <w:right w:val="none" w:sz="0" w:space="0" w:color="auto"/>
                      </w:divBdr>
                    </w:div>
                  </w:divsChild>
                </w:div>
                <w:div w:id="176114947">
                  <w:marLeft w:val="0"/>
                  <w:marRight w:val="0"/>
                  <w:marTop w:val="0"/>
                  <w:marBottom w:val="0"/>
                  <w:divBdr>
                    <w:top w:val="none" w:sz="0" w:space="0" w:color="auto"/>
                    <w:left w:val="none" w:sz="0" w:space="0" w:color="auto"/>
                    <w:bottom w:val="none" w:sz="0" w:space="0" w:color="auto"/>
                    <w:right w:val="none" w:sz="0" w:space="0" w:color="auto"/>
                  </w:divBdr>
                  <w:divsChild>
                    <w:div w:id="1597327352">
                      <w:marLeft w:val="0"/>
                      <w:marRight w:val="0"/>
                      <w:marTop w:val="0"/>
                      <w:marBottom w:val="0"/>
                      <w:divBdr>
                        <w:top w:val="none" w:sz="0" w:space="0" w:color="auto"/>
                        <w:left w:val="none" w:sz="0" w:space="0" w:color="auto"/>
                        <w:bottom w:val="none" w:sz="0" w:space="0" w:color="auto"/>
                        <w:right w:val="none" w:sz="0" w:space="0" w:color="auto"/>
                      </w:divBdr>
                    </w:div>
                  </w:divsChild>
                </w:div>
                <w:div w:id="178935112">
                  <w:marLeft w:val="0"/>
                  <w:marRight w:val="0"/>
                  <w:marTop w:val="0"/>
                  <w:marBottom w:val="0"/>
                  <w:divBdr>
                    <w:top w:val="none" w:sz="0" w:space="0" w:color="auto"/>
                    <w:left w:val="none" w:sz="0" w:space="0" w:color="auto"/>
                    <w:bottom w:val="none" w:sz="0" w:space="0" w:color="auto"/>
                    <w:right w:val="none" w:sz="0" w:space="0" w:color="auto"/>
                  </w:divBdr>
                  <w:divsChild>
                    <w:div w:id="690953965">
                      <w:marLeft w:val="0"/>
                      <w:marRight w:val="0"/>
                      <w:marTop w:val="0"/>
                      <w:marBottom w:val="0"/>
                      <w:divBdr>
                        <w:top w:val="none" w:sz="0" w:space="0" w:color="auto"/>
                        <w:left w:val="none" w:sz="0" w:space="0" w:color="auto"/>
                        <w:bottom w:val="none" w:sz="0" w:space="0" w:color="auto"/>
                        <w:right w:val="none" w:sz="0" w:space="0" w:color="auto"/>
                      </w:divBdr>
                    </w:div>
                  </w:divsChild>
                </w:div>
                <w:div w:id="208610866">
                  <w:marLeft w:val="0"/>
                  <w:marRight w:val="0"/>
                  <w:marTop w:val="0"/>
                  <w:marBottom w:val="0"/>
                  <w:divBdr>
                    <w:top w:val="none" w:sz="0" w:space="0" w:color="auto"/>
                    <w:left w:val="none" w:sz="0" w:space="0" w:color="auto"/>
                    <w:bottom w:val="none" w:sz="0" w:space="0" w:color="auto"/>
                    <w:right w:val="none" w:sz="0" w:space="0" w:color="auto"/>
                  </w:divBdr>
                  <w:divsChild>
                    <w:div w:id="66728879">
                      <w:marLeft w:val="0"/>
                      <w:marRight w:val="0"/>
                      <w:marTop w:val="0"/>
                      <w:marBottom w:val="0"/>
                      <w:divBdr>
                        <w:top w:val="none" w:sz="0" w:space="0" w:color="auto"/>
                        <w:left w:val="none" w:sz="0" w:space="0" w:color="auto"/>
                        <w:bottom w:val="none" w:sz="0" w:space="0" w:color="auto"/>
                        <w:right w:val="none" w:sz="0" w:space="0" w:color="auto"/>
                      </w:divBdr>
                    </w:div>
                    <w:div w:id="1285429387">
                      <w:marLeft w:val="0"/>
                      <w:marRight w:val="0"/>
                      <w:marTop w:val="0"/>
                      <w:marBottom w:val="0"/>
                      <w:divBdr>
                        <w:top w:val="none" w:sz="0" w:space="0" w:color="auto"/>
                        <w:left w:val="none" w:sz="0" w:space="0" w:color="auto"/>
                        <w:bottom w:val="none" w:sz="0" w:space="0" w:color="auto"/>
                        <w:right w:val="none" w:sz="0" w:space="0" w:color="auto"/>
                      </w:divBdr>
                    </w:div>
                  </w:divsChild>
                </w:div>
                <w:div w:id="235869109">
                  <w:marLeft w:val="0"/>
                  <w:marRight w:val="0"/>
                  <w:marTop w:val="0"/>
                  <w:marBottom w:val="0"/>
                  <w:divBdr>
                    <w:top w:val="none" w:sz="0" w:space="0" w:color="auto"/>
                    <w:left w:val="none" w:sz="0" w:space="0" w:color="auto"/>
                    <w:bottom w:val="none" w:sz="0" w:space="0" w:color="auto"/>
                    <w:right w:val="none" w:sz="0" w:space="0" w:color="auto"/>
                  </w:divBdr>
                  <w:divsChild>
                    <w:div w:id="1971353515">
                      <w:marLeft w:val="0"/>
                      <w:marRight w:val="0"/>
                      <w:marTop w:val="0"/>
                      <w:marBottom w:val="0"/>
                      <w:divBdr>
                        <w:top w:val="none" w:sz="0" w:space="0" w:color="auto"/>
                        <w:left w:val="none" w:sz="0" w:space="0" w:color="auto"/>
                        <w:bottom w:val="none" w:sz="0" w:space="0" w:color="auto"/>
                        <w:right w:val="none" w:sz="0" w:space="0" w:color="auto"/>
                      </w:divBdr>
                    </w:div>
                  </w:divsChild>
                </w:div>
                <w:div w:id="238751806">
                  <w:marLeft w:val="0"/>
                  <w:marRight w:val="0"/>
                  <w:marTop w:val="0"/>
                  <w:marBottom w:val="0"/>
                  <w:divBdr>
                    <w:top w:val="none" w:sz="0" w:space="0" w:color="auto"/>
                    <w:left w:val="none" w:sz="0" w:space="0" w:color="auto"/>
                    <w:bottom w:val="none" w:sz="0" w:space="0" w:color="auto"/>
                    <w:right w:val="none" w:sz="0" w:space="0" w:color="auto"/>
                  </w:divBdr>
                  <w:divsChild>
                    <w:div w:id="9727124">
                      <w:marLeft w:val="0"/>
                      <w:marRight w:val="0"/>
                      <w:marTop w:val="0"/>
                      <w:marBottom w:val="0"/>
                      <w:divBdr>
                        <w:top w:val="none" w:sz="0" w:space="0" w:color="auto"/>
                        <w:left w:val="none" w:sz="0" w:space="0" w:color="auto"/>
                        <w:bottom w:val="none" w:sz="0" w:space="0" w:color="auto"/>
                        <w:right w:val="none" w:sz="0" w:space="0" w:color="auto"/>
                      </w:divBdr>
                    </w:div>
                  </w:divsChild>
                </w:div>
                <w:div w:id="258224539">
                  <w:marLeft w:val="0"/>
                  <w:marRight w:val="0"/>
                  <w:marTop w:val="0"/>
                  <w:marBottom w:val="0"/>
                  <w:divBdr>
                    <w:top w:val="none" w:sz="0" w:space="0" w:color="auto"/>
                    <w:left w:val="none" w:sz="0" w:space="0" w:color="auto"/>
                    <w:bottom w:val="none" w:sz="0" w:space="0" w:color="auto"/>
                    <w:right w:val="none" w:sz="0" w:space="0" w:color="auto"/>
                  </w:divBdr>
                  <w:divsChild>
                    <w:div w:id="2111315443">
                      <w:marLeft w:val="0"/>
                      <w:marRight w:val="0"/>
                      <w:marTop w:val="0"/>
                      <w:marBottom w:val="0"/>
                      <w:divBdr>
                        <w:top w:val="none" w:sz="0" w:space="0" w:color="auto"/>
                        <w:left w:val="none" w:sz="0" w:space="0" w:color="auto"/>
                        <w:bottom w:val="none" w:sz="0" w:space="0" w:color="auto"/>
                        <w:right w:val="none" w:sz="0" w:space="0" w:color="auto"/>
                      </w:divBdr>
                    </w:div>
                  </w:divsChild>
                </w:div>
                <w:div w:id="262996519">
                  <w:marLeft w:val="0"/>
                  <w:marRight w:val="0"/>
                  <w:marTop w:val="0"/>
                  <w:marBottom w:val="0"/>
                  <w:divBdr>
                    <w:top w:val="none" w:sz="0" w:space="0" w:color="auto"/>
                    <w:left w:val="none" w:sz="0" w:space="0" w:color="auto"/>
                    <w:bottom w:val="none" w:sz="0" w:space="0" w:color="auto"/>
                    <w:right w:val="none" w:sz="0" w:space="0" w:color="auto"/>
                  </w:divBdr>
                  <w:divsChild>
                    <w:div w:id="1232617934">
                      <w:marLeft w:val="0"/>
                      <w:marRight w:val="0"/>
                      <w:marTop w:val="0"/>
                      <w:marBottom w:val="0"/>
                      <w:divBdr>
                        <w:top w:val="none" w:sz="0" w:space="0" w:color="auto"/>
                        <w:left w:val="none" w:sz="0" w:space="0" w:color="auto"/>
                        <w:bottom w:val="none" w:sz="0" w:space="0" w:color="auto"/>
                        <w:right w:val="none" w:sz="0" w:space="0" w:color="auto"/>
                      </w:divBdr>
                    </w:div>
                  </w:divsChild>
                </w:div>
                <w:div w:id="264922867">
                  <w:marLeft w:val="0"/>
                  <w:marRight w:val="0"/>
                  <w:marTop w:val="0"/>
                  <w:marBottom w:val="0"/>
                  <w:divBdr>
                    <w:top w:val="none" w:sz="0" w:space="0" w:color="auto"/>
                    <w:left w:val="none" w:sz="0" w:space="0" w:color="auto"/>
                    <w:bottom w:val="none" w:sz="0" w:space="0" w:color="auto"/>
                    <w:right w:val="none" w:sz="0" w:space="0" w:color="auto"/>
                  </w:divBdr>
                  <w:divsChild>
                    <w:div w:id="110905710">
                      <w:marLeft w:val="0"/>
                      <w:marRight w:val="0"/>
                      <w:marTop w:val="0"/>
                      <w:marBottom w:val="0"/>
                      <w:divBdr>
                        <w:top w:val="none" w:sz="0" w:space="0" w:color="auto"/>
                        <w:left w:val="none" w:sz="0" w:space="0" w:color="auto"/>
                        <w:bottom w:val="none" w:sz="0" w:space="0" w:color="auto"/>
                        <w:right w:val="none" w:sz="0" w:space="0" w:color="auto"/>
                      </w:divBdr>
                    </w:div>
                  </w:divsChild>
                </w:div>
                <w:div w:id="274598520">
                  <w:marLeft w:val="0"/>
                  <w:marRight w:val="0"/>
                  <w:marTop w:val="0"/>
                  <w:marBottom w:val="0"/>
                  <w:divBdr>
                    <w:top w:val="none" w:sz="0" w:space="0" w:color="auto"/>
                    <w:left w:val="none" w:sz="0" w:space="0" w:color="auto"/>
                    <w:bottom w:val="none" w:sz="0" w:space="0" w:color="auto"/>
                    <w:right w:val="none" w:sz="0" w:space="0" w:color="auto"/>
                  </w:divBdr>
                  <w:divsChild>
                    <w:div w:id="1313176328">
                      <w:marLeft w:val="0"/>
                      <w:marRight w:val="0"/>
                      <w:marTop w:val="0"/>
                      <w:marBottom w:val="0"/>
                      <w:divBdr>
                        <w:top w:val="none" w:sz="0" w:space="0" w:color="auto"/>
                        <w:left w:val="none" w:sz="0" w:space="0" w:color="auto"/>
                        <w:bottom w:val="none" w:sz="0" w:space="0" w:color="auto"/>
                        <w:right w:val="none" w:sz="0" w:space="0" w:color="auto"/>
                      </w:divBdr>
                    </w:div>
                  </w:divsChild>
                </w:div>
                <w:div w:id="286743615">
                  <w:marLeft w:val="0"/>
                  <w:marRight w:val="0"/>
                  <w:marTop w:val="0"/>
                  <w:marBottom w:val="0"/>
                  <w:divBdr>
                    <w:top w:val="none" w:sz="0" w:space="0" w:color="auto"/>
                    <w:left w:val="none" w:sz="0" w:space="0" w:color="auto"/>
                    <w:bottom w:val="none" w:sz="0" w:space="0" w:color="auto"/>
                    <w:right w:val="none" w:sz="0" w:space="0" w:color="auto"/>
                  </w:divBdr>
                  <w:divsChild>
                    <w:div w:id="2090544338">
                      <w:marLeft w:val="0"/>
                      <w:marRight w:val="0"/>
                      <w:marTop w:val="0"/>
                      <w:marBottom w:val="0"/>
                      <w:divBdr>
                        <w:top w:val="none" w:sz="0" w:space="0" w:color="auto"/>
                        <w:left w:val="none" w:sz="0" w:space="0" w:color="auto"/>
                        <w:bottom w:val="none" w:sz="0" w:space="0" w:color="auto"/>
                        <w:right w:val="none" w:sz="0" w:space="0" w:color="auto"/>
                      </w:divBdr>
                    </w:div>
                  </w:divsChild>
                </w:div>
                <w:div w:id="300229463">
                  <w:marLeft w:val="0"/>
                  <w:marRight w:val="0"/>
                  <w:marTop w:val="0"/>
                  <w:marBottom w:val="0"/>
                  <w:divBdr>
                    <w:top w:val="none" w:sz="0" w:space="0" w:color="auto"/>
                    <w:left w:val="none" w:sz="0" w:space="0" w:color="auto"/>
                    <w:bottom w:val="none" w:sz="0" w:space="0" w:color="auto"/>
                    <w:right w:val="none" w:sz="0" w:space="0" w:color="auto"/>
                  </w:divBdr>
                  <w:divsChild>
                    <w:div w:id="82260933">
                      <w:marLeft w:val="0"/>
                      <w:marRight w:val="0"/>
                      <w:marTop w:val="0"/>
                      <w:marBottom w:val="0"/>
                      <w:divBdr>
                        <w:top w:val="none" w:sz="0" w:space="0" w:color="auto"/>
                        <w:left w:val="none" w:sz="0" w:space="0" w:color="auto"/>
                        <w:bottom w:val="none" w:sz="0" w:space="0" w:color="auto"/>
                        <w:right w:val="none" w:sz="0" w:space="0" w:color="auto"/>
                      </w:divBdr>
                    </w:div>
                    <w:div w:id="821047370">
                      <w:marLeft w:val="0"/>
                      <w:marRight w:val="0"/>
                      <w:marTop w:val="0"/>
                      <w:marBottom w:val="0"/>
                      <w:divBdr>
                        <w:top w:val="none" w:sz="0" w:space="0" w:color="auto"/>
                        <w:left w:val="none" w:sz="0" w:space="0" w:color="auto"/>
                        <w:bottom w:val="none" w:sz="0" w:space="0" w:color="auto"/>
                        <w:right w:val="none" w:sz="0" w:space="0" w:color="auto"/>
                      </w:divBdr>
                    </w:div>
                  </w:divsChild>
                </w:div>
                <w:div w:id="312099822">
                  <w:marLeft w:val="0"/>
                  <w:marRight w:val="0"/>
                  <w:marTop w:val="0"/>
                  <w:marBottom w:val="0"/>
                  <w:divBdr>
                    <w:top w:val="none" w:sz="0" w:space="0" w:color="auto"/>
                    <w:left w:val="none" w:sz="0" w:space="0" w:color="auto"/>
                    <w:bottom w:val="none" w:sz="0" w:space="0" w:color="auto"/>
                    <w:right w:val="none" w:sz="0" w:space="0" w:color="auto"/>
                  </w:divBdr>
                  <w:divsChild>
                    <w:div w:id="1325553313">
                      <w:marLeft w:val="0"/>
                      <w:marRight w:val="0"/>
                      <w:marTop w:val="0"/>
                      <w:marBottom w:val="0"/>
                      <w:divBdr>
                        <w:top w:val="none" w:sz="0" w:space="0" w:color="auto"/>
                        <w:left w:val="none" w:sz="0" w:space="0" w:color="auto"/>
                        <w:bottom w:val="none" w:sz="0" w:space="0" w:color="auto"/>
                        <w:right w:val="none" w:sz="0" w:space="0" w:color="auto"/>
                      </w:divBdr>
                    </w:div>
                  </w:divsChild>
                </w:div>
                <w:div w:id="321348029">
                  <w:marLeft w:val="0"/>
                  <w:marRight w:val="0"/>
                  <w:marTop w:val="0"/>
                  <w:marBottom w:val="0"/>
                  <w:divBdr>
                    <w:top w:val="none" w:sz="0" w:space="0" w:color="auto"/>
                    <w:left w:val="none" w:sz="0" w:space="0" w:color="auto"/>
                    <w:bottom w:val="none" w:sz="0" w:space="0" w:color="auto"/>
                    <w:right w:val="none" w:sz="0" w:space="0" w:color="auto"/>
                  </w:divBdr>
                  <w:divsChild>
                    <w:div w:id="441343070">
                      <w:marLeft w:val="0"/>
                      <w:marRight w:val="0"/>
                      <w:marTop w:val="0"/>
                      <w:marBottom w:val="0"/>
                      <w:divBdr>
                        <w:top w:val="none" w:sz="0" w:space="0" w:color="auto"/>
                        <w:left w:val="none" w:sz="0" w:space="0" w:color="auto"/>
                        <w:bottom w:val="none" w:sz="0" w:space="0" w:color="auto"/>
                        <w:right w:val="none" w:sz="0" w:space="0" w:color="auto"/>
                      </w:divBdr>
                    </w:div>
                  </w:divsChild>
                </w:div>
                <w:div w:id="321543853">
                  <w:marLeft w:val="0"/>
                  <w:marRight w:val="0"/>
                  <w:marTop w:val="0"/>
                  <w:marBottom w:val="0"/>
                  <w:divBdr>
                    <w:top w:val="none" w:sz="0" w:space="0" w:color="auto"/>
                    <w:left w:val="none" w:sz="0" w:space="0" w:color="auto"/>
                    <w:bottom w:val="none" w:sz="0" w:space="0" w:color="auto"/>
                    <w:right w:val="none" w:sz="0" w:space="0" w:color="auto"/>
                  </w:divBdr>
                  <w:divsChild>
                    <w:div w:id="2142379711">
                      <w:marLeft w:val="0"/>
                      <w:marRight w:val="0"/>
                      <w:marTop w:val="0"/>
                      <w:marBottom w:val="0"/>
                      <w:divBdr>
                        <w:top w:val="none" w:sz="0" w:space="0" w:color="auto"/>
                        <w:left w:val="none" w:sz="0" w:space="0" w:color="auto"/>
                        <w:bottom w:val="none" w:sz="0" w:space="0" w:color="auto"/>
                        <w:right w:val="none" w:sz="0" w:space="0" w:color="auto"/>
                      </w:divBdr>
                    </w:div>
                  </w:divsChild>
                </w:div>
                <w:div w:id="346756649">
                  <w:marLeft w:val="0"/>
                  <w:marRight w:val="0"/>
                  <w:marTop w:val="0"/>
                  <w:marBottom w:val="0"/>
                  <w:divBdr>
                    <w:top w:val="none" w:sz="0" w:space="0" w:color="auto"/>
                    <w:left w:val="none" w:sz="0" w:space="0" w:color="auto"/>
                    <w:bottom w:val="none" w:sz="0" w:space="0" w:color="auto"/>
                    <w:right w:val="none" w:sz="0" w:space="0" w:color="auto"/>
                  </w:divBdr>
                  <w:divsChild>
                    <w:div w:id="2105297916">
                      <w:marLeft w:val="0"/>
                      <w:marRight w:val="0"/>
                      <w:marTop w:val="0"/>
                      <w:marBottom w:val="0"/>
                      <w:divBdr>
                        <w:top w:val="none" w:sz="0" w:space="0" w:color="auto"/>
                        <w:left w:val="none" w:sz="0" w:space="0" w:color="auto"/>
                        <w:bottom w:val="none" w:sz="0" w:space="0" w:color="auto"/>
                        <w:right w:val="none" w:sz="0" w:space="0" w:color="auto"/>
                      </w:divBdr>
                    </w:div>
                  </w:divsChild>
                </w:div>
                <w:div w:id="355230456">
                  <w:marLeft w:val="0"/>
                  <w:marRight w:val="0"/>
                  <w:marTop w:val="0"/>
                  <w:marBottom w:val="0"/>
                  <w:divBdr>
                    <w:top w:val="none" w:sz="0" w:space="0" w:color="auto"/>
                    <w:left w:val="none" w:sz="0" w:space="0" w:color="auto"/>
                    <w:bottom w:val="none" w:sz="0" w:space="0" w:color="auto"/>
                    <w:right w:val="none" w:sz="0" w:space="0" w:color="auto"/>
                  </w:divBdr>
                  <w:divsChild>
                    <w:div w:id="2072580168">
                      <w:marLeft w:val="0"/>
                      <w:marRight w:val="0"/>
                      <w:marTop w:val="0"/>
                      <w:marBottom w:val="0"/>
                      <w:divBdr>
                        <w:top w:val="none" w:sz="0" w:space="0" w:color="auto"/>
                        <w:left w:val="none" w:sz="0" w:space="0" w:color="auto"/>
                        <w:bottom w:val="none" w:sz="0" w:space="0" w:color="auto"/>
                        <w:right w:val="none" w:sz="0" w:space="0" w:color="auto"/>
                      </w:divBdr>
                    </w:div>
                  </w:divsChild>
                </w:div>
                <w:div w:id="360786007">
                  <w:marLeft w:val="0"/>
                  <w:marRight w:val="0"/>
                  <w:marTop w:val="0"/>
                  <w:marBottom w:val="0"/>
                  <w:divBdr>
                    <w:top w:val="none" w:sz="0" w:space="0" w:color="auto"/>
                    <w:left w:val="none" w:sz="0" w:space="0" w:color="auto"/>
                    <w:bottom w:val="none" w:sz="0" w:space="0" w:color="auto"/>
                    <w:right w:val="none" w:sz="0" w:space="0" w:color="auto"/>
                  </w:divBdr>
                  <w:divsChild>
                    <w:div w:id="1309483261">
                      <w:marLeft w:val="0"/>
                      <w:marRight w:val="0"/>
                      <w:marTop w:val="0"/>
                      <w:marBottom w:val="0"/>
                      <w:divBdr>
                        <w:top w:val="none" w:sz="0" w:space="0" w:color="auto"/>
                        <w:left w:val="none" w:sz="0" w:space="0" w:color="auto"/>
                        <w:bottom w:val="none" w:sz="0" w:space="0" w:color="auto"/>
                        <w:right w:val="none" w:sz="0" w:space="0" w:color="auto"/>
                      </w:divBdr>
                    </w:div>
                  </w:divsChild>
                </w:div>
                <w:div w:id="361520321">
                  <w:marLeft w:val="0"/>
                  <w:marRight w:val="0"/>
                  <w:marTop w:val="0"/>
                  <w:marBottom w:val="0"/>
                  <w:divBdr>
                    <w:top w:val="none" w:sz="0" w:space="0" w:color="auto"/>
                    <w:left w:val="none" w:sz="0" w:space="0" w:color="auto"/>
                    <w:bottom w:val="none" w:sz="0" w:space="0" w:color="auto"/>
                    <w:right w:val="none" w:sz="0" w:space="0" w:color="auto"/>
                  </w:divBdr>
                  <w:divsChild>
                    <w:div w:id="1221556700">
                      <w:marLeft w:val="0"/>
                      <w:marRight w:val="0"/>
                      <w:marTop w:val="0"/>
                      <w:marBottom w:val="0"/>
                      <w:divBdr>
                        <w:top w:val="none" w:sz="0" w:space="0" w:color="auto"/>
                        <w:left w:val="none" w:sz="0" w:space="0" w:color="auto"/>
                        <w:bottom w:val="none" w:sz="0" w:space="0" w:color="auto"/>
                        <w:right w:val="none" w:sz="0" w:space="0" w:color="auto"/>
                      </w:divBdr>
                    </w:div>
                  </w:divsChild>
                </w:div>
                <w:div w:id="363019062">
                  <w:marLeft w:val="0"/>
                  <w:marRight w:val="0"/>
                  <w:marTop w:val="0"/>
                  <w:marBottom w:val="0"/>
                  <w:divBdr>
                    <w:top w:val="none" w:sz="0" w:space="0" w:color="auto"/>
                    <w:left w:val="none" w:sz="0" w:space="0" w:color="auto"/>
                    <w:bottom w:val="none" w:sz="0" w:space="0" w:color="auto"/>
                    <w:right w:val="none" w:sz="0" w:space="0" w:color="auto"/>
                  </w:divBdr>
                  <w:divsChild>
                    <w:div w:id="948271453">
                      <w:marLeft w:val="0"/>
                      <w:marRight w:val="0"/>
                      <w:marTop w:val="0"/>
                      <w:marBottom w:val="0"/>
                      <w:divBdr>
                        <w:top w:val="none" w:sz="0" w:space="0" w:color="auto"/>
                        <w:left w:val="none" w:sz="0" w:space="0" w:color="auto"/>
                        <w:bottom w:val="none" w:sz="0" w:space="0" w:color="auto"/>
                        <w:right w:val="none" w:sz="0" w:space="0" w:color="auto"/>
                      </w:divBdr>
                    </w:div>
                  </w:divsChild>
                </w:div>
                <w:div w:id="395903380">
                  <w:marLeft w:val="0"/>
                  <w:marRight w:val="0"/>
                  <w:marTop w:val="0"/>
                  <w:marBottom w:val="0"/>
                  <w:divBdr>
                    <w:top w:val="none" w:sz="0" w:space="0" w:color="auto"/>
                    <w:left w:val="none" w:sz="0" w:space="0" w:color="auto"/>
                    <w:bottom w:val="none" w:sz="0" w:space="0" w:color="auto"/>
                    <w:right w:val="none" w:sz="0" w:space="0" w:color="auto"/>
                  </w:divBdr>
                  <w:divsChild>
                    <w:div w:id="741487393">
                      <w:marLeft w:val="0"/>
                      <w:marRight w:val="0"/>
                      <w:marTop w:val="0"/>
                      <w:marBottom w:val="0"/>
                      <w:divBdr>
                        <w:top w:val="none" w:sz="0" w:space="0" w:color="auto"/>
                        <w:left w:val="none" w:sz="0" w:space="0" w:color="auto"/>
                        <w:bottom w:val="none" w:sz="0" w:space="0" w:color="auto"/>
                        <w:right w:val="none" w:sz="0" w:space="0" w:color="auto"/>
                      </w:divBdr>
                    </w:div>
                  </w:divsChild>
                </w:div>
                <w:div w:id="404694076">
                  <w:marLeft w:val="0"/>
                  <w:marRight w:val="0"/>
                  <w:marTop w:val="0"/>
                  <w:marBottom w:val="0"/>
                  <w:divBdr>
                    <w:top w:val="none" w:sz="0" w:space="0" w:color="auto"/>
                    <w:left w:val="none" w:sz="0" w:space="0" w:color="auto"/>
                    <w:bottom w:val="none" w:sz="0" w:space="0" w:color="auto"/>
                    <w:right w:val="none" w:sz="0" w:space="0" w:color="auto"/>
                  </w:divBdr>
                  <w:divsChild>
                    <w:div w:id="1278488310">
                      <w:marLeft w:val="0"/>
                      <w:marRight w:val="0"/>
                      <w:marTop w:val="0"/>
                      <w:marBottom w:val="0"/>
                      <w:divBdr>
                        <w:top w:val="none" w:sz="0" w:space="0" w:color="auto"/>
                        <w:left w:val="none" w:sz="0" w:space="0" w:color="auto"/>
                        <w:bottom w:val="none" w:sz="0" w:space="0" w:color="auto"/>
                        <w:right w:val="none" w:sz="0" w:space="0" w:color="auto"/>
                      </w:divBdr>
                    </w:div>
                  </w:divsChild>
                </w:div>
                <w:div w:id="406609263">
                  <w:marLeft w:val="0"/>
                  <w:marRight w:val="0"/>
                  <w:marTop w:val="0"/>
                  <w:marBottom w:val="0"/>
                  <w:divBdr>
                    <w:top w:val="none" w:sz="0" w:space="0" w:color="auto"/>
                    <w:left w:val="none" w:sz="0" w:space="0" w:color="auto"/>
                    <w:bottom w:val="none" w:sz="0" w:space="0" w:color="auto"/>
                    <w:right w:val="none" w:sz="0" w:space="0" w:color="auto"/>
                  </w:divBdr>
                  <w:divsChild>
                    <w:div w:id="395863301">
                      <w:marLeft w:val="0"/>
                      <w:marRight w:val="0"/>
                      <w:marTop w:val="0"/>
                      <w:marBottom w:val="0"/>
                      <w:divBdr>
                        <w:top w:val="none" w:sz="0" w:space="0" w:color="auto"/>
                        <w:left w:val="none" w:sz="0" w:space="0" w:color="auto"/>
                        <w:bottom w:val="none" w:sz="0" w:space="0" w:color="auto"/>
                        <w:right w:val="none" w:sz="0" w:space="0" w:color="auto"/>
                      </w:divBdr>
                    </w:div>
                  </w:divsChild>
                </w:div>
                <w:div w:id="412508624">
                  <w:marLeft w:val="0"/>
                  <w:marRight w:val="0"/>
                  <w:marTop w:val="0"/>
                  <w:marBottom w:val="0"/>
                  <w:divBdr>
                    <w:top w:val="none" w:sz="0" w:space="0" w:color="auto"/>
                    <w:left w:val="none" w:sz="0" w:space="0" w:color="auto"/>
                    <w:bottom w:val="none" w:sz="0" w:space="0" w:color="auto"/>
                    <w:right w:val="none" w:sz="0" w:space="0" w:color="auto"/>
                  </w:divBdr>
                  <w:divsChild>
                    <w:div w:id="63452508">
                      <w:marLeft w:val="0"/>
                      <w:marRight w:val="0"/>
                      <w:marTop w:val="0"/>
                      <w:marBottom w:val="0"/>
                      <w:divBdr>
                        <w:top w:val="none" w:sz="0" w:space="0" w:color="auto"/>
                        <w:left w:val="none" w:sz="0" w:space="0" w:color="auto"/>
                        <w:bottom w:val="none" w:sz="0" w:space="0" w:color="auto"/>
                        <w:right w:val="none" w:sz="0" w:space="0" w:color="auto"/>
                      </w:divBdr>
                    </w:div>
                  </w:divsChild>
                </w:div>
                <w:div w:id="414278098">
                  <w:marLeft w:val="0"/>
                  <w:marRight w:val="0"/>
                  <w:marTop w:val="0"/>
                  <w:marBottom w:val="0"/>
                  <w:divBdr>
                    <w:top w:val="none" w:sz="0" w:space="0" w:color="auto"/>
                    <w:left w:val="none" w:sz="0" w:space="0" w:color="auto"/>
                    <w:bottom w:val="none" w:sz="0" w:space="0" w:color="auto"/>
                    <w:right w:val="none" w:sz="0" w:space="0" w:color="auto"/>
                  </w:divBdr>
                  <w:divsChild>
                    <w:div w:id="336617262">
                      <w:marLeft w:val="0"/>
                      <w:marRight w:val="0"/>
                      <w:marTop w:val="0"/>
                      <w:marBottom w:val="0"/>
                      <w:divBdr>
                        <w:top w:val="none" w:sz="0" w:space="0" w:color="auto"/>
                        <w:left w:val="none" w:sz="0" w:space="0" w:color="auto"/>
                        <w:bottom w:val="none" w:sz="0" w:space="0" w:color="auto"/>
                        <w:right w:val="none" w:sz="0" w:space="0" w:color="auto"/>
                      </w:divBdr>
                    </w:div>
                  </w:divsChild>
                </w:div>
                <w:div w:id="430857556">
                  <w:marLeft w:val="0"/>
                  <w:marRight w:val="0"/>
                  <w:marTop w:val="0"/>
                  <w:marBottom w:val="0"/>
                  <w:divBdr>
                    <w:top w:val="none" w:sz="0" w:space="0" w:color="auto"/>
                    <w:left w:val="none" w:sz="0" w:space="0" w:color="auto"/>
                    <w:bottom w:val="none" w:sz="0" w:space="0" w:color="auto"/>
                    <w:right w:val="none" w:sz="0" w:space="0" w:color="auto"/>
                  </w:divBdr>
                  <w:divsChild>
                    <w:div w:id="687413584">
                      <w:marLeft w:val="0"/>
                      <w:marRight w:val="0"/>
                      <w:marTop w:val="0"/>
                      <w:marBottom w:val="0"/>
                      <w:divBdr>
                        <w:top w:val="none" w:sz="0" w:space="0" w:color="auto"/>
                        <w:left w:val="none" w:sz="0" w:space="0" w:color="auto"/>
                        <w:bottom w:val="none" w:sz="0" w:space="0" w:color="auto"/>
                        <w:right w:val="none" w:sz="0" w:space="0" w:color="auto"/>
                      </w:divBdr>
                    </w:div>
                  </w:divsChild>
                </w:div>
                <w:div w:id="431780267">
                  <w:marLeft w:val="0"/>
                  <w:marRight w:val="0"/>
                  <w:marTop w:val="0"/>
                  <w:marBottom w:val="0"/>
                  <w:divBdr>
                    <w:top w:val="none" w:sz="0" w:space="0" w:color="auto"/>
                    <w:left w:val="none" w:sz="0" w:space="0" w:color="auto"/>
                    <w:bottom w:val="none" w:sz="0" w:space="0" w:color="auto"/>
                    <w:right w:val="none" w:sz="0" w:space="0" w:color="auto"/>
                  </w:divBdr>
                  <w:divsChild>
                    <w:div w:id="251162929">
                      <w:marLeft w:val="0"/>
                      <w:marRight w:val="0"/>
                      <w:marTop w:val="0"/>
                      <w:marBottom w:val="0"/>
                      <w:divBdr>
                        <w:top w:val="none" w:sz="0" w:space="0" w:color="auto"/>
                        <w:left w:val="none" w:sz="0" w:space="0" w:color="auto"/>
                        <w:bottom w:val="none" w:sz="0" w:space="0" w:color="auto"/>
                        <w:right w:val="none" w:sz="0" w:space="0" w:color="auto"/>
                      </w:divBdr>
                    </w:div>
                  </w:divsChild>
                </w:div>
                <w:div w:id="433523462">
                  <w:marLeft w:val="0"/>
                  <w:marRight w:val="0"/>
                  <w:marTop w:val="0"/>
                  <w:marBottom w:val="0"/>
                  <w:divBdr>
                    <w:top w:val="none" w:sz="0" w:space="0" w:color="auto"/>
                    <w:left w:val="none" w:sz="0" w:space="0" w:color="auto"/>
                    <w:bottom w:val="none" w:sz="0" w:space="0" w:color="auto"/>
                    <w:right w:val="none" w:sz="0" w:space="0" w:color="auto"/>
                  </w:divBdr>
                  <w:divsChild>
                    <w:div w:id="1608658057">
                      <w:marLeft w:val="0"/>
                      <w:marRight w:val="0"/>
                      <w:marTop w:val="0"/>
                      <w:marBottom w:val="0"/>
                      <w:divBdr>
                        <w:top w:val="none" w:sz="0" w:space="0" w:color="auto"/>
                        <w:left w:val="none" w:sz="0" w:space="0" w:color="auto"/>
                        <w:bottom w:val="none" w:sz="0" w:space="0" w:color="auto"/>
                        <w:right w:val="none" w:sz="0" w:space="0" w:color="auto"/>
                      </w:divBdr>
                    </w:div>
                  </w:divsChild>
                </w:div>
                <w:div w:id="474758010">
                  <w:marLeft w:val="0"/>
                  <w:marRight w:val="0"/>
                  <w:marTop w:val="0"/>
                  <w:marBottom w:val="0"/>
                  <w:divBdr>
                    <w:top w:val="none" w:sz="0" w:space="0" w:color="auto"/>
                    <w:left w:val="none" w:sz="0" w:space="0" w:color="auto"/>
                    <w:bottom w:val="none" w:sz="0" w:space="0" w:color="auto"/>
                    <w:right w:val="none" w:sz="0" w:space="0" w:color="auto"/>
                  </w:divBdr>
                  <w:divsChild>
                    <w:div w:id="1943875274">
                      <w:marLeft w:val="0"/>
                      <w:marRight w:val="0"/>
                      <w:marTop w:val="0"/>
                      <w:marBottom w:val="0"/>
                      <w:divBdr>
                        <w:top w:val="none" w:sz="0" w:space="0" w:color="auto"/>
                        <w:left w:val="none" w:sz="0" w:space="0" w:color="auto"/>
                        <w:bottom w:val="none" w:sz="0" w:space="0" w:color="auto"/>
                        <w:right w:val="none" w:sz="0" w:space="0" w:color="auto"/>
                      </w:divBdr>
                    </w:div>
                  </w:divsChild>
                </w:div>
                <w:div w:id="478808072">
                  <w:marLeft w:val="0"/>
                  <w:marRight w:val="0"/>
                  <w:marTop w:val="0"/>
                  <w:marBottom w:val="0"/>
                  <w:divBdr>
                    <w:top w:val="none" w:sz="0" w:space="0" w:color="auto"/>
                    <w:left w:val="none" w:sz="0" w:space="0" w:color="auto"/>
                    <w:bottom w:val="none" w:sz="0" w:space="0" w:color="auto"/>
                    <w:right w:val="none" w:sz="0" w:space="0" w:color="auto"/>
                  </w:divBdr>
                  <w:divsChild>
                    <w:div w:id="1879195546">
                      <w:marLeft w:val="0"/>
                      <w:marRight w:val="0"/>
                      <w:marTop w:val="0"/>
                      <w:marBottom w:val="0"/>
                      <w:divBdr>
                        <w:top w:val="none" w:sz="0" w:space="0" w:color="auto"/>
                        <w:left w:val="none" w:sz="0" w:space="0" w:color="auto"/>
                        <w:bottom w:val="none" w:sz="0" w:space="0" w:color="auto"/>
                        <w:right w:val="none" w:sz="0" w:space="0" w:color="auto"/>
                      </w:divBdr>
                    </w:div>
                  </w:divsChild>
                </w:div>
                <w:div w:id="496843958">
                  <w:marLeft w:val="0"/>
                  <w:marRight w:val="0"/>
                  <w:marTop w:val="0"/>
                  <w:marBottom w:val="0"/>
                  <w:divBdr>
                    <w:top w:val="none" w:sz="0" w:space="0" w:color="auto"/>
                    <w:left w:val="none" w:sz="0" w:space="0" w:color="auto"/>
                    <w:bottom w:val="none" w:sz="0" w:space="0" w:color="auto"/>
                    <w:right w:val="none" w:sz="0" w:space="0" w:color="auto"/>
                  </w:divBdr>
                  <w:divsChild>
                    <w:div w:id="1774519714">
                      <w:marLeft w:val="0"/>
                      <w:marRight w:val="0"/>
                      <w:marTop w:val="0"/>
                      <w:marBottom w:val="0"/>
                      <w:divBdr>
                        <w:top w:val="none" w:sz="0" w:space="0" w:color="auto"/>
                        <w:left w:val="none" w:sz="0" w:space="0" w:color="auto"/>
                        <w:bottom w:val="none" w:sz="0" w:space="0" w:color="auto"/>
                        <w:right w:val="none" w:sz="0" w:space="0" w:color="auto"/>
                      </w:divBdr>
                    </w:div>
                  </w:divsChild>
                </w:div>
                <w:div w:id="543710174">
                  <w:marLeft w:val="0"/>
                  <w:marRight w:val="0"/>
                  <w:marTop w:val="0"/>
                  <w:marBottom w:val="0"/>
                  <w:divBdr>
                    <w:top w:val="none" w:sz="0" w:space="0" w:color="auto"/>
                    <w:left w:val="none" w:sz="0" w:space="0" w:color="auto"/>
                    <w:bottom w:val="none" w:sz="0" w:space="0" w:color="auto"/>
                    <w:right w:val="none" w:sz="0" w:space="0" w:color="auto"/>
                  </w:divBdr>
                  <w:divsChild>
                    <w:div w:id="634876960">
                      <w:marLeft w:val="0"/>
                      <w:marRight w:val="0"/>
                      <w:marTop w:val="0"/>
                      <w:marBottom w:val="0"/>
                      <w:divBdr>
                        <w:top w:val="none" w:sz="0" w:space="0" w:color="auto"/>
                        <w:left w:val="none" w:sz="0" w:space="0" w:color="auto"/>
                        <w:bottom w:val="none" w:sz="0" w:space="0" w:color="auto"/>
                        <w:right w:val="none" w:sz="0" w:space="0" w:color="auto"/>
                      </w:divBdr>
                    </w:div>
                  </w:divsChild>
                </w:div>
                <w:div w:id="557400850">
                  <w:marLeft w:val="0"/>
                  <w:marRight w:val="0"/>
                  <w:marTop w:val="0"/>
                  <w:marBottom w:val="0"/>
                  <w:divBdr>
                    <w:top w:val="none" w:sz="0" w:space="0" w:color="auto"/>
                    <w:left w:val="none" w:sz="0" w:space="0" w:color="auto"/>
                    <w:bottom w:val="none" w:sz="0" w:space="0" w:color="auto"/>
                    <w:right w:val="none" w:sz="0" w:space="0" w:color="auto"/>
                  </w:divBdr>
                  <w:divsChild>
                    <w:div w:id="302925172">
                      <w:marLeft w:val="0"/>
                      <w:marRight w:val="0"/>
                      <w:marTop w:val="0"/>
                      <w:marBottom w:val="0"/>
                      <w:divBdr>
                        <w:top w:val="none" w:sz="0" w:space="0" w:color="auto"/>
                        <w:left w:val="none" w:sz="0" w:space="0" w:color="auto"/>
                        <w:bottom w:val="none" w:sz="0" w:space="0" w:color="auto"/>
                        <w:right w:val="none" w:sz="0" w:space="0" w:color="auto"/>
                      </w:divBdr>
                    </w:div>
                  </w:divsChild>
                </w:div>
                <w:div w:id="563754858">
                  <w:marLeft w:val="0"/>
                  <w:marRight w:val="0"/>
                  <w:marTop w:val="0"/>
                  <w:marBottom w:val="0"/>
                  <w:divBdr>
                    <w:top w:val="none" w:sz="0" w:space="0" w:color="auto"/>
                    <w:left w:val="none" w:sz="0" w:space="0" w:color="auto"/>
                    <w:bottom w:val="none" w:sz="0" w:space="0" w:color="auto"/>
                    <w:right w:val="none" w:sz="0" w:space="0" w:color="auto"/>
                  </w:divBdr>
                  <w:divsChild>
                    <w:div w:id="1270435703">
                      <w:marLeft w:val="0"/>
                      <w:marRight w:val="0"/>
                      <w:marTop w:val="0"/>
                      <w:marBottom w:val="0"/>
                      <w:divBdr>
                        <w:top w:val="none" w:sz="0" w:space="0" w:color="auto"/>
                        <w:left w:val="none" w:sz="0" w:space="0" w:color="auto"/>
                        <w:bottom w:val="none" w:sz="0" w:space="0" w:color="auto"/>
                        <w:right w:val="none" w:sz="0" w:space="0" w:color="auto"/>
                      </w:divBdr>
                    </w:div>
                  </w:divsChild>
                </w:div>
                <w:div w:id="568880132">
                  <w:marLeft w:val="0"/>
                  <w:marRight w:val="0"/>
                  <w:marTop w:val="0"/>
                  <w:marBottom w:val="0"/>
                  <w:divBdr>
                    <w:top w:val="none" w:sz="0" w:space="0" w:color="auto"/>
                    <w:left w:val="none" w:sz="0" w:space="0" w:color="auto"/>
                    <w:bottom w:val="none" w:sz="0" w:space="0" w:color="auto"/>
                    <w:right w:val="none" w:sz="0" w:space="0" w:color="auto"/>
                  </w:divBdr>
                  <w:divsChild>
                    <w:div w:id="1208685864">
                      <w:marLeft w:val="0"/>
                      <w:marRight w:val="0"/>
                      <w:marTop w:val="0"/>
                      <w:marBottom w:val="0"/>
                      <w:divBdr>
                        <w:top w:val="none" w:sz="0" w:space="0" w:color="auto"/>
                        <w:left w:val="none" w:sz="0" w:space="0" w:color="auto"/>
                        <w:bottom w:val="none" w:sz="0" w:space="0" w:color="auto"/>
                        <w:right w:val="none" w:sz="0" w:space="0" w:color="auto"/>
                      </w:divBdr>
                    </w:div>
                  </w:divsChild>
                </w:div>
                <w:div w:id="572012194">
                  <w:marLeft w:val="0"/>
                  <w:marRight w:val="0"/>
                  <w:marTop w:val="0"/>
                  <w:marBottom w:val="0"/>
                  <w:divBdr>
                    <w:top w:val="none" w:sz="0" w:space="0" w:color="auto"/>
                    <w:left w:val="none" w:sz="0" w:space="0" w:color="auto"/>
                    <w:bottom w:val="none" w:sz="0" w:space="0" w:color="auto"/>
                    <w:right w:val="none" w:sz="0" w:space="0" w:color="auto"/>
                  </w:divBdr>
                  <w:divsChild>
                    <w:div w:id="800198334">
                      <w:marLeft w:val="0"/>
                      <w:marRight w:val="0"/>
                      <w:marTop w:val="0"/>
                      <w:marBottom w:val="0"/>
                      <w:divBdr>
                        <w:top w:val="none" w:sz="0" w:space="0" w:color="auto"/>
                        <w:left w:val="none" w:sz="0" w:space="0" w:color="auto"/>
                        <w:bottom w:val="none" w:sz="0" w:space="0" w:color="auto"/>
                        <w:right w:val="none" w:sz="0" w:space="0" w:color="auto"/>
                      </w:divBdr>
                    </w:div>
                  </w:divsChild>
                </w:div>
                <w:div w:id="573245716">
                  <w:marLeft w:val="0"/>
                  <w:marRight w:val="0"/>
                  <w:marTop w:val="0"/>
                  <w:marBottom w:val="0"/>
                  <w:divBdr>
                    <w:top w:val="none" w:sz="0" w:space="0" w:color="auto"/>
                    <w:left w:val="none" w:sz="0" w:space="0" w:color="auto"/>
                    <w:bottom w:val="none" w:sz="0" w:space="0" w:color="auto"/>
                    <w:right w:val="none" w:sz="0" w:space="0" w:color="auto"/>
                  </w:divBdr>
                  <w:divsChild>
                    <w:div w:id="1449467487">
                      <w:marLeft w:val="0"/>
                      <w:marRight w:val="0"/>
                      <w:marTop w:val="0"/>
                      <w:marBottom w:val="0"/>
                      <w:divBdr>
                        <w:top w:val="none" w:sz="0" w:space="0" w:color="auto"/>
                        <w:left w:val="none" w:sz="0" w:space="0" w:color="auto"/>
                        <w:bottom w:val="none" w:sz="0" w:space="0" w:color="auto"/>
                        <w:right w:val="none" w:sz="0" w:space="0" w:color="auto"/>
                      </w:divBdr>
                    </w:div>
                  </w:divsChild>
                </w:div>
                <w:div w:id="575362940">
                  <w:marLeft w:val="0"/>
                  <w:marRight w:val="0"/>
                  <w:marTop w:val="0"/>
                  <w:marBottom w:val="0"/>
                  <w:divBdr>
                    <w:top w:val="none" w:sz="0" w:space="0" w:color="auto"/>
                    <w:left w:val="none" w:sz="0" w:space="0" w:color="auto"/>
                    <w:bottom w:val="none" w:sz="0" w:space="0" w:color="auto"/>
                    <w:right w:val="none" w:sz="0" w:space="0" w:color="auto"/>
                  </w:divBdr>
                  <w:divsChild>
                    <w:div w:id="318388195">
                      <w:marLeft w:val="0"/>
                      <w:marRight w:val="0"/>
                      <w:marTop w:val="0"/>
                      <w:marBottom w:val="0"/>
                      <w:divBdr>
                        <w:top w:val="none" w:sz="0" w:space="0" w:color="auto"/>
                        <w:left w:val="none" w:sz="0" w:space="0" w:color="auto"/>
                        <w:bottom w:val="none" w:sz="0" w:space="0" w:color="auto"/>
                        <w:right w:val="none" w:sz="0" w:space="0" w:color="auto"/>
                      </w:divBdr>
                    </w:div>
                  </w:divsChild>
                </w:div>
                <w:div w:id="585070751">
                  <w:marLeft w:val="0"/>
                  <w:marRight w:val="0"/>
                  <w:marTop w:val="0"/>
                  <w:marBottom w:val="0"/>
                  <w:divBdr>
                    <w:top w:val="none" w:sz="0" w:space="0" w:color="auto"/>
                    <w:left w:val="none" w:sz="0" w:space="0" w:color="auto"/>
                    <w:bottom w:val="none" w:sz="0" w:space="0" w:color="auto"/>
                    <w:right w:val="none" w:sz="0" w:space="0" w:color="auto"/>
                  </w:divBdr>
                  <w:divsChild>
                    <w:div w:id="1907564904">
                      <w:marLeft w:val="0"/>
                      <w:marRight w:val="0"/>
                      <w:marTop w:val="0"/>
                      <w:marBottom w:val="0"/>
                      <w:divBdr>
                        <w:top w:val="none" w:sz="0" w:space="0" w:color="auto"/>
                        <w:left w:val="none" w:sz="0" w:space="0" w:color="auto"/>
                        <w:bottom w:val="none" w:sz="0" w:space="0" w:color="auto"/>
                        <w:right w:val="none" w:sz="0" w:space="0" w:color="auto"/>
                      </w:divBdr>
                    </w:div>
                  </w:divsChild>
                </w:div>
                <w:div w:id="591426964">
                  <w:marLeft w:val="0"/>
                  <w:marRight w:val="0"/>
                  <w:marTop w:val="0"/>
                  <w:marBottom w:val="0"/>
                  <w:divBdr>
                    <w:top w:val="none" w:sz="0" w:space="0" w:color="auto"/>
                    <w:left w:val="none" w:sz="0" w:space="0" w:color="auto"/>
                    <w:bottom w:val="none" w:sz="0" w:space="0" w:color="auto"/>
                    <w:right w:val="none" w:sz="0" w:space="0" w:color="auto"/>
                  </w:divBdr>
                  <w:divsChild>
                    <w:div w:id="377556230">
                      <w:marLeft w:val="0"/>
                      <w:marRight w:val="0"/>
                      <w:marTop w:val="0"/>
                      <w:marBottom w:val="0"/>
                      <w:divBdr>
                        <w:top w:val="none" w:sz="0" w:space="0" w:color="auto"/>
                        <w:left w:val="none" w:sz="0" w:space="0" w:color="auto"/>
                        <w:bottom w:val="none" w:sz="0" w:space="0" w:color="auto"/>
                        <w:right w:val="none" w:sz="0" w:space="0" w:color="auto"/>
                      </w:divBdr>
                    </w:div>
                  </w:divsChild>
                </w:div>
                <w:div w:id="602229189">
                  <w:marLeft w:val="0"/>
                  <w:marRight w:val="0"/>
                  <w:marTop w:val="0"/>
                  <w:marBottom w:val="0"/>
                  <w:divBdr>
                    <w:top w:val="none" w:sz="0" w:space="0" w:color="auto"/>
                    <w:left w:val="none" w:sz="0" w:space="0" w:color="auto"/>
                    <w:bottom w:val="none" w:sz="0" w:space="0" w:color="auto"/>
                    <w:right w:val="none" w:sz="0" w:space="0" w:color="auto"/>
                  </w:divBdr>
                  <w:divsChild>
                    <w:div w:id="168567481">
                      <w:marLeft w:val="0"/>
                      <w:marRight w:val="0"/>
                      <w:marTop w:val="0"/>
                      <w:marBottom w:val="0"/>
                      <w:divBdr>
                        <w:top w:val="none" w:sz="0" w:space="0" w:color="auto"/>
                        <w:left w:val="none" w:sz="0" w:space="0" w:color="auto"/>
                        <w:bottom w:val="none" w:sz="0" w:space="0" w:color="auto"/>
                        <w:right w:val="none" w:sz="0" w:space="0" w:color="auto"/>
                      </w:divBdr>
                    </w:div>
                  </w:divsChild>
                </w:div>
                <w:div w:id="616571360">
                  <w:marLeft w:val="0"/>
                  <w:marRight w:val="0"/>
                  <w:marTop w:val="0"/>
                  <w:marBottom w:val="0"/>
                  <w:divBdr>
                    <w:top w:val="none" w:sz="0" w:space="0" w:color="auto"/>
                    <w:left w:val="none" w:sz="0" w:space="0" w:color="auto"/>
                    <w:bottom w:val="none" w:sz="0" w:space="0" w:color="auto"/>
                    <w:right w:val="none" w:sz="0" w:space="0" w:color="auto"/>
                  </w:divBdr>
                  <w:divsChild>
                    <w:div w:id="1870145980">
                      <w:marLeft w:val="0"/>
                      <w:marRight w:val="0"/>
                      <w:marTop w:val="0"/>
                      <w:marBottom w:val="0"/>
                      <w:divBdr>
                        <w:top w:val="none" w:sz="0" w:space="0" w:color="auto"/>
                        <w:left w:val="none" w:sz="0" w:space="0" w:color="auto"/>
                        <w:bottom w:val="none" w:sz="0" w:space="0" w:color="auto"/>
                        <w:right w:val="none" w:sz="0" w:space="0" w:color="auto"/>
                      </w:divBdr>
                    </w:div>
                  </w:divsChild>
                </w:div>
                <w:div w:id="625547350">
                  <w:marLeft w:val="0"/>
                  <w:marRight w:val="0"/>
                  <w:marTop w:val="0"/>
                  <w:marBottom w:val="0"/>
                  <w:divBdr>
                    <w:top w:val="none" w:sz="0" w:space="0" w:color="auto"/>
                    <w:left w:val="none" w:sz="0" w:space="0" w:color="auto"/>
                    <w:bottom w:val="none" w:sz="0" w:space="0" w:color="auto"/>
                    <w:right w:val="none" w:sz="0" w:space="0" w:color="auto"/>
                  </w:divBdr>
                  <w:divsChild>
                    <w:div w:id="828597106">
                      <w:marLeft w:val="0"/>
                      <w:marRight w:val="0"/>
                      <w:marTop w:val="0"/>
                      <w:marBottom w:val="0"/>
                      <w:divBdr>
                        <w:top w:val="none" w:sz="0" w:space="0" w:color="auto"/>
                        <w:left w:val="none" w:sz="0" w:space="0" w:color="auto"/>
                        <w:bottom w:val="none" w:sz="0" w:space="0" w:color="auto"/>
                        <w:right w:val="none" w:sz="0" w:space="0" w:color="auto"/>
                      </w:divBdr>
                    </w:div>
                  </w:divsChild>
                </w:div>
                <w:div w:id="628390930">
                  <w:marLeft w:val="0"/>
                  <w:marRight w:val="0"/>
                  <w:marTop w:val="0"/>
                  <w:marBottom w:val="0"/>
                  <w:divBdr>
                    <w:top w:val="none" w:sz="0" w:space="0" w:color="auto"/>
                    <w:left w:val="none" w:sz="0" w:space="0" w:color="auto"/>
                    <w:bottom w:val="none" w:sz="0" w:space="0" w:color="auto"/>
                    <w:right w:val="none" w:sz="0" w:space="0" w:color="auto"/>
                  </w:divBdr>
                  <w:divsChild>
                    <w:div w:id="1079058472">
                      <w:marLeft w:val="0"/>
                      <w:marRight w:val="0"/>
                      <w:marTop w:val="0"/>
                      <w:marBottom w:val="0"/>
                      <w:divBdr>
                        <w:top w:val="none" w:sz="0" w:space="0" w:color="auto"/>
                        <w:left w:val="none" w:sz="0" w:space="0" w:color="auto"/>
                        <w:bottom w:val="none" w:sz="0" w:space="0" w:color="auto"/>
                        <w:right w:val="none" w:sz="0" w:space="0" w:color="auto"/>
                      </w:divBdr>
                    </w:div>
                  </w:divsChild>
                </w:div>
                <w:div w:id="640232086">
                  <w:marLeft w:val="0"/>
                  <w:marRight w:val="0"/>
                  <w:marTop w:val="0"/>
                  <w:marBottom w:val="0"/>
                  <w:divBdr>
                    <w:top w:val="none" w:sz="0" w:space="0" w:color="auto"/>
                    <w:left w:val="none" w:sz="0" w:space="0" w:color="auto"/>
                    <w:bottom w:val="none" w:sz="0" w:space="0" w:color="auto"/>
                    <w:right w:val="none" w:sz="0" w:space="0" w:color="auto"/>
                  </w:divBdr>
                  <w:divsChild>
                    <w:div w:id="226065494">
                      <w:marLeft w:val="0"/>
                      <w:marRight w:val="0"/>
                      <w:marTop w:val="0"/>
                      <w:marBottom w:val="0"/>
                      <w:divBdr>
                        <w:top w:val="none" w:sz="0" w:space="0" w:color="auto"/>
                        <w:left w:val="none" w:sz="0" w:space="0" w:color="auto"/>
                        <w:bottom w:val="none" w:sz="0" w:space="0" w:color="auto"/>
                        <w:right w:val="none" w:sz="0" w:space="0" w:color="auto"/>
                      </w:divBdr>
                    </w:div>
                  </w:divsChild>
                </w:div>
                <w:div w:id="643775489">
                  <w:marLeft w:val="0"/>
                  <w:marRight w:val="0"/>
                  <w:marTop w:val="0"/>
                  <w:marBottom w:val="0"/>
                  <w:divBdr>
                    <w:top w:val="none" w:sz="0" w:space="0" w:color="auto"/>
                    <w:left w:val="none" w:sz="0" w:space="0" w:color="auto"/>
                    <w:bottom w:val="none" w:sz="0" w:space="0" w:color="auto"/>
                    <w:right w:val="none" w:sz="0" w:space="0" w:color="auto"/>
                  </w:divBdr>
                  <w:divsChild>
                    <w:div w:id="1609972331">
                      <w:marLeft w:val="0"/>
                      <w:marRight w:val="0"/>
                      <w:marTop w:val="0"/>
                      <w:marBottom w:val="0"/>
                      <w:divBdr>
                        <w:top w:val="none" w:sz="0" w:space="0" w:color="auto"/>
                        <w:left w:val="none" w:sz="0" w:space="0" w:color="auto"/>
                        <w:bottom w:val="none" w:sz="0" w:space="0" w:color="auto"/>
                        <w:right w:val="none" w:sz="0" w:space="0" w:color="auto"/>
                      </w:divBdr>
                    </w:div>
                  </w:divsChild>
                </w:div>
                <w:div w:id="660423353">
                  <w:marLeft w:val="0"/>
                  <w:marRight w:val="0"/>
                  <w:marTop w:val="0"/>
                  <w:marBottom w:val="0"/>
                  <w:divBdr>
                    <w:top w:val="none" w:sz="0" w:space="0" w:color="auto"/>
                    <w:left w:val="none" w:sz="0" w:space="0" w:color="auto"/>
                    <w:bottom w:val="none" w:sz="0" w:space="0" w:color="auto"/>
                    <w:right w:val="none" w:sz="0" w:space="0" w:color="auto"/>
                  </w:divBdr>
                  <w:divsChild>
                    <w:div w:id="1662156303">
                      <w:marLeft w:val="0"/>
                      <w:marRight w:val="0"/>
                      <w:marTop w:val="0"/>
                      <w:marBottom w:val="0"/>
                      <w:divBdr>
                        <w:top w:val="none" w:sz="0" w:space="0" w:color="auto"/>
                        <w:left w:val="none" w:sz="0" w:space="0" w:color="auto"/>
                        <w:bottom w:val="none" w:sz="0" w:space="0" w:color="auto"/>
                        <w:right w:val="none" w:sz="0" w:space="0" w:color="auto"/>
                      </w:divBdr>
                    </w:div>
                  </w:divsChild>
                </w:div>
                <w:div w:id="661854305">
                  <w:marLeft w:val="0"/>
                  <w:marRight w:val="0"/>
                  <w:marTop w:val="0"/>
                  <w:marBottom w:val="0"/>
                  <w:divBdr>
                    <w:top w:val="none" w:sz="0" w:space="0" w:color="auto"/>
                    <w:left w:val="none" w:sz="0" w:space="0" w:color="auto"/>
                    <w:bottom w:val="none" w:sz="0" w:space="0" w:color="auto"/>
                    <w:right w:val="none" w:sz="0" w:space="0" w:color="auto"/>
                  </w:divBdr>
                  <w:divsChild>
                    <w:div w:id="1851724375">
                      <w:marLeft w:val="0"/>
                      <w:marRight w:val="0"/>
                      <w:marTop w:val="0"/>
                      <w:marBottom w:val="0"/>
                      <w:divBdr>
                        <w:top w:val="none" w:sz="0" w:space="0" w:color="auto"/>
                        <w:left w:val="none" w:sz="0" w:space="0" w:color="auto"/>
                        <w:bottom w:val="none" w:sz="0" w:space="0" w:color="auto"/>
                        <w:right w:val="none" w:sz="0" w:space="0" w:color="auto"/>
                      </w:divBdr>
                    </w:div>
                  </w:divsChild>
                </w:div>
                <w:div w:id="689795516">
                  <w:marLeft w:val="0"/>
                  <w:marRight w:val="0"/>
                  <w:marTop w:val="0"/>
                  <w:marBottom w:val="0"/>
                  <w:divBdr>
                    <w:top w:val="none" w:sz="0" w:space="0" w:color="auto"/>
                    <w:left w:val="none" w:sz="0" w:space="0" w:color="auto"/>
                    <w:bottom w:val="none" w:sz="0" w:space="0" w:color="auto"/>
                    <w:right w:val="none" w:sz="0" w:space="0" w:color="auto"/>
                  </w:divBdr>
                  <w:divsChild>
                    <w:div w:id="617878904">
                      <w:marLeft w:val="0"/>
                      <w:marRight w:val="0"/>
                      <w:marTop w:val="0"/>
                      <w:marBottom w:val="0"/>
                      <w:divBdr>
                        <w:top w:val="none" w:sz="0" w:space="0" w:color="auto"/>
                        <w:left w:val="none" w:sz="0" w:space="0" w:color="auto"/>
                        <w:bottom w:val="none" w:sz="0" w:space="0" w:color="auto"/>
                        <w:right w:val="none" w:sz="0" w:space="0" w:color="auto"/>
                      </w:divBdr>
                    </w:div>
                  </w:divsChild>
                </w:div>
                <w:div w:id="695618376">
                  <w:marLeft w:val="0"/>
                  <w:marRight w:val="0"/>
                  <w:marTop w:val="0"/>
                  <w:marBottom w:val="0"/>
                  <w:divBdr>
                    <w:top w:val="none" w:sz="0" w:space="0" w:color="auto"/>
                    <w:left w:val="none" w:sz="0" w:space="0" w:color="auto"/>
                    <w:bottom w:val="none" w:sz="0" w:space="0" w:color="auto"/>
                    <w:right w:val="none" w:sz="0" w:space="0" w:color="auto"/>
                  </w:divBdr>
                  <w:divsChild>
                    <w:div w:id="96369483">
                      <w:marLeft w:val="0"/>
                      <w:marRight w:val="0"/>
                      <w:marTop w:val="0"/>
                      <w:marBottom w:val="0"/>
                      <w:divBdr>
                        <w:top w:val="none" w:sz="0" w:space="0" w:color="auto"/>
                        <w:left w:val="none" w:sz="0" w:space="0" w:color="auto"/>
                        <w:bottom w:val="none" w:sz="0" w:space="0" w:color="auto"/>
                        <w:right w:val="none" w:sz="0" w:space="0" w:color="auto"/>
                      </w:divBdr>
                    </w:div>
                  </w:divsChild>
                </w:div>
                <w:div w:id="713503825">
                  <w:marLeft w:val="0"/>
                  <w:marRight w:val="0"/>
                  <w:marTop w:val="0"/>
                  <w:marBottom w:val="0"/>
                  <w:divBdr>
                    <w:top w:val="none" w:sz="0" w:space="0" w:color="auto"/>
                    <w:left w:val="none" w:sz="0" w:space="0" w:color="auto"/>
                    <w:bottom w:val="none" w:sz="0" w:space="0" w:color="auto"/>
                    <w:right w:val="none" w:sz="0" w:space="0" w:color="auto"/>
                  </w:divBdr>
                  <w:divsChild>
                    <w:div w:id="819225865">
                      <w:marLeft w:val="0"/>
                      <w:marRight w:val="0"/>
                      <w:marTop w:val="0"/>
                      <w:marBottom w:val="0"/>
                      <w:divBdr>
                        <w:top w:val="none" w:sz="0" w:space="0" w:color="auto"/>
                        <w:left w:val="none" w:sz="0" w:space="0" w:color="auto"/>
                        <w:bottom w:val="none" w:sz="0" w:space="0" w:color="auto"/>
                        <w:right w:val="none" w:sz="0" w:space="0" w:color="auto"/>
                      </w:divBdr>
                    </w:div>
                  </w:divsChild>
                </w:div>
                <w:div w:id="722871792">
                  <w:marLeft w:val="0"/>
                  <w:marRight w:val="0"/>
                  <w:marTop w:val="0"/>
                  <w:marBottom w:val="0"/>
                  <w:divBdr>
                    <w:top w:val="none" w:sz="0" w:space="0" w:color="auto"/>
                    <w:left w:val="none" w:sz="0" w:space="0" w:color="auto"/>
                    <w:bottom w:val="none" w:sz="0" w:space="0" w:color="auto"/>
                    <w:right w:val="none" w:sz="0" w:space="0" w:color="auto"/>
                  </w:divBdr>
                  <w:divsChild>
                    <w:div w:id="211380786">
                      <w:marLeft w:val="0"/>
                      <w:marRight w:val="0"/>
                      <w:marTop w:val="0"/>
                      <w:marBottom w:val="0"/>
                      <w:divBdr>
                        <w:top w:val="none" w:sz="0" w:space="0" w:color="auto"/>
                        <w:left w:val="none" w:sz="0" w:space="0" w:color="auto"/>
                        <w:bottom w:val="none" w:sz="0" w:space="0" w:color="auto"/>
                        <w:right w:val="none" w:sz="0" w:space="0" w:color="auto"/>
                      </w:divBdr>
                    </w:div>
                  </w:divsChild>
                </w:div>
                <w:div w:id="722876339">
                  <w:marLeft w:val="0"/>
                  <w:marRight w:val="0"/>
                  <w:marTop w:val="0"/>
                  <w:marBottom w:val="0"/>
                  <w:divBdr>
                    <w:top w:val="none" w:sz="0" w:space="0" w:color="auto"/>
                    <w:left w:val="none" w:sz="0" w:space="0" w:color="auto"/>
                    <w:bottom w:val="none" w:sz="0" w:space="0" w:color="auto"/>
                    <w:right w:val="none" w:sz="0" w:space="0" w:color="auto"/>
                  </w:divBdr>
                  <w:divsChild>
                    <w:div w:id="1026635834">
                      <w:marLeft w:val="0"/>
                      <w:marRight w:val="0"/>
                      <w:marTop w:val="0"/>
                      <w:marBottom w:val="0"/>
                      <w:divBdr>
                        <w:top w:val="none" w:sz="0" w:space="0" w:color="auto"/>
                        <w:left w:val="none" w:sz="0" w:space="0" w:color="auto"/>
                        <w:bottom w:val="none" w:sz="0" w:space="0" w:color="auto"/>
                        <w:right w:val="none" w:sz="0" w:space="0" w:color="auto"/>
                      </w:divBdr>
                    </w:div>
                  </w:divsChild>
                </w:div>
                <w:div w:id="727075531">
                  <w:marLeft w:val="0"/>
                  <w:marRight w:val="0"/>
                  <w:marTop w:val="0"/>
                  <w:marBottom w:val="0"/>
                  <w:divBdr>
                    <w:top w:val="none" w:sz="0" w:space="0" w:color="auto"/>
                    <w:left w:val="none" w:sz="0" w:space="0" w:color="auto"/>
                    <w:bottom w:val="none" w:sz="0" w:space="0" w:color="auto"/>
                    <w:right w:val="none" w:sz="0" w:space="0" w:color="auto"/>
                  </w:divBdr>
                  <w:divsChild>
                    <w:div w:id="277569040">
                      <w:marLeft w:val="0"/>
                      <w:marRight w:val="0"/>
                      <w:marTop w:val="0"/>
                      <w:marBottom w:val="0"/>
                      <w:divBdr>
                        <w:top w:val="none" w:sz="0" w:space="0" w:color="auto"/>
                        <w:left w:val="none" w:sz="0" w:space="0" w:color="auto"/>
                        <w:bottom w:val="none" w:sz="0" w:space="0" w:color="auto"/>
                        <w:right w:val="none" w:sz="0" w:space="0" w:color="auto"/>
                      </w:divBdr>
                    </w:div>
                  </w:divsChild>
                </w:div>
                <w:div w:id="731344687">
                  <w:marLeft w:val="0"/>
                  <w:marRight w:val="0"/>
                  <w:marTop w:val="0"/>
                  <w:marBottom w:val="0"/>
                  <w:divBdr>
                    <w:top w:val="none" w:sz="0" w:space="0" w:color="auto"/>
                    <w:left w:val="none" w:sz="0" w:space="0" w:color="auto"/>
                    <w:bottom w:val="none" w:sz="0" w:space="0" w:color="auto"/>
                    <w:right w:val="none" w:sz="0" w:space="0" w:color="auto"/>
                  </w:divBdr>
                  <w:divsChild>
                    <w:div w:id="865867298">
                      <w:marLeft w:val="0"/>
                      <w:marRight w:val="0"/>
                      <w:marTop w:val="0"/>
                      <w:marBottom w:val="0"/>
                      <w:divBdr>
                        <w:top w:val="none" w:sz="0" w:space="0" w:color="auto"/>
                        <w:left w:val="none" w:sz="0" w:space="0" w:color="auto"/>
                        <w:bottom w:val="none" w:sz="0" w:space="0" w:color="auto"/>
                        <w:right w:val="none" w:sz="0" w:space="0" w:color="auto"/>
                      </w:divBdr>
                    </w:div>
                  </w:divsChild>
                </w:div>
                <w:div w:id="749428591">
                  <w:marLeft w:val="0"/>
                  <w:marRight w:val="0"/>
                  <w:marTop w:val="0"/>
                  <w:marBottom w:val="0"/>
                  <w:divBdr>
                    <w:top w:val="none" w:sz="0" w:space="0" w:color="auto"/>
                    <w:left w:val="none" w:sz="0" w:space="0" w:color="auto"/>
                    <w:bottom w:val="none" w:sz="0" w:space="0" w:color="auto"/>
                    <w:right w:val="none" w:sz="0" w:space="0" w:color="auto"/>
                  </w:divBdr>
                  <w:divsChild>
                    <w:div w:id="345718586">
                      <w:marLeft w:val="0"/>
                      <w:marRight w:val="0"/>
                      <w:marTop w:val="0"/>
                      <w:marBottom w:val="0"/>
                      <w:divBdr>
                        <w:top w:val="none" w:sz="0" w:space="0" w:color="auto"/>
                        <w:left w:val="none" w:sz="0" w:space="0" w:color="auto"/>
                        <w:bottom w:val="none" w:sz="0" w:space="0" w:color="auto"/>
                        <w:right w:val="none" w:sz="0" w:space="0" w:color="auto"/>
                      </w:divBdr>
                    </w:div>
                  </w:divsChild>
                </w:div>
                <w:div w:id="765080741">
                  <w:marLeft w:val="0"/>
                  <w:marRight w:val="0"/>
                  <w:marTop w:val="0"/>
                  <w:marBottom w:val="0"/>
                  <w:divBdr>
                    <w:top w:val="none" w:sz="0" w:space="0" w:color="auto"/>
                    <w:left w:val="none" w:sz="0" w:space="0" w:color="auto"/>
                    <w:bottom w:val="none" w:sz="0" w:space="0" w:color="auto"/>
                    <w:right w:val="none" w:sz="0" w:space="0" w:color="auto"/>
                  </w:divBdr>
                  <w:divsChild>
                    <w:div w:id="1030760071">
                      <w:marLeft w:val="0"/>
                      <w:marRight w:val="0"/>
                      <w:marTop w:val="0"/>
                      <w:marBottom w:val="0"/>
                      <w:divBdr>
                        <w:top w:val="none" w:sz="0" w:space="0" w:color="auto"/>
                        <w:left w:val="none" w:sz="0" w:space="0" w:color="auto"/>
                        <w:bottom w:val="none" w:sz="0" w:space="0" w:color="auto"/>
                        <w:right w:val="none" w:sz="0" w:space="0" w:color="auto"/>
                      </w:divBdr>
                    </w:div>
                  </w:divsChild>
                </w:div>
                <w:div w:id="797644680">
                  <w:marLeft w:val="0"/>
                  <w:marRight w:val="0"/>
                  <w:marTop w:val="0"/>
                  <w:marBottom w:val="0"/>
                  <w:divBdr>
                    <w:top w:val="none" w:sz="0" w:space="0" w:color="auto"/>
                    <w:left w:val="none" w:sz="0" w:space="0" w:color="auto"/>
                    <w:bottom w:val="none" w:sz="0" w:space="0" w:color="auto"/>
                    <w:right w:val="none" w:sz="0" w:space="0" w:color="auto"/>
                  </w:divBdr>
                  <w:divsChild>
                    <w:div w:id="632978842">
                      <w:marLeft w:val="0"/>
                      <w:marRight w:val="0"/>
                      <w:marTop w:val="0"/>
                      <w:marBottom w:val="0"/>
                      <w:divBdr>
                        <w:top w:val="none" w:sz="0" w:space="0" w:color="auto"/>
                        <w:left w:val="none" w:sz="0" w:space="0" w:color="auto"/>
                        <w:bottom w:val="none" w:sz="0" w:space="0" w:color="auto"/>
                        <w:right w:val="none" w:sz="0" w:space="0" w:color="auto"/>
                      </w:divBdr>
                    </w:div>
                  </w:divsChild>
                </w:div>
                <w:div w:id="803280612">
                  <w:marLeft w:val="0"/>
                  <w:marRight w:val="0"/>
                  <w:marTop w:val="0"/>
                  <w:marBottom w:val="0"/>
                  <w:divBdr>
                    <w:top w:val="none" w:sz="0" w:space="0" w:color="auto"/>
                    <w:left w:val="none" w:sz="0" w:space="0" w:color="auto"/>
                    <w:bottom w:val="none" w:sz="0" w:space="0" w:color="auto"/>
                    <w:right w:val="none" w:sz="0" w:space="0" w:color="auto"/>
                  </w:divBdr>
                  <w:divsChild>
                    <w:div w:id="1399934926">
                      <w:marLeft w:val="0"/>
                      <w:marRight w:val="0"/>
                      <w:marTop w:val="0"/>
                      <w:marBottom w:val="0"/>
                      <w:divBdr>
                        <w:top w:val="none" w:sz="0" w:space="0" w:color="auto"/>
                        <w:left w:val="none" w:sz="0" w:space="0" w:color="auto"/>
                        <w:bottom w:val="none" w:sz="0" w:space="0" w:color="auto"/>
                        <w:right w:val="none" w:sz="0" w:space="0" w:color="auto"/>
                      </w:divBdr>
                    </w:div>
                  </w:divsChild>
                </w:div>
                <w:div w:id="803549513">
                  <w:marLeft w:val="0"/>
                  <w:marRight w:val="0"/>
                  <w:marTop w:val="0"/>
                  <w:marBottom w:val="0"/>
                  <w:divBdr>
                    <w:top w:val="none" w:sz="0" w:space="0" w:color="auto"/>
                    <w:left w:val="none" w:sz="0" w:space="0" w:color="auto"/>
                    <w:bottom w:val="none" w:sz="0" w:space="0" w:color="auto"/>
                    <w:right w:val="none" w:sz="0" w:space="0" w:color="auto"/>
                  </w:divBdr>
                  <w:divsChild>
                    <w:div w:id="1851988595">
                      <w:marLeft w:val="0"/>
                      <w:marRight w:val="0"/>
                      <w:marTop w:val="0"/>
                      <w:marBottom w:val="0"/>
                      <w:divBdr>
                        <w:top w:val="none" w:sz="0" w:space="0" w:color="auto"/>
                        <w:left w:val="none" w:sz="0" w:space="0" w:color="auto"/>
                        <w:bottom w:val="none" w:sz="0" w:space="0" w:color="auto"/>
                        <w:right w:val="none" w:sz="0" w:space="0" w:color="auto"/>
                      </w:divBdr>
                    </w:div>
                  </w:divsChild>
                </w:div>
                <w:div w:id="807937681">
                  <w:marLeft w:val="0"/>
                  <w:marRight w:val="0"/>
                  <w:marTop w:val="0"/>
                  <w:marBottom w:val="0"/>
                  <w:divBdr>
                    <w:top w:val="none" w:sz="0" w:space="0" w:color="auto"/>
                    <w:left w:val="none" w:sz="0" w:space="0" w:color="auto"/>
                    <w:bottom w:val="none" w:sz="0" w:space="0" w:color="auto"/>
                    <w:right w:val="none" w:sz="0" w:space="0" w:color="auto"/>
                  </w:divBdr>
                  <w:divsChild>
                    <w:div w:id="1280189360">
                      <w:marLeft w:val="0"/>
                      <w:marRight w:val="0"/>
                      <w:marTop w:val="0"/>
                      <w:marBottom w:val="0"/>
                      <w:divBdr>
                        <w:top w:val="none" w:sz="0" w:space="0" w:color="auto"/>
                        <w:left w:val="none" w:sz="0" w:space="0" w:color="auto"/>
                        <w:bottom w:val="none" w:sz="0" w:space="0" w:color="auto"/>
                        <w:right w:val="none" w:sz="0" w:space="0" w:color="auto"/>
                      </w:divBdr>
                    </w:div>
                  </w:divsChild>
                </w:div>
                <w:div w:id="833574475">
                  <w:marLeft w:val="0"/>
                  <w:marRight w:val="0"/>
                  <w:marTop w:val="0"/>
                  <w:marBottom w:val="0"/>
                  <w:divBdr>
                    <w:top w:val="none" w:sz="0" w:space="0" w:color="auto"/>
                    <w:left w:val="none" w:sz="0" w:space="0" w:color="auto"/>
                    <w:bottom w:val="none" w:sz="0" w:space="0" w:color="auto"/>
                    <w:right w:val="none" w:sz="0" w:space="0" w:color="auto"/>
                  </w:divBdr>
                  <w:divsChild>
                    <w:div w:id="12149518">
                      <w:marLeft w:val="0"/>
                      <w:marRight w:val="0"/>
                      <w:marTop w:val="0"/>
                      <w:marBottom w:val="0"/>
                      <w:divBdr>
                        <w:top w:val="none" w:sz="0" w:space="0" w:color="auto"/>
                        <w:left w:val="none" w:sz="0" w:space="0" w:color="auto"/>
                        <w:bottom w:val="none" w:sz="0" w:space="0" w:color="auto"/>
                        <w:right w:val="none" w:sz="0" w:space="0" w:color="auto"/>
                      </w:divBdr>
                    </w:div>
                  </w:divsChild>
                </w:div>
                <w:div w:id="861017606">
                  <w:marLeft w:val="0"/>
                  <w:marRight w:val="0"/>
                  <w:marTop w:val="0"/>
                  <w:marBottom w:val="0"/>
                  <w:divBdr>
                    <w:top w:val="none" w:sz="0" w:space="0" w:color="auto"/>
                    <w:left w:val="none" w:sz="0" w:space="0" w:color="auto"/>
                    <w:bottom w:val="none" w:sz="0" w:space="0" w:color="auto"/>
                    <w:right w:val="none" w:sz="0" w:space="0" w:color="auto"/>
                  </w:divBdr>
                  <w:divsChild>
                    <w:div w:id="1825468065">
                      <w:marLeft w:val="0"/>
                      <w:marRight w:val="0"/>
                      <w:marTop w:val="0"/>
                      <w:marBottom w:val="0"/>
                      <w:divBdr>
                        <w:top w:val="none" w:sz="0" w:space="0" w:color="auto"/>
                        <w:left w:val="none" w:sz="0" w:space="0" w:color="auto"/>
                        <w:bottom w:val="none" w:sz="0" w:space="0" w:color="auto"/>
                        <w:right w:val="none" w:sz="0" w:space="0" w:color="auto"/>
                      </w:divBdr>
                    </w:div>
                  </w:divsChild>
                </w:div>
                <w:div w:id="869029565">
                  <w:marLeft w:val="0"/>
                  <w:marRight w:val="0"/>
                  <w:marTop w:val="0"/>
                  <w:marBottom w:val="0"/>
                  <w:divBdr>
                    <w:top w:val="none" w:sz="0" w:space="0" w:color="auto"/>
                    <w:left w:val="none" w:sz="0" w:space="0" w:color="auto"/>
                    <w:bottom w:val="none" w:sz="0" w:space="0" w:color="auto"/>
                    <w:right w:val="none" w:sz="0" w:space="0" w:color="auto"/>
                  </w:divBdr>
                  <w:divsChild>
                    <w:div w:id="1855224879">
                      <w:marLeft w:val="0"/>
                      <w:marRight w:val="0"/>
                      <w:marTop w:val="0"/>
                      <w:marBottom w:val="0"/>
                      <w:divBdr>
                        <w:top w:val="none" w:sz="0" w:space="0" w:color="auto"/>
                        <w:left w:val="none" w:sz="0" w:space="0" w:color="auto"/>
                        <w:bottom w:val="none" w:sz="0" w:space="0" w:color="auto"/>
                        <w:right w:val="none" w:sz="0" w:space="0" w:color="auto"/>
                      </w:divBdr>
                    </w:div>
                  </w:divsChild>
                </w:div>
                <w:div w:id="871302974">
                  <w:marLeft w:val="0"/>
                  <w:marRight w:val="0"/>
                  <w:marTop w:val="0"/>
                  <w:marBottom w:val="0"/>
                  <w:divBdr>
                    <w:top w:val="none" w:sz="0" w:space="0" w:color="auto"/>
                    <w:left w:val="none" w:sz="0" w:space="0" w:color="auto"/>
                    <w:bottom w:val="none" w:sz="0" w:space="0" w:color="auto"/>
                    <w:right w:val="none" w:sz="0" w:space="0" w:color="auto"/>
                  </w:divBdr>
                  <w:divsChild>
                    <w:div w:id="235287930">
                      <w:marLeft w:val="0"/>
                      <w:marRight w:val="0"/>
                      <w:marTop w:val="0"/>
                      <w:marBottom w:val="0"/>
                      <w:divBdr>
                        <w:top w:val="none" w:sz="0" w:space="0" w:color="auto"/>
                        <w:left w:val="none" w:sz="0" w:space="0" w:color="auto"/>
                        <w:bottom w:val="none" w:sz="0" w:space="0" w:color="auto"/>
                        <w:right w:val="none" w:sz="0" w:space="0" w:color="auto"/>
                      </w:divBdr>
                    </w:div>
                  </w:divsChild>
                </w:div>
                <w:div w:id="877545285">
                  <w:marLeft w:val="0"/>
                  <w:marRight w:val="0"/>
                  <w:marTop w:val="0"/>
                  <w:marBottom w:val="0"/>
                  <w:divBdr>
                    <w:top w:val="none" w:sz="0" w:space="0" w:color="auto"/>
                    <w:left w:val="none" w:sz="0" w:space="0" w:color="auto"/>
                    <w:bottom w:val="none" w:sz="0" w:space="0" w:color="auto"/>
                    <w:right w:val="none" w:sz="0" w:space="0" w:color="auto"/>
                  </w:divBdr>
                  <w:divsChild>
                    <w:div w:id="1591696542">
                      <w:marLeft w:val="0"/>
                      <w:marRight w:val="0"/>
                      <w:marTop w:val="0"/>
                      <w:marBottom w:val="0"/>
                      <w:divBdr>
                        <w:top w:val="none" w:sz="0" w:space="0" w:color="auto"/>
                        <w:left w:val="none" w:sz="0" w:space="0" w:color="auto"/>
                        <w:bottom w:val="none" w:sz="0" w:space="0" w:color="auto"/>
                        <w:right w:val="none" w:sz="0" w:space="0" w:color="auto"/>
                      </w:divBdr>
                    </w:div>
                  </w:divsChild>
                </w:div>
                <w:div w:id="891044681">
                  <w:marLeft w:val="0"/>
                  <w:marRight w:val="0"/>
                  <w:marTop w:val="0"/>
                  <w:marBottom w:val="0"/>
                  <w:divBdr>
                    <w:top w:val="none" w:sz="0" w:space="0" w:color="auto"/>
                    <w:left w:val="none" w:sz="0" w:space="0" w:color="auto"/>
                    <w:bottom w:val="none" w:sz="0" w:space="0" w:color="auto"/>
                    <w:right w:val="none" w:sz="0" w:space="0" w:color="auto"/>
                  </w:divBdr>
                  <w:divsChild>
                    <w:div w:id="33040725">
                      <w:marLeft w:val="0"/>
                      <w:marRight w:val="0"/>
                      <w:marTop w:val="0"/>
                      <w:marBottom w:val="0"/>
                      <w:divBdr>
                        <w:top w:val="none" w:sz="0" w:space="0" w:color="auto"/>
                        <w:left w:val="none" w:sz="0" w:space="0" w:color="auto"/>
                        <w:bottom w:val="none" w:sz="0" w:space="0" w:color="auto"/>
                        <w:right w:val="none" w:sz="0" w:space="0" w:color="auto"/>
                      </w:divBdr>
                    </w:div>
                  </w:divsChild>
                </w:div>
                <w:div w:id="897084046">
                  <w:marLeft w:val="0"/>
                  <w:marRight w:val="0"/>
                  <w:marTop w:val="0"/>
                  <w:marBottom w:val="0"/>
                  <w:divBdr>
                    <w:top w:val="none" w:sz="0" w:space="0" w:color="auto"/>
                    <w:left w:val="none" w:sz="0" w:space="0" w:color="auto"/>
                    <w:bottom w:val="none" w:sz="0" w:space="0" w:color="auto"/>
                    <w:right w:val="none" w:sz="0" w:space="0" w:color="auto"/>
                  </w:divBdr>
                  <w:divsChild>
                    <w:div w:id="1902980037">
                      <w:marLeft w:val="0"/>
                      <w:marRight w:val="0"/>
                      <w:marTop w:val="0"/>
                      <w:marBottom w:val="0"/>
                      <w:divBdr>
                        <w:top w:val="none" w:sz="0" w:space="0" w:color="auto"/>
                        <w:left w:val="none" w:sz="0" w:space="0" w:color="auto"/>
                        <w:bottom w:val="none" w:sz="0" w:space="0" w:color="auto"/>
                        <w:right w:val="none" w:sz="0" w:space="0" w:color="auto"/>
                      </w:divBdr>
                    </w:div>
                  </w:divsChild>
                </w:div>
                <w:div w:id="899487816">
                  <w:marLeft w:val="0"/>
                  <w:marRight w:val="0"/>
                  <w:marTop w:val="0"/>
                  <w:marBottom w:val="0"/>
                  <w:divBdr>
                    <w:top w:val="none" w:sz="0" w:space="0" w:color="auto"/>
                    <w:left w:val="none" w:sz="0" w:space="0" w:color="auto"/>
                    <w:bottom w:val="none" w:sz="0" w:space="0" w:color="auto"/>
                    <w:right w:val="none" w:sz="0" w:space="0" w:color="auto"/>
                  </w:divBdr>
                  <w:divsChild>
                    <w:div w:id="1878353555">
                      <w:marLeft w:val="0"/>
                      <w:marRight w:val="0"/>
                      <w:marTop w:val="0"/>
                      <w:marBottom w:val="0"/>
                      <w:divBdr>
                        <w:top w:val="none" w:sz="0" w:space="0" w:color="auto"/>
                        <w:left w:val="none" w:sz="0" w:space="0" w:color="auto"/>
                        <w:bottom w:val="none" w:sz="0" w:space="0" w:color="auto"/>
                        <w:right w:val="none" w:sz="0" w:space="0" w:color="auto"/>
                      </w:divBdr>
                    </w:div>
                  </w:divsChild>
                </w:div>
                <w:div w:id="923144341">
                  <w:marLeft w:val="0"/>
                  <w:marRight w:val="0"/>
                  <w:marTop w:val="0"/>
                  <w:marBottom w:val="0"/>
                  <w:divBdr>
                    <w:top w:val="none" w:sz="0" w:space="0" w:color="auto"/>
                    <w:left w:val="none" w:sz="0" w:space="0" w:color="auto"/>
                    <w:bottom w:val="none" w:sz="0" w:space="0" w:color="auto"/>
                    <w:right w:val="none" w:sz="0" w:space="0" w:color="auto"/>
                  </w:divBdr>
                  <w:divsChild>
                    <w:div w:id="489835373">
                      <w:marLeft w:val="0"/>
                      <w:marRight w:val="0"/>
                      <w:marTop w:val="0"/>
                      <w:marBottom w:val="0"/>
                      <w:divBdr>
                        <w:top w:val="none" w:sz="0" w:space="0" w:color="auto"/>
                        <w:left w:val="none" w:sz="0" w:space="0" w:color="auto"/>
                        <w:bottom w:val="none" w:sz="0" w:space="0" w:color="auto"/>
                        <w:right w:val="none" w:sz="0" w:space="0" w:color="auto"/>
                      </w:divBdr>
                    </w:div>
                  </w:divsChild>
                </w:div>
                <w:div w:id="935792940">
                  <w:marLeft w:val="0"/>
                  <w:marRight w:val="0"/>
                  <w:marTop w:val="0"/>
                  <w:marBottom w:val="0"/>
                  <w:divBdr>
                    <w:top w:val="none" w:sz="0" w:space="0" w:color="auto"/>
                    <w:left w:val="none" w:sz="0" w:space="0" w:color="auto"/>
                    <w:bottom w:val="none" w:sz="0" w:space="0" w:color="auto"/>
                    <w:right w:val="none" w:sz="0" w:space="0" w:color="auto"/>
                  </w:divBdr>
                  <w:divsChild>
                    <w:div w:id="165559385">
                      <w:marLeft w:val="0"/>
                      <w:marRight w:val="0"/>
                      <w:marTop w:val="0"/>
                      <w:marBottom w:val="0"/>
                      <w:divBdr>
                        <w:top w:val="none" w:sz="0" w:space="0" w:color="auto"/>
                        <w:left w:val="none" w:sz="0" w:space="0" w:color="auto"/>
                        <w:bottom w:val="none" w:sz="0" w:space="0" w:color="auto"/>
                        <w:right w:val="none" w:sz="0" w:space="0" w:color="auto"/>
                      </w:divBdr>
                    </w:div>
                  </w:divsChild>
                </w:div>
                <w:div w:id="941035770">
                  <w:marLeft w:val="0"/>
                  <w:marRight w:val="0"/>
                  <w:marTop w:val="0"/>
                  <w:marBottom w:val="0"/>
                  <w:divBdr>
                    <w:top w:val="none" w:sz="0" w:space="0" w:color="auto"/>
                    <w:left w:val="none" w:sz="0" w:space="0" w:color="auto"/>
                    <w:bottom w:val="none" w:sz="0" w:space="0" w:color="auto"/>
                    <w:right w:val="none" w:sz="0" w:space="0" w:color="auto"/>
                  </w:divBdr>
                  <w:divsChild>
                    <w:div w:id="1013142375">
                      <w:marLeft w:val="0"/>
                      <w:marRight w:val="0"/>
                      <w:marTop w:val="0"/>
                      <w:marBottom w:val="0"/>
                      <w:divBdr>
                        <w:top w:val="none" w:sz="0" w:space="0" w:color="auto"/>
                        <w:left w:val="none" w:sz="0" w:space="0" w:color="auto"/>
                        <w:bottom w:val="none" w:sz="0" w:space="0" w:color="auto"/>
                        <w:right w:val="none" w:sz="0" w:space="0" w:color="auto"/>
                      </w:divBdr>
                    </w:div>
                  </w:divsChild>
                </w:div>
                <w:div w:id="941574783">
                  <w:marLeft w:val="0"/>
                  <w:marRight w:val="0"/>
                  <w:marTop w:val="0"/>
                  <w:marBottom w:val="0"/>
                  <w:divBdr>
                    <w:top w:val="none" w:sz="0" w:space="0" w:color="auto"/>
                    <w:left w:val="none" w:sz="0" w:space="0" w:color="auto"/>
                    <w:bottom w:val="none" w:sz="0" w:space="0" w:color="auto"/>
                    <w:right w:val="none" w:sz="0" w:space="0" w:color="auto"/>
                  </w:divBdr>
                  <w:divsChild>
                    <w:div w:id="512842630">
                      <w:marLeft w:val="0"/>
                      <w:marRight w:val="0"/>
                      <w:marTop w:val="0"/>
                      <w:marBottom w:val="0"/>
                      <w:divBdr>
                        <w:top w:val="none" w:sz="0" w:space="0" w:color="auto"/>
                        <w:left w:val="none" w:sz="0" w:space="0" w:color="auto"/>
                        <w:bottom w:val="none" w:sz="0" w:space="0" w:color="auto"/>
                        <w:right w:val="none" w:sz="0" w:space="0" w:color="auto"/>
                      </w:divBdr>
                    </w:div>
                  </w:divsChild>
                </w:div>
                <w:div w:id="990135907">
                  <w:marLeft w:val="0"/>
                  <w:marRight w:val="0"/>
                  <w:marTop w:val="0"/>
                  <w:marBottom w:val="0"/>
                  <w:divBdr>
                    <w:top w:val="none" w:sz="0" w:space="0" w:color="auto"/>
                    <w:left w:val="none" w:sz="0" w:space="0" w:color="auto"/>
                    <w:bottom w:val="none" w:sz="0" w:space="0" w:color="auto"/>
                    <w:right w:val="none" w:sz="0" w:space="0" w:color="auto"/>
                  </w:divBdr>
                  <w:divsChild>
                    <w:div w:id="917515092">
                      <w:marLeft w:val="0"/>
                      <w:marRight w:val="0"/>
                      <w:marTop w:val="0"/>
                      <w:marBottom w:val="0"/>
                      <w:divBdr>
                        <w:top w:val="none" w:sz="0" w:space="0" w:color="auto"/>
                        <w:left w:val="none" w:sz="0" w:space="0" w:color="auto"/>
                        <w:bottom w:val="none" w:sz="0" w:space="0" w:color="auto"/>
                        <w:right w:val="none" w:sz="0" w:space="0" w:color="auto"/>
                      </w:divBdr>
                    </w:div>
                  </w:divsChild>
                </w:div>
                <w:div w:id="998844798">
                  <w:marLeft w:val="0"/>
                  <w:marRight w:val="0"/>
                  <w:marTop w:val="0"/>
                  <w:marBottom w:val="0"/>
                  <w:divBdr>
                    <w:top w:val="none" w:sz="0" w:space="0" w:color="auto"/>
                    <w:left w:val="none" w:sz="0" w:space="0" w:color="auto"/>
                    <w:bottom w:val="none" w:sz="0" w:space="0" w:color="auto"/>
                    <w:right w:val="none" w:sz="0" w:space="0" w:color="auto"/>
                  </w:divBdr>
                  <w:divsChild>
                    <w:div w:id="2136561124">
                      <w:marLeft w:val="0"/>
                      <w:marRight w:val="0"/>
                      <w:marTop w:val="0"/>
                      <w:marBottom w:val="0"/>
                      <w:divBdr>
                        <w:top w:val="none" w:sz="0" w:space="0" w:color="auto"/>
                        <w:left w:val="none" w:sz="0" w:space="0" w:color="auto"/>
                        <w:bottom w:val="none" w:sz="0" w:space="0" w:color="auto"/>
                        <w:right w:val="none" w:sz="0" w:space="0" w:color="auto"/>
                      </w:divBdr>
                    </w:div>
                  </w:divsChild>
                </w:div>
                <w:div w:id="1002005061">
                  <w:marLeft w:val="0"/>
                  <w:marRight w:val="0"/>
                  <w:marTop w:val="0"/>
                  <w:marBottom w:val="0"/>
                  <w:divBdr>
                    <w:top w:val="none" w:sz="0" w:space="0" w:color="auto"/>
                    <w:left w:val="none" w:sz="0" w:space="0" w:color="auto"/>
                    <w:bottom w:val="none" w:sz="0" w:space="0" w:color="auto"/>
                    <w:right w:val="none" w:sz="0" w:space="0" w:color="auto"/>
                  </w:divBdr>
                  <w:divsChild>
                    <w:div w:id="1107503285">
                      <w:marLeft w:val="0"/>
                      <w:marRight w:val="0"/>
                      <w:marTop w:val="0"/>
                      <w:marBottom w:val="0"/>
                      <w:divBdr>
                        <w:top w:val="none" w:sz="0" w:space="0" w:color="auto"/>
                        <w:left w:val="none" w:sz="0" w:space="0" w:color="auto"/>
                        <w:bottom w:val="none" w:sz="0" w:space="0" w:color="auto"/>
                        <w:right w:val="none" w:sz="0" w:space="0" w:color="auto"/>
                      </w:divBdr>
                    </w:div>
                  </w:divsChild>
                </w:div>
                <w:div w:id="1031297828">
                  <w:marLeft w:val="0"/>
                  <w:marRight w:val="0"/>
                  <w:marTop w:val="0"/>
                  <w:marBottom w:val="0"/>
                  <w:divBdr>
                    <w:top w:val="none" w:sz="0" w:space="0" w:color="auto"/>
                    <w:left w:val="none" w:sz="0" w:space="0" w:color="auto"/>
                    <w:bottom w:val="none" w:sz="0" w:space="0" w:color="auto"/>
                    <w:right w:val="none" w:sz="0" w:space="0" w:color="auto"/>
                  </w:divBdr>
                  <w:divsChild>
                    <w:div w:id="1377386108">
                      <w:marLeft w:val="0"/>
                      <w:marRight w:val="0"/>
                      <w:marTop w:val="0"/>
                      <w:marBottom w:val="0"/>
                      <w:divBdr>
                        <w:top w:val="none" w:sz="0" w:space="0" w:color="auto"/>
                        <w:left w:val="none" w:sz="0" w:space="0" w:color="auto"/>
                        <w:bottom w:val="none" w:sz="0" w:space="0" w:color="auto"/>
                        <w:right w:val="none" w:sz="0" w:space="0" w:color="auto"/>
                      </w:divBdr>
                    </w:div>
                  </w:divsChild>
                </w:div>
                <w:div w:id="1044407623">
                  <w:marLeft w:val="0"/>
                  <w:marRight w:val="0"/>
                  <w:marTop w:val="0"/>
                  <w:marBottom w:val="0"/>
                  <w:divBdr>
                    <w:top w:val="none" w:sz="0" w:space="0" w:color="auto"/>
                    <w:left w:val="none" w:sz="0" w:space="0" w:color="auto"/>
                    <w:bottom w:val="none" w:sz="0" w:space="0" w:color="auto"/>
                    <w:right w:val="none" w:sz="0" w:space="0" w:color="auto"/>
                  </w:divBdr>
                  <w:divsChild>
                    <w:div w:id="760569167">
                      <w:marLeft w:val="0"/>
                      <w:marRight w:val="0"/>
                      <w:marTop w:val="0"/>
                      <w:marBottom w:val="0"/>
                      <w:divBdr>
                        <w:top w:val="none" w:sz="0" w:space="0" w:color="auto"/>
                        <w:left w:val="none" w:sz="0" w:space="0" w:color="auto"/>
                        <w:bottom w:val="none" w:sz="0" w:space="0" w:color="auto"/>
                        <w:right w:val="none" w:sz="0" w:space="0" w:color="auto"/>
                      </w:divBdr>
                    </w:div>
                  </w:divsChild>
                </w:div>
                <w:div w:id="1045252980">
                  <w:marLeft w:val="0"/>
                  <w:marRight w:val="0"/>
                  <w:marTop w:val="0"/>
                  <w:marBottom w:val="0"/>
                  <w:divBdr>
                    <w:top w:val="none" w:sz="0" w:space="0" w:color="auto"/>
                    <w:left w:val="none" w:sz="0" w:space="0" w:color="auto"/>
                    <w:bottom w:val="none" w:sz="0" w:space="0" w:color="auto"/>
                    <w:right w:val="none" w:sz="0" w:space="0" w:color="auto"/>
                  </w:divBdr>
                  <w:divsChild>
                    <w:div w:id="210655917">
                      <w:marLeft w:val="0"/>
                      <w:marRight w:val="0"/>
                      <w:marTop w:val="0"/>
                      <w:marBottom w:val="0"/>
                      <w:divBdr>
                        <w:top w:val="none" w:sz="0" w:space="0" w:color="auto"/>
                        <w:left w:val="none" w:sz="0" w:space="0" w:color="auto"/>
                        <w:bottom w:val="none" w:sz="0" w:space="0" w:color="auto"/>
                        <w:right w:val="none" w:sz="0" w:space="0" w:color="auto"/>
                      </w:divBdr>
                    </w:div>
                  </w:divsChild>
                </w:div>
                <w:div w:id="1059473646">
                  <w:marLeft w:val="0"/>
                  <w:marRight w:val="0"/>
                  <w:marTop w:val="0"/>
                  <w:marBottom w:val="0"/>
                  <w:divBdr>
                    <w:top w:val="none" w:sz="0" w:space="0" w:color="auto"/>
                    <w:left w:val="none" w:sz="0" w:space="0" w:color="auto"/>
                    <w:bottom w:val="none" w:sz="0" w:space="0" w:color="auto"/>
                    <w:right w:val="none" w:sz="0" w:space="0" w:color="auto"/>
                  </w:divBdr>
                  <w:divsChild>
                    <w:div w:id="614554298">
                      <w:marLeft w:val="0"/>
                      <w:marRight w:val="0"/>
                      <w:marTop w:val="0"/>
                      <w:marBottom w:val="0"/>
                      <w:divBdr>
                        <w:top w:val="none" w:sz="0" w:space="0" w:color="auto"/>
                        <w:left w:val="none" w:sz="0" w:space="0" w:color="auto"/>
                        <w:bottom w:val="none" w:sz="0" w:space="0" w:color="auto"/>
                        <w:right w:val="none" w:sz="0" w:space="0" w:color="auto"/>
                      </w:divBdr>
                    </w:div>
                  </w:divsChild>
                </w:div>
                <w:div w:id="1060833354">
                  <w:marLeft w:val="0"/>
                  <w:marRight w:val="0"/>
                  <w:marTop w:val="0"/>
                  <w:marBottom w:val="0"/>
                  <w:divBdr>
                    <w:top w:val="none" w:sz="0" w:space="0" w:color="auto"/>
                    <w:left w:val="none" w:sz="0" w:space="0" w:color="auto"/>
                    <w:bottom w:val="none" w:sz="0" w:space="0" w:color="auto"/>
                    <w:right w:val="none" w:sz="0" w:space="0" w:color="auto"/>
                  </w:divBdr>
                  <w:divsChild>
                    <w:div w:id="1012760386">
                      <w:marLeft w:val="0"/>
                      <w:marRight w:val="0"/>
                      <w:marTop w:val="0"/>
                      <w:marBottom w:val="0"/>
                      <w:divBdr>
                        <w:top w:val="none" w:sz="0" w:space="0" w:color="auto"/>
                        <w:left w:val="none" w:sz="0" w:space="0" w:color="auto"/>
                        <w:bottom w:val="none" w:sz="0" w:space="0" w:color="auto"/>
                        <w:right w:val="none" w:sz="0" w:space="0" w:color="auto"/>
                      </w:divBdr>
                    </w:div>
                  </w:divsChild>
                </w:div>
                <w:div w:id="1067385546">
                  <w:marLeft w:val="0"/>
                  <w:marRight w:val="0"/>
                  <w:marTop w:val="0"/>
                  <w:marBottom w:val="0"/>
                  <w:divBdr>
                    <w:top w:val="none" w:sz="0" w:space="0" w:color="auto"/>
                    <w:left w:val="none" w:sz="0" w:space="0" w:color="auto"/>
                    <w:bottom w:val="none" w:sz="0" w:space="0" w:color="auto"/>
                    <w:right w:val="none" w:sz="0" w:space="0" w:color="auto"/>
                  </w:divBdr>
                  <w:divsChild>
                    <w:div w:id="526917416">
                      <w:marLeft w:val="0"/>
                      <w:marRight w:val="0"/>
                      <w:marTop w:val="0"/>
                      <w:marBottom w:val="0"/>
                      <w:divBdr>
                        <w:top w:val="none" w:sz="0" w:space="0" w:color="auto"/>
                        <w:left w:val="none" w:sz="0" w:space="0" w:color="auto"/>
                        <w:bottom w:val="none" w:sz="0" w:space="0" w:color="auto"/>
                        <w:right w:val="none" w:sz="0" w:space="0" w:color="auto"/>
                      </w:divBdr>
                    </w:div>
                  </w:divsChild>
                </w:div>
                <w:div w:id="1092512119">
                  <w:marLeft w:val="0"/>
                  <w:marRight w:val="0"/>
                  <w:marTop w:val="0"/>
                  <w:marBottom w:val="0"/>
                  <w:divBdr>
                    <w:top w:val="none" w:sz="0" w:space="0" w:color="auto"/>
                    <w:left w:val="none" w:sz="0" w:space="0" w:color="auto"/>
                    <w:bottom w:val="none" w:sz="0" w:space="0" w:color="auto"/>
                    <w:right w:val="none" w:sz="0" w:space="0" w:color="auto"/>
                  </w:divBdr>
                  <w:divsChild>
                    <w:div w:id="1596938725">
                      <w:marLeft w:val="0"/>
                      <w:marRight w:val="0"/>
                      <w:marTop w:val="0"/>
                      <w:marBottom w:val="0"/>
                      <w:divBdr>
                        <w:top w:val="none" w:sz="0" w:space="0" w:color="auto"/>
                        <w:left w:val="none" w:sz="0" w:space="0" w:color="auto"/>
                        <w:bottom w:val="none" w:sz="0" w:space="0" w:color="auto"/>
                        <w:right w:val="none" w:sz="0" w:space="0" w:color="auto"/>
                      </w:divBdr>
                    </w:div>
                  </w:divsChild>
                </w:div>
                <w:div w:id="1114247813">
                  <w:marLeft w:val="0"/>
                  <w:marRight w:val="0"/>
                  <w:marTop w:val="0"/>
                  <w:marBottom w:val="0"/>
                  <w:divBdr>
                    <w:top w:val="none" w:sz="0" w:space="0" w:color="auto"/>
                    <w:left w:val="none" w:sz="0" w:space="0" w:color="auto"/>
                    <w:bottom w:val="none" w:sz="0" w:space="0" w:color="auto"/>
                    <w:right w:val="none" w:sz="0" w:space="0" w:color="auto"/>
                  </w:divBdr>
                  <w:divsChild>
                    <w:div w:id="1117020365">
                      <w:marLeft w:val="0"/>
                      <w:marRight w:val="0"/>
                      <w:marTop w:val="0"/>
                      <w:marBottom w:val="0"/>
                      <w:divBdr>
                        <w:top w:val="none" w:sz="0" w:space="0" w:color="auto"/>
                        <w:left w:val="none" w:sz="0" w:space="0" w:color="auto"/>
                        <w:bottom w:val="none" w:sz="0" w:space="0" w:color="auto"/>
                        <w:right w:val="none" w:sz="0" w:space="0" w:color="auto"/>
                      </w:divBdr>
                    </w:div>
                  </w:divsChild>
                </w:div>
                <w:div w:id="1172722018">
                  <w:marLeft w:val="0"/>
                  <w:marRight w:val="0"/>
                  <w:marTop w:val="0"/>
                  <w:marBottom w:val="0"/>
                  <w:divBdr>
                    <w:top w:val="none" w:sz="0" w:space="0" w:color="auto"/>
                    <w:left w:val="none" w:sz="0" w:space="0" w:color="auto"/>
                    <w:bottom w:val="none" w:sz="0" w:space="0" w:color="auto"/>
                    <w:right w:val="none" w:sz="0" w:space="0" w:color="auto"/>
                  </w:divBdr>
                  <w:divsChild>
                    <w:div w:id="920023860">
                      <w:marLeft w:val="0"/>
                      <w:marRight w:val="0"/>
                      <w:marTop w:val="0"/>
                      <w:marBottom w:val="0"/>
                      <w:divBdr>
                        <w:top w:val="none" w:sz="0" w:space="0" w:color="auto"/>
                        <w:left w:val="none" w:sz="0" w:space="0" w:color="auto"/>
                        <w:bottom w:val="none" w:sz="0" w:space="0" w:color="auto"/>
                        <w:right w:val="none" w:sz="0" w:space="0" w:color="auto"/>
                      </w:divBdr>
                    </w:div>
                  </w:divsChild>
                </w:div>
                <w:div w:id="1184439906">
                  <w:marLeft w:val="0"/>
                  <w:marRight w:val="0"/>
                  <w:marTop w:val="0"/>
                  <w:marBottom w:val="0"/>
                  <w:divBdr>
                    <w:top w:val="none" w:sz="0" w:space="0" w:color="auto"/>
                    <w:left w:val="none" w:sz="0" w:space="0" w:color="auto"/>
                    <w:bottom w:val="none" w:sz="0" w:space="0" w:color="auto"/>
                    <w:right w:val="none" w:sz="0" w:space="0" w:color="auto"/>
                  </w:divBdr>
                  <w:divsChild>
                    <w:div w:id="136800595">
                      <w:marLeft w:val="0"/>
                      <w:marRight w:val="0"/>
                      <w:marTop w:val="0"/>
                      <w:marBottom w:val="0"/>
                      <w:divBdr>
                        <w:top w:val="none" w:sz="0" w:space="0" w:color="auto"/>
                        <w:left w:val="none" w:sz="0" w:space="0" w:color="auto"/>
                        <w:bottom w:val="none" w:sz="0" w:space="0" w:color="auto"/>
                        <w:right w:val="none" w:sz="0" w:space="0" w:color="auto"/>
                      </w:divBdr>
                    </w:div>
                  </w:divsChild>
                </w:div>
                <w:div w:id="1190794711">
                  <w:marLeft w:val="0"/>
                  <w:marRight w:val="0"/>
                  <w:marTop w:val="0"/>
                  <w:marBottom w:val="0"/>
                  <w:divBdr>
                    <w:top w:val="none" w:sz="0" w:space="0" w:color="auto"/>
                    <w:left w:val="none" w:sz="0" w:space="0" w:color="auto"/>
                    <w:bottom w:val="none" w:sz="0" w:space="0" w:color="auto"/>
                    <w:right w:val="none" w:sz="0" w:space="0" w:color="auto"/>
                  </w:divBdr>
                  <w:divsChild>
                    <w:div w:id="1140419296">
                      <w:marLeft w:val="0"/>
                      <w:marRight w:val="0"/>
                      <w:marTop w:val="0"/>
                      <w:marBottom w:val="0"/>
                      <w:divBdr>
                        <w:top w:val="none" w:sz="0" w:space="0" w:color="auto"/>
                        <w:left w:val="none" w:sz="0" w:space="0" w:color="auto"/>
                        <w:bottom w:val="none" w:sz="0" w:space="0" w:color="auto"/>
                        <w:right w:val="none" w:sz="0" w:space="0" w:color="auto"/>
                      </w:divBdr>
                    </w:div>
                  </w:divsChild>
                </w:div>
                <w:div w:id="1193306341">
                  <w:marLeft w:val="0"/>
                  <w:marRight w:val="0"/>
                  <w:marTop w:val="0"/>
                  <w:marBottom w:val="0"/>
                  <w:divBdr>
                    <w:top w:val="none" w:sz="0" w:space="0" w:color="auto"/>
                    <w:left w:val="none" w:sz="0" w:space="0" w:color="auto"/>
                    <w:bottom w:val="none" w:sz="0" w:space="0" w:color="auto"/>
                    <w:right w:val="none" w:sz="0" w:space="0" w:color="auto"/>
                  </w:divBdr>
                  <w:divsChild>
                    <w:div w:id="557519501">
                      <w:marLeft w:val="0"/>
                      <w:marRight w:val="0"/>
                      <w:marTop w:val="0"/>
                      <w:marBottom w:val="0"/>
                      <w:divBdr>
                        <w:top w:val="none" w:sz="0" w:space="0" w:color="auto"/>
                        <w:left w:val="none" w:sz="0" w:space="0" w:color="auto"/>
                        <w:bottom w:val="none" w:sz="0" w:space="0" w:color="auto"/>
                        <w:right w:val="none" w:sz="0" w:space="0" w:color="auto"/>
                      </w:divBdr>
                    </w:div>
                  </w:divsChild>
                </w:div>
                <w:div w:id="1218202743">
                  <w:marLeft w:val="0"/>
                  <w:marRight w:val="0"/>
                  <w:marTop w:val="0"/>
                  <w:marBottom w:val="0"/>
                  <w:divBdr>
                    <w:top w:val="none" w:sz="0" w:space="0" w:color="auto"/>
                    <w:left w:val="none" w:sz="0" w:space="0" w:color="auto"/>
                    <w:bottom w:val="none" w:sz="0" w:space="0" w:color="auto"/>
                    <w:right w:val="none" w:sz="0" w:space="0" w:color="auto"/>
                  </w:divBdr>
                  <w:divsChild>
                    <w:div w:id="1758936584">
                      <w:marLeft w:val="0"/>
                      <w:marRight w:val="0"/>
                      <w:marTop w:val="0"/>
                      <w:marBottom w:val="0"/>
                      <w:divBdr>
                        <w:top w:val="none" w:sz="0" w:space="0" w:color="auto"/>
                        <w:left w:val="none" w:sz="0" w:space="0" w:color="auto"/>
                        <w:bottom w:val="none" w:sz="0" w:space="0" w:color="auto"/>
                        <w:right w:val="none" w:sz="0" w:space="0" w:color="auto"/>
                      </w:divBdr>
                    </w:div>
                  </w:divsChild>
                </w:div>
                <w:div w:id="1266772568">
                  <w:marLeft w:val="0"/>
                  <w:marRight w:val="0"/>
                  <w:marTop w:val="0"/>
                  <w:marBottom w:val="0"/>
                  <w:divBdr>
                    <w:top w:val="none" w:sz="0" w:space="0" w:color="auto"/>
                    <w:left w:val="none" w:sz="0" w:space="0" w:color="auto"/>
                    <w:bottom w:val="none" w:sz="0" w:space="0" w:color="auto"/>
                    <w:right w:val="none" w:sz="0" w:space="0" w:color="auto"/>
                  </w:divBdr>
                  <w:divsChild>
                    <w:div w:id="124812872">
                      <w:marLeft w:val="0"/>
                      <w:marRight w:val="0"/>
                      <w:marTop w:val="0"/>
                      <w:marBottom w:val="0"/>
                      <w:divBdr>
                        <w:top w:val="none" w:sz="0" w:space="0" w:color="auto"/>
                        <w:left w:val="none" w:sz="0" w:space="0" w:color="auto"/>
                        <w:bottom w:val="none" w:sz="0" w:space="0" w:color="auto"/>
                        <w:right w:val="none" w:sz="0" w:space="0" w:color="auto"/>
                      </w:divBdr>
                    </w:div>
                  </w:divsChild>
                </w:div>
                <w:div w:id="1272740421">
                  <w:marLeft w:val="0"/>
                  <w:marRight w:val="0"/>
                  <w:marTop w:val="0"/>
                  <w:marBottom w:val="0"/>
                  <w:divBdr>
                    <w:top w:val="none" w:sz="0" w:space="0" w:color="auto"/>
                    <w:left w:val="none" w:sz="0" w:space="0" w:color="auto"/>
                    <w:bottom w:val="none" w:sz="0" w:space="0" w:color="auto"/>
                    <w:right w:val="none" w:sz="0" w:space="0" w:color="auto"/>
                  </w:divBdr>
                  <w:divsChild>
                    <w:div w:id="962805306">
                      <w:marLeft w:val="0"/>
                      <w:marRight w:val="0"/>
                      <w:marTop w:val="0"/>
                      <w:marBottom w:val="0"/>
                      <w:divBdr>
                        <w:top w:val="none" w:sz="0" w:space="0" w:color="auto"/>
                        <w:left w:val="none" w:sz="0" w:space="0" w:color="auto"/>
                        <w:bottom w:val="none" w:sz="0" w:space="0" w:color="auto"/>
                        <w:right w:val="none" w:sz="0" w:space="0" w:color="auto"/>
                      </w:divBdr>
                    </w:div>
                  </w:divsChild>
                </w:div>
                <w:div w:id="1274560310">
                  <w:marLeft w:val="0"/>
                  <w:marRight w:val="0"/>
                  <w:marTop w:val="0"/>
                  <w:marBottom w:val="0"/>
                  <w:divBdr>
                    <w:top w:val="none" w:sz="0" w:space="0" w:color="auto"/>
                    <w:left w:val="none" w:sz="0" w:space="0" w:color="auto"/>
                    <w:bottom w:val="none" w:sz="0" w:space="0" w:color="auto"/>
                    <w:right w:val="none" w:sz="0" w:space="0" w:color="auto"/>
                  </w:divBdr>
                  <w:divsChild>
                    <w:div w:id="1346128953">
                      <w:marLeft w:val="0"/>
                      <w:marRight w:val="0"/>
                      <w:marTop w:val="0"/>
                      <w:marBottom w:val="0"/>
                      <w:divBdr>
                        <w:top w:val="none" w:sz="0" w:space="0" w:color="auto"/>
                        <w:left w:val="none" w:sz="0" w:space="0" w:color="auto"/>
                        <w:bottom w:val="none" w:sz="0" w:space="0" w:color="auto"/>
                        <w:right w:val="none" w:sz="0" w:space="0" w:color="auto"/>
                      </w:divBdr>
                    </w:div>
                  </w:divsChild>
                </w:div>
                <w:div w:id="1294216605">
                  <w:marLeft w:val="0"/>
                  <w:marRight w:val="0"/>
                  <w:marTop w:val="0"/>
                  <w:marBottom w:val="0"/>
                  <w:divBdr>
                    <w:top w:val="none" w:sz="0" w:space="0" w:color="auto"/>
                    <w:left w:val="none" w:sz="0" w:space="0" w:color="auto"/>
                    <w:bottom w:val="none" w:sz="0" w:space="0" w:color="auto"/>
                    <w:right w:val="none" w:sz="0" w:space="0" w:color="auto"/>
                  </w:divBdr>
                  <w:divsChild>
                    <w:div w:id="379406079">
                      <w:marLeft w:val="0"/>
                      <w:marRight w:val="0"/>
                      <w:marTop w:val="0"/>
                      <w:marBottom w:val="0"/>
                      <w:divBdr>
                        <w:top w:val="none" w:sz="0" w:space="0" w:color="auto"/>
                        <w:left w:val="none" w:sz="0" w:space="0" w:color="auto"/>
                        <w:bottom w:val="none" w:sz="0" w:space="0" w:color="auto"/>
                        <w:right w:val="none" w:sz="0" w:space="0" w:color="auto"/>
                      </w:divBdr>
                    </w:div>
                  </w:divsChild>
                </w:div>
                <w:div w:id="1296640796">
                  <w:marLeft w:val="0"/>
                  <w:marRight w:val="0"/>
                  <w:marTop w:val="0"/>
                  <w:marBottom w:val="0"/>
                  <w:divBdr>
                    <w:top w:val="none" w:sz="0" w:space="0" w:color="auto"/>
                    <w:left w:val="none" w:sz="0" w:space="0" w:color="auto"/>
                    <w:bottom w:val="none" w:sz="0" w:space="0" w:color="auto"/>
                    <w:right w:val="none" w:sz="0" w:space="0" w:color="auto"/>
                  </w:divBdr>
                  <w:divsChild>
                    <w:div w:id="1556358926">
                      <w:marLeft w:val="0"/>
                      <w:marRight w:val="0"/>
                      <w:marTop w:val="0"/>
                      <w:marBottom w:val="0"/>
                      <w:divBdr>
                        <w:top w:val="none" w:sz="0" w:space="0" w:color="auto"/>
                        <w:left w:val="none" w:sz="0" w:space="0" w:color="auto"/>
                        <w:bottom w:val="none" w:sz="0" w:space="0" w:color="auto"/>
                        <w:right w:val="none" w:sz="0" w:space="0" w:color="auto"/>
                      </w:divBdr>
                    </w:div>
                  </w:divsChild>
                </w:div>
                <w:div w:id="1317686931">
                  <w:marLeft w:val="0"/>
                  <w:marRight w:val="0"/>
                  <w:marTop w:val="0"/>
                  <w:marBottom w:val="0"/>
                  <w:divBdr>
                    <w:top w:val="none" w:sz="0" w:space="0" w:color="auto"/>
                    <w:left w:val="none" w:sz="0" w:space="0" w:color="auto"/>
                    <w:bottom w:val="none" w:sz="0" w:space="0" w:color="auto"/>
                    <w:right w:val="none" w:sz="0" w:space="0" w:color="auto"/>
                  </w:divBdr>
                  <w:divsChild>
                    <w:div w:id="1184368626">
                      <w:marLeft w:val="0"/>
                      <w:marRight w:val="0"/>
                      <w:marTop w:val="0"/>
                      <w:marBottom w:val="0"/>
                      <w:divBdr>
                        <w:top w:val="none" w:sz="0" w:space="0" w:color="auto"/>
                        <w:left w:val="none" w:sz="0" w:space="0" w:color="auto"/>
                        <w:bottom w:val="none" w:sz="0" w:space="0" w:color="auto"/>
                        <w:right w:val="none" w:sz="0" w:space="0" w:color="auto"/>
                      </w:divBdr>
                    </w:div>
                  </w:divsChild>
                </w:div>
                <w:div w:id="1320764488">
                  <w:marLeft w:val="0"/>
                  <w:marRight w:val="0"/>
                  <w:marTop w:val="0"/>
                  <w:marBottom w:val="0"/>
                  <w:divBdr>
                    <w:top w:val="none" w:sz="0" w:space="0" w:color="auto"/>
                    <w:left w:val="none" w:sz="0" w:space="0" w:color="auto"/>
                    <w:bottom w:val="none" w:sz="0" w:space="0" w:color="auto"/>
                    <w:right w:val="none" w:sz="0" w:space="0" w:color="auto"/>
                  </w:divBdr>
                  <w:divsChild>
                    <w:div w:id="126362308">
                      <w:marLeft w:val="0"/>
                      <w:marRight w:val="0"/>
                      <w:marTop w:val="0"/>
                      <w:marBottom w:val="0"/>
                      <w:divBdr>
                        <w:top w:val="none" w:sz="0" w:space="0" w:color="auto"/>
                        <w:left w:val="none" w:sz="0" w:space="0" w:color="auto"/>
                        <w:bottom w:val="none" w:sz="0" w:space="0" w:color="auto"/>
                        <w:right w:val="none" w:sz="0" w:space="0" w:color="auto"/>
                      </w:divBdr>
                    </w:div>
                  </w:divsChild>
                </w:div>
                <w:div w:id="1322000098">
                  <w:marLeft w:val="0"/>
                  <w:marRight w:val="0"/>
                  <w:marTop w:val="0"/>
                  <w:marBottom w:val="0"/>
                  <w:divBdr>
                    <w:top w:val="none" w:sz="0" w:space="0" w:color="auto"/>
                    <w:left w:val="none" w:sz="0" w:space="0" w:color="auto"/>
                    <w:bottom w:val="none" w:sz="0" w:space="0" w:color="auto"/>
                    <w:right w:val="none" w:sz="0" w:space="0" w:color="auto"/>
                  </w:divBdr>
                  <w:divsChild>
                    <w:div w:id="1542939090">
                      <w:marLeft w:val="0"/>
                      <w:marRight w:val="0"/>
                      <w:marTop w:val="0"/>
                      <w:marBottom w:val="0"/>
                      <w:divBdr>
                        <w:top w:val="none" w:sz="0" w:space="0" w:color="auto"/>
                        <w:left w:val="none" w:sz="0" w:space="0" w:color="auto"/>
                        <w:bottom w:val="none" w:sz="0" w:space="0" w:color="auto"/>
                        <w:right w:val="none" w:sz="0" w:space="0" w:color="auto"/>
                      </w:divBdr>
                    </w:div>
                  </w:divsChild>
                </w:div>
                <w:div w:id="1322736444">
                  <w:marLeft w:val="0"/>
                  <w:marRight w:val="0"/>
                  <w:marTop w:val="0"/>
                  <w:marBottom w:val="0"/>
                  <w:divBdr>
                    <w:top w:val="none" w:sz="0" w:space="0" w:color="auto"/>
                    <w:left w:val="none" w:sz="0" w:space="0" w:color="auto"/>
                    <w:bottom w:val="none" w:sz="0" w:space="0" w:color="auto"/>
                    <w:right w:val="none" w:sz="0" w:space="0" w:color="auto"/>
                  </w:divBdr>
                  <w:divsChild>
                    <w:div w:id="1170563147">
                      <w:marLeft w:val="0"/>
                      <w:marRight w:val="0"/>
                      <w:marTop w:val="0"/>
                      <w:marBottom w:val="0"/>
                      <w:divBdr>
                        <w:top w:val="none" w:sz="0" w:space="0" w:color="auto"/>
                        <w:left w:val="none" w:sz="0" w:space="0" w:color="auto"/>
                        <w:bottom w:val="none" w:sz="0" w:space="0" w:color="auto"/>
                        <w:right w:val="none" w:sz="0" w:space="0" w:color="auto"/>
                      </w:divBdr>
                    </w:div>
                  </w:divsChild>
                </w:div>
                <w:div w:id="1335304411">
                  <w:marLeft w:val="0"/>
                  <w:marRight w:val="0"/>
                  <w:marTop w:val="0"/>
                  <w:marBottom w:val="0"/>
                  <w:divBdr>
                    <w:top w:val="none" w:sz="0" w:space="0" w:color="auto"/>
                    <w:left w:val="none" w:sz="0" w:space="0" w:color="auto"/>
                    <w:bottom w:val="none" w:sz="0" w:space="0" w:color="auto"/>
                    <w:right w:val="none" w:sz="0" w:space="0" w:color="auto"/>
                  </w:divBdr>
                  <w:divsChild>
                    <w:div w:id="2055351037">
                      <w:marLeft w:val="0"/>
                      <w:marRight w:val="0"/>
                      <w:marTop w:val="0"/>
                      <w:marBottom w:val="0"/>
                      <w:divBdr>
                        <w:top w:val="none" w:sz="0" w:space="0" w:color="auto"/>
                        <w:left w:val="none" w:sz="0" w:space="0" w:color="auto"/>
                        <w:bottom w:val="none" w:sz="0" w:space="0" w:color="auto"/>
                        <w:right w:val="none" w:sz="0" w:space="0" w:color="auto"/>
                      </w:divBdr>
                    </w:div>
                  </w:divsChild>
                </w:div>
                <w:div w:id="1342509649">
                  <w:marLeft w:val="0"/>
                  <w:marRight w:val="0"/>
                  <w:marTop w:val="0"/>
                  <w:marBottom w:val="0"/>
                  <w:divBdr>
                    <w:top w:val="none" w:sz="0" w:space="0" w:color="auto"/>
                    <w:left w:val="none" w:sz="0" w:space="0" w:color="auto"/>
                    <w:bottom w:val="none" w:sz="0" w:space="0" w:color="auto"/>
                    <w:right w:val="none" w:sz="0" w:space="0" w:color="auto"/>
                  </w:divBdr>
                  <w:divsChild>
                    <w:div w:id="1780299411">
                      <w:marLeft w:val="0"/>
                      <w:marRight w:val="0"/>
                      <w:marTop w:val="0"/>
                      <w:marBottom w:val="0"/>
                      <w:divBdr>
                        <w:top w:val="none" w:sz="0" w:space="0" w:color="auto"/>
                        <w:left w:val="none" w:sz="0" w:space="0" w:color="auto"/>
                        <w:bottom w:val="none" w:sz="0" w:space="0" w:color="auto"/>
                        <w:right w:val="none" w:sz="0" w:space="0" w:color="auto"/>
                      </w:divBdr>
                    </w:div>
                  </w:divsChild>
                </w:div>
                <w:div w:id="1361973599">
                  <w:marLeft w:val="0"/>
                  <w:marRight w:val="0"/>
                  <w:marTop w:val="0"/>
                  <w:marBottom w:val="0"/>
                  <w:divBdr>
                    <w:top w:val="none" w:sz="0" w:space="0" w:color="auto"/>
                    <w:left w:val="none" w:sz="0" w:space="0" w:color="auto"/>
                    <w:bottom w:val="none" w:sz="0" w:space="0" w:color="auto"/>
                    <w:right w:val="none" w:sz="0" w:space="0" w:color="auto"/>
                  </w:divBdr>
                  <w:divsChild>
                    <w:div w:id="1871524453">
                      <w:marLeft w:val="0"/>
                      <w:marRight w:val="0"/>
                      <w:marTop w:val="0"/>
                      <w:marBottom w:val="0"/>
                      <w:divBdr>
                        <w:top w:val="none" w:sz="0" w:space="0" w:color="auto"/>
                        <w:left w:val="none" w:sz="0" w:space="0" w:color="auto"/>
                        <w:bottom w:val="none" w:sz="0" w:space="0" w:color="auto"/>
                        <w:right w:val="none" w:sz="0" w:space="0" w:color="auto"/>
                      </w:divBdr>
                    </w:div>
                  </w:divsChild>
                </w:div>
                <w:div w:id="1434133113">
                  <w:marLeft w:val="0"/>
                  <w:marRight w:val="0"/>
                  <w:marTop w:val="0"/>
                  <w:marBottom w:val="0"/>
                  <w:divBdr>
                    <w:top w:val="none" w:sz="0" w:space="0" w:color="auto"/>
                    <w:left w:val="none" w:sz="0" w:space="0" w:color="auto"/>
                    <w:bottom w:val="none" w:sz="0" w:space="0" w:color="auto"/>
                    <w:right w:val="none" w:sz="0" w:space="0" w:color="auto"/>
                  </w:divBdr>
                  <w:divsChild>
                    <w:div w:id="1425804938">
                      <w:marLeft w:val="0"/>
                      <w:marRight w:val="0"/>
                      <w:marTop w:val="0"/>
                      <w:marBottom w:val="0"/>
                      <w:divBdr>
                        <w:top w:val="none" w:sz="0" w:space="0" w:color="auto"/>
                        <w:left w:val="none" w:sz="0" w:space="0" w:color="auto"/>
                        <w:bottom w:val="none" w:sz="0" w:space="0" w:color="auto"/>
                        <w:right w:val="none" w:sz="0" w:space="0" w:color="auto"/>
                      </w:divBdr>
                    </w:div>
                  </w:divsChild>
                </w:div>
                <w:div w:id="1438406774">
                  <w:marLeft w:val="0"/>
                  <w:marRight w:val="0"/>
                  <w:marTop w:val="0"/>
                  <w:marBottom w:val="0"/>
                  <w:divBdr>
                    <w:top w:val="none" w:sz="0" w:space="0" w:color="auto"/>
                    <w:left w:val="none" w:sz="0" w:space="0" w:color="auto"/>
                    <w:bottom w:val="none" w:sz="0" w:space="0" w:color="auto"/>
                    <w:right w:val="none" w:sz="0" w:space="0" w:color="auto"/>
                  </w:divBdr>
                  <w:divsChild>
                    <w:div w:id="1509827151">
                      <w:marLeft w:val="0"/>
                      <w:marRight w:val="0"/>
                      <w:marTop w:val="0"/>
                      <w:marBottom w:val="0"/>
                      <w:divBdr>
                        <w:top w:val="none" w:sz="0" w:space="0" w:color="auto"/>
                        <w:left w:val="none" w:sz="0" w:space="0" w:color="auto"/>
                        <w:bottom w:val="none" w:sz="0" w:space="0" w:color="auto"/>
                        <w:right w:val="none" w:sz="0" w:space="0" w:color="auto"/>
                      </w:divBdr>
                    </w:div>
                  </w:divsChild>
                </w:div>
                <w:div w:id="1446775919">
                  <w:marLeft w:val="0"/>
                  <w:marRight w:val="0"/>
                  <w:marTop w:val="0"/>
                  <w:marBottom w:val="0"/>
                  <w:divBdr>
                    <w:top w:val="none" w:sz="0" w:space="0" w:color="auto"/>
                    <w:left w:val="none" w:sz="0" w:space="0" w:color="auto"/>
                    <w:bottom w:val="none" w:sz="0" w:space="0" w:color="auto"/>
                    <w:right w:val="none" w:sz="0" w:space="0" w:color="auto"/>
                  </w:divBdr>
                  <w:divsChild>
                    <w:div w:id="1137147018">
                      <w:marLeft w:val="0"/>
                      <w:marRight w:val="0"/>
                      <w:marTop w:val="0"/>
                      <w:marBottom w:val="0"/>
                      <w:divBdr>
                        <w:top w:val="none" w:sz="0" w:space="0" w:color="auto"/>
                        <w:left w:val="none" w:sz="0" w:space="0" w:color="auto"/>
                        <w:bottom w:val="none" w:sz="0" w:space="0" w:color="auto"/>
                        <w:right w:val="none" w:sz="0" w:space="0" w:color="auto"/>
                      </w:divBdr>
                    </w:div>
                  </w:divsChild>
                </w:div>
                <w:div w:id="1459107797">
                  <w:marLeft w:val="0"/>
                  <w:marRight w:val="0"/>
                  <w:marTop w:val="0"/>
                  <w:marBottom w:val="0"/>
                  <w:divBdr>
                    <w:top w:val="none" w:sz="0" w:space="0" w:color="auto"/>
                    <w:left w:val="none" w:sz="0" w:space="0" w:color="auto"/>
                    <w:bottom w:val="none" w:sz="0" w:space="0" w:color="auto"/>
                    <w:right w:val="none" w:sz="0" w:space="0" w:color="auto"/>
                  </w:divBdr>
                  <w:divsChild>
                    <w:div w:id="1203665387">
                      <w:marLeft w:val="0"/>
                      <w:marRight w:val="0"/>
                      <w:marTop w:val="0"/>
                      <w:marBottom w:val="0"/>
                      <w:divBdr>
                        <w:top w:val="none" w:sz="0" w:space="0" w:color="auto"/>
                        <w:left w:val="none" w:sz="0" w:space="0" w:color="auto"/>
                        <w:bottom w:val="none" w:sz="0" w:space="0" w:color="auto"/>
                        <w:right w:val="none" w:sz="0" w:space="0" w:color="auto"/>
                      </w:divBdr>
                    </w:div>
                  </w:divsChild>
                </w:div>
                <w:div w:id="1470853401">
                  <w:marLeft w:val="0"/>
                  <w:marRight w:val="0"/>
                  <w:marTop w:val="0"/>
                  <w:marBottom w:val="0"/>
                  <w:divBdr>
                    <w:top w:val="none" w:sz="0" w:space="0" w:color="auto"/>
                    <w:left w:val="none" w:sz="0" w:space="0" w:color="auto"/>
                    <w:bottom w:val="none" w:sz="0" w:space="0" w:color="auto"/>
                    <w:right w:val="none" w:sz="0" w:space="0" w:color="auto"/>
                  </w:divBdr>
                  <w:divsChild>
                    <w:div w:id="756286813">
                      <w:marLeft w:val="0"/>
                      <w:marRight w:val="0"/>
                      <w:marTop w:val="0"/>
                      <w:marBottom w:val="0"/>
                      <w:divBdr>
                        <w:top w:val="none" w:sz="0" w:space="0" w:color="auto"/>
                        <w:left w:val="none" w:sz="0" w:space="0" w:color="auto"/>
                        <w:bottom w:val="none" w:sz="0" w:space="0" w:color="auto"/>
                        <w:right w:val="none" w:sz="0" w:space="0" w:color="auto"/>
                      </w:divBdr>
                    </w:div>
                  </w:divsChild>
                </w:div>
                <w:div w:id="1485390334">
                  <w:marLeft w:val="0"/>
                  <w:marRight w:val="0"/>
                  <w:marTop w:val="0"/>
                  <w:marBottom w:val="0"/>
                  <w:divBdr>
                    <w:top w:val="none" w:sz="0" w:space="0" w:color="auto"/>
                    <w:left w:val="none" w:sz="0" w:space="0" w:color="auto"/>
                    <w:bottom w:val="none" w:sz="0" w:space="0" w:color="auto"/>
                    <w:right w:val="none" w:sz="0" w:space="0" w:color="auto"/>
                  </w:divBdr>
                  <w:divsChild>
                    <w:div w:id="1127313281">
                      <w:marLeft w:val="0"/>
                      <w:marRight w:val="0"/>
                      <w:marTop w:val="0"/>
                      <w:marBottom w:val="0"/>
                      <w:divBdr>
                        <w:top w:val="none" w:sz="0" w:space="0" w:color="auto"/>
                        <w:left w:val="none" w:sz="0" w:space="0" w:color="auto"/>
                        <w:bottom w:val="none" w:sz="0" w:space="0" w:color="auto"/>
                        <w:right w:val="none" w:sz="0" w:space="0" w:color="auto"/>
                      </w:divBdr>
                    </w:div>
                  </w:divsChild>
                </w:div>
                <w:div w:id="1486315962">
                  <w:marLeft w:val="0"/>
                  <w:marRight w:val="0"/>
                  <w:marTop w:val="0"/>
                  <w:marBottom w:val="0"/>
                  <w:divBdr>
                    <w:top w:val="none" w:sz="0" w:space="0" w:color="auto"/>
                    <w:left w:val="none" w:sz="0" w:space="0" w:color="auto"/>
                    <w:bottom w:val="none" w:sz="0" w:space="0" w:color="auto"/>
                    <w:right w:val="none" w:sz="0" w:space="0" w:color="auto"/>
                  </w:divBdr>
                  <w:divsChild>
                    <w:div w:id="1133331333">
                      <w:marLeft w:val="0"/>
                      <w:marRight w:val="0"/>
                      <w:marTop w:val="0"/>
                      <w:marBottom w:val="0"/>
                      <w:divBdr>
                        <w:top w:val="none" w:sz="0" w:space="0" w:color="auto"/>
                        <w:left w:val="none" w:sz="0" w:space="0" w:color="auto"/>
                        <w:bottom w:val="none" w:sz="0" w:space="0" w:color="auto"/>
                        <w:right w:val="none" w:sz="0" w:space="0" w:color="auto"/>
                      </w:divBdr>
                    </w:div>
                  </w:divsChild>
                </w:div>
                <w:div w:id="1513373288">
                  <w:marLeft w:val="0"/>
                  <w:marRight w:val="0"/>
                  <w:marTop w:val="0"/>
                  <w:marBottom w:val="0"/>
                  <w:divBdr>
                    <w:top w:val="none" w:sz="0" w:space="0" w:color="auto"/>
                    <w:left w:val="none" w:sz="0" w:space="0" w:color="auto"/>
                    <w:bottom w:val="none" w:sz="0" w:space="0" w:color="auto"/>
                    <w:right w:val="none" w:sz="0" w:space="0" w:color="auto"/>
                  </w:divBdr>
                  <w:divsChild>
                    <w:div w:id="806169615">
                      <w:marLeft w:val="0"/>
                      <w:marRight w:val="0"/>
                      <w:marTop w:val="0"/>
                      <w:marBottom w:val="0"/>
                      <w:divBdr>
                        <w:top w:val="none" w:sz="0" w:space="0" w:color="auto"/>
                        <w:left w:val="none" w:sz="0" w:space="0" w:color="auto"/>
                        <w:bottom w:val="none" w:sz="0" w:space="0" w:color="auto"/>
                        <w:right w:val="none" w:sz="0" w:space="0" w:color="auto"/>
                      </w:divBdr>
                    </w:div>
                    <w:div w:id="1571770508">
                      <w:marLeft w:val="0"/>
                      <w:marRight w:val="0"/>
                      <w:marTop w:val="0"/>
                      <w:marBottom w:val="0"/>
                      <w:divBdr>
                        <w:top w:val="none" w:sz="0" w:space="0" w:color="auto"/>
                        <w:left w:val="none" w:sz="0" w:space="0" w:color="auto"/>
                        <w:bottom w:val="none" w:sz="0" w:space="0" w:color="auto"/>
                        <w:right w:val="none" w:sz="0" w:space="0" w:color="auto"/>
                      </w:divBdr>
                    </w:div>
                    <w:div w:id="2078017128">
                      <w:marLeft w:val="0"/>
                      <w:marRight w:val="0"/>
                      <w:marTop w:val="0"/>
                      <w:marBottom w:val="0"/>
                      <w:divBdr>
                        <w:top w:val="none" w:sz="0" w:space="0" w:color="auto"/>
                        <w:left w:val="none" w:sz="0" w:space="0" w:color="auto"/>
                        <w:bottom w:val="none" w:sz="0" w:space="0" w:color="auto"/>
                        <w:right w:val="none" w:sz="0" w:space="0" w:color="auto"/>
                      </w:divBdr>
                    </w:div>
                  </w:divsChild>
                </w:div>
                <w:div w:id="1530222723">
                  <w:marLeft w:val="0"/>
                  <w:marRight w:val="0"/>
                  <w:marTop w:val="0"/>
                  <w:marBottom w:val="0"/>
                  <w:divBdr>
                    <w:top w:val="none" w:sz="0" w:space="0" w:color="auto"/>
                    <w:left w:val="none" w:sz="0" w:space="0" w:color="auto"/>
                    <w:bottom w:val="none" w:sz="0" w:space="0" w:color="auto"/>
                    <w:right w:val="none" w:sz="0" w:space="0" w:color="auto"/>
                  </w:divBdr>
                  <w:divsChild>
                    <w:div w:id="344676744">
                      <w:marLeft w:val="0"/>
                      <w:marRight w:val="0"/>
                      <w:marTop w:val="0"/>
                      <w:marBottom w:val="0"/>
                      <w:divBdr>
                        <w:top w:val="none" w:sz="0" w:space="0" w:color="auto"/>
                        <w:left w:val="none" w:sz="0" w:space="0" w:color="auto"/>
                        <w:bottom w:val="none" w:sz="0" w:space="0" w:color="auto"/>
                        <w:right w:val="none" w:sz="0" w:space="0" w:color="auto"/>
                      </w:divBdr>
                    </w:div>
                  </w:divsChild>
                </w:div>
                <w:div w:id="1538079173">
                  <w:marLeft w:val="0"/>
                  <w:marRight w:val="0"/>
                  <w:marTop w:val="0"/>
                  <w:marBottom w:val="0"/>
                  <w:divBdr>
                    <w:top w:val="none" w:sz="0" w:space="0" w:color="auto"/>
                    <w:left w:val="none" w:sz="0" w:space="0" w:color="auto"/>
                    <w:bottom w:val="none" w:sz="0" w:space="0" w:color="auto"/>
                    <w:right w:val="none" w:sz="0" w:space="0" w:color="auto"/>
                  </w:divBdr>
                  <w:divsChild>
                    <w:div w:id="484593598">
                      <w:marLeft w:val="0"/>
                      <w:marRight w:val="0"/>
                      <w:marTop w:val="0"/>
                      <w:marBottom w:val="0"/>
                      <w:divBdr>
                        <w:top w:val="none" w:sz="0" w:space="0" w:color="auto"/>
                        <w:left w:val="none" w:sz="0" w:space="0" w:color="auto"/>
                        <w:bottom w:val="none" w:sz="0" w:space="0" w:color="auto"/>
                        <w:right w:val="none" w:sz="0" w:space="0" w:color="auto"/>
                      </w:divBdr>
                    </w:div>
                  </w:divsChild>
                </w:div>
                <w:div w:id="1550414500">
                  <w:marLeft w:val="0"/>
                  <w:marRight w:val="0"/>
                  <w:marTop w:val="0"/>
                  <w:marBottom w:val="0"/>
                  <w:divBdr>
                    <w:top w:val="none" w:sz="0" w:space="0" w:color="auto"/>
                    <w:left w:val="none" w:sz="0" w:space="0" w:color="auto"/>
                    <w:bottom w:val="none" w:sz="0" w:space="0" w:color="auto"/>
                    <w:right w:val="none" w:sz="0" w:space="0" w:color="auto"/>
                  </w:divBdr>
                  <w:divsChild>
                    <w:div w:id="78596624">
                      <w:marLeft w:val="0"/>
                      <w:marRight w:val="0"/>
                      <w:marTop w:val="0"/>
                      <w:marBottom w:val="0"/>
                      <w:divBdr>
                        <w:top w:val="none" w:sz="0" w:space="0" w:color="auto"/>
                        <w:left w:val="none" w:sz="0" w:space="0" w:color="auto"/>
                        <w:bottom w:val="none" w:sz="0" w:space="0" w:color="auto"/>
                        <w:right w:val="none" w:sz="0" w:space="0" w:color="auto"/>
                      </w:divBdr>
                    </w:div>
                  </w:divsChild>
                </w:div>
                <w:div w:id="1557426599">
                  <w:marLeft w:val="0"/>
                  <w:marRight w:val="0"/>
                  <w:marTop w:val="0"/>
                  <w:marBottom w:val="0"/>
                  <w:divBdr>
                    <w:top w:val="none" w:sz="0" w:space="0" w:color="auto"/>
                    <w:left w:val="none" w:sz="0" w:space="0" w:color="auto"/>
                    <w:bottom w:val="none" w:sz="0" w:space="0" w:color="auto"/>
                    <w:right w:val="none" w:sz="0" w:space="0" w:color="auto"/>
                  </w:divBdr>
                  <w:divsChild>
                    <w:div w:id="1819880063">
                      <w:marLeft w:val="0"/>
                      <w:marRight w:val="0"/>
                      <w:marTop w:val="0"/>
                      <w:marBottom w:val="0"/>
                      <w:divBdr>
                        <w:top w:val="none" w:sz="0" w:space="0" w:color="auto"/>
                        <w:left w:val="none" w:sz="0" w:space="0" w:color="auto"/>
                        <w:bottom w:val="none" w:sz="0" w:space="0" w:color="auto"/>
                        <w:right w:val="none" w:sz="0" w:space="0" w:color="auto"/>
                      </w:divBdr>
                    </w:div>
                  </w:divsChild>
                </w:div>
                <w:div w:id="1566796084">
                  <w:marLeft w:val="0"/>
                  <w:marRight w:val="0"/>
                  <w:marTop w:val="0"/>
                  <w:marBottom w:val="0"/>
                  <w:divBdr>
                    <w:top w:val="none" w:sz="0" w:space="0" w:color="auto"/>
                    <w:left w:val="none" w:sz="0" w:space="0" w:color="auto"/>
                    <w:bottom w:val="none" w:sz="0" w:space="0" w:color="auto"/>
                    <w:right w:val="none" w:sz="0" w:space="0" w:color="auto"/>
                  </w:divBdr>
                  <w:divsChild>
                    <w:div w:id="463085729">
                      <w:marLeft w:val="0"/>
                      <w:marRight w:val="0"/>
                      <w:marTop w:val="0"/>
                      <w:marBottom w:val="0"/>
                      <w:divBdr>
                        <w:top w:val="none" w:sz="0" w:space="0" w:color="auto"/>
                        <w:left w:val="none" w:sz="0" w:space="0" w:color="auto"/>
                        <w:bottom w:val="none" w:sz="0" w:space="0" w:color="auto"/>
                        <w:right w:val="none" w:sz="0" w:space="0" w:color="auto"/>
                      </w:divBdr>
                    </w:div>
                  </w:divsChild>
                </w:div>
                <w:div w:id="1566990344">
                  <w:marLeft w:val="0"/>
                  <w:marRight w:val="0"/>
                  <w:marTop w:val="0"/>
                  <w:marBottom w:val="0"/>
                  <w:divBdr>
                    <w:top w:val="none" w:sz="0" w:space="0" w:color="auto"/>
                    <w:left w:val="none" w:sz="0" w:space="0" w:color="auto"/>
                    <w:bottom w:val="none" w:sz="0" w:space="0" w:color="auto"/>
                    <w:right w:val="none" w:sz="0" w:space="0" w:color="auto"/>
                  </w:divBdr>
                  <w:divsChild>
                    <w:div w:id="571433596">
                      <w:marLeft w:val="0"/>
                      <w:marRight w:val="0"/>
                      <w:marTop w:val="0"/>
                      <w:marBottom w:val="0"/>
                      <w:divBdr>
                        <w:top w:val="none" w:sz="0" w:space="0" w:color="auto"/>
                        <w:left w:val="none" w:sz="0" w:space="0" w:color="auto"/>
                        <w:bottom w:val="none" w:sz="0" w:space="0" w:color="auto"/>
                        <w:right w:val="none" w:sz="0" w:space="0" w:color="auto"/>
                      </w:divBdr>
                    </w:div>
                  </w:divsChild>
                </w:div>
                <w:div w:id="1570649095">
                  <w:marLeft w:val="0"/>
                  <w:marRight w:val="0"/>
                  <w:marTop w:val="0"/>
                  <w:marBottom w:val="0"/>
                  <w:divBdr>
                    <w:top w:val="none" w:sz="0" w:space="0" w:color="auto"/>
                    <w:left w:val="none" w:sz="0" w:space="0" w:color="auto"/>
                    <w:bottom w:val="none" w:sz="0" w:space="0" w:color="auto"/>
                    <w:right w:val="none" w:sz="0" w:space="0" w:color="auto"/>
                  </w:divBdr>
                  <w:divsChild>
                    <w:div w:id="90974006">
                      <w:marLeft w:val="0"/>
                      <w:marRight w:val="0"/>
                      <w:marTop w:val="0"/>
                      <w:marBottom w:val="0"/>
                      <w:divBdr>
                        <w:top w:val="none" w:sz="0" w:space="0" w:color="auto"/>
                        <w:left w:val="none" w:sz="0" w:space="0" w:color="auto"/>
                        <w:bottom w:val="none" w:sz="0" w:space="0" w:color="auto"/>
                        <w:right w:val="none" w:sz="0" w:space="0" w:color="auto"/>
                      </w:divBdr>
                    </w:div>
                  </w:divsChild>
                </w:div>
                <w:div w:id="1577936425">
                  <w:marLeft w:val="0"/>
                  <w:marRight w:val="0"/>
                  <w:marTop w:val="0"/>
                  <w:marBottom w:val="0"/>
                  <w:divBdr>
                    <w:top w:val="none" w:sz="0" w:space="0" w:color="auto"/>
                    <w:left w:val="none" w:sz="0" w:space="0" w:color="auto"/>
                    <w:bottom w:val="none" w:sz="0" w:space="0" w:color="auto"/>
                    <w:right w:val="none" w:sz="0" w:space="0" w:color="auto"/>
                  </w:divBdr>
                  <w:divsChild>
                    <w:div w:id="489180328">
                      <w:marLeft w:val="0"/>
                      <w:marRight w:val="0"/>
                      <w:marTop w:val="0"/>
                      <w:marBottom w:val="0"/>
                      <w:divBdr>
                        <w:top w:val="none" w:sz="0" w:space="0" w:color="auto"/>
                        <w:left w:val="none" w:sz="0" w:space="0" w:color="auto"/>
                        <w:bottom w:val="none" w:sz="0" w:space="0" w:color="auto"/>
                        <w:right w:val="none" w:sz="0" w:space="0" w:color="auto"/>
                      </w:divBdr>
                    </w:div>
                  </w:divsChild>
                </w:div>
                <w:div w:id="1587765211">
                  <w:marLeft w:val="0"/>
                  <w:marRight w:val="0"/>
                  <w:marTop w:val="0"/>
                  <w:marBottom w:val="0"/>
                  <w:divBdr>
                    <w:top w:val="none" w:sz="0" w:space="0" w:color="auto"/>
                    <w:left w:val="none" w:sz="0" w:space="0" w:color="auto"/>
                    <w:bottom w:val="none" w:sz="0" w:space="0" w:color="auto"/>
                    <w:right w:val="none" w:sz="0" w:space="0" w:color="auto"/>
                  </w:divBdr>
                  <w:divsChild>
                    <w:div w:id="1064909480">
                      <w:marLeft w:val="0"/>
                      <w:marRight w:val="0"/>
                      <w:marTop w:val="0"/>
                      <w:marBottom w:val="0"/>
                      <w:divBdr>
                        <w:top w:val="none" w:sz="0" w:space="0" w:color="auto"/>
                        <w:left w:val="none" w:sz="0" w:space="0" w:color="auto"/>
                        <w:bottom w:val="none" w:sz="0" w:space="0" w:color="auto"/>
                        <w:right w:val="none" w:sz="0" w:space="0" w:color="auto"/>
                      </w:divBdr>
                    </w:div>
                  </w:divsChild>
                </w:div>
                <w:div w:id="1604799088">
                  <w:marLeft w:val="0"/>
                  <w:marRight w:val="0"/>
                  <w:marTop w:val="0"/>
                  <w:marBottom w:val="0"/>
                  <w:divBdr>
                    <w:top w:val="none" w:sz="0" w:space="0" w:color="auto"/>
                    <w:left w:val="none" w:sz="0" w:space="0" w:color="auto"/>
                    <w:bottom w:val="none" w:sz="0" w:space="0" w:color="auto"/>
                    <w:right w:val="none" w:sz="0" w:space="0" w:color="auto"/>
                  </w:divBdr>
                  <w:divsChild>
                    <w:div w:id="1716924418">
                      <w:marLeft w:val="0"/>
                      <w:marRight w:val="0"/>
                      <w:marTop w:val="0"/>
                      <w:marBottom w:val="0"/>
                      <w:divBdr>
                        <w:top w:val="none" w:sz="0" w:space="0" w:color="auto"/>
                        <w:left w:val="none" w:sz="0" w:space="0" w:color="auto"/>
                        <w:bottom w:val="none" w:sz="0" w:space="0" w:color="auto"/>
                        <w:right w:val="none" w:sz="0" w:space="0" w:color="auto"/>
                      </w:divBdr>
                    </w:div>
                  </w:divsChild>
                </w:div>
                <w:div w:id="1627002923">
                  <w:marLeft w:val="0"/>
                  <w:marRight w:val="0"/>
                  <w:marTop w:val="0"/>
                  <w:marBottom w:val="0"/>
                  <w:divBdr>
                    <w:top w:val="none" w:sz="0" w:space="0" w:color="auto"/>
                    <w:left w:val="none" w:sz="0" w:space="0" w:color="auto"/>
                    <w:bottom w:val="none" w:sz="0" w:space="0" w:color="auto"/>
                    <w:right w:val="none" w:sz="0" w:space="0" w:color="auto"/>
                  </w:divBdr>
                  <w:divsChild>
                    <w:div w:id="1148550182">
                      <w:marLeft w:val="0"/>
                      <w:marRight w:val="0"/>
                      <w:marTop w:val="0"/>
                      <w:marBottom w:val="0"/>
                      <w:divBdr>
                        <w:top w:val="none" w:sz="0" w:space="0" w:color="auto"/>
                        <w:left w:val="none" w:sz="0" w:space="0" w:color="auto"/>
                        <w:bottom w:val="none" w:sz="0" w:space="0" w:color="auto"/>
                        <w:right w:val="none" w:sz="0" w:space="0" w:color="auto"/>
                      </w:divBdr>
                    </w:div>
                  </w:divsChild>
                </w:div>
                <w:div w:id="1631743985">
                  <w:marLeft w:val="0"/>
                  <w:marRight w:val="0"/>
                  <w:marTop w:val="0"/>
                  <w:marBottom w:val="0"/>
                  <w:divBdr>
                    <w:top w:val="none" w:sz="0" w:space="0" w:color="auto"/>
                    <w:left w:val="none" w:sz="0" w:space="0" w:color="auto"/>
                    <w:bottom w:val="none" w:sz="0" w:space="0" w:color="auto"/>
                    <w:right w:val="none" w:sz="0" w:space="0" w:color="auto"/>
                  </w:divBdr>
                  <w:divsChild>
                    <w:div w:id="628051762">
                      <w:marLeft w:val="0"/>
                      <w:marRight w:val="0"/>
                      <w:marTop w:val="0"/>
                      <w:marBottom w:val="0"/>
                      <w:divBdr>
                        <w:top w:val="none" w:sz="0" w:space="0" w:color="auto"/>
                        <w:left w:val="none" w:sz="0" w:space="0" w:color="auto"/>
                        <w:bottom w:val="none" w:sz="0" w:space="0" w:color="auto"/>
                        <w:right w:val="none" w:sz="0" w:space="0" w:color="auto"/>
                      </w:divBdr>
                    </w:div>
                  </w:divsChild>
                </w:div>
                <w:div w:id="1635135684">
                  <w:marLeft w:val="0"/>
                  <w:marRight w:val="0"/>
                  <w:marTop w:val="0"/>
                  <w:marBottom w:val="0"/>
                  <w:divBdr>
                    <w:top w:val="none" w:sz="0" w:space="0" w:color="auto"/>
                    <w:left w:val="none" w:sz="0" w:space="0" w:color="auto"/>
                    <w:bottom w:val="none" w:sz="0" w:space="0" w:color="auto"/>
                    <w:right w:val="none" w:sz="0" w:space="0" w:color="auto"/>
                  </w:divBdr>
                  <w:divsChild>
                    <w:div w:id="386034404">
                      <w:marLeft w:val="0"/>
                      <w:marRight w:val="0"/>
                      <w:marTop w:val="0"/>
                      <w:marBottom w:val="0"/>
                      <w:divBdr>
                        <w:top w:val="none" w:sz="0" w:space="0" w:color="auto"/>
                        <w:left w:val="none" w:sz="0" w:space="0" w:color="auto"/>
                        <w:bottom w:val="none" w:sz="0" w:space="0" w:color="auto"/>
                        <w:right w:val="none" w:sz="0" w:space="0" w:color="auto"/>
                      </w:divBdr>
                    </w:div>
                  </w:divsChild>
                </w:div>
                <w:div w:id="1646855551">
                  <w:marLeft w:val="0"/>
                  <w:marRight w:val="0"/>
                  <w:marTop w:val="0"/>
                  <w:marBottom w:val="0"/>
                  <w:divBdr>
                    <w:top w:val="none" w:sz="0" w:space="0" w:color="auto"/>
                    <w:left w:val="none" w:sz="0" w:space="0" w:color="auto"/>
                    <w:bottom w:val="none" w:sz="0" w:space="0" w:color="auto"/>
                    <w:right w:val="none" w:sz="0" w:space="0" w:color="auto"/>
                  </w:divBdr>
                  <w:divsChild>
                    <w:div w:id="420612606">
                      <w:marLeft w:val="0"/>
                      <w:marRight w:val="0"/>
                      <w:marTop w:val="0"/>
                      <w:marBottom w:val="0"/>
                      <w:divBdr>
                        <w:top w:val="none" w:sz="0" w:space="0" w:color="auto"/>
                        <w:left w:val="none" w:sz="0" w:space="0" w:color="auto"/>
                        <w:bottom w:val="none" w:sz="0" w:space="0" w:color="auto"/>
                        <w:right w:val="none" w:sz="0" w:space="0" w:color="auto"/>
                      </w:divBdr>
                    </w:div>
                  </w:divsChild>
                </w:div>
                <w:div w:id="1672827486">
                  <w:marLeft w:val="0"/>
                  <w:marRight w:val="0"/>
                  <w:marTop w:val="0"/>
                  <w:marBottom w:val="0"/>
                  <w:divBdr>
                    <w:top w:val="none" w:sz="0" w:space="0" w:color="auto"/>
                    <w:left w:val="none" w:sz="0" w:space="0" w:color="auto"/>
                    <w:bottom w:val="none" w:sz="0" w:space="0" w:color="auto"/>
                    <w:right w:val="none" w:sz="0" w:space="0" w:color="auto"/>
                  </w:divBdr>
                  <w:divsChild>
                    <w:div w:id="1352953403">
                      <w:marLeft w:val="0"/>
                      <w:marRight w:val="0"/>
                      <w:marTop w:val="0"/>
                      <w:marBottom w:val="0"/>
                      <w:divBdr>
                        <w:top w:val="none" w:sz="0" w:space="0" w:color="auto"/>
                        <w:left w:val="none" w:sz="0" w:space="0" w:color="auto"/>
                        <w:bottom w:val="none" w:sz="0" w:space="0" w:color="auto"/>
                        <w:right w:val="none" w:sz="0" w:space="0" w:color="auto"/>
                      </w:divBdr>
                    </w:div>
                  </w:divsChild>
                </w:div>
                <w:div w:id="1682732870">
                  <w:marLeft w:val="0"/>
                  <w:marRight w:val="0"/>
                  <w:marTop w:val="0"/>
                  <w:marBottom w:val="0"/>
                  <w:divBdr>
                    <w:top w:val="none" w:sz="0" w:space="0" w:color="auto"/>
                    <w:left w:val="none" w:sz="0" w:space="0" w:color="auto"/>
                    <w:bottom w:val="none" w:sz="0" w:space="0" w:color="auto"/>
                    <w:right w:val="none" w:sz="0" w:space="0" w:color="auto"/>
                  </w:divBdr>
                  <w:divsChild>
                    <w:div w:id="1433084266">
                      <w:marLeft w:val="0"/>
                      <w:marRight w:val="0"/>
                      <w:marTop w:val="0"/>
                      <w:marBottom w:val="0"/>
                      <w:divBdr>
                        <w:top w:val="none" w:sz="0" w:space="0" w:color="auto"/>
                        <w:left w:val="none" w:sz="0" w:space="0" w:color="auto"/>
                        <w:bottom w:val="none" w:sz="0" w:space="0" w:color="auto"/>
                        <w:right w:val="none" w:sz="0" w:space="0" w:color="auto"/>
                      </w:divBdr>
                    </w:div>
                  </w:divsChild>
                </w:div>
                <w:div w:id="1688406438">
                  <w:marLeft w:val="0"/>
                  <w:marRight w:val="0"/>
                  <w:marTop w:val="0"/>
                  <w:marBottom w:val="0"/>
                  <w:divBdr>
                    <w:top w:val="none" w:sz="0" w:space="0" w:color="auto"/>
                    <w:left w:val="none" w:sz="0" w:space="0" w:color="auto"/>
                    <w:bottom w:val="none" w:sz="0" w:space="0" w:color="auto"/>
                    <w:right w:val="none" w:sz="0" w:space="0" w:color="auto"/>
                  </w:divBdr>
                  <w:divsChild>
                    <w:div w:id="1870216052">
                      <w:marLeft w:val="0"/>
                      <w:marRight w:val="0"/>
                      <w:marTop w:val="0"/>
                      <w:marBottom w:val="0"/>
                      <w:divBdr>
                        <w:top w:val="none" w:sz="0" w:space="0" w:color="auto"/>
                        <w:left w:val="none" w:sz="0" w:space="0" w:color="auto"/>
                        <w:bottom w:val="none" w:sz="0" w:space="0" w:color="auto"/>
                        <w:right w:val="none" w:sz="0" w:space="0" w:color="auto"/>
                      </w:divBdr>
                    </w:div>
                  </w:divsChild>
                </w:div>
                <w:div w:id="1698461849">
                  <w:marLeft w:val="0"/>
                  <w:marRight w:val="0"/>
                  <w:marTop w:val="0"/>
                  <w:marBottom w:val="0"/>
                  <w:divBdr>
                    <w:top w:val="none" w:sz="0" w:space="0" w:color="auto"/>
                    <w:left w:val="none" w:sz="0" w:space="0" w:color="auto"/>
                    <w:bottom w:val="none" w:sz="0" w:space="0" w:color="auto"/>
                    <w:right w:val="none" w:sz="0" w:space="0" w:color="auto"/>
                  </w:divBdr>
                  <w:divsChild>
                    <w:div w:id="1340504375">
                      <w:marLeft w:val="0"/>
                      <w:marRight w:val="0"/>
                      <w:marTop w:val="0"/>
                      <w:marBottom w:val="0"/>
                      <w:divBdr>
                        <w:top w:val="none" w:sz="0" w:space="0" w:color="auto"/>
                        <w:left w:val="none" w:sz="0" w:space="0" w:color="auto"/>
                        <w:bottom w:val="none" w:sz="0" w:space="0" w:color="auto"/>
                        <w:right w:val="none" w:sz="0" w:space="0" w:color="auto"/>
                      </w:divBdr>
                    </w:div>
                  </w:divsChild>
                </w:div>
                <w:div w:id="1757625195">
                  <w:marLeft w:val="0"/>
                  <w:marRight w:val="0"/>
                  <w:marTop w:val="0"/>
                  <w:marBottom w:val="0"/>
                  <w:divBdr>
                    <w:top w:val="none" w:sz="0" w:space="0" w:color="auto"/>
                    <w:left w:val="none" w:sz="0" w:space="0" w:color="auto"/>
                    <w:bottom w:val="none" w:sz="0" w:space="0" w:color="auto"/>
                    <w:right w:val="none" w:sz="0" w:space="0" w:color="auto"/>
                  </w:divBdr>
                  <w:divsChild>
                    <w:div w:id="2134903504">
                      <w:marLeft w:val="0"/>
                      <w:marRight w:val="0"/>
                      <w:marTop w:val="0"/>
                      <w:marBottom w:val="0"/>
                      <w:divBdr>
                        <w:top w:val="none" w:sz="0" w:space="0" w:color="auto"/>
                        <w:left w:val="none" w:sz="0" w:space="0" w:color="auto"/>
                        <w:bottom w:val="none" w:sz="0" w:space="0" w:color="auto"/>
                        <w:right w:val="none" w:sz="0" w:space="0" w:color="auto"/>
                      </w:divBdr>
                    </w:div>
                  </w:divsChild>
                </w:div>
                <w:div w:id="1758479355">
                  <w:marLeft w:val="0"/>
                  <w:marRight w:val="0"/>
                  <w:marTop w:val="0"/>
                  <w:marBottom w:val="0"/>
                  <w:divBdr>
                    <w:top w:val="none" w:sz="0" w:space="0" w:color="auto"/>
                    <w:left w:val="none" w:sz="0" w:space="0" w:color="auto"/>
                    <w:bottom w:val="none" w:sz="0" w:space="0" w:color="auto"/>
                    <w:right w:val="none" w:sz="0" w:space="0" w:color="auto"/>
                  </w:divBdr>
                  <w:divsChild>
                    <w:div w:id="78446615">
                      <w:marLeft w:val="0"/>
                      <w:marRight w:val="0"/>
                      <w:marTop w:val="0"/>
                      <w:marBottom w:val="0"/>
                      <w:divBdr>
                        <w:top w:val="none" w:sz="0" w:space="0" w:color="auto"/>
                        <w:left w:val="none" w:sz="0" w:space="0" w:color="auto"/>
                        <w:bottom w:val="none" w:sz="0" w:space="0" w:color="auto"/>
                        <w:right w:val="none" w:sz="0" w:space="0" w:color="auto"/>
                      </w:divBdr>
                    </w:div>
                  </w:divsChild>
                </w:div>
                <w:div w:id="1764764393">
                  <w:marLeft w:val="0"/>
                  <w:marRight w:val="0"/>
                  <w:marTop w:val="0"/>
                  <w:marBottom w:val="0"/>
                  <w:divBdr>
                    <w:top w:val="none" w:sz="0" w:space="0" w:color="auto"/>
                    <w:left w:val="none" w:sz="0" w:space="0" w:color="auto"/>
                    <w:bottom w:val="none" w:sz="0" w:space="0" w:color="auto"/>
                    <w:right w:val="none" w:sz="0" w:space="0" w:color="auto"/>
                  </w:divBdr>
                  <w:divsChild>
                    <w:div w:id="605692136">
                      <w:marLeft w:val="0"/>
                      <w:marRight w:val="0"/>
                      <w:marTop w:val="0"/>
                      <w:marBottom w:val="0"/>
                      <w:divBdr>
                        <w:top w:val="none" w:sz="0" w:space="0" w:color="auto"/>
                        <w:left w:val="none" w:sz="0" w:space="0" w:color="auto"/>
                        <w:bottom w:val="none" w:sz="0" w:space="0" w:color="auto"/>
                        <w:right w:val="none" w:sz="0" w:space="0" w:color="auto"/>
                      </w:divBdr>
                    </w:div>
                  </w:divsChild>
                </w:div>
                <w:div w:id="1767312259">
                  <w:marLeft w:val="0"/>
                  <w:marRight w:val="0"/>
                  <w:marTop w:val="0"/>
                  <w:marBottom w:val="0"/>
                  <w:divBdr>
                    <w:top w:val="none" w:sz="0" w:space="0" w:color="auto"/>
                    <w:left w:val="none" w:sz="0" w:space="0" w:color="auto"/>
                    <w:bottom w:val="none" w:sz="0" w:space="0" w:color="auto"/>
                    <w:right w:val="none" w:sz="0" w:space="0" w:color="auto"/>
                  </w:divBdr>
                  <w:divsChild>
                    <w:div w:id="1016737558">
                      <w:marLeft w:val="0"/>
                      <w:marRight w:val="0"/>
                      <w:marTop w:val="0"/>
                      <w:marBottom w:val="0"/>
                      <w:divBdr>
                        <w:top w:val="none" w:sz="0" w:space="0" w:color="auto"/>
                        <w:left w:val="none" w:sz="0" w:space="0" w:color="auto"/>
                        <w:bottom w:val="none" w:sz="0" w:space="0" w:color="auto"/>
                        <w:right w:val="none" w:sz="0" w:space="0" w:color="auto"/>
                      </w:divBdr>
                    </w:div>
                  </w:divsChild>
                </w:div>
                <w:div w:id="1794709313">
                  <w:marLeft w:val="0"/>
                  <w:marRight w:val="0"/>
                  <w:marTop w:val="0"/>
                  <w:marBottom w:val="0"/>
                  <w:divBdr>
                    <w:top w:val="none" w:sz="0" w:space="0" w:color="auto"/>
                    <w:left w:val="none" w:sz="0" w:space="0" w:color="auto"/>
                    <w:bottom w:val="none" w:sz="0" w:space="0" w:color="auto"/>
                    <w:right w:val="none" w:sz="0" w:space="0" w:color="auto"/>
                  </w:divBdr>
                  <w:divsChild>
                    <w:div w:id="934478030">
                      <w:marLeft w:val="0"/>
                      <w:marRight w:val="0"/>
                      <w:marTop w:val="0"/>
                      <w:marBottom w:val="0"/>
                      <w:divBdr>
                        <w:top w:val="none" w:sz="0" w:space="0" w:color="auto"/>
                        <w:left w:val="none" w:sz="0" w:space="0" w:color="auto"/>
                        <w:bottom w:val="none" w:sz="0" w:space="0" w:color="auto"/>
                        <w:right w:val="none" w:sz="0" w:space="0" w:color="auto"/>
                      </w:divBdr>
                    </w:div>
                  </w:divsChild>
                </w:div>
                <w:div w:id="1811435673">
                  <w:marLeft w:val="0"/>
                  <w:marRight w:val="0"/>
                  <w:marTop w:val="0"/>
                  <w:marBottom w:val="0"/>
                  <w:divBdr>
                    <w:top w:val="none" w:sz="0" w:space="0" w:color="auto"/>
                    <w:left w:val="none" w:sz="0" w:space="0" w:color="auto"/>
                    <w:bottom w:val="none" w:sz="0" w:space="0" w:color="auto"/>
                    <w:right w:val="none" w:sz="0" w:space="0" w:color="auto"/>
                  </w:divBdr>
                  <w:divsChild>
                    <w:div w:id="1458989243">
                      <w:marLeft w:val="0"/>
                      <w:marRight w:val="0"/>
                      <w:marTop w:val="0"/>
                      <w:marBottom w:val="0"/>
                      <w:divBdr>
                        <w:top w:val="none" w:sz="0" w:space="0" w:color="auto"/>
                        <w:left w:val="none" w:sz="0" w:space="0" w:color="auto"/>
                        <w:bottom w:val="none" w:sz="0" w:space="0" w:color="auto"/>
                        <w:right w:val="none" w:sz="0" w:space="0" w:color="auto"/>
                      </w:divBdr>
                    </w:div>
                  </w:divsChild>
                </w:div>
                <w:div w:id="1815027255">
                  <w:marLeft w:val="0"/>
                  <w:marRight w:val="0"/>
                  <w:marTop w:val="0"/>
                  <w:marBottom w:val="0"/>
                  <w:divBdr>
                    <w:top w:val="none" w:sz="0" w:space="0" w:color="auto"/>
                    <w:left w:val="none" w:sz="0" w:space="0" w:color="auto"/>
                    <w:bottom w:val="none" w:sz="0" w:space="0" w:color="auto"/>
                    <w:right w:val="none" w:sz="0" w:space="0" w:color="auto"/>
                  </w:divBdr>
                  <w:divsChild>
                    <w:div w:id="631179277">
                      <w:marLeft w:val="0"/>
                      <w:marRight w:val="0"/>
                      <w:marTop w:val="0"/>
                      <w:marBottom w:val="0"/>
                      <w:divBdr>
                        <w:top w:val="none" w:sz="0" w:space="0" w:color="auto"/>
                        <w:left w:val="none" w:sz="0" w:space="0" w:color="auto"/>
                        <w:bottom w:val="none" w:sz="0" w:space="0" w:color="auto"/>
                        <w:right w:val="none" w:sz="0" w:space="0" w:color="auto"/>
                      </w:divBdr>
                    </w:div>
                  </w:divsChild>
                </w:div>
                <w:div w:id="1826510684">
                  <w:marLeft w:val="0"/>
                  <w:marRight w:val="0"/>
                  <w:marTop w:val="0"/>
                  <w:marBottom w:val="0"/>
                  <w:divBdr>
                    <w:top w:val="none" w:sz="0" w:space="0" w:color="auto"/>
                    <w:left w:val="none" w:sz="0" w:space="0" w:color="auto"/>
                    <w:bottom w:val="none" w:sz="0" w:space="0" w:color="auto"/>
                    <w:right w:val="none" w:sz="0" w:space="0" w:color="auto"/>
                  </w:divBdr>
                  <w:divsChild>
                    <w:div w:id="1253901518">
                      <w:marLeft w:val="0"/>
                      <w:marRight w:val="0"/>
                      <w:marTop w:val="0"/>
                      <w:marBottom w:val="0"/>
                      <w:divBdr>
                        <w:top w:val="none" w:sz="0" w:space="0" w:color="auto"/>
                        <w:left w:val="none" w:sz="0" w:space="0" w:color="auto"/>
                        <w:bottom w:val="none" w:sz="0" w:space="0" w:color="auto"/>
                        <w:right w:val="none" w:sz="0" w:space="0" w:color="auto"/>
                      </w:divBdr>
                    </w:div>
                  </w:divsChild>
                </w:div>
                <w:div w:id="1832673447">
                  <w:marLeft w:val="0"/>
                  <w:marRight w:val="0"/>
                  <w:marTop w:val="0"/>
                  <w:marBottom w:val="0"/>
                  <w:divBdr>
                    <w:top w:val="none" w:sz="0" w:space="0" w:color="auto"/>
                    <w:left w:val="none" w:sz="0" w:space="0" w:color="auto"/>
                    <w:bottom w:val="none" w:sz="0" w:space="0" w:color="auto"/>
                    <w:right w:val="none" w:sz="0" w:space="0" w:color="auto"/>
                  </w:divBdr>
                  <w:divsChild>
                    <w:div w:id="1486161092">
                      <w:marLeft w:val="0"/>
                      <w:marRight w:val="0"/>
                      <w:marTop w:val="0"/>
                      <w:marBottom w:val="0"/>
                      <w:divBdr>
                        <w:top w:val="none" w:sz="0" w:space="0" w:color="auto"/>
                        <w:left w:val="none" w:sz="0" w:space="0" w:color="auto"/>
                        <w:bottom w:val="none" w:sz="0" w:space="0" w:color="auto"/>
                        <w:right w:val="none" w:sz="0" w:space="0" w:color="auto"/>
                      </w:divBdr>
                    </w:div>
                  </w:divsChild>
                </w:div>
                <w:div w:id="1843426146">
                  <w:marLeft w:val="0"/>
                  <w:marRight w:val="0"/>
                  <w:marTop w:val="0"/>
                  <w:marBottom w:val="0"/>
                  <w:divBdr>
                    <w:top w:val="none" w:sz="0" w:space="0" w:color="auto"/>
                    <w:left w:val="none" w:sz="0" w:space="0" w:color="auto"/>
                    <w:bottom w:val="none" w:sz="0" w:space="0" w:color="auto"/>
                    <w:right w:val="none" w:sz="0" w:space="0" w:color="auto"/>
                  </w:divBdr>
                  <w:divsChild>
                    <w:div w:id="1067145839">
                      <w:marLeft w:val="0"/>
                      <w:marRight w:val="0"/>
                      <w:marTop w:val="0"/>
                      <w:marBottom w:val="0"/>
                      <w:divBdr>
                        <w:top w:val="none" w:sz="0" w:space="0" w:color="auto"/>
                        <w:left w:val="none" w:sz="0" w:space="0" w:color="auto"/>
                        <w:bottom w:val="none" w:sz="0" w:space="0" w:color="auto"/>
                        <w:right w:val="none" w:sz="0" w:space="0" w:color="auto"/>
                      </w:divBdr>
                    </w:div>
                  </w:divsChild>
                </w:div>
                <w:div w:id="1846169008">
                  <w:marLeft w:val="0"/>
                  <w:marRight w:val="0"/>
                  <w:marTop w:val="0"/>
                  <w:marBottom w:val="0"/>
                  <w:divBdr>
                    <w:top w:val="none" w:sz="0" w:space="0" w:color="auto"/>
                    <w:left w:val="none" w:sz="0" w:space="0" w:color="auto"/>
                    <w:bottom w:val="none" w:sz="0" w:space="0" w:color="auto"/>
                    <w:right w:val="none" w:sz="0" w:space="0" w:color="auto"/>
                  </w:divBdr>
                  <w:divsChild>
                    <w:div w:id="788821643">
                      <w:marLeft w:val="0"/>
                      <w:marRight w:val="0"/>
                      <w:marTop w:val="0"/>
                      <w:marBottom w:val="0"/>
                      <w:divBdr>
                        <w:top w:val="none" w:sz="0" w:space="0" w:color="auto"/>
                        <w:left w:val="none" w:sz="0" w:space="0" w:color="auto"/>
                        <w:bottom w:val="none" w:sz="0" w:space="0" w:color="auto"/>
                        <w:right w:val="none" w:sz="0" w:space="0" w:color="auto"/>
                      </w:divBdr>
                    </w:div>
                  </w:divsChild>
                </w:div>
                <w:div w:id="1846700935">
                  <w:marLeft w:val="0"/>
                  <w:marRight w:val="0"/>
                  <w:marTop w:val="0"/>
                  <w:marBottom w:val="0"/>
                  <w:divBdr>
                    <w:top w:val="none" w:sz="0" w:space="0" w:color="auto"/>
                    <w:left w:val="none" w:sz="0" w:space="0" w:color="auto"/>
                    <w:bottom w:val="none" w:sz="0" w:space="0" w:color="auto"/>
                    <w:right w:val="none" w:sz="0" w:space="0" w:color="auto"/>
                  </w:divBdr>
                  <w:divsChild>
                    <w:div w:id="500506132">
                      <w:marLeft w:val="0"/>
                      <w:marRight w:val="0"/>
                      <w:marTop w:val="0"/>
                      <w:marBottom w:val="0"/>
                      <w:divBdr>
                        <w:top w:val="none" w:sz="0" w:space="0" w:color="auto"/>
                        <w:left w:val="none" w:sz="0" w:space="0" w:color="auto"/>
                        <w:bottom w:val="none" w:sz="0" w:space="0" w:color="auto"/>
                        <w:right w:val="none" w:sz="0" w:space="0" w:color="auto"/>
                      </w:divBdr>
                    </w:div>
                  </w:divsChild>
                </w:div>
                <w:div w:id="1858041395">
                  <w:marLeft w:val="0"/>
                  <w:marRight w:val="0"/>
                  <w:marTop w:val="0"/>
                  <w:marBottom w:val="0"/>
                  <w:divBdr>
                    <w:top w:val="none" w:sz="0" w:space="0" w:color="auto"/>
                    <w:left w:val="none" w:sz="0" w:space="0" w:color="auto"/>
                    <w:bottom w:val="none" w:sz="0" w:space="0" w:color="auto"/>
                    <w:right w:val="none" w:sz="0" w:space="0" w:color="auto"/>
                  </w:divBdr>
                  <w:divsChild>
                    <w:div w:id="1305156306">
                      <w:marLeft w:val="0"/>
                      <w:marRight w:val="0"/>
                      <w:marTop w:val="0"/>
                      <w:marBottom w:val="0"/>
                      <w:divBdr>
                        <w:top w:val="none" w:sz="0" w:space="0" w:color="auto"/>
                        <w:left w:val="none" w:sz="0" w:space="0" w:color="auto"/>
                        <w:bottom w:val="none" w:sz="0" w:space="0" w:color="auto"/>
                        <w:right w:val="none" w:sz="0" w:space="0" w:color="auto"/>
                      </w:divBdr>
                    </w:div>
                    <w:div w:id="1518932448">
                      <w:marLeft w:val="0"/>
                      <w:marRight w:val="0"/>
                      <w:marTop w:val="0"/>
                      <w:marBottom w:val="0"/>
                      <w:divBdr>
                        <w:top w:val="none" w:sz="0" w:space="0" w:color="auto"/>
                        <w:left w:val="none" w:sz="0" w:space="0" w:color="auto"/>
                        <w:bottom w:val="none" w:sz="0" w:space="0" w:color="auto"/>
                        <w:right w:val="none" w:sz="0" w:space="0" w:color="auto"/>
                      </w:divBdr>
                    </w:div>
                  </w:divsChild>
                </w:div>
                <w:div w:id="1861581150">
                  <w:marLeft w:val="0"/>
                  <w:marRight w:val="0"/>
                  <w:marTop w:val="0"/>
                  <w:marBottom w:val="0"/>
                  <w:divBdr>
                    <w:top w:val="none" w:sz="0" w:space="0" w:color="auto"/>
                    <w:left w:val="none" w:sz="0" w:space="0" w:color="auto"/>
                    <w:bottom w:val="none" w:sz="0" w:space="0" w:color="auto"/>
                    <w:right w:val="none" w:sz="0" w:space="0" w:color="auto"/>
                  </w:divBdr>
                  <w:divsChild>
                    <w:div w:id="1136414918">
                      <w:marLeft w:val="0"/>
                      <w:marRight w:val="0"/>
                      <w:marTop w:val="0"/>
                      <w:marBottom w:val="0"/>
                      <w:divBdr>
                        <w:top w:val="none" w:sz="0" w:space="0" w:color="auto"/>
                        <w:left w:val="none" w:sz="0" w:space="0" w:color="auto"/>
                        <w:bottom w:val="none" w:sz="0" w:space="0" w:color="auto"/>
                        <w:right w:val="none" w:sz="0" w:space="0" w:color="auto"/>
                      </w:divBdr>
                    </w:div>
                  </w:divsChild>
                </w:div>
                <w:div w:id="1861818218">
                  <w:marLeft w:val="0"/>
                  <w:marRight w:val="0"/>
                  <w:marTop w:val="0"/>
                  <w:marBottom w:val="0"/>
                  <w:divBdr>
                    <w:top w:val="none" w:sz="0" w:space="0" w:color="auto"/>
                    <w:left w:val="none" w:sz="0" w:space="0" w:color="auto"/>
                    <w:bottom w:val="none" w:sz="0" w:space="0" w:color="auto"/>
                    <w:right w:val="none" w:sz="0" w:space="0" w:color="auto"/>
                  </w:divBdr>
                  <w:divsChild>
                    <w:div w:id="508525186">
                      <w:marLeft w:val="0"/>
                      <w:marRight w:val="0"/>
                      <w:marTop w:val="0"/>
                      <w:marBottom w:val="0"/>
                      <w:divBdr>
                        <w:top w:val="none" w:sz="0" w:space="0" w:color="auto"/>
                        <w:left w:val="none" w:sz="0" w:space="0" w:color="auto"/>
                        <w:bottom w:val="none" w:sz="0" w:space="0" w:color="auto"/>
                        <w:right w:val="none" w:sz="0" w:space="0" w:color="auto"/>
                      </w:divBdr>
                    </w:div>
                  </w:divsChild>
                </w:div>
                <w:div w:id="1890533303">
                  <w:marLeft w:val="0"/>
                  <w:marRight w:val="0"/>
                  <w:marTop w:val="0"/>
                  <w:marBottom w:val="0"/>
                  <w:divBdr>
                    <w:top w:val="none" w:sz="0" w:space="0" w:color="auto"/>
                    <w:left w:val="none" w:sz="0" w:space="0" w:color="auto"/>
                    <w:bottom w:val="none" w:sz="0" w:space="0" w:color="auto"/>
                    <w:right w:val="none" w:sz="0" w:space="0" w:color="auto"/>
                  </w:divBdr>
                  <w:divsChild>
                    <w:div w:id="390689176">
                      <w:marLeft w:val="0"/>
                      <w:marRight w:val="0"/>
                      <w:marTop w:val="0"/>
                      <w:marBottom w:val="0"/>
                      <w:divBdr>
                        <w:top w:val="none" w:sz="0" w:space="0" w:color="auto"/>
                        <w:left w:val="none" w:sz="0" w:space="0" w:color="auto"/>
                        <w:bottom w:val="none" w:sz="0" w:space="0" w:color="auto"/>
                        <w:right w:val="none" w:sz="0" w:space="0" w:color="auto"/>
                      </w:divBdr>
                    </w:div>
                  </w:divsChild>
                </w:div>
                <w:div w:id="1913925542">
                  <w:marLeft w:val="0"/>
                  <w:marRight w:val="0"/>
                  <w:marTop w:val="0"/>
                  <w:marBottom w:val="0"/>
                  <w:divBdr>
                    <w:top w:val="none" w:sz="0" w:space="0" w:color="auto"/>
                    <w:left w:val="none" w:sz="0" w:space="0" w:color="auto"/>
                    <w:bottom w:val="none" w:sz="0" w:space="0" w:color="auto"/>
                    <w:right w:val="none" w:sz="0" w:space="0" w:color="auto"/>
                  </w:divBdr>
                  <w:divsChild>
                    <w:div w:id="1973830110">
                      <w:marLeft w:val="0"/>
                      <w:marRight w:val="0"/>
                      <w:marTop w:val="0"/>
                      <w:marBottom w:val="0"/>
                      <w:divBdr>
                        <w:top w:val="none" w:sz="0" w:space="0" w:color="auto"/>
                        <w:left w:val="none" w:sz="0" w:space="0" w:color="auto"/>
                        <w:bottom w:val="none" w:sz="0" w:space="0" w:color="auto"/>
                        <w:right w:val="none" w:sz="0" w:space="0" w:color="auto"/>
                      </w:divBdr>
                    </w:div>
                  </w:divsChild>
                </w:div>
                <w:div w:id="1927572899">
                  <w:marLeft w:val="0"/>
                  <w:marRight w:val="0"/>
                  <w:marTop w:val="0"/>
                  <w:marBottom w:val="0"/>
                  <w:divBdr>
                    <w:top w:val="none" w:sz="0" w:space="0" w:color="auto"/>
                    <w:left w:val="none" w:sz="0" w:space="0" w:color="auto"/>
                    <w:bottom w:val="none" w:sz="0" w:space="0" w:color="auto"/>
                    <w:right w:val="none" w:sz="0" w:space="0" w:color="auto"/>
                  </w:divBdr>
                  <w:divsChild>
                    <w:div w:id="843663732">
                      <w:marLeft w:val="0"/>
                      <w:marRight w:val="0"/>
                      <w:marTop w:val="0"/>
                      <w:marBottom w:val="0"/>
                      <w:divBdr>
                        <w:top w:val="none" w:sz="0" w:space="0" w:color="auto"/>
                        <w:left w:val="none" w:sz="0" w:space="0" w:color="auto"/>
                        <w:bottom w:val="none" w:sz="0" w:space="0" w:color="auto"/>
                        <w:right w:val="none" w:sz="0" w:space="0" w:color="auto"/>
                      </w:divBdr>
                    </w:div>
                  </w:divsChild>
                </w:div>
                <w:div w:id="1932472663">
                  <w:marLeft w:val="0"/>
                  <w:marRight w:val="0"/>
                  <w:marTop w:val="0"/>
                  <w:marBottom w:val="0"/>
                  <w:divBdr>
                    <w:top w:val="none" w:sz="0" w:space="0" w:color="auto"/>
                    <w:left w:val="none" w:sz="0" w:space="0" w:color="auto"/>
                    <w:bottom w:val="none" w:sz="0" w:space="0" w:color="auto"/>
                    <w:right w:val="none" w:sz="0" w:space="0" w:color="auto"/>
                  </w:divBdr>
                  <w:divsChild>
                    <w:div w:id="199587264">
                      <w:marLeft w:val="0"/>
                      <w:marRight w:val="0"/>
                      <w:marTop w:val="0"/>
                      <w:marBottom w:val="0"/>
                      <w:divBdr>
                        <w:top w:val="none" w:sz="0" w:space="0" w:color="auto"/>
                        <w:left w:val="none" w:sz="0" w:space="0" w:color="auto"/>
                        <w:bottom w:val="none" w:sz="0" w:space="0" w:color="auto"/>
                        <w:right w:val="none" w:sz="0" w:space="0" w:color="auto"/>
                      </w:divBdr>
                    </w:div>
                  </w:divsChild>
                </w:div>
                <w:div w:id="1963225476">
                  <w:marLeft w:val="0"/>
                  <w:marRight w:val="0"/>
                  <w:marTop w:val="0"/>
                  <w:marBottom w:val="0"/>
                  <w:divBdr>
                    <w:top w:val="none" w:sz="0" w:space="0" w:color="auto"/>
                    <w:left w:val="none" w:sz="0" w:space="0" w:color="auto"/>
                    <w:bottom w:val="none" w:sz="0" w:space="0" w:color="auto"/>
                    <w:right w:val="none" w:sz="0" w:space="0" w:color="auto"/>
                  </w:divBdr>
                  <w:divsChild>
                    <w:div w:id="75826830">
                      <w:marLeft w:val="0"/>
                      <w:marRight w:val="0"/>
                      <w:marTop w:val="0"/>
                      <w:marBottom w:val="0"/>
                      <w:divBdr>
                        <w:top w:val="none" w:sz="0" w:space="0" w:color="auto"/>
                        <w:left w:val="none" w:sz="0" w:space="0" w:color="auto"/>
                        <w:bottom w:val="none" w:sz="0" w:space="0" w:color="auto"/>
                        <w:right w:val="none" w:sz="0" w:space="0" w:color="auto"/>
                      </w:divBdr>
                    </w:div>
                  </w:divsChild>
                </w:div>
                <w:div w:id="1965304942">
                  <w:marLeft w:val="0"/>
                  <w:marRight w:val="0"/>
                  <w:marTop w:val="0"/>
                  <w:marBottom w:val="0"/>
                  <w:divBdr>
                    <w:top w:val="none" w:sz="0" w:space="0" w:color="auto"/>
                    <w:left w:val="none" w:sz="0" w:space="0" w:color="auto"/>
                    <w:bottom w:val="none" w:sz="0" w:space="0" w:color="auto"/>
                    <w:right w:val="none" w:sz="0" w:space="0" w:color="auto"/>
                  </w:divBdr>
                  <w:divsChild>
                    <w:div w:id="216597677">
                      <w:marLeft w:val="0"/>
                      <w:marRight w:val="0"/>
                      <w:marTop w:val="0"/>
                      <w:marBottom w:val="0"/>
                      <w:divBdr>
                        <w:top w:val="none" w:sz="0" w:space="0" w:color="auto"/>
                        <w:left w:val="none" w:sz="0" w:space="0" w:color="auto"/>
                        <w:bottom w:val="none" w:sz="0" w:space="0" w:color="auto"/>
                        <w:right w:val="none" w:sz="0" w:space="0" w:color="auto"/>
                      </w:divBdr>
                    </w:div>
                  </w:divsChild>
                </w:div>
                <w:div w:id="1988900953">
                  <w:marLeft w:val="0"/>
                  <w:marRight w:val="0"/>
                  <w:marTop w:val="0"/>
                  <w:marBottom w:val="0"/>
                  <w:divBdr>
                    <w:top w:val="none" w:sz="0" w:space="0" w:color="auto"/>
                    <w:left w:val="none" w:sz="0" w:space="0" w:color="auto"/>
                    <w:bottom w:val="none" w:sz="0" w:space="0" w:color="auto"/>
                    <w:right w:val="none" w:sz="0" w:space="0" w:color="auto"/>
                  </w:divBdr>
                  <w:divsChild>
                    <w:div w:id="684595578">
                      <w:marLeft w:val="0"/>
                      <w:marRight w:val="0"/>
                      <w:marTop w:val="0"/>
                      <w:marBottom w:val="0"/>
                      <w:divBdr>
                        <w:top w:val="none" w:sz="0" w:space="0" w:color="auto"/>
                        <w:left w:val="none" w:sz="0" w:space="0" w:color="auto"/>
                        <w:bottom w:val="none" w:sz="0" w:space="0" w:color="auto"/>
                        <w:right w:val="none" w:sz="0" w:space="0" w:color="auto"/>
                      </w:divBdr>
                    </w:div>
                  </w:divsChild>
                </w:div>
                <w:div w:id="2000159656">
                  <w:marLeft w:val="0"/>
                  <w:marRight w:val="0"/>
                  <w:marTop w:val="0"/>
                  <w:marBottom w:val="0"/>
                  <w:divBdr>
                    <w:top w:val="none" w:sz="0" w:space="0" w:color="auto"/>
                    <w:left w:val="none" w:sz="0" w:space="0" w:color="auto"/>
                    <w:bottom w:val="none" w:sz="0" w:space="0" w:color="auto"/>
                    <w:right w:val="none" w:sz="0" w:space="0" w:color="auto"/>
                  </w:divBdr>
                  <w:divsChild>
                    <w:div w:id="1584489098">
                      <w:marLeft w:val="0"/>
                      <w:marRight w:val="0"/>
                      <w:marTop w:val="0"/>
                      <w:marBottom w:val="0"/>
                      <w:divBdr>
                        <w:top w:val="none" w:sz="0" w:space="0" w:color="auto"/>
                        <w:left w:val="none" w:sz="0" w:space="0" w:color="auto"/>
                        <w:bottom w:val="none" w:sz="0" w:space="0" w:color="auto"/>
                        <w:right w:val="none" w:sz="0" w:space="0" w:color="auto"/>
                      </w:divBdr>
                    </w:div>
                  </w:divsChild>
                </w:div>
                <w:div w:id="2005742285">
                  <w:marLeft w:val="0"/>
                  <w:marRight w:val="0"/>
                  <w:marTop w:val="0"/>
                  <w:marBottom w:val="0"/>
                  <w:divBdr>
                    <w:top w:val="none" w:sz="0" w:space="0" w:color="auto"/>
                    <w:left w:val="none" w:sz="0" w:space="0" w:color="auto"/>
                    <w:bottom w:val="none" w:sz="0" w:space="0" w:color="auto"/>
                    <w:right w:val="none" w:sz="0" w:space="0" w:color="auto"/>
                  </w:divBdr>
                  <w:divsChild>
                    <w:div w:id="105658101">
                      <w:marLeft w:val="0"/>
                      <w:marRight w:val="0"/>
                      <w:marTop w:val="0"/>
                      <w:marBottom w:val="0"/>
                      <w:divBdr>
                        <w:top w:val="none" w:sz="0" w:space="0" w:color="auto"/>
                        <w:left w:val="none" w:sz="0" w:space="0" w:color="auto"/>
                        <w:bottom w:val="none" w:sz="0" w:space="0" w:color="auto"/>
                        <w:right w:val="none" w:sz="0" w:space="0" w:color="auto"/>
                      </w:divBdr>
                    </w:div>
                  </w:divsChild>
                </w:div>
                <w:div w:id="2007853465">
                  <w:marLeft w:val="0"/>
                  <w:marRight w:val="0"/>
                  <w:marTop w:val="0"/>
                  <w:marBottom w:val="0"/>
                  <w:divBdr>
                    <w:top w:val="none" w:sz="0" w:space="0" w:color="auto"/>
                    <w:left w:val="none" w:sz="0" w:space="0" w:color="auto"/>
                    <w:bottom w:val="none" w:sz="0" w:space="0" w:color="auto"/>
                    <w:right w:val="none" w:sz="0" w:space="0" w:color="auto"/>
                  </w:divBdr>
                  <w:divsChild>
                    <w:div w:id="1417553228">
                      <w:marLeft w:val="0"/>
                      <w:marRight w:val="0"/>
                      <w:marTop w:val="0"/>
                      <w:marBottom w:val="0"/>
                      <w:divBdr>
                        <w:top w:val="none" w:sz="0" w:space="0" w:color="auto"/>
                        <w:left w:val="none" w:sz="0" w:space="0" w:color="auto"/>
                        <w:bottom w:val="none" w:sz="0" w:space="0" w:color="auto"/>
                        <w:right w:val="none" w:sz="0" w:space="0" w:color="auto"/>
                      </w:divBdr>
                    </w:div>
                  </w:divsChild>
                </w:div>
                <w:div w:id="2019233529">
                  <w:marLeft w:val="0"/>
                  <w:marRight w:val="0"/>
                  <w:marTop w:val="0"/>
                  <w:marBottom w:val="0"/>
                  <w:divBdr>
                    <w:top w:val="none" w:sz="0" w:space="0" w:color="auto"/>
                    <w:left w:val="none" w:sz="0" w:space="0" w:color="auto"/>
                    <w:bottom w:val="none" w:sz="0" w:space="0" w:color="auto"/>
                    <w:right w:val="none" w:sz="0" w:space="0" w:color="auto"/>
                  </w:divBdr>
                  <w:divsChild>
                    <w:div w:id="610748587">
                      <w:marLeft w:val="0"/>
                      <w:marRight w:val="0"/>
                      <w:marTop w:val="0"/>
                      <w:marBottom w:val="0"/>
                      <w:divBdr>
                        <w:top w:val="none" w:sz="0" w:space="0" w:color="auto"/>
                        <w:left w:val="none" w:sz="0" w:space="0" w:color="auto"/>
                        <w:bottom w:val="none" w:sz="0" w:space="0" w:color="auto"/>
                        <w:right w:val="none" w:sz="0" w:space="0" w:color="auto"/>
                      </w:divBdr>
                    </w:div>
                  </w:divsChild>
                </w:div>
                <w:div w:id="2022851589">
                  <w:marLeft w:val="0"/>
                  <w:marRight w:val="0"/>
                  <w:marTop w:val="0"/>
                  <w:marBottom w:val="0"/>
                  <w:divBdr>
                    <w:top w:val="none" w:sz="0" w:space="0" w:color="auto"/>
                    <w:left w:val="none" w:sz="0" w:space="0" w:color="auto"/>
                    <w:bottom w:val="none" w:sz="0" w:space="0" w:color="auto"/>
                    <w:right w:val="none" w:sz="0" w:space="0" w:color="auto"/>
                  </w:divBdr>
                  <w:divsChild>
                    <w:div w:id="321354674">
                      <w:marLeft w:val="0"/>
                      <w:marRight w:val="0"/>
                      <w:marTop w:val="0"/>
                      <w:marBottom w:val="0"/>
                      <w:divBdr>
                        <w:top w:val="none" w:sz="0" w:space="0" w:color="auto"/>
                        <w:left w:val="none" w:sz="0" w:space="0" w:color="auto"/>
                        <w:bottom w:val="none" w:sz="0" w:space="0" w:color="auto"/>
                        <w:right w:val="none" w:sz="0" w:space="0" w:color="auto"/>
                      </w:divBdr>
                    </w:div>
                  </w:divsChild>
                </w:div>
                <w:div w:id="2030255843">
                  <w:marLeft w:val="0"/>
                  <w:marRight w:val="0"/>
                  <w:marTop w:val="0"/>
                  <w:marBottom w:val="0"/>
                  <w:divBdr>
                    <w:top w:val="none" w:sz="0" w:space="0" w:color="auto"/>
                    <w:left w:val="none" w:sz="0" w:space="0" w:color="auto"/>
                    <w:bottom w:val="none" w:sz="0" w:space="0" w:color="auto"/>
                    <w:right w:val="none" w:sz="0" w:space="0" w:color="auto"/>
                  </w:divBdr>
                  <w:divsChild>
                    <w:div w:id="1899783138">
                      <w:marLeft w:val="0"/>
                      <w:marRight w:val="0"/>
                      <w:marTop w:val="0"/>
                      <w:marBottom w:val="0"/>
                      <w:divBdr>
                        <w:top w:val="none" w:sz="0" w:space="0" w:color="auto"/>
                        <w:left w:val="none" w:sz="0" w:space="0" w:color="auto"/>
                        <w:bottom w:val="none" w:sz="0" w:space="0" w:color="auto"/>
                        <w:right w:val="none" w:sz="0" w:space="0" w:color="auto"/>
                      </w:divBdr>
                    </w:div>
                  </w:divsChild>
                </w:div>
                <w:div w:id="2045403389">
                  <w:marLeft w:val="0"/>
                  <w:marRight w:val="0"/>
                  <w:marTop w:val="0"/>
                  <w:marBottom w:val="0"/>
                  <w:divBdr>
                    <w:top w:val="none" w:sz="0" w:space="0" w:color="auto"/>
                    <w:left w:val="none" w:sz="0" w:space="0" w:color="auto"/>
                    <w:bottom w:val="none" w:sz="0" w:space="0" w:color="auto"/>
                    <w:right w:val="none" w:sz="0" w:space="0" w:color="auto"/>
                  </w:divBdr>
                  <w:divsChild>
                    <w:div w:id="1912078469">
                      <w:marLeft w:val="0"/>
                      <w:marRight w:val="0"/>
                      <w:marTop w:val="0"/>
                      <w:marBottom w:val="0"/>
                      <w:divBdr>
                        <w:top w:val="none" w:sz="0" w:space="0" w:color="auto"/>
                        <w:left w:val="none" w:sz="0" w:space="0" w:color="auto"/>
                        <w:bottom w:val="none" w:sz="0" w:space="0" w:color="auto"/>
                        <w:right w:val="none" w:sz="0" w:space="0" w:color="auto"/>
                      </w:divBdr>
                    </w:div>
                  </w:divsChild>
                </w:div>
                <w:div w:id="2049062407">
                  <w:marLeft w:val="0"/>
                  <w:marRight w:val="0"/>
                  <w:marTop w:val="0"/>
                  <w:marBottom w:val="0"/>
                  <w:divBdr>
                    <w:top w:val="none" w:sz="0" w:space="0" w:color="auto"/>
                    <w:left w:val="none" w:sz="0" w:space="0" w:color="auto"/>
                    <w:bottom w:val="none" w:sz="0" w:space="0" w:color="auto"/>
                    <w:right w:val="none" w:sz="0" w:space="0" w:color="auto"/>
                  </w:divBdr>
                  <w:divsChild>
                    <w:div w:id="322898744">
                      <w:marLeft w:val="0"/>
                      <w:marRight w:val="0"/>
                      <w:marTop w:val="0"/>
                      <w:marBottom w:val="0"/>
                      <w:divBdr>
                        <w:top w:val="none" w:sz="0" w:space="0" w:color="auto"/>
                        <w:left w:val="none" w:sz="0" w:space="0" w:color="auto"/>
                        <w:bottom w:val="none" w:sz="0" w:space="0" w:color="auto"/>
                        <w:right w:val="none" w:sz="0" w:space="0" w:color="auto"/>
                      </w:divBdr>
                    </w:div>
                  </w:divsChild>
                </w:div>
                <w:div w:id="2075464825">
                  <w:marLeft w:val="0"/>
                  <w:marRight w:val="0"/>
                  <w:marTop w:val="0"/>
                  <w:marBottom w:val="0"/>
                  <w:divBdr>
                    <w:top w:val="none" w:sz="0" w:space="0" w:color="auto"/>
                    <w:left w:val="none" w:sz="0" w:space="0" w:color="auto"/>
                    <w:bottom w:val="none" w:sz="0" w:space="0" w:color="auto"/>
                    <w:right w:val="none" w:sz="0" w:space="0" w:color="auto"/>
                  </w:divBdr>
                  <w:divsChild>
                    <w:div w:id="1650474128">
                      <w:marLeft w:val="0"/>
                      <w:marRight w:val="0"/>
                      <w:marTop w:val="0"/>
                      <w:marBottom w:val="0"/>
                      <w:divBdr>
                        <w:top w:val="none" w:sz="0" w:space="0" w:color="auto"/>
                        <w:left w:val="none" w:sz="0" w:space="0" w:color="auto"/>
                        <w:bottom w:val="none" w:sz="0" w:space="0" w:color="auto"/>
                        <w:right w:val="none" w:sz="0" w:space="0" w:color="auto"/>
                      </w:divBdr>
                    </w:div>
                  </w:divsChild>
                </w:div>
                <w:div w:id="2082021909">
                  <w:marLeft w:val="0"/>
                  <w:marRight w:val="0"/>
                  <w:marTop w:val="0"/>
                  <w:marBottom w:val="0"/>
                  <w:divBdr>
                    <w:top w:val="none" w:sz="0" w:space="0" w:color="auto"/>
                    <w:left w:val="none" w:sz="0" w:space="0" w:color="auto"/>
                    <w:bottom w:val="none" w:sz="0" w:space="0" w:color="auto"/>
                    <w:right w:val="none" w:sz="0" w:space="0" w:color="auto"/>
                  </w:divBdr>
                  <w:divsChild>
                    <w:div w:id="253249704">
                      <w:marLeft w:val="0"/>
                      <w:marRight w:val="0"/>
                      <w:marTop w:val="0"/>
                      <w:marBottom w:val="0"/>
                      <w:divBdr>
                        <w:top w:val="none" w:sz="0" w:space="0" w:color="auto"/>
                        <w:left w:val="none" w:sz="0" w:space="0" w:color="auto"/>
                        <w:bottom w:val="none" w:sz="0" w:space="0" w:color="auto"/>
                        <w:right w:val="none" w:sz="0" w:space="0" w:color="auto"/>
                      </w:divBdr>
                    </w:div>
                  </w:divsChild>
                </w:div>
                <w:div w:id="2096200042">
                  <w:marLeft w:val="0"/>
                  <w:marRight w:val="0"/>
                  <w:marTop w:val="0"/>
                  <w:marBottom w:val="0"/>
                  <w:divBdr>
                    <w:top w:val="none" w:sz="0" w:space="0" w:color="auto"/>
                    <w:left w:val="none" w:sz="0" w:space="0" w:color="auto"/>
                    <w:bottom w:val="none" w:sz="0" w:space="0" w:color="auto"/>
                    <w:right w:val="none" w:sz="0" w:space="0" w:color="auto"/>
                  </w:divBdr>
                  <w:divsChild>
                    <w:div w:id="859859151">
                      <w:marLeft w:val="0"/>
                      <w:marRight w:val="0"/>
                      <w:marTop w:val="0"/>
                      <w:marBottom w:val="0"/>
                      <w:divBdr>
                        <w:top w:val="none" w:sz="0" w:space="0" w:color="auto"/>
                        <w:left w:val="none" w:sz="0" w:space="0" w:color="auto"/>
                        <w:bottom w:val="none" w:sz="0" w:space="0" w:color="auto"/>
                        <w:right w:val="none" w:sz="0" w:space="0" w:color="auto"/>
                      </w:divBdr>
                    </w:div>
                  </w:divsChild>
                </w:div>
                <w:div w:id="2099986559">
                  <w:marLeft w:val="0"/>
                  <w:marRight w:val="0"/>
                  <w:marTop w:val="0"/>
                  <w:marBottom w:val="0"/>
                  <w:divBdr>
                    <w:top w:val="none" w:sz="0" w:space="0" w:color="auto"/>
                    <w:left w:val="none" w:sz="0" w:space="0" w:color="auto"/>
                    <w:bottom w:val="none" w:sz="0" w:space="0" w:color="auto"/>
                    <w:right w:val="none" w:sz="0" w:space="0" w:color="auto"/>
                  </w:divBdr>
                  <w:divsChild>
                    <w:div w:id="369837965">
                      <w:marLeft w:val="0"/>
                      <w:marRight w:val="0"/>
                      <w:marTop w:val="0"/>
                      <w:marBottom w:val="0"/>
                      <w:divBdr>
                        <w:top w:val="none" w:sz="0" w:space="0" w:color="auto"/>
                        <w:left w:val="none" w:sz="0" w:space="0" w:color="auto"/>
                        <w:bottom w:val="none" w:sz="0" w:space="0" w:color="auto"/>
                        <w:right w:val="none" w:sz="0" w:space="0" w:color="auto"/>
                      </w:divBdr>
                    </w:div>
                  </w:divsChild>
                </w:div>
                <w:div w:id="2100907362">
                  <w:marLeft w:val="0"/>
                  <w:marRight w:val="0"/>
                  <w:marTop w:val="0"/>
                  <w:marBottom w:val="0"/>
                  <w:divBdr>
                    <w:top w:val="none" w:sz="0" w:space="0" w:color="auto"/>
                    <w:left w:val="none" w:sz="0" w:space="0" w:color="auto"/>
                    <w:bottom w:val="none" w:sz="0" w:space="0" w:color="auto"/>
                    <w:right w:val="none" w:sz="0" w:space="0" w:color="auto"/>
                  </w:divBdr>
                  <w:divsChild>
                    <w:div w:id="284434954">
                      <w:marLeft w:val="0"/>
                      <w:marRight w:val="0"/>
                      <w:marTop w:val="0"/>
                      <w:marBottom w:val="0"/>
                      <w:divBdr>
                        <w:top w:val="none" w:sz="0" w:space="0" w:color="auto"/>
                        <w:left w:val="none" w:sz="0" w:space="0" w:color="auto"/>
                        <w:bottom w:val="none" w:sz="0" w:space="0" w:color="auto"/>
                        <w:right w:val="none" w:sz="0" w:space="0" w:color="auto"/>
                      </w:divBdr>
                    </w:div>
                  </w:divsChild>
                </w:div>
                <w:div w:id="2113935041">
                  <w:marLeft w:val="0"/>
                  <w:marRight w:val="0"/>
                  <w:marTop w:val="0"/>
                  <w:marBottom w:val="0"/>
                  <w:divBdr>
                    <w:top w:val="none" w:sz="0" w:space="0" w:color="auto"/>
                    <w:left w:val="none" w:sz="0" w:space="0" w:color="auto"/>
                    <w:bottom w:val="none" w:sz="0" w:space="0" w:color="auto"/>
                    <w:right w:val="none" w:sz="0" w:space="0" w:color="auto"/>
                  </w:divBdr>
                  <w:divsChild>
                    <w:div w:id="644745103">
                      <w:marLeft w:val="0"/>
                      <w:marRight w:val="0"/>
                      <w:marTop w:val="0"/>
                      <w:marBottom w:val="0"/>
                      <w:divBdr>
                        <w:top w:val="none" w:sz="0" w:space="0" w:color="auto"/>
                        <w:left w:val="none" w:sz="0" w:space="0" w:color="auto"/>
                        <w:bottom w:val="none" w:sz="0" w:space="0" w:color="auto"/>
                        <w:right w:val="none" w:sz="0" w:space="0" w:color="auto"/>
                      </w:divBdr>
                    </w:div>
                  </w:divsChild>
                </w:div>
                <w:div w:id="2116291180">
                  <w:marLeft w:val="0"/>
                  <w:marRight w:val="0"/>
                  <w:marTop w:val="0"/>
                  <w:marBottom w:val="0"/>
                  <w:divBdr>
                    <w:top w:val="none" w:sz="0" w:space="0" w:color="auto"/>
                    <w:left w:val="none" w:sz="0" w:space="0" w:color="auto"/>
                    <w:bottom w:val="none" w:sz="0" w:space="0" w:color="auto"/>
                    <w:right w:val="none" w:sz="0" w:space="0" w:color="auto"/>
                  </w:divBdr>
                  <w:divsChild>
                    <w:div w:id="2138596943">
                      <w:marLeft w:val="0"/>
                      <w:marRight w:val="0"/>
                      <w:marTop w:val="0"/>
                      <w:marBottom w:val="0"/>
                      <w:divBdr>
                        <w:top w:val="none" w:sz="0" w:space="0" w:color="auto"/>
                        <w:left w:val="none" w:sz="0" w:space="0" w:color="auto"/>
                        <w:bottom w:val="none" w:sz="0" w:space="0" w:color="auto"/>
                        <w:right w:val="none" w:sz="0" w:space="0" w:color="auto"/>
                      </w:divBdr>
                    </w:div>
                  </w:divsChild>
                </w:div>
                <w:div w:id="2120903152">
                  <w:marLeft w:val="0"/>
                  <w:marRight w:val="0"/>
                  <w:marTop w:val="0"/>
                  <w:marBottom w:val="0"/>
                  <w:divBdr>
                    <w:top w:val="none" w:sz="0" w:space="0" w:color="auto"/>
                    <w:left w:val="none" w:sz="0" w:space="0" w:color="auto"/>
                    <w:bottom w:val="none" w:sz="0" w:space="0" w:color="auto"/>
                    <w:right w:val="none" w:sz="0" w:space="0" w:color="auto"/>
                  </w:divBdr>
                  <w:divsChild>
                    <w:div w:id="1477793748">
                      <w:marLeft w:val="0"/>
                      <w:marRight w:val="0"/>
                      <w:marTop w:val="0"/>
                      <w:marBottom w:val="0"/>
                      <w:divBdr>
                        <w:top w:val="none" w:sz="0" w:space="0" w:color="auto"/>
                        <w:left w:val="none" w:sz="0" w:space="0" w:color="auto"/>
                        <w:bottom w:val="none" w:sz="0" w:space="0" w:color="auto"/>
                        <w:right w:val="none" w:sz="0" w:space="0" w:color="auto"/>
                      </w:divBdr>
                    </w:div>
                  </w:divsChild>
                </w:div>
                <w:div w:id="2130004468">
                  <w:marLeft w:val="0"/>
                  <w:marRight w:val="0"/>
                  <w:marTop w:val="0"/>
                  <w:marBottom w:val="0"/>
                  <w:divBdr>
                    <w:top w:val="none" w:sz="0" w:space="0" w:color="auto"/>
                    <w:left w:val="none" w:sz="0" w:space="0" w:color="auto"/>
                    <w:bottom w:val="none" w:sz="0" w:space="0" w:color="auto"/>
                    <w:right w:val="none" w:sz="0" w:space="0" w:color="auto"/>
                  </w:divBdr>
                  <w:divsChild>
                    <w:div w:id="1302467775">
                      <w:marLeft w:val="0"/>
                      <w:marRight w:val="0"/>
                      <w:marTop w:val="0"/>
                      <w:marBottom w:val="0"/>
                      <w:divBdr>
                        <w:top w:val="none" w:sz="0" w:space="0" w:color="auto"/>
                        <w:left w:val="none" w:sz="0" w:space="0" w:color="auto"/>
                        <w:bottom w:val="none" w:sz="0" w:space="0" w:color="auto"/>
                        <w:right w:val="none" w:sz="0" w:space="0" w:color="auto"/>
                      </w:divBdr>
                    </w:div>
                  </w:divsChild>
                </w:div>
                <w:div w:id="2132432154">
                  <w:marLeft w:val="0"/>
                  <w:marRight w:val="0"/>
                  <w:marTop w:val="0"/>
                  <w:marBottom w:val="0"/>
                  <w:divBdr>
                    <w:top w:val="none" w:sz="0" w:space="0" w:color="auto"/>
                    <w:left w:val="none" w:sz="0" w:space="0" w:color="auto"/>
                    <w:bottom w:val="none" w:sz="0" w:space="0" w:color="auto"/>
                    <w:right w:val="none" w:sz="0" w:space="0" w:color="auto"/>
                  </w:divBdr>
                  <w:divsChild>
                    <w:div w:id="209485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83151">
          <w:marLeft w:val="0"/>
          <w:marRight w:val="0"/>
          <w:marTop w:val="0"/>
          <w:marBottom w:val="0"/>
          <w:divBdr>
            <w:top w:val="none" w:sz="0" w:space="0" w:color="auto"/>
            <w:left w:val="none" w:sz="0" w:space="0" w:color="auto"/>
            <w:bottom w:val="none" w:sz="0" w:space="0" w:color="auto"/>
            <w:right w:val="none" w:sz="0" w:space="0" w:color="auto"/>
          </w:divBdr>
        </w:div>
        <w:div w:id="1121336733">
          <w:marLeft w:val="0"/>
          <w:marRight w:val="0"/>
          <w:marTop w:val="0"/>
          <w:marBottom w:val="0"/>
          <w:divBdr>
            <w:top w:val="none" w:sz="0" w:space="0" w:color="auto"/>
            <w:left w:val="none" w:sz="0" w:space="0" w:color="auto"/>
            <w:bottom w:val="none" w:sz="0" w:space="0" w:color="auto"/>
            <w:right w:val="none" w:sz="0" w:space="0" w:color="auto"/>
          </w:divBdr>
        </w:div>
      </w:divsChild>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 w:id="1594511397">
      <w:bodyDiv w:val="1"/>
      <w:marLeft w:val="0"/>
      <w:marRight w:val="0"/>
      <w:marTop w:val="0"/>
      <w:marBottom w:val="0"/>
      <w:divBdr>
        <w:top w:val="none" w:sz="0" w:space="0" w:color="auto"/>
        <w:left w:val="none" w:sz="0" w:space="0" w:color="auto"/>
        <w:bottom w:val="none" w:sz="0" w:space="0" w:color="auto"/>
        <w:right w:val="none" w:sz="0" w:space="0" w:color="auto"/>
      </w:divBdr>
      <w:divsChild>
        <w:div w:id="90321471">
          <w:marLeft w:val="0"/>
          <w:marRight w:val="0"/>
          <w:marTop w:val="0"/>
          <w:marBottom w:val="0"/>
          <w:divBdr>
            <w:top w:val="none" w:sz="0" w:space="0" w:color="auto"/>
            <w:left w:val="none" w:sz="0" w:space="0" w:color="auto"/>
            <w:bottom w:val="none" w:sz="0" w:space="0" w:color="auto"/>
            <w:right w:val="none" w:sz="0" w:space="0" w:color="auto"/>
          </w:divBdr>
        </w:div>
        <w:div w:id="90588496">
          <w:marLeft w:val="0"/>
          <w:marRight w:val="0"/>
          <w:marTop w:val="0"/>
          <w:marBottom w:val="0"/>
          <w:divBdr>
            <w:top w:val="none" w:sz="0" w:space="0" w:color="auto"/>
            <w:left w:val="none" w:sz="0" w:space="0" w:color="auto"/>
            <w:bottom w:val="none" w:sz="0" w:space="0" w:color="auto"/>
            <w:right w:val="none" w:sz="0" w:space="0" w:color="auto"/>
          </w:divBdr>
        </w:div>
        <w:div w:id="553808487">
          <w:marLeft w:val="0"/>
          <w:marRight w:val="0"/>
          <w:marTop w:val="0"/>
          <w:marBottom w:val="0"/>
          <w:divBdr>
            <w:top w:val="none" w:sz="0" w:space="0" w:color="auto"/>
            <w:left w:val="none" w:sz="0" w:space="0" w:color="auto"/>
            <w:bottom w:val="none" w:sz="0" w:space="0" w:color="auto"/>
            <w:right w:val="none" w:sz="0" w:space="0" w:color="auto"/>
          </w:divBdr>
        </w:div>
        <w:div w:id="787042193">
          <w:marLeft w:val="0"/>
          <w:marRight w:val="0"/>
          <w:marTop w:val="0"/>
          <w:marBottom w:val="0"/>
          <w:divBdr>
            <w:top w:val="none" w:sz="0" w:space="0" w:color="auto"/>
            <w:left w:val="none" w:sz="0" w:space="0" w:color="auto"/>
            <w:bottom w:val="none" w:sz="0" w:space="0" w:color="auto"/>
            <w:right w:val="none" w:sz="0" w:space="0" w:color="auto"/>
          </w:divBdr>
        </w:div>
        <w:div w:id="833034136">
          <w:marLeft w:val="0"/>
          <w:marRight w:val="0"/>
          <w:marTop w:val="0"/>
          <w:marBottom w:val="0"/>
          <w:divBdr>
            <w:top w:val="none" w:sz="0" w:space="0" w:color="auto"/>
            <w:left w:val="none" w:sz="0" w:space="0" w:color="auto"/>
            <w:bottom w:val="none" w:sz="0" w:space="0" w:color="auto"/>
            <w:right w:val="none" w:sz="0" w:space="0" w:color="auto"/>
          </w:divBdr>
        </w:div>
        <w:div w:id="1091698714">
          <w:marLeft w:val="0"/>
          <w:marRight w:val="0"/>
          <w:marTop w:val="0"/>
          <w:marBottom w:val="0"/>
          <w:divBdr>
            <w:top w:val="none" w:sz="0" w:space="0" w:color="auto"/>
            <w:left w:val="none" w:sz="0" w:space="0" w:color="auto"/>
            <w:bottom w:val="none" w:sz="0" w:space="0" w:color="auto"/>
            <w:right w:val="none" w:sz="0" w:space="0" w:color="auto"/>
          </w:divBdr>
        </w:div>
        <w:div w:id="1198473283">
          <w:marLeft w:val="0"/>
          <w:marRight w:val="0"/>
          <w:marTop w:val="0"/>
          <w:marBottom w:val="0"/>
          <w:divBdr>
            <w:top w:val="none" w:sz="0" w:space="0" w:color="auto"/>
            <w:left w:val="none" w:sz="0" w:space="0" w:color="auto"/>
            <w:bottom w:val="none" w:sz="0" w:space="0" w:color="auto"/>
            <w:right w:val="none" w:sz="0" w:space="0" w:color="auto"/>
          </w:divBdr>
        </w:div>
        <w:div w:id="1206407989">
          <w:marLeft w:val="0"/>
          <w:marRight w:val="0"/>
          <w:marTop w:val="0"/>
          <w:marBottom w:val="0"/>
          <w:divBdr>
            <w:top w:val="none" w:sz="0" w:space="0" w:color="auto"/>
            <w:left w:val="none" w:sz="0" w:space="0" w:color="auto"/>
            <w:bottom w:val="none" w:sz="0" w:space="0" w:color="auto"/>
            <w:right w:val="none" w:sz="0" w:space="0" w:color="auto"/>
          </w:divBdr>
        </w:div>
        <w:div w:id="1224104105">
          <w:marLeft w:val="0"/>
          <w:marRight w:val="0"/>
          <w:marTop w:val="0"/>
          <w:marBottom w:val="0"/>
          <w:divBdr>
            <w:top w:val="none" w:sz="0" w:space="0" w:color="auto"/>
            <w:left w:val="none" w:sz="0" w:space="0" w:color="auto"/>
            <w:bottom w:val="none" w:sz="0" w:space="0" w:color="auto"/>
            <w:right w:val="none" w:sz="0" w:space="0" w:color="auto"/>
          </w:divBdr>
        </w:div>
        <w:div w:id="1410036849">
          <w:marLeft w:val="0"/>
          <w:marRight w:val="0"/>
          <w:marTop w:val="0"/>
          <w:marBottom w:val="0"/>
          <w:divBdr>
            <w:top w:val="none" w:sz="0" w:space="0" w:color="auto"/>
            <w:left w:val="none" w:sz="0" w:space="0" w:color="auto"/>
            <w:bottom w:val="none" w:sz="0" w:space="0" w:color="auto"/>
            <w:right w:val="none" w:sz="0" w:space="0" w:color="auto"/>
          </w:divBdr>
        </w:div>
        <w:div w:id="1563642319">
          <w:marLeft w:val="0"/>
          <w:marRight w:val="0"/>
          <w:marTop w:val="0"/>
          <w:marBottom w:val="0"/>
          <w:divBdr>
            <w:top w:val="none" w:sz="0" w:space="0" w:color="auto"/>
            <w:left w:val="none" w:sz="0" w:space="0" w:color="auto"/>
            <w:bottom w:val="none" w:sz="0" w:space="0" w:color="auto"/>
            <w:right w:val="none" w:sz="0" w:space="0" w:color="auto"/>
          </w:divBdr>
        </w:div>
        <w:div w:id="1603999100">
          <w:marLeft w:val="0"/>
          <w:marRight w:val="0"/>
          <w:marTop w:val="0"/>
          <w:marBottom w:val="0"/>
          <w:divBdr>
            <w:top w:val="none" w:sz="0" w:space="0" w:color="auto"/>
            <w:left w:val="none" w:sz="0" w:space="0" w:color="auto"/>
            <w:bottom w:val="none" w:sz="0" w:space="0" w:color="auto"/>
            <w:right w:val="none" w:sz="0" w:space="0" w:color="auto"/>
          </w:divBdr>
        </w:div>
        <w:div w:id="1805537086">
          <w:marLeft w:val="0"/>
          <w:marRight w:val="0"/>
          <w:marTop w:val="0"/>
          <w:marBottom w:val="0"/>
          <w:divBdr>
            <w:top w:val="none" w:sz="0" w:space="0" w:color="auto"/>
            <w:left w:val="none" w:sz="0" w:space="0" w:color="auto"/>
            <w:bottom w:val="none" w:sz="0" w:space="0" w:color="auto"/>
            <w:right w:val="none" w:sz="0" w:space="0" w:color="auto"/>
          </w:divBdr>
        </w:div>
      </w:divsChild>
    </w:div>
    <w:div w:id="1714453159">
      <w:bodyDiv w:val="1"/>
      <w:marLeft w:val="0"/>
      <w:marRight w:val="0"/>
      <w:marTop w:val="0"/>
      <w:marBottom w:val="0"/>
      <w:divBdr>
        <w:top w:val="none" w:sz="0" w:space="0" w:color="auto"/>
        <w:left w:val="none" w:sz="0" w:space="0" w:color="auto"/>
        <w:bottom w:val="none" w:sz="0" w:space="0" w:color="auto"/>
        <w:right w:val="none" w:sz="0" w:space="0" w:color="auto"/>
      </w:divBdr>
    </w:div>
    <w:div w:id="1875314550">
      <w:bodyDiv w:val="1"/>
      <w:marLeft w:val="0"/>
      <w:marRight w:val="0"/>
      <w:marTop w:val="0"/>
      <w:marBottom w:val="0"/>
      <w:divBdr>
        <w:top w:val="none" w:sz="0" w:space="0" w:color="auto"/>
        <w:left w:val="none" w:sz="0" w:space="0" w:color="auto"/>
        <w:bottom w:val="none" w:sz="0" w:space="0" w:color="auto"/>
        <w:right w:val="none" w:sz="0" w:space="0" w:color="auto"/>
      </w:divBdr>
    </w:div>
    <w:div w:id="1925072124">
      <w:bodyDiv w:val="1"/>
      <w:marLeft w:val="0"/>
      <w:marRight w:val="0"/>
      <w:marTop w:val="0"/>
      <w:marBottom w:val="0"/>
      <w:divBdr>
        <w:top w:val="none" w:sz="0" w:space="0" w:color="auto"/>
        <w:left w:val="none" w:sz="0" w:space="0" w:color="auto"/>
        <w:bottom w:val="none" w:sz="0" w:space="0" w:color="auto"/>
        <w:right w:val="none" w:sz="0" w:space="0" w:color="auto"/>
      </w:divBdr>
    </w:div>
    <w:div w:id="1955939806">
      <w:bodyDiv w:val="1"/>
      <w:marLeft w:val="0"/>
      <w:marRight w:val="0"/>
      <w:marTop w:val="0"/>
      <w:marBottom w:val="0"/>
      <w:divBdr>
        <w:top w:val="none" w:sz="0" w:space="0" w:color="auto"/>
        <w:left w:val="none" w:sz="0" w:space="0" w:color="auto"/>
        <w:bottom w:val="none" w:sz="0" w:space="0" w:color="auto"/>
        <w:right w:val="none" w:sz="0" w:space="0" w:color="auto"/>
      </w:divBdr>
    </w:div>
    <w:div w:id="1999308219">
      <w:bodyDiv w:val="1"/>
      <w:marLeft w:val="0"/>
      <w:marRight w:val="0"/>
      <w:marTop w:val="0"/>
      <w:marBottom w:val="0"/>
      <w:divBdr>
        <w:top w:val="none" w:sz="0" w:space="0" w:color="auto"/>
        <w:left w:val="none" w:sz="0" w:space="0" w:color="auto"/>
        <w:bottom w:val="none" w:sz="0" w:space="0" w:color="auto"/>
        <w:right w:val="none" w:sz="0" w:space="0" w:color="auto"/>
      </w:divBdr>
    </w:div>
    <w:div w:id="2112966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1.png"/><Relationship Id="rId21" Type="http://schemas.openxmlformats.org/officeDocument/2006/relationships/header" Target="header6.xml"/><Relationship Id="rId42" Type="http://schemas.openxmlformats.org/officeDocument/2006/relationships/image" Target="media/image7.jpg"/><Relationship Id="rId63" Type="http://schemas.openxmlformats.org/officeDocument/2006/relationships/image" Target="media/image19.png"/><Relationship Id="rId84" Type="http://schemas.openxmlformats.org/officeDocument/2006/relationships/header" Target="header33.xml"/><Relationship Id="rId138" Type="http://schemas.openxmlformats.org/officeDocument/2006/relationships/hyperlink" Target="https://environment.govt.nz/publications/new-zealands-eighth-national-communication/" TargetMode="External"/><Relationship Id="rId159" Type="http://schemas.openxmlformats.org/officeDocument/2006/relationships/header" Target="header49.xml"/><Relationship Id="rId170" Type="http://schemas.openxmlformats.org/officeDocument/2006/relationships/footer" Target="footer27.xml"/><Relationship Id="rId191" Type="http://schemas.openxmlformats.org/officeDocument/2006/relationships/footer" Target="footer34.xml"/><Relationship Id="rId205" Type="http://schemas.openxmlformats.org/officeDocument/2006/relationships/header" Target="header71.xml"/><Relationship Id="rId226" Type="http://schemas.openxmlformats.org/officeDocument/2006/relationships/fontTable" Target="fontTable.xml"/><Relationship Id="rId107" Type="http://schemas.openxmlformats.org/officeDocument/2006/relationships/chart" Target="charts/chart2.xml"/><Relationship Id="rId11" Type="http://schemas.openxmlformats.org/officeDocument/2006/relationships/image" Target="media/image1.jpg"/><Relationship Id="rId32" Type="http://schemas.openxmlformats.org/officeDocument/2006/relationships/image" Target="media/image5.PNG"/><Relationship Id="rId53" Type="http://schemas.openxmlformats.org/officeDocument/2006/relationships/hyperlink" Target="https://www.stats.govt.nz/information-releases/tourism-satellite-account-year-ended-march-2023/" TargetMode="External"/><Relationship Id="rId74" Type="http://schemas.openxmlformats.org/officeDocument/2006/relationships/header" Target="header25.xml"/><Relationship Id="rId128" Type="http://schemas.openxmlformats.org/officeDocument/2006/relationships/footer" Target="footer22.xml"/><Relationship Id="rId149" Type="http://schemas.openxmlformats.org/officeDocument/2006/relationships/hyperlink" Target="https://www.legislation.govt.nz/act/public/2023/0004/latest/LMS822431.html%5D" TargetMode="External"/><Relationship Id="rId5" Type="http://schemas.openxmlformats.org/officeDocument/2006/relationships/numbering" Target="numbering.xml"/><Relationship Id="rId95" Type="http://schemas.openxmlformats.org/officeDocument/2006/relationships/footer" Target="footer21.xml"/><Relationship Id="rId160" Type="http://schemas.openxmlformats.org/officeDocument/2006/relationships/hyperlink" Target="https://www.ipcc.ch/report/ar6/wg2/" TargetMode="External"/><Relationship Id="rId181" Type="http://schemas.openxmlformats.org/officeDocument/2006/relationships/header" Target="header58.xml"/><Relationship Id="rId216" Type="http://schemas.openxmlformats.org/officeDocument/2006/relationships/header" Target="header74.xml"/><Relationship Id="rId22" Type="http://schemas.openxmlformats.org/officeDocument/2006/relationships/footer" Target="footer4.xml"/><Relationship Id="rId43" Type="http://schemas.openxmlformats.org/officeDocument/2006/relationships/image" Target="media/image8.png"/><Relationship Id="rId64" Type="http://schemas.openxmlformats.org/officeDocument/2006/relationships/image" Target="media/image20.png"/><Relationship Id="rId118" Type="http://schemas.openxmlformats.org/officeDocument/2006/relationships/image" Target="media/image42.png"/><Relationship Id="rId139" Type="http://schemas.openxmlformats.org/officeDocument/2006/relationships/image" Target="media/image53.jpg"/><Relationship Id="rId85" Type="http://schemas.openxmlformats.org/officeDocument/2006/relationships/footer" Target="footer18.xml"/><Relationship Id="rId150" Type="http://schemas.openxmlformats.org/officeDocument/2006/relationships/hyperlink" Target="https://www.legislation.govt.nz/act/public/2023/0017/latest/LMS825640.html" TargetMode="External"/><Relationship Id="rId171" Type="http://schemas.openxmlformats.org/officeDocument/2006/relationships/header" Target="header55.xml"/><Relationship Id="rId192" Type="http://schemas.openxmlformats.org/officeDocument/2006/relationships/footer" Target="footer35.xml"/><Relationship Id="rId206" Type="http://schemas.openxmlformats.org/officeDocument/2006/relationships/header" Target="header72.xml"/><Relationship Id="rId227" Type="http://schemas.openxmlformats.org/officeDocument/2006/relationships/theme" Target="theme/theme1.xml"/><Relationship Id="rId12" Type="http://schemas.openxmlformats.org/officeDocument/2006/relationships/header" Target="header1.xml"/><Relationship Id="rId33" Type="http://schemas.openxmlformats.org/officeDocument/2006/relationships/header" Target="header11.xml"/><Relationship Id="rId108" Type="http://schemas.openxmlformats.org/officeDocument/2006/relationships/image" Target="media/image32.png"/><Relationship Id="rId129" Type="http://schemas.openxmlformats.org/officeDocument/2006/relationships/header" Target="header43.xml"/><Relationship Id="rId54" Type="http://schemas.openxmlformats.org/officeDocument/2006/relationships/chart" Target="charts/chart1.xml"/><Relationship Id="rId75" Type="http://schemas.openxmlformats.org/officeDocument/2006/relationships/header" Target="header26.xml"/><Relationship Id="rId96" Type="http://schemas.openxmlformats.org/officeDocument/2006/relationships/header" Target="header40.xml"/><Relationship Id="rId140" Type="http://schemas.openxmlformats.org/officeDocument/2006/relationships/hyperlink" Target="https://environment.govt.nz/assets/publications/climate-change/MFE-AoG-20664-GF-National-Adaptation-Plan-2022-WEB.pdf" TargetMode="External"/><Relationship Id="rId161" Type="http://schemas.openxmlformats.org/officeDocument/2006/relationships/header" Target="header50.xml"/><Relationship Id="rId182" Type="http://schemas.openxmlformats.org/officeDocument/2006/relationships/footer" Target="footer30.xml"/><Relationship Id="rId217" Type="http://schemas.openxmlformats.org/officeDocument/2006/relationships/header" Target="header75.xml"/><Relationship Id="rId6" Type="http://schemas.openxmlformats.org/officeDocument/2006/relationships/styles" Target="styles.xml"/><Relationship Id="rId23" Type="http://schemas.openxmlformats.org/officeDocument/2006/relationships/footer" Target="footer5.xml"/><Relationship Id="rId119" Type="http://schemas.openxmlformats.org/officeDocument/2006/relationships/image" Target="media/image43.png"/><Relationship Id="rId44" Type="http://schemas.openxmlformats.org/officeDocument/2006/relationships/image" Target="media/image9.png"/><Relationship Id="rId65" Type="http://schemas.openxmlformats.org/officeDocument/2006/relationships/header" Target="header20.xml"/><Relationship Id="rId86" Type="http://schemas.openxmlformats.org/officeDocument/2006/relationships/header" Target="header34.xml"/><Relationship Id="rId130" Type="http://schemas.openxmlformats.org/officeDocument/2006/relationships/image" Target="media/image50.png"/><Relationship Id="rId151" Type="http://schemas.openxmlformats.org/officeDocument/2006/relationships/image" Target="media/image54.jpg"/><Relationship Id="rId172" Type="http://schemas.openxmlformats.org/officeDocument/2006/relationships/hyperlink" Target="https://www.doc.govt.nz/our-work/climate-change-and-conservation/adapting-to-climate-change/" TargetMode="External"/><Relationship Id="rId193" Type="http://schemas.openxmlformats.org/officeDocument/2006/relationships/header" Target="header64.xml"/><Relationship Id="rId207" Type="http://schemas.openxmlformats.org/officeDocument/2006/relationships/footer" Target="footer40.xml"/><Relationship Id="rId13" Type="http://schemas.openxmlformats.org/officeDocument/2006/relationships/footer" Target="footer1.xml"/><Relationship Id="rId109" Type="http://schemas.openxmlformats.org/officeDocument/2006/relationships/image" Target="media/image33.png"/><Relationship Id="rId34" Type="http://schemas.openxmlformats.org/officeDocument/2006/relationships/header" Target="header12.xml"/><Relationship Id="rId55" Type="http://schemas.openxmlformats.org/officeDocument/2006/relationships/hyperlink" Target="https://www.mbie.govt.nz/building-and-energy/energy-and-natural-resources/energy-statistics-and-modelling/energy-statistics/electricity-statistics" TargetMode="External"/><Relationship Id="rId76" Type="http://schemas.openxmlformats.org/officeDocument/2006/relationships/header" Target="header27.xml"/><Relationship Id="rId97" Type="http://schemas.openxmlformats.org/officeDocument/2006/relationships/image" Target="media/image22.png"/><Relationship Id="rId120" Type="http://schemas.openxmlformats.org/officeDocument/2006/relationships/image" Target="media/image44.png"/><Relationship Id="rId141" Type="http://schemas.openxmlformats.org/officeDocument/2006/relationships/hyperlink" Target="https://www.legislation.govt.nz/act/public/1991/0069/latest/DLM230265.html" TargetMode="External"/><Relationship Id="rId7" Type="http://schemas.openxmlformats.org/officeDocument/2006/relationships/settings" Target="settings.xml"/><Relationship Id="rId162" Type="http://schemas.openxmlformats.org/officeDocument/2006/relationships/header" Target="header51.xml"/><Relationship Id="rId183" Type="http://schemas.openxmlformats.org/officeDocument/2006/relationships/header" Target="header59.xml"/><Relationship Id="rId218" Type="http://schemas.openxmlformats.org/officeDocument/2006/relationships/footer" Target="footer41.xml"/><Relationship Id="rId24" Type="http://schemas.openxmlformats.org/officeDocument/2006/relationships/header" Target="header7.xml"/><Relationship Id="rId45" Type="http://schemas.openxmlformats.org/officeDocument/2006/relationships/image" Target="media/image10.png"/><Relationship Id="rId66" Type="http://schemas.openxmlformats.org/officeDocument/2006/relationships/header" Target="header21.xml"/><Relationship Id="rId87" Type="http://schemas.openxmlformats.org/officeDocument/2006/relationships/image" Target="media/image21.png"/><Relationship Id="rId110" Type="http://schemas.openxmlformats.org/officeDocument/2006/relationships/image" Target="media/image34.png"/><Relationship Id="rId131" Type="http://schemas.openxmlformats.org/officeDocument/2006/relationships/image" Target="media/image51.png"/><Relationship Id="rId152" Type="http://schemas.openxmlformats.org/officeDocument/2006/relationships/hyperlink" Target="https://environment.govt.nz/assets/publications/climate-change/MFE-AoG-20664-GF-National-Adaptation-Plan-2022-WEB.pdf" TargetMode="External"/><Relationship Id="rId173" Type="http://schemas.openxmlformats.org/officeDocument/2006/relationships/hyperlink" Target="https://www.theaotearoacircle.nz/tourism-adaptation-roadmap" TargetMode="External"/><Relationship Id="rId194" Type="http://schemas.openxmlformats.org/officeDocument/2006/relationships/image" Target="media/image57.jpg"/><Relationship Id="rId208" Type="http://schemas.openxmlformats.org/officeDocument/2006/relationships/header" Target="header73.xml"/><Relationship Id="rId14" Type="http://schemas.openxmlformats.org/officeDocument/2006/relationships/hyperlink" Target="https://environment.govt.nz/" TargetMode="External"/><Relationship Id="rId35" Type="http://schemas.openxmlformats.org/officeDocument/2006/relationships/footer" Target="footer9.xml"/><Relationship Id="rId56" Type="http://schemas.openxmlformats.org/officeDocument/2006/relationships/image" Target="media/image14.png"/><Relationship Id="rId77" Type="http://schemas.openxmlformats.org/officeDocument/2006/relationships/footer" Target="footer16.xml"/><Relationship Id="rId100" Type="http://schemas.openxmlformats.org/officeDocument/2006/relationships/image" Target="media/image25.png"/><Relationship Id="rId8" Type="http://schemas.openxmlformats.org/officeDocument/2006/relationships/webSettings" Target="webSettings.xml"/><Relationship Id="rId98" Type="http://schemas.openxmlformats.org/officeDocument/2006/relationships/image" Target="media/image23.png"/><Relationship Id="rId121" Type="http://schemas.openxmlformats.org/officeDocument/2006/relationships/image" Target="media/image45.png"/><Relationship Id="rId142" Type="http://schemas.openxmlformats.org/officeDocument/2006/relationships/hyperlink" Target="https://www.legislation.govt.nz/act/public/2002/0033/latest/whole.html" TargetMode="External"/><Relationship Id="rId163" Type="http://schemas.openxmlformats.org/officeDocument/2006/relationships/footer" Target="footer26.xml"/><Relationship Id="rId184" Type="http://schemas.openxmlformats.org/officeDocument/2006/relationships/header" Target="header60.xml"/><Relationship Id="rId219" Type="http://schemas.openxmlformats.org/officeDocument/2006/relationships/footer" Target="footer42.xml"/><Relationship Id="rId3" Type="http://schemas.openxmlformats.org/officeDocument/2006/relationships/customXml" Target="../customXml/item3.xml"/><Relationship Id="rId214" Type="http://schemas.openxmlformats.org/officeDocument/2006/relationships/hyperlink" Target="http://www.mpi.govt.nz/growing-and-harvesting/%20forestry/forestry-in-the-emissions-trading-scheme" TargetMode="External"/><Relationship Id="rId25" Type="http://schemas.openxmlformats.org/officeDocument/2006/relationships/footer" Target="footer6.xml"/><Relationship Id="rId46" Type="http://schemas.openxmlformats.org/officeDocument/2006/relationships/image" Target="media/image11.png"/><Relationship Id="rId67" Type="http://schemas.openxmlformats.org/officeDocument/2006/relationships/footer" Target="footer12.xml"/><Relationship Id="rId116" Type="http://schemas.openxmlformats.org/officeDocument/2006/relationships/image" Target="media/image40.png"/><Relationship Id="rId137" Type="http://schemas.openxmlformats.org/officeDocument/2006/relationships/hyperlink" Target="https://environment.govt.nz/assets/publications/New-Zealands-Eighth-National-Communication.pdf" TargetMode="External"/><Relationship Id="rId158" Type="http://schemas.openxmlformats.org/officeDocument/2006/relationships/footer" Target="footer25.xml"/><Relationship Id="rId20" Type="http://schemas.openxmlformats.org/officeDocument/2006/relationships/header" Target="header5.xml"/><Relationship Id="rId41" Type="http://schemas.openxmlformats.org/officeDocument/2006/relationships/header" Target="header16.xml"/><Relationship Id="rId62" Type="http://schemas.openxmlformats.org/officeDocument/2006/relationships/hyperlink" Target="https://environment.govt.nz/facts-and-science/waste/download-waste-data/" TargetMode="External"/><Relationship Id="rId83" Type="http://schemas.openxmlformats.org/officeDocument/2006/relationships/header" Target="header32.xml"/><Relationship Id="rId88" Type="http://schemas.openxmlformats.org/officeDocument/2006/relationships/header" Target="header35.xml"/><Relationship Id="rId111" Type="http://schemas.openxmlformats.org/officeDocument/2006/relationships/image" Target="media/image35.png"/><Relationship Id="rId132" Type="http://schemas.openxmlformats.org/officeDocument/2006/relationships/image" Target="media/image52.png"/><Relationship Id="rId153" Type="http://schemas.openxmlformats.org/officeDocument/2006/relationships/image" Target="media/image55.png"/><Relationship Id="rId174" Type="http://schemas.openxmlformats.org/officeDocument/2006/relationships/hyperlink" Target="https://www.mpi.govt.nz/funding-rural-support/farming-funds-and-programmes/slmacc/slmacc-adaptation/" TargetMode="External"/><Relationship Id="rId179" Type="http://schemas.openxmlformats.org/officeDocument/2006/relationships/footer" Target="footer28.xml"/><Relationship Id="rId195" Type="http://schemas.openxmlformats.org/officeDocument/2006/relationships/header" Target="header65.xml"/><Relationship Id="rId209" Type="http://schemas.openxmlformats.org/officeDocument/2006/relationships/image" Target="media/image58.png"/><Relationship Id="rId190" Type="http://schemas.openxmlformats.org/officeDocument/2006/relationships/header" Target="header63.xml"/><Relationship Id="rId204" Type="http://schemas.openxmlformats.org/officeDocument/2006/relationships/header" Target="header70.xml"/><Relationship Id="rId220" Type="http://schemas.openxmlformats.org/officeDocument/2006/relationships/header" Target="header76.xml"/><Relationship Id="rId225" Type="http://schemas.openxmlformats.org/officeDocument/2006/relationships/header" Target="header79.xml"/><Relationship Id="rId15" Type="http://schemas.openxmlformats.org/officeDocument/2006/relationships/header" Target="header2.xml"/><Relationship Id="rId36" Type="http://schemas.openxmlformats.org/officeDocument/2006/relationships/header" Target="header13.xml"/><Relationship Id="rId57" Type="http://schemas.openxmlformats.org/officeDocument/2006/relationships/hyperlink" Target="https://www.mbie.govt.nz/building-and-energy/energy-and-natural-resources/energy-statistics-and-modelling/energy-statistics/new-zealand-energy-sector-greenhouse-gas-emissions" TargetMode="External"/><Relationship Id="rId106" Type="http://schemas.openxmlformats.org/officeDocument/2006/relationships/image" Target="media/image31.png"/><Relationship Id="rId127" Type="http://schemas.openxmlformats.org/officeDocument/2006/relationships/header" Target="header42.xml"/><Relationship Id="rId10" Type="http://schemas.openxmlformats.org/officeDocument/2006/relationships/endnotes" Target="endnotes.xml"/><Relationship Id="rId31" Type="http://schemas.openxmlformats.org/officeDocument/2006/relationships/image" Target="media/image4.png"/><Relationship Id="rId52" Type="http://schemas.openxmlformats.org/officeDocument/2006/relationships/image" Target="media/image13.png"/><Relationship Id="rId73" Type="http://schemas.openxmlformats.org/officeDocument/2006/relationships/footer" Target="footer15.xml"/><Relationship Id="rId78" Type="http://schemas.openxmlformats.org/officeDocument/2006/relationships/header" Target="header28.xml"/><Relationship Id="rId94" Type="http://schemas.openxmlformats.org/officeDocument/2006/relationships/header" Target="header39.xml"/><Relationship Id="rId99" Type="http://schemas.openxmlformats.org/officeDocument/2006/relationships/image" Target="media/image24.png"/><Relationship Id="rId101" Type="http://schemas.openxmlformats.org/officeDocument/2006/relationships/image" Target="media/image26.png"/><Relationship Id="rId122" Type="http://schemas.openxmlformats.org/officeDocument/2006/relationships/image" Target="media/image46.png"/><Relationship Id="rId143" Type="http://schemas.openxmlformats.org/officeDocument/2006/relationships/hyperlink" Target="https://legislation.govt.nz/act/public/1941/0012/latest/DLM230365.html" TargetMode="External"/><Relationship Id="rId148" Type="http://schemas.openxmlformats.org/officeDocument/2006/relationships/hyperlink" Target="https://legislation.govt.nz/act/public/2023/0001/latest/whole.html" TargetMode="External"/><Relationship Id="rId164" Type="http://schemas.openxmlformats.org/officeDocument/2006/relationships/header" Target="header52.xml"/><Relationship Id="rId169" Type="http://schemas.openxmlformats.org/officeDocument/2006/relationships/header" Target="header54.xml"/><Relationship Id="rId185" Type="http://schemas.openxmlformats.org/officeDocument/2006/relationships/footer" Target="footer31.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oter" Target="footer29.xml"/><Relationship Id="rId210" Type="http://schemas.openxmlformats.org/officeDocument/2006/relationships/chart" Target="charts/chart3.xml"/><Relationship Id="rId215" Type="http://schemas.openxmlformats.org/officeDocument/2006/relationships/hyperlink" Target="http://dx.doi.org/10.26021/13673" TargetMode="External"/><Relationship Id="rId26" Type="http://schemas.openxmlformats.org/officeDocument/2006/relationships/header" Target="header8.xml"/><Relationship Id="rId47" Type="http://schemas.openxmlformats.org/officeDocument/2006/relationships/header" Target="header17.xml"/><Relationship Id="rId68" Type="http://schemas.openxmlformats.org/officeDocument/2006/relationships/footer" Target="footer13.xml"/><Relationship Id="rId89" Type="http://schemas.openxmlformats.org/officeDocument/2006/relationships/header" Target="header36.xml"/><Relationship Id="rId112" Type="http://schemas.openxmlformats.org/officeDocument/2006/relationships/image" Target="media/image36.png"/><Relationship Id="rId133" Type="http://schemas.openxmlformats.org/officeDocument/2006/relationships/header" Target="header44.xml"/><Relationship Id="rId154" Type="http://schemas.openxmlformats.org/officeDocument/2006/relationships/hyperlink" Target="https://www.climatecommission.govt.nz/our-work/adaptation/nappa/nappa-2024/" TargetMode="External"/><Relationship Id="rId175" Type="http://schemas.openxmlformats.org/officeDocument/2006/relationships/hyperlink" Target="https://www.civildefence.govt.nz/cdem-sector/plans-and-strategies/national-disaster-resilience-strategy" TargetMode="External"/><Relationship Id="rId196" Type="http://schemas.openxmlformats.org/officeDocument/2006/relationships/header" Target="header66.xml"/><Relationship Id="rId200" Type="http://schemas.openxmlformats.org/officeDocument/2006/relationships/header" Target="header68.xml"/><Relationship Id="rId16" Type="http://schemas.openxmlformats.org/officeDocument/2006/relationships/header" Target="header3.xml"/><Relationship Id="rId221" Type="http://schemas.openxmlformats.org/officeDocument/2006/relationships/header" Target="header77.xml"/><Relationship Id="rId37" Type="http://schemas.openxmlformats.org/officeDocument/2006/relationships/image" Target="media/image6.png"/><Relationship Id="rId58" Type="http://schemas.openxmlformats.org/officeDocument/2006/relationships/image" Target="media/image15.png"/><Relationship Id="rId79" Type="http://schemas.openxmlformats.org/officeDocument/2006/relationships/header" Target="header29.xml"/><Relationship Id="rId102" Type="http://schemas.openxmlformats.org/officeDocument/2006/relationships/image" Target="media/image27.png"/><Relationship Id="rId123" Type="http://schemas.openxmlformats.org/officeDocument/2006/relationships/image" Target="media/image47.png"/><Relationship Id="rId144" Type="http://schemas.openxmlformats.org/officeDocument/2006/relationships/hyperlink" Target="https://www.legislation.govt.nz/act/public/2002/0084/latest/DLM170873.html" TargetMode="External"/><Relationship Id="rId90" Type="http://schemas.openxmlformats.org/officeDocument/2006/relationships/footer" Target="footer19.xml"/><Relationship Id="rId165" Type="http://schemas.openxmlformats.org/officeDocument/2006/relationships/image" Target="media/image56.jpg"/><Relationship Id="rId186" Type="http://schemas.openxmlformats.org/officeDocument/2006/relationships/footer" Target="footer32.xml"/><Relationship Id="rId211" Type="http://schemas.openxmlformats.org/officeDocument/2006/relationships/hyperlink" Target="https://op.europa.eu/en/publication-detail/-/publication/5ef89b70-8fba-11e8-8bc1-01aa75ed71a1/language-en" TargetMode="External"/><Relationship Id="rId27" Type="http://schemas.openxmlformats.org/officeDocument/2006/relationships/header" Target="header9.xml"/><Relationship Id="rId48" Type="http://schemas.openxmlformats.org/officeDocument/2006/relationships/header" Target="header18.xml"/><Relationship Id="rId69" Type="http://schemas.openxmlformats.org/officeDocument/2006/relationships/header" Target="header22.xml"/><Relationship Id="rId113" Type="http://schemas.openxmlformats.org/officeDocument/2006/relationships/image" Target="media/image37.png"/><Relationship Id="rId134" Type="http://schemas.openxmlformats.org/officeDocument/2006/relationships/header" Target="header45.xml"/><Relationship Id="rId80" Type="http://schemas.openxmlformats.org/officeDocument/2006/relationships/header" Target="header30.xml"/><Relationship Id="rId155" Type="http://schemas.openxmlformats.org/officeDocument/2006/relationships/header" Target="header47.xml"/><Relationship Id="rId176" Type="http://schemas.openxmlformats.org/officeDocument/2006/relationships/hyperlink" Target="https://www.mfat.govt.nz/assets/Aid/Climate-finance/International-Climate-Finance-Strategy-FINAL-16Aug22-low-res.pdf" TargetMode="External"/><Relationship Id="rId197" Type="http://schemas.openxmlformats.org/officeDocument/2006/relationships/footer" Target="footer36.xml"/><Relationship Id="rId201" Type="http://schemas.openxmlformats.org/officeDocument/2006/relationships/header" Target="header69.xml"/><Relationship Id="rId222" Type="http://schemas.openxmlformats.org/officeDocument/2006/relationships/header" Target="header78.xml"/><Relationship Id="rId17" Type="http://schemas.openxmlformats.org/officeDocument/2006/relationships/footer" Target="footer2.xml"/><Relationship Id="rId38" Type="http://schemas.openxmlformats.org/officeDocument/2006/relationships/header" Target="header14.xml"/><Relationship Id="rId59" Type="http://schemas.openxmlformats.org/officeDocument/2006/relationships/image" Target="media/image16.png"/><Relationship Id="rId103" Type="http://schemas.openxmlformats.org/officeDocument/2006/relationships/image" Target="media/image28.png"/><Relationship Id="rId124" Type="http://schemas.openxmlformats.org/officeDocument/2006/relationships/image" Target="media/image48.png"/><Relationship Id="rId70" Type="http://schemas.openxmlformats.org/officeDocument/2006/relationships/header" Target="header23.xml"/><Relationship Id="rId91" Type="http://schemas.openxmlformats.org/officeDocument/2006/relationships/footer" Target="footer20.xml"/><Relationship Id="rId145" Type="http://schemas.openxmlformats.org/officeDocument/2006/relationships/hyperlink" Target="https://www.legislation.govt.nz/act/public/2004/0072/latest/DLM306036.html" TargetMode="External"/><Relationship Id="rId166" Type="http://schemas.openxmlformats.org/officeDocument/2006/relationships/hyperlink" Target="https://environment.govt.nz/assets/publications/climate-change/MFE-AoG-20664-GF-National-Adaptation-Plan-2022-WEB.pdf" TargetMode="External"/><Relationship Id="rId187" Type="http://schemas.openxmlformats.org/officeDocument/2006/relationships/header" Target="header61.xml"/><Relationship Id="rId1" Type="http://schemas.openxmlformats.org/officeDocument/2006/relationships/customXml" Target="../customXml/item1.xml"/><Relationship Id="rId212" Type="http://schemas.openxmlformats.org/officeDocument/2006/relationships/hyperlink" Target="https://op.europa.eu/en/publication-detail/-/publication/463a7063-5fba-11e7-954d-01aa75ed71a1/language-en" TargetMode="External"/><Relationship Id="rId28" Type="http://schemas.openxmlformats.org/officeDocument/2006/relationships/footer" Target="footer7.xml"/><Relationship Id="rId49" Type="http://schemas.openxmlformats.org/officeDocument/2006/relationships/footer" Target="footer11.xml"/><Relationship Id="rId114" Type="http://schemas.openxmlformats.org/officeDocument/2006/relationships/image" Target="media/image38.png"/><Relationship Id="rId60" Type="http://schemas.openxmlformats.org/officeDocument/2006/relationships/image" Target="media/image17.png"/><Relationship Id="rId81" Type="http://schemas.openxmlformats.org/officeDocument/2006/relationships/footer" Target="footer17.xml"/><Relationship Id="rId135" Type="http://schemas.openxmlformats.org/officeDocument/2006/relationships/footer" Target="footer23.xml"/><Relationship Id="rId156" Type="http://schemas.openxmlformats.org/officeDocument/2006/relationships/header" Target="header48.xml"/><Relationship Id="rId177" Type="http://schemas.openxmlformats.org/officeDocument/2006/relationships/header" Target="header56.xml"/><Relationship Id="rId198" Type="http://schemas.openxmlformats.org/officeDocument/2006/relationships/footer" Target="footer37.xml"/><Relationship Id="rId202" Type="http://schemas.openxmlformats.org/officeDocument/2006/relationships/footer" Target="footer38.xml"/><Relationship Id="rId223" Type="http://schemas.openxmlformats.org/officeDocument/2006/relationships/footer" Target="footer43.xml"/><Relationship Id="rId18" Type="http://schemas.openxmlformats.org/officeDocument/2006/relationships/footer" Target="footer3.xml"/><Relationship Id="rId39" Type="http://schemas.openxmlformats.org/officeDocument/2006/relationships/header" Target="header15.xml"/><Relationship Id="rId50" Type="http://schemas.openxmlformats.org/officeDocument/2006/relationships/header" Target="header19.xml"/><Relationship Id="rId104" Type="http://schemas.openxmlformats.org/officeDocument/2006/relationships/image" Target="media/image29.png"/><Relationship Id="rId125" Type="http://schemas.openxmlformats.org/officeDocument/2006/relationships/image" Target="media/image49.png"/><Relationship Id="rId146" Type="http://schemas.openxmlformats.org/officeDocument/2006/relationships/hyperlink" Target="https://www.legislation.govt.nz/act/public/1987/0174/latest/DLM122242.html" TargetMode="External"/><Relationship Id="rId167" Type="http://schemas.openxmlformats.org/officeDocument/2006/relationships/hyperlink" Target="https://environment.govt.nz/publications/new-zealands-eighth-national-communication/" TargetMode="External"/><Relationship Id="rId188" Type="http://schemas.openxmlformats.org/officeDocument/2006/relationships/footer" Target="footer33.xml"/><Relationship Id="rId71" Type="http://schemas.openxmlformats.org/officeDocument/2006/relationships/header" Target="header24.xml"/><Relationship Id="rId92" Type="http://schemas.openxmlformats.org/officeDocument/2006/relationships/header" Target="header37.xml"/><Relationship Id="rId213" Type="http://schemas.openxmlformats.org/officeDocument/2006/relationships/hyperlink" Target="https://www.mpi.govt.nz/dmsdocument/55996/direct" TargetMode="External"/><Relationship Id="rId2" Type="http://schemas.openxmlformats.org/officeDocument/2006/relationships/customXml" Target="../customXml/item2.xml"/><Relationship Id="rId29" Type="http://schemas.openxmlformats.org/officeDocument/2006/relationships/header" Target="header10.xml"/><Relationship Id="rId40" Type="http://schemas.openxmlformats.org/officeDocument/2006/relationships/footer" Target="footer10.xml"/><Relationship Id="rId115" Type="http://schemas.openxmlformats.org/officeDocument/2006/relationships/image" Target="media/image39.png"/><Relationship Id="rId136" Type="http://schemas.openxmlformats.org/officeDocument/2006/relationships/header" Target="header46.xml"/><Relationship Id="rId157" Type="http://schemas.openxmlformats.org/officeDocument/2006/relationships/footer" Target="footer24.xml"/><Relationship Id="rId178" Type="http://schemas.openxmlformats.org/officeDocument/2006/relationships/header" Target="header57.xml"/><Relationship Id="rId61" Type="http://schemas.openxmlformats.org/officeDocument/2006/relationships/image" Target="media/image18.png"/><Relationship Id="rId82" Type="http://schemas.openxmlformats.org/officeDocument/2006/relationships/header" Target="header31.xml"/><Relationship Id="rId199" Type="http://schemas.openxmlformats.org/officeDocument/2006/relationships/header" Target="header67.xml"/><Relationship Id="rId203" Type="http://schemas.openxmlformats.org/officeDocument/2006/relationships/footer" Target="footer39.xml"/><Relationship Id="rId19" Type="http://schemas.openxmlformats.org/officeDocument/2006/relationships/header" Target="header4.xml"/><Relationship Id="rId224" Type="http://schemas.openxmlformats.org/officeDocument/2006/relationships/footer" Target="footer44.xml"/><Relationship Id="rId30" Type="http://schemas.openxmlformats.org/officeDocument/2006/relationships/footer" Target="footer8.xml"/><Relationship Id="rId105" Type="http://schemas.openxmlformats.org/officeDocument/2006/relationships/image" Target="media/image30.png"/><Relationship Id="rId126" Type="http://schemas.openxmlformats.org/officeDocument/2006/relationships/header" Target="header41.xml"/><Relationship Id="rId147" Type="http://schemas.openxmlformats.org/officeDocument/2006/relationships/hyperlink" Target="https://www.doc.govt.nz/about-us/science-publications/conservation-publications/marine-and-coastal/new-zealand-coastal-policy-statement/new-zealand-coastal-policy-statement-2010/" TargetMode="External"/><Relationship Id="rId168" Type="http://schemas.openxmlformats.org/officeDocument/2006/relationships/header" Target="header53.xml"/><Relationship Id="rId51" Type="http://schemas.openxmlformats.org/officeDocument/2006/relationships/image" Target="media/image12.jpg"/><Relationship Id="rId72" Type="http://schemas.openxmlformats.org/officeDocument/2006/relationships/footer" Target="footer14.xml"/><Relationship Id="rId93" Type="http://schemas.openxmlformats.org/officeDocument/2006/relationships/header" Target="header38.xml"/><Relationship Id="rId189" Type="http://schemas.openxmlformats.org/officeDocument/2006/relationships/header" Target="header62.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117" Type="http://schemas.openxmlformats.org/officeDocument/2006/relationships/hyperlink" Target="https://www.mpi.govt.nz/funding-rural-support/environment-and-natural-resources/centre-for-climate-action-on-agricultural-emissions/" TargetMode="External"/><Relationship Id="rId21" Type="http://schemas.openxmlformats.org/officeDocument/2006/relationships/hyperlink" Target="https://www.stats.govt.nz/information-releases/greenhouse-gas-emissions-industry-and-household-march-2024-quarter/" TargetMode="External"/><Relationship Id="rId42" Type="http://schemas.openxmlformats.org/officeDocument/2006/relationships/hyperlink" Target="https://www.mbie.govt.nz/dmsdocument/178-chronology-of-nz-electricity-reform-pdf" TargetMode="External"/><Relationship Id="rId63" Type="http://schemas.openxmlformats.org/officeDocument/2006/relationships/hyperlink" Target="https://www.mpi.govt.nz/resources-and-forms/economic-intelligence/situation-and-outlook-for-primary-industries/" TargetMode="External"/><Relationship Id="rId84" Type="http://schemas.openxmlformats.org/officeDocument/2006/relationships/hyperlink" Target="https://www.stats.govt.nz/information-releases/2018-census-urban-accessibility-dataset" TargetMode="External"/><Relationship Id="rId138" Type="http://schemas.openxmlformats.org/officeDocument/2006/relationships/hyperlink" Target="https://www.mpi.govt.nz/dmsdocument/62313-Afforestation-and-Deforestation-Intentions-Survey-2023" TargetMode="External"/><Relationship Id="rId159" Type="http://schemas.openxmlformats.org/officeDocument/2006/relationships/hyperlink" Target="https://www.ipcc.ch/report/ar6/wg1/" TargetMode="External"/><Relationship Id="rId170" Type="http://schemas.openxmlformats.org/officeDocument/2006/relationships/hyperlink" Target="https://www.tpk.govt.nz/en/mo-te-puni-kokiri/our-stories-and-media/understanding-climate-hazards-for-hapori-maori" TargetMode="External"/><Relationship Id="rId191" Type="http://schemas.openxmlformats.org/officeDocument/2006/relationships/hyperlink" Target="https://environment.govt.nz/publications/adaptation-preparedness-2024-update/" TargetMode="External"/><Relationship Id="rId205" Type="http://schemas.openxmlformats.org/officeDocument/2006/relationships/hyperlink" Target="https://environment.govt.nz/publications/adaptation-preparedness-2024-update/" TargetMode="External"/><Relationship Id="rId226" Type="http://schemas.openxmlformats.org/officeDocument/2006/relationships/hyperlink" Target="https://www.whakatane.govt.nz/documents/council-plans/operative-district-plan-2017/plan-change-1-awatarariki-fanhead-matat%C4%81" TargetMode="External"/><Relationship Id="rId107" Type="http://schemas.openxmlformats.org/officeDocument/2006/relationships/hyperlink" Target="https://www.beehive.govt.nz/sites/default/files/2024-04/NZ%20Singapore%20PMs%27%20Joint%20Statement%2015%20April%202024.pdf" TargetMode="External"/><Relationship Id="rId11" Type="http://schemas.openxmlformats.org/officeDocument/2006/relationships/hyperlink" Target="https://www.stats.govt.nz/news/net-migration-loss-of-new-zealand-citizens-exceeds-50000/" TargetMode="External"/><Relationship Id="rId32" Type="http://schemas.openxmlformats.org/officeDocument/2006/relationships/hyperlink" Target="https://www.ipcc.ch/report/ar6/wg1/" TargetMode="External"/><Relationship Id="rId53" Type="http://schemas.openxmlformats.org/officeDocument/2006/relationships/hyperlink" Target="https://environment.govt.nz/publications/new-zealands-greenhouse-gas-inventory-1990-2022/" TargetMode="External"/><Relationship Id="rId74" Type="http://schemas.openxmlformats.org/officeDocument/2006/relationships/hyperlink" Target="https://environment.govt.nz/publications/new-zealands-greenhouse-gas-inventory-19902022-snapshot/" TargetMode="External"/><Relationship Id="rId128" Type="http://schemas.openxmlformats.org/officeDocument/2006/relationships/hyperlink" Target="https://www.legislation.govt.nz/regulation/public/2004/0309/latest/DLM286835.html?search=ta_regulation_R_rc%40rinf%40rnif_an%40bn%40rn_25_a&amp;p=3" TargetMode="External"/><Relationship Id="rId149" Type="http://schemas.openxmlformats.org/officeDocument/2006/relationships/hyperlink" Target="https://www.mpi.govt.nz/dmsdocument/62313-Afforestation-and-Deforestation-Intentions-Survey-2023" TargetMode="External"/><Relationship Id="rId5" Type="http://schemas.openxmlformats.org/officeDocument/2006/relationships/hyperlink" Target="https://www.stats.govt.nz/infoshare" TargetMode="External"/><Relationship Id="rId95" Type="http://schemas.openxmlformats.org/officeDocument/2006/relationships/hyperlink" Target="https://environment.govt.nz/publications/second-emissions-reduction-plan" TargetMode="External"/><Relationship Id="rId160" Type="http://schemas.openxmlformats.org/officeDocument/2006/relationships/hyperlink" Target="https://www.stats.govt.nz/indicators/coastal-sea-level-rise" TargetMode="External"/><Relationship Id="rId181" Type="http://schemas.openxmlformats.org/officeDocument/2006/relationships/hyperlink" Target="https://environment.govt.nz/assets/Publications/Files/national-climate-change-risk-assessment-main-report.pdf" TargetMode="External"/><Relationship Id="rId216" Type="http://schemas.openxmlformats.org/officeDocument/2006/relationships/hyperlink" Target="https://environment.govt.nz/assets/publications/ngaa-rauru-kiitahi-climate-change-strategy.pdf" TargetMode="External"/><Relationship Id="rId237" Type="http://schemas.openxmlformats.org/officeDocument/2006/relationships/hyperlink" Target="https://www.mfat.govt.nz/assets/Aid/Climate-finance/International-Climate-Finance-Strategy-At-a-glance-FINAL.pdf" TargetMode="External"/><Relationship Id="rId22" Type="http://schemas.openxmlformats.org/officeDocument/2006/relationships/hyperlink" Target="https://statisticsnz.shinyapps.io/trade_dashboard/" TargetMode="External"/><Relationship Id="rId43" Type="http://schemas.openxmlformats.org/officeDocument/2006/relationships/hyperlink" Target="https://environment.govt.nz/publications/new-zealands-greenhouse-gas-inventory-1990-2022/" TargetMode="External"/><Relationship Id="rId64" Type="http://schemas.openxmlformats.org/officeDocument/2006/relationships/hyperlink" Target="https://environment.govt.nz/publications/new-zealands-greenhouse-gas-inventory-19902022-snapshot/" TargetMode="External"/><Relationship Id="rId118" Type="http://schemas.openxmlformats.org/officeDocument/2006/relationships/hyperlink" Target="https://globalresearchalliance.org/" TargetMode="External"/><Relationship Id="rId139" Type="http://schemas.openxmlformats.org/officeDocument/2006/relationships/hyperlink" Target="http://www.mpi.govt.nz/dmsdocument/52405Afforestation-and-Deforestation-Intentions-Survey-2021" TargetMode="External"/><Relationship Id="rId85" Type="http://schemas.openxmlformats.org/officeDocument/2006/relationships/hyperlink" Target="https://www.stats.govt.nz/information-releases/dwelling-and-household-estimates-june-2023-quarter/" TargetMode="External"/><Relationship Id="rId150" Type="http://schemas.openxmlformats.org/officeDocument/2006/relationships/hyperlink" Target="http://www.mpi.govt.nz/dmsdocument/52405Afforestation-and-Deforestation-Intentions-Survey-2021" TargetMode="External"/><Relationship Id="rId171" Type="http://schemas.openxmlformats.org/officeDocument/2006/relationships/hyperlink" Target="https://deepsouthchallenge.co.nz/wp-content/uploads/2021/01/Insurance-Retreat-December-2020-Final-Report.pdf" TargetMode="External"/><Relationship Id="rId192" Type="http://schemas.openxmlformats.org/officeDocument/2006/relationships/hyperlink" Target="https://www.parliament.nz/en/pb/sc/scl/finance-and-expenditure/tab/submissionsandadvice" TargetMode="External"/><Relationship Id="rId206" Type="http://schemas.openxmlformats.org/officeDocument/2006/relationships/hyperlink" Target="https://www.theaotearoacircle.nz/reports-resources" TargetMode="External"/><Relationship Id="rId227" Type="http://schemas.openxmlformats.org/officeDocument/2006/relationships/hyperlink" Target="https://environment.govt.nz/assets/publications/ngaa-rauru-kiitahi-climate-change-strategy.pdf" TargetMode="External"/><Relationship Id="rId12" Type="http://schemas.openxmlformats.org/officeDocument/2006/relationships/hyperlink" Target="https://www.stats.govt.nz/news/net-migration-remains-near-record-level/" TargetMode="External"/><Relationship Id="rId33" Type="http://schemas.openxmlformats.org/officeDocument/2006/relationships/hyperlink" Target="https://www.stats.govt.nz/indicators/coastal-sea-level-rise" TargetMode="External"/><Relationship Id="rId108" Type="http://schemas.openxmlformats.org/officeDocument/2006/relationships/hyperlink" Target="https://www.beehive.govt.nz/sites/default/files/2024-04/Thailand%20NZ%20Joint%20Statement%2017%20April%202024.pdf" TargetMode="External"/><Relationship Id="rId129" Type="http://schemas.openxmlformats.org/officeDocument/2006/relationships/hyperlink" Target="https://environment.govt.nz/assets/publications/GhG-Inventory/GHG-inventory-2024/GHG-Inventory-2024-Vol-1.pdf" TargetMode="External"/><Relationship Id="rId54" Type="http://schemas.openxmlformats.org/officeDocument/2006/relationships/hyperlink" Target="https://infoshare.stats.govt.nz/" TargetMode="External"/><Relationship Id="rId75" Type="http://schemas.openxmlformats.org/officeDocument/2006/relationships/hyperlink" Target="https://environment.govt.nz/publications/new-zealands-greenhouse-gas-inventory-1990-2022/" TargetMode="External"/><Relationship Id="rId96" Type="http://schemas.openxmlformats.org/officeDocument/2006/relationships/hyperlink" Target="https://environment.govt.nz/publications/annual-updates-to-new-zealand-emissions-trading-scheme-limits-and-price-control-settings-for-units-2024-consultation-document/" TargetMode="External"/><Relationship Id="rId140" Type="http://schemas.openxmlformats.org/officeDocument/2006/relationships/hyperlink" Target="https://www.mpi.govt.nz/dmsdocument/62313-Afforestation-and-Deforestation-Intentions-Survey-2023" TargetMode="External"/><Relationship Id="rId161" Type="http://schemas.openxmlformats.org/officeDocument/2006/relationships/hyperlink" Target="https://climatedata.environment.govt.nz/" TargetMode="External"/><Relationship Id="rId182" Type="http://schemas.openxmlformats.org/officeDocument/2006/relationships/hyperlink" Target="https://environment.govt.nz/assets/Publications/Files/national-climate-change-risk-assessment-technical-report.pdf" TargetMode="External"/><Relationship Id="rId217" Type="http://schemas.openxmlformats.org/officeDocument/2006/relationships/hyperlink" Target="https://environment.govt.nz/assets/March-Quarterly-Progress-Report.pdf" TargetMode="External"/><Relationship Id="rId6" Type="http://schemas.openxmlformats.org/officeDocument/2006/relationships/hyperlink" Target="https://www.stats.govt.nz/infoshare" TargetMode="External"/><Relationship Id="rId238" Type="http://schemas.openxmlformats.org/officeDocument/2006/relationships/hyperlink" Target="http://www.mfat.govt.nz/assets/Aid-Prog-docs/Policy/Policy-Statement-New-Zealands-International-Cooperation-for-Effective-Sustainable-Development-ICESD.pdf" TargetMode="External"/><Relationship Id="rId23" Type="http://schemas.openxmlformats.org/officeDocument/2006/relationships/hyperlink" Target="https://www.mfat.govt.nz/en/trade/nz-trade-policy" TargetMode="External"/><Relationship Id="rId119" Type="http://schemas.openxmlformats.org/officeDocument/2006/relationships/hyperlink" Target="https://www.mpi.govt.nz/funding-rural-support/sustainable-food-fibre-futures/" TargetMode="External"/><Relationship Id="rId44" Type="http://schemas.openxmlformats.org/officeDocument/2006/relationships/hyperlink" Target="https://www.mbie.govt.nz/building-and-energy/energy-and-natural-resources/energy-statistics-and-modelling/energy-statistics/oil-statistics" TargetMode="External"/><Relationship Id="rId65" Type="http://schemas.openxmlformats.org/officeDocument/2006/relationships/hyperlink" Target="https://environment.govt.nz/publications/new-zealands-greenhouse-gas-inventory-1990-2022/" TargetMode="External"/><Relationship Id="rId86" Type="http://schemas.openxmlformats.org/officeDocument/2006/relationships/hyperlink" Target="https://www.stats.govt.nz/reports/housing-in-aotearoa-2020" TargetMode="External"/><Relationship Id="rId130" Type="http://schemas.openxmlformats.org/officeDocument/2006/relationships/hyperlink" Target="https://aus01.safelinks.protection.outlook.com/?url=https%3A%2F%2Fwww.transport.govt.nz%2Fassets%2FVehicle-Fleet-Model-Documentation_202405_v7.pdf&amp;data=05%7C02%7CFrances.Barnett%40mfe.govt.nz%7C30b1a4b08bb04fd4a12808dd195f6071%7C761dd003d4ff40498a728549b20fcbb1%7C0%7C0%7C638694620025037978%7CUnknown%7CTWFpbGZsb3d8eyJFbXB0eU1hcGkiOnRydWUsIlYiOiIwLjAuMDAwMCIsIlAiOiJXaW4zMiIsIkFOIjoiTWFpbCIsIldUIjoyfQ%3D%3D%7C0%7C%7C%7C&amp;sdata=whUS3MlcUYtgMKM1gMNsfGEx9KG%2BrWc01PYTL0oO6ss%3D&amp;reserved=0" TargetMode="External"/><Relationship Id="rId151" Type="http://schemas.openxmlformats.org/officeDocument/2006/relationships/hyperlink" Target="https://www.mpi.govt.nz/dmsdocument/62313-Afforestation-and-Deforestation-Intentions-Survey-2023" TargetMode="External"/><Relationship Id="rId172" Type="http://schemas.openxmlformats.org/officeDocument/2006/relationships/hyperlink" Target="https://doi.org/10.1016/j.ijdrr.2023.103826" TargetMode="External"/><Relationship Id="rId193" Type="http://schemas.openxmlformats.org/officeDocument/2006/relationships/hyperlink" Target="https://www.parliament.nz/resource/en-NZ/54SCFIN_ADV_f4a021af-6284-4959-1470-08dc7066ff1a_FIN879/eba89262969c6dbc0f5103a54834db5cf94dbdb5" TargetMode="External"/><Relationship Id="rId207" Type="http://schemas.openxmlformats.org/officeDocument/2006/relationships/hyperlink" Target="https://www.maramatanga.ac.nz/te-arotahi-07" TargetMode="External"/><Relationship Id="rId228" Type="http://schemas.openxmlformats.org/officeDocument/2006/relationships/hyperlink" Target="https://ngaitahu.iwi.nz/assets/Documents/Ngai-Tahu-Climate-Change-Strategy.pdf" TargetMode="External"/><Relationship Id="rId13" Type="http://schemas.openxmlformats.org/officeDocument/2006/relationships/hyperlink" Target="https://www.cbd.int/countries/profile?country=nz" TargetMode="External"/><Relationship Id="rId109" Type="http://schemas.openxmlformats.org/officeDocument/2006/relationships/hyperlink" Target="https://www.treaties.mfat.govt.nz/search/arrangement/850/0" TargetMode="External"/><Relationship Id="rId34" Type="http://schemas.openxmlformats.org/officeDocument/2006/relationships/hyperlink" Target="https://www.stats.govt.nz/indicators/coastal-sea-level-rise" TargetMode="External"/><Relationship Id="rId55" Type="http://schemas.openxmlformats.org/officeDocument/2006/relationships/hyperlink" Target="https://infoshare.stats.govt.nz/" TargetMode="External"/><Relationship Id="rId76" Type="http://schemas.openxmlformats.org/officeDocument/2006/relationships/hyperlink" Target="https://environment.govt.nz/publications/new-zealands-greenhouse-gas-inventory-1990-2022/" TargetMode="External"/><Relationship Id="rId97" Type="http://schemas.openxmlformats.org/officeDocument/2006/relationships/hyperlink" Target="https://www.treasury.govt.nz/sites/default/files/2024-05/pc-inq-lee-productivity-commission-low-emissions-economy-final-report-final-2.pdf" TargetMode="External"/><Relationship Id="rId120" Type="http://schemas.openxmlformats.org/officeDocument/2006/relationships/hyperlink" Target="http://www.mpi.govt.nz/forestry/forestry-in-the-emissions-trading-scheme/about-forestry-in-the-emissions-trading-scheme/different-kinds-of-forest-land-in-the-ets/" TargetMode="External"/><Relationship Id="rId141" Type="http://schemas.openxmlformats.org/officeDocument/2006/relationships/hyperlink" Target="https://environment.govt.nz/assets/publications/GhG-Inventory/GHG-inventory-2024/GHG-Inventory-2024-Vol-1.pdf" TargetMode="External"/><Relationship Id="rId7" Type="http://schemas.openxmlformats.org/officeDocument/2006/relationships/hyperlink" Target="https://www.stats.govt.nz/infoshare" TargetMode="External"/><Relationship Id="rId162" Type="http://schemas.openxmlformats.org/officeDocument/2006/relationships/hyperlink" Target="https://environment.govt.nz/facts-and-science/climate-change/climate-change-projections/understanding-climate-variables-and-scenarios-used-in-the-projections/" TargetMode="External"/><Relationship Id="rId183" Type="http://schemas.openxmlformats.org/officeDocument/2006/relationships/hyperlink" Target="https://environment.govt.nz/assets/Publications/Files/national-climate-change-risk-assessment-method-report.pdf" TargetMode="External"/><Relationship Id="rId218" Type="http://schemas.openxmlformats.org/officeDocument/2006/relationships/hyperlink" Target="https://environment.govt.nz/assets/March-Quarterly-Progress-Report.pdf" TargetMode="External"/><Relationship Id="rId239" Type="http://schemas.openxmlformats.org/officeDocument/2006/relationships/hyperlink" Target="http://gsd.spc.int/frdp/" TargetMode="External"/><Relationship Id="rId24" Type="http://schemas.openxmlformats.org/officeDocument/2006/relationships/hyperlink" Target="https://statisticsnz.shinyapps.io/trade_dashboard/" TargetMode="External"/><Relationship Id="rId45" Type="http://schemas.openxmlformats.org/officeDocument/2006/relationships/hyperlink" Target="https://www.mbie.govt.nz/building-and-energy/energy-and-natural-resources/energy-statistics-and-modelling/energy-publications-and-technical-papers/energy-in-new-zealand/energy-in-new-zealand-2024" TargetMode="External"/><Relationship Id="rId66" Type="http://schemas.openxmlformats.org/officeDocument/2006/relationships/hyperlink" Target="https://www.seafood.co.nz/about-us/seafood-nz" TargetMode="External"/><Relationship Id="rId87" Type="http://schemas.openxmlformats.org/officeDocument/2006/relationships/hyperlink" Target="http://www.tokelau.org.nz/site/tokelau/files/ClimateChange/LivCStrategy_web-2.pdf" TargetMode="External"/><Relationship Id="rId110" Type="http://schemas.openxmlformats.org/officeDocument/2006/relationships/hyperlink" Target="https://www.mfat.govt.nz/en/trade/free-trade-agreements/free-trade-agreements-under-negotiation/indo-pacific-economic-framework-for-prosperity/ipef-overview" TargetMode="External"/><Relationship Id="rId131" Type="http://schemas.openxmlformats.org/officeDocument/2006/relationships/hyperlink" Target="https://www.csiro.au/en/research/technology-space/it/adopt" TargetMode="External"/><Relationship Id="rId152" Type="http://schemas.openxmlformats.org/officeDocument/2006/relationships/hyperlink" Target="https://environment.govt.nz/assets/publications/climate-change/MFE-AoG-20664-GF-National-Adaptation-Plan-2022-WEB.pdf" TargetMode="External"/><Relationship Id="rId173" Type="http://schemas.openxmlformats.org/officeDocument/2006/relationships/hyperlink" Target="https://environment.govt.nz/assets/publications/Environmental-Reporting/Our-atmosphere-and-climate-2023.pdf" TargetMode="External"/><Relationship Id="rId194" Type="http://schemas.openxmlformats.org/officeDocument/2006/relationships/hyperlink" Target="https://environment.govt.nz/assets/publications/climate-change/Community-led-retreat-Issues-and-options.pdf" TargetMode="External"/><Relationship Id="rId208" Type="http://schemas.openxmlformats.org/officeDocument/2006/relationships/hyperlink" Target="https://www.researchgate.net/publication/258423762_Harmsworth_GR_Awatere_S_2013_Indigenous_Maori_knowledge_and_perspectives_of_ecosystems_In_Dymond_JR_ed_Ecosystem_services_in_New_Zealand_-_conditions_and_trends_Manaaki_Whenua_Press_Lincoln_New_Zealan" TargetMode="External"/><Relationship Id="rId229" Type="http://schemas.openxmlformats.org/officeDocument/2006/relationships/hyperlink" Target="https://ngaitahu.iwi.nz/assets/Documents/NT_Te-Kounga-Paparangi_FA.pdf" TargetMode="External"/><Relationship Id="rId240" Type="http://schemas.openxmlformats.org/officeDocument/2006/relationships/hyperlink" Target="https://unfccc.int/sites/default/files/NDC/2022-06/New%20Zealand%20NDC%20November%202021.pdf" TargetMode="External"/><Relationship Id="rId14" Type="http://schemas.openxmlformats.org/officeDocument/2006/relationships/hyperlink" Target="https://www.stats.govt.nz/indicators/gross-domestic-product-gdp/" TargetMode="External"/><Relationship Id="rId35" Type="http://schemas.openxmlformats.org/officeDocument/2006/relationships/hyperlink" Target="https://climatedata.environment.govt.nz/docs/T/T_fp.html" TargetMode="External"/><Relationship Id="rId56" Type="http://schemas.openxmlformats.org/officeDocument/2006/relationships/hyperlink" Target="https://www.itf-oecd.org/sites/default/files/docs/decarbonising-maritime-transport-2035.pdf" TargetMode="External"/><Relationship Id="rId77" Type="http://schemas.openxmlformats.org/officeDocument/2006/relationships/hyperlink" Target="https://environment.govt.nz/facts-and-science/waste/download-waste-data/" TargetMode="External"/><Relationship Id="rId100" Type="http://schemas.openxmlformats.org/officeDocument/2006/relationships/hyperlink" Target="https://unfccc.int/sites/default/files/NDC/2022-06/New%20Zealand%20NDC%20November%202021.pdf" TargetMode="External"/><Relationship Id="rId8" Type="http://schemas.openxmlformats.org/officeDocument/2006/relationships/hyperlink" Target="https://teara.govt.nz/en/natural-environment/page-1" TargetMode="External"/><Relationship Id="rId98" Type="http://schemas.openxmlformats.org/officeDocument/2006/relationships/hyperlink" Target="https://www.ipcc.ch/site/assets/uploads/sites/2/2022/06/SR15_Full_Report_HR.pdf" TargetMode="External"/><Relationship Id="rId121" Type="http://schemas.openxmlformats.org/officeDocument/2006/relationships/hyperlink" Target="http://www.mpi.govt.nz/dmsdocument/45232-Emissions-Trading-Scheme-for-Forestry-land-statistics" TargetMode="External"/><Relationship Id="rId142" Type="http://schemas.openxmlformats.org/officeDocument/2006/relationships/hyperlink" Target="https://www.mpi.govt.nz/dmsdocument/30687-intentions-of-forest-owners-following-harvest-of-post-1989-forests" TargetMode="External"/><Relationship Id="rId163" Type="http://schemas.openxmlformats.org/officeDocument/2006/relationships/hyperlink" Target="https://climatedata.environment.govt.nz/" TargetMode="External"/><Relationship Id="rId184" Type="http://schemas.openxmlformats.org/officeDocument/2006/relationships/hyperlink" Target="https://environment.govt.nz/assets/publications/climate-risk-assessment-guide.pdf" TargetMode="External"/><Relationship Id="rId219" Type="http://schemas.openxmlformats.org/officeDocument/2006/relationships/hyperlink" Target="https://www.climatecommission.govt.nz/our-work/adaptation/nappa/nappa-2024/" TargetMode="External"/><Relationship Id="rId230" Type="http://schemas.openxmlformats.org/officeDocument/2006/relationships/hyperlink" Target="https://tearawa.io/wp-content/uploads/2021/09/RS03642-Ta-Arawa-Climate-Change-Strategy.pdf" TargetMode="External"/><Relationship Id="rId25" Type="http://schemas.openxmlformats.org/officeDocument/2006/relationships/hyperlink" Target="https://www.mbie.govt.nz/dmsdocument/28093-tourism-satellite-account-year-ended-march-2023" TargetMode="External"/><Relationship Id="rId46" Type="http://schemas.openxmlformats.org/officeDocument/2006/relationships/hyperlink" Target="https://www.mbie.govt.nz/assets/energy-in-new-zealand-2021.pdf" TargetMode="External"/><Relationship Id="rId67" Type="http://schemas.openxmlformats.org/officeDocument/2006/relationships/hyperlink" Target="https://www.mpi.govt.nz/dmsdocument/62637-Situation-and-Outlook-for-Primary-Industries-SOPI-June-2024" TargetMode="External"/><Relationship Id="rId88" Type="http://schemas.openxmlformats.org/officeDocument/2006/relationships/hyperlink" Target="http://www.tokelau.org.nz/site/tokelau/files/ClimateChange/LivCImplementPlan_web-2.pdf" TargetMode="External"/><Relationship Id="rId111" Type="http://schemas.openxmlformats.org/officeDocument/2006/relationships/hyperlink" Target="https://environment.govt.nz/assets/J001281-MfE-Climate-strategy-brochure-FF_webV2.pdf" TargetMode="External"/><Relationship Id="rId132" Type="http://schemas.openxmlformats.org/officeDocument/2006/relationships/hyperlink" Target="https://environment.govt.nz/assets/publications/GhG-Inventory/GHG-inventory-2024/GHG-Inventory-2024-Vol-1.pdf" TargetMode="External"/><Relationship Id="rId153" Type="http://schemas.openxmlformats.org/officeDocument/2006/relationships/hyperlink" Target="https://www.dpmc.govt.nz/our-programmes/risk-and-resilience/national-risk-framework/new-zealands-national-risks" TargetMode="External"/><Relationship Id="rId174" Type="http://schemas.openxmlformats.org/officeDocument/2006/relationships/hyperlink" Target="https://www.mbie.govt.nz/dmsdocument/28350-climate-change-impacts-on-new-zealand-hydro-catchment-inflows-and-wind-speeds-february-2022" TargetMode="External"/><Relationship Id="rId195" Type="http://schemas.openxmlformats.org/officeDocument/2006/relationships/hyperlink" Target="https://environment.govt.nz/publications/report-of-the-expert-working-group-on-managed-retreat-a-proposed-system-for-te-hekenga-rauora/" TargetMode="External"/><Relationship Id="rId209" Type="http://schemas.openxmlformats.org/officeDocument/2006/relationships/hyperlink" Target="https://teara.govt.nz/en/nga-manu-birds" TargetMode="External"/><Relationship Id="rId220" Type="http://schemas.openxmlformats.org/officeDocument/2006/relationships/hyperlink" Target="https://www.hbcoast.co.nz/" TargetMode="External"/><Relationship Id="rId241" Type="http://schemas.openxmlformats.org/officeDocument/2006/relationships/hyperlink" Target="https://environment.govt.nz/publications/new-zealands-greenhouse-gas-inventory-1990-2022/" TargetMode="External"/><Relationship Id="rId15" Type="http://schemas.openxmlformats.org/officeDocument/2006/relationships/hyperlink" Target="https://infoshare.stats.govt.nz/" TargetMode="External"/><Relationship Id="rId36" Type="http://schemas.openxmlformats.org/officeDocument/2006/relationships/hyperlink" Target="https://climatedata.environment.govt.nz/docs/T/T_fp.html" TargetMode="External"/><Relationship Id="rId57" Type="http://schemas.openxmlformats.org/officeDocument/2006/relationships/hyperlink" Target="https://www.imo.org/en/OurWork/Environment/Pages/Fourth-IMO-Greenhouse-Gas-Study-2020.aspx" TargetMode="External"/><Relationship Id="rId106" Type="http://schemas.openxmlformats.org/officeDocument/2006/relationships/hyperlink" Target="https://unfccc.int/sites/default/files/english_paris_agreement.pdf" TargetMode="External"/><Relationship Id="rId127" Type="http://schemas.openxmlformats.org/officeDocument/2006/relationships/hyperlink" Target="https://treaties.un.org/doc/Publication/CN/2019/CN.490.2019-Eng.pdf" TargetMode="External"/><Relationship Id="rId10" Type="http://schemas.openxmlformats.org/officeDocument/2006/relationships/hyperlink" Target="https://www.stats.govt.nz/information-releases/national-population-projections-2022base2073/" TargetMode="External"/><Relationship Id="rId31" Type="http://schemas.openxmlformats.org/officeDocument/2006/relationships/hyperlink" Target="https://niwa.co.nz/climate-summaries/annual/annual-climate-summary-2023" TargetMode="External"/><Relationship Id="rId52" Type="http://schemas.openxmlformats.org/officeDocument/2006/relationships/hyperlink" Target="https://infoshare.stats.govt.nz/" TargetMode="External"/><Relationship Id="rId73" Type="http://schemas.openxmlformats.org/officeDocument/2006/relationships/hyperlink" Target="https://environment.govt.nz/publications/new-zealands-greenhouse-gas-inventory-1990-2022/" TargetMode="External"/><Relationship Id="rId78" Type="http://schemas.openxmlformats.org/officeDocument/2006/relationships/hyperlink" Target="https://environment.govt.nz/facts-and-science/waste/waste-facilities-and-disposal/" TargetMode="External"/><Relationship Id="rId94" Type="http://schemas.openxmlformats.org/officeDocument/2006/relationships/hyperlink" Target="https://environment.govt.nz/publications/new-zealands-second-emissions-reduction-plan-discussion-document/" TargetMode="External"/><Relationship Id="rId99" Type="http://schemas.openxmlformats.org/officeDocument/2006/relationships/hyperlink" Target="https://www.climatecommission.govt.nz/public/Inaia-tonu-nei-a-low-emissions-future-for-Aotearoa/Inaia-tonu-nei-a-low-emissions-future-for-Aotearoa.pdf" TargetMode="External"/><Relationship Id="rId101" Type="http://schemas.openxmlformats.org/officeDocument/2006/relationships/hyperlink" Target="https://environment.govt.nz/assets/J001281-MfE-Climate-strategy-brochure-FF_webV2.pdf" TargetMode="External"/><Relationship Id="rId122" Type="http://schemas.openxmlformats.org/officeDocument/2006/relationships/hyperlink" Target="https://environment.govt.nz/what-government-is-doing/areas-of-work/waste/waste-disposal-levy/" TargetMode="External"/><Relationship Id="rId143" Type="http://schemas.openxmlformats.org/officeDocument/2006/relationships/hyperlink" Target="https://www.mpi.govt.nz/dmsdocument/62313-Afforestation-and-Deforestation-Intentions-Survey-2023" TargetMode="External"/><Relationship Id="rId148" Type="http://schemas.openxmlformats.org/officeDocument/2006/relationships/hyperlink" Target="https://www.ipcc.ch/site/assets/uploads/2018/03/KP_Supplement_Entire_Report.pdf" TargetMode="External"/><Relationship Id="rId164" Type="http://schemas.openxmlformats.org/officeDocument/2006/relationships/hyperlink" Target="https://www.ipcc.ch/report/ar6/wg2/downloads/report/IPCC_AR6_WGII_Chapter11.pdf" TargetMode="External"/><Relationship Id="rId169" Type="http://schemas.openxmlformats.org/officeDocument/2006/relationships/hyperlink" Target="https://www.ipcc.ch/report/ar6/wg2/downloads/report/IPCC_AR6_WGII_Chapter11.pdf" TargetMode="External"/><Relationship Id="rId185" Type="http://schemas.openxmlformats.org/officeDocument/2006/relationships/hyperlink" Target="https://environment.govt.nz/publications/coastal-hazards-and-climate-change-guidance/" TargetMode="External"/><Relationship Id="rId4" Type="http://schemas.openxmlformats.org/officeDocument/2006/relationships/hyperlink" Target="https://www.publicservice.govt.nz/system/central-government-organisations" TargetMode="External"/><Relationship Id="rId9" Type="http://schemas.openxmlformats.org/officeDocument/2006/relationships/hyperlink" Target="https://population.un.org/wpp/" TargetMode="External"/><Relationship Id="rId180" Type="http://schemas.openxmlformats.org/officeDocument/2006/relationships/hyperlink" Target="https://environment.govt.nz/assets/Publications/Files/arotakenga-huringa-ahuarangi-framework-for-national-climate-change-risk-assessment-for-aotearoa-FINAL.pdf" TargetMode="External"/><Relationship Id="rId210" Type="http://schemas.openxmlformats.org/officeDocument/2006/relationships/hyperlink" Target="https://www.maramatanga.ac.nz/te-arotahi-07" TargetMode="External"/><Relationship Id="rId215" Type="http://schemas.openxmlformats.org/officeDocument/2006/relationships/hyperlink" Target="https://storymaps.arcgis.com/stories/155527d42155408c8b08649ca971dad0" TargetMode="External"/><Relationship Id="rId236" Type="http://schemas.openxmlformats.org/officeDocument/2006/relationships/hyperlink" Target="https://www.gns.cri.nz/research-projects/natural-hazards-and-resilience-platform/" TargetMode="External"/><Relationship Id="rId26" Type="http://schemas.openxmlformats.org/officeDocument/2006/relationships/hyperlink" Target="https://statisticsnz.shinyapps.io/trade_dashboard/" TargetMode="External"/><Relationship Id="rId231" Type="http://schemas.openxmlformats.org/officeDocument/2006/relationships/hyperlink" Target="https://maketuclimateplan.iwi.nz/wp-content/uploads/2023/11/He-Toka-Tu-Moana-Maketu-Climate-change-Adaption.pdf" TargetMode="External"/><Relationship Id="rId47" Type="http://schemas.openxmlformats.org/officeDocument/2006/relationships/hyperlink" Target="https://www.transport.govt.nz/statistics-and-insights/fleet-statistics/sheet/annual-fleet-statistics" TargetMode="External"/><Relationship Id="rId68" Type="http://schemas.openxmlformats.org/officeDocument/2006/relationships/hyperlink" Target="https://statisticsnz.shinyapps.io/trade_dashboard/" TargetMode="External"/><Relationship Id="rId89" Type="http://schemas.openxmlformats.org/officeDocument/2006/relationships/hyperlink" Target="https://www.climatecommission.govt.nz/our-work/advice-to-government-topic/" TargetMode="External"/><Relationship Id="rId112" Type="http://schemas.openxmlformats.org/officeDocument/2006/relationships/hyperlink" Target="http://www.mbie.govt.nz/building-and-energy/energy-and-natural-resources/energy-hardship/support-for-energy-education-in-communities-programme" TargetMode="External"/><Relationship Id="rId133" Type="http://schemas.openxmlformats.org/officeDocument/2006/relationships/hyperlink" Target="https://ministryforenvironment.sharepoint.com/sites/MFE-EXT-BiennialTransparencyReport/Shared%20Documents/General/03%20Report%20production/07%20Proofing%20completed/unfccc.int/sites/default/files/resource/NewZealand_complete.pdf" TargetMode="External"/><Relationship Id="rId154" Type="http://schemas.openxmlformats.org/officeDocument/2006/relationships/hyperlink" Target="https://environment.govt.nz/assets/publications/Environmental-Reporting/Our-atmosphere-and-climate-2023.pdf" TargetMode="External"/><Relationship Id="rId175" Type="http://schemas.openxmlformats.org/officeDocument/2006/relationships/hyperlink" Target="https://www.mbie.govt.nz/assets/electricity-demand-and-generation-scenarios-report-2024.pdf" TargetMode="External"/><Relationship Id="rId196" Type="http://schemas.openxmlformats.org/officeDocument/2006/relationships/hyperlink" Target="https://environment.govt.nz/assets/publications/climate-change/MFE-AoG-20664-GF-National-Adaptation-Plan-2022-WEB.pdf" TargetMode="External"/><Relationship Id="rId200" Type="http://schemas.openxmlformats.org/officeDocument/2006/relationships/hyperlink" Target="https://www.parliament.nz/resource/en-NZ/54SCFIN_ADV_f4a021af-6284-4959-1470-08dc7066ff1a_FIN879/eba89262969c6dbc0f5103a54834db5cf94dbdb5" TargetMode="External"/><Relationship Id="rId16" Type="http://schemas.openxmlformats.org/officeDocument/2006/relationships/hyperlink" Target="https://www.stats.govt.nz/information-releases/gross-domestic-product-march-2022-quarter/" TargetMode="External"/><Relationship Id="rId221" Type="http://schemas.openxmlformats.org/officeDocument/2006/relationships/hyperlink" Target="https://www.orc.govt.nz/get-involved/projects-in-your-area/head-of-lake-whakatipu/" TargetMode="External"/><Relationship Id="rId37" Type="http://schemas.openxmlformats.org/officeDocument/2006/relationships/hyperlink" Target="https://environment.govt.nz/publications/new-zealands-greenhouse-gas-inventory-1990-2022/" TargetMode="External"/><Relationship Id="rId58" Type="http://schemas.openxmlformats.org/officeDocument/2006/relationships/hyperlink" Target="https://consult.transport.govt.nz/policy/new-zealand-freight-and-supply-chain-issues/supporting_documents/Freight%20and%20supply%20chain%20issues%20paper%20%20full%20version.pdf" TargetMode="External"/><Relationship Id="rId79" Type="http://schemas.openxmlformats.org/officeDocument/2006/relationships/hyperlink" Target="https://environment.govt.nz/assets/Publications/Files/wastewater-sector-report.pdf" TargetMode="External"/><Relationship Id="rId102" Type="http://schemas.openxmlformats.org/officeDocument/2006/relationships/hyperlink" Target="https://unfccc.int/sites/default/files/NDC/2022-06/New%20Zealand%20NDC%20November%202021.pdf" TargetMode="External"/><Relationship Id="rId123" Type="http://schemas.openxmlformats.org/officeDocument/2006/relationships/hyperlink" Target="https://www.nzta.govt.nz/vehicles/clean-car-programme/clean-car-standard/overview/" TargetMode="External"/><Relationship Id="rId144" Type="http://schemas.openxmlformats.org/officeDocument/2006/relationships/hyperlink" Target="https://www.mpi.govt.nz/dmsdocument/37113/direct" TargetMode="External"/><Relationship Id="rId90" Type="http://schemas.openxmlformats.org/officeDocument/2006/relationships/hyperlink" Target="https://www.climatecommission.govt.nz/our-work/advice-to-government-topic/nationally-determined-contributions/ndc2-report/" TargetMode="External"/><Relationship Id="rId165" Type="http://schemas.openxmlformats.org/officeDocument/2006/relationships/hyperlink" Target="https://environment.govt.nz/assets/publications/Files/Interim-guidance-on-the-use-of-new-sea-level-rise-projections-August-2022.pdf" TargetMode="External"/><Relationship Id="rId186" Type="http://schemas.openxmlformats.org/officeDocument/2006/relationships/hyperlink" Target="https://www.theaotearoacircle.nz/reports-resources" TargetMode="External"/><Relationship Id="rId211" Type="http://schemas.openxmlformats.org/officeDocument/2006/relationships/hyperlink" Target="https://ngaitahu.iwi.nz/assets/Documents/NT_Te-Kounga-Paparangi_FA.pdf" TargetMode="External"/><Relationship Id="rId232" Type="http://schemas.openxmlformats.org/officeDocument/2006/relationships/hyperlink" Target="https://www.theaotearoacircle.nz/reports-resources" TargetMode="External"/><Relationship Id="rId27" Type="http://schemas.openxmlformats.org/officeDocument/2006/relationships/hyperlink" Target="https://niwa.co.nz/climate-and-weather/overview-new-zealands-climate" TargetMode="External"/><Relationship Id="rId48" Type="http://schemas.openxmlformats.org/officeDocument/2006/relationships/hyperlink" Target="https://environment.govt.nz/publications/new-zealands-greenhouse-gas-inventory-1990-2022/" TargetMode="External"/><Relationship Id="rId69" Type="http://schemas.openxmlformats.org/officeDocument/2006/relationships/hyperlink" Target="https://www.mpi.govt.nz/dmsdocument/48667-2021-Forestry-and-wood-processing-labour-force-survey" TargetMode="External"/><Relationship Id="rId113" Type="http://schemas.openxmlformats.org/officeDocument/2006/relationships/hyperlink" Target="http://www.nzgbc.org.nz/homestar" TargetMode="External"/><Relationship Id="rId134" Type="http://schemas.openxmlformats.org/officeDocument/2006/relationships/hyperlink" Target="https://environment.govt.nz/assets/publications/GhG-Inventory/GHG-inventory-2024/GHG-Inventory-2024-Vol-1.pdf" TargetMode="External"/><Relationship Id="rId80" Type="http://schemas.openxmlformats.org/officeDocument/2006/relationships/hyperlink" Target="https://www.legislation.govt.nz/regulation/public/2004/0309/latest/DLM286835.html?search=ta_regulation_R_rc%40rinf%40rnif_an%40bn%40rn_25_a&amp;p=3" TargetMode="External"/><Relationship Id="rId155" Type="http://schemas.openxmlformats.org/officeDocument/2006/relationships/hyperlink" Target="https://www.legislation.govt.nz/act/public/2002/0040/latest/DLM158584.html" TargetMode="External"/><Relationship Id="rId176" Type="http://schemas.openxmlformats.org/officeDocument/2006/relationships/hyperlink" Target="https://www.thebci.org/uploads/assets/uploaded/c50072bf-df5c-4c98-a5e1876aafb15bd0.pdf" TargetMode="External"/><Relationship Id="rId197" Type="http://schemas.openxmlformats.org/officeDocument/2006/relationships/hyperlink" Target="https://environment.govt.nz/assets/Publications/Files/national-climate-change-risk-assessment-main-report.pdf" TargetMode="External"/><Relationship Id="rId201" Type="http://schemas.openxmlformats.org/officeDocument/2006/relationships/hyperlink" Target="https://environment.govt.nz/assets/J001281-MfE-Climate-strategy-brochure-FF_webV2.pdf" TargetMode="External"/><Relationship Id="rId222" Type="http://schemas.openxmlformats.org/officeDocument/2006/relationships/hyperlink" Target="https://www.dunedin.govt.nz/council/council-projects/south-dunedin-future" TargetMode="External"/><Relationship Id="rId17" Type="http://schemas.openxmlformats.org/officeDocument/2006/relationships/hyperlink" Target="https://www.stats.govt.nz/information-releases/gross-domestic-product-march-2024-quarter/" TargetMode="External"/><Relationship Id="rId38" Type="http://schemas.openxmlformats.org/officeDocument/2006/relationships/hyperlink" Target="https://www.mbie.govt.nz/assets/energy-in-nz-2024.pdf" TargetMode="External"/><Relationship Id="rId59" Type="http://schemas.openxmlformats.org/officeDocument/2006/relationships/hyperlink" Target="https://environment.govt.nz/publications/new-zealands-greenhouse-gas-inventory-1990-2022/" TargetMode="External"/><Relationship Id="rId103" Type="http://schemas.openxmlformats.org/officeDocument/2006/relationships/hyperlink" Target="https://www.oecd.org/en/data/indicators/renewable-energy.html?oecdcontrol-712178cb81-var3=2021" TargetMode="External"/><Relationship Id="rId124" Type="http://schemas.openxmlformats.org/officeDocument/2006/relationships/hyperlink" Target="https://environment.govt.nz/publications/new-zealands-greenhouse-gas-inventory-1990-2022/" TargetMode="External"/><Relationship Id="rId70" Type="http://schemas.openxmlformats.org/officeDocument/2006/relationships/hyperlink" Target="https://environment.govt.nz/publications/new-zealands-greenhouse-gas-inventory-1990-2022/" TargetMode="External"/><Relationship Id="rId91" Type="http://schemas.openxmlformats.org/officeDocument/2006/relationships/hyperlink" Target="https://environment.govt.nz/publications/new-zealands-climate-change-target-our-contribution-to-the-new-international-climate-change-agreement-discussion-document/" TargetMode="External"/><Relationship Id="rId145" Type="http://schemas.openxmlformats.org/officeDocument/2006/relationships/hyperlink" Target="https://www.mpi.govt.nz/dmsdocument/62313-Afforestation-and-Deforestation-Intentions-Survey-2023" TargetMode="External"/><Relationship Id="rId166" Type="http://schemas.openxmlformats.org/officeDocument/2006/relationships/hyperlink" Target="https://environment.govt.nz/publications/coastal-hazards-and-climate-change-guidance/" TargetMode="External"/><Relationship Id="rId187" Type="http://schemas.openxmlformats.org/officeDocument/2006/relationships/hyperlink" Target="https://www.climatecommission.govt.nz/our-work/adaptation/nappa/nappa-2024/" TargetMode="External"/><Relationship Id="rId1" Type="http://schemas.openxmlformats.org/officeDocument/2006/relationships/hyperlink" Target="https://environment.govt.nz/publications/new-zealands-greenhouse-gas-inventory-1990-2022/" TargetMode="External"/><Relationship Id="rId212" Type="http://schemas.openxmlformats.org/officeDocument/2006/relationships/hyperlink" Target="https://ngaitahu.iwi.nz/assets/Documents/Ngai-Tahu-Climate-Change-Strategy.pdf" TargetMode="External"/><Relationship Id="rId233" Type="http://schemas.openxmlformats.org/officeDocument/2006/relationships/hyperlink" Target="https://www.xrb.govt.nz/standards/climate-related-disclosures/resources/sector-level-scenario-analysis/" TargetMode="External"/><Relationship Id="rId28" Type="http://schemas.openxmlformats.org/officeDocument/2006/relationships/hyperlink" Target="https://niwa.co.nz/climate-summaries/annual/annual-climate-summary-2023" TargetMode="External"/><Relationship Id="rId49" Type="http://schemas.openxmlformats.org/officeDocument/2006/relationships/hyperlink" Target="https://www.transport.govt.nz/assets/Uploads/Report/AnnualFleetStatistics.pdf" TargetMode="External"/><Relationship Id="rId114" Type="http://schemas.openxmlformats.org/officeDocument/2006/relationships/hyperlink" Target="http://www.nzgbc.org.nz/greenstar" TargetMode="External"/><Relationship Id="rId60" Type="http://schemas.openxmlformats.org/officeDocument/2006/relationships/hyperlink" Target="https://www.transport.govt.nz/assets/Uploads/Report/The-New-Zealand-Rail-Plan.pdf" TargetMode="External"/><Relationship Id="rId81" Type="http://schemas.openxmlformats.org/officeDocument/2006/relationships/hyperlink" Target="https://environment.govt.nz/publications/new-zealands-greenhouse-gas-inventory-1990-2022/" TargetMode="External"/><Relationship Id="rId135" Type="http://schemas.openxmlformats.org/officeDocument/2006/relationships/hyperlink" Target="https://www.mpi.govt.nz/dmsdocument/47671-WoodAvailability-Forecast-New-Zealand-2021-to-2060" TargetMode="External"/><Relationship Id="rId156" Type="http://schemas.openxmlformats.org/officeDocument/2006/relationships/hyperlink" Target="https://www.legislation.govt.nz/act/public/2002/0040/latest/DLM158584.html" TargetMode="External"/><Relationship Id="rId177" Type="http://schemas.openxmlformats.org/officeDocument/2006/relationships/hyperlink" Target="https://www.treasury.govt.nz/sites/default/files/2023-04/impacts-from-the-north-island-weather-events.pdf" TargetMode="External"/><Relationship Id="rId198" Type="http://schemas.openxmlformats.org/officeDocument/2006/relationships/hyperlink" Target="https://www.parliament.nz/resource/en-NZ/54SCFIN_ADV_f4a021af-6284-4959-1470-08dc7066ff1a_FIN879/eba89262969c6dbc0f5103a54834db5cf94dbdb5" TargetMode="External"/><Relationship Id="rId202" Type="http://schemas.openxmlformats.org/officeDocument/2006/relationships/hyperlink" Target="https://environment.govt.nz/publications/aotearoa-new-zealands-first-national-adaptation-plan/adapting-to-climate-change-our-long-term-strategy/" TargetMode="External"/><Relationship Id="rId223" Type="http://schemas.openxmlformats.org/officeDocument/2006/relationships/hyperlink" Target="https://www.tcdc.govt.nz/Our-Council/Strategies/Coastal-Activity-and-Coastal-Management-Strategy" TargetMode="External"/><Relationship Id="rId18" Type="http://schemas.openxmlformats.org/officeDocument/2006/relationships/hyperlink" Target="https://www.stats.govt.nz/information-releases/national-accounts-industry-production-and-investment-year-ended-march-2022/" TargetMode="External"/><Relationship Id="rId39" Type="http://schemas.openxmlformats.org/officeDocument/2006/relationships/hyperlink" Target="https://www.mbie.govt.nz/assets/energy-in-new-zealand-2023.pdf" TargetMode="External"/><Relationship Id="rId50" Type="http://schemas.openxmlformats.org/officeDocument/2006/relationships/hyperlink" Target="https://infoshare.stats.govt.nz/" TargetMode="External"/><Relationship Id="rId104" Type="http://schemas.openxmlformats.org/officeDocument/2006/relationships/hyperlink" Target="https://www.stats.govt.nz/information-releases/greenhouse-gas-emissions-industry-and-household-december-2023-quarter/" TargetMode="External"/><Relationship Id="rId125" Type="http://schemas.openxmlformats.org/officeDocument/2006/relationships/hyperlink" Target="https://www.mpi.govt.nz/forestry/funding-tree-planting-research/one-billion-trees-programme/" TargetMode="External"/><Relationship Id="rId146" Type="http://schemas.openxmlformats.org/officeDocument/2006/relationships/hyperlink" Target="https://environment.govt.nz/publications/new-zealands-greenhouse-gas-inventory-1990-2022/" TargetMode="External"/><Relationship Id="rId167" Type="http://schemas.openxmlformats.org/officeDocument/2006/relationships/hyperlink" Target="https://www.searise.nz/" TargetMode="External"/><Relationship Id="rId188" Type="http://schemas.openxmlformats.org/officeDocument/2006/relationships/hyperlink" Target="https://selectcommittees.parliament.nz/v/6/821f67ff-6f67-43d2-cd3a-08dce18146d7" TargetMode="External"/><Relationship Id="rId71" Type="http://schemas.openxmlformats.org/officeDocument/2006/relationships/hyperlink" Target="https://www.mpi.govt.nz/dmsdocument/55996-2023-NEFD-Report" TargetMode="External"/><Relationship Id="rId92" Type="http://schemas.openxmlformats.org/officeDocument/2006/relationships/hyperlink" Target="https://www.climatecommission.govt.nz/public/Inaia-tonu-nei-a-low-emissions-future-for-Aotearoa/Inaia-tonu-nei-a-low-emissions-future-for-Aotearoa.pdf" TargetMode="External"/><Relationship Id="rId213" Type="http://schemas.openxmlformats.org/officeDocument/2006/relationships/hyperlink" Target="https://tearawa.io/wp-content/uploads/2021/09/RS03642-Ta-Arawa-Climate-Change-Strategy.pdf" TargetMode="External"/><Relationship Id="rId234" Type="http://schemas.openxmlformats.org/officeDocument/2006/relationships/hyperlink" Target="https://www.rbnz.govt.nz/-/media/project/sites/rbnz/files/publications/financial-stability-reports/2024/may-2024/fsr-may-24.pdf" TargetMode="External"/><Relationship Id="rId2" Type="http://schemas.openxmlformats.org/officeDocument/2006/relationships/hyperlink" Target="https://environment.govt.nz/assets/publications/NAP-info-sheets-August-2022/Climate-action-for-Maori-The-national-adaptation-plan-v2.pdf" TargetMode="External"/><Relationship Id="rId29" Type="http://schemas.openxmlformats.org/officeDocument/2006/relationships/hyperlink" Target="https://niwa.co.nz/climate-and-weather/overview-new-zealands-climate" TargetMode="External"/><Relationship Id="rId40" Type="http://schemas.openxmlformats.org/officeDocument/2006/relationships/hyperlink" Target="https://environment.govt.nz/publications/new-zealands-greenhouse-gas-inventory-1990-2022/" TargetMode="External"/><Relationship Id="rId115" Type="http://schemas.openxmlformats.org/officeDocument/2006/relationships/hyperlink" Target="http://www.nabersnz.govt.nz" TargetMode="External"/><Relationship Id="rId136" Type="http://schemas.openxmlformats.org/officeDocument/2006/relationships/hyperlink" Target="https://environment.govt.nz/assets/publications/GhG-Inventory/GHG-inventory-2024/GHG-Inventory-2024-Vol-1.pdf" TargetMode="External"/><Relationship Id="rId157" Type="http://schemas.openxmlformats.org/officeDocument/2006/relationships/hyperlink" Target="https://niwa.co.nz/climate-and-weather/annual/annual-climate-summary-2023" TargetMode="External"/><Relationship Id="rId178" Type="http://schemas.openxmlformats.org/officeDocument/2006/relationships/hyperlink" Target="https://www.rbnz.govt.nz/hub/publications/bulletin/2024/rbb-2024-87-05" TargetMode="External"/><Relationship Id="rId61" Type="http://schemas.openxmlformats.org/officeDocument/2006/relationships/hyperlink" Target="https://www.transport.govt.nz/statistics-and-insights/freight-and-logistics/sheet/figs-rail" TargetMode="External"/><Relationship Id="rId82" Type="http://schemas.openxmlformats.org/officeDocument/2006/relationships/hyperlink" Target="https://www.stats.govt.nz/information-releases/2018-census-urban-accessibility-dataset" TargetMode="External"/><Relationship Id="rId199" Type="http://schemas.openxmlformats.org/officeDocument/2006/relationships/hyperlink" Target="https://environment.govt.nz/assets/publications/climate-change/MFE-AoG-20664-GF-National-Adaptation-Plan-Table-of-Actions-WEB.pdf" TargetMode="External"/><Relationship Id="rId203" Type="http://schemas.openxmlformats.org/officeDocument/2006/relationships/hyperlink" Target="https://environment.govt.nz/assets/publications/climate-change/MFE-AoG-20664-GF-National-Adaptation-Plan-Table-of-Actions-WEB.pdf" TargetMode="External"/><Relationship Id="rId19" Type="http://schemas.openxmlformats.org/officeDocument/2006/relationships/hyperlink" Target="https://statisticsnz.shinyapps.io/trade_dashboard/" TargetMode="External"/><Relationship Id="rId224" Type="http://schemas.openxmlformats.org/officeDocument/2006/relationships/hyperlink" Target="https://www.tcdc.govt.nz/Our-Community/Council-Projects/Current-Projects/Coastal-Management/Shoreline-Management-Pathways-Project" TargetMode="External"/><Relationship Id="rId30" Type="http://schemas.openxmlformats.org/officeDocument/2006/relationships/hyperlink" Target="https://www.stats.govt.nz/indicators/sunshine-hours" TargetMode="External"/><Relationship Id="rId105" Type="http://schemas.openxmlformats.org/officeDocument/2006/relationships/hyperlink" Target="https://www.climatecommission.govt.nz/public/Inaia-tonu-nei-a-low-emissions-future-for-Aotearoa/Inaia-tonu-nei-a-low-emissions-future-for-Aotearoa.pdf" TargetMode="External"/><Relationship Id="rId126" Type="http://schemas.openxmlformats.org/officeDocument/2006/relationships/hyperlink" Target="https://ministryforenvironment.sharepoint.com/sites/MFE-EXT-BiennialTransparencyReport/Shared%20Documents/General/03%20Report%20production/07%20Proofing%20completed/environment.govt.nz/what-government-is-doing/international-action/vienna-convention-and-montreal-protocol/kigali-amendment-to-the-montreal-protocol" TargetMode="External"/><Relationship Id="rId147" Type="http://schemas.openxmlformats.org/officeDocument/2006/relationships/hyperlink" Target="https://www.mpi.govt.nz/dmsdocument/30687-intentions-of-forest-owners-following-harvest-of-post-1989-forests" TargetMode="External"/><Relationship Id="rId168" Type="http://schemas.openxmlformats.org/officeDocument/2006/relationships/hyperlink" Target="https://environment.govt.nz/publications/coastal-hazards-and-climate-change-guidance/" TargetMode="External"/><Relationship Id="rId51" Type="http://schemas.openxmlformats.org/officeDocument/2006/relationships/hyperlink" Target="https://infoshare.stats.govt.nz/" TargetMode="External"/><Relationship Id="rId72" Type="http://schemas.openxmlformats.org/officeDocument/2006/relationships/hyperlink" Target="https://www.mpi.govt.nz/forestry/new-zealand-forests-forest-industry/about-new-zealands-forests/" TargetMode="External"/><Relationship Id="rId93" Type="http://schemas.openxmlformats.org/officeDocument/2006/relationships/hyperlink" Target="https://www.mfat.govt.nz/assets/Environment/Climate-change/Updating-Aotearoa-New-Zealands-Approach-to-International-Climate-Change-Negotiations-Public-Consultation.pdf" TargetMode="External"/><Relationship Id="rId189" Type="http://schemas.openxmlformats.org/officeDocument/2006/relationships/hyperlink" Target="https://www.climatecommission.govt.nz/our-work/adaptation/nappa/nappa-2024/" TargetMode="External"/><Relationship Id="rId3" Type="http://schemas.openxmlformats.org/officeDocument/2006/relationships/hyperlink" Target="https://environment.govt.nz/assets/publications/climate-change/MFE-AoG-20664-GF-National-Adaptation-Plan-2022-WEB.pdf" TargetMode="External"/><Relationship Id="rId214" Type="http://schemas.openxmlformats.org/officeDocument/2006/relationships/hyperlink" Target="https://maketuclimateplan.iwi.nz/wp-content/uploads/2023/11/He-Toka-Tu-Moana-Maketu-Climate-change-Adaption.pdf" TargetMode="External"/><Relationship Id="rId235" Type="http://schemas.openxmlformats.org/officeDocument/2006/relationships/hyperlink" Target="https://www.mbie.govt.nz/science-and-technology/science-and-innovation/funding-information-and-opportunities/investment-funds/national-science-challenges" TargetMode="External"/><Relationship Id="rId116" Type="http://schemas.openxmlformats.org/officeDocument/2006/relationships/hyperlink" Target="https://passivehouse.nz/" TargetMode="External"/><Relationship Id="rId137" Type="http://schemas.openxmlformats.org/officeDocument/2006/relationships/hyperlink" Target="http://www.mpi.govt.nz/dmsdocument/52405Afforestation-and-Deforestation-Intentions-Survey-2021" TargetMode="External"/><Relationship Id="rId158" Type="http://schemas.openxmlformats.org/officeDocument/2006/relationships/hyperlink" Target="https://www.ipcc.ch/report/ar6/wg2/" TargetMode="External"/><Relationship Id="rId20" Type="http://schemas.openxmlformats.org/officeDocument/2006/relationships/hyperlink" Target="https://infoshare.stats.govt.nz/" TargetMode="External"/><Relationship Id="rId41" Type="http://schemas.openxmlformats.org/officeDocument/2006/relationships/hyperlink" Target="https://environment.govt.nz/publications/new-zealands-greenhouse-gas-inventory-19902022-snapshot/" TargetMode="External"/><Relationship Id="rId62" Type="http://schemas.openxmlformats.org/officeDocument/2006/relationships/hyperlink" Target="https://environment.govt.nz/publications/new-zealands-greenhouse-gas-inventory-1990-2022/" TargetMode="External"/><Relationship Id="rId83" Type="http://schemas.openxmlformats.org/officeDocument/2006/relationships/hyperlink" Target="https://www.stats.govt.nz/information-releases/2018-census-population-and-dwelling-counts" TargetMode="External"/><Relationship Id="rId179" Type="http://schemas.openxmlformats.org/officeDocument/2006/relationships/hyperlink" Target="https://environment.govt.nz/assets/Publications/Files/national-climate-change-risk-assessment-main-report.pdf" TargetMode="External"/><Relationship Id="rId190" Type="http://schemas.openxmlformats.org/officeDocument/2006/relationships/hyperlink" Target="https://environment.govt.nz/assets/publications/climate-change/MFE-AoG-20664-GF-National-Adaptation-Plan-2022-WEB.pdf" TargetMode="External"/><Relationship Id="rId204" Type="http://schemas.openxmlformats.org/officeDocument/2006/relationships/hyperlink" Target="https://environment.govt.nz/what-government-is-doing/areas-of-work/climate-change/adapting-to-climate-change/adaptation-framework/" TargetMode="External"/><Relationship Id="rId225" Type="http://schemas.openxmlformats.org/officeDocument/2006/relationships/hyperlink" Target="https://www.whakatane.govt.nz/residents/awatarariki-managed-retreat-programm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nny_000\OneDrive\Documents\Work\Environment%20-%20Ministry%20for\FORMATTING\MfE%20report%20template%20June%202023.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ministryforenvironment.sharepoint.com/sites/MFE-EXT-BiennialTransparencyReport/Shared%20Documents/General/03%20Report%20production/10%20Data,%20graphs,%20and%20documentation/Graphs%20and%20Tables%20for%20BTR1%20version%202%20using%20ENZ%20v7.1%20share"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2"/>
          <c:order val="2"/>
          <c:tx>
            <c:strRef>
              <c:f>'2 - Annual GWh'!$A$12</c:f>
              <c:strCache>
                <c:ptCount val="1"/>
                <c:pt idx="0">
                  <c:v>Hydro</c:v>
                </c:pt>
              </c:strCache>
            </c:strRef>
          </c:tx>
          <c:spPr>
            <a:ln w="19050" cap="rnd">
              <a:solidFill>
                <a:schemeClr val="accent2"/>
              </a:solidFill>
              <a:prstDash val="dash"/>
              <a:round/>
            </a:ln>
            <a:effectLst/>
          </c:spPr>
          <c:marker>
            <c:symbol val="none"/>
          </c:marker>
          <c:cat>
            <c:numRef>
              <c:f>'2 - Annual GWh'!$R$9:$AY$9</c:f>
              <c:numCache>
                <c:formatCode>0</c:formatCode>
                <c:ptCount val="3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numCache>
              <c:extLst/>
            </c:numRef>
          </c:cat>
          <c:val>
            <c:numRef>
              <c:f>'2 - Annual GWh'!$R$12:$AY$12</c:f>
              <c:numCache>
                <c:formatCode>_(* #,##0_);_(* \(#,##0\);_(* "-"_);_(@_)</c:formatCode>
                <c:ptCount val="34"/>
                <c:pt idx="0">
                  <c:v>22953.449615621201</c:v>
                </c:pt>
                <c:pt idx="1">
                  <c:v>22665.519257389002</c:v>
                </c:pt>
                <c:pt idx="2">
                  <c:v>20881.7434796989</c:v>
                </c:pt>
                <c:pt idx="3">
                  <c:v>23257.963919940699</c:v>
                </c:pt>
                <c:pt idx="4">
                  <c:v>25578.709488639699</c:v>
                </c:pt>
                <c:pt idx="5">
                  <c:v>27259.411694971801</c:v>
                </c:pt>
                <c:pt idx="6">
                  <c:v>25921.099974876899</c:v>
                </c:pt>
                <c:pt idx="7">
                  <c:v>23025.583999999999</c:v>
                </c:pt>
                <c:pt idx="8">
                  <c:v>25066.133000000002</c:v>
                </c:pt>
                <c:pt idx="9">
                  <c:v>22690.331999999999</c:v>
                </c:pt>
                <c:pt idx="10">
                  <c:v>24190.627</c:v>
                </c:pt>
                <c:pt idx="11">
                  <c:v>21464.357</c:v>
                </c:pt>
                <c:pt idx="12">
                  <c:v>24624.295284754498</c:v>
                </c:pt>
                <c:pt idx="13">
                  <c:v>23386.5687497</c:v>
                </c:pt>
                <c:pt idx="14">
                  <c:v>26967.685938499999</c:v>
                </c:pt>
                <c:pt idx="15">
                  <c:v>23094.278683</c:v>
                </c:pt>
                <c:pt idx="16">
                  <c:v>23337.486814</c:v>
                </c:pt>
                <c:pt idx="17">
                  <c:v>23404.094283999999</c:v>
                </c:pt>
                <c:pt idx="18">
                  <c:v>22123.864422374001</c:v>
                </c:pt>
                <c:pt idx="19">
                  <c:v>23975.2687442967</c:v>
                </c:pt>
                <c:pt idx="20">
                  <c:v>24479.239366760201</c:v>
                </c:pt>
                <c:pt idx="21">
                  <c:v>24859.560807500999</c:v>
                </c:pt>
                <c:pt idx="22">
                  <c:v>22667.690609445701</c:v>
                </c:pt>
                <c:pt idx="23">
                  <c:v>22798.784756864501</c:v>
                </c:pt>
                <c:pt idx="24">
                  <c:v>24074.880568319499</c:v>
                </c:pt>
                <c:pt idx="25">
                  <c:v>24284.645398775501</c:v>
                </c:pt>
                <c:pt idx="26">
                  <c:v>25675.698777981201</c:v>
                </c:pt>
                <c:pt idx="27">
                  <c:v>24924.095793828001</c:v>
                </c:pt>
                <c:pt idx="28">
                  <c:v>25992.033561646698</c:v>
                </c:pt>
                <c:pt idx="29">
                  <c:v>25342.665745051501</c:v>
                </c:pt>
                <c:pt idx="30">
                  <c:v>24023.925472948398</c:v>
                </c:pt>
                <c:pt idx="31">
                  <c:v>23992.385725084001</c:v>
                </c:pt>
                <c:pt idx="32">
                  <c:v>26013.444019127899</c:v>
                </c:pt>
                <c:pt idx="33">
                  <c:v>26308.911389303699</c:v>
                </c:pt>
              </c:numCache>
              <c:extLst/>
            </c:numRef>
          </c:val>
          <c:smooth val="0"/>
          <c:extLst>
            <c:ext xmlns:c16="http://schemas.microsoft.com/office/drawing/2014/chart" uri="{C3380CC4-5D6E-409C-BE32-E72D297353CC}">
              <c16:uniqueId val="{00000000-3747-4AE1-BBF4-820B57C85E87}"/>
            </c:ext>
          </c:extLst>
        </c:ser>
        <c:ser>
          <c:idx val="3"/>
          <c:order val="3"/>
          <c:tx>
            <c:strRef>
              <c:f>'2 - Annual GWh'!$A$13</c:f>
              <c:strCache>
                <c:ptCount val="1"/>
                <c:pt idx="0">
                  <c:v>Geothermal</c:v>
                </c:pt>
              </c:strCache>
            </c:strRef>
          </c:tx>
          <c:spPr>
            <a:ln w="19050" cap="rnd">
              <a:solidFill>
                <a:schemeClr val="accent6"/>
              </a:solidFill>
              <a:prstDash val="sysDash"/>
              <a:round/>
            </a:ln>
            <a:effectLst/>
          </c:spPr>
          <c:marker>
            <c:symbol val="none"/>
          </c:marker>
          <c:cat>
            <c:numRef>
              <c:f>'2 - Annual GWh'!$R$9:$AY$9</c:f>
              <c:numCache>
                <c:formatCode>0</c:formatCode>
                <c:ptCount val="3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numCache>
              <c:extLst/>
            </c:numRef>
          </c:cat>
          <c:val>
            <c:numRef>
              <c:f>'2 - Annual GWh'!$R$13:$AY$13</c:f>
              <c:numCache>
                <c:formatCode>_(* #,##0_);_(* \(#,##0\);_(* "-"_);_(@_)</c:formatCode>
                <c:ptCount val="34"/>
                <c:pt idx="0">
                  <c:v>2010.9</c:v>
                </c:pt>
                <c:pt idx="1">
                  <c:v>2158</c:v>
                </c:pt>
                <c:pt idx="2">
                  <c:v>2131</c:v>
                </c:pt>
                <c:pt idx="3">
                  <c:v>2247</c:v>
                </c:pt>
                <c:pt idx="4">
                  <c:v>2101</c:v>
                </c:pt>
                <c:pt idx="5">
                  <c:v>2038.8923889533201</c:v>
                </c:pt>
                <c:pt idx="6">
                  <c:v>2038.4276110466801</c:v>
                </c:pt>
                <c:pt idx="7">
                  <c:v>2130.3560000000002</c:v>
                </c:pt>
                <c:pt idx="8">
                  <c:v>2385.5010000000002</c:v>
                </c:pt>
                <c:pt idx="9">
                  <c:v>2635.7620000000002</c:v>
                </c:pt>
                <c:pt idx="10">
                  <c:v>2756.0369999999998</c:v>
                </c:pt>
                <c:pt idx="11">
                  <c:v>2677.777</c:v>
                </c:pt>
                <c:pt idx="12">
                  <c:v>2654.691167</c:v>
                </c:pt>
                <c:pt idx="13">
                  <c:v>2594.63201823077</c:v>
                </c:pt>
                <c:pt idx="14">
                  <c:v>2631.1463990769198</c:v>
                </c:pt>
                <c:pt idx="15">
                  <c:v>2980.650091</c:v>
                </c:pt>
                <c:pt idx="16">
                  <c:v>3177.2784769999998</c:v>
                </c:pt>
                <c:pt idx="17">
                  <c:v>3353.7132190000002</c:v>
                </c:pt>
                <c:pt idx="18">
                  <c:v>3966.1078428999999</c:v>
                </c:pt>
                <c:pt idx="19">
                  <c:v>4589.2555404699997</c:v>
                </c:pt>
                <c:pt idx="20">
                  <c:v>5558.5573649199996</c:v>
                </c:pt>
                <c:pt idx="21">
                  <c:v>5884.1092308249999</c:v>
                </c:pt>
                <c:pt idx="22">
                  <c:v>6083.5595517000002</c:v>
                </c:pt>
                <c:pt idx="23">
                  <c:v>6448.7302921250002</c:v>
                </c:pt>
                <c:pt idx="24">
                  <c:v>7195.1421624499999</c:v>
                </c:pt>
                <c:pt idx="25">
                  <c:v>7748.6307629000003</c:v>
                </c:pt>
                <c:pt idx="26">
                  <c:v>7737.9402406999998</c:v>
                </c:pt>
                <c:pt idx="27">
                  <c:v>7632.1753759800004</c:v>
                </c:pt>
                <c:pt idx="28">
                  <c:v>7729.2850990400002</c:v>
                </c:pt>
                <c:pt idx="29">
                  <c:v>7793.3648973093304</c:v>
                </c:pt>
                <c:pt idx="30">
                  <c:v>7833.5704315964404</c:v>
                </c:pt>
                <c:pt idx="31">
                  <c:v>7968.2931517710904</c:v>
                </c:pt>
                <c:pt idx="32">
                  <c:v>8032.7176186215402</c:v>
                </c:pt>
                <c:pt idx="33">
                  <c:v>7758.1212596573796</c:v>
                </c:pt>
              </c:numCache>
              <c:extLst/>
            </c:numRef>
          </c:val>
          <c:smooth val="0"/>
          <c:extLst>
            <c:ext xmlns:c16="http://schemas.microsoft.com/office/drawing/2014/chart" uri="{C3380CC4-5D6E-409C-BE32-E72D297353CC}">
              <c16:uniqueId val="{00000001-3747-4AE1-BBF4-820B57C85E87}"/>
            </c:ext>
          </c:extLst>
        </c:ser>
        <c:ser>
          <c:idx val="6"/>
          <c:order val="6"/>
          <c:tx>
            <c:strRef>
              <c:f>'2 - Annual GWh'!$A$16</c:f>
              <c:strCache>
                <c:ptCount val="1"/>
                <c:pt idx="0">
                  <c:v>Wind</c:v>
                </c:pt>
              </c:strCache>
            </c:strRef>
          </c:tx>
          <c:spPr>
            <a:ln w="19050" cap="rnd">
              <a:solidFill>
                <a:schemeClr val="tx2">
                  <a:lumMod val="75000"/>
                </a:schemeClr>
              </a:solidFill>
              <a:prstDash val="lgDash"/>
              <a:round/>
            </a:ln>
            <a:effectLst/>
          </c:spPr>
          <c:marker>
            <c:symbol val="none"/>
          </c:marker>
          <c:cat>
            <c:numRef>
              <c:f>'2 - Annual GWh'!$R$9:$AY$9</c:f>
              <c:numCache>
                <c:formatCode>0</c:formatCode>
                <c:ptCount val="3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numCache>
              <c:extLst/>
            </c:numRef>
          </c:cat>
          <c:val>
            <c:numRef>
              <c:f>'2 - Annual GWh'!$R$16:$AY$16</c:f>
              <c:numCache>
                <c:formatCode>_(* #,##0_);_(* \(#,##0\);_(* "-"_);_(@_)</c:formatCode>
                <c:ptCount val="34"/>
                <c:pt idx="0">
                  <c:v>0</c:v>
                </c:pt>
                <c:pt idx="1">
                  <c:v>0</c:v>
                </c:pt>
                <c:pt idx="2">
                  <c:v>0.68400000000000005</c:v>
                </c:pt>
                <c:pt idx="3">
                  <c:v>0.97599999999999998</c:v>
                </c:pt>
                <c:pt idx="4">
                  <c:v>1</c:v>
                </c:pt>
                <c:pt idx="5">
                  <c:v>1</c:v>
                </c:pt>
                <c:pt idx="6">
                  <c:v>8.2430000000000003</c:v>
                </c:pt>
                <c:pt idx="7">
                  <c:v>13.45762</c:v>
                </c:pt>
                <c:pt idx="8">
                  <c:v>21.849</c:v>
                </c:pt>
                <c:pt idx="9">
                  <c:v>38.603000000000002</c:v>
                </c:pt>
                <c:pt idx="10">
                  <c:v>119.006</c:v>
                </c:pt>
                <c:pt idx="11">
                  <c:v>137.59800000000001</c:v>
                </c:pt>
                <c:pt idx="12">
                  <c:v>153.92832799999999</c:v>
                </c:pt>
                <c:pt idx="13">
                  <c:v>145.07553300000001</c:v>
                </c:pt>
                <c:pt idx="14">
                  <c:v>357.92120449999999</c:v>
                </c:pt>
                <c:pt idx="15">
                  <c:v>608.24210200000005</c:v>
                </c:pt>
                <c:pt idx="16">
                  <c:v>615.99459179999997</c:v>
                </c:pt>
                <c:pt idx="17">
                  <c:v>920.58141699999999</c:v>
                </c:pt>
                <c:pt idx="18">
                  <c:v>1047.8734501575</c:v>
                </c:pt>
                <c:pt idx="19">
                  <c:v>1461.69646816979</c:v>
                </c:pt>
                <c:pt idx="20">
                  <c:v>1619.91708325574</c:v>
                </c:pt>
                <c:pt idx="21">
                  <c:v>1936.46407037879</c:v>
                </c:pt>
                <c:pt idx="22">
                  <c:v>2057.2214742055899</c:v>
                </c:pt>
                <c:pt idx="23">
                  <c:v>2000.4685526803</c:v>
                </c:pt>
                <c:pt idx="24">
                  <c:v>2188.8157596727901</c:v>
                </c:pt>
                <c:pt idx="25">
                  <c:v>2340.4886331156999</c:v>
                </c:pt>
                <c:pt idx="26">
                  <c:v>2317.35780358087</c:v>
                </c:pt>
                <c:pt idx="27">
                  <c:v>2070.1385394623098</c:v>
                </c:pt>
                <c:pt idx="28">
                  <c:v>2047.2860763822</c:v>
                </c:pt>
                <c:pt idx="29">
                  <c:v>2233.1107762769302</c:v>
                </c:pt>
                <c:pt idx="30">
                  <c:v>2286.0664960058102</c:v>
                </c:pt>
                <c:pt idx="31">
                  <c:v>2617.9143481010701</c:v>
                </c:pt>
                <c:pt idx="32">
                  <c:v>2837.0010486875499</c:v>
                </c:pt>
                <c:pt idx="33">
                  <c:v>3206.0111122763601</c:v>
                </c:pt>
              </c:numCache>
              <c:extLst/>
            </c:numRef>
          </c:val>
          <c:smooth val="0"/>
          <c:extLst>
            <c:ext xmlns:c16="http://schemas.microsoft.com/office/drawing/2014/chart" uri="{C3380CC4-5D6E-409C-BE32-E72D297353CC}">
              <c16:uniqueId val="{00000002-3747-4AE1-BBF4-820B57C85E87}"/>
            </c:ext>
          </c:extLst>
        </c:ser>
        <c:ser>
          <c:idx val="9"/>
          <c:order val="9"/>
          <c:tx>
            <c:strRef>
              <c:f>'2 - Annual GWh'!$A$19</c:f>
              <c:strCache>
                <c:ptCount val="1"/>
                <c:pt idx="0">
                  <c:v>Coal</c:v>
                </c:pt>
              </c:strCache>
            </c:strRef>
          </c:tx>
          <c:spPr>
            <a:ln w="19050" cap="rnd">
              <a:solidFill>
                <a:schemeClr val="accent1">
                  <a:lumMod val="40000"/>
                  <a:lumOff val="60000"/>
                </a:schemeClr>
              </a:solidFill>
              <a:round/>
            </a:ln>
            <a:effectLst/>
          </c:spPr>
          <c:marker>
            <c:symbol val="none"/>
          </c:marker>
          <c:cat>
            <c:numRef>
              <c:f>'2 - Annual GWh'!$R$9:$AY$9</c:f>
              <c:numCache>
                <c:formatCode>0</c:formatCode>
                <c:ptCount val="3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numCache>
              <c:extLst/>
            </c:numRef>
          </c:cat>
          <c:val>
            <c:numRef>
              <c:f>'2 - Annual GWh'!$R$19:$AY$19</c:f>
              <c:numCache>
                <c:formatCode>_(* #,##0_);_(* \(#,##0\);_(* "-"_);_(@_)</c:formatCode>
                <c:ptCount val="34"/>
                <c:pt idx="0">
                  <c:v>620.47178816276198</c:v>
                </c:pt>
                <c:pt idx="1">
                  <c:v>450.73235785677201</c:v>
                </c:pt>
                <c:pt idx="2">
                  <c:v>1170.5735760627399</c:v>
                </c:pt>
                <c:pt idx="3">
                  <c:v>695.83391420214798</c:v>
                </c:pt>
                <c:pt idx="4">
                  <c:v>646.55765615347696</c:v>
                </c:pt>
                <c:pt idx="5">
                  <c:v>841.65354666593396</c:v>
                </c:pt>
                <c:pt idx="6">
                  <c:v>876.26841800045304</c:v>
                </c:pt>
                <c:pt idx="7">
                  <c:v>1534.7458301824799</c:v>
                </c:pt>
                <c:pt idx="8">
                  <c:v>1365.2624162946599</c:v>
                </c:pt>
                <c:pt idx="9">
                  <c:v>1678.16252098316</c:v>
                </c:pt>
                <c:pt idx="10">
                  <c:v>1445.20905289806</c:v>
                </c:pt>
                <c:pt idx="11">
                  <c:v>1979.58431302036</c:v>
                </c:pt>
                <c:pt idx="12">
                  <c:v>1925.9253000000001</c:v>
                </c:pt>
                <c:pt idx="13">
                  <c:v>3700.6430965131299</c:v>
                </c:pt>
                <c:pt idx="14">
                  <c:v>4464.4479433333299</c:v>
                </c:pt>
                <c:pt idx="15">
                  <c:v>5471.0940772366102</c:v>
                </c:pt>
                <c:pt idx="16">
                  <c:v>5166.7876045222802</c:v>
                </c:pt>
                <c:pt idx="17">
                  <c:v>2953.9382626942001</c:v>
                </c:pt>
                <c:pt idx="18">
                  <c:v>4515.4949529982796</c:v>
                </c:pt>
                <c:pt idx="19">
                  <c:v>3081.7316988891898</c:v>
                </c:pt>
                <c:pt idx="20">
                  <c:v>1928.8803661024499</c:v>
                </c:pt>
                <c:pt idx="21">
                  <c:v>2027.9054574322199</c:v>
                </c:pt>
                <c:pt idx="22">
                  <c:v>3317.4904660797301</c:v>
                </c:pt>
                <c:pt idx="23">
                  <c:v>2237.2014504839699</c:v>
                </c:pt>
                <c:pt idx="24">
                  <c:v>1831.29503678792</c:v>
                </c:pt>
                <c:pt idx="25">
                  <c:v>1753.0159758192699</c:v>
                </c:pt>
                <c:pt idx="26">
                  <c:v>979.47674189095198</c:v>
                </c:pt>
                <c:pt idx="27">
                  <c:v>1133.13713839656</c:v>
                </c:pt>
                <c:pt idx="28">
                  <c:v>1479.4257946171099</c:v>
                </c:pt>
                <c:pt idx="29">
                  <c:v>2118.1116099773999</c:v>
                </c:pt>
                <c:pt idx="30">
                  <c:v>2158.8993936310899</c:v>
                </c:pt>
                <c:pt idx="31">
                  <c:v>3020.2417611436999</c:v>
                </c:pt>
                <c:pt idx="32">
                  <c:v>1251.3829685937999</c:v>
                </c:pt>
                <c:pt idx="33">
                  <c:v>1031.1577364452801</c:v>
                </c:pt>
              </c:numCache>
              <c:extLst/>
            </c:numRef>
          </c:val>
          <c:smooth val="0"/>
          <c:extLst>
            <c:ext xmlns:c16="http://schemas.microsoft.com/office/drawing/2014/chart" uri="{C3380CC4-5D6E-409C-BE32-E72D297353CC}">
              <c16:uniqueId val="{00000003-3747-4AE1-BBF4-820B57C85E87}"/>
            </c:ext>
          </c:extLst>
        </c:ser>
        <c:ser>
          <c:idx val="10"/>
          <c:order val="10"/>
          <c:tx>
            <c:strRef>
              <c:f>'2 - Annual GWh'!$A$20</c:f>
              <c:strCache>
                <c:ptCount val="1"/>
                <c:pt idx="0">
                  <c:v>Gas</c:v>
                </c:pt>
              </c:strCache>
            </c:strRef>
          </c:tx>
          <c:spPr>
            <a:ln w="19050" cap="rnd">
              <a:solidFill>
                <a:schemeClr val="accent4">
                  <a:lumMod val="60000"/>
                  <a:lumOff val="40000"/>
                </a:schemeClr>
              </a:solidFill>
              <a:prstDash val="sysDot"/>
              <a:round/>
            </a:ln>
            <a:effectLst/>
          </c:spPr>
          <c:marker>
            <c:symbol val="none"/>
          </c:marker>
          <c:cat>
            <c:numRef>
              <c:f>'2 - Annual GWh'!$R$9:$AY$9</c:f>
              <c:numCache>
                <c:formatCode>0</c:formatCode>
                <c:ptCount val="3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numCache>
              <c:extLst/>
            </c:numRef>
          </c:cat>
          <c:val>
            <c:numRef>
              <c:f>'2 - Annual GWh'!$R$20:$AY$20</c:f>
              <c:numCache>
                <c:formatCode>_(* #,##0_);_(* \(#,##0\);_(* "-"_);_(@_)</c:formatCode>
                <c:ptCount val="34"/>
                <c:pt idx="0">
                  <c:v>5335.5294658825796</c:v>
                </c:pt>
                <c:pt idx="1">
                  <c:v>6561.4032809443897</c:v>
                </c:pt>
                <c:pt idx="2">
                  <c:v>7005.5163641527097</c:v>
                </c:pt>
                <c:pt idx="3">
                  <c:v>6542.6242130438004</c:v>
                </c:pt>
                <c:pt idx="4">
                  <c:v>5117.0888551152102</c:v>
                </c:pt>
                <c:pt idx="5">
                  <c:v>4489.46156726955</c:v>
                </c:pt>
                <c:pt idx="6">
                  <c:v>6182.5525284609002</c:v>
                </c:pt>
                <c:pt idx="7">
                  <c:v>8775.0974949239699</c:v>
                </c:pt>
                <c:pt idx="8">
                  <c:v>7074.1671049174402</c:v>
                </c:pt>
                <c:pt idx="9">
                  <c:v>8927.4308018394004</c:v>
                </c:pt>
                <c:pt idx="10">
                  <c:v>8828.6769852526195</c:v>
                </c:pt>
                <c:pt idx="11">
                  <c:v>11361.8902224103</c:v>
                </c:pt>
                <c:pt idx="12">
                  <c:v>8723.1160017852708</c:v>
                </c:pt>
                <c:pt idx="13">
                  <c:v>8145.0306389263897</c:v>
                </c:pt>
                <c:pt idx="14">
                  <c:v>5851.4648570849904</c:v>
                </c:pt>
                <c:pt idx="15">
                  <c:v>7879.02542175291</c:v>
                </c:pt>
                <c:pt idx="16">
                  <c:v>8377.8269358378493</c:v>
                </c:pt>
                <c:pt idx="17">
                  <c:v>10228.5193778181</c:v>
                </c:pt>
                <c:pt idx="18">
                  <c:v>8936.6852534052505</c:v>
                </c:pt>
                <c:pt idx="19">
                  <c:v>7847.6122096072504</c:v>
                </c:pt>
                <c:pt idx="20">
                  <c:v>9017.5050717979793</c:v>
                </c:pt>
                <c:pt idx="21">
                  <c:v>7804.3101183447698</c:v>
                </c:pt>
                <c:pt idx="22">
                  <c:v>8236.3704105831894</c:v>
                </c:pt>
                <c:pt idx="23">
                  <c:v>8069.1105369916104</c:v>
                </c:pt>
                <c:pt idx="24">
                  <c:v>6546.6473777063102</c:v>
                </c:pt>
                <c:pt idx="25">
                  <c:v>6361.0647994373103</c:v>
                </c:pt>
                <c:pt idx="26">
                  <c:v>5337.7740989288504</c:v>
                </c:pt>
                <c:pt idx="27">
                  <c:v>6527.0394920859499</c:v>
                </c:pt>
                <c:pt idx="28">
                  <c:v>5286.8513568016997</c:v>
                </c:pt>
                <c:pt idx="29">
                  <c:v>5413.0232566333998</c:v>
                </c:pt>
                <c:pt idx="30">
                  <c:v>5933.5401639956399</c:v>
                </c:pt>
                <c:pt idx="31">
                  <c:v>4650.6776362706196</c:v>
                </c:pt>
                <c:pt idx="32">
                  <c:v>4309.5048474270097</c:v>
                </c:pt>
                <c:pt idx="33">
                  <c:v>4097.1536447653298</c:v>
                </c:pt>
              </c:numCache>
              <c:extLst/>
            </c:numRef>
          </c:val>
          <c:smooth val="0"/>
          <c:extLst>
            <c:ext xmlns:c16="http://schemas.microsoft.com/office/drawing/2014/chart" uri="{C3380CC4-5D6E-409C-BE32-E72D297353CC}">
              <c16:uniqueId val="{00000004-3747-4AE1-BBF4-820B57C85E87}"/>
            </c:ext>
          </c:extLst>
        </c:ser>
        <c:dLbls>
          <c:showLegendKey val="0"/>
          <c:showVal val="0"/>
          <c:showCatName val="0"/>
          <c:showSerName val="0"/>
          <c:showPercent val="0"/>
          <c:showBubbleSize val="0"/>
        </c:dLbls>
        <c:smooth val="0"/>
        <c:axId val="389367152"/>
        <c:axId val="389367632"/>
        <c:extLst>
          <c:ext xmlns:c15="http://schemas.microsoft.com/office/drawing/2012/chart" uri="{02D57815-91ED-43cb-92C2-25804820EDAC}">
            <c15:filteredLineSeries>
              <c15:ser>
                <c:idx val="0"/>
                <c:order val="0"/>
                <c:tx>
                  <c:strRef>
                    <c:extLst>
                      <c:ext uri="{02D57815-91ED-43cb-92C2-25804820EDAC}">
                        <c15:formulaRef>
                          <c15:sqref>'2 - Annual GWh'!$A$10</c15:sqref>
                        </c15:formulaRef>
                      </c:ext>
                    </c:extLst>
                    <c:strCache>
                      <c:ptCount val="1"/>
                    </c:strCache>
                  </c:strRef>
                </c:tx>
                <c:spPr>
                  <a:ln w="28575" cap="rnd">
                    <a:solidFill>
                      <a:schemeClr val="accent1"/>
                    </a:solidFill>
                    <a:round/>
                  </a:ln>
                  <a:effectLst/>
                </c:spPr>
                <c:marker>
                  <c:symbol val="none"/>
                </c:marker>
                <c:cat>
                  <c:numRef>
                    <c:extLst>
                      <c:ext uri="{02D57815-91ED-43cb-92C2-25804820EDAC}">
                        <c15:formulaRef>
                          <c15:sqref>'2 - Annual GWh'!$R$9:$AY$9</c15:sqref>
                        </c15:formulaRef>
                      </c:ext>
                    </c:extLst>
                    <c:numCache>
                      <c:formatCode>0</c:formatCode>
                      <c:ptCount val="3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numCache>
                  </c:numRef>
                </c:cat>
                <c:val>
                  <c:numRef>
                    <c:extLst>
                      <c:ext uri="{02D57815-91ED-43cb-92C2-25804820EDAC}">
                        <c15:formulaRef>
                          <c15:sqref>'2 - Annual GWh'!$R$10:$AY$10</c15:sqref>
                        </c15:formulaRef>
                      </c:ext>
                    </c:extLst>
                    <c:numCache>
                      <c:formatCode>General</c:formatCode>
                      <c:ptCount val="34"/>
                    </c:numCache>
                  </c:numRef>
                </c:val>
                <c:smooth val="0"/>
                <c:extLst>
                  <c:ext xmlns:c16="http://schemas.microsoft.com/office/drawing/2014/chart" uri="{C3380CC4-5D6E-409C-BE32-E72D297353CC}">
                    <c16:uniqueId val="{00000005-3747-4AE1-BBF4-820B57C85E87}"/>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'2 - Annual GWh'!$A$11</c15:sqref>
                        </c15:formulaRef>
                      </c:ext>
                    </c:extLst>
                    <c:strCache>
                      <c:ptCount val="1"/>
                      <c:pt idx="0">
                        <c:v>Net Generation (GWh)1,2</c:v>
                      </c:pt>
                    </c:strCache>
                  </c:strRef>
                </c:tx>
                <c:spPr>
                  <a:ln w="28575" cap="rnd">
                    <a:solidFill>
                      <a:schemeClr val="accent2"/>
                    </a:solidFill>
                    <a:round/>
                  </a:ln>
                  <a:effectLst/>
                </c:spPr>
                <c:marker>
                  <c:symbol val="none"/>
                </c:marker>
                <c:cat>
                  <c:numRef>
                    <c:extLst xmlns:c15="http://schemas.microsoft.com/office/drawing/2012/chart">
                      <c:ext xmlns:c15="http://schemas.microsoft.com/office/drawing/2012/chart" uri="{02D57815-91ED-43cb-92C2-25804820EDAC}">
                        <c15:formulaRef>
                          <c15:sqref>'2 - Annual GWh'!$R$9:$AY$9</c15:sqref>
                        </c15:formulaRef>
                      </c:ext>
                    </c:extLst>
                    <c:numCache>
                      <c:formatCode>0</c:formatCode>
                      <c:ptCount val="3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numCache>
                  </c:numRef>
                </c:cat>
                <c:val>
                  <c:numRef>
                    <c:extLst xmlns:c15="http://schemas.microsoft.com/office/drawing/2012/chart">
                      <c:ext xmlns:c15="http://schemas.microsoft.com/office/drawing/2012/chart" uri="{02D57815-91ED-43cb-92C2-25804820EDAC}">
                        <c15:formulaRef>
                          <c15:sqref>'2 - Annual GWh'!$R$11:$AY$11</c15:sqref>
                        </c15:formulaRef>
                      </c:ext>
                    </c:extLst>
                    <c:numCache>
                      <c:formatCode>_(* #,##0_);_(* \(#,##0\);_(* "-"_);_(@_)</c:formatCode>
                      <c:ptCount val="34"/>
                      <c:pt idx="0">
                        <c:v>31786.605369381126</c:v>
                      </c:pt>
                      <c:pt idx="1">
                        <c:v>32729.593851409096</c:v>
                      </c:pt>
                      <c:pt idx="2">
                        <c:v>32229.186287262666</c:v>
                      </c:pt>
                      <c:pt idx="3">
                        <c:v>33676.296993249176</c:v>
                      </c:pt>
                      <c:pt idx="4">
                        <c:v>34347.010242980614</c:v>
                      </c:pt>
                      <c:pt idx="5">
                        <c:v>35575.480503057792</c:v>
                      </c:pt>
                      <c:pt idx="6">
                        <c:v>35869.677270478256</c:v>
                      </c:pt>
                      <c:pt idx="7">
                        <c:v>36305.69496254588</c:v>
                      </c:pt>
                      <c:pt idx="8">
                        <c:v>36733.625283590278</c:v>
                      </c:pt>
                      <c:pt idx="9">
                        <c:v>36775.680193721259</c:v>
                      </c:pt>
                      <c:pt idx="10">
                        <c:v>38200.0744870567</c:v>
                      </c:pt>
                      <c:pt idx="11">
                        <c:v>38343.930175162619</c:v>
                      </c:pt>
                      <c:pt idx="12">
                        <c:v>38719.055846239607</c:v>
                      </c:pt>
                      <c:pt idx="13">
                        <c:v>38593.686051514989</c:v>
                      </c:pt>
                      <c:pt idx="14">
                        <c:v>40972.096119573413</c:v>
                      </c:pt>
                      <c:pt idx="15">
                        <c:v>40749.196664567156</c:v>
                      </c:pt>
                      <c:pt idx="16">
                        <c:v>41459.952798020538</c:v>
                      </c:pt>
                      <c:pt idx="17">
                        <c:v>41610.12260966863</c:v>
                      </c:pt>
                      <c:pt idx="18">
                        <c:v>41455.63538890129</c:v>
                      </c:pt>
                      <c:pt idx="19">
                        <c:v>41735.580262171694</c:v>
                      </c:pt>
                      <c:pt idx="20">
                        <c:v>43386.837204314834</c:v>
                      </c:pt>
                      <c:pt idx="21">
                        <c:v>43271.194824831728</c:v>
                      </c:pt>
                      <c:pt idx="22">
                        <c:v>43149.659805731972</c:v>
                      </c:pt>
                      <c:pt idx="23">
                        <c:v>42359.200116203319</c:v>
                      </c:pt>
                      <c:pt idx="24">
                        <c:v>42655.834642118825</c:v>
                      </c:pt>
                      <c:pt idx="25">
                        <c:v>43337.523269576683</c:v>
                      </c:pt>
                      <c:pt idx="26">
                        <c:v>42919.209027196775</c:v>
                      </c:pt>
                      <c:pt idx="27">
                        <c:v>43164.215654215259</c:v>
                      </c:pt>
                      <c:pt idx="28">
                        <c:v>43418.98829604208</c:v>
                      </c:pt>
                      <c:pt idx="29">
                        <c:v>43815.563354152648</c:v>
                      </c:pt>
                      <c:pt idx="30">
                        <c:v>43178.918619956668</c:v>
                      </c:pt>
                      <c:pt idx="31">
                        <c:v>43274.969772583419</c:v>
                      </c:pt>
                      <c:pt idx="32">
                        <c:v>43476.357842035839</c:v>
                      </c:pt>
                      <c:pt idx="33">
                        <c:v>43488.34925473608</c:v>
                      </c:pt>
                    </c:numCache>
                  </c:numRef>
                </c:val>
                <c:smooth val="0"/>
                <c:extLst xmlns:c15="http://schemas.microsoft.com/office/drawing/2012/chart">
                  <c:ext xmlns:c16="http://schemas.microsoft.com/office/drawing/2014/chart" uri="{C3380CC4-5D6E-409C-BE32-E72D297353CC}">
                    <c16:uniqueId val="{00000006-3747-4AE1-BBF4-820B57C85E87}"/>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'2 - Annual GWh'!$A$14</c15:sqref>
                        </c15:formulaRef>
                      </c:ext>
                    </c:extLst>
                    <c:strCache>
                      <c:ptCount val="1"/>
                      <c:pt idx="0">
                        <c:v>Biogas</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'2 - Annual GWh'!$R$9:$AY$9</c15:sqref>
                        </c15:formulaRef>
                      </c:ext>
                    </c:extLst>
                    <c:numCache>
                      <c:formatCode>0</c:formatCode>
                      <c:ptCount val="3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numCache>
                  </c:numRef>
                </c:cat>
                <c:val>
                  <c:numRef>
                    <c:extLst xmlns:c15="http://schemas.microsoft.com/office/drawing/2012/chart">
                      <c:ext xmlns:c15="http://schemas.microsoft.com/office/drawing/2012/chart" uri="{02D57815-91ED-43cb-92C2-25804820EDAC}">
                        <c15:formulaRef>
                          <c15:sqref>'2 - Annual GWh'!$R$14:$AY$14</c15:sqref>
                        </c15:formulaRef>
                      </c:ext>
                    </c:extLst>
                    <c:numCache>
                      <c:formatCode>_(* #,##0_);_(* \(#,##0\);_(* "-"_);_(@_)</c:formatCode>
                      <c:ptCount val="34"/>
                      <c:pt idx="0">
                        <c:v>130.77000000000001</c:v>
                      </c:pt>
                      <c:pt idx="1">
                        <c:v>151.47</c:v>
                      </c:pt>
                      <c:pt idx="2">
                        <c:v>155.61000000000001</c:v>
                      </c:pt>
                      <c:pt idx="3">
                        <c:v>155.61000000000001</c:v>
                      </c:pt>
                      <c:pt idx="4">
                        <c:v>162.36000000000001</c:v>
                      </c:pt>
                      <c:pt idx="5">
                        <c:v>172.2165</c:v>
                      </c:pt>
                      <c:pt idx="6">
                        <c:v>145.83027010057901</c:v>
                      </c:pt>
                      <c:pt idx="7">
                        <c:v>139.38900000000001</c:v>
                      </c:pt>
                      <c:pt idx="8">
                        <c:v>136.7013</c:v>
                      </c:pt>
                      <c:pt idx="9">
                        <c:v>116.063</c:v>
                      </c:pt>
                      <c:pt idx="10">
                        <c:v>102.785</c:v>
                      </c:pt>
                      <c:pt idx="11">
                        <c:v>100.88</c:v>
                      </c:pt>
                      <c:pt idx="12">
                        <c:v>130.91670300000001</c:v>
                      </c:pt>
                      <c:pt idx="13">
                        <c:v>167.33505099999999</c:v>
                      </c:pt>
                      <c:pt idx="14">
                        <c:v>185.861054</c:v>
                      </c:pt>
                      <c:pt idx="15">
                        <c:v>190.142616</c:v>
                      </c:pt>
                      <c:pt idx="16">
                        <c:v>218.08634799999999</c:v>
                      </c:pt>
                      <c:pt idx="17">
                        <c:v>210.45801700000001</c:v>
                      </c:pt>
                      <c:pt idx="18">
                        <c:v>202.60946175000001</c:v>
                      </c:pt>
                      <c:pt idx="19">
                        <c:v>215.03855625</c:v>
                      </c:pt>
                      <c:pt idx="20">
                        <c:v>217.50578852500001</c:v>
                      </c:pt>
                      <c:pt idx="21">
                        <c:v>218.244415675</c:v>
                      </c:pt>
                      <c:pt idx="22">
                        <c:v>210.98938405547801</c:v>
                      </c:pt>
                      <c:pt idx="23">
                        <c:v>202.68569151524801</c:v>
                      </c:pt>
                      <c:pt idx="24">
                        <c:v>227.80049437475199</c:v>
                      </c:pt>
                      <c:pt idx="25">
                        <c:v>243.9769017925</c:v>
                      </c:pt>
                      <c:pt idx="26">
                        <c:v>264.68073520658902</c:v>
                      </c:pt>
                      <c:pt idx="27">
                        <c:v>264.32965716636801</c:v>
                      </c:pt>
                      <c:pt idx="28">
                        <c:v>261.510885716904</c:v>
                      </c:pt>
                      <c:pt idx="29">
                        <c:v>267.01120992710003</c:v>
                      </c:pt>
                      <c:pt idx="30">
                        <c:v>271.38256068714298</c:v>
                      </c:pt>
                      <c:pt idx="31">
                        <c:v>265.43059190709801</c:v>
                      </c:pt>
                      <c:pt idx="32">
                        <c:v>265.51440011</c:v>
                      </c:pt>
                      <c:pt idx="33">
                        <c:v>275.050585205</c:v>
                      </c:pt>
                    </c:numCache>
                  </c:numRef>
                </c:val>
                <c:smooth val="0"/>
                <c:extLst xmlns:c15="http://schemas.microsoft.com/office/drawing/2012/chart">
                  <c:ext xmlns:c16="http://schemas.microsoft.com/office/drawing/2014/chart" uri="{C3380CC4-5D6E-409C-BE32-E72D297353CC}">
                    <c16:uniqueId val="{00000007-3747-4AE1-BBF4-820B57C85E87}"/>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'2 - Annual GWh'!$A$15</c15:sqref>
                        </c15:formulaRef>
                      </c:ext>
                    </c:extLst>
                    <c:strCache>
                      <c:ptCount val="1"/>
                      <c:pt idx="0">
                        <c:v>Wood</c:v>
                      </c:pt>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'2 - Annual GWh'!$R$9:$AY$9</c15:sqref>
                        </c15:formulaRef>
                      </c:ext>
                    </c:extLst>
                    <c:numCache>
                      <c:formatCode>0</c:formatCode>
                      <c:ptCount val="3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numCache>
                  </c:numRef>
                </c:cat>
                <c:val>
                  <c:numRef>
                    <c:extLst xmlns:c15="http://schemas.microsoft.com/office/drawing/2012/chart">
                      <c:ext xmlns:c15="http://schemas.microsoft.com/office/drawing/2012/chart" uri="{02D57815-91ED-43cb-92C2-25804820EDAC}">
                        <c15:formulaRef>
                          <c15:sqref>'2 - Annual GWh'!$R$15:$AY$15</c15:sqref>
                        </c15:formulaRef>
                      </c:ext>
                    </c:extLst>
                    <c:numCache>
                      <c:formatCode>_(* #,##0_);_(* \(#,##0\);_(* "-"_);_(@_)</c:formatCode>
                      <c:ptCount val="34"/>
                      <c:pt idx="0">
                        <c:v>663.62552243359096</c:v>
                      </c:pt>
                      <c:pt idx="1">
                        <c:v>656.26788918397904</c:v>
                      </c:pt>
                      <c:pt idx="2">
                        <c:v>629.24585994322001</c:v>
                      </c:pt>
                      <c:pt idx="3">
                        <c:v>654.57094606253099</c:v>
                      </c:pt>
                      <c:pt idx="4">
                        <c:v>657.55024307223096</c:v>
                      </c:pt>
                      <c:pt idx="5">
                        <c:v>662.22513919718403</c:v>
                      </c:pt>
                      <c:pt idx="6">
                        <c:v>619.62088499273796</c:v>
                      </c:pt>
                      <c:pt idx="7">
                        <c:v>624.36601743943095</c:v>
                      </c:pt>
                      <c:pt idx="8">
                        <c:v>620.31246237818004</c:v>
                      </c:pt>
                      <c:pt idx="9">
                        <c:v>626.58001689870298</c:v>
                      </c:pt>
                      <c:pt idx="10">
                        <c:v>695.01930390601797</c:v>
                      </c:pt>
                      <c:pt idx="11">
                        <c:v>574.61163973195403</c:v>
                      </c:pt>
                      <c:pt idx="12">
                        <c:v>413.04301169984501</c:v>
                      </c:pt>
                      <c:pt idx="13">
                        <c:v>350.83568414470102</c:v>
                      </c:pt>
                      <c:pt idx="14">
                        <c:v>407.96282307817398</c:v>
                      </c:pt>
                      <c:pt idx="15">
                        <c:v>446.37363318418801</c:v>
                      </c:pt>
                      <c:pt idx="16">
                        <c:v>472.61478634331598</c:v>
                      </c:pt>
                      <c:pt idx="17">
                        <c:v>481.283231155078</c:v>
                      </c:pt>
                      <c:pt idx="18">
                        <c:v>479.63506516726602</c:v>
                      </c:pt>
                      <c:pt idx="19">
                        <c:v>499.14782871537398</c:v>
                      </c:pt>
                      <c:pt idx="20">
                        <c:v>502.24455794605598</c:v>
                      </c:pt>
                      <c:pt idx="21">
                        <c:v>488.15838623867501</c:v>
                      </c:pt>
                      <c:pt idx="22">
                        <c:v>532.79668470032595</c:v>
                      </c:pt>
                      <c:pt idx="23">
                        <c:v>547.94140796647798</c:v>
                      </c:pt>
                      <c:pt idx="24">
                        <c:v>522.10967325199601</c:v>
                      </c:pt>
                      <c:pt idx="25">
                        <c:v>518.80874670451306</c:v>
                      </c:pt>
                      <c:pt idx="26">
                        <c:v>496.05065595509097</c:v>
                      </c:pt>
                      <c:pt idx="27">
                        <c:v>485.06303286748903</c:v>
                      </c:pt>
                      <c:pt idx="28">
                        <c:v>462.77340167135401</c:v>
                      </c:pt>
                      <c:pt idx="29">
                        <c:v>472.37021063751098</c:v>
                      </c:pt>
                      <c:pt idx="30">
                        <c:v>459.55249507923003</c:v>
                      </c:pt>
                      <c:pt idx="31">
                        <c:v>483.16050719264098</c:v>
                      </c:pt>
                      <c:pt idx="32">
                        <c:v>438.80561433795401</c:v>
                      </c:pt>
                      <c:pt idx="33">
                        <c:v>408.160142389182</c:v>
                      </c:pt>
                    </c:numCache>
                  </c:numRef>
                </c:val>
                <c:smooth val="0"/>
                <c:extLst xmlns:c15="http://schemas.microsoft.com/office/drawing/2012/chart">
                  <c:ext xmlns:c16="http://schemas.microsoft.com/office/drawing/2014/chart" uri="{C3380CC4-5D6E-409C-BE32-E72D297353CC}">
                    <c16:uniqueId val="{00000008-3747-4AE1-BBF4-820B57C85E87}"/>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'2 - Annual GWh'!$A$17</c15:sqref>
                        </c15:formulaRef>
                      </c:ext>
                    </c:extLst>
                    <c:strCache>
                      <c:ptCount val="1"/>
                      <c:pt idx="0">
                        <c:v>Solar3</c:v>
                      </c:pt>
                    </c:strCache>
                  </c:strRef>
                </c:tx>
                <c:spPr>
                  <a:ln w="28575" cap="rnd">
                    <a:solidFill>
                      <a:schemeClr val="accent2">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'2 - Annual GWh'!$R$9:$AY$9</c15:sqref>
                        </c15:formulaRef>
                      </c:ext>
                    </c:extLst>
                    <c:numCache>
                      <c:formatCode>0</c:formatCode>
                      <c:ptCount val="3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numCache>
                  </c:numRef>
                </c:cat>
                <c:val>
                  <c:numRef>
                    <c:extLst xmlns:c15="http://schemas.microsoft.com/office/drawing/2012/chart">
                      <c:ext xmlns:c15="http://schemas.microsoft.com/office/drawing/2012/chart" uri="{02D57815-91ED-43cb-92C2-25804820EDAC}">
                        <c15:formulaRef>
                          <c15:sqref>'2 - Annual GWh'!$R$17:$AY$17</c15:sqref>
                        </c15:formulaRef>
                      </c:ext>
                    </c:extLst>
                    <c:numCache>
                      <c:formatCode>_(* #,##0_);_(* \(#,##0\);_(* "-"_);_(@_)</c:formatCode>
                      <c:ptCount val="3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3.3718355581453299</c:v>
                      </c:pt>
                      <c:pt idx="18">
                        <c:v>3.4210594349065802</c:v>
                      </c:pt>
                      <c:pt idx="19">
                        <c:v>3.5539639021619398</c:v>
                      </c:pt>
                      <c:pt idx="20">
                        <c:v>3.7902385106159202</c:v>
                      </c:pt>
                      <c:pt idx="21">
                        <c:v>4.0855817711833904</c:v>
                      </c:pt>
                      <c:pt idx="22">
                        <c:v>4.7747160458408304</c:v>
                      </c:pt>
                      <c:pt idx="23">
                        <c:v>6.6362882389259301</c:v>
                      </c:pt>
                      <c:pt idx="24">
                        <c:v>18.6137151762487</c:v>
                      </c:pt>
                      <c:pt idx="25">
                        <c:v>36.4332341078455</c:v>
                      </c:pt>
                      <c:pt idx="26">
                        <c:v>56.143328147828697</c:v>
                      </c:pt>
                      <c:pt idx="27">
                        <c:v>76.259676113989897</c:v>
                      </c:pt>
                      <c:pt idx="28">
                        <c:v>99.5752865311172</c:v>
                      </c:pt>
                      <c:pt idx="29">
                        <c:v>126.53832902438199</c:v>
                      </c:pt>
                      <c:pt idx="30">
                        <c:v>159.362807216964</c:v>
                      </c:pt>
                      <c:pt idx="31">
                        <c:v>208.08555525090401</c:v>
                      </c:pt>
                      <c:pt idx="32">
                        <c:v>281.47428596401397</c:v>
                      </c:pt>
                      <c:pt idx="33">
                        <c:v>366.647393408938</c:v>
                      </c:pt>
                    </c:numCache>
                  </c:numRef>
                </c:val>
                <c:smooth val="0"/>
                <c:extLst xmlns:c15="http://schemas.microsoft.com/office/drawing/2012/chart">
                  <c:ext xmlns:c16="http://schemas.microsoft.com/office/drawing/2014/chart" uri="{C3380CC4-5D6E-409C-BE32-E72D297353CC}">
                    <c16:uniqueId val="{00000009-3747-4AE1-BBF4-820B57C85E87}"/>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'2 - Annual GWh'!$A$18</c15:sqref>
                        </c15:formulaRef>
                      </c:ext>
                    </c:extLst>
                    <c:strCache>
                      <c:ptCount val="1"/>
                      <c:pt idx="0">
                        <c:v>Oil</c:v>
                      </c:pt>
                    </c:strCache>
                  </c:strRef>
                </c:tx>
                <c:spPr>
                  <a:ln w="28575" cap="rnd">
                    <a:solidFill>
                      <a:schemeClr val="accent3">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'2 - Annual GWh'!$R$9:$AY$9</c15:sqref>
                        </c15:formulaRef>
                      </c:ext>
                    </c:extLst>
                    <c:numCache>
                      <c:formatCode>0</c:formatCode>
                      <c:ptCount val="3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numCache>
                  </c:numRef>
                </c:cat>
                <c:val>
                  <c:numRef>
                    <c:extLst xmlns:c15="http://schemas.microsoft.com/office/drawing/2012/chart">
                      <c:ext xmlns:c15="http://schemas.microsoft.com/office/drawing/2012/chart" uri="{02D57815-91ED-43cb-92C2-25804820EDAC}">
                        <c15:formulaRef>
                          <c15:sqref>'2 - Annual GWh'!$R$18:$AY$18</c15:sqref>
                        </c15:formulaRef>
                      </c:ext>
                    </c:extLst>
                    <c:numCache>
                      <c:formatCode>_(* #,##0_);_(* \(#,##0\);_(* "-"_);_(@_)</c:formatCode>
                      <c:ptCount val="34"/>
                      <c:pt idx="0">
                        <c:v>9.1699772809906204</c:v>
                      </c:pt>
                      <c:pt idx="1">
                        <c:v>23.5500660349533</c:v>
                      </c:pt>
                      <c:pt idx="2">
                        <c:v>192.09000740509001</c:v>
                      </c:pt>
                      <c:pt idx="3">
                        <c:v>59</c:v>
                      </c:pt>
                      <c:pt idx="4">
                        <c:v>20</c:v>
                      </c:pt>
                      <c:pt idx="5">
                        <c:v>47.920665999999997</c:v>
                      </c:pt>
                      <c:pt idx="6">
                        <c:v>14.610333000000001</c:v>
                      </c:pt>
                      <c:pt idx="7">
                        <c:v>0</c:v>
                      </c:pt>
                      <c:pt idx="8">
                        <c:v>1</c:v>
                      </c:pt>
                      <c:pt idx="9">
                        <c:v>4.7854000000000001E-2</c:v>
                      </c:pt>
                      <c:pt idx="10">
                        <c:v>1.5145E-2</c:v>
                      </c:pt>
                      <c:pt idx="11">
                        <c:v>0</c:v>
                      </c:pt>
                      <c:pt idx="12">
                        <c:v>4.2500000000000003E-3</c:v>
                      </c:pt>
                      <c:pt idx="13">
                        <c:v>19.11233</c:v>
                      </c:pt>
                      <c:pt idx="14">
                        <c:v>22.6554</c:v>
                      </c:pt>
                      <c:pt idx="15">
                        <c:v>3.5884903934558898</c:v>
                      </c:pt>
                      <c:pt idx="16">
                        <c:v>22.5927405170901</c:v>
                      </c:pt>
                      <c:pt idx="17">
                        <c:v>1.24419044310798</c:v>
                      </c:pt>
                      <c:pt idx="18">
                        <c:v>123.84810571408499</c:v>
                      </c:pt>
                      <c:pt idx="19">
                        <c:v>9.0177518712246894</c:v>
                      </c:pt>
                      <c:pt idx="20">
                        <c:v>2.0421914967911401</c:v>
                      </c:pt>
                      <c:pt idx="21">
                        <c:v>2.08233166508187</c:v>
                      </c:pt>
                      <c:pt idx="22">
                        <c:v>3.4293434161109202</c:v>
                      </c:pt>
                      <c:pt idx="23">
                        <c:v>3.3950128372820201</c:v>
                      </c:pt>
                      <c:pt idx="24">
                        <c:v>3.1404711293110998</c:v>
                      </c:pt>
                      <c:pt idx="25">
                        <c:v>1.4472711740355699</c:v>
                      </c:pt>
                      <c:pt idx="26">
                        <c:v>3.1125948053980101</c:v>
                      </c:pt>
                      <c:pt idx="27">
                        <c:v>5.5074483146048596</c:v>
                      </c:pt>
                      <c:pt idx="28">
                        <c:v>10.9028336349994</c:v>
                      </c:pt>
                      <c:pt idx="29">
                        <c:v>3.9248193150831598</c:v>
                      </c:pt>
                      <c:pt idx="30">
                        <c:v>13.0380487959501</c:v>
                      </c:pt>
                      <c:pt idx="31">
                        <c:v>25.660582126838001</c:v>
                      </c:pt>
                      <c:pt idx="32">
                        <c:v>6.79836075425969</c:v>
                      </c:pt>
                      <c:pt idx="33">
                        <c:v>4.4769927705088302</c:v>
                      </c:pt>
                    </c:numCache>
                  </c:numRef>
                </c:val>
                <c:smooth val="0"/>
                <c:extLst xmlns:c15="http://schemas.microsoft.com/office/drawing/2012/chart">
                  <c:ext xmlns:c16="http://schemas.microsoft.com/office/drawing/2014/chart" uri="{C3380CC4-5D6E-409C-BE32-E72D297353CC}">
                    <c16:uniqueId val="{0000000A-3747-4AE1-BBF4-820B57C85E87}"/>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'2 - Annual GWh'!$A$21</c15:sqref>
                        </c15:formulaRef>
                      </c:ext>
                    </c:extLst>
                    <c:strCache>
                      <c:ptCount val="1"/>
                      <c:pt idx="0">
                        <c:v>Waste Heat4</c:v>
                      </c:pt>
                    </c:strCache>
                  </c:strRef>
                </c:tx>
                <c:spPr>
                  <a:ln w="28575" cap="rnd">
                    <a:solidFill>
                      <a:schemeClr val="accent6">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'2 - Annual GWh'!$R$9:$AY$9</c15:sqref>
                        </c15:formulaRef>
                      </c:ext>
                    </c:extLst>
                    <c:numCache>
                      <c:formatCode>0</c:formatCode>
                      <c:ptCount val="3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numCache>
                  </c:numRef>
                </c:cat>
                <c:val>
                  <c:numRef>
                    <c:extLst xmlns:c15="http://schemas.microsoft.com/office/drawing/2012/chart">
                      <c:ext xmlns:c15="http://schemas.microsoft.com/office/drawing/2012/chart" uri="{02D57815-91ED-43cb-92C2-25804820EDAC}">
                        <c15:formulaRef>
                          <c15:sqref>'2 - Annual GWh'!$R$21:$AY$21</c15:sqref>
                        </c15:formulaRef>
                      </c:ext>
                    </c:extLst>
                    <c:numCache>
                      <c:formatCode>_(* #,##0_);_(* \(#,##0\);_(* "-"_);_(@_)</c:formatCode>
                      <c:ptCount val="34"/>
                      <c:pt idx="0">
                        <c:v>62.689</c:v>
                      </c:pt>
                      <c:pt idx="1">
                        <c:v>62.651000000000003</c:v>
                      </c:pt>
                      <c:pt idx="2">
                        <c:v>62.722999999999999</c:v>
                      </c:pt>
                      <c:pt idx="3">
                        <c:v>62.718000000000004</c:v>
                      </c:pt>
                      <c:pt idx="4">
                        <c:v>62.744</c:v>
                      </c:pt>
                      <c:pt idx="5">
                        <c:v>62.698999999999998</c:v>
                      </c:pt>
                      <c:pt idx="6">
                        <c:v>63.024250000000002</c:v>
                      </c:pt>
                      <c:pt idx="7">
                        <c:v>62.698999999999998</c:v>
                      </c:pt>
                      <c:pt idx="8">
                        <c:v>62.698999999999998</c:v>
                      </c:pt>
                      <c:pt idx="9">
                        <c:v>62.698999999999998</c:v>
                      </c:pt>
                      <c:pt idx="10">
                        <c:v>62.698999999999998</c:v>
                      </c:pt>
                      <c:pt idx="11">
                        <c:v>47.231999999999999</c:v>
                      </c:pt>
                      <c:pt idx="12">
                        <c:v>93.135800000000003</c:v>
                      </c:pt>
                      <c:pt idx="13">
                        <c:v>84.452950000000001</c:v>
                      </c:pt>
                      <c:pt idx="14">
                        <c:v>82.950500000000005</c:v>
                      </c:pt>
                      <c:pt idx="15">
                        <c:v>75.801550000000006</c:v>
                      </c:pt>
                      <c:pt idx="16">
                        <c:v>71.284499999999994</c:v>
                      </c:pt>
                      <c:pt idx="17">
                        <c:v>52.918774999999997</c:v>
                      </c:pt>
                      <c:pt idx="18">
                        <c:v>56.095775000000003</c:v>
                      </c:pt>
                      <c:pt idx="19">
                        <c:v>53.2575</c:v>
                      </c:pt>
                      <c:pt idx="20">
                        <c:v>57.155175</c:v>
                      </c:pt>
                      <c:pt idx="21">
                        <c:v>46.274425000000001</c:v>
                      </c:pt>
                      <c:pt idx="22">
                        <c:v>35.337165499999998</c:v>
                      </c:pt>
                      <c:pt idx="23">
                        <c:v>44.246126500000003</c:v>
                      </c:pt>
                      <c:pt idx="24">
                        <c:v>47.389383250000002</c:v>
                      </c:pt>
                      <c:pt idx="25">
                        <c:v>49.011545750000003</c:v>
                      </c:pt>
                      <c:pt idx="26">
                        <c:v>50.974049999999998</c:v>
                      </c:pt>
                      <c:pt idx="27">
                        <c:v>46.469499999999996</c:v>
                      </c:pt>
                      <c:pt idx="28">
                        <c:v>49.344000000000001</c:v>
                      </c:pt>
                      <c:pt idx="29">
                        <c:v>45.442500000000003</c:v>
                      </c:pt>
                      <c:pt idx="30">
                        <c:v>39.580750000000002</c:v>
                      </c:pt>
                      <c:pt idx="31">
                        <c:v>43.119913735454404</c:v>
                      </c:pt>
                      <c:pt idx="32">
                        <c:v>39.714678411818099</c:v>
                      </c:pt>
                      <c:pt idx="33">
                        <c:v>32.658998514401297</c:v>
                      </c:pt>
                    </c:numCache>
                  </c:numRef>
                </c:val>
                <c:smooth val="0"/>
                <c:extLst xmlns:c15="http://schemas.microsoft.com/office/drawing/2012/chart">
                  <c:ext xmlns:c16="http://schemas.microsoft.com/office/drawing/2014/chart" uri="{C3380CC4-5D6E-409C-BE32-E72D297353CC}">
                    <c16:uniqueId val="{0000000B-3747-4AE1-BBF4-820B57C85E87}"/>
                  </c:ext>
                </c:extLst>
              </c15:ser>
            </c15:filteredLineSeries>
          </c:ext>
        </c:extLst>
      </c:lineChart>
      <c:catAx>
        <c:axId val="389367152"/>
        <c:scaling>
          <c:orientation val="minMax"/>
        </c:scaling>
        <c:delete val="0"/>
        <c:axPos val="b"/>
        <c:numFmt formatCode="0" sourceLinked="1"/>
        <c:majorTickMark val="none"/>
        <c:minorTickMark val="none"/>
        <c:tickLblPos val="nextTo"/>
        <c:spPr>
          <a:noFill/>
          <a:ln w="15875" cap="flat" cmpd="sng" algn="ctr">
            <a:solidFill>
              <a:schemeClr val="tx1"/>
            </a:solidFill>
            <a:round/>
            <a:headEnd type="none"/>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89367632"/>
        <c:crosses val="autoZero"/>
        <c:auto val="1"/>
        <c:lblAlgn val="ctr"/>
        <c:lblOffset val="100"/>
        <c:noMultiLvlLbl val="0"/>
      </c:catAx>
      <c:valAx>
        <c:axId val="3893676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sz="1000" baseline="0"/>
                  <a:t>GWh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nextTo"/>
        <c:spPr>
          <a:noFill/>
          <a:ln w="19050" cmpd="sng">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9367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305616936222889E-2"/>
          <c:y val="4.6674888530499954E-2"/>
          <c:w val="0.88317132295221989"/>
          <c:h val="0.74475438762925716"/>
        </c:manualLayout>
      </c:layout>
      <c:lineChart>
        <c:grouping val="standard"/>
        <c:varyColors val="0"/>
        <c:ser>
          <c:idx val="2"/>
          <c:order val="0"/>
          <c:tx>
            <c:strRef>
              <c:f>'[Graphs and Tables for BTR1 version 2 using ENZ v7.1 shared.xlsx]BTRGraph'!$B$44</c:f>
              <c:strCache>
                <c:ptCount val="1"/>
                <c:pt idx="0">
                  <c:v>Tokelau historical emissions</c:v>
                </c:pt>
              </c:strCache>
            </c:strRef>
          </c:tx>
          <c:spPr>
            <a:ln w="28575" cap="rnd">
              <a:solidFill>
                <a:srgbClr val="002060"/>
              </a:solidFill>
              <a:prstDash val="solid"/>
              <a:round/>
            </a:ln>
            <a:effectLst/>
          </c:spPr>
          <c:marker>
            <c:symbol val="none"/>
          </c:marker>
          <c:cat>
            <c:numRef>
              <c:f>'[Graphs and Tables for BTR1 version 2 using ENZ v7.1 shared.xlsx]BTRGraph'!$C$3:$BK$3</c:f>
              <c:numCache>
                <c:formatCode>0</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'[Graphs and Tables for BTR1 version 2 using ENZ v7.1 shared.xlsx]BTRGraph'!$C$44:$BK$44</c:f>
              <c:numCache>
                <c:formatCode>#,##0</c:formatCode>
                <c:ptCount val="61"/>
                <c:pt idx="0">
                  <c:v>3.3722825169999999</c:v>
                </c:pt>
                <c:pt idx="1">
                  <c:v>3.496982627</c:v>
                </c:pt>
                <c:pt idx="2">
                  <c:v>3.4540568180000002</c:v>
                </c:pt>
                <c:pt idx="3">
                  <c:v>3.4114395389999999</c:v>
                </c:pt>
                <c:pt idx="4">
                  <c:v>3.3723246398246998</c:v>
                </c:pt>
                <c:pt idx="5">
                  <c:v>3.3347370920000001</c:v>
                </c:pt>
                <c:pt idx="6">
                  <c:v>3.2990361560000001</c:v>
                </c:pt>
                <c:pt idx="7">
                  <c:v>3.4042674638933903</c:v>
                </c:pt>
                <c:pt idx="8">
                  <c:v>3.5092537940000001</c:v>
                </c:pt>
                <c:pt idx="9">
                  <c:v>3.614023194</c:v>
                </c:pt>
                <c:pt idx="10">
                  <c:v>3.7180658499999999</c:v>
                </c:pt>
                <c:pt idx="11">
                  <c:v>3.8241574753714103</c:v>
                </c:pt>
                <c:pt idx="12">
                  <c:v>3.8217897479196496</c:v>
                </c:pt>
                <c:pt idx="13">
                  <c:v>3.8153124030000001</c:v>
                </c:pt>
                <c:pt idx="14">
                  <c:v>4.2618628049999998</c:v>
                </c:pt>
                <c:pt idx="15">
                  <c:v>4.7070636239999999</c:v>
                </c:pt>
                <c:pt idx="16">
                  <c:v>4.688989726</c:v>
                </c:pt>
                <c:pt idx="17">
                  <c:v>4.6946802298364805</c:v>
                </c:pt>
                <c:pt idx="18">
                  <c:v>4.704036769</c:v>
                </c:pt>
                <c:pt idx="19">
                  <c:v>4.7131728856820807</c:v>
                </c:pt>
                <c:pt idx="20">
                  <c:v>4.7239511700000003</c:v>
                </c:pt>
                <c:pt idx="21">
                  <c:v>4.7370715939999997</c:v>
                </c:pt>
                <c:pt idx="22">
                  <c:v>4.4548663350000002</c:v>
                </c:pt>
                <c:pt idx="23">
                  <c:v>3.6970795299999999</c:v>
                </c:pt>
                <c:pt idx="24">
                  <c:v>3.6530469299999999</c:v>
                </c:pt>
                <c:pt idx="25">
                  <c:v>3.5843968605551204</c:v>
                </c:pt>
                <c:pt idx="26">
                  <c:v>3.5995246040412603</c:v>
                </c:pt>
                <c:pt idx="27">
                  <c:v>3.6854933179999998</c:v>
                </c:pt>
                <c:pt idx="28">
                  <c:v>3.7892977970000001</c:v>
                </c:pt>
                <c:pt idx="29">
                  <c:v>4.4512644149411695</c:v>
                </c:pt>
                <c:pt idx="30">
                  <c:v>4.3267215989999999</c:v>
                </c:pt>
                <c:pt idx="31">
                  <c:v>3.9315686099999998</c:v>
                </c:pt>
                <c:pt idx="32">
                  <c:v>4.6856133777637705</c:v>
                </c:pt>
              </c:numCache>
            </c:numRef>
          </c:val>
          <c:smooth val="0"/>
          <c:extLst>
            <c:ext xmlns:c16="http://schemas.microsoft.com/office/drawing/2014/chart" uri="{C3380CC4-5D6E-409C-BE32-E72D297353CC}">
              <c16:uniqueId val="{00000000-CF12-4B1C-AE82-182210102D94}"/>
            </c:ext>
          </c:extLst>
        </c:ser>
        <c:ser>
          <c:idx val="3"/>
          <c:order val="1"/>
          <c:tx>
            <c:strRef>
              <c:f>'[Graphs and Tables for BTR1 version 2 using ENZ v7.1 shared.xlsx]BTRGraph'!$B$45</c:f>
              <c:strCache>
                <c:ptCount val="1"/>
                <c:pt idx="0">
                  <c:v>Tokelau projected emissions</c:v>
                </c:pt>
              </c:strCache>
            </c:strRef>
          </c:tx>
          <c:spPr>
            <a:ln w="28575" cap="rnd">
              <a:solidFill>
                <a:srgbClr val="002060"/>
              </a:solidFill>
              <a:prstDash val="sysDash"/>
              <a:round/>
            </a:ln>
            <a:effectLst/>
          </c:spPr>
          <c:marker>
            <c:symbol val="none"/>
          </c:marker>
          <c:cat>
            <c:numRef>
              <c:f>'[Graphs and Tables for BTR1 version 2 using ENZ v7.1 shared.xlsx]BTRGraph'!$C$3:$BK$3</c:f>
              <c:numCache>
                <c:formatCode>0</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'[Graphs and Tables for BTR1 version 2 using ENZ v7.1 shared.xlsx]BTRGraph'!$C$45:$BK$45</c:f>
              <c:numCache>
                <c:formatCode>General</c:formatCode>
                <c:ptCount val="61"/>
                <c:pt idx="32" formatCode="#,##0">
                  <c:v>4.6856133777637705</c:v>
                </c:pt>
                <c:pt idx="33" formatCode="#,##0">
                  <c:v>4.6944956369968684</c:v>
                </c:pt>
                <c:pt idx="34" formatCode="#,##0">
                  <c:v>4.7167664661591315</c:v>
                </c:pt>
                <c:pt idx="35" formatCode="#,##0">
                  <c:v>4.7391711810206578</c:v>
                </c:pt>
                <c:pt idx="36" formatCode="#,##0">
                  <c:v>4.7480534402543215</c:v>
                </c:pt>
                <c:pt idx="37" formatCode="#,##0">
                  <c:v>4.7569356994879959</c:v>
                </c:pt>
                <c:pt idx="38" formatCode="#,##0">
                  <c:v>4.7658179587216587</c:v>
                </c:pt>
                <c:pt idx="39" formatCode="#,##0">
                  <c:v>4.7747002179553224</c:v>
                </c:pt>
                <c:pt idx="40" formatCode="#,##0">
                  <c:v>4.7835824771889861</c:v>
                </c:pt>
                <c:pt idx="41" formatCode="#,##0">
                  <c:v>3.8364271235324305</c:v>
                </c:pt>
                <c:pt idx="42" formatCode="#,##0">
                  <c:v>3.849406686821339</c:v>
                </c:pt>
                <c:pt idx="43" formatCode="#,##0">
                  <c:v>3.8624272231507968</c:v>
                </c:pt>
                <c:pt idx="44" formatCode="#,##0">
                  <c:v>3.8754891422512188</c:v>
                </c:pt>
                <c:pt idx="45" formatCode="#,##0">
                  <c:v>3.8885928579503029</c:v>
                </c:pt>
                <c:pt idx="46" formatCode="#,##0">
                  <c:v>3.9017387882140482</c:v>
                </c:pt>
                <c:pt idx="47" formatCode="#,##0">
                  <c:v>3.9149273551880905</c:v>
                </c:pt>
                <c:pt idx="48" formatCode="#,##0">
                  <c:v>3.9281589852395382</c:v>
                </c:pt>
                <c:pt idx="49" formatCode="#,##0">
                  <c:v>3.9414341089991556</c:v>
                </c:pt>
                <c:pt idx="50" formatCode="#,##0">
                  <c:v>3.9547531614040388</c:v>
                </c:pt>
                <c:pt idx="51" formatCode="#,##0">
                  <c:v>3.9681165817406439</c:v>
                </c:pt>
                <c:pt idx="52" formatCode="#,##0">
                  <c:v>3.9815248136882646</c:v>
                </c:pt>
                <c:pt idx="53" formatCode="#,##0">
                  <c:v>3.9949783053630226</c:v>
                </c:pt>
                <c:pt idx="54" formatCode="#,##0">
                  <c:v>4.0084775093621925</c:v>
                </c:pt>
                <c:pt idx="55" formatCode="#,##0">
                  <c:v>4.0220228828090319</c:v>
                </c:pt>
                <c:pt idx="56" formatCode="#,##0">
                  <c:v>4.0372666521038738</c:v>
                </c:pt>
                <c:pt idx="57" formatCode="#,##0">
                  <c:v>4.0526645776757935</c:v>
                </c:pt>
                <c:pt idx="58" formatCode="#,##0">
                  <c:v>4.0681100716758207</c:v>
                </c:pt>
                <c:pt idx="59" formatCode="#,##0">
                  <c:v>4.0836036097882058</c:v>
                </c:pt>
                <c:pt idx="60" formatCode="#,##0">
                  <c:v>4.0991456724540791</c:v>
                </c:pt>
              </c:numCache>
            </c:numRef>
          </c:val>
          <c:smooth val="0"/>
          <c:extLst>
            <c:ext xmlns:c16="http://schemas.microsoft.com/office/drawing/2014/chart" uri="{C3380CC4-5D6E-409C-BE32-E72D297353CC}">
              <c16:uniqueId val="{00000001-CF12-4B1C-AE82-182210102D94}"/>
            </c:ext>
          </c:extLst>
        </c:ser>
        <c:dLbls>
          <c:showLegendKey val="0"/>
          <c:showVal val="0"/>
          <c:showCatName val="0"/>
          <c:showSerName val="0"/>
          <c:showPercent val="0"/>
          <c:showBubbleSize val="0"/>
        </c:dLbls>
        <c:smooth val="0"/>
        <c:axId val="1612680727"/>
        <c:axId val="1612681719"/>
      </c:lineChart>
      <c:catAx>
        <c:axId val="1612680727"/>
        <c:scaling>
          <c:orientation val="minMax"/>
        </c:scaling>
        <c:delete val="0"/>
        <c:axPos val="b"/>
        <c:numFmt formatCode="0" sourceLinked="1"/>
        <c:majorTickMark val="out"/>
        <c:minorTickMark val="none"/>
        <c:tickLblPos val="nextTo"/>
        <c:spPr>
          <a:noFill/>
          <a:ln w="9525" cap="flat" cmpd="sng" algn="ctr">
            <a:solidFill>
              <a:srgbClr val="595959"/>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2681719"/>
        <c:crosses val="autoZero"/>
        <c:auto val="1"/>
        <c:lblAlgn val="ctr"/>
        <c:lblOffset val="100"/>
        <c:noMultiLvlLbl val="0"/>
      </c:catAx>
      <c:valAx>
        <c:axId val="161268171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 Emissions in kt CO</a:t>
                </a:r>
                <a:r>
                  <a:rPr lang="en-NZ" baseline="-25000"/>
                  <a:t>2</a:t>
                </a:r>
                <a:r>
                  <a:rPr lang="en-NZ"/>
                  <a:t>e </a:t>
                </a:r>
              </a:p>
            </c:rich>
          </c:tx>
          <c:layout>
            <c:manualLayout>
              <c:xMode val="edge"/>
              <c:yMode val="edge"/>
              <c:x val="3.53594140653367E-2"/>
              <c:y val="0.2783353887992916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a:solidFill>
              <a:srgbClr val="595959"/>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2680727"/>
        <c:crosses val="autoZero"/>
        <c:crossBetween val="midCat"/>
      </c:valAx>
      <c:spPr>
        <a:noFill/>
        <a:ln>
          <a:noFill/>
        </a:ln>
        <a:effectLst/>
      </c:spPr>
    </c:plotArea>
    <c:legend>
      <c:legendPos val="b"/>
      <c:layout>
        <c:manualLayout>
          <c:xMode val="edge"/>
          <c:yMode val="edge"/>
          <c:x val="0.15197797903720536"/>
          <c:y val="0.89072384024286122"/>
          <c:w val="0.76194384792809988"/>
          <c:h val="0.103615216772602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009590565000359"/>
          <c:y val="3.501264345458082E-2"/>
          <c:w val="0.81232480388992367"/>
          <c:h val="0.77796776570016868"/>
        </c:manualLayout>
      </c:layout>
      <c:lineChart>
        <c:grouping val="standard"/>
        <c:varyColors val="0"/>
        <c:ser>
          <c:idx val="0"/>
          <c:order val="0"/>
          <c:tx>
            <c:strRef>
              <c:f>'Report tables'!$B$48</c:f>
              <c:strCache>
                <c:ptCount val="1"/>
                <c:pt idx="0">
                  <c:v>Biomass</c:v>
                </c:pt>
              </c:strCache>
            </c:strRef>
          </c:tx>
          <c:spPr>
            <a:ln w="28575" cap="rnd">
              <a:solidFill>
                <a:srgbClr val="2C9986"/>
              </a:solidFill>
              <a:round/>
            </a:ln>
            <a:effectLst/>
          </c:spPr>
          <c:marker>
            <c:symbol val="none"/>
          </c:marker>
          <c:cat>
            <c:numRef>
              <c:f>'Report tables'!$C$47:$L$47</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'Report tables'!$C$48:$L$48</c:f>
              <c:numCache>
                <c:formatCode>0.0</c:formatCode>
                <c:ptCount val="10"/>
                <c:pt idx="0">
                  <c:v>-22204.340584882972</c:v>
                </c:pt>
                <c:pt idx="1">
                  <c:v>-23194.252769914314</c:v>
                </c:pt>
                <c:pt idx="2">
                  <c:v>-24264.967814884541</c:v>
                </c:pt>
                <c:pt idx="3">
                  <c:v>-25814.555742035252</c:v>
                </c:pt>
                <c:pt idx="4">
                  <c:v>-23842.356299196726</c:v>
                </c:pt>
                <c:pt idx="5">
                  <c:v>-14361.30576653101</c:v>
                </c:pt>
                <c:pt idx="6">
                  <c:v>-8831.0569919782447</c:v>
                </c:pt>
                <c:pt idx="7">
                  <c:v>2145.3791871781023</c:v>
                </c:pt>
                <c:pt idx="8">
                  <c:v>4290.8623045098075</c:v>
                </c:pt>
                <c:pt idx="9">
                  <c:v>4582.0046212181705</c:v>
                </c:pt>
              </c:numCache>
            </c:numRef>
          </c:val>
          <c:smooth val="0"/>
          <c:extLst>
            <c:ext xmlns:c16="http://schemas.microsoft.com/office/drawing/2014/chart" uri="{C3380CC4-5D6E-409C-BE32-E72D297353CC}">
              <c16:uniqueId val="{00000000-DF78-4991-B4F4-1B6A773973F7}"/>
            </c:ext>
          </c:extLst>
        </c:ser>
        <c:ser>
          <c:idx val="1"/>
          <c:order val="1"/>
          <c:tx>
            <c:strRef>
              <c:f>'Report tables'!$B$49</c:f>
              <c:strCache>
                <c:ptCount val="1"/>
                <c:pt idx="0">
                  <c:v>Soil carbon</c:v>
                </c:pt>
              </c:strCache>
            </c:strRef>
          </c:tx>
          <c:spPr>
            <a:ln w="28575" cap="rnd">
              <a:solidFill>
                <a:srgbClr val="1B556B"/>
              </a:solidFill>
              <a:round/>
            </a:ln>
            <a:effectLst/>
          </c:spPr>
          <c:marker>
            <c:symbol val="none"/>
          </c:marker>
          <c:cat>
            <c:numRef>
              <c:f>'Report tables'!$C$47:$L$47</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'Report tables'!$C$49:$L$49</c:f>
              <c:numCache>
                <c:formatCode>0.0</c:formatCode>
                <c:ptCount val="10"/>
                <c:pt idx="0">
                  <c:v>-0.26129383333333334</c:v>
                </c:pt>
                <c:pt idx="1">
                  <c:v>-0.21449233333333337</c:v>
                </c:pt>
                <c:pt idx="2">
                  <c:v>-0.16844700000000001</c:v>
                </c:pt>
                <c:pt idx="3">
                  <c:v>-0.12264550000000002</c:v>
                </c:pt>
                <c:pt idx="4">
                  <c:v>-7.6843999999999996E-2</c:v>
                </c:pt>
                <c:pt idx="5">
                  <c:v>-3.1042499999999997E-2</c:v>
                </c:pt>
                <c:pt idx="6">
                  <c:v>1.4759E-2</c:v>
                </c:pt>
                <c:pt idx="7">
                  <c:v>7.8794999999999976E-3</c:v>
                </c:pt>
                <c:pt idx="8">
                  <c:v>0</c:v>
                </c:pt>
                <c:pt idx="9">
                  <c:v>0</c:v>
                </c:pt>
              </c:numCache>
            </c:numRef>
          </c:val>
          <c:smooth val="0"/>
          <c:extLst>
            <c:ext xmlns:c16="http://schemas.microsoft.com/office/drawing/2014/chart" uri="{C3380CC4-5D6E-409C-BE32-E72D297353CC}">
              <c16:uniqueId val="{00000001-DF78-4991-B4F4-1B6A773973F7}"/>
            </c:ext>
          </c:extLst>
        </c:ser>
        <c:ser>
          <c:idx val="2"/>
          <c:order val="2"/>
          <c:tx>
            <c:v>Harvested wood products</c:v>
          </c:tx>
          <c:spPr>
            <a:ln w="28575" cap="rnd">
              <a:solidFill>
                <a:srgbClr val="BF2F37"/>
              </a:solidFill>
              <a:round/>
            </a:ln>
            <a:effectLst/>
          </c:spPr>
          <c:marker>
            <c:symbol val="none"/>
          </c:marker>
          <c:cat>
            <c:numRef>
              <c:f>'Report tables'!$C$47:$L$47</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'Report tables'!$C$50:$L$50</c:f>
              <c:numCache>
                <c:formatCode>0.0</c:formatCode>
                <c:ptCount val="10"/>
                <c:pt idx="0">
                  <c:v>-1190.5001782534819</c:v>
                </c:pt>
                <c:pt idx="1">
                  <c:v>-1732.2025027744546</c:v>
                </c:pt>
                <c:pt idx="2">
                  <c:v>-1870.0084643053785</c:v>
                </c:pt>
                <c:pt idx="3">
                  <c:v>-1537.5744823655264</c:v>
                </c:pt>
                <c:pt idx="4">
                  <c:v>-3204.0082338172942</c:v>
                </c:pt>
                <c:pt idx="5">
                  <c:v>-9017.0430252891911</c:v>
                </c:pt>
                <c:pt idx="6">
                  <c:v>-10929.54273684488</c:v>
                </c:pt>
                <c:pt idx="7">
                  <c:v>-15593.173546462804</c:v>
                </c:pt>
                <c:pt idx="8">
                  <c:v>-13739.448766489819</c:v>
                </c:pt>
                <c:pt idx="9">
                  <c:v>-11152.457834250989</c:v>
                </c:pt>
              </c:numCache>
            </c:numRef>
          </c:val>
          <c:smooth val="0"/>
          <c:extLst>
            <c:ext xmlns:c16="http://schemas.microsoft.com/office/drawing/2014/chart" uri="{C3380CC4-5D6E-409C-BE32-E72D297353CC}">
              <c16:uniqueId val="{00000002-DF78-4991-B4F4-1B6A773973F7}"/>
            </c:ext>
          </c:extLst>
        </c:ser>
        <c:ser>
          <c:idx val="3"/>
          <c:order val="3"/>
          <c:tx>
            <c:strRef>
              <c:f>'Report tables'!$B$51</c:f>
              <c:strCache>
                <c:ptCount val="1"/>
                <c:pt idx="0">
                  <c:v>Non-CO₂</c:v>
                </c:pt>
              </c:strCache>
            </c:strRef>
          </c:tx>
          <c:spPr>
            <a:ln w="28575" cap="rnd">
              <a:solidFill>
                <a:srgbClr val="DA5A28"/>
              </a:solidFill>
              <a:round/>
            </a:ln>
            <a:effectLst/>
          </c:spPr>
          <c:marker>
            <c:symbol val="none"/>
          </c:marker>
          <c:cat>
            <c:numRef>
              <c:f>'Report tables'!$C$47:$L$47</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'Report tables'!$C$51:$L$51</c:f>
              <c:numCache>
                <c:formatCode>0.0</c:formatCode>
                <c:ptCount val="10"/>
                <c:pt idx="0">
                  <c:v>11.250788584797981</c:v>
                </c:pt>
                <c:pt idx="1">
                  <c:v>11.248185540746892</c:v>
                </c:pt>
                <c:pt idx="2">
                  <c:v>11.247010653296806</c:v>
                </c:pt>
                <c:pt idx="3">
                  <c:v>11.244835765846721</c:v>
                </c:pt>
                <c:pt idx="4">
                  <c:v>11.243660878396634</c:v>
                </c:pt>
                <c:pt idx="5">
                  <c:v>11.242485990946548</c:v>
                </c:pt>
                <c:pt idx="6">
                  <c:v>11.240311103496463</c:v>
                </c:pt>
                <c:pt idx="7">
                  <c:v>11.238136216046376</c:v>
                </c:pt>
                <c:pt idx="8">
                  <c:v>11.235961328596291</c:v>
                </c:pt>
                <c:pt idx="9">
                  <c:v>11.234786441146206</c:v>
                </c:pt>
              </c:numCache>
            </c:numRef>
          </c:val>
          <c:smooth val="0"/>
          <c:extLst>
            <c:ext xmlns:c16="http://schemas.microsoft.com/office/drawing/2014/chart" uri="{C3380CC4-5D6E-409C-BE32-E72D297353CC}">
              <c16:uniqueId val="{00000003-DF78-4991-B4F4-1B6A773973F7}"/>
            </c:ext>
          </c:extLst>
        </c:ser>
        <c:ser>
          <c:idx val="4"/>
          <c:order val="4"/>
          <c:tx>
            <c:strRef>
              <c:f>'Report tables'!$B$52</c:f>
              <c:strCache>
                <c:ptCount val="1"/>
                <c:pt idx="0">
                  <c:v>Total</c:v>
                </c:pt>
              </c:strCache>
            </c:strRef>
          </c:tx>
          <c:spPr>
            <a:ln w="28575" cap="rnd">
              <a:solidFill>
                <a:srgbClr val="003473"/>
              </a:solidFill>
              <a:round/>
            </a:ln>
            <a:effectLst/>
          </c:spPr>
          <c:marker>
            <c:symbol val="none"/>
          </c:marker>
          <c:cat>
            <c:numRef>
              <c:f>'Report tables'!$C$47:$L$47</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'Report tables'!$C$52:$L$52</c:f>
              <c:numCache>
                <c:formatCode>0.0</c:formatCode>
                <c:ptCount val="10"/>
                <c:pt idx="0">
                  <c:v>-23383.851268384988</c:v>
                </c:pt>
                <c:pt idx="1">
                  <c:v>-24915.421579481354</c:v>
                </c:pt>
                <c:pt idx="2">
                  <c:v>-26123.897715536623</c:v>
                </c:pt>
                <c:pt idx="3">
                  <c:v>-27341.008034134931</c:v>
                </c:pt>
                <c:pt idx="4">
                  <c:v>-27035.197716135623</c:v>
                </c:pt>
                <c:pt idx="5">
                  <c:v>-23367.137348329252</c:v>
                </c:pt>
                <c:pt idx="6">
                  <c:v>-19749.344658719627</c:v>
                </c:pt>
                <c:pt idx="7">
                  <c:v>-13436.548343568655</c:v>
                </c:pt>
                <c:pt idx="8">
                  <c:v>-9437.3505006514151</c:v>
                </c:pt>
                <c:pt idx="9">
                  <c:v>-6559.2184265916721</c:v>
                </c:pt>
              </c:numCache>
            </c:numRef>
          </c:val>
          <c:smooth val="0"/>
          <c:extLst>
            <c:ext xmlns:c16="http://schemas.microsoft.com/office/drawing/2014/chart" uri="{C3380CC4-5D6E-409C-BE32-E72D297353CC}">
              <c16:uniqueId val="{00000004-DF78-4991-B4F4-1B6A773973F7}"/>
            </c:ext>
          </c:extLst>
        </c:ser>
        <c:dLbls>
          <c:showLegendKey val="0"/>
          <c:showVal val="0"/>
          <c:showCatName val="0"/>
          <c:showSerName val="0"/>
          <c:showPercent val="0"/>
          <c:showBubbleSize val="0"/>
        </c:dLbls>
        <c:smooth val="0"/>
        <c:axId val="889588368"/>
        <c:axId val="889585848"/>
      </c:lineChart>
      <c:catAx>
        <c:axId val="889588368"/>
        <c:scaling>
          <c:orientation val="minMax"/>
        </c:scaling>
        <c:delete val="0"/>
        <c:axPos val="b"/>
        <c:numFmt formatCode="General" sourceLinked="1"/>
        <c:majorTickMark val="out"/>
        <c:minorTickMark val="none"/>
        <c:tickLblPos val="nextTo"/>
        <c:spPr>
          <a:noFill/>
          <a:ln w="9525" cap="flat" cmpd="sng" algn="ctr">
            <a:solidFill>
              <a:srgbClr val="E7E6E6">
                <a:lumMod val="25000"/>
              </a:srgbClr>
            </a:solidFill>
            <a:round/>
          </a:ln>
          <a:effectLst/>
        </c:spPr>
        <c:txPr>
          <a:bodyPr rot="-5400000" spcFirstLastPara="1" vertOverflow="ellipsis"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889585848"/>
        <c:crossesAt val="-31000"/>
        <c:auto val="1"/>
        <c:lblAlgn val="ctr"/>
        <c:lblOffset val="100"/>
        <c:noMultiLvlLbl val="0"/>
      </c:catAx>
      <c:valAx>
        <c:axId val="889585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r>
                  <a:rPr lang="en-NZ" sz="900">
                    <a:solidFill>
                      <a:schemeClr val="tx1"/>
                    </a:solidFill>
                    <a:latin typeface="Arial" panose="020B0604020202020204" pitchFamily="34" charset="0"/>
                    <a:cs typeface="Arial" panose="020B0604020202020204" pitchFamily="34" charset="0"/>
                  </a:rPr>
                  <a:t>Kt</a:t>
                </a:r>
                <a:r>
                  <a:rPr lang="en-NZ" sz="900" baseline="0">
                    <a:solidFill>
                      <a:schemeClr val="tx1"/>
                    </a:solidFill>
                    <a:latin typeface="Arial" panose="020B0604020202020204" pitchFamily="34" charset="0"/>
                    <a:cs typeface="Arial" panose="020B0604020202020204" pitchFamily="34" charset="0"/>
                  </a:rPr>
                  <a:t> CO</a:t>
                </a:r>
                <a:r>
                  <a:rPr lang="en-NZ" sz="900" baseline="-25000">
                    <a:solidFill>
                      <a:schemeClr val="tx1"/>
                    </a:solidFill>
                    <a:latin typeface="Arial" panose="020B0604020202020204" pitchFamily="34" charset="0"/>
                    <a:cs typeface="Arial" panose="020B0604020202020204" pitchFamily="34" charset="0"/>
                  </a:rPr>
                  <a:t>2 </a:t>
                </a:r>
                <a:r>
                  <a:rPr lang="en-NZ" sz="900" baseline="0">
                    <a:solidFill>
                      <a:schemeClr val="tx1"/>
                    </a:solidFill>
                    <a:latin typeface="Arial" panose="020B0604020202020204" pitchFamily="34" charset="0"/>
                    <a:cs typeface="Arial" panose="020B0604020202020204" pitchFamily="34" charset="0"/>
                  </a:rPr>
                  <a:t>equivalent</a:t>
                </a:r>
                <a:endParaRPr lang="en-NZ" sz="900">
                  <a:solidFill>
                    <a:schemeClr val="tx1"/>
                  </a:solidFill>
                  <a:latin typeface="Arial" panose="020B0604020202020204" pitchFamily="34" charset="0"/>
                  <a:cs typeface="Arial" panose="020B0604020202020204" pitchFamily="34"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NZ"/>
            </a:p>
          </c:txPr>
        </c:title>
        <c:numFmt formatCode="#,##0" sourceLinked="0"/>
        <c:majorTickMark val="out"/>
        <c:minorTickMark val="none"/>
        <c:tickLblPos val="nextTo"/>
        <c:spPr>
          <a:noFill/>
          <a:ln>
            <a:solidFill>
              <a:srgbClr val="E7E6E6">
                <a:lumMod val="10000"/>
              </a:srgbClr>
            </a:solidFill>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88958836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3CAD6CBF026354894AC71C71237773E" ma:contentTypeVersion="12" ma:contentTypeDescription="Create a new document." ma:contentTypeScope="" ma:versionID="e4b4bb33c9287dc11ee062138125eb6c">
  <xsd:schema xmlns:xsd="http://www.w3.org/2001/XMLSchema" xmlns:xs="http://www.w3.org/2001/XMLSchema" xmlns:p="http://schemas.microsoft.com/office/2006/metadata/properties" xmlns:ns1="http://schemas.microsoft.com/sharepoint/v3" xmlns:ns2="f153b108-4c3d-42c6-bff8-d3312654a9ce" xmlns:ns3="000ea577-191d-4e4b-9d62-4e3c0744724f" targetNamespace="http://schemas.microsoft.com/office/2006/metadata/properties" ma:root="true" ma:fieldsID="5293e1bd8e6952f656bbd2e0494c4f7f" ns1:_="" ns2:_="" ns3:_="">
    <xsd:import namespace="http://schemas.microsoft.com/sharepoint/v3"/>
    <xsd:import namespace="f153b108-4c3d-42c6-bff8-d3312654a9ce"/>
    <xsd:import namespace="000ea577-191d-4e4b-9d62-4e3c0744724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153b108-4c3d-42c6-bff8-d3312654a9c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00ea577-191d-4e4b-9d62-4e3c0744724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AA9E7809-3CFC-4913-B14E-EFA074A4F8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f153b108-4c3d-42c6-bff8-d3312654a9ce"/>
    <ds:schemaRef ds:uri="000ea577-191d-4e4b-9d62-4e3c074472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AF1DF53-65A1-40B7-AB3A-5A9CEB1489C4}">
  <ds:schemaRefs>
    <ds:schemaRef ds:uri="http://schemas.microsoft.com/sharepoint/v3/contenttype/forms"/>
  </ds:schemaRefs>
</ds:datastoreItem>
</file>

<file path=customXml/itemProps3.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4.xml><?xml version="1.0" encoding="utf-8"?>
<ds:datastoreItem xmlns:ds="http://schemas.openxmlformats.org/officeDocument/2006/customXml" ds:itemID="{B8DE00F5-DB7F-457A-8790-4B6B22587253}">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MfE report template June 2023.dotx</Template>
  <TotalTime>69</TotalTime>
  <Pages>1</Pages>
  <Words>125259</Words>
  <Characters>713978</Characters>
  <Application>Microsoft Office Word</Application>
  <DocSecurity>4</DocSecurity>
  <Lines>5949</Lines>
  <Paragraphs>1675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837562</CharactersWithSpaces>
  <SharedDoc>false</SharedDoc>
  <HLinks>
    <vt:vector size="3996" baseType="variant">
      <vt:variant>
        <vt:i4>4849732</vt:i4>
      </vt:variant>
      <vt:variant>
        <vt:i4>1986</vt:i4>
      </vt:variant>
      <vt:variant>
        <vt:i4>0</vt:i4>
      </vt:variant>
      <vt:variant>
        <vt:i4>5</vt:i4>
      </vt:variant>
      <vt:variant>
        <vt:lpwstr>http://dx.doi.org/10.26021/13673</vt:lpwstr>
      </vt:variant>
      <vt:variant>
        <vt:lpwstr/>
      </vt:variant>
      <vt:variant>
        <vt:i4>1900629</vt:i4>
      </vt:variant>
      <vt:variant>
        <vt:i4>1983</vt:i4>
      </vt:variant>
      <vt:variant>
        <vt:i4>0</vt:i4>
      </vt:variant>
      <vt:variant>
        <vt:i4>5</vt:i4>
      </vt:variant>
      <vt:variant>
        <vt:lpwstr>http://www.mpi.govt.nz/growing-and-harvesting/ forestry/forestry-in-the-emissions-trading-scheme</vt:lpwstr>
      </vt:variant>
      <vt:variant>
        <vt:lpwstr/>
      </vt:variant>
      <vt:variant>
        <vt:i4>5308498</vt:i4>
      </vt:variant>
      <vt:variant>
        <vt:i4>1980</vt:i4>
      </vt:variant>
      <vt:variant>
        <vt:i4>0</vt:i4>
      </vt:variant>
      <vt:variant>
        <vt:i4>5</vt:i4>
      </vt:variant>
      <vt:variant>
        <vt:lpwstr>https://www.mpi.govt.nz/dmsdocument/55996/direct</vt:lpwstr>
      </vt:variant>
      <vt:variant>
        <vt:lpwstr/>
      </vt:variant>
      <vt:variant>
        <vt:i4>1704000</vt:i4>
      </vt:variant>
      <vt:variant>
        <vt:i4>1977</vt:i4>
      </vt:variant>
      <vt:variant>
        <vt:i4>0</vt:i4>
      </vt:variant>
      <vt:variant>
        <vt:i4>5</vt:i4>
      </vt:variant>
      <vt:variant>
        <vt:lpwstr>https://op.europa.eu/en/publication-detail/-/publication/463a7063-5fba-11e7-954d-01aa75ed71a1/language-en</vt:lpwstr>
      </vt:variant>
      <vt:variant>
        <vt:lpwstr/>
      </vt:variant>
      <vt:variant>
        <vt:i4>4390991</vt:i4>
      </vt:variant>
      <vt:variant>
        <vt:i4>1974</vt:i4>
      </vt:variant>
      <vt:variant>
        <vt:i4>0</vt:i4>
      </vt:variant>
      <vt:variant>
        <vt:i4>5</vt:i4>
      </vt:variant>
      <vt:variant>
        <vt:lpwstr>https://op.europa.eu/en/publication-detail/-/publication/5ef89b70-8fba-11e8-8bc1-01aa75ed71a1/language-en</vt:lpwstr>
      </vt:variant>
      <vt:variant>
        <vt:lpwstr/>
      </vt:variant>
      <vt:variant>
        <vt:i4>4915218</vt:i4>
      </vt:variant>
      <vt:variant>
        <vt:i4>1971</vt:i4>
      </vt:variant>
      <vt:variant>
        <vt:i4>0</vt:i4>
      </vt:variant>
      <vt:variant>
        <vt:i4>5</vt:i4>
      </vt:variant>
      <vt:variant>
        <vt:lpwstr/>
      </vt:variant>
      <vt:variant>
        <vt:lpwstr>figureA23</vt:lpwstr>
      </vt:variant>
      <vt:variant>
        <vt:i4>2752549</vt:i4>
      </vt:variant>
      <vt:variant>
        <vt:i4>1968</vt:i4>
      </vt:variant>
      <vt:variant>
        <vt:i4>0</vt:i4>
      </vt:variant>
      <vt:variant>
        <vt:i4>5</vt:i4>
      </vt:variant>
      <vt:variant>
        <vt:lpwstr/>
      </vt:variant>
      <vt:variant>
        <vt:lpwstr>sectionA252</vt:lpwstr>
      </vt:variant>
      <vt:variant>
        <vt:i4>2818085</vt:i4>
      </vt:variant>
      <vt:variant>
        <vt:i4>1965</vt:i4>
      </vt:variant>
      <vt:variant>
        <vt:i4>0</vt:i4>
      </vt:variant>
      <vt:variant>
        <vt:i4>5</vt:i4>
      </vt:variant>
      <vt:variant>
        <vt:lpwstr/>
      </vt:variant>
      <vt:variant>
        <vt:lpwstr>sectionA241</vt:lpwstr>
      </vt:variant>
      <vt:variant>
        <vt:i4>4915218</vt:i4>
      </vt:variant>
      <vt:variant>
        <vt:i4>1962</vt:i4>
      </vt:variant>
      <vt:variant>
        <vt:i4>0</vt:i4>
      </vt:variant>
      <vt:variant>
        <vt:i4>5</vt:i4>
      </vt:variant>
      <vt:variant>
        <vt:lpwstr/>
      </vt:variant>
      <vt:variant>
        <vt:lpwstr>figureA21</vt:lpwstr>
      </vt:variant>
      <vt:variant>
        <vt:i4>5570625</vt:i4>
      </vt:variant>
      <vt:variant>
        <vt:i4>1959</vt:i4>
      </vt:variant>
      <vt:variant>
        <vt:i4>0</vt:i4>
      </vt:variant>
      <vt:variant>
        <vt:i4>5</vt:i4>
      </vt:variant>
      <vt:variant>
        <vt:lpwstr/>
      </vt:variant>
      <vt:variant>
        <vt:lpwstr>tableA29</vt:lpwstr>
      </vt:variant>
      <vt:variant>
        <vt:i4>5963841</vt:i4>
      </vt:variant>
      <vt:variant>
        <vt:i4>1953</vt:i4>
      </vt:variant>
      <vt:variant>
        <vt:i4>0</vt:i4>
      </vt:variant>
      <vt:variant>
        <vt:i4>5</vt:i4>
      </vt:variant>
      <vt:variant>
        <vt:lpwstr/>
      </vt:variant>
      <vt:variant>
        <vt:lpwstr>tableA27</vt:lpwstr>
      </vt:variant>
      <vt:variant>
        <vt:i4>393296</vt:i4>
      </vt:variant>
      <vt:variant>
        <vt:i4>1950</vt:i4>
      </vt:variant>
      <vt:variant>
        <vt:i4>0</vt:i4>
      </vt:variant>
      <vt:variant>
        <vt:i4>5</vt:i4>
      </vt:variant>
      <vt:variant>
        <vt:lpwstr/>
      </vt:variant>
      <vt:variant>
        <vt:lpwstr>A214</vt:lpwstr>
      </vt:variant>
      <vt:variant>
        <vt:i4>5832769</vt:i4>
      </vt:variant>
      <vt:variant>
        <vt:i4>1947</vt:i4>
      </vt:variant>
      <vt:variant>
        <vt:i4>0</vt:i4>
      </vt:variant>
      <vt:variant>
        <vt:i4>5</vt:i4>
      </vt:variant>
      <vt:variant>
        <vt:lpwstr/>
      </vt:variant>
      <vt:variant>
        <vt:lpwstr>tableA25</vt:lpwstr>
      </vt:variant>
      <vt:variant>
        <vt:i4>2883621</vt:i4>
      </vt:variant>
      <vt:variant>
        <vt:i4>1944</vt:i4>
      </vt:variant>
      <vt:variant>
        <vt:i4>0</vt:i4>
      </vt:variant>
      <vt:variant>
        <vt:i4>5</vt:i4>
      </vt:variant>
      <vt:variant>
        <vt:lpwstr/>
      </vt:variant>
      <vt:variant>
        <vt:lpwstr>sectionA234</vt:lpwstr>
      </vt:variant>
      <vt:variant>
        <vt:i4>2949157</vt:i4>
      </vt:variant>
      <vt:variant>
        <vt:i4>1941</vt:i4>
      </vt:variant>
      <vt:variant>
        <vt:i4>0</vt:i4>
      </vt:variant>
      <vt:variant>
        <vt:i4>5</vt:i4>
      </vt:variant>
      <vt:variant>
        <vt:lpwstr/>
      </vt:variant>
      <vt:variant>
        <vt:lpwstr>sectionA222</vt:lpwstr>
      </vt:variant>
      <vt:variant>
        <vt:i4>2752549</vt:i4>
      </vt:variant>
      <vt:variant>
        <vt:i4>1938</vt:i4>
      </vt:variant>
      <vt:variant>
        <vt:i4>0</vt:i4>
      </vt:variant>
      <vt:variant>
        <vt:i4>5</vt:i4>
      </vt:variant>
      <vt:variant>
        <vt:lpwstr/>
      </vt:variant>
      <vt:variant>
        <vt:lpwstr>sectionA252</vt:lpwstr>
      </vt:variant>
      <vt:variant>
        <vt:i4>2883621</vt:i4>
      </vt:variant>
      <vt:variant>
        <vt:i4>1935</vt:i4>
      </vt:variant>
      <vt:variant>
        <vt:i4>0</vt:i4>
      </vt:variant>
      <vt:variant>
        <vt:i4>5</vt:i4>
      </vt:variant>
      <vt:variant>
        <vt:lpwstr/>
      </vt:variant>
      <vt:variant>
        <vt:lpwstr>sectionA232</vt:lpwstr>
      </vt:variant>
      <vt:variant>
        <vt:i4>5767233</vt:i4>
      </vt:variant>
      <vt:variant>
        <vt:i4>1932</vt:i4>
      </vt:variant>
      <vt:variant>
        <vt:i4>0</vt:i4>
      </vt:variant>
      <vt:variant>
        <vt:i4>5</vt:i4>
      </vt:variant>
      <vt:variant>
        <vt:lpwstr/>
      </vt:variant>
      <vt:variant>
        <vt:lpwstr>tableA24</vt:lpwstr>
      </vt:variant>
      <vt:variant>
        <vt:i4>6225985</vt:i4>
      </vt:variant>
      <vt:variant>
        <vt:i4>1929</vt:i4>
      </vt:variant>
      <vt:variant>
        <vt:i4>0</vt:i4>
      </vt:variant>
      <vt:variant>
        <vt:i4>5</vt:i4>
      </vt:variant>
      <vt:variant>
        <vt:lpwstr/>
      </vt:variant>
      <vt:variant>
        <vt:lpwstr>tableA23</vt:lpwstr>
      </vt:variant>
      <vt:variant>
        <vt:i4>6160449</vt:i4>
      </vt:variant>
      <vt:variant>
        <vt:i4>1926</vt:i4>
      </vt:variant>
      <vt:variant>
        <vt:i4>0</vt:i4>
      </vt:variant>
      <vt:variant>
        <vt:i4>5</vt:i4>
      </vt:variant>
      <vt:variant>
        <vt:lpwstr/>
      </vt:variant>
      <vt:variant>
        <vt:lpwstr>tableA22</vt:lpwstr>
      </vt:variant>
      <vt:variant>
        <vt:i4>2883621</vt:i4>
      </vt:variant>
      <vt:variant>
        <vt:i4>1923</vt:i4>
      </vt:variant>
      <vt:variant>
        <vt:i4>0</vt:i4>
      </vt:variant>
      <vt:variant>
        <vt:i4>5</vt:i4>
      </vt:variant>
      <vt:variant>
        <vt:lpwstr/>
      </vt:variant>
      <vt:variant>
        <vt:lpwstr>sectionA235</vt:lpwstr>
      </vt:variant>
      <vt:variant>
        <vt:i4>6225985</vt:i4>
      </vt:variant>
      <vt:variant>
        <vt:i4>1920</vt:i4>
      </vt:variant>
      <vt:variant>
        <vt:i4>0</vt:i4>
      </vt:variant>
      <vt:variant>
        <vt:i4>5</vt:i4>
      </vt:variant>
      <vt:variant>
        <vt:lpwstr/>
      </vt:variant>
      <vt:variant>
        <vt:lpwstr>tableA23</vt:lpwstr>
      </vt:variant>
      <vt:variant>
        <vt:i4>6094913</vt:i4>
      </vt:variant>
      <vt:variant>
        <vt:i4>1917</vt:i4>
      </vt:variant>
      <vt:variant>
        <vt:i4>0</vt:i4>
      </vt:variant>
      <vt:variant>
        <vt:i4>5</vt:i4>
      </vt:variant>
      <vt:variant>
        <vt:lpwstr/>
      </vt:variant>
      <vt:variant>
        <vt:lpwstr>tableA21</vt:lpwstr>
      </vt:variant>
      <vt:variant>
        <vt:i4>2883621</vt:i4>
      </vt:variant>
      <vt:variant>
        <vt:i4>1914</vt:i4>
      </vt:variant>
      <vt:variant>
        <vt:i4>0</vt:i4>
      </vt:variant>
      <vt:variant>
        <vt:i4>5</vt:i4>
      </vt:variant>
      <vt:variant>
        <vt:lpwstr/>
      </vt:variant>
      <vt:variant>
        <vt:lpwstr>sectionA232</vt:lpwstr>
      </vt:variant>
      <vt:variant>
        <vt:i4>3014693</vt:i4>
      </vt:variant>
      <vt:variant>
        <vt:i4>1911</vt:i4>
      </vt:variant>
      <vt:variant>
        <vt:i4>0</vt:i4>
      </vt:variant>
      <vt:variant>
        <vt:i4>5</vt:i4>
      </vt:variant>
      <vt:variant>
        <vt:lpwstr/>
      </vt:variant>
      <vt:variant>
        <vt:lpwstr>sectionA211</vt:lpwstr>
      </vt:variant>
      <vt:variant>
        <vt:i4>2883621</vt:i4>
      </vt:variant>
      <vt:variant>
        <vt:i4>1908</vt:i4>
      </vt:variant>
      <vt:variant>
        <vt:i4>0</vt:i4>
      </vt:variant>
      <vt:variant>
        <vt:i4>5</vt:i4>
      </vt:variant>
      <vt:variant>
        <vt:lpwstr/>
      </vt:variant>
      <vt:variant>
        <vt:lpwstr>sectionA234</vt:lpwstr>
      </vt:variant>
      <vt:variant>
        <vt:i4>3014693</vt:i4>
      </vt:variant>
      <vt:variant>
        <vt:i4>1905</vt:i4>
      </vt:variant>
      <vt:variant>
        <vt:i4>0</vt:i4>
      </vt:variant>
      <vt:variant>
        <vt:i4>5</vt:i4>
      </vt:variant>
      <vt:variant>
        <vt:lpwstr/>
      </vt:variant>
      <vt:variant>
        <vt:lpwstr>sectionA211</vt:lpwstr>
      </vt:variant>
      <vt:variant>
        <vt:i4>2883621</vt:i4>
      </vt:variant>
      <vt:variant>
        <vt:i4>1902</vt:i4>
      </vt:variant>
      <vt:variant>
        <vt:i4>0</vt:i4>
      </vt:variant>
      <vt:variant>
        <vt:i4>5</vt:i4>
      </vt:variant>
      <vt:variant>
        <vt:lpwstr/>
      </vt:variant>
      <vt:variant>
        <vt:lpwstr>sectionA235</vt:lpwstr>
      </vt:variant>
      <vt:variant>
        <vt:i4>2883621</vt:i4>
      </vt:variant>
      <vt:variant>
        <vt:i4>1899</vt:i4>
      </vt:variant>
      <vt:variant>
        <vt:i4>0</vt:i4>
      </vt:variant>
      <vt:variant>
        <vt:i4>5</vt:i4>
      </vt:variant>
      <vt:variant>
        <vt:lpwstr/>
      </vt:variant>
      <vt:variant>
        <vt:lpwstr>sectionA237</vt:lpwstr>
      </vt:variant>
      <vt:variant>
        <vt:i4>196616</vt:i4>
      </vt:variant>
      <vt:variant>
        <vt:i4>1896</vt:i4>
      </vt:variant>
      <vt:variant>
        <vt:i4>0</vt:i4>
      </vt:variant>
      <vt:variant>
        <vt:i4>5</vt:i4>
      </vt:variant>
      <vt:variant>
        <vt:lpwstr/>
      </vt:variant>
      <vt:variant>
        <vt:lpwstr>ctftable1115</vt:lpwstr>
      </vt:variant>
      <vt:variant>
        <vt:i4>3539001</vt:i4>
      </vt:variant>
      <vt:variant>
        <vt:i4>1893</vt:i4>
      </vt:variant>
      <vt:variant>
        <vt:i4>0</vt:i4>
      </vt:variant>
      <vt:variant>
        <vt:i4>5</vt:i4>
      </vt:variant>
      <vt:variant>
        <vt:lpwstr/>
      </vt:variant>
      <vt:variant>
        <vt:lpwstr>ctftable114</vt:lpwstr>
      </vt:variant>
      <vt:variant>
        <vt:i4>3539001</vt:i4>
      </vt:variant>
      <vt:variant>
        <vt:i4>1890</vt:i4>
      </vt:variant>
      <vt:variant>
        <vt:i4>0</vt:i4>
      </vt:variant>
      <vt:variant>
        <vt:i4>5</vt:i4>
      </vt:variant>
      <vt:variant>
        <vt:lpwstr/>
      </vt:variant>
      <vt:variant>
        <vt:lpwstr>ctftable112</vt:lpwstr>
      </vt:variant>
      <vt:variant>
        <vt:i4>3539001</vt:i4>
      </vt:variant>
      <vt:variant>
        <vt:i4>1887</vt:i4>
      </vt:variant>
      <vt:variant>
        <vt:i4>0</vt:i4>
      </vt:variant>
      <vt:variant>
        <vt:i4>5</vt:i4>
      </vt:variant>
      <vt:variant>
        <vt:lpwstr/>
      </vt:variant>
      <vt:variant>
        <vt:lpwstr>ctftable111</vt:lpwstr>
      </vt:variant>
      <vt:variant>
        <vt:i4>3735667</vt:i4>
      </vt:variant>
      <vt:variant>
        <vt:i4>1884</vt:i4>
      </vt:variant>
      <vt:variant>
        <vt:i4>0</vt:i4>
      </vt:variant>
      <vt:variant>
        <vt:i4>5</vt:i4>
      </vt:variant>
      <vt:variant>
        <vt:lpwstr/>
      </vt:variant>
      <vt:variant>
        <vt:lpwstr>table42</vt:lpwstr>
      </vt:variant>
      <vt:variant>
        <vt:i4>3735667</vt:i4>
      </vt:variant>
      <vt:variant>
        <vt:i4>1881</vt:i4>
      </vt:variant>
      <vt:variant>
        <vt:i4>0</vt:i4>
      </vt:variant>
      <vt:variant>
        <vt:i4>5</vt:i4>
      </vt:variant>
      <vt:variant>
        <vt:lpwstr/>
      </vt:variant>
      <vt:variant>
        <vt:lpwstr>table41</vt:lpwstr>
      </vt:variant>
      <vt:variant>
        <vt:i4>3735667</vt:i4>
      </vt:variant>
      <vt:variant>
        <vt:i4>1878</vt:i4>
      </vt:variant>
      <vt:variant>
        <vt:i4>0</vt:i4>
      </vt:variant>
      <vt:variant>
        <vt:i4>5</vt:i4>
      </vt:variant>
      <vt:variant>
        <vt:lpwstr/>
      </vt:variant>
      <vt:variant>
        <vt:lpwstr>table41</vt:lpwstr>
      </vt:variant>
      <vt:variant>
        <vt:i4>2949135</vt:i4>
      </vt:variant>
      <vt:variant>
        <vt:i4>1875</vt:i4>
      </vt:variant>
      <vt:variant>
        <vt:i4>0</vt:i4>
      </vt:variant>
      <vt:variant>
        <vt:i4>5</vt:i4>
      </vt:variant>
      <vt:variant>
        <vt:lpwstr/>
      </vt:variant>
      <vt:variant>
        <vt:lpwstr>_Support_as_being</vt:lpwstr>
      </vt:variant>
      <vt:variant>
        <vt:i4>4456470</vt:i4>
      </vt:variant>
      <vt:variant>
        <vt:i4>1872</vt:i4>
      </vt:variant>
      <vt:variant>
        <vt:i4>0</vt:i4>
      </vt:variant>
      <vt:variant>
        <vt:i4>5</vt:i4>
      </vt:variant>
      <vt:variant>
        <vt:lpwstr>https://www.mfat.govt.nz/assets/Aid/Climate-finance/International-Climate-Finance-Strategy-FINAL-16Aug22-low-res.pdf</vt:lpwstr>
      </vt:variant>
      <vt:variant>
        <vt:lpwstr/>
      </vt:variant>
      <vt:variant>
        <vt:i4>4718656</vt:i4>
      </vt:variant>
      <vt:variant>
        <vt:i4>1869</vt:i4>
      </vt:variant>
      <vt:variant>
        <vt:i4>0</vt:i4>
      </vt:variant>
      <vt:variant>
        <vt:i4>5</vt:i4>
      </vt:variant>
      <vt:variant>
        <vt:lpwstr/>
      </vt:variant>
      <vt:variant>
        <vt:lpwstr>figure31</vt:lpwstr>
      </vt:variant>
      <vt:variant>
        <vt:i4>8257573</vt:i4>
      </vt:variant>
      <vt:variant>
        <vt:i4>1866</vt:i4>
      </vt:variant>
      <vt:variant>
        <vt:i4>0</vt:i4>
      </vt:variant>
      <vt:variant>
        <vt:i4>5</vt:i4>
      </vt:variant>
      <vt:variant>
        <vt:lpwstr/>
      </vt:variant>
      <vt:variant>
        <vt:lpwstr>section323</vt:lpwstr>
      </vt:variant>
      <vt:variant>
        <vt:i4>8323109</vt:i4>
      </vt:variant>
      <vt:variant>
        <vt:i4>1863</vt:i4>
      </vt:variant>
      <vt:variant>
        <vt:i4>0</vt:i4>
      </vt:variant>
      <vt:variant>
        <vt:i4>5</vt:i4>
      </vt:variant>
      <vt:variant>
        <vt:lpwstr/>
      </vt:variant>
      <vt:variant>
        <vt:lpwstr>section322</vt:lpwstr>
      </vt:variant>
      <vt:variant>
        <vt:i4>5046295</vt:i4>
      </vt:variant>
      <vt:variant>
        <vt:i4>1860</vt:i4>
      </vt:variant>
      <vt:variant>
        <vt:i4>0</vt:i4>
      </vt:variant>
      <vt:variant>
        <vt:i4>5</vt:i4>
      </vt:variant>
      <vt:variant>
        <vt:lpwstr/>
      </vt:variant>
      <vt:variant>
        <vt:lpwstr>section37</vt:lpwstr>
      </vt:variant>
      <vt:variant>
        <vt:i4>8323107</vt:i4>
      </vt:variant>
      <vt:variant>
        <vt:i4>1857</vt:i4>
      </vt:variant>
      <vt:variant>
        <vt:i4>0</vt:i4>
      </vt:variant>
      <vt:variant>
        <vt:i4>5</vt:i4>
      </vt:variant>
      <vt:variant>
        <vt:lpwstr/>
      </vt:variant>
      <vt:variant>
        <vt:lpwstr>section3422</vt:lpwstr>
      </vt:variant>
      <vt:variant>
        <vt:i4>2687088</vt:i4>
      </vt:variant>
      <vt:variant>
        <vt:i4>1854</vt:i4>
      </vt:variant>
      <vt:variant>
        <vt:i4>0</vt:i4>
      </vt:variant>
      <vt:variant>
        <vt:i4>5</vt:i4>
      </vt:variant>
      <vt:variant>
        <vt:lpwstr>https://www.civildefence.govt.nz/cdem-sector/plans-and-strategies/national-disaster-resilience-strategy</vt:lpwstr>
      </vt:variant>
      <vt:variant>
        <vt:lpwstr/>
      </vt:variant>
      <vt:variant>
        <vt:i4>5832721</vt:i4>
      </vt:variant>
      <vt:variant>
        <vt:i4>1851</vt:i4>
      </vt:variant>
      <vt:variant>
        <vt:i4>0</vt:i4>
      </vt:variant>
      <vt:variant>
        <vt:i4>5</vt:i4>
      </vt:variant>
      <vt:variant>
        <vt:lpwstr>https://www.mpi.govt.nz/funding-rural-support/farming-funds-and-programmes/slmacc/slmacc-adaptation/</vt:lpwstr>
      </vt:variant>
      <vt:variant>
        <vt:lpwstr/>
      </vt:variant>
      <vt:variant>
        <vt:i4>4128809</vt:i4>
      </vt:variant>
      <vt:variant>
        <vt:i4>1848</vt:i4>
      </vt:variant>
      <vt:variant>
        <vt:i4>0</vt:i4>
      </vt:variant>
      <vt:variant>
        <vt:i4>5</vt:i4>
      </vt:variant>
      <vt:variant>
        <vt:lpwstr>https://www.theaotearoacircle.nz/tourism-adaptation-roadmap</vt:lpwstr>
      </vt:variant>
      <vt:variant>
        <vt:lpwstr/>
      </vt:variant>
      <vt:variant>
        <vt:i4>1966169</vt:i4>
      </vt:variant>
      <vt:variant>
        <vt:i4>1845</vt:i4>
      </vt:variant>
      <vt:variant>
        <vt:i4>0</vt:i4>
      </vt:variant>
      <vt:variant>
        <vt:i4>5</vt:i4>
      </vt:variant>
      <vt:variant>
        <vt:lpwstr>https://www.doc.govt.nz/our-work/climate-change-and-conservation/adapting-to-climate-change/</vt:lpwstr>
      </vt:variant>
      <vt:variant>
        <vt:lpwstr/>
      </vt:variant>
      <vt:variant>
        <vt:i4>6094928</vt:i4>
      </vt:variant>
      <vt:variant>
        <vt:i4>1842</vt:i4>
      </vt:variant>
      <vt:variant>
        <vt:i4>0</vt:i4>
      </vt:variant>
      <vt:variant>
        <vt:i4>5</vt:i4>
      </vt:variant>
      <vt:variant>
        <vt:lpwstr>https://environment.govt.nz/publications/new-zealands-eighth-national-communication/</vt:lpwstr>
      </vt:variant>
      <vt:variant>
        <vt:lpwstr/>
      </vt:variant>
      <vt:variant>
        <vt:i4>2883591</vt:i4>
      </vt:variant>
      <vt:variant>
        <vt:i4>1839</vt:i4>
      </vt:variant>
      <vt:variant>
        <vt:i4>0</vt:i4>
      </vt:variant>
      <vt:variant>
        <vt:i4>5</vt:i4>
      </vt:variant>
      <vt:variant>
        <vt:lpwstr/>
      </vt:variant>
      <vt:variant>
        <vt:lpwstr>_Progress_on_implementing</vt:lpwstr>
      </vt:variant>
      <vt:variant>
        <vt:i4>7929943</vt:i4>
      </vt:variant>
      <vt:variant>
        <vt:i4>1836</vt:i4>
      </vt:variant>
      <vt:variant>
        <vt:i4>0</vt:i4>
      </vt:variant>
      <vt:variant>
        <vt:i4>5</vt:i4>
      </vt:variant>
      <vt:variant>
        <vt:lpwstr/>
      </vt:variant>
      <vt:variant>
        <vt:lpwstr>_Monitoring_and_evaluation</vt:lpwstr>
      </vt:variant>
      <vt:variant>
        <vt:i4>6160464</vt:i4>
      </vt:variant>
      <vt:variant>
        <vt:i4>1833</vt:i4>
      </vt:variant>
      <vt:variant>
        <vt:i4>0</vt:i4>
      </vt:variant>
      <vt:variant>
        <vt:i4>5</vt:i4>
      </vt:variant>
      <vt:variant>
        <vt:lpwstr>https://environment.govt.nz/assets/publications/climate-change/MFE-AoG-20664-GF-National-Adaptation-Plan-2022-WEB.pdf</vt:lpwstr>
      </vt:variant>
      <vt:variant>
        <vt:lpwstr/>
      </vt:variant>
      <vt:variant>
        <vt:i4>5046336</vt:i4>
      </vt:variant>
      <vt:variant>
        <vt:i4>1830</vt:i4>
      </vt:variant>
      <vt:variant>
        <vt:i4>0</vt:i4>
      </vt:variant>
      <vt:variant>
        <vt:i4>5</vt:i4>
      </vt:variant>
      <vt:variant>
        <vt:lpwstr/>
      </vt:variant>
      <vt:variant>
        <vt:lpwstr>figure34</vt:lpwstr>
      </vt:variant>
      <vt:variant>
        <vt:i4>8061033</vt:i4>
      </vt:variant>
      <vt:variant>
        <vt:i4>1827</vt:i4>
      </vt:variant>
      <vt:variant>
        <vt:i4>0</vt:i4>
      </vt:variant>
      <vt:variant>
        <vt:i4>5</vt:i4>
      </vt:variant>
      <vt:variant>
        <vt:lpwstr>https://www.ipcc.ch/report/ar6/wg2/</vt:lpwstr>
      </vt:variant>
      <vt:variant>
        <vt:lpwstr/>
      </vt:variant>
      <vt:variant>
        <vt:i4>2621496</vt:i4>
      </vt:variant>
      <vt:variant>
        <vt:i4>1824</vt:i4>
      </vt:variant>
      <vt:variant>
        <vt:i4>0</vt:i4>
      </vt:variant>
      <vt:variant>
        <vt:i4>5</vt:i4>
      </vt:variant>
      <vt:variant>
        <vt:lpwstr>https://www.climatecommission.govt.nz/our-work/adaptation/nappa/nappa-2024/</vt:lpwstr>
      </vt:variant>
      <vt:variant>
        <vt:lpwstr/>
      </vt:variant>
      <vt:variant>
        <vt:i4>4849728</vt:i4>
      </vt:variant>
      <vt:variant>
        <vt:i4>1821</vt:i4>
      </vt:variant>
      <vt:variant>
        <vt:i4>0</vt:i4>
      </vt:variant>
      <vt:variant>
        <vt:i4>5</vt:i4>
      </vt:variant>
      <vt:variant>
        <vt:lpwstr/>
      </vt:variant>
      <vt:variant>
        <vt:lpwstr>figure33</vt:lpwstr>
      </vt:variant>
      <vt:variant>
        <vt:i4>4063347</vt:i4>
      </vt:variant>
      <vt:variant>
        <vt:i4>1818</vt:i4>
      </vt:variant>
      <vt:variant>
        <vt:i4>0</vt:i4>
      </vt:variant>
      <vt:variant>
        <vt:i4>5</vt:i4>
      </vt:variant>
      <vt:variant>
        <vt:lpwstr/>
      </vt:variant>
      <vt:variant>
        <vt:lpwstr>table32</vt:lpwstr>
      </vt:variant>
      <vt:variant>
        <vt:i4>6160464</vt:i4>
      </vt:variant>
      <vt:variant>
        <vt:i4>1815</vt:i4>
      </vt:variant>
      <vt:variant>
        <vt:i4>0</vt:i4>
      </vt:variant>
      <vt:variant>
        <vt:i4>5</vt:i4>
      </vt:variant>
      <vt:variant>
        <vt:lpwstr>https://environment.govt.nz/assets/publications/climate-change/MFE-AoG-20664-GF-National-Adaptation-Plan-2022-WEB.pdf</vt:lpwstr>
      </vt:variant>
      <vt:variant>
        <vt:lpwstr/>
      </vt:variant>
      <vt:variant>
        <vt:i4>4915264</vt:i4>
      </vt:variant>
      <vt:variant>
        <vt:i4>1812</vt:i4>
      </vt:variant>
      <vt:variant>
        <vt:i4>0</vt:i4>
      </vt:variant>
      <vt:variant>
        <vt:i4>5</vt:i4>
      </vt:variant>
      <vt:variant>
        <vt:lpwstr/>
      </vt:variant>
      <vt:variant>
        <vt:lpwstr>figure32</vt:lpwstr>
      </vt:variant>
      <vt:variant>
        <vt:i4>8323113</vt:i4>
      </vt:variant>
      <vt:variant>
        <vt:i4>1809</vt:i4>
      </vt:variant>
      <vt:variant>
        <vt:i4>0</vt:i4>
      </vt:variant>
      <vt:variant>
        <vt:i4>5</vt:i4>
      </vt:variant>
      <vt:variant>
        <vt:lpwstr>https://www.legislation.govt.nz/act/public/2023/0017/latest/LMS825640.html</vt:lpwstr>
      </vt:variant>
      <vt:variant>
        <vt:lpwstr/>
      </vt:variant>
      <vt:variant>
        <vt:i4>4784142</vt:i4>
      </vt:variant>
      <vt:variant>
        <vt:i4>1806</vt:i4>
      </vt:variant>
      <vt:variant>
        <vt:i4>0</vt:i4>
      </vt:variant>
      <vt:variant>
        <vt:i4>5</vt:i4>
      </vt:variant>
      <vt:variant>
        <vt:lpwstr>https://www.legislation.govt.nz/act/public/2023/0004/latest/LMS822431.html%5D</vt:lpwstr>
      </vt:variant>
      <vt:variant>
        <vt:lpwstr/>
      </vt:variant>
      <vt:variant>
        <vt:i4>3670077</vt:i4>
      </vt:variant>
      <vt:variant>
        <vt:i4>1803</vt:i4>
      </vt:variant>
      <vt:variant>
        <vt:i4>0</vt:i4>
      </vt:variant>
      <vt:variant>
        <vt:i4>5</vt:i4>
      </vt:variant>
      <vt:variant>
        <vt:lpwstr/>
      </vt:variant>
      <vt:variant>
        <vt:lpwstr>_Government_structure</vt:lpwstr>
      </vt:variant>
      <vt:variant>
        <vt:i4>2687076</vt:i4>
      </vt:variant>
      <vt:variant>
        <vt:i4>1800</vt:i4>
      </vt:variant>
      <vt:variant>
        <vt:i4>0</vt:i4>
      </vt:variant>
      <vt:variant>
        <vt:i4>5</vt:i4>
      </vt:variant>
      <vt:variant>
        <vt:lpwstr>https://legislation.govt.nz/act/public/2023/0001/latest/whole.html</vt:lpwstr>
      </vt:variant>
      <vt:variant>
        <vt:lpwstr>LMS509585</vt:lpwstr>
      </vt:variant>
      <vt:variant>
        <vt:i4>7667749</vt:i4>
      </vt:variant>
      <vt:variant>
        <vt:i4>1797</vt:i4>
      </vt:variant>
      <vt:variant>
        <vt:i4>0</vt:i4>
      </vt:variant>
      <vt:variant>
        <vt:i4>5</vt:i4>
      </vt:variant>
      <vt:variant>
        <vt:lpwstr>https://www.doc.govt.nz/about-us/science-publications/conservation-publications/marine-and-coastal/new-zealand-coastal-policy-statement/new-zealand-coastal-policy-statement-2010/</vt:lpwstr>
      </vt:variant>
      <vt:variant>
        <vt:lpwstr/>
      </vt:variant>
      <vt:variant>
        <vt:i4>8060978</vt:i4>
      </vt:variant>
      <vt:variant>
        <vt:i4>1794</vt:i4>
      </vt:variant>
      <vt:variant>
        <vt:i4>0</vt:i4>
      </vt:variant>
      <vt:variant>
        <vt:i4>5</vt:i4>
      </vt:variant>
      <vt:variant>
        <vt:lpwstr>https://www.legislation.govt.nz/act/public/1987/0174/latest/DLM122242.html</vt:lpwstr>
      </vt:variant>
      <vt:variant>
        <vt:lpwstr/>
      </vt:variant>
      <vt:variant>
        <vt:i4>7733308</vt:i4>
      </vt:variant>
      <vt:variant>
        <vt:i4>1791</vt:i4>
      </vt:variant>
      <vt:variant>
        <vt:i4>0</vt:i4>
      </vt:variant>
      <vt:variant>
        <vt:i4>5</vt:i4>
      </vt:variant>
      <vt:variant>
        <vt:lpwstr>https://www.legislation.govt.nz/act/public/2004/0072/latest/DLM306036.html</vt:lpwstr>
      </vt:variant>
      <vt:variant>
        <vt:lpwstr/>
      </vt:variant>
      <vt:variant>
        <vt:i4>7340095</vt:i4>
      </vt:variant>
      <vt:variant>
        <vt:i4>1788</vt:i4>
      </vt:variant>
      <vt:variant>
        <vt:i4>0</vt:i4>
      </vt:variant>
      <vt:variant>
        <vt:i4>5</vt:i4>
      </vt:variant>
      <vt:variant>
        <vt:lpwstr>https://www.legislation.govt.nz/act/public/2002/0084/latest/DLM170873.html</vt:lpwstr>
      </vt:variant>
      <vt:variant>
        <vt:lpwstr/>
      </vt:variant>
      <vt:variant>
        <vt:i4>2752565</vt:i4>
      </vt:variant>
      <vt:variant>
        <vt:i4>1785</vt:i4>
      </vt:variant>
      <vt:variant>
        <vt:i4>0</vt:i4>
      </vt:variant>
      <vt:variant>
        <vt:i4>5</vt:i4>
      </vt:variant>
      <vt:variant>
        <vt:lpwstr>https://legislation.govt.nz/act/public/1941/0012/latest/DLM230365.html</vt:lpwstr>
      </vt:variant>
      <vt:variant>
        <vt:lpwstr/>
      </vt:variant>
      <vt:variant>
        <vt:i4>2687100</vt:i4>
      </vt:variant>
      <vt:variant>
        <vt:i4>1782</vt:i4>
      </vt:variant>
      <vt:variant>
        <vt:i4>0</vt:i4>
      </vt:variant>
      <vt:variant>
        <vt:i4>5</vt:i4>
      </vt:variant>
      <vt:variant>
        <vt:lpwstr>https://www.legislation.govt.nz/act/public/2002/0033/latest/whole.html</vt:lpwstr>
      </vt:variant>
      <vt:variant>
        <vt:lpwstr/>
      </vt:variant>
      <vt:variant>
        <vt:i4>7667763</vt:i4>
      </vt:variant>
      <vt:variant>
        <vt:i4>1779</vt:i4>
      </vt:variant>
      <vt:variant>
        <vt:i4>0</vt:i4>
      </vt:variant>
      <vt:variant>
        <vt:i4>5</vt:i4>
      </vt:variant>
      <vt:variant>
        <vt:lpwstr>https://www.legislation.govt.nz/act/public/1991/0069/latest/DLM230265.html</vt:lpwstr>
      </vt:variant>
      <vt:variant>
        <vt:lpwstr/>
      </vt:variant>
      <vt:variant>
        <vt:i4>4718656</vt:i4>
      </vt:variant>
      <vt:variant>
        <vt:i4>1776</vt:i4>
      </vt:variant>
      <vt:variant>
        <vt:i4>0</vt:i4>
      </vt:variant>
      <vt:variant>
        <vt:i4>5</vt:i4>
      </vt:variant>
      <vt:variant>
        <vt:lpwstr/>
      </vt:variant>
      <vt:variant>
        <vt:lpwstr>figure31</vt:lpwstr>
      </vt:variant>
      <vt:variant>
        <vt:i4>6160464</vt:i4>
      </vt:variant>
      <vt:variant>
        <vt:i4>1773</vt:i4>
      </vt:variant>
      <vt:variant>
        <vt:i4>0</vt:i4>
      </vt:variant>
      <vt:variant>
        <vt:i4>5</vt:i4>
      </vt:variant>
      <vt:variant>
        <vt:lpwstr>https://environment.govt.nz/assets/publications/climate-change/MFE-AoG-20664-GF-National-Adaptation-Plan-2022-WEB.pdf</vt:lpwstr>
      </vt:variant>
      <vt:variant>
        <vt:lpwstr/>
      </vt:variant>
      <vt:variant>
        <vt:i4>4718656</vt:i4>
      </vt:variant>
      <vt:variant>
        <vt:i4>1770</vt:i4>
      </vt:variant>
      <vt:variant>
        <vt:i4>0</vt:i4>
      </vt:variant>
      <vt:variant>
        <vt:i4>5</vt:i4>
      </vt:variant>
      <vt:variant>
        <vt:lpwstr/>
      </vt:variant>
      <vt:variant>
        <vt:lpwstr>figure31</vt:lpwstr>
      </vt:variant>
      <vt:variant>
        <vt:i4>6094928</vt:i4>
      </vt:variant>
      <vt:variant>
        <vt:i4>1767</vt:i4>
      </vt:variant>
      <vt:variant>
        <vt:i4>0</vt:i4>
      </vt:variant>
      <vt:variant>
        <vt:i4>5</vt:i4>
      </vt:variant>
      <vt:variant>
        <vt:lpwstr>https://environment.govt.nz/publications/new-zealands-eighth-national-communication/</vt:lpwstr>
      </vt:variant>
      <vt:variant>
        <vt:lpwstr/>
      </vt:variant>
      <vt:variant>
        <vt:i4>3539044</vt:i4>
      </vt:variant>
      <vt:variant>
        <vt:i4>1764</vt:i4>
      </vt:variant>
      <vt:variant>
        <vt:i4>0</vt:i4>
      </vt:variant>
      <vt:variant>
        <vt:i4>5</vt:i4>
      </vt:variant>
      <vt:variant>
        <vt:lpwstr>https://environment.govt.nz/assets/publications/New-Zealands-Eighth-National-Communication.pdf</vt:lpwstr>
      </vt:variant>
      <vt:variant>
        <vt:lpwstr/>
      </vt:variant>
      <vt:variant>
        <vt:i4>1777752</vt:i4>
      </vt:variant>
      <vt:variant>
        <vt:i4>1761</vt:i4>
      </vt:variant>
      <vt:variant>
        <vt:i4>0</vt:i4>
      </vt:variant>
      <vt:variant>
        <vt:i4>5</vt:i4>
      </vt:variant>
      <vt:variant>
        <vt:lpwstr/>
      </vt:variant>
      <vt:variant>
        <vt:lpwstr>_New_Zealand’s_adaptation</vt:lpwstr>
      </vt:variant>
      <vt:variant>
        <vt:i4>7602214</vt:i4>
      </vt:variant>
      <vt:variant>
        <vt:i4>1758</vt:i4>
      </vt:variant>
      <vt:variant>
        <vt:i4>0</vt:i4>
      </vt:variant>
      <vt:variant>
        <vt:i4>5</vt:i4>
      </vt:variant>
      <vt:variant>
        <vt:lpwstr/>
      </vt:variant>
      <vt:variant>
        <vt:lpwstr>section218</vt:lpwstr>
      </vt:variant>
      <vt:variant>
        <vt:i4>6422610</vt:i4>
      </vt:variant>
      <vt:variant>
        <vt:i4>1755</vt:i4>
      </vt:variant>
      <vt:variant>
        <vt:i4>0</vt:i4>
      </vt:variant>
      <vt:variant>
        <vt:i4>5</vt:i4>
      </vt:variant>
      <vt:variant>
        <vt:lpwstr/>
      </vt:variant>
      <vt:variant>
        <vt:lpwstr>_National_circumstances_and</vt:lpwstr>
      </vt:variant>
      <vt:variant>
        <vt:i4>655429</vt:i4>
      </vt:variant>
      <vt:variant>
        <vt:i4>1752</vt:i4>
      </vt:variant>
      <vt:variant>
        <vt:i4>0</vt:i4>
      </vt:variant>
      <vt:variant>
        <vt:i4>5</vt:i4>
      </vt:variant>
      <vt:variant>
        <vt:lpwstr/>
      </vt:variant>
      <vt:variant>
        <vt:lpwstr>table265</vt:lpwstr>
      </vt:variant>
      <vt:variant>
        <vt:i4>5177409</vt:i4>
      </vt:variant>
      <vt:variant>
        <vt:i4>1749</vt:i4>
      </vt:variant>
      <vt:variant>
        <vt:i4>0</vt:i4>
      </vt:variant>
      <vt:variant>
        <vt:i4>5</vt:i4>
      </vt:variant>
      <vt:variant>
        <vt:lpwstr/>
      </vt:variant>
      <vt:variant>
        <vt:lpwstr>figure263</vt:lpwstr>
      </vt:variant>
      <vt:variant>
        <vt:i4>720965</vt:i4>
      </vt:variant>
      <vt:variant>
        <vt:i4>1746</vt:i4>
      </vt:variant>
      <vt:variant>
        <vt:i4>0</vt:i4>
      </vt:variant>
      <vt:variant>
        <vt:i4>5</vt:i4>
      </vt:variant>
      <vt:variant>
        <vt:lpwstr/>
      </vt:variant>
      <vt:variant>
        <vt:lpwstr>table264</vt:lpwstr>
      </vt:variant>
      <vt:variant>
        <vt:i4>2883621</vt:i4>
      </vt:variant>
      <vt:variant>
        <vt:i4>1743</vt:i4>
      </vt:variant>
      <vt:variant>
        <vt:i4>0</vt:i4>
      </vt:variant>
      <vt:variant>
        <vt:i4>5</vt:i4>
      </vt:variant>
      <vt:variant>
        <vt:lpwstr/>
      </vt:variant>
      <vt:variant>
        <vt:lpwstr>sectionA232</vt:lpwstr>
      </vt:variant>
      <vt:variant>
        <vt:i4>3735671</vt:i4>
      </vt:variant>
      <vt:variant>
        <vt:i4>1740</vt:i4>
      </vt:variant>
      <vt:variant>
        <vt:i4>0</vt:i4>
      </vt:variant>
      <vt:variant>
        <vt:i4>5</vt:i4>
      </vt:variant>
      <vt:variant>
        <vt:lpwstr/>
      </vt:variant>
      <vt:variant>
        <vt:lpwstr>annex2</vt:lpwstr>
      </vt:variant>
      <vt:variant>
        <vt:i4>7929890</vt:i4>
      </vt:variant>
      <vt:variant>
        <vt:i4>1737</vt:i4>
      </vt:variant>
      <vt:variant>
        <vt:i4>0</vt:i4>
      </vt:variant>
      <vt:variant>
        <vt:i4>5</vt:i4>
      </vt:variant>
      <vt:variant>
        <vt:lpwstr/>
      </vt:variant>
      <vt:variant>
        <vt:lpwstr>section2553</vt:lpwstr>
      </vt:variant>
      <vt:variant>
        <vt:i4>8257570</vt:i4>
      </vt:variant>
      <vt:variant>
        <vt:i4>1734</vt:i4>
      </vt:variant>
      <vt:variant>
        <vt:i4>0</vt:i4>
      </vt:variant>
      <vt:variant>
        <vt:i4>5</vt:i4>
      </vt:variant>
      <vt:variant>
        <vt:lpwstr/>
      </vt:variant>
      <vt:variant>
        <vt:lpwstr>section252</vt:lpwstr>
      </vt:variant>
      <vt:variant>
        <vt:i4>917573</vt:i4>
      </vt:variant>
      <vt:variant>
        <vt:i4>1731</vt:i4>
      </vt:variant>
      <vt:variant>
        <vt:i4>0</vt:i4>
      </vt:variant>
      <vt:variant>
        <vt:i4>5</vt:i4>
      </vt:variant>
      <vt:variant>
        <vt:lpwstr/>
      </vt:variant>
      <vt:variant>
        <vt:lpwstr>table261</vt:lpwstr>
      </vt:variant>
      <vt:variant>
        <vt:i4>4980759</vt:i4>
      </vt:variant>
      <vt:variant>
        <vt:i4>1728</vt:i4>
      </vt:variant>
      <vt:variant>
        <vt:i4>0</vt:i4>
      </vt:variant>
      <vt:variant>
        <vt:i4>5</vt:i4>
      </vt:variant>
      <vt:variant>
        <vt:lpwstr/>
      </vt:variant>
      <vt:variant>
        <vt:lpwstr>section25</vt:lpwstr>
      </vt:variant>
      <vt:variant>
        <vt:i4>8323105</vt:i4>
      </vt:variant>
      <vt:variant>
        <vt:i4>1725</vt:i4>
      </vt:variant>
      <vt:variant>
        <vt:i4>0</vt:i4>
      </vt:variant>
      <vt:variant>
        <vt:i4>5</vt:i4>
      </vt:variant>
      <vt:variant>
        <vt:lpwstr/>
      </vt:variant>
      <vt:variant>
        <vt:lpwstr>section2632</vt:lpwstr>
      </vt:variant>
      <vt:variant>
        <vt:i4>8323105</vt:i4>
      </vt:variant>
      <vt:variant>
        <vt:i4>1722</vt:i4>
      </vt:variant>
      <vt:variant>
        <vt:i4>0</vt:i4>
      </vt:variant>
      <vt:variant>
        <vt:i4>5</vt:i4>
      </vt:variant>
      <vt:variant>
        <vt:lpwstr/>
      </vt:variant>
      <vt:variant>
        <vt:lpwstr>section2631</vt:lpwstr>
      </vt:variant>
      <vt:variant>
        <vt:i4>4980759</vt:i4>
      </vt:variant>
      <vt:variant>
        <vt:i4>1719</vt:i4>
      </vt:variant>
      <vt:variant>
        <vt:i4>0</vt:i4>
      </vt:variant>
      <vt:variant>
        <vt:i4>5</vt:i4>
      </vt:variant>
      <vt:variant>
        <vt:lpwstr/>
      </vt:variant>
      <vt:variant>
        <vt:lpwstr>section25</vt:lpwstr>
      </vt:variant>
      <vt:variant>
        <vt:i4>7864356</vt:i4>
      </vt:variant>
      <vt:variant>
        <vt:i4>1716</vt:i4>
      </vt:variant>
      <vt:variant>
        <vt:i4>0</vt:i4>
      </vt:variant>
      <vt:variant>
        <vt:i4>5</vt:i4>
      </vt:variant>
      <vt:variant>
        <vt:lpwstr/>
      </vt:variant>
      <vt:variant>
        <vt:lpwstr>section234</vt:lpwstr>
      </vt:variant>
      <vt:variant>
        <vt:i4>8257572</vt:i4>
      </vt:variant>
      <vt:variant>
        <vt:i4>1713</vt:i4>
      </vt:variant>
      <vt:variant>
        <vt:i4>0</vt:i4>
      </vt:variant>
      <vt:variant>
        <vt:i4>5</vt:i4>
      </vt:variant>
      <vt:variant>
        <vt:lpwstr/>
      </vt:variant>
      <vt:variant>
        <vt:lpwstr>section232</vt:lpwstr>
      </vt:variant>
      <vt:variant>
        <vt:i4>7929890</vt:i4>
      </vt:variant>
      <vt:variant>
        <vt:i4>1710</vt:i4>
      </vt:variant>
      <vt:variant>
        <vt:i4>0</vt:i4>
      </vt:variant>
      <vt:variant>
        <vt:i4>5</vt:i4>
      </vt:variant>
      <vt:variant>
        <vt:lpwstr/>
      </vt:variant>
      <vt:variant>
        <vt:lpwstr>section2553</vt:lpwstr>
      </vt:variant>
      <vt:variant>
        <vt:i4>7929890</vt:i4>
      </vt:variant>
      <vt:variant>
        <vt:i4>1707</vt:i4>
      </vt:variant>
      <vt:variant>
        <vt:i4>0</vt:i4>
      </vt:variant>
      <vt:variant>
        <vt:i4>5</vt:i4>
      </vt:variant>
      <vt:variant>
        <vt:lpwstr/>
      </vt:variant>
      <vt:variant>
        <vt:lpwstr>section2553</vt:lpwstr>
      </vt:variant>
      <vt:variant>
        <vt:i4>786502</vt:i4>
      </vt:variant>
      <vt:variant>
        <vt:i4>1704</vt:i4>
      </vt:variant>
      <vt:variant>
        <vt:i4>0</vt:i4>
      </vt:variant>
      <vt:variant>
        <vt:i4>5</vt:i4>
      </vt:variant>
      <vt:variant>
        <vt:lpwstr/>
      </vt:variant>
      <vt:variant>
        <vt:lpwstr>table2531</vt:lpwstr>
      </vt:variant>
      <vt:variant>
        <vt:i4>7667827</vt:i4>
      </vt:variant>
      <vt:variant>
        <vt:i4>1701</vt:i4>
      </vt:variant>
      <vt:variant>
        <vt:i4>0</vt:i4>
      </vt:variant>
      <vt:variant>
        <vt:i4>5</vt:i4>
      </vt:variant>
      <vt:variant>
        <vt:lpwstr/>
      </vt:variant>
      <vt:variant>
        <vt:lpwstr>figure2529</vt:lpwstr>
      </vt:variant>
      <vt:variant>
        <vt:i4>786502</vt:i4>
      </vt:variant>
      <vt:variant>
        <vt:i4>1698</vt:i4>
      </vt:variant>
      <vt:variant>
        <vt:i4>0</vt:i4>
      </vt:variant>
      <vt:variant>
        <vt:i4>5</vt:i4>
      </vt:variant>
      <vt:variant>
        <vt:lpwstr/>
      </vt:variant>
      <vt:variant>
        <vt:lpwstr>table2530</vt:lpwstr>
      </vt:variant>
      <vt:variant>
        <vt:i4>7602291</vt:i4>
      </vt:variant>
      <vt:variant>
        <vt:i4>1695</vt:i4>
      </vt:variant>
      <vt:variant>
        <vt:i4>0</vt:i4>
      </vt:variant>
      <vt:variant>
        <vt:i4>5</vt:i4>
      </vt:variant>
      <vt:variant>
        <vt:lpwstr/>
      </vt:variant>
      <vt:variant>
        <vt:lpwstr>figure2528</vt:lpwstr>
      </vt:variant>
      <vt:variant>
        <vt:i4>852038</vt:i4>
      </vt:variant>
      <vt:variant>
        <vt:i4>1692</vt:i4>
      </vt:variant>
      <vt:variant>
        <vt:i4>0</vt:i4>
      </vt:variant>
      <vt:variant>
        <vt:i4>5</vt:i4>
      </vt:variant>
      <vt:variant>
        <vt:lpwstr/>
      </vt:variant>
      <vt:variant>
        <vt:lpwstr>table2529</vt:lpwstr>
      </vt:variant>
      <vt:variant>
        <vt:i4>8061043</vt:i4>
      </vt:variant>
      <vt:variant>
        <vt:i4>1689</vt:i4>
      </vt:variant>
      <vt:variant>
        <vt:i4>0</vt:i4>
      </vt:variant>
      <vt:variant>
        <vt:i4>5</vt:i4>
      </vt:variant>
      <vt:variant>
        <vt:lpwstr/>
      </vt:variant>
      <vt:variant>
        <vt:lpwstr>figure2527</vt:lpwstr>
      </vt:variant>
      <vt:variant>
        <vt:i4>852038</vt:i4>
      </vt:variant>
      <vt:variant>
        <vt:i4>1686</vt:i4>
      </vt:variant>
      <vt:variant>
        <vt:i4>0</vt:i4>
      </vt:variant>
      <vt:variant>
        <vt:i4>5</vt:i4>
      </vt:variant>
      <vt:variant>
        <vt:lpwstr/>
      </vt:variant>
      <vt:variant>
        <vt:lpwstr>table2528</vt:lpwstr>
      </vt:variant>
      <vt:variant>
        <vt:i4>7995507</vt:i4>
      </vt:variant>
      <vt:variant>
        <vt:i4>1683</vt:i4>
      </vt:variant>
      <vt:variant>
        <vt:i4>0</vt:i4>
      </vt:variant>
      <vt:variant>
        <vt:i4>5</vt:i4>
      </vt:variant>
      <vt:variant>
        <vt:lpwstr/>
      </vt:variant>
      <vt:variant>
        <vt:lpwstr>figure2526</vt:lpwstr>
      </vt:variant>
      <vt:variant>
        <vt:i4>852038</vt:i4>
      </vt:variant>
      <vt:variant>
        <vt:i4>1680</vt:i4>
      </vt:variant>
      <vt:variant>
        <vt:i4>0</vt:i4>
      </vt:variant>
      <vt:variant>
        <vt:i4>5</vt:i4>
      </vt:variant>
      <vt:variant>
        <vt:lpwstr/>
      </vt:variant>
      <vt:variant>
        <vt:lpwstr>table2525</vt:lpwstr>
      </vt:variant>
      <vt:variant>
        <vt:i4>8257651</vt:i4>
      </vt:variant>
      <vt:variant>
        <vt:i4>1677</vt:i4>
      </vt:variant>
      <vt:variant>
        <vt:i4>0</vt:i4>
      </vt:variant>
      <vt:variant>
        <vt:i4>5</vt:i4>
      </vt:variant>
      <vt:variant>
        <vt:lpwstr/>
      </vt:variant>
      <vt:variant>
        <vt:lpwstr>figure2522</vt:lpwstr>
      </vt:variant>
      <vt:variant>
        <vt:i4>8192115</vt:i4>
      </vt:variant>
      <vt:variant>
        <vt:i4>1674</vt:i4>
      </vt:variant>
      <vt:variant>
        <vt:i4>0</vt:i4>
      </vt:variant>
      <vt:variant>
        <vt:i4>5</vt:i4>
      </vt:variant>
      <vt:variant>
        <vt:lpwstr/>
      </vt:variant>
      <vt:variant>
        <vt:lpwstr>figure2521</vt:lpwstr>
      </vt:variant>
      <vt:variant>
        <vt:i4>852038</vt:i4>
      </vt:variant>
      <vt:variant>
        <vt:i4>1671</vt:i4>
      </vt:variant>
      <vt:variant>
        <vt:i4>0</vt:i4>
      </vt:variant>
      <vt:variant>
        <vt:i4>5</vt:i4>
      </vt:variant>
      <vt:variant>
        <vt:lpwstr/>
      </vt:variant>
      <vt:variant>
        <vt:lpwstr>table2523</vt:lpwstr>
      </vt:variant>
      <vt:variant>
        <vt:i4>8192115</vt:i4>
      </vt:variant>
      <vt:variant>
        <vt:i4>1668</vt:i4>
      </vt:variant>
      <vt:variant>
        <vt:i4>0</vt:i4>
      </vt:variant>
      <vt:variant>
        <vt:i4>5</vt:i4>
      </vt:variant>
      <vt:variant>
        <vt:lpwstr/>
      </vt:variant>
      <vt:variant>
        <vt:lpwstr>figure2521</vt:lpwstr>
      </vt:variant>
      <vt:variant>
        <vt:i4>4980759</vt:i4>
      </vt:variant>
      <vt:variant>
        <vt:i4>1665</vt:i4>
      </vt:variant>
      <vt:variant>
        <vt:i4>0</vt:i4>
      </vt:variant>
      <vt:variant>
        <vt:i4>5</vt:i4>
      </vt:variant>
      <vt:variant>
        <vt:lpwstr/>
      </vt:variant>
      <vt:variant>
        <vt:lpwstr>section24</vt:lpwstr>
      </vt:variant>
      <vt:variant>
        <vt:i4>8323105</vt:i4>
      </vt:variant>
      <vt:variant>
        <vt:i4>1662</vt:i4>
      </vt:variant>
      <vt:variant>
        <vt:i4>0</vt:i4>
      </vt:variant>
      <vt:variant>
        <vt:i4>5</vt:i4>
      </vt:variant>
      <vt:variant>
        <vt:lpwstr/>
      </vt:variant>
      <vt:variant>
        <vt:lpwstr>section2632</vt:lpwstr>
      </vt:variant>
      <vt:variant>
        <vt:i4>852038</vt:i4>
      </vt:variant>
      <vt:variant>
        <vt:i4>1659</vt:i4>
      </vt:variant>
      <vt:variant>
        <vt:i4>0</vt:i4>
      </vt:variant>
      <vt:variant>
        <vt:i4>5</vt:i4>
      </vt:variant>
      <vt:variant>
        <vt:lpwstr/>
      </vt:variant>
      <vt:variant>
        <vt:lpwstr>table2522</vt:lpwstr>
      </vt:variant>
      <vt:variant>
        <vt:i4>7602288</vt:i4>
      </vt:variant>
      <vt:variant>
        <vt:i4>1656</vt:i4>
      </vt:variant>
      <vt:variant>
        <vt:i4>0</vt:i4>
      </vt:variant>
      <vt:variant>
        <vt:i4>5</vt:i4>
      </vt:variant>
      <vt:variant>
        <vt:lpwstr/>
      </vt:variant>
      <vt:variant>
        <vt:lpwstr>figure2518</vt:lpwstr>
      </vt:variant>
      <vt:variant>
        <vt:i4>7929968</vt:i4>
      </vt:variant>
      <vt:variant>
        <vt:i4>1653</vt:i4>
      </vt:variant>
      <vt:variant>
        <vt:i4>0</vt:i4>
      </vt:variant>
      <vt:variant>
        <vt:i4>5</vt:i4>
      </vt:variant>
      <vt:variant>
        <vt:lpwstr/>
      </vt:variant>
      <vt:variant>
        <vt:lpwstr>figure2515</vt:lpwstr>
      </vt:variant>
      <vt:variant>
        <vt:i4>7864432</vt:i4>
      </vt:variant>
      <vt:variant>
        <vt:i4>1650</vt:i4>
      </vt:variant>
      <vt:variant>
        <vt:i4>0</vt:i4>
      </vt:variant>
      <vt:variant>
        <vt:i4>5</vt:i4>
      </vt:variant>
      <vt:variant>
        <vt:lpwstr/>
      </vt:variant>
      <vt:variant>
        <vt:lpwstr>figure2514</vt:lpwstr>
      </vt:variant>
      <vt:variant>
        <vt:i4>917574</vt:i4>
      </vt:variant>
      <vt:variant>
        <vt:i4>1647</vt:i4>
      </vt:variant>
      <vt:variant>
        <vt:i4>0</vt:i4>
      </vt:variant>
      <vt:variant>
        <vt:i4>5</vt:i4>
      </vt:variant>
      <vt:variant>
        <vt:lpwstr/>
      </vt:variant>
      <vt:variant>
        <vt:lpwstr>table2516</vt:lpwstr>
      </vt:variant>
      <vt:variant>
        <vt:i4>786502</vt:i4>
      </vt:variant>
      <vt:variant>
        <vt:i4>1644</vt:i4>
      </vt:variant>
      <vt:variant>
        <vt:i4>0</vt:i4>
      </vt:variant>
      <vt:variant>
        <vt:i4>5</vt:i4>
      </vt:variant>
      <vt:variant>
        <vt:lpwstr/>
      </vt:variant>
      <vt:variant>
        <vt:lpwstr>table253</vt:lpwstr>
      </vt:variant>
      <vt:variant>
        <vt:i4>917574</vt:i4>
      </vt:variant>
      <vt:variant>
        <vt:i4>1641</vt:i4>
      </vt:variant>
      <vt:variant>
        <vt:i4>0</vt:i4>
      </vt:variant>
      <vt:variant>
        <vt:i4>5</vt:i4>
      </vt:variant>
      <vt:variant>
        <vt:lpwstr/>
      </vt:variant>
      <vt:variant>
        <vt:lpwstr>table2514</vt:lpwstr>
      </vt:variant>
      <vt:variant>
        <vt:i4>852038</vt:i4>
      </vt:variant>
      <vt:variant>
        <vt:i4>1638</vt:i4>
      </vt:variant>
      <vt:variant>
        <vt:i4>0</vt:i4>
      </vt:variant>
      <vt:variant>
        <vt:i4>5</vt:i4>
      </vt:variant>
      <vt:variant>
        <vt:lpwstr/>
      </vt:variant>
      <vt:variant>
        <vt:lpwstr>table252</vt:lpwstr>
      </vt:variant>
      <vt:variant>
        <vt:i4>917574</vt:i4>
      </vt:variant>
      <vt:variant>
        <vt:i4>1635</vt:i4>
      </vt:variant>
      <vt:variant>
        <vt:i4>0</vt:i4>
      </vt:variant>
      <vt:variant>
        <vt:i4>5</vt:i4>
      </vt:variant>
      <vt:variant>
        <vt:lpwstr/>
      </vt:variant>
      <vt:variant>
        <vt:lpwstr>table2510</vt:lpwstr>
      </vt:variant>
      <vt:variant>
        <vt:i4>8257648</vt:i4>
      </vt:variant>
      <vt:variant>
        <vt:i4>1632</vt:i4>
      </vt:variant>
      <vt:variant>
        <vt:i4>0</vt:i4>
      </vt:variant>
      <vt:variant>
        <vt:i4>5</vt:i4>
      </vt:variant>
      <vt:variant>
        <vt:lpwstr/>
      </vt:variant>
      <vt:variant>
        <vt:lpwstr>figure2512</vt:lpwstr>
      </vt:variant>
      <vt:variant>
        <vt:i4>8192112</vt:i4>
      </vt:variant>
      <vt:variant>
        <vt:i4>1629</vt:i4>
      </vt:variant>
      <vt:variant>
        <vt:i4>0</vt:i4>
      </vt:variant>
      <vt:variant>
        <vt:i4>5</vt:i4>
      </vt:variant>
      <vt:variant>
        <vt:lpwstr/>
      </vt:variant>
      <vt:variant>
        <vt:lpwstr>figure2511</vt:lpwstr>
      </vt:variant>
      <vt:variant>
        <vt:i4>8192112</vt:i4>
      </vt:variant>
      <vt:variant>
        <vt:i4>1626</vt:i4>
      </vt:variant>
      <vt:variant>
        <vt:i4>0</vt:i4>
      </vt:variant>
      <vt:variant>
        <vt:i4>5</vt:i4>
      </vt:variant>
      <vt:variant>
        <vt:lpwstr/>
      </vt:variant>
      <vt:variant>
        <vt:lpwstr>figure2511</vt:lpwstr>
      </vt:variant>
      <vt:variant>
        <vt:i4>8126576</vt:i4>
      </vt:variant>
      <vt:variant>
        <vt:i4>1623</vt:i4>
      </vt:variant>
      <vt:variant>
        <vt:i4>0</vt:i4>
      </vt:variant>
      <vt:variant>
        <vt:i4>5</vt:i4>
      </vt:variant>
      <vt:variant>
        <vt:lpwstr/>
      </vt:variant>
      <vt:variant>
        <vt:lpwstr>figure2510</vt:lpwstr>
      </vt:variant>
      <vt:variant>
        <vt:i4>4980801</vt:i4>
      </vt:variant>
      <vt:variant>
        <vt:i4>1620</vt:i4>
      </vt:variant>
      <vt:variant>
        <vt:i4>0</vt:i4>
      </vt:variant>
      <vt:variant>
        <vt:i4>5</vt:i4>
      </vt:variant>
      <vt:variant>
        <vt:lpwstr/>
      </vt:variant>
      <vt:variant>
        <vt:lpwstr>figure259</vt:lpwstr>
      </vt:variant>
      <vt:variant>
        <vt:i4>4980801</vt:i4>
      </vt:variant>
      <vt:variant>
        <vt:i4>1617</vt:i4>
      </vt:variant>
      <vt:variant>
        <vt:i4>0</vt:i4>
      </vt:variant>
      <vt:variant>
        <vt:i4>5</vt:i4>
      </vt:variant>
      <vt:variant>
        <vt:lpwstr/>
      </vt:variant>
      <vt:variant>
        <vt:lpwstr>figure258</vt:lpwstr>
      </vt:variant>
      <vt:variant>
        <vt:i4>4980801</vt:i4>
      </vt:variant>
      <vt:variant>
        <vt:i4>1614</vt:i4>
      </vt:variant>
      <vt:variant>
        <vt:i4>0</vt:i4>
      </vt:variant>
      <vt:variant>
        <vt:i4>5</vt:i4>
      </vt:variant>
      <vt:variant>
        <vt:lpwstr/>
      </vt:variant>
      <vt:variant>
        <vt:lpwstr>figure257</vt:lpwstr>
      </vt:variant>
      <vt:variant>
        <vt:i4>4980801</vt:i4>
      </vt:variant>
      <vt:variant>
        <vt:i4>1611</vt:i4>
      </vt:variant>
      <vt:variant>
        <vt:i4>0</vt:i4>
      </vt:variant>
      <vt:variant>
        <vt:i4>5</vt:i4>
      </vt:variant>
      <vt:variant>
        <vt:lpwstr/>
      </vt:variant>
      <vt:variant>
        <vt:lpwstr>figure256</vt:lpwstr>
      </vt:variant>
      <vt:variant>
        <vt:i4>786502</vt:i4>
      </vt:variant>
      <vt:variant>
        <vt:i4>1608</vt:i4>
      </vt:variant>
      <vt:variant>
        <vt:i4>0</vt:i4>
      </vt:variant>
      <vt:variant>
        <vt:i4>5</vt:i4>
      </vt:variant>
      <vt:variant>
        <vt:lpwstr/>
      </vt:variant>
      <vt:variant>
        <vt:lpwstr>table253</vt:lpwstr>
      </vt:variant>
      <vt:variant>
        <vt:i4>852038</vt:i4>
      </vt:variant>
      <vt:variant>
        <vt:i4>1605</vt:i4>
      </vt:variant>
      <vt:variant>
        <vt:i4>0</vt:i4>
      </vt:variant>
      <vt:variant>
        <vt:i4>5</vt:i4>
      </vt:variant>
      <vt:variant>
        <vt:lpwstr/>
      </vt:variant>
      <vt:variant>
        <vt:lpwstr>table252</vt:lpwstr>
      </vt:variant>
      <vt:variant>
        <vt:i4>917574</vt:i4>
      </vt:variant>
      <vt:variant>
        <vt:i4>1602</vt:i4>
      </vt:variant>
      <vt:variant>
        <vt:i4>0</vt:i4>
      </vt:variant>
      <vt:variant>
        <vt:i4>5</vt:i4>
      </vt:variant>
      <vt:variant>
        <vt:lpwstr/>
      </vt:variant>
      <vt:variant>
        <vt:lpwstr>table251</vt:lpwstr>
      </vt:variant>
      <vt:variant>
        <vt:i4>4980759</vt:i4>
      </vt:variant>
      <vt:variant>
        <vt:i4>1599</vt:i4>
      </vt:variant>
      <vt:variant>
        <vt:i4>0</vt:i4>
      </vt:variant>
      <vt:variant>
        <vt:i4>5</vt:i4>
      </vt:variant>
      <vt:variant>
        <vt:lpwstr/>
      </vt:variant>
      <vt:variant>
        <vt:lpwstr>section26</vt:lpwstr>
      </vt:variant>
      <vt:variant>
        <vt:i4>4980801</vt:i4>
      </vt:variant>
      <vt:variant>
        <vt:i4>1596</vt:i4>
      </vt:variant>
      <vt:variant>
        <vt:i4>0</vt:i4>
      </vt:variant>
      <vt:variant>
        <vt:i4>5</vt:i4>
      </vt:variant>
      <vt:variant>
        <vt:lpwstr/>
      </vt:variant>
      <vt:variant>
        <vt:lpwstr>figure255</vt:lpwstr>
      </vt:variant>
      <vt:variant>
        <vt:i4>4980801</vt:i4>
      </vt:variant>
      <vt:variant>
        <vt:i4>1593</vt:i4>
      </vt:variant>
      <vt:variant>
        <vt:i4>0</vt:i4>
      </vt:variant>
      <vt:variant>
        <vt:i4>5</vt:i4>
      </vt:variant>
      <vt:variant>
        <vt:lpwstr/>
      </vt:variant>
      <vt:variant>
        <vt:lpwstr>figure254</vt:lpwstr>
      </vt:variant>
      <vt:variant>
        <vt:i4>7995426</vt:i4>
      </vt:variant>
      <vt:variant>
        <vt:i4>1590</vt:i4>
      </vt:variant>
      <vt:variant>
        <vt:i4>0</vt:i4>
      </vt:variant>
      <vt:variant>
        <vt:i4>5</vt:i4>
      </vt:variant>
      <vt:variant>
        <vt:lpwstr/>
      </vt:variant>
      <vt:variant>
        <vt:lpwstr>section256</vt:lpwstr>
      </vt:variant>
      <vt:variant>
        <vt:i4>7864354</vt:i4>
      </vt:variant>
      <vt:variant>
        <vt:i4>1587</vt:i4>
      </vt:variant>
      <vt:variant>
        <vt:i4>0</vt:i4>
      </vt:variant>
      <vt:variant>
        <vt:i4>5</vt:i4>
      </vt:variant>
      <vt:variant>
        <vt:lpwstr/>
      </vt:variant>
      <vt:variant>
        <vt:lpwstr>section254</vt:lpwstr>
      </vt:variant>
      <vt:variant>
        <vt:i4>4980801</vt:i4>
      </vt:variant>
      <vt:variant>
        <vt:i4>1584</vt:i4>
      </vt:variant>
      <vt:variant>
        <vt:i4>0</vt:i4>
      </vt:variant>
      <vt:variant>
        <vt:i4>5</vt:i4>
      </vt:variant>
      <vt:variant>
        <vt:lpwstr/>
      </vt:variant>
      <vt:variant>
        <vt:lpwstr>figure253</vt:lpwstr>
      </vt:variant>
      <vt:variant>
        <vt:i4>4980801</vt:i4>
      </vt:variant>
      <vt:variant>
        <vt:i4>1581</vt:i4>
      </vt:variant>
      <vt:variant>
        <vt:i4>0</vt:i4>
      </vt:variant>
      <vt:variant>
        <vt:i4>5</vt:i4>
      </vt:variant>
      <vt:variant>
        <vt:lpwstr/>
      </vt:variant>
      <vt:variant>
        <vt:lpwstr>figure252</vt:lpwstr>
      </vt:variant>
      <vt:variant>
        <vt:i4>8060962</vt:i4>
      </vt:variant>
      <vt:variant>
        <vt:i4>1578</vt:i4>
      </vt:variant>
      <vt:variant>
        <vt:i4>0</vt:i4>
      </vt:variant>
      <vt:variant>
        <vt:i4>5</vt:i4>
      </vt:variant>
      <vt:variant>
        <vt:lpwstr/>
      </vt:variant>
      <vt:variant>
        <vt:lpwstr>section257</vt:lpwstr>
      </vt:variant>
      <vt:variant>
        <vt:i4>7995426</vt:i4>
      </vt:variant>
      <vt:variant>
        <vt:i4>1575</vt:i4>
      </vt:variant>
      <vt:variant>
        <vt:i4>0</vt:i4>
      </vt:variant>
      <vt:variant>
        <vt:i4>5</vt:i4>
      </vt:variant>
      <vt:variant>
        <vt:lpwstr/>
      </vt:variant>
      <vt:variant>
        <vt:lpwstr>section256</vt:lpwstr>
      </vt:variant>
      <vt:variant>
        <vt:i4>7929890</vt:i4>
      </vt:variant>
      <vt:variant>
        <vt:i4>1572</vt:i4>
      </vt:variant>
      <vt:variant>
        <vt:i4>0</vt:i4>
      </vt:variant>
      <vt:variant>
        <vt:i4>5</vt:i4>
      </vt:variant>
      <vt:variant>
        <vt:lpwstr/>
      </vt:variant>
      <vt:variant>
        <vt:lpwstr>section255</vt:lpwstr>
      </vt:variant>
      <vt:variant>
        <vt:i4>7864354</vt:i4>
      </vt:variant>
      <vt:variant>
        <vt:i4>1569</vt:i4>
      </vt:variant>
      <vt:variant>
        <vt:i4>0</vt:i4>
      </vt:variant>
      <vt:variant>
        <vt:i4>5</vt:i4>
      </vt:variant>
      <vt:variant>
        <vt:lpwstr/>
      </vt:variant>
      <vt:variant>
        <vt:lpwstr>section254</vt:lpwstr>
      </vt:variant>
      <vt:variant>
        <vt:i4>8323106</vt:i4>
      </vt:variant>
      <vt:variant>
        <vt:i4>1566</vt:i4>
      </vt:variant>
      <vt:variant>
        <vt:i4>0</vt:i4>
      </vt:variant>
      <vt:variant>
        <vt:i4>5</vt:i4>
      </vt:variant>
      <vt:variant>
        <vt:lpwstr/>
      </vt:variant>
      <vt:variant>
        <vt:lpwstr>section253</vt:lpwstr>
      </vt:variant>
      <vt:variant>
        <vt:i4>8257570</vt:i4>
      </vt:variant>
      <vt:variant>
        <vt:i4>1563</vt:i4>
      </vt:variant>
      <vt:variant>
        <vt:i4>0</vt:i4>
      </vt:variant>
      <vt:variant>
        <vt:i4>5</vt:i4>
      </vt:variant>
      <vt:variant>
        <vt:lpwstr/>
      </vt:variant>
      <vt:variant>
        <vt:lpwstr>section252</vt:lpwstr>
      </vt:variant>
      <vt:variant>
        <vt:i4>4980759</vt:i4>
      </vt:variant>
      <vt:variant>
        <vt:i4>1560</vt:i4>
      </vt:variant>
      <vt:variant>
        <vt:i4>0</vt:i4>
      </vt:variant>
      <vt:variant>
        <vt:i4>5</vt:i4>
      </vt:variant>
      <vt:variant>
        <vt:lpwstr/>
      </vt:variant>
      <vt:variant>
        <vt:lpwstr>section26</vt:lpwstr>
      </vt:variant>
      <vt:variant>
        <vt:i4>3735671</vt:i4>
      </vt:variant>
      <vt:variant>
        <vt:i4>1557</vt:i4>
      </vt:variant>
      <vt:variant>
        <vt:i4>0</vt:i4>
      </vt:variant>
      <vt:variant>
        <vt:i4>5</vt:i4>
      </vt:variant>
      <vt:variant>
        <vt:lpwstr/>
      </vt:variant>
      <vt:variant>
        <vt:lpwstr>annex2</vt:lpwstr>
      </vt:variant>
      <vt:variant>
        <vt:i4>4980759</vt:i4>
      </vt:variant>
      <vt:variant>
        <vt:i4>1554</vt:i4>
      </vt:variant>
      <vt:variant>
        <vt:i4>0</vt:i4>
      </vt:variant>
      <vt:variant>
        <vt:i4>5</vt:i4>
      </vt:variant>
      <vt:variant>
        <vt:lpwstr/>
      </vt:variant>
      <vt:variant>
        <vt:lpwstr>section23</vt:lpwstr>
      </vt:variant>
      <vt:variant>
        <vt:i4>4980759</vt:i4>
      </vt:variant>
      <vt:variant>
        <vt:i4>1551</vt:i4>
      </vt:variant>
      <vt:variant>
        <vt:i4>0</vt:i4>
      </vt:variant>
      <vt:variant>
        <vt:i4>5</vt:i4>
      </vt:variant>
      <vt:variant>
        <vt:lpwstr/>
      </vt:variant>
      <vt:variant>
        <vt:lpwstr>section25</vt:lpwstr>
      </vt:variant>
      <vt:variant>
        <vt:i4>4980759</vt:i4>
      </vt:variant>
      <vt:variant>
        <vt:i4>1548</vt:i4>
      </vt:variant>
      <vt:variant>
        <vt:i4>0</vt:i4>
      </vt:variant>
      <vt:variant>
        <vt:i4>5</vt:i4>
      </vt:variant>
      <vt:variant>
        <vt:lpwstr/>
      </vt:variant>
      <vt:variant>
        <vt:lpwstr>section26</vt:lpwstr>
      </vt:variant>
      <vt:variant>
        <vt:i4>4980759</vt:i4>
      </vt:variant>
      <vt:variant>
        <vt:i4>1545</vt:i4>
      </vt:variant>
      <vt:variant>
        <vt:i4>0</vt:i4>
      </vt:variant>
      <vt:variant>
        <vt:i4>5</vt:i4>
      </vt:variant>
      <vt:variant>
        <vt:lpwstr/>
      </vt:variant>
      <vt:variant>
        <vt:lpwstr>section26</vt:lpwstr>
      </vt:variant>
      <vt:variant>
        <vt:i4>8257571</vt:i4>
      </vt:variant>
      <vt:variant>
        <vt:i4>1542</vt:i4>
      </vt:variant>
      <vt:variant>
        <vt:i4>0</vt:i4>
      </vt:variant>
      <vt:variant>
        <vt:i4>5</vt:i4>
      </vt:variant>
      <vt:variant>
        <vt:lpwstr/>
      </vt:variant>
      <vt:variant>
        <vt:lpwstr>section242</vt:lpwstr>
      </vt:variant>
      <vt:variant>
        <vt:i4>7602214</vt:i4>
      </vt:variant>
      <vt:variant>
        <vt:i4>1539</vt:i4>
      </vt:variant>
      <vt:variant>
        <vt:i4>0</vt:i4>
      </vt:variant>
      <vt:variant>
        <vt:i4>5</vt:i4>
      </vt:variant>
      <vt:variant>
        <vt:lpwstr/>
      </vt:variant>
      <vt:variant>
        <vt:lpwstr>section218</vt:lpwstr>
      </vt:variant>
      <vt:variant>
        <vt:i4>4980759</vt:i4>
      </vt:variant>
      <vt:variant>
        <vt:i4>1536</vt:i4>
      </vt:variant>
      <vt:variant>
        <vt:i4>0</vt:i4>
      </vt:variant>
      <vt:variant>
        <vt:i4>5</vt:i4>
      </vt:variant>
      <vt:variant>
        <vt:lpwstr/>
      </vt:variant>
      <vt:variant>
        <vt:lpwstr>section25</vt:lpwstr>
      </vt:variant>
      <vt:variant>
        <vt:i4>4980759</vt:i4>
      </vt:variant>
      <vt:variant>
        <vt:i4>1530</vt:i4>
      </vt:variant>
      <vt:variant>
        <vt:i4>0</vt:i4>
      </vt:variant>
      <vt:variant>
        <vt:i4>5</vt:i4>
      </vt:variant>
      <vt:variant>
        <vt:lpwstr/>
      </vt:variant>
      <vt:variant>
        <vt:lpwstr>section23</vt:lpwstr>
      </vt:variant>
      <vt:variant>
        <vt:i4>2883621</vt:i4>
      </vt:variant>
      <vt:variant>
        <vt:i4>1527</vt:i4>
      </vt:variant>
      <vt:variant>
        <vt:i4>0</vt:i4>
      </vt:variant>
      <vt:variant>
        <vt:i4>5</vt:i4>
      </vt:variant>
      <vt:variant>
        <vt:lpwstr/>
      </vt:variant>
      <vt:variant>
        <vt:lpwstr>sectionA232</vt:lpwstr>
      </vt:variant>
      <vt:variant>
        <vt:i4>3014693</vt:i4>
      </vt:variant>
      <vt:variant>
        <vt:i4>1524</vt:i4>
      </vt:variant>
      <vt:variant>
        <vt:i4>0</vt:i4>
      </vt:variant>
      <vt:variant>
        <vt:i4>5</vt:i4>
      </vt:variant>
      <vt:variant>
        <vt:lpwstr/>
      </vt:variant>
      <vt:variant>
        <vt:lpwstr>sectionA211</vt:lpwstr>
      </vt:variant>
      <vt:variant>
        <vt:i4>2883621</vt:i4>
      </vt:variant>
      <vt:variant>
        <vt:i4>1521</vt:i4>
      </vt:variant>
      <vt:variant>
        <vt:i4>0</vt:i4>
      </vt:variant>
      <vt:variant>
        <vt:i4>5</vt:i4>
      </vt:variant>
      <vt:variant>
        <vt:lpwstr/>
      </vt:variant>
      <vt:variant>
        <vt:lpwstr>sectionA234</vt:lpwstr>
      </vt:variant>
      <vt:variant>
        <vt:i4>3014693</vt:i4>
      </vt:variant>
      <vt:variant>
        <vt:i4>1518</vt:i4>
      </vt:variant>
      <vt:variant>
        <vt:i4>0</vt:i4>
      </vt:variant>
      <vt:variant>
        <vt:i4>5</vt:i4>
      </vt:variant>
      <vt:variant>
        <vt:lpwstr/>
      </vt:variant>
      <vt:variant>
        <vt:lpwstr>sectionA211</vt:lpwstr>
      </vt:variant>
      <vt:variant>
        <vt:i4>2883621</vt:i4>
      </vt:variant>
      <vt:variant>
        <vt:i4>1515</vt:i4>
      </vt:variant>
      <vt:variant>
        <vt:i4>0</vt:i4>
      </vt:variant>
      <vt:variant>
        <vt:i4>5</vt:i4>
      </vt:variant>
      <vt:variant>
        <vt:lpwstr/>
      </vt:variant>
      <vt:variant>
        <vt:lpwstr>sectionA235</vt:lpwstr>
      </vt:variant>
      <vt:variant>
        <vt:i4>2883621</vt:i4>
      </vt:variant>
      <vt:variant>
        <vt:i4>1512</vt:i4>
      </vt:variant>
      <vt:variant>
        <vt:i4>0</vt:i4>
      </vt:variant>
      <vt:variant>
        <vt:i4>5</vt:i4>
      </vt:variant>
      <vt:variant>
        <vt:lpwstr/>
      </vt:variant>
      <vt:variant>
        <vt:lpwstr>sectionA237</vt:lpwstr>
      </vt:variant>
      <vt:variant>
        <vt:i4>2883621</vt:i4>
      </vt:variant>
      <vt:variant>
        <vt:i4>1509</vt:i4>
      </vt:variant>
      <vt:variant>
        <vt:i4>0</vt:i4>
      </vt:variant>
      <vt:variant>
        <vt:i4>5</vt:i4>
      </vt:variant>
      <vt:variant>
        <vt:lpwstr/>
      </vt:variant>
      <vt:variant>
        <vt:lpwstr>sectionA232</vt:lpwstr>
      </vt:variant>
      <vt:variant>
        <vt:i4>3735671</vt:i4>
      </vt:variant>
      <vt:variant>
        <vt:i4>1506</vt:i4>
      </vt:variant>
      <vt:variant>
        <vt:i4>0</vt:i4>
      </vt:variant>
      <vt:variant>
        <vt:i4>5</vt:i4>
      </vt:variant>
      <vt:variant>
        <vt:lpwstr/>
      </vt:variant>
      <vt:variant>
        <vt:lpwstr>annex2</vt:lpwstr>
      </vt:variant>
      <vt:variant>
        <vt:i4>2818085</vt:i4>
      </vt:variant>
      <vt:variant>
        <vt:i4>1503</vt:i4>
      </vt:variant>
      <vt:variant>
        <vt:i4>0</vt:i4>
      </vt:variant>
      <vt:variant>
        <vt:i4>5</vt:i4>
      </vt:variant>
      <vt:variant>
        <vt:lpwstr/>
      </vt:variant>
      <vt:variant>
        <vt:lpwstr>sectionA241</vt:lpwstr>
      </vt:variant>
      <vt:variant>
        <vt:i4>7864356</vt:i4>
      </vt:variant>
      <vt:variant>
        <vt:i4>1500</vt:i4>
      </vt:variant>
      <vt:variant>
        <vt:i4>0</vt:i4>
      </vt:variant>
      <vt:variant>
        <vt:i4>5</vt:i4>
      </vt:variant>
      <vt:variant>
        <vt:lpwstr/>
      </vt:variant>
      <vt:variant>
        <vt:lpwstr>section234</vt:lpwstr>
      </vt:variant>
      <vt:variant>
        <vt:i4>3735671</vt:i4>
      </vt:variant>
      <vt:variant>
        <vt:i4>1497</vt:i4>
      </vt:variant>
      <vt:variant>
        <vt:i4>0</vt:i4>
      </vt:variant>
      <vt:variant>
        <vt:i4>5</vt:i4>
      </vt:variant>
      <vt:variant>
        <vt:lpwstr/>
      </vt:variant>
      <vt:variant>
        <vt:lpwstr>annex2</vt:lpwstr>
      </vt:variant>
      <vt:variant>
        <vt:i4>2883621</vt:i4>
      </vt:variant>
      <vt:variant>
        <vt:i4>1494</vt:i4>
      </vt:variant>
      <vt:variant>
        <vt:i4>0</vt:i4>
      </vt:variant>
      <vt:variant>
        <vt:i4>5</vt:i4>
      </vt:variant>
      <vt:variant>
        <vt:lpwstr/>
      </vt:variant>
      <vt:variant>
        <vt:lpwstr>sectionA235</vt:lpwstr>
      </vt:variant>
      <vt:variant>
        <vt:i4>2883621</vt:i4>
      </vt:variant>
      <vt:variant>
        <vt:i4>1491</vt:i4>
      </vt:variant>
      <vt:variant>
        <vt:i4>0</vt:i4>
      </vt:variant>
      <vt:variant>
        <vt:i4>5</vt:i4>
      </vt:variant>
      <vt:variant>
        <vt:lpwstr/>
      </vt:variant>
      <vt:variant>
        <vt:lpwstr>sectionA232</vt:lpwstr>
      </vt:variant>
      <vt:variant>
        <vt:i4>2883621</vt:i4>
      </vt:variant>
      <vt:variant>
        <vt:i4>1488</vt:i4>
      </vt:variant>
      <vt:variant>
        <vt:i4>0</vt:i4>
      </vt:variant>
      <vt:variant>
        <vt:i4>5</vt:i4>
      </vt:variant>
      <vt:variant>
        <vt:lpwstr/>
      </vt:variant>
      <vt:variant>
        <vt:lpwstr>sectionA235</vt:lpwstr>
      </vt:variant>
      <vt:variant>
        <vt:i4>2883621</vt:i4>
      </vt:variant>
      <vt:variant>
        <vt:i4>1485</vt:i4>
      </vt:variant>
      <vt:variant>
        <vt:i4>0</vt:i4>
      </vt:variant>
      <vt:variant>
        <vt:i4>5</vt:i4>
      </vt:variant>
      <vt:variant>
        <vt:lpwstr/>
      </vt:variant>
      <vt:variant>
        <vt:lpwstr>sectionA237</vt:lpwstr>
      </vt:variant>
      <vt:variant>
        <vt:i4>2031667</vt:i4>
      </vt:variant>
      <vt:variant>
        <vt:i4>1482</vt:i4>
      </vt:variant>
      <vt:variant>
        <vt:i4>0</vt:i4>
      </vt:variant>
      <vt:variant>
        <vt:i4>5</vt:i4>
      </vt:variant>
      <vt:variant>
        <vt:lpwstr/>
      </vt:variant>
      <vt:variant>
        <vt:lpwstr>_Annex_2:_Land</vt:lpwstr>
      </vt:variant>
      <vt:variant>
        <vt:i4>458760</vt:i4>
      </vt:variant>
      <vt:variant>
        <vt:i4>1479</vt:i4>
      </vt:variant>
      <vt:variant>
        <vt:i4>0</vt:i4>
      </vt:variant>
      <vt:variant>
        <vt:i4>5</vt:i4>
      </vt:variant>
      <vt:variant>
        <vt:lpwstr/>
      </vt:variant>
      <vt:variant>
        <vt:lpwstr>ctftable3</vt:lpwstr>
      </vt:variant>
      <vt:variant>
        <vt:i4>458760</vt:i4>
      </vt:variant>
      <vt:variant>
        <vt:i4>1476</vt:i4>
      </vt:variant>
      <vt:variant>
        <vt:i4>0</vt:i4>
      </vt:variant>
      <vt:variant>
        <vt:i4>5</vt:i4>
      </vt:variant>
      <vt:variant>
        <vt:lpwstr/>
      </vt:variant>
      <vt:variant>
        <vt:lpwstr>ctftable4</vt:lpwstr>
      </vt:variant>
      <vt:variant>
        <vt:i4>8060963</vt:i4>
      </vt:variant>
      <vt:variant>
        <vt:i4>1473</vt:i4>
      </vt:variant>
      <vt:variant>
        <vt:i4>0</vt:i4>
      </vt:variant>
      <vt:variant>
        <vt:i4>5</vt:i4>
      </vt:variant>
      <vt:variant>
        <vt:lpwstr/>
      </vt:variant>
      <vt:variant>
        <vt:lpwstr>section2473</vt:lpwstr>
      </vt:variant>
      <vt:variant>
        <vt:i4>4980759</vt:i4>
      </vt:variant>
      <vt:variant>
        <vt:i4>1470</vt:i4>
      </vt:variant>
      <vt:variant>
        <vt:i4>0</vt:i4>
      </vt:variant>
      <vt:variant>
        <vt:i4>5</vt:i4>
      </vt:variant>
      <vt:variant>
        <vt:lpwstr/>
      </vt:variant>
      <vt:variant>
        <vt:lpwstr>section24</vt:lpwstr>
      </vt:variant>
      <vt:variant>
        <vt:i4>8060963</vt:i4>
      </vt:variant>
      <vt:variant>
        <vt:i4>1467</vt:i4>
      </vt:variant>
      <vt:variant>
        <vt:i4>0</vt:i4>
      </vt:variant>
      <vt:variant>
        <vt:i4>5</vt:i4>
      </vt:variant>
      <vt:variant>
        <vt:lpwstr/>
      </vt:variant>
      <vt:variant>
        <vt:lpwstr>section247</vt:lpwstr>
      </vt:variant>
      <vt:variant>
        <vt:i4>4980759</vt:i4>
      </vt:variant>
      <vt:variant>
        <vt:i4>1464</vt:i4>
      </vt:variant>
      <vt:variant>
        <vt:i4>0</vt:i4>
      </vt:variant>
      <vt:variant>
        <vt:i4>5</vt:i4>
      </vt:variant>
      <vt:variant>
        <vt:lpwstr/>
      </vt:variant>
      <vt:variant>
        <vt:lpwstr>section24</vt:lpwstr>
      </vt:variant>
      <vt:variant>
        <vt:i4>7602214</vt:i4>
      </vt:variant>
      <vt:variant>
        <vt:i4>1461</vt:i4>
      </vt:variant>
      <vt:variant>
        <vt:i4>0</vt:i4>
      </vt:variant>
      <vt:variant>
        <vt:i4>5</vt:i4>
      </vt:variant>
      <vt:variant>
        <vt:lpwstr/>
      </vt:variant>
      <vt:variant>
        <vt:lpwstr>section218</vt:lpwstr>
      </vt:variant>
      <vt:variant>
        <vt:i4>3735671</vt:i4>
      </vt:variant>
      <vt:variant>
        <vt:i4>1458</vt:i4>
      </vt:variant>
      <vt:variant>
        <vt:i4>0</vt:i4>
      </vt:variant>
      <vt:variant>
        <vt:i4>5</vt:i4>
      </vt:variant>
      <vt:variant>
        <vt:lpwstr/>
      </vt:variant>
      <vt:variant>
        <vt:lpwstr>annex2</vt:lpwstr>
      </vt:variant>
      <vt:variant>
        <vt:i4>4980759</vt:i4>
      </vt:variant>
      <vt:variant>
        <vt:i4>1455</vt:i4>
      </vt:variant>
      <vt:variant>
        <vt:i4>0</vt:i4>
      </vt:variant>
      <vt:variant>
        <vt:i4>5</vt:i4>
      </vt:variant>
      <vt:variant>
        <vt:lpwstr/>
      </vt:variant>
      <vt:variant>
        <vt:lpwstr>section23</vt:lpwstr>
      </vt:variant>
      <vt:variant>
        <vt:i4>6553668</vt:i4>
      </vt:variant>
      <vt:variant>
        <vt:i4>1452</vt:i4>
      </vt:variant>
      <vt:variant>
        <vt:i4>0</vt:i4>
      </vt:variant>
      <vt:variant>
        <vt:i4>5</vt:i4>
      </vt:variant>
      <vt:variant>
        <vt:lpwstr/>
      </vt:variant>
      <vt:variant>
        <vt:lpwstr>_New_Zealand_Emissions</vt:lpwstr>
      </vt:variant>
      <vt:variant>
        <vt:i4>655426</vt:i4>
      </vt:variant>
      <vt:variant>
        <vt:i4>1449</vt:i4>
      </vt:variant>
      <vt:variant>
        <vt:i4>0</vt:i4>
      </vt:variant>
      <vt:variant>
        <vt:i4>5</vt:i4>
      </vt:variant>
      <vt:variant>
        <vt:lpwstr/>
      </vt:variant>
      <vt:variant>
        <vt:lpwstr>s2185</vt:lpwstr>
      </vt:variant>
      <vt:variant>
        <vt:i4>2686992</vt:i4>
      </vt:variant>
      <vt:variant>
        <vt:i4>1446</vt:i4>
      </vt:variant>
      <vt:variant>
        <vt:i4>0</vt:i4>
      </vt:variant>
      <vt:variant>
        <vt:i4>5</vt:i4>
      </vt:variant>
      <vt:variant>
        <vt:lpwstr/>
      </vt:variant>
      <vt:variant>
        <vt:lpwstr>_Role_of_Climate</vt:lpwstr>
      </vt:variant>
      <vt:variant>
        <vt:i4>3735580</vt:i4>
      </vt:variant>
      <vt:variant>
        <vt:i4>1443</vt:i4>
      </vt:variant>
      <vt:variant>
        <vt:i4>0</vt:i4>
      </vt:variant>
      <vt:variant>
        <vt:i4>5</vt:i4>
      </vt:variant>
      <vt:variant>
        <vt:lpwstr/>
      </vt:variant>
      <vt:variant>
        <vt:lpwstr>_Climate_Change_Chief</vt:lpwstr>
      </vt:variant>
      <vt:variant>
        <vt:i4>4718657</vt:i4>
      </vt:variant>
      <vt:variant>
        <vt:i4>1440</vt:i4>
      </vt:variant>
      <vt:variant>
        <vt:i4>0</vt:i4>
      </vt:variant>
      <vt:variant>
        <vt:i4>5</vt:i4>
      </vt:variant>
      <vt:variant>
        <vt:lpwstr/>
      </vt:variant>
      <vt:variant>
        <vt:lpwstr>figure219</vt:lpwstr>
      </vt:variant>
      <vt:variant>
        <vt:i4>4718657</vt:i4>
      </vt:variant>
      <vt:variant>
        <vt:i4>1437</vt:i4>
      </vt:variant>
      <vt:variant>
        <vt:i4>0</vt:i4>
      </vt:variant>
      <vt:variant>
        <vt:i4>5</vt:i4>
      </vt:variant>
      <vt:variant>
        <vt:lpwstr/>
      </vt:variant>
      <vt:variant>
        <vt:lpwstr>figure218</vt:lpwstr>
      </vt:variant>
      <vt:variant>
        <vt:i4>5308435</vt:i4>
      </vt:variant>
      <vt:variant>
        <vt:i4>1434</vt:i4>
      </vt:variant>
      <vt:variant>
        <vt:i4>0</vt:i4>
      </vt:variant>
      <vt:variant>
        <vt:i4>5</vt:i4>
      </vt:variant>
      <vt:variant>
        <vt:lpwstr>https://environment.govt.nz/facts-and-science/waste/download-waste-data/</vt:lpwstr>
      </vt:variant>
      <vt:variant>
        <vt:lpwstr/>
      </vt:variant>
      <vt:variant>
        <vt:i4>4718657</vt:i4>
      </vt:variant>
      <vt:variant>
        <vt:i4>1431</vt:i4>
      </vt:variant>
      <vt:variant>
        <vt:i4>0</vt:i4>
      </vt:variant>
      <vt:variant>
        <vt:i4>5</vt:i4>
      </vt:variant>
      <vt:variant>
        <vt:lpwstr/>
      </vt:variant>
      <vt:variant>
        <vt:lpwstr>figure217</vt:lpwstr>
      </vt:variant>
      <vt:variant>
        <vt:i4>4718657</vt:i4>
      </vt:variant>
      <vt:variant>
        <vt:i4>1428</vt:i4>
      </vt:variant>
      <vt:variant>
        <vt:i4>0</vt:i4>
      </vt:variant>
      <vt:variant>
        <vt:i4>5</vt:i4>
      </vt:variant>
      <vt:variant>
        <vt:lpwstr/>
      </vt:variant>
      <vt:variant>
        <vt:lpwstr>figure216</vt:lpwstr>
      </vt:variant>
      <vt:variant>
        <vt:i4>4718657</vt:i4>
      </vt:variant>
      <vt:variant>
        <vt:i4>1425</vt:i4>
      </vt:variant>
      <vt:variant>
        <vt:i4>0</vt:i4>
      </vt:variant>
      <vt:variant>
        <vt:i4>5</vt:i4>
      </vt:variant>
      <vt:variant>
        <vt:lpwstr/>
      </vt:variant>
      <vt:variant>
        <vt:lpwstr>figure215</vt:lpwstr>
      </vt:variant>
      <vt:variant>
        <vt:i4>4718657</vt:i4>
      </vt:variant>
      <vt:variant>
        <vt:i4>1422</vt:i4>
      </vt:variant>
      <vt:variant>
        <vt:i4>0</vt:i4>
      </vt:variant>
      <vt:variant>
        <vt:i4>5</vt:i4>
      </vt:variant>
      <vt:variant>
        <vt:lpwstr/>
      </vt:variant>
      <vt:variant>
        <vt:lpwstr>figure214</vt:lpwstr>
      </vt:variant>
      <vt:variant>
        <vt:i4>2621474</vt:i4>
      </vt:variant>
      <vt:variant>
        <vt:i4>1419</vt:i4>
      </vt:variant>
      <vt:variant>
        <vt:i4>0</vt:i4>
      </vt:variant>
      <vt:variant>
        <vt:i4>5</vt:i4>
      </vt:variant>
      <vt:variant>
        <vt:lpwstr>https://www.mbie.govt.nz/building-and-energy/energy-and-natural-resources/energy-statistics-and-modelling/energy-statistics/new-zealand-energy-sector-greenhouse-gas-emissions</vt:lpwstr>
      </vt:variant>
      <vt:variant>
        <vt:lpwstr/>
      </vt:variant>
      <vt:variant>
        <vt:i4>2818149</vt:i4>
      </vt:variant>
      <vt:variant>
        <vt:i4>1416</vt:i4>
      </vt:variant>
      <vt:variant>
        <vt:i4>0</vt:i4>
      </vt:variant>
      <vt:variant>
        <vt:i4>5</vt:i4>
      </vt:variant>
      <vt:variant>
        <vt:lpwstr>https://www.mbie.govt.nz/building-and-energy/energy-and-natural-resources/energy-statistics-and-modelling/energy-statistics/electricity-statistics</vt:lpwstr>
      </vt:variant>
      <vt:variant>
        <vt:lpwstr/>
      </vt:variant>
      <vt:variant>
        <vt:i4>6619160</vt:i4>
      </vt:variant>
      <vt:variant>
        <vt:i4>1413</vt:i4>
      </vt:variant>
      <vt:variant>
        <vt:i4>0</vt:i4>
      </vt:variant>
      <vt:variant>
        <vt:i4>5</vt:i4>
      </vt:variant>
      <vt:variant>
        <vt:lpwstr/>
      </vt:variant>
      <vt:variant>
        <vt:lpwstr>_Impacts,_risks_and</vt:lpwstr>
      </vt:variant>
      <vt:variant>
        <vt:i4>3670130</vt:i4>
      </vt:variant>
      <vt:variant>
        <vt:i4>1410</vt:i4>
      </vt:variant>
      <vt:variant>
        <vt:i4>0</vt:i4>
      </vt:variant>
      <vt:variant>
        <vt:i4>5</vt:i4>
      </vt:variant>
      <vt:variant>
        <vt:lpwstr>https://www.stats.govt.nz/information-releases/tourism-satellite-account-year-ended-march-2023/</vt:lpwstr>
      </vt:variant>
      <vt:variant>
        <vt:lpwstr/>
      </vt:variant>
      <vt:variant>
        <vt:i4>3735580</vt:i4>
      </vt:variant>
      <vt:variant>
        <vt:i4>1407</vt:i4>
      </vt:variant>
      <vt:variant>
        <vt:i4>0</vt:i4>
      </vt:variant>
      <vt:variant>
        <vt:i4>5</vt:i4>
      </vt:variant>
      <vt:variant>
        <vt:lpwstr/>
      </vt:variant>
      <vt:variant>
        <vt:lpwstr>_Climate_Change_Chief</vt:lpwstr>
      </vt:variant>
      <vt:variant>
        <vt:i4>5046338</vt:i4>
      </vt:variant>
      <vt:variant>
        <vt:i4>1401</vt:i4>
      </vt:variant>
      <vt:variant>
        <vt:i4>0</vt:i4>
      </vt:variant>
      <vt:variant>
        <vt:i4>5</vt:i4>
      </vt:variant>
      <vt:variant>
        <vt:lpwstr/>
      </vt:variant>
      <vt:variant>
        <vt:lpwstr>figure14</vt:lpwstr>
      </vt:variant>
      <vt:variant>
        <vt:i4>4849730</vt:i4>
      </vt:variant>
      <vt:variant>
        <vt:i4>1389</vt:i4>
      </vt:variant>
      <vt:variant>
        <vt:i4>0</vt:i4>
      </vt:variant>
      <vt:variant>
        <vt:i4>5</vt:i4>
      </vt:variant>
      <vt:variant>
        <vt:lpwstr/>
      </vt:variant>
      <vt:variant>
        <vt:lpwstr>figure13</vt:lpwstr>
      </vt:variant>
      <vt:variant>
        <vt:i4>3932275</vt:i4>
      </vt:variant>
      <vt:variant>
        <vt:i4>1386</vt:i4>
      </vt:variant>
      <vt:variant>
        <vt:i4>0</vt:i4>
      </vt:variant>
      <vt:variant>
        <vt:i4>5</vt:i4>
      </vt:variant>
      <vt:variant>
        <vt:lpwstr/>
      </vt:variant>
      <vt:variant>
        <vt:lpwstr>table12</vt:lpwstr>
      </vt:variant>
      <vt:variant>
        <vt:i4>1245234</vt:i4>
      </vt:variant>
      <vt:variant>
        <vt:i4>1373</vt:i4>
      </vt:variant>
      <vt:variant>
        <vt:i4>0</vt:i4>
      </vt:variant>
      <vt:variant>
        <vt:i4>5</vt:i4>
      </vt:variant>
      <vt:variant>
        <vt:lpwstr/>
      </vt:variant>
      <vt:variant>
        <vt:lpwstr>_Toc185347283</vt:lpwstr>
      </vt:variant>
      <vt:variant>
        <vt:i4>1245234</vt:i4>
      </vt:variant>
      <vt:variant>
        <vt:i4>1367</vt:i4>
      </vt:variant>
      <vt:variant>
        <vt:i4>0</vt:i4>
      </vt:variant>
      <vt:variant>
        <vt:i4>5</vt:i4>
      </vt:variant>
      <vt:variant>
        <vt:lpwstr/>
      </vt:variant>
      <vt:variant>
        <vt:lpwstr>_Toc185347282</vt:lpwstr>
      </vt:variant>
      <vt:variant>
        <vt:i4>1245234</vt:i4>
      </vt:variant>
      <vt:variant>
        <vt:i4>1361</vt:i4>
      </vt:variant>
      <vt:variant>
        <vt:i4>0</vt:i4>
      </vt:variant>
      <vt:variant>
        <vt:i4>5</vt:i4>
      </vt:variant>
      <vt:variant>
        <vt:lpwstr/>
      </vt:variant>
      <vt:variant>
        <vt:lpwstr>_Toc185347281</vt:lpwstr>
      </vt:variant>
      <vt:variant>
        <vt:i4>1245234</vt:i4>
      </vt:variant>
      <vt:variant>
        <vt:i4>1355</vt:i4>
      </vt:variant>
      <vt:variant>
        <vt:i4>0</vt:i4>
      </vt:variant>
      <vt:variant>
        <vt:i4>5</vt:i4>
      </vt:variant>
      <vt:variant>
        <vt:lpwstr/>
      </vt:variant>
      <vt:variant>
        <vt:lpwstr>_Toc185347280</vt:lpwstr>
      </vt:variant>
      <vt:variant>
        <vt:i4>1835058</vt:i4>
      </vt:variant>
      <vt:variant>
        <vt:i4>1349</vt:i4>
      </vt:variant>
      <vt:variant>
        <vt:i4>0</vt:i4>
      </vt:variant>
      <vt:variant>
        <vt:i4>5</vt:i4>
      </vt:variant>
      <vt:variant>
        <vt:lpwstr/>
      </vt:variant>
      <vt:variant>
        <vt:lpwstr>_Toc185347279</vt:lpwstr>
      </vt:variant>
      <vt:variant>
        <vt:i4>1835058</vt:i4>
      </vt:variant>
      <vt:variant>
        <vt:i4>1343</vt:i4>
      </vt:variant>
      <vt:variant>
        <vt:i4>0</vt:i4>
      </vt:variant>
      <vt:variant>
        <vt:i4>5</vt:i4>
      </vt:variant>
      <vt:variant>
        <vt:lpwstr/>
      </vt:variant>
      <vt:variant>
        <vt:lpwstr>_Toc185347278</vt:lpwstr>
      </vt:variant>
      <vt:variant>
        <vt:i4>1835058</vt:i4>
      </vt:variant>
      <vt:variant>
        <vt:i4>1337</vt:i4>
      </vt:variant>
      <vt:variant>
        <vt:i4>0</vt:i4>
      </vt:variant>
      <vt:variant>
        <vt:i4>5</vt:i4>
      </vt:variant>
      <vt:variant>
        <vt:lpwstr/>
      </vt:variant>
      <vt:variant>
        <vt:lpwstr>_Toc185347277</vt:lpwstr>
      </vt:variant>
      <vt:variant>
        <vt:i4>1835058</vt:i4>
      </vt:variant>
      <vt:variant>
        <vt:i4>1331</vt:i4>
      </vt:variant>
      <vt:variant>
        <vt:i4>0</vt:i4>
      </vt:variant>
      <vt:variant>
        <vt:i4>5</vt:i4>
      </vt:variant>
      <vt:variant>
        <vt:lpwstr/>
      </vt:variant>
      <vt:variant>
        <vt:lpwstr>_Toc185347276</vt:lpwstr>
      </vt:variant>
      <vt:variant>
        <vt:i4>1835058</vt:i4>
      </vt:variant>
      <vt:variant>
        <vt:i4>1325</vt:i4>
      </vt:variant>
      <vt:variant>
        <vt:i4>0</vt:i4>
      </vt:variant>
      <vt:variant>
        <vt:i4>5</vt:i4>
      </vt:variant>
      <vt:variant>
        <vt:lpwstr/>
      </vt:variant>
      <vt:variant>
        <vt:lpwstr>_Toc185347275</vt:lpwstr>
      </vt:variant>
      <vt:variant>
        <vt:i4>1835058</vt:i4>
      </vt:variant>
      <vt:variant>
        <vt:i4>1319</vt:i4>
      </vt:variant>
      <vt:variant>
        <vt:i4>0</vt:i4>
      </vt:variant>
      <vt:variant>
        <vt:i4>5</vt:i4>
      </vt:variant>
      <vt:variant>
        <vt:lpwstr/>
      </vt:variant>
      <vt:variant>
        <vt:lpwstr>_Toc185347274</vt:lpwstr>
      </vt:variant>
      <vt:variant>
        <vt:i4>1835058</vt:i4>
      </vt:variant>
      <vt:variant>
        <vt:i4>1313</vt:i4>
      </vt:variant>
      <vt:variant>
        <vt:i4>0</vt:i4>
      </vt:variant>
      <vt:variant>
        <vt:i4>5</vt:i4>
      </vt:variant>
      <vt:variant>
        <vt:lpwstr/>
      </vt:variant>
      <vt:variant>
        <vt:lpwstr>_Toc185347273</vt:lpwstr>
      </vt:variant>
      <vt:variant>
        <vt:i4>1835058</vt:i4>
      </vt:variant>
      <vt:variant>
        <vt:i4>1307</vt:i4>
      </vt:variant>
      <vt:variant>
        <vt:i4>0</vt:i4>
      </vt:variant>
      <vt:variant>
        <vt:i4>5</vt:i4>
      </vt:variant>
      <vt:variant>
        <vt:lpwstr/>
      </vt:variant>
      <vt:variant>
        <vt:lpwstr>_Toc185347272</vt:lpwstr>
      </vt:variant>
      <vt:variant>
        <vt:i4>1835058</vt:i4>
      </vt:variant>
      <vt:variant>
        <vt:i4>1301</vt:i4>
      </vt:variant>
      <vt:variant>
        <vt:i4>0</vt:i4>
      </vt:variant>
      <vt:variant>
        <vt:i4>5</vt:i4>
      </vt:variant>
      <vt:variant>
        <vt:lpwstr/>
      </vt:variant>
      <vt:variant>
        <vt:lpwstr>_Toc185347271</vt:lpwstr>
      </vt:variant>
      <vt:variant>
        <vt:i4>1835058</vt:i4>
      </vt:variant>
      <vt:variant>
        <vt:i4>1295</vt:i4>
      </vt:variant>
      <vt:variant>
        <vt:i4>0</vt:i4>
      </vt:variant>
      <vt:variant>
        <vt:i4>5</vt:i4>
      </vt:variant>
      <vt:variant>
        <vt:lpwstr/>
      </vt:variant>
      <vt:variant>
        <vt:lpwstr>_Toc185347270</vt:lpwstr>
      </vt:variant>
      <vt:variant>
        <vt:i4>1900594</vt:i4>
      </vt:variant>
      <vt:variant>
        <vt:i4>1289</vt:i4>
      </vt:variant>
      <vt:variant>
        <vt:i4>0</vt:i4>
      </vt:variant>
      <vt:variant>
        <vt:i4>5</vt:i4>
      </vt:variant>
      <vt:variant>
        <vt:lpwstr/>
      </vt:variant>
      <vt:variant>
        <vt:lpwstr>_Toc185347269</vt:lpwstr>
      </vt:variant>
      <vt:variant>
        <vt:i4>1900594</vt:i4>
      </vt:variant>
      <vt:variant>
        <vt:i4>1283</vt:i4>
      </vt:variant>
      <vt:variant>
        <vt:i4>0</vt:i4>
      </vt:variant>
      <vt:variant>
        <vt:i4>5</vt:i4>
      </vt:variant>
      <vt:variant>
        <vt:lpwstr/>
      </vt:variant>
      <vt:variant>
        <vt:lpwstr>_Toc185347268</vt:lpwstr>
      </vt:variant>
      <vt:variant>
        <vt:i4>1900594</vt:i4>
      </vt:variant>
      <vt:variant>
        <vt:i4>1277</vt:i4>
      </vt:variant>
      <vt:variant>
        <vt:i4>0</vt:i4>
      </vt:variant>
      <vt:variant>
        <vt:i4>5</vt:i4>
      </vt:variant>
      <vt:variant>
        <vt:lpwstr/>
      </vt:variant>
      <vt:variant>
        <vt:lpwstr>_Toc185347267</vt:lpwstr>
      </vt:variant>
      <vt:variant>
        <vt:i4>1900594</vt:i4>
      </vt:variant>
      <vt:variant>
        <vt:i4>1271</vt:i4>
      </vt:variant>
      <vt:variant>
        <vt:i4>0</vt:i4>
      </vt:variant>
      <vt:variant>
        <vt:i4>5</vt:i4>
      </vt:variant>
      <vt:variant>
        <vt:lpwstr/>
      </vt:variant>
      <vt:variant>
        <vt:lpwstr>_Toc185347266</vt:lpwstr>
      </vt:variant>
      <vt:variant>
        <vt:i4>1900594</vt:i4>
      </vt:variant>
      <vt:variant>
        <vt:i4>1265</vt:i4>
      </vt:variant>
      <vt:variant>
        <vt:i4>0</vt:i4>
      </vt:variant>
      <vt:variant>
        <vt:i4>5</vt:i4>
      </vt:variant>
      <vt:variant>
        <vt:lpwstr/>
      </vt:variant>
      <vt:variant>
        <vt:lpwstr>_Toc185347265</vt:lpwstr>
      </vt:variant>
      <vt:variant>
        <vt:i4>1900594</vt:i4>
      </vt:variant>
      <vt:variant>
        <vt:i4>1259</vt:i4>
      </vt:variant>
      <vt:variant>
        <vt:i4>0</vt:i4>
      </vt:variant>
      <vt:variant>
        <vt:i4>5</vt:i4>
      </vt:variant>
      <vt:variant>
        <vt:lpwstr/>
      </vt:variant>
      <vt:variant>
        <vt:lpwstr>_Toc185347264</vt:lpwstr>
      </vt:variant>
      <vt:variant>
        <vt:i4>1900594</vt:i4>
      </vt:variant>
      <vt:variant>
        <vt:i4>1253</vt:i4>
      </vt:variant>
      <vt:variant>
        <vt:i4>0</vt:i4>
      </vt:variant>
      <vt:variant>
        <vt:i4>5</vt:i4>
      </vt:variant>
      <vt:variant>
        <vt:lpwstr/>
      </vt:variant>
      <vt:variant>
        <vt:lpwstr>_Toc185347263</vt:lpwstr>
      </vt:variant>
      <vt:variant>
        <vt:i4>1900594</vt:i4>
      </vt:variant>
      <vt:variant>
        <vt:i4>1247</vt:i4>
      </vt:variant>
      <vt:variant>
        <vt:i4>0</vt:i4>
      </vt:variant>
      <vt:variant>
        <vt:i4>5</vt:i4>
      </vt:variant>
      <vt:variant>
        <vt:lpwstr/>
      </vt:variant>
      <vt:variant>
        <vt:lpwstr>_Toc185347262</vt:lpwstr>
      </vt:variant>
      <vt:variant>
        <vt:i4>1900594</vt:i4>
      </vt:variant>
      <vt:variant>
        <vt:i4>1241</vt:i4>
      </vt:variant>
      <vt:variant>
        <vt:i4>0</vt:i4>
      </vt:variant>
      <vt:variant>
        <vt:i4>5</vt:i4>
      </vt:variant>
      <vt:variant>
        <vt:lpwstr/>
      </vt:variant>
      <vt:variant>
        <vt:lpwstr>_Toc185347261</vt:lpwstr>
      </vt:variant>
      <vt:variant>
        <vt:i4>1900594</vt:i4>
      </vt:variant>
      <vt:variant>
        <vt:i4>1235</vt:i4>
      </vt:variant>
      <vt:variant>
        <vt:i4>0</vt:i4>
      </vt:variant>
      <vt:variant>
        <vt:i4>5</vt:i4>
      </vt:variant>
      <vt:variant>
        <vt:lpwstr/>
      </vt:variant>
      <vt:variant>
        <vt:lpwstr>_Toc185347260</vt:lpwstr>
      </vt:variant>
      <vt:variant>
        <vt:i4>1966130</vt:i4>
      </vt:variant>
      <vt:variant>
        <vt:i4>1229</vt:i4>
      </vt:variant>
      <vt:variant>
        <vt:i4>0</vt:i4>
      </vt:variant>
      <vt:variant>
        <vt:i4>5</vt:i4>
      </vt:variant>
      <vt:variant>
        <vt:lpwstr/>
      </vt:variant>
      <vt:variant>
        <vt:lpwstr>_Toc185347259</vt:lpwstr>
      </vt:variant>
      <vt:variant>
        <vt:i4>1966130</vt:i4>
      </vt:variant>
      <vt:variant>
        <vt:i4>1223</vt:i4>
      </vt:variant>
      <vt:variant>
        <vt:i4>0</vt:i4>
      </vt:variant>
      <vt:variant>
        <vt:i4>5</vt:i4>
      </vt:variant>
      <vt:variant>
        <vt:lpwstr/>
      </vt:variant>
      <vt:variant>
        <vt:lpwstr>_Toc185347258</vt:lpwstr>
      </vt:variant>
      <vt:variant>
        <vt:i4>1966130</vt:i4>
      </vt:variant>
      <vt:variant>
        <vt:i4>1217</vt:i4>
      </vt:variant>
      <vt:variant>
        <vt:i4>0</vt:i4>
      </vt:variant>
      <vt:variant>
        <vt:i4>5</vt:i4>
      </vt:variant>
      <vt:variant>
        <vt:lpwstr/>
      </vt:variant>
      <vt:variant>
        <vt:lpwstr>_Toc185347257</vt:lpwstr>
      </vt:variant>
      <vt:variant>
        <vt:i4>1966130</vt:i4>
      </vt:variant>
      <vt:variant>
        <vt:i4>1211</vt:i4>
      </vt:variant>
      <vt:variant>
        <vt:i4>0</vt:i4>
      </vt:variant>
      <vt:variant>
        <vt:i4>5</vt:i4>
      </vt:variant>
      <vt:variant>
        <vt:lpwstr/>
      </vt:variant>
      <vt:variant>
        <vt:lpwstr>_Toc185347256</vt:lpwstr>
      </vt:variant>
      <vt:variant>
        <vt:i4>1966130</vt:i4>
      </vt:variant>
      <vt:variant>
        <vt:i4>1205</vt:i4>
      </vt:variant>
      <vt:variant>
        <vt:i4>0</vt:i4>
      </vt:variant>
      <vt:variant>
        <vt:i4>5</vt:i4>
      </vt:variant>
      <vt:variant>
        <vt:lpwstr/>
      </vt:variant>
      <vt:variant>
        <vt:lpwstr>_Toc185347255</vt:lpwstr>
      </vt:variant>
      <vt:variant>
        <vt:i4>1966130</vt:i4>
      </vt:variant>
      <vt:variant>
        <vt:i4>1199</vt:i4>
      </vt:variant>
      <vt:variant>
        <vt:i4>0</vt:i4>
      </vt:variant>
      <vt:variant>
        <vt:i4>5</vt:i4>
      </vt:variant>
      <vt:variant>
        <vt:lpwstr/>
      </vt:variant>
      <vt:variant>
        <vt:lpwstr>_Toc185347254</vt:lpwstr>
      </vt:variant>
      <vt:variant>
        <vt:i4>1966130</vt:i4>
      </vt:variant>
      <vt:variant>
        <vt:i4>1193</vt:i4>
      </vt:variant>
      <vt:variant>
        <vt:i4>0</vt:i4>
      </vt:variant>
      <vt:variant>
        <vt:i4>5</vt:i4>
      </vt:variant>
      <vt:variant>
        <vt:lpwstr/>
      </vt:variant>
      <vt:variant>
        <vt:lpwstr>_Toc185347253</vt:lpwstr>
      </vt:variant>
      <vt:variant>
        <vt:i4>1966130</vt:i4>
      </vt:variant>
      <vt:variant>
        <vt:i4>1187</vt:i4>
      </vt:variant>
      <vt:variant>
        <vt:i4>0</vt:i4>
      </vt:variant>
      <vt:variant>
        <vt:i4>5</vt:i4>
      </vt:variant>
      <vt:variant>
        <vt:lpwstr/>
      </vt:variant>
      <vt:variant>
        <vt:lpwstr>_Toc185347252</vt:lpwstr>
      </vt:variant>
      <vt:variant>
        <vt:i4>1966130</vt:i4>
      </vt:variant>
      <vt:variant>
        <vt:i4>1181</vt:i4>
      </vt:variant>
      <vt:variant>
        <vt:i4>0</vt:i4>
      </vt:variant>
      <vt:variant>
        <vt:i4>5</vt:i4>
      </vt:variant>
      <vt:variant>
        <vt:lpwstr/>
      </vt:variant>
      <vt:variant>
        <vt:lpwstr>_Toc185347251</vt:lpwstr>
      </vt:variant>
      <vt:variant>
        <vt:i4>1966130</vt:i4>
      </vt:variant>
      <vt:variant>
        <vt:i4>1175</vt:i4>
      </vt:variant>
      <vt:variant>
        <vt:i4>0</vt:i4>
      </vt:variant>
      <vt:variant>
        <vt:i4>5</vt:i4>
      </vt:variant>
      <vt:variant>
        <vt:lpwstr/>
      </vt:variant>
      <vt:variant>
        <vt:lpwstr>_Toc185347250</vt:lpwstr>
      </vt:variant>
      <vt:variant>
        <vt:i4>2031666</vt:i4>
      </vt:variant>
      <vt:variant>
        <vt:i4>1169</vt:i4>
      </vt:variant>
      <vt:variant>
        <vt:i4>0</vt:i4>
      </vt:variant>
      <vt:variant>
        <vt:i4>5</vt:i4>
      </vt:variant>
      <vt:variant>
        <vt:lpwstr/>
      </vt:variant>
      <vt:variant>
        <vt:lpwstr>_Toc185347249</vt:lpwstr>
      </vt:variant>
      <vt:variant>
        <vt:i4>2031666</vt:i4>
      </vt:variant>
      <vt:variant>
        <vt:i4>1163</vt:i4>
      </vt:variant>
      <vt:variant>
        <vt:i4>0</vt:i4>
      </vt:variant>
      <vt:variant>
        <vt:i4>5</vt:i4>
      </vt:variant>
      <vt:variant>
        <vt:lpwstr/>
      </vt:variant>
      <vt:variant>
        <vt:lpwstr>_Toc185347248</vt:lpwstr>
      </vt:variant>
      <vt:variant>
        <vt:i4>2031666</vt:i4>
      </vt:variant>
      <vt:variant>
        <vt:i4>1157</vt:i4>
      </vt:variant>
      <vt:variant>
        <vt:i4>0</vt:i4>
      </vt:variant>
      <vt:variant>
        <vt:i4>5</vt:i4>
      </vt:variant>
      <vt:variant>
        <vt:lpwstr/>
      </vt:variant>
      <vt:variant>
        <vt:lpwstr>_Toc185347247</vt:lpwstr>
      </vt:variant>
      <vt:variant>
        <vt:i4>2031666</vt:i4>
      </vt:variant>
      <vt:variant>
        <vt:i4>1151</vt:i4>
      </vt:variant>
      <vt:variant>
        <vt:i4>0</vt:i4>
      </vt:variant>
      <vt:variant>
        <vt:i4>5</vt:i4>
      </vt:variant>
      <vt:variant>
        <vt:lpwstr/>
      </vt:variant>
      <vt:variant>
        <vt:lpwstr>_Toc185347246</vt:lpwstr>
      </vt:variant>
      <vt:variant>
        <vt:i4>2031666</vt:i4>
      </vt:variant>
      <vt:variant>
        <vt:i4>1145</vt:i4>
      </vt:variant>
      <vt:variant>
        <vt:i4>0</vt:i4>
      </vt:variant>
      <vt:variant>
        <vt:i4>5</vt:i4>
      </vt:variant>
      <vt:variant>
        <vt:lpwstr/>
      </vt:variant>
      <vt:variant>
        <vt:lpwstr>_Toc185347245</vt:lpwstr>
      </vt:variant>
      <vt:variant>
        <vt:i4>2031666</vt:i4>
      </vt:variant>
      <vt:variant>
        <vt:i4>1139</vt:i4>
      </vt:variant>
      <vt:variant>
        <vt:i4>0</vt:i4>
      </vt:variant>
      <vt:variant>
        <vt:i4>5</vt:i4>
      </vt:variant>
      <vt:variant>
        <vt:lpwstr/>
      </vt:variant>
      <vt:variant>
        <vt:lpwstr>_Toc185347244</vt:lpwstr>
      </vt:variant>
      <vt:variant>
        <vt:i4>2031666</vt:i4>
      </vt:variant>
      <vt:variant>
        <vt:i4>1133</vt:i4>
      </vt:variant>
      <vt:variant>
        <vt:i4>0</vt:i4>
      </vt:variant>
      <vt:variant>
        <vt:i4>5</vt:i4>
      </vt:variant>
      <vt:variant>
        <vt:lpwstr/>
      </vt:variant>
      <vt:variant>
        <vt:lpwstr>_Toc185347243</vt:lpwstr>
      </vt:variant>
      <vt:variant>
        <vt:i4>2031666</vt:i4>
      </vt:variant>
      <vt:variant>
        <vt:i4>1127</vt:i4>
      </vt:variant>
      <vt:variant>
        <vt:i4>0</vt:i4>
      </vt:variant>
      <vt:variant>
        <vt:i4>5</vt:i4>
      </vt:variant>
      <vt:variant>
        <vt:lpwstr/>
      </vt:variant>
      <vt:variant>
        <vt:lpwstr>_Toc185347242</vt:lpwstr>
      </vt:variant>
      <vt:variant>
        <vt:i4>2031666</vt:i4>
      </vt:variant>
      <vt:variant>
        <vt:i4>1121</vt:i4>
      </vt:variant>
      <vt:variant>
        <vt:i4>0</vt:i4>
      </vt:variant>
      <vt:variant>
        <vt:i4>5</vt:i4>
      </vt:variant>
      <vt:variant>
        <vt:lpwstr/>
      </vt:variant>
      <vt:variant>
        <vt:lpwstr>_Toc185347241</vt:lpwstr>
      </vt:variant>
      <vt:variant>
        <vt:i4>2031666</vt:i4>
      </vt:variant>
      <vt:variant>
        <vt:i4>1115</vt:i4>
      </vt:variant>
      <vt:variant>
        <vt:i4>0</vt:i4>
      </vt:variant>
      <vt:variant>
        <vt:i4>5</vt:i4>
      </vt:variant>
      <vt:variant>
        <vt:lpwstr/>
      </vt:variant>
      <vt:variant>
        <vt:lpwstr>_Toc185347240</vt:lpwstr>
      </vt:variant>
      <vt:variant>
        <vt:i4>1572914</vt:i4>
      </vt:variant>
      <vt:variant>
        <vt:i4>1109</vt:i4>
      </vt:variant>
      <vt:variant>
        <vt:i4>0</vt:i4>
      </vt:variant>
      <vt:variant>
        <vt:i4>5</vt:i4>
      </vt:variant>
      <vt:variant>
        <vt:lpwstr/>
      </vt:variant>
      <vt:variant>
        <vt:lpwstr>_Toc185347239</vt:lpwstr>
      </vt:variant>
      <vt:variant>
        <vt:i4>1572914</vt:i4>
      </vt:variant>
      <vt:variant>
        <vt:i4>1103</vt:i4>
      </vt:variant>
      <vt:variant>
        <vt:i4>0</vt:i4>
      </vt:variant>
      <vt:variant>
        <vt:i4>5</vt:i4>
      </vt:variant>
      <vt:variant>
        <vt:lpwstr/>
      </vt:variant>
      <vt:variant>
        <vt:lpwstr>_Toc185347238</vt:lpwstr>
      </vt:variant>
      <vt:variant>
        <vt:i4>1572914</vt:i4>
      </vt:variant>
      <vt:variant>
        <vt:i4>1097</vt:i4>
      </vt:variant>
      <vt:variant>
        <vt:i4>0</vt:i4>
      </vt:variant>
      <vt:variant>
        <vt:i4>5</vt:i4>
      </vt:variant>
      <vt:variant>
        <vt:lpwstr/>
      </vt:variant>
      <vt:variant>
        <vt:lpwstr>_Toc185347237</vt:lpwstr>
      </vt:variant>
      <vt:variant>
        <vt:i4>1572914</vt:i4>
      </vt:variant>
      <vt:variant>
        <vt:i4>1091</vt:i4>
      </vt:variant>
      <vt:variant>
        <vt:i4>0</vt:i4>
      </vt:variant>
      <vt:variant>
        <vt:i4>5</vt:i4>
      </vt:variant>
      <vt:variant>
        <vt:lpwstr/>
      </vt:variant>
      <vt:variant>
        <vt:lpwstr>_Toc185347236</vt:lpwstr>
      </vt:variant>
      <vt:variant>
        <vt:i4>1572914</vt:i4>
      </vt:variant>
      <vt:variant>
        <vt:i4>1085</vt:i4>
      </vt:variant>
      <vt:variant>
        <vt:i4>0</vt:i4>
      </vt:variant>
      <vt:variant>
        <vt:i4>5</vt:i4>
      </vt:variant>
      <vt:variant>
        <vt:lpwstr/>
      </vt:variant>
      <vt:variant>
        <vt:lpwstr>_Toc185347235</vt:lpwstr>
      </vt:variant>
      <vt:variant>
        <vt:i4>1572914</vt:i4>
      </vt:variant>
      <vt:variant>
        <vt:i4>1079</vt:i4>
      </vt:variant>
      <vt:variant>
        <vt:i4>0</vt:i4>
      </vt:variant>
      <vt:variant>
        <vt:i4>5</vt:i4>
      </vt:variant>
      <vt:variant>
        <vt:lpwstr/>
      </vt:variant>
      <vt:variant>
        <vt:lpwstr>_Toc185347234</vt:lpwstr>
      </vt:variant>
      <vt:variant>
        <vt:i4>1572914</vt:i4>
      </vt:variant>
      <vt:variant>
        <vt:i4>1073</vt:i4>
      </vt:variant>
      <vt:variant>
        <vt:i4>0</vt:i4>
      </vt:variant>
      <vt:variant>
        <vt:i4>5</vt:i4>
      </vt:variant>
      <vt:variant>
        <vt:lpwstr/>
      </vt:variant>
      <vt:variant>
        <vt:lpwstr>_Toc185347233</vt:lpwstr>
      </vt:variant>
      <vt:variant>
        <vt:i4>1572914</vt:i4>
      </vt:variant>
      <vt:variant>
        <vt:i4>1067</vt:i4>
      </vt:variant>
      <vt:variant>
        <vt:i4>0</vt:i4>
      </vt:variant>
      <vt:variant>
        <vt:i4>5</vt:i4>
      </vt:variant>
      <vt:variant>
        <vt:lpwstr/>
      </vt:variant>
      <vt:variant>
        <vt:lpwstr>_Toc185347232</vt:lpwstr>
      </vt:variant>
      <vt:variant>
        <vt:i4>1572914</vt:i4>
      </vt:variant>
      <vt:variant>
        <vt:i4>1061</vt:i4>
      </vt:variant>
      <vt:variant>
        <vt:i4>0</vt:i4>
      </vt:variant>
      <vt:variant>
        <vt:i4>5</vt:i4>
      </vt:variant>
      <vt:variant>
        <vt:lpwstr/>
      </vt:variant>
      <vt:variant>
        <vt:lpwstr>_Toc185347231</vt:lpwstr>
      </vt:variant>
      <vt:variant>
        <vt:i4>1835070</vt:i4>
      </vt:variant>
      <vt:variant>
        <vt:i4>1052</vt:i4>
      </vt:variant>
      <vt:variant>
        <vt:i4>0</vt:i4>
      </vt:variant>
      <vt:variant>
        <vt:i4>5</vt:i4>
      </vt:variant>
      <vt:variant>
        <vt:lpwstr/>
      </vt:variant>
      <vt:variant>
        <vt:lpwstr>_Toc185427809</vt:lpwstr>
      </vt:variant>
      <vt:variant>
        <vt:i4>1835070</vt:i4>
      </vt:variant>
      <vt:variant>
        <vt:i4>1046</vt:i4>
      </vt:variant>
      <vt:variant>
        <vt:i4>0</vt:i4>
      </vt:variant>
      <vt:variant>
        <vt:i4>5</vt:i4>
      </vt:variant>
      <vt:variant>
        <vt:lpwstr/>
      </vt:variant>
      <vt:variant>
        <vt:lpwstr>_Toc185427808</vt:lpwstr>
      </vt:variant>
      <vt:variant>
        <vt:i4>1835070</vt:i4>
      </vt:variant>
      <vt:variant>
        <vt:i4>1040</vt:i4>
      </vt:variant>
      <vt:variant>
        <vt:i4>0</vt:i4>
      </vt:variant>
      <vt:variant>
        <vt:i4>5</vt:i4>
      </vt:variant>
      <vt:variant>
        <vt:lpwstr/>
      </vt:variant>
      <vt:variant>
        <vt:lpwstr>_Toc185427807</vt:lpwstr>
      </vt:variant>
      <vt:variant>
        <vt:i4>1835070</vt:i4>
      </vt:variant>
      <vt:variant>
        <vt:i4>1034</vt:i4>
      </vt:variant>
      <vt:variant>
        <vt:i4>0</vt:i4>
      </vt:variant>
      <vt:variant>
        <vt:i4>5</vt:i4>
      </vt:variant>
      <vt:variant>
        <vt:lpwstr/>
      </vt:variant>
      <vt:variant>
        <vt:lpwstr>_Toc185427806</vt:lpwstr>
      </vt:variant>
      <vt:variant>
        <vt:i4>1835070</vt:i4>
      </vt:variant>
      <vt:variant>
        <vt:i4>1028</vt:i4>
      </vt:variant>
      <vt:variant>
        <vt:i4>0</vt:i4>
      </vt:variant>
      <vt:variant>
        <vt:i4>5</vt:i4>
      </vt:variant>
      <vt:variant>
        <vt:lpwstr/>
      </vt:variant>
      <vt:variant>
        <vt:lpwstr>_Toc185427805</vt:lpwstr>
      </vt:variant>
      <vt:variant>
        <vt:i4>1835070</vt:i4>
      </vt:variant>
      <vt:variant>
        <vt:i4>1022</vt:i4>
      </vt:variant>
      <vt:variant>
        <vt:i4>0</vt:i4>
      </vt:variant>
      <vt:variant>
        <vt:i4>5</vt:i4>
      </vt:variant>
      <vt:variant>
        <vt:lpwstr/>
      </vt:variant>
      <vt:variant>
        <vt:lpwstr>_Toc185427804</vt:lpwstr>
      </vt:variant>
      <vt:variant>
        <vt:i4>1835070</vt:i4>
      </vt:variant>
      <vt:variant>
        <vt:i4>1016</vt:i4>
      </vt:variant>
      <vt:variant>
        <vt:i4>0</vt:i4>
      </vt:variant>
      <vt:variant>
        <vt:i4>5</vt:i4>
      </vt:variant>
      <vt:variant>
        <vt:lpwstr/>
      </vt:variant>
      <vt:variant>
        <vt:lpwstr>_Toc185427803</vt:lpwstr>
      </vt:variant>
      <vt:variant>
        <vt:i4>1835070</vt:i4>
      </vt:variant>
      <vt:variant>
        <vt:i4>1010</vt:i4>
      </vt:variant>
      <vt:variant>
        <vt:i4>0</vt:i4>
      </vt:variant>
      <vt:variant>
        <vt:i4>5</vt:i4>
      </vt:variant>
      <vt:variant>
        <vt:lpwstr/>
      </vt:variant>
      <vt:variant>
        <vt:lpwstr>_Toc185427802</vt:lpwstr>
      </vt:variant>
      <vt:variant>
        <vt:i4>1835070</vt:i4>
      </vt:variant>
      <vt:variant>
        <vt:i4>1004</vt:i4>
      </vt:variant>
      <vt:variant>
        <vt:i4>0</vt:i4>
      </vt:variant>
      <vt:variant>
        <vt:i4>5</vt:i4>
      </vt:variant>
      <vt:variant>
        <vt:lpwstr/>
      </vt:variant>
      <vt:variant>
        <vt:lpwstr>_Toc185427801</vt:lpwstr>
      </vt:variant>
      <vt:variant>
        <vt:i4>1835070</vt:i4>
      </vt:variant>
      <vt:variant>
        <vt:i4>998</vt:i4>
      </vt:variant>
      <vt:variant>
        <vt:i4>0</vt:i4>
      </vt:variant>
      <vt:variant>
        <vt:i4>5</vt:i4>
      </vt:variant>
      <vt:variant>
        <vt:lpwstr/>
      </vt:variant>
      <vt:variant>
        <vt:lpwstr>_Toc185427800</vt:lpwstr>
      </vt:variant>
      <vt:variant>
        <vt:i4>1376305</vt:i4>
      </vt:variant>
      <vt:variant>
        <vt:i4>992</vt:i4>
      </vt:variant>
      <vt:variant>
        <vt:i4>0</vt:i4>
      </vt:variant>
      <vt:variant>
        <vt:i4>5</vt:i4>
      </vt:variant>
      <vt:variant>
        <vt:lpwstr/>
      </vt:variant>
      <vt:variant>
        <vt:lpwstr>_Toc185427799</vt:lpwstr>
      </vt:variant>
      <vt:variant>
        <vt:i4>1376305</vt:i4>
      </vt:variant>
      <vt:variant>
        <vt:i4>986</vt:i4>
      </vt:variant>
      <vt:variant>
        <vt:i4>0</vt:i4>
      </vt:variant>
      <vt:variant>
        <vt:i4>5</vt:i4>
      </vt:variant>
      <vt:variant>
        <vt:lpwstr/>
      </vt:variant>
      <vt:variant>
        <vt:lpwstr>_Toc185427798</vt:lpwstr>
      </vt:variant>
      <vt:variant>
        <vt:i4>1376305</vt:i4>
      </vt:variant>
      <vt:variant>
        <vt:i4>980</vt:i4>
      </vt:variant>
      <vt:variant>
        <vt:i4>0</vt:i4>
      </vt:variant>
      <vt:variant>
        <vt:i4>5</vt:i4>
      </vt:variant>
      <vt:variant>
        <vt:lpwstr/>
      </vt:variant>
      <vt:variant>
        <vt:lpwstr>_Toc185427797</vt:lpwstr>
      </vt:variant>
      <vt:variant>
        <vt:i4>1376305</vt:i4>
      </vt:variant>
      <vt:variant>
        <vt:i4>974</vt:i4>
      </vt:variant>
      <vt:variant>
        <vt:i4>0</vt:i4>
      </vt:variant>
      <vt:variant>
        <vt:i4>5</vt:i4>
      </vt:variant>
      <vt:variant>
        <vt:lpwstr/>
      </vt:variant>
      <vt:variant>
        <vt:lpwstr>_Toc185427796</vt:lpwstr>
      </vt:variant>
      <vt:variant>
        <vt:i4>1376305</vt:i4>
      </vt:variant>
      <vt:variant>
        <vt:i4>968</vt:i4>
      </vt:variant>
      <vt:variant>
        <vt:i4>0</vt:i4>
      </vt:variant>
      <vt:variant>
        <vt:i4>5</vt:i4>
      </vt:variant>
      <vt:variant>
        <vt:lpwstr/>
      </vt:variant>
      <vt:variant>
        <vt:lpwstr>_Toc185427795</vt:lpwstr>
      </vt:variant>
      <vt:variant>
        <vt:i4>1376305</vt:i4>
      </vt:variant>
      <vt:variant>
        <vt:i4>962</vt:i4>
      </vt:variant>
      <vt:variant>
        <vt:i4>0</vt:i4>
      </vt:variant>
      <vt:variant>
        <vt:i4>5</vt:i4>
      </vt:variant>
      <vt:variant>
        <vt:lpwstr/>
      </vt:variant>
      <vt:variant>
        <vt:lpwstr>_Toc185427794</vt:lpwstr>
      </vt:variant>
      <vt:variant>
        <vt:i4>1376305</vt:i4>
      </vt:variant>
      <vt:variant>
        <vt:i4>956</vt:i4>
      </vt:variant>
      <vt:variant>
        <vt:i4>0</vt:i4>
      </vt:variant>
      <vt:variant>
        <vt:i4>5</vt:i4>
      </vt:variant>
      <vt:variant>
        <vt:lpwstr/>
      </vt:variant>
      <vt:variant>
        <vt:lpwstr>_Toc185427793</vt:lpwstr>
      </vt:variant>
      <vt:variant>
        <vt:i4>1376305</vt:i4>
      </vt:variant>
      <vt:variant>
        <vt:i4>950</vt:i4>
      </vt:variant>
      <vt:variant>
        <vt:i4>0</vt:i4>
      </vt:variant>
      <vt:variant>
        <vt:i4>5</vt:i4>
      </vt:variant>
      <vt:variant>
        <vt:lpwstr/>
      </vt:variant>
      <vt:variant>
        <vt:lpwstr>_Toc185427792</vt:lpwstr>
      </vt:variant>
      <vt:variant>
        <vt:i4>1376305</vt:i4>
      </vt:variant>
      <vt:variant>
        <vt:i4>944</vt:i4>
      </vt:variant>
      <vt:variant>
        <vt:i4>0</vt:i4>
      </vt:variant>
      <vt:variant>
        <vt:i4>5</vt:i4>
      </vt:variant>
      <vt:variant>
        <vt:lpwstr/>
      </vt:variant>
      <vt:variant>
        <vt:lpwstr>_Toc185427791</vt:lpwstr>
      </vt:variant>
      <vt:variant>
        <vt:i4>1376305</vt:i4>
      </vt:variant>
      <vt:variant>
        <vt:i4>938</vt:i4>
      </vt:variant>
      <vt:variant>
        <vt:i4>0</vt:i4>
      </vt:variant>
      <vt:variant>
        <vt:i4>5</vt:i4>
      </vt:variant>
      <vt:variant>
        <vt:lpwstr/>
      </vt:variant>
      <vt:variant>
        <vt:lpwstr>_Toc185427790</vt:lpwstr>
      </vt:variant>
      <vt:variant>
        <vt:i4>1310769</vt:i4>
      </vt:variant>
      <vt:variant>
        <vt:i4>932</vt:i4>
      </vt:variant>
      <vt:variant>
        <vt:i4>0</vt:i4>
      </vt:variant>
      <vt:variant>
        <vt:i4>5</vt:i4>
      </vt:variant>
      <vt:variant>
        <vt:lpwstr/>
      </vt:variant>
      <vt:variant>
        <vt:lpwstr>_Toc185427789</vt:lpwstr>
      </vt:variant>
      <vt:variant>
        <vt:i4>1310769</vt:i4>
      </vt:variant>
      <vt:variant>
        <vt:i4>926</vt:i4>
      </vt:variant>
      <vt:variant>
        <vt:i4>0</vt:i4>
      </vt:variant>
      <vt:variant>
        <vt:i4>5</vt:i4>
      </vt:variant>
      <vt:variant>
        <vt:lpwstr/>
      </vt:variant>
      <vt:variant>
        <vt:lpwstr>_Toc185427788</vt:lpwstr>
      </vt:variant>
      <vt:variant>
        <vt:i4>1310769</vt:i4>
      </vt:variant>
      <vt:variant>
        <vt:i4>920</vt:i4>
      </vt:variant>
      <vt:variant>
        <vt:i4>0</vt:i4>
      </vt:variant>
      <vt:variant>
        <vt:i4>5</vt:i4>
      </vt:variant>
      <vt:variant>
        <vt:lpwstr/>
      </vt:variant>
      <vt:variant>
        <vt:lpwstr>_Toc185427787</vt:lpwstr>
      </vt:variant>
      <vt:variant>
        <vt:i4>1310769</vt:i4>
      </vt:variant>
      <vt:variant>
        <vt:i4>914</vt:i4>
      </vt:variant>
      <vt:variant>
        <vt:i4>0</vt:i4>
      </vt:variant>
      <vt:variant>
        <vt:i4>5</vt:i4>
      </vt:variant>
      <vt:variant>
        <vt:lpwstr/>
      </vt:variant>
      <vt:variant>
        <vt:lpwstr>_Toc185427786</vt:lpwstr>
      </vt:variant>
      <vt:variant>
        <vt:i4>1310769</vt:i4>
      </vt:variant>
      <vt:variant>
        <vt:i4>908</vt:i4>
      </vt:variant>
      <vt:variant>
        <vt:i4>0</vt:i4>
      </vt:variant>
      <vt:variant>
        <vt:i4>5</vt:i4>
      </vt:variant>
      <vt:variant>
        <vt:lpwstr/>
      </vt:variant>
      <vt:variant>
        <vt:lpwstr>_Toc185427785</vt:lpwstr>
      </vt:variant>
      <vt:variant>
        <vt:i4>1310769</vt:i4>
      </vt:variant>
      <vt:variant>
        <vt:i4>902</vt:i4>
      </vt:variant>
      <vt:variant>
        <vt:i4>0</vt:i4>
      </vt:variant>
      <vt:variant>
        <vt:i4>5</vt:i4>
      </vt:variant>
      <vt:variant>
        <vt:lpwstr/>
      </vt:variant>
      <vt:variant>
        <vt:lpwstr>_Toc185427784</vt:lpwstr>
      </vt:variant>
      <vt:variant>
        <vt:i4>1310769</vt:i4>
      </vt:variant>
      <vt:variant>
        <vt:i4>896</vt:i4>
      </vt:variant>
      <vt:variant>
        <vt:i4>0</vt:i4>
      </vt:variant>
      <vt:variant>
        <vt:i4>5</vt:i4>
      </vt:variant>
      <vt:variant>
        <vt:lpwstr/>
      </vt:variant>
      <vt:variant>
        <vt:lpwstr>_Toc185427783</vt:lpwstr>
      </vt:variant>
      <vt:variant>
        <vt:i4>1310769</vt:i4>
      </vt:variant>
      <vt:variant>
        <vt:i4>890</vt:i4>
      </vt:variant>
      <vt:variant>
        <vt:i4>0</vt:i4>
      </vt:variant>
      <vt:variant>
        <vt:i4>5</vt:i4>
      </vt:variant>
      <vt:variant>
        <vt:lpwstr/>
      </vt:variant>
      <vt:variant>
        <vt:lpwstr>_Toc185427782</vt:lpwstr>
      </vt:variant>
      <vt:variant>
        <vt:i4>1310769</vt:i4>
      </vt:variant>
      <vt:variant>
        <vt:i4>884</vt:i4>
      </vt:variant>
      <vt:variant>
        <vt:i4>0</vt:i4>
      </vt:variant>
      <vt:variant>
        <vt:i4>5</vt:i4>
      </vt:variant>
      <vt:variant>
        <vt:lpwstr/>
      </vt:variant>
      <vt:variant>
        <vt:lpwstr>_Toc185427781</vt:lpwstr>
      </vt:variant>
      <vt:variant>
        <vt:i4>1310769</vt:i4>
      </vt:variant>
      <vt:variant>
        <vt:i4>878</vt:i4>
      </vt:variant>
      <vt:variant>
        <vt:i4>0</vt:i4>
      </vt:variant>
      <vt:variant>
        <vt:i4>5</vt:i4>
      </vt:variant>
      <vt:variant>
        <vt:lpwstr/>
      </vt:variant>
      <vt:variant>
        <vt:lpwstr>_Toc185427780</vt:lpwstr>
      </vt:variant>
      <vt:variant>
        <vt:i4>1769521</vt:i4>
      </vt:variant>
      <vt:variant>
        <vt:i4>872</vt:i4>
      </vt:variant>
      <vt:variant>
        <vt:i4>0</vt:i4>
      </vt:variant>
      <vt:variant>
        <vt:i4>5</vt:i4>
      </vt:variant>
      <vt:variant>
        <vt:lpwstr/>
      </vt:variant>
      <vt:variant>
        <vt:lpwstr>_Toc185427779</vt:lpwstr>
      </vt:variant>
      <vt:variant>
        <vt:i4>1769521</vt:i4>
      </vt:variant>
      <vt:variant>
        <vt:i4>866</vt:i4>
      </vt:variant>
      <vt:variant>
        <vt:i4>0</vt:i4>
      </vt:variant>
      <vt:variant>
        <vt:i4>5</vt:i4>
      </vt:variant>
      <vt:variant>
        <vt:lpwstr/>
      </vt:variant>
      <vt:variant>
        <vt:lpwstr>_Toc185427778</vt:lpwstr>
      </vt:variant>
      <vt:variant>
        <vt:i4>1769521</vt:i4>
      </vt:variant>
      <vt:variant>
        <vt:i4>860</vt:i4>
      </vt:variant>
      <vt:variant>
        <vt:i4>0</vt:i4>
      </vt:variant>
      <vt:variant>
        <vt:i4>5</vt:i4>
      </vt:variant>
      <vt:variant>
        <vt:lpwstr/>
      </vt:variant>
      <vt:variant>
        <vt:lpwstr>_Toc185427777</vt:lpwstr>
      </vt:variant>
      <vt:variant>
        <vt:i4>1769521</vt:i4>
      </vt:variant>
      <vt:variant>
        <vt:i4>854</vt:i4>
      </vt:variant>
      <vt:variant>
        <vt:i4>0</vt:i4>
      </vt:variant>
      <vt:variant>
        <vt:i4>5</vt:i4>
      </vt:variant>
      <vt:variant>
        <vt:lpwstr/>
      </vt:variant>
      <vt:variant>
        <vt:lpwstr>_Toc185427776</vt:lpwstr>
      </vt:variant>
      <vt:variant>
        <vt:i4>1769521</vt:i4>
      </vt:variant>
      <vt:variant>
        <vt:i4>848</vt:i4>
      </vt:variant>
      <vt:variant>
        <vt:i4>0</vt:i4>
      </vt:variant>
      <vt:variant>
        <vt:i4>5</vt:i4>
      </vt:variant>
      <vt:variant>
        <vt:lpwstr/>
      </vt:variant>
      <vt:variant>
        <vt:lpwstr>_Toc185427775</vt:lpwstr>
      </vt:variant>
      <vt:variant>
        <vt:i4>1769521</vt:i4>
      </vt:variant>
      <vt:variant>
        <vt:i4>842</vt:i4>
      </vt:variant>
      <vt:variant>
        <vt:i4>0</vt:i4>
      </vt:variant>
      <vt:variant>
        <vt:i4>5</vt:i4>
      </vt:variant>
      <vt:variant>
        <vt:lpwstr/>
      </vt:variant>
      <vt:variant>
        <vt:lpwstr>_Toc185427774</vt:lpwstr>
      </vt:variant>
      <vt:variant>
        <vt:i4>1769521</vt:i4>
      </vt:variant>
      <vt:variant>
        <vt:i4>836</vt:i4>
      </vt:variant>
      <vt:variant>
        <vt:i4>0</vt:i4>
      </vt:variant>
      <vt:variant>
        <vt:i4>5</vt:i4>
      </vt:variant>
      <vt:variant>
        <vt:lpwstr/>
      </vt:variant>
      <vt:variant>
        <vt:lpwstr>_Toc185427773</vt:lpwstr>
      </vt:variant>
      <vt:variant>
        <vt:i4>1769521</vt:i4>
      </vt:variant>
      <vt:variant>
        <vt:i4>830</vt:i4>
      </vt:variant>
      <vt:variant>
        <vt:i4>0</vt:i4>
      </vt:variant>
      <vt:variant>
        <vt:i4>5</vt:i4>
      </vt:variant>
      <vt:variant>
        <vt:lpwstr/>
      </vt:variant>
      <vt:variant>
        <vt:lpwstr>_Toc185427772</vt:lpwstr>
      </vt:variant>
      <vt:variant>
        <vt:i4>1769521</vt:i4>
      </vt:variant>
      <vt:variant>
        <vt:i4>824</vt:i4>
      </vt:variant>
      <vt:variant>
        <vt:i4>0</vt:i4>
      </vt:variant>
      <vt:variant>
        <vt:i4>5</vt:i4>
      </vt:variant>
      <vt:variant>
        <vt:lpwstr/>
      </vt:variant>
      <vt:variant>
        <vt:lpwstr>_Toc185427771</vt:lpwstr>
      </vt:variant>
      <vt:variant>
        <vt:i4>1769521</vt:i4>
      </vt:variant>
      <vt:variant>
        <vt:i4>818</vt:i4>
      </vt:variant>
      <vt:variant>
        <vt:i4>0</vt:i4>
      </vt:variant>
      <vt:variant>
        <vt:i4>5</vt:i4>
      </vt:variant>
      <vt:variant>
        <vt:lpwstr/>
      </vt:variant>
      <vt:variant>
        <vt:lpwstr>_Toc185427770</vt:lpwstr>
      </vt:variant>
      <vt:variant>
        <vt:i4>1703985</vt:i4>
      </vt:variant>
      <vt:variant>
        <vt:i4>812</vt:i4>
      </vt:variant>
      <vt:variant>
        <vt:i4>0</vt:i4>
      </vt:variant>
      <vt:variant>
        <vt:i4>5</vt:i4>
      </vt:variant>
      <vt:variant>
        <vt:lpwstr/>
      </vt:variant>
      <vt:variant>
        <vt:lpwstr>_Toc185427769</vt:lpwstr>
      </vt:variant>
      <vt:variant>
        <vt:i4>1703985</vt:i4>
      </vt:variant>
      <vt:variant>
        <vt:i4>806</vt:i4>
      </vt:variant>
      <vt:variant>
        <vt:i4>0</vt:i4>
      </vt:variant>
      <vt:variant>
        <vt:i4>5</vt:i4>
      </vt:variant>
      <vt:variant>
        <vt:lpwstr/>
      </vt:variant>
      <vt:variant>
        <vt:lpwstr>_Toc185427768</vt:lpwstr>
      </vt:variant>
      <vt:variant>
        <vt:i4>1703985</vt:i4>
      </vt:variant>
      <vt:variant>
        <vt:i4>800</vt:i4>
      </vt:variant>
      <vt:variant>
        <vt:i4>0</vt:i4>
      </vt:variant>
      <vt:variant>
        <vt:i4>5</vt:i4>
      </vt:variant>
      <vt:variant>
        <vt:lpwstr/>
      </vt:variant>
      <vt:variant>
        <vt:lpwstr>_Toc185427767</vt:lpwstr>
      </vt:variant>
      <vt:variant>
        <vt:i4>1703985</vt:i4>
      </vt:variant>
      <vt:variant>
        <vt:i4>794</vt:i4>
      </vt:variant>
      <vt:variant>
        <vt:i4>0</vt:i4>
      </vt:variant>
      <vt:variant>
        <vt:i4>5</vt:i4>
      </vt:variant>
      <vt:variant>
        <vt:lpwstr/>
      </vt:variant>
      <vt:variant>
        <vt:lpwstr>_Toc185427766</vt:lpwstr>
      </vt:variant>
      <vt:variant>
        <vt:i4>1703985</vt:i4>
      </vt:variant>
      <vt:variant>
        <vt:i4>788</vt:i4>
      </vt:variant>
      <vt:variant>
        <vt:i4>0</vt:i4>
      </vt:variant>
      <vt:variant>
        <vt:i4>5</vt:i4>
      </vt:variant>
      <vt:variant>
        <vt:lpwstr/>
      </vt:variant>
      <vt:variant>
        <vt:lpwstr>_Toc185427765</vt:lpwstr>
      </vt:variant>
      <vt:variant>
        <vt:i4>1703985</vt:i4>
      </vt:variant>
      <vt:variant>
        <vt:i4>782</vt:i4>
      </vt:variant>
      <vt:variant>
        <vt:i4>0</vt:i4>
      </vt:variant>
      <vt:variant>
        <vt:i4>5</vt:i4>
      </vt:variant>
      <vt:variant>
        <vt:lpwstr/>
      </vt:variant>
      <vt:variant>
        <vt:lpwstr>_Toc185427764</vt:lpwstr>
      </vt:variant>
      <vt:variant>
        <vt:i4>1703985</vt:i4>
      </vt:variant>
      <vt:variant>
        <vt:i4>776</vt:i4>
      </vt:variant>
      <vt:variant>
        <vt:i4>0</vt:i4>
      </vt:variant>
      <vt:variant>
        <vt:i4>5</vt:i4>
      </vt:variant>
      <vt:variant>
        <vt:lpwstr/>
      </vt:variant>
      <vt:variant>
        <vt:lpwstr>_Toc185427763</vt:lpwstr>
      </vt:variant>
      <vt:variant>
        <vt:i4>1703985</vt:i4>
      </vt:variant>
      <vt:variant>
        <vt:i4>770</vt:i4>
      </vt:variant>
      <vt:variant>
        <vt:i4>0</vt:i4>
      </vt:variant>
      <vt:variant>
        <vt:i4>5</vt:i4>
      </vt:variant>
      <vt:variant>
        <vt:lpwstr/>
      </vt:variant>
      <vt:variant>
        <vt:lpwstr>_Toc185427762</vt:lpwstr>
      </vt:variant>
      <vt:variant>
        <vt:i4>1703985</vt:i4>
      </vt:variant>
      <vt:variant>
        <vt:i4>764</vt:i4>
      </vt:variant>
      <vt:variant>
        <vt:i4>0</vt:i4>
      </vt:variant>
      <vt:variant>
        <vt:i4>5</vt:i4>
      </vt:variant>
      <vt:variant>
        <vt:lpwstr/>
      </vt:variant>
      <vt:variant>
        <vt:lpwstr>_Toc185427761</vt:lpwstr>
      </vt:variant>
      <vt:variant>
        <vt:i4>1703985</vt:i4>
      </vt:variant>
      <vt:variant>
        <vt:i4>758</vt:i4>
      </vt:variant>
      <vt:variant>
        <vt:i4>0</vt:i4>
      </vt:variant>
      <vt:variant>
        <vt:i4>5</vt:i4>
      </vt:variant>
      <vt:variant>
        <vt:lpwstr/>
      </vt:variant>
      <vt:variant>
        <vt:lpwstr>_Toc185427760</vt:lpwstr>
      </vt:variant>
      <vt:variant>
        <vt:i4>1638449</vt:i4>
      </vt:variant>
      <vt:variant>
        <vt:i4>752</vt:i4>
      </vt:variant>
      <vt:variant>
        <vt:i4>0</vt:i4>
      </vt:variant>
      <vt:variant>
        <vt:i4>5</vt:i4>
      </vt:variant>
      <vt:variant>
        <vt:lpwstr/>
      </vt:variant>
      <vt:variant>
        <vt:lpwstr>_Toc185427759</vt:lpwstr>
      </vt:variant>
      <vt:variant>
        <vt:i4>1638449</vt:i4>
      </vt:variant>
      <vt:variant>
        <vt:i4>746</vt:i4>
      </vt:variant>
      <vt:variant>
        <vt:i4>0</vt:i4>
      </vt:variant>
      <vt:variant>
        <vt:i4>5</vt:i4>
      </vt:variant>
      <vt:variant>
        <vt:lpwstr/>
      </vt:variant>
      <vt:variant>
        <vt:lpwstr>_Toc185427758</vt:lpwstr>
      </vt:variant>
      <vt:variant>
        <vt:i4>1638449</vt:i4>
      </vt:variant>
      <vt:variant>
        <vt:i4>740</vt:i4>
      </vt:variant>
      <vt:variant>
        <vt:i4>0</vt:i4>
      </vt:variant>
      <vt:variant>
        <vt:i4>5</vt:i4>
      </vt:variant>
      <vt:variant>
        <vt:lpwstr/>
      </vt:variant>
      <vt:variant>
        <vt:lpwstr>_Toc185427757</vt:lpwstr>
      </vt:variant>
      <vt:variant>
        <vt:i4>1638449</vt:i4>
      </vt:variant>
      <vt:variant>
        <vt:i4>734</vt:i4>
      </vt:variant>
      <vt:variant>
        <vt:i4>0</vt:i4>
      </vt:variant>
      <vt:variant>
        <vt:i4>5</vt:i4>
      </vt:variant>
      <vt:variant>
        <vt:lpwstr/>
      </vt:variant>
      <vt:variant>
        <vt:lpwstr>_Toc185427756</vt:lpwstr>
      </vt:variant>
      <vt:variant>
        <vt:i4>1638449</vt:i4>
      </vt:variant>
      <vt:variant>
        <vt:i4>728</vt:i4>
      </vt:variant>
      <vt:variant>
        <vt:i4>0</vt:i4>
      </vt:variant>
      <vt:variant>
        <vt:i4>5</vt:i4>
      </vt:variant>
      <vt:variant>
        <vt:lpwstr/>
      </vt:variant>
      <vt:variant>
        <vt:lpwstr>_Toc185427755</vt:lpwstr>
      </vt:variant>
      <vt:variant>
        <vt:i4>1638449</vt:i4>
      </vt:variant>
      <vt:variant>
        <vt:i4>722</vt:i4>
      </vt:variant>
      <vt:variant>
        <vt:i4>0</vt:i4>
      </vt:variant>
      <vt:variant>
        <vt:i4>5</vt:i4>
      </vt:variant>
      <vt:variant>
        <vt:lpwstr/>
      </vt:variant>
      <vt:variant>
        <vt:lpwstr>_Toc185427754</vt:lpwstr>
      </vt:variant>
      <vt:variant>
        <vt:i4>1638449</vt:i4>
      </vt:variant>
      <vt:variant>
        <vt:i4>716</vt:i4>
      </vt:variant>
      <vt:variant>
        <vt:i4>0</vt:i4>
      </vt:variant>
      <vt:variant>
        <vt:i4>5</vt:i4>
      </vt:variant>
      <vt:variant>
        <vt:lpwstr/>
      </vt:variant>
      <vt:variant>
        <vt:lpwstr>_Toc185427753</vt:lpwstr>
      </vt:variant>
      <vt:variant>
        <vt:i4>1638449</vt:i4>
      </vt:variant>
      <vt:variant>
        <vt:i4>710</vt:i4>
      </vt:variant>
      <vt:variant>
        <vt:i4>0</vt:i4>
      </vt:variant>
      <vt:variant>
        <vt:i4>5</vt:i4>
      </vt:variant>
      <vt:variant>
        <vt:lpwstr/>
      </vt:variant>
      <vt:variant>
        <vt:lpwstr>_Toc185427752</vt:lpwstr>
      </vt:variant>
      <vt:variant>
        <vt:i4>1638449</vt:i4>
      </vt:variant>
      <vt:variant>
        <vt:i4>704</vt:i4>
      </vt:variant>
      <vt:variant>
        <vt:i4>0</vt:i4>
      </vt:variant>
      <vt:variant>
        <vt:i4>5</vt:i4>
      </vt:variant>
      <vt:variant>
        <vt:lpwstr/>
      </vt:variant>
      <vt:variant>
        <vt:lpwstr>_Toc185427751</vt:lpwstr>
      </vt:variant>
      <vt:variant>
        <vt:i4>1638449</vt:i4>
      </vt:variant>
      <vt:variant>
        <vt:i4>698</vt:i4>
      </vt:variant>
      <vt:variant>
        <vt:i4>0</vt:i4>
      </vt:variant>
      <vt:variant>
        <vt:i4>5</vt:i4>
      </vt:variant>
      <vt:variant>
        <vt:lpwstr/>
      </vt:variant>
      <vt:variant>
        <vt:lpwstr>_Toc185427750</vt:lpwstr>
      </vt:variant>
      <vt:variant>
        <vt:i4>1572913</vt:i4>
      </vt:variant>
      <vt:variant>
        <vt:i4>692</vt:i4>
      </vt:variant>
      <vt:variant>
        <vt:i4>0</vt:i4>
      </vt:variant>
      <vt:variant>
        <vt:i4>5</vt:i4>
      </vt:variant>
      <vt:variant>
        <vt:lpwstr/>
      </vt:variant>
      <vt:variant>
        <vt:lpwstr>_Toc185427749</vt:lpwstr>
      </vt:variant>
      <vt:variant>
        <vt:i4>1572913</vt:i4>
      </vt:variant>
      <vt:variant>
        <vt:i4>686</vt:i4>
      </vt:variant>
      <vt:variant>
        <vt:i4>0</vt:i4>
      </vt:variant>
      <vt:variant>
        <vt:i4>5</vt:i4>
      </vt:variant>
      <vt:variant>
        <vt:lpwstr/>
      </vt:variant>
      <vt:variant>
        <vt:lpwstr>_Toc185427748</vt:lpwstr>
      </vt:variant>
      <vt:variant>
        <vt:i4>1572913</vt:i4>
      </vt:variant>
      <vt:variant>
        <vt:i4>680</vt:i4>
      </vt:variant>
      <vt:variant>
        <vt:i4>0</vt:i4>
      </vt:variant>
      <vt:variant>
        <vt:i4>5</vt:i4>
      </vt:variant>
      <vt:variant>
        <vt:lpwstr/>
      </vt:variant>
      <vt:variant>
        <vt:lpwstr>_Toc185427747</vt:lpwstr>
      </vt:variant>
      <vt:variant>
        <vt:i4>1572913</vt:i4>
      </vt:variant>
      <vt:variant>
        <vt:i4>674</vt:i4>
      </vt:variant>
      <vt:variant>
        <vt:i4>0</vt:i4>
      </vt:variant>
      <vt:variant>
        <vt:i4>5</vt:i4>
      </vt:variant>
      <vt:variant>
        <vt:lpwstr/>
      </vt:variant>
      <vt:variant>
        <vt:lpwstr>_Toc185427746</vt:lpwstr>
      </vt:variant>
      <vt:variant>
        <vt:i4>1572913</vt:i4>
      </vt:variant>
      <vt:variant>
        <vt:i4>668</vt:i4>
      </vt:variant>
      <vt:variant>
        <vt:i4>0</vt:i4>
      </vt:variant>
      <vt:variant>
        <vt:i4>5</vt:i4>
      </vt:variant>
      <vt:variant>
        <vt:lpwstr/>
      </vt:variant>
      <vt:variant>
        <vt:lpwstr>_Toc185427745</vt:lpwstr>
      </vt:variant>
      <vt:variant>
        <vt:i4>1572913</vt:i4>
      </vt:variant>
      <vt:variant>
        <vt:i4>662</vt:i4>
      </vt:variant>
      <vt:variant>
        <vt:i4>0</vt:i4>
      </vt:variant>
      <vt:variant>
        <vt:i4>5</vt:i4>
      </vt:variant>
      <vt:variant>
        <vt:lpwstr/>
      </vt:variant>
      <vt:variant>
        <vt:lpwstr>_Toc185427744</vt:lpwstr>
      </vt:variant>
      <vt:variant>
        <vt:i4>1572913</vt:i4>
      </vt:variant>
      <vt:variant>
        <vt:i4>656</vt:i4>
      </vt:variant>
      <vt:variant>
        <vt:i4>0</vt:i4>
      </vt:variant>
      <vt:variant>
        <vt:i4>5</vt:i4>
      </vt:variant>
      <vt:variant>
        <vt:lpwstr/>
      </vt:variant>
      <vt:variant>
        <vt:lpwstr>_Toc185427743</vt:lpwstr>
      </vt:variant>
      <vt:variant>
        <vt:i4>1572913</vt:i4>
      </vt:variant>
      <vt:variant>
        <vt:i4>650</vt:i4>
      </vt:variant>
      <vt:variant>
        <vt:i4>0</vt:i4>
      </vt:variant>
      <vt:variant>
        <vt:i4>5</vt:i4>
      </vt:variant>
      <vt:variant>
        <vt:lpwstr/>
      </vt:variant>
      <vt:variant>
        <vt:lpwstr>_Toc185427742</vt:lpwstr>
      </vt:variant>
      <vt:variant>
        <vt:i4>1572913</vt:i4>
      </vt:variant>
      <vt:variant>
        <vt:i4>644</vt:i4>
      </vt:variant>
      <vt:variant>
        <vt:i4>0</vt:i4>
      </vt:variant>
      <vt:variant>
        <vt:i4>5</vt:i4>
      </vt:variant>
      <vt:variant>
        <vt:lpwstr/>
      </vt:variant>
      <vt:variant>
        <vt:lpwstr>_Toc185427741</vt:lpwstr>
      </vt:variant>
      <vt:variant>
        <vt:i4>1572913</vt:i4>
      </vt:variant>
      <vt:variant>
        <vt:i4>638</vt:i4>
      </vt:variant>
      <vt:variant>
        <vt:i4>0</vt:i4>
      </vt:variant>
      <vt:variant>
        <vt:i4>5</vt:i4>
      </vt:variant>
      <vt:variant>
        <vt:lpwstr/>
      </vt:variant>
      <vt:variant>
        <vt:lpwstr>_Toc185427740</vt:lpwstr>
      </vt:variant>
      <vt:variant>
        <vt:i4>2031665</vt:i4>
      </vt:variant>
      <vt:variant>
        <vt:i4>632</vt:i4>
      </vt:variant>
      <vt:variant>
        <vt:i4>0</vt:i4>
      </vt:variant>
      <vt:variant>
        <vt:i4>5</vt:i4>
      </vt:variant>
      <vt:variant>
        <vt:lpwstr/>
      </vt:variant>
      <vt:variant>
        <vt:lpwstr>_Toc185427739</vt:lpwstr>
      </vt:variant>
      <vt:variant>
        <vt:i4>2031665</vt:i4>
      </vt:variant>
      <vt:variant>
        <vt:i4>626</vt:i4>
      </vt:variant>
      <vt:variant>
        <vt:i4>0</vt:i4>
      </vt:variant>
      <vt:variant>
        <vt:i4>5</vt:i4>
      </vt:variant>
      <vt:variant>
        <vt:lpwstr/>
      </vt:variant>
      <vt:variant>
        <vt:lpwstr>_Toc185427738</vt:lpwstr>
      </vt:variant>
      <vt:variant>
        <vt:i4>2031665</vt:i4>
      </vt:variant>
      <vt:variant>
        <vt:i4>620</vt:i4>
      </vt:variant>
      <vt:variant>
        <vt:i4>0</vt:i4>
      </vt:variant>
      <vt:variant>
        <vt:i4>5</vt:i4>
      </vt:variant>
      <vt:variant>
        <vt:lpwstr/>
      </vt:variant>
      <vt:variant>
        <vt:lpwstr>_Toc185427737</vt:lpwstr>
      </vt:variant>
      <vt:variant>
        <vt:i4>2031665</vt:i4>
      </vt:variant>
      <vt:variant>
        <vt:i4>614</vt:i4>
      </vt:variant>
      <vt:variant>
        <vt:i4>0</vt:i4>
      </vt:variant>
      <vt:variant>
        <vt:i4>5</vt:i4>
      </vt:variant>
      <vt:variant>
        <vt:lpwstr/>
      </vt:variant>
      <vt:variant>
        <vt:lpwstr>_Toc185427736</vt:lpwstr>
      </vt:variant>
      <vt:variant>
        <vt:i4>2031665</vt:i4>
      </vt:variant>
      <vt:variant>
        <vt:i4>608</vt:i4>
      </vt:variant>
      <vt:variant>
        <vt:i4>0</vt:i4>
      </vt:variant>
      <vt:variant>
        <vt:i4>5</vt:i4>
      </vt:variant>
      <vt:variant>
        <vt:lpwstr/>
      </vt:variant>
      <vt:variant>
        <vt:lpwstr>_Toc185427735</vt:lpwstr>
      </vt:variant>
      <vt:variant>
        <vt:i4>2031665</vt:i4>
      </vt:variant>
      <vt:variant>
        <vt:i4>602</vt:i4>
      </vt:variant>
      <vt:variant>
        <vt:i4>0</vt:i4>
      </vt:variant>
      <vt:variant>
        <vt:i4>5</vt:i4>
      </vt:variant>
      <vt:variant>
        <vt:lpwstr/>
      </vt:variant>
      <vt:variant>
        <vt:lpwstr>_Toc185427734</vt:lpwstr>
      </vt:variant>
      <vt:variant>
        <vt:i4>2031665</vt:i4>
      </vt:variant>
      <vt:variant>
        <vt:i4>596</vt:i4>
      </vt:variant>
      <vt:variant>
        <vt:i4>0</vt:i4>
      </vt:variant>
      <vt:variant>
        <vt:i4>5</vt:i4>
      </vt:variant>
      <vt:variant>
        <vt:lpwstr/>
      </vt:variant>
      <vt:variant>
        <vt:lpwstr>_Toc185427733</vt:lpwstr>
      </vt:variant>
      <vt:variant>
        <vt:i4>2031665</vt:i4>
      </vt:variant>
      <vt:variant>
        <vt:i4>590</vt:i4>
      </vt:variant>
      <vt:variant>
        <vt:i4>0</vt:i4>
      </vt:variant>
      <vt:variant>
        <vt:i4>5</vt:i4>
      </vt:variant>
      <vt:variant>
        <vt:lpwstr/>
      </vt:variant>
      <vt:variant>
        <vt:lpwstr>_Toc185427732</vt:lpwstr>
      </vt:variant>
      <vt:variant>
        <vt:i4>2031665</vt:i4>
      </vt:variant>
      <vt:variant>
        <vt:i4>584</vt:i4>
      </vt:variant>
      <vt:variant>
        <vt:i4>0</vt:i4>
      </vt:variant>
      <vt:variant>
        <vt:i4>5</vt:i4>
      </vt:variant>
      <vt:variant>
        <vt:lpwstr/>
      </vt:variant>
      <vt:variant>
        <vt:lpwstr>_Toc185427731</vt:lpwstr>
      </vt:variant>
      <vt:variant>
        <vt:i4>2031665</vt:i4>
      </vt:variant>
      <vt:variant>
        <vt:i4>578</vt:i4>
      </vt:variant>
      <vt:variant>
        <vt:i4>0</vt:i4>
      </vt:variant>
      <vt:variant>
        <vt:i4>5</vt:i4>
      </vt:variant>
      <vt:variant>
        <vt:lpwstr/>
      </vt:variant>
      <vt:variant>
        <vt:lpwstr>_Toc185427730</vt:lpwstr>
      </vt:variant>
      <vt:variant>
        <vt:i4>1966129</vt:i4>
      </vt:variant>
      <vt:variant>
        <vt:i4>572</vt:i4>
      </vt:variant>
      <vt:variant>
        <vt:i4>0</vt:i4>
      </vt:variant>
      <vt:variant>
        <vt:i4>5</vt:i4>
      </vt:variant>
      <vt:variant>
        <vt:lpwstr/>
      </vt:variant>
      <vt:variant>
        <vt:lpwstr>_Toc185427729</vt:lpwstr>
      </vt:variant>
      <vt:variant>
        <vt:i4>1966129</vt:i4>
      </vt:variant>
      <vt:variant>
        <vt:i4>566</vt:i4>
      </vt:variant>
      <vt:variant>
        <vt:i4>0</vt:i4>
      </vt:variant>
      <vt:variant>
        <vt:i4>5</vt:i4>
      </vt:variant>
      <vt:variant>
        <vt:lpwstr/>
      </vt:variant>
      <vt:variant>
        <vt:lpwstr>_Toc185427728</vt:lpwstr>
      </vt:variant>
      <vt:variant>
        <vt:i4>1966129</vt:i4>
      </vt:variant>
      <vt:variant>
        <vt:i4>560</vt:i4>
      </vt:variant>
      <vt:variant>
        <vt:i4>0</vt:i4>
      </vt:variant>
      <vt:variant>
        <vt:i4>5</vt:i4>
      </vt:variant>
      <vt:variant>
        <vt:lpwstr/>
      </vt:variant>
      <vt:variant>
        <vt:lpwstr>_Toc185427727</vt:lpwstr>
      </vt:variant>
      <vt:variant>
        <vt:i4>1966129</vt:i4>
      </vt:variant>
      <vt:variant>
        <vt:i4>554</vt:i4>
      </vt:variant>
      <vt:variant>
        <vt:i4>0</vt:i4>
      </vt:variant>
      <vt:variant>
        <vt:i4>5</vt:i4>
      </vt:variant>
      <vt:variant>
        <vt:lpwstr/>
      </vt:variant>
      <vt:variant>
        <vt:lpwstr>_Toc185427726</vt:lpwstr>
      </vt:variant>
      <vt:variant>
        <vt:i4>1966129</vt:i4>
      </vt:variant>
      <vt:variant>
        <vt:i4>548</vt:i4>
      </vt:variant>
      <vt:variant>
        <vt:i4>0</vt:i4>
      </vt:variant>
      <vt:variant>
        <vt:i4>5</vt:i4>
      </vt:variant>
      <vt:variant>
        <vt:lpwstr/>
      </vt:variant>
      <vt:variant>
        <vt:lpwstr>_Toc185427725</vt:lpwstr>
      </vt:variant>
      <vt:variant>
        <vt:i4>1966129</vt:i4>
      </vt:variant>
      <vt:variant>
        <vt:i4>542</vt:i4>
      </vt:variant>
      <vt:variant>
        <vt:i4>0</vt:i4>
      </vt:variant>
      <vt:variant>
        <vt:i4>5</vt:i4>
      </vt:variant>
      <vt:variant>
        <vt:lpwstr/>
      </vt:variant>
      <vt:variant>
        <vt:lpwstr>_Toc185427724</vt:lpwstr>
      </vt:variant>
      <vt:variant>
        <vt:i4>1966129</vt:i4>
      </vt:variant>
      <vt:variant>
        <vt:i4>536</vt:i4>
      </vt:variant>
      <vt:variant>
        <vt:i4>0</vt:i4>
      </vt:variant>
      <vt:variant>
        <vt:i4>5</vt:i4>
      </vt:variant>
      <vt:variant>
        <vt:lpwstr/>
      </vt:variant>
      <vt:variant>
        <vt:lpwstr>_Toc185427723</vt:lpwstr>
      </vt:variant>
      <vt:variant>
        <vt:i4>1966129</vt:i4>
      </vt:variant>
      <vt:variant>
        <vt:i4>530</vt:i4>
      </vt:variant>
      <vt:variant>
        <vt:i4>0</vt:i4>
      </vt:variant>
      <vt:variant>
        <vt:i4>5</vt:i4>
      </vt:variant>
      <vt:variant>
        <vt:lpwstr/>
      </vt:variant>
      <vt:variant>
        <vt:lpwstr>_Toc185427722</vt:lpwstr>
      </vt:variant>
      <vt:variant>
        <vt:i4>1966129</vt:i4>
      </vt:variant>
      <vt:variant>
        <vt:i4>524</vt:i4>
      </vt:variant>
      <vt:variant>
        <vt:i4>0</vt:i4>
      </vt:variant>
      <vt:variant>
        <vt:i4>5</vt:i4>
      </vt:variant>
      <vt:variant>
        <vt:lpwstr/>
      </vt:variant>
      <vt:variant>
        <vt:lpwstr>_Toc185427721</vt:lpwstr>
      </vt:variant>
      <vt:variant>
        <vt:i4>1966129</vt:i4>
      </vt:variant>
      <vt:variant>
        <vt:i4>518</vt:i4>
      </vt:variant>
      <vt:variant>
        <vt:i4>0</vt:i4>
      </vt:variant>
      <vt:variant>
        <vt:i4>5</vt:i4>
      </vt:variant>
      <vt:variant>
        <vt:lpwstr/>
      </vt:variant>
      <vt:variant>
        <vt:lpwstr>_Toc185427720</vt:lpwstr>
      </vt:variant>
      <vt:variant>
        <vt:i4>1900593</vt:i4>
      </vt:variant>
      <vt:variant>
        <vt:i4>512</vt:i4>
      </vt:variant>
      <vt:variant>
        <vt:i4>0</vt:i4>
      </vt:variant>
      <vt:variant>
        <vt:i4>5</vt:i4>
      </vt:variant>
      <vt:variant>
        <vt:lpwstr/>
      </vt:variant>
      <vt:variant>
        <vt:lpwstr>_Toc185427719</vt:lpwstr>
      </vt:variant>
      <vt:variant>
        <vt:i4>1507378</vt:i4>
      </vt:variant>
      <vt:variant>
        <vt:i4>503</vt:i4>
      </vt:variant>
      <vt:variant>
        <vt:i4>0</vt:i4>
      </vt:variant>
      <vt:variant>
        <vt:i4>5</vt:i4>
      </vt:variant>
      <vt:variant>
        <vt:lpwstr/>
      </vt:variant>
      <vt:variant>
        <vt:lpwstr>_Toc184825555</vt:lpwstr>
      </vt:variant>
      <vt:variant>
        <vt:i4>1507378</vt:i4>
      </vt:variant>
      <vt:variant>
        <vt:i4>497</vt:i4>
      </vt:variant>
      <vt:variant>
        <vt:i4>0</vt:i4>
      </vt:variant>
      <vt:variant>
        <vt:i4>5</vt:i4>
      </vt:variant>
      <vt:variant>
        <vt:lpwstr/>
      </vt:variant>
      <vt:variant>
        <vt:lpwstr>_Toc184825554</vt:lpwstr>
      </vt:variant>
      <vt:variant>
        <vt:i4>1507378</vt:i4>
      </vt:variant>
      <vt:variant>
        <vt:i4>491</vt:i4>
      </vt:variant>
      <vt:variant>
        <vt:i4>0</vt:i4>
      </vt:variant>
      <vt:variant>
        <vt:i4>5</vt:i4>
      </vt:variant>
      <vt:variant>
        <vt:lpwstr/>
      </vt:variant>
      <vt:variant>
        <vt:lpwstr>_Toc184825553</vt:lpwstr>
      </vt:variant>
      <vt:variant>
        <vt:i4>1507378</vt:i4>
      </vt:variant>
      <vt:variant>
        <vt:i4>485</vt:i4>
      </vt:variant>
      <vt:variant>
        <vt:i4>0</vt:i4>
      </vt:variant>
      <vt:variant>
        <vt:i4>5</vt:i4>
      </vt:variant>
      <vt:variant>
        <vt:lpwstr/>
      </vt:variant>
      <vt:variant>
        <vt:lpwstr>_Toc184825552</vt:lpwstr>
      </vt:variant>
      <vt:variant>
        <vt:i4>1507378</vt:i4>
      </vt:variant>
      <vt:variant>
        <vt:i4>479</vt:i4>
      </vt:variant>
      <vt:variant>
        <vt:i4>0</vt:i4>
      </vt:variant>
      <vt:variant>
        <vt:i4>5</vt:i4>
      </vt:variant>
      <vt:variant>
        <vt:lpwstr/>
      </vt:variant>
      <vt:variant>
        <vt:lpwstr>_Toc184825551</vt:lpwstr>
      </vt:variant>
      <vt:variant>
        <vt:i4>1507378</vt:i4>
      </vt:variant>
      <vt:variant>
        <vt:i4>473</vt:i4>
      </vt:variant>
      <vt:variant>
        <vt:i4>0</vt:i4>
      </vt:variant>
      <vt:variant>
        <vt:i4>5</vt:i4>
      </vt:variant>
      <vt:variant>
        <vt:lpwstr/>
      </vt:variant>
      <vt:variant>
        <vt:lpwstr>_Toc184825550</vt:lpwstr>
      </vt:variant>
      <vt:variant>
        <vt:i4>1441842</vt:i4>
      </vt:variant>
      <vt:variant>
        <vt:i4>467</vt:i4>
      </vt:variant>
      <vt:variant>
        <vt:i4>0</vt:i4>
      </vt:variant>
      <vt:variant>
        <vt:i4>5</vt:i4>
      </vt:variant>
      <vt:variant>
        <vt:lpwstr/>
      </vt:variant>
      <vt:variant>
        <vt:lpwstr>_Toc184825549</vt:lpwstr>
      </vt:variant>
      <vt:variant>
        <vt:i4>1441842</vt:i4>
      </vt:variant>
      <vt:variant>
        <vt:i4>461</vt:i4>
      </vt:variant>
      <vt:variant>
        <vt:i4>0</vt:i4>
      </vt:variant>
      <vt:variant>
        <vt:i4>5</vt:i4>
      </vt:variant>
      <vt:variant>
        <vt:lpwstr/>
      </vt:variant>
      <vt:variant>
        <vt:lpwstr>_Toc184825548</vt:lpwstr>
      </vt:variant>
      <vt:variant>
        <vt:i4>1441842</vt:i4>
      </vt:variant>
      <vt:variant>
        <vt:i4>455</vt:i4>
      </vt:variant>
      <vt:variant>
        <vt:i4>0</vt:i4>
      </vt:variant>
      <vt:variant>
        <vt:i4>5</vt:i4>
      </vt:variant>
      <vt:variant>
        <vt:lpwstr/>
      </vt:variant>
      <vt:variant>
        <vt:lpwstr>_Toc184825547</vt:lpwstr>
      </vt:variant>
      <vt:variant>
        <vt:i4>1441842</vt:i4>
      </vt:variant>
      <vt:variant>
        <vt:i4>449</vt:i4>
      </vt:variant>
      <vt:variant>
        <vt:i4>0</vt:i4>
      </vt:variant>
      <vt:variant>
        <vt:i4>5</vt:i4>
      </vt:variant>
      <vt:variant>
        <vt:lpwstr/>
      </vt:variant>
      <vt:variant>
        <vt:lpwstr>_Toc184825546</vt:lpwstr>
      </vt:variant>
      <vt:variant>
        <vt:i4>1441842</vt:i4>
      </vt:variant>
      <vt:variant>
        <vt:i4>443</vt:i4>
      </vt:variant>
      <vt:variant>
        <vt:i4>0</vt:i4>
      </vt:variant>
      <vt:variant>
        <vt:i4>5</vt:i4>
      </vt:variant>
      <vt:variant>
        <vt:lpwstr/>
      </vt:variant>
      <vt:variant>
        <vt:lpwstr>_Toc184825545</vt:lpwstr>
      </vt:variant>
      <vt:variant>
        <vt:i4>1441842</vt:i4>
      </vt:variant>
      <vt:variant>
        <vt:i4>437</vt:i4>
      </vt:variant>
      <vt:variant>
        <vt:i4>0</vt:i4>
      </vt:variant>
      <vt:variant>
        <vt:i4>5</vt:i4>
      </vt:variant>
      <vt:variant>
        <vt:lpwstr/>
      </vt:variant>
      <vt:variant>
        <vt:lpwstr>_Toc184825544</vt:lpwstr>
      </vt:variant>
      <vt:variant>
        <vt:i4>1441842</vt:i4>
      </vt:variant>
      <vt:variant>
        <vt:i4>431</vt:i4>
      </vt:variant>
      <vt:variant>
        <vt:i4>0</vt:i4>
      </vt:variant>
      <vt:variant>
        <vt:i4>5</vt:i4>
      </vt:variant>
      <vt:variant>
        <vt:lpwstr/>
      </vt:variant>
      <vt:variant>
        <vt:lpwstr>_Toc184825543</vt:lpwstr>
      </vt:variant>
      <vt:variant>
        <vt:i4>1441842</vt:i4>
      </vt:variant>
      <vt:variant>
        <vt:i4>425</vt:i4>
      </vt:variant>
      <vt:variant>
        <vt:i4>0</vt:i4>
      </vt:variant>
      <vt:variant>
        <vt:i4>5</vt:i4>
      </vt:variant>
      <vt:variant>
        <vt:lpwstr/>
      </vt:variant>
      <vt:variant>
        <vt:lpwstr>_Toc184825542</vt:lpwstr>
      </vt:variant>
      <vt:variant>
        <vt:i4>1441842</vt:i4>
      </vt:variant>
      <vt:variant>
        <vt:i4>419</vt:i4>
      </vt:variant>
      <vt:variant>
        <vt:i4>0</vt:i4>
      </vt:variant>
      <vt:variant>
        <vt:i4>5</vt:i4>
      </vt:variant>
      <vt:variant>
        <vt:lpwstr/>
      </vt:variant>
      <vt:variant>
        <vt:lpwstr>_Toc184825541</vt:lpwstr>
      </vt:variant>
      <vt:variant>
        <vt:i4>1441842</vt:i4>
      </vt:variant>
      <vt:variant>
        <vt:i4>413</vt:i4>
      </vt:variant>
      <vt:variant>
        <vt:i4>0</vt:i4>
      </vt:variant>
      <vt:variant>
        <vt:i4>5</vt:i4>
      </vt:variant>
      <vt:variant>
        <vt:lpwstr/>
      </vt:variant>
      <vt:variant>
        <vt:lpwstr>_Toc184825540</vt:lpwstr>
      </vt:variant>
      <vt:variant>
        <vt:i4>1114162</vt:i4>
      </vt:variant>
      <vt:variant>
        <vt:i4>407</vt:i4>
      </vt:variant>
      <vt:variant>
        <vt:i4>0</vt:i4>
      </vt:variant>
      <vt:variant>
        <vt:i4>5</vt:i4>
      </vt:variant>
      <vt:variant>
        <vt:lpwstr/>
      </vt:variant>
      <vt:variant>
        <vt:lpwstr>_Toc184825539</vt:lpwstr>
      </vt:variant>
      <vt:variant>
        <vt:i4>1114162</vt:i4>
      </vt:variant>
      <vt:variant>
        <vt:i4>401</vt:i4>
      </vt:variant>
      <vt:variant>
        <vt:i4>0</vt:i4>
      </vt:variant>
      <vt:variant>
        <vt:i4>5</vt:i4>
      </vt:variant>
      <vt:variant>
        <vt:lpwstr/>
      </vt:variant>
      <vt:variant>
        <vt:lpwstr>_Toc184825538</vt:lpwstr>
      </vt:variant>
      <vt:variant>
        <vt:i4>1114162</vt:i4>
      </vt:variant>
      <vt:variant>
        <vt:i4>395</vt:i4>
      </vt:variant>
      <vt:variant>
        <vt:i4>0</vt:i4>
      </vt:variant>
      <vt:variant>
        <vt:i4>5</vt:i4>
      </vt:variant>
      <vt:variant>
        <vt:lpwstr/>
      </vt:variant>
      <vt:variant>
        <vt:lpwstr>_Toc184825537</vt:lpwstr>
      </vt:variant>
      <vt:variant>
        <vt:i4>1114162</vt:i4>
      </vt:variant>
      <vt:variant>
        <vt:i4>389</vt:i4>
      </vt:variant>
      <vt:variant>
        <vt:i4>0</vt:i4>
      </vt:variant>
      <vt:variant>
        <vt:i4>5</vt:i4>
      </vt:variant>
      <vt:variant>
        <vt:lpwstr/>
      </vt:variant>
      <vt:variant>
        <vt:lpwstr>_Toc184825536</vt:lpwstr>
      </vt:variant>
      <vt:variant>
        <vt:i4>1114162</vt:i4>
      </vt:variant>
      <vt:variant>
        <vt:i4>383</vt:i4>
      </vt:variant>
      <vt:variant>
        <vt:i4>0</vt:i4>
      </vt:variant>
      <vt:variant>
        <vt:i4>5</vt:i4>
      </vt:variant>
      <vt:variant>
        <vt:lpwstr/>
      </vt:variant>
      <vt:variant>
        <vt:lpwstr>_Toc184825535</vt:lpwstr>
      </vt:variant>
      <vt:variant>
        <vt:i4>1114162</vt:i4>
      </vt:variant>
      <vt:variant>
        <vt:i4>377</vt:i4>
      </vt:variant>
      <vt:variant>
        <vt:i4>0</vt:i4>
      </vt:variant>
      <vt:variant>
        <vt:i4>5</vt:i4>
      </vt:variant>
      <vt:variant>
        <vt:lpwstr/>
      </vt:variant>
      <vt:variant>
        <vt:lpwstr>_Toc184825534</vt:lpwstr>
      </vt:variant>
      <vt:variant>
        <vt:i4>1114162</vt:i4>
      </vt:variant>
      <vt:variant>
        <vt:i4>371</vt:i4>
      </vt:variant>
      <vt:variant>
        <vt:i4>0</vt:i4>
      </vt:variant>
      <vt:variant>
        <vt:i4>5</vt:i4>
      </vt:variant>
      <vt:variant>
        <vt:lpwstr/>
      </vt:variant>
      <vt:variant>
        <vt:lpwstr>_Toc184825533</vt:lpwstr>
      </vt:variant>
      <vt:variant>
        <vt:i4>1114162</vt:i4>
      </vt:variant>
      <vt:variant>
        <vt:i4>365</vt:i4>
      </vt:variant>
      <vt:variant>
        <vt:i4>0</vt:i4>
      </vt:variant>
      <vt:variant>
        <vt:i4>5</vt:i4>
      </vt:variant>
      <vt:variant>
        <vt:lpwstr/>
      </vt:variant>
      <vt:variant>
        <vt:lpwstr>_Toc184825532</vt:lpwstr>
      </vt:variant>
      <vt:variant>
        <vt:i4>1114162</vt:i4>
      </vt:variant>
      <vt:variant>
        <vt:i4>359</vt:i4>
      </vt:variant>
      <vt:variant>
        <vt:i4>0</vt:i4>
      </vt:variant>
      <vt:variant>
        <vt:i4>5</vt:i4>
      </vt:variant>
      <vt:variant>
        <vt:lpwstr/>
      </vt:variant>
      <vt:variant>
        <vt:lpwstr>_Toc184825531</vt:lpwstr>
      </vt:variant>
      <vt:variant>
        <vt:i4>1114162</vt:i4>
      </vt:variant>
      <vt:variant>
        <vt:i4>353</vt:i4>
      </vt:variant>
      <vt:variant>
        <vt:i4>0</vt:i4>
      </vt:variant>
      <vt:variant>
        <vt:i4>5</vt:i4>
      </vt:variant>
      <vt:variant>
        <vt:lpwstr/>
      </vt:variant>
      <vt:variant>
        <vt:lpwstr>_Toc184825530</vt:lpwstr>
      </vt:variant>
      <vt:variant>
        <vt:i4>1048626</vt:i4>
      </vt:variant>
      <vt:variant>
        <vt:i4>347</vt:i4>
      </vt:variant>
      <vt:variant>
        <vt:i4>0</vt:i4>
      </vt:variant>
      <vt:variant>
        <vt:i4>5</vt:i4>
      </vt:variant>
      <vt:variant>
        <vt:lpwstr/>
      </vt:variant>
      <vt:variant>
        <vt:lpwstr>_Toc184825529</vt:lpwstr>
      </vt:variant>
      <vt:variant>
        <vt:i4>1048626</vt:i4>
      </vt:variant>
      <vt:variant>
        <vt:i4>341</vt:i4>
      </vt:variant>
      <vt:variant>
        <vt:i4>0</vt:i4>
      </vt:variant>
      <vt:variant>
        <vt:i4>5</vt:i4>
      </vt:variant>
      <vt:variant>
        <vt:lpwstr/>
      </vt:variant>
      <vt:variant>
        <vt:lpwstr>_Toc184825528</vt:lpwstr>
      </vt:variant>
      <vt:variant>
        <vt:i4>1048626</vt:i4>
      </vt:variant>
      <vt:variant>
        <vt:i4>335</vt:i4>
      </vt:variant>
      <vt:variant>
        <vt:i4>0</vt:i4>
      </vt:variant>
      <vt:variant>
        <vt:i4>5</vt:i4>
      </vt:variant>
      <vt:variant>
        <vt:lpwstr/>
      </vt:variant>
      <vt:variant>
        <vt:lpwstr>_Toc184825527</vt:lpwstr>
      </vt:variant>
      <vt:variant>
        <vt:i4>1048626</vt:i4>
      </vt:variant>
      <vt:variant>
        <vt:i4>329</vt:i4>
      </vt:variant>
      <vt:variant>
        <vt:i4>0</vt:i4>
      </vt:variant>
      <vt:variant>
        <vt:i4>5</vt:i4>
      </vt:variant>
      <vt:variant>
        <vt:lpwstr/>
      </vt:variant>
      <vt:variant>
        <vt:lpwstr>_Toc184825526</vt:lpwstr>
      </vt:variant>
      <vt:variant>
        <vt:i4>1048626</vt:i4>
      </vt:variant>
      <vt:variant>
        <vt:i4>323</vt:i4>
      </vt:variant>
      <vt:variant>
        <vt:i4>0</vt:i4>
      </vt:variant>
      <vt:variant>
        <vt:i4>5</vt:i4>
      </vt:variant>
      <vt:variant>
        <vt:lpwstr/>
      </vt:variant>
      <vt:variant>
        <vt:lpwstr>_Toc184825525</vt:lpwstr>
      </vt:variant>
      <vt:variant>
        <vt:i4>1048626</vt:i4>
      </vt:variant>
      <vt:variant>
        <vt:i4>317</vt:i4>
      </vt:variant>
      <vt:variant>
        <vt:i4>0</vt:i4>
      </vt:variant>
      <vt:variant>
        <vt:i4>5</vt:i4>
      </vt:variant>
      <vt:variant>
        <vt:lpwstr/>
      </vt:variant>
      <vt:variant>
        <vt:lpwstr>_Toc184825524</vt:lpwstr>
      </vt:variant>
      <vt:variant>
        <vt:i4>1048626</vt:i4>
      </vt:variant>
      <vt:variant>
        <vt:i4>311</vt:i4>
      </vt:variant>
      <vt:variant>
        <vt:i4>0</vt:i4>
      </vt:variant>
      <vt:variant>
        <vt:i4>5</vt:i4>
      </vt:variant>
      <vt:variant>
        <vt:lpwstr/>
      </vt:variant>
      <vt:variant>
        <vt:lpwstr>_Toc184825523</vt:lpwstr>
      </vt:variant>
      <vt:variant>
        <vt:i4>1048626</vt:i4>
      </vt:variant>
      <vt:variant>
        <vt:i4>305</vt:i4>
      </vt:variant>
      <vt:variant>
        <vt:i4>0</vt:i4>
      </vt:variant>
      <vt:variant>
        <vt:i4>5</vt:i4>
      </vt:variant>
      <vt:variant>
        <vt:lpwstr/>
      </vt:variant>
      <vt:variant>
        <vt:lpwstr>_Toc184825520</vt:lpwstr>
      </vt:variant>
      <vt:variant>
        <vt:i4>1245234</vt:i4>
      </vt:variant>
      <vt:variant>
        <vt:i4>299</vt:i4>
      </vt:variant>
      <vt:variant>
        <vt:i4>0</vt:i4>
      </vt:variant>
      <vt:variant>
        <vt:i4>5</vt:i4>
      </vt:variant>
      <vt:variant>
        <vt:lpwstr/>
      </vt:variant>
      <vt:variant>
        <vt:lpwstr>_Toc184825519</vt:lpwstr>
      </vt:variant>
      <vt:variant>
        <vt:i4>1245234</vt:i4>
      </vt:variant>
      <vt:variant>
        <vt:i4>293</vt:i4>
      </vt:variant>
      <vt:variant>
        <vt:i4>0</vt:i4>
      </vt:variant>
      <vt:variant>
        <vt:i4>5</vt:i4>
      </vt:variant>
      <vt:variant>
        <vt:lpwstr/>
      </vt:variant>
      <vt:variant>
        <vt:lpwstr>_Toc184825518</vt:lpwstr>
      </vt:variant>
      <vt:variant>
        <vt:i4>1245234</vt:i4>
      </vt:variant>
      <vt:variant>
        <vt:i4>287</vt:i4>
      </vt:variant>
      <vt:variant>
        <vt:i4>0</vt:i4>
      </vt:variant>
      <vt:variant>
        <vt:i4>5</vt:i4>
      </vt:variant>
      <vt:variant>
        <vt:lpwstr/>
      </vt:variant>
      <vt:variant>
        <vt:lpwstr>_Toc184825517</vt:lpwstr>
      </vt:variant>
      <vt:variant>
        <vt:i4>1245234</vt:i4>
      </vt:variant>
      <vt:variant>
        <vt:i4>281</vt:i4>
      </vt:variant>
      <vt:variant>
        <vt:i4>0</vt:i4>
      </vt:variant>
      <vt:variant>
        <vt:i4>5</vt:i4>
      </vt:variant>
      <vt:variant>
        <vt:lpwstr/>
      </vt:variant>
      <vt:variant>
        <vt:lpwstr>_Toc184825515</vt:lpwstr>
      </vt:variant>
      <vt:variant>
        <vt:i4>1245234</vt:i4>
      </vt:variant>
      <vt:variant>
        <vt:i4>275</vt:i4>
      </vt:variant>
      <vt:variant>
        <vt:i4>0</vt:i4>
      </vt:variant>
      <vt:variant>
        <vt:i4>5</vt:i4>
      </vt:variant>
      <vt:variant>
        <vt:lpwstr/>
      </vt:variant>
      <vt:variant>
        <vt:lpwstr>_Toc184825514</vt:lpwstr>
      </vt:variant>
      <vt:variant>
        <vt:i4>1245234</vt:i4>
      </vt:variant>
      <vt:variant>
        <vt:i4>269</vt:i4>
      </vt:variant>
      <vt:variant>
        <vt:i4>0</vt:i4>
      </vt:variant>
      <vt:variant>
        <vt:i4>5</vt:i4>
      </vt:variant>
      <vt:variant>
        <vt:lpwstr/>
      </vt:variant>
      <vt:variant>
        <vt:lpwstr>_Toc184825513</vt:lpwstr>
      </vt:variant>
      <vt:variant>
        <vt:i4>1245234</vt:i4>
      </vt:variant>
      <vt:variant>
        <vt:i4>263</vt:i4>
      </vt:variant>
      <vt:variant>
        <vt:i4>0</vt:i4>
      </vt:variant>
      <vt:variant>
        <vt:i4>5</vt:i4>
      </vt:variant>
      <vt:variant>
        <vt:lpwstr/>
      </vt:variant>
      <vt:variant>
        <vt:lpwstr>_Toc184825512</vt:lpwstr>
      </vt:variant>
      <vt:variant>
        <vt:i4>1245234</vt:i4>
      </vt:variant>
      <vt:variant>
        <vt:i4>257</vt:i4>
      </vt:variant>
      <vt:variant>
        <vt:i4>0</vt:i4>
      </vt:variant>
      <vt:variant>
        <vt:i4>5</vt:i4>
      </vt:variant>
      <vt:variant>
        <vt:lpwstr/>
      </vt:variant>
      <vt:variant>
        <vt:lpwstr>_Toc184825511</vt:lpwstr>
      </vt:variant>
      <vt:variant>
        <vt:i4>1245234</vt:i4>
      </vt:variant>
      <vt:variant>
        <vt:i4>251</vt:i4>
      </vt:variant>
      <vt:variant>
        <vt:i4>0</vt:i4>
      </vt:variant>
      <vt:variant>
        <vt:i4>5</vt:i4>
      </vt:variant>
      <vt:variant>
        <vt:lpwstr/>
      </vt:variant>
      <vt:variant>
        <vt:lpwstr>_Toc184825510</vt:lpwstr>
      </vt:variant>
      <vt:variant>
        <vt:i4>1179698</vt:i4>
      </vt:variant>
      <vt:variant>
        <vt:i4>245</vt:i4>
      </vt:variant>
      <vt:variant>
        <vt:i4>0</vt:i4>
      </vt:variant>
      <vt:variant>
        <vt:i4>5</vt:i4>
      </vt:variant>
      <vt:variant>
        <vt:lpwstr/>
      </vt:variant>
      <vt:variant>
        <vt:lpwstr>_Toc184825509</vt:lpwstr>
      </vt:variant>
      <vt:variant>
        <vt:i4>1179698</vt:i4>
      </vt:variant>
      <vt:variant>
        <vt:i4>239</vt:i4>
      </vt:variant>
      <vt:variant>
        <vt:i4>0</vt:i4>
      </vt:variant>
      <vt:variant>
        <vt:i4>5</vt:i4>
      </vt:variant>
      <vt:variant>
        <vt:lpwstr/>
      </vt:variant>
      <vt:variant>
        <vt:lpwstr>_Toc184825508</vt:lpwstr>
      </vt:variant>
      <vt:variant>
        <vt:i4>1179698</vt:i4>
      </vt:variant>
      <vt:variant>
        <vt:i4>233</vt:i4>
      </vt:variant>
      <vt:variant>
        <vt:i4>0</vt:i4>
      </vt:variant>
      <vt:variant>
        <vt:i4>5</vt:i4>
      </vt:variant>
      <vt:variant>
        <vt:lpwstr/>
      </vt:variant>
      <vt:variant>
        <vt:lpwstr>_Toc184825507</vt:lpwstr>
      </vt:variant>
      <vt:variant>
        <vt:i4>1179698</vt:i4>
      </vt:variant>
      <vt:variant>
        <vt:i4>227</vt:i4>
      </vt:variant>
      <vt:variant>
        <vt:i4>0</vt:i4>
      </vt:variant>
      <vt:variant>
        <vt:i4>5</vt:i4>
      </vt:variant>
      <vt:variant>
        <vt:lpwstr/>
      </vt:variant>
      <vt:variant>
        <vt:lpwstr>_Toc184825506</vt:lpwstr>
      </vt:variant>
      <vt:variant>
        <vt:i4>1179698</vt:i4>
      </vt:variant>
      <vt:variant>
        <vt:i4>221</vt:i4>
      </vt:variant>
      <vt:variant>
        <vt:i4>0</vt:i4>
      </vt:variant>
      <vt:variant>
        <vt:i4>5</vt:i4>
      </vt:variant>
      <vt:variant>
        <vt:lpwstr/>
      </vt:variant>
      <vt:variant>
        <vt:lpwstr>_Toc184825505</vt:lpwstr>
      </vt:variant>
      <vt:variant>
        <vt:i4>1179698</vt:i4>
      </vt:variant>
      <vt:variant>
        <vt:i4>215</vt:i4>
      </vt:variant>
      <vt:variant>
        <vt:i4>0</vt:i4>
      </vt:variant>
      <vt:variant>
        <vt:i4>5</vt:i4>
      </vt:variant>
      <vt:variant>
        <vt:lpwstr/>
      </vt:variant>
      <vt:variant>
        <vt:lpwstr>_Toc184825504</vt:lpwstr>
      </vt:variant>
      <vt:variant>
        <vt:i4>1179698</vt:i4>
      </vt:variant>
      <vt:variant>
        <vt:i4>209</vt:i4>
      </vt:variant>
      <vt:variant>
        <vt:i4>0</vt:i4>
      </vt:variant>
      <vt:variant>
        <vt:i4>5</vt:i4>
      </vt:variant>
      <vt:variant>
        <vt:lpwstr/>
      </vt:variant>
      <vt:variant>
        <vt:lpwstr>_Toc184825503</vt:lpwstr>
      </vt:variant>
      <vt:variant>
        <vt:i4>1179698</vt:i4>
      </vt:variant>
      <vt:variant>
        <vt:i4>203</vt:i4>
      </vt:variant>
      <vt:variant>
        <vt:i4>0</vt:i4>
      </vt:variant>
      <vt:variant>
        <vt:i4>5</vt:i4>
      </vt:variant>
      <vt:variant>
        <vt:lpwstr/>
      </vt:variant>
      <vt:variant>
        <vt:lpwstr>_Toc184825502</vt:lpwstr>
      </vt:variant>
      <vt:variant>
        <vt:i4>1179698</vt:i4>
      </vt:variant>
      <vt:variant>
        <vt:i4>197</vt:i4>
      </vt:variant>
      <vt:variant>
        <vt:i4>0</vt:i4>
      </vt:variant>
      <vt:variant>
        <vt:i4>5</vt:i4>
      </vt:variant>
      <vt:variant>
        <vt:lpwstr/>
      </vt:variant>
      <vt:variant>
        <vt:lpwstr>_Toc184825501</vt:lpwstr>
      </vt:variant>
      <vt:variant>
        <vt:i4>1179698</vt:i4>
      </vt:variant>
      <vt:variant>
        <vt:i4>191</vt:i4>
      </vt:variant>
      <vt:variant>
        <vt:i4>0</vt:i4>
      </vt:variant>
      <vt:variant>
        <vt:i4>5</vt:i4>
      </vt:variant>
      <vt:variant>
        <vt:lpwstr/>
      </vt:variant>
      <vt:variant>
        <vt:lpwstr>_Toc184825500</vt:lpwstr>
      </vt:variant>
      <vt:variant>
        <vt:i4>1769523</vt:i4>
      </vt:variant>
      <vt:variant>
        <vt:i4>185</vt:i4>
      </vt:variant>
      <vt:variant>
        <vt:i4>0</vt:i4>
      </vt:variant>
      <vt:variant>
        <vt:i4>5</vt:i4>
      </vt:variant>
      <vt:variant>
        <vt:lpwstr/>
      </vt:variant>
      <vt:variant>
        <vt:lpwstr>_Toc184825499</vt:lpwstr>
      </vt:variant>
      <vt:variant>
        <vt:i4>1769523</vt:i4>
      </vt:variant>
      <vt:variant>
        <vt:i4>179</vt:i4>
      </vt:variant>
      <vt:variant>
        <vt:i4>0</vt:i4>
      </vt:variant>
      <vt:variant>
        <vt:i4>5</vt:i4>
      </vt:variant>
      <vt:variant>
        <vt:lpwstr/>
      </vt:variant>
      <vt:variant>
        <vt:lpwstr>_Toc184825498</vt:lpwstr>
      </vt:variant>
      <vt:variant>
        <vt:i4>1769523</vt:i4>
      </vt:variant>
      <vt:variant>
        <vt:i4>173</vt:i4>
      </vt:variant>
      <vt:variant>
        <vt:i4>0</vt:i4>
      </vt:variant>
      <vt:variant>
        <vt:i4>5</vt:i4>
      </vt:variant>
      <vt:variant>
        <vt:lpwstr/>
      </vt:variant>
      <vt:variant>
        <vt:lpwstr>_Toc184825497</vt:lpwstr>
      </vt:variant>
      <vt:variant>
        <vt:i4>1769523</vt:i4>
      </vt:variant>
      <vt:variant>
        <vt:i4>167</vt:i4>
      </vt:variant>
      <vt:variant>
        <vt:i4>0</vt:i4>
      </vt:variant>
      <vt:variant>
        <vt:i4>5</vt:i4>
      </vt:variant>
      <vt:variant>
        <vt:lpwstr/>
      </vt:variant>
      <vt:variant>
        <vt:lpwstr>_Toc184825496</vt:lpwstr>
      </vt:variant>
      <vt:variant>
        <vt:i4>1769523</vt:i4>
      </vt:variant>
      <vt:variant>
        <vt:i4>161</vt:i4>
      </vt:variant>
      <vt:variant>
        <vt:i4>0</vt:i4>
      </vt:variant>
      <vt:variant>
        <vt:i4>5</vt:i4>
      </vt:variant>
      <vt:variant>
        <vt:lpwstr/>
      </vt:variant>
      <vt:variant>
        <vt:lpwstr>_Toc184825495</vt:lpwstr>
      </vt:variant>
      <vt:variant>
        <vt:i4>1769523</vt:i4>
      </vt:variant>
      <vt:variant>
        <vt:i4>155</vt:i4>
      </vt:variant>
      <vt:variant>
        <vt:i4>0</vt:i4>
      </vt:variant>
      <vt:variant>
        <vt:i4>5</vt:i4>
      </vt:variant>
      <vt:variant>
        <vt:lpwstr/>
      </vt:variant>
      <vt:variant>
        <vt:lpwstr>_Toc184825494</vt:lpwstr>
      </vt:variant>
      <vt:variant>
        <vt:i4>1769523</vt:i4>
      </vt:variant>
      <vt:variant>
        <vt:i4>149</vt:i4>
      </vt:variant>
      <vt:variant>
        <vt:i4>0</vt:i4>
      </vt:variant>
      <vt:variant>
        <vt:i4>5</vt:i4>
      </vt:variant>
      <vt:variant>
        <vt:lpwstr/>
      </vt:variant>
      <vt:variant>
        <vt:lpwstr>_Toc184825493</vt:lpwstr>
      </vt:variant>
      <vt:variant>
        <vt:i4>1769523</vt:i4>
      </vt:variant>
      <vt:variant>
        <vt:i4>143</vt:i4>
      </vt:variant>
      <vt:variant>
        <vt:i4>0</vt:i4>
      </vt:variant>
      <vt:variant>
        <vt:i4>5</vt:i4>
      </vt:variant>
      <vt:variant>
        <vt:lpwstr/>
      </vt:variant>
      <vt:variant>
        <vt:lpwstr>_Toc184825492</vt:lpwstr>
      </vt:variant>
      <vt:variant>
        <vt:i4>1769523</vt:i4>
      </vt:variant>
      <vt:variant>
        <vt:i4>137</vt:i4>
      </vt:variant>
      <vt:variant>
        <vt:i4>0</vt:i4>
      </vt:variant>
      <vt:variant>
        <vt:i4>5</vt:i4>
      </vt:variant>
      <vt:variant>
        <vt:lpwstr/>
      </vt:variant>
      <vt:variant>
        <vt:lpwstr>_Toc184825491</vt:lpwstr>
      </vt:variant>
      <vt:variant>
        <vt:i4>1769523</vt:i4>
      </vt:variant>
      <vt:variant>
        <vt:i4>131</vt:i4>
      </vt:variant>
      <vt:variant>
        <vt:i4>0</vt:i4>
      </vt:variant>
      <vt:variant>
        <vt:i4>5</vt:i4>
      </vt:variant>
      <vt:variant>
        <vt:lpwstr/>
      </vt:variant>
      <vt:variant>
        <vt:lpwstr>_Toc184825490</vt:lpwstr>
      </vt:variant>
      <vt:variant>
        <vt:i4>1703987</vt:i4>
      </vt:variant>
      <vt:variant>
        <vt:i4>125</vt:i4>
      </vt:variant>
      <vt:variant>
        <vt:i4>0</vt:i4>
      </vt:variant>
      <vt:variant>
        <vt:i4>5</vt:i4>
      </vt:variant>
      <vt:variant>
        <vt:lpwstr/>
      </vt:variant>
      <vt:variant>
        <vt:lpwstr>_Toc184825489</vt:lpwstr>
      </vt:variant>
      <vt:variant>
        <vt:i4>1703987</vt:i4>
      </vt:variant>
      <vt:variant>
        <vt:i4>119</vt:i4>
      </vt:variant>
      <vt:variant>
        <vt:i4>0</vt:i4>
      </vt:variant>
      <vt:variant>
        <vt:i4>5</vt:i4>
      </vt:variant>
      <vt:variant>
        <vt:lpwstr/>
      </vt:variant>
      <vt:variant>
        <vt:lpwstr>_Toc184825488</vt:lpwstr>
      </vt:variant>
      <vt:variant>
        <vt:i4>1703987</vt:i4>
      </vt:variant>
      <vt:variant>
        <vt:i4>113</vt:i4>
      </vt:variant>
      <vt:variant>
        <vt:i4>0</vt:i4>
      </vt:variant>
      <vt:variant>
        <vt:i4>5</vt:i4>
      </vt:variant>
      <vt:variant>
        <vt:lpwstr/>
      </vt:variant>
      <vt:variant>
        <vt:lpwstr>_Toc184825487</vt:lpwstr>
      </vt:variant>
      <vt:variant>
        <vt:i4>1703987</vt:i4>
      </vt:variant>
      <vt:variant>
        <vt:i4>107</vt:i4>
      </vt:variant>
      <vt:variant>
        <vt:i4>0</vt:i4>
      </vt:variant>
      <vt:variant>
        <vt:i4>5</vt:i4>
      </vt:variant>
      <vt:variant>
        <vt:lpwstr/>
      </vt:variant>
      <vt:variant>
        <vt:lpwstr>_Toc184825486</vt:lpwstr>
      </vt:variant>
      <vt:variant>
        <vt:i4>1703987</vt:i4>
      </vt:variant>
      <vt:variant>
        <vt:i4>101</vt:i4>
      </vt:variant>
      <vt:variant>
        <vt:i4>0</vt:i4>
      </vt:variant>
      <vt:variant>
        <vt:i4>5</vt:i4>
      </vt:variant>
      <vt:variant>
        <vt:lpwstr/>
      </vt:variant>
      <vt:variant>
        <vt:lpwstr>_Toc184825485</vt:lpwstr>
      </vt:variant>
      <vt:variant>
        <vt:i4>1703987</vt:i4>
      </vt:variant>
      <vt:variant>
        <vt:i4>95</vt:i4>
      </vt:variant>
      <vt:variant>
        <vt:i4>0</vt:i4>
      </vt:variant>
      <vt:variant>
        <vt:i4>5</vt:i4>
      </vt:variant>
      <vt:variant>
        <vt:lpwstr/>
      </vt:variant>
      <vt:variant>
        <vt:lpwstr>_Toc184825484</vt:lpwstr>
      </vt:variant>
      <vt:variant>
        <vt:i4>1703987</vt:i4>
      </vt:variant>
      <vt:variant>
        <vt:i4>89</vt:i4>
      </vt:variant>
      <vt:variant>
        <vt:i4>0</vt:i4>
      </vt:variant>
      <vt:variant>
        <vt:i4>5</vt:i4>
      </vt:variant>
      <vt:variant>
        <vt:lpwstr/>
      </vt:variant>
      <vt:variant>
        <vt:lpwstr>_Toc184825483</vt:lpwstr>
      </vt:variant>
      <vt:variant>
        <vt:i4>1703987</vt:i4>
      </vt:variant>
      <vt:variant>
        <vt:i4>83</vt:i4>
      </vt:variant>
      <vt:variant>
        <vt:i4>0</vt:i4>
      </vt:variant>
      <vt:variant>
        <vt:i4>5</vt:i4>
      </vt:variant>
      <vt:variant>
        <vt:lpwstr/>
      </vt:variant>
      <vt:variant>
        <vt:lpwstr>_Toc184825482</vt:lpwstr>
      </vt:variant>
      <vt:variant>
        <vt:i4>1703987</vt:i4>
      </vt:variant>
      <vt:variant>
        <vt:i4>77</vt:i4>
      </vt:variant>
      <vt:variant>
        <vt:i4>0</vt:i4>
      </vt:variant>
      <vt:variant>
        <vt:i4>5</vt:i4>
      </vt:variant>
      <vt:variant>
        <vt:lpwstr/>
      </vt:variant>
      <vt:variant>
        <vt:lpwstr>_Toc184825481</vt:lpwstr>
      </vt:variant>
      <vt:variant>
        <vt:i4>1703987</vt:i4>
      </vt:variant>
      <vt:variant>
        <vt:i4>71</vt:i4>
      </vt:variant>
      <vt:variant>
        <vt:i4>0</vt:i4>
      </vt:variant>
      <vt:variant>
        <vt:i4>5</vt:i4>
      </vt:variant>
      <vt:variant>
        <vt:lpwstr/>
      </vt:variant>
      <vt:variant>
        <vt:lpwstr>_Toc184825480</vt:lpwstr>
      </vt:variant>
      <vt:variant>
        <vt:i4>1376307</vt:i4>
      </vt:variant>
      <vt:variant>
        <vt:i4>65</vt:i4>
      </vt:variant>
      <vt:variant>
        <vt:i4>0</vt:i4>
      </vt:variant>
      <vt:variant>
        <vt:i4>5</vt:i4>
      </vt:variant>
      <vt:variant>
        <vt:lpwstr/>
      </vt:variant>
      <vt:variant>
        <vt:lpwstr>_Toc184825479</vt:lpwstr>
      </vt:variant>
      <vt:variant>
        <vt:i4>1376307</vt:i4>
      </vt:variant>
      <vt:variant>
        <vt:i4>59</vt:i4>
      </vt:variant>
      <vt:variant>
        <vt:i4>0</vt:i4>
      </vt:variant>
      <vt:variant>
        <vt:i4>5</vt:i4>
      </vt:variant>
      <vt:variant>
        <vt:lpwstr/>
      </vt:variant>
      <vt:variant>
        <vt:lpwstr>_Toc184825478</vt:lpwstr>
      </vt:variant>
      <vt:variant>
        <vt:i4>1376307</vt:i4>
      </vt:variant>
      <vt:variant>
        <vt:i4>53</vt:i4>
      </vt:variant>
      <vt:variant>
        <vt:i4>0</vt:i4>
      </vt:variant>
      <vt:variant>
        <vt:i4>5</vt:i4>
      </vt:variant>
      <vt:variant>
        <vt:lpwstr/>
      </vt:variant>
      <vt:variant>
        <vt:lpwstr>_Toc184825477</vt:lpwstr>
      </vt:variant>
      <vt:variant>
        <vt:i4>1376307</vt:i4>
      </vt:variant>
      <vt:variant>
        <vt:i4>47</vt:i4>
      </vt:variant>
      <vt:variant>
        <vt:i4>0</vt:i4>
      </vt:variant>
      <vt:variant>
        <vt:i4>5</vt:i4>
      </vt:variant>
      <vt:variant>
        <vt:lpwstr/>
      </vt:variant>
      <vt:variant>
        <vt:lpwstr>_Toc184825476</vt:lpwstr>
      </vt:variant>
      <vt:variant>
        <vt:i4>1376307</vt:i4>
      </vt:variant>
      <vt:variant>
        <vt:i4>41</vt:i4>
      </vt:variant>
      <vt:variant>
        <vt:i4>0</vt:i4>
      </vt:variant>
      <vt:variant>
        <vt:i4>5</vt:i4>
      </vt:variant>
      <vt:variant>
        <vt:lpwstr/>
      </vt:variant>
      <vt:variant>
        <vt:lpwstr>_Toc184825475</vt:lpwstr>
      </vt:variant>
      <vt:variant>
        <vt:i4>1376307</vt:i4>
      </vt:variant>
      <vt:variant>
        <vt:i4>35</vt:i4>
      </vt:variant>
      <vt:variant>
        <vt:i4>0</vt:i4>
      </vt:variant>
      <vt:variant>
        <vt:i4>5</vt:i4>
      </vt:variant>
      <vt:variant>
        <vt:lpwstr/>
      </vt:variant>
      <vt:variant>
        <vt:lpwstr>_Toc184825474</vt:lpwstr>
      </vt:variant>
      <vt:variant>
        <vt:i4>1376307</vt:i4>
      </vt:variant>
      <vt:variant>
        <vt:i4>29</vt:i4>
      </vt:variant>
      <vt:variant>
        <vt:i4>0</vt:i4>
      </vt:variant>
      <vt:variant>
        <vt:i4>5</vt:i4>
      </vt:variant>
      <vt:variant>
        <vt:lpwstr/>
      </vt:variant>
      <vt:variant>
        <vt:lpwstr>_Toc184825473</vt:lpwstr>
      </vt:variant>
      <vt:variant>
        <vt:i4>1376307</vt:i4>
      </vt:variant>
      <vt:variant>
        <vt:i4>23</vt:i4>
      </vt:variant>
      <vt:variant>
        <vt:i4>0</vt:i4>
      </vt:variant>
      <vt:variant>
        <vt:i4>5</vt:i4>
      </vt:variant>
      <vt:variant>
        <vt:lpwstr/>
      </vt:variant>
      <vt:variant>
        <vt:lpwstr>_Toc184825472</vt:lpwstr>
      </vt:variant>
      <vt:variant>
        <vt:i4>1376307</vt:i4>
      </vt:variant>
      <vt:variant>
        <vt:i4>17</vt:i4>
      </vt:variant>
      <vt:variant>
        <vt:i4>0</vt:i4>
      </vt:variant>
      <vt:variant>
        <vt:i4>5</vt:i4>
      </vt:variant>
      <vt:variant>
        <vt:lpwstr/>
      </vt:variant>
      <vt:variant>
        <vt:lpwstr>_Toc184825471</vt:lpwstr>
      </vt:variant>
      <vt:variant>
        <vt:i4>1376307</vt:i4>
      </vt:variant>
      <vt:variant>
        <vt:i4>11</vt:i4>
      </vt:variant>
      <vt:variant>
        <vt:i4>0</vt:i4>
      </vt:variant>
      <vt:variant>
        <vt:i4>5</vt:i4>
      </vt:variant>
      <vt:variant>
        <vt:lpwstr/>
      </vt:variant>
      <vt:variant>
        <vt:lpwstr>_Toc184825470</vt:lpwstr>
      </vt:variant>
      <vt:variant>
        <vt:i4>1310771</vt:i4>
      </vt:variant>
      <vt:variant>
        <vt:i4>5</vt:i4>
      </vt:variant>
      <vt:variant>
        <vt:i4>0</vt:i4>
      </vt:variant>
      <vt:variant>
        <vt:i4>5</vt:i4>
      </vt:variant>
      <vt:variant>
        <vt:lpwstr/>
      </vt:variant>
      <vt:variant>
        <vt:lpwstr>_Toc184825469</vt:lpwstr>
      </vt:variant>
      <vt:variant>
        <vt:i4>917531</vt:i4>
      </vt:variant>
      <vt:variant>
        <vt:i4>0</vt:i4>
      </vt:variant>
      <vt:variant>
        <vt:i4>0</vt:i4>
      </vt:variant>
      <vt:variant>
        <vt:i4>5</vt:i4>
      </vt:variant>
      <vt:variant>
        <vt:lpwstr>https://environment.govt.nz/</vt:lpwstr>
      </vt:variant>
      <vt:variant>
        <vt:lpwstr/>
      </vt:variant>
      <vt:variant>
        <vt:i4>852045</vt:i4>
      </vt:variant>
      <vt:variant>
        <vt:i4>732</vt:i4>
      </vt:variant>
      <vt:variant>
        <vt:i4>0</vt:i4>
      </vt:variant>
      <vt:variant>
        <vt:i4>5</vt:i4>
      </vt:variant>
      <vt:variant>
        <vt:lpwstr>https://environment.govt.nz/publications/new-zealands-greenhouse-gas-inventory-1990-2022/</vt:lpwstr>
      </vt:variant>
      <vt:variant>
        <vt:lpwstr/>
      </vt:variant>
      <vt:variant>
        <vt:i4>5701720</vt:i4>
      </vt:variant>
      <vt:variant>
        <vt:i4>729</vt:i4>
      </vt:variant>
      <vt:variant>
        <vt:i4>0</vt:i4>
      </vt:variant>
      <vt:variant>
        <vt:i4>5</vt:i4>
      </vt:variant>
      <vt:variant>
        <vt:lpwstr>https://unfccc.int/sites/default/files/NDC/2022-06/New Zealand NDC November 2021.pdf</vt:lpwstr>
      </vt:variant>
      <vt:variant>
        <vt:lpwstr/>
      </vt:variant>
      <vt:variant>
        <vt:i4>524361</vt:i4>
      </vt:variant>
      <vt:variant>
        <vt:i4>726</vt:i4>
      </vt:variant>
      <vt:variant>
        <vt:i4>0</vt:i4>
      </vt:variant>
      <vt:variant>
        <vt:i4>5</vt:i4>
      </vt:variant>
      <vt:variant>
        <vt:lpwstr>http://gsd.spc.int/frdp/</vt:lpwstr>
      </vt:variant>
      <vt:variant>
        <vt:lpwstr/>
      </vt:variant>
      <vt:variant>
        <vt:i4>2752629</vt:i4>
      </vt:variant>
      <vt:variant>
        <vt:i4>723</vt:i4>
      </vt:variant>
      <vt:variant>
        <vt:i4>0</vt:i4>
      </vt:variant>
      <vt:variant>
        <vt:i4>5</vt:i4>
      </vt:variant>
      <vt:variant>
        <vt:lpwstr>http://www.mfat.govt.nz/assets/Aid-Prog-docs/Policy/Policy-Statement-New-Zealands-International-Cooperation-for-Effective-Sustainable-Development-ICESD.pdf</vt:lpwstr>
      </vt:variant>
      <vt:variant>
        <vt:lpwstr/>
      </vt:variant>
      <vt:variant>
        <vt:i4>6094877</vt:i4>
      </vt:variant>
      <vt:variant>
        <vt:i4>720</vt:i4>
      </vt:variant>
      <vt:variant>
        <vt:i4>0</vt:i4>
      </vt:variant>
      <vt:variant>
        <vt:i4>5</vt:i4>
      </vt:variant>
      <vt:variant>
        <vt:lpwstr>https://www.mfat.govt.nz/assets/Aid/Climate-finance/International-Climate-Finance-Strategy-At-a-glance-FINAL.pdf</vt:lpwstr>
      </vt:variant>
      <vt:variant>
        <vt:lpwstr/>
      </vt:variant>
      <vt:variant>
        <vt:i4>4587549</vt:i4>
      </vt:variant>
      <vt:variant>
        <vt:i4>717</vt:i4>
      </vt:variant>
      <vt:variant>
        <vt:i4>0</vt:i4>
      </vt:variant>
      <vt:variant>
        <vt:i4>5</vt:i4>
      </vt:variant>
      <vt:variant>
        <vt:lpwstr>https://www.gns.cri.nz/research-projects/natural-hazards-and-resilience-platform/</vt:lpwstr>
      </vt:variant>
      <vt:variant>
        <vt:lpwstr/>
      </vt:variant>
      <vt:variant>
        <vt:i4>6160396</vt:i4>
      </vt:variant>
      <vt:variant>
        <vt:i4>714</vt:i4>
      </vt:variant>
      <vt:variant>
        <vt:i4>0</vt:i4>
      </vt:variant>
      <vt:variant>
        <vt:i4>5</vt:i4>
      </vt:variant>
      <vt:variant>
        <vt:lpwstr>https://www.mbie.govt.nz/science-and-technology/science-and-innovation/funding-information-and-opportunities/investment-funds/national-science-challenges</vt:lpwstr>
      </vt:variant>
      <vt:variant>
        <vt:lpwstr/>
      </vt:variant>
      <vt:variant>
        <vt:i4>3932220</vt:i4>
      </vt:variant>
      <vt:variant>
        <vt:i4>711</vt:i4>
      </vt:variant>
      <vt:variant>
        <vt:i4>0</vt:i4>
      </vt:variant>
      <vt:variant>
        <vt:i4>5</vt:i4>
      </vt:variant>
      <vt:variant>
        <vt:lpwstr>https://www.rbnz.govt.nz/-/media/project/sites/rbnz/files/publications/financial-stability-reports/2024/may-2024/fsr-may-24.pdf</vt:lpwstr>
      </vt:variant>
      <vt:variant>
        <vt:lpwstr/>
      </vt:variant>
      <vt:variant>
        <vt:i4>2490490</vt:i4>
      </vt:variant>
      <vt:variant>
        <vt:i4>708</vt:i4>
      </vt:variant>
      <vt:variant>
        <vt:i4>0</vt:i4>
      </vt:variant>
      <vt:variant>
        <vt:i4>5</vt:i4>
      </vt:variant>
      <vt:variant>
        <vt:lpwstr>https://www.xrb.govt.nz/standards/climate-related-disclosures/resources/sector-level-scenario-analysis/</vt:lpwstr>
      </vt:variant>
      <vt:variant>
        <vt:lpwstr/>
      </vt:variant>
      <vt:variant>
        <vt:i4>7667752</vt:i4>
      </vt:variant>
      <vt:variant>
        <vt:i4>705</vt:i4>
      </vt:variant>
      <vt:variant>
        <vt:i4>0</vt:i4>
      </vt:variant>
      <vt:variant>
        <vt:i4>5</vt:i4>
      </vt:variant>
      <vt:variant>
        <vt:lpwstr>https://www.theaotearoacircle.nz/reports-resources</vt:lpwstr>
      </vt:variant>
      <vt:variant>
        <vt:lpwstr/>
      </vt:variant>
      <vt:variant>
        <vt:i4>3801196</vt:i4>
      </vt:variant>
      <vt:variant>
        <vt:i4>702</vt:i4>
      </vt:variant>
      <vt:variant>
        <vt:i4>0</vt:i4>
      </vt:variant>
      <vt:variant>
        <vt:i4>5</vt:i4>
      </vt:variant>
      <vt:variant>
        <vt:lpwstr>https://maketuclimateplan.iwi.nz/wp-content/uploads/2023/11/He-Toka-Tu-Moana-Maketu-Climate-change-Adaption.pdf</vt:lpwstr>
      </vt:variant>
      <vt:variant>
        <vt:lpwstr/>
      </vt:variant>
      <vt:variant>
        <vt:i4>7995446</vt:i4>
      </vt:variant>
      <vt:variant>
        <vt:i4>699</vt:i4>
      </vt:variant>
      <vt:variant>
        <vt:i4>0</vt:i4>
      </vt:variant>
      <vt:variant>
        <vt:i4>5</vt:i4>
      </vt:variant>
      <vt:variant>
        <vt:lpwstr>https://tearawa.io/wp-content/uploads/2021/09/RS03642-Ta-Arawa-Climate-Change-Strategy.pdf</vt:lpwstr>
      </vt:variant>
      <vt:variant>
        <vt:lpwstr/>
      </vt:variant>
      <vt:variant>
        <vt:i4>7733287</vt:i4>
      </vt:variant>
      <vt:variant>
        <vt:i4>696</vt:i4>
      </vt:variant>
      <vt:variant>
        <vt:i4>0</vt:i4>
      </vt:variant>
      <vt:variant>
        <vt:i4>5</vt:i4>
      </vt:variant>
      <vt:variant>
        <vt:lpwstr>https://ngaitahu.iwi.nz/assets/Documents/NT_Te-Kounga-Paparangi_FA.pdf</vt:lpwstr>
      </vt:variant>
      <vt:variant>
        <vt:lpwstr/>
      </vt:variant>
      <vt:variant>
        <vt:i4>3604591</vt:i4>
      </vt:variant>
      <vt:variant>
        <vt:i4>693</vt:i4>
      </vt:variant>
      <vt:variant>
        <vt:i4>0</vt:i4>
      </vt:variant>
      <vt:variant>
        <vt:i4>5</vt:i4>
      </vt:variant>
      <vt:variant>
        <vt:lpwstr>https://ngaitahu.iwi.nz/assets/Documents/Ngai-Tahu-Climate-Change-Strategy.pdf</vt:lpwstr>
      </vt:variant>
      <vt:variant>
        <vt:lpwstr/>
      </vt:variant>
      <vt:variant>
        <vt:i4>8257639</vt:i4>
      </vt:variant>
      <vt:variant>
        <vt:i4>690</vt:i4>
      </vt:variant>
      <vt:variant>
        <vt:i4>0</vt:i4>
      </vt:variant>
      <vt:variant>
        <vt:i4>5</vt:i4>
      </vt:variant>
      <vt:variant>
        <vt:lpwstr>https://environment.govt.nz/assets/publications/ngaa-rauru-kiitahi-climate-change-strategy.pdf</vt:lpwstr>
      </vt:variant>
      <vt:variant>
        <vt:lpwstr/>
      </vt:variant>
      <vt:variant>
        <vt:i4>131158</vt:i4>
      </vt:variant>
      <vt:variant>
        <vt:i4>687</vt:i4>
      </vt:variant>
      <vt:variant>
        <vt:i4>0</vt:i4>
      </vt:variant>
      <vt:variant>
        <vt:i4>5</vt:i4>
      </vt:variant>
      <vt:variant>
        <vt:lpwstr>https://www.whakatane.govt.nz/documents/council-plans/operative-district-plan-2017/plan-change-1-awatarariki-fanhead-matat%C4%81</vt:lpwstr>
      </vt:variant>
      <vt:variant>
        <vt:lpwstr/>
      </vt:variant>
      <vt:variant>
        <vt:i4>5767193</vt:i4>
      </vt:variant>
      <vt:variant>
        <vt:i4>684</vt:i4>
      </vt:variant>
      <vt:variant>
        <vt:i4>0</vt:i4>
      </vt:variant>
      <vt:variant>
        <vt:i4>5</vt:i4>
      </vt:variant>
      <vt:variant>
        <vt:lpwstr>https://www.whakatane.govt.nz/residents/awatarariki-managed-retreat-programme</vt:lpwstr>
      </vt:variant>
      <vt:variant>
        <vt:lpwstr/>
      </vt:variant>
      <vt:variant>
        <vt:i4>4194397</vt:i4>
      </vt:variant>
      <vt:variant>
        <vt:i4>681</vt:i4>
      </vt:variant>
      <vt:variant>
        <vt:i4>0</vt:i4>
      </vt:variant>
      <vt:variant>
        <vt:i4>5</vt:i4>
      </vt:variant>
      <vt:variant>
        <vt:lpwstr>https://www.tcdc.govt.nz/Our-Community/Council-Projects/Current-Projects/Coastal-Management/Shoreline-Management-Pathways-Project</vt:lpwstr>
      </vt:variant>
      <vt:variant>
        <vt:lpwstr/>
      </vt:variant>
      <vt:variant>
        <vt:i4>4653060</vt:i4>
      </vt:variant>
      <vt:variant>
        <vt:i4>678</vt:i4>
      </vt:variant>
      <vt:variant>
        <vt:i4>0</vt:i4>
      </vt:variant>
      <vt:variant>
        <vt:i4>5</vt:i4>
      </vt:variant>
      <vt:variant>
        <vt:lpwstr>https://www.tcdc.govt.nz/Our-Council/Strategies/Coastal-Activity-and-Coastal-Management-Strategy</vt:lpwstr>
      </vt:variant>
      <vt:variant>
        <vt:lpwstr/>
      </vt:variant>
      <vt:variant>
        <vt:i4>4259910</vt:i4>
      </vt:variant>
      <vt:variant>
        <vt:i4>675</vt:i4>
      </vt:variant>
      <vt:variant>
        <vt:i4>0</vt:i4>
      </vt:variant>
      <vt:variant>
        <vt:i4>5</vt:i4>
      </vt:variant>
      <vt:variant>
        <vt:lpwstr>https://www.dunedin.govt.nz/council/council-projects/south-dunedin-future</vt:lpwstr>
      </vt:variant>
      <vt:variant>
        <vt:lpwstr/>
      </vt:variant>
      <vt:variant>
        <vt:i4>2752629</vt:i4>
      </vt:variant>
      <vt:variant>
        <vt:i4>672</vt:i4>
      </vt:variant>
      <vt:variant>
        <vt:i4>0</vt:i4>
      </vt:variant>
      <vt:variant>
        <vt:i4>5</vt:i4>
      </vt:variant>
      <vt:variant>
        <vt:lpwstr>https://www.orc.govt.nz/get-involved/projects-in-your-area/head-of-lake-whakatipu/</vt:lpwstr>
      </vt:variant>
      <vt:variant>
        <vt:lpwstr/>
      </vt:variant>
      <vt:variant>
        <vt:i4>3539049</vt:i4>
      </vt:variant>
      <vt:variant>
        <vt:i4>669</vt:i4>
      </vt:variant>
      <vt:variant>
        <vt:i4>0</vt:i4>
      </vt:variant>
      <vt:variant>
        <vt:i4>5</vt:i4>
      </vt:variant>
      <vt:variant>
        <vt:lpwstr>https://www.hbcoast.co.nz/</vt:lpwstr>
      </vt:variant>
      <vt:variant>
        <vt:lpwstr/>
      </vt:variant>
      <vt:variant>
        <vt:i4>2621496</vt:i4>
      </vt:variant>
      <vt:variant>
        <vt:i4>666</vt:i4>
      </vt:variant>
      <vt:variant>
        <vt:i4>0</vt:i4>
      </vt:variant>
      <vt:variant>
        <vt:i4>5</vt:i4>
      </vt:variant>
      <vt:variant>
        <vt:lpwstr>https://www.climatecommission.govt.nz/our-work/adaptation/nappa/nappa-2024/</vt:lpwstr>
      </vt:variant>
      <vt:variant>
        <vt:lpwstr/>
      </vt:variant>
      <vt:variant>
        <vt:i4>2621543</vt:i4>
      </vt:variant>
      <vt:variant>
        <vt:i4>663</vt:i4>
      </vt:variant>
      <vt:variant>
        <vt:i4>0</vt:i4>
      </vt:variant>
      <vt:variant>
        <vt:i4>5</vt:i4>
      </vt:variant>
      <vt:variant>
        <vt:lpwstr>https://environment.govt.nz/assets/March-Quarterly-Progress-Report.pdf</vt:lpwstr>
      </vt:variant>
      <vt:variant>
        <vt:lpwstr/>
      </vt:variant>
      <vt:variant>
        <vt:i4>2621543</vt:i4>
      </vt:variant>
      <vt:variant>
        <vt:i4>660</vt:i4>
      </vt:variant>
      <vt:variant>
        <vt:i4>0</vt:i4>
      </vt:variant>
      <vt:variant>
        <vt:i4>5</vt:i4>
      </vt:variant>
      <vt:variant>
        <vt:lpwstr>https://environment.govt.nz/assets/March-Quarterly-Progress-Report.pdf</vt:lpwstr>
      </vt:variant>
      <vt:variant>
        <vt:lpwstr/>
      </vt:variant>
      <vt:variant>
        <vt:i4>8257639</vt:i4>
      </vt:variant>
      <vt:variant>
        <vt:i4>657</vt:i4>
      </vt:variant>
      <vt:variant>
        <vt:i4>0</vt:i4>
      </vt:variant>
      <vt:variant>
        <vt:i4>5</vt:i4>
      </vt:variant>
      <vt:variant>
        <vt:lpwstr>https://environment.govt.nz/assets/publications/ngaa-rauru-kiitahi-climate-change-strategy.pdf</vt:lpwstr>
      </vt:variant>
      <vt:variant>
        <vt:lpwstr/>
      </vt:variant>
      <vt:variant>
        <vt:i4>4325454</vt:i4>
      </vt:variant>
      <vt:variant>
        <vt:i4>654</vt:i4>
      </vt:variant>
      <vt:variant>
        <vt:i4>0</vt:i4>
      </vt:variant>
      <vt:variant>
        <vt:i4>5</vt:i4>
      </vt:variant>
      <vt:variant>
        <vt:lpwstr>https://storymaps.arcgis.com/stories/155527d42155408c8b08649ca971dad0</vt:lpwstr>
      </vt:variant>
      <vt:variant>
        <vt:lpwstr/>
      </vt:variant>
      <vt:variant>
        <vt:i4>3801196</vt:i4>
      </vt:variant>
      <vt:variant>
        <vt:i4>651</vt:i4>
      </vt:variant>
      <vt:variant>
        <vt:i4>0</vt:i4>
      </vt:variant>
      <vt:variant>
        <vt:i4>5</vt:i4>
      </vt:variant>
      <vt:variant>
        <vt:lpwstr>https://maketuclimateplan.iwi.nz/wp-content/uploads/2023/11/He-Toka-Tu-Moana-Maketu-Climate-change-Adaption.pdf</vt:lpwstr>
      </vt:variant>
      <vt:variant>
        <vt:lpwstr/>
      </vt:variant>
      <vt:variant>
        <vt:i4>7995446</vt:i4>
      </vt:variant>
      <vt:variant>
        <vt:i4>648</vt:i4>
      </vt:variant>
      <vt:variant>
        <vt:i4>0</vt:i4>
      </vt:variant>
      <vt:variant>
        <vt:i4>5</vt:i4>
      </vt:variant>
      <vt:variant>
        <vt:lpwstr>https://tearawa.io/wp-content/uploads/2021/09/RS03642-Ta-Arawa-Climate-Change-Strategy.pdf</vt:lpwstr>
      </vt:variant>
      <vt:variant>
        <vt:lpwstr/>
      </vt:variant>
      <vt:variant>
        <vt:i4>3604591</vt:i4>
      </vt:variant>
      <vt:variant>
        <vt:i4>645</vt:i4>
      </vt:variant>
      <vt:variant>
        <vt:i4>0</vt:i4>
      </vt:variant>
      <vt:variant>
        <vt:i4>5</vt:i4>
      </vt:variant>
      <vt:variant>
        <vt:lpwstr>https://ngaitahu.iwi.nz/assets/Documents/Ngai-Tahu-Climate-Change-Strategy.pdf</vt:lpwstr>
      </vt:variant>
      <vt:variant>
        <vt:lpwstr/>
      </vt:variant>
      <vt:variant>
        <vt:i4>7733287</vt:i4>
      </vt:variant>
      <vt:variant>
        <vt:i4>642</vt:i4>
      </vt:variant>
      <vt:variant>
        <vt:i4>0</vt:i4>
      </vt:variant>
      <vt:variant>
        <vt:i4>5</vt:i4>
      </vt:variant>
      <vt:variant>
        <vt:lpwstr>https://ngaitahu.iwi.nz/assets/Documents/NT_Te-Kounga-Paparangi_FA.pdf</vt:lpwstr>
      </vt:variant>
      <vt:variant>
        <vt:lpwstr/>
      </vt:variant>
      <vt:variant>
        <vt:i4>7340134</vt:i4>
      </vt:variant>
      <vt:variant>
        <vt:i4>639</vt:i4>
      </vt:variant>
      <vt:variant>
        <vt:i4>0</vt:i4>
      </vt:variant>
      <vt:variant>
        <vt:i4>5</vt:i4>
      </vt:variant>
      <vt:variant>
        <vt:lpwstr>https://www.maramatanga.ac.nz/te-arotahi-07</vt:lpwstr>
      </vt:variant>
      <vt:variant>
        <vt:lpwstr/>
      </vt:variant>
      <vt:variant>
        <vt:i4>3145845</vt:i4>
      </vt:variant>
      <vt:variant>
        <vt:i4>636</vt:i4>
      </vt:variant>
      <vt:variant>
        <vt:i4>0</vt:i4>
      </vt:variant>
      <vt:variant>
        <vt:i4>5</vt:i4>
      </vt:variant>
      <vt:variant>
        <vt:lpwstr>https://teara.govt.nz/en/nga-manu-birds</vt:lpwstr>
      </vt:variant>
      <vt:variant>
        <vt:lpwstr/>
      </vt:variant>
      <vt:variant>
        <vt:i4>4325430</vt:i4>
      </vt:variant>
      <vt:variant>
        <vt:i4>630</vt:i4>
      </vt:variant>
      <vt:variant>
        <vt:i4>0</vt:i4>
      </vt:variant>
      <vt:variant>
        <vt:i4>5</vt:i4>
      </vt:variant>
      <vt:variant>
        <vt:lpwstr>https://www.researchgate.net/publication/258423762_Harmsworth_GR_Awatere_S_2013_Indigenous_Maori_knowledge_and_perspectives_of_ecosystems_In_Dymond_JR_ed_Ecosystem_services_in_New_Zealand_-_conditions_and_trends_Manaaki_Whenua_Press_Lincoln_New_Zealan</vt:lpwstr>
      </vt:variant>
      <vt:variant>
        <vt:lpwstr/>
      </vt:variant>
      <vt:variant>
        <vt:i4>7340134</vt:i4>
      </vt:variant>
      <vt:variant>
        <vt:i4>627</vt:i4>
      </vt:variant>
      <vt:variant>
        <vt:i4>0</vt:i4>
      </vt:variant>
      <vt:variant>
        <vt:i4>5</vt:i4>
      </vt:variant>
      <vt:variant>
        <vt:lpwstr>https://www.maramatanga.ac.nz/te-arotahi-07</vt:lpwstr>
      </vt:variant>
      <vt:variant>
        <vt:lpwstr/>
      </vt:variant>
      <vt:variant>
        <vt:i4>8126500</vt:i4>
      </vt:variant>
      <vt:variant>
        <vt:i4>624</vt:i4>
      </vt:variant>
      <vt:variant>
        <vt:i4>0</vt:i4>
      </vt:variant>
      <vt:variant>
        <vt:i4>5</vt:i4>
      </vt:variant>
      <vt:variant>
        <vt:lpwstr/>
      </vt:variant>
      <vt:variant>
        <vt:lpwstr>section3312</vt:lpwstr>
      </vt:variant>
      <vt:variant>
        <vt:i4>7667752</vt:i4>
      </vt:variant>
      <vt:variant>
        <vt:i4>621</vt:i4>
      </vt:variant>
      <vt:variant>
        <vt:i4>0</vt:i4>
      </vt:variant>
      <vt:variant>
        <vt:i4>5</vt:i4>
      </vt:variant>
      <vt:variant>
        <vt:lpwstr>https://www.theaotearoacircle.nz/reports-resources</vt:lpwstr>
      </vt:variant>
      <vt:variant>
        <vt:lpwstr/>
      </vt:variant>
      <vt:variant>
        <vt:i4>327707</vt:i4>
      </vt:variant>
      <vt:variant>
        <vt:i4>618</vt:i4>
      </vt:variant>
      <vt:variant>
        <vt:i4>0</vt:i4>
      </vt:variant>
      <vt:variant>
        <vt:i4>5</vt:i4>
      </vt:variant>
      <vt:variant>
        <vt:lpwstr>https://environment.govt.nz/publications/adaptation-preparedness-2024-update/</vt:lpwstr>
      </vt:variant>
      <vt:variant>
        <vt:lpwstr/>
      </vt:variant>
      <vt:variant>
        <vt:i4>3932286</vt:i4>
      </vt:variant>
      <vt:variant>
        <vt:i4>615</vt:i4>
      </vt:variant>
      <vt:variant>
        <vt:i4>0</vt:i4>
      </vt:variant>
      <vt:variant>
        <vt:i4>5</vt:i4>
      </vt:variant>
      <vt:variant>
        <vt:lpwstr>https://environment.govt.nz/what-government-is-doing/areas-of-work/climate-change/adapting-to-climate-change/adaptation-framework/</vt:lpwstr>
      </vt:variant>
      <vt:variant>
        <vt:lpwstr/>
      </vt:variant>
      <vt:variant>
        <vt:i4>720925</vt:i4>
      </vt:variant>
      <vt:variant>
        <vt:i4>612</vt:i4>
      </vt:variant>
      <vt:variant>
        <vt:i4>0</vt:i4>
      </vt:variant>
      <vt:variant>
        <vt:i4>5</vt:i4>
      </vt:variant>
      <vt:variant>
        <vt:lpwstr>https://environment.govt.nz/assets/publications/climate-change/MFE-AoG-20664-GF-National-Adaptation-Plan-Table-of-Actions-WEB.pdf</vt:lpwstr>
      </vt:variant>
      <vt:variant>
        <vt:lpwstr/>
      </vt:variant>
      <vt:variant>
        <vt:i4>1835019</vt:i4>
      </vt:variant>
      <vt:variant>
        <vt:i4>609</vt:i4>
      </vt:variant>
      <vt:variant>
        <vt:i4>0</vt:i4>
      </vt:variant>
      <vt:variant>
        <vt:i4>5</vt:i4>
      </vt:variant>
      <vt:variant>
        <vt:lpwstr>https://environment.govt.nz/publications/aotearoa-new-zealands-first-national-adaptation-plan/adapting-to-climate-change-our-long-term-strategy/</vt:lpwstr>
      </vt:variant>
      <vt:variant>
        <vt:lpwstr/>
      </vt:variant>
      <vt:variant>
        <vt:i4>6946903</vt:i4>
      </vt:variant>
      <vt:variant>
        <vt:i4>606</vt:i4>
      </vt:variant>
      <vt:variant>
        <vt:i4>0</vt:i4>
      </vt:variant>
      <vt:variant>
        <vt:i4>5</vt:i4>
      </vt:variant>
      <vt:variant>
        <vt:lpwstr>https://environment.govt.nz/assets/J001281-MfE-Climate-strategy-brochure-FF_webV2.pdf</vt:lpwstr>
      </vt:variant>
      <vt:variant>
        <vt:lpwstr/>
      </vt:variant>
      <vt:variant>
        <vt:i4>7274573</vt:i4>
      </vt:variant>
      <vt:variant>
        <vt:i4>603</vt:i4>
      </vt:variant>
      <vt:variant>
        <vt:i4>0</vt:i4>
      </vt:variant>
      <vt:variant>
        <vt:i4>5</vt:i4>
      </vt:variant>
      <vt:variant>
        <vt:lpwstr>https://www.parliament.nz/resource/en-NZ/54SCFIN_ADV_f4a021af-6284-4959-1470-08dc7066ff1a_FIN879/eba89262969c6dbc0f5103a54834db5cf94dbdb5</vt:lpwstr>
      </vt:variant>
      <vt:variant>
        <vt:lpwstr/>
      </vt:variant>
      <vt:variant>
        <vt:i4>720925</vt:i4>
      </vt:variant>
      <vt:variant>
        <vt:i4>600</vt:i4>
      </vt:variant>
      <vt:variant>
        <vt:i4>0</vt:i4>
      </vt:variant>
      <vt:variant>
        <vt:i4>5</vt:i4>
      </vt:variant>
      <vt:variant>
        <vt:lpwstr>https://environment.govt.nz/assets/publications/climate-change/MFE-AoG-20664-GF-National-Adaptation-Plan-Table-of-Actions-WEB.pdf</vt:lpwstr>
      </vt:variant>
      <vt:variant>
        <vt:lpwstr/>
      </vt:variant>
      <vt:variant>
        <vt:i4>7274573</vt:i4>
      </vt:variant>
      <vt:variant>
        <vt:i4>597</vt:i4>
      </vt:variant>
      <vt:variant>
        <vt:i4>0</vt:i4>
      </vt:variant>
      <vt:variant>
        <vt:i4>5</vt:i4>
      </vt:variant>
      <vt:variant>
        <vt:lpwstr>https://www.parliament.nz/resource/en-NZ/54SCFIN_ADV_f4a021af-6284-4959-1470-08dc7066ff1a_FIN879/eba89262969c6dbc0f5103a54834db5cf94dbdb5</vt:lpwstr>
      </vt:variant>
      <vt:variant>
        <vt:lpwstr/>
      </vt:variant>
      <vt:variant>
        <vt:i4>5111876</vt:i4>
      </vt:variant>
      <vt:variant>
        <vt:i4>594</vt:i4>
      </vt:variant>
      <vt:variant>
        <vt:i4>0</vt:i4>
      </vt:variant>
      <vt:variant>
        <vt:i4>5</vt:i4>
      </vt:variant>
      <vt:variant>
        <vt:lpwstr>https://environment.govt.nz/assets/Publications/Files/national-climate-change-risk-assessment-main-report.pdf</vt:lpwstr>
      </vt:variant>
      <vt:variant>
        <vt:lpwstr/>
      </vt:variant>
      <vt:variant>
        <vt:i4>6160464</vt:i4>
      </vt:variant>
      <vt:variant>
        <vt:i4>591</vt:i4>
      </vt:variant>
      <vt:variant>
        <vt:i4>0</vt:i4>
      </vt:variant>
      <vt:variant>
        <vt:i4>5</vt:i4>
      </vt:variant>
      <vt:variant>
        <vt:lpwstr>https://environment.govt.nz/assets/publications/climate-change/MFE-AoG-20664-GF-National-Adaptation-Plan-2022-WEB.pdf</vt:lpwstr>
      </vt:variant>
      <vt:variant>
        <vt:lpwstr/>
      </vt:variant>
      <vt:variant>
        <vt:i4>3735605</vt:i4>
      </vt:variant>
      <vt:variant>
        <vt:i4>588</vt:i4>
      </vt:variant>
      <vt:variant>
        <vt:i4>0</vt:i4>
      </vt:variant>
      <vt:variant>
        <vt:i4>5</vt:i4>
      </vt:variant>
      <vt:variant>
        <vt:lpwstr>https://environment.govt.nz/publications/report-of-the-expert-working-group-on-managed-retreat-a-proposed-system-for-te-hekenga-rauora/</vt:lpwstr>
      </vt:variant>
      <vt:variant>
        <vt:lpwstr/>
      </vt:variant>
      <vt:variant>
        <vt:i4>3801125</vt:i4>
      </vt:variant>
      <vt:variant>
        <vt:i4>585</vt:i4>
      </vt:variant>
      <vt:variant>
        <vt:i4>0</vt:i4>
      </vt:variant>
      <vt:variant>
        <vt:i4>5</vt:i4>
      </vt:variant>
      <vt:variant>
        <vt:lpwstr>https://environment.govt.nz/assets/publications/climate-change/Community-led-retreat-Issues-and-options.pdf</vt:lpwstr>
      </vt:variant>
      <vt:variant>
        <vt:lpwstr/>
      </vt:variant>
      <vt:variant>
        <vt:i4>7274573</vt:i4>
      </vt:variant>
      <vt:variant>
        <vt:i4>582</vt:i4>
      </vt:variant>
      <vt:variant>
        <vt:i4>0</vt:i4>
      </vt:variant>
      <vt:variant>
        <vt:i4>5</vt:i4>
      </vt:variant>
      <vt:variant>
        <vt:lpwstr>https://www.parliament.nz/resource/en-NZ/54SCFIN_ADV_f4a021af-6284-4959-1470-08dc7066ff1a_FIN879/eba89262969c6dbc0f5103a54834db5cf94dbdb5</vt:lpwstr>
      </vt:variant>
      <vt:variant>
        <vt:lpwstr/>
      </vt:variant>
      <vt:variant>
        <vt:i4>2490427</vt:i4>
      </vt:variant>
      <vt:variant>
        <vt:i4>579</vt:i4>
      </vt:variant>
      <vt:variant>
        <vt:i4>0</vt:i4>
      </vt:variant>
      <vt:variant>
        <vt:i4>5</vt:i4>
      </vt:variant>
      <vt:variant>
        <vt:lpwstr>https://www.parliament.nz/en/pb/sc/scl/finance-and-expenditure/tab/submissionsandadvice</vt:lpwstr>
      </vt:variant>
      <vt:variant>
        <vt:lpwstr/>
      </vt:variant>
      <vt:variant>
        <vt:i4>327707</vt:i4>
      </vt:variant>
      <vt:variant>
        <vt:i4>576</vt:i4>
      </vt:variant>
      <vt:variant>
        <vt:i4>0</vt:i4>
      </vt:variant>
      <vt:variant>
        <vt:i4>5</vt:i4>
      </vt:variant>
      <vt:variant>
        <vt:lpwstr>https://environment.govt.nz/publications/adaptation-preparedness-2024-update/</vt:lpwstr>
      </vt:variant>
      <vt:variant>
        <vt:lpwstr/>
      </vt:variant>
      <vt:variant>
        <vt:i4>6160464</vt:i4>
      </vt:variant>
      <vt:variant>
        <vt:i4>573</vt:i4>
      </vt:variant>
      <vt:variant>
        <vt:i4>0</vt:i4>
      </vt:variant>
      <vt:variant>
        <vt:i4>5</vt:i4>
      </vt:variant>
      <vt:variant>
        <vt:lpwstr>https://environment.govt.nz/assets/publications/climate-change/MFE-AoG-20664-GF-National-Adaptation-Plan-2022-WEB.pdf</vt:lpwstr>
      </vt:variant>
      <vt:variant>
        <vt:lpwstr/>
      </vt:variant>
      <vt:variant>
        <vt:i4>2621496</vt:i4>
      </vt:variant>
      <vt:variant>
        <vt:i4>570</vt:i4>
      </vt:variant>
      <vt:variant>
        <vt:i4>0</vt:i4>
      </vt:variant>
      <vt:variant>
        <vt:i4>5</vt:i4>
      </vt:variant>
      <vt:variant>
        <vt:lpwstr>https://www.climatecommission.govt.nz/our-work/adaptation/nappa/nappa-2024/</vt:lpwstr>
      </vt:variant>
      <vt:variant>
        <vt:lpwstr/>
      </vt:variant>
      <vt:variant>
        <vt:i4>8192097</vt:i4>
      </vt:variant>
      <vt:variant>
        <vt:i4>567</vt:i4>
      </vt:variant>
      <vt:variant>
        <vt:i4>0</vt:i4>
      </vt:variant>
      <vt:variant>
        <vt:i4>5</vt:i4>
      </vt:variant>
      <vt:variant>
        <vt:lpwstr>https://selectcommittees.parliament.nz/v/6/821f67ff-6f67-43d2-cd3a-08dce18146d7</vt:lpwstr>
      </vt:variant>
      <vt:variant>
        <vt:lpwstr/>
      </vt:variant>
      <vt:variant>
        <vt:i4>2621496</vt:i4>
      </vt:variant>
      <vt:variant>
        <vt:i4>564</vt:i4>
      </vt:variant>
      <vt:variant>
        <vt:i4>0</vt:i4>
      </vt:variant>
      <vt:variant>
        <vt:i4>5</vt:i4>
      </vt:variant>
      <vt:variant>
        <vt:lpwstr>https://www.climatecommission.govt.nz/our-work/adaptation/nappa/nappa-2024/</vt:lpwstr>
      </vt:variant>
      <vt:variant>
        <vt:lpwstr/>
      </vt:variant>
      <vt:variant>
        <vt:i4>7667752</vt:i4>
      </vt:variant>
      <vt:variant>
        <vt:i4>561</vt:i4>
      </vt:variant>
      <vt:variant>
        <vt:i4>0</vt:i4>
      </vt:variant>
      <vt:variant>
        <vt:i4>5</vt:i4>
      </vt:variant>
      <vt:variant>
        <vt:lpwstr>https://www.theaotearoacircle.nz/reports-resources</vt:lpwstr>
      </vt:variant>
      <vt:variant>
        <vt:lpwstr/>
      </vt:variant>
      <vt:variant>
        <vt:i4>4980804</vt:i4>
      </vt:variant>
      <vt:variant>
        <vt:i4>558</vt:i4>
      </vt:variant>
      <vt:variant>
        <vt:i4>0</vt:i4>
      </vt:variant>
      <vt:variant>
        <vt:i4>5</vt:i4>
      </vt:variant>
      <vt:variant>
        <vt:lpwstr>https://environment.govt.nz/publications/coastal-hazards-and-climate-change-guidance/</vt:lpwstr>
      </vt:variant>
      <vt:variant>
        <vt:lpwstr/>
      </vt:variant>
      <vt:variant>
        <vt:i4>1507341</vt:i4>
      </vt:variant>
      <vt:variant>
        <vt:i4>555</vt:i4>
      </vt:variant>
      <vt:variant>
        <vt:i4>0</vt:i4>
      </vt:variant>
      <vt:variant>
        <vt:i4>5</vt:i4>
      </vt:variant>
      <vt:variant>
        <vt:lpwstr>https://environment.govt.nz/assets/publications/climate-risk-assessment-guide.pdf</vt:lpwstr>
      </vt:variant>
      <vt:variant>
        <vt:lpwstr/>
      </vt:variant>
      <vt:variant>
        <vt:i4>2621494</vt:i4>
      </vt:variant>
      <vt:variant>
        <vt:i4>552</vt:i4>
      </vt:variant>
      <vt:variant>
        <vt:i4>0</vt:i4>
      </vt:variant>
      <vt:variant>
        <vt:i4>5</vt:i4>
      </vt:variant>
      <vt:variant>
        <vt:lpwstr>https://environment.govt.nz/assets/Publications/Files/national-climate-change-risk-assessment-method-report.pdf</vt:lpwstr>
      </vt:variant>
      <vt:variant>
        <vt:lpwstr/>
      </vt:variant>
      <vt:variant>
        <vt:i4>3866671</vt:i4>
      </vt:variant>
      <vt:variant>
        <vt:i4>549</vt:i4>
      </vt:variant>
      <vt:variant>
        <vt:i4>0</vt:i4>
      </vt:variant>
      <vt:variant>
        <vt:i4>5</vt:i4>
      </vt:variant>
      <vt:variant>
        <vt:lpwstr>https://environment.govt.nz/assets/Publications/Files/national-climate-change-risk-assessment-technical-report.pdf</vt:lpwstr>
      </vt:variant>
      <vt:variant>
        <vt:lpwstr/>
      </vt:variant>
      <vt:variant>
        <vt:i4>5111876</vt:i4>
      </vt:variant>
      <vt:variant>
        <vt:i4>546</vt:i4>
      </vt:variant>
      <vt:variant>
        <vt:i4>0</vt:i4>
      </vt:variant>
      <vt:variant>
        <vt:i4>5</vt:i4>
      </vt:variant>
      <vt:variant>
        <vt:lpwstr>https://environment.govt.nz/assets/Publications/Files/national-climate-change-risk-assessment-main-report.pdf</vt:lpwstr>
      </vt:variant>
      <vt:variant>
        <vt:lpwstr/>
      </vt:variant>
      <vt:variant>
        <vt:i4>2359350</vt:i4>
      </vt:variant>
      <vt:variant>
        <vt:i4>543</vt:i4>
      </vt:variant>
      <vt:variant>
        <vt:i4>0</vt:i4>
      </vt:variant>
      <vt:variant>
        <vt:i4>5</vt:i4>
      </vt:variant>
      <vt:variant>
        <vt:lpwstr>https://environment.govt.nz/assets/Publications/Files/arotakenga-huringa-ahuarangi-framework-for-national-climate-change-risk-assessment-for-aotearoa-FINAL.pdf</vt:lpwstr>
      </vt:variant>
      <vt:variant>
        <vt:lpwstr/>
      </vt:variant>
      <vt:variant>
        <vt:i4>5111876</vt:i4>
      </vt:variant>
      <vt:variant>
        <vt:i4>540</vt:i4>
      </vt:variant>
      <vt:variant>
        <vt:i4>0</vt:i4>
      </vt:variant>
      <vt:variant>
        <vt:i4>5</vt:i4>
      </vt:variant>
      <vt:variant>
        <vt:lpwstr>https://environment.govt.nz/assets/Publications/Files/national-climate-change-risk-assessment-main-report.pdf</vt:lpwstr>
      </vt:variant>
      <vt:variant>
        <vt:lpwstr/>
      </vt:variant>
      <vt:variant>
        <vt:i4>6946931</vt:i4>
      </vt:variant>
      <vt:variant>
        <vt:i4>537</vt:i4>
      </vt:variant>
      <vt:variant>
        <vt:i4>0</vt:i4>
      </vt:variant>
      <vt:variant>
        <vt:i4>5</vt:i4>
      </vt:variant>
      <vt:variant>
        <vt:lpwstr>https://www.rbnz.govt.nz/hub/publications/bulletin/2024/rbb-2024-87-05</vt:lpwstr>
      </vt:variant>
      <vt:variant>
        <vt:lpwstr/>
      </vt:variant>
      <vt:variant>
        <vt:i4>2031700</vt:i4>
      </vt:variant>
      <vt:variant>
        <vt:i4>534</vt:i4>
      </vt:variant>
      <vt:variant>
        <vt:i4>0</vt:i4>
      </vt:variant>
      <vt:variant>
        <vt:i4>5</vt:i4>
      </vt:variant>
      <vt:variant>
        <vt:lpwstr>https://www.treasury.govt.nz/sites/default/files/2023-04/impacts-from-the-north-island-weather-events.pdf</vt:lpwstr>
      </vt:variant>
      <vt:variant>
        <vt:lpwstr/>
      </vt:variant>
      <vt:variant>
        <vt:i4>3211302</vt:i4>
      </vt:variant>
      <vt:variant>
        <vt:i4>531</vt:i4>
      </vt:variant>
      <vt:variant>
        <vt:i4>0</vt:i4>
      </vt:variant>
      <vt:variant>
        <vt:i4>5</vt:i4>
      </vt:variant>
      <vt:variant>
        <vt:lpwstr>https://www.thebci.org/uploads/assets/uploaded/c50072bf-df5c-4c98-a5e1876aafb15bd0.pdf</vt:lpwstr>
      </vt:variant>
      <vt:variant>
        <vt:lpwstr/>
      </vt:variant>
      <vt:variant>
        <vt:i4>2424947</vt:i4>
      </vt:variant>
      <vt:variant>
        <vt:i4>528</vt:i4>
      </vt:variant>
      <vt:variant>
        <vt:i4>0</vt:i4>
      </vt:variant>
      <vt:variant>
        <vt:i4>5</vt:i4>
      </vt:variant>
      <vt:variant>
        <vt:lpwstr>https://www.mbie.govt.nz/assets/electricity-demand-and-generation-scenarios-report-2024.pdf</vt:lpwstr>
      </vt:variant>
      <vt:variant>
        <vt:lpwstr/>
      </vt:variant>
      <vt:variant>
        <vt:i4>3670120</vt:i4>
      </vt:variant>
      <vt:variant>
        <vt:i4>525</vt:i4>
      </vt:variant>
      <vt:variant>
        <vt:i4>0</vt:i4>
      </vt:variant>
      <vt:variant>
        <vt:i4>5</vt:i4>
      </vt:variant>
      <vt:variant>
        <vt:lpwstr>https://www.mbie.govt.nz/dmsdocument/28350-climate-change-impacts-on-new-zealand-hydro-catchment-inflows-and-wind-speeds-february-2022</vt:lpwstr>
      </vt:variant>
      <vt:variant>
        <vt:lpwstr/>
      </vt:variant>
      <vt:variant>
        <vt:i4>3342449</vt:i4>
      </vt:variant>
      <vt:variant>
        <vt:i4>520</vt:i4>
      </vt:variant>
      <vt:variant>
        <vt:i4>0</vt:i4>
      </vt:variant>
      <vt:variant>
        <vt:i4>5</vt:i4>
      </vt:variant>
      <vt:variant>
        <vt:lpwstr>https://environment.govt.nz/assets/publications/Environmental-Reporting/Our-atmosphere-and-climate-2023.pdf</vt:lpwstr>
      </vt:variant>
      <vt:variant>
        <vt:lpwstr/>
      </vt:variant>
      <vt:variant>
        <vt:i4>3735663</vt:i4>
      </vt:variant>
      <vt:variant>
        <vt:i4>517</vt:i4>
      </vt:variant>
      <vt:variant>
        <vt:i4>0</vt:i4>
      </vt:variant>
      <vt:variant>
        <vt:i4>5</vt:i4>
      </vt:variant>
      <vt:variant>
        <vt:lpwstr>https://doi.org/10.1016/j.ijdrr.2023.103826</vt:lpwstr>
      </vt:variant>
      <vt:variant>
        <vt:lpwstr/>
      </vt:variant>
      <vt:variant>
        <vt:i4>1572952</vt:i4>
      </vt:variant>
      <vt:variant>
        <vt:i4>514</vt:i4>
      </vt:variant>
      <vt:variant>
        <vt:i4>0</vt:i4>
      </vt:variant>
      <vt:variant>
        <vt:i4>5</vt:i4>
      </vt:variant>
      <vt:variant>
        <vt:lpwstr>https://deepsouthchallenge.co.nz/wp-content/uploads/2021/01/Insurance-Retreat-December-2020-Final-Report.pdf</vt:lpwstr>
      </vt:variant>
      <vt:variant>
        <vt:lpwstr/>
      </vt:variant>
      <vt:variant>
        <vt:i4>458841</vt:i4>
      </vt:variant>
      <vt:variant>
        <vt:i4>511</vt:i4>
      </vt:variant>
      <vt:variant>
        <vt:i4>0</vt:i4>
      </vt:variant>
      <vt:variant>
        <vt:i4>5</vt:i4>
      </vt:variant>
      <vt:variant>
        <vt:lpwstr>https://www.tpk.govt.nz/en/mo-te-puni-kokiri/our-stories-and-media/understanding-climate-hazards-for-hapori-maori</vt:lpwstr>
      </vt:variant>
      <vt:variant>
        <vt:lpwstr/>
      </vt:variant>
      <vt:variant>
        <vt:i4>4849710</vt:i4>
      </vt:variant>
      <vt:variant>
        <vt:i4>508</vt:i4>
      </vt:variant>
      <vt:variant>
        <vt:i4>0</vt:i4>
      </vt:variant>
      <vt:variant>
        <vt:i4>5</vt:i4>
      </vt:variant>
      <vt:variant>
        <vt:lpwstr>https://www.ipcc.ch/report/ar6/wg2/downloads/report/IPCC_AR6_WGII_Chapter11.pdf</vt:lpwstr>
      </vt:variant>
      <vt:variant>
        <vt:lpwstr/>
      </vt:variant>
      <vt:variant>
        <vt:i4>4980804</vt:i4>
      </vt:variant>
      <vt:variant>
        <vt:i4>505</vt:i4>
      </vt:variant>
      <vt:variant>
        <vt:i4>0</vt:i4>
      </vt:variant>
      <vt:variant>
        <vt:i4>5</vt:i4>
      </vt:variant>
      <vt:variant>
        <vt:lpwstr>https://environment.govt.nz/publications/coastal-hazards-and-climate-change-guidance/</vt:lpwstr>
      </vt:variant>
      <vt:variant>
        <vt:lpwstr/>
      </vt:variant>
      <vt:variant>
        <vt:i4>7864368</vt:i4>
      </vt:variant>
      <vt:variant>
        <vt:i4>502</vt:i4>
      </vt:variant>
      <vt:variant>
        <vt:i4>0</vt:i4>
      </vt:variant>
      <vt:variant>
        <vt:i4>5</vt:i4>
      </vt:variant>
      <vt:variant>
        <vt:lpwstr>https://www.searise.nz/</vt:lpwstr>
      </vt:variant>
      <vt:variant>
        <vt:lpwstr/>
      </vt:variant>
      <vt:variant>
        <vt:i4>4980804</vt:i4>
      </vt:variant>
      <vt:variant>
        <vt:i4>497</vt:i4>
      </vt:variant>
      <vt:variant>
        <vt:i4>0</vt:i4>
      </vt:variant>
      <vt:variant>
        <vt:i4>5</vt:i4>
      </vt:variant>
      <vt:variant>
        <vt:lpwstr>https://environment.govt.nz/publications/coastal-hazards-and-climate-change-guidance/</vt:lpwstr>
      </vt:variant>
      <vt:variant>
        <vt:lpwstr/>
      </vt:variant>
      <vt:variant>
        <vt:i4>3014702</vt:i4>
      </vt:variant>
      <vt:variant>
        <vt:i4>494</vt:i4>
      </vt:variant>
      <vt:variant>
        <vt:i4>0</vt:i4>
      </vt:variant>
      <vt:variant>
        <vt:i4>5</vt:i4>
      </vt:variant>
      <vt:variant>
        <vt:lpwstr>https://environment.govt.nz/assets/publications/Files/Interim-guidance-on-the-use-of-new-sea-level-rise-projections-August-2022.pdf</vt:lpwstr>
      </vt:variant>
      <vt:variant>
        <vt:lpwstr/>
      </vt:variant>
      <vt:variant>
        <vt:i4>4849710</vt:i4>
      </vt:variant>
      <vt:variant>
        <vt:i4>491</vt:i4>
      </vt:variant>
      <vt:variant>
        <vt:i4>0</vt:i4>
      </vt:variant>
      <vt:variant>
        <vt:i4>5</vt:i4>
      </vt:variant>
      <vt:variant>
        <vt:lpwstr>https://www.ipcc.ch/report/ar6/wg2/downloads/report/IPCC_AR6_WGII_Chapter11.pdf</vt:lpwstr>
      </vt:variant>
      <vt:variant>
        <vt:lpwstr/>
      </vt:variant>
      <vt:variant>
        <vt:i4>4522005</vt:i4>
      </vt:variant>
      <vt:variant>
        <vt:i4>488</vt:i4>
      </vt:variant>
      <vt:variant>
        <vt:i4>0</vt:i4>
      </vt:variant>
      <vt:variant>
        <vt:i4>5</vt:i4>
      </vt:variant>
      <vt:variant>
        <vt:lpwstr>https://climatedata.environment.govt.nz/</vt:lpwstr>
      </vt:variant>
      <vt:variant>
        <vt:lpwstr/>
      </vt:variant>
      <vt:variant>
        <vt:i4>7209007</vt:i4>
      </vt:variant>
      <vt:variant>
        <vt:i4>485</vt:i4>
      </vt:variant>
      <vt:variant>
        <vt:i4>0</vt:i4>
      </vt:variant>
      <vt:variant>
        <vt:i4>5</vt:i4>
      </vt:variant>
      <vt:variant>
        <vt:lpwstr>https://environment.govt.nz/facts-and-science/climate-change/climate-change-projections/understanding-climate-variables-and-scenarios-used-in-the-projections/</vt:lpwstr>
      </vt:variant>
      <vt:variant>
        <vt:lpwstr/>
      </vt:variant>
      <vt:variant>
        <vt:i4>4522005</vt:i4>
      </vt:variant>
      <vt:variant>
        <vt:i4>482</vt:i4>
      </vt:variant>
      <vt:variant>
        <vt:i4>0</vt:i4>
      </vt:variant>
      <vt:variant>
        <vt:i4>5</vt:i4>
      </vt:variant>
      <vt:variant>
        <vt:lpwstr>https://climatedata.environment.govt.nz/</vt:lpwstr>
      </vt:variant>
      <vt:variant>
        <vt:lpwstr/>
      </vt:variant>
      <vt:variant>
        <vt:i4>3735679</vt:i4>
      </vt:variant>
      <vt:variant>
        <vt:i4>479</vt:i4>
      </vt:variant>
      <vt:variant>
        <vt:i4>0</vt:i4>
      </vt:variant>
      <vt:variant>
        <vt:i4>5</vt:i4>
      </vt:variant>
      <vt:variant>
        <vt:lpwstr>https://www.stats.govt.nz/indicators/coastal-sea-level-rise</vt:lpwstr>
      </vt:variant>
      <vt:variant>
        <vt:lpwstr/>
      </vt:variant>
      <vt:variant>
        <vt:i4>7864425</vt:i4>
      </vt:variant>
      <vt:variant>
        <vt:i4>476</vt:i4>
      </vt:variant>
      <vt:variant>
        <vt:i4>0</vt:i4>
      </vt:variant>
      <vt:variant>
        <vt:i4>5</vt:i4>
      </vt:variant>
      <vt:variant>
        <vt:lpwstr>https://www.ipcc.ch/report/ar6/wg1/</vt:lpwstr>
      </vt:variant>
      <vt:variant>
        <vt:lpwstr/>
      </vt:variant>
      <vt:variant>
        <vt:i4>8061033</vt:i4>
      </vt:variant>
      <vt:variant>
        <vt:i4>473</vt:i4>
      </vt:variant>
      <vt:variant>
        <vt:i4>0</vt:i4>
      </vt:variant>
      <vt:variant>
        <vt:i4>5</vt:i4>
      </vt:variant>
      <vt:variant>
        <vt:lpwstr>https://www.ipcc.ch/report/ar6/wg2/</vt:lpwstr>
      </vt:variant>
      <vt:variant>
        <vt:lpwstr/>
      </vt:variant>
      <vt:variant>
        <vt:i4>5898335</vt:i4>
      </vt:variant>
      <vt:variant>
        <vt:i4>470</vt:i4>
      </vt:variant>
      <vt:variant>
        <vt:i4>0</vt:i4>
      </vt:variant>
      <vt:variant>
        <vt:i4>5</vt:i4>
      </vt:variant>
      <vt:variant>
        <vt:lpwstr>https://niwa.co.nz/climate-and-weather/annual/annual-climate-summary-2023</vt:lpwstr>
      </vt:variant>
      <vt:variant>
        <vt:lpwstr>:~:text=2023%20was%20Aotearoa%20New%20Zealand's,the%201991%2D2020%20annual%20average.</vt:lpwstr>
      </vt:variant>
      <vt:variant>
        <vt:i4>2621484</vt:i4>
      </vt:variant>
      <vt:variant>
        <vt:i4>467</vt:i4>
      </vt:variant>
      <vt:variant>
        <vt:i4>0</vt:i4>
      </vt:variant>
      <vt:variant>
        <vt:i4>5</vt:i4>
      </vt:variant>
      <vt:variant>
        <vt:lpwstr>https://www.legislation.govt.nz/act/public/2002/0040/latest/DLM158584.html</vt:lpwstr>
      </vt:variant>
      <vt:variant>
        <vt:lpwstr>LMS282063</vt:lpwstr>
      </vt:variant>
      <vt:variant>
        <vt:i4>2621484</vt:i4>
      </vt:variant>
      <vt:variant>
        <vt:i4>464</vt:i4>
      </vt:variant>
      <vt:variant>
        <vt:i4>0</vt:i4>
      </vt:variant>
      <vt:variant>
        <vt:i4>5</vt:i4>
      </vt:variant>
      <vt:variant>
        <vt:lpwstr>https://www.legislation.govt.nz/act/public/2002/0040/latest/DLM158584.html</vt:lpwstr>
      </vt:variant>
      <vt:variant>
        <vt:lpwstr>LMS282063</vt:lpwstr>
      </vt:variant>
      <vt:variant>
        <vt:i4>3342449</vt:i4>
      </vt:variant>
      <vt:variant>
        <vt:i4>459</vt:i4>
      </vt:variant>
      <vt:variant>
        <vt:i4>0</vt:i4>
      </vt:variant>
      <vt:variant>
        <vt:i4>5</vt:i4>
      </vt:variant>
      <vt:variant>
        <vt:lpwstr>https://environment.govt.nz/assets/publications/Environmental-Reporting/Our-atmosphere-and-climate-2023.pdf</vt:lpwstr>
      </vt:variant>
      <vt:variant>
        <vt:lpwstr/>
      </vt:variant>
      <vt:variant>
        <vt:i4>8257650</vt:i4>
      </vt:variant>
      <vt:variant>
        <vt:i4>456</vt:i4>
      </vt:variant>
      <vt:variant>
        <vt:i4>0</vt:i4>
      </vt:variant>
      <vt:variant>
        <vt:i4>5</vt:i4>
      </vt:variant>
      <vt:variant>
        <vt:lpwstr>https://www.dpmc.govt.nz/our-programmes/risk-and-resilience/national-risk-framework/new-zealands-national-risks</vt:lpwstr>
      </vt:variant>
      <vt:variant>
        <vt:lpwstr/>
      </vt:variant>
      <vt:variant>
        <vt:i4>6160464</vt:i4>
      </vt:variant>
      <vt:variant>
        <vt:i4>453</vt:i4>
      </vt:variant>
      <vt:variant>
        <vt:i4>0</vt:i4>
      </vt:variant>
      <vt:variant>
        <vt:i4>5</vt:i4>
      </vt:variant>
      <vt:variant>
        <vt:lpwstr>https://environment.govt.nz/assets/publications/climate-change/MFE-AoG-20664-GF-National-Adaptation-Plan-2022-WEB.pdf</vt:lpwstr>
      </vt:variant>
      <vt:variant>
        <vt:lpwstr/>
      </vt:variant>
      <vt:variant>
        <vt:i4>5046280</vt:i4>
      </vt:variant>
      <vt:variant>
        <vt:i4>450</vt:i4>
      </vt:variant>
      <vt:variant>
        <vt:i4>0</vt:i4>
      </vt:variant>
      <vt:variant>
        <vt:i4>5</vt:i4>
      </vt:variant>
      <vt:variant>
        <vt:lpwstr>https://www.mpi.govt.nz/dmsdocument/62313-Afforestation-and-Deforestation-Intentions-Survey-2023</vt:lpwstr>
      </vt:variant>
      <vt:variant>
        <vt:lpwstr/>
      </vt:variant>
      <vt:variant>
        <vt:i4>2687027</vt:i4>
      </vt:variant>
      <vt:variant>
        <vt:i4>447</vt:i4>
      </vt:variant>
      <vt:variant>
        <vt:i4>0</vt:i4>
      </vt:variant>
      <vt:variant>
        <vt:i4>5</vt:i4>
      </vt:variant>
      <vt:variant>
        <vt:lpwstr>http://www.mpi.govt.nz/dmsdocument/52405Afforestation-and-Deforestation-Intentions-Survey-2021</vt:lpwstr>
      </vt:variant>
      <vt:variant>
        <vt:lpwstr/>
      </vt:variant>
      <vt:variant>
        <vt:i4>5046280</vt:i4>
      </vt:variant>
      <vt:variant>
        <vt:i4>444</vt:i4>
      </vt:variant>
      <vt:variant>
        <vt:i4>0</vt:i4>
      </vt:variant>
      <vt:variant>
        <vt:i4>5</vt:i4>
      </vt:variant>
      <vt:variant>
        <vt:lpwstr>https://www.mpi.govt.nz/dmsdocument/62313-Afforestation-and-Deforestation-Intentions-Survey-2023</vt:lpwstr>
      </vt:variant>
      <vt:variant>
        <vt:lpwstr/>
      </vt:variant>
      <vt:variant>
        <vt:i4>655394</vt:i4>
      </vt:variant>
      <vt:variant>
        <vt:i4>441</vt:i4>
      </vt:variant>
      <vt:variant>
        <vt:i4>0</vt:i4>
      </vt:variant>
      <vt:variant>
        <vt:i4>5</vt:i4>
      </vt:variant>
      <vt:variant>
        <vt:lpwstr>https://www.ipcc.ch/site/assets/uploads/2018/03/KP_Supplement_Entire_Report.pdf</vt:lpwstr>
      </vt:variant>
      <vt:variant>
        <vt:lpwstr/>
      </vt:variant>
      <vt:variant>
        <vt:i4>786520</vt:i4>
      </vt:variant>
      <vt:variant>
        <vt:i4>438</vt:i4>
      </vt:variant>
      <vt:variant>
        <vt:i4>0</vt:i4>
      </vt:variant>
      <vt:variant>
        <vt:i4>5</vt:i4>
      </vt:variant>
      <vt:variant>
        <vt:lpwstr>https://www.mpi.govt.nz/dmsdocument/30687-intentions-of-forest-owners-following-harvest-of-post-1989-forests</vt:lpwstr>
      </vt:variant>
      <vt:variant>
        <vt:lpwstr/>
      </vt:variant>
      <vt:variant>
        <vt:i4>852045</vt:i4>
      </vt:variant>
      <vt:variant>
        <vt:i4>435</vt:i4>
      </vt:variant>
      <vt:variant>
        <vt:i4>0</vt:i4>
      </vt:variant>
      <vt:variant>
        <vt:i4>5</vt:i4>
      </vt:variant>
      <vt:variant>
        <vt:lpwstr>https://environment.govt.nz/publications/new-zealands-greenhouse-gas-inventory-1990-2022/</vt:lpwstr>
      </vt:variant>
      <vt:variant>
        <vt:lpwstr/>
      </vt:variant>
      <vt:variant>
        <vt:i4>5046280</vt:i4>
      </vt:variant>
      <vt:variant>
        <vt:i4>432</vt:i4>
      </vt:variant>
      <vt:variant>
        <vt:i4>0</vt:i4>
      </vt:variant>
      <vt:variant>
        <vt:i4>5</vt:i4>
      </vt:variant>
      <vt:variant>
        <vt:lpwstr>https://www.mpi.govt.nz/dmsdocument/62313-Afforestation-and-Deforestation-Intentions-Survey-2023</vt:lpwstr>
      </vt:variant>
      <vt:variant>
        <vt:lpwstr/>
      </vt:variant>
      <vt:variant>
        <vt:i4>5963865</vt:i4>
      </vt:variant>
      <vt:variant>
        <vt:i4>429</vt:i4>
      </vt:variant>
      <vt:variant>
        <vt:i4>0</vt:i4>
      </vt:variant>
      <vt:variant>
        <vt:i4>5</vt:i4>
      </vt:variant>
      <vt:variant>
        <vt:lpwstr>https://www.mpi.govt.nz/dmsdocument/37113/direct</vt:lpwstr>
      </vt:variant>
      <vt:variant>
        <vt:lpwstr/>
      </vt:variant>
      <vt:variant>
        <vt:i4>5046280</vt:i4>
      </vt:variant>
      <vt:variant>
        <vt:i4>426</vt:i4>
      </vt:variant>
      <vt:variant>
        <vt:i4>0</vt:i4>
      </vt:variant>
      <vt:variant>
        <vt:i4>5</vt:i4>
      </vt:variant>
      <vt:variant>
        <vt:lpwstr>https://www.mpi.govt.nz/dmsdocument/62313-Afforestation-and-Deforestation-Intentions-Survey-2023</vt:lpwstr>
      </vt:variant>
      <vt:variant>
        <vt:lpwstr/>
      </vt:variant>
      <vt:variant>
        <vt:i4>786520</vt:i4>
      </vt:variant>
      <vt:variant>
        <vt:i4>423</vt:i4>
      </vt:variant>
      <vt:variant>
        <vt:i4>0</vt:i4>
      </vt:variant>
      <vt:variant>
        <vt:i4>5</vt:i4>
      </vt:variant>
      <vt:variant>
        <vt:lpwstr>https://www.mpi.govt.nz/dmsdocument/30687-intentions-of-forest-owners-following-harvest-of-post-1989-forests</vt:lpwstr>
      </vt:variant>
      <vt:variant>
        <vt:lpwstr/>
      </vt:variant>
      <vt:variant>
        <vt:i4>1900629</vt:i4>
      </vt:variant>
      <vt:variant>
        <vt:i4>420</vt:i4>
      </vt:variant>
      <vt:variant>
        <vt:i4>0</vt:i4>
      </vt:variant>
      <vt:variant>
        <vt:i4>5</vt:i4>
      </vt:variant>
      <vt:variant>
        <vt:lpwstr>https://environment.govt.nz/assets/publications/GhG-Inventory/GHG-inventory-2024/GHG-Inventory-2024-Vol-1.pdf</vt:lpwstr>
      </vt:variant>
      <vt:variant>
        <vt:lpwstr/>
      </vt:variant>
      <vt:variant>
        <vt:i4>5046280</vt:i4>
      </vt:variant>
      <vt:variant>
        <vt:i4>417</vt:i4>
      </vt:variant>
      <vt:variant>
        <vt:i4>0</vt:i4>
      </vt:variant>
      <vt:variant>
        <vt:i4>5</vt:i4>
      </vt:variant>
      <vt:variant>
        <vt:lpwstr>https://www.mpi.govt.nz/dmsdocument/62313-Afforestation-and-Deforestation-Intentions-Survey-2023</vt:lpwstr>
      </vt:variant>
      <vt:variant>
        <vt:lpwstr/>
      </vt:variant>
      <vt:variant>
        <vt:i4>2687027</vt:i4>
      </vt:variant>
      <vt:variant>
        <vt:i4>414</vt:i4>
      </vt:variant>
      <vt:variant>
        <vt:i4>0</vt:i4>
      </vt:variant>
      <vt:variant>
        <vt:i4>5</vt:i4>
      </vt:variant>
      <vt:variant>
        <vt:lpwstr>http://www.mpi.govt.nz/dmsdocument/52405Afforestation-and-Deforestation-Intentions-Survey-2021</vt:lpwstr>
      </vt:variant>
      <vt:variant>
        <vt:lpwstr/>
      </vt:variant>
      <vt:variant>
        <vt:i4>5046280</vt:i4>
      </vt:variant>
      <vt:variant>
        <vt:i4>411</vt:i4>
      </vt:variant>
      <vt:variant>
        <vt:i4>0</vt:i4>
      </vt:variant>
      <vt:variant>
        <vt:i4>5</vt:i4>
      </vt:variant>
      <vt:variant>
        <vt:lpwstr>https://www.mpi.govt.nz/dmsdocument/62313-Afforestation-and-Deforestation-Intentions-Survey-2023</vt:lpwstr>
      </vt:variant>
      <vt:variant>
        <vt:lpwstr/>
      </vt:variant>
      <vt:variant>
        <vt:i4>2687027</vt:i4>
      </vt:variant>
      <vt:variant>
        <vt:i4>408</vt:i4>
      </vt:variant>
      <vt:variant>
        <vt:i4>0</vt:i4>
      </vt:variant>
      <vt:variant>
        <vt:i4>5</vt:i4>
      </vt:variant>
      <vt:variant>
        <vt:lpwstr>http://www.mpi.govt.nz/dmsdocument/52405Afforestation-and-Deforestation-Intentions-Survey-2021</vt:lpwstr>
      </vt:variant>
      <vt:variant>
        <vt:lpwstr/>
      </vt:variant>
      <vt:variant>
        <vt:i4>1900629</vt:i4>
      </vt:variant>
      <vt:variant>
        <vt:i4>405</vt:i4>
      </vt:variant>
      <vt:variant>
        <vt:i4>0</vt:i4>
      </vt:variant>
      <vt:variant>
        <vt:i4>5</vt:i4>
      </vt:variant>
      <vt:variant>
        <vt:lpwstr>https://environment.govt.nz/assets/publications/GhG-Inventory/GHG-inventory-2024/GHG-Inventory-2024-Vol-1.pdf</vt:lpwstr>
      </vt:variant>
      <vt:variant>
        <vt:lpwstr/>
      </vt:variant>
      <vt:variant>
        <vt:i4>5767251</vt:i4>
      </vt:variant>
      <vt:variant>
        <vt:i4>402</vt:i4>
      </vt:variant>
      <vt:variant>
        <vt:i4>0</vt:i4>
      </vt:variant>
      <vt:variant>
        <vt:i4>5</vt:i4>
      </vt:variant>
      <vt:variant>
        <vt:lpwstr>https://www.mpi.govt.nz/dmsdocument/47671-WoodAvailability-Forecast-New-Zealand-2021-to-2060</vt:lpwstr>
      </vt:variant>
      <vt:variant>
        <vt:lpwstr/>
      </vt:variant>
      <vt:variant>
        <vt:i4>1900629</vt:i4>
      </vt:variant>
      <vt:variant>
        <vt:i4>399</vt:i4>
      </vt:variant>
      <vt:variant>
        <vt:i4>0</vt:i4>
      </vt:variant>
      <vt:variant>
        <vt:i4>5</vt:i4>
      </vt:variant>
      <vt:variant>
        <vt:lpwstr>https://environment.govt.nz/assets/publications/GhG-Inventory/GHG-inventory-2024/GHG-Inventory-2024-Vol-1.pdf</vt:lpwstr>
      </vt:variant>
      <vt:variant>
        <vt:lpwstr/>
      </vt:variant>
      <vt:variant>
        <vt:i4>852013</vt:i4>
      </vt:variant>
      <vt:variant>
        <vt:i4>396</vt:i4>
      </vt:variant>
      <vt:variant>
        <vt:i4>0</vt:i4>
      </vt:variant>
      <vt:variant>
        <vt:i4>5</vt:i4>
      </vt:variant>
      <vt:variant>
        <vt:lpwstr>https://ministryforenvironment.sharepoint.com/sites/MFE-EXT-BiennialTransparencyReport/Shared Documents/General/03 Report production/07 Proofing completed/unfccc.int/sites/default/files/resource/NewZealand_complete.pdf</vt:lpwstr>
      </vt:variant>
      <vt:variant>
        <vt:lpwstr/>
      </vt:variant>
      <vt:variant>
        <vt:i4>1900629</vt:i4>
      </vt:variant>
      <vt:variant>
        <vt:i4>393</vt:i4>
      </vt:variant>
      <vt:variant>
        <vt:i4>0</vt:i4>
      </vt:variant>
      <vt:variant>
        <vt:i4>5</vt:i4>
      </vt:variant>
      <vt:variant>
        <vt:lpwstr>https://environment.govt.nz/assets/publications/GhG-Inventory/GHG-inventory-2024/GHG-Inventory-2024-Vol-1.pdf</vt:lpwstr>
      </vt:variant>
      <vt:variant>
        <vt:lpwstr/>
      </vt:variant>
      <vt:variant>
        <vt:i4>3080312</vt:i4>
      </vt:variant>
      <vt:variant>
        <vt:i4>390</vt:i4>
      </vt:variant>
      <vt:variant>
        <vt:i4>0</vt:i4>
      </vt:variant>
      <vt:variant>
        <vt:i4>5</vt:i4>
      </vt:variant>
      <vt:variant>
        <vt:lpwstr>https://www.csiro.au/en/research/technology-space/it/adopt</vt:lpwstr>
      </vt:variant>
      <vt:variant>
        <vt:lpwstr/>
      </vt:variant>
      <vt:variant>
        <vt:i4>6094851</vt:i4>
      </vt:variant>
      <vt:variant>
        <vt:i4>387</vt:i4>
      </vt:variant>
      <vt:variant>
        <vt:i4>0</vt:i4>
      </vt:variant>
      <vt:variant>
        <vt:i4>5</vt:i4>
      </vt:variant>
      <vt:variant>
        <vt:lpwstr>https://aus01.safelinks.protection.outlook.com/?url=https%3A%2F%2Fwww.transport.govt.nz%2Fassets%2FVehicle-Fleet-Model-Documentation_202405_v7.pdf&amp;data=05%7C02%7CFrances.Barnett%40mfe.govt.nz%7C30b1a4b08bb04fd4a12808dd195f6071%7C761dd003d4ff40498a728549b20fcbb1%7C0%7C0%7C638694620025037978%7CUnknown%7CTWFpbGZsb3d8eyJFbXB0eU1hcGkiOnRydWUsIlYiOiIwLjAuMDAwMCIsIlAiOiJXaW4zMiIsIkFOIjoiTWFpbCIsIldUIjoyfQ%3D%3D%7C0%7C%7C%7C&amp;sdata=whUS3MlcUYtgMKM1gMNsfGEx9KG%2BrWc01PYTL0oO6ss%3D&amp;reserved=0</vt:lpwstr>
      </vt:variant>
      <vt:variant>
        <vt:lpwstr/>
      </vt:variant>
      <vt:variant>
        <vt:i4>1900629</vt:i4>
      </vt:variant>
      <vt:variant>
        <vt:i4>384</vt:i4>
      </vt:variant>
      <vt:variant>
        <vt:i4>0</vt:i4>
      </vt:variant>
      <vt:variant>
        <vt:i4>5</vt:i4>
      </vt:variant>
      <vt:variant>
        <vt:lpwstr>https://environment.govt.nz/assets/publications/GhG-Inventory/GHG-inventory-2024/GHG-Inventory-2024-Vol-1.pdf</vt:lpwstr>
      </vt:variant>
      <vt:variant>
        <vt:lpwstr/>
      </vt:variant>
      <vt:variant>
        <vt:i4>4522012</vt:i4>
      </vt:variant>
      <vt:variant>
        <vt:i4>381</vt:i4>
      </vt:variant>
      <vt:variant>
        <vt:i4>0</vt:i4>
      </vt:variant>
      <vt:variant>
        <vt:i4>5</vt:i4>
      </vt:variant>
      <vt:variant>
        <vt:lpwstr>https://www.legislation.govt.nz/regulation/public/2004/0309/latest/DLM286835.html?search=ta_regulation_R_rc%40rinf%40rnif_an%40bn%40rn_25_a&amp;p=3</vt:lpwstr>
      </vt:variant>
      <vt:variant>
        <vt:lpwstr/>
      </vt:variant>
      <vt:variant>
        <vt:i4>3276918</vt:i4>
      </vt:variant>
      <vt:variant>
        <vt:i4>378</vt:i4>
      </vt:variant>
      <vt:variant>
        <vt:i4>0</vt:i4>
      </vt:variant>
      <vt:variant>
        <vt:i4>5</vt:i4>
      </vt:variant>
      <vt:variant>
        <vt:lpwstr>https://treaties.un.org/doc/Publication/CN/2019/CN.490.2019-Eng.pdf</vt:lpwstr>
      </vt:variant>
      <vt:variant>
        <vt:lpwstr/>
      </vt:variant>
      <vt:variant>
        <vt:i4>2293809</vt:i4>
      </vt:variant>
      <vt:variant>
        <vt:i4>375</vt:i4>
      </vt:variant>
      <vt:variant>
        <vt:i4>0</vt:i4>
      </vt:variant>
      <vt:variant>
        <vt:i4>5</vt:i4>
      </vt:variant>
      <vt:variant>
        <vt:lpwstr>https://ministryforenvironment.sharepoint.com/sites/MFE-EXT-BiennialTransparencyReport/Shared Documents/General/03 Report production/07 Proofing completed/environment.govt.nz/what-government-is-doing/international-action/vienna-convention-and-montreal-protocol/kigali-amendment-to-the-montreal-protocol</vt:lpwstr>
      </vt:variant>
      <vt:variant>
        <vt:lpwstr/>
      </vt:variant>
      <vt:variant>
        <vt:i4>5832774</vt:i4>
      </vt:variant>
      <vt:variant>
        <vt:i4>372</vt:i4>
      </vt:variant>
      <vt:variant>
        <vt:i4>0</vt:i4>
      </vt:variant>
      <vt:variant>
        <vt:i4>5</vt:i4>
      </vt:variant>
      <vt:variant>
        <vt:lpwstr>https://www.mpi.govt.nz/forestry/funding-tree-planting-research/one-billion-trees-programme/</vt:lpwstr>
      </vt:variant>
      <vt:variant>
        <vt:lpwstr/>
      </vt:variant>
      <vt:variant>
        <vt:i4>852045</vt:i4>
      </vt:variant>
      <vt:variant>
        <vt:i4>369</vt:i4>
      </vt:variant>
      <vt:variant>
        <vt:i4>0</vt:i4>
      </vt:variant>
      <vt:variant>
        <vt:i4>5</vt:i4>
      </vt:variant>
      <vt:variant>
        <vt:lpwstr>https://environment.govt.nz/publications/new-zealands-greenhouse-gas-inventory-1990-2022/</vt:lpwstr>
      </vt:variant>
      <vt:variant>
        <vt:lpwstr/>
      </vt:variant>
      <vt:variant>
        <vt:i4>4063337</vt:i4>
      </vt:variant>
      <vt:variant>
        <vt:i4>366</vt:i4>
      </vt:variant>
      <vt:variant>
        <vt:i4>0</vt:i4>
      </vt:variant>
      <vt:variant>
        <vt:i4>5</vt:i4>
      </vt:variant>
      <vt:variant>
        <vt:lpwstr>https://www.nzta.govt.nz/vehicles/clean-car-programme/clean-car-standard/overview/</vt:lpwstr>
      </vt:variant>
      <vt:variant>
        <vt:lpwstr/>
      </vt:variant>
      <vt:variant>
        <vt:i4>6226003</vt:i4>
      </vt:variant>
      <vt:variant>
        <vt:i4>363</vt:i4>
      </vt:variant>
      <vt:variant>
        <vt:i4>0</vt:i4>
      </vt:variant>
      <vt:variant>
        <vt:i4>5</vt:i4>
      </vt:variant>
      <vt:variant>
        <vt:lpwstr>https://environment.govt.nz/what-government-is-doing/areas-of-work/waste/waste-disposal-levy/</vt:lpwstr>
      </vt:variant>
      <vt:variant>
        <vt:lpwstr/>
      </vt:variant>
      <vt:variant>
        <vt:i4>6422654</vt:i4>
      </vt:variant>
      <vt:variant>
        <vt:i4>360</vt:i4>
      </vt:variant>
      <vt:variant>
        <vt:i4>0</vt:i4>
      </vt:variant>
      <vt:variant>
        <vt:i4>5</vt:i4>
      </vt:variant>
      <vt:variant>
        <vt:lpwstr>http://www.mpi.govt.nz/dmsdocument/45232-Emissions-Trading-Scheme-for-Forestry-land-statistics</vt:lpwstr>
      </vt:variant>
      <vt:variant>
        <vt:lpwstr/>
      </vt:variant>
      <vt:variant>
        <vt:i4>2424945</vt:i4>
      </vt:variant>
      <vt:variant>
        <vt:i4>357</vt:i4>
      </vt:variant>
      <vt:variant>
        <vt:i4>0</vt:i4>
      </vt:variant>
      <vt:variant>
        <vt:i4>5</vt:i4>
      </vt:variant>
      <vt:variant>
        <vt:lpwstr>http://www.mpi.govt.nz/forestry/forestry-in-the-emissions-trading-scheme/about-forestry-in-the-emissions-trading-scheme/different-kinds-of-forest-land-in-the-ets/</vt:lpwstr>
      </vt:variant>
      <vt:variant>
        <vt:lpwstr/>
      </vt:variant>
      <vt:variant>
        <vt:i4>5111820</vt:i4>
      </vt:variant>
      <vt:variant>
        <vt:i4>354</vt:i4>
      </vt:variant>
      <vt:variant>
        <vt:i4>0</vt:i4>
      </vt:variant>
      <vt:variant>
        <vt:i4>5</vt:i4>
      </vt:variant>
      <vt:variant>
        <vt:lpwstr>https://www.mpi.govt.nz/funding-rural-support/sustainable-food-fibre-futures/</vt:lpwstr>
      </vt:variant>
      <vt:variant>
        <vt:lpwstr/>
      </vt:variant>
      <vt:variant>
        <vt:i4>7274617</vt:i4>
      </vt:variant>
      <vt:variant>
        <vt:i4>351</vt:i4>
      </vt:variant>
      <vt:variant>
        <vt:i4>0</vt:i4>
      </vt:variant>
      <vt:variant>
        <vt:i4>5</vt:i4>
      </vt:variant>
      <vt:variant>
        <vt:lpwstr>https://globalresearchalliance.org/</vt:lpwstr>
      </vt:variant>
      <vt:variant>
        <vt:lpwstr/>
      </vt:variant>
      <vt:variant>
        <vt:i4>5505044</vt:i4>
      </vt:variant>
      <vt:variant>
        <vt:i4>348</vt:i4>
      </vt:variant>
      <vt:variant>
        <vt:i4>0</vt:i4>
      </vt:variant>
      <vt:variant>
        <vt:i4>5</vt:i4>
      </vt:variant>
      <vt:variant>
        <vt:lpwstr>https://www.mpi.govt.nz/funding-rural-support/environment-and-natural-resources/centre-for-climate-action-on-agricultural-emissions/</vt:lpwstr>
      </vt:variant>
      <vt:variant>
        <vt:lpwstr/>
      </vt:variant>
      <vt:variant>
        <vt:i4>4980743</vt:i4>
      </vt:variant>
      <vt:variant>
        <vt:i4>345</vt:i4>
      </vt:variant>
      <vt:variant>
        <vt:i4>0</vt:i4>
      </vt:variant>
      <vt:variant>
        <vt:i4>5</vt:i4>
      </vt:variant>
      <vt:variant>
        <vt:lpwstr>https://passivehouse.nz/</vt:lpwstr>
      </vt:variant>
      <vt:variant>
        <vt:lpwstr/>
      </vt:variant>
      <vt:variant>
        <vt:i4>5177368</vt:i4>
      </vt:variant>
      <vt:variant>
        <vt:i4>342</vt:i4>
      </vt:variant>
      <vt:variant>
        <vt:i4>0</vt:i4>
      </vt:variant>
      <vt:variant>
        <vt:i4>5</vt:i4>
      </vt:variant>
      <vt:variant>
        <vt:lpwstr>http://www.nabersnz.govt.nz/</vt:lpwstr>
      </vt:variant>
      <vt:variant>
        <vt:lpwstr/>
      </vt:variant>
      <vt:variant>
        <vt:i4>852056</vt:i4>
      </vt:variant>
      <vt:variant>
        <vt:i4>339</vt:i4>
      </vt:variant>
      <vt:variant>
        <vt:i4>0</vt:i4>
      </vt:variant>
      <vt:variant>
        <vt:i4>5</vt:i4>
      </vt:variant>
      <vt:variant>
        <vt:lpwstr>http://www.nzgbc.org.nz/greenstar</vt:lpwstr>
      </vt:variant>
      <vt:variant>
        <vt:lpwstr/>
      </vt:variant>
      <vt:variant>
        <vt:i4>262231</vt:i4>
      </vt:variant>
      <vt:variant>
        <vt:i4>336</vt:i4>
      </vt:variant>
      <vt:variant>
        <vt:i4>0</vt:i4>
      </vt:variant>
      <vt:variant>
        <vt:i4>5</vt:i4>
      </vt:variant>
      <vt:variant>
        <vt:lpwstr>http://www.nzgbc.org.nz/homestar</vt:lpwstr>
      </vt:variant>
      <vt:variant>
        <vt:lpwstr/>
      </vt:variant>
      <vt:variant>
        <vt:i4>2228279</vt:i4>
      </vt:variant>
      <vt:variant>
        <vt:i4>333</vt:i4>
      </vt:variant>
      <vt:variant>
        <vt:i4>0</vt:i4>
      </vt:variant>
      <vt:variant>
        <vt:i4>5</vt:i4>
      </vt:variant>
      <vt:variant>
        <vt:lpwstr>http://www.mbie.govt.nz/building-and-energy/energy-and-natural-resources/energy-hardship/support-for-energy-education-in-communities-programme</vt:lpwstr>
      </vt:variant>
      <vt:variant>
        <vt:lpwstr/>
      </vt:variant>
      <vt:variant>
        <vt:i4>6946903</vt:i4>
      </vt:variant>
      <vt:variant>
        <vt:i4>330</vt:i4>
      </vt:variant>
      <vt:variant>
        <vt:i4>0</vt:i4>
      </vt:variant>
      <vt:variant>
        <vt:i4>5</vt:i4>
      </vt:variant>
      <vt:variant>
        <vt:lpwstr>https://environment.govt.nz/assets/J001281-MfE-Climate-strategy-brochure-FF_webV2.pdf</vt:lpwstr>
      </vt:variant>
      <vt:variant>
        <vt:lpwstr/>
      </vt:variant>
      <vt:variant>
        <vt:i4>1245194</vt:i4>
      </vt:variant>
      <vt:variant>
        <vt:i4>327</vt:i4>
      </vt:variant>
      <vt:variant>
        <vt:i4>0</vt:i4>
      </vt:variant>
      <vt:variant>
        <vt:i4>5</vt:i4>
      </vt:variant>
      <vt:variant>
        <vt:lpwstr>https://www.mfat.govt.nz/en/trade/free-trade-agreements/free-trade-agreements-under-negotiation/indo-pacific-economic-framework-for-prosperity/ipef-overview</vt:lpwstr>
      </vt:variant>
      <vt:variant>
        <vt:lpwstr/>
      </vt:variant>
      <vt:variant>
        <vt:i4>7798821</vt:i4>
      </vt:variant>
      <vt:variant>
        <vt:i4>324</vt:i4>
      </vt:variant>
      <vt:variant>
        <vt:i4>0</vt:i4>
      </vt:variant>
      <vt:variant>
        <vt:i4>5</vt:i4>
      </vt:variant>
      <vt:variant>
        <vt:lpwstr>https://www.treaties.mfat.govt.nz/search/arrangement/850/0</vt:lpwstr>
      </vt:variant>
      <vt:variant>
        <vt:lpwstr/>
      </vt:variant>
      <vt:variant>
        <vt:i4>5308441</vt:i4>
      </vt:variant>
      <vt:variant>
        <vt:i4>321</vt:i4>
      </vt:variant>
      <vt:variant>
        <vt:i4>0</vt:i4>
      </vt:variant>
      <vt:variant>
        <vt:i4>5</vt:i4>
      </vt:variant>
      <vt:variant>
        <vt:lpwstr>https://www.beehive.govt.nz/sites/default/files/2024-04/Thailand NZ Joint Statement 17 April 2024.pdf</vt:lpwstr>
      </vt:variant>
      <vt:variant>
        <vt:lpwstr/>
      </vt:variant>
      <vt:variant>
        <vt:i4>262217</vt:i4>
      </vt:variant>
      <vt:variant>
        <vt:i4>318</vt:i4>
      </vt:variant>
      <vt:variant>
        <vt:i4>0</vt:i4>
      </vt:variant>
      <vt:variant>
        <vt:i4>5</vt:i4>
      </vt:variant>
      <vt:variant>
        <vt:lpwstr>https://www.beehive.govt.nz/sites/default/files/2024-04/NZ Singapore PMs%27 Joint Statement 15 April 2024.pdf</vt:lpwstr>
      </vt:variant>
      <vt:variant>
        <vt:lpwstr/>
      </vt:variant>
      <vt:variant>
        <vt:i4>7274538</vt:i4>
      </vt:variant>
      <vt:variant>
        <vt:i4>315</vt:i4>
      </vt:variant>
      <vt:variant>
        <vt:i4>0</vt:i4>
      </vt:variant>
      <vt:variant>
        <vt:i4>5</vt:i4>
      </vt:variant>
      <vt:variant>
        <vt:lpwstr>https://unfccc.int/sites/default/files/english_paris_agreement.pdf</vt:lpwstr>
      </vt:variant>
      <vt:variant>
        <vt:lpwstr/>
      </vt:variant>
      <vt:variant>
        <vt:i4>7209084</vt:i4>
      </vt:variant>
      <vt:variant>
        <vt:i4>312</vt:i4>
      </vt:variant>
      <vt:variant>
        <vt:i4>0</vt:i4>
      </vt:variant>
      <vt:variant>
        <vt:i4>5</vt:i4>
      </vt:variant>
      <vt:variant>
        <vt:lpwstr>https://www.climatecommission.govt.nz/public/Inaia-tonu-nei-a-low-emissions-future-for-Aotearoa/Inaia-tonu-nei-a-low-emissions-future-for-Aotearoa.pdf</vt:lpwstr>
      </vt:variant>
      <vt:variant>
        <vt:lpwstr/>
      </vt:variant>
      <vt:variant>
        <vt:i4>1310810</vt:i4>
      </vt:variant>
      <vt:variant>
        <vt:i4>309</vt:i4>
      </vt:variant>
      <vt:variant>
        <vt:i4>0</vt:i4>
      </vt:variant>
      <vt:variant>
        <vt:i4>5</vt:i4>
      </vt:variant>
      <vt:variant>
        <vt:lpwstr>https://www.stats.govt.nz/information-releases/greenhouse-gas-emissions-industry-and-household-december-2023-quarter/</vt:lpwstr>
      </vt:variant>
      <vt:variant>
        <vt:lpwstr/>
      </vt:variant>
      <vt:variant>
        <vt:i4>3670048</vt:i4>
      </vt:variant>
      <vt:variant>
        <vt:i4>306</vt:i4>
      </vt:variant>
      <vt:variant>
        <vt:i4>0</vt:i4>
      </vt:variant>
      <vt:variant>
        <vt:i4>5</vt:i4>
      </vt:variant>
      <vt:variant>
        <vt:lpwstr>https://www.oecd.org/en/data/indicators/renewable-energy.html?oecdcontrol-712178cb81-var3=2021</vt:lpwstr>
      </vt:variant>
      <vt:variant>
        <vt:lpwstr/>
      </vt:variant>
      <vt:variant>
        <vt:i4>5701720</vt:i4>
      </vt:variant>
      <vt:variant>
        <vt:i4>303</vt:i4>
      </vt:variant>
      <vt:variant>
        <vt:i4>0</vt:i4>
      </vt:variant>
      <vt:variant>
        <vt:i4>5</vt:i4>
      </vt:variant>
      <vt:variant>
        <vt:lpwstr>https://unfccc.int/sites/default/files/NDC/2022-06/New Zealand NDC November 2021.pdf</vt:lpwstr>
      </vt:variant>
      <vt:variant>
        <vt:lpwstr/>
      </vt:variant>
      <vt:variant>
        <vt:i4>6946903</vt:i4>
      </vt:variant>
      <vt:variant>
        <vt:i4>300</vt:i4>
      </vt:variant>
      <vt:variant>
        <vt:i4>0</vt:i4>
      </vt:variant>
      <vt:variant>
        <vt:i4>5</vt:i4>
      </vt:variant>
      <vt:variant>
        <vt:lpwstr>https://environment.govt.nz/assets/J001281-MfE-Climate-strategy-brochure-FF_webV2.pdf</vt:lpwstr>
      </vt:variant>
      <vt:variant>
        <vt:lpwstr/>
      </vt:variant>
      <vt:variant>
        <vt:i4>5701720</vt:i4>
      </vt:variant>
      <vt:variant>
        <vt:i4>297</vt:i4>
      </vt:variant>
      <vt:variant>
        <vt:i4>0</vt:i4>
      </vt:variant>
      <vt:variant>
        <vt:i4>5</vt:i4>
      </vt:variant>
      <vt:variant>
        <vt:lpwstr>https://unfccc.int/sites/default/files/NDC/2022-06/New Zealand NDC November 2021.pdf</vt:lpwstr>
      </vt:variant>
      <vt:variant>
        <vt:lpwstr/>
      </vt:variant>
      <vt:variant>
        <vt:i4>7209084</vt:i4>
      </vt:variant>
      <vt:variant>
        <vt:i4>294</vt:i4>
      </vt:variant>
      <vt:variant>
        <vt:i4>0</vt:i4>
      </vt:variant>
      <vt:variant>
        <vt:i4>5</vt:i4>
      </vt:variant>
      <vt:variant>
        <vt:lpwstr>https://www.climatecommission.govt.nz/public/Inaia-tonu-nei-a-low-emissions-future-for-Aotearoa/Inaia-tonu-nei-a-low-emissions-future-for-Aotearoa.pdf</vt:lpwstr>
      </vt:variant>
      <vt:variant>
        <vt:lpwstr/>
      </vt:variant>
      <vt:variant>
        <vt:i4>5832764</vt:i4>
      </vt:variant>
      <vt:variant>
        <vt:i4>291</vt:i4>
      </vt:variant>
      <vt:variant>
        <vt:i4>0</vt:i4>
      </vt:variant>
      <vt:variant>
        <vt:i4>5</vt:i4>
      </vt:variant>
      <vt:variant>
        <vt:lpwstr>https://www.ipcc.ch/site/assets/uploads/sites/2/2022/06/SR15_Full_Report_HR.pdf</vt:lpwstr>
      </vt:variant>
      <vt:variant>
        <vt:lpwstr/>
      </vt:variant>
      <vt:variant>
        <vt:i4>2621567</vt:i4>
      </vt:variant>
      <vt:variant>
        <vt:i4>288</vt:i4>
      </vt:variant>
      <vt:variant>
        <vt:i4>0</vt:i4>
      </vt:variant>
      <vt:variant>
        <vt:i4>5</vt:i4>
      </vt:variant>
      <vt:variant>
        <vt:lpwstr>https://www.treasury.govt.nz/sites/default/files/2024-05/pc-inq-lee-productivity-commission-low-emissions-economy-final-report-final-2.pdf</vt:lpwstr>
      </vt:variant>
      <vt:variant>
        <vt:lpwstr/>
      </vt:variant>
      <vt:variant>
        <vt:i4>3145767</vt:i4>
      </vt:variant>
      <vt:variant>
        <vt:i4>285</vt:i4>
      </vt:variant>
      <vt:variant>
        <vt:i4>0</vt:i4>
      </vt:variant>
      <vt:variant>
        <vt:i4>5</vt:i4>
      </vt:variant>
      <vt:variant>
        <vt:lpwstr>https://environment.govt.nz/publications/annual-updates-to-new-zealand-emissions-trading-scheme-limits-and-price-control-settings-for-units-2024-consultation-document/</vt:lpwstr>
      </vt:variant>
      <vt:variant>
        <vt:lpwstr/>
      </vt:variant>
      <vt:variant>
        <vt:i4>6225991</vt:i4>
      </vt:variant>
      <vt:variant>
        <vt:i4>282</vt:i4>
      </vt:variant>
      <vt:variant>
        <vt:i4>0</vt:i4>
      </vt:variant>
      <vt:variant>
        <vt:i4>5</vt:i4>
      </vt:variant>
      <vt:variant>
        <vt:lpwstr>https://environment.govt.nz/publications/second-emissions-reduction-plan</vt:lpwstr>
      </vt:variant>
      <vt:variant>
        <vt:lpwstr/>
      </vt:variant>
      <vt:variant>
        <vt:i4>2097262</vt:i4>
      </vt:variant>
      <vt:variant>
        <vt:i4>279</vt:i4>
      </vt:variant>
      <vt:variant>
        <vt:i4>0</vt:i4>
      </vt:variant>
      <vt:variant>
        <vt:i4>5</vt:i4>
      </vt:variant>
      <vt:variant>
        <vt:lpwstr>https://environment.govt.nz/publications/new-zealands-second-emissions-reduction-plan-discussion-document/</vt:lpwstr>
      </vt:variant>
      <vt:variant>
        <vt:lpwstr/>
      </vt:variant>
      <vt:variant>
        <vt:i4>7733301</vt:i4>
      </vt:variant>
      <vt:variant>
        <vt:i4>276</vt:i4>
      </vt:variant>
      <vt:variant>
        <vt:i4>0</vt:i4>
      </vt:variant>
      <vt:variant>
        <vt:i4>5</vt:i4>
      </vt:variant>
      <vt:variant>
        <vt:lpwstr>https://www.mfat.govt.nz/assets/Environment/Climate-change/Updating-Aotearoa-New-Zealands-Approach-to-International-Climate-Change-Negotiations-Public-Consultation.pdf</vt:lpwstr>
      </vt:variant>
      <vt:variant>
        <vt:lpwstr/>
      </vt:variant>
      <vt:variant>
        <vt:i4>7209084</vt:i4>
      </vt:variant>
      <vt:variant>
        <vt:i4>273</vt:i4>
      </vt:variant>
      <vt:variant>
        <vt:i4>0</vt:i4>
      </vt:variant>
      <vt:variant>
        <vt:i4>5</vt:i4>
      </vt:variant>
      <vt:variant>
        <vt:lpwstr>https://www.climatecommission.govt.nz/public/Inaia-tonu-nei-a-low-emissions-future-for-Aotearoa/Inaia-tonu-nei-a-low-emissions-future-for-Aotearoa.pdf</vt:lpwstr>
      </vt:variant>
      <vt:variant>
        <vt:lpwstr/>
      </vt:variant>
      <vt:variant>
        <vt:i4>7929957</vt:i4>
      </vt:variant>
      <vt:variant>
        <vt:i4>270</vt:i4>
      </vt:variant>
      <vt:variant>
        <vt:i4>0</vt:i4>
      </vt:variant>
      <vt:variant>
        <vt:i4>5</vt:i4>
      </vt:variant>
      <vt:variant>
        <vt:lpwstr>https://environment.govt.nz/publications/new-zealands-climate-change-target-our-contribution-to-the-new-international-climate-change-agreement-discussion-document/</vt:lpwstr>
      </vt:variant>
      <vt:variant>
        <vt:lpwstr/>
      </vt:variant>
      <vt:variant>
        <vt:i4>2752624</vt:i4>
      </vt:variant>
      <vt:variant>
        <vt:i4>267</vt:i4>
      </vt:variant>
      <vt:variant>
        <vt:i4>0</vt:i4>
      </vt:variant>
      <vt:variant>
        <vt:i4>5</vt:i4>
      </vt:variant>
      <vt:variant>
        <vt:lpwstr>https://www.climatecommission.govt.nz/our-work/advice-to-government-topic/nationally-determined-contributions/ndc2-report/</vt:lpwstr>
      </vt:variant>
      <vt:variant>
        <vt:lpwstr/>
      </vt:variant>
      <vt:variant>
        <vt:i4>3932265</vt:i4>
      </vt:variant>
      <vt:variant>
        <vt:i4>264</vt:i4>
      </vt:variant>
      <vt:variant>
        <vt:i4>0</vt:i4>
      </vt:variant>
      <vt:variant>
        <vt:i4>5</vt:i4>
      </vt:variant>
      <vt:variant>
        <vt:lpwstr>https://www.climatecommission.govt.nz/our-work/advice-to-government-topic/</vt:lpwstr>
      </vt:variant>
      <vt:variant>
        <vt:lpwstr/>
      </vt:variant>
      <vt:variant>
        <vt:i4>4063239</vt:i4>
      </vt:variant>
      <vt:variant>
        <vt:i4>261</vt:i4>
      </vt:variant>
      <vt:variant>
        <vt:i4>0</vt:i4>
      </vt:variant>
      <vt:variant>
        <vt:i4>5</vt:i4>
      </vt:variant>
      <vt:variant>
        <vt:lpwstr>http://www.tokelau.org.nz/site/tokelau/files/ClimateChange/LivCImplementPlan_web-2.pdf</vt:lpwstr>
      </vt:variant>
      <vt:variant>
        <vt:lpwstr/>
      </vt:variant>
      <vt:variant>
        <vt:i4>3080215</vt:i4>
      </vt:variant>
      <vt:variant>
        <vt:i4>258</vt:i4>
      </vt:variant>
      <vt:variant>
        <vt:i4>0</vt:i4>
      </vt:variant>
      <vt:variant>
        <vt:i4>5</vt:i4>
      </vt:variant>
      <vt:variant>
        <vt:lpwstr>http://www.tokelau.org.nz/site/tokelau/files/ClimateChange/LivCStrategy_web-2.pdf</vt:lpwstr>
      </vt:variant>
      <vt:variant>
        <vt:lpwstr/>
      </vt:variant>
      <vt:variant>
        <vt:i4>6946857</vt:i4>
      </vt:variant>
      <vt:variant>
        <vt:i4>255</vt:i4>
      </vt:variant>
      <vt:variant>
        <vt:i4>0</vt:i4>
      </vt:variant>
      <vt:variant>
        <vt:i4>5</vt:i4>
      </vt:variant>
      <vt:variant>
        <vt:lpwstr>https://www.stats.govt.nz/reports/housing-in-aotearoa-2020</vt:lpwstr>
      </vt:variant>
      <vt:variant>
        <vt:lpwstr/>
      </vt:variant>
      <vt:variant>
        <vt:i4>4849744</vt:i4>
      </vt:variant>
      <vt:variant>
        <vt:i4>252</vt:i4>
      </vt:variant>
      <vt:variant>
        <vt:i4>0</vt:i4>
      </vt:variant>
      <vt:variant>
        <vt:i4>5</vt:i4>
      </vt:variant>
      <vt:variant>
        <vt:lpwstr>https://www.stats.govt.nz/information-releases/dwelling-and-household-estimates-june-2023-quarter/</vt:lpwstr>
      </vt:variant>
      <vt:variant>
        <vt:lpwstr>:~:text=Key%20facts,households%20estimate%20%E2%80%93%201%2C976%2C600.</vt:lpwstr>
      </vt:variant>
      <vt:variant>
        <vt:i4>2228334</vt:i4>
      </vt:variant>
      <vt:variant>
        <vt:i4>249</vt:i4>
      </vt:variant>
      <vt:variant>
        <vt:i4>0</vt:i4>
      </vt:variant>
      <vt:variant>
        <vt:i4>5</vt:i4>
      </vt:variant>
      <vt:variant>
        <vt:lpwstr>https://www.stats.govt.nz/information-releases/2018-census-urban-accessibility-dataset</vt:lpwstr>
      </vt:variant>
      <vt:variant>
        <vt:lpwstr/>
      </vt:variant>
      <vt:variant>
        <vt:i4>4390977</vt:i4>
      </vt:variant>
      <vt:variant>
        <vt:i4>246</vt:i4>
      </vt:variant>
      <vt:variant>
        <vt:i4>0</vt:i4>
      </vt:variant>
      <vt:variant>
        <vt:i4>5</vt:i4>
      </vt:variant>
      <vt:variant>
        <vt:lpwstr>https://www.stats.govt.nz/information-releases/2018-census-population-and-dwelling-counts</vt:lpwstr>
      </vt:variant>
      <vt:variant>
        <vt:lpwstr/>
      </vt:variant>
      <vt:variant>
        <vt:i4>2228334</vt:i4>
      </vt:variant>
      <vt:variant>
        <vt:i4>243</vt:i4>
      </vt:variant>
      <vt:variant>
        <vt:i4>0</vt:i4>
      </vt:variant>
      <vt:variant>
        <vt:i4>5</vt:i4>
      </vt:variant>
      <vt:variant>
        <vt:lpwstr>https://www.stats.govt.nz/information-releases/2018-census-urban-accessibility-dataset</vt:lpwstr>
      </vt:variant>
      <vt:variant>
        <vt:lpwstr/>
      </vt:variant>
      <vt:variant>
        <vt:i4>852045</vt:i4>
      </vt:variant>
      <vt:variant>
        <vt:i4>240</vt:i4>
      </vt:variant>
      <vt:variant>
        <vt:i4>0</vt:i4>
      </vt:variant>
      <vt:variant>
        <vt:i4>5</vt:i4>
      </vt:variant>
      <vt:variant>
        <vt:lpwstr>https://environment.govt.nz/publications/new-zealands-greenhouse-gas-inventory-1990-2022/</vt:lpwstr>
      </vt:variant>
      <vt:variant>
        <vt:lpwstr/>
      </vt:variant>
      <vt:variant>
        <vt:i4>4522012</vt:i4>
      </vt:variant>
      <vt:variant>
        <vt:i4>237</vt:i4>
      </vt:variant>
      <vt:variant>
        <vt:i4>0</vt:i4>
      </vt:variant>
      <vt:variant>
        <vt:i4>5</vt:i4>
      </vt:variant>
      <vt:variant>
        <vt:lpwstr>https://www.legislation.govt.nz/regulation/public/2004/0309/latest/DLM286835.html?search=ta_regulation_R_rc%40rinf%40rnif_an%40bn%40rn_25_a&amp;p=3</vt:lpwstr>
      </vt:variant>
      <vt:variant>
        <vt:lpwstr/>
      </vt:variant>
      <vt:variant>
        <vt:i4>2359336</vt:i4>
      </vt:variant>
      <vt:variant>
        <vt:i4>234</vt:i4>
      </vt:variant>
      <vt:variant>
        <vt:i4>0</vt:i4>
      </vt:variant>
      <vt:variant>
        <vt:i4>5</vt:i4>
      </vt:variant>
      <vt:variant>
        <vt:lpwstr>https://environment.govt.nz/assets/Publications/Files/wastewater-sector-report.pdf</vt:lpwstr>
      </vt:variant>
      <vt:variant>
        <vt:lpwstr/>
      </vt:variant>
      <vt:variant>
        <vt:i4>7667817</vt:i4>
      </vt:variant>
      <vt:variant>
        <vt:i4>231</vt:i4>
      </vt:variant>
      <vt:variant>
        <vt:i4>0</vt:i4>
      </vt:variant>
      <vt:variant>
        <vt:i4>5</vt:i4>
      </vt:variant>
      <vt:variant>
        <vt:lpwstr>https://environment.govt.nz/facts-and-science/waste/waste-facilities-and-disposal/</vt:lpwstr>
      </vt:variant>
      <vt:variant>
        <vt:lpwstr/>
      </vt:variant>
      <vt:variant>
        <vt:i4>5308435</vt:i4>
      </vt:variant>
      <vt:variant>
        <vt:i4>228</vt:i4>
      </vt:variant>
      <vt:variant>
        <vt:i4>0</vt:i4>
      </vt:variant>
      <vt:variant>
        <vt:i4>5</vt:i4>
      </vt:variant>
      <vt:variant>
        <vt:lpwstr>https://environment.govt.nz/facts-and-science/waste/download-waste-data/</vt:lpwstr>
      </vt:variant>
      <vt:variant>
        <vt:lpwstr/>
      </vt:variant>
      <vt:variant>
        <vt:i4>852045</vt:i4>
      </vt:variant>
      <vt:variant>
        <vt:i4>225</vt:i4>
      </vt:variant>
      <vt:variant>
        <vt:i4>0</vt:i4>
      </vt:variant>
      <vt:variant>
        <vt:i4>5</vt:i4>
      </vt:variant>
      <vt:variant>
        <vt:lpwstr>https://environment.govt.nz/publications/new-zealands-greenhouse-gas-inventory-1990-2022/</vt:lpwstr>
      </vt:variant>
      <vt:variant>
        <vt:lpwstr/>
      </vt:variant>
      <vt:variant>
        <vt:i4>852045</vt:i4>
      </vt:variant>
      <vt:variant>
        <vt:i4>222</vt:i4>
      </vt:variant>
      <vt:variant>
        <vt:i4>0</vt:i4>
      </vt:variant>
      <vt:variant>
        <vt:i4>5</vt:i4>
      </vt:variant>
      <vt:variant>
        <vt:lpwstr>https://environment.govt.nz/publications/new-zealands-greenhouse-gas-inventory-1990-2022/</vt:lpwstr>
      </vt:variant>
      <vt:variant>
        <vt:lpwstr/>
      </vt:variant>
      <vt:variant>
        <vt:i4>852033</vt:i4>
      </vt:variant>
      <vt:variant>
        <vt:i4>219</vt:i4>
      </vt:variant>
      <vt:variant>
        <vt:i4>0</vt:i4>
      </vt:variant>
      <vt:variant>
        <vt:i4>5</vt:i4>
      </vt:variant>
      <vt:variant>
        <vt:lpwstr>https://environment.govt.nz/publications/new-zealands-greenhouse-gas-inventory-19902022-snapshot/</vt:lpwstr>
      </vt:variant>
      <vt:variant>
        <vt:lpwstr/>
      </vt:variant>
      <vt:variant>
        <vt:i4>852045</vt:i4>
      </vt:variant>
      <vt:variant>
        <vt:i4>216</vt:i4>
      </vt:variant>
      <vt:variant>
        <vt:i4>0</vt:i4>
      </vt:variant>
      <vt:variant>
        <vt:i4>5</vt:i4>
      </vt:variant>
      <vt:variant>
        <vt:lpwstr>https://environment.govt.nz/publications/new-zealands-greenhouse-gas-inventory-1990-2022/</vt:lpwstr>
      </vt:variant>
      <vt:variant>
        <vt:lpwstr/>
      </vt:variant>
      <vt:variant>
        <vt:i4>327749</vt:i4>
      </vt:variant>
      <vt:variant>
        <vt:i4>213</vt:i4>
      </vt:variant>
      <vt:variant>
        <vt:i4>0</vt:i4>
      </vt:variant>
      <vt:variant>
        <vt:i4>5</vt:i4>
      </vt:variant>
      <vt:variant>
        <vt:lpwstr>https://www.mpi.govt.nz/forestry/new-zealand-forests-forest-industry/about-new-zealands-forests/</vt:lpwstr>
      </vt:variant>
      <vt:variant>
        <vt:lpwstr/>
      </vt:variant>
      <vt:variant>
        <vt:i4>7536763</vt:i4>
      </vt:variant>
      <vt:variant>
        <vt:i4>210</vt:i4>
      </vt:variant>
      <vt:variant>
        <vt:i4>0</vt:i4>
      </vt:variant>
      <vt:variant>
        <vt:i4>5</vt:i4>
      </vt:variant>
      <vt:variant>
        <vt:lpwstr>https://www.mpi.govt.nz/dmsdocument/55996-2023-NEFD-Report</vt:lpwstr>
      </vt:variant>
      <vt:variant>
        <vt:lpwstr/>
      </vt:variant>
      <vt:variant>
        <vt:i4>852045</vt:i4>
      </vt:variant>
      <vt:variant>
        <vt:i4>207</vt:i4>
      </vt:variant>
      <vt:variant>
        <vt:i4>0</vt:i4>
      </vt:variant>
      <vt:variant>
        <vt:i4>5</vt:i4>
      </vt:variant>
      <vt:variant>
        <vt:lpwstr>https://environment.govt.nz/publications/new-zealands-greenhouse-gas-inventory-1990-2022/</vt:lpwstr>
      </vt:variant>
      <vt:variant>
        <vt:lpwstr/>
      </vt:variant>
      <vt:variant>
        <vt:i4>8060970</vt:i4>
      </vt:variant>
      <vt:variant>
        <vt:i4>204</vt:i4>
      </vt:variant>
      <vt:variant>
        <vt:i4>0</vt:i4>
      </vt:variant>
      <vt:variant>
        <vt:i4>5</vt:i4>
      </vt:variant>
      <vt:variant>
        <vt:lpwstr>https://www.mpi.govt.nz/dmsdocument/48667-2021-Forestry-and-wood-processing-labour-force-survey</vt:lpwstr>
      </vt:variant>
      <vt:variant>
        <vt:lpwstr/>
      </vt:variant>
      <vt:variant>
        <vt:i4>5636154</vt:i4>
      </vt:variant>
      <vt:variant>
        <vt:i4>201</vt:i4>
      </vt:variant>
      <vt:variant>
        <vt:i4>0</vt:i4>
      </vt:variant>
      <vt:variant>
        <vt:i4>5</vt:i4>
      </vt:variant>
      <vt:variant>
        <vt:lpwstr>https://statisticsnz.shinyapps.io/trade_dashboard/</vt:lpwstr>
      </vt:variant>
      <vt:variant>
        <vt:lpwstr/>
      </vt:variant>
      <vt:variant>
        <vt:i4>6094879</vt:i4>
      </vt:variant>
      <vt:variant>
        <vt:i4>198</vt:i4>
      </vt:variant>
      <vt:variant>
        <vt:i4>0</vt:i4>
      </vt:variant>
      <vt:variant>
        <vt:i4>5</vt:i4>
      </vt:variant>
      <vt:variant>
        <vt:lpwstr>https://www.mpi.govt.nz/dmsdocument/62637-Situation-and-Outlook-for-Primary-Industries-SOPI-June-2024</vt:lpwstr>
      </vt:variant>
      <vt:variant>
        <vt:lpwstr/>
      </vt:variant>
      <vt:variant>
        <vt:i4>6553709</vt:i4>
      </vt:variant>
      <vt:variant>
        <vt:i4>195</vt:i4>
      </vt:variant>
      <vt:variant>
        <vt:i4>0</vt:i4>
      </vt:variant>
      <vt:variant>
        <vt:i4>5</vt:i4>
      </vt:variant>
      <vt:variant>
        <vt:lpwstr>https://www.seafood.co.nz/about-us/seafood-nz</vt:lpwstr>
      </vt:variant>
      <vt:variant>
        <vt:lpwstr>:~:text=New%20Zealand's%20seafood%20industry%20plays,nutritious%20and%20great%20tasting%20seafood.</vt:lpwstr>
      </vt:variant>
      <vt:variant>
        <vt:i4>852045</vt:i4>
      </vt:variant>
      <vt:variant>
        <vt:i4>192</vt:i4>
      </vt:variant>
      <vt:variant>
        <vt:i4>0</vt:i4>
      </vt:variant>
      <vt:variant>
        <vt:i4>5</vt:i4>
      </vt:variant>
      <vt:variant>
        <vt:lpwstr>https://environment.govt.nz/publications/new-zealands-greenhouse-gas-inventory-1990-2022/</vt:lpwstr>
      </vt:variant>
      <vt:variant>
        <vt:lpwstr/>
      </vt:variant>
      <vt:variant>
        <vt:i4>852033</vt:i4>
      </vt:variant>
      <vt:variant>
        <vt:i4>189</vt:i4>
      </vt:variant>
      <vt:variant>
        <vt:i4>0</vt:i4>
      </vt:variant>
      <vt:variant>
        <vt:i4>5</vt:i4>
      </vt:variant>
      <vt:variant>
        <vt:lpwstr>https://environment.govt.nz/publications/new-zealands-greenhouse-gas-inventory-19902022-snapshot/</vt:lpwstr>
      </vt:variant>
      <vt:variant>
        <vt:lpwstr/>
      </vt:variant>
      <vt:variant>
        <vt:i4>6619178</vt:i4>
      </vt:variant>
      <vt:variant>
        <vt:i4>186</vt:i4>
      </vt:variant>
      <vt:variant>
        <vt:i4>0</vt:i4>
      </vt:variant>
      <vt:variant>
        <vt:i4>5</vt:i4>
      </vt:variant>
      <vt:variant>
        <vt:lpwstr>https://www.mpi.govt.nz/resources-and-forms/economic-intelligence/situation-and-outlook-for-primary-industries/</vt:lpwstr>
      </vt:variant>
      <vt:variant>
        <vt:lpwstr/>
      </vt:variant>
      <vt:variant>
        <vt:i4>852045</vt:i4>
      </vt:variant>
      <vt:variant>
        <vt:i4>183</vt:i4>
      </vt:variant>
      <vt:variant>
        <vt:i4>0</vt:i4>
      </vt:variant>
      <vt:variant>
        <vt:i4>5</vt:i4>
      </vt:variant>
      <vt:variant>
        <vt:lpwstr>https://environment.govt.nz/publications/new-zealands-greenhouse-gas-inventory-1990-2022/</vt:lpwstr>
      </vt:variant>
      <vt:variant>
        <vt:lpwstr/>
      </vt:variant>
      <vt:variant>
        <vt:i4>6815806</vt:i4>
      </vt:variant>
      <vt:variant>
        <vt:i4>180</vt:i4>
      </vt:variant>
      <vt:variant>
        <vt:i4>0</vt:i4>
      </vt:variant>
      <vt:variant>
        <vt:i4>5</vt:i4>
      </vt:variant>
      <vt:variant>
        <vt:lpwstr>https://www.transport.govt.nz/statistics-and-insights/freight-and-logistics/sheet/figs-rail</vt:lpwstr>
      </vt:variant>
      <vt:variant>
        <vt:lpwstr/>
      </vt:variant>
      <vt:variant>
        <vt:i4>131145</vt:i4>
      </vt:variant>
      <vt:variant>
        <vt:i4>177</vt:i4>
      </vt:variant>
      <vt:variant>
        <vt:i4>0</vt:i4>
      </vt:variant>
      <vt:variant>
        <vt:i4>5</vt:i4>
      </vt:variant>
      <vt:variant>
        <vt:lpwstr>https://www.transport.govt.nz/assets/Uploads/Report/The-New-Zealand-Rail-Plan.pdf</vt:lpwstr>
      </vt:variant>
      <vt:variant>
        <vt:lpwstr/>
      </vt:variant>
      <vt:variant>
        <vt:i4>852045</vt:i4>
      </vt:variant>
      <vt:variant>
        <vt:i4>174</vt:i4>
      </vt:variant>
      <vt:variant>
        <vt:i4>0</vt:i4>
      </vt:variant>
      <vt:variant>
        <vt:i4>5</vt:i4>
      </vt:variant>
      <vt:variant>
        <vt:lpwstr>https://environment.govt.nz/publications/new-zealands-greenhouse-gas-inventory-1990-2022/</vt:lpwstr>
      </vt:variant>
      <vt:variant>
        <vt:lpwstr/>
      </vt:variant>
      <vt:variant>
        <vt:i4>3211331</vt:i4>
      </vt:variant>
      <vt:variant>
        <vt:i4>171</vt:i4>
      </vt:variant>
      <vt:variant>
        <vt:i4>0</vt:i4>
      </vt:variant>
      <vt:variant>
        <vt:i4>5</vt:i4>
      </vt:variant>
      <vt:variant>
        <vt:lpwstr>https://consult.transport.govt.nz/policy/new-zealand-freight-and-supply-chain-issues/supporting_documents/Freight and supply chain issues paper  full version.pdf</vt:lpwstr>
      </vt:variant>
      <vt:variant>
        <vt:lpwstr/>
      </vt:variant>
      <vt:variant>
        <vt:i4>7340154</vt:i4>
      </vt:variant>
      <vt:variant>
        <vt:i4>168</vt:i4>
      </vt:variant>
      <vt:variant>
        <vt:i4>0</vt:i4>
      </vt:variant>
      <vt:variant>
        <vt:i4>5</vt:i4>
      </vt:variant>
      <vt:variant>
        <vt:lpwstr>https://www.imo.org/en/OurWork/Environment/Pages/Fourth-IMO-Greenhouse-Gas-Study-2020.aspx</vt:lpwstr>
      </vt:variant>
      <vt:variant>
        <vt:lpwstr/>
      </vt:variant>
      <vt:variant>
        <vt:i4>3407995</vt:i4>
      </vt:variant>
      <vt:variant>
        <vt:i4>165</vt:i4>
      </vt:variant>
      <vt:variant>
        <vt:i4>0</vt:i4>
      </vt:variant>
      <vt:variant>
        <vt:i4>5</vt:i4>
      </vt:variant>
      <vt:variant>
        <vt:lpwstr>https://www.itf-oecd.org/sites/default/files/docs/decarbonising-maritime-transport-2035.pdf</vt:lpwstr>
      </vt:variant>
      <vt:variant>
        <vt:lpwstr/>
      </vt:variant>
      <vt:variant>
        <vt:i4>5242908</vt:i4>
      </vt:variant>
      <vt:variant>
        <vt:i4>162</vt:i4>
      </vt:variant>
      <vt:variant>
        <vt:i4>0</vt:i4>
      </vt:variant>
      <vt:variant>
        <vt:i4>5</vt:i4>
      </vt:variant>
      <vt:variant>
        <vt:lpwstr>https://infoshare.stats.govt.nz/</vt:lpwstr>
      </vt:variant>
      <vt:variant>
        <vt:lpwstr/>
      </vt:variant>
      <vt:variant>
        <vt:i4>5242908</vt:i4>
      </vt:variant>
      <vt:variant>
        <vt:i4>159</vt:i4>
      </vt:variant>
      <vt:variant>
        <vt:i4>0</vt:i4>
      </vt:variant>
      <vt:variant>
        <vt:i4>5</vt:i4>
      </vt:variant>
      <vt:variant>
        <vt:lpwstr>https://infoshare.stats.govt.nz/</vt:lpwstr>
      </vt:variant>
      <vt:variant>
        <vt:lpwstr/>
      </vt:variant>
      <vt:variant>
        <vt:i4>852045</vt:i4>
      </vt:variant>
      <vt:variant>
        <vt:i4>156</vt:i4>
      </vt:variant>
      <vt:variant>
        <vt:i4>0</vt:i4>
      </vt:variant>
      <vt:variant>
        <vt:i4>5</vt:i4>
      </vt:variant>
      <vt:variant>
        <vt:lpwstr>https://environment.govt.nz/publications/new-zealands-greenhouse-gas-inventory-1990-2022/</vt:lpwstr>
      </vt:variant>
      <vt:variant>
        <vt:lpwstr/>
      </vt:variant>
      <vt:variant>
        <vt:i4>5242908</vt:i4>
      </vt:variant>
      <vt:variant>
        <vt:i4>153</vt:i4>
      </vt:variant>
      <vt:variant>
        <vt:i4>0</vt:i4>
      </vt:variant>
      <vt:variant>
        <vt:i4>5</vt:i4>
      </vt:variant>
      <vt:variant>
        <vt:lpwstr>https://infoshare.stats.govt.nz/</vt:lpwstr>
      </vt:variant>
      <vt:variant>
        <vt:lpwstr/>
      </vt:variant>
      <vt:variant>
        <vt:i4>5242908</vt:i4>
      </vt:variant>
      <vt:variant>
        <vt:i4>150</vt:i4>
      </vt:variant>
      <vt:variant>
        <vt:i4>0</vt:i4>
      </vt:variant>
      <vt:variant>
        <vt:i4>5</vt:i4>
      </vt:variant>
      <vt:variant>
        <vt:lpwstr>https://infoshare.stats.govt.nz/</vt:lpwstr>
      </vt:variant>
      <vt:variant>
        <vt:lpwstr/>
      </vt:variant>
      <vt:variant>
        <vt:i4>5242908</vt:i4>
      </vt:variant>
      <vt:variant>
        <vt:i4>147</vt:i4>
      </vt:variant>
      <vt:variant>
        <vt:i4>0</vt:i4>
      </vt:variant>
      <vt:variant>
        <vt:i4>5</vt:i4>
      </vt:variant>
      <vt:variant>
        <vt:lpwstr>https://infoshare.stats.govt.nz/</vt:lpwstr>
      </vt:variant>
      <vt:variant>
        <vt:lpwstr/>
      </vt:variant>
      <vt:variant>
        <vt:i4>4915227</vt:i4>
      </vt:variant>
      <vt:variant>
        <vt:i4>144</vt:i4>
      </vt:variant>
      <vt:variant>
        <vt:i4>0</vt:i4>
      </vt:variant>
      <vt:variant>
        <vt:i4>5</vt:i4>
      </vt:variant>
      <vt:variant>
        <vt:lpwstr>https://www.transport.govt.nz/assets/Uploads/Report/AnnualFleetStatistics.pdf</vt:lpwstr>
      </vt:variant>
      <vt:variant>
        <vt:lpwstr/>
      </vt:variant>
      <vt:variant>
        <vt:i4>852045</vt:i4>
      </vt:variant>
      <vt:variant>
        <vt:i4>141</vt:i4>
      </vt:variant>
      <vt:variant>
        <vt:i4>0</vt:i4>
      </vt:variant>
      <vt:variant>
        <vt:i4>5</vt:i4>
      </vt:variant>
      <vt:variant>
        <vt:lpwstr>https://environment.govt.nz/publications/new-zealands-greenhouse-gas-inventory-1990-2022/</vt:lpwstr>
      </vt:variant>
      <vt:variant>
        <vt:lpwstr/>
      </vt:variant>
      <vt:variant>
        <vt:i4>4784156</vt:i4>
      </vt:variant>
      <vt:variant>
        <vt:i4>138</vt:i4>
      </vt:variant>
      <vt:variant>
        <vt:i4>0</vt:i4>
      </vt:variant>
      <vt:variant>
        <vt:i4>5</vt:i4>
      </vt:variant>
      <vt:variant>
        <vt:lpwstr>https://www.transport.govt.nz/statistics-and-insights/fleet-statistics/sheet/annual-fleet-statistics</vt:lpwstr>
      </vt:variant>
      <vt:variant>
        <vt:lpwstr/>
      </vt:variant>
      <vt:variant>
        <vt:i4>7798844</vt:i4>
      </vt:variant>
      <vt:variant>
        <vt:i4>135</vt:i4>
      </vt:variant>
      <vt:variant>
        <vt:i4>0</vt:i4>
      </vt:variant>
      <vt:variant>
        <vt:i4>5</vt:i4>
      </vt:variant>
      <vt:variant>
        <vt:lpwstr>https://www.mbie.govt.nz/assets/energy-in-new-zealand-2021.pdf</vt:lpwstr>
      </vt:variant>
      <vt:variant>
        <vt:lpwstr/>
      </vt:variant>
      <vt:variant>
        <vt:i4>6946915</vt:i4>
      </vt:variant>
      <vt:variant>
        <vt:i4>132</vt:i4>
      </vt:variant>
      <vt:variant>
        <vt:i4>0</vt:i4>
      </vt:variant>
      <vt:variant>
        <vt:i4>5</vt:i4>
      </vt:variant>
      <vt:variant>
        <vt:lpwstr>https://www.mbie.govt.nz/building-and-energy/energy-and-natural-resources/energy-statistics-and-modelling/energy-publications-and-technical-papers/energy-in-new-zealand/energy-in-new-zealand-2024</vt:lpwstr>
      </vt:variant>
      <vt:variant>
        <vt:lpwstr/>
      </vt:variant>
      <vt:variant>
        <vt:i4>2621547</vt:i4>
      </vt:variant>
      <vt:variant>
        <vt:i4>129</vt:i4>
      </vt:variant>
      <vt:variant>
        <vt:i4>0</vt:i4>
      </vt:variant>
      <vt:variant>
        <vt:i4>5</vt:i4>
      </vt:variant>
      <vt:variant>
        <vt:lpwstr>https://www.mbie.govt.nz/building-and-energy/energy-and-natural-resources/energy-statistics-and-modelling/energy-statistics/oil-statistics</vt:lpwstr>
      </vt:variant>
      <vt:variant>
        <vt:lpwstr/>
      </vt:variant>
      <vt:variant>
        <vt:i4>852045</vt:i4>
      </vt:variant>
      <vt:variant>
        <vt:i4>126</vt:i4>
      </vt:variant>
      <vt:variant>
        <vt:i4>0</vt:i4>
      </vt:variant>
      <vt:variant>
        <vt:i4>5</vt:i4>
      </vt:variant>
      <vt:variant>
        <vt:lpwstr>https://environment.govt.nz/publications/new-zealands-greenhouse-gas-inventory-1990-2022/</vt:lpwstr>
      </vt:variant>
      <vt:variant>
        <vt:lpwstr/>
      </vt:variant>
      <vt:variant>
        <vt:i4>5570568</vt:i4>
      </vt:variant>
      <vt:variant>
        <vt:i4>123</vt:i4>
      </vt:variant>
      <vt:variant>
        <vt:i4>0</vt:i4>
      </vt:variant>
      <vt:variant>
        <vt:i4>5</vt:i4>
      </vt:variant>
      <vt:variant>
        <vt:lpwstr>https://www.mbie.govt.nz/dmsdocument/178-chronology-of-nz-electricity-reform-pdf</vt:lpwstr>
      </vt:variant>
      <vt:variant>
        <vt:lpwstr/>
      </vt:variant>
      <vt:variant>
        <vt:i4>4456516</vt:i4>
      </vt:variant>
      <vt:variant>
        <vt:i4>120</vt:i4>
      </vt:variant>
      <vt:variant>
        <vt:i4>0</vt:i4>
      </vt:variant>
      <vt:variant>
        <vt:i4>5</vt:i4>
      </vt:variant>
      <vt:variant>
        <vt:lpwstr>https://environment.govt.nz/publications/new-zealands-greenhouse-gas-inventory-19902022-snapshot/</vt:lpwstr>
      </vt:variant>
      <vt:variant>
        <vt:lpwstr>:~:text=Based%20on%20the%20data%20for,8.8%20t%20CO2%2De.</vt:lpwstr>
      </vt:variant>
      <vt:variant>
        <vt:i4>852045</vt:i4>
      </vt:variant>
      <vt:variant>
        <vt:i4>117</vt:i4>
      </vt:variant>
      <vt:variant>
        <vt:i4>0</vt:i4>
      </vt:variant>
      <vt:variant>
        <vt:i4>5</vt:i4>
      </vt:variant>
      <vt:variant>
        <vt:lpwstr>https://environment.govt.nz/publications/new-zealands-greenhouse-gas-inventory-1990-2022/</vt:lpwstr>
      </vt:variant>
      <vt:variant>
        <vt:lpwstr/>
      </vt:variant>
      <vt:variant>
        <vt:i4>7667772</vt:i4>
      </vt:variant>
      <vt:variant>
        <vt:i4>114</vt:i4>
      </vt:variant>
      <vt:variant>
        <vt:i4>0</vt:i4>
      </vt:variant>
      <vt:variant>
        <vt:i4>5</vt:i4>
      </vt:variant>
      <vt:variant>
        <vt:lpwstr>https://www.mbie.govt.nz/assets/energy-in-new-zealand-2023.pdf</vt:lpwstr>
      </vt:variant>
      <vt:variant>
        <vt:lpwstr/>
      </vt:variant>
      <vt:variant>
        <vt:i4>5374022</vt:i4>
      </vt:variant>
      <vt:variant>
        <vt:i4>111</vt:i4>
      </vt:variant>
      <vt:variant>
        <vt:i4>0</vt:i4>
      </vt:variant>
      <vt:variant>
        <vt:i4>5</vt:i4>
      </vt:variant>
      <vt:variant>
        <vt:lpwstr>https://www.mbie.govt.nz/assets/energy-in-nz-2024.pdf</vt:lpwstr>
      </vt:variant>
      <vt:variant>
        <vt:lpwstr/>
      </vt:variant>
      <vt:variant>
        <vt:i4>852045</vt:i4>
      </vt:variant>
      <vt:variant>
        <vt:i4>108</vt:i4>
      </vt:variant>
      <vt:variant>
        <vt:i4>0</vt:i4>
      </vt:variant>
      <vt:variant>
        <vt:i4>5</vt:i4>
      </vt:variant>
      <vt:variant>
        <vt:lpwstr>https://environment.govt.nz/publications/new-zealands-greenhouse-gas-inventory-1990-2022/</vt:lpwstr>
      </vt:variant>
      <vt:variant>
        <vt:lpwstr/>
      </vt:variant>
      <vt:variant>
        <vt:i4>589880</vt:i4>
      </vt:variant>
      <vt:variant>
        <vt:i4>105</vt:i4>
      </vt:variant>
      <vt:variant>
        <vt:i4>0</vt:i4>
      </vt:variant>
      <vt:variant>
        <vt:i4>5</vt:i4>
      </vt:variant>
      <vt:variant>
        <vt:lpwstr>https://climatedata.environment.govt.nz/docs/T/T_fp.html</vt:lpwstr>
      </vt:variant>
      <vt:variant>
        <vt:lpwstr/>
      </vt:variant>
      <vt:variant>
        <vt:i4>589880</vt:i4>
      </vt:variant>
      <vt:variant>
        <vt:i4>102</vt:i4>
      </vt:variant>
      <vt:variant>
        <vt:i4>0</vt:i4>
      </vt:variant>
      <vt:variant>
        <vt:i4>5</vt:i4>
      </vt:variant>
      <vt:variant>
        <vt:lpwstr>https://climatedata.environment.govt.nz/docs/T/T_fp.html</vt:lpwstr>
      </vt:variant>
      <vt:variant>
        <vt:lpwstr/>
      </vt:variant>
      <vt:variant>
        <vt:i4>3735679</vt:i4>
      </vt:variant>
      <vt:variant>
        <vt:i4>99</vt:i4>
      </vt:variant>
      <vt:variant>
        <vt:i4>0</vt:i4>
      </vt:variant>
      <vt:variant>
        <vt:i4>5</vt:i4>
      </vt:variant>
      <vt:variant>
        <vt:lpwstr>https://www.stats.govt.nz/indicators/coastal-sea-level-rise</vt:lpwstr>
      </vt:variant>
      <vt:variant>
        <vt:lpwstr/>
      </vt:variant>
      <vt:variant>
        <vt:i4>3735679</vt:i4>
      </vt:variant>
      <vt:variant>
        <vt:i4>96</vt:i4>
      </vt:variant>
      <vt:variant>
        <vt:i4>0</vt:i4>
      </vt:variant>
      <vt:variant>
        <vt:i4>5</vt:i4>
      </vt:variant>
      <vt:variant>
        <vt:lpwstr>https://www.stats.govt.nz/indicators/coastal-sea-level-rise</vt:lpwstr>
      </vt:variant>
      <vt:variant>
        <vt:lpwstr/>
      </vt:variant>
      <vt:variant>
        <vt:i4>7864425</vt:i4>
      </vt:variant>
      <vt:variant>
        <vt:i4>93</vt:i4>
      </vt:variant>
      <vt:variant>
        <vt:i4>0</vt:i4>
      </vt:variant>
      <vt:variant>
        <vt:i4>5</vt:i4>
      </vt:variant>
      <vt:variant>
        <vt:lpwstr>https://www.ipcc.ch/report/ar6/wg1/</vt:lpwstr>
      </vt:variant>
      <vt:variant>
        <vt:lpwstr/>
      </vt:variant>
      <vt:variant>
        <vt:i4>8060986</vt:i4>
      </vt:variant>
      <vt:variant>
        <vt:i4>90</vt:i4>
      </vt:variant>
      <vt:variant>
        <vt:i4>0</vt:i4>
      </vt:variant>
      <vt:variant>
        <vt:i4>5</vt:i4>
      </vt:variant>
      <vt:variant>
        <vt:lpwstr>https://niwa.co.nz/climate-summaries/annual/annual-climate-summary-2023</vt:lpwstr>
      </vt:variant>
      <vt:variant>
        <vt:lpwstr/>
      </vt:variant>
      <vt:variant>
        <vt:i4>7143476</vt:i4>
      </vt:variant>
      <vt:variant>
        <vt:i4>87</vt:i4>
      </vt:variant>
      <vt:variant>
        <vt:i4>0</vt:i4>
      </vt:variant>
      <vt:variant>
        <vt:i4>5</vt:i4>
      </vt:variant>
      <vt:variant>
        <vt:lpwstr>https://www.stats.govt.nz/indicators/sunshine-hours</vt:lpwstr>
      </vt:variant>
      <vt:variant>
        <vt:lpwstr/>
      </vt:variant>
      <vt:variant>
        <vt:i4>5177436</vt:i4>
      </vt:variant>
      <vt:variant>
        <vt:i4>84</vt:i4>
      </vt:variant>
      <vt:variant>
        <vt:i4>0</vt:i4>
      </vt:variant>
      <vt:variant>
        <vt:i4>5</vt:i4>
      </vt:variant>
      <vt:variant>
        <vt:lpwstr>https://niwa.co.nz/climate-and-weather/overview-new-zealands-climate</vt:lpwstr>
      </vt:variant>
      <vt:variant>
        <vt:lpwstr/>
      </vt:variant>
      <vt:variant>
        <vt:i4>8060986</vt:i4>
      </vt:variant>
      <vt:variant>
        <vt:i4>81</vt:i4>
      </vt:variant>
      <vt:variant>
        <vt:i4>0</vt:i4>
      </vt:variant>
      <vt:variant>
        <vt:i4>5</vt:i4>
      </vt:variant>
      <vt:variant>
        <vt:lpwstr>https://niwa.co.nz/climate-summaries/annual/annual-climate-summary-2023</vt:lpwstr>
      </vt:variant>
      <vt:variant>
        <vt:lpwstr/>
      </vt:variant>
      <vt:variant>
        <vt:i4>5177436</vt:i4>
      </vt:variant>
      <vt:variant>
        <vt:i4>78</vt:i4>
      </vt:variant>
      <vt:variant>
        <vt:i4>0</vt:i4>
      </vt:variant>
      <vt:variant>
        <vt:i4>5</vt:i4>
      </vt:variant>
      <vt:variant>
        <vt:lpwstr>https://niwa.co.nz/climate-and-weather/overview-new-zealands-climate</vt:lpwstr>
      </vt:variant>
      <vt:variant>
        <vt:lpwstr/>
      </vt:variant>
      <vt:variant>
        <vt:i4>5636154</vt:i4>
      </vt:variant>
      <vt:variant>
        <vt:i4>75</vt:i4>
      </vt:variant>
      <vt:variant>
        <vt:i4>0</vt:i4>
      </vt:variant>
      <vt:variant>
        <vt:i4>5</vt:i4>
      </vt:variant>
      <vt:variant>
        <vt:lpwstr>https://statisticsnz.shinyapps.io/trade_dashboard/</vt:lpwstr>
      </vt:variant>
      <vt:variant>
        <vt:lpwstr/>
      </vt:variant>
      <vt:variant>
        <vt:i4>7929954</vt:i4>
      </vt:variant>
      <vt:variant>
        <vt:i4>72</vt:i4>
      </vt:variant>
      <vt:variant>
        <vt:i4>0</vt:i4>
      </vt:variant>
      <vt:variant>
        <vt:i4>5</vt:i4>
      </vt:variant>
      <vt:variant>
        <vt:lpwstr>https://www.mbie.govt.nz/dmsdocument/28093-tourism-satellite-account-year-ended-march-2023</vt:lpwstr>
      </vt:variant>
      <vt:variant>
        <vt:lpwstr/>
      </vt:variant>
      <vt:variant>
        <vt:i4>5636154</vt:i4>
      </vt:variant>
      <vt:variant>
        <vt:i4>69</vt:i4>
      </vt:variant>
      <vt:variant>
        <vt:i4>0</vt:i4>
      </vt:variant>
      <vt:variant>
        <vt:i4>5</vt:i4>
      </vt:variant>
      <vt:variant>
        <vt:lpwstr>https://statisticsnz.shinyapps.io/trade_dashboard/</vt:lpwstr>
      </vt:variant>
      <vt:variant>
        <vt:lpwstr/>
      </vt:variant>
      <vt:variant>
        <vt:i4>1638488</vt:i4>
      </vt:variant>
      <vt:variant>
        <vt:i4>66</vt:i4>
      </vt:variant>
      <vt:variant>
        <vt:i4>0</vt:i4>
      </vt:variant>
      <vt:variant>
        <vt:i4>5</vt:i4>
      </vt:variant>
      <vt:variant>
        <vt:lpwstr>https://www.mfat.govt.nz/en/trade/nz-trade-policy</vt:lpwstr>
      </vt:variant>
      <vt:variant>
        <vt:lpwstr/>
      </vt:variant>
      <vt:variant>
        <vt:i4>5636154</vt:i4>
      </vt:variant>
      <vt:variant>
        <vt:i4>63</vt:i4>
      </vt:variant>
      <vt:variant>
        <vt:i4>0</vt:i4>
      </vt:variant>
      <vt:variant>
        <vt:i4>5</vt:i4>
      </vt:variant>
      <vt:variant>
        <vt:lpwstr>https://statisticsnz.shinyapps.io/trade_dashboard/</vt:lpwstr>
      </vt:variant>
      <vt:variant>
        <vt:lpwstr/>
      </vt:variant>
      <vt:variant>
        <vt:i4>3407928</vt:i4>
      </vt:variant>
      <vt:variant>
        <vt:i4>60</vt:i4>
      </vt:variant>
      <vt:variant>
        <vt:i4>0</vt:i4>
      </vt:variant>
      <vt:variant>
        <vt:i4>5</vt:i4>
      </vt:variant>
      <vt:variant>
        <vt:lpwstr>https://www.stats.govt.nz/information-releases/greenhouse-gas-emissions-industry-and-household-march-2024-quarter/</vt:lpwstr>
      </vt:variant>
      <vt:variant>
        <vt:lpwstr/>
      </vt:variant>
      <vt:variant>
        <vt:i4>5242908</vt:i4>
      </vt:variant>
      <vt:variant>
        <vt:i4>57</vt:i4>
      </vt:variant>
      <vt:variant>
        <vt:i4>0</vt:i4>
      </vt:variant>
      <vt:variant>
        <vt:i4>5</vt:i4>
      </vt:variant>
      <vt:variant>
        <vt:lpwstr>https://infoshare.stats.govt.nz/</vt:lpwstr>
      </vt:variant>
      <vt:variant>
        <vt:lpwstr/>
      </vt:variant>
      <vt:variant>
        <vt:i4>5636154</vt:i4>
      </vt:variant>
      <vt:variant>
        <vt:i4>54</vt:i4>
      </vt:variant>
      <vt:variant>
        <vt:i4>0</vt:i4>
      </vt:variant>
      <vt:variant>
        <vt:i4>5</vt:i4>
      </vt:variant>
      <vt:variant>
        <vt:lpwstr>https://statisticsnz.shinyapps.io/trade_dashboard/</vt:lpwstr>
      </vt:variant>
      <vt:variant>
        <vt:lpwstr/>
      </vt:variant>
      <vt:variant>
        <vt:i4>7340087</vt:i4>
      </vt:variant>
      <vt:variant>
        <vt:i4>51</vt:i4>
      </vt:variant>
      <vt:variant>
        <vt:i4>0</vt:i4>
      </vt:variant>
      <vt:variant>
        <vt:i4>5</vt:i4>
      </vt:variant>
      <vt:variant>
        <vt:lpwstr>https://www.stats.govt.nz/information-releases/national-accounts-industry-production-and-investment-year-ended-march-2022/</vt:lpwstr>
      </vt:variant>
      <vt:variant>
        <vt:lpwstr/>
      </vt:variant>
      <vt:variant>
        <vt:i4>4587613</vt:i4>
      </vt:variant>
      <vt:variant>
        <vt:i4>48</vt:i4>
      </vt:variant>
      <vt:variant>
        <vt:i4>0</vt:i4>
      </vt:variant>
      <vt:variant>
        <vt:i4>5</vt:i4>
      </vt:variant>
      <vt:variant>
        <vt:lpwstr>https://www.stats.govt.nz/information-releases/gross-domestic-product-march-2024-quarter/</vt:lpwstr>
      </vt:variant>
      <vt:variant>
        <vt:lpwstr/>
      </vt:variant>
      <vt:variant>
        <vt:i4>4194397</vt:i4>
      </vt:variant>
      <vt:variant>
        <vt:i4>45</vt:i4>
      </vt:variant>
      <vt:variant>
        <vt:i4>0</vt:i4>
      </vt:variant>
      <vt:variant>
        <vt:i4>5</vt:i4>
      </vt:variant>
      <vt:variant>
        <vt:lpwstr>https://www.stats.govt.nz/information-releases/gross-domestic-product-march-2022-quarter/</vt:lpwstr>
      </vt:variant>
      <vt:variant>
        <vt:lpwstr/>
      </vt:variant>
      <vt:variant>
        <vt:i4>5242908</vt:i4>
      </vt:variant>
      <vt:variant>
        <vt:i4>42</vt:i4>
      </vt:variant>
      <vt:variant>
        <vt:i4>0</vt:i4>
      </vt:variant>
      <vt:variant>
        <vt:i4>5</vt:i4>
      </vt:variant>
      <vt:variant>
        <vt:lpwstr>https://infoshare.stats.govt.nz/</vt:lpwstr>
      </vt:variant>
      <vt:variant>
        <vt:lpwstr/>
      </vt:variant>
      <vt:variant>
        <vt:i4>1048603</vt:i4>
      </vt:variant>
      <vt:variant>
        <vt:i4>39</vt:i4>
      </vt:variant>
      <vt:variant>
        <vt:i4>0</vt:i4>
      </vt:variant>
      <vt:variant>
        <vt:i4>5</vt:i4>
      </vt:variant>
      <vt:variant>
        <vt:lpwstr>https://www.stats.govt.nz/indicators/gross-domestic-product-gdp/</vt:lpwstr>
      </vt:variant>
      <vt:variant>
        <vt:lpwstr/>
      </vt:variant>
      <vt:variant>
        <vt:i4>983108</vt:i4>
      </vt:variant>
      <vt:variant>
        <vt:i4>36</vt:i4>
      </vt:variant>
      <vt:variant>
        <vt:i4>0</vt:i4>
      </vt:variant>
      <vt:variant>
        <vt:i4>5</vt:i4>
      </vt:variant>
      <vt:variant>
        <vt:lpwstr>https://www.cbd.int/countries/profile?country=nz</vt:lpwstr>
      </vt:variant>
      <vt:variant>
        <vt:lpwstr/>
      </vt:variant>
      <vt:variant>
        <vt:i4>6488105</vt:i4>
      </vt:variant>
      <vt:variant>
        <vt:i4>33</vt:i4>
      </vt:variant>
      <vt:variant>
        <vt:i4>0</vt:i4>
      </vt:variant>
      <vt:variant>
        <vt:i4>5</vt:i4>
      </vt:variant>
      <vt:variant>
        <vt:lpwstr>https://www.stats.govt.nz/news/net-migration-remains-near-record-level/</vt:lpwstr>
      </vt:variant>
      <vt:variant>
        <vt:lpwstr/>
      </vt:variant>
      <vt:variant>
        <vt:i4>5898328</vt:i4>
      </vt:variant>
      <vt:variant>
        <vt:i4>30</vt:i4>
      </vt:variant>
      <vt:variant>
        <vt:i4>0</vt:i4>
      </vt:variant>
      <vt:variant>
        <vt:i4>5</vt:i4>
      </vt:variant>
      <vt:variant>
        <vt:lpwstr>https://www.stats.govt.nz/news/net-migration-loss-of-new-zealand-citizens-exceeds-50000/</vt:lpwstr>
      </vt:variant>
      <vt:variant>
        <vt:lpwstr/>
      </vt:variant>
      <vt:variant>
        <vt:i4>655438</vt:i4>
      </vt:variant>
      <vt:variant>
        <vt:i4>27</vt:i4>
      </vt:variant>
      <vt:variant>
        <vt:i4>0</vt:i4>
      </vt:variant>
      <vt:variant>
        <vt:i4>5</vt:i4>
      </vt:variant>
      <vt:variant>
        <vt:lpwstr>https://www.stats.govt.nz/information-releases/national-population-projections-2022base2073/</vt:lpwstr>
      </vt:variant>
      <vt:variant>
        <vt:lpwstr/>
      </vt:variant>
      <vt:variant>
        <vt:i4>3407992</vt:i4>
      </vt:variant>
      <vt:variant>
        <vt:i4>24</vt:i4>
      </vt:variant>
      <vt:variant>
        <vt:i4>0</vt:i4>
      </vt:variant>
      <vt:variant>
        <vt:i4>5</vt:i4>
      </vt:variant>
      <vt:variant>
        <vt:lpwstr>https://population.un.org/wpp/</vt:lpwstr>
      </vt:variant>
      <vt:variant>
        <vt:lpwstr/>
      </vt:variant>
      <vt:variant>
        <vt:i4>3932195</vt:i4>
      </vt:variant>
      <vt:variant>
        <vt:i4>21</vt:i4>
      </vt:variant>
      <vt:variant>
        <vt:i4>0</vt:i4>
      </vt:variant>
      <vt:variant>
        <vt:i4>5</vt:i4>
      </vt:variant>
      <vt:variant>
        <vt:lpwstr>https://teara.govt.nz/en/natural-environment/page-1</vt:lpwstr>
      </vt:variant>
      <vt:variant>
        <vt:lpwstr/>
      </vt:variant>
      <vt:variant>
        <vt:i4>2556025</vt:i4>
      </vt:variant>
      <vt:variant>
        <vt:i4>18</vt:i4>
      </vt:variant>
      <vt:variant>
        <vt:i4>0</vt:i4>
      </vt:variant>
      <vt:variant>
        <vt:i4>5</vt:i4>
      </vt:variant>
      <vt:variant>
        <vt:lpwstr>https://www.stats.govt.nz/infoshare</vt:lpwstr>
      </vt:variant>
      <vt:variant>
        <vt:lpwstr/>
      </vt:variant>
      <vt:variant>
        <vt:i4>2556025</vt:i4>
      </vt:variant>
      <vt:variant>
        <vt:i4>15</vt:i4>
      </vt:variant>
      <vt:variant>
        <vt:i4>0</vt:i4>
      </vt:variant>
      <vt:variant>
        <vt:i4>5</vt:i4>
      </vt:variant>
      <vt:variant>
        <vt:lpwstr>https://www.stats.govt.nz/infoshare</vt:lpwstr>
      </vt:variant>
      <vt:variant>
        <vt:lpwstr/>
      </vt:variant>
      <vt:variant>
        <vt:i4>2556025</vt:i4>
      </vt:variant>
      <vt:variant>
        <vt:i4>12</vt:i4>
      </vt:variant>
      <vt:variant>
        <vt:i4>0</vt:i4>
      </vt:variant>
      <vt:variant>
        <vt:i4>5</vt:i4>
      </vt:variant>
      <vt:variant>
        <vt:lpwstr>https://www.stats.govt.nz/infoshare</vt:lpwstr>
      </vt:variant>
      <vt:variant>
        <vt:lpwstr/>
      </vt:variant>
      <vt:variant>
        <vt:i4>1310751</vt:i4>
      </vt:variant>
      <vt:variant>
        <vt:i4>9</vt:i4>
      </vt:variant>
      <vt:variant>
        <vt:i4>0</vt:i4>
      </vt:variant>
      <vt:variant>
        <vt:i4>5</vt:i4>
      </vt:variant>
      <vt:variant>
        <vt:lpwstr>https://www.publicservice.govt.nz/system/central-government-organisations</vt:lpwstr>
      </vt:variant>
      <vt:variant>
        <vt:lpwstr/>
      </vt:variant>
      <vt:variant>
        <vt:i4>6160464</vt:i4>
      </vt:variant>
      <vt:variant>
        <vt:i4>6</vt:i4>
      </vt:variant>
      <vt:variant>
        <vt:i4>0</vt:i4>
      </vt:variant>
      <vt:variant>
        <vt:i4>5</vt:i4>
      </vt:variant>
      <vt:variant>
        <vt:lpwstr>https://environment.govt.nz/assets/publications/climate-change/MFE-AoG-20664-GF-National-Adaptation-Plan-2022-WEB.pdf</vt:lpwstr>
      </vt:variant>
      <vt:variant>
        <vt:lpwstr/>
      </vt:variant>
      <vt:variant>
        <vt:i4>65614</vt:i4>
      </vt:variant>
      <vt:variant>
        <vt:i4>3</vt:i4>
      </vt:variant>
      <vt:variant>
        <vt:i4>0</vt:i4>
      </vt:variant>
      <vt:variant>
        <vt:i4>5</vt:i4>
      </vt:variant>
      <vt:variant>
        <vt:lpwstr>https://environment.govt.nz/assets/publications/NAP-info-sheets-August-2022/Climate-action-for-Maori-The-national-adaptation-plan-v2.pdf</vt:lpwstr>
      </vt:variant>
      <vt:variant>
        <vt:lpwstr/>
      </vt:variant>
      <vt:variant>
        <vt:i4>852045</vt:i4>
      </vt:variant>
      <vt:variant>
        <vt:i4>0</vt:i4>
      </vt:variant>
      <vt:variant>
        <vt:i4>0</vt:i4>
      </vt:variant>
      <vt:variant>
        <vt:i4>5</vt:i4>
      </vt:variant>
      <vt:variant>
        <vt:lpwstr>https://environment.govt.nz/publications/new-zealands-greenhouse-gas-inventory-1990-2022/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dc:creator>
  <cp:keywords/>
  <cp:lastModifiedBy>Lisette Du Plessis</cp:lastModifiedBy>
  <cp:revision>50</cp:revision>
  <cp:lastPrinted>2024-12-18T23:26:00Z</cp:lastPrinted>
  <dcterms:created xsi:type="dcterms:W3CDTF">2024-12-18T19:24:00Z</dcterms:created>
  <dcterms:modified xsi:type="dcterms:W3CDTF">2024-12-18T02:30:00Z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0x01010043CAD6CBF026354894AC71C71237773E</vt:lpwstr>
  </property>
  <property fmtid="{D5CDD505-2E9C-101B-9397-08002B2CF9AE}" pid="3" name="MSIP_Label_52dda6cc-d61d-4fd2-bf18-9b3017d931cc_Enabled">
    <vt:lpwstr>true</vt:lpwstr>
  </property>
  <property fmtid="{D5CDD505-2E9C-101B-9397-08002B2CF9AE}" pid="4" name="MSIP_Label_52dda6cc-d61d-4fd2-bf18-9b3017d931cc_SetDate">
    <vt:lpwstr>2024-12-04T21:45:15Z</vt:lpwstr>
  </property>
  <property fmtid="{D5CDD505-2E9C-101B-9397-08002B2CF9AE}" pid="5" name="MSIP_Label_52dda6cc-d61d-4fd2-bf18-9b3017d931cc_Method">
    <vt:lpwstr>Privileged</vt:lpwstr>
  </property>
  <property fmtid="{D5CDD505-2E9C-101B-9397-08002B2CF9AE}" pid="6" name="MSIP_Label_52dda6cc-d61d-4fd2-bf18-9b3017d931cc_Name">
    <vt:lpwstr>[UNCLASSIFIED]</vt:lpwstr>
  </property>
  <property fmtid="{D5CDD505-2E9C-101B-9397-08002B2CF9AE}" pid="7" name="MSIP_Label_52dda6cc-d61d-4fd2-bf18-9b3017d931cc_SiteId">
    <vt:lpwstr>761dd003-d4ff-4049-8a72-8549b20fcbb1</vt:lpwstr>
  </property>
  <property fmtid="{D5CDD505-2E9C-101B-9397-08002B2CF9AE}" pid="8" name="MSIP_Label_52dda6cc-d61d-4fd2-bf18-9b3017d931cc_ActionId">
    <vt:lpwstr>237e74a6-eb25-4b27-8c1e-0233771acfec</vt:lpwstr>
  </property>
  <property fmtid="{D5CDD505-2E9C-101B-9397-08002B2CF9AE}" pid="9" name="MSIP_Label_52dda6cc-d61d-4fd2-bf18-9b3017d931cc_ContentBits">
    <vt:lpwstr>0</vt:lpwstr>
  </property>
</Properties>
</file>